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917E1" w14:textId="7B3E5491" w:rsidR="00023F65" w:rsidRDefault="00023F65" w:rsidP="00023F65">
      <w:pPr>
        <w:jc w:val="both"/>
        <w:rPr>
          <w:rFonts w:ascii="Verdana" w:eastAsia="Calibri" w:hAnsi="Verdana" w:cs="Arial"/>
          <w:b/>
          <w:bCs/>
          <w:lang w:eastAsia="es-ES"/>
        </w:rPr>
      </w:pPr>
      <w:bookmarkStart w:id="0" w:name="_Hlk143780582"/>
      <w:bookmarkStart w:id="1" w:name="_Hlk214366482"/>
      <w:r w:rsidRPr="00023F65">
        <w:rPr>
          <w:rFonts w:ascii="Verdana" w:eastAsia="Calibri" w:hAnsi="Verdana" w:cs="Arial"/>
          <w:b/>
          <w:bCs/>
          <w:lang w:eastAsia="es-ES"/>
        </w:rPr>
        <w:t xml:space="preserve">EMPRESA – Concepto </w:t>
      </w:r>
    </w:p>
    <w:p w14:paraId="4AB27AEB" w14:textId="77777777" w:rsidR="00B44EDE" w:rsidRDefault="00023F65" w:rsidP="00B44EDE">
      <w:pPr>
        <w:jc w:val="both"/>
        <w:rPr>
          <w:rFonts w:ascii="Verdana" w:eastAsia="Calibri" w:hAnsi="Verdana" w:cs="Arial"/>
          <w:sz w:val="20"/>
          <w:szCs w:val="20"/>
          <w:lang w:val="es-ES_tradnl" w:eastAsia="es-ES_tradnl"/>
        </w:rPr>
      </w:pPr>
      <w:r w:rsidRPr="00B44EDE">
        <w:rPr>
          <w:rFonts w:ascii="Verdana" w:eastAsia="Geomanist Light" w:hAnsi="Verdana" w:cs="Arial"/>
          <w:sz w:val="20"/>
          <w:szCs w:val="20"/>
          <w:lang w:val="es-ES"/>
        </w:rPr>
        <w:t xml:space="preserve">En primer lugar, es importante indicar que, </w:t>
      </w:r>
      <w:r w:rsidRPr="00B44EDE">
        <w:rPr>
          <w:rFonts w:ascii="Verdana" w:eastAsia="Calibri" w:hAnsi="Verdana" w:cs="Arial"/>
          <w:sz w:val="20"/>
          <w:szCs w:val="20"/>
          <w:lang w:val="es-ES_tradnl" w:eastAsia="es-ES_tradnl"/>
        </w:rPr>
        <w:t>en Colombia, la empresa se forma a través de un contrato de sociedad por medio del cual dos o más personas se obligan a hacer un aporte en dinero, en trabajo o en otros bienes apreciables en dinero con el fin de repartirse entre sí las utilidades obtenidas en la empresa, según lo dispuesto en el artículo 98 del Código de Comercio. En ese sentido, serán sociedades comerciales aquellas que ejecuten actos o empresas mercantiles, en los términos señalados en el artículo 100 ibidem</w:t>
      </w:r>
      <w:r w:rsidRPr="00B44EDE">
        <w:rPr>
          <w:rFonts w:ascii="Verdana" w:eastAsia="Calibri" w:hAnsi="Verdana" w:cs="Arial"/>
          <w:sz w:val="20"/>
          <w:szCs w:val="20"/>
          <w:lang w:val="es-ES_tradnl" w:eastAsia="es-ES_tradnl"/>
        </w:rPr>
        <w:t>.</w:t>
      </w:r>
    </w:p>
    <w:p w14:paraId="23227652" w14:textId="529C2133" w:rsidR="00023F65" w:rsidRPr="00B44EDE" w:rsidRDefault="00023F65" w:rsidP="00023F65">
      <w:pPr>
        <w:jc w:val="both"/>
        <w:rPr>
          <w:rFonts w:ascii="Verdana" w:eastAsia="Calibri" w:hAnsi="Verdana" w:cs="Arial"/>
          <w:sz w:val="20"/>
          <w:szCs w:val="20"/>
          <w:lang w:val="es-ES_tradnl" w:eastAsia="es-ES_tradnl"/>
        </w:rPr>
      </w:pPr>
      <w:r w:rsidRPr="00023F65">
        <w:rPr>
          <w:rFonts w:ascii="Verdana" w:eastAsia="Calibri" w:hAnsi="Verdana" w:cs="Arial"/>
          <w:b/>
          <w:bCs/>
          <w:lang w:eastAsia="es-ES"/>
        </w:rPr>
        <w:t>ESAL– Distinción con sociedades comerciales</w:t>
      </w:r>
    </w:p>
    <w:p w14:paraId="49A5AD8C" w14:textId="77777777" w:rsidR="00B44EDE" w:rsidRDefault="00B44EDE" w:rsidP="00B44EDE">
      <w:pPr>
        <w:spacing w:after="0" w:line="240" w:lineRule="auto"/>
        <w:jc w:val="both"/>
        <w:rPr>
          <w:rFonts w:ascii="Verdana" w:eastAsia="Calibri" w:hAnsi="Verdana" w:cs="Arial"/>
          <w:sz w:val="20"/>
          <w:szCs w:val="20"/>
          <w:lang w:val="es-ES" w:eastAsia="es-ES"/>
        </w:rPr>
      </w:pPr>
      <w:r w:rsidRPr="00B44EDE">
        <w:rPr>
          <w:rFonts w:ascii="Verdana" w:eastAsia="Calibri" w:hAnsi="Verdana" w:cs="Arial"/>
          <w:sz w:val="20"/>
          <w:szCs w:val="20"/>
          <w:lang w:val="es-ES" w:eastAsia="es-ES"/>
        </w:rPr>
        <w:t xml:space="preserve">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p>
    <w:p w14:paraId="3310B0B2" w14:textId="77777777" w:rsidR="00B44EDE" w:rsidRDefault="00B44EDE" w:rsidP="00B44EDE">
      <w:pPr>
        <w:spacing w:after="0" w:line="240" w:lineRule="auto"/>
        <w:jc w:val="both"/>
        <w:rPr>
          <w:rFonts w:ascii="Verdana" w:eastAsia="Calibri" w:hAnsi="Verdana" w:cs="Arial"/>
          <w:sz w:val="20"/>
          <w:szCs w:val="20"/>
          <w:lang w:val="es-ES" w:eastAsia="es-ES"/>
        </w:rPr>
      </w:pPr>
    </w:p>
    <w:p w14:paraId="7E9F94FA" w14:textId="73FFB005" w:rsidR="00B44EDE" w:rsidRPr="00B44EDE" w:rsidRDefault="00B44EDE" w:rsidP="00B44EDE">
      <w:pPr>
        <w:spacing w:after="0" w:line="240" w:lineRule="auto"/>
        <w:jc w:val="both"/>
        <w:rPr>
          <w:rFonts w:ascii="Verdana" w:eastAsia="Calibri" w:hAnsi="Verdana" w:cs="Arial"/>
          <w:sz w:val="20"/>
          <w:szCs w:val="20"/>
          <w:lang w:val="es-ES" w:eastAsia="es-ES"/>
        </w:rPr>
      </w:pPr>
      <w:r w:rsidRPr="00B44EDE">
        <w:rPr>
          <w:rFonts w:ascii="Verdana" w:eastAsia="Calibri" w:hAnsi="Verdana" w:cs="Arial"/>
          <w:sz w:val="20"/>
          <w:szCs w:val="20"/>
          <w:lang w:val="es-ES_tradnl" w:eastAsia="es-ES_tradnl"/>
        </w:rPr>
        <w:t>A lo anterior se suma que este tipo de corporaciones o asociaciones se encuentran reguladas en el Código Civil –entre otras normas concordantes–, de lo que se sigue que no constituyen formas de sociedad comercial, sino formas de organización civil con fines esencialmente altruistas o de interés general, que se conforman entre personas que tienen como finalidad contribuir con su esfuerzo, y hasta con sus bienes, para ayudar a la comunidad. La ausencia de ánimo de lucro es, entonces, la característica determinante de estas corporaciones u organizaciones, lo que explica su nombre y las diferencias de manera fundamental de las sociedades comerciales.</w:t>
      </w:r>
    </w:p>
    <w:p w14:paraId="0D172AD2" w14:textId="77777777" w:rsidR="00B44EDE" w:rsidRDefault="00B44EDE" w:rsidP="00B44EDE">
      <w:pPr>
        <w:spacing w:after="0" w:line="240" w:lineRule="auto"/>
        <w:jc w:val="both"/>
        <w:rPr>
          <w:rFonts w:ascii="Verdana" w:eastAsia="Calibri" w:hAnsi="Verdana" w:cs="Arial"/>
          <w:sz w:val="20"/>
          <w:szCs w:val="20"/>
          <w:lang w:val="es-ES_tradnl" w:eastAsia="es-ES"/>
        </w:rPr>
      </w:pPr>
    </w:p>
    <w:p w14:paraId="6269599C" w14:textId="22576054" w:rsidR="00B44EDE" w:rsidRPr="00B44EDE" w:rsidRDefault="00B44EDE" w:rsidP="00B44EDE">
      <w:pPr>
        <w:spacing w:after="0" w:line="240" w:lineRule="auto"/>
        <w:jc w:val="both"/>
        <w:rPr>
          <w:rFonts w:ascii="Verdana" w:eastAsia="Calibri" w:hAnsi="Verdana" w:cs="Arial"/>
          <w:sz w:val="20"/>
          <w:szCs w:val="20"/>
          <w:lang w:val="es-ES_tradnl" w:eastAsia="es-ES"/>
        </w:rPr>
      </w:pPr>
      <w:r w:rsidRPr="00B44EDE">
        <w:rPr>
          <w:rFonts w:ascii="Verdana" w:eastAsia="Calibri" w:hAnsi="Verdana" w:cs="Arial"/>
          <w:sz w:val="20"/>
          <w:szCs w:val="20"/>
          <w:lang w:val="es-ES_tradnl" w:eastAsia="es-ES"/>
        </w:rPr>
        <w:t xml:space="preserve">[…] </w:t>
      </w:r>
    </w:p>
    <w:p w14:paraId="3E8D981A" w14:textId="77777777" w:rsidR="00B44EDE" w:rsidRDefault="00B44EDE" w:rsidP="00B44EDE">
      <w:pPr>
        <w:spacing w:after="0" w:line="240" w:lineRule="auto"/>
        <w:jc w:val="both"/>
        <w:rPr>
          <w:rFonts w:ascii="Verdana" w:eastAsia="Calibri" w:hAnsi="Verdana" w:cs="Arial"/>
          <w:sz w:val="20"/>
          <w:szCs w:val="20"/>
          <w:lang w:val="es-ES" w:eastAsia="es-ES"/>
        </w:rPr>
      </w:pPr>
    </w:p>
    <w:p w14:paraId="23AD3D20" w14:textId="77777777" w:rsidR="00B44EDE" w:rsidRDefault="00B44EDE" w:rsidP="00B44EDE">
      <w:pPr>
        <w:spacing w:after="0" w:line="240" w:lineRule="auto"/>
        <w:jc w:val="both"/>
        <w:rPr>
          <w:rFonts w:ascii="Verdana" w:eastAsia="Calibri" w:hAnsi="Verdana" w:cs="Arial"/>
          <w:sz w:val="20"/>
          <w:szCs w:val="20"/>
          <w:lang w:val="es-ES" w:eastAsia="es-ES"/>
        </w:rPr>
      </w:pPr>
      <w:r w:rsidRPr="00B44EDE">
        <w:rPr>
          <w:rFonts w:ascii="Verdana" w:eastAsia="Calibri" w:hAnsi="Verdana" w:cs="Arial"/>
          <w:sz w:val="20"/>
          <w:szCs w:val="20"/>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 Lo anterior, en la medida en que las sociedades comerciales se crean con la finalidad de que sus socios repartan las utilidades obtenidas en desarrollo de la empresa o actividad social. Por el contrario, las corporaciones, fundaciones o asociaciones destinan su patrimonio a la consecución de un interés general y no perciben lucro, pues los excedentes monetarios que se presenten deben ser reinvertidos en la ESAL y no es viable repartirlos entre los asociados.</w:t>
      </w:r>
    </w:p>
    <w:p w14:paraId="797B4F43" w14:textId="77777777" w:rsidR="00B44EDE" w:rsidRDefault="00B44EDE" w:rsidP="00B44EDE">
      <w:pPr>
        <w:spacing w:after="0" w:line="240" w:lineRule="auto"/>
        <w:jc w:val="both"/>
        <w:rPr>
          <w:rFonts w:ascii="Verdana" w:eastAsia="Calibri" w:hAnsi="Verdana" w:cs="Arial"/>
          <w:sz w:val="20"/>
          <w:szCs w:val="20"/>
          <w:lang w:val="es-ES" w:eastAsia="es-ES"/>
        </w:rPr>
      </w:pPr>
    </w:p>
    <w:p w14:paraId="034FA255" w14:textId="77777777" w:rsidR="00B44EDE" w:rsidRDefault="00023F65" w:rsidP="00B44EDE">
      <w:pPr>
        <w:spacing w:after="0" w:line="240" w:lineRule="auto"/>
        <w:jc w:val="both"/>
        <w:rPr>
          <w:rFonts w:ascii="Verdana" w:eastAsia="Calibri" w:hAnsi="Verdana" w:cs="Arial"/>
          <w:b/>
          <w:bCs/>
          <w:lang w:eastAsia="es-ES"/>
        </w:rPr>
      </w:pPr>
      <w:r w:rsidRPr="00023F65">
        <w:rPr>
          <w:rFonts w:ascii="Verdana" w:eastAsia="Calibri" w:hAnsi="Verdana" w:cs="Arial"/>
          <w:b/>
          <w:bCs/>
          <w:lang w:eastAsia="es-ES"/>
        </w:rPr>
        <w:t>ESAL – Asimilación con MiPymes</w:t>
      </w:r>
    </w:p>
    <w:p w14:paraId="79C271A1" w14:textId="77777777" w:rsidR="00B44EDE" w:rsidRDefault="00B44EDE" w:rsidP="00B44EDE">
      <w:pPr>
        <w:spacing w:after="0" w:line="240" w:lineRule="auto"/>
        <w:jc w:val="both"/>
        <w:rPr>
          <w:rFonts w:ascii="Verdana" w:eastAsia="Calibri" w:hAnsi="Verdana" w:cs="Arial"/>
          <w:b/>
          <w:bCs/>
          <w:lang w:eastAsia="es-ES"/>
        </w:rPr>
      </w:pPr>
    </w:p>
    <w:p w14:paraId="759FB244" w14:textId="21133AC6" w:rsidR="00B44EDE" w:rsidRPr="00B44EDE" w:rsidRDefault="00B44EDE" w:rsidP="00B44EDE">
      <w:pPr>
        <w:spacing w:after="0" w:line="240" w:lineRule="auto"/>
        <w:jc w:val="both"/>
        <w:rPr>
          <w:rFonts w:ascii="Verdana" w:eastAsia="Calibri" w:hAnsi="Verdana" w:cs="Arial"/>
          <w:sz w:val="20"/>
          <w:szCs w:val="20"/>
          <w:lang w:val="es-ES" w:eastAsia="es-ES"/>
        </w:rPr>
      </w:pPr>
      <w:r w:rsidRPr="00B44EDE">
        <w:rPr>
          <w:rFonts w:ascii="Verdana" w:hAnsi="Verdana" w:cs="Arial"/>
          <w:sz w:val="20"/>
          <w:szCs w:val="20"/>
          <w:lang w:val="es-ES"/>
        </w:rPr>
        <w:t xml:space="preserve">[…] </w:t>
      </w:r>
      <w:r w:rsidRPr="00B44EDE">
        <w:rPr>
          <w:rFonts w:ascii="Verdana" w:hAnsi="Verdana" w:cs="Arial"/>
          <w:sz w:val="20"/>
          <w:szCs w:val="20"/>
          <w:lang w:val="es-ES"/>
        </w:rPr>
        <w:t xml:space="preserve">respecto a la asimilación de las ESAL con las </w:t>
      </w:r>
      <w:proofErr w:type="spellStart"/>
      <w:r w:rsidRPr="00B44EDE">
        <w:rPr>
          <w:rFonts w:ascii="Verdana" w:hAnsi="Verdana" w:cs="Arial"/>
          <w:sz w:val="20"/>
          <w:szCs w:val="20"/>
          <w:lang w:val="es-ES"/>
        </w:rPr>
        <w:t>Mipymes</w:t>
      </w:r>
      <w:proofErr w:type="spellEnd"/>
      <w:r w:rsidRPr="00B44EDE">
        <w:rPr>
          <w:rFonts w:ascii="Verdana" w:hAnsi="Verdana" w:cs="Arial"/>
          <w:sz w:val="20"/>
          <w:szCs w:val="20"/>
          <w:lang w:val="es-ES"/>
        </w:rPr>
        <w:t xml:space="preserve">, resulta indispensable señalar que el artículo 2 de la Ley 590 de 2000, modificado por el artículo 43 de la Ley 1450 de 2011, define la </w:t>
      </w:r>
      <w:r w:rsidRPr="00B44EDE">
        <w:rPr>
          <w:rFonts w:ascii="Verdana" w:hAnsi="Verdana" w:cs="Arial"/>
          <w:i/>
          <w:iCs/>
          <w:sz w:val="20"/>
          <w:szCs w:val="20"/>
          <w:lang w:val="es-ES"/>
        </w:rPr>
        <w:t>empresa</w:t>
      </w:r>
      <w:r w:rsidRPr="00B44EDE">
        <w:rPr>
          <w:rFonts w:ascii="Verdana" w:hAnsi="Verdana" w:cs="Arial"/>
          <w:sz w:val="20"/>
          <w:szCs w:val="20"/>
          <w:lang w:val="es-ES"/>
        </w:rPr>
        <w:t xml:space="preserve"> como toda unidad de explotación económica que realiza una persona natural o jurídica en actividades agropecuarias, industriales, comerciales o de servicios. Además, establece que estas se clasifican en micro, pequeña, mediana y gran </w:t>
      </w:r>
      <w:r w:rsidRPr="00B44EDE">
        <w:rPr>
          <w:rFonts w:ascii="Verdana" w:hAnsi="Verdana" w:cs="Arial"/>
          <w:sz w:val="20"/>
          <w:szCs w:val="20"/>
          <w:lang w:val="es-ES"/>
        </w:rPr>
        <w:lastRenderedPageBreak/>
        <w:t>empresa, de acuerdo con los criterios del número de trabajadores totales, el valor de ventas brutales anuales y el valor de activos totales.</w:t>
      </w:r>
    </w:p>
    <w:p w14:paraId="686289D4" w14:textId="77777777" w:rsidR="00B44EDE" w:rsidRDefault="00B44EDE" w:rsidP="00B44EDE">
      <w:pPr>
        <w:spacing w:after="0" w:line="240" w:lineRule="auto"/>
        <w:jc w:val="both"/>
        <w:rPr>
          <w:rFonts w:ascii="Verdana" w:hAnsi="Verdana" w:cs="Arial"/>
          <w:sz w:val="20"/>
          <w:szCs w:val="20"/>
          <w:lang w:val="es-ES"/>
        </w:rPr>
      </w:pPr>
    </w:p>
    <w:p w14:paraId="32D1BCE5" w14:textId="77777777" w:rsidR="00B44EDE" w:rsidRDefault="00B44EDE" w:rsidP="00B44EDE">
      <w:pPr>
        <w:spacing w:after="0" w:line="240" w:lineRule="auto"/>
        <w:jc w:val="both"/>
        <w:rPr>
          <w:rFonts w:ascii="Verdana" w:hAnsi="Verdana" w:cs="Arial"/>
          <w:sz w:val="20"/>
          <w:szCs w:val="20"/>
          <w:lang w:val="es-ES"/>
        </w:rPr>
      </w:pPr>
      <w:r w:rsidRPr="00B44EDE">
        <w:rPr>
          <w:rFonts w:ascii="Verdana" w:hAnsi="Verdana" w:cs="Arial"/>
          <w:sz w:val="20"/>
          <w:szCs w:val="20"/>
          <w:lang w:val="es-ES"/>
        </w:rPr>
        <w:t xml:space="preserve">[…] </w:t>
      </w:r>
      <w:r w:rsidRPr="00B44EDE">
        <w:rPr>
          <w:rFonts w:ascii="Verdana" w:hAnsi="Verdana" w:cs="Arial"/>
          <w:sz w:val="20"/>
          <w:szCs w:val="20"/>
          <w:lang w:val="es-ES"/>
        </w:rPr>
        <w:t xml:space="preserve">en virtud de lo señalado en el artículo 43 de la Ley 1450 de 2011, que modificó el artículo 2 de la Ley 590 de 2000, solo podrán ser consideradas </w:t>
      </w:r>
      <w:proofErr w:type="spellStart"/>
      <w:r w:rsidRPr="00B44EDE">
        <w:rPr>
          <w:rFonts w:ascii="Verdana" w:hAnsi="Verdana" w:cs="Arial"/>
          <w:sz w:val="20"/>
          <w:szCs w:val="20"/>
          <w:lang w:val="es-ES"/>
        </w:rPr>
        <w:t>Mipymes</w:t>
      </w:r>
      <w:proofErr w:type="spellEnd"/>
      <w:r w:rsidRPr="00B44EDE">
        <w:rPr>
          <w:rFonts w:ascii="Verdana" w:hAnsi="Verdana" w:cs="Arial"/>
          <w:sz w:val="20"/>
          <w:szCs w:val="20"/>
          <w:lang w:val="es-ES"/>
        </w:rPr>
        <w:t xml:space="preserve"> las empresas, pues son unidades de explotación económica que buscan el reparto de utilidades entre los miembros de la empresa, sin perjuicio de las precisiones que se realizarán más adelante en relación con el artículo 23 de la Ley 2069 de 2020. </w:t>
      </w:r>
    </w:p>
    <w:p w14:paraId="7B174196" w14:textId="77777777" w:rsidR="00B44EDE" w:rsidRDefault="00B44EDE" w:rsidP="00B44EDE">
      <w:pPr>
        <w:spacing w:after="0" w:line="240" w:lineRule="auto"/>
        <w:jc w:val="both"/>
        <w:rPr>
          <w:rFonts w:ascii="Verdana" w:hAnsi="Verdana" w:cs="Arial"/>
          <w:sz w:val="20"/>
          <w:szCs w:val="20"/>
          <w:lang w:val="es-ES"/>
        </w:rPr>
      </w:pPr>
    </w:p>
    <w:p w14:paraId="5A0C5FE2" w14:textId="77777777" w:rsidR="00B44EDE" w:rsidRDefault="00B44EDE" w:rsidP="00B44EDE">
      <w:pPr>
        <w:spacing w:after="0" w:line="240" w:lineRule="auto"/>
        <w:jc w:val="both"/>
        <w:rPr>
          <w:rFonts w:ascii="Verdana" w:hAnsi="Verdana" w:cs="Arial"/>
          <w:sz w:val="20"/>
          <w:szCs w:val="20"/>
        </w:rPr>
      </w:pPr>
      <w:r w:rsidRPr="00B44EDE">
        <w:rPr>
          <w:rFonts w:ascii="Verdana" w:hAnsi="Verdana" w:cs="Arial"/>
          <w:sz w:val="20"/>
          <w:szCs w:val="20"/>
          <w:lang w:val="es-ES"/>
        </w:rPr>
        <w:t xml:space="preserve">De esta forma, es claro que solo pueden ser consideradas MiPymes las empresas, entendidas estas como las unidades de explotación económica, que buscan el reparto de utilidades entre los miembros de la empresa. 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no pueden acceder a los incentivos </w:t>
      </w:r>
      <w:r w:rsidRPr="00B44EDE">
        <w:rPr>
          <w:rFonts w:ascii="Verdana" w:hAnsi="Verdana" w:cs="Arial"/>
          <w:sz w:val="20"/>
          <w:szCs w:val="20"/>
        </w:rPr>
        <w:t>ni participar en los procesos de contratación limitados a MiPymes</w:t>
      </w:r>
      <w:r w:rsidRPr="00B44EDE">
        <w:rPr>
          <w:rFonts w:ascii="Verdana" w:hAnsi="Verdana" w:cs="Arial"/>
          <w:sz w:val="20"/>
          <w:szCs w:val="20"/>
        </w:rPr>
        <w:t>.</w:t>
      </w:r>
    </w:p>
    <w:p w14:paraId="247A1B34" w14:textId="77777777" w:rsidR="00B44EDE" w:rsidRDefault="00B44EDE" w:rsidP="00B44EDE">
      <w:pPr>
        <w:spacing w:after="0" w:line="240" w:lineRule="auto"/>
        <w:jc w:val="both"/>
        <w:rPr>
          <w:rFonts w:ascii="Verdana" w:hAnsi="Verdana" w:cs="Arial"/>
          <w:sz w:val="20"/>
          <w:szCs w:val="20"/>
        </w:rPr>
      </w:pPr>
    </w:p>
    <w:p w14:paraId="4E09BB16" w14:textId="77777777" w:rsidR="00B44EDE" w:rsidRDefault="00023F65" w:rsidP="00B44EDE">
      <w:pPr>
        <w:spacing w:after="0" w:line="240" w:lineRule="auto"/>
        <w:jc w:val="both"/>
        <w:rPr>
          <w:rFonts w:ascii="Verdana" w:hAnsi="Verdana" w:cs="Arial"/>
          <w:sz w:val="20"/>
          <w:szCs w:val="20"/>
          <w:lang w:val="es-ES"/>
        </w:rPr>
      </w:pPr>
      <w:r w:rsidRPr="00023F65">
        <w:rPr>
          <w:rFonts w:ascii="Verdana" w:eastAsia="Calibri" w:hAnsi="Verdana" w:cs="Arial"/>
          <w:b/>
          <w:bCs/>
          <w:lang w:eastAsia="es-ES"/>
        </w:rPr>
        <w:t xml:space="preserve">ESAL - Entidades de economía solidaria – Cooperativas – Asociaciones mutualistas – Demás entidades de economía solidaria - Asimilación a MiPymes </w:t>
      </w:r>
    </w:p>
    <w:p w14:paraId="4FC4FAD8" w14:textId="77777777" w:rsidR="00B44EDE" w:rsidRDefault="00B44EDE" w:rsidP="00B44EDE">
      <w:pPr>
        <w:spacing w:after="0" w:line="240" w:lineRule="auto"/>
        <w:jc w:val="both"/>
        <w:rPr>
          <w:rFonts w:ascii="Verdana" w:hAnsi="Verdana" w:cs="Arial"/>
          <w:sz w:val="20"/>
          <w:szCs w:val="20"/>
          <w:lang w:val="es-ES"/>
        </w:rPr>
      </w:pPr>
    </w:p>
    <w:p w14:paraId="230B1916" w14:textId="77777777" w:rsidR="00B44EDE" w:rsidRDefault="00B44EDE" w:rsidP="00B44EDE">
      <w:pPr>
        <w:spacing w:after="0" w:line="240" w:lineRule="auto"/>
        <w:jc w:val="both"/>
        <w:rPr>
          <w:rFonts w:ascii="Verdana" w:hAnsi="Verdana" w:cs="Arial"/>
          <w:sz w:val="20"/>
          <w:szCs w:val="20"/>
          <w:lang w:val="es-ES"/>
        </w:rPr>
      </w:pPr>
      <w:r w:rsidRPr="00B44EDE">
        <w:rPr>
          <w:rFonts w:ascii="Verdana" w:hAnsi="Verdana" w:cs="Arial"/>
          <w:sz w:val="20"/>
          <w:szCs w:val="20"/>
          <w:lang w:val="es-ES"/>
        </w:rPr>
        <w:t xml:space="preserve">Aunque no es posible que las ESAL sean equiparadas a las MiPymes en la normativa del sistema de compras públicas, es necesario aclarar que la Ley determinó un matiz para esta regla. </w:t>
      </w:r>
      <w:r w:rsidRPr="00B44EDE">
        <w:rPr>
          <w:rFonts w:ascii="Verdana" w:eastAsia="Calibri" w:hAnsi="Verdana" w:cs="Arial"/>
          <w:color w:val="000000" w:themeColor="text1"/>
          <w:sz w:val="20"/>
          <w:szCs w:val="20"/>
          <w:lang w:val="es-ES"/>
        </w:rPr>
        <w:t>El artículo 23 de la Ley 2069 de 2020 asimila las cooperativas y las demás entidades de economía solidaria -que incluye a las asociaciones mutualistas</w:t>
      </w:r>
      <w:r w:rsidRPr="00B44EDE">
        <w:rPr>
          <w:rFonts w:ascii="Verdana" w:eastAsia="Calibri" w:hAnsi="Verdana" w:cs="Arial"/>
          <w:i/>
          <w:iCs/>
          <w:color w:val="000000" w:themeColor="text1"/>
          <w:sz w:val="20"/>
          <w:szCs w:val="20"/>
          <w:lang w:val="es-ES"/>
        </w:rPr>
        <w:t>-</w:t>
      </w:r>
      <w:r w:rsidRPr="00B44EDE">
        <w:rPr>
          <w:rFonts w:ascii="Verdana" w:eastAsia="Calibri" w:hAnsi="Verdana" w:cs="Arial"/>
          <w:color w:val="000000" w:themeColor="text1"/>
          <w:sz w:val="20"/>
          <w:szCs w:val="20"/>
          <w:lang w:val="es-ES"/>
        </w:rPr>
        <w:t xml:space="preserve"> a </w:t>
      </w:r>
      <w:r w:rsidRPr="00B44EDE">
        <w:rPr>
          <w:rFonts w:ascii="Verdana" w:eastAsia="Calibri" w:hAnsi="Verdana" w:cs="Arial"/>
          <w:i/>
          <w:iCs/>
          <w:color w:val="000000" w:themeColor="text1"/>
          <w:sz w:val="20"/>
          <w:szCs w:val="20"/>
          <w:lang w:val="es-ES"/>
        </w:rPr>
        <w:t>empresas, específicamente a MiPymes</w:t>
      </w:r>
      <w:r w:rsidRPr="00B44EDE">
        <w:rPr>
          <w:rFonts w:ascii="Verdana" w:eastAsia="Calibri" w:hAnsi="Verdana" w:cs="Arial"/>
          <w:color w:val="000000" w:themeColor="text1"/>
          <w:sz w:val="20"/>
          <w:szCs w:val="20"/>
          <w:lang w:val="es-ES"/>
        </w:rPr>
        <w:t xml:space="preserve">, de conformidad con el artículo 2 de la Ley 590 de 2000 y el Decreto 957 de 2019, los cuales desarrollan las categorías de micro, pequeña y mediana en función del tamaño empresarial. El principal efecto de esta norma es que las medidas contempladas en la Ley 2069 de 2020 para promover la participación de la </w:t>
      </w:r>
      <w:proofErr w:type="spellStart"/>
      <w:r w:rsidRPr="00B44EDE">
        <w:rPr>
          <w:rFonts w:ascii="Verdana" w:eastAsia="Calibri" w:hAnsi="Verdana" w:cs="Arial"/>
          <w:color w:val="000000" w:themeColor="text1"/>
          <w:sz w:val="20"/>
          <w:szCs w:val="20"/>
          <w:lang w:val="es-ES"/>
        </w:rPr>
        <w:t>Mipymes</w:t>
      </w:r>
      <w:proofErr w:type="spellEnd"/>
      <w:r w:rsidRPr="00B44EDE">
        <w:rPr>
          <w:rFonts w:ascii="Verdana" w:eastAsia="Calibri" w:hAnsi="Verdana" w:cs="Arial"/>
          <w:color w:val="000000" w:themeColor="text1"/>
          <w:sz w:val="20"/>
          <w:szCs w:val="20"/>
          <w:lang w:val="es-ES"/>
        </w:rPr>
        <w:t xml:space="preserve"> sean aplicables a las cooperativas, las asociaciones mutualistas y a las demás entidades de economía solidaria.</w:t>
      </w:r>
    </w:p>
    <w:p w14:paraId="2DA33DDE" w14:textId="77777777" w:rsidR="00B44EDE" w:rsidRDefault="00B44EDE" w:rsidP="00B44EDE">
      <w:pPr>
        <w:spacing w:after="0" w:line="240" w:lineRule="auto"/>
        <w:jc w:val="both"/>
        <w:rPr>
          <w:rFonts w:ascii="Verdana" w:hAnsi="Verdana" w:cs="Arial"/>
          <w:sz w:val="20"/>
          <w:szCs w:val="20"/>
          <w:lang w:val="es-ES"/>
        </w:rPr>
      </w:pPr>
    </w:p>
    <w:p w14:paraId="0B0D7E05" w14:textId="77777777" w:rsidR="00B44EDE" w:rsidRDefault="00023F65" w:rsidP="00B44EDE">
      <w:pPr>
        <w:spacing w:after="0" w:line="240" w:lineRule="auto"/>
        <w:jc w:val="both"/>
        <w:rPr>
          <w:rFonts w:ascii="Verdana" w:hAnsi="Verdana" w:cs="Arial"/>
          <w:sz w:val="20"/>
          <w:szCs w:val="20"/>
          <w:lang w:val="es-ES"/>
        </w:rPr>
      </w:pPr>
      <w:r w:rsidRPr="00023F65">
        <w:rPr>
          <w:rFonts w:ascii="Verdana" w:eastAsia="Calibri" w:hAnsi="Verdana" w:cs="Arial"/>
          <w:b/>
          <w:bCs/>
          <w:lang w:eastAsia="es-ES"/>
        </w:rPr>
        <w:t xml:space="preserve">CONVOCATORIAS LIMITADAS A MIPYMES - MiPymes – Entidades sin ánimo de lucro </w:t>
      </w:r>
    </w:p>
    <w:p w14:paraId="14151F23" w14:textId="77777777" w:rsidR="00B44EDE" w:rsidRDefault="00B44EDE" w:rsidP="00B44EDE">
      <w:pPr>
        <w:spacing w:after="0" w:line="240" w:lineRule="auto"/>
        <w:jc w:val="both"/>
        <w:rPr>
          <w:rFonts w:ascii="Verdana" w:hAnsi="Verdana" w:cs="Arial"/>
          <w:sz w:val="20"/>
          <w:szCs w:val="20"/>
          <w:lang w:val="es-ES"/>
        </w:rPr>
      </w:pPr>
    </w:p>
    <w:p w14:paraId="6A968E63" w14:textId="1FA83C11" w:rsidR="00B44EDE" w:rsidRPr="00B44EDE" w:rsidRDefault="00B44EDE" w:rsidP="00B44EDE">
      <w:pPr>
        <w:spacing w:after="0" w:line="240" w:lineRule="auto"/>
        <w:jc w:val="both"/>
        <w:rPr>
          <w:rFonts w:ascii="Verdana" w:hAnsi="Verdana" w:cs="Arial"/>
          <w:sz w:val="20"/>
          <w:szCs w:val="20"/>
          <w:lang w:val="es-ES"/>
        </w:rPr>
      </w:pPr>
      <w:r w:rsidRPr="00B44EDE">
        <w:rPr>
          <w:rFonts w:ascii="Verdana" w:eastAsia="Calibri" w:hAnsi="Verdana" w:cs="Arial"/>
          <w:color w:val="000000" w:themeColor="text1"/>
          <w:sz w:val="20"/>
          <w:szCs w:val="20"/>
          <w:lang w:val="es-ES"/>
        </w:rPr>
        <w:t xml:space="preserve">De manera concordante con lo anterior, el parágrafo del artículo 2.2.1.2.4.2.2, modificado por el artículo 5º del Decreto 1860 de 2021, se refirió a dicha asimilación en el caso específico de la limitación de convocatorias a </w:t>
      </w:r>
      <w:proofErr w:type="spellStart"/>
      <w:r w:rsidRPr="00B44EDE">
        <w:rPr>
          <w:rFonts w:ascii="Verdana" w:eastAsia="Calibri" w:hAnsi="Verdana" w:cs="Arial"/>
          <w:color w:val="000000" w:themeColor="text1"/>
          <w:sz w:val="20"/>
          <w:szCs w:val="20"/>
          <w:lang w:val="es-ES"/>
        </w:rPr>
        <w:t>Mipymes</w:t>
      </w:r>
      <w:proofErr w:type="spellEnd"/>
      <w:r w:rsidRPr="00B44EDE">
        <w:rPr>
          <w:rFonts w:ascii="Verdana" w:eastAsia="Calibri" w:hAnsi="Verdana" w:cs="Arial"/>
          <w:color w:val="000000" w:themeColor="text1"/>
          <w:sz w:val="20"/>
          <w:szCs w:val="20"/>
          <w:lang w:val="es-ES"/>
        </w:rPr>
        <w:t>. Esta norma determina que “</w:t>
      </w:r>
      <w:r w:rsidRPr="00B44EDE">
        <w:rPr>
          <w:rFonts w:ascii="Verdana" w:eastAsia="Calibri" w:hAnsi="Verdana" w:cs="Arial"/>
          <w:color w:val="000000" w:themeColor="text1"/>
          <w:sz w:val="20"/>
          <w:szCs w:val="20"/>
        </w:rPr>
        <w:t xml:space="preserve">Las cooperativas y demás entidades de economía solidaria, siempre que tengan la calidad de </w:t>
      </w:r>
      <w:proofErr w:type="spellStart"/>
      <w:r w:rsidRPr="00B44EDE">
        <w:rPr>
          <w:rFonts w:ascii="Verdana" w:eastAsia="Calibri" w:hAnsi="Verdana" w:cs="Arial"/>
          <w:color w:val="000000" w:themeColor="text1"/>
          <w:sz w:val="20"/>
          <w:szCs w:val="20"/>
        </w:rPr>
        <w:t>Mipyme</w:t>
      </w:r>
      <w:proofErr w:type="spellEnd"/>
      <w:r w:rsidRPr="00B44EDE">
        <w:rPr>
          <w:rFonts w:ascii="Verdana" w:eastAsia="Calibri" w:hAnsi="Verdana" w:cs="Arial"/>
          <w:color w:val="000000" w:themeColor="text1"/>
          <w:sz w:val="20"/>
          <w:szCs w:val="20"/>
        </w:rPr>
        <w:t xml:space="preserve">,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w:t>
      </w:r>
      <w:proofErr w:type="spellStart"/>
      <w:r w:rsidRPr="00B44EDE">
        <w:rPr>
          <w:rFonts w:ascii="Verdana" w:eastAsia="Calibri" w:hAnsi="Verdana" w:cs="Arial"/>
          <w:color w:val="000000" w:themeColor="text1"/>
          <w:sz w:val="20"/>
          <w:szCs w:val="20"/>
        </w:rPr>
        <w:t>Mipyme</w:t>
      </w:r>
      <w:proofErr w:type="spellEnd"/>
      <w:r w:rsidRPr="00B44EDE">
        <w:rPr>
          <w:rFonts w:ascii="Verdana" w:eastAsia="Calibri" w:hAnsi="Verdana" w:cs="Arial"/>
          <w:color w:val="000000" w:themeColor="text1"/>
          <w:sz w:val="20"/>
          <w:szCs w:val="20"/>
        </w:rPr>
        <w:t>.</w:t>
      </w:r>
    </w:p>
    <w:p w14:paraId="51E4757C" w14:textId="77777777" w:rsidR="00B44EDE" w:rsidRDefault="00023F65" w:rsidP="00B44EDE">
      <w:pPr>
        <w:jc w:val="both"/>
        <w:rPr>
          <w:rFonts w:ascii="Verdana" w:eastAsia="Calibri" w:hAnsi="Verdana" w:cs="Arial"/>
          <w:b/>
          <w:bCs/>
          <w:lang w:eastAsia="es-ES"/>
        </w:rPr>
      </w:pPr>
      <w:r w:rsidRPr="00023F65">
        <w:rPr>
          <w:rFonts w:ascii="Verdana" w:eastAsia="Calibri" w:hAnsi="Verdana" w:cs="Arial"/>
          <w:b/>
          <w:bCs/>
          <w:lang w:eastAsia="es-ES"/>
        </w:rPr>
        <w:t xml:space="preserve">ESAL – MiPymes – Criterios diferenciales </w:t>
      </w:r>
    </w:p>
    <w:p w14:paraId="51782CA2" w14:textId="77777777" w:rsidR="00B44EDE" w:rsidRDefault="00B44EDE" w:rsidP="00B44EDE">
      <w:pPr>
        <w:jc w:val="both"/>
        <w:rPr>
          <w:rFonts w:ascii="Verdana" w:eastAsia="Calibri" w:hAnsi="Verdana" w:cs="Arial"/>
          <w:b/>
          <w:bCs/>
          <w:sz w:val="20"/>
          <w:szCs w:val="20"/>
          <w:lang w:eastAsia="es-ES"/>
        </w:rPr>
      </w:pPr>
      <w:r w:rsidRPr="00B44EDE">
        <w:rPr>
          <w:rFonts w:ascii="Verdana" w:hAnsi="Verdana" w:cs="Arial"/>
          <w:color w:val="000000" w:themeColor="text1"/>
          <w:sz w:val="20"/>
          <w:szCs w:val="20"/>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B44EDE">
        <w:rPr>
          <w:rFonts w:ascii="Verdana" w:eastAsia="Calibri" w:hAnsi="Verdana" w:cs="Arial"/>
          <w:color w:val="000000" w:themeColor="text1"/>
          <w:sz w:val="20"/>
          <w:szCs w:val="20"/>
          <w:lang w:val="es-ES"/>
        </w:rPr>
        <w:t xml:space="preserve">cooperativas y demás entes considerados de economía solidaria, </w:t>
      </w:r>
      <w:r w:rsidRPr="00B44EDE">
        <w:rPr>
          <w:rFonts w:ascii="Verdana" w:eastAsia="Geomanist Light" w:hAnsi="Verdana" w:cs="Arial"/>
          <w:sz w:val="20"/>
          <w:szCs w:val="20"/>
          <w:lang w:val="es-ES"/>
        </w:rPr>
        <w:t>en los términos del artículo 6 de la Ley 454 de 1998 –norma a la que remite el artículo 23 de la Ley de Emprendimiento–.</w:t>
      </w:r>
      <w:r w:rsidRPr="00B44EDE">
        <w:rPr>
          <w:rFonts w:ascii="Verdana" w:eastAsia="Calibri" w:hAnsi="Verdana" w:cs="Arial"/>
          <w:color w:val="000000" w:themeColor="text1"/>
          <w:sz w:val="20"/>
          <w:szCs w:val="20"/>
          <w:lang w:val="es-ES"/>
        </w:rPr>
        <w:t xml:space="preserve"> </w:t>
      </w:r>
      <w:r w:rsidRPr="00B44EDE">
        <w:rPr>
          <w:rFonts w:ascii="Verdana" w:eastAsia="Geomanist Light" w:hAnsi="Verdana" w:cs="Arial"/>
          <w:sz w:val="20"/>
          <w:szCs w:val="20"/>
          <w:lang w:val="es-ES"/>
        </w:rPr>
        <w:t xml:space="preserve">En tal sentido, debe analizarse si la ESAL cumple con las características establecidas en dicho artículo, para considerarla una organización de economía solidaria. </w:t>
      </w:r>
      <w:r w:rsidRPr="00B44EDE">
        <w:rPr>
          <w:rFonts w:ascii="Verdana" w:eastAsia="Calibri" w:hAnsi="Verdana" w:cs="Arial"/>
          <w:color w:val="000000" w:themeColor="text1"/>
          <w:sz w:val="20"/>
          <w:szCs w:val="20"/>
          <w:lang w:val="es-ES"/>
        </w:rPr>
        <w:t>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del artículo 2.2.1.2.4.2.2 del Decreto 1082 de 2015.</w:t>
      </w:r>
    </w:p>
    <w:p w14:paraId="3883CA28" w14:textId="27610E8E" w:rsidR="00B44EDE" w:rsidRPr="00B44EDE" w:rsidRDefault="00B44EDE" w:rsidP="00B44EDE">
      <w:pPr>
        <w:spacing w:after="0" w:line="240" w:lineRule="auto"/>
        <w:jc w:val="both"/>
        <w:rPr>
          <w:rFonts w:ascii="Verdana" w:eastAsia="Calibri" w:hAnsi="Verdana" w:cs="Arial"/>
          <w:b/>
          <w:bCs/>
          <w:sz w:val="20"/>
          <w:szCs w:val="20"/>
          <w:lang w:eastAsia="es-ES"/>
        </w:rPr>
      </w:pPr>
      <w:r w:rsidRPr="00B44EDE">
        <w:rPr>
          <w:rFonts w:ascii="Verdana" w:eastAsia="Calibri" w:hAnsi="Verdana" w:cs="Arial"/>
          <w:color w:val="000000" w:themeColor="text1"/>
          <w:sz w:val="20"/>
          <w:szCs w:val="20"/>
        </w:rPr>
        <w:t xml:space="preserve">En este contexto, es importante destacar que la ley 2069 de 2020 no extiende esta asimilación a </w:t>
      </w:r>
      <w:proofErr w:type="spellStart"/>
      <w:r w:rsidRPr="00B44EDE">
        <w:rPr>
          <w:rFonts w:ascii="Verdana" w:eastAsia="Calibri" w:hAnsi="Verdana" w:cs="Arial"/>
          <w:color w:val="000000" w:themeColor="text1"/>
          <w:sz w:val="20"/>
          <w:szCs w:val="20"/>
        </w:rPr>
        <w:t>Mipymes</w:t>
      </w:r>
      <w:proofErr w:type="spellEnd"/>
      <w:r w:rsidRPr="00B44EDE">
        <w:rPr>
          <w:rFonts w:ascii="Verdana" w:eastAsia="Calibri" w:hAnsi="Verdana" w:cs="Arial"/>
          <w:color w:val="000000" w:themeColor="text1"/>
          <w:sz w:val="20"/>
          <w:szCs w:val="20"/>
        </w:rPr>
        <w:t xml:space="preserve"> a otras formas de ESAL, como fundaciones o asociaciones, sino únicamente a las </w:t>
      </w:r>
      <w:r w:rsidRPr="00B44EDE">
        <w:rPr>
          <w:rFonts w:ascii="Verdana" w:eastAsia="Calibri" w:hAnsi="Verdana" w:cs="Arial"/>
          <w:color w:val="000000" w:themeColor="text1"/>
          <w:sz w:val="20"/>
          <w:szCs w:val="20"/>
          <w:lang w:val="es-ES"/>
        </w:rPr>
        <w:t>cooperativas y demás entes considerados de economía solidaria</w:t>
      </w:r>
      <w:r w:rsidRPr="00B44EDE">
        <w:rPr>
          <w:rFonts w:ascii="Verdana" w:eastAsia="Calibri" w:hAnsi="Verdana" w:cs="Arial"/>
          <w:color w:val="000000" w:themeColor="text1"/>
          <w:sz w:val="20"/>
          <w:szCs w:val="20"/>
        </w:rPr>
        <w:t>. De esta forma, se podría concluir que la ausencia de mención explícita a otras ESAL en el marco de este beneficio indica que el legislador deliberadamente excluyó a estas entidades del tratamiento especial otorgado a las cooperativas.</w:t>
      </w:r>
      <w:r w:rsidRPr="00B44EDE">
        <w:rPr>
          <w:sz w:val="20"/>
          <w:szCs w:val="20"/>
        </w:rPr>
        <w:t xml:space="preserve"> </w:t>
      </w:r>
      <w:r w:rsidRPr="00B44EDE">
        <w:rPr>
          <w:rFonts w:ascii="Verdana" w:eastAsia="Calibri" w:hAnsi="Verdana" w:cs="Arial"/>
          <w:color w:val="000000" w:themeColor="text1"/>
          <w:sz w:val="20"/>
          <w:szCs w:val="20"/>
        </w:rPr>
        <w:t xml:space="preserve">En consecuencia, la norma evidencia una voluntad normativa clara de diferenciación, sustentada en las características y objetivos propios de cada tipo de entidad, y no puede ser entendido como un vacío o un ámbito abierto a la interpretación amplia que equipare a las demás ESAL automáticamente con las </w:t>
      </w:r>
      <w:proofErr w:type="spellStart"/>
      <w:r w:rsidRPr="00B44EDE">
        <w:rPr>
          <w:rFonts w:ascii="Verdana" w:eastAsia="Calibri" w:hAnsi="Verdana" w:cs="Arial"/>
          <w:color w:val="000000" w:themeColor="text1"/>
          <w:sz w:val="20"/>
          <w:szCs w:val="20"/>
        </w:rPr>
        <w:t>Mipymes</w:t>
      </w:r>
      <w:proofErr w:type="spellEnd"/>
      <w:r w:rsidRPr="00B44EDE">
        <w:rPr>
          <w:rFonts w:ascii="Verdana" w:eastAsia="Calibri" w:hAnsi="Verdana" w:cs="Arial"/>
          <w:color w:val="000000" w:themeColor="text1"/>
          <w:sz w:val="20"/>
          <w:szCs w:val="20"/>
        </w:rPr>
        <w:t xml:space="preserve">. </w:t>
      </w:r>
    </w:p>
    <w:p w14:paraId="2414B7BD" w14:textId="77777777" w:rsidR="00B44EDE" w:rsidRPr="00023F65" w:rsidRDefault="00B44EDE" w:rsidP="00023F65">
      <w:pPr>
        <w:spacing w:after="0" w:line="240" w:lineRule="auto"/>
        <w:jc w:val="both"/>
        <w:rPr>
          <w:rFonts w:ascii="Verdana" w:eastAsia="Calibri" w:hAnsi="Verdana" w:cs="Arial"/>
          <w:b/>
          <w:bCs/>
          <w:lang w:eastAsia="es-ES"/>
        </w:rPr>
      </w:pPr>
    </w:p>
    <w:p w14:paraId="6C771510" w14:textId="77777777" w:rsidR="00023F65" w:rsidRDefault="00023F65" w:rsidP="00845A9A">
      <w:pPr>
        <w:spacing w:after="0" w:line="240" w:lineRule="auto"/>
        <w:jc w:val="both"/>
        <w:rPr>
          <w:rFonts w:ascii="Verdana" w:eastAsia="Calibri" w:hAnsi="Verdana" w:cs="Arial"/>
          <w:lang w:eastAsia="es-ES"/>
        </w:rPr>
      </w:pPr>
    </w:p>
    <w:p w14:paraId="01DAFA34" w14:textId="77777777" w:rsidR="00B44EDE" w:rsidRDefault="00B44EDE" w:rsidP="00845A9A">
      <w:pPr>
        <w:spacing w:after="0" w:line="240" w:lineRule="auto"/>
        <w:jc w:val="both"/>
        <w:rPr>
          <w:rFonts w:ascii="Verdana" w:eastAsia="Calibri" w:hAnsi="Verdana" w:cs="Arial"/>
          <w:lang w:eastAsia="es-ES"/>
        </w:rPr>
      </w:pPr>
    </w:p>
    <w:p w14:paraId="236D448E" w14:textId="77777777" w:rsidR="00B44EDE" w:rsidRDefault="00B44EDE" w:rsidP="00845A9A">
      <w:pPr>
        <w:spacing w:after="0" w:line="240" w:lineRule="auto"/>
        <w:jc w:val="both"/>
        <w:rPr>
          <w:rFonts w:ascii="Verdana" w:eastAsia="Calibri" w:hAnsi="Verdana" w:cs="Arial"/>
          <w:lang w:eastAsia="es-ES"/>
        </w:rPr>
      </w:pPr>
    </w:p>
    <w:p w14:paraId="3D0063F2" w14:textId="77777777" w:rsidR="00B44EDE" w:rsidRDefault="00B44EDE" w:rsidP="00845A9A">
      <w:pPr>
        <w:spacing w:after="0" w:line="240" w:lineRule="auto"/>
        <w:jc w:val="both"/>
        <w:rPr>
          <w:rFonts w:ascii="Verdana" w:eastAsia="Calibri" w:hAnsi="Verdana" w:cs="Arial"/>
          <w:lang w:eastAsia="es-ES"/>
        </w:rPr>
      </w:pPr>
    </w:p>
    <w:p w14:paraId="51918356" w14:textId="77777777" w:rsidR="00B44EDE" w:rsidRDefault="00B44EDE" w:rsidP="00845A9A">
      <w:pPr>
        <w:spacing w:after="0" w:line="240" w:lineRule="auto"/>
        <w:jc w:val="both"/>
        <w:rPr>
          <w:rFonts w:ascii="Verdana" w:eastAsia="Calibri" w:hAnsi="Verdana" w:cs="Arial"/>
          <w:lang w:eastAsia="es-ES"/>
        </w:rPr>
      </w:pPr>
    </w:p>
    <w:p w14:paraId="7D06A8EF" w14:textId="77777777" w:rsidR="00B44EDE" w:rsidRDefault="00B44EDE" w:rsidP="00845A9A">
      <w:pPr>
        <w:spacing w:after="0" w:line="240" w:lineRule="auto"/>
        <w:jc w:val="both"/>
        <w:rPr>
          <w:rFonts w:ascii="Verdana" w:eastAsia="Calibri" w:hAnsi="Verdana" w:cs="Arial"/>
          <w:lang w:eastAsia="es-ES"/>
        </w:rPr>
      </w:pPr>
    </w:p>
    <w:p w14:paraId="258AC4E1" w14:textId="77777777" w:rsidR="00B44EDE" w:rsidRDefault="00B44EDE" w:rsidP="00845A9A">
      <w:pPr>
        <w:spacing w:after="0" w:line="240" w:lineRule="auto"/>
        <w:jc w:val="both"/>
        <w:rPr>
          <w:rFonts w:ascii="Verdana" w:eastAsia="Calibri" w:hAnsi="Verdana" w:cs="Arial"/>
          <w:lang w:eastAsia="es-ES"/>
        </w:rPr>
      </w:pPr>
    </w:p>
    <w:p w14:paraId="0BF6BF0E" w14:textId="77777777" w:rsidR="00B44EDE" w:rsidRDefault="00B44EDE" w:rsidP="00845A9A">
      <w:pPr>
        <w:spacing w:after="0" w:line="240" w:lineRule="auto"/>
        <w:jc w:val="both"/>
        <w:rPr>
          <w:rFonts w:ascii="Verdana" w:eastAsia="Calibri" w:hAnsi="Verdana" w:cs="Arial"/>
          <w:lang w:eastAsia="es-ES"/>
        </w:rPr>
      </w:pPr>
    </w:p>
    <w:p w14:paraId="33445094" w14:textId="77777777" w:rsidR="00B44EDE" w:rsidRDefault="00B44EDE" w:rsidP="00845A9A">
      <w:pPr>
        <w:spacing w:after="0" w:line="240" w:lineRule="auto"/>
        <w:jc w:val="both"/>
        <w:rPr>
          <w:rFonts w:ascii="Verdana" w:eastAsia="Calibri" w:hAnsi="Verdana" w:cs="Arial"/>
          <w:lang w:eastAsia="es-ES"/>
        </w:rPr>
      </w:pPr>
    </w:p>
    <w:p w14:paraId="09A30699" w14:textId="77777777" w:rsidR="00B44EDE" w:rsidRDefault="00B44EDE" w:rsidP="00845A9A">
      <w:pPr>
        <w:spacing w:after="0" w:line="240" w:lineRule="auto"/>
        <w:jc w:val="both"/>
        <w:rPr>
          <w:rFonts w:ascii="Verdana" w:eastAsia="Calibri" w:hAnsi="Verdana" w:cs="Arial"/>
          <w:lang w:eastAsia="es-ES"/>
        </w:rPr>
      </w:pPr>
    </w:p>
    <w:p w14:paraId="2568BA3D" w14:textId="77777777" w:rsidR="00B44EDE" w:rsidRDefault="00B44EDE" w:rsidP="00845A9A">
      <w:pPr>
        <w:spacing w:after="0" w:line="240" w:lineRule="auto"/>
        <w:jc w:val="both"/>
        <w:rPr>
          <w:rFonts w:ascii="Verdana" w:eastAsia="Calibri" w:hAnsi="Verdana" w:cs="Arial"/>
          <w:lang w:eastAsia="es-ES"/>
        </w:rPr>
      </w:pPr>
    </w:p>
    <w:p w14:paraId="28986C39" w14:textId="77777777" w:rsidR="00B44EDE" w:rsidRDefault="00B44EDE" w:rsidP="00845A9A">
      <w:pPr>
        <w:spacing w:after="0" w:line="240" w:lineRule="auto"/>
        <w:jc w:val="both"/>
        <w:rPr>
          <w:rFonts w:ascii="Verdana" w:eastAsia="Calibri" w:hAnsi="Verdana" w:cs="Arial"/>
          <w:lang w:eastAsia="es-ES"/>
        </w:rPr>
      </w:pPr>
    </w:p>
    <w:p w14:paraId="164DF8E5" w14:textId="77777777" w:rsidR="00B44EDE" w:rsidRDefault="00B44EDE" w:rsidP="00845A9A">
      <w:pPr>
        <w:spacing w:after="0" w:line="240" w:lineRule="auto"/>
        <w:jc w:val="both"/>
        <w:rPr>
          <w:rFonts w:ascii="Verdana" w:eastAsia="Calibri" w:hAnsi="Verdana" w:cs="Arial"/>
          <w:lang w:eastAsia="es-ES"/>
        </w:rPr>
      </w:pPr>
    </w:p>
    <w:p w14:paraId="103128A9" w14:textId="77777777" w:rsidR="00B44EDE" w:rsidRDefault="00B44EDE" w:rsidP="00845A9A">
      <w:pPr>
        <w:spacing w:after="0" w:line="240" w:lineRule="auto"/>
        <w:jc w:val="both"/>
        <w:rPr>
          <w:rFonts w:ascii="Verdana" w:eastAsia="Calibri" w:hAnsi="Verdana" w:cs="Arial"/>
          <w:lang w:eastAsia="es-ES"/>
        </w:rPr>
      </w:pPr>
    </w:p>
    <w:p w14:paraId="761411E8" w14:textId="77777777" w:rsidR="00B44EDE" w:rsidRDefault="00B44EDE" w:rsidP="00845A9A">
      <w:pPr>
        <w:spacing w:after="0" w:line="240" w:lineRule="auto"/>
        <w:jc w:val="both"/>
        <w:rPr>
          <w:rFonts w:ascii="Verdana" w:eastAsia="Calibri" w:hAnsi="Verdana" w:cs="Arial"/>
          <w:lang w:eastAsia="es-ES"/>
        </w:rPr>
      </w:pPr>
    </w:p>
    <w:p w14:paraId="441A1F3F" w14:textId="77777777" w:rsidR="00B44EDE" w:rsidRDefault="00B44EDE" w:rsidP="00845A9A">
      <w:pPr>
        <w:spacing w:after="0" w:line="240" w:lineRule="auto"/>
        <w:jc w:val="both"/>
        <w:rPr>
          <w:rFonts w:ascii="Verdana" w:eastAsia="Calibri" w:hAnsi="Verdana" w:cs="Arial"/>
          <w:lang w:eastAsia="es-ES"/>
        </w:rPr>
      </w:pPr>
    </w:p>
    <w:p w14:paraId="2529D8A8" w14:textId="77777777" w:rsidR="00B44EDE" w:rsidRDefault="00B44EDE" w:rsidP="00845A9A">
      <w:pPr>
        <w:spacing w:after="0" w:line="240" w:lineRule="auto"/>
        <w:jc w:val="both"/>
        <w:rPr>
          <w:rFonts w:ascii="Verdana" w:eastAsia="Calibri" w:hAnsi="Verdana" w:cs="Arial"/>
          <w:lang w:eastAsia="es-ES"/>
        </w:rPr>
      </w:pPr>
    </w:p>
    <w:p w14:paraId="53A2EBCF" w14:textId="77777777" w:rsidR="00B44EDE" w:rsidRDefault="00B44EDE" w:rsidP="00845A9A">
      <w:pPr>
        <w:spacing w:after="0" w:line="240" w:lineRule="auto"/>
        <w:jc w:val="both"/>
        <w:rPr>
          <w:rFonts w:ascii="Verdana" w:eastAsia="Calibri" w:hAnsi="Verdana" w:cs="Arial"/>
          <w:lang w:eastAsia="es-ES"/>
        </w:rPr>
      </w:pPr>
    </w:p>
    <w:p w14:paraId="455C4D7A" w14:textId="77777777" w:rsidR="00B44EDE" w:rsidRDefault="00B44EDE" w:rsidP="00845A9A">
      <w:pPr>
        <w:spacing w:after="0" w:line="240" w:lineRule="auto"/>
        <w:jc w:val="both"/>
        <w:rPr>
          <w:rFonts w:ascii="Verdana" w:eastAsia="Calibri" w:hAnsi="Verdana" w:cs="Arial"/>
          <w:lang w:eastAsia="es-ES"/>
        </w:rPr>
      </w:pPr>
    </w:p>
    <w:p w14:paraId="4E031862" w14:textId="0115146C" w:rsidR="0009114F" w:rsidRDefault="0009114F" w:rsidP="00845A9A">
      <w:pPr>
        <w:spacing w:after="0" w:line="240" w:lineRule="auto"/>
        <w:jc w:val="both"/>
        <w:rPr>
          <w:rFonts w:ascii="Verdana" w:eastAsia="Calibri" w:hAnsi="Verdana" w:cs="Arial"/>
          <w:lang w:eastAsia="es-ES"/>
        </w:rPr>
      </w:pPr>
      <w:r>
        <w:rPr>
          <w:rFonts w:ascii="Verdana" w:eastAsia="Calibri" w:hAnsi="Verdana" w:cs="Arial"/>
          <w:lang w:eastAsia="es-ES"/>
        </w:rPr>
        <w:t xml:space="preserve">Bogotá D.C., 18 de diciembre de 2025. </w:t>
      </w:r>
    </w:p>
    <w:p w14:paraId="7E40BF33" w14:textId="5883E108" w:rsidR="0009114F" w:rsidRDefault="0009114F" w:rsidP="00845A9A">
      <w:pPr>
        <w:spacing w:after="0" w:line="240" w:lineRule="auto"/>
        <w:jc w:val="both"/>
        <w:rPr>
          <w:rFonts w:ascii="Verdana" w:eastAsia="Calibri" w:hAnsi="Verdana" w:cs="Arial"/>
          <w:lang w:eastAsia="es-ES"/>
        </w:rPr>
      </w:pPr>
    </w:p>
    <w:p w14:paraId="565CD6B5" w14:textId="06F0A787" w:rsidR="0009114F" w:rsidRDefault="00355370" w:rsidP="00355370">
      <w:pPr>
        <w:spacing w:after="0" w:line="240" w:lineRule="auto"/>
        <w:jc w:val="right"/>
        <w:rPr>
          <w:rFonts w:ascii="Verdana" w:eastAsia="Calibri" w:hAnsi="Verdana" w:cs="Arial"/>
          <w:lang w:eastAsia="es-ES"/>
        </w:rPr>
      </w:pPr>
      <w:r w:rsidRPr="00355370">
        <w:rPr>
          <w:rFonts w:ascii="Verdana" w:eastAsia="Calibri" w:hAnsi="Verdana" w:cs="Arial"/>
          <w:noProof/>
          <w:lang w:eastAsia="es-ES"/>
        </w:rPr>
        <w:drawing>
          <wp:inline distT="0" distB="0" distL="0" distR="0" wp14:anchorId="59578DB7" wp14:editId="74BDA30E">
            <wp:extent cx="2655182" cy="779310"/>
            <wp:effectExtent l="0" t="0" r="0" b="1905"/>
            <wp:docPr id="14161211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121174" name=""/>
                    <pic:cNvPicPr/>
                  </pic:nvPicPr>
                  <pic:blipFill>
                    <a:blip r:embed="rId10"/>
                    <a:stretch>
                      <a:fillRect/>
                    </a:stretch>
                  </pic:blipFill>
                  <pic:spPr>
                    <a:xfrm>
                      <a:off x="0" y="0"/>
                      <a:ext cx="2666847" cy="782734"/>
                    </a:xfrm>
                    <a:prstGeom prst="rect">
                      <a:avLst/>
                    </a:prstGeom>
                  </pic:spPr>
                </pic:pic>
              </a:graphicData>
            </a:graphic>
          </wp:inline>
        </w:drawing>
      </w:r>
    </w:p>
    <w:p w14:paraId="2BAB82F4" w14:textId="67CB531F" w:rsidR="00845A9A" w:rsidRDefault="00845A9A" w:rsidP="00845A9A">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6DCB92F2" w14:textId="77777777" w:rsidR="00845A9A" w:rsidRDefault="00845A9A" w:rsidP="00845A9A">
      <w:pPr>
        <w:spacing w:after="0" w:line="240" w:lineRule="auto"/>
        <w:jc w:val="both"/>
        <w:rPr>
          <w:rFonts w:ascii="Verdana" w:eastAsia="Calibri" w:hAnsi="Verdana" w:cs="Arial"/>
          <w:b/>
          <w:bCs/>
          <w:lang w:eastAsia="es-ES"/>
        </w:rPr>
      </w:pPr>
      <w:r w:rsidRPr="00174F3B">
        <w:rPr>
          <w:rFonts w:ascii="Verdana" w:eastAsia="Calibri" w:hAnsi="Verdana" w:cs="Arial"/>
          <w:b/>
          <w:bCs/>
          <w:lang w:eastAsia="es-ES"/>
        </w:rPr>
        <w:t>José</w:t>
      </w:r>
      <w:r>
        <w:rPr>
          <w:rFonts w:ascii="Verdana" w:eastAsia="Calibri" w:hAnsi="Verdana" w:cs="Arial"/>
          <w:b/>
          <w:bCs/>
          <w:lang w:eastAsia="es-ES"/>
        </w:rPr>
        <w:t xml:space="preserve"> </w:t>
      </w:r>
      <w:bookmarkStart w:id="2" w:name="_Hlk215491099"/>
      <w:proofErr w:type="spellStart"/>
      <w:r w:rsidRPr="00174F3B">
        <w:rPr>
          <w:rFonts w:ascii="Verdana" w:eastAsia="Calibri" w:hAnsi="Verdana" w:cs="Arial"/>
          <w:b/>
          <w:bCs/>
          <w:lang w:eastAsia="es-ES"/>
        </w:rPr>
        <w:t>Numpaque</w:t>
      </w:r>
      <w:bookmarkEnd w:id="2"/>
      <w:proofErr w:type="spellEnd"/>
      <w:r w:rsidRPr="00174F3B">
        <w:rPr>
          <w:rFonts w:ascii="Verdana" w:eastAsia="Calibri" w:hAnsi="Verdana" w:cs="Arial"/>
          <w:b/>
          <w:bCs/>
          <w:lang w:eastAsia="es-ES"/>
        </w:rPr>
        <w:t xml:space="preserve"> Ballesteros</w:t>
      </w:r>
    </w:p>
    <w:p w14:paraId="35D1329E" w14:textId="77777777" w:rsidR="00845A9A" w:rsidRPr="00174F3B" w:rsidRDefault="00845A9A" w:rsidP="00845A9A">
      <w:pPr>
        <w:spacing w:after="0" w:line="240" w:lineRule="auto"/>
        <w:jc w:val="both"/>
        <w:rPr>
          <w:rFonts w:ascii="Verdana" w:hAnsi="Verdana"/>
          <w:b/>
          <w:bCs/>
        </w:rPr>
      </w:pPr>
      <w:hyperlink r:id="rId11" w:history="1">
        <w:r w:rsidRPr="00174F3B">
          <w:rPr>
            <w:rStyle w:val="Hipervnculo"/>
            <w:rFonts w:ascii="Verdana" w:hAnsi="Verdana"/>
            <w:b/>
            <w:bCs/>
          </w:rPr>
          <w:t>jnumbal@gmail.com</w:t>
        </w:r>
      </w:hyperlink>
    </w:p>
    <w:p w14:paraId="358FB609" w14:textId="77777777" w:rsidR="00845A9A" w:rsidRPr="00791871" w:rsidRDefault="00845A9A" w:rsidP="00845A9A">
      <w:pPr>
        <w:spacing w:after="0" w:line="240" w:lineRule="auto"/>
        <w:jc w:val="both"/>
        <w:rPr>
          <w:rFonts w:ascii="Verdana" w:hAnsi="Verdana"/>
        </w:rPr>
      </w:pPr>
      <w:r>
        <w:rPr>
          <w:rFonts w:ascii="Verdana" w:hAnsi="Verdana"/>
        </w:rPr>
        <w:t>Ciudad</w:t>
      </w:r>
    </w:p>
    <w:p w14:paraId="65473A8E" w14:textId="77777777" w:rsidR="00845A9A" w:rsidRPr="00791871" w:rsidRDefault="00845A9A" w:rsidP="00845A9A">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45A9A" w:rsidRPr="005644FE" w14:paraId="0792907E" w14:textId="77777777" w:rsidTr="6C89106A">
        <w:trPr>
          <w:trHeight w:val="162"/>
        </w:trPr>
        <w:tc>
          <w:tcPr>
            <w:tcW w:w="3119" w:type="dxa"/>
          </w:tcPr>
          <w:p w14:paraId="789E37C5" w14:textId="77777777" w:rsidR="00845A9A" w:rsidRPr="00791871" w:rsidRDefault="00845A9A" w:rsidP="00DB0B82">
            <w:pPr>
              <w:jc w:val="both"/>
              <w:rPr>
                <w:rFonts w:ascii="Verdana" w:eastAsia="Calibri" w:hAnsi="Verdana" w:cs="Arial"/>
                <w:b/>
                <w:bCs/>
                <w:color w:val="7030A0"/>
                <w:lang w:eastAsia="es-ES_tradnl"/>
              </w:rPr>
            </w:pPr>
          </w:p>
        </w:tc>
        <w:tc>
          <w:tcPr>
            <w:tcW w:w="5670" w:type="dxa"/>
          </w:tcPr>
          <w:p w14:paraId="68CE66C4" w14:textId="77777777" w:rsidR="00845A9A" w:rsidRPr="005644FE" w:rsidRDefault="00845A9A" w:rsidP="00DB0B82">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-1650 de 2025</w:t>
            </w:r>
          </w:p>
          <w:p w14:paraId="5149641D" w14:textId="77777777" w:rsidR="00845A9A" w:rsidRPr="005644FE" w:rsidRDefault="00845A9A" w:rsidP="00DB0B82">
            <w:pPr>
              <w:jc w:val="both"/>
              <w:rPr>
                <w:rFonts w:ascii="Verdana" w:eastAsia="Calibri" w:hAnsi="Verdana" w:cs="Arial"/>
                <w:b/>
                <w:bCs/>
                <w:color w:val="7030A0"/>
                <w:lang w:eastAsia="es-ES"/>
              </w:rPr>
            </w:pPr>
          </w:p>
        </w:tc>
      </w:tr>
      <w:tr w:rsidR="00845A9A" w:rsidRPr="005644FE" w14:paraId="736326D9" w14:textId="77777777" w:rsidTr="6C89106A">
        <w:trPr>
          <w:trHeight w:val="884"/>
        </w:trPr>
        <w:tc>
          <w:tcPr>
            <w:tcW w:w="3119" w:type="dxa"/>
          </w:tcPr>
          <w:p w14:paraId="1CBDF117" w14:textId="77777777" w:rsidR="00845A9A" w:rsidRPr="005644FE" w:rsidRDefault="00845A9A" w:rsidP="00DB0B82">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6BB785EC" w14:textId="77777777" w:rsidR="00845A9A" w:rsidRDefault="00845A9A" w:rsidP="6C89106A">
            <w:pPr>
              <w:spacing w:line="276" w:lineRule="auto"/>
              <w:jc w:val="both"/>
              <w:rPr>
                <w:rFonts w:ascii="Verdana" w:eastAsia="Calibri" w:hAnsi="Verdana" w:cs="Arial"/>
                <w:lang w:eastAsia="es-ES"/>
              </w:rPr>
            </w:pPr>
            <w:r w:rsidRPr="6C89106A">
              <w:rPr>
                <w:rFonts w:ascii="Verdana" w:eastAsia="Calibri" w:hAnsi="Verdana" w:cs="Arial"/>
                <w:lang w:eastAsia="es-ES"/>
              </w:rPr>
              <w:t xml:space="preserve">ESAL– Distinción con sociedades comerciales / EMPRESA – Concepto / ESAL – Asimilación con </w:t>
            </w:r>
            <w:r w:rsidR="66ADB65A" w:rsidRPr="6C89106A">
              <w:rPr>
                <w:rFonts w:ascii="Verdana" w:eastAsia="Calibri" w:hAnsi="Verdana" w:cs="Arial"/>
                <w:lang w:eastAsia="es-ES"/>
              </w:rPr>
              <w:t>MiPymes</w:t>
            </w:r>
            <w:r w:rsidRPr="6C89106A">
              <w:rPr>
                <w:rFonts w:ascii="Verdana" w:eastAsia="Calibri" w:hAnsi="Verdana" w:cs="Arial"/>
                <w:lang w:eastAsia="es-ES"/>
              </w:rPr>
              <w:t xml:space="preserve"> / ESAL - Entidades de economía solidaria – Cooperativas – Asociaciones mutualistas – Demás entidades de economía solidaria - Asimilación a MiPymes / CONVOCATORIAS LIMITADAS A MIPYMES - MiPymes – Entidades sin ánimo de lucro / ESAL – MiPymes – Criterios diferenciales </w:t>
            </w:r>
          </w:p>
          <w:p w14:paraId="3DD6C57D" w14:textId="42A5BFAF" w:rsidR="0009114F" w:rsidRPr="005C595E" w:rsidRDefault="0009114F" w:rsidP="6C89106A">
            <w:pPr>
              <w:spacing w:line="276" w:lineRule="auto"/>
              <w:jc w:val="both"/>
              <w:rPr>
                <w:rFonts w:ascii="Verdana" w:eastAsia="Calibri" w:hAnsi="Verdana" w:cs="Arial"/>
                <w:b/>
                <w:bCs/>
                <w:lang w:eastAsia="es-ES"/>
              </w:rPr>
            </w:pPr>
          </w:p>
        </w:tc>
      </w:tr>
      <w:tr w:rsidR="00845A9A" w:rsidRPr="005644FE" w14:paraId="2E273C37" w14:textId="77777777" w:rsidTr="6C89106A">
        <w:tc>
          <w:tcPr>
            <w:tcW w:w="3119" w:type="dxa"/>
          </w:tcPr>
          <w:p w14:paraId="3DD635E3" w14:textId="77777777" w:rsidR="00845A9A" w:rsidRPr="005644FE" w:rsidRDefault="00845A9A" w:rsidP="00DB0B82">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5DDE2466" w14:textId="77777777" w:rsidR="00845A9A" w:rsidRPr="00F04657" w:rsidRDefault="00845A9A" w:rsidP="00DB0B82">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174F3B">
              <w:rPr>
                <w:rFonts w:ascii="Verdana" w:eastAsia="Calibri" w:hAnsi="Verdana" w:cs="Arial"/>
                <w:lang w:eastAsia="es-ES_tradnl"/>
              </w:rPr>
              <w:t>1_2025_11_08_012619</w:t>
            </w:r>
          </w:p>
        </w:tc>
      </w:tr>
    </w:tbl>
    <w:p w14:paraId="323DD7AF" w14:textId="77777777" w:rsidR="00845A9A" w:rsidRPr="005644FE" w:rsidRDefault="00845A9A" w:rsidP="00845A9A">
      <w:pPr>
        <w:spacing w:after="0" w:line="276" w:lineRule="auto"/>
        <w:jc w:val="both"/>
        <w:rPr>
          <w:rFonts w:ascii="Verdana" w:eastAsia="Calibri" w:hAnsi="Verdana" w:cs="Arial"/>
          <w:lang w:eastAsia="es-ES_tradnl"/>
        </w:rPr>
      </w:pPr>
    </w:p>
    <w:p w14:paraId="098815EA" w14:textId="77777777" w:rsidR="00845A9A" w:rsidRPr="005644FE" w:rsidRDefault="00845A9A" w:rsidP="00845A9A">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 xml:space="preserve">o señor </w:t>
      </w:r>
      <w:proofErr w:type="spellStart"/>
      <w:r w:rsidRPr="00205473">
        <w:rPr>
          <w:rFonts w:ascii="Verdana" w:eastAsia="Calibri" w:hAnsi="Verdana" w:cs="Arial"/>
          <w:lang w:eastAsia="es-ES"/>
        </w:rPr>
        <w:t>Numpaque</w:t>
      </w:r>
      <w:proofErr w:type="spellEnd"/>
      <w:r w:rsidRPr="005644FE">
        <w:rPr>
          <w:rFonts w:ascii="Verdana" w:eastAsia="Calibri" w:hAnsi="Verdana" w:cs="Arial"/>
          <w:lang w:eastAsia="es-ES"/>
        </w:rPr>
        <w:t>:</w:t>
      </w:r>
    </w:p>
    <w:p w14:paraId="44BD7478" w14:textId="77777777" w:rsidR="00845A9A" w:rsidRPr="00E02524" w:rsidRDefault="00845A9A" w:rsidP="00845A9A">
      <w:pPr>
        <w:spacing w:after="0"/>
        <w:jc w:val="both"/>
        <w:rPr>
          <w:rFonts w:ascii="Verdana" w:hAnsi="Verdana"/>
          <w:lang w:val="es-MX"/>
        </w:rPr>
      </w:pPr>
    </w:p>
    <w:p w14:paraId="3329FDDB" w14:textId="7E8E0B59" w:rsidR="00845A9A" w:rsidRDefault="00845A9A" w:rsidP="00845A9A">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E02524">
        <w:rPr>
          <w:rFonts w:ascii="Verdana" w:hAnsi="Verdana"/>
        </w:rPr>
        <w:t>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r w:rsidRPr="00E02524">
        <w:rPr>
          <w:rFonts w:ascii="Verdana" w:eastAsia="Times New Roman" w:hAnsi="Verdana" w:cs="Segoe UI"/>
          <w:lang w:eastAsia="es-CO"/>
        </w:rPr>
        <w:t xml:space="preserve">N° 469 del 2025 </w:t>
      </w:r>
      <w:r w:rsidRPr="00E02524">
        <w:rPr>
          <w:rFonts w:ascii="Verdana" w:hAnsi="Verdana"/>
        </w:rPr>
        <w:t xml:space="preserve">expedida por esta Agencia, </w:t>
      </w:r>
      <w:r w:rsidR="0009114F">
        <w:rPr>
          <w:rFonts w:ascii="Verdana" w:hAnsi="Verdana"/>
        </w:rPr>
        <w:t xml:space="preserve">se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8 de noviembre</w:t>
      </w:r>
      <w:r w:rsidRPr="005644FE">
        <w:rPr>
          <w:rFonts w:ascii="Verdana" w:eastAsia="Calibri" w:hAnsi="Verdana" w:cs="Arial"/>
          <w:lang w:eastAsia="es-ES"/>
        </w:rPr>
        <w:t xml:space="preserve"> de 2025</w:t>
      </w:r>
      <w:r>
        <w:rPr>
          <w:rFonts w:ascii="Verdana" w:eastAsia="Calibri" w:hAnsi="Verdana" w:cs="Arial"/>
          <w:lang w:eastAsia="es-ES"/>
        </w:rPr>
        <w:t>,</w:t>
      </w:r>
      <w:r w:rsidRPr="005644FE">
        <w:rPr>
          <w:rFonts w:ascii="Verdana" w:eastAsia="Calibri" w:hAnsi="Verdana" w:cs="Arial"/>
          <w:lang w:eastAsia="es-ES"/>
        </w:rPr>
        <w:t xml:space="preserve"> en la cual manifiesta lo siguiente:</w:t>
      </w:r>
    </w:p>
    <w:p w14:paraId="6CFC815D" w14:textId="77777777" w:rsidR="00845A9A" w:rsidRDefault="00845A9A" w:rsidP="00845A9A">
      <w:pPr>
        <w:spacing w:after="0"/>
        <w:jc w:val="both"/>
        <w:rPr>
          <w:rFonts w:ascii="Verdana" w:hAnsi="Verdana"/>
        </w:rPr>
      </w:pPr>
      <w:r w:rsidRPr="00E02524">
        <w:rPr>
          <w:rFonts w:ascii="Verdana" w:hAnsi="Verdana"/>
        </w:rPr>
        <w:t xml:space="preserve">PETICIÓN REALIZADA </w:t>
      </w:r>
    </w:p>
    <w:p w14:paraId="2DFBBF94" w14:textId="77777777" w:rsidR="00845A9A" w:rsidRPr="008E5B36" w:rsidRDefault="00845A9A" w:rsidP="00845A9A">
      <w:pPr>
        <w:spacing w:after="0"/>
        <w:jc w:val="both"/>
        <w:rPr>
          <w:rFonts w:ascii="Verdana" w:hAnsi="Verdana"/>
        </w:rPr>
      </w:pPr>
    </w:p>
    <w:p w14:paraId="1D663E18" w14:textId="024113D0" w:rsidR="00845A9A" w:rsidRDefault="00845A9A" w:rsidP="00845A9A">
      <w:pPr>
        <w:spacing w:after="0"/>
        <w:ind w:left="567" w:right="758"/>
        <w:jc w:val="both"/>
        <w:rPr>
          <w:rFonts w:ascii="Verdana" w:hAnsi="Verdana"/>
          <w:sz w:val="20"/>
          <w:szCs w:val="20"/>
        </w:rPr>
      </w:pPr>
      <w:r>
        <w:rPr>
          <w:rFonts w:ascii="Verdana" w:hAnsi="Verdana"/>
          <w:sz w:val="20"/>
          <w:szCs w:val="20"/>
        </w:rPr>
        <w:t xml:space="preserve">“(…) </w:t>
      </w:r>
      <w:r w:rsidRPr="00205473">
        <w:rPr>
          <w:rFonts w:ascii="Verdana" w:hAnsi="Verdana"/>
          <w:sz w:val="20"/>
          <w:szCs w:val="20"/>
        </w:rPr>
        <w:t xml:space="preserve">Su entidad a través del Concepto </w:t>
      </w:r>
      <w:r w:rsidRPr="00205473">
        <w:rPr>
          <w:rFonts w:ascii="Verdana" w:hAnsi="Verdana"/>
          <w:b/>
          <w:bCs/>
          <w:sz w:val="20"/>
          <w:szCs w:val="20"/>
        </w:rPr>
        <w:t>C-115 de 2025</w:t>
      </w:r>
      <w:r w:rsidRPr="00205473">
        <w:rPr>
          <w:rFonts w:ascii="Verdana" w:hAnsi="Verdana"/>
          <w:sz w:val="20"/>
          <w:szCs w:val="20"/>
        </w:rPr>
        <w:t xml:space="preserve"> argumentó con base en un marco jurídico consultado, incluido la sentencia 287 de 2012 de la Corte Constitucional y un concepto del Consejo de Estado, la diferencia existente entre las sociedades comerciales y las ESAL y el por qué ENTIDADES SIN ANIMO DE LUCRO ESAL no pueden </w:t>
      </w:r>
      <w:r>
        <w:rPr>
          <w:rFonts w:ascii="Verdana" w:hAnsi="Verdana"/>
          <w:sz w:val="20"/>
          <w:szCs w:val="20"/>
        </w:rPr>
        <w:t xml:space="preserve">(sic) </w:t>
      </w:r>
      <w:r w:rsidRPr="00205473">
        <w:rPr>
          <w:rFonts w:ascii="Verdana" w:hAnsi="Verdana"/>
          <w:sz w:val="20"/>
          <w:szCs w:val="20"/>
        </w:rPr>
        <w:t xml:space="preserve">acreedor a los puntajes establecidos en el sistema de contratación publica </w:t>
      </w:r>
      <w:r>
        <w:rPr>
          <w:rFonts w:ascii="Verdana" w:hAnsi="Verdana"/>
          <w:sz w:val="20"/>
          <w:szCs w:val="20"/>
        </w:rPr>
        <w:t xml:space="preserve">(sic) </w:t>
      </w:r>
      <w:r w:rsidRPr="00205473">
        <w:rPr>
          <w:rFonts w:ascii="Verdana" w:hAnsi="Verdana"/>
          <w:sz w:val="20"/>
          <w:szCs w:val="20"/>
        </w:rPr>
        <w:t xml:space="preserve">de Colombia a través de los procesos de convocatoria pública establecidos para incentivar a las MiPymes y emprendimientos de mujeres. </w:t>
      </w:r>
    </w:p>
    <w:p w14:paraId="15A1D5DA" w14:textId="77777777" w:rsidR="0009114F" w:rsidRDefault="0009114F" w:rsidP="00845A9A">
      <w:pPr>
        <w:spacing w:after="0"/>
        <w:ind w:left="567" w:right="758"/>
        <w:jc w:val="both"/>
        <w:rPr>
          <w:rFonts w:ascii="Verdana" w:hAnsi="Verdana"/>
          <w:sz w:val="20"/>
          <w:szCs w:val="20"/>
        </w:rPr>
      </w:pPr>
    </w:p>
    <w:p w14:paraId="7668D03E" w14:textId="77777777" w:rsidR="00845A9A" w:rsidRDefault="00845A9A" w:rsidP="00845A9A">
      <w:pPr>
        <w:spacing w:after="0"/>
        <w:ind w:left="567" w:right="758"/>
        <w:jc w:val="both"/>
        <w:rPr>
          <w:rFonts w:ascii="Verdana" w:hAnsi="Verdana"/>
          <w:sz w:val="20"/>
          <w:szCs w:val="20"/>
        </w:rPr>
      </w:pPr>
      <w:r w:rsidRPr="00205473">
        <w:rPr>
          <w:rFonts w:ascii="Verdana" w:hAnsi="Verdana"/>
          <w:sz w:val="20"/>
          <w:szCs w:val="20"/>
        </w:rPr>
        <w:t xml:space="preserve">Sin embargo al argumentar este concepto, soportado con la legislación que lo soporta, un funcionario público adscrito al área de contratación de una alcaldía local adscrita a la Alcaldía Mayor de Bogotá, asigna puntajes por MiPymes y emprendimientos de mujeres a dos entidades sin animo </w:t>
      </w:r>
      <w:r>
        <w:rPr>
          <w:rFonts w:ascii="Verdana" w:hAnsi="Verdana"/>
          <w:sz w:val="20"/>
          <w:szCs w:val="20"/>
        </w:rPr>
        <w:t xml:space="preserve">(sic) </w:t>
      </w:r>
      <w:r w:rsidRPr="00205473">
        <w:rPr>
          <w:rFonts w:ascii="Verdana" w:hAnsi="Verdana"/>
          <w:sz w:val="20"/>
          <w:szCs w:val="20"/>
        </w:rPr>
        <w:t xml:space="preserve">de lucro participantes en un proceso de selección abreviada por menor cuantía argumentando que: </w:t>
      </w:r>
    </w:p>
    <w:p w14:paraId="2E09DD33" w14:textId="77777777" w:rsidR="00845A9A" w:rsidRDefault="00845A9A" w:rsidP="00845A9A">
      <w:pPr>
        <w:spacing w:after="0"/>
        <w:ind w:left="567" w:right="758"/>
        <w:jc w:val="both"/>
        <w:rPr>
          <w:rFonts w:ascii="Verdana" w:hAnsi="Verdana"/>
          <w:sz w:val="20"/>
          <w:szCs w:val="20"/>
        </w:rPr>
      </w:pPr>
    </w:p>
    <w:p w14:paraId="4B77BEF9" w14:textId="77777777" w:rsidR="00845A9A" w:rsidRDefault="00845A9A" w:rsidP="00845A9A">
      <w:pPr>
        <w:spacing w:after="0"/>
        <w:ind w:left="567" w:right="758"/>
        <w:jc w:val="both"/>
        <w:rPr>
          <w:rFonts w:ascii="Verdana" w:hAnsi="Verdana"/>
          <w:sz w:val="20"/>
          <w:szCs w:val="20"/>
        </w:rPr>
      </w:pPr>
      <w:r w:rsidRPr="00205473">
        <w:rPr>
          <w:rFonts w:ascii="Verdana" w:hAnsi="Verdana"/>
          <w:sz w:val="20"/>
          <w:szCs w:val="20"/>
        </w:rPr>
        <w:t>“..</w:t>
      </w:r>
      <w:r>
        <w:rPr>
          <w:rFonts w:ascii="Verdana" w:hAnsi="Verdana"/>
          <w:sz w:val="20"/>
          <w:szCs w:val="20"/>
        </w:rPr>
        <w:t xml:space="preserve"> (sic) </w:t>
      </w:r>
      <w:r w:rsidRPr="00205473">
        <w:rPr>
          <w:rFonts w:ascii="Verdana" w:hAnsi="Verdana"/>
          <w:sz w:val="20"/>
          <w:szCs w:val="20"/>
        </w:rPr>
        <w:t>Sobre el Concepto C-115 de Colombia Compra Eficiente; este no tiene carácter vinculante, y fue emitido en un contexto interpretativo previo basado en procesos sesgados a la participación de MiPymes.</w:t>
      </w:r>
      <w:r>
        <w:rPr>
          <w:rFonts w:ascii="Verdana" w:hAnsi="Verdana"/>
          <w:sz w:val="20"/>
          <w:szCs w:val="20"/>
        </w:rPr>
        <w:t>”</w:t>
      </w:r>
    </w:p>
    <w:p w14:paraId="4BE6414E" w14:textId="77777777" w:rsidR="00845A9A" w:rsidRDefault="00845A9A" w:rsidP="00845A9A">
      <w:pPr>
        <w:spacing w:after="0"/>
        <w:ind w:left="567" w:right="758"/>
        <w:jc w:val="both"/>
        <w:rPr>
          <w:rFonts w:ascii="Verdana" w:hAnsi="Verdana"/>
          <w:sz w:val="20"/>
          <w:szCs w:val="20"/>
        </w:rPr>
      </w:pPr>
    </w:p>
    <w:p w14:paraId="5B6427EC" w14:textId="77777777" w:rsidR="00845A9A" w:rsidRDefault="00845A9A" w:rsidP="00845A9A">
      <w:pPr>
        <w:spacing w:after="0"/>
        <w:ind w:left="567" w:right="758"/>
        <w:jc w:val="both"/>
        <w:rPr>
          <w:rFonts w:ascii="Verdana" w:hAnsi="Verdana"/>
          <w:sz w:val="20"/>
          <w:szCs w:val="20"/>
        </w:rPr>
      </w:pPr>
      <w:r w:rsidRPr="00205473">
        <w:rPr>
          <w:rFonts w:ascii="Verdana" w:hAnsi="Verdana"/>
          <w:sz w:val="20"/>
          <w:szCs w:val="20"/>
        </w:rPr>
        <w:t xml:space="preserve">Respecto a la participación de las ESAL, de acuerdo con el artículo 2.2.1.2.1.2.20 del Decreto 1082 de 2015, las personas jurídicas sin ánimo de lucro (ESAL) pueden participar en los procesos de contratación y ser reconocidas como </w:t>
      </w:r>
      <w:proofErr w:type="spellStart"/>
      <w:r w:rsidRPr="00205473">
        <w:rPr>
          <w:rFonts w:ascii="Verdana" w:hAnsi="Verdana"/>
          <w:sz w:val="20"/>
          <w:szCs w:val="20"/>
        </w:rPr>
        <w:t>Mipymes</w:t>
      </w:r>
      <w:proofErr w:type="spellEnd"/>
      <w:r w:rsidRPr="00205473">
        <w:rPr>
          <w:rFonts w:ascii="Verdana" w:hAnsi="Verdana"/>
          <w:sz w:val="20"/>
          <w:szCs w:val="20"/>
        </w:rPr>
        <w:t xml:space="preserve"> si acreditan su tamaño empresarial dentro de los rangos, sin distinción de naturaleza jurídica. </w:t>
      </w:r>
    </w:p>
    <w:p w14:paraId="2C5C79BA" w14:textId="77777777" w:rsidR="00845A9A" w:rsidRDefault="00845A9A" w:rsidP="00845A9A">
      <w:pPr>
        <w:spacing w:after="0"/>
        <w:ind w:left="567" w:right="758"/>
        <w:jc w:val="both"/>
        <w:rPr>
          <w:rFonts w:ascii="Verdana" w:hAnsi="Verdana"/>
          <w:sz w:val="20"/>
          <w:szCs w:val="20"/>
        </w:rPr>
      </w:pPr>
    </w:p>
    <w:p w14:paraId="72B6AB1C" w14:textId="77777777" w:rsidR="00845A9A" w:rsidRPr="00A87E6E" w:rsidRDefault="00845A9A" w:rsidP="00845A9A">
      <w:pPr>
        <w:spacing w:after="0"/>
        <w:ind w:left="567" w:right="758"/>
        <w:jc w:val="both"/>
        <w:rPr>
          <w:rFonts w:ascii="Verdana" w:hAnsi="Verdana"/>
          <w:sz w:val="20"/>
          <w:szCs w:val="20"/>
        </w:rPr>
      </w:pPr>
      <w:r w:rsidRPr="00205473">
        <w:rPr>
          <w:rFonts w:ascii="Verdana" w:hAnsi="Verdana"/>
          <w:sz w:val="20"/>
          <w:szCs w:val="20"/>
        </w:rPr>
        <w:t xml:space="preserve">Solicito el favor nos oriente indicándonos de acuerdo a los argumentos de los párrafos anteriores: ¿Que </w:t>
      </w:r>
      <w:r>
        <w:rPr>
          <w:rFonts w:ascii="Verdana" w:hAnsi="Verdana"/>
          <w:sz w:val="20"/>
          <w:szCs w:val="20"/>
        </w:rPr>
        <w:t xml:space="preserve">(sic) </w:t>
      </w:r>
      <w:r w:rsidRPr="00205473">
        <w:rPr>
          <w:rFonts w:ascii="Verdana" w:hAnsi="Verdana"/>
          <w:sz w:val="20"/>
          <w:szCs w:val="20"/>
        </w:rPr>
        <w:t>normas vigentes derogan el artículo 2.2.1.2.1.2.20 del Decreto 1082 de 2015, respecto a si las organizaciones sin animo</w:t>
      </w:r>
      <w:r>
        <w:rPr>
          <w:rFonts w:ascii="Verdana" w:hAnsi="Verdana"/>
          <w:sz w:val="20"/>
          <w:szCs w:val="20"/>
        </w:rPr>
        <w:t xml:space="preserve"> (sic)</w:t>
      </w:r>
      <w:r w:rsidRPr="00205473">
        <w:rPr>
          <w:rFonts w:ascii="Verdana" w:hAnsi="Verdana"/>
          <w:sz w:val="20"/>
          <w:szCs w:val="20"/>
        </w:rPr>
        <w:t xml:space="preserve"> de lucro pueden ser </w:t>
      </w:r>
      <w:proofErr w:type="spellStart"/>
      <w:r w:rsidRPr="00205473">
        <w:rPr>
          <w:rFonts w:ascii="Verdana" w:hAnsi="Verdana"/>
          <w:sz w:val="20"/>
          <w:szCs w:val="20"/>
        </w:rPr>
        <w:t>recoocidas</w:t>
      </w:r>
      <w:proofErr w:type="spellEnd"/>
      <w:r w:rsidRPr="00205473">
        <w:rPr>
          <w:rFonts w:ascii="Verdana" w:hAnsi="Verdana"/>
          <w:sz w:val="20"/>
          <w:szCs w:val="20"/>
        </w:rPr>
        <w:t xml:space="preserve"> </w:t>
      </w:r>
      <w:r>
        <w:rPr>
          <w:rFonts w:ascii="Verdana" w:hAnsi="Verdana"/>
          <w:sz w:val="20"/>
          <w:szCs w:val="20"/>
        </w:rPr>
        <w:t xml:space="preserve">(sic) </w:t>
      </w:r>
      <w:r w:rsidRPr="00205473">
        <w:rPr>
          <w:rFonts w:ascii="Verdana" w:hAnsi="Verdana"/>
          <w:sz w:val="20"/>
          <w:szCs w:val="20"/>
        </w:rPr>
        <w:t xml:space="preserve">como MiPymes.? </w:t>
      </w:r>
      <w:r w:rsidRPr="008E5B36">
        <w:rPr>
          <w:rFonts w:ascii="Verdana" w:hAnsi="Verdana"/>
          <w:sz w:val="20"/>
          <w:szCs w:val="20"/>
        </w:rPr>
        <w:t>(…)”.</w:t>
      </w:r>
    </w:p>
    <w:p w14:paraId="64CF4981" w14:textId="77777777" w:rsidR="00845A9A" w:rsidRDefault="00845A9A" w:rsidP="00845A9A">
      <w:pPr>
        <w:spacing w:after="0" w:line="240" w:lineRule="auto"/>
        <w:ind w:firstLine="709"/>
        <w:jc w:val="both"/>
        <w:rPr>
          <w:rFonts w:ascii="Verdana" w:eastAsia="Calibri" w:hAnsi="Verdana" w:cs="Arial"/>
          <w:color w:val="000000"/>
          <w:lang w:eastAsia="es-ES"/>
        </w:rPr>
      </w:pPr>
    </w:p>
    <w:p w14:paraId="7F43CF46" w14:textId="77777777" w:rsidR="00845A9A" w:rsidRPr="005644FE" w:rsidRDefault="00845A9A" w:rsidP="00845A9A">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773A278" w14:textId="77777777" w:rsidR="00845A9A" w:rsidRPr="00DC7A48" w:rsidRDefault="00845A9A" w:rsidP="00845A9A">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w:t>
      </w:r>
      <w:r w:rsidRPr="00DC7A48">
        <w:rPr>
          <w:rFonts w:ascii="Verdana" w:eastAsia="Calibri" w:hAnsi="Verdana" w:cs="Arial"/>
          <w:color w:val="000000"/>
          <w:lang w:eastAsia="es-ES"/>
        </w:rPr>
        <w:t>, haciendo abstracción del caso particular y concreto señalado en su petición, pero señalando algunas consideraciones sobre las normas generales relacionadas al problema jurídico de su consulta.</w:t>
      </w:r>
      <w:r w:rsidRPr="00DC7A48">
        <w:rPr>
          <w:rFonts w:ascii="Verdana" w:eastAsia="Calibri" w:hAnsi="Verdana" w:cs="Arial"/>
          <w:lang w:eastAsia="es-ES"/>
        </w:rPr>
        <w:t xml:space="preserve">  </w:t>
      </w:r>
    </w:p>
    <w:p w14:paraId="5A2CC11D" w14:textId="77777777" w:rsidR="00845A9A" w:rsidRPr="00DC7A48" w:rsidRDefault="00845A9A" w:rsidP="00845A9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C7A48">
        <w:rPr>
          <w:rFonts w:ascii="Verdana" w:eastAsia="Century Gothic" w:hAnsi="Verdana" w:cs="Century Gothic"/>
          <w:b/>
          <w:bCs/>
        </w:rPr>
        <w:t>Problema planteado:</w:t>
      </w:r>
    </w:p>
    <w:p w14:paraId="01F9687B" w14:textId="77777777" w:rsidR="00845A9A" w:rsidRPr="00CE2BA9" w:rsidRDefault="00845A9A" w:rsidP="00845A9A">
      <w:pPr>
        <w:pStyle w:val="Prrafodelista"/>
        <w:tabs>
          <w:tab w:val="left" w:pos="142"/>
          <w:tab w:val="left" w:pos="284"/>
        </w:tabs>
        <w:spacing w:after="0" w:line="240" w:lineRule="auto"/>
        <w:ind w:left="0"/>
        <w:contextualSpacing w:val="0"/>
        <w:jc w:val="both"/>
        <w:rPr>
          <w:rFonts w:ascii="Verdana" w:eastAsia="Century Gothic" w:hAnsi="Verdana" w:cs="Century Gothic"/>
          <w:b/>
          <w:bCs/>
          <w:highlight w:val="yellow"/>
        </w:rPr>
      </w:pPr>
    </w:p>
    <w:p w14:paraId="5829DC39" w14:textId="54E07B3B" w:rsidR="00845A9A" w:rsidRPr="000B7077" w:rsidRDefault="00845A9A" w:rsidP="00845A9A">
      <w:pPr>
        <w:spacing w:after="0" w:line="276" w:lineRule="auto"/>
        <w:jc w:val="both"/>
        <w:rPr>
          <w:rFonts w:ascii="Verdana" w:eastAsia="Century Gothic" w:hAnsi="Verdana" w:cs="Century Gothic"/>
        </w:rPr>
      </w:pPr>
      <w:r w:rsidRPr="00DC7A48">
        <w:rPr>
          <w:rFonts w:ascii="Verdana" w:eastAsia="Calibri" w:hAnsi="Verdana" w:cs="Arial"/>
          <w:color w:val="000000"/>
          <w:lang w:eastAsia="es-ES"/>
        </w:rPr>
        <w:t>De acuerdo con el contenido de su solicitud, esta Agencia el siguiente problema jurídico:</w:t>
      </w:r>
      <w:r w:rsidRPr="00DC7A48">
        <w:rPr>
          <w:rFonts w:ascii="Verdana" w:eastAsia="Century Gothic" w:hAnsi="Verdana" w:cs="Century Gothic"/>
        </w:rPr>
        <w:t xml:space="preserve"> ¿las entidades sin ánimo de lucro pueden ser reconocidas como </w:t>
      </w:r>
      <w:proofErr w:type="spellStart"/>
      <w:r w:rsidRPr="00DC7A48">
        <w:rPr>
          <w:rFonts w:ascii="Verdana" w:eastAsia="Century Gothic" w:hAnsi="Verdana" w:cs="Century Gothic"/>
        </w:rPr>
        <w:t>Mipymes</w:t>
      </w:r>
      <w:proofErr w:type="spellEnd"/>
      <w:r w:rsidRPr="00DC7A48">
        <w:rPr>
          <w:rFonts w:ascii="Verdana" w:eastAsia="Century Gothic" w:hAnsi="Verdana" w:cs="Century Gothic"/>
        </w:rPr>
        <w:t xml:space="preserve"> para efectos de </w:t>
      </w:r>
      <w:r w:rsidR="0009114F">
        <w:rPr>
          <w:rFonts w:ascii="Verdana" w:eastAsia="Century Gothic" w:hAnsi="Verdana" w:cs="Century Gothic"/>
        </w:rPr>
        <w:t>obtener los beneficios a favor de este tipo de proponentes consagrados en la Ley 2069 de 2020 y su decreto reglamentario</w:t>
      </w:r>
      <w:r w:rsidRPr="00DC7A48">
        <w:rPr>
          <w:rFonts w:ascii="Verdana" w:eastAsia="Century Gothic" w:hAnsi="Verdana" w:cs="Century Gothic"/>
        </w:rPr>
        <w:t>?</w:t>
      </w:r>
    </w:p>
    <w:p w14:paraId="58F2509F" w14:textId="77777777" w:rsidR="00845A9A" w:rsidRPr="000B7077" w:rsidRDefault="00845A9A" w:rsidP="00845A9A">
      <w:pPr>
        <w:spacing w:after="0" w:line="240" w:lineRule="auto"/>
        <w:jc w:val="both"/>
        <w:rPr>
          <w:rFonts w:ascii="Verdana" w:eastAsia="Calibri" w:hAnsi="Verdana" w:cs="Arial"/>
          <w:color w:val="000000"/>
          <w:lang w:eastAsia="es-ES"/>
        </w:rPr>
      </w:pPr>
    </w:p>
    <w:p w14:paraId="630BD367" w14:textId="77777777" w:rsidR="00845A9A" w:rsidRDefault="00845A9A" w:rsidP="00845A9A">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57BA08FB" w14:textId="77777777" w:rsidR="00845A9A" w:rsidRPr="005644FE" w:rsidRDefault="00845A9A" w:rsidP="00845A9A">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45A9A" w:rsidRPr="005644FE" w14:paraId="628A2971" w14:textId="77777777" w:rsidTr="00DB0B82">
        <w:tc>
          <w:tcPr>
            <w:tcW w:w="8828" w:type="dxa"/>
          </w:tcPr>
          <w:p w14:paraId="16F77AF9" w14:textId="77777777" w:rsidR="00845A9A" w:rsidRDefault="00845A9A" w:rsidP="00DB0B82">
            <w:pPr>
              <w:spacing w:after="120" w:line="276" w:lineRule="auto"/>
              <w:jc w:val="both"/>
              <w:rPr>
                <w:rFonts w:ascii="Verdana" w:hAnsi="Verdana" w:cs="Arial"/>
                <w:lang w:val="es-ES"/>
              </w:rPr>
            </w:pPr>
            <w:r>
              <w:rPr>
                <w:rFonts w:ascii="Verdana" w:hAnsi="Verdana"/>
              </w:rPr>
              <w:t>D</w:t>
            </w:r>
            <w:r w:rsidRPr="00995CAD">
              <w:rPr>
                <w:rFonts w:ascii="Verdana" w:hAnsi="Verdana"/>
              </w:rPr>
              <w:t>e acuerdo con el artículo 43 de la Ley 1450 de 2011</w:t>
            </w:r>
            <w:r>
              <w:rPr>
                <w:rFonts w:ascii="Verdana" w:hAnsi="Verdana"/>
              </w:rPr>
              <w:t xml:space="preserve"> </w:t>
            </w:r>
            <w:r w:rsidRPr="00995CAD">
              <w:rPr>
                <w:rFonts w:ascii="Verdana" w:hAnsi="Verdana"/>
              </w:rPr>
              <w:t xml:space="preserve">solo podrán ser consideradas </w:t>
            </w:r>
            <w:proofErr w:type="spellStart"/>
            <w:r w:rsidRPr="00995CAD">
              <w:rPr>
                <w:rFonts w:ascii="Verdana" w:hAnsi="Verdana"/>
              </w:rPr>
              <w:t>Mipymes</w:t>
            </w:r>
            <w:proofErr w:type="spellEnd"/>
            <w:r w:rsidRPr="00995CAD">
              <w:rPr>
                <w:rFonts w:ascii="Verdana" w:hAnsi="Verdana"/>
              </w:rPr>
              <w:t xml:space="preserve"> aquellas unidades de explotación económica</w:t>
            </w:r>
            <w:r>
              <w:rPr>
                <w:rFonts w:ascii="Verdana" w:hAnsi="Verdana"/>
              </w:rPr>
              <w:t xml:space="preserve"> que</w:t>
            </w:r>
            <w:r w:rsidRPr="00995CAD">
              <w:rPr>
                <w:rFonts w:ascii="Verdana" w:hAnsi="Verdana"/>
              </w:rPr>
              <w:t xml:space="preserve"> busquen el reparto de utilidades entre sus miembros</w:t>
            </w:r>
            <w:r>
              <w:rPr>
                <w:rFonts w:ascii="Verdana" w:hAnsi="Verdana"/>
              </w:rPr>
              <w:t xml:space="preserve">. Dado que las </w:t>
            </w:r>
            <w:r w:rsidRPr="0040650F">
              <w:rPr>
                <w:rFonts w:ascii="Verdana" w:hAnsi="Verdana" w:cs="Arial"/>
                <w:lang w:val="es-ES"/>
              </w:rPr>
              <w:t>ESAL no persiguen</w:t>
            </w:r>
            <w:r>
              <w:rPr>
                <w:rFonts w:ascii="Verdana" w:hAnsi="Verdana" w:cs="Arial"/>
                <w:lang w:val="es-ES"/>
              </w:rPr>
              <w:t xml:space="preserve"> este fin</w:t>
            </w:r>
            <w:r w:rsidRPr="0040650F">
              <w:rPr>
                <w:rFonts w:ascii="Verdana" w:hAnsi="Verdana" w:cs="Arial"/>
                <w:lang w:val="es-ES"/>
              </w:rPr>
              <w:t xml:space="preserve">, en el entendido en que no tienen ánimo de lucro, y que su objeto está destinado a realizar actividades de interés general sin esperar a cambio un reparto de ganancia en proporción a sus utilidades, lo cierto es que no pueden </w:t>
            </w:r>
            <w:r w:rsidRPr="00967EED">
              <w:rPr>
                <w:rFonts w:ascii="Verdana" w:hAnsi="Verdana" w:cs="Arial"/>
              </w:rPr>
              <w:t>participar en los procesos de contratación limitado</w:t>
            </w:r>
            <w:r>
              <w:rPr>
                <w:rFonts w:ascii="Verdana" w:hAnsi="Verdana" w:cs="Arial"/>
              </w:rPr>
              <w:t>s</w:t>
            </w:r>
            <w:r w:rsidRPr="00967EED">
              <w:rPr>
                <w:rFonts w:ascii="Verdana" w:hAnsi="Verdana" w:cs="Arial"/>
              </w:rPr>
              <w:t xml:space="preserve"> a </w:t>
            </w:r>
            <w:r>
              <w:rPr>
                <w:rFonts w:ascii="Verdana" w:hAnsi="Verdana" w:cs="Arial"/>
              </w:rPr>
              <w:t>M</w:t>
            </w:r>
            <w:r w:rsidRPr="00967EED">
              <w:rPr>
                <w:rFonts w:ascii="Verdana" w:hAnsi="Verdana" w:cs="Arial"/>
              </w:rPr>
              <w:t>iPymes</w:t>
            </w:r>
            <w:r>
              <w:rPr>
                <w:rFonts w:ascii="Verdana" w:hAnsi="Verdana" w:cs="Arial"/>
              </w:rPr>
              <w:t>, de que trata el artículo 34 de la Ley 2069 de 2020</w:t>
            </w:r>
            <w:r>
              <w:rPr>
                <w:rFonts w:ascii="Verdana" w:hAnsi="Verdana" w:cs="Arial"/>
                <w:lang w:val="es-ES"/>
              </w:rPr>
              <w:t>.</w:t>
            </w:r>
            <w:r w:rsidRPr="0097051B">
              <w:rPr>
                <w:rFonts w:ascii="Verdana" w:hAnsi="Verdana" w:cs="Arial"/>
                <w:lang w:val="es-ES"/>
              </w:rPr>
              <w:t xml:space="preserve"> </w:t>
            </w:r>
          </w:p>
          <w:p w14:paraId="2F356A9D" w14:textId="77777777" w:rsidR="00845A9A" w:rsidRDefault="00845A9A" w:rsidP="00DB0B82">
            <w:pPr>
              <w:spacing w:after="120" w:line="276" w:lineRule="auto"/>
              <w:ind w:firstLine="743"/>
              <w:jc w:val="both"/>
              <w:rPr>
                <w:rFonts w:ascii="Verdana" w:eastAsia="Calibri" w:hAnsi="Verdana" w:cs="Arial"/>
                <w:lang w:eastAsia="es-ES_tradnl"/>
              </w:rPr>
            </w:pPr>
            <w:r>
              <w:rPr>
                <w:rFonts w:ascii="Verdana" w:hAnsi="Verdana" w:cs="Arial"/>
                <w:lang w:val="es-ES"/>
              </w:rPr>
              <w:t xml:space="preserve">En concordancia con lo anterior, debe precisarse que </w:t>
            </w:r>
            <w:r>
              <w:rPr>
                <w:rFonts w:ascii="Verdana" w:eastAsia="Calibri" w:hAnsi="Verdana" w:cs="Arial"/>
                <w:lang w:val="es-ES_tradnl" w:eastAsia="es-ES_tradnl"/>
              </w:rPr>
              <w:t xml:space="preserve">no es jurídicamente admisible </w:t>
            </w:r>
            <w:r w:rsidRPr="00225165">
              <w:rPr>
                <w:rFonts w:ascii="Verdana" w:eastAsia="Calibri" w:hAnsi="Verdana" w:cs="Arial"/>
                <w:lang w:eastAsia="es-ES_tradnl"/>
              </w:rPr>
              <w:t xml:space="preserve">asimilar a las </w:t>
            </w:r>
            <w:r>
              <w:rPr>
                <w:rFonts w:ascii="Verdana" w:eastAsia="Calibri" w:hAnsi="Verdana" w:cs="Arial"/>
                <w:lang w:eastAsia="es-ES_tradnl"/>
              </w:rPr>
              <w:t xml:space="preserve">ESAL </w:t>
            </w:r>
            <w:r w:rsidRPr="00225165">
              <w:rPr>
                <w:rFonts w:ascii="Verdana" w:eastAsia="Calibri" w:hAnsi="Verdana" w:cs="Arial"/>
                <w:lang w:eastAsia="es-ES_tradnl"/>
              </w:rPr>
              <w:t xml:space="preserve">con las sociedades comerciales, </w:t>
            </w:r>
            <w:r>
              <w:rPr>
                <w:rFonts w:ascii="Verdana" w:eastAsia="Calibri" w:hAnsi="Verdana" w:cs="Arial"/>
                <w:lang w:eastAsia="es-ES_tradnl"/>
              </w:rPr>
              <w:t>pues t</w:t>
            </w:r>
            <w:r w:rsidRPr="00225165">
              <w:rPr>
                <w:rFonts w:ascii="Verdana" w:eastAsia="Calibri" w:hAnsi="Verdana" w:cs="Arial"/>
                <w:lang w:eastAsia="es-ES_tradnl"/>
              </w:rPr>
              <w:t>al como lo establece el artículo 98 del Código de Comercio, el contrato de sociedad se constituye con el fin específico de repartir utilidades entre los socios</w:t>
            </w:r>
            <w:r>
              <w:rPr>
                <w:rFonts w:ascii="Verdana" w:eastAsia="Calibri" w:hAnsi="Verdana" w:cs="Arial"/>
                <w:lang w:eastAsia="es-ES_tradnl"/>
              </w:rPr>
              <w:t xml:space="preserve"> y es un elemento </w:t>
            </w:r>
            <w:r w:rsidRPr="00225165">
              <w:rPr>
                <w:rFonts w:ascii="Verdana" w:eastAsia="Calibri" w:hAnsi="Verdana" w:cs="Arial"/>
                <w:lang w:eastAsia="es-ES_tradnl"/>
              </w:rPr>
              <w:t>consustancial a la existencia misma de una sociedad comercial.</w:t>
            </w:r>
            <w:r>
              <w:rPr>
                <w:rFonts w:ascii="Verdana" w:eastAsia="Calibri" w:hAnsi="Verdana" w:cs="Arial"/>
                <w:lang w:eastAsia="es-ES_tradnl"/>
              </w:rPr>
              <w:t xml:space="preserve"> Por su parte, l</w:t>
            </w:r>
            <w:r w:rsidRPr="00225165">
              <w:rPr>
                <w:rFonts w:ascii="Verdana" w:eastAsia="Calibri" w:hAnsi="Verdana" w:cs="Arial"/>
                <w:lang w:eastAsia="es-ES_tradnl"/>
              </w:rPr>
              <w:t>a</w:t>
            </w:r>
            <w:r>
              <w:rPr>
                <w:rFonts w:ascii="Verdana" w:eastAsia="Calibri" w:hAnsi="Verdana" w:cs="Arial"/>
                <w:lang w:eastAsia="es-ES_tradnl"/>
              </w:rPr>
              <w:t>s</w:t>
            </w:r>
            <w:r w:rsidRPr="00225165">
              <w:rPr>
                <w:rFonts w:ascii="Verdana" w:eastAsia="Calibri" w:hAnsi="Verdana" w:cs="Arial"/>
                <w:lang w:eastAsia="es-ES_tradnl"/>
              </w:rPr>
              <w:t xml:space="preserve"> ESAL están fundadas en la idea de promover un fin altruista o de interés general, sin que exista ánimo de lucro ni posibilidad legal de repartir excedentes entre sus miembros</w:t>
            </w:r>
            <w:r>
              <w:rPr>
                <w:rFonts w:ascii="Verdana" w:eastAsia="Calibri" w:hAnsi="Verdana" w:cs="Arial"/>
                <w:lang w:eastAsia="es-ES_tradnl"/>
              </w:rPr>
              <w:t>. Esta distinción es fundamental porque diferencia a las ESAL de las empresas y las sociedades comerciales en términos de propósito y estructura.</w:t>
            </w:r>
          </w:p>
          <w:p w14:paraId="2F47DFCE" w14:textId="77777777" w:rsidR="00845A9A" w:rsidRPr="00F46192" w:rsidRDefault="00845A9A" w:rsidP="00DB0B82">
            <w:pPr>
              <w:spacing w:after="120" w:line="276" w:lineRule="auto"/>
              <w:ind w:firstLine="708"/>
              <w:jc w:val="both"/>
              <w:rPr>
                <w:rFonts w:ascii="Verdana" w:hAnsi="Verdana" w:cs="Arial"/>
                <w:color w:val="000000" w:themeColor="text1"/>
                <w:lang w:val="es-ES"/>
              </w:rPr>
            </w:pPr>
            <w:r>
              <w:rPr>
                <w:rFonts w:ascii="Verdana" w:hAnsi="Verdana" w:cs="Arial"/>
                <w:lang w:val="es-ES"/>
              </w:rPr>
              <w:t xml:space="preserve">Asimismo, </w:t>
            </w:r>
            <w:r>
              <w:rPr>
                <w:rFonts w:ascii="Verdana" w:hAnsi="Verdana" w:cs="Arial"/>
              </w:rPr>
              <w:t>vale anotar que, s</w:t>
            </w:r>
            <w:r w:rsidRPr="004B20C3">
              <w:rPr>
                <w:rFonts w:ascii="Verdana" w:hAnsi="Verdana" w:cs="Arial"/>
              </w:rPr>
              <w:t xml:space="preserve">i bien las </w:t>
            </w:r>
            <w:r>
              <w:rPr>
                <w:rFonts w:ascii="Verdana" w:hAnsi="Verdana" w:cs="Arial"/>
              </w:rPr>
              <w:t>ESAL pueden</w:t>
            </w:r>
            <w:r w:rsidRPr="004B20C3">
              <w:rPr>
                <w:rFonts w:ascii="Verdana" w:hAnsi="Verdana" w:cs="Arial"/>
              </w:rPr>
              <w:t xml:space="preserve"> interact</w:t>
            </w:r>
            <w:r>
              <w:rPr>
                <w:rFonts w:ascii="Verdana" w:hAnsi="Verdana" w:cs="Arial"/>
              </w:rPr>
              <w:t>uar</w:t>
            </w:r>
            <w:r w:rsidRPr="004B20C3">
              <w:rPr>
                <w:rFonts w:ascii="Verdana" w:hAnsi="Verdana" w:cs="Arial"/>
              </w:rPr>
              <w:t xml:space="preserve"> con el mercado</w:t>
            </w:r>
            <w:r>
              <w:rPr>
                <w:rFonts w:ascii="Verdana" w:hAnsi="Verdana" w:cs="Arial"/>
              </w:rPr>
              <w:t>,</w:t>
            </w:r>
            <w:r w:rsidRPr="004B20C3">
              <w:rPr>
                <w:rFonts w:ascii="Verdana" w:hAnsi="Verdana" w:cs="Arial"/>
              </w:rPr>
              <w:t xml:space="preserve"> esta actividad no las convierte, </w:t>
            </w:r>
            <w:r w:rsidRPr="00CD7A55">
              <w:rPr>
                <w:rFonts w:ascii="Verdana" w:hAnsi="Verdana" w:cs="Arial"/>
                <w:i/>
                <w:iCs/>
              </w:rPr>
              <w:t>per se,</w:t>
            </w:r>
            <w:r w:rsidRPr="004B20C3">
              <w:rPr>
                <w:rFonts w:ascii="Verdana" w:hAnsi="Verdana" w:cs="Arial"/>
              </w:rPr>
              <w:t xml:space="preserve"> en empresas en el sentido comercial </w:t>
            </w:r>
            <w:r>
              <w:rPr>
                <w:rFonts w:ascii="Verdana" w:hAnsi="Verdana" w:cs="Arial"/>
              </w:rPr>
              <w:t xml:space="preserve">puesto que </w:t>
            </w:r>
            <w:r w:rsidRPr="004B20C3">
              <w:rPr>
                <w:rFonts w:ascii="Verdana" w:hAnsi="Verdana" w:cs="Arial"/>
              </w:rPr>
              <w:t>la ausencia de ánimo de lucro y l</w:t>
            </w:r>
            <w:r>
              <w:rPr>
                <w:rFonts w:ascii="Verdana" w:hAnsi="Verdana" w:cs="Arial"/>
              </w:rPr>
              <w:t>o referente a la repartición de utilidades</w:t>
            </w:r>
            <w:r w:rsidRPr="004B20C3">
              <w:rPr>
                <w:rFonts w:ascii="Verdana" w:hAnsi="Verdana" w:cs="Arial"/>
              </w:rPr>
              <w:t xml:space="preserve"> constituye un elemento que las excluye de la noción de empresa. Por tanto, su naturaleza jurídica es la de una organización civil con finalidad social, y no la de una sociedad mercantil orientada al lucro</w:t>
            </w:r>
            <w:r>
              <w:rPr>
                <w:rFonts w:ascii="Verdana" w:hAnsi="Verdana" w:cs="Arial"/>
              </w:rPr>
              <w:t>, lo que la excluye de</w:t>
            </w:r>
            <w:r w:rsidRPr="00F14926">
              <w:rPr>
                <w:rFonts w:ascii="Verdana" w:hAnsi="Verdana" w:cs="Arial"/>
              </w:rPr>
              <w:t xml:space="preserve"> la lógica de promoción que busca l</w:t>
            </w:r>
            <w:r>
              <w:rPr>
                <w:rFonts w:ascii="Verdana" w:hAnsi="Verdana" w:cs="Arial"/>
              </w:rPr>
              <w:t xml:space="preserve">a Ley 2069 de 2020 </w:t>
            </w:r>
            <w:r w:rsidRPr="00F14926">
              <w:rPr>
                <w:rFonts w:ascii="Verdana" w:hAnsi="Verdana" w:cs="Arial"/>
              </w:rPr>
              <w:t>para fortalecer el emprendimiento empresarial con fines comerciales</w:t>
            </w:r>
            <w:r>
              <w:rPr>
                <w:rFonts w:ascii="Verdana" w:hAnsi="Verdana" w:cs="Arial"/>
              </w:rPr>
              <w:t xml:space="preserve"> en el sistema de compras públicas</w:t>
            </w:r>
            <w:r w:rsidRPr="00F14926">
              <w:rPr>
                <w:rFonts w:ascii="Verdana" w:hAnsi="Verdana" w:cs="Arial"/>
              </w:rPr>
              <w:t>.</w:t>
            </w:r>
          </w:p>
          <w:p w14:paraId="7361A259" w14:textId="77777777" w:rsidR="00845A9A" w:rsidRDefault="00845A9A" w:rsidP="00DB0B82">
            <w:pPr>
              <w:spacing w:after="120" w:line="276" w:lineRule="auto"/>
              <w:ind w:firstLine="708"/>
              <w:jc w:val="both"/>
              <w:rPr>
                <w:rFonts w:ascii="Verdana" w:eastAsia="Calibri" w:hAnsi="Verdana" w:cs="Arial"/>
                <w:color w:val="000000" w:themeColor="text1"/>
              </w:rPr>
            </w:pPr>
            <w:r>
              <w:rPr>
                <w:rFonts w:ascii="Verdana" w:hAnsi="Verdana" w:cs="Arial"/>
                <w:lang w:val="es-ES"/>
              </w:rPr>
              <w:t xml:space="preserve">Ahora bien, aunque, por regla general, no es posible que las ESAL sean equiparadas a las MiPymes en la normativa del sistema de compras públicas, es necesario aclarar que la Ley determinó un matiz para esta regla. </w:t>
            </w:r>
            <w:r>
              <w:rPr>
                <w:rFonts w:ascii="Verdana" w:eastAsia="Calibri" w:hAnsi="Verdana" w:cs="Arial"/>
                <w:color w:val="000000" w:themeColor="text1"/>
                <w:lang w:val="es-ES"/>
              </w:rPr>
              <w:t>E</w:t>
            </w:r>
            <w:r w:rsidRPr="00362CA6">
              <w:rPr>
                <w:rFonts w:ascii="Verdana" w:eastAsia="Calibri" w:hAnsi="Verdana" w:cs="Arial"/>
                <w:color w:val="000000" w:themeColor="text1"/>
                <w:lang w:val="es-ES"/>
              </w:rPr>
              <w:t>l artículo 23 de la Ley 2069 de 2020</w:t>
            </w:r>
            <w:r>
              <w:rPr>
                <w:rFonts w:ascii="Verdana" w:eastAsia="Calibri" w:hAnsi="Verdana" w:cs="Arial"/>
                <w:color w:val="000000" w:themeColor="text1"/>
                <w:lang w:val="es-ES"/>
              </w:rPr>
              <w:t xml:space="preserve"> </w:t>
            </w:r>
            <w:r w:rsidRPr="00362CA6">
              <w:rPr>
                <w:rFonts w:ascii="Verdana" w:eastAsia="Calibri" w:hAnsi="Verdana" w:cs="Arial"/>
                <w:color w:val="000000" w:themeColor="text1"/>
                <w:lang w:val="es-ES"/>
              </w:rPr>
              <w:t xml:space="preserve">asimila las cooperativas y las </w:t>
            </w:r>
            <w:r w:rsidRPr="00756D53">
              <w:rPr>
                <w:rFonts w:ascii="Verdana" w:eastAsia="Calibri" w:hAnsi="Verdana" w:cs="Arial"/>
                <w:color w:val="000000" w:themeColor="text1"/>
                <w:lang w:val="es-ES"/>
              </w:rPr>
              <w:t>demás entidades de economía solidaria -que incluy</w:t>
            </w:r>
            <w:r>
              <w:rPr>
                <w:rFonts w:ascii="Verdana" w:eastAsia="Calibri" w:hAnsi="Verdana" w:cs="Arial"/>
                <w:color w:val="000000" w:themeColor="text1"/>
                <w:lang w:val="es-ES"/>
              </w:rPr>
              <w:t>en</w:t>
            </w:r>
            <w:r w:rsidRPr="00756D53">
              <w:rPr>
                <w:rFonts w:ascii="Verdana" w:eastAsia="Calibri" w:hAnsi="Verdana" w:cs="Arial"/>
                <w:color w:val="000000" w:themeColor="text1"/>
                <w:lang w:val="es-ES"/>
              </w:rPr>
              <w:t xml:space="preserve"> a las asociaciones mutual</w:t>
            </w:r>
            <w:r>
              <w:rPr>
                <w:rFonts w:ascii="Verdana" w:eastAsia="Calibri" w:hAnsi="Verdana" w:cs="Arial"/>
                <w:color w:val="000000" w:themeColor="text1"/>
                <w:lang w:val="es-ES"/>
              </w:rPr>
              <w:t>istas</w:t>
            </w:r>
            <w:r>
              <w:rPr>
                <w:rFonts w:ascii="Verdana" w:eastAsia="Calibri" w:hAnsi="Verdana" w:cs="Arial"/>
                <w:i/>
                <w:iCs/>
                <w:color w:val="000000" w:themeColor="text1"/>
                <w:lang w:val="es-ES"/>
              </w:rPr>
              <w:t>-</w:t>
            </w:r>
            <w:r w:rsidRPr="00362CA6">
              <w:rPr>
                <w:rFonts w:ascii="Verdana" w:eastAsia="Calibri" w:hAnsi="Verdana" w:cs="Arial"/>
                <w:color w:val="000000" w:themeColor="text1"/>
                <w:lang w:val="es-ES"/>
              </w:rPr>
              <w:t xml:space="preserve"> a </w:t>
            </w:r>
            <w:r w:rsidRPr="00B21D8B">
              <w:rPr>
                <w:rFonts w:ascii="Verdana" w:eastAsia="Calibri" w:hAnsi="Verdana" w:cs="Arial"/>
                <w:i/>
                <w:iCs/>
                <w:color w:val="000000" w:themeColor="text1"/>
                <w:lang w:val="es-ES"/>
              </w:rPr>
              <w:t>empresas, específicamente a MiPymes</w:t>
            </w:r>
            <w:r>
              <w:rPr>
                <w:rFonts w:ascii="Verdana" w:eastAsia="Calibri" w:hAnsi="Verdana" w:cs="Arial"/>
                <w:i/>
                <w:iCs/>
                <w:color w:val="000000" w:themeColor="text1"/>
                <w:lang w:val="es-ES"/>
              </w:rPr>
              <w:t xml:space="preserve">. </w:t>
            </w:r>
            <w:r>
              <w:rPr>
                <w:rFonts w:ascii="Verdana" w:eastAsia="Calibri" w:hAnsi="Verdana" w:cs="Arial"/>
                <w:color w:val="000000" w:themeColor="text1"/>
                <w:lang w:val="es-ES"/>
              </w:rPr>
              <w:t>De manera concordante, el parágrafo del a</w:t>
            </w:r>
            <w:r w:rsidRPr="00F554AA">
              <w:rPr>
                <w:rFonts w:ascii="Verdana" w:eastAsia="Calibri" w:hAnsi="Verdana" w:cs="Arial"/>
                <w:color w:val="000000" w:themeColor="text1"/>
                <w:lang w:val="es-ES"/>
              </w:rPr>
              <w:t>rtículo 2.2.1.2.4.2.2</w:t>
            </w:r>
            <w:r>
              <w:rPr>
                <w:rFonts w:ascii="Verdana" w:eastAsia="Calibri" w:hAnsi="Verdana" w:cs="Arial"/>
                <w:color w:val="000000" w:themeColor="text1"/>
                <w:lang w:val="es-ES"/>
              </w:rPr>
              <w:t xml:space="preserve">, modificado por el artículo 5º del Decreto 1860 de 2021 determina que estas </w:t>
            </w:r>
            <w:r w:rsidRPr="00EC0AE8">
              <w:rPr>
                <w:rFonts w:ascii="Verdana" w:eastAsia="Calibri" w:hAnsi="Verdana" w:cs="Arial"/>
                <w:color w:val="000000" w:themeColor="text1"/>
              </w:rPr>
              <w:t>cooperativas y demás entidades de economía solidaria</w:t>
            </w:r>
            <w:r>
              <w:rPr>
                <w:rFonts w:ascii="Verdana" w:eastAsia="Calibri" w:hAnsi="Verdana" w:cs="Arial"/>
                <w:color w:val="000000" w:themeColor="text1"/>
              </w:rPr>
              <w:t xml:space="preserve"> </w:t>
            </w:r>
            <w:r w:rsidRPr="00EC0AE8">
              <w:rPr>
                <w:rFonts w:ascii="Verdana" w:eastAsia="Calibri" w:hAnsi="Verdana" w:cs="Arial"/>
                <w:color w:val="000000" w:themeColor="text1"/>
              </w:rPr>
              <w:t>podrán solicitar y participar en las convocatorias limitadas en las mismas</w:t>
            </w:r>
            <w:r>
              <w:rPr>
                <w:rFonts w:ascii="Verdana" w:eastAsia="Calibri" w:hAnsi="Verdana" w:cs="Arial"/>
                <w:color w:val="000000" w:themeColor="text1"/>
              </w:rPr>
              <w:t xml:space="preserve">. </w:t>
            </w:r>
          </w:p>
          <w:p w14:paraId="039E193C" w14:textId="19B73580" w:rsidR="00845A9A" w:rsidRDefault="00845A9A" w:rsidP="00DB0B82">
            <w:pPr>
              <w:spacing w:after="120" w:line="276" w:lineRule="auto"/>
              <w:ind w:firstLine="708"/>
              <w:jc w:val="both"/>
              <w:rPr>
                <w:rFonts w:ascii="Verdana" w:eastAsia="Calibri" w:hAnsi="Verdana" w:cs="Arial"/>
                <w:color w:val="000000" w:themeColor="text1"/>
                <w:lang w:val="es-ES"/>
              </w:rPr>
            </w:pPr>
            <w:r>
              <w:rPr>
                <w:rFonts w:ascii="Verdana" w:hAnsi="Verdana"/>
                <w:lang w:val="es-ES" w:eastAsia="es-ES"/>
              </w:rPr>
              <w:t>En este sentido, e</w:t>
            </w:r>
            <w:r w:rsidRPr="007A60E6">
              <w:rPr>
                <w:rFonts w:ascii="Verdana" w:hAnsi="Verdana"/>
                <w:lang w:val="es-ES" w:eastAsia="es-ES"/>
              </w:rPr>
              <w:t xml:space="preserve">sta Subdirección </w:t>
            </w:r>
            <w:r>
              <w:rPr>
                <w:rFonts w:ascii="Verdana" w:hAnsi="Verdana" w:cs="Arial"/>
                <w:shd w:val="clear" w:color="auto" w:fill="FFFFFF"/>
                <w:lang w:val="es-ES"/>
              </w:rPr>
              <w:t xml:space="preserve">ha señalado de forma reiterada que </w:t>
            </w:r>
            <w:r>
              <w:rPr>
                <w:rFonts w:ascii="Verdana" w:hAnsi="Verdana" w:cs="Arial"/>
                <w:color w:val="000000" w:themeColor="text1"/>
                <w:lang w:val="es-ES"/>
              </w:rPr>
              <w:t xml:space="preserve">los incentivos referidos en la Ley 2069 de 2020 y la posibilidad de solicitar la limitación de las convocatorias a MiPymes no son extensibles a todas las ESAL, sino únicamente a aquellas que corresponden al concepto de </w:t>
            </w:r>
            <w:r>
              <w:rPr>
                <w:rFonts w:ascii="Verdana" w:eastAsia="Calibri" w:hAnsi="Verdana" w:cs="Arial"/>
                <w:color w:val="000000" w:themeColor="text1"/>
                <w:lang w:val="es-ES"/>
              </w:rPr>
              <w:t xml:space="preserve">cooperativas y demás entes considerados de economía solidaria </w:t>
            </w:r>
            <w:r>
              <w:rPr>
                <w:rFonts w:ascii="Verdana" w:eastAsia="Geomanist Light" w:hAnsi="Verdana" w:cs="Arial"/>
                <w:lang w:val="es-ES"/>
              </w:rPr>
              <w:t xml:space="preserve">en los términos del artículo 6 de la Ley 454 de 1998 –norma a la que remite el artículo 23 de la Ley de Emprendimiento–. 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del artículo 2.2.1.2.4.2.2 del Decreto 1082 de 2015.</w:t>
            </w:r>
          </w:p>
          <w:p w14:paraId="248C2381" w14:textId="5DF8CDF6" w:rsidR="0009114F" w:rsidRDefault="0009114F" w:rsidP="00DB0B82">
            <w:pPr>
              <w:spacing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Ahora bien, </w:t>
            </w:r>
            <w:r w:rsidR="00964FDF">
              <w:rPr>
                <w:rFonts w:ascii="Verdana" w:eastAsia="Calibri" w:hAnsi="Verdana" w:cs="Arial"/>
                <w:color w:val="000000" w:themeColor="text1"/>
                <w:lang w:val="es-ES"/>
              </w:rPr>
              <w:t xml:space="preserve">que las ESAL no sean beneficiarias de los criterios diferenciales en favor de las </w:t>
            </w:r>
            <w:proofErr w:type="spellStart"/>
            <w:r w:rsidR="00964FDF">
              <w:rPr>
                <w:rFonts w:ascii="Verdana" w:eastAsia="Calibri" w:hAnsi="Verdana" w:cs="Arial"/>
                <w:color w:val="000000" w:themeColor="text1"/>
                <w:lang w:val="es-ES"/>
              </w:rPr>
              <w:t>Mipymes</w:t>
            </w:r>
            <w:proofErr w:type="spellEnd"/>
            <w:r w:rsidR="00964FDF">
              <w:rPr>
                <w:rFonts w:ascii="Verdana" w:eastAsia="Calibri" w:hAnsi="Verdana" w:cs="Arial"/>
                <w:color w:val="000000" w:themeColor="text1"/>
                <w:lang w:val="es-ES"/>
              </w:rPr>
              <w:t xml:space="preserve"> – requisitos habilitantes diferenciales, puntajes adicionales y procesos limitados a </w:t>
            </w:r>
            <w:proofErr w:type="spellStart"/>
            <w:r w:rsidR="00964FDF">
              <w:rPr>
                <w:rFonts w:ascii="Verdana" w:eastAsia="Calibri" w:hAnsi="Verdana" w:cs="Arial"/>
                <w:color w:val="000000" w:themeColor="text1"/>
                <w:lang w:val="es-ES"/>
              </w:rPr>
              <w:t>Mipymes</w:t>
            </w:r>
            <w:proofErr w:type="spellEnd"/>
            <w:r w:rsidR="00964FDF">
              <w:rPr>
                <w:rFonts w:ascii="Verdana" w:eastAsia="Calibri" w:hAnsi="Verdana" w:cs="Arial"/>
                <w:color w:val="000000" w:themeColor="text1"/>
                <w:lang w:val="es-ES"/>
              </w:rPr>
              <w:t xml:space="preserve"> – esto no quiere decir que no puedan participar de procesos contractuales, en la medida que tienen capacidad jurídica. </w:t>
            </w:r>
          </w:p>
          <w:p w14:paraId="633AD1A9" w14:textId="77777777" w:rsidR="00845A9A" w:rsidRPr="00A6316B" w:rsidRDefault="00845A9A" w:rsidP="00DB0B82">
            <w:pPr>
              <w:spacing w:line="276" w:lineRule="auto"/>
              <w:ind w:firstLine="708"/>
              <w:jc w:val="both"/>
              <w:rPr>
                <w:rFonts w:ascii="Verdana" w:eastAsia="Calibri" w:hAnsi="Verdana" w:cs="Arial"/>
              </w:rPr>
            </w:pPr>
            <w:r>
              <w:rPr>
                <w:rFonts w:ascii="Verdana" w:eastAsia="Calibri" w:hAnsi="Verdana" w:cs="Arial"/>
                <w:color w:val="000000"/>
                <w:lang w:val="es-ES" w:eastAsia="es-ES"/>
              </w:rPr>
              <w:t xml:space="preserve">Sin perjuicio de lo anterior, </w:t>
            </w:r>
            <w:r w:rsidRPr="007A60E6">
              <w:rPr>
                <w:rFonts w:ascii="Verdana" w:eastAsia="Calibri" w:hAnsi="Verdana" w:cs="Arial"/>
                <w:color w:val="000000"/>
                <w:lang w:val="es-ES" w:eastAsia="es-ES"/>
              </w:rPr>
              <w:t>se precisa que los conceptos emitidos por esta Subdirección en el marco de la función consultiva representan</w:t>
            </w:r>
            <w:r w:rsidRPr="007A60E6">
              <w:rPr>
                <w:rFonts w:ascii="Verdana" w:hAnsi="Verdana" w:cs="Arial"/>
                <w:lang w:eastAsia="es-ES"/>
              </w:rPr>
              <w:t xml:space="preserve"> una </w:t>
            </w:r>
            <w:r w:rsidRPr="007A60E6">
              <w:rPr>
                <w:rFonts w:ascii="Verdana" w:eastAsia="Calibri" w:hAnsi="Verdana" w:cs="Arial"/>
                <w:bCs/>
                <w:lang w:val="es-ES_tradnl"/>
              </w:rPr>
              <w:t>posición hermenéutica respecto a las disposiciones normativas del Sistema de Compras Públicas,</w:t>
            </w:r>
            <w:r w:rsidRPr="007A60E6">
              <w:rPr>
                <w:rFonts w:ascii="Verdana" w:hAnsi="Verdana" w:cs="Arial"/>
                <w:lang w:eastAsia="es-ES"/>
              </w:rPr>
              <w:t xml:space="preserve"> que </w:t>
            </w:r>
            <w:r w:rsidRPr="007A60E6">
              <w:rPr>
                <w:rFonts w:ascii="Verdana" w:eastAsia="Calibri" w:hAnsi="Verdana" w:cs="Arial"/>
                <w:bCs/>
                <w:lang w:val="es-ES_tradnl"/>
              </w:rPr>
              <w:t>no tienen efectos vinculantes en relación con una situación jurídica particular y concreta, y exponen un criterio que, aunque jurídicamente fundamentado, no representan la única interpretación válida del ordenamiento jurídico</w:t>
            </w:r>
            <w:r>
              <w:rPr>
                <w:rFonts w:ascii="Verdana" w:eastAsia="Calibri" w:hAnsi="Verdana" w:cs="Arial"/>
                <w:bCs/>
                <w:lang w:val="es-ES_tradnl"/>
              </w:rPr>
              <w:t xml:space="preserve">. </w:t>
            </w:r>
            <w:r w:rsidRPr="007A60E6">
              <w:rPr>
                <w:rFonts w:ascii="Verdana" w:eastAsia="Calibri" w:hAnsi="Verdana" w:cs="Arial"/>
                <w:bCs/>
                <w:lang w:val="es-ES_tradnl"/>
              </w:rPr>
              <w:t xml:space="preserve">Por tanto, cada </w:t>
            </w:r>
            <w:r w:rsidRPr="007A60E6">
              <w:rPr>
                <w:rFonts w:ascii="Verdana" w:hAnsi="Verdana" w:cs="Arial"/>
                <w:lang w:eastAsia="es-ES"/>
              </w:rPr>
              <w:t>entidad definirá la forma de adelantar su gestión contractual, sin que sea atribución de Colombia Compra Eficiente validar sus actuaciones.</w:t>
            </w:r>
          </w:p>
        </w:tc>
      </w:tr>
    </w:tbl>
    <w:p w14:paraId="6964C737" w14:textId="77777777" w:rsidR="00845A9A" w:rsidRDefault="00845A9A" w:rsidP="00845A9A">
      <w:pPr>
        <w:tabs>
          <w:tab w:val="left" w:pos="142"/>
          <w:tab w:val="left" w:pos="284"/>
        </w:tabs>
        <w:spacing w:after="0" w:line="276" w:lineRule="auto"/>
        <w:jc w:val="both"/>
        <w:rPr>
          <w:rFonts w:ascii="Verdana" w:eastAsia="Century Gothic" w:hAnsi="Verdana" w:cs="Century Gothic"/>
          <w:b/>
          <w:bCs/>
        </w:rPr>
      </w:pPr>
    </w:p>
    <w:p w14:paraId="5A3B69C9" w14:textId="77777777" w:rsidR="00845A9A" w:rsidRPr="005644FE" w:rsidRDefault="00845A9A" w:rsidP="00845A9A">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345637EF" w14:textId="77777777" w:rsidR="00845A9A" w:rsidRPr="005644FE" w:rsidRDefault="00845A9A" w:rsidP="00845A9A">
      <w:pPr>
        <w:pStyle w:val="Prrafodelista"/>
        <w:tabs>
          <w:tab w:val="left" w:pos="142"/>
          <w:tab w:val="left" w:pos="284"/>
        </w:tabs>
        <w:spacing w:after="0" w:line="240" w:lineRule="auto"/>
        <w:ind w:left="0"/>
        <w:contextualSpacing w:val="0"/>
        <w:jc w:val="both"/>
        <w:rPr>
          <w:rFonts w:ascii="Verdana" w:eastAsia="Calibri" w:hAnsi="Verdana" w:cs="Arial"/>
        </w:rPr>
      </w:pPr>
    </w:p>
    <w:p w14:paraId="6AACA596" w14:textId="77777777" w:rsidR="00845A9A" w:rsidRDefault="00845A9A" w:rsidP="00845A9A">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7C595C8E" w14:textId="77777777" w:rsidR="00845A9A" w:rsidRDefault="00845A9A" w:rsidP="00845A9A">
      <w:pPr>
        <w:tabs>
          <w:tab w:val="left" w:pos="142"/>
          <w:tab w:val="left" w:pos="284"/>
        </w:tabs>
        <w:spacing w:after="0" w:line="240" w:lineRule="auto"/>
        <w:jc w:val="both"/>
        <w:rPr>
          <w:rFonts w:ascii="Verdana" w:eastAsia="Calibri" w:hAnsi="Verdana" w:cs="Arial"/>
        </w:rPr>
      </w:pPr>
    </w:p>
    <w:p w14:paraId="0B40B777" w14:textId="59FB5C1C" w:rsidR="00845A9A" w:rsidRDefault="00845A9A" w:rsidP="00845A9A">
      <w:pPr>
        <w:spacing w:after="120" w:line="276" w:lineRule="auto"/>
        <w:jc w:val="both"/>
        <w:rPr>
          <w:rFonts w:ascii="Verdana" w:eastAsia="Calibri" w:hAnsi="Verdana" w:cs="Arial"/>
          <w:color w:val="000000"/>
          <w:lang w:val="es-ES" w:eastAsia="es-ES"/>
        </w:rPr>
      </w:pPr>
      <w:r>
        <w:rPr>
          <w:rFonts w:ascii="Verdana" w:eastAsia="Calibri" w:hAnsi="Verdana" w:cs="Arial"/>
          <w:color w:val="000000" w:themeColor="text1"/>
          <w:lang w:val="es-ES_tradnl"/>
        </w:rPr>
        <w:t>Es</w:t>
      </w:r>
      <w:r w:rsidRPr="007A60E6">
        <w:rPr>
          <w:rFonts w:ascii="Verdana" w:eastAsia="Calibri" w:hAnsi="Verdana" w:cs="Arial"/>
          <w:color w:val="000000" w:themeColor="text1"/>
          <w:lang w:val="es-ES_tradnl"/>
        </w:rPr>
        <w:t xml:space="preserve"> pertinente hacer algunas precisiones sobre la posición que ha sostenido la </w:t>
      </w:r>
      <w:r w:rsidRPr="007A60E6">
        <w:rPr>
          <w:rFonts w:ascii="Verdana" w:eastAsia="Calibri" w:hAnsi="Verdana" w:cs="Arial"/>
          <w:color w:val="000000"/>
          <w:lang w:val="es-ES" w:eastAsia="es-ES"/>
        </w:rPr>
        <w:t xml:space="preserve">Subdirección de Gestión Contractual de la ANCP – CCE en ejercicio de su función consultiva, </w:t>
      </w:r>
      <w:r w:rsidRPr="007A60E6">
        <w:rPr>
          <w:rFonts w:ascii="Verdana" w:eastAsia="Calibri" w:hAnsi="Verdana" w:cs="Arial"/>
          <w:color w:val="000000" w:themeColor="text1"/>
          <w:lang w:val="es-ES_tradnl"/>
        </w:rPr>
        <w:t>en relación con</w:t>
      </w:r>
      <w:r w:rsidRPr="007A60E6">
        <w:rPr>
          <w:rFonts w:ascii="Verdana" w:eastAsia="Calibri" w:hAnsi="Verdana" w:cs="Arial"/>
          <w:color w:val="000000"/>
          <w:lang w:val="es-ES" w:eastAsia="es-ES"/>
        </w:rPr>
        <w:t xml:space="preserve"> </w:t>
      </w:r>
      <w:r>
        <w:rPr>
          <w:rFonts w:ascii="Verdana" w:eastAsia="Calibri" w:hAnsi="Verdana" w:cs="Arial"/>
          <w:color w:val="000000"/>
          <w:lang w:val="es-ES" w:eastAsia="es-ES"/>
        </w:rPr>
        <w:t>la participación de ESAL en procesos de contratación.</w:t>
      </w:r>
    </w:p>
    <w:p w14:paraId="4CCAF7B8" w14:textId="77777777" w:rsidR="00845A9A" w:rsidRDefault="00845A9A" w:rsidP="00845A9A">
      <w:pPr>
        <w:spacing w:after="120" w:line="276" w:lineRule="auto"/>
        <w:ind w:firstLine="709"/>
        <w:jc w:val="both"/>
        <w:rPr>
          <w:rFonts w:ascii="Verdana" w:eastAsia="Geomanist Light" w:hAnsi="Verdana" w:cs="Arial"/>
          <w:lang w:val="es-ES"/>
        </w:rPr>
      </w:pPr>
      <w:r w:rsidRPr="007A60E6">
        <w:rPr>
          <w:rFonts w:ascii="Verdana" w:hAnsi="Verdana"/>
          <w:lang w:val="es-ES" w:eastAsia="es-ES"/>
        </w:rPr>
        <w:t xml:space="preserve">Así, conforme a la interpretación general de las normas del sistema de compras públicas, esta Subdirección </w:t>
      </w:r>
      <w:r>
        <w:rPr>
          <w:rFonts w:ascii="Verdana" w:hAnsi="Verdana" w:cs="Arial"/>
          <w:shd w:val="clear" w:color="auto" w:fill="FFFFFF"/>
          <w:lang w:val="es-ES"/>
        </w:rPr>
        <w:t xml:space="preserve">ha señalado de forma reiterada que </w:t>
      </w:r>
      <w:r>
        <w:rPr>
          <w:rFonts w:ascii="Verdana" w:hAnsi="Verdana" w:cs="Arial"/>
          <w:color w:val="000000" w:themeColor="text1"/>
          <w:lang w:val="es-ES"/>
        </w:rPr>
        <w:t xml:space="preserve">los incentivos referidos en la Ley 2069 de 2020 y la posibilidad de solicitar la limitación de las convocatorias a MiPymes no son extensibles a todas las ESAL, sino únicamente a aquellas que corresponden al concepto de </w:t>
      </w:r>
      <w:r>
        <w:rPr>
          <w:rFonts w:ascii="Verdana" w:eastAsia="Calibri" w:hAnsi="Verdana" w:cs="Arial"/>
          <w:color w:val="000000" w:themeColor="text1"/>
          <w:lang w:val="es-ES"/>
        </w:rPr>
        <w:t xml:space="preserve">cooperativas y demás entes considerados de economía solidaria </w:t>
      </w:r>
      <w:r>
        <w:rPr>
          <w:rFonts w:ascii="Verdana" w:eastAsia="Geomanist Light" w:hAnsi="Verdana" w:cs="Arial"/>
          <w:lang w:val="es-ES"/>
        </w:rPr>
        <w:t xml:space="preserve">en los términos del artículo 6 de la Ley 454 de 1998 –norma a la que remite el artículo 23 de la Ley 2069 de 2020  conocida como la ley de Emprendimiento. 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señalados en el numeral 3 del artículo </w:t>
      </w:r>
      <w:r>
        <w:rPr>
          <w:rFonts w:ascii="Verdana" w:eastAsia="Calibri" w:hAnsi="Verdana" w:cs="Arial"/>
          <w:color w:val="000000" w:themeColor="text1"/>
        </w:rPr>
        <w:t>2.2.1.2.1.5.2</w:t>
      </w:r>
      <w:r>
        <w:rPr>
          <w:rFonts w:ascii="Verdana" w:eastAsia="Calibri" w:hAnsi="Verdana" w:cs="Arial"/>
          <w:b/>
          <w:bCs/>
          <w:color w:val="000000" w:themeColor="text1"/>
        </w:rPr>
        <w:t>.</w:t>
      </w:r>
      <w:r>
        <w:rPr>
          <w:rFonts w:ascii="Verdana" w:eastAsia="Calibri" w:hAnsi="Verdana" w:cs="Arial"/>
          <w:color w:val="000000" w:themeColor="text1"/>
          <w:lang w:val="es-ES"/>
        </w:rPr>
        <w:t xml:space="preserve"> del Decreto 1082 de 2015.</w:t>
      </w:r>
    </w:p>
    <w:p w14:paraId="218E1D1F" w14:textId="77777777" w:rsidR="00845A9A" w:rsidRPr="007F5F87" w:rsidRDefault="00845A9A" w:rsidP="00845A9A">
      <w:pPr>
        <w:spacing w:after="120" w:line="276" w:lineRule="auto"/>
        <w:ind w:firstLine="709"/>
        <w:jc w:val="both"/>
        <w:rPr>
          <w:rFonts w:ascii="Verdana" w:eastAsia="Calibri" w:hAnsi="Verdana" w:cs="Arial"/>
          <w:lang w:val="es-ES_tradnl" w:eastAsia="es-ES_tradnl"/>
        </w:rPr>
      </w:pPr>
      <w:r>
        <w:rPr>
          <w:rFonts w:ascii="Verdana" w:eastAsia="Geomanist Light" w:hAnsi="Verdana" w:cs="Arial"/>
          <w:lang w:val="es-ES"/>
        </w:rPr>
        <w:t xml:space="preserve">Esta postura se sustenta en varios argumentos que vale la pena mencionar con finalidad de reiterar la tesis que se ha sostenido. En primer lugar, es importante indicar que, </w:t>
      </w:r>
      <w:r>
        <w:rPr>
          <w:rFonts w:ascii="Verdana" w:eastAsia="Calibri" w:hAnsi="Verdana" w:cs="Arial"/>
          <w:lang w:val="es-ES_tradnl" w:eastAsia="es-ES_tradnl"/>
        </w:rPr>
        <w:t>e</w:t>
      </w:r>
      <w:r w:rsidRPr="007F5F87">
        <w:rPr>
          <w:rFonts w:ascii="Verdana" w:eastAsia="Calibri" w:hAnsi="Verdana" w:cs="Arial"/>
          <w:lang w:val="es-ES_tradnl" w:eastAsia="es-ES_tradnl"/>
        </w:rPr>
        <w:t xml:space="preserve">n Colombia, la empresa se forma a través de un contrato de sociedad por medio del cual dos o más personas se obligan a hacer un aporte en dinero, en trabajo o en otros bienes apreciables en dinero con el fin de repartirse entre sí las utilidades obtenidas en la empresa, según </w:t>
      </w:r>
      <w:r>
        <w:rPr>
          <w:rFonts w:ascii="Verdana" w:eastAsia="Calibri" w:hAnsi="Verdana" w:cs="Arial"/>
          <w:lang w:val="es-ES_tradnl" w:eastAsia="es-ES_tradnl"/>
        </w:rPr>
        <w:t xml:space="preserve">lo dispuesto en </w:t>
      </w:r>
      <w:r w:rsidRPr="007F5F87">
        <w:rPr>
          <w:rFonts w:ascii="Verdana" w:eastAsia="Calibri" w:hAnsi="Verdana" w:cs="Arial"/>
          <w:lang w:val="es-ES_tradnl" w:eastAsia="es-ES_tradnl"/>
        </w:rPr>
        <w:t xml:space="preserve">el artículo 98 del Código de Comercio. En ese sentido, serán sociedades comerciales aquellas que ejecuten actos o empresas mercantiles, en los términos señalados en el artículo 100 </w:t>
      </w:r>
      <w:r w:rsidRPr="00357AC1">
        <w:rPr>
          <w:rFonts w:ascii="Verdana" w:eastAsia="Calibri" w:hAnsi="Verdana" w:cs="Arial"/>
          <w:lang w:val="es-ES_tradnl" w:eastAsia="es-ES_tradnl"/>
        </w:rPr>
        <w:t>ibidem</w:t>
      </w:r>
      <w:r w:rsidRPr="00357AC1">
        <w:rPr>
          <w:rFonts w:ascii="Verdana" w:hAnsi="Verdana"/>
          <w:vertAlign w:val="superscript"/>
        </w:rPr>
        <w:footnoteReference w:id="1"/>
      </w:r>
      <w:r w:rsidRPr="00357AC1">
        <w:rPr>
          <w:rFonts w:ascii="Verdana" w:eastAsia="Calibri" w:hAnsi="Verdana" w:cs="Arial"/>
          <w:lang w:val="es-ES_tradnl" w:eastAsia="es-ES_tradnl"/>
        </w:rPr>
        <w:t>.</w:t>
      </w:r>
    </w:p>
    <w:p w14:paraId="63FFE87B" w14:textId="77777777" w:rsidR="00845A9A" w:rsidRDefault="00845A9A" w:rsidP="00845A9A">
      <w:pPr>
        <w:spacing w:after="120" w:line="276" w:lineRule="auto"/>
        <w:ind w:firstLine="709"/>
        <w:jc w:val="both"/>
        <w:rPr>
          <w:rFonts w:ascii="Verdana" w:eastAsia="Calibri" w:hAnsi="Verdana" w:cs="Arial"/>
          <w:lang w:val="es-ES" w:eastAsia="es-ES"/>
        </w:rPr>
      </w:pPr>
      <w:r w:rsidRPr="6AB4E263">
        <w:rPr>
          <w:rFonts w:ascii="Verdana" w:eastAsia="Calibri" w:hAnsi="Verdana" w:cs="Arial"/>
          <w:lang w:val="es-ES" w:eastAsia="es-ES"/>
        </w:rPr>
        <w:t xml:space="preserve">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p>
    <w:p w14:paraId="6B8695B1" w14:textId="77777777" w:rsidR="00845A9A" w:rsidRPr="00E67771" w:rsidRDefault="00845A9A" w:rsidP="00845A9A">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A lo anterior se suma que e</w:t>
      </w:r>
      <w:r w:rsidRPr="00E67771">
        <w:rPr>
          <w:rFonts w:ascii="Verdana" w:eastAsia="Calibri" w:hAnsi="Verdana" w:cs="Arial"/>
          <w:lang w:val="es-ES_tradnl" w:eastAsia="es-ES_tradnl"/>
        </w:rPr>
        <w:t xml:space="preserve">ste tipo de corporaciones o asociaciones </w:t>
      </w:r>
      <w:r>
        <w:rPr>
          <w:rFonts w:ascii="Verdana" w:eastAsia="Calibri" w:hAnsi="Verdana" w:cs="Arial"/>
          <w:lang w:val="es-ES_tradnl" w:eastAsia="es-ES_tradnl"/>
        </w:rPr>
        <w:t>se encuentran reguladas en</w:t>
      </w:r>
      <w:r w:rsidRPr="00E67771">
        <w:rPr>
          <w:rFonts w:ascii="Verdana" w:eastAsia="Calibri" w:hAnsi="Verdana" w:cs="Arial"/>
          <w:lang w:val="es-ES_tradnl" w:eastAsia="es-ES_tradnl"/>
        </w:rPr>
        <w:t xml:space="preserve"> el Código Civil –entre otras normas</w:t>
      </w:r>
      <w:r>
        <w:rPr>
          <w:rFonts w:ascii="Verdana" w:eastAsia="Calibri" w:hAnsi="Verdana" w:cs="Arial"/>
          <w:lang w:val="es-ES_tradnl" w:eastAsia="es-ES_tradnl"/>
        </w:rPr>
        <w:t xml:space="preserve"> concordantes</w:t>
      </w:r>
      <w:r w:rsidRPr="00E67771">
        <w:rPr>
          <w:rFonts w:ascii="Verdana" w:eastAsia="Calibri" w:hAnsi="Verdana" w:cs="Arial"/>
          <w:lang w:val="es-ES_tradnl" w:eastAsia="es-ES_tradnl"/>
        </w:rPr>
        <w:t>–, de lo que se sigue que no constituyen formas de sociedad comercial</w:t>
      </w:r>
      <w:r>
        <w:rPr>
          <w:rFonts w:ascii="Verdana" w:eastAsia="Calibri" w:hAnsi="Verdana" w:cs="Arial"/>
          <w:lang w:val="es-ES_tradnl" w:eastAsia="es-ES_tradnl"/>
        </w:rPr>
        <w:t>,</w:t>
      </w:r>
      <w:r w:rsidRPr="00E67771">
        <w:rPr>
          <w:rFonts w:ascii="Verdana" w:eastAsia="Calibri" w:hAnsi="Verdana" w:cs="Arial"/>
          <w:lang w:val="es-ES_tradnl" w:eastAsia="es-ES_tradnl"/>
        </w:rPr>
        <w:t xml:space="preserve"> sino formas de organización civil con fines esencialmente altruistas o de interés general, que se conforman entre personas que tienen como finalidad contribuir con su esfuerzo, y hasta con sus bienes, </w:t>
      </w:r>
      <w:r>
        <w:rPr>
          <w:rFonts w:ascii="Verdana" w:eastAsia="Calibri" w:hAnsi="Verdana" w:cs="Arial"/>
          <w:lang w:val="es-ES_tradnl" w:eastAsia="es-ES_tradnl"/>
        </w:rPr>
        <w:t>para</w:t>
      </w:r>
      <w:r w:rsidRPr="00E67771">
        <w:rPr>
          <w:rFonts w:ascii="Verdana" w:eastAsia="Calibri" w:hAnsi="Verdana" w:cs="Arial"/>
          <w:lang w:val="es-ES_tradnl" w:eastAsia="es-ES_tradnl"/>
        </w:rPr>
        <w:t xml:space="preserve"> ayudar a la comunidad</w:t>
      </w:r>
      <w:r w:rsidRPr="00E67771">
        <w:rPr>
          <w:rStyle w:val="Refdenotaalpie"/>
          <w:rFonts w:ascii="Verdana" w:eastAsia="Calibri" w:hAnsi="Verdana" w:cs="Arial"/>
          <w:lang w:val="es-ES_tradnl" w:eastAsia="es-ES_tradnl"/>
        </w:rPr>
        <w:footnoteReference w:id="2"/>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w:t>
      </w:r>
      <w:r>
        <w:rPr>
          <w:rFonts w:ascii="Verdana" w:eastAsia="Calibri" w:hAnsi="Verdana" w:cs="Arial"/>
          <w:lang w:val="es-ES_tradnl" w:eastAsia="es-ES_tradnl"/>
        </w:rPr>
        <w:t>s</w:t>
      </w:r>
      <w:r w:rsidRPr="00E67771">
        <w:rPr>
          <w:rFonts w:ascii="Verdana" w:eastAsia="Calibri" w:hAnsi="Verdana" w:cs="Arial"/>
          <w:lang w:val="es-ES_tradnl" w:eastAsia="es-ES_tradnl"/>
        </w:rPr>
        <w:t xml:space="preserve"> diferencias </w:t>
      </w:r>
      <w:r>
        <w:rPr>
          <w:rFonts w:ascii="Verdana" w:eastAsia="Calibri" w:hAnsi="Verdana" w:cs="Arial"/>
          <w:lang w:val="es-ES_tradnl" w:eastAsia="es-ES_tradnl"/>
        </w:rPr>
        <w:t xml:space="preserve">de manera </w:t>
      </w:r>
      <w:r w:rsidRPr="00E67771">
        <w:rPr>
          <w:rFonts w:ascii="Verdana" w:eastAsia="Calibri" w:hAnsi="Verdana" w:cs="Arial"/>
          <w:lang w:val="es-ES_tradnl" w:eastAsia="es-ES_tradnl"/>
        </w:rPr>
        <w:t xml:space="preserve">fundamental </w:t>
      </w:r>
      <w:r>
        <w:rPr>
          <w:rFonts w:ascii="Verdana" w:eastAsia="Calibri" w:hAnsi="Verdana" w:cs="Arial"/>
          <w:lang w:val="es-ES_tradnl" w:eastAsia="es-ES_tradnl"/>
        </w:rPr>
        <w:t>de</w:t>
      </w:r>
      <w:r w:rsidRPr="00E67771">
        <w:rPr>
          <w:rFonts w:ascii="Verdana" w:eastAsia="Calibri" w:hAnsi="Verdana" w:cs="Arial"/>
          <w:lang w:val="es-ES_tradnl" w:eastAsia="es-ES_tradnl"/>
        </w:rPr>
        <w:t xml:space="preserve"> las sociedades comerciales.</w:t>
      </w:r>
    </w:p>
    <w:p w14:paraId="25298D6E" w14:textId="77777777" w:rsidR="00845A9A" w:rsidRDefault="00845A9A" w:rsidP="00845A9A">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 xml:space="preserve">Que una ESAL no sea una forma de sociedad comercial se infiere </w:t>
      </w:r>
      <w:r>
        <w:rPr>
          <w:rFonts w:ascii="Verdana" w:eastAsia="Calibri" w:hAnsi="Verdana" w:cs="Arial"/>
          <w:lang w:val="es-ES" w:eastAsia="es-ES"/>
        </w:rPr>
        <w:t xml:space="preserve">también </w:t>
      </w:r>
      <w:r w:rsidRPr="00E67771">
        <w:rPr>
          <w:rFonts w:ascii="Verdana" w:eastAsia="Calibri" w:hAnsi="Verdana" w:cs="Arial"/>
          <w:lang w:val="es-ES" w:eastAsia="es-ES"/>
        </w:rPr>
        <w:t xml:space="preserve">de los requisitos </w:t>
      </w:r>
      <w:r>
        <w:rPr>
          <w:rFonts w:ascii="Verdana" w:eastAsia="Calibri" w:hAnsi="Verdana" w:cs="Arial"/>
          <w:lang w:val="es-ES" w:eastAsia="es-ES"/>
        </w:rPr>
        <w:t xml:space="preserve">y finalidad </w:t>
      </w:r>
      <w:r w:rsidRPr="00E67771">
        <w:rPr>
          <w:rFonts w:ascii="Verdana" w:eastAsia="Calibri" w:hAnsi="Verdana" w:cs="Arial"/>
          <w:lang w:val="es-ES" w:eastAsia="es-ES"/>
        </w:rPr>
        <w:t>que exige el artículo 98 del Código de Comercio</w:t>
      </w:r>
      <w:r>
        <w:rPr>
          <w:rFonts w:ascii="Verdana" w:eastAsia="Calibri" w:hAnsi="Verdana" w:cs="Arial"/>
          <w:lang w:val="es-ES" w:eastAsia="es-ES"/>
        </w:rPr>
        <w:t xml:space="preserve"> en relación con el contrato de sociedad.</w:t>
      </w:r>
      <w:r w:rsidRPr="00E67771">
        <w:rPr>
          <w:rFonts w:ascii="Verdana" w:eastAsia="Calibri" w:hAnsi="Verdana" w:cs="Arial"/>
          <w:lang w:val="es-ES" w:eastAsia="es-ES"/>
        </w:rPr>
        <w:t xml:space="preserve">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w:t>
      </w:r>
      <w:r>
        <w:rPr>
          <w:rFonts w:ascii="Verdana" w:eastAsia="Calibri" w:hAnsi="Verdana" w:cs="Arial"/>
          <w:lang w:val="es-ES" w:eastAsia="es-ES"/>
        </w:rPr>
        <w:t>(</w:t>
      </w:r>
      <w:r w:rsidRPr="00E67771">
        <w:rPr>
          <w:rFonts w:ascii="Verdana" w:eastAsia="Calibri" w:hAnsi="Verdana" w:cs="Arial"/>
          <w:lang w:val="es-ES" w:eastAsia="es-ES"/>
        </w:rPr>
        <w:t>Énfasis fuera de texto</w:t>
      </w:r>
      <w:r>
        <w:rPr>
          <w:rFonts w:ascii="Verdana" w:eastAsia="Calibri" w:hAnsi="Verdana" w:cs="Arial"/>
          <w:lang w:val="es-ES" w:eastAsia="es-ES"/>
        </w:rPr>
        <w:t>)</w:t>
      </w:r>
      <w:r w:rsidRPr="00E67771">
        <w:rPr>
          <w:rFonts w:ascii="Verdana" w:eastAsia="Calibri" w:hAnsi="Verdana" w:cs="Arial"/>
          <w:lang w:val="es-ES" w:eastAsia="es-ES"/>
        </w:rPr>
        <w:t xml:space="preserve">. </w:t>
      </w:r>
    </w:p>
    <w:p w14:paraId="46237E9E" w14:textId="77777777" w:rsidR="00845A9A" w:rsidRPr="00E67771" w:rsidRDefault="00845A9A" w:rsidP="00845A9A">
      <w:pPr>
        <w:spacing w:after="12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 xml:space="preserve">Así pues, </w:t>
      </w:r>
      <w:r>
        <w:rPr>
          <w:rFonts w:ascii="Verdana" w:eastAsia="Calibri" w:hAnsi="Verdana" w:cs="Arial"/>
          <w:lang w:val="es-ES_tradnl" w:eastAsia="es-ES_tradnl"/>
        </w:rPr>
        <w:t xml:space="preserve">en </w:t>
      </w:r>
      <w:r w:rsidRPr="00E67771">
        <w:rPr>
          <w:rFonts w:ascii="Verdana" w:eastAsia="Calibri" w:hAnsi="Verdana" w:cs="Arial"/>
          <w:lang w:val="es-ES_tradnl" w:eastAsia="es-ES_tradnl"/>
        </w:rPr>
        <w:t xml:space="preserve">las ESAL no </w:t>
      </w:r>
      <w:r>
        <w:rPr>
          <w:rFonts w:ascii="Verdana" w:eastAsia="Calibri" w:hAnsi="Verdana" w:cs="Arial"/>
          <w:lang w:val="es-ES_tradnl" w:eastAsia="es-ES_tradnl"/>
        </w:rPr>
        <w:t xml:space="preserve">es admisible </w:t>
      </w:r>
      <w:r w:rsidRPr="00E67771">
        <w:rPr>
          <w:rFonts w:ascii="Verdana" w:eastAsia="Calibri" w:hAnsi="Verdana" w:cs="Arial"/>
          <w:lang w:val="es-ES_tradnl" w:eastAsia="es-ES_tradnl"/>
        </w:rPr>
        <w:t>el reparto de utilidades, ni durante la existencia de la organización ni cuando se extinga</w:t>
      </w:r>
      <w:r>
        <w:rPr>
          <w:rFonts w:ascii="Verdana" w:eastAsia="Calibri" w:hAnsi="Verdana" w:cs="Arial"/>
          <w:lang w:val="es-ES_tradnl" w:eastAsia="es-ES_tradnl"/>
        </w:rPr>
        <w:t xml:space="preserve">. </w:t>
      </w:r>
      <w:r w:rsidRPr="003505EE">
        <w:rPr>
          <w:rFonts w:ascii="Verdana" w:eastAsia="Calibri" w:hAnsi="Verdana" w:cs="Arial"/>
          <w:lang w:val="es-ES_tradnl" w:eastAsia="es-ES_tradnl"/>
        </w:rPr>
        <w:t>E</w:t>
      </w:r>
      <w:r>
        <w:rPr>
          <w:rFonts w:ascii="Verdana" w:eastAsia="Calibri" w:hAnsi="Verdana" w:cs="Arial"/>
          <w:lang w:val="es-ES_tradnl" w:eastAsia="es-ES_tradnl"/>
        </w:rPr>
        <w:t>n e</w:t>
      </w:r>
      <w:r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w:t>
      </w:r>
      <w:r>
        <w:rPr>
          <w:rFonts w:ascii="Verdana" w:eastAsia="Calibri" w:hAnsi="Verdana" w:cs="Arial"/>
          <w:lang w:val="es-ES_tradnl" w:eastAsia="es-ES_tradnl"/>
        </w:rPr>
        <w:t xml:space="preserve"> estas corporaciones y las sociedades comerciales, p</w:t>
      </w:r>
      <w:r w:rsidRPr="00E67771">
        <w:rPr>
          <w:rFonts w:ascii="Verdana" w:eastAsia="Calibri" w:hAnsi="Verdana" w:cs="Arial"/>
          <w:lang w:val="es-ES_tradnl" w:eastAsia="es-ES_tradnl"/>
        </w:rPr>
        <w:t>ese a que ambas se crean con libertad y al amparo del derecho fundamental de asociación previsto en el artículo 38 de la Constitución Política y otras normas contenidas en tratados internacionales suscritos por Colombia.</w:t>
      </w:r>
    </w:p>
    <w:p w14:paraId="5ABD3C14" w14:textId="77777777" w:rsidR="00845A9A" w:rsidRPr="00A303E8" w:rsidRDefault="00845A9A" w:rsidP="00845A9A">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w:t>
      </w:r>
      <w:r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 xml:space="preserve">en la medida en que </w:t>
      </w:r>
      <w:r>
        <w:rPr>
          <w:rFonts w:ascii="Verdana" w:eastAsia="Calibri" w:hAnsi="Verdana" w:cs="Arial"/>
          <w:lang w:val="es-ES" w:eastAsia="es-ES"/>
        </w:rPr>
        <w:t xml:space="preserve">las sociedades comerciales se </w:t>
      </w:r>
      <w:r w:rsidRPr="00A303E8">
        <w:rPr>
          <w:rFonts w:ascii="Verdana" w:eastAsia="Calibri" w:hAnsi="Verdana" w:cs="Arial"/>
          <w:lang w:val="es-ES" w:eastAsia="es-ES"/>
        </w:rPr>
        <w:t>crea</w:t>
      </w:r>
      <w:r>
        <w:rPr>
          <w:rFonts w:ascii="Verdana" w:eastAsia="Calibri" w:hAnsi="Verdana" w:cs="Arial"/>
          <w:lang w:val="es-ES" w:eastAsia="es-ES"/>
        </w:rPr>
        <w:t>n</w:t>
      </w:r>
      <w:r w:rsidRPr="00A303E8">
        <w:rPr>
          <w:rFonts w:ascii="Verdana" w:eastAsia="Calibri" w:hAnsi="Verdana" w:cs="Arial"/>
          <w:lang w:val="es-ES" w:eastAsia="es-ES"/>
        </w:rPr>
        <w:t xml:space="preserve"> con la finalidad de que sus socios repartan las utilidades obtenidas en desarrollo de la empresa o actividad social. Por el contrario, las </w:t>
      </w:r>
      <w:r>
        <w:rPr>
          <w:rFonts w:ascii="Verdana" w:eastAsia="Calibri" w:hAnsi="Verdana" w:cs="Arial"/>
          <w:lang w:val="es-ES" w:eastAsia="es-ES"/>
        </w:rPr>
        <w:t xml:space="preserve">corporaciones, fundaciones </w:t>
      </w:r>
      <w:r w:rsidRPr="00A303E8">
        <w:rPr>
          <w:rFonts w:ascii="Verdana" w:eastAsia="Calibri" w:hAnsi="Verdana" w:cs="Arial"/>
          <w:lang w:val="es-ES" w:eastAsia="es-ES"/>
        </w:rPr>
        <w:t>o asociaciones destinan su patrimonio a la consecución de un interés genera</w:t>
      </w:r>
      <w:r>
        <w:rPr>
          <w:rFonts w:ascii="Verdana" w:eastAsia="Calibri" w:hAnsi="Verdana" w:cs="Arial"/>
          <w:lang w:val="es-ES" w:eastAsia="es-ES"/>
        </w:rPr>
        <w:t xml:space="preserve">l y no </w:t>
      </w:r>
      <w:r w:rsidRPr="00A303E8">
        <w:rPr>
          <w:rFonts w:ascii="Verdana" w:eastAsia="Calibri" w:hAnsi="Verdana" w:cs="Arial"/>
          <w:lang w:val="es-ES" w:eastAsia="es-ES"/>
        </w:rPr>
        <w:t>percibe</w:t>
      </w:r>
      <w:r>
        <w:rPr>
          <w:rFonts w:ascii="Verdana" w:eastAsia="Calibri" w:hAnsi="Verdana" w:cs="Arial"/>
          <w:lang w:val="es-ES" w:eastAsia="es-ES"/>
        </w:rPr>
        <w:t>n</w:t>
      </w:r>
      <w:r w:rsidRPr="00A303E8">
        <w:rPr>
          <w:rFonts w:ascii="Verdana" w:eastAsia="Calibri" w:hAnsi="Verdana" w:cs="Arial"/>
          <w:lang w:val="es-ES" w:eastAsia="es-ES"/>
        </w:rPr>
        <w:t xml:space="preserve"> lucro</w:t>
      </w:r>
      <w:r>
        <w:rPr>
          <w:rFonts w:ascii="Verdana" w:eastAsia="Calibri" w:hAnsi="Verdana" w:cs="Arial"/>
          <w:lang w:val="es-ES" w:eastAsia="es-ES"/>
        </w:rPr>
        <w:t xml:space="preserve">, pues los </w:t>
      </w:r>
      <w:r w:rsidRPr="00A303E8">
        <w:rPr>
          <w:rFonts w:ascii="Verdana" w:eastAsia="Calibri" w:hAnsi="Verdana" w:cs="Arial"/>
          <w:lang w:val="es-ES" w:eastAsia="es-ES"/>
        </w:rPr>
        <w:t xml:space="preserve">excedentes monetarios que se presenten </w:t>
      </w:r>
      <w:r>
        <w:rPr>
          <w:rFonts w:ascii="Verdana" w:eastAsia="Calibri" w:hAnsi="Verdana" w:cs="Arial"/>
          <w:lang w:val="es-ES" w:eastAsia="es-ES"/>
        </w:rPr>
        <w:t>deben ser reinvertidos en la ESAL y no es viable</w:t>
      </w:r>
      <w:r w:rsidRPr="00A303E8">
        <w:rPr>
          <w:rFonts w:ascii="Verdana" w:eastAsia="Calibri" w:hAnsi="Verdana" w:cs="Arial"/>
          <w:lang w:val="es-ES" w:eastAsia="es-ES"/>
        </w:rPr>
        <w:t xml:space="preserve"> </w:t>
      </w:r>
      <w:r>
        <w:rPr>
          <w:rFonts w:ascii="Verdana" w:eastAsia="Calibri" w:hAnsi="Verdana" w:cs="Arial"/>
          <w:lang w:val="es-ES" w:eastAsia="es-ES"/>
        </w:rPr>
        <w:t xml:space="preserve">repartirlos </w:t>
      </w:r>
      <w:r w:rsidRPr="00A303E8">
        <w:rPr>
          <w:rFonts w:ascii="Verdana" w:eastAsia="Calibri" w:hAnsi="Verdana" w:cs="Arial"/>
          <w:lang w:val="es-ES" w:eastAsia="es-ES"/>
        </w:rPr>
        <w:t>entre los asociados.</w:t>
      </w:r>
    </w:p>
    <w:p w14:paraId="28B6AC73" w14:textId="77777777" w:rsidR="00845A9A" w:rsidRPr="00357AC1" w:rsidRDefault="00845A9A" w:rsidP="00845A9A">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L</w:t>
      </w:r>
      <w:r w:rsidRPr="00A303E8">
        <w:rPr>
          <w:rFonts w:ascii="Verdana" w:eastAsia="Calibri" w:hAnsi="Verdana" w:cs="Arial"/>
          <w:lang w:val="es-ES_tradnl" w:eastAsia="es-ES_tradnl"/>
        </w:rPr>
        <w:t xml:space="preserve">a Corte Constitucional, en la sentencia C-287 de 2012, reiteró que la diferencia existente entre las sociedades comerciales y las </w:t>
      </w:r>
      <w:r>
        <w:rPr>
          <w:rFonts w:ascii="Verdana" w:eastAsia="Calibri" w:hAnsi="Verdana" w:cs="Arial"/>
          <w:lang w:val="es-ES_tradnl" w:eastAsia="es-ES_tradnl"/>
        </w:rPr>
        <w:t xml:space="preserve">ESAL </w:t>
      </w:r>
      <w:r w:rsidRPr="00A303E8">
        <w:rPr>
          <w:rFonts w:ascii="Verdana" w:eastAsia="Calibri" w:hAnsi="Verdana" w:cs="Arial"/>
          <w:lang w:val="es-ES_tradnl" w:eastAsia="es-ES_tradnl"/>
        </w:rPr>
        <w:t>es que estas últimas no reparten sus utilidades entre los socios:</w:t>
      </w:r>
    </w:p>
    <w:p w14:paraId="030281CF" w14:textId="77777777" w:rsidR="00845A9A" w:rsidRDefault="00845A9A" w:rsidP="00845A9A">
      <w:pPr>
        <w:spacing w:after="0" w:line="240" w:lineRule="auto"/>
        <w:ind w:left="709" w:right="709"/>
        <w:jc w:val="both"/>
        <w:rPr>
          <w:rFonts w:ascii="Verdana" w:eastAsia="Calibri" w:hAnsi="Verdana" w:cs="Arial"/>
          <w:sz w:val="20"/>
          <w:szCs w:val="20"/>
          <w:lang w:val="es-ES" w:eastAsia="es-ES"/>
        </w:rPr>
      </w:pPr>
      <w:r w:rsidRPr="00357AC1">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357AC1">
        <w:rPr>
          <w:rFonts w:ascii="Verdana" w:eastAsia="Calibri" w:hAnsi="Verdana" w:cs="Arial"/>
          <w:sz w:val="20"/>
          <w:szCs w:val="20"/>
          <w:lang w:val="es-ES" w:eastAsia="es-ES"/>
        </w:rPr>
        <w:t>miembros</w:t>
      </w:r>
      <w:proofErr w:type="gramEnd"/>
      <w:r w:rsidRPr="00357AC1">
        <w:rPr>
          <w:rFonts w:ascii="Verdana" w:eastAsia="Calibri" w:hAnsi="Verdana" w:cs="Arial"/>
          <w:sz w:val="20"/>
          <w:szCs w:val="20"/>
          <w:lang w:val="es-ES" w:eastAsia="es-ES"/>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w:t>
      </w:r>
      <w:r w:rsidRPr="00357AC1">
        <w:rPr>
          <w:rStyle w:val="Refdenotaalpie"/>
          <w:rFonts w:ascii="Verdana" w:eastAsia="Calibri" w:hAnsi="Verdana" w:cs="Arial"/>
          <w:sz w:val="20"/>
          <w:szCs w:val="20"/>
          <w:lang w:val="es-ES_tradnl" w:eastAsia="es-ES_tradnl"/>
        </w:rPr>
        <w:t xml:space="preserve"> </w:t>
      </w:r>
      <w:r w:rsidRPr="00357AC1">
        <w:rPr>
          <w:rStyle w:val="Refdenotaalpie"/>
          <w:rFonts w:ascii="Verdana" w:eastAsia="Calibri" w:hAnsi="Verdana" w:cs="Arial"/>
          <w:sz w:val="20"/>
          <w:szCs w:val="20"/>
          <w:lang w:val="es-ES_tradnl" w:eastAsia="es-ES_tradnl"/>
        </w:rPr>
        <w:footnoteReference w:id="3"/>
      </w:r>
      <w:r w:rsidRPr="00357AC1">
        <w:rPr>
          <w:rFonts w:ascii="Verdana" w:eastAsia="Calibri" w:hAnsi="Verdana" w:cs="Arial"/>
          <w:sz w:val="20"/>
          <w:szCs w:val="20"/>
          <w:lang w:val="es-ES" w:eastAsia="es-ES"/>
        </w:rPr>
        <w:t>.</w:t>
      </w:r>
    </w:p>
    <w:p w14:paraId="123AA75C" w14:textId="77777777" w:rsidR="00845A9A" w:rsidRPr="0052621C" w:rsidRDefault="00845A9A" w:rsidP="00845A9A">
      <w:pPr>
        <w:spacing w:after="0" w:line="240" w:lineRule="auto"/>
        <w:ind w:left="709" w:right="709"/>
        <w:jc w:val="both"/>
        <w:rPr>
          <w:rFonts w:ascii="Verdana" w:eastAsia="Calibri" w:hAnsi="Verdana" w:cs="Arial"/>
          <w:sz w:val="20"/>
          <w:szCs w:val="20"/>
          <w:lang w:val="es-ES" w:eastAsia="es-ES"/>
        </w:rPr>
      </w:pPr>
    </w:p>
    <w:p w14:paraId="6F334100" w14:textId="77777777" w:rsidR="00845A9A" w:rsidRDefault="00845A9A" w:rsidP="00845A9A">
      <w:pPr>
        <w:widowControl w:val="0"/>
        <w:autoSpaceDE w:val="0"/>
        <w:autoSpaceDN w:val="0"/>
        <w:spacing w:after="12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persiguen el reparto de utilidades entre sus miembros</w:t>
      </w:r>
      <w:r>
        <w:rPr>
          <w:rFonts w:ascii="Verdana" w:eastAsia="Calibri" w:hAnsi="Verdana" w:cs="Arial"/>
          <w:lang w:val="es-ES_tradnl" w:eastAsia="es-ES_tradnl"/>
        </w:rPr>
        <w:t>”</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1C517FE8" w14:textId="77777777" w:rsidR="00845A9A" w:rsidRDefault="00845A9A" w:rsidP="00845A9A">
      <w:pPr>
        <w:widowControl w:val="0"/>
        <w:autoSpaceDE w:val="0"/>
        <w:autoSpaceDN w:val="0"/>
        <w:spacing w:after="120" w:line="276" w:lineRule="auto"/>
        <w:ind w:firstLine="709"/>
        <w:jc w:val="both"/>
        <w:rPr>
          <w:rFonts w:ascii="Verdana" w:eastAsia="Calibri" w:hAnsi="Verdana" w:cs="Arial"/>
          <w:lang w:eastAsia="es-ES_tradnl"/>
        </w:rPr>
      </w:pPr>
      <w:r>
        <w:rPr>
          <w:rFonts w:ascii="Verdana" w:eastAsia="Calibri" w:hAnsi="Verdana" w:cs="Arial"/>
          <w:lang w:val="es-ES_tradnl" w:eastAsia="es-ES_tradnl"/>
        </w:rPr>
        <w:t xml:space="preserve">De esta manera, no es jurídicamente admisible </w:t>
      </w:r>
      <w:r w:rsidRPr="00225165">
        <w:rPr>
          <w:rFonts w:ascii="Verdana" w:eastAsia="Calibri" w:hAnsi="Verdana" w:cs="Arial"/>
          <w:lang w:eastAsia="es-ES_tradnl"/>
        </w:rPr>
        <w:t xml:space="preserve">asimilar a las </w:t>
      </w:r>
      <w:r>
        <w:rPr>
          <w:rFonts w:ascii="Verdana" w:eastAsia="Calibri" w:hAnsi="Verdana" w:cs="Arial"/>
          <w:lang w:eastAsia="es-ES_tradnl"/>
        </w:rPr>
        <w:t xml:space="preserve">ESAL </w:t>
      </w:r>
      <w:r w:rsidRPr="00225165">
        <w:rPr>
          <w:rFonts w:ascii="Verdana" w:eastAsia="Calibri" w:hAnsi="Verdana" w:cs="Arial"/>
          <w:lang w:eastAsia="es-ES_tradnl"/>
        </w:rPr>
        <w:t xml:space="preserve">con las sociedades comerciales, </w:t>
      </w:r>
      <w:r>
        <w:rPr>
          <w:rFonts w:ascii="Verdana" w:eastAsia="Calibri" w:hAnsi="Verdana" w:cs="Arial"/>
          <w:lang w:eastAsia="es-ES_tradnl"/>
        </w:rPr>
        <w:t>pues t</w:t>
      </w:r>
      <w:r w:rsidRPr="00225165">
        <w:rPr>
          <w:rFonts w:ascii="Verdana" w:eastAsia="Calibri" w:hAnsi="Verdana" w:cs="Arial"/>
          <w:lang w:eastAsia="es-ES_tradnl"/>
        </w:rPr>
        <w:t>al como lo establece el artículo 98 del Código de Comercio, el contrato de sociedad se constituye con el fin específico de repartir utilidades entre los socios</w:t>
      </w:r>
      <w:r>
        <w:rPr>
          <w:rFonts w:ascii="Verdana" w:eastAsia="Calibri" w:hAnsi="Verdana" w:cs="Arial"/>
          <w:lang w:eastAsia="es-ES_tradnl"/>
        </w:rPr>
        <w:t xml:space="preserve"> y es un elemento </w:t>
      </w:r>
      <w:r w:rsidRPr="00225165">
        <w:rPr>
          <w:rFonts w:ascii="Verdana" w:eastAsia="Calibri" w:hAnsi="Verdana" w:cs="Arial"/>
          <w:lang w:eastAsia="es-ES_tradnl"/>
        </w:rPr>
        <w:t>consustancial a la existencia misma de una sociedad comercial.</w:t>
      </w:r>
      <w:r>
        <w:rPr>
          <w:rFonts w:ascii="Verdana" w:eastAsia="Calibri" w:hAnsi="Verdana" w:cs="Arial"/>
          <w:lang w:eastAsia="es-ES_tradnl"/>
        </w:rPr>
        <w:t xml:space="preserve"> Por su parte, l</w:t>
      </w:r>
      <w:r w:rsidRPr="00225165">
        <w:rPr>
          <w:rFonts w:ascii="Verdana" w:eastAsia="Calibri" w:hAnsi="Verdana" w:cs="Arial"/>
          <w:lang w:eastAsia="es-ES_tradnl"/>
        </w:rPr>
        <w:t>a</w:t>
      </w:r>
      <w:r>
        <w:rPr>
          <w:rFonts w:ascii="Verdana" w:eastAsia="Calibri" w:hAnsi="Verdana" w:cs="Arial"/>
          <w:lang w:eastAsia="es-ES_tradnl"/>
        </w:rPr>
        <w:t>s</w:t>
      </w:r>
      <w:r w:rsidRPr="00225165">
        <w:rPr>
          <w:rFonts w:ascii="Verdana" w:eastAsia="Calibri" w:hAnsi="Verdana" w:cs="Arial"/>
          <w:lang w:eastAsia="es-ES_tradnl"/>
        </w:rPr>
        <w:t xml:space="preserve"> ESAL están fundadas en la idea de promover un fin altruista o de interés general, sin que exista ánimo de lucro ni posibilidad legal de repartir excedentes entre sus miembros</w:t>
      </w:r>
      <w:r>
        <w:rPr>
          <w:rFonts w:ascii="Verdana" w:eastAsia="Calibri" w:hAnsi="Verdana" w:cs="Arial"/>
          <w:lang w:eastAsia="es-ES_tradnl"/>
        </w:rPr>
        <w:t xml:space="preserve">. Esta distinción es fundamental porque diferencia a las ESAL de las empresas y las sociedades comerciales en términos de propósito y estructura. Además, el hecho de que estas generen empleo o “riquezas” no las convierte en sociedades comerciales ni cambia su naturaleza no lucrativa. Por tanto, tampoco se considera procedente referirse a un trato desigual entre iguales. </w:t>
      </w:r>
    </w:p>
    <w:p w14:paraId="7DA4B820" w14:textId="77777777" w:rsidR="00845A9A" w:rsidRPr="00B85486" w:rsidRDefault="00845A9A" w:rsidP="00845A9A">
      <w:pPr>
        <w:widowControl w:val="0"/>
        <w:autoSpaceDE w:val="0"/>
        <w:autoSpaceDN w:val="0"/>
        <w:spacing w:after="120" w:line="276" w:lineRule="auto"/>
        <w:ind w:firstLine="709"/>
        <w:jc w:val="both"/>
        <w:rPr>
          <w:rFonts w:ascii="Verdana" w:eastAsia="Calibri" w:hAnsi="Verdana" w:cs="Arial"/>
          <w:lang w:eastAsia="es-ES_tradnl"/>
        </w:rPr>
      </w:pPr>
      <w:r>
        <w:rPr>
          <w:rFonts w:ascii="Verdana" w:eastAsia="Calibri" w:hAnsi="Verdana" w:cs="Arial"/>
          <w:lang w:val="es-ES_tradnl" w:eastAsia="es-ES_tradnl"/>
        </w:rPr>
        <w:t xml:space="preserve">En línea con lo anterior, </w:t>
      </w:r>
      <w:r w:rsidRPr="60F29CF2">
        <w:rPr>
          <w:rFonts w:ascii="Verdana" w:hAnsi="Verdana" w:cs="Arial"/>
          <w:lang w:val="es-ES"/>
        </w:rPr>
        <w:t xml:space="preserve">respecto a la asimilación de las ESAL con las </w:t>
      </w:r>
      <w:proofErr w:type="spellStart"/>
      <w:r w:rsidRPr="60F29CF2">
        <w:rPr>
          <w:rFonts w:ascii="Verdana" w:hAnsi="Verdana" w:cs="Arial"/>
          <w:lang w:val="es-ES"/>
        </w:rPr>
        <w:t>Mipymes</w:t>
      </w:r>
      <w:proofErr w:type="spellEnd"/>
      <w:r w:rsidRPr="60F29CF2">
        <w:rPr>
          <w:rFonts w:ascii="Verdana" w:hAnsi="Verdana" w:cs="Arial"/>
          <w:lang w:val="es-ES"/>
        </w:rPr>
        <w:t xml:space="preserve">, resulta indispensable señalar que el artículo 2 de la Ley 590 de 2000, modificado por el artículo 43 de la Ley 1450 de 2011, define la </w:t>
      </w:r>
      <w:r w:rsidRPr="60F29CF2">
        <w:rPr>
          <w:rFonts w:ascii="Verdana" w:hAnsi="Verdana" w:cs="Arial"/>
          <w:i/>
          <w:iCs/>
          <w:lang w:val="es-ES"/>
        </w:rPr>
        <w:t>empresa</w:t>
      </w:r>
      <w:r w:rsidRPr="60F29CF2">
        <w:rPr>
          <w:rFonts w:ascii="Verdana" w:hAnsi="Verdana" w:cs="Arial"/>
          <w:lang w:val="es-ES"/>
        </w:rPr>
        <w:t xml:space="preserve"> como toda unidad de explotación económica que realiza una persona natural o jurídica en actividades agropecuarias, industriales, comerciales o de servicios</w:t>
      </w:r>
      <w:r w:rsidRPr="60F29CF2">
        <w:rPr>
          <w:rFonts w:ascii="Verdana" w:hAnsi="Verdana" w:cs="Arial"/>
          <w:vertAlign w:val="superscript"/>
          <w:lang w:val="es-ES"/>
        </w:rPr>
        <w:footnoteReference w:id="5"/>
      </w:r>
      <w:r w:rsidRPr="60F29CF2">
        <w:rPr>
          <w:rFonts w:ascii="Verdana" w:hAnsi="Verdana" w:cs="Arial"/>
          <w:lang w:val="es-ES"/>
        </w:rPr>
        <w:t>. Además, establece que estas se clasifican en micro, pequeña, mediana y gran empresa, de acuerdo con los criterios del número de trabajadores totales, el valor de ventas brutales anuales y el valor de activos totales.</w:t>
      </w:r>
      <w:r w:rsidRPr="60F29CF2">
        <w:rPr>
          <w:rFonts w:ascii="Verdana" w:eastAsia="Arial" w:hAnsi="Verdana" w:cs="Arial"/>
          <w:lang w:val="es-ES"/>
        </w:rPr>
        <w:t xml:space="preserve"> Ahora bien, el artículo 2.2.1.13.2.2. del Decreto 1074 de 2015, adicionado por el Decreto 957 de 2019, establece que: </w:t>
      </w:r>
    </w:p>
    <w:p w14:paraId="3338A374" w14:textId="77777777" w:rsidR="00845A9A" w:rsidRPr="00362CA6" w:rsidRDefault="00845A9A" w:rsidP="00845A9A">
      <w:pPr>
        <w:spacing w:after="120" w:line="276" w:lineRule="auto"/>
        <w:ind w:firstLine="708"/>
        <w:jc w:val="both"/>
        <w:rPr>
          <w:rFonts w:ascii="Verdana" w:hAnsi="Verdana" w:cs="Arial"/>
          <w:lang w:val="es-ES_tradnl"/>
        </w:rPr>
      </w:pPr>
      <w:r>
        <w:rPr>
          <w:rFonts w:ascii="Verdana" w:hAnsi="Verdana" w:cs="Arial"/>
          <w:lang w:val="es-ES_tradnl"/>
        </w:rPr>
        <w:t xml:space="preserve">1. </w:t>
      </w:r>
      <w:r w:rsidRPr="00362CA6">
        <w:rPr>
          <w:rFonts w:ascii="Verdana" w:hAnsi="Verdana" w:cs="Arial"/>
          <w:lang w:val="es-ES_tradnl"/>
        </w:rPr>
        <w:t xml:space="preserve">La </w:t>
      </w:r>
      <w:r w:rsidRPr="00123A43">
        <w:rPr>
          <w:rFonts w:ascii="Verdana" w:hAnsi="Verdana" w:cs="Arial"/>
          <w:i/>
          <w:iCs/>
          <w:lang w:val="es-ES_tradnl"/>
        </w:rPr>
        <w:t>microempresa</w:t>
      </w:r>
      <w:r w:rsidRPr="00362CA6">
        <w:rPr>
          <w:rFonts w:ascii="Verdana" w:hAnsi="Verdana" w:cs="Arial"/>
          <w:lang w:val="es-ES_tradnl"/>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p>
    <w:p w14:paraId="1EE36E7C" w14:textId="77777777" w:rsidR="00845A9A" w:rsidRPr="00362CA6" w:rsidRDefault="00845A9A" w:rsidP="00845A9A">
      <w:pPr>
        <w:spacing w:after="120" w:line="276" w:lineRule="auto"/>
        <w:ind w:firstLine="708"/>
        <w:jc w:val="both"/>
        <w:rPr>
          <w:rFonts w:ascii="Verdana" w:hAnsi="Verdana" w:cs="Arial"/>
          <w:lang w:val="es-ES"/>
        </w:rPr>
      </w:pPr>
      <w:r>
        <w:rPr>
          <w:rFonts w:ascii="Verdana" w:hAnsi="Verdana" w:cs="Arial"/>
          <w:lang w:val="es-ES"/>
        </w:rPr>
        <w:t>2.</w:t>
      </w:r>
      <w:r w:rsidRPr="00362CA6">
        <w:rPr>
          <w:rFonts w:ascii="Verdana" w:hAnsi="Verdana" w:cs="Arial"/>
          <w:lang w:val="es-ES"/>
        </w:rPr>
        <w:t xml:space="preserve"> La </w:t>
      </w:r>
      <w:r w:rsidRPr="00123A43">
        <w:rPr>
          <w:rFonts w:ascii="Verdana" w:hAnsi="Verdana" w:cs="Arial"/>
          <w:i/>
          <w:iCs/>
          <w:lang w:val="es-ES"/>
        </w:rPr>
        <w:t>pequeña empresa</w:t>
      </w:r>
      <w:r w:rsidRPr="00362CA6">
        <w:rPr>
          <w:rFonts w:ascii="Verdana" w:hAnsi="Verdana" w:cs="Arial"/>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1612609E" w14:textId="77777777" w:rsidR="00845A9A" w:rsidRPr="00362CA6" w:rsidRDefault="00845A9A" w:rsidP="00845A9A">
      <w:pPr>
        <w:spacing w:after="120" w:line="276" w:lineRule="auto"/>
        <w:ind w:firstLine="709"/>
        <w:jc w:val="both"/>
        <w:rPr>
          <w:rFonts w:ascii="Verdana" w:eastAsia="Arial" w:hAnsi="Verdana" w:cs="Arial"/>
          <w:lang w:val="es-ES"/>
        </w:rPr>
      </w:pPr>
      <w:r>
        <w:rPr>
          <w:rFonts w:ascii="Verdana" w:eastAsia="Arial" w:hAnsi="Verdana" w:cs="Arial"/>
          <w:lang w:val="es-ES"/>
        </w:rPr>
        <w:t>3.</w:t>
      </w:r>
      <w:r w:rsidRPr="00362CA6">
        <w:rPr>
          <w:rFonts w:ascii="Verdana" w:eastAsia="Arial" w:hAnsi="Verdana" w:cs="Arial"/>
          <w:lang w:val="es-ES"/>
        </w:rPr>
        <w:t xml:space="preserve"> La </w:t>
      </w:r>
      <w:r w:rsidRPr="00362CA6">
        <w:rPr>
          <w:rFonts w:ascii="Verdana" w:eastAsia="Arial" w:hAnsi="Verdana" w:cs="Arial"/>
          <w:i/>
          <w:iCs/>
          <w:lang w:val="es-ES"/>
        </w:rPr>
        <w:t>mediana empresa</w:t>
      </w:r>
      <w:r w:rsidRPr="00362CA6">
        <w:rPr>
          <w:rFonts w:ascii="Verdana" w:eastAsia="Arial" w:hAnsi="Verdana" w:cs="Arial"/>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5A115182" w14:textId="77777777" w:rsidR="00845A9A" w:rsidRPr="0052621C" w:rsidRDefault="00845A9A" w:rsidP="00845A9A">
      <w:pPr>
        <w:spacing w:after="120" w:line="276" w:lineRule="auto"/>
        <w:ind w:firstLine="709"/>
        <w:jc w:val="both"/>
        <w:rPr>
          <w:rFonts w:ascii="Verdana" w:hAnsi="Verdana" w:cs="Arial"/>
          <w:lang w:val="es-ES"/>
        </w:rPr>
      </w:pPr>
      <w:r>
        <w:rPr>
          <w:rFonts w:ascii="Verdana" w:hAnsi="Verdana" w:cs="Arial"/>
          <w:lang w:val="es-ES"/>
        </w:rPr>
        <w:t>Con base en lo anterior</w:t>
      </w:r>
      <w:r w:rsidRPr="60F29CF2">
        <w:rPr>
          <w:rFonts w:ascii="Verdana" w:hAnsi="Verdana" w:cs="Arial"/>
          <w:lang w:val="es-ES"/>
        </w:rPr>
        <w:t>, esta Agencia ha sostenido de forma reiterada la tesis consistente en que las ESAL no pueden</w:t>
      </w:r>
      <w:r>
        <w:rPr>
          <w:rFonts w:ascii="Verdana" w:hAnsi="Verdana" w:cs="Arial"/>
          <w:lang w:val="es-ES"/>
        </w:rPr>
        <w:t>, por regla general,</w:t>
      </w:r>
      <w:r w:rsidRPr="60F29CF2">
        <w:rPr>
          <w:rFonts w:ascii="Verdana" w:hAnsi="Verdana" w:cs="Arial"/>
          <w:lang w:val="es-ES"/>
        </w:rPr>
        <w:t xml:space="preserve"> acceder a los beneficios a favor de las </w:t>
      </w:r>
      <w:proofErr w:type="spellStart"/>
      <w:r w:rsidRPr="60F29CF2">
        <w:rPr>
          <w:rFonts w:ascii="Verdana" w:hAnsi="Verdana" w:cs="Arial"/>
          <w:lang w:val="es-ES"/>
        </w:rPr>
        <w:t>Mipymes</w:t>
      </w:r>
      <w:proofErr w:type="spellEnd"/>
      <w:r w:rsidRPr="60F29CF2">
        <w:rPr>
          <w:rFonts w:ascii="Verdana" w:hAnsi="Verdana" w:cs="Arial"/>
          <w:lang w:val="es-ES"/>
        </w:rPr>
        <w:t xml:space="preserve"> ni participar en los procesos contractuales limitados a estas</w:t>
      </w:r>
      <w:r>
        <w:rPr>
          <w:rFonts w:ascii="Verdana" w:hAnsi="Verdana" w:cs="Arial"/>
          <w:lang w:val="es-ES"/>
        </w:rPr>
        <w:t xml:space="preserve"> </w:t>
      </w:r>
      <w:r w:rsidRPr="60F29CF2">
        <w:rPr>
          <w:rFonts w:ascii="Verdana" w:hAnsi="Verdana" w:cs="Arial"/>
          <w:lang w:val="es-ES"/>
        </w:rPr>
        <w:t xml:space="preserve">considerando que: </w:t>
      </w:r>
    </w:p>
    <w:p w14:paraId="6570C656" w14:textId="77777777" w:rsidR="00845A9A" w:rsidRDefault="00845A9A" w:rsidP="00845A9A">
      <w:pPr>
        <w:spacing w:after="0" w:line="240" w:lineRule="auto"/>
        <w:ind w:left="709" w:right="709"/>
        <w:jc w:val="both"/>
        <w:rPr>
          <w:rFonts w:ascii="Verdana" w:hAnsi="Verdana" w:cs="Arial"/>
          <w:sz w:val="20"/>
          <w:szCs w:val="20"/>
        </w:rPr>
      </w:pPr>
      <w:r w:rsidRPr="000C3249">
        <w:rPr>
          <w:rFonts w:ascii="Verdana" w:hAnsi="Verdana" w:cs="Arial"/>
          <w:sz w:val="20"/>
          <w:szCs w:val="20"/>
          <w:lang w:val="es-ES_tradnl"/>
        </w:rPr>
        <w:t>“</w:t>
      </w:r>
      <w:r w:rsidRPr="000C3249">
        <w:rPr>
          <w:rFonts w:ascii="Verdana" w:hAnsi="Verdana" w:cs="Arial"/>
          <w:sz w:val="20"/>
          <w:szCs w:val="20"/>
        </w:rPr>
        <w:t xml:space="preserve">en virtud del artículo 43 de la Ley 1450 de 2011, que modificó el artículo 2 de la Ley 590 de 2000, […] puede decirse que solo podrán ser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Lo anterior teniendo en cuenta que </w:t>
      </w:r>
      <w:r w:rsidRPr="000C3249">
        <w:rPr>
          <w:rFonts w:ascii="Verdana" w:hAnsi="Verdana" w:cs="Arial"/>
          <w:i/>
          <w:iCs/>
          <w:sz w:val="20"/>
          <w:szCs w:val="20"/>
        </w:rPr>
        <w:t xml:space="preserve">no responden al concepto de empresa que involucra dicha categoría con ánimo de lucro, por lo que no resulta jurídicamente válido aplicar a las ESAL las normas dirigidas a las </w:t>
      </w:r>
      <w:proofErr w:type="spellStart"/>
      <w:r w:rsidRPr="000C3249">
        <w:rPr>
          <w:rFonts w:ascii="Verdana" w:hAnsi="Verdana" w:cs="Arial"/>
          <w:i/>
          <w:iCs/>
          <w:sz w:val="20"/>
          <w:szCs w:val="20"/>
        </w:rPr>
        <w:t>Mipymes</w:t>
      </w:r>
      <w:proofErr w:type="spellEnd"/>
      <w:r w:rsidRPr="000C3249">
        <w:rPr>
          <w:rFonts w:ascii="Verdana" w:hAnsi="Verdana" w:cs="Arial"/>
          <w:sz w:val="20"/>
          <w:szCs w:val="20"/>
        </w:rPr>
        <w:t>”</w:t>
      </w:r>
      <w:r w:rsidRPr="000C3249">
        <w:rPr>
          <w:rFonts w:ascii="Verdana" w:hAnsi="Verdana" w:cs="Arial"/>
          <w:sz w:val="20"/>
          <w:szCs w:val="20"/>
          <w:vertAlign w:val="superscript"/>
        </w:rPr>
        <w:footnoteReference w:id="6"/>
      </w:r>
      <w:r w:rsidRPr="000C3249">
        <w:rPr>
          <w:rFonts w:ascii="Verdana" w:hAnsi="Verdana" w:cs="Arial"/>
          <w:sz w:val="20"/>
          <w:szCs w:val="20"/>
        </w:rPr>
        <w:t xml:space="preserve">. </w:t>
      </w:r>
    </w:p>
    <w:p w14:paraId="3275B07A" w14:textId="77777777" w:rsidR="00845A9A" w:rsidRPr="00357F20" w:rsidRDefault="00845A9A" w:rsidP="00845A9A">
      <w:pPr>
        <w:spacing w:after="0" w:line="276" w:lineRule="auto"/>
        <w:ind w:left="709" w:right="709"/>
        <w:jc w:val="both"/>
        <w:rPr>
          <w:rFonts w:ascii="Verdana" w:hAnsi="Verdana" w:cs="Arial"/>
        </w:rPr>
      </w:pPr>
    </w:p>
    <w:p w14:paraId="68000CFD" w14:textId="77777777" w:rsidR="00845A9A" w:rsidRDefault="00845A9A" w:rsidP="00845A9A">
      <w:pPr>
        <w:spacing w:after="120" w:line="276" w:lineRule="auto"/>
        <w:ind w:firstLine="709"/>
        <w:jc w:val="both"/>
        <w:rPr>
          <w:rFonts w:ascii="Verdana" w:hAnsi="Verdana" w:cs="Arial"/>
          <w:lang w:val="es-ES"/>
        </w:rPr>
      </w:pPr>
      <w:r>
        <w:rPr>
          <w:rFonts w:ascii="Verdana" w:hAnsi="Verdana" w:cs="Arial"/>
          <w:lang w:val="es-ES"/>
        </w:rPr>
        <w:t>Según esta</w:t>
      </w:r>
      <w:r w:rsidRPr="00362CA6">
        <w:rPr>
          <w:rFonts w:ascii="Verdana" w:hAnsi="Verdana" w:cs="Arial"/>
          <w:lang w:val="es-ES"/>
        </w:rPr>
        <w:t xml:space="preserve"> postura,</w:t>
      </w:r>
      <w:r>
        <w:rPr>
          <w:rFonts w:ascii="Verdana" w:hAnsi="Verdana" w:cs="Arial"/>
          <w:lang w:val="es-ES"/>
        </w:rPr>
        <w:t xml:space="preserve"> y</w:t>
      </w:r>
      <w:r w:rsidRPr="00362CA6">
        <w:rPr>
          <w:rFonts w:ascii="Verdana" w:hAnsi="Verdana" w:cs="Arial"/>
          <w:lang w:val="es-ES"/>
        </w:rPr>
        <w:t xml:space="preserve"> en virtud de</w:t>
      </w:r>
      <w:r>
        <w:rPr>
          <w:rFonts w:ascii="Verdana" w:hAnsi="Verdana" w:cs="Arial"/>
          <w:lang w:val="es-ES"/>
        </w:rPr>
        <w:t xml:space="preserve"> lo señalado en el</w:t>
      </w:r>
      <w:r w:rsidRPr="00362CA6">
        <w:rPr>
          <w:rFonts w:ascii="Verdana" w:hAnsi="Verdana" w:cs="Arial"/>
          <w:lang w:val="es-ES"/>
        </w:rPr>
        <w:t xml:space="preserve"> artículo 43 de la Ley 1450 de 2011, que modificó el artículo 2 de la Ley 590 de 2000, solo podrán ser </w:t>
      </w:r>
      <w:r>
        <w:rPr>
          <w:rFonts w:ascii="Verdana" w:hAnsi="Verdana" w:cs="Arial"/>
          <w:lang w:val="es-ES"/>
        </w:rPr>
        <w:t xml:space="preserve">consideradas </w:t>
      </w:r>
      <w:proofErr w:type="spellStart"/>
      <w:r w:rsidRPr="00362CA6">
        <w:rPr>
          <w:rFonts w:ascii="Verdana" w:hAnsi="Verdana" w:cs="Arial"/>
          <w:lang w:val="es-ES"/>
        </w:rPr>
        <w:t>Mipymes</w:t>
      </w:r>
      <w:proofErr w:type="spellEnd"/>
      <w:r w:rsidRPr="00362CA6">
        <w:rPr>
          <w:rFonts w:ascii="Verdana" w:hAnsi="Verdana" w:cs="Arial"/>
          <w:lang w:val="es-ES"/>
        </w:rPr>
        <w:t xml:space="preserve"> las empresas, </w:t>
      </w:r>
      <w:r>
        <w:rPr>
          <w:rFonts w:ascii="Verdana" w:hAnsi="Verdana" w:cs="Arial"/>
          <w:lang w:val="es-ES"/>
        </w:rPr>
        <w:t xml:space="preserve">pues son </w:t>
      </w:r>
      <w:r w:rsidRPr="00362CA6">
        <w:rPr>
          <w:rFonts w:ascii="Verdana" w:hAnsi="Verdana" w:cs="Arial"/>
          <w:lang w:val="es-ES"/>
        </w:rPr>
        <w:t xml:space="preserve">unidades de explotación económica que buscan el reparto de utilidades entre los miembros de la empresa, sin perjuicio de las precisiones que se realizarán más adelante en relación con el artículo 23 de la Ley 2069 de 2020. </w:t>
      </w:r>
    </w:p>
    <w:p w14:paraId="64FF297D" w14:textId="77777777" w:rsidR="00845A9A" w:rsidRDefault="00845A9A" w:rsidP="00845A9A">
      <w:pPr>
        <w:spacing w:after="120" w:line="276" w:lineRule="auto"/>
        <w:ind w:firstLine="709"/>
        <w:jc w:val="both"/>
        <w:rPr>
          <w:rFonts w:ascii="Verdana" w:hAnsi="Verdana" w:cs="Arial"/>
          <w:lang w:val="es-ES"/>
        </w:rPr>
      </w:pPr>
      <w:r>
        <w:rPr>
          <w:rFonts w:ascii="Verdana" w:hAnsi="Verdana" w:cs="Arial"/>
          <w:lang w:val="es-ES"/>
        </w:rPr>
        <w:t xml:space="preserve">De esta forma, </w:t>
      </w:r>
      <w:r w:rsidRPr="0040650F">
        <w:rPr>
          <w:rFonts w:ascii="Verdana" w:hAnsi="Verdana" w:cs="Arial"/>
          <w:lang w:val="es-ES"/>
        </w:rPr>
        <w:t>es claro que solo pueden ser consideradas MiPymes las empresas, entendidas estas como las unidades de explotación económica</w:t>
      </w:r>
      <w:r>
        <w:rPr>
          <w:rFonts w:ascii="Verdana" w:hAnsi="Verdana" w:cs="Arial"/>
          <w:lang w:val="es-ES"/>
        </w:rPr>
        <w:t>,</w:t>
      </w:r>
      <w:r w:rsidRPr="0040650F">
        <w:rPr>
          <w:rFonts w:ascii="Verdana" w:hAnsi="Verdana" w:cs="Arial"/>
          <w:lang w:val="es-ES"/>
        </w:rPr>
        <w:t xml:space="preserve"> que buscan el reparto de utilidades entre los miembros de la empresa. </w:t>
      </w:r>
      <w:r>
        <w:rPr>
          <w:rFonts w:ascii="Verdana" w:hAnsi="Verdana" w:cs="Arial"/>
          <w:lang w:val="es-ES"/>
        </w:rPr>
        <w:t>E</w:t>
      </w:r>
      <w:r w:rsidRPr="0040650F">
        <w:rPr>
          <w:rFonts w:ascii="Verdana" w:hAnsi="Verdana" w:cs="Arial"/>
          <w:lang w:val="es-ES"/>
        </w:rPr>
        <w:t xml:space="preserv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no pueden acceder a los incentivos </w:t>
      </w:r>
      <w:r w:rsidRPr="00967EED">
        <w:rPr>
          <w:rFonts w:ascii="Verdana" w:hAnsi="Verdana" w:cs="Arial"/>
        </w:rPr>
        <w:t>n</w:t>
      </w:r>
      <w:r>
        <w:rPr>
          <w:rFonts w:ascii="Verdana" w:hAnsi="Verdana" w:cs="Arial"/>
        </w:rPr>
        <w:t>i</w:t>
      </w:r>
      <w:r w:rsidRPr="00967EED">
        <w:rPr>
          <w:rFonts w:ascii="Verdana" w:hAnsi="Verdana" w:cs="Arial"/>
        </w:rPr>
        <w:t xml:space="preserve"> participar en los procesos de contratación limitado</w:t>
      </w:r>
      <w:r>
        <w:rPr>
          <w:rFonts w:ascii="Verdana" w:hAnsi="Verdana" w:cs="Arial"/>
        </w:rPr>
        <w:t>s</w:t>
      </w:r>
      <w:r w:rsidRPr="00967EED">
        <w:rPr>
          <w:rFonts w:ascii="Verdana" w:hAnsi="Verdana" w:cs="Arial"/>
        </w:rPr>
        <w:t xml:space="preserve"> a </w:t>
      </w:r>
      <w:r>
        <w:rPr>
          <w:rFonts w:ascii="Verdana" w:hAnsi="Verdana" w:cs="Arial"/>
        </w:rPr>
        <w:t>M</w:t>
      </w:r>
      <w:r w:rsidRPr="00967EED">
        <w:rPr>
          <w:rFonts w:ascii="Verdana" w:hAnsi="Verdana" w:cs="Arial"/>
        </w:rPr>
        <w:t>iPymes</w:t>
      </w:r>
      <w:r>
        <w:rPr>
          <w:rFonts w:ascii="Verdana" w:hAnsi="Verdana" w:cs="Arial"/>
          <w:lang w:val="es-ES"/>
        </w:rPr>
        <w:t>.</w:t>
      </w:r>
    </w:p>
    <w:p w14:paraId="2BE7899C" w14:textId="77777777" w:rsidR="00845A9A" w:rsidRPr="00BA3CEC" w:rsidRDefault="00845A9A" w:rsidP="00845A9A">
      <w:pPr>
        <w:spacing w:after="120" w:line="276" w:lineRule="auto"/>
        <w:ind w:firstLine="708"/>
        <w:jc w:val="both"/>
        <w:rPr>
          <w:rFonts w:ascii="Verdana" w:hAnsi="Verdana" w:cs="Arial"/>
          <w:color w:val="000000" w:themeColor="text1"/>
          <w:lang w:val="es-ES"/>
        </w:rPr>
      </w:pPr>
      <w:r>
        <w:rPr>
          <w:rFonts w:ascii="Verdana" w:hAnsi="Verdana" w:cs="Arial"/>
          <w:lang w:val="es-ES"/>
        </w:rPr>
        <w:t xml:space="preserve">Bajo esta perspectiva, </w:t>
      </w:r>
      <w:r>
        <w:rPr>
          <w:rFonts w:ascii="Verdana" w:hAnsi="Verdana" w:cs="Arial"/>
        </w:rPr>
        <w:t>vale anotar que, s</w:t>
      </w:r>
      <w:r w:rsidRPr="004B20C3">
        <w:rPr>
          <w:rFonts w:ascii="Verdana" w:hAnsi="Verdana" w:cs="Arial"/>
        </w:rPr>
        <w:t xml:space="preserve">i bien las </w:t>
      </w:r>
      <w:r>
        <w:rPr>
          <w:rFonts w:ascii="Verdana" w:hAnsi="Verdana" w:cs="Arial"/>
        </w:rPr>
        <w:t>ESAL pueden</w:t>
      </w:r>
      <w:r w:rsidRPr="004B20C3">
        <w:rPr>
          <w:rFonts w:ascii="Verdana" w:hAnsi="Verdana" w:cs="Arial"/>
        </w:rPr>
        <w:t xml:space="preserve"> interact</w:t>
      </w:r>
      <w:r>
        <w:rPr>
          <w:rFonts w:ascii="Verdana" w:hAnsi="Verdana" w:cs="Arial"/>
        </w:rPr>
        <w:t>uar</w:t>
      </w:r>
      <w:r w:rsidRPr="004B20C3">
        <w:rPr>
          <w:rFonts w:ascii="Verdana" w:hAnsi="Verdana" w:cs="Arial"/>
        </w:rPr>
        <w:t xml:space="preserve"> con el mercado</w:t>
      </w:r>
      <w:r>
        <w:rPr>
          <w:rFonts w:ascii="Verdana" w:hAnsi="Verdana" w:cs="Arial"/>
        </w:rPr>
        <w:t>,</w:t>
      </w:r>
      <w:r w:rsidRPr="004B20C3">
        <w:rPr>
          <w:rFonts w:ascii="Verdana" w:hAnsi="Verdana" w:cs="Arial"/>
        </w:rPr>
        <w:t xml:space="preserve"> esta actividad no las convierte, </w:t>
      </w:r>
      <w:r w:rsidRPr="00CD7A55">
        <w:rPr>
          <w:rFonts w:ascii="Verdana" w:hAnsi="Verdana" w:cs="Arial"/>
          <w:i/>
          <w:iCs/>
        </w:rPr>
        <w:t>per se,</w:t>
      </w:r>
      <w:r w:rsidRPr="004B20C3">
        <w:rPr>
          <w:rFonts w:ascii="Verdana" w:hAnsi="Verdana" w:cs="Arial"/>
        </w:rPr>
        <w:t xml:space="preserve"> en empresas en el sentido comercial </w:t>
      </w:r>
      <w:r>
        <w:rPr>
          <w:rFonts w:ascii="Verdana" w:hAnsi="Verdana" w:cs="Arial"/>
        </w:rPr>
        <w:t xml:space="preserve">puesto que </w:t>
      </w:r>
      <w:r w:rsidRPr="004B20C3">
        <w:rPr>
          <w:rFonts w:ascii="Verdana" w:hAnsi="Verdana" w:cs="Arial"/>
        </w:rPr>
        <w:t>la ausencia de ánimo de lucro y l</w:t>
      </w:r>
      <w:r>
        <w:rPr>
          <w:rFonts w:ascii="Verdana" w:hAnsi="Verdana" w:cs="Arial"/>
        </w:rPr>
        <w:t>o referente a la repartición de utilidades</w:t>
      </w:r>
      <w:r w:rsidRPr="004B20C3">
        <w:rPr>
          <w:rFonts w:ascii="Verdana" w:hAnsi="Verdana" w:cs="Arial"/>
        </w:rPr>
        <w:t xml:space="preserve"> constituye un elemento que las excluye de la noción de empresa. Por tanto, su naturaleza jurídica es la de una organización civil con finalidad social, y no la de una sociedad mercantil orientada al lucro</w:t>
      </w:r>
      <w:r>
        <w:rPr>
          <w:rFonts w:ascii="Verdana" w:hAnsi="Verdana" w:cs="Arial"/>
        </w:rPr>
        <w:t>, lo que la excluye de</w:t>
      </w:r>
      <w:r w:rsidRPr="00F14926">
        <w:rPr>
          <w:rFonts w:ascii="Verdana" w:hAnsi="Verdana" w:cs="Arial"/>
        </w:rPr>
        <w:t xml:space="preserve"> la lógica de promoción que busca l</w:t>
      </w:r>
      <w:r>
        <w:rPr>
          <w:rFonts w:ascii="Verdana" w:hAnsi="Verdana" w:cs="Arial"/>
        </w:rPr>
        <w:t xml:space="preserve">a Ley 2069 de 2020 </w:t>
      </w:r>
      <w:r w:rsidRPr="00F14926">
        <w:rPr>
          <w:rFonts w:ascii="Verdana" w:hAnsi="Verdana" w:cs="Arial"/>
        </w:rPr>
        <w:t>para fortalecer el emprendimiento empresarial con fines comerciales</w:t>
      </w:r>
      <w:r>
        <w:rPr>
          <w:rFonts w:ascii="Verdana" w:hAnsi="Verdana" w:cs="Arial"/>
        </w:rPr>
        <w:t xml:space="preserve"> en el sistema de compras públicas</w:t>
      </w:r>
      <w:r w:rsidRPr="00F14926">
        <w:rPr>
          <w:rFonts w:ascii="Verdana" w:hAnsi="Verdana" w:cs="Arial"/>
        </w:rPr>
        <w:t>.</w:t>
      </w:r>
    </w:p>
    <w:p w14:paraId="6C970068" w14:textId="77777777" w:rsidR="00845A9A" w:rsidRDefault="00845A9A" w:rsidP="00845A9A">
      <w:pPr>
        <w:spacing w:after="120" w:line="276" w:lineRule="auto"/>
        <w:ind w:firstLine="709"/>
        <w:jc w:val="both"/>
      </w:pPr>
      <w:r w:rsidRPr="0097051B">
        <w:rPr>
          <w:rFonts w:ascii="Verdana" w:hAnsi="Verdana" w:cs="Arial"/>
          <w:lang w:val="es-ES"/>
        </w:rPr>
        <w:t xml:space="preserve"> </w:t>
      </w:r>
      <w:r w:rsidRPr="0040650F">
        <w:rPr>
          <w:rFonts w:ascii="Verdana" w:hAnsi="Verdana" w:cs="Arial"/>
          <w:lang w:val="es-ES"/>
        </w:rPr>
        <w:t>Esto no significa que las ESAL no</w:t>
      </w:r>
      <w:r>
        <w:rPr>
          <w:rFonts w:ascii="Verdana" w:hAnsi="Verdana" w:cs="Arial"/>
          <w:lang w:val="es-ES"/>
        </w:rPr>
        <w:t xml:space="preserve"> sean personas jurídicas o no tengan capacidad de contratar con las entidades estatales. Por el contrario, </w:t>
      </w:r>
      <w:r w:rsidRPr="00362CA6">
        <w:rPr>
          <w:rFonts w:ascii="Verdana" w:hAnsi="Verdana" w:cs="Arial"/>
          <w:lang w:val="es-ES"/>
        </w:rPr>
        <w:t>el Decreto 092 de 2017 reguló su régimen especial de contratación</w:t>
      </w:r>
      <w:r>
        <w:rPr>
          <w:rFonts w:ascii="Verdana" w:hAnsi="Verdana" w:cs="Arial"/>
          <w:lang w:val="es-ES"/>
        </w:rPr>
        <w:t xml:space="preserve"> y nada impide que</w:t>
      </w:r>
      <w:r w:rsidRPr="0040650F">
        <w:rPr>
          <w:rFonts w:ascii="Verdana" w:hAnsi="Verdana" w:cs="Arial"/>
          <w:lang w:val="es-ES"/>
        </w:rPr>
        <w:t xml:space="preserve"> puedan participar en términos de igualdad con los demás oferentes, en los procesos contractuales </w:t>
      </w:r>
      <w:r>
        <w:rPr>
          <w:rFonts w:ascii="Verdana" w:hAnsi="Verdana" w:cs="Arial"/>
          <w:lang w:val="es-ES"/>
        </w:rPr>
        <w:t xml:space="preserve">del </w:t>
      </w:r>
      <w:r w:rsidRPr="0040650F">
        <w:rPr>
          <w:rFonts w:ascii="Verdana" w:hAnsi="Verdana" w:cs="Arial"/>
          <w:lang w:val="es-ES"/>
        </w:rPr>
        <w:t xml:space="preserve">Estatuto General de Contratación de la Administración Pública, salvo aquellos procesos contractuales limitados a </w:t>
      </w:r>
      <w:proofErr w:type="spellStart"/>
      <w:r w:rsidRPr="0040650F">
        <w:rPr>
          <w:rFonts w:ascii="Verdana" w:hAnsi="Verdana" w:cs="Arial"/>
          <w:lang w:val="es-ES"/>
        </w:rPr>
        <w:t>Mipymes</w:t>
      </w:r>
      <w:proofErr w:type="spellEnd"/>
      <w:r w:rsidRPr="0040650F">
        <w:rPr>
          <w:rFonts w:ascii="Verdana" w:hAnsi="Verdana" w:cs="Arial"/>
          <w:lang w:val="es-ES"/>
        </w:rPr>
        <w:t xml:space="preserve"> de conformidad con los artículos 2.2.1.2.4.2.2</w:t>
      </w:r>
      <w:r>
        <w:rPr>
          <w:rStyle w:val="Refdenotaalpie"/>
          <w:rFonts w:ascii="Verdana" w:eastAsia="Calibri" w:hAnsi="Verdana" w:cs="Arial"/>
          <w:color w:val="000000" w:themeColor="text1"/>
          <w:lang w:val="es-ES"/>
        </w:rPr>
        <w:footnoteReference w:id="7"/>
      </w:r>
      <w:r w:rsidRPr="0040650F">
        <w:rPr>
          <w:rFonts w:ascii="Verdana" w:hAnsi="Verdana" w:cs="Arial"/>
          <w:lang w:val="es-ES"/>
        </w:rPr>
        <w:t xml:space="preserve"> y 2.2.1.2.4.2.3</w:t>
      </w:r>
      <w:r>
        <w:rPr>
          <w:rStyle w:val="Refdenotaalpie"/>
          <w:rFonts w:ascii="Verdana" w:hAnsi="Verdana" w:cs="Arial"/>
          <w:lang w:val="es-ES"/>
        </w:rPr>
        <w:footnoteReference w:id="8"/>
      </w:r>
      <w:r w:rsidRPr="0040650F">
        <w:rPr>
          <w:rFonts w:ascii="Verdana" w:hAnsi="Verdana" w:cs="Arial"/>
          <w:lang w:val="es-ES"/>
        </w:rPr>
        <w:t xml:space="preserve"> del Decreto 1082 de 2015</w:t>
      </w:r>
      <w:r>
        <w:rPr>
          <w:rFonts w:ascii="Verdana" w:hAnsi="Verdana" w:cs="Arial"/>
          <w:lang w:val="es-ES"/>
        </w:rPr>
        <w:t>.</w:t>
      </w:r>
      <w:r w:rsidRPr="008A0C54">
        <w:t xml:space="preserve"> </w:t>
      </w:r>
    </w:p>
    <w:p w14:paraId="77F794B5" w14:textId="77777777" w:rsidR="00845A9A" w:rsidRDefault="00845A9A" w:rsidP="00845A9A">
      <w:pPr>
        <w:spacing w:after="120" w:line="276" w:lineRule="auto"/>
        <w:ind w:firstLine="709"/>
        <w:jc w:val="both"/>
        <w:rPr>
          <w:rFonts w:ascii="Verdana" w:hAnsi="Verdana" w:cs="Arial"/>
        </w:rPr>
      </w:pPr>
      <w:r>
        <w:rPr>
          <w:rFonts w:ascii="Verdana" w:hAnsi="Verdana" w:cs="Arial"/>
        </w:rPr>
        <w:t>De hecho, l</w:t>
      </w:r>
      <w:r w:rsidRPr="008A0C54">
        <w:rPr>
          <w:rFonts w:ascii="Verdana" w:hAnsi="Verdana" w:cs="Arial"/>
        </w:rPr>
        <w:t xml:space="preserve">a existencia de esta regulación específica evidencia que las ESAL no se equiparan jurídicamente a las sociedades comerciales ni a las </w:t>
      </w:r>
      <w:proofErr w:type="spellStart"/>
      <w:r w:rsidRPr="008A0C54">
        <w:rPr>
          <w:rFonts w:ascii="Verdana" w:hAnsi="Verdana" w:cs="Arial"/>
        </w:rPr>
        <w:t>Mipymes</w:t>
      </w:r>
      <w:proofErr w:type="spellEnd"/>
      <w:r w:rsidRPr="008A0C54">
        <w:rPr>
          <w:rFonts w:ascii="Verdana" w:hAnsi="Verdana" w:cs="Arial"/>
        </w:rPr>
        <w:t xml:space="preserve">, dado que el marco normativo las distingue claramente, destinando para ellas un régimen contractual particular. Esto confirma que, aunque las ESAL pueden concurrir a procesos de contratación pública, no forman parte de la categoría de </w:t>
      </w:r>
      <w:proofErr w:type="spellStart"/>
      <w:r w:rsidRPr="008A0C54">
        <w:rPr>
          <w:rFonts w:ascii="Verdana" w:hAnsi="Verdana" w:cs="Arial"/>
        </w:rPr>
        <w:t>Mipymes</w:t>
      </w:r>
      <w:proofErr w:type="spellEnd"/>
      <w:r w:rsidRPr="008A0C54">
        <w:rPr>
          <w:rFonts w:ascii="Verdana" w:hAnsi="Verdana" w:cs="Arial"/>
        </w:rPr>
        <w:t xml:space="preserve"> ni pueden ser tratadas bajo el mismo régimen legal que estas, lo que respalda su naturaleza jurídica especial y su finalidad no lucrativa.</w:t>
      </w:r>
    </w:p>
    <w:p w14:paraId="7010D891" w14:textId="77777777" w:rsidR="00845A9A" w:rsidRPr="0052621C" w:rsidRDefault="00845A9A" w:rsidP="00845A9A">
      <w:pPr>
        <w:spacing w:after="120" w:line="276" w:lineRule="auto"/>
        <w:ind w:firstLine="709"/>
        <w:jc w:val="both"/>
        <w:rPr>
          <w:rFonts w:ascii="Verdana" w:hAnsi="Verdana" w:cs="Arial"/>
          <w:lang w:val="es-ES"/>
        </w:rPr>
      </w:pPr>
      <w:r>
        <w:rPr>
          <w:rFonts w:ascii="Verdana" w:hAnsi="Verdana" w:cs="Arial"/>
          <w:lang w:val="es-ES"/>
        </w:rPr>
        <w:t xml:space="preserve">Aunque no es posible que las ESAL sean equiparadas a las MiPymes en la normativa del sistema de compras públicas, es necesario aclarar que la Ley determinó un matiz para esta regla. </w:t>
      </w:r>
      <w:r>
        <w:rPr>
          <w:rFonts w:ascii="Verdana" w:eastAsia="Calibri" w:hAnsi="Verdana" w:cs="Arial"/>
          <w:color w:val="000000" w:themeColor="text1"/>
          <w:lang w:val="es-ES"/>
        </w:rPr>
        <w:t>E</w:t>
      </w:r>
      <w:r w:rsidRPr="00362CA6">
        <w:rPr>
          <w:rFonts w:ascii="Verdana" w:eastAsia="Calibri" w:hAnsi="Verdana" w:cs="Arial"/>
          <w:color w:val="000000" w:themeColor="text1"/>
          <w:lang w:val="es-ES"/>
        </w:rPr>
        <w:t>l artículo 23 de la Ley 2069 de 2020</w:t>
      </w:r>
      <w:r>
        <w:rPr>
          <w:rFonts w:ascii="Verdana" w:eastAsia="Calibri" w:hAnsi="Verdana" w:cs="Arial"/>
          <w:color w:val="000000" w:themeColor="text1"/>
          <w:lang w:val="es-ES"/>
        </w:rPr>
        <w:t xml:space="preserve"> </w:t>
      </w:r>
      <w:r w:rsidRPr="00362CA6">
        <w:rPr>
          <w:rFonts w:ascii="Verdana" w:eastAsia="Calibri" w:hAnsi="Verdana" w:cs="Arial"/>
          <w:color w:val="000000" w:themeColor="text1"/>
          <w:lang w:val="es-ES"/>
        </w:rPr>
        <w:t xml:space="preserve">asimila las cooperativas y las </w:t>
      </w:r>
      <w:r w:rsidRPr="00756D53">
        <w:rPr>
          <w:rFonts w:ascii="Verdana" w:eastAsia="Calibri" w:hAnsi="Verdana" w:cs="Arial"/>
          <w:color w:val="000000" w:themeColor="text1"/>
          <w:lang w:val="es-ES"/>
        </w:rPr>
        <w:t>demás entidades de economía solidaria -que incluy</w:t>
      </w:r>
      <w:r>
        <w:rPr>
          <w:rFonts w:ascii="Verdana" w:eastAsia="Calibri" w:hAnsi="Verdana" w:cs="Arial"/>
          <w:color w:val="000000" w:themeColor="text1"/>
          <w:lang w:val="es-ES"/>
        </w:rPr>
        <w:t>e</w:t>
      </w:r>
      <w:r w:rsidRPr="00756D53">
        <w:rPr>
          <w:rFonts w:ascii="Verdana" w:eastAsia="Calibri" w:hAnsi="Verdana" w:cs="Arial"/>
          <w:color w:val="000000" w:themeColor="text1"/>
          <w:lang w:val="es-ES"/>
        </w:rPr>
        <w:t xml:space="preserve"> a las asociaciones mutual</w:t>
      </w:r>
      <w:r>
        <w:rPr>
          <w:rFonts w:ascii="Verdana" w:eastAsia="Calibri" w:hAnsi="Verdana" w:cs="Arial"/>
          <w:color w:val="000000" w:themeColor="text1"/>
          <w:lang w:val="es-ES"/>
        </w:rPr>
        <w:t>istas</w:t>
      </w:r>
      <w:r>
        <w:rPr>
          <w:rFonts w:ascii="Verdana" w:eastAsia="Calibri" w:hAnsi="Verdana" w:cs="Arial"/>
          <w:i/>
          <w:iCs/>
          <w:color w:val="000000" w:themeColor="text1"/>
          <w:lang w:val="es-ES"/>
        </w:rPr>
        <w:t>-</w:t>
      </w:r>
      <w:r w:rsidRPr="00362CA6">
        <w:rPr>
          <w:rFonts w:ascii="Verdana" w:eastAsia="Calibri" w:hAnsi="Verdana" w:cs="Arial"/>
          <w:color w:val="000000" w:themeColor="text1"/>
          <w:lang w:val="es-ES"/>
        </w:rPr>
        <w:t xml:space="preserve"> a </w:t>
      </w:r>
      <w:r w:rsidRPr="00B21D8B">
        <w:rPr>
          <w:rFonts w:ascii="Verdana" w:eastAsia="Calibri" w:hAnsi="Verdana" w:cs="Arial"/>
          <w:i/>
          <w:iCs/>
          <w:color w:val="000000" w:themeColor="text1"/>
          <w:lang w:val="es-ES"/>
        </w:rPr>
        <w:t>empresas, específicamente a MiPymes</w:t>
      </w:r>
      <w:r w:rsidRPr="00362CA6">
        <w:rPr>
          <w:rFonts w:ascii="Verdana" w:eastAsia="Calibri" w:hAnsi="Verdana" w:cs="Arial"/>
          <w:color w:val="000000" w:themeColor="text1"/>
          <w:lang w:val="es-ES"/>
        </w:rPr>
        <w:t xml:space="preserve">, de conformidad con el artículo 2 de la Ley 590 de 2000 y el Decreto 957 de 2019, los cuales desarrollan las categorías </w:t>
      </w:r>
      <w:r>
        <w:rPr>
          <w:rFonts w:ascii="Verdana" w:eastAsia="Calibri" w:hAnsi="Verdana" w:cs="Arial"/>
          <w:color w:val="000000" w:themeColor="text1"/>
          <w:lang w:val="es-ES"/>
        </w:rPr>
        <w:t xml:space="preserve">de </w:t>
      </w:r>
      <w:r w:rsidRPr="00362CA6">
        <w:rPr>
          <w:rFonts w:ascii="Verdana" w:eastAsia="Calibri" w:hAnsi="Verdana" w:cs="Arial"/>
          <w:color w:val="000000" w:themeColor="text1"/>
          <w:lang w:val="es-ES"/>
        </w:rPr>
        <w:t>micro, pequeña y mediana en función del tamaño empresarial</w:t>
      </w:r>
      <w:r w:rsidRPr="00362CA6">
        <w:rPr>
          <w:rFonts w:ascii="Verdana" w:hAnsi="Verdana" w:cs="Arial"/>
          <w:color w:val="000000" w:themeColor="text1"/>
          <w:vertAlign w:val="superscript"/>
          <w:lang w:val="es-ES"/>
        </w:rPr>
        <w:footnoteReference w:id="9"/>
      </w:r>
      <w:r w:rsidRPr="00362CA6">
        <w:rPr>
          <w:rFonts w:ascii="Verdana" w:eastAsia="Calibri" w:hAnsi="Verdana" w:cs="Arial"/>
          <w:color w:val="000000" w:themeColor="text1"/>
          <w:lang w:val="es-ES"/>
        </w:rPr>
        <w:t>. El principal efecto de esta norma es que</w:t>
      </w:r>
      <w:r>
        <w:rPr>
          <w:rFonts w:ascii="Verdana" w:eastAsia="Calibri" w:hAnsi="Verdana" w:cs="Arial"/>
          <w:color w:val="000000" w:themeColor="text1"/>
          <w:lang w:val="es-ES"/>
        </w:rPr>
        <w:t xml:space="preserve"> las medidas contempladas en la Ley 2069 de 2020 para promover la participación de la </w:t>
      </w:r>
      <w:proofErr w:type="spellStart"/>
      <w:r>
        <w:rPr>
          <w:rFonts w:ascii="Verdana" w:eastAsia="Calibri" w:hAnsi="Verdana" w:cs="Arial"/>
          <w:color w:val="000000" w:themeColor="text1"/>
          <w:lang w:val="es-ES"/>
        </w:rPr>
        <w:t>Mipymes</w:t>
      </w:r>
      <w:proofErr w:type="spellEnd"/>
      <w:r>
        <w:rPr>
          <w:rFonts w:ascii="Verdana" w:eastAsia="Calibri" w:hAnsi="Verdana" w:cs="Arial"/>
          <w:color w:val="000000" w:themeColor="text1"/>
          <w:lang w:val="es-ES"/>
        </w:rPr>
        <w:t xml:space="preserve"> sean aplicables a </w:t>
      </w:r>
      <w:r w:rsidRPr="00362CA6">
        <w:rPr>
          <w:rFonts w:ascii="Verdana" w:eastAsia="Calibri" w:hAnsi="Verdana" w:cs="Arial"/>
          <w:color w:val="000000" w:themeColor="text1"/>
          <w:lang w:val="es-ES"/>
        </w:rPr>
        <w:t>las cooperativas, las asociaciones mutualistas y a las demás entidades de economía solidaria.</w:t>
      </w:r>
    </w:p>
    <w:p w14:paraId="51511368" w14:textId="77777777" w:rsidR="00845A9A" w:rsidRDefault="00845A9A" w:rsidP="00845A9A">
      <w:pPr>
        <w:spacing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De manera concordante con lo anterior, el parágrafo del a</w:t>
      </w:r>
      <w:r w:rsidRPr="00F554AA">
        <w:rPr>
          <w:rFonts w:ascii="Verdana" w:eastAsia="Calibri" w:hAnsi="Verdana" w:cs="Arial"/>
          <w:color w:val="000000" w:themeColor="text1"/>
          <w:lang w:val="es-ES"/>
        </w:rPr>
        <w:t>rtículo 2.2.1.2.4.2.2</w:t>
      </w:r>
      <w:r>
        <w:rPr>
          <w:rFonts w:ascii="Verdana" w:eastAsia="Calibri" w:hAnsi="Verdana" w:cs="Arial"/>
          <w:color w:val="000000" w:themeColor="text1"/>
          <w:lang w:val="es-ES"/>
        </w:rPr>
        <w:t xml:space="preserve">, modificado por el artículo 5º del Decreto 1860 de 2021, se refirió a dicha asimilación en el caso específico de la limitación de convocatorias a </w:t>
      </w:r>
      <w:proofErr w:type="spellStart"/>
      <w:r>
        <w:rPr>
          <w:rFonts w:ascii="Verdana" w:eastAsia="Calibri" w:hAnsi="Verdana" w:cs="Arial"/>
          <w:color w:val="000000" w:themeColor="text1"/>
          <w:lang w:val="es-ES"/>
        </w:rPr>
        <w:t>Mipymes</w:t>
      </w:r>
      <w:proofErr w:type="spellEnd"/>
      <w:r>
        <w:rPr>
          <w:rFonts w:ascii="Verdana" w:eastAsia="Calibri" w:hAnsi="Verdana" w:cs="Arial"/>
          <w:color w:val="000000" w:themeColor="text1"/>
          <w:lang w:val="es-ES"/>
        </w:rPr>
        <w:t>. Esta norma determina que “</w:t>
      </w:r>
      <w:r w:rsidRPr="00EC0AE8">
        <w:rPr>
          <w:rFonts w:ascii="Verdana" w:eastAsia="Calibri" w:hAnsi="Verdana" w:cs="Arial"/>
          <w:color w:val="000000" w:themeColor="text1"/>
        </w:rPr>
        <w:t xml:space="preserve">Las cooperativas y demás entidades de economía solidaria, siempre que tengan la calidad de </w:t>
      </w:r>
      <w:proofErr w:type="spellStart"/>
      <w:r w:rsidRPr="00EC0AE8">
        <w:rPr>
          <w:rFonts w:ascii="Verdana" w:eastAsia="Calibri" w:hAnsi="Verdana" w:cs="Arial"/>
          <w:color w:val="000000" w:themeColor="text1"/>
        </w:rPr>
        <w:t>Mipyme</w:t>
      </w:r>
      <w:proofErr w:type="spellEnd"/>
      <w:r w:rsidRPr="00EC0AE8">
        <w:rPr>
          <w:rFonts w:ascii="Verdana" w:eastAsia="Calibri" w:hAnsi="Verdana" w:cs="Arial"/>
          <w:color w:val="000000" w:themeColor="text1"/>
        </w:rPr>
        <w:t>, podrán solicitar y participar en las convocatorias limitadas en las mismas condiciones dispuestas en el presente artículo”</w:t>
      </w:r>
      <w:r>
        <w:rPr>
          <w:rFonts w:ascii="Verdana" w:eastAsia="Calibri" w:hAnsi="Verdana" w:cs="Arial"/>
          <w:color w:val="000000" w:themeColor="text1"/>
        </w:rPr>
        <w:t xml:space="preserve">.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w:t>
      </w:r>
      <w:proofErr w:type="spellStart"/>
      <w:r>
        <w:rPr>
          <w:rFonts w:ascii="Verdana" w:eastAsia="Calibri" w:hAnsi="Verdana" w:cs="Arial"/>
          <w:color w:val="000000" w:themeColor="text1"/>
        </w:rPr>
        <w:t>Mipyme</w:t>
      </w:r>
      <w:proofErr w:type="spellEnd"/>
      <w:r>
        <w:rPr>
          <w:rFonts w:ascii="Verdana" w:eastAsia="Calibri" w:hAnsi="Verdana" w:cs="Arial"/>
          <w:color w:val="000000" w:themeColor="text1"/>
        </w:rPr>
        <w:t>.</w:t>
      </w:r>
    </w:p>
    <w:p w14:paraId="2E6269CE" w14:textId="77777777" w:rsidR="00845A9A" w:rsidRPr="00362CA6" w:rsidRDefault="00845A9A" w:rsidP="00845A9A">
      <w:pPr>
        <w:spacing w:after="120" w:line="276" w:lineRule="auto"/>
        <w:ind w:firstLine="708"/>
        <w:jc w:val="both"/>
        <w:rPr>
          <w:rFonts w:ascii="Verdana" w:eastAsia="Calibri" w:hAnsi="Verdana" w:cs="Arial"/>
          <w:color w:val="000000" w:themeColor="text1"/>
          <w:lang w:val="es-ES"/>
        </w:rPr>
      </w:pPr>
      <w:r w:rsidRPr="00362CA6">
        <w:rPr>
          <w:rFonts w:ascii="Verdana" w:eastAsia="Calibri" w:hAnsi="Verdana" w:cs="Arial"/>
          <w:color w:val="000000" w:themeColor="text1"/>
          <w:lang w:val="es-ES"/>
        </w:rPr>
        <w:t xml:space="preserve">Es necesario mencionar que la asimilación dispuesta por el artículo </w:t>
      </w:r>
      <w:r w:rsidRPr="00EC0AE8">
        <w:rPr>
          <w:rFonts w:ascii="Verdana" w:eastAsia="Calibri" w:hAnsi="Verdana" w:cs="Arial"/>
          <w:color w:val="000000" w:themeColor="text1"/>
          <w:lang w:val="es-ES"/>
        </w:rPr>
        <w:t>23 de la Ley 2069 de 2020 y el artículo 2.2.1.2.4.2.</w:t>
      </w:r>
      <w:r w:rsidRPr="00F554AA">
        <w:rPr>
          <w:rFonts w:ascii="Verdana" w:eastAsia="Calibri" w:hAnsi="Verdana" w:cs="Arial"/>
          <w:color w:val="000000" w:themeColor="text1"/>
          <w:lang w:val="es-ES"/>
        </w:rPr>
        <w:t>2</w:t>
      </w:r>
      <w:r>
        <w:rPr>
          <w:rFonts w:ascii="Verdana" w:eastAsia="Calibri" w:hAnsi="Verdana" w:cs="Arial"/>
          <w:color w:val="000000" w:themeColor="text1"/>
          <w:lang w:val="es-ES"/>
        </w:rPr>
        <w:t xml:space="preserve"> del Decreto 1082 de 2015, </w:t>
      </w:r>
      <w:r w:rsidRPr="00362CA6">
        <w:rPr>
          <w:rFonts w:ascii="Verdana" w:eastAsia="Calibri" w:hAnsi="Verdana" w:cs="Arial"/>
          <w:color w:val="000000" w:themeColor="text1"/>
          <w:lang w:val="es-ES"/>
        </w:rPr>
        <w:t xml:space="preserve">no implica una alteración sustantiva de la naturaleza jurídica de las cooperativas y las empresas de economía solidaria, concebidas por la ley como entidades sin ánimo de lucro, </w:t>
      </w:r>
      <w:r>
        <w:rPr>
          <w:rFonts w:ascii="Verdana" w:eastAsia="Calibri" w:hAnsi="Verdana" w:cs="Arial"/>
          <w:color w:val="000000" w:themeColor="text1"/>
          <w:lang w:val="es-ES"/>
        </w:rPr>
        <w:t xml:space="preserve">pues su equiparación con las MiPymes se limita </w:t>
      </w:r>
      <w:r w:rsidRPr="00362CA6">
        <w:rPr>
          <w:rFonts w:ascii="Verdana" w:eastAsia="Calibri" w:hAnsi="Verdana" w:cs="Arial"/>
          <w:color w:val="000000" w:themeColor="text1"/>
          <w:lang w:val="es-ES"/>
        </w:rPr>
        <w:t>a la aplicación de las materias reguladas por la Ley 2069 de 2020</w:t>
      </w:r>
      <w:r>
        <w:rPr>
          <w:rFonts w:ascii="Verdana" w:eastAsia="Calibri" w:hAnsi="Verdana" w:cs="Arial"/>
          <w:color w:val="000000" w:themeColor="text1"/>
          <w:lang w:val="es-ES"/>
        </w:rPr>
        <w:t xml:space="preserve"> y no se extiende a otros supuestos</w:t>
      </w:r>
      <w:r w:rsidRPr="00362CA6">
        <w:rPr>
          <w:rFonts w:ascii="Verdana" w:eastAsia="Calibri" w:hAnsi="Verdana" w:cs="Arial"/>
          <w:color w:val="000000" w:themeColor="text1"/>
          <w:lang w:val="es-ES"/>
        </w:rPr>
        <w:t xml:space="preserve">. En ese sentido, el mandato de considerar este tipo de entidades como empresas y clasificarlas como MiPymes es una acción </w:t>
      </w:r>
      <w:r>
        <w:rPr>
          <w:rFonts w:ascii="Verdana" w:eastAsia="Calibri" w:hAnsi="Verdana" w:cs="Arial"/>
          <w:color w:val="000000" w:themeColor="text1"/>
          <w:lang w:val="es-ES"/>
        </w:rPr>
        <w:t xml:space="preserve">que busca </w:t>
      </w:r>
      <w:r w:rsidRPr="00362CA6">
        <w:rPr>
          <w:rFonts w:ascii="Verdana" w:eastAsia="Calibri" w:hAnsi="Verdana" w:cs="Arial"/>
          <w:color w:val="000000" w:themeColor="text1"/>
          <w:lang w:val="es-ES"/>
        </w:rPr>
        <w:t xml:space="preserve">vincularlas como proveedoras del mercado de compra pública dentro del ámbito de explotación económica que la ley ha concedido a estas entidades del sector solidario. </w:t>
      </w:r>
    </w:p>
    <w:p w14:paraId="1081C254" w14:textId="77777777" w:rsidR="00845A9A" w:rsidRPr="00362CA6" w:rsidRDefault="00845A9A" w:rsidP="00845A9A">
      <w:pPr>
        <w:spacing w:after="120" w:line="276" w:lineRule="auto"/>
        <w:jc w:val="both"/>
        <w:rPr>
          <w:rFonts w:ascii="Verdana" w:hAnsi="Verdana" w:cs="Arial"/>
          <w:color w:val="000000" w:themeColor="text1"/>
          <w:lang w:val="es-ES"/>
        </w:rPr>
      </w:pPr>
      <w:r w:rsidRPr="00362CA6">
        <w:rPr>
          <w:rFonts w:ascii="Verdana" w:eastAsia="Calibri" w:hAnsi="Verdana" w:cs="Arial"/>
          <w:color w:val="000000" w:themeColor="text1"/>
          <w:lang w:val="es-ES_tradnl"/>
        </w:rPr>
        <w:tab/>
      </w:r>
      <w:r w:rsidRPr="00362CA6">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0362CA6">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5D08D6B9" w14:textId="77777777" w:rsidR="00845A9A" w:rsidRDefault="00845A9A" w:rsidP="00845A9A">
      <w:pPr>
        <w:spacing w:after="120" w:line="276" w:lineRule="auto"/>
        <w:ind w:firstLine="708"/>
        <w:jc w:val="both"/>
        <w:rPr>
          <w:rFonts w:ascii="Verdana" w:hAnsi="Verdana" w:cs="Arial"/>
          <w:color w:val="000000" w:themeColor="text1"/>
          <w:lang w:val="es-ES"/>
        </w:rPr>
      </w:pPr>
      <w:r w:rsidRPr="00362CA6">
        <w:rPr>
          <w:rFonts w:ascii="Verdana" w:hAnsi="Verdana" w:cs="Arial"/>
          <w:color w:val="000000" w:themeColor="text1"/>
          <w:lang w:val="es-ES"/>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w:t>
      </w:r>
      <w:r w:rsidRPr="008208AD">
        <w:rPr>
          <w:rFonts w:ascii="Verdana" w:hAnsi="Verdana" w:cs="Arial"/>
          <w:i/>
          <w:iCs/>
          <w:color w:val="000000" w:themeColor="text1"/>
          <w:lang w:val="es-ES"/>
        </w:rPr>
        <w:t>objeto de producir, distribuir y consumir conjuntamente bienes y servicios para satisfacer las necesidades de sus miembros</w:t>
      </w:r>
      <w:r w:rsidRPr="00362CA6">
        <w:rPr>
          <w:rFonts w:ascii="Verdana" w:hAnsi="Verdana" w:cs="Arial"/>
          <w:color w:val="000000" w:themeColor="text1"/>
          <w:lang w:val="es-ES"/>
        </w:rPr>
        <w:t xml:space="preserve"> y desarrollar obras de servicio a la comunidad en general, para lo cual deben estar constituidas como </w:t>
      </w:r>
      <w:r w:rsidRPr="008208AD">
        <w:rPr>
          <w:rFonts w:ascii="Verdana" w:hAnsi="Verdana" w:cs="Arial"/>
          <w:i/>
          <w:iCs/>
          <w:color w:val="000000" w:themeColor="text1"/>
          <w:lang w:val="es-ES"/>
        </w:rPr>
        <w:t>empresas</w:t>
      </w:r>
      <w:r w:rsidRPr="00362CA6">
        <w:rPr>
          <w:rFonts w:ascii="Verdana" w:hAnsi="Verdana" w:cs="Arial"/>
          <w:color w:val="000000" w:themeColor="text1"/>
          <w:lang w:val="es-ES"/>
        </w:rPr>
        <w:t xml:space="preserve">.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3722589D" w14:textId="77777777" w:rsidR="00845A9A" w:rsidRDefault="00845A9A" w:rsidP="00845A9A">
      <w:pPr>
        <w:spacing w:after="120" w:line="276" w:lineRule="auto"/>
        <w:ind w:firstLine="708"/>
        <w:jc w:val="both"/>
        <w:rPr>
          <w:rFonts w:ascii="Verdana" w:eastAsia="Calibri" w:hAnsi="Verdana" w:cs="Arial"/>
          <w:color w:val="000000" w:themeColor="text1"/>
          <w:lang w:val="es-ES"/>
        </w:rPr>
      </w:pPr>
      <w:r w:rsidRPr="0052621C">
        <w:rPr>
          <w:rFonts w:ascii="Verdana" w:hAnsi="Verdana" w:cs="Arial"/>
          <w:color w:val="000000" w:themeColor="text1"/>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52621C">
        <w:rPr>
          <w:rFonts w:ascii="Verdana" w:eastAsia="Calibri" w:hAnsi="Verdana" w:cs="Arial"/>
          <w:color w:val="000000" w:themeColor="text1"/>
          <w:lang w:val="es-ES"/>
        </w:rPr>
        <w:t xml:space="preserve">cooperativas y demás entes considerados de economía solidaria, </w:t>
      </w:r>
      <w:r w:rsidRPr="0052621C">
        <w:rPr>
          <w:rFonts w:ascii="Verdana" w:eastAsia="Geomanist Light" w:hAnsi="Verdana" w:cs="Arial"/>
          <w:lang w:val="es-ES"/>
        </w:rPr>
        <w:t>en los términos del artículo 6 de la Ley 454 de 1998 –norma a la que remite el artículo 23 de la Ley de Emprendimiento–.</w:t>
      </w:r>
      <w:r w:rsidRPr="0052621C">
        <w:rPr>
          <w:rFonts w:ascii="Verdana" w:eastAsia="Calibri" w:hAnsi="Verdana" w:cs="Arial"/>
          <w:color w:val="000000" w:themeColor="text1"/>
          <w:lang w:val="es-ES"/>
        </w:rPr>
        <w:t xml:space="preserve"> </w:t>
      </w:r>
      <w:r w:rsidRPr="0052621C">
        <w:rPr>
          <w:rFonts w:ascii="Verdana" w:eastAsia="Geomanist Light" w:hAnsi="Verdana" w:cs="Arial"/>
          <w:lang w:val="es-ES"/>
        </w:rPr>
        <w:t xml:space="preserve">En tal sentido, debe analizarse si la ESAL cumple con las características establecidas en dicho artículo, para considerarla una organización de economía solidaria. </w:t>
      </w:r>
      <w:r w:rsidRPr="0052621C">
        <w:rPr>
          <w:rFonts w:ascii="Verdana" w:eastAsia="Calibri" w:hAnsi="Verdana" w:cs="Arial"/>
          <w:color w:val="000000" w:themeColor="text1"/>
          <w:lang w:val="es-ES"/>
        </w:rPr>
        <w:t>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del artículo 2.2.1.2.4.2.2 del Decreto 1082 de 2015.</w:t>
      </w:r>
    </w:p>
    <w:p w14:paraId="3BAE5DF8" w14:textId="77777777" w:rsidR="00845A9A" w:rsidRDefault="00845A9A" w:rsidP="00845A9A">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En este contexto, es importante destacar que </w:t>
      </w:r>
      <w:r w:rsidRPr="00DE6578">
        <w:rPr>
          <w:rFonts w:ascii="Verdana" w:eastAsia="Calibri" w:hAnsi="Verdana" w:cs="Arial"/>
          <w:color w:val="000000" w:themeColor="text1"/>
        </w:rPr>
        <w:t>la ley</w:t>
      </w:r>
      <w:r>
        <w:rPr>
          <w:rFonts w:ascii="Verdana" w:eastAsia="Calibri" w:hAnsi="Verdana" w:cs="Arial"/>
          <w:color w:val="000000" w:themeColor="text1"/>
        </w:rPr>
        <w:t xml:space="preserve"> 2069 de 2020</w:t>
      </w:r>
      <w:r w:rsidRPr="00DE6578">
        <w:rPr>
          <w:rFonts w:ascii="Verdana" w:eastAsia="Calibri" w:hAnsi="Verdana" w:cs="Arial"/>
          <w:color w:val="000000" w:themeColor="text1"/>
        </w:rPr>
        <w:t xml:space="preserve"> no extiende </w:t>
      </w:r>
      <w:r>
        <w:rPr>
          <w:rFonts w:ascii="Verdana" w:eastAsia="Calibri" w:hAnsi="Verdana" w:cs="Arial"/>
          <w:color w:val="000000" w:themeColor="text1"/>
        </w:rPr>
        <w:t xml:space="preserve">esta asimilación a </w:t>
      </w:r>
      <w:proofErr w:type="spellStart"/>
      <w:r>
        <w:rPr>
          <w:rFonts w:ascii="Verdana" w:eastAsia="Calibri" w:hAnsi="Verdana" w:cs="Arial"/>
          <w:color w:val="000000" w:themeColor="text1"/>
        </w:rPr>
        <w:t>Mipymes</w:t>
      </w:r>
      <w:proofErr w:type="spellEnd"/>
      <w:r>
        <w:rPr>
          <w:rFonts w:ascii="Verdana" w:eastAsia="Calibri" w:hAnsi="Verdana" w:cs="Arial"/>
          <w:color w:val="000000" w:themeColor="text1"/>
        </w:rPr>
        <w:t xml:space="preserve"> </w:t>
      </w:r>
      <w:r w:rsidRPr="00DE6578">
        <w:rPr>
          <w:rFonts w:ascii="Verdana" w:eastAsia="Calibri" w:hAnsi="Verdana" w:cs="Arial"/>
          <w:color w:val="000000" w:themeColor="text1"/>
        </w:rPr>
        <w:t>a otras formas de ESAL, como fundaciones o asociaciones</w:t>
      </w:r>
      <w:r>
        <w:rPr>
          <w:rFonts w:ascii="Verdana" w:eastAsia="Calibri" w:hAnsi="Verdana" w:cs="Arial"/>
          <w:color w:val="000000" w:themeColor="text1"/>
        </w:rPr>
        <w:t xml:space="preserve">, sino únicamente a las </w:t>
      </w:r>
      <w:r w:rsidRPr="00362CA6">
        <w:rPr>
          <w:rFonts w:ascii="Verdana" w:eastAsia="Calibri" w:hAnsi="Verdana" w:cs="Arial"/>
          <w:color w:val="000000" w:themeColor="text1"/>
          <w:lang w:val="es-ES"/>
        </w:rPr>
        <w:t>cooperativas y</w:t>
      </w:r>
      <w:r>
        <w:rPr>
          <w:rFonts w:ascii="Verdana" w:eastAsia="Calibri" w:hAnsi="Verdana" w:cs="Arial"/>
          <w:color w:val="000000" w:themeColor="text1"/>
          <w:lang w:val="es-ES"/>
        </w:rPr>
        <w:t xml:space="preserve"> demás entes considerados de </w:t>
      </w:r>
      <w:r w:rsidRPr="00362CA6">
        <w:rPr>
          <w:rFonts w:ascii="Verdana" w:eastAsia="Calibri" w:hAnsi="Verdana" w:cs="Arial"/>
          <w:color w:val="000000" w:themeColor="text1"/>
          <w:lang w:val="es-ES"/>
        </w:rPr>
        <w:t>economía solidaria</w:t>
      </w:r>
      <w:r w:rsidRPr="00DE6578">
        <w:rPr>
          <w:rFonts w:ascii="Verdana" w:eastAsia="Calibri" w:hAnsi="Verdana" w:cs="Arial"/>
          <w:color w:val="000000" w:themeColor="text1"/>
        </w:rPr>
        <w:t>.</w:t>
      </w:r>
      <w:r>
        <w:rPr>
          <w:rFonts w:ascii="Verdana" w:eastAsia="Calibri" w:hAnsi="Verdana" w:cs="Arial"/>
          <w:color w:val="000000" w:themeColor="text1"/>
        </w:rPr>
        <w:t xml:space="preserve"> De esta forma, se podría concluir que</w:t>
      </w:r>
      <w:r w:rsidRPr="00DE6578">
        <w:rPr>
          <w:rFonts w:ascii="Verdana" w:eastAsia="Calibri" w:hAnsi="Verdana" w:cs="Arial"/>
          <w:color w:val="000000" w:themeColor="text1"/>
        </w:rPr>
        <w:t xml:space="preserve"> la ausencia de mención explícita a otras ESAL en el marco de este beneficio indica que el legislador deliberadamente excluyó a estas entidades del tratamiento especial otorgado a las cooperativas.</w:t>
      </w:r>
      <w:r w:rsidRPr="000144A1">
        <w:t xml:space="preserve"> </w:t>
      </w:r>
      <w:r>
        <w:rPr>
          <w:rFonts w:ascii="Verdana" w:eastAsia="Calibri" w:hAnsi="Verdana" w:cs="Arial"/>
          <w:color w:val="000000" w:themeColor="text1"/>
        </w:rPr>
        <w:t>En consecuencia</w:t>
      </w:r>
      <w:r w:rsidRPr="000144A1">
        <w:rPr>
          <w:rFonts w:ascii="Verdana" w:eastAsia="Calibri" w:hAnsi="Verdana" w:cs="Arial"/>
          <w:color w:val="000000" w:themeColor="text1"/>
        </w:rPr>
        <w:t xml:space="preserve">, </w:t>
      </w:r>
      <w:r>
        <w:rPr>
          <w:rFonts w:ascii="Verdana" w:eastAsia="Calibri" w:hAnsi="Verdana" w:cs="Arial"/>
          <w:color w:val="000000" w:themeColor="text1"/>
        </w:rPr>
        <w:t>la norma evidencia</w:t>
      </w:r>
      <w:r w:rsidRPr="000144A1">
        <w:rPr>
          <w:rFonts w:ascii="Verdana" w:eastAsia="Calibri" w:hAnsi="Verdana" w:cs="Arial"/>
          <w:color w:val="000000" w:themeColor="text1"/>
        </w:rPr>
        <w:t xml:space="preserve"> una voluntad normativa clara de diferenciación, sustentada en las características y objetivos propios de cada tipo de entidad, y no puede ser entendido como un vacío o un ámbito abierto a la interpretación amplia que </w:t>
      </w:r>
      <w:r>
        <w:rPr>
          <w:rFonts w:ascii="Verdana" w:eastAsia="Calibri" w:hAnsi="Verdana" w:cs="Arial"/>
          <w:color w:val="000000" w:themeColor="text1"/>
        </w:rPr>
        <w:t>equipare a las demás ESAL</w:t>
      </w:r>
      <w:r w:rsidRPr="000144A1">
        <w:rPr>
          <w:rFonts w:ascii="Verdana" w:eastAsia="Calibri" w:hAnsi="Verdana" w:cs="Arial"/>
          <w:color w:val="000000" w:themeColor="text1"/>
        </w:rPr>
        <w:t xml:space="preserve"> automáticamente con las </w:t>
      </w:r>
      <w:proofErr w:type="spellStart"/>
      <w:r w:rsidRPr="000144A1">
        <w:rPr>
          <w:rFonts w:ascii="Verdana" w:eastAsia="Calibri" w:hAnsi="Verdana" w:cs="Arial"/>
          <w:color w:val="000000" w:themeColor="text1"/>
        </w:rPr>
        <w:t>Mipymes</w:t>
      </w:r>
      <w:proofErr w:type="spellEnd"/>
      <w:r>
        <w:rPr>
          <w:rFonts w:ascii="Verdana" w:eastAsia="Calibri" w:hAnsi="Verdana" w:cs="Arial"/>
          <w:color w:val="000000" w:themeColor="text1"/>
        </w:rPr>
        <w:t xml:space="preserve">. </w:t>
      </w:r>
    </w:p>
    <w:p w14:paraId="2B57D241" w14:textId="77777777" w:rsidR="00845A9A" w:rsidRPr="0052621C" w:rsidRDefault="00845A9A" w:rsidP="00845A9A">
      <w:pPr>
        <w:spacing w:after="120" w:line="276" w:lineRule="auto"/>
        <w:ind w:firstLine="708"/>
        <w:jc w:val="both"/>
        <w:rPr>
          <w:rFonts w:ascii="Verdana" w:eastAsia="Calibri" w:hAnsi="Verdana" w:cs="Arial"/>
          <w:color w:val="000000" w:themeColor="text1"/>
        </w:rPr>
      </w:pPr>
      <w:r w:rsidRPr="007A60E6">
        <w:rPr>
          <w:rFonts w:ascii="Verdana" w:hAnsi="Verdana"/>
        </w:rPr>
        <w:t xml:space="preserve">Sin perjuicio de lo anterior, </w:t>
      </w:r>
      <w:r w:rsidRPr="007A60E6">
        <w:rPr>
          <w:rFonts w:ascii="Verdana" w:eastAsia="Calibri" w:hAnsi="Verdana" w:cs="Arial"/>
          <w:color w:val="000000"/>
          <w:lang w:val="es-ES" w:eastAsia="es-ES"/>
        </w:rPr>
        <w:t>se precisa que los conceptos emitidos por esta Subdirección en el marco de la función consultiva representan</w:t>
      </w:r>
      <w:r w:rsidRPr="007A60E6">
        <w:rPr>
          <w:rFonts w:ascii="Verdana" w:hAnsi="Verdana" w:cs="Arial"/>
          <w:lang w:eastAsia="es-ES"/>
        </w:rPr>
        <w:t xml:space="preserve"> una </w:t>
      </w:r>
      <w:r w:rsidRPr="007A60E6">
        <w:rPr>
          <w:rFonts w:ascii="Verdana" w:eastAsia="Calibri" w:hAnsi="Verdana" w:cs="Arial"/>
          <w:bCs/>
          <w:lang w:val="es-ES_tradnl"/>
        </w:rPr>
        <w:t>posición hermenéutica respecto a las disposiciones normativas del Sistema de Compras Públicas,</w:t>
      </w:r>
      <w:r w:rsidRPr="007A60E6">
        <w:rPr>
          <w:rFonts w:ascii="Verdana" w:hAnsi="Verdana" w:cs="Arial"/>
          <w:lang w:eastAsia="es-ES"/>
        </w:rPr>
        <w:t xml:space="preserve"> que </w:t>
      </w:r>
      <w:r w:rsidRPr="007A60E6">
        <w:rPr>
          <w:rFonts w:ascii="Verdana" w:eastAsia="Calibri" w:hAnsi="Verdana" w:cs="Arial"/>
          <w:bCs/>
          <w:lang w:val="es-ES_tradnl"/>
        </w:rPr>
        <w:t>no tienen efectos vinculantes en relación con una situación jurídica particular y concreta, y exponen un criterio que, aunque jurídicamente fundamentado, no representan la única interpretación válida del ordenamiento jurídico.</w:t>
      </w:r>
      <w:r w:rsidRPr="007A60E6">
        <w:rPr>
          <w:rFonts w:ascii="Verdana" w:eastAsiaTheme="minorEastAsia" w:hAnsi="Verdana" w:cs="Arial"/>
          <w:szCs w:val="24"/>
          <w:lang w:eastAsia="es-CO"/>
        </w:rPr>
        <w:t xml:space="preserve"> De este modo, las autoridades que ejercen funciones consultivas pueden expresar su</w:t>
      </w:r>
      <w:r w:rsidRPr="007A60E6">
        <w:rPr>
          <w:rFonts w:ascii="Verdana" w:eastAsiaTheme="minorEastAsia" w:hAnsi="Verdana" w:cs="Arial"/>
          <w:spacing w:val="1"/>
          <w:szCs w:val="24"/>
          <w:lang w:eastAsia="es-CO"/>
        </w:rPr>
        <w:t xml:space="preserve"> </w:t>
      </w:r>
      <w:r w:rsidRPr="007A60E6">
        <w:rPr>
          <w:rFonts w:ascii="Verdana" w:eastAsiaTheme="minorEastAsia" w:hAnsi="Verdana" w:cs="Arial"/>
          <w:szCs w:val="24"/>
          <w:lang w:eastAsia="es-CO"/>
        </w:rPr>
        <w:t>interpretación de un precepto normativo, que no excluye otras interpretaciones posibles, pues el derecho, como sistema normativo, es un lenguaje que, en ocasiones, se tiñe de vaguedad, en</w:t>
      </w:r>
      <w:r w:rsidRPr="007A60E6">
        <w:rPr>
          <w:rFonts w:ascii="Verdana" w:eastAsiaTheme="minorEastAsia" w:hAnsi="Verdana" w:cs="Arial"/>
          <w:spacing w:val="1"/>
          <w:szCs w:val="24"/>
          <w:lang w:eastAsia="es-CO"/>
        </w:rPr>
        <w:t xml:space="preserve"> </w:t>
      </w:r>
      <w:r w:rsidRPr="007A60E6">
        <w:rPr>
          <w:rFonts w:ascii="Verdana" w:eastAsiaTheme="minorEastAsia" w:hAnsi="Verdana" w:cs="Arial"/>
          <w:szCs w:val="24"/>
          <w:lang w:eastAsia="es-CO"/>
        </w:rPr>
        <w:t>virtud</w:t>
      </w:r>
      <w:r w:rsidRPr="007A60E6">
        <w:rPr>
          <w:rFonts w:ascii="Verdana" w:eastAsiaTheme="minorEastAsia" w:hAnsi="Verdana" w:cs="Arial"/>
          <w:spacing w:val="-10"/>
          <w:szCs w:val="24"/>
          <w:lang w:eastAsia="es-CO"/>
        </w:rPr>
        <w:t xml:space="preserve"> </w:t>
      </w:r>
      <w:r w:rsidRPr="007A60E6">
        <w:rPr>
          <w:rFonts w:ascii="Verdana" w:eastAsiaTheme="minorEastAsia" w:hAnsi="Verdana" w:cs="Arial"/>
          <w:szCs w:val="24"/>
          <w:lang w:eastAsia="es-CO"/>
        </w:rPr>
        <w:t>de</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la</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utilización</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de</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conceptos</w:t>
      </w:r>
      <w:r w:rsidRPr="007A60E6">
        <w:rPr>
          <w:rFonts w:ascii="Verdana" w:eastAsiaTheme="minorEastAsia" w:hAnsi="Verdana" w:cs="Arial"/>
          <w:spacing w:val="-10"/>
          <w:szCs w:val="24"/>
          <w:lang w:eastAsia="es-CO"/>
        </w:rPr>
        <w:t xml:space="preserve"> </w:t>
      </w:r>
      <w:r w:rsidRPr="007A60E6">
        <w:rPr>
          <w:rFonts w:ascii="Verdana" w:eastAsiaTheme="minorEastAsia" w:hAnsi="Verdana" w:cs="Arial"/>
          <w:szCs w:val="24"/>
          <w:lang w:eastAsia="es-CO"/>
        </w:rPr>
        <w:t>jurídicos</w:t>
      </w:r>
      <w:r w:rsidRPr="007A60E6">
        <w:rPr>
          <w:rFonts w:ascii="Verdana" w:eastAsiaTheme="minorEastAsia" w:hAnsi="Verdana" w:cs="Arial"/>
          <w:spacing w:val="-9"/>
          <w:szCs w:val="24"/>
          <w:lang w:eastAsia="es-CO"/>
        </w:rPr>
        <w:t xml:space="preserve"> </w:t>
      </w:r>
      <w:r w:rsidRPr="007A60E6">
        <w:rPr>
          <w:rFonts w:ascii="Verdana" w:eastAsiaTheme="minorEastAsia" w:hAnsi="Verdana" w:cs="Arial"/>
          <w:szCs w:val="24"/>
          <w:lang w:eastAsia="es-CO"/>
        </w:rPr>
        <w:t>indeterminados.</w:t>
      </w:r>
      <w:r w:rsidRPr="007A60E6">
        <w:rPr>
          <w:rFonts w:ascii="Verdana" w:eastAsiaTheme="minorEastAsia" w:hAnsi="Verdana" w:cs="Arial"/>
          <w:spacing w:val="-9"/>
          <w:szCs w:val="24"/>
          <w:lang w:eastAsia="es-CO"/>
        </w:rPr>
        <w:t xml:space="preserve"> </w:t>
      </w:r>
    </w:p>
    <w:p w14:paraId="56E945C3" w14:textId="59290026" w:rsidR="00845A9A" w:rsidRPr="00845A9A" w:rsidRDefault="00845A9A" w:rsidP="00845A9A">
      <w:pPr>
        <w:spacing w:after="120" w:line="276" w:lineRule="auto"/>
        <w:ind w:firstLine="709"/>
        <w:jc w:val="both"/>
        <w:rPr>
          <w:rFonts w:ascii="Verdana" w:hAnsi="Verdana" w:cs="Arial"/>
          <w:lang w:eastAsia="es-ES"/>
        </w:rPr>
      </w:pPr>
      <w:r w:rsidRPr="007A60E6">
        <w:rPr>
          <w:rFonts w:ascii="Verdana" w:eastAsia="Calibri" w:hAnsi="Verdana" w:cs="Arial"/>
          <w:bCs/>
          <w:lang w:val="es-ES_tradnl"/>
        </w:rPr>
        <w:t xml:space="preserve">En tal sentido, al responder peticiones realizadas en ejercicio del derecho a formular consultas no son de obligatorio cumplimiento o de obligatoria ejecución. Por tanto, cada </w:t>
      </w:r>
      <w:r w:rsidRPr="007A60E6">
        <w:rPr>
          <w:rFonts w:ascii="Verdana" w:hAnsi="Verdana" w:cs="Arial"/>
          <w:lang w:eastAsia="es-ES"/>
        </w:rPr>
        <w:t>entidad definirá la forma de adelantar su gestión contractual, sin que sea atribución de Colombia Compra Eficiente validar sus actuaciones.</w:t>
      </w:r>
      <w:bookmarkStart w:id="4" w:name="_Hlk204854194"/>
    </w:p>
    <w:p w14:paraId="4E2632AA" w14:textId="77777777" w:rsidR="00845A9A" w:rsidRDefault="00845A9A" w:rsidP="00845A9A">
      <w:pPr>
        <w:tabs>
          <w:tab w:val="left" w:pos="142"/>
          <w:tab w:val="left" w:pos="284"/>
          <w:tab w:val="left" w:pos="3828"/>
        </w:tabs>
        <w:spacing w:after="0" w:line="240" w:lineRule="auto"/>
        <w:rPr>
          <w:rFonts w:ascii="Verdana" w:eastAsia="Century Gothic" w:hAnsi="Verdana" w:cs="Century Gothic"/>
          <w:b/>
          <w:bCs/>
        </w:rPr>
      </w:pPr>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4"/>
    </w:p>
    <w:p w14:paraId="2A728205" w14:textId="77777777" w:rsidR="00845A9A" w:rsidRPr="005644FE" w:rsidRDefault="00845A9A" w:rsidP="00845A9A">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45A9A" w:rsidRPr="005644FE" w14:paraId="74C45F20" w14:textId="77777777" w:rsidTr="00DB0B82">
        <w:trPr>
          <w:trHeight w:val="56"/>
          <w:jc w:val="center"/>
        </w:trPr>
        <w:tc>
          <w:tcPr>
            <w:tcW w:w="8647" w:type="dxa"/>
          </w:tcPr>
          <w:p w14:paraId="05F2C0A1" w14:textId="77777777" w:rsidR="00845A9A" w:rsidRDefault="00845A9A" w:rsidP="00845A9A">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2069 de 2020. Artículo 23. </w:t>
            </w:r>
          </w:p>
          <w:p w14:paraId="4CD4868D" w14:textId="77777777" w:rsidR="00845A9A" w:rsidRDefault="00845A9A" w:rsidP="00845A9A">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Ley 454 de 1998. Artículo 6. </w:t>
            </w:r>
          </w:p>
          <w:p w14:paraId="103AB38E" w14:textId="77777777" w:rsidR="00845A9A" w:rsidRPr="00272B0D" w:rsidRDefault="00845A9A" w:rsidP="00845A9A">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Decreto 1082 de 2015. Artículos </w:t>
            </w:r>
            <w:r w:rsidRPr="0040650F">
              <w:rPr>
                <w:rFonts w:ascii="Verdana" w:hAnsi="Verdana" w:cs="Arial"/>
              </w:rPr>
              <w:t>2.2.1.2.4.2.2</w:t>
            </w:r>
            <w:r>
              <w:rPr>
                <w:rFonts w:ascii="Verdana" w:hAnsi="Verdana" w:cs="Arial"/>
              </w:rPr>
              <w:t>,</w:t>
            </w:r>
            <w:r w:rsidRPr="0040650F">
              <w:rPr>
                <w:rFonts w:ascii="Verdana" w:hAnsi="Verdana" w:cs="Arial"/>
              </w:rPr>
              <w:t xml:space="preserve"> 2.2.1.2.4.2.3 </w:t>
            </w:r>
            <w:r>
              <w:rPr>
                <w:rFonts w:ascii="Verdana" w:eastAsia="Aptos" w:hAnsi="Verdana" w:cs="Arial"/>
              </w:rPr>
              <w:t>2.2.1.2.1.5.2.</w:t>
            </w:r>
          </w:p>
          <w:p w14:paraId="37070A61" w14:textId="77777777" w:rsidR="00845A9A" w:rsidRPr="00272B0D" w:rsidRDefault="00845A9A" w:rsidP="00845A9A">
            <w:pPr>
              <w:pStyle w:val="Prrafodelista"/>
              <w:numPr>
                <w:ilvl w:val="0"/>
                <w:numId w:val="17"/>
              </w:numPr>
              <w:spacing w:after="120" w:line="276" w:lineRule="auto"/>
              <w:ind w:left="714" w:hanging="357"/>
              <w:jc w:val="both"/>
              <w:rPr>
                <w:rFonts w:ascii="Verdana" w:eastAsia="Aptos" w:hAnsi="Verdana" w:cs="Arial"/>
              </w:rPr>
            </w:pPr>
            <w:r>
              <w:rPr>
                <w:rFonts w:ascii="Verdana" w:eastAsia="Calibri" w:hAnsi="Verdana" w:cs="Arial"/>
                <w:color w:val="000000" w:themeColor="text1"/>
              </w:rPr>
              <w:t xml:space="preserve">Código de Comercio. Artículos 98 y 100. </w:t>
            </w:r>
          </w:p>
          <w:p w14:paraId="24260322" w14:textId="77777777" w:rsidR="00845A9A" w:rsidRPr="00272B0D" w:rsidRDefault="00845A9A" w:rsidP="00845A9A">
            <w:pPr>
              <w:pStyle w:val="Prrafodelista"/>
              <w:numPr>
                <w:ilvl w:val="0"/>
                <w:numId w:val="17"/>
              </w:numPr>
              <w:spacing w:after="120" w:line="276" w:lineRule="auto"/>
              <w:ind w:left="714" w:hanging="357"/>
              <w:jc w:val="both"/>
              <w:rPr>
                <w:rFonts w:ascii="Verdana" w:eastAsia="Aptos" w:hAnsi="Verdana" w:cs="Arial"/>
                <w:lang w:val="es-CO"/>
              </w:rPr>
            </w:pPr>
            <w:r w:rsidRPr="60F29CF2">
              <w:rPr>
                <w:rFonts w:ascii="Verdana" w:hAnsi="Verdana" w:cs="Arial"/>
              </w:rPr>
              <w:t>Ley 590 de 2000</w:t>
            </w:r>
            <w:r>
              <w:rPr>
                <w:rFonts w:ascii="Verdana" w:hAnsi="Verdana" w:cs="Arial"/>
              </w:rPr>
              <w:t>. Artículo 2.</w:t>
            </w:r>
          </w:p>
          <w:p w14:paraId="6152E54C" w14:textId="77777777" w:rsidR="00845A9A" w:rsidRPr="00272B0D" w:rsidRDefault="00845A9A" w:rsidP="00845A9A">
            <w:pPr>
              <w:pStyle w:val="Prrafodelista"/>
              <w:numPr>
                <w:ilvl w:val="0"/>
                <w:numId w:val="17"/>
              </w:numPr>
              <w:spacing w:after="120" w:line="276" w:lineRule="auto"/>
              <w:ind w:left="714" w:hanging="357"/>
              <w:jc w:val="both"/>
              <w:rPr>
                <w:rFonts w:ascii="Verdana" w:eastAsia="Aptos" w:hAnsi="Verdana" w:cs="Arial"/>
              </w:rPr>
            </w:pPr>
            <w:r>
              <w:rPr>
                <w:rFonts w:ascii="Verdana" w:hAnsi="Verdana" w:cs="Arial"/>
              </w:rPr>
              <w:t>Ley 1450 de 2011. Artículo 43.</w:t>
            </w:r>
          </w:p>
          <w:p w14:paraId="089ECFB9" w14:textId="77777777" w:rsidR="00845A9A" w:rsidRPr="00272B0D" w:rsidRDefault="00845A9A" w:rsidP="00845A9A">
            <w:pPr>
              <w:pStyle w:val="Prrafodelista"/>
              <w:numPr>
                <w:ilvl w:val="0"/>
                <w:numId w:val="17"/>
              </w:numPr>
              <w:spacing w:after="120" w:line="276" w:lineRule="auto"/>
              <w:ind w:left="714" w:hanging="357"/>
              <w:jc w:val="both"/>
              <w:rPr>
                <w:rFonts w:ascii="Verdana" w:eastAsia="Aptos" w:hAnsi="Verdana" w:cs="Arial"/>
                <w:lang w:val="es-CO"/>
              </w:rPr>
            </w:pPr>
            <w:r w:rsidRPr="60F29CF2">
              <w:rPr>
                <w:rFonts w:ascii="Verdana" w:eastAsia="Arial" w:hAnsi="Verdana" w:cs="Arial"/>
              </w:rPr>
              <w:t>Decreto 1074 de 2015</w:t>
            </w:r>
            <w:r>
              <w:rPr>
                <w:rFonts w:ascii="Verdana" w:eastAsia="Arial" w:hAnsi="Verdana" w:cs="Arial"/>
              </w:rPr>
              <w:t xml:space="preserve">. Artículo </w:t>
            </w:r>
            <w:r w:rsidRPr="60F29CF2">
              <w:rPr>
                <w:rFonts w:ascii="Verdana" w:eastAsia="Arial" w:hAnsi="Verdana" w:cs="Arial"/>
              </w:rPr>
              <w:t>2.2.1.13.2.2.</w:t>
            </w:r>
          </w:p>
          <w:p w14:paraId="4F93A06E" w14:textId="77777777" w:rsidR="00845A9A" w:rsidRPr="00272B0D" w:rsidRDefault="00845A9A" w:rsidP="00845A9A">
            <w:pPr>
              <w:pStyle w:val="Prrafodelista"/>
              <w:numPr>
                <w:ilvl w:val="0"/>
                <w:numId w:val="17"/>
              </w:numPr>
              <w:spacing w:after="120" w:line="276" w:lineRule="auto"/>
              <w:ind w:left="714" w:hanging="357"/>
              <w:jc w:val="both"/>
              <w:rPr>
                <w:rFonts w:ascii="Verdana" w:eastAsia="Aptos" w:hAnsi="Verdana" w:cs="Arial"/>
                <w:lang w:val="es-CO"/>
              </w:rPr>
            </w:pPr>
            <w:r w:rsidRPr="60F29CF2">
              <w:rPr>
                <w:rFonts w:ascii="Verdana" w:eastAsia="Arial" w:hAnsi="Verdana" w:cs="Arial"/>
              </w:rPr>
              <w:t>Decreto 957 de 2019</w:t>
            </w:r>
            <w:r>
              <w:rPr>
                <w:rFonts w:ascii="Verdana" w:eastAsia="Arial" w:hAnsi="Verdana" w:cs="Arial"/>
              </w:rPr>
              <w:t xml:space="preserve">. </w:t>
            </w:r>
          </w:p>
          <w:p w14:paraId="6D7E8CF3" w14:textId="77777777" w:rsidR="00845A9A" w:rsidRPr="00845A9A" w:rsidRDefault="00845A9A" w:rsidP="00845A9A">
            <w:pPr>
              <w:pStyle w:val="Prrafodelista"/>
              <w:numPr>
                <w:ilvl w:val="0"/>
                <w:numId w:val="17"/>
              </w:numPr>
              <w:spacing w:after="120" w:line="276" w:lineRule="auto"/>
              <w:ind w:left="714" w:hanging="357"/>
              <w:jc w:val="both"/>
              <w:rPr>
                <w:rFonts w:ascii="Verdana" w:eastAsia="Aptos" w:hAnsi="Verdana" w:cs="Arial"/>
              </w:rPr>
            </w:pPr>
            <w:r>
              <w:rPr>
                <w:rFonts w:ascii="Verdana" w:eastAsia="Arial" w:hAnsi="Verdana" w:cs="Arial"/>
              </w:rPr>
              <w:t xml:space="preserve">Decreto 860 de 2021. Artículo 5. </w:t>
            </w:r>
          </w:p>
          <w:p w14:paraId="66FDE7E0" w14:textId="157CB203" w:rsidR="00845A9A" w:rsidRPr="00845A9A" w:rsidRDefault="00845A9A" w:rsidP="00845A9A">
            <w:pPr>
              <w:pStyle w:val="Prrafodelista"/>
              <w:numPr>
                <w:ilvl w:val="0"/>
                <w:numId w:val="17"/>
              </w:numPr>
              <w:spacing w:after="120" w:line="276" w:lineRule="auto"/>
              <w:ind w:left="714" w:hanging="357"/>
              <w:jc w:val="both"/>
              <w:rPr>
                <w:rFonts w:ascii="Verdana" w:eastAsia="Aptos" w:hAnsi="Verdana" w:cs="Arial"/>
              </w:rPr>
            </w:pPr>
            <w:r>
              <w:rPr>
                <w:rFonts w:ascii="Verdana" w:eastAsia="Aptos" w:hAnsi="Verdana" w:cs="Arial"/>
              </w:rPr>
              <w:t xml:space="preserve">Corte Constitucional. Sentencia C-287 de 2012. </w:t>
            </w:r>
            <w:r w:rsidRPr="00272B0D">
              <w:rPr>
                <w:rFonts w:ascii="Verdana" w:eastAsia="Aptos" w:hAnsi="Verdana" w:cs="Arial"/>
              </w:rPr>
              <w:t>M.P. María Victoria Calle</w:t>
            </w:r>
            <w:r>
              <w:rPr>
                <w:rFonts w:ascii="Verdana" w:eastAsia="Aptos" w:hAnsi="Verdana" w:cs="Arial"/>
              </w:rPr>
              <w:t xml:space="preserve">. </w:t>
            </w:r>
          </w:p>
          <w:p w14:paraId="2AF2432F" w14:textId="77777777" w:rsidR="00845A9A" w:rsidRPr="00272B0D" w:rsidRDefault="00845A9A" w:rsidP="00845A9A">
            <w:pPr>
              <w:pStyle w:val="Prrafodelista"/>
              <w:numPr>
                <w:ilvl w:val="0"/>
                <w:numId w:val="17"/>
              </w:numPr>
              <w:spacing w:after="120" w:line="276" w:lineRule="auto"/>
              <w:ind w:left="714" w:hanging="357"/>
              <w:jc w:val="both"/>
              <w:rPr>
                <w:rFonts w:ascii="Verdana" w:eastAsia="Aptos" w:hAnsi="Verdana" w:cs="Arial"/>
              </w:rPr>
            </w:pPr>
            <w:r w:rsidRPr="00272B0D">
              <w:rPr>
                <w:rFonts w:ascii="Verdana" w:hAnsi="Verdana" w:cs="Arial"/>
              </w:rPr>
              <w:t xml:space="preserve">Cámara de Comercio de Bogotá, “ABC DE ESALES”. Bogotá. 2013. Disponible en este link: </w:t>
            </w:r>
            <w:hyperlink r:id="rId12" w:history="1">
              <w:r w:rsidRPr="00272B0D">
                <w:rPr>
                  <w:rStyle w:val="Hipervnculo"/>
                  <w:rFonts w:ascii="Verdana" w:hAnsi="Verdana" w:cs="Arial"/>
                </w:rPr>
                <w:t>https://bibliotecadigital.ccb.org.co/bitstream/handle/11520/8346/el%20abc%20de%20esales%202013%20completo.pdf?sequence=1&amp;isAllowed=y</w:t>
              </w:r>
            </w:hyperlink>
          </w:p>
          <w:p w14:paraId="2B08341F" w14:textId="77777777" w:rsidR="00845A9A" w:rsidRPr="00272B0D" w:rsidRDefault="00845A9A" w:rsidP="00845A9A">
            <w:pPr>
              <w:pStyle w:val="Prrafodelista"/>
              <w:numPr>
                <w:ilvl w:val="0"/>
                <w:numId w:val="17"/>
              </w:numPr>
              <w:spacing w:after="120" w:line="276" w:lineRule="auto"/>
              <w:ind w:left="714" w:hanging="357"/>
              <w:jc w:val="both"/>
              <w:rPr>
                <w:rFonts w:ascii="Verdana" w:eastAsia="Aptos" w:hAnsi="Verdana" w:cs="Arial"/>
              </w:rPr>
            </w:pPr>
            <w:r w:rsidRPr="00272B0D">
              <w:rPr>
                <w:rFonts w:ascii="Verdana" w:hAnsi="Verdana" w:cs="Arial"/>
              </w:rPr>
              <w:t xml:space="preserve">Manual básico sobre entidades sin ánimo de lucro – ESAL en </w:t>
            </w:r>
            <w:hyperlink r:id="rId13" w:history="1">
              <w:r w:rsidRPr="00272B0D">
                <w:rPr>
                  <w:rStyle w:val="Hipervnculo"/>
                  <w:rFonts w:ascii="Verdana" w:hAnsi="Verdana" w:cs="Arial"/>
                  <w:lang w:val="es-CO"/>
                </w:rPr>
                <w:t>Manual básico sobre entidades sin ánimo de lucro - ESAL</w:t>
              </w:r>
            </w:hyperlink>
          </w:p>
        </w:tc>
      </w:tr>
    </w:tbl>
    <w:p w14:paraId="2C8254F9" w14:textId="77777777" w:rsidR="00845A9A" w:rsidRDefault="00845A9A" w:rsidP="00845A9A">
      <w:pPr>
        <w:tabs>
          <w:tab w:val="left" w:pos="142"/>
          <w:tab w:val="left" w:pos="284"/>
          <w:tab w:val="left" w:pos="3828"/>
        </w:tabs>
        <w:spacing w:after="0" w:line="276" w:lineRule="auto"/>
        <w:jc w:val="both"/>
        <w:rPr>
          <w:rFonts w:ascii="Verdana" w:eastAsia="Century Gothic" w:hAnsi="Verdana" w:cs="Century Gothic"/>
          <w:b/>
          <w:bCs/>
        </w:rPr>
      </w:pPr>
    </w:p>
    <w:p w14:paraId="1F02A229" w14:textId="77777777" w:rsidR="00845A9A" w:rsidRPr="005644FE" w:rsidRDefault="00845A9A" w:rsidP="00845A9A">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4313C03B" w14:textId="77777777" w:rsidR="00845A9A" w:rsidRDefault="00845A9A" w:rsidP="00845A9A">
      <w:pPr>
        <w:widowControl w:val="0"/>
        <w:autoSpaceDE w:val="0"/>
        <w:autoSpaceDN w:val="0"/>
        <w:spacing w:after="0" w:line="276" w:lineRule="auto"/>
        <w:jc w:val="both"/>
        <w:rPr>
          <w:rFonts w:ascii="Verdana" w:eastAsia="Aptos" w:hAnsi="Verdana" w:cs="Arial"/>
          <w:shd w:val="clear" w:color="auto" w:fill="FFFFFF"/>
          <w:lang w:val="es-ES"/>
        </w:rPr>
      </w:pPr>
    </w:p>
    <w:p w14:paraId="67C28042" w14:textId="77777777" w:rsidR="00845A9A" w:rsidRPr="00C27319" w:rsidRDefault="00845A9A" w:rsidP="00845A9A">
      <w:pPr>
        <w:widowControl w:val="0"/>
        <w:autoSpaceDE w:val="0"/>
        <w:autoSpaceDN w:val="0"/>
        <w:spacing w:after="0" w:line="276" w:lineRule="auto"/>
        <w:jc w:val="both"/>
        <w:rPr>
          <w:rFonts w:ascii="Verdana" w:hAnsi="Verdana" w:cs="Arial"/>
          <w:shd w:val="clear" w:color="auto" w:fill="FFFFFF"/>
          <w:lang w:val="es-ES"/>
        </w:rPr>
      </w:pPr>
      <w:r w:rsidRPr="000E7148">
        <w:rPr>
          <w:rFonts w:ascii="Verdana" w:eastAsia="Calibri" w:hAnsi="Verdana" w:cs="Arial"/>
          <w:color w:val="000000" w:themeColor="text1"/>
          <w:lang w:eastAsia="es-ES_tradnl"/>
        </w:rPr>
        <w:t xml:space="preserve">La Agencia Nacional de Contratación Pública – Colombia Compra Eficiente </w:t>
      </w:r>
      <w:r>
        <w:rPr>
          <w:rFonts w:ascii="Verdana" w:eastAsia="Arial" w:hAnsi="Verdana" w:cs="Arial"/>
          <w:lang w:val="es-MX" w:eastAsia="es-ES_tradnl"/>
        </w:rPr>
        <w:t xml:space="preserve">se ha referido a </w:t>
      </w:r>
      <w:r w:rsidRPr="002834E3">
        <w:rPr>
          <w:rFonts w:ascii="Verdana" w:eastAsia="Calibri" w:hAnsi="Verdana" w:cs="Arial"/>
          <w:shd w:val="clear" w:color="auto" w:fill="FFFFFF"/>
        </w:rPr>
        <w:t xml:space="preserve">la participación de las ESAL en procesos contractuales limitados a </w:t>
      </w:r>
      <w:proofErr w:type="spellStart"/>
      <w:r w:rsidRPr="002834E3">
        <w:rPr>
          <w:rFonts w:ascii="Verdana" w:eastAsia="Calibri" w:hAnsi="Verdana" w:cs="Arial"/>
          <w:shd w:val="clear" w:color="auto" w:fill="FFFFFF"/>
        </w:rPr>
        <w:t>Mi</w:t>
      </w:r>
      <w:r>
        <w:rPr>
          <w:rFonts w:ascii="Verdana" w:eastAsia="Calibri" w:hAnsi="Verdana" w:cs="Arial"/>
          <w:shd w:val="clear" w:color="auto" w:fill="FFFFFF"/>
        </w:rPr>
        <w:t>p</w:t>
      </w:r>
      <w:r w:rsidRPr="002834E3">
        <w:rPr>
          <w:rFonts w:ascii="Verdana" w:eastAsia="Calibri" w:hAnsi="Verdana" w:cs="Arial"/>
          <w:shd w:val="clear" w:color="auto" w:fill="FFFFFF"/>
        </w:rPr>
        <w:t>ymes</w:t>
      </w:r>
      <w:proofErr w:type="spellEnd"/>
      <w:r>
        <w:rPr>
          <w:rFonts w:ascii="Verdana" w:eastAsia="Calibri" w:hAnsi="Verdana" w:cs="Arial"/>
          <w:shd w:val="clear" w:color="auto" w:fill="FFFFFF"/>
        </w:rPr>
        <w:t xml:space="preserve"> </w:t>
      </w:r>
      <w:r>
        <w:rPr>
          <w:rFonts w:ascii="Verdana" w:eastAsia="Arial" w:hAnsi="Verdana" w:cs="Arial"/>
          <w:lang w:val="es-MX" w:eastAsia="es-ES_tradnl"/>
        </w:rPr>
        <w:t xml:space="preserve">en </w:t>
      </w:r>
      <w:r w:rsidRPr="009643AE">
        <w:rPr>
          <w:rFonts w:ascii="Verdana" w:eastAsia="Arial" w:hAnsi="Verdana" w:cs="Arial"/>
          <w:lang w:val="es-MX" w:eastAsia="es-ES_tradnl"/>
        </w:rPr>
        <w:t xml:space="preserve">los conceptos </w:t>
      </w:r>
      <w:r w:rsidRPr="002834E3">
        <w:rPr>
          <w:rFonts w:ascii="Verdana" w:eastAsia="Calibri" w:hAnsi="Verdana" w:cs="Arial"/>
          <w:shd w:val="clear" w:color="auto" w:fill="FFFFFF"/>
        </w:rPr>
        <w:t>del C-474 del 26 de julio de 2022, C-020 del 14 de febrero de 2023, C-587 del 21 de septiembre de 2022, C-094 del 16 de junio de 2024, C-997 del 30 de diciembre de 2024, C-1017 del 30 de diciembre de 2024</w:t>
      </w:r>
      <w:r w:rsidRPr="002834E3">
        <w:rPr>
          <w:rFonts w:ascii="Verdana" w:eastAsia="Calibri" w:hAnsi="Verdana" w:cs="Arial"/>
          <w:shd w:val="clear" w:color="auto" w:fill="FFFFFF"/>
          <w:lang w:val="es-ES"/>
        </w:rPr>
        <w:t>,</w:t>
      </w:r>
      <w:r>
        <w:rPr>
          <w:rFonts w:ascii="Verdana" w:eastAsia="Calibri" w:hAnsi="Verdana" w:cs="Arial"/>
          <w:shd w:val="clear" w:color="auto" w:fill="FFFFFF"/>
          <w:lang w:val="es-ES"/>
        </w:rPr>
        <w:t xml:space="preserve"> C-081 del 19 de febrero de 2025, C-115 del 11 de marzo de 2025, C-168 del 19 de marzo de 2025,  C-257 del 1 de abril de 2025, C-236 del 2 de abril de 2025, C-306 del 16 de abril de 2025, C-483 del 20 de mayo de 2025</w:t>
      </w:r>
      <w:r>
        <w:rPr>
          <w:rFonts w:ascii="Verdana" w:hAnsi="Verdana" w:cs="Arial"/>
          <w:shd w:val="clear" w:color="auto" w:fill="FFFFFF"/>
          <w:lang w:val="es-ES"/>
        </w:rPr>
        <w:t xml:space="preserve">, C-704 del 7 de julio de 2025, C-855 del 1 de agosto de 2025, C- 1044 del 5 de septiembre de 2025, C-1187 del 25 de septiembre de 2025, </w:t>
      </w:r>
      <w:r w:rsidRPr="00FB34BB">
        <w:rPr>
          <w:rFonts w:ascii="Verdana" w:hAnsi="Verdana" w:cs="Arial"/>
          <w:shd w:val="clear" w:color="auto" w:fill="FFFFFF"/>
          <w:lang w:val="es-ES"/>
        </w:rPr>
        <w:t xml:space="preserve">entre </w:t>
      </w:r>
      <w:r w:rsidRPr="00272B0D">
        <w:rPr>
          <w:rFonts w:ascii="Verdana" w:hAnsi="Verdana" w:cs="Arial"/>
          <w:shd w:val="clear" w:color="auto" w:fill="FFFFFF"/>
          <w:lang w:val="es-ES"/>
        </w:rPr>
        <w:t>otros.</w:t>
      </w:r>
      <w:r w:rsidRPr="00272B0D">
        <w:rPr>
          <w:rFonts w:ascii="Verdana" w:eastAsia="Aptos" w:hAnsi="Verdana" w:cs="Arial"/>
          <w:shd w:val="clear" w:color="auto" w:fill="FFFFFF"/>
          <w:lang w:val="es-ES"/>
        </w:rPr>
        <w:t xml:space="preserve"> Estos y otros conceptos se encuentran disponibles para consulta</w:t>
      </w:r>
      <w:r w:rsidRPr="00272B0D">
        <w:rPr>
          <w:rFonts w:ascii="Verdana" w:eastAsia="Calibri" w:hAnsi="Verdana" w:cs="Arial"/>
        </w:rPr>
        <w:t xml:space="preserve"> </w:t>
      </w:r>
      <w:r w:rsidRPr="00272B0D">
        <w:rPr>
          <w:rFonts w:ascii="Verdana" w:hAnsi="Verdana"/>
        </w:rPr>
        <w:t>en el Sistema de relatoría de la Agencia, al cual se puede acceder a través del siguiente enlace:</w:t>
      </w:r>
      <w:r w:rsidRPr="00272B0D">
        <w:rPr>
          <w:rFonts w:ascii="Verdana" w:hAnsi="Verdana" w:cs="Arial"/>
          <w:shd w:val="clear" w:color="auto" w:fill="FFFFFF"/>
        </w:rPr>
        <w:t xml:space="preserve"> </w:t>
      </w:r>
      <w:hyperlink r:id="rId14" w:history="1">
        <w:r w:rsidRPr="00272B0D">
          <w:rPr>
            <w:rStyle w:val="Hipervnculo"/>
            <w:rFonts w:ascii="Verdana" w:hAnsi="Verdana" w:cs="Arial"/>
            <w:shd w:val="clear" w:color="auto" w:fill="FFFFFF"/>
          </w:rPr>
          <w:t>https://relatoria.colombiacompra.gov.co/busqueda/conceptos</w:t>
        </w:r>
      </w:hyperlink>
      <w:r w:rsidRPr="00272B0D">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2BBF423D" w14:textId="77777777" w:rsidR="00845A9A" w:rsidRPr="006B4FA1" w:rsidRDefault="00845A9A" w:rsidP="00845A9A">
      <w:pPr>
        <w:spacing w:after="0" w:line="240" w:lineRule="auto"/>
        <w:jc w:val="both"/>
        <w:rPr>
          <w:rFonts w:ascii="Verdana" w:eastAsia="Century Gothic" w:hAnsi="Verdana" w:cs="Century Gothic"/>
        </w:rPr>
      </w:pPr>
    </w:p>
    <w:p w14:paraId="635CE4F7" w14:textId="77777777" w:rsidR="00845A9A" w:rsidRDefault="00845A9A" w:rsidP="00845A9A">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DC8CA84" w14:textId="77777777" w:rsidR="00845A9A" w:rsidRPr="00116940" w:rsidRDefault="00845A9A" w:rsidP="00845A9A">
      <w:pPr>
        <w:spacing w:after="0" w:line="240" w:lineRule="auto"/>
        <w:jc w:val="both"/>
        <w:rPr>
          <w:rFonts w:ascii="Verdana" w:hAnsi="Verdana"/>
        </w:rPr>
      </w:pPr>
    </w:p>
    <w:p w14:paraId="1B0E34A6" w14:textId="77777777" w:rsidR="00845A9A" w:rsidRPr="00116940" w:rsidRDefault="00845A9A" w:rsidP="00845A9A">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B06802D" w14:textId="77777777" w:rsidR="00845A9A" w:rsidRPr="00116940" w:rsidRDefault="00845A9A" w:rsidP="00845A9A">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36FF6D9" w14:textId="77777777" w:rsidR="00845A9A" w:rsidRPr="00116940" w:rsidRDefault="00845A9A" w:rsidP="00845A9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5">
        <w:r w:rsidRPr="00116940">
          <w:rPr>
            <w:rStyle w:val="Hipervnculo"/>
            <w:rFonts w:ascii="Verdana" w:eastAsia="Verdana" w:hAnsi="Verdana" w:cs="Verdana"/>
            <w:lang w:val="es-MX"/>
          </w:rPr>
          <w:t>ventanilladeradicacion@colombiacompra.gov.co</w:t>
        </w:r>
      </w:hyperlink>
    </w:p>
    <w:p w14:paraId="495D94A9" w14:textId="77777777" w:rsidR="00845A9A" w:rsidRPr="00116940" w:rsidRDefault="00845A9A" w:rsidP="00845A9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6">
        <w:r w:rsidRPr="00116940">
          <w:rPr>
            <w:rStyle w:val="Hipervnculo"/>
            <w:rFonts w:ascii="Verdana" w:eastAsia="Verdana" w:hAnsi="Verdana" w:cs="Verdana"/>
            <w:lang w:val="es-MX"/>
          </w:rPr>
          <w:t>https://www.colombiacompra.gov.co/pqrsd/informacion-importante-antes-de-formular-una-pqrsd</w:t>
        </w:r>
      </w:hyperlink>
    </w:p>
    <w:p w14:paraId="261CE938" w14:textId="77777777" w:rsidR="00845A9A" w:rsidRPr="00116940" w:rsidRDefault="00845A9A" w:rsidP="00845A9A">
      <w:pPr>
        <w:spacing w:after="0" w:line="240" w:lineRule="auto"/>
        <w:ind w:left="720"/>
        <w:jc w:val="both"/>
        <w:rPr>
          <w:rFonts w:ascii="Verdana" w:hAnsi="Verdana"/>
        </w:rPr>
      </w:pPr>
    </w:p>
    <w:p w14:paraId="3E2BCA4F" w14:textId="77777777" w:rsidR="00845A9A" w:rsidRPr="00116940" w:rsidRDefault="00845A9A" w:rsidP="00845A9A">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spellStart"/>
      <w:r w:rsidRPr="00116940">
        <w:rPr>
          <w:rFonts w:ascii="Verdana" w:hAnsi="Verdana"/>
        </w:rPr>
        <w:t>enlace:</w:t>
      </w:r>
      <w:hyperlink r:id="rId17" w:tgtFrame="_blank" w:tooltip="https://forms.office.com/r/pphywvs2sz" w:history="1">
        <w:r w:rsidRPr="00116940">
          <w:rPr>
            <w:rStyle w:val="Hipervnculo"/>
            <w:rFonts w:ascii="Verdana" w:hAnsi="Verdana"/>
          </w:rPr>
          <w:t>https</w:t>
        </w:r>
        <w:proofErr w:type="spellEnd"/>
        <w:r w:rsidRPr="00116940">
          <w:rPr>
            <w:rStyle w:val="Hipervnculo"/>
            <w:rFonts w:ascii="Verdana" w:hAnsi="Verdana"/>
          </w:rPr>
          <w:t>://forms.office.com/r/pPHyWVs2SZ</w:t>
        </w:r>
      </w:hyperlink>
      <w:r w:rsidRPr="00116940">
        <w:rPr>
          <w:rFonts w:ascii="Verdana" w:hAnsi="Verdana"/>
        </w:rPr>
        <w:t xml:space="preserve"> .¡Ayúdanos a mejorar porque el compromiso es de todos!</w:t>
      </w:r>
    </w:p>
    <w:p w14:paraId="30FCFEAF" w14:textId="77777777" w:rsidR="00845A9A" w:rsidRPr="00116940" w:rsidRDefault="00845A9A" w:rsidP="00845A9A">
      <w:pPr>
        <w:spacing w:after="0" w:line="240" w:lineRule="auto"/>
        <w:rPr>
          <w:rFonts w:ascii="Verdana" w:hAnsi="Verdana"/>
        </w:rPr>
      </w:pPr>
    </w:p>
    <w:p w14:paraId="74C34C13" w14:textId="77777777" w:rsidR="00845A9A" w:rsidRPr="00116940" w:rsidRDefault="00845A9A" w:rsidP="00845A9A">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034A6034" w14:textId="77777777" w:rsidR="00845A9A" w:rsidRPr="00116940" w:rsidRDefault="00845A9A" w:rsidP="00845A9A">
      <w:pPr>
        <w:spacing w:after="0" w:line="240" w:lineRule="auto"/>
        <w:jc w:val="both"/>
        <w:rPr>
          <w:rFonts w:ascii="Verdana" w:hAnsi="Verdana"/>
        </w:rPr>
      </w:pPr>
    </w:p>
    <w:p w14:paraId="57596290" w14:textId="77777777" w:rsidR="00845A9A" w:rsidRPr="00116940" w:rsidRDefault="00845A9A" w:rsidP="00845A9A">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B270695" w14:textId="77777777" w:rsidR="00845A9A" w:rsidRPr="00116940" w:rsidRDefault="00845A9A" w:rsidP="00845A9A">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3344B8F" w14:textId="77777777" w:rsidR="00845A9A" w:rsidRPr="00116940" w:rsidRDefault="00845A9A" w:rsidP="00845A9A">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8438716" w14:textId="77777777" w:rsidR="00845A9A" w:rsidRPr="00116940" w:rsidRDefault="00845A9A" w:rsidP="00845A9A">
      <w:pPr>
        <w:spacing w:after="0" w:line="240" w:lineRule="auto"/>
        <w:jc w:val="both"/>
        <w:rPr>
          <w:rFonts w:ascii="Verdana" w:hAnsi="Verdana"/>
        </w:rPr>
      </w:pPr>
    </w:p>
    <w:p w14:paraId="292C2B0A" w14:textId="77777777" w:rsidR="00845A9A" w:rsidRPr="00330029" w:rsidRDefault="00845A9A" w:rsidP="00845A9A">
      <w:pPr>
        <w:spacing w:after="0" w:line="240" w:lineRule="auto"/>
        <w:jc w:val="both"/>
        <w:rPr>
          <w:rFonts w:ascii="Verdana" w:hAnsi="Verdana"/>
          <w:lang w:val="es-MX"/>
        </w:rPr>
      </w:pPr>
      <w:r w:rsidRPr="00E02524">
        <w:rPr>
          <w:rFonts w:ascii="Verdana" w:hAnsi="Verdana"/>
          <w:lang w:val="es-MX"/>
        </w:rPr>
        <w:t>Cordialmente,</w:t>
      </w:r>
    </w:p>
    <w:p w14:paraId="1E7BEE5C" w14:textId="797624B5" w:rsidR="00845A9A" w:rsidRDefault="00355370" w:rsidP="00845A9A">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446B1D2E" wp14:editId="5C4B3710">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8"/>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845A9A" w:rsidRPr="005644FE" w14:paraId="095145AC" w14:textId="77777777" w:rsidTr="00DB0B82">
        <w:trPr>
          <w:trHeight w:val="315"/>
        </w:trPr>
        <w:tc>
          <w:tcPr>
            <w:tcW w:w="893" w:type="dxa"/>
            <w:vAlign w:val="center"/>
            <w:hideMark/>
          </w:tcPr>
          <w:p w14:paraId="1373FD17" w14:textId="77777777" w:rsidR="00845A9A" w:rsidRPr="005644FE" w:rsidRDefault="00845A9A" w:rsidP="00DB0B82">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3C121A3" w14:textId="77777777" w:rsidR="00845A9A" w:rsidRPr="005644FE" w:rsidRDefault="00845A9A" w:rsidP="00DB0B82">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03345298" w14:textId="77777777" w:rsidR="00845A9A" w:rsidRPr="005644FE" w:rsidRDefault="00845A9A" w:rsidP="00DB0B82">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45A9A" w:rsidRPr="005644FE" w14:paraId="14647D1D" w14:textId="77777777" w:rsidTr="00DB0B82">
        <w:trPr>
          <w:trHeight w:val="330"/>
        </w:trPr>
        <w:tc>
          <w:tcPr>
            <w:tcW w:w="893" w:type="dxa"/>
            <w:vAlign w:val="center"/>
            <w:hideMark/>
          </w:tcPr>
          <w:p w14:paraId="0DEA90A9" w14:textId="77777777" w:rsidR="00845A9A" w:rsidRPr="005644FE" w:rsidRDefault="00845A9A" w:rsidP="00DB0B82">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ABC5E33" w14:textId="77777777" w:rsidR="00845A9A" w:rsidRPr="0004340D" w:rsidRDefault="00845A9A" w:rsidP="00DB0B82">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2776D209" w14:textId="77777777" w:rsidR="00845A9A" w:rsidRPr="005644FE" w:rsidRDefault="00845A9A" w:rsidP="00DB0B82">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45A9A" w:rsidRPr="005644FE" w14:paraId="06379682" w14:textId="77777777" w:rsidTr="00DB0B82">
        <w:trPr>
          <w:trHeight w:val="300"/>
        </w:trPr>
        <w:tc>
          <w:tcPr>
            <w:tcW w:w="893" w:type="dxa"/>
            <w:vAlign w:val="center"/>
          </w:tcPr>
          <w:p w14:paraId="6E206CD7" w14:textId="77777777" w:rsidR="00845A9A" w:rsidRPr="005644FE" w:rsidRDefault="00845A9A" w:rsidP="00DB0B82">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6CFC73DB" w14:textId="77777777" w:rsidR="00845A9A" w:rsidRPr="005644FE" w:rsidRDefault="00845A9A" w:rsidP="00DB0B82">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 xml:space="preserve">Carolina Quintero </w:t>
            </w:r>
            <w:proofErr w:type="spellStart"/>
            <w:r w:rsidRPr="005644FE">
              <w:rPr>
                <w:rFonts w:ascii="Verdana" w:eastAsia="Calibri" w:hAnsi="Verdana" w:cs="Arial"/>
                <w:sz w:val="16"/>
                <w:szCs w:val="16"/>
                <w:lang w:eastAsia="es-ES"/>
              </w:rPr>
              <w:t>Gacharná</w:t>
            </w:r>
            <w:proofErr w:type="spellEnd"/>
          </w:p>
          <w:p w14:paraId="2BF58D39" w14:textId="77777777" w:rsidR="00845A9A" w:rsidRPr="005644FE" w:rsidRDefault="00845A9A" w:rsidP="00DB0B82">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253A6A84" w:rsidR="00127233" w:rsidRPr="006B1779" w:rsidRDefault="00127233" w:rsidP="006B1779"/>
    <w:sectPr w:rsidR="00127233" w:rsidRPr="006B1779"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C0E09" w14:textId="77777777" w:rsidR="008559DD" w:rsidRDefault="008559DD" w:rsidP="004A1847">
      <w:pPr>
        <w:spacing w:after="0" w:line="240" w:lineRule="auto"/>
      </w:pPr>
      <w:r>
        <w:separator/>
      </w:r>
    </w:p>
  </w:endnote>
  <w:endnote w:type="continuationSeparator" w:id="0">
    <w:p w14:paraId="0AA71E1D" w14:textId="77777777" w:rsidR="008559DD" w:rsidRDefault="008559D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F91F5" w14:textId="77777777" w:rsidR="008559DD" w:rsidRDefault="008559DD" w:rsidP="004A1847">
      <w:pPr>
        <w:spacing w:after="0" w:line="240" w:lineRule="auto"/>
      </w:pPr>
      <w:r>
        <w:separator/>
      </w:r>
    </w:p>
  </w:footnote>
  <w:footnote w:type="continuationSeparator" w:id="0">
    <w:p w14:paraId="7C255C4C" w14:textId="77777777" w:rsidR="008559DD" w:rsidRDefault="008559DD" w:rsidP="004A1847">
      <w:pPr>
        <w:spacing w:after="0" w:line="240" w:lineRule="auto"/>
      </w:pPr>
      <w:r>
        <w:continuationSeparator/>
      </w:r>
    </w:p>
  </w:footnote>
  <w:footnote w:id="1">
    <w:p w14:paraId="285CCF1F" w14:textId="77777777" w:rsidR="00845A9A" w:rsidRPr="00357AC1" w:rsidRDefault="00845A9A" w:rsidP="00845A9A">
      <w:pPr>
        <w:pStyle w:val="Textonotapie"/>
        <w:ind w:firstLine="708"/>
        <w:contextualSpacing/>
        <w:jc w:val="both"/>
        <w:rPr>
          <w:rFonts w:ascii="Verdana" w:hAnsi="Verdana" w:cs="Arial"/>
          <w:sz w:val="16"/>
          <w:szCs w:val="16"/>
        </w:rPr>
      </w:pPr>
      <w:r w:rsidRPr="00357AC1">
        <w:rPr>
          <w:rStyle w:val="Refdenotaalpie"/>
          <w:rFonts w:ascii="Verdana" w:hAnsi="Verdana" w:cs="Arial"/>
          <w:sz w:val="16"/>
          <w:szCs w:val="16"/>
        </w:rPr>
        <w:footnoteRef/>
      </w:r>
      <w:r w:rsidRPr="00357AC1">
        <w:rPr>
          <w:rFonts w:ascii="Verdana" w:hAnsi="Verdana" w:cs="Arial"/>
          <w:sz w:val="16"/>
          <w:szCs w:val="16"/>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0B82AF7B" w14:textId="77777777" w:rsidR="00845A9A" w:rsidRPr="00357AC1" w:rsidRDefault="00845A9A" w:rsidP="00845A9A">
      <w:pPr>
        <w:pStyle w:val="Textonotapie"/>
        <w:ind w:firstLine="709"/>
        <w:contextualSpacing/>
        <w:jc w:val="both"/>
        <w:rPr>
          <w:rFonts w:ascii="Verdana" w:hAnsi="Verdana" w:cs="Arial"/>
          <w:sz w:val="16"/>
          <w:szCs w:val="16"/>
        </w:rPr>
      </w:pPr>
      <w:r w:rsidRPr="00357AC1">
        <w:rPr>
          <w:rFonts w:ascii="Verdana" w:hAnsi="Verdana" w:cs="Arial"/>
          <w:sz w:val="16"/>
          <w:szCs w:val="16"/>
        </w:rPr>
        <w:t>Sin embargo, cualquiera que sea su objeto, las sociedades comerciales y civiles estarán sujetas, para todos los efectos, a la legislación mercantil”.</w:t>
      </w:r>
    </w:p>
    <w:p w14:paraId="2F92C5A5" w14:textId="77777777" w:rsidR="00845A9A" w:rsidRPr="00357AC1" w:rsidRDefault="00845A9A" w:rsidP="00845A9A">
      <w:pPr>
        <w:pStyle w:val="Textonotapie"/>
        <w:contextualSpacing/>
        <w:jc w:val="both"/>
        <w:rPr>
          <w:rFonts w:ascii="Verdana" w:hAnsi="Verdana" w:cs="Arial"/>
          <w:sz w:val="16"/>
          <w:szCs w:val="16"/>
          <w:lang w:val="es-CO"/>
        </w:rPr>
      </w:pPr>
    </w:p>
  </w:footnote>
  <w:footnote w:id="2">
    <w:p w14:paraId="2CB51B1E" w14:textId="77777777" w:rsidR="00845A9A" w:rsidRPr="00357AC1" w:rsidRDefault="00845A9A" w:rsidP="00845A9A">
      <w:pPr>
        <w:pStyle w:val="Textonotapie"/>
        <w:ind w:firstLine="708"/>
        <w:contextualSpacing/>
        <w:jc w:val="both"/>
        <w:rPr>
          <w:rFonts w:ascii="Verdana" w:hAnsi="Verdana" w:cs="Arial"/>
          <w:sz w:val="16"/>
          <w:szCs w:val="16"/>
        </w:rPr>
      </w:pPr>
      <w:r w:rsidRPr="00357AC1">
        <w:rPr>
          <w:rStyle w:val="Refdenotaalpie"/>
          <w:rFonts w:ascii="Verdana" w:hAnsi="Verdana" w:cs="Arial"/>
          <w:sz w:val="16"/>
          <w:szCs w:val="16"/>
        </w:rPr>
        <w:footnoteRef/>
      </w:r>
      <w:r w:rsidRPr="00357AC1">
        <w:rPr>
          <w:rFonts w:ascii="Verdana" w:hAnsi="Verdana" w:cs="Arial"/>
          <w:sz w:val="16"/>
          <w:szCs w:val="16"/>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3ADE0F03" w14:textId="77777777" w:rsidR="00845A9A" w:rsidRPr="00357AC1" w:rsidRDefault="00845A9A" w:rsidP="00845A9A">
      <w:pPr>
        <w:pStyle w:val="Textonotapie"/>
        <w:contextualSpacing/>
        <w:jc w:val="both"/>
        <w:rPr>
          <w:rFonts w:ascii="Verdana" w:hAnsi="Verdana" w:cs="Arial"/>
          <w:sz w:val="16"/>
          <w:szCs w:val="16"/>
          <w:lang w:val="es-CO"/>
        </w:rPr>
      </w:pPr>
      <w:r w:rsidRPr="00357AC1">
        <w:rPr>
          <w:rFonts w:ascii="Verdana" w:hAnsi="Verdana" w:cs="Arial"/>
          <w:sz w:val="16"/>
          <w:szCs w:val="16"/>
        </w:rPr>
        <w:t xml:space="preserve">La ausencia de lucro es una de sus características fundamentales, lo cual significa que no existe el reparto de utilidades o remanentes generados en el desarrollo de sus objetivos, ni es viable el reembolso de los bienes o dineros aportados a la entidad </w:t>
      </w:r>
      <w:r>
        <w:rPr>
          <w:rFonts w:ascii="Verdana" w:hAnsi="Verdana" w:cs="Arial"/>
          <w:sz w:val="16"/>
          <w:szCs w:val="16"/>
        </w:rPr>
        <w:t>(…)</w:t>
      </w:r>
      <w:r w:rsidRPr="00357AC1">
        <w:rPr>
          <w:rFonts w:ascii="Verdana" w:hAnsi="Verdana" w:cs="Arial"/>
          <w:sz w:val="16"/>
          <w:szCs w:val="16"/>
        </w:rPr>
        <w:t>”.</w:t>
      </w:r>
    </w:p>
  </w:footnote>
  <w:footnote w:id="3">
    <w:p w14:paraId="73F2BA02" w14:textId="77777777" w:rsidR="00845A9A" w:rsidRPr="0052621C" w:rsidRDefault="00845A9A" w:rsidP="00845A9A">
      <w:pPr>
        <w:pStyle w:val="Textonotapie"/>
        <w:ind w:firstLine="708"/>
        <w:contextualSpacing/>
        <w:jc w:val="both"/>
        <w:rPr>
          <w:rStyle w:val="eop"/>
          <w:rFonts w:ascii="Verdana" w:hAnsi="Verdana" w:cs="Arial"/>
          <w:color w:val="000000"/>
          <w:sz w:val="16"/>
          <w:szCs w:val="16"/>
          <w:shd w:val="clear" w:color="auto" w:fill="FFFFFF"/>
        </w:rPr>
      </w:pPr>
      <w:r w:rsidRPr="0052621C">
        <w:rPr>
          <w:rStyle w:val="Refdenotaalpie"/>
          <w:rFonts w:ascii="Verdana" w:hAnsi="Verdana" w:cs="Arial"/>
          <w:sz w:val="16"/>
          <w:szCs w:val="16"/>
        </w:rPr>
        <w:footnoteRef/>
      </w:r>
      <w:r w:rsidRPr="0052621C">
        <w:rPr>
          <w:rFonts w:ascii="Verdana" w:hAnsi="Verdana" w:cs="Arial"/>
          <w:sz w:val="16"/>
          <w:szCs w:val="16"/>
        </w:rPr>
        <w:t xml:space="preserve"> </w:t>
      </w:r>
      <w:r w:rsidRPr="0052621C">
        <w:rPr>
          <w:rStyle w:val="normaltextrun"/>
          <w:rFonts w:ascii="Verdana" w:hAnsi="Verdana" w:cs="Arial"/>
          <w:color w:val="000000"/>
          <w:sz w:val="16"/>
          <w:szCs w:val="16"/>
          <w:shd w:val="clear" w:color="auto" w:fill="FFFFFF"/>
          <w:lang w:val="pt-BR"/>
        </w:rPr>
        <w:t xml:space="preserve">Corte Constitucional. Sentencia C-287 de 2012. </w:t>
      </w:r>
      <w:r w:rsidRPr="0052621C">
        <w:rPr>
          <w:rStyle w:val="normaltextrun"/>
          <w:rFonts w:ascii="Verdana" w:hAnsi="Verdana" w:cs="Arial"/>
          <w:color w:val="000000"/>
          <w:sz w:val="16"/>
          <w:szCs w:val="16"/>
          <w:shd w:val="clear" w:color="auto" w:fill="FFFFFF"/>
          <w:lang w:val="es-ES"/>
        </w:rPr>
        <w:t>M.P. María Victoria Calle.</w:t>
      </w:r>
      <w:r w:rsidRPr="0052621C">
        <w:rPr>
          <w:rStyle w:val="eop"/>
          <w:rFonts w:ascii="Verdana" w:hAnsi="Verdana" w:cs="Arial"/>
          <w:color w:val="000000"/>
          <w:sz w:val="16"/>
          <w:szCs w:val="16"/>
          <w:shd w:val="clear" w:color="auto" w:fill="FFFFFF"/>
        </w:rPr>
        <w:t> </w:t>
      </w:r>
    </w:p>
    <w:p w14:paraId="41D6C95A" w14:textId="77777777" w:rsidR="00845A9A" w:rsidRPr="00997992" w:rsidRDefault="00845A9A" w:rsidP="00845A9A">
      <w:pPr>
        <w:pStyle w:val="Textonotapie"/>
        <w:ind w:firstLine="708"/>
        <w:contextualSpacing/>
        <w:jc w:val="both"/>
        <w:rPr>
          <w:rFonts w:ascii="Verdana" w:hAnsi="Verdana" w:cs="Arial"/>
          <w:color w:val="000000"/>
          <w:sz w:val="14"/>
          <w:szCs w:val="14"/>
          <w:shd w:val="clear" w:color="auto" w:fill="FFFFFF"/>
        </w:rPr>
      </w:pPr>
    </w:p>
  </w:footnote>
  <w:footnote w:id="4">
    <w:p w14:paraId="67F74774" w14:textId="77777777" w:rsidR="00845A9A" w:rsidRDefault="00845A9A" w:rsidP="00845A9A">
      <w:pPr>
        <w:pStyle w:val="Textonotapie"/>
        <w:ind w:firstLine="708"/>
        <w:contextualSpacing/>
        <w:jc w:val="both"/>
        <w:rPr>
          <w:rFonts w:ascii="Verdana" w:hAnsi="Verdana" w:cs="Arial"/>
          <w:sz w:val="16"/>
          <w:szCs w:val="16"/>
        </w:rPr>
      </w:pPr>
      <w:r w:rsidRPr="0052621C">
        <w:rPr>
          <w:rStyle w:val="Refdenotaalpie"/>
          <w:rFonts w:ascii="Verdana" w:hAnsi="Verdana" w:cs="Arial"/>
          <w:sz w:val="16"/>
          <w:szCs w:val="16"/>
        </w:rPr>
        <w:footnoteRef/>
      </w:r>
      <w:r w:rsidRPr="0052621C">
        <w:rPr>
          <w:rFonts w:ascii="Verdana" w:hAnsi="Verdana" w:cs="Arial"/>
          <w:sz w:val="16"/>
          <w:szCs w:val="16"/>
        </w:rPr>
        <w:t xml:space="preserve"> Cámara de Comercio de Bogotá, “ABC DE ESALES”. Bogotá. 2013. Disponible en este link: </w:t>
      </w:r>
      <w:hyperlink r:id="rId1" w:history="1">
        <w:r w:rsidRPr="000C3249">
          <w:rPr>
            <w:rStyle w:val="Hipervnculo"/>
            <w:rFonts w:ascii="Verdana" w:hAnsi="Verdana" w:cs="Arial"/>
            <w:sz w:val="16"/>
            <w:szCs w:val="16"/>
          </w:rPr>
          <w:t>https://bibliotecadigital.ccb.org.co/bitstream/handle/11520/8346/el%20abc%20de%20esales%202013%20completo.pdf?sequence=1&amp;isAllowed=y</w:t>
        </w:r>
      </w:hyperlink>
      <w:r w:rsidRPr="0052621C">
        <w:rPr>
          <w:rFonts w:ascii="Verdana" w:hAnsi="Verdana" w:cs="Arial"/>
          <w:sz w:val="16"/>
          <w:szCs w:val="16"/>
        </w:rPr>
        <w:t xml:space="preserve">. También se puede consultar el Manual básico sobre entidades sin ánimo de lucro – ESAL en </w:t>
      </w:r>
      <w:hyperlink r:id="rId2" w:history="1">
        <w:r w:rsidRPr="0052621C">
          <w:rPr>
            <w:rStyle w:val="Hipervnculo"/>
            <w:rFonts w:ascii="Verdana" w:hAnsi="Verdana" w:cs="Arial"/>
            <w:sz w:val="16"/>
            <w:szCs w:val="16"/>
            <w:lang w:val="es-CO"/>
          </w:rPr>
          <w:t>Manual básico sobre entidades sin ánimo de lucro - ESAL</w:t>
        </w:r>
      </w:hyperlink>
      <w:r w:rsidRPr="0052621C">
        <w:rPr>
          <w:rFonts w:ascii="Verdana" w:hAnsi="Verdana" w:cs="Arial"/>
          <w:sz w:val="16"/>
          <w:szCs w:val="16"/>
        </w:rPr>
        <w:t>.</w:t>
      </w:r>
    </w:p>
    <w:p w14:paraId="147D0B1B"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Fonts w:ascii="Verdana" w:hAnsi="Verdana" w:cs="Arial"/>
          <w:sz w:val="16"/>
          <w:szCs w:val="16"/>
        </w:rPr>
        <w:t xml:space="preserve"> </w:t>
      </w:r>
    </w:p>
  </w:footnote>
  <w:footnote w:id="5">
    <w:p w14:paraId="1C1FB5BF"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Style w:val="Refdenotaalpie"/>
          <w:rFonts w:ascii="Verdana" w:hAnsi="Verdana" w:cs="Arial"/>
          <w:sz w:val="16"/>
          <w:szCs w:val="16"/>
        </w:rPr>
        <w:footnoteRef/>
      </w:r>
      <w:r w:rsidRPr="0052621C">
        <w:rPr>
          <w:rFonts w:ascii="Verdana" w:hAnsi="Verdana" w:cs="Arial"/>
          <w:sz w:val="16"/>
          <w:szCs w:val="16"/>
        </w:rPr>
        <w:t xml:space="preserve"> Ley 1450 de 2011. “Artículo 43. Definiciones de tamaño empresarial. El artículo 2° de la Ley 590 de 2000, quedará así: </w:t>
      </w:r>
    </w:p>
    <w:p w14:paraId="078C16F0"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Fonts w:ascii="Verdana" w:hAnsi="Verdana" w:cs="Arial"/>
          <w:sz w:val="16"/>
          <w:szCs w:val="16"/>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2458B1A8"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Fonts w:ascii="Verdana" w:hAnsi="Verdana" w:cs="Arial"/>
          <w:sz w:val="16"/>
          <w:szCs w:val="16"/>
        </w:rPr>
        <w:t xml:space="preserve">1. Número de trabajadores totales. </w:t>
      </w:r>
    </w:p>
    <w:p w14:paraId="79A443E8" w14:textId="77777777" w:rsidR="00845A9A" w:rsidRPr="0052621C" w:rsidRDefault="00845A9A" w:rsidP="00845A9A">
      <w:pPr>
        <w:pStyle w:val="Textonotapie"/>
        <w:contextualSpacing/>
        <w:jc w:val="both"/>
        <w:rPr>
          <w:rFonts w:ascii="Verdana" w:hAnsi="Verdana" w:cs="Arial"/>
          <w:sz w:val="16"/>
          <w:szCs w:val="16"/>
        </w:rPr>
      </w:pPr>
      <w:r w:rsidRPr="0052621C">
        <w:rPr>
          <w:rFonts w:ascii="Verdana" w:hAnsi="Verdana" w:cs="Arial"/>
          <w:sz w:val="16"/>
          <w:szCs w:val="16"/>
        </w:rPr>
        <w:t xml:space="preserve"> </w:t>
      </w:r>
      <w:r w:rsidRPr="0052621C">
        <w:rPr>
          <w:rFonts w:ascii="Verdana" w:hAnsi="Verdana" w:cs="Arial"/>
          <w:sz w:val="16"/>
          <w:szCs w:val="16"/>
        </w:rPr>
        <w:tab/>
        <w:t xml:space="preserve">2. Valor de ventas brutas anuales. </w:t>
      </w:r>
    </w:p>
    <w:p w14:paraId="2DCE1F3B"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Fonts w:ascii="Verdana" w:hAnsi="Verdana" w:cs="Arial"/>
          <w:sz w:val="16"/>
          <w:szCs w:val="16"/>
        </w:rPr>
        <w:t xml:space="preserve">3. Valor activos totales. </w:t>
      </w:r>
    </w:p>
    <w:p w14:paraId="5790EF54"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Fonts w:ascii="Verdana" w:hAnsi="Verdana" w:cs="Arial"/>
          <w:sz w:val="16"/>
          <w:szCs w:val="16"/>
        </w:rPr>
        <w:t xml:space="preserve">Para efectos de los beneficios otorgados por el Gobierno nacional a las micro, pequeñas y medianas empresas el criterio determinante será el valor de ventas brutas anuales. </w:t>
      </w:r>
    </w:p>
    <w:p w14:paraId="6E3A3BA2"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Fonts w:ascii="Verdana" w:hAnsi="Verdana" w:cs="Arial"/>
          <w:sz w:val="16"/>
          <w:szCs w:val="16"/>
        </w:rPr>
        <w:t xml:space="preserve">Parágrafo 1°. El Gobierno Nacional reglamentará los rangos que aplicarán para los tres criterios e incluirá especificidades sectoriales en los casos que considere necesario. </w:t>
      </w:r>
    </w:p>
    <w:p w14:paraId="4B0EB90D"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Fonts w:ascii="Verdana" w:hAnsi="Verdana" w:cs="Arial"/>
          <w:sz w:val="16"/>
          <w:szCs w:val="16"/>
        </w:rPr>
        <w:t>Parágrafo 2°. Las definiciones contenidas en el artículo 2° de la Ley 590 de 2000 continuarán vigentes hasta tanto entren a regir las normas reglamentarias que profiera el Gobierno Nacional en desarrollo de lo previsto en el presente artículo”.</w:t>
      </w:r>
    </w:p>
    <w:p w14:paraId="0EDE03AA" w14:textId="77777777" w:rsidR="00845A9A" w:rsidRPr="0052621C" w:rsidRDefault="00845A9A" w:rsidP="00845A9A">
      <w:pPr>
        <w:pStyle w:val="Textonotapie"/>
        <w:ind w:firstLine="708"/>
        <w:contextualSpacing/>
        <w:jc w:val="both"/>
        <w:rPr>
          <w:rFonts w:ascii="Verdana" w:hAnsi="Verdana" w:cs="Arial"/>
          <w:sz w:val="16"/>
          <w:szCs w:val="16"/>
          <w:lang w:val="es-CO"/>
        </w:rPr>
      </w:pPr>
    </w:p>
  </w:footnote>
  <w:footnote w:id="6">
    <w:p w14:paraId="763F3F5C" w14:textId="77777777" w:rsidR="00845A9A" w:rsidRPr="0052621C" w:rsidRDefault="00845A9A" w:rsidP="00845A9A">
      <w:pPr>
        <w:pStyle w:val="Textonotapie"/>
        <w:ind w:firstLine="708"/>
        <w:contextualSpacing/>
        <w:jc w:val="both"/>
        <w:rPr>
          <w:rFonts w:ascii="Verdana" w:hAnsi="Verdana" w:cs="Arial"/>
          <w:sz w:val="16"/>
          <w:szCs w:val="16"/>
        </w:rPr>
      </w:pPr>
      <w:r w:rsidRPr="0052621C">
        <w:rPr>
          <w:rStyle w:val="Refdenotaalpie"/>
          <w:rFonts w:ascii="Verdana" w:hAnsi="Verdana" w:cs="Arial"/>
          <w:sz w:val="16"/>
          <w:szCs w:val="16"/>
        </w:rPr>
        <w:footnoteRef/>
      </w:r>
      <w:r w:rsidRPr="0052621C">
        <w:rPr>
          <w:rFonts w:ascii="Verdana" w:hAnsi="Verdana" w:cs="Arial"/>
          <w:sz w:val="16"/>
          <w:szCs w:val="16"/>
        </w:rPr>
        <w:t xml:space="preserve"> Agencia Nacional de Contratación – Colombia Compra Eficiente. Concepto 997 del 30 de diciembre de 2024. </w:t>
      </w:r>
    </w:p>
    <w:p w14:paraId="736EABDF" w14:textId="77777777" w:rsidR="00845A9A" w:rsidRPr="00351F46" w:rsidRDefault="00845A9A" w:rsidP="00845A9A">
      <w:pPr>
        <w:pStyle w:val="Textonotapie"/>
        <w:ind w:firstLine="708"/>
        <w:contextualSpacing/>
        <w:jc w:val="both"/>
        <w:rPr>
          <w:rFonts w:ascii="Verdana" w:hAnsi="Verdana" w:cs="Arial"/>
          <w:sz w:val="14"/>
          <w:szCs w:val="14"/>
          <w:lang w:val="es-CO"/>
        </w:rPr>
      </w:pPr>
    </w:p>
  </w:footnote>
  <w:footnote w:id="7">
    <w:p w14:paraId="77C48929" w14:textId="77777777" w:rsidR="00845A9A" w:rsidRPr="0052621C" w:rsidRDefault="00845A9A" w:rsidP="00845A9A">
      <w:pPr>
        <w:pStyle w:val="Textonotapie"/>
        <w:jc w:val="both"/>
        <w:rPr>
          <w:rFonts w:ascii="Verdana" w:hAnsi="Verdana"/>
          <w:sz w:val="16"/>
          <w:szCs w:val="16"/>
        </w:rPr>
      </w:pPr>
    </w:p>
    <w:p w14:paraId="49CEF38A" w14:textId="77777777" w:rsidR="00845A9A" w:rsidRPr="0052621C" w:rsidRDefault="00845A9A" w:rsidP="00845A9A">
      <w:pPr>
        <w:pStyle w:val="Textonotapie"/>
        <w:ind w:firstLine="709"/>
        <w:jc w:val="both"/>
        <w:rPr>
          <w:rFonts w:ascii="Verdana" w:hAnsi="Verdana"/>
          <w:sz w:val="16"/>
          <w:szCs w:val="16"/>
        </w:rPr>
      </w:pPr>
      <w:r w:rsidRPr="0052621C">
        <w:rPr>
          <w:rStyle w:val="Refdenotaalpie"/>
          <w:rFonts w:ascii="Verdana" w:hAnsi="Verdana"/>
          <w:sz w:val="16"/>
          <w:szCs w:val="16"/>
        </w:rPr>
        <w:footnoteRef/>
      </w:r>
      <w:r w:rsidRPr="0052621C">
        <w:rPr>
          <w:rFonts w:ascii="Verdana" w:hAnsi="Verdana"/>
          <w:sz w:val="16"/>
          <w:szCs w:val="16"/>
        </w:rPr>
        <w:t xml:space="preserve"> </w:t>
      </w:r>
      <w:r w:rsidRPr="0052621C">
        <w:rPr>
          <w:rFonts w:ascii="Verdana" w:hAnsi="Verdana"/>
          <w:b/>
          <w:bCs/>
          <w:sz w:val="16"/>
          <w:szCs w:val="16"/>
        </w:rPr>
        <w:t>ARTÍCULO 2.2.1.2.4.2.2. Convocatorias Limitadas a Mipyme</w:t>
      </w:r>
      <w:r w:rsidRPr="0052621C">
        <w:rPr>
          <w:rFonts w:ascii="Verdana" w:hAnsi="Verdana"/>
          <w:sz w:val="16"/>
          <w:szCs w:val="16"/>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2361C289" w14:textId="77777777" w:rsidR="00845A9A" w:rsidRPr="0052621C" w:rsidRDefault="00845A9A" w:rsidP="00845A9A">
      <w:pPr>
        <w:pStyle w:val="Textonotapie"/>
        <w:ind w:firstLine="709"/>
        <w:jc w:val="both"/>
        <w:rPr>
          <w:rFonts w:ascii="Verdana" w:hAnsi="Verdana"/>
          <w:sz w:val="16"/>
          <w:szCs w:val="16"/>
        </w:rPr>
      </w:pPr>
      <w:r w:rsidRPr="0052621C">
        <w:rPr>
          <w:rFonts w:ascii="Verdana" w:hAnsi="Verdana"/>
          <w:sz w:val="16"/>
          <w:szCs w:val="16"/>
        </w:rPr>
        <w:t>1. El valor del Proceso de Contratación sea menor a ciento veinticinco mil dólares de los Estados Unidos de América (US$125.000), liquidados con la tasa de cambio que para el efecto determina cada dos años el Ministerio de Comercio, Industria y Turismo.</w:t>
      </w:r>
    </w:p>
    <w:p w14:paraId="7870CD98" w14:textId="77777777" w:rsidR="00845A9A" w:rsidRPr="0052621C" w:rsidRDefault="00845A9A" w:rsidP="00845A9A">
      <w:pPr>
        <w:pStyle w:val="Textonotapie"/>
        <w:ind w:firstLine="709"/>
        <w:jc w:val="both"/>
        <w:rPr>
          <w:rFonts w:ascii="Verdana" w:hAnsi="Verdana"/>
          <w:sz w:val="16"/>
          <w:szCs w:val="16"/>
        </w:rPr>
      </w:pPr>
      <w:r w:rsidRPr="0052621C">
        <w:rPr>
          <w:rFonts w:ascii="Verdana" w:hAnsi="Verdana"/>
          <w:sz w:val="16"/>
          <w:szCs w:val="16"/>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1A8C3988" w14:textId="77777777" w:rsidR="00845A9A" w:rsidRPr="0052621C" w:rsidRDefault="00845A9A" w:rsidP="00845A9A">
      <w:pPr>
        <w:pStyle w:val="Textonotapie"/>
        <w:ind w:firstLine="709"/>
        <w:jc w:val="both"/>
        <w:rPr>
          <w:rFonts w:ascii="Verdana" w:hAnsi="Verdana"/>
          <w:sz w:val="16"/>
          <w:szCs w:val="16"/>
        </w:rPr>
      </w:pPr>
      <w:r w:rsidRPr="0052621C">
        <w:rPr>
          <w:rFonts w:ascii="Verdana" w:hAnsi="Verdana"/>
          <w:sz w:val="16"/>
          <w:szCs w:val="16"/>
        </w:rPr>
        <w:t>Tratándose de personas jurídicas, las solicitudes solo las podrán realizar Mipyme, cuyo objeto social les permita ejecutar el contrato relacionado con el proceso contractual.</w:t>
      </w:r>
    </w:p>
    <w:p w14:paraId="1087CCE2" w14:textId="77777777" w:rsidR="00845A9A" w:rsidRPr="0052621C" w:rsidRDefault="00845A9A" w:rsidP="00845A9A">
      <w:pPr>
        <w:pStyle w:val="Textonotapie"/>
        <w:ind w:firstLine="709"/>
        <w:jc w:val="both"/>
        <w:rPr>
          <w:rFonts w:ascii="Verdana" w:hAnsi="Verdana"/>
          <w:sz w:val="16"/>
          <w:szCs w:val="16"/>
        </w:rPr>
      </w:pPr>
      <w:r w:rsidRPr="0052621C">
        <w:rPr>
          <w:rFonts w:ascii="Verdana" w:hAnsi="Verdana"/>
          <w:sz w:val="16"/>
          <w:szCs w:val="16"/>
        </w:rPr>
        <w:t>Parágrafo. Las cooperativas y demás entidades de economía solidaria, siempre que tengan la calidad de Mipyme, podrán solicitar y participar en las convocatorias limitadas en las mismas condiciones dispuestas en el presente artículo”.</w:t>
      </w:r>
    </w:p>
    <w:p w14:paraId="44CBAF9A" w14:textId="77777777" w:rsidR="00845A9A" w:rsidRPr="0052621C" w:rsidRDefault="00845A9A" w:rsidP="00845A9A">
      <w:pPr>
        <w:pStyle w:val="Textonotapie"/>
        <w:ind w:firstLine="709"/>
        <w:jc w:val="both"/>
        <w:rPr>
          <w:rFonts w:ascii="Verdana" w:hAnsi="Verdana"/>
          <w:sz w:val="16"/>
          <w:szCs w:val="16"/>
          <w:lang w:val="es-CO"/>
        </w:rPr>
      </w:pPr>
    </w:p>
  </w:footnote>
  <w:footnote w:id="8">
    <w:p w14:paraId="551C74F2" w14:textId="77777777" w:rsidR="00845A9A" w:rsidRDefault="00845A9A" w:rsidP="00845A9A">
      <w:pPr>
        <w:pStyle w:val="Textonotapie"/>
        <w:ind w:firstLine="709"/>
        <w:jc w:val="both"/>
        <w:rPr>
          <w:rFonts w:ascii="Verdana" w:hAnsi="Verdana"/>
          <w:sz w:val="14"/>
          <w:szCs w:val="14"/>
          <w:lang w:val="es-CO"/>
        </w:rPr>
      </w:pPr>
      <w:r w:rsidRPr="0052621C">
        <w:rPr>
          <w:rStyle w:val="Refdenotaalpie"/>
          <w:rFonts w:ascii="Verdana" w:hAnsi="Verdana"/>
          <w:sz w:val="16"/>
          <w:szCs w:val="16"/>
        </w:rPr>
        <w:footnoteRef/>
      </w:r>
      <w:r w:rsidRPr="0052621C">
        <w:rPr>
          <w:rFonts w:ascii="Verdana" w:hAnsi="Verdana"/>
          <w:sz w:val="16"/>
          <w:szCs w:val="16"/>
        </w:rPr>
        <w:t xml:space="preserve"> </w:t>
      </w:r>
      <w:r w:rsidRPr="0052621C">
        <w:rPr>
          <w:rFonts w:ascii="Verdana" w:hAnsi="Verdana"/>
          <w:b/>
          <w:bCs/>
          <w:sz w:val="16"/>
          <w:szCs w:val="16"/>
          <w:lang w:val="es-CO"/>
        </w:rPr>
        <w:t>ARTÍCULO</w:t>
      </w:r>
      <w:bookmarkStart w:id="3" w:name="2.2.1.2.4.2.3"/>
      <w:bookmarkEnd w:id="3"/>
      <w:r w:rsidRPr="0052621C">
        <w:rPr>
          <w:rFonts w:ascii="Verdana" w:hAnsi="Verdana"/>
          <w:b/>
          <w:bCs/>
          <w:sz w:val="16"/>
          <w:szCs w:val="16"/>
          <w:lang w:val="es-CO"/>
        </w:rPr>
        <w:t> 2.2.1.2.4.2.3. Limitaciones territoriales.</w:t>
      </w:r>
      <w:r w:rsidRPr="0052621C">
        <w:rPr>
          <w:rFonts w:ascii="Verdana" w:hAnsi="Verdana"/>
          <w:sz w:val="16"/>
          <w:szCs w:val="16"/>
          <w:lang w:val="es-CO"/>
        </w:rPr>
        <w:t> De conformidad con el parágrafo </w:t>
      </w:r>
      <w:hyperlink r:id="rId3" w:anchor="12.p1" w:history="1">
        <w:r w:rsidRPr="0052621C">
          <w:rPr>
            <w:rStyle w:val="Hipervnculo"/>
            <w:rFonts w:ascii="Verdana" w:hAnsi="Verdana"/>
            <w:color w:val="auto"/>
            <w:sz w:val="16"/>
            <w:szCs w:val="16"/>
            <w:lang w:val="es-CO"/>
          </w:rPr>
          <w:t>1 </w:t>
        </w:r>
      </w:hyperlink>
      <w:r w:rsidRPr="0052621C">
        <w:rPr>
          <w:rFonts w:ascii="Verdana" w:hAnsi="Verdana"/>
          <w:sz w:val="16"/>
          <w:szCs w:val="16"/>
          <w:lang w:val="es-CO"/>
        </w:rPr>
        <w:t>del artículo </w:t>
      </w:r>
      <w:hyperlink r:id="rId4" w:anchor="12" w:history="1">
        <w:r w:rsidRPr="0052621C">
          <w:rPr>
            <w:rStyle w:val="Hipervnculo"/>
            <w:rFonts w:ascii="Verdana" w:hAnsi="Verdana"/>
            <w:color w:val="000000" w:themeColor="text1"/>
            <w:sz w:val="16"/>
            <w:szCs w:val="16"/>
            <w:u w:val="none"/>
            <w:lang w:val="es-CO"/>
          </w:rPr>
          <w:t>12 </w:t>
        </w:r>
      </w:hyperlink>
      <w:r w:rsidRPr="0052621C">
        <w:rPr>
          <w:rFonts w:ascii="Verdana" w:hAnsi="Verdana"/>
          <w:sz w:val="16"/>
          <w:szCs w:val="16"/>
          <w:lang w:val="es-CO"/>
        </w:rPr>
        <w:t xml:space="preserve">de la Ley 1150 de 2007, las Entidades Estatales, independientemente de su régimen de contratación, los patrimonios autónomos constituidos por Entidades Estatales y los particulares que ejecuten recursos públicos, pueden realizar convocatorias limitadas </w:t>
      </w:r>
      <w:r w:rsidRPr="00926B25">
        <w:rPr>
          <w:rFonts w:ascii="Verdana" w:hAnsi="Verdana"/>
          <w:sz w:val="14"/>
          <w:szCs w:val="14"/>
          <w:lang w:val="es-CO"/>
        </w:rPr>
        <w:t>a Mipyme colombianas que tengan domicilio en los departamentos o municipios en donde se va a ejecutar el contrato. Cada Mipyme deberá acreditar su domicilio con los documentos a los que se refiere el siguiente artículo.</w:t>
      </w:r>
    </w:p>
    <w:p w14:paraId="3FBF4520" w14:textId="77777777" w:rsidR="00845A9A" w:rsidRPr="00926B25" w:rsidRDefault="00845A9A" w:rsidP="00845A9A">
      <w:pPr>
        <w:pStyle w:val="Textonotapie"/>
        <w:ind w:firstLine="709"/>
        <w:jc w:val="both"/>
        <w:rPr>
          <w:rFonts w:ascii="Verdana" w:hAnsi="Verdana"/>
          <w:sz w:val="14"/>
          <w:szCs w:val="14"/>
          <w:lang w:val="es-ES"/>
        </w:rPr>
      </w:pPr>
    </w:p>
  </w:footnote>
  <w:footnote w:id="9">
    <w:p w14:paraId="27CBB4F8" w14:textId="77777777" w:rsidR="00845A9A" w:rsidRPr="0052621C" w:rsidRDefault="00845A9A" w:rsidP="00845A9A">
      <w:pPr>
        <w:pStyle w:val="Textonotapie"/>
        <w:ind w:firstLine="708"/>
        <w:contextualSpacing/>
        <w:jc w:val="both"/>
        <w:rPr>
          <w:rFonts w:ascii="Verdana" w:hAnsi="Verdana" w:cs="Arial"/>
          <w:sz w:val="16"/>
          <w:szCs w:val="16"/>
          <w:lang w:val="es-CO"/>
        </w:rPr>
      </w:pPr>
      <w:r w:rsidRPr="0052621C">
        <w:rPr>
          <w:rStyle w:val="Refdenotaalpie"/>
          <w:rFonts w:ascii="Verdana" w:hAnsi="Verdana" w:cs="Arial"/>
          <w:sz w:val="16"/>
          <w:szCs w:val="16"/>
        </w:rPr>
        <w:footnoteRef/>
      </w:r>
      <w:r w:rsidRPr="0052621C">
        <w:rPr>
          <w:rFonts w:ascii="Verdana" w:hAnsi="Verdana" w:cs="Arial"/>
          <w:sz w:val="16"/>
          <w:szCs w:val="16"/>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5pt;height:11.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7621BDA"/>
    <w:multiLevelType w:val="hybridMultilevel"/>
    <w:tmpl w:val="569872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10088820">
    <w:abstractNumId w:val="6"/>
  </w:num>
  <w:num w:numId="2" w16cid:durableId="1480918880">
    <w:abstractNumId w:val="2"/>
  </w:num>
  <w:num w:numId="3" w16cid:durableId="368578786">
    <w:abstractNumId w:val="4"/>
  </w:num>
  <w:num w:numId="4" w16cid:durableId="75054324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97543937">
    <w:abstractNumId w:val="2"/>
  </w:num>
  <w:num w:numId="6" w16cid:durableId="1952542941">
    <w:abstractNumId w:val="13"/>
  </w:num>
  <w:num w:numId="7" w16cid:durableId="202638602">
    <w:abstractNumId w:val="5"/>
  </w:num>
  <w:num w:numId="8" w16cid:durableId="1234782393">
    <w:abstractNumId w:val="12"/>
  </w:num>
  <w:num w:numId="9" w16cid:durableId="457068046">
    <w:abstractNumId w:val="7"/>
  </w:num>
  <w:num w:numId="10" w16cid:durableId="1045518853">
    <w:abstractNumId w:val="11"/>
  </w:num>
  <w:num w:numId="11" w16cid:durableId="1446652723">
    <w:abstractNumId w:val="8"/>
  </w:num>
  <w:num w:numId="12" w16cid:durableId="345521421">
    <w:abstractNumId w:val="1"/>
  </w:num>
  <w:num w:numId="13" w16cid:durableId="898369339">
    <w:abstractNumId w:val="3"/>
  </w:num>
  <w:num w:numId="14" w16cid:durableId="1548833301">
    <w:abstractNumId w:val="14"/>
  </w:num>
  <w:num w:numId="15" w16cid:durableId="813644868">
    <w:abstractNumId w:val="10"/>
  </w:num>
  <w:num w:numId="16" w16cid:durableId="1241141755">
    <w:abstractNumId w:val="0"/>
  </w:num>
  <w:num w:numId="17" w16cid:durableId="3279009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3F65"/>
    <w:rsid w:val="00046945"/>
    <w:rsid w:val="00061B2A"/>
    <w:rsid w:val="00082362"/>
    <w:rsid w:val="0009114F"/>
    <w:rsid w:val="000A683E"/>
    <w:rsid w:val="000B19B9"/>
    <w:rsid w:val="000C15B7"/>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5370"/>
    <w:rsid w:val="00374F5E"/>
    <w:rsid w:val="00377E3E"/>
    <w:rsid w:val="00395AC7"/>
    <w:rsid w:val="003A779E"/>
    <w:rsid w:val="003D0F4D"/>
    <w:rsid w:val="003D5B0D"/>
    <w:rsid w:val="003E0499"/>
    <w:rsid w:val="003E4F80"/>
    <w:rsid w:val="003E6439"/>
    <w:rsid w:val="003F3941"/>
    <w:rsid w:val="00406575"/>
    <w:rsid w:val="00414C74"/>
    <w:rsid w:val="0042535C"/>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B177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5A9A"/>
    <w:rsid w:val="008559DD"/>
    <w:rsid w:val="00863193"/>
    <w:rsid w:val="00867F95"/>
    <w:rsid w:val="008843B6"/>
    <w:rsid w:val="00891928"/>
    <w:rsid w:val="008A0FF3"/>
    <w:rsid w:val="008A446D"/>
    <w:rsid w:val="008B25F1"/>
    <w:rsid w:val="008D180B"/>
    <w:rsid w:val="008F0EA7"/>
    <w:rsid w:val="00923EEF"/>
    <w:rsid w:val="009419F9"/>
    <w:rsid w:val="0095685E"/>
    <w:rsid w:val="00961B09"/>
    <w:rsid w:val="00964FDF"/>
    <w:rsid w:val="00965334"/>
    <w:rsid w:val="0097093E"/>
    <w:rsid w:val="00991C24"/>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44EDE"/>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1F8F"/>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4721F"/>
    <w:rsid w:val="00F5664F"/>
    <w:rsid w:val="00F666C4"/>
    <w:rsid w:val="00F76AFC"/>
    <w:rsid w:val="00FA47C0"/>
    <w:rsid w:val="00FA64AC"/>
    <w:rsid w:val="00FB5DD1"/>
    <w:rsid w:val="00FC2B5D"/>
    <w:rsid w:val="00FF1449"/>
    <w:rsid w:val="00FF7963"/>
    <w:rsid w:val="071B8F93"/>
    <w:rsid w:val="09908A09"/>
    <w:rsid w:val="0FF4CCA8"/>
    <w:rsid w:val="13CFC91B"/>
    <w:rsid w:val="19A2EC2C"/>
    <w:rsid w:val="2859CA1B"/>
    <w:rsid w:val="32A4F9CF"/>
    <w:rsid w:val="356CEDFD"/>
    <w:rsid w:val="66ADB65A"/>
    <w:rsid w:val="69614A15"/>
    <w:rsid w:val="6C89106A"/>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45A9A"/>
    <w:rPr>
      <w:rFonts w:ascii="Geomanist Light" w:hAnsi="Geomanist Light"/>
      <w:lang w:val="es-ES"/>
    </w:rPr>
  </w:style>
  <w:style w:type="paragraph" w:customStyle="1" w:styleId="Appelnotedebasde">
    <w:name w:val="Appel note de bas de..."/>
    <w:basedOn w:val="Normal"/>
    <w:link w:val="Refdenotaalpie"/>
    <w:uiPriority w:val="99"/>
    <w:rsid w:val="00845A9A"/>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ibliotecadigital.ccb.org.co/server/api/core/bitstreams/56eea614-11b5-49ad-a103-656fabc70bb7/content"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bibliotecadigital.ccb.org.co/bitstream/handle/11520/8346/el%20abc%20de%20esales%202013%20completo.pdf?sequence=1&amp;isAllowed=y"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numbal@gmail.com"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25678" TargetMode="External"/><Relationship Id="rId2" Type="http://schemas.openxmlformats.org/officeDocument/2006/relationships/hyperlink" Target="https://bibliotecadigital.ccb.org.co/server/api/core/bitstreams/56eea614-11b5-49ad-a103-656fabc70bb7/content" TargetMode="External"/><Relationship Id="rId1" Type="http://schemas.openxmlformats.org/officeDocument/2006/relationships/hyperlink" Target="https://bibliotecadigital.ccb.org.co/bitstream/handle/11520/8346/el%20abc%20de%20esales%202013%20completo.pdf?sequence=1&amp;isAllowed=y" TargetMode="External"/><Relationship Id="rId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44C9B4F-9DC1-4C0E-BF64-AE4B9EF2C11C}"/>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20</Pages>
  <Words>6377</Words>
  <Characters>35075</Characters>
  <Application>Microsoft Office Word</Application>
  <DocSecurity>0</DocSecurity>
  <Lines>292</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2025-12-18T14:57:00Z</dcterms:created>
  <dcterms:modified xsi:type="dcterms:W3CDTF">2025-12-19T03:12:00Z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