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CB488" w14:textId="4B36AE7C" w:rsidR="001F5748" w:rsidRPr="001F5748" w:rsidRDefault="001F5748" w:rsidP="001F5748">
      <w:pPr>
        <w:spacing w:line="276" w:lineRule="auto"/>
        <w:jc w:val="both"/>
        <w:rPr>
          <w:rFonts w:ascii="Verdana" w:hAnsi="Verdana" w:cs="Arial"/>
          <w:b/>
          <w:color w:val="000000" w:themeColor="text1"/>
          <w:lang w:val="es-ES_tradnl"/>
        </w:rPr>
      </w:pPr>
      <w:bookmarkStart w:id="0" w:name="_Hlk143780582"/>
      <w:r w:rsidRPr="001F5748">
        <w:rPr>
          <w:rFonts w:ascii="Verdana" w:hAnsi="Verdana" w:cs="Arial"/>
          <w:b/>
          <w:color w:val="000000" w:themeColor="text1"/>
          <w:lang w:val="es-ES_tradnl"/>
        </w:rPr>
        <w:t xml:space="preserve">SUPERVISIÓN CONTRACTUAL – Concepto - Lineamientos </w:t>
      </w:r>
    </w:p>
    <w:p w14:paraId="0BD0A723" w14:textId="06FF02D4" w:rsidR="001F5748" w:rsidRPr="001F5748" w:rsidRDefault="001F5748" w:rsidP="001F5748">
      <w:pPr>
        <w:spacing w:after="120" w:line="276" w:lineRule="auto"/>
        <w:jc w:val="both"/>
        <w:rPr>
          <w:rFonts w:ascii="Verdana" w:eastAsia="Times New Roman" w:hAnsi="Verdana" w:cs="Arial"/>
          <w:lang w:val="es-ES" w:eastAsia="es-MX"/>
        </w:rPr>
      </w:pPr>
      <w:r w:rsidRPr="225EF6C4">
        <w:rPr>
          <w:rFonts w:ascii="Verdana" w:eastAsia="Calibri" w:hAnsi="Verdana" w:cs="Arial"/>
          <w:lang w:val="es-ES"/>
        </w:rPr>
        <w:t xml:space="preserve">En específico, la supervisión de los contratos estatales se encuentra regulada en la Ley 1474 de 2011, que </w:t>
      </w:r>
      <w:r w:rsidRPr="00B7290B">
        <w:rPr>
          <w:rFonts w:ascii="Verdana" w:eastAsia="Times New Roman" w:hAnsi="Verdana" w:cs="Arial"/>
          <w:lang w:val="es-ES" w:eastAsia="es-MX"/>
        </w:rPr>
        <w:t>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r>
        <w:rPr>
          <w:rFonts w:ascii="Verdana" w:eastAsia="Times New Roman" w:hAnsi="Verdana" w:cs="Arial"/>
          <w:lang w:val="es-ES" w:eastAsia="es-MX"/>
        </w:rPr>
        <w:t xml:space="preserve">. </w:t>
      </w:r>
    </w:p>
    <w:p w14:paraId="2C44516B" w14:textId="0BBA82C2" w:rsidR="001F5748" w:rsidRPr="001F5748" w:rsidRDefault="001F5748" w:rsidP="001F5748">
      <w:pPr>
        <w:spacing w:line="276" w:lineRule="auto"/>
        <w:jc w:val="both"/>
        <w:rPr>
          <w:rFonts w:ascii="Verdana" w:hAnsi="Verdana" w:cs="Arial"/>
          <w:b/>
          <w:color w:val="000000" w:themeColor="text1"/>
          <w:lang w:val="es-ES_tradnl"/>
        </w:rPr>
      </w:pPr>
      <w:r w:rsidRPr="001F5748">
        <w:rPr>
          <w:rFonts w:ascii="Verdana" w:hAnsi="Verdana" w:cs="Arial"/>
          <w:b/>
          <w:color w:val="000000" w:themeColor="text1"/>
          <w:lang w:val="es-ES_tradnl"/>
        </w:rPr>
        <w:t xml:space="preserve">LEY 1474 DE 2011 – Supervisión contractual </w:t>
      </w:r>
    </w:p>
    <w:p w14:paraId="14648A07" w14:textId="7542522C" w:rsidR="001F5748" w:rsidRPr="004202F6" w:rsidRDefault="001F5748" w:rsidP="001F5748">
      <w:pPr>
        <w:spacing w:after="120" w:line="276" w:lineRule="auto"/>
        <w:jc w:val="both"/>
        <w:rPr>
          <w:rFonts w:ascii="Verdana" w:eastAsia="Times New Roman" w:hAnsi="Verdana" w:cs="Arial"/>
          <w:bCs/>
          <w:lang w:val="es-ES"/>
        </w:rPr>
      </w:pPr>
      <w:r>
        <w:rPr>
          <w:rFonts w:ascii="Verdana" w:eastAsia="Times New Roman" w:hAnsi="Verdana" w:cs="Arial"/>
          <w:bCs/>
          <w:lang w:val="es-ES"/>
        </w:rPr>
        <w:t xml:space="preserve">[…] </w:t>
      </w:r>
      <w:r w:rsidRPr="00B7290B">
        <w:rPr>
          <w:rFonts w:ascii="Verdana" w:eastAsia="Times New Roman" w:hAnsi="Verdana" w:cs="Arial"/>
          <w:bCs/>
          <w:lang w:val="es-ES"/>
        </w:rPr>
        <w:t>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y v) le es inseparable el seguimiento</w:t>
      </w:r>
      <w:r w:rsidRPr="004202F6">
        <w:rPr>
          <w:rFonts w:ascii="Verdana" w:eastAsia="Times New Roman" w:hAnsi="Verdana" w:cs="Arial"/>
          <w:bCs/>
          <w:lang w:val="es-ES"/>
        </w:rPr>
        <w:t xml:space="preserve"> técnico, administrativo, financiero, contable y jurídico del contrato vigilado.</w:t>
      </w:r>
    </w:p>
    <w:p w14:paraId="10AEEDFB" w14:textId="77777777" w:rsidR="001F5748" w:rsidRPr="001F5748" w:rsidRDefault="001F5748" w:rsidP="001F5748">
      <w:pPr>
        <w:spacing w:line="276" w:lineRule="auto"/>
        <w:jc w:val="both"/>
        <w:rPr>
          <w:rFonts w:ascii="Verdana" w:eastAsia="Calibri" w:hAnsi="Verdana" w:cs="Arial"/>
          <w:b/>
          <w:bCs/>
          <w:lang w:val="es-ES" w:eastAsia="es-ES"/>
        </w:rPr>
      </w:pPr>
      <w:r w:rsidRPr="001F5748">
        <w:rPr>
          <w:rFonts w:ascii="Verdana" w:eastAsia="Calibri" w:hAnsi="Verdana" w:cs="Arial"/>
          <w:b/>
          <w:bCs/>
          <w:lang w:val="es-ES" w:eastAsia="es-ES"/>
        </w:rPr>
        <w:t>VIGILANCIA DE LOS CONTRATOS ESTATALES – Marco jurídico – Obligación de la entidad – Objetivo</w:t>
      </w:r>
    </w:p>
    <w:p w14:paraId="1C39A1E5" w14:textId="4BE3784A" w:rsidR="001F5748" w:rsidRDefault="001F5748" w:rsidP="001F5748">
      <w:pPr>
        <w:spacing w:after="120" w:line="276" w:lineRule="auto"/>
        <w:jc w:val="both"/>
        <w:rPr>
          <w:rFonts w:ascii="Verdana" w:eastAsia="Calibri" w:hAnsi="Verdana" w:cs="Arial"/>
          <w:bCs/>
          <w:lang w:val="es-ES_tradnl"/>
        </w:rPr>
      </w:pPr>
      <w:r w:rsidRPr="0027034B">
        <w:rPr>
          <w:rFonts w:ascii="Verdana" w:eastAsia="Times New Roman" w:hAnsi="Verdana" w:cs="Arial"/>
          <w:shd w:val="clear" w:color="auto" w:fill="FFFFFF"/>
          <w:lang w:val="es-ES"/>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4026ED2E" w14:textId="7529CA59" w:rsidR="001F5748" w:rsidRDefault="001F5748" w:rsidP="001F5748">
      <w:pPr>
        <w:spacing w:line="276" w:lineRule="auto"/>
        <w:jc w:val="both"/>
        <w:rPr>
          <w:rFonts w:ascii="Verdana" w:eastAsia="Calibri" w:hAnsi="Verdana" w:cs="Arial"/>
          <w:lang w:val="es-ES" w:eastAsia="es-ES"/>
        </w:rPr>
      </w:pPr>
      <w:r>
        <w:rPr>
          <w:rFonts w:ascii="Verdana" w:eastAsia="Times New Roman" w:hAnsi="Verdana" w:cs="Arial"/>
          <w:lang w:val="es-ES" w:eastAsia="es-MX"/>
        </w:rPr>
        <w:t>L</w:t>
      </w:r>
      <w:r w:rsidRPr="0027034B">
        <w:rPr>
          <w:rFonts w:ascii="Verdana" w:eastAsia="Times New Roman" w:hAnsi="Verdana" w:cs="Arial"/>
          <w:lang w:val="es-ES" w:eastAsia="es-MX"/>
        </w:rPr>
        <w:t>a jurisprudencia contencioso-administrativa, por su parte, ha considerado que la obligación de vigilar la correcta ejecución del objeto contractual es una función de la entidad contratante</w:t>
      </w:r>
      <w:r>
        <w:rPr>
          <w:rFonts w:ascii="Verdana" w:eastAsia="Times New Roman" w:hAnsi="Verdana" w:cs="Arial"/>
          <w:lang w:val="es-ES" w:eastAsia="es-MX"/>
        </w:rPr>
        <w:t xml:space="preserve"> […]</w:t>
      </w:r>
    </w:p>
    <w:p w14:paraId="28215E81" w14:textId="14B007C6" w:rsidR="001F5748" w:rsidRPr="001F5748" w:rsidRDefault="001F5748" w:rsidP="001F5748">
      <w:pPr>
        <w:spacing w:line="276" w:lineRule="auto"/>
        <w:jc w:val="both"/>
        <w:rPr>
          <w:rFonts w:ascii="Verdana" w:eastAsia="Calibri" w:hAnsi="Verdana" w:cs="Arial"/>
          <w:b/>
          <w:bCs/>
          <w:color w:val="000000" w:themeColor="text1"/>
          <w:lang w:val="es-ES" w:eastAsia="es-ES"/>
        </w:rPr>
      </w:pPr>
      <w:r w:rsidRPr="001F5748">
        <w:rPr>
          <w:rFonts w:ascii="Verdana" w:eastAsia="Calibri" w:hAnsi="Verdana" w:cs="Arial"/>
          <w:b/>
          <w:bCs/>
          <w:lang w:val="es-ES" w:eastAsia="es-ES"/>
        </w:rPr>
        <w:lastRenderedPageBreak/>
        <w:t>SUPERVISIÓN CONTRACTUAL - Responsabilidad</w:t>
      </w:r>
    </w:p>
    <w:p w14:paraId="6BD1BC7E" w14:textId="736F2F88" w:rsidR="001F5748" w:rsidRPr="004202F6" w:rsidRDefault="001F5748" w:rsidP="001F5748">
      <w:pPr>
        <w:pStyle w:val="Sinespaciado"/>
        <w:spacing w:after="120" w:line="276" w:lineRule="auto"/>
        <w:jc w:val="both"/>
        <w:rPr>
          <w:rFonts w:ascii="Verdana" w:hAnsi="Verdana" w:cs="Arial"/>
          <w:sz w:val="22"/>
        </w:rPr>
      </w:pPr>
      <w:r w:rsidRPr="004202F6">
        <w:rPr>
          <w:rFonts w:ascii="Verdana" w:eastAsia="Times New Roman" w:hAnsi="Verdana" w:cs="Arial"/>
          <w:sz w:val="22"/>
          <w:shd w:val="clear" w:color="auto" w:fill="FFFFFF"/>
          <w:lang w:val="es-ES"/>
        </w:rPr>
        <w:t>Así mismo, esta Agencia,</w:t>
      </w:r>
      <w:r w:rsidRPr="004202F6">
        <w:rPr>
          <w:rFonts w:ascii="Verdana" w:eastAsia="Times New Roman" w:hAnsi="Verdana" w:cs="Arial"/>
          <w:sz w:val="22"/>
          <w:lang w:val="es-ES_tradnl" w:eastAsia="es-ES_tradnl"/>
        </w:rPr>
        <w:t xml:space="preserve"> en el ejercicio de sus funciones, expidió la “Guía para el ejercicio de las funciones de Supervisión e Interventoría de los contratos suscritos por las Entidades Estatales”, la cual constituye una herramienta pedagógica en la que se imparten lineamientos de buenas prácticas para el ejercicio de la supervisión e interventoría de los contratos estatales. </w:t>
      </w:r>
      <w:r w:rsidRPr="004202F6">
        <w:rPr>
          <w:rFonts w:ascii="Verdana" w:eastAsia="Calibri" w:hAnsi="Verdana" w:cs="Arial"/>
          <w:bCs/>
          <w:sz w:val="22"/>
        </w:rPr>
        <w:t xml:space="preserve">En esta Guía se explica el </w:t>
      </w:r>
      <w:r w:rsidRPr="004202F6">
        <w:rPr>
          <w:rFonts w:ascii="Verdana" w:hAnsi="Verdana" w:cs="Arial"/>
          <w:sz w:val="22"/>
        </w:rPr>
        <w:t xml:space="preserve">régimen de responsabilidad civil, penal, disciplinario y fiscal </w:t>
      </w:r>
      <w:r w:rsidRPr="004202F6">
        <w:rPr>
          <w:rFonts w:ascii="Verdana" w:eastAsia="Calibri" w:hAnsi="Verdana" w:cs="Arial"/>
          <w:bCs/>
          <w:sz w:val="22"/>
        </w:rPr>
        <w:t xml:space="preserve">al que se encuentran sujetos quienes ejerzan las funciones de supervisión </w:t>
      </w:r>
      <w:r w:rsidRPr="004202F6">
        <w:rPr>
          <w:rFonts w:ascii="Verdana" w:hAnsi="Verdana" w:cs="Arial"/>
          <w:sz w:val="22"/>
        </w:rPr>
        <w:t xml:space="preserve">en virtud de su condición de servidor público, y se aclara que los servidores públicos que intervienen en la celebración, ejecución y liquidación de contratos son responsables por sus actuaciones y omisiones. Por lo que, responden civil, penal, fiscal y disciplinariamente por las faltas que cometan en el ejercicio de sus funciones. </w:t>
      </w:r>
    </w:p>
    <w:p w14:paraId="4F1EAAB8" w14:textId="5F44B131" w:rsidR="001F5748" w:rsidRDefault="001F5748" w:rsidP="00C15139">
      <w:pPr>
        <w:spacing w:after="0"/>
        <w:rPr>
          <w:rFonts w:ascii="Verdana" w:hAnsi="Verdana"/>
        </w:rPr>
      </w:pPr>
    </w:p>
    <w:p w14:paraId="694E7E30" w14:textId="034BEC08" w:rsidR="001F5748" w:rsidRDefault="001F5748" w:rsidP="00C15139">
      <w:pPr>
        <w:spacing w:after="0"/>
        <w:rPr>
          <w:rFonts w:ascii="Verdana" w:hAnsi="Verdana"/>
        </w:rPr>
      </w:pPr>
    </w:p>
    <w:p w14:paraId="12AA944C" w14:textId="3507F397" w:rsidR="001F5748" w:rsidRDefault="001F5748" w:rsidP="00C15139">
      <w:pPr>
        <w:spacing w:after="0"/>
        <w:rPr>
          <w:rFonts w:ascii="Verdana" w:hAnsi="Verdana"/>
        </w:rPr>
      </w:pPr>
    </w:p>
    <w:p w14:paraId="0D18B962" w14:textId="088C89B2" w:rsidR="001F5748" w:rsidRDefault="001F5748" w:rsidP="00C15139">
      <w:pPr>
        <w:spacing w:after="0"/>
        <w:rPr>
          <w:rFonts w:ascii="Verdana" w:hAnsi="Verdana"/>
        </w:rPr>
      </w:pPr>
    </w:p>
    <w:p w14:paraId="128B21C5" w14:textId="7E9B4D91" w:rsidR="001F5748" w:rsidRDefault="001F5748" w:rsidP="00C15139">
      <w:pPr>
        <w:spacing w:after="0"/>
        <w:rPr>
          <w:rFonts w:ascii="Verdana" w:hAnsi="Verdana"/>
        </w:rPr>
      </w:pPr>
    </w:p>
    <w:p w14:paraId="26FBAD10" w14:textId="202AFC2E" w:rsidR="001F5748" w:rsidRDefault="001F5748" w:rsidP="00C15139">
      <w:pPr>
        <w:spacing w:after="0"/>
        <w:rPr>
          <w:rFonts w:ascii="Verdana" w:hAnsi="Verdana"/>
        </w:rPr>
      </w:pPr>
    </w:p>
    <w:p w14:paraId="2C19417C" w14:textId="5FF2048B" w:rsidR="001F5748" w:rsidRDefault="001F5748" w:rsidP="00C15139">
      <w:pPr>
        <w:spacing w:after="0"/>
        <w:rPr>
          <w:rFonts w:ascii="Verdana" w:hAnsi="Verdana"/>
        </w:rPr>
      </w:pPr>
    </w:p>
    <w:p w14:paraId="62A521CF" w14:textId="740EEFD1" w:rsidR="001F5748" w:rsidRDefault="001F5748" w:rsidP="00C15139">
      <w:pPr>
        <w:spacing w:after="0"/>
        <w:rPr>
          <w:rFonts w:ascii="Verdana" w:hAnsi="Verdana"/>
        </w:rPr>
      </w:pPr>
    </w:p>
    <w:p w14:paraId="7C131B29" w14:textId="0405E604" w:rsidR="001F5748" w:rsidRDefault="001F5748" w:rsidP="00C15139">
      <w:pPr>
        <w:spacing w:after="0"/>
        <w:rPr>
          <w:rFonts w:ascii="Verdana" w:hAnsi="Verdana"/>
        </w:rPr>
      </w:pPr>
    </w:p>
    <w:p w14:paraId="7155CD24" w14:textId="03ABC5EF" w:rsidR="001F5748" w:rsidRDefault="001F5748" w:rsidP="00C15139">
      <w:pPr>
        <w:spacing w:after="0"/>
        <w:rPr>
          <w:rFonts w:ascii="Verdana" w:hAnsi="Verdana"/>
        </w:rPr>
      </w:pPr>
    </w:p>
    <w:p w14:paraId="6FD50C02" w14:textId="5B3A8CAE" w:rsidR="001F5748" w:rsidRDefault="001F5748" w:rsidP="00C15139">
      <w:pPr>
        <w:spacing w:after="0"/>
        <w:rPr>
          <w:rFonts w:ascii="Verdana" w:hAnsi="Verdana"/>
        </w:rPr>
      </w:pPr>
    </w:p>
    <w:p w14:paraId="7033D509" w14:textId="0F80B4B5" w:rsidR="001F5748" w:rsidRDefault="001F5748" w:rsidP="00C15139">
      <w:pPr>
        <w:spacing w:after="0"/>
        <w:rPr>
          <w:rFonts w:ascii="Verdana" w:hAnsi="Verdana"/>
        </w:rPr>
      </w:pPr>
    </w:p>
    <w:p w14:paraId="57A12FBC" w14:textId="5DB13109" w:rsidR="001F5748" w:rsidRDefault="001F5748" w:rsidP="00C15139">
      <w:pPr>
        <w:spacing w:after="0"/>
        <w:rPr>
          <w:rFonts w:ascii="Verdana" w:hAnsi="Verdana"/>
        </w:rPr>
      </w:pPr>
    </w:p>
    <w:p w14:paraId="71B31C21" w14:textId="7F4B1379" w:rsidR="001F5748" w:rsidRDefault="001F5748" w:rsidP="00C15139">
      <w:pPr>
        <w:spacing w:after="0"/>
        <w:rPr>
          <w:rFonts w:ascii="Verdana" w:hAnsi="Verdana"/>
        </w:rPr>
      </w:pPr>
    </w:p>
    <w:p w14:paraId="7E3701F6" w14:textId="1F53480F" w:rsidR="001F5748" w:rsidRDefault="001F5748" w:rsidP="00C15139">
      <w:pPr>
        <w:spacing w:after="0"/>
        <w:rPr>
          <w:rFonts w:ascii="Verdana" w:hAnsi="Verdana"/>
        </w:rPr>
      </w:pPr>
    </w:p>
    <w:p w14:paraId="59002D82" w14:textId="76DEA7B2" w:rsidR="001F5748" w:rsidRDefault="001F5748" w:rsidP="00C15139">
      <w:pPr>
        <w:spacing w:after="0"/>
        <w:rPr>
          <w:rFonts w:ascii="Verdana" w:hAnsi="Verdana"/>
        </w:rPr>
      </w:pPr>
    </w:p>
    <w:p w14:paraId="56D43ED7" w14:textId="277B9C98" w:rsidR="001F5748" w:rsidRDefault="001F5748" w:rsidP="00C15139">
      <w:pPr>
        <w:spacing w:after="0"/>
        <w:rPr>
          <w:rFonts w:ascii="Verdana" w:hAnsi="Verdana"/>
        </w:rPr>
      </w:pPr>
    </w:p>
    <w:p w14:paraId="4C332891" w14:textId="61A8291A" w:rsidR="001F5748" w:rsidRDefault="001F5748" w:rsidP="00C15139">
      <w:pPr>
        <w:spacing w:after="0"/>
        <w:rPr>
          <w:rFonts w:ascii="Verdana" w:hAnsi="Verdana"/>
        </w:rPr>
      </w:pPr>
    </w:p>
    <w:p w14:paraId="0B3DAFE7" w14:textId="5891E225" w:rsidR="001F5748" w:rsidRDefault="001F5748" w:rsidP="00C15139">
      <w:pPr>
        <w:spacing w:after="0"/>
        <w:rPr>
          <w:rFonts w:ascii="Verdana" w:hAnsi="Verdana"/>
        </w:rPr>
      </w:pPr>
    </w:p>
    <w:p w14:paraId="6F9D8C3E" w14:textId="77777777" w:rsidR="001F5748" w:rsidRDefault="001F5748" w:rsidP="00C15139">
      <w:pPr>
        <w:spacing w:after="0"/>
        <w:rPr>
          <w:rFonts w:ascii="Verdana" w:hAnsi="Verdana"/>
        </w:rPr>
      </w:pPr>
    </w:p>
    <w:p w14:paraId="1322EDDA" w14:textId="77777777" w:rsidR="001F5748" w:rsidRDefault="001F5748" w:rsidP="00C15139">
      <w:pPr>
        <w:spacing w:after="0"/>
        <w:rPr>
          <w:rFonts w:ascii="Verdana" w:hAnsi="Verdana"/>
        </w:rPr>
      </w:pPr>
    </w:p>
    <w:p w14:paraId="5842DB6F" w14:textId="77777777" w:rsidR="001F5748" w:rsidRDefault="001F5748" w:rsidP="00C15139">
      <w:pPr>
        <w:spacing w:after="0"/>
        <w:rPr>
          <w:rFonts w:ascii="Verdana" w:hAnsi="Verdana"/>
        </w:rPr>
      </w:pPr>
    </w:p>
    <w:p w14:paraId="6194E4FB" w14:textId="77777777" w:rsidR="001F5748" w:rsidRDefault="001F5748" w:rsidP="00C15139">
      <w:pPr>
        <w:spacing w:after="0"/>
        <w:rPr>
          <w:rFonts w:ascii="Verdana" w:hAnsi="Verdana"/>
        </w:rPr>
      </w:pPr>
    </w:p>
    <w:p w14:paraId="1468C46D" w14:textId="371240D8" w:rsidR="00C15139" w:rsidRPr="0024624F" w:rsidRDefault="001F5748" w:rsidP="00C15139">
      <w:pPr>
        <w:spacing w:after="0"/>
        <w:rPr>
          <w:rFonts w:ascii="Verdana" w:hAnsi="Verdana"/>
        </w:rPr>
      </w:pPr>
      <w:r>
        <w:rPr>
          <w:rFonts w:ascii="Verdana" w:eastAsia="Calibri" w:hAnsi="Verdana" w:cs="Arial"/>
          <w:noProof/>
          <w:lang w:val="es-ES" w:eastAsia="es-ES"/>
        </w:rPr>
        <w:lastRenderedPageBreak/>
        <w:drawing>
          <wp:anchor distT="0" distB="0" distL="114300" distR="114300" simplePos="0" relativeHeight="251658240" behindDoc="0" locked="0" layoutInCell="1" allowOverlap="1" wp14:anchorId="44BFD9E8" wp14:editId="183CAA98">
            <wp:simplePos x="0" y="0"/>
            <wp:positionH relativeFrom="column">
              <wp:posOffset>3151505</wp:posOffset>
            </wp:positionH>
            <wp:positionV relativeFrom="paragraph">
              <wp:posOffset>41027</wp:posOffset>
            </wp:positionV>
            <wp:extent cx="2736850" cy="819150"/>
            <wp:effectExtent l="0" t="0" r="635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736850" cy="819150"/>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18 Diciembre 2025</w:t>
      </w:r>
      <w:r w:rsidR="00C15139" w:rsidRPr="000E2B93">
        <w:rPr>
          <w:rFonts w:ascii="Verdana" w:hAnsi="Verdana"/>
        </w:rPr>
        <w:tab/>
      </w:r>
      <w:r w:rsidR="00C15139" w:rsidRPr="000E2B93">
        <w:rPr>
          <w:rFonts w:ascii="Verdana" w:hAnsi="Verdana"/>
        </w:rPr>
        <w:br/>
      </w:r>
      <w:r w:rsidR="00C15139" w:rsidRPr="0024624F">
        <w:rPr>
          <w:rFonts w:ascii="Verdana" w:hAnsi="Verdana"/>
        </w:rPr>
        <w:tab/>
      </w:r>
    </w:p>
    <w:p w14:paraId="131EDF44" w14:textId="51E77221" w:rsidR="006B68FE" w:rsidRDefault="006B68FE" w:rsidP="006B68FE">
      <w:pPr>
        <w:spacing w:after="0" w:line="240" w:lineRule="auto"/>
        <w:jc w:val="both"/>
        <w:rPr>
          <w:rFonts w:ascii="Verdana" w:eastAsia="Calibri" w:hAnsi="Verdana" w:cs="Arial"/>
          <w:lang w:val="es-ES" w:eastAsia="es-ES"/>
        </w:rPr>
      </w:pPr>
      <w:bookmarkStart w:id="1" w:name="_Hlk208479311"/>
      <w:r>
        <w:rPr>
          <w:rFonts w:ascii="Verdana" w:eastAsia="Calibri" w:hAnsi="Verdana" w:cs="Arial"/>
          <w:lang w:val="es-ES" w:eastAsia="es-ES"/>
        </w:rPr>
        <w:t>Señor</w:t>
      </w:r>
    </w:p>
    <w:p w14:paraId="2267E72E" w14:textId="77777777" w:rsidR="006B68FE" w:rsidRDefault="006B68FE" w:rsidP="006B68FE">
      <w:pPr>
        <w:spacing w:after="0" w:line="240" w:lineRule="auto"/>
        <w:rPr>
          <w:rFonts w:ascii="Verdana" w:eastAsia="Calibri" w:hAnsi="Verdana" w:cs="Arial"/>
          <w:b/>
          <w:lang w:val="es-ES" w:eastAsia="es-ES"/>
        </w:rPr>
      </w:pPr>
      <w:r>
        <w:rPr>
          <w:rFonts w:ascii="Verdana" w:eastAsia="Calibri" w:hAnsi="Verdana" w:cs="Arial"/>
          <w:b/>
          <w:lang w:val="es-ES" w:eastAsia="es-ES"/>
        </w:rPr>
        <w:t>Wilmer Steven Romero Cespedes</w:t>
      </w:r>
    </w:p>
    <w:p w14:paraId="071CA163" w14:textId="77777777" w:rsidR="006B68FE" w:rsidRPr="00C53B42" w:rsidRDefault="00D43918" w:rsidP="006B68FE">
      <w:pPr>
        <w:spacing w:after="0" w:line="240" w:lineRule="auto"/>
        <w:rPr>
          <w:rFonts w:ascii="Verdana" w:hAnsi="Verdana" w:cs="ArialMT"/>
        </w:rPr>
      </w:pPr>
      <w:hyperlink r:id="rId11" w:history="1">
        <w:r w:rsidR="006B68FE" w:rsidRPr="00B248BE">
          <w:rPr>
            <w:rStyle w:val="Hipervnculo"/>
            <w:rFonts w:ascii="Verdana" w:hAnsi="Verdana" w:cs="ArialMT"/>
          </w:rPr>
          <w:t>stevenromero.juridico@hotmail.com</w:t>
        </w:r>
      </w:hyperlink>
      <w:r w:rsidR="006B68FE">
        <w:rPr>
          <w:rFonts w:ascii="Verdana" w:hAnsi="Verdana" w:cs="ArialMT"/>
        </w:rPr>
        <w:t xml:space="preserve"> </w:t>
      </w:r>
      <w:r w:rsidR="006B68FE" w:rsidRPr="00302D02">
        <w:rPr>
          <w:rFonts w:ascii="Verdana" w:hAnsi="Verdana" w:cs="ArialMT"/>
        </w:rPr>
        <w:t xml:space="preserve">   </w:t>
      </w:r>
    </w:p>
    <w:bookmarkEnd w:id="1"/>
    <w:p w14:paraId="706805FD" w14:textId="77777777" w:rsidR="006B68FE" w:rsidRPr="00C53B42" w:rsidRDefault="006B68FE" w:rsidP="006B68FE">
      <w:pPr>
        <w:spacing w:after="0" w:line="240" w:lineRule="auto"/>
        <w:rPr>
          <w:rFonts w:ascii="Verdana" w:hAnsi="Verdana" w:cs="ArialMT"/>
        </w:rPr>
      </w:pPr>
      <w:r>
        <w:rPr>
          <w:rFonts w:ascii="Verdana" w:eastAsia="Calibri" w:hAnsi="Verdana" w:cs="Arial"/>
          <w:lang w:val="es-ES" w:eastAsia="es-ES"/>
        </w:rPr>
        <w:t>Villavicencio, Meta</w:t>
      </w:r>
    </w:p>
    <w:p w14:paraId="61BAAF7F" w14:textId="77777777" w:rsidR="006B68FE" w:rsidRPr="00C53B42" w:rsidRDefault="006B68FE" w:rsidP="006B68FE">
      <w:pPr>
        <w:spacing w:after="0" w:line="240" w:lineRule="auto"/>
        <w:rPr>
          <w:rFonts w:ascii="Verdana" w:eastAsia="Calibri" w:hAnsi="Verdana" w:cs="Arial"/>
          <w:b/>
          <w:bCs/>
          <w:color w:val="000000"/>
          <w:lang w:val="es-ES_tradnl" w:eastAsia="es-ES_tradnl"/>
        </w:rPr>
      </w:pPr>
    </w:p>
    <w:p w14:paraId="51EB8D40" w14:textId="77777777" w:rsidR="006B68FE" w:rsidRPr="001F3B3D" w:rsidRDefault="006B68FE" w:rsidP="006B68FE">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B68FE" w:rsidRPr="00C53B42" w14:paraId="3B978623" w14:textId="77777777" w:rsidTr="00753252">
        <w:trPr>
          <w:trHeight w:val="218"/>
        </w:trPr>
        <w:tc>
          <w:tcPr>
            <w:tcW w:w="2689" w:type="dxa"/>
          </w:tcPr>
          <w:p w14:paraId="5496C297" w14:textId="77777777" w:rsidR="006B68FE" w:rsidRPr="00C53B42" w:rsidRDefault="006B68FE" w:rsidP="00753252">
            <w:pPr>
              <w:jc w:val="both"/>
              <w:rPr>
                <w:rFonts w:ascii="Verdana" w:eastAsia="Calibri" w:hAnsi="Verdana" w:cs="Arial"/>
                <w:b/>
                <w:bCs/>
                <w:color w:val="7030A0"/>
                <w:lang w:val="es-ES_tradnl" w:eastAsia="es-ES_tradnl"/>
              </w:rPr>
            </w:pPr>
          </w:p>
        </w:tc>
        <w:tc>
          <w:tcPr>
            <w:tcW w:w="6100" w:type="dxa"/>
            <w:hideMark/>
          </w:tcPr>
          <w:p w14:paraId="36B3FBBD" w14:textId="77777777" w:rsidR="006B68FE" w:rsidRDefault="006B68FE" w:rsidP="00753252">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-1652</w:t>
            </w:r>
            <w:r w:rsidRPr="00C53B42">
              <w:rPr>
                <w:rFonts w:ascii="Verdana" w:eastAsia="Calibri" w:hAnsi="Verdana" w:cs="Arial"/>
                <w:b/>
                <w:bCs/>
                <w:lang w:val="es-ES" w:eastAsia="es-ES"/>
              </w:rPr>
              <w:t xml:space="preserve"> de 2025</w:t>
            </w:r>
          </w:p>
          <w:p w14:paraId="31CD562E" w14:textId="77777777" w:rsidR="006B68FE" w:rsidRPr="00C53B42" w:rsidRDefault="006B68FE" w:rsidP="00753252">
            <w:pPr>
              <w:jc w:val="both"/>
              <w:rPr>
                <w:rFonts w:ascii="Verdana" w:eastAsia="Calibri" w:hAnsi="Verdana" w:cs="Arial"/>
                <w:b/>
                <w:bCs/>
                <w:lang w:val="es-ES" w:eastAsia="es-ES"/>
              </w:rPr>
            </w:pPr>
          </w:p>
          <w:p w14:paraId="2D6FF85B" w14:textId="77777777" w:rsidR="006B68FE" w:rsidRPr="00C53B42" w:rsidRDefault="006B68FE" w:rsidP="00753252">
            <w:pPr>
              <w:jc w:val="both"/>
              <w:rPr>
                <w:rFonts w:ascii="Verdana" w:eastAsia="Calibri" w:hAnsi="Verdana" w:cs="Arial"/>
                <w:b/>
                <w:bCs/>
                <w:lang w:val="es-ES" w:eastAsia="es-ES"/>
              </w:rPr>
            </w:pPr>
          </w:p>
        </w:tc>
      </w:tr>
      <w:tr w:rsidR="006B68FE" w:rsidRPr="00C53B42" w14:paraId="3DAC395E" w14:textId="77777777" w:rsidTr="00753252">
        <w:trPr>
          <w:trHeight w:val="884"/>
        </w:trPr>
        <w:tc>
          <w:tcPr>
            <w:tcW w:w="2689" w:type="dxa"/>
            <w:hideMark/>
          </w:tcPr>
          <w:p w14:paraId="3F01C6B4" w14:textId="77777777" w:rsidR="006B68FE" w:rsidRPr="00C53B42" w:rsidRDefault="006B68FE" w:rsidP="00753252">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100" w:type="dxa"/>
            <w:hideMark/>
          </w:tcPr>
          <w:p w14:paraId="4230C700" w14:textId="77777777" w:rsidR="006B68FE" w:rsidRPr="00283CFD" w:rsidRDefault="006B68FE" w:rsidP="00753252">
            <w:pPr>
              <w:spacing w:line="276" w:lineRule="auto"/>
              <w:jc w:val="both"/>
              <w:rPr>
                <w:rFonts w:ascii="Verdana" w:eastAsia="Calibri" w:hAnsi="Verdana" w:cs="Arial"/>
                <w:color w:val="000000" w:themeColor="text1"/>
                <w:lang w:val="es-ES" w:eastAsia="es-ES"/>
              </w:rPr>
            </w:pPr>
            <w:r w:rsidRPr="008C0D28">
              <w:rPr>
                <w:rFonts w:ascii="Verdana" w:hAnsi="Verdana" w:cs="Arial"/>
                <w:bCs/>
                <w:color w:val="000000" w:themeColor="text1"/>
                <w:lang w:val="es-ES_tradnl"/>
              </w:rPr>
              <w:t xml:space="preserve">SUPERVISIÓN CONTRACTUAL – Concepto - Lineamientos / LEY 1474 DE 2011 – Supervisión contractual / </w:t>
            </w:r>
            <w:r w:rsidRPr="008C0D28">
              <w:rPr>
                <w:rFonts w:ascii="Verdana" w:eastAsia="Calibri" w:hAnsi="Verdana" w:cs="Arial"/>
                <w:lang w:val="es-ES" w:eastAsia="es-ES"/>
              </w:rPr>
              <w:t>VIGILANCIA DE LOS CONTRATOS ESTATALES – Marco jurídico – Obligación de la entidad – Objetivo / SUPERVISIÓN CONTRACTUAL - Responsabilidad</w:t>
            </w:r>
          </w:p>
          <w:p w14:paraId="644F1C25" w14:textId="77777777" w:rsidR="006B68FE" w:rsidRPr="00302D02" w:rsidRDefault="006B68FE" w:rsidP="00753252">
            <w:pPr>
              <w:jc w:val="both"/>
              <w:rPr>
                <w:rFonts w:ascii="Verdana" w:hAnsi="Verdana" w:cs="Arial"/>
                <w:bCs/>
                <w:color w:val="000000" w:themeColor="text1"/>
                <w:lang w:val="es-ES_tradnl"/>
              </w:rPr>
            </w:pPr>
          </w:p>
          <w:p w14:paraId="49F7ACC7" w14:textId="77777777" w:rsidR="006B68FE" w:rsidRPr="006A06BA" w:rsidRDefault="006B68FE" w:rsidP="00753252">
            <w:pPr>
              <w:jc w:val="both"/>
              <w:rPr>
                <w:rFonts w:ascii="Verdana" w:eastAsia="Calibri" w:hAnsi="Verdana" w:cs="Arial"/>
                <w:highlight w:val="yellow"/>
                <w:lang w:val="es-ES" w:eastAsia="es-ES"/>
              </w:rPr>
            </w:pPr>
          </w:p>
        </w:tc>
      </w:tr>
      <w:tr w:rsidR="006B68FE" w14:paraId="2C7AA2E7" w14:textId="77777777" w:rsidTr="00753252">
        <w:tc>
          <w:tcPr>
            <w:tcW w:w="2689" w:type="dxa"/>
            <w:hideMark/>
          </w:tcPr>
          <w:p w14:paraId="13219448" w14:textId="77777777" w:rsidR="006B68FE" w:rsidRPr="00C53B42" w:rsidRDefault="006B68FE" w:rsidP="00753252">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100" w:type="dxa"/>
          </w:tcPr>
          <w:p w14:paraId="0A424C6D" w14:textId="77777777" w:rsidR="006B68FE" w:rsidRPr="00C53B42" w:rsidRDefault="006B68FE" w:rsidP="00753252">
            <w:pPr>
              <w:jc w:val="both"/>
              <w:rPr>
                <w:rFonts w:ascii="Verdana" w:eastAsia="Calibri" w:hAnsi="Verdana" w:cs="Arial"/>
                <w:lang w:val="es-ES_tradnl" w:eastAsia="es-ES_tradnl"/>
              </w:rPr>
            </w:pPr>
            <w:r w:rsidRPr="00C53B42">
              <w:rPr>
                <w:rFonts w:ascii="Verdana" w:eastAsia="Calibri" w:hAnsi="Verdana" w:cs="Arial"/>
                <w:lang w:val="es-ES_tradnl" w:eastAsia="es-ES_tradnl"/>
              </w:rPr>
              <w:t xml:space="preserve">Respuesta a consulta con radicado No. </w:t>
            </w:r>
            <w:r w:rsidRPr="004F1F8D">
              <w:rPr>
                <w:rFonts w:ascii="Verdana" w:eastAsia="Calibri" w:hAnsi="Verdana" w:cs="Arial"/>
                <w:lang w:val="es-ES_tradnl" w:eastAsia="es-ES_tradnl"/>
              </w:rPr>
              <w:t>1_2025_11_10_012644</w:t>
            </w:r>
          </w:p>
        </w:tc>
      </w:tr>
    </w:tbl>
    <w:p w14:paraId="77C83F52" w14:textId="77777777" w:rsidR="006B68FE" w:rsidRDefault="006B68FE" w:rsidP="006B68FE">
      <w:pPr>
        <w:spacing w:after="0" w:line="240" w:lineRule="auto"/>
        <w:jc w:val="both"/>
        <w:rPr>
          <w:rFonts w:ascii="Verdana" w:eastAsia="Calibri" w:hAnsi="Verdana" w:cs="Arial"/>
          <w:color w:val="000000"/>
          <w:lang w:val="es-ES_tradnl" w:eastAsia="es-ES_tradnl"/>
        </w:rPr>
      </w:pPr>
    </w:p>
    <w:p w14:paraId="583230F6" w14:textId="77777777" w:rsidR="006B68FE" w:rsidRDefault="006B68FE" w:rsidP="006B68FE">
      <w:pPr>
        <w:spacing w:after="0" w:line="276" w:lineRule="auto"/>
        <w:jc w:val="both"/>
        <w:rPr>
          <w:rFonts w:ascii="Verdana" w:eastAsia="Calibri" w:hAnsi="Verdana" w:cs="Arial"/>
          <w:color w:val="000000"/>
          <w:lang w:val="es-ES_tradnl" w:eastAsia="es-ES_tradnl"/>
        </w:rPr>
      </w:pPr>
    </w:p>
    <w:p w14:paraId="188D3718" w14:textId="77777777" w:rsidR="006B68FE" w:rsidRDefault="006B68FE" w:rsidP="006B68FE">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Romero,</w:t>
      </w:r>
    </w:p>
    <w:p w14:paraId="7C875281" w14:textId="77777777" w:rsidR="006B68FE" w:rsidRDefault="006B68FE" w:rsidP="006B68FE">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E75274E" w14:textId="77777777" w:rsidR="006B68FE" w:rsidRDefault="006B68FE" w:rsidP="006B68FE">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con fecha 10 de noviembre de 2025, en la cual manifiesta lo siguiente: </w:t>
      </w:r>
    </w:p>
    <w:p w14:paraId="1F71D2B3" w14:textId="77777777" w:rsidR="006B68FE" w:rsidRDefault="006B68FE" w:rsidP="006B68F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CACDE23" w14:textId="77777777" w:rsidR="006B68FE" w:rsidRPr="00BF30E7" w:rsidRDefault="006B68FE" w:rsidP="006B68FE">
      <w:pPr>
        <w:autoSpaceDE w:val="0"/>
        <w:autoSpaceDN w:val="0"/>
        <w:adjustRightInd w:val="0"/>
        <w:spacing w:after="0" w:line="240" w:lineRule="auto"/>
        <w:ind w:left="709" w:right="709"/>
        <w:jc w:val="both"/>
        <w:rPr>
          <w:rFonts w:ascii="Verdana" w:hAnsi="Verdana" w:cs="ArialMT"/>
          <w:sz w:val="20"/>
          <w:szCs w:val="20"/>
        </w:rPr>
      </w:pPr>
      <w:r>
        <w:rPr>
          <w:rFonts w:ascii="Verdana" w:hAnsi="Verdana" w:cs="ArialMT"/>
          <w:sz w:val="20"/>
          <w:szCs w:val="20"/>
        </w:rPr>
        <w:t>“cordial saludo, por medio de la presente solicito concepto en lo referente a la responsabilidad que tiene un supervisor de un contrato estatal el cual fue designado en la etapa de liquidación de un contrato, y si este es responsable de lo que no conoció en ejecución, además de que el anterior supervisor vigilo un contrato el cual entregaron un producto (consultoría) que a la fecha no fue a satisfacción pero se recibió y si el anterior es responsable como el actual supervisor en la etapa de liquidación y el nuevo supervisor es garante?”</w:t>
      </w:r>
    </w:p>
    <w:p w14:paraId="3ED2DF00" w14:textId="77777777" w:rsidR="006B68FE" w:rsidRPr="00924340" w:rsidRDefault="006B68FE" w:rsidP="006B68FE">
      <w:pPr>
        <w:autoSpaceDE w:val="0"/>
        <w:autoSpaceDN w:val="0"/>
        <w:adjustRightInd w:val="0"/>
        <w:spacing w:after="0" w:line="276" w:lineRule="auto"/>
        <w:ind w:left="709" w:right="709"/>
        <w:jc w:val="both"/>
        <w:rPr>
          <w:rFonts w:ascii="Verdana" w:eastAsia="Century Gothic" w:hAnsi="Verdana" w:cs="Century Gothic"/>
          <w:b/>
        </w:rPr>
      </w:pPr>
    </w:p>
    <w:p w14:paraId="3AC1C743" w14:textId="77777777" w:rsidR="006B68FE" w:rsidRDefault="006B68FE" w:rsidP="006B68FE">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w:t>
      </w:r>
      <w:r>
        <w:rPr>
          <w:rFonts w:ascii="Verdana" w:eastAsia="Calibri" w:hAnsi="Verdana" w:cs="Arial"/>
          <w:color w:val="000000"/>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37061B06" w14:textId="77777777" w:rsidR="006B68FE" w:rsidRDefault="006B68FE" w:rsidP="006B68FE">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00478C2D" w14:textId="77777777" w:rsidR="006B68FE" w:rsidRPr="009B0144" w:rsidRDefault="006B68FE" w:rsidP="006B68FE">
      <w:pPr>
        <w:spacing w:after="0" w:line="276" w:lineRule="auto"/>
        <w:ind w:firstLine="709"/>
        <w:jc w:val="both"/>
        <w:rPr>
          <w:rFonts w:ascii="Verdana" w:eastAsia="Calibri" w:hAnsi="Verdana" w:cs="Arial"/>
          <w:lang w:val="es-ES" w:eastAsia="es-ES"/>
        </w:rPr>
      </w:pPr>
    </w:p>
    <w:p w14:paraId="53D94967" w14:textId="77777777" w:rsidR="006B68FE" w:rsidRDefault="006B68FE" w:rsidP="006B68F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51E1D0F5" w14:textId="77777777" w:rsidR="006B68FE" w:rsidRDefault="006B68FE" w:rsidP="006B68FE">
      <w:pPr>
        <w:tabs>
          <w:tab w:val="left" w:pos="426"/>
        </w:tabs>
        <w:spacing w:after="0" w:line="276" w:lineRule="auto"/>
        <w:jc w:val="both"/>
        <w:rPr>
          <w:rFonts w:ascii="Verdana" w:eastAsia="Century Gothic" w:hAnsi="Verdana" w:cs="Century Gothic"/>
          <w:lang w:val="es-ES"/>
        </w:rPr>
      </w:pPr>
    </w:p>
    <w:p w14:paraId="5F1A1561" w14:textId="6C5C3C7D" w:rsidR="006B68FE" w:rsidRDefault="006B68FE" w:rsidP="006B68FE">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¿Cuál es la responsabilidad </w:t>
      </w:r>
      <w:r w:rsidRPr="225EF6C4">
        <w:rPr>
          <w:rFonts w:ascii="Verdana" w:eastAsia="Century Gothic" w:hAnsi="Verdana" w:cs="Century Gothic"/>
        </w:rPr>
        <w:t>de</w:t>
      </w:r>
      <w:r w:rsidR="213957AE" w:rsidRPr="225EF6C4">
        <w:rPr>
          <w:rFonts w:ascii="Verdana" w:eastAsia="Century Gothic" w:hAnsi="Verdana" w:cs="Century Gothic"/>
        </w:rPr>
        <w:t>l servidor</w:t>
      </w:r>
      <w:r>
        <w:rPr>
          <w:rFonts w:ascii="Verdana" w:eastAsia="Century Gothic" w:hAnsi="Verdana" w:cs="Century Gothic"/>
        </w:rPr>
        <w:t xml:space="preserve"> encargad</w:t>
      </w:r>
      <w:r w:rsidR="444501FC" w:rsidRPr="225EF6C4">
        <w:rPr>
          <w:rFonts w:ascii="Verdana" w:eastAsia="Century Gothic" w:hAnsi="Verdana" w:cs="Century Gothic"/>
        </w:rPr>
        <w:t>o</w:t>
      </w:r>
      <w:r>
        <w:rPr>
          <w:rFonts w:ascii="Verdana" w:eastAsia="Century Gothic" w:hAnsi="Verdana" w:cs="Century Gothic"/>
        </w:rPr>
        <w:t xml:space="preserve"> de la supervisión de un contrato estatal?</w:t>
      </w:r>
    </w:p>
    <w:p w14:paraId="06B303EE" w14:textId="77777777" w:rsidR="006B68FE" w:rsidRDefault="006B68FE" w:rsidP="006B68FE">
      <w:pPr>
        <w:spacing w:after="0" w:line="276" w:lineRule="auto"/>
        <w:jc w:val="both"/>
        <w:rPr>
          <w:rFonts w:ascii="Verdana" w:eastAsia="Century Gothic" w:hAnsi="Verdana" w:cs="Century Gothic"/>
        </w:rPr>
      </w:pPr>
    </w:p>
    <w:p w14:paraId="1CAA8533" w14:textId="77777777" w:rsidR="006B68FE" w:rsidRDefault="006B68FE" w:rsidP="006B68F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54C4B0CB" w14:textId="77777777" w:rsidR="006B68FE" w:rsidRDefault="006B68FE" w:rsidP="006B68F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B68FE" w:rsidRPr="001B5827" w14:paraId="309D0C3C" w14:textId="77777777" w:rsidTr="00753252">
        <w:tc>
          <w:tcPr>
            <w:tcW w:w="8828" w:type="dxa"/>
            <w:tcBorders>
              <w:top w:val="dotted" w:sz="4" w:space="0" w:color="auto"/>
              <w:left w:val="dotted" w:sz="4" w:space="0" w:color="auto"/>
              <w:bottom w:val="dotted" w:sz="4" w:space="0" w:color="auto"/>
              <w:right w:val="dotted" w:sz="4" w:space="0" w:color="auto"/>
            </w:tcBorders>
          </w:tcPr>
          <w:p w14:paraId="18BF4F97" w14:textId="77777777" w:rsidR="006B68FE" w:rsidRDefault="006B68FE" w:rsidP="00753252">
            <w:pPr>
              <w:spacing w:after="120" w:line="276" w:lineRule="auto"/>
              <w:jc w:val="both"/>
              <w:rPr>
                <w:rFonts w:ascii="Verdana" w:hAnsi="Verdana" w:cs="Arial"/>
                <w:lang w:val="es-ES_tradnl" w:eastAsia="es-ES"/>
              </w:rPr>
            </w:pPr>
            <w:r>
              <w:rPr>
                <w:rFonts w:ascii="Verdana" w:hAnsi="Verdana" w:cs="Arial"/>
                <w:color w:val="000000"/>
              </w:rPr>
              <w:t>La</w:t>
            </w:r>
            <w:r w:rsidRPr="00B7290B">
              <w:rPr>
                <w:rFonts w:ascii="Verdana" w:hAnsi="Verdana" w:cs="Arial"/>
                <w:color w:val="000000"/>
              </w:rPr>
              <w:t xml:space="preserve"> normativa colombiana, la Ley 80 de 1993, las Leyes 1150 de 2007 y 1474 de 2011, establece que las entidades estatales son responsables de garantizar el cumplimiento de los contratos públicos, ejerciendo una vigilancia continua sobre su ejecución. Esta supervisión debe ser realizada por funcionarios públicos de la entidad, quienes pueden recibir apoyo de contratistas o personal especializado para tareas técnicas, pero siempre bajo su dirección y control.</w:t>
            </w:r>
            <w:r w:rsidRPr="006E7982">
              <w:rPr>
                <w:rFonts w:ascii="Verdana" w:hAnsi="Verdana" w:cs="Arial"/>
                <w:lang w:val="es-ES_tradnl" w:eastAsia="es-ES"/>
              </w:rPr>
              <w:t xml:space="preserve"> </w:t>
            </w:r>
          </w:p>
          <w:p w14:paraId="7E5D0049" w14:textId="77777777" w:rsidR="006B68FE" w:rsidRPr="00CD4777" w:rsidRDefault="006B68FE" w:rsidP="00753252">
            <w:pPr>
              <w:spacing w:after="120" w:line="276" w:lineRule="auto"/>
              <w:ind w:firstLine="709"/>
              <w:jc w:val="both"/>
              <w:rPr>
                <w:rFonts w:ascii="Verdana" w:eastAsia="Times New Roman" w:hAnsi="Verdana" w:cs="Arial"/>
                <w:bCs/>
                <w:lang w:val="es-ES"/>
              </w:rPr>
            </w:pPr>
            <w:r>
              <w:rPr>
                <w:rFonts w:ascii="Verdana" w:eastAsia="Times New Roman" w:hAnsi="Verdana" w:cs="Arial"/>
                <w:bCs/>
                <w:lang w:val="es-ES"/>
              </w:rPr>
              <w:t>D</w:t>
            </w:r>
            <w:r w:rsidRPr="00B7290B">
              <w:rPr>
                <w:rFonts w:ascii="Verdana" w:eastAsia="Times New Roman" w:hAnsi="Verdana" w:cs="Arial"/>
                <w:bCs/>
                <w:lang w:val="es-ES"/>
              </w:rPr>
              <w:t xml:space="preserve">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ii) no requiere conocimientos tan especializados como la interventoría; iii) se ejerce </w:t>
            </w:r>
            <w:r w:rsidRPr="00B7290B">
              <w:rPr>
                <w:rFonts w:ascii="Verdana" w:eastAsia="Times New Roman" w:hAnsi="Verdana" w:cs="Arial"/>
                <w:bCs/>
                <w:lang w:val="es-ES"/>
              </w:rPr>
              <w:lastRenderedPageBreak/>
              <w:t>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contrato vigilado.</w:t>
            </w:r>
          </w:p>
          <w:p w14:paraId="50E0E5B5" w14:textId="77777777" w:rsidR="006B68FE" w:rsidRPr="004202F6" w:rsidRDefault="006B68FE" w:rsidP="00753252">
            <w:pPr>
              <w:pStyle w:val="Sinespaciado"/>
              <w:spacing w:after="120" w:line="276" w:lineRule="auto"/>
              <w:ind w:firstLine="709"/>
              <w:jc w:val="both"/>
              <w:rPr>
                <w:rFonts w:ascii="Verdana" w:hAnsi="Verdana" w:cs="Arial"/>
                <w:sz w:val="22"/>
              </w:rPr>
            </w:pPr>
            <w:r w:rsidRPr="00CD4777">
              <w:rPr>
                <w:rFonts w:ascii="Verdana" w:eastAsia="Times New Roman" w:hAnsi="Verdana" w:cs="Arial"/>
                <w:sz w:val="22"/>
                <w:shd w:val="clear" w:color="auto" w:fill="FFFFFF"/>
                <w:lang w:val="es-ES"/>
              </w:rPr>
              <w:t xml:space="preserve">Así mismo, </w:t>
            </w:r>
            <w:r>
              <w:rPr>
                <w:rFonts w:ascii="Verdana" w:eastAsia="Times New Roman" w:hAnsi="Verdana" w:cs="Arial"/>
                <w:sz w:val="22"/>
                <w:shd w:val="clear" w:color="auto" w:fill="FFFFFF"/>
                <w:lang w:val="es-ES"/>
              </w:rPr>
              <w:t>esta</w:t>
            </w:r>
            <w:r w:rsidRPr="00CD4777">
              <w:rPr>
                <w:rFonts w:ascii="Verdana" w:eastAsia="Times New Roman" w:hAnsi="Verdana" w:cs="Arial"/>
                <w:sz w:val="22"/>
                <w:shd w:val="clear" w:color="auto" w:fill="FFFFFF"/>
                <w:lang w:val="es-ES"/>
              </w:rPr>
              <w:t xml:space="preserve"> Agencia</w:t>
            </w:r>
            <w:r w:rsidRPr="00CD4777">
              <w:rPr>
                <w:rFonts w:ascii="Verdana" w:eastAsia="Times New Roman" w:hAnsi="Verdana" w:cs="Arial"/>
                <w:color w:val="000000"/>
                <w:sz w:val="22"/>
                <w:lang w:val="es-ES_tradnl" w:eastAsia="es-ES_tradnl"/>
              </w:rPr>
              <w:t xml:space="preserve"> en el ejercicio de sus funciones, expidió la “Guía para el ejercicio de las funciones de Supervisión e Interventoría de los contratos</w:t>
            </w:r>
            <w:r>
              <w:rPr>
                <w:rFonts w:ascii="Verdana" w:eastAsia="Times New Roman" w:hAnsi="Verdana" w:cs="Arial"/>
                <w:color w:val="000000"/>
                <w:sz w:val="22"/>
                <w:lang w:val="es-ES_tradnl" w:eastAsia="es-ES_tradnl"/>
              </w:rPr>
              <w:t xml:space="preserve"> suscritos por las Entidades Estatales</w:t>
            </w:r>
            <w:r w:rsidRPr="00CD4777">
              <w:rPr>
                <w:rFonts w:ascii="Verdana" w:eastAsia="Times New Roman" w:hAnsi="Verdana" w:cs="Arial"/>
                <w:color w:val="000000"/>
                <w:sz w:val="22"/>
                <w:lang w:val="es-ES_tradnl" w:eastAsia="es-ES_tradnl"/>
              </w:rPr>
              <w:t>”, la cual constituye una herramienta pedagógica en la que se imparten lineamientos de buenas prácticas para el ejercicio de la supervisión e interventoría de los contratos estatales</w:t>
            </w:r>
            <w:r>
              <w:rPr>
                <w:rFonts w:ascii="Verdana" w:eastAsia="Times New Roman" w:hAnsi="Verdana" w:cs="Arial"/>
                <w:color w:val="000000"/>
                <w:sz w:val="22"/>
                <w:lang w:val="es-ES_tradnl" w:eastAsia="es-ES_tradnl"/>
              </w:rPr>
              <w:t>.</w:t>
            </w:r>
            <w:r w:rsidRPr="004202F6">
              <w:rPr>
                <w:rFonts w:ascii="Verdana" w:eastAsia="Calibri" w:hAnsi="Verdana" w:cs="Arial"/>
                <w:bCs/>
                <w:sz w:val="22"/>
              </w:rPr>
              <w:t xml:space="preserve">En esta Guía se explica el </w:t>
            </w:r>
            <w:r w:rsidRPr="004202F6">
              <w:rPr>
                <w:rFonts w:ascii="Verdana" w:hAnsi="Verdana" w:cs="Arial"/>
                <w:sz w:val="22"/>
              </w:rPr>
              <w:t xml:space="preserve">régimen de responsabilidad civil, penal, disciplinario y fiscal </w:t>
            </w:r>
            <w:r w:rsidRPr="004202F6">
              <w:rPr>
                <w:rFonts w:ascii="Verdana" w:eastAsia="Calibri" w:hAnsi="Verdana" w:cs="Arial"/>
                <w:bCs/>
                <w:sz w:val="22"/>
              </w:rPr>
              <w:t xml:space="preserve">al que se encuentran sujetos quienes ejerzan las funciones de supervisión </w:t>
            </w:r>
            <w:r w:rsidRPr="004202F6">
              <w:rPr>
                <w:rFonts w:ascii="Verdana" w:hAnsi="Verdana" w:cs="Arial"/>
                <w:sz w:val="22"/>
              </w:rPr>
              <w:t xml:space="preserve">en virtud de su condición de servidor público, y se aclara que los servidores públicos que intervienen en la celebración, ejecución y liquidación de contratos son responsables por sus actuaciones y omisiones. Por lo que, responden civil, penal, fiscal y disciplinariamente por las faltas que cometan en el ejercicio de sus funciones. </w:t>
            </w:r>
          </w:p>
          <w:p w14:paraId="5ED92DE3" w14:textId="77777777" w:rsidR="006B68FE" w:rsidRPr="004202F6" w:rsidRDefault="006B68FE" w:rsidP="00753252">
            <w:pPr>
              <w:pStyle w:val="Sinespaciado"/>
              <w:spacing w:after="120" w:line="276" w:lineRule="auto"/>
              <w:ind w:firstLine="709"/>
              <w:jc w:val="both"/>
              <w:rPr>
                <w:rFonts w:ascii="Verdana" w:hAnsi="Verdana" w:cs="Arial"/>
                <w:sz w:val="22"/>
              </w:rPr>
            </w:pPr>
            <w:r w:rsidRPr="004202F6">
              <w:rPr>
                <w:rFonts w:ascii="Verdana" w:hAnsi="Verdana" w:cs="Arial"/>
                <w:sz w:val="22"/>
              </w:rPr>
              <w:t xml:space="preserve">Así, en cuanto a la </w:t>
            </w:r>
            <w:r w:rsidRPr="004202F6">
              <w:rPr>
                <w:rFonts w:ascii="Verdana" w:hAnsi="Verdana" w:cs="Arial"/>
                <w:i/>
                <w:iCs/>
                <w:sz w:val="22"/>
              </w:rPr>
              <w:t xml:space="preserve">responsabilidad civil </w:t>
            </w:r>
            <w:r w:rsidRPr="004202F6">
              <w:rPr>
                <w:rFonts w:ascii="Verdana" w:hAnsi="Verdana" w:cs="Arial"/>
                <w:sz w:val="22"/>
              </w:rPr>
              <w:t>en virtud del Artículo 2 de la Ley 678 de 2001, los supervisores deben responder a través del llamamiento en garantía o la acción de repetición cuando con ocasión de sus actuaciones y omisiones hayan causado daño, y deberán indemnizar dichos daño</w:t>
            </w:r>
            <w:r>
              <w:rPr>
                <w:rFonts w:ascii="Verdana" w:hAnsi="Verdana" w:cs="Arial"/>
                <w:sz w:val="22"/>
              </w:rPr>
              <w:t>s</w:t>
            </w:r>
            <w:r w:rsidRPr="004202F6">
              <w:rPr>
                <w:rFonts w:ascii="Verdana" w:hAnsi="Verdana" w:cs="Arial"/>
                <w:sz w:val="22"/>
              </w:rPr>
              <w:t xml:space="preserve">. Además, los supervisores cuando no informan oportunamente a la Entidad Estatal de un posible incumplimiento, pueden ser considerados solidariamente responsables de los perjuicios que se ocasionen con el incumplimiento parcial o total de las obligaciones por parte del contratista vigilado. Para que exista la responsabilidad civil, es necesario que la actuación del supervisor haya sido gravemente culposa o dolosa. </w:t>
            </w:r>
          </w:p>
          <w:p w14:paraId="4CC25533" w14:textId="77777777" w:rsidR="006B68FE" w:rsidRDefault="006B68FE" w:rsidP="00753252">
            <w:pPr>
              <w:pStyle w:val="Sinespaciado"/>
              <w:spacing w:after="120" w:line="276" w:lineRule="auto"/>
              <w:ind w:firstLine="709"/>
              <w:jc w:val="both"/>
              <w:rPr>
                <w:rFonts w:ascii="Verdana" w:hAnsi="Verdana" w:cs="Open Sans"/>
                <w:sz w:val="22"/>
              </w:rPr>
            </w:pPr>
            <w:r w:rsidRPr="004202F6">
              <w:rPr>
                <w:rFonts w:ascii="Verdana" w:hAnsi="Verdana" w:cs="Arial"/>
                <w:sz w:val="22"/>
              </w:rPr>
              <w:t xml:space="preserve">En relación con la </w:t>
            </w:r>
            <w:r w:rsidRPr="004202F6">
              <w:rPr>
                <w:rFonts w:ascii="Verdana" w:hAnsi="Verdana" w:cs="Arial"/>
                <w:i/>
                <w:iCs/>
                <w:sz w:val="22"/>
              </w:rPr>
              <w:t xml:space="preserve">responsabilidad fiscal, </w:t>
            </w:r>
            <w:r w:rsidRPr="004202F6">
              <w:rPr>
                <w:rFonts w:ascii="Verdana" w:hAnsi="Verdana" w:cs="Arial"/>
                <w:sz w:val="22"/>
              </w:rPr>
              <w:t>esta es imputable a los supervisores como servidores públicos “</w:t>
            </w:r>
            <w:r w:rsidRPr="004202F6">
              <w:rPr>
                <w:rFonts w:ascii="Verdana" w:hAnsi="Verdana" w:cs="Open Sans"/>
                <w:sz w:val="22"/>
              </w:rPr>
              <w:t>cuando en el ejercicio de la gestión fiscal o con ocasión de ésta, causen por acción u omisión y en forma dolosa o culposa un daño al patrimonio del Estado.” Así, los supervisores pueden ser responsables fiscales cuando el incumplimiento de sus funciones de vigilancia y control ocasiona un detrimento patrimonial a la Entidad Estatal</w:t>
            </w:r>
            <w:r>
              <w:rPr>
                <w:rFonts w:ascii="Verdana" w:hAnsi="Verdana" w:cs="Open Sans"/>
                <w:sz w:val="22"/>
              </w:rPr>
              <w:t>.</w:t>
            </w:r>
          </w:p>
          <w:p w14:paraId="564B6968" w14:textId="77777777" w:rsidR="006B68FE" w:rsidRDefault="006B68FE" w:rsidP="00753252">
            <w:pPr>
              <w:pStyle w:val="Sinespaciado"/>
              <w:spacing w:after="120" w:line="276" w:lineRule="auto"/>
              <w:ind w:firstLine="709"/>
              <w:jc w:val="both"/>
              <w:rPr>
                <w:rFonts w:ascii="Verdana" w:hAnsi="Verdana" w:cs="Open Sans"/>
                <w:sz w:val="22"/>
              </w:rPr>
            </w:pPr>
            <w:r>
              <w:rPr>
                <w:rFonts w:ascii="Verdana" w:hAnsi="Verdana" w:cs="Open Sans"/>
                <w:sz w:val="22"/>
              </w:rPr>
              <w:t xml:space="preserve"> Adicionalmente, en la Guía de la Agencia se resalta que:</w:t>
            </w:r>
          </w:p>
          <w:p w14:paraId="2617997E" w14:textId="77777777" w:rsidR="006B68FE" w:rsidRPr="008C0D28" w:rsidRDefault="006B68FE" w:rsidP="00753252">
            <w:pPr>
              <w:pStyle w:val="Sinespaciado"/>
              <w:spacing w:after="120" w:line="276" w:lineRule="auto"/>
              <w:ind w:left="709" w:right="758"/>
              <w:jc w:val="both"/>
              <w:rPr>
                <w:rFonts w:ascii="Verdana" w:hAnsi="Verdana" w:cs="Open Sans"/>
                <w:sz w:val="20"/>
                <w:szCs w:val="20"/>
              </w:rPr>
            </w:pPr>
            <w:r w:rsidRPr="008C0D28">
              <w:rPr>
                <w:rFonts w:ascii="Verdana" w:hAnsi="Verdana"/>
                <w:sz w:val="20"/>
                <w:szCs w:val="20"/>
              </w:rPr>
              <w:lastRenderedPageBreak/>
              <w:t>La responsabilidad fiscal de los supervisores o interventores se presume cuando: (i) hayan sido condenados penalmente o sancionados disciplinariamente por los mismos hechos a título de dolo y (ii) omitan el cumplimiento de las obligaciones propias de los contratos de interventoría o de las funciones de supervisión, de manera que no se establezca la correcta ejecución del objeto contractual o el cumplimiento de las condiciones de calidad y oportunidad ofrecidas por los contratistas.</w:t>
            </w:r>
          </w:p>
          <w:p w14:paraId="7751D3BF" w14:textId="2EAB2F05" w:rsidR="00A84B4C" w:rsidRDefault="006B68FE" w:rsidP="00A84B4C">
            <w:pPr>
              <w:pStyle w:val="Sinespaciado"/>
              <w:spacing w:after="120" w:line="276" w:lineRule="auto"/>
              <w:ind w:firstLine="708"/>
              <w:jc w:val="both"/>
              <w:rPr>
                <w:rFonts w:ascii="Verdana" w:hAnsi="Verdana" w:cs="Arial"/>
              </w:rPr>
            </w:pPr>
            <w:r>
              <w:rPr>
                <w:rFonts w:ascii="Verdana" w:hAnsi="Verdana" w:cs="Arial"/>
              </w:rPr>
              <w:tab/>
              <w:t xml:space="preserve">Por su parte la </w:t>
            </w:r>
            <w:r w:rsidRPr="004202F6">
              <w:rPr>
                <w:rFonts w:ascii="Verdana" w:hAnsi="Verdana" w:cs="Arial"/>
                <w:i/>
                <w:iCs/>
              </w:rPr>
              <w:t>responsabilidad penal</w:t>
            </w:r>
            <w:r>
              <w:rPr>
                <w:rFonts w:ascii="Verdana" w:hAnsi="Verdana" w:cs="Arial"/>
              </w:rPr>
              <w:t xml:space="preserve"> para los supervisores se configura cuando incurren en alguna conducta tipificada como delito contra la administración pública.</w:t>
            </w:r>
            <w:r w:rsidR="00A84B4C">
              <w:rPr>
                <w:rFonts w:ascii="Verdana" w:hAnsi="Verdana" w:cs="Arial"/>
              </w:rPr>
              <w:t xml:space="preserve"> Por último, la </w:t>
            </w:r>
            <w:r w:rsidR="00A84B4C" w:rsidRPr="004202F6">
              <w:rPr>
                <w:rFonts w:ascii="Verdana" w:hAnsi="Verdana" w:cs="Arial"/>
                <w:i/>
                <w:iCs/>
              </w:rPr>
              <w:t>responsabilidad disciplinaria</w:t>
            </w:r>
            <w:r w:rsidR="00A84B4C">
              <w:rPr>
                <w:rFonts w:ascii="Verdana" w:hAnsi="Verdana" w:cs="Arial"/>
                <w:i/>
                <w:iCs/>
              </w:rPr>
              <w:t xml:space="preserve"> </w:t>
            </w:r>
            <w:r w:rsidR="00A84B4C">
              <w:rPr>
                <w:rFonts w:ascii="Verdana" w:hAnsi="Verdana" w:cs="Arial"/>
              </w:rPr>
              <w:t>se configura para los supervisores cuando incurren en alguna de las faltas estipuladas en el Código Disciplinario Único (Ley 1952 de 2019). La falta disciplinaria se define como sigue:</w:t>
            </w:r>
          </w:p>
          <w:p w14:paraId="19354D09" w14:textId="77777777" w:rsidR="00A84B4C" w:rsidRPr="00FF61BD" w:rsidRDefault="00A84B4C" w:rsidP="00A84B4C">
            <w:pPr>
              <w:spacing w:before="100" w:beforeAutospacing="1" w:after="100" w:afterAutospacing="1" w:line="270" w:lineRule="atLeast"/>
              <w:ind w:left="709" w:right="900"/>
              <w:jc w:val="both"/>
              <w:rPr>
                <w:rFonts w:ascii="Verdana" w:eastAsia="Times New Roman" w:hAnsi="Verdana" w:cs="Open Sans"/>
                <w:color w:val="4B4949"/>
                <w:sz w:val="20"/>
                <w:szCs w:val="20"/>
                <w:lang w:eastAsia="es-CO"/>
              </w:rPr>
            </w:pPr>
            <w:r w:rsidRPr="00FF61BD">
              <w:rPr>
                <w:rFonts w:ascii="Verdana" w:eastAsia="Times New Roman" w:hAnsi="Verdana" w:cs="Open Sans"/>
                <w:b/>
                <w:bCs/>
                <w:sz w:val="20"/>
                <w:szCs w:val="20"/>
                <w:lang w:eastAsia="es-CO"/>
              </w:rPr>
              <w:t>ARTÍCULO 26. LA FALTA DISCIPLINARIA.</w:t>
            </w:r>
            <w:r w:rsidRPr="00FF61BD">
              <w:rPr>
                <w:rFonts w:ascii="Verdana" w:eastAsia="Times New Roman" w:hAnsi="Verdana" w:cs="Open Sans"/>
                <w:sz w:val="20"/>
                <w:szCs w:val="20"/>
                <w:lang w:eastAsia="es-CO"/>
              </w:rPr>
              <w:t> Constituye falta disciplinaria y, por lo tanto, da lugar a la imposición de la sanción disciplinaria correspondiente la incursión en cualquiera de las conductas previstas en este código que conlleven incumplimiento de deberes, extralimitación en el ejercicio de derechos y funciones, prohibiciones y violación del régimen de inhabilidades, incompatibilidades, impedimentos y confli</w:t>
            </w:r>
            <w:r w:rsidRPr="00A84B4C">
              <w:rPr>
                <w:rFonts w:ascii="Verdana" w:eastAsia="Times New Roman" w:hAnsi="Verdana" w:cs="Open Sans"/>
                <w:sz w:val="20"/>
                <w:szCs w:val="20"/>
                <w:lang w:eastAsia="es-CO"/>
              </w:rPr>
              <w:t>cto de intereses, sin estar amparado por cualquiera de las causales de exclusión de responsabilidad contempladas en esta ley.</w:t>
            </w:r>
            <w:hyperlink r:id="rId12" w:anchor="top" w:tooltip="Ir al inicio" w:history="1"/>
          </w:p>
          <w:p w14:paraId="4A2CB809" w14:textId="2CD9157B" w:rsidR="006B68FE" w:rsidRPr="001B5827" w:rsidRDefault="006B68FE" w:rsidP="00753252">
            <w:pPr>
              <w:widowControl w:val="0"/>
              <w:autoSpaceDE w:val="0"/>
              <w:autoSpaceDN w:val="0"/>
              <w:spacing w:line="276" w:lineRule="auto"/>
              <w:jc w:val="both"/>
              <w:rPr>
                <w:rFonts w:ascii="Verdana" w:hAnsi="Verdana"/>
              </w:rPr>
            </w:pPr>
          </w:p>
        </w:tc>
      </w:tr>
    </w:tbl>
    <w:p w14:paraId="13EB20E8" w14:textId="77777777" w:rsidR="006B68FE" w:rsidRDefault="006B68FE" w:rsidP="006B68FE">
      <w:pPr>
        <w:tabs>
          <w:tab w:val="left" w:pos="142"/>
          <w:tab w:val="left" w:pos="284"/>
        </w:tabs>
        <w:spacing w:after="0" w:line="276" w:lineRule="auto"/>
        <w:jc w:val="both"/>
        <w:rPr>
          <w:rFonts w:ascii="Verdana" w:eastAsia="Century Gothic" w:hAnsi="Verdana" w:cs="Century Gothic"/>
          <w:b/>
          <w:bCs/>
          <w:lang w:val="es-ES"/>
        </w:rPr>
      </w:pPr>
    </w:p>
    <w:p w14:paraId="3E5A2638" w14:textId="77777777" w:rsidR="006B68FE" w:rsidRPr="001B5827" w:rsidRDefault="006B68FE" w:rsidP="006B68F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B5827">
        <w:rPr>
          <w:rFonts w:ascii="Verdana" w:eastAsia="Century Gothic" w:hAnsi="Verdana" w:cs="Century Gothic"/>
          <w:b/>
          <w:bCs/>
        </w:rPr>
        <w:t>Razones de la respuesta:</w:t>
      </w:r>
    </w:p>
    <w:p w14:paraId="23790631" w14:textId="77777777" w:rsidR="006B68FE" w:rsidRPr="001B5827" w:rsidRDefault="006B68FE" w:rsidP="006B68FE">
      <w:pPr>
        <w:spacing w:after="0" w:line="276" w:lineRule="auto"/>
        <w:jc w:val="both"/>
        <w:rPr>
          <w:rFonts w:ascii="Verdana" w:eastAsia="Calibri" w:hAnsi="Verdana" w:cs="Arial"/>
          <w:lang w:val="es-ES"/>
        </w:rPr>
      </w:pPr>
    </w:p>
    <w:p w14:paraId="74EF4317" w14:textId="77777777" w:rsidR="006B68FE" w:rsidRDefault="006B68FE" w:rsidP="006B68FE">
      <w:pPr>
        <w:spacing w:after="0" w:line="276" w:lineRule="auto"/>
        <w:jc w:val="both"/>
        <w:rPr>
          <w:rFonts w:ascii="Verdana" w:eastAsia="Calibri" w:hAnsi="Verdana" w:cs="Arial"/>
          <w:lang w:val="es-ES"/>
        </w:rPr>
      </w:pPr>
      <w:r w:rsidRPr="001B5827">
        <w:rPr>
          <w:rFonts w:ascii="Verdana" w:eastAsia="Calibri" w:hAnsi="Verdana" w:cs="Arial"/>
          <w:lang w:val="es-ES"/>
        </w:rPr>
        <w:t xml:space="preserve">Lo anterior se sustenta en las siguientes consideraciones: </w:t>
      </w:r>
    </w:p>
    <w:p w14:paraId="19EDB987" w14:textId="77777777" w:rsidR="006B68FE" w:rsidRDefault="006B68FE" w:rsidP="006B68FE">
      <w:pPr>
        <w:spacing w:after="0" w:line="276" w:lineRule="auto"/>
        <w:jc w:val="both"/>
        <w:rPr>
          <w:rFonts w:ascii="Verdana" w:eastAsia="Calibri" w:hAnsi="Verdana" w:cs="Arial"/>
          <w:lang w:val="es-ES"/>
        </w:rPr>
      </w:pPr>
    </w:p>
    <w:p w14:paraId="4FF3205F" w14:textId="77777777" w:rsidR="006B68FE" w:rsidRDefault="006B68FE" w:rsidP="006B68FE">
      <w:pPr>
        <w:spacing w:after="120" w:line="276" w:lineRule="auto"/>
        <w:jc w:val="both"/>
        <w:rPr>
          <w:rFonts w:ascii="Verdana" w:eastAsia="Calibri" w:hAnsi="Verdana" w:cs="Arial"/>
          <w:bCs/>
          <w:lang w:val="es-ES_tradnl"/>
        </w:rPr>
      </w:pPr>
      <w:r w:rsidRPr="0027034B">
        <w:rPr>
          <w:rFonts w:ascii="Verdana" w:eastAsia="Times New Roman" w:hAnsi="Verdana" w:cs="Arial"/>
          <w:shd w:val="clear" w:color="auto" w:fill="FFFFFF"/>
          <w:lang w:val="es-ES"/>
        </w:rPr>
        <w:t xml:space="preserve">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w:t>
      </w:r>
      <w:r w:rsidRPr="0027034B">
        <w:rPr>
          <w:rFonts w:ascii="Verdana" w:eastAsia="Times New Roman" w:hAnsi="Verdana" w:cs="Arial"/>
          <w:shd w:val="clear" w:color="auto" w:fill="FFFFFF"/>
          <w:lang w:val="es-ES"/>
        </w:rPr>
        <w:lastRenderedPageBreak/>
        <w:t>contractual, pero también de los servidores públicos que intervienen en ella. En ese sentido, las Entidades Estatales deben ejercer el control de la ejecución del contrato y, de ser el caso, tomar medidas para exigir su adecuado cumplimiento.</w:t>
      </w:r>
    </w:p>
    <w:p w14:paraId="3D2DBC6C" w14:textId="77777777" w:rsidR="006B68FE" w:rsidRPr="0027034B" w:rsidRDefault="006B68FE" w:rsidP="006B68FE">
      <w:pPr>
        <w:spacing w:after="0" w:line="276" w:lineRule="auto"/>
        <w:ind w:firstLine="709"/>
        <w:jc w:val="both"/>
        <w:rPr>
          <w:rFonts w:ascii="Verdana" w:eastAsia="Times New Roman" w:hAnsi="Verdana" w:cs="Arial"/>
          <w:lang w:val="es-ES" w:eastAsia="es-MX"/>
        </w:rPr>
      </w:pPr>
      <w:r>
        <w:rPr>
          <w:rFonts w:ascii="Verdana" w:eastAsia="Times New Roman" w:hAnsi="Verdana" w:cs="Arial"/>
          <w:lang w:val="es-ES" w:eastAsia="es-MX"/>
        </w:rPr>
        <w:t>L</w:t>
      </w:r>
      <w:r w:rsidRPr="0027034B">
        <w:rPr>
          <w:rFonts w:ascii="Verdana" w:eastAsia="Times New Roman" w:hAnsi="Verdana" w:cs="Arial"/>
          <w:lang w:val="es-ES" w:eastAsia="es-MX"/>
        </w:rPr>
        <w:t xml:space="preserve">a jurisprudencia contencioso-administrativa, por su parte, ha considerado que la obligación de vigilar la correcta ejecución del objeto contractual es una función de la entidad contratante, en los siguientes términos: </w:t>
      </w:r>
    </w:p>
    <w:p w14:paraId="1EA241E5" w14:textId="77777777" w:rsidR="006B68FE" w:rsidRPr="0027034B" w:rsidRDefault="006B68FE" w:rsidP="006B68FE">
      <w:pPr>
        <w:spacing w:after="0"/>
        <w:ind w:left="709"/>
        <w:contextualSpacing/>
        <w:jc w:val="both"/>
        <w:rPr>
          <w:rFonts w:ascii="Verdana" w:eastAsia="Times New Roman" w:hAnsi="Verdana" w:cs="Arial"/>
          <w:lang w:val="es-ES_tradnl" w:eastAsia="es-MX"/>
        </w:rPr>
      </w:pPr>
    </w:p>
    <w:p w14:paraId="51C6ACAE" w14:textId="77777777" w:rsidR="006B68FE" w:rsidRPr="0021572A" w:rsidRDefault="006B68FE" w:rsidP="006B68FE">
      <w:pPr>
        <w:spacing w:after="0" w:line="240" w:lineRule="auto"/>
        <w:ind w:left="709" w:right="709"/>
        <w:contextualSpacing/>
        <w:jc w:val="both"/>
        <w:rPr>
          <w:rFonts w:ascii="Verdana" w:eastAsia="Times New Roman" w:hAnsi="Verdana" w:cs="Arial"/>
          <w:sz w:val="20"/>
          <w:szCs w:val="20"/>
          <w:lang w:val="es-ES_tradnl" w:eastAsia="es-MX"/>
        </w:rPr>
      </w:pPr>
      <w:bookmarkStart w:id="2" w:name="_Hlk178671999"/>
      <w:r w:rsidRPr="0021572A">
        <w:rPr>
          <w:rFonts w:ascii="Verdana" w:eastAsia="Times New Roman" w:hAnsi="Verdana" w:cs="Arial"/>
          <w:sz w:val="20"/>
          <w:szCs w:val="20"/>
          <w:lang w:val="es-ES_tradnl" w:eastAsia="es-MX"/>
        </w:rPr>
        <w:t>“La función de vigilancia y control del contrato estatal supone el cuidado y la supervisión, de forma tal que en ejercicio de esa función</w:t>
      </w:r>
      <w:bookmarkEnd w:id="2"/>
      <w:r w:rsidRPr="0021572A">
        <w:rPr>
          <w:rFonts w:ascii="Verdana" w:eastAsia="Times New Roman" w:hAnsi="Verdana" w:cs="Arial"/>
          <w:sz w:val="20"/>
          <w:szCs w:val="20"/>
          <w:lang w:val="es-ES_tradnl" w:eastAsia="es-MX"/>
        </w:rPr>
        <w:t>,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21572A">
        <w:rPr>
          <w:rFonts w:ascii="Verdana" w:eastAsia="Times New Roman" w:hAnsi="Verdana" w:cs="Arial"/>
          <w:sz w:val="20"/>
          <w:szCs w:val="20"/>
          <w:vertAlign w:val="superscript"/>
          <w:lang w:val="es-ES_tradnl" w:eastAsia="es-MX"/>
        </w:rPr>
        <w:footnoteReference w:id="2"/>
      </w:r>
      <w:r w:rsidRPr="0021572A">
        <w:rPr>
          <w:rFonts w:ascii="Verdana" w:eastAsia="Times New Roman" w:hAnsi="Verdana" w:cs="Arial"/>
          <w:sz w:val="20"/>
          <w:szCs w:val="20"/>
          <w:lang w:val="es-ES_tradnl" w:eastAsia="es-MX"/>
        </w:rPr>
        <w:t>.</w:t>
      </w:r>
    </w:p>
    <w:p w14:paraId="4DDB7BC8" w14:textId="77777777" w:rsidR="006B68FE" w:rsidRDefault="006B68FE" w:rsidP="006B68FE">
      <w:pPr>
        <w:spacing w:after="0" w:line="276" w:lineRule="auto"/>
        <w:jc w:val="both"/>
        <w:rPr>
          <w:rFonts w:ascii="Verdana" w:eastAsia="Calibri" w:hAnsi="Verdana" w:cs="Arial"/>
          <w:bCs/>
          <w:lang w:val="es-ES_tradnl"/>
        </w:rPr>
      </w:pPr>
    </w:p>
    <w:p w14:paraId="7828890F" w14:textId="298965E5" w:rsidR="006B68FE" w:rsidRDefault="006B68FE" w:rsidP="006B68FE">
      <w:pPr>
        <w:spacing w:after="120" w:line="276" w:lineRule="auto"/>
        <w:ind w:firstLine="708"/>
        <w:jc w:val="both"/>
        <w:rPr>
          <w:rFonts w:ascii="Verdana" w:eastAsia="Times New Roman" w:hAnsi="Verdana" w:cs="Arial"/>
          <w:lang w:val="es-ES" w:eastAsia="es-MX"/>
        </w:rPr>
      </w:pPr>
      <w:r w:rsidRPr="225EF6C4">
        <w:rPr>
          <w:rFonts w:ascii="Verdana" w:eastAsia="Calibri" w:hAnsi="Verdana" w:cs="Arial"/>
          <w:lang w:val="es-ES"/>
        </w:rPr>
        <w:t>En específico, la supervisión de los contratos estatales se encuentra regulada en la Ley 1</w:t>
      </w:r>
      <w:r w:rsidR="482F51F8" w:rsidRPr="225EF6C4">
        <w:rPr>
          <w:rFonts w:ascii="Verdana" w:eastAsia="Calibri" w:hAnsi="Verdana" w:cs="Arial"/>
          <w:lang w:val="es-ES"/>
        </w:rPr>
        <w:t>4</w:t>
      </w:r>
      <w:r w:rsidRPr="225EF6C4">
        <w:rPr>
          <w:rFonts w:ascii="Verdana" w:eastAsia="Calibri" w:hAnsi="Verdana" w:cs="Arial"/>
          <w:lang w:val="es-ES"/>
        </w:rPr>
        <w:t xml:space="preserve">74 de 2011, que </w:t>
      </w:r>
      <w:r w:rsidRPr="00B7290B">
        <w:rPr>
          <w:rFonts w:ascii="Verdana" w:eastAsia="Times New Roman" w:hAnsi="Verdana" w:cs="Arial"/>
          <w:lang w:val="es-ES" w:eastAsia="es-MX"/>
        </w:rPr>
        <w:t>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r>
        <w:rPr>
          <w:rFonts w:ascii="Verdana" w:eastAsia="Times New Roman" w:hAnsi="Verdana" w:cs="Arial"/>
          <w:lang w:val="es-ES" w:eastAsia="es-MX"/>
        </w:rPr>
        <w:t xml:space="preserve">. </w:t>
      </w:r>
    </w:p>
    <w:p w14:paraId="461F09BF" w14:textId="77777777" w:rsidR="006B68FE" w:rsidRPr="00B7290B" w:rsidRDefault="006B68FE" w:rsidP="006B68FE">
      <w:pPr>
        <w:spacing w:after="0" w:line="276" w:lineRule="auto"/>
        <w:ind w:firstLine="708"/>
        <w:jc w:val="both"/>
        <w:rPr>
          <w:rFonts w:ascii="Verdana" w:eastAsia="Times New Roman" w:hAnsi="Verdana" w:cs="Arial"/>
          <w:lang w:val="es-ES" w:eastAsia="es-MX"/>
        </w:rPr>
      </w:pPr>
      <w:r>
        <w:rPr>
          <w:rFonts w:ascii="Verdana" w:eastAsia="Times New Roman" w:hAnsi="Verdana" w:cs="Arial"/>
          <w:lang w:val="es-ES" w:eastAsia="es-MX"/>
        </w:rPr>
        <w:t xml:space="preserve">Esta misma disposición </w:t>
      </w:r>
      <w:r w:rsidRPr="00B7290B">
        <w:rPr>
          <w:rFonts w:ascii="Verdana" w:eastAsia="Times New Roman" w:hAnsi="Verdana" w:cs="Arial"/>
          <w:lang w:val="es-ES" w:eastAsia="es-MX"/>
        </w:rPr>
        <w:t>definió la supervisión como:</w:t>
      </w:r>
    </w:p>
    <w:p w14:paraId="2FC5C39F" w14:textId="77777777" w:rsidR="006B68FE" w:rsidRPr="00B7290B" w:rsidRDefault="006B68FE" w:rsidP="006B68FE">
      <w:pPr>
        <w:spacing w:after="0" w:line="276" w:lineRule="auto"/>
        <w:ind w:firstLine="708"/>
        <w:jc w:val="both"/>
        <w:rPr>
          <w:rFonts w:ascii="Verdana" w:eastAsia="Times New Roman" w:hAnsi="Verdana" w:cs="Arial"/>
          <w:lang w:val="es-ES" w:eastAsia="es-MX"/>
        </w:rPr>
      </w:pPr>
    </w:p>
    <w:p w14:paraId="50EE7F6E" w14:textId="77777777" w:rsidR="006B68FE" w:rsidRDefault="006B68FE" w:rsidP="006B68FE">
      <w:pPr>
        <w:spacing w:after="0" w:line="240" w:lineRule="auto"/>
        <w:ind w:left="709" w:right="709"/>
        <w:jc w:val="both"/>
        <w:textAlignment w:val="baseline"/>
        <w:rPr>
          <w:rFonts w:ascii="Verdana" w:eastAsia="Times New Roman" w:hAnsi="Verdana" w:cs="Arial"/>
          <w:sz w:val="20"/>
          <w:szCs w:val="20"/>
          <w:lang w:val="es-ES" w:eastAsia="es-MX"/>
        </w:rPr>
      </w:pPr>
      <w:r>
        <w:rPr>
          <w:rFonts w:ascii="Verdana" w:eastAsia="Times New Roman" w:hAnsi="Verdana" w:cs="Arial"/>
          <w:sz w:val="20"/>
          <w:szCs w:val="20"/>
          <w:lang w:val="es-ES" w:eastAsia="es-MX"/>
        </w:rPr>
        <w:t>“</w:t>
      </w:r>
      <w:r w:rsidRPr="00AB1327">
        <w:rPr>
          <w:rFonts w:ascii="Verdana" w:eastAsia="Times New Roman" w:hAnsi="Verdana" w:cs="Arial"/>
          <w:sz w:val="20"/>
          <w:szCs w:val="20"/>
          <w:lang w:val="es-ES" w:eastAsia="es-MX"/>
        </w:rPr>
        <w:t>La supervisión consistirá en el seguimiento técnico, administrativo, financiero, contable, y jurídico que, sobre el cumplimiento del objeto del contrato, es ejercida por la misma entidad estatal cuando no requieran conocimientos especializados. Para la supervisión, la entidad estatal podrá contratar personal de apoyo, a través de los contratos de prestación de servicio que sean requeridos</w:t>
      </w:r>
      <w:r>
        <w:rPr>
          <w:rFonts w:ascii="Verdana" w:eastAsia="Times New Roman" w:hAnsi="Verdana" w:cs="Arial"/>
          <w:sz w:val="20"/>
          <w:szCs w:val="20"/>
          <w:lang w:val="es-ES" w:eastAsia="es-MX"/>
        </w:rPr>
        <w:t>”</w:t>
      </w:r>
      <w:r w:rsidRPr="00AB1327">
        <w:rPr>
          <w:rFonts w:ascii="Verdana" w:eastAsia="Times New Roman" w:hAnsi="Verdana" w:cs="Arial"/>
          <w:sz w:val="20"/>
          <w:szCs w:val="20"/>
          <w:lang w:val="es-ES" w:eastAsia="es-MX"/>
        </w:rPr>
        <w:t>.</w:t>
      </w:r>
    </w:p>
    <w:p w14:paraId="689B828A" w14:textId="77777777" w:rsidR="006B68FE" w:rsidRPr="009B0144" w:rsidRDefault="006B68FE" w:rsidP="006B68FE">
      <w:pPr>
        <w:spacing w:after="0" w:line="276" w:lineRule="auto"/>
        <w:ind w:left="709" w:right="709"/>
        <w:jc w:val="both"/>
        <w:textAlignment w:val="baseline"/>
        <w:rPr>
          <w:rFonts w:ascii="Verdana" w:eastAsia="Times New Roman" w:hAnsi="Verdana" w:cs="Arial"/>
          <w:lang w:val="es-ES" w:eastAsia="es-MX"/>
        </w:rPr>
      </w:pPr>
    </w:p>
    <w:p w14:paraId="30EBD155" w14:textId="00CF4D70" w:rsidR="006B68FE" w:rsidRDefault="006B68FE" w:rsidP="006B68FE">
      <w:pPr>
        <w:pStyle w:val="NormalWeb"/>
        <w:spacing w:before="0" w:beforeAutospacing="0" w:after="120" w:afterAutospacing="0" w:line="276" w:lineRule="auto"/>
        <w:ind w:firstLine="708"/>
        <w:jc w:val="both"/>
        <w:rPr>
          <w:rFonts w:ascii="Verdana" w:hAnsi="Verdana" w:cs="Open Sans"/>
          <w:sz w:val="22"/>
          <w:szCs w:val="22"/>
        </w:rPr>
      </w:pPr>
      <w:r w:rsidRPr="00B7290B">
        <w:rPr>
          <w:rFonts w:ascii="Verdana" w:hAnsi="Verdana" w:cs="Arial"/>
          <w:bCs/>
          <w:sz w:val="22"/>
          <w:szCs w:val="22"/>
          <w:lang w:val="es-ES"/>
        </w:rPr>
        <w:t>Adicionalmente, el artículo 84 de la Ley 1</w:t>
      </w:r>
      <w:r w:rsidR="000A2138">
        <w:rPr>
          <w:rFonts w:ascii="Verdana" w:hAnsi="Verdana" w:cs="Arial"/>
          <w:bCs/>
          <w:sz w:val="22"/>
          <w:szCs w:val="22"/>
          <w:lang w:val="es-ES"/>
        </w:rPr>
        <w:t>4</w:t>
      </w:r>
      <w:r w:rsidRPr="00B7290B">
        <w:rPr>
          <w:rFonts w:ascii="Verdana" w:hAnsi="Verdana" w:cs="Arial"/>
          <w:bCs/>
          <w:sz w:val="22"/>
          <w:szCs w:val="22"/>
          <w:lang w:val="es-ES"/>
        </w:rPr>
        <w:t>74 de 2011 en relación con las facultades de los supervisores establece que “</w:t>
      </w:r>
      <w:r w:rsidRPr="00B7290B">
        <w:rPr>
          <w:rFonts w:ascii="Verdana" w:hAnsi="Verdana" w:cs="Open Sans"/>
          <w:sz w:val="22"/>
          <w:szCs w:val="22"/>
        </w:rPr>
        <w:t xml:space="preserve">implica el seguimiento al ejercicio </w:t>
      </w:r>
      <w:r w:rsidRPr="00B7290B">
        <w:rPr>
          <w:rFonts w:ascii="Verdana" w:hAnsi="Verdana" w:cs="Open Sans"/>
          <w:sz w:val="22"/>
          <w:szCs w:val="22"/>
        </w:rPr>
        <w:lastRenderedPageBreak/>
        <w:t>del cumplimiento obligacional por la entidad contratante sobre las obligaciones a cargo del contratista”; estando facultados para solicitar aclaraciones, explicaciones e inform</w:t>
      </w:r>
      <w:r>
        <w:rPr>
          <w:rFonts w:ascii="Verdana" w:hAnsi="Verdana" w:cs="Open Sans"/>
          <w:sz w:val="22"/>
          <w:szCs w:val="22"/>
        </w:rPr>
        <w:t>e</w:t>
      </w:r>
      <w:r w:rsidRPr="00B7290B">
        <w:rPr>
          <w:rFonts w:ascii="Verdana" w:hAnsi="Verdana" w:cs="Open Sans"/>
          <w:sz w:val="22"/>
          <w:szCs w:val="22"/>
        </w:rPr>
        <w:t xml:space="preserve">s sobre la ejecución contractual. </w:t>
      </w:r>
    </w:p>
    <w:p w14:paraId="61CA849E" w14:textId="77777777" w:rsidR="006B68FE" w:rsidRPr="004202F6" w:rsidRDefault="006B68FE" w:rsidP="006B68FE">
      <w:pPr>
        <w:spacing w:after="120" w:line="276" w:lineRule="auto"/>
        <w:ind w:firstLine="708"/>
        <w:jc w:val="both"/>
        <w:rPr>
          <w:rFonts w:ascii="Verdana" w:eastAsia="Times New Roman" w:hAnsi="Verdana" w:cs="Arial"/>
          <w:bCs/>
          <w:lang w:val="es-ES"/>
        </w:rPr>
      </w:pPr>
      <w:r w:rsidRPr="00B7290B">
        <w:rPr>
          <w:rFonts w:ascii="Verdana" w:eastAsia="Times New Roman" w:hAnsi="Verdana" w:cs="Arial"/>
          <w:bCs/>
          <w:lang w:val="es-ES"/>
        </w:rPr>
        <w:t>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B7290B">
        <w:rPr>
          <w:rFonts w:ascii="Verdana" w:eastAsia="Times New Roman" w:hAnsi="Verdana" w:cs="Arial"/>
          <w:bCs/>
          <w:vertAlign w:val="superscript"/>
          <w:lang w:val="es-ES"/>
        </w:rPr>
        <w:footnoteReference w:id="3"/>
      </w:r>
      <w:r w:rsidRPr="00B7290B">
        <w:rPr>
          <w:rFonts w:ascii="Verdana" w:eastAsia="Times New Roman" w:hAnsi="Verdana" w:cs="Arial"/>
          <w:bCs/>
          <w:lang w:val="es-ES"/>
        </w:rPr>
        <w:t>–;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y v) le es inseparable el seguimiento</w:t>
      </w:r>
      <w:r w:rsidRPr="004202F6">
        <w:rPr>
          <w:rFonts w:ascii="Verdana" w:eastAsia="Times New Roman" w:hAnsi="Verdana" w:cs="Arial"/>
          <w:bCs/>
          <w:lang w:val="es-ES"/>
        </w:rPr>
        <w:t xml:space="preserve"> técnico, administrativo, financiero, contable y jurídico del contrato vigilado.</w:t>
      </w:r>
    </w:p>
    <w:p w14:paraId="314E79F7" w14:textId="77777777" w:rsidR="006B68FE" w:rsidRPr="004202F6" w:rsidRDefault="006B68FE" w:rsidP="006B68FE">
      <w:pPr>
        <w:pStyle w:val="Sinespaciado"/>
        <w:spacing w:after="120" w:line="276" w:lineRule="auto"/>
        <w:ind w:firstLine="709"/>
        <w:jc w:val="both"/>
        <w:rPr>
          <w:rFonts w:ascii="Verdana" w:hAnsi="Verdana" w:cs="Arial"/>
          <w:sz w:val="22"/>
        </w:rPr>
      </w:pPr>
      <w:bookmarkStart w:id="3" w:name="_Hlk204066195"/>
      <w:r w:rsidRPr="004202F6">
        <w:rPr>
          <w:rFonts w:ascii="Verdana" w:eastAsia="Times New Roman" w:hAnsi="Verdana" w:cs="Arial"/>
          <w:sz w:val="22"/>
          <w:shd w:val="clear" w:color="auto" w:fill="FFFFFF"/>
          <w:lang w:val="es-ES"/>
        </w:rPr>
        <w:t>Así mismo, esta Agencia,</w:t>
      </w:r>
      <w:r w:rsidRPr="004202F6">
        <w:rPr>
          <w:rFonts w:ascii="Verdana" w:eastAsia="Times New Roman" w:hAnsi="Verdana" w:cs="Arial"/>
          <w:sz w:val="22"/>
          <w:lang w:val="es-ES_tradnl" w:eastAsia="es-ES_tradnl"/>
        </w:rPr>
        <w:t xml:space="preserve"> en el ejercicio de sus funciones, expidió la “Guía para el ejercicio de las funciones de Supervisión e Interventoría de los contratos suscritos por las Entidades Estatales”</w:t>
      </w:r>
      <w:r w:rsidRPr="004202F6">
        <w:rPr>
          <w:rStyle w:val="Refdenotaalpie"/>
          <w:rFonts w:ascii="Verdana" w:eastAsia="Times New Roman" w:hAnsi="Verdana" w:cs="Arial"/>
          <w:sz w:val="22"/>
          <w:lang w:val="es-ES_tradnl" w:eastAsia="es-ES_tradnl"/>
        </w:rPr>
        <w:footnoteReference w:id="4"/>
      </w:r>
      <w:r w:rsidRPr="004202F6">
        <w:rPr>
          <w:rFonts w:ascii="Verdana" w:eastAsia="Times New Roman" w:hAnsi="Verdana" w:cs="Arial"/>
          <w:sz w:val="22"/>
          <w:lang w:val="es-ES_tradnl" w:eastAsia="es-ES_tradnl"/>
        </w:rPr>
        <w:t>, la cual constituye una herramienta pedagógica en la que se imparten lineamientos de buenas prácticas para el ejercicio de la supervisión e interventoría de los contratos estatales</w:t>
      </w:r>
      <w:bookmarkEnd w:id="3"/>
      <w:r w:rsidRPr="004202F6">
        <w:rPr>
          <w:rFonts w:ascii="Verdana" w:eastAsia="Times New Roman" w:hAnsi="Verdana" w:cs="Arial"/>
          <w:sz w:val="22"/>
          <w:lang w:val="es-ES_tradnl" w:eastAsia="es-ES_tradnl"/>
        </w:rPr>
        <w:t xml:space="preserve">. </w:t>
      </w:r>
      <w:r w:rsidRPr="004202F6">
        <w:rPr>
          <w:rFonts w:ascii="Verdana" w:eastAsia="Calibri" w:hAnsi="Verdana" w:cs="Arial"/>
          <w:bCs/>
          <w:sz w:val="22"/>
        </w:rPr>
        <w:t xml:space="preserve">En esta Guía se explica el </w:t>
      </w:r>
      <w:r w:rsidRPr="004202F6">
        <w:rPr>
          <w:rFonts w:ascii="Verdana" w:hAnsi="Verdana" w:cs="Arial"/>
          <w:sz w:val="22"/>
        </w:rPr>
        <w:t xml:space="preserve">régimen de responsabilidad civil, penal, disciplinario y fiscal </w:t>
      </w:r>
      <w:r w:rsidRPr="004202F6">
        <w:rPr>
          <w:rFonts w:ascii="Verdana" w:eastAsia="Calibri" w:hAnsi="Verdana" w:cs="Arial"/>
          <w:bCs/>
          <w:sz w:val="22"/>
        </w:rPr>
        <w:t xml:space="preserve">al que se encuentran sujetos quienes ejerzan las funciones de supervisión </w:t>
      </w:r>
      <w:r w:rsidRPr="004202F6">
        <w:rPr>
          <w:rFonts w:ascii="Verdana" w:hAnsi="Verdana" w:cs="Arial"/>
          <w:sz w:val="22"/>
        </w:rPr>
        <w:t xml:space="preserve">en virtud de su condición de servidor público, y se aclara que los servidores públicos que intervienen en la celebración, ejecución y liquidación de contratos son responsables por sus actuaciones y omisiones. Por lo que, responden civil, penal, fiscal y disciplinariamente por las faltas que cometan en el ejercicio de sus funciones. </w:t>
      </w:r>
    </w:p>
    <w:p w14:paraId="2AA9C708" w14:textId="77777777" w:rsidR="006B68FE" w:rsidRPr="004202F6" w:rsidRDefault="006B68FE" w:rsidP="006B68FE">
      <w:pPr>
        <w:pStyle w:val="Sinespaciado"/>
        <w:spacing w:after="120" w:line="276" w:lineRule="auto"/>
        <w:ind w:firstLine="709"/>
        <w:jc w:val="both"/>
        <w:rPr>
          <w:rFonts w:ascii="Verdana" w:hAnsi="Verdana" w:cs="Arial"/>
          <w:sz w:val="22"/>
        </w:rPr>
      </w:pPr>
      <w:r w:rsidRPr="004202F6">
        <w:rPr>
          <w:rFonts w:ascii="Verdana" w:hAnsi="Verdana" w:cs="Arial"/>
          <w:sz w:val="22"/>
        </w:rPr>
        <w:t xml:space="preserve">Así, en cuanto a la </w:t>
      </w:r>
      <w:r w:rsidRPr="004202F6">
        <w:rPr>
          <w:rFonts w:ascii="Verdana" w:hAnsi="Verdana" w:cs="Arial"/>
          <w:i/>
          <w:iCs/>
          <w:sz w:val="22"/>
        </w:rPr>
        <w:t xml:space="preserve">responsabilidad civil </w:t>
      </w:r>
      <w:r w:rsidRPr="004202F6">
        <w:rPr>
          <w:rFonts w:ascii="Verdana" w:hAnsi="Verdana" w:cs="Arial"/>
          <w:sz w:val="22"/>
        </w:rPr>
        <w:t xml:space="preserve">en virtud del Artículo 2 de la Ley 678 de 2001, los supervisores deben responder a través del llamamiento en garantía o la acción de repetición cuando con ocasión de sus actuaciones y </w:t>
      </w:r>
      <w:r w:rsidRPr="004202F6">
        <w:rPr>
          <w:rFonts w:ascii="Verdana" w:hAnsi="Verdana" w:cs="Arial"/>
          <w:sz w:val="22"/>
        </w:rPr>
        <w:lastRenderedPageBreak/>
        <w:t>omisiones hayan causado daño, y deberán indemnizar dichos daños</w:t>
      </w:r>
      <w:r w:rsidRPr="004202F6">
        <w:rPr>
          <w:rStyle w:val="Refdenotaalpie"/>
          <w:rFonts w:ascii="Verdana" w:hAnsi="Verdana" w:cs="Arial"/>
          <w:sz w:val="22"/>
        </w:rPr>
        <w:footnoteReference w:id="5"/>
      </w:r>
      <w:r w:rsidRPr="004202F6">
        <w:rPr>
          <w:rFonts w:ascii="Verdana" w:hAnsi="Verdana" w:cs="Arial"/>
          <w:sz w:val="22"/>
        </w:rPr>
        <w:t xml:space="preserve">. Además, los supervisores cuando no informan oportunamente a la Entidad Estatal de un posible incumplimiento, pueden ser considerados solidariamente responsables de los perjuicios que se ocasionen con el incumplimiento parcial o total de las obligaciones por parte del contratista vigilado. Para que exista la responsabilidad civil, es necesario que la actuación del supervisor haya sido gravemente culposa o dolosa. </w:t>
      </w:r>
    </w:p>
    <w:p w14:paraId="4E4550A0" w14:textId="77777777" w:rsidR="006B68FE" w:rsidRDefault="006B68FE" w:rsidP="006B68FE">
      <w:pPr>
        <w:pStyle w:val="Sinespaciado"/>
        <w:spacing w:after="120" w:line="276" w:lineRule="auto"/>
        <w:ind w:firstLine="709"/>
        <w:jc w:val="both"/>
        <w:rPr>
          <w:rFonts w:ascii="Verdana" w:hAnsi="Verdana" w:cs="Open Sans"/>
          <w:sz w:val="22"/>
        </w:rPr>
      </w:pPr>
      <w:r w:rsidRPr="004202F6">
        <w:rPr>
          <w:rFonts w:ascii="Verdana" w:hAnsi="Verdana" w:cs="Arial"/>
          <w:sz w:val="22"/>
        </w:rPr>
        <w:t xml:space="preserve">En relación con la </w:t>
      </w:r>
      <w:r w:rsidRPr="004202F6">
        <w:rPr>
          <w:rFonts w:ascii="Verdana" w:hAnsi="Verdana" w:cs="Arial"/>
          <w:i/>
          <w:iCs/>
          <w:sz w:val="22"/>
        </w:rPr>
        <w:t xml:space="preserve">responsabilidad fiscal, </w:t>
      </w:r>
      <w:r w:rsidRPr="004202F6">
        <w:rPr>
          <w:rFonts w:ascii="Verdana" w:hAnsi="Verdana" w:cs="Arial"/>
          <w:sz w:val="22"/>
        </w:rPr>
        <w:t>esta es imputable a los supervisores como servidores públicos “</w:t>
      </w:r>
      <w:r w:rsidRPr="004202F6">
        <w:rPr>
          <w:rFonts w:ascii="Verdana" w:hAnsi="Verdana" w:cs="Open Sans"/>
          <w:sz w:val="22"/>
        </w:rPr>
        <w:t>cuando en el ejercicio de la gestión fiscal o con ocasión de ésta, causen por acción u omisión y en forma dolosa o culposa un daño al patrimonio del Estado.”</w:t>
      </w:r>
      <w:r w:rsidRPr="004202F6">
        <w:rPr>
          <w:rStyle w:val="Refdenotaalpie"/>
          <w:rFonts w:ascii="Verdana" w:hAnsi="Verdana" w:cs="Open Sans"/>
          <w:sz w:val="22"/>
        </w:rPr>
        <w:footnoteReference w:id="6"/>
      </w:r>
      <w:r w:rsidRPr="004202F6">
        <w:rPr>
          <w:rFonts w:ascii="Verdana" w:hAnsi="Verdana" w:cs="Open Sans"/>
          <w:sz w:val="22"/>
        </w:rPr>
        <w:t xml:space="preserve"> Así, los supervisores pueden ser responsables fiscales cuando el incumplimiento de sus funciones de vigilancia y control ocasiona un detrimento patrimonial a la Entidad Estatal</w:t>
      </w:r>
      <w:r>
        <w:rPr>
          <w:rFonts w:ascii="Verdana" w:hAnsi="Verdana" w:cs="Open Sans"/>
          <w:sz w:val="22"/>
        </w:rPr>
        <w:t>. Adicionalmente, en la Guía de la Agencia se resalta que:</w:t>
      </w:r>
    </w:p>
    <w:p w14:paraId="5432F858" w14:textId="77777777" w:rsidR="006B68FE" w:rsidRPr="008C0D28" w:rsidRDefault="006B68FE" w:rsidP="006B68FE">
      <w:pPr>
        <w:pStyle w:val="Sinespaciado"/>
        <w:spacing w:after="120" w:line="276" w:lineRule="auto"/>
        <w:ind w:left="709" w:right="758"/>
        <w:jc w:val="both"/>
        <w:rPr>
          <w:rFonts w:ascii="Verdana" w:hAnsi="Verdana" w:cs="Open Sans"/>
          <w:sz w:val="20"/>
          <w:szCs w:val="20"/>
        </w:rPr>
      </w:pPr>
      <w:r w:rsidRPr="008C0D28">
        <w:rPr>
          <w:rFonts w:ascii="Verdana" w:hAnsi="Verdana"/>
          <w:sz w:val="20"/>
          <w:szCs w:val="20"/>
        </w:rPr>
        <w:t>La responsabilidad fiscal de los supervisores o interventores se presume cuando: (i) hayan sido condenados penalmente o sancionados disciplinariamente por los mismos hechos a título de dolo y (ii) omitan el cumplimiento de las obligaciones propias de los contratos de interventoría o de las funciones de supervisión, de manera que no se establezca la correcta ejecución del objeto contractual o el cumplimiento de las condiciones de calidad y oportunidad ofrecidas por los contratistas.</w:t>
      </w:r>
    </w:p>
    <w:p w14:paraId="1999E6AE" w14:textId="0F32EDCA" w:rsidR="006B68FE" w:rsidRDefault="006B68FE" w:rsidP="225EF6C4">
      <w:pPr>
        <w:pStyle w:val="Sinespaciado"/>
        <w:spacing w:after="120" w:line="276" w:lineRule="auto"/>
        <w:jc w:val="both"/>
        <w:rPr>
          <w:rFonts w:ascii="Verdana" w:hAnsi="Verdana" w:cs="Arial"/>
        </w:rPr>
      </w:pPr>
      <w:r>
        <w:rPr>
          <w:rFonts w:ascii="Verdana" w:hAnsi="Verdana" w:cs="Arial"/>
        </w:rPr>
        <w:tab/>
        <w:t xml:space="preserve">Por su parte la </w:t>
      </w:r>
      <w:r w:rsidRPr="004202F6">
        <w:rPr>
          <w:rFonts w:ascii="Verdana" w:hAnsi="Verdana" w:cs="Arial"/>
          <w:i/>
          <w:iCs/>
        </w:rPr>
        <w:t>responsabilidad penal</w:t>
      </w:r>
      <w:r>
        <w:rPr>
          <w:rFonts w:ascii="Verdana" w:hAnsi="Verdana" w:cs="Arial"/>
        </w:rPr>
        <w:t xml:space="preserve"> para los supervisores se configura cuando incurren en alguna conducta tipificada como delito contra la administración pública. </w:t>
      </w:r>
    </w:p>
    <w:p w14:paraId="0190821E" w14:textId="77777777" w:rsidR="00BD67E2" w:rsidRPr="00A84B4C" w:rsidRDefault="006B68FE">
      <w:pPr>
        <w:pStyle w:val="Sinespaciado"/>
        <w:spacing w:after="120" w:line="276" w:lineRule="auto"/>
        <w:ind w:firstLine="708"/>
        <w:jc w:val="both"/>
        <w:rPr>
          <w:rFonts w:ascii="Verdana" w:hAnsi="Verdana" w:cs="Arial"/>
        </w:rPr>
      </w:pPr>
      <w:r w:rsidRPr="00A84B4C">
        <w:rPr>
          <w:rFonts w:ascii="Verdana" w:hAnsi="Verdana" w:cs="Arial"/>
        </w:rPr>
        <w:t xml:space="preserve">Por último, la </w:t>
      </w:r>
      <w:r w:rsidRPr="00A84B4C">
        <w:rPr>
          <w:rFonts w:ascii="Verdana" w:hAnsi="Verdana" w:cs="Arial"/>
          <w:i/>
          <w:iCs/>
        </w:rPr>
        <w:t xml:space="preserve">responsabilidad disciplinaria </w:t>
      </w:r>
      <w:r w:rsidRPr="00A84B4C">
        <w:rPr>
          <w:rFonts w:ascii="Verdana" w:hAnsi="Verdana" w:cs="Arial"/>
        </w:rPr>
        <w:t>se configura para los supervisores cuando</w:t>
      </w:r>
      <w:r w:rsidR="00486D8B" w:rsidRPr="00A84B4C">
        <w:rPr>
          <w:rFonts w:ascii="Verdana" w:hAnsi="Verdana" w:cs="Arial"/>
        </w:rPr>
        <w:t xml:space="preserve"> incurre</w:t>
      </w:r>
      <w:r w:rsidR="00DC0766" w:rsidRPr="00A84B4C">
        <w:rPr>
          <w:rFonts w:ascii="Verdana" w:hAnsi="Verdana" w:cs="Arial"/>
        </w:rPr>
        <w:t>n</w:t>
      </w:r>
      <w:r w:rsidR="00486D8B" w:rsidRPr="00A84B4C">
        <w:rPr>
          <w:rFonts w:ascii="Verdana" w:hAnsi="Verdana" w:cs="Arial"/>
        </w:rPr>
        <w:t xml:space="preserve"> en alguna de las faltas estipuladas en el Código Disciplinario </w:t>
      </w:r>
      <w:r w:rsidR="00DC0766" w:rsidRPr="00A84B4C">
        <w:rPr>
          <w:rFonts w:ascii="Verdana" w:hAnsi="Verdana" w:cs="Arial"/>
        </w:rPr>
        <w:t>Ú</w:t>
      </w:r>
      <w:r w:rsidR="00486D8B" w:rsidRPr="00A84B4C">
        <w:rPr>
          <w:rFonts w:ascii="Verdana" w:hAnsi="Verdana" w:cs="Arial"/>
        </w:rPr>
        <w:t xml:space="preserve">nico (Ley </w:t>
      </w:r>
      <w:r w:rsidR="008D7334" w:rsidRPr="00A84B4C">
        <w:rPr>
          <w:rFonts w:ascii="Verdana" w:hAnsi="Verdana" w:cs="Arial"/>
        </w:rPr>
        <w:t>1952 de 2019)</w:t>
      </w:r>
      <w:r w:rsidR="008A69B8" w:rsidRPr="00A84B4C">
        <w:rPr>
          <w:rFonts w:ascii="Verdana" w:hAnsi="Verdana" w:cs="Arial"/>
        </w:rPr>
        <w:t xml:space="preserve">. </w:t>
      </w:r>
      <w:r w:rsidR="00BD67E2" w:rsidRPr="00A84B4C">
        <w:rPr>
          <w:rFonts w:ascii="Verdana" w:hAnsi="Verdana" w:cs="Arial"/>
        </w:rPr>
        <w:t>La falta disciplinaria se define como sigue:</w:t>
      </w:r>
    </w:p>
    <w:p w14:paraId="12E53AA5" w14:textId="1823D6F9" w:rsidR="00497E81" w:rsidRPr="00A84B4C" w:rsidRDefault="00497E81" w:rsidP="00FF61BD">
      <w:pPr>
        <w:spacing w:before="100" w:beforeAutospacing="1" w:after="100" w:afterAutospacing="1" w:line="270" w:lineRule="atLeast"/>
        <w:ind w:left="709" w:right="900"/>
        <w:jc w:val="both"/>
        <w:rPr>
          <w:rFonts w:ascii="Verdana" w:eastAsia="Times New Roman" w:hAnsi="Verdana" w:cs="Open Sans"/>
          <w:sz w:val="20"/>
          <w:szCs w:val="20"/>
          <w:lang w:eastAsia="es-CO"/>
        </w:rPr>
      </w:pPr>
      <w:bookmarkStart w:id="4" w:name="26"/>
      <w:r w:rsidRPr="00A84B4C">
        <w:rPr>
          <w:rFonts w:ascii="Verdana" w:eastAsia="Times New Roman" w:hAnsi="Verdana" w:cs="Open Sans"/>
          <w:b/>
          <w:bCs/>
          <w:sz w:val="20"/>
          <w:szCs w:val="20"/>
          <w:lang w:eastAsia="es-CO"/>
        </w:rPr>
        <w:t>ARTÍCULO 26. LA FALTA DISCIPLINARIA.</w:t>
      </w:r>
      <w:bookmarkEnd w:id="4"/>
      <w:r w:rsidRPr="00A84B4C">
        <w:rPr>
          <w:rFonts w:ascii="Verdana" w:eastAsia="Times New Roman" w:hAnsi="Verdana" w:cs="Open Sans"/>
          <w:sz w:val="20"/>
          <w:szCs w:val="20"/>
          <w:lang w:eastAsia="es-CO"/>
        </w:rPr>
        <w:t xml:space="preserve"> Constituye falta disciplinaria y, por lo tanto, da lugar a la imposición de la sanción disciplinaria correspondiente la incursión en cualquiera de las conductas previstas en este código que conlleven incumplimiento de deberes, </w:t>
      </w:r>
      <w:r w:rsidRPr="00A84B4C">
        <w:rPr>
          <w:rFonts w:ascii="Verdana" w:eastAsia="Times New Roman" w:hAnsi="Verdana" w:cs="Open Sans"/>
          <w:sz w:val="20"/>
          <w:szCs w:val="20"/>
          <w:lang w:eastAsia="es-CO"/>
        </w:rPr>
        <w:lastRenderedPageBreak/>
        <w:t>extralimitación en el ejercicio de derechos y funciones, prohibiciones y violación del régimen de inhabilidades, incompatibilidades, impedimentos y conflicto de intereses, sin estar amparado por cualquiera de las causales de exclusión de responsabilidad contempladas en esta ley.</w:t>
      </w:r>
      <w:hyperlink r:id="rId13" w:anchor="top" w:tooltip="Ir al inicio" w:history="1"/>
    </w:p>
    <w:p w14:paraId="7F077C91" w14:textId="77777777" w:rsidR="00497E81" w:rsidRPr="00A84B4C" w:rsidRDefault="00497E81" w:rsidP="00FF61BD">
      <w:pPr>
        <w:spacing w:before="100" w:beforeAutospacing="1" w:after="100" w:afterAutospacing="1" w:line="270" w:lineRule="atLeast"/>
        <w:ind w:left="709" w:right="900"/>
        <w:jc w:val="both"/>
        <w:rPr>
          <w:rFonts w:ascii="Verdana" w:eastAsia="Times New Roman" w:hAnsi="Verdana" w:cs="Open Sans"/>
          <w:sz w:val="20"/>
          <w:szCs w:val="20"/>
          <w:lang w:eastAsia="es-CO"/>
        </w:rPr>
      </w:pPr>
      <w:bookmarkStart w:id="5" w:name="27"/>
      <w:r w:rsidRPr="00A84B4C">
        <w:rPr>
          <w:rFonts w:ascii="Verdana" w:eastAsia="Times New Roman" w:hAnsi="Verdana" w:cs="Open Sans"/>
          <w:b/>
          <w:bCs/>
          <w:sz w:val="20"/>
          <w:szCs w:val="20"/>
          <w:lang w:eastAsia="es-CO"/>
        </w:rPr>
        <w:t>ARTÍCULO 27. ACCIÓN Y OMISIÓN.</w:t>
      </w:r>
      <w:bookmarkEnd w:id="5"/>
      <w:r w:rsidRPr="00A84B4C">
        <w:rPr>
          <w:rFonts w:ascii="Verdana" w:eastAsia="Times New Roman" w:hAnsi="Verdana" w:cs="Open Sans"/>
          <w:sz w:val="20"/>
          <w:szCs w:val="20"/>
          <w:lang w:eastAsia="es-CO"/>
        </w:rPr>
        <w:t> La falta disciplinaria puede ser realizada por acción u omisión en el cumplimiento de los deberes propios del cargo o función, o con ocasión de ellos, o por extralimitación de sus funciones.</w:t>
      </w:r>
    </w:p>
    <w:p w14:paraId="426E293A" w14:textId="718B2D56" w:rsidR="006B68FE" w:rsidRPr="00A84B4C" w:rsidRDefault="00497E81" w:rsidP="00FF61BD">
      <w:pPr>
        <w:spacing w:before="100" w:beforeAutospacing="1" w:after="100" w:afterAutospacing="1" w:line="270" w:lineRule="atLeast"/>
        <w:ind w:left="709" w:right="900"/>
        <w:jc w:val="both"/>
        <w:rPr>
          <w:rFonts w:ascii="Verdana" w:eastAsia="Times New Roman" w:hAnsi="Verdana" w:cs="Open Sans"/>
          <w:sz w:val="20"/>
          <w:szCs w:val="20"/>
          <w:lang w:eastAsia="es-CO"/>
        </w:rPr>
      </w:pPr>
      <w:r w:rsidRPr="00A84B4C">
        <w:rPr>
          <w:rFonts w:ascii="Verdana" w:eastAsia="Times New Roman" w:hAnsi="Verdana" w:cs="Open Sans"/>
          <w:sz w:val="20"/>
          <w:szCs w:val="20"/>
          <w:lang w:eastAsia="es-CO"/>
        </w:rPr>
        <w:t>Cuando se tiene el deber jurídico de impedir un resultado, no evitarlo, pudiendo hacerlo equivale a producirlo.</w:t>
      </w:r>
    </w:p>
    <w:p w14:paraId="36EEDE94" w14:textId="77777777" w:rsidR="006B68FE" w:rsidRPr="00F07825" w:rsidRDefault="006B68FE" w:rsidP="006B68FE">
      <w:pPr>
        <w:widowControl w:val="0"/>
        <w:autoSpaceDE w:val="0"/>
        <w:autoSpaceDN w:val="0"/>
        <w:spacing w:after="120" w:line="276" w:lineRule="auto"/>
        <w:ind w:firstLine="708"/>
        <w:jc w:val="both"/>
        <w:rPr>
          <w:rFonts w:ascii="Verdana" w:hAnsi="Verdana"/>
        </w:rPr>
      </w:pPr>
      <w:r w:rsidRPr="00F07825">
        <w:rPr>
          <w:rFonts w:ascii="Verdana" w:hAnsi="Verdana"/>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4DDA0B9" w14:textId="77777777" w:rsidR="006B68FE" w:rsidRDefault="006B68FE" w:rsidP="006B68FE">
      <w:pPr>
        <w:widowControl w:val="0"/>
        <w:autoSpaceDE w:val="0"/>
        <w:autoSpaceDN w:val="0"/>
        <w:spacing w:after="0" w:line="276" w:lineRule="auto"/>
        <w:ind w:right="176" w:firstLine="708"/>
        <w:jc w:val="both"/>
        <w:rPr>
          <w:rFonts w:ascii="Verdana" w:hAnsi="Verdana"/>
        </w:rPr>
      </w:pPr>
      <w:r w:rsidRPr="00F07825">
        <w:rPr>
          <w:rFonts w:ascii="Verdana" w:hAnsi="Verdana"/>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31936BD" w14:textId="77777777" w:rsidR="00A84B4C" w:rsidRDefault="00A84B4C" w:rsidP="006B68FE">
      <w:pPr>
        <w:widowControl w:val="0"/>
        <w:autoSpaceDE w:val="0"/>
        <w:autoSpaceDN w:val="0"/>
        <w:spacing w:after="0" w:line="276" w:lineRule="auto"/>
        <w:ind w:right="176" w:firstLine="708"/>
        <w:jc w:val="both"/>
        <w:rPr>
          <w:rFonts w:ascii="Verdana" w:hAnsi="Verdana"/>
        </w:rPr>
      </w:pPr>
    </w:p>
    <w:p w14:paraId="404A0C7D" w14:textId="77777777" w:rsidR="00A84B4C" w:rsidRDefault="00A84B4C" w:rsidP="006B68FE">
      <w:pPr>
        <w:widowControl w:val="0"/>
        <w:autoSpaceDE w:val="0"/>
        <w:autoSpaceDN w:val="0"/>
        <w:spacing w:after="0" w:line="276" w:lineRule="auto"/>
        <w:ind w:right="176" w:firstLine="708"/>
        <w:jc w:val="both"/>
        <w:rPr>
          <w:rFonts w:ascii="Verdana" w:hAnsi="Verdana"/>
        </w:rPr>
      </w:pPr>
    </w:p>
    <w:p w14:paraId="3D6B0468" w14:textId="77777777" w:rsidR="00A84B4C" w:rsidRDefault="00A84B4C" w:rsidP="006B68FE">
      <w:pPr>
        <w:widowControl w:val="0"/>
        <w:autoSpaceDE w:val="0"/>
        <w:autoSpaceDN w:val="0"/>
        <w:spacing w:after="0" w:line="276" w:lineRule="auto"/>
        <w:ind w:right="176" w:firstLine="708"/>
        <w:jc w:val="both"/>
        <w:rPr>
          <w:rFonts w:ascii="Verdana" w:hAnsi="Verdana"/>
        </w:rPr>
      </w:pPr>
    </w:p>
    <w:p w14:paraId="456B7B39" w14:textId="77777777" w:rsidR="006B68FE" w:rsidRPr="00125A1D" w:rsidRDefault="006B68FE" w:rsidP="006B68FE">
      <w:pPr>
        <w:widowControl w:val="0"/>
        <w:autoSpaceDE w:val="0"/>
        <w:autoSpaceDN w:val="0"/>
        <w:spacing w:after="0" w:line="276" w:lineRule="auto"/>
        <w:jc w:val="both"/>
        <w:rPr>
          <w:rFonts w:ascii="Verdana" w:hAnsi="Verdana" w:cs="Arial"/>
        </w:rPr>
      </w:pPr>
    </w:p>
    <w:p w14:paraId="47632561" w14:textId="77777777" w:rsidR="006B68FE" w:rsidRPr="00125A1D" w:rsidRDefault="006B68FE" w:rsidP="006B68F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25A1D">
        <w:rPr>
          <w:rFonts w:ascii="Verdana" w:eastAsia="Century Gothic" w:hAnsi="Verdana" w:cs="Century Gothic"/>
          <w:b/>
          <w:bCs/>
        </w:rPr>
        <w:lastRenderedPageBreak/>
        <w:t>Referencias normativas, jurisprudenciales y otras fuentes:</w:t>
      </w:r>
    </w:p>
    <w:p w14:paraId="419DD4C0" w14:textId="77777777" w:rsidR="006B68FE" w:rsidRPr="00125A1D" w:rsidRDefault="006B68FE" w:rsidP="006B68FE">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6B68FE" w:rsidRPr="00125A1D" w14:paraId="42ABBF97" w14:textId="77777777" w:rsidTr="00753252">
        <w:trPr>
          <w:trHeight w:val="870"/>
        </w:trPr>
        <w:tc>
          <w:tcPr>
            <w:tcW w:w="8647" w:type="dxa"/>
            <w:tcBorders>
              <w:top w:val="dotted" w:sz="4" w:space="0" w:color="auto"/>
              <w:left w:val="dotted" w:sz="4" w:space="0" w:color="auto"/>
              <w:bottom w:val="dotted" w:sz="4" w:space="0" w:color="auto"/>
              <w:right w:val="dotted" w:sz="4" w:space="0" w:color="auto"/>
            </w:tcBorders>
            <w:hideMark/>
          </w:tcPr>
          <w:p w14:paraId="5EF7B3C6" w14:textId="77777777" w:rsidR="006B68FE" w:rsidRDefault="006B68FE" w:rsidP="00753252">
            <w:pPr>
              <w:widowControl w:val="0"/>
              <w:numPr>
                <w:ilvl w:val="0"/>
                <w:numId w:val="17"/>
              </w:numPr>
              <w:autoSpaceDE w:val="0"/>
              <w:autoSpaceDN w:val="0"/>
              <w:spacing w:line="276" w:lineRule="auto"/>
              <w:ind w:left="720"/>
              <w:jc w:val="both"/>
              <w:rPr>
                <w:rFonts w:ascii="Verdana" w:hAnsi="Verdana" w:cs="Arial"/>
                <w:color w:val="000000" w:themeColor="text1"/>
              </w:rPr>
            </w:pPr>
            <w:r w:rsidRPr="0027034B">
              <w:rPr>
                <w:rFonts w:ascii="Verdana" w:hAnsi="Verdana" w:cs="Arial"/>
                <w:color w:val="000000" w:themeColor="text1"/>
              </w:rPr>
              <w:t>Ley 80 de 1993. Artículos 4, 5, 12, 14</w:t>
            </w:r>
            <w:r>
              <w:rPr>
                <w:rFonts w:ascii="Verdana" w:hAnsi="Verdana" w:cs="Arial"/>
                <w:color w:val="000000" w:themeColor="text1"/>
              </w:rPr>
              <w:t>,</w:t>
            </w:r>
            <w:r w:rsidRPr="0027034B">
              <w:rPr>
                <w:rFonts w:ascii="Verdana" w:hAnsi="Verdana" w:cs="Arial"/>
                <w:color w:val="000000" w:themeColor="text1"/>
              </w:rPr>
              <w:t xml:space="preserve"> 26</w:t>
            </w:r>
            <w:r>
              <w:rPr>
                <w:rFonts w:ascii="Verdana" w:hAnsi="Verdana" w:cs="Arial"/>
                <w:color w:val="000000" w:themeColor="text1"/>
              </w:rPr>
              <w:t>, 41</w:t>
            </w:r>
            <w:r w:rsidRPr="00876EA1">
              <w:rPr>
                <w:rFonts w:ascii="Verdana" w:hAnsi="Verdana" w:cs="Arial"/>
                <w:color w:val="000000" w:themeColor="text1"/>
              </w:rPr>
              <w:t>.</w:t>
            </w:r>
          </w:p>
          <w:p w14:paraId="5FB88D97" w14:textId="77777777" w:rsidR="006B68FE" w:rsidRDefault="006B68FE" w:rsidP="00753252">
            <w:pPr>
              <w:widowControl w:val="0"/>
              <w:numPr>
                <w:ilvl w:val="0"/>
                <w:numId w:val="17"/>
              </w:numPr>
              <w:autoSpaceDE w:val="0"/>
              <w:autoSpaceDN w:val="0"/>
              <w:spacing w:line="276" w:lineRule="auto"/>
              <w:ind w:left="720"/>
              <w:jc w:val="both"/>
              <w:rPr>
                <w:rFonts w:ascii="Verdana" w:hAnsi="Verdana" w:cs="Arial"/>
                <w:color w:val="000000" w:themeColor="text1"/>
              </w:rPr>
            </w:pPr>
            <w:r w:rsidRPr="004202F6">
              <w:rPr>
                <w:rFonts w:ascii="Verdana" w:hAnsi="Verdana" w:cs="Arial"/>
              </w:rPr>
              <w:t>Ley 678 de 2001</w:t>
            </w:r>
            <w:r>
              <w:rPr>
                <w:rFonts w:ascii="Verdana" w:hAnsi="Verdana" w:cs="Arial"/>
              </w:rPr>
              <w:t>. Artículo</w:t>
            </w:r>
            <w:r w:rsidRPr="004202F6">
              <w:rPr>
                <w:rFonts w:ascii="Verdana" w:hAnsi="Verdana" w:cs="Arial"/>
              </w:rPr>
              <w:t xml:space="preserve"> </w:t>
            </w:r>
            <w:r>
              <w:rPr>
                <w:rFonts w:ascii="Verdana" w:hAnsi="Verdana" w:cs="Arial"/>
              </w:rPr>
              <w:t>2</w:t>
            </w:r>
          </w:p>
          <w:p w14:paraId="461CD1D1" w14:textId="77777777" w:rsidR="006B68FE" w:rsidRPr="00876EA1" w:rsidRDefault="006B68FE" w:rsidP="00753252">
            <w:pPr>
              <w:widowControl w:val="0"/>
              <w:numPr>
                <w:ilvl w:val="0"/>
                <w:numId w:val="17"/>
              </w:numPr>
              <w:autoSpaceDE w:val="0"/>
              <w:autoSpaceDN w:val="0"/>
              <w:spacing w:line="276" w:lineRule="auto"/>
              <w:ind w:left="720"/>
              <w:jc w:val="both"/>
              <w:rPr>
                <w:rFonts w:ascii="Verdana" w:hAnsi="Verdana" w:cs="Arial"/>
                <w:color w:val="000000" w:themeColor="text1"/>
              </w:rPr>
            </w:pPr>
            <w:r w:rsidRPr="00876EA1">
              <w:rPr>
                <w:rFonts w:ascii="Verdana" w:hAnsi="Verdana" w:cs="Arial"/>
                <w:color w:val="000000" w:themeColor="text1"/>
              </w:rPr>
              <w:t xml:space="preserve">Ley 1150 de 2007. Artículo 23. </w:t>
            </w:r>
          </w:p>
          <w:p w14:paraId="5AAA1158" w14:textId="77777777" w:rsidR="006B68FE" w:rsidRDefault="006B68FE" w:rsidP="00753252">
            <w:pPr>
              <w:widowControl w:val="0"/>
              <w:numPr>
                <w:ilvl w:val="0"/>
                <w:numId w:val="17"/>
              </w:numPr>
              <w:autoSpaceDE w:val="0"/>
              <w:autoSpaceDN w:val="0"/>
              <w:spacing w:line="276" w:lineRule="auto"/>
              <w:ind w:left="720"/>
              <w:jc w:val="both"/>
              <w:rPr>
                <w:rFonts w:ascii="Verdana" w:eastAsia="Calibri" w:hAnsi="Verdana" w:cs="Arial"/>
                <w:lang w:val="es-ES"/>
              </w:rPr>
            </w:pPr>
            <w:r w:rsidRPr="00596A79">
              <w:rPr>
                <w:rFonts w:ascii="Verdana" w:eastAsia="Calibri" w:hAnsi="Verdana" w:cs="Arial"/>
                <w:lang w:val="es-ES"/>
              </w:rPr>
              <w:t>Ley 1474 de 2011. Artículos 83, 84, 85 y 86</w:t>
            </w:r>
            <w:r w:rsidRPr="00876EA1">
              <w:rPr>
                <w:rFonts w:ascii="Verdana" w:eastAsia="Calibri" w:hAnsi="Verdana" w:cs="Arial"/>
                <w:lang w:val="es-ES"/>
              </w:rPr>
              <w:t>.</w:t>
            </w:r>
          </w:p>
          <w:p w14:paraId="640F9AE1" w14:textId="4CD2FA57" w:rsidR="00A84B4C" w:rsidRDefault="00A84B4C" w:rsidP="00753252">
            <w:pPr>
              <w:widowControl w:val="0"/>
              <w:numPr>
                <w:ilvl w:val="0"/>
                <w:numId w:val="17"/>
              </w:numPr>
              <w:autoSpaceDE w:val="0"/>
              <w:autoSpaceDN w:val="0"/>
              <w:spacing w:line="276" w:lineRule="auto"/>
              <w:ind w:left="720"/>
              <w:jc w:val="both"/>
              <w:rPr>
                <w:rFonts w:ascii="Verdana" w:eastAsia="Calibri" w:hAnsi="Verdana" w:cs="Arial"/>
                <w:lang w:val="es-ES"/>
              </w:rPr>
            </w:pPr>
            <w:r>
              <w:rPr>
                <w:rFonts w:ascii="Verdana" w:eastAsia="Calibri" w:hAnsi="Verdana" w:cs="Arial"/>
                <w:lang w:val="es-ES"/>
              </w:rPr>
              <w:t>Ley 1952 de 2919. Artículos 26, 27.</w:t>
            </w:r>
          </w:p>
          <w:p w14:paraId="496855AE" w14:textId="77777777" w:rsidR="006B68FE" w:rsidRPr="00FE0EC0" w:rsidRDefault="006B68FE" w:rsidP="00753252">
            <w:pPr>
              <w:widowControl w:val="0"/>
              <w:numPr>
                <w:ilvl w:val="0"/>
                <w:numId w:val="17"/>
              </w:numPr>
              <w:autoSpaceDE w:val="0"/>
              <w:autoSpaceDN w:val="0"/>
              <w:spacing w:line="276" w:lineRule="auto"/>
              <w:ind w:left="720"/>
              <w:jc w:val="both"/>
              <w:rPr>
                <w:rFonts w:ascii="Verdana" w:eastAsia="Calibri" w:hAnsi="Verdana" w:cs="Arial"/>
                <w:lang w:val="es-ES"/>
              </w:rPr>
            </w:pPr>
            <w:r w:rsidRPr="009857CA">
              <w:rPr>
                <w:rFonts w:ascii="Verdana" w:eastAsia="Calibri" w:hAnsi="Verdana" w:cs="Arial"/>
              </w:rPr>
              <w:t xml:space="preserve">Colombia Compra Eficiente. Guía para el ejercicio de las funciones de Supervisión e Interventoría de los contratos </w:t>
            </w:r>
            <w:r>
              <w:rPr>
                <w:rFonts w:ascii="Verdana" w:eastAsia="Calibri" w:hAnsi="Verdana" w:cs="Arial"/>
              </w:rPr>
              <w:t>suscritos por Entidades Estatales</w:t>
            </w:r>
          </w:p>
        </w:tc>
      </w:tr>
    </w:tbl>
    <w:p w14:paraId="51E1D35B" w14:textId="77777777" w:rsidR="006B68FE" w:rsidRDefault="006B68FE" w:rsidP="006B68FE">
      <w:pPr>
        <w:widowControl w:val="0"/>
        <w:autoSpaceDE w:val="0"/>
        <w:autoSpaceDN w:val="0"/>
        <w:spacing w:after="0" w:line="276" w:lineRule="auto"/>
        <w:jc w:val="both"/>
        <w:rPr>
          <w:rFonts w:ascii="Verdana" w:hAnsi="Verdana" w:cs="Arial"/>
        </w:rPr>
      </w:pPr>
    </w:p>
    <w:p w14:paraId="50B0F2B8" w14:textId="77777777" w:rsidR="006B68FE" w:rsidRPr="00125A1D" w:rsidRDefault="006B68FE" w:rsidP="006B68FE">
      <w:pPr>
        <w:widowControl w:val="0"/>
        <w:autoSpaceDE w:val="0"/>
        <w:autoSpaceDN w:val="0"/>
        <w:spacing w:after="0" w:line="276" w:lineRule="auto"/>
        <w:jc w:val="both"/>
        <w:rPr>
          <w:rFonts w:ascii="Verdana" w:hAnsi="Verdana" w:cs="Arial"/>
        </w:rPr>
      </w:pPr>
    </w:p>
    <w:p w14:paraId="2F5C6419" w14:textId="77777777" w:rsidR="006B68FE" w:rsidRPr="00125A1D" w:rsidRDefault="006B68FE" w:rsidP="006B68F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25A1D">
        <w:rPr>
          <w:rFonts w:ascii="Verdana" w:eastAsia="Century Gothic" w:hAnsi="Verdana" w:cs="Century Gothic"/>
          <w:b/>
          <w:bCs/>
        </w:rPr>
        <w:t>Doctrina de la Agencia Nacional de Contratación Pública:</w:t>
      </w:r>
    </w:p>
    <w:p w14:paraId="0678D21A" w14:textId="77777777" w:rsidR="006B68FE" w:rsidRPr="00125A1D" w:rsidRDefault="006B68FE" w:rsidP="006B68FE">
      <w:pPr>
        <w:widowControl w:val="0"/>
        <w:autoSpaceDE w:val="0"/>
        <w:autoSpaceDN w:val="0"/>
        <w:spacing w:after="0" w:line="276" w:lineRule="auto"/>
        <w:jc w:val="both"/>
        <w:rPr>
          <w:rFonts w:ascii="Verdana" w:hAnsi="Verdana" w:cs="Arial"/>
        </w:rPr>
      </w:pPr>
    </w:p>
    <w:p w14:paraId="6420D9B4" w14:textId="77777777" w:rsidR="006B68FE" w:rsidRPr="00125A1D" w:rsidRDefault="006B68FE" w:rsidP="006B68FE">
      <w:pPr>
        <w:widowControl w:val="0"/>
        <w:autoSpaceDE w:val="0"/>
        <w:autoSpaceDN w:val="0"/>
        <w:spacing w:after="0" w:line="276" w:lineRule="auto"/>
        <w:jc w:val="both"/>
        <w:rPr>
          <w:rStyle w:val="normaltextrun"/>
          <w:rFonts w:ascii="Verdana" w:hAnsi="Verdana"/>
          <w:color w:val="FF0000"/>
          <w:shd w:val="clear" w:color="auto" w:fill="FFFFFF"/>
          <w:lang w:val="es-ES"/>
        </w:rPr>
      </w:pPr>
      <w:r w:rsidRPr="00E55233">
        <w:rPr>
          <w:rFonts w:ascii="Verdana" w:hAnsi="Verdana" w:cs="Arial"/>
          <w:color w:val="000000" w:themeColor="text1"/>
          <w:shd w:val="clear" w:color="auto" w:fill="FFFFFF"/>
          <w:lang w:val="es-ES"/>
        </w:rPr>
        <w:t xml:space="preserve">Sobre la obligación de controlar y vigilar la ejecución de los contratos estatales, esta Subdirección se ha referido en los Conceptos </w:t>
      </w:r>
      <w:r w:rsidRPr="00E55233">
        <w:rPr>
          <w:rFonts w:ascii="Verdana" w:hAnsi="Verdana" w:cs="Arial"/>
          <w:color w:val="000000" w:themeColor="text1"/>
          <w:shd w:val="clear" w:color="auto" w:fill="FFFFFF"/>
          <w:lang w:val="es-ES_tradnl"/>
        </w:rPr>
        <w:t>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E55233">
        <w:rPr>
          <w:rFonts w:ascii="Verdana" w:hAnsi="Verdana" w:cs="Arial"/>
          <w:color w:val="000000" w:themeColor="text1"/>
          <w:shd w:val="clear" w:color="auto" w:fill="FFFFFF"/>
          <w:lang w:val="es-ES"/>
        </w:rPr>
        <w:t>,C-600 del 7 de octubre de 2024</w:t>
      </w:r>
      <w:r>
        <w:rPr>
          <w:rFonts w:ascii="Verdana" w:hAnsi="Verdana" w:cs="Arial"/>
          <w:color w:val="000000" w:themeColor="text1"/>
          <w:shd w:val="clear" w:color="auto" w:fill="FFFFFF"/>
          <w:lang w:val="es-ES"/>
        </w:rPr>
        <w:t xml:space="preserve">,  C-972 de 22 de enero de 2025, C-358 del 14 de abril de 2025, C-459 del 14 de mayo de 2025, C-1075 de 2025 </w:t>
      </w:r>
      <w:r w:rsidRPr="00125A1D">
        <w:rPr>
          <w:rFonts w:ascii="Verdana" w:hAnsi="Verdana" w:cs="Arial"/>
          <w:shd w:val="clear" w:color="auto" w:fill="FFFFFF"/>
        </w:rPr>
        <w:t>entre otros.</w:t>
      </w:r>
      <w:r w:rsidRPr="00125A1D">
        <w:rPr>
          <w:rStyle w:val="normaltextrun"/>
          <w:rFonts w:ascii="Verdana" w:hAnsi="Verdana" w:cs="Arial"/>
          <w:shd w:val="clear" w:color="auto" w:fill="FFFFFF"/>
          <w:lang w:val="es-ES"/>
        </w:rPr>
        <w:t xml:space="preserve"> Es</w:t>
      </w:r>
      <w:r w:rsidRPr="00125A1D">
        <w:rPr>
          <w:rFonts w:ascii="Verdana" w:hAnsi="Verdana"/>
        </w:rPr>
        <w:t>tos y otros conceptos se encuentran disponibles para consulta en el Sistema de relatoría de la Agencia, al cual se puede acceder a través del siguiente enlace:</w:t>
      </w:r>
      <w:r w:rsidRPr="00125A1D">
        <w:rPr>
          <w:rStyle w:val="normaltextrun"/>
          <w:rFonts w:ascii="Verdana" w:hAnsi="Verdana" w:cs="Arial"/>
          <w:shd w:val="clear" w:color="auto" w:fill="FFFFFF"/>
          <w:lang w:val="es-ES"/>
        </w:rPr>
        <w:t xml:space="preserve"> </w:t>
      </w:r>
      <w:hyperlink r:id="rId14" w:history="1">
        <w:r w:rsidRPr="009857CA">
          <w:rPr>
            <w:rStyle w:val="Hipervnculo"/>
            <w:rFonts w:ascii="Verdana" w:hAnsi="Verdana" w:cs="Arial"/>
            <w:shd w:val="clear" w:color="auto" w:fill="FFFFFF"/>
            <w:lang w:val="es-ES"/>
          </w:rPr>
          <w:t>https://relatoria.colombiacompra.gov.co/busqueda/conceptos</w:t>
        </w:r>
      </w:hyperlink>
      <w:r w:rsidRPr="009857CA">
        <w:rPr>
          <w:rStyle w:val="normaltextrun"/>
          <w:rFonts w:ascii="Verdana" w:hAnsi="Verdana" w:cs="Arial"/>
          <w:color w:val="FF0000"/>
          <w:shd w:val="clear" w:color="auto" w:fill="FFFFFF"/>
          <w:lang w:val="es-ES"/>
        </w:rPr>
        <w:t xml:space="preserve">. </w:t>
      </w:r>
    </w:p>
    <w:p w14:paraId="5B4CB950" w14:textId="77777777" w:rsidR="006B68FE" w:rsidRPr="00125A1D" w:rsidRDefault="006B68FE" w:rsidP="006B68FE">
      <w:pPr>
        <w:spacing w:after="0" w:line="276" w:lineRule="auto"/>
        <w:jc w:val="both"/>
        <w:rPr>
          <w:rFonts w:ascii="Verdana" w:hAnsi="Verdana"/>
        </w:rPr>
      </w:pPr>
    </w:p>
    <w:p w14:paraId="296E139F" w14:textId="77777777" w:rsidR="006B68FE" w:rsidRPr="00125A1D" w:rsidRDefault="006B68FE" w:rsidP="006B68FE">
      <w:pPr>
        <w:spacing w:after="0" w:line="276" w:lineRule="auto"/>
        <w:jc w:val="both"/>
        <w:rPr>
          <w:rFonts w:ascii="Verdana" w:hAnsi="Verdana"/>
        </w:rPr>
      </w:pPr>
      <w:r w:rsidRPr="00125A1D">
        <w:rPr>
          <w:rFonts w:ascii="Verdana" w:hAnsi="Verdana"/>
        </w:rPr>
        <w:t xml:space="preserve">Por último, lo invitamos a seguirnos en las redes sociales en las cuales se difunde información institucional: </w:t>
      </w:r>
    </w:p>
    <w:p w14:paraId="7EF38144" w14:textId="77777777" w:rsidR="006B68FE" w:rsidRPr="00125A1D" w:rsidRDefault="006B68FE" w:rsidP="006B68FE">
      <w:pPr>
        <w:spacing w:after="0" w:line="276" w:lineRule="auto"/>
        <w:jc w:val="both"/>
        <w:rPr>
          <w:rFonts w:ascii="Verdana" w:hAnsi="Verdana"/>
        </w:rPr>
      </w:pPr>
    </w:p>
    <w:p w14:paraId="5EB30AFB" w14:textId="77777777" w:rsidR="006B68FE" w:rsidRPr="00125A1D" w:rsidRDefault="006B68FE" w:rsidP="006B68FE">
      <w:pPr>
        <w:spacing w:after="0" w:line="276" w:lineRule="auto"/>
        <w:jc w:val="both"/>
        <w:rPr>
          <w:rFonts w:ascii="Verdana" w:hAnsi="Verdana"/>
        </w:rPr>
      </w:pPr>
      <w:r w:rsidRPr="00125A1D">
        <w:rPr>
          <w:rFonts w:ascii="Verdana" w:hAnsi="Verdana"/>
        </w:rPr>
        <w:lastRenderedPageBreak/>
        <w:t xml:space="preserve">Twitter: </w:t>
      </w:r>
      <w:r w:rsidRPr="00125A1D">
        <w:rPr>
          <w:rStyle w:val="Hipervnculo"/>
          <w:rFonts w:ascii="Verdana" w:hAnsi="Verdana"/>
          <w:color w:val="4472C4" w:themeColor="accent1"/>
        </w:rPr>
        <w:t>@colombiacompra</w:t>
      </w:r>
      <w:r w:rsidRPr="00125A1D">
        <w:rPr>
          <w:rFonts w:ascii="Verdana" w:hAnsi="Verdana"/>
          <w:color w:val="4472C4" w:themeColor="accent1"/>
        </w:rPr>
        <w:t xml:space="preserve"> </w:t>
      </w:r>
    </w:p>
    <w:p w14:paraId="15B93400" w14:textId="77777777" w:rsidR="006B68FE" w:rsidRPr="00125A1D" w:rsidRDefault="006B68FE" w:rsidP="006B68FE">
      <w:pPr>
        <w:spacing w:after="0" w:line="276" w:lineRule="auto"/>
        <w:jc w:val="both"/>
        <w:rPr>
          <w:rFonts w:ascii="Verdana" w:hAnsi="Verdana"/>
        </w:rPr>
      </w:pPr>
      <w:r w:rsidRPr="00125A1D">
        <w:rPr>
          <w:rFonts w:ascii="Verdana" w:hAnsi="Verdana"/>
        </w:rPr>
        <w:t xml:space="preserve">Facebook: </w:t>
      </w:r>
      <w:r w:rsidRPr="00125A1D">
        <w:rPr>
          <w:rStyle w:val="Hipervnculo"/>
          <w:rFonts w:ascii="Verdana" w:hAnsi="Verdana"/>
          <w:color w:val="4472C4" w:themeColor="accent1"/>
        </w:rPr>
        <w:t>ColombiaCompraEficiente</w:t>
      </w:r>
    </w:p>
    <w:p w14:paraId="7D0C9E4A" w14:textId="77777777" w:rsidR="006B68FE" w:rsidRPr="00125A1D" w:rsidRDefault="006B68FE" w:rsidP="006B68FE">
      <w:pPr>
        <w:spacing w:after="0" w:line="276" w:lineRule="auto"/>
        <w:jc w:val="both"/>
        <w:rPr>
          <w:rFonts w:ascii="Verdana" w:hAnsi="Verdana"/>
        </w:rPr>
      </w:pPr>
      <w:r w:rsidRPr="00125A1D">
        <w:rPr>
          <w:rFonts w:ascii="Verdana" w:hAnsi="Verdana"/>
        </w:rPr>
        <w:t xml:space="preserve">LinkedIn: </w:t>
      </w:r>
      <w:r w:rsidRPr="00125A1D">
        <w:rPr>
          <w:rStyle w:val="Hipervnculo"/>
          <w:rFonts w:ascii="Verdana" w:hAnsi="Verdana"/>
          <w:color w:val="4472C4" w:themeColor="accent1"/>
        </w:rPr>
        <w:t>Agencia Nacional de Contratación Pública - Colombia Compra Eficiente</w:t>
      </w:r>
      <w:r w:rsidRPr="00125A1D">
        <w:rPr>
          <w:rFonts w:ascii="Verdana" w:hAnsi="Verdana"/>
          <w:color w:val="4472C4" w:themeColor="accent1"/>
        </w:rPr>
        <w:t xml:space="preserve"> </w:t>
      </w:r>
      <w:r w:rsidRPr="00125A1D">
        <w:rPr>
          <w:rFonts w:ascii="Verdana" w:hAnsi="Verdana"/>
        </w:rPr>
        <w:t xml:space="preserve">Instagram: </w:t>
      </w:r>
      <w:r w:rsidRPr="00125A1D">
        <w:rPr>
          <w:rStyle w:val="Hipervnculo"/>
          <w:rFonts w:ascii="Verdana" w:hAnsi="Verdana"/>
          <w:color w:val="4472C4" w:themeColor="accent1"/>
        </w:rPr>
        <w:t>@colombiacompraeficiente_cce</w:t>
      </w:r>
    </w:p>
    <w:p w14:paraId="68218939" w14:textId="77777777" w:rsidR="006B68FE" w:rsidRPr="00125A1D" w:rsidRDefault="006B68FE" w:rsidP="006B68FE">
      <w:pPr>
        <w:widowControl w:val="0"/>
        <w:autoSpaceDE w:val="0"/>
        <w:autoSpaceDN w:val="0"/>
        <w:spacing w:after="0" w:line="276" w:lineRule="auto"/>
        <w:jc w:val="both"/>
        <w:rPr>
          <w:rFonts w:ascii="Verdana" w:hAnsi="Verdana" w:cs="Arial"/>
        </w:rPr>
      </w:pPr>
    </w:p>
    <w:p w14:paraId="699A31C9" w14:textId="77777777" w:rsidR="006B68FE" w:rsidRPr="00125A1D" w:rsidRDefault="006B68FE" w:rsidP="006B68FE">
      <w:pPr>
        <w:widowControl w:val="0"/>
        <w:autoSpaceDE w:val="0"/>
        <w:autoSpaceDN w:val="0"/>
        <w:spacing w:after="0" w:line="276" w:lineRule="auto"/>
        <w:jc w:val="both"/>
        <w:rPr>
          <w:rFonts w:ascii="Verdana" w:hAnsi="Verdana" w:cs="Arial"/>
          <w:lang w:val="es-ES_tradnl"/>
        </w:rPr>
      </w:pPr>
      <w:r w:rsidRPr="00125A1D">
        <w:rPr>
          <w:rFonts w:ascii="Verdana" w:hAnsi="Verdana" w:cs="Arial"/>
        </w:rPr>
        <w:t xml:space="preserve">Este concepto tiene el alcance previsto en el artículo 28 del Código de Procedimiento Administrativo y de lo Contencioso Administrativo </w:t>
      </w:r>
      <w:r w:rsidRPr="00125A1D">
        <w:rPr>
          <w:rFonts w:ascii="Verdana" w:hAnsi="Verdana" w:cs="Arial"/>
          <w:lang w:val="es-ES_tradnl"/>
        </w:rPr>
        <w:t>y las expresiones aquí utilizadas con mayúscula inicial deben ser entendidas con el significado que les otorga el artículo 2.2.1.1.1.3.1. del Decreto 1082 de 2015.</w:t>
      </w:r>
    </w:p>
    <w:p w14:paraId="5B74E34E" w14:textId="77777777" w:rsidR="006B68FE" w:rsidRPr="00125A1D" w:rsidRDefault="006B68FE" w:rsidP="006B68FE">
      <w:pPr>
        <w:widowControl w:val="0"/>
        <w:autoSpaceDE w:val="0"/>
        <w:autoSpaceDN w:val="0"/>
        <w:spacing w:after="0" w:line="276" w:lineRule="auto"/>
        <w:jc w:val="both"/>
        <w:rPr>
          <w:rFonts w:ascii="Verdana" w:hAnsi="Verdana" w:cs="Arial"/>
        </w:rPr>
      </w:pPr>
    </w:p>
    <w:p w14:paraId="2E4107C5" w14:textId="77777777" w:rsidR="006B68FE" w:rsidRPr="00125A1D" w:rsidRDefault="006B68FE" w:rsidP="006B68FE">
      <w:pPr>
        <w:spacing w:after="0" w:line="276" w:lineRule="auto"/>
        <w:rPr>
          <w:rFonts w:ascii="Verdana" w:hAnsi="Verdana" w:cs="Arial"/>
          <w:lang w:eastAsia="es-CO"/>
        </w:rPr>
      </w:pPr>
      <w:bookmarkStart w:id="6" w:name="_Hlk208479366"/>
      <w:r w:rsidRPr="00125A1D">
        <w:rPr>
          <w:rFonts w:ascii="Verdana" w:eastAsia="Times New Roman" w:hAnsi="Verdana" w:cs="Arial"/>
          <w:lang w:eastAsia="es-CO"/>
        </w:rPr>
        <w:t>Atentamente,</w:t>
      </w:r>
      <w:r w:rsidRPr="00125A1D">
        <w:rPr>
          <w:rFonts w:ascii="Verdana" w:hAnsi="Verdana" w:cs="Arial"/>
          <w:lang w:eastAsia="es-CO"/>
        </w:rPr>
        <w:t xml:space="preserve"> </w:t>
      </w:r>
    </w:p>
    <w:p w14:paraId="0FD3E1A4" w14:textId="4AED87DE" w:rsidR="006B68FE" w:rsidRDefault="001F5748" w:rsidP="006B68FE">
      <w:pPr>
        <w:spacing w:line="276" w:lineRule="auto"/>
        <w:jc w:val="center"/>
        <w:rPr>
          <w:rFonts w:ascii="Verdana" w:hAnsi="Verdana" w:cs="Arial"/>
          <w:color w:val="000000"/>
          <w:lang w:val="es-ES_tradnl" w:eastAsia="es-CO"/>
        </w:rPr>
      </w:pPr>
      <w:r>
        <w:rPr>
          <w:noProof/>
        </w:rPr>
        <w:drawing>
          <wp:inline distT="0" distB="0" distL="0" distR="0" wp14:anchorId="15823AE0" wp14:editId="40195414">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B68FE" w14:paraId="0924176F" w14:textId="77777777" w:rsidTr="00753252">
        <w:trPr>
          <w:trHeight w:val="315"/>
        </w:trPr>
        <w:tc>
          <w:tcPr>
            <w:tcW w:w="893" w:type="dxa"/>
            <w:vAlign w:val="center"/>
            <w:hideMark/>
          </w:tcPr>
          <w:p w14:paraId="4E841895" w14:textId="77777777" w:rsidR="006B68FE" w:rsidRDefault="006B68FE" w:rsidP="00753252">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CAFFB53" w14:textId="77777777" w:rsidR="006B68FE" w:rsidRDefault="006B68FE" w:rsidP="00753252">
            <w:pPr>
              <w:spacing w:after="255"/>
              <w:contextualSpacing/>
              <w:rPr>
                <w:rFonts w:ascii="Verdana" w:eastAsia="Arial" w:hAnsi="Verdana" w:cs="Arial"/>
                <w:sz w:val="16"/>
                <w:szCs w:val="16"/>
              </w:rPr>
            </w:pPr>
            <w:r>
              <w:rPr>
                <w:rStyle w:val="normaltextrun"/>
                <w:rFonts w:ascii="Verdana" w:hAnsi="Verdana"/>
                <w:sz w:val="16"/>
                <w:szCs w:val="16"/>
              </w:rPr>
              <w:t>Catalina Cubides Estupiñan</w:t>
            </w:r>
          </w:p>
          <w:p w14:paraId="464967E8" w14:textId="77777777" w:rsidR="006B68FE" w:rsidRDefault="006B68FE" w:rsidP="00753252">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6B68FE" w14:paraId="23CBE97D" w14:textId="77777777" w:rsidTr="00753252">
        <w:trPr>
          <w:trHeight w:val="330"/>
        </w:trPr>
        <w:tc>
          <w:tcPr>
            <w:tcW w:w="893" w:type="dxa"/>
            <w:vAlign w:val="center"/>
            <w:hideMark/>
          </w:tcPr>
          <w:p w14:paraId="48A3C33B" w14:textId="77777777" w:rsidR="006B68FE" w:rsidRDefault="006B68FE" w:rsidP="00753252">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D859A54" w14:textId="77777777" w:rsidR="006B68FE" w:rsidRDefault="006B68FE" w:rsidP="00753252">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Juan Carlos González Vásquez</w:t>
            </w:r>
          </w:p>
          <w:p w14:paraId="197E77F0" w14:textId="77777777" w:rsidR="006B68FE" w:rsidRDefault="006B68FE" w:rsidP="00753252">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6B68FE" w14:paraId="2F7D1C4F" w14:textId="77777777" w:rsidTr="00753252">
        <w:trPr>
          <w:trHeight w:val="300"/>
        </w:trPr>
        <w:tc>
          <w:tcPr>
            <w:tcW w:w="893" w:type="dxa"/>
            <w:vAlign w:val="center"/>
            <w:hideMark/>
          </w:tcPr>
          <w:p w14:paraId="60C915D5" w14:textId="77777777" w:rsidR="006B68FE" w:rsidRDefault="006B68FE" w:rsidP="00753252">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D5779C7" w14:textId="77777777" w:rsidR="006B68FE" w:rsidRDefault="006B68FE" w:rsidP="00753252">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Carolina Quintero Gacharná</w:t>
            </w:r>
          </w:p>
          <w:p w14:paraId="3FE78243" w14:textId="77777777" w:rsidR="006B68FE" w:rsidRDefault="006B68FE" w:rsidP="00753252">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Contractual ANCP – CCE</w:t>
            </w:r>
          </w:p>
        </w:tc>
      </w:tr>
      <w:bookmarkEnd w:id="6"/>
    </w:tbl>
    <w:p w14:paraId="6DB3BF9D" w14:textId="77777777" w:rsidR="006B68FE" w:rsidRPr="0015699B" w:rsidRDefault="006B68FE" w:rsidP="006B68FE">
      <w:pPr>
        <w:spacing w:after="0"/>
        <w:rPr>
          <w:rFonts w:ascii="Verdana" w:eastAsia="Times New Roman" w:hAnsi="Verdana" w:cs="Segoe UI"/>
          <w:lang w:eastAsia="es-CO"/>
        </w:rPr>
      </w:pPr>
    </w:p>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4972CD" w14:textId="77777777" w:rsidR="00D43918" w:rsidRDefault="00D43918" w:rsidP="004A1847">
      <w:pPr>
        <w:spacing w:after="0" w:line="240" w:lineRule="auto"/>
      </w:pPr>
      <w:r>
        <w:separator/>
      </w:r>
    </w:p>
  </w:endnote>
  <w:endnote w:type="continuationSeparator" w:id="0">
    <w:p w14:paraId="57C19088" w14:textId="77777777" w:rsidR="00D43918" w:rsidRDefault="00D43918" w:rsidP="004A1847">
      <w:pPr>
        <w:spacing w:after="0" w:line="240" w:lineRule="auto"/>
      </w:pPr>
      <w:r>
        <w:continuationSeparator/>
      </w:r>
    </w:p>
  </w:endnote>
  <w:endnote w:type="continuationNotice" w:id="1">
    <w:p w14:paraId="271754D0" w14:textId="77777777" w:rsidR="00D43918" w:rsidRDefault="00D439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DC607" w14:textId="77777777" w:rsidR="00D43918" w:rsidRDefault="00D43918" w:rsidP="004A1847">
      <w:pPr>
        <w:spacing w:after="0" w:line="240" w:lineRule="auto"/>
      </w:pPr>
      <w:r>
        <w:separator/>
      </w:r>
    </w:p>
  </w:footnote>
  <w:footnote w:type="continuationSeparator" w:id="0">
    <w:p w14:paraId="1A30A230" w14:textId="77777777" w:rsidR="00D43918" w:rsidRDefault="00D43918" w:rsidP="004A1847">
      <w:pPr>
        <w:spacing w:after="0" w:line="240" w:lineRule="auto"/>
      </w:pPr>
      <w:r>
        <w:continuationSeparator/>
      </w:r>
    </w:p>
  </w:footnote>
  <w:footnote w:type="continuationNotice" w:id="1">
    <w:p w14:paraId="3E666203" w14:textId="77777777" w:rsidR="00D43918" w:rsidRDefault="00D43918">
      <w:pPr>
        <w:spacing w:after="0" w:line="240" w:lineRule="auto"/>
      </w:pPr>
    </w:p>
  </w:footnote>
  <w:footnote w:id="2">
    <w:p w14:paraId="55A224EE" w14:textId="77777777" w:rsidR="006B68FE" w:rsidRPr="00690BA5" w:rsidRDefault="006B68FE" w:rsidP="006B68FE">
      <w:pPr>
        <w:pStyle w:val="Textonotapie"/>
        <w:ind w:firstLine="709"/>
        <w:jc w:val="both"/>
        <w:rPr>
          <w:rFonts w:ascii="Verdana" w:hAnsi="Verdana"/>
          <w:sz w:val="14"/>
          <w:szCs w:val="14"/>
        </w:rPr>
      </w:pPr>
      <w:r w:rsidRPr="00690BA5">
        <w:rPr>
          <w:rFonts w:ascii="Verdana" w:hAnsi="Verdana"/>
          <w:sz w:val="14"/>
          <w:szCs w:val="14"/>
          <w:vertAlign w:val="superscript"/>
        </w:rPr>
        <w:footnoteRef/>
      </w:r>
      <w:r w:rsidRPr="00690BA5">
        <w:rPr>
          <w:rFonts w:ascii="Verdana" w:hAnsi="Verdana"/>
          <w:sz w:val="14"/>
          <w:szCs w:val="14"/>
        </w:rPr>
        <w:t xml:space="preserve"> Consejo de Estado. Sección 3ª. Sentencia del 27 de noviembre de 2017. M.P. Jaime Orlando Santofimio. Exp. 51.802.</w:t>
      </w:r>
    </w:p>
  </w:footnote>
  <w:footnote w:id="3">
    <w:p w14:paraId="486F96E0" w14:textId="77777777" w:rsidR="006B68FE" w:rsidRPr="00690BA5" w:rsidRDefault="006B68FE" w:rsidP="006B68FE">
      <w:pPr>
        <w:pStyle w:val="Textonotapie"/>
        <w:ind w:firstLine="709"/>
        <w:jc w:val="both"/>
        <w:rPr>
          <w:rFonts w:ascii="Verdana" w:hAnsi="Verdana"/>
          <w:sz w:val="14"/>
          <w:szCs w:val="14"/>
        </w:rPr>
      </w:pPr>
      <w:r w:rsidRPr="00690BA5">
        <w:rPr>
          <w:rFonts w:ascii="Verdana" w:hAnsi="Verdana"/>
          <w:sz w:val="14"/>
          <w:szCs w:val="14"/>
          <w:vertAlign w:val="superscript"/>
        </w:rPr>
        <w:footnoteRef/>
      </w:r>
      <w:r w:rsidRPr="00690BA5">
        <w:rPr>
          <w:rFonts w:ascii="Verdana" w:hAnsi="Verdana"/>
          <w:sz w:val="14"/>
          <w:szCs w:val="14"/>
        </w:rPr>
        <w:t xml:space="preserve"> A excepción de la interventoría del contrato de obra adjudicado por licitación pública que es obligatoria según el numeral 1° del artículo 32 de la Ley 80 de 1993.</w:t>
      </w:r>
    </w:p>
  </w:footnote>
  <w:footnote w:id="4">
    <w:p w14:paraId="7BFBF619" w14:textId="77777777" w:rsidR="006B68FE" w:rsidRPr="00690BA5" w:rsidRDefault="006B68FE" w:rsidP="006B68FE">
      <w:pPr>
        <w:pStyle w:val="Textonotapie"/>
        <w:ind w:firstLine="709"/>
        <w:jc w:val="both"/>
        <w:rPr>
          <w:rFonts w:ascii="Verdana" w:hAnsi="Verdana"/>
          <w:sz w:val="14"/>
          <w:szCs w:val="14"/>
          <w:lang w:val="es-ES"/>
        </w:rPr>
      </w:pPr>
      <w:r w:rsidRPr="00690BA5">
        <w:rPr>
          <w:rStyle w:val="Refdenotaalpie"/>
          <w:rFonts w:ascii="Verdana" w:hAnsi="Verdana"/>
          <w:sz w:val="14"/>
          <w:szCs w:val="14"/>
        </w:rPr>
        <w:footnoteRef/>
      </w:r>
      <w:r w:rsidRPr="00690BA5">
        <w:rPr>
          <w:rFonts w:ascii="Verdana" w:hAnsi="Verdana"/>
          <w:sz w:val="14"/>
          <w:szCs w:val="14"/>
        </w:rPr>
        <w:t xml:space="preserve"> iacompra.gov.co/wp-content/uploads/2024/08/2018-Guia-para-el-ejercicio-de-las-funciones-de-supervision-e-interventoria-de-los-contratos-suscritos-por-las-Entidades-Estatales-G-EFSICE-02.pdf </w:t>
      </w:r>
    </w:p>
  </w:footnote>
  <w:footnote w:id="5">
    <w:p w14:paraId="0C1D1E69" w14:textId="77777777" w:rsidR="006B68FE" w:rsidRPr="008C3537" w:rsidRDefault="006B68FE" w:rsidP="006B68FE">
      <w:pPr>
        <w:pStyle w:val="Textonotapie"/>
        <w:rPr>
          <w:lang w:val="es-ES"/>
        </w:rPr>
      </w:pPr>
      <w:r>
        <w:rPr>
          <w:rStyle w:val="Refdenotaalpie"/>
        </w:rPr>
        <w:footnoteRef/>
      </w:r>
      <w:r>
        <w:t xml:space="preserve"> </w:t>
      </w:r>
      <w:r w:rsidRPr="008C0D28">
        <w:rPr>
          <w:rFonts w:ascii="Verdana" w:hAnsi="Verdana"/>
          <w:sz w:val="14"/>
          <w:szCs w:val="14"/>
          <w:lang w:val="es-ES"/>
        </w:rPr>
        <w:t>Numeral 2 Artículo 26 Ley 80 de 1993</w:t>
      </w:r>
    </w:p>
  </w:footnote>
  <w:footnote w:id="6">
    <w:p w14:paraId="54246967" w14:textId="77777777" w:rsidR="006B68FE" w:rsidRPr="008C0D28" w:rsidRDefault="006B68FE" w:rsidP="006B68FE">
      <w:pPr>
        <w:pStyle w:val="Textonotapie"/>
        <w:rPr>
          <w:rFonts w:ascii="Verdana" w:hAnsi="Verdana"/>
          <w:sz w:val="14"/>
          <w:szCs w:val="14"/>
          <w:lang w:val="es-ES"/>
        </w:rPr>
      </w:pPr>
      <w:r w:rsidRPr="008C0D28">
        <w:rPr>
          <w:rStyle w:val="Refdenotaalpie"/>
          <w:rFonts w:ascii="Verdana" w:hAnsi="Verdana"/>
          <w:sz w:val="14"/>
          <w:szCs w:val="14"/>
        </w:rPr>
        <w:footnoteRef/>
      </w:r>
      <w:r w:rsidRPr="008C0D28">
        <w:rPr>
          <w:rFonts w:ascii="Verdana" w:hAnsi="Verdana"/>
          <w:sz w:val="14"/>
          <w:szCs w:val="14"/>
        </w:rPr>
        <w:t xml:space="preserve"> </w:t>
      </w:r>
      <w:r w:rsidRPr="008C0D28">
        <w:rPr>
          <w:rFonts w:ascii="Verdana" w:hAnsi="Verdana"/>
          <w:sz w:val="14"/>
          <w:szCs w:val="14"/>
          <w:lang w:val="es-ES"/>
        </w:rPr>
        <w:t>Articulo 1 Ley 610 de 2000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6"/>
  </w:num>
  <w:num w:numId="8">
    <w:abstractNumId w:val="12"/>
  </w:num>
  <w:num w:numId="9">
    <w:abstractNumId w:val="8"/>
  </w:num>
  <w:num w:numId="10">
    <w:abstractNumId w:val="11"/>
  </w:num>
  <w:num w:numId="11">
    <w:abstractNumId w:val="9"/>
  </w:num>
  <w:num w:numId="12">
    <w:abstractNumId w:val="1"/>
  </w:num>
  <w:num w:numId="13">
    <w:abstractNumId w:val="4"/>
  </w:num>
  <w:num w:numId="14">
    <w:abstractNumId w:val="14"/>
  </w:num>
  <w:num w:numId="15">
    <w:abstractNumId w:val="10"/>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2138"/>
    <w:rsid w:val="000A683E"/>
    <w:rsid w:val="000B19B9"/>
    <w:rsid w:val="000D0334"/>
    <w:rsid w:val="000D5DA7"/>
    <w:rsid w:val="000F6486"/>
    <w:rsid w:val="00116940"/>
    <w:rsid w:val="00125105"/>
    <w:rsid w:val="00127233"/>
    <w:rsid w:val="00152035"/>
    <w:rsid w:val="0015699B"/>
    <w:rsid w:val="00171C49"/>
    <w:rsid w:val="001A33BF"/>
    <w:rsid w:val="001E4177"/>
    <w:rsid w:val="001F0B24"/>
    <w:rsid w:val="001F5748"/>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86D8B"/>
    <w:rsid w:val="00497E81"/>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B68FE"/>
    <w:rsid w:val="00706C16"/>
    <w:rsid w:val="00727B79"/>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A69B8"/>
    <w:rsid w:val="008B25F1"/>
    <w:rsid w:val="008D180B"/>
    <w:rsid w:val="008D7334"/>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84B4C"/>
    <w:rsid w:val="00AB0ADB"/>
    <w:rsid w:val="00B00C0E"/>
    <w:rsid w:val="00B01B1A"/>
    <w:rsid w:val="00B01E1A"/>
    <w:rsid w:val="00B0381D"/>
    <w:rsid w:val="00B44A47"/>
    <w:rsid w:val="00B72CD3"/>
    <w:rsid w:val="00B72FFF"/>
    <w:rsid w:val="00BC3D36"/>
    <w:rsid w:val="00BD54A6"/>
    <w:rsid w:val="00BD67E2"/>
    <w:rsid w:val="00BD7F72"/>
    <w:rsid w:val="00BF7425"/>
    <w:rsid w:val="00C04FB3"/>
    <w:rsid w:val="00C11D8B"/>
    <w:rsid w:val="00C15139"/>
    <w:rsid w:val="00C213C0"/>
    <w:rsid w:val="00C330EB"/>
    <w:rsid w:val="00C50D69"/>
    <w:rsid w:val="00C5365C"/>
    <w:rsid w:val="00C754BE"/>
    <w:rsid w:val="00C76B1C"/>
    <w:rsid w:val="00C925AC"/>
    <w:rsid w:val="00CB6357"/>
    <w:rsid w:val="00CC1B26"/>
    <w:rsid w:val="00D361FD"/>
    <w:rsid w:val="00D423A2"/>
    <w:rsid w:val="00D43918"/>
    <w:rsid w:val="00D44E26"/>
    <w:rsid w:val="00D520D8"/>
    <w:rsid w:val="00D63AC2"/>
    <w:rsid w:val="00D7383B"/>
    <w:rsid w:val="00D7788A"/>
    <w:rsid w:val="00DA231B"/>
    <w:rsid w:val="00DB33E3"/>
    <w:rsid w:val="00DC0766"/>
    <w:rsid w:val="00DC39FC"/>
    <w:rsid w:val="00DF5254"/>
    <w:rsid w:val="00E01384"/>
    <w:rsid w:val="00E02524"/>
    <w:rsid w:val="00E16408"/>
    <w:rsid w:val="00E20894"/>
    <w:rsid w:val="00E245AB"/>
    <w:rsid w:val="00E2764C"/>
    <w:rsid w:val="00E27F2E"/>
    <w:rsid w:val="00E50AFE"/>
    <w:rsid w:val="00E50FAD"/>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61BD"/>
    <w:rsid w:val="00FF7963"/>
    <w:rsid w:val="071B8F93"/>
    <w:rsid w:val="09908A09"/>
    <w:rsid w:val="0A7A68F2"/>
    <w:rsid w:val="0FF4CCA8"/>
    <w:rsid w:val="13CFC91B"/>
    <w:rsid w:val="183A3556"/>
    <w:rsid w:val="19A2EC2C"/>
    <w:rsid w:val="213957AE"/>
    <w:rsid w:val="225EF6C4"/>
    <w:rsid w:val="231135D3"/>
    <w:rsid w:val="2859CA1B"/>
    <w:rsid w:val="32A4F9CF"/>
    <w:rsid w:val="356CEDFD"/>
    <w:rsid w:val="444501FC"/>
    <w:rsid w:val="482F51F8"/>
    <w:rsid w:val="4E11A087"/>
    <w:rsid w:val="64C966B2"/>
    <w:rsid w:val="69614A15"/>
    <w:rsid w:val="78ACA22D"/>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6B68FE"/>
    <w:rPr>
      <w:rFonts w:ascii="Geomanist Light" w:hAnsi="Geomanist Light"/>
      <w:lang w:val="es-ES"/>
    </w:rPr>
  </w:style>
  <w:style w:type="paragraph" w:customStyle="1" w:styleId="Appelnotedebasde">
    <w:name w:val="Appel note de bas de..."/>
    <w:basedOn w:val="Normal"/>
    <w:link w:val="Refdenotaalpie"/>
    <w:uiPriority w:val="99"/>
    <w:rsid w:val="006B68FE"/>
    <w:pPr>
      <w:spacing w:line="240" w:lineRule="exact"/>
    </w:pPr>
    <w:rPr>
      <w:vertAlign w:val="superscript"/>
    </w:rPr>
  </w:style>
  <w:style w:type="character" w:customStyle="1" w:styleId="NormalWebCar">
    <w:name w:val="Normal (Web) Car"/>
    <w:link w:val="NormalWeb"/>
    <w:uiPriority w:val="99"/>
    <w:rsid w:val="006B68FE"/>
    <w:rPr>
      <w:rFonts w:ascii="Times New Roman" w:eastAsia="Times New Roman" w:hAnsi="Times New Roman" w:cs="Times New Roman"/>
      <w:sz w:val="24"/>
      <w:szCs w:val="24"/>
      <w:lang w:eastAsia="es-CO"/>
    </w:rPr>
  </w:style>
  <w:style w:type="paragraph" w:styleId="Sinespaciado">
    <w:name w:val="No Spacing"/>
    <w:aliases w:val="No Indent"/>
    <w:link w:val="SinespaciadoCar"/>
    <w:uiPriority w:val="3"/>
    <w:qFormat/>
    <w:rsid w:val="006B68FE"/>
    <w:pPr>
      <w:spacing w:after="0" w:line="240" w:lineRule="auto"/>
    </w:pPr>
    <w:rPr>
      <w:sz w:val="24"/>
      <w:lang w:val="es-MX"/>
    </w:rPr>
  </w:style>
  <w:style w:type="character" w:customStyle="1" w:styleId="SinespaciadoCar">
    <w:name w:val="Sin espaciado Car"/>
    <w:aliases w:val="No Indent Car"/>
    <w:link w:val="Sinespaciado"/>
    <w:uiPriority w:val="3"/>
    <w:rsid w:val="006B68FE"/>
    <w:rPr>
      <w:sz w:val="24"/>
      <w:lang w:val="es-MX"/>
    </w:rPr>
  </w:style>
  <w:style w:type="paragraph" w:styleId="Textocomentario">
    <w:name w:val="annotation text"/>
    <w:basedOn w:val="Normal"/>
    <w:link w:val="TextocomentarioCar"/>
    <w:uiPriority w:val="99"/>
    <w:semiHidden/>
    <w:unhideWhenUsed/>
    <w:rsid w:val="00727B79"/>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27B79"/>
    <w:rPr>
      <w:sz w:val="20"/>
      <w:szCs w:val="20"/>
    </w:rPr>
  </w:style>
  <w:style w:type="character" w:styleId="Refdecomentario">
    <w:name w:val="annotation reference"/>
    <w:basedOn w:val="Fuentedeprrafopredeter"/>
    <w:uiPriority w:val="99"/>
    <w:semiHidden/>
    <w:unhideWhenUsed/>
    <w:rsid w:val="00727B79"/>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715890335">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ecretariasenado.gov.co/senado/basedoc/ley_1952_2019.htm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ecretariasenado.gov.co/senado/basedoc/ley_1952_2019.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tevenromero.juridico@hotmail.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tmp"/><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B5841E1-5045-4170-8E48-462D80224C72}"/>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12</Pages>
  <Words>3574</Words>
  <Characters>19662</Characters>
  <Application>Microsoft Office Word</Application>
  <DocSecurity>0</DocSecurity>
  <Lines>163</Lines>
  <Paragraphs>46</Paragraphs>
  <ScaleCrop>false</ScaleCrop>
  <Company/>
  <LinksUpToDate>false</LinksUpToDate>
  <CharactersWithSpaces>23190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cp:revision>
  <cp:lastPrinted>2023-01-10T21:18:00Z</cp:lastPrinted>
  <dcterms:created xsi:type="dcterms:W3CDTF">2025-12-19T00:16:00Z</dcterms:created>
  <dcterms:modified xsi:type="dcterms:W3CDTF">2025-12-26T12:27:00Z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