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91E02" w14:textId="70CDE259" w:rsidR="00056CD6" w:rsidRPr="00056CD6" w:rsidRDefault="00056CD6" w:rsidP="00056CD6">
      <w:pPr>
        <w:pStyle w:val="Textoindependiente"/>
        <w:contextualSpacing/>
        <w:jc w:val="both"/>
        <w:rPr>
          <w:b/>
        </w:rPr>
      </w:pPr>
      <w:bookmarkStart w:id="0" w:name="_Hlk143780582"/>
      <w:r w:rsidRPr="00056CD6">
        <w:rPr>
          <w:b/>
        </w:rPr>
        <w:t>SELECCIÓN OBJETIVA ― Noción y factores de escogencia</w:t>
      </w:r>
    </w:p>
    <w:p w14:paraId="6DF6F19A" w14:textId="77777777" w:rsidR="00056CD6" w:rsidRPr="00056CD6" w:rsidRDefault="00056CD6" w:rsidP="00056CD6">
      <w:pPr>
        <w:pStyle w:val="Textoindependiente"/>
        <w:contextualSpacing/>
        <w:jc w:val="both"/>
        <w:rPr>
          <w:b/>
        </w:rPr>
      </w:pPr>
    </w:p>
    <w:p w14:paraId="43AEE8D4" w14:textId="6378282E" w:rsidR="00056CD6" w:rsidRPr="00193326" w:rsidRDefault="00056CD6" w:rsidP="00056CD6">
      <w:pPr>
        <w:pStyle w:val="Textoindependiente"/>
        <w:contextualSpacing/>
        <w:jc w:val="both"/>
        <w:rPr>
          <w:rFonts w:cs="Arial"/>
          <w:color w:val="000000" w:themeColor="text1"/>
          <w:sz w:val="20"/>
          <w:szCs w:val="20"/>
          <w:lang w:val="es-ES_tradnl"/>
        </w:rPr>
      </w:pPr>
      <w:r w:rsidRPr="00193326">
        <w:rPr>
          <w:rFonts w:cs="Arial"/>
          <w:color w:val="000000" w:themeColor="text1"/>
          <w:sz w:val="20"/>
          <w:szCs w:val="20"/>
          <w:lang w:val="es-ES_tradnl"/>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193326">
        <w:rPr>
          <w:rFonts w:cs="Arial"/>
          <w:i/>
          <w:iCs/>
          <w:color w:val="000000" w:themeColor="text1"/>
          <w:sz w:val="20"/>
          <w:szCs w:val="20"/>
          <w:lang w:val="es-ES_tradnl"/>
        </w:rPr>
        <w:t>.</w:t>
      </w:r>
      <w:r w:rsidRPr="00193326">
        <w:rPr>
          <w:rFonts w:cs="Arial"/>
          <w:color w:val="000000" w:themeColor="text1"/>
          <w:sz w:val="20"/>
          <w:szCs w:val="20"/>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07305796" w14:textId="77777777" w:rsidR="00056CD6" w:rsidRPr="00056CD6" w:rsidRDefault="00056CD6" w:rsidP="00056CD6">
      <w:pPr>
        <w:pStyle w:val="Textoindependiente"/>
        <w:contextualSpacing/>
        <w:jc w:val="both"/>
        <w:rPr>
          <w:b/>
        </w:rPr>
      </w:pPr>
    </w:p>
    <w:p w14:paraId="76A71A69" w14:textId="4B20EBE5" w:rsidR="00056CD6" w:rsidRPr="004B7931" w:rsidRDefault="00056CD6" w:rsidP="00056CD6">
      <w:pPr>
        <w:pStyle w:val="Textoindependiente"/>
        <w:contextualSpacing/>
        <w:jc w:val="both"/>
        <w:rPr>
          <w:b/>
          <w:bCs/>
        </w:rPr>
      </w:pPr>
      <w:r w:rsidRPr="00056CD6">
        <w:rPr>
          <w:b/>
        </w:rPr>
        <w:t>REQUISITOS HABILITANTES DE LA LEY 1150 DE 2007 ― Carácter enunciativo</w:t>
      </w:r>
      <w:r w:rsidR="004B7931" w:rsidRPr="004B7931">
        <w:rPr>
          <w:rFonts w:eastAsia="Calibri" w:cs="Arial"/>
          <w:lang w:eastAsia="es-ES_tradnl"/>
        </w:rPr>
        <w:t xml:space="preserve"> </w:t>
      </w:r>
      <w:r w:rsidR="004B7931">
        <w:rPr>
          <w:rFonts w:eastAsia="Calibri" w:cs="Arial"/>
          <w:lang w:eastAsia="es-ES_tradnl"/>
        </w:rPr>
        <w:t xml:space="preserve">- </w:t>
      </w:r>
      <w:r w:rsidR="004B7931" w:rsidRPr="004B7931">
        <w:rPr>
          <w:rFonts w:eastAsia="Calibri" w:cs="Arial"/>
          <w:b/>
          <w:bCs/>
          <w:lang w:eastAsia="es-ES_tradnl"/>
        </w:rPr>
        <w:t>Proporcionalidad y adecuación</w:t>
      </w:r>
    </w:p>
    <w:p w14:paraId="4969FD9D" w14:textId="77777777" w:rsidR="00933A01" w:rsidRDefault="00933A01" w:rsidP="001A677F">
      <w:pPr>
        <w:pStyle w:val="Textoindependiente"/>
        <w:contextualSpacing/>
        <w:jc w:val="both"/>
        <w:rPr>
          <w:rFonts w:eastAsia="Times New Roman" w:cs="Arial"/>
          <w:lang w:val="es-ES_tradnl" w:eastAsia="es-MX"/>
        </w:rPr>
      </w:pPr>
    </w:p>
    <w:p w14:paraId="1063F7E7" w14:textId="4DEE48C1" w:rsidR="001A677F" w:rsidRPr="00193326" w:rsidRDefault="00056CD6" w:rsidP="00933A01">
      <w:pPr>
        <w:pStyle w:val="Textoindependiente"/>
        <w:contextualSpacing/>
        <w:jc w:val="both"/>
        <w:rPr>
          <w:rFonts w:eastAsia="Times New Roman" w:cs="Arial"/>
          <w:sz w:val="20"/>
          <w:szCs w:val="20"/>
          <w:lang w:val="es-ES_tradnl" w:eastAsia="es-MX"/>
        </w:rPr>
      </w:pPr>
      <w:r w:rsidRPr="00193326">
        <w:rPr>
          <w:rFonts w:eastAsia="Times New Roman"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628BB421" w14:textId="77777777" w:rsidR="000741E8" w:rsidRPr="00193326" w:rsidRDefault="000741E8" w:rsidP="00933A01">
      <w:pPr>
        <w:pStyle w:val="Textoindependiente"/>
        <w:contextualSpacing/>
        <w:jc w:val="both"/>
        <w:rPr>
          <w:rFonts w:eastAsia="Times New Roman" w:cs="Arial"/>
          <w:sz w:val="20"/>
          <w:szCs w:val="20"/>
          <w:lang w:val="es-ES_tradnl" w:eastAsia="es-MX"/>
        </w:rPr>
      </w:pPr>
    </w:p>
    <w:p w14:paraId="66F2C72C" w14:textId="6E253A50" w:rsidR="00056CD6" w:rsidRPr="00193326" w:rsidRDefault="001A677F" w:rsidP="00056CD6">
      <w:pPr>
        <w:pStyle w:val="Textoindependiente"/>
        <w:contextualSpacing/>
        <w:jc w:val="both"/>
        <w:rPr>
          <w:rFonts w:eastAsia="Times New Roman" w:cs="Arial"/>
          <w:bCs/>
          <w:sz w:val="20"/>
          <w:szCs w:val="20"/>
          <w:lang w:val="es-ES_tradnl" w:eastAsia="es-MX" w:bidi="es-ES"/>
        </w:rPr>
      </w:pPr>
      <w:r w:rsidRPr="00193326">
        <w:rPr>
          <w:rFonts w:eastAsia="Times New Roman" w:cs="Arial"/>
          <w:sz w:val="20"/>
          <w:szCs w:val="20"/>
          <w:lang w:val="es-ES_tradnl" w:eastAsia="es-MX"/>
        </w:rPr>
        <w:t>[…]</w:t>
      </w:r>
      <w:r w:rsidR="000714DC" w:rsidRPr="00193326">
        <w:rPr>
          <w:rFonts w:eastAsia="Times New Roman" w:cs="Arial"/>
          <w:sz w:val="20"/>
          <w:szCs w:val="20"/>
          <w:lang w:val="es-ES_tradnl" w:eastAsia="es-MX"/>
        </w:rPr>
        <w:t xml:space="preserve"> </w:t>
      </w:r>
      <w:r w:rsidR="000714DC" w:rsidRPr="00193326">
        <w:rPr>
          <w:rFonts w:eastAsia="Times New Roman" w:cs="Arial"/>
          <w:bCs/>
          <w:sz w:val="20"/>
          <w:szCs w:val="20"/>
          <w:lang w:val="es-ES_tradnl" w:eastAsia="es-MX" w:bidi="es-ES"/>
        </w:rPr>
        <w:t xml:space="preserve">En especial, señala la Ley que los criterios habilitantes que determine la Entidad deberán ser </w:t>
      </w:r>
      <w:r w:rsidR="000714DC" w:rsidRPr="00193326">
        <w:rPr>
          <w:rFonts w:eastAsia="Times New Roman" w:cs="Arial"/>
          <w:bCs/>
          <w:i/>
          <w:iCs/>
          <w:sz w:val="20"/>
          <w:szCs w:val="20"/>
          <w:lang w:val="es-ES_tradnl" w:eastAsia="es-MX" w:bidi="es-ES"/>
        </w:rPr>
        <w:t>adecuados y proporcionales</w:t>
      </w:r>
      <w:r w:rsidR="000714DC" w:rsidRPr="00193326">
        <w:rPr>
          <w:rFonts w:eastAsia="Times New Roman"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193326">
        <w:rPr>
          <w:rFonts w:eastAsia="Times New Roman" w:cs="Arial"/>
          <w:sz w:val="20"/>
          <w:szCs w:val="20"/>
          <w:lang w:val="es-ES_tradnl" w:eastAsia="es-MX"/>
        </w:rPr>
        <w:t xml:space="preserve"> </w:t>
      </w:r>
      <w:r w:rsidR="00933A01" w:rsidRPr="00193326">
        <w:rPr>
          <w:rFonts w:eastAsia="Times New Roman" w:cs="Arial"/>
          <w:sz w:val="20"/>
          <w:szCs w:val="20"/>
          <w:lang w:eastAsia="es-MX"/>
        </w:rPr>
        <w:t>[…]</w:t>
      </w:r>
    </w:p>
    <w:p w14:paraId="64BAD977" w14:textId="77777777" w:rsidR="00313CC3" w:rsidRDefault="00313CC3" w:rsidP="00313CC3">
      <w:pPr>
        <w:spacing w:after="0" w:line="240" w:lineRule="auto"/>
        <w:rPr>
          <w:rFonts w:ascii="Verdana" w:hAnsi="Verdana"/>
        </w:rPr>
      </w:pPr>
    </w:p>
    <w:p w14:paraId="787F1A01" w14:textId="35A297D6" w:rsidR="00313CC3" w:rsidRPr="0076474D" w:rsidRDefault="006E0C24" w:rsidP="00313CC3">
      <w:pPr>
        <w:spacing w:after="0" w:line="240" w:lineRule="auto"/>
        <w:rPr>
          <w:rFonts w:ascii="Verdana" w:hAnsi="Verdana"/>
          <w:b/>
        </w:rPr>
      </w:pPr>
      <w:r w:rsidRPr="006E0C24">
        <w:rPr>
          <w:rFonts w:ascii="Verdana" w:eastAsia="Calibri" w:hAnsi="Verdana" w:cs="Arial"/>
          <w:b/>
          <w:lang w:val="es-ES" w:eastAsia="es-ES_tradnl"/>
        </w:rPr>
        <w:t xml:space="preserve">PATENTES – Definición – Requisito habilitante </w:t>
      </w:r>
    </w:p>
    <w:p w14:paraId="04F8A215" w14:textId="77777777" w:rsidR="009A5105" w:rsidRDefault="009A5105" w:rsidP="009A5105">
      <w:pPr>
        <w:spacing w:after="0" w:line="240" w:lineRule="auto"/>
        <w:rPr>
          <w:rFonts w:ascii="Verdana" w:hAnsi="Verdana"/>
        </w:rPr>
      </w:pPr>
    </w:p>
    <w:p w14:paraId="45288943" w14:textId="77777777" w:rsidR="00D75B1B" w:rsidRDefault="00D75B1B" w:rsidP="0076474D">
      <w:pPr>
        <w:spacing w:after="0" w:line="240" w:lineRule="auto"/>
        <w:jc w:val="both"/>
        <w:rPr>
          <w:rFonts w:ascii="Verdana" w:hAnsi="Verdana"/>
          <w:sz w:val="20"/>
          <w:szCs w:val="20"/>
        </w:rPr>
      </w:pPr>
      <w:r w:rsidRPr="00D75B1B">
        <w:rPr>
          <w:rFonts w:ascii="Verdana" w:hAnsi="Verdana"/>
          <w:sz w:val="20"/>
          <w:szCs w:val="20"/>
        </w:rPr>
        <w:t>el artículo 14 de la Decisión 486 de la Comisión de la Comunidad Andina, aplicable a Colombia en materia de propiedad industrial y derechos de autor, dispone que “Los Países Miembros otorgarán patentes para las invenciones, sean de producto o de procedimiento, en todos los campos de la tecnología, siempre que sean nuevas, tengan nivel inventivo y sean susceptibles de aplicación industrial”. De esta manera, la patente “es un privilegio que le otorga el Estado al inventor como reconocimiento de la inversión y esfuerzos realizados por éste para lograr una solución técnica que le aporte beneficios a la humanidad. Dicho privilegio consiste en el derecho a explotar exclusivamente el invento por un tiempo determinado</w:t>
      </w:r>
      <w:r>
        <w:rPr>
          <w:rFonts w:ascii="Verdana" w:hAnsi="Verdana"/>
          <w:sz w:val="20"/>
          <w:szCs w:val="20"/>
        </w:rPr>
        <w:t>.</w:t>
      </w:r>
    </w:p>
    <w:p w14:paraId="3A06FF5A" w14:textId="77777777" w:rsidR="00D75B1B" w:rsidRDefault="00D75B1B" w:rsidP="0076474D">
      <w:pPr>
        <w:spacing w:after="0" w:line="240" w:lineRule="auto"/>
        <w:jc w:val="both"/>
        <w:rPr>
          <w:rFonts w:ascii="Verdana" w:hAnsi="Verdana"/>
          <w:sz w:val="20"/>
          <w:szCs w:val="20"/>
        </w:rPr>
      </w:pPr>
    </w:p>
    <w:p w14:paraId="56BF13DF" w14:textId="7B6A3F07" w:rsidR="00D75B1B" w:rsidRDefault="00D75B1B" w:rsidP="0076474D">
      <w:pPr>
        <w:spacing w:after="0" w:line="240" w:lineRule="auto"/>
        <w:jc w:val="both"/>
        <w:rPr>
          <w:rFonts w:ascii="Verdana" w:hAnsi="Verdana"/>
          <w:sz w:val="20"/>
          <w:szCs w:val="20"/>
        </w:rPr>
      </w:pPr>
      <w:r w:rsidRPr="00193326">
        <w:rPr>
          <w:rFonts w:eastAsia="Times New Roman" w:cs="Arial"/>
          <w:sz w:val="20"/>
          <w:szCs w:val="20"/>
          <w:lang w:eastAsia="es-MX"/>
        </w:rPr>
        <w:t>[…]</w:t>
      </w:r>
    </w:p>
    <w:p w14:paraId="49D61424" w14:textId="77777777" w:rsidR="00D75B1B" w:rsidRDefault="00D75B1B" w:rsidP="0076474D">
      <w:pPr>
        <w:spacing w:after="0" w:line="240" w:lineRule="auto"/>
        <w:jc w:val="both"/>
        <w:rPr>
          <w:rFonts w:ascii="Verdana" w:hAnsi="Verdana"/>
          <w:sz w:val="20"/>
          <w:szCs w:val="20"/>
        </w:rPr>
      </w:pPr>
    </w:p>
    <w:p w14:paraId="28286223" w14:textId="77777777" w:rsidR="009E1278" w:rsidRPr="009E1278" w:rsidRDefault="009E1278" w:rsidP="009E1278">
      <w:pPr>
        <w:spacing w:after="0" w:line="240" w:lineRule="auto"/>
        <w:jc w:val="both"/>
        <w:rPr>
          <w:rFonts w:ascii="Verdana" w:eastAsia="Arial" w:hAnsi="Verdana" w:cs="Arial"/>
          <w:color w:val="000000"/>
          <w:sz w:val="20"/>
          <w:szCs w:val="20"/>
        </w:rPr>
      </w:pPr>
      <w:r w:rsidRPr="009E1278">
        <w:rPr>
          <w:rFonts w:ascii="Verdana" w:eastAsia="Arial" w:hAnsi="Verdana" w:cs="Arial"/>
          <w:color w:val="000000"/>
          <w:sz w:val="20"/>
          <w:szCs w:val="20"/>
        </w:rPr>
        <w:t xml:space="preserve">las Entidades Estatales tienen el deber de gestionar los activos de propiedad intelectual involucrados en sus procesos de contratación, desde la etapa de planeación hasta la </w:t>
      </w:r>
      <w:r w:rsidRPr="009E1278">
        <w:rPr>
          <w:rFonts w:ascii="Verdana" w:eastAsia="Arial" w:hAnsi="Verdana" w:cs="Arial"/>
          <w:color w:val="000000"/>
          <w:sz w:val="20"/>
          <w:szCs w:val="20"/>
        </w:rPr>
        <w:lastRenderedPageBreak/>
        <w:t>ejecución contractual. Este análisis adquiere especial relevancia, toda vez que la existencia de una patente puede incidir directamente en la identificación de los potenciales oferentes y en la definición de la modalidad de selección aplicable. De igual forma, permite a la Entidad establecer, con criterios de necesidad y proporcionalidad, los requisitos habilitantes que resultan exigibles, evitando requisitos que puedan limitar la libre competencia cuando existan alternativas técnicas o funcionales no protegidas por derechos de propiedad industrial.</w:t>
      </w:r>
    </w:p>
    <w:p w14:paraId="132159C9" w14:textId="77777777" w:rsidR="00260097" w:rsidRDefault="00260097" w:rsidP="00260097">
      <w:pPr>
        <w:spacing w:after="0" w:line="240" w:lineRule="auto"/>
        <w:jc w:val="both"/>
        <w:rPr>
          <w:rFonts w:ascii="Verdana" w:eastAsia="Arial" w:hAnsi="Verdana" w:cs="Arial"/>
          <w:color w:val="000000"/>
          <w:sz w:val="20"/>
          <w:szCs w:val="20"/>
        </w:rPr>
      </w:pPr>
    </w:p>
    <w:p w14:paraId="304997CE" w14:textId="5CA7241D" w:rsidR="009E1278" w:rsidRPr="009E1278" w:rsidRDefault="009E1278" w:rsidP="00260097">
      <w:pPr>
        <w:spacing w:after="0" w:line="240" w:lineRule="auto"/>
        <w:jc w:val="both"/>
        <w:rPr>
          <w:rFonts w:ascii="Verdana" w:eastAsia="Arial" w:hAnsi="Verdana" w:cs="Arial"/>
          <w:color w:val="000000"/>
          <w:sz w:val="20"/>
          <w:szCs w:val="20"/>
        </w:rPr>
      </w:pPr>
      <w:r w:rsidRPr="009E1278">
        <w:rPr>
          <w:rFonts w:ascii="Verdana" w:eastAsia="Arial" w:hAnsi="Verdana" w:cs="Arial"/>
          <w:color w:val="000000"/>
          <w:sz w:val="20"/>
          <w:szCs w:val="20"/>
        </w:rPr>
        <w:t xml:space="preserve">En ese sentido, cuando del análisis previo y del Estudio del Sector se determine que el objeto a contratar implica la adquisición de bienes que se encuentran protegidos por patente, resulta indispensable que la Entidad verifique que los potenciales oferentes cuentan con el derecho para su uso o explotación. Por lo anterior, es jurídicamente procedente y necesario que, en estos casos, se exija como requisito habilitante la presentación de la documentación que acredite el licenciamiento comercial de la patente correspondiente, en la medida en que dicho licenciamiento constituye una condición esencial para la participación en el proceso de contratación y para la ejecución del contrato. </w:t>
      </w:r>
    </w:p>
    <w:p w14:paraId="7BD02840" w14:textId="77777777" w:rsidR="00F66AFB" w:rsidRDefault="00F66AFB" w:rsidP="009A5105">
      <w:pPr>
        <w:spacing w:after="0" w:line="240" w:lineRule="auto"/>
        <w:rPr>
          <w:rFonts w:ascii="Verdana" w:hAnsi="Verdana"/>
        </w:rPr>
      </w:pPr>
    </w:p>
    <w:p w14:paraId="09F66868" w14:textId="77777777" w:rsidR="00F66AFB" w:rsidRDefault="00F66AFB" w:rsidP="009A5105">
      <w:pPr>
        <w:spacing w:after="0" w:line="240" w:lineRule="auto"/>
        <w:rPr>
          <w:rFonts w:ascii="Verdana" w:hAnsi="Verdana"/>
        </w:rPr>
      </w:pPr>
    </w:p>
    <w:p w14:paraId="7D41D955" w14:textId="77777777" w:rsidR="00F66AFB" w:rsidRDefault="00F66AFB" w:rsidP="009A5105">
      <w:pPr>
        <w:spacing w:after="0" w:line="240" w:lineRule="auto"/>
        <w:rPr>
          <w:rFonts w:ascii="Verdana" w:hAnsi="Verdana"/>
        </w:rPr>
      </w:pPr>
    </w:p>
    <w:p w14:paraId="23D5B091" w14:textId="77777777" w:rsidR="00F66AFB" w:rsidRDefault="00F66AFB" w:rsidP="009A5105">
      <w:pPr>
        <w:spacing w:after="0" w:line="240" w:lineRule="auto"/>
        <w:rPr>
          <w:rFonts w:ascii="Verdana" w:hAnsi="Verdana"/>
        </w:rPr>
      </w:pPr>
    </w:p>
    <w:p w14:paraId="49CDA243" w14:textId="77777777" w:rsidR="00F66AFB" w:rsidRDefault="00F66AFB" w:rsidP="009A5105">
      <w:pPr>
        <w:spacing w:after="0" w:line="240" w:lineRule="auto"/>
        <w:rPr>
          <w:rFonts w:ascii="Verdana" w:hAnsi="Verdana"/>
        </w:rPr>
      </w:pPr>
    </w:p>
    <w:p w14:paraId="779E6FA6" w14:textId="77777777" w:rsidR="00F66AFB" w:rsidRDefault="00F66AFB" w:rsidP="009A5105">
      <w:pPr>
        <w:spacing w:after="0" w:line="240" w:lineRule="auto"/>
        <w:rPr>
          <w:rFonts w:ascii="Verdana" w:hAnsi="Verdana"/>
        </w:rPr>
      </w:pPr>
    </w:p>
    <w:p w14:paraId="4B75143B" w14:textId="77777777" w:rsidR="00F66AFB" w:rsidRDefault="00F66AFB" w:rsidP="009A5105">
      <w:pPr>
        <w:spacing w:after="0" w:line="240" w:lineRule="auto"/>
        <w:rPr>
          <w:rFonts w:ascii="Verdana" w:hAnsi="Verdana"/>
        </w:rPr>
      </w:pPr>
    </w:p>
    <w:p w14:paraId="472596A0" w14:textId="77777777" w:rsidR="00F66AFB" w:rsidRDefault="00F66AFB" w:rsidP="009A5105">
      <w:pPr>
        <w:spacing w:after="0" w:line="240" w:lineRule="auto"/>
        <w:rPr>
          <w:rFonts w:ascii="Verdana" w:hAnsi="Verdana"/>
        </w:rPr>
      </w:pPr>
    </w:p>
    <w:p w14:paraId="74256DE9" w14:textId="77777777" w:rsidR="00F66AFB" w:rsidRDefault="00F66AFB" w:rsidP="009A5105">
      <w:pPr>
        <w:spacing w:after="0" w:line="240" w:lineRule="auto"/>
        <w:rPr>
          <w:rFonts w:ascii="Verdana" w:hAnsi="Verdana"/>
        </w:rPr>
      </w:pPr>
    </w:p>
    <w:p w14:paraId="3B94EB61" w14:textId="77777777" w:rsidR="00F66AFB" w:rsidRDefault="00F66AFB" w:rsidP="009A5105">
      <w:pPr>
        <w:spacing w:after="0" w:line="240" w:lineRule="auto"/>
        <w:rPr>
          <w:rFonts w:ascii="Verdana" w:hAnsi="Verdana"/>
        </w:rPr>
      </w:pPr>
    </w:p>
    <w:p w14:paraId="11FDF801" w14:textId="77777777" w:rsidR="00F66AFB" w:rsidRDefault="00F66AFB" w:rsidP="009A5105">
      <w:pPr>
        <w:spacing w:after="0" w:line="240" w:lineRule="auto"/>
        <w:rPr>
          <w:rFonts w:ascii="Verdana" w:hAnsi="Verdana"/>
        </w:rPr>
      </w:pPr>
    </w:p>
    <w:p w14:paraId="7E9F0182" w14:textId="77777777" w:rsidR="00F66AFB" w:rsidRDefault="00F66AFB" w:rsidP="009A5105">
      <w:pPr>
        <w:spacing w:after="0" w:line="240" w:lineRule="auto"/>
        <w:rPr>
          <w:rFonts w:ascii="Verdana" w:hAnsi="Verdana"/>
        </w:rPr>
      </w:pPr>
    </w:p>
    <w:p w14:paraId="5533EC1E" w14:textId="77777777" w:rsidR="00F66AFB" w:rsidRDefault="00F66AFB" w:rsidP="009A5105">
      <w:pPr>
        <w:spacing w:after="0" w:line="240" w:lineRule="auto"/>
        <w:rPr>
          <w:rFonts w:ascii="Verdana" w:hAnsi="Verdana"/>
        </w:rPr>
      </w:pPr>
    </w:p>
    <w:p w14:paraId="560FDF98" w14:textId="77777777" w:rsidR="00F66AFB" w:rsidRDefault="00F66AFB" w:rsidP="009A5105">
      <w:pPr>
        <w:spacing w:after="0" w:line="240" w:lineRule="auto"/>
        <w:rPr>
          <w:rFonts w:ascii="Verdana" w:hAnsi="Verdana"/>
        </w:rPr>
      </w:pPr>
    </w:p>
    <w:p w14:paraId="6CDCFB29" w14:textId="77777777" w:rsidR="00F66AFB" w:rsidRDefault="00F66AFB" w:rsidP="009A5105">
      <w:pPr>
        <w:spacing w:after="0" w:line="240" w:lineRule="auto"/>
        <w:rPr>
          <w:rFonts w:ascii="Verdana" w:hAnsi="Verdana"/>
        </w:rPr>
      </w:pPr>
    </w:p>
    <w:p w14:paraId="2AB247A8" w14:textId="77777777" w:rsidR="00F66AFB" w:rsidRDefault="00F66AFB" w:rsidP="009A5105">
      <w:pPr>
        <w:spacing w:after="0" w:line="240" w:lineRule="auto"/>
        <w:rPr>
          <w:rFonts w:ascii="Verdana" w:hAnsi="Verdana"/>
        </w:rPr>
      </w:pPr>
    </w:p>
    <w:p w14:paraId="39DFAE57" w14:textId="77777777" w:rsidR="00F66AFB" w:rsidRDefault="00F66AFB" w:rsidP="009A5105">
      <w:pPr>
        <w:spacing w:after="0" w:line="240" w:lineRule="auto"/>
        <w:rPr>
          <w:rFonts w:ascii="Verdana" w:hAnsi="Verdana"/>
        </w:rPr>
      </w:pPr>
    </w:p>
    <w:p w14:paraId="307845A8" w14:textId="77777777" w:rsidR="00F66AFB" w:rsidRDefault="00F66AFB" w:rsidP="009A5105">
      <w:pPr>
        <w:spacing w:after="0" w:line="240" w:lineRule="auto"/>
        <w:rPr>
          <w:rFonts w:ascii="Verdana" w:hAnsi="Verdana"/>
        </w:rPr>
      </w:pPr>
    </w:p>
    <w:p w14:paraId="70E59BD2" w14:textId="77777777" w:rsidR="00F66AFB" w:rsidRDefault="00F66AFB" w:rsidP="009A5105">
      <w:pPr>
        <w:spacing w:after="0" w:line="240" w:lineRule="auto"/>
        <w:rPr>
          <w:rFonts w:ascii="Verdana" w:hAnsi="Verdana"/>
        </w:rPr>
      </w:pPr>
    </w:p>
    <w:p w14:paraId="5D7FE48A" w14:textId="77777777" w:rsidR="00F66AFB" w:rsidRDefault="00F66AFB" w:rsidP="009A5105">
      <w:pPr>
        <w:spacing w:after="0" w:line="240" w:lineRule="auto"/>
        <w:rPr>
          <w:rFonts w:ascii="Verdana" w:hAnsi="Verdana"/>
        </w:rPr>
      </w:pPr>
    </w:p>
    <w:p w14:paraId="657ADF56" w14:textId="77777777" w:rsidR="00F66AFB" w:rsidRDefault="00F66AFB" w:rsidP="009A5105">
      <w:pPr>
        <w:spacing w:after="0" w:line="240" w:lineRule="auto"/>
        <w:rPr>
          <w:rFonts w:ascii="Verdana" w:hAnsi="Verdana"/>
        </w:rPr>
      </w:pPr>
    </w:p>
    <w:p w14:paraId="0E342D88" w14:textId="77777777" w:rsidR="00F66AFB" w:rsidRDefault="00F66AFB" w:rsidP="009A5105">
      <w:pPr>
        <w:spacing w:after="0" w:line="240" w:lineRule="auto"/>
        <w:rPr>
          <w:rFonts w:ascii="Verdana" w:hAnsi="Verdana"/>
        </w:rPr>
      </w:pPr>
    </w:p>
    <w:p w14:paraId="20079582" w14:textId="77777777" w:rsidR="00F66AFB" w:rsidRDefault="00F66AFB" w:rsidP="009A5105">
      <w:pPr>
        <w:spacing w:after="0" w:line="240" w:lineRule="auto"/>
        <w:rPr>
          <w:rFonts w:ascii="Verdana" w:hAnsi="Verdana"/>
        </w:rPr>
      </w:pPr>
    </w:p>
    <w:p w14:paraId="2B13B22F" w14:textId="77777777" w:rsidR="001B24ED" w:rsidRDefault="001B24ED" w:rsidP="00746D08">
      <w:pPr>
        <w:spacing w:after="0" w:line="240" w:lineRule="auto"/>
        <w:rPr>
          <w:rFonts w:ascii="Verdana" w:hAnsi="Verdana"/>
        </w:rPr>
      </w:pPr>
    </w:p>
    <w:p w14:paraId="5F50646C" w14:textId="77777777" w:rsidR="00260097" w:rsidRDefault="00260097" w:rsidP="00746D08">
      <w:pPr>
        <w:spacing w:after="0" w:line="240" w:lineRule="auto"/>
        <w:rPr>
          <w:rFonts w:ascii="Verdana" w:hAnsi="Verdana"/>
        </w:rPr>
      </w:pPr>
    </w:p>
    <w:p w14:paraId="0D93162B" w14:textId="77777777" w:rsidR="001B24ED" w:rsidRDefault="001B24ED" w:rsidP="00746D08">
      <w:pPr>
        <w:spacing w:after="0" w:line="240" w:lineRule="auto"/>
        <w:rPr>
          <w:rFonts w:ascii="Verdana" w:hAnsi="Verdana"/>
        </w:rPr>
      </w:pPr>
    </w:p>
    <w:p w14:paraId="750067F0" w14:textId="77777777" w:rsidR="001B24ED" w:rsidRDefault="001B24ED" w:rsidP="00746D08">
      <w:pPr>
        <w:spacing w:after="0" w:line="240" w:lineRule="auto"/>
        <w:rPr>
          <w:rFonts w:ascii="Verdana" w:hAnsi="Verdana"/>
        </w:rPr>
      </w:pPr>
    </w:p>
    <w:p w14:paraId="6E9A72DE" w14:textId="060C22FF" w:rsidR="00746D08" w:rsidRPr="008F0726" w:rsidRDefault="00746D08" w:rsidP="00746D08">
      <w:pPr>
        <w:spacing w:after="0" w:line="240" w:lineRule="auto"/>
        <w:rPr>
          <w:rFonts w:ascii="Verdana" w:eastAsia="Geomanist Light" w:hAnsi="Verdana" w:cs="Arial"/>
          <w:color w:val="201F1E"/>
          <w:lang w:val="es-MX"/>
        </w:rPr>
      </w:pPr>
      <w:r w:rsidRPr="008F0726">
        <w:rPr>
          <w:rFonts w:ascii="Verdana" w:hAnsi="Verdana"/>
        </w:rPr>
        <w:lastRenderedPageBreak/>
        <w:t xml:space="preserve">Bogotá D.C., </w:t>
      </w:r>
      <w:r w:rsidR="001B24ED">
        <w:rPr>
          <w:rFonts w:ascii="Verdana" w:eastAsia="Geomanist Light" w:hAnsi="Verdana" w:cs="Arial"/>
          <w:color w:val="201F1E"/>
          <w:lang w:val="es-MX"/>
        </w:rPr>
        <w:t>16 de diciembre de 2025</w:t>
      </w:r>
    </w:p>
    <w:p w14:paraId="3635B046" w14:textId="77777777" w:rsidR="00746D08" w:rsidRDefault="00746D08" w:rsidP="00746D08">
      <w:pPr>
        <w:spacing w:after="0" w:line="240" w:lineRule="auto"/>
        <w:rPr>
          <w:rFonts w:ascii="Verdana" w:hAnsi="Verdana"/>
        </w:rPr>
      </w:pPr>
    </w:p>
    <w:p w14:paraId="13044D85" w14:textId="59C7361F" w:rsidR="00AA36A5" w:rsidRPr="008F0726" w:rsidRDefault="00AA36A5" w:rsidP="00AA36A5">
      <w:pPr>
        <w:spacing w:after="0" w:line="240" w:lineRule="auto"/>
        <w:jc w:val="right"/>
        <w:rPr>
          <w:rFonts w:ascii="Verdana" w:hAnsi="Verdana"/>
        </w:rPr>
      </w:pPr>
      <w:r w:rsidRPr="00AA36A5">
        <w:rPr>
          <w:rFonts w:ascii="Verdana" w:hAnsi="Verdana"/>
          <w:noProof/>
        </w:rPr>
        <w:drawing>
          <wp:inline distT="0" distB="0" distL="0" distR="0" wp14:anchorId="4A7421BF" wp14:editId="707E2A84">
            <wp:extent cx="2621280" cy="922020"/>
            <wp:effectExtent l="0" t="0" r="7620" b="0"/>
            <wp:docPr id="19831947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194752" name=""/>
                    <pic:cNvPicPr/>
                  </pic:nvPicPr>
                  <pic:blipFill>
                    <a:blip r:embed="rId11"/>
                    <a:stretch>
                      <a:fillRect/>
                    </a:stretch>
                  </pic:blipFill>
                  <pic:spPr>
                    <a:xfrm>
                      <a:off x="0" y="0"/>
                      <a:ext cx="2621280" cy="922020"/>
                    </a:xfrm>
                    <a:prstGeom prst="rect">
                      <a:avLst/>
                    </a:prstGeom>
                  </pic:spPr>
                </pic:pic>
              </a:graphicData>
            </a:graphic>
          </wp:inline>
        </w:drawing>
      </w:r>
    </w:p>
    <w:p w14:paraId="44B8508F" w14:textId="77777777" w:rsidR="00746D08" w:rsidRPr="008F0726" w:rsidRDefault="00746D08" w:rsidP="00746D08">
      <w:pPr>
        <w:spacing w:after="0" w:line="240" w:lineRule="auto"/>
        <w:jc w:val="both"/>
        <w:rPr>
          <w:rFonts w:ascii="Verdana" w:eastAsia="Calibri" w:hAnsi="Verdana" w:cs="Arial"/>
          <w:noProof/>
          <w:color w:val="000000" w:themeColor="text1"/>
          <w:lang w:eastAsia="es-ES"/>
        </w:rPr>
      </w:pPr>
    </w:p>
    <w:p w14:paraId="6DF763B3" w14:textId="77777777" w:rsidR="00746D08" w:rsidRPr="008F0726" w:rsidRDefault="00746D08" w:rsidP="00746D08">
      <w:pPr>
        <w:spacing w:after="0" w:line="240" w:lineRule="auto"/>
        <w:jc w:val="both"/>
        <w:rPr>
          <w:rFonts w:ascii="Verdana" w:eastAsia="Calibri" w:hAnsi="Verdana" w:cs="Arial"/>
          <w:color w:val="000000" w:themeColor="text1"/>
          <w:lang w:val="es-ES" w:eastAsia="es-ES"/>
        </w:rPr>
      </w:pPr>
      <w:r w:rsidRPr="008F0726">
        <w:rPr>
          <w:rFonts w:ascii="Verdana" w:eastAsia="Calibri" w:hAnsi="Verdana" w:cs="Arial"/>
          <w:color w:val="000000" w:themeColor="text1"/>
          <w:lang w:val="es-ES" w:eastAsia="es-ES"/>
        </w:rPr>
        <w:t>Señores</w:t>
      </w:r>
    </w:p>
    <w:p w14:paraId="46B8BD7E" w14:textId="77777777" w:rsidR="00746D08" w:rsidRPr="008F0726" w:rsidRDefault="00746D08" w:rsidP="00746D08">
      <w:pPr>
        <w:spacing w:after="0" w:line="240" w:lineRule="auto"/>
        <w:rPr>
          <w:rFonts w:ascii="Verdana" w:eastAsia="Calibri" w:hAnsi="Verdana" w:cs="Arial"/>
          <w:b/>
          <w:color w:val="000000" w:themeColor="text1"/>
          <w:lang w:eastAsia="es-ES_tradnl"/>
        </w:rPr>
      </w:pPr>
      <w:r w:rsidRPr="008F0726">
        <w:rPr>
          <w:rFonts w:ascii="Verdana" w:eastAsia="Calibri" w:hAnsi="Verdana" w:cs="Arial"/>
          <w:b/>
          <w:color w:val="000000" w:themeColor="text1"/>
          <w:lang w:eastAsia="es-ES_tradnl"/>
        </w:rPr>
        <w:t xml:space="preserve">Juan Camilo Blanco Cruz </w:t>
      </w:r>
    </w:p>
    <w:p w14:paraId="384A612B" w14:textId="77777777" w:rsidR="00746D08" w:rsidRPr="008F0726" w:rsidRDefault="00746D08" w:rsidP="00746D08">
      <w:pPr>
        <w:spacing w:after="0" w:line="240" w:lineRule="auto"/>
        <w:rPr>
          <w:rFonts w:ascii="Verdana" w:eastAsia="Calibri" w:hAnsi="Verdana" w:cs="Arial"/>
          <w:b/>
          <w:color w:val="000000" w:themeColor="text1"/>
          <w:lang w:eastAsia="es-ES_tradnl"/>
        </w:rPr>
      </w:pPr>
      <w:r w:rsidRPr="008F0726">
        <w:rPr>
          <w:rFonts w:ascii="Verdana" w:eastAsia="Calibri" w:hAnsi="Verdana" w:cs="Arial"/>
          <w:b/>
          <w:color w:val="000000" w:themeColor="text1"/>
          <w:lang w:eastAsia="es-ES_tradnl"/>
        </w:rPr>
        <w:t>Carlos Andrés Rodríguez Garnica</w:t>
      </w:r>
    </w:p>
    <w:p w14:paraId="187E72A9" w14:textId="77777777" w:rsidR="00746D08" w:rsidRPr="008F0726" w:rsidRDefault="00746D08" w:rsidP="00746D08">
      <w:pPr>
        <w:spacing w:after="0" w:line="240" w:lineRule="auto"/>
        <w:rPr>
          <w:rFonts w:ascii="Verdana" w:hAnsi="Verdana"/>
        </w:rPr>
      </w:pPr>
      <w:hyperlink r:id="rId12" w:history="1">
        <w:r w:rsidRPr="008F0726">
          <w:rPr>
            <w:rFonts w:ascii="Verdana" w:hAnsi="Verdana"/>
            <w:color w:val="0000FF"/>
            <w:u w:val="single"/>
          </w:rPr>
          <w:t>JUANC.BLANCO@YUNEXTRAFFIC.COM</w:t>
        </w:r>
      </w:hyperlink>
      <w:r w:rsidRPr="008F0726">
        <w:rPr>
          <w:rFonts w:ascii="Verdana" w:hAnsi="Verdana"/>
        </w:rPr>
        <w:t xml:space="preserve"> </w:t>
      </w:r>
    </w:p>
    <w:p w14:paraId="46016E2C" w14:textId="77777777" w:rsidR="00746D08" w:rsidRPr="008F0726" w:rsidRDefault="00746D08" w:rsidP="00746D08">
      <w:pPr>
        <w:spacing w:after="0" w:line="240" w:lineRule="auto"/>
        <w:rPr>
          <w:rFonts w:ascii="Verdana" w:eastAsia="Calibri" w:hAnsi="Verdana" w:cs="Arial"/>
          <w:bCs/>
          <w:color w:val="000000" w:themeColor="text1"/>
          <w:lang w:eastAsia="es-ES_tradnl"/>
        </w:rPr>
      </w:pPr>
      <w:r w:rsidRPr="008F0726">
        <w:rPr>
          <w:rFonts w:ascii="Verdana" w:eastAsia="Calibri" w:hAnsi="Verdana" w:cs="Arial"/>
          <w:bCs/>
          <w:color w:val="000000" w:themeColor="text1"/>
          <w:lang w:eastAsia="es-ES_tradnl"/>
        </w:rPr>
        <w:t>Bogotá</w:t>
      </w:r>
    </w:p>
    <w:p w14:paraId="3FEC7157" w14:textId="77777777" w:rsidR="00746D08" w:rsidRPr="008F0726" w:rsidRDefault="00746D08" w:rsidP="00746D08">
      <w:pPr>
        <w:spacing w:after="0" w:line="240" w:lineRule="auto"/>
        <w:rPr>
          <w:rFonts w:ascii="Verdana" w:eastAsia="Calibri" w:hAnsi="Verdana" w:cs="Arial"/>
          <w:b/>
          <w:bCs/>
          <w:color w:val="000000" w:themeColor="text1"/>
          <w:lang w:val="es-ES_tradnl" w:eastAsia="es-ES_tradnl"/>
        </w:rPr>
      </w:pPr>
    </w:p>
    <w:p w14:paraId="6CC4EAE6" w14:textId="77777777" w:rsidR="00746D08" w:rsidRPr="008F0726" w:rsidRDefault="00746D08" w:rsidP="00746D08">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46D08" w:rsidRPr="008F0726" w14:paraId="369C3877" w14:textId="77777777" w:rsidTr="00EB2A51">
        <w:trPr>
          <w:trHeight w:val="148"/>
        </w:trPr>
        <w:tc>
          <w:tcPr>
            <w:tcW w:w="2689" w:type="dxa"/>
          </w:tcPr>
          <w:p w14:paraId="597460A8"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b/>
                <w:bCs/>
                <w:color w:val="000000" w:themeColor="text1"/>
                <w:lang w:val="es-ES_tradnl" w:eastAsia="es-ES_tradnl"/>
              </w:rPr>
            </w:pPr>
          </w:p>
        </w:tc>
        <w:tc>
          <w:tcPr>
            <w:tcW w:w="6100" w:type="dxa"/>
          </w:tcPr>
          <w:p w14:paraId="60ACE479"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b/>
                <w:bCs/>
                <w:color w:val="000000" w:themeColor="text1"/>
                <w:lang w:val="es-ES" w:eastAsia="es-ES"/>
              </w:rPr>
            </w:pPr>
            <w:r w:rsidRPr="008F0726">
              <w:rPr>
                <w:rFonts w:ascii="Verdana" w:eastAsia="Calibri" w:hAnsi="Verdana" w:cs="Arial"/>
                <w:b/>
                <w:bCs/>
                <w:color w:val="000000" w:themeColor="text1"/>
                <w:lang w:val="es-ES" w:eastAsia="es-ES"/>
              </w:rPr>
              <w:t>Concepto C- 1653 de 2025</w:t>
            </w:r>
          </w:p>
          <w:p w14:paraId="63C5CED2"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b/>
                <w:bCs/>
                <w:color w:val="000000" w:themeColor="text1"/>
                <w:lang w:val="es-ES" w:eastAsia="es-ES"/>
              </w:rPr>
            </w:pPr>
          </w:p>
        </w:tc>
      </w:tr>
      <w:tr w:rsidR="00746D08" w:rsidRPr="008F0726" w14:paraId="5B8DBF3B" w14:textId="77777777" w:rsidTr="00EB2A51">
        <w:trPr>
          <w:trHeight w:val="884"/>
        </w:trPr>
        <w:tc>
          <w:tcPr>
            <w:tcW w:w="2689" w:type="dxa"/>
          </w:tcPr>
          <w:p w14:paraId="222EEF78"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color w:val="000000" w:themeColor="text1"/>
                <w:lang w:val="es-ES_tradnl" w:eastAsia="es-ES_tradnl"/>
              </w:rPr>
            </w:pPr>
            <w:r w:rsidRPr="008F0726">
              <w:rPr>
                <w:rFonts w:ascii="Verdana" w:eastAsia="Calibri" w:hAnsi="Verdana" w:cs="Arial"/>
                <w:b/>
                <w:color w:val="000000" w:themeColor="text1"/>
                <w:lang w:val="es-ES_tradnl" w:eastAsia="es-ES_tradnl"/>
              </w:rPr>
              <w:t>Temas:</w:t>
            </w:r>
            <w:r w:rsidRPr="008F0726">
              <w:rPr>
                <w:rFonts w:ascii="Verdana" w:eastAsia="Calibri" w:hAnsi="Verdana" w:cs="Arial"/>
                <w:color w:val="000000" w:themeColor="text1"/>
                <w:lang w:val="es-ES_tradnl" w:eastAsia="es-ES_tradnl"/>
              </w:rPr>
              <w:t xml:space="preserve">                   </w:t>
            </w:r>
          </w:p>
        </w:tc>
        <w:tc>
          <w:tcPr>
            <w:tcW w:w="6100" w:type="dxa"/>
          </w:tcPr>
          <w:p w14:paraId="7DA597F2" w14:textId="77777777" w:rsidR="00746D08" w:rsidRPr="008F0726" w:rsidRDefault="00746D08" w:rsidP="00EB2A51">
            <w:pPr>
              <w:spacing w:before="100" w:beforeAutospacing="1" w:after="160" w:afterAutospacing="1" w:line="276" w:lineRule="auto"/>
              <w:ind w:left="720"/>
              <w:contextualSpacing/>
              <w:jc w:val="both"/>
              <w:rPr>
                <w:rFonts w:ascii="Verdana" w:eastAsia="Calibri" w:hAnsi="Verdana" w:cs="Arial"/>
                <w:b/>
                <w:lang w:val="es-ES" w:eastAsia="es-ES_tradnl"/>
              </w:rPr>
            </w:pPr>
            <w:r w:rsidRPr="008F0726">
              <w:rPr>
                <w:rFonts w:ascii="Verdana" w:eastAsia="Calibri" w:hAnsi="Verdana" w:cs="Arial"/>
                <w:bCs/>
                <w:lang w:val="es-ES" w:eastAsia="es-CO"/>
              </w:rPr>
              <w:t xml:space="preserve">SELECCIÓN OBJETIVA ― Noción y factores de escogencia / REQUISITOS HABILITANTES ― Carácter enunciativo </w:t>
            </w:r>
            <w:r w:rsidRPr="008F0726">
              <w:rPr>
                <w:rFonts w:ascii="Verdana" w:eastAsia="Calibri" w:hAnsi="Verdana" w:cs="Arial"/>
                <w:lang w:val="es-ES" w:eastAsia="es-ES_tradnl"/>
              </w:rPr>
              <w:t xml:space="preserve">– Proporcionalidad y adecuación </w:t>
            </w:r>
            <w:r w:rsidRPr="008F0726">
              <w:rPr>
                <w:rFonts w:ascii="Verdana" w:eastAsia="Calibri" w:hAnsi="Verdana" w:cs="Arial"/>
                <w:bCs/>
                <w:lang w:val="es-ES" w:eastAsia="es-CO"/>
              </w:rPr>
              <w:t>/</w:t>
            </w:r>
            <w:r w:rsidRPr="008F0726">
              <w:rPr>
                <w:rFonts w:ascii="Verdana" w:eastAsia="Calibri" w:hAnsi="Verdana" w:cs="Arial"/>
                <w:b/>
                <w:lang w:val="es-ES" w:eastAsia="es-ES_tradnl"/>
              </w:rPr>
              <w:t xml:space="preserve"> </w:t>
            </w:r>
            <w:r w:rsidRPr="008F0726">
              <w:rPr>
                <w:rFonts w:ascii="Verdana" w:eastAsia="Calibri" w:hAnsi="Verdana" w:cs="Arial"/>
                <w:bCs/>
                <w:lang w:val="es-ES" w:eastAsia="es-ES_tradnl"/>
              </w:rPr>
              <w:t xml:space="preserve">PATENTES </w:t>
            </w:r>
            <w:r w:rsidRPr="008F0726">
              <w:rPr>
                <w:rFonts w:ascii="Verdana" w:eastAsia="Calibri" w:hAnsi="Verdana" w:cs="Arial"/>
                <w:lang w:val="es-ES" w:eastAsia="es-ES_tradnl"/>
              </w:rPr>
              <w:t xml:space="preserve">– Definición – Requisito habilitante </w:t>
            </w:r>
          </w:p>
          <w:p w14:paraId="54C31872"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color w:val="000000" w:themeColor="text1"/>
                <w:lang w:val="es-ES" w:eastAsia="es-ES"/>
              </w:rPr>
            </w:pPr>
          </w:p>
        </w:tc>
      </w:tr>
      <w:tr w:rsidR="00746D08" w:rsidRPr="008F0726" w14:paraId="509388C1" w14:textId="77777777" w:rsidTr="00EB2A51">
        <w:tc>
          <w:tcPr>
            <w:tcW w:w="2689" w:type="dxa"/>
          </w:tcPr>
          <w:p w14:paraId="67EE10E6"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b/>
                <w:color w:val="000000" w:themeColor="text1"/>
                <w:lang w:val="es-ES_tradnl" w:eastAsia="es-ES_tradnl"/>
              </w:rPr>
            </w:pPr>
            <w:r w:rsidRPr="008F0726">
              <w:rPr>
                <w:rFonts w:ascii="Verdana" w:eastAsia="Calibri" w:hAnsi="Verdana" w:cs="Arial"/>
                <w:b/>
                <w:color w:val="000000" w:themeColor="text1"/>
                <w:lang w:val="es-ES_tradnl" w:eastAsia="es-ES_tradnl"/>
              </w:rPr>
              <w:t>Radicación:</w:t>
            </w:r>
            <w:r w:rsidRPr="008F0726">
              <w:rPr>
                <w:rFonts w:ascii="Verdana" w:eastAsia="Calibri" w:hAnsi="Verdana" w:cs="Arial"/>
                <w:color w:val="000000" w:themeColor="text1"/>
                <w:lang w:val="es-ES_tradnl" w:eastAsia="es-ES_tradnl"/>
              </w:rPr>
              <w:t xml:space="preserve">               </w:t>
            </w:r>
          </w:p>
        </w:tc>
        <w:tc>
          <w:tcPr>
            <w:tcW w:w="6100" w:type="dxa"/>
          </w:tcPr>
          <w:p w14:paraId="330B38EC" w14:textId="77777777" w:rsidR="00746D08" w:rsidRPr="008F0726" w:rsidRDefault="00746D08" w:rsidP="00EB2A51">
            <w:pPr>
              <w:spacing w:before="100" w:beforeAutospacing="1" w:after="160" w:afterAutospacing="1" w:line="259" w:lineRule="auto"/>
              <w:ind w:left="720"/>
              <w:contextualSpacing/>
              <w:jc w:val="both"/>
              <w:rPr>
                <w:rFonts w:ascii="Verdana" w:eastAsia="Calibri" w:hAnsi="Verdana" w:cs="Arial"/>
                <w:color w:val="000000" w:themeColor="text1"/>
                <w:lang w:val="es-ES_tradnl" w:eastAsia="es-ES_tradnl"/>
              </w:rPr>
            </w:pPr>
            <w:r w:rsidRPr="008F0726">
              <w:rPr>
                <w:rFonts w:ascii="Verdana" w:eastAsia="Calibri" w:hAnsi="Verdana" w:cs="Arial"/>
                <w:color w:val="000000" w:themeColor="text1"/>
                <w:lang w:val="es-ES_tradnl" w:eastAsia="es-ES_tradnl"/>
              </w:rPr>
              <w:t>Respuesta a consulta con radicado No. 1_2025_11_07_012595</w:t>
            </w:r>
          </w:p>
        </w:tc>
      </w:tr>
    </w:tbl>
    <w:p w14:paraId="46F237D8" w14:textId="77777777" w:rsidR="00746D08" w:rsidRPr="008F0726" w:rsidRDefault="00746D08" w:rsidP="00746D08">
      <w:pPr>
        <w:spacing w:after="0" w:line="240" w:lineRule="auto"/>
        <w:jc w:val="both"/>
        <w:rPr>
          <w:rFonts w:ascii="Verdana" w:eastAsia="Calibri" w:hAnsi="Verdana" w:cs="Arial"/>
          <w:color w:val="000000" w:themeColor="text1"/>
          <w:lang w:val="es-ES_tradnl" w:eastAsia="es-ES_tradnl"/>
        </w:rPr>
      </w:pPr>
    </w:p>
    <w:p w14:paraId="55552A3E" w14:textId="77777777" w:rsidR="00746D08" w:rsidRPr="008F0726" w:rsidRDefault="00746D08" w:rsidP="00746D08">
      <w:pPr>
        <w:spacing w:after="0" w:line="240" w:lineRule="auto"/>
        <w:jc w:val="both"/>
        <w:rPr>
          <w:rFonts w:ascii="Verdana" w:eastAsia="Calibri" w:hAnsi="Verdana" w:cs="Arial"/>
          <w:color w:val="000000" w:themeColor="text1"/>
          <w:lang w:val="es-ES_tradnl" w:eastAsia="es-ES_tradnl"/>
        </w:rPr>
      </w:pPr>
    </w:p>
    <w:p w14:paraId="3F425F05" w14:textId="2B40ACFD" w:rsidR="00746D08" w:rsidRPr="008F0726" w:rsidRDefault="00746D08" w:rsidP="00746D08">
      <w:pPr>
        <w:spacing w:after="0" w:line="276" w:lineRule="auto"/>
        <w:jc w:val="both"/>
        <w:rPr>
          <w:rFonts w:ascii="Verdana" w:eastAsia="Calibri" w:hAnsi="Verdana" w:cs="Arial"/>
          <w:color w:val="000000" w:themeColor="text1"/>
          <w:lang w:val="es-ES" w:eastAsia="es-ES"/>
        </w:rPr>
      </w:pPr>
      <w:r w:rsidRPr="008F0726">
        <w:rPr>
          <w:rFonts w:ascii="Verdana" w:eastAsia="Calibri" w:hAnsi="Verdana" w:cs="Arial"/>
          <w:color w:val="000000" w:themeColor="text1"/>
          <w:lang w:val="es-ES" w:eastAsia="es-ES"/>
        </w:rPr>
        <w:t>Estimado</w:t>
      </w:r>
      <w:r w:rsidR="00D12813">
        <w:rPr>
          <w:rFonts w:ascii="Verdana" w:eastAsia="Calibri" w:hAnsi="Verdana" w:cs="Arial"/>
          <w:color w:val="000000" w:themeColor="text1"/>
          <w:lang w:val="es-ES" w:eastAsia="es-ES"/>
        </w:rPr>
        <w:t>s</w:t>
      </w:r>
      <w:r w:rsidRPr="008F0726">
        <w:rPr>
          <w:rFonts w:ascii="Verdana" w:eastAsia="Calibri" w:hAnsi="Verdana" w:cs="Arial"/>
          <w:color w:val="000000" w:themeColor="text1"/>
          <w:lang w:val="es-ES" w:eastAsia="es-ES"/>
        </w:rPr>
        <w:t xml:space="preserve"> señores Blanco y Rodríguez: </w:t>
      </w:r>
    </w:p>
    <w:p w14:paraId="70441C21" w14:textId="77777777" w:rsidR="00746D08" w:rsidRPr="008F0726" w:rsidRDefault="00746D08" w:rsidP="00746D08">
      <w:pPr>
        <w:tabs>
          <w:tab w:val="left" w:pos="3768"/>
        </w:tabs>
        <w:spacing w:after="0" w:line="276" w:lineRule="auto"/>
        <w:jc w:val="both"/>
        <w:rPr>
          <w:rFonts w:ascii="Verdana" w:eastAsia="Calibri" w:hAnsi="Verdana" w:cs="Arial"/>
          <w:color w:val="000000" w:themeColor="text1"/>
          <w:lang w:val="es-ES" w:eastAsia="es-ES"/>
        </w:rPr>
      </w:pPr>
      <w:r w:rsidRPr="008F0726">
        <w:rPr>
          <w:rFonts w:ascii="Verdana" w:eastAsia="Calibri" w:hAnsi="Verdana" w:cs="Arial"/>
          <w:color w:val="000000" w:themeColor="text1"/>
          <w:lang w:val="es-ES" w:eastAsia="es-ES"/>
        </w:rPr>
        <w:tab/>
      </w:r>
    </w:p>
    <w:p w14:paraId="7FF80B9B" w14:textId="77777777" w:rsidR="00746D08" w:rsidRPr="008F0726" w:rsidRDefault="00746D08" w:rsidP="00746D08">
      <w:pPr>
        <w:spacing w:after="120" w:line="276" w:lineRule="auto"/>
        <w:jc w:val="both"/>
        <w:rPr>
          <w:rFonts w:ascii="Verdana" w:eastAsia="Calibri" w:hAnsi="Verdana" w:cs="Arial"/>
          <w:color w:val="000000" w:themeColor="text1"/>
          <w:lang w:val="es-ES" w:eastAsia="es-ES"/>
        </w:rPr>
      </w:pPr>
      <w:r w:rsidRPr="008F0726">
        <w:rPr>
          <w:rFonts w:ascii="Verdana" w:eastAsia="Calibri" w:hAnsi="Verdana" w:cs="Arial"/>
          <w:color w:val="000000" w:themeColor="text1"/>
          <w:lang w:val="es-ES" w:eastAsia="es-ES"/>
        </w:rPr>
        <w:t>En ejercicio de la competencia otorgada por los artículos 3, numeral 5º, y 11, numeral 8º, del Decreto Ley 4170 de 2011,</w:t>
      </w:r>
      <w:r w:rsidRPr="008F0726">
        <w:rPr>
          <w:rFonts w:ascii="Verdana" w:eastAsia="Arial MT" w:hAnsi="Verdana" w:cs="Arial MT"/>
          <w:color w:val="000000" w:themeColor="text1"/>
          <w:lang w:val="es-ES" w:eastAsia="es-ES"/>
        </w:rPr>
        <w:t xml:space="preserve"> </w:t>
      </w:r>
      <w:r w:rsidRPr="008F0726">
        <w:rPr>
          <w:rFonts w:ascii="Verdana" w:hAnsi="Verdana" w:cs="Arial"/>
          <w:color w:val="000000" w:themeColor="text1"/>
        </w:rPr>
        <w:t>así como lo establecido</w:t>
      </w:r>
      <w:r w:rsidRPr="008F0726">
        <w:rPr>
          <w:rFonts w:ascii="Verdana" w:hAnsi="Verdana" w:cs="Arial"/>
        </w:rPr>
        <w:t xml:space="preserve"> por la </w:t>
      </w:r>
      <w:r w:rsidRPr="008F0726">
        <w:rPr>
          <w:rFonts w:ascii="Verdana" w:eastAsia="Calibri" w:hAnsi="Verdana" w:cs="Times New Roman"/>
          <w:bCs/>
        </w:rPr>
        <w:t xml:space="preserve">Resolución 469 de 2025 </w:t>
      </w:r>
      <w:r w:rsidRPr="008F0726">
        <w:rPr>
          <w:rFonts w:ascii="Verdana" w:hAnsi="Verdana" w:cs="Arial"/>
          <w:color w:val="000000" w:themeColor="text1"/>
        </w:rPr>
        <w:t>expedida por esta Entidad, la Agencia Nacional de Contratación Pública – Colombia Compra Eficiente– responde su solicitud de concepto del 7 de noviembre de 2025, en el cual manifiesta lo siguiente:</w:t>
      </w:r>
      <w:r w:rsidRPr="008F0726">
        <w:rPr>
          <w:rFonts w:ascii="Verdana" w:eastAsia="Calibri" w:hAnsi="Verdana" w:cs="Arial"/>
          <w:color w:val="000000" w:themeColor="text1"/>
          <w:lang w:val="es-ES" w:eastAsia="es-ES"/>
        </w:rPr>
        <w:t xml:space="preserve"> </w:t>
      </w:r>
    </w:p>
    <w:p w14:paraId="69E22F9E" w14:textId="77777777" w:rsidR="00746D08" w:rsidRPr="008F0726" w:rsidRDefault="00746D08" w:rsidP="00746D08">
      <w:pPr>
        <w:spacing w:after="0" w:line="240" w:lineRule="auto"/>
        <w:jc w:val="both"/>
        <w:rPr>
          <w:rFonts w:ascii="Verdana" w:eastAsia="Calibri" w:hAnsi="Verdana" w:cs="Arial"/>
          <w:i/>
          <w:iCs/>
          <w:color w:val="000000" w:themeColor="text1"/>
          <w:lang w:val="es-ES" w:eastAsia="es-ES"/>
        </w:rPr>
      </w:pPr>
    </w:p>
    <w:p w14:paraId="2549B969" w14:textId="77777777" w:rsidR="00746D08" w:rsidRPr="008F0726" w:rsidRDefault="00746D08" w:rsidP="00746D08">
      <w:pPr>
        <w:spacing w:after="0" w:line="240" w:lineRule="auto"/>
        <w:ind w:left="709" w:right="709"/>
        <w:jc w:val="both"/>
        <w:rPr>
          <w:rFonts w:ascii="Verdana" w:eastAsia="Calibri" w:hAnsi="Verdana" w:cs="Arial"/>
          <w:color w:val="000000" w:themeColor="text1"/>
          <w:sz w:val="20"/>
          <w:szCs w:val="20"/>
          <w:lang w:eastAsia="es-ES"/>
        </w:rPr>
      </w:pPr>
      <w:r w:rsidRPr="008F0726">
        <w:rPr>
          <w:rFonts w:ascii="Verdana" w:eastAsia="Calibri" w:hAnsi="Verdana" w:cs="Arial"/>
          <w:color w:val="000000" w:themeColor="text1"/>
          <w:sz w:val="20"/>
          <w:szCs w:val="20"/>
          <w:lang w:eastAsia="es-ES"/>
        </w:rPr>
        <w:t>“</w:t>
      </w:r>
      <w:r w:rsidRPr="008F0726">
        <w:rPr>
          <w:rFonts w:ascii="Verdana" w:hAnsi="Verdana" w:cs="Arial"/>
          <w:sz w:val="20"/>
          <w:szCs w:val="20"/>
          <w:lang w:val="es-ES_tradnl" w:eastAsia="es-ES" w:bidi="es-ES"/>
        </w:rPr>
        <w:t xml:space="preserve">[…] </w:t>
      </w:r>
      <w:r w:rsidRPr="008F0726">
        <w:rPr>
          <w:rFonts w:ascii="Verdana" w:eastAsia="Calibri" w:hAnsi="Verdana" w:cs="Arial"/>
          <w:color w:val="000000" w:themeColor="text1"/>
          <w:sz w:val="20"/>
          <w:szCs w:val="20"/>
          <w:lang w:eastAsia="es-ES"/>
        </w:rPr>
        <w:t xml:space="preserve">Por lo anterior, agradecemos que desde la Agencia Nacional de Contratación Pública Colombia Compra Eficiente se nos sirva emitir un concepto referente a los siguientes puntos: </w:t>
      </w:r>
    </w:p>
    <w:p w14:paraId="185AB209" w14:textId="77777777" w:rsidR="00746D08" w:rsidRPr="008F0726" w:rsidRDefault="00746D08" w:rsidP="00746D08">
      <w:pPr>
        <w:spacing w:after="0" w:line="240" w:lineRule="auto"/>
        <w:ind w:left="709" w:right="709"/>
        <w:jc w:val="both"/>
        <w:rPr>
          <w:rFonts w:ascii="Verdana" w:hAnsi="Verdana" w:cs="Arial"/>
          <w:sz w:val="20"/>
          <w:szCs w:val="20"/>
          <w:lang w:val="es-ES_tradnl" w:eastAsia="es-ES" w:bidi="es-ES"/>
        </w:rPr>
      </w:pPr>
      <w:r w:rsidRPr="008F0726">
        <w:rPr>
          <w:rFonts w:ascii="Verdana" w:eastAsia="Calibri" w:hAnsi="Verdana" w:cs="Arial"/>
          <w:color w:val="000000" w:themeColor="text1"/>
          <w:sz w:val="20"/>
          <w:szCs w:val="20"/>
          <w:lang w:eastAsia="es-ES"/>
        </w:rPr>
        <w:t xml:space="preserve"> </w:t>
      </w:r>
    </w:p>
    <w:p w14:paraId="6A6CC248"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eastAsia="es-ES"/>
        </w:rPr>
      </w:pPr>
      <w:r w:rsidRPr="008F0726">
        <w:rPr>
          <w:rFonts w:ascii="Verdana" w:eastAsia="Calibri" w:hAnsi="Verdana" w:cs="Arial"/>
          <w:color w:val="000000" w:themeColor="text1"/>
          <w:sz w:val="20"/>
          <w:szCs w:val="20"/>
          <w:lang w:eastAsia="es-ES"/>
        </w:rPr>
        <w:lastRenderedPageBreak/>
        <w:t xml:space="preserve">a. Para las licitaciones públicas de Colombia ¿solo es posible participar con productos/bienes que se encuentren patentados? </w:t>
      </w:r>
    </w:p>
    <w:p w14:paraId="69663B24"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eastAsia="es-ES"/>
        </w:rPr>
      </w:pPr>
    </w:p>
    <w:p w14:paraId="11F7BF01"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eastAsia="es-ES"/>
        </w:rPr>
      </w:pPr>
      <w:r w:rsidRPr="008F0726">
        <w:rPr>
          <w:rFonts w:ascii="Verdana" w:eastAsia="Calibri" w:hAnsi="Verdana" w:cs="Arial"/>
          <w:color w:val="000000" w:themeColor="text1"/>
          <w:sz w:val="20"/>
          <w:szCs w:val="20"/>
          <w:lang w:eastAsia="es-ES"/>
        </w:rPr>
        <w:t xml:space="preserve">b. ¿Es posible rechazar la propuesta de un oferente porque en la licitación NO se adjuntó la patente del producto o bien a ser ofertado? </w:t>
      </w:r>
    </w:p>
    <w:p w14:paraId="6867448E"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eastAsia="es-ES"/>
        </w:rPr>
      </w:pPr>
    </w:p>
    <w:p w14:paraId="5CBDE875"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eastAsia="es-ES"/>
        </w:rPr>
      </w:pPr>
      <w:r w:rsidRPr="008F0726">
        <w:rPr>
          <w:rFonts w:ascii="Verdana" w:eastAsia="Calibri" w:hAnsi="Verdana" w:cs="Arial"/>
          <w:color w:val="000000" w:themeColor="text1"/>
          <w:sz w:val="20"/>
          <w:szCs w:val="20"/>
          <w:lang w:eastAsia="es-ES"/>
        </w:rPr>
        <w:t xml:space="preserve">c. </w:t>
      </w:r>
      <w:proofErr w:type="gramStart"/>
      <w:r w:rsidRPr="008F0726">
        <w:rPr>
          <w:rFonts w:ascii="Verdana" w:eastAsia="Calibri" w:hAnsi="Verdana" w:cs="Arial"/>
          <w:color w:val="000000" w:themeColor="text1"/>
          <w:sz w:val="20"/>
          <w:szCs w:val="20"/>
          <w:lang w:eastAsia="es-ES"/>
        </w:rPr>
        <w:t>¿Es posible rechazar la propuesta de un oferente porque en la licitación NO se adjuntó la Certificación expedida por la Superintendencia de Industria y Comercio (o su equivalente extranjero) con el sustento técnico y legal de la no necesidad de contar con patente.</w:t>
      </w:r>
      <w:proofErr w:type="gramEnd"/>
      <w:r w:rsidRPr="008F0726">
        <w:rPr>
          <w:rFonts w:ascii="Verdana" w:eastAsia="Calibri" w:hAnsi="Verdana" w:cs="Arial"/>
          <w:color w:val="000000" w:themeColor="text1"/>
          <w:sz w:val="20"/>
          <w:szCs w:val="20"/>
          <w:lang w:eastAsia="es-ES"/>
        </w:rPr>
        <w:t>?”</w:t>
      </w:r>
    </w:p>
    <w:p w14:paraId="7C8BA76B" w14:textId="77777777" w:rsidR="00746D08" w:rsidRPr="008F0726" w:rsidRDefault="00746D08" w:rsidP="00746D08">
      <w:pPr>
        <w:spacing w:after="0" w:line="240" w:lineRule="auto"/>
        <w:ind w:left="709" w:right="618"/>
        <w:jc w:val="both"/>
        <w:rPr>
          <w:rFonts w:ascii="Verdana" w:eastAsia="Calibri" w:hAnsi="Verdana" w:cs="Arial"/>
          <w:color w:val="000000" w:themeColor="text1"/>
          <w:sz w:val="20"/>
          <w:szCs w:val="20"/>
          <w:lang w:val="es-ES" w:eastAsia="es-ES"/>
        </w:rPr>
      </w:pPr>
    </w:p>
    <w:p w14:paraId="14A2A8B0" w14:textId="77777777" w:rsidR="00746D08" w:rsidRPr="008F0726" w:rsidRDefault="00746D08" w:rsidP="00746D08">
      <w:pPr>
        <w:spacing w:after="120" w:line="276" w:lineRule="auto"/>
        <w:ind w:firstLine="709"/>
        <w:jc w:val="both"/>
        <w:rPr>
          <w:rFonts w:ascii="Verdana" w:eastAsia="Calibri" w:hAnsi="Verdana" w:cs="Arial"/>
          <w:color w:val="000000" w:themeColor="text1"/>
          <w:szCs w:val="24"/>
          <w:lang w:val="es-ES_tradnl" w:eastAsia="es-ES_tradnl"/>
        </w:rPr>
      </w:pPr>
      <w:r w:rsidRPr="008F072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Así mismo, se resalta que la Agencia </w:t>
      </w:r>
      <w:r w:rsidRPr="008F0726">
        <w:rPr>
          <w:rFonts w:ascii="Verdana" w:eastAsiaTheme="minorEastAsia" w:hAnsi="Verdana" w:cs="Arial"/>
          <w:lang w:eastAsia="es-CO"/>
        </w:rPr>
        <w:t>al no ser un órgano</w:t>
      </w:r>
      <w:r w:rsidRPr="008F0726">
        <w:rPr>
          <w:rFonts w:ascii="Verdana" w:eastAsiaTheme="minorEastAsia" w:hAnsi="Verdana" w:cs="Arial"/>
          <w:spacing w:val="1"/>
          <w:lang w:eastAsia="es-CO"/>
        </w:rPr>
        <w:t xml:space="preserve"> </w:t>
      </w:r>
      <w:r w:rsidRPr="008F0726">
        <w:rPr>
          <w:rFonts w:ascii="Verdana" w:eastAsiaTheme="minorEastAsia" w:hAnsi="Verdana" w:cs="Arial"/>
          <w:lang w:eastAsia="es-CO"/>
        </w:rPr>
        <w:t>judicial, ni una entidad de vigilancia, inspección o control en materia contractual, carece de la</w:t>
      </w:r>
      <w:r w:rsidRPr="008F0726">
        <w:rPr>
          <w:rFonts w:ascii="Verdana" w:eastAsiaTheme="minorEastAsia" w:hAnsi="Verdana" w:cs="Arial"/>
          <w:spacing w:val="1"/>
          <w:lang w:eastAsia="es-CO"/>
        </w:rPr>
        <w:t xml:space="preserve"> </w:t>
      </w:r>
      <w:r w:rsidRPr="008F0726">
        <w:rPr>
          <w:rFonts w:ascii="Verdana" w:eastAsiaTheme="minorEastAsia" w:hAnsi="Verdana" w:cs="Arial"/>
          <w:lang w:eastAsia="es-CO"/>
        </w:rPr>
        <w:t>facultad</w:t>
      </w:r>
      <w:r w:rsidRPr="008F0726">
        <w:rPr>
          <w:rFonts w:ascii="Verdana" w:eastAsiaTheme="minorEastAsia" w:hAnsi="Verdana" w:cs="Arial"/>
          <w:spacing w:val="-2"/>
          <w:lang w:eastAsia="es-CO"/>
        </w:rPr>
        <w:t xml:space="preserve"> </w:t>
      </w:r>
      <w:r w:rsidRPr="008F0726">
        <w:rPr>
          <w:rFonts w:ascii="Verdana" w:eastAsiaTheme="minorEastAsia" w:hAnsi="Verdana" w:cs="Arial"/>
          <w:lang w:eastAsia="es-CO"/>
        </w:rPr>
        <w:t>para</w:t>
      </w:r>
      <w:r w:rsidRPr="008F0726">
        <w:rPr>
          <w:rFonts w:ascii="Verdana" w:eastAsiaTheme="minorEastAsia" w:hAnsi="Verdana" w:cs="Arial"/>
          <w:spacing w:val="-1"/>
          <w:lang w:eastAsia="es-CO"/>
        </w:rPr>
        <w:t xml:space="preserve"> </w:t>
      </w:r>
      <w:r w:rsidRPr="008F0726">
        <w:rPr>
          <w:rFonts w:ascii="Verdana" w:eastAsiaTheme="minorEastAsia" w:hAnsi="Verdana" w:cs="Arial"/>
          <w:lang w:eastAsia="es-CO"/>
        </w:rPr>
        <w:t>desempeñar</w:t>
      </w:r>
      <w:r w:rsidRPr="008F0726">
        <w:rPr>
          <w:rFonts w:ascii="Verdana" w:eastAsiaTheme="minorEastAsia" w:hAnsi="Verdana" w:cs="Arial"/>
          <w:spacing w:val="-2"/>
          <w:lang w:eastAsia="es-CO"/>
        </w:rPr>
        <w:t xml:space="preserve"> </w:t>
      </w:r>
      <w:r w:rsidRPr="008F0726">
        <w:rPr>
          <w:rFonts w:ascii="Verdana" w:eastAsiaTheme="minorEastAsia" w:hAnsi="Verdana" w:cs="Arial"/>
          <w:lang w:eastAsia="es-CO"/>
        </w:rPr>
        <w:t>estas</w:t>
      </w:r>
      <w:r w:rsidRPr="008F0726">
        <w:rPr>
          <w:rFonts w:ascii="Verdana" w:eastAsiaTheme="minorEastAsia" w:hAnsi="Verdana" w:cs="Arial"/>
          <w:spacing w:val="-1"/>
          <w:lang w:eastAsia="es-CO"/>
        </w:rPr>
        <w:t xml:space="preserve"> </w:t>
      </w:r>
      <w:r w:rsidRPr="008F0726">
        <w:rPr>
          <w:rFonts w:ascii="Verdana" w:eastAsiaTheme="minorEastAsia" w:hAnsi="Verdana" w:cs="Arial"/>
          <w:lang w:eastAsia="es-CO"/>
        </w:rPr>
        <w:t>funciones.</w:t>
      </w:r>
      <w:r w:rsidRPr="008F0726">
        <w:rPr>
          <w:rFonts w:ascii="Verdana" w:eastAsia="Calibri" w:hAnsi="Verdana" w:cs="Arial"/>
          <w:color w:val="000000" w:themeColor="text1"/>
          <w:lang w:val="es-ES" w:eastAsia="es-ES"/>
        </w:rPr>
        <w:t xml:space="preserve"> </w:t>
      </w:r>
      <w:r w:rsidRPr="008F0726">
        <w:rPr>
          <w:rFonts w:ascii="Verdana" w:eastAsia="Calibri" w:hAnsi="Verdana" w:cs="Arial"/>
          <w:color w:val="000000" w:themeColor="text1"/>
          <w:szCs w:val="24"/>
          <w:lang w:val="es-ES_tradnl" w:eastAsia="es-ES_tradnl"/>
        </w:rPr>
        <w:tab/>
      </w:r>
    </w:p>
    <w:p w14:paraId="3F2E224F" w14:textId="77777777" w:rsidR="00746D08" w:rsidRPr="008F0726" w:rsidRDefault="00746D08" w:rsidP="00746D08">
      <w:pPr>
        <w:spacing w:after="0" w:line="276" w:lineRule="auto"/>
        <w:ind w:firstLine="709"/>
        <w:jc w:val="both"/>
        <w:rPr>
          <w:rFonts w:ascii="Verdana" w:eastAsia="Calibri" w:hAnsi="Verdana" w:cs="Arial"/>
          <w:color w:val="000000" w:themeColor="text1"/>
          <w:lang w:val="es-ES" w:eastAsia="es-ES"/>
        </w:rPr>
      </w:pPr>
      <w:r w:rsidRPr="008F072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67E6F748" w14:textId="77777777" w:rsidR="00746D08" w:rsidRPr="008F0726" w:rsidRDefault="00746D08" w:rsidP="00746D08">
      <w:pPr>
        <w:spacing w:after="0" w:line="276" w:lineRule="auto"/>
        <w:ind w:firstLine="709"/>
        <w:jc w:val="both"/>
        <w:rPr>
          <w:rFonts w:ascii="Verdana" w:eastAsia="Calibri" w:hAnsi="Verdana" w:cs="Arial"/>
          <w:color w:val="000000" w:themeColor="text1"/>
          <w:lang w:val="es-ES" w:eastAsia="es-ES"/>
        </w:rPr>
      </w:pPr>
    </w:p>
    <w:p w14:paraId="22A9630B" w14:textId="77777777" w:rsidR="00746D08" w:rsidRPr="008F0726" w:rsidRDefault="00746D08" w:rsidP="00746D08">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8F0726">
        <w:rPr>
          <w:rFonts w:ascii="Verdana" w:eastAsia="Century Gothic" w:hAnsi="Verdana" w:cs="Century Gothic"/>
          <w:b/>
          <w:bCs/>
          <w:color w:val="000000" w:themeColor="text1"/>
          <w:lang w:val="es-ES"/>
        </w:rPr>
        <w:t>Problema planteado:</w:t>
      </w:r>
    </w:p>
    <w:p w14:paraId="57496753" w14:textId="77777777" w:rsidR="00746D08" w:rsidRPr="008F0726" w:rsidRDefault="00746D08" w:rsidP="00746D08">
      <w:pPr>
        <w:tabs>
          <w:tab w:val="left" w:pos="426"/>
        </w:tabs>
        <w:spacing w:after="0" w:line="276" w:lineRule="auto"/>
        <w:jc w:val="both"/>
        <w:rPr>
          <w:rFonts w:ascii="Verdana" w:eastAsia="Century Gothic" w:hAnsi="Verdana" w:cs="Century Gothic"/>
          <w:color w:val="000000" w:themeColor="text1"/>
          <w:lang w:val="es-ES"/>
        </w:rPr>
      </w:pPr>
    </w:p>
    <w:p w14:paraId="360DBC2F" w14:textId="77777777" w:rsidR="00746D08" w:rsidRPr="008F0726" w:rsidRDefault="00746D08" w:rsidP="00746D08">
      <w:pPr>
        <w:spacing w:after="0" w:line="276" w:lineRule="auto"/>
        <w:jc w:val="both"/>
        <w:rPr>
          <w:rFonts w:ascii="Verdana" w:eastAsia="Century Gothic" w:hAnsi="Verdana" w:cs="Century Gothic"/>
          <w:color w:val="000000" w:themeColor="text1"/>
        </w:rPr>
      </w:pPr>
      <w:r w:rsidRPr="008F0726">
        <w:rPr>
          <w:rFonts w:ascii="Verdana" w:eastAsia="Century Gothic" w:hAnsi="Verdana" w:cs="Century Gothic"/>
          <w:color w:val="000000" w:themeColor="text1"/>
        </w:rPr>
        <w:t xml:space="preserve">De acuerdo con el contenido de su solicitud, esta Agencia resolverá el siguiente problema jurídico: ¿Es posible exigir como requisito para participar en un proceso de contratación la titularidad de la patente del bien o servicio o la autorización, licencia, o derecho de usos sobre este? </w:t>
      </w:r>
    </w:p>
    <w:p w14:paraId="47F93988" w14:textId="77777777" w:rsidR="00746D08" w:rsidRPr="008F0726" w:rsidRDefault="00746D08" w:rsidP="00746D08">
      <w:pPr>
        <w:spacing w:after="0" w:line="276" w:lineRule="auto"/>
        <w:jc w:val="both"/>
        <w:rPr>
          <w:rFonts w:ascii="Verdana" w:eastAsia="Calibri" w:hAnsi="Verdana" w:cs="Arial"/>
          <w:color w:val="000000" w:themeColor="text1"/>
          <w:lang w:val="es-ES"/>
        </w:rPr>
      </w:pPr>
    </w:p>
    <w:p w14:paraId="3F20E3CF" w14:textId="77777777" w:rsidR="00746D08" w:rsidRPr="008F0726" w:rsidRDefault="00746D08" w:rsidP="00746D08">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8F0726">
        <w:rPr>
          <w:rFonts w:ascii="Verdana" w:eastAsia="Century Gothic" w:hAnsi="Verdana" w:cs="Century Gothic"/>
          <w:b/>
          <w:bCs/>
          <w:color w:val="000000" w:themeColor="text1"/>
          <w:lang w:val="es-ES"/>
        </w:rPr>
        <w:t>Respuesta:</w:t>
      </w:r>
    </w:p>
    <w:p w14:paraId="6BD04806" w14:textId="77777777" w:rsidR="00746D08" w:rsidRPr="008F0726" w:rsidRDefault="00746D08" w:rsidP="00746D0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6D08" w:rsidRPr="008F0726" w14:paraId="0F874484" w14:textId="77777777" w:rsidTr="00EB2A51">
        <w:tc>
          <w:tcPr>
            <w:tcW w:w="8828" w:type="dxa"/>
          </w:tcPr>
          <w:p w14:paraId="3068077D" w14:textId="77777777" w:rsidR="00746D08" w:rsidRPr="008F0726" w:rsidRDefault="00746D08" w:rsidP="00EB2A51">
            <w:pPr>
              <w:spacing w:after="120" w:line="276" w:lineRule="auto"/>
              <w:jc w:val="both"/>
              <w:rPr>
                <w:rFonts w:ascii="Verdana" w:eastAsia="Times New Roman" w:hAnsi="Verdana" w:cs="Times New Roman"/>
                <w:lang w:eastAsia="es-CO"/>
              </w:rPr>
            </w:pPr>
            <w:r w:rsidRPr="008F0726">
              <w:rPr>
                <w:rFonts w:ascii="Verdana" w:eastAsia="Times New Roman" w:hAnsi="Verdana" w:cs="Times New Roman"/>
                <w:lang w:eastAsia="es-CO"/>
              </w:rPr>
              <w:t>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21F42340" w14:textId="77777777" w:rsidR="00746D08" w:rsidRPr="008F0726" w:rsidRDefault="00746D08" w:rsidP="00EB2A51">
            <w:pPr>
              <w:spacing w:after="120" w:line="276" w:lineRule="auto"/>
              <w:ind w:firstLine="743"/>
              <w:jc w:val="both"/>
              <w:rPr>
                <w:rFonts w:ascii="Verdana" w:eastAsia="Times New Roman" w:hAnsi="Verdana" w:cs="Times New Roman"/>
                <w:lang w:eastAsia="es-CO"/>
              </w:rPr>
            </w:pPr>
            <w:r w:rsidRPr="008F0726">
              <w:rPr>
                <w:rFonts w:ascii="Verdana" w:eastAsia="Times New Roman" w:hAnsi="Verdana" w:cs="Times New Roman"/>
                <w:lang w:eastAsia="es-CO"/>
              </w:rPr>
              <w:t xml:space="preserve">En este sentido, si bien las Entidades Estatales son autónomas para definir los requisitos habilitantes, tal facultad no puede ejercerse de forma arbitraria, caprichosa y, mucho menos, con el ánimo de direccionar el proceso de contratación o favorecer a alguno de los proponentes. Dicha autonomía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 </w:t>
            </w:r>
          </w:p>
          <w:p w14:paraId="2DF903C0" w14:textId="77777777" w:rsidR="00746D08" w:rsidRPr="008F0726" w:rsidRDefault="00746D08" w:rsidP="00EB2A51">
            <w:pPr>
              <w:spacing w:after="120" w:line="276" w:lineRule="auto"/>
              <w:ind w:firstLine="709"/>
              <w:jc w:val="both"/>
              <w:rPr>
                <w:rFonts w:ascii="Verdana" w:eastAsia="Arial" w:hAnsi="Verdana" w:cs="Arial"/>
                <w:color w:val="000000"/>
                <w:lang w:eastAsia="es-CO"/>
              </w:rPr>
            </w:pPr>
            <w:r w:rsidRPr="008F0726">
              <w:rPr>
                <w:rFonts w:ascii="Verdana" w:eastAsia="Times New Roman" w:hAnsi="Verdana" w:cs="Times New Roman"/>
                <w:lang w:val="es-ES" w:eastAsia="es-CO"/>
              </w:rPr>
              <w:t>Frente</w:t>
            </w:r>
            <w:r w:rsidRPr="008F0726">
              <w:rPr>
                <w:rFonts w:ascii="Verdana" w:eastAsia="Times New Roman" w:hAnsi="Verdana" w:cs="Times New Roman"/>
                <w:lang w:eastAsia="es-CO"/>
              </w:rPr>
              <w:t xml:space="preserve"> a la posibilidad de </w:t>
            </w:r>
            <w:r w:rsidRPr="008F0726">
              <w:rPr>
                <w:rFonts w:ascii="Verdana" w:eastAsia="Century Gothic" w:hAnsi="Verdana" w:cs="Century Gothic"/>
                <w:color w:val="000000" w:themeColor="text1"/>
                <w:lang w:eastAsia="es-CO"/>
              </w:rPr>
              <w:t xml:space="preserve">exigir como requisito para participar en un proceso de contratación la titularidad de la patente del bien o servicio o la autorización, licencia, o derecho de usos sobre este, es preciso señalar que </w:t>
            </w:r>
            <w:r w:rsidRPr="008F0726">
              <w:rPr>
                <w:rFonts w:ascii="Verdana" w:eastAsia="Arial" w:hAnsi="Verdana" w:cs="Arial"/>
                <w:color w:val="000000"/>
                <w:lang w:eastAsia="es-CO"/>
              </w:rPr>
              <w:t>las Entidades Estatales tienen el deber de gestionar los activos de propiedad intelectual involucrados en sus procesos de contratación, desde la etapa de planeación hasta la ejecución contractual. Este análisis adquiere especial relevancia, toda vez que la existencia de una patente puede incidir directamente en la identificación de los potenciales oferentes y en la definición de la modalidad de selección aplicable. De igual forma, permite a la Entidad establecer, con criterios de necesidad y proporcionalidad, los requisitos habilitantes que resultan exigibles, evitando requisitos que puedan limitar la libre competencia cuando existan alternativas técnicas o funcionales no protegidas por derechos de propiedad industrial.</w:t>
            </w:r>
          </w:p>
          <w:p w14:paraId="4511AAC0" w14:textId="77777777" w:rsidR="00746D08" w:rsidRPr="008F0726" w:rsidRDefault="00746D08" w:rsidP="00EB2A51">
            <w:pPr>
              <w:spacing w:after="120" w:line="276" w:lineRule="auto"/>
              <w:ind w:firstLine="709"/>
              <w:jc w:val="both"/>
              <w:rPr>
                <w:rFonts w:ascii="Verdana" w:eastAsia="Arial" w:hAnsi="Verdana" w:cs="Arial"/>
                <w:color w:val="000000"/>
                <w:lang w:eastAsia="es-CO"/>
              </w:rPr>
            </w:pPr>
            <w:r w:rsidRPr="008F0726">
              <w:rPr>
                <w:rFonts w:ascii="Verdana" w:eastAsia="Arial" w:hAnsi="Verdana" w:cs="Arial"/>
                <w:color w:val="000000"/>
                <w:lang w:eastAsia="es-CO"/>
              </w:rPr>
              <w:lastRenderedPageBreak/>
              <w:t xml:space="preserve">En ese sentido, cuando del análisis previo y del Estudio del Sector se determine que el objeto a contratar implica la adquisición de bienes que se encuentran protegidos por patente, resulta indispensable que la Entidad verifique que los potenciales oferentes cuentan con el derecho para su uso o explotación. Por lo anterior, es jurídicamente procedente y necesario que, en estos casos, se exija como requisito habilitante la presentación de la documentación que acredite el licenciamiento comercial de la patente correspondiente, en la medida en que dicho licenciamiento constituye una condición esencial para la participación en el proceso de contratación y para la ejecución del contrato. </w:t>
            </w:r>
          </w:p>
          <w:p w14:paraId="51D064F6" w14:textId="77777777" w:rsidR="00746D08" w:rsidRPr="008F0726" w:rsidRDefault="00746D08" w:rsidP="00EB2A51">
            <w:pPr>
              <w:spacing w:after="120" w:line="276" w:lineRule="auto"/>
              <w:ind w:firstLine="709"/>
              <w:jc w:val="both"/>
              <w:rPr>
                <w:rFonts w:ascii="Verdana" w:eastAsia="Arial" w:hAnsi="Verdana" w:cs="Arial"/>
                <w:color w:val="000000"/>
                <w:lang w:eastAsia="es-CO"/>
              </w:rPr>
            </w:pPr>
            <w:r w:rsidRPr="008F0726">
              <w:rPr>
                <w:rFonts w:ascii="Verdana" w:eastAsia="Arial" w:hAnsi="Verdana" w:cs="Arial"/>
                <w:color w:val="000000"/>
                <w:lang w:eastAsia="es-CO"/>
              </w:rPr>
              <w:t xml:space="preserve">Esta exigencia no solo permite garantizar la adecuada ejecución del objeto contractual, sino que también previene eventuales infracciones a los derechos de Propiedad Industrial de terceros y salvaguarda la responsabilidad jurídica de la Entidad Estatal. </w:t>
            </w:r>
            <w:r w:rsidRPr="008F0726">
              <w:rPr>
                <w:rFonts w:ascii="Verdana" w:eastAsia="Times New Roman" w:hAnsi="Verdana" w:cs="Arial"/>
                <w:lang w:eastAsia="es-CO"/>
              </w:rPr>
              <w:t>En consecuencia, al determinarse esta exigencia como un requisito habilitante,</w:t>
            </w:r>
            <w:r w:rsidRPr="008F0726">
              <w:rPr>
                <w:rFonts w:ascii="Verdana" w:eastAsia="Times New Roman" w:hAnsi="Verdana" w:cs="Times New Roman"/>
                <w:lang w:eastAsia="es-CO"/>
              </w:rPr>
              <w:t xml:space="preserve"> </w:t>
            </w:r>
            <w:r w:rsidRPr="008F0726">
              <w:rPr>
                <w:rFonts w:ascii="Verdana" w:eastAsia="Times New Roman" w:hAnsi="Verdana" w:cs="Arial"/>
                <w:lang w:eastAsia="es-CO"/>
              </w:rPr>
              <w:t xml:space="preserve">el incumplimiento </w:t>
            </w:r>
            <w:proofErr w:type="gramStart"/>
            <w:r w:rsidRPr="008F0726">
              <w:rPr>
                <w:rFonts w:ascii="Verdana" w:eastAsia="Times New Roman" w:hAnsi="Verdana" w:cs="Arial"/>
                <w:lang w:eastAsia="es-CO"/>
              </w:rPr>
              <w:t>del mismo</w:t>
            </w:r>
            <w:proofErr w:type="gramEnd"/>
            <w:r w:rsidRPr="008F0726">
              <w:rPr>
                <w:rFonts w:ascii="Verdana" w:eastAsia="Times New Roman" w:hAnsi="Verdana" w:cs="Arial"/>
                <w:lang w:eastAsia="es-CO"/>
              </w:rPr>
              <w:t xml:space="preserve"> por parte del oferente podrá dar lugar al rechazo de su propuesta. </w:t>
            </w:r>
          </w:p>
          <w:p w14:paraId="42BE09B5" w14:textId="77777777" w:rsidR="00746D08" w:rsidRPr="008F0726" w:rsidRDefault="00746D08" w:rsidP="00EB2A51">
            <w:pPr>
              <w:spacing w:after="120" w:line="276" w:lineRule="auto"/>
              <w:ind w:firstLine="709"/>
              <w:jc w:val="both"/>
              <w:rPr>
                <w:rFonts w:ascii="Verdana" w:eastAsia="Calibri" w:hAnsi="Verdana" w:cs="Arial"/>
                <w:sz w:val="24"/>
                <w:szCs w:val="24"/>
                <w:lang w:eastAsia="es-CO"/>
              </w:rPr>
            </w:pPr>
            <w:r w:rsidRPr="008F0726">
              <w:rPr>
                <w:rFonts w:ascii="Verdana" w:eastAsia="Calibri" w:hAnsi="Verdana" w:cs="Arial"/>
                <w:lang w:val="es-ES" w:eastAsia="es-CO"/>
              </w:rPr>
              <w:t xml:space="preserve">No </w:t>
            </w:r>
            <w:proofErr w:type="gramStart"/>
            <w:r w:rsidRPr="008F0726">
              <w:rPr>
                <w:rFonts w:ascii="Verdana" w:eastAsia="Calibri" w:hAnsi="Verdana" w:cs="Arial"/>
                <w:lang w:val="es-ES" w:eastAsia="es-CO"/>
              </w:rPr>
              <w:t>obstante</w:t>
            </w:r>
            <w:proofErr w:type="gramEnd"/>
            <w:r w:rsidRPr="008F0726">
              <w:rPr>
                <w:rFonts w:ascii="Verdana" w:eastAsia="Calibri" w:hAnsi="Verdana" w:cs="Arial"/>
                <w:lang w:val="es-ES" w:eastAsia="es-CO"/>
              </w:rPr>
              <w:t xml:space="preserve"> lo anterior, </w:t>
            </w:r>
            <w:r w:rsidRPr="008F0726">
              <w:rPr>
                <w:rFonts w:ascii="Verdana" w:eastAsia="Calibri" w:hAnsi="Verdana" w:cs="Arial"/>
              </w:rPr>
              <w:t xml:space="preserve">resulta fundamental que la Entidad Estatal, en el marco del análisis previo, determine de manera objetiva y </w:t>
            </w:r>
            <w:r w:rsidRPr="008F0726">
              <w:rPr>
                <w:rFonts w:ascii="Verdana" w:eastAsia="Calibri" w:hAnsi="Verdana" w:cs="Arial"/>
                <w:lang w:eastAsia="es-CO"/>
              </w:rPr>
              <w:t xml:space="preserve">adecuada </w:t>
            </w:r>
            <w:r w:rsidRPr="008F0726">
              <w:rPr>
                <w:rFonts w:ascii="Verdana" w:eastAsia="Calibri" w:hAnsi="Verdana" w:cs="Arial"/>
              </w:rPr>
              <w:t>si la satisfacción de su necesidad exige realmente la adquisición de bienes amparados por patentes o si, por el contrario, dicha necesidad puede ser atendida mediante bienes o servicios que ofrezcan funcionalidades técnicas equivalentes sin encontrarse protegidos por derechos de propiedad industrial. Esta verificación permite evitar la incorporación de exigencias innecesarias o desproporcionadas que, al trasladarse a los requisitos habilitantes del proceso de contratación, puedan generar restricciones a la libre concurrencia y a la pluralidad de oferentes.</w:t>
            </w:r>
          </w:p>
        </w:tc>
      </w:tr>
    </w:tbl>
    <w:p w14:paraId="535C34AC" w14:textId="77777777" w:rsidR="00746D08" w:rsidRPr="008F0726" w:rsidRDefault="00746D08" w:rsidP="00746D0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35D9795" w14:textId="77777777" w:rsidR="00746D08" w:rsidRPr="008F0726" w:rsidRDefault="00746D08" w:rsidP="00746D08">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8F0726">
        <w:rPr>
          <w:rFonts w:ascii="Verdana" w:eastAsia="Century Gothic" w:hAnsi="Verdana" w:cs="Century Gothic"/>
          <w:b/>
          <w:bCs/>
          <w:color w:val="000000" w:themeColor="text1"/>
          <w:lang w:val="es-ES"/>
        </w:rPr>
        <w:t>Razones de la respuesta:</w:t>
      </w:r>
    </w:p>
    <w:p w14:paraId="088CF497" w14:textId="77777777" w:rsidR="00746D08" w:rsidRPr="008F0726" w:rsidRDefault="00746D08" w:rsidP="00746D08">
      <w:pPr>
        <w:spacing w:after="0" w:line="276" w:lineRule="auto"/>
        <w:jc w:val="both"/>
        <w:rPr>
          <w:rFonts w:ascii="Verdana" w:eastAsia="Calibri" w:hAnsi="Verdana" w:cs="Arial"/>
          <w:color w:val="000000" w:themeColor="text1"/>
          <w:lang w:val="es-ES"/>
        </w:rPr>
      </w:pPr>
    </w:p>
    <w:p w14:paraId="229006F2" w14:textId="77777777" w:rsidR="00746D08" w:rsidRPr="008F0726" w:rsidRDefault="00746D08" w:rsidP="00746D08">
      <w:pPr>
        <w:spacing w:after="0" w:line="276" w:lineRule="auto"/>
        <w:jc w:val="both"/>
        <w:rPr>
          <w:rFonts w:ascii="Verdana" w:eastAsia="Calibri" w:hAnsi="Verdana" w:cs="Arial"/>
          <w:color w:val="000000" w:themeColor="text1"/>
          <w:lang w:val="es-ES"/>
        </w:rPr>
      </w:pPr>
      <w:r w:rsidRPr="008F0726">
        <w:rPr>
          <w:rFonts w:ascii="Verdana" w:eastAsia="Calibri" w:hAnsi="Verdana" w:cs="Arial"/>
          <w:color w:val="000000" w:themeColor="text1"/>
          <w:lang w:val="es-ES"/>
        </w:rPr>
        <w:t xml:space="preserve">Lo anterior se sustenta en las siguientes consideraciones: </w:t>
      </w:r>
    </w:p>
    <w:p w14:paraId="0A672D56" w14:textId="77777777" w:rsidR="00746D08" w:rsidRPr="008F0726" w:rsidRDefault="00746D08" w:rsidP="00746D08">
      <w:pPr>
        <w:spacing w:after="120" w:line="276" w:lineRule="auto"/>
        <w:jc w:val="both"/>
        <w:rPr>
          <w:rFonts w:ascii="Verdana" w:eastAsia="Calibri" w:hAnsi="Verdana" w:cs="Arial"/>
          <w:color w:val="000000" w:themeColor="text1"/>
          <w:lang w:val="es-ES"/>
        </w:rPr>
      </w:pPr>
    </w:p>
    <w:p w14:paraId="3342F14B" w14:textId="77777777" w:rsidR="00746D08" w:rsidRPr="008F0726" w:rsidRDefault="00746D08" w:rsidP="00746D08">
      <w:pPr>
        <w:spacing w:after="120" w:line="276" w:lineRule="auto"/>
        <w:jc w:val="both"/>
        <w:rPr>
          <w:rFonts w:ascii="Verdana" w:hAnsi="Verdana" w:cs="Arial"/>
          <w:bCs/>
          <w:lang w:val="es-ES_tradnl" w:eastAsia="es-ES" w:bidi="es-ES"/>
        </w:rPr>
      </w:pPr>
      <w:r w:rsidRPr="008F0726">
        <w:rPr>
          <w:rFonts w:ascii="Verdana" w:hAnsi="Verdana" w:cs="Arial"/>
          <w:bCs/>
          <w:lang w:val="es-ES_tradnl" w:eastAsia="es-ES" w:bidi="es-ES"/>
        </w:rPr>
        <w:t xml:space="preserve">i. Los </w:t>
      </w:r>
      <w:r w:rsidRPr="008F0726">
        <w:rPr>
          <w:rFonts w:ascii="Verdana" w:hAnsi="Verdana" w:cs="Arial"/>
          <w:bCs/>
          <w:i/>
          <w:iCs/>
          <w:lang w:val="es-ES_tradnl" w:eastAsia="es-ES" w:bidi="es-ES"/>
        </w:rPr>
        <w:t>requisitos habilitantes</w:t>
      </w:r>
      <w:r w:rsidRPr="008F0726">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8F0726">
        <w:rPr>
          <w:rFonts w:ascii="Verdana" w:hAnsi="Verdana" w:cs="Arial"/>
          <w:bCs/>
          <w:i/>
          <w:iCs/>
          <w:lang w:val="es-ES_tradnl" w:eastAsia="es-ES" w:bidi="es-ES"/>
        </w:rPr>
        <w:t>criterios de evaluación</w:t>
      </w:r>
      <w:r w:rsidRPr="008F0726">
        <w:rPr>
          <w:rFonts w:ascii="Verdana" w:hAnsi="Verdana" w:cs="Arial"/>
          <w:bCs/>
          <w:lang w:val="es-ES_tradnl" w:eastAsia="es-ES" w:bidi="es-ES"/>
        </w:rPr>
        <w:t xml:space="preserve"> –también </w:t>
      </w:r>
      <w:r w:rsidRPr="008F0726">
        <w:rPr>
          <w:rFonts w:ascii="Verdana" w:hAnsi="Verdana" w:cs="Arial"/>
          <w:bCs/>
          <w:lang w:val="es-ES_tradnl" w:eastAsia="es-ES" w:bidi="es-ES"/>
        </w:rPr>
        <w:lastRenderedPageBreak/>
        <w:t xml:space="preserve">conocidos como </w:t>
      </w:r>
      <w:r w:rsidRPr="008F0726">
        <w:rPr>
          <w:rFonts w:ascii="Verdana" w:hAnsi="Verdana" w:cs="Arial"/>
          <w:bCs/>
          <w:i/>
          <w:iCs/>
          <w:lang w:val="es-ES_tradnl" w:eastAsia="es-ES" w:bidi="es-ES"/>
        </w:rPr>
        <w:t>criterios de calificación</w:t>
      </w:r>
      <w:r w:rsidRPr="008F0726">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2A2F94CD" w14:textId="77777777" w:rsidR="00746D08" w:rsidRPr="008F0726" w:rsidRDefault="00746D08" w:rsidP="00746D08">
      <w:pPr>
        <w:spacing w:after="120" w:line="276" w:lineRule="auto"/>
        <w:ind w:firstLine="708"/>
        <w:jc w:val="both"/>
        <w:rPr>
          <w:rFonts w:ascii="Verdana" w:eastAsia="Calibri" w:hAnsi="Verdana" w:cs="Arial"/>
          <w:lang w:val="es-ES" w:eastAsia="es-MX"/>
        </w:rPr>
      </w:pPr>
      <w:bookmarkStart w:id="1" w:name="_Hlk191626670"/>
      <w:r w:rsidRPr="008F0726">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1"/>
      <w:r w:rsidRPr="008F0726">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2" w:name="_Hlk191626971"/>
      <w:r w:rsidRPr="008F0726">
        <w:rPr>
          <w:rFonts w:ascii="Verdana" w:eastAsia="Calibri" w:hAnsi="Verdana" w:cs="Arial"/>
          <w:lang w:val="es-ES" w:eastAsia="es-MX"/>
        </w:rPr>
        <w:t>artículo 5, parágrafos 1º al 4º, de la Ley 1150 de 2007</w:t>
      </w:r>
      <w:bookmarkEnd w:id="2"/>
      <w:r w:rsidRPr="008F0726">
        <w:rPr>
          <w:rFonts w:ascii="Verdana" w:eastAsia="Calibri" w:hAnsi="Verdana" w:cs="Arial"/>
          <w:lang w:val="es-ES" w:eastAsia="es-MX"/>
        </w:rPr>
        <w:t>.</w:t>
      </w:r>
    </w:p>
    <w:p w14:paraId="7E6C4C0B" w14:textId="77777777" w:rsidR="00746D08" w:rsidRPr="008F0726" w:rsidRDefault="00746D08" w:rsidP="00746D08">
      <w:pPr>
        <w:spacing w:after="120" w:line="276" w:lineRule="auto"/>
        <w:ind w:firstLine="708"/>
        <w:jc w:val="both"/>
        <w:rPr>
          <w:rFonts w:ascii="Verdana" w:hAnsi="Verdana" w:cs="Arial"/>
          <w:color w:val="000000" w:themeColor="text1"/>
          <w:lang w:val="es-ES_tradnl"/>
        </w:rPr>
      </w:pPr>
      <w:r w:rsidRPr="008F0726">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F0726">
        <w:rPr>
          <w:rFonts w:ascii="Verdana" w:hAnsi="Verdana" w:cs="Arial"/>
          <w:i/>
          <w:iCs/>
          <w:color w:val="000000" w:themeColor="text1"/>
          <w:lang w:val="es-ES_tradnl"/>
        </w:rPr>
        <w:t>.</w:t>
      </w:r>
      <w:r w:rsidRPr="008F0726">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1BAE3E74" w14:textId="77777777" w:rsidR="00746D08" w:rsidRPr="008F0726" w:rsidRDefault="00746D08" w:rsidP="00746D08">
      <w:pPr>
        <w:spacing w:after="0" w:line="276" w:lineRule="auto"/>
        <w:ind w:firstLine="708"/>
        <w:jc w:val="both"/>
        <w:rPr>
          <w:rFonts w:ascii="Verdana" w:hAnsi="Verdana" w:cs="Arial"/>
          <w:bCs/>
          <w:lang w:val="es-ES" w:eastAsia="es-ES" w:bidi="es-ES"/>
        </w:rPr>
      </w:pPr>
      <w:r w:rsidRPr="008F0726">
        <w:rPr>
          <w:rFonts w:ascii="Verdana" w:hAnsi="Verdana" w:cs="Arial"/>
          <w:bCs/>
          <w:lang w:val="es-ES" w:eastAsia="es-ES" w:bidi="es-ES"/>
        </w:rPr>
        <w:t xml:space="preserve">Específicamente, el numeral 1º del artículo 5 de la Ley 1150 de 2007 establece que, en los procesos de selección de contratistas, serán objeto de verificación, como requisitos habilitantes, </w:t>
      </w:r>
      <w:r w:rsidRPr="008F0726">
        <w:rPr>
          <w:rFonts w:ascii="Verdana" w:hAnsi="Verdana" w:cs="Arial"/>
          <w:bCs/>
          <w:i/>
          <w:iCs/>
          <w:lang w:val="es-ES" w:eastAsia="es-ES" w:bidi="es-ES"/>
        </w:rPr>
        <w:t>entre otros</w:t>
      </w:r>
      <w:r w:rsidRPr="008F0726">
        <w:rPr>
          <w:rFonts w:ascii="Verdana" w:hAnsi="Verdana" w:cs="Arial"/>
          <w:bCs/>
          <w:lang w:val="es-ES" w:eastAsia="es-ES" w:bidi="es-ES"/>
        </w:rPr>
        <w:t>, los siguientes: (i) la capacidad jurídica; (</w:t>
      </w:r>
      <w:proofErr w:type="spellStart"/>
      <w:r w:rsidRPr="008F0726">
        <w:rPr>
          <w:rFonts w:ascii="Verdana" w:hAnsi="Verdana" w:cs="Arial"/>
          <w:bCs/>
          <w:lang w:val="es-ES" w:eastAsia="es-ES" w:bidi="es-ES"/>
        </w:rPr>
        <w:t>ii</w:t>
      </w:r>
      <w:proofErr w:type="spellEnd"/>
      <w:r w:rsidRPr="008F0726">
        <w:rPr>
          <w:rFonts w:ascii="Verdana" w:hAnsi="Verdana" w:cs="Arial"/>
          <w:bCs/>
          <w:lang w:val="es-ES" w:eastAsia="es-ES" w:bidi="es-ES"/>
        </w:rPr>
        <w:t>) la experiencia; (</w:t>
      </w:r>
      <w:proofErr w:type="spellStart"/>
      <w:r w:rsidRPr="008F0726">
        <w:rPr>
          <w:rFonts w:ascii="Verdana" w:hAnsi="Verdana" w:cs="Arial"/>
          <w:bCs/>
          <w:lang w:val="es-ES" w:eastAsia="es-ES" w:bidi="es-ES"/>
        </w:rPr>
        <w:t>iii</w:t>
      </w:r>
      <w:proofErr w:type="spellEnd"/>
      <w:r w:rsidRPr="008F0726">
        <w:rPr>
          <w:rFonts w:ascii="Verdana" w:hAnsi="Verdana" w:cs="Arial"/>
          <w:bCs/>
          <w:lang w:val="es-ES" w:eastAsia="es-ES" w:bidi="es-ES"/>
        </w:rPr>
        <w:t>) la capacidad financiera y (</w:t>
      </w:r>
      <w:proofErr w:type="spellStart"/>
      <w:r w:rsidRPr="008F0726">
        <w:rPr>
          <w:rFonts w:ascii="Verdana" w:hAnsi="Verdana" w:cs="Arial"/>
          <w:bCs/>
          <w:lang w:val="es-ES" w:eastAsia="es-ES" w:bidi="es-ES"/>
        </w:rPr>
        <w:t>iv</w:t>
      </w:r>
      <w:proofErr w:type="spellEnd"/>
      <w:r w:rsidRPr="008F0726">
        <w:rPr>
          <w:rFonts w:ascii="Verdana" w:hAnsi="Verdana" w:cs="Arial"/>
          <w:bCs/>
          <w:lang w:val="es-ES" w:eastAsia="es-ES" w:bidi="es-ES"/>
        </w:rPr>
        <w:t>) la capacidad de organización. En efecto, la normativa citada prescribe:</w:t>
      </w:r>
    </w:p>
    <w:p w14:paraId="069EB6BF" w14:textId="77777777" w:rsidR="00746D08" w:rsidRPr="008F0726" w:rsidRDefault="00746D08" w:rsidP="00746D08">
      <w:pPr>
        <w:spacing w:after="0" w:line="276" w:lineRule="auto"/>
        <w:ind w:firstLine="708"/>
        <w:jc w:val="both"/>
        <w:rPr>
          <w:rFonts w:ascii="Verdana" w:hAnsi="Verdana" w:cs="Arial"/>
          <w:bCs/>
          <w:lang w:val="es-ES" w:eastAsia="es-ES" w:bidi="es-ES"/>
        </w:rPr>
      </w:pPr>
    </w:p>
    <w:p w14:paraId="11D55F42" w14:textId="77777777" w:rsidR="00746D08" w:rsidRPr="008F0726" w:rsidRDefault="00746D08" w:rsidP="00746D08">
      <w:pPr>
        <w:spacing w:after="0" w:line="240" w:lineRule="auto"/>
        <w:ind w:left="709" w:right="709"/>
        <w:jc w:val="both"/>
        <w:rPr>
          <w:rFonts w:ascii="Verdana" w:hAnsi="Verdana" w:cs="Arial"/>
          <w:sz w:val="20"/>
          <w:szCs w:val="20"/>
          <w:lang w:val="es-ES_tradnl" w:eastAsia="es-ES" w:bidi="es-ES"/>
        </w:rPr>
      </w:pPr>
      <w:r w:rsidRPr="008F0726">
        <w:rPr>
          <w:rFonts w:ascii="Verdana" w:hAnsi="Verdana" w:cs="Arial"/>
          <w:i/>
          <w:sz w:val="20"/>
          <w:szCs w:val="20"/>
          <w:lang w:val="es-ES_tradnl" w:eastAsia="es-ES" w:bidi="es-ES"/>
        </w:rPr>
        <w:t>“</w:t>
      </w:r>
      <w:r w:rsidRPr="008F0726">
        <w:rPr>
          <w:rFonts w:ascii="Verdana" w:hAnsi="Verdana" w:cs="Arial"/>
          <w:sz w:val="20"/>
          <w:szCs w:val="20"/>
          <w:lang w:val="es-ES_tradnl" w:eastAsia="es-ES" w:bidi="es-ES"/>
        </w:rPr>
        <w:t xml:space="preserve">Artículo 5. De la Selección Objetiva. </w:t>
      </w:r>
    </w:p>
    <w:p w14:paraId="41B41E59" w14:textId="77777777" w:rsidR="00746D08" w:rsidRPr="008F0726" w:rsidRDefault="00746D08" w:rsidP="00746D08">
      <w:pPr>
        <w:spacing w:after="0" w:line="240" w:lineRule="auto"/>
        <w:ind w:left="709" w:right="709"/>
        <w:jc w:val="both"/>
        <w:rPr>
          <w:rFonts w:ascii="Verdana" w:hAnsi="Verdana" w:cs="Arial"/>
          <w:sz w:val="20"/>
          <w:szCs w:val="20"/>
          <w:lang w:val="es-ES_tradnl" w:eastAsia="es-ES" w:bidi="es-ES"/>
        </w:rPr>
      </w:pPr>
      <w:r w:rsidRPr="008F0726">
        <w:rPr>
          <w:rFonts w:ascii="Verdana" w:hAnsi="Verdana" w:cs="Arial"/>
          <w:sz w:val="20"/>
          <w:szCs w:val="20"/>
          <w:lang w:val="es-ES_tradnl" w:eastAsia="es-ES" w:bidi="es-ES"/>
        </w:rPr>
        <w:t>[…]</w:t>
      </w:r>
    </w:p>
    <w:p w14:paraId="35FD1F17" w14:textId="77777777" w:rsidR="00746D08" w:rsidRPr="008F0726" w:rsidRDefault="00746D08" w:rsidP="00746D08">
      <w:pPr>
        <w:spacing w:after="0" w:line="240" w:lineRule="auto"/>
        <w:ind w:left="709" w:right="709"/>
        <w:jc w:val="both"/>
        <w:rPr>
          <w:rFonts w:ascii="Verdana" w:hAnsi="Verdana" w:cs="Arial"/>
          <w:sz w:val="20"/>
          <w:szCs w:val="20"/>
          <w:lang w:val="es-ES" w:eastAsia="es-ES" w:bidi="es-ES"/>
        </w:rPr>
      </w:pPr>
      <w:r w:rsidRPr="008F0726">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4A9E7844" w14:textId="77777777" w:rsidR="00746D08" w:rsidRPr="008F0726" w:rsidRDefault="00746D08" w:rsidP="00746D08">
      <w:pPr>
        <w:spacing w:after="0" w:line="276" w:lineRule="auto"/>
        <w:ind w:right="709"/>
        <w:jc w:val="both"/>
        <w:rPr>
          <w:rFonts w:ascii="Verdana" w:hAnsi="Verdana" w:cs="Arial"/>
          <w:lang w:val="es-ES" w:eastAsia="es-ES" w:bidi="es-ES"/>
        </w:rPr>
      </w:pPr>
    </w:p>
    <w:p w14:paraId="3C78AA69" w14:textId="77777777" w:rsidR="00746D08" w:rsidRPr="008F0726" w:rsidRDefault="00746D08" w:rsidP="00746D08">
      <w:pPr>
        <w:spacing w:after="120" w:line="276" w:lineRule="auto"/>
        <w:ind w:firstLine="708"/>
        <w:jc w:val="both"/>
        <w:rPr>
          <w:rFonts w:ascii="Verdana" w:eastAsia="Times New Roman" w:hAnsi="Verdana" w:cs="Arial"/>
          <w:highlight w:val="cyan"/>
          <w:lang w:val="es-ES_tradnl" w:eastAsia="es-MX"/>
        </w:rPr>
      </w:pPr>
      <w:bookmarkStart w:id="3" w:name="_Hlk99547809"/>
      <w:bookmarkStart w:id="4" w:name="_Hlk99546625"/>
      <w:r w:rsidRPr="008F0726">
        <w:rPr>
          <w:rFonts w:ascii="Verdana" w:eastAsia="Times New Roman" w:hAnsi="Verdana" w:cs="Arial"/>
          <w:lang w:val="es-ES_tradnl" w:eastAsia="es-MX"/>
        </w:rPr>
        <w:lastRenderedPageBreak/>
        <w:t xml:space="preserve">La Agencia Nacional de Contratación Pública – Colombia Compra Eficiente ha defendido el carácter </w:t>
      </w:r>
      <w:bookmarkStart w:id="5" w:name="_Hlk99547799"/>
      <w:r w:rsidRPr="008F0726">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3"/>
      <w:bookmarkEnd w:id="5"/>
      <w:r w:rsidRPr="008F0726">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4"/>
      <w:r w:rsidRPr="008F0726">
        <w:rPr>
          <w:rFonts w:ascii="Verdana" w:eastAsia="Times New Roman" w:hAnsi="Verdana" w:cs="Arial"/>
          <w:vertAlign w:val="superscript"/>
          <w:lang w:val="es-ES_tradnl" w:eastAsia="es-MX"/>
        </w:rPr>
        <w:footnoteReference w:id="2"/>
      </w:r>
      <w:r w:rsidRPr="008F0726">
        <w:rPr>
          <w:rFonts w:ascii="Verdana" w:eastAsia="Times New Roman" w:hAnsi="Verdana" w:cs="Arial"/>
          <w:lang w:val="es-ES_tradnl" w:eastAsia="es-MX"/>
        </w:rPr>
        <w:t xml:space="preserve">. </w:t>
      </w:r>
    </w:p>
    <w:p w14:paraId="7C2E5296" w14:textId="77777777" w:rsidR="00746D08" w:rsidRPr="008F0726" w:rsidRDefault="00746D08" w:rsidP="00746D08">
      <w:pPr>
        <w:spacing w:after="120" w:line="276" w:lineRule="auto"/>
        <w:ind w:firstLine="708"/>
        <w:jc w:val="both"/>
        <w:rPr>
          <w:rFonts w:ascii="Verdana" w:hAnsi="Verdana" w:cs="Arial"/>
          <w:bCs/>
          <w:lang w:val="es-ES" w:eastAsia="es-ES" w:bidi="es-ES"/>
        </w:rPr>
      </w:pPr>
      <w:r w:rsidRPr="008F0726">
        <w:rPr>
          <w:rFonts w:ascii="Verdana" w:eastAsia="Times New Roman" w:hAnsi="Verdana" w:cs="Arial"/>
          <w:lang w:val="es-ES" w:eastAsia="es-MX"/>
        </w:rPr>
        <w:t xml:space="preserve">Por otro lado, </w:t>
      </w:r>
      <w:r w:rsidRPr="008F0726">
        <w:rPr>
          <w:rFonts w:ascii="Verdana" w:hAnsi="Verdana" w:cs="Arial"/>
          <w:bCs/>
          <w:lang w:val="es-ES" w:eastAsia="es-ES" w:bidi="es-ES"/>
        </w:rPr>
        <w:t xml:space="preserve">el artículo 5 de la Ley 1150 de 2007 dispone que se considera </w:t>
      </w:r>
      <w:r w:rsidRPr="008F0726">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8F0726">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18233988" w14:textId="77777777" w:rsidR="00746D08" w:rsidRPr="008F0726" w:rsidRDefault="00746D08" w:rsidP="00746D08">
      <w:pPr>
        <w:spacing w:after="120" w:line="276" w:lineRule="auto"/>
        <w:ind w:firstLine="708"/>
        <w:jc w:val="both"/>
        <w:rPr>
          <w:rFonts w:ascii="Verdana" w:hAnsi="Verdana" w:cs="Arial"/>
          <w:bCs/>
          <w:lang w:val="es-ES" w:eastAsia="es-ES" w:bidi="es-ES"/>
        </w:rPr>
      </w:pPr>
      <w:bookmarkStart w:id="6" w:name="_Hlk214518420"/>
      <w:r w:rsidRPr="008F0726">
        <w:rPr>
          <w:rFonts w:ascii="Verdana" w:hAnsi="Verdana" w:cs="Arial"/>
          <w:bCs/>
          <w:lang w:val="es-ES" w:eastAsia="es-ES" w:bidi="es-ES"/>
        </w:rPr>
        <w:t xml:space="preserve">En especial, señala la Ley que los criterios habilitantes que determine la Entidad deberán ser </w:t>
      </w:r>
      <w:r w:rsidRPr="008F0726">
        <w:rPr>
          <w:rFonts w:ascii="Verdana" w:hAnsi="Verdana" w:cs="Arial"/>
          <w:bCs/>
          <w:i/>
          <w:iCs/>
          <w:sz w:val="21"/>
          <w:szCs w:val="21"/>
          <w:lang w:val="es-ES" w:eastAsia="es-ES" w:bidi="es-ES"/>
        </w:rPr>
        <w:t>adecuados y proporcionales</w:t>
      </w:r>
      <w:r w:rsidRPr="008F0726">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6"/>
    <w:p w14:paraId="1A62E5C2" w14:textId="77777777" w:rsidR="00746D08" w:rsidRPr="008F0726" w:rsidRDefault="00746D08" w:rsidP="00746D08">
      <w:pPr>
        <w:spacing w:after="120" w:line="276" w:lineRule="auto"/>
        <w:ind w:firstLine="708"/>
        <w:jc w:val="both"/>
        <w:rPr>
          <w:rFonts w:ascii="Verdana" w:eastAsia="Times New Roman" w:hAnsi="Verdana" w:cs="Arial"/>
          <w:lang w:val="es-ES" w:eastAsia="es-MX"/>
        </w:rPr>
      </w:pPr>
      <w:r w:rsidRPr="008F0726">
        <w:rPr>
          <w:rFonts w:ascii="Verdana" w:eastAsia="Times New Roman" w:hAnsi="Verdana" w:cs="Arial"/>
          <w:lang w:val="es-ES" w:eastAsia="es-MX"/>
        </w:rPr>
        <w:t xml:space="preserve">En línea con lo anterior, el </w:t>
      </w:r>
      <w:bookmarkStart w:id="7" w:name="_Hlk191627190"/>
      <w:r w:rsidRPr="008F0726">
        <w:rPr>
          <w:rFonts w:ascii="Verdana" w:eastAsia="Times New Roman" w:hAnsi="Verdana" w:cs="Arial"/>
          <w:lang w:val="es-ES" w:eastAsia="es-MX"/>
        </w:rPr>
        <w:t>“Manual para determinar y verificar los requisitos habilitantes en los Procesos de Contratación</w:t>
      </w:r>
      <w:bookmarkEnd w:id="7"/>
      <w:r w:rsidRPr="008F0726">
        <w:rPr>
          <w:rFonts w:ascii="Verdana" w:eastAsia="Times New Roman" w:hAnsi="Verdana" w:cs="Arial"/>
          <w:lang w:val="es-ES" w:eastAsia="es-MX"/>
        </w:rPr>
        <w:t>”</w:t>
      </w:r>
      <w:r w:rsidRPr="008F0726">
        <w:rPr>
          <w:rFonts w:ascii="Verdana" w:eastAsia="Times New Roman" w:hAnsi="Verdana" w:cs="Arial"/>
          <w:vertAlign w:val="superscript"/>
          <w:lang w:val="es-ES" w:eastAsia="es-MX"/>
        </w:rPr>
        <w:footnoteReference w:id="3"/>
      </w:r>
      <w:r w:rsidRPr="008F0726">
        <w:rPr>
          <w:rFonts w:ascii="Verdana" w:eastAsia="Calibri" w:hAnsi="Verdana" w:cs="Arial"/>
          <w:lang w:val="es-ES" w:eastAsia="es-MX"/>
        </w:rPr>
        <w:t>,</w:t>
      </w:r>
      <w:r w:rsidRPr="008F0726">
        <w:rPr>
          <w:rFonts w:ascii="Verdana" w:eastAsia="Times New Roman" w:hAnsi="Verdana" w:cs="Arial"/>
          <w:lang w:val="es-ES" w:eastAsia="es-MX"/>
        </w:rPr>
        <w:t xml:space="preserve"> expedido por la </w:t>
      </w:r>
      <w:r w:rsidRPr="008F0726">
        <w:rPr>
          <w:rFonts w:ascii="Verdana" w:eastAsia="Calibri" w:hAnsi="Verdana" w:cs="Arial"/>
          <w:lang w:val="es-ES" w:eastAsia="es-MX"/>
        </w:rPr>
        <w:t>Agencia Nacional de Contratación Pública – Colombia Compra Eficiente,</w:t>
      </w:r>
      <w:r w:rsidRPr="008F0726">
        <w:rPr>
          <w:rFonts w:ascii="Verdana" w:eastAsia="Times New Roman" w:hAnsi="Verdana" w:cs="Arial"/>
          <w:lang w:val="es-ES" w:eastAsia="es-MX"/>
        </w:rPr>
        <w:t xml:space="preserve"> </w:t>
      </w:r>
      <w:r w:rsidRPr="008F0726">
        <w:rPr>
          <w:rFonts w:ascii="Verdana" w:eastAsia="Times New Roman" w:hAnsi="Verdana" w:cs="Arial"/>
          <w:lang w:val="es-ES" w:eastAsia="es-MX"/>
        </w:rPr>
        <w:lastRenderedPageBreak/>
        <w:t>determinó los parámetros para establecer, acreditar y subsanar los requisitos habilitantes. Al respecto, precisa que estos tienen como fin primordial medir “</w:t>
      </w:r>
      <w:bookmarkStart w:id="8" w:name="_Hlk191627260"/>
      <w:r w:rsidRPr="008F0726">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8"/>
      <w:r w:rsidRPr="008F0726">
        <w:rPr>
          <w:rFonts w:ascii="Verdana" w:eastAsia="Times New Roman" w:hAnsi="Verdana" w:cs="Arial"/>
          <w:lang w:val="es-ES" w:eastAsia="es-MX"/>
        </w:rPr>
        <w:t xml:space="preserve">De acuerdo con el Manual, su propósito consiste en “establecer unas condiciones mínimas </w:t>
      </w:r>
      <w:r w:rsidRPr="008F0726">
        <w:rPr>
          <w:rFonts w:ascii="Verdana" w:eastAsia="Times New Roman" w:hAnsi="Verdana" w:cs="Arial"/>
          <w:lang w:eastAsia="es-MX"/>
        </w:rPr>
        <w:t>para la participación en los procedimientos de selección, establecidas en disposiciones normativas</w:t>
      </w:r>
      <w:r w:rsidRPr="008F0726">
        <w:rPr>
          <w:rFonts w:ascii="Verdana" w:eastAsia="Times New Roman" w:hAnsi="Verdana" w:cs="Arial"/>
          <w:lang w:val="es-ES" w:eastAsia="es-MX"/>
        </w:rPr>
        <w:t xml:space="preserve">”. </w:t>
      </w:r>
    </w:p>
    <w:p w14:paraId="5F1504AA" w14:textId="77777777" w:rsidR="00746D08" w:rsidRPr="008F0726" w:rsidRDefault="00746D08" w:rsidP="00746D08">
      <w:pPr>
        <w:spacing w:after="120" w:line="276" w:lineRule="auto"/>
        <w:ind w:firstLine="709"/>
        <w:jc w:val="both"/>
        <w:rPr>
          <w:rFonts w:ascii="Verdana" w:eastAsia="Times New Roman" w:hAnsi="Verdana" w:cs="Arial"/>
          <w:lang w:val="es-ES" w:eastAsia="es-MX"/>
        </w:rPr>
      </w:pPr>
      <w:r w:rsidRPr="008F0726">
        <w:rPr>
          <w:rFonts w:ascii="Verdana" w:eastAsia="Times New Roman" w:hAnsi="Verdana" w:cs="Arial"/>
          <w:lang w:val="es-ES" w:eastAsia="es-MX"/>
        </w:rPr>
        <w:t xml:space="preserve">Así las cosas, al tratarse de condiciones mínimas, significa que </w:t>
      </w:r>
      <w:bookmarkStart w:id="9" w:name="_Hlk191627287"/>
      <w:r w:rsidRPr="008F0726">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8F0726">
        <w:rPr>
          <w:rFonts w:ascii="Verdana" w:eastAsia="Times New Roman" w:hAnsi="Verdana" w:cs="Arial"/>
          <w:i/>
          <w:lang w:val="es-ES" w:eastAsia="es-MX"/>
        </w:rPr>
        <w:t>proporcional y adecuada</w:t>
      </w:r>
      <w:r w:rsidRPr="008F0726">
        <w:rPr>
          <w:rFonts w:ascii="Verdana" w:eastAsia="Times New Roman" w:hAnsi="Verdana" w:cs="Arial"/>
          <w:lang w:val="es-ES" w:eastAsia="es-MX"/>
        </w:rPr>
        <w:t xml:space="preserve"> frente a la naturaleza y el valor del contrato.</w:t>
      </w:r>
    </w:p>
    <w:p w14:paraId="4460C8A5" w14:textId="77777777" w:rsidR="00746D08" w:rsidRPr="008F0726" w:rsidRDefault="00746D08" w:rsidP="00746D08">
      <w:pPr>
        <w:tabs>
          <w:tab w:val="left" w:pos="426"/>
        </w:tabs>
        <w:spacing w:after="120" w:line="276" w:lineRule="auto"/>
        <w:ind w:firstLine="709"/>
        <w:jc w:val="both"/>
        <w:rPr>
          <w:rFonts w:ascii="Verdana" w:eastAsia="Times New Roman" w:hAnsi="Verdana" w:cs="Arial"/>
          <w:lang w:val="es-ES_tradnl" w:eastAsia="es-MX"/>
        </w:rPr>
      </w:pPr>
      <w:bookmarkStart w:id="10" w:name="_Hlk99548027"/>
      <w:bookmarkEnd w:id="9"/>
      <w:r w:rsidRPr="008F0726">
        <w:rPr>
          <w:rFonts w:ascii="Verdana" w:eastAsia="Times New Roman" w:hAnsi="Verdana" w:cs="Arial"/>
          <w:lang w:val="es-ES_tradnl" w:eastAsia="es-MX"/>
        </w:rPr>
        <w:t xml:space="preserve">En ese sentido, </w:t>
      </w:r>
      <w:bookmarkStart w:id="11" w:name="_Hlk191627322"/>
      <w:r w:rsidRPr="008F0726">
        <w:rPr>
          <w:rFonts w:ascii="Verdana" w:eastAsia="Times New Roman" w:hAnsi="Verdana" w:cs="Arial"/>
          <w:lang w:val="es-ES_tradnl" w:eastAsia="es-MX"/>
        </w:rPr>
        <w:t xml:space="preserve">si bien </w:t>
      </w:r>
      <w:r w:rsidRPr="008F0726">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8F0726">
        <w:rPr>
          <w:rFonts w:ascii="Verdana" w:eastAsia="Times New Roman" w:hAnsi="Verdana" w:cs="Arial"/>
          <w:lang w:val="es-ES_tradnl" w:eastAsia="es-MX"/>
        </w:rPr>
        <w:t xml:space="preserve">En consecuencia, corresponde a las Entidades Estatales, durante la etapa de planeación del contrato estatal, estudiar y </w:t>
      </w:r>
      <w:r w:rsidRPr="008F0726">
        <w:rPr>
          <w:rFonts w:ascii="Verdana" w:eastAsia="Times New Roman" w:hAnsi="Verdana" w:cs="Arial"/>
          <w:bCs/>
          <w:iCs/>
          <w:lang w:val="es-ES_tradnl" w:eastAsia="es-MX"/>
        </w:rPr>
        <w:t>determinar</w:t>
      </w:r>
      <w:r w:rsidRPr="008F0726">
        <w:rPr>
          <w:rFonts w:ascii="Verdana" w:eastAsia="Times New Roman" w:hAnsi="Verdana" w:cs="Arial"/>
          <w:lang w:val="es-ES_tradnl" w:eastAsia="es-MX"/>
        </w:rPr>
        <w:t xml:space="preserve"> los requisitos habilitantes que establecerán en los pliegos de condiciones o documentos equivalentes, </w:t>
      </w:r>
      <w:r w:rsidRPr="008F0726">
        <w:rPr>
          <w:rFonts w:ascii="Verdana" w:eastAsia="Times New Roman" w:hAnsi="Verdana" w:cs="Arial"/>
          <w:i/>
          <w:iCs/>
          <w:lang w:val="es-ES_tradnl" w:eastAsia="es-MX"/>
        </w:rPr>
        <w:t>los cuales deben fijarse de forma adecuada y proporcional</w:t>
      </w:r>
      <w:r w:rsidRPr="008F0726">
        <w:rPr>
          <w:rFonts w:ascii="Verdana" w:eastAsia="Times New Roman" w:hAnsi="Verdana" w:cs="Arial"/>
          <w:lang w:val="es-ES_tradnl" w:eastAsia="es-MX"/>
        </w:rPr>
        <w:t xml:space="preserve">. </w:t>
      </w:r>
      <w:bookmarkEnd w:id="10"/>
      <w:bookmarkEnd w:id="11"/>
      <w:r w:rsidRPr="008F0726">
        <w:rPr>
          <w:rFonts w:ascii="Verdana" w:eastAsia="Times New Roman" w:hAnsi="Verdana" w:cs="Arial"/>
          <w:lang w:val="es-ES_tradnl" w:eastAsia="es-MX"/>
        </w:rPr>
        <w:t>Al respecto, en la Sentencia C-004 de 2017, la Corte Constitucional señaló que:</w:t>
      </w:r>
    </w:p>
    <w:p w14:paraId="4FFE4871" w14:textId="77777777" w:rsidR="00746D08" w:rsidRPr="008F0726" w:rsidRDefault="00746D08" w:rsidP="00746D08">
      <w:pPr>
        <w:tabs>
          <w:tab w:val="left" w:pos="426"/>
        </w:tabs>
        <w:spacing w:after="0" w:line="276" w:lineRule="auto"/>
        <w:ind w:firstLine="709"/>
        <w:jc w:val="both"/>
        <w:rPr>
          <w:rFonts w:ascii="Verdana" w:eastAsia="Times New Roman" w:hAnsi="Verdana" w:cs="Arial"/>
          <w:lang w:val="es-ES_tradnl" w:eastAsia="es-MX"/>
        </w:rPr>
      </w:pPr>
    </w:p>
    <w:p w14:paraId="692E0378" w14:textId="77777777" w:rsidR="00746D08" w:rsidRPr="008F0726" w:rsidRDefault="00746D08" w:rsidP="00746D08">
      <w:pPr>
        <w:spacing w:after="0" w:line="240" w:lineRule="auto"/>
        <w:ind w:left="709" w:right="709"/>
        <w:jc w:val="both"/>
        <w:rPr>
          <w:rFonts w:ascii="Verdana" w:hAnsi="Verdana" w:cs="Arial"/>
          <w:sz w:val="20"/>
          <w:szCs w:val="20"/>
          <w:lang w:val="es-ES_tradnl" w:eastAsia="es-ES" w:bidi="es-ES"/>
        </w:rPr>
      </w:pPr>
      <w:r w:rsidRPr="008F0726">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25480C6E" w14:textId="77777777" w:rsidR="00746D08" w:rsidRPr="008F0726" w:rsidRDefault="00746D08" w:rsidP="00746D08">
      <w:pPr>
        <w:spacing w:after="0" w:line="276" w:lineRule="auto"/>
        <w:ind w:left="709" w:right="709"/>
        <w:jc w:val="both"/>
        <w:rPr>
          <w:rFonts w:ascii="Verdana" w:hAnsi="Verdana" w:cs="Arial"/>
          <w:bCs/>
          <w:lang w:val="es-ES_tradnl" w:eastAsia="es-ES" w:bidi="es-ES"/>
        </w:rPr>
      </w:pPr>
    </w:p>
    <w:p w14:paraId="581198C6" w14:textId="77777777" w:rsidR="00746D08" w:rsidRPr="008F0726" w:rsidRDefault="00746D08" w:rsidP="00746D08">
      <w:pPr>
        <w:tabs>
          <w:tab w:val="left" w:pos="426"/>
        </w:tabs>
        <w:spacing w:after="120" w:line="276" w:lineRule="auto"/>
        <w:ind w:firstLine="709"/>
        <w:jc w:val="both"/>
        <w:rPr>
          <w:rFonts w:ascii="Verdana" w:eastAsia="Times New Roman" w:hAnsi="Verdana" w:cs="Arial"/>
          <w:lang w:val="es-ES_tradnl" w:eastAsia="es-MX"/>
        </w:rPr>
      </w:pPr>
      <w:r w:rsidRPr="008F0726">
        <w:rPr>
          <w:rFonts w:ascii="Verdana" w:eastAsia="Times New Roman" w:hAnsi="Verdana" w:cs="Arial"/>
          <w:lang w:val="es-ES_tradnl" w:eastAsia="es-MX"/>
        </w:rPr>
        <w:t xml:space="preserve">El </w:t>
      </w:r>
      <w:bookmarkStart w:id="12" w:name="_Hlk191627359"/>
      <w:r w:rsidRPr="008F0726">
        <w:rPr>
          <w:rFonts w:ascii="Verdana" w:eastAsia="Times New Roman" w:hAnsi="Verdana" w:cs="Arial"/>
          <w:lang w:val="es-ES_tradnl" w:eastAsia="es-MX"/>
        </w:rPr>
        <w:t xml:space="preserve">Decreto 1082 de 2015 en su artículo 2.2.1.1.1.6.2. </w:t>
      </w:r>
      <w:bookmarkEnd w:id="12"/>
      <w:r w:rsidRPr="008F0726">
        <w:rPr>
          <w:rFonts w:ascii="Verdana" w:eastAsia="Times New Roman" w:hAnsi="Verdana" w:cs="Arial"/>
          <w:lang w:val="es-ES_tradnl" w:eastAsia="es-MX"/>
        </w:rPr>
        <w:t>reglamenta los requisitos habilitantes, estableciendo que estos deben ser señalados en los pliegos de condiciones o en la invitación</w:t>
      </w:r>
      <w:r w:rsidRPr="008F0726">
        <w:rPr>
          <w:rFonts w:ascii="Verdana" w:eastAsia="Times New Roman" w:hAnsi="Verdana" w:cs="Arial"/>
          <w:vertAlign w:val="superscript"/>
          <w:lang w:val="es-ES_tradnl" w:eastAsia="es-MX"/>
        </w:rPr>
        <w:footnoteReference w:id="4"/>
      </w:r>
      <w:r w:rsidRPr="008F0726">
        <w:rPr>
          <w:rFonts w:ascii="Verdana" w:eastAsia="Times New Roman" w:hAnsi="Verdana" w:cs="Arial"/>
          <w:lang w:val="es-ES_tradnl" w:eastAsia="es-MX"/>
        </w:rPr>
        <w:t xml:space="preserve">, lo cual es concordante con el </w:t>
      </w:r>
      <w:bookmarkStart w:id="13" w:name="_Hlk191627380"/>
      <w:r w:rsidRPr="008F0726">
        <w:rPr>
          <w:rFonts w:ascii="Verdana" w:eastAsia="Times New Roman" w:hAnsi="Verdana" w:cs="Arial"/>
          <w:lang w:val="es-ES_tradnl" w:eastAsia="es-MX"/>
        </w:rPr>
        <w:t xml:space="preserve">numeral </w:t>
      </w:r>
      <w:r w:rsidRPr="008F0726">
        <w:rPr>
          <w:rFonts w:ascii="Verdana" w:eastAsia="Times New Roman" w:hAnsi="Verdana" w:cs="Arial"/>
          <w:lang w:val="es-ES_tradnl" w:eastAsia="es-MX"/>
        </w:rPr>
        <w:lastRenderedPageBreak/>
        <w:t>5 del artículo 2.2.1.1.2.1.3</w:t>
      </w:r>
      <w:bookmarkEnd w:id="13"/>
      <w:r w:rsidRPr="008F0726">
        <w:rPr>
          <w:rFonts w:ascii="Verdana" w:eastAsia="Times New Roman" w:hAnsi="Verdana" w:cs="Arial"/>
          <w:lang w:val="es-ES_tradnl" w:eastAsia="es-MX"/>
        </w:rPr>
        <w:t>, en el que se establece como uno de los componentes mínimos de los pliegos de condiciones</w:t>
      </w:r>
      <w:r w:rsidRPr="008F0726">
        <w:rPr>
          <w:rFonts w:ascii="Verdana" w:hAnsi="Verdana" w:cs="Arial"/>
          <w:color w:val="000000"/>
        </w:rPr>
        <w:t xml:space="preserve"> a las reglas aplicables a la presentación y evaluación de las ofertas, entre las que se inscriben las relativas a la acreditación de las condiciones habilitantes. </w:t>
      </w:r>
      <w:r w:rsidRPr="008F0726">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8F07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8F0726">
        <w:rPr>
          <w:rFonts w:ascii="Verdana" w:eastAsia="Times New Roman" w:hAnsi="Verdana" w:cs="Arial"/>
          <w:lang w:val="es-ES_tradnl" w:eastAsia="es-MX"/>
        </w:rPr>
        <w:t xml:space="preserve">. </w:t>
      </w:r>
    </w:p>
    <w:p w14:paraId="361EC257" w14:textId="77777777" w:rsidR="00746D08" w:rsidRPr="008F0726" w:rsidRDefault="00746D08" w:rsidP="00746D08">
      <w:pPr>
        <w:tabs>
          <w:tab w:val="left" w:pos="426"/>
        </w:tabs>
        <w:spacing w:after="120" w:line="276" w:lineRule="auto"/>
        <w:ind w:firstLine="709"/>
        <w:jc w:val="both"/>
        <w:rPr>
          <w:rFonts w:ascii="Verdana" w:eastAsia="Times New Roman" w:hAnsi="Verdana" w:cs="Arial"/>
          <w:lang w:val="es-ES" w:eastAsia="es-MX"/>
        </w:rPr>
      </w:pPr>
      <w:r w:rsidRPr="008F0726">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8F0726">
        <w:rPr>
          <w:rFonts w:ascii="Verdana" w:eastAsia="Times New Roman" w:hAnsi="Verdana" w:cs="Arial"/>
          <w:lang w:val="es-ES" w:eastAsia="es-MX"/>
        </w:rPr>
        <w:t>los mismos</w:t>
      </w:r>
      <w:proofErr w:type="gramEnd"/>
      <w:r w:rsidRPr="008F0726">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8F0726">
        <w:rPr>
          <w:rFonts w:ascii="Verdana" w:eastAsia="Times New Roman" w:hAnsi="Verdana" w:cs="Arial"/>
          <w:vertAlign w:val="superscript"/>
          <w:lang w:val="es-ES" w:eastAsia="es-MX"/>
        </w:rPr>
        <w:footnoteReference w:id="5"/>
      </w:r>
      <w:r w:rsidRPr="008F0726">
        <w:rPr>
          <w:rFonts w:ascii="Verdana" w:eastAsia="Times New Roman" w:hAnsi="Verdana" w:cs="Arial"/>
          <w:lang w:val="es-ES" w:eastAsia="es-MX"/>
        </w:rPr>
        <w:t xml:space="preserve">. </w:t>
      </w:r>
    </w:p>
    <w:p w14:paraId="55125859" w14:textId="77777777" w:rsidR="00746D08" w:rsidRPr="008F0726" w:rsidRDefault="00746D08" w:rsidP="00746D08">
      <w:pPr>
        <w:tabs>
          <w:tab w:val="left" w:pos="426"/>
        </w:tabs>
        <w:spacing w:after="120" w:line="276" w:lineRule="auto"/>
        <w:ind w:firstLine="709"/>
        <w:jc w:val="both"/>
        <w:rPr>
          <w:rFonts w:ascii="Verdana" w:eastAsia="Times New Roman" w:hAnsi="Verdana" w:cs="Arial"/>
          <w:lang w:val="es-ES" w:eastAsia="es-MX"/>
        </w:rPr>
      </w:pPr>
      <w:r w:rsidRPr="008F0726">
        <w:rPr>
          <w:rFonts w:ascii="Verdana" w:eastAsia="Times New Roman" w:hAnsi="Verdana" w:cs="Arial"/>
          <w:lang w:eastAsia="es-MX"/>
        </w:rPr>
        <w:t xml:space="preserve">Que deban ser </w:t>
      </w:r>
      <w:r w:rsidRPr="008F0726">
        <w:rPr>
          <w:rFonts w:ascii="Verdana" w:eastAsia="Times New Roman" w:hAnsi="Verdana" w:cs="Arial"/>
          <w:i/>
          <w:iCs/>
          <w:lang w:eastAsia="es-MX"/>
        </w:rPr>
        <w:t>adecuados</w:t>
      </w:r>
      <w:r w:rsidRPr="008F0726">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w:t>
      </w:r>
      <w:r w:rsidRPr="008F0726">
        <w:rPr>
          <w:rFonts w:ascii="Verdana" w:eastAsia="Times New Roman" w:hAnsi="Verdana" w:cs="Arial"/>
          <w:lang w:eastAsia="es-MX"/>
        </w:rPr>
        <w:lastRenderedPageBreak/>
        <w:t xml:space="preserve">deben ser </w:t>
      </w:r>
      <w:r w:rsidRPr="008F0726">
        <w:rPr>
          <w:rFonts w:ascii="Verdana" w:eastAsia="Times New Roman" w:hAnsi="Verdana" w:cs="Arial"/>
          <w:i/>
          <w:iCs/>
          <w:lang w:eastAsia="es-MX"/>
        </w:rPr>
        <w:t>proporcionales</w:t>
      </w:r>
      <w:r w:rsidRPr="008F0726">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8F0726">
        <w:rPr>
          <w:rFonts w:ascii="Verdana" w:eastAsia="Times New Roman" w:hAnsi="Verdana" w:cs="Arial"/>
          <w:i/>
          <w:iCs/>
          <w:lang w:eastAsia="es-MX"/>
        </w:rPr>
        <w:t>no limiten la participación o la libre concurrencia</w:t>
      </w:r>
      <w:r w:rsidRPr="008F0726">
        <w:rPr>
          <w:rFonts w:ascii="Verdana" w:eastAsia="Times New Roman" w:hAnsi="Verdana" w:cs="Arial"/>
          <w:lang w:eastAsia="es-MX"/>
        </w:rPr>
        <w:t xml:space="preserve"> en el proceso de selección significa que los requisitos establecidos no deben crear barreras injustificadas para el </w:t>
      </w:r>
      <w:r w:rsidRPr="008F0726">
        <w:rPr>
          <w:rFonts w:ascii="Verdana" w:hAnsi="Verdana"/>
        </w:rPr>
        <w:t>acceso a la contratación pública de los oferentes</w:t>
      </w:r>
      <w:r w:rsidRPr="008F0726">
        <w:rPr>
          <w:rFonts w:ascii="Verdana" w:eastAsia="Times New Roman" w:hAnsi="Verdana" w:cs="Arial"/>
          <w:lang w:val="es-ES" w:eastAsia="es-MX"/>
        </w:rPr>
        <w:t xml:space="preserve"> interesados, promoviendo una mayor competencia. </w:t>
      </w:r>
    </w:p>
    <w:p w14:paraId="3BD438E1" w14:textId="77777777" w:rsidR="00746D08" w:rsidRPr="008F0726" w:rsidRDefault="00746D08" w:rsidP="00746D08">
      <w:pPr>
        <w:tabs>
          <w:tab w:val="left" w:pos="426"/>
        </w:tabs>
        <w:spacing w:after="120" w:line="276" w:lineRule="auto"/>
        <w:ind w:firstLine="709"/>
        <w:jc w:val="both"/>
        <w:rPr>
          <w:rFonts w:ascii="Verdana" w:eastAsia="Times New Roman" w:hAnsi="Verdana" w:cs="Arial"/>
          <w:lang w:val="es-ES" w:eastAsia="es-MX"/>
        </w:rPr>
      </w:pPr>
      <w:r w:rsidRPr="008F0726">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8F0726">
        <w:rPr>
          <w:rFonts w:ascii="Verdana" w:eastAsia="Times New Roman" w:hAnsi="Verdana" w:cs="Arial"/>
          <w:i/>
          <w:iCs/>
          <w:lang w:val="es-ES" w:eastAsia="es-MX"/>
        </w:rPr>
        <w:t>pero tal facultad no puede ejercerse de forma arbitraria, caprichosa y, mucho menos, con el ánimo de direccionar el proceso de contratación</w:t>
      </w:r>
      <w:r w:rsidRPr="008F0726">
        <w:rPr>
          <w:rFonts w:ascii="Verdana" w:eastAsia="Times New Roman" w:hAnsi="Verdana" w:cs="Arial"/>
          <w:lang w:val="es-ES" w:eastAsia="es-MX"/>
        </w:rPr>
        <w:t xml:space="preserve"> o favorecer a alguno de los proponentes. Tampoco puede suceder que el ejercicio de dicha atribución se realice con desconocimiento de los límites impuestos por la normativa vigente, como, por ejemplo, el parágrafo 2 del artículo 5 de la Ley 1150 de 2007, que prohíbe exigir certificaciones de sistemas de gestión de calidad como requisito habilitante. </w:t>
      </w:r>
    </w:p>
    <w:p w14:paraId="5796F4D1" w14:textId="77777777" w:rsidR="00746D08" w:rsidRPr="008F0726" w:rsidRDefault="00746D08" w:rsidP="00746D08">
      <w:pPr>
        <w:spacing w:after="120" w:line="276" w:lineRule="auto"/>
        <w:jc w:val="both"/>
        <w:rPr>
          <w:rFonts w:ascii="Verdana" w:eastAsia="Arial" w:hAnsi="Verdana" w:cs="Arial"/>
          <w:color w:val="000000"/>
          <w:lang w:val="es-ES"/>
        </w:rPr>
      </w:pPr>
      <w:proofErr w:type="spellStart"/>
      <w:r w:rsidRPr="008F0726">
        <w:rPr>
          <w:rFonts w:ascii="Verdana" w:eastAsia="Calibri" w:hAnsi="Verdana"/>
          <w:color w:val="000000" w:themeColor="text1"/>
        </w:rPr>
        <w:t>ii</w:t>
      </w:r>
      <w:proofErr w:type="spellEnd"/>
      <w:r w:rsidRPr="008F0726">
        <w:rPr>
          <w:rFonts w:ascii="Verdana" w:eastAsia="Calibri" w:hAnsi="Verdana"/>
          <w:color w:val="000000" w:themeColor="text1"/>
        </w:rPr>
        <w:t>. Ahora bien,</w:t>
      </w:r>
      <w:r w:rsidRPr="008F0726">
        <w:rPr>
          <w:rFonts w:ascii="Verdana" w:hAnsi="Verdana"/>
        </w:rPr>
        <w:t xml:space="preserve"> frente</w:t>
      </w:r>
      <w:r w:rsidRPr="008F0726">
        <w:rPr>
          <w:rFonts w:ascii="Verdana" w:eastAsia="Times New Roman" w:hAnsi="Verdana" w:cs="Arial"/>
          <w:color w:val="000000" w:themeColor="text1"/>
          <w:lang w:val="es-ES" w:eastAsia="es-ES"/>
        </w:rPr>
        <w:t xml:space="preserve"> al problema </w:t>
      </w:r>
      <w:proofErr w:type="spellStart"/>
      <w:r w:rsidRPr="008F0726">
        <w:rPr>
          <w:rFonts w:ascii="Verdana" w:eastAsia="Times New Roman" w:hAnsi="Verdana" w:cs="Arial"/>
          <w:color w:val="000000" w:themeColor="text1"/>
          <w:lang w:val="es-ES" w:eastAsia="es-ES"/>
        </w:rPr>
        <w:t>juridico</w:t>
      </w:r>
      <w:proofErr w:type="spellEnd"/>
      <w:r w:rsidRPr="008F0726">
        <w:rPr>
          <w:rFonts w:ascii="Verdana" w:eastAsia="Times New Roman" w:hAnsi="Verdana" w:cs="Arial"/>
          <w:color w:val="000000" w:themeColor="text1"/>
          <w:lang w:val="es-ES" w:eastAsia="es-ES"/>
        </w:rPr>
        <w:t xml:space="preserve"> planteado, se destaca que l</w:t>
      </w:r>
      <w:r w:rsidRPr="008F0726">
        <w:rPr>
          <w:rFonts w:ascii="Verdana" w:eastAsia="Arial" w:hAnsi="Verdana" w:cs="Arial"/>
          <w:color w:val="000000" w:themeColor="text1"/>
          <w:lang w:val="es-ES"/>
        </w:rPr>
        <w:t xml:space="preserve">a concesión de una patente constituye un acto jurídico que permite acreditar la titularidad de los derechos de propiedad industrial de un invento y que en principio otorga exclusividad en su explotación. Sin embargo, esta situación es contingente. En otras palabras, no es inexorable, pues es posible que el titular de una patente autorice su comercialización por parte de otros proveedores, verbigracia, a través del licenciamiento de </w:t>
      </w:r>
      <w:proofErr w:type="gramStart"/>
      <w:r w:rsidRPr="008F0726">
        <w:rPr>
          <w:rFonts w:ascii="Verdana" w:eastAsia="Arial" w:hAnsi="Verdana" w:cs="Arial"/>
          <w:color w:val="000000" w:themeColor="text1"/>
          <w:lang w:val="es-ES"/>
        </w:rPr>
        <w:t>la misma</w:t>
      </w:r>
      <w:proofErr w:type="gramEnd"/>
      <w:r w:rsidRPr="008F0726">
        <w:rPr>
          <w:rFonts w:ascii="Verdana" w:eastAsia="Arial" w:hAnsi="Verdana" w:cs="Arial"/>
          <w:color w:val="000000" w:themeColor="text1"/>
          <w:lang w:val="es-ES"/>
        </w:rPr>
        <w:t xml:space="preserve">. De suceder esto, existiría pluralidad de oferentes en el mercado </w:t>
      </w:r>
      <w:proofErr w:type="gramStart"/>
      <w:r w:rsidRPr="008F0726">
        <w:rPr>
          <w:rFonts w:ascii="Verdana" w:eastAsia="Arial" w:hAnsi="Verdana" w:cs="Arial"/>
          <w:color w:val="000000" w:themeColor="text1"/>
          <w:lang w:val="es-ES"/>
        </w:rPr>
        <w:t>y</w:t>
      </w:r>
      <w:proofErr w:type="gramEnd"/>
      <w:r w:rsidRPr="008F0726">
        <w:rPr>
          <w:rFonts w:ascii="Verdana" w:eastAsia="Arial" w:hAnsi="Verdana" w:cs="Arial"/>
          <w:color w:val="000000" w:themeColor="text1"/>
          <w:lang w:val="es-ES"/>
        </w:rPr>
        <w:t xml:space="preserve"> por ende, el licenciamiento podría ser objeto de exigencia como requisito de participación.</w:t>
      </w:r>
    </w:p>
    <w:p w14:paraId="553AD10A" w14:textId="77777777" w:rsidR="00746D08" w:rsidRPr="008F0726" w:rsidRDefault="00746D08" w:rsidP="00746D08">
      <w:pPr>
        <w:spacing w:after="120" w:line="276" w:lineRule="auto"/>
        <w:ind w:firstLine="709"/>
        <w:jc w:val="both"/>
        <w:rPr>
          <w:rFonts w:ascii="Verdana" w:eastAsia="Arial" w:hAnsi="Verdana" w:cs="Arial"/>
          <w:color w:val="000000"/>
          <w:lang w:val="es-ES_tradnl"/>
        </w:rPr>
      </w:pPr>
      <w:r w:rsidRPr="008F0726">
        <w:rPr>
          <w:rFonts w:ascii="Verdana" w:eastAsia="Arial" w:hAnsi="Verdana" w:cs="Arial"/>
          <w:color w:val="000000"/>
          <w:lang w:val="es-ES_tradnl"/>
        </w:rPr>
        <w:t xml:space="preserve">En efecto, el artículo 14 de la Decisión 486 de la Comisión de la Comunidad Andina, aplicable a Colombia en materia de propiedad industrial y derechos de autor, dispone que “Los Países Miembros otorgarán patentes para las invenciones, sean de producto o de procedimiento, en todos los campos de la tecnología, siempre que sean nuevas, tengan nivel inventivo y sean susceptibles de aplicación industrial”. De esta manera, la </w:t>
      </w:r>
      <w:r w:rsidRPr="008F0726">
        <w:rPr>
          <w:rFonts w:ascii="Verdana" w:eastAsia="Arial" w:hAnsi="Verdana" w:cs="Arial"/>
          <w:i/>
          <w:iCs/>
          <w:color w:val="000000"/>
          <w:lang w:val="es-ES_tradnl"/>
        </w:rPr>
        <w:t>patente</w:t>
      </w:r>
      <w:r w:rsidRPr="008F0726">
        <w:rPr>
          <w:rFonts w:ascii="Verdana" w:eastAsia="Arial" w:hAnsi="Verdana" w:cs="Arial"/>
          <w:color w:val="000000"/>
          <w:lang w:val="es-ES_tradnl"/>
        </w:rPr>
        <w:t xml:space="preserve"> “es un privilegio que le otorga el Estado al inventor como reconocimiento de la inversión y esfuerzos realizados por éste para lograr una solución técnica que le aporte beneficios a la </w:t>
      </w:r>
      <w:r w:rsidRPr="008F0726">
        <w:rPr>
          <w:rFonts w:ascii="Verdana" w:eastAsia="Arial" w:hAnsi="Verdana" w:cs="Arial"/>
          <w:color w:val="000000"/>
          <w:lang w:val="es-ES_tradnl"/>
        </w:rPr>
        <w:lastRenderedPageBreak/>
        <w:t>humanidad. Dicho privilegio consiste en el derecho a explotar exclusivamente el invento por un tiempo determinado”</w:t>
      </w:r>
      <w:r w:rsidRPr="008F0726">
        <w:rPr>
          <w:rFonts w:ascii="Verdana" w:eastAsia="Arial" w:hAnsi="Verdana" w:cs="Arial"/>
          <w:color w:val="000000"/>
          <w:vertAlign w:val="superscript"/>
          <w:lang w:val="es-ES_tradnl"/>
        </w:rPr>
        <w:footnoteReference w:id="6"/>
      </w:r>
      <w:r w:rsidRPr="008F0726">
        <w:rPr>
          <w:rFonts w:ascii="Verdana" w:eastAsia="Arial" w:hAnsi="Verdana" w:cs="Arial"/>
          <w:color w:val="000000"/>
          <w:lang w:val="es-ES_tradnl"/>
        </w:rPr>
        <w:t>.</w:t>
      </w:r>
    </w:p>
    <w:p w14:paraId="4C7241AD" w14:textId="77777777" w:rsidR="00746D08" w:rsidRPr="008F0726" w:rsidRDefault="00746D08" w:rsidP="00746D08">
      <w:pPr>
        <w:spacing w:after="120" w:line="276" w:lineRule="auto"/>
        <w:ind w:firstLine="709"/>
        <w:jc w:val="both"/>
        <w:rPr>
          <w:rFonts w:ascii="Verdana" w:eastAsia="Arial" w:hAnsi="Verdana" w:cs="Arial"/>
          <w:color w:val="000000"/>
          <w:lang w:val="es-ES_tradnl"/>
        </w:rPr>
      </w:pPr>
      <w:r w:rsidRPr="008F0726">
        <w:rPr>
          <w:rFonts w:ascii="Verdana" w:eastAsia="Arial" w:hAnsi="Verdana" w:cs="Arial"/>
          <w:color w:val="000000"/>
          <w:lang w:val="es-ES_tradnl"/>
        </w:rPr>
        <w:t xml:space="preserve">La Corte Constitucional tuvo oportunidad de pronunciarse acerca del concepto, los atributos y el régimen jurídico de las patentes de invención, señalando que es acorde con el ordenamiento que se proteja esta modalidad </w:t>
      </w:r>
      <w:r w:rsidRPr="008F0726">
        <w:rPr>
          <w:rFonts w:ascii="Verdana" w:eastAsia="Arial" w:hAnsi="Verdana" w:cs="Arial"/>
          <w:i/>
          <w:iCs/>
          <w:color w:val="000000"/>
          <w:lang w:val="es-ES_tradnl"/>
        </w:rPr>
        <w:t>sui géneris</w:t>
      </w:r>
      <w:r w:rsidRPr="008F0726">
        <w:rPr>
          <w:rFonts w:ascii="Verdana" w:eastAsia="Arial" w:hAnsi="Verdana" w:cs="Arial"/>
          <w:color w:val="000000"/>
          <w:lang w:val="es-ES_tradnl"/>
        </w:rPr>
        <w:t xml:space="preserve"> del derecho de propiedad, debido a “[…] la naturaleza intangible del objeto sobre el que se ejerce el derecho; su protección temporal; y, la sujeción de su eficacia a otras condiciones previstas por el Legislador”</w:t>
      </w:r>
      <w:r w:rsidRPr="008F0726">
        <w:rPr>
          <w:rFonts w:ascii="Verdana" w:eastAsia="Arial" w:hAnsi="Verdana" w:cs="Arial"/>
          <w:color w:val="000000"/>
          <w:vertAlign w:val="superscript"/>
          <w:lang w:val="es-ES_tradnl"/>
        </w:rPr>
        <w:footnoteReference w:id="7"/>
      </w:r>
      <w:r w:rsidRPr="008F0726">
        <w:rPr>
          <w:rFonts w:ascii="Verdana" w:eastAsia="Arial" w:hAnsi="Verdana" w:cs="Arial"/>
          <w:color w:val="000000"/>
          <w:lang w:val="es-ES_tradnl"/>
        </w:rPr>
        <w:t xml:space="preserve">. </w:t>
      </w:r>
    </w:p>
    <w:p w14:paraId="564E69E8" w14:textId="77777777" w:rsidR="00746D08" w:rsidRPr="008F0726" w:rsidRDefault="00746D08" w:rsidP="00746D08">
      <w:pPr>
        <w:spacing w:after="120" w:line="276" w:lineRule="auto"/>
        <w:ind w:firstLine="709"/>
        <w:jc w:val="both"/>
        <w:rPr>
          <w:rFonts w:ascii="Verdana" w:eastAsia="Arial" w:hAnsi="Verdana" w:cs="Arial"/>
          <w:color w:val="000000"/>
          <w:lang w:val="es-ES_tradnl"/>
        </w:rPr>
      </w:pPr>
      <w:r w:rsidRPr="008F0726">
        <w:rPr>
          <w:rFonts w:ascii="Verdana" w:eastAsia="Arial" w:hAnsi="Verdana" w:cs="Arial"/>
          <w:color w:val="000000"/>
          <w:lang w:val="es-ES_tradnl"/>
        </w:rPr>
        <w:t>De igual forma, el artículo 22 de la mencionada Decisión prevé que a pesar de que el derecho de la patente pertenece al inventor, aquel “podrá ser transferido por acto entre vivos o por vía sucesoria”. En esta misma perspectiva, aunque el artículo 52 de dicho cuerpo normativo establece que uno de los derechos que otorga la patente a su titular es impedir que terceras personas fabriquen, usen o vendan el producto sin su consentimiento, el artículo 57 le permite a aquel otorgar licencias “para la explotación de la invención respectiva” a “uno o más terceros”</w:t>
      </w:r>
      <w:r w:rsidRPr="008F0726">
        <w:rPr>
          <w:rFonts w:ascii="Verdana" w:eastAsia="Arial" w:hAnsi="Verdana" w:cs="Arial"/>
          <w:color w:val="000000"/>
          <w:vertAlign w:val="superscript"/>
          <w:lang w:val="es-ES_tradnl"/>
        </w:rPr>
        <w:footnoteReference w:id="8"/>
      </w:r>
      <w:r w:rsidRPr="008F0726">
        <w:rPr>
          <w:rFonts w:ascii="Verdana" w:eastAsia="Arial" w:hAnsi="Verdana" w:cs="Arial"/>
          <w:color w:val="000000"/>
          <w:lang w:val="es-ES_tradnl"/>
        </w:rPr>
        <w:t>.</w:t>
      </w:r>
    </w:p>
    <w:p w14:paraId="1941BDE1" w14:textId="77777777" w:rsidR="00746D08" w:rsidRPr="008F0726" w:rsidRDefault="00746D08" w:rsidP="00746D08">
      <w:pPr>
        <w:spacing w:after="120" w:line="276" w:lineRule="auto"/>
        <w:ind w:firstLine="709"/>
        <w:jc w:val="both"/>
        <w:rPr>
          <w:rFonts w:ascii="Verdana" w:eastAsia="Arial" w:hAnsi="Verdana" w:cs="Arial"/>
          <w:color w:val="000000"/>
          <w:lang w:val="es-ES"/>
        </w:rPr>
      </w:pPr>
      <w:r w:rsidRPr="008F0726">
        <w:rPr>
          <w:rFonts w:ascii="Verdana" w:eastAsia="Arial" w:hAnsi="Verdana" w:cs="Arial"/>
          <w:color w:val="000000" w:themeColor="text1"/>
          <w:lang w:val="es-ES"/>
        </w:rPr>
        <w:t xml:space="preserve">Lo anterior permite concluir, entonces, que no siempre que existe una patente hay un único proveedor o, </w:t>
      </w:r>
      <w:proofErr w:type="gramStart"/>
      <w:r w:rsidRPr="008F0726">
        <w:rPr>
          <w:rFonts w:ascii="Verdana" w:eastAsia="Arial" w:hAnsi="Verdana" w:cs="Arial"/>
          <w:color w:val="000000" w:themeColor="text1"/>
          <w:lang w:val="es-ES"/>
        </w:rPr>
        <w:t>dicho</w:t>
      </w:r>
      <w:proofErr w:type="gramEnd"/>
      <w:r w:rsidRPr="008F0726">
        <w:rPr>
          <w:rFonts w:ascii="Verdana" w:eastAsia="Arial" w:hAnsi="Verdana" w:cs="Arial"/>
          <w:color w:val="000000" w:themeColor="text1"/>
          <w:lang w:val="es-ES"/>
        </w:rPr>
        <w:t xml:space="preserve"> en otros términos, que la patente, por sí misma, no es algo que permita predicar de manera inequívoca la inexistencia de pluralidad de oferentes en el mercado. Así, tal como se ha expuesto, es </w:t>
      </w:r>
      <w:r w:rsidRPr="008F0726">
        <w:rPr>
          <w:rFonts w:ascii="Verdana" w:eastAsia="Arial" w:hAnsi="Verdana" w:cs="Arial"/>
          <w:color w:val="000000" w:themeColor="text1"/>
          <w:lang w:val="es-ES"/>
        </w:rPr>
        <w:lastRenderedPageBreak/>
        <w:t>factible que el titular de la patente haya concedido licencias para la explotación de la invención a varios sujetos, los cuales podrían concurrir a procedimientos de selección plurales.</w:t>
      </w:r>
    </w:p>
    <w:p w14:paraId="0A1E16FD" w14:textId="77777777" w:rsidR="00746D08" w:rsidRPr="008F0726" w:rsidRDefault="00746D08" w:rsidP="00746D08">
      <w:pPr>
        <w:spacing w:after="120" w:line="276" w:lineRule="auto"/>
        <w:ind w:firstLine="709"/>
        <w:jc w:val="both"/>
        <w:rPr>
          <w:rFonts w:ascii="Verdana" w:eastAsia="Arial" w:hAnsi="Verdana" w:cs="Arial"/>
          <w:color w:val="000000" w:themeColor="text1"/>
          <w:lang w:val="es-ES"/>
        </w:rPr>
      </w:pPr>
      <w:r w:rsidRPr="008F0726">
        <w:rPr>
          <w:rFonts w:ascii="Verdana" w:eastAsia="Arial" w:hAnsi="Verdana" w:cs="Arial"/>
          <w:color w:val="000000" w:themeColor="text1"/>
          <w:lang w:val="es-ES"/>
        </w:rPr>
        <w:t xml:space="preserve">En este contexto, la Entidad Estatal que requiera adquirir determinado bien o servicio, en los estudios previos, debe identificar si su necesidad solo puede satisfacerse con la invención patentada. En efecto, podría presentarse el caso de que, no </w:t>
      </w:r>
      <w:proofErr w:type="gramStart"/>
      <w:r w:rsidRPr="008F0726">
        <w:rPr>
          <w:rFonts w:ascii="Verdana" w:eastAsia="Arial" w:hAnsi="Verdana" w:cs="Arial"/>
          <w:color w:val="000000" w:themeColor="text1"/>
          <w:lang w:val="es-ES"/>
        </w:rPr>
        <w:t>obstante</w:t>
      </w:r>
      <w:proofErr w:type="gramEnd"/>
      <w:r w:rsidRPr="008F0726">
        <w:rPr>
          <w:rFonts w:ascii="Verdana" w:eastAsia="Arial" w:hAnsi="Verdana" w:cs="Arial"/>
          <w:color w:val="000000" w:themeColor="text1"/>
          <w:lang w:val="es-ES"/>
        </w:rPr>
        <w:t xml:space="preserve"> la existencia de la patente, la necesidad pueda ser suplida por otros bienes o servicios. Lo anterior resulta de especial importancia puesto que del análisis previo que realice la Entidad se debe verificar la necesidad de exigir el documento que acredite la titularidad de la patente para la adquisición de los bienes o el licenciamiento para la explotación de la invención, si es del caso. Este análisis es determinante no solo para efectos de la modalidad de contratación aplicable sino también para establecer los requisitos habilitantes exigibles. </w:t>
      </w:r>
    </w:p>
    <w:p w14:paraId="3F64AEDE"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t>Al respecto, debe señalase que las entidades están llamadas a realizar las acciones necesarias para que la gestión de los diferentes activos de Propiedad Intelectual que use en el ejercicio de sus competencias se haga en el marco de la legalidad. Para lograr esto, La “Guía de Propiedad Intelectual en la Contratación Pública”, expedida por la Agencia Nacional de Contratación Pública – Colombia Compra Eficiente, señala que las Entidades Estatales deben, en primer lugar, en el marco del ejercicio de planeación general anual de la contratación, identificar cuáles son las necesidades de la Entidad Estatal en materia de creación o uso de creaciones protegidas por la Propiedad Intelectual. Esto implica establecer si el desarrollo de las diferentes actividades planeadas por la Entidad en el desarrollo de sus competencias requiere la producción de una obra o el uso de alguna creación. En ese sentido, es importante que, al elaborar sus respectivos Planes Anuales de Adquisiciones, las Entidades Estatales tengan en consideración sus requerimientos en materia de Propiedad Intelectual, ya que aquí deberán identificar aspectos como la modalidad de selección aplicable, así como el momento y el valor de la contratación, entre otros aspectos</w:t>
      </w:r>
      <w:r w:rsidRPr="008F0726">
        <w:rPr>
          <w:rFonts w:ascii="Verdana" w:eastAsia="Arial" w:hAnsi="Verdana" w:cs="Arial"/>
          <w:color w:val="000000"/>
          <w:vertAlign w:val="superscript"/>
        </w:rPr>
        <w:footnoteReference w:id="9"/>
      </w:r>
      <w:r w:rsidRPr="008F0726">
        <w:rPr>
          <w:rFonts w:ascii="Verdana" w:eastAsia="Arial" w:hAnsi="Verdana" w:cs="Arial"/>
          <w:color w:val="000000"/>
        </w:rPr>
        <w:t xml:space="preserve">. </w:t>
      </w:r>
    </w:p>
    <w:p w14:paraId="14955504"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lastRenderedPageBreak/>
        <w:t>De otra parte, el Estudio del Sector que se debe realizar para contratar un objeto contractual es otro momento importante en el que la Entidad está llamada a precisar el abordaje de necesidades en esta materia. Esto por cuanto, independientemente de que un contrato esté o no dirigido a encargar la elaboración de una obra o adquirir los derechos para el uso de una creación, puede que su ejecución suponga la utilización de creaciones u obras con derechos, ya sea del contratista o de terceros.</w:t>
      </w:r>
    </w:p>
    <w:p w14:paraId="3FEB302D"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t xml:space="preserve">Por ello, en el marco de este análisis, la Entidad Estatal debe advertir en cada proceso de contratación, si el objeto a contratar involucra la creación o el uso de creaciones protegidas por la Propiedad Intelectual y, en dado caso, identificar cuáles son las necesidades de la Entidad respecto a esa o esas creaciones. Esto supone, por ejemplo, determinar si para el uso que pretende realizar se requiere que sea la titular de los Derechos de Autor o de Propiedad Industrial, según el caso o si requerirá una licencia para la explotación de esa creación, evento en el cual también deberán acotarse los requerimientos en relación con la duración, valor y alcance de la licencia. </w:t>
      </w:r>
    </w:p>
    <w:p w14:paraId="3CA41141"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t>Otro aspecto importante al momento de estructurar los contratos cuya ejecución involucre el uso o creación de activos de Propiedad Intelectual, es incluir en la respectiva minuta cláusulas y estipulaciones que regulen con total claridad como operará la transferencia de los derechos asociados a dichos activos y/o que permitan que la Entidad pueda hacer uso legal de los mismos. De esta manera se precaven eventuales conflictos por infracción de derechos derivados de las diferentes formas de Propiedad Intelectual.</w:t>
      </w:r>
    </w:p>
    <w:p w14:paraId="7D36BB75"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lang w:val="es-ES_tradnl"/>
        </w:rPr>
        <w:t xml:space="preserve">Así las cosas, </w:t>
      </w:r>
      <w:r w:rsidRPr="008F0726">
        <w:rPr>
          <w:rFonts w:ascii="Verdana" w:eastAsia="Arial" w:hAnsi="Verdana" w:cs="Arial"/>
          <w:color w:val="000000"/>
        </w:rPr>
        <w:t>las Entidades Estatales tienen el deber de gestionar los activos de propiedad intelectual involucrados en sus procesos de contratación, desde la etapa de planeación hasta la ejecución contractual. Este análisis adquiere especial relevancia, toda vez que la existencia de una patente puede incidir directamente en la identificación de los potenciales oferentes y en la definición de la modalidad de selección aplicable. De igual forma, permite a la Entidad establecer, con criterios de necesidad y proporcionalidad, los requisitos habilitantes que resultan exigibles, evitando requisitos que puedan limitar la libre competencia cuando existan alternativas técnicas o funcionales no protegidas por derechos de propiedad industrial.</w:t>
      </w:r>
    </w:p>
    <w:p w14:paraId="37C27755"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t xml:space="preserve">En ese sentido, cuando del análisis previo y del Estudio del Sector se determine que el objeto a contratar implica la adquisición de bienes que se encuentran protegidos por patente, resulta indispensable que la Entidad </w:t>
      </w:r>
      <w:r w:rsidRPr="008F0726">
        <w:rPr>
          <w:rFonts w:ascii="Verdana" w:eastAsia="Arial" w:hAnsi="Verdana" w:cs="Arial"/>
          <w:color w:val="000000"/>
        </w:rPr>
        <w:lastRenderedPageBreak/>
        <w:t xml:space="preserve">verifique que los potenciales oferentes cuentan con el derecho para su uso o explotación. Por lo anterior, es jurídicamente procedente y necesario que, en estos casos, se exija como requisito habilitante la presentación de la documentación que acredite el licenciamiento comercial de la patente correspondiente, en la medida en que dicho licenciamiento constituye una condición esencial para la participación en el proceso de contratación y para la ejecución del contrato. </w:t>
      </w:r>
    </w:p>
    <w:p w14:paraId="3A68CD39" w14:textId="77777777" w:rsidR="00746D08" w:rsidRPr="008F0726" w:rsidRDefault="00746D08" w:rsidP="00746D08">
      <w:pPr>
        <w:spacing w:after="120" w:line="276" w:lineRule="auto"/>
        <w:ind w:firstLine="709"/>
        <w:jc w:val="both"/>
        <w:rPr>
          <w:rFonts w:ascii="Verdana" w:eastAsia="Arial" w:hAnsi="Verdana" w:cs="Arial"/>
          <w:color w:val="000000"/>
        </w:rPr>
      </w:pPr>
      <w:r w:rsidRPr="008F0726">
        <w:rPr>
          <w:rFonts w:ascii="Verdana" w:eastAsia="Arial" w:hAnsi="Verdana" w:cs="Arial"/>
          <w:color w:val="000000"/>
        </w:rPr>
        <w:t xml:space="preserve">Esta exigencia no solo permite garantizar la adecuada ejecución del objeto contractual, sino que también previene eventuales infracciones a los derechos de Propiedad Industrial de terceros y salvaguarda la responsabilidad jurídica de la Entidad Estatal. </w:t>
      </w:r>
      <w:r w:rsidRPr="008F0726">
        <w:rPr>
          <w:rFonts w:ascii="Verdana" w:hAnsi="Verdana" w:cs="Arial"/>
        </w:rPr>
        <w:t>En consecuencia, al determinarse esta exigencia como un requisito habilitante,</w:t>
      </w:r>
      <w:r w:rsidRPr="008F0726">
        <w:t xml:space="preserve"> </w:t>
      </w:r>
      <w:r w:rsidRPr="008F0726">
        <w:rPr>
          <w:rFonts w:ascii="Verdana" w:hAnsi="Verdana" w:cs="Arial"/>
        </w:rPr>
        <w:t xml:space="preserve">el incumplimiento </w:t>
      </w:r>
      <w:proofErr w:type="gramStart"/>
      <w:r w:rsidRPr="008F0726">
        <w:rPr>
          <w:rFonts w:ascii="Verdana" w:hAnsi="Verdana" w:cs="Arial"/>
        </w:rPr>
        <w:t>del mismo</w:t>
      </w:r>
      <w:proofErr w:type="gramEnd"/>
      <w:r w:rsidRPr="008F0726">
        <w:rPr>
          <w:rFonts w:ascii="Verdana" w:hAnsi="Verdana" w:cs="Arial"/>
        </w:rPr>
        <w:t xml:space="preserve"> por parte del oferente podrá dar lugar al rechazo de su propuesta. </w:t>
      </w:r>
    </w:p>
    <w:p w14:paraId="6195D946" w14:textId="77777777" w:rsidR="00746D08" w:rsidRPr="008F0726" w:rsidRDefault="00746D08" w:rsidP="00746D08">
      <w:pPr>
        <w:spacing w:after="120" w:line="276" w:lineRule="auto"/>
        <w:ind w:firstLine="709"/>
        <w:jc w:val="both"/>
        <w:rPr>
          <w:rFonts w:ascii="Verdana" w:eastAsia="Calibri" w:hAnsi="Verdana" w:cs="Arial"/>
        </w:rPr>
      </w:pPr>
      <w:r w:rsidRPr="008F0726">
        <w:rPr>
          <w:rFonts w:ascii="Verdana" w:eastAsia="Calibri" w:hAnsi="Verdana" w:cs="Arial"/>
          <w:lang w:val="es-ES"/>
        </w:rPr>
        <w:t xml:space="preserve">No </w:t>
      </w:r>
      <w:proofErr w:type="gramStart"/>
      <w:r w:rsidRPr="008F0726">
        <w:rPr>
          <w:rFonts w:ascii="Verdana" w:eastAsia="Calibri" w:hAnsi="Verdana" w:cs="Arial"/>
          <w:lang w:val="es-ES"/>
        </w:rPr>
        <w:t>obstante</w:t>
      </w:r>
      <w:proofErr w:type="gramEnd"/>
      <w:r w:rsidRPr="008F0726">
        <w:rPr>
          <w:rFonts w:ascii="Verdana" w:eastAsia="Calibri" w:hAnsi="Verdana" w:cs="Arial"/>
          <w:lang w:val="es-ES"/>
        </w:rPr>
        <w:t xml:space="preserve"> lo anterior, </w:t>
      </w:r>
      <w:r w:rsidRPr="008F0726">
        <w:rPr>
          <w:rFonts w:ascii="Verdana" w:eastAsia="Calibri" w:hAnsi="Verdana" w:cs="Arial"/>
        </w:rPr>
        <w:t>resulta fundamental que la Entidad Estatal, en el marco del análisis previo, determine de manera objetiva y adecuada si la satisfacción de su necesidad exige realmente la adquisición de bienes amparados por patentes o si, por el contrario, dicha necesidad puede ser atendida mediante bienes o servicios que ofrezcan funcionalidades técnicas equivalentes sin encontrarse protegidos por derechos de propiedad industrial. Esta verificación permite evitar la incorporación de exigencias innecesarias o desproporcionadas que, al trasladarse a los requisitos habilitantes del proceso de contratación, puedan generar restricciones a la libre concurrencia y a la pluralidad de oferentes.</w:t>
      </w:r>
    </w:p>
    <w:p w14:paraId="4CBD3CE7" w14:textId="77777777" w:rsidR="00746D08" w:rsidRPr="008F0726" w:rsidRDefault="00746D08" w:rsidP="00746D08">
      <w:pPr>
        <w:spacing w:after="120" w:line="276" w:lineRule="auto"/>
        <w:ind w:firstLine="709"/>
        <w:jc w:val="both"/>
        <w:rPr>
          <w:rFonts w:ascii="Verdana" w:eastAsia="Calibri" w:hAnsi="Verdana" w:cs="Arial"/>
        </w:rPr>
      </w:pPr>
      <w:r w:rsidRPr="008F0726">
        <w:rPr>
          <w:rFonts w:ascii="Verdana" w:eastAsia="Calibri" w:hAnsi="Verdana" w:cs="Arial"/>
        </w:rPr>
        <w:t xml:space="preserve">En este sentido, la Entidad debe evaluar las características técnicas indispensables para el cumplimiento del objeto contractual, de manera que  cuando se establezca que dichas características son esenciales y no pueden ser razonablemente satisfechas por alternativas técnicas disponibles en el mercado, será procedente estructurar el proceso de contratación con base en la adquisición de bienes patentados y, en consecuencia, exigir la acreditación de la titularidad o del licenciamiento correspondiente. </w:t>
      </w:r>
    </w:p>
    <w:p w14:paraId="12D64808" w14:textId="77777777" w:rsidR="00746D08" w:rsidRPr="008F0726" w:rsidRDefault="00746D08" w:rsidP="00746D08">
      <w:pPr>
        <w:spacing w:after="120" w:line="276" w:lineRule="auto"/>
        <w:ind w:firstLine="709"/>
        <w:jc w:val="both"/>
        <w:rPr>
          <w:rFonts w:ascii="Verdana" w:eastAsia="Calibri" w:hAnsi="Verdana" w:cs="Arial"/>
          <w:lang w:val="es-ES"/>
        </w:rPr>
      </w:pPr>
      <w:r w:rsidRPr="008F0726">
        <w:rPr>
          <w:rFonts w:ascii="Verdana" w:eastAsia="Calibri" w:hAnsi="Verdana" w:cs="Arial"/>
        </w:rPr>
        <w:t xml:space="preserve">En la medida en que la entidad debe determinar los requisitos habilitantes de acuerdo con la necesidad que pretende satisfacer, la acreditación de los aspectos relacionados con la propiedad intelectual puede variar. Así, corresponde a la Entidad Estatal, en ejercicio de su deber de planeación y de selección objetiva, definir y propiciar los mecanismos probatorios que le permitan verificar de forma suficiente las facultades que ostenta el proveedor </w:t>
      </w:r>
      <w:r w:rsidRPr="008F0726">
        <w:rPr>
          <w:rFonts w:ascii="Verdana" w:eastAsia="Calibri" w:hAnsi="Verdana" w:cs="Arial"/>
        </w:rPr>
        <w:lastRenderedPageBreak/>
        <w:t xml:space="preserve">respecto de dichos derechos. En este sentido, la Entidad debe establecer, en cada proceso de contratación, cuáles son los medios de prueba idóneos </w:t>
      </w:r>
      <w:r w:rsidRPr="008F0726">
        <w:rPr>
          <w:rFonts w:ascii="Verdana" w:eastAsia="Calibri" w:hAnsi="Verdana" w:cs="Arial"/>
          <w:lang w:val="es-ES"/>
        </w:rPr>
        <w:t xml:space="preserve">para acreditar el derecho de propiedad que le corresponda de acuerdo con las modalidades de uso que se permiten en este ámbito. </w:t>
      </w:r>
    </w:p>
    <w:p w14:paraId="419613C7" w14:textId="77777777" w:rsidR="00746D08" w:rsidRPr="008F0726" w:rsidRDefault="00746D08" w:rsidP="00746D08">
      <w:pPr>
        <w:pBdr>
          <w:top w:val="nil"/>
          <w:left w:val="nil"/>
          <w:bottom w:val="nil"/>
          <w:right w:val="nil"/>
          <w:between w:val="nil"/>
        </w:pBdr>
        <w:spacing w:after="120" w:line="276" w:lineRule="auto"/>
        <w:ind w:firstLine="708"/>
        <w:jc w:val="both"/>
        <w:rPr>
          <w:rFonts w:ascii="Verdana" w:hAnsi="Verdana"/>
        </w:rPr>
      </w:pPr>
      <w:r w:rsidRPr="008F0726">
        <w:rPr>
          <w:rFonts w:ascii="Verdana" w:hAnsi="Verdana"/>
        </w:rPr>
        <w:t>De esta forma,</w:t>
      </w:r>
      <w:r w:rsidRPr="008F0726">
        <w:t xml:space="preserve"> </w:t>
      </w:r>
      <w:r w:rsidRPr="008F0726">
        <w:rPr>
          <w:rFonts w:ascii="Verdana" w:hAnsi="Verdana"/>
        </w:rPr>
        <w:t xml:space="preserve">la evaluación de los documentos exigibles debe realizarse caso a caso, en función de las modalidades de uso y del alcance temporal, territorial y material de dichos derechos. En últimas, corresponde a cada proponente acreditar el derecho de propiedad, la titularidad o licenciamiento que le sea aplicable, sin perjuicio de que la entidad verifique que tales derechos resulten suficientes para garantizar la ejecución contractual. </w:t>
      </w:r>
    </w:p>
    <w:p w14:paraId="35818DF7" w14:textId="77777777" w:rsidR="00746D08" w:rsidRPr="008F0726" w:rsidRDefault="00746D08" w:rsidP="00746D08">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8F0726">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2FF9F2" w14:textId="77777777" w:rsidR="00746D08" w:rsidRPr="008F0726" w:rsidRDefault="00746D08" w:rsidP="00746D08">
      <w:pPr>
        <w:spacing w:after="120" w:line="276" w:lineRule="auto"/>
        <w:ind w:firstLine="709"/>
        <w:jc w:val="both"/>
        <w:rPr>
          <w:rFonts w:ascii="Verdana" w:hAnsi="Verdana" w:cs="Arial"/>
          <w:lang w:eastAsia="es-ES"/>
        </w:rPr>
      </w:pPr>
      <w:r w:rsidRPr="008F0726">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994A21D" w14:textId="77777777" w:rsidR="00746D08" w:rsidRPr="008F0726" w:rsidRDefault="00746D08" w:rsidP="00746D08">
      <w:pPr>
        <w:widowControl w:val="0"/>
        <w:autoSpaceDE w:val="0"/>
        <w:autoSpaceDN w:val="0"/>
        <w:spacing w:after="0" w:line="276" w:lineRule="auto"/>
        <w:jc w:val="both"/>
        <w:rPr>
          <w:rFonts w:ascii="Verdana" w:eastAsia="Calibri" w:hAnsi="Verdana" w:cs="Arial"/>
          <w:color w:val="000000" w:themeColor="text1"/>
        </w:rPr>
      </w:pPr>
    </w:p>
    <w:p w14:paraId="161C0D47" w14:textId="77777777" w:rsidR="00746D08" w:rsidRPr="008F0726" w:rsidRDefault="00746D08" w:rsidP="00746D08">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8F0726">
        <w:rPr>
          <w:rFonts w:ascii="Verdana" w:eastAsia="Century Gothic" w:hAnsi="Verdana" w:cs="Century Gothic"/>
          <w:b/>
          <w:bCs/>
          <w:color w:val="000000" w:themeColor="text1"/>
          <w:lang w:val="es-ES"/>
        </w:rPr>
        <w:t>Referencias normativas, jurisprudenciales y otras fuentes:</w:t>
      </w:r>
    </w:p>
    <w:p w14:paraId="4D360EFF"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46D08" w:rsidRPr="008F0726" w14:paraId="51CFD889" w14:textId="77777777" w:rsidTr="00EB2A51">
        <w:trPr>
          <w:trHeight w:val="870"/>
        </w:trPr>
        <w:tc>
          <w:tcPr>
            <w:tcW w:w="8647" w:type="dxa"/>
          </w:tcPr>
          <w:p w14:paraId="2DEA1AF0"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Calibri" w:hAnsi="Verdana" w:cs="Arial"/>
                <w:lang w:val="es-ES" w:eastAsia="es-MX"/>
              </w:rPr>
              <w:t xml:space="preserve">Ley 1150 de 2007: Artículo 5 y artículo 6. </w:t>
            </w:r>
          </w:p>
          <w:p w14:paraId="09183BE9"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Calibri" w:hAnsi="Verdana" w:cs="Arial"/>
                <w:lang w:val="es-ES" w:eastAsia="es-MX"/>
              </w:rPr>
              <w:t xml:space="preserve">Ley 1437 de 2011: Artículo 44. </w:t>
            </w:r>
          </w:p>
          <w:p w14:paraId="01BF2181"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Calibri" w:hAnsi="Verdana" w:cs="Arial"/>
                <w:lang w:val="es-ES" w:eastAsia="es-MX"/>
              </w:rPr>
              <w:t>Código de Comercio: Artículo 25.</w:t>
            </w:r>
          </w:p>
          <w:p w14:paraId="1C750CC2"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Calibri" w:hAnsi="Verdana" w:cs="Arial"/>
                <w:lang w:val="es-ES" w:eastAsia="es-MX"/>
              </w:rPr>
              <w:lastRenderedPageBreak/>
              <w:t xml:space="preserve">Decreto 1082 de 2015: Artículo 2.2.1.1.1.6.2. </w:t>
            </w:r>
          </w:p>
          <w:p w14:paraId="51773F7A"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Times New Roman" w:hAnsi="Verdana" w:cs="Times New Roman"/>
                <w:lang w:val="es-ES" w:eastAsia="es-CO"/>
              </w:rPr>
              <w:t xml:space="preserve">Consejo de Estado. Sección Tercera. Subsección A. Sentencia del 19 de mayo de 2025. </w:t>
            </w:r>
            <w:proofErr w:type="spellStart"/>
            <w:r w:rsidRPr="008F0726">
              <w:rPr>
                <w:rFonts w:ascii="Verdana" w:eastAsia="Times New Roman" w:hAnsi="Verdana" w:cs="Times New Roman"/>
                <w:lang w:val="es-ES" w:eastAsia="es-CO"/>
              </w:rPr>
              <w:t>Exp</w:t>
            </w:r>
            <w:proofErr w:type="spellEnd"/>
            <w:r w:rsidRPr="008F0726">
              <w:rPr>
                <w:rFonts w:ascii="Verdana" w:eastAsia="Times New Roman" w:hAnsi="Verdana" w:cs="Times New Roman"/>
                <w:lang w:val="es-ES" w:eastAsia="es-CO"/>
              </w:rPr>
              <w:t>. 69503. C.P. José Roberto Sáchica Méndez.</w:t>
            </w:r>
          </w:p>
          <w:p w14:paraId="66CB035C"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Calibri" w:hAnsi="Verdana" w:cs="Arial"/>
                <w:lang w:val="es-ES" w:eastAsia="es-MX"/>
              </w:rPr>
            </w:pPr>
            <w:r w:rsidRPr="008F0726">
              <w:rPr>
                <w:rFonts w:ascii="Verdana" w:eastAsia="Calibri" w:hAnsi="Verdana" w:cs="Arial"/>
                <w:lang w:val="es-ES" w:eastAsia="es-MX"/>
              </w:rPr>
              <w:t>Corte Constitucional. Sentencia C-234 de 2019, Magistrada Ponente: Diana Fajardo Rivera</w:t>
            </w:r>
          </w:p>
          <w:p w14:paraId="154CCAAC"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Times New Roman" w:hAnsi="Verdana" w:cs="Arial"/>
                <w:color w:val="000000" w:themeColor="text1"/>
                <w:lang w:val="es-ES" w:eastAsia="es-CO"/>
              </w:rPr>
            </w:pPr>
            <w:r w:rsidRPr="008F0726">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13" w:history="1">
              <w:r w:rsidRPr="008F0726">
                <w:rPr>
                  <w:rFonts w:ascii="Verdana" w:eastAsia="Times New Roman" w:hAnsi="Verdana" w:cs="Times New Roman"/>
                  <w:color w:val="0000FF"/>
                  <w:u w:val="single"/>
                  <w:lang w:val="es-ES" w:eastAsia="es-CO"/>
                </w:rPr>
                <w:t>cce-eicp-ma-04._manual_requisitos_habilitantes_v3_29-09-2023.pdf</w:t>
              </w:r>
            </w:hyperlink>
            <w:r w:rsidRPr="008F0726">
              <w:rPr>
                <w:rFonts w:ascii="Geomanist Light" w:eastAsia="Times New Roman" w:hAnsi="Geomanist Light" w:cs="Times New Roman"/>
                <w:lang w:val="es-ES" w:eastAsia="es-CO"/>
              </w:rPr>
              <w:t xml:space="preserve"> </w:t>
            </w:r>
          </w:p>
          <w:p w14:paraId="3E07F1B1" w14:textId="77777777" w:rsidR="00746D08" w:rsidRPr="008F0726" w:rsidRDefault="00746D08" w:rsidP="00EB2A51">
            <w:pPr>
              <w:numPr>
                <w:ilvl w:val="0"/>
                <w:numId w:val="17"/>
              </w:numPr>
              <w:spacing w:before="100" w:beforeAutospacing="1" w:after="160" w:afterAutospacing="1" w:line="276" w:lineRule="auto"/>
              <w:ind w:left="357" w:hanging="357"/>
              <w:contextualSpacing/>
              <w:jc w:val="both"/>
              <w:rPr>
                <w:rFonts w:ascii="Verdana" w:eastAsia="Times New Roman" w:hAnsi="Verdana" w:cs="Arial"/>
                <w:color w:val="000000" w:themeColor="text1"/>
                <w:lang w:val="es-ES" w:eastAsia="es-CO"/>
              </w:rPr>
            </w:pPr>
            <w:r w:rsidRPr="008F0726">
              <w:rPr>
                <w:rFonts w:ascii="Verdana" w:eastAsia="Times New Roman" w:hAnsi="Verdana" w:cs="Times New Roman"/>
                <w:lang w:eastAsia="es-CO"/>
              </w:rPr>
              <w:t xml:space="preserve">Agencia Nacional de Contratación Pública – Colombia Compra Eficiente.  “Guía de Propiedad Intelectual en la Contratación Pública”. Se puede consultar en: </w:t>
            </w:r>
            <w:hyperlink r:id="rId14" w:history="1">
              <w:r w:rsidRPr="008F0726">
                <w:rPr>
                  <w:rFonts w:ascii="Verdana" w:eastAsia="Times New Roman" w:hAnsi="Verdana" w:cs="Times New Roman"/>
                  <w:color w:val="0000FF"/>
                  <w:u w:val="single"/>
                  <w:lang w:eastAsia="es-CO"/>
                </w:rPr>
                <w:t>https://colombiacompra.gov.co/sites/cce_public/files/cce_documents/guia_de_propiedad_intelectual_230818_143837.pdf</w:t>
              </w:r>
            </w:hyperlink>
          </w:p>
        </w:tc>
      </w:tr>
    </w:tbl>
    <w:p w14:paraId="2DB2D351"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rPr>
      </w:pPr>
    </w:p>
    <w:p w14:paraId="40619235" w14:textId="77777777" w:rsidR="00746D08" w:rsidRPr="008F0726" w:rsidRDefault="00746D08" w:rsidP="00746D08">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8F0726">
        <w:rPr>
          <w:rFonts w:ascii="Verdana" w:eastAsia="Century Gothic" w:hAnsi="Verdana" w:cs="Century Gothic"/>
          <w:b/>
          <w:bCs/>
          <w:color w:val="000000" w:themeColor="text1"/>
          <w:lang w:val="es-ES"/>
        </w:rPr>
        <w:t>Doctrina de la Agencia Nacional de Contratación Pública:</w:t>
      </w:r>
    </w:p>
    <w:p w14:paraId="7A32D58A"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rPr>
      </w:pPr>
    </w:p>
    <w:p w14:paraId="0B370A9E"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shd w:val="clear" w:color="auto" w:fill="FFFFFF"/>
          <w:lang w:val="es-ES"/>
        </w:rPr>
      </w:pPr>
      <w:r w:rsidRPr="008F0726">
        <w:rPr>
          <w:rFonts w:ascii="Verdana" w:eastAsia="Calibri" w:hAnsi="Verdana" w:cs="Arial"/>
          <w:color w:val="000000" w:themeColor="text1"/>
          <w:lang w:eastAsia="es-ES_tradnl"/>
        </w:rPr>
        <w:t xml:space="preserve">La Agencia Nacional de Contratación Pública – Colombia Compra Eficiente </w:t>
      </w:r>
      <w:r w:rsidRPr="008F0726">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8F0726">
        <w:rPr>
          <w:rFonts w:ascii="Verdana" w:hAnsi="Verdana" w:cs="Arial"/>
          <w:shd w:val="clear" w:color="auto" w:fill="FFFFFF"/>
          <w:lang w:val="es-ES"/>
        </w:rPr>
        <w:t xml:space="preserve">de 2020, C-142 del 30 de marzo de 2022,  C-337 de 18de agosto de 2023,Concepto C-483 del 26 de septiembre de 2024, Concepto C- 662 de 2024 del 29 de enero de 2025, C –043 del 28 </w:t>
      </w:r>
      <w:proofErr w:type="spellStart"/>
      <w:r w:rsidRPr="008F0726">
        <w:rPr>
          <w:rFonts w:ascii="Verdana" w:hAnsi="Verdana" w:cs="Arial"/>
          <w:shd w:val="clear" w:color="auto" w:fill="FFFFFF"/>
          <w:lang w:val="es-ES"/>
        </w:rPr>
        <w:t>del</w:t>
      </w:r>
      <w:proofErr w:type="spellEnd"/>
      <w:r w:rsidRPr="008F0726">
        <w:rPr>
          <w:rFonts w:ascii="Verdana" w:hAnsi="Verdana" w:cs="Arial"/>
          <w:shd w:val="clear" w:color="auto" w:fill="FFFFFF"/>
          <w:lang w:val="es-ES"/>
        </w:rPr>
        <w:t xml:space="preserve"> febrero de 2025, C- 116 del 1 de marzo de 2025, C-1297 del 17 de octubre de 2025. Sobre las patentes esta Agencia se refirió en concepto C-725 del 17 de diciembre de 2024. Estos se encuentran disponibles para consulta en el Sistema de relatoría de la Agencia, al cual puede accederse a través del siguiente enlace:</w:t>
      </w:r>
      <w:r w:rsidRPr="008F0726">
        <w:rPr>
          <w:rFonts w:ascii="Verdana" w:hAnsi="Verdana"/>
          <w:lang w:val="es-ES"/>
        </w:rPr>
        <w:t xml:space="preserve"> </w:t>
      </w:r>
      <w:hyperlink r:id="rId15" w:history="1">
        <w:r w:rsidRPr="008F0726">
          <w:rPr>
            <w:rFonts w:ascii="Verdana" w:hAnsi="Verdana" w:cs="Arial"/>
            <w:color w:val="0000FF"/>
            <w:u w:val="single"/>
            <w:shd w:val="clear" w:color="auto" w:fill="FFFFFF"/>
          </w:rPr>
          <w:t>https://relatoria.colombiacompra.gov.co/busqueda/conceptos</w:t>
        </w:r>
      </w:hyperlink>
      <w:r w:rsidRPr="008F0726">
        <w:rPr>
          <w:rFonts w:ascii="Verdana" w:hAnsi="Verdana"/>
          <w:color w:val="0000FF"/>
          <w:u w:val="single"/>
        </w:rPr>
        <w:t>.</w:t>
      </w:r>
      <w:r w:rsidRPr="008F0726">
        <w:rPr>
          <w:rFonts w:ascii="Verdana" w:hAnsi="Verdana" w:cs="Arial"/>
          <w:color w:val="000000" w:themeColor="text1"/>
          <w:shd w:val="clear" w:color="auto" w:fill="FFFFFF"/>
        </w:rPr>
        <w:t xml:space="preserve"> </w:t>
      </w:r>
      <w:r w:rsidRPr="008F0726">
        <w:rPr>
          <w:rFonts w:ascii="Verdana" w:hAnsi="Verdana" w:cs="Arial"/>
          <w:color w:val="000000" w:themeColor="text1"/>
          <w:shd w:val="clear" w:color="auto" w:fill="FFFFFF"/>
          <w:lang w:val="es-ES"/>
        </w:rPr>
        <w:t xml:space="preserve"> </w:t>
      </w:r>
    </w:p>
    <w:p w14:paraId="599F100F"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shd w:val="clear" w:color="auto" w:fill="FFFFFF"/>
        </w:rPr>
      </w:pPr>
    </w:p>
    <w:p w14:paraId="46380649" w14:textId="77777777" w:rsidR="00746D08" w:rsidRPr="008F0726" w:rsidRDefault="00746D08" w:rsidP="00746D08">
      <w:pPr>
        <w:shd w:val="clear" w:color="auto" w:fill="FFFFFF"/>
        <w:spacing w:after="0" w:line="276" w:lineRule="auto"/>
        <w:jc w:val="both"/>
        <w:rPr>
          <w:rFonts w:ascii="Verdana" w:hAnsi="Verdana"/>
          <w:color w:val="467886"/>
          <w:u w:val="single"/>
        </w:rPr>
      </w:pPr>
      <w:r w:rsidRPr="008F0726">
        <w:rPr>
          <w:rFonts w:ascii="Verdana" w:hAnsi="Verdana"/>
          <w:color w:val="000000"/>
        </w:rPr>
        <w:t>Te informamos que ya se encuentra disponible la </w:t>
      </w:r>
      <w:r w:rsidRPr="008F0726">
        <w:rPr>
          <w:rFonts w:ascii="Verdana" w:hAnsi="Verdana"/>
          <w:b/>
          <w:bCs/>
          <w:color w:val="000000"/>
        </w:rPr>
        <w:t>Guía de lineamientos de transparencia y selección objetiva para el departamento de La Guajira – Objetivo sexto constitucional de la Sentencia T-302 del 2017. </w:t>
      </w:r>
      <w:r w:rsidRPr="008F072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8F0726">
        <w:rPr>
          <w:rFonts w:ascii="Verdana" w:hAnsi="Verdana"/>
          <w:color w:val="000000"/>
        </w:rPr>
        <w:lastRenderedPageBreak/>
        <w:t xml:space="preserve">fundamentales de los niños y de las niñas del Pueblo </w:t>
      </w:r>
      <w:proofErr w:type="spellStart"/>
      <w:r w:rsidRPr="008F0726">
        <w:rPr>
          <w:rFonts w:ascii="Verdana" w:hAnsi="Verdana"/>
          <w:color w:val="000000"/>
        </w:rPr>
        <w:t>Wayúu</w:t>
      </w:r>
      <w:proofErr w:type="spellEnd"/>
      <w:r w:rsidRPr="008F0726">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8F0726">
          <w:rPr>
            <w:rFonts w:ascii="Verdana" w:hAnsi="Verdana"/>
            <w:color w:val="0000FF"/>
            <w:u w:val="single"/>
          </w:rPr>
          <w:t>Guía de lineamientos de transparencia y selección objetiva para el departamento de La Guajira – Objetivo sexto constitucional de la Sentencia T-302 del 2017</w:t>
        </w:r>
      </w:hyperlink>
      <w:r w:rsidRPr="008F0726">
        <w:rPr>
          <w:rFonts w:ascii="Verdana" w:hAnsi="Verdana"/>
          <w:color w:val="000000"/>
          <w:u w:val="single"/>
        </w:rPr>
        <w:t>.</w:t>
      </w:r>
    </w:p>
    <w:p w14:paraId="6E55FB81"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8F0726">
        <w:rPr>
          <w:rFonts w:ascii="Verdana" w:hAnsi="Verdana" w:cs="Arial"/>
          <w:color w:val="000000" w:themeColor="text1"/>
          <w:shd w:val="clear" w:color="auto" w:fill="FFFFFF"/>
          <w:lang w:val="es-ES_tradnl"/>
        </w:rPr>
        <w:t xml:space="preserve"> </w:t>
      </w:r>
    </w:p>
    <w:p w14:paraId="739E6DA9" w14:textId="77777777" w:rsidR="00746D08" w:rsidRPr="008F0726" w:rsidRDefault="00746D08" w:rsidP="00746D08">
      <w:pPr>
        <w:spacing w:after="0"/>
        <w:jc w:val="both"/>
        <w:rPr>
          <w:rFonts w:ascii="Verdana" w:hAnsi="Verdana"/>
        </w:rPr>
      </w:pPr>
      <w:r w:rsidRPr="008F072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FE1D885" w14:textId="77777777" w:rsidR="00746D08" w:rsidRPr="008F0726" w:rsidRDefault="00746D08" w:rsidP="00746D08">
      <w:pPr>
        <w:spacing w:after="0"/>
        <w:jc w:val="both"/>
        <w:rPr>
          <w:rFonts w:ascii="Verdana" w:hAnsi="Verdana"/>
        </w:rPr>
      </w:pPr>
    </w:p>
    <w:p w14:paraId="363C1DFD" w14:textId="77777777" w:rsidR="00746D08" w:rsidRPr="008F0726" w:rsidRDefault="00746D08" w:rsidP="00746D08">
      <w:pPr>
        <w:numPr>
          <w:ilvl w:val="0"/>
          <w:numId w:val="15"/>
        </w:numPr>
        <w:spacing w:after="0" w:line="240" w:lineRule="auto"/>
        <w:contextualSpacing/>
        <w:jc w:val="both"/>
        <w:rPr>
          <w:rFonts w:ascii="Verdana" w:eastAsia="Verdana" w:hAnsi="Verdana" w:cs="Verdana"/>
          <w:color w:val="4472C4" w:themeColor="accent1"/>
          <w:u w:val="single"/>
          <w:lang w:val="es-MX"/>
        </w:rPr>
      </w:pPr>
      <w:r w:rsidRPr="008F0726">
        <w:rPr>
          <w:rFonts w:ascii="Verdana" w:eastAsia="Verdana" w:hAnsi="Verdana" w:cs="Verdana"/>
          <w:lang w:val="es-MX"/>
        </w:rPr>
        <w:t xml:space="preserve">Línea nacional gratuita o servicio a la ciudadanía (Mesa de servicio): </w:t>
      </w:r>
      <w:r w:rsidRPr="008F0726">
        <w:rPr>
          <w:rFonts w:ascii="Verdana" w:hAnsi="Verdana"/>
          <w:color w:val="0000FF"/>
          <w:u w:val="single"/>
          <w:lang w:val="es-ES"/>
        </w:rPr>
        <w:t>01800 0520808</w:t>
      </w:r>
    </w:p>
    <w:p w14:paraId="3B574B2D" w14:textId="77777777" w:rsidR="00746D08" w:rsidRPr="008F0726" w:rsidRDefault="00746D08" w:rsidP="00746D08">
      <w:pPr>
        <w:numPr>
          <w:ilvl w:val="0"/>
          <w:numId w:val="15"/>
        </w:numPr>
        <w:spacing w:after="0" w:line="256" w:lineRule="auto"/>
        <w:contextualSpacing/>
        <w:rPr>
          <w:rFonts w:ascii="Verdana" w:eastAsia="Verdana" w:hAnsi="Verdana" w:cs="Verdana"/>
          <w:color w:val="4472C4" w:themeColor="accent1"/>
          <w:u w:val="single"/>
          <w:lang w:val="es-MX"/>
        </w:rPr>
      </w:pPr>
      <w:r w:rsidRPr="008F0726">
        <w:rPr>
          <w:rFonts w:ascii="Verdana" w:eastAsia="Verdana" w:hAnsi="Verdana" w:cs="Verdana"/>
          <w:lang w:val="es-MX"/>
        </w:rPr>
        <w:t>Línea en Bogotá (Mesa de servicio</w:t>
      </w:r>
      <w:proofErr w:type="gramStart"/>
      <w:r w:rsidRPr="008F0726">
        <w:rPr>
          <w:rFonts w:ascii="Verdana" w:eastAsia="Verdana" w:hAnsi="Verdana" w:cs="Verdana"/>
          <w:lang w:val="es-MX"/>
        </w:rPr>
        <w:t>):</w:t>
      </w:r>
      <w:r w:rsidRPr="008F0726">
        <w:rPr>
          <w:rFonts w:ascii="Verdana" w:hAnsi="Verdana"/>
          <w:color w:val="0000FF"/>
          <w:u w:val="single"/>
          <w:lang w:val="es-ES"/>
        </w:rPr>
        <w:t>+</w:t>
      </w:r>
      <w:proofErr w:type="gramEnd"/>
      <w:r w:rsidRPr="008F0726">
        <w:rPr>
          <w:rFonts w:ascii="Verdana" w:hAnsi="Verdana"/>
          <w:color w:val="0000FF"/>
          <w:u w:val="single"/>
          <w:lang w:val="es-ES"/>
        </w:rPr>
        <w:t>57 601 7456788</w:t>
      </w:r>
    </w:p>
    <w:p w14:paraId="1EEBD624" w14:textId="77777777" w:rsidR="00746D08" w:rsidRPr="008F0726" w:rsidRDefault="00746D08" w:rsidP="00746D08">
      <w:pPr>
        <w:numPr>
          <w:ilvl w:val="0"/>
          <w:numId w:val="15"/>
        </w:numPr>
        <w:spacing w:after="0" w:line="256" w:lineRule="auto"/>
        <w:contextualSpacing/>
        <w:rPr>
          <w:rFonts w:ascii="Verdana" w:eastAsia="Verdana" w:hAnsi="Verdana" w:cs="Verdana"/>
          <w:color w:val="0000FF"/>
          <w:u w:val="single"/>
          <w:lang w:val="es-MX"/>
        </w:rPr>
      </w:pPr>
      <w:r w:rsidRPr="008F0726">
        <w:rPr>
          <w:rFonts w:ascii="Verdana" w:eastAsia="Verdana" w:hAnsi="Verdana" w:cs="Verdana"/>
          <w:lang w:val="es-MX"/>
        </w:rPr>
        <w:t xml:space="preserve">Correo de radicación de correspondencia: </w:t>
      </w:r>
      <w:hyperlink r:id="rId17" w:history="1">
        <w:r w:rsidRPr="008F0726">
          <w:rPr>
            <w:rFonts w:ascii="Verdana" w:eastAsia="Verdana" w:hAnsi="Verdana" w:cs="Verdana"/>
            <w:color w:val="0000FF"/>
            <w:u w:val="single"/>
            <w:lang w:val="es-MX"/>
          </w:rPr>
          <w:t>ventanilladeradicacion@colombiacompra.gov.co</w:t>
        </w:r>
      </w:hyperlink>
    </w:p>
    <w:p w14:paraId="5882DFEB" w14:textId="77777777" w:rsidR="00746D08" w:rsidRPr="008F0726" w:rsidRDefault="00746D08" w:rsidP="00746D08">
      <w:pPr>
        <w:numPr>
          <w:ilvl w:val="0"/>
          <w:numId w:val="15"/>
        </w:numPr>
        <w:spacing w:after="0" w:line="256" w:lineRule="auto"/>
        <w:contextualSpacing/>
        <w:rPr>
          <w:rFonts w:ascii="Verdana" w:eastAsia="Verdana" w:hAnsi="Verdana" w:cs="Verdana"/>
          <w:color w:val="0000FF"/>
          <w:u w:val="single"/>
          <w:lang w:val="es-MX"/>
        </w:rPr>
      </w:pPr>
      <w:r w:rsidRPr="008F0726">
        <w:rPr>
          <w:rFonts w:ascii="Verdana" w:eastAsia="Verdana" w:hAnsi="Verdana" w:cs="Verdana"/>
          <w:lang w:val="es-ES"/>
        </w:rPr>
        <w:t xml:space="preserve">Formulario web para PQRSD: </w:t>
      </w:r>
      <w:hyperlink r:id="rId18" w:history="1">
        <w:r w:rsidRPr="008F0726">
          <w:rPr>
            <w:rFonts w:ascii="Verdana" w:eastAsia="Verdana" w:hAnsi="Verdana" w:cs="Verdana"/>
            <w:color w:val="0000FF"/>
            <w:u w:val="single"/>
            <w:lang w:val="es-MX"/>
          </w:rPr>
          <w:t>https://www.colombiacompra.gov.co/pqrsd/informacion-importante-antes-de-formular-una-pqrsd</w:t>
        </w:r>
      </w:hyperlink>
    </w:p>
    <w:p w14:paraId="2FD52718" w14:textId="77777777" w:rsidR="00746D08" w:rsidRPr="008F0726" w:rsidRDefault="00746D08" w:rsidP="00746D08">
      <w:pPr>
        <w:spacing w:after="0" w:line="240" w:lineRule="auto"/>
        <w:ind w:left="720"/>
        <w:jc w:val="both"/>
        <w:rPr>
          <w:rFonts w:ascii="Verdana" w:hAnsi="Verdana"/>
        </w:rPr>
      </w:pPr>
    </w:p>
    <w:p w14:paraId="1F498CB4" w14:textId="77777777" w:rsidR="00746D08" w:rsidRPr="008F0726" w:rsidRDefault="00746D08" w:rsidP="00746D08">
      <w:pPr>
        <w:spacing w:after="0" w:line="240" w:lineRule="auto"/>
        <w:rPr>
          <w:rFonts w:ascii="Verdana" w:hAnsi="Verdana"/>
        </w:rPr>
      </w:pPr>
      <w:r w:rsidRPr="008F0726">
        <w:rPr>
          <w:rFonts w:ascii="Verdana" w:hAnsi="Verdana"/>
        </w:rPr>
        <w:t xml:space="preserve">Evalúa el servicio que ofrece la Agencia por el canal de atención de PQRSD en el siguiente </w:t>
      </w:r>
      <w:proofErr w:type="gramStart"/>
      <w:r w:rsidRPr="008F0726">
        <w:rPr>
          <w:rFonts w:ascii="Verdana" w:hAnsi="Verdana"/>
        </w:rPr>
        <w:t>enlace :</w:t>
      </w:r>
      <w:proofErr w:type="gramEnd"/>
      <w:hyperlink r:id="rId19" w:tgtFrame="_blank" w:tooltip="https://forms.office.com/r/pphywvs2sz" w:history="1">
        <w:r w:rsidRPr="008F0726">
          <w:rPr>
            <w:rFonts w:ascii="Verdana" w:hAnsi="Verdana"/>
            <w:color w:val="0000FF"/>
            <w:u w:val="single"/>
          </w:rPr>
          <w:t>https://forms.office.com/r/pPHyWVs2SZ</w:t>
        </w:r>
      </w:hyperlink>
      <w:r w:rsidRPr="008F0726">
        <w:rPr>
          <w:rFonts w:ascii="Verdana" w:hAnsi="Verdana"/>
        </w:rPr>
        <w:t xml:space="preserve"> .¡Ayúdanos a mejorar porque el compromiso es de todos!</w:t>
      </w:r>
    </w:p>
    <w:p w14:paraId="63A785B8" w14:textId="77777777" w:rsidR="00746D08" w:rsidRPr="008F0726" w:rsidRDefault="00746D08" w:rsidP="00746D08">
      <w:pPr>
        <w:spacing w:after="0" w:line="240" w:lineRule="auto"/>
        <w:rPr>
          <w:rFonts w:ascii="Verdana" w:hAnsi="Verdana"/>
        </w:rPr>
      </w:pPr>
    </w:p>
    <w:p w14:paraId="2CC1C3C1" w14:textId="77777777" w:rsidR="00746D08" w:rsidRPr="008F0726" w:rsidRDefault="00746D08" w:rsidP="00746D08">
      <w:pPr>
        <w:spacing w:after="0" w:line="240" w:lineRule="auto"/>
        <w:jc w:val="both"/>
        <w:rPr>
          <w:rFonts w:ascii="Verdana" w:hAnsi="Verdana"/>
        </w:rPr>
      </w:pPr>
      <w:r w:rsidRPr="008F0726">
        <w:rPr>
          <w:rFonts w:ascii="Verdana" w:hAnsi="Verdana"/>
        </w:rPr>
        <w:t xml:space="preserve">Por último, lo invitamos a seguirnos en las redes sociales en las cuales se difunde información institucional: </w:t>
      </w:r>
    </w:p>
    <w:p w14:paraId="207F89C6" w14:textId="77777777" w:rsidR="00746D08" w:rsidRPr="008F0726" w:rsidRDefault="00746D08" w:rsidP="00746D08">
      <w:pPr>
        <w:spacing w:after="0" w:line="240" w:lineRule="auto"/>
        <w:jc w:val="both"/>
        <w:rPr>
          <w:rFonts w:ascii="Verdana" w:hAnsi="Verdana"/>
        </w:rPr>
      </w:pPr>
    </w:p>
    <w:p w14:paraId="57D52F6B" w14:textId="77777777" w:rsidR="00746D08" w:rsidRPr="008F0726" w:rsidRDefault="00746D08" w:rsidP="00746D08">
      <w:pPr>
        <w:spacing w:after="0" w:line="240" w:lineRule="auto"/>
        <w:jc w:val="both"/>
        <w:rPr>
          <w:rFonts w:ascii="Verdana" w:hAnsi="Verdana"/>
        </w:rPr>
      </w:pPr>
      <w:r w:rsidRPr="008F0726">
        <w:rPr>
          <w:rFonts w:ascii="Verdana" w:hAnsi="Verdana"/>
        </w:rPr>
        <w:t xml:space="preserve">Twitter: </w:t>
      </w:r>
      <w:r w:rsidRPr="008F0726">
        <w:rPr>
          <w:rFonts w:ascii="Verdana" w:hAnsi="Verdana"/>
          <w:color w:val="0000FF"/>
          <w:u w:val="single"/>
        </w:rPr>
        <w:t>@colombiacompra</w:t>
      </w:r>
      <w:r w:rsidRPr="008F0726">
        <w:rPr>
          <w:rFonts w:ascii="Verdana" w:hAnsi="Verdana"/>
        </w:rPr>
        <w:t xml:space="preserve"> </w:t>
      </w:r>
    </w:p>
    <w:p w14:paraId="28890872" w14:textId="77777777" w:rsidR="00746D08" w:rsidRPr="008F0726" w:rsidRDefault="00746D08" w:rsidP="00746D08">
      <w:pPr>
        <w:spacing w:after="0" w:line="240" w:lineRule="auto"/>
        <w:jc w:val="both"/>
        <w:rPr>
          <w:rFonts w:ascii="Verdana" w:hAnsi="Verdana"/>
        </w:rPr>
      </w:pPr>
      <w:r w:rsidRPr="008F0726">
        <w:rPr>
          <w:rFonts w:ascii="Verdana" w:hAnsi="Verdana"/>
        </w:rPr>
        <w:t xml:space="preserve">Facebook: </w:t>
      </w:r>
      <w:proofErr w:type="spellStart"/>
      <w:r w:rsidRPr="008F0726">
        <w:rPr>
          <w:rFonts w:ascii="Verdana" w:hAnsi="Verdana"/>
          <w:color w:val="0000FF"/>
          <w:u w:val="single"/>
        </w:rPr>
        <w:t>ColombiaCompraEficiente</w:t>
      </w:r>
      <w:proofErr w:type="spellEnd"/>
    </w:p>
    <w:p w14:paraId="2C15B876" w14:textId="77777777" w:rsidR="00746D08" w:rsidRPr="008F0726" w:rsidRDefault="00746D08" w:rsidP="00746D08">
      <w:pPr>
        <w:spacing w:after="0" w:line="240" w:lineRule="auto"/>
        <w:jc w:val="both"/>
        <w:rPr>
          <w:rFonts w:ascii="Verdana" w:hAnsi="Verdana"/>
        </w:rPr>
      </w:pPr>
      <w:r w:rsidRPr="008F0726">
        <w:rPr>
          <w:rFonts w:ascii="Verdana" w:hAnsi="Verdana"/>
        </w:rPr>
        <w:t xml:space="preserve">LinkedIn: </w:t>
      </w:r>
      <w:r w:rsidRPr="008F0726">
        <w:rPr>
          <w:rFonts w:ascii="Verdana" w:hAnsi="Verdana"/>
          <w:color w:val="0000FF"/>
          <w:u w:val="single"/>
        </w:rPr>
        <w:t>Agencia Nacional de Contratación Pública - Colombia Compra Eficiente</w:t>
      </w:r>
      <w:r w:rsidRPr="008F0726">
        <w:rPr>
          <w:rFonts w:ascii="Verdana" w:hAnsi="Verdana"/>
        </w:rPr>
        <w:t xml:space="preserve"> Instagram: </w:t>
      </w:r>
      <w:r w:rsidRPr="008F0726">
        <w:rPr>
          <w:rFonts w:ascii="Verdana" w:hAnsi="Verdana"/>
          <w:color w:val="0000FF"/>
          <w:u w:val="single"/>
        </w:rPr>
        <w:t>@colombiacompraeficiente_cce</w:t>
      </w:r>
    </w:p>
    <w:p w14:paraId="58523F70" w14:textId="77777777" w:rsidR="00746D08" w:rsidRPr="008F0726" w:rsidRDefault="00746D08" w:rsidP="00746D08">
      <w:pPr>
        <w:widowControl w:val="0"/>
        <w:autoSpaceDE w:val="0"/>
        <w:autoSpaceDN w:val="0"/>
        <w:spacing w:after="0" w:line="276" w:lineRule="auto"/>
        <w:jc w:val="both"/>
        <w:rPr>
          <w:rFonts w:ascii="Verdana" w:hAnsi="Verdana" w:cs="Arial"/>
          <w:color w:val="FF0000"/>
          <w:shd w:val="clear" w:color="auto" w:fill="FFFFFF"/>
          <w:lang w:val="es-ES_tradnl"/>
        </w:rPr>
      </w:pPr>
    </w:p>
    <w:p w14:paraId="66588AD8" w14:textId="77777777" w:rsidR="00746D08" w:rsidRPr="008F0726" w:rsidRDefault="00746D08" w:rsidP="00746D08">
      <w:pPr>
        <w:widowControl w:val="0"/>
        <w:autoSpaceDE w:val="0"/>
        <w:autoSpaceDN w:val="0"/>
        <w:spacing w:after="120" w:line="276" w:lineRule="auto"/>
        <w:jc w:val="both"/>
        <w:rPr>
          <w:rFonts w:ascii="Verdana" w:hAnsi="Verdana" w:cs="Arial"/>
          <w:color w:val="FF0000"/>
          <w:shd w:val="clear" w:color="auto" w:fill="FFFFFF"/>
          <w:lang w:val="es-ES_tradnl"/>
        </w:rPr>
      </w:pPr>
      <w:r w:rsidRPr="008F0726">
        <w:rPr>
          <w:rFonts w:ascii="Verdana" w:hAnsi="Verdana" w:cs="Arial"/>
          <w:color w:val="000000" w:themeColor="text1"/>
        </w:rPr>
        <w:t xml:space="preserve">Este concepto tiene el alcance previsto en el artículo 28 del Código de Procedimiento Administrativo y de lo Contencioso Administrativo </w:t>
      </w:r>
      <w:r w:rsidRPr="008F0726">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DD37488" w14:textId="77777777" w:rsidR="00746D08" w:rsidRPr="008F0726" w:rsidRDefault="00746D08" w:rsidP="00746D08">
      <w:pPr>
        <w:widowControl w:val="0"/>
        <w:autoSpaceDE w:val="0"/>
        <w:autoSpaceDN w:val="0"/>
        <w:spacing w:after="0" w:line="276" w:lineRule="auto"/>
        <w:jc w:val="both"/>
        <w:rPr>
          <w:rFonts w:ascii="Verdana" w:hAnsi="Verdana" w:cs="Arial"/>
          <w:color w:val="000000" w:themeColor="text1"/>
        </w:rPr>
      </w:pPr>
    </w:p>
    <w:p w14:paraId="642A6D1B" w14:textId="77777777" w:rsidR="00746D08" w:rsidRPr="008F0726" w:rsidRDefault="00746D08" w:rsidP="00746D08">
      <w:pPr>
        <w:spacing w:after="0" w:line="276" w:lineRule="auto"/>
        <w:rPr>
          <w:rFonts w:ascii="Verdana" w:hAnsi="Verdana" w:cs="Arial"/>
          <w:color w:val="000000" w:themeColor="text1"/>
          <w:lang w:eastAsia="es-CO"/>
        </w:rPr>
      </w:pPr>
      <w:r w:rsidRPr="008F0726">
        <w:rPr>
          <w:rFonts w:ascii="Verdana" w:eastAsia="Times New Roman" w:hAnsi="Verdana" w:cs="Arial"/>
          <w:color w:val="000000" w:themeColor="text1"/>
          <w:lang w:eastAsia="es-CO"/>
        </w:rPr>
        <w:t>Atentamente,</w:t>
      </w:r>
      <w:r w:rsidRPr="008F0726">
        <w:rPr>
          <w:rFonts w:ascii="Verdana" w:hAnsi="Verdana" w:cs="Arial"/>
          <w:color w:val="000000" w:themeColor="text1"/>
          <w:lang w:eastAsia="es-CO"/>
        </w:rPr>
        <w:t xml:space="preserve"> </w:t>
      </w:r>
    </w:p>
    <w:p w14:paraId="4AA88DA2" w14:textId="0E543217" w:rsidR="00746D08" w:rsidRPr="008F0726" w:rsidRDefault="00231B1B" w:rsidP="00746D08">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4F12462A" wp14:editId="0B1AA0BD">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318444"/>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746D08" w:rsidRPr="008F0726" w14:paraId="4440C005" w14:textId="77777777" w:rsidTr="00EB2A51">
        <w:trPr>
          <w:trHeight w:val="315"/>
        </w:trPr>
        <w:tc>
          <w:tcPr>
            <w:tcW w:w="893" w:type="dxa"/>
            <w:vAlign w:val="center"/>
            <w:hideMark/>
          </w:tcPr>
          <w:p w14:paraId="3F4E5E1D" w14:textId="77777777" w:rsidR="00746D08" w:rsidRPr="008F0726" w:rsidRDefault="00746D08" w:rsidP="00EB2A51">
            <w:pPr>
              <w:spacing w:line="256" w:lineRule="auto"/>
              <w:contextualSpacing/>
              <w:rPr>
                <w:rFonts w:ascii="Verdana" w:eastAsia="Calibri" w:hAnsi="Verdana" w:cs="Arial"/>
                <w:sz w:val="16"/>
                <w:szCs w:val="16"/>
                <w:lang w:val="es-ES" w:eastAsia="es-ES"/>
              </w:rPr>
            </w:pPr>
            <w:r w:rsidRPr="008F0726">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7D4558" w14:textId="77777777" w:rsidR="00746D08" w:rsidRPr="008F0726" w:rsidRDefault="00746D08" w:rsidP="00EB2A51">
            <w:pPr>
              <w:spacing w:line="256" w:lineRule="auto"/>
              <w:contextualSpacing/>
              <w:rPr>
                <w:rFonts w:ascii="Verdana" w:eastAsia="Calibri" w:hAnsi="Verdana" w:cs="Times New Roman"/>
                <w:sz w:val="16"/>
                <w:szCs w:val="16"/>
              </w:rPr>
            </w:pPr>
            <w:r w:rsidRPr="008F0726">
              <w:rPr>
                <w:rFonts w:ascii="Verdana" w:eastAsia="Calibri" w:hAnsi="Verdana" w:cs="Times New Roman"/>
                <w:sz w:val="16"/>
                <w:szCs w:val="16"/>
              </w:rPr>
              <w:t>Tatiana Baquero Iguarán</w:t>
            </w:r>
          </w:p>
          <w:p w14:paraId="2CDA0D66" w14:textId="77777777" w:rsidR="00746D08" w:rsidRPr="008F0726" w:rsidRDefault="00746D08" w:rsidP="00EB2A51">
            <w:pPr>
              <w:spacing w:line="256" w:lineRule="auto"/>
              <w:contextualSpacing/>
              <w:rPr>
                <w:rFonts w:ascii="Verdana" w:eastAsia="Arial" w:hAnsi="Verdana" w:cs="Arial"/>
                <w:sz w:val="16"/>
                <w:szCs w:val="16"/>
              </w:rPr>
            </w:pPr>
            <w:r w:rsidRPr="008F0726">
              <w:rPr>
                <w:rFonts w:ascii="Verdana" w:eastAsia="Calibri" w:hAnsi="Verdana" w:cs="Times New Roman"/>
                <w:sz w:val="16"/>
                <w:szCs w:val="16"/>
              </w:rPr>
              <w:t>Contratista de la Subdirección de Gestión Contractual</w:t>
            </w:r>
          </w:p>
        </w:tc>
      </w:tr>
      <w:tr w:rsidR="00746D08" w:rsidRPr="008F0726" w14:paraId="37281964" w14:textId="77777777" w:rsidTr="00EB2A51">
        <w:trPr>
          <w:trHeight w:val="330"/>
        </w:trPr>
        <w:tc>
          <w:tcPr>
            <w:tcW w:w="893" w:type="dxa"/>
            <w:vAlign w:val="center"/>
            <w:hideMark/>
          </w:tcPr>
          <w:p w14:paraId="031361FA" w14:textId="77777777" w:rsidR="00746D08" w:rsidRPr="008F0726" w:rsidRDefault="00746D08" w:rsidP="00EB2A51">
            <w:pPr>
              <w:spacing w:line="256" w:lineRule="auto"/>
              <w:contextualSpacing/>
              <w:rPr>
                <w:rFonts w:ascii="Verdana" w:eastAsia="Calibri" w:hAnsi="Verdana" w:cs="Arial"/>
                <w:sz w:val="16"/>
                <w:szCs w:val="16"/>
                <w:lang w:val="es-ES" w:eastAsia="es-ES"/>
              </w:rPr>
            </w:pPr>
            <w:r w:rsidRPr="008F0726">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A2655A" w14:textId="77777777" w:rsidR="00746D08" w:rsidRPr="008F0726" w:rsidRDefault="00746D08" w:rsidP="00EB2A51">
            <w:pPr>
              <w:spacing w:before="100" w:beforeAutospacing="1" w:afterAutospacing="1" w:line="256" w:lineRule="auto"/>
              <w:contextualSpacing/>
              <w:textAlignment w:val="baseline"/>
              <w:rPr>
                <w:rFonts w:ascii="Verdana" w:eastAsia="Times New Roman" w:hAnsi="Verdana" w:cs="Arial"/>
                <w:sz w:val="16"/>
                <w:szCs w:val="16"/>
                <w:lang w:val="es-ES" w:eastAsia="es-ES_tradnl"/>
              </w:rPr>
            </w:pPr>
            <w:r w:rsidRPr="008F0726">
              <w:rPr>
                <w:rFonts w:ascii="Verdana" w:eastAsia="Times New Roman" w:hAnsi="Verdana" w:cs="Arial"/>
                <w:sz w:val="16"/>
                <w:szCs w:val="16"/>
                <w:lang w:val="es-ES" w:eastAsia="es-ES_tradnl"/>
              </w:rPr>
              <w:t>Alejandro Sarmiento Cantillo</w:t>
            </w:r>
          </w:p>
          <w:p w14:paraId="0616E3A6" w14:textId="77777777" w:rsidR="00746D08" w:rsidRPr="008F0726" w:rsidRDefault="00746D08" w:rsidP="00EB2A51">
            <w:pPr>
              <w:spacing w:line="256" w:lineRule="auto"/>
              <w:contextualSpacing/>
              <w:textAlignment w:val="baseline"/>
              <w:rPr>
                <w:rFonts w:ascii="Verdana" w:eastAsia="Times New Roman" w:hAnsi="Verdana" w:cs="Segoe UI"/>
                <w:sz w:val="16"/>
                <w:szCs w:val="16"/>
                <w:lang w:eastAsia="es-ES_tradnl"/>
              </w:rPr>
            </w:pPr>
            <w:r w:rsidRPr="008F0726">
              <w:rPr>
                <w:rFonts w:ascii="Verdana" w:eastAsia="Times New Roman" w:hAnsi="Verdana" w:cs="Arial"/>
                <w:sz w:val="16"/>
                <w:szCs w:val="16"/>
                <w:lang w:val="es-ES" w:eastAsia="es-ES_tradnl"/>
              </w:rPr>
              <w:t>Gestor T1 ‒ 15 de la Subdirección de Gestión Contractual</w:t>
            </w:r>
            <w:r w:rsidRPr="008F0726">
              <w:rPr>
                <w:rFonts w:ascii="Verdana" w:eastAsia="Times New Roman" w:hAnsi="Verdana" w:cs="Arial"/>
                <w:sz w:val="16"/>
                <w:szCs w:val="16"/>
                <w:lang w:eastAsia="es-ES_tradnl"/>
              </w:rPr>
              <w:t> </w:t>
            </w:r>
          </w:p>
        </w:tc>
      </w:tr>
      <w:tr w:rsidR="00746D08" w:rsidRPr="008F0726" w14:paraId="4DDFA0EF" w14:textId="77777777" w:rsidTr="00EB2A51">
        <w:trPr>
          <w:trHeight w:val="300"/>
        </w:trPr>
        <w:tc>
          <w:tcPr>
            <w:tcW w:w="893" w:type="dxa"/>
            <w:vAlign w:val="center"/>
          </w:tcPr>
          <w:p w14:paraId="1862F31D" w14:textId="77777777" w:rsidR="00746D08" w:rsidRPr="008F0726" w:rsidRDefault="00746D08" w:rsidP="00EB2A51">
            <w:pPr>
              <w:spacing w:line="256" w:lineRule="auto"/>
              <w:contextualSpacing/>
              <w:rPr>
                <w:rFonts w:ascii="Verdana" w:eastAsia="Calibri" w:hAnsi="Verdana" w:cs="Arial"/>
                <w:sz w:val="16"/>
                <w:szCs w:val="16"/>
                <w:lang w:val="es-ES" w:eastAsia="es-ES"/>
              </w:rPr>
            </w:pPr>
            <w:r w:rsidRPr="008F0726">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155496" w14:textId="77777777" w:rsidR="00746D08" w:rsidRPr="008F0726" w:rsidRDefault="00746D08" w:rsidP="00EB2A51">
            <w:pPr>
              <w:spacing w:line="256" w:lineRule="auto"/>
              <w:contextualSpacing/>
              <w:rPr>
                <w:rFonts w:ascii="Verdana" w:eastAsia="Calibri" w:hAnsi="Verdana" w:cs="Arial"/>
                <w:sz w:val="16"/>
                <w:szCs w:val="16"/>
                <w:lang w:val="pt-BR" w:eastAsia="es-ES"/>
              </w:rPr>
            </w:pPr>
            <w:r w:rsidRPr="008F0726">
              <w:rPr>
                <w:rFonts w:ascii="Verdana" w:eastAsia="Calibri" w:hAnsi="Verdana" w:cs="Arial"/>
                <w:sz w:val="16"/>
                <w:szCs w:val="16"/>
                <w:lang w:val="pt-BR" w:eastAsia="es-ES"/>
              </w:rPr>
              <w:t xml:space="preserve">Carolina Quintero </w:t>
            </w:r>
            <w:proofErr w:type="spellStart"/>
            <w:r w:rsidRPr="008F0726">
              <w:rPr>
                <w:rFonts w:ascii="Verdana" w:eastAsia="Calibri" w:hAnsi="Verdana" w:cs="Arial"/>
                <w:sz w:val="16"/>
                <w:szCs w:val="16"/>
                <w:lang w:val="pt-BR" w:eastAsia="es-ES"/>
              </w:rPr>
              <w:t>Gacharná</w:t>
            </w:r>
            <w:proofErr w:type="spellEnd"/>
          </w:p>
          <w:p w14:paraId="785AC90B" w14:textId="77777777" w:rsidR="00746D08" w:rsidRPr="008F0726" w:rsidRDefault="00746D08" w:rsidP="00EB2A51">
            <w:pPr>
              <w:spacing w:line="256" w:lineRule="auto"/>
              <w:contextualSpacing/>
              <w:rPr>
                <w:rFonts w:ascii="Verdana" w:eastAsia="Calibri" w:hAnsi="Verdana" w:cs="Arial"/>
                <w:sz w:val="16"/>
                <w:szCs w:val="16"/>
                <w:lang w:val="pt-BR" w:eastAsia="es-ES"/>
              </w:rPr>
            </w:pPr>
            <w:r w:rsidRPr="008F0726">
              <w:rPr>
                <w:rFonts w:ascii="Verdana" w:eastAsia="Calibri" w:hAnsi="Verdana" w:cs="Arial"/>
                <w:sz w:val="16"/>
                <w:szCs w:val="16"/>
                <w:lang w:eastAsia="es-ES"/>
              </w:rPr>
              <w:t>Subdirectora</w:t>
            </w:r>
            <w:r w:rsidRPr="008F0726">
              <w:rPr>
                <w:rFonts w:ascii="Verdana" w:eastAsia="Calibri" w:hAnsi="Verdana" w:cs="Arial"/>
                <w:sz w:val="16"/>
                <w:szCs w:val="16"/>
                <w:lang w:val="pt-BR" w:eastAsia="es-ES"/>
              </w:rPr>
              <w:t xml:space="preserve"> de Gestión Contratual ANCP – CCE</w:t>
            </w:r>
          </w:p>
        </w:tc>
      </w:tr>
    </w:tbl>
    <w:p w14:paraId="172DC712" w14:textId="77777777" w:rsidR="00746D08" w:rsidRPr="008F0726" w:rsidRDefault="00746D08" w:rsidP="00746D08">
      <w:pPr>
        <w:spacing w:line="256" w:lineRule="auto"/>
        <w:rPr>
          <w:rFonts w:ascii="Calibri" w:eastAsia="Calibri" w:hAnsi="Calibri" w:cs="Times New Roman"/>
        </w:rPr>
      </w:pPr>
    </w:p>
    <w:p w14:paraId="523AB3A3" w14:textId="77777777" w:rsidR="00746D08" w:rsidRPr="008F0726" w:rsidRDefault="00746D08" w:rsidP="00746D08">
      <w:pPr>
        <w:spacing w:line="256" w:lineRule="auto"/>
        <w:rPr>
          <w:rFonts w:ascii="Calibri" w:eastAsia="Calibri" w:hAnsi="Calibri" w:cs="Times New Roman"/>
        </w:rPr>
      </w:pPr>
    </w:p>
    <w:p w14:paraId="310A539A" w14:textId="77777777" w:rsidR="00746D08" w:rsidRPr="008F0726" w:rsidRDefault="00746D08" w:rsidP="00746D08">
      <w:pPr>
        <w:tabs>
          <w:tab w:val="left" w:pos="3024"/>
        </w:tabs>
        <w:spacing w:after="0" w:line="240" w:lineRule="auto"/>
        <w:rPr>
          <w:rFonts w:ascii="Verdana" w:eastAsia="Geomanist Light" w:hAnsi="Verdana" w:cs="Arial"/>
          <w:color w:val="000000" w:themeColor="text1"/>
          <w:lang w:val="es-MX"/>
        </w:rPr>
      </w:pPr>
      <w:r w:rsidRPr="008F0726">
        <w:rPr>
          <w:rFonts w:ascii="Verdana" w:eastAsia="Geomanist Light" w:hAnsi="Verdana" w:cs="Arial"/>
          <w:color w:val="000000" w:themeColor="text1"/>
          <w:lang w:val="es-MX"/>
        </w:rPr>
        <w:tab/>
      </w:r>
    </w:p>
    <w:p w14:paraId="7435F72F" w14:textId="77777777" w:rsidR="00746D08" w:rsidRPr="008F0726" w:rsidRDefault="00746D08" w:rsidP="00746D08"/>
    <w:p w14:paraId="5558C7C6" w14:textId="77777777" w:rsidR="00746D08" w:rsidRPr="008F0726" w:rsidRDefault="00746D08" w:rsidP="00746D08"/>
    <w:p w14:paraId="49F4E0F4" w14:textId="77777777" w:rsidR="00746D08" w:rsidRPr="008F0726" w:rsidRDefault="00746D08" w:rsidP="00746D08">
      <w:pPr>
        <w:spacing w:after="0" w:line="240" w:lineRule="auto"/>
        <w:rPr>
          <w:rFonts w:ascii="Verdana" w:hAnsi="Verdana"/>
        </w:rPr>
      </w:pPr>
    </w:p>
    <w:p w14:paraId="5266CB4E" w14:textId="77777777" w:rsidR="00746D08" w:rsidRPr="008F0726" w:rsidRDefault="00746D08" w:rsidP="00746D08"/>
    <w:p w14:paraId="0F6679AB" w14:textId="77777777" w:rsidR="00F66AFB" w:rsidRDefault="00F66AFB" w:rsidP="009A5105">
      <w:pPr>
        <w:spacing w:after="0" w:line="240" w:lineRule="auto"/>
        <w:rPr>
          <w:rFonts w:ascii="Verdana" w:hAnsi="Verdana"/>
        </w:rPr>
      </w:pPr>
    </w:p>
    <w:p w14:paraId="2D37923F" w14:textId="77777777" w:rsidR="00F66AFB" w:rsidRDefault="00F66AFB" w:rsidP="009A5105">
      <w:pPr>
        <w:spacing w:after="0" w:line="240" w:lineRule="auto"/>
        <w:rPr>
          <w:rFonts w:ascii="Verdana" w:hAnsi="Verdana"/>
        </w:rPr>
      </w:pPr>
    </w:p>
    <w:p w14:paraId="37588D5B" w14:textId="77777777" w:rsidR="00F66AFB" w:rsidRDefault="00F66AFB" w:rsidP="009A5105">
      <w:pPr>
        <w:spacing w:after="0" w:line="240" w:lineRule="auto"/>
        <w:rPr>
          <w:rFonts w:ascii="Verdana" w:hAnsi="Verdana"/>
        </w:rPr>
      </w:pPr>
    </w:p>
    <w:bookmarkEnd w:id="0"/>
    <w:p w14:paraId="66974F9A" w14:textId="77777777" w:rsidR="00F66AFB" w:rsidRDefault="00F66AFB" w:rsidP="009A5105">
      <w:pPr>
        <w:spacing w:after="0" w:line="240" w:lineRule="auto"/>
        <w:rPr>
          <w:rFonts w:ascii="Verdana" w:hAnsi="Verdana"/>
        </w:rPr>
      </w:pPr>
    </w:p>
    <w:sectPr w:rsidR="00F66AF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482D5" w14:textId="77777777" w:rsidR="008A5CDF" w:rsidRDefault="008A5CDF" w:rsidP="004A1847">
      <w:pPr>
        <w:spacing w:after="0" w:line="240" w:lineRule="auto"/>
      </w:pPr>
      <w:r>
        <w:separator/>
      </w:r>
    </w:p>
  </w:endnote>
  <w:endnote w:type="continuationSeparator" w:id="0">
    <w:p w14:paraId="456C1E64" w14:textId="77777777" w:rsidR="008A5CDF" w:rsidRDefault="008A5CDF" w:rsidP="004A1847">
      <w:pPr>
        <w:spacing w:after="0" w:line="240" w:lineRule="auto"/>
      </w:pPr>
      <w:r>
        <w:continuationSeparator/>
      </w:r>
    </w:p>
  </w:endnote>
  <w:endnote w:type="continuationNotice" w:id="1">
    <w:p w14:paraId="4C2E6D18" w14:textId="77777777" w:rsidR="008A5CDF" w:rsidRDefault="008A5C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0DA59" w14:textId="77777777" w:rsidR="008A5CDF" w:rsidRDefault="008A5CDF" w:rsidP="004A1847">
      <w:pPr>
        <w:spacing w:after="0" w:line="240" w:lineRule="auto"/>
      </w:pPr>
      <w:r>
        <w:separator/>
      </w:r>
    </w:p>
  </w:footnote>
  <w:footnote w:type="continuationSeparator" w:id="0">
    <w:p w14:paraId="5D7A1003" w14:textId="77777777" w:rsidR="008A5CDF" w:rsidRDefault="008A5CDF" w:rsidP="004A1847">
      <w:pPr>
        <w:spacing w:after="0" w:line="240" w:lineRule="auto"/>
      </w:pPr>
      <w:r>
        <w:continuationSeparator/>
      </w:r>
    </w:p>
  </w:footnote>
  <w:footnote w:type="continuationNotice" w:id="1">
    <w:p w14:paraId="5FBF10E9" w14:textId="77777777" w:rsidR="008A5CDF" w:rsidRDefault="008A5CDF">
      <w:pPr>
        <w:spacing w:after="0" w:line="240" w:lineRule="auto"/>
      </w:pPr>
    </w:p>
  </w:footnote>
  <w:footnote w:id="2">
    <w:p w14:paraId="0C07BA3D" w14:textId="77777777" w:rsidR="00746D08" w:rsidRPr="009E02B6" w:rsidRDefault="00746D08" w:rsidP="00746D08">
      <w:pPr>
        <w:pStyle w:val="NormalWeb"/>
        <w:snapToGrid w:val="0"/>
        <w:spacing w:before="0" w:beforeAutospacing="0" w:after="0" w:afterAutospacing="0"/>
        <w:ind w:firstLine="709"/>
        <w:contextualSpacing/>
        <w:jc w:val="both"/>
        <w:rPr>
          <w:rFonts w:ascii="Verdana" w:hAnsi="Verdana" w:cs="Arial"/>
          <w:sz w:val="16"/>
          <w:szCs w:val="16"/>
        </w:rPr>
      </w:pPr>
      <w:r w:rsidRPr="009E02B6">
        <w:rPr>
          <w:rStyle w:val="Refdenotaalpie"/>
          <w:rFonts w:ascii="Verdana" w:hAnsi="Verdana" w:cs="Arial"/>
          <w:sz w:val="16"/>
          <w:szCs w:val="16"/>
        </w:rPr>
        <w:footnoteRef/>
      </w:r>
      <w:r w:rsidRPr="009E02B6">
        <w:rPr>
          <w:rFonts w:ascii="Verdana" w:hAnsi="Verdana" w:cs="Arial"/>
          <w:sz w:val="16"/>
          <w:szCs w:val="16"/>
        </w:rPr>
        <w:t xml:space="preserve"> </w:t>
      </w:r>
      <w:r w:rsidRPr="009E02B6">
        <w:rPr>
          <w:rFonts w:ascii="Verdana" w:hAnsi="Verdana" w:cs="Arial"/>
          <w:sz w:val="16"/>
          <w:szCs w:val="16"/>
          <w:lang w:val="es-ES"/>
        </w:rPr>
        <w:t>“</w:t>
      </w:r>
      <w:r w:rsidRPr="009E02B6">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1F805B2D" w14:textId="77777777" w:rsidR="00746D08" w:rsidRPr="009E02B6" w:rsidRDefault="00746D08" w:rsidP="00746D08">
      <w:pPr>
        <w:snapToGrid w:val="0"/>
        <w:spacing w:after="0" w:line="240" w:lineRule="auto"/>
        <w:ind w:firstLine="708"/>
        <w:contextualSpacing/>
        <w:jc w:val="both"/>
        <w:rPr>
          <w:rFonts w:ascii="Verdana" w:hAnsi="Verdana" w:cs="Arial"/>
          <w:sz w:val="16"/>
          <w:szCs w:val="16"/>
        </w:rPr>
      </w:pPr>
      <w:r w:rsidRPr="009E02B6">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1A369CD9" w14:textId="77777777" w:rsidR="00746D08" w:rsidRPr="009E02B6" w:rsidRDefault="00746D08" w:rsidP="00746D08">
      <w:pPr>
        <w:pStyle w:val="Textonotapie"/>
        <w:ind w:firstLine="708"/>
        <w:contextualSpacing/>
        <w:jc w:val="both"/>
        <w:rPr>
          <w:rFonts w:ascii="Verdana" w:hAnsi="Verdana"/>
          <w:sz w:val="16"/>
          <w:szCs w:val="16"/>
        </w:rPr>
      </w:pPr>
      <w:r w:rsidRPr="009E02B6">
        <w:rPr>
          <w:rStyle w:val="Refdenotaalpie"/>
          <w:rFonts w:ascii="Verdana" w:hAnsi="Verdana"/>
          <w:sz w:val="16"/>
          <w:szCs w:val="16"/>
        </w:rPr>
        <w:footnoteRef/>
      </w:r>
      <w:r w:rsidRPr="009E02B6">
        <w:rPr>
          <w:rFonts w:ascii="Verdana" w:hAnsi="Verdana"/>
          <w:sz w:val="16"/>
          <w:szCs w:val="16"/>
        </w:rPr>
        <w:t xml:space="preserve"> El </w:t>
      </w:r>
      <w:r w:rsidRPr="009E02B6">
        <w:rPr>
          <w:rFonts w:ascii="Verdana" w:eastAsia="Times New Roman" w:hAnsi="Verdana" w:cs="Arial"/>
          <w:sz w:val="16"/>
          <w:szCs w:val="16"/>
          <w:lang w:val="es-ES" w:eastAsia="es-MX"/>
        </w:rPr>
        <w:t>“Manual para determinar y verificar los requisitos habilitantes en los Procesos de Contratación”</w:t>
      </w:r>
      <w:r w:rsidRPr="009E02B6">
        <w:rPr>
          <w:rFonts w:ascii="Verdana" w:eastAsia="Calibri" w:hAnsi="Verdana" w:cs="Arial"/>
          <w:sz w:val="16"/>
          <w:szCs w:val="16"/>
          <w:lang w:val="es-ES" w:eastAsia="es-MX"/>
        </w:rPr>
        <w:t>,</w:t>
      </w:r>
      <w:r w:rsidRPr="009E02B6">
        <w:rPr>
          <w:rFonts w:ascii="Verdana" w:eastAsia="Times New Roman" w:hAnsi="Verdana" w:cs="Arial"/>
          <w:sz w:val="16"/>
          <w:szCs w:val="16"/>
          <w:lang w:val="es-ES" w:eastAsia="es-MX"/>
        </w:rPr>
        <w:t xml:space="preserve"> expedido por la </w:t>
      </w:r>
      <w:r w:rsidRPr="009E02B6">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9E02B6">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9E02B6">
        <w:rPr>
          <w:rFonts w:ascii="Verdana" w:eastAsia="Calibri" w:hAnsi="Verdana" w:cs="Arial"/>
          <w:sz w:val="16"/>
          <w:szCs w:val="16"/>
          <w:lang w:val="es-ES" w:eastAsia="es-MX"/>
        </w:rPr>
        <w:t xml:space="preserve">  </w:t>
      </w:r>
    </w:p>
  </w:footnote>
  <w:footnote w:id="4">
    <w:p w14:paraId="3C2BFFF5" w14:textId="77777777" w:rsidR="00746D08" w:rsidRPr="009E02B6" w:rsidRDefault="00746D08" w:rsidP="00746D08">
      <w:pPr>
        <w:pStyle w:val="NormalWeb"/>
        <w:snapToGrid w:val="0"/>
        <w:spacing w:before="0" w:beforeAutospacing="0" w:after="0" w:afterAutospacing="0"/>
        <w:ind w:firstLine="709"/>
        <w:contextualSpacing/>
        <w:jc w:val="both"/>
        <w:rPr>
          <w:rFonts w:ascii="Verdana" w:hAnsi="Verdana" w:cs="Arial"/>
          <w:sz w:val="16"/>
          <w:szCs w:val="16"/>
          <w:lang w:val="es-ES"/>
        </w:rPr>
      </w:pPr>
      <w:r w:rsidRPr="009E02B6">
        <w:rPr>
          <w:rStyle w:val="Refdenotaalpie"/>
          <w:rFonts w:ascii="Verdana" w:hAnsi="Verdana" w:cs="Arial"/>
          <w:sz w:val="16"/>
          <w:szCs w:val="16"/>
        </w:rPr>
        <w:footnoteRef/>
      </w:r>
      <w:r w:rsidRPr="009E02B6">
        <w:rPr>
          <w:rStyle w:val="Refdenotaalpie"/>
          <w:rFonts w:ascii="Verdana" w:hAnsi="Verdana" w:cs="Arial"/>
          <w:sz w:val="16"/>
          <w:szCs w:val="16"/>
        </w:rPr>
        <w:t xml:space="preserve"> </w:t>
      </w:r>
      <w:r w:rsidRPr="009E02B6">
        <w:rPr>
          <w:rFonts w:ascii="Verdana" w:hAnsi="Verdana" w:cs="Arial"/>
          <w:sz w:val="16"/>
          <w:szCs w:val="16"/>
        </w:rPr>
        <w:t>“</w:t>
      </w:r>
      <w:r w:rsidRPr="009E02B6">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F072CA5" w14:textId="77777777" w:rsidR="00746D08" w:rsidRPr="009E02B6" w:rsidRDefault="00746D08" w:rsidP="00746D08">
      <w:pPr>
        <w:pStyle w:val="NormalWeb"/>
        <w:snapToGrid w:val="0"/>
        <w:spacing w:before="0" w:beforeAutospacing="0" w:after="0" w:afterAutospacing="0"/>
        <w:ind w:firstLine="709"/>
        <w:contextualSpacing/>
        <w:jc w:val="both"/>
        <w:rPr>
          <w:rFonts w:ascii="Verdana" w:hAnsi="Verdana" w:cs="Arial"/>
          <w:sz w:val="16"/>
          <w:szCs w:val="16"/>
          <w:lang w:val="es-ES"/>
        </w:rPr>
      </w:pPr>
      <w:r w:rsidRPr="009E02B6">
        <w:rPr>
          <w:rFonts w:ascii="Verdana" w:hAnsi="Verdana" w:cs="Arial"/>
          <w:sz w:val="16"/>
          <w:szCs w:val="16"/>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5148C38E" w14:textId="77777777" w:rsidR="00746D08" w:rsidRPr="009E02B6" w:rsidRDefault="00746D08" w:rsidP="00746D08">
      <w:pPr>
        <w:pStyle w:val="NormalWeb"/>
        <w:snapToGrid w:val="0"/>
        <w:spacing w:before="0" w:beforeAutospacing="0" w:after="0" w:afterAutospacing="0"/>
        <w:ind w:firstLine="708"/>
        <w:contextualSpacing/>
        <w:jc w:val="both"/>
        <w:rPr>
          <w:rFonts w:ascii="Verdana" w:hAnsi="Verdana" w:cs="Arial"/>
          <w:sz w:val="16"/>
          <w:szCs w:val="16"/>
          <w:lang w:val="es-ES"/>
        </w:rPr>
      </w:pPr>
      <w:r w:rsidRPr="009E02B6">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9E02B6">
        <w:rPr>
          <w:rFonts w:ascii="Verdana" w:hAnsi="Verdana" w:cs="Verdana"/>
          <w:sz w:val="16"/>
          <w:szCs w:val="16"/>
          <w:lang w:val="es-ES"/>
        </w:rPr>
        <w:t>”</w:t>
      </w:r>
      <w:r w:rsidRPr="009E02B6">
        <w:rPr>
          <w:rFonts w:ascii="Verdana" w:hAnsi="Verdana" w:cs="Arial"/>
          <w:sz w:val="16"/>
          <w:szCs w:val="16"/>
          <w:lang w:val="es-ES"/>
        </w:rPr>
        <w:t>.</w:t>
      </w:r>
    </w:p>
    <w:p w14:paraId="6F83041C" w14:textId="77777777" w:rsidR="00746D08" w:rsidRPr="009E02B6" w:rsidRDefault="00746D08" w:rsidP="00746D08">
      <w:pPr>
        <w:pStyle w:val="NormalWeb"/>
        <w:snapToGrid w:val="0"/>
        <w:spacing w:before="0" w:beforeAutospacing="0" w:after="0" w:afterAutospacing="0"/>
        <w:ind w:firstLine="708"/>
        <w:contextualSpacing/>
        <w:jc w:val="both"/>
        <w:rPr>
          <w:rStyle w:val="Refdenotaalpie"/>
          <w:rFonts w:ascii="Verdana" w:hAnsi="Verdana"/>
          <w:sz w:val="16"/>
          <w:szCs w:val="16"/>
          <w:vertAlign w:val="baseline"/>
        </w:rPr>
      </w:pPr>
    </w:p>
  </w:footnote>
  <w:footnote w:id="5">
    <w:p w14:paraId="1041AB19" w14:textId="77777777" w:rsidR="00746D08" w:rsidRPr="009E02B6" w:rsidRDefault="00746D08" w:rsidP="00746D08">
      <w:pPr>
        <w:pStyle w:val="Textonotapie"/>
        <w:ind w:firstLine="708"/>
        <w:contextualSpacing/>
        <w:jc w:val="both"/>
        <w:rPr>
          <w:rFonts w:ascii="Verdana" w:hAnsi="Verdana"/>
          <w:sz w:val="16"/>
          <w:szCs w:val="16"/>
        </w:rPr>
      </w:pPr>
      <w:r w:rsidRPr="009E02B6">
        <w:rPr>
          <w:rStyle w:val="Refdenotaalpie"/>
          <w:rFonts w:ascii="Verdana" w:hAnsi="Verdana"/>
          <w:sz w:val="16"/>
          <w:szCs w:val="16"/>
        </w:rPr>
        <w:footnoteRef/>
      </w:r>
      <w:r w:rsidRPr="009E02B6">
        <w:rPr>
          <w:rFonts w:ascii="Verdana" w:hAnsi="Verdana"/>
          <w:sz w:val="16"/>
          <w:szCs w:val="16"/>
        </w:rPr>
        <w:t xml:space="preserve"> </w:t>
      </w:r>
      <w:bookmarkStart w:id="14" w:name="44"/>
      <w:r w:rsidRPr="009E02B6">
        <w:rPr>
          <w:rFonts w:ascii="Verdana" w:hAnsi="Verdana"/>
          <w:sz w:val="16"/>
          <w:szCs w:val="16"/>
        </w:rPr>
        <w:t xml:space="preserve">Sobre el particular el </w:t>
      </w:r>
      <w:r w:rsidRPr="009E02B6">
        <w:rPr>
          <w:rFonts w:ascii="Verdana" w:hAnsi="Verdana"/>
          <w:sz w:val="16"/>
          <w:szCs w:val="16"/>
          <w:lang w:val="es-CO"/>
        </w:rPr>
        <w:t>artículo 44 de la Ley 1437 de 2011, dispone: “Decisiones Discrecionales.</w:t>
      </w:r>
      <w:bookmarkEnd w:id="14"/>
      <w:r w:rsidRPr="009E02B6">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424D9A8D" w14:textId="77777777" w:rsidR="00746D08" w:rsidRPr="009E02B6" w:rsidRDefault="00746D08" w:rsidP="00746D08">
      <w:pPr>
        <w:pStyle w:val="Textonotapie"/>
        <w:ind w:firstLine="709"/>
        <w:jc w:val="both"/>
        <w:rPr>
          <w:rFonts w:ascii="Verdana" w:hAnsi="Verdana" w:cs="Arial"/>
          <w:color w:val="000000" w:themeColor="text1"/>
          <w:sz w:val="16"/>
          <w:szCs w:val="16"/>
          <w:lang w:val="es-ES"/>
        </w:rPr>
      </w:pPr>
      <w:r w:rsidRPr="009E02B6">
        <w:rPr>
          <w:rStyle w:val="Refdenotaalpie"/>
          <w:rFonts w:ascii="Verdana" w:hAnsi="Verdana" w:cs="Arial"/>
          <w:color w:val="000000" w:themeColor="text1"/>
          <w:sz w:val="16"/>
          <w:szCs w:val="16"/>
        </w:rPr>
        <w:footnoteRef/>
      </w:r>
      <w:r w:rsidRPr="009E02B6">
        <w:rPr>
          <w:rFonts w:ascii="Verdana" w:hAnsi="Verdana" w:cs="Arial"/>
          <w:color w:val="000000" w:themeColor="text1"/>
          <w:sz w:val="16"/>
          <w:szCs w:val="16"/>
        </w:rPr>
        <w:t xml:space="preserve"> </w:t>
      </w:r>
      <w:r w:rsidRPr="009E02B6">
        <w:rPr>
          <w:rFonts w:ascii="Verdana" w:hAnsi="Verdana" w:cs="Arial"/>
          <w:color w:val="000000" w:themeColor="text1"/>
          <w:sz w:val="16"/>
          <w:szCs w:val="16"/>
          <w:lang w:val="es-ES"/>
        </w:rPr>
        <w:t xml:space="preserve">Superintendencia de Industria y Comercio. En sitio web: </w:t>
      </w:r>
      <w:hyperlink r:id="rId2" w:history="1">
        <w:r w:rsidRPr="009E02B6">
          <w:rPr>
            <w:rStyle w:val="Hipervnculo"/>
            <w:rFonts w:ascii="Verdana" w:hAnsi="Verdana" w:cs="Arial"/>
            <w:color w:val="000000" w:themeColor="text1"/>
            <w:sz w:val="16"/>
            <w:szCs w:val="16"/>
            <w:lang w:val="es-ES"/>
          </w:rPr>
          <w:t>https://www.sic.gov.co/patentes</w:t>
        </w:r>
      </w:hyperlink>
      <w:r w:rsidRPr="009E02B6">
        <w:rPr>
          <w:rFonts w:ascii="Verdana" w:hAnsi="Verdana" w:cs="Arial"/>
          <w:color w:val="000000" w:themeColor="text1"/>
          <w:sz w:val="16"/>
          <w:szCs w:val="16"/>
          <w:lang w:val="es-ES"/>
        </w:rPr>
        <w:t>; consultado el 8 de octubre de 2020.</w:t>
      </w:r>
    </w:p>
    <w:p w14:paraId="362EDD1A" w14:textId="77777777" w:rsidR="00746D08" w:rsidRPr="009E02B6" w:rsidRDefault="00746D08" w:rsidP="00746D08">
      <w:pPr>
        <w:pStyle w:val="Textonotapie"/>
        <w:ind w:firstLine="709"/>
        <w:jc w:val="both"/>
        <w:rPr>
          <w:rFonts w:ascii="Verdana" w:hAnsi="Verdana" w:cs="Arial"/>
          <w:color w:val="000000" w:themeColor="text1"/>
          <w:sz w:val="16"/>
          <w:szCs w:val="16"/>
          <w:lang w:val="es-ES"/>
        </w:rPr>
      </w:pPr>
    </w:p>
  </w:footnote>
  <w:footnote w:id="7">
    <w:p w14:paraId="3EE50C08" w14:textId="77777777" w:rsidR="00746D08" w:rsidRPr="009E02B6" w:rsidRDefault="00746D08" w:rsidP="00746D08">
      <w:pPr>
        <w:spacing w:after="0" w:line="240" w:lineRule="auto"/>
        <w:ind w:firstLine="709"/>
        <w:jc w:val="both"/>
        <w:rPr>
          <w:rFonts w:ascii="Verdana" w:eastAsia="Arial" w:hAnsi="Verdana" w:cs="Arial"/>
          <w:color w:val="000000"/>
          <w:sz w:val="16"/>
          <w:szCs w:val="16"/>
          <w:lang w:val="es-ES_tradnl"/>
        </w:rPr>
      </w:pPr>
      <w:r w:rsidRPr="009E02B6">
        <w:rPr>
          <w:rStyle w:val="Refdenotaalpie"/>
          <w:rFonts w:ascii="Verdana" w:hAnsi="Verdana" w:cs="Arial"/>
          <w:sz w:val="16"/>
          <w:szCs w:val="16"/>
        </w:rPr>
        <w:footnoteRef/>
      </w:r>
      <w:r w:rsidRPr="009E02B6">
        <w:rPr>
          <w:rFonts w:ascii="Verdana" w:hAnsi="Verdana" w:cs="Arial"/>
          <w:sz w:val="16"/>
          <w:szCs w:val="16"/>
        </w:rPr>
        <w:t xml:space="preserve"> Así continúa el razonamiento de la Corte: “</w:t>
      </w:r>
      <w:r w:rsidRPr="009E02B6">
        <w:rPr>
          <w:rFonts w:ascii="Verdana" w:eastAsia="Arial" w:hAnsi="Verdana" w:cs="Arial"/>
          <w:color w:val="000000"/>
          <w:sz w:val="16"/>
          <w:szCs w:val="16"/>
          <w:lang w:val="es-ES_tradnl"/>
        </w:rPr>
        <w:t>La patente de invención se inscribe dentro de la protección a la propiedad industrial, que, junto a los derechos de autor, dota de contenido el derecho inalienable previsto en el artículo 61 de la Constitución Política, ya referido. Su alcance, esto es, las facetas del derecho que son amparadas por el ordenamiento, constituye un asunto cuya competencia radica en el Legislador, tal como esta Corporación lo ha sostenido en reiteradas decisiones en las que ha advertido su margen de configuración, se insiste, con el fin de armonizar los intereses comprometidos y bajo los criterios que guían la propiedad en general, esto es, su función social, la solidaridad y el respeto por la dignidad y el trabajo” (Sentencia C-234 de 2019, Magistrada Ponente: Diana Fajardo Rivera).</w:t>
      </w:r>
    </w:p>
    <w:p w14:paraId="740B63B9" w14:textId="77777777" w:rsidR="00746D08" w:rsidRPr="009E02B6" w:rsidRDefault="00746D08" w:rsidP="00746D08">
      <w:pPr>
        <w:spacing w:after="0" w:line="240" w:lineRule="auto"/>
        <w:ind w:firstLine="709"/>
        <w:jc w:val="both"/>
        <w:rPr>
          <w:rFonts w:ascii="Verdana" w:eastAsia="Arial" w:hAnsi="Verdana" w:cs="Arial"/>
          <w:color w:val="000000"/>
          <w:sz w:val="16"/>
          <w:szCs w:val="16"/>
          <w:lang w:val="es-ES_tradnl"/>
        </w:rPr>
      </w:pPr>
    </w:p>
  </w:footnote>
  <w:footnote w:id="8">
    <w:p w14:paraId="73FDA1B8" w14:textId="77777777" w:rsidR="00746D08" w:rsidRPr="009E02B6" w:rsidRDefault="00746D08" w:rsidP="00746D08">
      <w:pPr>
        <w:tabs>
          <w:tab w:val="left" w:pos="567"/>
        </w:tabs>
        <w:spacing w:after="0" w:line="240" w:lineRule="auto"/>
        <w:ind w:firstLine="709"/>
        <w:jc w:val="both"/>
        <w:rPr>
          <w:rFonts w:ascii="Verdana" w:hAnsi="Verdana" w:cs="Arial"/>
          <w:color w:val="000000" w:themeColor="text1"/>
          <w:sz w:val="16"/>
          <w:szCs w:val="16"/>
        </w:rPr>
      </w:pPr>
      <w:r w:rsidRPr="009E02B6">
        <w:rPr>
          <w:rStyle w:val="Refdenotaalpie"/>
          <w:rFonts w:ascii="Verdana" w:hAnsi="Verdana" w:cs="Arial"/>
          <w:color w:val="000000" w:themeColor="text1"/>
          <w:sz w:val="16"/>
          <w:szCs w:val="16"/>
        </w:rPr>
        <w:footnoteRef/>
      </w:r>
      <w:r w:rsidRPr="009E02B6">
        <w:rPr>
          <w:rFonts w:ascii="Verdana" w:hAnsi="Verdana" w:cs="Arial"/>
          <w:color w:val="000000" w:themeColor="text1"/>
          <w:sz w:val="16"/>
          <w:szCs w:val="16"/>
        </w:rPr>
        <w:t xml:space="preserve"> “</w:t>
      </w:r>
      <w:r w:rsidRPr="009E02B6">
        <w:rPr>
          <w:rFonts w:ascii="Verdana" w:hAnsi="Verdana" w:cs="Arial"/>
          <w:bCs/>
          <w:color w:val="000000" w:themeColor="text1"/>
          <w:sz w:val="16"/>
          <w:szCs w:val="16"/>
        </w:rPr>
        <w:t>Artículo 57.-</w:t>
      </w:r>
      <w:r w:rsidRPr="009E02B6">
        <w:rPr>
          <w:rFonts w:ascii="Verdana" w:hAnsi="Verdana" w:cs="Arial"/>
          <w:b/>
          <w:color w:val="000000" w:themeColor="text1"/>
          <w:sz w:val="16"/>
          <w:szCs w:val="16"/>
        </w:rPr>
        <w:t xml:space="preserve"> </w:t>
      </w:r>
      <w:r w:rsidRPr="009E02B6">
        <w:rPr>
          <w:rFonts w:ascii="Verdana" w:hAnsi="Verdana" w:cs="Arial"/>
          <w:color w:val="000000" w:themeColor="text1"/>
          <w:sz w:val="16"/>
          <w:szCs w:val="16"/>
        </w:rPr>
        <w:t>El titular de una patente concedida o en trámite de concesión podrá dar licencia a uno o más terceros para la explotación de la invención respectiva.</w:t>
      </w:r>
    </w:p>
    <w:p w14:paraId="6432173D" w14:textId="77777777" w:rsidR="00746D08" w:rsidRPr="009E02B6" w:rsidRDefault="00746D08" w:rsidP="00746D08">
      <w:pPr>
        <w:tabs>
          <w:tab w:val="left" w:pos="567"/>
        </w:tabs>
        <w:spacing w:after="0" w:line="240" w:lineRule="auto"/>
        <w:ind w:firstLine="709"/>
        <w:jc w:val="both"/>
        <w:rPr>
          <w:rFonts w:ascii="Verdana" w:hAnsi="Verdana" w:cs="Arial"/>
          <w:color w:val="000000" w:themeColor="text1"/>
          <w:sz w:val="16"/>
          <w:szCs w:val="16"/>
        </w:rPr>
      </w:pPr>
      <w:r w:rsidRPr="009E02B6">
        <w:rPr>
          <w:rFonts w:ascii="Verdana" w:hAnsi="Verdana" w:cs="Arial"/>
          <w:color w:val="000000" w:themeColor="text1"/>
          <w:sz w:val="16"/>
          <w:szCs w:val="16"/>
        </w:rPr>
        <w:t>Deberá registrarse ante la oficina nacional competente toda licencia de explotación de una patente concedida. La falta de registro ocasionará que la licencia no surta efectos frente a terceros.</w:t>
      </w:r>
    </w:p>
    <w:p w14:paraId="70B261B0" w14:textId="77777777" w:rsidR="00746D08" w:rsidRPr="009E02B6" w:rsidRDefault="00746D08" w:rsidP="00746D08">
      <w:pPr>
        <w:tabs>
          <w:tab w:val="left" w:pos="567"/>
        </w:tabs>
        <w:spacing w:after="0" w:line="240" w:lineRule="auto"/>
        <w:ind w:firstLine="709"/>
        <w:jc w:val="both"/>
        <w:rPr>
          <w:rFonts w:ascii="Verdana" w:hAnsi="Verdana" w:cs="Arial"/>
          <w:color w:val="000000" w:themeColor="text1"/>
          <w:sz w:val="16"/>
          <w:szCs w:val="16"/>
        </w:rPr>
      </w:pPr>
      <w:r w:rsidRPr="009E02B6">
        <w:rPr>
          <w:rFonts w:ascii="Verdana" w:hAnsi="Verdana" w:cs="Arial"/>
          <w:color w:val="000000" w:themeColor="text1"/>
          <w:sz w:val="16"/>
          <w:szCs w:val="16"/>
        </w:rPr>
        <w:t>A efectos del registro la licencia deberá constar por escrito.</w:t>
      </w:r>
    </w:p>
    <w:p w14:paraId="065A97AD" w14:textId="77777777" w:rsidR="00746D08" w:rsidRPr="009E02B6" w:rsidRDefault="00746D08" w:rsidP="00746D08">
      <w:pPr>
        <w:tabs>
          <w:tab w:val="left" w:pos="567"/>
        </w:tabs>
        <w:spacing w:after="0" w:line="240" w:lineRule="auto"/>
        <w:ind w:firstLine="709"/>
        <w:jc w:val="both"/>
        <w:rPr>
          <w:rFonts w:ascii="Verdana" w:hAnsi="Verdana" w:cs="Arial"/>
          <w:color w:val="000000" w:themeColor="text1"/>
          <w:sz w:val="16"/>
          <w:szCs w:val="16"/>
        </w:rPr>
      </w:pPr>
      <w:r w:rsidRPr="009E02B6">
        <w:rPr>
          <w:rFonts w:ascii="Verdana" w:hAnsi="Verdana" w:cs="Arial"/>
          <w:color w:val="000000" w:themeColor="text1"/>
          <w:sz w:val="16"/>
          <w:szCs w:val="16"/>
        </w:rPr>
        <w:t>Cualquier persona interesada podrá solicitar el registro de una licencia.</w:t>
      </w:r>
    </w:p>
    <w:p w14:paraId="5C796957" w14:textId="77777777" w:rsidR="00746D08" w:rsidRPr="009E02B6" w:rsidRDefault="00746D08" w:rsidP="00746D08">
      <w:pPr>
        <w:tabs>
          <w:tab w:val="left" w:pos="567"/>
        </w:tabs>
        <w:spacing w:after="0" w:line="240" w:lineRule="auto"/>
        <w:ind w:firstLine="709"/>
        <w:jc w:val="both"/>
        <w:rPr>
          <w:rFonts w:ascii="Verdana" w:hAnsi="Verdana" w:cs="Arial"/>
          <w:color w:val="000000" w:themeColor="text1"/>
          <w:sz w:val="16"/>
          <w:szCs w:val="16"/>
        </w:rPr>
      </w:pPr>
      <w:r w:rsidRPr="009E02B6">
        <w:rPr>
          <w:rFonts w:ascii="Verdana" w:hAnsi="Verdana" w:cs="Arial"/>
          <w:color w:val="000000" w:themeColor="text1"/>
          <w:sz w:val="16"/>
          <w:szCs w:val="16"/>
        </w:rPr>
        <w:t xml:space="preserve">En caso exista algún cambio respecto al nombre o dirección del titular de la patente durante el plazo de vigencia del contrato de licencia, el titular del registro deberá informarlo a la oficina nacional competente. En caso contrario, cualquier notificación realizada conforme a los datos que figuren en el registro, se reputará válida” (Disponible en: </w:t>
      </w:r>
      <w:hyperlink r:id="rId3" w:history="1">
        <w:r w:rsidRPr="009E02B6">
          <w:rPr>
            <w:rStyle w:val="Hipervnculo"/>
            <w:rFonts w:ascii="Verdana" w:hAnsi="Verdana" w:cs="Arial"/>
            <w:color w:val="000000" w:themeColor="text1"/>
            <w:sz w:val="16"/>
            <w:szCs w:val="16"/>
          </w:rPr>
          <w:t>http://www.comunidadandina.org/Normativa.aspx?GruDoc=07</w:t>
        </w:r>
      </w:hyperlink>
      <w:r w:rsidRPr="009E02B6">
        <w:rPr>
          <w:rFonts w:ascii="Verdana" w:hAnsi="Verdana" w:cs="Arial"/>
          <w:color w:val="000000" w:themeColor="text1"/>
          <w:sz w:val="16"/>
          <w:szCs w:val="16"/>
        </w:rPr>
        <w:t>. Consultado el 8 de octubre de 2020).</w:t>
      </w:r>
    </w:p>
  </w:footnote>
  <w:footnote w:id="9">
    <w:p w14:paraId="38CB0FDD" w14:textId="77777777" w:rsidR="00746D08" w:rsidRPr="009E02B6" w:rsidRDefault="00746D08" w:rsidP="00746D08">
      <w:pPr>
        <w:pStyle w:val="Textonotapie"/>
        <w:ind w:firstLine="708"/>
        <w:jc w:val="both"/>
        <w:rPr>
          <w:rFonts w:ascii="Verdana" w:hAnsi="Verdana"/>
          <w:sz w:val="16"/>
          <w:szCs w:val="16"/>
        </w:rPr>
      </w:pPr>
      <w:r w:rsidRPr="009E02B6">
        <w:rPr>
          <w:rStyle w:val="Refdenotaalpie"/>
          <w:rFonts w:ascii="Verdana" w:hAnsi="Verdana"/>
          <w:sz w:val="16"/>
          <w:szCs w:val="16"/>
        </w:rPr>
        <w:footnoteRef/>
      </w:r>
      <w:r w:rsidRPr="009E02B6">
        <w:rPr>
          <w:rFonts w:ascii="Verdana" w:hAnsi="Verdana"/>
          <w:sz w:val="16"/>
          <w:szCs w:val="16"/>
        </w:rPr>
        <w:t xml:space="preserve"> Agencia Nacional de Contratación Pública – Colombia Compra Eficiente.  “</w:t>
      </w:r>
      <w:r w:rsidRPr="009E02B6">
        <w:rPr>
          <w:rFonts w:ascii="Verdana" w:hAnsi="Verdana"/>
          <w:sz w:val="16"/>
          <w:szCs w:val="16"/>
          <w:lang w:val="es-CO"/>
        </w:rPr>
        <w:t>Guía de Propiedad Intelectual en la Contratación Pública</w:t>
      </w:r>
      <w:r w:rsidRPr="009E02B6">
        <w:rPr>
          <w:rFonts w:ascii="Verdana" w:hAnsi="Verdana"/>
          <w:sz w:val="16"/>
          <w:szCs w:val="16"/>
        </w:rPr>
        <w:t xml:space="preserve">”. Se puede consultar en: </w:t>
      </w:r>
      <w:hyperlink r:id="rId4" w:history="1">
        <w:r w:rsidRPr="009E02B6">
          <w:rPr>
            <w:rStyle w:val="Hipervnculo"/>
            <w:rFonts w:ascii="Verdana" w:hAnsi="Verdana"/>
            <w:sz w:val="16"/>
            <w:szCs w:val="16"/>
          </w:rPr>
          <w:t>https://colombiacompra.gov.co/sites/cce_public/files/cce_documents/guia_de_propiedad_intelectual_230818_143837.pdf</w:t>
        </w:r>
      </w:hyperlink>
      <w:r w:rsidRPr="009E02B6">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194183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39"/>
    <w:rsid w:val="00005D9C"/>
    <w:rsid w:val="00011EE6"/>
    <w:rsid w:val="00012844"/>
    <w:rsid w:val="00013221"/>
    <w:rsid w:val="00016356"/>
    <w:rsid w:val="000167E0"/>
    <w:rsid w:val="00016F78"/>
    <w:rsid w:val="000219D2"/>
    <w:rsid w:val="00024023"/>
    <w:rsid w:val="00025605"/>
    <w:rsid w:val="00025F26"/>
    <w:rsid w:val="0003002D"/>
    <w:rsid w:val="00032FD1"/>
    <w:rsid w:val="00035034"/>
    <w:rsid w:val="000418A8"/>
    <w:rsid w:val="00041BB8"/>
    <w:rsid w:val="00046945"/>
    <w:rsid w:val="00047F14"/>
    <w:rsid w:val="00056A50"/>
    <w:rsid w:val="00056CD6"/>
    <w:rsid w:val="00060857"/>
    <w:rsid w:val="00061B2A"/>
    <w:rsid w:val="000714DC"/>
    <w:rsid w:val="00071EDC"/>
    <w:rsid w:val="000741E8"/>
    <w:rsid w:val="0008215A"/>
    <w:rsid w:val="00082362"/>
    <w:rsid w:val="00091BAF"/>
    <w:rsid w:val="00094F9D"/>
    <w:rsid w:val="000A28C1"/>
    <w:rsid w:val="000A3C04"/>
    <w:rsid w:val="000A4C93"/>
    <w:rsid w:val="000A6078"/>
    <w:rsid w:val="000A65A3"/>
    <w:rsid w:val="000A683E"/>
    <w:rsid w:val="000A6FA9"/>
    <w:rsid w:val="000B19B9"/>
    <w:rsid w:val="000B376B"/>
    <w:rsid w:val="000B61A8"/>
    <w:rsid w:val="000C419E"/>
    <w:rsid w:val="000C5D94"/>
    <w:rsid w:val="000C67E3"/>
    <w:rsid w:val="000D0334"/>
    <w:rsid w:val="000D6543"/>
    <w:rsid w:val="000D7580"/>
    <w:rsid w:val="000E072F"/>
    <w:rsid w:val="000E419A"/>
    <w:rsid w:val="000E5036"/>
    <w:rsid w:val="000E7FC8"/>
    <w:rsid w:val="000F1CD8"/>
    <w:rsid w:val="000F5C94"/>
    <w:rsid w:val="000F6486"/>
    <w:rsid w:val="00101A26"/>
    <w:rsid w:val="00102D59"/>
    <w:rsid w:val="001123B3"/>
    <w:rsid w:val="0011371F"/>
    <w:rsid w:val="00113C2F"/>
    <w:rsid w:val="001148D2"/>
    <w:rsid w:val="00116FC3"/>
    <w:rsid w:val="00123F6A"/>
    <w:rsid w:val="001246C3"/>
    <w:rsid w:val="00125105"/>
    <w:rsid w:val="00125A2E"/>
    <w:rsid w:val="00127233"/>
    <w:rsid w:val="00141D4C"/>
    <w:rsid w:val="00145E18"/>
    <w:rsid w:val="001511A0"/>
    <w:rsid w:val="00151772"/>
    <w:rsid w:val="0015388E"/>
    <w:rsid w:val="00160E78"/>
    <w:rsid w:val="00167D6C"/>
    <w:rsid w:val="00173644"/>
    <w:rsid w:val="00174E56"/>
    <w:rsid w:val="00176759"/>
    <w:rsid w:val="001804C9"/>
    <w:rsid w:val="00182853"/>
    <w:rsid w:val="00184C6E"/>
    <w:rsid w:val="00187BB5"/>
    <w:rsid w:val="00193326"/>
    <w:rsid w:val="00193509"/>
    <w:rsid w:val="00196B8E"/>
    <w:rsid w:val="001A677F"/>
    <w:rsid w:val="001A7CF2"/>
    <w:rsid w:val="001B0E09"/>
    <w:rsid w:val="001B1D95"/>
    <w:rsid w:val="001B24ED"/>
    <w:rsid w:val="001B69D2"/>
    <w:rsid w:val="001C0476"/>
    <w:rsid w:val="001C1DEC"/>
    <w:rsid w:val="001C5018"/>
    <w:rsid w:val="001D2A35"/>
    <w:rsid w:val="001E02EA"/>
    <w:rsid w:val="001E2EBA"/>
    <w:rsid w:val="001E4177"/>
    <w:rsid w:val="001F41AD"/>
    <w:rsid w:val="001F5C82"/>
    <w:rsid w:val="001F7DC6"/>
    <w:rsid w:val="00200788"/>
    <w:rsid w:val="00200DEE"/>
    <w:rsid w:val="00207CF6"/>
    <w:rsid w:val="002106CA"/>
    <w:rsid w:val="0021137E"/>
    <w:rsid w:val="00214112"/>
    <w:rsid w:val="00215704"/>
    <w:rsid w:val="002168E4"/>
    <w:rsid w:val="0022066A"/>
    <w:rsid w:val="0022718C"/>
    <w:rsid w:val="00231B1B"/>
    <w:rsid w:val="0024017D"/>
    <w:rsid w:val="00241AEB"/>
    <w:rsid w:val="002421BB"/>
    <w:rsid w:val="0025106C"/>
    <w:rsid w:val="0025796E"/>
    <w:rsid w:val="00260097"/>
    <w:rsid w:val="00265775"/>
    <w:rsid w:val="002707A2"/>
    <w:rsid w:val="002722E3"/>
    <w:rsid w:val="0028183F"/>
    <w:rsid w:val="002830E2"/>
    <w:rsid w:val="00285E6B"/>
    <w:rsid w:val="0029365C"/>
    <w:rsid w:val="002951A0"/>
    <w:rsid w:val="002962BC"/>
    <w:rsid w:val="00296786"/>
    <w:rsid w:val="002A093D"/>
    <w:rsid w:val="002A0DD0"/>
    <w:rsid w:val="002A19B3"/>
    <w:rsid w:val="002A19CB"/>
    <w:rsid w:val="002A49AC"/>
    <w:rsid w:val="002A64FD"/>
    <w:rsid w:val="002A6964"/>
    <w:rsid w:val="002B1136"/>
    <w:rsid w:val="002B6CE8"/>
    <w:rsid w:val="002C2A88"/>
    <w:rsid w:val="002C3334"/>
    <w:rsid w:val="002C6B47"/>
    <w:rsid w:val="002C7A84"/>
    <w:rsid w:val="002D0D6C"/>
    <w:rsid w:val="002D5AA4"/>
    <w:rsid w:val="002D7321"/>
    <w:rsid w:val="002E0478"/>
    <w:rsid w:val="002E32AB"/>
    <w:rsid w:val="002E4FD9"/>
    <w:rsid w:val="002E7EE6"/>
    <w:rsid w:val="002F5607"/>
    <w:rsid w:val="002F7B79"/>
    <w:rsid w:val="0030676B"/>
    <w:rsid w:val="00313CC3"/>
    <w:rsid w:val="003151B5"/>
    <w:rsid w:val="003165B4"/>
    <w:rsid w:val="0031745A"/>
    <w:rsid w:val="00322A85"/>
    <w:rsid w:val="00324168"/>
    <w:rsid w:val="00326C01"/>
    <w:rsid w:val="003339F8"/>
    <w:rsid w:val="00335A2E"/>
    <w:rsid w:val="00342010"/>
    <w:rsid w:val="0034482B"/>
    <w:rsid w:val="003448F4"/>
    <w:rsid w:val="00347A19"/>
    <w:rsid w:val="00350909"/>
    <w:rsid w:val="00355591"/>
    <w:rsid w:val="00355974"/>
    <w:rsid w:val="00356850"/>
    <w:rsid w:val="00360387"/>
    <w:rsid w:val="00363D04"/>
    <w:rsid w:val="00374F5E"/>
    <w:rsid w:val="003778F6"/>
    <w:rsid w:val="00377E3E"/>
    <w:rsid w:val="0038136D"/>
    <w:rsid w:val="003855C1"/>
    <w:rsid w:val="003857C5"/>
    <w:rsid w:val="003858B7"/>
    <w:rsid w:val="00390C6F"/>
    <w:rsid w:val="00391B87"/>
    <w:rsid w:val="00392E7C"/>
    <w:rsid w:val="00394983"/>
    <w:rsid w:val="003A0721"/>
    <w:rsid w:val="003A0B0A"/>
    <w:rsid w:val="003A1E24"/>
    <w:rsid w:val="003A2533"/>
    <w:rsid w:val="003A5D30"/>
    <w:rsid w:val="003A779E"/>
    <w:rsid w:val="003B77B5"/>
    <w:rsid w:val="003C0166"/>
    <w:rsid w:val="003C1D89"/>
    <w:rsid w:val="003C7321"/>
    <w:rsid w:val="003D0F4D"/>
    <w:rsid w:val="003D15EB"/>
    <w:rsid w:val="003D1A3E"/>
    <w:rsid w:val="003D4668"/>
    <w:rsid w:val="003D5B0D"/>
    <w:rsid w:val="003E0499"/>
    <w:rsid w:val="003E66D5"/>
    <w:rsid w:val="003F3941"/>
    <w:rsid w:val="003F6257"/>
    <w:rsid w:val="003F738C"/>
    <w:rsid w:val="003F7961"/>
    <w:rsid w:val="00406575"/>
    <w:rsid w:val="00407A6A"/>
    <w:rsid w:val="00407F3F"/>
    <w:rsid w:val="004125D1"/>
    <w:rsid w:val="00414C33"/>
    <w:rsid w:val="00414C74"/>
    <w:rsid w:val="004210DA"/>
    <w:rsid w:val="0042722E"/>
    <w:rsid w:val="00433CCF"/>
    <w:rsid w:val="00442F61"/>
    <w:rsid w:val="0044528D"/>
    <w:rsid w:val="00445BFD"/>
    <w:rsid w:val="00456C00"/>
    <w:rsid w:val="00466ECF"/>
    <w:rsid w:val="004700A8"/>
    <w:rsid w:val="004831B0"/>
    <w:rsid w:val="00484578"/>
    <w:rsid w:val="00484921"/>
    <w:rsid w:val="00487834"/>
    <w:rsid w:val="0048798D"/>
    <w:rsid w:val="0049015C"/>
    <w:rsid w:val="00495C26"/>
    <w:rsid w:val="004A1847"/>
    <w:rsid w:val="004A305D"/>
    <w:rsid w:val="004A3150"/>
    <w:rsid w:val="004A75F1"/>
    <w:rsid w:val="004B21D2"/>
    <w:rsid w:val="004B237D"/>
    <w:rsid w:val="004B418D"/>
    <w:rsid w:val="004B7931"/>
    <w:rsid w:val="004C3018"/>
    <w:rsid w:val="004D0B1B"/>
    <w:rsid w:val="004D1533"/>
    <w:rsid w:val="004D340E"/>
    <w:rsid w:val="004D56CA"/>
    <w:rsid w:val="004E4D0B"/>
    <w:rsid w:val="004E518F"/>
    <w:rsid w:val="004E599B"/>
    <w:rsid w:val="004F21C4"/>
    <w:rsid w:val="004F2D47"/>
    <w:rsid w:val="004F685F"/>
    <w:rsid w:val="00507269"/>
    <w:rsid w:val="005079C1"/>
    <w:rsid w:val="00507DD1"/>
    <w:rsid w:val="005234AA"/>
    <w:rsid w:val="00527CC8"/>
    <w:rsid w:val="0053085D"/>
    <w:rsid w:val="00530CD2"/>
    <w:rsid w:val="0053786D"/>
    <w:rsid w:val="00541CFA"/>
    <w:rsid w:val="005420EC"/>
    <w:rsid w:val="0054270B"/>
    <w:rsid w:val="00547A0E"/>
    <w:rsid w:val="00552F48"/>
    <w:rsid w:val="005566E8"/>
    <w:rsid w:val="0055756B"/>
    <w:rsid w:val="00561CA7"/>
    <w:rsid w:val="00564B06"/>
    <w:rsid w:val="00566E78"/>
    <w:rsid w:val="00570EEF"/>
    <w:rsid w:val="0057193B"/>
    <w:rsid w:val="00573707"/>
    <w:rsid w:val="00574183"/>
    <w:rsid w:val="00574867"/>
    <w:rsid w:val="00584FFF"/>
    <w:rsid w:val="00591460"/>
    <w:rsid w:val="00592A39"/>
    <w:rsid w:val="005930B3"/>
    <w:rsid w:val="00593A10"/>
    <w:rsid w:val="005968AB"/>
    <w:rsid w:val="005A1A34"/>
    <w:rsid w:val="005A53C8"/>
    <w:rsid w:val="005A6EF6"/>
    <w:rsid w:val="005B3816"/>
    <w:rsid w:val="005C3777"/>
    <w:rsid w:val="005C5CDC"/>
    <w:rsid w:val="005D3AE1"/>
    <w:rsid w:val="005D476C"/>
    <w:rsid w:val="005E1D3B"/>
    <w:rsid w:val="005E55E3"/>
    <w:rsid w:val="005E7844"/>
    <w:rsid w:val="005F4DCA"/>
    <w:rsid w:val="00602BD9"/>
    <w:rsid w:val="00604D21"/>
    <w:rsid w:val="00604DE0"/>
    <w:rsid w:val="00610E43"/>
    <w:rsid w:val="006219F8"/>
    <w:rsid w:val="00627F64"/>
    <w:rsid w:val="006361E1"/>
    <w:rsid w:val="00636869"/>
    <w:rsid w:val="006372B5"/>
    <w:rsid w:val="0064083A"/>
    <w:rsid w:val="006503B2"/>
    <w:rsid w:val="0065067D"/>
    <w:rsid w:val="00657635"/>
    <w:rsid w:val="00660B6B"/>
    <w:rsid w:val="00660C2B"/>
    <w:rsid w:val="006643DA"/>
    <w:rsid w:val="00665D70"/>
    <w:rsid w:val="00665F97"/>
    <w:rsid w:val="00672367"/>
    <w:rsid w:val="006729AA"/>
    <w:rsid w:val="00673107"/>
    <w:rsid w:val="0068755A"/>
    <w:rsid w:val="006900D9"/>
    <w:rsid w:val="00693173"/>
    <w:rsid w:val="006A009E"/>
    <w:rsid w:val="006A4A0F"/>
    <w:rsid w:val="006A7FBE"/>
    <w:rsid w:val="006B6984"/>
    <w:rsid w:val="006C174D"/>
    <w:rsid w:val="006C44EC"/>
    <w:rsid w:val="006C5912"/>
    <w:rsid w:val="006C63D5"/>
    <w:rsid w:val="006D40D2"/>
    <w:rsid w:val="006D48AB"/>
    <w:rsid w:val="006D54A8"/>
    <w:rsid w:val="006D6344"/>
    <w:rsid w:val="006D6377"/>
    <w:rsid w:val="006D6953"/>
    <w:rsid w:val="006D7EE0"/>
    <w:rsid w:val="006E0C24"/>
    <w:rsid w:val="006E3B1E"/>
    <w:rsid w:val="006E3BD9"/>
    <w:rsid w:val="006E5FC0"/>
    <w:rsid w:val="006E79DA"/>
    <w:rsid w:val="006F2045"/>
    <w:rsid w:val="007017BD"/>
    <w:rsid w:val="0070466F"/>
    <w:rsid w:val="00706C16"/>
    <w:rsid w:val="00707368"/>
    <w:rsid w:val="00711381"/>
    <w:rsid w:val="007168F1"/>
    <w:rsid w:val="00717F8E"/>
    <w:rsid w:val="00720FAF"/>
    <w:rsid w:val="0072131C"/>
    <w:rsid w:val="007253F2"/>
    <w:rsid w:val="00726510"/>
    <w:rsid w:val="007329A8"/>
    <w:rsid w:val="007329D4"/>
    <w:rsid w:val="00737597"/>
    <w:rsid w:val="00737D94"/>
    <w:rsid w:val="00743680"/>
    <w:rsid w:val="00743778"/>
    <w:rsid w:val="00746055"/>
    <w:rsid w:val="00746473"/>
    <w:rsid w:val="00746D08"/>
    <w:rsid w:val="00746D25"/>
    <w:rsid w:val="0075229F"/>
    <w:rsid w:val="00752F56"/>
    <w:rsid w:val="0075578B"/>
    <w:rsid w:val="007559F1"/>
    <w:rsid w:val="00756841"/>
    <w:rsid w:val="00756967"/>
    <w:rsid w:val="00761466"/>
    <w:rsid w:val="00761FC1"/>
    <w:rsid w:val="0076474D"/>
    <w:rsid w:val="007649AB"/>
    <w:rsid w:val="007718BB"/>
    <w:rsid w:val="00771D0C"/>
    <w:rsid w:val="00773684"/>
    <w:rsid w:val="00773726"/>
    <w:rsid w:val="0078052E"/>
    <w:rsid w:val="007820EE"/>
    <w:rsid w:val="0078289E"/>
    <w:rsid w:val="007833AC"/>
    <w:rsid w:val="00783956"/>
    <w:rsid w:val="007923F0"/>
    <w:rsid w:val="00792BD9"/>
    <w:rsid w:val="00797E3A"/>
    <w:rsid w:val="007A09DC"/>
    <w:rsid w:val="007B268C"/>
    <w:rsid w:val="007B7171"/>
    <w:rsid w:val="007C0C0F"/>
    <w:rsid w:val="007C3DC2"/>
    <w:rsid w:val="007C5DAA"/>
    <w:rsid w:val="007C7A47"/>
    <w:rsid w:val="007D06DB"/>
    <w:rsid w:val="007D0C28"/>
    <w:rsid w:val="007D2592"/>
    <w:rsid w:val="007D272C"/>
    <w:rsid w:val="007E5497"/>
    <w:rsid w:val="007F150E"/>
    <w:rsid w:val="007F4039"/>
    <w:rsid w:val="00803291"/>
    <w:rsid w:val="00804A00"/>
    <w:rsid w:val="00806F5F"/>
    <w:rsid w:val="00807084"/>
    <w:rsid w:val="00810146"/>
    <w:rsid w:val="008160B3"/>
    <w:rsid w:val="00816BE0"/>
    <w:rsid w:val="00817823"/>
    <w:rsid w:val="00820278"/>
    <w:rsid w:val="00820A09"/>
    <w:rsid w:val="00823C61"/>
    <w:rsid w:val="00824D64"/>
    <w:rsid w:val="008269E0"/>
    <w:rsid w:val="00832D55"/>
    <w:rsid w:val="00835BEF"/>
    <w:rsid w:val="00840A2F"/>
    <w:rsid w:val="00840CC9"/>
    <w:rsid w:val="00841858"/>
    <w:rsid w:val="008466A7"/>
    <w:rsid w:val="00847DAF"/>
    <w:rsid w:val="00853ABF"/>
    <w:rsid w:val="008549C2"/>
    <w:rsid w:val="00854A68"/>
    <w:rsid w:val="00855674"/>
    <w:rsid w:val="00857981"/>
    <w:rsid w:val="0086277B"/>
    <w:rsid w:val="008652F3"/>
    <w:rsid w:val="0086692F"/>
    <w:rsid w:val="00867EB4"/>
    <w:rsid w:val="00867F95"/>
    <w:rsid w:val="00880FC5"/>
    <w:rsid w:val="008843B6"/>
    <w:rsid w:val="00891928"/>
    <w:rsid w:val="00896DCA"/>
    <w:rsid w:val="008A446D"/>
    <w:rsid w:val="008A5C60"/>
    <w:rsid w:val="008A5CDF"/>
    <w:rsid w:val="008B1EBC"/>
    <w:rsid w:val="008B5027"/>
    <w:rsid w:val="008B52E1"/>
    <w:rsid w:val="008D0529"/>
    <w:rsid w:val="008D180B"/>
    <w:rsid w:val="008D1C52"/>
    <w:rsid w:val="008D758C"/>
    <w:rsid w:val="008E27F9"/>
    <w:rsid w:val="008E55F0"/>
    <w:rsid w:val="008F0EA7"/>
    <w:rsid w:val="008F5240"/>
    <w:rsid w:val="008F57D1"/>
    <w:rsid w:val="008F6BCD"/>
    <w:rsid w:val="00901DE3"/>
    <w:rsid w:val="00903E59"/>
    <w:rsid w:val="009057D2"/>
    <w:rsid w:val="00910560"/>
    <w:rsid w:val="00923EEF"/>
    <w:rsid w:val="00931121"/>
    <w:rsid w:val="00933A01"/>
    <w:rsid w:val="00934D93"/>
    <w:rsid w:val="009415F6"/>
    <w:rsid w:val="009419F9"/>
    <w:rsid w:val="00952B10"/>
    <w:rsid w:val="0095685E"/>
    <w:rsid w:val="00961B09"/>
    <w:rsid w:val="00965334"/>
    <w:rsid w:val="0097093E"/>
    <w:rsid w:val="009744FA"/>
    <w:rsid w:val="00985121"/>
    <w:rsid w:val="00986AC5"/>
    <w:rsid w:val="00997146"/>
    <w:rsid w:val="0099726E"/>
    <w:rsid w:val="009A0DFA"/>
    <w:rsid w:val="009A5105"/>
    <w:rsid w:val="009A73E9"/>
    <w:rsid w:val="009B2D26"/>
    <w:rsid w:val="009B3AAD"/>
    <w:rsid w:val="009C71FA"/>
    <w:rsid w:val="009C72E7"/>
    <w:rsid w:val="009D3058"/>
    <w:rsid w:val="009D4ABA"/>
    <w:rsid w:val="009D666D"/>
    <w:rsid w:val="009E02B6"/>
    <w:rsid w:val="009E1278"/>
    <w:rsid w:val="009E5A20"/>
    <w:rsid w:val="009E6386"/>
    <w:rsid w:val="009E7A76"/>
    <w:rsid w:val="009F3A13"/>
    <w:rsid w:val="00A056F0"/>
    <w:rsid w:val="00A122D3"/>
    <w:rsid w:val="00A15B25"/>
    <w:rsid w:val="00A17F13"/>
    <w:rsid w:val="00A20739"/>
    <w:rsid w:val="00A24018"/>
    <w:rsid w:val="00A24624"/>
    <w:rsid w:val="00A25EC7"/>
    <w:rsid w:val="00A3311D"/>
    <w:rsid w:val="00A33C78"/>
    <w:rsid w:val="00A4180B"/>
    <w:rsid w:val="00A5192D"/>
    <w:rsid w:val="00A656A8"/>
    <w:rsid w:val="00A737B3"/>
    <w:rsid w:val="00A73A19"/>
    <w:rsid w:val="00A74E45"/>
    <w:rsid w:val="00A8121D"/>
    <w:rsid w:val="00A81D2B"/>
    <w:rsid w:val="00A8524C"/>
    <w:rsid w:val="00A85B8D"/>
    <w:rsid w:val="00A87F35"/>
    <w:rsid w:val="00A92639"/>
    <w:rsid w:val="00A93A59"/>
    <w:rsid w:val="00A95AE3"/>
    <w:rsid w:val="00AA0F31"/>
    <w:rsid w:val="00AA34AA"/>
    <w:rsid w:val="00AA36A5"/>
    <w:rsid w:val="00AB0ADB"/>
    <w:rsid w:val="00AB1158"/>
    <w:rsid w:val="00AB2D7D"/>
    <w:rsid w:val="00AB658F"/>
    <w:rsid w:val="00AB6DCE"/>
    <w:rsid w:val="00AD238A"/>
    <w:rsid w:val="00AD5C9E"/>
    <w:rsid w:val="00AD6025"/>
    <w:rsid w:val="00AD6771"/>
    <w:rsid w:val="00AE53C2"/>
    <w:rsid w:val="00AE5D3A"/>
    <w:rsid w:val="00B01049"/>
    <w:rsid w:val="00B01B1A"/>
    <w:rsid w:val="00B01BDE"/>
    <w:rsid w:val="00B03F1F"/>
    <w:rsid w:val="00B05B94"/>
    <w:rsid w:val="00B06708"/>
    <w:rsid w:val="00B076AE"/>
    <w:rsid w:val="00B11AE0"/>
    <w:rsid w:val="00B125D3"/>
    <w:rsid w:val="00B135F5"/>
    <w:rsid w:val="00B13C50"/>
    <w:rsid w:val="00B15EDC"/>
    <w:rsid w:val="00B20FD9"/>
    <w:rsid w:val="00B24079"/>
    <w:rsid w:val="00B25385"/>
    <w:rsid w:val="00B26497"/>
    <w:rsid w:val="00B3254C"/>
    <w:rsid w:val="00B4184D"/>
    <w:rsid w:val="00B50976"/>
    <w:rsid w:val="00B614A0"/>
    <w:rsid w:val="00B6496B"/>
    <w:rsid w:val="00B66319"/>
    <w:rsid w:val="00B708CE"/>
    <w:rsid w:val="00B72CD3"/>
    <w:rsid w:val="00B72FFF"/>
    <w:rsid w:val="00B82211"/>
    <w:rsid w:val="00B82DF7"/>
    <w:rsid w:val="00B90126"/>
    <w:rsid w:val="00B94312"/>
    <w:rsid w:val="00B950FC"/>
    <w:rsid w:val="00B9759F"/>
    <w:rsid w:val="00BA61CF"/>
    <w:rsid w:val="00BA77FE"/>
    <w:rsid w:val="00BB3468"/>
    <w:rsid w:val="00BB3AFB"/>
    <w:rsid w:val="00BC3D36"/>
    <w:rsid w:val="00BC5B46"/>
    <w:rsid w:val="00BC679A"/>
    <w:rsid w:val="00BD0B02"/>
    <w:rsid w:val="00BD4E8E"/>
    <w:rsid w:val="00BD7F72"/>
    <w:rsid w:val="00BE012A"/>
    <w:rsid w:val="00BE1DFC"/>
    <w:rsid w:val="00BE5437"/>
    <w:rsid w:val="00BE795A"/>
    <w:rsid w:val="00BF18AA"/>
    <w:rsid w:val="00BF353C"/>
    <w:rsid w:val="00BF6CFF"/>
    <w:rsid w:val="00BF7993"/>
    <w:rsid w:val="00C0085E"/>
    <w:rsid w:val="00C04FB3"/>
    <w:rsid w:val="00C06968"/>
    <w:rsid w:val="00C1769F"/>
    <w:rsid w:val="00C20424"/>
    <w:rsid w:val="00C27423"/>
    <w:rsid w:val="00C330EB"/>
    <w:rsid w:val="00C348CA"/>
    <w:rsid w:val="00C35D2A"/>
    <w:rsid w:val="00C37662"/>
    <w:rsid w:val="00C41061"/>
    <w:rsid w:val="00C41F3B"/>
    <w:rsid w:val="00C462DC"/>
    <w:rsid w:val="00C52C2E"/>
    <w:rsid w:val="00C5752E"/>
    <w:rsid w:val="00C64056"/>
    <w:rsid w:val="00C666AE"/>
    <w:rsid w:val="00C71313"/>
    <w:rsid w:val="00C754BE"/>
    <w:rsid w:val="00C76B1C"/>
    <w:rsid w:val="00C81E53"/>
    <w:rsid w:val="00C8681D"/>
    <w:rsid w:val="00C90411"/>
    <w:rsid w:val="00C90949"/>
    <w:rsid w:val="00C938B6"/>
    <w:rsid w:val="00C93C36"/>
    <w:rsid w:val="00C94107"/>
    <w:rsid w:val="00CA4D97"/>
    <w:rsid w:val="00CB03EC"/>
    <w:rsid w:val="00CB265B"/>
    <w:rsid w:val="00CB5E49"/>
    <w:rsid w:val="00CB6357"/>
    <w:rsid w:val="00CB66FD"/>
    <w:rsid w:val="00CC10C0"/>
    <w:rsid w:val="00CC1B26"/>
    <w:rsid w:val="00CC7430"/>
    <w:rsid w:val="00CC7F39"/>
    <w:rsid w:val="00CD03B2"/>
    <w:rsid w:val="00CE31E3"/>
    <w:rsid w:val="00CE4DD9"/>
    <w:rsid w:val="00CE52A0"/>
    <w:rsid w:val="00CF1486"/>
    <w:rsid w:val="00CF24E4"/>
    <w:rsid w:val="00CF2767"/>
    <w:rsid w:val="00CF5C7C"/>
    <w:rsid w:val="00CF62BB"/>
    <w:rsid w:val="00D05DEC"/>
    <w:rsid w:val="00D115C9"/>
    <w:rsid w:val="00D12813"/>
    <w:rsid w:val="00D1283E"/>
    <w:rsid w:val="00D17A31"/>
    <w:rsid w:val="00D20894"/>
    <w:rsid w:val="00D21C32"/>
    <w:rsid w:val="00D23FE5"/>
    <w:rsid w:val="00D25E37"/>
    <w:rsid w:val="00D3496C"/>
    <w:rsid w:val="00D34D20"/>
    <w:rsid w:val="00D35FBD"/>
    <w:rsid w:val="00D423A2"/>
    <w:rsid w:val="00D44AC4"/>
    <w:rsid w:val="00D45F4C"/>
    <w:rsid w:val="00D477AD"/>
    <w:rsid w:val="00D51944"/>
    <w:rsid w:val="00D520D8"/>
    <w:rsid w:val="00D52237"/>
    <w:rsid w:val="00D53A22"/>
    <w:rsid w:val="00D5525C"/>
    <w:rsid w:val="00D6036E"/>
    <w:rsid w:val="00D61C90"/>
    <w:rsid w:val="00D627B7"/>
    <w:rsid w:val="00D636D5"/>
    <w:rsid w:val="00D63AC2"/>
    <w:rsid w:val="00D676F4"/>
    <w:rsid w:val="00D67C3F"/>
    <w:rsid w:val="00D712A5"/>
    <w:rsid w:val="00D7383B"/>
    <w:rsid w:val="00D74C25"/>
    <w:rsid w:val="00D75B1B"/>
    <w:rsid w:val="00D81A91"/>
    <w:rsid w:val="00D81FD7"/>
    <w:rsid w:val="00DA231B"/>
    <w:rsid w:val="00DA4911"/>
    <w:rsid w:val="00DA5E48"/>
    <w:rsid w:val="00DC0698"/>
    <w:rsid w:val="00DC0E2B"/>
    <w:rsid w:val="00DC1482"/>
    <w:rsid w:val="00DC39FC"/>
    <w:rsid w:val="00DD084F"/>
    <w:rsid w:val="00DE28C8"/>
    <w:rsid w:val="00DE5E77"/>
    <w:rsid w:val="00DF5254"/>
    <w:rsid w:val="00DF78F0"/>
    <w:rsid w:val="00E02B1F"/>
    <w:rsid w:val="00E031B3"/>
    <w:rsid w:val="00E038B3"/>
    <w:rsid w:val="00E05BE6"/>
    <w:rsid w:val="00E06EF9"/>
    <w:rsid w:val="00E06F09"/>
    <w:rsid w:val="00E11DB1"/>
    <w:rsid w:val="00E148A0"/>
    <w:rsid w:val="00E14C34"/>
    <w:rsid w:val="00E16408"/>
    <w:rsid w:val="00E17C50"/>
    <w:rsid w:val="00E20894"/>
    <w:rsid w:val="00E208D8"/>
    <w:rsid w:val="00E245AB"/>
    <w:rsid w:val="00E2764C"/>
    <w:rsid w:val="00E27F2E"/>
    <w:rsid w:val="00E3251E"/>
    <w:rsid w:val="00E37DEA"/>
    <w:rsid w:val="00E41138"/>
    <w:rsid w:val="00E4739C"/>
    <w:rsid w:val="00E50AFE"/>
    <w:rsid w:val="00E555C4"/>
    <w:rsid w:val="00E62051"/>
    <w:rsid w:val="00E62685"/>
    <w:rsid w:val="00E65021"/>
    <w:rsid w:val="00E70802"/>
    <w:rsid w:val="00E75C92"/>
    <w:rsid w:val="00E771DC"/>
    <w:rsid w:val="00E77BE8"/>
    <w:rsid w:val="00E8269A"/>
    <w:rsid w:val="00E83EFA"/>
    <w:rsid w:val="00E843DE"/>
    <w:rsid w:val="00E871AC"/>
    <w:rsid w:val="00E8772A"/>
    <w:rsid w:val="00E9066C"/>
    <w:rsid w:val="00E907FD"/>
    <w:rsid w:val="00E90F6B"/>
    <w:rsid w:val="00E92C27"/>
    <w:rsid w:val="00E97198"/>
    <w:rsid w:val="00EA0107"/>
    <w:rsid w:val="00EA0E3D"/>
    <w:rsid w:val="00EA5C1D"/>
    <w:rsid w:val="00EA7211"/>
    <w:rsid w:val="00EB0F2A"/>
    <w:rsid w:val="00EC076B"/>
    <w:rsid w:val="00EC38A7"/>
    <w:rsid w:val="00EC5FF4"/>
    <w:rsid w:val="00ED38B6"/>
    <w:rsid w:val="00ED3B2C"/>
    <w:rsid w:val="00ED3C60"/>
    <w:rsid w:val="00ED7384"/>
    <w:rsid w:val="00EE103C"/>
    <w:rsid w:val="00EE1AA8"/>
    <w:rsid w:val="00EE35FA"/>
    <w:rsid w:val="00EF0293"/>
    <w:rsid w:val="00EF4234"/>
    <w:rsid w:val="00F020E1"/>
    <w:rsid w:val="00F025C4"/>
    <w:rsid w:val="00F0483A"/>
    <w:rsid w:val="00F10890"/>
    <w:rsid w:val="00F11E9D"/>
    <w:rsid w:val="00F14476"/>
    <w:rsid w:val="00F14AA7"/>
    <w:rsid w:val="00F156FE"/>
    <w:rsid w:val="00F23067"/>
    <w:rsid w:val="00F25777"/>
    <w:rsid w:val="00F31776"/>
    <w:rsid w:val="00F31EDC"/>
    <w:rsid w:val="00F40311"/>
    <w:rsid w:val="00F44D4F"/>
    <w:rsid w:val="00F462B3"/>
    <w:rsid w:val="00F516DE"/>
    <w:rsid w:val="00F525FA"/>
    <w:rsid w:val="00F5664F"/>
    <w:rsid w:val="00F6533E"/>
    <w:rsid w:val="00F666C4"/>
    <w:rsid w:val="00F66AFB"/>
    <w:rsid w:val="00F72E78"/>
    <w:rsid w:val="00F7496D"/>
    <w:rsid w:val="00F76AFC"/>
    <w:rsid w:val="00F86632"/>
    <w:rsid w:val="00F87530"/>
    <w:rsid w:val="00F920CD"/>
    <w:rsid w:val="00F94004"/>
    <w:rsid w:val="00FA3260"/>
    <w:rsid w:val="00FA3AC4"/>
    <w:rsid w:val="00FA47C0"/>
    <w:rsid w:val="00FB11A6"/>
    <w:rsid w:val="00FB464D"/>
    <w:rsid w:val="00FB5DD1"/>
    <w:rsid w:val="00FC2B5D"/>
    <w:rsid w:val="00FC3922"/>
    <w:rsid w:val="00FC49B6"/>
    <w:rsid w:val="00FC65BC"/>
    <w:rsid w:val="00FC74A2"/>
    <w:rsid w:val="00FD5799"/>
    <w:rsid w:val="00FD5BAB"/>
    <w:rsid w:val="00FE42B9"/>
    <w:rsid w:val="00FF1449"/>
    <w:rsid w:val="00FF5A0A"/>
    <w:rsid w:val="2DA72D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27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E638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E6386"/>
    <w:rPr>
      <w:rFonts w:ascii="Geomanist Light" w:hAnsi="Geomanist Light"/>
      <w:lang w:val="es-ES"/>
    </w:rPr>
  </w:style>
  <w:style w:type="character" w:customStyle="1" w:styleId="NormalWebCar">
    <w:name w:val="Normal (Web) Car"/>
    <w:link w:val="NormalWeb"/>
    <w:uiPriority w:val="99"/>
    <w:locked/>
    <w:rsid w:val="009E6386"/>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0A6078"/>
    <w:pPr>
      <w:spacing w:after="0" w:line="240" w:lineRule="auto"/>
    </w:pPr>
    <w:rPr>
      <w:sz w:val="20"/>
      <w:szCs w:val="20"/>
      <w:lang w:val="es-MX"/>
    </w:rPr>
  </w:style>
  <w:style w:type="paragraph" w:styleId="Textoindependiente">
    <w:name w:val="Body Text"/>
    <w:basedOn w:val="Normal"/>
    <w:link w:val="TextoindependienteCar"/>
    <w:uiPriority w:val="1"/>
    <w:qFormat/>
    <w:rsid w:val="00056C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56CD6"/>
    <w:rPr>
      <w:rFonts w:ascii="Verdana" w:eastAsia="Verdana" w:hAnsi="Verdana" w:cs="Verdana"/>
      <w:lang w:val="es-ES"/>
    </w:rPr>
  </w:style>
  <w:style w:type="table" w:customStyle="1" w:styleId="Tablaconcuadrcula1">
    <w:name w:val="Tabla con cuadrícula1"/>
    <w:basedOn w:val="Tablanormal"/>
    <w:next w:val="Tablaconcuadrcula"/>
    <w:uiPriority w:val="39"/>
    <w:qFormat/>
    <w:rsid w:val="009A5105"/>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eicp-ma-04._manual_requisitos_habilitantes_v3_29-09-2023.pdf"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UANC.BLANCO@YUNEXTRAFFIC.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lombiacompra.gov.co/sites/cce_public/files/cce_documents/guia_de_propiedad_intelectual_230818_143837.pdf"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comunidadandina.org/Normativa.aspx?GruDoc=07" TargetMode="External"/><Relationship Id="rId2" Type="http://schemas.openxmlformats.org/officeDocument/2006/relationships/hyperlink" Target="https://www.sic.gov.co/patentes" TargetMode="External"/><Relationship Id="rId1" Type="http://schemas.openxmlformats.org/officeDocument/2006/relationships/hyperlink" Target="https://colombiacompra.gov.co/sites/cce_public/files/cce_documents/cce-eicp-ma-04._manual_requisitos_habilitantes_v3_29-09-2023.pdf" TargetMode="External"/><Relationship Id="rId4" Type="http://schemas.openxmlformats.org/officeDocument/2006/relationships/hyperlink" Target="https://colombiacompra.gov.co/sites/cce_public/files/cce_documents/guia_de_propiedad_intelectual_230818_143837.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6FE500-C561-4050-9F76-E2B836D35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2CEB0E2-40B9-9F46-8507-DF12AE4D2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19</Pages>
  <Words>6146</Words>
  <Characters>34362</Characters>
  <Application>Microsoft Office Word</Application>
  <DocSecurity>0</DocSecurity>
  <Lines>687</Lines>
  <Paragraphs>135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14</cp:revision>
  <cp:lastPrinted>2023-01-10T21:18:00Z</cp:lastPrinted>
  <dcterms:created xsi:type="dcterms:W3CDTF">2025-12-18T02:27:00Z</dcterms:created>
  <dcterms:modified xsi:type="dcterms:W3CDTF">2025-12-18T17:14:00Z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