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49971" w14:textId="77777777" w:rsidR="00592BE1" w:rsidRDefault="00592BE1" w:rsidP="00592BE1">
      <w:pPr>
        <w:spacing w:after="0" w:line="240" w:lineRule="auto"/>
        <w:contextualSpacing/>
        <w:jc w:val="both"/>
        <w:rPr>
          <w:rFonts w:ascii="Verdana" w:eastAsia="Calibri" w:hAnsi="Verdana" w:cs="Arial"/>
          <w:b/>
          <w:lang w:val="es-MX" w:eastAsia="es-MX"/>
        </w:rPr>
      </w:pPr>
      <w:bookmarkStart w:id="0" w:name="_Hlk143780582"/>
      <w:r w:rsidRPr="00904AD4">
        <w:rPr>
          <w:rFonts w:ascii="Verdana" w:eastAsia="Calibri" w:hAnsi="Verdana" w:cs="Arial"/>
          <w:b/>
          <w:lang w:val="es-MX" w:eastAsia="es-MX"/>
        </w:rPr>
        <w:t xml:space="preserve">LEY DE GARANTÍAS ELECTORALES – Naturaleza Jurídica </w:t>
      </w:r>
    </w:p>
    <w:p w14:paraId="405F67B5" w14:textId="77777777" w:rsidR="00592BE1" w:rsidRDefault="00592BE1" w:rsidP="00592BE1">
      <w:pPr>
        <w:spacing w:after="0" w:line="240" w:lineRule="auto"/>
        <w:contextualSpacing/>
        <w:jc w:val="both"/>
        <w:rPr>
          <w:rFonts w:ascii="Verdana" w:eastAsia="Calibri" w:hAnsi="Verdana" w:cs="Arial"/>
          <w:b/>
          <w:lang w:val="es-MX" w:eastAsia="es-MX"/>
        </w:rPr>
      </w:pPr>
    </w:p>
    <w:p w14:paraId="271A548F" w14:textId="77777777" w:rsidR="00592BE1" w:rsidRPr="005C0AEA" w:rsidRDefault="00592BE1" w:rsidP="00592BE1">
      <w:pPr>
        <w:spacing w:after="0" w:line="240" w:lineRule="auto"/>
        <w:contextualSpacing/>
        <w:jc w:val="both"/>
        <w:rPr>
          <w:rFonts w:ascii="Verdana" w:eastAsia="Calibri" w:hAnsi="Verdana" w:cs="Arial"/>
          <w:b/>
          <w:lang w:val="es-MX" w:eastAsia="es-MX"/>
        </w:rPr>
      </w:pPr>
      <w:r w:rsidRPr="00DC3470">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382AC891" w14:textId="77777777" w:rsidR="00592BE1" w:rsidRPr="00904AD4" w:rsidRDefault="00592BE1" w:rsidP="00592BE1">
      <w:pPr>
        <w:spacing w:after="0" w:line="240" w:lineRule="auto"/>
        <w:contextualSpacing/>
        <w:jc w:val="both"/>
        <w:rPr>
          <w:rFonts w:ascii="Verdana" w:eastAsia="Calibri" w:hAnsi="Verdana" w:cs="Arial"/>
          <w:b/>
          <w:lang w:val="es-MX" w:eastAsia="es-MX"/>
        </w:rPr>
      </w:pPr>
    </w:p>
    <w:p w14:paraId="5C5D3B9D" w14:textId="77777777" w:rsidR="00592BE1" w:rsidRDefault="00592BE1" w:rsidP="00592BE1">
      <w:pPr>
        <w:spacing w:after="0" w:line="240" w:lineRule="auto"/>
        <w:contextualSpacing/>
        <w:jc w:val="both"/>
        <w:rPr>
          <w:rFonts w:ascii="Verdana" w:eastAsia="Calibri" w:hAnsi="Verdana" w:cs="Arial"/>
          <w:b/>
          <w:lang w:val="es-MX" w:eastAsia="es-MX"/>
        </w:rPr>
      </w:pPr>
      <w:r w:rsidRPr="00904AD4">
        <w:rPr>
          <w:rFonts w:ascii="Verdana" w:eastAsia="Calibri" w:hAnsi="Verdana" w:cs="Arial"/>
          <w:b/>
          <w:lang w:val="es-MX" w:eastAsia="es-MX"/>
        </w:rPr>
        <w:t xml:space="preserve">LEY DE GARANTÍAS ELECTORALES – Prohibiciones </w:t>
      </w:r>
    </w:p>
    <w:p w14:paraId="7FC4E72C" w14:textId="77777777" w:rsidR="00592BE1" w:rsidRDefault="00592BE1" w:rsidP="00592BE1">
      <w:pPr>
        <w:spacing w:after="0" w:line="240" w:lineRule="auto"/>
        <w:contextualSpacing/>
        <w:jc w:val="both"/>
        <w:rPr>
          <w:rFonts w:ascii="Verdana" w:eastAsia="Calibri" w:hAnsi="Verdana" w:cs="Arial"/>
          <w:b/>
          <w:lang w:val="es-MX" w:eastAsia="es-MX"/>
        </w:rPr>
      </w:pPr>
    </w:p>
    <w:p w14:paraId="3FE58DD4" w14:textId="77777777" w:rsidR="00592BE1" w:rsidRPr="005C0AEA" w:rsidRDefault="00592BE1" w:rsidP="00592BE1">
      <w:pPr>
        <w:spacing w:after="0" w:line="240" w:lineRule="auto"/>
        <w:contextualSpacing/>
        <w:jc w:val="both"/>
        <w:rPr>
          <w:rFonts w:ascii="Verdana" w:eastAsia="Calibri" w:hAnsi="Verdana" w:cs="Arial"/>
          <w:b/>
          <w:lang w:val="es-MX" w:eastAsia="es-MX"/>
        </w:rPr>
      </w:pPr>
      <w:r>
        <w:rPr>
          <w:rFonts w:ascii="Verdana" w:eastAsia="Arial" w:hAnsi="Verdana" w:cs="Arial"/>
          <w:sz w:val="20"/>
          <w:szCs w:val="20"/>
          <w:lang w:val="es-ES" w:eastAsia="es-ES" w:bidi="es-ES"/>
        </w:rPr>
        <w:t xml:space="preserve">[…] </w:t>
      </w:r>
      <w:r w:rsidRPr="00DC3470">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47EC7D1" w14:textId="77777777" w:rsidR="00592BE1" w:rsidRDefault="00592BE1" w:rsidP="00592BE1">
      <w:pPr>
        <w:spacing w:after="0" w:line="240" w:lineRule="auto"/>
        <w:jc w:val="both"/>
        <w:rPr>
          <w:rFonts w:ascii="Verdana" w:eastAsia="Arial" w:hAnsi="Verdana" w:cs="Arial"/>
          <w:sz w:val="20"/>
          <w:szCs w:val="20"/>
          <w:lang w:val="es-ES" w:eastAsia="es-ES" w:bidi="es-ES"/>
        </w:rPr>
      </w:pPr>
    </w:p>
    <w:p w14:paraId="6EC499E7" w14:textId="77777777" w:rsidR="00592BE1" w:rsidRPr="00DC3470" w:rsidRDefault="00592BE1" w:rsidP="00592BE1">
      <w:pPr>
        <w:spacing w:after="0" w:line="240" w:lineRule="auto"/>
        <w:jc w:val="both"/>
        <w:rPr>
          <w:rFonts w:ascii="Verdana" w:eastAsia="Arial" w:hAnsi="Verdana" w:cs="Arial"/>
          <w:sz w:val="20"/>
          <w:szCs w:val="20"/>
          <w:lang w:val="es-ES" w:eastAsia="es-ES" w:bidi="es-ES"/>
        </w:rPr>
      </w:pPr>
      <w:r w:rsidRPr="00DC3470">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0751323A" w14:textId="77777777" w:rsidR="00592BE1" w:rsidRDefault="00592BE1" w:rsidP="00592BE1">
      <w:pPr>
        <w:spacing w:after="0" w:line="240" w:lineRule="auto"/>
        <w:jc w:val="both"/>
        <w:rPr>
          <w:rFonts w:ascii="Verdana" w:eastAsia="Calibri" w:hAnsi="Verdana" w:cs="Arial"/>
          <w:sz w:val="20"/>
          <w:szCs w:val="20"/>
        </w:rPr>
      </w:pPr>
    </w:p>
    <w:p w14:paraId="51007F8F" w14:textId="77777777" w:rsidR="00592BE1" w:rsidRPr="00DC3470" w:rsidRDefault="00592BE1" w:rsidP="00592BE1">
      <w:pPr>
        <w:spacing w:after="0" w:line="240" w:lineRule="auto"/>
        <w:jc w:val="both"/>
        <w:rPr>
          <w:rFonts w:ascii="Verdana" w:eastAsia="Calibri" w:hAnsi="Verdana" w:cs="Arial"/>
          <w:sz w:val="20"/>
          <w:szCs w:val="20"/>
        </w:rPr>
      </w:pPr>
      <w:r w:rsidRPr="00DC3470">
        <w:rPr>
          <w:rFonts w:ascii="Verdana" w:eastAsia="Calibri" w:hAnsi="Verdana" w:cs="Arial"/>
          <w:sz w:val="20"/>
          <w:szCs w:val="20"/>
        </w:rPr>
        <w:t>Por un lado, el artículo 33 de la Ley 996 de 2005 prohíbe “</w:t>
      </w:r>
      <w:r w:rsidRPr="00DC3470">
        <w:rPr>
          <w:rFonts w:ascii="Verdana" w:eastAsia="Calibri" w:hAnsi="Verdana" w:cs="Arial"/>
          <w:bCs/>
          <w:sz w:val="20"/>
          <w:szCs w:val="20"/>
        </w:rPr>
        <w:t xml:space="preserve">(…) </w:t>
      </w:r>
      <w:r w:rsidRPr="00DC3470">
        <w:rPr>
          <w:rFonts w:ascii="Verdana" w:eastAsia="Calibri" w:hAnsi="Verdana" w:cs="Arial"/>
          <w:sz w:val="20"/>
          <w:szCs w:val="20"/>
        </w:rPr>
        <w:t>la contratación directa por parte de todos los entes del Estado</w:t>
      </w:r>
      <w:r w:rsidRPr="00DC3470">
        <w:rPr>
          <w:rFonts w:ascii="Verdana" w:eastAsia="Calibri" w:hAnsi="Verdana" w:cs="Arial"/>
          <w:bCs/>
          <w:sz w:val="20"/>
          <w:szCs w:val="20"/>
        </w:rPr>
        <w:t>”</w:t>
      </w:r>
      <w:r w:rsidRPr="00DC3470">
        <w:rPr>
          <w:rFonts w:ascii="Verdana" w:eastAsia="Calibri" w:hAnsi="Verdana" w:cs="Arial"/>
          <w:sz w:val="20"/>
          <w:szCs w:val="20"/>
        </w:rPr>
        <w:t xml:space="preserve"> durante los cuatro (4) meses anteriores a las elecciones presidenciales, salvo </w:t>
      </w:r>
      <w:r w:rsidRPr="00DC3470">
        <w:rPr>
          <w:rFonts w:ascii="Verdana" w:eastAsia="Calibri" w:hAnsi="Verdana" w:cs="Arial"/>
          <w:bCs/>
          <w:sz w:val="20"/>
          <w:szCs w:val="20"/>
        </w:rPr>
        <w:t xml:space="preserve">“[…] </w:t>
      </w:r>
      <w:r w:rsidRPr="00DC3470">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C3470">
        <w:rPr>
          <w:rFonts w:ascii="Verdana" w:eastAsia="Calibri" w:hAnsi="Verdana" w:cs="Arial"/>
          <w:bCs/>
          <w:sz w:val="20"/>
          <w:szCs w:val="20"/>
        </w:rPr>
        <w:t>”</w:t>
      </w:r>
      <w:r w:rsidRPr="00DC3470">
        <w:rPr>
          <w:rFonts w:ascii="Verdana" w:eastAsia="Calibri" w:hAnsi="Verdana" w:cs="Arial"/>
          <w:sz w:val="20"/>
          <w:szCs w:val="20"/>
        </w:rPr>
        <w:t>.</w:t>
      </w:r>
    </w:p>
    <w:p w14:paraId="1B2A7C66" w14:textId="77777777" w:rsidR="00592BE1" w:rsidRDefault="00592BE1" w:rsidP="00592BE1">
      <w:pPr>
        <w:widowControl w:val="0"/>
        <w:autoSpaceDE w:val="0"/>
        <w:autoSpaceDN w:val="0"/>
        <w:spacing w:after="0" w:line="240" w:lineRule="auto"/>
        <w:jc w:val="both"/>
        <w:rPr>
          <w:rFonts w:ascii="Verdana" w:eastAsia="Calibri" w:hAnsi="Verdana" w:cs="Arial"/>
          <w:sz w:val="20"/>
          <w:szCs w:val="20"/>
        </w:rPr>
      </w:pPr>
    </w:p>
    <w:p w14:paraId="47F31AAA"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val="es-ES" w:eastAsia="es-ES" w:bidi="es-ES"/>
        </w:rPr>
      </w:pPr>
      <w:r w:rsidRPr="00DC3470">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DC3470">
        <w:rPr>
          <w:rFonts w:ascii="Verdana" w:eastAsia="Calibri" w:hAnsi="Verdana" w:cs="Arial"/>
          <w:bCs/>
          <w:sz w:val="20"/>
          <w:szCs w:val="20"/>
        </w:rPr>
        <w:t xml:space="preserve">“(…) </w:t>
      </w:r>
      <w:r w:rsidRPr="00DC3470">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C3470">
        <w:rPr>
          <w:rFonts w:ascii="Verdana" w:eastAsia="Calibri" w:hAnsi="Verdana" w:cs="Arial"/>
          <w:bCs/>
          <w:sz w:val="20"/>
          <w:szCs w:val="20"/>
        </w:rPr>
        <w:t>”</w:t>
      </w:r>
      <w:r w:rsidRPr="00DC3470">
        <w:rPr>
          <w:rFonts w:ascii="Verdana" w:eastAsia="Calibri" w:hAnsi="Verdana" w:cs="Arial"/>
          <w:sz w:val="20"/>
          <w:szCs w:val="20"/>
        </w:rPr>
        <w:t>.</w:t>
      </w:r>
      <w:r w:rsidRPr="00DC3470">
        <w:rPr>
          <w:rFonts w:ascii="Verdana" w:eastAsia="Arial" w:hAnsi="Verdana" w:cs="Arial"/>
          <w:sz w:val="20"/>
          <w:szCs w:val="20"/>
          <w:lang w:val="es-ES" w:eastAsia="es-ES" w:bidi="es-ES"/>
        </w:rPr>
        <w:t xml:space="preserve"> </w:t>
      </w:r>
    </w:p>
    <w:p w14:paraId="5452BBC8"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val="es-ES" w:eastAsia="es-ES" w:bidi="es-ES"/>
        </w:rPr>
      </w:pPr>
    </w:p>
    <w:p w14:paraId="04FAC133"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val="es-MX" w:eastAsia="es-ES" w:bidi="es-ES"/>
        </w:rPr>
      </w:pPr>
      <w:r w:rsidRPr="00904AD4">
        <w:rPr>
          <w:rFonts w:ascii="Verdana" w:eastAsia="Calibri" w:hAnsi="Verdana" w:cs="Arial"/>
          <w:b/>
          <w:lang w:val="es-MX"/>
        </w:rPr>
        <w:t xml:space="preserve">LEY DE GARANTÍAS ELECTORALES ─ Prohibición artículo 33 ‒ Contratación directa ‒ Alcance </w:t>
      </w:r>
    </w:p>
    <w:p w14:paraId="22D27754"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val="es-MX" w:eastAsia="es-ES" w:bidi="es-ES"/>
        </w:rPr>
      </w:pPr>
    </w:p>
    <w:p w14:paraId="7F389506"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eastAsia="es-ES" w:bidi="es-ES"/>
        </w:rPr>
      </w:pPr>
      <w:r w:rsidRPr="005C0AEA">
        <w:rPr>
          <w:rFonts w:ascii="Verdana" w:hAnsi="Verdana" w:cs="Arial"/>
          <w:bCs/>
          <w:sz w:val="20"/>
          <w:szCs w:val="20"/>
          <w:lang w:eastAsia="x-none"/>
        </w:rPr>
        <w:t xml:space="preserve">El ámbito material de la prohibición contenida en el artículo 33 de la ley 996 de 2005 está delimitado por la expresión </w:t>
      </w:r>
      <w:r w:rsidRPr="005C0AEA">
        <w:rPr>
          <w:rFonts w:ascii="Verdana" w:eastAsia="Calibri" w:hAnsi="Verdana" w:cs="Arial"/>
          <w:bCs/>
          <w:i/>
          <w:iCs/>
          <w:sz w:val="20"/>
          <w:szCs w:val="20"/>
        </w:rPr>
        <w:t>“</w:t>
      </w:r>
      <w:r w:rsidRPr="005C0AEA">
        <w:rPr>
          <w:rFonts w:ascii="Verdana" w:hAnsi="Verdana" w:cs="Arial"/>
          <w:bCs/>
          <w:i/>
          <w:iCs/>
          <w:sz w:val="20"/>
          <w:szCs w:val="20"/>
          <w:lang w:eastAsia="x-none"/>
        </w:rPr>
        <w:t>queda prohibida la contratación directa</w:t>
      </w:r>
      <w:r w:rsidRPr="005C0AEA">
        <w:rPr>
          <w:rFonts w:ascii="Verdana" w:hAnsi="Verdana" w:cs="Arial"/>
          <w:sz w:val="20"/>
          <w:szCs w:val="20"/>
        </w:rPr>
        <w:t>”</w:t>
      </w:r>
      <w:r w:rsidRPr="005C0AEA">
        <w:rPr>
          <w:rFonts w:ascii="Verdana" w:hAnsi="Verdana" w:cs="Arial"/>
          <w:bCs/>
          <w:sz w:val="20"/>
          <w:szCs w:val="20"/>
          <w:lang w:eastAsia="x-none"/>
        </w:rPr>
        <w:t>.</w:t>
      </w:r>
    </w:p>
    <w:p w14:paraId="38B9FA45"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eastAsia="es-ES" w:bidi="es-ES"/>
        </w:rPr>
      </w:pPr>
      <w:r w:rsidRPr="00904AD4">
        <w:rPr>
          <w:rFonts w:ascii="Verdana" w:eastAsia="Times New Roman" w:hAnsi="Verdana" w:cs="Arial"/>
          <w:b/>
          <w:lang w:eastAsia="es-CO"/>
        </w:rPr>
        <w:t xml:space="preserve">LEY DE GARANTÍAS ELECTORALES </w:t>
      </w:r>
      <w:r w:rsidRPr="00904AD4">
        <w:rPr>
          <w:rFonts w:ascii="Verdana" w:eastAsia="Calibri" w:hAnsi="Verdana" w:cs="Arial"/>
          <w:b/>
          <w:lang w:val="es-MX"/>
        </w:rPr>
        <w:t xml:space="preserve">─ Prohibición artículo 33 ‒ </w:t>
      </w:r>
      <w:r w:rsidRPr="00904AD4">
        <w:rPr>
          <w:rFonts w:ascii="Verdana" w:eastAsia="Times New Roman" w:hAnsi="Verdana" w:cs="Arial"/>
          <w:b/>
          <w:lang w:eastAsia="es-CO"/>
        </w:rPr>
        <w:t xml:space="preserve">Excepciones </w:t>
      </w:r>
    </w:p>
    <w:p w14:paraId="51C302E8"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eastAsia="es-ES" w:bidi="es-ES"/>
        </w:rPr>
      </w:pPr>
    </w:p>
    <w:p w14:paraId="41534FF4"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eastAsia="es-ES" w:bidi="es-ES"/>
        </w:rPr>
      </w:pPr>
      <w:r w:rsidRPr="005C0AEA">
        <w:rPr>
          <w:rFonts w:ascii="Verdana" w:hAnsi="Verdana" w:cs="Arial"/>
          <w:sz w:val="20"/>
          <w:szCs w:val="20"/>
          <w:lang w:eastAsia="x-none"/>
        </w:rPr>
        <w:t xml:space="preserve">[…] la prohibición del artículo 33 de la Ley de Garantías Electorales se refiere a </w:t>
      </w:r>
      <w:r w:rsidRPr="005C0AEA">
        <w:rPr>
          <w:rFonts w:ascii="Verdana" w:hAnsi="Verdana" w:cs="Arial"/>
          <w:sz w:val="20"/>
          <w:szCs w:val="20"/>
          <w:lang w:eastAsia="en-GB"/>
        </w:rPr>
        <w:t>“</w:t>
      </w:r>
      <w:r w:rsidRPr="005C0AEA">
        <w:rPr>
          <w:rFonts w:ascii="Verdana" w:hAnsi="Verdana" w:cs="Arial"/>
          <w:sz w:val="20"/>
          <w:szCs w:val="20"/>
          <w:lang w:eastAsia="x-none"/>
        </w:rPr>
        <w:t>cualquier sistema que no implique convocatoria pública y posibilidad de pluralidad de oferentes</w:t>
      </w:r>
      <w:r w:rsidRPr="005C0AEA">
        <w:rPr>
          <w:rFonts w:ascii="Verdana" w:hAnsi="Verdana" w:cs="Arial"/>
          <w:sz w:val="20"/>
          <w:szCs w:val="20"/>
          <w:lang w:eastAsia="en-GB"/>
        </w:rPr>
        <w:t>”</w:t>
      </w:r>
      <w:r w:rsidRPr="005C0AEA">
        <w:rPr>
          <w:rFonts w:ascii="Verdana" w:hAnsi="Verdana" w:cs="Arial"/>
          <w:sz w:val="20"/>
          <w:szCs w:val="20"/>
          <w:lang w:eastAsia="x-none"/>
        </w:rPr>
        <w:t>, por lo que excluye las demás modalidades de contratación previstas en la Ley 1150 de 2007.</w:t>
      </w:r>
    </w:p>
    <w:p w14:paraId="342F1D08"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eastAsia="es-ES" w:bidi="es-ES"/>
        </w:rPr>
      </w:pPr>
    </w:p>
    <w:p w14:paraId="0E798A22"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eastAsia="es-ES" w:bidi="es-ES"/>
        </w:rPr>
      </w:pPr>
      <w:r w:rsidRPr="00904AD4">
        <w:rPr>
          <w:rFonts w:ascii="Verdana" w:eastAsia="Times New Roman" w:hAnsi="Verdana" w:cs="Arial"/>
          <w:b/>
          <w:lang w:eastAsia="es-CO"/>
        </w:rPr>
        <w:t xml:space="preserve">LEY DE GARANTÍAS ELECTORALES ‒ </w:t>
      </w:r>
      <w:r w:rsidRPr="00904AD4">
        <w:rPr>
          <w:rFonts w:ascii="Verdana" w:eastAsia="Times New Roman" w:hAnsi="Verdana" w:cs="Arial"/>
          <w:b/>
          <w:lang w:val="es-ES" w:eastAsia="es-CO"/>
        </w:rPr>
        <w:t xml:space="preserve">Prohibición del artículo 33 </w:t>
      </w:r>
      <w:r w:rsidRPr="00904AD4">
        <w:rPr>
          <w:rFonts w:ascii="Verdana" w:eastAsia="Times New Roman" w:hAnsi="Verdana" w:cs="Arial"/>
          <w:b/>
          <w:lang w:eastAsia="es-CO"/>
        </w:rPr>
        <w:t xml:space="preserve">‒ Destinatarios </w:t>
      </w:r>
    </w:p>
    <w:p w14:paraId="67B5061A"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eastAsia="es-ES" w:bidi="es-ES"/>
        </w:rPr>
      </w:pPr>
    </w:p>
    <w:p w14:paraId="26B805CA"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val="es-ES" w:eastAsia="es-ES" w:bidi="es-ES"/>
        </w:rPr>
      </w:pPr>
      <w:r w:rsidRPr="005C0AEA">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5C0AEA">
        <w:rPr>
          <w:rFonts w:ascii="Verdana" w:hAnsi="Verdana" w:cs="Arial"/>
          <w:i/>
          <w:color w:val="000000" w:themeColor="text1"/>
          <w:sz w:val="20"/>
          <w:szCs w:val="20"/>
          <w:lang w:val="es-MX"/>
        </w:rPr>
        <w:t>todos los entes del Estado</w:t>
      </w:r>
      <w:r w:rsidRPr="005C0AEA">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CC2D0E6"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val="es-ES" w:eastAsia="es-ES" w:bidi="es-ES"/>
        </w:rPr>
      </w:pPr>
    </w:p>
    <w:p w14:paraId="58D50270"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val="es-ES" w:eastAsia="es-ES" w:bidi="es-ES"/>
        </w:rPr>
      </w:pPr>
      <w:r w:rsidRPr="00904AD4">
        <w:rPr>
          <w:rFonts w:ascii="Verdana" w:eastAsia="Times New Roman" w:hAnsi="Verdana" w:cs="Arial"/>
          <w:b/>
          <w:lang w:val="es-ES" w:eastAsia="es-CO" w:bidi="es-ES"/>
        </w:rPr>
        <w:t xml:space="preserve">EMPRESAS INDUSTRIALES Y COMERCIALES DEL ESTADO </w:t>
      </w:r>
      <w:r w:rsidRPr="00904AD4">
        <w:rPr>
          <w:rFonts w:ascii="Verdana" w:eastAsia="Calibri" w:hAnsi="Verdana" w:cs="Arial"/>
          <w:b/>
          <w:lang w:val="es-ES" w:eastAsia="es-MX"/>
        </w:rPr>
        <w:t xml:space="preserve">‒ Ley de garantías electorales </w:t>
      </w:r>
    </w:p>
    <w:p w14:paraId="7ECB5854" w14:textId="77777777" w:rsidR="00592BE1" w:rsidRDefault="00592BE1" w:rsidP="00592BE1">
      <w:pPr>
        <w:widowControl w:val="0"/>
        <w:autoSpaceDE w:val="0"/>
        <w:autoSpaceDN w:val="0"/>
        <w:spacing w:after="0" w:line="240" w:lineRule="auto"/>
        <w:jc w:val="both"/>
        <w:rPr>
          <w:rFonts w:ascii="Verdana" w:eastAsia="Arial" w:hAnsi="Verdana" w:cs="Arial"/>
          <w:sz w:val="20"/>
          <w:szCs w:val="20"/>
          <w:lang w:val="es-ES" w:eastAsia="es-ES" w:bidi="es-ES"/>
        </w:rPr>
      </w:pPr>
    </w:p>
    <w:p w14:paraId="5A087FF5" w14:textId="77777777" w:rsidR="00592BE1" w:rsidRPr="00CE0712" w:rsidRDefault="00592BE1" w:rsidP="00592BE1">
      <w:pPr>
        <w:widowControl w:val="0"/>
        <w:autoSpaceDE w:val="0"/>
        <w:autoSpaceDN w:val="0"/>
        <w:spacing w:after="0" w:line="240" w:lineRule="auto"/>
        <w:jc w:val="both"/>
        <w:rPr>
          <w:rFonts w:ascii="Verdana" w:eastAsia="Arial" w:hAnsi="Verdana" w:cs="Arial"/>
          <w:sz w:val="20"/>
          <w:szCs w:val="20"/>
          <w:lang w:val="es-ES" w:eastAsia="es-ES" w:bidi="es-ES"/>
        </w:rPr>
      </w:pPr>
      <w:r w:rsidRPr="005C0AEA">
        <w:rPr>
          <w:rFonts w:ascii="Verdana" w:eastAsia="Calibri" w:hAnsi="Verdana" w:cs="Arial"/>
          <w:bCs/>
          <w:sz w:val="20"/>
          <w:szCs w:val="20"/>
          <w:lang w:val="es-ES" w:eastAsia="es-MX"/>
        </w:rPr>
        <w:t xml:space="preserve">[…] </w:t>
      </w:r>
      <w:r w:rsidRPr="005C0AEA">
        <w:rPr>
          <w:rFonts w:ascii="Verdana" w:hAnsi="Verdana" w:cs="Arial"/>
          <w:bCs/>
          <w:color w:val="000000" w:themeColor="text1"/>
          <w:sz w:val="20"/>
          <w:szCs w:val="20"/>
          <w:lang w:val="es-MX"/>
        </w:rPr>
        <w:t>“</w:t>
      </w:r>
      <w:r w:rsidRPr="005C0AEA">
        <w:rPr>
          <w:rFonts w:ascii="Verdana" w:hAnsi="Verdana" w:cs="Arial"/>
          <w:color w:val="000000" w:themeColor="text1"/>
          <w:sz w:val="20"/>
          <w:szCs w:val="20"/>
          <w:lang w:val="es-MX"/>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p>
    <w:p w14:paraId="1321B425" w14:textId="77777777" w:rsidR="00592BE1" w:rsidRPr="005C0AEA" w:rsidRDefault="00592BE1" w:rsidP="00592BE1">
      <w:pPr>
        <w:spacing w:after="0" w:line="240" w:lineRule="auto"/>
        <w:contextualSpacing/>
        <w:jc w:val="both"/>
        <w:rPr>
          <w:rFonts w:ascii="Verdana" w:hAnsi="Verdana" w:cs="Arial"/>
          <w:color w:val="000000" w:themeColor="text1"/>
          <w:sz w:val="20"/>
          <w:szCs w:val="20"/>
          <w:lang w:val="es-MX"/>
        </w:rPr>
      </w:pPr>
    </w:p>
    <w:p w14:paraId="0F08B6A0" w14:textId="77777777" w:rsidR="00592BE1" w:rsidRPr="005C0AEA" w:rsidRDefault="00592BE1" w:rsidP="00592BE1">
      <w:pPr>
        <w:spacing w:after="0" w:line="240" w:lineRule="auto"/>
        <w:jc w:val="both"/>
        <w:rPr>
          <w:rFonts w:ascii="Verdana" w:hAnsi="Verdana" w:cs="Arial"/>
          <w:color w:val="000000" w:themeColor="text1"/>
          <w:sz w:val="20"/>
          <w:szCs w:val="20"/>
          <w:lang w:eastAsia="es-CO"/>
        </w:rPr>
      </w:pPr>
      <w:r w:rsidRPr="005C0AEA">
        <w:rPr>
          <w:rFonts w:ascii="Verdana" w:eastAsia="Calibri" w:hAnsi="Verdana" w:cs="Arial"/>
          <w:bCs/>
          <w:sz w:val="20"/>
          <w:szCs w:val="20"/>
          <w:lang w:val="es-ES" w:eastAsia="es-MX"/>
        </w:rPr>
        <w:t>[...]</w:t>
      </w:r>
      <w:r w:rsidRPr="005C0AEA">
        <w:rPr>
          <w:rFonts w:ascii="Verdana" w:eastAsia="Calibri" w:hAnsi="Verdana" w:cs="Arial"/>
          <w:b/>
          <w:sz w:val="20"/>
          <w:szCs w:val="20"/>
          <w:lang w:val="es-ES" w:eastAsia="es-MX"/>
        </w:rPr>
        <w:t xml:space="preserve"> </w:t>
      </w:r>
      <w:r w:rsidRPr="005C0AEA">
        <w:rPr>
          <w:rFonts w:ascii="Verdana" w:hAnsi="Verdana" w:cs="Arial"/>
          <w:color w:val="000000" w:themeColor="text1"/>
          <w:sz w:val="20"/>
          <w:szCs w:val="20"/>
          <w:lang w:val="es-MX"/>
        </w:rPr>
        <w:t>De acuerdo con estos pronunciamientos de la Sala de Consulta y Servicio Civil del Consejo de Estado, la prohibición de la contratación directa también aplica frente a las entidades exceptuadas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5C0AEA">
        <w:rPr>
          <w:rFonts w:ascii="Verdana" w:hAnsi="Verdana" w:cs="Arial"/>
          <w:color w:val="000000" w:themeColor="text1"/>
          <w:sz w:val="20"/>
          <w:szCs w:val="20"/>
          <w:lang w:eastAsia="es-CO"/>
        </w:rPr>
        <w:t xml:space="preserve"> </w:t>
      </w:r>
    </w:p>
    <w:p w14:paraId="5C52E107" w14:textId="77777777" w:rsidR="00592BE1" w:rsidRPr="005C0AEA" w:rsidRDefault="00592BE1" w:rsidP="00592BE1">
      <w:pPr>
        <w:spacing w:after="0" w:line="240" w:lineRule="auto"/>
        <w:ind w:firstLine="709"/>
        <w:jc w:val="both"/>
        <w:rPr>
          <w:rFonts w:ascii="Verdana" w:hAnsi="Verdana" w:cs="Arial"/>
          <w:color w:val="000000" w:themeColor="text1"/>
          <w:sz w:val="20"/>
          <w:szCs w:val="20"/>
          <w:lang w:eastAsia="es-CO"/>
        </w:rPr>
      </w:pPr>
    </w:p>
    <w:p w14:paraId="728FBFA1" w14:textId="77777777" w:rsidR="00592BE1" w:rsidRDefault="00592BE1" w:rsidP="00592BE1">
      <w:pPr>
        <w:spacing w:after="0" w:line="240" w:lineRule="auto"/>
        <w:jc w:val="both"/>
        <w:rPr>
          <w:rFonts w:ascii="Verdana" w:hAnsi="Verdana" w:cs="Arial"/>
          <w:color w:val="000000" w:themeColor="text1"/>
          <w:sz w:val="20"/>
          <w:szCs w:val="20"/>
          <w:lang w:eastAsia="es-CO"/>
        </w:rPr>
      </w:pPr>
      <w:r w:rsidRPr="005C0AEA">
        <w:rPr>
          <w:rFonts w:ascii="Verdana" w:hAnsi="Verdana" w:cs="Arial"/>
          <w:color w:val="000000" w:themeColor="text1"/>
          <w:sz w:val="20"/>
          <w:szCs w:val="20"/>
          <w:lang w:eastAsia="es-CO"/>
        </w:rPr>
        <w:t>Sin perjuicio de estos pronunciamientos de la Sala de Consulta y Servicio Civil</w:t>
      </w:r>
      <w:r w:rsidRPr="005C0AEA">
        <w:rPr>
          <w:rFonts w:ascii="Verdana" w:hAnsi="Verdana" w:cs="Arial"/>
          <w:color w:val="000000" w:themeColor="text1"/>
          <w:sz w:val="20"/>
          <w:szCs w:val="20"/>
          <w:lang w:val="es-MX"/>
        </w:rPr>
        <w:t xml:space="preserve">, como la ha señalado esa misma Corporación, la restricción prevista en la Ley 996 de 2005 </w:t>
      </w:r>
      <w:r w:rsidRPr="005C0AEA">
        <w:rPr>
          <w:rFonts w:ascii="Verdana" w:hAnsi="Verdana" w:cs="Arial"/>
          <w:bCs/>
          <w:color w:val="000000" w:themeColor="text1"/>
          <w:sz w:val="20"/>
          <w:szCs w:val="20"/>
          <w:lang w:val="es-MX" w:eastAsia="x-none"/>
        </w:rPr>
        <w:t xml:space="preserve">cobija a cualquier entidad pública independiente del régimen jurídico, que pueda mediante la contratación directa romper el equilibrio entre los candidatos en desarrollo de las elecciones presidenciales. </w:t>
      </w:r>
      <w:r w:rsidRPr="005C0AEA">
        <w:rPr>
          <w:rFonts w:ascii="Verdana" w:hAnsi="Verdana" w:cs="Arial"/>
          <w:color w:val="000000" w:themeColor="text1"/>
          <w:sz w:val="20"/>
          <w:szCs w:val="20"/>
          <w:lang w:eastAsia="es-CO"/>
        </w:rPr>
        <w:t xml:space="preserve">En este sentido, respecto a su consulta, es pertinente señalar que las empresas industriales y comerciales del Estado en vigencia de la Ley de Garantías </w:t>
      </w:r>
      <w:r w:rsidRPr="005C0AEA">
        <w:rPr>
          <w:rFonts w:ascii="Verdana" w:hAnsi="Verdana" w:cs="Arial"/>
          <w:color w:val="000000" w:themeColor="text1"/>
          <w:sz w:val="20"/>
          <w:szCs w:val="20"/>
          <w:lang w:eastAsia="es-CO"/>
        </w:rPr>
        <w:lastRenderedPageBreak/>
        <w:t xml:space="preserve">Electorales no podrán hacer contrataciones bajo la modalidad de contratación directa, </w:t>
      </w:r>
      <w:r w:rsidRPr="005C0AEA">
        <w:rPr>
          <w:rFonts w:ascii="Verdana" w:hAnsi="Verdana" w:cs="Arial"/>
          <w:color w:val="000000" w:themeColor="text1"/>
          <w:sz w:val="20"/>
          <w:szCs w:val="20"/>
          <w:lang w:val="es-MX"/>
        </w:rPr>
        <w:t xml:space="preserve">sino por mecanismos competitivos que impliquen convocatoria pública y la posibilidad de la existencia de pluralidad de oferentes. </w:t>
      </w:r>
    </w:p>
    <w:p w14:paraId="0FB76785" w14:textId="77777777" w:rsidR="00592BE1" w:rsidRDefault="00592BE1" w:rsidP="00592BE1">
      <w:pPr>
        <w:spacing w:after="0" w:line="240" w:lineRule="auto"/>
        <w:jc w:val="both"/>
        <w:rPr>
          <w:rFonts w:ascii="Verdana" w:hAnsi="Verdana" w:cs="Arial"/>
          <w:color w:val="000000" w:themeColor="text1"/>
          <w:sz w:val="20"/>
          <w:szCs w:val="20"/>
          <w:lang w:eastAsia="es-CO"/>
        </w:rPr>
      </w:pPr>
    </w:p>
    <w:p w14:paraId="0A0B1FAD" w14:textId="77777777" w:rsidR="00592BE1" w:rsidRPr="00CE0712" w:rsidRDefault="00592BE1" w:rsidP="00592BE1">
      <w:pPr>
        <w:spacing w:after="0" w:line="240" w:lineRule="auto"/>
        <w:jc w:val="both"/>
        <w:rPr>
          <w:rFonts w:ascii="Verdana" w:hAnsi="Verdana" w:cs="Arial"/>
          <w:color w:val="000000" w:themeColor="text1"/>
          <w:sz w:val="20"/>
          <w:szCs w:val="20"/>
          <w:lang w:eastAsia="es-CO"/>
        </w:rPr>
      </w:pPr>
      <w:r w:rsidRPr="005C0AEA">
        <w:rPr>
          <w:rFonts w:ascii="Verdana" w:hAnsi="Verdana" w:cs="Arial"/>
          <w:color w:val="000000" w:themeColor="text1"/>
          <w:sz w:val="20"/>
          <w:szCs w:val="20"/>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67CAF8D3" w14:textId="77777777" w:rsidR="00592BE1" w:rsidRPr="005C0AEA" w:rsidRDefault="00592BE1" w:rsidP="00592BE1">
      <w:pPr>
        <w:spacing w:after="0" w:line="240" w:lineRule="auto"/>
        <w:ind w:firstLine="709"/>
        <w:jc w:val="both"/>
        <w:rPr>
          <w:rFonts w:ascii="Verdana" w:hAnsi="Verdana" w:cs="Arial"/>
          <w:color w:val="000000" w:themeColor="text1"/>
          <w:sz w:val="20"/>
          <w:szCs w:val="20"/>
          <w:lang w:val="es-MX"/>
        </w:rPr>
      </w:pPr>
    </w:p>
    <w:p w14:paraId="70B8B3B4" w14:textId="77777777" w:rsidR="00592BE1" w:rsidRPr="005C0AEA" w:rsidRDefault="00592BE1" w:rsidP="00592BE1">
      <w:pPr>
        <w:widowControl w:val="0"/>
        <w:autoSpaceDE w:val="0"/>
        <w:autoSpaceDN w:val="0"/>
        <w:spacing w:after="0" w:line="240" w:lineRule="auto"/>
        <w:jc w:val="both"/>
        <w:rPr>
          <w:rFonts w:ascii="Verdana" w:eastAsia="Times New Roman" w:hAnsi="Verdana" w:cs="Arial"/>
          <w:bCs/>
          <w:sz w:val="20"/>
          <w:szCs w:val="20"/>
          <w:lang w:val="es-ES" w:eastAsia="es-CO" w:bidi="es-ES"/>
        </w:rPr>
      </w:pPr>
      <w:r w:rsidRPr="005C0AEA">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5C0AEA">
        <w:rPr>
          <w:rFonts w:ascii="Verdana" w:eastAsia="Times New Roman" w:hAnsi="Verdana" w:cs="Arial"/>
          <w:bCs/>
          <w:sz w:val="20"/>
          <w:szCs w:val="20"/>
          <w:lang w:val="es-ES" w:eastAsia="es-CO" w:bidi="es-ES"/>
        </w:rPr>
        <w:t>ii</w:t>
      </w:r>
      <w:proofErr w:type="spellEnd"/>
      <w:r w:rsidRPr="005C0AEA">
        <w:rPr>
          <w:rFonts w:ascii="Verdana" w:eastAsia="Times New Roman" w:hAnsi="Verdana" w:cs="Arial"/>
          <w:bCs/>
          <w:sz w:val="20"/>
          <w:szCs w:val="20"/>
          <w:lang w:val="es-ES" w:eastAsia="es-CO" w:bidi="es-ES"/>
        </w:rPr>
        <w:t xml:space="preserve">) los contratos de crédito público; </w:t>
      </w:r>
      <w:proofErr w:type="spellStart"/>
      <w:r w:rsidRPr="005C0AEA">
        <w:rPr>
          <w:rFonts w:ascii="Verdana" w:eastAsia="Times New Roman" w:hAnsi="Verdana" w:cs="Arial"/>
          <w:bCs/>
          <w:sz w:val="20"/>
          <w:szCs w:val="20"/>
          <w:lang w:val="es-ES" w:eastAsia="es-CO" w:bidi="es-ES"/>
        </w:rPr>
        <w:t>iii</w:t>
      </w:r>
      <w:proofErr w:type="spellEnd"/>
      <w:r w:rsidRPr="005C0AEA">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5C0AEA">
        <w:rPr>
          <w:rFonts w:ascii="Verdana" w:eastAsia="Times New Roman" w:hAnsi="Verdana" w:cs="Arial"/>
          <w:bCs/>
          <w:sz w:val="20"/>
          <w:szCs w:val="20"/>
          <w:lang w:val="es-ES" w:eastAsia="es-CO" w:bidi="es-ES"/>
        </w:rPr>
        <w:t>iv</w:t>
      </w:r>
      <w:proofErr w:type="spellEnd"/>
      <w:r w:rsidRPr="005C0AEA">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5C0AEA">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5C0AEA">
        <w:rPr>
          <w:rFonts w:ascii="Verdana" w:eastAsia="Times New Roman" w:hAnsi="Verdana" w:cs="Arial"/>
          <w:bCs/>
          <w:sz w:val="20"/>
          <w:szCs w:val="20"/>
          <w:lang w:val="es-ES" w:eastAsia="es-CO" w:bidi="es-ES"/>
        </w:rPr>
        <w:t xml:space="preserve"> </w:t>
      </w:r>
    </w:p>
    <w:p w14:paraId="78D306A9" w14:textId="77777777" w:rsidR="00592BE1" w:rsidRPr="00904AD4" w:rsidRDefault="00592BE1" w:rsidP="00592BE1">
      <w:pPr>
        <w:spacing w:after="0" w:line="240" w:lineRule="auto"/>
        <w:contextualSpacing/>
        <w:jc w:val="both"/>
        <w:rPr>
          <w:rFonts w:ascii="Verdana" w:eastAsia="Calibri" w:hAnsi="Verdana" w:cs="Arial"/>
          <w:b/>
          <w:lang w:val="es-ES" w:eastAsia="es-MX"/>
        </w:rPr>
      </w:pPr>
    </w:p>
    <w:p w14:paraId="2780BB49" w14:textId="77777777" w:rsidR="00592BE1" w:rsidRDefault="00592BE1" w:rsidP="00C15139">
      <w:pPr>
        <w:spacing w:after="0"/>
        <w:rPr>
          <w:rFonts w:ascii="Verdana" w:hAnsi="Verdana"/>
        </w:rPr>
      </w:pPr>
    </w:p>
    <w:p w14:paraId="3A826E32" w14:textId="77777777" w:rsidR="00592BE1" w:rsidRDefault="00592BE1" w:rsidP="00C15139">
      <w:pPr>
        <w:spacing w:after="0"/>
        <w:rPr>
          <w:rFonts w:ascii="Verdana" w:hAnsi="Verdana"/>
        </w:rPr>
      </w:pPr>
    </w:p>
    <w:p w14:paraId="43367883" w14:textId="77777777" w:rsidR="00592BE1" w:rsidRDefault="00592BE1" w:rsidP="00C15139">
      <w:pPr>
        <w:spacing w:after="0"/>
        <w:rPr>
          <w:rFonts w:ascii="Verdana" w:hAnsi="Verdana"/>
        </w:rPr>
      </w:pPr>
    </w:p>
    <w:p w14:paraId="4ABF2932" w14:textId="77777777" w:rsidR="00592BE1" w:rsidRDefault="00592BE1" w:rsidP="00C15139">
      <w:pPr>
        <w:spacing w:after="0"/>
        <w:rPr>
          <w:rFonts w:ascii="Verdana" w:hAnsi="Verdana"/>
        </w:rPr>
      </w:pPr>
    </w:p>
    <w:p w14:paraId="5F41BC82" w14:textId="77777777" w:rsidR="00592BE1" w:rsidRDefault="00592BE1" w:rsidP="00C15139">
      <w:pPr>
        <w:spacing w:after="0"/>
        <w:rPr>
          <w:rFonts w:ascii="Verdana" w:hAnsi="Verdana"/>
        </w:rPr>
      </w:pPr>
    </w:p>
    <w:p w14:paraId="5A252BB7" w14:textId="77777777" w:rsidR="00592BE1" w:rsidRDefault="00592BE1" w:rsidP="00C15139">
      <w:pPr>
        <w:spacing w:after="0"/>
        <w:rPr>
          <w:rFonts w:ascii="Verdana" w:hAnsi="Verdana"/>
        </w:rPr>
      </w:pPr>
    </w:p>
    <w:p w14:paraId="42793087" w14:textId="77777777" w:rsidR="00592BE1" w:rsidRDefault="00592BE1" w:rsidP="00C15139">
      <w:pPr>
        <w:spacing w:after="0"/>
        <w:rPr>
          <w:rFonts w:ascii="Verdana" w:hAnsi="Verdana"/>
        </w:rPr>
      </w:pPr>
    </w:p>
    <w:p w14:paraId="57857200" w14:textId="20DEEDB6" w:rsidR="00592BE1" w:rsidRDefault="00592BE1" w:rsidP="00C15139">
      <w:pPr>
        <w:spacing w:after="0"/>
        <w:rPr>
          <w:rFonts w:ascii="Verdana" w:hAnsi="Verdana"/>
        </w:rPr>
      </w:pPr>
    </w:p>
    <w:p w14:paraId="56B48ABB" w14:textId="77777777" w:rsidR="00592BE1" w:rsidRDefault="00592BE1" w:rsidP="00C15139">
      <w:pPr>
        <w:spacing w:after="0"/>
        <w:rPr>
          <w:rFonts w:ascii="Verdana" w:hAnsi="Verdana"/>
        </w:rPr>
      </w:pPr>
    </w:p>
    <w:p w14:paraId="604F3D1D" w14:textId="77777777" w:rsidR="00592BE1" w:rsidRDefault="00592BE1" w:rsidP="00C15139">
      <w:pPr>
        <w:spacing w:after="0"/>
        <w:rPr>
          <w:rFonts w:ascii="Verdana" w:hAnsi="Verdana"/>
        </w:rPr>
      </w:pPr>
    </w:p>
    <w:p w14:paraId="22D33286" w14:textId="77777777" w:rsidR="00592BE1" w:rsidRDefault="00592BE1" w:rsidP="00C15139">
      <w:pPr>
        <w:spacing w:after="0"/>
        <w:rPr>
          <w:rFonts w:ascii="Verdana" w:hAnsi="Verdana"/>
        </w:rPr>
      </w:pPr>
    </w:p>
    <w:p w14:paraId="6A138467" w14:textId="77777777" w:rsidR="00592BE1" w:rsidRDefault="00592BE1" w:rsidP="00C15139">
      <w:pPr>
        <w:spacing w:after="0"/>
        <w:rPr>
          <w:rFonts w:ascii="Verdana" w:hAnsi="Verdana"/>
        </w:rPr>
      </w:pPr>
    </w:p>
    <w:p w14:paraId="0B0E306E" w14:textId="77777777" w:rsidR="00592BE1" w:rsidRDefault="00592BE1" w:rsidP="00C15139">
      <w:pPr>
        <w:spacing w:after="0"/>
        <w:rPr>
          <w:rFonts w:ascii="Verdana" w:hAnsi="Verdana"/>
        </w:rPr>
      </w:pPr>
    </w:p>
    <w:p w14:paraId="7EAFAA62" w14:textId="77777777" w:rsidR="00145ABD" w:rsidRDefault="00145ABD" w:rsidP="00C15139">
      <w:pPr>
        <w:spacing w:after="0"/>
        <w:rPr>
          <w:rFonts w:ascii="Verdana" w:hAnsi="Verdana"/>
        </w:rPr>
      </w:pPr>
    </w:p>
    <w:p w14:paraId="10CAA4C1" w14:textId="77777777" w:rsidR="00145ABD" w:rsidRDefault="00145ABD" w:rsidP="00C15139">
      <w:pPr>
        <w:spacing w:after="0"/>
        <w:rPr>
          <w:rFonts w:ascii="Verdana" w:hAnsi="Verdana"/>
        </w:rPr>
      </w:pPr>
    </w:p>
    <w:p w14:paraId="502CF572" w14:textId="77777777" w:rsidR="00145ABD" w:rsidRDefault="00145ABD" w:rsidP="00C15139">
      <w:pPr>
        <w:spacing w:after="0"/>
        <w:rPr>
          <w:rFonts w:ascii="Verdana" w:hAnsi="Verdana"/>
        </w:rPr>
      </w:pPr>
    </w:p>
    <w:p w14:paraId="55B79E1F" w14:textId="77777777" w:rsidR="00145ABD" w:rsidRDefault="00145ABD" w:rsidP="00C15139">
      <w:pPr>
        <w:spacing w:after="0"/>
        <w:rPr>
          <w:rFonts w:ascii="Verdana" w:hAnsi="Verdana"/>
        </w:rPr>
      </w:pPr>
    </w:p>
    <w:p w14:paraId="483686B2" w14:textId="77777777" w:rsidR="00145ABD" w:rsidRDefault="00145ABD" w:rsidP="00C15139">
      <w:pPr>
        <w:spacing w:after="0"/>
        <w:rPr>
          <w:rFonts w:ascii="Verdana" w:hAnsi="Verdana"/>
        </w:rPr>
      </w:pPr>
    </w:p>
    <w:p w14:paraId="68B43276" w14:textId="109DA6A1" w:rsidR="002C0013" w:rsidRDefault="00C15139" w:rsidP="00C15139">
      <w:pPr>
        <w:spacing w:after="0"/>
        <w:rPr>
          <w:rFonts w:ascii="Verdana" w:hAnsi="Verdana"/>
        </w:rPr>
      </w:pPr>
      <w:r w:rsidRPr="0024624F">
        <w:rPr>
          <w:rFonts w:ascii="Verdana" w:hAnsi="Verdana"/>
        </w:rPr>
        <w:lastRenderedPageBreak/>
        <w:t xml:space="preserve">Bogotá D.C., </w:t>
      </w:r>
      <w:r w:rsidR="00592BE1">
        <w:rPr>
          <w:rFonts w:ascii="Verdana" w:hAnsi="Verdana"/>
        </w:rPr>
        <w:t xml:space="preserve">22 </w:t>
      </w:r>
      <w:proofErr w:type="gramStart"/>
      <w:r w:rsidR="00592BE1">
        <w:rPr>
          <w:rFonts w:ascii="Verdana" w:hAnsi="Verdana"/>
        </w:rPr>
        <w:t>Diciembre</w:t>
      </w:r>
      <w:proofErr w:type="gramEnd"/>
      <w:r w:rsidR="00592BE1">
        <w:rPr>
          <w:rFonts w:ascii="Verdana" w:hAnsi="Verdana"/>
        </w:rPr>
        <w:t xml:space="preserve"> 2025</w:t>
      </w:r>
      <w:r w:rsidRPr="000E2B93">
        <w:rPr>
          <w:rFonts w:ascii="Verdana" w:hAnsi="Verdana"/>
        </w:rPr>
        <w:tab/>
      </w:r>
      <w:r w:rsidRPr="000E2B93">
        <w:rPr>
          <w:rFonts w:ascii="Verdana" w:hAnsi="Verdana"/>
        </w:rPr>
        <w:br/>
      </w:r>
    </w:p>
    <w:p w14:paraId="0AD74FCA" w14:textId="5B164A3A" w:rsidR="002C0013" w:rsidRDefault="00DE2E29" w:rsidP="00C15139">
      <w:pPr>
        <w:spacing w:after="0"/>
        <w:rPr>
          <w:rFonts w:ascii="Verdana" w:hAnsi="Verdana"/>
        </w:rPr>
      </w:pPr>
      <w:r w:rsidRPr="00592BE1">
        <w:rPr>
          <w:rFonts w:ascii="Verdana" w:eastAsia="Calibri" w:hAnsi="Verdana" w:cs="Arial"/>
          <w:b/>
          <w:bCs/>
          <w:noProof/>
          <w:color w:val="000000"/>
          <w:lang w:val="it-IT" w:eastAsia="es-ES_tradnl"/>
        </w:rPr>
        <w:drawing>
          <wp:anchor distT="0" distB="0" distL="114300" distR="114300" simplePos="0" relativeHeight="251658240" behindDoc="1" locked="0" layoutInCell="1" allowOverlap="1" wp14:anchorId="46162457" wp14:editId="247EE168">
            <wp:simplePos x="0" y="0"/>
            <wp:positionH relativeFrom="column">
              <wp:posOffset>3263265</wp:posOffset>
            </wp:positionH>
            <wp:positionV relativeFrom="paragraph">
              <wp:posOffset>8255</wp:posOffset>
            </wp:positionV>
            <wp:extent cx="2491956" cy="784928"/>
            <wp:effectExtent l="0" t="0" r="3810" b="0"/>
            <wp:wrapNone/>
            <wp:docPr id="196020829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208292"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491956" cy="784928"/>
                    </a:xfrm>
                    <a:prstGeom prst="rect">
                      <a:avLst/>
                    </a:prstGeom>
                  </pic:spPr>
                </pic:pic>
              </a:graphicData>
            </a:graphic>
          </wp:anchor>
        </w:drawing>
      </w:r>
    </w:p>
    <w:p w14:paraId="45D15362" w14:textId="77777777" w:rsidR="002C0013" w:rsidRDefault="002C0013" w:rsidP="002C0013">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0A78BEAF" w14:textId="77777777" w:rsidR="002C0013" w:rsidRDefault="002C0013" w:rsidP="002C0013">
      <w:pPr>
        <w:spacing w:after="0" w:line="240" w:lineRule="auto"/>
        <w:jc w:val="both"/>
        <w:rPr>
          <w:rFonts w:ascii="Verdana" w:eastAsia="Calibri" w:hAnsi="Verdana" w:cs="Arial"/>
          <w:lang w:eastAsia="es-ES"/>
        </w:rPr>
      </w:pPr>
      <w:r>
        <w:rPr>
          <w:rFonts w:ascii="Verdana" w:eastAsia="Calibri" w:hAnsi="Verdana" w:cs="Arial"/>
          <w:lang w:eastAsia="es-ES"/>
        </w:rPr>
        <w:t xml:space="preserve">Diego </w:t>
      </w:r>
      <w:proofErr w:type="spellStart"/>
      <w:r>
        <w:rPr>
          <w:rFonts w:ascii="Verdana" w:eastAsia="Calibri" w:hAnsi="Verdana" w:cs="Arial"/>
          <w:lang w:eastAsia="es-ES"/>
        </w:rPr>
        <w:t>Hernandez</w:t>
      </w:r>
      <w:proofErr w:type="spellEnd"/>
      <w:r>
        <w:rPr>
          <w:rFonts w:ascii="Verdana" w:eastAsia="Calibri" w:hAnsi="Verdana" w:cs="Arial"/>
          <w:lang w:eastAsia="es-ES"/>
        </w:rPr>
        <w:t xml:space="preserve"> </w:t>
      </w:r>
    </w:p>
    <w:p w14:paraId="5537E39D" w14:textId="77777777" w:rsidR="002C0013" w:rsidRPr="00573E72" w:rsidRDefault="002C0013" w:rsidP="002C0013">
      <w:pPr>
        <w:spacing w:after="0" w:line="240" w:lineRule="auto"/>
        <w:jc w:val="both"/>
        <w:rPr>
          <w:rFonts w:ascii="Verdana" w:eastAsia="Calibri" w:hAnsi="Verdana" w:cs="Arial"/>
          <w:lang w:eastAsia="es-ES"/>
        </w:rPr>
      </w:pPr>
      <w:r w:rsidRPr="00573E72">
        <w:rPr>
          <w:rFonts w:ascii="Verdana" w:eastAsia="Calibri" w:hAnsi="Verdana" w:cs="Arial"/>
          <w:lang w:eastAsia="es-ES"/>
        </w:rPr>
        <w:t>Gerente General Lotería de B</w:t>
      </w:r>
      <w:r>
        <w:rPr>
          <w:rFonts w:ascii="Verdana" w:eastAsia="Calibri" w:hAnsi="Verdana" w:cs="Arial"/>
          <w:lang w:eastAsia="es-ES"/>
        </w:rPr>
        <w:t xml:space="preserve">oyacá </w:t>
      </w:r>
    </w:p>
    <w:p w14:paraId="5C23E609" w14:textId="77777777" w:rsidR="002C0013" w:rsidRPr="00573E72" w:rsidRDefault="002C0013" w:rsidP="002C0013">
      <w:pPr>
        <w:spacing w:after="0" w:line="240" w:lineRule="auto"/>
        <w:jc w:val="both"/>
        <w:rPr>
          <w:rFonts w:ascii="Verdana" w:eastAsia="Calibri" w:hAnsi="Verdana" w:cs="Arial"/>
          <w:lang w:val="it-IT" w:eastAsia="es-ES"/>
        </w:rPr>
      </w:pPr>
      <w:hyperlink r:id="rId11" w:history="1">
        <w:r w:rsidRPr="00573E72">
          <w:rPr>
            <w:rStyle w:val="Hipervnculo"/>
            <w:rFonts w:ascii="Verdana" w:hAnsi="Verdana"/>
            <w:b/>
            <w:bCs/>
            <w:lang w:val="it-IT"/>
          </w:rPr>
          <w:t>lau.96f@gmail.com</w:t>
        </w:r>
      </w:hyperlink>
    </w:p>
    <w:p w14:paraId="683CC59A" w14:textId="5492076C" w:rsidR="002C0013" w:rsidRDefault="002C0013" w:rsidP="002C0013">
      <w:pPr>
        <w:spacing w:after="0" w:line="240" w:lineRule="auto"/>
        <w:jc w:val="both"/>
        <w:rPr>
          <w:rFonts w:ascii="Verdana" w:hAnsi="Verdana"/>
          <w:lang w:val="it-IT"/>
        </w:rPr>
      </w:pPr>
      <w:r>
        <w:rPr>
          <w:rFonts w:ascii="Verdana" w:hAnsi="Verdana"/>
          <w:lang w:val="it-IT"/>
        </w:rPr>
        <w:t xml:space="preserve">Tunja, Boyacá. </w:t>
      </w:r>
    </w:p>
    <w:p w14:paraId="764F57AB" w14:textId="77777777" w:rsidR="00592BE1" w:rsidRDefault="00592BE1" w:rsidP="002C0013">
      <w:pPr>
        <w:spacing w:after="0" w:line="240" w:lineRule="auto"/>
        <w:jc w:val="both"/>
        <w:rPr>
          <w:rFonts w:ascii="Verdana" w:eastAsia="Calibri" w:hAnsi="Verdana" w:cs="Arial"/>
          <w:b/>
          <w:bCs/>
          <w:color w:val="000000"/>
          <w:lang w:val="it-IT" w:eastAsia="es-ES_tradnl"/>
        </w:rPr>
      </w:pPr>
    </w:p>
    <w:p w14:paraId="1196314A" w14:textId="24C2AA91" w:rsidR="00592BE1" w:rsidRPr="00573E72" w:rsidRDefault="00592BE1" w:rsidP="00592BE1">
      <w:pPr>
        <w:spacing w:after="0" w:line="240" w:lineRule="auto"/>
        <w:jc w:val="right"/>
        <w:rPr>
          <w:rFonts w:ascii="Verdana" w:eastAsia="Calibri" w:hAnsi="Verdana" w:cs="Arial"/>
          <w:b/>
          <w:bCs/>
          <w:color w:val="000000"/>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C0013" w:rsidRPr="005644FE" w14:paraId="0AD59493" w14:textId="77777777" w:rsidTr="00A1602F">
        <w:trPr>
          <w:trHeight w:val="162"/>
        </w:trPr>
        <w:tc>
          <w:tcPr>
            <w:tcW w:w="3119" w:type="dxa"/>
          </w:tcPr>
          <w:p w14:paraId="3ED1F3AB" w14:textId="77777777" w:rsidR="002C0013" w:rsidRDefault="002C0013" w:rsidP="00A1602F">
            <w:pPr>
              <w:jc w:val="both"/>
              <w:rPr>
                <w:rFonts w:ascii="Verdana" w:eastAsia="Calibri" w:hAnsi="Verdana" w:cs="Arial"/>
                <w:b/>
                <w:bCs/>
                <w:color w:val="7030A0"/>
                <w:lang w:val="it-IT" w:eastAsia="es-ES_tradnl"/>
              </w:rPr>
            </w:pPr>
          </w:p>
          <w:p w14:paraId="7E759915" w14:textId="77777777" w:rsidR="00592BE1" w:rsidRPr="00573E72" w:rsidRDefault="00592BE1" w:rsidP="00A1602F">
            <w:pPr>
              <w:jc w:val="both"/>
              <w:rPr>
                <w:rFonts w:ascii="Verdana" w:eastAsia="Calibri" w:hAnsi="Verdana" w:cs="Arial"/>
                <w:b/>
                <w:bCs/>
                <w:color w:val="7030A0"/>
                <w:lang w:val="it-IT" w:eastAsia="es-ES_tradnl"/>
              </w:rPr>
            </w:pPr>
          </w:p>
        </w:tc>
        <w:tc>
          <w:tcPr>
            <w:tcW w:w="5670" w:type="dxa"/>
          </w:tcPr>
          <w:p w14:paraId="007EA94D" w14:textId="77777777" w:rsidR="002C0013" w:rsidRPr="005644FE" w:rsidRDefault="002C0013" w:rsidP="00A1602F">
            <w:pPr>
              <w:jc w:val="both"/>
              <w:rPr>
                <w:rFonts w:ascii="Verdana" w:eastAsia="Calibri" w:hAnsi="Verdana" w:cs="Arial"/>
                <w:b/>
                <w:bCs/>
                <w:lang w:eastAsia="es-ES"/>
              </w:rPr>
            </w:pPr>
            <w:r w:rsidRPr="005644FE">
              <w:rPr>
                <w:rFonts w:ascii="Verdana" w:eastAsia="Calibri" w:hAnsi="Verdana" w:cs="Arial"/>
                <w:b/>
                <w:bCs/>
                <w:lang w:eastAsia="es-ES"/>
              </w:rPr>
              <w:t>Concepto C-1</w:t>
            </w:r>
            <w:r>
              <w:rPr>
                <w:rFonts w:ascii="Verdana" w:eastAsia="Calibri" w:hAnsi="Verdana" w:cs="Arial"/>
                <w:b/>
                <w:bCs/>
                <w:lang w:eastAsia="es-ES"/>
              </w:rPr>
              <w:t>654</w:t>
            </w:r>
            <w:r w:rsidRPr="005644FE">
              <w:rPr>
                <w:rFonts w:ascii="Verdana" w:eastAsia="Calibri" w:hAnsi="Verdana" w:cs="Arial"/>
                <w:b/>
                <w:bCs/>
                <w:lang w:eastAsia="es-ES"/>
              </w:rPr>
              <w:t xml:space="preserve"> de 2025</w:t>
            </w:r>
          </w:p>
          <w:p w14:paraId="1631AD64" w14:textId="77777777" w:rsidR="002C0013" w:rsidRPr="005644FE" w:rsidRDefault="002C0013" w:rsidP="00A1602F">
            <w:pPr>
              <w:jc w:val="both"/>
              <w:rPr>
                <w:rFonts w:ascii="Verdana" w:eastAsia="Calibri" w:hAnsi="Verdana" w:cs="Arial"/>
                <w:b/>
                <w:bCs/>
                <w:color w:val="7030A0"/>
                <w:lang w:eastAsia="es-ES"/>
              </w:rPr>
            </w:pPr>
          </w:p>
        </w:tc>
      </w:tr>
      <w:tr w:rsidR="002C0013" w:rsidRPr="005644FE" w14:paraId="7E589CFF" w14:textId="77777777" w:rsidTr="00A1602F">
        <w:trPr>
          <w:trHeight w:val="884"/>
        </w:trPr>
        <w:tc>
          <w:tcPr>
            <w:tcW w:w="3119" w:type="dxa"/>
          </w:tcPr>
          <w:p w14:paraId="3EB16FB5" w14:textId="77777777" w:rsidR="002C0013" w:rsidRPr="005644FE" w:rsidRDefault="002C0013" w:rsidP="00A1602F">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38173999" w14:textId="77777777" w:rsidR="002C0013" w:rsidRPr="00F04657" w:rsidRDefault="002C0013" w:rsidP="00A1602F">
            <w:pPr>
              <w:contextualSpacing/>
              <w:jc w:val="both"/>
              <w:rPr>
                <w:rFonts w:ascii="Verdana" w:eastAsia="Calibri" w:hAnsi="Verdana" w:cs="Arial"/>
                <w:bCs/>
                <w:lang w:val="es-ES" w:eastAsia="es-MX"/>
              </w:rPr>
            </w:pPr>
            <w:r w:rsidRPr="00F04657">
              <w:rPr>
                <w:rFonts w:ascii="Verdana" w:eastAsia="Calibri" w:hAnsi="Verdana" w:cs="Arial"/>
                <w:bCs/>
                <w:lang w:val="es-MX" w:eastAsia="es-MX"/>
              </w:rPr>
              <w:t xml:space="preserve">LEY DE GARANTÍAS ELECTORALES – Naturaleza Jurídica / LEY DE GARANTÍAS ELECTORALES </w:t>
            </w:r>
            <w:proofErr w:type="gramStart"/>
            <w:r w:rsidRPr="00F04657">
              <w:rPr>
                <w:rFonts w:ascii="Verdana" w:eastAsia="Calibri" w:hAnsi="Verdana" w:cs="Arial"/>
                <w:bCs/>
                <w:lang w:val="es-MX" w:eastAsia="es-MX"/>
              </w:rPr>
              <w:t>–  /</w:t>
            </w:r>
            <w:proofErr w:type="gramEnd"/>
            <w:r w:rsidRPr="00F04657">
              <w:rPr>
                <w:rFonts w:ascii="Verdana" w:eastAsia="Calibri" w:hAnsi="Verdana" w:cs="Arial"/>
                <w:bCs/>
                <w:lang w:val="es-MX" w:eastAsia="es-MX"/>
              </w:rPr>
              <w:t xml:space="preserve"> </w:t>
            </w:r>
            <w:r w:rsidRPr="00F04657">
              <w:rPr>
                <w:rFonts w:ascii="Verdana" w:eastAsia="Calibri" w:hAnsi="Verdana" w:cs="Arial"/>
                <w:bCs/>
                <w:lang w:val="es-MX"/>
              </w:rPr>
              <w:t xml:space="preserve">LEY DE GARANTÍAS ELECTORALES ─ Prohibición artículo 33 ‒ Contratación directa ‒ Alcance / </w:t>
            </w:r>
            <w:r w:rsidRPr="00F04657">
              <w:rPr>
                <w:rFonts w:ascii="Verdana" w:eastAsia="Times New Roman" w:hAnsi="Verdana" w:cs="Arial"/>
                <w:bCs/>
                <w:lang w:eastAsia="es-CO"/>
              </w:rPr>
              <w:t xml:space="preserve">LEY DE GARANTÍAS ELECTORALES </w:t>
            </w:r>
            <w:r w:rsidRPr="00F04657">
              <w:rPr>
                <w:rFonts w:ascii="Verdana" w:eastAsia="Calibri" w:hAnsi="Verdana" w:cs="Arial"/>
                <w:bCs/>
                <w:lang w:val="es-MX"/>
              </w:rPr>
              <w:t xml:space="preserve">─ Prohibición artículo 33 ‒ </w:t>
            </w:r>
            <w:r w:rsidRPr="00F04657">
              <w:rPr>
                <w:rFonts w:ascii="Verdana" w:eastAsia="Times New Roman" w:hAnsi="Verdana" w:cs="Arial"/>
                <w:bCs/>
                <w:lang w:eastAsia="es-CO"/>
              </w:rPr>
              <w:t xml:space="preserve">Excepciones / LEY DE GARANTÍAS ELECTORALES ‒ </w:t>
            </w:r>
            <w:r w:rsidRPr="00F04657">
              <w:rPr>
                <w:rFonts w:ascii="Verdana" w:eastAsia="Times New Roman" w:hAnsi="Verdana" w:cs="Arial"/>
                <w:bCs/>
                <w:lang w:val="es-ES" w:eastAsia="es-CO"/>
              </w:rPr>
              <w:t xml:space="preserve">Prohibición del artículo 33 </w:t>
            </w:r>
            <w:r w:rsidRPr="00F04657">
              <w:rPr>
                <w:rFonts w:ascii="Verdana" w:eastAsia="Times New Roman" w:hAnsi="Verdana" w:cs="Arial"/>
                <w:bCs/>
                <w:lang w:eastAsia="es-CO"/>
              </w:rPr>
              <w:t xml:space="preserve">‒ Destinatarios / </w:t>
            </w:r>
            <w:r w:rsidRPr="00F04657">
              <w:rPr>
                <w:rFonts w:ascii="Verdana" w:eastAsia="Times New Roman" w:hAnsi="Verdana" w:cs="Arial"/>
                <w:bCs/>
                <w:lang w:val="es-ES" w:eastAsia="es-CO" w:bidi="es-ES"/>
              </w:rPr>
              <w:t xml:space="preserve">EMPRESAS INDUSTRIALES Y COMERCIALES DEL ESTADO </w:t>
            </w:r>
            <w:r w:rsidRPr="00F04657">
              <w:rPr>
                <w:rFonts w:ascii="Verdana" w:eastAsia="Calibri" w:hAnsi="Verdana" w:cs="Arial"/>
                <w:bCs/>
                <w:lang w:val="es-ES" w:eastAsia="es-MX"/>
              </w:rPr>
              <w:t xml:space="preserve">‒ Ley de garantías electorales </w:t>
            </w:r>
          </w:p>
          <w:p w14:paraId="6E0985A2" w14:textId="77777777" w:rsidR="002C0013" w:rsidRPr="00F04657" w:rsidRDefault="002C0013" w:rsidP="00A1602F">
            <w:pPr>
              <w:contextualSpacing/>
              <w:jc w:val="both"/>
              <w:rPr>
                <w:rFonts w:ascii="Verdana" w:eastAsia="Calibri" w:hAnsi="Verdana" w:cs="Arial"/>
                <w:color w:val="000000" w:themeColor="text1"/>
                <w:szCs w:val="24"/>
                <w:lang w:val="es-ES" w:eastAsia="es-ES_tradnl"/>
              </w:rPr>
            </w:pPr>
          </w:p>
        </w:tc>
      </w:tr>
      <w:tr w:rsidR="002C0013" w:rsidRPr="005644FE" w14:paraId="48331B04" w14:textId="77777777" w:rsidTr="00A1602F">
        <w:tc>
          <w:tcPr>
            <w:tcW w:w="3119" w:type="dxa"/>
          </w:tcPr>
          <w:p w14:paraId="288BDA4D" w14:textId="77777777" w:rsidR="002C0013" w:rsidRPr="005644FE" w:rsidRDefault="002C0013" w:rsidP="00A1602F">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8427299" w14:textId="77777777" w:rsidR="002C0013" w:rsidRPr="00F04657" w:rsidRDefault="002C0013" w:rsidP="00A1602F">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Pr>
                <w:rFonts w:ascii="Verdana" w:hAnsi="Verdana" w:cs="Calibri"/>
                <w:color w:val="000000"/>
              </w:rPr>
              <w:t>1_2025_11_10_012653</w:t>
            </w:r>
            <w:r w:rsidRPr="005644FE">
              <w:rPr>
                <w:rFonts w:ascii="Verdana" w:eastAsia="Calibri" w:hAnsi="Verdana" w:cs="Arial"/>
                <w:lang w:eastAsia="es-ES_tradnl"/>
              </w:rPr>
              <w:t xml:space="preserve"> </w:t>
            </w:r>
          </w:p>
        </w:tc>
      </w:tr>
    </w:tbl>
    <w:p w14:paraId="6BA05493" w14:textId="77777777" w:rsidR="002C0013" w:rsidRPr="005644FE" w:rsidRDefault="002C0013" w:rsidP="002C0013">
      <w:pPr>
        <w:spacing w:after="0" w:line="276" w:lineRule="auto"/>
        <w:jc w:val="both"/>
        <w:rPr>
          <w:rFonts w:ascii="Verdana" w:eastAsia="Calibri" w:hAnsi="Verdana" w:cs="Arial"/>
          <w:lang w:eastAsia="es-ES_tradnl"/>
        </w:rPr>
      </w:pPr>
    </w:p>
    <w:p w14:paraId="00D9695E" w14:textId="77777777" w:rsidR="002C0013" w:rsidRPr="005644FE" w:rsidRDefault="002C0013" w:rsidP="002C0013">
      <w:pPr>
        <w:spacing w:after="0" w:line="276" w:lineRule="auto"/>
        <w:jc w:val="both"/>
        <w:rPr>
          <w:rFonts w:ascii="Verdana" w:eastAsia="Calibri" w:hAnsi="Verdana" w:cs="Arial"/>
          <w:lang w:eastAsia="es-ES"/>
        </w:rPr>
      </w:pPr>
      <w:r w:rsidRPr="005644FE">
        <w:rPr>
          <w:rFonts w:ascii="Verdana" w:eastAsia="Calibri" w:hAnsi="Verdana" w:cs="Arial"/>
          <w:lang w:eastAsia="es-ES"/>
        </w:rPr>
        <w:t>Estima</w:t>
      </w:r>
      <w:r>
        <w:rPr>
          <w:rFonts w:ascii="Verdana" w:eastAsia="Calibri" w:hAnsi="Verdana" w:cs="Arial"/>
          <w:lang w:eastAsia="es-ES"/>
        </w:rPr>
        <w:t xml:space="preserve">do señor </w:t>
      </w:r>
      <w:proofErr w:type="spellStart"/>
      <w:r>
        <w:rPr>
          <w:rFonts w:ascii="Verdana" w:eastAsia="Calibri" w:hAnsi="Verdana" w:cs="Arial"/>
          <w:lang w:eastAsia="es-ES"/>
        </w:rPr>
        <w:t>Hernandez</w:t>
      </w:r>
      <w:proofErr w:type="spellEnd"/>
      <w:r w:rsidRPr="005644FE">
        <w:rPr>
          <w:rFonts w:ascii="Verdana" w:eastAsia="Calibri" w:hAnsi="Verdana" w:cs="Arial"/>
          <w:lang w:eastAsia="es-ES"/>
        </w:rPr>
        <w:t>:</w:t>
      </w:r>
    </w:p>
    <w:p w14:paraId="2FABE63C" w14:textId="77777777" w:rsidR="002C0013" w:rsidRPr="00E02524" w:rsidRDefault="002C0013" w:rsidP="002C0013">
      <w:pPr>
        <w:spacing w:after="0"/>
        <w:jc w:val="both"/>
        <w:rPr>
          <w:rFonts w:ascii="Verdana" w:hAnsi="Verdana"/>
          <w:lang w:val="es-MX"/>
        </w:rPr>
      </w:pPr>
    </w:p>
    <w:p w14:paraId="70AC5048" w14:textId="77777777" w:rsidR="002C0013" w:rsidRDefault="002C0013" w:rsidP="002C0013">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10 de noviembre</w:t>
      </w:r>
      <w:r w:rsidRPr="005644FE">
        <w:rPr>
          <w:rFonts w:ascii="Verdana" w:eastAsia="Calibri" w:hAnsi="Verdana" w:cs="Arial"/>
          <w:lang w:eastAsia="es-ES"/>
        </w:rPr>
        <w:t xml:space="preserve"> de 2025</w:t>
      </w:r>
      <w:r>
        <w:rPr>
          <w:rFonts w:ascii="Verdana" w:eastAsia="Calibri" w:hAnsi="Verdana" w:cs="Arial"/>
          <w:lang w:eastAsia="es-ES"/>
        </w:rPr>
        <w:t>,</w:t>
      </w:r>
      <w:r w:rsidRPr="005644FE">
        <w:rPr>
          <w:rFonts w:ascii="Verdana" w:eastAsia="Calibri" w:hAnsi="Verdana" w:cs="Arial"/>
          <w:lang w:eastAsia="es-ES"/>
        </w:rPr>
        <w:t xml:space="preserve"> en la cual manifiesta lo siguiente:</w:t>
      </w:r>
    </w:p>
    <w:p w14:paraId="1D90C040" w14:textId="77777777" w:rsidR="002C0013" w:rsidRPr="008E5B36" w:rsidRDefault="002C0013" w:rsidP="002C0013">
      <w:pPr>
        <w:spacing w:after="0"/>
        <w:jc w:val="both"/>
        <w:rPr>
          <w:rFonts w:ascii="Verdana" w:hAnsi="Verdana"/>
        </w:rPr>
      </w:pPr>
    </w:p>
    <w:p w14:paraId="552C0A46" w14:textId="77777777" w:rsidR="002C0013" w:rsidRDefault="002C0013" w:rsidP="002C0013">
      <w:pPr>
        <w:spacing w:after="0"/>
        <w:ind w:left="567" w:right="758"/>
        <w:jc w:val="both"/>
        <w:rPr>
          <w:rFonts w:ascii="Verdana" w:hAnsi="Verdana"/>
          <w:sz w:val="20"/>
          <w:szCs w:val="20"/>
        </w:rPr>
      </w:pPr>
      <w:r>
        <w:rPr>
          <w:rFonts w:ascii="Verdana" w:hAnsi="Verdana"/>
          <w:sz w:val="20"/>
          <w:szCs w:val="20"/>
        </w:rPr>
        <w:t>“(..) ¿Se encuentra la Lotería de Boyacá sujeta en los términos que las entidades de estricto carácter administrativo a la prohibición de celebrar contratos bajo la modalidad de contratación directa durante los periodos de restricción electoral?</w:t>
      </w:r>
    </w:p>
    <w:p w14:paraId="15931405" w14:textId="77777777" w:rsidR="002C0013" w:rsidRPr="00A87E6E" w:rsidRDefault="002C0013" w:rsidP="002C0013">
      <w:pPr>
        <w:spacing w:after="0"/>
        <w:ind w:left="567" w:right="758"/>
        <w:jc w:val="both"/>
        <w:rPr>
          <w:rFonts w:ascii="Verdana" w:hAnsi="Verdana"/>
          <w:sz w:val="20"/>
          <w:szCs w:val="20"/>
        </w:rPr>
      </w:pPr>
      <w:r>
        <w:rPr>
          <w:rFonts w:ascii="Verdana" w:hAnsi="Verdana"/>
          <w:sz w:val="20"/>
          <w:szCs w:val="20"/>
        </w:rPr>
        <w:lastRenderedPageBreak/>
        <w:t xml:space="preserve">2- Existe, </w:t>
      </w:r>
      <w:proofErr w:type="gramStart"/>
      <w:r>
        <w:rPr>
          <w:rFonts w:ascii="Verdana" w:hAnsi="Verdana"/>
          <w:sz w:val="20"/>
          <w:szCs w:val="20"/>
        </w:rPr>
        <w:t>en razón de</w:t>
      </w:r>
      <w:proofErr w:type="gramEnd"/>
      <w:r>
        <w:rPr>
          <w:rFonts w:ascii="Verdana" w:hAnsi="Verdana"/>
          <w:sz w:val="20"/>
          <w:szCs w:val="20"/>
        </w:rPr>
        <w:t xml:space="preserve"> la naturaleza jurídica de la entidad y su actividad en un entorno competitivo, alguna excepción que permita a la Lotería mantener sus procedimientos contractuales regulares bajo la figura de contratación directa (…)”</w:t>
      </w:r>
    </w:p>
    <w:p w14:paraId="4673CF92" w14:textId="77777777" w:rsidR="002C0013" w:rsidRDefault="002C0013" w:rsidP="002C0013">
      <w:pPr>
        <w:spacing w:after="0" w:line="240" w:lineRule="auto"/>
        <w:ind w:firstLine="709"/>
        <w:jc w:val="both"/>
        <w:rPr>
          <w:rFonts w:ascii="Verdana" w:eastAsia="Calibri" w:hAnsi="Verdana" w:cs="Arial"/>
          <w:color w:val="000000"/>
          <w:lang w:eastAsia="es-ES"/>
        </w:rPr>
      </w:pPr>
    </w:p>
    <w:p w14:paraId="63EEE004" w14:textId="77777777" w:rsidR="002C0013" w:rsidRPr="005644FE" w:rsidRDefault="002C0013" w:rsidP="002C0013">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E14DA55" w14:textId="77777777" w:rsidR="002C0013" w:rsidRPr="00BE1CA1" w:rsidRDefault="002C0013" w:rsidP="002C0013">
      <w:pPr>
        <w:spacing w:after="12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w:t>
      </w:r>
      <w:r w:rsidRPr="00714FA7">
        <w:rPr>
          <w:rFonts w:ascii="Verdana" w:eastAsia="Calibri" w:hAnsi="Verdana" w:cs="Arial"/>
          <w:color w:val="000000"/>
          <w:lang w:eastAsia="es-ES"/>
        </w:rPr>
        <w:t xml:space="preserve">abstracción del caso particular y concreto señalado en su petición, pero señalando algunas consideraciones sobre las normas generales relacionadas </w:t>
      </w:r>
      <w:r>
        <w:rPr>
          <w:rFonts w:ascii="Verdana" w:eastAsia="Calibri" w:hAnsi="Verdana" w:cs="Arial"/>
          <w:color w:val="000000"/>
          <w:lang w:eastAsia="es-ES"/>
        </w:rPr>
        <w:t>el problema jurídico</w:t>
      </w:r>
      <w:r w:rsidRPr="00BE1CA1">
        <w:rPr>
          <w:rFonts w:ascii="Verdana" w:eastAsia="Calibri" w:hAnsi="Verdana" w:cs="Arial"/>
          <w:color w:val="000000"/>
          <w:lang w:eastAsia="es-ES"/>
        </w:rPr>
        <w:t xml:space="preserve"> de su consulta.</w:t>
      </w:r>
      <w:r w:rsidRPr="00BE1CA1">
        <w:rPr>
          <w:rFonts w:ascii="Verdana" w:eastAsia="Calibri" w:hAnsi="Verdana" w:cs="Arial"/>
          <w:lang w:eastAsia="es-ES"/>
        </w:rPr>
        <w:t xml:space="preserve">  </w:t>
      </w:r>
    </w:p>
    <w:p w14:paraId="6108E9C2" w14:textId="77777777" w:rsidR="002C0013" w:rsidRPr="00BE1CA1" w:rsidRDefault="002C0013" w:rsidP="002C00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1CA1">
        <w:rPr>
          <w:rFonts w:ascii="Verdana" w:eastAsia="Century Gothic" w:hAnsi="Verdana" w:cs="Century Gothic"/>
          <w:b/>
          <w:bCs/>
        </w:rPr>
        <w:t>Problema planteado:</w:t>
      </w:r>
    </w:p>
    <w:p w14:paraId="2DFCB37C" w14:textId="77777777" w:rsidR="002C0013" w:rsidRPr="00BE1CA1" w:rsidRDefault="002C0013" w:rsidP="002C0013">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527E6720" w14:textId="77777777" w:rsidR="002C0013" w:rsidRPr="00552663" w:rsidRDefault="002C0013" w:rsidP="002C0013">
      <w:pPr>
        <w:spacing w:after="0" w:line="276" w:lineRule="auto"/>
        <w:jc w:val="both"/>
        <w:rPr>
          <w:rFonts w:ascii="Verdana" w:eastAsia="Calibri" w:hAnsi="Verdana" w:cs="Arial"/>
          <w:color w:val="000000"/>
          <w:lang w:eastAsia="es-ES"/>
        </w:rPr>
      </w:pPr>
      <w:r w:rsidRPr="00BE1CA1">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el </w:t>
      </w:r>
      <w:r w:rsidRPr="00BE1CA1">
        <w:rPr>
          <w:rFonts w:ascii="Verdana" w:eastAsia="Calibri" w:hAnsi="Verdana" w:cs="Arial"/>
          <w:color w:val="000000"/>
          <w:lang w:eastAsia="es-ES"/>
        </w:rPr>
        <w:t>siguiente problema jurídico:</w:t>
      </w:r>
      <w:r>
        <w:rPr>
          <w:rFonts w:ascii="Verdana" w:eastAsia="Century Gothic" w:hAnsi="Verdana" w:cs="Century Gothic"/>
        </w:rPr>
        <w:t xml:space="preserve"> </w:t>
      </w:r>
      <w:r w:rsidRPr="00BE1CA1">
        <w:rPr>
          <w:rFonts w:ascii="Verdana" w:eastAsia="Century Gothic" w:hAnsi="Verdana" w:cs="Century Gothic"/>
        </w:rPr>
        <w:t>Las Empresas Industriales y Comerciales del Estado (EICE)</w:t>
      </w:r>
      <w:r>
        <w:rPr>
          <w:rFonts w:ascii="Verdana" w:eastAsia="Century Gothic" w:hAnsi="Verdana" w:cs="Century Gothic"/>
        </w:rPr>
        <w:t xml:space="preserve"> en este caso la Lotería de Boyacá</w:t>
      </w:r>
      <w:r w:rsidRPr="00BE1CA1">
        <w:rPr>
          <w:rFonts w:ascii="Verdana" w:eastAsia="Century Gothic" w:hAnsi="Verdana" w:cs="Century Gothic"/>
        </w:rPr>
        <w:t xml:space="preserve"> </w:t>
      </w:r>
      <w:r>
        <w:rPr>
          <w:rFonts w:ascii="Verdana" w:eastAsia="Century Gothic" w:hAnsi="Verdana" w:cs="Century Gothic"/>
        </w:rPr>
        <w:t>¿</w:t>
      </w:r>
      <w:r w:rsidRPr="00BE1CA1">
        <w:rPr>
          <w:rFonts w:ascii="Verdana" w:eastAsia="Century Gothic" w:hAnsi="Verdana" w:cs="Century Gothic"/>
        </w:rPr>
        <w:t xml:space="preserve">se encuentran sometidas a las restricciones contractuales previstas en </w:t>
      </w:r>
      <w:r>
        <w:rPr>
          <w:rFonts w:ascii="Verdana" w:eastAsia="Century Gothic" w:hAnsi="Verdana" w:cs="Century Gothic"/>
        </w:rPr>
        <w:t xml:space="preserve">el artículo 33 de </w:t>
      </w:r>
      <w:r w:rsidRPr="00BE1CA1">
        <w:rPr>
          <w:rFonts w:ascii="Verdana" w:eastAsia="Century Gothic" w:hAnsi="Verdana" w:cs="Century Gothic"/>
        </w:rPr>
        <w:t>la Ley 996 de 2005 —</w:t>
      </w:r>
      <w:proofErr w:type="gramStart"/>
      <w:r w:rsidRPr="00BE1CA1">
        <w:rPr>
          <w:rFonts w:ascii="Verdana" w:eastAsia="Century Gothic" w:hAnsi="Verdana" w:cs="Century Gothic"/>
        </w:rPr>
        <w:t xml:space="preserve">Ley de Garantías Electorales—, durante </w:t>
      </w:r>
      <w:r>
        <w:rPr>
          <w:rFonts w:ascii="Verdana" w:eastAsia="Century Gothic" w:hAnsi="Verdana" w:cs="Century Gothic"/>
        </w:rPr>
        <w:t xml:space="preserve">el </w:t>
      </w:r>
      <w:r w:rsidRPr="00BE1CA1">
        <w:rPr>
          <w:rFonts w:ascii="Verdana" w:eastAsia="Century Gothic" w:hAnsi="Verdana" w:cs="Century Gothic"/>
        </w:rPr>
        <w:t>período previo a elecciones?</w:t>
      </w:r>
      <w:proofErr w:type="gramEnd"/>
    </w:p>
    <w:p w14:paraId="5647109D" w14:textId="77777777" w:rsidR="002C0013" w:rsidRDefault="002C0013" w:rsidP="002C0013">
      <w:pPr>
        <w:spacing w:after="0" w:line="240" w:lineRule="auto"/>
        <w:jc w:val="both"/>
        <w:rPr>
          <w:rFonts w:ascii="Verdana" w:eastAsia="Calibri" w:hAnsi="Verdana" w:cs="Arial"/>
          <w:color w:val="000000"/>
          <w:lang w:eastAsia="es-ES"/>
        </w:rPr>
      </w:pPr>
    </w:p>
    <w:p w14:paraId="7F5536A4" w14:textId="77777777" w:rsidR="002C0013" w:rsidRDefault="002C0013" w:rsidP="002C0013">
      <w:pPr>
        <w:spacing w:after="0" w:line="276" w:lineRule="auto"/>
        <w:jc w:val="both"/>
        <w:rPr>
          <w:rFonts w:ascii="Verdana" w:eastAsia="Century Gothic" w:hAnsi="Verdana" w:cs="Century Gothic"/>
          <w:b/>
          <w:bCs/>
        </w:rPr>
      </w:pPr>
      <w:r>
        <w:rPr>
          <w:rFonts w:ascii="Verdana" w:eastAsia="Century Gothic" w:hAnsi="Verdana" w:cs="Century Gothic"/>
          <w:b/>
          <w:bCs/>
        </w:rPr>
        <w:t>2</w:t>
      </w:r>
      <w:r w:rsidRPr="005644FE">
        <w:rPr>
          <w:rFonts w:ascii="Verdana" w:eastAsia="Century Gothic" w:hAnsi="Verdana" w:cs="Century Gothic"/>
          <w:b/>
          <w:bCs/>
        </w:rPr>
        <w:t>. Respuesta:</w:t>
      </w:r>
    </w:p>
    <w:p w14:paraId="031E2918" w14:textId="77777777" w:rsidR="002C0013" w:rsidRPr="005644FE" w:rsidRDefault="002C0013" w:rsidP="002C0013">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C0013" w:rsidRPr="005644FE" w14:paraId="43A3A62B" w14:textId="77777777" w:rsidTr="00A1602F">
        <w:tc>
          <w:tcPr>
            <w:tcW w:w="8828" w:type="dxa"/>
          </w:tcPr>
          <w:p w14:paraId="371B2668" w14:textId="77777777" w:rsidR="002C0013" w:rsidRPr="00573E72" w:rsidRDefault="002C0013" w:rsidP="00A1602F">
            <w:pPr>
              <w:spacing w:after="120" w:line="276" w:lineRule="auto"/>
              <w:jc w:val="both"/>
              <w:rPr>
                <w:rFonts w:ascii="Verdana" w:eastAsia="Arial" w:hAnsi="Verdana" w:cs="Arial"/>
              </w:rPr>
            </w:pPr>
            <w:r>
              <w:rPr>
                <w:rFonts w:ascii="Verdana" w:eastAsia="Arial" w:hAnsi="Verdana" w:cs="Arial"/>
              </w:rPr>
              <w:t>T</w:t>
            </w:r>
            <w:r w:rsidRPr="00573E72">
              <w:rPr>
                <w:rFonts w:ascii="Verdana" w:eastAsia="Calibri" w:hAnsi="Verdana" w:cs="Arial"/>
              </w:rPr>
              <w:t>eniendo en cuenta que</w:t>
            </w:r>
            <w:r>
              <w:rPr>
                <w:rFonts w:ascii="Verdana" w:eastAsia="Calibri" w:hAnsi="Verdana" w:cs="Arial"/>
              </w:rPr>
              <w:t xml:space="preserve"> la Lotería de Boyacá opera bajo un régimen jurídico que se clasifica como una </w:t>
            </w:r>
            <w:r w:rsidRPr="00BE1CA1">
              <w:rPr>
                <w:rFonts w:ascii="Verdana" w:eastAsia="Century Gothic" w:hAnsi="Verdana" w:cs="Century Gothic"/>
              </w:rPr>
              <w:t>Empresas Industriales y Comerciales del Estado (EICE)</w:t>
            </w:r>
            <w:r>
              <w:rPr>
                <w:rFonts w:ascii="Verdana" w:eastAsia="Century Gothic" w:hAnsi="Verdana" w:cs="Century Gothic"/>
              </w:rPr>
              <w:t>, es menester precisar que  l</w:t>
            </w:r>
            <w:r>
              <w:rPr>
                <w:rFonts w:ascii="Verdana" w:eastAsia="Arial" w:hAnsi="Verdana" w:cs="Arial"/>
              </w:rPr>
              <w:t xml:space="preserve">a ley 996 de 2005 </w:t>
            </w:r>
            <w:r>
              <w:rPr>
                <w:rFonts w:ascii="Verdana" w:eastAsia="Calibri" w:hAnsi="Verdana" w:cs="Arial"/>
              </w:rPr>
              <w:t xml:space="preserve">en </w:t>
            </w:r>
            <w:r w:rsidRPr="00F10E52">
              <w:rPr>
                <w:rFonts w:ascii="Verdana" w:eastAsia="Calibri" w:hAnsi="Verdana" w:cs="Arial"/>
              </w:rPr>
              <w:t xml:space="preserve">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w:t>
            </w:r>
            <w:r w:rsidRPr="00F10E52">
              <w:rPr>
                <w:rFonts w:ascii="Verdana" w:eastAsia="Calibri" w:hAnsi="Verdana" w:cs="Arial"/>
              </w:rPr>
              <w:lastRenderedPageBreak/>
              <w:t>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279D2F77" w14:textId="77777777" w:rsidR="002C0013" w:rsidRDefault="002C0013" w:rsidP="00A1602F">
            <w:pPr>
              <w:spacing w:after="120" w:line="276" w:lineRule="auto"/>
              <w:ind w:firstLine="709"/>
              <w:jc w:val="both"/>
              <w:rPr>
                <w:rFonts w:ascii="Verdana" w:hAnsi="Verdana" w:cs="Arial"/>
                <w:lang w:eastAsia="x-none"/>
              </w:rPr>
            </w:pPr>
            <w:r w:rsidRPr="00195E24">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por lo que excluye las demás modalidades de contratación previstas en la Ley 1150 de 2007</w:t>
            </w:r>
            <w:r>
              <w:rPr>
                <w:rFonts w:ascii="Verdana" w:hAnsi="Verdana" w:cs="Arial"/>
                <w:lang w:eastAsia="x-none"/>
              </w:rPr>
              <w:t>.</w:t>
            </w:r>
          </w:p>
          <w:p w14:paraId="54329DE1" w14:textId="77777777" w:rsidR="002C0013" w:rsidRDefault="002C0013" w:rsidP="00A1602F">
            <w:pPr>
              <w:spacing w:after="120" w:line="276" w:lineRule="auto"/>
              <w:ind w:firstLine="709"/>
              <w:jc w:val="both"/>
              <w:rPr>
                <w:rFonts w:ascii="Verdana" w:eastAsia="Calibri" w:hAnsi="Verdana" w:cs="Arial"/>
                <w:lang w:val="es-ES"/>
              </w:rPr>
            </w:pPr>
            <w:r>
              <w:rPr>
                <w:rFonts w:ascii="Verdana" w:eastAsia="Calibri" w:hAnsi="Verdana" w:cs="Arial"/>
                <w:lang w:val="es-ES"/>
              </w:rPr>
              <w:t>Ahora bien, f</w:t>
            </w:r>
            <w:r w:rsidRPr="00515C0B">
              <w:rPr>
                <w:rFonts w:ascii="Verdana" w:eastAsia="Calibri" w:hAnsi="Verdana" w:cs="Arial"/>
                <w:lang w:val="es-ES"/>
              </w:rPr>
              <w:t xml:space="preserve">rente al cuestionamiento planteado es necesario </w:t>
            </w:r>
            <w:r>
              <w:rPr>
                <w:rFonts w:ascii="Verdana" w:eastAsia="Calibri" w:hAnsi="Verdana" w:cs="Arial"/>
                <w:lang w:val="es-ES"/>
              </w:rPr>
              <w:t>señalar</w:t>
            </w:r>
            <w:r w:rsidRPr="00515C0B">
              <w:rPr>
                <w:rFonts w:ascii="Verdana" w:eastAsia="Calibri" w:hAnsi="Verdana" w:cs="Arial"/>
                <w:lang w:val="es-ES"/>
              </w:rPr>
              <w:t xml:space="preserve"> que dentro de la estructura de la Administración Pública se encuentran las entidades descentralizadas por servicios. A esta categoría pertenecen las Empresas Industriales y Comerciales del Estado, las cuales –sin perjuicio del control de tutela– tienen personería jurídica, autonomía administrativa y patrimonio propio. Estas entidades, como su nombre lo indica, se caracterizan por desarrollar actividades de carácter industrial o comercial.</w:t>
            </w:r>
          </w:p>
          <w:p w14:paraId="34DF9CAD" w14:textId="77777777" w:rsidR="002C0013" w:rsidRDefault="002C0013" w:rsidP="00A1602F">
            <w:pPr>
              <w:spacing w:after="120" w:line="276" w:lineRule="auto"/>
              <w:ind w:firstLine="708"/>
              <w:jc w:val="both"/>
              <w:rPr>
                <w:rFonts w:ascii="Verdana" w:hAnsi="Verdana" w:cs="Arial"/>
                <w:bCs/>
                <w:color w:val="000000" w:themeColor="text1"/>
                <w:lang w:val="es-MX" w:eastAsia="x-none"/>
              </w:rPr>
            </w:pPr>
            <w:r>
              <w:rPr>
                <w:rFonts w:ascii="Verdana" w:eastAsia="Calibri" w:hAnsi="Verdana" w:cs="Arial"/>
                <w:lang w:val="es-ES"/>
              </w:rPr>
              <w:t xml:space="preserve">Ahora bien, el artículo 33 de la Ley 996 de 2005 determina como destinatarios de las restricciones a todos los entes del Estado </w:t>
            </w:r>
            <w:r w:rsidRPr="00195E24">
              <w:rPr>
                <w:rFonts w:ascii="Verdana" w:hAnsi="Verdana" w:cs="Arial"/>
                <w:bCs/>
                <w:color w:val="000000" w:themeColor="text1"/>
                <w:lang w:val="es-MX" w:eastAsia="x-none"/>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18A6DD2" w14:textId="77777777" w:rsidR="002C0013" w:rsidRPr="00195E24" w:rsidRDefault="002C0013" w:rsidP="00A1602F">
            <w:pPr>
              <w:spacing w:after="120" w:line="276" w:lineRule="auto"/>
              <w:ind w:firstLine="709"/>
              <w:jc w:val="both"/>
              <w:rPr>
                <w:rFonts w:ascii="Verdana" w:hAnsi="Verdana" w:cs="Arial"/>
                <w:color w:val="000000" w:themeColor="text1"/>
                <w:lang w:eastAsia="es-CO"/>
              </w:rPr>
            </w:pPr>
            <w:r>
              <w:rPr>
                <w:rFonts w:ascii="Verdana" w:hAnsi="Verdana" w:cs="Arial"/>
                <w:color w:val="000000" w:themeColor="text1"/>
                <w:lang w:val="es-MX"/>
              </w:rPr>
              <w:t>Por lo tanto, la</w:t>
            </w:r>
            <w:r w:rsidRPr="00CE0D82">
              <w:rPr>
                <w:rFonts w:ascii="Verdana" w:hAnsi="Verdana" w:cs="Arial"/>
                <w:color w:val="000000" w:themeColor="text1"/>
                <w:lang w:val="es-MX"/>
              </w:rPr>
              <w:t xml:space="preserve">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r>
              <w:rPr>
                <w:rFonts w:ascii="Verdana" w:hAnsi="Verdana" w:cs="Arial"/>
                <w:color w:val="000000" w:themeColor="text1"/>
                <w:lang w:eastAsia="es-CO"/>
              </w:rPr>
              <w:t xml:space="preserve">En este sentido, respecto a su consulta es pertinente señalar que las empresas industriales y comerciales del Estado en vigencia de la Ley de Garantías Electorales no podrán hacer contrataciones bajo la modalidad de contratación directa, </w:t>
            </w:r>
            <w:r w:rsidRPr="00195E24">
              <w:rPr>
                <w:rFonts w:ascii="Verdana" w:hAnsi="Verdana" w:cs="Arial"/>
                <w:color w:val="000000" w:themeColor="text1"/>
                <w:lang w:val="es-MX"/>
              </w:rPr>
              <w:t>sino por mecanismos competitivos que impliquen convocatoria pública y la posibilidad de la existencia de pluralidad de oferentes</w:t>
            </w:r>
            <w:r>
              <w:rPr>
                <w:rFonts w:ascii="Verdana" w:hAnsi="Verdana" w:cs="Arial"/>
                <w:color w:val="000000" w:themeColor="text1"/>
                <w:lang w:val="es-MX"/>
              </w:rPr>
              <w:t xml:space="preserve">. </w:t>
            </w:r>
          </w:p>
          <w:p w14:paraId="36A3C404" w14:textId="77777777" w:rsidR="002C0013" w:rsidRPr="004A19C8" w:rsidRDefault="002C0013" w:rsidP="00A1602F">
            <w:pPr>
              <w:widowControl w:val="0"/>
              <w:autoSpaceDE w:val="0"/>
              <w:autoSpaceDN w:val="0"/>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w:t>
            </w:r>
            <w:r w:rsidRPr="00E36918">
              <w:rPr>
                <w:rFonts w:ascii="Verdana" w:eastAsia="Times New Roman" w:hAnsi="Verdana" w:cs="Arial"/>
                <w:bCs/>
                <w:lang w:val="es-ES" w:eastAsia="es-CO" w:bidi="es-ES"/>
              </w:rPr>
              <w:lastRenderedPageBreak/>
              <w:t xml:space="preserve">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E36918">
              <w:rPr>
                <w:rFonts w:ascii="Verdana" w:eastAsia="Times New Roman" w:hAnsi="Verdana" w:cs="Arial"/>
                <w:bCs/>
                <w:lang w:val="es-ES" w:eastAsia="es-CO" w:bidi="es-ES"/>
              </w:rPr>
              <w:t xml:space="preserve"> </w:t>
            </w:r>
          </w:p>
        </w:tc>
      </w:tr>
    </w:tbl>
    <w:p w14:paraId="782AA752" w14:textId="77777777" w:rsidR="002C0013" w:rsidRDefault="002C0013" w:rsidP="002C0013">
      <w:pPr>
        <w:tabs>
          <w:tab w:val="left" w:pos="142"/>
          <w:tab w:val="left" w:pos="284"/>
        </w:tabs>
        <w:spacing w:after="0" w:line="276" w:lineRule="auto"/>
        <w:jc w:val="both"/>
        <w:rPr>
          <w:rFonts w:ascii="Verdana" w:eastAsia="Century Gothic" w:hAnsi="Verdana" w:cs="Century Gothic"/>
          <w:b/>
          <w:bCs/>
        </w:rPr>
      </w:pPr>
    </w:p>
    <w:p w14:paraId="1761DD9E" w14:textId="77777777" w:rsidR="002C0013" w:rsidRPr="005644FE" w:rsidRDefault="002C0013" w:rsidP="002C0013">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207FAE5F" w14:textId="77777777" w:rsidR="002C0013" w:rsidRPr="005644FE" w:rsidRDefault="002C0013" w:rsidP="002C0013">
      <w:pPr>
        <w:pStyle w:val="Prrafodelista"/>
        <w:tabs>
          <w:tab w:val="left" w:pos="142"/>
          <w:tab w:val="left" w:pos="284"/>
        </w:tabs>
        <w:spacing w:after="0" w:line="240" w:lineRule="auto"/>
        <w:ind w:left="0"/>
        <w:contextualSpacing w:val="0"/>
        <w:jc w:val="both"/>
        <w:rPr>
          <w:rFonts w:ascii="Verdana" w:eastAsia="Calibri" w:hAnsi="Verdana" w:cs="Arial"/>
        </w:rPr>
      </w:pPr>
    </w:p>
    <w:p w14:paraId="5D514049" w14:textId="77777777" w:rsidR="002C0013" w:rsidRDefault="002C0013" w:rsidP="002C0013">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111C1F31" w14:textId="77777777" w:rsidR="002C0013" w:rsidRDefault="002C0013" w:rsidP="002C0013">
      <w:pPr>
        <w:tabs>
          <w:tab w:val="left" w:pos="142"/>
          <w:tab w:val="left" w:pos="284"/>
        </w:tabs>
        <w:spacing w:after="0" w:line="240" w:lineRule="auto"/>
        <w:jc w:val="both"/>
        <w:rPr>
          <w:rFonts w:ascii="Verdana" w:eastAsia="Calibri" w:hAnsi="Verdana" w:cs="Arial"/>
        </w:rPr>
      </w:pPr>
    </w:p>
    <w:p w14:paraId="7EE55923" w14:textId="77777777" w:rsidR="002C0013" w:rsidRPr="00F10E52" w:rsidRDefault="002C0013" w:rsidP="002C0013">
      <w:pPr>
        <w:tabs>
          <w:tab w:val="left" w:pos="426"/>
        </w:tabs>
        <w:spacing w:after="120" w:line="276" w:lineRule="auto"/>
        <w:jc w:val="both"/>
        <w:rPr>
          <w:rFonts w:ascii="Verdana" w:eastAsia="Times New Roman" w:hAnsi="Verdana" w:cs="Arial"/>
          <w:bCs/>
          <w:lang w:eastAsia="es-CO"/>
        </w:rPr>
      </w:pP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3F9998B7" w14:textId="77777777" w:rsidR="002C0013" w:rsidRDefault="002C0013" w:rsidP="002C0013">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w:t>
      </w:r>
      <w:r w:rsidRPr="00F10E52">
        <w:rPr>
          <w:rFonts w:ascii="Verdana" w:eastAsia="Times New Roman" w:hAnsi="Verdana" w:cs="Arial"/>
          <w:bCs/>
          <w:lang w:eastAsia="es-CO"/>
        </w:rPr>
        <w:lastRenderedPageBreak/>
        <w:t>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028467D8" w14:textId="77777777" w:rsidR="002C0013" w:rsidRDefault="002C0013" w:rsidP="002C0013">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2C908843" w14:textId="77777777" w:rsidR="002C0013" w:rsidRPr="00F10E52" w:rsidRDefault="002C0013" w:rsidP="002C0013">
      <w:pPr>
        <w:tabs>
          <w:tab w:val="left" w:pos="426"/>
        </w:tabs>
        <w:spacing w:after="0" w:line="276" w:lineRule="auto"/>
        <w:ind w:firstLine="709"/>
        <w:jc w:val="both"/>
        <w:rPr>
          <w:rFonts w:ascii="Verdana" w:eastAsia="Times New Roman" w:hAnsi="Verdana" w:cs="Arial"/>
          <w:bCs/>
          <w:lang w:eastAsia="es-CO"/>
        </w:rPr>
      </w:pPr>
    </w:p>
    <w:p w14:paraId="3FC82E0F" w14:textId="77777777" w:rsidR="002C0013" w:rsidRPr="007777F3" w:rsidRDefault="002C0013" w:rsidP="002C0013">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7D9BDD5F" w14:textId="77777777" w:rsidR="002C0013" w:rsidRPr="009E6EDF" w:rsidRDefault="002C0013" w:rsidP="002C0013">
      <w:pPr>
        <w:spacing w:after="0" w:line="240" w:lineRule="auto"/>
        <w:ind w:left="709" w:right="709"/>
        <w:jc w:val="both"/>
        <w:rPr>
          <w:rFonts w:ascii="Verdana" w:eastAsia="Times New Roman" w:hAnsi="Verdana" w:cs="Arial"/>
          <w:bCs/>
          <w:sz w:val="20"/>
          <w:szCs w:val="20"/>
          <w:lang w:eastAsia="es-CO"/>
        </w:rPr>
      </w:pPr>
    </w:p>
    <w:p w14:paraId="5F88833D" w14:textId="77777777" w:rsidR="002C0013" w:rsidRDefault="002C0013" w:rsidP="002C0013">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p>
    <w:p w14:paraId="131FB393" w14:textId="77777777" w:rsidR="002C0013" w:rsidRPr="009E6EDF" w:rsidRDefault="002C0013" w:rsidP="002C0013">
      <w:pPr>
        <w:spacing w:after="0" w:line="276" w:lineRule="auto"/>
        <w:ind w:left="709" w:right="709"/>
        <w:jc w:val="both"/>
        <w:rPr>
          <w:rFonts w:ascii="Verdana" w:eastAsia="Times New Roman" w:hAnsi="Verdana" w:cs="Arial"/>
          <w:bCs/>
          <w:lang w:eastAsia="es-CO"/>
        </w:rPr>
      </w:pPr>
    </w:p>
    <w:p w14:paraId="4238BDE8" w14:textId="77777777" w:rsidR="002C0013" w:rsidRPr="006A51F6" w:rsidRDefault="002C0013" w:rsidP="002C0013">
      <w:pPr>
        <w:spacing w:after="0" w:line="276" w:lineRule="auto"/>
        <w:ind w:firstLine="709"/>
        <w:jc w:val="both"/>
        <w:rPr>
          <w:rFonts w:ascii="Verdana" w:eastAsia="Times New Roman" w:hAnsi="Verdana" w:cs="Arial"/>
          <w:bCs/>
          <w:lang w:eastAsia="es-CO"/>
        </w:rPr>
      </w:pPr>
      <w:bookmarkStart w:id="1" w:name="_Hlk78818186"/>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1"/>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15DA4D44" w14:textId="77777777" w:rsidR="002C0013" w:rsidRDefault="002C0013" w:rsidP="002C0013">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w:t>
      </w:r>
      <w:r w:rsidRPr="009B20C5">
        <w:rPr>
          <w:rFonts w:ascii="Verdana" w:eastAsia="Times New Roman" w:hAnsi="Verdana" w:cs="Arial"/>
          <w:bCs/>
          <w:sz w:val="20"/>
          <w:szCs w:val="20"/>
          <w:lang w:eastAsia="es-CO"/>
        </w:rPr>
        <w:lastRenderedPageBreak/>
        <w:t>régimen jurídico imperativo y de orden público, razón por la cual no son disponibles ni pueden ser derogadas, modificadas, ampliadas o adicionadas por acuerdo o convenio o acto unilateral.</w:t>
      </w:r>
    </w:p>
    <w:p w14:paraId="72D2F753" w14:textId="77777777" w:rsidR="002C0013" w:rsidRPr="009B20C5" w:rsidRDefault="002C0013" w:rsidP="002C0013">
      <w:pPr>
        <w:spacing w:after="0" w:line="240" w:lineRule="auto"/>
        <w:ind w:left="709" w:right="709"/>
        <w:jc w:val="both"/>
        <w:rPr>
          <w:rFonts w:ascii="Verdana" w:eastAsia="Times New Roman" w:hAnsi="Verdana" w:cs="Arial"/>
          <w:bCs/>
          <w:sz w:val="20"/>
          <w:szCs w:val="20"/>
          <w:lang w:eastAsia="es-CO"/>
        </w:rPr>
      </w:pPr>
    </w:p>
    <w:p w14:paraId="22673240" w14:textId="77777777" w:rsidR="002C0013" w:rsidRPr="009B20C5" w:rsidRDefault="002C0013" w:rsidP="002C0013">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6BFF87E8" w14:textId="77777777" w:rsidR="002C0013" w:rsidRDefault="002C0013" w:rsidP="002C0013">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450DB422" w14:textId="77777777" w:rsidR="002C0013" w:rsidRDefault="002C0013" w:rsidP="002C0013">
      <w:pPr>
        <w:spacing w:after="120" w:line="276" w:lineRule="auto"/>
        <w:ind w:firstLine="708"/>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2"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9C46913" w14:textId="77777777" w:rsidR="002C0013" w:rsidRPr="00F10E52" w:rsidRDefault="002C0013" w:rsidP="002C0013">
      <w:pPr>
        <w:spacing w:after="12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2"/>
    </w:p>
    <w:p w14:paraId="3EFFC6E2" w14:textId="77777777" w:rsidR="002C0013" w:rsidRPr="00F10E52" w:rsidRDefault="002C0013" w:rsidP="002C0013">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F10E52">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757DA2CA" w14:textId="77777777" w:rsidR="002C0013" w:rsidRDefault="002C0013" w:rsidP="002C0013">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6FDB25A7" w14:textId="77777777" w:rsidR="002C0013" w:rsidRPr="00F10E52" w:rsidRDefault="002C0013" w:rsidP="002C0013">
      <w:pPr>
        <w:widowControl w:val="0"/>
        <w:autoSpaceDE w:val="0"/>
        <w:autoSpaceDN w:val="0"/>
        <w:spacing w:before="120" w:after="0" w:line="276" w:lineRule="auto"/>
        <w:ind w:right="113"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454064B0" w14:textId="77777777" w:rsidR="002C0013" w:rsidRPr="006A51F6" w:rsidRDefault="002C0013" w:rsidP="002C0013">
      <w:pPr>
        <w:widowControl w:val="0"/>
        <w:autoSpaceDE w:val="0"/>
        <w:autoSpaceDN w:val="0"/>
        <w:spacing w:after="0" w:line="240" w:lineRule="auto"/>
        <w:ind w:left="709" w:right="709"/>
        <w:jc w:val="both"/>
        <w:rPr>
          <w:rFonts w:ascii="Verdana" w:eastAsia="Arial" w:hAnsi="Verdana" w:cs="Arial"/>
          <w:lang w:val="es-ES" w:eastAsia="es-ES" w:bidi="es-ES"/>
        </w:rPr>
      </w:pPr>
    </w:p>
    <w:p w14:paraId="526398DD" w14:textId="77777777" w:rsidR="002C0013" w:rsidRPr="009B20C5" w:rsidRDefault="002C0013" w:rsidP="002C0013">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5" w:name="_Hlk76109421"/>
      <w:r w:rsidRPr="009B20C5">
        <w:rPr>
          <w:rFonts w:ascii="Verdana" w:eastAsia="Arial" w:hAnsi="Verdana" w:cs="Arial"/>
          <w:sz w:val="20"/>
          <w:szCs w:val="20"/>
          <w:lang w:val="es-ES" w:eastAsia="es-ES" w:bidi="es-ES"/>
        </w:rPr>
        <w:t>se integran parcialmente</w:t>
      </w:r>
      <w:bookmarkEnd w:id="5"/>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w:t>
      </w:r>
      <w:r w:rsidRPr="009B20C5">
        <w:rPr>
          <w:rFonts w:ascii="Verdana" w:eastAsia="Arial" w:hAnsi="Verdana" w:cs="Arial"/>
          <w:bCs/>
          <w:sz w:val="20"/>
          <w:szCs w:val="20"/>
          <w:lang w:val="es-ES" w:eastAsia="es-ES" w:bidi="es-ES"/>
        </w:rPr>
        <w:lastRenderedPageBreak/>
        <w:t xml:space="preserve">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51EC49D3" w14:textId="77777777" w:rsidR="002C0013" w:rsidRDefault="002C0013" w:rsidP="002C0013">
      <w:pPr>
        <w:spacing w:after="0" w:line="276" w:lineRule="auto"/>
        <w:ind w:firstLine="709"/>
        <w:jc w:val="both"/>
        <w:rPr>
          <w:rFonts w:ascii="Verdana" w:eastAsia="Arial" w:hAnsi="Verdana" w:cs="Arial"/>
          <w:lang w:val="es-ES" w:eastAsia="es-ES" w:bidi="es-ES"/>
        </w:rPr>
      </w:pPr>
    </w:p>
    <w:p w14:paraId="70D900EF" w14:textId="77777777" w:rsidR="002C0013" w:rsidRPr="00F10E52" w:rsidRDefault="002C0013" w:rsidP="002C0013">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6" w:name="_Hlk99438241"/>
      <w:r w:rsidRPr="00F10E52">
        <w:rPr>
          <w:rFonts w:ascii="Verdana" w:eastAsia="Arial" w:hAnsi="Verdana" w:cs="Arial"/>
          <w:lang w:val="es-ES" w:eastAsia="es-ES" w:bidi="es-ES"/>
        </w:rPr>
        <w:t xml:space="preserve">, </w:t>
      </w:r>
      <w:bookmarkStart w:id="7" w:name="_Hlk77236420"/>
      <w:bookmarkStart w:id="8" w:name="_Hlk78818435"/>
      <w:bookmarkStart w:id="9"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7"/>
    </w:p>
    <w:bookmarkEnd w:id="6"/>
    <w:bookmarkEnd w:id="8"/>
    <w:p w14:paraId="5005D67F" w14:textId="77777777" w:rsidR="002C0013" w:rsidRPr="00F10E52" w:rsidRDefault="002C0013" w:rsidP="002C0013">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9"/>
    <w:p w14:paraId="0B02A1C7" w14:textId="77777777" w:rsidR="002C0013" w:rsidRDefault="002C0013" w:rsidP="002C0013">
      <w:pPr>
        <w:spacing w:after="120" w:line="276" w:lineRule="auto"/>
        <w:ind w:firstLine="708"/>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w:t>
      </w:r>
      <w:r w:rsidRPr="00F10E52">
        <w:rPr>
          <w:rFonts w:ascii="Verdana" w:eastAsia="Arial" w:hAnsi="Verdana" w:cs="Arial"/>
          <w:lang w:val="es-ES" w:eastAsia="es-ES" w:bidi="es-ES"/>
        </w:rPr>
        <w:lastRenderedPageBreak/>
        <w:t xml:space="preserve">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7F050863" w14:textId="77777777" w:rsidR="002C0013" w:rsidRDefault="002C0013" w:rsidP="002C0013">
      <w:pPr>
        <w:spacing w:after="0" w:line="276" w:lineRule="auto"/>
        <w:ind w:firstLine="708"/>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el objeto de la consulta, a continuación, se hará un análisis sobre la aplicación de la prohibición contenida en el artículo 33 y sus excepciones, relacionada con su ámbito de aplicación y sus destinatarios. </w:t>
      </w:r>
    </w:p>
    <w:p w14:paraId="7F1FA789" w14:textId="77777777" w:rsidR="002C0013" w:rsidRDefault="002C0013" w:rsidP="002C0013">
      <w:pPr>
        <w:spacing w:after="0" w:line="240" w:lineRule="auto"/>
        <w:ind w:firstLine="709"/>
        <w:jc w:val="both"/>
        <w:rPr>
          <w:rFonts w:ascii="Verdana" w:eastAsia="Arial" w:hAnsi="Verdana" w:cs="Arial"/>
          <w:lang w:val="es-ES" w:eastAsia="es-ES" w:bidi="es-ES"/>
        </w:rPr>
      </w:pPr>
    </w:p>
    <w:p w14:paraId="7C6B306C" w14:textId="77777777" w:rsidR="002C0013" w:rsidRPr="007777F3" w:rsidRDefault="002C0013" w:rsidP="002C0013">
      <w:pPr>
        <w:spacing w:after="0" w:line="276" w:lineRule="auto"/>
        <w:ind w:firstLine="708"/>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0" w:name="_Hlk75628761"/>
      <w:r w:rsidRPr="00195E24">
        <w:rPr>
          <w:rFonts w:ascii="Verdana" w:hAnsi="Verdana" w:cs="Arial"/>
          <w:bCs/>
          <w:lang w:eastAsia="x-none"/>
        </w:rPr>
        <w:t xml:space="preserve">en el artículo 33 de la ley 996 de 2005 </w:t>
      </w:r>
      <w:bookmarkEnd w:id="10"/>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372D909A" w14:textId="77777777" w:rsidR="002C0013" w:rsidRPr="00195E24" w:rsidRDefault="002C0013" w:rsidP="002C0013">
      <w:pPr>
        <w:spacing w:after="0" w:line="240" w:lineRule="auto"/>
        <w:jc w:val="both"/>
        <w:rPr>
          <w:rFonts w:ascii="Verdana" w:hAnsi="Verdana" w:cs="Arial"/>
          <w:bCs/>
          <w:lang w:eastAsia="es-CO"/>
        </w:rPr>
      </w:pPr>
    </w:p>
    <w:p w14:paraId="6A11370A" w14:textId="77777777" w:rsidR="002C0013" w:rsidRDefault="002C0013" w:rsidP="002C0013">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31796555" w14:textId="77777777" w:rsidR="002C0013" w:rsidRPr="005800D0" w:rsidRDefault="002C0013" w:rsidP="002C0013">
      <w:pPr>
        <w:spacing w:after="0" w:line="240" w:lineRule="auto"/>
        <w:ind w:left="709" w:right="709"/>
        <w:jc w:val="both"/>
        <w:rPr>
          <w:rFonts w:ascii="Verdana" w:hAnsi="Verdana" w:cs="Arial"/>
          <w:sz w:val="20"/>
          <w:szCs w:val="20"/>
        </w:rPr>
      </w:pPr>
    </w:p>
    <w:p w14:paraId="19313A89" w14:textId="77777777" w:rsidR="002C0013" w:rsidRDefault="002C0013" w:rsidP="002C0013">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1" w:name="_Hlk75741738"/>
      <w:r w:rsidRPr="005800D0">
        <w:rPr>
          <w:rFonts w:ascii="Verdana" w:hAnsi="Verdana" w:cs="Arial"/>
          <w:sz w:val="20"/>
          <w:szCs w:val="20"/>
        </w:rPr>
        <w:t xml:space="preserve">de cualquier sistema que no implique convocatoria pública y posibilidad de pluralidad de oferentes, </w:t>
      </w:r>
      <w:bookmarkEnd w:id="11"/>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109F4648" w14:textId="77777777" w:rsidR="002C0013" w:rsidRPr="005800D0" w:rsidRDefault="002C0013" w:rsidP="002C0013">
      <w:pPr>
        <w:spacing w:after="0" w:line="240" w:lineRule="auto"/>
        <w:ind w:left="709" w:right="709"/>
        <w:jc w:val="both"/>
        <w:rPr>
          <w:rFonts w:ascii="Verdana" w:hAnsi="Verdana" w:cs="Arial"/>
        </w:rPr>
      </w:pPr>
    </w:p>
    <w:p w14:paraId="4957E796" w14:textId="77777777" w:rsidR="002C0013" w:rsidRPr="00195E24" w:rsidRDefault="002C0013" w:rsidP="002C0013">
      <w:pPr>
        <w:spacing w:after="120" w:line="276" w:lineRule="auto"/>
        <w:ind w:firstLine="708"/>
        <w:jc w:val="both"/>
        <w:rPr>
          <w:rFonts w:ascii="Verdana" w:hAnsi="Verdana" w:cs="Arial"/>
          <w:bCs/>
          <w:lang w:eastAsia="x-none"/>
        </w:rPr>
      </w:pPr>
      <w:bookmarkStart w:id="13" w:name="_Hlk94521748"/>
      <w:r w:rsidRPr="00195E24">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195E24">
        <w:rPr>
          <w:rFonts w:ascii="Verdana" w:hAnsi="Verdana" w:cs="Arial"/>
          <w:lang w:eastAsia="x-none"/>
        </w:rPr>
        <w:t xml:space="preserve">cualquier sistema que no implique </w:t>
      </w:r>
      <w:r w:rsidRPr="00195E24">
        <w:rPr>
          <w:rFonts w:ascii="Verdana" w:hAnsi="Verdana" w:cs="Arial"/>
          <w:lang w:eastAsia="x-none"/>
        </w:rPr>
        <w:lastRenderedPageBreak/>
        <w:t>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3"/>
    <w:p w14:paraId="4C5C3E82" w14:textId="77777777" w:rsidR="002C0013" w:rsidRPr="00195E24" w:rsidRDefault="002C0013" w:rsidP="002C0013">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195E24">
        <w:rPr>
          <w:rFonts w:ascii="Verdana" w:hAnsi="Verdana" w:cs="Arial"/>
          <w:i/>
          <w:iCs/>
          <w:sz w:val="19"/>
          <w:szCs w:val="19"/>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09D6D2FA" w14:textId="77777777" w:rsidR="002C0013" w:rsidRPr="00195E24" w:rsidRDefault="002C0013" w:rsidP="002C0013">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4"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4"/>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11687AD1" w14:textId="77777777" w:rsidR="002C0013" w:rsidRPr="00CE0712" w:rsidRDefault="002C0013" w:rsidP="002C0013">
      <w:pPr>
        <w:spacing w:after="120" w:line="276" w:lineRule="auto"/>
        <w:ind w:firstLine="709"/>
        <w:jc w:val="both"/>
        <w:rPr>
          <w:rFonts w:ascii="Verdana" w:hAnsi="Verdana" w:cs="Arial"/>
          <w:bCs/>
          <w:lang w:eastAsia="es-CO"/>
        </w:rPr>
      </w:pPr>
      <w:r w:rsidRPr="00195E24">
        <w:rPr>
          <w:rFonts w:ascii="Verdana" w:hAnsi="Verdana" w:cs="Arial"/>
          <w:bCs/>
          <w:lang w:eastAsia="es-CO"/>
        </w:rPr>
        <w:lastRenderedPageBreak/>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703C6E07" w14:textId="77777777" w:rsidR="002C0013" w:rsidRPr="00065D8F" w:rsidRDefault="002C0013" w:rsidP="002C0013">
      <w:pPr>
        <w:spacing w:after="120" w:line="276" w:lineRule="auto"/>
        <w:ind w:firstLine="709"/>
        <w:jc w:val="both"/>
        <w:rPr>
          <w:rFonts w:ascii="Arial" w:hAnsi="Arial" w:cs="Arial"/>
          <w:bCs/>
          <w:lang w:eastAsia="x-none"/>
        </w:rPr>
      </w:pPr>
      <w:bookmarkStart w:id="15"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065D8F">
        <w:rPr>
          <w:rFonts w:ascii="Arial" w:hAnsi="Arial" w:cs="Arial"/>
          <w:vertAlign w:val="superscript"/>
          <w:lang w:eastAsia="x-none"/>
        </w:rPr>
        <w:footnoteReference w:id="17"/>
      </w:r>
      <w:r w:rsidRPr="00065D8F">
        <w:rPr>
          <w:rFonts w:ascii="Arial" w:hAnsi="Arial" w:cs="Arial"/>
          <w:bCs/>
          <w:lang w:eastAsia="x-none"/>
        </w:rPr>
        <w:t>.</w:t>
      </w:r>
      <w:r w:rsidRPr="00065D8F">
        <w:rPr>
          <w:rFonts w:ascii="Arial" w:hAnsi="Arial" w:cs="Arial"/>
          <w:vertAlign w:val="superscript"/>
          <w:lang w:eastAsia="x-none"/>
        </w:rPr>
        <w:t xml:space="preserve"> </w:t>
      </w:r>
    </w:p>
    <w:bookmarkEnd w:id="15"/>
    <w:p w14:paraId="5955F508" w14:textId="77777777" w:rsidR="002C0013" w:rsidRDefault="002C0013" w:rsidP="002C0013">
      <w:pPr>
        <w:spacing w:after="0" w:line="276" w:lineRule="auto"/>
        <w:ind w:firstLine="709"/>
        <w:jc w:val="both"/>
        <w:rPr>
          <w:rFonts w:ascii="Arial" w:hAnsi="Arial" w:cs="Arial"/>
          <w:lang w:eastAsia="x-none"/>
        </w:rPr>
      </w:pPr>
      <w:r w:rsidRPr="00195E24">
        <w:rPr>
          <w:rFonts w:ascii="Verdana"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195E24">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r w:rsidRPr="00065D8F">
        <w:rPr>
          <w:rFonts w:ascii="Arial" w:hAnsi="Arial" w:cs="Arial"/>
          <w:lang w:eastAsia="x-none"/>
        </w:rPr>
        <w:t>.</w:t>
      </w:r>
    </w:p>
    <w:p w14:paraId="51A622B9" w14:textId="77777777" w:rsidR="002C0013" w:rsidRDefault="002C0013" w:rsidP="002C0013">
      <w:pPr>
        <w:spacing w:after="0" w:line="240" w:lineRule="auto"/>
        <w:jc w:val="both"/>
        <w:rPr>
          <w:rFonts w:ascii="Arial" w:hAnsi="Arial" w:cs="Arial"/>
        </w:rPr>
      </w:pPr>
    </w:p>
    <w:p w14:paraId="6D8F05D8" w14:textId="77777777" w:rsidR="002C0013" w:rsidRDefault="002C0013" w:rsidP="002C0013">
      <w:pPr>
        <w:spacing w:after="0" w:line="276" w:lineRule="auto"/>
        <w:ind w:firstLine="709"/>
        <w:jc w:val="both"/>
        <w:rPr>
          <w:rFonts w:ascii="Verdana" w:hAnsi="Verdana" w:cs="Arial"/>
          <w:bCs/>
          <w:lang w:eastAsia="x-none"/>
        </w:rPr>
      </w:pPr>
      <w:r w:rsidRPr="73D21086">
        <w:rPr>
          <w:rFonts w:ascii="Verdana" w:hAnsi="Verdana" w:cs="Arial"/>
        </w:rPr>
        <w:t xml:space="preserve">Como en otras oportunidades lo ha manifestado esta Agencia, las prórrogas, modificaciones o adiciones de los contratos suscritos antes de la </w:t>
      </w:r>
      <w:proofErr w:type="gramStart"/>
      <w:r w:rsidRPr="73D21086">
        <w:rPr>
          <w:rFonts w:ascii="Verdana" w:hAnsi="Verdana" w:cs="Arial"/>
        </w:rPr>
        <w:t>entrada en vigencia</w:t>
      </w:r>
      <w:proofErr w:type="gramEnd"/>
      <w:r w:rsidRPr="73D21086">
        <w:rPr>
          <w:rFonts w:ascii="Verdana" w:hAnsi="Verdana" w:cs="Arial"/>
        </w:rPr>
        <w:t xml:space="preserve"> de las prohibiciones anotadas, así como la cesión de </w:t>
      </w:r>
      <w:proofErr w:type="gramStart"/>
      <w:r w:rsidRPr="73D21086">
        <w:rPr>
          <w:rFonts w:ascii="Verdana" w:hAnsi="Verdana" w:cs="Arial"/>
        </w:rPr>
        <w:t>los mismos</w:t>
      </w:r>
      <w:proofErr w:type="gramEnd"/>
      <w:r w:rsidRPr="73D21086">
        <w:rPr>
          <w:rFonts w:ascii="Verdana" w:hAnsi="Verdana" w:cs="Arial"/>
        </w:rPr>
        <w:t>, pueden tener lugar en el período de aplicación de la Ley de Garantías, sin que ello haga nugatoria la restricción de la contratación directa y siempre que cumplan los principios de planeación, transparencia y responsabilidad.</w:t>
      </w:r>
    </w:p>
    <w:p w14:paraId="22E02C3A" w14:textId="77777777" w:rsidR="002C0013" w:rsidRDefault="002C0013" w:rsidP="002C0013">
      <w:pPr>
        <w:spacing w:after="0" w:line="240" w:lineRule="auto"/>
        <w:jc w:val="both"/>
        <w:rPr>
          <w:rFonts w:ascii="Verdana" w:hAnsi="Verdana" w:cs="Arial"/>
          <w:bCs/>
          <w:lang w:eastAsia="x-none"/>
        </w:rPr>
      </w:pPr>
    </w:p>
    <w:p w14:paraId="0D0D712F" w14:textId="77777777" w:rsidR="002C0013" w:rsidRDefault="002C0013" w:rsidP="002C0013">
      <w:pPr>
        <w:spacing w:after="0" w:line="276" w:lineRule="auto"/>
        <w:ind w:firstLine="709"/>
        <w:jc w:val="both"/>
        <w:rPr>
          <w:rFonts w:ascii="Verdana" w:eastAsia="Calibri" w:hAnsi="Verdana" w:cs="Arial"/>
          <w:color w:val="000000" w:themeColor="text1"/>
        </w:rPr>
      </w:pPr>
      <w:r>
        <w:rPr>
          <w:rFonts w:ascii="Verdana" w:eastAsia="Calibri" w:hAnsi="Verdana" w:cs="Arial"/>
          <w:lang w:val="es-ES"/>
        </w:rPr>
        <w:t>Ahora bien, f</w:t>
      </w:r>
      <w:r w:rsidRPr="00515C0B">
        <w:rPr>
          <w:rFonts w:ascii="Verdana" w:eastAsia="Calibri" w:hAnsi="Verdana" w:cs="Arial"/>
          <w:lang w:val="es-ES"/>
        </w:rPr>
        <w:t xml:space="preserve">rente al cuestionamiento planteado es necesario </w:t>
      </w:r>
      <w:r>
        <w:rPr>
          <w:rFonts w:ascii="Verdana" w:eastAsia="Calibri" w:hAnsi="Verdana" w:cs="Arial"/>
          <w:lang w:val="es-ES"/>
        </w:rPr>
        <w:t>señalar</w:t>
      </w:r>
      <w:r w:rsidRPr="00515C0B">
        <w:rPr>
          <w:rFonts w:ascii="Verdana" w:eastAsia="Calibri" w:hAnsi="Verdana" w:cs="Arial"/>
          <w:lang w:val="es-ES"/>
        </w:rPr>
        <w:t xml:space="preserve"> que dentro de la estructura de la Administración Pública se encuentran las entidades descentralizadas por servicios. A esta categoría pertenecen las Empresas Industriales y Comerciales del Estado, las cuales –sin perjuicio del control de </w:t>
      </w:r>
      <w:r w:rsidRPr="00515C0B">
        <w:rPr>
          <w:rFonts w:ascii="Verdana" w:eastAsia="Calibri" w:hAnsi="Verdana" w:cs="Arial"/>
          <w:lang w:val="es-ES"/>
        </w:rPr>
        <w:lastRenderedPageBreak/>
        <w:t>tutela– tienen personería jurídica, autonomía administrativa y patrimonio propio. Estas entidades, como su nombre lo indica, se caracterizan por desarrollar actividades de carácter industrial o comercial.</w:t>
      </w:r>
      <w:r>
        <w:rPr>
          <w:rFonts w:ascii="Verdana" w:eastAsia="Calibri" w:hAnsi="Verdana" w:cs="Arial"/>
          <w:lang w:val="es-ES"/>
        </w:rPr>
        <w:t xml:space="preserve"> </w:t>
      </w:r>
      <w:r w:rsidRPr="008B2333">
        <w:rPr>
          <w:rFonts w:ascii="Verdana" w:eastAsia="Calibri" w:hAnsi="Verdana" w:cs="Arial"/>
          <w:color w:val="000000" w:themeColor="text1"/>
        </w:rPr>
        <w:t>Así, por ejemplo, son E</w:t>
      </w:r>
      <w:r>
        <w:rPr>
          <w:rFonts w:ascii="Verdana" w:eastAsia="Calibri" w:hAnsi="Verdana" w:cs="Arial"/>
          <w:color w:val="000000" w:themeColor="text1"/>
        </w:rPr>
        <w:t xml:space="preserve">mpresas </w:t>
      </w:r>
      <w:r w:rsidRPr="008B2333">
        <w:rPr>
          <w:rFonts w:ascii="Verdana" w:eastAsia="Calibri" w:hAnsi="Verdana" w:cs="Arial"/>
          <w:color w:val="000000" w:themeColor="text1"/>
        </w:rPr>
        <w:t>I</w:t>
      </w:r>
      <w:r>
        <w:rPr>
          <w:rFonts w:ascii="Verdana" w:eastAsia="Calibri" w:hAnsi="Verdana" w:cs="Arial"/>
          <w:color w:val="000000" w:themeColor="text1"/>
        </w:rPr>
        <w:t xml:space="preserve">ndustriales y </w:t>
      </w:r>
      <w:r w:rsidRPr="008B2333">
        <w:rPr>
          <w:rFonts w:ascii="Verdana" w:eastAsia="Calibri" w:hAnsi="Verdana" w:cs="Arial"/>
          <w:color w:val="000000" w:themeColor="text1"/>
        </w:rPr>
        <w:t>C</w:t>
      </w:r>
      <w:r>
        <w:rPr>
          <w:rFonts w:ascii="Verdana" w:eastAsia="Calibri" w:hAnsi="Verdana" w:cs="Arial"/>
          <w:color w:val="000000" w:themeColor="text1"/>
        </w:rPr>
        <w:t xml:space="preserve">omerciales del </w:t>
      </w:r>
      <w:r w:rsidRPr="008B2333">
        <w:rPr>
          <w:rFonts w:ascii="Verdana" w:eastAsia="Calibri" w:hAnsi="Verdana" w:cs="Arial"/>
          <w:color w:val="000000" w:themeColor="text1"/>
        </w:rPr>
        <w:t>E</w:t>
      </w:r>
      <w:r>
        <w:rPr>
          <w:rFonts w:ascii="Verdana" w:eastAsia="Calibri" w:hAnsi="Verdana" w:cs="Arial"/>
          <w:color w:val="000000" w:themeColor="text1"/>
        </w:rPr>
        <w:t>stado</w:t>
      </w:r>
      <w:r w:rsidRPr="008B2333">
        <w:rPr>
          <w:rFonts w:ascii="Verdana" w:eastAsia="Calibri" w:hAnsi="Verdana" w:cs="Arial"/>
          <w:color w:val="000000" w:themeColor="text1"/>
        </w:rPr>
        <w:t xml:space="preserve"> la Imprenta Nacional de Colombia, Coljuegos, Indumil, la Caja Promotora de Vivienda Militar y de Policía, Colpensiones, entre otras</w:t>
      </w:r>
      <w:r w:rsidRPr="008B2333">
        <w:rPr>
          <w:rFonts w:ascii="Verdana" w:hAnsi="Verdana"/>
          <w:vertAlign w:val="superscript"/>
        </w:rPr>
        <w:footnoteReference w:id="18"/>
      </w:r>
      <w:r w:rsidRPr="008B2333">
        <w:rPr>
          <w:rFonts w:ascii="Verdana" w:eastAsia="Calibri" w:hAnsi="Verdana" w:cs="Arial"/>
          <w:color w:val="000000" w:themeColor="text1"/>
        </w:rPr>
        <w:t>.</w:t>
      </w:r>
    </w:p>
    <w:p w14:paraId="57BBCFD2" w14:textId="77777777" w:rsidR="002C0013" w:rsidRPr="001276FB" w:rsidRDefault="002C0013" w:rsidP="002C0013">
      <w:pPr>
        <w:spacing w:after="0" w:line="240" w:lineRule="auto"/>
        <w:ind w:firstLine="709"/>
        <w:jc w:val="both"/>
        <w:rPr>
          <w:rFonts w:ascii="Verdana" w:hAnsi="Verdana" w:cs="Arial"/>
          <w:bCs/>
          <w:lang w:eastAsia="x-none"/>
        </w:rPr>
      </w:pPr>
    </w:p>
    <w:p w14:paraId="5B208A86" w14:textId="77777777" w:rsidR="002C0013" w:rsidRDefault="002C0013" w:rsidP="002C0013">
      <w:pPr>
        <w:spacing w:after="0" w:line="276" w:lineRule="auto"/>
        <w:ind w:firstLine="708"/>
        <w:jc w:val="both"/>
        <w:rPr>
          <w:rFonts w:ascii="Verdana" w:eastAsia="Calibri" w:hAnsi="Verdana" w:cs="Arial"/>
          <w:lang w:val="es-ES"/>
        </w:rPr>
      </w:pPr>
      <w:r w:rsidRPr="00515C0B">
        <w:rPr>
          <w:rFonts w:ascii="Verdana" w:eastAsia="Calibri" w:hAnsi="Verdana" w:cs="Arial"/>
          <w:lang w:val="es-ES"/>
        </w:rPr>
        <w:t>Las Empresas Industriales y Comerciales del Estado, bajo la denominación de Entidades Estatales, quedaron sometidas al Estatuto General de Contratación de la Administración Pública –Ley 80 de 1993, artículo 2, numeral 1, literal a</w:t>
      </w:r>
      <w:r w:rsidRPr="00515C0B">
        <w:rPr>
          <w:rFonts w:ascii="Verdana" w:eastAsia="Calibri" w:hAnsi="Verdana" w:cs="Arial"/>
          <w:vertAlign w:val="superscript"/>
          <w:lang w:val="es-ES"/>
        </w:rPr>
        <w:footnoteReference w:id="19"/>
      </w:r>
      <w:r w:rsidRPr="00515C0B">
        <w:rPr>
          <w:rFonts w:ascii="Verdana" w:eastAsia="Calibri" w:hAnsi="Verdana" w:cs="Arial"/>
          <w:lang w:val="es-ES"/>
        </w:rPr>
        <w:t>. Posteriormente, la Ley 489 de 1998, mediante el cual se regula la organización y funcionamiento de las entidades de orden nacional, en su artículo 93 estableció el régimen jurídico aplicable a los contratos celebrados por las Empresas Industriales y Comerciales del Estado, como sigue:</w:t>
      </w:r>
    </w:p>
    <w:p w14:paraId="0A6F0B5A" w14:textId="77777777" w:rsidR="002C0013" w:rsidRPr="00515C0B" w:rsidRDefault="002C0013" w:rsidP="002C0013">
      <w:pPr>
        <w:spacing w:after="0" w:line="240" w:lineRule="auto"/>
        <w:jc w:val="both"/>
        <w:rPr>
          <w:rFonts w:ascii="Verdana" w:eastAsia="Calibri" w:hAnsi="Verdana" w:cs="Arial"/>
          <w:lang w:val="es-ES"/>
        </w:rPr>
      </w:pPr>
    </w:p>
    <w:p w14:paraId="611338E9" w14:textId="77777777" w:rsidR="002C0013" w:rsidRDefault="002C0013" w:rsidP="002C0013">
      <w:pPr>
        <w:spacing w:after="0" w:line="240" w:lineRule="auto"/>
        <w:ind w:left="709" w:right="709"/>
        <w:contextualSpacing/>
        <w:jc w:val="both"/>
        <w:rPr>
          <w:rFonts w:ascii="Verdana" w:eastAsia="Times New Roman" w:hAnsi="Verdana" w:cs="Arial"/>
          <w:sz w:val="20"/>
          <w:szCs w:val="20"/>
          <w:lang w:eastAsia="es-ES_tradnl"/>
        </w:rPr>
      </w:pPr>
      <w:r w:rsidRPr="73D21086">
        <w:rPr>
          <w:rFonts w:ascii="Verdana" w:eastAsia="Times New Roman" w:hAnsi="Verdana" w:cs="Arial"/>
          <w:sz w:val="20"/>
          <w:szCs w:val="20"/>
          <w:lang w:eastAsia="es-ES"/>
        </w:rPr>
        <w:t>“Artículo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p>
    <w:p w14:paraId="397B2BD8" w14:textId="77777777" w:rsidR="002C0013" w:rsidRPr="00CE0712" w:rsidRDefault="002C0013" w:rsidP="002C0013">
      <w:pPr>
        <w:spacing w:after="0" w:line="240" w:lineRule="auto"/>
        <w:ind w:left="709" w:right="709"/>
        <w:contextualSpacing/>
        <w:jc w:val="both"/>
        <w:rPr>
          <w:rFonts w:ascii="Verdana" w:eastAsia="Times New Roman" w:hAnsi="Verdana" w:cs="Arial"/>
          <w:sz w:val="20"/>
          <w:szCs w:val="20"/>
          <w:lang w:eastAsia="es-ES_tradnl"/>
        </w:rPr>
      </w:pPr>
    </w:p>
    <w:p w14:paraId="454DD835" w14:textId="77777777" w:rsidR="002C0013" w:rsidRDefault="002C0013" w:rsidP="002C0013">
      <w:pPr>
        <w:widowControl w:val="0"/>
        <w:autoSpaceDE w:val="0"/>
        <w:autoSpaceDN w:val="0"/>
        <w:spacing w:after="0" w:line="276" w:lineRule="auto"/>
        <w:ind w:firstLine="708"/>
        <w:jc w:val="both"/>
        <w:rPr>
          <w:rFonts w:ascii="Verdana" w:eastAsia="Verdana" w:hAnsi="Verdana" w:cs="Verdana"/>
          <w:lang w:val="es-ES"/>
        </w:rPr>
      </w:pPr>
      <w:bookmarkStart w:id="16" w:name="_bookmark7"/>
      <w:bookmarkEnd w:id="16"/>
      <w:r w:rsidRPr="00515C0B">
        <w:rPr>
          <w:rFonts w:ascii="Verdana" w:eastAsia="Verdana" w:hAnsi="Verdana" w:cs="Verdana"/>
          <w:lang w:val="es-ES"/>
        </w:rPr>
        <w:t>No obstante las dificultades hermenéuticas que suscitaba la disposición anterior,</w:t>
      </w:r>
      <w:r w:rsidRPr="00515C0B">
        <w:rPr>
          <w:rFonts w:ascii="Verdana" w:eastAsia="Verdana" w:hAnsi="Verdana" w:cs="Verdana"/>
          <w:spacing w:val="-8"/>
          <w:lang w:val="es-ES"/>
        </w:rPr>
        <w:t xml:space="preserve"> </w:t>
      </w:r>
      <w:r w:rsidRPr="00515C0B">
        <w:rPr>
          <w:rFonts w:ascii="Verdana" w:eastAsia="Verdana" w:hAnsi="Verdana" w:cs="Verdana"/>
          <w:lang w:val="es-ES"/>
        </w:rPr>
        <w:t>el</w:t>
      </w:r>
      <w:r w:rsidRPr="00515C0B">
        <w:rPr>
          <w:rFonts w:ascii="Verdana" w:eastAsia="Verdana" w:hAnsi="Verdana" w:cs="Verdana"/>
          <w:spacing w:val="-8"/>
          <w:lang w:val="es-ES"/>
        </w:rPr>
        <w:t xml:space="preserve"> </w:t>
      </w:r>
      <w:r w:rsidRPr="00515C0B">
        <w:rPr>
          <w:rFonts w:ascii="Verdana" w:eastAsia="Verdana" w:hAnsi="Verdana" w:cs="Verdana"/>
          <w:lang w:val="es-ES"/>
        </w:rPr>
        <w:t>artículo</w:t>
      </w:r>
      <w:r w:rsidRPr="00515C0B">
        <w:rPr>
          <w:rFonts w:ascii="Verdana" w:eastAsia="Verdana" w:hAnsi="Verdana" w:cs="Verdana"/>
          <w:spacing w:val="-7"/>
          <w:lang w:val="es-ES"/>
        </w:rPr>
        <w:t xml:space="preserve"> </w:t>
      </w:r>
      <w:r w:rsidRPr="00515C0B">
        <w:rPr>
          <w:rFonts w:ascii="Verdana" w:eastAsia="Verdana" w:hAnsi="Verdana" w:cs="Verdana"/>
          <w:lang w:val="es-ES"/>
        </w:rPr>
        <w:t>14</w:t>
      </w:r>
      <w:r w:rsidRPr="00515C0B">
        <w:rPr>
          <w:rFonts w:ascii="Verdana" w:eastAsia="Verdana" w:hAnsi="Verdana" w:cs="Verdana"/>
          <w:spacing w:val="-8"/>
          <w:lang w:val="es-ES"/>
        </w:rPr>
        <w:t xml:space="preserve"> </w:t>
      </w:r>
      <w:r w:rsidRPr="00515C0B">
        <w:rPr>
          <w:rFonts w:ascii="Verdana" w:eastAsia="Verdana" w:hAnsi="Verdana" w:cs="Verdana"/>
          <w:lang w:val="es-ES"/>
        </w:rPr>
        <w:t>de</w:t>
      </w:r>
      <w:r w:rsidRPr="00515C0B">
        <w:rPr>
          <w:rFonts w:ascii="Verdana" w:eastAsia="Verdana" w:hAnsi="Verdana" w:cs="Verdana"/>
          <w:spacing w:val="-9"/>
          <w:lang w:val="es-ES"/>
        </w:rPr>
        <w:t xml:space="preserve"> </w:t>
      </w:r>
      <w:r w:rsidRPr="00515C0B">
        <w:rPr>
          <w:rFonts w:ascii="Verdana" w:eastAsia="Verdana" w:hAnsi="Verdana" w:cs="Verdana"/>
          <w:lang w:val="es-ES"/>
        </w:rPr>
        <w:t>la</w:t>
      </w:r>
      <w:r w:rsidRPr="00515C0B">
        <w:rPr>
          <w:rFonts w:ascii="Verdana" w:eastAsia="Verdana" w:hAnsi="Verdana" w:cs="Verdana"/>
          <w:spacing w:val="-10"/>
          <w:lang w:val="es-ES"/>
        </w:rPr>
        <w:t xml:space="preserve"> </w:t>
      </w:r>
      <w:r w:rsidRPr="00515C0B">
        <w:rPr>
          <w:rFonts w:ascii="Verdana" w:eastAsia="Verdana" w:hAnsi="Verdana" w:cs="Verdana"/>
          <w:lang w:val="es-ES"/>
        </w:rPr>
        <w:t>Ley</w:t>
      </w:r>
      <w:r w:rsidRPr="00515C0B">
        <w:rPr>
          <w:rFonts w:ascii="Verdana" w:eastAsia="Verdana" w:hAnsi="Verdana" w:cs="Verdana"/>
          <w:spacing w:val="-8"/>
          <w:lang w:val="es-ES"/>
        </w:rPr>
        <w:t xml:space="preserve"> </w:t>
      </w:r>
      <w:r w:rsidRPr="00515C0B">
        <w:rPr>
          <w:rFonts w:ascii="Verdana" w:eastAsia="Verdana" w:hAnsi="Verdana" w:cs="Verdana"/>
          <w:lang w:val="es-ES"/>
        </w:rPr>
        <w:t>1150</w:t>
      </w:r>
      <w:r w:rsidRPr="00515C0B">
        <w:rPr>
          <w:rFonts w:ascii="Verdana" w:eastAsia="Verdana" w:hAnsi="Verdana" w:cs="Verdana"/>
          <w:spacing w:val="-8"/>
          <w:lang w:val="es-ES"/>
        </w:rPr>
        <w:t xml:space="preserve"> </w:t>
      </w:r>
      <w:r w:rsidRPr="00515C0B">
        <w:rPr>
          <w:rFonts w:ascii="Verdana" w:eastAsia="Verdana" w:hAnsi="Verdana" w:cs="Verdana"/>
          <w:lang w:val="es-ES"/>
        </w:rPr>
        <w:t>de</w:t>
      </w:r>
      <w:r w:rsidRPr="00515C0B">
        <w:rPr>
          <w:rFonts w:ascii="Verdana" w:eastAsia="Verdana" w:hAnsi="Verdana" w:cs="Verdana"/>
          <w:spacing w:val="-9"/>
          <w:lang w:val="es-ES"/>
        </w:rPr>
        <w:t xml:space="preserve"> </w:t>
      </w:r>
      <w:r w:rsidRPr="00515C0B">
        <w:rPr>
          <w:rFonts w:ascii="Verdana" w:eastAsia="Verdana" w:hAnsi="Verdana" w:cs="Verdana"/>
          <w:lang w:val="es-ES"/>
        </w:rPr>
        <w:t>2007 –modificado</w:t>
      </w:r>
      <w:r w:rsidRPr="00515C0B">
        <w:rPr>
          <w:rFonts w:ascii="Verdana" w:eastAsia="Verdana" w:hAnsi="Verdana" w:cs="Verdana"/>
          <w:spacing w:val="-7"/>
          <w:lang w:val="es-ES"/>
        </w:rPr>
        <w:t xml:space="preserve"> </w:t>
      </w:r>
      <w:r w:rsidRPr="00515C0B">
        <w:rPr>
          <w:rFonts w:ascii="Verdana" w:eastAsia="Verdana" w:hAnsi="Verdana" w:cs="Verdana"/>
          <w:lang w:val="es-ES"/>
        </w:rPr>
        <w:t>por</w:t>
      </w:r>
      <w:r w:rsidRPr="00515C0B">
        <w:rPr>
          <w:rFonts w:ascii="Verdana" w:eastAsia="Verdana" w:hAnsi="Verdana" w:cs="Verdana"/>
          <w:spacing w:val="-7"/>
          <w:lang w:val="es-ES"/>
        </w:rPr>
        <w:t xml:space="preserve"> </w:t>
      </w:r>
      <w:r w:rsidRPr="00515C0B">
        <w:rPr>
          <w:rFonts w:ascii="Verdana" w:eastAsia="Verdana" w:hAnsi="Verdana" w:cs="Verdana"/>
          <w:lang w:val="es-ES"/>
        </w:rPr>
        <w:t>el</w:t>
      </w:r>
      <w:r w:rsidRPr="00515C0B">
        <w:rPr>
          <w:rFonts w:ascii="Verdana" w:eastAsia="Verdana" w:hAnsi="Verdana" w:cs="Verdana"/>
          <w:spacing w:val="-8"/>
          <w:lang w:val="es-ES"/>
        </w:rPr>
        <w:t xml:space="preserve"> </w:t>
      </w:r>
      <w:r w:rsidRPr="00515C0B">
        <w:rPr>
          <w:rFonts w:ascii="Verdana" w:eastAsia="Verdana" w:hAnsi="Verdana" w:cs="Verdana"/>
          <w:lang w:val="es-ES"/>
        </w:rPr>
        <w:t>artículo</w:t>
      </w:r>
      <w:r w:rsidRPr="00515C0B">
        <w:rPr>
          <w:rFonts w:ascii="Verdana" w:eastAsia="Verdana" w:hAnsi="Verdana" w:cs="Verdana"/>
          <w:spacing w:val="-7"/>
          <w:lang w:val="es-ES"/>
        </w:rPr>
        <w:t xml:space="preserve"> </w:t>
      </w:r>
      <w:r w:rsidRPr="00515C0B">
        <w:rPr>
          <w:rFonts w:ascii="Verdana" w:eastAsia="Verdana" w:hAnsi="Verdana" w:cs="Verdana"/>
          <w:lang w:val="es-ES"/>
        </w:rPr>
        <w:t>93</w:t>
      </w:r>
      <w:r w:rsidRPr="00515C0B">
        <w:rPr>
          <w:rFonts w:ascii="Verdana" w:eastAsia="Verdana" w:hAnsi="Verdana" w:cs="Verdana"/>
          <w:spacing w:val="-12"/>
          <w:lang w:val="es-ES"/>
        </w:rPr>
        <w:t xml:space="preserve"> </w:t>
      </w:r>
      <w:r w:rsidRPr="00515C0B">
        <w:rPr>
          <w:rFonts w:ascii="Verdana" w:eastAsia="Verdana" w:hAnsi="Verdana" w:cs="Verdana"/>
          <w:lang w:val="es-ES"/>
        </w:rPr>
        <w:t xml:space="preserve">de </w:t>
      </w:r>
      <w:r w:rsidRPr="00515C0B">
        <w:rPr>
          <w:rFonts w:ascii="Verdana" w:eastAsia="Verdana" w:hAnsi="Verdana" w:cs="Verdana"/>
          <w:lang w:val="es-ES"/>
        </w:rPr>
        <w:lastRenderedPageBreak/>
        <w:t>la Ley 1474 de 2011– dispuso un régimen exceptivo de aplicación del derecho privado para la actividad contractual de las E</w:t>
      </w:r>
      <w:r>
        <w:rPr>
          <w:rFonts w:ascii="Verdana" w:eastAsia="Verdana" w:hAnsi="Verdana" w:cs="Verdana"/>
          <w:lang w:val="es-ES"/>
        </w:rPr>
        <w:t xml:space="preserve">mpresas </w:t>
      </w:r>
      <w:r w:rsidRPr="00515C0B">
        <w:rPr>
          <w:rFonts w:ascii="Verdana" w:eastAsia="Verdana" w:hAnsi="Verdana" w:cs="Verdana"/>
          <w:lang w:val="es-ES"/>
        </w:rPr>
        <w:t>I</w:t>
      </w:r>
      <w:r>
        <w:rPr>
          <w:rFonts w:ascii="Verdana" w:eastAsia="Verdana" w:hAnsi="Verdana" w:cs="Verdana"/>
          <w:lang w:val="es-ES"/>
        </w:rPr>
        <w:t xml:space="preserve">ndustriales y </w:t>
      </w:r>
      <w:r w:rsidRPr="00515C0B">
        <w:rPr>
          <w:rFonts w:ascii="Verdana" w:eastAsia="Verdana" w:hAnsi="Verdana" w:cs="Verdana"/>
          <w:lang w:val="es-ES"/>
        </w:rPr>
        <w:t>C</w:t>
      </w:r>
      <w:r>
        <w:rPr>
          <w:rFonts w:ascii="Verdana" w:eastAsia="Verdana" w:hAnsi="Verdana" w:cs="Verdana"/>
          <w:lang w:val="es-ES"/>
        </w:rPr>
        <w:t xml:space="preserve">omerciales del </w:t>
      </w:r>
      <w:r w:rsidRPr="00515C0B">
        <w:rPr>
          <w:rFonts w:ascii="Verdana" w:eastAsia="Verdana" w:hAnsi="Verdana" w:cs="Verdana"/>
          <w:lang w:val="es-ES"/>
        </w:rPr>
        <w:t>E</w:t>
      </w:r>
      <w:r>
        <w:rPr>
          <w:rFonts w:ascii="Verdana" w:eastAsia="Verdana" w:hAnsi="Verdana" w:cs="Verdana"/>
          <w:lang w:val="es-ES"/>
        </w:rPr>
        <w:t>stado</w:t>
      </w:r>
      <w:r w:rsidRPr="00515C0B">
        <w:rPr>
          <w:rFonts w:ascii="Verdana" w:eastAsia="Verdana" w:hAnsi="Verdana" w:cs="Verdana"/>
          <w:lang w:val="es-ES"/>
        </w:rPr>
        <w:t xml:space="preserve"> que ejercen su actividad en competencia</w:t>
      </w:r>
      <w:r w:rsidRPr="00515C0B">
        <w:rPr>
          <w:rFonts w:ascii="Verdana" w:eastAsia="Verdana" w:hAnsi="Verdana" w:cs="Verdana"/>
          <w:spacing w:val="-20"/>
          <w:lang w:val="es-ES"/>
        </w:rPr>
        <w:t xml:space="preserve"> </w:t>
      </w:r>
      <w:r w:rsidRPr="00515C0B">
        <w:rPr>
          <w:rFonts w:ascii="Verdana" w:eastAsia="Verdana" w:hAnsi="Verdana" w:cs="Verdana"/>
          <w:lang w:val="es-ES"/>
        </w:rPr>
        <w:t>con</w:t>
      </w:r>
      <w:r w:rsidRPr="00515C0B">
        <w:rPr>
          <w:rFonts w:ascii="Verdana" w:eastAsia="Verdana" w:hAnsi="Verdana" w:cs="Verdana"/>
          <w:spacing w:val="-19"/>
          <w:lang w:val="es-ES"/>
        </w:rPr>
        <w:t xml:space="preserve"> </w:t>
      </w:r>
      <w:r w:rsidRPr="00515C0B">
        <w:rPr>
          <w:rFonts w:ascii="Verdana" w:eastAsia="Verdana" w:hAnsi="Verdana" w:cs="Verdana"/>
          <w:lang w:val="es-ES"/>
        </w:rPr>
        <w:t>el</w:t>
      </w:r>
      <w:r w:rsidRPr="00515C0B">
        <w:rPr>
          <w:rFonts w:ascii="Verdana" w:eastAsia="Verdana" w:hAnsi="Verdana" w:cs="Verdana"/>
          <w:spacing w:val="-19"/>
          <w:lang w:val="es-ES"/>
        </w:rPr>
        <w:t xml:space="preserve"> </w:t>
      </w:r>
      <w:r w:rsidRPr="00515C0B">
        <w:rPr>
          <w:rFonts w:ascii="Verdana" w:eastAsia="Verdana" w:hAnsi="Verdana" w:cs="Verdana"/>
          <w:lang w:val="es-ES"/>
        </w:rPr>
        <w:t>sector</w:t>
      </w:r>
      <w:r w:rsidRPr="00515C0B">
        <w:rPr>
          <w:rFonts w:ascii="Verdana" w:eastAsia="Verdana" w:hAnsi="Verdana" w:cs="Verdana"/>
          <w:spacing w:val="-20"/>
          <w:lang w:val="es-ES"/>
        </w:rPr>
        <w:t xml:space="preserve"> </w:t>
      </w:r>
      <w:r w:rsidRPr="00515C0B">
        <w:rPr>
          <w:rFonts w:ascii="Verdana" w:eastAsia="Verdana" w:hAnsi="Verdana" w:cs="Verdana"/>
          <w:lang w:val="es-ES"/>
        </w:rPr>
        <w:t>público</w:t>
      </w:r>
      <w:r w:rsidRPr="00515C0B">
        <w:rPr>
          <w:rFonts w:ascii="Verdana" w:eastAsia="Verdana" w:hAnsi="Verdana" w:cs="Verdana"/>
          <w:spacing w:val="-19"/>
          <w:lang w:val="es-ES"/>
        </w:rPr>
        <w:t xml:space="preserve"> </w:t>
      </w:r>
      <w:r w:rsidRPr="00515C0B">
        <w:rPr>
          <w:rFonts w:ascii="Verdana" w:eastAsia="Verdana" w:hAnsi="Verdana" w:cs="Verdana"/>
          <w:lang w:val="es-ES"/>
        </w:rPr>
        <w:t>o</w:t>
      </w:r>
      <w:r w:rsidRPr="00515C0B">
        <w:rPr>
          <w:rFonts w:ascii="Verdana" w:eastAsia="Verdana" w:hAnsi="Verdana" w:cs="Verdana"/>
          <w:spacing w:val="-20"/>
          <w:lang w:val="es-ES"/>
        </w:rPr>
        <w:t xml:space="preserve"> </w:t>
      </w:r>
      <w:r w:rsidRPr="00515C0B">
        <w:rPr>
          <w:rFonts w:ascii="Verdana" w:eastAsia="Verdana" w:hAnsi="Verdana" w:cs="Verdana"/>
          <w:lang w:val="es-ES"/>
        </w:rPr>
        <w:t>privado,</w:t>
      </w:r>
      <w:r w:rsidRPr="00515C0B">
        <w:rPr>
          <w:rFonts w:ascii="Verdana" w:eastAsia="Verdana" w:hAnsi="Verdana" w:cs="Verdana"/>
          <w:spacing w:val="-19"/>
          <w:lang w:val="es-ES"/>
        </w:rPr>
        <w:t xml:space="preserve"> </w:t>
      </w:r>
      <w:r w:rsidRPr="00515C0B">
        <w:rPr>
          <w:rFonts w:ascii="Verdana" w:eastAsia="Verdana" w:hAnsi="Verdana" w:cs="Verdana"/>
          <w:lang w:val="es-ES"/>
        </w:rPr>
        <w:t>o</w:t>
      </w:r>
      <w:r w:rsidRPr="00515C0B">
        <w:rPr>
          <w:rFonts w:ascii="Verdana" w:eastAsia="Verdana" w:hAnsi="Verdana" w:cs="Verdana"/>
          <w:spacing w:val="-19"/>
          <w:lang w:val="es-ES"/>
        </w:rPr>
        <w:t xml:space="preserve"> </w:t>
      </w:r>
      <w:r w:rsidRPr="00515C0B">
        <w:rPr>
          <w:rFonts w:ascii="Verdana" w:eastAsia="Verdana" w:hAnsi="Verdana" w:cs="Verdana"/>
          <w:lang w:val="es-ES"/>
        </w:rPr>
        <w:t>en</w:t>
      </w:r>
      <w:r w:rsidRPr="00515C0B">
        <w:rPr>
          <w:rFonts w:ascii="Verdana" w:eastAsia="Verdana" w:hAnsi="Verdana" w:cs="Verdana"/>
          <w:spacing w:val="-20"/>
          <w:lang w:val="es-ES"/>
        </w:rPr>
        <w:t xml:space="preserve"> </w:t>
      </w:r>
      <w:r w:rsidRPr="00515C0B">
        <w:rPr>
          <w:rFonts w:ascii="Verdana" w:eastAsia="Verdana" w:hAnsi="Verdana" w:cs="Verdana"/>
          <w:lang w:val="es-ES"/>
        </w:rPr>
        <w:t>mercados</w:t>
      </w:r>
      <w:r w:rsidRPr="00515C0B">
        <w:rPr>
          <w:rFonts w:ascii="Verdana" w:eastAsia="Verdana" w:hAnsi="Verdana" w:cs="Verdana"/>
          <w:spacing w:val="-19"/>
          <w:lang w:val="es-ES"/>
        </w:rPr>
        <w:t xml:space="preserve"> </w:t>
      </w:r>
      <w:r w:rsidRPr="00515C0B">
        <w:rPr>
          <w:rFonts w:ascii="Verdana" w:eastAsia="Verdana" w:hAnsi="Verdana" w:cs="Verdana"/>
          <w:lang w:val="es-ES"/>
        </w:rPr>
        <w:t>regulados,</w:t>
      </w:r>
      <w:r w:rsidRPr="00515C0B">
        <w:rPr>
          <w:rFonts w:ascii="Verdana" w:eastAsia="Verdana" w:hAnsi="Verdana" w:cs="Verdana"/>
          <w:spacing w:val="-19"/>
          <w:lang w:val="es-ES"/>
        </w:rPr>
        <w:t xml:space="preserve"> </w:t>
      </w:r>
      <w:r w:rsidRPr="00515C0B">
        <w:rPr>
          <w:rFonts w:ascii="Verdana" w:eastAsia="Verdana" w:hAnsi="Verdana" w:cs="Verdana"/>
          <w:lang w:val="es-ES"/>
        </w:rPr>
        <w:t xml:space="preserve">quedando las otras </w:t>
      </w:r>
      <w:r>
        <w:rPr>
          <w:rFonts w:ascii="Verdana" w:eastAsia="Verdana" w:hAnsi="Verdana" w:cs="Verdana"/>
          <w:lang w:val="es-ES"/>
        </w:rPr>
        <w:t>empresas de esta índole</w:t>
      </w:r>
      <w:r w:rsidRPr="00515C0B">
        <w:rPr>
          <w:rFonts w:ascii="Verdana" w:eastAsia="Verdana" w:hAnsi="Verdana" w:cs="Verdana"/>
          <w:lang w:val="es-ES"/>
        </w:rPr>
        <w:t xml:space="preserve"> dentro del ámbito de aplicación del Estatuto General de Contratación de la Administración Pública</w:t>
      </w:r>
      <w:r w:rsidRPr="00515C0B">
        <w:rPr>
          <w:rFonts w:ascii="Verdana" w:eastAsia="Verdana" w:hAnsi="Verdana" w:cs="Verdana"/>
          <w:vertAlign w:val="superscript"/>
          <w:lang w:val="es-ES"/>
        </w:rPr>
        <w:footnoteReference w:id="20"/>
      </w:r>
      <w:r w:rsidRPr="00515C0B">
        <w:rPr>
          <w:rFonts w:ascii="Verdana" w:eastAsia="Verdana" w:hAnsi="Verdana" w:cs="Verdana"/>
          <w:lang w:val="es-ES"/>
        </w:rPr>
        <w:t>. Así, la norma</w:t>
      </w:r>
      <w:r w:rsidRPr="00515C0B">
        <w:rPr>
          <w:rFonts w:ascii="Verdana" w:eastAsia="Verdana" w:hAnsi="Verdana" w:cs="Verdana"/>
          <w:spacing w:val="-1"/>
          <w:lang w:val="es-ES"/>
        </w:rPr>
        <w:t xml:space="preserve"> </w:t>
      </w:r>
      <w:r w:rsidRPr="00515C0B">
        <w:rPr>
          <w:rFonts w:ascii="Verdana" w:eastAsia="Verdana" w:hAnsi="Verdana" w:cs="Verdana"/>
          <w:lang w:val="es-ES"/>
        </w:rPr>
        <w:t>vigente respecto a</w:t>
      </w:r>
      <w:r w:rsidRPr="00515C0B">
        <w:rPr>
          <w:rFonts w:ascii="Verdana" w:eastAsia="Verdana" w:hAnsi="Verdana" w:cs="Verdana"/>
          <w:spacing w:val="-1"/>
          <w:lang w:val="es-ES"/>
        </w:rPr>
        <w:t xml:space="preserve"> </w:t>
      </w:r>
      <w:r w:rsidRPr="00515C0B">
        <w:rPr>
          <w:rFonts w:ascii="Verdana" w:eastAsia="Verdana" w:hAnsi="Verdana" w:cs="Verdana"/>
          <w:lang w:val="es-ES"/>
        </w:rPr>
        <w:t>su régimen contractual establece:</w:t>
      </w:r>
    </w:p>
    <w:p w14:paraId="566C41D1" w14:textId="77777777" w:rsidR="002C0013" w:rsidRDefault="002C0013" w:rsidP="002C0013">
      <w:pPr>
        <w:widowControl w:val="0"/>
        <w:spacing w:after="0" w:line="240" w:lineRule="auto"/>
        <w:jc w:val="both"/>
        <w:rPr>
          <w:rFonts w:ascii="Verdana" w:eastAsia="Verdana" w:hAnsi="Verdana" w:cs="Verdana"/>
          <w:lang w:val="es-ES"/>
        </w:rPr>
      </w:pPr>
    </w:p>
    <w:p w14:paraId="1225E398" w14:textId="77777777" w:rsidR="002C0013" w:rsidRPr="00515C0B" w:rsidRDefault="002C0013" w:rsidP="002C0013">
      <w:pPr>
        <w:spacing w:after="0" w:line="240" w:lineRule="auto"/>
        <w:ind w:left="709" w:right="709"/>
        <w:contextualSpacing/>
        <w:jc w:val="both"/>
        <w:rPr>
          <w:rFonts w:ascii="Verdana" w:eastAsia="Times New Roman" w:hAnsi="Verdana" w:cs="Arial"/>
          <w:sz w:val="20"/>
          <w:szCs w:val="20"/>
          <w:lang w:eastAsia="es-ES"/>
        </w:rPr>
      </w:pPr>
      <w:r w:rsidRPr="73D21086">
        <w:rPr>
          <w:rFonts w:ascii="Verdana" w:eastAsia="Times New Roman" w:hAnsi="Verdana" w:cs="Arial"/>
          <w:sz w:val="20"/>
          <w:szCs w:val="20"/>
          <w:lang w:eastAsia="es-ES"/>
        </w:rPr>
        <w:t>“Artículo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sidRPr="73D21086">
        <w:rPr>
          <w:rFonts w:ascii="Calibri" w:eastAsia="Times New Roman" w:hAnsi="Calibri" w:cs="Arial"/>
          <w:sz w:val="20"/>
          <w:szCs w:val="20"/>
          <w:vertAlign w:val="superscript"/>
          <w:lang w:eastAsia="es-ES"/>
        </w:rPr>
        <w:footnoteReference w:id="21"/>
      </w:r>
      <w:r w:rsidRPr="73D21086">
        <w:rPr>
          <w:rFonts w:ascii="Verdana" w:eastAsia="Times New Roman" w:hAnsi="Verdana" w:cs="Arial"/>
          <w:sz w:val="20"/>
          <w:szCs w:val="20"/>
          <w:lang w:eastAsia="es-ES"/>
        </w:rPr>
        <w:t>.</w:t>
      </w:r>
    </w:p>
    <w:p w14:paraId="5298EA93" w14:textId="77777777" w:rsidR="002C0013" w:rsidRPr="00515C0B" w:rsidRDefault="002C0013" w:rsidP="002C0013">
      <w:pPr>
        <w:spacing w:after="0"/>
        <w:ind w:right="709"/>
        <w:jc w:val="both"/>
        <w:rPr>
          <w:rFonts w:ascii="Verdana" w:eastAsia="Calibri" w:hAnsi="Verdana" w:cs="Times New Roman"/>
          <w:sz w:val="21"/>
          <w:szCs w:val="21"/>
        </w:rPr>
      </w:pPr>
    </w:p>
    <w:p w14:paraId="4F6BF79F" w14:textId="77777777" w:rsidR="002C0013" w:rsidRPr="00CE0712" w:rsidRDefault="002C0013" w:rsidP="002C0013">
      <w:pPr>
        <w:spacing w:after="120" w:line="276" w:lineRule="auto"/>
        <w:ind w:firstLine="708"/>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w:t>
      </w:r>
      <w:r w:rsidRPr="73D21086">
        <w:rPr>
          <w:rFonts w:ascii="Verdana" w:hAnsi="Verdana" w:cs="Arial"/>
          <w:color w:val="000000" w:themeColor="text1"/>
          <w:lang w:val="es-MX"/>
        </w:rPr>
        <w:lastRenderedPageBreak/>
        <w:t xml:space="preserve">u otra rama del poder público o su autonomía, e incluso si las entidades estatales tienen régimen especial de contratación y están exceptuadas del ámbito de aplicación del Estatuto General de Contratación de la Administración Pública. </w:t>
      </w:r>
    </w:p>
    <w:p w14:paraId="7C077004" w14:textId="77777777" w:rsidR="002C0013" w:rsidRDefault="002C0013" w:rsidP="002C0013">
      <w:pPr>
        <w:spacing w:after="120" w:line="276" w:lineRule="auto"/>
        <w:ind w:firstLine="708"/>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2"/>
      </w:r>
      <w:r w:rsidRPr="73D21086">
        <w:rPr>
          <w:rFonts w:ascii="Verdana" w:hAnsi="Verdana" w:cs="Arial"/>
          <w:color w:val="000000" w:themeColor="text1"/>
          <w:lang w:val="es-MX"/>
        </w:rPr>
        <w:t xml:space="preserve">. </w:t>
      </w:r>
    </w:p>
    <w:p w14:paraId="446140D0" w14:textId="77777777" w:rsidR="002C0013" w:rsidRDefault="002C0013" w:rsidP="002C0013">
      <w:pPr>
        <w:spacing w:after="0" w:line="276" w:lineRule="auto"/>
        <w:ind w:firstLine="708"/>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3"/>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62005309" w14:textId="77777777" w:rsidR="002C0013" w:rsidRPr="00CE0D82" w:rsidRDefault="002C0013" w:rsidP="002C0013">
      <w:pPr>
        <w:spacing w:after="0" w:line="240" w:lineRule="auto"/>
        <w:ind w:firstLine="709"/>
        <w:jc w:val="both"/>
        <w:rPr>
          <w:rFonts w:ascii="Verdana" w:hAnsi="Verdana" w:cs="Arial"/>
          <w:color w:val="000000" w:themeColor="text1"/>
          <w:lang w:val="es-MX"/>
        </w:rPr>
      </w:pPr>
    </w:p>
    <w:p w14:paraId="417E7A8E" w14:textId="77777777" w:rsidR="002C0013" w:rsidRDefault="002C0013" w:rsidP="002C0013">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w:t>
      </w:r>
      <w:r w:rsidRPr="005800D0">
        <w:rPr>
          <w:rFonts w:ascii="Verdana" w:hAnsi="Verdana" w:cs="Arial"/>
          <w:color w:val="000000" w:themeColor="text1"/>
          <w:sz w:val="20"/>
          <w:szCs w:val="20"/>
          <w:lang w:val="es-MX"/>
        </w:rPr>
        <w:lastRenderedPageBreak/>
        <w:t>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C305DD9" w14:textId="77777777" w:rsidR="002C0013" w:rsidRPr="005800D0" w:rsidRDefault="002C0013" w:rsidP="002C0013">
      <w:pPr>
        <w:spacing w:after="0" w:line="240" w:lineRule="auto"/>
        <w:ind w:left="709" w:right="709"/>
        <w:jc w:val="both"/>
        <w:rPr>
          <w:rFonts w:ascii="Verdana" w:hAnsi="Verdana" w:cs="Arial"/>
          <w:color w:val="000000" w:themeColor="text1"/>
          <w:sz w:val="20"/>
          <w:szCs w:val="20"/>
          <w:lang w:val="es-MX"/>
        </w:rPr>
      </w:pPr>
    </w:p>
    <w:p w14:paraId="568D1384" w14:textId="77777777" w:rsidR="002C0013" w:rsidRPr="005800D0" w:rsidRDefault="002C0013" w:rsidP="002C0013">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4"/>
      </w:r>
      <w:r w:rsidRPr="005800D0">
        <w:rPr>
          <w:rFonts w:ascii="Verdana" w:hAnsi="Verdana" w:cs="Arial"/>
          <w:color w:val="000000" w:themeColor="text1"/>
          <w:sz w:val="20"/>
          <w:szCs w:val="20"/>
          <w:lang w:val="es-MX" w:eastAsia="x-none"/>
        </w:rPr>
        <w:t>.</w:t>
      </w:r>
    </w:p>
    <w:p w14:paraId="7D3285F1" w14:textId="77777777" w:rsidR="002C0013" w:rsidRDefault="002C0013" w:rsidP="002C0013">
      <w:pPr>
        <w:spacing w:after="0" w:line="276" w:lineRule="auto"/>
        <w:ind w:firstLine="709"/>
        <w:jc w:val="both"/>
        <w:rPr>
          <w:rFonts w:ascii="Verdana" w:hAnsi="Verdana" w:cs="Arial"/>
          <w:color w:val="000000" w:themeColor="text1"/>
          <w:lang w:val="es-MX"/>
        </w:rPr>
      </w:pPr>
    </w:p>
    <w:p w14:paraId="16496A56" w14:textId="77777777" w:rsidR="002C0013" w:rsidRDefault="002C0013" w:rsidP="002C0013">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5"/>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19811B6B" w14:textId="77777777" w:rsidR="002C0013" w:rsidRPr="00195E24" w:rsidRDefault="002C0013" w:rsidP="002C0013">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w:t>
      </w:r>
      <w:r w:rsidRPr="00CE0D82">
        <w:rPr>
          <w:rFonts w:ascii="Verdana" w:hAnsi="Verdana" w:cs="Arial"/>
          <w:bCs/>
          <w:color w:val="000000" w:themeColor="text1"/>
          <w:lang w:val="es-MX" w:eastAsia="x-none"/>
        </w:rPr>
        <w:lastRenderedPageBreak/>
        <w:t xml:space="preserve">jurídico, que pueda mediante la contratación directa romper el equilibrio entre los candidatos en desarrollo de las elecciones presidenciales. </w:t>
      </w:r>
      <w:r>
        <w:rPr>
          <w:rFonts w:ascii="Verdana" w:hAnsi="Verdana" w:cs="Arial"/>
          <w:color w:val="000000" w:themeColor="text1"/>
          <w:lang w:eastAsia="es-CO"/>
        </w:rPr>
        <w:t xml:space="preserve">En este sentido, respecto a su consulta, es pertinente señalar que las empresas industriales y comerciales del Estado en vigencia de la Ley de Garantías Electorales no podrán hacer contrataciones bajo la modalidad de contratación directa, </w:t>
      </w:r>
      <w:r w:rsidRPr="00195E24">
        <w:rPr>
          <w:rFonts w:ascii="Verdana" w:hAnsi="Verdana" w:cs="Arial"/>
          <w:color w:val="000000" w:themeColor="text1"/>
          <w:lang w:val="es-MX"/>
        </w:rPr>
        <w:t>sino por mecanismos competitivos que impliquen convocatoria pública y la posibilidad de la existencia de pluralidad de oferentes</w:t>
      </w:r>
      <w:r>
        <w:rPr>
          <w:rFonts w:ascii="Verdana" w:hAnsi="Verdana" w:cs="Arial"/>
          <w:color w:val="000000" w:themeColor="text1"/>
          <w:lang w:val="es-MX"/>
        </w:rPr>
        <w:t xml:space="preserve">. </w:t>
      </w:r>
    </w:p>
    <w:p w14:paraId="090597DD" w14:textId="77777777" w:rsidR="002C0013" w:rsidRPr="00CE0712" w:rsidRDefault="002C0013" w:rsidP="002C0013">
      <w:pPr>
        <w:spacing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369FB168" w14:textId="77777777" w:rsidR="002C0013" w:rsidRPr="00062EAD" w:rsidRDefault="002C0013" w:rsidP="002C0013">
      <w:pPr>
        <w:widowControl w:val="0"/>
        <w:autoSpaceDE w:val="0"/>
        <w:autoSpaceDN w:val="0"/>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E36918">
        <w:rPr>
          <w:rFonts w:ascii="Verdana" w:eastAsia="Times New Roman" w:hAnsi="Verdana" w:cs="Arial"/>
          <w:bCs/>
          <w:lang w:val="es-ES" w:eastAsia="es-CO" w:bidi="es-ES"/>
        </w:rPr>
        <w:t xml:space="preserve"> </w:t>
      </w:r>
    </w:p>
    <w:p w14:paraId="2765BE7F" w14:textId="77777777" w:rsidR="002C0013" w:rsidRDefault="002C0013" w:rsidP="002C0013">
      <w:pPr>
        <w:tabs>
          <w:tab w:val="left" w:pos="142"/>
          <w:tab w:val="left" w:pos="284"/>
          <w:tab w:val="left" w:pos="3828"/>
        </w:tabs>
        <w:spacing w:after="0" w:line="240" w:lineRule="auto"/>
        <w:rPr>
          <w:rFonts w:ascii="Verdana" w:eastAsia="Century Gothic" w:hAnsi="Verdana" w:cs="Century Gothic"/>
          <w:b/>
          <w:bCs/>
        </w:rPr>
      </w:pPr>
      <w:bookmarkStart w:id="19"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9"/>
    </w:p>
    <w:p w14:paraId="0549CE34" w14:textId="77777777" w:rsidR="002C0013" w:rsidRPr="005644FE" w:rsidRDefault="002C0013" w:rsidP="002C0013">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0013" w:rsidRPr="005644FE" w14:paraId="22D201C4" w14:textId="77777777" w:rsidTr="00A1602F">
        <w:trPr>
          <w:trHeight w:val="56"/>
          <w:jc w:val="center"/>
        </w:trPr>
        <w:tc>
          <w:tcPr>
            <w:tcW w:w="8647" w:type="dxa"/>
          </w:tcPr>
          <w:p w14:paraId="7B785FFA"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Constitución Política. Artículo 127. </w:t>
            </w:r>
          </w:p>
          <w:p w14:paraId="5406F7C6"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Ley 996 de 2005. Artículo 33.</w:t>
            </w:r>
          </w:p>
          <w:p w14:paraId="2A5C4DCF"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1150 de 2007. Artículo 2, 14. </w:t>
            </w:r>
          </w:p>
          <w:p w14:paraId="3221C0BD"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489 de 1998. Artículo 93. </w:t>
            </w:r>
          </w:p>
          <w:p w14:paraId="53EBD186" w14:textId="77777777" w:rsidR="002C0013" w:rsidRPr="00462044" w:rsidRDefault="002C0013" w:rsidP="00A1602F">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Ley 1474 de 2011. Artículo 93</w:t>
            </w:r>
          </w:p>
          <w:p w14:paraId="18D1EABB"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lastRenderedPageBreak/>
              <w:t xml:space="preserve">Consejo de Estado. Sala de lo Contencioso Administrativo. Sección Primera. Sentencia de 3 de marzo de 2005. Radicado: 25001-23-15-000-2004-00823-01 (PI). C.P: Camilo Arciniegas Andrade. </w:t>
            </w:r>
          </w:p>
          <w:p w14:paraId="4826D4BC"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t>Consejo de Estado, Sala de Consulta y Servicio Civil. 24 de julio de 2013. Radicado: 11001-03-06-000-2013-00407-00 (2166). C.P</w:t>
            </w:r>
            <w:r>
              <w:rPr>
                <w:rFonts w:ascii="Verdana" w:eastAsia="Aptos" w:hAnsi="Verdana" w:cs="Arial"/>
              </w:rPr>
              <w:t>:</w:t>
            </w:r>
            <w:r w:rsidRPr="00266133">
              <w:rPr>
                <w:rFonts w:ascii="Verdana" w:eastAsia="Aptos" w:hAnsi="Verdana" w:cs="Arial"/>
              </w:rPr>
              <w:t xml:space="preserve"> Álvaro Namén Vargas.  </w:t>
            </w:r>
          </w:p>
          <w:p w14:paraId="14BC111B"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t>Consejo de Estado. Sala de Consulta y Servicio Civil. Concepto del 17 de febrero de 2015. Radicado: 11001-03-06-000-2015-00164-00 (2269). C.P. William Zambrano Cetina.</w:t>
            </w:r>
          </w:p>
          <w:p w14:paraId="0DE9065D"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t>Consejo de Estado. Sala de Consulta y Servicio Civil. Concepto del 2 de septiembre de 2013. Radicación número: 11001-03-06-000-2013-00412-00 (2168). C.P: Álvaro Namén Vargas.</w:t>
            </w:r>
          </w:p>
          <w:p w14:paraId="3FA5D130"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sidRPr="00462044">
              <w:rPr>
                <w:rFonts w:ascii="Verdana" w:eastAsia="Aptos" w:hAnsi="Verdana" w:cs="Arial"/>
              </w:rPr>
              <w:t>Consejo de Estado. Sala de Consulta y Servicio Civil, Concepto de 8 de mayo de 2018. Radicación Número: 11001-03-06-000-2018-00095-00 (2382). C.P: Álvaro Namén Vargas.</w:t>
            </w:r>
          </w:p>
          <w:p w14:paraId="5756E924"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sidRPr="00462044">
              <w:rPr>
                <w:rFonts w:ascii="Verdana" w:eastAsia="Aptos" w:hAnsi="Verdana" w:cs="Arial"/>
              </w:rPr>
              <w:t>Consejo de Estado. Sala de Consulta y Servicio Civil. Concepto de 20 de febrero de 2006. Radicación Número: 11001-03-06-000-2006-00026-00 (1727). C.P: Enrique José Arboleda Perdomo.</w:t>
            </w:r>
          </w:p>
          <w:p w14:paraId="3C3AE797"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sidRPr="00462044">
              <w:rPr>
                <w:rFonts w:ascii="Verdana" w:eastAsia="Aptos" w:hAnsi="Verdana" w:cs="Arial"/>
              </w:rPr>
              <w:t>Consejo de Estado. Sala de Consulta y Servicio Civil. Concepto de 6 de abril de 2006. Radicación Número: 11001-03-06-000-2006-00038-00 (1738). C.P: Enrique José Arboleda Perdomo</w:t>
            </w:r>
            <w:r>
              <w:rPr>
                <w:rFonts w:ascii="Verdana" w:eastAsia="Aptos" w:hAnsi="Verdana" w:cs="Arial"/>
              </w:rPr>
              <w:t>.</w:t>
            </w:r>
          </w:p>
          <w:p w14:paraId="3AD359B5" w14:textId="77777777" w:rsidR="002C0013" w:rsidRPr="00FD3CA5" w:rsidRDefault="002C0013" w:rsidP="00A1602F">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Corte Constitucional. Sentencia C- 1153 de 2005, M.P: Marco Gerardo Monroy Cabra.</w:t>
            </w:r>
          </w:p>
          <w:p w14:paraId="59254407"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Corte Constitucional. Sentencia C-233 de 4 de abril de 2002. M.P: Álvaro Tafur Galvis</w:t>
            </w:r>
            <w:r>
              <w:rPr>
                <w:rFonts w:ascii="Verdana" w:eastAsia="Aptos" w:hAnsi="Verdana" w:cs="Arial"/>
              </w:rPr>
              <w:t>.</w:t>
            </w:r>
          </w:p>
          <w:p w14:paraId="05AFA121"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Corte Constitucional. Sentencia C-551 de 9 de julio de 2003. M.P: Eduardo Montealegre Lynnet</w:t>
            </w:r>
            <w:r>
              <w:rPr>
                <w:rFonts w:ascii="Verdana" w:eastAsia="Aptos" w:hAnsi="Verdana" w:cs="Arial"/>
              </w:rPr>
              <w:t>.</w:t>
            </w:r>
          </w:p>
          <w:p w14:paraId="3DC527A2" w14:textId="77777777" w:rsidR="002C0013" w:rsidRDefault="002C0013" w:rsidP="00A1602F">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 xml:space="preserve">Corte Constitucional. Sentencia C-353 de 20 de mayo de 2009. M.P: Jorge Iván Palacio </w:t>
            </w:r>
            <w:proofErr w:type="spellStart"/>
            <w:r w:rsidRPr="00FD3CA5">
              <w:rPr>
                <w:rFonts w:ascii="Verdana" w:eastAsia="Aptos" w:hAnsi="Verdana" w:cs="Arial"/>
              </w:rPr>
              <w:t>Palacio</w:t>
            </w:r>
            <w:proofErr w:type="spellEnd"/>
            <w:r>
              <w:rPr>
                <w:rFonts w:ascii="Verdana" w:eastAsia="Aptos" w:hAnsi="Verdana" w:cs="Arial"/>
              </w:rPr>
              <w:t>.</w:t>
            </w:r>
          </w:p>
          <w:p w14:paraId="4F8E57FA" w14:textId="77777777" w:rsidR="002C0013" w:rsidRPr="00462044" w:rsidRDefault="002C0013" w:rsidP="00A1602F">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Corte Constitucional. Sentencia C-541 de 30 de junio de 2010. M.P: Gabriel Eduardo Mendoza Martelo.</w:t>
            </w:r>
          </w:p>
        </w:tc>
      </w:tr>
    </w:tbl>
    <w:p w14:paraId="6D9A7DEA" w14:textId="77777777" w:rsidR="002C0013" w:rsidRDefault="002C0013" w:rsidP="002C0013">
      <w:pPr>
        <w:tabs>
          <w:tab w:val="left" w:pos="142"/>
          <w:tab w:val="left" w:pos="284"/>
          <w:tab w:val="left" w:pos="3828"/>
        </w:tabs>
        <w:spacing w:after="0" w:line="276" w:lineRule="auto"/>
        <w:jc w:val="both"/>
        <w:rPr>
          <w:rFonts w:ascii="Verdana" w:eastAsia="Century Gothic" w:hAnsi="Verdana" w:cs="Century Gothic"/>
          <w:b/>
          <w:bCs/>
        </w:rPr>
      </w:pPr>
    </w:p>
    <w:p w14:paraId="5ADD5F4F" w14:textId="77777777" w:rsidR="002C0013" w:rsidRPr="005644FE" w:rsidRDefault="002C0013" w:rsidP="002C0013">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799E49B7" w14:textId="77777777" w:rsidR="002C0013" w:rsidRPr="005644FE" w:rsidRDefault="002C0013" w:rsidP="002C0013">
      <w:pPr>
        <w:widowControl w:val="0"/>
        <w:tabs>
          <w:tab w:val="left" w:pos="3828"/>
        </w:tabs>
        <w:autoSpaceDE w:val="0"/>
        <w:autoSpaceDN w:val="0"/>
        <w:spacing w:after="0" w:line="240" w:lineRule="auto"/>
        <w:jc w:val="both"/>
        <w:rPr>
          <w:rFonts w:ascii="Verdana" w:hAnsi="Verdana" w:cs="Arial"/>
          <w:shd w:val="clear" w:color="auto" w:fill="FFFFFF"/>
        </w:rPr>
      </w:pPr>
    </w:p>
    <w:p w14:paraId="487EE086" w14:textId="77777777" w:rsidR="002C0013" w:rsidRPr="00C27319" w:rsidRDefault="002C0013" w:rsidP="002C0013">
      <w:pPr>
        <w:widowControl w:val="0"/>
        <w:autoSpaceDE w:val="0"/>
        <w:autoSpaceDN w:val="0"/>
        <w:spacing w:after="0" w:line="276" w:lineRule="auto"/>
        <w:jc w:val="both"/>
        <w:rPr>
          <w:rFonts w:ascii="Verdana" w:hAnsi="Verdana" w:cs="Arial"/>
          <w:shd w:val="clear" w:color="auto" w:fill="FFFFFF"/>
          <w:lang w:val="es-ES"/>
        </w:rPr>
      </w:pPr>
      <w:r w:rsidRPr="00301140">
        <w:rPr>
          <w:rStyle w:val="normaltextrun"/>
          <w:rFonts w:ascii="Verdana" w:hAnsi="Verdana" w:cs="Arial"/>
          <w:shd w:val="clear" w:color="auto" w:fill="FFFFFF"/>
          <w:lang w:val="es-ES"/>
        </w:rPr>
        <w:t xml:space="preserve">Esta Subdirección se ha pronunciado sobre </w:t>
      </w:r>
      <w:r w:rsidRPr="00AB70DD">
        <w:rPr>
          <w:rFonts w:ascii="Verdana" w:hAnsi="Verdana" w:cs="Arial"/>
          <w:shd w:val="clear" w:color="auto" w:fill="FFFFFF"/>
          <w:lang w:val="es-ES"/>
        </w:rPr>
        <w:t>la finalidad y propósito de la Ley de Garantías Electorales, en los</w:t>
      </w:r>
      <w:r>
        <w:rPr>
          <w:rFonts w:ascii="Verdana" w:hAnsi="Verdana" w:cs="Arial"/>
          <w:shd w:val="clear" w:color="auto" w:fill="FFFFFF"/>
          <w:lang w:val="es-ES"/>
        </w:rPr>
        <w:t xml:space="preserve"> c</w:t>
      </w:r>
      <w:r w:rsidRPr="00AB70DD">
        <w:rPr>
          <w:rFonts w:ascii="Verdana" w:hAnsi="Verdana" w:cs="Arial"/>
          <w:shd w:val="clear" w:color="auto" w:fill="FFFFFF"/>
          <w:lang w:val="es-ES"/>
        </w:rPr>
        <w:t>onceptos C-227 del 24 de mayo de 2021</w:t>
      </w:r>
      <w:r>
        <w:rPr>
          <w:rFonts w:ascii="Verdana" w:hAnsi="Verdana" w:cs="Arial"/>
          <w:shd w:val="clear" w:color="auto" w:fill="FFFFFF"/>
          <w:lang w:val="es-ES"/>
        </w:rPr>
        <w:t>, C-</w:t>
      </w:r>
      <w:r w:rsidRPr="00AB70DD">
        <w:rPr>
          <w:rFonts w:ascii="Verdana" w:hAnsi="Verdana" w:cs="Arial"/>
          <w:shd w:val="clear" w:color="auto" w:fill="FFFFFF"/>
          <w:lang w:val="es-ES"/>
        </w:rPr>
        <w:t xml:space="preserve">396 del 13 de agosto de 2021, C-439 del 27 de agosto de 2021, C-481 del 9 de septiembre de 2021, C-528 del 27 de septiembre de 2021, C-550 del 5 de </w:t>
      </w:r>
      <w:r w:rsidRPr="00AB70DD">
        <w:rPr>
          <w:rFonts w:ascii="Verdana" w:hAnsi="Verdana" w:cs="Arial"/>
          <w:shd w:val="clear" w:color="auto" w:fill="FFFFFF"/>
          <w:lang w:val="es-ES"/>
        </w:rPr>
        <w:lastRenderedPageBreak/>
        <w:t>octubre de 2021</w:t>
      </w:r>
      <w:r>
        <w:rPr>
          <w:rFonts w:ascii="Verdana" w:hAnsi="Verdana" w:cs="Arial"/>
          <w:shd w:val="clear" w:color="auto" w:fill="FFFFFF"/>
          <w:lang w:val="es-ES"/>
        </w:rPr>
        <w:t xml:space="preserve">, </w:t>
      </w:r>
      <w:r w:rsidRPr="00AB70DD">
        <w:rPr>
          <w:rFonts w:ascii="Verdana" w:hAnsi="Verdana" w:cs="Arial"/>
          <w:shd w:val="clear" w:color="auto" w:fill="FFFFFF"/>
          <w:lang w:val="es-ES"/>
        </w:rPr>
        <w:t>C-523 del 10 de octubre de 2021, C-606 del 28 de octubre de 2021</w:t>
      </w:r>
      <w:r>
        <w:rPr>
          <w:rFonts w:ascii="Verdana" w:hAnsi="Verdana" w:cs="Arial"/>
          <w:shd w:val="clear" w:color="auto" w:fill="FFFFFF"/>
          <w:lang w:val="es-ES"/>
        </w:rPr>
        <w:t>,</w:t>
      </w:r>
      <w:r w:rsidRPr="00AB70DD">
        <w:rPr>
          <w:rFonts w:ascii="Verdana" w:hAnsi="Verdana" w:cs="Arial"/>
          <w:shd w:val="clear" w:color="auto" w:fill="FFFFFF"/>
          <w:lang w:val="es-ES"/>
        </w:rPr>
        <w:t xml:space="preserve"> C-614 del 2 de noviembre de 2021, </w:t>
      </w:r>
      <w:r>
        <w:rPr>
          <w:rFonts w:ascii="Verdana" w:hAnsi="Verdana" w:cs="Arial"/>
          <w:shd w:val="clear" w:color="auto" w:fill="FFFFFF"/>
          <w:lang w:val="es-ES"/>
        </w:rPr>
        <w:t xml:space="preserve">C-634 del 11 de noviembre de 2021, </w:t>
      </w:r>
      <w:r w:rsidRPr="00AB70DD">
        <w:rPr>
          <w:rFonts w:ascii="Verdana" w:hAnsi="Verdana" w:cs="Arial"/>
          <w:shd w:val="clear" w:color="auto" w:fill="FFFFFF"/>
          <w:lang w:val="es-ES"/>
        </w:rPr>
        <w:t xml:space="preserve">C-636 del 16 de noviembre de 2021, </w:t>
      </w:r>
      <w:r>
        <w:rPr>
          <w:rFonts w:ascii="Verdana" w:hAnsi="Verdana" w:cs="Arial"/>
          <w:shd w:val="clear" w:color="auto" w:fill="FFFFFF"/>
          <w:lang w:val="es-ES"/>
        </w:rPr>
        <w:t>C-</w:t>
      </w:r>
      <w:r w:rsidRPr="00AB70DD">
        <w:rPr>
          <w:rFonts w:ascii="Verdana" w:hAnsi="Verdana" w:cs="Arial"/>
          <w:shd w:val="clear" w:color="auto" w:fill="FFFFFF"/>
          <w:lang w:val="es-ES"/>
        </w:rPr>
        <w:t xml:space="preserve">681 del 7 de diciembre de 2021, C-686 del 21 de diciembre de 2021, </w:t>
      </w:r>
      <w:r>
        <w:rPr>
          <w:rFonts w:ascii="Verdana" w:hAnsi="Verdana" w:cs="Arial"/>
          <w:shd w:val="clear" w:color="auto" w:fill="FFFFFF"/>
          <w:lang w:val="es-ES"/>
        </w:rPr>
        <w:t xml:space="preserve">C-054 del 22 de marzo de 2022, C-179 del 8 de abril de 2022, C-099 del 22 de marzo de 2022, C-161 del 17 de mayo de 2022, C-696 del 11 de julio de 2025, C-868 del 12 de agosto de 2025, C- 955 del 15 de agosto de 2025, C-1430 del 12 de noviembre de </w:t>
      </w:r>
      <w:r w:rsidRPr="00421B05">
        <w:rPr>
          <w:rFonts w:ascii="Verdana" w:hAnsi="Verdana" w:cs="Arial"/>
          <w:shd w:val="clear" w:color="auto" w:fill="FFFFFF"/>
          <w:lang w:val="es-ES"/>
        </w:rPr>
        <w:t>2025</w:t>
      </w:r>
      <w:r>
        <w:rPr>
          <w:rFonts w:ascii="Verdana" w:hAnsi="Verdana" w:cs="Arial"/>
          <w:shd w:val="clear" w:color="auto" w:fill="FFFFFF"/>
          <w:lang w:val="es-ES"/>
        </w:rPr>
        <w:t>, entre otros</w:t>
      </w:r>
      <w:r w:rsidRPr="00421B05">
        <w:rPr>
          <w:rFonts w:ascii="Verdana" w:hAnsi="Verdana" w:cs="Arial"/>
          <w:shd w:val="clear" w:color="auto" w:fill="FFFFFF"/>
          <w:lang w:val="es-ES"/>
        </w:rPr>
        <w:t>.</w:t>
      </w:r>
      <w:r w:rsidRPr="00421B05">
        <w:rPr>
          <w:rStyle w:val="normaltextrun"/>
          <w:rFonts w:ascii="Verdana" w:hAnsi="Verdana" w:cs="Arial"/>
          <w:shd w:val="clear" w:color="auto" w:fill="FFFFFF"/>
          <w:lang w:val="es-ES"/>
        </w:rPr>
        <w:t xml:space="preserve"> </w:t>
      </w:r>
      <w:r w:rsidRPr="00421B05">
        <w:rPr>
          <w:rFonts w:ascii="Verdana" w:hAnsi="Verdana" w:cs="Arial"/>
        </w:rPr>
        <w:t>Estos y otros</w:t>
      </w:r>
      <w:r w:rsidRPr="001715C8">
        <w:rPr>
          <w:rFonts w:ascii="Verdana" w:hAnsi="Verdana" w:cs="Arial"/>
        </w:rPr>
        <w:t xml:space="preserve"> </w:t>
      </w:r>
      <w:r w:rsidRPr="001715C8">
        <w:rPr>
          <w:rFonts w:ascii="Verdana" w:hAnsi="Verdana"/>
        </w:rPr>
        <w:t>conceptos se encuentran disponibles para consulta en el Sistema de relatoría de la Agencia, al cual se puede acceder a través del siguiente enlace:</w:t>
      </w:r>
      <w:r w:rsidRPr="001715C8">
        <w:rPr>
          <w:rFonts w:ascii="Verdana" w:hAnsi="Verdana" w:cs="Arial"/>
          <w:shd w:val="clear" w:color="auto" w:fill="FFFFFF"/>
        </w:rPr>
        <w:t xml:space="preserve"> </w:t>
      </w:r>
      <w:hyperlink r:id="rId12" w:history="1">
        <w:r w:rsidRPr="009B1491">
          <w:rPr>
            <w:rStyle w:val="Hipervnculo"/>
            <w:rFonts w:ascii="Verdana" w:hAnsi="Verdana" w:cs="Arial"/>
            <w:shd w:val="clear" w:color="auto" w:fill="FFFFFF"/>
          </w:rPr>
          <w:t>https://relatoria.colombiacompra.gov.co/busqueda/conceptos</w:t>
        </w:r>
      </w:hyperlink>
      <w:r w:rsidRPr="001715C8">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46785603" w14:textId="77777777" w:rsidR="002C0013" w:rsidRPr="006B4FA1" w:rsidRDefault="002C0013" w:rsidP="002C0013">
      <w:pPr>
        <w:spacing w:after="0" w:line="240" w:lineRule="auto"/>
        <w:jc w:val="both"/>
        <w:rPr>
          <w:rFonts w:ascii="Verdana" w:eastAsia="Century Gothic" w:hAnsi="Verdana" w:cs="Century Gothic"/>
        </w:rPr>
      </w:pPr>
    </w:p>
    <w:p w14:paraId="1188890F" w14:textId="77777777" w:rsidR="002C0013" w:rsidRPr="00F53403" w:rsidRDefault="002C0013" w:rsidP="002C0013">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Por último, lo invitamos a seguirnos en las redes sociales en las cuales se difunde información institucional: </w:t>
      </w:r>
    </w:p>
    <w:p w14:paraId="3DFEC15E" w14:textId="77777777" w:rsidR="002C0013" w:rsidRPr="00F53403" w:rsidRDefault="002C0013" w:rsidP="002C0013">
      <w:pPr>
        <w:spacing w:after="0" w:line="276" w:lineRule="auto"/>
        <w:jc w:val="both"/>
        <w:rPr>
          <w:rFonts w:ascii="Verdana" w:hAnsi="Verdana" w:cs="Arial"/>
          <w:shd w:val="clear" w:color="auto" w:fill="FFFFFF"/>
        </w:rPr>
      </w:pPr>
    </w:p>
    <w:p w14:paraId="714D0079" w14:textId="77777777" w:rsidR="002C0013" w:rsidRPr="00F53403" w:rsidRDefault="002C0013" w:rsidP="002C0013">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Twitter: </w:t>
      </w:r>
      <w:r w:rsidRPr="00F53403">
        <w:rPr>
          <w:rFonts w:ascii="Verdana" w:hAnsi="Verdana" w:cs="Arial"/>
          <w:u w:val="single"/>
          <w:shd w:val="clear" w:color="auto" w:fill="FFFFFF"/>
        </w:rPr>
        <w:t>@colombiacompra</w:t>
      </w:r>
      <w:r w:rsidRPr="00F53403">
        <w:rPr>
          <w:rFonts w:ascii="Verdana" w:hAnsi="Verdana" w:cs="Arial"/>
          <w:shd w:val="clear" w:color="auto" w:fill="FFFFFF"/>
        </w:rPr>
        <w:t xml:space="preserve"> </w:t>
      </w:r>
    </w:p>
    <w:p w14:paraId="32180D2E" w14:textId="77777777" w:rsidR="002C0013" w:rsidRPr="00F53403" w:rsidRDefault="002C0013" w:rsidP="002C0013">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Facebook: </w:t>
      </w:r>
      <w:proofErr w:type="spellStart"/>
      <w:r w:rsidRPr="00F53403">
        <w:rPr>
          <w:rFonts w:ascii="Verdana" w:hAnsi="Verdana" w:cs="Arial"/>
          <w:u w:val="single"/>
          <w:shd w:val="clear" w:color="auto" w:fill="FFFFFF"/>
        </w:rPr>
        <w:t>ColombiaCompraEficiente</w:t>
      </w:r>
      <w:proofErr w:type="spellEnd"/>
    </w:p>
    <w:p w14:paraId="5FBE74DA" w14:textId="77777777" w:rsidR="002C0013" w:rsidRPr="00F53403" w:rsidRDefault="002C0013" w:rsidP="002C0013">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LinkedIn: </w:t>
      </w:r>
      <w:r w:rsidRPr="00F53403">
        <w:rPr>
          <w:rFonts w:ascii="Verdana" w:hAnsi="Verdana" w:cs="Arial"/>
          <w:u w:val="single"/>
          <w:shd w:val="clear" w:color="auto" w:fill="FFFFFF"/>
        </w:rPr>
        <w:t>Agencia Nacional de Contratación Pública - Colombia Compra Eficiente</w:t>
      </w:r>
      <w:r w:rsidRPr="00F53403">
        <w:rPr>
          <w:rFonts w:ascii="Verdana" w:hAnsi="Verdana" w:cs="Arial"/>
          <w:shd w:val="clear" w:color="auto" w:fill="FFFFFF"/>
        </w:rPr>
        <w:t xml:space="preserve"> Instagram: </w:t>
      </w:r>
      <w:r w:rsidRPr="00F53403">
        <w:rPr>
          <w:rFonts w:ascii="Verdana" w:hAnsi="Verdana" w:cs="Arial"/>
          <w:u w:val="single"/>
          <w:shd w:val="clear" w:color="auto" w:fill="FFFFFF"/>
        </w:rPr>
        <w:t>@colombiacompraeficiente_cce</w:t>
      </w:r>
    </w:p>
    <w:p w14:paraId="2895B28D" w14:textId="77777777" w:rsidR="002C0013" w:rsidRPr="00F53403" w:rsidRDefault="002C0013" w:rsidP="002C0013">
      <w:pPr>
        <w:widowControl w:val="0"/>
        <w:autoSpaceDE w:val="0"/>
        <w:autoSpaceDN w:val="0"/>
        <w:spacing w:after="0" w:line="276" w:lineRule="auto"/>
        <w:jc w:val="both"/>
        <w:rPr>
          <w:rFonts w:ascii="Verdana" w:hAnsi="Verdana" w:cs="Arial"/>
          <w:lang w:val="es-ES"/>
        </w:rPr>
      </w:pPr>
    </w:p>
    <w:p w14:paraId="11EF9F85" w14:textId="77777777" w:rsidR="002C0013" w:rsidRPr="00F53403" w:rsidRDefault="002C0013" w:rsidP="002C0013">
      <w:pPr>
        <w:widowControl w:val="0"/>
        <w:autoSpaceDE w:val="0"/>
        <w:autoSpaceDN w:val="0"/>
        <w:spacing w:after="0" w:line="276" w:lineRule="auto"/>
        <w:jc w:val="both"/>
        <w:rPr>
          <w:rFonts w:ascii="Verdana" w:hAnsi="Verdana" w:cs="Arial"/>
          <w:lang w:val="es-ES"/>
        </w:rPr>
      </w:pPr>
      <w:r w:rsidRPr="00F53403">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0C7720E" w14:textId="77777777" w:rsidR="002C0013" w:rsidRPr="00DF30F1" w:rsidRDefault="002C0013" w:rsidP="002C0013">
      <w:pPr>
        <w:spacing w:after="0" w:line="256" w:lineRule="auto"/>
        <w:jc w:val="center"/>
        <w:rPr>
          <w:rFonts w:ascii="Century Gothic" w:hAnsi="Century Gothic"/>
          <w:noProof/>
          <w:lang w:val="es-ES"/>
        </w:rPr>
      </w:pPr>
    </w:p>
    <w:p w14:paraId="6FE53F9A" w14:textId="4881297A" w:rsidR="002C0013" w:rsidRPr="00DE2E29" w:rsidRDefault="002C0013" w:rsidP="00DE2E29">
      <w:pPr>
        <w:spacing w:after="0" w:line="276" w:lineRule="auto"/>
        <w:rPr>
          <w:rFonts w:ascii="Verdana" w:hAnsi="Verdana" w:cs="Arial"/>
          <w:color w:val="000000" w:themeColor="text1"/>
          <w:lang w:val="es-ES" w:eastAsia="es-CO"/>
        </w:rPr>
      </w:pPr>
      <w:r w:rsidRPr="00F53403">
        <w:rPr>
          <w:rFonts w:ascii="Verdana" w:eastAsia="Times New Roman" w:hAnsi="Verdana" w:cs="Arial"/>
          <w:color w:val="000000" w:themeColor="text1"/>
          <w:lang w:val="es-ES" w:eastAsia="es-CO"/>
        </w:rPr>
        <w:t>Atentamente,</w:t>
      </w:r>
      <w:r w:rsidRPr="00F53403">
        <w:rPr>
          <w:rFonts w:ascii="Verdana" w:hAnsi="Verdana" w:cs="Arial"/>
          <w:color w:val="000000" w:themeColor="text1"/>
          <w:lang w:val="es-ES" w:eastAsia="es-CO"/>
        </w:rPr>
        <w:t xml:space="preserve"> </w:t>
      </w:r>
    </w:p>
    <w:p w14:paraId="48C5ED7B" w14:textId="50233CD8" w:rsidR="002C0013" w:rsidRDefault="00592BE1" w:rsidP="002C0013">
      <w:pPr>
        <w:spacing w:after="0" w:line="276" w:lineRule="auto"/>
        <w:jc w:val="center"/>
        <w:rPr>
          <w:rFonts w:ascii="Century Gothic" w:hAnsi="Century Gothic"/>
          <w:noProof/>
          <w:lang w:val="es-ES"/>
        </w:rPr>
      </w:pPr>
      <w:r w:rsidRPr="002C3AD6">
        <w:rPr>
          <w:rFonts w:ascii="Century Gothic" w:hAnsi="Century Gothic"/>
          <w:noProof/>
        </w:rPr>
        <w:drawing>
          <wp:inline distT="0" distB="0" distL="0" distR="0" wp14:anchorId="72E21996" wp14:editId="66FC77A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p w14:paraId="6C346F4F" w14:textId="77777777" w:rsidR="002C0013" w:rsidRPr="00F53403" w:rsidRDefault="002C0013" w:rsidP="002C0013">
      <w:pPr>
        <w:spacing w:after="0" w:line="276" w:lineRule="auto"/>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C0013" w:rsidRPr="0045322C" w14:paraId="2E3C76C6" w14:textId="77777777" w:rsidTr="00A1602F">
        <w:trPr>
          <w:trHeight w:val="315"/>
        </w:trPr>
        <w:tc>
          <w:tcPr>
            <w:tcW w:w="893" w:type="dxa"/>
            <w:vAlign w:val="center"/>
            <w:hideMark/>
          </w:tcPr>
          <w:p w14:paraId="329F0B8F" w14:textId="77777777" w:rsidR="002C0013" w:rsidRPr="00F53403" w:rsidRDefault="002C0013" w:rsidP="00A1602F">
            <w:pPr>
              <w:spacing w:after="160" w:line="259" w:lineRule="auto"/>
              <w:contextualSpacing/>
              <w:rPr>
                <w:rFonts w:ascii="Verdana" w:hAnsi="Verdana" w:cs="Arial"/>
                <w:sz w:val="16"/>
                <w:szCs w:val="16"/>
                <w:lang w:val="es-ES" w:eastAsia="es-ES"/>
              </w:rPr>
            </w:pPr>
            <w:r w:rsidRPr="00F5340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A8B291F" w14:textId="528D895A" w:rsidR="002C0013" w:rsidRPr="00F53403" w:rsidRDefault="002C0013" w:rsidP="00A1602F">
            <w:pPr>
              <w:spacing w:after="160" w:line="259" w:lineRule="auto"/>
              <w:contextualSpacing/>
              <w:rPr>
                <w:rFonts w:ascii="Verdana" w:eastAsia="Arial" w:hAnsi="Verdana" w:cs="Arial"/>
                <w:color w:val="000000" w:themeColor="text1"/>
                <w:sz w:val="16"/>
                <w:szCs w:val="16"/>
                <w:lang w:val="es-ES"/>
              </w:rPr>
            </w:pPr>
            <w:r>
              <w:rPr>
                <w:rFonts w:ascii="Verdana" w:eastAsia="Arial" w:hAnsi="Verdana" w:cs="Arial"/>
                <w:color w:val="000000" w:themeColor="text1"/>
                <w:sz w:val="16"/>
                <w:szCs w:val="16"/>
                <w:lang w:val="es-ES"/>
              </w:rPr>
              <w:t>Diana Carolina Blanco Rodriguez</w:t>
            </w:r>
          </w:p>
          <w:p w14:paraId="67B53844" w14:textId="77777777" w:rsidR="002C0013" w:rsidRPr="00F53403" w:rsidRDefault="002C0013" w:rsidP="00A1602F">
            <w:pPr>
              <w:spacing w:after="160" w:line="259" w:lineRule="auto"/>
              <w:contextualSpacing/>
              <w:rPr>
                <w:rFonts w:ascii="Verdana" w:eastAsia="Arial" w:hAnsi="Verdana" w:cs="Arial"/>
                <w:sz w:val="16"/>
                <w:szCs w:val="16"/>
                <w:lang w:val="es-ES"/>
              </w:rPr>
            </w:pPr>
            <w:r>
              <w:rPr>
                <w:rFonts w:ascii="Verdana" w:hAnsi="Verdana" w:cs="Arial"/>
                <w:sz w:val="16"/>
                <w:szCs w:val="16"/>
                <w:lang w:val="es-ES"/>
              </w:rPr>
              <w:t>Contratista</w:t>
            </w:r>
            <w:r w:rsidRPr="00F53403">
              <w:rPr>
                <w:rFonts w:ascii="Verdana" w:hAnsi="Verdana" w:cs="Arial"/>
                <w:sz w:val="16"/>
                <w:szCs w:val="16"/>
                <w:lang w:val="es-ES"/>
              </w:rPr>
              <w:t xml:space="preserve"> </w:t>
            </w:r>
            <w:r w:rsidRPr="00F53403">
              <w:rPr>
                <w:rFonts w:ascii="Verdana" w:eastAsia="Arial" w:hAnsi="Verdana" w:cs="Arial"/>
                <w:color w:val="000000" w:themeColor="text1"/>
                <w:sz w:val="16"/>
                <w:szCs w:val="16"/>
                <w:lang w:val="es-ES"/>
              </w:rPr>
              <w:t xml:space="preserve">de la Subdirección </w:t>
            </w:r>
            <w:r w:rsidRPr="00F53403">
              <w:rPr>
                <w:rFonts w:ascii="Verdana" w:eastAsia="Arial" w:hAnsi="Verdana" w:cs="Arial"/>
                <w:sz w:val="16"/>
                <w:szCs w:val="16"/>
                <w:lang w:val="es-ES"/>
              </w:rPr>
              <w:t>de Gestión Contractual</w:t>
            </w:r>
          </w:p>
        </w:tc>
      </w:tr>
      <w:tr w:rsidR="002C0013" w:rsidRPr="00F53403" w14:paraId="47C9D4CF" w14:textId="77777777" w:rsidTr="00A1602F">
        <w:trPr>
          <w:trHeight w:val="330"/>
        </w:trPr>
        <w:tc>
          <w:tcPr>
            <w:tcW w:w="893" w:type="dxa"/>
            <w:vAlign w:val="center"/>
            <w:hideMark/>
          </w:tcPr>
          <w:p w14:paraId="60A55D40" w14:textId="77777777" w:rsidR="002C0013" w:rsidRPr="00F53403" w:rsidRDefault="002C0013" w:rsidP="00A1602F">
            <w:pPr>
              <w:spacing w:after="160" w:line="259" w:lineRule="auto"/>
              <w:contextualSpacing/>
              <w:rPr>
                <w:rFonts w:ascii="Verdana" w:hAnsi="Verdana" w:cs="Arial"/>
                <w:sz w:val="16"/>
                <w:szCs w:val="16"/>
                <w:lang w:val="es-ES" w:eastAsia="es-ES"/>
              </w:rPr>
            </w:pPr>
            <w:r w:rsidRPr="00F5340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2F7397D" w14:textId="625BE9B6" w:rsidR="002C0013" w:rsidRPr="00F53403" w:rsidRDefault="002C0013" w:rsidP="00A1602F">
            <w:pPr>
              <w:spacing w:after="160" w:line="276" w:lineRule="auto"/>
              <w:contextualSpacing/>
              <w:textAlignment w:val="baseline"/>
              <w:rPr>
                <w:rFonts w:ascii="Verdana" w:eastAsia="Times New Roman" w:hAnsi="Verdana" w:cs="Arial"/>
                <w:sz w:val="16"/>
                <w:szCs w:val="16"/>
                <w:lang w:val="es-ES" w:eastAsia="es-ES_tradnl"/>
              </w:rPr>
            </w:pPr>
            <w:r w:rsidRPr="00F53403">
              <w:rPr>
                <w:rFonts w:ascii="Verdana" w:eastAsia="Times New Roman" w:hAnsi="Verdana" w:cs="Arial"/>
                <w:sz w:val="16"/>
                <w:szCs w:val="16"/>
                <w:lang w:val="es-ES" w:eastAsia="es-ES_tradnl"/>
              </w:rPr>
              <w:t xml:space="preserve">Diana </w:t>
            </w:r>
            <w:r>
              <w:rPr>
                <w:rFonts w:ascii="Verdana" w:eastAsia="Times New Roman" w:hAnsi="Verdana" w:cs="Arial"/>
                <w:sz w:val="16"/>
                <w:szCs w:val="16"/>
                <w:lang w:val="es-ES" w:eastAsia="es-ES_tradnl"/>
              </w:rPr>
              <w:t xml:space="preserve">Lucía </w:t>
            </w:r>
            <w:r w:rsidRPr="00F53403">
              <w:rPr>
                <w:rFonts w:ascii="Verdana" w:eastAsia="Times New Roman" w:hAnsi="Verdana" w:cs="Arial"/>
                <w:sz w:val="16"/>
                <w:szCs w:val="16"/>
                <w:lang w:val="es-ES" w:eastAsia="es-ES_tradnl"/>
              </w:rPr>
              <w:t>Saavedra</w:t>
            </w:r>
            <w:r>
              <w:rPr>
                <w:rFonts w:ascii="Verdana" w:eastAsia="Times New Roman" w:hAnsi="Verdana" w:cs="Arial"/>
                <w:sz w:val="16"/>
                <w:szCs w:val="16"/>
                <w:lang w:val="es-ES" w:eastAsia="es-ES_tradnl"/>
              </w:rPr>
              <w:t xml:space="preserve"> Castañeda</w:t>
            </w:r>
          </w:p>
          <w:p w14:paraId="21655710" w14:textId="77777777" w:rsidR="002C0013" w:rsidRPr="00F53403" w:rsidRDefault="002C0013" w:rsidP="00A1602F">
            <w:pPr>
              <w:contextualSpacing/>
              <w:textAlignment w:val="baseline"/>
              <w:rPr>
                <w:rFonts w:ascii="Verdana" w:eastAsia="Times New Roman" w:hAnsi="Verdana" w:cs="Segoe UI"/>
                <w:sz w:val="16"/>
                <w:szCs w:val="16"/>
                <w:lang w:val="es-ES" w:eastAsia="es-CO"/>
              </w:rPr>
            </w:pPr>
            <w:r w:rsidRPr="00F53403">
              <w:rPr>
                <w:rFonts w:ascii="Verdana" w:eastAsia="Times New Roman" w:hAnsi="Verdana" w:cs="Arial"/>
                <w:sz w:val="16"/>
                <w:szCs w:val="16"/>
                <w:lang w:val="es-ES" w:eastAsia="es-CO"/>
              </w:rPr>
              <w:t>Contratista de la Subdirección de Gestión Contractual </w:t>
            </w:r>
          </w:p>
        </w:tc>
      </w:tr>
      <w:tr w:rsidR="002C0013" w:rsidRPr="00F53403" w14:paraId="0527A2FD" w14:textId="77777777" w:rsidTr="00A1602F">
        <w:trPr>
          <w:trHeight w:val="300"/>
        </w:trPr>
        <w:tc>
          <w:tcPr>
            <w:tcW w:w="893" w:type="dxa"/>
            <w:vAlign w:val="center"/>
          </w:tcPr>
          <w:p w14:paraId="24F5D46E" w14:textId="77777777" w:rsidR="002C0013" w:rsidRDefault="002C0013" w:rsidP="00A1602F">
            <w:pPr>
              <w:spacing w:after="160" w:line="259" w:lineRule="auto"/>
              <w:contextualSpacing/>
              <w:rPr>
                <w:rFonts w:ascii="Verdana" w:hAnsi="Verdana" w:cs="Arial"/>
                <w:sz w:val="16"/>
                <w:szCs w:val="16"/>
                <w:lang w:val="es-ES" w:eastAsia="es-ES"/>
              </w:rPr>
            </w:pPr>
            <w:r w:rsidRPr="00F53403">
              <w:rPr>
                <w:rFonts w:ascii="Verdana" w:hAnsi="Verdana" w:cs="Arial"/>
                <w:sz w:val="16"/>
                <w:szCs w:val="16"/>
                <w:lang w:val="es-ES" w:eastAsia="es-ES"/>
              </w:rPr>
              <w:t>Aprobó:</w:t>
            </w:r>
          </w:p>
          <w:p w14:paraId="05E34187" w14:textId="77777777" w:rsidR="002C0013" w:rsidRPr="00F53403" w:rsidRDefault="002C0013" w:rsidP="00A1602F">
            <w:pPr>
              <w:spacing w:after="160" w:line="259" w:lineRule="auto"/>
              <w:contextualSpacing/>
              <w:rPr>
                <w:rFonts w:ascii="Verdana" w:hAnsi="Verdana" w:cs="Arial"/>
                <w:sz w:val="16"/>
                <w:szCs w:val="16"/>
                <w:lang w:val="es-ES" w:eastAsia="es-ES"/>
              </w:rPr>
            </w:pPr>
          </w:p>
        </w:tc>
        <w:tc>
          <w:tcPr>
            <w:tcW w:w="5628" w:type="dxa"/>
            <w:tcBorders>
              <w:top w:val="dotted" w:sz="4" w:space="0" w:color="7F7F7F" w:themeColor="text1" w:themeTint="80"/>
              <w:left w:val="nil"/>
              <w:bottom w:val="dotted" w:sz="4" w:space="0" w:color="7F7F7F" w:themeColor="text1" w:themeTint="80"/>
              <w:right w:val="nil"/>
            </w:tcBorders>
            <w:vAlign w:val="center"/>
          </w:tcPr>
          <w:p w14:paraId="7A55890B" w14:textId="77777777" w:rsidR="002C0013" w:rsidRPr="00F53403" w:rsidRDefault="002C0013" w:rsidP="00A1602F">
            <w:pPr>
              <w:spacing w:after="160" w:line="259" w:lineRule="auto"/>
              <w:contextualSpacing/>
              <w:rPr>
                <w:rFonts w:ascii="Verdana" w:eastAsia="Calibri" w:hAnsi="Verdana" w:cs="Arial"/>
                <w:sz w:val="16"/>
                <w:szCs w:val="16"/>
                <w:lang w:val="es-ES" w:eastAsia="es-ES"/>
              </w:rPr>
            </w:pPr>
            <w:r w:rsidRPr="00F53403">
              <w:rPr>
                <w:rFonts w:ascii="Verdana" w:eastAsia="Calibri" w:hAnsi="Verdana" w:cs="Arial"/>
                <w:sz w:val="16"/>
                <w:szCs w:val="16"/>
                <w:lang w:val="es-ES" w:eastAsia="es-ES"/>
              </w:rPr>
              <w:t>Carolina Quintero Gacharná</w:t>
            </w:r>
          </w:p>
          <w:p w14:paraId="3E776342" w14:textId="77777777" w:rsidR="002C0013" w:rsidRPr="00F53403" w:rsidRDefault="002C0013" w:rsidP="00A1602F">
            <w:pPr>
              <w:spacing w:after="160" w:line="259" w:lineRule="auto"/>
              <w:contextualSpacing/>
              <w:rPr>
                <w:rFonts w:ascii="Verdana" w:eastAsia="Calibri" w:hAnsi="Verdana" w:cs="Arial"/>
                <w:sz w:val="16"/>
                <w:szCs w:val="16"/>
                <w:lang w:val="es-ES" w:eastAsia="es-ES"/>
              </w:rPr>
            </w:pPr>
            <w:r w:rsidRPr="00F53403">
              <w:rPr>
                <w:rFonts w:ascii="Verdana" w:eastAsia="Calibri" w:hAnsi="Verdana" w:cs="Arial"/>
                <w:sz w:val="16"/>
                <w:szCs w:val="16"/>
                <w:lang w:val="es-ES" w:eastAsia="es-ES"/>
              </w:rPr>
              <w:t>Subdirectora de Gestión Contractual ANCP – CCE</w:t>
            </w:r>
          </w:p>
        </w:tc>
      </w:tr>
      <w:bookmarkEnd w:id="0"/>
    </w:tbl>
    <w:p w14:paraId="12443EE0" w14:textId="75A70130" w:rsidR="00C15139" w:rsidRPr="0024624F" w:rsidRDefault="00C15139" w:rsidP="00C15139">
      <w:pPr>
        <w:spacing w:after="0"/>
        <w:rPr>
          <w:rFonts w:ascii="Verdana" w:hAnsi="Verdana"/>
        </w:rPr>
      </w:pPr>
    </w:p>
    <w:sectPr w:rsidR="00C15139" w:rsidRPr="0024624F" w:rsidSect="00DE2E29">
      <w:headerReference w:type="default" r:id="rId14"/>
      <w:footerReference w:type="default" r:id="rId15"/>
      <w:pgSz w:w="12240" w:h="15840" w:code="1"/>
      <w:pgMar w:top="1417" w:right="1701" w:bottom="1417" w:left="1701"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8A365" w14:textId="77777777" w:rsidR="00516CDB" w:rsidRDefault="00516CDB" w:rsidP="004A1847">
      <w:pPr>
        <w:spacing w:after="0" w:line="240" w:lineRule="auto"/>
      </w:pPr>
      <w:r>
        <w:separator/>
      </w:r>
    </w:p>
  </w:endnote>
  <w:endnote w:type="continuationSeparator" w:id="0">
    <w:p w14:paraId="13653287" w14:textId="77777777" w:rsidR="00516CDB" w:rsidRDefault="00516CD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98562" w14:textId="77777777" w:rsidR="00516CDB" w:rsidRDefault="00516CDB" w:rsidP="004A1847">
      <w:pPr>
        <w:spacing w:after="0" w:line="240" w:lineRule="auto"/>
      </w:pPr>
      <w:r>
        <w:separator/>
      </w:r>
    </w:p>
  </w:footnote>
  <w:footnote w:type="continuationSeparator" w:id="0">
    <w:p w14:paraId="7758AA5F" w14:textId="77777777" w:rsidR="00516CDB" w:rsidRDefault="00516CDB" w:rsidP="004A1847">
      <w:pPr>
        <w:spacing w:after="0" w:line="240" w:lineRule="auto"/>
      </w:pPr>
      <w:r>
        <w:continuationSeparator/>
      </w:r>
    </w:p>
  </w:footnote>
  <w:footnote w:id="1">
    <w:p w14:paraId="31E20FEE" w14:textId="77777777" w:rsidR="002C0013" w:rsidRPr="00BE126A" w:rsidRDefault="002C0013" w:rsidP="002C0013">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889E757" w14:textId="77777777" w:rsidR="002C0013" w:rsidRDefault="002C0013" w:rsidP="002C0013">
      <w:pPr>
        <w:pStyle w:val="Textonotapie"/>
        <w:ind w:firstLine="709"/>
        <w:contextualSpacing/>
        <w:jc w:val="both"/>
        <w:rPr>
          <w:rFonts w:ascii="Verdana" w:hAnsi="Verdana" w:cs="Arial"/>
          <w:sz w:val="16"/>
          <w:szCs w:val="16"/>
        </w:rPr>
      </w:pPr>
      <w:r w:rsidRPr="00BE126A">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D7CD230" w14:textId="77777777" w:rsidR="002C0013" w:rsidRPr="00BE126A" w:rsidRDefault="002C0013" w:rsidP="002C0013">
      <w:pPr>
        <w:pStyle w:val="Textonotapie"/>
        <w:ind w:firstLine="709"/>
        <w:contextualSpacing/>
        <w:jc w:val="both"/>
        <w:rPr>
          <w:rFonts w:ascii="Verdana" w:hAnsi="Verdana" w:cs="Arial"/>
          <w:sz w:val="16"/>
          <w:szCs w:val="16"/>
        </w:rPr>
      </w:pPr>
    </w:p>
  </w:footnote>
  <w:footnote w:id="2">
    <w:p w14:paraId="6898769E" w14:textId="77777777" w:rsidR="002C0013" w:rsidRDefault="002C0013" w:rsidP="002C0013">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Gaceta del Congreso de la República No. 71 del 2005.</w:t>
      </w:r>
    </w:p>
    <w:p w14:paraId="3C0B7CEA" w14:textId="77777777" w:rsidR="002C0013" w:rsidRPr="00BE126A" w:rsidRDefault="002C0013" w:rsidP="002C0013">
      <w:pPr>
        <w:pStyle w:val="Textonotapie"/>
        <w:ind w:firstLine="709"/>
        <w:contextualSpacing/>
        <w:jc w:val="both"/>
        <w:rPr>
          <w:rFonts w:ascii="Verdana" w:hAnsi="Verdana" w:cs="Arial"/>
          <w:sz w:val="16"/>
          <w:szCs w:val="16"/>
        </w:rPr>
      </w:pPr>
    </w:p>
  </w:footnote>
  <w:footnote w:id="3">
    <w:p w14:paraId="1FC3FDF8" w14:textId="77777777" w:rsidR="002C0013" w:rsidRDefault="002C0013" w:rsidP="002C0013">
      <w:pPr>
        <w:pStyle w:val="Textonotapie"/>
        <w:tabs>
          <w:tab w:val="left" w:pos="8145"/>
        </w:tabs>
        <w:ind w:firstLine="709"/>
        <w:contextualSpacing/>
        <w:jc w:val="both"/>
        <w:rPr>
          <w:rFonts w:ascii="Verdana" w:hAnsi="Verdana" w:cs="Arial"/>
          <w:sz w:val="16"/>
          <w:szCs w:val="16"/>
          <w:lang w:val="pt-PT"/>
        </w:rPr>
      </w:pPr>
      <w:r w:rsidRPr="00BE126A">
        <w:rPr>
          <w:rStyle w:val="Refdenotaalpie"/>
          <w:rFonts w:ascii="Verdana" w:hAnsi="Verdana" w:cs="Arial"/>
          <w:sz w:val="16"/>
          <w:szCs w:val="16"/>
        </w:rPr>
        <w:footnoteRef/>
      </w:r>
      <w:r w:rsidRPr="005800D0">
        <w:rPr>
          <w:rFonts w:ascii="Verdana" w:hAnsi="Verdana" w:cs="Arial"/>
          <w:sz w:val="16"/>
          <w:szCs w:val="16"/>
          <w:lang w:val="pt-PT"/>
        </w:rPr>
        <w:t xml:space="preserve"> Corte Constitucional</w:t>
      </w:r>
      <w:r>
        <w:rPr>
          <w:rFonts w:ascii="Verdana" w:hAnsi="Verdana" w:cs="Arial"/>
          <w:sz w:val="16"/>
          <w:szCs w:val="16"/>
          <w:lang w:val="pt-PT"/>
        </w:rPr>
        <w:t>.</w:t>
      </w:r>
      <w:r w:rsidRPr="005800D0">
        <w:rPr>
          <w:rFonts w:ascii="Verdana" w:hAnsi="Verdana" w:cs="Arial"/>
          <w:sz w:val="16"/>
          <w:szCs w:val="16"/>
          <w:lang w:val="pt-PT"/>
        </w:rPr>
        <w:t xml:space="preserve"> Sentencia C- 1153 de 2005, M.P</w:t>
      </w:r>
      <w:r>
        <w:rPr>
          <w:rFonts w:ascii="Verdana" w:hAnsi="Verdana" w:cs="Arial"/>
          <w:sz w:val="16"/>
          <w:szCs w:val="16"/>
          <w:lang w:val="pt-PT"/>
        </w:rPr>
        <w:t>:</w:t>
      </w:r>
      <w:r w:rsidRPr="005800D0">
        <w:rPr>
          <w:rFonts w:ascii="Verdana" w:hAnsi="Verdana" w:cs="Arial"/>
          <w:sz w:val="16"/>
          <w:szCs w:val="16"/>
          <w:lang w:val="pt-PT"/>
        </w:rPr>
        <w:t xml:space="preserve"> Marco Gerardo Monroy Cabra.</w:t>
      </w:r>
      <w:r>
        <w:rPr>
          <w:rFonts w:ascii="Verdana" w:hAnsi="Verdana" w:cs="Arial"/>
          <w:sz w:val="16"/>
          <w:szCs w:val="16"/>
          <w:lang w:val="pt-PT"/>
        </w:rPr>
        <w:tab/>
      </w:r>
    </w:p>
    <w:p w14:paraId="3CF2C838" w14:textId="77777777" w:rsidR="002C0013" w:rsidRPr="005800D0" w:rsidRDefault="002C0013" w:rsidP="002C0013">
      <w:pPr>
        <w:pStyle w:val="Textonotapie"/>
        <w:tabs>
          <w:tab w:val="left" w:pos="8145"/>
        </w:tabs>
        <w:ind w:firstLine="709"/>
        <w:contextualSpacing/>
        <w:jc w:val="both"/>
        <w:rPr>
          <w:rFonts w:ascii="Verdana" w:hAnsi="Verdana" w:cs="Arial"/>
          <w:sz w:val="16"/>
          <w:szCs w:val="16"/>
          <w:lang w:val="pt-PT"/>
        </w:rPr>
      </w:pPr>
    </w:p>
  </w:footnote>
  <w:footnote w:id="4">
    <w:p w14:paraId="48F7DDDE" w14:textId="77777777" w:rsidR="002C0013" w:rsidRDefault="002C0013" w:rsidP="002C0013">
      <w:pPr>
        <w:pStyle w:val="Textonotapie"/>
        <w:ind w:firstLine="709"/>
        <w:contextualSpacing/>
        <w:jc w:val="both"/>
        <w:rPr>
          <w:rFonts w:ascii="Verdana" w:hAnsi="Verdana" w:cs="Arial"/>
          <w:sz w:val="16"/>
          <w:szCs w:val="16"/>
          <w:lang w:val="pt-PT"/>
        </w:rPr>
      </w:pPr>
      <w:r w:rsidRPr="00BE126A">
        <w:rPr>
          <w:rStyle w:val="Refdenotaalpie"/>
          <w:rFonts w:ascii="Verdana" w:hAnsi="Verdana" w:cs="Arial"/>
          <w:sz w:val="16"/>
          <w:szCs w:val="16"/>
        </w:rPr>
        <w:footnoteRef/>
      </w:r>
      <w:r w:rsidRPr="005800D0">
        <w:rPr>
          <w:rFonts w:ascii="Verdana" w:hAnsi="Verdana" w:cs="Arial"/>
          <w:sz w:val="16"/>
          <w:szCs w:val="16"/>
          <w:lang w:val="pt-PT"/>
        </w:rPr>
        <w:t xml:space="preserve"> </w:t>
      </w:r>
      <w:r w:rsidRPr="0045735C">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68075919" w14:textId="77777777" w:rsidR="002C0013" w:rsidRPr="005800D0" w:rsidRDefault="002C0013" w:rsidP="002C0013">
      <w:pPr>
        <w:pStyle w:val="Textonotapie"/>
        <w:ind w:firstLine="709"/>
        <w:contextualSpacing/>
        <w:jc w:val="both"/>
        <w:rPr>
          <w:rFonts w:ascii="Verdana" w:hAnsi="Verdana" w:cs="Arial"/>
          <w:sz w:val="16"/>
          <w:szCs w:val="16"/>
          <w:lang w:val="pt-PT"/>
        </w:rPr>
      </w:pPr>
    </w:p>
  </w:footnote>
  <w:footnote w:id="5">
    <w:p w14:paraId="7CF210E9" w14:textId="77777777" w:rsidR="002C0013" w:rsidRDefault="002C0013" w:rsidP="002C0013">
      <w:pPr>
        <w:pStyle w:val="Textonotapie"/>
        <w:ind w:firstLine="709"/>
        <w:contextualSpacing/>
        <w:jc w:val="both"/>
        <w:rPr>
          <w:rFonts w:ascii="Verdana" w:hAnsi="Verdana" w:cs="Arial"/>
          <w:sz w:val="16"/>
          <w:szCs w:val="16"/>
          <w:lang w:val="es-CO"/>
        </w:rPr>
      </w:pPr>
      <w:r w:rsidRPr="00BE126A">
        <w:rPr>
          <w:rStyle w:val="Refdenotaalpie"/>
          <w:rFonts w:ascii="Verdana" w:hAnsi="Verdana" w:cs="Arial"/>
          <w:sz w:val="16"/>
          <w:szCs w:val="16"/>
        </w:rPr>
        <w:footnoteRef/>
      </w:r>
      <w:r w:rsidRPr="00BE126A">
        <w:rPr>
          <w:rFonts w:ascii="Verdana" w:hAnsi="Verdana" w:cs="Arial"/>
          <w:sz w:val="16"/>
          <w:szCs w:val="16"/>
          <w:lang w:val="es-CO"/>
        </w:rPr>
        <w:t xml:space="preserve"> </w:t>
      </w:r>
      <w:r w:rsidRPr="0045735C">
        <w:rPr>
          <w:rFonts w:ascii="Verdana" w:hAnsi="Verdana" w:cs="Arial"/>
          <w:sz w:val="16"/>
          <w:szCs w:val="16"/>
          <w:lang w:val="es-CO"/>
        </w:rPr>
        <w:t xml:space="preserve">Consejo de Estado. Sala de lo Contencioso Administrativo. Sección Primera. Sentencia de 3 de marzo de 2005. Radicado: </w:t>
      </w:r>
      <w:r w:rsidRPr="0045735C">
        <w:rPr>
          <w:rFonts w:ascii="Verdana" w:hAnsi="Verdana" w:cs="Arial"/>
          <w:sz w:val="16"/>
          <w:szCs w:val="16"/>
          <w:lang w:val="es-ES"/>
        </w:rPr>
        <w:t xml:space="preserve">25001-23-15-000-2004-00823-01 (PI). </w:t>
      </w:r>
      <w:r w:rsidRPr="0045735C">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6D7FAC02" w14:textId="77777777" w:rsidR="002C0013" w:rsidRPr="00BE126A" w:rsidRDefault="002C0013" w:rsidP="002C0013">
      <w:pPr>
        <w:pStyle w:val="Textonotapie"/>
        <w:ind w:firstLine="709"/>
        <w:contextualSpacing/>
        <w:jc w:val="both"/>
        <w:rPr>
          <w:rFonts w:ascii="Verdana" w:hAnsi="Verdana" w:cs="Arial"/>
          <w:sz w:val="16"/>
          <w:szCs w:val="16"/>
          <w:lang w:val="es-CO"/>
        </w:rPr>
      </w:pPr>
    </w:p>
  </w:footnote>
  <w:footnote w:id="6">
    <w:p w14:paraId="55F6C22F" w14:textId="77777777" w:rsidR="002C0013" w:rsidRDefault="002C0013" w:rsidP="002C0013">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w:t>
      </w:r>
      <w:r w:rsidRPr="0045735C">
        <w:rPr>
          <w:rFonts w:ascii="Verdana" w:hAnsi="Verdana" w:cs="Arial"/>
          <w:sz w:val="16"/>
          <w:szCs w:val="16"/>
        </w:rPr>
        <w:t xml:space="preserve">Consejo de Estado, Sala de Consulta y Servicio Civil. 24 de julio de 2013. Radicado: </w:t>
      </w:r>
      <w:r w:rsidRPr="0045735C">
        <w:rPr>
          <w:rFonts w:ascii="Verdana" w:hAnsi="Verdana" w:cs="Arial"/>
          <w:sz w:val="16"/>
          <w:szCs w:val="16"/>
          <w:lang w:val="es-CO"/>
        </w:rPr>
        <w:t xml:space="preserve">11001-03-06-000-2013-00407-00 </w:t>
      </w:r>
      <w:r w:rsidRPr="0045735C">
        <w:rPr>
          <w:rFonts w:ascii="Verdana" w:hAnsi="Verdana" w:cs="Arial"/>
          <w:sz w:val="16"/>
          <w:szCs w:val="16"/>
        </w:rPr>
        <w:t>(2166). C.P. Álvaro Namén Vargas</w:t>
      </w:r>
      <w:r w:rsidRPr="00BE126A">
        <w:rPr>
          <w:rFonts w:ascii="Verdana" w:hAnsi="Verdana" w:cs="Arial"/>
          <w:sz w:val="16"/>
          <w:szCs w:val="16"/>
        </w:rPr>
        <w:t xml:space="preserve">.  </w:t>
      </w:r>
    </w:p>
    <w:p w14:paraId="76846FD8" w14:textId="77777777" w:rsidR="002C0013" w:rsidRPr="00BE126A" w:rsidRDefault="002C0013" w:rsidP="002C0013">
      <w:pPr>
        <w:pStyle w:val="Textonotapie"/>
        <w:ind w:firstLine="709"/>
        <w:contextualSpacing/>
        <w:jc w:val="both"/>
        <w:rPr>
          <w:rFonts w:ascii="Verdana" w:hAnsi="Verdana" w:cs="Arial"/>
          <w:sz w:val="16"/>
          <w:szCs w:val="16"/>
        </w:rPr>
      </w:pPr>
    </w:p>
  </w:footnote>
  <w:footnote w:id="7">
    <w:p w14:paraId="51C3AB74" w14:textId="77777777" w:rsidR="002C0013" w:rsidRPr="00BE126A" w:rsidRDefault="002C0013" w:rsidP="002C0013">
      <w:pPr>
        <w:spacing w:after="0" w:line="240" w:lineRule="auto"/>
        <w:ind w:firstLine="709"/>
        <w:contextualSpacing/>
        <w:jc w:val="both"/>
        <w:rPr>
          <w:rFonts w:ascii="Verdana" w:eastAsia="Times New Roman"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w:t>
      </w:r>
      <w:bookmarkStart w:id="3" w:name="33"/>
      <w:r w:rsidRPr="00BE126A">
        <w:rPr>
          <w:rFonts w:ascii="Verdana" w:eastAsia="Calibri" w:hAnsi="Verdana" w:cs="Arial"/>
          <w:bCs/>
          <w:color w:val="000000"/>
          <w:sz w:val="16"/>
          <w:szCs w:val="16"/>
        </w:rPr>
        <w:t>“</w:t>
      </w:r>
      <w:r w:rsidRPr="00BE126A">
        <w:rPr>
          <w:rFonts w:ascii="Verdana" w:eastAsia="Times New Roman" w:hAnsi="Verdana" w:cs="Arial"/>
          <w:sz w:val="16"/>
          <w:szCs w:val="16"/>
        </w:rPr>
        <w:t>Artículo 33. Restricciones a la contratación pública.</w:t>
      </w:r>
      <w:bookmarkEnd w:id="3"/>
      <w:r w:rsidRPr="00BE126A">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A954FE4" w14:textId="77777777" w:rsidR="002C0013" w:rsidRDefault="002C0013" w:rsidP="002C0013">
      <w:pPr>
        <w:spacing w:after="0" w:line="240" w:lineRule="auto"/>
        <w:ind w:firstLine="709"/>
        <w:contextualSpacing/>
        <w:jc w:val="both"/>
        <w:rPr>
          <w:rFonts w:ascii="Verdana" w:eastAsia="Times New Roman" w:hAnsi="Verdana" w:cs="Arial"/>
          <w:sz w:val="16"/>
          <w:szCs w:val="16"/>
        </w:rPr>
      </w:pPr>
      <w:r w:rsidRPr="00BE126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D26B3FF" w14:textId="77777777" w:rsidR="002C0013" w:rsidRPr="00BE126A" w:rsidRDefault="002C0013" w:rsidP="002C0013">
      <w:pPr>
        <w:spacing w:after="0" w:line="240" w:lineRule="auto"/>
        <w:ind w:firstLine="709"/>
        <w:contextualSpacing/>
        <w:jc w:val="both"/>
        <w:rPr>
          <w:rFonts w:ascii="Verdana" w:eastAsia="Times New Roman" w:hAnsi="Verdana" w:cs="Arial"/>
          <w:sz w:val="16"/>
          <w:szCs w:val="16"/>
        </w:rPr>
      </w:pPr>
    </w:p>
  </w:footnote>
  <w:footnote w:id="8">
    <w:p w14:paraId="40D41321" w14:textId="77777777" w:rsidR="002C0013" w:rsidRPr="00BE126A" w:rsidRDefault="002C0013" w:rsidP="002C0013">
      <w:pPr>
        <w:pStyle w:val="NormalWeb"/>
        <w:spacing w:before="0" w:beforeAutospacing="0" w:after="0" w:afterAutospacing="0"/>
        <w:ind w:firstLine="709"/>
        <w:contextualSpacing/>
        <w:jc w:val="both"/>
        <w:rPr>
          <w:rFonts w:ascii="Verdana" w:hAnsi="Verdana" w:cs="Arial"/>
          <w:sz w:val="16"/>
          <w:szCs w:val="16"/>
          <w:lang w:val="es-MX"/>
        </w:rPr>
      </w:pPr>
      <w:r w:rsidRPr="00BE126A">
        <w:rPr>
          <w:rStyle w:val="Refdenotaalpie"/>
          <w:rFonts w:ascii="Verdana" w:hAnsi="Verdana" w:cs="Arial"/>
          <w:sz w:val="16"/>
          <w:szCs w:val="16"/>
        </w:rPr>
        <w:footnoteRef/>
      </w:r>
      <w:r w:rsidRPr="00BE126A">
        <w:rPr>
          <w:rFonts w:ascii="Verdana" w:hAnsi="Verdana" w:cs="Arial"/>
          <w:sz w:val="16"/>
          <w:szCs w:val="16"/>
        </w:rPr>
        <w:t xml:space="preserve"> </w:t>
      </w:r>
      <w:bookmarkStart w:id="4" w:name="38"/>
      <w:r w:rsidRPr="00BE126A">
        <w:rPr>
          <w:rFonts w:ascii="Verdana" w:eastAsia="Calibri" w:hAnsi="Verdana" w:cs="Arial"/>
          <w:bCs/>
          <w:color w:val="000000"/>
          <w:sz w:val="16"/>
          <w:szCs w:val="16"/>
        </w:rPr>
        <w:t>“</w:t>
      </w:r>
      <w:r w:rsidRPr="00BE126A">
        <w:rPr>
          <w:rFonts w:ascii="Verdana" w:hAnsi="Verdana" w:cs="Arial"/>
          <w:sz w:val="16"/>
          <w:szCs w:val="16"/>
          <w:lang w:val="es-MX"/>
        </w:rPr>
        <w:t>Artículo 38. Prohibiciones para los servidores públicos. A los empleados del Estado les está prohibido:</w:t>
      </w:r>
      <w:bookmarkEnd w:id="4"/>
    </w:p>
    <w:p w14:paraId="22EEBC7F" w14:textId="77777777" w:rsidR="002C0013" w:rsidRPr="00BE126A" w:rsidRDefault="002C0013" w:rsidP="002C0013">
      <w:pPr>
        <w:pStyle w:val="NormalWeb"/>
        <w:spacing w:before="0" w:beforeAutospacing="0" w:after="0" w:afterAutospacing="0"/>
        <w:ind w:firstLine="709"/>
        <w:contextualSpacing/>
        <w:jc w:val="both"/>
        <w:rPr>
          <w:rFonts w:ascii="Verdana" w:hAnsi="Verdana" w:cs="Arial"/>
          <w:sz w:val="16"/>
          <w:szCs w:val="16"/>
          <w:lang w:val="es-MX"/>
        </w:rPr>
      </w:pPr>
      <w:r>
        <w:rPr>
          <w:rFonts w:ascii="Verdana" w:hAnsi="Verdana" w:cs="Arial"/>
          <w:sz w:val="16"/>
          <w:szCs w:val="16"/>
          <w:lang w:val="es-MX"/>
        </w:rPr>
        <w:t>(…)</w:t>
      </w:r>
    </w:p>
    <w:p w14:paraId="3BC21001" w14:textId="77777777" w:rsidR="002C0013" w:rsidRDefault="002C0013" w:rsidP="002C0013">
      <w:pPr>
        <w:pStyle w:val="NormalWeb"/>
        <w:spacing w:before="0" w:beforeAutospacing="0" w:after="0" w:afterAutospacing="0"/>
        <w:ind w:firstLine="709"/>
        <w:contextualSpacing/>
        <w:jc w:val="both"/>
        <w:rPr>
          <w:rFonts w:ascii="Verdana" w:eastAsia="Calibri" w:hAnsi="Verdana" w:cs="Arial"/>
          <w:bCs/>
          <w:color w:val="000000"/>
          <w:sz w:val="16"/>
          <w:szCs w:val="16"/>
        </w:rPr>
      </w:pPr>
      <w:r w:rsidRPr="00BE126A">
        <w:rPr>
          <w:rStyle w:val="baj"/>
          <w:rFonts w:ascii="Verdana" w:hAnsi="Verdana" w:cs="Arial"/>
          <w:sz w:val="16"/>
          <w:szCs w:val="16"/>
          <w:lang w:val="es-MX"/>
        </w:rPr>
        <w:t>Parágrafo.</w:t>
      </w:r>
      <w:r w:rsidRPr="00BE126A">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E126A">
        <w:rPr>
          <w:rFonts w:ascii="Verdana" w:eastAsia="Calibri" w:hAnsi="Verdana" w:cs="Arial"/>
          <w:bCs/>
          <w:color w:val="000000"/>
          <w:sz w:val="16"/>
          <w:szCs w:val="16"/>
        </w:rPr>
        <w:t>”</w:t>
      </w:r>
      <w:r>
        <w:rPr>
          <w:rFonts w:ascii="Verdana" w:eastAsia="Calibri" w:hAnsi="Verdana" w:cs="Arial"/>
          <w:bCs/>
          <w:color w:val="000000"/>
          <w:sz w:val="16"/>
          <w:szCs w:val="16"/>
        </w:rPr>
        <w:t>.</w:t>
      </w:r>
    </w:p>
    <w:p w14:paraId="1EECD53A" w14:textId="77777777" w:rsidR="002C0013" w:rsidRPr="00BE126A" w:rsidRDefault="002C0013" w:rsidP="002C0013">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7EBCC3E5" w14:textId="77777777" w:rsidR="002C0013" w:rsidRPr="00BE126A" w:rsidRDefault="002C0013" w:rsidP="002C0013">
      <w:pPr>
        <w:spacing w:after="0" w:line="240" w:lineRule="auto"/>
        <w:ind w:left="100" w:right="244" w:firstLine="709"/>
        <w:contextualSpacing/>
        <w:jc w:val="both"/>
        <w:rPr>
          <w:rFonts w:ascii="Verdana" w:hAnsi="Verdana" w:cs="Arial"/>
          <w:sz w:val="16"/>
          <w:szCs w:val="16"/>
          <w:lang w:val="es-ES"/>
        </w:rPr>
      </w:pPr>
      <w:r w:rsidRPr="00BE126A">
        <w:rPr>
          <w:rStyle w:val="Refdenotaalpie"/>
          <w:rFonts w:ascii="Verdana" w:hAnsi="Verdana" w:cs="Arial"/>
          <w:sz w:val="16"/>
          <w:szCs w:val="16"/>
        </w:rPr>
        <w:footnoteRef/>
      </w:r>
      <w:r w:rsidRPr="00BE126A">
        <w:rPr>
          <w:rFonts w:ascii="Verdana" w:hAnsi="Verdana" w:cs="Arial"/>
          <w:sz w:val="16"/>
          <w:szCs w:val="16"/>
        </w:rPr>
        <w:t xml:space="preserve"> </w:t>
      </w:r>
      <w:r w:rsidRPr="00A04AF0">
        <w:rPr>
          <w:rFonts w:ascii="Verdana" w:hAnsi="Verdana" w:cs="Arial"/>
          <w:sz w:val="16"/>
          <w:szCs w:val="16"/>
        </w:rPr>
        <w:t>Consejo de Estado. Sala de Consulta y Servicio Civil. Concepto del 17 de febrero de 2015.</w:t>
      </w:r>
      <w:r>
        <w:rPr>
          <w:rFonts w:ascii="Verdana" w:hAnsi="Verdana" w:cs="Arial"/>
          <w:sz w:val="16"/>
          <w:szCs w:val="16"/>
        </w:rPr>
        <w:t xml:space="preserve"> </w:t>
      </w:r>
      <w:r w:rsidRPr="00A04AF0">
        <w:rPr>
          <w:rFonts w:ascii="Verdana" w:hAnsi="Verdana" w:cs="Arial"/>
          <w:sz w:val="16"/>
          <w:szCs w:val="16"/>
        </w:rPr>
        <w:t>Radicado: 11001-03-06-000-2015-00164-00 (2269). C.P. William Zambrano Cetina</w:t>
      </w:r>
      <w:r w:rsidRPr="00BE126A">
        <w:rPr>
          <w:rFonts w:ascii="Verdana" w:hAnsi="Verdana" w:cs="Arial"/>
          <w:sz w:val="16"/>
          <w:szCs w:val="16"/>
        </w:rPr>
        <w:t>.</w:t>
      </w:r>
    </w:p>
  </w:footnote>
  <w:footnote w:id="10">
    <w:p w14:paraId="2AB42061" w14:textId="77777777" w:rsidR="002C0013" w:rsidRDefault="002C0013" w:rsidP="002C0013">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sz w:val="16"/>
          <w:szCs w:val="16"/>
          <w:lang w:val="es-ES"/>
        </w:rPr>
        <w:t xml:space="preserve">[25] </w:t>
      </w:r>
      <w:r w:rsidRPr="00CE0D82">
        <w:rPr>
          <w:rFonts w:ascii="Verdana" w:hAnsi="Verdana" w:cs="Arial"/>
          <w:sz w:val="16"/>
          <w:szCs w:val="16"/>
        </w:rPr>
        <w:t>Cfr. Consejo de Estado. Sección Tercera. Sentencia de 3 de diciembre de 2007. Radicados: 24.715, 25.206, 25.409, 24.524, 27.834, 25.410, 26.105, 28.244, 31.447 -acumulados-</w:t>
      </w:r>
      <w:r>
        <w:rPr>
          <w:rFonts w:ascii="Verdana" w:hAnsi="Verdana" w:cs="Arial"/>
          <w:sz w:val="16"/>
          <w:szCs w:val="16"/>
        </w:rPr>
        <w:t>“</w:t>
      </w:r>
      <w:r w:rsidRPr="00CE0D82">
        <w:rPr>
          <w:rFonts w:ascii="Verdana" w:hAnsi="Verdana" w:cs="Arial"/>
          <w:sz w:val="16"/>
          <w:szCs w:val="16"/>
        </w:rPr>
        <w:t>.</w:t>
      </w:r>
    </w:p>
    <w:p w14:paraId="5B4AEA33" w14:textId="77777777" w:rsidR="002C0013" w:rsidRPr="00CE0D82" w:rsidRDefault="002C0013" w:rsidP="002C0013">
      <w:pPr>
        <w:pStyle w:val="Textonotapie"/>
        <w:ind w:firstLine="709"/>
        <w:contextualSpacing/>
        <w:jc w:val="both"/>
        <w:rPr>
          <w:rFonts w:ascii="Verdana" w:hAnsi="Verdana" w:cs="Arial"/>
          <w:sz w:val="16"/>
          <w:szCs w:val="16"/>
        </w:rPr>
      </w:pPr>
    </w:p>
  </w:footnote>
  <w:footnote w:id="11">
    <w:p w14:paraId="640792DF" w14:textId="77777777" w:rsidR="002C0013" w:rsidRDefault="002C0013" w:rsidP="002C0013">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bookmarkStart w:id="12" w:name="_Hlk74294506"/>
      <w:r w:rsidRPr="00CE0D82">
        <w:rPr>
          <w:rFonts w:ascii="Verdana" w:hAnsi="Verdana" w:cs="Arial"/>
          <w:sz w:val="16"/>
          <w:szCs w:val="16"/>
        </w:rPr>
        <w:t>“</w:t>
      </w:r>
      <w:r w:rsidRPr="00CE0D82">
        <w:rPr>
          <w:rFonts w:ascii="Verdana" w:hAnsi="Verdana" w:cs="Arial"/>
          <w:sz w:val="16"/>
          <w:szCs w:val="16"/>
          <w:lang w:val="es-ES"/>
        </w:rPr>
        <w:t xml:space="preserve">[26] </w:t>
      </w:r>
      <w:bookmarkEnd w:id="12"/>
      <w:r w:rsidRPr="00CE0D82">
        <w:rPr>
          <w:rFonts w:ascii="Verdana" w:hAnsi="Verdana" w:cs="Arial"/>
          <w:sz w:val="16"/>
          <w:szCs w:val="16"/>
        </w:rPr>
        <w:t>Al respecto ver el concepto 1712 de 2 de febrero de 2006. Consejo de Estado Sala de Consulta y Servicio Civil”.</w:t>
      </w:r>
    </w:p>
    <w:p w14:paraId="119A67E1" w14:textId="77777777" w:rsidR="002C0013" w:rsidRPr="00CE0D82" w:rsidRDefault="002C0013" w:rsidP="002C0013">
      <w:pPr>
        <w:pStyle w:val="Textonotapie"/>
        <w:ind w:firstLine="709"/>
        <w:contextualSpacing/>
        <w:jc w:val="both"/>
        <w:rPr>
          <w:rFonts w:ascii="Verdana" w:hAnsi="Verdana" w:cs="Arial"/>
          <w:sz w:val="16"/>
          <w:szCs w:val="16"/>
        </w:rPr>
      </w:pPr>
    </w:p>
  </w:footnote>
  <w:footnote w:id="12">
    <w:p w14:paraId="6B8FE7AC" w14:textId="77777777" w:rsidR="002C0013" w:rsidRDefault="002C0013" w:rsidP="002C0013">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235FCF">
        <w:rPr>
          <w:rFonts w:ascii="Verdana" w:hAnsi="Verdana" w:cs="Arial"/>
          <w:sz w:val="16"/>
          <w:szCs w:val="16"/>
        </w:rPr>
        <w:t>Consejo de Estado. Sala de Consulta y Servicio Civil. Concepto del 2 de septiembre de 2013. Radicación número: 11001-03-06-000-2013-00412-00 (2168). C</w:t>
      </w:r>
      <w:r>
        <w:rPr>
          <w:rFonts w:ascii="Verdana" w:hAnsi="Verdana" w:cs="Arial"/>
          <w:sz w:val="16"/>
          <w:szCs w:val="16"/>
        </w:rPr>
        <w:t>.P</w:t>
      </w:r>
      <w:r w:rsidRPr="00235FCF">
        <w:rPr>
          <w:rFonts w:ascii="Verdana" w:hAnsi="Verdana" w:cs="Arial"/>
          <w:sz w:val="16"/>
          <w:szCs w:val="16"/>
        </w:rPr>
        <w:t>: Álvaro Namén Vargas.</w:t>
      </w:r>
    </w:p>
    <w:p w14:paraId="0AB78F86" w14:textId="77777777" w:rsidR="002C0013" w:rsidRPr="005800D0" w:rsidRDefault="002C0013" w:rsidP="002C0013">
      <w:pPr>
        <w:pStyle w:val="Textonotapie"/>
        <w:ind w:firstLine="709"/>
        <w:contextualSpacing/>
        <w:jc w:val="both"/>
        <w:rPr>
          <w:rFonts w:ascii="Verdana" w:hAnsi="Verdana" w:cs="Arial"/>
          <w:sz w:val="16"/>
          <w:szCs w:val="16"/>
        </w:rPr>
      </w:pPr>
    </w:p>
  </w:footnote>
  <w:footnote w:id="13">
    <w:p w14:paraId="3F09B9A8" w14:textId="77777777" w:rsidR="002C0013" w:rsidRDefault="002C0013" w:rsidP="002C0013">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sz w:val="16"/>
          <w:szCs w:val="16"/>
          <w:lang w:val="es-ES"/>
        </w:rPr>
        <w:t xml:space="preserve">Artículo 2. </w:t>
      </w:r>
    </w:p>
    <w:p w14:paraId="732441C9" w14:textId="77777777" w:rsidR="002C0013" w:rsidRPr="00CE0D82" w:rsidRDefault="002C0013" w:rsidP="002C0013">
      <w:pPr>
        <w:pStyle w:val="Textonotapie"/>
        <w:ind w:firstLine="709"/>
        <w:contextualSpacing/>
        <w:rPr>
          <w:rFonts w:ascii="Verdana" w:hAnsi="Verdana" w:cs="Arial"/>
          <w:sz w:val="16"/>
          <w:szCs w:val="16"/>
          <w:lang w:val="es-ES"/>
        </w:rPr>
      </w:pPr>
    </w:p>
  </w:footnote>
  <w:footnote w:id="14">
    <w:p w14:paraId="50FCC177" w14:textId="77777777" w:rsidR="002C0013" w:rsidRDefault="002C0013" w:rsidP="002C0013">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i/>
          <w:sz w:val="16"/>
          <w:szCs w:val="16"/>
          <w:lang w:val="es-ES"/>
        </w:rPr>
        <w:t>Ídem</w:t>
      </w:r>
      <w:r w:rsidRPr="00CE0D82">
        <w:rPr>
          <w:rFonts w:ascii="Verdana" w:hAnsi="Verdana" w:cs="Arial"/>
          <w:sz w:val="16"/>
          <w:szCs w:val="16"/>
          <w:lang w:val="es-ES"/>
        </w:rPr>
        <w:t>.</w:t>
      </w:r>
    </w:p>
    <w:p w14:paraId="0B96DF68" w14:textId="77777777" w:rsidR="002C0013" w:rsidRPr="00CE0D82" w:rsidRDefault="002C0013" w:rsidP="002C0013">
      <w:pPr>
        <w:pStyle w:val="Textonotapie"/>
        <w:ind w:firstLine="709"/>
        <w:contextualSpacing/>
        <w:rPr>
          <w:rFonts w:ascii="Verdana" w:hAnsi="Verdana" w:cs="Arial"/>
          <w:sz w:val="16"/>
          <w:szCs w:val="16"/>
          <w:lang w:val="es-ES"/>
        </w:rPr>
      </w:pPr>
    </w:p>
  </w:footnote>
  <w:footnote w:id="15">
    <w:p w14:paraId="36053ED9" w14:textId="77777777" w:rsidR="002C0013" w:rsidRDefault="002C0013" w:rsidP="002C0013">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Style w:val="Refdenotaalpie"/>
          <w:rFonts w:ascii="Verdana" w:hAnsi="Verdana" w:cs="Arial"/>
          <w:sz w:val="16"/>
          <w:szCs w:val="16"/>
        </w:rPr>
        <w:t xml:space="preserve"> </w:t>
      </w:r>
      <w:r w:rsidRPr="00CE0D82">
        <w:rPr>
          <w:rFonts w:ascii="Verdana" w:hAnsi="Verdana" w:cs="Arial"/>
          <w:sz w:val="16"/>
          <w:szCs w:val="16"/>
          <w:lang w:val="es-ES"/>
        </w:rPr>
        <w:t xml:space="preserve">[…] A este respecto, cabe recordar que el artículo 860 del Código de Comercio regula la licitación en el derecho privado. </w:t>
      </w:r>
    </w:p>
    <w:p w14:paraId="0248C8CD" w14:textId="77777777" w:rsidR="002C0013" w:rsidRPr="00CE0D82" w:rsidRDefault="002C0013" w:rsidP="002C0013">
      <w:pPr>
        <w:pStyle w:val="Textonotapie"/>
        <w:ind w:firstLine="709"/>
        <w:contextualSpacing/>
        <w:rPr>
          <w:rFonts w:ascii="Verdana" w:hAnsi="Verdana" w:cs="Arial"/>
          <w:sz w:val="16"/>
          <w:szCs w:val="16"/>
          <w:lang w:val="es-ES"/>
        </w:rPr>
      </w:pPr>
    </w:p>
  </w:footnote>
  <w:footnote w:id="16">
    <w:p w14:paraId="3D4C1C44" w14:textId="77777777" w:rsidR="002C0013" w:rsidRDefault="002C0013" w:rsidP="002C0013">
      <w:pPr>
        <w:shd w:val="clear" w:color="auto" w:fill="FFFFFF"/>
        <w:spacing w:after="0" w:line="240" w:lineRule="auto"/>
        <w:ind w:firstLine="709"/>
        <w:contextualSpacing/>
        <w:jc w:val="both"/>
        <w:rPr>
          <w:rFonts w:ascii="Verdana" w:hAnsi="Verdana" w:cs="Arial"/>
          <w:sz w:val="16"/>
          <w:szCs w:val="16"/>
          <w:lang w:val="es-ES"/>
        </w:rPr>
      </w:pPr>
      <w:r w:rsidRPr="00CE0D82">
        <w:rPr>
          <w:rStyle w:val="Refdenotaalpie"/>
          <w:rFonts w:ascii="Verdana" w:hAnsi="Verdana" w:cs="Arial"/>
          <w:sz w:val="16"/>
          <w:szCs w:val="16"/>
        </w:rPr>
        <w:footnoteRef/>
      </w:r>
      <w:r w:rsidRPr="00CE0D82">
        <w:rPr>
          <w:rStyle w:val="Refdenotaalpie"/>
          <w:rFonts w:ascii="Verdana" w:hAnsi="Verdana" w:cs="Arial"/>
          <w:sz w:val="16"/>
          <w:szCs w:val="16"/>
        </w:rPr>
        <w:t xml:space="preserve"> </w:t>
      </w:r>
      <w:r w:rsidRPr="00CE0D82">
        <w:rPr>
          <w:rFonts w:ascii="Verdana" w:hAnsi="Verdana" w:cs="Arial"/>
          <w:sz w:val="16"/>
          <w:szCs w:val="16"/>
          <w:lang w:val="es-ES"/>
        </w:rPr>
        <w:t>Consejo de Estado. Sala de Consulta y Servicio Civil, Concepto de 8 de mayo de 2018. Radicación Número: 11001-03-06-000-2018-00095-00</w:t>
      </w:r>
      <w:r>
        <w:rPr>
          <w:rFonts w:ascii="Verdana" w:hAnsi="Verdana" w:cs="Arial"/>
          <w:sz w:val="16"/>
          <w:szCs w:val="16"/>
          <w:lang w:val="es-ES"/>
        </w:rPr>
        <w:t xml:space="preserve"> </w:t>
      </w:r>
      <w:r w:rsidRPr="00CE0D82">
        <w:rPr>
          <w:rFonts w:ascii="Verdana" w:hAnsi="Verdana" w:cs="Arial"/>
          <w:sz w:val="16"/>
          <w:szCs w:val="16"/>
          <w:lang w:val="es-ES"/>
        </w:rPr>
        <w:t xml:space="preserve">(2382). </w:t>
      </w:r>
      <w:r>
        <w:rPr>
          <w:rFonts w:ascii="Verdana" w:hAnsi="Verdana" w:cs="Arial"/>
          <w:sz w:val="16"/>
          <w:szCs w:val="16"/>
          <w:lang w:val="es-ES"/>
        </w:rPr>
        <w:t>C.P:</w:t>
      </w:r>
      <w:r w:rsidRPr="00CE0D82">
        <w:rPr>
          <w:rFonts w:ascii="Verdana" w:hAnsi="Verdana" w:cs="Arial"/>
          <w:sz w:val="16"/>
          <w:szCs w:val="16"/>
          <w:lang w:val="es-ES"/>
        </w:rPr>
        <w:t xml:space="preserve"> Álvaro Namén Vargas</w:t>
      </w:r>
      <w:r w:rsidRPr="005800D0">
        <w:rPr>
          <w:rFonts w:ascii="Verdana" w:hAnsi="Verdana" w:cs="Arial"/>
          <w:sz w:val="16"/>
          <w:szCs w:val="16"/>
          <w:lang w:val="es-ES"/>
        </w:rPr>
        <w:t>.</w:t>
      </w:r>
    </w:p>
    <w:p w14:paraId="2BE53499" w14:textId="77777777" w:rsidR="002C0013" w:rsidRPr="005800D0" w:rsidRDefault="002C0013" w:rsidP="002C0013">
      <w:pPr>
        <w:shd w:val="clear" w:color="auto" w:fill="FFFFFF"/>
        <w:spacing w:after="0" w:line="240" w:lineRule="auto"/>
        <w:ind w:firstLine="709"/>
        <w:contextualSpacing/>
        <w:jc w:val="both"/>
        <w:rPr>
          <w:rFonts w:ascii="Verdana" w:hAnsi="Verdana" w:cs="Arial"/>
          <w:sz w:val="16"/>
          <w:szCs w:val="16"/>
          <w:lang w:val="es-ES"/>
        </w:rPr>
      </w:pPr>
    </w:p>
  </w:footnote>
  <w:footnote w:id="17">
    <w:p w14:paraId="131F9E89" w14:textId="77777777" w:rsidR="002C0013" w:rsidRDefault="002C0013" w:rsidP="002C0013">
      <w:pPr>
        <w:pStyle w:val="Textonotapie"/>
        <w:ind w:firstLine="709"/>
        <w:contextualSpacing/>
        <w:jc w:val="both"/>
        <w:rPr>
          <w:rFonts w:ascii="Verdana" w:hAnsi="Verdana" w:cs="Arial"/>
          <w:sz w:val="16"/>
          <w:szCs w:val="16"/>
        </w:rPr>
      </w:pPr>
      <w:r w:rsidRPr="00195E24">
        <w:rPr>
          <w:rStyle w:val="Refdenotaalpie"/>
          <w:rFonts w:ascii="Verdana" w:hAnsi="Verdana" w:cs="Arial"/>
          <w:sz w:val="16"/>
          <w:szCs w:val="16"/>
        </w:rPr>
        <w:footnoteRef/>
      </w:r>
      <w:r w:rsidRPr="00195E24">
        <w:rPr>
          <w:rFonts w:ascii="Verdana" w:hAnsi="Verdana" w:cs="Arial"/>
          <w:sz w:val="16"/>
          <w:szCs w:val="16"/>
        </w:rPr>
        <w:t xml:space="preserve"> Consejo de Estado. Sala de Consulta y Servicio Civil. Concepto del 08 de mayo de 2018. Exp. 2.382. C.P. Álvaro Namén Vargas.</w:t>
      </w:r>
    </w:p>
    <w:p w14:paraId="3F11B627" w14:textId="77777777" w:rsidR="002C0013" w:rsidRPr="00195E24" w:rsidRDefault="002C0013" w:rsidP="002C0013">
      <w:pPr>
        <w:pStyle w:val="Textonotapie"/>
        <w:ind w:firstLine="709"/>
        <w:contextualSpacing/>
        <w:jc w:val="both"/>
        <w:rPr>
          <w:rFonts w:ascii="Verdana" w:hAnsi="Verdana" w:cs="Arial"/>
          <w:sz w:val="16"/>
          <w:szCs w:val="16"/>
        </w:rPr>
      </w:pPr>
    </w:p>
  </w:footnote>
  <w:footnote w:id="18">
    <w:p w14:paraId="2585BB7B" w14:textId="77777777" w:rsidR="002C0013" w:rsidRPr="00195E24" w:rsidRDefault="002C0013" w:rsidP="002C0013">
      <w:pPr>
        <w:pStyle w:val="Textonotapie"/>
        <w:ind w:firstLine="708"/>
        <w:contextualSpacing/>
        <w:jc w:val="both"/>
        <w:rPr>
          <w:rFonts w:ascii="Verdana" w:hAnsi="Verdana" w:cs="Arial"/>
          <w:sz w:val="16"/>
          <w:szCs w:val="16"/>
        </w:rPr>
      </w:pPr>
      <w:r w:rsidRPr="00195E24">
        <w:rPr>
          <w:rStyle w:val="Refdenotaalpie"/>
          <w:rFonts w:ascii="Verdana" w:hAnsi="Verdana" w:cs="Arial"/>
          <w:sz w:val="16"/>
          <w:szCs w:val="16"/>
        </w:rPr>
        <w:footnoteRef/>
      </w:r>
      <w:r w:rsidRPr="00195E24">
        <w:rPr>
          <w:rFonts w:ascii="Verdana" w:hAnsi="Verdana" w:cs="Arial"/>
          <w:sz w:val="16"/>
          <w:szCs w:val="16"/>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167611D6" w14:textId="77777777" w:rsidR="002C0013" w:rsidRPr="00195E24" w:rsidRDefault="002C0013" w:rsidP="002C0013">
      <w:pPr>
        <w:pStyle w:val="Textonotapie"/>
        <w:ind w:firstLine="708"/>
        <w:contextualSpacing/>
        <w:jc w:val="both"/>
        <w:rPr>
          <w:rFonts w:ascii="Verdana" w:hAnsi="Verdana" w:cs="Arial"/>
          <w:sz w:val="16"/>
          <w:szCs w:val="16"/>
        </w:rPr>
      </w:pPr>
      <w:r w:rsidRPr="00195E24">
        <w:rPr>
          <w:rFonts w:ascii="Verdana" w:hAnsi="Verdana" w:cs="Arial"/>
          <w:sz w:val="16"/>
          <w:szCs w:val="16"/>
        </w:rPr>
        <w:t xml:space="preserve">a) Personería jurídica; </w:t>
      </w:r>
    </w:p>
    <w:p w14:paraId="4A970267" w14:textId="77777777" w:rsidR="002C0013" w:rsidRPr="00195E24" w:rsidRDefault="002C0013" w:rsidP="002C0013">
      <w:pPr>
        <w:pStyle w:val="Textonotapie"/>
        <w:ind w:firstLine="708"/>
        <w:contextualSpacing/>
        <w:jc w:val="both"/>
        <w:rPr>
          <w:rFonts w:ascii="Verdana" w:hAnsi="Verdana" w:cs="Arial"/>
          <w:sz w:val="16"/>
          <w:szCs w:val="16"/>
        </w:rPr>
      </w:pPr>
      <w:r w:rsidRPr="00195E24">
        <w:rPr>
          <w:rFonts w:ascii="Verdana" w:hAnsi="Verdana" w:cs="Arial"/>
          <w:sz w:val="16"/>
          <w:szCs w:val="16"/>
        </w:rPr>
        <w:t xml:space="preserve">b) Autonomía administrativa y financiera; </w:t>
      </w:r>
    </w:p>
    <w:p w14:paraId="1E440415" w14:textId="77777777" w:rsidR="002C0013" w:rsidRDefault="002C0013" w:rsidP="002C0013">
      <w:pPr>
        <w:pStyle w:val="Textonotapie"/>
        <w:ind w:firstLine="708"/>
        <w:contextualSpacing/>
        <w:jc w:val="both"/>
        <w:rPr>
          <w:rFonts w:ascii="Verdana" w:hAnsi="Verdana" w:cs="Arial"/>
          <w:sz w:val="16"/>
          <w:szCs w:val="16"/>
        </w:rPr>
      </w:pPr>
      <w:r w:rsidRPr="00195E24">
        <w:rPr>
          <w:rFonts w:ascii="Verdana" w:hAnsi="Verdana" w:cs="Arial"/>
          <w:sz w:val="16"/>
          <w:szCs w:val="16"/>
        </w:rPr>
        <w:t>c) Capital independiente, constituido totalmente con bienes o fondos públicos comunes, los productos de ellos, o el rendimiento de tasas que perciban por las funciones o servicios, y contribuciones de destinación especial en los casos autorizados por la Constitución</w:t>
      </w:r>
      <w:r>
        <w:rPr>
          <w:rFonts w:ascii="Verdana" w:hAnsi="Verdana" w:cs="Arial"/>
          <w:sz w:val="16"/>
          <w:szCs w:val="16"/>
        </w:rPr>
        <w:t>.</w:t>
      </w:r>
      <w:r w:rsidRPr="00CE0D82">
        <w:rPr>
          <w:rFonts w:ascii="Verdana" w:hAnsi="Verdana" w:cs="Arial"/>
          <w:sz w:val="16"/>
          <w:szCs w:val="16"/>
        </w:rPr>
        <w:t xml:space="preserve"> </w:t>
      </w:r>
    </w:p>
    <w:p w14:paraId="325D6B3A" w14:textId="77777777" w:rsidR="002C0013" w:rsidRPr="005800D0" w:rsidRDefault="002C0013" w:rsidP="002C0013">
      <w:pPr>
        <w:pStyle w:val="Textonotapie"/>
        <w:ind w:firstLine="708"/>
        <w:contextualSpacing/>
        <w:jc w:val="both"/>
        <w:rPr>
          <w:rFonts w:ascii="Verdana" w:hAnsi="Verdana" w:cs="Arial"/>
          <w:sz w:val="16"/>
          <w:szCs w:val="16"/>
        </w:rPr>
      </w:pPr>
    </w:p>
  </w:footnote>
  <w:footnote w:id="19">
    <w:p w14:paraId="44E7627E" w14:textId="77777777" w:rsidR="002C0013" w:rsidRDefault="002C0013" w:rsidP="002C0013">
      <w:pPr>
        <w:spacing w:after="0" w:line="240" w:lineRule="auto"/>
        <w:ind w:right="49" w:firstLine="709"/>
        <w:contextualSpacing/>
        <w:jc w:val="both"/>
        <w:rPr>
          <w:rFonts w:ascii="Verdana" w:hAnsi="Verdana"/>
          <w:spacing w:val="-2"/>
          <w:sz w:val="16"/>
          <w:szCs w:val="16"/>
        </w:rPr>
      </w:pPr>
      <w:r w:rsidRPr="005800D0">
        <w:rPr>
          <w:rStyle w:val="Refdenotaalpie"/>
          <w:rFonts w:ascii="Verdana" w:hAnsi="Verdana"/>
          <w:sz w:val="16"/>
          <w:szCs w:val="16"/>
        </w:rPr>
        <w:footnoteRef/>
      </w:r>
      <w:r w:rsidRPr="005800D0">
        <w:rPr>
          <w:rFonts w:ascii="Verdana" w:hAnsi="Verdana"/>
          <w:sz w:val="16"/>
          <w:szCs w:val="16"/>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w:t>
      </w:r>
      <w:r w:rsidRPr="005800D0">
        <w:rPr>
          <w:rFonts w:ascii="Verdana" w:hAnsi="Verdana"/>
          <w:spacing w:val="-15"/>
          <w:sz w:val="16"/>
          <w:szCs w:val="16"/>
        </w:rPr>
        <w:t xml:space="preserve"> </w:t>
      </w:r>
      <w:r w:rsidRPr="005800D0">
        <w:rPr>
          <w:rFonts w:ascii="Verdana" w:hAnsi="Verdana"/>
          <w:sz w:val="16"/>
          <w:szCs w:val="16"/>
        </w:rPr>
        <w:t>y comerciales estatales y de las sociedades de economía mixta, con excepción de los contratos que a título enunciativo identifica el artículo 32 de esta ley”, o sea, los de obra, consultoría, prestación de servicios,</w:t>
      </w:r>
      <w:r w:rsidRPr="005800D0">
        <w:rPr>
          <w:rFonts w:ascii="Verdana" w:hAnsi="Verdana"/>
          <w:spacing w:val="-7"/>
          <w:sz w:val="16"/>
          <w:szCs w:val="16"/>
        </w:rPr>
        <w:t xml:space="preserve"> </w:t>
      </w:r>
      <w:r w:rsidRPr="005800D0">
        <w:rPr>
          <w:rFonts w:ascii="Verdana" w:hAnsi="Verdana"/>
          <w:sz w:val="16"/>
          <w:szCs w:val="16"/>
        </w:rPr>
        <w:t>concesión,</w:t>
      </w:r>
      <w:r w:rsidRPr="005800D0">
        <w:rPr>
          <w:rFonts w:ascii="Verdana" w:hAnsi="Verdana"/>
          <w:spacing w:val="-7"/>
          <w:sz w:val="16"/>
          <w:szCs w:val="16"/>
        </w:rPr>
        <w:t xml:space="preserve"> </w:t>
      </w:r>
      <w:r w:rsidRPr="005800D0">
        <w:rPr>
          <w:rFonts w:ascii="Verdana" w:hAnsi="Verdana"/>
          <w:sz w:val="16"/>
          <w:szCs w:val="16"/>
        </w:rPr>
        <w:t>encargos</w:t>
      </w:r>
      <w:r w:rsidRPr="005800D0">
        <w:rPr>
          <w:rFonts w:ascii="Verdana" w:hAnsi="Verdana"/>
          <w:spacing w:val="-7"/>
          <w:sz w:val="16"/>
          <w:szCs w:val="16"/>
        </w:rPr>
        <w:t xml:space="preserve"> </w:t>
      </w:r>
      <w:r w:rsidRPr="005800D0">
        <w:rPr>
          <w:rFonts w:ascii="Verdana" w:hAnsi="Verdana"/>
          <w:sz w:val="16"/>
          <w:szCs w:val="16"/>
        </w:rPr>
        <w:t>fiduciarios</w:t>
      </w:r>
      <w:r w:rsidRPr="005800D0">
        <w:rPr>
          <w:rFonts w:ascii="Verdana" w:hAnsi="Verdana"/>
          <w:spacing w:val="-7"/>
          <w:sz w:val="16"/>
          <w:szCs w:val="16"/>
        </w:rPr>
        <w:t xml:space="preserve"> </w:t>
      </w:r>
      <w:r w:rsidRPr="005800D0">
        <w:rPr>
          <w:rFonts w:ascii="Verdana" w:hAnsi="Verdana"/>
          <w:sz w:val="16"/>
          <w:szCs w:val="16"/>
        </w:rPr>
        <w:t>y</w:t>
      </w:r>
      <w:r w:rsidRPr="005800D0">
        <w:rPr>
          <w:rFonts w:ascii="Verdana" w:hAnsi="Verdana"/>
          <w:spacing w:val="-8"/>
          <w:sz w:val="16"/>
          <w:szCs w:val="16"/>
        </w:rPr>
        <w:t xml:space="preserve"> </w:t>
      </w:r>
      <w:r w:rsidRPr="005800D0">
        <w:rPr>
          <w:rFonts w:ascii="Verdana" w:hAnsi="Verdana"/>
          <w:sz w:val="16"/>
          <w:szCs w:val="16"/>
        </w:rPr>
        <w:t>fiducia</w:t>
      </w:r>
      <w:r w:rsidRPr="005800D0">
        <w:rPr>
          <w:rFonts w:ascii="Verdana" w:hAnsi="Verdana"/>
          <w:spacing w:val="-9"/>
          <w:sz w:val="16"/>
          <w:szCs w:val="16"/>
        </w:rPr>
        <w:t xml:space="preserve"> </w:t>
      </w:r>
      <w:r w:rsidRPr="005800D0">
        <w:rPr>
          <w:rFonts w:ascii="Verdana" w:hAnsi="Verdana"/>
          <w:sz w:val="16"/>
          <w:szCs w:val="16"/>
        </w:rPr>
        <w:t>pública,</w:t>
      </w:r>
      <w:r w:rsidRPr="005800D0">
        <w:rPr>
          <w:rFonts w:ascii="Verdana" w:hAnsi="Verdana"/>
          <w:spacing w:val="-7"/>
          <w:sz w:val="16"/>
          <w:szCs w:val="16"/>
        </w:rPr>
        <w:t xml:space="preserve"> </w:t>
      </w:r>
      <w:r w:rsidRPr="005800D0">
        <w:rPr>
          <w:rFonts w:ascii="Verdana" w:hAnsi="Verdana"/>
          <w:sz w:val="16"/>
          <w:szCs w:val="16"/>
        </w:rPr>
        <w:t>que</w:t>
      </w:r>
      <w:r w:rsidRPr="005800D0">
        <w:rPr>
          <w:rFonts w:ascii="Verdana" w:hAnsi="Verdana"/>
          <w:spacing w:val="-13"/>
          <w:sz w:val="16"/>
          <w:szCs w:val="16"/>
        </w:rPr>
        <w:t xml:space="preserve"> </w:t>
      </w:r>
      <w:r w:rsidRPr="005800D0">
        <w:rPr>
          <w:rFonts w:ascii="Verdana" w:hAnsi="Verdana"/>
          <w:sz w:val="16"/>
          <w:szCs w:val="16"/>
        </w:rPr>
        <w:t>se</w:t>
      </w:r>
      <w:r w:rsidRPr="005800D0">
        <w:rPr>
          <w:rFonts w:ascii="Verdana" w:hAnsi="Verdana"/>
          <w:spacing w:val="-8"/>
          <w:sz w:val="16"/>
          <w:szCs w:val="16"/>
        </w:rPr>
        <w:t xml:space="preserve"> </w:t>
      </w:r>
      <w:r w:rsidRPr="005800D0">
        <w:rPr>
          <w:rFonts w:ascii="Verdana" w:hAnsi="Verdana"/>
          <w:sz w:val="16"/>
          <w:szCs w:val="16"/>
        </w:rPr>
        <w:t>regirían</w:t>
      </w:r>
      <w:r w:rsidRPr="005800D0">
        <w:rPr>
          <w:rFonts w:ascii="Verdana" w:hAnsi="Verdana"/>
          <w:spacing w:val="-9"/>
          <w:sz w:val="16"/>
          <w:szCs w:val="16"/>
        </w:rPr>
        <w:t xml:space="preserve"> </w:t>
      </w:r>
      <w:r w:rsidRPr="005800D0">
        <w:rPr>
          <w:rFonts w:ascii="Verdana" w:hAnsi="Verdana"/>
          <w:sz w:val="16"/>
          <w:szCs w:val="16"/>
        </w:rPr>
        <w:t>por</w:t>
      </w:r>
      <w:r w:rsidRPr="005800D0">
        <w:rPr>
          <w:rFonts w:ascii="Verdana" w:hAnsi="Verdana"/>
          <w:spacing w:val="-7"/>
          <w:sz w:val="16"/>
          <w:szCs w:val="16"/>
        </w:rPr>
        <w:t xml:space="preserve"> </w:t>
      </w:r>
      <w:r w:rsidRPr="005800D0">
        <w:rPr>
          <w:rFonts w:ascii="Verdana" w:hAnsi="Verdana"/>
          <w:sz w:val="16"/>
          <w:szCs w:val="16"/>
        </w:rPr>
        <w:t>la</w:t>
      </w:r>
      <w:r w:rsidRPr="005800D0">
        <w:rPr>
          <w:rFonts w:ascii="Verdana" w:hAnsi="Verdana"/>
          <w:spacing w:val="-9"/>
          <w:sz w:val="16"/>
          <w:szCs w:val="16"/>
        </w:rPr>
        <w:t xml:space="preserve"> </w:t>
      </w:r>
      <w:r w:rsidRPr="005800D0">
        <w:rPr>
          <w:rFonts w:ascii="Verdana" w:hAnsi="Verdana"/>
          <w:sz w:val="16"/>
          <w:szCs w:val="16"/>
        </w:rPr>
        <w:t>regla</w:t>
      </w:r>
      <w:r w:rsidRPr="005800D0">
        <w:rPr>
          <w:rFonts w:ascii="Verdana" w:hAnsi="Verdana"/>
          <w:spacing w:val="-9"/>
          <w:sz w:val="16"/>
          <w:szCs w:val="16"/>
        </w:rPr>
        <w:t xml:space="preserve"> </w:t>
      </w:r>
      <w:r w:rsidRPr="005800D0">
        <w:rPr>
          <w:rFonts w:ascii="Verdana" w:hAnsi="Verdana"/>
          <w:sz w:val="16"/>
          <w:szCs w:val="16"/>
        </w:rPr>
        <w:t>general,</w:t>
      </w:r>
      <w:r w:rsidRPr="005800D0">
        <w:rPr>
          <w:rFonts w:ascii="Verdana" w:hAnsi="Verdana"/>
          <w:spacing w:val="-7"/>
          <w:sz w:val="16"/>
          <w:szCs w:val="16"/>
        </w:rPr>
        <w:t xml:space="preserve"> </w:t>
      </w:r>
      <w:r w:rsidRPr="005800D0">
        <w:rPr>
          <w:rFonts w:ascii="Verdana" w:hAnsi="Verdana"/>
          <w:sz w:val="16"/>
          <w:szCs w:val="16"/>
        </w:rPr>
        <w:t>salvo</w:t>
      </w:r>
      <w:r w:rsidRPr="005800D0">
        <w:rPr>
          <w:rFonts w:ascii="Verdana" w:hAnsi="Verdana"/>
          <w:spacing w:val="-10"/>
          <w:sz w:val="16"/>
          <w:szCs w:val="16"/>
        </w:rPr>
        <w:t xml:space="preserve"> </w:t>
      </w:r>
      <w:r w:rsidRPr="005800D0">
        <w:rPr>
          <w:rFonts w:ascii="Verdana" w:hAnsi="Verdana"/>
          <w:sz w:val="16"/>
          <w:szCs w:val="16"/>
        </w:rPr>
        <w:t>los</w:t>
      </w:r>
      <w:r w:rsidRPr="005800D0">
        <w:rPr>
          <w:rFonts w:ascii="Verdana" w:hAnsi="Verdana"/>
          <w:spacing w:val="-7"/>
          <w:sz w:val="16"/>
          <w:szCs w:val="16"/>
        </w:rPr>
        <w:t xml:space="preserve"> </w:t>
      </w:r>
      <w:r w:rsidRPr="005800D0">
        <w:rPr>
          <w:rFonts w:ascii="Verdana" w:hAnsi="Verdana"/>
          <w:sz w:val="16"/>
          <w:szCs w:val="16"/>
        </w:rPr>
        <w:t>casos de</w:t>
      </w:r>
      <w:r w:rsidRPr="005800D0">
        <w:rPr>
          <w:rFonts w:ascii="Verdana" w:hAnsi="Verdana"/>
          <w:spacing w:val="-2"/>
          <w:sz w:val="16"/>
          <w:szCs w:val="16"/>
        </w:rPr>
        <w:t xml:space="preserve"> </w:t>
      </w:r>
      <w:r w:rsidRPr="005800D0">
        <w:rPr>
          <w:rFonts w:ascii="Verdana" w:hAnsi="Verdana"/>
          <w:sz w:val="16"/>
          <w:szCs w:val="16"/>
        </w:rPr>
        <w:t>menor cuantía –previstos en el ordinal a), numeral 1 del artículo 24, original, de la Ley 80 de 1993</w:t>
      </w:r>
      <w:r w:rsidRPr="005800D0">
        <w:rPr>
          <w:rFonts w:ascii="Verdana" w:hAnsi="Verdana"/>
          <w:spacing w:val="-15"/>
          <w:sz w:val="16"/>
          <w:szCs w:val="16"/>
        </w:rPr>
        <w:t xml:space="preserve"> </w:t>
      </w:r>
      <w:r w:rsidRPr="005800D0">
        <w:rPr>
          <w:rFonts w:ascii="Verdana" w:hAnsi="Verdana"/>
          <w:sz w:val="16"/>
          <w:szCs w:val="16"/>
        </w:rPr>
        <w:t>–. Además,</w:t>
      </w:r>
      <w:r w:rsidRPr="005800D0">
        <w:rPr>
          <w:rFonts w:ascii="Verdana" w:hAnsi="Verdana"/>
          <w:spacing w:val="-1"/>
          <w:sz w:val="16"/>
          <w:szCs w:val="16"/>
        </w:rPr>
        <w:t xml:space="preserve"> </w:t>
      </w:r>
      <w:r w:rsidRPr="005800D0">
        <w:rPr>
          <w:rFonts w:ascii="Verdana" w:hAnsi="Verdana"/>
          <w:sz w:val="16"/>
          <w:szCs w:val="16"/>
        </w:rPr>
        <w:t>en</w:t>
      </w:r>
      <w:r w:rsidRPr="005800D0">
        <w:rPr>
          <w:rFonts w:ascii="Verdana" w:hAnsi="Verdana"/>
          <w:spacing w:val="-5"/>
          <w:sz w:val="16"/>
          <w:szCs w:val="16"/>
        </w:rPr>
        <w:t xml:space="preserve"> </w:t>
      </w:r>
      <w:r w:rsidRPr="005800D0">
        <w:rPr>
          <w:rFonts w:ascii="Verdana" w:hAnsi="Verdana"/>
          <w:sz w:val="16"/>
          <w:szCs w:val="16"/>
        </w:rPr>
        <w:t>el</w:t>
      </w:r>
      <w:r w:rsidRPr="005800D0">
        <w:rPr>
          <w:rFonts w:ascii="Verdana" w:hAnsi="Verdana"/>
          <w:spacing w:val="-2"/>
          <w:sz w:val="16"/>
          <w:szCs w:val="16"/>
        </w:rPr>
        <w:t xml:space="preserve"> </w:t>
      </w:r>
      <w:r w:rsidRPr="005800D0">
        <w:rPr>
          <w:rFonts w:ascii="Verdana" w:hAnsi="Verdana"/>
          <w:sz w:val="16"/>
          <w:szCs w:val="16"/>
        </w:rPr>
        <w:t>parágrafo</w:t>
      </w:r>
      <w:r w:rsidRPr="005800D0">
        <w:rPr>
          <w:rFonts w:ascii="Verdana" w:hAnsi="Verdana"/>
          <w:spacing w:val="-5"/>
          <w:sz w:val="16"/>
          <w:szCs w:val="16"/>
        </w:rPr>
        <w:t xml:space="preserve"> </w:t>
      </w:r>
      <w:r w:rsidRPr="005800D0">
        <w:rPr>
          <w:rFonts w:ascii="Verdana" w:hAnsi="Verdana"/>
          <w:sz w:val="16"/>
          <w:szCs w:val="16"/>
        </w:rPr>
        <w:t>del</w:t>
      </w:r>
      <w:r w:rsidRPr="005800D0">
        <w:rPr>
          <w:rFonts w:ascii="Verdana" w:hAnsi="Verdana"/>
          <w:spacing w:val="-2"/>
          <w:sz w:val="16"/>
          <w:szCs w:val="16"/>
        </w:rPr>
        <w:t xml:space="preserve"> </w:t>
      </w:r>
      <w:r w:rsidRPr="005800D0">
        <w:rPr>
          <w:rFonts w:ascii="Verdana" w:hAnsi="Verdana"/>
          <w:sz w:val="16"/>
          <w:szCs w:val="16"/>
        </w:rPr>
        <w:t>artículo</w:t>
      </w:r>
      <w:r w:rsidRPr="005800D0">
        <w:rPr>
          <w:rFonts w:ascii="Verdana" w:hAnsi="Verdana"/>
          <w:spacing w:val="-5"/>
          <w:sz w:val="16"/>
          <w:szCs w:val="16"/>
        </w:rPr>
        <w:t xml:space="preserve"> </w:t>
      </w:r>
      <w:r w:rsidRPr="005800D0">
        <w:rPr>
          <w:rFonts w:ascii="Verdana" w:hAnsi="Verdana"/>
          <w:sz w:val="16"/>
          <w:szCs w:val="16"/>
        </w:rPr>
        <w:t>14</w:t>
      </w:r>
      <w:r w:rsidRPr="005800D0">
        <w:rPr>
          <w:rFonts w:ascii="Verdana" w:hAnsi="Verdana"/>
          <w:spacing w:val="-5"/>
          <w:sz w:val="16"/>
          <w:szCs w:val="16"/>
        </w:rPr>
        <w:t xml:space="preserve"> </w:t>
      </w:r>
      <w:r w:rsidRPr="005800D0">
        <w:rPr>
          <w:rFonts w:ascii="Verdana" w:hAnsi="Verdana"/>
          <w:sz w:val="16"/>
          <w:szCs w:val="16"/>
        </w:rPr>
        <w:t>de</w:t>
      </w:r>
      <w:r w:rsidRPr="005800D0">
        <w:rPr>
          <w:rFonts w:ascii="Verdana" w:hAnsi="Verdana"/>
          <w:spacing w:val="-3"/>
          <w:sz w:val="16"/>
          <w:szCs w:val="16"/>
        </w:rPr>
        <w:t xml:space="preserve"> </w:t>
      </w:r>
      <w:r w:rsidRPr="005800D0">
        <w:rPr>
          <w:rFonts w:ascii="Verdana" w:hAnsi="Verdana"/>
          <w:sz w:val="16"/>
          <w:szCs w:val="16"/>
        </w:rPr>
        <w:t>la</w:t>
      </w:r>
      <w:r w:rsidRPr="005800D0">
        <w:rPr>
          <w:rFonts w:ascii="Verdana" w:hAnsi="Verdana"/>
          <w:spacing w:val="-4"/>
          <w:sz w:val="16"/>
          <w:szCs w:val="16"/>
        </w:rPr>
        <w:t xml:space="preserve"> </w:t>
      </w:r>
      <w:r w:rsidRPr="005800D0">
        <w:rPr>
          <w:rFonts w:ascii="Verdana" w:hAnsi="Verdana"/>
          <w:sz w:val="16"/>
          <w:szCs w:val="16"/>
        </w:rPr>
        <w:t>Ley</w:t>
      </w:r>
      <w:r w:rsidRPr="005800D0">
        <w:rPr>
          <w:rFonts w:ascii="Verdana" w:hAnsi="Verdana"/>
          <w:spacing w:val="-3"/>
          <w:sz w:val="16"/>
          <w:szCs w:val="16"/>
        </w:rPr>
        <w:t xml:space="preserve"> </w:t>
      </w:r>
      <w:r w:rsidRPr="005800D0">
        <w:rPr>
          <w:rFonts w:ascii="Verdana" w:hAnsi="Verdana"/>
          <w:sz w:val="16"/>
          <w:szCs w:val="16"/>
        </w:rPr>
        <w:t>80</w:t>
      </w:r>
      <w:r w:rsidRPr="005800D0">
        <w:rPr>
          <w:rFonts w:ascii="Verdana" w:hAnsi="Verdana"/>
          <w:spacing w:val="-5"/>
          <w:sz w:val="16"/>
          <w:szCs w:val="16"/>
        </w:rPr>
        <w:t xml:space="preserve"> </w:t>
      </w:r>
      <w:r w:rsidRPr="005800D0">
        <w:rPr>
          <w:rFonts w:ascii="Verdana" w:hAnsi="Verdana"/>
          <w:sz w:val="16"/>
          <w:szCs w:val="16"/>
        </w:rPr>
        <w:t>de</w:t>
      </w:r>
      <w:r w:rsidRPr="005800D0">
        <w:rPr>
          <w:rFonts w:ascii="Verdana" w:hAnsi="Verdana"/>
          <w:spacing w:val="-3"/>
          <w:sz w:val="16"/>
          <w:szCs w:val="16"/>
        </w:rPr>
        <w:t xml:space="preserve"> </w:t>
      </w:r>
      <w:r w:rsidRPr="005800D0">
        <w:rPr>
          <w:rFonts w:ascii="Verdana" w:hAnsi="Verdana"/>
          <w:sz w:val="16"/>
          <w:szCs w:val="16"/>
        </w:rPr>
        <w:t>1993,</w:t>
      </w:r>
      <w:r w:rsidRPr="005800D0">
        <w:rPr>
          <w:rFonts w:ascii="Verdana" w:hAnsi="Verdana"/>
          <w:spacing w:val="-1"/>
          <w:sz w:val="16"/>
          <w:szCs w:val="16"/>
        </w:rPr>
        <w:t xml:space="preserve"> </w:t>
      </w:r>
      <w:r w:rsidRPr="005800D0">
        <w:rPr>
          <w:rFonts w:ascii="Verdana" w:hAnsi="Verdana"/>
          <w:sz w:val="16"/>
          <w:szCs w:val="16"/>
        </w:rPr>
        <w:t>se</w:t>
      </w:r>
      <w:r w:rsidRPr="005800D0">
        <w:rPr>
          <w:rFonts w:ascii="Verdana" w:hAnsi="Verdana"/>
          <w:spacing w:val="-3"/>
          <w:sz w:val="16"/>
          <w:szCs w:val="16"/>
        </w:rPr>
        <w:t xml:space="preserve"> </w:t>
      </w:r>
      <w:r w:rsidRPr="005800D0">
        <w:rPr>
          <w:rFonts w:ascii="Verdana" w:hAnsi="Verdana"/>
          <w:sz w:val="16"/>
          <w:szCs w:val="16"/>
        </w:rPr>
        <w:t>señaló</w:t>
      </w:r>
      <w:r w:rsidRPr="005800D0">
        <w:rPr>
          <w:rFonts w:ascii="Verdana" w:hAnsi="Verdana"/>
          <w:spacing w:val="-5"/>
          <w:sz w:val="16"/>
          <w:szCs w:val="16"/>
        </w:rPr>
        <w:t xml:space="preserve"> </w:t>
      </w:r>
      <w:r w:rsidRPr="005800D0">
        <w:rPr>
          <w:rFonts w:ascii="Verdana" w:hAnsi="Verdana"/>
          <w:sz w:val="16"/>
          <w:szCs w:val="16"/>
        </w:rPr>
        <w:t>que</w:t>
      </w:r>
      <w:r w:rsidRPr="005800D0">
        <w:rPr>
          <w:rFonts w:ascii="Verdana" w:hAnsi="Verdana"/>
          <w:spacing w:val="-3"/>
          <w:sz w:val="16"/>
          <w:szCs w:val="16"/>
        </w:rPr>
        <w:t xml:space="preserve"> </w:t>
      </w:r>
      <w:r w:rsidRPr="005800D0">
        <w:rPr>
          <w:rFonts w:ascii="Verdana" w:hAnsi="Verdana"/>
          <w:sz w:val="16"/>
          <w:szCs w:val="16"/>
        </w:rPr>
        <w:t>“en</w:t>
      </w:r>
      <w:r w:rsidRPr="005800D0">
        <w:rPr>
          <w:rFonts w:ascii="Verdana" w:hAnsi="Verdana"/>
          <w:spacing w:val="-5"/>
          <w:sz w:val="16"/>
          <w:szCs w:val="16"/>
        </w:rPr>
        <w:t xml:space="preserve"> </w:t>
      </w:r>
      <w:r w:rsidRPr="005800D0">
        <w:rPr>
          <w:rFonts w:ascii="Verdana" w:hAnsi="Verdana"/>
          <w:sz w:val="16"/>
          <w:szCs w:val="16"/>
        </w:rPr>
        <w:t>los</w:t>
      </w:r>
      <w:r w:rsidRPr="005800D0">
        <w:rPr>
          <w:rFonts w:ascii="Verdana" w:hAnsi="Verdana"/>
          <w:spacing w:val="-2"/>
          <w:sz w:val="16"/>
          <w:szCs w:val="16"/>
        </w:rPr>
        <w:t xml:space="preserve"> </w:t>
      </w:r>
      <w:r w:rsidRPr="005800D0">
        <w:rPr>
          <w:rFonts w:ascii="Verdana" w:hAnsi="Verdana"/>
          <w:sz w:val="16"/>
          <w:szCs w:val="16"/>
        </w:rPr>
        <w:t>contratos</w:t>
      </w:r>
      <w:r w:rsidRPr="005800D0">
        <w:rPr>
          <w:rFonts w:ascii="Verdana" w:hAnsi="Verdana"/>
          <w:spacing w:val="-2"/>
          <w:sz w:val="16"/>
          <w:szCs w:val="16"/>
        </w:rPr>
        <w:t xml:space="preserve"> </w:t>
      </w:r>
      <w:r w:rsidRPr="005800D0">
        <w:rPr>
          <w:rFonts w:ascii="Verdana" w:hAnsi="Verdana"/>
          <w:sz w:val="16"/>
          <w:szCs w:val="16"/>
        </w:rPr>
        <w:t>que</w:t>
      </w:r>
      <w:r w:rsidRPr="005800D0">
        <w:rPr>
          <w:rFonts w:ascii="Verdana" w:hAnsi="Verdana"/>
          <w:spacing w:val="-3"/>
          <w:sz w:val="16"/>
          <w:szCs w:val="16"/>
        </w:rPr>
        <w:t xml:space="preserve"> </w:t>
      </w:r>
      <w:r w:rsidRPr="005800D0">
        <w:rPr>
          <w:rFonts w:ascii="Verdana" w:hAnsi="Verdana"/>
          <w:sz w:val="16"/>
          <w:szCs w:val="16"/>
        </w:rPr>
        <w:t>tengan</w:t>
      </w:r>
      <w:r w:rsidRPr="005800D0">
        <w:rPr>
          <w:rFonts w:ascii="Verdana" w:hAnsi="Verdana"/>
          <w:spacing w:val="-4"/>
          <w:sz w:val="16"/>
          <w:szCs w:val="16"/>
        </w:rPr>
        <w:t xml:space="preserve"> </w:t>
      </w:r>
      <w:r w:rsidRPr="005800D0">
        <w:rPr>
          <w:rFonts w:ascii="Verdana" w:hAnsi="Verdana"/>
          <w:sz w:val="16"/>
          <w:szCs w:val="16"/>
        </w:rPr>
        <w:t>por objeto</w:t>
      </w:r>
      <w:r w:rsidRPr="005800D0">
        <w:rPr>
          <w:rFonts w:ascii="Verdana" w:hAnsi="Verdana"/>
          <w:spacing w:val="-1"/>
          <w:sz w:val="16"/>
          <w:szCs w:val="16"/>
        </w:rPr>
        <w:t xml:space="preserve"> </w:t>
      </w:r>
      <w:r w:rsidRPr="005800D0">
        <w:rPr>
          <w:rFonts w:ascii="Verdana" w:hAnsi="Verdana"/>
          <w:sz w:val="16"/>
          <w:szCs w:val="16"/>
        </w:rPr>
        <w:t>actividades comerciales o</w:t>
      </w:r>
      <w:r w:rsidRPr="005800D0">
        <w:rPr>
          <w:rFonts w:ascii="Verdana" w:hAnsi="Verdana"/>
          <w:spacing w:val="-1"/>
          <w:sz w:val="16"/>
          <w:szCs w:val="16"/>
        </w:rPr>
        <w:t xml:space="preserve"> </w:t>
      </w:r>
      <w:r w:rsidRPr="005800D0">
        <w:rPr>
          <w:rFonts w:ascii="Verdana" w:hAnsi="Verdana"/>
          <w:sz w:val="16"/>
          <w:szCs w:val="16"/>
        </w:rPr>
        <w:t>industriales de las entidades</w:t>
      </w:r>
      <w:r w:rsidRPr="005800D0">
        <w:rPr>
          <w:rFonts w:ascii="Verdana" w:hAnsi="Verdana"/>
          <w:spacing w:val="-3"/>
          <w:sz w:val="16"/>
          <w:szCs w:val="16"/>
        </w:rPr>
        <w:t xml:space="preserve"> </w:t>
      </w:r>
      <w:r w:rsidRPr="005800D0">
        <w:rPr>
          <w:rFonts w:ascii="Verdana" w:hAnsi="Verdana"/>
          <w:sz w:val="16"/>
          <w:szCs w:val="16"/>
        </w:rPr>
        <w:t>estatales que no</w:t>
      </w:r>
      <w:r w:rsidRPr="005800D0">
        <w:rPr>
          <w:rFonts w:ascii="Verdana" w:hAnsi="Verdana"/>
          <w:spacing w:val="-1"/>
          <w:sz w:val="16"/>
          <w:szCs w:val="16"/>
        </w:rPr>
        <w:t xml:space="preserve"> </w:t>
      </w:r>
      <w:r w:rsidRPr="005800D0">
        <w:rPr>
          <w:rFonts w:ascii="Verdana" w:hAnsi="Verdana"/>
          <w:sz w:val="16"/>
          <w:szCs w:val="16"/>
        </w:rPr>
        <w:t xml:space="preserve">correspondan a las señaladas en el numeral 2º de este artículo (…) se prescindirá de la utilización de las cláusulas o estipulaciones </w:t>
      </w:r>
      <w:r w:rsidRPr="005800D0">
        <w:rPr>
          <w:rFonts w:ascii="Verdana" w:hAnsi="Verdana"/>
          <w:spacing w:val="-2"/>
          <w:sz w:val="16"/>
          <w:szCs w:val="16"/>
        </w:rPr>
        <w:t>excepcionales”.</w:t>
      </w:r>
    </w:p>
    <w:p w14:paraId="7BBA4E1E" w14:textId="77777777" w:rsidR="002C0013" w:rsidRPr="005800D0" w:rsidRDefault="002C0013" w:rsidP="002C0013">
      <w:pPr>
        <w:spacing w:after="0" w:line="240" w:lineRule="auto"/>
        <w:ind w:right="49" w:firstLine="709"/>
        <w:contextualSpacing/>
        <w:jc w:val="both"/>
        <w:rPr>
          <w:rFonts w:ascii="Verdana" w:hAnsi="Verdana"/>
          <w:sz w:val="16"/>
          <w:szCs w:val="16"/>
        </w:rPr>
      </w:pPr>
    </w:p>
  </w:footnote>
  <w:footnote w:id="20">
    <w:p w14:paraId="3553C6A4" w14:textId="77777777" w:rsidR="002C0013" w:rsidRDefault="002C0013" w:rsidP="002C0013">
      <w:pPr>
        <w:tabs>
          <w:tab w:val="left" w:pos="142"/>
          <w:tab w:val="left" w:pos="8789"/>
        </w:tabs>
        <w:spacing w:after="0" w:line="240" w:lineRule="auto"/>
        <w:ind w:right="49" w:firstLine="709"/>
        <w:contextualSpacing/>
        <w:jc w:val="both"/>
        <w:rPr>
          <w:rFonts w:ascii="Verdana" w:hAnsi="Verdana"/>
          <w:sz w:val="16"/>
          <w:szCs w:val="16"/>
        </w:rPr>
      </w:pPr>
      <w:r w:rsidRPr="005800D0">
        <w:rPr>
          <w:rStyle w:val="Refdenotaalpie"/>
          <w:rFonts w:ascii="Verdana" w:hAnsi="Verdana"/>
          <w:sz w:val="16"/>
          <w:szCs w:val="16"/>
        </w:rPr>
        <w:footnoteRef/>
      </w:r>
      <w:r w:rsidRPr="005800D0">
        <w:rPr>
          <w:rFonts w:ascii="Verdana" w:hAnsi="Verdana"/>
          <w:sz w:val="16"/>
          <w:szCs w:val="16"/>
        </w:rPr>
        <w:t xml:space="preserve"> </w:t>
      </w:r>
      <w:bookmarkStart w:id="17" w:name="_Hlk199860326"/>
      <w:r w:rsidRPr="005800D0">
        <w:rPr>
          <w:rFonts w:ascii="Verdana" w:hAnsi="Verdana"/>
          <w:sz w:val="16"/>
          <w:szCs w:val="16"/>
        </w:rPr>
        <w:t>Sin perjuicio</w:t>
      </w:r>
      <w:r w:rsidRPr="005800D0">
        <w:rPr>
          <w:rFonts w:ascii="Verdana" w:hAnsi="Verdana"/>
          <w:spacing w:val="-1"/>
          <w:sz w:val="16"/>
          <w:szCs w:val="16"/>
        </w:rPr>
        <w:t xml:space="preserve"> </w:t>
      </w:r>
      <w:r w:rsidRPr="005800D0">
        <w:rPr>
          <w:rFonts w:ascii="Verdana" w:hAnsi="Verdana"/>
          <w:sz w:val="16"/>
          <w:szCs w:val="16"/>
        </w:rPr>
        <w:t>de la regla indicada, es importante</w:t>
      </w:r>
      <w:r w:rsidRPr="005800D0">
        <w:rPr>
          <w:rFonts w:ascii="Verdana" w:hAnsi="Verdana"/>
          <w:spacing w:val="-4"/>
          <w:sz w:val="16"/>
          <w:szCs w:val="16"/>
        </w:rPr>
        <w:t xml:space="preserve"> </w:t>
      </w:r>
      <w:r w:rsidRPr="005800D0">
        <w:rPr>
          <w:rFonts w:ascii="Verdana" w:hAnsi="Verdana"/>
          <w:sz w:val="16"/>
          <w:szCs w:val="16"/>
        </w:rPr>
        <w:t>señalar que el literal</w:t>
      </w:r>
      <w:r w:rsidRPr="005800D0">
        <w:rPr>
          <w:rFonts w:ascii="Verdana" w:hAnsi="Verdana"/>
          <w:spacing w:val="-3"/>
          <w:sz w:val="16"/>
          <w:szCs w:val="16"/>
        </w:rPr>
        <w:t xml:space="preserve"> </w:t>
      </w:r>
      <w:r w:rsidRPr="005800D0">
        <w:rPr>
          <w:rFonts w:ascii="Verdana" w:hAnsi="Verdana"/>
          <w:sz w:val="16"/>
          <w:szCs w:val="16"/>
        </w:rPr>
        <w:t>g, numeral 2, artículo</w:t>
      </w:r>
      <w:r w:rsidRPr="005800D0">
        <w:rPr>
          <w:rFonts w:ascii="Verdana" w:hAnsi="Verdana"/>
          <w:spacing w:val="-1"/>
          <w:sz w:val="16"/>
          <w:szCs w:val="16"/>
        </w:rPr>
        <w:t xml:space="preserve"> </w:t>
      </w:r>
      <w:r w:rsidRPr="005800D0">
        <w:rPr>
          <w:rFonts w:ascii="Verdana" w:hAnsi="Verdana"/>
          <w:sz w:val="16"/>
          <w:szCs w:val="16"/>
        </w:rPr>
        <w:t>2</w:t>
      </w:r>
      <w:r w:rsidRPr="005800D0">
        <w:rPr>
          <w:rFonts w:ascii="Verdana" w:hAnsi="Verdana"/>
          <w:spacing w:val="-1"/>
          <w:sz w:val="16"/>
          <w:szCs w:val="16"/>
        </w:rPr>
        <w:t xml:space="preserve"> </w:t>
      </w:r>
      <w:r w:rsidRPr="005800D0">
        <w:rPr>
          <w:rFonts w:ascii="Verdana" w:hAnsi="Verdana"/>
          <w:sz w:val="16"/>
          <w:szCs w:val="16"/>
        </w:rPr>
        <w:t>de la Ley 1150 de 2007, prevé como causal de selección abreviada: “Los actos y contratos que tengan por objeto directo</w:t>
      </w:r>
      <w:r w:rsidRPr="005800D0">
        <w:rPr>
          <w:rFonts w:ascii="Verdana" w:hAnsi="Verdana"/>
          <w:spacing w:val="-10"/>
          <w:sz w:val="16"/>
          <w:szCs w:val="16"/>
        </w:rPr>
        <w:t xml:space="preserve"> </w:t>
      </w:r>
      <w:r w:rsidRPr="005800D0">
        <w:rPr>
          <w:rFonts w:ascii="Verdana" w:hAnsi="Verdana"/>
          <w:sz w:val="16"/>
          <w:szCs w:val="16"/>
        </w:rPr>
        <w:t>las</w:t>
      </w:r>
      <w:r w:rsidRPr="005800D0">
        <w:rPr>
          <w:rFonts w:ascii="Verdana" w:hAnsi="Verdana"/>
          <w:spacing w:val="-7"/>
          <w:sz w:val="16"/>
          <w:szCs w:val="16"/>
        </w:rPr>
        <w:t xml:space="preserve"> </w:t>
      </w:r>
      <w:r w:rsidRPr="005800D0">
        <w:rPr>
          <w:rFonts w:ascii="Verdana" w:hAnsi="Verdana"/>
          <w:sz w:val="16"/>
          <w:szCs w:val="16"/>
        </w:rPr>
        <w:t>actividades</w:t>
      </w:r>
      <w:r w:rsidRPr="005800D0">
        <w:rPr>
          <w:rFonts w:ascii="Verdana" w:hAnsi="Verdana"/>
          <w:spacing w:val="-7"/>
          <w:sz w:val="16"/>
          <w:szCs w:val="16"/>
        </w:rPr>
        <w:t xml:space="preserve"> </w:t>
      </w:r>
      <w:r w:rsidRPr="005800D0">
        <w:rPr>
          <w:rFonts w:ascii="Verdana" w:hAnsi="Verdana"/>
          <w:sz w:val="16"/>
          <w:szCs w:val="16"/>
        </w:rPr>
        <w:t>comerciales</w:t>
      </w:r>
      <w:r w:rsidRPr="005800D0">
        <w:rPr>
          <w:rFonts w:ascii="Verdana" w:hAnsi="Verdana"/>
          <w:spacing w:val="-7"/>
          <w:sz w:val="16"/>
          <w:szCs w:val="16"/>
        </w:rPr>
        <w:t xml:space="preserve"> </w:t>
      </w:r>
      <w:r w:rsidRPr="005800D0">
        <w:rPr>
          <w:rFonts w:ascii="Verdana" w:hAnsi="Verdana"/>
          <w:sz w:val="16"/>
          <w:szCs w:val="16"/>
        </w:rPr>
        <w:t>e</w:t>
      </w:r>
      <w:r w:rsidRPr="005800D0">
        <w:rPr>
          <w:rFonts w:ascii="Verdana" w:hAnsi="Verdana"/>
          <w:spacing w:val="-8"/>
          <w:sz w:val="16"/>
          <w:szCs w:val="16"/>
        </w:rPr>
        <w:t xml:space="preserve"> </w:t>
      </w:r>
      <w:r w:rsidRPr="005800D0">
        <w:rPr>
          <w:rFonts w:ascii="Verdana" w:hAnsi="Verdana"/>
          <w:sz w:val="16"/>
          <w:szCs w:val="16"/>
        </w:rPr>
        <w:t>industriales</w:t>
      </w:r>
      <w:r w:rsidRPr="005800D0">
        <w:rPr>
          <w:rFonts w:ascii="Verdana" w:hAnsi="Verdana"/>
          <w:spacing w:val="-7"/>
          <w:sz w:val="16"/>
          <w:szCs w:val="16"/>
        </w:rPr>
        <w:t xml:space="preserve"> </w:t>
      </w:r>
      <w:r w:rsidRPr="005800D0">
        <w:rPr>
          <w:rFonts w:ascii="Verdana" w:hAnsi="Verdana"/>
          <w:sz w:val="16"/>
          <w:szCs w:val="16"/>
        </w:rPr>
        <w:t>propias</w:t>
      </w:r>
      <w:r w:rsidRPr="005800D0">
        <w:rPr>
          <w:rFonts w:ascii="Verdana" w:hAnsi="Verdana"/>
          <w:spacing w:val="-7"/>
          <w:sz w:val="16"/>
          <w:szCs w:val="16"/>
        </w:rPr>
        <w:t xml:space="preserve"> </w:t>
      </w:r>
      <w:r w:rsidRPr="005800D0">
        <w:rPr>
          <w:rFonts w:ascii="Verdana" w:hAnsi="Verdana"/>
          <w:sz w:val="16"/>
          <w:szCs w:val="16"/>
        </w:rPr>
        <w:t>de</w:t>
      </w:r>
      <w:r w:rsidRPr="005800D0">
        <w:rPr>
          <w:rFonts w:ascii="Verdana" w:hAnsi="Verdana"/>
          <w:spacing w:val="-8"/>
          <w:sz w:val="16"/>
          <w:szCs w:val="16"/>
        </w:rPr>
        <w:t xml:space="preserve"> </w:t>
      </w:r>
      <w:r w:rsidRPr="005800D0">
        <w:rPr>
          <w:rFonts w:ascii="Verdana" w:hAnsi="Verdana"/>
          <w:sz w:val="16"/>
          <w:szCs w:val="16"/>
        </w:rPr>
        <w:t>las</w:t>
      </w:r>
      <w:r w:rsidRPr="005800D0">
        <w:rPr>
          <w:rFonts w:ascii="Verdana" w:hAnsi="Verdana"/>
          <w:spacing w:val="-7"/>
          <w:sz w:val="16"/>
          <w:szCs w:val="16"/>
        </w:rPr>
        <w:t xml:space="preserve"> </w:t>
      </w:r>
      <w:r w:rsidRPr="005800D0">
        <w:rPr>
          <w:rFonts w:ascii="Verdana" w:hAnsi="Verdana"/>
          <w:sz w:val="16"/>
          <w:szCs w:val="16"/>
        </w:rPr>
        <w:t>Empresas</w:t>
      </w:r>
      <w:r w:rsidRPr="005800D0">
        <w:rPr>
          <w:rFonts w:ascii="Verdana" w:hAnsi="Verdana"/>
          <w:spacing w:val="-7"/>
          <w:sz w:val="16"/>
          <w:szCs w:val="16"/>
        </w:rPr>
        <w:t xml:space="preserve"> </w:t>
      </w:r>
      <w:r w:rsidRPr="005800D0">
        <w:rPr>
          <w:rFonts w:ascii="Verdana" w:hAnsi="Verdana"/>
          <w:sz w:val="16"/>
          <w:szCs w:val="16"/>
        </w:rPr>
        <w:t>Industriales</w:t>
      </w:r>
      <w:r w:rsidRPr="005800D0">
        <w:rPr>
          <w:rFonts w:ascii="Verdana" w:hAnsi="Verdana"/>
          <w:spacing w:val="-7"/>
          <w:sz w:val="16"/>
          <w:szCs w:val="16"/>
        </w:rPr>
        <w:t xml:space="preserve"> </w:t>
      </w:r>
      <w:r w:rsidRPr="005800D0">
        <w:rPr>
          <w:rFonts w:ascii="Verdana" w:hAnsi="Verdana"/>
          <w:sz w:val="16"/>
          <w:szCs w:val="16"/>
        </w:rPr>
        <w:t>y</w:t>
      </w:r>
      <w:r w:rsidRPr="005800D0">
        <w:rPr>
          <w:rFonts w:ascii="Verdana" w:hAnsi="Verdana"/>
          <w:spacing w:val="-8"/>
          <w:sz w:val="16"/>
          <w:szCs w:val="16"/>
        </w:rPr>
        <w:t xml:space="preserve"> </w:t>
      </w:r>
      <w:r w:rsidRPr="005800D0">
        <w:rPr>
          <w:rFonts w:ascii="Verdana" w:hAnsi="Verdana"/>
          <w:sz w:val="16"/>
          <w:szCs w:val="16"/>
        </w:rPr>
        <w:t>Comerciales</w:t>
      </w:r>
      <w:r w:rsidRPr="005800D0">
        <w:rPr>
          <w:rFonts w:ascii="Verdana" w:hAnsi="Verdana"/>
          <w:spacing w:val="-7"/>
          <w:sz w:val="16"/>
          <w:szCs w:val="16"/>
        </w:rPr>
        <w:t xml:space="preserve"> </w:t>
      </w:r>
      <w:r w:rsidRPr="005800D0">
        <w:rPr>
          <w:rFonts w:ascii="Verdana" w:hAnsi="Verdana"/>
          <w:sz w:val="16"/>
          <w:szCs w:val="16"/>
        </w:rPr>
        <w:t>Estatales y de las Sociedades de Economía Mixta, con excepción de los contratos que a título enunciativo identifica el artículo</w:t>
      </w:r>
      <w:r w:rsidRPr="005800D0">
        <w:rPr>
          <w:rFonts w:ascii="Verdana" w:hAnsi="Verdana"/>
          <w:spacing w:val="-15"/>
          <w:sz w:val="16"/>
          <w:szCs w:val="16"/>
        </w:rPr>
        <w:t xml:space="preserve"> </w:t>
      </w:r>
      <w:r w:rsidRPr="005800D0">
        <w:rPr>
          <w:rFonts w:ascii="Verdana" w:hAnsi="Verdana"/>
          <w:sz w:val="16"/>
          <w:szCs w:val="16"/>
        </w:rPr>
        <w:t>32</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la</w:t>
      </w:r>
      <w:r w:rsidRPr="005800D0">
        <w:rPr>
          <w:rFonts w:ascii="Verdana" w:hAnsi="Verdana"/>
          <w:spacing w:val="-14"/>
          <w:sz w:val="16"/>
          <w:szCs w:val="16"/>
        </w:rPr>
        <w:t xml:space="preserve"> </w:t>
      </w:r>
      <w:r w:rsidRPr="005800D0">
        <w:rPr>
          <w:rFonts w:ascii="Verdana" w:hAnsi="Verdana"/>
          <w:sz w:val="16"/>
          <w:szCs w:val="16"/>
        </w:rPr>
        <w:t>Ley</w:t>
      </w:r>
      <w:r w:rsidRPr="005800D0">
        <w:rPr>
          <w:rFonts w:ascii="Verdana" w:hAnsi="Verdana"/>
          <w:spacing w:val="-14"/>
          <w:sz w:val="16"/>
          <w:szCs w:val="16"/>
        </w:rPr>
        <w:t xml:space="preserve"> </w:t>
      </w:r>
      <w:r w:rsidRPr="005800D0">
        <w:rPr>
          <w:rFonts w:ascii="Verdana" w:hAnsi="Verdana"/>
          <w:sz w:val="16"/>
          <w:szCs w:val="16"/>
        </w:rPr>
        <w:t>80</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1993</w:t>
      </w:r>
      <w:r w:rsidRPr="005800D0">
        <w:rPr>
          <w:rFonts w:ascii="Verdana" w:hAnsi="Verdana"/>
          <w:spacing w:val="-14"/>
          <w:sz w:val="16"/>
          <w:szCs w:val="16"/>
        </w:rPr>
        <w:t xml:space="preserve"> </w:t>
      </w:r>
      <w:r w:rsidRPr="005800D0">
        <w:rPr>
          <w:rFonts w:ascii="Verdana" w:hAnsi="Verdana"/>
          <w:sz w:val="16"/>
          <w:szCs w:val="16"/>
        </w:rPr>
        <w:t>[obra,</w:t>
      </w:r>
      <w:r w:rsidRPr="005800D0">
        <w:rPr>
          <w:rFonts w:ascii="Verdana" w:hAnsi="Verdana"/>
          <w:spacing w:val="-14"/>
          <w:sz w:val="16"/>
          <w:szCs w:val="16"/>
        </w:rPr>
        <w:t xml:space="preserve"> </w:t>
      </w:r>
      <w:r w:rsidRPr="005800D0">
        <w:rPr>
          <w:rFonts w:ascii="Verdana" w:hAnsi="Verdana"/>
          <w:sz w:val="16"/>
          <w:szCs w:val="16"/>
        </w:rPr>
        <w:t>concesión,</w:t>
      </w:r>
      <w:r w:rsidRPr="005800D0">
        <w:rPr>
          <w:rFonts w:ascii="Verdana" w:hAnsi="Verdana"/>
          <w:spacing w:val="-14"/>
          <w:sz w:val="16"/>
          <w:szCs w:val="16"/>
        </w:rPr>
        <w:t xml:space="preserve"> </w:t>
      </w:r>
      <w:r w:rsidRPr="005800D0">
        <w:rPr>
          <w:rFonts w:ascii="Verdana" w:hAnsi="Verdana"/>
          <w:sz w:val="16"/>
          <w:szCs w:val="16"/>
        </w:rPr>
        <w:t>prestación</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servicios,</w:t>
      </w:r>
      <w:r w:rsidRPr="005800D0">
        <w:rPr>
          <w:rFonts w:ascii="Verdana" w:hAnsi="Verdana"/>
          <w:spacing w:val="-14"/>
          <w:sz w:val="16"/>
          <w:szCs w:val="16"/>
        </w:rPr>
        <w:t xml:space="preserve"> </w:t>
      </w:r>
      <w:r w:rsidRPr="005800D0">
        <w:rPr>
          <w:rFonts w:ascii="Verdana" w:hAnsi="Verdana"/>
          <w:sz w:val="16"/>
          <w:szCs w:val="16"/>
        </w:rPr>
        <w:t>consultoría,</w:t>
      </w:r>
      <w:r w:rsidRPr="005800D0">
        <w:rPr>
          <w:rFonts w:ascii="Verdana" w:hAnsi="Verdana"/>
          <w:spacing w:val="-14"/>
          <w:sz w:val="16"/>
          <w:szCs w:val="16"/>
        </w:rPr>
        <w:t xml:space="preserve"> </w:t>
      </w:r>
      <w:r w:rsidRPr="005800D0">
        <w:rPr>
          <w:rFonts w:ascii="Verdana" w:hAnsi="Verdana"/>
          <w:sz w:val="16"/>
          <w:szCs w:val="16"/>
        </w:rPr>
        <w:t>fiducia</w:t>
      </w:r>
      <w:r w:rsidRPr="005800D0">
        <w:rPr>
          <w:rFonts w:ascii="Verdana" w:hAnsi="Verdana"/>
          <w:spacing w:val="-14"/>
          <w:sz w:val="16"/>
          <w:szCs w:val="16"/>
        </w:rPr>
        <w:t xml:space="preserve"> </w:t>
      </w:r>
      <w:r w:rsidRPr="005800D0">
        <w:rPr>
          <w:rFonts w:ascii="Verdana" w:hAnsi="Verdana"/>
          <w:sz w:val="16"/>
          <w:szCs w:val="16"/>
        </w:rPr>
        <w:t>pública]”.</w:t>
      </w:r>
      <w:r w:rsidRPr="005800D0">
        <w:rPr>
          <w:rFonts w:ascii="Verdana" w:hAnsi="Verdana"/>
          <w:spacing w:val="-15"/>
          <w:sz w:val="16"/>
          <w:szCs w:val="16"/>
        </w:rPr>
        <w:t xml:space="preserve"> </w:t>
      </w:r>
      <w:r w:rsidRPr="005800D0">
        <w:rPr>
          <w:rFonts w:ascii="Verdana" w:hAnsi="Verdana"/>
          <w:sz w:val="16"/>
          <w:szCs w:val="16"/>
        </w:rPr>
        <w:t>g)</w:t>
      </w:r>
      <w:r w:rsidRPr="005800D0">
        <w:rPr>
          <w:rFonts w:ascii="Verdana" w:hAnsi="Verdana"/>
          <w:spacing w:val="23"/>
          <w:sz w:val="16"/>
          <w:szCs w:val="16"/>
        </w:rPr>
        <w:t xml:space="preserve"> </w:t>
      </w:r>
      <w:r w:rsidRPr="005800D0">
        <w:rPr>
          <w:rFonts w:ascii="Verdana" w:hAnsi="Verdana"/>
          <w:sz w:val="16"/>
          <w:szCs w:val="16"/>
        </w:rPr>
        <w:t>Los actos y contratos que tengan por objeto directo las actividades comerciales e industriales propias de las Empresas Industriales y Comerciales Estatales y de las Sociedades de Economía Mixta, con excepción de los contratos</w:t>
      </w:r>
      <w:r w:rsidRPr="005800D0">
        <w:rPr>
          <w:rFonts w:ascii="Verdana" w:hAnsi="Verdana"/>
          <w:spacing w:val="-6"/>
          <w:sz w:val="16"/>
          <w:szCs w:val="16"/>
        </w:rPr>
        <w:t xml:space="preserve"> </w:t>
      </w:r>
      <w:r w:rsidRPr="005800D0">
        <w:rPr>
          <w:rFonts w:ascii="Verdana" w:hAnsi="Verdana"/>
          <w:sz w:val="16"/>
          <w:szCs w:val="16"/>
        </w:rPr>
        <w:t>que</w:t>
      </w:r>
      <w:r w:rsidRPr="005800D0">
        <w:rPr>
          <w:rFonts w:ascii="Verdana" w:hAnsi="Verdana"/>
          <w:spacing w:val="-7"/>
          <w:sz w:val="16"/>
          <w:szCs w:val="16"/>
        </w:rPr>
        <w:t xml:space="preserve"> </w:t>
      </w:r>
      <w:r w:rsidRPr="005800D0">
        <w:rPr>
          <w:rFonts w:ascii="Verdana" w:hAnsi="Verdana"/>
          <w:sz w:val="16"/>
          <w:szCs w:val="16"/>
        </w:rPr>
        <w:t>a</w:t>
      </w:r>
      <w:r w:rsidRPr="005800D0">
        <w:rPr>
          <w:rFonts w:ascii="Verdana" w:hAnsi="Verdana"/>
          <w:spacing w:val="-3"/>
          <w:sz w:val="16"/>
          <w:szCs w:val="16"/>
        </w:rPr>
        <w:t xml:space="preserve"> </w:t>
      </w:r>
      <w:r w:rsidRPr="005800D0">
        <w:rPr>
          <w:rFonts w:ascii="Verdana" w:hAnsi="Verdana"/>
          <w:sz w:val="16"/>
          <w:szCs w:val="16"/>
        </w:rPr>
        <w:t>título</w:t>
      </w:r>
      <w:r w:rsidRPr="005800D0">
        <w:rPr>
          <w:rFonts w:ascii="Verdana" w:hAnsi="Verdana"/>
          <w:spacing w:val="-9"/>
          <w:sz w:val="16"/>
          <w:szCs w:val="16"/>
        </w:rPr>
        <w:t xml:space="preserve"> </w:t>
      </w:r>
      <w:r w:rsidRPr="005800D0">
        <w:rPr>
          <w:rFonts w:ascii="Verdana" w:hAnsi="Verdana"/>
          <w:sz w:val="16"/>
          <w:szCs w:val="16"/>
        </w:rPr>
        <w:t>enunciativo</w:t>
      </w:r>
      <w:r w:rsidRPr="005800D0">
        <w:rPr>
          <w:rFonts w:ascii="Verdana" w:hAnsi="Verdana"/>
          <w:spacing w:val="-9"/>
          <w:sz w:val="16"/>
          <w:szCs w:val="16"/>
        </w:rPr>
        <w:t xml:space="preserve"> </w:t>
      </w:r>
      <w:r w:rsidRPr="005800D0">
        <w:rPr>
          <w:rFonts w:ascii="Verdana" w:hAnsi="Verdana"/>
          <w:sz w:val="16"/>
          <w:szCs w:val="16"/>
        </w:rPr>
        <w:t>identifica</w:t>
      </w:r>
      <w:r w:rsidRPr="005800D0">
        <w:rPr>
          <w:rFonts w:ascii="Verdana" w:hAnsi="Verdana"/>
          <w:spacing w:val="-8"/>
          <w:sz w:val="16"/>
          <w:szCs w:val="16"/>
        </w:rPr>
        <w:t xml:space="preserve"> </w:t>
      </w:r>
      <w:r w:rsidRPr="005800D0">
        <w:rPr>
          <w:rFonts w:ascii="Verdana" w:hAnsi="Verdana"/>
          <w:sz w:val="16"/>
          <w:szCs w:val="16"/>
        </w:rPr>
        <w:t>el</w:t>
      </w:r>
      <w:r w:rsidRPr="005800D0">
        <w:rPr>
          <w:rFonts w:ascii="Verdana" w:hAnsi="Verdana"/>
          <w:spacing w:val="-1"/>
          <w:sz w:val="16"/>
          <w:szCs w:val="16"/>
        </w:rPr>
        <w:t xml:space="preserve"> </w:t>
      </w:r>
      <w:r w:rsidRPr="005800D0">
        <w:rPr>
          <w:rFonts w:ascii="Verdana" w:hAnsi="Verdana"/>
          <w:sz w:val="16"/>
          <w:szCs w:val="16"/>
        </w:rPr>
        <w:t>artículo</w:t>
      </w:r>
      <w:r w:rsidRPr="005800D0">
        <w:rPr>
          <w:rFonts w:ascii="Verdana" w:hAnsi="Verdana"/>
          <w:spacing w:val="-9"/>
          <w:sz w:val="16"/>
          <w:szCs w:val="16"/>
        </w:rPr>
        <w:t xml:space="preserve"> </w:t>
      </w:r>
      <w:r w:rsidRPr="005800D0">
        <w:rPr>
          <w:rFonts w:ascii="Verdana" w:hAnsi="Verdana"/>
          <w:sz w:val="16"/>
          <w:szCs w:val="16"/>
        </w:rPr>
        <w:t>32</w:t>
      </w:r>
      <w:r w:rsidRPr="005800D0">
        <w:rPr>
          <w:rFonts w:ascii="Verdana" w:hAnsi="Verdana"/>
          <w:spacing w:val="-4"/>
          <w:sz w:val="16"/>
          <w:szCs w:val="16"/>
        </w:rPr>
        <w:t xml:space="preserve"> </w:t>
      </w:r>
      <w:r w:rsidRPr="005800D0">
        <w:rPr>
          <w:rFonts w:ascii="Verdana" w:hAnsi="Verdana"/>
          <w:sz w:val="16"/>
          <w:szCs w:val="16"/>
        </w:rPr>
        <w:t>de</w:t>
      </w:r>
      <w:r w:rsidRPr="005800D0">
        <w:rPr>
          <w:rFonts w:ascii="Verdana" w:hAnsi="Verdana"/>
          <w:spacing w:val="-7"/>
          <w:sz w:val="16"/>
          <w:szCs w:val="16"/>
        </w:rPr>
        <w:t xml:space="preserve"> </w:t>
      </w:r>
      <w:r w:rsidRPr="005800D0">
        <w:rPr>
          <w:rFonts w:ascii="Verdana" w:hAnsi="Verdana"/>
          <w:sz w:val="16"/>
          <w:szCs w:val="16"/>
        </w:rPr>
        <w:t>la Ley</w:t>
      </w:r>
      <w:r w:rsidRPr="005800D0">
        <w:rPr>
          <w:rFonts w:ascii="Verdana" w:hAnsi="Verdana"/>
          <w:spacing w:val="-7"/>
          <w:sz w:val="16"/>
          <w:szCs w:val="16"/>
        </w:rPr>
        <w:t xml:space="preserve"> </w:t>
      </w:r>
      <w:r w:rsidRPr="005800D0">
        <w:rPr>
          <w:rFonts w:ascii="Verdana" w:hAnsi="Verdana"/>
          <w:sz w:val="16"/>
          <w:szCs w:val="16"/>
        </w:rPr>
        <w:t>80</w:t>
      </w:r>
      <w:r w:rsidRPr="005800D0">
        <w:rPr>
          <w:rFonts w:ascii="Verdana" w:hAnsi="Verdana"/>
          <w:spacing w:val="-4"/>
          <w:sz w:val="16"/>
          <w:szCs w:val="16"/>
        </w:rPr>
        <w:t xml:space="preserve"> </w:t>
      </w:r>
      <w:r w:rsidRPr="005800D0">
        <w:rPr>
          <w:rFonts w:ascii="Verdana" w:hAnsi="Verdana"/>
          <w:sz w:val="16"/>
          <w:szCs w:val="16"/>
        </w:rPr>
        <w:t>de</w:t>
      </w:r>
      <w:r w:rsidRPr="005800D0">
        <w:rPr>
          <w:rFonts w:ascii="Verdana" w:hAnsi="Verdana"/>
          <w:spacing w:val="-2"/>
          <w:sz w:val="16"/>
          <w:szCs w:val="16"/>
        </w:rPr>
        <w:t xml:space="preserve"> </w:t>
      </w:r>
      <w:r w:rsidRPr="005800D0">
        <w:rPr>
          <w:rFonts w:ascii="Verdana" w:hAnsi="Verdana"/>
          <w:sz w:val="16"/>
          <w:szCs w:val="16"/>
        </w:rPr>
        <w:t>1993.</w:t>
      </w:r>
      <w:bookmarkEnd w:id="17"/>
    </w:p>
    <w:p w14:paraId="69F8513A" w14:textId="77777777" w:rsidR="002C0013" w:rsidRPr="005800D0" w:rsidRDefault="002C0013" w:rsidP="002C0013">
      <w:pPr>
        <w:tabs>
          <w:tab w:val="left" w:pos="142"/>
          <w:tab w:val="left" w:pos="8789"/>
        </w:tabs>
        <w:spacing w:after="0" w:line="240" w:lineRule="auto"/>
        <w:ind w:right="49" w:firstLine="709"/>
        <w:contextualSpacing/>
        <w:jc w:val="both"/>
        <w:rPr>
          <w:rFonts w:ascii="Verdana" w:hAnsi="Verdana"/>
          <w:sz w:val="16"/>
          <w:szCs w:val="16"/>
        </w:rPr>
      </w:pPr>
    </w:p>
  </w:footnote>
  <w:footnote w:id="21">
    <w:p w14:paraId="7650FB21" w14:textId="77777777" w:rsidR="002C0013" w:rsidRDefault="002C0013" w:rsidP="002C0013">
      <w:pPr>
        <w:pStyle w:val="Textonotapie"/>
        <w:ind w:right="49" w:firstLine="709"/>
        <w:contextualSpacing/>
        <w:jc w:val="both"/>
        <w:rPr>
          <w:rFonts w:ascii="Verdana" w:hAnsi="Verdana"/>
          <w:sz w:val="16"/>
          <w:szCs w:val="16"/>
        </w:rPr>
      </w:pPr>
      <w:r w:rsidRPr="00195E24">
        <w:rPr>
          <w:rStyle w:val="Refdenotaalpie"/>
          <w:rFonts w:ascii="Verdana" w:hAnsi="Verdana"/>
          <w:sz w:val="16"/>
          <w:szCs w:val="16"/>
        </w:rPr>
        <w:footnoteRef/>
      </w:r>
      <w:r w:rsidRPr="00195E24">
        <w:rPr>
          <w:rFonts w:ascii="Verdana" w:hAnsi="Verdana"/>
          <w:sz w:val="16"/>
          <w:szCs w:val="16"/>
        </w:rPr>
        <w:t xml:space="preserve"> El artículo</w:t>
      </w:r>
      <w:r w:rsidRPr="00195E24">
        <w:rPr>
          <w:rFonts w:ascii="Verdana" w:hAnsi="Verdana"/>
          <w:spacing w:val="-2"/>
          <w:sz w:val="16"/>
          <w:szCs w:val="16"/>
        </w:rPr>
        <w:t xml:space="preserve"> </w:t>
      </w:r>
      <w:r w:rsidRPr="00195E24">
        <w:rPr>
          <w:rFonts w:ascii="Verdana" w:hAnsi="Verdana"/>
          <w:sz w:val="16"/>
          <w:szCs w:val="16"/>
        </w:rPr>
        <w:t>14</w:t>
      </w:r>
      <w:r w:rsidRPr="00195E24">
        <w:rPr>
          <w:rFonts w:ascii="Verdana" w:hAnsi="Verdana"/>
          <w:spacing w:val="-2"/>
          <w:sz w:val="16"/>
          <w:szCs w:val="16"/>
        </w:rPr>
        <w:t xml:space="preserve"> </w:t>
      </w:r>
      <w:r w:rsidRPr="00195E24">
        <w:rPr>
          <w:rFonts w:ascii="Verdana" w:hAnsi="Verdana"/>
          <w:sz w:val="16"/>
          <w:szCs w:val="16"/>
        </w:rPr>
        <w:t>original de la</w:t>
      </w:r>
      <w:r w:rsidRPr="00195E24">
        <w:rPr>
          <w:rFonts w:ascii="Verdana" w:hAnsi="Verdana"/>
          <w:spacing w:val="-1"/>
          <w:sz w:val="16"/>
          <w:szCs w:val="16"/>
        </w:rPr>
        <w:t xml:space="preserve"> </w:t>
      </w:r>
      <w:r w:rsidRPr="00195E24">
        <w:rPr>
          <w:rFonts w:ascii="Verdana" w:hAnsi="Verdana"/>
          <w:sz w:val="16"/>
          <w:szCs w:val="16"/>
        </w:rPr>
        <w:t>Ley 1150</w:t>
      </w:r>
      <w:r w:rsidRPr="00195E24">
        <w:rPr>
          <w:rFonts w:ascii="Verdana" w:hAnsi="Verdana"/>
          <w:spacing w:val="-2"/>
          <w:sz w:val="16"/>
          <w:szCs w:val="16"/>
        </w:rPr>
        <w:t xml:space="preserve"> </w:t>
      </w:r>
      <w:r w:rsidRPr="00195E24">
        <w:rPr>
          <w:rFonts w:ascii="Verdana" w:hAnsi="Verdana"/>
          <w:sz w:val="16"/>
          <w:szCs w:val="16"/>
        </w:rPr>
        <w:t>de 2007</w:t>
      </w:r>
      <w:r w:rsidRPr="00195E24">
        <w:rPr>
          <w:rFonts w:ascii="Verdana" w:hAnsi="Verdana"/>
          <w:spacing w:val="-2"/>
          <w:sz w:val="16"/>
          <w:szCs w:val="16"/>
        </w:rPr>
        <w:t xml:space="preserve"> </w:t>
      </w:r>
      <w:r w:rsidRPr="00195E24">
        <w:rPr>
          <w:rFonts w:ascii="Verdana" w:hAnsi="Verdana"/>
          <w:sz w:val="16"/>
          <w:szCs w:val="16"/>
        </w:rPr>
        <w:t>excluía</w:t>
      </w:r>
      <w:r w:rsidRPr="00195E24">
        <w:rPr>
          <w:rFonts w:ascii="Verdana" w:hAnsi="Verdana"/>
          <w:spacing w:val="-1"/>
          <w:sz w:val="16"/>
          <w:szCs w:val="16"/>
        </w:rPr>
        <w:t xml:space="preserve"> </w:t>
      </w:r>
      <w:r w:rsidRPr="00195E24">
        <w:rPr>
          <w:rFonts w:ascii="Verdana" w:hAnsi="Verdana"/>
          <w:sz w:val="16"/>
          <w:szCs w:val="16"/>
        </w:rPr>
        <w:t>además aquellas cuya</w:t>
      </w:r>
      <w:r w:rsidRPr="00195E24">
        <w:rPr>
          <w:rFonts w:ascii="Verdana" w:hAnsi="Verdana"/>
          <w:spacing w:val="-1"/>
          <w:sz w:val="16"/>
          <w:szCs w:val="16"/>
        </w:rPr>
        <w:t xml:space="preserve"> </w:t>
      </w:r>
      <w:r w:rsidRPr="00195E24">
        <w:rPr>
          <w:rFonts w:ascii="Verdana" w:hAnsi="Verdana"/>
          <w:sz w:val="16"/>
          <w:szCs w:val="16"/>
        </w:rPr>
        <w:t>actividad</w:t>
      </w:r>
      <w:r w:rsidRPr="00195E24">
        <w:rPr>
          <w:rFonts w:ascii="Verdana" w:hAnsi="Verdana"/>
          <w:spacing w:val="-5"/>
          <w:sz w:val="16"/>
          <w:szCs w:val="16"/>
        </w:rPr>
        <w:t xml:space="preserve"> </w:t>
      </w:r>
      <w:r w:rsidRPr="00195E24">
        <w:rPr>
          <w:rFonts w:ascii="Verdana" w:hAnsi="Verdana"/>
          <w:sz w:val="16"/>
          <w:szCs w:val="16"/>
        </w:rPr>
        <w:t>se realizaba en</w:t>
      </w:r>
      <w:r w:rsidRPr="00195E24">
        <w:rPr>
          <w:rFonts w:ascii="Verdana" w:hAnsi="Verdana"/>
          <w:spacing w:val="-6"/>
          <w:sz w:val="16"/>
          <w:szCs w:val="16"/>
        </w:rPr>
        <w:t xml:space="preserve"> </w:t>
      </w:r>
      <w:r w:rsidRPr="00195E24">
        <w:rPr>
          <w:rFonts w:ascii="Verdana" w:hAnsi="Verdana"/>
          <w:sz w:val="16"/>
          <w:szCs w:val="16"/>
        </w:rPr>
        <w:t>“mercados</w:t>
      </w:r>
      <w:r w:rsidRPr="00195E24">
        <w:rPr>
          <w:rFonts w:ascii="Verdana" w:hAnsi="Verdana"/>
          <w:spacing w:val="-3"/>
          <w:sz w:val="16"/>
          <w:szCs w:val="16"/>
        </w:rPr>
        <w:t xml:space="preserve"> </w:t>
      </w:r>
      <w:r w:rsidRPr="00195E24">
        <w:rPr>
          <w:rFonts w:ascii="Verdana" w:hAnsi="Verdana"/>
          <w:sz w:val="16"/>
          <w:szCs w:val="16"/>
        </w:rPr>
        <w:t>monopolísticos”,</w:t>
      </w:r>
      <w:r w:rsidRPr="00195E24">
        <w:rPr>
          <w:rFonts w:ascii="Verdana" w:hAnsi="Verdana"/>
          <w:spacing w:val="-2"/>
          <w:sz w:val="16"/>
          <w:szCs w:val="16"/>
        </w:rPr>
        <w:t xml:space="preserve"> </w:t>
      </w:r>
      <w:r w:rsidRPr="00195E24">
        <w:rPr>
          <w:rFonts w:ascii="Verdana" w:hAnsi="Verdana"/>
          <w:sz w:val="16"/>
          <w:szCs w:val="16"/>
        </w:rPr>
        <w:t>pero,</w:t>
      </w:r>
      <w:r w:rsidRPr="00195E24">
        <w:rPr>
          <w:rFonts w:ascii="Verdana" w:hAnsi="Verdana"/>
          <w:spacing w:val="-2"/>
          <w:sz w:val="16"/>
          <w:szCs w:val="16"/>
        </w:rPr>
        <w:t xml:space="preserve"> </w:t>
      </w:r>
      <w:r w:rsidRPr="00195E24">
        <w:rPr>
          <w:rFonts w:ascii="Verdana" w:hAnsi="Verdana"/>
          <w:sz w:val="16"/>
          <w:szCs w:val="16"/>
        </w:rPr>
        <w:t>con</w:t>
      </w:r>
      <w:r w:rsidRPr="00195E24">
        <w:rPr>
          <w:rFonts w:ascii="Verdana" w:hAnsi="Verdana"/>
          <w:spacing w:val="-5"/>
          <w:sz w:val="16"/>
          <w:szCs w:val="16"/>
        </w:rPr>
        <w:t xml:space="preserve"> </w:t>
      </w:r>
      <w:r w:rsidRPr="00195E24">
        <w:rPr>
          <w:rFonts w:ascii="Verdana" w:hAnsi="Verdana"/>
          <w:sz w:val="16"/>
          <w:szCs w:val="16"/>
        </w:rPr>
        <w:t>buen</w:t>
      </w:r>
      <w:r w:rsidRPr="00195E24">
        <w:rPr>
          <w:rFonts w:ascii="Verdana" w:hAnsi="Verdana"/>
          <w:spacing w:val="-6"/>
          <w:sz w:val="16"/>
          <w:szCs w:val="16"/>
        </w:rPr>
        <w:t xml:space="preserve"> </w:t>
      </w:r>
      <w:r w:rsidRPr="00195E24">
        <w:rPr>
          <w:rFonts w:ascii="Verdana" w:hAnsi="Verdana"/>
          <w:sz w:val="16"/>
          <w:szCs w:val="16"/>
        </w:rPr>
        <w:t>tino,</w:t>
      </w:r>
      <w:r w:rsidRPr="00195E24">
        <w:rPr>
          <w:rFonts w:ascii="Verdana" w:hAnsi="Verdana"/>
          <w:spacing w:val="-2"/>
          <w:sz w:val="16"/>
          <w:szCs w:val="16"/>
        </w:rPr>
        <w:t xml:space="preserve"> </w:t>
      </w:r>
      <w:r w:rsidRPr="00195E24">
        <w:rPr>
          <w:rFonts w:ascii="Verdana" w:hAnsi="Verdana"/>
          <w:sz w:val="16"/>
          <w:szCs w:val="16"/>
        </w:rPr>
        <w:t>se</w:t>
      </w:r>
      <w:r w:rsidRPr="00195E24">
        <w:rPr>
          <w:rFonts w:ascii="Verdana" w:hAnsi="Verdana"/>
          <w:spacing w:val="-4"/>
          <w:sz w:val="16"/>
          <w:szCs w:val="16"/>
        </w:rPr>
        <w:t xml:space="preserve"> </w:t>
      </w:r>
      <w:r w:rsidRPr="00195E24">
        <w:rPr>
          <w:rFonts w:ascii="Verdana" w:hAnsi="Verdana"/>
          <w:sz w:val="16"/>
          <w:szCs w:val="16"/>
        </w:rPr>
        <w:t>eliminó</w:t>
      </w:r>
      <w:r w:rsidRPr="00195E24">
        <w:rPr>
          <w:rFonts w:ascii="Verdana" w:hAnsi="Verdana"/>
          <w:spacing w:val="-6"/>
          <w:sz w:val="16"/>
          <w:szCs w:val="16"/>
        </w:rPr>
        <w:t xml:space="preserve"> </w:t>
      </w:r>
      <w:r w:rsidRPr="00195E24">
        <w:rPr>
          <w:rFonts w:ascii="Verdana" w:hAnsi="Verdana"/>
          <w:sz w:val="16"/>
          <w:szCs w:val="16"/>
        </w:rPr>
        <w:t>en</w:t>
      </w:r>
      <w:r w:rsidRPr="00195E24">
        <w:rPr>
          <w:rFonts w:ascii="Verdana" w:hAnsi="Verdana"/>
          <w:spacing w:val="-6"/>
          <w:sz w:val="16"/>
          <w:szCs w:val="16"/>
        </w:rPr>
        <w:t xml:space="preserve"> </w:t>
      </w:r>
      <w:r w:rsidRPr="00195E24">
        <w:rPr>
          <w:rFonts w:ascii="Verdana" w:hAnsi="Verdana"/>
          <w:sz w:val="16"/>
          <w:szCs w:val="16"/>
        </w:rPr>
        <w:t>el</w:t>
      </w:r>
      <w:r w:rsidRPr="00195E24">
        <w:rPr>
          <w:rFonts w:ascii="Verdana" w:hAnsi="Verdana"/>
          <w:spacing w:val="-3"/>
          <w:sz w:val="16"/>
          <w:szCs w:val="16"/>
        </w:rPr>
        <w:t xml:space="preserve"> </w:t>
      </w:r>
      <w:r w:rsidRPr="00195E24">
        <w:rPr>
          <w:rFonts w:ascii="Verdana" w:hAnsi="Verdana"/>
          <w:sz w:val="16"/>
          <w:szCs w:val="16"/>
        </w:rPr>
        <w:t>artículo</w:t>
      </w:r>
      <w:r w:rsidRPr="00195E24">
        <w:rPr>
          <w:rFonts w:ascii="Verdana" w:hAnsi="Verdana"/>
          <w:spacing w:val="-6"/>
          <w:sz w:val="16"/>
          <w:szCs w:val="16"/>
        </w:rPr>
        <w:t xml:space="preserve"> </w:t>
      </w:r>
      <w:r w:rsidRPr="00195E24">
        <w:rPr>
          <w:rFonts w:ascii="Verdana" w:hAnsi="Verdana"/>
          <w:sz w:val="16"/>
          <w:szCs w:val="16"/>
        </w:rPr>
        <w:t>93</w:t>
      </w:r>
      <w:r w:rsidRPr="00195E24">
        <w:rPr>
          <w:rFonts w:ascii="Verdana" w:hAnsi="Verdana"/>
          <w:spacing w:val="-6"/>
          <w:sz w:val="16"/>
          <w:szCs w:val="16"/>
        </w:rPr>
        <w:t xml:space="preserve"> </w:t>
      </w:r>
      <w:r w:rsidRPr="00195E24">
        <w:rPr>
          <w:rFonts w:ascii="Verdana" w:hAnsi="Verdana"/>
          <w:sz w:val="16"/>
          <w:szCs w:val="16"/>
        </w:rPr>
        <w:t>de</w:t>
      </w:r>
      <w:r w:rsidRPr="00195E24">
        <w:rPr>
          <w:rFonts w:ascii="Verdana" w:hAnsi="Verdana"/>
          <w:spacing w:val="-4"/>
          <w:sz w:val="16"/>
          <w:szCs w:val="16"/>
        </w:rPr>
        <w:t xml:space="preserve"> </w:t>
      </w:r>
      <w:r w:rsidRPr="00195E24">
        <w:rPr>
          <w:rFonts w:ascii="Verdana" w:hAnsi="Verdana"/>
          <w:sz w:val="16"/>
          <w:szCs w:val="16"/>
        </w:rPr>
        <w:t>la</w:t>
      </w:r>
      <w:r w:rsidRPr="00195E24">
        <w:rPr>
          <w:rFonts w:ascii="Verdana" w:hAnsi="Verdana"/>
          <w:spacing w:val="-5"/>
          <w:sz w:val="16"/>
          <w:szCs w:val="16"/>
        </w:rPr>
        <w:t xml:space="preserve"> </w:t>
      </w:r>
      <w:r w:rsidRPr="00195E24">
        <w:rPr>
          <w:rFonts w:ascii="Verdana" w:hAnsi="Verdana"/>
          <w:sz w:val="16"/>
          <w:szCs w:val="16"/>
        </w:rPr>
        <w:t>Ley</w:t>
      </w:r>
      <w:r w:rsidRPr="00195E24">
        <w:rPr>
          <w:rFonts w:ascii="Verdana" w:hAnsi="Verdana"/>
          <w:spacing w:val="-4"/>
          <w:sz w:val="16"/>
          <w:szCs w:val="16"/>
        </w:rPr>
        <w:t xml:space="preserve"> </w:t>
      </w:r>
      <w:r w:rsidRPr="00195E24">
        <w:rPr>
          <w:rFonts w:ascii="Verdana" w:hAnsi="Verdana"/>
          <w:sz w:val="16"/>
          <w:szCs w:val="16"/>
        </w:rPr>
        <w:t>1474</w:t>
      </w:r>
      <w:r w:rsidRPr="00195E24">
        <w:rPr>
          <w:rFonts w:ascii="Verdana" w:hAnsi="Verdana"/>
          <w:spacing w:val="-6"/>
          <w:sz w:val="16"/>
          <w:szCs w:val="16"/>
        </w:rPr>
        <w:t xml:space="preserve"> </w:t>
      </w:r>
      <w:r w:rsidRPr="00195E24">
        <w:rPr>
          <w:rFonts w:ascii="Verdana" w:hAnsi="Verdana"/>
          <w:sz w:val="16"/>
          <w:szCs w:val="16"/>
        </w:rPr>
        <w:t>de</w:t>
      </w:r>
      <w:r w:rsidRPr="00195E24">
        <w:rPr>
          <w:rFonts w:ascii="Verdana" w:hAnsi="Verdana"/>
          <w:spacing w:val="-4"/>
          <w:sz w:val="16"/>
          <w:szCs w:val="16"/>
        </w:rPr>
        <w:t xml:space="preserve"> </w:t>
      </w:r>
      <w:r w:rsidRPr="00195E24">
        <w:rPr>
          <w:rFonts w:ascii="Verdana" w:hAnsi="Verdana"/>
          <w:sz w:val="16"/>
          <w:szCs w:val="16"/>
        </w:rPr>
        <w:t>2011,</w:t>
      </w:r>
      <w:r w:rsidRPr="00195E24">
        <w:rPr>
          <w:rFonts w:ascii="Verdana" w:hAnsi="Verdana"/>
          <w:spacing w:val="-2"/>
          <w:sz w:val="16"/>
          <w:szCs w:val="16"/>
        </w:rPr>
        <w:t xml:space="preserve"> </w:t>
      </w:r>
      <w:r w:rsidRPr="00195E24">
        <w:rPr>
          <w:rFonts w:ascii="Verdana" w:hAnsi="Verdana"/>
          <w:sz w:val="16"/>
          <w:szCs w:val="16"/>
        </w:rPr>
        <w:t>pues en ese caso no se está en presencia de los fundamentos que soportan la excepción de no aplicar el Estatuto General de Contratación de la Administración Pública, cual es la “competencia y el libre juego del mercado”.</w:t>
      </w:r>
    </w:p>
    <w:p w14:paraId="1BBF11C2" w14:textId="77777777" w:rsidR="002C0013" w:rsidRPr="00195E24" w:rsidRDefault="002C0013" w:rsidP="002C0013">
      <w:pPr>
        <w:pStyle w:val="Textonotapie"/>
        <w:ind w:right="49" w:firstLine="709"/>
        <w:contextualSpacing/>
        <w:jc w:val="both"/>
        <w:rPr>
          <w:rFonts w:ascii="Verdana" w:hAnsi="Verdana"/>
          <w:sz w:val="16"/>
          <w:szCs w:val="16"/>
        </w:rPr>
      </w:pPr>
    </w:p>
  </w:footnote>
  <w:footnote w:id="22">
    <w:p w14:paraId="0C190131" w14:textId="77777777" w:rsidR="002C0013" w:rsidRDefault="002C0013" w:rsidP="002C0013">
      <w:pPr>
        <w:spacing w:after="0" w:line="240" w:lineRule="auto"/>
        <w:ind w:firstLine="709"/>
        <w:contextualSpacing/>
        <w:jc w:val="both"/>
        <w:rPr>
          <w:rFonts w:ascii="Verdana" w:hAnsi="Verdana" w:cs="Arial"/>
          <w:color w:val="000000" w:themeColor="text1"/>
          <w:sz w:val="16"/>
          <w:szCs w:val="16"/>
        </w:rPr>
      </w:pPr>
      <w:r w:rsidRPr="00195E24">
        <w:rPr>
          <w:rStyle w:val="Refdenotaalpie"/>
          <w:rFonts w:ascii="Verdana" w:hAnsi="Verdana" w:cs="Arial"/>
          <w:color w:val="000000" w:themeColor="text1"/>
          <w:sz w:val="16"/>
          <w:szCs w:val="16"/>
        </w:rPr>
        <w:footnoteRef/>
      </w:r>
      <w:r w:rsidRPr="00195E24">
        <w:rPr>
          <w:rFonts w:ascii="Verdana" w:hAnsi="Verdana" w:cs="Arial"/>
          <w:color w:val="000000" w:themeColor="text1"/>
          <w:sz w:val="16"/>
          <w:szCs w:val="16"/>
        </w:rPr>
        <w:t xml:space="preserve"> Consejo de Estado. Sala de Consulta y Servicio Civil. Concepto de 20 de febrero de 2006. Radicación Número: 11001-03-06-000-2006-00026-00 (1727). </w:t>
      </w:r>
      <w:r>
        <w:rPr>
          <w:rFonts w:ascii="Verdana" w:hAnsi="Verdana" w:cs="Arial"/>
          <w:color w:val="000000" w:themeColor="text1"/>
          <w:sz w:val="16"/>
          <w:szCs w:val="16"/>
        </w:rPr>
        <w:t>C.P</w:t>
      </w:r>
      <w:r w:rsidRPr="00195E24">
        <w:rPr>
          <w:rFonts w:ascii="Verdana" w:hAnsi="Verdana" w:cs="Arial"/>
          <w:color w:val="000000" w:themeColor="text1"/>
          <w:sz w:val="16"/>
          <w:szCs w:val="16"/>
        </w:rPr>
        <w:t>: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364F73BE" w14:textId="77777777" w:rsidR="002C0013" w:rsidRPr="005800D0" w:rsidRDefault="002C0013" w:rsidP="002C0013">
      <w:pPr>
        <w:spacing w:after="0" w:line="240" w:lineRule="auto"/>
        <w:ind w:firstLine="709"/>
        <w:contextualSpacing/>
        <w:jc w:val="both"/>
        <w:rPr>
          <w:rFonts w:ascii="Verdana" w:hAnsi="Verdana" w:cs="Arial"/>
          <w:color w:val="000000" w:themeColor="text1"/>
          <w:sz w:val="16"/>
          <w:szCs w:val="16"/>
        </w:rPr>
      </w:pPr>
    </w:p>
  </w:footnote>
  <w:footnote w:id="23">
    <w:p w14:paraId="211809AE" w14:textId="77777777" w:rsidR="002C0013" w:rsidRPr="00195E24" w:rsidRDefault="002C0013" w:rsidP="002C0013">
      <w:pPr>
        <w:pStyle w:val="Textonotapie"/>
        <w:ind w:firstLine="709"/>
        <w:contextualSpacing/>
        <w:jc w:val="both"/>
        <w:rPr>
          <w:rFonts w:ascii="Verdana" w:hAnsi="Verdana" w:cs="Arial"/>
          <w:color w:val="000000" w:themeColor="text1"/>
          <w:sz w:val="16"/>
          <w:szCs w:val="16"/>
        </w:rPr>
      </w:pPr>
      <w:r w:rsidRPr="00195E24">
        <w:rPr>
          <w:rStyle w:val="Refdenotaalpie"/>
          <w:rFonts w:ascii="Verdana" w:hAnsi="Verdana" w:cs="Arial"/>
          <w:color w:val="000000" w:themeColor="text1"/>
          <w:sz w:val="16"/>
          <w:szCs w:val="16"/>
        </w:rPr>
        <w:footnoteRef/>
      </w:r>
      <w:r w:rsidRPr="00195E24">
        <w:rPr>
          <w:rFonts w:ascii="Verdana" w:hAnsi="Verdana" w:cs="Arial"/>
          <w:color w:val="000000" w:themeColor="text1"/>
          <w:sz w:val="16"/>
          <w:szCs w:val="16"/>
        </w:rPr>
        <w:t xml:space="preserve"> Consejo de Estado. Sala de Consulta y Servicio Civil. Concepto de 6 de abril de 2006. Radicación Número: 11001-03-06-000-2006-00038-00 (1738). </w:t>
      </w:r>
      <w:r>
        <w:rPr>
          <w:rFonts w:ascii="Verdana" w:hAnsi="Verdana" w:cs="Arial"/>
          <w:color w:val="000000" w:themeColor="text1"/>
          <w:sz w:val="16"/>
          <w:szCs w:val="16"/>
        </w:rPr>
        <w:t>C.P:</w:t>
      </w:r>
      <w:r w:rsidRPr="00195E24">
        <w:rPr>
          <w:rFonts w:ascii="Verdana" w:hAnsi="Verdana" w:cs="Arial"/>
          <w:color w:val="000000" w:themeColor="text1"/>
          <w:sz w:val="16"/>
          <w:szCs w:val="16"/>
        </w:rPr>
        <w:t xml:space="preserve"> Enrique José Arboleda Perdomo:</w:t>
      </w:r>
      <w:r w:rsidRPr="00195E24">
        <w:rPr>
          <w:rFonts w:ascii="Verdana" w:eastAsia="Times New Roman" w:hAnsi="Verdana" w:cs="Arial"/>
          <w:bCs/>
          <w:color w:val="000000" w:themeColor="text1"/>
          <w:sz w:val="16"/>
          <w:szCs w:val="16"/>
          <w:lang w:eastAsia="x-none"/>
        </w:rPr>
        <w:t xml:space="preserve"> </w:t>
      </w:r>
      <w:bookmarkStart w:id="18" w:name="_Hlk97890572"/>
      <w:r>
        <w:rPr>
          <w:rFonts w:ascii="Verdana" w:eastAsia="Times New Roman" w:hAnsi="Verdana" w:cs="Arial"/>
          <w:bCs/>
          <w:color w:val="000000" w:themeColor="text1"/>
          <w:sz w:val="16"/>
          <w:szCs w:val="16"/>
          <w:lang w:eastAsia="x-none"/>
        </w:rPr>
        <w:t>“</w:t>
      </w:r>
      <w:r w:rsidRPr="00195E24">
        <w:rPr>
          <w:rFonts w:ascii="Verdana" w:hAnsi="Verdana" w:cs="Arial"/>
          <w:color w:val="000000" w:themeColor="text1"/>
          <w:sz w:val="16"/>
          <w:szCs w:val="16"/>
        </w:rPr>
        <w:t xml:space="preserve">Si bien en el tema del concepto del que se extractaron </w:t>
      </w:r>
      <w:bookmarkEnd w:id="18"/>
      <w:r w:rsidRPr="00195E24">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color w:val="000000" w:themeColor="text1"/>
          <w:sz w:val="16"/>
          <w:szCs w:val="16"/>
          <w:lang w:eastAsia="x-none"/>
        </w:rPr>
        <w:t>”</w:t>
      </w:r>
      <w:r w:rsidRPr="00195E24">
        <w:rPr>
          <w:rFonts w:ascii="Verdana" w:eastAsia="Times New Roman" w:hAnsi="Verdana" w:cs="Arial"/>
          <w:bCs/>
          <w:color w:val="000000" w:themeColor="text1"/>
          <w:sz w:val="16"/>
          <w:szCs w:val="16"/>
          <w:lang w:eastAsia="x-none"/>
        </w:rPr>
        <w:t>.</w:t>
      </w:r>
    </w:p>
  </w:footnote>
  <w:footnote w:id="24">
    <w:p w14:paraId="323820E4" w14:textId="77777777" w:rsidR="002C0013" w:rsidRDefault="002C0013" w:rsidP="002C0013">
      <w:pPr>
        <w:spacing w:after="0" w:line="240" w:lineRule="auto"/>
        <w:ind w:firstLine="708"/>
        <w:contextualSpacing/>
        <w:jc w:val="both"/>
        <w:rPr>
          <w:rFonts w:ascii="Verdana" w:hAnsi="Verdana" w:cs="Arial"/>
          <w:color w:val="000000" w:themeColor="text1"/>
          <w:sz w:val="16"/>
          <w:szCs w:val="16"/>
        </w:rPr>
      </w:pPr>
      <w:r w:rsidRPr="005800D0">
        <w:rPr>
          <w:rStyle w:val="Refdenotaalpie"/>
          <w:rFonts w:ascii="Verdana" w:hAnsi="Verdana" w:cs="Arial"/>
          <w:color w:val="000000" w:themeColor="text1"/>
          <w:sz w:val="16"/>
          <w:szCs w:val="16"/>
        </w:rPr>
        <w:footnoteRef/>
      </w:r>
      <w:r w:rsidRPr="005800D0">
        <w:rPr>
          <w:rFonts w:ascii="Verdana" w:hAnsi="Verdana" w:cs="Arial"/>
          <w:color w:val="000000" w:themeColor="text1"/>
          <w:sz w:val="16"/>
          <w:szCs w:val="16"/>
        </w:rPr>
        <w:t xml:space="preserve"> Consejo de Estado. Sala de Consulta y Servicio Civil. Concepto de 6 de abril de 2006. Radicación Número: 11001-03-06-000-2006-00038-00(1738). C</w:t>
      </w:r>
      <w:r>
        <w:rPr>
          <w:rFonts w:ascii="Verdana" w:hAnsi="Verdana" w:cs="Arial"/>
          <w:color w:val="000000" w:themeColor="text1"/>
          <w:sz w:val="16"/>
          <w:szCs w:val="16"/>
        </w:rPr>
        <w:t xml:space="preserve">.P: </w:t>
      </w:r>
      <w:r w:rsidRPr="005800D0">
        <w:rPr>
          <w:rFonts w:ascii="Verdana" w:hAnsi="Verdana" w:cs="Arial"/>
          <w:color w:val="000000" w:themeColor="text1"/>
          <w:sz w:val="16"/>
          <w:szCs w:val="16"/>
        </w:rPr>
        <w:t xml:space="preserve">Enrique José Arboleda Perdomo. </w:t>
      </w:r>
    </w:p>
    <w:p w14:paraId="2E52AC03" w14:textId="77777777" w:rsidR="002C0013" w:rsidRPr="005800D0" w:rsidRDefault="002C0013" w:rsidP="002C0013">
      <w:pPr>
        <w:spacing w:after="0" w:line="240" w:lineRule="auto"/>
        <w:ind w:firstLine="708"/>
        <w:contextualSpacing/>
        <w:jc w:val="both"/>
        <w:rPr>
          <w:rFonts w:ascii="Verdana" w:hAnsi="Verdana" w:cs="Arial"/>
          <w:color w:val="000000" w:themeColor="text1"/>
          <w:sz w:val="16"/>
          <w:szCs w:val="16"/>
        </w:rPr>
      </w:pPr>
    </w:p>
  </w:footnote>
  <w:footnote w:id="25">
    <w:p w14:paraId="349DB91F" w14:textId="77777777" w:rsidR="002C0013" w:rsidRPr="005800D0" w:rsidRDefault="002C0013" w:rsidP="002C0013">
      <w:pPr>
        <w:pStyle w:val="Textonotapie"/>
        <w:ind w:firstLine="709"/>
        <w:contextualSpacing/>
        <w:rPr>
          <w:rFonts w:ascii="Verdana" w:hAnsi="Verdana" w:cs="Arial"/>
          <w:color w:val="000000" w:themeColor="text1"/>
          <w:sz w:val="16"/>
          <w:szCs w:val="16"/>
        </w:rPr>
      </w:pPr>
      <w:r w:rsidRPr="005800D0">
        <w:rPr>
          <w:rStyle w:val="Refdenotaalpie"/>
          <w:rFonts w:ascii="Verdana" w:hAnsi="Verdana" w:cs="Arial"/>
          <w:color w:val="000000" w:themeColor="text1"/>
          <w:sz w:val="16"/>
          <w:szCs w:val="16"/>
        </w:rPr>
        <w:footnoteRef/>
      </w:r>
      <w:r w:rsidRPr="005800D0">
        <w:rPr>
          <w:rFonts w:ascii="Verdana" w:hAnsi="Verdana" w:cs="Arial"/>
          <w:color w:val="000000" w:themeColor="text1"/>
          <w:sz w:val="16"/>
          <w:szCs w:val="16"/>
        </w:rPr>
        <w:t xml:space="preserve"> Consejo de Estado. Sala de Consulta y Servicio Civil, 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4DCD7CAC" w:rsidR="00756841" w:rsidRDefault="009D3058" w:rsidP="00DE2E29">
    <w:pPr>
      <w:pStyle w:val="Encabezado"/>
      <w:tabs>
        <w:tab w:val="clear" w:pos="8838"/>
      </w:tabs>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3D05A991">
          <wp:simplePos x="0" y="0"/>
          <wp:positionH relativeFrom="margin">
            <wp:align>center</wp:align>
          </wp:positionH>
          <wp:positionV relativeFrom="paragraph">
            <wp:posOffset>-256388</wp:posOffset>
          </wp:positionV>
          <wp:extent cx="1942023" cy="864000"/>
          <wp:effectExtent l="0" t="0" r="1270" b="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42023" cy="8640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DE2E29">
      <w:tab/>
    </w:r>
  </w:p>
  <w:p w14:paraId="1BE2B9AE" w14:textId="4B94DB3B" w:rsidR="00756841" w:rsidRDefault="00756841" w:rsidP="00DE2E29">
    <w:pPr>
      <w:pStyle w:val="Encabezado"/>
      <w:jc w:val="cent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621BDA"/>
    <w:multiLevelType w:val="hybridMultilevel"/>
    <w:tmpl w:val="79669C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8941967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73F"/>
    <w:rsid w:val="00046945"/>
    <w:rsid w:val="00061B2A"/>
    <w:rsid w:val="00082362"/>
    <w:rsid w:val="000A683E"/>
    <w:rsid w:val="000B19B9"/>
    <w:rsid w:val="000D0334"/>
    <w:rsid w:val="000D3A84"/>
    <w:rsid w:val="000D5DA7"/>
    <w:rsid w:val="000F6486"/>
    <w:rsid w:val="00116940"/>
    <w:rsid w:val="00125105"/>
    <w:rsid w:val="00127233"/>
    <w:rsid w:val="00145ABD"/>
    <w:rsid w:val="0015699B"/>
    <w:rsid w:val="001A33BF"/>
    <w:rsid w:val="001E4177"/>
    <w:rsid w:val="001F0B24"/>
    <w:rsid w:val="001F7DC6"/>
    <w:rsid w:val="0022400B"/>
    <w:rsid w:val="002421BB"/>
    <w:rsid w:val="0025796E"/>
    <w:rsid w:val="002707A2"/>
    <w:rsid w:val="002852B5"/>
    <w:rsid w:val="00293631"/>
    <w:rsid w:val="002951A0"/>
    <w:rsid w:val="002962BC"/>
    <w:rsid w:val="002A093D"/>
    <w:rsid w:val="002A0DD0"/>
    <w:rsid w:val="002A49AC"/>
    <w:rsid w:val="002A64FD"/>
    <w:rsid w:val="002C0013"/>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16CDB"/>
    <w:rsid w:val="005566E8"/>
    <w:rsid w:val="00574867"/>
    <w:rsid w:val="00591460"/>
    <w:rsid w:val="00592BE1"/>
    <w:rsid w:val="005A65E0"/>
    <w:rsid w:val="005C3777"/>
    <w:rsid w:val="005C5CDC"/>
    <w:rsid w:val="005D476C"/>
    <w:rsid w:val="006200BF"/>
    <w:rsid w:val="006219F8"/>
    <w:rsid w:val="006302F7"/>
    <w:rsid w:val="00646B9F"/>
    <w:rsid w:val="00665D70"/>
    <w:rsid w:val="006900D9"/>
    <w:rsid w:val="00706C16"/>
    <w:rsid w:val="007340C3"/>
    <w:rsid w:val="0075235A"/>
    <w:rsid w:val="007533E3"/>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094C"/>
    <w:rsid w:val="008F0EA7"/>
    <w:rsid w:val="00923EEF"/>
    <w:rsid w:val="009419F9"/>
    <w:rsid w:val="0095685E"/>
    <w:rsid w:val="00961B09"/>
    <w:rsid w:val="00964C40"/>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547E"/>
    <w:rsid w:val="00A33C78"/>
    <w:rsid w:val="00AB0ADB"/>
    <w:rsid w:val="00AE4C49"/>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86EA2"/>
    <w:rsid w:val="00C925AC"/>
    <w:rsid w:val="00CB6357"/>
    <w:rsid w:val="00CC1B26"/>
    <w:rsid w:val="00D361FD"/>
    <w:rsid w:val="00D423A2"/>
    <w:rsid w:val="00D44E26"/>
    <w:rsid w:val="00D520D8"/>
    <w:rsid w:val="00D63AC2"/>
    <w:rsid w:val="00D7383B"/>
    <w:rsid w:val="00D7788A"/>
    <w:rsid w:val="00D91454"/>
    <w:rsid w:val="00DA231B"/>
    <w:rsid w:val="00DC39FC"/>
    <w:rsid w:val="00DE2E29"/>
    <w:rsid w:val="00DF5254"/>
    <w:rsid w:val="00E02524"/>
    <w:rsid w:val="00E16408"/>
    <w:rsid w:val="00E20894"/>
    <w:rsid w:val="00E245AB"/>
    <w:rsid w:val="00E2764C"/>
    <w:rsid w:val="00E27F2E"/>
    <w:rsid w:val="00E50AFE"/>
    <w:rsid w:val="00E75076"/>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E45AB"/>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C0013"/>
    <w:rPr>
      <w:rFonts w:ascii="Geomanist Light" w:hAnsi="Geomanist Light"/>
      <w:lang w:val="es-ES"/>
    </w:rPr>
  </w:style>
  <w:style w:type="paragraph" w:customStyle="1" w:styleId="Appelnotedebasde">
    <w:name w:val="Appel note de bas de..."/>
    <w:basedOn w:val="Normal"/>
    <w:link w:val="Refdenotaalpie"/>
    <w:uiPriority w:val="99"/>
    <w:rsid w:val="002C0013"/>
    <w:pPr>
      <w:spacing w:line="240" w:lineRule="exact"/>
    </w:pPr>
    <w:rPr>
      <w:vertAlign w:val="superscript"/>
    </w:rPr>
  </w:style>
  <w:style w:type="character" w:customStyle="1" w:styleId="NormalWebCar">
    <w:name w:val="Normal (Web) Car"/>
    <w:link w:val="NormalWeb"/>
    <w:uiPriority w:val="99"/>
    <w:locked/>
    <w:rsid w:val="002C0013"/>
    <w:rPr>
      <w:rFonts w:ascii="Times New Roman" w:eastAsia="Times New Roman" w:hAnsi="Times New Roman" w:cs="Times New Roman"/>
      <w:sz w:val="24"/>
      <w:szCs w:val="24"/>
      <w:lang w:eastAsia="es-CO"/>
    </w:rPr>
  </w:style>
  <w:style w:type="character" w:customStyle="1" w:styleId="baj">
    <w:name w:val="b_aj"/>
    <w:basedOn w:val="Fuentedeprrafopredeter"/>
    <w:rsid w:val="002C00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au.96f@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56E0206-0AF8-4F7D-B806-D273E601C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21</Pages>
  <Words>7115</Words>
  <Characters>39849</Characters>
  <Application>Microsoft Office Word</Application>
  <DocSecurity>0</DocSecurity>
  <Lines>948</Lines>
  <Paragraphs>211</Paragraphs>
  <ScaleCrop>false</ScaleCrop>
  <Company/>
  <LinksUpToDate>false</LinksUpToDate>
  <CharactersWithSpaces>46753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2025-12-22T20:02:00Z</dcterms:created>
  <dcterms:modified xsi:type="dcterms:W3CDTF">2025-12-23T17:19:00Z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