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C5BEB" w14:textId="77777777" w:rsidR="00D4539B" w:rsidRDefault="00D4539B" w:rsidP="00D4539B">
      <w:pPr>
        <w:contextualSpacing/>
        <w:jc w:val="both"/>
        <w:rPr>
          <w:rFonts w:ascii="Verdana" w:eastAsia="Calibri" w:hAnsi="Verdana" w:cs="Arial"/>
          <w:b/>
          <w:bCs/>
          <w:lang w:val="es-ES_tradnl" w:eastAsia="es-ES"/>
        </w:rPr>
      </w:pPr>
      <w:bookmarkStart w:id="0" w:name="_Hlk143780582"/>
      <w:r w:rsidRPr="006C5245">
        <w:rPr>
          <w:rFonts w:ascii="Verdana" w:eastAsia="Calibri" w:hAnsi="Verdana" w:cs="Arial"/>
          <w:b/>
          <w:bCs/>
          <w:lang w:val="es-ES_tradnl" w:eastAsia="es-ES"/>
        </w:rPr>
        <w:t>LEY 1955 DE 2019 – Artículo 229 – Finalidad</w:t>
      </w:r>
    </w:p>
    <w:p w14:paraId="43EF192B" w14:textId="77777777" w:rsidR="00D4539B" w:rsidRDefault="00D4539B" w:rsidP="00D4539B">
      <w:pPr>
        <w:contextualSpacing/>
        <w:jc w:val="both"/>
        <w:rPr>
          <w:rFonts w:ascii="Verdana" w:eastAsia="Calibri" w:hAnsi="Verdana" w:cs="Arial"/>
          <w:b/>
          <w:bCs/>
          <w:lang w:val="es-ES_tradnl" w:eastAsia="es-ES"/>
        </w:rPr>
      </w:pPr>
    </w:p>
    <w:p w14:paraId="46A55572" w14:textId="77777777" w:rsidR="00D4539B" w:rsidRPr="00226D4C" w:rsidRDefault="00D4539B" w:rsidP="00D4539B">
      <w:pPr>
        <w:spacing w:line="240" w:lineRule="auto"/>
        <w:contextualSpacing/>
        <w:jc w:val="both"/>
        <w:rPr>
          <w:rFonts w:ascii="Verdana" w:eastAsia="Calibri" w:hAnsi="Verdana" w:cs="Arial"/>
          <w:b/>
          <w:bCs/>
          <w:sz w:val="20"/>
          <w:szCs w:val="20"/>
          <w:lang w:val="es-ES_tradnl" w:eastAsia="es-ES"/>
        </w:rPr>
      </w:pPr>
      <w:r w:rsidRPr="00226D4C">
        <w:rPr>
          <w:rFonts w:ascii="Verdana" w:eastAsia="Times New Roman" w:hAnsi="Verdana" w:cs="Arial"/>
          <w:sz w:val="20"/>
          <w:szCs w:val="20"/>
          <w:lang w:eastAsia="es-CO"/>
        </w:rPr>
        <w:t>En el mercado de la compra pública se crean incentivos para fomentar el desarrollo de determinado tipo de proveedores, como ocurre con los incentivos a las Mipymes y a los emprendimientos y empresas de mujeres, entre otros. En este sentido, el artículo 229 de la Ley 1955 de 2019, “Por la cual se expide el Plan Nacional de Desarrollo 2018-2022”,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w:t>
      </w:r>
    </w:p>
    <w:p w14:paraId="4FCBD38D" w14:textId="77777777" w:rsidR="00D4539B" w:rsidRPr="006C5245" w:rsidRDefault="00D4539B" w:rsidP="00D4539B">
      <w:pPr>
        <w:spacing w:after="0" w:line="240" w:lineRule="auto"/>
        <w:contextualSpacing/>
        <w:jc w:val="both"/>
        <w:rPr>
          <w:rFonts w:ascii="Verdana" w:eastAsia="Calibri" w:hAnsi="Verdana" w:cs="Arial"/>
          <w:b/>
          <w:bCs/>
          <w:lang w:val="es-ES_tradnl" w:eastAsia="es-ES"/>
        </w:rPr>
      </w:pPr>
    </w:p>
    <w:p w14:paraId="597F9998" w14:textId="77777777" w:rsidR="00D4539B" w:rsidRDefault="00D4539B" w:rsidP="00D4539B">
      <w:pPr>
        <w:contextualSpacing/>
        <w:jc w:val="both"/>
        <w:rPr>
          <w:rFonts w:ascii="Verdana" w:eastAsia="Calibri" w:hAnsi="Verdana" w:cs="Arial"/>
          <w:b/>
          <w:bCs/>
          <w:lang w:val="es-ES_tradnl" w:eastAsia="es-ES"/>
        </w:rPr>
      </w:pPr>
      <w:r w:rsidRPr="006C5245">
        <w:rPr>
          <w:rFonts w:ascii="Verdana" w:eastAsia="Calibri" w:hAnsi="Verdana" w:cs="Arial"/>
          <w:b/>
          <w:bCs/>
          <w:lang w:val="es-ES_tradnl" w:eastAsia="es-ES"/>
        </w:rPr>
        <w:t>LEY 2046 DE 2020 – Finalidad – Ámbito de aplicación - Compra pública de alimentos</w:t>
      </w:r>
    </w:p>
    <w:p w14:paraId="0F34401A" w14:textId="77777777" w:rsidR="00D4539B" w:rsidRDefault="00D4539B" w:rsidP="00D4539B">
      <w:pPr>
        <w:spacing w:after="0" w:line="240" w:lineRule="auto"/>
        <w:contextualSpacing/>
        <w:jc w:val="both"/>
        <w:rPr>
          <w:rFonts w:ascii="Verdana" w:eastAsia="Times New Roman" w:hAnsi="Verdana" w:cs="Arial"/>
          <w:sz w:val="20"/>
          <w:szCs w:val="20"/>
          <w:lang w:eastAsia="es-CO"/>
        </w:rPr>
      </w:pPr>
    </w:p>
    <w:p w14:paraId="628BDDCA" w14:textId="77777777" w:rsidR="00D4539B" w:rsidRPr="00226D4C" w:rsidRDefault="00D4539B" w:rsidP="00D4539B">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En este contexto, el artículo primero señala que el objeto de la ley “[…] consiste en establecer condiciones e instrumentos de abastecimiento alimentario </w:t>
      </w:r>
      <w:r w:rsidRPr="00226D4C">
        <w:rPr>
          <w:rFonts w:ascii="Verdana" w:eastAsia="Times New Roman" w:hAnsi="Verdana" w:cs="Arial"/>
          <w:i/>
          <w:iCs/>
          <w:sz w:val="20"/>
          <w:szCs w:val="20"/>
          <w:lang w:eastAsia="es-CO"/>
        </w:rPr>
        <w:t>para que todos los programas públicos de suministro y distribución de alimentos</w:t>
      </w:r>
      <w:r w:rsidRPr="00226D4C">
        <w:rPr>
          <w:rFonts w:ascii="Verdana" w:eastAsia="Times New Roman" w:hAnsi="Verdana" w:cs="Arial"/>
          <w:sz w:val="20"/>
          <w:szCs w:val="20"/>
          <w:lang w:eastAsia="es-CO"/>
        </w:rPr>
        <w:t xml:space="preserve"> promuevan la participación de pequeños productores locales y productores locales agropecuarios cuyos sistemas productivos pertenezcan a la Agricultura Campesina, Familiar y Comunitaria, o de sus organizaciones legalmente constituidas” [Énfasis fuera del texto original].</w:t>
      </w:r>
    </w:p>
    <w:p w14:paraId="2AC87F00" w14:textId="77777777" w:rsidR="00D4539B" w:rsidRPr="00226D4C" w:rsidRDefault="00D4539B" w:rsidP="00D4539B">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En cuanto al campo de aplicación, el artículo 3 señala lo siguiente: “Las disposiciones que aquí se establecen, serán </w:t>
      </w:r>
      <w:r w:rsidRPr="00226D4C">
        <w:rPr>
          <w:rFonts w:ascii="Verdana" w:eastAsia="Times New Roman" w:hAnsi="Verdana" w:cs="Arial"/>
          <w:i/>
          <w:iCs/>
          <w:sz w:val="20"/>
          <w:szCs w:val="20"/>
          <w:lang w:eastAsia="es-CO"/>
        </w:rPr>
        <w:t>obligatorias</w:t>
      </w:r>
      <w:r w:rsidRPr="00226D4C">
        <w:rPr>
          <w:rFonts w:ascii="Verdana" w:eastAsia="Times New Roman" w:hAnsi="Verdana" w:cs="Arial"/>
          <w:sz w:val="20"/>
          <w:szCs w:val="20"/>
          <w:lang w:eastAsia="es-CO"/>
        </w:rPr>
        <w:t xml:space="preserve">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 </w:t>
      </w:r>
    </w:p>
    <w:p w14:paraId="68BCFD10" w14:textId="77777777" w:rsidR="00D4539B" w:rsidRPr="00226D4C" w:rsidRDefault="00D4539B" w:rsidP="00D4539B">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En efecto, según el ámbito de aplicación, las disposiciones de esta Ley son obligatorias para las entidades sometidas al EGCAP. Adicionalmente, no se limita a las entidades sujetas a la Ley 80 de 1993, sino que se extiende a otro tipo de entidades públicas de los distintos órdenes, como es el caso de las sociedades de economía mixta, las entidades privadas que administren recursos públicos, así como los demás sujetos mencionados en la norma. En esta línea, dispone unas reglas que deberán cumplir para garantizar el bienestar y el fomento de la agricultura en el país. </w:t>
      </w:r>
    </w:p>
    <w:p w14:paraId="35453564" w14:textId="77777777" w:rsidR="00D4539B" w:rsidRPr="00226D4C" w:rsidRDefault="00D4539B" w:rsidP="00D4539B">
      <w:pPr>
        <w:spacing w:after="0" w:line="240" w:lineRule="auto"/>
        <w:contextualSpacing/>
        <w:jc w:val="both"/>
        <w:rPr>
          <w:rFonts w:ascii="Verdana" w:eastAsia="Calibri" w:hAnsi="Verdana" w:cs="Arial"/>
          <w:b/>
          <w:bCs/>
          <w:sz w:val="20"/>
          <w:szCs w:val="20"/>
          <w:lang w:val="es-ES_tradnl" w:eastAsia="es-ES"/>
        </w:rPr>
      </w:pPr>
    </w:p>
    <w:p w14:paraId="3B1E0A5B" w14:textId="77777777" w:rsidR="00D4539B" w:rsidRDefault="00D4539B" w:rsidP="00D4539B">
      <w:pPr>
        <w:contextualSpacing/>
        <w:jc w:val="both"/>
        <w:rPr>
          <w:rFonts w:ascii="Verdana" w:eastAsia="Calibri" w:hAnsi="Verdana" w:cs="Arial"/>
          <w:b/>
          <w:bCs/>
          <w:lang w:val="es-ES_tradnl" w:eastAsia="es-ES"/>
        </w:rPr>
      </w:pPr>
      <w:r w:rsidRPr="006C5245">
        <w:rPr>
          <w:rFonts w:ascii="Verdana" w:eastAsia="Calibri" w:hAnsi="Verdana" w:cs="Arial"/>
          <w:b/>
          <w:bCs/>
          <w:lang w:val="es-ES_tradnl" w:eastAsia="es-ES"/>
        </w:rPr>
        <w:t>LEY 2046 DE 2020 – Artículo 7 – Incentivos contractuales – Puntajes adicionales – Promoción de la compra pública de alimentos</w:t>
      </w:r>
    </w:p>
    <w:p w14:paraId="0A801469" w14:textId="77777777" w:rsidR="00D4539B" w:rsidRDefault="00D4539B" w:rsidP="00D4539B">
      <w:pPr>
        <w:spacing w:after="0" w:line="276" w:lineRule="auto"/>
        <w:jc w:val="both"/>
        <w:rPr>
          <w:rFonts w:ascii="Verdana" w:eastAsia="Calibri" w:hAnsi="Verdana" w:cs="Arial"/>
          <w:b/>
          <w:bCs/>
          <w:lang w:val="es-ES_tradnl" w:eastAsia="es-ES"/>
        </w:rPr>
      </w:pPr>
    </w:p>
    <w:p w14:paraId="6E9BC154" w14:textId="77777777" w:rsidR="00D4539B" w:rsidRPr="00226D4C" w:rsidRDefault="00D4539B" w:rsidP="00D4539B">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Sin embargo, la mayor pretensión de esta Ley fue lo regulado en el artículo 7, el cual establece los porcentajes mínimos de compra local a pequeños productores y productores de la agricultura campesina, familiar y comunitaria. En este aspecto, establece las siguientes reglas: i) las entidades que están sujetas al ámbito de aplicación </w:t>
      </w:r>
      <w:r w:rsidRPr="00226D4C">
        <w:rPr>
          <w:rFonts w:ascii="Verdana" w:eastAsia="Times New Roman" w:hAnsi="Verdana" w:cs="Arial"/>
          <w:sz w:val="20"/>
          <w:szCs w:val="20"/>
          <w:lang w:eastAsia="es-CO"/>
        </w:rPr>
        <w:lastRenderedPageBreak/>
        <w:t>de esta ley tienen la obligación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En el evento que no se cumpla este porcentaje deben informar a la Mesa Técnica Nacional de Compra Pública de Alimentos, quien certifica y realiza las gestiones para otorgar un listado de pequeños productores; ii) También deben establecer en su Pliego de Condiciones un puntaje mínimo del diez por ciento (10%) de los puntos asignables a la calificación de las propuestas, que se asignan proporcionalmente a aquellos proponentes que se obliguen a adquirir productos provenientes de pequeños productores agropecuarios locales y/o a productores de la Agricultura Campesina, Familiar o Comunitaria locales y sus organizaciones, en una proporción mayor al mínimo exigido por la entidad contratante […]</w:t>
      </w:r>
    </w:p>
    <w:p w14:paraId="6854B4C4" w14:textId="77777777" w:rsidR="00D4539B" w:rsidRPr="006C5245" w:rsidRDefault="00D4539B" w:rsidP="00D4539B">
      <w:pPr>
        <w:spacing w:after="0" w:line="240" w:lineRule="auto"/>
        <w:contextualSpacing/>
        <w:jc w:val="both"/>
        <w:rPr>
          <w:rFonts w:ascii="Verdana" w:eastAsia="Calibri" w:hAnsi="Verdana" w:cs="Arial"/>
          <w:b/>
          <w:bCs/>
          <w:lang w:val="es-ES_tradnl" w:eastAsia="es-ES"/>
        </w:rPr>
      </w:pPr>
    </w:p>
    <w:p w14:paraId="14A7A9C8" w14:textId="77777777" w:rsidR="00D4539B" w:rsidRDefault="00D4539B" w:rsidP="00D4539B">
      <w:pPr>
        <w:contextualSpacing/>
        <w:jc w:val="both"/>
        <w:rPr>
          <w:rFonts w:ascii="Verdana" w:eastAsia="Calibri" w:hAnsi="Verdana" w:cs="Arial"/>
          <w:b/>
          <w:bCs/>
          <w:lang w:val="es-ES_tradnl" w:eastAsia="es-ES"/>
        </w:rPr>
      </w:pPr>
      <w:r w:rsidRPr="00761C89">
        <w:rPr>
          <w:rFonts w:ascii="Verdana" w:eastAsia="Calibri" w:hAnsi="Verdana" w:cs="Arial"/>
          <w:b/>
          <w:bCs/>
          <w:lang w:val="es-ES_tradnl" w:eastAsia="es-ES"/>
        </w:rPr>
        <w:t xml:space="preserve">DECRETO 1071 DE 2015 ADICIONADO POR EL </w:t>
      </w:r>
      <w:r w:rsidRPr="006C5245">
        <w:rPr>
          <w:rFonts w:ascii="Verdana" w:eastAsia="Calibri" w:hAnsi="Verdana" w:cs="Arial"/>
          <w:b/>
          <w:bCs/>
          <w:lang w:val="es-ES_tradnl" w:eastAsia="es-ES"/>
        </w:rPr>
        <w:t>DECRETO 248 DE 2021 –</w:t>
      </w:r>
      <w:r>
        <w:rPr>
          <w:rFonts w:ascii="Verdana" w:eastAsia="Calibri" w:hAnsi="Verdana" w:cs="Arial"/>
          <w:b/>
          <w:bCs/>
          <w:lang w:val="es-ES_tradnl" w:eastAsia="es-ES"/>
        </w:rPr>
        <w:t xml:space="preserve"> Sistema de puntajes </w:t>
      </w:r>
      <w:r w:rsidRPr="006C5245">
        <w:rPr>
          <w:rFonts w:ascii="Verdana" w:eastAsia="Calibri" w:hAnsi="Verdana" w:cs="Arial"/>
          <w:b/>
          <w:bCs/>
          <w:lang w:val="es-ES_tradnl" w:eastAsia="es-ES"/>
        </w:rPr>
        <w:t>–</w:t>
      </w:r>
      <w:r>
        <w:rPr>
          <w:rFonts w:ascii="Verdana" w:eastAsia="Calibri" w:hAnsi="Verdana" w:cs="Arial"/>
          <w:b/>
          <w:bCs/>
          <w:lang w:val="es-ES_tradnl" w:eastAsia="es-ES"/>
        </w:rPr>
        <w:t xml:space="preserve"> </w:t>
      </w:r>
      <w:r w:rsidRPr="006C5245">
        <w:rPr>
          <w:rFonts w:ascii="Verdana" w:eastAsia="Calibri" w:hAnsi="Verdana" w:cs="Arial"/>
          <w:b/>
          <w:bCs/>
          <w:lang w:val="es-ES_tradnl" w:eastAsia="es-ES"/>
        </w:rPr>
        <w:t>Ámbito de aplicación</w:t>
      </w:r>
      <w:r>
        <w:rPr>
          <w:rFonts w:ascii="Verdana" w:eastAsia="Calibri" w:hAnsi="Verdana" w:cs="Arial"/>
          <w:b/>
          <w:bCs/>
          <w:lang w:val="es-ES_tradnl" w:eastAsia="es-ES"/>
        </w:rPr>
        <w:t xml:space="preserve"> </w:t>
      </w:r>
    </w:p>
    <w:p w14:paraId="7F292AAE" w14:textId="77777777" w:rsidR="00D4539B" w:rsidRDefault="00D4539B" w:rsidP="00D4539B">
      <w:pPr>
        <w:spacing w:after="0" w:line="240" w:lineRule="auto"/>
        <w:contextualSpacing/>
        <w:jc w:val="both"/>
        <w:rPr>
          <w:rFonts w:ascii="Verdana" w:eastAsia="Times New Roman" w:hAnsi="Verdana" w:cs="Arial"/>
          <w:sz w:val="20"/>
          <w:szCs w:val="20"/>
          <w:lang w:eastAsia="es-CO"/>
        </w:rPr>
      </w:pPr>
    </w:p>
    <w:p w14:paraId="69574AEC" w14:textId="77777777" w:rsidR="00D4539B" w:rsidRDefault="00D4539B" w:rsidP="00D4539B">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Como parte de lo anterior, el Decreto 248 de 2021 adicionó un sistema de puntajes al Decreto 1071 de 2015, los cuales se encuentran establecidos en los artículos 2.20.1.2.1, 2.20.1.2.2 y 2.20.1.2.3. En particular, el </w:t>
      </w:r>
      <w:r w:rsidRPr="00226D4C">
        <w:rPr>
          <w:rFonts w:ascii="Verdana" w:eastAsia="Times New Roman" w:hAnsi="Verdana" w:cs="Arial"/>
          <w:i/>
          <w:iCs/>
          <w:sz w:val="20"/>
          <w:szCs w:val="20"/>
          <w:lang w:eastAsia="es-CO"/>
        </w:rPr>
        <w:t>artículo 2.20.1.2.1.</w:t>
      </w:r>
      <w:r w:rsidRPr="00226D4C">
        <w:rPr>
          <w:rFonts w:ascii="Verdana" w:eastAsia="Times New Roman" w:hAnsi="Verdana" w:cs="Arial"/>
          <w:sz w:val="20"/>
          <w:szCs w:val="20"/>
          <w:lang w:eastAsia="es-CO"/>
        </w:rPr>
        <w:t xml:space="preserve"> establece de manera clara los requisitos que de forma </w:t>
      </w:r>
      <w:r w:rsidRPr="00226D4C">
        <w:rPr>
          <w:rFonts w:ascii="Verdana" w:eastAsia="Times New Roman" w:hAnsi="Verdana" w:cs="Arial"/>
          <w:i/>
          <w:iCs/>
          <w:sz w:val="20"/>
          <w:szCs w:val="20"/>
          <w:u w:val="single"/>
          <w:lang w:eastAsia="es-CO"/>
        </w:rPr>
        <w:t>obligatoria</w:t>
      </w:r>
      <w:r w:rsidRPr="00226D4C">
        <w:rPr>
          <w:rFonts w:ascii="Verdana" w:eastAsia="Times New Roman" w:hAnsi="Verdana" w:cs="Arial"/>
          <w:sz w:val="20"/>
          <w:szCs w:val="20"/>
          <w:lang w:eastAsia="es-CO"/>
        </w:rPr>
        <w:t xml:space="preserve"> deben incluir las entidades públicas descentralizadas del orden nacional y las entidades territoriales en todos los procesos que adelanten en los requieran productos agropecuarios para atender la demanda de los programas institucionales de servicios de alimentación definidos en el dicho decreto. En contraste, el </w:t>
      </w:r>
      <w:r w:rsidRPr="00226D4C">
        <w:rPr>
          <w:rFonts w:ascii="Verdana" w:eastAsia="Times New Roman" w:hAnsi="Verdana" w:cs="Arial"/>
          <w:i/>
          <w:iCs/>
          <w:sz w:val="20"/>
          <w:szCs w:val="20"/>
          <w:lang w:eastAsia="es-CO"/>
        </w:rPr>
        <w:t>artículo 2.20.1.2.2.</w:t>
      </w:r>
      <w:r w:rsidRPr="00226D4C">
        <w:rPr>
          <w:rFonts w:ascii="Verdana" w:eastAsia="Times New Roman" w:hAnsi="Verdana" w:cs="Arial"/>
          <w:b/>
          <w:bCs/>
          <w:sz w:val="20"/>
          <w:szCs w:val="20"/>
          <w:lang w:eastAsia="es-CO"/>
        </w:rPr>
        <w:t> </w:t>
      </w:r>
      <w:r w:rsidRPr="00226D4C">
        <w:rPr>
          <w:rFonts w:ascii="Verdana" w:eastAsia="Times New Roman" w:hAnsi="Verdana" w:cs="Arial"/>
          <w:sz w:val="20"/>
          <w:szCs w:val="20"/>
          <w:lang w:eastAsia="es-CO"/>
        </w:rPr>
        <w:t xml:space="preserve">señala puntajes adicionales que las entidades pueden incluir de manera </w:t>
      </w:r>
      <w:r w:rsidRPr="00226D4C">
        <w:rPr>
          <w:rFonts w:ascii="Verdana" w:eastAsia="Times New Roman" w:hAnsi="Verdana" w:cs="Arial"/>
          <w:i/>
          <w:iCs/>
          <w:sz w:val="20"/>
          <w:szCs w:val="20"/>
          <w:u w:val="single"/>
          <w:lang w:eastAsia="es-CO"/>
        </w:rPr>
        <w:t>facultativa</w:t>
      </w:r>
      <w:r w:rsidRPr="00226D4C">
        <w:rPr>
          <w:rFonts w:ascii="Verdana" w:eastAsia="Times New Roman" w:hAnsi="Verdana" w:cs="Arial"/>
          <w:sz w:val="20"/>
          <w:szCs w:val="20"/>
          <w:lang w:eastAsia="es-CO"/>
        </w:rPr>
        <w:t xml:space="preserve"> en dichos procesos.</w:t>
      </w:r>
    </w:p>
    <w:p w14:paraId="54E2275C" w14:textId="77777777" w:rsidR="00D4539B" w:rsidRPr="00226D4C" w:rsidRDefault="00D4539B" w:rsidP="00D4539B">
      <w:pPr>
        <w:spacing w:after="0" w:line="240" w:lineRule="auto"/>
        <w:contextualSpacing/>
        <w:jc w:val="both"/>
        <w:rPr>
          <w:rFonts w:ascii="Verdana" w:eastAsia="Times New Roman" w:hAnsi="Verdana" w:cs="Arial"/>
          <w:sz w:val="20"/>
          <w:szCs w:val="20"/>
          <w:lang w:eastAsia="es-CO"/>
        </w:rPr>
      </w:pPr>
    </w:p>
    <w:p w14:paraId="030CD648" w14:textId="77777777" w:rsidR="00D4539B" w:rsidRDefault="00D4539B" w:rsidP="00D4539B">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De acuerdo con la redacción de estas normas, dos aspectos son fundamentales para determinar su aplicación: la </w:t>
      </w:r>
      <w:r w:rsidRPr="00226D4C">
        <w:rPr>
          <w:rFonts w:ascii="Verdana" w:eastAsia="Times New Roman" w:hAnsi="Verdana" w:cs="Arial"/>
          <w:i/>
          <w:iCs/>
          <w:sz w:val="20"/>
          <w:szCs w:val="20"/>
          <w:lang w:eastAsia="es-CO"/>
        </w:rPr>
        <w:t>naturaleza</w:t>
      </w:r>
      <w:r w:rsidRPr="00226D4C">
        <w:rPr>
          <w:rFonts w:ascii="Verdana" w:eastAsia="Times New Roman" w:hAnsi="Verdana" w:cs="Arial"/>
          <w:sz w:val="20"/>
          <w:szCs w:val="20"/>
          <w:lang w:eastAsia="es-CO"/>
        </w:rPr>
        <w:t xml:space="preserve"> de las entidades contratantes y el </w:t>
      </w:r>
      <w:r w:rsidRPr="00226D4C">
        <w:rPr>
          <w:rFonts w:ascii="Verdana" w:eastAsia="Times New Roman" w:hAnsi="Verdana" w:cs="Arial"/>
          <w:i/>
          <w:iCs/>
          <w:sz w:val="20"/>
          <w:szCs w:val="20"/>
          <w:lang w:eastAsia="es-CO"/>
        </w:rPr>
        <w:t xml:space="preserve">objeto </w:t>
      </w:r>
      <w:r w:rsidRPr="00226D4C">
        <w:rPr>
          <w:rFonts w:ascii="Verdana" w:eastAsia="Times New Roman" w:hAnsi="Verdana" w:cs="Arial"/>
          <w:sz w:val="20"/>
          <w:szCs w:val="20"/>
          <w:lang w:eastAsia="es-CO"/>
        </w:rPr>
        <w:t xml:space="preserve">del proceso de contratación que adelanten. En este sentido, los incentivos serán aplicables cuando la Entidad Estatal contratante cumpla con tener la naturaleza de una entidad descentralizada del orden nacional o de una entidad territorial. Además, será necesario que el proceso de contratación surja de la necesidad de adquirir productos agropecuarios para la ejecución de los programas institucionales relacionados con la prestación de servicios de alimentación. </w:t>
      </w:r>
    </w:p>
    <w:p w14:paraId="1E85442D" w14:textId="77777777" w:rsidR="00D4539B" w:rsidRDefault="00D4539B" w:rsidP="00D4539B">
      <w:pPr>
        <w:spacing w:after="0" w:line="240" w:lineRule="auto"/>
        <w:contextualSpacing/>
        <w:jc w:val="both"/>
        <w:rPr>
          <w:rFonts w:ascii="Verdana" w:eastAsia="Times New Roman" w:hAnsi="Verdana" w:cs="Arial"/>
          <w:sz w:val="20"/>
          <w:szCs w:val="20"/>
          <w:lang w:eastAsia="es-CO"/>
        </w:rPr>
      </w:pPr>
    </w:p>
    <w:p w14:paraId="799538C8" w14:textId="359E2B4F" w:rsidR="00D4539B" w:rsidRPr="00F67FC3" w:rsidRDefault="00D4539B" w:rsidP="00D4539B">
      <w:pPr>
        <w:spacing w:after="0" w:line="240" w:lineRule="auto"/>
        <w:contextualSpacing/>
        <w:jc w:val="both"/>
        <w:rPr>
          <w:rFonts w:ascii="Verdana" w:eastAsia="Times New Roman" w:hAnsi="Verdana" w:cs="Arial"/>
          <w:b/>
          <w:bCs/>
          <w:lang w:eastAsia="es-CO"/>
        </w:rPr>
      </w:pPr>
      <w:r w:rsidRPr="00305544">
        <w:rPr>
          <w:rFonts w:ascii="Verdana" w:eastAsia="Calibri" w:hAnsi="Verdana" w:cs="Arial"/>
          <w:b/>
          <w:bCs/>
          <w:lang w:val="es-ES_tradnl" w:eastAsia="es-ES"/>
        </w:rPr>
        <w:t>DECRETO 1071 DE 2015</w:t>
      </w:r>
      <w:r w:rsidR="004B163E">
        <w:rPr>
          <w:rFonts w:ascii="Verdana" w:eastAsia="Calibri" w:hAnsi="Verdana" w:cs="Arial"/>
          <w:b/>
          <w:bCs/>
          <w:lang w:val="es-ES_tradnl" w:eastAsia="es-ES"/>
        </w:rPr>
        <w:t xml:space="preserve"> </w:t>
      </w:r>
      <w:r w:rsidRPr="00305544">
        <w:rPr>
          <w:rFonts w:ascii="Verdana" w:eastAsia="Calibri" w:hAnsi="Verdana" w:cs="Arial"/>
          <w:b/>
          <w:bCs/>
          <w:lang w:val="es-ES_tradnl" w:eastAsia="es-ES"/>
        </w:rPr>
        <w:t xml:space="preserve">– </w:t>
      </w:r>
      <w:r w:rsidRPr="00F67FC3">
        <w:rPr>
          <w:rFonts w:ascii="Verdana" w:eastAsia="Times New Roman" w:hAnsi="Verdana" w:cs="Arial"/>
          <w:b/>
          <w:bCs/>
          <w:lang w:eastAsia="es-CO"/>
        </w:rPr>
        <w:t>Proveedor directo</w:t>
      </w:r>
      <w:r w:rsidR="004B163E">
        <w:rPr>
          <w:rFonts w:ascii="Verdana" w:eastAsia="Times New Roman" w:hAnsi="Verdana" w:cs="Arial"/>
          <w:b/>
          <w:bCs/>
          <w:lang w:eastAsia="es-CO"/>
        </w:rPr>
        <w:t xml:space="preserve"> </w:t>
      </w:r>
      <w:r w:rsidR="004B163E" w:rsidRPr="004B163E">
        <w:rPr>
          <w:rFonts w:ascii="Verdana" w:eastAsia="Times New Roman" w:hAnsi="Verdana" w:cs="Arial"/>
          <w:b/>
          <w:bCs/>
          <w:lang w:val="es-ES" w:eastAsia="es-CO"/>
        </w:rPr>
        <w:t>–</w:t>
      </w:r>
      <w:r w:rsidRPr="00F67FC3">
        <w:rPr>
          <w:rFonts w:ascii="Verdana" w:eastAsia="Times New Roman" w:hAnsi="Verdana" w:cs="Arial"/>
          <w:b/>
          <w:bCs/>
          <w:lang w:eastAsia="es-CO"/>
        </w:rPr>
        <w:t xml:space="preserve"> Persona Jurídica</w:t>
      </w:r>
    </w:p>
    <w:p w14:paraId="6CB0379B" w14:textId="77777777" w:rsidR="00D4539B" w:rsidRDefault="00D4539B" w:rsidP="00D4539B">
      <w:pPr>
        <w:contextualSpacing/>
        <w:jc w:val="both"/>
        <w:rPr>
          <w:rFonts w:ascii="Verdana" w:eastAsia="Calibri" w:hAnsi="Verdana" w:cs="Arial"/>
          <w:b/>
          <w:bCs/>
          <w:lang w:val="es-ES_tradnl" w:eastAsia="es-ES"/>
        </w:rPr>
      </w:pPr>
    </w:p>
    <w:p w14:paraId="3F522554" w14:textId="77777777" w:rsidR="00D4539B" w:rsidRPr="004B163E" w:rsidRDefault="00D4539B" w:rsidP="00D4539B">
      <w:pPr>
        <w:spacing w:after="0" w:line="240" w:lineRule="auto"/>
        <w:contextualSpacing/>
        <w:jc w:val="both"/>
        <w:rPr>
          <w:rFonts w:ascii="Verdana" w:eastAsia="Times New Roman" w:hAnsi="Verdana" w:cs="Arial"/>
          <w:sz w:val="18"/>
          <w:szCs w:val="18"/>
          <w:lang w:eastAsia="es-CO"/>
        </w:rPr>
      </w:pPr>
      <w:r w:rsidRPr="004B163E">
        <w:rPr>
          <w:rFonts w:ascii="Verdana" w:eastAsia="Times New Roman" w:hAnsi="Verdana" w:cs="Arial"/>
          <w:sz w:val="18"/>
          <w:szCs w:val="18"/>
          <w:lang w:eastAsia="es-CO"/>
        </w:rPr>
        <w:t>[…]</w:t>
      </w:r>
    </w:p>
    <w:p w14:paraId="35DDFB65" w14:textId="77777777" w:rsidR="004B163E" w:rsidRDefault="004B163E" w:rsidP="00D4539B">
      <w:pPr>
        <w:pStyle w:val="NormalWeb"/>
        <w:shd w:val="clear" w:color="auto" w:fill="FFFFFF"/>
        <w:spacing w:before="0" w:beforeAutospacing="0" w:after="120" w:afterAutospacing="0" w:line="276" w:lineRule="auto"/>
        <w:jc w:val="both"/>
        <w:rPr>
          <w:rFonts w:ascii="Verdana" w:hAnsi="Verdana" w:cs="Arial"/>
          <w:sz w:val="20"/>
          <w:szCs w:val="20"/>
        </w:rPr>
      </w:pPr>
    </w:p>
    <w:p w14:paraId="4D6ED045" w14:textId="1FE52C37" w:rsidR="00D4539B" w:rsidRPr="004B163E" w:rsidRDefault="00D4539B" w:rsidP="00D4539B">
      <w:pPr>
        <w:pStyle w:val="NormalWeb"/>
        <w:shd w:val="clear" w:color="auto" w:fill="FFFFFF"/>
        <w:spacing w:before="0" w:beforeAutospacing="0" w:after="120" w:afterAutospacing="0" w:line="276" w:lineRule="auto"/>
        <w:jc w:val="both"/>
        <w:rPr>
          <w:rFonts w:ascii="Verdana" w:hAnsi="Verdana" w:cs="Arial"/>
          <w:sz w:val="20"/>
          <w:szCs w:val="20"/>
        </w:rPr>
      </w:pPr>
      <w:r w:rsidRPr="004B163E">
        <w:rPr>
          <w:rFonts w:ascii="Verdana" w:hAnsi="Verdana" w:cs="Arial"/>
          <w:sz w:val="20"/>
          <w:szCs w:val="20"/>
        </w:rPr>
        <w:t xml:space="preserve">para ser beneficiarios del puntaje adicional obligatorio establecido en el literal b) del artículo 2.20.1.2.1. del Decreto 1071 de 2025 adicionado por el  Decreto 248 de 2021,  «proveedor directo», puede ser una persona jurídica, siempre y cuando, sea de aquellas </w:t>
      </w:r>
      <w:r w:rsidRPr="004B163E">
        <w:rPr>
          <w:rFonts w:ascii="Verdana" w:hAnsi="Verdana" w:cs="Arial"/>
          <w:sz w:val="20"/>
          <w:szCs w:val="20"/>
        </w:rPr>
        <w:lastRenderedPageBreak/>
        <w:t>organizaciones de pequeños productores y/o productores de la Agricultura Campesina, Familiar Comunitaria, pues el articulado en mención utilizó los conectores «y/o», contemplando las organizaciones que se originen de estos, con el fin claro de contemplar las diferentes formas de organizativas y de conformación plural en la que se pueden presentar los diferentes oferentes en los mencionados procesos de contratación en los que requieran productos de origen agropecuario para atender la demanda de los programas institucionales de servicios de alimentación, siempre y cuando, cumplan con los requisitos para la acreditación de dicha calidad previamente enunciadas.</w:t>
      </w:r>
    </w:p>
    <w:p w14:paraId="244D283B" w14:textId="77777777" w:rsidR="00D4539B" w:rsidRDefault="00D4539B" w:rsidP="0045752B">
      <w:pPr>
        <w:rPr>
          <w:rFonts w:ascii="Verdana" w:eastAsia="Times New Roman" w:hAnsi="Verdana" w:cs="Arial"/>
          <w:lang w:eastAsia="es-ES_tradnl"/>
        </w:rPr>
      </w:pPr>
    </w:p>
    <w:p w14:paraId="3B3B771D" w14:textId="77777777" w:rsidR="00D4539B" w:rsidRDefault="00D4539B" w:rsidP="0045752B">
      <w:pPr>
        <w:rPr>
          <w:rFonts w:ascii="Verdana" w:eastAsia="Times New Roman" w:hAnsi="Verdana" w:cs="Arial"/>
          <w:lang w:eastAsia="es-ES_tradnl"/>
        </w:rPr>
      </w:pPr>
    </w:p>
    <w:p w14:paraId="4D716212" w14:textId="77777777" w:rsidR="00D4539B" w:rsidRDefault="00D4539B" w:rsidP="0045752B">
      <w:pPr>
        <w:rPr>
          <w:rFonts w:ascii="Verdana" w:eastAsia="Times New Roman" w:hAnsi="Verdana" w:cs="Arial"/>
          <w:lang w:eastAsia="es-ES_tradnl"/>
        </w:rPr>
      </w:pPr>
    </w:p>
    <w:p w14:paraId="6153589D" w14:textId="77777777" w:rsidR="00D4539B" w:rsidRDefault="00D4539B" w:rsidP="0045752B">
      <w:pPr>
        <w:rPr>
          <w:rFonts w:ascii="Verdana" w:eastAsia="Times New Roman" w:hAnsi="Verdana" w:cs="Arial"/>
          <w:lang w:eastAsia="es-ES_tradnl"/>
        </w:rPr>
      </w:pPr>
    </w:p>
    <w:p w14:paraId="7AA83D0A" w14:textId="77777777" w:rsidR="00D4539B" w:rsidRDefault="00D4539B" w:rsidP="0045752B">
      <w:pPr>
        <w:rPr>
          <w:rFonts w:ascii="Verdana" w:eastAsia="Times New Roman" w:hAnsi="Verdana" w:cs="Arial"/>
          <w:lang w:eastAsia="es-ES_tradnl"/>
        </w:rPr>
      </w:pPr>
    </w:p>
    <w:p w14:paraId="1CCDA718" w14:textId="77777777" w:rsidR="00D4539B" w:rsidRDefault="00D4539B" w:rsidP="0045752B">
      <w:pPr>
        <w:rPr>
          <w:rFonts w:ascii="Verdana" w:eastAsia="Times New Roman" w:hAnsi="Verdana" w:cs="Arial"/>
          <w:lang w:eastAsia="es-ES_tradnl"/>
        </w:rPr>
      </w:pPr>
    </w:p>
    <w:p w14:paraId="6904C890" w14:textId="77777777" w:rsidR="00D4539B" w:rsidRDefault="00D4539B" w:rsidP="0045752B">
      <w:pPr>
        <w:rPr>
          <w:rFonts w:ascii="Verdana" w:eastAsia="Times New Roman" w:hAnsi="Verdana" w:cs="Arial"/>
          <w:lang w:eastAsia="es-ES_tradnl"/>
        </w:rPr>
      </w:pPr>
    </w:p>
    <w:p w14:paraId="4A51254F" w14:textId="77777777" w:rsidR="00D4539B" w:rsidRDefault="00D4539B" w:rsidP="0045752B">
      <w:pPr>
        <w:rPr>
          <w:rFonts w:ascii="Verdana" w:eastAsia="Times New Roman" w:hAnsi="Verdana" w:cs="Arial"/>
          <w:lang w:eastAsia="es-ES_tradnl"/>
        </w:rPr>
      </w:pPr>
    </w:p>
    <w:p w14:paraId="19DBB9E4" w14:textId="77777777" w:rsidR="00D4539B" w:rsidRDefault="00D4539B" w:rsidP="0045752B">
      <w:pPr>
        <w:rPr>
          <w:rFonts w:ascii="Verdana" w:eastAsia="Times New Roman" w:hAnsi="Verdana" w:cs="Arial"/>
          <w:lang w:eastAsia="es-ES_tradnl"/>
        </w:rPr>
      </w:pPr>
    </w:p>
    <w:p w14:paraId="12671E14" w14:textId="77777777" w:rsidR="00D4539B" w:rsidRDefault="00D4539B" w:rsidP="0045752B">
      <w:pPr>
        <w:rPr>
          <w:rFonts w:ascii="Verdana" w:eastAsia="Times New Roman" w:hAnsi="Verdana" w:cs="Arial"/>
          <w:lang w:eastAsia="es-ES_tradnl"/>
        </w:rPr>
      </w:pPr>
    </w:p>
    <w:p w14:paraId="45B30028" w14:textId="77777777" w:rsidR="00D4539B" w:rsidRDefault="00D4539B" w:rsidP="0045752B">
      <w:pPr>
        <w:rPr>
          <w:rFonts w:ascii="Verdana" w:eastAsia="Times New Roman" w:hAnsi="Verdana" w:cs="Arial"/>
          <w:lang w:eastAsia="es-ES_tradnl"/>
        </w:rPr>
      </w:pPr>
    </w:p>
    <w:p w14:paraId="697A7C6E" w14:textId="77777777" w:rsidR="00D4539B" w:rsidRDefault="00D4539B" w:rsidP="0045752B">
      <w:pPr>
        <w:rPr>
          <w:rFonts w:ascii="Verdana" w:eastAsia="Times New Roman" w:hAnsi="Verdana" w:cs="Arial"/>
          <w:lang w:eastAsia="es-ES_tradnl"/>
        </w:rPr>
      </w:pPr>
    </w:p>
    <w:p w14:paraId="1727ED99" w14:textId="77777777" w:rsidR="00D4539B" w:rsidRDefault="00D4539B" w:rsidP="0045752B">
      <w:pPr>
        <w:rPr>
          <w:rFonts w:ascii="Verdana" w:eastAsia="Times New Roman" w:hAnsi="Verdana" w:cs="Arial"/>
          <w:lang w:eastAsia="es-ES_tradnl"/>
        </w:rPr>
      </w:pPr>
    </w:p>
    <w:p w14:paraId="3D49B6D6" w14:textId="77777777" w:rsidR="00D4539B" w:rsidRDefault="00D4539B" w:rsidP="0045752B">
      <w:pPr>
        <w:rPr>
          <w:rFonts w:ascii="Verdana" w:eastAsia="Times New Roman" w:hAnsi="Verdana" w:cs="Arial"/>
          <w:lang w:eastAsia="es-ES_tradnl"/>
        </w:rPr>
      </w:pPr>
    </w:p>
    <w:p w14:paraId="78583906" w14:textId="77777777" w:rsidR="00D4539B" w:rsidRDefault="00D4539B" w:rsidP="0045752B">
      <w:pPr>
        <w:rPr>
          <w:rFonts w:ascii="Verdana" w:eastAsia="Times New Roman" w:hAnsi="Verdana" w:cs="Arial"/>
          <w:lang w:eastAsia="es-ES_tradnl"/>
        </w:rPr>
      </w:pPr>
    </w:p>
    <w:p w14:paraId="24865D48" w14:textId="77777777" w:rsidR="00D4539B" w:rsidRDefault="00D4539B" w:rsidP="0045752B">
      <w:pPr>
        <w:rPr>
          <w:rFonts w:ascii="Verdana" w:eastAsia="Times New Roman" w:hAnsi="Verdana" w:cs="Arial"/>
          <w:lang w:eastAsia="es-ES_tradnl"/>
        </w:rPr>
      </w:pPr>
    </w:p>
    <w:p w14:paraId="37A4CA00" w14:textId="77777777" w:rsidR="00D4539B" w:rsidRDefault="00D4539B" w:rsidP="0045752B">
      <w:pPr>
        <w:rPr>
          <w:rFonts w:ascii="Verdana" w:eastAsia="Times New Roman" w:hAnsi="Verdana" w:cs="Arial"/>
          <w:lang w:eastAsia="es-ES_tradnl"/>
        </w:rPr>
      </w:pPr>
    </w:p>
    <w:p w14:paraId="64EECBA8" w14:textId="77777777" w:rsidR="00D4539B" w:rsidRDefault="00D4539B" w:rsidP="0045752B">
      <w:pPr>
        <w:rPr>
          <w:rFonts w:ascii="Verdana" w:eastAsia="Times New Roman" w:hAnsi="Verdana" w:cs="Arial"/>
          <w:lang w:eastAsia="es-ES_tradnl"/>
        </w:rPr>
      </w:pPr>
    </w:p>
    <w:p w14:paraId="209E7450" w14:textId="77777777" w:rsidR="004B163E" w:rsidRDefault="004B163E" w:rsidP="0045752B">
      <w:pPr>
        <w:rPr>
          <w:rFonts w:ascii="Verdana" w:eastAsia="Times New Roman" w:hAnsi="Verdana" w:cs="Arial"/>
          <w:lang w:eastAsia="es-ES_tradnl"/>
        </w:rPr>
      </w:pPr>
    </w:p>
    <w:p w14:paraId="2C37A689" w14:textId="0669B702" w:rsidR="0045752B" w:rsidRPr="006F44C3" w:rsidRDefault="0045752B" w:rsidP="0045752B">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FC1999">
        <w:rPr>
          <w:rFonts w:ascii="Verdana" w:eastAsia="Times New Roman" w:hAnsi="Verdana" w:cs="Arial"/>
          <w:lang w:eastAsia="es-ES_tradnl"/>
        </w:rPr>
        <w:t>19 de diciembre de 2025</w:t>
      </w:r>
      <w:r w:rsidRPr="00093B55">
        <w:rPr>
          <w:rFonts w:ascii="Verdana" w:eastAsia="Times New Roman" w:hAnsi="Verdana" w:cs="Arial"/>
          <w:lang w:eastAsia="es-ES_tradnl"/>
        </w:rPr>
        <w:t> </w:t>
      </w:r>
    </w:p>
    <w:p w14:paraId="6DFC9D53" w14:textId="77777777" w:rsidR="0045752B" w:rsidRDefault="0045752B" w:rsidP="0045752B">
      <w:pPr>
        <w:spacing w:after="0" w:line="240" w:lineRule="auto"/>
        <w:rPr>
          <w:rFonts w:ascii="Verdana" w:hAnsi="Verdana"/>
        </w:rPr>
      </w:pPr>
    </w:p>
    <w:p w14:paraId="0DB03140" w14:textId="77777777" w:rsidR="00907760" w:rsidRPr="0044528D" w:rsidRDefault="00907760" w:rsidP="0045752B">
      <w:pPr>
        <w:spacing w:after="0" w:line="240" w:lineRule="auto"/>
        <w:rPr>
          <w:rFonts w:ascii="Verdana" w:hAnsi="Verdana"/>
        </w:rPr>
      </w:pPr>
    </w:p>
    <w:p w14:paraId="57594739" w14:textId="1BAEFD22" w:rsidR="009C78F0" w:rsidRPr="00FE5A24" w:rsidRDefault="00EA6B24" w:rsidP="009C78F0">
      <w:pPr>
        <w:spacing w:after="0" w:line="240" w:lineRule="auto"/>
        <w:jc w:val="both"/>
        <w:rPr>
          <w:rFonts w:ascii="Verdana" w:eastAsia="Calibri" w:hAnsi="Verdana" w:cs="Arial"/>
          <w:color w:val="000000" w:themeColor="text1"/>
          <w:lang w:val="es-ES" w:eastAsia="es-ES"/>
        </w:rPr>
      </w:pPr>
      <w:r w:rsidRPr="00EA6B24">
        <w:rPr>
          <w:rFonts w:ascii="Verdana" w:eastAsia="Calibri" w:hAnsi="Verdana" w:cs="Arial"/>
          <w:noProof/>
          <w:color w:val="000000" w:themeColor="text1"/>
          <w:lang w:val="es-ES" w:eastAsia="es-ES"/>
        </w:rPr>
        <w:drawing>
          <wp:anchor distT="0" distB="0" distL="114300" distR="114300" simplePos="0" relativeHeight="251658240" behindDoc="1" locked="0" layoutInCell="1" allowOverlap="1" wp14:anchorId="1F57692D" wp14:editId="15F5710A">
            <wp:simplePos x="0" y="0"/>
            <wp:positionH relativeFrom="column">
              <wp:posOffset>2722245</wp:posOffset>
            </wp:positionH>
            <wp:positionV relativeFrom="paragraph">
              <wp:posOffset>24765</wp:posOffset>
            </wp:positionV>
            <wp:extent cx="3030949" cy="868680"/>
            <wp:effectExtent l="0" t="0" r="0" b="7620"/>
            <wp:wrapNone/>
            <wp:docPr id="92308020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080206" name="Imagen 1" descr="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38375" cy="870808"/>
                    </a:xfrm>
                    <a:prstGeom prst="rect">
                      <a:avLst/>
                    </a:prstGeom>
                  </pic:spPr>
                </pic:pic>
              </a:graphicData>
            </a:graphic>
            <wp14:sizeRelH relativeFrom="margin">
              <wp14:pctWidth>0</wp14:pctWidth>
            </wp14:sizeRelH>
            <wp14:sizeRelV relativeFrom="margin">
              <wp14:pctHeight>0</wp14:pctHeight>
            </wp14:sizeRelV>
          </wp:anchor>
        </w:drawing>
      </w:r>
      <w:r w:rsidR="009C78F0" w:rsidRPr="00FE5A24">
        <w:rPr>
          <w:rFonts w:ascii="Verdana" w:eastAsia="Calibri" w:hAnsi="Verdana" w:cs="Arial"/>
          <w:color w:val="000000" w:themeColor="text1"/>
          <w:lang w:val="es-ES" w:eastAsia="es-ES"/>
        </w:rPr>
        <w:t>Señor</w:t>
      </w:r>
      <w:r w:rsidR="009C78F0">
        <w:rPr>
          <w:rFonts w:ascii="Verdana" w:eastAsia="Calibri" w:hAnsi="Verdana" w:cs="Arial"/>
          <w:color w:val="000000" w:themeColor="text1"/>
          <w:lang w:val="es-ES" w:eastAsia="es-ES"/>
        </w:rPr>
        <w:t>a</w:t>
      </w:r>
    </w:p>
    <w:p w14:paraId="170E3A30" w14:textId="12CDED09" w:rsidR="009C78F0" w:rsidRDefault="009C78F0" w:rsidP="009C78F0">
      <w:pPr>
        <w:spacing w:after="0" w:line="240" w:lineRule="auto"/>
        <w:rPr>
          <w:rFonts w:ascii="Verdana" w:eastAsia="Calibri" w:hAnsi="Verdana" w:cs="Arial"/>
          <w:b/>
          <w:bCs/>
          <w:color w:val="000000" w:themeColor="text1"/>
          <w:lang w:eastAsia="es-ES_tradnl"/>
        </w:rPr>
      </w:pPr>
      <w:r w:rsidRPr="0044746F">
        <w:rPr>
          <w:rFonts w:ascii="Verdana" w:eastAsia="Calibri" w:hAnsi="Verdana" w:cs="Arial"/>
          <w:b/>
          <w:bCs/>
          <w:color w:val="000000" w:themeColor="text1"/>
          <w:lang w:eastAsia="es-ES_tradnl"/>
        </w:rPr>
        <w:t>Daniela Castañeda Giraldo</w:t>
      </w:r>
    </w:p>
    <w:p w14:paraId="17DB0D2B" w14:textId="28C4D5E2" w:rsidR="009C78F0" w:rsidRPr="00F67FC3" w:rsidRDefault="009C78F0" w:rsidP="009C78F0">
      <w:pPr>
        <w:spacing w:after="0" w:line="240" w:lineRule="auto"/>
        <w:rPr>
          <w:rFonts w:ascii="Verdana" w:eastAsia="Calibri" w:hAnsi="Verdana" w:cs="Arial"/>
          <w:bCs/>
          <w:color w:val="000000" w:themeColor="text1"/>
          <w:lang w:eastAsia="es-ES_tradnl"/>
        </w:rPr>
      </w:pPr>
      <w:hyperlink r:id="rId11" w:history="1">
        <w:r w:rsidRPr="00D83F2C">
          <w:rPr>
            <w:rStyle w:val="Hipervnculo"/>
            <w:rFonts w:ascii="Verdana" w:eastAsia="Calibri" w:hAnsi="Verdana" w:cs="Arial"/>
            <w:bCs/>
            <w:lang w:eastAsia="es-ES_tradnl"/>
          </w:rPr>
          <w:t>danielagiraldo95@hotmail.com</w:t>
        </w:r>
      </w:hyperlink>
    </w:p>
    <w:p w14:paraId="4994FA45" w14:textId="5952EC6C" w:rsidR="009C78F0" w:rsidRPr="004247BF" w:rsidRDefault="009C78F0" w:rsidP="009C78F0">
      <w:pPr>
        <w:spacing w:after="0" w:line="240" w:lineRule="auto"/>
        <w:rPr>
          <w:rFonts w:ascii="Verdana" w:eastAsia="Calibri" w:hAnsi="Verdana" w:cs="Arial"/>
          <w:bCs/>
          <w:color w:val="000000" w:themeColor="text1"/>
          <w:lang w:val="it-IT" w:eastAsia="es-ES_tradnl"/>
        </w:rPr>
      </w:pPr>
      <w:r>
        <w:rPr>
          <w:rFonts w:ascii="Verdana" w:eastAsia="Calibri" w:hAnsi="Verdana" w:cs="Arial"/>
          <w:color w:val="000000" w:themeColor="text1"/>
          <w:lang w:val="it-IT" w:eastAsia="es-ES"/>
        </w:rPr>
        <w:t>La Cumbre</w:t>
      </w:r>
      <w:r w:rsidRPr="004247BF">
        <w:rPr>
          <w:rFonts w:ascii="Verdana" w:eastAsia="Calibri" w:hAnsi="Verdana" w:cs="Arial"/>
          <w:color w:val="000000" w:themeColor="text1"/>
          <w:lang w:val="it-IT" w:eastAsia="es-ES"/>
        </w:rPr>
        <w:t>, Valle del Cauca</w:t>
      </w:r>
    </w:p>
    <w:p w14:paraId="73520620" w14:textId="47315137" w:rsidR="009C78F0" w:rsidRPr="004247BF" w:rsidRDefault="009C78F0" w:rsidP="009C78F0">
      <w:pPr>
        <w:spacing w:after="0" w:line="240" w:lineRule="auto"/>
        <w:rPr>
          <w:rFonts w:ascii="Verdana" w:eastAsia="Calibri" w:hAnsi="Verdana" w:cs="Arial"/>
          <w:b/>
          <w:bCs/>
          <w:color w:val="000000" w:themeColor="text1"/>
          <w:lang w:val="it-IT" w:eastAsia="es-ES_tradnl"/>
        </w:rPr>
      </w:pPr>
    </w:p>
    <w:p w14:paraId="2CC1EA65" w14:textId="1833F0F1" w:rsidR="009C78F0" w:rsidRPr="004247BF" w:rsidRDefault="009C78F0" w:rsidP="009C78F0">
      <w:pPr>
        <w:spacing w:after="0" w:line="240" w:lineRule="auto"/>
        <w:rPr>
          <w:rFonts w:ascii="Verdana" w:eastAsia="Calibri" w:hAnsi="Verdana" w:cs="Arial"/>
          <w:b/>
          <w:bCs/>
          <w:color w:val="000000" w:themeColor="text1"/>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C78F0" w:rsidRPr="00FE5A24" w14:paraId="6894930A" w14:textId="77777777" w:rsidTr="00627E18">
        <w:trPr>
          <w:trHeight w:val="304"/>
        </w:trPr>
        <w:tc>
          <w:tcPr>
            <w:tcW w:w="2689" w:type="dxa"/>
          </w:tcPr>
          <w:p w14:paraId="2649E668" w14:textId="77777777" w:rsidR="009C78F0" w:rsidRPr="004247BF" w:rsidRDefault="009C78F0" w:rsidP="00627E18">
            <w:pPr>
              <w:jc w:val="both"/>
              <w:rPr>
                <w:rFonts w:ascii="Verdana" w:eastAsia="Calibri" w:hAnsi="Verdana" w:cs="Arial"/>
                <w:b/>
                <w:bCs/>
                <w:color w:val="000000" w:themeColor="text1"/>
                <w:lang w:val="it-IT" w:eastAsia="es-ES_tradnl"/>
              </w:rPr>
            </w:pPr>
          </w:p>
        </w:tc>
        <w:tc>
          <w:tcPr>
            <w:tcW w:w="6100" w:type="dxa"/>
          </w:tcPr>
          <w:p w14:paraId="7C18E2B8" w14:textId="58A95571" w:rsidR="009C78F0" w:rsidRDefault="009C78F0" w:rsidP="00627E18">
            <w:pPr>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sidR="006106F3">
              <w:rPr>
                <w:rFonts w:ascii="Verdana" w:eastAsia="Calibri" w:hAnsi="Verdana" w:cs="Arial"/>
                <w:b/>
                <w:bCs/>
                <w:color w:val="000000" w:themeColor="text1"/>
                <w:lang w:val="es-ES" w:eastAsia="es-ES"/>
              </w:rPr>
              <w:t>1657</w:t>
            </w:r>
            <w:r w:rsidRPr="00FE5A24">
              <w:rPr>
                <w:rFonts w:ascii="Verdana" w:eastAsia="Calibri" w:hAnsi="Verdana" w:cs="Arial"/>
                <w:b/>
                <w:bCs/>
                <w:color w:val="000000" w:themeColor="text1"/>
                <w:lang w:val="es-ES" w:eastAsia="es-ES"/>
              </w:rPr>
              <w:t xml:space="preserve"> de 2025</w:t>
            </w:r>
          </w:p>
          <w:p w14:paraId="61BE9CDC" w14:textId="77777777" w:rsidR="009C78F0" w:rsidRPr="00FE5A24" w:rsidRDefault="009C78F0" w:rsidP="00627E18">
            <w:pPr>
              <w:jc w:val="both"/>
              <w:rPr>
                <w:rFonts w:ascii="Verdana" w:eastAsia="Calibri" w:hAnsi="Verdana" w:cs="Arial"/>
                <w:b/>
                <w:bCs/>
                <w:color w:val="000000" w:themeColor="text1"/>
                <w:lang w:val="es-ES" w:eastAsia="es-ES"/>
              </w:rPr>
            </w:pPr>
          </w:p>
        </w:tc>
      </w:tr>
      <w:tr w:rsidR="009C78F0" w:rsidRPr="00FE5A24" w14:paraId="7C775CB0" w14:textId="77777777" w:rsidTr="00627E18">
        <w:trPr>
          <w:trHeight w:val="884"/>
        </w:trPr>
        <w:tc>
          <w:tcPr>
            <w:tcW w:w="2689" w:type="dxa"/>
          </w:tcPr>
          <w:p w14:paraId="26D9CEC9" w14:textId="77777777" w:rsidR="009C78F0" w:rsidRPr="00FE5A24" w:rsidRDefault="009C78F0" w:rsidP="00627E18">
            <w:pPr>
              <w:jc w:val="both"/>
              <w:rPr>
                <w:rFonts w:ascii="Verdana" w:eastAsia="Calibri" w:hAnsi="Verdana" w:cs="Arial"/>
                <w:color w:val="000000" w:themeColor="text1"/>
                <w:lang w:val="es-ES_tradnl" w:eastAsia="es-ES_tradnl"/>
              </w:rPr>
            </w:pPr>
            <w:r>
              <w:rPr>
                <w:rFonts w:ascii="Verdana" w:eastAsia="Calibri" w:hAnsi="Verdana" w:cs="Arial"/>
                <w:b/>
                <w:color w:val="000000" w:themeColor="text1"/>
                <w:lang w:val="es-ES_tradnl" w:eastAsia="es-ES_tradnl"/>
              </w:rPr>
              <w:t>T</w:t>
            </w:r>
            <w:r w:rsidRPr="00FE5A24">
              <w:rPr>
                <w:rFonts w:ascii="Verdana" w:eastAsia="Calibri" w:hAnsi="Verdana" w:cs="Arial"/>
                <w:b/>
                <w:color w:val="000000" w:themeColor="text1"/>
                <w:lang w:val="es-ES_tradnl" w:eastAsia="es-ES_tradnl"/>
              </w:rPr>
              <w:t>emas:</w:t>
            </w:r>
            <w:r w:rsidRPr="00FE5A24">
              <w:rPr>
                <w:rFonts w:ascii="Verdana" w:eastAsia="Calibri" w:hAnsi="Verdana" w:cs="Arial"/>
                <w:color w:val="000000" w:themeColor="text1"/>
                <w:lang w:val="es-ES_tradnl" w:eastAsia="es-ES_tradnl"/>
              </w:rPr>
              <w:t xml:space="preserve">                   </w:t>
            </w:r>
          </w:p>
        </w:tc>
        <w:tc>
          <w:tcPr>
            <w:tcW w:w="6100" w:type="dxa"/>
          </w:tcPr>
          <w:p w14:paraId="0CDEBAEE" w14:textId="42660650" w:rsidR="009C78F0" w:rsidRDefault="00085EB0" w:rsidP="00627E18">
            <w:pPr>
              <w:jc w:val="both"/>
              <w:rPr>
                <w:rFonts w:ascii="Verdana" w:eastAsia="Calibri" w:hAnsi="Verdana" w:cs="Arial"/>
                <w:lang w:val="es-ES_tradnl" w:eastAsia="es-ES"/>
              </w:rPr>
            </w:pPr>
            <w:r w:rsidRPr="00085EB0">
              <w:rPr>
                <w:rFonts w:ascii="Verdana" w:eastAsia="Calibri" w:hAnsi="Verdana" w:cs="Arial"/>
                <w:lang w:eastAsia="es-ES"/>
              </w:rPr>
              <w:t>LEY 1955 DE 2019 – Artículo 229 – Finalidad / LEY 2046 DE 2020 – Finalidad – Ámbito de aplicación - Compra pública de alimentos / DECRETO 248 DE 2021 – Incentivos – Articulo 2.20.1.2.1. – Literal b)- Proveedor Directo – Proponente Plural - Acreditación</w:t>
            </w:r>
            <w:r w:rsidR="009C78F0">
              <w:rPr>
                <w:rFonts w:ascii="Verdana" w:eastAsia="Calibri" w:hAnsi="Verdana" w:cs="Arial"/>
                <w:lang w:val="es-ES_tradnl" w:eastAsia="es-ES"/>
              </w:rPr>
              <w:t>.</w:t>
            </w:r>
          </w:p>
          <w:p w14:paraId="57B601FE" w14:textId="77777777" w:rsidR="009C78F0" w:rsidRPr="002A1163" w:rsidRDefault="009C78F0" w:rsidP="00627E18">
            <w:pPr>
              <w:jc w:val="both"/>
              <w:rPr>
                <w:rFonts w:ascii="Verdana" w:eastAsia="Calibri" w:hAnsi="Verdana" w:cs="Arial"/>
                <w:color w:val="000000" w:themeColor="text1"/>
                <w:lang w:val="es-ES" w:eastAsia="es-ES"/>
              </w:rPr>
            </w:pPr>
          </w:p>
        </w:tc>
      </w:tr>
      <w:tr w:rsidR="009C78F0" w:rsidRPr="00FE5A24" w14:paraId="22D7414F" w14:textId="77777777" w:rsidTr="00627E18">
        <w:tc>
          <w:tcPr>
            <w:tcW w:w="2689" w:type="dxa"/>
          </w:tcPr>
          <w:p w14:paraId="0A2BCFF7" w14:textId="77777777" w:rsidR="009C78F0" w:rsidRPr="00FE5A24" w:rsidRDefault="009C78F0" w:rsidP="00627E18">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4DD5EC4E" w14:textId="41B69EC3" w:rsidR="009C78F0" w:rsidRPr="00FE5A24" w:rsidRDefault="009C78F0" w:rsidP="00627E18">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6236E4">
              <w:rPr>
                <w:rFonts w:ascii="Verdana" w:eastAsia="Calibri" w:hAnsi="Verdana" w:cs="Arial"/>
                <w:color w:val="000000" w:themeColor="text1"/>
                <w:lang w:val="es-ES_tradnl" w:eastAsia="es-ES_tradnl"/>
              </w:rPr>
              <w:t>1_2025_11_10_012667</w:t>
            </w:r>
          </w:p>
        </w:tc>
      </w:tr>
    </w:tbl>
    <w:p w14:paraId="36F1266D" w14:textId="77777777" w:rsidR="009C78F0" w:rsidRPr="00FE5A24" w:rsidRDefault="009C78F0" w:rsidP="009C78F0">
      <w:pPr>
        <w:spacing w:after="0" w:line="276" w:lineRule="auto"/>
        <w:jc w:val="both"/>
        <w:rPr>
          <w:rFonts w:ascii="Verdana" w:eastAsia="Calibri" w:hAnsi="Verdana" w:cs="Arial"/>
          <w:color w:val="000000" w:themeColor="text1"/>
          <w:lang w:val="es-ES_tradnl" w:eastAsia="es-ES_tradnl"/>
        </w:rPr>
      </w:pPr>
    </w:p>
    <w:p w14:paraId="5C5BFC50" w14:textId="77777777" w:rsidR="009C78F0" w:rsidRPr="00FE5A24" w:rsidRDefault="009C78F0" w:rsidP="009C78F0">
      <w:pPr>
        <w:spacing w:after="0" w:line="276" w:lineRule="auto"/>
        <w:jc w:val="both"/>
        <w:rPr>
          <w:rFonts w:ascii="Verdana" w:eastAsia="Calibri" w:hAnsi="Verdana" w:cs="Arial"/>
          <w:color w:val="000000" w:themeColor="text1"/>
          <w:lang w:val="es-ES_tradnl" w:eastAsia="es-ES_tradnl"/>
        </w:rPr>
      </w:pPr>
    </w:p>
    <w:p w14:paraId="4FEB654C" w14:textId="17A753B5" w:rsidR="009C78F0" w:rsidRPr="00FE5A24" w:rsidRDefault="009C78F0" w:rsidP="009C78F0">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Estimad</w:t>
      </w:r>
      <w:r w:rsidR="003F40B9">
        <w:rPr>
          <w:rFonts w:ascii="Verdana" w:eastAsia="Calibri" w:hAnsi="Verdana" w:cs="Arial"/>
          <w:color w:val="000000" w:themeColor="text1"/>
          <w:lang w:val="es-ES" w:eastAsia="es-ES"/>
        </w:rPr>
        <w:t>a</w:t>
      </w:r>
      <w:r w:rsidRPr="00FE5A24">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FE5A2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Castañeda</w:t>
      </w:r>
      <w:r w:rsidRPr="00FE5A24">
        <w:rPr>
          <w:rFonts w:ascii="Verdana" w:eastAsia="Calibri" w:hAnsi="Verdana" w:cs="Arial"/>
          <w:color w:val="000000" w:themeColor="text1"/>
          <w:lang w:val="es-ES" w:eastAsia="es-ES"/>
        </w:rPr>
        <w:t xml:space="preserve">: </w:t>
      </w:r>
    </w:p>
    <w:p w14:paraId="149A0574" w14:textId="77777777" w:rsidR="009C78F0" w:rsidRPr="00FE5A24" w:rsidRDefault="009C78F0" w:rsidP="009C78F0">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73CFFBBE" w14:textId="77777777" w:rsidR="009C78F0" w:rsidRPr="00FE5A24" w:rsidRDefault="009C78F0" w:rsidP="009C78F0">
      <w:pPr>
        <w:spacing w:after="0" w:line="276" w:lineRule="auto"/>
        <w:jc w:val="both"/>
        <w:rPr>
          <w:rFonts w:ascii="Verdana" w:eastAsia="Calibri" w:hAnsi="Verdana" w:cs="Arial"/>
          <w:color w:val="000000" w:themeColor="text1"/>
          <w:lang w:val="es-ES" w:eastAsia="es-ES"/>
        </w:rPr>
      </w:pPr>
      <w:r w:rsidRPr="00F37F48">
        <w:rPr>
          <w:rFonts w:ascii="Verdana" w:eastAsia="Calibri" w:hAnsi="Verdana" w:cs="Arial"/>
          <w:color w:val="000000" w:themeColor="text1"/>
          <w:lang w:eastAsia="es-ES"/>
        </w:rPr>
        <w:t>En ejercicio de la competencia otorgada por los artículos 3, numeral 5º, y 11, numeral 8º, del Decreto Ley 4170 de 2011,</w:t>
      </w:r>
      <w:r w:rsidRPr="00F37F48">
        <w:rPr>
          <w:rFonts w:ascii="Verdana" w:eastAsia="Arial MT" w:hAnsi="Verdana" w:cs="Arial MT"/>
          <w:lang w:eastAsia="es-ES"/>
        </w:rPr>
        <w:t xml:space="preserve"> </w:t>
      </w:r>
      <w:r w:rsidRPr="00F37F48">
        <w:rPr>
          <w:rFonts w:ascii="Verdana" w:hAnsi="Verdana" w:cs="Arial"/>
        </w:rPr>
        <w:t xml:space="preserve">así como lo establecido en el artículo 4 de la Resolución 469 de 2025 expedida por esta Entidad, </w:t>
      </w:r>
      <w:r w:rsidRPr="00F37F48">
        <w:rPr>
          <w:rFonts w:ascii="Verdana" w:eastAsia="Calibri" w:hAnsi="Verdana" w:cs="Arial"/>
          <w:color w:val="000000" w:themeColor="text1"/>
          <w:lang w:eastAsia="es-ES"/>
        </w:rPr>
        <w:t xml:space="preserve">la Agencia Nacional de Contratación Pública – Colombia Compra Eficiente responde su solicitud de concepto del </w:t>
      </w:r>
      <w:r>
        <w:rPr>
          <w:rFonts w:ascii="Verdana" w:eastAsia="Calibri" w:hAnsi="Verdana" w:cs="Arial"/>
          <w:color w:val="000000" w:themeColor="text1"/>
          <w:lang w:eastAsia="es-ES"/>
        </w:rPr>
        <w:t xml:space="preserve">10 de noviembre </w:t>
      </w:r>
      <w:r w:rsidRPr="00F37F48">
        <w:rPr>
          <w:rFonts w:ascii="Verdana" w:eastAsia="Calibri" w:hAnsi="Verdana" w:cs="Arial"/>
          <w:color w:val="000000" w:themeColor="text1"/>
          <w:lang w:eastAsia="es-ES"/>
        </w:rPr>
        <w:t>de 2025,</w:t>
      </w:r>
      <w:r w:rsidRPr="00F37F48">
        <w:rPr>
          <w:rFonts w:ascii="Verdana" w:eastAsia="Calibri" w:hAnsi="Verdana" w:cs="Arial"/>
          <w:lang w:eastAsia="es-ES"/>
        </w:rPr>
        <w:t xml:space="preserve"> en la cual consulta sobre lo siguiente</w:t>
      </w:r>
      <w:r w:rsidRPr="00FE5A24">
        <w:rPr>
          <w:rFonts w:ascii="Verdana" w:hAnsi="Verdana" w:cs="Arial"/>
          <w:color w:val="000000" w:themeColor="text1"/>
        </w:rPr>
        <w:t>:</w:t>
      </w:r>
      <w:r w:rsidRPr="00FE5A24">
        <w:rPr>
          <w:rFonts w:ascii="Verdana" w:eastAsia="Calibri" w:hAnsi="Verdana" w:cs="Arial"/>
          <w:color w:val="000000" w:themeColor="text1"/>
          <w:lang w:val="es-ES" w:eastAsia="es-ES"/>
        </w:rPr>
        <w:t xml:space="preserve"> </w:t>
      </w:r>
    </w:p>
    <w:p w14:paraId="0CF9A89B" w14:textId="77777777" w:rsidR="009C78F0" w:rsidRPr="00FE5A24" w:rsidRDefault="009C78F0" w:rsidP="009C78F0">
      <w:pPr>
        <w:spacing w:after="0" w:line="276" w:lineRule="auto"/>
        <w:jc w:val="both"/>
        <w:rPr>
          <w:rFonts w:ascii="Verdana" w:eastAsia="Calibri" w:hAnsi="Verdana" w:cs="Arial"/>
          <w:color w:val="000000" w:themeColor="text1"/>
          <w:lang w:val="es-ES" w:eastAsia="es-ES"/>
        </w:rPr>
      </w:pPr>
    </w:p>
    <w:p w14:paraId="60C5EA18" w14:textId="77777777" w:rsidR="009C78F0" w:rsidRPr="00924ADC" w:rsidRDefault="009C78F0" w:rsidP="009C78F0">
      <w:pPr>
        <w:spacing w:after="0"/>
        <w:ind w:left="709" w:right="709"/>
        <w:jc w:val="both"/>
        <w:rPr>
          <w:rFonts w:ascii="Verdana" w:eastAsia="Century Gothic" w:hAnsi="Verdana" w:cs="Century Gothic"/>
          <w:color w:val="000000" w:themeColor="text1"/>
          <w:sz w:val="20"/>
          <w:szCs w:val="20"/>
        </w:rPr>
      </w:pPr>
      <w:r w:rsidRPr="003A7064">
        <w:rPr>
          <w:rFonts w:ascii="Verdana" w:eastAsia="Century Gothic" w:hAnsi="Verdana" w:cs="Century Gothic"/>
          <w:color w:val="000000" w:themeColor="text1"/>
          <w:sz w:val="20"/>
          <w:szCs w:val="20"/>
          <w:lang w:val="es-ES"/>
        </w:rPr>
        <w:t>“[…]</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Cordial saludo.</w:t>
      </w:r>
    </w:p>
    <w:p w14:paraId="23B285DE" w14:textId="77777777" w:rsidR="009C78F0" w:rsidRDefault="009C78F0" w:rsidP="009C78F0">
      <w:pPr>
        <w:spacing w:after="0"/>
        <w:ind w:left="709" w:right="709"/>
        <w:jc w:val="both"/>
        <w:rPr>
          <w:rFonts w:ascii="Verdana" w:eastAsia="Century Gothic" w:hAnsi="Verdana" w:cs="Century Gothic"/>
          <w:color w:val="000000" w:themeColor="text1"/>
          <w:sz w:val="20"/>
          <w:szCs w:val="20"/>
          <w:lang w:val="es-ES"/>
        </w:rPr>
      </w:pPr>
      <w:r w:rsidRPr="00924ADC">
        <w:rPr>
          <w:rFonts w:ascii="Verdana" w:eastAsia="Century Gothic" w:hAnsi="Verdana" w:cs="Century Gothic"/>
          <w:color w:val="000000" w:themeColor="text1"/>
          <w:sz w:val="20"/>
          <w:szCs w:val="20"/>
        </w:rPr>
        <w:t>De manera atenta, solicito su colaboración para indicar o aclarar el procedimiento</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establecido para obtener el porcentaje de “proveedor directo” contemplado en el</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Decreto 1071 de 2015. En especial, requiero precisión respecto a la disposición que</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permite que el proveedor directo sea una persona jurídica, siempre y cuando</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corresponda a una organización de pequeños productores.</w:t>
      </w:r>
    </w:p>
    <w:p w14:paraId="12C665C0" w14:textId="77777777" w:rsidR="009C78F0" w:rsidRPr="00924ADC" w:rsidRDefault="009C78F0" w:rsidP="009C78F0">
      <w:pPr>
        <w:spacing w:after="0"/>
        <w:ind w:left="709" w:right="709"/>
        <w:jc w:val="both"/>
        <w:rPr>
          <w:rFonts w:ascii="Verdana" w:eastAsia="Century Gothic" w:hAnsi="Verdana" w:cs="Century Gothic"/>
          <w:color w:val="000000" w:themeColor="text1"/>
          <w:sz w:val="20"/>
          <w:szCs w:val="20"/>
          <w:lang w:val="es-ES"/>
        </w:rPr>
      </w:pPr>
    </w:p>
    <w:p w14:paraId="603A30E5" w14:textId="77777777" w:rsidR="009C78F0" w:rsidRPr="00924ADC" w:rsidRDefault="009C78F0" w:rsidP="009C78F0">
      <w:pPr>
        <w:spacing w:after="0"/>
        <w:ind w:left="709" w:right="709"/>
        <w:jc w:val="both"/>
        <w:rPr>
          <w:rFonts w:ascii="Verdana" w:eastAsia="Century Gothic" w:hAnsi="Verdana" w:cs="Century Gothic"/>
          <w:color w:val="000000" w:themeColor="text1"/>
          <w:sz w:val="20"/>
          <w:szCs w:val="20"/>
        </w:rPr>
      </w:pPr>
      <w:r w:rsidRPr="00924ADC">
        <w:rPr>
          <w:rFonts w:ascii="Verdana" w:eastAsia="Century Gothic" w:hAnsi="Verdana" w:cs="Century Gothic"/>
          <w:color w:val="000000" w:themeColor="text1"/>
          <w:sz w:val="20"/>
          <w:szCs w:val="20"/>
        </w:rPr>
        <w:lastRenderedPageBreak/>
        <w:t>En ese sentido, agradezco confirmar a qué se debe entender exactamente como</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“organización de pequeños productores”. Esto implica que para obtener el puntaje</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de un proponente plural:</w:t>
      </w:r>
    </w:p>
    <w:p w14:paraId="3372993C" w14:textId="77777777" w:rsidR="009C78F0" w:rsidRPr="00FB2811" w:rsidRDefault="009C78F0" w:rsidP="009C78F0">
      <w:pPr>
        <w:spacing w:after="0"/>
        <w:ind w:left="709" w:right="709"/>
        <w:jc w:val="both"/>
        <w:rPr>
          <w:rFonts w:ascii="Verdana" w:eastAsia="Century Gothic" w:hAnsi="Verdana" w:cs="Century Gothic"/>
          <w:color w:val="000000" w:themeColor="text1"/>
          <w:sz w:val="20"/>
          <w:szCs w:val="20"/>
        </w:rPr>
      </w:pPr>
      <w:r w:rsidRPr="00924ADC">
        <w:rPr>
          <w:rFonts w:ascii="Verdana" w:eastAsia="Century Gothic" w:hAnsi="Verdana" w:cs="Century Gothic"/>
          <w:color w:val="000000" w:themeColor="text1"/>
          <w:sz w:val="20"/>
          <w:szCs w:val="20"/>
        </w:rPr>
        <w:t>¿La figura asociativa solo puede conformarse entre una persona natural pequeña</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productora y una organización que también sea de pequeños productores? O ¿Es</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posible que una persona natural pequeña productora o organización de pequeños</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productores se asocie con una persona jurídica que no tenga la calidad de pequeño</w:t>
      </w:r>
      <w:r>
        <w:rPr>
          <w:rFonts w:ascii="Verdana" w:eastAsia="Century Gothic" w:hAnsi="Verdana" w:cs="Century Gothic"/>
          <w:color w:val="000000" w:themeColor="text1"/>
          <w:sz w:val="20"/>
          <w:szCs w:val="20"/>
          <w:lang w:val="es-ES"/>
        </w:rPr>
        <w:t xml:space="preserve"> </w:t>
      </w:r>
      <w:r w:rsidRPr="00924ADC">
        <w:rPr>
          <w:rFonts w:ascii="Verdana" w:eastAsia="Century Gothic" w:hAnsi="Verdana" w:cs="Century Gothic"/>
          <w:color w:val="000000" w:themeColor="text1"/>
          <w:sz w:val="20"/>
          <w:szCs w:val="20"/>
        </w:rPr>
        <w:t>productor?</w:t>
      </w:r>
      <w:r>
        <w:rPr>
          <w:rFonts w:ascii="Verdana" w:eastAsia="Century Gothic" w:hAnsi="Verdana" w:cs="Century Gothic"/>
          <w:color w:val="000000" w:themeColor="text1"/>
          <w:sz w:val="20"/>
          <w:szCs w:val="20"/>
        </w:rPr>
        <w:t>”</w:t>
      </w:r>
      <w:r w:rsidRPr="00FB2811">
        <w:rPr>
          <w:rFonts w:ascii="Verdana" w:eastAsia="Century Gothic" w:hAnsi="Verdana" w:cs="Century Gothic"/>
          <w:color w:val="000000" w:themeColor="text1"/>
          <w:sz w:val="20"/>
          <w:szCs w:val="20"/>
        </w:rPr>
        <w:t xml:space="preserve"> </w:t>
      </w:r>
    </w:p>
    <w:p w14:paraId="63DA94CC" w14:textId="77777777" w:rsidR="0045752B" w:rsidRPr="00F340B3" w:rsidRDefault="0045752B" w:rsidP="0045752B">
      <w:pPr>
        <w:spacing w:after="0" w:line="276" w:lineRule="auto"/>
        <w:ind w:left="709" w:right="709"/>
        <w:jc w:val="both"/>
        <w:rPr>
          <w:rFonts w:ascii="Verdana" w:eastAsia="Calibri" w:hAnsi="Verdana" w:cs="Arial"/>
          <w:i/>
          <w:iCs/>
          <w:shd w:val="clear" w:color="auto" w:fill="FFFFFF"/>
        </w:rPr>
      </w:pPr>
    </w:p>
    <w:p w14:paraId="538B3D5C" w14:textId="77777777" w:rsidR="0045752B" w:rsidRPr="007A0E81" w:rsidRDefault="0045752B" w:rsidP="0045752B">
      <w:pPr>
        <w:spacing w:after="120" w:line="276" w:lineRule="auto"/>
        <w:ind w:firstLine="709"/>
        <w:jc w:val="both"/>
        <w:rPr>
          <w:rFonts w:ascii="Verdana" w:eastAsia="Calibri" w:hAnsi="Verdana" w:cs="Arial"/>
          <w:szCs w:val="24"/>
          <w:lang w:val="es-ES_tradnl" w:eastAsia="es-ES_tradnl"/>
        </w:rPr>
      </w:pPr>
      <w:r w:rsidRPr="007A0E8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A0E81">
        <w:rPr>
          <w:rFonts w:ascii="Verdana" w:eastAsia="Calibri" w:hAnsi="Verdana" w:cs="Arial"/>
          <w:szCs w:val="24"/>
          <w:lang w:val="es-ES_tradnl" w:eastAsia="es-ES_tradnl"/>
        </w:rPr>
        <w:tab/>
      </w:r>
    </w:p>
    <w:p w14:paraId="1FBDD7CD" w14:textId="77777777" w:rsidR="0045752B" w:rsidRPr="007A0E81" w:rsidRDefault="0045752B" w:rsidP="0045752B">
      <w:pPr>
        <w:spacing w:after="0" w:line="276" w:lineRule="auto"/>
        <w:ind w:firstLine="708"/>
        <w:jc w:val="both"/>
        <w:rPr>
          <w:rFonts w:ascii="Verdana" w:eastAsia="Calibri" w:hAnsi="Verdana" w:cs="Arial"/>
          <w:lang w:val="es-ES" w:eastAsia="es-ES"/>
        </w:rPr>
      </w:pPr>
      <w:r w:rsidRPr="007A0E8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señalando algunas consideraciones sobre las normas generales relacionadas con el problema jurídico de su consulta. </w:t>
      </w:r>
    </w:p>
    <w:p w14:paraId="510CA418" w14:textId="77777777" w:rsidR="0045752B" w:rsidRPr="007A0E81" w:rsidRDefault="0045752B" w:rsidP="0045752B">
      <w:pPr>
        <w:spacing w:after="0" w:line="276" w:lineRule="auto"/>
        <w:ind w:firstLine="709"/>
        <w:jc w:val="both"/>
        <w:rPr>
          <w:rFonts w:ascii="Verdana" w:eastAsia="Calibri" w:hAnsi="Verdana" w:cs="Arial"/>
          <w:lang w:val="es-ES" w:eastAsia="es-ES"/>
        </w:rPr>
      </w:pPr>
    </w:p>
    <w:p w14:paraId="6D0017A4" w14:textId="77777777" w:rsidR="0045752B" w:rsidRPr="007A0E81" w:rsidRDefault="0045752B" w:rsidP="0045752B">
      <w:pPr>
        <w:numPr>
          <w:ilvl w:val="0"/>
          <w:numId w:val="18"/>
        </w:numPr>
        <w:tabs>
          <w:tab w:val="left" w:pos="142"/>
          <w:tab w:val="left" w:pos="284"/>
        </w:tabs>
        <w:spacing w:after="0" w:line="276" w:lineRule="auto"/>
        <w:ind w:left="0" w:firstLine="0"/>
        <w:jc w:val="both"/>
        <w:rPr>
          <w:rFonts w:ascii="Verdana" w:eastAsia="Century Gothic" w:hAnsi="Verdana" w:cs="Century Gothic"/>
          <w:b/>
          <w:bCs/>
          <w:lang w:val="es-ES"/>
        </w:rPr>
      </w:pPr>
      <w:r w:rsidRPr="007A0E81">
        <w:rPr>
          <w:rFonts w:ascii="Verdana" w:eastAsia="Century Gothic" w:hAnsi="Verdana" w:cs="Century Gothic"/>
          <w:b/>
          <w:bCs/>
          <w:lang w:val="es-ES"/>
        </w:rPr>
        <w:t>Problema planteado:</w:t>
      </w:r>
    </w:p>
    <w:p w14:paraId="3797D023" w14:textId="77777777" w:rsidR="0045752B" w:rsidRPr="007A0E81" w:rsidRDefault="0045752B" w:rsidP="0045752B">
      <w:pPr>
        <w:tabs>
          <w:tab w:val="left" w:pos="426"/>
        </w:tabs>
        <w:spacing w:after="0" w:line="276" w:lineRule="auto"/>
        <w:jc w:val="both"/>
        <w:rPr>
          <w:rFonts w:ascii="Verdana" w:eastAsia="Century Gothic" w:hAnsi="Verdana" w:cs="Century Gothic"/>
          <w:lang w:val="es-ES"/>
        </w:rPr>
      </w:pPr>
    </w:p>
    <w:p w14:paraId="5618955F" w14:textId="77777777" w:rsidR="0045752B" w:rsidRPr="007A0E81" w:rsidRDefault="0045752B" w:rsidP="0045752B">
      <w:pPr>
        <w:spacing w:after="0" w:line="276" w:lineRule="auto"/>
        <w:jc w:val="both"/>
        <w:rPr>
          <w:rFonts w:ascii="Verdana" w:eastAsia="Century Gothic" w:hAnsi="Verdana" w:cs="Century Gothic"/>
        </w:rPr>
      </w:pPr>
      <w:r w:rsidRPr="007A0E81">
        <w:rPr>
          <w:rFonts w:ascii="Verdana" w:eastAsia="Century Gothic" w:hAnsi="Verdana" w:cs="Century Gothic"/>
        </w:rPr>
        <w:t xml:space="preserve">De acuerdo con el contenido de su solicitud, esta Agencia resolverá el siguiente problema jurídico: </w:t>
      </w:r>
      <w:r w:rsidRPr="00144370">
        <w:rPr>
          <w:rFonts w:ascii="Verdana" w:eastAsia="Century Gothic" w:hAnsi="Verdana" w:cs="Century Gothic"/>
        </w:rPr>
        <w:t xml:space="preserve">¿De qué manera debe acreditarse la calidad de </w:t>
      </w:r>
      <w:r w:rsidRPr="00144370">
        <w:rPr>
          <w:rFonts w:ascii="Verdana" w:eastAsia="Century Gothic" w:hAnsi="Verdana" w:cs="Century Gothic"/>
          <w:i/>
          <w:iCs/>
        </w:rPr>
        <w:t>proveedor directo</w:t>
      </w:r>
      <w:r w:rsidRPr="00144370">
        <w:rPr>
          <w:rFonts w:ascii="Verdana" w:eastAsia="Century Gothic" w:hAnsi="Verdana" w:cs="Century Gothic"/>
        </w:rPr>
        <w:t>, prevista en el literal b del artículo 2.20.1.2.1 del Decreto 248 de 2021, cuando el oferente está conformado como proponente plura</w:t>
      </w:r>
      <w:r>
        <w:rPr>
          <w:rFonts w:ascii="Verdana" w:eastAsia="Century Gothic" w:hAnsi="Verdana" w:cs="Century Gothic"/>
        </w:rPr>
        <w:t>l?</w:t>
      </w:r>
    </w:p>
    <w:p w14:paraId="0827425E" w14:textId="77777777" w:rsidR="0045752B" w:rsidRPr="007A0E81" w:rsidRDefault="0045752B" w:rsidP="0045752B">
      <w:pPr>
        <w:spacing w:after="0" w:line="276" w:lineRule="auto"/>
        <w:jc w:val="both"/>
        <w:rPr>
          <w:rFonts w:ascii="Verdana" w:eastAsia="Calibri" w:hAnsi="Verdana" w:cs="Arial"/>
          <w:lang w:val="es-ES"/>
        </w:rPr>
      </w:pPr>
    </w:p>
    <w:p w14:paraId="6529D65B" w14:textId="77777777" w:rsidR="0045752B" w:rsidRPr="007A0E81" w:rsidRDefault="0045752B" w:rsidP="0045752B">
      <w:pPr>
        <w:numPr>
          <w:ilvl w:val="0"/>
          <w:numId w:val="18"/>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7A0E81">
        <w:rPr>
          <w:rFonts w:ascii="Verdana" w:eastAsia="Century Gothic" w:hAnsi="Verdana" w:cs="Century Gothic"/>
          <w:b/>
          <w:bCs/>
          <w:lang w:val="es-ES"/>
        </w:rPr>
        <w:t>Respuesta:</w:t>
      </w:r>
    </w:p>
    <w:p w14:paraId="11114278" w14:textId="77777777" w:rsidR="0045752B" w:rsidRPr="007A0E81" w:rsidRDefault="0045752B" w:rsidP="0045752B">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5752B" w:rsidRPr="007A0E81" w14:paraId="18129A09" w14:textId="77777777" w:rsidTr="00627E18">
        <w:tc>
          <w:tcPr>
            <w:tcW w:w="8828" w:type="dxa"/>
            <w:tcBorders>
              <w:top w:val="dotted" w:sz="4" w:space="0" w:color="auto"/>
              <w:left w:val="dotted" w:sz="4" w:space="0" w:color="auto"/>
              <w:bottom w:val="dotted" w:sz="4" w:space="0" w:color="auto"/>
              <w:right w:val="dotted" w:sz="4" w:space="0" w:color="auto"/>
            </w:tcBorders>
          </w:tcPr>
          <w:p w14:paraId="5E2FAE2A" w14:textId="77777777" w:rsidR="0045752B" w:rsidRPr="00AE5A3D" w:rsidRDefault="0045752B" w:rsidP="00627E18">
            <w:pPr>
              <w:spacing w:after="120" w:line="276" w:lineRule="auto"/>
              <w:jc w:val="both"/>
              <w:rPr>
                <w:rFonts w:ascii="Verdana" w:eastAsia="Times New Roman" w:hAnsi="Verdana" w:cs="Arial"/>
                <w:lang w:eastAsia="es-CO"/>
              </w:rPr>
            </w:pPr>
            <w:r w:rsidRPr="00AE5A3D">
              <w:rPr>
                <w:rFonts w:ascii="Verdana" w:eastAsia="Times New Roman" w:hAnsi="Verdana" w:cs="Arial"/>
                <w:lang w:eastAsia="es-CO"/>
              </w:rPr>
              <w:lastRenderedPageBreak/>
              <w:t>El Decreto 248 de 2021 adicionó un sistema de puntajes al Decreto 1071 de 2015, el cual se encuentra previsto en los artículos 2.20.1.2.1 y 2.20.1.2.2, estableciendo criterios obligatorios y facultativos que deben ser incorporados en los procesos de contratación pública de alimentos financiados con recursos públicos.</w:t>
            </w:r>
          </w:p>
          <w:p w14:paraId="6639606A" w14:textId="77777777" w:rsidR="0045752B" w:rsidRPr="00AE5A3D" w:rsidRDefault="0045752B" w:rsidP="00627E18">
            <w:pPr>
              <w:spacing w:after="120" w:line="276" w:lineRule="auto"/>
              <w:jc w:val="both"/>
              <w:rPr>
                <w:rFonts w:ascii="Verdana" w:eastAsia="Times New Roman" w:hAnsi="Verdana" w:cs="Arial"/>
                <w:lang w:eastAsia="es-CO"/>
              </w:rPr>
            </w:pPr>
            <w:r w:rsidRPr="00AE5A3D">
              <w:rPr>
                <w:rFonts w:ascii="Verdana" w:eastAsia="Times New Roman" w:hAnsi="Verdana" w:cs="Arial"/>
                <w:lang w:eastAsia="es-CO"/>
              </w:rPr>
              <w:t>En particular, el artículo 2.20.1.2.1 señala los requisitos de aplicación obligatoria que deben incluir las entidades públicas descentralizadas del orden nacional y las entidades territoriales en los procesos que adelanten para la adquisición de productos agropecuarios destinados a atender la demanda de los programas institucionales de servicios de alimentación definidos en dicha normativa.</w:t>
            </w:r>
          </w:p>
          <w:p w14:paraId="4234B692" w14:textId="77777777" w:rsidR="0045752B" w:rsidRDefault="0045752B" w:rsidP="00627E18">
            <w:pPr>
              <w:spacing w:after="120" w:line="276" w:lineRule="auto"/>
              <w:jc w:val="both"/>
              <w:rPr>
                <w:rFonts w:ascii="Verdana" w:eastAsia="Times New Roman" w:hAnsi="Verdana" w:cs="Arial"/>
                <w:lang w:eastAsia="es-CO"/>
              </w:rPr>
            </w:pPr>
            <w:r w:rsidRPr="00AE5A3D">
              <w:rPr>
                <w:rFonts w:ascii="Verdana" w:eastAsia="Times New Roman" w:hAnsi="Verdana" w:cs="Arial"/>
                <w:lang w:eastAsia="es-CO"/>
              </w:rPr>
              <w:t>Ahora bien, frente a la consulta planteada, el literal b) del artículo 2.20.1.2.1 dispone un puntaje adicional obligatorio cuando el oferente tenga la calidad de proveedor directo</w:t>
            </w:r>
            <w:r>
              <w:rPr>
                <w:rFonts w:ascii="Verdana" w:eastAsia="Times New Roman" w:hAnsi="Verdana" w:cs="Arial"/>
                <w:lang w:eastAsia="es-CO"/>
              </w:rPr>
              <w:t xml:space="preserve">, los cuales se encuentran </w:t>
            </w:r>
            <w:r w:rsidRPr="00860D4A">
              <w:rPr>
                <w:rFonts w:ascii="Verdana" w:eastAsia="Times New Roman" w:hAnsi="Verdana" w:cs="Arial"/>
                <w:lang w:eastAsia="es-CO"/>
              </w:rPr>
              <w:t>definido</w:t>
            </w:r>
            <w:r>
              <w:rPr>
                <w:rFonts w:ascii="Verdana" w:eastAsia="Times New Roman" w:hAnsi="Verdana" w:cs="Arial"/>
                <w:lang w:eastAsia="es-CO"/>
              </w:rPr>
              <w:t>s</w:t>
            </w:r>
            <w:r w:rsidRPr="00860D4A">
              <w:rPr>
                <w:rFonts w:ascii="Verdana" w:eastAsia="Times New Roman" w:hAnsi="Verdana" w:cs="Arial"/>
                <w:lang w:eastAsia="es-CO"/>
              </w:rPr>
              <w:t xml:space="preserve"> y</w:t>
            </w:r>
            <w:r>
              <w:rPr>
                <w:rFonts w:ascii="Verdana" w:eastAsia="Times New Roman" w:hAnsi="Verdana" w:cs="Arial"/>
                <w:lang w:eastAsia="es-CO"/>
              </w:rPr>
              <w:t>/o</w:t>
            </w:r>
            <w:r w:rsidRPr="00860D4A">
              <w:rPr>
                <w:rFonts w:ascii="Verdana" w:eastAsia="Times New Roman" w:hAnsi="Verdana" w:cs="Arial"/>
                <w:lang w:eastAsia="es-CO"/>
              </w:rPr>
              <w:t xml:space="preserve"> delimitado</w:t>
            </w:r>
            <w:r>
              <w:rPr>
                <w:rFonts w:ascii="Verdana" w:eastAsia="Times New Roman" w:hAnsi="Verdana" w:cs="Arial"/>
                <w:lang w:eastAsia="es-CO"/>
              </w:rPr>
              <w:t>s</w:t>
            </w:r>
            <w:r w:rsidRPr="00860D4A">
              <w:rPr>
                <w:rFonts w:ascii="Verdana" w:eastAsia="Times New Roman" w:hAnsi="Verdana" w:cs="Arial"/>
                <w:lang w:eastAsia="es-CO"/>
              </w:rPr>
              <w:t xml:space="preserve"> por la condición del oferente como pequeño productor agropecuario, productor de la Agricultura Campesina, Familiar y Comunitaria (ACFC) o como organización de estos</w:t>
            </w:r>
            <w:r>
              <w:rPr>
                <w:rFonts w:ascii="Verdana" w:eastAsia="Times New Roman" w:hAnsi="Verdana" w:cs="Arial"/>
                <w:lang w:eastAsia="es-CO"/>
              </w:rPr>
              <w:t xml:space="preserve">. </w:t>
            </w:r>
          </w:p>
          <w:p w14:paraId="7B4CE6BD" w14:textId="77777777" w:rsidR="0045752B" w:rsidRPr="00AE5A3D" w:rsidRDefault="0045752B" w:rsidP="00627E18">
            <w:pPr>
              <w:spacing w:after="120" w:line="276" w:lineRule="auto"/>
              <w:jc w:val="both"/>
              <w:rPr>
                <w:rFonts w:ascii="Verdana" w:eastAsia="Times New Roman" w:hAnsi="Verdana" w:cs="Arial"/>
                <w:lang w:eastAsia="es-CO"/>
              </w:rPr>
            </w:pPr>
            <w:r w:rsidRPr="00681E2A">
              <w:rPr>
                <w:rFonts w:ascii="Verdana" w:eastAsia="Times New Roman" w:hAnsi="Verdana" w:cs="Arial"/>
                <w:lang w:eastAsia="es-CO"/>
              </w:rPr>
              <w:t>En consecuencia, solo tendrá la calidad de proveedor directo aquel oferente que participe en el proceso de contratación acreditando que produce directamente los alimentos, en su condición de pequeño productor o productor de la ACFC, o que actúe a través de una organización conformada por estos, excluyéndose de esta categoría a los intermediarios que no cumplan con dichas calidades productivas</w:t>
            </w:r>
            <w:r>
              <w:rPr>
                <w:rFonts w:ascii="Verdana" w:eastAsia="Times New Roman" w:hAnsi="Verdana" w:cs="Arial"/>
                <w:lang w:eastAsia="es-CO"/>
              </w:rPr>
              <w:t xml:space="preserve">. </w:t>
            </w:r>
          </w:p>
          <w:p w14:paraId="503CC97C" w14:textId="77777777" w:rsidR="0045752B" w:rsidRDefault="0045752B" w:rsidP="00627E18">
            <w:pPr>
              <w:spacing w:after="120" w:line="276" w:lineRule="auto"/>
              <w:jc w:val="both"/>
              <w:rPr>
                <w:rFonts w:ascii="Verdana" w:hAnsi="Verdana" w:cs="Arial"/>
                <w:lang w:eastAsia="es-ES_tradnl"/>
              </w:rPr>
            </w:pPr>
            <w:r>
              <w:rPr>
                <w:rFonts w:ascii="Verdana" w:hAnsi="Verdana" w:cs="Arial"/>
                <w:lang w:val="es-ES" w:eastAsia="es-ES_tradnl"/>
              </w:rPr>
              <w:t xml:space="preserve">Dicho lo anterior y en relación a su consulta, vale indicar que de conformidad </w:t>
            </w:r>
            <w:r w:rsidRPr="00144370">
              <w:rPr>
                <w:rFonts w:ascii="Verdana" w:hAnsi="Verdana" w:cs="Arial"/>
                <w:lang w:eastAsia="es-ES_tradnl"/>
              </w:rPr>
              <w:t>a los artículos 6 y 7 de la Ley 80 de 1993, los consorcios y uniones temporales se presentan ante la administración pública como una unidad proponente, aunque internamente cada integrante conserva su autonomía jurídica.</w:t>
            </w:r>
          </w:p>
          <w:p w14:paraId="470A7862" w14:textId="77777777" w:rsidR="0045752B" w:rsidRDefault="0045752B" w:rsidP="00627E18">
            <w:pPr>
              <w:spacing w:after="120" w:line="276" w:lineRule="auto"/>
              <w:jc w:val="both"/>
              <w:rPr>
                <w:rFonts w:ascii="Verdana" w:hAnsi="Verdana" w:cs="Arial"/>
                <w:lang w:val="es-ES" w:eastAsia="es-ES_tradnl"/>
              </w:rPr>
            </w:pPr>
            <w:r>
              <w:rPr>
                <w:rFonts w:ascii="Verdana" w:hAnsi="Verdana" w:cs="Arial"/>
                <w:lang w:eastAsia="es-ES_tradnl"/>
              </w:rPr>
              <w:t>D</w:t>
            </w:r>
            <w:r>
              <w:rPr>
                <w:rFonts w:ascii="Verdana" w:hAnsi="Verdana" w:cs="Arial"/>
                <w:lang w:val="es-ES" w:eastAsia="es-ES_tradnl"/>
              </w:rPr>
              <w:t xml:space="preserve">ichas disposiciones otorgan a dichos proponentes la suficiente capacidad para contratar utilizando este mecanismo de asociación para conformar los proponentes plurales. </w:t>
            </w:r>
          </w:p>
          <w:p w14:paraId="77B91560" w14:textId="06673583" w:rsidR="0045752B" w:rsidRDefault="0045752B" w:rsidP="00627E18">
            <w:pPr>
              <w:spacing w:after="120" w:line="276" w:lineRule="auto"/>
              <w:jc w:val="both"/>
              <w:rPr>
                <w:rFonts w:ascii="Verdana" w:hAnsi="Verdana" w:cs="Arial"/>
                <w:lang w:eastAsia="es-ES_tradnl"/>
              </w:rPr>
            </w:pPr>
            <w:r>
              <w:rPr>
                <w:rFonts w:ascii="Verdana" w:hAnsi="Verdana" w:cs="Arial"/>
                <w:lang w:val="es-ES" w:eastAsia="es-ES_tradnl"/>
              </w:rPr>
              <w:t>Ahora bien, resulta necesario indicar que</w:t>
            </w:r>
            <w:r w:rsidR="00216971">
              <w:rPr>
                <w:rFonts w:ascii="Verdana" w:hAnsi="Verdana" w:cs="Arial"/>
                <w:lang w:val="es-ES" w:eastAsia="es-ES_tradnl"/>
              </w:rPr>
              <w:t>,</w:t>
            </w:r>
            <w:r>
              <w:rPr>
                <w:rFonts w:ascii="Verdana" w:hAnsi="Verdana" w:cs="Arial"/>
                <w:lang w:val="es-ES" w:eastAsia="es-ES_tradnl"/>
              </w:rPr>
              <w:t xml:space="preserve"> p</w:t>
            </w:r>
            <w:r w:rsidRPr="00144370">
              <w:rPr>
                <w:rFonts w:ascii="Verdana" w:hAnsi="Verdana" w:cs="Arial"/>
                <w:lang w:eastAsia="es-ES_tradnl"/>
              </w:rPr>
              <w:t>ara efectos de evaluación</w:t>
            </w:r>
            <w:r>
              <w:rPr>
                <w:rFonts w:ascii="Verdana" w:hAnsi="Verdana" w:cs="Arial"/>
                <w:lang w:eastAsia="es-ES_tradnl"/>
              </w:rPr>
              <w:t xml:space="preserve">, </w:t>
            </w:r>
            <w:r w:rsidRPr="00144370">
              <w:rPr>
                <w:rFonts w:ascii="Verdana" w:hAnsi="Verdana" w:cs="Arial"/>
                <w:lang w:eastAsia="es-ES_tradnl"/>
              </w:rPr>
              <w:t xml:space="preserve">incluidos los criterios de puntaje adicional— la regla general es que el proponente plural </w:t>
            </w:r>
            <w:r w:rsidRPr="00144370">
              <w:rPr>
                <w:rFonts w:ascii="Verdana" w:hAnsi="Verdana" w:cs="Arial"/>
                <w:lang w:eastAsia="es-ES_tradnl"/>
              </w:rPr>
              <w:lastRenderedPageBreak/>
              <w:t>se analiza como un solo oferente, salvo cuando la norma exige expresamente que cada integrante acredite una condición específica.</w:t>
            </w:r>
          </w:p>
          <w:p w14:paraId="51E6A346" w14:textId="5D528F87" w:rsidR="0045752B" w:rsidRPr="00513B7A" w:rsidRDefault="0045752B" w:rsidP="00D536A4">
            <w:pPr>
              <w:spacing w:after="120" w:line="276" w:lineRule="auto"/>
              <w:jc w:val="both"/>
              <w:rPr>
                <w:rFonts w:ascii="Verdana" w:hAnsi="Verdana" w:cs="Arial"/>
                <w:lang w:val="es-ES" w:eastAsia="es-ES_tradnl"/>
              </w:rPr>
            </w:pPr>
            <w:r>
              <w:rPr>
                <w:rFonts w:ascii="Verdana" w:hAnsi="Verdana" w:cs="Arial"/>
                <w:lang w:eastAsia="es-ES_tradnl"/>
              </w:rPr>
              <w:t>Es por eso que, del análisis de</w:t>
            </w:r>
            <w:r w:rsidRPr="00144370">
              <w:rPr>
                <w:rFonts w:ascii="Verdana" w:hAnsi="Verdana" w:cs="Arial"/>
                <w:lang w:eastAsia="es-ES_tradnl"/>
              </w:rPr>
              <w:t>l Decreto 248 de 2021</w:t>
            </w:r>
            <w:r>
              <w:rPr>
                <w:rFonts w:ascii="Verdana" w:hAnsi="Verdana" w:cs="Arial"/>
                <w:lang w:eastAsia="es-ES_tradnl"/>
              </w:rPr>
              <w:t xml:space="preserve"> se vislumbra que</w:t>
            </w:r>
            <w:r w:rsidRPr="00144370">
              <w:rPr>
                <w:rFonts w:ascii="Verdana" w:hAnsi="Verdana" w:cs="Arial"/>
                <w:lang w:eastAsia="es-ES_tradnl"/>
              </w:rPr>
              <w:t xml:space="preserve"> no exige que todos los miembros del proponente plural sean proveedores directos, ni señala que la condición deba predicarse individualmente. Bajo esta finalidad, </w:t>
            </w:r>
            <w:r>
              <w:rPr>
                <w:rFonts w:ascii="Verdana" w:hAnsi="Verdana" w:cs="Arial"/>
                <w:lang w:eastAsia="es-ES_tradnl"/>
              </w:rPr>
              <w:t xml:space="preserve">a juicio de la agencia y haciendo una extracción de la norma, </w:t>
            </w:r>
            <w:r w:rsidRPr="00144370">
              <w:rPr>
                <w:rFonts w:ascii="Verdana" w:hAnsi="Verdana" w:cs="Arial"/>
                <w:lang w:eastAsia="es-ES_tradnl"/>
              </w:rPr>
              <w:t xml:space="preserve">lo relevante es que el proponente plural, como unidad </w:t>
            </w:r>
            <w:r>
              <w:rPr>
                <w:rFonts w:ascii="Verdana" w:hAnsi="Verdana" w:cs="Arial"/>
                <w:lang w:eastAsia="es-ES_tradnl"/>
              </w:rPr>
              <w:t>contractual</w:t>
            </w:r>
            <w:r w:rsidRPr="00144370">
              <w:rPr>
                <w:rFonts w:ascii="Verdana" w:hAnsi="Verdana" w:cs="Arial"/>
                <w:lang w:eastAsia="es-ES_tradnl"/>
              </w:rPr>
              <w:t>, demuestre que la cadena de suministro se realiza mediante un proveedor directo</w:t>
            </w:r>
            <w:r>
              <w:rPr>
                <w:rFonts w:ascii="Verdana" w:hAnsi="Verdana" w:cs="Arial"/>
                <w:lang w:eastAsia="es-ES_tradnl"/>
              </w:rPr>
              <w:t>. Sin distinción de que en los casos de proponentes plurales deba acreditarse dicha situación por todos los que conforman el consorcio y/o la Unión temporal.</w:t>
            </w:r>
            <w:r>
              <w:rPr>
                <w:rFonts w:ascii="Verdana" w:eastAsia="Calibri" w:hAnsi="Verdana" w:cs="Arial"/>
                <w:lang w:val="es-ES"/>
              </w:rPr>
              <w:t xml:space="preserve"> </w:t>
            </w:r>
          </w:p>
        </w:tc>
      </w:tr>
    </w:tbl>
    <w:p w14:paraId="1CAC0A70" w14:textId="77777777" w:rsidR="0045752B" w:rsidRPr="007A0E81" w:rsidRDefault="0045752B" w:rsidP="0045752B">
      <w:pPr>
        <w:tabs>
          <w:tab w:val="left" w:pos="142"/>
          <w:tab w:val="left" w:pos="284"/>
        </w:tabs>
        <w:spacing w:after="0" w:line="276" w:lineRule="auto"/>
        <w:jc w:val="both"/>
        <w:rPr>
          <w:rFonts w:ascii="Verdana" w:eastAsia="Century Gothic" w:hAnsi="Verdana" w:cs="Century Gothic"/>
          <w:b/>
          <w:bCs/>
          <w:lang w:val="es-ES"/>
        </w:rPr>
      </w:pPr>
    </w:p>
    <w:p w14:paraId="0F1922E3" w14:textId="77777777" w:rsidR="0045752B" w:rsidRPr="007A0E81" w:rsidRDefault="0045752B" w:rsidP="0045752B">
      <w:pPr>
        <w:numPr>
          <w:ilvl w:val="0"/>
          <w:numId w:val="18"/>
        </w:numPr>
        <w:tabs>
          <w:tab w:val="left" w:pos="142"/>
          <w:tab w:val="left" w:pos="284"/>
        </w:tabs>
        <w:spacing w:after="0" w:line="276" w:lineRule="auto"/>
        <w:ind w:left="0" w:firstLine="0"/>
        <w:jc w:val="both"/>
        <w:rPr>
          <w:rFonts w:ascii="Verdana" w:eastAsia="Century Gothic" w:hAnsi="Verdana" w:cs="Century Gothic"/>
          <w:b/>
          <w:bCs/>
          <w:lang w:val="es-ES"/>
        </w:rPr>
      </w:pPr>
      <w:r w:rsidRPr="007A0E81">
        <w:rPr>
          <w:rFonts w:ascii="Verdana" w:eastAsia="Century Gothic" w:hAnsi="Verdana" w:cs="Century Gothic"/>
          <w:b/>
          <w:bCs/>
          <w:lang w:val="es-ES"/>
        </w:rPr>
        <w:t>Razones de la respuesta:</w:t>
      </w:r>
    </w:p>
    <w:p w14:paraId="525C1AC8" w14:textId="77777777" w:rsidR="0045752B" w:rsidRPr="007A0E81" w:rsidRDefault="0045752B" w:rsidP="0045752B">
      <w:pPr>
        <w:spacing w:after="0" w:line="276" w:lineRule="auto"/>
        <w:jc w:val="both"/>
        <w:rPr>
          <w:rFonts w:ascii="Verdana" w:eastAsia="Calibri" w:hAnsi="Verdana" w:cs="Arial"/>
          <w:lang w:val="es-ES"/>
        </w:rPr>
      </w:pPr>
    </w:p>
    <w:p w14:paraId="327C4CF7" w14:textId="77777777" w:rsidR="0045752B" w:rsidRPr="007A0E81" w:rsidRDefault="0045752B" w:rsidP="0045752B">
      <w:pPr>
        <w:spacing w:after="0" w:line="276" w:lineRule="auto"/>
        <w:jc w:val="both"/>
        <w:rPr>
          <w:rFonts w:ascii="Verdana" w:eastAsia="Calibri" w:hAnsi="Verdana" w:cs="Arial"/>
          <w:lang w:val="es-ES"/>
        </w:rPr>
      </w:pPr>
      <w:r w:rsidRPr="007A0E81">
        <w:rPr>
          <w:rFonts w:ascii="Verdana" w:eastAsia="Calibri" w:hAnsi="Verdana" w:cs="Arial"/>
          <w:lang w:val="es-ES"/>
        </w:rPr>
        <w:t xml:space="preserve">Lo anterior se sustenta en las siguientes consideraciones: </w:t>
      </w:r>
    </w:p>
    <w:p w14:paraId="65A15F31" w14:textId="77777777" w:rsidR="0045752B" w:rsidRDefault="0045752B" w:rsidP="0045752B">
      <w:pPr>
        <w:spacing w:after="0" w:line="276" w:lineRule="auto"/>
        <w:jc w:val="both"/>
        <w:rPr>
          <w:rFonts w:ascii="Verdana" w:eastAsia="Calibri" w:hAnsi="Verdana" w:cs="Arial"/>
          <w:lang w:val="es-ES"/>
        </w:rPr>
      </w:pPr>
    </w:p>
    <w:p w14:paraId="7ACDD53B" w14:textId="77777777" w:rsidR="0045752B" w:rsidRPr="00285011" w:rsidRDefault="0045752B" w:rsidP="0045752B">
      <w:pPr>
        <w:spacing w:after="120" w:line="276" w:lineRule="auto"/>
        <w:jc w:val="both"/>
        <w:rPr>
          <w:rFonts w:ascii="Verdana" w:eastAsia="Century Gothic" w:hAnsi="Verdana" w:cs="Century Gothic"/>
        </w:rPr>
      </w:pPr>
      <w:r w:rsidRPr="00E96F6B">
        <w:rPr>
          <w:rFonts w:ascii="Verdana" w:eastAsia="Times New Roman" w:hAnsi="Verdana" w:cs="Arial"/>
          <w:lang w:eastAsia="es-CO"/>
        </w:rPr>
        <w:t>La contratación pública o sistema de compra pública se concibe como un mercado compuesto por la oferta de particulares, preferentemente, y la demanda de las Entidades Públicas de bienes y servicios</w:t>
      </w:r>
      <w:r>
        <w:rPr>
          <w:rFonts w:ascii="Verdana" w:eastAsia="Times New Roman" w:hAnsi="Verdana" w:cs="Arial"/>
          <w:lang w:eastAsia="es-CO"/>
        </w:rPr>
        <w:t>. Particularmente,</w:t>
      </w:r>
      <w:r w:rsidRPr="00E96F6B">
        <w:rPr>
          <w:rFonts w:ascii="Verdana" w:eastAsia="Times New Roman" w:hAnsi="Verdana" w:cs="Arial"/>
          <w:lang w:eastAsia="es-CO"/>
        </w:rPr>
        <w:t xml:space="preserve"> </w:t>
      </w:r>
      <w:r>
        <w:rPr>
          <w:rFonts w:ascii="Verdana" w:eastAsia="Times New Roman" w:hAnsi="Verdana" w:cs="Arial"/>
          <w:lang w:eastAsia="es-CO"/>
        </w:rPr>
        <w:t xml:space="preserve">la </w:t>
      </w:r>
      <w:r w:rsidRPr="00E96F6B">
        <w:rPr>
          <w:rFonts w:ascii="Verdana" w:eastAsia="Times New Roman" w:hAnsi="Verdana" w:cs="Arial"/>
          <w:lang w:eastAsia="es-CO"/>
        </w:rPr>
        <w:t>compra pública de alimentos</w:t>
      </w:r>
      <w:r>
        <w:rPr>
          <w:rFonts w:ascii="Verdana" w:eastAsia="Times New Roman" w:hAnsi="Verdana" w:cs="Arial"/>
          <w:lang w:eastAsia="es-CO"/>
        </w:rPr>
        <w:t>, a la cual</w:t>
      </w:r>
      <w:r w:rsidRPr="00E96F6B">
        <w:rPr>
          <w:rFonts w:ascii="Verdana" w:eastAsia="Times New Roman" w:hAnsi="Verdana" w:cs="Arial"/>
          <w:lang w:eastAsia="es-CO"/>
        </w:rPr>
        <w:t xml:space="preserve"> se </w:t>
      </w:r>
      <w:r>
        <w:rPr>
          <w:rFonts w:ascii="Verdana" w:eastAsia="Times New Roman" w:hAnsi="Verdana" w:cs="Arial"/>
          <w:lang w:eastAsia="es-CO"/>
        </w:rPr>
        <w:t xml:space="preserve">refiere en su consulta, además de lo dispuesto en el Estatuto General de Contratación de la Administración Pública – en adelante EGCAP -, se </w:t>
      </w:r>
      <w:r w:rsidRPr="00E96F6B">
        <w:rPr>
          <w:rFonts w:ascii="Verdana" w:eastAsia="Times New Roman" w:hAnsi="Verdana" w:cs="Arial"/>
          <w:lang w:eastAsia="es-CO"/>
        </w:rPr>
        <w:t>encuentra regulad</w:t>
      </w:r>
      <w:r>
        <w:rPr>
          <w:rFonts w:ascii="Verdana" w:eastAsia="Times New Roman" w:hAnsi="Verdana" w:cs="Arial"/>
          <w:lang w:eastAsia="es-CO"/>
        </w:rPr>
        <w:t xml:space="preserve">a en </w:t>
      </w:r>
      <w:r w:rsidRPr="00E96F6B">
        <w:rPr>
          <w:rFonts w:ascii="Verdana" w:eastAsia="Century Gothic" w:hAnsi="Verdana" w:cs="Century Gothic"/>
        </w:rPr>
        <w:t xml:space="preserve">la Ley 1955 de 2019, </w:t>
      </w:r>
      <w:r>
        <w:rPr>
          <w:rFonts w:ascii="Verdana" w:eastAsia="Century Gothic" w:hAnsi="Verdana" w:cs="Century Gothic"/>
        </w:rPr>
        <w:t xml:space="preserve">la Ley </w:t>
      </w:r>
      <w:r w:rsidRPr="00E96F6B">
        <w:rPr>
          <w:rFonts w:ascii="Verdana" w:eastAsia="Century Gothic" w:hAnsi="Verdana" w:cs="Century Gothic"/>
        </w:rPr>
        <w:t>2046 de 2020 y el Decreto 248 de 2021, que modifica el Decreto 1071 de 2015.</w:t>
      </w:r>
      <w:r>
        <w:rPr>
          <w:rFonts w:ascii="Verdana" w:eastAsia="Century Gothic" w:hAnsi="Verdana" w:cs="Century Gothic"/>
        </w:rPr>
        <w:t xml:space="preserve"> En ese contexto resulta importante referirse al </w:t>
      </w:r>
      <w:r w:rsidRPr="00285011">
        <w:rPr>
          <w:rFonts w:ascii="Verdana" w:eastAsia="Century Gothic" w:hAnsi="Verdana" w:cs="Century Gothic"/>
          <w:lang w:val="es-ES"/>
        </w:rPr>
        <w:t>c</w:t>
      </w:r>
      <w:r w:rsidRPr="00285011">
        <w:rPr>
          <w:rFonts w:ascii="Verdana" w:eastAsia="Century Gothic" w:hAnsi="Verdana" w:cs="Century Gothic"/>
        </w:rPr>
        <w:t>ontexto y finalidad de los incentivos y estímulos regulados el artículo 229 de la Ley 1955 de 2019 y en la Ley 2046 de 2020</w:t>
      </w:r>
      <w:r>
        <w:rPr>
          <w:rFonts w:ascii="Verdana" w:eastAsia="Century Gothic" w:hAnsi="Verdana" w:cs="Century Gothic"/>
        </w:rPr>
        <w:t xml:space="preserve">. </w:t>
      </w:r>
    </w:p>
    <w:p w14:paraId="457A30FE" w14:textId="77777777" w:rsidR="0045752B" w:rsidRPr="00571478" w:rsidRDefault="0045752B" w:rsidP="0045752B">
      <w:pPr>
        <w:spacing w:after="0" w:line="276" w:lineRule="auto"/>
        <w:ind w:firstLine="708"/>
        <w:jc w:val="both"/>
        <w:rPr>
          <w:rFonts w:ascii="Verdana" w:eastAsia="Times New Roman" w:hAnsi="Verdana" w:cs="Arial"/>
          <w:lang w:eastAsia="es-CO"/>
        </w:rPr>
      </w:pPr>
      <w:r>
        <w:rPr>
          <w:rFonts w:ascii="Verdana" w:eastAsia="Times New Roman" w:hAnsi="Verdana" w:cs="Arial"/>
          <w:lang w:eastAsia="es-CO"/>
        </w:rPr>
        <w:t>Así, en el</w:t>
      </w:r>
      <w:r w:rsidRPr="00571478">
        <w:rPr>
          <w:rFonts w:ascii="Verdana" w:eastAsia="Times New Roman" w:hAnsi="Verdana" w:cs="Arial"/>
          <w:lang w:eastAsia="es-CO"/>
        </w:rPr>
        <w:t xml:space="preserve"> mercado de la compra pública se crean incentivos para fomentar el desarrollo de determinado tipo de proveedores, como ocurre con los incentivos a las Mipymes, a los emprendimientos y empresas de mujeres, entre otros. En esa orientación, el artículo 229 de la Ley 1955 de 2019, </w:t>
      </w:r>
      <w:r>
        <w:rPr>
          <w:rFonts w:ascii="Verdana" w:eastAsia="Times New Roman" w:hAnsi="Verdana" w:cs="Arial"/>
          <w:lang w:eastAsia="es-CO"/>
        </w:rPr>
        <w:t>“</w:t>
      </w:r>
      <w:r w:rsidRPr="00571478">
        <w:rPr>
          <w:rFonts w:ascii="Verdana" w:eastAsia="Times New Roman" w:hAnsi="Verdana" w:cs="Arial"/>
          <w:lang w:eastAsia="es-CO"/>
        </w:rPr>
        <w:t>Por el cual se expide el Plan Nacional de Desarrollo 2018-2022</w:t>
      </w:r>
      <w:r>
        <w:rPr>
          <w:rFonts w:ascii="Verdana" w:eastAsia="Times New Roman" w:hAnsi="Verdana" w:cs="Arial"/>
          <w:lang w:eastAsia="es-CO"/>
        </w:rPr>
        <w:t>”</w:t>
      </w:r>
      <w:r w:rsidRPr="00571478">
        <w:rPr>
          <w:rFonts w:ascii="Verdana" w:eastAsia="Times New Roman" w:hAnsi="Verdana" w:cs="Arial"/>
          <w:lang w:eastAsia="es-CO"/>
        </w:rPr>
        <w:t xml:space="preserve">,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w:t>
      </w:r>
      <w:r w:rsidRPr="00571478">
        <w:rPr>
          <w:rFonts w:ascii="Verdana" w:eastAsia="Times New Roman" w:hAnsi="Verdana" w:cs="Arial"/>
          <w:lang w:eastAsia="es-CO"/>
        </w:rPr>
        <w:lastRenderedPageBreak/>
        <w:t xml:space="preserve">de proveeduría celebrados con productores nacionales. En lo pertinente, la norma dispone que: </w:t>
      </w:r>
    </w:p>
    <w:p w14:paraId="7BB66426" w14:textId="77777777" w:rsidR="0045752B" w:rsidRPr="00B40B0D" w:rsidRDefault="0045752B" w:rsidP="0045752B">
      <w:pPr>
        <w:spacing w:after="0" w:line="276" w:lineRule="auto"/>
        <w:jc w:val="both"/>
        <w:rPr>
          <w:rFonts w:ascii="Verdana" w:eastAsia="Times New Roman" w:hAnsi="Verdana" w:cs="Arial"/>
          <w:lang w:eastAsia="es-CO"/>
        </w:rPr>
      </w:pPr>
    </w:p>
    <w:p w14:paraId="1F2D0AE1" w14:textId="77777777" w:rsidR="0045752B" w:rsidRPr="00571478" w:rsidRDefault="0045752B" w:rsidP="0045752B">
      <w:pPr>
        <w:spacing w:after="0" w:line="240" w:lineRule="auto"/>
        <w:ind w:left="709" w:right="709"/>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571478">
        <w:rPr>
          <w:rFonts w:ascii="Verdana" w:eastAsia="Times New Roman" w:hAnsi="Verdana" w:cs="Arial"/>
          <w:sz w:val="20"/>
          <w:szCs w:val="20"/>
          <w:lang w:eastAsia="es-CO"/>
        </w:rPr>
        <w:t>Las entidades públicas descentralizadas del orden nacional y las entidades territoriales cada vez que requieran productos de origen agropecuario para atender la demanda de los programas institucionales de servicios de alimentación deberán establecer en sus pliegos de condiciones puntajes adicionales y estrategias de ponderación que mejoren las calificaciones de los proponentes cuando presenten contratos de proveeduría suscritos con productores nacionales. El Gobierno nacional en un plazo máximo de no más de tres (3) meses establecerá el esquema de puntajes adicionales, previo análisis de la Agencia de Contratación Colombia Compra Eficiente.</w:t>
      </w:r>
    </w:p>
    <w:p w14:paraId="1E0723FF" w14:textId="77777777" w:rsidR="0045752B" w:rsidRPr="00571478" w:rsidRDefault="0045752B" w:rsidP="0045752B">
      <w:pPr>
        <w:spacing w:after="0" w:line="240" w:lineRule="auto"/>
        <w:ind w:left="709" w:right="709"/>
        <w:jc w:val="both"/>
        <w:rPr>
          <w:rFonts w:ascii="Verdana" w:eastAsia="Times New Roman" w:hAnsi="Verdana" w:cs="Arial"/>
          <w:sz w:val="20"/>
          <w:szCs w:val="20"/>
          <w:lang w:eastAsia="es-CO"/>
        </w:rPr>
      </w:pPr>
    </w:p>
    <w:p w14:paraId="12FCA157" w14:textId="77777777" w:rsidR="0045752B" w:rsidRPr="00571478" w:rsidRDefault="0045752B" w:rsidP="0045752B">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Sin perjuicio de lo anterior, las entidades públicas contratantes deberán adquirir hasta el cuarenta por ciento (40%) de alimentos procesados o sin procesar, en donde los insumos y los productos hayan sido adquiridos de productores agropecuarios locales.</w:t>
      </w:r>
    </w:p>
    <w:p w14:paraId="00C646D3" w14:textId="77777777" w:rsidR="0045752B" w:rsidRPr="00571478" w:rsidRDefault="0045752B" w:rsidP="0045752B">
      <w:pPr>
        <w:spacing w:after="0" w:line="240" w:lineRule="auto"/>
        <w:ind w:left="709" w:right="709"/>
        <w:jc w:val="both"/>
        <w:rPr>
          <w:rFonts w:ascii="Verdana" w:eastAsia="Times New Roman" w:hAnsi="Verdana" w:cs="Arial"/>
          <w:sz w:val="20"/>
          <w:szCs w:val="20"/>
          <w:lang w:eastAsia="es-CO"/>
        </w:rPr>
      </w:pPr>
    </w:p>
    <w:p w14:paraId="5197B351" w14:textId="77777777" w:rsidR="0045752B" w:rsidRPr="00571478" w:rsidRDefault="0045752B" w:rsidP="0045752B">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Adicionalmente, podrá establecerse un diez por ciento (10%) de puntaje adicional, a los proveedores que realicen el suministro que se pretenda contratar vinculando pequeños productores.</w:t>
      </w:r>
    </w:p>
    <w:p w14:paraId="43C6F9C7" w14:textId="77777777" w:rsidR="0045752B" w:rsidRPr="00571478" w:rsidRDefault="0045752B" w:rsidP="0045752B">
      <w:pPr>
        <w:spacing w:after="0" w:line="240" w:lineRule="auto"/>
        <w:ind w:left="709" w:right="709"/>
        <w:jc w:val="both"/>
        <w:rPr>
          <w:rFonts w:ascii="Verdana" w:eastAsia="Times New Roman" w:hAnsi="Verdana" w:cs="Arial"/>
          <w:sz w:val="20"/>
          <w:szCs w:val="20"/>
          <w:lang w:eastAsia="es-CO"/>
        </w:rPr>
      </w:pPr>
    </w:p>
    <w:p w14:paraId="436913F2" w14:textId="77777777" w:rsidR="0045752B" w:rsidRPr="00571478" w:rsidRDefault="0045752B" w:rsidP="0045752B">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w:t>
      </w:r>
      <w:r>
        <w:rPr>
          <w:rFonts w:ascii="Verdana" w:eastAsia="Times New Roman" w:hAnsi="Verdana" w:cs="Arial"/>
          <w:sz w:val="20"/>
          <w:szCs w:val="20"/>
          <w:lang w:eastAsia="es-CO"/>
        </w:rPr>
        <w:t xml:space="preserve">”. </w:t>
      </w:r>
    </w:p>
    <w:p w14:paraId="312EFDC9" w14:textId="77777777" w:rsidR="0045752B" w:rsidRPr="00B40B0D" w:rsidRDefault="0045752B" w:rsidP="0045752B">
      <w:pPr>
        <w:spacing w:after="0" w:line="276" w:lineRule="auto"/>
        <w:jc w:val="both"/>
        <w:rPr>
          <w:rFonts w:ascii="Verdana" w:eastAsia="Times New Roman" w:hAnsi="Verdana" w:cs="Arial"/>
          <w:lang w:eastAsia="es-CO"/>
        </w:rPr>
      </w:pPr>
    </w:p>
    <w:p w14:paraId="72CADDCF" w14:textId="77777777" w:rsidR="0045752B" w:rsidRDefault="0045752B" w:rsidP="0045752B">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Posteriormente, también se expidió la Ley 2046 del 6 de agosto de 2020, </w:t>
      </w:r>
      <w:r>
        <w:rPr>
          <w:rFonts w:ascii="Verdana" w:eastAsia="Times New Roman" w:hAnsi="Verdana" w:cs="Arial"/>
          <w:lang w:eastAsia="es-CO"/>
        </w:rPr>
        <w:t>“</w:t>
      </w:r>
      <w:r w:rsidRPr="00B40B0D">
        <w:rPr>
          <w:rFonts w:ascii="Verdana" w:eastAsia="Times New Roman" w:hAnsi="Verdana" w:cs="Arial"/>
          <w:lang w:eastAsia="es-CO"/>
        </w:rPr>
        <w:t>Por la cual se establecen mecanismos para promover la participación de pequeños productores locales agropecuarios y de la agricultura campesina, familiar y comunitaria en los mercados de compras públicas de alimentos</w:t>
      </w:r>
      <w:r>
        <w:rPr>
          <w:rFonts w:ascii="Verdana" w:eastAsia="Times New Roman" w:hAnsi="Verdana" w:cs="Arial"/>
          <w:lang w:eastAsia="es-CO"/>
        </w:rPr>
        <w:t>”</w:t>
      </w:r>
      <w:r w:rsidRPr="00B40B0D">
        <w:rPr>
          <w:rFonts w:ascii="Verdana" w:eastAsia="Times New Roman" w:hAnsi="Verdana" w:cs="Arial"/>
          <w:lang w:eastAsia="es-CO"/>
        </w:rPr>
        <w:t xml:space="preserve">. De acuerdo con el artículo 14, </w:t>
      </w:r>
      <w:r>
        <w:rPr>
          <w:rFonts w:ascii="Verdana" w:eastAsia="Times New Roman" w:hAnsi="Verdana" w:cs="Arial"/>
          <w:lang w:eastAsia="es-CO"/>
        </w:rPr>
        <w:t>“</w:t>
      </w:r>
      <w:r w:rsidRPr="00B40B0D">
        <w:rPr>
          <w:rFonts w:ascii="Verdana" w:eastAsia="Times New Roman" w:hAnsi="Verdana" w:cs="Arial"/>
          <w:lang w:eastAsia="es-CO"/>
        </w:rPr>
        <w:t>La presente Ley rige a partir de la fecha de publicación y deroga todas las disposiciones que le sean contrarias</w:t>
      </w:r>
      <w:r>
        <w:rPr>
          <w:rFonts w:ascii="Verdana" w:eastAsia="Times New Roman" w:hAnsi="Verdana" w:cs="Arial"/>
          <w:lang w:eastAsia="es-CO"/>
        </w:rPr>
        <w:t>”</w:t>
      </w:r>
      <w:r w:rsidRPr="00B40B0D">
        <w:rPr>
          <w:rFonts w:ascii="Verdana" w:eastAsia="Times New Roman" w:hAnsi="Verdana" w:cs="Arial"/>
          <w:lang w:eastAsia="es-CO"/>
        </w:rPr>
        <w:t>, lo que significa que es obligatoria para sus destinatarios desde esa fecha. Esto, sin perjuicio de la posibilidad de que el Gobierno Nacional, en ejercicio de la potestad prevista en el artículo 189.11 de la Constitución Política, expida el decreto correspondiente que permita la cumplida ejecución de esta ley.</w:t>
      </w:r>
    </w:p>
    <w:p w14:paraId="6BAC4D93" w14:textId="77777777" w:rsidR="0045752B" w:rsidRDefault="0045752B" w:rsidP="0045752B">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La exposición de motivos de la citada Ley explicó, entre otras cosas, lo siguiente: </w:t>
      </w:r>
      <w:r>
        <w:rPr>
          <w:rFonts w:ascii="Verdana" w:eastAsia="Times New Roman" w:hAnsi="Verdana" w:cs="Arial"/>
          <w:lang w:eastAsia="es-CO"/>
        </w:rPr>
        <w:t>“</w:t>
      </w:r>
      <w:r w:rsidRPr="00B40B0D">
        <w:rPr>
          <w:rFonts w:ascii="Verdana" w:eastAsia="Times New Roman" w:hAnsi="Verdana" w:cs="Arial"/>
          <w:lang w:eastAsia="es-CO"/>
        </w:rPr>
        <w:t xml:space="preserve">[…] los parámetros del Estatuto de Contratación, no incluyen, como regla general, la posibilidad de participación de las organizaciones campesinas, indígenas, afros y raizales productoras de alimentos, pues las exigencias </w:t>
      </w:r>
      <w:r w:rsidRPr="00B40B0D">
        <w:rPr>
          <w:rFonts w:ascii="Verdana" w:eastAsia="Times New Roman" w:hAnsi="Verdana" w:cs="Arial"/>
          <w:lang w:eastAsia="es-CO"/>
        </w:rPr>
        <w:lastRenderedPageBreak/>
        <w:t>técnicas, logísticas y financieras para poder responder a las condiciones contractuales y operativas definidas por las entidades públicas, solo pueden ser satisfechas por empresas intermediarias que llevan bastante tiempo n el mercado</w:t>
      </w:r>
      <w:r>
        <w:rPr>
          <w:rFonts w:ascii="Verdana" w:eastAsia="Times New Roman" w:hAnsi="Verdana" w:cs="Arial"/>
          <w:lang w:eastAsia="es-CO"/>
        </w:rPr>
        <w:t>”</w:t>
      </w:r>
      <w:r w:rsidRPr="00B40B0D">
        <w:rPr>
          <w:rFonts w:ascii="Verdana" w:eastAsia="Times New Roman" w:hAnsi="Verdana" w:cs="Arial"/>
          <w:lang w:eastAsia="es-CO"/>
        </w:rPr>
        <w:t xml:space="preserve">. </w:t>
      </w:r>
    </w:p>
    <w:p w14:paraId="4C28F883" w14:textId="77777777" w:rsidR="0045752B" w:rsidRDefault="0045752B" w:rsidP="0045752B">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Por lo demás, también agrega que </w:t>
      </w:r>
      <w:r>
        <w:rPr>
          <w:rFonts w:ascii="Verdana" w:eastAsia="Times New Roman" w:hAnsi="Verdana" w:cs="Arial"/>
          <w:lang w:eastAsia="es-CO"/>
        </w:rPr>
        <w:t>“</w:t>
      </w:r>
      <w:r w:rsidRPr="00B40B0D">
        <w:rPr>
          <w:rFonts w:ascii="Verdana" w:eastAsia="Times New Roman" w:hAnsi="Verdana" w:cs="Arial"/>
          <w:lang w:eastAsia="es-CO"/>
        </w:rPr>
        <w:t>[…] el Juez constitucional ha brindado algunas soluciones de carácter jurisprudencial, que pregonan la evidente necesidad de incluir en los pliegos de condiciones de los distintos procesos de selección, las medidas o acciones afirmativas, que son mandatos con carácter imperativo, tendientes a reequilibrar a aquellas personas, poblaciones o grupos discriminados, que por razones políticas, económicas, culturales o sociales no han tenido las mismas oportunidades que otros sectores de la población</w:t>
      </w:r>
      <w:r>
        <w:rPr>
          <w:rFonts w:ascii="Verdana" w:eastAsia="Times New Roman" w:hAnsi="Verdana" w:cs="Arial"/>
          <w:lang w:eastAsia="es-CO"/>
        </w:rPr>
        <w:t>”</w:t>
      </w:r>
      <w:r w:rsidRPr="00B40B0D">
        <w:rPr>
          <w:rFonts w:ascii="Verdana" w:eastAsia="Times New Roman" w:hAnsi="Verdana" w:cs="Arial"/>
          <w:lang w:eastAsia="es-CO"/>
        </w:rPr>
        <w:t xml:space="preserve">. De este modo, la Ley 2046 de 2020 pretende la creación de incentivos que beneficien a la agricultura en el territorio nacional. </w:t>
      </w:r>
    </w:p>
    <w:p w14:paraId="5AD29A05" w14:textId="77777777" w:rsidR="0045752B" w:rsidRDefault="0045752B" w:rsidP="0045752B">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 En este contexto, de acuerdo con el artículo 1, el objeto de la ley </w:t>
      </w:r>
      <w:r>
        <w:rPr>
          <w:rFonts w:ascii="Verdana" w:eastAsia="Times New Roman" w:hAnsi="Verdana" w:cs="Arial"/>
          <w:lang w:eastAsia="es-CO"/>
        </w:rPr>
        <w:t>“</w:t>
      </w:r>
      <w:r w:rsidRPr="00B40B0D">
        <w:rPr>
          <w:rFonts w:ascii="Verdana" w:eastAsia="Times New Roman" w:hAnsi="Verdana" w:cs="Arial"/>
          <w:lang w:eastAsia="es-CO"/>
        </w:rPr>
        <w:t>[…] consiste en establecer condiciones e instrumentos de abastecimiento alimentario para que todos los programas públicos de suministro y distribución de alimentos promuevan la participación de pequeños productores locales y productores locales agropecuarios cuyos sistemas productivos pertenezcan a la Agricultura Campesina, Familiar y Comunitaria, o de sus organizaciones legalmente constituidas</w:t>
      </w:r>
      <w:r>
        <w:rPr>
          <w:rFonts w:ascii="Verdana" w:eastAsia="Times New Roman" w:hAnsi="Verdana" w:cs="Arial"/>
          <w:lang w:eastAsia="es-CO"/>
        </w:rPr>
        <w:t>”</w:t>
      </w:r>
      <w:r w:rsidRPr="00B40B0D">
        <w:rPr>
          <w:rFonts w:ascii="Verdana" w:eastAsia="Times New Roman" w:hAnsi="Verdana" w:cs="Arial"/>
          <w:lang w:eastAsia="es-CO"/>
        </w:rPr>
        <w:t>.</w:t>
      </w:r>
    </w:p>
    <w:p w14:paraId="20F4CADC" w14:textId="77777777" w:rsidR="00BA4CDC" w:rsidRDefault="00BA4CDC" w:rsidP="0045752B">
      <w:pPr>
        <w:spacing w:after="120" w:line="276" w:lineRule="auto"/>
        <w:ind w:firstLine="708"/>
        <w:jc w:val="both"/>
        <w:rPr>
          <w:rFonts w:ascii="Verdana" w:eastAsia="Times New Roman" w:hAnsi="Verdana" w:cs="Arial"/>
          <w:lang w:eastAsia="es-CO"/>
        </w:rPr>
      </w:pPr>
    </w:p>
    <w:p w14:paraId="5C6BA940" w14:textId="77777777" w:rsidR="0045752B" w:rsidRDefault="0045752B" w:rsidP="0045752B">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En cuanto al campo de aplicación, el artículo 3 ibidem prescribe lo siguiente: </w:t>
      </w:r>
      <w:r>
        <w:rPr>
          <w:rFonts w:ascii="Verdana" w:eastAsia="Times New Roman" w:hAnsi="Verdana" w:cs="Arial"/>
          <w:lang w:eastAsia="es-CO"/>
        </w:rPr>
        <w:t>“</w:t>
      </w:r>
      <w:r w:rsidRPr="00B40B0D">
        <w:rPr>
          <w:rFonts w:ascii="Verdana" w:eastAsia="Times New Roman" w:hAnsi="Verdana" w:cs="Arial"/>
          <w:lang w:eastAsia="es-CO"/>
        </w:rPr>
        <w:t>Las disposiciones que aquí se establecen, serán obligatorias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w:t>
      </w:r>
      <w:r>
        <w:rPr>
          <w:rFonts w:ascii="Verdana" w:eastAsia="Times New Roman" w:hAnsi="Verdana" w:cs="Arial"/>
          <w:lang w:eastAsia="es-CO"/>
        </w:rPr>
        <w:t>”</w:t>
      </w:r>
      <w:r w:rsidRPr="00B40B0D">
        <w:rPr>
          <w:rFonts w:ascii="Verdana" w:eastAsia="Times New Roman" w:hAnsi="Verdana" w:cs="Arial"/>
          <w:lang w:eastAsia="es-CO"/>
        </w:rPr>
        <w:t xml:space="preserve">. </w:t>
      </w:r>
    </w:p>
    <w:p w14:paraId="2948EA9F" w14:textId="77777777" w:rsidR="0045752B" w:rsidRDefault="0045752B" w:rsidP="0045752B">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Por lo demás, también dispone en su inciso segundo que </w:t>
      </w:r>
      <w:r>
        <w:rPr>
          <w:rFonts w:ascii="Verdana" w:eastAsia="Times New Roman" w:hAnsi="Verdana" w:cs="Arial"/>
          <w:lang w:eastAsia="es-CO"/>
        </w:rPr>
        <w:t>“</w:t>
      </w:r>
      <w:r w:rsidRPr="00B40B0D">
        <w:rPr>
          <w:rFonts w:ascii="Verdana" w:eastAsia="Times New Roman" w:hAnsi="Verdana" w:cs="Arial"/>
          <w:lang w:eastAsia="es-CO"/>
        </w:rPr>
        <w:t xml:space="preserve">Las disposiciones contempladas en la presente ley también aplicarán para entidades privadas que suscriban contratos con el Estado y que, en desarrollo de las labores o actividades desplegadas en el marco de aquellos, demanden de forma </w:t>
      </w:r>
      <w:r w:rsidRPr="00B40B0D">
        <w:rPr>
          <w:rFonts w:ascii="Verdana" w:eastAsia="Times New Roman" w:hAnsi="Verdana" w:cs="Arial"/>
          <w:lang w:eastAsia="es-CO"/>
        </w:rPr>
        <w:lastRenderedPageBreak/>
        <w:t>directa o a través de interpuesta persona alimentos para abastecimiento o para suministro de productos de origen agropecuario</w:t>
      </w:r>
      <w:r>
        <w:rPr>
          <w:rFonts w:ascii="Verdana" w:eastAsia="Times New Roman" w:hAnsi="Verdana" w:cs="Arial"/>
          <w:lang w:eastAsia="es-CO"/>
        </w:rPr>
        <w:t>”</w:t>
      </w:r>
      <w:r w:rsidRPr="00B40B0D">
        <w:rPr>
          <w:rFonts w:ascii="Verdana" w:eastAsia="Times New Roman" w:hAnsi="Verdana" w:cs="Arial"/>
          <w:lang w:eastAsia="es-CO"/>
        </w:rPr>
        <w:t xml:space="preserve">. </w:t>
      </w:r>
    </w:p>
    <w:p w14:paraId="6D5D9E97" w14:textId="77777777" w:rsidR="0045752B" w:rsidRDefault="0045752B" w:rsidP="0045752B">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En efecto, este ámbito de aplicación no se limita a las entidades sujetas a la Ley 80 de 1993, sino que se extiende a otro tipo de Entidades Públicas de los distintos órdenes, las sociedades de economía mixta, entidades privadas que administren recursos públicos, así como los demás sujetos mencionados en la norma. En esta línea, dispone unas reglas a las que deberán sujetarse en aras de garantizar el bienestar y el fomento de la agricultura en el país. </w:t>
      </w:r>
    </w:p>
    <w:p w14:paraId="3B99F5FA" w14:textId="77777777" w:rsidR="0045752B" w:rsidRDefault="0045752B" w:rsidP="00DD269F">
      <w:pPr>
        <w:spacing w:before="240"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El artículo 4 de la Ley 2046 de 2020 también define algunos términos y establece unas siglas para el entendimiento e interpretación de las reglas contenidas en este cuerpo normativo. El artículo 5 crea la Mesa Técnica Nacional de Compras Públicas Locales de Alimentos, y el artículo 6 obliga al Gobierno Nacional a diseñar e implementar planes, programas y acciones pedagógicas y de seguimiento para capacitar alcaldías, gobernaciones y participantes de los espacios territoriales de articulación definidos por Mesa Técnica Nacional de Compras Públicas Locales de Alimentos, así como a pequeños productores y productores de la Agricultura Campesina, Familiar o Comunitaria y organizaciones en los diferentes ejes temáticos indicados en la norma. </w:t>
      </w:r>
    </w:p>
    <w:p w14:paraId="1C7E39AF" w14:textId="77777777" w:rsidR="0045752B" w:rsidRDefault="0045752B" w:rsidP="00DD269F">
      <w:pPr>
        <w:spacing w:before="240" w:after="0" w:line="276" w:lineRule="auto"/>
        <w:ind w:firstLine="426"/>
        <w:jc w:val="both"/>
        <w:rPr>
          <w:rFonts w:ascii="Verdana" w:eastAsia="Times New Roman" w:hAnsi="Verdana" w:cs="Arial"/>
          <w:lang w:eastAsia="es-CO"/>
        </w:rPr>
      </w:pPr>
      <w:r w:rsidRPr="00B40B0D">
        <w:rPr>
          <w:rFonts w:ascii="Verdana" w:eastAsia="Times New Roman" w:hAnsi="Verdana" w:cs="Arial"/>
          <w:lang w:eastAsia="es-CO"/>
        </w:rPr>
        <w:t xml:space="preserve">Sin embargo, la mayor pretensión de esta Ley fue lo regulado en el artículo 7, el cual estable los porcentajes mínimos de compra local a pequeños productores y productores de la agricultura campesina, familiar y comunitaria. En tal sentido, establece las siguientes reglas: </w:t>
      </w:r>
    </w:p>
    <w:p w14:paraId="3177BB74" w14:textId="77777777" w:rsidR="0045752B" w:rsidRPr="00285011" w:rsidRDefault="0045752B" w:rsidP="0045752B">
      <w:pPr>
        <w:spacing w:after="0" w:line="276" w:lineRule="auto"/>
        <w:ind w:left="426" w:right="758"/>
        <w:jc w:val="both"/>
        <w:rPr>
          <w:rFonts w:ascii="Verdana" w:eastAsia="Times New Roman" w:hAnsi="Verdana" w:cs="Arial"/>
          <w:lang w:eastAsia="es-CO"/>
        </w:rPr>
      </w:pPr>
    </w:p>
    <w:p w14:paraId="595F128D" w14:textId="77777777" w:rsidR="0045752B" w:rsidRPr="00571478" w:rsidRDefault="0045752B" w:rsidP="00BA4CDC">
      <w:pPr>
        <w:spacing w:after="0" w:line="240" w:lineRule="auto"/>
        <w:ind w:left="709" w:right="709"/>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571478">
        <w:rPr>
          <w:rFonts w:ascii="Verdana" w:eastAsia="Times New Roman" w:hAnsi="Verdana" w:cs="Arial"/>
          <w:sz w:val="20"/>
          <w:szCs w:val="20"/>
          <w:lang w:eastAsia="es-CO"/>
        </w:rPr>
        <w:t>i) las entidades que están sujetas al ámbito de aplicación de esta ley tienen la obligación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En el evento que no se cumpla este porcentaje deben informar a la Mesa Técnica Nacional de Compra Pública de Alimentos, quien certifica y realiza las gestiones para otorgar un listado de pequeños productores;</w:t>
      </w:r>
    </w:p>
    <w:p w14:paraId="2F579B04" w14:textId="77777777" w:rsidR="0045752B" w:rsidRPr="00571478" w:rsidRDefault="0045752B" w:rsidP="00BA4CDC">
      <w:pPr>
        <w:spacing w:after="0" w:line="240" w:lineRule="auto"/>
        <w:ind w:left="709" w:right="709"/>
        <w:jc w:val="both"/>
        <w:rPr>
          <w:rFonts w:ascii="Verdana" w:eastAsia="Times New Roman" w:hAnsi="Verdana" w:cs="Arial"/>
          <w:sz w:val="20"/>
          <w:szCs w:val="20"/>
          <w:lang w:eastAsia="es-CO"/>
        </w:rPr>
      </w:pPr>
    </w:p>
    <w:p w14:paraId="4EE2C297" w14:textId="77777777" w:rsidR="0045752B" w:rsidRPr="00571478" w:rsidRDefault="0045752B" w:rsidP="00BA4CDC">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 xml:space="preserve">ii) También deben establecer en su Pliego de Condiciones un puntaje mínimo del diez por ciento (10%) de los puntos asignables a la calificación de las propuestas, que se asignan proporcionalmente a aquellos </w:t>
      </w:r>
      <w:r w:rsidRPr="00571478">
        <w:rPr>
          <w:rFonts w:ascii="Verdana" w:eastAsia="Times New Roman" w:hAnsi="Verdana" w:cs="Arial"/>
          <w:sz w:val="20"/>
          <w:szCs w:val="20"/>
          <w:lang w:eastAsia="es-CO"/>
        </w:rPr>
        <w:lastRenderedPageBreak/>
        <w:t xml:space="preserve">proponentes que se obliguen a adquirir productos provenientes de pequeños productores agropecuarios locales y/o a productores de la Agricultura Campesina, Familiar o Comunitaria locales y sus organizaciones, en una proporción mayor al mínimo exigido por la entidad contratante; </w:t>
      </w:r>
    </w:p>
    <w:p w14:paraId="6C500866" w14:textId="77777777" w:rsidR="0045752B" w:rsidRDefault="0045752B" w:rsidP="0045752B">
      <w:pPr>
        <w:spacing w:after="0" w:line="240" w:lineRule="auto"/>
        <w:ind w:left="709" w:right="709"/>
        <w:jc w:val="both"/>
        <w:rPr>
          <w:rFonts w:ascii="Verdana" w:eastAsia="Times New Roman" w:hAnsi="Verdana" w:cs="Arial"/>
          <w:sz w:val="20"/>
          <w:szCs w:val="20"/>
          <w:lang w:eastAsia="es-CO"/>
        </w:rPr>
      </w:pPr>
    </w:p>
    <w:p w14:paraId="555F2052" w14:textId="77777777" w:rsidR="0045752B" w:rsidRPr="00571478" w:rsidRDefault="0045752B" w:rsidP="0045752B">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iii) Deben incluir en sus contratos la obligación por parte de sus contratistas que ejecuten u operen los programas institucionales en que se adquieran alimentos, de participar en los espacios de articulación que se definan por parte de la Mesa Técnica Nacional de Compras Públicas Locales de Alimentos y de participar en su rol de compradores de alimentos o de sus materias primas, en las ruedas de negocios que se realicen en virtud de lo establecido en la presente ley;</w:t>
      </w:r>
    </w:p>
    <w:p w14:paraId="3D67DFF4" w14:textId="77777777" w:rsidR="0045752B" w:rsidRDefault="0045752B" w:rsidP="0045752B">
      <w:pPr>
        <w:spacing w:after="0" w:line="240" w:lineRule="auto"/>
        <w:ind w:left="709" w:right="709"/>
        <w:jc w:val="both"/>
        <w:rPr>
          <w:rFonts w:ascii="Verdana" w:eastAsia="Times New Roman" w:hAnsi="Verdana" w:cs="Arial"/>
          <w:sz w:val="20"/>
          <w:szCs w:val="20"/>
          <w:lang w:eastAsia="es-CO"/>
        </w:rPr>
      </w:pPr>
    </w:p>
    <w:p w14:paraId="33A5949C" w14:textId="77777777" w:rsidR="00CD6D26" w:rsidRDefault="00CD6D26" w:rsidP="0045752B">
      <w:pPr>
        <w:spacing w:after="0" w:line="240" w:lineRule="auto"/>
        <w:ind w:left="709" w:right="709"/>
        <w:jc w:val="both"/>
        <w:rPr>
          <w:rFonts w:ascii="Verdana" w:eastAsia="Times New Roman" w:hAnsi="Verdana" w:cs="Arial"/>
          <w:sz w:val="20"/>
          <w:szCs w:val="20"/>
          <w:lang w:eastAsia="es-CO"/>
        </w:rPr>
      </w:pPr>
    </w:p>
    <w:p w14:paraId="55075846" w14:textId="77777777" w:rsidR="0045752B" w:rsidRPr="00571478" w:rsidRDefault="0045752B" w:rsidP="0045752B">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 xml:space="preserve">iv) Establecerá en sus estudios previos, la zona geográfica para la compra pública local de alimentos a pequeños productores agropecuarios y/o a productores de la Agricultura Campesina, Familiar o Comunitaria locales o sus organizaciones, con base en una serie de criterios definidos en la norma. </w:t>
      </w:r>
    </w:p>
    <w:p w14:paraId="15D25DF5" w14:textId="77777777" w:rsidR="0045752B" w:rsidRPr="00B40B0D" w:rsidRDefault="0045752B" w:rsidP="0045752B">
      <w:pPr>
        <w:spacing w:after="0" w:line="276" w:lineRule="auto"/>
        <w:jc w:val="both"/>
        <w:rPr>
          <w:rFonts w:ascii="Verdana" w:eastAsia="Times New Roman" w:hAnsi="Verdana" w:cs="Arial"/>
          <w:lang w:eastAsia="es-CO"/>
        </w:rPr>
      </w:pPr>
      <w:r w:rsidRPr="00B40B0D">
        <w:rPr>
          <w:rFonts w:ascii="Verdana" w:eastAsia="Times New Roman" w:hAnsi="Verdana" w:cs="Arial"/>
          <w:lang w:eastAsia="es-CO"/>
        </w:rPr>
        <w:t xml:space="preserve"> </w:t>
      </w:r>
    </w:p>
    <w:p w14:paraId="426B4264" w14:textId="77777777" w:rsidR="0045752B" w:rsidRDefault="0045752B" w:rsidP="0045752B">
      <w:pPr>
        <w:spacing w:after="120" w:line="276" w:lineRule="auto"/>
        <w:ind w:firstLine="426"/>
        <w:jc w:val="both"/>
        <w:rPr>
          <w:rFonts w:ascii="Verdana" w:eastAsia="Times New Roman" w:hAnsi="Verdana" w:cs="Arial"/>
          <w:lang w:eastAsia="es-CO"/>
        </w:rPr>
      </w:pPr>
      <w:r w:rsidRPr="00B40B0D">
        <w:rPr>
          <w:rFonts w:ascii="Verdana" w:eastAsia="Times New Roman" w:hAnsi="Verdana" w:cs="Arial"/>
          <w:lang w:eastAsia="es-CO"/>
        </w:rPr>
        <w:t>Seguidamente, los demás artículos de la Ley 2046 de 2020 tratan temas varios como: i) diseño y adecuación de minutas alimentarias y menú –artículo 8–, ii) especificaciones técnicas de los productos –artículo 9–, iii) pago de las compras realizadas a productores de la agricultura campesina, familiar y comunitaria –artículo 10–, iv) sistema público de información alimentaria de pequeños productores locales y de productores de la agricultura campesina, familiar y comunitaria y sus organizaciones –artículo 11–, v) informes de cumplimiento al Congreso de la República –artículo 12– y vi) mecanismos de monitoreo y vigilancia –artículo 13–.</w:t>
      </w:r>
    </w:p>
    <w:p w14:paraId="27DECD9F" w14:textId="77777777" w:rsidR="0045752B" w:rsidRPr="00B40B0D" w:rsidRDefault="0045752B" w:rsidP="0045752B">
      <w:pPr>
        <w:spacing w:after="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En el marco de la Ley 2046 de 2020, se expidió el Decreto 248 del 9 de marzo de 2021, </w:t>
      </w:r>
      <w:r>
        <w:rPr>
          <w:rFonts w:ascii="Verdana" w:eastAsia="Times New Roman" w:hAnsi="Verdana" w:cs="Arial"/>
          <w:lang w:eastAsia="es-CO"/>
        </w:rPr>
        <w:t>“</w:t>
      </w:r>
      <w:r w:rsidRPr="00B40B0D">
        <w:rPr>
          <w:rFonts w:ascii="Verdana" w:eastAsia="Times New Roman" w:hAnsi="Verdana" w:cs="Arial"/>
          <w:lang w:eastAsia="es-CO"/>
        </w:rPr>
        <w:t>Por el cual se adiciona la Parte 20 al Libro 2 del Decreto 1071 de 2015, Decreto Único Reglamentario del Sector Administrativo Agropecuario, Pesquero y de Desarrollo Rural, relacionado con las compras públicas de alimentos</w:t>
      </w:r>
      <w:r>
        <w:rPr>
          <w:rFonts w:ascii="Verdana" w:eastAsia="Times New Roman" w:hAnsi="Verdana" w:cs="Arial"/>
          <w:lang w:eastAsia="es-CO"/>
        </w:rPr>
        <w:t>”</w:t>
      </w:r>
      <w:r w:rsidRPr="00B40B0D">
        <w:rPr>
          <w:rFonts w:ascii="Verdana" w:eastAsia="Times New Roman" w:hAnsi="Verdana" w:cs="Arial"/>
          <w:lang w:eastAsia="es-CO"/>
        </w:rPr>
        <w:t xml:space="preserve">. En la memoria justificativa de este decreto se expresó: </w:t>
      </w:r>
    </w:p>
    <w:p w14:paraId="298317B1" w14:textId="77777777" w:rsidR="0045752B" w:rsidRPr="00B40B0D" w:rsidRDefault="0045752B" w:rsidP="0045752B">
      <w:pPr>
        <w:spacing w:after="0" w:line="276" w:lineRule="auto"/>
        <w:jc w:val="both"/>
        <w:rPr>
          <w:rFonts w:ascii="Verdana" w:eastAsia="Times New Roman" w:hAnsi="Verdana" w:cs="Arial"/>
          <w:lang w:eastAsia="es-CO"/>
        </w:rPr>
      </w:pPr>
    </w:p>
    <w:p w14:paraId="2530AD5B" w14:textId="77777777" w:rsidR="0045752B" w:rsidRPr="00285011" w:rsidRDefault="0045752B" w:rsidP="0045752B">
      <w:pPr>
        <w:spacing w:after="0" w:line="240" w:lineRule="auto"/>
        <w:ind w:left="709" w:right="709"/>
        <w:jc w:val="both"/>
        <w:rPr>
          <w:rFonts w:ascii="Verdana" w:eastAsia="Times New Roman" w:hAnsi="Verdana" w:cs="Arial"/>
          <w:sz w:val="20"/>
          <w:szCs w:val="20"/>
          <w:lang w:eastAsia="es-CO"/>
        </w:rPr>
      </w:pPr>
      <w:r w:rsidRPr="00285011">
        <w:rPr>
          <w:rFonts w:ascii="Verdana" w:eastAsia="Times New Roman" w:hAnsi="Verdana" w:cs="Arial"/>
          <w:sz w:val="20"/>
          <w:szCs w:val="20"/>
          <w:lang w:eastAsia="es-CO"/>
        </w:rPr>
        <w:t xml:space="preserve">“La importancia de las compras públicas locales para el desarrollo territorial fue también resaltada en la Reforma Rural Integral –RRI, planteada en el Acuerdo Final Para la Terminación del Conflicto y Construcción de una Paz Estable y Duradera suscrito entre el Gobierno </w:t>
      </w:r>
      <w:r w:rsidRPr="00285011">
        <w:rPr>
          <w:rFonts w:ascii="Verdana" w:eastAsia="Times New Roman" w:hAnsi="Verdana" w:cs="Arial"/>
          <w:sz w:val="20"/>
          <w:szCs w:val="20"/>
          <w:lang w:eastAsia="es-CO"/>
        </w:rPr>
        <w:lastRenderedPageBreak/>
        <w:t xml:space="preserve">Nacional y las Fuerzas Armadas Revolucionarias de Colombia –FARC. En la RRI, en su numeral 1.3.3.4. plantea la formulación e implementación del Plan Nacional para la Promoción de la Comercialización de la Producción de la Economía Campesina, Familiar y Comunitaria, que contiene, una seria de medidas para estimular el mercadeo de los productos campesinos, ordenando entre otras, el diseño e implementación progresiva de un mecanismo de compras públicas para atender la demanda de las entidades y programas institucionales, que de manera descentralizada, que fomente la producción local para apoyar la comercialización y absorción de la producción de la economía campesina familiar y comunitaria”. </w:t>
      </w:r>
    </w:p>
    <w:p w14:paraId="57773D8B" w14:textId="77777777" w:rsidR="0045752B" w:rsidRPr="00B40B0D" w:rsidRDefault="0045752B" w:rsidP="0045752B">
      <w:pPr>
        <w:spacing w:after="0" w:line="276" w:lineRule="auto"/>
        <w:jc w:val="both"/>
        <w:rPr>
          <w:rFonts w:ascii="Verdana" w:eastAsia="Times New Roman" w:hAnsi="Verdana" w:cs="Arial"/>
          <w:lang w:eastAsia="es-CO"/>
        </w:rPr>
      </w:pPr>
    </w:p>
    <w:p w14:paraId="1480F443" w14:textId="77777777" w:rsidR="0045752B" w:rsidRDefault="0045752B" w:rsidP="0045752B">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ab/>
        <w:t>Este reglamento adiciona la Parte 20 del Libro 2 del Decreto 1071 de 2015, el cual desarrolla el sistema de compra pública de alimentos. También detalla varios aspectos como las definiciones, el mínimo de compras públicas de alimentos y suministros, los puntajes adicionales obligatorios dentro de los procesos de contratación y los puntajes adicionales facultativos, entre otros.</w:t>
      </w:r>
    </w:p>
    <w:p w14:paraId="32275DFF" w14:textId="77777777" w:rsidR="0045752B" w:rsidRDefault="0045752B" w:rsidP="0045752B">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 xml:space="preserve"> </w:t>
      </w:r>
      <w:r w:rsidRPr="00B40B0D">
        <w:rPr>
          <w:rFonts w:ascii="Verdana" w:eastAsia="Times New Roman" w:hAnsi="Verdana" w:cs="Arial"/>
          <w:lang w:eastAsia="es-CO"/>
        </w:rPr>
        <w:tab/>
        <w:t xml:space="preserve">Dentro de estas reglas, es importante señalar que el artículo 2.20.1.1.3. del Decreto 1071 de 2015 dispuso que las Entidades Públicas del nivel nacional, departamental, distrital, municipal, sociedades de economía mixta, y entidades privadas que manejen recursos públicos y operen en el territorio nacional, que contraten, bajo cualquier modalidad, con recursos públicos la adquisición, suministro y entrega de alimentos en cualquiera de sus formas de atención, están en el deber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w:t>
      </w:r>
    </w:p>
    <w:p w14:paraId="2B4DC732" w14:textId="77777777" w:rsidR="0045752B" w:rsidRDefault="0045752B" w:rsidP="0045752B">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Asimismo, dispone que en el evento que la oferta de alimentos producidos por pequeños productores y/o productores de la Agricultura Campesina, Familiar o Comunitaria local sea inferior al treinta por ciento (30%), las entidades deben informar de esta situación a la Secretaría Técnica de la Mesa Técnica Nacional de Compras Públicas Locales en el término máximo de cinco (5) días hábiles siguientes una vez advertida la situación. Recibida la comunicación de parte de la entidad contratante, la Secretaría Técnica de la Mesa tendrá cinco (5) días hábiles para realizar las gestiones necesarias para otorgar un listado de </w:t>
      </w:r>
      <w:r w:rsidRPr="00B40B0D">
        <w:rPr>
          <w:rFonts w:ascii="Verdana" w:eastAsia="Times New Roman" w:hAnsi="Verdana" w:cs="Arial"/>
          <w:lang w:eastAsia="es-CO"/>
        </w:rPr>
        <w:lastRenderedPageBreak/>
        <w:t>pequeños productores y/o productores de la Agricultura Campesina, Familiar o Comunitaria no locales a quienes puede acudir para suplir el porcentaje restante.</w:t>
      </w:r>
    </w:p>
    <w:p w14:paraId="61DF8E8C" w14:textId="77777777" w:rsidR="0045752B" w:rsidRPr="00B40B0D" w:rsidRDefault="0045752B" w:rsidP="0045752B">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ab/>
        <w:t xml:space="preserve">En este punto, resulta pertinente señalar que el artículo 2.20.1.1.3. </w:t>
      </w:r>
      <w:r w:rsidRPr="00285011">
        <w:rPr>
          <w:rFonts w:ascii="Verdana" w:eastAsia="Times New Roman" w:hAnsi="Verdana" w:cs="Arial"/>
          <w:i/>
          <w:lang w:eastAsia="es-CO"/>
        </w:rPr>
        <w:t>ibidem</w:t>
      </w:r>
      <w:r w:rsidRPr="00B40B0D">
        <w:rPr>
          <w:rFonts w:ascii="Verdana" w:eastAsia="Times New Roman" w:hAnsi="Verdana" w:cs="Arial"/>
          <w:lang w:eastAsia="es-CO"/>
        </w:rPr>
        <w:t xml:space="preserve"> debe interpretarse de forma sistemática con la Ley 2046 de 2020, la cual como se señaló en el acápite anterior, busca establecer una serie de instrumentos tendientes a que en todos los programas de adquisición, suministro y distribución de alimentos con cargo a recursos públicos se promueva la participación de pequeños productores locales agropecuarios cuyos sistemas productivos pertenezcan a la Agricultura Campesina, Familiar y Comunitaria, o de sus organizaciones legalmente constituidas y los artículos 64 y 65 de la Constitución Política de Colombia. </w:t>
      </w:r>
    </w:p>
    <w:p w14:paraId="586C7257" w14:textId="77777777" w:rsidR="0045752B" w:rsidRPr="00B40B0D" w:rsidRDefault="0045752B" w:rsidP="0045752B">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ab/>
        <w:t xml:space="preserve">Ahora bien, respecto a los puntajes previstos en los artículos 2.20.1.2.1, 2.20.1.2.2 y 2.20.1.2.3 del Decreto 1071 de 2015, el interesado deberá acreditar la calidad exigida en cada una de estas normas para beneficiarse del incentivo, pues estas no consagran una equivalencia entre el productor agropecuario local y nacional. En efecto, los puntajes adicionales obligatorios y facultativos aplican a los productores agropecuarios nacionales, los cuales están definidos en el literal d) del artículo 2.20.1.1.1 ibidem como las personas cuyo sistema de producción se encuentra ubicado en el territorio nacional. </w:t>
      </w:r>
    </w:p>
    <w:p w14:paraId="536B5982" w14:textId="77777777" w:rsidR="0045752B" w:rsidRDefault="0045752B" w:rsidP="00DD269F">
      <w:pPr>
        <w:spacing w:after="240" w:line="276" w:lineRule="auto"/>
        <w:ind w:firstLine="709"/>
        <w:jc w:val="both"/>
        <w:rPr>
          <w:rFonts w:ascii="Verdana" w:eastAsia="Times New Roman" w:hAnsi="Verdana" w:cs="Arial"/>
          <w:lang w:eastAsia="es-CO"/>
        </w:rPr>
      </w:pPr>
      <w:r w:rsidRPr="00B40B0D">
        <w:rPr>
          <w:rFonts w:ascii="Verdana" w:eastAsia="Times New Roman" w:hAnsi="Verdana" w:cs="Arial"/>
          <w:lang w:eastAsia="es-CO"/>
        </w:rPr>
        <w:t xml:space="preserve">Conforme a los artículos 2.20.1.2.1 y 2.20.1.2.2 del reglamento, estos acreditarán su condición con el </w:t>
      </w:r>
      <w:r>
        <w:rPr>
          <w:rFonts w:ascii="Verdana" w:eastAsia="Times New Roman" w:hAnsi="Verdana" w:cs="Arial"/>
          <w:lang w:eastAsia="es-CO"/>
        </w:rPr>
        <w:t>“</w:t>
      </w:r>
      <w:r w:rsidRPr="00B40B0D">
        <w:rPr>
          <w:rFonts w:ascii="Verdana" w:eastAsia="Times New Roman" w:hAnsi="Verdana" w:cs="Arial"/>
          <w:lang w:eastAsia="es-CO"/>
        </w:rPr>
        <w:t>[…] contrato de arrendamiento o un certificado de tradición y libertad del inmueble, o los recibos de pago de los impuestos, contribuciones y valorizaciones del inmueble, que permita demostrar que los productores tienen la calidad de propietarios, poseedores, o tenedores del predio, en los que se evidencie la vereda, el municipio, el departamento o la región de ubicación donde se encuentra el sistema de producción del proveedor de los productos agropecuarios dentro del territorio nacional</w:t>
      </w:r>
      <w:r>
        <w:rPr>
          <w:rFonts w:ascii="Verdana" w:eastAsia="Times New Roman" w:hAnsi="Verdana" w:cs="Arial"/>
          <w:lang w:eastAsia="es-CO"/>
        </w:rPr>
        <w:t>”</w:t>
      </w:r>
      <w:r w:rsidRPr="00B40B0D">
        <w:rPr>
          <w:rFonts w:ascii="Verdana" w:eastAsia="Times New Roman" w:hAnsi="Verdana" w:cs="Arial"/>
          <w:lang w:eastAsia="es-CO"/>
        </w:rPr>
        <w:t>.</w:t>
      </w:r>
    </w:p>
    <w:p w14:paraId="5855AB43" w14:textId="77777777" w:rsidR="0045752B" w:rsidRDefault="0045752B" w:rsidP="00DD269F">
      <w:pPr>
        <w:spacing w:after="240" w:line="276" w:lineRule="auto"/>
        <w:ind w:firstLine="709"/>
        <w:jc w:val="both"/>
        <w:rPr>
          <w:rFonts w:ascii="Verdana" w:eastAsia="Times New Roman" w:hAnsi="Verdana" w:cs="Arial"/>
          <w:lang w:eastAsia="es-CO"/>
        </w:rPr>
      </w:pPr>
      <w:r w:rsidRPr="00F8119C">
        <w:rPr>
          <w:rFonts w:ascii="Verdana" w:eastAsia="Times New Roman" w:hAnsi="Verdana" w:cs="Arial"/>
          <w:lang w:eastAsia="es-CO"/>
        </w:rPr>
        <w:t xml:space="preserve">En este contexto, el artículo 2.20.1.2.1 del Decreto 1071 de 2015 consagra los criterios de aplicación obligatoria que deben ser incorporados por las entidades estatales en los procesos de selección que tengan por objeto la adquisición de productos agropecuarios para programas institucionales de alimentación. Dentro de dichos criterios, el literal b) prevé la asignación de un </w:t>
      </w:r>
      <w:r w:rsidRPr="00F8119C">
        <w:rPr>
          <w:rFonts w:ascii="Verdana" w:eastAsia="Times New Roman" w:hAnsi="Verdana" w:cs="Arial"/>
          <w:lang w:eastAsia="es-CO"/>
        </w:rPr>
        <w:lastRenderedPageBreak/>
        <w:t>puntaje adicional obligatorio cuando el oferente tenga la calidad de proveedor directo.</w:t>
      </w:r>
    </w:p>
    <w:p w14:paraId="69981DC7" w14:textId="77777777" w:rsidR="0045752B" w:rsidRDefault="0045752B" w:rsidP="0045752B">
      <w:pPr>
        <w:spacing w:after="120" w:line="276" w:lineRule="auto"/>
        <w:ind w:firstLine="708"/>
        <w:jc w:val="both"/>
        <w:rPr>
          <w:rFonts w:ascii="Verdana" w:eastAsia="Times New Roman" w:hAnsi="Verdana" w:cs="Arial"/>
          <w:lang w:eastAsia="es-CO"/>
        </w:rPr>
      </w:pPr>
      <w:r w:rsidRPr="00F8119C">
        <w:rPr>
          <w:rFonts w:ascii="Verdana" w:eastAsia="Times New Roman" w:hAnsi="Verdana" w:cs="Arial"/>
          <w:lang w:eastAsia="es-CO"/>
        </w:rPr>
        <w:t>Ahora bien, del tenor literal de la norma se advierte que el Decreto no concibe la categoría de proveedor directo como una condición autónoma o independiente, sino que define expresamente su alcance al señalar que dicha calidad se predica de quien sea pequeño productor agropecuario y/o productor de la Agricultura Campesina, Familiar y Comunitaria (ACFC), y/o de sus organizaciones. En consecuencia, la condición de proveedor directo se encuentra jurídicamente vinculada a la participación directa del oferente en la actividad productiva agropecuaria, y no a la simple comercialización o intermediación de los bienes.</w:t>
      </w:r>
    </w:p>
    <w:p w14:paraId="0BBB3F7A" w14:textId="77777777" w:rsidR="0045752B" w:rsidRDefault="0045752B" w:rsidP="0045752B">
      <w:pPr>
        <w:spacing w:after="120" w:line="276" w:lineRule="auto"/>
        <w:ind w:firstLine="708"/>
        <w:jc w:val="both"/>
        <w:rPr>
          <w:rFonts w:ascii="Verdana" w:eastAsia="Times New Roman" w:hAnsi="Verdana" w:cs="Arial"/>
          <w:lang w:eastAsia="es-CO"/>
        </w:rPr>
      </w:pPr>
      <w:r w:rsidRPr="00F8119C">
        <w:rPr>
          <w:rFonts w:ascii="Verdana" w:eastAsia="Times New Roman" w:hAnsi="Verdana" w:cs="Arial"/>
          <w:lang w:eastAsia="es-CO"/>
        </w:rPr>
        <w:t>Así, la interpretación sistemática del literal b) del artículo 2.20.1.2.1 permite concluir que el propósito del incentivo normativo es favorecer la contratación con sujetos que intervienen directamente en la producción de los alimentos, ya sea de manera individual como pequeños productores o productores de la ACFC, o de forma asociativa a través de organizaciones conformadas por estos, garantizando que el beneficio del puntaje adicional recaiga sobre quienes hacen parte efectiva de la base productiva rural.</w:t>
      </w:r>
    </w:p>
    <w:p w14:paraId="297ED92E" w14:textId="77777777" w:rsidR="0045752B" w:rsidRDefault="0045752B" w:rsidP="0045752B">
      <w:pPr>
        <w:spacing w:after="120" w:line="276" w:lineRule="auto"/>
        <w:ind w:firstLine="708"/>
        <w:jc w:val="both"/>
        <w:rPr>
          <w:rFonts w:ascii="Verdana" w:eastAsia="Times New Roman" w:hAnsi="Verdana" w:cs="Arial"/>
          <w:lang w:eastAsia="es-CO"/>
        </w:rPr>
      </w:pPr>
      <w:r w:rsidRPr="00F8119C">
        <w:rPr>
          <w:rFonts w:ascii="Verdana" w:eastAsia="Times New Roman" w:hAnsi="Verdana" w:cs="Arial"/>
          <w:lang w:eastAsia="es-CO"/>
        </w:rPr>
        <w:t>Bajo este entendimiento, no resulta procedente extender la noción de proveedor directo a oferentes que, aun participando en el proceso de contratación, no acrediten su calidad de pequeños productores o productores de la ACFC, ni la de organización de estos, por cuanto ello desnaturalizaría la finalidad del esquema de puntajes establecido por el Decreto 248 de 2021, cuyo objetivo es promover la inclusión de la Agricultura Campesina, Familiar y Comunitaria y de los pequeños productores agropecuarios en las compras públicas de alimentos.</w:t>
      </w:r>
    </w:p>
    <w:p w14:paraId="025E737C" w14:textId="77777777" w:rsidR="0045752B" w:rsidRDefault="0045752B" w:rsidP="0045752B">
      <w:pPr>
        <w:spacing w:after="120" w:line="276" w:lineRule="auto"/>
        <w:ind w:firstLine="708"/>
        <w:jc w:val="both"/>
        <w:rPr>
          <w:rFonts w:ascii="Verdana" w:eastAsia="Times New Roman" w:hAnsi="Verdana" w:cs="Arial"/>
          <w:lang w:eastAsia="es-CO"/>
        </w:rPr>
      </w:pPr>
      <w:r w:rsidRPr="00F8119C">
        <w:rPr>
          <w:rFonts w:ascii="Verdana" w:eastAsia="Times New Roman" w:hAnsi="Verdana" w:cs="Arial"/>
          <w:lang w:eastAsia="es-CO"/>
        </w:rPr>
        <w:t>En consecuencia, para efectos de la aplicación del puntaje adicional previsto en el literal b) del artículo 2.20.1.2.1 del Decreto 1071 de 2015, la calidad de proveedor directo debe entenderse acreditada únicamente cuando el oferente demuestre su condición de pequeño productor agropecuario, productor de la Agricultura Campesina, Familiar y Comunitaria, o de organización integrada por estos, en los términos previstos por la normativa vigente.</w:t>
      </w:r>
    </w:p>
    <w:p w14:paraId="7C81113E" w14:textId="77777777" w:rsidR="0045752B" w:rsidRDefault="0045752B" w:rsidP="0045752B">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lastRenderedPageBreak/>
        <w:t>Ahora bien, en torno a su consulta y e</w:t>
      </w:r>
      <w:r w:rsidRPr="00513B7A">
        <w:rPr>
          <w:rFonts w:ascii="Verdana" w:eastAsia="Times New Roman" w:hAnsi="Verdana" w:cs="Arial"/>
          <w:lang w:eastAsia="es-CO"/>
        </w:rPr>
        <w:t>n atención al análisis normativo y doctrinal efectuado, se observa que el artículo 2.20.1.2.1 del Decreto 248 de 2021 no dispone que la calidad de proveedor directo deba recaer de manera simultánea sobre todos los integrantes de un proponente plural. La disposición se dirige al “proponente” como unidad funcional, lo cual permite concluir que basta con que uno de los miembros de la unión temporal o consorcio acredite, de forma suficiente y verificable, la condición de proveedor directo, siempre que su participación en la ejecución contractual sea coherente con las actividades de fabricación, producción o importación del bien objeto del proceso. La norma tampoco establece un porcentaje mínimo de participación para dicho integrante, razón por la cual no es jurídicamente procedente que la entidad contratante imponga porcentajes no previstos por el ordenamiento, sin perjuicio de exigir que exista una correspondencia real entre el rol asignado al integrante y la condición de proveedor directo que pretende acreditar.</w:t>
      </w:r>
    </w:p>
    <w:p w14:paraId="7AED4592" w14:textId="1BF57721" w:rsidR="0045752B" w:rsidRPr="007A0E81" w:rsidRDefault="0045752B" w:rsidP="0045752B">
      <w:pPr>
        <w:spacing w:after="0" w:line="276" w:lineRule="auto"/>
        <w:ind w:firstLine="708"/>
        <w:jc w:val="both"/>
        <w:rPr>
          <w:rFonts w:ascii="Verdana" w:eastAsia="Calibri" w:hAnsi="Verdana" w:cs="Arial"/>
        </w:rPr>
      </w:pPr>
      <w:bookmarkStart w:id="1" w:name="nu59"/>
      <w:bookmarkEnd w:id="1"/>
    </w:p>
    <w:p w14:paraId="7B92E640" w14:textId="77777777" w:rsidR="0045752B" w:rsidRDefault="0045752B" w:rsidP="0045752B">
      <w:pPr>
        <w:spacing w:after="0" w:line="276" w:lineRule="auto"/>
        <w:jc w:val="both"/>
        <w:rPr>
          <w:rFonts w:ascii="Verdana" w:eastAsia="Calibri" w:hAnsi="Verdana" w:cs="Arial"/>
          <w:b/>
          <w:bCs/>
        </w:rPr>
      </w:pPr>
      <w:r w:rsidRPr="007A0E81">
        <w:rPr>
          <w:rFonts w:ascii="Verdana" w:eastAsia="Calibri" w:hAnsi="Verdana" w:cs="Arial"/>
          <w:b/>
          <w:bCs/>
        </w:rPr>
        <w:t>4. Referencias normativas, jurisprudenciales y otras fuentes:</w:t>
      </w:r>
    </w:p>
    <w:p w14:paraId="4D981AF6" w14:textId="77777777" w:rsidR="0045752B" w:rsidRPr="007A0E81" w:rsidRDefault="0045752B" w:rsidP="0045752B">
      <w:pPr>
        <w:spacing w:after="0" w:line="276" w:lineRule="auto"/>
        <w:jc w:val="both"/>
        <w:rPr>
          <w:rFonts w:ascii="Verdana" w:eastAsia="Calibri" w:hAnsi="Verdana" w:cs="Arial"/>
          <w:b/>
          <w:bC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5752B" w:rsidRPr="007A0E81" w14:paraId="4646F1BC" w14:textId="77777777" w:rsidTr="00627E18">
        <w:trPr>
          <w:trHeight w:val="1068"/>
        </w:trPr>
        <w:tc>
          <w:tcPr>
            <w:tcW w:w="8647" w:type="dxa"/>
            <w:tcBorders>
              <w:top w:val="dotted" w:sz="4" w:space="0" w:color="auto"/>
              <w:left w:val="dotted" w:sz="4" w:space="0" w:color="auto"/>
              <w:bottom w:val="dotted" w:sz="4" w:space="0" w:color="auto"/>
              <w:right w:val="dotted" w:sz="4" w:space="0" w:color="auto"/>
            </w:tcBorders>
          </w:tcPr>
          <w:p w14:paraId="5F4F36FE" w14:textId="77777777" w:rsidR="0045752B" w:rsidRPr="00571478" w:rsidRDefault="0045752B" w:rsidP="0045752B">
            <w:pPr>
              <w:pStyle w:val="Prrafodelista"/>
              <w:widowControl w:val="0"/>
              <w:numPr>
                <w:ilvl w:val="0"/>
                <w:numId w:val="17"/>
              </w:numPr>
              <w:autoSpaceDE w:val="0"/>
              <w:autoSpaceDN w:val="0"/>
              <w:spacing w:line="276" w:lineRule="auto"/>
              <w:contextualSpacing w:val="0"/>
              <w:jc w:val="both"/>
              <w:rPr>
                <w:rFonts w:ascii="Verdana" w:hAnsi="Verdana" w:cs="Arial"/>
              </w:rPr>
            </w:pPr>
            <w:r w:rsidRPr="00571478">
              <w:rPr>
                <w:rFonts w:ascii="Verdana" w:hAnsi="Verdana" w:cs="Arial"/>
              </w:rPr>
              <w:t>Ley 1955 de 2019</w:t>
            </w:r>
            <w:r w:rsidRPr="00B96F9B">
              <w:rPr>
                <w:rFonts w:ascii="Verdana" w:hAnsi="Verdana" w:cs="Arial"/>
              </w:rPr>
              <w:t>: Artículo</w:t>
            </w:r>
            <w:r w:rsidRPr="00571478">
              <w:rPr>
                <w:rFonts w:ascii="Verdana" w:hAnsi="Verdana" w:cs="Arial"/>
              </w:rPr>
              <w:t xml:space="preserve"> 229 </w:t>
            </w:r>
          </w:p>
          <w:p w14:paraId="7CFD9020" w14:textId="77777777" w:rsidR="0045752B" w:rsidRDefault="0045752B" w:rsidP="0045752B">
            <w:pPr>
              <w:pStyle w:val="Prrafodelista"/>
              <w:widowControl w:val="0"/>
              <w:numPr>
                <w:ilvl w:val="0"/>
                <w:numId w:val="17"/>
              </w:numPr>
              <w:autoSpaceDE w:val="0"/>
              <w:autoSpaceDN w:val="0"/>
              <w:spacing w:line="276" w:lineRule="auto"/>
              <w:contextualSpacing w:val="0"/>
              <w:jc w:val="both"/>
              <w:rPr>
                <w:rFonts w:ascii="Verdana" w:hAnsi="Verdana" w:cs="Arial"/>
              </w:rPr>
            </w:pPr>
            <w:r w:rsidRPr="00571478">
              <w:rPr>
                <w:rFonts w:ascii="Verdana" w:hAnsi="Verdana" w:cs="Arial"/>
              </w:rPr>
              <w:t>Ley 2046 de 2020</w:t>
            </w:r>
            <w:r w:rsidRPr="00B96F9B">
              <w:rPr>
                <w:rFonts w:ascii="Verdana" w:hAnsi="Verdana" w:cs="Arial"/>
              </w:rPr>
              <w:t>:</w:t>
            </w:r>
            <w:r w:rsidRPr="00571478">
              <w:rPr>
                <w:rFonts w:ascii="Verdana" w:hAnsi="Verdana" w:cs="Arial"/>
              </w:rPr>
              <w:t xml:space="preserve"> </w:t>
            </w:r>
            <w:r>
              <w:rPr>
                <w:rFonts w:ascii="Verdana" w:hAnsi="Verdana" w:cs="Arial"/>
              </w:rPr>
              <w:t>A</w:t>
            </w:r>
            <w:r w:rsidRPr="00571478">
              <w:rPr>
                <w:rFonts w:ascii="Verdana" w:hAnsi="Verdana" w:cs="Arial"/>
              </w:rPr>
              <w:t>rtículo 7</w:t>
            </w:r>
            <w:r>
              <w:rPr>
                <w:rFonts w:ascii="Verdana" w:hAnsi="Verdana" w:cs="Arial"/>
              </w:rPr>
              <w:t>, 8, 9, 10, 11,12 y 13</w:t>
            </w:r>
            <w:r w:rsidRPr="00571478">
              <w:rPr>
                <w:rFonts w:ascii="Verdana" w:hAnsi="Verdana" w:cs="Arial"/>
              </w:rPr>
              <w:t xml:space="preserve"> </w:t>
            </w:r>
          </w:p>
          <w:p w14:paraId="268F245F" w14:textId="77777777" w:rsidR="0045752B" w:rsidRPr="00F337E8" w:rsidRDefault="0045752B" w:rsidP="0045752B">
            <w:pPr>
              <w:pStyle w:val="Prrafodelista"/>
              <w:widowControl w:val="0"/>
              <w:numPr>
                <w:ilvl w:val="0"/>
                <w:numId w:val="17"/>
              </w:numPr>
              <w:autoSpaceDE w:val="0"/>
              <w:autoSpaceDN w:val="0"/>
              <w:spacing w:line="276" w:lineRule="auto"/>
              <w:contextualSpacing w:val="0"/>
              <w:jc w:val="both"/>
              <w:rPr>
                <w:rFonts w:ascii="Verdana" w:hAnsi="Verdana" w:cs="Arial"/>
              </w:rPr>
            </w:pPr>
            <w:r w:rsidRPr="00F337E8">
              <w:rPr>
                <w:rFonts w:ascii="Verdana" w:hAnsi="Verdana" w:cs="Arial"/>
              </w:rPr>
              <w:t xml:space="preserve">Decreto 248 de 2021: </w:t>
            </w:r>
            <w:r w:rsidRPr="00F337E8">
              <w:rPr>
                <w:rFonts w:ascii="Verdana" w:eastAsia="Times New Roman" w:hAnsi="Verdana" w:cs="Arial"/>
                <w:lang w:eastAsia="es-CO"/>
              </w:rPr>
              <w:t>Artículo 2.20.1.</w:t>
            </w:r>
            <w:r>
              <w:rPr>
                <w:rFonts w:ascii="Verdana" w:eastAsia="Times New Roman" w:hAnsi="Verdana" w:cs="Arial"/>
                <w:lang w:eastAsia="es-CO"/>
              </w:rPr>
              <w:t>2</w:t>
            </w:r>
            <w:r w:rsidRPr="00F337E8">
              <w:rPr>
                <w:rFonts w:ascii="Verdana" w:eastAsia="Times New Roman" w:hAnsi="Verdana" w:cs="Arial"/>
                <w:lang w:eastAsia="es-CO"/>
              </w:rPr>
              <w:t>.</w:t>
            </w:r>
            <w:r>
              <w:rPr>
                <w:rFonts w:ascii="Verdana" w:eastAsia="Times New Roman" w:hAnsi="Verdana" w:cs="Arial"/>
                <w:lang w:eastAsia="es-CO"/>
              </w:rPr>
              <w:t>1</w:t>
            </w:r>
            <w:r w:rsidRPr="00F337E8">
              <w:rPr>
                <w:rFonts w:ascii="Verdana" w:eastAsia="Times New Roman" w:hAnsi="Verdana" w:cs="Arial"/>
                <w:lang w:eastAsia="es-CO"/>
              </w:rPr>
              <w:t>.</w:t>
            </w:r>
          </w:p>
          <w:p w14:paraId="5C731705" w14:textId="77777777" w:rsidR="0045752B" w:rsidRPr="007A0E81" w:rsidRDefault="0045752B" w:rsidP="0045752B">
            <w:pPr>
              <w:pStyle w:val="Prrafodelista"/>
              <w:widowControl w:val="0"/>
              <w:numPr>
                <w:ilvl w:val="0"/>
                <w:numId w:val="17"/>
              </w:numPr>
              <w:autoSpaceDE w:val="0"/>
              <w:autoSpaceDN w:val="0"/>
              <w:spacing w:line="276" w:lineRule="auto"/>
              <w:contextualSpacing w:val="0"/>
              <w:jc w:val="both"/>
              <w:rPr>
                <w:rFonts w:ascii="Verdana" w:hAnsi="Verdana" w:cs="Arial"/>
                <w:lang w:val="es-MX"/>
              </w:rPr>
            </w:pPr>
            <w:r w:rsidRPr="00571478">
              <w:rPr>
                <w:rFonts w:ascii="Verdana" w:hAnsi="Verdana" w:cs="Arial"/>
              </w:rPr>
              <w:t>Decreto 1071 de 2015</w:t>
            </w:r>
            <w:r>
              <w:rPr>
                <w:rFonts w:ascii="Verdana" w:hAnsi="Verdana" w:cs="Arial"/>
              </w:rPr>
              <w:t xml:space="preserve">: </w:t>
            </w:r>
            <w:r>
              <w:rPr>
                <w:rFonts w:ascii="Verdana" w:eastAsia="Times New Roman" w:hAnsi="Verdana" w:cs="Arial"/>
                <w:lang w:eastAsia="es-CO"/>
              </w:rPr>
              <w:t>A</w:t>
            </w:r>
            <w:r w:rsidRPr="00B40B0D">
              <w:rPr>
                <w:rFonts w:ascii="Verdana" w:eastAsia="Times New Roman" w:hAnsi="Verdana" w:cs="Arial"/>
                <w:lang w:eastAsia="es-CO"/>
              </w:rPr>
              <w:t xml:space="preserve">rtículo 2.20.1.1.3. </w:t>
            </w:r>
            <w:r w:rsidRPr="00814408">
              <w:rPr>
                <w:rFonts w:ascii="Verdana" w:hAnsi="Verdana" w:cs="Arial"/>
                <w:lang w:val="es-MX"/>
              </w:rPr>
              <w:t xml:space="preserve"> </w:t>
            </w:r>
          </w:p>
        </w:tc>
      </w:tr>
    </w:tbl>
    <w:p w14:paraId="2AB487C0" w14:textId="77777777" w:rsidR="0045752B" w:rsidRPr="007A0E81" w:rsidRDefault="0045752B" w:rsidP="0045752B">
      <w:pPr>
        <w:tabs>
          <w:tab w:val="left" w:pos="142"/>
          <w:tab w:val="left" w:pos="284"/>
        </w:tabs>
        <w:spacing w:after="0" w:line="276" w:lineRule="auto"/>
        <w:jc w:val="both"/>
        <w:rPr>
          <w:rFonts w:ascii="Verdana" w:eastAsia="Calibri" w:hAnsi="Verdana" w:cs="Arial"/>
        </w:rPr>
      </w:pPr>
    </w:p>
    <w:p w14:paraId="6AC88B0B" w14:textId="77777777" w:rsidR="0045752B" w:rsidRPr="007A0E81" w:rsidRDefault="0045752B" w:rsidP="0045752B">
      <w:pPr>
        <w:tabs>
          <w:tab w:val="left" w:pos="142"/>
          <w:tab w:val="left" w:pos="284"/>
        </w:tabs>
        <w:spacing w:after="0" w:line="276" w:lineRule="auto"/>
        <w:jc w:val="both"/>
        <w:rPr>
          <w:rFonts w:ascii="Verdana" w:eastAsia="Century Gothic" w:hAnsi="Verdana" w:cs="Century Gothic"/>
          <w:b/>
          <w:bCs/>
          <w:lang w:val="es-ES"/>
        </w:rPr>
      </w:pPr>
      <w:r w:rsidRPr="007A0E81">
        <w:rPr>
          <w:rFonts w:ascii="Verdana" w:eastAsia="Calibri" w:hAnsi="Verdana" w:cs="Arial"/>
          <w:b/>
          <w:bCs/>
        </w:rPr>
        <w:t xml:space="preserve">5. </w:t>
      </w:r>
      <w:r w:rsidRPr="007A0E81">
        <w:rPr>
          <w:rFonts w:ascii="Verdana" w:eastAsia="Century Gothic" w:hAnsi="Verdana" w:cs="Century Gothic"/>
          <w:b/>
          <w:bCs/>
          <w:lang w:val="es-ES"/>
        </w:rPr>
        <w:t>Doctrina de la Agencia Nacional de Contratación Pública:</w:t>
      </w:r>
    </w:p>
    <w:p w14:paraId="2A8B0AFA" w14:textId="77777777" w:rsidR="0045752B" w:rsidRPr="007A0E81" w:rsidRDefault="0045752B" w:rsidP="0045752B">
      <w:pPr>
        <w:tabs>
          <w:tab w:val="left" w:pos="142"/>
          <w:tab w:val="left" w:pos="284"/>
        </w:tabs>
        <w:spacing w:after="0" w:line="276" w:lineRule="auto"/>
        <w:jc w:val="both"/>
        <w:rPr>
          <w:rFonts w:ascii="Verdana" w:eastAsia="Century Gothic" w:hAnsi="Verdana" w:cs="Century Gothic"/>
          <w:b/>
          <w:bCs/>
          <w:lang w:val="es-ES"/>
        </w:rPr>
      </w:pPr>
    </w:p>
    <w:p w14:paraId="3330D48A" w14:textId="77777777" w:rsidR="0045752B" w:rsidRPr="007A0E81" w:rsidRDefault="0045752B" w:rsidP="0045752B">
      <w:pPr>
        <w:spacing w:after="0" w:line="276" w:lineRule="auto"/>
        <w:jc w:val="both"/>
        <w:rPr>
          <w:rFonts w:ascii="Verdana" w:eastAsia="Calibri" w:hAnsi="Verdana" w:cs="Arial"/>
          <w:color w:val="000000" w:themeColor="text1"/>
          <w:shd w:val="clear" w:color="auto" w:fill="FFFFFF"/>
        </w:rPr>
      </w:pPr>
      <w:r w:rsidRPr="009501C6">
        <w:rPr>
          <w:rStyle w:val="normaltextrun"/>
          <w:rFonts w:ascii="Verdana" w:hAnsi="Verdana" w:cs="Arial"/>
          <w:shd w:val="clear" w:color="auto" w:fill="FFFFFF"/>
          <w:lang w:val="es-ES"/>
        </w:rPr>
        <w:t>La Agencia Nacional de Contratación Pública – Colombia Compra Eficiente</w:t>
      </w:r>
      <w:r>
        <w:rPr>
          <w:rFonts w:ascii="Verdana" w:eastAsia="Aptos" w:hAnsi="Verdana" w:cs="Arial"/>
          <w:shd w:val="clear" w:color="auto" w:fill="FFFFFF"/>
          <w:lang w:val="es-ES"/>
        </w:rPr>
        <w:t xml:space="preserve"> </w:t>
      </w:r>
      <w:r w:rsidRPr="00B83E79">
        <w:rPr>
          <w:rFonts w:ascii="Verdana" w:eastAsia="Aptos" w:hAnsi="Verdana" w:cs="Arial"/>
          <w:shd w:val="clear" w:color="auto" w:fill="FFFFFF"/>
          <w:lang w:val="es-ES"/>
        </w:rPr>
        <w:t>se pronunció esta Subdirección en los conceptos</w:t>
      </w:r>
      <w:r w:rsidRPr="009501C6">
        <w:rPr>
          <w:rStyle w:val="normaltextrun"/>
          <w:rFonts w:ascii="Verdana" w:hAnsi="Verdana" w:cs="Arial"/>
          <w:shd w:val="clear" w:color="auto" w:fill="FFFFFF"/>
          <w:lang w:val="es-ES"/>
        </w:rPr>
        <w:t xml:space="preserve"> la promoción de las compras públicas de alimentos y los incentivos contractuales en los conceptos C-301 de 19 de junio de 2022 y C-810 del 25 de noviembre de 2022</w:t>
      </w:r>
      <w:r>
        <w:rPr>
          <w:rStyle w:val="normaltextrun"/>
          <w:rFonts w:ascii="Verdana" w:hAnsi="Verdana" w:cs="Arial"/>
          <w:shd w:val="clear" w:color="auto" w:fill="FFFFFF"/>
          <w:lang w:val="es-ES"/>
        </w:rPr>
        <w:t>, C-410 del 6 de octubre de 2023 Y C-077 del 26 de abril de 2024</w:t>
      </w:r>
      <w:r w:rsidRPr="007A0E81">
        <w:rPr>
          <w:rStyle w:val="normaltextrun"/>
          <w:rFonts w:ascii="Verdana" w:hAnsi="Verdana" w:cs="Arial"/>
          <w:shd w:val="clear" w:color="auto" w:fill="FFFFFF"/>
          <w:lang w:val="es-ES"/>
        </w:rPr>
        <w:t xml:space="preserve">. </w:t>
      </w:r>
      <w:r w:rsidRPr="007A0E81">
        <w:rPr>
          <w:rFonts w:ascii="Verdana" w:eastAsia="Calibri"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7A0E81">
        <w:rPr>
          <w:rStyle w:val="normaltextrun"/>
          <w:rFonts w:ascii="Verdana" w:hAnsi="Verdana" w:cs="Arial"/>
          <w:shd w:val="clear" w:color="auto" w:fill="FFFFFF"/>
          <w:lang w:val="es-ES"/>
        </w:rPr>
        <w:t>.</w:t>
      </w:r>
      <w:r w:rsidRPr="007A0E81">
        <w:rPr>
          <w:rFonts w:ascii="Verdana" w:eastAsia="Calibri" w:hAnsi="Verdana" w:cs="Arial"/>
          <w:color w:val="000000" w:themeColor="text1"/>
          <w:shd w:val="clear" w:color="auto" w:fill="FFFFFF"/>
        </w:rPr>
        <w:t xml:space="preserve"> Accede a través del siguiente enlace: </w:t>
      </w:r>
      <w:hyperlink r:id="rId12" w:history="1">
        <w:r w:rsidRPr="007A0E81">
          <w:rPr>
            <w:rStyle w:val="Hipervnculo"/>
            <w:rFonts w:ascii="Verdana" w:eastAsia="Calibri" w:hAnsi="Verdana" w:cs="Arial"/>
            <w:shd w:val="clear" w:color="auto" w:fill="FFFFFF"/>
          </w:rPr>
          <w:t>https://relatoria.colombiacompra.gov.co/</w:t>
        </w:r>
      </w:hyperlink>
      <w:r w:rsidRPr="007A0E81">
        <w:rPr>
          <w:rFonts w:ascii="Verdana" w:eastAsia="Calibri" w:hAnsi="Verdana" w:cs="Arial"/>
          <w:color w:val="000000" w:themeColor="text1"/>
          <w:shd w:val="clear" w:color="auto" w:fill="FFFFFF"/>
        </w:rPr>
        <w:t xml:space="preserve">. </w:t>
      </w:r>
    </w:p>
    <w:p w14:paraId="7356830D" w14:textId="77777777" w:rsidR="0045752B" w:rsidRPr="007A0E81" w:rsidRDefault="0045752B" w:rsidP="0045752B">
      <w:pPr>
        <w:spacing w:after="0" w:line="276" w:lineRule="auto"/>
        <w:jc w:val="both"/>
        <w:rPr>
          <w:rFonts w:ascii="Verdana" w:eastAsia="Calibri" w:hAnsi="Verdana" w:cs="Arial"/>
          <w:color w:val="000000" w:themeColor="text1"/>
          <w:shd w:val="clear" w:color="auto" w:fill="FFFFFF"/>
        </w:rPr>
      </w:pPr>
    </w:p>
    <w:p w14:paraId="58EE9084" w14:textId="77777777" w:rsidR="0045752B" w:rsidRPr="00BC3A80" w:rsidRDefault="0045752B" w:rsidP="0045752B">
      <w:pPr>
        <w:shd w:val="clear" w:color="auto" w:fill="FFFFFF"/>
        <w:spacing w:after="0" w:line="276" w:lineRule="auto"/>
        <w:jc w:val="both"/>
        <w:rPr>
          <w:rFonts w:ascii="Verdana" w:hAnsi="Verdana"/>
          <w:color w:val="467886"/>
          <w:u w:val="single"/>
        </w:rPr>
      </w:pPr>
      <w:r w:rsidRPr="00BC3A80">
        <w:rPr>
          <w:rFonts w:ascii="Verdana" w:hAnsi="Verdana"/>
          <w:color w:val="000000"/>
        </w:rPr>
        <w:lastRenderedPageBreak/>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C3A80">
          <w:rPr>
            <w:rFonts w:ascii="Verdana" w:hAnsi="Verdana"/>
            <w:color w:val="0000FF"/>
            <w:u w:val="single"/>
          </w:rPr>
          <w:t>Guía de lineamientos de transparencia y selección objetiva para el departamento de La Guajira – Objetivo sexto constitucional de la Sentencia T-302 del 2017</w:t>
        </w:r>
      </w:hyperlink>
      <w:r w:rsidRPr="00BC3A80">
        <w:rPr>
          <w:rFonts w:ascii="Verdana" w:hAnsi="Verdana"/>
          <w:color w:val="000000"/>
          <w:u w:val="single"/>
        </w:rPr>
        <w:t>.</w:t>
      </w:r>
    </w:p>
    <w:p w14:paraId="532B0F77" w14:textId="77777777" w:rsidR="0045752B" w:rsidRPr="00BC3A80" w:rsidRDefault="0045752B" w:rsidP="0045752B">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t xml:space="preserve"> </w:t>
      </w:r>
    </w:p>
    <w:p w14:paraId="35FD1735" w14:textId="77777777" w:rsidR="0045752B" w:rsidRPr="00BC3A80" w:rsidRDefault="0045752B" w:rsidP="0045752B">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97010F7" w14:textId="77777777" w:rsidR="0045752B" w:rsidRPr="00BC3A80" w:rsidRDefault="0045752B" w:rsidP="0045752B">
      <w:pPr>
        <w:spacing w:after="0" w:line="276" w:lineRule="auto"/>
        <w:jc w:val="both"/>
        <w:rPr>
          <w:rFonts w:ascii="Verdana" w:hAnsi="Verdana"/>
        </w:rPr>
      </w:pPr>
    </w:p>
    <w:p w14:paraId="6B479CDC" w14:textId="77777777" w:rsidR="0045752B" w:rsidRPr="00BC3A80" w:rsidRDefault="0045752B" w:rsidP="0045752B">
      <w:pPr>
        <w:numPr>
          <w:ilvl w:val="0"/>
          <w:numId w:val="15"/>
        </w:numPr>
        <w:spacing w:after="0" w:line="276" w:lineRule="auto"/>
        <w:contextualSpacing/>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3559888D" w14:textId="77777777" w:rsidR="0045752B" w:rsidRPr="00BC3A80" w:rsidRDefault="0045752B" w:rsidP="0045752B">
      <w:pPr>
        <w:numPr>
          <w:ilvl w:val="0"/>
          <w:numId w:val="15"/>
        </w:numPr>
        <w:spacing w:after="0" w:line="276" w:lineRule="auto"/>
        <w:contextualSpacing/>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r w:rsidRPr="00BC3A80">
        <w:rPr>
          <w:rFonts w:ascii="Verdana" w:hAnsi="Verdana"/>
          <w:color w:val="0000FF"/>
          <w:u w:val="single"/>
          <w:lang w:val="es-ES"/>
        </w:rPr>
        <w:t>+57 601 7456788</w:t>
      </w:r>
    </w:p>
    <w:p w14:paraId="46D860F7" w14:textId="77777777" w:rsidR="0045752B" w:rsidRPr="00BC3A80" w:rsidRDefault="0045752B" w:rsidP="0045752B">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MX"/>
        </w:rPr>
        <w:t xml:space="preserve">Correo de radicación de correspondencia: </w:t>
      </w:r>
      <w:hyperlink r:id="rId14" w:history="1">
        <w:r w:rsidRPr="00BC3A80">
          <w:rPr>
            <w:rFonts w:ascii="Verdana" w:eastAsia="Verdana" w:hAnsi="Verdana" w:cs="Verdana"/>
            <w:color w:val="0000FF"/>
            <w:u w:val="single"/>
            <w:lang w:val="es-MX"/>
          </w:rPr>
          <w:t>ventanilladeradicacion@colombiacompra.gov.co</w:t>
        </w:r>
      </w:hyperlink>
    </w:p>
    <w:p w14:paraId="760CB21A" w14:textId="77777777" w:rsidR="0045752B" w:rsidRPr="00BC3A80" w:rsidRDefault="0045752B" w:rsidP="0045752B">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ES"/>
        </w:rPr>
        <w:t xml:space="preserve">Formulario web para PQRSD: </w:t>
      </w:r>
      <w:hyperlink r:id="rId15" w:history="1">
        <w:r w:rsidRPr="00BC3A80">
          <w:rPr>
            <w:rFonts w:ascii="Verdana" w:eastAsia="Verdana" w:hAnsi="Verdana" w:cs="Verdana"/>
            <w:color w:val="0000FF"/>
            <w:u w:val="single"/>
            <w:lang w:val="es-MX"/>
          </w:rPr>
          <w:t>https://www.colombiacompra.gov.co/pqrsd/informacion-importante-antes-de-formular-una-pqrsd</w:t>
        </w:r>
      </w:hyperlink>
    </w:p>
    <w:p w14:paraId="60198F7F" w14:textId="77777777" w:rsidR="0045752B" w:rsidRPr="00BC3A80" w:rsidRDefault="0045752B" w:rsidP="0045752B">
      <w:pPr>
        <w:spacing w:after="0" w:line="276" w:lineRule="auto"/>
        <w:ind w:left="720"/>
        <w:jc w:val="both"/>
        <w:rPr>
          <w:rFonts w:ascii="Verdana" w:hAnsi="Verdana"/>
        </w:rPr>
      </w:pPr>
    </w:p>
    <w:p w14:paraId="4FA2E54F" w14:textId="77777777" w:rsidR="0045752B" w:rsidRPr="00BC3A80" w:rsidRDefault="0045752B" w:rsidP="0045752B">
      <w:pPr>
        <w:spacing w:after="0" w:line="276" w:lineRule="auto"/>
        <w:rPr>
          <w:rFonts w:ascii="Verdana" w:hAnsi="Verdana"/>
        </w:rPr>
      </w:pPr>
      <w:r w:rsidRPr="00BC3A80">
        <w:rPr>
          <w:rFonts w:ascii="Verdana" w:hAnsi="Verdana"/>
        </w:rPr>
        <w:t>Evalúa el servicio que ofrece la Agencia por el canal de atención de PQRSD en el siguiente enlace :</w:t>
      </w:r>
      <w:hyperlink r:id="rId16" w:tgtFrame="_blank" w:tooltip="https://forms.office.com/r/pphywvs2sz" w:history="1">
        <w:r w:rsidRPr="00BC3A8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3743F04D" w14:textId="77777777" w:rsidR="0045752B" w:rsidRPr="00BC3A80" w:rsidRDefault="0045752B" w:rsidP="0045752B">
      <w:pPr>
        <w:spacing w:after="0" w:line="276" w:lineRule="auto"/>
        <w:rPr>
          <w:rFonts w:ascii="Verdana" w:hAnsi="Verdana"/>
        </w:rPr>
      </w:pPr>
    </w:p>
    <w:p w14:paraId="44668354" w14:textId="77777777" w:rsidR="0045752B" w:rsidRDefault="0045752B" w:rsidP="0045752B">
      <w:pPr>
        <w:spacing w:after="0" w:line="276"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4047AAAB" w14:textId="77777777" w:rsidR="00641C02" w:rsidRPr="00BC3A80" w:rsidRDefault="00641C02" w:rsidP="0045752B">
      <w:pPr>
        <w:spacing w:after="0" w:line="276" w:lineRule="auto"/>
        <w:jc w:val="both"/>
        <w:rPr>
          <w:rFonts w:ascii="Verdana" w:hAnsi="Verdana"/>
        </w:rPr>
      </w:pPr>
    </w:p>
    <w:p w14:paraId="2BC900B0" w14:textId="77777777" w:rsidR="0045752B" w:rsidRPr="00BC3A80" w:rsidRDefault="0045752B" w:rsidP="0045752B">
      <w:pPr>
        <w:spacing w:after="0" w:line="276" w:lineRule="auto"/>
        <w:jc w:val="both"/>
        <w:rPr>
          <w:rFonts w:ascii="Verdana" w:hAnsi="Verdana"/>
        </w:rPr>
      </w:pPr>
    </w:p>
    <w:p w14:paraId="592C2B3D" w14:textId="77777777" w:rsidR="0045752B" w:rsidRPr="00BC3A80" w:rsidRDefault="0045752B" w:rsidP="0045752B">
      <w:pPr>
        <w:spacing w:after="0" w:line="276" w:lineRule="auto"/>
        <w:jc w:val="both"/>
        <w:rPr>
          <w:rFonts w:ascii="Verdana" w:hAnsi="Verdana"/>
        </w:rPr>
      </w:pPr>
      <w:r w:rsidRPr="00BC3A80">
        <w:rPr>
          <w:rFonts w:ascii="Verdana" w:hAnsi="Verdana"/>
        </w:rPr>
        <w:lastRenderedPageBreak/>
        <w:t xml:space="preserve">Twitter: </w:t>
      </w:r>
      <w:r w:rsidRPr="00BC3A80">
        <w:rPr>
          <w:rFonts w:ascii="Verdana" w:hAnsi="Verdana"/>
          <w:color w:val="0000FF"/>
          <w:u w:val="single"/>
        </w:rPr>
        <w:t>@colombiacompra</w:t>
      </w:r>
      <w:r w:rsidRPr="00BC3A80">
        <w:rPr>
          <w:rFonts w:ascii="Verdana" w:hAnsi="Verdana"/>
        </w:rPr>
        <w:t xml:space="preserve"> </w:t>
      </w:r>
    </w:p>
    <w:p w14:paraId="0E83B20F" w14:textId="77777777" w:rsidR="0045752B" w:rsidRPr="00BC3A80" w:rsidRDefault="0045752B" w:rsidP="0045752B">
      <w:pPr>
        <w:spacing w:after="0" w:line="276" w:lineRule="auto"/>
        <w:jc w:val="both"/>
        <w:rPr>
          <w:rFonts w:ascii="Verdana" w:hAnsi="Verdana"/>
        </w:rPr>
      </w:pPr>
      <w:r w:rsidRPr="00BC3A80">
        <w:rPr>
          <w:rFonts w:ascii="Verdana" w:hAnsi="Verdana"/>
        </w:rPr>
        <w:t xml:space="preserve">Facebook: </w:t>
      </w:r>
      <w:r w:rsidRPr="00BC3A80">
        <w:rPr>
          <w:rFonts w:ascii="Verdana" w:hAnsi="Verdana"/>
          <w:color w:val="0000FF"/>
          <w:u w:val="single"/>
        </w:rPr>
        <w:t>ColombiaCompraEficiente</w:t>
      </w:r>
    </w:p>
    <w:p w14:paraId="6D529654" w14:textId="77777777" w:rsidR="0045752B" w:rsidRPr="00BC3A80" w:rsidRDefault="0045752B" w:rsidP="0045752B">
      <w:pPr>
        <w:spacing w:after="0" w:line="276"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145E0D27" w14:textId="77777777" w:rsidR="0045752B" w:rsidRPr="00BC3A80" w:rsidRDefault="0045752B" w:rsidP="0045752B">
      <w:pPr>
        <w:widowControl w:val="0"/>
        <w:autoSpaceDE w:val="0"/>
        <w:autoSpaceDN w:val="0"/>
        <w:spacing w:after="12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772B55B9" w14:textId="77777777" w:rsidR="0045752B" w:rsidRPr="00BC3A80" w:rsidRDefault="0045752B" w:rsidP="0045752B">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5484A220" w14:textId="77777777" w:rsidR="0045752B" w:rsidRPr="00BC3A80" w:rsidRDefault="0045752B" w:rsidP="0045752B">
      <w:pPr>
        <w:widowControl w:val="0"/>
        <w:autoSpaceDE w:val="0"/>
        <w:autoSpaceDN w:val="0"/>
        <w:spacing w:after="0" w:line="276" w:lineRule="auto"/>
        <w:jc w:val="both"/>
        <w:rPr>
          <w:rFonts w:ascii="Verdana" w:hAnsi="Verdana" w:cs="Arial"/>
          <w:lang w:val="es-ES_tradnl"/>
        </w:rPr>
      </w:pPr>
    </w:p>
    <w:p w14:paraId="7F4C92A4" w14:textId="77777777" w:rsidR="0045752B" w:rsidRDefault="0045752B" w:rsidP="0045752B">
      <w:pPr>
        <w:spacing w:after="0" w:line="276" w:lineRule="auto"/>
        <w:rPr>
          <w:rFonts w:ascii="Verdana" w:eastAsia="Times New Roman" w:hAnsi="Verdana" w:cs="Arial"/>
          <w:lang w:eastAsia="es-ES_tradnl"/>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p>
    <w:p w14:paraId="146E8655" w14:textId="08423BB1" w:rsidR="00CB0A7D" w:rsidRDefault="009432C6" w:rsidP="00CB0A7D">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534FF203" wp14:editId="3D04488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6F241A4E" w14:textId="77777777" w:rsidR="00CB0A7D" w:rsidRDefault="00CB0A7D" w:rsidP="00CB0A7D">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B0A7D" w:rsidRPr="007A0E81" w14:paraId="7FFA4636" w14:textId="77777777" w:rsidTr="00627E18">
        <w:trPr>
          <w:trHeight w:val="315"/>
        </w:trPr>
        <w:tc>
          <w:tcPr>
            <w:tcW w:w="893" w:type="dxa"/>
            <w:vAlign w:val="center"/>
            <w:hideMark/>
          </w:tcPr>
          <w:p w14:paraId="571221B7" w14:textId="77777777" w:rsidR="00CB0A7D" w:rsidRPr="007A0E81" w:rsidRDefault="00CB0A7D" w:rsidP="00627E1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6DA43B3A" w14:textId="77777777" w:rsidR="00CB0A7D" w:rsidRPr="007A0E81" w:rsidRDefault="00CB0A7D" w:rsidP="00627E18">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5081006D" w14:textId="77777777" w:rsidR="00CB0A7D" w:rsidRPr="007A0E81" w:rsidRDefault="00CB0A7D" w:rsidP="00627E18">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CB0A7D" w:rsidRPr="007A0E81" w14:paraId="2637AD18" w14:textId="77777777" w:rsidTr="00627E18">
        <w:trPr>
          <w:trHeight w:val="330"/>
        </w:trPr>
        <w:tc>
          <w:tcPr>
            <w:tcW w:w="893" w:type="dxa"/>
            <w:vAlign w:val="center"/>
            <w:hideMark/>
          </w:tcPr>
          <w:p w14:paraId="3F64860B" w14:textId="77777777" w:rsidR="00CB0A7D" w:rsidRPr="007A0E81" w:rsidRDefault="00CB0A7D" w:rsidP="00627E1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0E773ABA" w14:textId="77777777" w:rsidR="00CB0A7D" w:rsidRPr="007A0E81" w:rsidRDefault="00CB0A7D" w:rsidP="00627E1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0F14A62C" w14:textId="77777777" w:rsidR="00CB0A7D" w:rsidRPr="007A0E81" w:rsidRDefault="00CB0A7D" w:rsidP="00627E18">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CB0A7D" w:rsidRPr="007A0E81" w14:paraId="74D37CB5" w14:textId="77777777" w:rsidTr="00627E18">
        <w:trPr>
          <w:trHeight w:val="300"/>
        </w:trPr>
        <w:tc>
          <w:tcPr>
            <w:tcW w:w="893" w:type="dxa"/>
            <w:vAlign w:val="center"/>
          </w:tcPr>
          <w:p w14:paraId="40F833A8" w14:textId="77777777" w:rsidR="00CB0A7D" w:rsidRPr="007A0E81" w:rsidRDefault="00CB0A7D" w:rsidP="00627E1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0CE287E1" w14:textId="77777777" w:rsidR="00CB0A7D" w:rsidRPr="007A0E81" w:rsidRDefault="00CB0A7D" w:rsidP="00627E1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Carolina Quintero Gacharná</w:t>
            </w:r>
          </w:p>
          <w:p w14:paraId="69838007" w14:textId="77777777" w:rsidR="00CB0A7D" w:rsidRPr="007A0E81" w:rsidRDefault="00CB0A7D" w:rsidP="00627E1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706428BB" w14:textId="77777777" w:rsidR="00CB0A7D" w:rsidRPr="00F37F48" w:rsidRDefault="00CB0A7D" w:rsidP="00CB0A7D">
      <w:pPr>
        <w:widowControl w:val="0"/>
        <w:autoSpaceDE w:val="0"/>
        <w:autoSpaceDN w:val="0"/>
        <w:spacing w:after="0" w:line="276" w:lineRule="auto"/>
        <w:jc w:val="both"/>
        <w:rPr>
          <w:rFonts w:ascii="Verdana" w:hAnsi="Verdana" w:cs="Arial"/>
        </w:rPr>
      </w:pPr>
    </w:p>
    <w:p w14:paraId="4D7B8D3C" w14:textId="77777777" w:rsidR="00CB0A7D" w:rsidRPr="00153829" w:rsidRDefault="00CB0A7D" w:rsidP="00CB0A7D"/>
    <w:bookmarkEnd w:id="0"/>
    <w:p w14:paraId="1CECD881" w14:textId="77777777" w:rsidR="007319DD" w:rsidRPr="0024624F" w:rsidRDefault="007319DD" w:rsidP="00C15139">
      <w:pPr>
        <w:spacing w:after="0"/>
        <w:rPr>
          <w:rFonts w:ascii="Verdana" w:hAnsi="Verdana"/>
        </w:rPr>
      </w:pPr>
    </w:p>
    <w:sectPr w:rsidR="007319DD" w:rsidRPr="0024624F" w:rsidSect="00DD269F">
      <w:headerReference w:type="default" r:id="rId18"/>
      <w:footerReference w:type="default" r:id="rId19"/>
      <w:pgSz w:w="12240" w:h="15840" w:code="1"/>
      <w:pgMar w:top="1417" w:right="1701" w:bottom="1417" w:left="1701" w:header="709" w:footer="100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5EA045" w14:textId="77777777" w:rsidR="00966F0E" w:rsidRDefault="00966F0E" w:rsidP="004A1847">
      <w:pPr>
        <w:spacing w:after="0" w:line="240" w:lineRule="auto"/>
      </w:pPr>
      <w:r>
        <w:separator/>
      </w:r>
    </w:p>
  </w:endnote>
  <w:endnote w:type="continuationSeparator" w:id="0">
    <w:p w14:paraId="60907D60" w14:textId="77777777" w:rsidR="00966F0E" w:rsidRDefault="00966F0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62095" w14:textId="77777777" w:rsidR="00966F0E" w:rsidRDefault="00966F0E" w:rsidP="004A1847">
      <w:pPr>
        <w:spacing w:after="0" w:line="240" w:lineRule="auto"/>
      </w:pPr>
      <w:r>
        <w:separator/>
      </w:r>
    </w:p>
  </w:footnote>
  <w:footnote w:type="continuationSeparator" w:id="0">
    <w:p w14:paraId="5BCB611B" w14:textId="77777777" w:rsidR="00966F0E" w:rsidRDefault="00966F0E"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810387273"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299565949" name="Imagen 299565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14043361">
    <w:abstractNumId w:val="6"/>
  </w:num>
  <w:num w:numId="2" w16cid:durableId="529490222">
    <w:abstractNumId w:val="2"/>
  </w:num>
  <w:num w:numId="3" w16cid:durableId="663167949">
    <w:abstractNumId w:val="4"/>
  </w:num>
  <w:num w:numId="4" w16cid:durableId="210141447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1813368">
    <w:abstractNumId w:val="2"/>
  </w:num>
  <w:num w:numId="6" w16cid:durableId="420026394">
    <w:abstractNumId w:val="13"/>
  </w:num>
  <w:num w:numId="7" w16cid:durableId="1299998214">
    <w:abstractNumId w:val="5"/>
  </w:num>
  <w:num w:numId="8" w16cid:durableId="595557245">
    <w:abstractNumId w:val="12"/>
  </w:num>
  <w:num w:numId="9" w16cid:durableId="1318414894">
    <w:abstractNumId w:val="7"/>
  </w:num>
  <w:num w:numId="10" w16cid:durableId="659816641">
    <w:abstractNumId w:val="11"/>
  </w:num>
  <w:num w:numId="11" w16cid:durableId="913970929">
    <w:abstractNumId w:val="8"/>
  </w:num>
  <w:num w:numId="12" w16cid:durableId="894778311">
    <w:abstractNumId w:val="1"/>
  </w:num>
  <w:num w:numId="13" w16cid:durableId="1546916490">
    <w:abstractNumId w:val="3"/>
  </w:num>
  <w:num w:numId="14" w16cid:durableId="281958005">
    <w:abstractNumId w:val="14"/>
  </w:num>
  <w:num w:numId="15" w16cid:durableId="1662850022">
    <w:abstractNumId w:val="10"/>
  </w:num>
  <w:num w:numId="16" w16cid:durableId="1425374749">
    <w:abstractNumId w:val="0"/>
  </w:num>
  <w:num w:numId="17" w16cid:durableId="1552038299">
    <w:abstractNumId w:val="9"/>
  </w:num>
  <w:num w:numId="18" w16cid:durableId="1674382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38F8"/>
    <w:rsid w:val="00046945"/>
    <w:rsid w:val="00060E63"/>
    <w:rsid w:val="00061B2A"/>
    <w:rsid w:val="00082362"/>
    <w:rsid w:val="00085EB0"/>
    <w:rsid w:val="000A683E"/>
    <w:rsid w:val="000B19B9"/>
    <w:rsid w:val="000D0334"/>
    <w:rsid w:val="000D2C58"/>
    <w:rsid w:val="000D5DA7"/>
    <w:rsid w:val="000F6486"/>
    <w:rsid w:val="00116940"/>
    <w:rsid w:val="00125105"/>
    <w:rsid w:val="00127233"/>
    <w:rsid w:val="0015699B"/>
    <w:rsid w:val="001A33BF"/>
    <w:rsid w:val="001E4177"/>
    <w:rsid w:val="001F0B24"/>
    <w:rsid w:val="001F7DC6"/>
    <w:rsid w:val="00213A35"/>
    <w:rsid w:val="00216971"/>
    <w:rsid w:val="0022400B"/>
    <w:rsid w:val="00237239"/>
    <w:rsid w:val="002421BB"/>
    <w:rsid w:val="0025796E"/>
    <w:rsid w:val="002707A2"/>
    <w:rsid w:val="002951A0"/>
    <w:rsid w:val="002962BC"/>
    <w:rsid w:val="002A093D"/>
    <w:rsid w:val="002A0DD0"/>
    <w:rsid w:val="002A49AC"/>
    <w:rsid w:val="002A64FD"/>
    <w:rsid w:val="002C7A84"/>
    <w:rsid w:val="002D04E8"/>
    <w:rsid w:val="002E2BF8"/>
    <w:rsid w:val="002E4FD9"/>
    <w:rsid w:val="0030587D"/>
    <w:rsid w:val="0030657A"/>
    <w:rsid w:val="00322A85"/>
    <w:rsid w:val="00324168"/>
    <w:rsid w:val="00330834"/>
    <w:rsid w:val="003448F4"/>
    <w:rsid w:val="00374F5E"/>
    <w:rsid w:val="00377E3E"/>
    <w:rsid w:val="003A779E"/>
    <w:rsid w:val="003D0F4D"/>
    <w:rsid w:val="003D5B0D"/>
    <w:rsid w:val="003E0499"/>
    <w:rsid w:val="003E4F80"/>
    <w:rsid w:val="003E6439"/>
    <w:rsid w:val="003F3941"/>
    <w:rsid w:val="003F40B9"/>
    <w:rsid w:val="00406575"/>
    <w:rsid w:val="00414C74"/>
    <w:rsid w:val="0042722E"/>
    <w:rsid w:val="004334B1"/>
    <w:rsid w:val="0044528D"/>
    <w:rsid w:val="0045752B"/>
    <w:rsid w:val="00466E39"/>
    <w:rsid w:val="004A1847"/>
    <w:rsid w:val="004A305D"/>
    <w:rsid w:val="004B163E"/>
    <w:rsid w:val="004F21C4"/>
    <w:rsid w:val="004F685F"/>
    <w:rsid w:val="00512E2C"/>
    <w:rsid w:val="005566E8"/>
    <w:rsid w:val="00574867"/>
    <w:rsid w:val="00591460"/>
    <w:rsid w:val="005A65E0"/>
    <w:rsid w:val="005C3777"/>
    <w:rsid w:val="005C5CDC"/>
    <w:rsid w:val="005D476C"/>
    <w:rsid w:val="006106F3"/>
    <w:rsid w:val="006200BF"/>
    <w:rsid w:val="006219F8"/>
    <w:rsid w:val="00627E18"/>
    <w:rsid w:val="006302F7"/>
    <w:rsid w:val="00641C02"/>
    <w:rsid w:val="00646B9F"/>
    <w:rsid w:val="00665D70"/>
    <w:rsid w:val="00676C31"/>
    <w:rsid w:val="006900D9"/>
    <w:rsid w:val="00706C16"/>
    <w:rsid w:val="007319DD"/>
    <w:rsid w:val="007340C3"/>
    <w:rsid w:val="0075235A"/>
    <w:rsid w:val="00756841"/>
    <w:rsid w:val="007649AB"/>
    <w:rsid w:val="00771D0C"/>
    <w:rsid w:val="0077756A"/>
    <w:rsid w:val="007833AC"/>
    <w:rsid w:val="007B268C"/>
    <w:rsid w:val="007B3B64"/>
    <w:rsid w:val="007B7171"/>
    <w:rsid w:val="007C0C0F"/>
    <w:rsid w:val="007C3DC2"/>
    <w:rsid w:val="007E5497"/>
    <w:rsid w:val="00806F5F"/>
    <w:rsid w:val="00820278"/>
    <w:rsid w:val="008258C9"/>
    <w:rsid w:val="00844AE9"/>
    <w:rsid w:val="00867F95"/>
    <w:rsid w:val="008706D5"/>
    <w:rsid w:val="008843B6"/>
    <w:rsid w:val="00891928"/>
    <w:rsid w:val="008A446D"/>
    <w:rsid w:val="008B25F1"/>
    <w:rsid w:val="008D180B"/>
    <w:rsid w:val="008F0EA7"/>
    <w:rsid w:val="00907760"/>
    <w:rsid w:val="009178FD"/>
    <w:rsid w:val="00923EEF"/>
    <w:rsid w:val="009419F9"/>
    <w:rsid w:val="009432C6"/>
    <w:rsid w:val="0095685E"/>
    <w:rsid w:val="00961B09"/>
    <w:rsid w:val="00965334"/>
    <w:rsid w:val="00966F0E"/>
    <w:rsid w:val="0097093E"/>
    <w:rsid w:val="009A0DFA"/>
    <w:rsid w:val="009A1C6F"/>
    <w:rsid w:val="009A300C"/>
    <w:rsid w:val="009B2D26"/>
    <w:rsid w:val="009C71FA"/>
    <w:rsid w:val="009C72E7"/>
    <w:rsid w:val="009C78F0"/>
    <w:rsid w:val="009C7F7E"/>
    <w:rsid w:val="009D3058"/>
    <w:rsid w:val="009F3A13"/>
    <w:rsid w:val="00A122D3"/>
    <w:rsid w:val="00A14468"/>
    <w:rsid w:val="00A154AE"/>
    <w:rsid w:val="00A17F13"/>
    <w:rsid w:val="00A20739"/>
    <w:rsid w:val="00A23AF9"/>
    <w:rsid w:val="00A33C78"/>
    <w:rsid w:val="00AB0ADB"/>
    <w:rsid w:val="00B00C0E"/>
    <w:rsid w:val="00B01B1A"/>
    <w:rsid w:val="00B0381D"/>
    <w:rsid w:val="00B44A47"/>
    <w:rsid w:val="00B72CD3"/>
    <w:rsid w:val="00B72FFF"/>
    <w:rsid w:val="00BA4CDC"/>
    <w:rsid w:val="00BC3D36"/>
    <w:rsid w:val="00BD54A6"/>
    <w:rsid w:val="00BD7F72"/>
    <w:rsid w:val="00BF7425"/>
    <w:rsid w:val="00C04FB3"/>
    <w:rsid w:val="00C11D8B"/>
    <w:rsid w:val="00C15139"/>
    <w:rsid w:val="00C330EB"/>
    <w:rsid w:val="00C50D69"/>
    <w:rsid w:val="00C525DC"/>
    <w:rsid w:val="00C5365C"/>
    <w:rsid w:val="00C754BE"/>
    <w:rsid w:val="00C76B1C"/>
    <w:rsid w:val="00C925AC"/>
    <w:rsid w:val="00CB0A7D"/>
    <w:rsid w:val="00CB6357"/>
    <w:rsid w:val="00CC1B26"/>
    <w:rsid w:val="00CD6D26"/>
    <w:rsid w:val="00D21AFF"/>
    <w:rsid w:val="00D361FD"/>
    <w:rsid w:val="00D423A2"/>
    <w:rsid w:val="00D44E26"/>
    <w:rsid w:val="00D4539B"/>
    <w:rsid w:val="00D520D8"/>
    <w:rsid w:val="00D536A4"/>
    <w:rsid w:val="00D63AC2"/>
    <w:rsid w:val="00D7383B"/>
    <w:rsid w:val="00D753FF"/>
    <w:rsid w:val="00D7788A"/>
    <w:rsid w:val="00DA231B"/>
    <w:rsid w:val="00DC39FC"/>
    <w:rsid w:val="00DD269F"/>
    <w:rsid w:val="00DF5254"/>
    <w:rsid w:val="00E02524"/>
    <w:rsid w:val="00E032C5"/>
    <w:rsid w:val="00E16408"/>
    <w:rsid w:val="00E20894"/>
    <w:rsid w:val="00E245AB"/>
    <w:rsid w:val="00E2764C"/>
    <w:rsid w:val="00E27F2E"/>
    <w:rsid w:val="00E50AFE"/>
    <w:rsid w:val="00E75C92"/>
    <w:rsid w:val="00E771DC"/>
    <w:rsid w:val="00E81240"/>
    <w:rsid w:val="00E83D45"/>
    <w:rsid w:val="00E8772A"/>
    <w:rsid w:val="00E90F6B"/>
    <w:rsid w:val="00E92C27"/>
    <w:rsid w:val="00EA0E3D"/>
    <w:rsid w:val="00EA6B24"/>
    <w:rsid w:val="00EC38A7"/>
    <w:rsid w:val="00EE1AA8"/>
    <w:rsid w:val="00F23FEA"/>
    <w:rsid w:val="00F2762D"/>
    <w:rsid w:val="00F31EDC"/>
    <w:rsid w:val="00F340B3"/>
    <w:rsid w:val="00F462B3"/>
    <w:rsid w:val="00F5664F"/>
    <w:rsid w:val="00F622BE"/>
    <w:rsid w:val="00F666C4"/>
    <w:rsid w:val="00F76AFC"/>
    <w:rsid w:val="00F97E79"/>
    <w:rsid w:val="00FA47C0"/>
    <w:rsid w:val="00FB5DD1"/>
    <w:rsid w:val="00FC1999"/>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C5327DC-0B0A-4037-9D9B-E8C5B4619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B0A7D"/>
    <w:rPr>
      <w:rFonts w:ascii="Geomanist Light" w:hAnsi="Geomanist Light"/>
      <w:lang w:val="es-ES"/>
    </w:rPr>
  </w:style>
  <w:style w:type="character" w:customStyle="1" w:styleId="NormalWebCar">
    <w:name w:val="Normal (Web) Car"/>
    <w:link w:val="NormalWeb"/>
    <w:uiPriority w:val="99"/>
    <w:rsid w:val="00CB0A7D"/>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4575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agiraldo95@hot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864E6E4C-3CDF-4EC2-901C-5F86A57746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17</Pages>
  <Words>5467</Words>
  <Characters>31055</Characters>
  <Application>Microsoft Office Word</Application>
  <DocSecurity>0</DocSecurity>
  <Lines>621</Lines>
  <Paragraphs>131</Paragraphs>
  <ScaleCrop>false</ScaleCrop>
  <Company/>
  <LinksUpToDate>false</LinksUpToDate>
  <CharactersWithSpaces>36391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70</cp:revision>
  <cp:lastPrinted>2023-01-10T18:18:00Z</cp:lastPrinted>
  <dcterms:created xsi:type="dcterms:W3CDTF">2025-08-19T11:43:00Z</dcterms:created>
  <dcterms:modified xsi:type="dcterms:W3CDTF">2025-12-22T22:12:00Z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