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4E290" w14:textId="77777777" w:rsidR="00255C1D" w:rsidRDefault="00995E73" w:rsidP="00255C1D">
      <w:pPr>
        <w:contextualSpacing/>
        <w:jc w:val="both"/>
        <w:rPr>
          <w:rFonts w:ascii="Verdana" w:eastAsia="Calibri" w:hAnsi="Verdana" w:cs="Arial"/>
          <w:b/>
          <w:lang w:val="es-MX" w:eastAsia="es-MX"/>
        </w:rPr>
      </w:pPr>
      <w:bookmarkStart w:id="0" w:name="_Hlk143780582"/>
      <w:bookmarkStart w:id="1" w:name="_Hlk214366482"/>
      <w:bookmarkStart w:id="2" w:name="_Hlk217288218"/>
      <w:r w:rsidRPr="00255C1D">
        <w:rPr>
          <w:rFonts w:ascii="Verdana" w:eastAsia="Calibri" w:hAnsi="Verdana" w:cs="Arial"/>
          <w:b/>
          <w:lang w:val="es-MX" w:eastAsia="es-MX"/>
        </w:rPr>
        <w:t xml:space="preserve">LEY DE GARANTÍAS ELECTORALES – Naturaleza Jurídica </w:t>
      </w:r>
    </w:p>
    <w:p w14:paraId="3497AA44" w14:textId="77777777" w:rsidR="00255C1D" w:rsidRDefault="00255C1D" w:rsidP="00084AD0">
      <w:pPr>
        <w:spacing w:after="0" w:line="240" w:lineRule="auto"/>
        <w:contextualSpacing/>
        <w:jc w:val="both"/>
        <w:rPr>
          <w:rFonts w:ascii="Verdana" w:eastAsia="Calibri" w:hAnsi="Verdana" w:cs="Arial"/>
          <w:b/>
          <w:lang w:val="es-MX" w:eastAsia="es-MX"/>
        </w:rPr>
      </w:pPr>
    </w:p>
    <w:p w14:paraId="4E1ECC04" w14:textId="05449F15" w:rsidR="00255C1D" w:rsidRPr="00255C1D" w:rsidRDefault="00255C1D" w:rsidP="00084AD0">
      <w:pPr>
        <w:spacing w:after="0" w:line="240" w:lineRule="auto"/>
        <w:contextualSpacing/>
        <w:jc w:val="both"/>
        <w:rPr>
          <w:rFonts w:ascii="Verdana" w:eastAsia="Calibri" w:hAnsi="Verdana" w:cs="Arial"/>
          <w:b/>
          <w:lang w:val="es-MX" w:eastAsia="es-MX"/>
        </w:rPr>
      </w:pPr>
      <w:r w:rsidRPr="00255C1D">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255C1D">
        <w:rPr>
          <w:rFonts w:ascii="Verdana" w:eastAsia="Calibri" w:hAnsi="Verdana" w:cs="Arial"/>
          <w:noProof/>
          <w:sz w:val="20"/>
          <w:szCs w:val="20"/>
          <w:lang w:val="es-ES_tradnl"/>
        </w:rPr>
        <w:t xml:space="preserve"> </w:t>
      </w:r>
    </w:p>
    <w:p w14:paraId="3F6435E3" w14:textId="77777777" w:rsidR="00255C1D" w:rsidRPr="00255C1D" w:rsidRDefault="00255C1D" w:rsidP="00995E73">
      <w:pPr>
        <w:spacing w:after="0" w:line="240" w:lineRule="auto"/>
        <w:contextualSpacing/>
        <w:jc w:val="both"/>
        <w:rPr>
          <w:rFonts w:ascii="Verdana" w:eastAsia="Calibri" w:hAnsi="Verdana" w:cs="Arial"/>
          <w:bCs/>
          <w:lang w:val="es-ES_tradnl" w:eastAsia="es-MX"/>
        </w:rPr>
      </w:pPr>
    </w:p>
    <w:p w14:paraId="26778982" w14:textId="77777777" w:rsidR="00995E73" w:rsidRPr="00255C1D" w:rsidRDefault="00995E73" w:rsidP="00995E73">
      <w:pPr>
        <w:contextualSpacing/>
        <w:jc w:val="both"/>
        <w:rPr>
          <w:rFonts w:ascii="Verdana" w:eastAsia="Calibri" w:hAnsi="Verdana" w:cs="Arial"/>
          <w:b/>
          <w:lang w:val="es-MX" w:eastAsia="es-MX"/>
        </w:rPr>
      </w:pPr>
      <w:r w:rsidRPr="00255C1D">
        <w:rPr>
          <w:rFonts w:ascii="Verdana" w:eastAsia="Calibri" w:hAnsi="Verdana" w:cs="Arial"/>
          <w:b/>
          <w:lang w:val="es-MX" w:eastAsia="es-MX"/>
        </w:rPr>
        <w:t xml:space="preserve">LEY DE GARANTÍAS ELECTORALES – Prohibiciones </w:t>
      </w:r>
    </w:p>
    <w:p w14:paraId="053203B8" w14:textId="77777777" w:rsidR="00255C1D" w:rsidRPr="00255C1D" w:rsidRDefault="00255C1D" w:rsidP="00255C1D">
      <w:pPr>
        <w:spacing w:after="0" w:line="240" w:lineRule="auto"/>
        <w:contextualSpacing/>
        <w:jc w:val="both"/>
        <w:rPr>
          <w:rFonts w:ascii="Verdana" w:eastAsia="Calibri" w:hAnsi="Verdana" w:cs="Arial"/>
          <w:bCs/>
          <w:sz w:val="20"/>
          <w:szCs w:val="20"/>
          <w:lang w:val="es-MX" w:eastAsia="es-MX"/>
        </w:rPr>
      </w:pPr>
    </w:p>
    <w:p w14:paraId="0BDF0F94" w14:textId="0F2E019E" w:rsidR="00255C1D" w:rsidRPr="00255C1D" w:rsidRDefault="00255C1D" w:rsidP="00084AD0">
      <w:pPr>
        <w:spacing w:after="0" w:line="240" w:lineRule="auto"/>
        <w:jc w:val="both"/>
        <w:rPr>
          <w:rFonts w:ascii="Verdana" w:eastAsia="Arial" w:hAnsi="Verdana" w:cs="Arial"/>
          <w:sz w:val="20"/>
          <w:szCs w:val="20"/>
          <w:lang w:val="es-ES" w:eastAsia="es-ES" w:bidi="es-ES"/>
        </w:rPr>
      </w:pPr>
      <w:r w:rsidRPr="00255C1D">
        <w:rPr>
          <w:rFonts w:ascii="Verdana" w:eastAsia="Arial" w:hAnsi="Verdana" w:cs="Arial"/>
          <w:sz w:val="20"/>
          <w:szCs w:val="20"/>
          <w:lang w:val="es-ES" w:eastAsia="es-ES" w:bidi="es-ES"/>
        </w:rPr>
        <w:t xml:space="preserve">[…]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ACA270B" w14:textId="77777777" w:rsidR="00255C1D" w:rsidRDefault="00255C1D" w:rsidP="00084AD0">
      <w:pPr>
        <w:spacing w:after="0" w:line="240" w:lineRule="auto"/>
        <w:jc w:val="both"/>
        <w:rPr>
          <w:rFonts w:ascii="Verdana" w:eastAsia="Arial" w:hAnsi="Verdana" w:cs="Arial"/>
          <w:sz w:val="20"/>
          <w:szCs w:val="20"/>
          <w:lang w:val="es-ES" w:eastAsia="es-ES" w:bidi="es-ES"/>
        </w:rPr>
      </w:pPr>
    </w:p>
    <w:p w14:paraId="07656734" w14:textId="0D2EE314" w:rsidR="00255C1D" w:rsidRPr="00255C1D" w:rsidRDefault="00255C1D" w:rsidP="00084AD0">
      <w:pPr>
        <w:spacing w:after="0" w:line="240" w:lineRule="auto"/>
        <w:jc w:val="both"/>
        <w:rPr>
          <w:rFonts w:ascii="Verdana" w:eastAsia="Arial" w:hAnsi="Verdana" w:cs="Arial"/>
          <w:sz w:val="20"/>
          <w:szCs w:val="20"/>
          <w:lang w:val="es-ES" w:eastAsia="es-ES" w:bidi="es-ES"/>
        </w:rPr>
      </w:pPr>
      <w:r w:rsidRPr="00255C1D">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383BB4FE" w14:textId="77777777" w:rsidR="00255C1D" w:rsidRDefault="00255C1D" w:rsidP="00084AD0">
      <w:pPr>
        <w:spacing w:after="0" w:line="240" w:lineRule="auto"/>
        <w:jc w:val="both"/>
        <w:rPr>
          <w:rFonts w:ascii="Verdana" w:eastAsia="Calibri" w:hAnsi="Verdana" w:cs="Arial"/>
          <w:sz w:val="20"/>
          <w:szCs w:val="20"/>
        </w:rPr>
      </w:pPr>
    </w:p>
    <w:p w14:paraId="5834DF7A" w14:textId="1848B45B" w:rsidR="00255C1D" w:rsidRPr="00255C1D" w:rsidRDefault="00255C1D" w:rsidP="00084AD0">
      <w:pPr>
        <w:spacing w:after="0" w:line="240" w:lineRule="auto"/>
        <w:jc w:val="both"/>
        <w:rPr>
          <w:rFonts w:ascii="Verdana" w:eastAsia="Calibri" w:hAnsi="Verdana" w:cs="Arial"/>
          <w:sz w:val="20"/>
          <w:szCs w:val="20"/>
        </w:rPr>
      </w:pPr>
      <w:r w:rsidRPr="00255C1D">
        <w:rPr>
          <w:rFonts w:ascii="Verdana" w:eastAsia="Calibri" w:hAnsi="Verdana" w:cs="Arial"/>
          <w:sz w:val="20"/>
          <w:szCs w:val="20"/>
        </w:rPr>
        <w:t>Por un lado, el artículo 33 de la Ley 996 de 2005 prohíbe “</w:t>
      </w:r>
      <w:r w:rsidRPr="00255C1D">
        <w:rPr>
          <w:rFonts w:ascii="Verdana" w:eastAsia="Calibri" w:hAnsi="Verdana" w:cs="Arial"/>
          <w:bCs/>
          <w:sz w:val="20"/>
          <w:szCs w:val="20"/>
        </w:rPr>
        <w:t xml:space="preserve">(…) </w:t>
      </w:r>
      <w:r w:rsidRPr="00255C1D">
        <w:rPr>
          <w:rFonts w:ascii="Verdana" w:eastAsia="Calibri" w:hAnsi="Verdana" w:cs="Arial"/>
          <w:sz w:val="20"/>
          <w:szCs w:val="20"/>
        </w:rPr>
        <w:t>la contratación directa por parte de todos los entes del Estado</w:t>
      </w:r>
      <w:r w:rsidRPr="00255C1D">
        <w:rPr>
          <w:rFonts w:ascii="Verdana" w:eastAsia="Calibri" w:hAnsi="Verdana" w:cs="Arial"/>
          <w:bCs/>
          <w:sz w:val="20"/>
          <w:szCs w:val="20"/>
        </w:rPr>
        <w:t>”</w:t>
      </w:r>
      <w:r w:rsidRPr="00255C1D">
        <w:rPr>
          <w:rFonts w:ascii="Verdana" w:eastAsia="Calibri" w:hAnsi="Verdana" w:cs="Arial"/>
          <w:sz w:val="20"/>
          <w:szCs w:val="20"/>
        </w:rPr>
        <w:t xml:space="preserve"> durante los cuatro (4) meses anteriores a las elecciones presidenciales, salvo </w:t>
      </w:r>
      <w:r w:rsidRPr="00255C1D">
        <w:rPr>
          <w:rFonts w:ascii="Verdana" w:eastAsia="Calibri" w:hAnsi="Verdana" w:cs="Arial"/>
          <w:bCs/>
          <w:sz w:val="20"/>
          <w:szCs w:val="20"/>
        </w:rPr>
        <w:t xml:space="preserve">“[…] </w:t>
      </w:r>
      <w:r w:rsidRPr="00255C1D">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55C1D">
        <w:rPr>
          <w:rFonts w:ascii="Verdana" w:eastAsia="Calibri" w:hAnsi="Verdana" w:cs="Arial"/>
          <w:bCs/>
          <w:sz w:val="20"/>
          <w:szCs w:val="20"/>
        </w:rPr>
        <w:t>”</w:t>
      </w:r>
      <w:r w:rsidRPr="00255C1D">
        <w:rPr>
          <w:rFonts w:ascii="Verdana" w:eastAsia="Calibri" w:hAnsi="Verdana" w:cs="Arial"/>
          <w:sz w:val="20"/>
          <w:szCs w:val="20"/>
        </w:rPr>
        <w:t>.</w:t>
      </w:r>
    </w:p>
    <w:p w14:paraId="0E4D8B89" w14:textId="77777777" w:rsidR="00255C1D" w:rsidRDefault="00255C1D" w:rsidP="00084AD0">
      <w:pPr>
        <w:widowControl w:val="0"/>
        <w:autoSpaceDE w:val="0"/>
        <w:autoSpaceDN w:val="0"/>
        <w:spacing w:after="0" w:line="240" w:lineRule="auto"/>
        <w:jc w:val="both"/>
        <w:rPr>
          <w:rFonts w:ascii="Verdana" w:eastAsia="Calibri" w:hAnsi="Verdana" w:cs="Arial"/>
          <w:sz w:val="20"/>
          <w:szCs w:val="20"/>
        </w:rPr>
      </w:pPr>
    </w:p>
    <w:p w14:paraId="7F6E1DE3" w14:textId="659B3502" w:rsidR="00255C1D" w:rsidRPr="00255C1D" w:rsidRDefault="00255C1D" w:rsidP="00084AD0">
      <w:pPr>
        <w:widowControl w:val="0"/>
        <w:autoSpaceDE w:val="0"/>
        <w:autoSpaceDN w:val="0"/>
        <w:spacing w:after="0" w:line="240" w:lineRule="auto"/>
        <w:jc w:val="both"/>
        <w:rPr>
          <w:rFonts w:ascii="Verdana" w:eastAsia="Arial" w:hAnsi="Verdana" w:cs="Arial"/>
          <w:sz w:val="20"/>
          <w:szCs w:val="20"/>
          <w:lang w:val="es-ES" w:eastAsia="es-ES" w:bidi="es-ES"/>
        </w:rPr>
      </w:pPr>
      <w:r w:rsidRPr="00255C1D">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255C1D">
        <w:rPr>
          <w:rFonts w:ascii="Verdana" w:eastAsia="Calibri" w:hAnsi="Verdana" w:cs="Arial"/>
          <w:bCs/>
          <w:sz w:val="20"/>
          <w:szCs w:val="20"/>
        </w:rPr>
        <w:t xml:space="preserve">“(…) </w:t>
      </w:r>
      <w:r w:rsidRPr="00255C1D">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55C1D">
        <w:rPr>
          <w:rFonts w:ascii="Verdana" w:eastAsia="Calibri" w:hAnsi="Verdana" w:cs="Arial"/>
          <w:bCs/>
          <w:sz w:val="20"/>
          <w:szCs w:val="20"/>
        </w:rPr>
        <w:t>”</w:t>
      </w:r>
      <w:r w:rsidRPr="00255C1D">
        <w:rPr>
          <w:rFonts w:ascii="Verdana" w:eastAsia="Calibri" w:hAnsi="Verdana" w:cs="Arial"/>
          <w:sz w:val="20"/>
          <w:szCs w:val="20"/>
        </w:rPr>
        <w:t>.</w:t>
      </w:r>
      <w:r w:rsidRPr="00255C1D">
        <w:rPr>
          <w:rFonts w:ascii="Verdana" w:eastAsia="Arial" w:hAnsi="Verdana" w:cs="Arial"/>
          <w:sz w:val="20"/>
          <w:szCs w:val="20"/>
          <w:lang w:val="es-ES" w:eastAsia="es-ES" w:bidi="es-ES"/>
        </w:rPr>
        <w:t xml:space="preserve"> </w:t>
      </w:r>
    </w:p>
    <w:p w14:paraId="2ED6A443" w14:textId="77777777" w:rsidR="00255C1D" w:rsidRPr="00255C1D" w:rsidRDefault="00255C1D" w:rsidP="00995E73">
      <w:pPr>
        <w:spacing w:after="0" w:line="240" w:lineRule="auto"/>
        <w:contextualSpacing/>
        <w:jc w:val="both"/>
        <w:rPr>
          <w:rFonts w:ascii="Verdana" w:eastAsia="Calibri" w:hAnsi="Verdana" w:cs="Arial"/>
          <w:b/>
          <w:lang w:val="es-ES" w:eastAsia="es-MX"/>
        </w:rPr>
      </w:pPr>
    </w:p>
    <w:p w14:paraId="131B4DED" w14:textId="77777777" w:rsidR="00995E73" w:rsidRPr="00255C1D" w:rsidRDefault="00995E73" w:rsidP="00F56C40">
      <w:pPr>
        <w:spacing w:after="0" w:line="240" w:lineRule="auto"/>
        <w:contextualSpacing/>
        <w:jc w:val="both"/>
        <w:rPr>
          <w:rFonts w:ascii="Verdana" w:eastAsia="Calibri" w:hAnsi="Verdana" w:cs="Arial"/>
          <w:b/>
          <w:lang w:val="es-MX"/>
        </w:rPr>
      </w:pPr>
      <w:r w:rsidRPr="00255C1D">
        <w:rPr>
          <w:rFonts w:ascii="Verdana" w:eastAsia="Calibri" w:hAnsi="Verdana" w:cs="Arial"/>
          <w:b/>
          <w:lang w:val="es-MX"/>
        </w:rPr>
        <w:t xml:space="preserve">LEY DE GARANTÍAS ELECTORALES ─ Prohibición artículo 33 ‒ Contratación directa ‒ Alcance </w:t>
      </w:r>
    </w:p>
    <w:p w14:paraId="1C7502CA" w14:textId="77777777" w:rsidR="00255C1D" w:rsidRDefault="00255C1D" w:rsidP="00F56C40">
      <w:pPr>
        <w:spacing w:after="0" w:line="240" w:lineRule="auto"/>
        <w:contextualSpacing/>
        <w:jc w:val="both"/>
        <w:rPr>
          <w:rFonts w:ascii="Verdana" w:eastAsia="Calibri" w:hAnsi="Verdana" w:cs="Arial"/>
          <w:bCs/>
          <w:lang w:val="es-MX"/>
        </w:rPr>
      </w:pPr>
    </w:p>
    <w:p w14:paraId="6DC4192E" w14:textId="77777777" w:rsidR="00D33D1B" w:rsidRDefault="00A10D3B" w:rsidP="00D33D1B">
      <w:pPr>
        <w:spacing w:after="0" w:line="240" w:lineRule="auto"/>
        <w:contextualSpacing/>
        <w:jc w:val="both"/>
        <w:rPr>
          <w:rFonts w:ascii="Verdana" w:hAnsi="Verdana" w:cs="Arial"/>
          <w:bCs/>
          <w:sz w:val="20"/>
          <w:szCs w:val="20"/>
          <w:lang w:eastAsia="x-none"/>
        </w:rPr>
      </w:pPr>
      <w:r w:rsidRPr="00D33D1B">
        <w:rPr>
          <w:rFonts w:ascii="Verdana" w:hAnsi="Verdana" w:cs="Arial"/>
          <w:bCs/>
          <w:sz w:val="20"/>
          <w:szCs w:val="20"/>
          <w:lang w:eastAsia="x-none"/>
        </w:rPr>
        <w:t xml:space="preserve">El ámbito material de la prohibición contenida en el artículo 33 de la ley 996 de 2005 está delimitado por la expresión </w:t>
      </w:r>
      <w:r w:rsidRPr="00D33D1B">
        <w:rPr>
          <w:rFonts w:ascii="Verdana" w:eastAsia="Calibri" w:hAnsi="Verdana" w:cs="Arial"/>
          <w:bCs/>
          <w:i/>
          <w:iCs/>
          <w:sz w:val="20"/>
          <w:szCs w:val="20"/>
        </w:rPr>
        <w:t>“</w:t>
      </w:r>
      <w:r w:rsidRPr="00D33D1B">
        <w:rPr>
          <w:rFonts w:ascii="Verdana" w:hAnsi="Verdana" w:cs="Arial"/>
          <w:bCs/>
          <w:i/>
          <w:iCs/>
          <w:sz w:val="20"/>
          <w:szCs w:val="20"/>
          <w:lang w:eastAsia="x-none"/>
        </w:rPr>
        <w:t>queda prohibida la contratación directa</w:t>
      </w:r>
      <w:r w:rsidRPr="00D33D1B">
        <w:rPr>
          <w:rFonts w:ascii="Verdana" w:hAnsi="Verdana" w:cs="Arial"/>
          <w:sz w:val="20"/>
          <w:szCs w:val="20"/>
        </w:rPr>
        <w:t>”</w:t>
      </w:r>
      <w:r w:rsidRPr="00D33D1B">
        <w:rPr>
          <w:rFonts w:ascii="Verdana" w:hAnsi="Verdana" w:cs="Arial"/>
          <w:bCs/>
          <w:sz w:val="20"/>
          <w:szCs w:val="20"/>
          <w:lang w:eastAsia="x-none"/>
        </w:rPr>
        <w:t>.</w:t>
      </w:r>
    </w:p>
    <w:p w14:paraId="48D196FD" w14:textId="77777777" w:rsidR="00D33D1B" w:rsidRDefault="00A10D3B" w:rsidP="00D33D1B">
      <w:pPr>
        <w:spacing w:after="0" w:line="240" w:lineRule="auto"/>
        <w:contextualSpacing/>
        <w:jc w:val="both"/>
        <w:rPr>
          <w:rFonts w:ascii="Verdana" w:hAnsi="Verdana" w:cs="Arial"/>
          <w:bCs/>
          <w:sz w:val="20"/>
          <w:szCs w:val="20"/>
          <w:lang w:eastAsia="x-none"/>
        </w:rPr>
      </w:pPr>
      <w:r w:rsidRPr="00D33D1B">
        <w:rPr>
          <w:rFonts w:ascii="Verdana" w:hAnsi="Verdana" w:cs="Arial"/>
          <w:bCs/>
          <w:sz w:val="20"/>
          <w:szCs w:val="20"/>
          <w:lang w:eastAsia="x-none"/>
        </w:rPr>
        <w:lastRenderedPageBreak/>
        <w:t xml:space="preserve">[…] </w:t>
      </w:r>
    </w:p>
    <w:p w14:paraId="594643FF" w14:textId="77777777" w:rsidR="00D33D1B" w:rsidRDefault="00D33D1B" w:rsidP="00D33D1B">
      <w:pPr>
        <w:spacing w:after="0" w:line="240" w:lineRule="auto"/>
        <w:contextualSpacing/>
        <w:jc w:val="both"/>
        <w:rPr>
          <w:rFonts w:ascii="Verdana" w:hAnsi="Verdana" w:cs="Arial"/>
          <w:bCs/>
          <w:sz w:val="20"/>
          <w:szCs w:val="20"/>
          <w:lang w:eastAsia="x-none"/>
        </w:rPr>
      </w:pPr>
    </w:p>
    <w:p w14:paraId="13282C2B" w14:textId="2B9A4B44" w:rsidR="00A10D3B" w:rsidRPr="00D33D1B" w:rsidRDefault="00A10D3B" w:rsidP="00D33D1B">
      <w:pPr>
        <w:spacing w:after="0" w:line="240" w:lineRule="auto"/>
        <w:contextualSpacing/>
        <w:jc w:val="both"/>
        <w:rPr>
          <w:rFonts w:ascii="Verdana" w:hAnsi="Verdana" w:cs="Arial"/>
          <w:bCs/>
          <w:sz w:val="20"/>
          <w:szCs w:val="20"/>
          <w:lang w:eastAsia="x-none"/>
        </w:rPr>
      </w:pPr>
      <w:r w:rsidRPr="00D33D1B">
        <w:rPr>
          <w:rFonts w:ascii="Verdana" w:hAnsi="Verdana" w:cs="Arial"/>
          <w:sz w:val="20"/>
          <w:szCs w:val="20"/>
          <w:lang w:eastAsia="x-none"/>
        </w:rPr>
        <w:t xml:space="preserve">De acuerdo con el citado concepto, la prohibición del artículo 33 de la Ley de Garantías Electorales se refiere a </w:t>
      </w:r>
      <w:r w:rsidRPr="00D33D1B">
        <w:rPr>
          <w:rFonts w:ascii="Verdana" w:hAnsi="Verdana" w:cs="Arial"/>
          <w:sz w:val="20"/>
          <w:szCs w:val="20"/>
          <w:lang w:eastAsia="en-GB"/>
        </w:rPr>
        <w:t>“</w:t>
      </w:r>
      <w:r w:rsidRPr="00D33D1B">
        <w:rPr>
          <w:rFonts w:ascii="Verdana" w:hAnsi="Verdana" w:cs="Arial"/>
          <w:sz w:val="20"/>
          <w:szCs w:val="20"/>
          <w:lang w:eastAsia="x-none"/>
        </w:rPr>
        <w:t>cualquier sistema que no implique convocatoria pública y posibilidad de pluralidad de oferentes</w:t>
      </w:r>
      <w:r w:rsidRPr="00D33D1B">
        <w:rPr>
          <w:rFonts w:ascii="Verdana" w:hAnsi="Verdana" w:cs="Arial"/>
          <w:sz w:val="20"/>
          <w:szCs w:val="20"/>
          <w:lang w:eastAsia="en-GB"/>
        </w:rPr>
        <w:t>”</w:t>
      </w:r>
      <w:r w:rsidRPr="00D33D1B">
        <w:rPr>
          <w:rFonts w:ascii="Verdana"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D33D1B">
        <w:rPr>
          <w:rFonts w:ascii="Verdana" w:hAnsi="Verdana" w:cs="Arial"/>
          <w:sz w:val="20"/>
          <w:szCs w:val="20"/>
          <w:lang w:val="es-ES_tradnl" w:eastAsia="x-none"/>
        </w:rPr>
        <w:t>y la mínima cuantía</w:t>
      </w:r>
      <w:r w:rsidRPr="00D33D1B" w:rsidDel="00A85D9F">
        <w:rPr>
          <w:rFonts w:ascii="Verdana" w:hAnsi="Verdana" w:cs="Arial"/>
          <w:sz w:val="20"/>
          <w:szCs w:val="20"/>
          <w:lang w:eastAsia="x-none"/>
        </w:rPr>
        <w:t xml:space="preserve"> </w:t>
      </w:r>
      <w:r w:rsidRPr="00D33D1B">
        <w:rPr>
          <w:rFonts w:ascii="Verdana" w:hAnsi="Verdana" w:cs="Arial"/>
          <w:sz w:val="20"/>
          <w:szCs w:val="20"/>
          <w:lang w:eastAsia="x-none"/>
        </w:rPr>
        <w:t>u otros previstos en normas especiales.</w:t>
      </w:r>
    </w:p>
    <w:p w14:paraId="7B87700C" w14:textId="77777777" w:rsidR="00A10D3B" w:rsidRDefault="00A10D3B" w:rsidP="00995E73">
      <w:pPr>
        <w:contextualSpacing/>
        <w:jc w:val="both"/>
        <w:rPr>
          <w:rFonts w:ascii="Verdana" w:eastAsia="Calibri" w:hAnsi="Verdana" w:cs="Arial"/>
          <w:bCs/>
          <w:lang w:val="es-MX"/>
        </w:rPr>
      </w:pPr>
    </w:p>
    <w:p w14:paraId="7B346480" w14:textId="77777777" w:rsidR="00995E73" w:rsidRPr="00570DD1" w:rsidRDefault="00995E73" w:rsidP="00F56C40">
      <w:pPr>
        <w:spacing w:after="0" w:line="240" w:lineRule="auto"/>
        <w:contextualSpacing/>
        <w:jc w:val="both"/>
        <w:rPr>
          <w:rFonts w:ascii="Verdana" w:eastAsia="Times New Roman" w:hAnsi="Verdana" w:cs="Arial"/>
          <w:b/>
          <w:lang w:eastAsia="es-CO"/>
        </w:rPr>
      </w:pPr>
      <w:r w:rsidRPr="00570DD1">
        <w:rPr>
          <w:rFonts w:ascii="Verdana" w:eastAsia="Calibri" w:hAnsi="Verdana" w:cs="Arial"/>
          <w:b/>
          <w:lang w:val="es-MX"/>
        </w:rPr>
        <w:t>LEY DE GARANTÍAS ELECTORALES ─ Prohibición artículo 33 ‒ Contratación directa ‒ Destinatarios</w:t>
      </w:r>
      <w:r w:rsidRPr="00570DD1">
        <w:rPr>
          <w:rFonts w:ascii="Verdana" w:eastAsia="Times New Roman" w:hAnsi="Verdana" w:cs="Arial"/>
          <w:b/>
          <w:lang w:eastAsia="es-CO"/>
        </w:rPr>
        <w:t xml:space="preserve"> </w:t>
      </w:r>
    </w:p>
    <w:p w14:paraId="1EFE5D3A" w14:textId="77777777" w:rsidR="00A10D3B" w:rsidRPr="00570DD1" w:rsidRDefault="00A10D3B" w:rsidP="00570DD1">
      <w:pPr>
        <w:spacing w:after="0" w:line="240" w:lineRule="auto"/>
        <w:contextualSpacing/>
        <w:jc w:val="both"/>
        <w:rPr>
          <w:rFonts w:ascii="Verdana" w:eastAsia="Times New Roman" w:hAnsi="Verdana" w:cs="Arial"/>
          <w:bCs/>
          <w:sz w:val="20"/>
          <w:szCs w:val="20"/>
          <w:lang w:eastAsia="es-CO"/>
        </w:rPr>
      </w:pPr>
    </w:p>
    <w:p w14:paraId="259A3D71" w14:textId="2933E5E7" w:rsidR="00A10D3B" w:rsidRPr="00570DD1" w:rsidRDefault="00A10D3B" w:rsidP="00570DD1">
      <w:pPr>
        <w:spacing w:after="0" w:line="240" w:lineRule="auto"/>
        <w:contextualSpacing/>
        <w:jc w:val="both"/>
        <w:rPr>
          <w:rFonts w:ascii="Verdana" w:hAnsi="Verdana" w:cs="Arial"/>
          <w:color w:val="000000" w:themeColor="text1"/>
          <w:sz w:val="20"/>
          <w:szCs w:val="20"/>
          <w:lang w:val="es-MX"/>
        </w:rPr>
      </w:pPr>
      <w:r w:rsidRPr="00570DD1">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570DD1">
        <w:rPr>
          <w:rFonts w:ascii="Verdana" w:hAnsi="Verdana" w:cs="Arial"/>
          <w:i/>
          <w:color w:val="000000" w:themeColor="text1"/>
          <w:sz w:val="20"/>
          <w:szCs w:val="20"/>
          <w:lang w:val="es-MX"/>
        </w:rPr>
        <w:t>todos los entes del Estado</w:t>
      </w:r>
      <w:r w:rsidRPr="00570DD1">
        <w:rPr>
          <w:rFonts w:ascii="Verdana" w:hAnsi="Verdana" w:cs="Arial"/>
          <w:color w:val="000000" w:themeColor="text1"/>
          <w:sz w:val="20"/>
          <w:szCs w:val="20"/>
          <w:lang w:val="es-MX"/>
        </w:rPr>
        <w:t>”, expresión que contempla a los diferentes organismos o entidades autorizadas por la ley para suscribir contratos.</w:t>
      </w:r>
    </w:p>
    <w:p w14:paraId="76926114" w14:textId="77777777" w:rsidR="00A10D3B" w:rsidRPr="00570DD1" w:rsidRDefault="00A10D3B" w:rsidP="00570DD1">
      <w:pPr>
        <w:spacing w:after="0" w:line="240" w:lineRule="auto"/>
        <w:contextualSpacing/>
        <w:jc w:val="both"/>
        <w:rPr>
          <w:rFonts w:ascii="Verdana" w:hAnsi="Verdana" w:cs="Arial"/>
          <w:color w:val="000000" w:themeColor="text1"/>
          <w:sz w:val="20"/>
          <w:szCs w:val="20"/>
          <w:lang w:val="es-MX"/>
        </w:rPr>
      </w:pPr>
    </w:p>
    <w:p w14:paraId="5A05D152" w14:textId="73500602" w:rsidR="00A10D3B" w:rsidRPr="00570DD1" w:rsidRDefault="00A10D3B" w:rsidP="00570DD1">
      <w:pPr>
        <w:spacing w:after="0" w:line="240" w:lineRule="auto"/>
        <w:contextualSpacing/>
        <w:jc w:val="both"/>
        <w:rPr>
          <w:rFonts w:ascii="Verdana" w:eastAsia="Times New Roman" w:hAnsi="Verdana" w:cs="Arial"/>
          <w:bCs/>
          <w:sz w:val="20"/>
          <w:szCs w:val="20"/>
          <w:lang w:eastAsia="es-CO"/>
        </w:rPr>
      </w:pPr>
      <w:r w:rsidRPr="00570DD1">
        <w:rPr>
          <w:rFonts w:ascii="Verdana" w:hAnsi="Verdana" w:cs="Arial"/>
          <w:color w:val="000000" w:themeColor="text1"/>
          <w:sz w:val="20"/>
          <w:szCs w:val="20"/>
          <w:lang w:val="es-MX"/>
        </w:rPr>
        <w:t>[…] la prohibición de la contratación directa también aplica frente a las entidades exceptuadas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79F97B0" w14:textId="77777777" w:rsidR="00995E73" w:rsidRPr="00570DD1" w:rsidRDefault="00995E73" w:rsidP="00570DD1">
      <w:pPr>
        <w:spacing w:after="0" w:line="240" w:lineRule="auto"/>
        <w:contextualSpacing/>
        <w:jc w:val="both"/>
        <w:rPr>
          <w:rFonts w:ascii="Verdana" w:eastAsia="Times New Roman" w:hAnsi="Verdana" w:cs="Arial"/>
          <w:bCs/>
          <w:sz w:val="20"/>
          <w:szCs w:val="20"/>
          <w:lang w:eastAsia="es-CO"/>
        </w:rPr>
      </w:pPr>
    </w:p>
    <w:p w14:paraId="0C846919" w14:textId="60036426" w:rsidR="00995E73" w:rsidRPr="00570DD1" w:rsidRDefault="00995E73" w:rsidP="00A10D3B">
      <w:pPr>
        <w:tabs>
          <w:tab w:val="left" w:pos="6140"/>
        </w:tabs>
        <w:contextualSpacing/>
        <w:jc w:val="both"/>
        <w:rPr>
          <w:rFonts w:ascii="Verdana" w:eastAsia="Times New Roman" w:hAnsi="Verdana" w:cs="Arial"/>
          <w:b/>
          <w:lang w:eastAsia="es-CO"/>
        </w:rPr>
      </w:pPr>
      <w:r w:rsidRPr="00570DD1">
        <w:rPr>
          <w:rFonts w:ascii="Verdana" w:eastAsia="Times New Roman" w:hAnsi="Verdana" w:cs="Arial"/>
          <w:b/>
          <w:lang w:eastAsia="es-CO"/>
        </w:rPr>
        <w:t xml:space="preserve">LEY DE GARANTÍAS ELECTORALES ‒ Excepciones </w:t>
      </w:r>
      <w:r w:rsidR="00A10D3B" w:rsidRPr="00570DD1">
        <w:rPr>
          <w:rFonts w:ascii="Verdana" w:eastAsia="Times New Roman" w:hAnsi="Verdana" w:cs="Arial"/>
          <w:b/>
          <w:lang w:eastAsia="es-CO"/>
        </w:rPr>
        <w:tab/>
      </w:r>
    </w:p>
    <w:p w14:paraId="3448E8DA" w14:textId="77777777" w:rsidR="00A10D3B" w:rsidRDefault="00A10D3B" w:rsidP="00570DD1">
      <w:pPr>
        <w:tabs>
          <w:tab w:val="left" w:pos="6140"/>
        </w:tabs>
        <w:spacing w:after="0" w:line="240" w:lineRule="auto"/>
        <w:contextualSpacing/>
        <w:jc w:val="both"/>
        <w:rPr>
          <w:rFonts w:ascii="Verdana" w:eastAsia="Times New Roman" w:hAnsi="Verdana" w:cs="Arial"/>
          <w:bCs/>
          <w:lang w:eastAsia="es-CO"/>
        </w:rPr>
      </w:pPr>
    </w:p>
    <w:p w14:paraId="42D5D4B5" w14:textId="77777777" w:rsidR="00A10D3B" w:rsidRPr="00570DD1" w:rsidRDefault="00A10D3B" w:rsidP="00570DD1">
      <w:pPr>
        <w:widowControl w:val="0"/>
        <w:autoSpaceDE w:val="0"/>
        <w:autoSpaceDN w:val="0"/>
        <w:spacing w:after="0" w:line="240" w:lineRule="auto"/>
        <w:jc w:val="both"/>
        <w:rPr>
          <w:rFonts w:ascii="Verdana" w:eastAsia="Times New Roman" w:hAnsi="Verdana" w:cs="Arial"/>
          <w:bCs/>
          <w:sz w:val="20"/>
          <w:szCs w:val="20"/>
          <w:lang w:val="es-ES" w:eastAsia="es-CO" w:bidi="es-ES"/>
        </w:rPr>
      </w:pPr>
      <w:r w:rsidRPr="00570DD1">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570DD1">
        <w:rPr>
          <w:rFonts w:ascii="Verdana" w:eastAsia="Times New Roman" w:hAnsi="Verdana" w:cs="Arial"/>
          <w:bCs/>
          <w:sz w:val="20"/>
          <w:szCs w:val="20"/>
          <w:lang w:val="es-ES" w:eastAsia="es-CO" w:bidi="es-ES"/>
        </w:rPr>
        <w:t>ii</w:t>
      </w:r>
      <w:proofErr w:type="spellEnd"/>
      <w:r w:rsidRPr="00570DD1">
        <w:rPr>
          <w:rFonts w:ascii="Verdana" w:eastAsia="Times New Roman" w:hAnsi="Verdana" w:cs="Arial"/>
          <w:bCs/>
          <w:sz w:val="20"/>
          <w:szCs w:val="20"/>
          <w:lang w:val="es-ES" w:eastAsia="es-CO" w:bidi="es-ES"/>
        </w:rPr>
        <w:t xml:space="preserve">) los contratos de crédito público; </w:t>
      </w:r>
      <w:proofErr w:type="spellStart"/>
      <w:r w:rsidRPr="00570DD1">
        <w:rPr>
          <w:rFonts w:ascii="Verdana" w:eastAsia="Times New Roman" w:hAnsi="Verdana" w:cs="Arial"/>
          <w:bCs/>
          <w:sz w:val="20"/>
          <w:szCs w:val="20"/>
          <w:lang w:val="es-ES" w:eastAsia="es-CO" w:bidi="es-ES"/>
        </w:rPr>
        <w:t>iii</w:t>
      </w:r>
      <w:proofErr w:type="spellEnd"/>
      <w:r w:rsidRPr="00570DD1">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570DD1">
        <w:rPr>
          <w:rFonts w:ascii="Verdana" w:eastAsia="Times New Roman" w:hAnsi="Verdana" w:cs="Arial"/>
          <w:bCs/>
          <w:sz w:val="20"/>
          <w:szCs w:val="20"/>
          <w:lang w:val="es-ES" w:eastAsia="es-CO" w:bidi="es-ES"/>
        </w:rPr>
        <w:t>iv</w:t>
      </w:r>
      <w:proofErr w:type="spellEnd"/>
      <w:r w:rsidRPr="00570DD1">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570DD1">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w:t>
      </w:r>
      <w:r w:rsidRPr="00570DD1">
        <w:rPr>
          <w:rFonts w:ascii="Verdana" w:hAnsi="Verdana" w:cs="Arial"/>
          <w:bCs/>
          <w:sz w:val="20"/>
          <w:szCs w:val="20"/>
          <w:lang w:eastAsia="x-none"/>
        </w:rPr>
        <w:lastRenderedPageBreak/>
        <w:t xml:space="preserve">competen a las entidades estatales que adelantan los procesos de contratación respectivos, con el apoyo de sus funcionarios y órganos asesores.   </w:t>
      </w:r>
      <w:r w:rsidRPr="00570DD1">
        <w:rPr>
          <w:rFonts w:ascii="Verdana" w:eastAsia="Times New Roman" w:hAnsi="Verdana" w:cs="Arial"/>
          <w:bCs/>
          <w:sz w:val="20"/>
          <w:szCs w:val="20"/>
          <w:lang w:val="es-ES" w:eastAsia="es-CO" w:bidi="es-ES"/>
        </w:rPr>
        <w:t xml:space="preserve"> </w:t>
      </w:r>
    </w:p>
    <w:p w14:paraId="7463F955" w14:textId="77777777" w:rsidR="00570DD1" w:rsidRDefault="00570DD1" w:rsidP="00995E73">
      <w:pPr>
        <w:contextualSpacing/>
        <w:jc w:val="both"/>
        <w:rPr>
          <w:rFonts w:ascii="Verdana" w:eastAsia="Times New Roman" w:hAnsi="Verdana" w:cs="Arial"/>
          <w:b/>
          <w:lang w:eastAsia="es-CO"/>
        </w:rPr>
      </w:pPr>
    </w:p>
    <w:p w14:paraId="658E483A" w14:textId="4BDCE5AD" w:rsidR="00995E73" w:rsidRPr="00A10D3B" w:rsidRDefault="00995E73" w:rsidP="00995E73">
      <w:pPr>
        <w:contextualSpacing/>
        <w:jc w:val="both"/>
        <w:rPr>
          <w:rFonts w:ascii="Verdana" w:eastAsia="Times New Roman" w:hAnsi="Verdana" w:cs="Arial"/>
          <w:b/>
          <w:lang w:eastAsia="es-CO"/>
        </w:rPr>
      </w:pPr>
      <w:r w:rsidRPr="00A10D3B">
        <w:rPr>
          <w:rFonts w:ascii="Verdana" w:eastAsia="Times New Roman" w:hAnsi="Verdana" w:cs="Arial"/>
          <w:b/>
          <w:lang w:eastAsia="es-CO"/>
        </w:rPr>
        <w:t xml:space="preserve">LEY DE GARANTÍAS ELECTORALES – Posibilidad de prorrogar – modificar – adicionar – ceder los contratos estatales </w:t>
      </w:r>
    </w:p>
    <w:p w14:paraId="597E1B7A" w14:textId="77777777" w:rsidR="00A10D3B" w:rsidRPr="00570DD1" w:rsidRDefault="00A10D3B" w:rsidP="00F56C40">
      <w:pPr>
        <w:spacing w:after="0" w:line="240" w:lineRule="auto"/>
        <w:contextualSpacing/>
        <w:jc w:val="both"/>
        <w:rPr>
          <w:rFonts w:ascii="Verdana" w:eastAsia="Times New Roman" w:hAnsi="Verdana" w:cs="Arial"/>
          <w:bCs/>
          <w:sz w:val="20"/>
          <w:szCs w:val="20"/>
          <w:lang w:eastAsia="es-CO"/>
        </w:rPr>
      </w:pPr>
    </w:p>
    <w:p w14:paraId="0782DE2D" w14:textId="41CC78CD" w:rsidR="00A10D3B" w:rsidRPr="00570DD1" w:rsidRDefault="00A10D3B" w:rsidP="00570DD1">
      <w:pPr>
        <w:spacing w:after="0" w:line="240" w:lineRule="auto"/>
        <w:jc w:val="both"/>
        <w:rPr>
          <w:rFonts w:ascii="Verdana" w:eastAsia="Times New Roman" w:hAnsi="Verdana" w:cs="Arial"/>
          <w:sz w:val="20"/>
          <w:szCs w:val="20"/>
          <w:lang w:val="es-MX" w:eastAsia="x-none"/>
        </w:rPr>
      </w:pPr>
      <w:r w:rsidRPr="00570DD1">
        <w:rPr>
          <w:rFonts w:ascii="Verdana" w:eastAsia="Times New Roman" w:hAnsi="Verdana" w:cs="Arial"/>
          <w:bCs/>
          <w:sz w:val="20"/>
          <w:szCs w:val="20"/>
          <w:lang w:val="es-ES" w:eastAsia="es-CO" w:bidi="es-ES"/>
        </w:rPr>
        <w:t>[…] como</w:t>
      </w:r>
      <w:r w:rsidRPr="00570DD1">
        <w:rPr>
          <w:rFonts w:ascii="Verdana" w:eastAsia="Times New Roman" w:hAnsi="Verdana" w:cs="Arial"/>
          <w:sz w:val="20"/>
          <w:szCs w:val="20"/>
          <w:lang w:val="es-MX" w:eastAsia="es-CO"/>
        </w:rPr>
        <w:t xml:space="preserve"> en otras oportunidades lo ha manifestado esta Agencia, las prórrogas, modificaciones o adiciones de los contratos suscritos antes de la entrada en vigencia de las prohibiciones enunciadas en el artículo 33 y el parágrafo 38 de la Ley 996 de 2005 anotadas, así como la cesión de los mismos, pueden tener lugar en el período de aplicación de la Ley de Garantías, sin que ello haga nugatoria la restricción de la contratación directa y siempre que cumplan los principios de planeación, transparencia y responsabilidad. </w:t>
      </w:r>
    </w:p>
    <w:p w14:paraId="74E419A6" w14:textId="77777777" w:rsidR="00570DD1" w:rsidRDefault="00570DD1" w:rsidP="00995E73">
      <w:pPr>
        <w:contextualSpacing/>
        <w:jc w:val="both"/>
        <w:rPr>
          <w:rFonts w:ascii="Verdana" w:eastAsia="Calibri" w:hAnsi="Verdana" w:cs="Arial"/>
          <w:b/>
          <w:bCs/>
          <w:color w:val="000000" w:themeColor="text1"/>
          <w:lang w:val="es-ES_tradnl" w:eastAsia="es-ES_tradnl"/>
        </w:rPr>
      </w:pPr>
    </w:p>
    <w:p w14:paraId="62DC3D5C" w14:textId="3117B0BD" w:rsidR="00995E73" w:rsidRPr="002447D7" w:rsidRDefault="00995E73" w:rsidP="00995E73">
      <w:pPr>
        <w:contextualSpacing/>
        <w:jc w:val="both"/>
        <w:rPr>
          <w:rFonts w:ascii="Verdana" w:eastAsia="Calibri" w:hAnsi="Verdana" w:cs="Arial"/>
          <w:b/>
          <w:bCs/>
          <w:color w:val="000000" w:themeColor="text1"/>
          <w:lang w:val="es-ES_tradnl" w:eastAsia="es-ES_tradnl"/>
        </w:rPr>
      </w:pPr>
      <w:r w:rsidRPr="002447D7">
        <w:rPr>
          <w:rFonts w:ascii="Verdana" w:eastAsia="Calibri" w:hAnsi="Verdana" w:cs="Arial"/>
          <w:b/>
          <w:bCs/>
          <w:color w:val="000000" w:themeColor="text1"/>
          <w:lang w:val="es-ES_tradnl" w:eastAsia="es-ES_tradnl"/>
        </w:rPr>
        <w:t xml:space="preserve">SOFTWARE – Adquisición y desarrollo – Modalidades de selección </w:t>
      </w:r>
    </w:p>
    <w:p w14:paraId="5379881C" w14:textId="77777777" w:rsidR="002447D7" w:rsidRDefault="002447D7" w:rsidP="00995E73">
      <w:pPr>
        <w:contextualSpacing/>
        <w:jc w:val="both"/>
        <w:rPr>
          <w:rFonts w:ascii="Verdana" w:eastAsia="Calibri" w:hAnsi="Verdana" w:cs="Arial"/>
          <w:color w:val="000000" w:themeColor="text1"/>
          <w:lang w:val="es-ES_tradnl" w:eastAsia="es-ES_tradnl"/>
        </w:rPr>
      </w:pPr>
    </w:p>
    <w:p w14:paraId="23BA2E18" w14:textId="116D2AB8" w:rsidR="002447D7" w:rsidRPr="00570DD1" w:rsidRDefault="002447D7" w:rsidP="00570DD1">
      <w:pPr>
        <w:spacing w:after="0" w:line="240" w:lineRule="auto"/>
        <w:jc w:val="both"/>
        <w:rPr>
          <w:rFonts w:ascii="Verdana" w:eastAsia="Calibri" w:hAnsi="Verdana" w:cs="Arial"/>
          <w:sz w:val="20"/>
          <w:szCs w:val="20"/>
          <w:lang w:val="es-ES"/>
        </w:rPr>
      </w:pPr>
      <w:r w:rsidRPr="00570DD1">
        <w:rPr>
          <w:rFonts w:ascii="Verdana" w:eastAsia="Calibri" w:hAnsi="Verdana" w:cs="Arial"/>
          <w:sz w:val="20"/>
          <w:szCs w:val="20"/>
          <w:lang w:val="es-ES"/>
        </w:rPr>
        <w:t>La Agencia Nacional de Contratación Pública – Colombia Compra Eficiente y el Ministerio de Tecnologías de la Información y las Comunicaciones – MinTIC</w:t>
      </w:r>
      <w:r w:rsidRPr="00570DD1">
        <w:rPr>
          <w:rFonts w:ascii="Verdana" w:eastAsia="Calibri" w:hAnsi="Verdana" w:cs="Arial"/>
          <w:sz w:val="20"/>
          <w:szCs w:val="20"/>
        </w:rPr>
        <w:t xml:space="preserve"> </w:t>
      </w:r>
      <w:r w:rsidRPr="00570DD1">
        <w:rPr>
          <w:rFonts w:ascii="Verdana" w:eastAsia="Calibri" w:hAnsi="Verdana" w:cs="Arial"/>
          <w:sz w:val="20"/>
          <w:szCs w:val="20"/>
          <w:lang w:val="es-ES"/>
        </w:rPr>
        <w:t>recomiendan que las Entidades adelanten los procesos de adquisición de software mediante las siguientes modalidades de contratación: (i) licitación pública, (</w:t>
      </w:r>
      <w:proofErr w:type="spellStart"/>
      <w:r w:rsidRPr="00570DD1">
        <w:rPr>
          <w:rFonts w:ascii="Verdana" w:eastAsia="Calibri" w:hAnsi="Verdana" w:cs="Arial"/>
          <w:sz w:val="20"/>
          <w:szCs w:val="20"/>
          <w:lang w:val="es-ES"/>
        </w:rPr>
        <w:t>ii</w:t>
      </w:r>
      <w:proofErr w:type="spellEnd"/>
      <w:r w:rsidRPr="00570DD1">
        <w:rPr>
          <w:rFonts w:ascii="Verdana" w:eastAsia="Calibri" w:hAnsi="Verdana" w:cs="Arial"/>
          <w:sz w:val="20"/>
          <w:szCs w:val="20"/>
          <w:lang w:val="es-ES"/>
        </w:rPr>
        <w:t>) mínima cuantía o (</w:t>
      </w:r>
      <w:proofErr w:type="spellStart"/>
      <w:r w:rsidRPr="00570DD1">
        <w:rPr>
          <w:rFonts w:ascii="Verdana" w:eastAsia="Calibri" w:hAnsi="Verdana" w:cs="Arial"/>
          <w:sz w:val="20"/>
          <w:szCs w:val="20"/>
          <w:lang w:val="es-ES"/>
        </w:rPr>
        <w:t>iii</w:t>
      </w:r>
      <w:proofErr w:type="spellEnd"/>
      <w:r w:rsidRPr="00570DD1">
        <w:rPr>
          <w:rFonts w:ascii="Verdana" w:eastAsia="Calibri" w:hAnsi="Verdana" w:cs="Arial"/>
          <w:sz w:val="20"/>
          <w:szCs w:val="20"/>
          <w:lang w:val="es-ES"/>
        </w:rPr>
        <w:t xml:space="preserve">) concurso de méritos. Sin embargo, la entidad deberá contemplar la modalidad de selección abreviada por subasta inversa cuando se trate de bienes de características técnicas uniformes. </w:t>
      </w:r>
    </w:p>
    <w:p w14:paraId="4F667441" w14:textId="77777777" w:rsidR="00F56C40" w:rsidRDefault="00F56C40" w:rsidP="00570DD1">
      <w:pPr>
        <w:spacing w:after="0" w:line="240" w:lineRule="auto"/>
        <w:jc w:val="both"/>
        <w:rPr>
          <w:rFonts w:ascii="Verdana" w:eastAsia="Calibri" w:hAnsi="Verdana" w:cs="Arial"/>
          <w:sz w:val="20"/>
          <w:szCs w:val="20"/>
          <w:lang w:val="es-ES"/>
        </w:rPr>
      </w:pPr>
    </w:p>
    <w:p w14:paraId="64C95220" w14:textId="77777777" w:rsidR="00F56C40" w:rsidRDefault="002447D7" w:rsidP="00570DD1">
      <w:pPr>
        <w:spacing w:after="0" w:line="240" w:lineRule="auto"/>
        <w:jc w:val="both"/>
        <w:rPr>
          <w:rFonts w:ascii="Verdana" w:eastAsia="Calibri" w:hAnsi="Verdana" w:cs="Arial"/>
          <w:sz w:val="20"/>
          <w:szCs w:val="20"/>
          <w:lang w:val="es-ES"/>
        </w:rPr>
      </w:pPr>
      <w:r w:rsidRPr="00570DD1">
        <w:rPr>
          <w:rFonts w:ascii="Verdana" w:eastAsia="Calibri" w:hAnsi="Verdana" w:cs="Arial"/>
          <w:sz w:val="20"/>
          <w:szCs w:val="20"/>
          <w:lang w:val="es-ES"/>
        </w:rPr>
        <w:t>En cuanto al proceso de selección a través de la licitación pública, aunque es la regla general para la selección de proponentes de acuerdo con el artículo segundo de la Ley 1150 de 2007, esto no quiere decir que en todos los casos resulte ser la modalidad más adecuada para la adquisición de software. La entidad deberá primero verificar si se configuran circunstancias especiales que hacen procedente otra modalidad de selección, como es el caso de la cuantía y la naturaleza del bien o servicio. En efecto, según la naturaleza del objeto a contratar, Colombia Compra Eficiente y el MinTIC</w:t>
      </w:r>
      <w:r w:rsidRPr="00570DD1">
        <w:rPr>
          <w:rFonts w:ascii="Verdana" w:eastAsia="Calibri" w:hAnsi="Verdana" w:cs="Arial"/>
          <w:sz w:val="20"/>
          <w:szCs w:val="20"/>
        </w:rPr>
        <w:t xml:space="preserve"> </w:t>
      </w:r>
      <w:r w:rsidRPr="00570DD1">
        <w:rPr>
          <w:rFonts w:ascii="Verdana" w:eastAsia="Calibri" w:hAnsi="Verdana" w:cs="Arial"/>
          <w:sz w:val="20"/>
          <w:szCs w:val="20"/>
          <w:lang w:val="es-ES"/>
        </w:rPr>
        <w:t>recomiendan tener en cuenta las modalidades de selección que se exponen a continuación.</w:t>
      </w:r>
    </w:p>
    <w:p w14:paraId="04724DEF" w14:textId="77777777" w:rsidR="00F56C40" w:rsidRDefault="00F56C40" w:rsidP="00570DD1">
      <w:pPr>
        <w:spacing w:after="0" w:line="240" w:lineRule="auto"/>
        <w:jc w:val="both"/>
        <w:rPr>
          <w:rFonts w:ascii="Verdana" w:eastAsia="Calibri" w:hAnsi="Verdana" w:cs="Arial"/>
          <w:sz w:val="20"/>
          <w:szCs w:val="20"/>
          <w:lang w:val="es-ES"/>
        </w:rPr>
      </w:pPr>
    </w:p>
    <w:p w14:paraId="26F40251" w14:textId="77777777" w:rsidR="004210D0" w:rsidRDefault="002447D7" w:rsidP="00570DD1">
      <w:pPr>
        <w:spacing w:after="0" w:line="240" w:lineRule="auto"/>
        <w:jc w:val="both"/>
        <w:rPr>
          <w:rFonts w:ascii="Verdana" w:eastAsia="Calibri" w:hAnsi="Verdana" w:cs="Arial"/>
          <w:sz w:val="20"/>
          <w:szCs w:val="20"/>
          <w:lang w:val="es-ES"/>
        </w:rPr>
      </w:pPr>
      <w:r w:rsidRPr="00570DD1">
        <w:rPr>
          <w:rFonts w:ascii="Verdana" w:eastAsia="Calibri" w:hAnsi="Verdana" w:cs="Arial"/>
          <w:sz w:val="20"/>
          <w:szCs w:val="20"/>
          <w:lang w:val="es-ES"/>
        </w:rPr>
        <w:t xml:space="preserve">En primer lugar, cuando la Entidad Estatal determine que requiere la </w:t>
      </w:r>
      <w:r w:rsidRPr="00570DD1">
        <w:rPr>
          <w:rFonts w:ascii="Verdana" w:eastAsia="Calibri" w:hAnsi="Verdana" w:cs="Arial"/>
          <w:i/>
          <w:iCs/>
          <w:sz w:val="20"/>
          <w:szCs w:val="20"/>
          <w:lang w:val="es-ES"/>
        </w:rPr>
        <w:t>adquisición de un software</w:t>
      </w:r>
      <w:r w:rsidRPr="00570DD1">
        <w:rPr>
          <w:rFonts w:ascii="Verdana" w:eastAsia="Calibri" w:hAnsi="Verdana" w:cs="Arial"/>
          <w:sz w:val="20"/>
          <w:szCs w:val="20"/>
          <w:lang w:val="es-ES"/>
        </w:rPr>
        <w:t xml:space="preserve"> de propósito general - como la adquisición de licenciamiento, SaaS y servicios complementarios- deberá considerar si se trata de bienes con características uniformes y de común utilización, que comparten patrones de desempeño y de calidad. De conformidad con lo dispuesto en la Ley 1150 de 2007, en estos casos deberá adelantar un proceso mediante la modalidad de selección abreviada por subasta inversa, siguiendo el procedimiento que para ello dispone el Decreto 1082 de 2015. Para la adquisición o suministro de bienes y servicios de características técnicas</w:t>
      </w:r>
      <w:r w:rsidRPr="00570DD1">
        <w:rPr>
          <w:rFonts w:ascii="Verdana" w:eastAsia="Calibri" w:hAnsi="Verdana" w:cs="Arial"/>
          <w:sz w:val="20"/>
          <w:szCs w:val="20"/>
        </w:rPr>
        <w:t xml:space="preserve"> uniformes y común utilización, las entidades estatales incluirán como único factor de evaluación el menor precio ofrecido</w:t>
      </w:r>
      <w:r w:rsidRPr="00570DD1">
        <w:rPr>
          <w:rFonts w:ascii="Verdana" w:eastAsia="Calibri" w:hAnsi="Verdana" w:cs="Arial"/>
          <w:sz w:val="20"/>
          <w:szCs w:val="20"/>
          <w:lang w:val="es-ES"/>
        </w:rPr>
        <w:t xml:space="preserve">. Lo anterior, sin perjuicio de lo que dispone la normativa para la adquisición de estos bienes y servicios a través de Acuerdos Marco de Precios o Instrumentos de Agregación de Demanda. </w:t>
      </w:r>
    </w:p>
    <w:p w14:paraId="170B5428" w14:textId="357A113C" w:rsidR="002447D7" w:rsidRDefault="002447D7" w:rsidP="00570DD1">
      <w:pPr>
        <w:spacing w:after="0" w:line="240" w:lineRule="auto"/>
        <w:jc w:val="both"/>
        <w:rPr>
          <w:rFonts w:ascii="Verdana" w:eastAsia="Calibri" w:hAnsi="Verdana" w:cs="Arial"/>
          <w:sz w:val="20"/>
          <w:szCs w:val="20"/>
          <w:lang w:val="es-ES"/>
        </w:rPr>
      </w:pPr>
      <w:r w:rsidRPr="00570DD1">
        <w:rPr>
          <w:rFonts w:ascii="Verdana" w:eastAsia="Calibri" w:hAnsi="Verdana" w:cs="Arial"/>
          <w:sz w:val="20"/>
          <w:szCs w:val="20"/>
          <w:lang w:val="es-ES"/>
        </w:rPr>
        <w:lastRenderedPageBreak/>
        <w:t>Adicionalmente, las entidades deben tener en cuenta que la adquisición de software mediante la modalidad de selección abreviada por subasta inversa puede generar dificultades durante la ejecución del contrato asociadas a que los partícipes sobrepasen el punto de quiebre o subestimen los costos del despliegue de la herramienta ofreciendo precios inferiores a los de mercado. Así, es importante considerar si la realidad de la adquisición del software o los servicios asociados corresponde efectivamente a un bien o servicio de características técnicas uniformes, con el fin de evitar una indebida modalidad de selección.</w:t>
      </w:r>
    </w:p>
    <w:p w14:paraId="5CEEB53E" w14:textId="77777777" w:rsidR="004210D0" w:rsidRPr="00570DD1" w:rsidRDefault="004210D0" w:rsidP="00570DD1">
      <w:pPr>
        <w:spacing w:after="0" w:line="240" w:lineRule="auto"/>
        <w:jc w:val="both"/>
        <w:rPr>
          <w:rFonts w:ascii="Verdana" w:eastAsia="Calibri" w:hAnsi="Verdana" w:cs="Arial"/>
          <w:sz w:val="20"/>
          <w:szCs w:val="20"/>
          <w:lang w:val="es-ES"/>
        </w:rPr>
      </w:pPr>
    </w:p>
    <w:p w14:paraId="28A84F56" w14:textId="77777777" w:rsidR="002447D7" w:rsidRDefault="002447D7" w:rsidP="00570DD1">
      <w:pPr>
        <w:spacing w:after="0" w:line="240" w:lineRule="auto"/>
        <w:jc w:val="both"/>
        <w:rPr>
          <w:rFonts w:ascii="Verdana" w:eastAsia="Calibri" w:hAnsi="Verdana" w:cs="Arial"/>
          <w:sz w:val="20"/>
          <w:szCs w:val="20"/>
          <w:lang w:val="es-ES"/>
        </w:rPr>
      </w:pPr>
      <w:r w:rsidRPr="00570DD1">
        <w:rPr>
          <w:rFonts w:ascii="Verdana" w:eastAsia="Calibri" w:hAnsi="Verdana" w:cs="Arial"/>
          <w:sz w:val="20"/>
          <w:szCs w:val="20"/>
          <w:lang w:val="es-ES"/>
        </w:rPr>
        <w:t xml:space="preserve">En segundo lugar, si durante la etapa de planeación la entidad determina que no existe una herramienta disponible en el mercado y requiere el </w:t>
      </w:r>
      <w:r w:rsidRPr="00570DD1">
        <w:rPr>
          <w:rFonts w:ascii="Verdana" w:eastAsia="Calibri" w:hAnsi="Verdana" w:cs="Arial"/>
          <w:i/>
          <w:iCs/>
          <w:sz w:val="20"/>
          <w:szCs w:val="20"/>
          <w:lang w:val="es-ES"/>
        </w:rPr>
        <w:t>desarrollo de software a la medida</w:t>
      </w:r>
      <w:r w:rsidRPr="00570DD1">
        <w:rPr>
          <w:rFonts w:ascii="Verdana" w:eastAsia="Calibri" w:hAnsi="Verdana" w:cs="Arial"/>
          <w:sz w:val="20"/>
          <w:szCs w:val="20"/>
          <w:lang w:val="es-ES"/>
        </w:rPr>
        <w:t xml:space="preserve"> se recomienda que adelante un proceso de contratación mediante la modalidad de selección de concurso de méritos. Esta será procedente por tratarse del desarrollo de un proyecto específico o por requerir la selección de consultores. En estos procesos, la entidad hará́ uso de factores de calificación que valoren los aspectos técnicos de la oferta o proyecto. Podrán utilizar criterios de experiencia especifica del oferente y del equipo de trabajo, en el campo de que se trate, según lo que establece el numeral 4 del artículo 5 de la Ley 1150 de 2007.</w:t>
      </w:r>
    </w:p>
    <w:p w14:paraId="7BD55812" w14:textId="77777777" w:rsidR="004210D0" w:rsidRPr="00570DD1" w:rsidRDefault="004210D0" w:rsidP="00570DD1">
      <w:pPr>
        <w:spacing w:after="0" w:line="240" w:lineRule="auto"/>
        <w:jc w:val="both"/>
        <w:rPr>
          <w:rFonts w:ascii="Verdana" w:eastAsia="Calibri" w:hAnsi="Verdana" w:cs="Arial"/>
          <w:sz w:val="20"/>
          <w:szCs w:val="20"/>
          <w:lang w:val="es-ES"/>
        </w:rPr>
      </w:pPr>
    </w:p>
    <w:p w14:paraId="5BF850AF" w14:textId="77777777" w:rsidR="002447D7" w:rsidRPr="00570DD1" w:rsidRDefault="002447D7" w:rsidP="00570DD1">
      <w:pPr>
        <w:spacing w:after="0" w:line="240" w:lineRule="auto"/>
        <w:jc w:val="both"/>
        <w:rPr>
          <w:rFonts w:ascii="Verdana" w:eastAsia="Calibri" w:hAnsi="Verdana" w:cs="Arial"/>
          <w:sz w:val="20"/>
          <w:szCs w:val="20"/>
          <w:lang w:val="es-ES"/>
        </w:rPr>
      </w:pPr>
      <w:r w:rsidRPr="00570DD1">
        <w:rPr>
          <w:rFonts w:ascii="Verdana" w:eastAsia="Calibri" w:hAnsi="Verdana" w:cs="Arial"/>
          <w:sz w:val="20"/>
          <w:szCs w:val="20"/>
          <w:lang w:val="es-ES"/>
        </w:rPr>
        <w:t xml:space="preserve">Finalmente, si la entidad determina que el tipo de contratación adecuado para satisfacer su necesidad es la </w:t>
      </w:r>
      <w:r w:rsidRPr="00570DD1">
        <w:rPr>
          <w:rFonts w:ascii="Verdana" w:eastAsia="Calibri" w:hAnsi="Verdana" w:cs="Arial"/>
          <w:i/>
          <w:iCs/>
          <w:sz w:val="20"/>
          <w:szCs w:val="20"/>
          <w:lang w:val="es-ES"/>
        </w:rPr>
        <w:t>fábrica de software</w:t>
      </w:r>
      <w:r w:rsidRPr="00570DD1">
        <w:rPr>
          <w:rFonts w:ascii="Verdana" w:eastAsia="Calibri" w:hAnsi="Verdana" w:cs="Arial"/>
          <w:sz w:val="20"/>
          <w:szCs w:val="20"/>
          <w:lang w:val="es-ES"/>
        </w:rPr>
        <w:t>, es recomendable adelantar un proceso de licitación pública. Sin embargo, la entidad deberá contemplar la modalidad de selección abreviada por subasta inversa cuando la fábrica se refiera a bienes de características técnicas uniformes. En este supuesto, también será procedente lo establecido frente a la aplicación de Acuerdos Marco de Precios o Instrumentos de Agregación de Demanda.</w:t>
      </w:r>
    </w:p>
    <w:p w14:paraId="60739103" w14:textId="77777777" w:rsidR="00570DD1" w:rsidRDefault="00570DD1" w:rsidP="00995E73">
      <w:pPr>
        <w:spacing w:after="0" w:line="240" w:lineRule="auto"/>
        <w:contextualSpacing/>
        <w:jc w:val="both"/>
        <w:rPr>
          <w:rFonts w:ascii="Verdana" w:eastAsia="Calibri" w:hAnsi="Verdana" w:cs="Arial"/>
          <w:b/>
          <w:bCs/>
          <w:color w:val="000000" w:themeColor="text1"/>
          <w:lang w:val="es-ES_tradnl" w:eastAsia="es-ES_tradnl"/>
        </w:rPr>
      </w:pPr>
    </w:p>
    <w:p w14:paraId="18E03917" w14:textId="235073B4" w:rsidR="00995E73" w:rsidRPr="002F4FCC" w:rsidRDefault="00995E73" w:rsidP="00995E73">
      <w:pPr>
        <w:spacing w:after="0" w:line="240" w:lineRule="auto"/>
        <w:contextualSpacing/>
        <w:jc w:val="both"/>
        <w:rPr>
          <w:rFonts w:ascii="Verdana" w:eastAsia="Calibri" w:hAnsi="Verdana" w:cs="Arial"/>
          <w:b/>
          <w:bCs/>
          <w:color w:val="000000" w:themeColor="text1"/>
          <w:lang w:val="es-ES_tradnl" w:eastAsia="es-ES_tradnl"/>
        </w:rPr>
      </w:pPr>
      <w:r w:rsidRPr="002F4FCC">
        <w:rPr>
          <w:rFonts w:ascii="Verdana" w:eastAsia="Calibri" w:hAnsi="Verdana" w:cs="Arial"/>
          <w:b/>
          <w:bCs/>
          <w:color w:val="000000" w:themeColor="text1"/>
          <w:lang w:val="es-ES_tradnl" w:eastAsia="es-ES_tradnl"/>
        </w:rPr>
        <w:t xml:space="preserve">SOFTWARE – Contratación directa – Artículo 2 numeral 4 literal g) Ley 1150 de 2007 – Interpretación </w:t>
      </w:r>
    </w:p>
    <w:p w14:paraId="7216A79B" w14:textId="77777777" w:rsidR="00995E73" w:rsidRPr="002F4FCC" w:rsidRDefault="00995E73" w:rsidP="00995E73">
      <w:pPr>
        <w:contextualSpacing/>
        <w:jc w:val="both"/>
        <w:rPr>
          <w:rFonts w:ascii="Verdana" w:eastAsia="Calibri" w:hAnsi="Verdana" w:cs="Arial"/>
          <w:b/>
          <w:bCs/>
          <w:color w:val="000000" w:themeColor="text1"/>
          <w:lang w:val="es-ES_tradnl" w:eastAsia="es-ES_tradnl"/>
        </w:rPr>
      </w:pPr>
    </w:p>
    <w:p w14:paraId="460A2BFF" w14:textId="73079E78" w:rsidR="002F4FCC" w:rsidRDefault="00084AD0" w:rsidP="00570DD1">
      <w:pPr>
        <w:widowControl w:val="0"/>
        <w:autoSpaceDE w:val="0"/>
        <w:autoSpaceDN w:val="0"/>
        <w:spacing w:after="0" w:line="240" w:lineRule="auto"/>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 xml:space="preserve">[…] </w:t>
      </w:r>
      <w:r w:rsidR="002F4FCC" w:rsidRPr="00570DD1">
        <w:rPr>
          <w:rFonts w:ascii="Verdana" w:hAnsi="Verdana" w:cs="Arial"/>
          <w:color w:val="000000" w:themeColor="text1"/>
          <w:sz w:val="20"/>
          <w:szCs w:val="20"/>
          <w:lang w:val="es-ES_tradnl"/>
        </w:rPr>
        <w:t>Una de las excepciones es la causal de contratación directa prevista en el literal g) del mencionado numeral, que se refiere a la ausencia de pluralidad de oferentes.</w:t>
      </w:r>
    </w:p>
    <w:p w14:paraId="35D9A03A" w14:textId="77777777" w:rsidR="00093D9A" w:rsidRPr="00570DD1" w:rsidRDefault="00093D9A" w:rsidP="00570DD1">
      <w:pPr>
        <w:widowControl w:val="0"/>
        <w:autoSpaceDE w:val="0"/>
        <w:autoSpaceDN w:val="0"/>
        <w:spacing w:after="0" w:line="240" w:lineRule="auto"/>
        <w:jc w:val="both"/>
        <w:rPr>
          <w:rFonts w:ascii="Verdana" w:eastAsia="Calibri" w:hAnsi="Verdana" w:cs="Arial"/>
          <w:sz w:val="20"/>
          <w:szCs w:val="20"/>
          <w:lang w:val="es-ES"/>
        </w:rPr>
      </w:pPr>
    </w:p>
    <w:p w14:paraId="0F46B240" w14:textId="77777777" w:rsidR="002F4FCC" w:rsidRDefault="002F4FCC" w:rsidP="00570DD1">
      <w:pPr>
        <w:spacing w:after="0" w:line="240" w:lineRule="auto"/>
        <w:jc w:val="both"/>
        <w:rPr>
          <w:rFonts w:ascii="Verdana" w:eastAsia="Calibri" w:hAnsi="Verdana" w:cs="Arial"/>
          <w:color w:val="000000" w:themeColor="text1"/>
          <w:sz w:val="20"/>
          <w:szCs w:val="20"/>
          <w:lang w:val="es-ES_tradnl"/>
        </w:rPr>
      </w:pPr>
      <w:r w:rsidRPr="00570DD1">
        <w:rPr>
          <w:rFonts w:ascii="Verdana" w:hAnsi="Verdana" w:cs="Arial"/>
          <w:color w:val="000000" w:themeColor="text1"/>
          <w:sz w:val="20"/>
          <w:szCs w:val="20"/>
          <w:lang w:val="es-ES_tradnl"/>
        </w:rPr>
        <w:t xml:space="preserve">Cuando se interpreta aisladamente, la causal constituye un </w:t>
      </w:r>
      <w:r w:rsidRPr="00570DD1">
        <w:rPr>
          <w:rFonts w:ascii="Verdana" w:hAnsi="Verdana" w:cs="Arial"/>
          <w:i/>
          <w:iCs/>
          <w:color w:val="000000" w:themeColor="text1"/>
          <w:sz w:val="20"/>
          <w:szCs w:val="20"/>
          <w:lang w:val="es-ES_tradnl"/>
        </w:rPr>
        <w:t>concepto jurídico indeterminado</w:t>
      </w:r>
      <w:r w:rsidRPr="00570DD1">
        <w:rPr>
          <w:rFonts w:ascii="Verdana" w:hAnsi="Verdana" w:cs="Arial"/>
          <w:color w:val="000000" w:themeColor="text1"/>
          <w:sz w:val="20"/>
          <w:szCs w:val="20"/>
          <w:lang w:val="es-ES_tradnl"/>
        </w:rPr>
        <w:t>. Lo anterior, en la medida que debe precisarse su contenido conforme a las circunstancias, pues confiere una cierta facultad de apreciación interpretativa por la amplitud y abstracción del concepto. Sin embargo, teniendo en cuenta la competencia del artículo 189.11 superior para la debida ejecución de la ley, nada obsta para que el reglamento determine los casos en que no existe pluralidad de oferentes. Lo anterior teniendo en cuenta que</w:t>
      </w:r>
      <w:r w:rsidRPr="00570DD1">
        <w:rPr>
          <w:rFonts w:ascii="Verdana" w:eastAsia="Calibri" w:hAnsi="Verdana" w:cs="Arial"/>
          <w:color w:val="000000" w:themeColor="text1"/>
          <w:sz w:val="20"/>
          <w:szCs w:val="20"/>
          <w:lang w:val="es-ES_tradnl"/>
        </w:rPr>
        <w:t xml:space="preserve"> a pesar de que el artículo 28 del Código Civil dispone que las palabras se entenderán en su sentido natural y obvio, es decir, de acuerdo con su sentido general, la norma también indica que cuando se definan expresamente para ciertas materias, se les dará en estas su significado legal. </w:t>
      </w:r>
    </w:p>
    <w:p w14:paraId="75D13195" w14:textId="77777777" w:rsidR="00093D9A" w:rsidRPr="00570DD1" w:rsidRDefault="00093D9A" w:rsidP="00570DD1">
      <w:pPr>
        <w:spacing w:after="0" w:line="240" w:lineRule="auto"/>
        <w:jc w:val="both"/>
        <w:rPr>
          <w:rFonts w:ascii="Verdana" w:eastAsia="Calibri" w:hAnsi="Verdana" w:cs="Arial"/>
          <w:color w:val="000000" w:themeColor="text1"/>
          <w:sz w:val="20"/>
          <w:szCs w:val="20"/>
          <w:lang w:val="es-ES_tradnl"/>
        </w:rPr>
      </w:pPr>
    </w:p>
    <w:p w14:paraId="4214B39E" w14:textId="32578556" w:rsidR="002F4FCC" w:rsidRDefault="002F4FCC" w:rsidP="00570DD1">
      <w:pPr>
        <w:spacing w:after="0" w:line="240" w:lineRule="auto"/>
        <w:jc w:val="both"/>
        <w:rPr>
          <w:rFonts w:ascii="Verdana" w:eastAsia="Calibri" w:hAnsi="Verdana" w:cs="Arial"/>
          <w:color w:val="000000" w:themeColor="text1"/>
          <w:sz w:val="20"/>
          <w:szCs w:val="20"/>
          <w:lang w:val="es-ES_tradnl"/>
        </w:rPr>
      </w:pPr>
      <w:r w:rsidRPr="00570DD1">
        <w:rPr>
          <w:rFonts w:ascii="Verdana" w:eastAsia="Calibri" w:hAnsi="Verdana" w:cs="Arial"/>
          <w:color w:val="000000" w:themeColor="text1"/>
          <w:sz w:val="20"/>
          <w:szCs w:val="20"/>
          <w:lang w:val="es-ES_tradnl"/>
        </w:rPr>
        <w:lastRenderedPageBreak/>
        <w:t>En la actualidad, la disposición normativa vigente para interpretar el alcance de la causal de contratación directa establecida en el artículo 2, numeral 4, literal g), de la Ley 1150 de 2007, está compilada en el artículo 2.2.1.2.1.4.8 del Decreto 1082 de 2015 […].</w:t>
      </w:r>
    </w:p>
    <w:p w14:paraId="36CDCBE3" w14:textId="77777777" w:rsidR="00093D9A" w:rsidRPr="00570DD1" w:rsidRDefault="00093D9A" w:rsidP="00570DD1">
      <w:pPr>
        <w:spacing w:after="0" w:line="240" w:lineRule="auto"/>
        <w:jc w:val="both"/>
        <w:rPr>
          <w:rFonts w:ascii="Verdana" w:eastAsia="Calibri" w:hAnsi="Verdana" w:cs="Arial"/>
          <w:color w:val="000000" w:themeColor="text1"/>
          <w:sz w:val="20"/>
          <w:szCs w:val="20"/>
          <w:lang w:val="es-ES_tradnl"/>
        </w:rPr>
      </w:pPr>
    </w:p>
    <w:p w14:paraId="1B22C7F4" w14:textId="77777777" w:rsidR="002F4FCC" w:rsidRDefault="002F4FCC" w:rsidP="00570DD1">
      <w:pPr>
        <w:spacing w:after="0" w:line="240" w:lineRule="auto"/>
        <w:jc w:val="both"/>
        <w:rPr>
          <w:rFonts w:ascii="Verdana" w:eastAsia="Calibri" w:hAnsi="Verdana" w:cs="Arial"/>
          <w:color w:val="000000" w:themeColor="text1"/>
          <w:sz w:val="20"/>
          <w:szCs w:val="20"/>
          <w:lang w:val="es-ES_tradnl"/>
        </w:rPr>
      </w:pPr>
      <w:r w:rsidRPr="00570DD1">
        <w:rPr>
          <w:rFonts w:ascii="Verdana" w:eastAsia="Calibri" w:hAnsi="Verdana" w:cs="Arial"/>
          <w:color w:val="000000" w:themeColor="text1"/>
          <w:sz w:val="20"/>
          <w:szCs w:val="20"/>
          <w:lang w:val="es-ES_tradnl"/>
        </w:rPr>
        <w:t xml:space="preserve">La norma consagra dos (2) hipótesis. </w:t>
      </w:r>
      <w:r w:rsidRPr="00570DD1">
        <w:rPr>
          <w:rFonts w:ascii="Verdana" w:eastAsia="Calibri" w:hAnsi="Verdana" w:cs="Arial"/>
          <w:i/>
          <w:iCs/>
          <w:color w:val="000000" w:themeColor="text1"/>
          <w:sz w:val="20"/>
          <w:szCs w:val="20"/>
          <w:lang w:val="es-ES_tradnl"/>
        </w:rPr>
        <w:t>En primer lugar</w:t>
      </w:r>
      <w:r w:rsidRPr="00570DD1">
        <w:rPr>
          <w:rFonts w:ascii="Verdana" w:eastAsia="Calibri" w:hAnsi="Verdana" w:cs="Arial"/>
          <w:color w:val="000000" w:themeColor="text1"/>
          <w:sz w:val="20"/>
          <w:szCs w:val="20"/>
          <w:lang w:val="es-ES_tradnl"/>
        </w:rPr>
        <w:t xml:space="preserve">, no existe pluralidad de oferentes cuando solo una persona puede proveer el bien o servicio por ser titular de los derechos de propiedad industrial o de los derechos de autor. De esta manera, no basta con que sea la única persona capaz de ejecutar el contrato, pues se debe justificar una situación de derecho que impida que otra lo haga de forma igual o similar. </w:t>
      </w:r>
    </w:p>
    <w:p w14:paraId="57FFF39D" w14:textId="77777777" w:rsidR="00093D9A" w:rsidRPr="00570DD1" w:rsidRDefault="00093D9A" w:rsidP="00570DD1">
      <w:pPr>
        <w:spacing w:after="0" w:line="240" w:lineRule="auto"/>
        <w:jc w:val="both"/>
        <w:rPr>
          <w:rFonts w:ascii="Verdana" w:eastAsia="Calibri" w:hAnsi="Verdana" w:cs="Arial"/>
          <w:color w:val="000000" w:themeColor="text1"/>
          <w:sz w:val="20"/>
          <w:szCs w:val="20"/>
          <w:lang w:val="es-ES_tradnl"/>
        </w:rPr>
      </w:pPr>
    </w:p>
    <w:p w14:paraId="0B273692" w14:textId="62A314AC" w:rsidR="002F4FCC" w:rsidRDefault="002F4FCC" w:rsidP="00570DD1">
      <w:pPr>
        <w:spacing w:after="0" w:line="240" w:lineRule="auto"/>
        <w:jc w:val="both"/>
        <w:rPr>
          <w:rFonts w:ascii="Verdana" w:eastAsia="Calibri" w:hAnsi="Verdana" w:cs="Arial"/>
          <w:color w:val="000000" w:themeColor="text1"/>
          <w:sz w:val="20"/>
          <w:szCs w:val="20"/>
          <w:lang w:val="es-ES_tradnl"/>
        </w:rPr>
      </w:pPr>
      <w:r w:rsidRPr="00570DD1">
        <w:rPr>
          <w:rFonts w:ascii="Verdana" w:eastAsia="Calibri" w:hAnsi="Verdana" w:cs="Arial"/>
          <w:color w:val="000000" w:themeColor="text1"/>
          <w:sz w:val="20"/>
          <w:szCs w:val="20"/>
          <w:lang w:val="es-ES_tradnl"/>
        </w:rPr>
        <w:t xml:space="preserve">Por ello, en la medida que la prestación no esté cubierta por derechos de la naturaleza anteriormente señalada, posibilita que la entidad satisfaga sus necesidades con equivalentes o sustitutos, ya que la presión de la competencia aumenta la oferta y disminuye los costos de adquisición. Para la doctrina, en ausencia de una barrera de entrada –como la que se concreta con los derechos de propiedad industrial o de autor– es necesario aplicar el principio de concurrencia. </w:t>
      </w:r>
    </w:p>
    <w:p w14:paraId="3D23DE75" w14:textId="77777777" w:rsidR="00093D9A" w:rsidRPr="00570DD1" w:rsidRDefault="00093D9A" w:rsidP="00570DD1">
      <w:pPr>
        <w:spacing w:after="0" w:line="240" w:lineRule="auto"/>
        <w:jc w:val="both"/>
        <w:rPr>
          <w:rFonts w:ascii="Verdana" w:eastAsia="Calibri" w:hAnsi="Verdana" w:cs="Arial"/>
          <w:i/>
          <w:iCs/>
          <w:color w:val="000000" w:themeColor="text1"/>
          <w:sz w:val="20"/>
          <w:szCs w:val="20"/>
          <w:lang w:val="es-ES_tradnl"/>
        </w:rPr>
      </w:pPr>
    </w:p>
    <w:p w14:paraId="7A6546AB" w14:textId="77777777" w:rsidR="002F4FCC" w:rsidRDefault="002F4FCC" w:rsidP="00570DD1">
      <w:pPr>
        <w:spacing w:after="0" w:line="240" w:lineRule="auto"/>
        <w:jc w:val="both"/>
        <w:rPr>
          <w:rFonts w:ascii="Verdana" w:eastAsia="Calibri" w:hAnsi="Verdana" w:cs="Arial"/>
          <w:color w:val="000000" w:themeColor="text1"/>
          <w:sz w:val="20"/>
          <w:szCs w:val="20"/>
          <w:lang w:val="es-ES_tradnl"/>
        </w:rPr>
      </w:pPr>
      <w:r w:rsidRPr="00570DD1">
        <w:rPr>
          <w:rFonts w:ascii="Verdana" w:eastAsia="Calibri" w:hAnsi="Verdana" w:cs="Arial"/>
          <w:i/>
          <w:iCs/>
          <w:color w:val="000000" w:themeColor="text1"/>
          <w:sz w:val="20"/>
          <w:szCs w:val="20"/>
          <w:lang w:val="es-ES_tradnl"/>
        </w:rPr>
        <w:t>En segundo lugar</w:t>
      </w:r>
      <w:r w:rsidRPr="00570DD1">
        <w:rPr>
          <w:rFonts w:ascii="Verdana" w:eastAsia="Calibri" w:hAnsi="Verdana" w:cs="Arial"/>
          <w:color w:val="000000" w:themeColor="text1"/>
          <w:sz w:val="20"/>
          <w:szCs w:val="20"/>
          <w:lang w:val="es-ES_tradnl"/>
        </w:rPr>
        <w:t xml:space="preserve">, 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 </w:t>
      </w:r>
    </w:p>
    <w:p w14:paraId="129FCD99" w14:textId="77777777" w:rsidR="00093D9A" w:rsidRPr="00570DD1" w:rsidRDefault="00093D9A" w:rsidP="00570DD1">
      <w:pPr>
        <w:spacing w:after="0" w:line="240" w:lineRule="auto"/>
        <w:jc w:val="both"/>
        <w:rPr>
          <w:rFonts w:ascii="Verdana" w:eastAsia="Calibri" w:hAnsi="Verdana" w:cs="Arial"/>
          <w:color w:val="000000" w:themeColor="text1"/>
          <w:sz w:val="20"/>
          <w:szCs w:val="20"/>
          <w:lang w:val="es-ES_tradnl"/>
        </w:rPr>
      </w:pPr>
    </w:p>
    <w:p w14:paraId="1A5500D7" w14:textId="77777777" w:rsidR="002F4FCC" w:rsidRDefault="002F4FCC" w:rsidP="00570DD1">
      <w:pPr>
        <w:spacing w:after="0" w:line="240" w:lineRule="auto"/>
        <w:jc w:val="both"/>
        <w:rPr>
          <w:rFonts w:ascii="Verdana" w:eastAsia="Calibri" w:hAnsi="Verdana" w:cs="Arial"/>
          <w:color w:val="000000" w:themeColor="text1"/>
          <w:sz w:val="20"/>
          <w:szCs w:val="20"/>
          <w:lang w:val="es-ES_tradnl"/>
        </w:rPr>
      </w:pPr>
      <w:r w:rsidRPr="00570DD1">
        <w:rPr>
          <w:rFonts w:ascii="Verdana" w:eastAsia="Calibri" w:hAnsi="Verdana" w:cs="Arial"/>
          <w:color w:val="000000" w:themeColor="text1"/>
          <w:sz w:val="20"/>
          <w:szCs w:val="20"/>
          <w:lang w:val="es-ES_tradnl"/>
        </w:rPr>
        <w:t>Al igual que la hipótesis precedente, la presencia de un proveedor exclusivo supone una barrera de entrada para otros posibles oferentes, por lo que no es posible garantizar el principio de libertad de concurrencia. Sin embargo, para aplicar la causal de contratación directa, la exclusividad del proveedor debe cubrir el territorio nacional, pues –por ejemplo– si se limita a un municipio o un departamento, es posible encontrar proveedores de bienes y servicios similares o sustitutos en otros lugares del país, por lo que es necesario aplicar procedimientos de selección que permitan la pluralidad de oferentes.</w:t>
      </w:r>
    </w:p>
    <w:p w14:paraId="4CDD0CF3" w14:textId="77777777" w:rsidR="00093D9A" w:rsidRPr="00570DD1" w:rsidRDefault="00093D9A" w:rsidP="00570DD1">
      <w:pPr>
        <w:spacing w:after="0" w:line="240" w:lineRule="auto"/>
        <w:jc w:val="both"/>
        <w:rPr>
          <w:rFonts w:ascii="Verdana" w:eastAsia="Calibri" w:hAnsi="Verdana" w:cs="Arial"/>
          <w:color w:val="000000" w:themeColor="text1"/>
          <w:sz w:val="20"/>
          <w:szCs w:val="20"/>
          <w:lang w:val="es-ES_tradnl"/>
        </w:rPr>
      </w:pPr>
    </w:p>
    <w:p w14:paraId="4D6EA068" w14:textId="77777777" w:rsidR="00093D9A" w:rsidRDefault="00093D9A" w:rsidP="00570DD1">
      <w:pPr>
        <w:spacing w:after="0" w:line="240" w:lineRule="auto"/>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rPr>
        <w:t xml:space="preserve">[…] </w:t>
      </w:r>
    </w:p>
    <w:p w14:paraId="04EE9870" w14:textId="77777777" w:rsidR="00093D9A" w:rsidRDefault="00093D9A" w:rsidP="00570DD1">
      <w:pPr>
        <w:spacing w:after="0" w:line="240" w:lineRule="auto"/>
        <w:jc w:val="both"/>
        <w:rPr>
          <w:rFonts w:ascii="Verdana" w:eastAsia="Calibri" w:hAnsi="Verdana" w:cs="Arial"/>
          <w:color w:val="000000" w:themeColor="text1"/>
          <w:sz w:val="20"/>
          <w:szCs w:val="20"/>
          <w:lang w:val="es-ES_tradnl"/>
        </w:rPr>
      </w:pPr>
    </w:p>
    <w:p w14:paraId="1C0E609E" w14:textId="280C8F9F" w:rsidR="002F4FCC" w:rsidRPr="00570DD1" w:rsidRDefault="002F4FCC" w:rsidP="00570DD1">
      <w:pPr>
        <w:spacing w:after="0" w:line="240" w:lineRule="auto"/>
        <w:jc w:val="both"/>
        <w:rPr>
          <w:rFonts w:ascii="Verdana" w:eastAsia="Calibri" w:hAnsi="Verdana" w:cs="Arial"/>
          <w:color w:val="000000" w:themeColor="text1"/>
          <w:sz w:val="20"/>
          <w:szCs w:val="20"/>
          <w:lang w:val="es-ES_tradnl"/>
        </w:rPr>
      </w:pPr>
      <w:r w:rsidRPr="00570DD1">
        <w:rPr>
          <w:rFonts w:ascii="Verdana" w:eastAsia="Calibri" w:hAnsi="Verdana" w:cs="Arial"/>
          <w:color w:val="000000" w:themeColor="text1"/>
          <w:sz w:val="20"/>
          <w:szCs w:val="20"/>
          <w:lang w:val="es-ES_tradnl"/>
        </w:rPr>
        <w:t>Fuera de las dos (2) situaciones analizadas, no es posible aplicar el artículo 2, numeral 4, literal g), de la Ley 1150 de 2007. Como se explicó, las normas citadas integran una causal de contratación directa que es excepcional a los mecanismos de selección objetiva por convocatoria pública definidos en el Estatuto General de Contratación de la Administración Pública, por lo que se interpretan restrictivamente, es decir, conforme al tenor literal de las normas.</w:t>
      </w:r>
    </w:p>
    <w:p w14:paraId="54FB53DB" w14:textId="77777777" w:rsidR="00570DD1" w:rsidRDefault="00570DD1" w:rsidP="00995E73">
      <w:pPr>
        <w:spacing w:after="0" w:line="240" w:lineRule="auto"/>
        <w:contextualSpacing/>
        <w:jc w:val="both"/>
        <w:rPr>
          <w:rFonts w:ascii="Verdana" w:eastAsia="Calibri" w:hAnsi="Verdana" w:cs="Arial"/>
          <w:b/>
          <w:bCs/>
          <w:color w:val="000000" w:themeColor="text1"/>
          <w:lang w:val="es-ES_tradnl" w:eastAsia="es-ES_tradnl"/>
        </w:rPr>
      </w:pPr>
    </w:p>
    <w:p w14:paraId="49A7E7C8" w14:textId="775D6512" w:rsidR="00995E73" w:rsidRPr="00D33D1B" w:rsidRDefault="00995E73" w:rsidP="00995E73">
      <w:pPr>
        <w:spacing w:after="0" w:line="240" w:lineRule="auto"/>
        <w:contextualSpacing/>
        <w:jc w:val="both"/>
        <w:rPr>
          <w:rFonts w:ascii="Verdana" w:eastAsia="Calibri" w:hAnsi="Verdana" w:cs="Arial"/>
          <w:b/>
          <w:bCs/>
          <w:color w:val="000000" w:themeColor="text1"/>
          <w:lang w:val="es-ES_tradnl" w:eastAsia="es-ES_tradnl"/>
        </w:rPr>
      </w:pPr>
      <w:r w:rsidRPr="00D33D1B">
        <w:rPr>
          <w:rFonts w:ascii="Verdana" w:eastAsia="Calibri" w:hAnsi="Verdana" w:cs="Arial"/>
          <w:b/>
          <w:bCs/>
          <w:color w:val="000000" w:themeColor="text1"/>
          <w:lang w:val="es-ES_tradnl" w:eastAsia="es-ES_tradnl"/>
        </w:rPr>
        <w:t xml:space="preserve">SOFTWARE – Contratación directa – Ley de garantías electorales artículo 33 – Excepciones </w:t>
      </w:r>
    </w:p>
    <w:p w14:paraId="26690678" w14:textId="63769E79" w:rsidR="00D33D1B" w:rsidRPr="00356C9D" w:rsidRDefault="00D33D1B" w:rsidP="00570DD1">
      <w:pPr>
        <w:spacing w:after="0" w:line="240" w:lineRule="auto"/>
        <w:jc w:val="both"/>
        <w:rPr>
          <w:rFonts w:ascii="Verdana" w:eastAsia="Calibri" w:hAnsi="Verdana" w:cs="Arial"/>
          <w:color w:val="000000" w:themeColor="text1"/>
          <w:lang w:val="es-ES_tradnl"/>
        </w:rPr>
      </w:pPr>
      <w:r w:rsidRPr="00570DD1">
        <w:rPr>
          <w:rFonts w:ascii="Verdana" w:eastAsia="Calibri" w:hAnsi="Verdana" w:cs="Arial"/>
          <w:color w:val="000000" w:themeColor="text1"/>
          <w:sz w:val="20"/>
          <w:szCs w:val="20"/>
          <w:lang w:val="es-ES_tradnl"/>
        </w:rPr>
        <w:lastRenderedPageBreak/>
        <w:t>Ahora bien, en relación con la contratación directa bajo la causal contemplada en el artículo 2 numeral 4 literal g) de la Ley 1150 de 2007 en vigencia de las restricciones contempladas en la Ley 996 de 2005, se reitera que, dicha posibilidad se encuentra prohibida dentro de los términos definidos en el artículo 33, esto es, cualquier tipo de contratación directa, salvo que se presente alguna causal que determine la necesidad de su contratación de manera directa</w:t>
      </w:r>
      <w:r>
        <w:rPr>
          <w:rFonts w:ascii="Verdana" w:eastAsia="Calibri" w:hAnsi="Verdana" w:cs="Arial"/>
          <w:color w:val="000000" w:themeColor="text1"/>
          <w:lang w:val="es-ES_tradnl"/>
        </w:rPr>
        <w:t xml:space="preserve">.   </w:t>
      </w:r>
    </w:p>
    <w:p w14:paraId="76569888" w14:textId="77777777" w:rsidR="00995E73" w:rsidRDefault="00995E73" w:rsidP="00D33D1B">
      <w:pPr>
        <w:spacing w:after="0" w:line="240" w:lineRule="auto"/>
        <w:contextualSpacing/>
        <w:jc w:val="both"/>
        <w:rPr>
          <w:rFonts w:ascii="Verdana" w:eastAsia="Calibri" w:hAnsi="Verdana" w:cs="Arial"/>
          <w:color w:val="000000" w:themeColor="text1"/>
          <w:lang w:val="es-ES_tradnl" w:eastAsia="es-ES_tradnl"/>
        </w:rPr>
      </w:pPr>
    </w:p>
    <w:p w14:paraId="2B138518" w14:textId="350759CB" w:rsidR="00995E73" w:rsidRDefault="00995E73" w:rsidP="00995E73">
      <w:pPr>
        <w:spacing w:after="0" w:line="240" w:lineRule="auto"/>
        <w:contextualSpacing/>
        <w:jc w:val="both"/>
        <w:rPr>
          <w:rFonts w:ascii="Verdana" w:hAnsi="Verdana" w:cs="Arial"/>
          <w:b/>
          <w:bCs/>
          <w:color w:val="000000" w:themeColor="text1"/>
        </w:rPr>
      </w:pPr>
      <w:r w:rsidRPr="00D33D1B">
        <w:rPr>
          <w:rFonts w:ascii="Verdana" w:hAnsi="Verdana" w:cs="Arial"/>
          <w:b/>
          <w:bCs/>
          <w:color w:val="000000" w:themeColor="text1"/>
        </w:rPr>
        <w:t xml:space="preserve">LEY DE GARANTÍAS ELECTORALES - Parágrafo del artículo 38 – Prohibición – Convenios y contratos interadministrativos – Sentencia del Consejo de Estado </w:t>
      </w:r>
    </w:p>
    <w:p w14:paraId="0BBE8883" w14:textId="77777777" w:rsidR="00093D9A" w:rsidRDefault="00093D9A" w:rsidP="00995E73">
      <w:pPr>
        <w:spacing w:after="0" w:line="240" w:lineRule="auto"/>
        <w:contextualSpacing/>
        <w:jc w:val="both"/>
        <w:rPr>
          <w:rFonts w:ascii="Verdana" w:hAnsi="Verdana" w:cs="Arial"/>
          <w:b/>
          <w:bCs/>
          <w:color w:val="000000" w:themeColor="text1"/>
        </w:rPr>
      </w:pPr>
    </w:p>
    <w:p w14:paraId="2BC14D45" w14:textId="689E1571" w:rsidR="00093D9A" w:rsidRPr="00084AD0" w:rsidRDefault="00093D9A" w:rsidP="00084AD0">
      <w:pPr>
        <w:widowControl w:val="0"/>
        <w:autoSpaceDE w:val="0"/>
        <w:autoSpaceDN w:val="0"/>
        <w:spacing w:after="0" w:line="240" w:lineRule="auto"/>
        <w:jc w:val="both"/>
        <w:rPr>
          <w:rFonts w:ascii="Verdana" w:eastAsia="Times New Roman" w:hAnsi="Verdana" w:cs="Arial"/>
          <w:sz w:val="20"/>
          <w:szCs w:val="20"/>
          <w:lang w:val="es-MX" w:eastAsia="x-none"/>
        </w:rPr>
      </w:pPr>
      <w:r w:rsidRPr="00084AD0">
        <w:rPr>
          <w:rFonts w:ascii="Verdana" w:hAnsi="Verdana" w:cs="Arial"/>
          <w:sz w:val="20"/>
          <w:szCs w:val="20"/>
          <w:lang w:val="es-ES"/>
        </w:rPr>
        <w:t xml:space="preserve">Por último, en cuanto a la posibilidad de celebrar </w:t>
      </w:r>
      <w:r w:rsidRPr="00084AD0">
        <w:rPr>
          <w:rFonts w:ascii="Verdana" w:eastAsia="Century Gothic" w:hAnsi="Verdana" w:cs="Century Gothic"/>
          <w:sz w:val="20"/>
          <w:szCs w:val="20"/>
        </w:rPr>
        <w:t xml:space="preserve">convenios y contratos interadministrativos bajo la vigencia de la restricción contenida en el parágrafo del artículo 38 de la Ley 996 de 2005 para la adquisición de un software o licencias, debe analizarse el </w:t>
      </w:r>
      <w:r w:rsidRPr="00084AD0">
        <w:rPr>
          <w:rFonts w:ascii="Verdana" w:hAnsi="Verdana" w:cs="Arial"/>
          <w:sz w:val="20"/>
          <w:szCs w:val="20"/>
          <w:lang w:val="es-ES"/>
        </w:rPr>
        <w:t xml:space="preserve">alcance del parágrafo </w:t>
      </w:r>
      <w:r w:rsidRPr="00084AD0">
        <w:rPr>
          <w:rFonts w:ascii="Verdana" w:hAnsi="Verdana" w:cs="Arial"/>
          <w:sz w:val="20"/>
          <w:szCs w:val="20"/>
        </w:rPr>
        <w:t xml:space="preserve">del artículo 38 de la Ley 996 de 2005. La prohibición dispone en primera medida que: “[l]os Gobernadores, </w:t>
      </w:r>
      <w:proofErr w:type="gramStart"/>
      <w:r w:rsidRPr="00084AD0">
        <w:rPr>
          <w:rFonts w:ascii="Verdana" w:hAnsi="Verdana" w:cs="Arial"/>
          <w:sz w:val="20"/>
          <w:szCs w:val="20"/>
        </w:rPr>
        <w:t>Alcaldes</w:t>
      </w:r>
      <w:proofErr w:type="gramEnd"/>
      <w:r w:rsidRPr="00084AD0">
        <w:rPr>
          <w:rFonts w:ascii="Verdana" w:hAnsi="Verdana" w:cs="Arial"/>
          <w:sz w:val="20"/>
          <w:szCs w:val="20"/>
        </w:rPr>
        <w:t xml:space="preserve"> Municipales y/o Distritales, </w:t>
      </w:r>
      <w:proofErr w:type="gramStart"/>
      <w:r w:rsidRPr="00084AD0">
        <w:rPr>
          <w:rFonts w:ascii="Verdana" w:hAnsi="Verdana" w:cs="Arial"/>
          <w:sz w:val="20"/>
          <w:szCs w:val="20"/>
        </w:rPr>
        <w:t>Secretarios</w:t>
      </w:r>
      <w:proofErr w:type="gramEnd"/>
      <w:r w:rsidRPr="00084AD0">
        <w:rPr>
          <w:rFonts w:ascii="Verdana" w:hAnsi="Verdana" w:cs="Arial"/>
          <w:sz w:val="20"/>
          <w:szCs w:val="20"/>
        </w:rPr>
        <w:t xml:space="preserve">, Gerentes y directores de Entidades Descentralizadas del orden Municipal, Departamental o Distrital, dentro de los cuatro (4) meses anteriores a las elecciones, no podrán celebrar </w:t>
      </w:r>
      <w:r w:rsidRPr="00084AD0">
        <w:rPr>
          <w:rFonts w:ascii="Verdana" w:hAnsi="Verdana" w:cs="Arial"/>
          <w:i/>
          <w:iCs/>
          <w:sz w:val="20"/>
          <w:szCs w:val="20"/>
        </w:rPr>
        <w:t>convenios interadministrativos</w:t>
      </w:r>
      <w:r w:rsidRPr="00084AD0">
        <w:rPr>
          <w:rFonts w:ascii="Verdana" w:hAnsi="Verdana" w:cs="Arial"/>
          <w:sz w:val="20"/>
          <w:szCs w:val="20"/>
        </w:rPr>
        <w:t xml:space="preserve"> </w:t>
      </w:r>
      <w:r w:rsidRPr="00084AD0">
        <w:rPr>
          <w:rFonts w:ascii="Verdana" w:hAnsi="Verdana" w:cs="Arial"/>
          <w:i/>
          <w:iCs/>
          <w:sz w:val="20"/>
          <w:szCs w:val="20"/>
        </w:rPr>
        <w:t>para la ejecución de recursos públicos</w:t>
      </w:r>
      <w:r w:rsidRPr="00084AD0">
        <w:rPr>
          <w:rFonts w:ascii="Verdana" w:hAnsi="Verdana" w:cs="Arial"/>
          <w:sz w:val="20"/>
          <w:szCs w:val="20"/>
        </w:rPr>
        <w:t>”.</w:t>
      </w:r>
      <w:r w:rsidRPr="00084AD0">
        <w:rPr>
          <w:rFonts w:ascii="Verdana" w:eastAsia="Times New Roman" w:hAnsi="Verdana" w:cs="Arial"/>
          <w:sz w:val="20"/>
          <w:szCs w:val="20"/>
          <w:lang w:val="es-MX" w:eastAsia="x-none"/>
        </w:rPr>
        <w:t xml:space="preserve"> </w:t>
      </w:r>
    </w:p>
    <w:p w14:paraId="661FCFC5" w14:textId="77777777" w:rsidR="00084AD0" w:rsidRDefault="00084AD0" w:rsidP="00084AD0">
      <w:pPr>
        <w:widowControl w:val="0"/>
        <w:autoSpaceDE w:val="0"/>
        <w:autoSpaceDN w:val="0"/>
        <w:spacing w:after="0" w:line="240" w:lineRule="auto"/>
        <w:jc w:val="both"/>
        <w:rPr>
          <w:rFonts w:ascii="Verdana" w:eastAsia="Times New Roman" w:hAnsi="Verdana" w:cs="Arial"/>
          <w:sz w:val="20"/>
          <w:szCs w:val="20"/>
          <w:lang w:val="es-MX" w:eastAsia="x-none"/>
        </w:rPr>
      </w:pPr>
    </w:p>
    <w:p w14:paraId="64861B8B" w14:textId="64031A96" w:rsidR="00093D9A" w:rsidRPr="00084AD0" w:rsidRDefault="00093D9A" w:rsidP="00084AD0">
      <w:pPr>
        <w:widowControl w:val="0"/>
        <w:autoSpaceDE w:val="0"/>
        <w:autoSpaceDN w:val="0"/>
        <w:spacing w:after="0" w:line="240" w:lineRule="auto"/>
        <w:jc w:val="both"/>
        <w:rPr>
          <w:rFonts w:ascii="Verdana" w:eastAsia="Times New Roman" w:hAnsi="Verdana" w:cs="Arial"/>
          <w:sz w:val="20"/>
          <w:szCs w:val="20"/>
          <w:lang w:val="es-MX" w:eastAsia="x-none"/>
        </w:rPr>
      </w:pPr>
      <w:r w:rsidRPr="00084AD0">
        <w:rPr>
          <w:rFonts w:ascii="Verdana" w:eastAsia="Times New Roman" w:hAnsi="Verdana" w:cs="Arial"/>
          <w:sz w:val="20"/>
          <w:szCs w:val="20"/>
          <w:lang w:val="es-MX" w:eastAsia="x-none"/>
        </w:rPr>
        <w:t xml:space="preserve">[…] </w:t>
      </w:r>
    </w:p>
    <w:p w14:paraId="634724D5" w14:textId="77777777" w:rsidR="00084AD0" w:rsidRDefault="00084AD0" w:rsidP="00084AD0">
      <w:pPr>
        <w:spacing w:after="0" w:line="240" w:lineRule="auto"/>
        <w:contextualSpacing/>
        <w:jc w:val="both"/>
        <w:rPr>
          <w:rFonts w:ascii="Verdana" w:eastAsia="Times New Roman" w:hAnsi="Verdana" w:cs="Arial"/>
          <w:sz w:val="20"/>
          <w:szCs w:val="20"/>
          <w:lang w:val="es-ES" w:eastAsia="es-ES"/>
        </w:rPr>
      </w:pPr>
    </w:p>
    <w:p w14:paraId="1B593EC7" w14:textId="6D72AC41" w:rsidR="00093D9A" w:rsidRPr="00084AD0" w:rsidRDefault="00093D9A" w:rsidP="00084AD0">
      <w:pPr>
        <w:spacing w:after="0" w:line="240" w:lineRule="auto"/>
        <w:contextualSpacing/>
        <w:jc w:val="both"/>
        <w:rPr>
          <w:rFonts w:ascii="Verdana" w:hAnsi="Verdana" w:cs="Arial"/>
          <w:sz w:val="20"/>
          <w:szCs w:val="20"/>
          <w:lang w:eastAsia="es-ES"/>
        </w:rPr>
      </w:pPr>
      <w:r w:rsidRPr="00084AD0">
        <w:rPr>
          <w:rFonts w:ascii="Verdana" w:eastAsia="Times New Roman" w:hAnsi="Verdana" w:cs="Arial"/>
          <w:sz w:val="20"/>
          <w:szCs w:val="20"/>
          <w:lang w:val="es-ES" w:eastAsia="es-ES"/>
        </w:rPr>
        <w:t xml:space="preserve">Para tales efectos, debe precisarse que </w:t>
      </w:r>
      <w:r w:rsidRPr="00084AD0">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084AD0">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0A948679" w14:textId="77777777" w:rsidR="00093D9A" w:rsidRPr="00084AD0" w:rsidRDefault="00093D9A" w:rsidP="00084AD0">
      <w:pPr>
        <w:spacing w:after="0" w:line="240" w:lineRule="auto"/>
        <w:contextualSpacing/>
        <w:jc w:val="both"/>
        <w:rPr>
          <w:rFonts w:ascii="Verdana" w:hAnsi="Verdana" w:cs="Arial"/>
          <w:sz w:val="20"/>
          <w:szCs w:val="20"/>
          <w:lang w:eastAsia="es-ES"/>
        </w:rPr>
      </w:pPr>
    </w:p>
    <w:p w14:paraId="79CA5BDD" w14:textId="3CA14A93" w:rsidR="00093D9A" w:rsidRPr="00084AD0" w:rsidRDefault="00093D9A" w:rsidP="00084AD0">
      <w:pPr>
        <w:spacing w:after="0" w:line="240" w:lineRule="auto"/>
        <w:contextualSpacing/>
        <w:jc w:val="both"/>
        <w:rPr>
          <w:rFonts w:ascii="Verdana" w:hAnsi="Verdana" w:cs="Arial"/>
          <w:sz w:val="20"/>
          <w:szCs w:val="20"/>
          <w:lang w:eastAsia="es-ES"/>
        </w:rPr>
      </w:pPr>
      <w:r w:rsidRPr="00084AD0">
        <w:rPr>
          <w:rFonts w:ascii="Verdana" w:hAnsi="Verdana" w:cs="Arial"/>
          <w:sz w:val="20"/>
          <w:szCs w:val="20"/>
          <w:lang w:eastAsia="es-ES"/>
        </w:rPr>
        <w:t xml:space="preserve">[…] </w:t>
      </w:r>
    </w:p>
    <w:p w14:paraId="0A753BCA" w14:textId="77777777" w:rsidR="00093D9A" w:rsidRPr="00084AD0" w:rsidRDefault="00093D9A" w:rsidP="00084AD0">
      <w:pPr>
        <w:spacing w:after="0" w:line="240" w:lineRule="auto"/>
        <w:contextualSpacing/>
        <w:jc w:val="both"/>
        <w:rPr>
          <w:rFonts w:ascii="Verdana" w:hAnsi="Verdana" w:cs="Arial"/>
          <w:sz w:val="20"/>
          <w:szCs w:val="20"/>
          <w:lang w:eastAsia="es-ES"/>
        </w:rPr>
      </w:pPr>
    </w:p>
    <w:p w14:paraId="768FEC1A" w14:textId="77777777" w:rsidR="00093D9A" w:rsidRPr="00084AD0" w:rsidRDefault="00093D9A" w:rsidP="00084AD0">
      <w:pPr>
        <w:spacing w:after="0" w:line="240" w:lineRule="auto"/>
        <w:jc w:val="both"/>
        <w:rPr>
          <w:rFonts w:ascii="Verdana" w:eastAsia="Times New Roman" w:hAnsi="Verdana" w:cs="Arial"/>
          <w:sz w:val="20"/>
          <w:szCs w:val="20"/>
          <w:lang w:eastAsia="es-CO"/>
        </w:rPr>
      </w:pPr>
      <w:r w:rsidRPr="00084AD0">
        <w:rPr>
          <w:rFonts w:ascii="Verdana" w:eastAsia="Times New Roman" w:hAnsi="Verdana" w:cs="Arial"/>
          <w:sz w:val="20"/>
          <w:szCs w:val="20"/>
          <w:lang w:val="es-MX" w:eastAsia="es-CO"/>
        </w:rPr>
        <w:t xml:space="preserve">Respecto del alcance de esta prohibición la Circular Externa No. 006 de 2025 expedida por la ANCP -CCE, en los literales </w:t>
      </w:r>
      <w:proofErr w:type="spellStart"/>
      <w:r w:rsidRPr="00084AD0">
        <w:rPr>
          <w:rFonts w:ascii="Verdana" w:eastAsia="Times New Roman" w:hAnsi="Verdana" w:cs="Arial"/>
          <w:sz w:val="20"/>
          <w:szCs w:val="20"/>
          <w:lang w:val="es-MX" w:eastAsia="es-CO"/>
        </w:rPr>
        <w:t>ii</w:t>
      </w:r>
      <w:proofErr w:type="spellEnd"/>
      <w:r w:rsidRPr="00084AD0">
        <w:rPr>
          <w:rFonts w:ascii="Verdana" w:eastAsia="Times New Roman" w:hAnsi="Verdana" w:cs="Arial"/>
          <w:sz w:val="20"/>
          <w:szCs w:val="20"/>
          <w:lang w:val="es-MX" w:eastAsia="es-CO"/>
        </w:rPr>
        <w:t xml:space="preserve">) y </w:t>
      </w:r>
      <w:proofErr w:type="spellStart"/>
      <w:r w:rsidRPr="00084AD0">
        <w:rPr>
          <w:rFonts w:ascii="Verdana" w:eastAsia="Times New Roman" w:hAnsi="Verdana" w:cs="Arial"/>
          <w:sz w:val="20"/>
          <w:szCs w:val="20"/>
          <w:lang w:val="es-MX" w:eastAsia="es-CO"/>
        </w:rPr>
        <w:t>iv</w:t>
      </w:r>
      <w:proofErr w:type="spellEnd"/>
      <w:r w:rsidRPr="00084AD0">
        <w:rPr>
          <w:rFonts w:ascii="Verdana" w:eastAsia="Times New Roman" w:hAnsi="Verdana" w:cs="Arial"/>
          <w:sz w:val="20"/>
          <w:szCs w:val="20"/>
          <w:lang w:val="es-MX" w:eastAsia="es-CO"/>
        </w:rPr>
        <w:t>) del numeral 2</w:t>
      </w:r>
      <w:r w:rsidRPr="00084AD0">
        <w:rPr>
          <w:rFonts w:ascii="Verdana" w:eastAsia="Times New Roman" w:hAnsi="Verdana" w:cs="Arial"/>
          <w:sz w:val="20"/>
          <w:szCs w:val="20"/>
          <w:lang w:eastAsia="es-CO"/>
        </w:rPr>
        <w:t>,</w:t>
      </w:r>
      <w:r w:rsidRPr="00084AD0">
        <w:rPr>
          <w:rFonts w:ascii="Verdana" w:eastAsia="Times New Roman" w:hAnsi="Verdana" w:cs="Arial"/>
          <w:sz w:val="20"/>
          <w:szCs w:val="20"/>
          <w:lang w:val="es-MX" w:eastAsia="es-CO"/>
        </w:rPr>
        <w:t xml:space="preserve"> indica que el </w:t>
      </w:r>
      <w:r w:rsidRPr="00084AD0">
        <w:rPr>
          <w:rFonts w:ascii="Verdana" w:eastAsia="Times New Roman" w:hAnsi="Verdana" w:cs="Arial"/>
          <w:sz w:val="20"/>
          <w:szCs w:val="20"/>
          <w:lang w:eastAsia="es-CO"/>
        </w:rPr>
        <w:t xml:space="preserve">parágrafo del artículo 38 de la Ley 996 de 2005 cobija expresamente a los </w:t>
      </w:r>
      <w:r w:rsidRPr="00084AD0">
        <w:rPr>
          <w:rFonts w:ascii="Verdana" w:eastAsia="Times New Roman" w:hAnsi="Verdana" w:cs="Arial"/>
          <w:i/>
          <w:iCs/>
          <w:sz w:val="20"/>
          <w:szCs w:val="20"/>
          <w:lang w:eastAsia="es-CO"/>
        </w:rPr>
        <w:t>convenios interadministrativos</w:t>
      </w:r>
      <w:r w:rsidRPr="00084AD0">
        <w:rPr>
          <w:rFonts w:ascii="Verdana" w:eastAsia="Times New Roman" w:hAnsi="Verdana" w:cs="Arial"/>
          <w:sz w:val="20"/>
          <w:szCs w:val="20"/>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084AD0">
        <w:rPr>
          <w:rFonts w:ascii="Verdana" w:eastAsia="Times New Roman" w:hAnsi="Verdana" w:cs="Arial"/>
          <w:i/>
          <w:iCs/>
          <w:sz w:val="20"/>
          <w:szCs w:val="20"/>
          <w:lang w:eastAsia="es-CO"/>
        </w:rPr>
        <w:t>“aunque se configure alguno de los supuestos de excepción que señaló el inciso final del artículo 33”.</w:t>
      </w:r>
      <w:r w:rsidRPr="00084AD0">
        <w:rPr>
          <w:rFonts w:ascii="Verdana" w:eastAsia="Times New Roman" w:hAnsi="Verdana" w:cs="Arial"/>
          <w:sz w:val="20"/>
          <w:szCs w:val="20"/>
          <w:lang w:eastAsia="es-CO"/>
        </w:rPr>
        <w:t xml:space="preserve"> </w:t>
      </w:r>
    </w:p>
    <w:p w14:paraId="248F2929" w14:textId="77777777" w:rsidR="00084AD0" w:rsidRDefault="00084AD0" w:rsidP="00084AD0">
      <w:pPr>
        <w:spacing w:after="0" w:line="240" w:lineRule="auto"/>
        <w:jc w:val="both"/>
        <w:rPr>
          <w:rFonts w:ascii="Verdana" w:eastAsia="Times New Roman" w:hAnsi="Verdana" w:cs="Arial"/>
          <w:sz w:val="20"/>
          <w:szCs w:val="20"/>
          <w:lang w:eastAsia="es-CO"/>
        </w:rPr>
      </w:pPr>
    </w:p>
    <w:p w14:paraId="0A618B79" w14:textId="5CF0FFB8" w:rsidR="00093D9A" w:rsidRPr="00084AD0" w:rsidRDefault="00093D9A" w:rsidP="00084AD0">
      <w:pPr>
        <w:spacing w:after="0" w:line="240" w:lineRule="auto"/>
        <w:jc w:val="both"/>
        <w:rPr>
          <w:rFonts w:ascii="Verdana" w:eastAsia="Times New Roman" w:hAnsi="Verdana" w:cs="Arial"/>
          <w:sz w:val="20"/>
          <w:szCs w:val="20"/>
          <w:lang w:eastAsia="es-CO"/>
        </w:rPr>
      </w:pPr>
      <w:r w:rsidRPr="00084AD0">
        <w:rPr>
          <w:rFonts w:ascii="Verdana" w:eastAsia="Times New Roman" w:hAnsi="Verdana" w:cs="Arial"/>
          <w:sz w:val="20"/>
          <w:szCs w:val="20"/>
          <w:lang w:eastAsia="es-CO"/>
        </w:rPr>
        <w:t xml:space="preserve">Sin embargo, es importante tener en cuenta que el ámbito de aplicación de la restricción prevista en el parágrafo del artículo 38 de la Ley 996 de 2005 solo se extiende a los </w:t>
      </w:r>
      <w:r w:rsidRPr="00084AD0">
        <w:rPr>
          <w:rFonts w:ascii="Verdana" w:eastAsia="Times New Roman" w:hAnsi="Verdana" w:cs="Arial"/>
          <w:i/>
          <w:iCs/>
          <w:sz w:val="20"/>
          <w:szCs w:val="20"/>
          <w:lang w:eastAsia="es-CO"/>
        </w:rPr>
        <w:t>convenios interadministrativos</w:t>
      </w:r>
      <w:r w:rsidRPr="00084AD0">
        <w:rPr>
          <w:rFonts w:ascii="Verdana" w:eastAsia="Times New Roman" w:hAnsi="Verdana" w:cs="Arial"/>
          <w:sz w:val="20"/>
          <w:szCs w:val="20"/>
          <w:lang w:eastAsia="es-CO"/>
        </w:rPr>
        <w:t xml:space="preserve"> en los que se contemple la </w:t>
      </w:r>
      <w:r w:rsidRPr="00084AD0">
        <w:rPr>
          <w:rFonts w:ascii="Verdana" w:eastAsia="Times New Roman" w:hAnsi="Verdana" w:cs="Arial"/>
          <w:i/>
          <w:iCs/>
          <w:sz w:val="20"/>
          <w:szCs w:val="20"/>
          <w:lang w:eastAsia="es-CO"/>
        </w:rPr>
        <w:t>ejecución de recursos públicos</w:t>
      </w:r>
      <w:r w:rsidRPr="00084AD0">
        <w:rPr>
          <w:rFonts w:ascii="Verdana" w:eastAsia="Times New Roman" w:hAnsi="Verdana" w:cs="Arial"/>
          <w:sz w:val="20"/>
          <w:szCs w:val="20"/>
          <w:lang w:eastAsia="es-CO"/>
        </w:rPr>
        <w:t xml:space="preserve">. Esto significa que la prohibición no resulta aplicable a </w:t>
      </w:r>
      <w:r w:rsidRPr="00084AD0">
        <w:rPr>
          <w:rFonts w:ascii="Verdana" w:eastAsia="Times New Roman" w:hAnsi="Verdana" w:cs="Arial"/>
          <w:i/>
          <w:iCs/>
          <w:sz w:val="20"/>
          <w:szCs w:val="20"/>
          <w:lang w:eastAsia="es-CO"/>
        </w:rPr>
        <w:t xml:space="preserve">convenios </w:t>
      </w:r>
      <w:r w:rsidRPr="00084AD0">
        <w:rPr>
          <w:rFonts w:ascii="Verdana" w:eastAsia="Times New Roman" w:hAnsi="Verdana" w:cs="Arial"/>
          <w:i/>
          <w:iCs/>
          <w:sz w:val="20"/>
          <w:szCs w:val="20"/>
          <w:lang w:eastAsia="es-CO"/>
        </w:rPr>
        <w:lastRenderedPageBreak/>
        <w:t>interadministrativos a título gratuito,</w:t>
      </w:r>
      <w:r w:rsidRPr="00084AD0">
        <w:rPr>
          <w:rFonts w:ascii="Verdana" w:eastAsia="Times New Roman" w:hAnsi="Verdana" w:cs="Arial"/>
          <w:sz w:val="20"/>
          <w:szCs w:val="20"/>
          <w:lang w:eastAsia="es-CO"/>
        </w:rPr>
        <w:t xml:space="preserve"> los cuales pueden celebrarse válidamente durante la vigencia de la mencionada restricción. </w:t>
      </w:r>
    </w:p>
    <w:p w14:paraId="05F0052C" w14:textId="77777777" w:rsidR="00084AD0" w:rsidRDefault="00084AD0" w:rsidP="00084AD0">
      <w:pPr>
        <w:spacing w:after="0" w:line="240" w:lineRule="auto"/>
        <w:contextualSpacing/>
        <w:jc w:val="both"/>
        <w:rPr>
          <w:rFonts w:ascii="Verdana" w:hAnsi="Verdana" w:cs="Arial"/>
          <w:color w:val="000000" w:themeColor="text1"/>
          <w:sz w:val="20"/>
          <w:szCs w:val="20"/>
        </w:rPr>
      </w:pPr>
    </w:p>
    <w:p w14:paraId="6F255BCA" w14:textId="232AD247" w:rsidR="00084AD0" w:rsidRPr="00084AD0" w:rsidRDefault="00084AD0" w:rsidP="00084AD0">
      <w:pPr>
        <w:spacing w:after="0" w:line="240" w:lineRule="auto"/>
        <w:contextualSpacing/>
        <w:jc w:val="both"/>
        <w:rPr>
          <w:rFonts w:ascii="Verdana" w:hAnsi="Verdana" w:cs="Arial"/>
          <w:color w:val="000000" w:themeColor="text1"/>
          <w:sz w:val="20"/>
          <w:szCs w:val="20"/>
        </w:rPr>
      </w:pPr>
      <w:r w:rsidRPr="00084AD0">
        <w:rPr>
          <w:rFonts w:ascii="Verdana" w:hAnsi="Verdana" w:cs="Arial"/>
          <w:color w:val="000000" w:themeColor="text1"/>
          <w:sz w:val="20"/>
          <w:szCs w:val="20"/>
        </w:rPr>
        <w:t xml:space="preserve">[…] </w:t>
      </w:r>
      <w:r w:rsidRPr="00084AD0">
        <w:rPr>
          <w:rFonts w:ascii="Verdana" w:eastAsia="Arial" w:hAnsi="Verdana" w:cs="Arial"/>
          <w:sz w:val="20"/>
          <w:szCs w:val="20"/>
          <w:lang w:eastAsia="es-ES" w:bidi="es-ES"/>
        </w:rPr>
        <w:t xml:space="preserve">mediante sentencia del 17 de octubre de 2025, emitida por la Sala de lo Contencioso Administrativo del Consejo de Estado, dentro del expediente </w:t>
      </w:r>
      <w:r w:rsidRPr="00084AD0">
        <w:rPr>
          <w:rFonts w:ascii="Verdana" w:eastAsia="Times New Roman" w:hAnsi="Verdana" w:cs="Times New Roman"/>
          <w:sz w:val="20"/>
          <w:szCs w:val="20"/>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53D0C6F5" w14:textId="77777777" w:rsidR="00084AD0" w:rsidRDefault="00084AD0" w:rsidP="00084AD0">
      <w:pPr>
        <w:spacing w:after="0" w:line="240" w:lineRule="auto"/>
        <w:jc w:val="both"/>
        <w:rPr>
          <w:rFonts w:ascii="Verdana" w:eastAsia="Times New Roman" w:hAnsi="Verdana" w:cs="Times New Roman"/>
          <w:sz w:val="20"/>
          <w:szCs w:val="20"/>
          <w:lang w:eastAsia="es-ES"/>
        </w:rPr>
      </w:pPr>
    </w:p>
    <w:p w14:paraId="073F4335" w14:textId="4AD2C2F6" w:rsidR="00084AD0" w:rsidRPr="00084AD0" w:rsidRDefault="00084AD0" w:rsidP="00084AD0">
      <w:pPr>
        <w:spacing w:after="0" w:line="240" w:lineRule="auto"/>
        <w:jc w:val="both"/>
        <w:rPr>
          <w:rFonts w:ascii="Verdana" w:eastAsia="Times New Roman" w:hAnsi="Verdana" w:cs="Times New Roman"/>
          <w:sz w:val="20"/>
          <w:szCs w:val="20"/>
          <w:lang w:eastAsia="es-ES"/>
        </w:rPr>
      </w:pPr>
      <w:r>
        <w:rPr>
          <w:rFonts w:ascii="Verdana" w:eastAsia="Times New Roman" w:hAnsi="Verdana" w:cs="Times New Roman"/>
          <w:sz w:val="20"/>
          <w:szCs w:val="20"/>
          <w:lang w:eastAsia="es-ES"/>
        </w:rPr>
        <w:t xml:space="preserve">[…] </w:t>
      </w:r>
      <w:r w:rsidRPr="00084AD0">
        <w:rPr>
          <w:rFonts w:ascii="Verdana" w:eastAsia="Times New Roman" w:hAnsi="Verdana" w:cs="Times New Roman"/>
          <w:sz w:val="20"/>
          <w:szCs w:val="20"/>
          <w:lang w:eastAsia="es-ES"/>
        </w:rPr>
        <w:t xml:space="preserve">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0514DA36" w14:textId="77777777" w:rsidR="00084AD0" w:rsidRDefault="00084AD0" w:rsidP="00084AD0">
      <w:pPr>
        <w:spacing w:after="0" w:line="240" w:lineRule="auto"/>
        <w:jc w:val="both"/>
        <w:rPr>
          <w:rFonts w:ascii="Verdana" w:eastAsia="Times New Roman" w:hAnsi="Verdana" w:cs="Times New Roman"/>
          <w:sz w:val="20"/>
          <w:szCs w:val="20"/>
          <w:lang w:eastAsia="es-ES"/>
        </w:rPr>
      </w:pPr>
    </w:p>
    <w:p w14:paraId="621D9DE2" w14:textId="3788AE83" w:rsidR="00084AD0" w:rsidRPr="00084AD0" w:rsidRDefault="00084AD0" w:rsidP="00084AD0">
      <w:pPr>
        <w:spacing w:after="0" w:line="240" w:lineRule="auto"/>
        <w:jc w:val="both"/>
        <w:rPr>
          <w:rFonts w:ascii="Verdana" w:eastAsia="Times New Roman" w:hAnsi="Verdana" w:cs="Arial"/>
          <w:sz w:val="20"/>
          <w:szCs w:val="20"/>
          <w:lang w:eastAsia="es-CO"/>
        </w:rPr>
      </w:pPr>
      <w:r>
        <w:rPr>
          <w:rFonts w:ascii="Verdana" w:eastAsia="Times New Roman" w:hAnsi="Verdana" w:cs="Times New Roman"/>
          <w:sz w:val="20"/>
          <w:szCs w:val="20"/>
          <w:lang w:eastAsia="es-ES"/>
        </w:rPr>
        <w:t xml:space="preserve">[…] </w:t>
      </w:r>
      <w:r w:rsidRPr="00084AD0">
        <w:rPr>
          <w:rFonts w:ascii="Verdana" w:eastAsia="Times New Roman" w:hAnsi="Verdana" w:cs="Arial"/>
          <w:sz w:val="20"/>
          <w:szCs w:val="20"/>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084AD0">
        <w:rPr>
          <w:rFonts w:ascii="Verdana" w:eastAsia="Times New Roman" w:hAnsi="Verdana" w:cs="Arial"/>
          <w:i/>
          <w:iCs/>
          <w:sz w:val="20"/>
          <w:szCs w:val="20"/>
          <w:lang w:eastAsia="es-CO"/>
        </w:rPr>
        <w:t>contratos interadministrativos</w:t>
      </w:r>
      <w:r w:rsidRPr="00084AD0">
        <w:rPr>
          <w:rFonts w:ascii="Verdana" w:eastAsia="Times New Roman" w:hAnsi="Verdana" w:cs="Arial"/>
          <w:sz w:val="20"/>
          <w:szCs w:val="20"/>
          <w:lang w:eastAsia="es-CO"/>
        </w:rPr>
        <w:t>, esta prohibición solo aplicaría a los convenios interadministrativos que impliquen la ejecución de recursos públicos.</w:t>
      </w:r>
    </w:p>
    <w:p w14:paraId="11F13FB2" w14:textId="77777777" w:rsidR="00084AD0" w:rsidRPr="00D33D1B" w:rsidRDefault="00084AD0" w:rsidP="00995E73">
      <w:pPr>
        <w:spacing w:after="0" w:line="240" w:lineRule="auto"/>
        <w:contextualSpacing/>
        <w:jc w:val="both"/>
        <w:rPr>
          <w:rFonts w:ascii="Verdana" w:hAnsi="Verdana" w:cs="Arial"/>
          <w:b/>
          <w:bCs/>
          <w:color w:val="000000" w:themeColor="text1"/>
        </w:rPr>
      </w:pPr>
    </w:p>
    <w:p w14:paraId="18718D8E" w14:textId="26E5A656" w:rsidR="00995E73" w:rsidRPr="00084AD0" w:rsidRDefault="00995E73" w:rsidP="00995E73">
      <w:pPr>
        <w:spacing w:after="0" w:line="240" w:lineRule="auto"/>
        <w:contextualSpacing/>
        <w:jc w:val="both"/>
        <w:rPr>
          <w:rFonts w:ascii="Verdana" w:hAnsi="Verdana" w:cs="Arial"/>
          <w:b/>
          <w:bCs/>
          <w:color w:val="000000" w:themeColor="text1"/>
        </w:rPr>
      </w:pPr>
      <w:r w:rsidRPr="00084AD0">
        <w:rPr>
          <w:rFonts w:ascii="Verdana" w:hAnsi="Verdana" w:cs="Arial"/>
          <w:b/>
          <w:bCs/>
          <w:color w:val="000000" w:themeColor="text1"/>
        </w:rPr>
        <w:t>LEY DE GARANTÍAS ELECTORALES – Contratos y convenios interadministrativos – Adquisición de software y licencias</w:t>
      </w:r>
    </w:p>
    <w:p w14:paraId="30EA57D0" w14:textId="77777777" w:rsidR="00084AD0" w:rsidRPr="00084AD0" w:rsidRDefault="00084AD0" w:rsidP="00995E73">
      <w:pPr>
        <w:spacing w:after="0" w:line="240" w:lineRule="auto"/>
        <w:contextualSpacing/>
        <w:jc w:val="both"/>
        <w:rPr>
          <w:rFonts w:ascii="Verdana" w:hAnsi="Verdana" w:cs="Arial"/>
          <w:b/>
          <w:bCs/>
          <w:color w:val="000000" w:themeColor="text1"/>
        </w:rPr>
      </w:pPr>
    </w:p>
    <w:p w14:paraId="7CCA9B27" w14:textId="77777777" w:rsidR="002064C7" w:rsidRDefault="00084AD0" w:rsidP="00084AD0">
      <w:pPr>
        <w:widowControl w:val="0"/>
        <w:autoSpaceDE w:val="0"/>
        <w:autoSpaceDN w:val="0"/>
        <w:spacing w:after="0" w:line="240" w:lineRule="auto"/>
        <w:jc w:val="both"/>
        <w:rPr>
          <w:rFonts w:ascii="Verdana" w:hAnsi="Verdana" w:cs="Arial"/>
          <w:color w:val="000000" w:themeColor="text1"/>
          <w:sz w:val="20"/>
          <w:szCs w:val="20"/>
          <w:lang w:val="es-ES"/>
        </w:rPr>
      </w:pPr>
      <w:r w:rsidRPr="00084AD0">
        <w:rPr>
          <w:rFonts w:ascii="Verdana" w:eastAsia="Calibri" w:hAnsi="Verdana" w:cs="Arial"/>
          <w:sz w:val="20"/>
          <w:szCs w:val="20"/>
          <w:lang w:val="es-ES"/>
        </w:rPr>
        <w:t xml:space="preserve">De cualquier modo, en principio, el contrato o convenio interadministrativo no constituye una tipología contractual adecuada para contratar la adquisición o el desarrollo de software. De forma similar, si no se configura ninguna otra de las causales señaladas por la Ley, tampoco es procedente la modalidad de contratación directa para que las entidades se abastezcan de este tipo de bienes o servicios. En efecto, en la celebración de los contratos o convenios interadministrativos, las Entidades Estatales buscan </w:t>
      </w:r>
      <w:r w:rsidRPr="00084AD0">
        <w:rPr>
          <w:rFonts w:ascii="Verdana" w:eastAsia="Arial" w:hAnsi="Verdana" w:cs="Arial"/>
          <w:sz w:val="20"/>
          <w:szCs w:val="20"/>
          <w:lang w:val="es-ES" w:eastAsia="es-ES" w:bidi="es-ES"/>
        </w:rPr>
        <w:t>cumplir, en el marco de sus objetivos misionales y sus competencias, con los fines del Estado</w:t>
      </w:r>
      <w:r w:rsidRPr="00084AD0">
        <w:rPr>
          <w:rFonts w:ascii="Verdana" w:hAnsi="Verdana" w:cs="Arial"/>
          <w:color w:val="000000" w:themeColor="text1"/>
          <w:sz w:val="20"/>
          <w:szCs w:val="20"/>
          <w:lang w:val="es-ES"/>
        </w:rPr>
        <w:t xml:space="preserve">. En consecuencia, la Entidad puede incurrir en una indebida elección de la modalidad de selección y de la tipología contractual si ha identificado que requiere la adquisición de un software o del desarrollo </w:t>
      </w:r>
      <w:proofErr w:type="gramStart"/>
      <w:r w:rsidRPr="00084AD0">
        <w:rPr>
          <w:rFonts w:ascii="Verdana" w:hAnsi="Verdana" w:cs="Arial"/>
          <w:color w:val="000000" w:themeColor="text1"/>
          <w:sz w:val="20"/>
          <w:szCs w:val="20"/>
          <w:lang w:val="es-ES"/>
        </w:rPr>
        <w:t>del mismo</w:t>
      </w:r>
      <w:proofErr w:type="gramEnd"/>
      <w:r w:rsidRPr="00084AD0">
        <w:rPr>
          <w:rFonts w:ascii="Verdana" w:hAnsi="Verdana" w:cs="Arial"/>
          <w:color w:val="000000" w:themeColor="text1"/>
          <w:sz w:val="20"/>
          <w:szCs w:val="20"/>
          <w:lang w:val="es-ES"/>
        </w:rPr>
        <w:t>, pero celebra un contrato o convenio interadministrativo de manera directa cuyo objeto sea únicamente el aprovisionamiento de ese bien o servicio sin que se materialice el objetivo real de la contratación a través de estas tipologías contractuales.</w:t>
      </w:r>
      <w:r w:rsidR="002064C7">
        <w:rPr>
          <w:rFonts w:ascii="Verdana" w:hAnsi="Verdana" w:cs="Arial"/>
          <w:color w:val="000000" w:themeColor="text1"/>
          <w:sz w:val="20"/>
          <w:szCs w:val="20"/>
          <w:lang w:val="es-ES"/>
        </w:rPr>
        <w:t xml:space="preserve"> </w:t>
      </w:r>
    </w:p>
    <w:p w14:paraId="6E97FB16" w14:textId="77777777" w:rsidR="002064C7" w:rsidRDefault="002064C7" w:rsidP="00084AD0">
      <w:pPr>
        <w:widowControl w:val="0"/>
        <w:autoSpaceDE w:val="0"/>
        <w:autoSpaceDN w:val="0"/>
        <w:spacing w:after="0" w:line="240" w:lineRule="auto"/>
        <w:jc w:val="both"/>
        <w:rPr>
          <w:rFonts w:ascii="Verdana" w:hAnsi="Verdana" w:cs="Arial"/>
          <w:color w:val="000000" w:themeColor="text1"/>
          <w:sz w:val="20"/>
          <w:szCs w:val="20"/>
          <w:lang w:val="es-ES"/>
        </w:rPr>
      </w:pPr>
    </w:p>
    <w:p w14:paraId="26674777" w14:textId="77777777" w:rsidR="002064C7" w:rsidRDefault="002064C7" w:rsidP="00084AD0">
      <w:pPr>
        <w:widowControl w:val="0"/>
        <w:autoSpaceDE w:val="0"/>
        <w:autoSpaceDN w:val="0"/>
        <w:spacing w:after="0" w:line="240" w:lineRule="auto"/>
        <w:jc w:val="both"/>
        <w:rPr>
          <w:rFonts w:ascii="Verdana" w:hAnsi="Verdana" w:cs="Arial"/>
          <w:color w:val="000000" w:themeColor="text1"/>
          <w:sz w:val="20"/>
          <w:szCs w:val="20"/>
          <w:lang w:val="es-ES"/>
        </w:rPr>
      </w:pPr>
    </w:p>
    <w:p w14:paraId="628B77E4" w14:textId="77777777" w:rsidR="002064C7" w:rsidRDefault="002064C7" w:rsidP="00084AD0">
      <w:pPr>
        <w:widowControl w:val="0"/>
        <w:autoSpaceDE w:val="0"/>
        <w:autoSpaceDN w:val="0"/>
        <w:spacing w:after="0" w:line="240" w:lineRule="auto"/>
        <w:jc w:val="both"/>
        <w:rPr>
          <w:rFonts w:ascii="Verdana" w:hAnsi="Verdana" w:cs="Arial"/>
          <w:color w:val="000000" w:themeColor="text1"/>
          <w:sz w:val="20"/>
          <w:szCs w:val="20"/>
          <w:lang w:val="es-ES"/>
        </w:rPr>
      </w:pPr>
    </w:p>
    <w:p w14:paraId="17649B52" w14:textId="77777777" w:rsidR="002064C7" w:rsidRDefault="002064C7" w:rsidP="00084AD0">
      <w:pPr>
        <w:widowControl w:val="0"/>
        <w:autoSpaceDE w:val="0"/>
        <w:autoSpaceDN w:val="0"/>
        <w:spacing w:after="0" w:line="240" w:lineRule="auto"/>
        <w:jc w:val="both"/>
        <w:rPr>
          <w:rFonts w:ascii="Verdana" w:hAnsi="Verdana" w:cs="Arial"/>
          <w:color w:val="000000" w:themeColor="text1"/>
          <w:sz w:val="20"/>
          <w:szCs w:val="20"/>
          <w:lang w:val="es-ES"/>
        </w:rPr>
      </w:pPr>
    </w:p>
    <w:p w14:paraId="7125C9E2" w14:textId="77777777" w:rsidR="002064C7" w:rsidRDefault="002064C7" w:rsidP="00084AD0">
      <w:pPr>
        <w:widowControl w:val="0"/>
        <w:autoSpaceDE w:val="0"/>
        <w:autoSpaceDN w:val="0"/>
        <w:spacing w:after="0" w:line="240" w:lineRule="auto"/>
        <w:jc w:val="both"/>
        <w:rPr>
          <w:rFonts w:ascii="Verdana" w:hAnsi="Verdana" w:cs="Arial"/>
          <w:color w:val="000000" w:themeColor="text1"/>
          <w:sz w:val="20"/>
          <w:szCs w:val="20"/>
          <w:lang w:val="es-ES"/>
        </w:rPr>
      </w:pPr>
    </w:p>
    <w:p w14:paraId="208AF6E2" w14:textId="77777777" w:rsidR="002064C7" w:rsidRDefault="002064C7" w:rsidP="00084AD0">
      <w:pPr>
        <w:widowControl w:val="0"/>
        <w:autoSpaceDE w:val="0"/>
        <w:autoSpaceDN w:val="0"/>
        <w:spacing w:after="0" w:line="240" w:lineRule="auto"/>
        <w:jc w:val="both"/>
        <w:rPr>
          <w:rFonts w:ascii="Verdana" w:hAnsi="Verdana" w:cs="Arial"/>
          <w:color w:val="000000" w:themeColor="text1"/>
          <w:sz w:val="20"/>
          <w:szCs w:val="20"/>
          <w:lang w:val="es-ES"/>
        </w:rPr>
      </w:pPr>
    </w:p>
    <w:p w14:paraId="6E5B170A" w14:textId="17EA3D4A" w:rsidR="00995E73" w:rsidRDefault="002064C7" w:rsidP="00084AD0">
      <w:pPr>
        <w:widowControl w:val="0"/>
        <w:autoSpaceDE w:val="0"/>
        <w:autoSpaceDN w:val="0"/>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lastRenderedPageBreak/>
        <w:t>Bogotá, D.C., 22 de diciembre de 2025</w:t>
      </w:r>
    </w:p>
    <w:p w14:paraId="1D2EF7EB" w14:textId="77777777" w:rsidR="00084AD0" w:rsidRPr="00084AD0" w:rsidRDefault="00084AD0" w:rsidP="00084AD0">
      <w:pPr>
        <w:widowControl w:val="0"/>
        <w:autoSpaceDE w:val="0"/>
        <w:autoSpaceDN w:val="0"/>
        <w:spacing w:after="0" w:line="240" w:lineRule="auto"/>
        <w:jc w:val="both"/>
        <w:rPr>
          <w:rFonts w:ascii="Verdana" w:eastAsia="Calibri" w:hAnsi="Verdana" w:cs="Arial"/>
          <w:sz w:val="20"/>
          <w:szCs w:val="20"/>
          <w:lang w:val="es-ES"/>
        </w:rPr>
      </w:pPr>
    </w:p>
    <w:p w14:paraId="22D9CBF0" w14:textId="77777777" w:rsidR="00995E73" w:rsidRDefault="00995E73" w:rsidP="00995E73">
      <w:pPr>
        <w:spacing w:after="0" w:line="240" w:lineRule="auto"/>
        <w:jc w:val="right"/>
        <w:rPr>
          <w:rFonts w:ascii="Verdana" w:eastAsia="Calibri" w:hAnsi="Verdana" w:cs="Arial"/>
          <w:lang w:eastAsia="es-ES"/>
        </w:rPr>
      </w:pPr>
    </w:p>
    <w:p w14:paraId="35B75A3D" w14:textId="378FCDE0" w:rsidR="00995E73" w:rsidRDefault="00995E73" w:rsidP="00995E73">
      <w:pPr>
        <w:spacing w:after="0" w:line="240" w:lineRule="auto"/>
        <w:jc w:val="right"/>
        <w:rPr>
          <w:rFonts w:ascii="Verdana" w:eastAsia="Calibri" w:hAnsi="Verdana" w:cs="Arial"/>
          <w:lang w:eastAsia="es-ES"/>
        </w:rPr>
      </w:pPr>
      <w:r w:rsidRPr="00995E73">
        <w:rPr>
          <w:rFonts w:ascii="Verdana" w:eastAsia="Calibri" w:hAnsi="Verdana" w:cs="Arial"/>
          <w:noProof/>
          <w:lang w:eastAsia="es-ES"/>
        </w:rPr>
        <w:drawing>
          <wp:inline distT="0" distB="0" distL="0" distR="0" wp14:anchorId="37D52B3A" wp14:editId="201A6960">
            <wp:extent cx="2725369" cy="786866"/>
            <wp:effectExtent l="0" t="0" r="0" b="0"/>
            <wp:docPr id="8542038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203836" name=""/>
                    <pic:cNvPicPr/>
                  </pic:nvPicPr>
                  <pic:blipFill>
                    <a:blip r:embed="rId10"/>
                    <a:stretch>
                      <a:fillRect/>
                    </a:stretch>
                  </pic:blipFill>
                  <pic:spPr>
                    <a:xfrm>
                      <a:off x="0" y="0"/>
                      <a:ext cx="2725369" cy="786866"/>
                    </a:xfrm>
                    <a:prstGeom prst="rect">
                      <a:avLst/>
                    </a:prstGeom>
                  </pic:spPr>
                </pic:pic>
              </a:graphicData>
            </a:graphic>
          </wp:inline>
        </w:drawing>
      </w:r>
    </w:p>
    <w:p w14:paraId="0D84393A" w14:textId="000AB466" w:rsidR="00683401" w:rsidRDefault="00683401" w:rsidP="00683401">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249421CA" w14:textId="77777777" w:rsidR="00683401" w:rsidRDefault="00683401" w:rsidP="00683401">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Daniel Martínez </w:t>
      </w:r>
    </w:p>
    <w:p w14:paraId="61E1134E" w14:textId="77777777" w:rsidR="00683401" w:rsidRPr="006171B1" w:rsidRDefault="00683401" w:rsidP="00683401">
      <w:pPr>
        <w:spacing w:after="0" w:line="240" w:lineRule="auto"/>
        <w:jc w:val="both"/>
        <w:rPr>
          <w:rFonts w:ascii="Verdana" w:hAnsi="Verdana"/>
          <w:b/>
          <w:bCs/>
        </w:rPr>
      </w:pPr>
      <w:hyperlink r:id="rId11" w:history="1">
        <w:r w:rsidRPr="006171B1">
          <w:rPr>
            <w:rStyle w:val="Hipervnculo"/>
            <w:rFonts w:ascii="Verdana" w:hAnsi="Verdana"/>
            <w:b/>
            <w:bCs/>
          </w:rPr>
          <w:t>daniel.martinez@iudigital.edu.co</w:t>
        </w:r>
      </w:hyperlink>
    </w:p>
    <w:p w14:paraId="12AE77C6" w14:textId="77777777" w:rsidR="00683401" w:rsidRPr="00791871" w:rsidRDefault="00683401" w:rsidP="00683401">
      <w:pPr>
        <w:spacing w:after="0" w:line="240" w:lineRule="auto"/>
        <w:jc w:val="both"/>
        <w:rPr>
          <w:rFonts w:ascii="Verdana" w:hAnsi="Verdana"/>
        </w:rPr>
      </w:pPr>
      <w:r>
        <w:rPr>
          <w:rFonts w:ascii="Verdana" w:hAnsi="Verdana"/>
        </w:rPr>
        <w:t>Ciudad</w:t>
      </w:r>
    </w:p>
    <w:p w14:paraId="4A3591A3" w14:textId="77777777" w:rsidR="00683401" w:rsidRPr="00791871" w:rsidRDefault="00683401" w:rsidP="00683401">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683401" w:rsidRPr="005644FE" w14:paraId="00B4C770" w14:textId="77777777" w:rsidTr="00A62A97">
        <w:trPr>
          <w:trHeight w:val="162"/>
        </w:trPr>
        <w:tc>
          <w:tcPr>
            <w:tcW w:w="3119" w:type="dxa"/>
          </w:tcPr>
          <w:p w14:paraId="04210897" w14:textId="77777777" w:rsidR="00683401" w:rsidRPr="00791871" w:rsidRDefault="00683401" w:rsidP="00A62A97">
            <w:pPr>
              <w:jc w:val="both"/>
              <w:rPr>
                <w:rFonts w:ascii="Verdana" w:eastAsia="Calibri" w:hAnsi="Verdana" w:cs="Arial"/>
                <w:b/>
                <w:bCs/>
                <w:color w:val="7030A0"/>
                <w:lang w:eastAsia="es-ES_tradnl"/>
              </w:rPr>
            </w:pPr>
          </w:p>
        </w:tc>
        <w:tc>
          <w:tcPr>
            <w:tcW w:w="5670" w:type="dxa"/>
          </w:tcPr>
          <w:p w14:paraId="02532B54" w14:textId="77777777" w:rsidR="00683401" w:rsidRPr="005644FE" w:rsidRDefault="00683401" w:rsidP="00A62A97">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-16</w:t>
            </w:r>
            <w:r>
              <w:rPr>
                <w:rFonts w:ascii="Verdana" w:eastAsia="Calibri" w:hAnsi="Verdana" w:cs="Arial"/>
                <w:b/>
                <w:bCs/>
                <w:lang w:eastAsia="es-ES"/>
              </w:rPr>
              <w:t>62</w:t>
            </w:r>
            <w:r w:rsidRPr="00205473">
              <w:rPr>
                <w:rFonts w:ascii="Verdana" w:eastAsia="Calibri" w:hAnsi="Verdana" w:cs="Arial"/>
                <w:b/>
                <w:bCs/>
                <w:lang w:eastAsia="es-ES"/>
              </w:rPr>
              <w:t xml:space="preserve"> de 2025</w:t>
            </w:r>
          </w:p>
          <w:p w14:paraId="4BB1D7E8" w14:textId="77777777" w:rsidR="00683401" w:rsidRPr="005644FE" w:rsidRDefault="00683401" w:rsidP="00A62A97">
            <w:pPr>
              <w:jc w:val="both"/>
              <w:rPr>
                <w:rFonts w:ascii="Verdana" w:eastAsia="Calibri" w:hAnsi="Verdana" w:cs="Arial"/>
                <w:b/>
                <w:bCs/>
                <w:color w:val="7030A0"/>
                <w:lang w:eastAsia="es-ES"/>
              </w:rPr>
            </w:pPr>
          </w:p>
        </w:tc>
      </w:tr>
      <w:tr w:rsidR="00683401" w:rsidRPr="005644FE" w14:paraId="6DF903D8" w14:textId="77777777" w:rsidTr="00A62A97">
        <w:trPr>
          <w:trHeight w:val="884"/>
        </w:trPr>
        <w:tc>
          <w:tcPr>
            <w:tcW w:w="3119" w:type="dxa"/>
          </w:tcPr>
          <w:p w14:paraId="3253CA3D" w14:textId="77777777" w:rsidR="00683401" w:rsidRPr="005644FE" w:rsidRDefault="00683401" w:rsidP="00A62A97">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538242A1" w14:textId="50764522" w:rsidR="00683401" w:rsidRDefault="00683401" w:rsidP="00A62A97">
            <w:pPr>
              <w:contextualSpacing/>
              <w:jc w:val="both"/>
              <w:rPr>
                <w:rFonts w:ascii="Verdana" w:hAnsi="Verdana" w:cs="Arial"/>
                <w:color w:val="000000" w:themeColor="text1"/>
              </w:rPr>
            </w:pPr>
            <w:r w:rsidRPr="00F04657">
              <w:rPr>
                <w:rFonts w:ascii="Verdana" w:eastAsia="Calibri" w:hAnsi="Verdana" w:cs="Arial"/>
                <w:bCs/>
                <w:lang w:val="es-MX" w:eastAsia="es-MX"/>
              </w:rPr>
              <w:t xml:space="preserve">LEY DE GARANTÍAS ELECTORALES – Naturaleza Jurídica / LEY DE GARANTÍAS ELECTORALES – Prohibiciones / </w:t>
            </w:r>
            <w:r w:rsidRPr="00F04657">
              <w:rPr>
                <w:rFonts w:ascii="Verdana" w:eastAsia="Calibri" w:hAnsi="Verdana" w:cs="Arial"/>
                <w:bCs/>
                <w:lang w:val="es-MX"/>
              </w:rPr>
              <w:t xml:space="preserve">LEY DE GARANTÍAS ELECTORALES ─ Prohibición artículo 33 ‒ Contratación directa ‒ Alcance </w:t>
            </w:r>
            <w:r w:rsidRPr="00F04657">
              <w:rPr>
                <w:rFonts w:ascii="Verdana" w:eastAsia="Times New Roman" w:hAnsi="Verdana" w:cs="Arial"/>
                <w:bCs/>
                <w:lang w:eastAsia="es-CO"/>
              </w:rPr>
              <w:t xml:space="preserve">/ </w:t>
            </w:r>
            <w:r w:rsidRPr="00F04657">
              <w:rPr>
                <w:rFonts w:ascii="Verdana" w:eastAsia="Calibri" w:hAnsi="Verdana" w:cs="Arial"/>
                <w:bCs/>
                <w:lang w:val="es-MX"/>
              </w:rPr>
              <w:t xml:space="preserve">LEY DE GARANTÍAS ELECTORALES ─ Prohibición artículo 33 ‒ Contratación directa ‒ </w:t>
            </w:r>
            <w:r>
              <w:rPr>
                <w:rFonts w:ascii="Verdana" w:eastAsia="Calibri" w:hAnsi="Verdana" w:cs="Arial"/>
                <w:bCs/>
                <w:lang w:val="es-MX"/>
              </w:rPr>
              <w:t>Destinatarios</w:t>
            </w:r>
            <w:r w:rsidRPr="00F04657">
              <w:rPr>
                <w:rFonts w:ascii="Verdana" w:eastAsia="Times New Roman" w:hAnsi="Verdana" w:cs="Arial"/>
                <w:bCs/>
                <w:lang w:eastAsia="es-CO"/>
              </w:rPr>
              <w:t xml:space="preserve"> </w:t>
            </w:r>
            <w:r>
              <w:rPr>
                <w:rFonts w:ascii="Verdana" w:eastAsia="Times New Roman" w:hAnsi="Verdana" w:cs="Arial"/>
                <w:bCs/>
                <w:lang w:eastAsia="es-CO"/>
              </w:rPr>
              <w:t xml:space="preserve">/ </w:t>
            </w:r>
            <w:r w:rsidRPr="00F04657">
              <w:rPr>
                <w:rFonts w:ascii="Verdana" w:eastAsia="Times New Roman" w:hAnsi="Verdana" w:cs="Arial"/>
                <w:bCs/>
                <w:lang w:eastAsia="es-CO"/>
              </w:rPr>
              <w:t xml:space="preserve">LEY DE GARANTÍAS ELECTORALES ‒ </w:t>
            </w:r>
            <w:r>
              <w:rPr>
                <w:rFonts w:ascii="Verdana" w:eastAsia="Times New Roman" w:hAnsi="Verdana" w:cs="Arial"/>
                <w:bCs/>
                <w:lang w:eastAsia="es-CO"/>
              </w:rPr>
              <w:t xml:space="preserve">Excepciones / LEY DE GARANTÍAS ELECTORALES – Posibilidad de prorrogar – </w:t>
            </w:r>
            <w:r w:rsidR="002064C7">
              <w:rPr>
                <w:rFonts w:ascii="Verdana" w:eastAsia="Times New Roman" w:hAnsi="Verdana" w:cs="Arial"/>
                <w:bCs/>
                <w:lang w:eastAsia="es-CO"/>
              </w:rPr>
              <w:t>M</w:t>
            </w:r>
            <w:r>
              <w:rPr>
                <w:rFonts w:ascii="Verdana" w:eastAsia="Times New Roman" w:hAnsi="Verdana" w:cs="Arial"/>
                <w:bCs/>
                <w:lang w:eastAsia="es-CO"/>
              </w:rPr>
              <w:t xml:space="preserve">odificar – </w:t>
            </w:r>
            <w:r w:rsidR="002064C7">
              <w:rPr>
                <w:rFonts w:ascii="Verdana" w:eastAsia="Times New Roman" w:hAnsi="Verdana" w:cs="Arial"/>
                <w:bCs/>
                <w:lang w:eastAsia="es-CO"/>
              </w:rPr>
              <w:t>A</w:t>
            </w:r>
            <w:r>
              <w:rPr>
                <w:rFonts w:ascii="Verdana" w:eastAsia="Times New Roman" w:hAnsi="Verdana" w:cs="Arial"/>
                <w:bCs/>
                <w:lang w:eastAsia="es-CO"/>
              </w:rPr>
              <w:t xml:space="preserve">dicionar – </w:t>
            </w:r>
            <w:r w:rsidR="002064C7">
              <w:rPr>
                <w:rFonts w:ascii="Verdana" w:eastAsia="Times New Roman" w:hAnsi="Verdana" w:cs="Arial"/>
                <w:bCs/>
                <w:lang w:eastAsia="es-CO"/>
              </w:rPr>
              <w:t>C</w:t>
            </w:r>
            <w:r>
              <w:rPr>
                <w:rFonts w:ascii="Verdana" w:eastAsia="Times New Roman" w:hAnsi="Verdana" w:cs="Arial"/>
                <w:bCs/>
                <w:lang w:eastAsia="es-CO"/>
              </w:rPr>
              <w:t xml:space="preserve">eder los contratos estatales / </w:t>
            </w:r>
            <w:r w:rsidRPr="00BC59D9">
              <w:rPr>
                <w:rFonts w:ascii="Verdana" w:eastAsia="Calibri" w:hAnsi="Verdana" w:cs="Arial"/>
                <w:color w:val="000000" w:themeColor="text1"/>
                <w:lang w:val="es-ES_tradnl" w:eastAsia="es-ES_tradnl"/>
              </w:rPr>
              <w:t>SOFTWARE – Adquisición y desarrollo – Modalidades de selección</w:t>
            </w:r>
            <w:r>
              <w:rPr>
                <w:rFonts w:ascii="Verdana" w:eastAsia="Calibri" w:hAnsi="Verdana" w:cs="Arial"/>
                <w:color w:val="000000" w:themeColor="text1"/>
                <w:lang w:val="es-ES_tradnl" w:eastAsia="es-ES_tradnl"/>
              </w:rPr>
              <w:t xml:space="preserve"> </w:t>
            </w:r>
            <w:r w:rsidRPr="00BC59D9">
              <w:rPr>
                <w:rFonts w:ascii="Verdana" w:eastAsia="Calibri" w:hAnsi="Verdana" w:cs="Arial"/>
                <w:color w:val="000000" w:themeColor="text1"/>
                <w:lang w:val="es-ES_tradnl" w:eastAsia="es-ES_tradnl"/>
              </w:rPr>
              <w:t>/</w:t>
            </w:r>
            <w:r>
              <w:rPr>
                <w:rFonts w:ascii="Verdana" w:eastAsia="Times New Roman" w:hAnsi="Verdana" w:cs="Arial"/>
                <w:bCs/>
                <w:lang w:eastAsia="es-CO"/>
              </w:rPr>
              <w:t xml:space="preserve"> </w:t>
            </w:r>
            <w:r w:rsidRPr="00BC59D9">
              <w:rPr>
                <w:rFonts w:ascii="Verdana" w:eastAsia="Calibri" w:hAnsi="Verdana" w:cs="Arial"/>
                <w:color w:val="000000" w:themeColor="text1"/>
                <w:lang w:val="es-ES_tradnl" w:eastAsia="es-ES_tradnl"/>
              </w:rPr>
              <w:t>SOFTWARE</w:t>
            </w:r>
            <w:r>
              <w:rPr>
                <w:rFonts w:ascii="Verdana" w:eastAsia="Calibri" w:hAnsi="Verdana" w:cs="Arial"/>
                <w:color w:val="000000" w:themeColor="text1"/>
                <w:lang w:val="es-ES_tradnl" w:eastAsia="es-ES_tradnl"/>
              </w:rPr>
              <w:t xml:space="preserve"> – Contratación directa – Artículo 2 numeral 4 literal g) Ley 1150 de 2007 – Interpretación / SOFTWARE – Contratación directa – Ley de garantías electorales artículo 33 – Excepciones / </w:t>
            </w:r>
            <w:r>
              <w:rPr>
                <w:rFonts w:ascii="Verdana" w:hAnsi="Verdana" w:cs="Arial"/>
                <w:color w:val="000000" w:themeColor="text1"/>
              </w:rPr>
              <w:t>LEY DE GARANTÍAS ELECTORALES - Parágrafo del artículo 38 – Prohibición – Convenios y contratos interadministrativos – Sentencia del Consejo de Estado / LEY DE GARANTÍAS ELECTORALES – Contratos y convenios interadministrativos – Adquisición de software y licencias</w:t>
            </w:r>
          </w:p>
          <w:p w14:paraId="4742EFDE" w14:textId="77777777" w:rsidR="00683401" w:rsidRPr="00B56046" w:rsidRDefault="00683401" w:rsidP="00A62A97">
            <w:pPr>
              <w:contextualSpacing/>
              <w:jc w:val="both"/>
              <w:rPr>
                <w:rFonts w:ascii="Verdana" w:eastAsia="Calibri" w:hAnsi="Verdana" w:cs="Arial"/>
                <w:b/>
                <w:lang w:val="es-ES" w:eastAsia="es-ES"/>
              </w:rPr>
            </w:pPr>
            <w:r>
              <w:rPr>
                <w:rFonts w:ascii="Verdana" w:hAnsi="Verdana" w:cs="Arial"/>
                <w:color w:val="000000" w:themeColor="text1"/>
              </w:rPr>
              <w:t xml:space="preserve">   </w:t>
            </w:r>
            <w:r>
              <w:rPr>
                <w:rFonts w:ascii="Verdana" w:eastAsia="Calibri" w:hAnsi="Verdana" w:cs="Arial"/>
                <w:color w:val="000000" w:themeColor="text1"/>
                <w:lang w:val="es-ES_tradnl" w:eastAsia="es-ES_tradnl"/>
              </w:rPr>
              <w:t xml:space="preserve">  </w:t>
            </w:r>
          </w:p>
        </w:tc>
      </w:tr>
      <w:tr w:rsidR="00683401" w:rsidRPr="005644FE" w14:paraId="06C63C98" w14:textId="77777777" w:rsidTr="00A37CC3">
        <w:trPr>
          <w:trHeight w:val="410"/>
        </w:trPr>
        <w:tc>
          <w:tcPr>
            <w:tcW w:w="3119" w:type="dxa"/>
          </w:tcPr>
          <w:p w14:paraId="05155A67" w14:textId="77777777" w:rsidR="00683401" w:rsidRPr="005644FE" w:rsidRDefault="00683401" w:rsidP="00A62A97">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F39C84F" w14:textId="77777777" w:rsidR="00683401" w:rsidRPr="00F04657" w:rsidRDefault="00683401" w:rsidP="00A62A97">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6171B1">
              <w:rPr>
                <w:rFonts w:ascii="Verdana" w:eastAsia="Calibri" w:hAnsi="Verdana" w:cs="Arial"/>
                <w:lang w:eastAsia="es-ES_tradnl"/>
              </w:rPr>
              <w:t>1_2025_11_11_012697</w:t>
            </w:r>
          </w:p>
        </w:tc>
      </w:tr>
    </w:tbl>
    <w:p w14:paraId="7E0F480A" w14:textId="77777777" w:rsidR="00683401" w:rsidRPr="005644FE" w:rsidRDefault="00683401" w:rsidP="00683401">
      <w:pPr>
        <w:spacing w:after="0" w:line="276" w:lineRule="auto"/>
        <w:jc w:val="both"/>
        <w:rPr>
          <w:rFonts w:ascii="Verdana" w:eastAsia="Calibri" w:hAnsi="Verdana" w:cs="Arial"/>
          <w:lang w:eastAsia="es-ES_tradnl"/>
        </w:rPr>
      </w:pPr>
    </w:p>
    <w:p w14:paraId="2B4BAA02" w14:textId="77777777" w:rsidR="00683401" w:rsidRPr="005644FE" w:rsidRDefault="00683401" w:rsidP="00683401">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o señor Martínez</w:t>
      </w:r>
      <w:r w:rsidRPr="005644FE">
        <w:rPr>
          <w:rFonts w:ascii="Verdana" w:eastAsia="Calibri" w:hAnsi="Verdana" w:cs="Arial"/>
          <w:lang w:eastAsia="es-ES"/>
        </w:rPr>
        <w:t>:</w:t>
      </w:r>
    </w:p>
    <w:p w14:paraId="10C5EAAB" w14:textId="77777777" w:rsidR="00683401" w:rsidRPr="00E02524" w:rsidRDefault="00683401" w:rsidP="00683401">
      <w:pPr>
        <w:spacing w:after="0"/>
        <w:jc w:val="both"/>
        <w:rPr>
          <w:rFonts w:ascii="Verdana" w:hAnsi="Verdana"/>
          <w:lang w:val="es-MX"/>
        </w:rPr>
      </w:pPr>
    </w:p>
    <w:p w14:paraId="13C850BB" w14:textId="77777777" w:rsidR="00683401" w:rsidRDefault="00683401" w:rsidP="00683401">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11 de noviembre</w:t>
      </w:r>
      <w:r w:rsidRPr="005644FE">
        <w:rPr>
          <w:rFonts w:ascii="Verdana" w:eastAsia="Calibri" w:hAnsi="Verdana" w:cs="Arial"/>
          <w:lang w:eastAsia="es-ES"/>
        </w:rPr>
        <w:t xml:space="preserve"> de 2025</w:t>
      </w:r>
      <w:r>
        <w:rPr>
          <w:rFonts w:ascii="Verdana" w:eastAsia="Calibri" w:hAnsi="Verdana" w:cs="Arial"/>
          <w:lang w:eastAsia="es-ES"/>
        </w:rPr>
        <w:t>,</w:t>
      </w:r>
      <w:r w:rsidRPr="005644FE">
        <w:rPr>
          <w:rFonts w:ascii="Verdana" w:eastAsia="Calibri" w:hAnsi="Verdana" w:cs="Arial"/>
          <w:lang w:eastAsia="es-ES"/>
        </w:rPr>
        <w:t xml:space="preserve"> en la cual manifiesta lo siguiente:</w:t>
      </w:r>
    </w:p>
    <w:p w14:paraId="06CDC8AA" w14:textId="77777777" w:rsidR="00683401" w:rsidRDefault="00683401" w:rsidP="00683401">
      <w:pPr>
        <w:spacing w:after="0"/>
        <w:jc w:val="both"/>
        <w:rPr>
          <w:rFonts w:ascii="Verdana" w:hAnsi="Verdana"/>
        </w:rPr>
      </w:pPr>
      <w:r w:rsidRPr="00E02524">
        <w:rPr>
          <w:rFonts w:ascii="Verdana" w:hAnsi="Verdana"/>
        </w:rPr>
        <w:t xml:space="preserve">PETICIÓN REALIZADA </w:t>
      </w:r>
    </w:p>
    <w:p w14:paraId="1F97D41D" w14:textId="77777777" w:rsidR="00683401" w:rsidRPr="008E5B36" w:rsidRDefault="00683401" w:rsidP="00683401">
      <w:pPr>
        <w:spacing w:after="0" w:line="240" w:lineRule="auto"/>
        <w:jc w:val="both"/>
        <w:rPr>
          <w:rFonts w:ascii="Verdana" w:hAnsi="Verdana"/>
        </w:rPr>
      </w:pPr>
    </w:p>
    <w:p w14:paraId="1EB11269" w14:textId="77777777" w:rsidR="00683401" w:rsidRDefault="00683401" w:rsidP="00683401">
      <w:pPr>
        <w:spacing w:after="0" w:line="240" w:lineRule="auto"/>
        <w:ind w:left="567" w:right="758"/>
        <w:jc w:val="both"/>
        <w:rPr>
          <w:rFonts w:ascii="Verdana" w:hAnsi="Verdana"/>
          <w:sz w:val="20"/>
          <w:szCs w:val="20"/>
        </w:rPr>
      </w:pPr>
      <w:r w:rsidRPr="00FC1BE4">
        <w:rPr>
          <w:rFonts w:ascii="Verdana" w:hAnsi="Verdana"/>
          <w:sz w:val="20"/>
          <w:szCs w:val="20"/>
        </w:rPr>
        <w:t>“(…) sobre el </w:t>
      </w:r>
      <w:r w:rsidRPr="00FC1BE4">
        <w:rPr>
          <w:rFonts w:ascii="Verdana" w:hAnsi="Verdana"/>
          <w:b/>
          <w:bCs/>
          <w:sz w:val="20"/>
          <w:szCs w:val="20"/>
        </w:rPr>
        <w:t>alcance y el trámite</w:t>
      </w:r>
      <w:r w:rsidRPr="00FC1BE4">
        <w:rPr>
          <w:rFonts w:ascii="Verdana" w:hAnsi="Verdana"/>
          <w:sz w:val="20"/>
          <w:szCs w:val="20"/>
        </w:rPr>
        <w:t> de los procesos de </w:t>
      </w:r>
      <w:r w:rsidRPr="00FC1BE4">
        <w:rPr>
          <w:rFonts w:ascii="Verdana" w:hAnsi="Verdana"/>
          <w:b/>
          <w:bCs/>
          <w:sz w:val="20"/>
          <w:szCs w:val="20"/>
        </w:rPr>
        <w:t>adquisición de software y licencias específicas</w:t>
      </w:r>
      <w:r w:rsidRPr="00FC1BE4">
        <w:rPr>
          <w:rFonts w:ascii="Verdana" w:hAnsi="Verdana"/>
          <w:sz w:val="20"/>
          <w:szCs w:val="20"/>
        </w:rPr>
        <w:t> que, por su </w:t>
      </w:r>
      <w:r w:rsidRPr="00FC1BE4">
        <w:rPr>
          <w:rFonts w:ascii="Verdana" w:hAnsi="Verdana"/>
          <w:b/>
          <w:bCs/>
          <w:sz w:val="20"/>
          <w:szCs w:val="20"/>
        </w:rPr>
        <w:t>naturaleza de exclusividad</w:t>
      </w:r>
      <w:r w:rsidRPr="00FC1BE4">
        <w:rPr>
          <w:rFonts w:ascii="Verdana" w:hAnsi="Verdana"/>
          <w:sz w:val="20"/>
          <w:szCs w:val="20"/>
        </w:rPr>
        <w:t> (no pluralidad de oferentes), se </w:t>
      </w:r>
      <w:r w:rsidRPr="00FC1BE4">
        <w:rPr>
          <w:rFonts w:ascii="Verdana" w:hAnsi="Verdana"/>
          <w:b/>
          <w:bCs/>
          <w:sz w:val="20"/>
          <w:szCs w:val="20"/>
        </w:rPr>
        <w:t>adelantan por contratación directa</w:t>
      </w:r>
      <w:r w:rsidRPr="00FC1BE4">
        <w:rPr>
          <w:rFonts w:ascii="Verdana" w:hAnsi="Verdana"/>
          <w:sz w:val="20"/>
          <w:szCs w:val="20"/>
        </w:rPr>
        <w:t>, cuando tales necesidades se presentan </w:t>
      </w:r>
      <w:r w:rsidRPr="00FC1BE4">
        <w:rPr>
          <w:rFonts w:ascii="Verdana" w:hAnsi="Verdana"/>
          <w:b/>
          <w:bCs/>
          <w:sz w:val="20"/>
          <w:szCs w:val="20"/>
        </w:rPr>
        <w:t>durante la vigencia de la Ley 996 de 2005</w:t>
      </w:r>
      <w:r w:rsidRPr="00FC1BE4">
        <w:rPr>
          <w:rFonts w:ascii="Verdana" w:hAnsi="Verdana"/>
          <w:sz w:val="20"/>
          <w:szCs w:val="20"/>
        </w:rPr>
        <w:t> (Ley de Garantías Electorales).</w:t>
      </w:r>
    </w:p>
    <w:p w14:paraId="0A1C10A0" w14:textId="77777777" w:rsidR="00683401" w:rsidRPr="00FC1BE4" w:rsidRDefault="00683401" w:rsidP="00683401">
      <w:pPr>
        <w:spacing w:after="0" w:line="240" w:lineRule="auto"/>
        <w:ind w:left="567" w:right="758"/>
        <w:jc w:val="both"/>
        <w:rPr>
          <w:rFonts w:ascii="Verdana" w:hAnsi="Verdana"/>
          <w:sz w:val="20"/>
          <w:szCs w:val="20"/>
        </w:rPr>
      </w:pPr>
    </w:p>
    <w:p w14:paraId="71B692BA" w14:textId="77777777" w:rsidR="00683401" w:rsidRDefault="00683401" w:rsidP="00683401">
      <w:pPr>
        <w:spacing w:after="0" w:line="240" w:lineRule="auto"/>
        <w:ind w:left="567" w:right="758"/>
        <w:jc w:val="both"/>
        <w:rPr>
          <w:rFonts w:ascii="Verdana" w:hAnsi="Verdana"/>
          <w:b/>
          <w:bCs/>
          <w:sz w:val="20"/>
          <w:szCs w:val="20"/>
        </w:rPr>
      </w:pPr>
      <w:r w:rsidRPr="00FC1BE4">
        <w:rPr>
          <w:rFonts w:ascii="Verdana" w:hAnsi="Verdana"/>
          <w:b/>
          <w:bCs/>
          <w:sz w:val="20"/>
          <w:szCs w:val="20"/>
        </w:rPr>
        <w:t>CONTEXTO INSTITUCIONAL</w:t>
      </w:r>
    </w:p>
    <w:p w14:paraId="0427EA27" w14:textId="77777777" w:rsidR="00683401" w:rsidRPr="00FC1BE4" w:rsidRDefault="00683401" w:rsidP="00683401">
      <w:pPr>
        <w:spacing w:after="0" w:line="240" w:lineRule="auto"/>
        <w:ind w:left="567" w:right="758"/>
        <w:jc w:val="both"/>
        <w:rPr>
          <w:rFonts w:ascii="Verdana" w:hAnsi="Verdana"/>
          <w:b/>
          <w:bCs/>
          <w:sz w:val="20"/>
          <w:szCs w:val="20"/>
        </w:rPr>
      </w:pPr>
    </w:p>
    <w:p w14:paraId="0A4E81F5" w14:textId="77777777" w:rsidR="00683401" w:rsidRDefault="00683401" w:rsidP="00683401">
      <w:pPr>
        <w:spacing w:after="0" w:line="240" w:lineRule="auto"/>
        <w:ind w:left="567" w:right="758"/>
        <w:jc w:val="both"/>
        <w:rPr>
          <w:rFonts w:ascii="Verdana" w:hAnsi="Verdana"/>
          <w:sz w:val="20"/>
          <w:szCs w:val="20"/>
        </w:rPr>
      </w:pPr>
      <w:r w:rsidRPr="00FC1BE4">
        <w:rPr>
          <w:rFonts w:ascii="Verdana" w:hAnsi="Verdana"/>
          <w:sz w:val="20"/>
          <w:szCs w:val="20"/>
        </w:rPr>
        <w:t>La Institución Universitaria Digital de Antioquia, es una institución en la cual su infraestructura es digital, la Dirección de Tecnología de esta Institución debe asegurar la </w:t>
      </w:r>
      <w:r w:rsidRPr="00FC1BE4">
        <w:rPr>
          <w:rFonts w:ascii="Verdana" w:hAnsi="Verdana"/>
          <w:b/>
          <w:bCs/>
          <w:sz w:val="20"/>
          <w:szCs w:val="20"/>
        </w:rPr>
        <w:t>continuidad operativa</w:t>
      </w:r>
      <w:r w:rsidRPr="00FC1BE4">
        <w:rPr>
          <w:rFonts w:ascii="Verdana" w:hAnsi="Verdana"/>
          <w:sz w:val="20"/>
          <w:szCs w:val="20"/>
        </w:rPr>
        <w:t> de plataformas, licencias y componentes críticos (académicos, administrativos, seguridad, soporte y actualizaciones). En varios casos, por razones de </w:t>
      </w:r>
      <w:r w:rsidRPr="00FC1BE4">
        <w:rPr>
          <w:rFonts w:ascii="Verdana" w:hAnsi="Verdana"/>
          <w:b/>
          <w:bCs/>
          <w:sz w:val="20"/>
          <w:szCs w:val="20"/>
        </w:rPr>
        <w:t>derechos patrimoniales de autor y/o proveedor exclusivo</w:t>
      </w:r>
      <w:r w:rsidRPr="00FC1BE4">
        <w:rPr>
          <w:rFonts w:ascii="Verdana" w:hAnsi="Verdana"/>
          <w:sz w:val="20"/>
          <w:szCs w:val="20"/>
        </w:rPr>
        <w:t>, </w:t>
      </w:r>
      <w:r w:rsidRPr="00FC1BE4">
        <w:rPr>
          <w:rFonts w:ascii="Verdana" w:hAnsi="Verdana"/>
          <w:b/>
          <w:bCs/>
          <w:sz w:val="20"/>
          <w:szCs w:val="20"/>
        </w:rPr>
        <w:t>solo un titular</w:t>
      </w:r>
      <w:r w:rsidRPr="00FC1BE4">
        <w:rPr>
          <w:rFonts w:ascii="Verdana" w:hAnsi="Verdana"/>
          <w:sz w:val="20"/>
          <w:szCs w:val="20"/>
        </w:rPr>
        <w:t xml:space="preserve"> puede suministrar el bien o servicio </w:t>
      </w:r>
      <w:proofErr w:type="gramStart"/>
      <w:r w:rsidRPr="00FC1BE4">
        <w:rPr>
          <w:rFonts w:ascii="Verdana" w:hAnsi="Verdana"/>
          <w:sz w:val="20"/>
          <w:szCs w:val="20"/>
        </w:rPr>
        <w:t>de acuerdo a</w:t>
      </w:r>
      <w:proofErr w:type="gramEnd"/>
      <w:r w:rsidRPr="00FC1BE4">
        <w:rPr>
          <w:rFonts w:ascii="Verdana" w:hAnsi="Verdana"/>
          <w:sz w:val="20"/>
          <w:szCs w:val="20"/>
        </w:rPr>
        <w:t xml:space="preserve"> la necesidad especifica (p. ej., licencias propietarias, suscripciones y renovaciones atadas al titular de derechos).  </w:t>
      </w:r>
    </w:p>
    <w:p w14:paraId="00DC58CB" w14:textId="77777777" w:rsidR="00683401" w:rsidRPr="00FC1BE4" w:rsidRDefault="00683401" w:rsidP="00683401">
      <w:pPr>
        <w:spacing w:after="0" w:line="240" w:lineRule="auto"/>
        <w:ind w:left="567" w:right="758"/>
        <w:jc w:val="both"/>
        <w:rPr>
          <w:rFonts w:ascii="Verdana" w:hAnsi="Verdana"/>
          <w:sz w:val="20"/>
          <w:szCs w:val="20"/>
        </w:rPr>
      </w:pPr>
    </w:p>
    <w:p w14:paraId="20470D7C" w14:textId="77777777" w:rsidR="00683401" w:rsidRDefault="00683401" w:rsidP="00683401">
      <w:pPr>
        <w:spacing w:after="0" w:line="240" w:lineRule="auto"/>
        <w:ind w:left="567" w:right="758"/>
        <w:jc w:val="both"/>
        <w:rPr>
          <w:rFonts w:ascii="Verdana" w:hAnsi="Verdana"/>
          <w:b/>
          <w:bCs/>
          <w:sz w:val="20"/>
          <w:szCs w:val="20"/>
        </w:rPr>
      </w:pPr>
      <w:r w:rsidRPr="00FC1BE4">
        <w:rPr>
          <w:rFonts w:ascii="Verdana" w:hAnsi="Verdana"/>
          <w:b/>
          <w:bCs/>
          <w:sz w:val="20"/>
          <w:szCs w:val="20"/>
        </w:rPr>
        <w:t>FUNDAMENTO DE LA SOLICITUD</w:t>
      </w:r>
    </w:p>
    <w:p w14:paraId="60DD0831" w14:textId="77777777" w:rsidR="00683401" w:rsidRPr="00FC1BE4" w:rsidRDefault="00683401" w:rsidP="00683401">
      <w:pPr>
        <w:spacing w:after="0" w:line="240" w:lineRule="auto"/>
        <w:ind w:left="567" w:right="758"/>
        <w:jc w:val="both"/>
        <w:rPr>
          <w:rFonts w:ascii="Verdana" w:hAnsi="Verdana"/>
          <w:b/>
          <w:bCs/>
          <w:sz w:val="20"/>
          <w:szCs w:val="20"/>
        </w:rPr>
      </w:pPr>
    </w:p>
    <w:p w14:paraId="1A902358" w14:textId="77777777" w:rsidR="00683401" w:rsidRDefault="00683401" w:rsidP="00683401">
      <w:pPr>
        <w:spacing w:after="0" w:line="240" w:lineRule="auto"/>
        <w:ind w:left="567" w:right="758"/>
        <w:jc w:val="both"/>
        <w:rPr>
          <w:rFonts w:ascii="Verdana" w:hAnsi="Verdana"/>
          <w:sz w:val="20"/>
          <w:szCs w:val="20"/>
        </w:rPr>
      </w:pPr>
      <w:r w:rsidRPr="00FC1BE4">
        <w:rPr>
          <w:rFonts w:ascii="Verdana" w:hAnsi="Verdana"/>
          <w:sz w:val="20"/>
          <w:szCs w:val="20"/>
        </w:rPr>
        <w:t>Reconocemos que los </w:t>
      </w:r>
      <w:r w:rsidRPr="00FC1BE4">
        <w:rPr>
          <w:rFonts w:ascii="Verdana" w:hAnsi="Verdana"/>
          <w:b/>
          <w:bCs/>
          <w:sz w:val="20"/>
          <w:szCs w:val="20"/>
        </w:rPr>
        <w:t>conceptos y circulares</w:t>
      </w:r>
      <w:r w:rsidRPr="00FC1BE4">
        <w:rPr>
          <w:rFonts w:ascii="Verdana" w:hAnsi="Verdana"/>
          <w:sz w:val="20"/>
          <w:szCs w:val="20"/>
        </w:rPr>
        <w:t> emitidos por esa Agencia en 2025 (p. ej., </w:t>
      </w:r>
      <w:r w:rsidRPr="00FC1BE4">
        <w:rPr>
          <w:rFonts w:ascii="Verdana" w:hAnsi="Verdana"/>
          <w:b/>
          <w:bCs/>
          <w:sz w:val="20"/>
          <w:szCs w:val="20"/>
        </w:rPr>
        <w:t>C-1010/2025</w:t>
      </w:r>
      <w:r w:rsidRPr="00FC1BE4">
        <w:rPr>
          <w:rFonts w:ascii="Verdana" w:hAnsi="Verdana"/>
          <w:sz w:val="20"/>
          <w:szCs w:val="20"/>
        </w:rPr>
        <w:t>, </w:t>
      </w:r>
      <w:r w:rsidRPr="00FC1BE4">
        <w:rPr>
          <w:rFonts w:ascii="Verdana" w:hAnsi="Verdana"/>
          <w:b/>
          <w:bCs/>
          <w:sz w:val="20"/>
          <w:szCs w:val="20"/>
        </w:rPr>
        <w:t>C-317/2025</w:t>
      </w:r>
      <w:r w:rsidRPr="00FC1BE4">
        <w:rPr>
          <w:rFonts w:ascii="Verdana" w:hAnsi="Verdana"/>
          <w:sz w:val="20"/>
          <w:szCs w:val="20"/>
        </w:rPr>
        <w:t>, </w:t>
      </w:r>
      <w:r w:rsidRPr="00FC1BE4">
        <w:rPr>
          <w:rFonts w:ascii="Verdana" w:hAnsi="Verdana"/>
          <w:b/>
          <w:bCs/>
          <w:sz w:val="20"/>
          <w:szCs w:val="20"/>
        </w:rPr>
        <w:t>Circular Externa 006/2025</w:t>
      </w:r>
      <w:r w:rsidRPr="00FC1BE4">
        <w:rPr>
          <w:rFonts w:ascii="Verdana" w:hAnsi="Verdana"/>
          <w:sz w:val="20"/>
          <w:szCs w:val="20"/>
        </w:rPr>
        <w:t>) y la doctrina del </w:t>
      </w:r>
      <w:r w:rsidRPr="00FC1BE4">
        <w:rPr>
          <w:rFonts w:ascii="Verdana" w:hAnsi="Verdana"/>
          <w:b/>
          <w:bCs/>
          <w:sz w:val="20"/>
          <w:szCs w:val="20"/>
        </w:rPr>
        <w:t>Consejo de Estado</w:t>
      </w:r>
      <w:r w:rsidRPr="00FC1BE4">
        <w:rPr>
          <w:rFonts w:ascii="Verdana" w:hAnsi="Verdana"/>
          <w:sz w:val="20"/>
          <w:szCs w:val="20"/>
        </w:rPr>
        <w:t> (p. ej., </w:t>
      </w:r>
      <w:r w:rsidRPr="00FC1BE4">
        <w:rPr>
          <w:rFonts w:ascii="Verdana" w:hAnsi="Verdana"/>
          <w:b/>
          <w:bCs/>
          <w:sz w:val="20"/>
          <w:szCs w:val="20"/>
        </w:rPr>
        <w:t>Rad. 2382/2018</w:t>
      </w:r>
      <w:r w:rsidRPr="00FC1BE4">
        <w:rPr>
          <w:rFonts w:ascii="Verdana" w:hAnsi="Verdana"/>
          <w:sz w:val="20"/>
          <w:szCs w:val="20"/>
        </w:rPr>
        <w:t> sobre la definición de “contratación directa” para fines de la Ley de Garantías) aportan elementos valiosos. Sin embargo, </w:t>
      </w:r>
      <w:r w:rsidRPr="00FC1BE4">
        <w:rPr>
          <w:rFonts w:ascii="Verdana" w:hAnsi="Verdana"/>
          <w:b/>
          <w:bCs/>
          <w:sz w:val="20"/>
          <w:szCs w:val="20"/>
        </w:rPr>
        <w:t>no se identifica un desarrollo textual y expresó</w:t>
      </w:r>
      <w:r w:rsidRPr="00FC1BE4">
        <w:rPr>
          <w:rFonts w:ascii="Verdana" w:hAnsi="Verdana"/>
          <w:sz w:val="20"/>
          <w:szCs w:val="20"/>
        </w:rPr>
        <w:t> que brinde </w:t>
      </w:r>
      <w:r w:rsidRPr="00FC1BE4">
        <w:rPr>
          <w:rFonts w:ascii="Verdana" w:hAnsi="Verdana"/>
          <w:b/>
          <w:bCs/>
          <w:sz w:val="20"/>
          <w:szCs w:val="20"/>
        </w:rPr>
        <w:t>claridad específica</w:t>
      </w:r>
      <w:r w:rsidRPr="00FC1BE4">
        <w:rPr>
          <w:rFonts w:ascii="Verdana" w:hAnsi="Verdana"/>
          <w:sz w:val="20"/>
          <w:szCs w:val="20"/>
        </w:rPr>
        <w:t> respecto de </w:t>
      </w:r>
      <w:r w:rsidRPr="00FC1BE4">
        <w:rPr>
          <w:rFonts w:ascii="Verdana" w:hAnsi="Verdana"/>
          <w:b/>
          <w:bCs/>
          <w:sz w:val="20"/>
          <w:szCs w:val="20"/>
        </w:rPr>
        <w:t>cómo tramitar</w:t>
      </w:r>
      <w:r w:rsidRPr="00FC1BE4">
        <w:rPr>
          <w:rFonts w:ascii="Verdana" w:hAnsi="Verdana"/>
          <w:sz w:val="20"/>
          <w:szCs w:val="20"/>
        </w:rPr>
        <w:t> en </w:t>
      </w:r>
      <w:r w:rsidRPr="00FC1BE4">
        <w:rPr>
          <w:rFonts w:ascii="Verdana" w:hAnsi="Verdana"/>
          <w:b/>
          <w:bCs/>
          <w:sz w:val="20"/>
          <w:szCs w:val="20"/>
        </w:rPr>
        <w:t>periodo de Ley de Garantías</w:t>
      </w:r>
      <w:r w:rsidRPr="00FC1BE4">
        <w:rPr>
          <w:rFonts w:ascii="Verdana" w:hAnsi="Verdana"/>
          <w:sz w:val="20"/>
          <w:szCs w:val="20"/>
        </w:rPr>
        <w:t> los </w:t>
      </w:r>
      <w:r w:rsidRPr="00FC1BE4">
        <w:rPr>
          <w:rFonts w:ascii="Verdana" w:hAnsi="Verdana"/>
          <w:b/>
          <w:bCs/>
          <w:sz w:val="20"/>
          <w:szCs w:val="20"/>
        </w:rPr>
        <w:t>procesos de contratación directa</w:t>
      </w:r>
      <w:r w:rsidRPr="00FC1BE4">
        <w:rPr>
          <w:rFonts w:ascii="Verdana" w:hAnsi="Verdana"/>
          <w:sz w:val="20"/>
          <w:szCs w:val="20"/>
        </w:rPr>
        <w:t> cuya </w:t>
      </w:r>
      <w:r w:rsidRPr="00FC1BE4">
        <w:rPr>
          <w:rFonts w:ascii="Verdana" w:hAnsi="Verdana"/>
          <w:b/>
          <w:bCs/>
          <w:sz w:val="20"/>
          <w:szCs w:val="20"/>
        </w:rPr>
        <w:t>causal ordinaria</w:t>
      </w:r>
      <w:r w:rsidRPr="00FC1BE4">
        <w:rPr>
          <w:rFonts w:ascii="Verdana" w:hAnsi="Verdana"/>
          <w:sz w:val="20"/>
          <w:szCs w:val="20"/>
        </w:rPr>
        <w:t> sea la </w:t>
      </w:r>
      <w:r w:rsidRPr="00FC1BE4">
        <w:rPr>
          <w:rFonts w:ascii="Verdana" w:hAnsi="Verdana"/>
          <w:b/>
          <w:bCs/>
          <w:sz w:val="20"/>
          <w:szCs w:val="20"/>
        </w:rPr>
        <w:t>no pluralidad de oferentes por exclusividad</w:t>
      </w:r>
      <w:r w:rsidRPr="00FC1BE4">
        <w:rPr>
          <w:rFonts w:ascii="Verdana" w:hAnsi="Verdana"/>
          <w:sz w:val="20"/>
          <w:szCs w:val="20"/>
        </w:rPr>
        <w:t> en </w:t>
      </w:r>
      <w:r w:rsidRPr="00FC1BE4">
        <w:rPr>
          <w:rFonts w:ascii="Verdana" w:hAnsi="Verdana"/>
          <w:b/>
          <w:bCs/>
          <w:sz w:val="20"/>
          <w:szCs w:val="20"/>
        </w:rPr>
        <w:t>software/licencias</w:t>
      </w:r>
      <w:r w:rsidRPr="00FC1BE4">
        <w:rPr>
          <w:rFonts w:ascii="Verdana" w:hAnsi="Verdana"/>
          <w:sz w:val="20"/>
          <w:szCs w:val="20"/>
        </w:rPr>
        <w:t> (titularidad de derechos de autor o proveedor exclusivo).</w:t>
      </w:r>
    </w:p>
    <w:p w14:paraId="26A8B98B" w14:textId="77777777" w:rsidR="00683401" w:rsidRPr="00FC1BE4" w:rsidRDefault="00683401" w:rsidP="00683401">
      <w:pPr>
        <w:spacing w:after="0" w:line="240" w:lineRule="auto"/>
        <w:ind w:left="567" w:right="758"/>
        <w:jc w:val="both"/>
        <w:rPr>
          <w:rFonts w:ascii="Verdana" w:hAnsi="Verdana"/>
          <w:sz w:val="20"/>
          <w:szCs w:val="20"/>
        </w:rPr>
      </w:pPr>
    </w:p>
    <w:p w14:paraId="636FA301" w14:textId="2DE9C1F2" w:rsidR="00683401" w:rsidRPr="00FC1BE4" w:rsidRDefault="00683401" w:rsidP="00084AD0">
      <w:pPr>
        <w:spacing w:after="0" w:line="240" w:lineRule="auto"/>
        <w:ind w:left="567" w:right="758"/>
        <w:jc w:val="both"/>
        <w:rPr>
          <w:rFonts w:ascii="Verdana" w:hAnsi="Verdana"/>
          <w:b/>
          <w:bCs/>
          <w:sz w:val="20"/>
          <w:szCs w:val="20"/>
        </w:rPr>
      </w:pPr>
      <w:r w:rsidRPr="00FC1BE4">
        <w:rPr>
          <w:rFonts w:ascii="Verdana" w:hAnsi="Verdana"/>
          <w:b/>
          <w:bCs/>
          <w:sz w:val="20"/>
          <w:szCs w:val="20"/>
        </w:rPr>
        <w:lastRenderedPageBreak/>
        <w:t>PROBLEMA JURÍDICO (FORMULACIÓN GENERAL)</w:t>
      </w:r>
    </w:p>
    <w:p w14:paraId="4CCD53F9" w14:textId="77777777" w:rsidR="00683401" w:rsidRDefault="00683401" w:rsidP="00683401">
      <w:pPr>
        <w:spacing w:after="0" w:line="240" w:lineRule="auto"/>
        <w:ind w:left="567" w:right="758"/>
        <w:jc w:val="both"/>
        <w:rPr>
          <w:rFonts w:ascii="Verdana" w:hAnsi="Verdana"/>
          <w:sz w:val="20"/>
          <w:szCs w:val="20"/>
        </w:rPr>
      </w:pPr>
      <w:r w:rsidRPr="00FC1BE4">
        <w:rPr>
          <w:rFonts w:ascii="Verdana" w:hAnsi="Verdana"/>
          <w:sz w:val="20"/>
          <w:szCs w:val="20"/>
        </w:rPr>
        <w:t>¿Cómo se </w:t>
      </w:r>
      <w:r w:rsidRPr="00FC1BE4">
        <w:rPr>
          <w:rFonts w:ascii="Verdana" w:hAnsi="Verdana"/>
          <w:b/>
          <w:bCs/>
          <w:sz w:val="20"/>
          <w:szCs w:val="20"/>
        </w:rPr>
        <w:t>debe tramitar</w:t>
      </w:r>
      <w:r w:rsidRPr="00FC1BE4">
        <w:rPr>
          <w:rFonts w:ascii="Verdana" w:hAnsi="Verdana"/>
          <w:sz w:val="20"/>
          <w:szCs w:val="20"/>
        </w:rPr>
        <w:t> y </w:t>
      </w:r>
      <w:r w:rsidRPr="00FC1BE4">
        <w:rPr>
          <w:rFonts w:ascii="Verdana" w:hAnsi="Verdana"/>
          <w:b/>
          <w:bCs/>
          <w:sz w:val="20"/>
          <w:szCs w:val="20"/>
        </w:rPr>
        <w:t>justificar</w:t>
      </w:r>
      <w:r w:rsidRPr="00FC1BE4">
        <w:rPr>
          <w:rFonts w:ascii="Verdana" w:hAnsi="Verdana"/>
          <w:sz w:val="20"/>
          <w:szCs w:val="20"/>
        </w:rPr>
        <w:t> en </w:t>
      </w:r>
      <w:r w:rsidRPr="00FC1BE4">
        <w:rPr>
          <w:rFonts w:ascii="Verdana" w:hAnsi="Verdana"/>
          <w:b/>
          <w:bCs/>
          <w:sz w:val="20"/>
          <w:szCs w:val="20"/>
        </w:rPr>
        <w:t>periodo de Ley de Garantías</w:t>
      </w:r>
      <w:r w:rsidRPr="00FC1BE4">
        <w:rPr>
          <w:rFonts w:ascii="Verdana" w:hAnsi="Verdana"/>
          <w:sz w:val="20"/>
          <w:szCs w:val="20"/>
        </w:rPr>
        <w:t> (arts. 33 y 38 de la Ley 996 de 2005) la </w:t>
      </w:r>
      <w:r w:rsidRPr="00FC1BE4">
        <w:rPr>
          <w:rFonts w:ascii="Verdana" w:hAnsi="Verdana"/>
          <w:b/>
          <w:bCs/>
          <w:sz w:val="20"/>
          <w:szCs w:val="20"/>
        </w:rPr>
        <w:t>adquisición de software/licencias específicas</w:t>
      </w:r>
      <w:r w:rsidRPr="00FC1BE4">
        <w:rPr>
          <w:rFonts w:ascii="Verdana" w:hAnsi="Verdana"/>
          <w:sz w:val="20"/>
          <w:szCs w:val="20"/>
        </w:rPr>
        <w:t> que, </w:t>
      </w:r>
      <w:r w:rsidRPr="00FC1BE4">
        <w:rPr>
          <w:rFonts w:ascii="Verdana" w:hAnsi="Verdana"/>
          <w:b/>
          <w:bCs/>
          <w:sz w:val="20"/>
          <w:szCs w:val="20"/>
        </w:rPr>
        <w:t>fuera del periodo</w:t>
      </w:r>
      <w:r w:rsidRPr="00FC1BE4">
        <w:rPr>
          <w:rFonts w:ascii="Verdana" w:hAnsi="Verdana"/>
          <w:sz w:val="20"/>
          <w:szCs w:val="20"/>
        </w:rPr>
        <w:t>, proceden por </w:t>
      </w:r>
      <w:r w:rsidRPr="00FC1BE4">
        <w:rPr>
          <w:rFonts w:ascii="Verdana" w:hAnsi="Verdana"/>
          <w:b/>
          <w:bCs/>
          <w:sz w:val="20"/>
          <w:szCs w:val="20"/>
        </w:rPr>
        <w:t>contratación directa</w:t>
      </w:r>
      <w:r w:rsidRPr="00FC1BE4">
        <w:rPr>
          <w:rFonts w:ascii="Verdana" w:hAnsi="Verdana"/>
          <w:sz w:val="20"/>
          <w:szCs w:val="20"/>
        </w:rPr>
        <w:t> por </w:t>
      </w:r>
      <w:r w:rsidRPr="00FC1BE4">
        <w:rPr>
          <w:rFonts w:ascii="Verdana" w:hAnsi="Verdana"/>
          <w:b/>
          <w:bCs/>
          <w:sz w:val="20"/>
          <w:szCs w:val="20"/>
        </w:rPr>
        <w:t>no pluralidad de oferentes</w:t>
      </w:r>
      <w:r w:rsidRPr="00FC1BE4">
        <w:rPr>
          <w:rFonts w:ascii="Verdana" w:hAnsi="Verdana"/>
          <w:sz w:val="20"/>
          <w:szCs w:val="20"/>
        </w:rPr>
        <w:t> (exclusividad por derechos de autor/proveedor exclusivo), atendiendo la prohibición temporal de la contratación directa y las </w:t>
      </w:r>
      <w:r w:rsidRPr="00FC1BE4">
        <w:rPr>
          <w:rFonts w:ascii="Verdana" w:hAnsi="Verdana"/>
          <w:b/>
          <w:bCs/>
          <w:sz w:val="20"/>
          <w:szCs w:val="20"/>
        </w:rPr>
        <w:t>excepciones taxativas</w:t>
      </w:r>
      <w:r w:rsidRPr="00FC1BE4">
        <w:rPr>
          <w:rFonts w:ascii="Verdana" w:hAnsi="Verdana"/>
          <w:sz w:val="20"/>
          <w:szCs w:val="20"/>
        </w:rPr>
        <w:t> del artículo 33?</w:t>
      </w:r>
    </w:p>
    <w:p w14:paraId="7C1B65E6" w14:textId="77777777" w:rsidR="00683401" w:rsidRPr="00FC1BE4" w:rsidRDefault="00683401" w:rsidP="00683401">
      <w:pPr>
        <w:spacing w:after="0" w:line="240" w:lineRule="auto"/>
        <w:ind w:left="567" w:right="758"/>
        <w:jc w:val="both"/>
        <w:rPr>
          <w:rFonts w:ascii="Verdana" w:hAnsi="Verdana"/>
          <w:sz w:val="20"/>
          <w:szCs w:val="20"/>
        </w:rPr>
      </w:pPr>
    </w:p>
    <w:p w14:paraId="42211EB8" w14:textId="77777777" w:rsidR="00683401" w:rsidRDefault="00683401" w:rsidP="00683401">
      <w:pPr>
        <w:spacing w:after="0" w:line="240" w:lineRule="auto"/>
        <w:ind w:left="567" w:right="758"/>
        <w:jc w:val="both"/>
        <w:rPr>
          <w:rFonts w:ascii="Verdana" w:hAnsi="Verdana"/>
          <w:b/>
          <w:bCs/>
          <w:sz w:val="20"/>
          <w:szCs w:val="20"/>
        </w:rPr>
      </w:pPr>
      <w:r w:rsidRPr="00FC1BE4">
        <w:rPr>
          <w:rFonts w:ascii="Verdana" w:hAnsi="Verdana"/>
          <w:b/>
          <w:bCs/>
          <w:sz w:val="20"/>
          <w:szCs w:val="20"/>
        </w:rPr>
        <w:t>PREGUNTAS CONCRETAS</w:t>
      </w:r>
    </w:p>
    <w:p w14:paraId="0BA43D8E" w14:textId="77777777" w:rsidR="00683401" w:rsidRPr="00FC1BE4" w:rsidRDefault="00683401" w:rsidP="00683401">
      <w:pPr>
        <w:spacing w:after="0" w:line="240" w:lineRule="auto"/>
        <w:ind w:left="567" w:right="758"/>
        <w:jc w:val="both"/>
        <w:rPr>
          <w:rFonts w:ascii="Verdana" w:hAnsi="Verdana"/>
          <w:b/>
          <w:bCs/>
          <w:sz w:val="20"/>
          <w:szCs w:val="20"/>
        </w:rPr>
      </w:pPr>
    </w:p>
    <w:p w14:paraId="36DA39B8" w14:textId="77777777" w:rsidR="00683401" w:rsidRPr="005E1734" w:rsidRDefault="00683401" w:rsidP="00683401">
      <w:pPr>
        <w:pStyle w:val="Prrafodelista"/>
        <w:numPr>
          <w:ilvl w:val="0"/>
          <w:numId w:val="17"/>
        </w:numPr>
        <w:spacing w:after="0" w:line="240" w:lineRule="auto"/>
        <w:ind w:right="758"/>
        <w:jc w:val="both"/>
        <w:rPr>
          <w:rFonts w:ascii="Verdana" w:hAnsi="Verdana"/>
          <w:sz w:val="20"/>
          <w:szCs w:val="20"/>
        </w:rPr>
      </w:pPr>
      <w:r w:rsidRPr="005E1734">
        <w:rPr>
          <w:rFonts w:ascii="Verdana" w:hAnsi="Verdana"/>
          <w:b/>
          <w:bCs/>
          <w:sz w:val="20"/>
          <w:szCs w:val="20"/>
        </w:rPr>
        <w:t xml:space="preserve">Viabilidad en Ley de Garantías. </w:t>
      </w:r>
    </w:p>
    <w:p w14:paraId="6CE5061B" w14:textId="77777777" w:rsidR="00683401" w:rsidRDefault="00683401" w:rsidP="00683401">
      <w:pPr>
        <w:spacing w:after="0" w:line="240" w:lineRule="auto"/>
        <w:ind w:left="851" w:right="760"/>
        <w:jc w:val="both"/>
        <w:rPr>
          <w:rFonts w:ascii="Verdana" w:hAnsi="Verdana"/>
          <w:sz w:val="20"/>
          <w:szCs w:val="20"/>
        </w:rPr>
      </w:pPr>
    </w:p>
    <w:p w14:paraId="292837D7" w14:textId="77777777" w:rsidR="00683401" w:rsidRDefault="00683401" w:rsidP="00683401">
      <w:pPr>
        <w:spacing w:after="0" w:line="240" w:lineRule="auto"/>
        <w:ind w:left="851" w:right="758"/>
        <w:jc w:val="both"/>
        <w:rPr>
          <w:rFonts w:ascii="Verdana" w:hAnsi="Verdana"/>
          <w:sz w:val="20"/>
          <w:szCs w:val="20"/>
        </w:rPr>
      </w:pPr>
      <w:r w:rsidRPr="005E1734">
        <w:rPr>
          <w:rFonts w:ascii="Verdana" w:hAnsi="Verdana"/>
          <w:sz w:val="20"/>
          <w:szCs w:val="20"/>
        </w:rPr>
        <w:t>¿Es </w:t>
      </w:r>
      <w:r w:rsidRPr="005E1734">
        <w:rPr>
          <w:rFonts w:ascii="Verdana" w:hAnsi="Verdana"/>
          <w:b/>
          <w:bCs/>
          <w:sz w:val="20"/>
          <w:szCs w:val="20"/>
        </w:rPr>
        <w:t>jurídicamente</w:t>
      </w:r>
      <w:r>
        <w:rPr>
          <w:rFonts w:ascii="Verdana" w:hAnsi="Verdana"/>
          <w:b/>
          <w:bCs/>
          <w:sz w:val="20"/>
          <w:szCs w:val="20"/>
        </w:rPr>
        <w:t xml:space="preserve"> </w:t>
      </w:r>
      <w:r w:rsidRPr="005E1734">
        <w:rPr>
          <w:rFonts w:ascii="Verdana" w:hAnsi="Verdana"/>
          <w:b/>
          <w:bCs/>
          <w:sz w:val="20"/>
          <w:szCs w:val="20"/>
        </w:rPr>
        <w:t>viable</w:t>
      </w:r>
      <w:r w:rsidRPr="005E1734">
        <w:rPr>
          <w:rFonts w:ascii="Verdana" w:hAnsi="Verdana"/>
          <w:sz w:val="20"/>
          <w:szCs w:val="20"/>
        </w:rPr>
        <w:t> contratar </w:t>
      </w:r>
      <w:r w:rsidRPr="005E1734">
        <w:rPr>
          <w:rFonts w:ascii="Verdana" w:hAnsi="Verdana"/>
          <w:b/>
          <w:bCs/>
          <w:sz w:val="20"/>
          <w:szCs w:val="20"/>
        </w:rPr>
        <w:t>directamente</w:t>
      </w:r>
      <w:r w:rsidRPr="005E1734">
        <w:rPr>
          <w:rFonts w:ascii="Verdana" w:hAnsi="Verdana"/>
          <w:sz w:val="20"/>
          <w:szCs w:val="20"/>
        </w:rPr>
        <w:t> software/licencias</w:t>
      </w:r>
      <w:r>
        <w:rPr>
          <w:rFonts w:ascii="Verdana" w:hAnsi="Verdana"/>
          <w:sz w:val="20"/>
          <w:szCs w:val="20"/>
        </w:rPr>
        <w:t xml:space="preserve"> </w:t>
      </w:r>
      <w:r w:rsidRPr="005E1734">
        <w:rPr>
          <w:rFonts w:ascii="Verdana" w:hAnsi="Verdana"/>
          <w:b/>
          <w:bCs/>
          <w:sz w:val="20"/>
          <w:szCs w:val="20"/>
        </w:rPr>
        <w:t>en exclusividad</w:t>
      </w:r>
      <w:r w:rsidRPr="005E1734">
        <w:rPr>
          <w:rFonts w:ascii="Verdana" w:hAnsi="Verdana"/>
          <w:sz w:val="20"/>
          <w:szCs w:val="20"/>
        </w:rPr>
        <w:t> (no pluralidad de oferentes por derechos de autor o proveedor exclusivo) </w:t>
      </w:r>
      <w:r w:rsidRPr="005E1734">
        <w:rPr>
          <w:rFonts w:ascii="Verdana" w:hAnsi="Verdana"/>
          <w:b/>
          <w:bCs/>
          <w:sz w:val="20"/>
          <w:szCs w:val="20"/>
        </w:rPr>
        <w:t>durante la vigencia de la Ley de Garantías</w:t>
      </w:r>
      <w:r w:rsidRPr="005E1734">
        <w:rPr>
          <w:rFonts w:ascii="Verdana" w:hAnsi="Verdana"/>
          <w:sz w:val="20"/>
          <w:szCs w:val="20"/>
        </w:rPr>
        <w:t>, y </w:t>
      </w:r>
      <w:r w:rsidRPr="005E1734">
        <w:rPr>
          <w:rFonts w:ascii="Verdana" w:hAnsi="Verdana"/>
          <w:b/>
          <w:bCs/>
          <w:sz w:val="20"/>
          <w:szCs w:val="20"/>
        </w:rPr>
        <w:t>bajo qué causal</w:t>
      </w:r>
      <w:r w:rsidRPr="005E1734">
        <w:rPr>
          <w:rFonts w:ascii="Verdana" w:hAnsi="Verdana"/>
          <w:sz w:val="20"/>
          <w:szCs w:val="20"/>
        </w:rPr>
        <w:t> expresa del </w:t>
      </w:r>
      <w:r w:rsidRPr="005E1734">
        <w:rPr>
          <w:rFonts w:ascii="Verdana" w:hAnsi="Verdana"/>
          <w:b/>
          <w:bCs/>
          <w:sz w:val="20"/>
          <w:szCs w:val="20"/>
        </w:rPr>
        <w:t>artículo 33</w:t>
      </w:r>
      <w:r w:rsidRPr="005E1734">
        <w:rPr>
          <w:rFonts w:ascii="Verdana" w:hAnsi="Verdana"/>
          <w:sz w:val="20"/>
          <w:szCs w:val="20"/>
        </w:rPr>
        <w:t> (si aplica) debe </w:t>
      </w:r>
      <w:r w:rsidRPr="005E1734">
        <w:rPr>
          <w:rFonts w:ascii="Verdana" w:hAnsi="Verdana"/>
          <w:b/>
          <w:bCs/>
          <w:sz w:val="20"/>
          <w:szCs w:val="20"/>
        </w:rPr>
        <w:t>fundamentarse</w:t>
      </w:r>
    </w:p>
    <w:p w14:paraId="06F2FAAA" w14:textId="77777777" w:rsidR="00683401" w:rsidRDefault="00683401" w:rsidP="00683401">
      <w:pPr>
        <w:pStyle w:val="Prrafodelista"/>
        <w:numPr>
          <w:ilvl w:val="0"/>
          <w:numId w:val="19"/>
        </w:numPr>
        <w:spacing w:after="0" w:line="240" w:lineRule="auto"/>
        <w:ind w:right="758"/>
        <w:jc w:val="both"/>
        <w:rPr>
          <w:rFonts w:ascii="Verdana" w:hAnsi="Verdana"/>
          <w:sz w:val="20"/>
          <w:szCs w:val="20"/>
        </w:rPr>
      </w:pPr>
      <w:r w:rsidRPr="005E1734">
        <w:rPr>
          <w:rFonts w:ascii="Verdana" w:hAnsi="Verdana"/>
          <w:sz w:val="20"/>
          <w:szCs w:val="20"/>
        </w:rPr>
        <w:t>En caso afirmativo, </w:t>
      </w:r>
      <w:r w:rsidRPr="005E1734">
        <w:rPr>
          <w:rFonts w:ascii="Verdana" w:hAnsi="Verdana"/>
          <w:b/>
          <w:bCs/>
          <w:sz w:val="20"/>
          <w:szCs w:val="20"/>
        </w:rPr>
        <w:t>¿qué elementos mínimos</w:t>
      </w:r>
      <w:r w:rsidRPr="005E1734">
        <w:rPr>
          <w:rFonts w:ascii="Verdana" w:hAnsi="Verdana"/>
          <w:sz w:val="20"/>
          <w:szCs w:val="20"/>
        </w:rPr>
        <w:t> debe contener el </w:t>
      </w:r>
      <w:r w:rsidRPr="005E1734">
        <w:rPr>
          <w:rFonts w:ascii="Verdana" w:hAnsi="Verdana"/>
          <w:b/>
          <w:bCs/>
          <w:sz w:val="20"/>
          <w:szCs w:val="20"/>
        </w:rPr>
        <w:t>acto administrativo motivado</w:t>
      </w:r>
      <w:r w:rsidRPr="005E1734">
        <w:rPr>
          <w:rFonts w:ascii="Verdana" w:hAnsi="Verdana"/>
          <w:sz w:val="20"/>
          <w:szCs w:val="20"/>
        </w:rPr>
        <w:t> y los </w:t>
      </w:r>
      <w:r w:rsidRPr="005E1734">
        <w:rPr>
          <w:rFonts w:ascii="Verdana" w:hAnsi="Verdana"/>
          <w:b/>
          <w:bCs/>
          <w:sz w:val="20"/>
          <w:szCs w:val="20"/>
        </w:rPr>
        <w:t>estudios previos</w:t>
      </w:r>
      <w:r w:rsidRPr="005E1734">
        <w:rPr>
          <w:rFonts w:ascii="Verdana" w:hAnsi="Verdana"/>
          <w:sz w:val="20"/>
          <w:szCs w:val="20"/>
        </w:rPr>
        <w:t> (p. ej., acreditación de titularidad de derechos, certificación de exclusividad, riesgo para continuidad del servicio, trazabilidad presupuestal y de planeación)?</w:t>
      </w:r>
    </w:p>
    <w:p w14:paraId="32871124" w14:textId="77777777" w:rsidR="00683401" w:rsidRDefault="00683401" w:rsidP="00683401">
      <w:pPr>
        <w:pStyle w:val="Prrafodelista"/>
        <w:spacing w:after="0" w:line="240" w:lineRule="auto"/>
        <w:ind w:left="1571" w:right="758"/>
        <w:jc w:val="both"/>
        <w:rPr>
          <w:rFonts w:ascii="Verdana" w:hAnsi="Verdana"/>
          <w:sz w:val="20"/>
          <w:szCs w:val="20"/>
        </w:rPr>
      </w:pPr>
    </w:p>
    <w:p w14:paraId="02A97390" w14:textId="77777777" w:rsidR="00683401" w:rsidRPr="005E1734" w:rsidRDefault="00683401" w:rsidP="00683401">
      <w:pPr>
        <w:pStyle w:val="Prrafodelista"/>
        <w:numPr>
          <w:ilvl w:val="0"/>
          <w:numId w:val="17"/>
        </w:numPr>
        <w:spacing w:after="0" w:line="240" w:lineRule="auto"/>
        <w:ind w:right="758"/>
        <w:jc w:val="both"/>
        <w:rPr>
          <w:rFonts w:ascii="Verdana" w:hAnsi="Verdana"/>
          <w:sz w:val="20"/>
          <w:szCs w:val="20"/>
        </w:rPr>
      </w:pPr>
      <w:r w:rsidRPr="005E1734">
        <w:rPr>
          <w:rFonts w:ascii="Verdana" w:hAnsi="Verdana"/>
          <w:b/>
          <w:bCs/>
          <w:sz w:val="20"/>
          <w:szCs w:val="20"/>
        </w:rPr>
        <w:t>Alternativas de selección objetiva.</w:t>
      </w:r>
    </w:p>
    <w:p w14:paraId="39C31ADA" w14:textId="77777777" w:rsidR="00683401" w:rsidRDefault="00683401" w:rsidP="00683401">
      <w:pPr>
        <w:pStyle w:val="Prrafodelista"/>
        <w:spacing w:after="0" w:line="240" w:lineRule="auto"/>
        <w:ind w:left="1211" w:right="758"/>
        <w:jc w:val="both"/>
        <w:rPr>
          <w:rFonts w:ascii="Verdana" w:hAnsi="Verdana"/>
          <w:sz w:val="20"/>
          <w:szCs w:val="20"/>
        </w:rPr>
      </w:pPr>
      <w:r w:rsidRPr="005E1734">
        <w:rPr>
          <w:rFonts w:ascii="Verdana" w:hAnsi="Verdana"/>
          <w:sz w:val="20"/>
          <w:szCs w:val="20"/>
        </w:rPr>
        <w:t>Si </w:t>
      </w:r>
      <w:r w:rsidRPr="005E1734">
        <w:rPr>
          <w:rFonts w:ascii="Verdana" w:hAnsi="Verdana"/>
          <w:b/>
          <w:bCs/>
          <w:sz w:val="20"/>
          <w:szCs w:val="20"/>
        </w:rPr>
        <w:t>no</w:t>
      </w:r>
      <w:r w:rsidRPr="005E1734">
        <w:rPr>
          <w:rFonts w:ascii="Verdana" w:hAnsi="Verdana"/>
          <w:sz w:val="20"/>
          <w:szCs w:val="20"/>
        </w:rPr>
        <w:t> es viable la contratación directa por exclusividad en periodo de Ley de Garantías, </w:t>
      </w:r>
      <w:r w:rsidRPr="005E1734">
        <w:rPr>
          <w:rFonts w:ascii="Verdana" w:hAnsi="Verdana"/>
          <w:b/>
          <w:bCs/>
          <w:sz w:val="20"/>
          <w:szCs w:val="20"/>
        </w:rPr>
        <w:t>¿qué modalidad(es) de selección objetiva</w:t>
      </w:r>
      <w:r w:rsidRPr="005E1734">
        <w:rPr>
          <w:rFonts w:ascii="Verdana" w:hAnsi="Verdana"/>
          <w:sz w:val="20"/>
          <w:szCs w:val="20"/>
        </w:rPr>
        <w:t> recomienda esa Agencia para </w:t>
      </w:r>
      <w:r w:rsidRPr="005E1734">
        <w:rPr>
          <w:rFonts w:ascii="Verdana" w:hAnsi="Verdana"/>
          <w:b/>
          <w:bCs/>
          <w:sz w:val="20"/>
          <w:szCs w:val="20"/>
        </w:rPr>
        <w:t>adquisiciones inaplazables</w:t>
      </w:r>
      <w:r w:rsidRPr="005E1734">
        <w:rPr>
          <w:rFonts w:ascii="Verdana" w:hAnsi="Verdana"/>
          <w:sz w:val="20"/>
          <w:szCs w:val="20"/>
        </w:rPr>
        <w:t> de software/licencias (p. ej., licitación pública, mínima cuantía, concurso de méritos, selección abreviada por bienes de características técnicas uniformes), y </w:t>
      </w:r>
      <w:r w:rsidRPr="005E1734">
        <w:rPr>
          <w:rFonts w:ascii="Verdana" w:hAnsi="Verdana"/>
          <w:b/>
          <w:bCs/>
          <w:sz w:val="20"/>
          <w:szCs w:val="20"/>
        </w:rPr>
        <w:t>qué requisitos</w:t>
      </w:r>
      <w:r w:rsidRPr="005E1734">
        <w:rPr>
          <w:rFonts w:ascii="Verdana" w:hAnsi="Verdana"/>
          <w:sz w:val="20"/>
          <w:szCs w:val="20"/>
        </w:rPr>
        <w:t> documentales garantizarían la </w:t>
      </w:r>
      <w:r w:rsidRPr="005E1734">
        <w:rPr>
          <w:rFonts w:ascii="Verdana" w:hAnsi="Verdana"/>
          <w:b/>
          <w:bCs/>
          <w:sz w:val="20"/>
          <w:szCs w:val="20"/>
        </w:rPr>
        <w:t>pluralidad de oferentes</w:t>
      </w:r>
      <w:r w:rsidRPr="005E1734">
        <w:rPr>
          <w:rFonts w:ascii="Verdana" w:hAnsi="Verdana"/>
          <w:sz w:val="20"/>
          <w:szCs w:val="20"/>
        </w:rPr>
        <w:t> en mercados con restricciones de derechos?</w:t>
      </w:r>
    </w:p>
    <w:p w14:paraId="0CE9F83D" w14:textId="77777777" w:rsidR="00683401" w:rsidRPr="005E1734" w:rsidRDefault="00683401" w:rsidP="00683401">
      <w:pPr>
        <w:pStyle w:val="Prrafodelista"/>
        <w:spacing w:after="0" w:line="240" w:lineRule="auto"/>
        <w:ind w:left="1213" w:right="760"/>
        <w:jc w:val="both"/>
        <w:rPr>
          <w:rFonts w:ascii="Verdana" w:hAnsi="Verdana"/>
          <w:sz w:val="20"/>
          <w:szCs w:val="20"/>
        </w:rPr>
      </w:pPr>
    </w:p>
    <w:p w14:paraId="06E4FAE1" w14:textId="77777777" w:rsidR="00683401" w:rsidRDefault="00683401" w:rsidP="00683401">
      <w:pPr>
        <w:pStyle w:val="Prrafodelista"/>
        <w:numPr>
          <w:ilvl w:val="0"/>
          <w:numId w:val="17"/>
        </w:numPr>
        <w:spacing w:after="0" w:line="240" w:lineRule="auto"/>
        <w:ind w:right="758"/>
        <w:jc w:val="both"/>
        <w:rPr>
          <w:rFonts w:ascii="Verdana" w:hAnsi="Verdana"/>
          <w:b/>
          <w:bCs/>
          <w:sz w:val="20"/>
          <w:szCs w:val="20"/>
        </w:rPr>
      </w:pPr>
      <w:r w:rsidRPr="005E1734">
        <w:rPr>
          <w:rFonts w:ascii="Verdana" w:hAnsi="Verdana"/>
          <w:b/>
          <w:bCs/>
          <w:sz w:val="20"/>
          <w:szCs w:val="20"/>
        </w:rPr>
        <w:t xml:space="preserve">Renovaciones, prórrogas, soporte y actualizaciones. </w:t>
      </w:r>
    </w:p>
    <w:p w14:paraId="19793E7E" w14:textId="77777777" w:rsidR="00683401" w:rsidRDefault="00683401" w:rsidP="00683401">
      <w:pPr>
        <w:pStyle w:val="Prrafodelista"/>
        <w:spacing w:after="0" w:line="240" w:lineRule="auto"/>
        <w:ind w:left="1213" w:right="760"/>
        <w:jc w:val="both"/>
        <w:rPr>
          <w:rFonts w:ascii="Verdana" w:hAnsi="Verdana"/>
          <w:b/>
          <w:bCs/>
          <w:sz w:val="20"/>
          <w:szCs w:val="20"/>
        </w:rPr>
      </w:pPr>
    </w:p>
    <w:p w14:paraId="5B5F1674" w14:textId="77777777" w:rsidR="00683401" w:rsidRDefault="00683401" w:rsidP="00683401">
      <w:pPr>
        <w:pStyle w:val="Prrafodelista"/>
        <w:spacing w:after="0" w:line="240" w:lineRule="auto"/>
        <w:ind w:left="1211" w:right="758"/>
        <w:jc w:val="both"/>
        <w:rPr>
          <w:rFonts w:ascii="Verdana" w:hAnsi="Verdana"/>
          <w:sz w:val="20"/>
          <w:szCs w:val="20"/>
        </w:rPr>
      </w:pPr>
      <w:r w:rsidRPr="005E1734">
        <w:rPr>
          <w:rFonts w:ascii="Verdana" w:hAnsi="Verdana"/>
          <w:sz w:val="20"/>
          <w:szCs w:val="20"/>
        </w:rPr>
        <w:t>¿Las </w:t>
      </w:r>
      <w:r w:rsidRPr="005E1734">
        <w:rPr>
          <w:rFonts w:ascii="Verdana" w:hAnsi="Verdana"/>
          <w:b/>
          <w:bCs/>
          <w:sz w:val="20"/>
          <w:szCs w:val="20"/>
        </w:rPr>
        <w:t>renovaciones</w:t>
      </w:r>
      <w:r w:rsidRPr="005E1734">
        <w:rPr>
          <w:rFonts w:ascii="Verdana" w:hAnsi="Verdana"/>
          <w:sz w:val="20"/>
          <w:szCs w:val="20"/>
        </w:rPr>
        <w:t> o </w:t>
      </w:r>
      <w:r w:rsidRPr="005E1734">
        <w:rPr>
          <w:rFonts w:ascii="Verdana" w:hAnsi="Verdana"/>
          <w:b/>
          <w:bCs/>
          <w:sz w:val="20"/>
          <w:szCs w:val="20"/>
        </w:rPr>
        <w:t>prórrogas</w:t>
      </w:r>
      <w:r w:rsidRPr="005E1734">
        <w:rPr>
          <w:rFonts w:ascii="Verdana" w:hAnsi="Verdana"/>
          <w:sz w:val="20"/>
          <w:szCs w:val="20"/>
        </w:rPr>
        <w:t> de licencias/soportes ya contratados </w:t>
      </w:r>
      <w:r w:rsidRPr="005E1734">
        <w:rPr>
          <w:rFonts w:ascii="Verdana" w:hAnsi="Verdana"/>
          <w:b/>
          <w:bCs/>
          <w:sz w:val="20"/>
          <w:szCs w:val="20"/>
        </w:rPr>
        <w:t>antes</w:t>
      </w:r>
      <w:r w:rsidRPr="005E1734">
        <w:rPr>
          <w:rFonts w:ascii="Verdana" w:hAnsi="Verdana"/>
          <w:sz w:val="20"/>
          <w:szCs w:val="20"/>
        </w:rPr>
        <w:t> del inicio de la Ley de Garantías pueden </w:t>
      </w:r>
      <w:r w:rsidRPr="005E1734">
        <w:rPr>
          <w:rFonts w:ascii="Verdana" w:hAnsi="Verdana"/>
          <w:b/>
          <w:bCs/>
          <w:sz w:val="20"/>
          <w:szCs w:val="20"/>
        </w:rPr>
        <w:t>continuar</w:t>
      </w:r>
      <w:r w:rsidRPr="005E1734">
        <w:rPr>
          <w:rFonts w:ascii="Verdana" w:hAnsi="Verdana"/>
          <w:sz w:val="20"/>
          <w:szCs w:val="20"/>
        </w:rPr>
        <w:t> (ejecución, modificación o prórroga) y </w:t>
      </w:r>
      <w:r w:rsidRPr="005E1734">
        <w:rPr>
          <w:rFonts w:ascii="Verdana" w:hAnsi="Verdana"/>
          <w:b/>
          <w:bCs/>
          <w:sz w:val="20"/>
          <w:szCs w:val="20"/>
        </w:rPr>
        <w:t>en qué condiciones</w:t>
      </w:r>
      <w:r w:rsidRPr="005E1734">
        <w:rPr>
          <w:rFonts w:ascii="Verdana" w:hAnsi="Verdana"/>
          <w:sz w:val="20"/>
          <w:szCs w:val="20"/>
        </w:rPr>
        <w:t>? ¿Aplica algún tratamiento diferenciado cuando la </w:t>
      </w:r>
      <w:r w:rsidRPr="005E1734">
        <w:rPr>
          <w:rFonts w:ascii="Verdana" w:hAnsi="Verdana"/>
          <w:b/>
          <w:bCs/>
          <w:sz w:val="20"/>
          <w:szCs w:val="20"/>
        </w:rPr>
        <w:t>continuidad del servicio</w:t>
      </w:r>
      <w:r w:rsidRPr="005E1734">
        <w:rPr>
          <w:rFonts w:ascii="Verdana" w:hAnsi="Verdana"/>
          <w:sz w:val="20"/>
          <w:szCs w:val="20"/>
        </w:rPr>
        <w:t xml:space="preserve"> depende del mismo titular de derechos (p. ej., </w:t>
      </w:r>
      <w:proofErr w:type="spellStart"/>
      <w:r w:rsidRPr="005E1734">
        <w:rPr>
          <w:rFonts w:ascii="Verdana" w:hAnsi="Verdana"/>
          <w:sz w:val="20"/>
          <w:szCs w:val="20"/>
        </w:rPr>
        <w:t>upgrades</w:t>
      </w:r>
      <w:proofErr w:type="spellEnd"/>
      <w:r w:rsidRPr="005E1734">
        <w:rPr>
          <w:rFonts w:ascii="Verdana" w:hAnsi="Verdana"/>
          <w:sz w:val="20"/>
          <w:szCs w:val="20"/>
        </w:rPr>
        <w:t>/</w:t>
      </w:r>
      <w:proofErr w:type="spellStart"/>
      <w:r w:rsidRPr="005E1734">
        <w:rPr>
          <w:rFonts w:ascii="Verdana" w:hAnsi="Verdana"/>
          <w:sz w:val="20"/>
          <w:szCs w:val="20"/>
        </w:rPr>
        <w:t>patches</w:t>
      </w:r>
      <w:proofErr w:type="spellEnd"/>
      <w:r w:rsidRPr="005E1734">
        <w:rPr>
          <w:rFonts w:ascii="Verdana" w:hAnsi="Verdana"/>
          <w:sz w:val="20"/>
          <w:szCs w:val="20"/>
        </w:rPr>
        <w:t>/soporte propietario)?</w:t>
      </w:r>
    </w:p>
    <w:p w14:paraId="69ED4032" w14:textId="77777777" w:rsidR="00683401" w:rsidRPr="005E1734" w:rsidRDefault="00683401" w:rsidP="00683401">
      <w:pPr>
        <w:pStyle w:val="Prrafodelista"/>
        <w:spacing w:after="0" w:line="240" w:lineRule="auto"/>
        <w:ind w:left="1211" w:right="758"/>
        <w:jc w:val="both"/>
        <w:rPr>
          <w:rFonts w:ascii="Verdana" w:hAnsi="Verdana"/>
          <w:b/>
          <w:bCs/>
          <w:sz w:val="20"/>
          <w:szCs w:val="20"/>
        </w:rPr>
      </w:pPr>
    </w:p>
    <w:p w14:paraId="4DC4B91F" w14:textId="77777777" w:rsidR="00683401" w:rsidRDefault="00683401" w:rsidP="00683401">
      <w:pPr>
        <w:pStyle w:val="Prrafodelista"/>
        <w:numPr>
          <w:ilvl w:val="0"/>
          <w:numId w:val="17"/>
        </w:numPr>
        <w:spacing w:after="0" w:line="240" w:lineRule="auto"/>
        <w:ind w:right="758"/>
        <w:jc w:val="both"/>
        <w:rPr>
          <w:rFonts w:ascii="Verdana" w:hAnsi="Verdana"/>
          <w:b/>
          <w:bCs/>
          <w:sz w:val="20"/>
          <w:szCs w:val="20"/>
        </w:rPr>
      </w:pPr>
      <w:r w:rsidRPr="005E1734">
        <w:rPr>
          <w:rFonts w:ascii="Verdana" w:hAnsi="Verdana"/>
          <w:b/>
          <w:bCs/>
          <w:sz w:val="20"/>
          <w:szCs w:val="20"/>
        </w:rPr>
        <w:t xml:space="preserve">Prueba de exclusividad / no pluralidad. </w:t>
      </w:r>
    </w:p>
    <w:p w14:paraId="0EFEB6E0" w14:textId="77777777" w:rsidR="00683401" w:rsidRDefault="00683401" w:rsidP="00683401">
      <w:pPr>
        <w:pStyle w:val="Prrafodelista"/>
        <w:spacing w:after="0" w:line="240" w:lineRule="auto"/>
        <w:ind w:left="1213" w:right="760"/>
        <w:jc w:val="both"/>
        <w:rPr>
          <w:rFonts w:ascii="Verdana" w:hAnsi="Verdana"/>
          <w:b/>
          <w:bCs/>
          <w:sz w:val="20"/>
          <w:szCs w:val="20"/>
        </w:rPr>
      </w:pPr>
    </w:p>
    <w:p w14:paraId="5CBA7655" w14:textId="77777777" w:rsidR="00683401" w:rsidRDefault="00683401" w:rsidP="00683401">
      <w:pPr>
        <w:pStyle w:val="Prrafodelista"/>
        <w:spacing w:after="0" w:line="240" w:lineRule="auto"/>
        <w:ind w:left="1211" w:right="758"/>
        <w:jc w:val="both"/>
        <w:rPr>
          <w:rFonts w:ascii="Verdana" w:hAnsi="Verdana"/>
          <w:sz w:val="20"/>
          <w:szCs w:val="20"/>
        </w:rPr>
      </w:pPr>
      <w:r w:rsidRPr="005E1734">
        <w:rPr>
          <w:rFonts w:ascii="Verdana" w:hAnsi="Verdana"/>
          <w:sz w:val="20"/>
          <w:szCs w:val="20"/>
        </w:rPr>
        <w:lastRenderedPageBreak/>
        <w:t>¿Qué </w:t>
      </w:r>
      <w:r w:rsidRPr="005E1734">
        <w:rPr>
          <w:rFonts w:ascii="Verdana" w:hAnsi="Verdana"/>
          <w:b/>
          <w:bCs/>
          <w:sz w:val="20"/>
          <w:szCs w:val="20"/>
        </w:rPr>
        <w:t>medios de prueba</w:t>
      </w:r>
      <w:r w:rsidRPr="005E1734">
        <w:rPr>
          <w:rFonts w:ascii="Verdana" w:hAnsi="Verdana"/>
          <w:sz w:val="20"/>
          <w:szCs w:val="20"/>
        </w:rPr>
        <w:t> considera suficientes CCE para </w:t>
      </w:r>
      <w:r w:rsidRPr="005E1734">
        <w:rPr>
          <w:rFonts w:ascii="Verdana" w:hAnsi="Verdana"/>
          <w:b/>
          <w:bCs/>
          <w:sz w:val="20"/>
          <w:szCs w:val="20"/>
        </w:rPr>
        <w:t>acreditar</w:t>
      </w:r>
      <w:r w:rsidRPr="005E1734">
        <w:rPr>
          <w:rFonts w:ascii="Verdana" w:hAnsi="Verdana"/>
          <w:sz w:val="20"/>
          <w:szCs w:val="20"/>
        </w:rPr>
        <w:t> la </w:t>
      </w:r>
      <w:r w:rsidRPr="005E1734">
        <w:rPr>
          <w:rFonts w:ascii="Verdana" w:hAnsi="Verdana"/>
          <w:b/>
          <w:bCs/>
          <w:sz w:val="20"/>
          <w:szCs w:val="20"/>
        </w:rPr>
        <w:t>no pluralidad de oferentes</w:t>
      </w:r>
      <w:r w:rsidRPr="005E1734">
        <w:rPr>
          <w:rFonts w:ascii="Verdana" w:hAnsi="Verdana"/>
          <w:sz w:val="20"/>
          <w:szCs w:val="20"/>
        </w:rPr>
        <w:t> en </w:t>
      </w:r>
      <w:r w:rsidRPr="005E1734">
        <w:rPr>
          <w:rFonts w:ascii="Verdana" w:hAnsi="Verdana"/>
          <w:b/>
          <w:bCs/>
          <w:sz w:val="20"/>
          <w:szCs w:val="20"/>
        </w:rPr>
        <w:t>software/licencias</w:t>
      </w:r>
      <w:r w:rsidRPr="005E1734">
        <w:rPr>
          <w:rFonts w:ascii="Verdana" w:hAnsi="Verdana"/>
          <w:sz w:val="20"/>
          <w:szCs w:val="20"/>
        </w:rPr>
        <w:t xml:space="preserve"> (p. ej., certificación del titular, canales únicos, restricciones de </w:t>
      </w:r>
      <w:proofErr w:type="spellStart"/>
      <w:r w:rsidRPr="005E1734">
        <w:rPr>
          <w:rFonts w:ascii="Verdana" w:hAnsi="Verdana"/>
          <w:sz w:val="20"/>
          <w:szCs w:val="20"/>
        </w:rPr>
        <w:t>sublicenciamiento</w:t>
      </w:r>
      <w:proofErr w:type="spellEnd"/>
      <w:r w:rsidRPr="005E1734">
        <w:rPr>
          <w:rFonts w:ascii="Verdana" w:hAnsi="Verdana"/>
          <w:sz w:val="20"/>
          <w:szCs w:val="20"/>
        </w:rPr>
        <w:t>, matriz de interoperabilidad, trazabilidad del licenciamiento), y </w:t>
      </w:r>
      <w:r w:rsidRPr="005E1734">
        <w:rPr>
          <w:rFonts w:ascii="Verdana" w:hAnsi="Verdana"/>
          <w:b/>
          <w:bCs/>
          <w:sz w:val="20"/>
          <w:szCs w:val="20"/>
        </w:rPr>
        <w:t>qué redacción</w:t>
      </w:r>
      <w:r w:rsidRPr="005E1734">
        <w:rPr>
          <w:rFonts w:ascii="Verdana" w:hAnsi="Verdana"/>
          <w:sz w:val="20"/>
          <w:szCs w:val="20"/>
        </w:rPr>
        <w:t> sugiere para el </w:t>
      </w:r>
      <w:r w:rsidRPr="005E1734">
        <w:rPr>
          <w:rFonts w:ascii="Verdana" w:hAnsi="Verdana"/>
          <w:b/>
          <w:bCs/>
          <w:sz w:val="20"/>
          <w:szCs w:val="20"/>
        </w:rPr>
        <w:t>estudio previo</w:t>
      </w:r>
      <w:r w:rsidRPr="005E1734">
        <w:rPr>
          <w:rFonts w:ascii="Verdana" w:hAnsi="Verdana"/>
          <w:sz w:val="20"/>
          <w:szCs w:val="20"/>
        </w:rPr>
        <w:t>?</w:t>
      </w:r>
    </w:p>
    <w:p w14:paraId="785A753D" w14:textId="77777777" w:rsidR="00683401" w:rsidRDefault="00683401" w:rsidP="00683401">
      <w:pPr>
        <w:pStyle w:val="Prrafodelista"/>
        <w:spacing w:after="0" w:line="240" w:lineRule="auto"/>
        <w:ind w:left="1211" w:right="758"/>
        <w:jc w:val="both"/>
        <w:rPr>
          <w:rFonts w:ascii="Verdana" w:hAnsi="Verdana"/>
          <w:sz w:val="20"/>
          <w:szCs w:val="20"/>
        </w:rPr>
      </w:pPr>
    </w:p>
    <w:p w14:paraId="4150A79C" w14:textId="77777777" w:rsidR="00683401" w:rsidRDefault="00683401" w:rsidP="00683401">
      <w:pPr>
        <w:pStyle w:val="Prrafodelista"/>
        <w:numPr>
          <w:ilvl w:val="0"/>
          <w:numId w:val="17"/>
        </w:numPr>
        <w:spacing w:after="0" w:line="240" w:lineRule="auto"/>
        <w:ind w:right="758"/>
        <w:jc w:val="both"/>
        <w:rPr>
          <w:rFonts w:ascii="Verdana" w:hAnsi="Verdana"/>
          <w:b/>
          <w:bCs/>
          <w:sz w:val="20"/>
          <w:szCs w:val="20"/>
        </w:rPr>
      </w:pPr>
      <w:r w:rsidRPr="005E1734">
        <w:rPr>
          <w:rFonts w:ascii="Verdana" w:hAnsi="Verdana"/>
          <w:b/>
          <w:bCs/>
          <w:sz w:val="20"/>
          <w:szCs w:val="20"/>
        </w:rPr>
        <w:t>Interacción con el artículo 38 (interadministrativos).</w:t>
      </w:r>
    </w:p>
    <w:p w14:paraId="4E3AEEA7" w14:textId="77777777" w:rsidR="00683401" w:rsidRDefault="00683401" w:rsidP="00683401">
      <w:pPr>
        <w:pStyle w:val="Prrafodelista"/>
        <w:spacing w:after="0" w:line="240" w:lineRule="auto"/>
        <w:ind w:left="1213" w:right="760"/>
        <w:jc w:val="both"/>
        <w:rPr>
          <w:rFonts w:ascii="Verdana" w:hAnsi="Verdana"/>
          <w:sz w:val="20"/>
          <w:szCs w:val="20"/>
        </w:rPr>
      </w:pPr>
      <w:r w:rsidRPr="005E1734">
        <w:rPr>
          <w:rFonts w:ascii="Verdana" w:hAnsi="Verdana"/>
          <w:sz w:val="20"/>
          <w:szCs w:val="20"/>
        </w:rPr>
        <w:br/>
        <w:t>Dado el alcance del parágrafo del </w:t>
      </w:r>
      <w:r w:rsidRPr="005E1734">
        <w:rPr>
          <w:rFonts w:ascii="Verdana" w:hAnsi="Verdana"/>
          <w:b/>
          <w:bCs/>
          <w:sz w:val="20"/>
          <w:szCs w:val="20"/>
        </w:rPr>
        <w:t>art. 38</w:t>
      </w:r>
      <w:r w:rsidRPr="005E1734">
        <w:rPr>
          <w:rFonts w:ascii="Verdana" w:hAnsi="Verdana"/>
          <w:sz w:val="20"/>
          <w:szCs w:val="20"/>
        </w:rPr>
        <w:t> y las posiciones institucionales recientes, ¿cómo </w:t>
      </w:r>
      <w:r w:rsidRPr="005E1734">
        <w:rPr>
          <w:rFonts w:ascii="Verdana" w:hAnsi="Verdana"/>
          <w:b/>
          <w:bCs/>
          <w:sz w:val="20"/>
          <w:szCs w:val="20"/>
        </w:rPr>
        <w:t>deben</w:t>
      </w:r>
      <w:r w:rsidRPr="005E1734">
        <w:rPr>
          <w:rFonts w:ascii="Verdana" w:hAnsi="Verdana"/>
          <w:sz w:val="20"/>
          <w:szCs w:val="20"/>
        </w:rPr>
        <w:t> proceder las entidades cuando la adquisición de software/licencias </w:t>
      </w:r>
      <w:r w:rsidRPr="005E1734">
        <w:rPr>
          <w:rFonts w:ascii="Verdana" w:hAnsi="Verdana"/>
          <w:b/>
          <w:bCs/>
          <w:sz w:val="20"/>
          <w:szCs w:val="20"/>
        </w:rPr>
        <w:t>históricamente</w:t>
      </w:r>
      <w:r w:rsidRPr="005E1734">
        <w:rPr>
          <w:rFonts w:ascii="Verdana" w:hAnsi="Verdana"/>
          <w:sz w:val="20"/>
          <w:szCs w:val="20"/>
        </w:rPr>
        <w:t> se ha canalizado vía </w:t>
      </w:r>
      <w:r w:rsidRPr="005E1734">
        <w:rPr>
          <w:rFonts w:ascii="Verdana" w:hAnsi="Verdana"/>
          <w:b/>
          <w:bCs/>
          <w:sz w:val="20"/>
          <w:szCs w:val="20"/>
        </w:rPr>
        <w:t>convenios/contratos interadministrativos</w:t>
      </w:r>
      <w:r w:rsidRPr="005E1734">
        <w:rPr>
          <w:rFonts w:ascii="Verdana" w:hAnsi="Verdana"/>
          <w:sz w:val="20"/>
          <w:szCs w:val="20"/>
        </w:rPr>
        <w:t>? ¿Existe </w:t>
      </w:r>
      <w:r w:rsidRPr="005E1734">
        <w:rPr>
          <w:rFonts w:ascii="Verdana" w:hAnsi="Verdana"/>
          <w:b/>
          <w:bCs/>
          <w:sz w:val="20"/>
          <w:szCs w:val="20"/>
        </w:rPr>
        <w:t>alguna recomendación</w:t>
      </w:r>
      <w:r w:rsidRPr="005E1734">
        <w:rPr>
          <w:rFonts w:ascii="Verdana" w:hAnsi="Verdana"/>
          <w:sz w:val="20"/>
          <w:szCs w:val="20"/>
        </w:rPr>
        <w:t> específica de CCE para </w:t>
      </w:r>
      <w:r w:rsidRPr="005E1734">
        <w:rPr>
          <w:rFonts w:ascii="Verdana" w:hAnsi="Verdana"/>
          <w:b/>
          <w:bCs/>
          <w:sz w:val="20"/>
          <w:szCs w:val="20"/>
        </w:rPr>
        <w:t>evitar</w:t>
      </w:r>
      <w:r w:rsidRPr="005E1734">
        <w:rPr>
          <w:rFonts w:ascii="Verdana" w:hAnsi="Verdana"/>
          <w:sz w:val="20"/>
          <w:szCs w:val="20"/>
        </w:rPr>
        <w:t> el uso de figuras interadministrativas en estos casos </w:t>
      </w:r>
      <w:r w:rsidRPr="005E1734">
        <w:rPr>
          <w:rFonts w:ascii="Verdana" w:hAnsi="Verdana"/>
          <w:b/>
          <w:bCs/>
          <w:sz w:val="20"/>
          <w:szCs w:val="20"/>
        </w:rPr>
        <w:t>durante</w:t>
      </w:r>
      <w:r w:rsidRPr="005E1734">
        <w:rPr>
          <w:rFonts w:ascii="Verdana" w:hAnsi="Verdana"/>
          <w:sz w:val="20"/>
          <w:szCs w:val="20"/>
        </w:rPr>
        <w:t> la vigencia de la Ley de Garantías?</w:t>
      </w:r>
    </w:p>
    <w:p w14:paraId="45E2547C" w14:textId="77777777" w:rsidR="00683401" w:rsidRDefault="00683401" w:rsidP="00683401">
      <w:pPr>
        <w:pStyle w:val="Prrafodelista"/>
        <w:spacing w:after="0" w:line="240" w:lineRule="auto"/>
        <w:ind w:left="1211" w:right="758"/>
        <w:jc w:val="both"/>
        <w:rPr>
          <w:rFonts w:ascii="Verdana" w:hAnsi="Verdana"/>
          <w:sz w:val="20"/>
          <w:szCs w:val="20"/>
        </w:rPr>
      </w:pPr>
    </w:p>
    <w:p w14:paraId="16CFEE65" w14:textId="77777777" w:rsidR="00683401" w:rsidRDefault="00683401" w:rsidP="00683401">
      <w:pPr>
        <w:pStyle w:val="Prrafodelista"/>
        <w:numPr>
          <w:ilvl w:val="0"/>
          <w:numId w:val="17"/>
        </w:numPr>
        <w:spacing w:after="0" w:line="240" w:lineRule="auto"/>
        <w:ind w:right="758"/>
        <w:jc w:val="both"/>
        <w:rPr>
          <w:rFonts w:ascii="Verdana" w:hAnsi="Verdana"/>
          <w:b/>
          <w:bCs/>
          <w:sz w:val="20"/>
          <w:szCs w:val="20"/>
        </w:rPr>
      </w:pPr>
      <w:r w:rsidRPr="00FC1BE4">
        <w:rPr>
          <w:rFonts w:ascii="Verdana" w:hAnsi="Verdana"/>
          <w:b/>
          <w:bCs/>
          <w:sz w:val="20"/>
          <w:szCs w:val="20"/>
        </w:rPr>
        <w:t>Lineamientos operativos para tecnología.</w:t>
      </w:r>
    </w:p>
    <w:p w14:paraId="41F947E5" w14:textId="77777777" w:rsidR="00683401" w:rsidRDefault="00683401" w:rsidP="00683401">
      <w:pPr>
        <w:pStyle w:val="Prrafodelista"/>
        <w:spacing w:after="0" w:line="240" w:lineRule="auto"/>
        <w:ind w:left="1213" w:right="760"/>
        <w:jc w:val="both"/>
        <w:rPr>
          <w:rFonts w:ascii="Verdana" w:hAnsi="Verdana"/>
          <w:sz w:val="20"/>
          <w:szCs w:val="20"/>
        </w:rPr>
      </w:pPr>
    </w:p>
    <w:p w14:paraId="134806AB" w14:textId="77777777" w:rsidR="00683401" w:rsidRPr="005E1734" w:rsidRDefault="00683401" w:rsidP="00683401">
      <w:pPr>
        <w:pStyle w:val="Prrafodelista"/>
        <w:spacing w:after="0" w:line="240" w:lineRule="auto"/>
        <w:ind w:left="1211" w:right="758"/>
        <w:jc w:val="both"/>
        <w:rPr>
          <w:rFonts w:ascii="Verdana" w:hAnsi="Verdana"/>
          <w:b/>
          <w:bCs/>
          <w:sz w:val="20"/>
          <w:szCs w:val="20"/>
        </w:rPr>
      </w:pPr>
      <w:r w:rsidRPr="00FC1BE4">
        <w:rPr>
          <w:rFonts w:ascii="Verdana" w:hAnsi="Verdana"/>
          <w:sz w:val="20"/>
          <w:szCs w:val="20"/>
        </w:rPr>
        <w:t>A efectos de control interno y auditoría, ¿podría CCE </w:t>
      </w:r>
      <w:r w:rsidRPr="00FC1BE4">
        <w:rPr>
          <w:rFonts w:ascii="Verdana" w:hAnsi="Verdana"/>
          <w:b/>
          <w:bCs/>
          <w:sz w:val="20"/>
          <w:szCs w:val="20"/>
        </w:rPr>
        <w:t xml:space="preserve">recomendar un </w:t>
      </w:r>
      <w:proofErr w:type="spellStart"/>
      <w:r w:rsidRPr="00FC1BE4">
        <w:rPr>
          <w:rFonts w:ascii="Verdana" w:hAnsi="Verdana"/>
          <w:b/>
          <w:bCs/>
          <w:sz w:val="20"/>
          <w:szCs w:val="20"/>
        </w:rPr>
        <w:t>checklist</w:t>
      </w:r>
      <w:proofErr w:type="spellEnd"/>
      <w:r w:rsidRPr="00FC1BE4">
        <w:rPr>
          <w:rFonts w:ascii="Verdana" w:hAnsi="Verdana"/>
          <w:sz w:val="20"/>
          <w:szCs w:val="20"/>
        </w:rPr>
        <w:t> mínimo (planeación, publicidad, soporte técnico-jurídico, certificaciones, acto motivado, alertas de riesgo) para </w:t>
      </w:r>
      <w:r w:rsidRPr="00FC1BE4">
        <w:rPr>
          <w:rFonts w:ascii="Verdana" w:hAnsi="Verdana"/>
          <w:b/>
          <w:bCs/>
          <w:sz w:val="20"/>
          <w:szCs w:val="20"/>
        </w:rPr>
        <w:t>adquisiciones tecnológicas</w:t>
      </w:r>
      <w:r w:rsidRPr="00FC1BE4">
        <w:rPr>
          <w:rFonts w:ascii="Verdana" w:hAnsi="Verdana"/>
          <w:sz w:val="20"/>
          <w:szCs w:val="20"/>
        </w:rPr>
        <w:t> en periodo de Ley de Garantías?</w:t>
      </w:r>
    </w:p>
    <w:p w14:paraId="4D3485DE" w14:textId="77777777" w:rsidR="00683401" w:rsidRDefault="00683401" w:rsidP="00683401">
      <w:pPr>
        <w:spacing w:after="0" w:line="240" w:lineRule="auto"/>
        <w:ind w:left="567" w:right="758"/>
        <w:jc w:val="both"/>
        <w:rPr>
          <w:rFonts w:ascii="Verdana" w:hAnsi="Verdana"/>
          <w:b/>
          <w:bCs/>
          <w:sz w:val="20"/>
          <w:szCs w:val="20"/>
        </w:rPr>
      </w:pPr>
    </w:p>
    <w:p w14:paraId="730074E1" w14:textId="77777777" w:rsidR="00683401" w:rsidRDefault="00683401" w:rsidP="00683401">
      <w:pPr>
        <w:spacing w:after="0" w:line="240" w:lineRule="auto"/>
        <w:ind w:left="567" w:right="758"/>
        <w:jc w:val="both"/>
        <w:rPr>
          <w:rFonts w:ascii="Verdana" w:hAnsi="Verdana"/>
          <w:b/>
          <w:bCs/>
          <w:sz w:val="20"/>
          <w:szCs w:val="20"/>
        </w:rPr>
      </w:pPr>
      <w:r w:rsidRPr="00FC1BE4">
        <w:rPr>
          <w:rFonts w:ascii="Verdana" w:hAnsi="Verdana"/>
          <w:b/>
          <w:bCs/>
          <w:sz w:val="20"/>
          <w:szCs w:val="20"/>
        </w:rPr>
        <w:t>ALCANCE SOLICITADO</w:t>
      </w:r>
    </w:p>
    <w:p w14:paraId="7390D6C5" w14:textId="77777777" w:rsidR="00683401" w:rsidRPr="00FC1BE4" w:rsidRDefault="00683401" w:rsidP="00683401">
      <w:pPr>
        <w:spacing w:after="0" w:line="240" w:lineRule="auto"/>
        <w:ind w:left="567" w:right="758"/>
        <w:jc w:val="both"/>
        <w:rPr>
          <w:rFonts w:ascii="Verdana" w:hAnsi="Verdana"/>
          <w:b/>
          <w:bCs/>
          <w:sz w:val="20"/>
          <w:szCs w:val="20"/>
        </w:rPr>
      </w:pPr>
    </w:p>
    <w:p w14:paraId="168C274C" w14:textId="77777777" w:rsidR="00683401" w:rsidRPr="00FC1BE4" w:rsidRDefault="00683401" w:rsidP="00683401">
      <w:pPr>
        <w:spacing w:after="0" w:line="240" w:lineRule="auto"/>
        <w:ind w:left="567" w:right="758"/>
        <w:jc w:val="both"/>
        <w:rPr>
          <w:rFonts w:ascii="Verdana" w:hAnsi="Verdana"/>
          <w:sz w:val="20"/>
          <w:szCs w:val="20"/>
        </w:rPr>
      </w:pPr>
      <w:r w:rsidRPr="00FC1BE4">
        <w:rPr>
          <w:rFonts w:ascii="Verdana" w:hAnsi="Verdana"/>
          <w:sz w:val="20"/>
          <w:szCs w:val="20"/>
        </w:rPr>
        <w:t>Respetuosamente pedimos un </w:t>
      </w:r>
      <w:r w:rsidRPr="00FC1BE4">
        <w:rPr>
          <w:rFonts w:ascii="Verdana" w:hAnsi="Verdana"/>
          <w:b/>
          <w:bCs/>
          <w:sz w:val="20"/>
          <w:szCs w:val="20"/>
        </w:rPr>
        <w:t>concepto general y orientador</w:t>
      </w:r>
      <w:r w:rsidRPr="00FC1BE4">
        <w:rPr>
          <w:rFonts w:ascii="Verdana" w:hAnsi="Verdana"/>
          <w:sz w:val="20"/>
          <w:szCs w:val="20"/>
        </w:rPr>
        <w:t> que:</w:t>
      </w:r>
    </w:p>
    <w:p w14:paraId="19CC5F76" w14:textId="77777777" w:rsidR="00683401" w:rsidRPr="00FC1BE4" w:rsidRDefault="00683401" w:rsidP="00683401">
      <w:pPr>
        <w:numPr>
          <w:ilvl w:val="0"/>
          <w:numId w:val="18"/>
        </w:numPr>
        <w:spacing w:after="0" w:line="240" w:lineRule="auto"/>
        <w:ind w:left="567" w:right="758" w:firstLine="0"/>
        <w:jc w:val="both"/>
        <w:rPr>
          <w:rFonts w:ascii="Verdana" w:hAnsi="Verdana"/>
          <w:sz w:val="20"/>
          <w:szCs w:val="20"/>
        </w:rPr>
      </w:pPr>
      <w:r w:rsidRPr="00FC1BE4">
        <w:rPr>
          <w:rFonts w:ascii="Verdana" w:hAnsi="Verdana"/>
          <w:b/>
          <w:bCs/>
          <w:sz w:val="20"/>
          <w:szCs w:val="20"/>
        </w:rPr>
        <w:t>(i)</w:t>
      </w:r>
      <w:r w:rsidRPr="00FC1BE4">
        <w:rPr>
          <w:rFonts w:ascii="Verdana" w:hAnsi="Verdana"/>
          <w:sz w:val="20"/>
          <w:szCs w:val="20"/>
        </w:rPr>
        <w:t> precise si la </w:t>
      </w:r>
      <w:r w:rsidRPr="00FC1BE4">
        <w:rPr>
          <w:rFonts w:ascii="Verdana" w:hAnsi="Verdana"/>
          <w:b/>
          <w:bCs/>
          <w:sz w:val="20"/>
          <w:szCs w:val="20"/>
        </w:rPr>
        <w:t>exclusividad/no</w:t>
      </w:r>
      <w:r>
        <w:rPr>
          <w:rFonts w:ascii="Verdana" w:hAnsi="Verdana"/>
          <w:b/>
          <w:bCs/>
          <w:sz w:val="20"/>
          <w:szCs w:val="20"/>
        </w:rPr>
        <w:t xml:space="preserve"> </w:t>
      </w:r>
      <w:r w:rsidRPr="00FC1BE4">
        <w:rPr>
          <w:rFonts w:ascii="Verdana" w:hAnsi="Verdana"/>
          <w:b/>
          <w:bCs/>
          <w:sz w:val="20"/>
          <w:szCs w:val="20"/>
        </w:rPr>
        <w:t>pluralidad</w:t>
      </w:r>
      <w:r w:rsidRPr="00FC1BE4">
        <w:rPr>
          <w:rFonts w:ascii="Verdana" w:hAnsi="Verdana"/>
          <w:sz w:val="20"/>
          <w:szCs w:val="20"/>
        </w:rPr>
        <w:t> en software/</w:t>
      </w:r>
      <w:proofErr w:type="gramStart"/>
      <w:r w:rsidRPr="00FC1BE4">
        <w:rPr>
          <w:rFonts w:ascii="Verdana" w:hAnsi="Verdana"/>
          <w:sz w:val="20"/>
          <w:szCs w:val="20"/>
        </w:rPr>
        <w:t>licencias </w:t>
      </w:r>
      <w:r w:rsidRPr="00FC1BE4">
        <w:rPr>
          <w:rFonts w:ascii="Verdana" w:hAnsi="Verdana"/>
          <w:b/>
          <w:bCs/>
          <w:sz w:val="20"/>
          <w:szCs w:val="20"/>
        </w:rPr>
        <w:t>habilita</w:t>
      </w:r>
      <w:proofErr w:type="gramEnd"/>
      <w:r w:rsidRPr="00FC1BE4">
        <w:rPr>
          <w:rFonts w:ascii="Verdana" w:hAnsi="Verdana"/>
          <w:sz w:val="20"/>
          <w:szCs w:val="20"/>
        </w:rPr>
        <w:t> o </w:t>
      </w:r>
      <w:r w:rsidRPr="00FC1BE4">
        <w:rPr>
          <w:rFonts w:ascii="Verdana" w:hAnsi="Verdana"/>
          <w:b/>
          <w:bCs/>
          <w:sz w:val="20"/>
          <w:szCs w:val="20"/>
        </w:rPr>
        <w:t>no</w:t>
      </w:r>
      <w:r w:rsidRPr="00FC1BE4">
        <w:rPr>
          <w:rFonts w:ascii="Verdana" w:hAnsi="Verdana"/>
          <w:sz w:val="20"/>
          <w:szCs w:val="20"/>
        </w:rPr>
        <w:t> la contratación directa </w:t>
      </w:r>
      <w:r w:rsidRPr="00FC1BE4">
        <w:rPr>
          <w:rFonts w:ascii="Verdana" w:hAnsi="Verdana"/>
          <w:b/>
          <w:bCs/>
          <w:sz w:val="20"/>
          <w:szCs w:val="20"/>
        </w:rPr>
        <w:t>en periodo de Ley de Garantías</w:t>
      </w:r>
      <w:r w:rsidRPr="00FC1BE4">
        <w:rPr>
          <w:rFonts w:ascii="Verdana" w:hAnsi="Verdana"/>
          <w:sz w:val="20"/>
          <w:szCs w:val="20"/>
        </w:rPr>
        <w:t>, y </w:t>
      </w:r>
      <w:r w:rsidRPr="00FC1BE4">
        <w:rPr>
          <w:rFonts w:ascii="Verdana" w:hAnsi="Verdana"/>
          <w:b/>
          <w:bCs/>
          <w:sz w:val="20"/>
          <w:szCs w:val="20"/>
        </w:rPr>
        <w:t>bajo qué causal</w:t>
      </w:r>
      <w:r w:rsidRPr="00FC1BE4">
        <w:rPr>
          <w:rFonts w:ascii="Verdana" w:hAnsi="Verdana"/>
          <w:sz w:val="20"/>
          <w:szCs w:val="20"/>
        </w:rPr>
        <w:t> del art. 33 (si procede);</w:t>
      </w:r>
    </w:p>
    <w:p w14:paraId="5076E4F8" w14:textId="77777777" w:rsidR="00683401" w:rsidRPr="00FC1BE4" w:rsidRDefault="00683401" w:rsidP="00683401">
      <w:pPr>
        <w:numPr>
          <w:ilvl w:val="0"/>
          <w:numId w:val="18"/>
        </w:numPr>
        <w:spacing w:after="0" w:line="240" w:lineRule="auto"/>
        <w:ind w:left="567" w:right="758" w:firstLine="0"/>
        <w:jc w:val="both"/>
        <w:rPr>
          <w:rFonts w:ascii="Verdana" w:hAnsi="Verdana"/>
          <w:sz w:val="20"/>
          <w:szCs w:val="20"/>
        </w:rPr>
      </w:pPr>
      <w:r w:rsidRPr="00FC1BE4">
        <w:rPr>
          <w:rFonts w:ascii="Verdana" w:hAnsi="Verdana"/>
          <w:b/>
          <w:bCs/>
          <w:sz w:val="20"/>
          <w:szCs w:val="20"/>
        </w:rPr>
        <w:t>(</w:t>
      </w:r>
      <w:proofErr w:type="spellStart"/>
      <w:r w:rsidRPr="00FC1BE4">
        <w:rPr>
          <w:rFonts w:ascii="Verdana" w:hAnsi="Verdana"/>
          <w:b/>
          <w:bCs/>
          <w:sz w:val="20"/>
          <w:szCs w:val="20"/>
        </w:rPr>
        <w:t>ii</w:t>
      </w:r>
      <w:proofErr w:type="spellEnd"/>
      <w:r w:rsidRPr="00FC1BE4">
        <w:rPr>
          <w:rFonts w:ascii="Verdana" w:hAnsi="Verdana"/>
          <w:b/>
          <w:bCs/>
          <w:sz w:val="20"/>
          <w:szCs w:val="20"/>
        </w:rPr>
        <w:t>)</w:t>
      </w:r>
      <w:r w:rsidRPr="00FC1BE4">
        <w:rPr>
          <w:rFonts w:ascii="Verdana" w:hAnsi="Verdana"/>
          <w:sz w:val="20"/>
          <w:szCs w:val="20"/>
        </w:rPr>
        <w:t> indique </w:t>
      </w:r>
      <w:r w:rsidRPr="00FC1BE4">
        <w:rPr>
          <w:rFonts w:ascii="Verdana" w:hAnsi="Verdana"/>
          <w:b/>
          <w:bCs/>
          <w:sz w:val="20"/>
          <w:szCs w:val="20"/>
        </w:rPr>
        <w:t>modalidades alternativas</w:t>
      </w:r>
      <w:r w:rsidRPr="00FC1BE4">
        <w:rPr>
          <w:rFonts w:ascii="Verdana" w:hAnsi="Verdana"/>
          <w:sz w:val="20"/>
          <w:szCs w:val="20"/>
        </w:rPr>
        <w:t> y </w:t>
      </w:r>
      <w:r w:rsidRPr="00FC1BE4">
        <w:rPr>
          <w:rFonts w:ascii="Verdana" w:hAnsi="Verdana"/>
          <w:b/>
          <w:bCs/>
          <w:sz w:val="20"/>
          <w:szCs w:val="20"/>
        </w:rPr>
        <w:t>estándares probatorios</w:t>
      </w:r>
      <w:r w:rsidRPr="00FC1BE4">
        <w:rPr>
          <w:rFonts w:ascii="Verdana" w:hAnsi="Verdana"/>
          <w:sz w:val="20"/>
          <w:szCs w:val="20"/>
        </w:rPr>
        <w:t> en caso de </w:t>
      </w:r>
      <w:r w:rsidRPr="00FC1BE4">
        <w:rPr>
          <w:rFonts w:ascii="Verdana" w:hAnsi="Verdana"/>
          <w:b/>
          <w:bCs/>
          <w:sz w:val="20"/>
          <w:szCs w:val="20"/>
        </w:rPr>
        <w:t>no viabilidad</w:t>
      </w:r>
      <w:r w:rsidRPr="00FC1BE4">
        <w:rPr>
          <w:rFonts w:ascii="Verdana" w:hAnsi="Verdana"/>
          <w:sz w:val="20"/>
          <w:szCs w:val="20"/>
        </w:rPr>
        <w:t> de la contratación directa;</w:t>
      </w:r>
    </w:p>
    <w:p w14:paraId="7C3AD349" w14:textId="77777777" w:rsidR="00683401" w:rsidRPr="00FC1BE4" w:rsidRDefault="00683401" w:rsidP="00683401">
      <w:pPr>
        <w:numPr>
          <w:ilvl w:val="0"/>
          <w:numId w:val="18"/>
        </w:numPr>
        <w:spacing w:after="0" w:line="240" w:lineRule="auto"/>
        <w:ind w:left="567" w:right="758" w:firstLine="0"/>
        <w:jc w:val="both"/>
        <w:rPr>
          <w:rFonts w:ascii="Verdana" w:hAnsi="Verdana"/>
          <w:sz w:val="20"/>
          <w:szCs w:val="20"/>
        </w:rPr>
      </w:pPr>
      <w:r w:rsidRPr="00FC1BE4">
        <w:rPr>
          <w:rFonts w:ascii="Verdana" w:hAnsi="Verdana"/>
          <w:b/>
          <w:bCs/>
          <w:sz w:val="20"/>
          <w:szCs w:val="20"/>
        </w:rPr>
        <w:t>(</w:t>
      </w:r>
      <w:proofErr w:type="spellStart"/>
      <w:r w:rsidRPr="00FC1BE4">
        <w:rPr>
          <w:rFonts w:ascii="Verdana" w:hAnsi="Verdana"/>
          <w:b/>
          <w:bCs/>
          <w:sz w:val="20"/>
          <w:szCs w:val="20"/>
        </w:rPr>
        <w:t>iii</w:t>
      </w:r>
      <w:proofErr w:type="spellEnd"/>
      <w:r w:rsidRPr="00FC1BE4">
        <w:rPr>
          <w:rFonts w:ascii="Verdana" w:hAnsi="Verdana"/>
          <w:b/>
          <w:bCs/>
          <w:sz w:val="20"/>
          <w:szCs w:val="20"/>
        </w:rPr>
        <w:t>)</w:t>
      </w:r>
      <w:r w:rsidRPr="00FC1BE4">
        <w:rPr>
          <w:rFonts w:ascii="Verdana" w:hAnsi="Verdana"/>
          <w:sz w:val="20"/>
          <w:szCs w:val="20"/>
        </w:rPr>
        <w:t> defina </w:t>
      </w:r>
      <w:r w:rsidRPr="00FC1BE4">
        <w:rPr>
          <w:rFonts w:ascii="Verdana" w:hAnsi="Verdana"/>
          <w:b/>
          <w:bCs/>
          <w:sz w:val="20"/>
          <w:szCs w:val="20"/>
        </w:rPr>
        <w:t>criterios documentales</w:t>
      </w:r>
      <w:r w:rsidRPr="00FC1BE4">
        <w:rPr>
          <w:rFonts w:ascii="Verdana" w:hAnsi="Verdana"/>
          <w:sz w:val="20"/>
          <w:szCs w:val="20"/>
        </w:rPr>
        <w:t> y </w:t>
      </w:r>
      <w:r w:rsidRPr="00FC1BE4">
        <w:rPr>
          <w:rFonts w:ascii="Verdana" w:hAnsi="Verdana"/>
          <w:b/>
          <w:bCs/>
          <w:sz w:val="20"/>
          <w:szCs w:val="20"/>
        </w:rPr>
        <w:t>de motivación</w:t>
      </w:r>
      <w:r w:rsidRPr="00FC1BE4">
        <w:rPr>
          <w:rFonts w:ascii="Verdana" w:hAnsi="Verdana"/>
          <w:sz w:val="20"/>
          <w:szCs w:val="20"/>
        </w:rPr>
        <w:t> para decisiones trazables ante control fiscal y disciplinario;</w:t>
      </w:r>
    </w:p>
    <w:p w14:paraId="77C88583" w14:textId="77777777" w:rsidR="00683401" w:rsidRDefault="00683401" w:rsidP="00683401">
      <w:pPr>
        <w:numPr>
          <w:ilvl w:val="0"/>
          <w:numId w:val="18"/>
        </w:numPr>
        <w:spacing w:after="0" w:line="240" w:lineRule="auto"/>
        <w:ind w:left="567" w:right="758" w:firstLine="0"/>
        <w:jc w:val="both"/>
        <w:rPr>
          <w:rFonts w:ascii="Verdana" w:hAnsi="Verdana"/>
          <w:sz w:val="20"/>
          <w:szCs w:val="20"/>
        </w:rPr>
      </w:pPr>
      <w:r w:rsidRPr="00FC1BE4">
        <w:rPr>
          <w:rFonts w:ascii="Verdana" w:hAnsi="Verdana"/>
          <w:b/>
          <w:bCs/>
          <w:sz w:val="20"/>
          <w:szCs w:val="20"/>
        </w:rPr>
        <w:t>(</w:t>
      </w:r>
      <w:proofErr w:type="spellStart"/>
      <w:r w:rsidRPr="00FC1BE4">
        <w:rPr>
          <w:rFonts w:ascii="Verdana" w:hAnsi="Verdana"/>
          <w:b/>
          <w:bCs/>
          <w:sz w:val="20"/>
          <w:szCs w:val="20"/>
        </w:rPr>
        <w:t>iv</w:t>
      </w:r>
      <w:proofErr w:type="spellEnd"/>
      <w:r w:rsidRPr="00FC1BE4">
        <w:rPr>
          <w:rFonts w:ascii="Verdana" w:hAnsi="Verdana"/>
          <w:b/>
          <w:bCs/>
          <w:sz w:val="20"/>
          <w:szCs w:val="20"/>
        </w:rPr>
        <w:t>)</w:t>
      </w:r>
      <w:r w:rsidRPr="00FC1BE4">
        <w:rPr>
          <w:rFonts w:ascii="Verdana" w:hAnsi="Verdana"/>
          <w:sz w:val="20"/>
          <w:szCs w:val="20"/>
        </w:rPr>
        <w:t> oriente la interacción con el </w:t>
      </w:r>
      <w:r w:rsidRPr="00FC1BE4">
        <w:rPr>
          <w:rFonts w:ascii="Verdana" w:hAnsi="Verdana"/>
          <w:b/>
          <w:bCs/>
          <w:sz w:val="20"/>
          <w:szCs w:val="20"/>
        </w:rPr>
        <w:t>artículo 38</w:t>
      </w:r>
      <w:r w:rsidRPr="00FC1BE4">
        <w:rPr>
          <w:rFonts w:ascii="Verdana" w:hAnsi="Verdana"/>
          <w:sz w:val="20"/>
          <w:szCs w:val="20"/>
        </w:rPr>
        <w:t> y</w:t>
      </w:r>
      <w:r>
        <w:rPr>
          <w:rFonts w:ascii="Verdana" w:hAnsi="Verdana"/>
          <w:sz w:val="20"/>
          <w:szCs w:val="20"/>
        </w:rPr>
        <w:t xml:space="preserve"> </w:t>
      </w:r>
      <w:r w:rsidRPr="00FC1BE4">
        <w:rPr>
          <w:rFonts w:ascii="Verdana" w:hAnsi="Verdana"/>
          <w:sz w:val="20"/>
          <w:szCs w:val="20"/>
        </w:rPr>
        <w:t>la </w:t>
      </w:r>
      <w:r w:rsidRPr="00FC1BE4">
        <w:rPr>
          <w:rFonts w:ascii="Verdana" w:hAnsi="Verdana"/>
          <w:b/>
          <w:bCs/>
          <w:sz w:val="20"/>
          <w:szCs w:val="20"/>
        </w:rPr>
        <w:t>conveniencia</w:t>
      </w:r>
      <w:r w:rsidRPr="00FC1BE4">
        <w:rPr>
          <w:rFonts w:ascii="Verdana" w:hAnsi="Verdana"/>
          <w:sz w:val="20"/>
          <w:szCs w:val="20"/>
        </w:rPr>
        <w:t> o </w:t>
      </w:r>
      <w:r w:rsidRPr="00FC1BE4">
        <w:rPr>
          <w:rFonts w:ascii="Verdana" w:hAnsi="Verdana"/>
          <w:b/>
          <w:bCs/>
          <w:sz w:val="20"/>
          <w:szCs w:val="20"/>
        </w:rPr>
        <w:t>no</w:t>
      </w:r>
      <w:r w:rsidRPr="00FC1BE4">
        <w:rPr>
          <w:rFonts w:ascii="Verdana" w:hAnsi="Verdana"/>
          <w:sz w:val="20"/>
          <w:szCs w:val="20"/>
        </w:rPr>
        <w:t> de esquemas interadministrativos en esta materia (…)”.</w:t>
      </w:r>
    </w:p>
    <w:p w14:paraId="62B6E54E" w14:textId="77777777" w:rsidR="00683401" w:rsidRPr="00763B14" w:rsidRDefault="00683401" w:rsidP="00683401">
      <w:pPr>
        <w:spacing w:after="0" w:line="240" w:lineRule="auto"/>
        <w:ind w:left="567" w:right="758"/>
        <w:jc w:val="both"/>
        <w:rPr>
          <w:rFonts w:ascii="Verdana" w:hAnsi="Verdana"/>
          <w:sz w:val="20"/>
          <w:szCs w:val="20"/>
        </w:rPr>
      </w:pPr>
    </w:p>
    <w:p w14:paraId="1D87BEC6" w14:textId="77777777" w:rsidR="00683401" w:rsidRPr="005644FE" w:rsidRDefault="00683401" w:rsidP="00683401">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5644FE">
        <w:rPr>
          <w:rFonts w:ascii="Verdana" w:eastAsia="Calibri" w:hAnsi="Verdana" w:cs="Arial"/>
          <w:color w:val="000000"/>
          <w:lang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BAE78CF" w14:textId="77777777" w:rsidR="00683401" w:rsidRPr="00DC7A48" w:rsidRDefault="00683401" w:rsidP="00683401">
      <w:pPr>
        <w:spacing w:after="12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w:t>
      </w:r>
      <w:r w:rsidRPr="00DC7A48">
        <w:rPr>
          <w:rFonts w:ascii="Verdana" w:eastAsia="Calibri" w:hAnsi="Verdana" w:cs="Arial"/>
          <w:color w:val="000000"/>
          <w:lang w:eastAsia="es-ES"/>
        </w:rPr>
        <w:t xml:space="preserve">, haciendo abstracción del caso particular y concreto señalado en su petición, pero señalando </w:t>
      </w:r>
      <w:r w:rsidRPr="000B6253">
        <w:rPr>
          <w:rFonts w:ascii="Verdana" w:eastAsia="Calibri" w:hAnsi="Verdana" w:cs="Arial"/>
          <w:color w:val="000000"/>
          <w:lang w:eastAsia="es-ES"/>
        </w:rPr>
        <w:t>algunas consideraciones sobre las normas generales relacionadas a los problemas jurídicos de su consulta.</w:t>
      </w:r>
      <w:r w:rsidRPr="00DC7A48">
        <w:rPr>
          <w:rFonts w:ascii="Verdana" w:eastAsia="Calibri" w:hAnsi="Verdana" w:cs="Arial"/>
          <w:lang w:eastAsia="es-ES"/>
        </w:rPr>
        <w:t xml:space="preserve">  </w:t>
      </w:r>
    </w:p>
    <w:p w14:paraId="6F5D96F5" w14:textId="77777777" w:rsidR="00683401" w:rsidRPr="00DC7A48" w:rsidRDefault="00683401" w:rsidP="006834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7A48">
        <w:rPr>
          <w:rFonts w:ascii="Verdana" w:eastAsia="Century Gothic" w:hAnsi="Verdana" w:cs="Century Gothic"/>
          <w:b/>
          <w:bCs/>
        </w:rPr>
        <w:t>Problema planteado:</w:t>
      </w:r>
    </w:p>
    <w:p w14:paraId="74751549" w14:textId="77777777" w:rsidR="00683401" w:rsidRPr="00CE2BA9" w:rsidRDefault="00683401" w:rsidP="00683401">
      <w:pPr>
        <w:pStyle w:val="Prrafodelista"/>
        <w:tabs>
          <w:tab w:val="left" w:pos="142"/>
          <w:tab w:val="left" w:pos="284"/>
        </w:tabs>
        <w:spacing w:after="0" w:line="240" w:lineRule="auto"/>
        <w:ind w:left="0"/>
        <w:contextualSpacing w:val="0"/>
        <w:jc w:val="both"/>
        <w:rPr>
          <w:rFonts w:ascii="Verdana" w:eastAsia="Century Gothic" w:hAnsi="Verdana" w:cs="Century Gothic"/>
          <w:b/>
          <w:bCs/>
          <w:highlight w:val="yellow"/>
        </w:rPr>
      </w:pPr>
    </w:p>
    <w:p w14:paraId="4ABE7B18" w14:textId="77777777" w:rsidR="00683401" w:rsidRPr="00012537" w:rsidRDefault="00683401" w:rsidP="00683401">
      <w:pPr>
        <w:spacing w:after="120" w:line="276" w:lineRule="auto"/>
        <w:jc w:val="both"/>
        <w:rPr>
          <w:rFonts w:ascii="Verdana" w:eastAsia="Century Gothic" w:hAnsi="Verdana" w:cs="Century Gothic"/>
        </w:rPr>
      </w:pPr>
      <w:r w:rsidRPr="00DC7A48">
        <w:rPr>
          <w:rFonts w:ascii="Verdana" w:eastAsia="Calibri" w:hAnsi="Verdana" w:cs="Arial"/>
          <w:color w:val="000000"/>
          <w:lang w:eastAsia="es-ES"/>
        </w:rPr>
        <w:t xml:space="preserve">De acuerdo con el contenido de su solicitud, esta Agencia </w:t>
      </w:r>
      <w:r>
        <w:rPr>
          <w:rFonts w:ascii="Verdana" w:eastAsia="Calibri" w:hAnsi="Verdana" w:cs="Arial"/>
          <w:color w:val="000000"/>
          <w:lang w:eastAsia="es-ES"/>
        </w:rPr>
        <w:t xml:space="preserve">resolverá los siguientes </w:t>
      </w:r>
      <w:r w:rsidRPr="00DC7A48">
        <w:rPr>
          <w:rFonts w:ascii="Verdana" w:eastAsia="Calibri" w:hAnsi="Verdana" w:cs="Arial"/>
          <w:color w:val="000000"/>
          <w:lang w:eastAsia="es-ES"/>
        </w:rPr>
        <w:t>problema</w:t>
      </w:r>
      <w:r>
        <w:rPr>
          <w:rFonts w:ascii="Verdana" w:eastAsia="Calibri" w:hAnsi="Verdana" w:cs="Arial"/>
          <w:color w:val="000000"/>
          <w:lang w:eastAsia="es-ES"/>
        </w:rPr>
        <w:t>s</w:t>
      </w:r>
      <w:r w:rsidRPr="00DC7A48">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DC7A48">
        <w:rPr>
          <w:rFonts w:ascii="Verdana" w:eastAsia="Calibri" w:hAnsi="Verdana" w:cs="Arial"/>
          <w:color w:val="000000"/>
          <w:lang w:eastAsia="es-ES"/>
        </w:rPr>
        <w:t>:</w:t>
      </w:r>
      <w:r w:rsidRPr="00DC7A48">
        <w:rPr>
          <w:rFonts w:ascii="Verdana" w:eastAsia="Century Gothic" w:hAnsi="Verdana" w:cs="Century Gothic"/>
        </w:rPr>
        <w:t xml:space="preserve"> </w:t>
      </w:r>
      <w:r>
        <w:rPr>
          <w:rFonts w:ascii="Verdana" w:eastAsia="Century Gothic" w:hAnsi="Verdana" w:cs="Century Gothic"/>
        </w:rPr>
        <w:t xml:space="preserve">i) </w:t>
      </w:r>
      <w:r w:rsidRPr="00DC7A48">
        <w:rPr>
          <w:rFonts w:ascii="Verdana" w:eastAsia="Century Gothic" w:hAnsi="Verdana" w:cs="Century Gothic"/>
        </w:rPr>
        <w:t>¿</w:t>
      </w:r>
      <w:r>
        <w:rPr>
          <w:rFonts w:ascii="Verdana" w:eastAsia="Century Gothic" w:hAnsi="Verdana" w:cs="Century Gothic"/>
        </w:rPr>
        <w:t xml:space="preserve">Cuál es el ámbito de aplicación de la restricción contenida en el artículo 33 de la Ley de Garantías Electorales? </w:t>
      </w:r>
      <w:proofErr w:type="spellStart"/>
      <w:r>
        <w:rPr>
          <w:rFonts w:ascii="Verdana" w:eastAsia="Century Gothic" w:hAnsi="Verdana" w:cs="Century Gothic"/>
        </w:rPr>
        <w:t>ii</w:t>
      </w:r>
      <w:proofErr w:type="spellEnd"/>
      <w:r>
        <w:rPr>
          <w:rFonts w:ascii="Verdana" w:eastAsia="Century Gothic" w:hAnsi="Verdana" w:cs="Century Gothic"/>
        </w:rPr>
        <w:t xml:space="preserve">) ¿Es viable jurídicamente suscribir una prórroga frente al contrato mediante el cual se adquirió el software o una licencia en vigencia de la ley de garantías electorales? </w:t>
      </w:r>
      <w:proofErr w:type="spellStart"/>
      <w:r>
        <w:rPr>
          <w:rFonts w:ascii="Verdana" w:eastAsia="Century Gothic" w:hAnsi="Verdana" w:cs="Century Gothic"/>
        </w:rPr>
        <w:t>iii</w:t>
      </w:r>
      <w:proofErr w:type="spellEnd"/>
      <w:r>
        <w:rPr>
          <w:rFonts w:ascii="Verdana" w:eastAsia="Century Gothic" w:hAnsi="Verdana" w:cs="Century Gothic"/>
        </w:rPr>
        <w:t>) ¿</w:t>
      </w:r>
      <w:r w:rsidRPr="00241730">
        <w:rPr>
          <w:rFonts w:ascii="Verdana" w:eastAsia="Century Gothic" w:hAnsi="Verdana" w:cs="Century Gothic"/>
        </w:rPr>
        <w:t xml:space="preserve">La entidad estatal puede iniciar un proceso de contratación directa para la adquisición de software o licencias por la inexistencia de oferentes en el mercado,? </w:t>
      </w:r>
      <w:proofErr w:type="spellStart"/>
      <w:r w:rsidRPr="00241730">
        <w:rPr>
          <w:rFonts w:ascii="Verdana" w:eastAsia="Century Gothic" w:hAnsi="Verdana" w:cs="Century Gothic"/>
        </w:rPr>
        <w:t>iv</w:t>
      </w:r>
      <w:proofErr w:type="spellEnd"/>
      <w:r w:rsidRPr="00241730">
        <w:rPr>
          <w:rFonts w:ascii="Verdana" w:eastAsia="Century Gothic" w:hAnsi="Verdana" w:cs="Century Gothic"/>
        </w:rPr>
        <w:t>) ¿Procede la celebración de convenios y contratos interadministrativos bajo la vigencia de la restricción contenida en el parágrafo del artículo 38 de la Ley 996 de 2005 para la obtención de un software o licencias?</w:t>
      </w:r>
      <w:r>
        <w:rPr>
          <w:rFonts w:ascii="Verdana" w:eastAsia="Century Gothic" w:hAnsi="Verdana" w:cs="Century Gothic"/>
        </w:rPr>
        <w:t xml:space="preserve"> </w:t>
      </w:r>
    </w:p>
    <w:p w14:paraId="08851F04" w14:textId="77777777" w:rsidR="00683401" w:rsidRDefault="00683401" w:rsidP="00683401">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76038104" w14:textId="77777777" w:rsidR="00683401" w:rsidRPr="005644FE" w:rsidRDefault="00683401" w:rsidP="00683401">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683401" w:rsidRPr="005644FE" w14:paraId="74B6D163" w14:textId="77777777" w:rsidTr="00A62A97">
        <w:tc>
          <w:tcPr>
            <w:tcW w:w="8828" w:type="dxa"/>
          </w:tcPr>
          <w:p w14:paraId="7F7968DD" w14:textId="77777777" w:rsidR="00683401" w:rsidRPr="00012537" w:rsidRDefault="00683401" w:rsidP="00A62A97">
            <w:pPr>
              <w:spacing w:after="120" w:line="276" w:lineRule="auto"/>
              <w:jc w:val="both"/>
              <w:rPr>
                <w:rFonts w:ascii="Verdana" w:eastAsia="Calibri" w:hAnsi="Verdana" w:cs="Arial"/>
                <w:color w:val="000000"/>
                <w:lang w:eastAsia="es-ES"/>
              </w:rPr>
            </w:pPr>
            <w:r w:rsidRPr="00012537">
              <w:rPr>
                <w:rFonts w:ascii="Verdana" w:eastAsia="Calibri" w:hAnsi="Verdana" w:cs="Arial"/>
                <w:color w:val="000000"/>
                <w:lang w:eastAsia="es-ES"/>
              </w:rPr>
              <w:t xml:space="preserve">i) La prohibición del artículo 33 de la Ley de Garantías Electorales se refiere a “cualquier sistema que no implique convocatoria pública y posibilidad de pluralidad de oferentes”, por lo que excluye las demás modalidades de contratación previstas en la Ley 1150 de 2007. Ahora bien, en relación con los destinatarios de las restricciones, el artículo 33 de la Ley 996 de 2005 los señala expresamente, en el sentido de que son “todos los entes del Estado”, expresión que contempla a los diferentes organismos o entidades autorizadas por la ley para suscribir contratos. Por lo tanto, la prohibición de la contratación directa también aplica frente a las entidades exceptuadas del </w:t>
            </w:r>
            <w:r w:rsidRPr="00012537">
              <w:rPr>
                <w:rFonts w:ascii="Verdana" w:eastAsia="Calibri" w:hAnsi="Verdana" w:cs="Arial"/>
                <w:color w:val="000000"/>
                <w:lang w:eastAsia="es-ES"/>
              </w:rPr>
              <w:lastRenderedPageBreak/>
              <w:t>Estatuto General de Contratación de la Administración Pública y que se rigen en materia contractual por el derecho privado.</w:t>
            </w:r>
          </w:p>
          <w:p w14:paraId="6FB8F492" w14:textId="77777777" w:rsidR="00683401" w:rsidRPr="00012537" w:rsidRDefault="00683401" w:rsidP="00A62A97">
            <w:pPr>
              <w:spacing w:after="120" w:line="276" w:lineRule="auto"/>
              <w:ind w:firstLine="709"/>
              <w:jc w:val="both"/>
              <w:rPr>
                <w:rFonts w:ascii="Verdana" w:eastAsia="Calibri" w:hAnsi="Verdana" w:cs="Arial"/>
                <w:color w:val="000000"/>
                <w:lang w:eastAsia="es-ES"/>
              </w:rPr>
            </w:pPr>
            <w:r w:rsidRPr="00012537">
              <w:rPr>
                <w:rFonts w:ascii="Verdana" w:eastAsia="Calibri" w:hAnsi="Verdana" w:cs="Arial"/>
                <w:color w:val="000000"/>
                <w:lang w:eastAsia="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012537">
              <w:rPr>
                <w:rFonts w:ascii="Verdana" w:eastAsia="Calibri" w:hAnsi="Verdana" w:cs="Arial"/>
                <w:color w:val="000000"/>
                <w:lang w:eastAsia="es-ES"/>
              </w:rPr>
              <w:t>ii</w:t>
            </w:r>
            <w:proofErr w:type="spellEnd"/>
            <w:r w:rsidRPr="00012537">
              <w:rPr>
                <w:rFonts w:ascii="Verdana" w:eastAsia="Calibri" w:hAnsi="Verdana" w:cs="Arial"/>
                <w:color w:val="000000"/>
                <w:lang w:eastAsia="es-ES"/>
              </w:rPr>
              <w:t xml:space="preserve">) los contratos de crédito público; </w:t>
            </w:r>
            <w:proofErr w:type="spellStart"/>
            <w:r w:rsidRPr="00012537">
              <w:rPr>
                <w:rFonts w:ascii="Verdana" w:eastAsia="Calibri" w:hAnsi="Verdana" w:cs="Arial"/>
                <w:color w:val="000000"/>
                <w:lang w:eastAsia="es-ES"/>
              </w:rPr>
              <w:t>iii</w:t>
            </w:r>
            <w:proofErr w:type="spellEnd"/>
            <w:r w:rsidRPr="00012537">
              <w:rPr>
                <w:rFonts w:ascii="Verdana" w:eastAsia="Calibri" w:hAnsi="Verdana" w:cs="Arial"/>
                <w:color w:val="000000"/>
                <w:lang w:eastAsia="es-ES"/>
              </w:rPr>
              <w:t xml:space="preserve">) los requeridos para cubrir las emergencias educativas, sanitarias y desastres; </w:t>
            </w:r>
            <w:proofErr w:type="spellStart"/>
            <w:r w:rsidRPr="00012537">
              <w:rPr>
                <w:rFonts w:ascii="Verdana" w:eastAsia="Calibri" w:hAnsi="Verdana" w:cs="Arial"/>
                <w:color w:val="000000"/>
                <w:lang w:eastAsia="es-ES"/>
              </w:rPr>
              <w:t>iv</w:t>
            </w:r>
            <w:proofErr w:type="spellEnd"/>
            <w:r w:rsidRPr="00012537">
              <w:rPr>
                <w:rFonts w:ascii="Verdana" w:eastAsia="Calibri" w:hAnsi="Verdana" w:cs="Arial"/>
                <w:color w:val="000000"/>
                <w:lang w:eastAsia="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258B82D8" w14:textId="77777777" w:rsidR="00683401" w:rsidRPr="00012537" w:rsidRDefault="00683401" w:rsidP="00A62A97">
            <w:pPr>
              <w:spacing w:after="120" w:line="276" w:lineRule="auto"/>
              <w:jc w:val="both"/>
              <w:rPr>
                <w:rFonts w:ascii="Verdana" w:eastAsia="Calibri" w:hAnsi="Verdana" w:cs="Arial"/>
                <w:color w:val="000000"/>
                <w:lang w:eastAsia="es-ES"/>
              </w:rPr>
            </w:pPr>
            <w:proofErr w:type="spellStart"/>
            <w:r w:rsidRPr="00012537">
              <w:rPr>
                <w:rFonts w:ascii="Verdana" w:eastAsia="Calibri" w:hAnsi="Verdana" w:cs="Arial"/>
                <w:color w:val="000000"/>
                <w:lang w:eastAsia="es-ES"/>
              </w:rPr>
              <w:t>ii</w:t>
            </w:r>
            <w:proofErr w:type="spellEnd"/>
            <w:r w:rsidRPr="00012537">
              <w:rPr>
                <w:rFonts w:ascii="Verdana" w:eastAsia="Calibri" w:hAnsi="Verdana" w:cs="Arial"/>
                <w:color w:val="000000"/>
                <w:lang w:eastAsia="es-ES"/>
              </w:rPr>
              <w:t xml:space="preserve">) En cuanto al segundo problema jurídico, como en otras oportunidades lo ha manifestado esta Agencia, las prórrogas, modificaciones o adiciones de los contratos suscritos antes de la entrada en vigencia de las prohibiciones enunciadas en el artículo 33 y el parágrafo 38 de la Ley 996 de 2005 anotadas, así como la cesión de los mismos, pueden tener lugar en el período de aplicación de la Ley de Garantías, sin que ello haga nugatoria la restricción de la contratación directa y siempre que cumplan los principios de planeación, transparencia y responsabilidad. </w:t>
            </w:r>
          </w:p>
          <w:p w14:paraId="74277168" w14:textId="77777777" w:rsidR="00683401" w:rsidRPr="00012537" w:rsidRDefault="00683401" w:rsidP="00A62A97">
            <w:pPr>
              <w:widowControl w:val="0"/>
              <w:autoSpaceDE w:val="0"/>
              <w:autoSpaceDN w:val="0"/>
              <w:spacing w:after="120" w:line="276" w:lineRule="auto"/>
              <w:jc w:val="both"/>
              <w:rPr>
                <w:rFonts w:ascii="Verdana" w:eastAsia="Calibri" w:hAnsi="Verdana" w:cs="Arial"/>
                <w:color w:val="000000"/>
                <w:lang w:eastAsia="es-ES"/>
              </w:rPr>
            </w:pPr>
            <w:proofErr w:type="spellStart"/>
            <w:r w:rsidRPr="00012537">
              <w:rPr>
                <w:rFonts w:ascii="Verdana" w:eastAsia="Calibri" w:hAnsi="Verdana" w:cs="Arial"/>
                <w:color w:val="000000"/>
                <w:lang w:eastAsia="es-ES"/>
              </w:rPr>
              <w:t>iii</w:t>
            </w:r>
            <w:proofErr w:type="spellEnd"/>
            <w:r w:rsidRPr="00012537">
              <w:rPr>
                <w:rFonts w:ascii="Verdana" w:eastAsia="Calibri" w:hAnsi="Verdana" w:cs="Arial"/>
                <w:color w:val="000000"/>
                <w:lang w:eastAsia="es-ES"/>
              </w:rPr>
              <w:t xml:space="preserve">) Respecto del tercer problema jurídico planteado para la adquisición de software y servicios asociados, las Entidades Estatal deberán, en primera medida, determinar si existe una herramienta disponible en el mercado o si, por el contrario, deben recurrir a la contratación del desarrollo de software a la medida o de una fábrica de software. De acuerdo con lo anterior, Colombia Compra Eficiente y el MinTIC recomiendan que: i) la adquisición de software se realice por selección abreviada por subasta inversa cuando la adquisición se refiera efectivamente a bienes de características técnicas uniformes, sin </w:t>
            </w:r>
            <w:r w:rsidRPr="00012537">
              <w:rPr>
                <w:rFonts w:ascii="Verdana" w:eastAsia="Calibri" w:hAnsi="Verdana" w:cs="Arial"/>
                <w:color w:val="000000"/>
                <w:lang w:eastAsia="es-ES"/>
              </w:rPr>
              <w:lastRenderedPageBreak/>
              <w:t xml:space="preserve">perjuicio de lo dispuesto en materia de Acuerdos Marco de Precios e Instrumentos de Agregación de Demanda. Sin embargo, la entidad deberá considerar si, por no tratarse de dichos bienes, puede ser procedente un proceso de licitación pública, de mínima cuantía o un concurso de méritos. Por su parte las entidades deberían contratar </w:t>
            </w:r>
            <w:proofErr w:type="spellStart"/>
            <w:r w:rsidRPr="00012537">
              <w:rPr>
                <w:rFonts w:ascii="Verdana" w:eastAsia="Calibri" w:hAnsi="Verdana" w:cs="Arial"/>
                <w:color w:val="000000"/>
                <w:lang w:eastAsia="es-ES"/>
              </w:rPr>
              <w:t>ii</w:t>
            </w:r>
            <w:proofErr w:type="spellEnd"/>
            <w:r w:rsidRPr="00012537">
              <w:rPr>
                <w:rFonts w:ascii="Verdana" w:eastAsia="Calibri" w:hAnsi="Verdana" w:cs="Arial"/>
                <w:color w:val="000000"/>
                <w:lang w:eastAsia="es-ES"/>
              </w:rPr>
              <w:t xml:space="preserve">) el desarrollo de software por medio de la modalidad de concurso de méritos; y </w:t>
            </w:r>
            <w:proofErr w:type="spellStart"/>
            <w:r w:rsidRPr="00012537">
              <w:rPr>
                <w:rFonts w:ascii="Verdana" w:eastAsia="Calibri" w:hAnsi="Verdana" w:cs="Arial"/>
                <w:color w:val="000000"/>
                <w:lang w:eastAsia="es-ES"/>
              </w:rPr>
              <w:t>iii</w:t>
            </w:r>
            <w:proofErr w:type="spellEnd"/>
            <w:r w:rsidRPr="00012537">
              <w:rPr>
                <w:rFonts w:ascii="Verdana" w:eastAsia="Calibri" w:hAnsi="Verdana" w:cs="Arial"/>
                <w:color w:val="000000"/>
                <w:lang w:eastAsia="es-ES"/>
              </w:rPr>
              <w:t xml:space="preserve">) la fábrica de software, mediante licitación pública cuando no implique aspectos que hagan procedente otra modalidad, como la selección abreviada por subasta inversa cuando incluya bienes de características técnicas uniformes. </w:t>
            </w:r>
          </w:p>
          <w:p w14:paraId="283693ED" w14:textId="77777777" w:rsidR="00683401" w:rsidRPr="00012537" w:rsidRDefault="00683401" w:rsidP="00A62A97">
            <w:pPr>
              <w:widowControl w:val="0"/>
              <w:autoSpaceDE w:val="0"/>
              <w:autoSpaceDN w:val="0"/>
              <w:spacing w:after="120" w:line="276" w:lineRule="auto"/>
              <w:ind w:firstLine="709"/>
              <w:jc w:val="both"/>
              <w:rPr>
                <w:rFonts w:ascii="Verdana" w:eastAsia="Calibri" w:hAnsi="Verdana" w:cs="Arial"/>
                <w:color w:val="000000"/>
                <w:lang w:eastAsia="es-ES"/>
              </w:rPr>
            </w:pPr>
            <w:r w:rsidRPr="00012537">
              <w:rPr>
                <w:rFonts w:ascii="Verdana" w:eastAsia="Calibri" w:hAnsi="Verdana" w:cs="Arial"/>
                <w:color w:val="000000"/>
                <w:lang w:eastAsia="es-ES"/>
              </w:rPr>
              <w:t>Ahora, aunque la licitación pública es la modalidad de selección que constituye la regla general para las entidades regidas por el Estatuto General de Contratación de la Administración Pública, el artículo 2, numeral 4, de la Ley 1150 de 2007 consagra algunas excepciones, que atienden a la necesidad de proteger principios como la eficiencia, la eficacia, la economía, la celeridad o la integridad de las personas. Una de las excepciones es la causal de contratación directa prevista en el literal g) del mencionado numeral, que se refiere a la ausencia de pluralidad de oferentes.</w:t>
            </w:r>
          </w:p>
          <w:p w14:paraId="50D5A95D" w14:textId="77777777" w:rsidR="00683401" w:rsidRPr="00012537" w:rsidRDefault="00683401" w:rsidP="00A62A97">
            <w:pPr>
              <w:widowControl w:val="0"/>
              <w:autoSpaceDE w:val="0"/>
              <w:autoSpaceDN w:val="0"/>
              <w:spacing w:after="120" w:line="276" w:lineRule="auto"/>
              <w:ind w:firstLine="709"/>
              <w:jc w:val="both"/>
              <w:rPr>
                <w:rFonts w:ascii="Verdana" w:eastAsia="Calibri" w:hAnsi="Verdana" w:cs="Arial"/>
                <w:color w:val="000000"/>
                <w:lang w:eastAsia="es-ES"/>
              </w:rPr>
            </w:pPr>
            <w:r w:rsidRPr="00012537">
              <w:rPr>
                <w:rFonts w:ascii="Verdana" w:eastAsia="Calibri" w:hAnsi="Verdana" w:cs="Arial"/>
                <w:color w:val="000000"/>
                <w:lang w:eastAsia="es-ES"/>
              </w:rPr>
              <w:t xml:space="preserve">En la actualidad, la disposición normativa vigente para interpretar el alcance de la causal de contratación directa establecida en el artículo 2, numeral 4, literal g), de la Ley 1150 de 2007, está compilada en el artículo 2.2.1.2.1.4.8 del Decreto 1082 de 2015. La norma consagra dos (2) hipótesis. En primer lugar, no existe pluralidad de oferentes cuando solo una persona puede proveer el bien o servicio por ser titular de los derechos de propiedad industrial o de los derechos de autor. De esta manera, no basta con que sea la única persona capaz de ejecutar el contrato, pues se debe justificar una situación de derecho que impida que otra lo haga de forma igual o similar. En segundo lugar, el artículo 2.2.1.2.1.4.8 del Decreto 1082 de 2015 dispone que tampoco existe pluralidad de oferentes cuando existe una sola persona que puede celebrar el contrato por ser proveedor exclusivo en el territorio nacional. </w:t>
            </w:r>
          </w:p>
          <w:p w14:paraId="2FCF2C74" w14:textId="77777777" w:rsidR="00683401" w:rsidRPr="00012537" w:rsidRDefault="00683401" w:rsidP="00A62A97">
            <w:pPr>
              <w:widowControl w:val="0"/>
              <w:autoSpaceDE w:val="0"/>
              <w:autoSpaceDN w:val="0"/>
              <w:spacing w:after="120" w:line="276" w:lineRule="auto"/>
              <w:ind w:firstLine="709"/>
              <w:jc w:val="both"/>
              <w:rPr>
                <w:rFonts w:ascii="Verdana" w:eastAsia="Calibri" w:hAnsi="Verdana" w:cs="Arial"/>
                <w:color w:val="000000"/>
                <w:lang w:eastAsia="es-ES"/>
              </w:rPr>
            </w:pPr>
            <w:r w:rsidRPr="00012537">
              <w:rPr>
                <w:rFonts w:ascii="Verdana" w:eastAsia="Calibri" w:hAnsi="Verdana" w:cs="Arial"/>
                <w:color w:val="000000"/>
                <w:lang w:eastAsia="es-ES"/>
              </w:rPr>
              <w:t xml:space="preserve">Por lo tanto, fuera de las dos (2) situaciones analizadas, no es posible aplicar el artículo 2, numeral 4, literal g), de la Ley 1150 de 2007. Por lo tanto, las normas citadas integran una causal de contratación directa que es excepcional a los mecanismos de selección objetiva por convocatoria pública definidos en el Estatuto General de Contratación de la Administración Pública, por lo que se interpretan restrictivamente, es decir, conforme al tenor literal </w:t>
            </w:r>
            <w:r w:rsidRPr="00012537">
              <w:rPr>
                <w:rFonts w:ascii="Verdana" w:eastAsia="Calibri" w:hAnsi="Verdana" w:cs="Arial"/>
                <w:color w:val="000000"/>
                <w:lang w:eastAsia="es-ES"/>
              </w:rPr>
              <w:lastRenderedPageBreak/>
              <w:t>de las normas.</w:t>
            </w:r>
          </w:p>
          <w:p w14:paraId="39E9258C" w14:textId="77777777" w:rsidR="00683401" w:rsidRPr="00012537" w:rsidRDefault="00683401" w:rsidP="00A62A97">
            <w:pPr>
              <w:widowControl w:val="0"/>
              <w:autoSpaceDE w:val="0"/>
              <w:autoSpaceDN w:val="0"/>
              <w:spacing w:after="120" w:line="276" w:lineRule="auto"/>
              <w:ind w:firstLine="709"/>
              <w:jc w:val="both"/>
              <w:rPr>
                <w:rFonts w:ascii="Verdana" w:eastAsia="Calibri" w:hAnsi="Verdana" w:cs="Arial"/>
                <w:color w:val="000000"/>
                <w:lang w:eastAsia="es-ES"/>
              </w:rPr>
            </w:pPr>
            <w:r w:rsidRPr="00012537">
              <w:rPr>
                <w:rFonts w:ascii="Verdana" w:eastAsia="Calibri" w:hAnsi="Verdana" w:cs="Arial"/>
                <w:color w:val="000000"/>
                <w:lang w:eastAsia="es-ES"/>
              </w:rPr>
              <w:t xml:space="preserve">Ahora bien, en relación con la contratación directa bajo la causal contemplada en el artículo 2 numeral 4 literal g) de la Ley 1150 de 2007 en vigencia de las restricciones contempladas en la Ley 996 de 2005, se reitera que, dicha posibilidad se encuentra prohibida dentro de los términos definidos en el artículo 33, esto es, cualquier tipo de contratación directa, salvo que se presente alguna causal que determine la necesidad de su contratación de manera directa.   </w:t>
            </w:r>
          </w:p>
          <w:p w14:paraId="405249AB" w14:textId="77777777" w:rsidR="00683401" w:rsidRPr="00012537" w:rsidRDefault="00683401" w:rsidP="00A62A97">
            <w:pPr>
              <w:widowControl w:val="0"/>
              <w:autoSpaceDE w:val="0"/>
              <w:autoSpaceDN w:val="0"/>
              <w:spacing w:after="120" w:line="276" w:lineRule="auto"/>
              <w:jc w:val="both"/>
              <w:rPr>
                <w:rFonts w:ascii="Verdana" w:eastAsia="Calibri" w:hAnsi="Verdana" w:cs="Arial"/>
                <w:color w:val="000000"/>
                <w:lang w:eastAsia="es-ES"/>
              </w:rPr>
            </w:pPr>
            <w:proofErr w:type="spellStart"/>
            <w:r w:rsidRPr="00012537">
              <w:rPr>
                <w:rFonts w:ascii="Verdana" w:eastAsia="Calibri" w:hAnsi="Verdana" w:cs="Arial"/>
                <w:color w:val="000000"/>
                <w:lang w:eastAsia="es-ES"/>
              </w:rPr>
              <w:t>iv</w:t>
            </w:r>
            <w:proofErr w:type="spellEnd"/>
            <w:r w:rsidRPr="00012537">
              <w:rPr>
                <w:rFonts w:ascii="Verdana" w:eastAsia="Calibri" w:hAnsi="Verdana" w:cs="Arial"/>
                <w:color w:val="000000"/>
                <w:lang w:eastAsia="es-ES"/>
              </w:rPr>
              <w:t xml:space="preserve">) Por último, en cuanto a la posibilidad de celebrar convenios y contratos interadministrativos bajo la vigencia de la restricción contenida en el parágrafo del artículo 38 de la Ley 996 de 2005 para la adquisición de un software o licencias, debe analizarse el alcance del parágrafo del artículo 38 de la Ley 996 de 2005. La prohibición dispone en primera medida que: “[l]os Gobernadores, </w:t>
            </w:r>
            <w:proofErr w:type="gramStart"/>
            <w:r w:rsidRPr="00012537">
              <w:rPr>
                <w:rFonts w:ascii="Verdana" w:eastAsia="Calibri" w:hAnsi="Verdana" w:cs="Arial"/>
                <w:color w:val="000000"/>
                <w:lang w:eastAsia="es-ES"/>
              </w:rPr>
              <w:t>Alcaldes</w:t>
            </w:r>
            <w:proofErr w:type="gramEnd"/>
            <w:r w:rsidRPr="00012537">
              <w:rPr>
                <w:rFonts w:ascii="Verdana" w:eastAsia="Calibri" w:hAnsi="Verdana" w:cs="Arial"/>
                <w:color w:val="000000"/>
                <w:lang w:eastAsia="es-ES"/>
              </w:rPr>
              <w:t xml:space="preserve"> Municipales y/o Distritales, </w:t>
            </w:r>
            <w:proofErr w:type="gramStart"/>
            <w:r w:rsidRPr="00012537">
              <w:rPr>
                <w:rFonts w:ascii="Verdana" w:eastAsia="Calibri" w:hAnsi="Verdana" w:cs="Arial"/>
                <w:color w:val="000000"/>
                <w:lang w:eastAsia="es-ES"/>
              </w:rPr>
              <w:t>Secretarios</w:t>
            </w:r>
            <w:proofErr w:type="gramEnd"/>
            <w:r w:rsidRPr="00012537">
              <w:rPr>
                <w:rFonts w:ascii="Verdana" w:eastAsia="Calibri" w:hAnsi="Verdana" w:cs="Arial"/>
                <w:color w:val="000000"/>
                <w:lang w:eastAsia="es-ES"/>
              </w:rPr>
              <w:t>, Gerentes y directores de Entidades Descentralizadas del orden Municipal, Departamental o Distrital, dentro de los cuatro (4) meses anteriores a las elecciones, no podrán celebrar convenios interadministrativos para la ejecución de recursos públicos”.</w:t>
            </w:r>
          </w:p>
          <w:p w14:paraId="2FE10ED9" w14:textId="77777777" w:rsidR="00683401" w:rsidRPr="00012537" w:rsidRDefault="00683401" w:rsidP="00A62A97">
            <w:pPr>
              <w:widowControl w:val="0"/>
              <w:autoSpaceDE w:val="0"/>
              <w:autoSpaceDN w:val="0"/>
              <w:spacing w:after="120" w:line="276" w:lineRule="auto"/>
              <w:ind w:firstLine="709"/>
              <w:jc w:val="both"/>
              <w:rPr>
                <w:rFonts w:ascii="Verdana" w:eastAsia="Calibri" w:hAnsi="Verdana" w:cs="Arial"/>
                <w:color w:val="000000"/>
                <w:lang w:eastAsia="es-ES"/>
              </w:rPr>
            </w:pPr>
            <w:r w:rsidRPr="00012537">
              <w:rPr>
                <w:rFonts w:ascii="Verdana" w:eastAsia="Calibri" w:hAnsi="Verdana" w:cs="Arial"/>
                <w:color w:val="000000"/>
                <w:lang w:eastAsia="es-ES"/>
              </w:rPr>
              <w:t>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w:t>
            </w:r>
          </w:p>
          <w:p w14:paraId="6803599F" w14:textId="77777777" w:rsidR="00683401" w:rsidRPr="00012537" w:rsidRDefault="00683401" w:rsidP="00A62A97">
            <w:pPr>
              <w:widowControl w:val="0"/>
              <w:autoSpaceDE w:val="0"/>
              <w:autoSpaceDN w:val="0"/>
              <w:spacing w:after="120" w:line="276" w:lineRule="auto"/>
              <w:ind w:firstLine="709"/>
              <w:jc w:val="both"/>
              <w:rPr>
                <w:rFonts w:ascii="Verdana" w:eastAsia="Calibri" w:hAnsi="Verdana" w:cs="Arial"/>
                <w:color w:val="000000"/>
                <w:lang w:eastAsia="es-ES"/>
              </w:rPr>
            </w:pPr>
            <w:r w:rsidRPr="00012537">
              <w:rPr>
                <w:rFonts w:ascii="Verdana" w:eastAsia="Calibri" w:hAnsi="Verdana" w:cs="Arial"/>
                <w:color w:val="000000"/>
                <w:lang w:eastAsia="es-ES"/>
              </w:rPr>
              <w:t>Ahora bien, de acuerdo con lo dispuesto en sentencia del 17 de octubre de 2025, dentro del expediente 11001-03-26-000-2023-00139-00, el Consejo de Estado, no resultaría aplicable la prohibición del parágrafo del artículo 38 de la Ley de Garantías Electorales a los contratos interadministrativos, dado que esta prohibición solo aplicaría a los convenios interadministrativos que impliquen la ejecución de recursos públicos.</w:t>
            </w:r>
          </w:p>
          <w:p w14:paraId="63920AD7" w14:textId="77777777" w:rsidR="00683401" w:rsidRPr="00012537" w:rsidRDefault="00683401" w:rsidP="00A62A97">
            <w:pPr>
              <w:widowControl w:val="0"/>
              <w:autoSpaceDE w:val="0"/>
              <w:autoSpaceDN w:val="0"/>
              <w:spacing w:after="120" w:line="276" w:lineRule="auto"/>
              <w:ind w:firstLine="709"/>
              <w:jc w:val="both"/>
              <w:rPr>
                <w:rFonts w:ascii="Verdana" w:eastAsia="Calibri" w:hAnsi="Verdana" w:cs="Arial"/>
                <w:color w:val="000000"/>
                <w:lang w:eastAsia="es-ES"/>
              </w:rPr>
            </w:pPr>
            <w:r w:rsidRPr="00012537">
              <w:rPr>
                <w:rFonts w:ascii="Verdana" w:eastAsia="Calibri" w:hAnsi="Verdana" w:cs="Arial"/>
                <w:color w:val="000000"/>
                <w:lang w:eastAsia="es-ES"/>
              </w:rPr>
              <w:t xml:space="preserve">De cualquier modo, en principio, el contrato o convenio interadministrativo no constituye una tipología contractual adecuada para contratar la adquisición o el desarrollo de software. De forma similar, si no se configura ninguna otra de las causales señaladas por la Ley, tampoco es procedente la modalidad de contratación directa para que las entidades se abastezcan de este tipo de bienes o servicios. En efecto, en la celebración de los contratos o convenios interadministrativos, las Entidades Estatales buscan </w:t>
            </w:r>
            <w:r w:rsidRPr="00012537">
              <w:rPr>
                <w:rFonts w:ascii="Verdana" w:eastAsia="Calibri" w:hAnsi="Verdana" w:cs="Arial"/>
                <w:color w:val="000000"/>
                <w:lang w:eastAsia="es-ES"/>
              </w:rPr>
              <w:lastRenderedPageBreak/>
              <w:t xml:space="preserve">cumplir, en el marco de sus objetivos misionales y sus competencias, con los fines del Estado. En consecuencia, la Entidad puede incurrir en una indebida elección de la modalidad de selección y de la tipología contractual si ha identificado que requiere la adquisición de un software o del desarrollo </w:t>
            </w:r>
            <w:proofErr w:type="gramStart"/>
            <w:r w:rsidRPr="00012537">
              <w:rPr>
                <w:rFonts w:ascii="Verdana" w:eastAsia="Calibri" w:hAnsi="Verdana" w:cs="Arial"/>
                <w:color w:val="000000"/>
                <w:lang w:eastAsia="es-ES"/>
              </w:rPr>
              <w:t>del mismo</w:t>
            </w:r>
            <w:proofErr w:type="gramEnd"/>
            <w:r w:rsidRPr="00012537">
              <w:rPr>
                <w:rFonts w:ascii="Verdana" w:eastAsia="Calibri" w:hAnsi="Verdana" w:cs="Arial"/>
                <w:color w:val="000000"/>
                <w:lang w:eastAsia="es-ES"/>
              </w:rPr>
              <w:t xml:space="preserve">, pero celebra un contrato o convenio interadministrativo de manera directa cuyo objeto sea únicamente el aprovisionamiento de ese bien o servicio sin que se materialice el objetivo real de la contratación a través de estas tipologías contractuales. </w:t>
            </w:r>
          </w:p>
        </w:tc>
      </w:tr>
    </w:tbl>
    <w:p w14:paraId="248BC9C3" w14:textId="77777777" w:rsidR="00683401" w:rsidRDefault="00683401" w:rsidP="00683401">
      <w:pPr>
        <w:tabs>
          <w:tab w:val="left" w:pos="142"/>
          <w:tab w:val="left" w:pos="284"/>
        </w:tabs>
        <w:spacing w:after="0" w:line="276" w:lineRule="auto"/>
        <w:jc w:val="both"/>
        <w:rPr>
          <w:rFonts w:ascii="Verdana" w:eastAsia="Century Gothic" w:hAnsi="Verdana" w:cs="Century Gothic"/>
          <w:b/>
          <w:bCs/>
        </w:rPr>
      </w:pPr>
    </w:p>
    <w:p w14:paraId="21C80EFD" w14:textId="77777777" w:rsidR="00683401" w:rsidRPr="005644FE" w:rsidRDefault="00683401" w:rsidP="00683401">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12F3CEE3" w14:textId="77777777" w:rsidR="00683401" w:rsidRPr="005644FE" w:rsidRDefault="00683401" w:rsidP="00683401">
      <w:pPr>
        <w:pStyle w:val="Prrafodelista"/>
        <w:tabs>
          <w:tab w:val="left" w:pos="142"/>
          <w:tab w:val="left" w:pos="284"/>
        </w:tabs>
        <w:spacing w:after="0" w:line="240" w:lineRule="auto"/>
        <w:ind w:left="0"/>
        <w:contextualSpacing w:val="0"/>
        <w:jc w:val="both"/>
        <w:rPr>
          <w:rFonts w:ascii="Verdana" w:eastAsia="Calibri" w:hAnsi="Verdana" w:cs="Arial"/>
        </w:rPr>
      </w:pPr>
    </w:p>
    <w:p w14:paraId="2E549F2D" w14:textId="77777777" w:rsidR="00683401" w:rsidRDefault="00683401" w:rsidP="00683401">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7F6B4A79" w14:textId="77777777" w:rsidR="00683401" w:rsidRDefault="00683401" w:rsidP="00683401">
      <w:pPr>
        <w:tabs>
          <w:tab w:val="left" w:pos="142"/>
          <w:tab w:val="left" w:pos="284"/>
          <w:tab w:val="left" w:pos="6912"/>
        </w:tabs>
        <w:spacing w:after="0" w:line="240" w:lineRule="auto"/>
        <w:jc w:val="both"/>
        <w:rPr>
          <w:rFonts w:ascii="Verdana" w:eastAsia="Calibri" w:hAnsi="Verdana" w:cs="Arial"/>
        </w:rPr>
      </w:pPr>
    </w:p>
    <w:p w14:paraId="52150EF3" w14:textId="77777777" w:rsidR="00683401" w:rsidRPr="00F10E52" w:rsidRDefault="00683401" w:rsidP="00683401">
      <w:pPr>
        <w:tabs>
          <w:tab w:val="left" w:pos="426"/>
        </w:tabs>
        <w:spacing w:after="120" w:line="276" w:lineRule="auto"/>
        <w:jc w:val="both"/>
        <w:rPr>
          <w:rFonts w:ascii="Verdana" w:eastAsia="Times New Roman" w:hAnsi="Verdana" w:cs="Arial"/>
          <w:bCs/>
          <w:lang w:eastAsia="es-CO"/>
        </w:rPr>
      </w:pPr>
      <w:r>
        <w:rPr>
          <w:rFonts w:ascii="Verdana" w:eastAsia="Calibri" w:hAnsi="Verdana" w:cs="Arial"/>
        </w:rPr>
        <w:t xml:space="preserve">i) </w:t>
      </w: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0CEB5806" w14:textId="77777777" w:rsidR="00683401" w:rsidRDefault="00683401" w:rsidP="00683401">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xml:space="preserve">. En esta medida, introduce limitaciones para realizar nombramientos, postulaciones, </w:t>
      </w:r>
      <w:r w:rsidRPr="00F10E52">
        <w:rPr>
          <w:rFonts w:ascii="Verdana" w:eastAsia="Times New Roman" w:hAnsi="Verdana" w:cs="Arial"/>
          <w:bCs/>
          <w:lang w:eastAsia="es-CO"/>
        </w:rPr>
        <w:lastRenderedPageBreak/>
        <w:t>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3B9C8631" w14:textId="77777777" w:rsidR="00683401" w:rsidRPr="00F10E52" w:rsidRDefault="00683401" w:rsidP="00683401">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ED4DF7D" w14:textId="77777777" w:rsidR="00683401" w:rsidRPr="007777F3" w:rsidRDefault="00683401" w:rsidP="00683401">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478EA882" w14:textId="77777777" w:rsidR="00683401" w:rsidRPr="009E6EDF" w:rsidRDefault="00683401" w:rsidP="00683401">
      <w:pPr>
        <w:spacing w:after="0" w:line="240" w:lineRule="auto"/>
        <w:ind w:left="709" w:right="709"/>
        <w:jc w:val="both"/>
        <w:rPr>
          <w:rFonts w:ascii="Verdana" w:eastAsia="Times New Roman" w:hAnsi="Verdana" w:cs="Arial"/>
          <w:bCs/>
          <w:sz w:val="20"/>
          <w:szCs w:val="20"/>
          <w:lang w:eastAsia="es-CO"/>
        </w:rPr>
      </w:pPr>
    </w:p>
    <w:p w14:paraId="46E364DC" w14:textId="77777777" w:rsidR="00683401" w:rsidRDefault="00683401" w:rsidP="00683401">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p>
    <w:p w14:paraId="1CA11966" w14:textId="77777777" w:rsidR="00683401" w:rsidRPr="009E6EDF" w:rsidRDefault="00683401" w:rsidP="00683401">
      <w:pPr>
        <w:spacing w:after="0" w:line="240" w:lineRule="auto"/>
        <w:ind w:left="709" w:right="709"/>
        <w:jc w:val="both"/>
        <w:rPr>
          <w:rFonts w:ascii="Verdana" w:eastAsia="Times New Roman" w:hAnsi="Verdana" w:cs="Arial"/>
          <w:bCs/>
          <w:lang w:eastAsia="es-CO"/>
        </w:rPr>
      </w:pPr>
    </w:p>
    <w:p w14:paraId="3156EA05" w14:textId="7725955C" w:rsidR="00683401" w:rsidRPr="006A51F6" w:rsidRDefault="00683401" w:rsidP="003E7576">
      <w:pPr>
        <w:spacing w:after="120" w:line="276" w:lineRule="auto"/>
        <w:ind w:firstLine="709"/>
        <w:jc w:val="both"/>
        <w:rPr>
          <w:rFonts w:ascii="Verdana" w:eastAsia="Times New Roman" w:hAnsi="Verdana" w:cs="Arial"/>
          <w:bCs/>
          <w:lang w:eastAsia="es-CO"/>
        </w:rPr>
      </w:pPr>
      <w:bookmarkStart w:id="3" w:name="_Hlk78818186"/>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6E5C9EF3" w14:textId="77777777" w:rsidR="00683401" w:rsidRDefault="00683401" w:rsidP="00683401">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24AC803" w14:textId="77777777" w:rsidR="00683401" w:rsidRPr="009B20C5" w:rsidRDefault="00683401" w:rsidP="00683401">
      <w:pPr>
        <w:spacing w:after="0" w:line="240" w:lineRule="auto"/>
        <w:ind w:left="709" w:right="709"/>
        <w:jc w:val="both"/>
        <w:rPr>
          <w:rFonts w:ascii="Verdana" w:eastAsia="Times New Roman" w:hAnsi="Verdana" w:cs="Arial"/>
          <w:bCs/>
          <w:sz w:val="20"/>
          <w:szCs w:val="20"/>
          <w:lang w:eastAsia="es-CO"/>
        </w:rPr>
      </w:pPr>
    </w:p>
    <w:p w14:paraId="39E7FF1F" w14:textId="77777777" w:rsidR="00683401" w:rsidRPr="009B20C5" w:rsidRDefault="00683401" w:rsidP="00683401">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14330E9F" w14:textId="77777777" w:rsidR="00683401" w:rsidRDefault="00683401" w:rsidP="00683401">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05C4B2BF" w14:textId="77777777" w:rsidR="00683401" w:rsidRDefault="00683401" w:rsidP="00683401">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4"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609F9B7" w14:textId="77777777" w:rsidR="00683401" w:rsidRPr="00F10E52" w:rsidRDefault="00683401" w:rsidP="0068340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4"/>
    </w:p>
    <w:p w14:paraId="27BDC164" w14:textId="77777777" w:rsidR="00683401" w:rsidRPr="00F10E52" w:rsidRDefault="00683401" w:rsidP="00683401">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F10E52">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35B0DFFD" w14:textId="77777777" w:rsidR="00683401" w:rsidRDefault="00683401" w:rsidP="00683401">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5D8DAB66" w14:textId="77777777" w:rsidR="00683401" w:rsidRPr="006A51F6" w:rsidRDefault="00683401" w:rsidP="00683401">
      <w:pPr>
        <w:widowControl w:val="0"/>
        <w:autoSpaceDE w:val="0"/>
        <w:autoSpaceDN w:val="0"/>
        <w:spacing w:after="120" w:line="276" w:lineRule="auto"/>
        <w:ind w:right="113"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EF554A1" w14:textId="77777777" w:rsidR="00683401" w:rsidRPr="009B20C5" w:rsidRDefault="00683401" w:rsidP="0068340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9B20C5">
        <w:rPr>
          <w:rFonts w:ascii="Verdana" w:eastAsia="Arial" w:hAnsi="Verdana" w:cs="Arial"/>
          <w:sz w:val="20"/>
          <w:szCs w:val="20"/>
          <w:lang w:val="es-ES" w:eastAsia="es-ES" w:bidi="es-ES"/>
        </w:rPr>
        <w:t>se integran parcialmente</w:t>
      </w:r>
      <w:bookmarkEnd w:id="7"/>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w:t>
      </w:r>
      <w:r w:rsidRPr="009B20C5">
        <w:rPr>
          <w:rFonts w:ascii="Verdana" w:eastAsia="Arial" w:hAnsi="Verdana" w:cs="Arial"/>
          <w:sz w:val="20"/>
          <w:szCs w:val="20"/>
          <w:lang w:val="es-ES" w:eastAsia="es-ES" w:bidi="es-ES"/>
        </w:rPr>
        <w:lastRenderedPageBreak/>
        <w:t xml:space="preserve">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44BC5F88" w14:textId="77777777" w:rsidR="00683401" w:rsidRDefault="00683401" w:rsidP="00683401">
      <w:pPr>
        <w:spacing w:after="0" w:line="240" w:lineRule="auto"/>
        <w:ind w:firstLine="709"/>
        <w:jc w:val="both"/>
        <w:rPr>
          <w:rFonts w:ascii="Verdana" w:eastAsia="Arial" w:hAnsi="Verdana" w:cs="Arial"/>
          <w:lang w:val="es-ES" w:eastAsia="es-ES" w:bidi="es-ES"/>
        </w:rPr>
      </w:pPr>
    </w:p>
    <w:p w14:paraId="09A9C358" w14:textId="77777777" w:rsidR="00683401" w:rsidRPr="00F10E52" w:rsidRDefault="00683401" w:rsidP="0068340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8" w:name="_Hlk99438241"/>
      <w:r w:rsidRPr="00F10E52">
        <w:rPr>
          <w:rFonts w:ascii="Verdana" w:eastAsia="Arial" w:hAnsi="Verdana" w:cs="Arial"/>
          <w:lang w:val="es-ES" w:eastAsia="es-ES" w:bidi="es-ES"/>
        </w:rPr>
        <w:t xml:space="preserve">, </w:t>
      </w:r>
      <w:bookmarkStart w:id="9" w:name="_Hlk77236420"/>
      <w:bookmarkStart w:id="10" w:name="_Hlk78818435"/>
      <w:bookmarkStart w:id="11"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8"/>
    <w:bookmarkEnd w:id="10"/>
    <w:p w14:paraId="50B7BFC4" w14:textId="77777777" w:rsidR="00683401" w:rsidRPr="00F10E52" w:rsidRDefault="00683401" w:rsidP="0068340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34448FE8" w14:textId="77777777" w:rsidR="00683401" w:rsidRDefault="00683401" w:rsidP="00683401">
      <w:pPr>
        <w:spacing w:after="120" w:line="276" w:lineRule="auto"/>
        <w:ind w:firstLine="708"/>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w:t>
      </w:r>
      <w:r w:rsidRPr="00F10E52">
        <w:rPr>
          <w:rFonts w:ascii="Verdana" w:eastAsia="Arial" w:hAnsi="Verdana" w:cs="Arial"/>
          <w:lang w:val="es-ES" w:eastAsia="es-ES" w:bidi="es-ES"/>
        </w:rPr>
        <w:lastRenderedPageBreak/>
        <w:t xml:space="preserve">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4551789E" w14:textId="77777777" w:rsidR="00683401" w:rsidRDefault="00683401" w:rsidP="00683401">
      <w:pPr>
        <w:spacing w:after="0" w:line="276" w:lineRule="auto"/>
        <w:ind w:firstLine="708"/>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el objeto de la consulta, a continuación, se hará un análisis sobre la aplicación de la prohibición contenida en el artículo 33 y sus excepciones, relacionada con su ámbito de aplicación y sus destinatarios. </w:t>
      </w:r>
    </w:p>
    <w:p w14:paraId="618D2E39" w14:textId="77777777" w:rsidR="00683401" w:rsidRDefault="00683401" w:rsidP="00683401">
      <w:pPr>
        <w:spacing w:after="0" w:line="240" w:lineRule="auto"/>
        <w:ind w:firstLine="709"/>
        <w:jc w:val="both"/>
        <w:rPr>
          <w:rFonts w:ascii="Verdana" w:eastAsia="Arial" w:hAnsi="Verdana" w:cs="Arial"/>
          <w:lang w:val="es-ES" w:eastAsia="es-ES" w:bidi="es-ES"/>
        </w:rPr>
      </w:pPr>
    </w:p>
    <w:p w14:paraId="00331EF9" w14:textId="77777777" w:rsidR="00683401" w:rsidRPr="007777F3" w:rsidRDefault="00683401" w:rsidP="00683401">
      <w:pPr>
        <w:spacing w:after="0" w:line="276" w:lineRule="auto"/>
        <w:ind w:firstLine="708"/>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2" w:name="_Hlk75628761"/>
      <w:r w:rsidRPr="00195E24">
        <w:rPr>
          <w:rFonts w:ascii="Verdana" w:hAnsi="Verdana" w:cs="Arial"/>
          <w:bCs/>
          <w:lang w:eastAsia="x-none"/>
        </w:rPr>
        <w:t xml:space="preserve">en el artículo 33 de la ley 996 de 2005 </w:t>
      </w:r>
      <w:bookmarkEnd w:id="12"/>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4437D6E7" w14:textId="77777777" w:rsidR="00683401" w:rsidRPr="00195E24" w:rsidRDefault="00683401" w:rsidP="00683401">
      <w:pPr>
        <w:spacing w:after="0" w:line="240" w:lineRule="auto"/>
        <w:jc w:val="both"/>
        <w:rPr>
          <w:rFonts w:ascii="Verdana" w:hAnsi="Verdana" w:cs="Arial"/>
          <w:bCs/>
          <w:lang w:eastAsia="es-CO"/>
        </w:rPr>
      </w:pPr>
    </w:p>
    <w:p w14:paraId="2D3C2859" w14:textId="77777777" w:rsidR="00683401" w:rsidRDefault="00683401" w:rsidP="00683401">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77E4AAAE" w14:textId="77777777" w:rsidR="00683401" w:rsidRPr="005800D0" w:rsidRDefault="00683401" w:rsidP="00683401">
      <w:pPr>
        <w:spacing w:after="0" w:line="240" w:lineRule="auto"/>
        <w:ind w:left="709" w:right="709"/>
        <w:jc w:val="both"/>
        <w:rPr>
          <w:rFonts w:ascii="Verdana" w:hAnsi="Verdana" w:cs="Arial"/>
          <w:sz w:val="20"/>
          <w:szCs w:val="20"/>
        </w:rPr>
      </w:pPr>
    </w:p>
    <w:p w14:paraId="1A74D8F0" w14:textId="77777777" w:rsidR="00683401" w:rsidRDefault="00683401" w:rsidP="00683401">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3" w:name="_Hlk75741738"/>
      <w:r w:rsidRPr="005800D0">
        <w:rPr>
          <w:rFonts w:ascii="Verdana" w:hAnsi="Verdana" w:cs="Arial"/>
          <w:sz w:val="20"/>
          <w:szCs w:val="20"/>
        </w:rPr>
        <w:t xml:space="preserve">de cualquier sistema que no implique convocatoria pública y posibilidad de pluralidad de oferentes, </w:t>
      </w:r>
      <w:bookmarkEnd w:id="13"/>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w:t>
      </w:r>
      <w:r w:rsidRPr="005800D0">
        <w:rPr>
          <w:rFonts w:ascii="Verdana" w:hAnsi="Verdana" w:cs="Arial"/>
          <w:sz w:val="20"/>
          <w:szCs w:val="20"/>
        </w:rPr>
        <w:lastRenderedPageBreak/>
        <w:t xml:space="preserve">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0FB32F41" w14:textId="77777777" w:rsidR="00683401" w:rsidRPr="005800D0" w:rsidRDefault="00683401" w:rsidP="00683401">
      <w:pPr>
        <w:spacing w:after="0" w:line="240" w:lineRule="auto"/>
        <w:ind w:left="709" w:right="709"/>
        <w:jc w:val="both"/>
        <w:rPr>
          <w:rFonts w:ascii="Verdana" w:hAnsi="Verdana" w:cs="Arial"/>
        </w:rPr>
      </w:pPr>
    </w:p>
    <w:p w14:paraId="68288FB3" w14:textId="77777777" w:rsidR="00683401" w:rsidRPr="00195E24" w:rsidRDefault="00683401" w:rsidP="00683401">
      <w:pPr>
        <w:spacing w:after="120" w:line="276" w:lineRule="auto"/>
        <w:ind w:firstLine="708"/>
        <w:jc w:val="both"/>
        <w:rPr>
          <w:rFonts w:ascii="Verdana" w:hAnsi="Verdana" w:cs="Arial"/>
          <w:bCs/>
          <w:lang w:eastAsia="x-none"/>
        </w:rPr>
      </w:pPr>
      <w:bookmarkStart w:id="15" w:name="_Hlk94521748"/>
      <w:r w:rsidRPr="00195E24">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5"/>
    <w:p w14:paraId="771DC3FB" w14:textId="77777777" w:rsidR="00683401" w:rsidRPr="00195E24" w:rsidRDefault="00683401" w:rsidP="00683401">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195E24">
        <w:rPr>
          <w:rFonts w:ascii="Verdana" w:hAnsi="Verdana" w:cs="Arial"/>
          <w:i/>
          <w:iCs/>
          <w:sz w:val="19"/>
          <w:szCs w:val="19"/>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4BF45AFC" w14:textId="77777777" w:rsidR="00683401" w:rsidRPr="00195E24" w:rsidRDefault="00683401" w:rsidP="00683401">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6"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w:t>
      </w:r>
      <w:r w:rsidRPr="00195E24">
        <w:rPr>
          <w:rFonts w:ascii="Verdana" w:hAnsi="Verdana" w:cs="Arial"/>
          <w:lang w:eastAsia="x-none"/>
        </w:rPr>
        <w:lastRenderedPageBreak/>
        <w:t xml:space="preserve">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6"/>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7853577A" w14:textId="77777777" w:rsidR="00683401" w:rsidRPr="00CE0712" w:rsidRDefault="00683401" w:rsidP="00683401">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304FCCAC" w14:textId="77777777" w:rsidR="00683401" w:rsidRPr="00065D8F" w:rsidRDefault="00683401" w:rsidP="00683401">
      <w:pPr>
        <w:spacing w:after="120" w:line="276" w:lineRule="auto"/>
        <w:ind w:firstLine="709"/>
        <w:jc w:val="both"/>
        <w:rPr>
          <w:rFonts w:ascii="Arial" w:hAnsi="Arial" w:cs="Arial"/>
          <w:bCs/>
          <w:lang w:eastAsia="x-none"/>
        </w:rPr>
      </w:pPr>
      <w:bookmarkStart w:id="17"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065D8F">
        <w:rPr>
          <w:rFonts w:ascii="Arial" w:hAnsi="Arial" w:cs="Arial"/>
          <w:vertAlign w:val="superscript"/>
          <w:lang w:eastAsia="x-none"/>
        </w:rPr>
        <w:footnoteReference w:id="17"/>
      </w:r>
      <w:r w:rsidRPr="00065D8F">
        <w:rPr>
          <w:rFonts w:ascii="Arial" w:hAnsi="Arial" w:cs="Arial"/>
          <w:bCs/>
          <w:lang w:eastAsia="x-none"/>
        </w:rPr>
        <w:t>.</w:t>
      </w:r>
      <w:r w:rsidRPr="00065D8F">
        <w:rPr>
          <w:rFonts w:ascii="Arial" w:hAnsi="Arial" w:cs="Arial"/>
          <w:vertAlign w:val="superscript"/>
          <w:lang w:eastAsia="x-none"/>
        </w:rPr>
        <w:t xml:space="preserve"> </w:t>
      </w:r>
    </w:p>
    <w:bookmarkEnd w:id="17"/>
    <w:p w14:paraId="006BA4F3" w14:textId="77777777" w:rsidR="00683401" w:rsidRDefault="00683401" w:rsidP="00683401">
      <w:pPr>
        <w:spacing w:after="120" w:line="276" w:lineRule="auto"/>
        <w:ind w:firstLine="709"/>
        <w:jc w:val="both"/>
        <w:rPr>
          <w:rFonts w:ascii="Arial" w:hAnsi="Arial"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065D8F">
        <w:rPr>
          <w:rFonts w:ascii="Arial" w:hAnsi="Arial" w:cs="Arial"/>
          <w:lang w:eastAsia="x-none"/>
        </w:rPr>
        <w:t>.</w:t>
      </w:r>
    </w:p>
    <w:p w14:paraId="3CA3B62D" w14:textId="77777777" w:rsidR="00683401" w:rsidRPr="00515C0B" w:rsidRDefault="00683401" w:rsidP="00683401">
      <w:pPr>
        <w:spacing w:after="120" w:line="240" w:lineRule="auto"/>
        <w:ind w:right="709"/>
        <w:jc w:val="both"/>
        <w:rPr>
          <w:rFonts w:ascii="Verdana" w:eastAsia="Calibri" w:hAnsi="Verdana" w:cs="Times New Roman"/>
          <w:sz w:val="21"/>
          <w:szCs w:val="21"/>
        </w:rPr>
      </w:pPr>
    </w:p>
    <w:p w14:paraId="6F90A327" w14:textId="77777777" w:rsidR="00683401" w:rsidRPr="00CE0712" w:rsidRDefault="00683401" w:rsidP="00683401">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lastRenderedPageBreak/>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AD00D6D" w14:textId="77777777" w:rsidR="00683401" w:rsidRDefault="00683401" w:rsidP="00683401">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18"/>
      </w:r>
      <w:r w:rsidRPr="73D21086">
        <w:rPr>
          <w:rFonts w:ascii="Verdana" w:hAnsi="Verdana" w:cs="Arial"/>
          <w:color w:val="000000" w:themeColor="text1"/>
          <w:lang w:val="es-MX"/>
        </w:rPr>
        <w:t xml:space="preserve">. </w:t>
      </w:r>
    </w:p>
    <w:p w14:paraId="3A9FC49F" w14:textId="77777777" w:rsidR="00683401" w:rsidRPr="00CE0D82" w:rsidRDefault="00683401" w:rsidP="00683401">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19"/>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w:t>
      </w:r>
      <w:r w:rsidRPr="00CE0D82">
        <w:rPr>
          <w:rFonts w:ascii="Verdana" w:hAnsi="Verdana" w:cs="Arial"/>
          <w:color w:val="000000" w:themeColor="text1"/>
          <w:lang w:val="es-MX"/>
        </w:rPr>
        <w:lastRenderedPageBreak/>
        <w:t>realizó la siguiente distinción, retomando el pronunciamiento de la misma sala del 20 de febrero de 2006, citado anteriormente:</w:t>
      </w:r>
    </w:p>
    <w:p w14:paraId="1E46E02E" w14:textId="77777777" w:rsidR="00683401" w:rsidRDefault="00683401" w:rsidP="00683401">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0130514" w14:textId="77777777" w:rsidR="00683401" w:rsidRPr="005800D0" w:rsidRDefault="00683401" w:rsidP="00683401">
      <w:pPr>
        <w:spacing w:after="0" w:line="240" w:lineRule="auto"/>
        <w:ind w:left="709" w:right="709"/>
        <w:jc w:val="both"/>
        <w:rPr>
          <w:rFonts w:ascii="Verdana" w:hAnsi="Verdana" w:cs="Arial"/>
          <w:color w:val="000000" w:themeColor="text1"/>
          <w:sz w:val="20"/>
          <w:szCs w:val="20"/>
          <w:lang w:val="es-MX"/>
        </w:rPr>
      </w:pPr>
    </w:p>
    <w:p w14:paraId="14B684DE" w14:textId="77777777" w:rsidR="00683401" w:rsidRPr="005800D0" w:rsidRDefault="00683401" w:rsidP="00683401">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0"/>
      </w:r>
      <w:r w:rsidRPr="005800D0">
        <w:rPr>
          <w:rFonts w:ascii="Verdana" w:hAnsi="Verdana" w:cs="Arial"/>
          <w:color w:val="000000" w:themeColor="text1"/>
          <w:sz w:val="20"/>
          <w:szCs w:val="20"/>
          <w:lang w:val="es-MX" w:eastAsia="x-none"/>
        </w:rPr>
        <w:t>.</w:t>
      </w:r>
    </w:p>
    <w:p w14:paraId="3913FFC2" w14:textId="77777777" w:rsidR="00683401" w:rsidRDefault="00683401" w:rsidP="00683401">
      <w:pPr>
        <w:spacing w:after="0" w:line="276" w:lineRule="auto"/>
        <w:ind w:firstLine="709"/>
        <w:jc w:val="both"/>
        <w:rPr>
          <w:rFonts w:ascii="Verdana" w:hAnsi="Verdana" w:cs="Arial"/>
          <w:color w:val="000000" w:themeColor="text1"/>
          <w:lang w:val="es-MX"/>
        </w:rPr>
      </w:pPr>
    </w:p>
    <w:p w14:paraId="4F47776A" w14:textId="77777777" w:rsidR="00683401" w:rsidRDefault="00683401" w:rsidP="00683401">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w:t>
      </w:r>
      <w:r w:rsidRPr="00195E24">
        <w:rPr>
          <w:rFonts w:ascii="Verdana" w:hAnsi="Verdana" w:cs="Arial"/>
          <w:color w:val="000000" w:themeColor="text1"/>
          <w:lang w:val="es-MX"/>
        </w:rPr>
        <w:lastRenderedPageBreak/>
        <w:t>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1"/>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03BCF15B" w14:textId="77777777" w:rsidR="00683401" w:rsidRPr="00195E24" w:rsidRDefault="00683401" w:rsidP="00683401">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0283ED5B" w14:textId="77777777" w:rsidR="00683401" w:rsidRPr="00CE0712" w:rsidRDefault="00683401" w:rsidP="00683401">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1A355F81" w14:textId="77777777" w:rsidR="00683401" w:rsidRDefault="00683401" w:rsidP="00683401">
      <w:pPr>
        <w:widowControl w:val="0"/>
        <w:autoSpaceDE w:val="0"/>
        <w:autoSpaceDN w:val="0"/>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w:t>
      </w:r>
      <w:r w:rsidRPr="00E36918">
        <w:rPr>
          <w:rFonts w:ascii="Verdana" w:hAnsi="Verdana" w:cs="Arial"/>
          <w:bCs/>
          <w:lang w:eastAsia="x-none"/>
        </w:rPr>
        <w:lastRenderedPageBreak/>
        <w:t xml:space="preserve">funcionarios y órganos asesores.   </w:t>
      </w:r>
      <w:r w:rsidRPr="00E36918">
        <w:rPr>
          <w:rFonts w:ascii="Verdana" w:eastAsia="Times New Roman" w:hAnsi="Verdana" w:cs="Arial"/>
          <w:bCs/>
          <w:lang w:val="es-ES" w:eastAsia="es-CO" w:bidi="es-ES"/>
        </w:rPr>
        <w:t xml:space="preserve"> </w:t>
      </w:r>
    </w:p>
    <w:p w14:paraId="0C9D881F" w14:textId="77777777" w:rsidR="00683401" w:rsidRPr="00F02C5A" w:rsidRDefault="00683401" w:rsidP="00683401">
      <w:pPr>
        <w:spacing w:after="120" w:line="276" w:lineRule="auto"/>
        <w:jc w:val="both"/>
        <w:rPr>
          <w:rFonts w:ascii="Verdana" w:eastAsia="Times New Roman" w:hAnsi="Verdana" w:cs="Arial"/>
          <w:lang w:val="es-MX" w:eastAsia="x-none"/>
        </w:rPr>
      </w:pPr>
      <w:proofErr w:type="spellStart"/>
      <w:r>
        <w:rPr>
          <w:rFonts w:ascii="Verdana" w:eastAsia="Times New Roman" w:hAnsi="Verdana" w:cs="Arial"/>
          <w:bCs/>
          <w:lang w:val="es-ES" w:eastAsia="es-CO" w:bidi="es-ES"/>
        </w:rPr>
        <w:t>ii</w:t>
      </w:r>
      <w:proofErr w:type="spellEnd"/>
      <w:r>
        <w:rPr>
          <w:rFonts w:ascii="Verdana" w:eastAsia="Times New Roman" w:hAnsi="Verdana" w:cs="Arial"/>
          <w:bCs/>
          <w:lang w:val="es-ES" w:eastAsia="es-CO" w:bidi="es-ES"/>
        </w:rPr>
        <w:t xml:space="preserve">) </w:t>
      </w:r>
      <w:bookmarkStart w:id="19" w:name="_Hlk77237094"/>
      <w:r>
        <w:rPr>
          <w:rFonts w:ascii="Verdana" w:eastAsia="Times New Roman" w:hAnsi="Verdana" w:cs="Arial"/>
          <w:bCs/>
          <w:lang w:val="es-ES" w:eastAsia="es-CO" w:bidi="es-ES"/>
        </w:rPr>
        <w:t>En cuanto al segundo problema jurídico, como</w:t>
      </w:r>
      <w:r w:rsidRPr="00F02C5A">
        <w:rPr>
          <w:rFonts w:ascii="Verdana" w:eastAsia="Times New Roman" w:hAnsi="Verdana" w:cs="Arial"/>
          <w:lang w:val="es-MX" w:eastAsia="es-CO"/>
        </w:rPr>
        <w:t xml:space="preserve"> en otras oportunidades lo ha manifestado esta Agencia, las prórrogas, modificaciones o adiciones de los contratos suscritos antes de la entrada en vigencia de las prohibiciones </w:t>
      </w:r>
      <w:r>
        <w:rPr>
          <w:rFonts w:ascii="Verdana" w:eastAsia="Times New Roman" w:hAnsi="Verdana" w:cs="Arial"/>
          <w:lang w:val="es-MX" w:eastAsia="es-CO"/>
        </w:rPr>
        <w:t xml:space="preserve">enunciadas en el artículo 33 y el parágrafo 38 de la Ley 996 de 2005 </w:t>
      </w:r>
      <w:r w:rsidRPr="00F02C5A">
        <w:rPr>
          <w:rFonts w:ascii="Verdana" w:eastAsia="Times New Roman" w:hAnsi="Verdana" w:cs="Arial"/>
          <w:lang w:val="es-MX" w:eastAsia="es-CO"/>
        </w:rPr>
        <w:t>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9"/>
      <w:r>
        <w:rPr>
          <w:rFonts w:ascii="Verdana" w:eastAsia="Times New Roman" w:hAnsi="Verdana" w:cs="Arial"/>
          <w:lang w:val="es-MX" w:eastAsia="es-CO"/>
        </w:rPr>
        <w:t xml:space="preserve"> </w:t>
      </w:r>
    </w:p>
    <w:p w14:paraId="127BD6D8" w14:textId="77777777" w:rsidR="00683401" w:rsidRPr="00E03903" w:rsidRDefault="00683401" w:rsidP="00683401">
      <w:pPr>
        <w:spacing w:after="120" w:line="276" w:lineRule="auto"/>
        <w:jc w:val="both"/>
        <w:rPr>
          <w:rFonts w:ascii="Verdana" w:hAnsi="Verdana" w:cs="Arial"/>
          <w:color w:val="000000" w:themeColor="text1"/>
          <w:lang w:val="es-MX"/>
        </w:rPr>
      </w:pPr>
      <w:proofErr w:type="spellStart"/>
      <w:r>
        <w:rPr>
          <w:rFonts w:ascii="Verdana" w:eastAsia="Times New Roman" w:hAnsi="Verdana" w:cs="Arial"/>
          <w:bCs/>
          <w:lang w:val="es-MX" w:eastAsia="es-CO" w:bidi="es-ES"/>
        </w:rPr>
        <w:t>iii</w:t>
      </w:r>
      <w:proofErr w:type="spellEnd"/>
      <w:r>
        <w:rPr>
          <w:rFonts w:ascii="Verdana" w:eastAsia="Times New Roman" w:hAnsi="Verdana" w:cs="Arial"/>
          <w:bCs/>
          <w:lang w:val="es-MX" w:eastAsia="es-CO" w:bidi="es-ES"/>
        </w:rPr>
        <w:t>) Para dar respuesta al tercer problema jurídico planteado, es importante indicar que l</w:t>
      </w:r>
      <w:r w:rsidRPr="008F1FB6">
        <w:rPr>
          <w:rFonts w:ascii="Verdana" w:eastAsia="Calibri" w:hAnsi="Verdana" w:cs="Arial"/>
          <w:lang w:val="es-ES"/>
        </w:rPr>
        <w:t xml:space="preserve">a Entidad Estatal deberá determinar la modalidad </w:t>
      </w:r>
      <w:r>
        <w:rPr>
          <w:rFonts w:ascii="Verdana" w:eastAsia="Calibri" w:hAnsi="Verdana" w:cs="Arial"/>
          <w:lang w:val="es-ES"/>
        </w:rPr>
        <w:t xml:space="preserve">procedente </w:t>
      </w:r>
      <w:r w:rsidRPr="008F1FB6">
        <w:rPr>
          <w:rFonts w:ascii="Verdana" w:eastAsia="Calibri" w:hAnsi="Verdana" w:cs="Arial"/>
          <w:lang w:val="es-ES"/>
        </w:rPr>
        <w:t xml:space="preserve">de acuerdo con la naturaleza del software o </w:t>
      </w:r>
      <w:r>
        <w:rPr>
          <w:rFonts w:ascii="Verdana" w:eastAsia="Calibri" w:hAnsi="Verdana" w:cs="Arial"/>
          <w:lang w:val="es-ES"/>
        </w:rPr>
        <w:t xml:space="preserve">del </w:t>
      </w:r>
      <w:r w:rsidRPr="008F1FB6">
        <w:rPr>
          <w:rFonts w:ascii="Verdana" w:eastAsia="Calibri" w:hAnsi="Verdana" w:cs="Arial"/>
          <w:lang w:val="es-ES"/>
        </w:rPr>
        <w:t xml:space="preserve">servicio asociado que va a adquirir. </w:t>
      </w:r>
      <w:r>
        <w:rPr>
          <w:rFonts w:ascii="Verdana" w:eastAsia="Calibri" w:hAnsi="Verdana" w:cs="Arial"/>
          <w:lang w:val="es-ES"/>
        </w:rPr>
        <w:t>E</w:t>
      </w:r>
      <w:r w:rsidRPr="008F1FB6">
        <w:rPr>
          <w:rFonts w:ascii="Verdana" w:eastAsia="Calibri" w:hAnsi="Verdana" w:cs="Arial"/>
          <w:lang w:val="es-ES"/>
        </w:rPr>
        <w:t xml:space="preserve">n primera medida, </w:t>
      </w:r>
      <w:r>
        <w:rPr>
          <w:rFonts w:ascii="Verdana" w:eastAsia="Calibri" w:hAnsi="Verdana" w:cs="Arial"/>
          <w:lang w:val="es-ES"/>
        </w:rPr>
        <w:t xml:space="preserve">deberá </w:t>
      </w:r>
      <w:r w:rsidRPr="008F1FB6">
        <w:rPr>
          <w:rFonts w:ascii="Verdana" w:eastAsia="Calibri" w:hAnsi="Verdana" w:cs="Arial"/>
          <w:lang w:val="es-ES"/>
        </w:rPr>
        <w:t>identificar durante la etapa de planeación si existen en el mercado herramientas ya desarrolladas que puedan atender su necesidad. Esto le permitirá definir si debe adelantar la adquisición de un software que ya ha sido desarrollado o si, por el contrario, requiere contratar el desarrollo de un software a la medida.</w:t>
      </w:r>
    </w:p>
    <w:p w14:paraId="33EDDE2F" w14:textId="77777777" w:rsidR="00683401" w:rsidRPr="008F1FB6" w:rsidRDefault="00683401" w:rsidP="00683401">
      <w:pPr>
        <w:snapToGrid w:val="0"/>
        <w:spacing w:after="120" w:line="276" w:lineRule="auto"/>
        <w:ind w:firstLine="709"/>
        <w:jc w:val="both"/>
        <w:rPr>
          <w:rFonts w:ascii="Verdana" w:eastAsia="Calibri" w:hAnsi="Verdana" w:cs="Arial"/>
          <w:lang w:val="es-ES"/>
        </w:rPr>
      </w:pPr>
      <w:r w:rsidRPr="008F1FB6">
        <w:rPr>
          <w:rFonts w:ascii="Verdana" w:eastAsia="Calibri" w:hAnsi="Verdana" w:cs="Arial"/>
          <w:lang w:val="es-ES"/>
        </w:rPr>
        <w:t xml:space="preserve">La adquisición de un software que se encuentre disponible en el mercado puede implicar </w:t>
      </w:r>
      <w:r w:rsidRPr="008F1FB6">
        <w:rPr>
          <w:rFonts w:ascii="Verdana" w:eastAsia="Calibri" w:hAnsi="Verdana" w:cs="Arial"/>
        </w:rPr>
        <w:t xml:space="preserve">costos y tiempos inferiores de implementación a los </w:t>
      </w:r>
      <w:r>
        <w:rPr>
          <w:rFonts w:ascii="Verdana" w:eastAsia="Calibri" w:hAnsi="Verdana" w:cs="Arial"/>
        </w:rPr>
        <w:t xml:space="preserve">del </w:t>
      </w:r>
      <w:r w:rsidRPr="008F1FB6">
        <w:rPr>
          <w:rFonts w:ascii="Verdana" w:eastAsia="Calibri" w:hAnsi="Verdana" w:cs="Arial"/>
        </w:rPr>
        <w:t xml:space="preserve">desarrollo de una herramienta desde cero. Cuando la Entidad deba adquirir el desarrollo de software a la medida, deberá abarcar todo el ciclo de vida del producto, </w:t>
      </w:r>
      <w:r w:rsidRPr="008F1FB6">
        <w:rPr>
          <w:rFonts w:ascii="Verdana" w:eastAsia="Calibri" w:hAnsi="Verdana" w:cs="Arial"/>
          <w:lang w:val="es-ES"/>
        </w:rPr>
        <w:t xml:space="preserve">incluyendo el levantamiento de requerimientos, la programación, realización de pruebas, depuración de código y su entrega a satisfacción, así como </w:t>
      </w:r>
      <w:r>
        <w:rPr>
          <w:rFonts w:ascii="Verdana" w:eastAsia="Calibri" w:hAnsi="Verdana" w:cs="Arial"/>
          <w:lang w:val="es-ES"/>
        </w:rPr>
        <w:t>l</w:t>
      </w:r>
      <w:r w:rsidRPr="008F1FB6">
        <w:rPr>
          <w:rFonts w:ascii="Verdana" w:eastAsia="Calibri" w:hAnsi="Verdana" w:cs="Arial"/>
          <w:lang w:val="es-ES"/>
        </w:rPr>
        <w:t>a prestación de horas de soporte. En esta medida, la Entidad deberá considerar los costos asociados a estas actividades, así como la necesidad de contar</w:t>
      </w:r>
      <w:r w:rsidRPr="008F1FB6">
        <w:rPr>
          <w:rFonts w:ascii="Verdana" w:eastAsia="Calibri" w:hAnsi="Verdana" w:cs="Arial"/>
        </w:rPr>
        <w:t xml:space="preserve"> con personal idóneo para todas las fases asociadas a la planeación, desarrollo, pruebas y estabilización del software</w:t>
      </w:r>
      <w:r w:rsidRPr="008F1FB6">
        <w:rPr>
          <w:rStyle w:val="Refdenotaalpie"/>
          <w:rFonts w:ascii="Verdana" w:eastAsia="Calibri" w:hAnsi="Verdana" w:cs="Arial"/>
        </w:rPr>
        <w:footnoteReference w:id="22"/>
      </w:r>
      <w:r>
        <w:rPr>
          <w:rFonts w:ascii="Verdana" w:eastAsia="Calibri" w:hAnsi="Verdana" w:cs="Arial"/>
        </w:rPr>
        <w:t>.</w:t>
      </w:r>
      <w:r w:rsidRPr="008F1FB6">
        <w:rPr>
          <w:rFonts w:ascii="Verdana" w:eastAsia="Calibri" w:hAnsi="Verdana" w:cs="Arial"/>
        </w:rPr>
        <w:t xml:space="preserve"> </w:t>
      </w:r>
    </w:p>
    <w:p w14:paraId="47717004" w14:textId="77777777" w:rsidR="00683401" w:rsidRPr="008F1FB6" w:rsidRDefault="00683401" w:rsidP="00683401">
      <w:pPr>
        <w:snapToGrid w:val="0"/>
        <w:spacing w:after="120" w:line="276" w:lineRule="auto"/>
        <w:ind w:firstLine="709"/>
        <w:jc w:val="both"/>
        <w:rPr>
          <w:rFonts w:ascii="Verdana" w:eastAsia="Calibri" w:hAnsi="Verdana" w:cs="Arial"/>
          <w:lang w:val="es-ES"/>
        </w:rPr>
      </w:pPr>
      <w:r w:rsidRPr="008F1FB6">
        <w:rPr>
          <w:rFonts w:ascii="Verdana" w:eastAsia="Calibri" w:hAnsi="Verdana" w:cs="Arial"/>
          <w:lang w:val="es-ES"/>
        </w:rPr>
        <w:t>Una alternativa es que, cuando entidad evidencie que no existe un software en el mercado para atender su necesidad, opte por un procedimiento que reutilice código previamente escrito con el fin de disminuir los costos asociados al proceso. Esta posibilidad, denominada “fábrica de software”</w:t>
      </w:r>
      <w:r>
        <w:rPr>
          <w:rFonts w:ascii="Verdana" w:eastAsia="Calibri" w:hAnsi="Verdana" w:cs="Arial"/>
          <w:lang w:val="es-ES"/>
        </w:rPr>
        <w:t>,</w:t>
      </w:r>
      <w:r w:rsidRPr="008F1FB6">
        <w:rPr>
          <w:rFonts w:ascii="Verdana" w:eastAsia="Calibri" w:hAnsi="Verdana" w:cs="Arial"/>
          <w:lang w:val="es-ES"/>
        </w:rPr>
        <w:t xml:space="preserve"> puede </w:t>
      </w:r>
      <w:r w:rsidRPr="008F1FB6">
        <w:rPr>
          <w:rFonts w:ascii="Verdana" w:eastAsia="Calibri" w:hAnsi="Verdana" w:cs="Arial"/>
          <w:lang w:val="es-ES"/>
        </w:rPr>
        <w:lastRenderedPageBreak/>
        <w:t xml:space="preserve">requerir un equipo de trabajo menor al </w:t>
      </w:r>
      <w:r>
        <w:rPr>
          <w:rFonts w:ascii="Verdana" w:eastAsia="Calibri" w:hAnsi="Verdana" w:cs="Arial"/>
          <w:lang w:val="es-ES"/>
        </w:rPr>
        <w:t xml:space="preserve">de un </w:t>
      </w:r>
      <w:r w:rsidRPr="008F1FB6">
        <w:rPr>
          <w:rFonts w:ascii="Verdana" w:eastAsia="Calibri" w:hAnsi="Verdana" w:cs="Arial"/>
          <w:lang w:val="es-ES"/>
        </w:rPr>
        <w:t xml:space="preserve">desarrollo a la medida y cumplir con objetivos específicos sin abarcar todo el ciclo de vida del software. De cualquier modo, </w:t>
      </w:r>
      <w:r>
        <w:rPr>
          <w:rFonts w:ascii="Verdana" w:eastAsia="Calibri" w:hAnsi="Verdana" w:cs="Arial"/>
          <w:lang w:val="es-ES"/>
        </w:rPr>
        <w:t xml:space="preserve">la Entidad debe tener en cuenta que </w:t>
      </w:r>
      <w:r w:rsidRPr="008F1FB6">
        <w:rPr>
          <w:rFonts w:ascii="Verdana" w:eastAsia="Calibri" w:hAnsi="Verdana" w:cs="Arial"/>
          <w:lang w:val="es-ES"/>
        </w:rPr>
        <w:t>esta opción también puede acarrear costos superiores a la adquisición de software existente.</w:t>
      </w:r>
    </w:p>
    <w:p w14:paraId="65E3131B" w14:textId="77777777" w:rsidR="00683401" w:rsidRDefault="00683401" w:rsidP="00683401">
      <w:pPr>
        <w:spacing w:after="120" w:line="276" w:lineRule="auto"/>
        <w:ind w:firstLine="708"/>
        <w:jc w:val="both"/>
        <w:rPr>
          <w:rFonts w:ascii="Verdana" w:eastAsia="Calibri" w:hAnsi="Verdana" w:cs="Arial"/>
        </w:rPr>
      </w:pPr>
      <w:r w:rsidRPr="008F1FB6">
        <w:rPr>
          <w:rFonts w:ascii="Verdana" w:eastAsia="Calibri" w:hAnsi="Verdana" w:cs="Arial"/>
        </w:rPr>
        <w:t xml:space="preserve">De esta manera, </w:t>
      </w:r>
      <w:r>
        <w:rPr>
          <w:rFonts w:ascii="Verdana" w:eastAsia="Calibri" w:hAnsi="Verdana" w:cs="Arial"/>
        </w:rPr>
        <w:t xml:space="preserve">una vez las Entidades realicen </w:t>
      </w:r>
      <w:r w:rsidRPr="008F1FB6">
        <w:rPr>
          <w:rFonts w:ascii="Verdana" w:eastAsia="Calibri" w:hAnsi="Verdana" w:cs="Arial"/>
        </w:rPr>
        <w:t>una evaluación de su necesidad</w:t>
      </w:r>
      <w:r>
        <w:rPr>
          <w:rFonts w:ascii="Verdana" w:eastAsia="Calibri" w:hAnsi="Verdana" w:cs="Arial"/>
        </w:rPr>
        <w:t xml:space="preserve"> y </w:t>
      </w:r>
      <w:r w:rsidRPr="008F1FB6">
        <w:rPr>
          <w:rFonts w:ascii="Verdana" w:eastAsia="Calibri" w:hAnsi="Verdana" w:cs="Arial"/>
        </w:rPr>
        <w:t>determin</w:t>
      </w:r>
      <w:r>
        <w:rPr>
          <w:rFonts w:ascii="Verdana" w:eastAsia="Calibri" w:hAnsi="Verdana" w:cs="Arial"/>
        </w:rPr>
        <w:t>en</w:t>
      </w:r>
      <w:r w:rsidRPr="008F1FB6">
        <w:rPr>
          <w:rFonts w:ascii="Verdana" w:eastAsia="Calibri" w:hAnsi="Verdana" w:cs="Arial"/>
        </w:rPr>
        <w:t xml:space="preserve"> si exis</w:t>
      </w:r>
      <w:r>
        <w:rPr>
          <w:rFonts w:ascii="Verdana" w:eastAsia="Calibri" w:hAnsi="Verdana" w:cs="Arial"/>
        </w:rPr>
        <w:t>ten</w:t>
      </w:r>
      <w:r w:rsidRPr="008F1FB6">
        <w:rPr>
          <w:rFonts w:ascii="Verdana" w:eastAsia="Calibri" w:hAnsi="Verdana" w:cs="Arial"/>
        </w:rPr>
        <w:t xml:space="preserve"> herramientas comerciales que puedan satisfacerla, </w:t>
      </w:r>
      <w:r>
        <w:rPr>
          <w:rFonts w:ascii="Verdana" w:eastAsia="Calibri" w:hAnsi="Verdana" w:cs="Arial"/>
        </w:rPr>
        <w:t>podrán</w:t>
      </w:r>
      <w:r w:rsidRPr="008F1FB6">
        <w:rPr>
          <w:rFonts w:ascii="Verdana" w:eastAsia="Calibri" w:hAnsi="Verdana" w:cs="Arial"/>
        </w:rPr>
        <w:t xml:space="preserve"> realizar una aproximación técnica, jurídica y económica que considere los costos derivados de la implementación y la puesta en producción. Este análisis les permitirá </w:t>
      </w:r>
      <w:r>
        <w:rPr>
          <w:rFonts w:ascii="Verdana" w:eastAsia="Calibri" w:hAnsi="Verdana" w:cs="Arial"/>
        </w:rPr>
        <w:t>determinar concretamente la cuantía y el objeto de su proceso de contratación, así como la modalidad de selección adecuada.</w:t>
      </w:r>
      <w:r w:rsidRPr="008F1FB6">
        <w:rPr>
          <w:rFonts w:ascii="Verdana" w:eastAsia="Calibri" w:hAnsi="Verdana" w:cs="Arial"/>
        </w:rPr>
        <w:t xml:space="preserve"> </w:t>
      </w:r>
    </w:p>
    <w:p w14:paraId="5360E1DA" w14:textId="77777777" w:rsidR="00683401" w:rsidRDefault="00683401" w:rsidP="00683401">
      <w:pPr>
        <w:spacing w:after="120" w:line="276" w:lineRule="auto"/>
        <w:ind w:firstLine="708"/>
        <w:jc w:val="both"/>
        <w:rPr>
          <w:rFonts w:ascii="Verdana" w:eastAsia="Calibri" w:hAnsi="Verdana" w:cs="Arial"/>
          <w:lang w:val="es-ES"/>
        </w:rPr>
      </w:pPr>
      <w:r w:rsidRPr="008F1FB6">
        <w:rPr>
          <w:rFonts w:ascii="Verdana" w:eastAsia="Calibri" w:hAnsi="Verdana" w:cs="Arial"/>
          <w:lang w:val="es-ES"/>
        </w:rPr>
        <w:t>La Agencia Nacional de Contratación Pública – Colombia Compra Eficiente y el Ministerio de Tecnologías de la Información y las Comunicaciones – MinTIC</w:t>
      </w:r>
      <w:r w:rsidRPr="008F1FB6">
        <w:rPr>
          <w:rFonts w:ascii="Verdana" w:eastAsia="Calibri" w:hAnsi="Verdana" w:cs="Arial"/>
        </w:rPr>
        <w:t xml:space="preserve"> </w:t>
      </w:r>
      <w:r w:rsidRPr="00D6586A">
        <w:rPr>
          <w:rFonts w:ascii="Verdana" w:eastAsia="Calibri" w:hAnsi="Verdana" w:cs="Arial"/>
          <w:lang w:val="es-ES"/>
        </w:rPr>
        <w:t>recomiendan</w:t>
      </w:r>
      <w:r>
        <w:rPr>
          <w:rStyle w:val="Refdenotaalpie"/>
          <w:rFonts w:ascii="Verdana" w:eastAsia="Calibri" w:hAnsi="Verdana" w:cs="Arial"/>
          <w:lang w:val="es-ES"/>
        </w:rPr>
        <w:footnoteReference w:id="23"/>
      </w:r>
      <w:r w:rsidRPr="00D6586A">
        <w:rPr>
          <w:rFonts w:ascii="Verdana" w:eastAsia="Calibri" w:hAnsi="Verdana" w:cs="Arial"/>
          <w:lang w:val="es-ES"/>
        </w:rPr>
        <w:t xml:space="preserve"> que las Entidades </w:t>
      </w:r>
      <w:r w:rsidRPr="000E2823">
        <w:rPr>
          <w:rFonts w:ascii="Verdana" w:eastAsia="Calibri" w:hAnsi="Verdana" w:cs="Arial"/>
          <w:lang w:val="es-ES"/>
        </w:rPr>
        <w:t>adelant</w:t>
      </w:r>
      <w:r>
        <w:rPr>
          <w:rFonts w:ascii="Verdana" w:eastAsia="Calibri" w:hAnsi="Verdana" w:cs="Arial"/>
          <w:lang w:val="es-ES"/>
        </w:rPr>
        <w:t>en</w:t>
      </w:r>
      <w:r w:rsidRPr="000E2823">
        <w:rPr>
          <w:rFonts w:ascii="Verdana" w:eastAsia="Calibri" w:hAnsi="Verdana" w:cs="Arial"/>
          <w:lang w:val="es-ES"/>
        </w:rPr>
        <w:t xml:space="preserve"> los procesos de adquisición de software mediante las siguientes modalidades de contratación: (i) licitación pública, (</w:t>
      </w:r>
      <w:proofErr w:type="spellStart"/>
      <w:r w:rsidRPr="000E2823">
        <w:rPr>
          <w:rFonts w:ascii="Verdana" w:eastAsia="Calibri" w:hAnsi="Verdana" w:cs="Arial"/>
          <w:lang w:val="es-ES"/>
        </w:rPr>
        <w:t>ii</w:t>
      </w:r>
      <w:proofErr w:type="spellEnd"/>
      <w:r w:rsidRPr="000E2823">
        <w:rPr>
          <w:rFonts w:ascii="Verdana" w:eastAsia="Calibri" w:hAnsi="Verdana" w:cs="Arial"/>
          <w:lang w:val="es-ES"/>
        </w:rPr>
        <w:t>) mínima cuantía o (</w:t>
      </w:r>
      <w:proofErr w:type="spellStart"/>
      <w:r w:rsidRPr="000E2823">
        <w:rPr>
          <w:rFonts w:ascii="Verdana" w:eastAsia="Calibri" w:hAnsi="Verdana" w:cs="Arial"/>
          <w:lang w:val="es-ES"/>
        </w:rPr>
        <w:t>iii</w:t>
      </w:r>
      <w:proofErr w:type="spellEnd"/>
      <w:r w:rsidRPr="000E2823">
        <w:rPr>
          <w:rFonts w:ascii="Verdana" w:eastAsia="Calibri" w:hAnsi="Verdana" w:cs="Arial"/>
          <w:lang w:val="es-ES"/>
        </w:rPr>
        <w:t xml:space="preserve">) concurso de méritos. </w:t>
      </w:r>
      <w:r w:rsidRPr="00D6586A">
        <w:rPr>
          <w:rFonts w:ascii="Verdana" w:eastAsia="Calibri" w:hAnsi="Verdana" w:cs="Arial"/>
          <w:lang w:val="es-ES"/>
        </w:rPr>
        <w:t>Sin embargo, la entidad deberá contemplar la modalidad de selección abreviada por subasta inversa cuando se trate de bienes de características técnicas uniformes.</w:t>
      </w:r>
      <w:r>
        <w:rPr>
          <w:rFonts w:ascii="Verdana" w:eastAsia="Calibri" w:hAnsi="Verdana" w:cs="Arial"/>
          <w:lang w:val="es-ES"/>
        </w:rPr>
        <w:t xml:space="preserve"> </w:t>
      </w:r>
    </w:p>
    <w:p w14:paraId="46C54961" w14:textId="77777777" w:rsidR="00683401" w:rsidRPr="00D6586A" w:rsidRDefault="00683401" w:rsidP="00683401">
      <w:pPr>
        <w:spacing w:after="120" w:line="276" w:lineRule="auto"/>
        <w:ind w:firstLine="708"/>
        <w:jc w:val="both"/>
        <w:rPr>
          <w:rFonts w:ascii="Verdana" w:eastAsia="Calibri" w:hAnsi="Verdana" w:cs="Arial"/>
          <w:lang w:val="es-ES"/>
        </w:rPr>
      </w:pPr>
      <w:r w:rsidRPr="00D6586A">
        <w:rPr>
          <w:rFonts w:ascii="Verdana" w:eastAsia="Calibri" w:hAnsi="Verdana" w:cs="Arial"/>
          <w:lang w:val="es-ES"/>
        </w:rPr>
        <w:t>En cuanto a</w:t>
      </w:r>
      <w:r>
        <w:rPr>
          <w:rFonts w:ascii="Verdana" w:eastAsia="Calibri" w:hAnsi="Verdana" w:cs="Arial"/>
          <w:lang w:val="es-ES"/>
        </w:rPr>
        <w:t>l proceso de selección a través de</w:t>
      </w:r>
      <w:r w:rsidRPr="00D6586A">
        <w:rPr>
          <w:rFonts w:ascii="Verdana" w:eastAsia="Calibri" w:hAnsi="Verdana" w:cs="Arial"/>
          <w:lang w:val="es-ES"/>
        </w:rPr>
        <w:t xml:space="preserve"> la licitación</w:t>
      </w:r>
      <w:r>
        <w:rPr>
          <w:rFonts w:ascii="Verdana" w:eastAsia="Calibri" w:hAnsi="Verdana" w:cs="Arial"/>
          <w:lang w:val="es-ES"/>
        </w:rPr>
        <w:t xml:space="preserve"> pública</w:t>
      </w:r>
      <w:r w:rsidRPr="00D6586A">
        <w:rPr>
          <w:rFonts w:ascii="Verdana" w:eastAsia="Calibri" w:hAnsi="Verdana" w:cs="Arial"/>
          <w:lang w:val="es-ES"/>
        </w:rPr>
        <w:t xml:space="preserve">, aunque es la regla general para la selección de proponentes de acuerdo con el artículo segundo de la </w:t>
      </w:r>
      <w:r>
        <w:rPr>
          <w:rFonts w:ascii="Verdana" w:eastAsia="Calibri" w:hAnsi="Verdana" w:cs="Arial"/>
          <w:lang w:val="es-ES"/>
        </w:rPr>
        <w:t>L</w:t>
      </w:r>
      <w:r w:rsidRPr="00D6586A">
        <w:rPr>
          <w:rFonts w:ascii="Verdana" w:eastAsia="Calibri" w:hAnsi="Verdana" w:cs="Arial"/>
          <w:lang w:val="es-ES"/>
        </w:rPr>
        <w:t>ey 1150 de 2007, esto no quiere decir que en todos los casos resulte ser la modalidad más adecuada para la adquisición de software. La entidad deberá primero verificar si se configuran circunstancias especiales que hacen procedente otra modalidad de selección</w:t>
      </w:r>
      <w:r>
        <w:rPr>
          <w:rFonts w:ascii="Verdana" w:eastAsia="Calibri" w:hAnsi="Verdana" w:cs="Arial"/>
          <w:lang w:val="es-ES"/>
        </w:rPr>
        <w:t>, como es el caso de la cuantía y la naturaleza del bien o servicio</w:t>
      </w:r>
      <w:r w:rsidRPr="00D6586A">
        <w:rPr>
          <w:rFonts w:ascii="Verdana" w:eastAsia="Calibri" w:hAnsi="Verdana" w:cs="Arial"/>
          <w:lang w:val="es-ES"/>
        </w:rPr>
        <w:t>. En efecto, según la naturaleza</w:t>
      </w:r>
      <w:r>
        <w:rPr>
          <w:rFonts w:ascii="Verdana" w:eastAsia="Calibri" w:hAnsi="Verdana" w:cs="Arial"/>
          <w:lang w:val="es-ES"/>
        </w:rPr>
        <w:t xml:space="preserve"> del objeto a contratar</w:t>
      </w:r>
      <w:r w:rsidRPr="00D6586A">
        <w:rPr>
          <w:rFonts w:ascii="Verdana" w:eastAsia="Calibri" w:hAnsi="Verdana" w:cs="Arial"/>
          <w:lang w:val="es-ES"/>
        </w:rPr>
        <w:t xml:space="preserve">, </w:t>
      </w:r>
      <w:r w:rsidRPr="008F1FB6">
        <w:rPr>
          <w:rFonts w:ascii="Verdana" w:eastAsia="Calibri" w:hAnsi="Verdana" w:cs="Arial"/>
          <w:lang w:val="es-ES"/>
        </w:rPr>
        <w:t>Colombia Compra Eficiente y el MinTIC</w:t>
      </w:r>
      <w:r w:rsidRPr="008F1FB6">
        <w:rPr>
          <w:rFonts w:ascii="Verdana" w:eastAsia="Calibri" w:hAnsi="Verdana" w:cs="Arial"/>
        </w:rPr>
        <w:t xml:space="preserve"> </w:t>
      </w:r>
      <w:r w:rsidRPr="00D6586A">
        <w:rPr>
          <w:rFonts w:ascii="Verdana" w:eastAsia="Calibri" w:hAnsi="Verdana" w:cs="Arial"/>
          <w:lang w:val="es-ES"/>
        </w:rPr>
        <w:t xml:space="preserve">recomiendan tener en cuenta las modalidades </w:t>
      </w:r>
      <w:r>
        <w:rPr>
          <w:rFonts w:ascii="Verdana" w:eastAsia="Calibri" w:hAnsi="Verdana" w:cs="Arial"/>
          <w:lang w:val="es-ES"/>
        </w:rPr>
        <w:t xml:space="preserve">de selección </w:t>
      </w:r>
      <w:r w:rsidRPr="00D6586A">
        <w:rPr>
          <w:rFonts w:ascii="Verdana" w:eastAsia="Calibri" w:hAnsi="Verdana" w:cs="Arial"/>
          <w:lang w:val="es-ES"/>
        </w:rPr>
        <w:t>que se exponen a continuación.</w:t>
      </w:r>
    </w:p>
    <w:p w14:paraId="199CD845" w14:textId="77777777" w:rsidR="00683401" w:rsidRPr="00D6586A" w:rsidRDefault="00683401" w:rsidP="00683401">
      <w:pPr>
        <w:spacing w:after="120" w:line="276" w:lineRule="auto"/>
        <w:ind w:firstLine="708"/>
        <w:jc w:val="both"/>
        <w:rPr>
          <w:rFonts w:ascii="Verdana" w:eastAsia="Calibri" w:hAnsi="Verdana" w:cs="Arial"/>
          <w:lang w:val="es-ES"/>
        </w:rPr>
      </w:pPr>
      <w:r w:rsidRPr="00D6586A">
        <w:rPr>
          <w:rFonts w:ascii="Verdana" w:eastAsia="Calibri" w:hAnsi="Verdana" w:cs="Arial"/>
          <w:lang w:val="es-ES"/>
        </w:rPr>
        <w:t xml:space="preserve">En primer lugar, cuando la Entidad Estatal determine que requiere la </w:t>
      </w:r>
      <w:r w:rsidRPr="00997173">
        <w:rPr>
          <w:rFonts w:ascii="Verdana" w:eastAsia="Calibri" w:hAnsi="Verdana" w:cs="Arial"/>
          <w:i/>
          <w:iCs/>
          <w:lang w:val="es-ES"/>
        </w:rPr>
        <w:t>adquisición de un software</w:t>
      </w:r>
      <w:r w:rsidRPr="00D6586A">
        <w:rPr>
          <w:rFonts w:ascii="Verdana" w:eastAsia="Calibri" w:hAnsi="Verdana" w:cs="Arial"/>
          <w:lang w:val="es-ES"/>
        </w:rPr>
        <w:t xml:space="preserve"> de propósito general </w:t>
      </w:r>
      <w:r>
        <w:rPr>
          <w:rFonts w:ascii="Verdana" w:eastAsia="Calibri" w:hAnsi="Verdana" w:cs="Arial"/>
          <w:lang w:val="es-ES"/>
        </w:rPr>
        <w:t xml:space="preserve">- </w:t>
      </w:r>
      <w:r w:rsidRPr="00D6586A">
        <w:rPr>
          <w:rFonts w:ascii="Verdana" w:eastAsia="Calibri" w:hAnsi="Verdana" w:cs="Arial"/>
          <w:lang w:val="es-ES"/>
        </w:rPr>
        <w:t>como la adquisición de licenciamiento, SaaS y servicios complementarios</w:t>
      </w:r>
      <w:r>
        <w:rPr>
          <w:rFonts w:ascii="Verdana" w:eastAsia="Calibri" w:hAnsi="Verdana" w:cs="Arial"/>
          <w:lang w:val="es-ES"/>
        </w:rPr>
        <w:t>-</w:t>
      </w:r>
      <w:r w:rsidRPr="00D6586A">
        <w:rPr>
          <w:rFonts w:ascii="Verdana" w:eastAsia="Calibri" w:hAnsi="Verdana" w:cs="Arial"/>
          <w:lang w:val="es-ES"/>
        </w:rPr>
        <w:t xml:space="preserve"> deberá considerar si se trata de bienes con características uniformes y de común utilización, que comparten patrones de desempeño y de calidad. De conformidad con lo dispuesto en la Ley 1150 de 2007, en estos casos deberá adelantar un proceso mediante la modalidad de selección abreviada por subasta inversa, siguiendo el </w:t>
      </w:r>
      <w:r w:rsidRPr="00D6586A">
        <w:rPr>
          <w:rFonts w:ascii="Verdana" w:eastAsia="Calibri" w:hAnsi="Verdana" w:cs="Arial"/>
          <w:lang w:val="es-ES"/>
        </w:rPr>
        <w:lastRenderedPageBreak/>
        <w:t>proc</w:t>
      </w:r>
      <w:r>
        <w:rPr>
          <w:rFonts w:ascii="Verdana" w:eastAsia="Calibri" w:hAnsi="Verdana" w:cs="Arial"/>
          <w:lang w:val="es-ES"/>
        </w:rPr>
        <w:t>e</w:t>
      </w:r>
      <w:r w:rsidRPr="00D6586A">
        <w:rPr>
          <w:rFonts w:ascii="Verdana" w:eastAsia="Calibri" w:hAnsi="Verdana" w:cs="Arial"/>
          <w:lang w:val="es-ES"/>
        </w:rPr>
        <w:t xml:space="preserve">dimiento que para </w:t>
      </w:r>
      <w:r>
        <w:rPr>
          <w:rFonts w:ascii="Verdana" w:eastAsia="Calibri" w:hAnsi="Verdana" w:cs="Arial"/>
          <w:lang w:val="es-ES"/>
        </w:rPr>
        <w:t>ello dispone el</w:t>
      </w:r>
      <w:r w:rsidRPr="00D6586A">
        <w:rPr>
          <w:rFonts w:ascii="Verdana" w:eastAsia="Calibri" w:hAnsi="Verdana" w:cs="Arial"/>
          <w:lang w:val="es-ES"/>
        </w:rPr>
        <w:t xml:space="preserve"> Decreto 1082 de 2015</w:t>
      </w:r>
      <w:r>
        <w:rPr>
          <w:rStyle w:val="Refdenotaalpie"/>
          <w:rFonts w:ascii="Verdana" w:eastAsia="Calibri" w:hAnsi="Verdana" w:cs="Arial"/>
          <w:lang w:val="es-ES"/>
        </w:rPr>
        <w:footnoteReference w:id="24"/>
      </w:r>
      <w:r w:rsidRPr="00D6586A">
        <w:rPr>
          <w:rFonts w:ascii="Verdana" w:eastAsia="Calibri" w:hAnsi="Verdana" w:cs="Arial"/>
          <w:lang w:val="es-ES"/>
        </w:rPr>
        <w:t xml:space="preserve">. </w:t>
      </w:r>
      <w:r w:rsidRPr="004831FB">
        <w:rPr>
          <w:rFonts w:ascii="Verdana" w:eastAsia="Calibri" w:hAnsi="Verdana" w:cs="Arial"/>
          <w:lang w:val="es-ES"/>
        </w:rPr>
        <w:t>Para la adquisición o suministro de bienes y servicios de características técnicas</w:t>
      </w:r>
      <w:r w:rsidRPr="004831FB">
        <w:rPr>
          <w:rFonts w:ascii="Verdana" w:eastAsia="Calibri" w:hAnsi="Verdana" w:cs="Arial"/>
        </w:rPr>
        <w:t xml:space="preserve"> uniformes y común utilización, las entidades estatales incluirán como único factor de evaluación el menor precio ofrecido</w:t>
      </w:r>
      <w:r>
        <w:rPr>
          <w:rStyle w:val="Refdenotaalpie"/>
          <w:rFonts w:ascii="Verdana" w:eastAsia="Calibri" w:hAnsi="Verdana" w:cs="Arial"/>
        </w:rPr>
        <w:footnoteReference w:id="25"/>
      </w:r>
      <w:r w:rsidRPr="004831FB">
        <w:rPr>
          <w:rFonts w:ascii="Verdana" w:eastAsia="Calibri" w:hAnsi="Verdana" w:cs="Arial"/>
          <w:lang w:val="es-ES"/>
        </w:rPr>
        <w:t>.</w:t>
      </w:r>
      <w:r>
        <w:rPr>
          <w:rFonts w:ascii="Verdana" w:eastAsia="Calibri" w:hAnsi="Verdana" w:cs="Arial"/>
          <w:lang w:val="es-ES"/>
        </w:rPr>
        <w:t xml:space="preserve"> </w:t>
      </w:r>
      <w:r w:rsidRPr="00D6586A">
        <w:rPr>
          <w:rFonts w:ascii="Verdana" w:eastAsia="Calibri" w:hAnsi="Verdana" w:cs="Arial"/>
          <w:lang w:val="es-ES"/>
        </w:rPr>
        <w:t>Lo anterior, sin perjuicio de lo que dispone la normativa para la adquisición de estos bienes y servicios a través de Acuerdos Marco de Precios o Instrumentos de Agregación de Demanda</w:t>
      </w:r>
      <w:r>
        <w:rPr>
          <w:rStyle w:val="Refdenotaalpie"/>
          <w:rFonts w:ascii="Verdana" w:eastAsia="Calibri" w:hAnsi="Verdana" w:cs="Arial"/>
          <w:lang w:val="es-ES"/>
        </w:rPr>
        <w:footnoteReference w:id="26"/>
      </w:r>
      <w:r w:rsidRPr="00D6586A">
        <w:rPr>
          <w:rFonts w:ascii="Verdana" w:eastAsia="Calibri" w:hAnsi="Verdana" w:cs="Arial"/>
          <w:lang w:val="es-ES"/>
        </w:rPr>
        <w:t xml:space="preserve">. </w:t>
      </w:r>
    </w:p>
    <w:p w14:paraId="3121943A" w14:textId="77777777" w:rsidR="00683401" w:rsidRPr="00D6586A" w:rsidRDefault="00683401" w:rsidP="00683401">
      <w:pPr>
        <w:spacing w:after="120" w:line="276" w:lineRule="auto"/>
        <w:ind w:firstLine="709"/>
        <w:jc w:val="both"/>
        <w:rPr>
          <w:rFonts w:ascii="Verdana" w:eastAsia="Calibri" w:hAnsi="Verdana" w:cs="Arial"/>
          <w:lang w:val="es-ES"/>
        </w:rPr>
      </w:pPr>
      <w:r w:rsidRPr="00D6586A">
        <w:rPr>
          <w:rFonts w:ascii="Verdana" w:eastAsia="Calibri" w:hAnsi="Verdana" w:cs="Arial"/>
          <w:lang w:val="es-ES"/>
        </w:rPr>
        <w:t xml:space="preserve">Adicionalmente, las entidades deben tener en cuenta que la adquisición de software mediante la modalidad de selección abreviada por subasta inversa puede generar dificultades durante la ejecución del contrato asociadas a que los partícipes sobrepasen el punto de quiebre o subestimen los costos del despliegue de la herramienta ofreciendo precios inferiores a los de mercado. Así, </w:t>
      </w:r>
      <w:r>
        <w:rPr>
          <w:rFonts w:ascii="Verdana" w:eastAsia="Calibri" w:hAnsi="Verdana" w:cs="Arial"/>
          <w:lang w:val="es-ES"/>
        </w:rPr>
        <w:t xml:space="preserve">es importante </w:t>
      </w:r>
      <w:r w:rsidRPr="00D6586A">
        <w:rPr>
          <w:rFonts w:ascii="Verdana" w:eastAsia="Calibri" w:hAnsi="Verdana" w:cs="Arial"/>
          <w:lang w:val="es-ES"/>
        </w:rPr>
        <w:t>considerar si la realidad de la adquisición del software o los servicios asociados corresponde efectivamente a un bien o servicio de características técnicas uniformes, con el fin de evitar una indebida modalidad de selección.</w:t>
      </w:r>
    </w:p>
    <w:p w14:paraId="704041A5" w14:textId="77777777" w:rsidR="00683401" w:rsidRPr="00D6586A" w:rsidRDefault="00683401" w:rsidP="00683401">
      <w:pPr>
        <w:spacing w:after="120" w:line="276" w:lineRule="auto"/>
        <w:ind w:firstLine="709"/>
        <w:jc w:val="both"/>
        <w:rPr>
          <w:rFonts w:ascii="Verdana" w:eastAsia="Calibri" w:hAnsi="Verdana" w:cs="Arial"/>
          <w:lang w:val="es-ES"/>
        </w:rPr>
      </w:pPr>
      <w:r w:rsidRPr="00D6586A">
        <w:rPr>
          <w:rFonts w:ascii="Verdana" w:eastAsia="Calibri" w:hAnsi="Verdana" w:cs="Arial"/>
          <w:lang w:val="es-ES"/>
        </w:rPr>
        <w:t xml:space="preserve">En segundo lugar, si durante la etapa de planeación la entidad determina que no existe una herramienta disponible en el mercado y requiere el </w:t>
      </w:r>
      <w:r w:rsidRPr="00F02B16">
        <w:rPr>
          <w:rFonts w:ascii="Verdana" w:eastAsia="Calibri" w:hAnsi="Verdana" w:cs="Arial"/>
          <w:i/>
          <w:iCs/>
          <w:lang w:val="es-ES"/>
        </w:rPr>
        <w:t>desarrollo de software a la medida</w:t>
      </w:r>
      <w:r w:rsidRPr="00D6586A">
        <w:rPr>
          <w:rFonts w:ascii="Verdana" w:eastAsia="Calibri" w:hAnsi="Verdana" w:cs="Arial"/>
          <w:lang w:val="es-ES"/>
        </w:rPr>
        <w:t xml:space="preserve"> se recomienda que adelante un proceso de contratación mediante la modalidad de selección de concurso de méritos. Esta será procedente por tratarse del desarrollo de un proyecto específico o por requerir la selección de consultores. En estos procesos</w:t>
      </w:r>
      <w:r w:rsidRPr="004831FB">
        <w:rPr>
          <w:rFonts w:ascii="Verdana" w:eastAsia="Calibri" w:hAnsi="Verdana" w:cs="Arial"/>
          <w:lang w:val="es-ES"/>
        </w:rPr>
        <w:t>,</w:t>
      </w:r>
      <w:r w:rsidRPr="00D6586A">
        <w:rPr>
          <w:rFonts w:ascii="Verdana" w:eastAsia="Calibri" w:hAnsi="Verdana" w:cs="Arial"/>
          <w:lang w:val="es-ES"/>
        </w:rPr>
        <w:t xml:space="preserve"> la entidad </w:t>
      </w:r>
      <w:r w:rsidRPr="004831FB">
        <w:rPr>
          <w:rFonts w:ascii="Verdana" w:eastAsia="Calibri" w:hAnsi="Verdana" w:cs="Arial"/>
          <w:lang w:val="es-ES"/>
        </w:rPr>
        <w:t xml:space="preserve">hará́ uso de factores de calificación </w:t>
      </w:r>
      <w:r w:rsidRPr="00D6586A">
        <w:rPr>
          <w:rFonts w:ascii="Verdana" w:eastAsia="Calibri" w:hAnsi="Verdana" w:cs="Arial"/>
          <w:lang w:val="es-ES"/>
        </w:rPr>
        <w:t xml:space="preserve">que valoren </w:t>
      </w:r>
      <w:r w:rsidRPr="004831FB">
        <w:rPr>
          <w:rFonts w:ascii="Verdana" w:eastAsia="Calibri" w:hAnsi="Verdana" w:cs="Arial"/>
          <w:lang w:val="es-ES"/>
        </w:rPr>
        <w:t xml:space="preserve">los aspectos técnicos de la oferta o proyecto. </w:t>
      </w:r>
      <w:r w:rsidRPr="00D6586A">
        <w:rPr>
          <w:rFonts w:ascii="Verdana" w:eastAsia="Calibri" w:hAnsi="Verdana" w:cs="Arial"/>
          <w:lang w:val="es-ES"/>
        </w:rPr>
        <w:t>P</w:t>
      </w:r>
      <w:r w:rsidRPr="004831FB">
        <w:rPr>
          <w:rFonts w:ascii="Verdana" w:eastAsia="Calibri" w:hAnsi="Verdana" w:cs="Arial"/>
          <w:lang w:val="es-ES"/>
        </w:rPr>
        <w:t>odrán utilizar criterios de experiencia especifica del oferente y del equipo de trabajo, en el campo de que se trate</w:t>
      </w:r>
      <w:r w:rsidRPr="00D6586A">
        <w:rPr>
          <w:rFonts w:ascii="Verdana" w:eastAsia="Calibri" w:hAnsi="Verdana" w:cs="Arial"/>
          <w:lang w:val="es-ES"/>
        </w:rPr>
        <w:t xml:space="preserve">, según lo </w:t>
      </w:r>
      <w:r>
        <w:rPr>
          <w:rFonts w:ascii="Verdana" w:eastAsia="Calibri" w:hAnsi="Verdana" w:cs="Arial"/>
          <w:lang w:val="es-ES"/>
        </w:rPr>
        <w:t xml:space="preserve">que establece </w:t>
      </w:r>
      <w:r w:rsidRPr="00D6586A">
        <w:rPr>
          <w:rFonts w:ascii="Verdana" w:eastAsia="Calibri" w:hAnsi="Verdana" w:cs="Arial"/>
          <w:lang w:val="es-ES"/>
        </w:rPr>
        <w:t xml:space="preserve">el numeral 4 del artículo 5 de la </w:t>
      </w:r>
      <w:r w:rsidRPr="004831FB">
        <w:rPr>
          <w:rFonts w:ascii="Verdana" w:eastAsia="Calibri" w:hAnsi="Verdana" w:cs="Arial"/>
          <w:lang w:val="es-ES"/>
        </w:rPr>
        <w:t>Ley 1150 de 2007</w:t>
      </w:r>
      <w:r w:rsidRPr="00D6586A">
        <w:rPr>
          <w:rFonts w:ascii="Verdana" w:eastAsia="Calibri" w:hAnsi="Verdana" w:cs="Arial"/>
          <w:lang w:val="es-ES"/>
        </w:rPr>
        <w:t>.</w:t>
      </w:r>
    </w:p>
    <w:p w14:paraId="6C234934" w14:textId="77777777" w:rsidR="00683401" w:rsidRDefault="00683401" w:rsidP="00683401">
      <w:pPr>
        <w:spacing w:after="120" w:line="276" w:lineRule="auto"/>
        <w:ind w:firstLine="709"/>
        <w:jc w:val="both"/>
        <w:rPr>
          <w:rFonts w:ascii="Verdana" w:eastAsia="Calibri" w:hAnsi="Verdana" w:cs="Arial"/>
          <w:lang w:val="es-ES"/>
        </w:rPr>
      </w:pPr>
      <w:r w:rsidRPr="00D6586A">
        <w:rPr>
          <w:rFonts w:ascii="Verdana" w:eastAsia="Calibri" w:hAnsi="Verdana" w:cs="Arial"/>
          <w:lang w:val="es-ES"/>
        </w:rPr>
        <w:t xml:space="preserve">Finalmente, si la entidad determina que el tipo de contratación adecuado para satisfacer su necesidad es la </w:t>
      </w:r>
      <w:r w:rsidRPr="00F02B16">
        <w:rPr>
          <w:rFonts w:ascii="Verdana" w:eastAsia="Calibri" w:hAnsi="Verdana" w:cs="Arial"/>
          <w:i/>
          <w:iCs/>
          <w:lang w:val="es-ES"/>
        </w:rPr>
        <w:t>fábrica de software</w:t>
      </w:r>
      <w:r w:rsidRPr="00D6586A">
        <w:rPr>
          <w:rFonts w:ascii="Verdana" w:eastAsia="Calibri" w:hAnsi="Verdana" w:cs="Arial"/>
          <w:lang w:val="es-ES"/>
        </w:rPr>
        <w:t xml:space="preserve">, es recomendable adelantar un proceso de licitación pública. Sin embargo, la entidad deberá contemplar la modalidad de selección abreviada por subasta inversa cuando la fábrica </w:t>
      </w:r>
      <w:r>
        <w:rPr>
          <w:rFonts w:ascii="Verdana" w:eastAsia="Calibri" w:hAnsi="Verdana" w:cs="Arial"/>
          <w:lang w:val="es-ES"/>
        </w:rPr>
        <w:t xml:space="preserve">se refiera a </w:t>
      </w:r>
      <w:r w:rsidRPr="00D6586A">
        <w:rPr>
          <w:rFonts w:ascii="Verdana" w:eastAsia="Calibri" w:hAnsi="Verdana" w:cs="Arial"/>
          <w:lang w:val="es-ES"/>
        </w:rPr>
        <w:t xml:space="preserve">bienes de características técnicas uniformes. En este </w:t>
      </w:r>
      <w:r w:rsidRPr="00D6586A">
        <w:rPr>
          <w:rFonts w:ascii="Verdana" w:eastAsia="Calibri" w:hAnsi="Verdana" w:cs="Arial"/>
          <w:lang w:val="es-ES"/>
        </w:rPr>
        <w:lastRenderedPageBreak/>
        <w:t>supuesto, también será procedente lo establecido frente a la aplicación de Acuerdos Marco de Precios o Instrumentos de Agregación de Demanda.</w:t>
      </w:r>
    </w:p>
    <w:p w14:paraId="20BC503F" w14:textId="77777777" w:rsidR="00683401" w:rsidRDefault="00683401" w:rsidP="00683401">
      <w:pPr>
        <w:spacing w:after="120" w:line="276" w:lineRule="auto"/>
        <w:ind w:firstLine="708"/>
        <w:jc w:val="both"/>
        <w:rPr>
          <w:rFonts w:ascii="Verdana" w:eastAsia="Calibri" w:hAnsi="Verdana" w:cs="Arial"/>
          <w:lang w:val="es-ES"/>
        </w:rPr>
      </w:pPr>
      <w:r>
        <w:rPr>
          <w:rFonts w:ascii="Verdana" w:eastAsia="Times New Roman" w:hAnsi="Verdana" w:cs="Times New Roman"/>
          <w:lang w:eastAsia="es-CO"/>
        </w:rPr>
        <w:t xml:space="preserve">De igual manera, </w:t>
      </w:r>
      <w:r w:rsidRPr="00082B55">
        <w:rPr>
          <w:rFonts w:ascii="Verdana" w:eastAsia="Times New Roman" w:hAnsi="Verdana" w:cs="Times New Roman"/>
          <w:lang w:eastAsia="es-CO"/>
        </w:rPr>
        <w:t>se recomienda consultar la</w:t>
      </w:r>
      <w:r>
        <w:rPr>
          <w:rFonts w:ascii="Verdana" w:eastAsia="Times New Roman" w:hAnsi="Verdana" w:cs="Times New Roman"/>
          <w:lang w:eastAsia="es-CO"/>
        </w:rPr>
        <w:t xml:space="preserve"> ya mencionada</w:t>
      </w:r>
      <w:r w:rsidRPr="00082B55">
        <w:rPr>
          <w:rFonts w:ascii="Verdana" w:eastAsia="Times New Roman" w:hAnsi="Verdana" w:cs="Times New Roman"/>
          <w:lang w:eastAsia="es-CO"/>
        </w:rPr>
        <w:t xml:space="preserve"> “</w:t>
      </w:r>
      <w:r w:rsidRPr="0004611B">
        <w:rPr>
          <w:rFonts w:ascii="Verdana" w:eastAsia="Calibri" w:hAnsi="Verdana" w:cs="Arial"/>
        </w:rPr>
        <w:t>Guía de Buenas Prácticas en la adquisición de Software y servicios asociados</w:t>
      </w:r>
      <w:r>
        <w:rPr>
          <w:rFonts w:ascii="Verdana" w:eastAsia="Calibri" w:hAnsi="Verdana" w:cs="Arial"/>
        </w:rPr>
        <w:t>”</w:t>
      </w:r>
      <w:r w:rsidRPr="00D1069C">
        <w:rPr>
          <w:rFonts w:ascii="Verdana" w:eastAsia="Times New Roman" w:hAnsi="Verdana" w:cs="Times New Roman"/>
          <w:lang w:eastAsia="es-CO"/>
        </w:rPr>
        <w:t xml:space="preserve">, elaborada por Colombia Compra Eficiente, </w:t>
      </w:r>
      <w:r>
        <w:rPr>
          <w:rFonts w:ascii="Verdana" w:eastAsia="Times New Roman" w:hAnsi="Verdana" w:cs="Times New Roman"/>
          <w:lang w:eastAsia="es-CO"/>
        </w:rPr>
        <w:t xml:space="preserve">por cuanto </w:t>
      </w:r>
      <w:r>
        <w:rPr>
          <w:rFonts w:ascii="Verdana" w:hAnsi="Verdana" w:cs="Arial"/>
          <w:bCs/>
          <w:color w:val="000000" w:themeColor="text1"/>
        </w:rPr>
        <w:t>ofrece</w:t>
      </w:r>
      <w:r w:rsidRPr="00503B74">
        <w:rPr>
          <w:rFonts w:ascii="Verdana" w:hAnsi="Verdana" w:cs="Arial"/>
          <w:bCs/>
          <w:color w:val="000000" w:themeColor="text1"/>
        </w:rPr>
        <w:t xml:space="preserve"> lineamientos y herramientas prácticas para cada etapa del proceso de contratación de software, incluyendo la planeación, selección de la modalidad, elaboración de estudios de mercado y análisis de riesgos. Su aplicación será crucial para asegurar una adquisición transparente, eficiente y conforme a la normativa</w:t>
      </w:r>
      <w:r>
        <w:rPr>
          <w:rFonts w:ascii="Verdana" w:hAnsi="Verdana" w:cs="Arial"/>
          <w:bCs/>
          <w:color w:val="000000" w:themeColor="text1"/>
        </w:rPr>
        <w:t>.</w:t>
      </w:r>
    </w:p>
    <w:p w14:paraId="735F3A34" w14:textId="77777777" w:rsidR="00683401" w:rsidRDefault="00683401" w:rsidP="00683401">
      <w:pPr>
        <w:widowControl w:val="0"/>
        <w:autoSpaceDE w:val="0"/>
        <w:autoSpaceDN w:val="0"/>
        <w:spacing w:after="120" w:line="276" w:lineRule="auto"/>
        <w:jc w:val="both"/>
        <w:rPr>
          <w:rFonts w:ascii="Verdana" w:eastAsia="Calibri" w:hAnsi="Verdana" w:cs="Arial"/>
          <w:lang w:val="es-ES"/>
        </w:rPr>
      </w:pPr>
      <w:r>
        <w:rPr>
          <w:rFonts w:ascii="Verdana" w:eastAsia="Calibri" w:hAnsi="Verdana" w:cs="Arial"/>
          <w:lang w:val="es-ES"/>
        </w:rPr>
        <w:tab/>
        <w:t xml:space="preserve">En conclusión, en la adquisición de software y servicios asociados las Entidades Estatal deberán, en primera medida, determinar si existe una herramienta disponible en el mercado o si, por el contrario, deben recurrir a la contratación del desarrollo de software a la medida o de una fábrica de software. De acuerdo con lo anterior, Colombia Compra Eficiente y el MinTIC recomiendan que: i) la adquisición de software se realice por selección abreviada por subasta inversa cuando la adquisición se refiera efectivamente a bienes de características técnicas uniformes, sin perjuicio de lo dispuesto en materia de Acuerdos Marco de Precios e Instrumentos de Agregación de Demanda. Sin embargo, la entidad deberá considerar si, por no tratarse de dichos bienes, puede ser procedente un proceso de licitación pública, de mínima cuantía o un concurso de méritos. Por su parte las entidades deberían contratar </w:t>
      </w:r>
      <w:proofErr w:type="spellStart"/>
      <w:r>
        <w:rPr>
          <w:rFonts w:ascii="Verdana" w:eastAsia="Calibri" w:hAnsi="Verdana" w:cs="Arial"/>
          <w:lang w:val="es-ES"/>
        </w:rPr>
        <w:t>ii</w:t>
      </w:r>
      <w:proofErr w:type="spellEnd"/>
      <w:r>
        <w:rPr>
          <w:rFonts w:ascii="Verdana" w:eastAsia="Calibri" w:hAnsi="Verdana" w:cs="Arial"/>
          <w:lang w:val="es-ES"/>
        </w:rPr>
        <w:t xml:space="preserve">) el desarrollo de software por medio de la modalidad de concurso de méritos; y </w:t>
      </w:r>
      <w:proofErr w:type="spellStart"/>
      <w:r>
        <w:rPr>
          <w:rFonts w:ascii="Verdana" w:eastAsia="Calibri" w:hAnsi="Verdana" w:cs="Arial"/>
          <w:lang w:val="es-ES"/>
        </w:rPr>
        <w:t>iii</w:t>
      </w:r>
      <w:proofErr w:type="spellEnd"/>
      <w:r>
        <w:rPr>
          <w:rFonts w:ascii="Verdana" w:eastAsia="Calibri" w:hAnsi="Verdana" w:cs="Arial"/>
          <w:lang w:val="es-ES"/>
        </w:rPr>
        <w:t xml:space="preserve">) la fábrica de software, mediante licitación pública cuando no implique aspectos que hagan procedente otra modalidad, como la selección abreviada por subasta inversa cuando incluya bienes de características técnicas uniformes. </w:t>
      </w:r>
      <w:bookmarkStart w:id="21" w:name="_Hlk45531972"/>
    </w:p>
    <w:p w14:paraId="2748DB5F" w14:textId="77777777" w:rsidR="00683401" w:rsidRPr="00356C9D" w:rsidRDefault="00683401" w:rsidP="00683401">
      <w:pPr>
        <w:widowControl w:val="0"/>
        <w:autoSpaceDE w:val="0"/>
        <w:autoSpaceDN w:val="0"/>
        <w:spacing w:after="120" w:line="276" w:lineRule="auto"/>
        <w:ind w:firstLine="709"/>
        <w:jc w:val="both"/>
        <w:rPr>
          <w:rFonts w:ascii="Verdana" w:eastAsia="Calibri" w:hAnsi="Verdana" w:cs="Arial"/>
          <w:lang w:val="es-ES"/>
        </w:rPr>
      </w:pPr>
      <w:r>
        <w:rPr>
          <w:rFonts w:ascii="Verdana" w:hAnsi="Verdana" w:cs="Arial"/>
          <w:color w:val="000000" w:themeColor="text1"/>
          <w:lang w:val="es-ES"/>
        </w:rPr>
        <w:t>Ahora, aunque</w:t>
      </w:r>
      <w:r w:rsidRPr="00356C9D">
        <w:rPr>
          <w:rFonts w:ascii="Verdana" w:hAnsi="Verdana" w:cs="Arial"/>
          <w:color w:val="000000" w:themeColor="text1"/>
          <w:lang w:val="es-ES"/>
        </w:rPr>
        <w:t xml:space="preserve"> </w:t>
      </w:r>
      <w:r w:rsidRPr="00356C9D">
        <w:rPr>
          <w:rFonts w:ascii="Verdana" w:hAnsi="Verdana" w:cs="Arial"/>
          <w:color w:val="000000" w:themeColor="text1"/>
          <w:lang w:val="es-ES_tradnl"/>
        </w:rPr>
        <w:t>la licitación pública es la modalidad de selección que constituye la regla general para las entidades regidas por el Estatuto General de Contratación de la Administración Pública, el artículo 2, numeral 4, de la Ley 1150 de 2007 consagra algunas excepciones, que atienden a la necesidad de proteger principios como la eficiencia, la eficacia, la economía, la celeridad o la integridad de las personas. Una de las excepciones es la causal de contratación directa prevista en el literal g) del mencionado numeral, que se refiere a la ausencia de pluralidad de oferentes.</w:t>
      </w:r>
    </w:p>
    <w:p w14:paraId="3114965E" w14:textId="77777777" w:rsidR="00683401" w:rsidRPr="00356C9D" w:rsidRDefault="00683401" w:rsidP="00683401">
      <w:pPr>
        <w:spacing w:after="120" w:line="276" w:lineRule="auto"/>
        <w:jc w:val="both"/>
        <w:rPr>
          <w:rFonts w:ascii="Verdana" w:eastAsia="Calibri" w:hAnsi="Verdana" w:cs="Arial"/>
          <w:color w:val="000000" w:themeColor="text1"/>
          <w:lang w:val="es-ES_tradnl"/>
        </w:rPr>
      </w:pPr>
      <w:r w:rsidRPr="00356C9D">
        <w:rPr>
          <w:rFonts w:ascii="Verdana" w:hAnsi="Verdana" w:cs="Arial"/>
          <w:color w:val="000000" w:themeColor="text1"/>
          <w:lang w:val="es-ES_tradnl"/>
        </w:rPr>
        <w:tab/>
        <w:t xml:space="preserve">Cuando se interpreta aisladamente, la causal constituye un </w:t>
      </w:r>
      <w:r w:rsidRPr="00356C9D">
        <w:rPr>
          <w:rFonts w:ascii="Verdana" w:hAnsi="Verdana" w:cs="Arial"/>
          <w:i/>
          <w:iCs/>
          <w:color w:val="000000" w:themeColor="text1"/>
          <w:lang w:val="es-ES_tradnl"/>
        </w:rPr>
        <w:t>concepto jurídico indeterminado</w:t>
      </w:r>
      <w:r w:rsidRPr="00356C9D">
        <w:rPr>
          <w:rFonts w:ascii="Verdana" w:hAnsi="Verdana" w:cs="Arial"/>
          <w:color w:val="000000" w:themeColor="text1"/>
          <w:lang w:val="es-ES_tradnl"/>
        </w:rPr>
        <w:t xml:space="preserve">. Lo anterior, en la medida que debe precisarse su </w:t>
      </w:r>
      <w:r w:rsidRPr="00356C9D">
        <w:rPr>
          <w:rFonts w:ascii="Verdana" w:hAnsi="Verdana" w:cs="Arial"/>
          <w:color w:val="000000" w:themeColor="text1"/>
          <w:lang w:val="es-ES_tradnl"/>
        </w:rPr>
        <w:lastRenderedPageBreak/>
        <w:t>contenido conforme a las circunstancias, pues confiere una cierta facultad de apreciación interpretativa por la amplitud y abstracción del concepto</w:t>
      </w:r>
      <w:r w:rsidRPr="00356C9D">
        <w:rPr>
          <w:rStyle w:val="Refdenotaalpie"/>
          <w:rFonts w:ascii="Verdana" w:eastAsia="Calibri" w:hAnsi="Verdana" w:cs="Arial"/>
          <w:lang w:val="es-ES_tradnl"/>
        </w:rPr>
        <w:footnoteReference w:id="27"/>
      </w:r>
      <w:r w:rsidRPr="00356C9D">
        <w:rPr>
          <w:rFonts w:ascii="Verdana" w:hAnsi="Verdana" w:cs="Arial"/>
          <w:color w:val="000000" w:themeColor="text1"/>
          <w:lang w:val="es-ES_tradnl"/>
        </w:rPr>
        <w:t>. Sin embargo, teniendo en cuenta la competencia del artículo 189.11 superior para la debida ejecución de la ley, nada obsta para que el reglamento determine los casos en que no existe pluralidad de oferentes. Lo anterior teniendo en cuenta que</w:t>
      </w:r>
      <w:r w:rsidRPr="00356C9D">
        <w:rPr>
          <w:rFonts w:ascii="Verdana" w:eastAsia="Calibri" w:hAnsi="Verdana" w:cs="Arial"/>
          <w:color w:val="000000" w:themeColor="text1"/>
          <w:lang w:val="es-ES_tradnl"/>
        </w:rPr>
        <w:t xml:space="preserve"> a pesar de que el artículo 28 del Código Civil dispone que las palabras se entenderán en su sentido natural y obvio, es decir, de acuerdo con su sentido general, la norma también </w:t>
      </w:r>
      <w:r>
        <w:rPr>
          <w:rFonts w:ascii="Verdana" w:eastAsia="Calibri" w:hAnsi="Verdana" w:cs="Arial"/>
          <w:color w:val="000000" w:themeColor="text1"/>
          <w:lang w:val="es-ES_tradnl"/>
        </w:rPr>
        <w:t>indica</w:t>
      </w:r>
      <w:r w:rsidRPr="00356C9D">
        <w:rPr>
          <w:rFonts w:ascii="Verdana" w:eastAsia="Calibri" w:hAnsi="Verdana" w:cs="Arial"/>
          <w:color w:val="000000" w:themeColor="text1"/>
          <w:lang w:val="es-ES_tradnl"/>
        </w:rPr>
        <w:t xml:space="preserve"> que cuando se definan expresamente para ciertas materias, se les dará en estas su significado legal. </w:t>
      </w:r>
    </w:p>
    <w:p w14:paraId="7DD9593B" w14:textId="77777777" w:rsidR="00683401" w:rsidRPr="00356C9D" w:rsidRDefault="00683401" w:rsidP="00683401">
      <w:pPr>
        <w:spacing w:before="120" w:line="276" w:lineRule="auto"/>
        <w:ind w:firstLine="708"/>
        <w:jc w:val="both"/>
        <w:rPr>
          <w:rFonts w:ascii="Verdana" w:eastAsia="Calibri" w:hAnsi="Verdana" w:cs="Arial"/>
          <w:color w:val="000000" w:themeColor="text1"/>
          <w:lang w:val="es-ES_tradnl"/>
        </w:rPr>
      </w:pPr>
      <w:r w:rsidRPr="00356C9D">
        <w:rPr>
          <w:rFonts w:ascii="Verdana" w:eastAsia="Calibri" w:hAnsi="Verdana" w:cs="Arial"/>
          <w:color w:val="000000" w:themeColor="text1"/>
          <w:lang w:val="es-ES_tradnl"/>
        </w:rPr>
        <w:t>En la actualidad, la disposición normativa vigente para interpretar el alcance de la causal de contratación directa establecida en el artículo 2, numeral 4, literal g), de la Ley 1150 de 2007, está compilada en el artículo 2.2.1.2.1.4.8 del Decreto 1082 de 2015, el cual dispone lo siguiente:</w:t>
      </w:r>
    </w:p>
    <w:p w14:paraId="16411868" w14:textId="77777777" w:rsidR="00683401" w:rsidRPr="00356C9D" w:rsidRDefault="00683401" w:rsidP="00683401">
      <w:pPr>
        <w:spacing w:after="0" w:line="240" w:lineRule="auto"/>
        <w:ind w:left="709" w:right="709"/>
        <w:jc w:val="both"/>
        <w:rPr>
          <w:rFonts w:ascii="Verdana" w:eastAsia="Calibri" w:hAnsi="Verdana" w:cs="Arial"/>
          <w:color w:val="000000" w:themeColor="text1"/>
          <w:sz w:val="20"/>
          <w:szCs w:val="20"/>
          <w:lang w:val="es-ES_tradnl"/>
        </w:rPr>
      </w:pPr>
      <w:r w:rsidRPr="00356C9D">
        <w:rPr>
          <w:rFonts w:ascii="Verdana" w:eastAsia="Calibri" w:hAnsi="Verdana" w:cs="Arial"/>
          <w:color w:val="000000" w:themeColor="text1"/>
          <w:sz w:val="20"/>
          <w:szCs w:val="20"/>
          <w:lang w:val="es-ES_tradnl"/>
        </w:rPr>
        <w:t xml:space="preserve">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 </w:t>
      </w:r>
      <w:bookmarkStart w:id="22" w:name="_Hlk45532127"/>
    </w:p>
    <w:p w14:paraId="5A521DE1" w14:textId="77777777" w:rsidR="00683401" w:rsidRDefault="00683401" w:rsidP="00683401">
      <w:pPr>
        <w:spacing w:after="0" w:line="240" w:lineRule="auto"/>
        <w:ind w:firstLine="709"/>
        <w:jc w:val="both"/>
        <w:rPr>
          <w:rFonts w:ascii="Verdana" w:eastAsia="Calibri" w:hAnsi="Verdana" w:cs="Arial"/>
          <w:color w:val="000000" w:themeColor="text1"/>
          <w:lang w:val="es-ES_tradnl"/>
        </w:rPr>
      </w:pPr>
    </w:p>
    <w:p w14:paraId="1B512140" w14:textId="77777777" w:rsidR="00683401" w:rsidRPr="00356C9D" w:rsidRDefault="00683401" w:rsidP="00683401">
      <w:pPr>
        <w:spacing w:after="120" w:line="276" w:lineRule="auto"/>
        <w:ind w:firstLine="709"/>
        <w:jc w:val="both"/>
        <w:rPr>
          <w:rFonts w:ascii="Verdana" w:eastAsia="Calibri" w:hAnsi="Verdana" w:cs="Arial"/>
          <w:color w:val="000000" w:themeColor="text1"/>
          <w:lang w:val="es-ES_tradnl"/>
        </w:rPr>
      </w:pPr>
      <w:r w:rsidRPr="00356C9D">
        <w:rPr>
          <w:rFonts w:ascii="Verdana" w:eastAsia="Calibri" w:hAnsi="Verdana" w:cs="Arial"/>
          <w:color w:val="000000" w:themeColor="text1"/>
          <w:lang w:val="es-ES_tradnl"/>
        </w:rPr>
        <w:t xml:space="preserve">La norma consagra dos (2) hipótesis. </w:t>
      </w:r>
      <w:r w:rsidRPr="00356C9D">
        <w:rPr>
          <w:rFonts w:ascii="Verdana" w:eastAsia="Calibri" w:hAnsi="Verdana" w:cs="Arial"/>
          <w:i/>
          <w:iCs/>
          <w:color w:val="000000" w:themeColor="text1"/>
          <w:lang w:val="es-ES_tradnl"/>
        </w:rPr>
        <w:t>En primer lugar</w:t>
      </w:r>
      <w:r w:rsidRPr="00356C9D">
        <w:rPr>
          <w:rFonts w:ascii="Verdana" w:eastAsia="Calibri" w:hAnsi="Verdana" w:cs="Arial"/>
          <w:color w:val="000000" w:themeColor="text1"/>
          <w:lang w:val="es-ES_tradnl"/>
        </w:rPr>
        <w:t xml:space="preserve">, </w:t>
      </w:r>
      <w:bookmarkStart w:id="23" w:name="_Hlk45627093"/>
      <w:r w:rsidRPr="00356C9D">
        <w:rPr>
          <w:rFonts w:ascii="Verdana" w:eastAsia="Calibri" w:hAnsi="Verdana" w:cs="Arial"/>
          <w:color w:val="000000" w:themeColor="text1"/>
          <w:lang w:val="es-ES_tradnl"/>
        </w:rPr>
        <w:t xml:space="preserve">no existe pluralidad de oferentes cuando solo una persona puede proveer el bien o servicio por ser titular de los derechos de propiedad industrial o de los derechos de autor. De esta manera, no basta con que sea la única persona capaz de ejecutar el contrato, pues se debe justificar una situación de derecho que impida que otra lo haga de forma igual o similar. </w:t>
      </w:r>
    </w:p>
    <w:p w14:paraId="127545EE" w14:textId="77777777" w:rsidR="00683401" w:rsidRPr="00356C9D" w:rsidRDefault="00683401" w:rsidP="00683401">
      <w:pPr>
        <w:spacing w:after="120" w:line="276" w:lineRule="auto"/>
        <w:ind w:firstLine="709"/>
        <w:jc w:val="both"/>
        <w:rPr>
          <w:rFonts w:ascii="Verdana" w:eastAsia="Calibri" w:hAnsi="Verdana" w:cs="Arial"/>
          <w:color w:val="000000" w:themeColor="text1"/>
          <w:lang w:val="es-ES_tradnl"/>
        </w:rPr>
      </w:pPr>
      <w:bookmarkStart w:id="24" w:name="_Hlk45635593"/>
      <w:r w:rsidRPr="00356C9D">
        <w:rPr>
          <w:rFonts w:ascii="Verdana" w:eastAsia="Calibri" w:hAnsi="Verdana" w:cs="Arial"/>
          <w:color w:val="000000" w:themeColor="text1"/>
          <w:lang w:val="es-ES_tradnl"/>
        </w:rPr>
        <w:t xml:space="preserve">Por ello, en la medida que la prestación no esté cubierta por derechos de la naturaleza anteriormente señalada, posibilita que la entidad satisfaga sus necesidades con equivalentes o sustitutos, ya que la presión de la competencia </w:t>
      </w:r>
      <w:r w:rsidRPr="00356C9D">
        <w:rPr>
          <w:rFonts w:ascii="Verdana" w:eastAsia="Calibri" w:hAnsi="Verdana" w:cs="Arial"/>
          <w:color w:val="000000" w:themeColor="text1"/>
          <w:lang w:val="es-ES_tradnl"/>
        </w:rPr>
        <w:lastRenderedPageBreak/>
        <w:t>aumenta la oferta y disminuye los costos de adquisición. Para la doctrina, en ausencia de una barrera de entrada –como la que se concreta con los derechos de propiedad industrial o de autor– es necesario aplicar el principio de concurrencia</w:t>
      </w:r>
      <w:bookmarkEnd w:id="23"/>
      <w:bookmarkEnd w:id="24"/>
      <w:r w:rsidRPr="00356C9D">
        <w:rPr>
          <w:rFonts w:ascii="Verdana" w:eastAsia="Calibri" w:hAnsi="Verdana" w:cs="Arial"/>
          <w:color w:val="000000" w:themeColor="text1"/>
          <w:lang w:val="es-ES_tradnl"/>
        </w:rPr>
        <w:t>.</w:t>
      </w:r>
      <w:bookmarkEnd w:id="22"/>
      <w:r w:rsidRPr="00356C9D">
        <w:rPr>
          <w:rFonts w:ascii="Verdana" w:eastAsia="Calibri" w:hAnsi="Verdana" w:cs="Arial"/>
          <w:color w:val="000000" w:themeColor="text1"/>
          <w:lang w:val="es-ES_tradnl"/>
        </w:rPr>
        <w:t xml:space="preserve"> Por lo anterior explica que es posible la contratación directa con el oferente que es titular de una marca o privilegio, agregando lo siguiente:</w:t>
      </w:r>
    </w:p>
    <w:p w14:paraId="38087F59" w14:textId="77777777" w:rsidR="00683401" w:rsidRPr="00356C9D" w:rsidRDefault="00683401" w:rsidP="00683401">
      <w:pPr>
        <w:spacing w:after="0" w:line="240" w:lineRule="auto"/>
        <w:ind w:left="709" w:right="709"/>
        <w:jc w:val="both"/>
        <w:rPr>
          <w:rFonts w:ascii="Verdana" w:eastAsia="Calibri" w:hAnsi="Verdana" w:cs="Arial"/>
          <w:color w:val="000000" w:themeColor="text1"/>
          <w:sz w:val="20"/>
          <w:szCs w:val="20"/>
          <w:lang w:val="es-ES_tradnl"/>
        </w:rPr>
      </w:pPr>
      <w:r w:rsidRPr="00356C9D">
        <w:rPr>
          <w:rFonts w:ascii="Verdana" w:eastAsia="Calibri" w:hAnsi="Verdana" w:cs="Arial"/>
          <w:color w:val="000000" w:themeColor="text1"/>
          <w:sz w:val="20"/>
          <w:szCs w:val="20"/>
          <w:lang w:val="es-ES_tradnl"/>
        </w:rPr>
        <w:t>La tutela de la propiedad intelectual del oferente o de un privilegio otorgado en modo expreso, vuelven imposible proceder por licitación, ya que solamente la persona, entidad o empresa que posee el privilegio de invención o fabricación, podría presentarse formulando ofertas. Desde luego no habría pluralidad de concurrentes, ni puja que hiciera posible el cumplimiento de las finalidades básicas perseguidas por la licitación</w:t>
      </w:r>
      <w:r w:rsidRPr="00356C9D">
        <w:rPr>
          <w:rStyle w:val="Refdenotaalpie"/>
          <w:rFonts w:ascii="Verdana" w:eastAsia="Calibri" w:hAnsi="Verdana" w:cs="Arial"/>
          <w:color w:val="000000" w:themeColor="text1"/>
          <w:sz w:val="20"/>
          <w:szCs w:val="20"/>
          <w:lang w:val="es-ES_tradnl"/>
        </w:rPr>
        <w:footnoteReference w:id="28"/>
      </w:r>
      <w:r w:rsidRPr="00356C9D">
        <w:rPr>
          <w:rFonts w:ascii="Verdana" w:eastAsia="Calibri" w:hAnsi="Verdana" w:cs="Arial"/>
          <w:color w:val="000000" w:themeColor="text1"/>
          <w:sz w:val="20"/>
          <w:szCs w:val="20"/>
          <w:lang w:val="es-ES_tradnl"/>
        </w:rPr>
        <w:t>.</w:t>
      </w:r>
      <w:bookmarkStart w:id="25" w:name="_Hlk45532434"/>
    </w:p>
    <w:p w14:paraId="390A428A" w14:textId="77777777" w:rsidR="00683401" w:rsidRDefault="00683401" w:rsidP="00683401">
      <w:pPr>
        <w:spacing w:after="0" w:line="240" w:lineRule="auto"/>
        <w:ind w:firstLine="709"/>
        <w:jc w:val="both"/>
        <w:rPr>
          <w:rFonts w:ascii="Verdana" w:eastAsia="Calibri" w:hAnsi="Verdana" w:cs="Arial"/>
          <w:i/>
          <w:iCs/>
          <w:color w:val="000000" w:themeColor="text1"/>
          <w:lang w:val="es-ES_tradnl"/>
        </w:rPr>
      </w:pPr>
    </w:p>
    <w:p w14:paraId="59A76D5E" w14:textId="77777777" w:rsidR="00683401" w:rsidRPr="00356C9D" w:rsidRDefault="00683401" w:rsidP="00683401">
      <w:pPr>
        <w:spacing w:after="120" w:line="276" w:lineRule="auto"/>
        <w:ind w:firstLine="709"/>
        <w:jc w:val="both"/>
        <w:rPr>
          <w:rFonts w:ascii="Verdana" w:eastAsia="Calibri" w:hAnsi="Verdana" w:cs="Arial"/>
          <w:color w:val="000000" w:themeColor="text1"/>
          <w:lang w:val="es-ES_tradnl"/>
        </w:rPr>
      </w:pPr>
      <w:r w:rsidRPr="00356C9D">
        <w:rPr>
          <w:rFonts w:ascii="Verdana" w:eastAsia="Calibri" w:hAnsi="Verdana" w:cs="Arial"/>
          <w:i/>
          <w:iCs/>
          <w:color w:val="000000" w:themeColor="text1"/>
          <w:lang w:val="es-ES_tradnl"/>
        </w:rPr>
        <w:t>En segundo lugar</w:t>
      </w:r>
      <w:r w:rsidRPr="00356C9D">
        <w:rPr>
          <w:rFonts w:ascii="Verdana" w:eastAsia="Calibri" w:hAnsi="Verdana" w:cs="Arial"/>
          <w:color w:val="000000" w:themeColor="text1"/>
          <w:lang w:val="es-ES_tradnl"/>
        </w:rPr>
        <w:t xml:space="preserve">, </w:t>
      </w:r>
      <w:bookmarkStart w:id="26" w:name="_Hlk45635630"/>
      <w:bookmarkStart w:id="27" w:name="_Hlk45627184"/>
      <w:r w:rsidRPr="00356C9D">
        <w:rPr>
          <w:rFonts w:ascii="Verdana" w:eastAsia="Calibri" w:hAnsi="Verdana" w:cs="Arial"/>
          <w:color w:val="000000" w:themeColor="text1"/>
          <w:lang w:val="es-ES_tradnl"/>
        </w:rPr>
        <w:t>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w:t>
      </w:r>
      <w:bookmarkEnd w:id="26"/>
      <w:r w:rsidRPr="00356C9D">
        <w:rPr>
          <w:rFonts w:ascii="Verdana" w:eastAsia="Calibri" w:hAnsi="Verdana" w:cs="Arial"/>
          <w:color w:val="000000" w:themeColor="text1"/>
          <w:lang w:val="es-ES_tradnl"/>
        </w:rPr>
        <w:t xml:space="preserve">. </w:t>
      </w:r>
    </w:p>
    <w:p w14:paraId="071B82B3" w14:textId="77777777" w:rsidR="00683401" w:rsidRPr="00356C9D" w:rsidRDefault="00683401" w:rsidP="00683401">
      <w:pPr>
        <w:spacing w:after="120" w:line="276" w:lineRule="auto"/>
        <w:ind w:firstLine="708"/>
        <w:jc w:val="both"/>
        <w:rPr>
          <w:rFonts w:ascii="Verdana" w:eastAsia="Calibri" w:hAnsi="Verdana" w:cs="Arial"/>
          <w:color w:val="000000" w:themeColor="text1"/>
          <w:lang w:val="es-ES_tradnl"/>
        </w:rPr>
      </w:pPr>
      <w:bookmarkStart w:id="28" w:name="_Hlk45635661"/>
      <w:r w:rsidRPr="00356C9D">
        <w:rPr>
          <w:rFonts w:ascii="Verdana" w:eastAsia="Calibri" w:hAnsi="Verdana" w:cs="Arial"/>
          <w:color w:val="000000" w:themeColor="text1"/>
          <w:lang w:val="es-ES_tradnl"/>
        </w:rPr>
        <w:t>Al igual que la hipótesis precedente, la presencia de un proveedor exclusivo supone una barrera de entrada para otros posibles oferentes, por lo que no es posible garantizar el principio de libertad de concurrencia. Sin embargo, para aplicar la causal de contratación directa, la exclusividad del proveedor debe cubrir el territorio nacional, pues –por ejemplo– si se limita a un municipio o un departamento, es posible encontrar proveedores de bienes y servicios similares o sustitutos en otros lugares del país, por lo que es necesario aplicar procedimientos de selección que permitan la pluralidad de oferentes</w:t>
      </w:r>
      <w:bookmarkEnd w:id="28"/>
      <w:r w:rsidRPr="00356C9D">
        <w:rPr>
          <w:rFonts w:ascii="Verdana" w:eastAsia="Calibri" w:hAnsi="Verdana" w:cs="Arial"/>
          <w:color w:val="000000" w:themeColor="text1"/>
          <w:lang w:val="es-ES_tradnl"/>
        </w:rPr>
        <w:t>.</w:t>
      </w:r>
      <w:bookmarkEnd w:id="27"/>
    </w:p>
    <w:bookmarkEnd w:id="25"/>
    <w:p w14:paraId="4571AE72" w14:textId="77777777" w:rsidR="00683401" w:rsidRPr="00356C9D" w:rsidRDefault="00683401" w:rsidP="00683401">
      <w:pPr>
        <w:spacing w:after="120" w:line="276" w:lineRule="auto"/>
        <w:ind w:firstLine="708"/>
        <w:jc w:val="both"/>
        <w:rPr>
          <w:rFonts w:ascii="Verdana" w:eastAsia="Calibri" w:hAnsi="Verdana" w:cs="Arial"/>
          <w:color w:val="000000" w:themeColor="text1"/>
          <w:lang w:val="es-ES_tradnl"/>
        </w:rPr>
      </w:pPr>
      <w:r w:rsidRPr="00356C9D">
        <w:rPr>
          <w:rFonts w:ascii="Verdana" w:eastAsia="Calibri" w:hAnsi="Verdana" w:cs="Arial"/>
          <w:color w:val="000000" w:themeColor="text1"/>
          <w:lang w:val="es-ES_tradnl"/>
        </w:rPr>
        <w:t xml:space="preserve">Ni el artículo 2, numeral 4, literal g) de la Ley 1150 de 2007, ni el artículo 2.2.1.2.1.4.8. del Decreto 1082 de 2015, establecen una tarifa legal para acreditar la exclusividad en el territorio nacional, pues las normas no prevén un </w:t>
      </w:r>
      <w:r w:rsidRPr="00356C9D">
        <w:rPr>
          <w:rFonts w:ascii="Verdana" w:eastAsia="Calibri" w:hAnsi="Verdana" w:cs="Arial"/>
          <w:color w:val="000000" w:themeColor="text1"/>
          <w:lang w:val="es-ES_tradnl"/>
        </w:rPr>
        <w:lastRenderedPageBreak/>
        <w:t>medio probatorio específico como el único que tenga valor de convicción para las entidades estatales en la etapa precontractual. Lo que señala la citada disposición reglamentaria es que “Estas circunstancias deben constar en el estudio previo que soporta la contratación”. En otras palabras, la entidad estatal debe hacer un análisis riguroso en la etapa de planeación, para determinar si un proveedor es o no exclusivo en el territorio nacional, pudiendo servirse de los medios probatorios que considere pertinentes y conducentes</w:t>
      </w:r>
      <w:r w:rsidRPr="00356C9D">
        <w:rPr>
          <w:rStyle w:val="Refdenotaalpie"/>
          <w:rFonts w:ascii="Verdana" w:eastAsia="Calibri" w:hAnsi="Verdana" w:cs="Arial"/>
          <w:color w:val="000000" w:themeColor="text1"/>
          <w:lang w:val="es-ES_tradnl"/>
        </w:rPr>
        <w:footnoteReference w:id="29"/>
      </w:r>
      <w:r w:rsidRPr="00356C9D">
        <w:rPr>
          <w:rFonts w:ascii="Verdana" w:eastAsia="Calibri" w:hAnsi="Verdana" w:cs="Arial"/>
          <w:color w:val="000000" w:themeColor="text1"/>
          <w:lang w:val="es-ES_tradnl"/>
        </w:rPr>
        <w:t xml:space="preserve">. </w:t>
      </w:r>
    </w:p>
    <w:p w14:paraId="353E25B4" w14:textId="77777777" w:rsidR="00683401" w:rsidRPr="00356C9D" w:rsidRDefault="00683401" w:rsidP="00683401">
      <w:pPr>
        <w:spacing w:after="120" w:line="276" w:lineRule="auto"/>
        <w:ind w:firstLine="708"/>
        <w:jc w:val="both"/>
        <w:rPr>
          <w:rFonts w:ascii="Verdana" w:eastAsia="Calibri" w:hAnsi="Verdana" w:cs="Arial"/>
          <w:color w:val="000000" w:themeColor="text1"/>
        </w:rPr>
      </w:pPr>
      <w:r w:rsidRPr="00356C9D">
        <w:rPr>
          <w:rFonts w:ascii="Verdana" w:eastAsia="Calibri" w:hAnsi="Verdana" w:cs="Arial"/>
          <w:color w:val="000000" w:themeColor="text1"/>
          <w:lang w:val="es-ES_tradnl"/>
        </w:rPr>
        <w:t xml:space="preserve">En el marco de la libertad probatoria, la entidad estatal contratante debe analizar el valor de los elementos de que dispone –por ejemplo, de las pruebas documentales–, para cotejarlos y concluir si un proveedor, en efecto, es exclusivo en el territorio nacional. Frente a esto último, no basta con que el proveedor goce de exclusividad en el territorio de otro Estado. Se hace imperativo demostrar que es el único que puede proveer el bien o servicio en Colombia.    </w:t>
      </w:r>
    </w:p>
    <w:p w14:paraId="2C393F83" w14:textId="77777777" w:rsidR="00683401" w:rsidRDefault="00683401" w:rsidP="00683401">
      <w:pPr>
        <w:spacing w:after="120" w:line="276" w:lineRule="auto"/>
        <w:ind w:firstLine="708"/>
        <w:jc w:val="both"/>
        <w:rPr>
          <w:rFonts w:ascii="Verdana" w:eastAsia="Calibri" w:hAnsi="Verdana" w:cs="Arial"/>
          <w:color w:val="000000" w:themeColor="text1"/>
          <w:lang w:val="es-ES_tradnl"/>
        </w:rPr>
      </w:pPr>
      <w:bookmarkStart w:id="29" w:name="_Hlk45532582"/>
      <w:bookmarkStart w:id="30" w:name="_Hlk45531535"/>
      <w:r w:rsidRPr="00356C9D">
        <w:rPr>
          <w:rFonts w:ascii="Verdana" w:eastAsia="Calibri" w:hAnsi="Verdana" w:cs="Arial"/>
          <w:color w:val="000000" w:themeColor="text1"/>
          <w:lang w:val="es-ES_tradnl"/>
        </w:rPr>
        <w:t xml:space="preserve">Fuera de las dos (2) situaciones analizadas, no es posible aplicar </w:t>
      </w:r>
      <w:bookmarkStart w:id="31" w:name="_Hlk45529265"/>
      <w:r w:rsidRPr="00356C9D">
        <w:rPr>
          <w:rFonts w:ascii="Verdana" w:eastAsia="Calibri" w:hAnsi="Verdana" w:cs="Arial"/>
          <w:color w:val="000000" w:themeColor="text1"/>
          <w:lang w:val="es-ES_tradnl"/>
        </w:rPr>
        <w:t>el artículo 2, numeral 4, literal g), de la Ley 1150 de 2007</w:t>
      </w:r>
      <w:bookmarkEnd w:id="31"/>
      <w:r w:rsidRPr="00356C9D">
        <w:rPr>
          <w:rFonts w:ascii="Verdana" w:eastAsia="Calibri" w:hAnsi="Verdana" w:cs="Arial"/>
          <w:color w:val="000000" w:themeColor="text1"/>
          <w:lang w:val="es-ES_tradnl"/>
        </w:rPr>
        <w:t>. Como se explicó, las normas citadas integran una causal de contratación directa que es excepcional a los mecanismos de selección objetiva por convocatoria pública definidos en el Estatuto General de Contratación de la Administración Pública, por lo que se interpretan restrictivamente, es decir, conforme al tenor literal de las normas</w:t>
      </w:r>
      <w:bookmarkEnd w:id="29"/>
      <w:r w:rsidRPr="00356C9D">
        <w:rPr>
          <w:rFonts w:ascii="Verdana" w:eastAsia="Calibri" w:hAnsi="Verdana" w:cs="Arial"/>
          <w:color w:val="000000" w:themeColor="text1"/>
          <w:lang w:val="es-ES_tradnl"/>
        </w:rPr>
        <w:t>.</w:t>
      </w:r>
      <w:bookmarkEnd w:id="30"/>
    </w:p>
    <w:p w14:paraId="2B464541" w14:textId="77777777" w:rsidR="00683401" w:rsidRPr="00356C9D" w:rsidRDefault="00683401" w:rsidP="00683401">
      <w:pPr>
        <w:spacing w:after="120"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Ahora bien, en relación con la contratación directa bajo la causal contemplada en el artículo 2 numeral 4 literal g) de la Ley 1150 de 2007 en vigencia de las restricciones contempladas en la Ley 996 de 2005, se reitera que, dicha posibilidad se encuentra prohibida dentro de los términos definidos en el artículo 33, esto es, cualquier tipo de contratación directa, salvo que se presente alguna causal que determine la necesidad de su contratación de manera directa.   </w:t>
      </w:r>
    </w:p>
    <w:p w14:paraId="41DB9F16" w14:textId="77777777" w:rsidR="00683401" w:rsidRDefault="00683401" w:rsidP="00683401">
      <w:pPr>
        <w:widowControl w:val="0"/>
        <w:autoSpaceDE w:val="0"/>
        <w:autoSpaceDN w:val="0"/>
        <w:spacing w:after="120" w:line="276" w:lineRule="auto"/>
        <w:jc w:val="both"/>
        <w:rPr>
          <w:rFonts w:ascii="Verdana" w:eastAsia="Times New Roman" w:hAnsi="Verdana" w:cs="Arial"/>
          <w:lang w:val="es-MX" w:eastAsia="x-none"/>
        </w:rPr>
      </w:pPr>
      <w:proofErr w:type="spellStart"/>
      <w:r w:rsidRPr="00CB0D01">
        <w:rPr>
          <w:rFonts w:ascii="Verdana" w:hAnsi="Verdana" w:cs="Arial"/>
          <w:lang w:val="es-ES"/>
        </w:rPr>
        <w:t>iv</w:t>
      </w:r>
      <w:proofErr w:type="spellEnd"/>
      <w:r w:rsidRPr="00CB0D01">
        <w:rPr>
          <w:rFonts w:ascii="Verdana" w:hAnsi="Verdana" w:cs="Arial"/>
          <w:lang w:val="es-ES"/>
        </w:rPr>
        <w:t xml:space="preserve">) Por último, en cuanto a la posibilidad de celebrar </w:t>
      </w:r>
      <w:r w:rsidRPr="00CB0D01">
        <w:rPr>
          <w:rFonts w:ascii="Verdana" w:eastAsia="Century Gothic" w:hAnsi="Verdana" w:cs="Century Gothic"/>
        </w:rPr>
        <w:t xml:space="preserve">convenios y contratos interadministrativos bajo la vigencia de la restricción contenida en el parágrafo del artículo 38 de la Ley 996 de 2005 para la adquisición de un software o licencias, debe analizarse el </w:t>
      </w:r>
      <w:r w:rsidRPr="00CB0D01">
        <w:rPr>
          <w:rFonts w:ascii="Verdana" w:hAnsi="Verdana" w:cs="Arial"/>
          <w:lang w:val="es-ES"/>
        </w:rPr>
        <w:t xml:space="preserve">alcance del parágrafo </w:t>
      </w:r>
      <w:r w:rsidRPr="00CB0D01">
        <w:rPr>
          <w:rFonts w:ascii="Verdana" w:hAnsi="Verdana" w:cs="Arial"/>
        </w:rPr>
        <w:t xml:space="preserve">del artículo 38 de la Ley 996 </w:t>
      </w:r>
      <w:r w:rsidRPr="00CB0D01">
        <w:rPr>
          <w:rFonts w:ascii="Verdana" w:hAnsi="Verdana" w:cs="Arial"/>
        </w:rPr>
        <w:lastRenderedPageBreak/>
        <w:t xml:space="preserve">de 2005. La prohibición dispone en primera medida que: “[l]os Gobernadores, </w:t>
      </w:r>
      <w:proofErr w:type="gramStart"/>
      <w:r w:rsidRPr="00CB0D01">
        <w:rPr>
          <w:rFonts w:ascii="Verdana" w:hAnsi="Verdana" w:cs="Arial"/>
        </w:rPr>
        <w:t>Alcaldes</w:t>
      </w:r>
      <w:proofErr w:type="gramEnd"/>
      <w:r w:rsidRPr="00CB0D01">
        <w:rPr>
          <w:rFonts w:ascii="Verdana" w:hAnsi="Verdana" w:cs="Arial"/>
        </w:rPr>
        <w:t xml:space="preserve"> Municipales y/o Distritales, </w:t>
      </w:r>
      <w:proofErr w:type="gramStart"/>
      <w:r w:rsidRPr="00CB0D01">
        <w:rPr>
          <w:rFonts w:ascii="Verdana" w:hAnsi="Verdana" w:cs="Arial"/>
        </w:rPr>
        <w:t>Secretarios</w:t>
      </w:r>
      <w:proofErr w:type="gramEnd"/>
      <w:r w:rsidRPr="00CB0D01">
        <w:rPr>
          <w:rFonts w:ascii="Verdana" w:hAnsi="Verdana" w:cs="Arial"/>
        </w:rPr>
        <w:t xml:space="preserve">, Gerentes y directores de Entidades Descentralizadas del orden Municipal, Departamental o Distrital, dentro de los cuatro (4) meses anteriores a las elecciones, no podrán celebrar </w:t>
      </w:r>
      <w:r w:rsidRPr="00CB0D01">
        <w:rPr>
          <w:rFonts w:ascii="Verdana" w:hAnsi="Verdana" w:cs="Arial"/>
          <w:i/>
          <w:iCs/>
        </w:rPr>
        <w:t>convenios interadministrativos</w:t>
      </w:r>
      <w:r w:rsidRPr="00CB0D01">
        <w:rPr>
          <w:rFonts w:ascii="Verdana" w:hAnsi="Verdana" w:cs="Arial"/>
        </w:rPr>
        <w:t xml:space="preserve"> </w:t>
      </w:r>
      <w:r w:rsidRPr="00CB0D01">
        <w:rPr>
          <w:rFonts w:ascii="Verdana" w:hAnsi="Verdana" w:cs="Arial"/>
          <w:i/>
          <w:iCs/>
        </w:rPr>
        <w:t>para la ejecución de recursos públicos</w:t>
      </w:r>
      <w:r w:rsidRPr="00CB0D01">
        <w:rPr>
          <w:rFonts w:ascii="Verdana" w:hAnsi="Verdana" w:cs="Arial"/>
        </w:rPr>
        <w:t>”.</w:t>
      </w:r>
      <w:r w:rsidRPr="00CB0D01">
        <w:rPr>
          <w:rFonts w:ascii="Verdana" w:eastAsia="Times New Roman" w:hAnsi="Verdana" w:cs="Arial"/>
          <w:lang w:val="es-MX" w:eastAsia="x-none"/>
        </w:rPr>
        <w:t xml:space="preserve"> </w:t>
      </w:r>
      <w:r>
        <w:rPr>
          <w:rFonts w:ascii="Verdana" w:eastAsia="Times New Roman" w:hAnsi="Verdana" w:cs="Arial"/>
          <w:lang w:val="es-MX" w:eastAsia="x-none"/>
        </w:rPr>
        <w:t>(</w:t>
      </w:r>
      <w:r w:rsidRPr="00CB0D01">
        <w:rPr>
          <w:rFonts w:ascii="Verdana" w:eastAsia="Times New Roman" w:hAnsi="Verdana" w:cs="Arial"/>
          <w:lang w:val="es-MX" w:eastAsia="x-none"/>
        </w:rPr>
        <w:t>Énfasis fuera del texto original</w:t>
      </w:r>
      <w:r>
        <w:rPr>
          <w:rFonts w:ascii="Verdana" w:eastAsia="Times New Roman" w:hAnsi="Verdana" w:cs="Arial"/>
          <w:lang w:val="es-MX" w:eastAsia="x-none"/>
        </w:rPr>
        <w:t xml:space="preserve">) </w:t>
      </w:r>
    </w:p>
    <w:p w14:paraId="2172EBFB" w14:textId="77777777" w:rsidR="00683401" w:rsidRDefault="00683401" w:rsidP="00683401">
      <w:pPr>
        <w:widowControl w:val="0"/>
        <w:autoSpaceDE w:val="0"/>
        <w:autoSpaceDN w:val="0"/>
        <w:spacing w:after="120" w:line="276" w:lineRule="auto"/>
        <w:ind w:firstLine="709"/>
        <w:jc w:val="both"/>
        <w:rPr>
          <w:rFonts w:ascii="Verdana" w:eastAsia="Times New Roman" w:hAnsi="Verdana" w:cs="Arial"/>
          <w:lang w:val="es-MX" w:eastAsia="x-none"/>
        </w:rPr>
      </w:pPr>
      <w:r w:rsidRPr="00CB0D01">
        <w:rPr>
          <w:rFonts w:ascii="Verdana" w:eastAsia="Times New Roman" w:hAnsi="Verdana" w:cs="Arial"/>
          <w:lang w:val="es-ES" w:eastAsia="es-ES"/>
        </w:rPr>
        <w:t xml:space="preserve">Para tales efectos, debe precisarse que </w:t>
      </w:r>
      <w:r w:rsidRPr="00CB0D01">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B0D01">
        <w:rPr>
          <w:rFonts w:ascii="Verdana" w:hAnsi="Verdana" w:cs="Arial"/>
          <w:lang w:eastAsia="es-ES"/>
        </w:rPr>
        <w:t>independientemente de las normas que regulan la relación contractual. En</w:t>
      </w:r>
      <w:r w:rsidRPr="00667CD6">
        <w:rPr>
          <w:rFonts w:ascii="Verdana" w:hAnsi="Verdana" w:cs="Arial"/>
          <w:lang w:eastAsia="es-ES"/>
        </w:rPr>
        <w:t xml:space="preserve">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30"/>
      </w:r>
      <w:r w:rsidRPr="00667CD6">
        <w:rPr>
          <w:rFonts w:ascii="Verdana" w:hAnsi="Verdana" w:cs="Arial"/>
          <w:lang w:eastAsia="es-ES"/>
        </w:rPr>
        <w:t>.</w:t>
      </w:r>
    </w:p>
    <w:p w14:paraId="50D3BF9E" w14:textId="77777777" w:rsidR="00683401" w:rsidRPr="00CB0D01" w:rsidRDefault="00683401" w:rsidP="00683401">
      <w:pPr>
        <w:widowControl w:val="0"/>
        <w:autoSpaceDE w:val="0"/>
        <w:autoSpaceDN w:val="0"/>
        <w:spacing w:after="120" w:line="276" w:lineRule="auto"/>
        <w:ind w:firstLine="709"/>
        <w:jc w:val="both"/>
        <w:rPr>
          <w:rFonts w:ascii="Verdana" w:eastAsia="Times New Roman" w:hAnsi="Verdana" w:cs="Arial"/>
          <w:lang w:val="es-MX" w:eastAsia="x-none"/>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66AFC85" w14:textId="77777777" w:rsidR="00683401" w:rsidRPr="00667CD6" w:rsidRDefault="00683401" w:rsidP="00683401">
      <w:pPr>
        <w:spacing w:after="12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31"/>
      </w:r>
      <w:r w:rsidRPr="2035D652">
        <w:rPr>
          <w:rFonts w:ascii="Verdana" w:hAnsi="Verdana" w:cs="Arial"/>
          <w:lang w:val="es-ES"/>
        </w:rPr>
        <w:t>. Nótese que, en este caso, lo que cambia es la modalidad de selección y no la naturaleza de contrato interadministrativo.</w:t>
      </w:r>
    </w:p>
    <w:p w14:paraId="31665847" w14:textId="77777777" w:rsidR="00683401" w:rsidRPr="00667CD6" w:rsidRDefault="00683401" w:rsidP="00683401">
      <w:pPr>
        <w:spacing w:after="120" w:line="276" w:lineRule="auto"/>
        <w:ind w:firstLine="709"/>
        <w:jc w:val="both"/>
        <w:rPr>
          <w:rFonts w:ascii="Verdana" w:hAnsi="Verdana" w:cs="Arial"/>
          <w:lang w:val="es-ES_tradnl"/>
        </w:rPr>
      </w:pPr>
      <w:r w:rsidRPr="2035D652">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32"/>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E556D17" w14:textId="77777777" w:rsidR="00683401" w:rsidRPr="00667CD6" w:rsidRDefault="00683401" w:rsidP="00683401">
      <w:pPr>
        <w:spacing w:after="120" w:line="276" w:lineRule="auto"/>
        <w:ind w:firstLine="709"/>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3"/>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6E46E844" w14:textId="77777777" w:rsidR="00683401" w:rsidRPr="00667CD6" w:rsidRDefault="00683401" w:rsidP="00683401">
      <w:pPr>
        <w:spacing w:after="120" w:line="276" w:lineRule="auto"/>
        <w:ind w:firstLine="709"/>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31495B89" w14:textId="77777777" w:rsidR="00683401" w:rsidRPr="00667CD6" w:rsidRDefault="00683401" w:rsidP="00683401">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w:t>
      </w:r>
      <w:r w:rsidRPr="00667CD6">
        <w:rPr>
          <w:rFonts w:ascii="Verdana" w:eastAsia="Times New Roman" w:hAnsi="Verdana" w:cs="Arial"/>
          <w:lang w:eastAsia="es-CO"/>
        </w:rPr>
        <w:lastRenderedPageBreak/>
        <w:t xml:space="preserve">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664960B9" w14:textId="77777777" w:rsidR="00683401" w:rsidRPr="00667CD6" w:rsidRDefault="00683401" w:rsidP="00683401">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w:t>
      </w:r>
      <w:r w:rsidRPr="00667CD6">
        <w:rPr>
          <w:rFonts w:ascii="Verdana" w:eastAsia="Times New Roman" w:hAnsi="Verdana" w:cs="Arial"/>
          <w:i/>
          <w:iCs/>
          <w:lang w:eastAsia="es-CO"/>
        </w:rPr>
        <w:t>ejecución de recursos públicos</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28107DC3" w14:textId="77777777" w:rsidR="00683401" w:rsidRPr="00667CD6" w:rsidRDefault="00683401" w:rsidP="00683401">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1BB5728A" w14:textId="77777777" w:rsidR="00683401" w:rsidRPr="00D77C0B" w:rsidRDefault="00683401" w:rsidP="00683401">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numeral 16.2 de la Circular Externa Única de 2022 expedida por la Agencia Nacional de Contratación Pública -Colombia Compra Eficiente-, concretamente, respecto de los siguientes apartes normativos</w:t>
      </w:r>
      <w:r w:rsidRPr="00667CD6">
        <w:rPr>
          <w:rFonts w:ascii="Verdana" w:hAnsi="Verdana" w:cs="Arial"/>
          <w:vertAlign w:val="superscript"/>
        </w:rPr>
        <w:footnoteReference w:id="34"/>
      </w:r>
      <w:r w:rsidRPr="00667CD6">
        <w:rPr>
          <w:rFonts w:ascii="Verdana" w:hAnsi="Verdana" w:cs="Arial"/>
        </w:rPr>
        <w:t xml:space="preserve">: </w:t>
      </w:r>
    </w:p>
    <w:p w14:paraId="1AF7E3AA" w14:textId="77777777" w:rsidR="00683401" w:rsidRPr="00667CD6" w:rsidRDefault="00683401" w:rsidP="00683401">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lastRenderedPageBreak/>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2E5A7D5" w14:textId="77777777" w:rsidR="00683401" w:rsidRPr="00667CD6" w:rsidRDefault="00683401" w:rsidP="00683401">
      <w:pPr>
        <w:spacing w:after="0" w:line="240" w:lineRule="auto"/>
        <w:ind w:left="709" w:right="709"/>
        <w:jc w:val="both"/>
        <w:rPr>
          <w:rFonts w:ascii="Verdana" w:hAnsi="Verdana" w:cs="Arial"/>
          <w:sz w:val="20"/>
          <w:szCs w:val="20"/>
        </w:rPr>
      </w:pPr>
    </w:p>
    <w:p w14:paraId="2F645D43" w14:textId="77777777" w:rsidR="00683401" w:rsidRPr="00667CD6" w:rsidRDefault="00683401" w:rsidP="00683401">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85AA6BC" w14:textId="77777777" w:rsidR="00683401" w:rsidRPr="00667CD6" w:rsidRDefault="00683401" w:rsidP="00683401">
      <w:pPr>
        <w:spacing w:after="0" w:line="240" w:lineRule="auto"/>
        <w:ind w:left="709" w:right="709"/>
        <w:jc w:val="both"/>
        <w:rPr>
          <w:rFonts w:ascii="Verdana" w:hAnsi="Verdana" w:cs="Arial"/>
        </w:rPr>
      </w:pPr>
    </w:p>
    <w:p w14:paraId="08BB5A82" w14:textId="77777777" w:rsidR="00683401" w:rsidRPr="00667CD6" w:rsidRDefault="00683401" w:rsidP="00683401">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68BE966" w14:textId="77777777" w:rsidR="00683401" w:rsidRPr="00667CD6" w:rsidRDefault="00683401" w:rsidP="00683401">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w:t>
      </w:r>
      <w:r w:rsidRPr="00667CD6">
        <w:rPr>
          <w:rFonts w:ascii="Verdana" w:eastAsia="Arial" w:hAnsi="Verdana" w:cs="Arial"/>
          <w:lang w:eastAsia="es-ES" w:bidi="es-ES"/>
        </w:rPr>
        <w:lastRenderedPageBreak/>
        <w:t>Eficiente relacionados con los contratos interadministrativos</w:t>
      </w:r>
      <w:r w:rsidRPr="00667CD6">
        <w:rPr>
          <w:rFonts w:ascii="Verdana" w:eastAsia="Arial" w:hAnsi="Verdana" w:cs="Arial"/>
          <w:vertAlign w:val="superscript"/>
          <w:lang w:eastAsia="es-ES" w:bidi="es-ES"/>
        </w:rPr>
        <w:footnoteReference w:id="35"/>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10859C10" w14:textId="77777777" w:rsidR="00683401" w:rsidRDefault="00683401" w:rsidP="00683401">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70C0D984" w14:textId="77777777" w:rsidR="00683401" w:rsidRDefault="00683401" w:rsidP="00683401">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6"/>
      </w:r>
      <w:r w:rsidRPr="2035D652">
        <w:rPr>
          <w:rFonts w:ascii="Verdana" w:eastAsia="Times New Roman" w:hAnsi="Verdana" w:cs="Times New Roman"/>
          <w:lang w:eastAsia="es-ES"/>
        </w:rPr>
        <w:t xml:space="preserve">. Sobre el </w:t>
      </w:r>
      <w:r w:rsidRPr="2035D652">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16596A3" w14:textId="77777777" w:rsidR="00683401" w:rsidRPr="00670659" w:rsidRDefault="00683401" w:rsidP="00683401">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2150C475" w14:textId="77777777" w:rsidR="00683401" w:rsidRDefault="00683401" w:rsidP="00683401">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7"/>
      </w:r>
      <w:r>
        <w:rPr>
          <w:rFonts w:ascii="Verdana" w:eastAsia="Times New Roman" w:hAnsi="Verdana" w:cs="Arial"/>
          <w:lang w:eastAsia="es-CO"/>
        </w:rPr>
        <w:t>.</w:t>
      </w:r>
    </w:p>
    <w:p w14:paraId="328D7CCB" w14:textId="77777777" w:rsidR="00683401" w:rsidRPr="00370C2C" w:rsidRDefault="00683401" w:rsidP="00683401">
      <w:pPr>
        <w:widowControl w:val="0"/>
        <w:autoSpaceDE w:val="0"/>
        <w:autoSpaceDN w:val="0"/>
        <w:spacing w:after="120" w:line="276" w:lineRule="auto"/>
        <w:ind w:firstLine="709"/>
        <w:jc w:val="both"/>
        <w:rPr>
          <w:rFonts w:ascii="Verdana" w:eastAsia="Calibri" w:hAnsi="Verdana" w:cs="Arial"/>
          <w:lang w:val="es-ES"/>
        </w:rPr>
      </w:pPr>
      <w:r w:rsidRPr="00EB091A">
        <w:rPr>
          <w:rFonts w:ascii="Verdana" w:eastAsia="Calibri" w:hAnsi="Verdana" w:cs="Arial"/>
          <w:lang w:val="es-ES"/>
        </w:rPr>
        <w:t xml:space="preserve">De cualquier modo, en principio, el contrato </w:t>
      </w:r>
      <w:r>
        <w:rPr>
          <w:rFonts w:ascii="Verdana" w:eastAsia="Calibri" w:hAnsi="Verdana" w:cs="Arial"/>
          <w:lang w:val="es-ES"/>
        </w:rPr>
        <w:t xml:space="preserve">o convenio </w:t>
      </w:r>
      <w:r w:rsidRPr="00EB091A">
        <w:rPr>
          <w:rFonts w:ascii="Verdana" w:eastAsia="Calibri" w:hAnsi="Verdana" w:cs="Arial"/>
          <w:lang w:val="es-ES"/>
        </w:rPr>
        <w:t xml:space="preserve">interadministrativo no constituye una tipología contractual adecuada para contratar la adquisición o el desarrollo de software. De forma similar, </w:t>
      </w:r>
      <w:r>
        <w:rPr>
          <w:rFonts w:ascii="Verdana" w:eastAsia="Calibri" w:hAnsi="Verdana" w:cs="Arial"/>
          <w:lang w:val="es-ES"/>
        </w:rPr>
        <w:t xml:space="preserve">si no se configura </w:t>
      </w:r>
      <w:r w:rsidRPr="00EB091A">
        <w:rPr>
          <w:rFonts w:ascii="Verdana" w:eastAsia="Calibri" w:hAnsi="Verdana" w:cs="Arial"/>
          <w:lang w:val="es-ES"/>
        </w:rPr>
        <w:t xml:space="preserve">ninguna otra de las causales señaladas por la Ley, tampoco es procedente la modalidad de contratación </w:t>
      </w:r>
      <w:r w:rsidRPr="006A3933">
        <w:rPr>
          <w:rFonts w:ascii="Verdana" w:eastAsia="Calibri" w:hAnsi="Verdana" w:cs="Arial"/>
          <w:lang w:val="es-ES"/>
        </w:rPr>
        <w:t xml:space="preserve">directa para que las entidades se abastezcan de este tipo de bienes o servicios. En efecto, en la celebración de los contratos o convenios interadministrativos, las Entidades Estatales buscan </w:t>
      </w:r>
      <w:r w:rsidRPr="006A3933">
        <w:rPr>
          <w:rFonts w:ascii="Verdana" w:eastAsia="Arial" w:hAnsi="Verdana" w:cs="Arial"/>
          <w:lang w:val="es-ES" w:eastAsia="es-ES" w:bidi="es-ES"/>
        </w:rPr>
        <w:t>cumplir, en el marco de sus objetivos misionales y sus competencias, con los fines del Estado</w:t>
      </w:r>
      <w:r w:rsidRPr="006A3933">
        <w:rPr>
          <w:rFonts w:ascii="Verdana" w:hAnsi="Verdana" w:cs="Arial"/>
          <w:color w:val="000000" w:themeColor="text1"/>
          <w:lang w:val="es-ES"/>
        </w:rPr>
        <w:t xml:space="preserve">. En consecuencia, la Entidad puede incurrir en una indebida elección de la modalidad de selección y de la tipología contractual si ha identificado que requiere la adquisición de un software o del desarrollo </w:t>
      </w:r>
      <w:proofErr w:type="gramStart"/>
      <w:r w:rsidRPr="006A3933">
        <w:rPr>
          <w:rFonts w:ascii="Verdana" w:hAnsi="Verdana" w:cs="Arial"/>
          <w:color w:val="000000" w:themeColor="text1"/>
          <w:lang w:val="es-ES"/>
        </w:rPr>
        <w:t>del mismo</w:t>
      </w:r>
      <w:proofErr w:type="gramEnd"/>
      <w:r w:rsidRPr="006A3933">
        <w:rPr>
          <w:rFonts w:ascii="Verdana" w:hAnsi="Verdana" w:cs="Arial"/>
          <w:color w:val="000000" w:themeColor="text1"/>
          <w:lang w:val="es-ES"/>
        </w:rPr>
        <w:t>, pero celebra un contrato o convenio interadministrativo de manera</w:t>
      </w:r>
      <w:r w:rsidRPr="00EB091A">
        <w:rPr>
          <w:rFonts w:ascii="Verdana" w:hAnsi="Verdana" w:cs="Arial"/>
          <w:color w:val="000000" w:themeColor="text1"/>
          <w:lang w:val="es-ES"/>
        </w:rPr>
        <w:t xml:space="preserve"> </w:t>
      </w:r>
      <w:r w:rsidRPr="00EB091A">
        <w:rPr>
          <w:rFonts w:ascii="Verdana" w:hAnsi="Verdana" w:cs="Arial"/>
          <w:color w:val="000000" w:themeColor="text1"/>
          <w:lang w:val="es-ES"/>
        </w:rPr>
        <w:lastRenderedPageBreak/>
        <w:t>directa cuyo objeto sea únicamente el aprovisionamiento de ese bien o servicio sin que se materialice</w:t>
      </w:r>
      <w:r>
        <w:rPr>
          <w:rFonts w:ascii="Verdana" w:hAnsi="Verdana" w:cs="Arial"/>
          <w:color w:val="000000" w:themeColor="text1"/>
          <w:lang w:val="es-ES"/>
        </w:rPr>
        <w:t xml:space="preserve"> el objetivo real de la contratación a través de estas tipologías contractuales. </w:t>
      </w:r>
    </w:p>
    <w:p w14:paraId="78F94BBD" w14:textId="77777777" w:rsidR="00683401" w:rsidRPr="00667CD6" w:rsidRDefault="00683401" w:rsidP="00683401">
      <w:pPr>
        <w:spacing w:after="120" w:line="276" w:lineRule="auto"/>
        <w:ind w:firstLine="709"/>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647162E" w14:textId="695A90B4" w:rsidR="00683401" w:rsidRPr="003E7576" w:rsidRDefault="00683401" w:rsidP="003E7576">
      <w:pPr>
        <w:spacing w:after="120" w:line="276" w:lineRule="auto"/>
        <w:ind w:firstLine="709"/>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Start w:id="32" w:name="_Hlk204854194"/>
      <w:bookmarkEnd w:id="21"/>
    </w:p>
    <w:p w14:paraId="402A93B7" w14:textId="77777777" w:rsidR="00683401" w:rsidRDefault="00683401" w:rsidP="00683401">
      <w:pPr>
        <w:tabs>
          <w:tab w:val="left" w:pos="142"/>
          <w:tab w:val="left" w:pos="284"/>
          <w:tab w:val="left" w:pos="3828"/>
        </w:tabs>
        <w:spacing w:after="0" w:line="240" w:lineRule="auto"/>
        <w:rPr>
          <w:rFonts w:ascii="Verdana" w:eastAsia="Century Gothic" w:hAnsi="Verdana" w:cs="Century Gothic"/>
          <w:b/>
          <w:bCs/>
        </w:rPr>
      </w:pPr>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32"/>
    </w:p>
    <w:p w14:paraId="3C71A561" w14:textId="77777777" w:rsidR="00683401" w:rsidRPr="005644FE" w:rsidRDefault="00683401" w:rsidP="00683401">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83401" w:rsidRPr="005644FE" w14:paraId="39A4195A" w14:textId="77777777" w:rsidTr="00A62A97">
        <w:trPr>
          <w:trHeight w:val="56"/>
          <w:jc w:val="center"/>
        </w:trPr>
        <w:tc>
          <w:tcPr>
            <w:tcW w:w="8647" w:type="dxa"/>
          </w:tcPr>
          <w:p w14:paraId="6EE2422B"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Pr>
                <w:rFonts w:ascii="Verdana" w:eastAsia="Aptos" w:hAnsi="Verdana" w:cs="Arial"/>
              </w:rPr>
              <w:t xml:space="preserve">Constitución Política. Artículo 127. </w:t>
            </w:r>
          </w:p>
          <w:p w14:paraId="791153D8"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Pr>
                <w:rFonts w:ascii="Verdana" w:eastAsia="Aptos" w:hAnsi="Verdana" w:cs="Arial"/>
              </w:rPr>
              <w:t xml:space="preserve">Ley 996 de 2005. Artículo 33 y artículo 38 parágrafo. </w:t>
            </w:r>
          </w:p>
          <w:p w14:paraId="28CA78C9"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Pr>
                <w:rFonts w:ascii="Verdana" w:eastAsia="Aptos" w:hAnsi="Verdana" w:cs="Arial"/>
              </w:rPr>
              <w:t xml:space="preserve">Ley 80 de 1993. Artículo 41. </w:t>
            </w:r>
          </w:p>
          <w:p w14:paraId="7A887F79"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Pr>
                <w:rFonts w:ascii="Verdana" w:eastAsia="Aptos" w:hAnsi="Verdana" w:cs="Arial"/>
              </w:rPr>
              <w:t xml:space="preserve">Ley 1150 de 2007. Artículo 2, numeral 4 literal c), g), 5 numeral 4. </w:t>
            </w:r>
          </w:p>
          <w:p w14:paraId="618F3798" w14:textId="77777777" w:rsidR="00683401" w:rsidRPr="00A62B82" w:rsidRDefault="00683401" w:rsidP="00683401">
            <w:pPr>
              <w:pStyle w:val="Prrafodelista"/>
              <w:numPr>
                <w:ilvl w:val="0"/>
                <w:numId w:val="20"/>
              </w:numPr>
              <w:spacing w:after="120" w:line="276" w:lineRule="auto"/>
              <w:ind w:left="714" w:hanging="357"/>
              <w:jc w:val="both"/>
              <w:rPr>
                <w:rFonts w:ascii="Verdana" w:eastAsia="Aptos" w:hAnsi="Verdana" w:cs="Arial"/>
                <w:lang w:val="es-CO"/>
              </w:rPr>
            </w:pPr>
            <w:r w:rsidRPr="00A62B82">
              <w:rPr>
                <w:rFonts w:ascii="Verdana" w:eastAsia="Aptos" w:hAnsi="Verdana" w:cs="Arial"/>
              </w:rPr>
              <w:t>Decreto 1082 de 2015, artículo 2.2.1.2.1.2.2</w:t>
            </w:r>
            <w:r>
              <w:rPr>
                <w:rFonts w:ascii="Verdana" w:eastAsia="Aptos" w:hAnsi="Verdana" w:cs="Arial"/>
              </w:rPr>
              <w:t xml:space="preserve">, </w:t>
            </w:r>
            <w:r w:rsidRPr="00356C9D">
              <w:rPr>
                <w:rFonts w:ascii="Verdana" w:eastAsia="Calibri" w:hAnsi="Verdana" w:cs="Arial"/>
                <w:color w:val="000000" w:themeColor="text1"/>
                <w:lang w:val="es-ES_tradnl"/>
              </w:rPr>
              <w:t>2.2.1.2.1.4.8</w:t>
            </w:r>
            <w:r>
              <w:rPr>
                <w:rFonts w:ascii="Verdana" w:eastAsia="Calibri" w:hAnsi="Verdana" w:cs="Arial"/>
                <w:color w:val="000000" w:themeColor="text1"/>
                <w:lang w:val="es-ES_tradnl"/>
              </w:rPr>
              <w:t>.</w:t>
            </w:r>
          </w:p>
          <w:p w14:paraId="4E54BF20"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Pr>
                <w:rFonts w:ascii="Verdana" w:eastAsia="Calibri" w:hAnsi="Verdana" w:cs="Arial"/>
                <w:color w:val="000000" w:themeColor="text1"/>
                <w:lang w:val="es-ES_tradnl"/>
              </w:rPr>
              <w:t xml:space="preserve">Código Civil. Artículo 27 y 28. </w:t>
            </w:r>
          </w:p>
          <w:p w14:paraId="24350099"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D77C0B">
              <w:rPr>
                <w:rFonts w:ascii="Verdana" w:eastAsia="Aptos" w:hAnsi="Verdana" w:cs="Arial"/>
              </w:rPr>
              <w:t>Corte Constitucional. Sentencia C- 1153 de 2005, M.P: Marco Gerardo Monroy Cabra.</w:t>
            </w:r>
          </w:p>
          <w:p w14:paraId="2064BC7C" w14:textId="77777777" w:rsidR="00683401" w:rsidRPr="00D77C0B" w:rsidRDefault="00683401" w:rsidP="00683401">
            <w:pPr>
              <w:pStyle w:val="Prrafodelista"/>
              <w:numPr>
                <w:ilvl w:val="0"/>
                <w:numId w:val="20"/>
              </w:numPr>
              <w:spacing w:after="120" w:line="276" w:lineRule="auto"/>
              <w:ind w:left="714" w:hanging="357"/>
              <w:jc w:val="both"/>
              <w:rPr>
                <w:rFonts w:ascii="Verdana" w:eastAsia="Aptos" w:hAnsi="Verdana" w:cs="Arial"/>
              </w:rPr>
            </w:pPr>
            <w:r w:rsidRPr="00D77C0B">
              <w:rPr>
                <w:rFonts w:ascii="Verdana" w:hAnsi="Verdana" w:cs="Arial"/>
                <w:lang w:val="es-CO"/>
              </w:rPr>
              <w:t>Corte Constitucional. Sentencia C-233 de 4 de abril de 2002. M.P: Álvaro Tafur Galvis</w:t>
            </w:r>
            <w:r>
              <w:rPr>
                <w:rFonts w:ascii="Verdana" w:hAnsi="Verdana" w:cs="Arial"/>
              </w:rPr>
              <w:t>.</w:t>
            </w:r>
          </w:p>
          <w:p w14:paraId="539F9EC9" w14:textId="77777777" w:rsidR="00683401" w:rsidRPr="00D77C0B" w:rsidRDefault="00683401" w:rsidP="00683401">
            <w:pPr>
              <w:pStyle w:val="Prrafodelista"/>
              <w:numPr>
                <w:ilvl w:val="0"/>
                <w:numId w:val="20"/>
              </w:numPr>
              <w:spacing w:after="120" w:line="276" w:lineRule="auto"/>
              <w:ind w:left="714" w:hanging="357"/>
              <w:jc w:val="both"/>
              <w:rPr>
                <w:rFonts w:ascii="Verdana" w:eastAsia="Aptos" w:hAnsi="Verdana" w:cs="Arial"/>
              </w:rPr>
            </w:pPr>
            <w:r w:rsidRPr="00D77C0B">
              <w:rPr>
                <w:rFonts w:ascii="Verdana" w:hAnsi="Verdana" w:cs="Arial"/>
                <w:lang w:val="es-CO"/>
              </w:rPr>
              <w:lastRenderedPageBreak/>
              <w:t>Corte Constitucional. Sentencia C-551 de 9 de julio de 2003. M.P: Eduardo Montealegre Lynnet</w:t>
            </w:r>
            <w:r>
              <w:rPr>
                <w:rFonts w:ascii="Verdana" w:hAnsi="Verdana" w:cs="Arial"/>
              </w:rPr>
              <w:t>.</w:t>
            </w:r>
          </w:p>
          <w:p w14:paraId="2D9B78A3" w14:textId="77777777" w:rsidR="00683401" w:rsidRPr="00D77C0B" w:rsidRDefault="00683401" w:rsidP="00683401">
            <w:pPr>
              <w:pStyle w:val="Prrafodelista"/>
              <w:numPr>
                <w:ilvl w:val="0"/>
                <w:numId w:val="20"/>
              </w:numPr>
              <w:spacing w:after="120" w:line="276" w:lineRule="auto"/>
              <w:ind w:left="714" w:hanging="357"/>
              <w:jc w:val="both"/>
              <w:rPr>
                <w:rFonts w:ascii="Verdana" w:eastAsia="Aptos" w:hAnsi="Verdana" w:cs="Arial"/>
              </w:rPr>
            </w:pPr>
            <w:r w:rsidRPr="00D77C0B">
              <w:rPr>
                <w:rFonts w:ascii="Verdana" w:hAnsi="Verdana" w:cs="Arial"/>
                <w:lang w:val="es-CO"/>
              </w:rPr>
              <w:t xml:space="preserve">Corte Constitucional. Sentencia C-353 de 20 de mayo de 2009. M.P: Jorge Iván Palacio </w:t>
            </w:r>
            <w:proofErr w:type="spellStart"/>
            <w:r w:rsidRPr="00D77C0B">
              <w:rPr>
                <w:rFonts w:ascii="Verdana" w:hAnsi="Verdana" w:cs="Arial"/>
                <w:lang w:val="es-CO"/>
              </w:rPr>
              <w:t>Palacio</w:t>
            </w:r>
            <w:proofErr w:type="spellEnd"/>
            <w:r>
              <w:rPr>
                <w:rFonts w:ascii="Verdana" w:hAnsi="Verdana" w:cs="Arial"/>
              </w:rPr>
              <w:t>.</w:t>
            </w:r>
          </w:p>
          <w:p w14:paraId="406FC31B" w14:textId="77777777" w:rsidR="00683401" w:rsidRPr="003333DC" w:rsidRDefault="00683401" w:rsidP="00683401">
            <w:pPr>
              <w:pStyle w:val="Prrafodelista"/>
              <w:numPr>
                <w:ilvl w:val="0"/>
                <w:numId w:val="20"/>
              </w:numPr>
              <w:spacing w:after="120" w:line="276" w:lineRule="auto"/>
              <w:ind w:left="714" w:hanging="357"/>
              <w:jc w:val="both"/>
              <w:rPr>
                <w:rFonts w:ascii="Verdana" w:eastAsia="Aptos" w:hAnsi="Verdana" w:cs="Arial"/>
              </w:rPr>
            </w:pPr>
            <w:r w:rsidRPr="00D77C0B">
              <w:rPr>
                <w:rFonts w:ascii="Verdana" w:hAnsi="Verdana" w:cs="Arial"/>
                <w:lang w:val="es-CO"/>
              </w:rPr>
              <w:t>Corte Constitucional. Sentencia C-541 de 30 de junio de 2010. M.P: Gabriel Eduardo Mendoza Martelo</w:t>
            </w:r>
            <w:r>
              <w:rPr>
                <w:rFonts w:ascii="Verdana" w:hAnsi="Verdana" w:cs="Arial"/>
              </w:rPr>
              <w:t>.</w:t>
            </w:r>
          </w:p>
          <w:p w14:paraId="1A9CBE00" w14:textId="77777777" w:rsidR="00683401" w:rsidRPr="003333DC" w:rsidRDefault="00683401" w:rsidP="00683401">
            <w:pPr>
              <w:pStyle w:val="Prrafodelista"/>
              <w:numPr>
                <w:ilvl w:val="0"/>
                <w:numId w:val="20"/>
              </w:numPr>
              <w:spacing w:after="120" w:line="276" w:lineRule="auto"/>
              <w:ind w:left="714" w:hanging="357"/>
              <w:jc w:val="both"/>
              <w:rPr>
                <w:rFonts w:ascii="Verdana" w:eastAsia="Aptos" w:hAnsi="Verdana" w:cs="Arial"/>
              </w:rPr>
            </w:pPr>
            <w:r w:rsidRPr="003333DC">
              <w:rPr>
                <w:rFonts w:ascii="Verdana" w:hAnsi="Verdana" w:cs="Arial"/>
              </w:rPr>
              <w:t xml:space="preserve">Consejo de Estado. Sala de lo Contencioso Administrativo. Sección Primera. Sentencia de 3 de marzo de 2005. Radicado: 25001-23-15-000-2004-00823-01 (PI). C.P: Camilo Arciniegas Andrade. </w:t>
            </w:r>
          </w:p>
          <w:p w14:paraId="0A31BBA7" w14:textId="77777777" w:rsidR="00683401" w:rsidRPr="003333DC" w:rsidRDefault="00683401" w:rsidP="00683401">
            <w:pPr>
              <w:pStyle w:val="Prrafodelista"/>
              <w:numPr>
                <w:ilvl w:val="0"/>
                <w:numId w:val="20"/>
              </w:numPr>
              <w:spacing w:after="120" w:line="276" w:lineRule="auto"/>
              <w:ind w:left="714" w:hanging="357"/>
              <w:jc w:val="both"/>
              <w:rPr>
                <w:rFonts w:ascii="Verdana" w:eastAsia="Aptos" w:hAnsi="Verdana" w:cs="Arial"/>
              </w:rPr>
            </w:pPr>
            <w:r w:rsidRPr="003333DC">
              <w:rPr>
                <w:rFonts w:ascii="Verdana" w:hAnsi="Verdana" w:cs="Arial"/>
              </w:rPr>
              <w:t xml:space="preserve">Consejo de Estado, Sala de Consulta y Servicio Civil. 24 de julio de 2013. Radicado: </w:t>
            </w:r>
            <w:r w:rsidRPr="003333DC">
              <w:rPr>
                <w:rFonts w:ascii="Verdana" w:hAnsi="Verdana" w:cs="Arial"/>
                <w:lang w:val="es-CO"/>
              </w:rPr>
              <w:t xml:space="preserve">11001-03-06-000-2013-00407-00 </w:t>
            </w:r>
            <w:r w:rsidRPr="003333DC">
              <w:rPr>
                <w:rFonts w:ascii="Verdana" w:hAnsi="Verdana" w:cs="Arial"/>
              </w:rPr>
              <w:t xml:space="preserve">(2166). C.P. Álvaro Namén Vargas.  </w:t>
            </w:r>
          </w:p>
          <w:p w14:paraId="30F8AB3E"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Aptos" w:hAnsi="Verdana" w:cs="Arial"/>
              </w:rPr>
              <w:t>Consejo de Estado. Sala de Consulta y Servicio Civil. Concepto del 17 de febrero de 2015. Radicado: 11001-03-06-000-2015-00164-00 (2269). C.P. William Zambrano Cetina.</w:t>
            </w:r>
          </w:p>
          <w:p w14:paraId="4ECE3E7E"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Aptos" w:hAnsi="Verdana" w:cs="Arial"/>
              </w:rPr>
              <w:t>Consejo de Estado. Sala de Consulta y Servicio Civil. Concepto del 2 de septiembre de 2013. Radicación número: 11001-03-06-000-2013-00412-00 (2168). C.P: Álvaro Namén Vargas.</w:t>
            </w:r>
          </w:p>
          <w:p w14:paraId="594040DD"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Aptos" w:hAnsi="Verdana" w:cs="Arial"/>
              </w:rPr>
              <w:t>Consejo de Estado. Sala de Consulta y Servicio Civil, Concepto de 8 de mayo de 2018. Radicación Número: 11001-03-06-000-2018-00095-00 (2382). C.P: Álvaro Namén Vargas.</w:t>
            </w:r>
          </w:p>
          <w:p w14:paraId="11053701"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Aptos" w:hAnsi="Verdana" w:cs="Arial"/>
              </w:rPr>
              <w:t>Consejo de Estado. Sala de Consulta y Servicio Civil. Concepto de 20 de febrero de 2006. Radicación Número: 11001-03-06-000-2006-00026-00 (1727). C.P: Enrique José Arboleda Perdomo</w:t>
            </w:r>
            <w:r>
              <w:rPr>
                <w:rFonts w:ascii="Verdana" w:eastAsia="Aptos" w:hAnsi="Verdana" w:cs="Arial"/>
              </w:rPr>
              <w:t>.</w:t>
            </w:r>
          </w:p>
          <w:p w14:paraId="101BD73D" w14:textId="77777777" w:rsidR="00683401" w:rsidRPr="00A62B82"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hAnsi="Verdana" w:cs="Arial"/>
                <w:color w:val="000000" w:themeColor="text1"/>
              </w:rPr>
              <w:t>Consejo de Estado. Sala de Consulta y Servicio Civil. Concepto de 6 de abril de 2006. Radicación Número: 11001-03-06-000-2006-00038-00 (1738). C.P: Enrique José Arboleda Perdomo.</w:t>
            </w:r>
          </w:p>
          <w:p w14:paraId="171D09A4"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Aptos" w:hAnsi="Verdana" w:cs="Arial"/>
              </w:rPr>
              <w:t xml:space="preserve">Consejo de Estado. Sala de Consulta y Servicio Civil. Concepto de 6 de abril de 2006. Radicación Número: 11001-03-06-000-2006-00038-00(1738). C.P: Enrique José Arboleda Perdomo. </w:t>
            </w:r>
          </w:p>
          <w:p w14:paraId="5007A12F"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Aptos" w:hAnsi="Verdana" w:cs="Arial"/>
              </w:rPr>
              <w:t>Consejo de Estado -Sección Tercera-. Sentencia del 21 de febrero de 2025. Radicación Número: 68.280. CP: José Roberto Sáchica Méndez.</w:t>
            </w:r>
          </w:p>
          <w:p w14:paraId="4FBF624A"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Aptos" w:hAnsi="Verdana" w:cs="Arial"/>
              </w:rPr>
              <w:t xml:space="preserve">Consejo de Estado. Sala de lo Contencioso Administrativo. Sección Tercera. Auto del 6 de noviembre de 2025. </w:t>
            </w:r>
            <w:proofErr w:type="spellStart"/>
            <w:r w:rsidRPr="00A62B82">
              <w:rPr>
                <w:rFonts w:ascii="Verdana" w:eastAsia="Aptos" w:hAnsi="Verdana" w:cs="Arial"/>
              </w:rPr>
              <w:t>Exp</w:t>
            </w:r>
            <w:proofErr w:type="spellEnd"/>
            <w:r w:rsidRPr="00A62B82">
              <w:rPr>
                <w:rFonts w:ascii="Verdana" w:eastAsia="Aptos" w:hAnsi="Verdana" w:cs="Arial"/>
              </w:rPr>
              <w:t>. 72.424. C.P: Fernando Alexei Pardo Flórez.</w:t>
            </w:r>
          </w:p>
          <w:p w14:paraId="7C2A7F08"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Aptos" w:hAnsi="Verdana" w:cs="Arial"/>
              </w:rPr>
              <w:lastRenderedPageBreak/>
              <w:t xml:space="preserve">Consejo de Estado. Sala de lo Contencioso Administrativo. Sección Tercera. Subsección B. 17 de octubre de 2025. Magistrado Ponente: Fredy Ibarra Martínez.  </w:t>
            </w:r>
          </w:p>
          <w:p w14:paraId="0558410F"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Aptos" w:hAnsi="Verdana" w:cs="Arial"/>
              </w:rPr>
              <w:t>DROMI, José Roberto. La licitación pública. Buenos Aires: Ciudad Argentina, 1980.</w:t>
            </w:r>
          </w:p>
          <w:p w14:paraId="25C48656" w14:textId="77777777" w:rsidR="00683401" w:rsidRPr="00A62B82"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hAnsi="Verdana"/>
                <w:lang w:val="es-CO"/>
              </w:rPr>
              <w:t xml:space="preserve">Consejo de Estado. Sala de lo Contencioso Administrativo. Sección Tercera. Auto del 4 de octubre de 2024. </w:t>
            </w:r>
            <w:proofErr w:type="spellStart"/>
            <w:r w:rsidRPr="00A62B82">
              <w:rPr>
                <w:rFonts w:ascii="Verdana" w:hAnsi="Verdana"/>
                <w:lang w:val="es-CO"/>
              </w:rPr>
              <w:t>Exp</w:t>
            </w:r>
            <w:proofErr w:type="spellEnd"/>
            <w:r w:rsidRPr="00A62B82">
              <w:rPr>
                <w:rFonts w:ascii="Verdana" w:hAnsi="Verdana"/>
                <w:lang w:val="es-CO"/>
              </w:rPr>
              <w:t>. 70.313. C.P: Fredy Ibarra Martínez.</w:t>
            </w:r>
          </w:p>
          <w:p w14:paraId="7F625952" w14:textId="77777777" w:rsidR="00683401"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Aptos" w:hAnsi="Verdana" w:cs="Arial"/>
              </w:rPr>
              <w:t>DÁVILA VINUEZA, Luis Guillermo. Régimen jurídico de la contratación estatal. Bogotá: Legis, 2016</w:t>
            </w:r>
            <w:r>
              <w:rPr>
                <w:rFonts w:ascii="Verdana" w:eastAsia="Aptos" w:hAnsi="Verdana" w:cs="Arial"/>
              </w:rPr>
              <w:t>.</w:t>
            </w:r>
          </w:p>
          <w:p w14:paraId="7B0994F3" w14:textId="77777777" w:rsidR="00683401" w:rsidRPr="00A62B82" w:rsidRDefault="00683401" w:rsidP="00683401">
            <w:pPr>
              <w:pStyle w:val="Prrafodelista"/>
              <w:numPr>
                <w:ilvl w:val="0"/>
                <w:numId w:val="20"/>
              </w:numPr>
              <w:spacing w:after="120" w:line="276" w:lineRule="auto"/>
              <w:ind w:left="714" w:hanging="357"/>
              <w:jc w:val="both"/>
              <w:rPr>
                <w:rFonts w:ascii="Verdana" w:eastAsia="Aptos" w:hAnsi="Verdana" w:cs="Arial"/>
              </w:rPr>
            </w:pPr>
            <w:r w:rsidRPr="00A62B82">
              <w:rPr>
                <w:rFonts w:ascii="Verdana" w:eastAsia="Calibri" w:hAnsi="Verdana" w:cs="Arial"/>
              </w:rPr>
              <w:t xml:space="preserve">Agencia Nacional de Contratación Pública – Colombia Compra Eficiente, Guía de buenas Prácticas en la Adquisición de Software y servicios asociados. Disponible en </w:t>
            </w:r>
            <w:hyperlink r:id="rId12" w:history="1">
              <w:r w:rsidRPr="00A62B82">
                <w:rPr>
                  <w:rStyle w:val="Hipervnculo"/>
                  <w:rFonts w:ascii="Verdana" w:eastAsia="Calibri" w:hAnsi="Verdana" w:cs="Arial"/>
                  <w:lang w:val="es-CO"/>
                </w:rPr>
                <w:t>guia_de_buenas_practicas_software_ver1_logo01.pdf</w:t>
              </w:r>
            </w:hyperlink>
          </w:p>
        </w:tc>
      </w:tr>
    </w:tbl>
    <w:p w14:paraId="676D5AE6" w14:textId="77777777" w:rsidR="00683401" w:rsidRDefault="00683401" w:rsidP="00683401">
      <w:pPr>
        <w:tabs>
          <w:tab w:val="left" w:pos="142"/>
          <w:tab w:val="left" w:pos="284"/>
          <w:tab w:val="left" w:pos="3828"/>
        </w:tabs>
        <w:spacing w:after="0" w:line="276" w:lineRule="auto"/>
        <w:jc w:val="both"/>
        <w:rPr>
          <w:rFonts w:ascii="Verdana" w:eastAsia="Century Gothic" w:hAnsi="Verdana" w:cs="Century Gothic"/>
          <w:b/>
          <w:bCs/>
        </w:rPr>
      </w:pPr>
    </w:p>
    <w:p w14:paraId="69451526" w14:textId="77777777" w:rsidR="00683401" w:rsidRPr="005644FE" w:rsidRDefault="00683401" w:rsidP="00683401">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1A494CB7" w14:textId="77777777" w:rsidR="00683401" w:rsidRDefault="00683401" w:rsidP="00683401">
      <w:pPr>
        <w:widowControl w:val="0"/>
        <w:autoSpaceDE w:val="0"/>
        <w:autoSpaceDN w:val="0"/>
        <w:spacing w:after="0" w:line="240" w:lineRule="auto"/>
        <w:jc w:val="both"/>
        <w:rPr>
          <w:rFonts w:ascii="Verdana" w:eastAsia="Aptos" w:hAnsi="Verdana" w:cs="Arial"/>
          <w:shd w:val="clear" w:color="auto" w:fill="FFFFFF"/>
          <w:lang w:val="es-ES"/>
        </w:rPr>
      </w:pPr>
    </w:p>
    <w:p w14:paraId="0910D044" w14:textId="77777777" w:rsidR="00683401" w:rsidRDefault="00683401" w:rsidP="00683401">
      <w:pPr>
        <w:widowControl w:val="0"/>
        <w:autoSpaceDE w:val="0"/>
        <w:autoSpaceDN w:val="0"/>
        <w:spacing w:after="120" w:line="276" w:lineRule="auto"/>
        <w:jc w:val="both"/>
        <w:rPr>
          <w:rStyle w:val="normaltextrun"/>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 xml:space="preserve">21 de noviembre del 2025, </w:t>
      </w:r>
      <w:r w:rsidRPr="000F79CF">
        <w:rPr>
          <w:rFonts w:ascii="Verdana" w:hAnsi="Verdana" w:cs="Arial"/>
          <w:shd w:val="clear" w:color="auto" w:fill="FFFFFF"/>
        </w:rPr>
        <w:t>entre otros</w:t>
      </w:r>
      <w:r>
        <w:rPr>
          <w:rFonts w:ascii="Verdana" w:hAnsi="Verdana" w:cs="Arial"/>
          <w:shd w:val="clear" w:color="auto" w:fill="FFFFFF"/>
        </w:rPr>
        <w:t>.</w:t>
      </w:r>
      <w:r>
        <w:rPr>
          <w:rStyle w:val="normaltextrun"/>
          <w:rFonts w:ascii="Verdana" w:hAnsi="Verdana" w:cs="Arial"/>
          <w:shd w:val="clear" w:color="auto" w:fill="FFFFFF"/>
          <w:lang w:val="es-ES"/>
        </w:rPr>
        <w:t xml:space="preserve"> </w:t>
      </w:r>
    </w:p>
    <w:p w14:paraId="651274A0" w14:textId="77777777" w:rsidR="00683401" w:rsidRPr="00B56046" w:rsidRDefault="00683401" w:rsidP="00683401">
      <w:pPr>
        <w:widowControl w:val="0"/>
        <w:autoSpaceDE w:val="0"/>
        <w:autoSpaceDN w:val="0"/>
        <w:spacing w:after="120" w:line="276" w:lineRule="auto"/>
        <w:jc w:val="both"/>
        <w:rPr>
          <w:rFonts w:ascii="Verdana" w:eastAsia="Calibri" w:hAnsi="Verdana" w:cs="Arial"/>
          <w:color w:val="000000" w:themeColor="text1"/>
          <w:lang w:eastAsia="es-ES_tradnl"/>
        </w:rPr>
      </w:pPr>
      <w:r>
        <w:rPr>
          <w:rStyle w:val="normaltextrun"/>
          <w:rFonts w:ascii="Verdana" w:hAnsi="Verdana" w:cs="Arial"/>
          <w:shd w:val="clear" w:color="auto" w:fill="FFFFFF"/>
          <w:lang w:val="es-ES"/>
        </w:rPr>
        <w:t xml:space="preserve">Por su parte, </w:t>
      </w:r>
      <w:r>
        <w:rPr>
          <w:rFonts w:ascii="Verdana" w:eastAsia="Calibri" w:hAnsi="Verdana" w:cs="Arial"/>
          <w:color w:val="000000" w:themeColor="text1"/>
          <w:lang w:eastAsia="es-ES_tradnl"/>
        </w:rPr>
        <w:t>l</w:t>
      </w:r>
      <w:r w:rsidRPr="000E7148">
        <w:rPr>
          <w:rFonts w:ascii="Verdana" w:eastAsia="Calibri" w:hAnsi="Verdana" w:cs="Arial"/>
          <w:color w:val="000000" w:themeColor="text1"/>
          <w:lang w:eastAsia="es-ES_tradnl"/>
        </w:rPr>
        <w:t xml:space="preserve">a Agencia Nacional de Contratación Pública – Colombia Compra Eficiente </w:t>
      </w:r>
      <w:r>
        <w:rPr>
          <w:rFonts w:ascii="Verdana" w:eastAsia="Arial" w:hAnsi="Verdana" w:cs="Arial"/>
          <w:lang w:val="es-MX" w:eastAsia="es-ES_tradnl"/>
        </w:rPr>
        <w:t xml:space="preserve">se ha referido </w:t>
      </w:r>
      <w:r>
        <w:rPr>
          <w:rFonts w:ascii="Verdana" w:hAnsi="Verdana"/>
          <w:lang w:val="es-ES"/>
        </w:rPr>
        <w:t>s</w:t>
      </w:r>
      <w:r w:rsidRPr="00E7587A">
        <w:rPr>
          <w:rFonts w:ascii="Verdana" w:hAnsi="Verdana"/>
          <w:lang w:val="es-ES"/>
        </w:rPr>
        <w:t xml:space="preserve">obre </w:t>
      </w:r>
      <w:r>
        <w:rPr>
          <w:rFonts w:ascii="Verdana" w:hAnsi="Verdana"/>
          <w:lang w:val="es-ES"/>
        </w:rPr>
        <w:t xml:space="preserve">la modalidad de selección para la adquisición de software en los conceptos </w:t>
      </w:r>
      <w:r w:rsidRPr="00EB091A">
        <w:rPr>
          <w:rStyle w:val="normaltextrun"/>
          <w:rFonts w:ascii="Verdana" w:hAnsi="Verdana" w:cs="Arial"/>
          <w:color w:val="000000" w:themeColor="text1"/>
          <w:shd w:val="clear" w:color="auto" w:fill="FFFFFF"/>
          <w:lang w:val="es-ES"/>
        </w:rPr>
        <w:t>C-564 del 30 de mayo de 2025</w:t>
      </w:r>
      <w:r>
        <w:rPr>
          <w:rStyle w:val="normaltextrun"/>
          <w:rFonts w:ascii="Verdana" w:hAnsi="Verdana" w:cs="Arial"/>
          <w:color w:val="000000" w:themeColor="text1"/>
          <w:shd w:val="clear" w:color="auto" w:fill="FFFFFF"/>
          <w:lang w:val="es-ES"/>
        </w:rPr>
        <w:t xml:space="preserve">, </w:t>
      </w:r>
      <w:r w:rsidRPr="00EB091A">
        <w:rPr>
          <w:rStyle w:val="normaltextrun"/>
          <w:rFonts w:ascii="Verdana" w:hAnsi="Verdana" w:cs="Arial"/>
          <w:color w:val="000000" w:themeColor="text1"/>
          <w:shd w:val="clear" w:color="auto" w:fill="FFFFFF"/>
          <w:lang w:val="es-ES"/>
        </w:rPr>
        <w:t>C-450 del 19 de mayo de 2025</w:t>
      </w:r>
      <w:r>
        <w:rPr>
          <w:rStyle w:val="normaltextrun"/>
          <w:rFonts w:ascii="Verdana" w:hAnsi="Verdana" w:cs="Arial"/>
          <w:color w:val="000000" w:themeColor="text1"/>
          <w:shd w:val="clear" w:color="auto" w:fill="FFFFFF"/>
          <w:lang w:val="es-ES"/>
        </w:rPr>
        <w:t xml:space="preserve">, </w:t>
      </w:r>
      <w:r>
        <w:rPr>
          <w:rFonts w:ascii="Verdana" w:hAnsi="Verdana"/>
          <w:lang w:val="es-ES"/>
        </w:rPr>
        <w:t xml:space="preserve">C-642 del 17 de agosto de 2025, </w:t>
      </w:r>
      <w:r w:rsidRPr="00667CF4">
        <w:rPr>
          <w:rFonts w:ascii="Verdana" w:eastAsia="Calibri" w:hAnsi="Verdana" w:cs="Arial"/>
          <w:lang w:val="es-ES" w:eastAsia="es-ES"/>
        </w:rPr>
        <w:t>C-591 del 25 de junio de 2025,</w:t>
      </w:r>
      <w:r>
        <w:rPr>
          <w:rFonts w:ascii="Verdana" w:eastAsia="Calibri" w:hAnsi="Verdana" w:cs="Arial"/>
          <w:lang w:val="es-ES" w:eastAsia="es-ES"/>
        </w:rPr>
        <w:t xml:space="preserve"> C- </w:t>
      </w:r>
      <w:r>
        <w:rPr>
          <w:rFonts w:ascii="Verdana" w:eastAsia="Calibri" w:hAnsi="Verdana" w:cs="Arial"/>
          <w:lang w:val="es-ES" w:eastAsia="es-ES"/>
        </w:rPr>
        <w:lastRenderedPageBreak/>
        <w:t>809 del 25 de julio de 2025,</w:t>
      </w:r>
      <w:r w:rsidRPr="00667CF4">
        <w:rPr>
          <w:rFonts w:ascii="Verdana" w:eastAsia="Calibri" w:hAnsi="Verdana" w:cs="Arial"/>
          <w:lang w:val="es-ES" w:eastAsia="es-ES"/>
        </w:rPr>
        <w:t xml:space="preserve"> entre otros. </w:t>
      </w:r>
      <w:r w:rsidRPr="00272B0D">
        <w:rPr>
          <w:rFonts w:ascii="Verdana" w:eastAsia="Aptos" w:hAnsi="Verdana" w:cs="Arial"/>
          <w:shd w:val="clear" w:color="auto" w:fill="FFFFFF"/>
          <w:lang w:val="es-ES"/>
        </w:rPr>
        <w:t>Estos y otros conceptos se encuentran disponibles para consulta</w:t>
      </w:r>
      <w:r w:rsidRPr="00272B0D">
        <w:rPr>
          <w:rFonts w:ascii="Verdana" w:eastAsia="Calibri" w:hAnsi="Verdana" w:cs="Arial"/>
        </w:rPr>
        <w:t xml:space="preserve"> </w:t>
      </w:r>
      <w:r w:rsidRPr="00272B0D">
        <w:rPr>
          <w:rFonts w:ascii="Verdana" w:hAnsi="Verdana"/>
        </w:rPr>
        <w:t>en el Sistema de relatoría de la Agencia, al cual se puede acceder a través del siguiente enlace:</w:t>
      </w:r>
      <w:r w:rsidRPr="00272B0D">
        <w:rPr>
          <w:rFonts w:ascii="Verdana" w:hAnsi="Verdana" w:cs="Arial"/>
          <w:shd w:val="clear" w:color="auto" w:fill="FFFFFF"/>
        </w:rPr>
        <w:t xml:space="preserve"> </w:t>
      </w:r>
      <w:hyperlink r:id="rId13" w:history="1">
        <w:r w:rsidRPr="00272B0D">
          <w:rPr>
            <w:rStyle w:val="Hipervnculo"/>
            <w:rFonts w:ascii="Verdana" w:hAnsi="Verdana" w:cs="Arial"/>
            <w:shd w:val="clear" w:color="auto" w:fill="FFFFFF"/>
          </w:rPr>
          <w:t>https://relatoria.colombiacompra.gov.co/busqueda/conceptos</w:t>
        </w:r>
      </w:hyperlink>
      <w:r w:rsidRPr="00272B0D">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1011199C" w14:textId="77777777" w:rsidR="00683401" w:rsidRPr="00116940" w:rsidRDefault="00683401" w:rsidP="00683401">
      <w:pPr>
        <w:spacing w:after="12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B103655" w14:textId="77777777" w:rsidR="00683401" w:rsidRPr="00116940" w:rsidRDefault="00683401" w:rsidP="00683401">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80151B7" w14:textId="77777777" w:rsidR="00683401" w:rsidRPr="00116940" w:rsidRDefault="00683401" w:rsidP="00683401">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25A8B69E" w14:textId="77777777" w:rsidR="00683401" w:rsidRPr="00116940" w:rsidRDefault="00683401" w:rsidP="0068340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54729CC5" w14:textId="77777777" w:rsidR="00683401" w:rsidRPr="00116940" w:rsidRDefault="00683401" w:rsidP="0068340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4BF51572" w14:textId="77777777" w:rsidR="00683401" w:rsidRPr="00116940" w:rsidRDefault="00683401" w:rsidP="00683401">
      <w:pPr>
        <w:spacing w:after="0" w:line="240" w:lineRule="auto"/>
        <w:ind w:left="720"/>
        <w:jc w:val="both"/>
        <w:rPr>
          <w:rFonts w:ascii="Verdana" w:hAnsi="Verdana"/>
        </w:rPr>
      </w:pPr>
    </w:p>
    <w:p w14:paraId="14449520" w14:textId="77777777" w:rsidR="00683401" w:rsidRDefault="00683401" w:rsidP="00683401">
      <w:pPr>
        <w:spacing w:after="120"/>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6" w:history="1">
        <w:r w:rsidRPr="00012537">
          <w:rPr>
            <w:rStyle w:val="Hipervnculo"/>
            <w:rFonts w:ascii="Verdana" w:eastAsia="Verdana" w:hAnsi="Verdana" w:cs="Verdana"/>
            <w:lang w:val="es-MX"/>
          </w:rPr>
          <w:t>https://forms.office.com/r/pPHyWVs2SZ</w:t>
        </w:r>
      </w:hyperlink>
      <w:r w:rsidRPr="00012537">
        <w:rPr>
          <w:rStyle w:val="Hipervnculo"/>
          <w:rFonts w:eastAsia="Verdana" w:cs="Verdana"/>
          <w:lang w:val="es-MX"/>
        </w:rPr>
        <w:t>.</w:t>
      </w:r>
      <w:r>
        <w:rPr>
          <w:rFonts w:ascii="Verdana" w:hAnsi="Verdana"/>
        </w:rPr>
        <w:t xml:space="preserve"> </w:t>
      </w:r>
      <w:r w:rsidRPr="00116940">
        <w:rPr>
          <w:rFonts w:ascii="Verdana" w:hAnsi="Verdana"/>
        </w:rPr>
        <w:t>¡Ayúdanos a mejorar porque el compromiso es de todos!</w:t>
      </w:r>
    </w:p>
    <w:p w14:paraId="2619B6E1" w14:textId="77777777" w:rsidR="00683401" w:rsidRPr="00116940" w:rsidRDefault="00683401" w:rsidP="00683401">
      <w:pPr>
        <w:spacing w:after="120"/>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389AFCD" w14:textId="77777777" w:rsidR="00683401" w:rsidRPr="00116940" w:rsidRDefault="00683401" w:rsidP="00683401">
      <w:pPr>
        <w:spacing w:after="0" w:line="240" w:lineRule="auto"/>
        <w:jc w:val="both"/>
        <w:rPr>
          <w:rFonts w:ascii="Verdana" w:hAnsi="Verdana"/>
        </w:rPr>
      </w:pPr>
    </w:p>
    <w:p w14:paraId="142A320D" w14:textId="77777777" w:rsidR="00683401" w:rsidRPr="00116940" w:rsidRDefault="00683401" w:rsidP="00683401">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1CEE9C0" w14:textId="77777777" w:rsidR="00683401" w:rsidRPr="00116940" w:rsidRDefault="00683401" w:rsidP="00683401">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9EA3A19" w14:textId="77777777" w:rsidR="00683401" w:rsidRPr="00116940" w:rsidRDefault="00683401" w:rsidP="00683401">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9C3B8A2" w14:textId="77777777" w:rsidR="00683401" w:rsidRPr="00116940" w:rsidRDefault="00683401" w:rsidP="00683401">
      <w:pPr>
        <w:spacing w:after="0" w:line="240" w:lineRule="auto"/>
        <w:jc w:val="both"/>
        <w:rPr>
          <w:rFonts w:ascii="Verdana" w:hAnsi="Verdana"/>
        </w:rPr>
      </w:pPr>
    </w:p>
    <w:p w14:paraId="448EF9BD" w14:textId="77777777" w:rsidR="00683401" w:rsidRDefault="00683401" w:rsidP="00683401">
      <w:pPr>
        <w:spacing w:after="0" w:line="240" w:lineRule="auto"/>
        <w:jc w:val="both"/>
        <w:rPr>
          <w:rFonts w:ascii="Verdana" w:hAnsi="Verdana"/>
          <w:lang w:val="es-MX"/>
        </w:rPr>
      </w:pPr>
    </w:p>
    <w:p w14:paraId="3C0FAE2A" w14:textId="77777777" w:rsidR="00683401" w:rsidRPr="00330029" w:rsidRDefault="00683401" w:rsidP="00683401">
      <w:pPr>
        <w:spacing w:after="0" w:line="240" w:lineRule="auto"/>
        <w:jc w:val="both"/>
        <w:rPr>
          <w:rFonts w:ascii="Verdana" w:hAnsi="Verdana"/>
          <w:lang w:val="es-MX"/>
        </w:rPr>
      </w:pPr>
      <w:r w:rsidRPr="00E02524">
        <w:rPr>
          <w:rFonts w:ascii="Verdana" w:hAnsi="Verdana"/>
          <w:lang w:val="es-MX"/>
        </w:rPr>
        <w:t>Cordialmente,</w:t>
      </w:r>
    </w:p>
    <w:p w14:paraId="40994751" w14:textId="720BDFF4" w:rsidR="00683401" w:rsidRDefault="00995E73" w:rsidP="00683401">
      <w:pPr>
        <w:spacing w:after="0" w:line="256" w:lineRule="auto"/>
        <w:jc w:val="center"/>
        <w:rPr>
          <w:rFonts w:ascii="Verdana" w:eastAsia="Calibri" w:hAnsi="Verdana" w:cs="Times New Roman"/>
        </w:rPr>
      </w:pPr>
      <w:r w:rsidRPr="0065791A">
        <w:rPr>
          <w:rFonts w:ascii="Century Gothic" w:hAnsi="Century Gothic"/>
          <w:noProof/>
        </w:rPr>
        <w:lastRenderedPageBreak/>
        <w:drawing>
          <wp:inline distT="0" distB="0" distL="0" distR="0" wp14:anchorId="4C9B750C" wp14:editId="02E62C4C">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7"/>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683401" w:rsidRPr="005644FE" w14:paraId="02F0A3B3" w14:textId="77777777" w:rsidTr="00A62A97">
        <w:trPr>
          <w:trHeight w:val="315"/>
        </w:trPr>
        <w:tc>
          <w:tcPr>
            <w:tcW w:w="893" w:type="dxa"/>
            <w:vAlign w:val="center"/>
            <w:hideMark/>
          </w:tcPr>
          <w:p w14:paraId="5351C1E5" w14:textId="77777777" w:rsidR="00683401" w:rsidRPr="005644FE" w:rsidRDefault="00683401" w:rsidP="00A62A97">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0288555F" w14:textId="77777777" w:rsidR="00683401" w:rsidRPr="005644FE" w:rsidRDefault="00683401" w:rsidP="00A62A97">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433FD58F" w14:textId="77777777" w:rsidR="00683401" w:rsidRPr="005644FE" w:rsidRDefault="00683401" w:rsidP="00A62A97">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683401" w:rsidRPr="005644FE" w14:paraId="7E34D336" w14:textId="77777777" w:rsidTr="00A62A97">
        <w:trPr>
          <w:trHeight w:val="330"/>
        </w:trPr>
        <w:tc>
          <w:tcPr>
            <w:tcW w:w="893" w:type="dxa"/>
            <w:vAlign w:val="center"/>
            <w:hideMark/>
          </w:tcPr>
          <w:p w14:paraId="64C4BEDA" w14:textId="77777777" w:rsidR="00683401" w:rsidRPr="005644FE" w:rsidRDefault="00683401" w:rsidP="00A62A97">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ADA8D35" w14:textId="77777777" w:rsidR="00683401" w:rsidRPr="0004340D" w:rsidRDefault="00683401" w:rsidP="00A62A97">
            <w:pPr>
              <w:pStyle w:val="paragraph"/>
              <w:spacing w:before="0" w:beforeAutospacing="0" w:after="0" w:afterAutospacing="0"/>
              <w:contextualSpacing/>
              <w:textAlignment w:val="baseline"/>
              <w:rPr>
                <w:rStyle w:val="normaltextrun"/>
                <w:rFonts w:ascii="Verdana" w:hAnsi="Verdana"/>
                <w:sz w:val="16"/>
                <w:szCs w:val="16"/>
              </w:rPr>
            </w:pPr>
            <w:r w:rsidRPr="0004340D">
              <w:rPr>
                <w:rStyle w:val="normaltextrun"/>
                <w:rFonts w:ascii="Verdana" w:hAnsi="Verdana"/>
                <w:sz w:val="16"/>
                <w:szCs w:val="16"/>
              </w:rPr>
              <w:t>Diana Lucía Saavedra Castañeda</w:t>
            </w:r>
          </w:p>
          <w:p w14:paraId="5D681D31" w14:textId="77777777" w:rsidR="00683401" w:rsidRPr="005644FE" w:rsidRDefault="00683401" w:rsidP="00A62A97">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683401" w:rsidRPr="005644FE" w14:paraId="41996F67" w14:textId="77777777" w:rsidTr="00A62A97">
        <w:trPr>
          <w:trHeight w:val="300"/>
        </w:trPr>
        <w:tc>
          <w:tcPr>
            <w:tcW w:w="893" w:type="dxa"/>
            <w:vAlign w:val="center"/>
          </w:tcPr>
          <w:p w14:paraId="4B97CCD5" w14:textId="77777777" w:rsidR="00683401" w:rsidRPr="005644FE" w:rsidRDefault="00683401" w:rsidP="00A62A97">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999D7EE" w14:textId="77777777" w:rsidR="00683401" w:rsidRPr="005644FE" w:rsidRDefault="00683401" w:rsidP="00A62A97">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3DFD830D" w14:textId="77777777" w:rsidR="00683401" w:rsidRPr="005644FE" w:rsidRDefault="00683401" w:rsidP="00A62A97">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3653888D" w14:textId="77777777" w:rsidR="00683401" w:rsidRDefault="00683401" w:rsidP="00683401"/>
    <w:p w14:paraId="3DAA63A9" w14:textId="77777777" w:rsidR="00683401" w:rsidRPr="005644FE" w:rsidRDefault="00683401" w:rsidP="00683401"/>
    <w:bookmarkEnd w:id="0"/>
    <w:p w14:paraId="4CBE2D73" w14:textId="77777777" w:rsidR="00683401" w:rsidRPr="0015699B" w:rsidRDefault="00683401" w:rsidP="00683401">
      <w:pPr>
        <w:spacing w:after="0" w:line="240" w:lineRule="auto"/>
        <w:jc w:val="both"/>
        <w:textAlignment w:val="baseline"/>
        <w:rPr>
          <w:rFonts w:ascii="Verdana" w:eastAsia="Times New Roman" w:hAnsi="Verdana" w:cs="Segoe UI"/>
          <w:lang w:eastAsia="es-CO"/>
        </w:rPr>
      </w:pPr>
    </w:p>
    <w:bookmarkEnd w:id="1"/>
    <w:p w14:paraId="36E27390" w14:textId="77777777" w:rsidR="00683401" w:rsidRDefault="00683401" w:rsidP="00683401"/>
    <w:bookmarkEnd w:id="2"/>
    <w:p w14:paraId="0F293BF4" w14:textId="7A4DBD85" w:rsidR="00127233" w:rsidRPr="007C4389" w:rsidRDefault="00127233" w:rsidP="007C4389"/>
    <w:sectPr w:rsidR="00127233" w:rsidRPr="007C4389"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0C462" w14:textId="77777777" w:rsidR="00C90E54" w:rsidRDefault="00C90E54" w:rsidP="004A1847">
      <w:pPr>
        <w:spacing w:after="0" w:line="240" w:lineRule="auto"/>
      </w:pPr>
      <w:r>
        <w:separator/>
      </w:r>
    </w:p>
  </w:endnote>
  <w:endnote w:type="continuationSeparator" w:id="0">
    <w:p w14:paraId="106BC7EE" w14:textId="77777777" w:rsidR="00C90E54" w:rsidRDefault="00C90E5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5D6EB" w14:textId="77777777" w:rsidR="00C90E54" w:rsidRDefault="00C90E54" w:rsidP="004A1847">
      <w:pPr>
        <w:spacing w:after="0" w:line="240" w:lineRule="auto"/>
      </w:pPr>
      <w:r>
        <w:separator/>
      </w:r>
    </w:p>
  </w:footnote>
  <w:footnote w:type="continuationSeparator" w:id="0">
    <w:p w14:paraId="7F3C0E02" w14:textId="77777777" w:rsidR="00C90E54" w:rsidRDefault="00C90E54" w:rsidP="004A1847">
      <w:pPr>
        <w:spacing w:after="0" w:line="240" w:lineRule="auto"/>
      </w:pPr>
      <w:r>
        <w:continuationSeparator/>
      </w:r>
    </w:p>
  </w:footnote>
  <w:footnote w:id="1">
    <w:p w14:paraId="3CEB8212" w14:textId="77777777" w:rsidR="00683401" w:rsidRPr="00BE126A" w:rsidRDefault="00683401" w:rsidP="00683401">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1E9B60B" w14:textId="77777777" w:rsidR="00683401" w:rsidRDefault="00683401" w:rsidP="00683401">
      <w:pPr>
        <w:pStyle w:val="Textonotapie"/>
        <w:ind w:firstLine="709"/>
        <w:contextualSpacing/>
        <w:jc w:val="both"/>
        <w:rPr>
          <w:rFonts w:ascii="Verdana" w:hAnsi="Verdana" w:cs="Arial"/>
          <w:sz w:val="16"/>
          <w:szCs w:val="16"/>
        </w:rPr>
      </w:pPr>
      <w:r w:rsidRPr="00BE126A">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DF9A51A" w14:textId="77777777" w:rsidR="00683401" w:rsidRPr="00BE126A" w:rsidRDefault="00683401" w:rsidP="00683401">
      <w:pPr>
        <w:pStyle w:val="Textonotapie"/>
        <w:ind w:firstLine="709"/>
        <w:contextualSpacing/>
        <w:jc w:val="both"/>
        <w:rPr>
          <w:rFonts w:ascii="Verdana" w:hAnsi="Verdana" w:cs="Arial"/>
          <w:sz w:val="16"/>
          <w:szCs w:val="16"/>
        </w:rPr>
      </w:pPr>
    </w:p>
  </w:footnote>
  <w:footnote w:id="2">
    <w:p w14:paraId="1D3FBFDF" w14:textId="77777777" w:rsidR="00683401" w:rsidRDefault="00683401" w:rsidP="00683401">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Gaceta del Congreso de la República No. 71 del 2005.</w:t>
      </w:r>
    </w:p>
    <w:p w14:paraId="31B0975E" w14:textId="77777777" w:rsidR="00683401" w:rsidRPr="00BE126A" w:rsidRDefault="00683401" w:rsidP="00683401">
      <w:pPr>
        <w:pStyle w:val="Textonotapie"/>
        <w:ind w:firstLine="709"/>
        <w:contextualSpacing/>
        <w:jc w:val="both"/>
        <w:rPr>
          <w:rFonts w:ascii="Verdana" w:hAnsi="Verdana" w:cs="Arial"/>
          <w:sz w:val="16"/>
          <w:szCs w:val="16"/>
        </w:rPr>
      </w:pPr>
    </w:p>
  </w:footnote>
  <w:footnote w:id="3">
    <w:p w14:paraId="5EABC451" w14:textId="77777777" w:rsidR="00683401" w:rsidRDefault="00683401" w:rsidP="00683401">
      <w:pPr>
        <w:pStyle w:val="Textonotapie"/>
        <w:tabs>
          <w:tab w:val="left" w:pos="8145"/>
        </w:tabs>
        <w:ind w:firstLine="709"/>
        <w:contextualSpacing/>
        <w:jc w:val="both"/>
        <w:rPr>
          <w:rFonts w:ascii="Verdana" w:hAnsi="Verdana" w:cs="Arial"/>
          <w:sz w:val="16"/>
          <w:szCs w:val="16"/>
          <w:lang w:val="pt-PT"/>
        </w:rPr>
      </w:pPr>
      <w:r w:rsidRPr="00BE126A">
        <w:rPr>
          <w:rStyle w:val="Refdenotaalpie"/>
          <w:rFonts w:ascii="Verdana" w:hAnsi="Verdana" w:cs="Arial"/>
          <w:sz w:val="16"/>
          <w:szCs w:val="16"/>
        </w:rPr>
        <w:footnoteRef/>
      </w:r>
      <w:r w:rsidRPr="005800D0">
        <w:rPr>
          <w:rFonts w:ascii="Verdana" w:hAnsi="Verdana" w:cs="Arial"/>
          <w:sz w:val="16"/>
          <w:szCs w:val="16"/>
          <w:lang w:val="pt-PT"/>
        </w:rPr>
        <w:t xml:space="preserve"> Corte Constitucional</w:t>
      </w:r>
      <w:r>
        <w:rPr>
          <w:rFonts w:ascii="Verdana" w:hAnsi="Verdana" w:cs="Arial"/>
          <w:sz w:val="16"/>
          <w:szCs w:val="16"/>
          <w:lang w:val="pt-PT"/>
        </w:rPr>
        <w:t>.</w:t>
      </w:r>
      <w:r w:rsidRPr="005800D0">
        <w:rPr>
          <w:rFonts w:ascii="Verdana" w:hAnsi="Verdana" w:cs="Arial"/>
          <w:sz w:val="16"/>
          <w:szCs w:val="16"/>
          <w:lang w:val="pt-PT"/>
        </w:rPr>
        <w:t xml:space="preserve"> Sentencia C- 1153 de 2005, M.P</w:t>
      </w:r>
      <w:r>
        <w:rPr>
          <w:rFonts w:ascii="Verdana" w:hAnsi="Verdana" w:cs="Arial"/>
          <w:sz w:val="16"/>
          <w:szCs w:val="16"/>
          <w:lang w:val="pt-PT"/>
        </w:rPr>
        <w:t>:</w:t>
      </w:r>
      <w:r w:rsidRPr="005800D0">
        <w:rPr>
          <w:rFonts w:ascii="Verdana" w:hAnsi="Verdana" w:cs="Arial"/>
          <w:sz w:val="16"/>
          <w:szCs w:val="16"/>
          <w:lang w:val="pt-PT"/>
        </w:rPr>
        <w:t xml:space="preserve"> Marco Gerardo Monroy Cabra.</w:t>
      </w:r>
      <w:r>
        <w:rPr>
          <w:rFonts w:ascii="Verdana" w:hAnsi="Verdana" w:cs="Arial"/>
          <w:sz w:val="16"/>
          <w:szCs w:val="16"/>
          <w:lang w:val="pt-PT"/>
        </w:rPr>
        <w:tab/>
      </w:r>
    </w:p>
    <w:p w14:paraId="7E974917" w14:textId="77777777" w:rsidR="00683401" w:rsidRPr="005800D0" w:rsidRDefault="00683401" w:rsidP="00683401">
      <w:pPr>
        <w:pStyle w:val="Textonotapie"/>
        <w:tabs>
          <w:tab w:val="left" w:pos="8145"/>
        </w:tabs>
        <w:ind w:firstLine="709"/>
        <w:contextualSpacing/>
        <w:jc w:val="both"/>
        <w:rPr>
          <w:rFonts w:ascii="Verdana" w:hAnsi="Verdana" w:cs="Arial"/>
          <w:sz w:val="16"/>
          <w:szCs w:val="16"/>
          <w:lang w:val="pt-PT"/>
        </w:rPr>
      </w:pPr>
    </w:p>
  </w:footnote>
  <w:footnote w:id="4">
    <w:p w14:paraId="0CDBE641" w14:textId="77777777" w:rsidR="00683401" w:rsidRDefault="00683401" w:rsidP="00683401">
      <w:pPr>
        <w:pStyle w:val="Textonotapie"/>
        <w:ind w:firstLine="709"/>
        <w:contextualSpacing/>
        <w:jc w:val="both"/>
        <w:rPr>
          <w:rFonts w:ascii="Verdana" w:hAnsi="Verdana" w:cs="Arial"/>
          <w:sz w:val="16"/>
          <w:szCs w:val="16"/>
          <w:lang w:val="pt-PT"/>
        </w:rPr>
      </w:pPr>
      <w:r w:rsidRPr="00BE126A">
        <w:rPr>
          <w:rStyle w:val="Refdenotaalpie"/>
          <w:rFonts w:ascii="Verdana" w:hAnsi="Verdana" w:cs="Arial"/>
          <w:sz w:val="16"/>
          <w:szCs w:val="16"/>
        </w:rPr>
        <w:footnoteRef/>
      </w:r>
      <w:r w:rsidRPr="005800D0">
        <w:rPr>
          <w:rFonts w:ascii="Verdana" w:hAnsi="Verdana" w:cs="Arial"/>
          <w:sz w:val="16"/>
          <w:szCs w:val="16"/>
          <w:lang w:val="pt-PT"/>
        </w:rPr>
        <w:t xml:space="preserve"> </w:t>
      </w:r>
      <w:r w:rsidRPr="0045735C">
        <w:rPr>
          <w:rFonts w:ascii="Verdana" w:hAnsi="Verdana" w:cs="Arial"/>
          <w:sz w:val="16"/>
          <w:szCs w:val="16"/>
          <w:lang w:val="es-CO"/>
        </w:rPr>
        <w:t xml:space="preserve">Corte Constitucional. Sentencias: C-233 de 4 de abril de 2002. M.P: Álvaro Tafur Galvis; C-551 de 9 de julio de 2003. M.P: Eduardo Montealegre </w:t>
      </w:r>
      <w:r w:rsidRPr="0045735C">
        <w:rPr>
          <w:rFonts w:ascii="Verdana" w:hAnsi="Verdana" w:cs="Arial"/>
          <w:sz w:val="16"/>
          <w:szCs w:val="16"/>
          <w:lang w:val="es-CO"/>
        </w:rPr>
        <w:t>Lynnet; C-353 de 20 de mayo de 2009. M.P: Jorge Iván Palacio Palacio; C-541 de 30 de junio de 2010. M.P: Gabriel Eduardo Mendoza Martelo; entre otras.</w:t>
      </w:r>
    </w:p>
    <w:p w14:paraId="6B1CF87E" w14:textId="77777777" w:rsidR="00683401" w:rsidRPr="005800D0" w:rsidRDefault="00683401" w:rsidP="00683401">
      <w:pPr>
        <w:pStyle w:val="Textonotapie"/>
        <w:ind w:firstLine="709"/>
        <w:contextualSpacing/>
        <w:jc w:val="both"/>
        <w:rPr>
          <w:rFonts w:ascii="Verdana" w:hAnsi="Verdana" w:cs="Arial"/>
          <w:sz w:val="16"/>
          <w:szCs w:val="16"/>
          <w:lang w:val="pt-PT"/>
        </w:rPr>
      </w:pPr>
    </w:p>
  </w:footnote>
  <w:footnote w:id="5">
    <w:p w14:paraId="5175F268" w14:textId="77777777" w:rsidR="00683401" w:rsidRDefault="00683401" w:rsidP="00683401">
      <w:pPr>
        <w:pStyle w:val="Textonotapie"/>
        <w:ind w:firstLine="709"/>
        <w:contextualSpacing/>
        <w:jc w:val="both"/>
        <w:rPr>
          <w:rFonts w:ascii="Verdana" w:hAnsi="Verdana" w:cs="Arial"/>
          <w:sz w:val="16"/>
          <w:szCs w:val="16"/>
          <w:lang w:val="es-CO"/>
        </w:rPr>
      </w:pPr>
      <w:r w:rsidRPr="00BE126A">
        <w:rPr>
          <w:rStyle w:val="Refdenotaalpie"/>
          <w:rFonts w:ascii="Verdana" w:hAnsi="Verdana" w:cs="Arial"/>
          <w:sz w:val="16"/>
          <w:szCs w:val="16"/>
        </w:rPr>
        <w:footnoteRef/>
      </w:r>
      <w:r w:rsidRPr="00BE126A">
        <w:rPr>
          <w:rFonts w:ascii="Verdana" w:hAnsi="Verdana" w:cs="Arial"/>
          <w:sz w:val="16"/>
          <w:szCs w:val="16"/>
          <w:lang w:val="es-CO"/>
        </w:rPr>
        <w:t xml:space="preserve"> </w:t>
      </w:r>
      <w:r w:rsidRPr="0045735C">
        <w:rPr>
          <w:rFonts w:ascii="Verdana" w:hAnsi="Verdana" w:cs="Arial"/>
          <w:sz w:val="16"/>
          <w:szCs w:val="16"/>
          <w:lang w:val="es-CO"/>
        </w:rPr>
        <w:t xml:space="preserve">Consejo de Estado. Sala de lo Contencioso Administrativo. Sección Primera. Sentencia de 3 de marzo de 2005. Radicado: </w:t>
      </w:r>
      <w:r w:rsidRPr="0045735C">
        <w:rPr>
          <w:rFonts w:ascii="Verdana" w:hAnsi="Verdana" w:cs="Arial"/>
          <w:sz w:val="16"/>
          <w:szCs w:val="16"/>
          <w:lang w:val="es-ES"/>
        </w:rPr>
        <w:t xml:space="preserve">25001-23-15-000-2004-00823-01 (PI). </w:t>
      </w:r>
      <w:r w:rsidRPr="0045735C">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34E16AB4" w14:textId="77777777" w:rsidR="00683401" w:rsidRPr="00BE126A" w:rsidRDefault="00683401" w:rsidP="00683401">
      <w:pPr>
        <w:pStyle w:val="Textonotapie"/>
        <w:ind w:firstLine="709"/>
        <w:contextualSpacing/>
        <w:jc w:val="both"/>
        <w:rPr>
          <w:rFonts w:ascii="Verdana" w:hAnsi="Verdana" w:cs="Arial"/>
          <w:sz w:val="16"/>
          <w:szCs w:val="16"/>
          <w:lang w:val="es-CO"/>
        </w:rPr>
      </w:pPr>
    </w:p>
  </w:footnote>
  <w:footnote w:id="6">
    <w:p w14:paraId="46C75CF2" w14:textId="77777777" w:rsidR="00683401" w:rsidRDefault="00683401" w:rsidP="00683401">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w:t>
      </w:r>
      <w:r w:rsidRPr="0045735C">
        <w:rPr>
          <w:rFonts w:ascii="Verdana" w:hAnsi="Verdana" w:cs="Arial"/>
          <w:sz w:val="16"/>
          <w:szCs w:val="16"/>
        </w:rPr>
        <w:t xml:space="preserve">Consejo de Estado, Sala de Consulta y Servicio Civil. 24 de julio de 2013. Radicado: </w:t>
      </w:r>
      <w:r w:rsidRPr="0045735C">
        <w:rPr>
          <w:rFonts w:ascii="Verdana" w:hAnsi="Verdana" w:cs="Arial"/>
          <w:sz w:val="16"/>
          <w:szCs w:val="16"/>
          <w:lang w:val="es-CO"/>
        </w:rPr>
        <w:t xml:space="preserve">11001-03-06-000-2013-00407-00 </w:t>
      </w:r>
      <w:r w:rsidRPr="0045735C">
        <w:rPr>
          <w:rFonts w:ascii="Verdana" w:hAnsi="Verdana" w:cs="Arial"/>
          <w:sz w:val="16"/>
          <w:szCs w:val="16"/>
        </w:rPr>
        <w:t xml:space="preserve">(2166). C.P. Álvaro </w:t>
      </w:r>
      <w:r w:rsidRPr="0045735C">
        <w:rPr>
          <w:rFonts w:ascii="Verdana" w:hAnsi="Verdana" w:cs="Arial"/>
          <w:sz w:val="16"/>
          <w:szCs w:val="16"/>
        </w:rPr>
        <w:t>Namén Vargas</w:t>
      </w:r>
      <w:r w:rsidRPr="00BE126A">
        <w:rPr>
          <w:rFonts w:ascii="Verdana" w:hAnsi="Verdana" w:cs="Arial"/>
          <w:sz w:val="16"/>
          <w:szCs w:val="16"/>
        </w:rPr>
        <w:t xml:space="preserve">.  </w:t>
      </w:r>
    </w:p>
    <w:p w14:paraId="69459CC8" w14:textId="77777777" w:rsidR="00683401" w:rsidRPr="00BE126A" w:rsidRDefault="00683401" w:rsidP="00683401">
      <w:pPr>
        <w:pStyle w:val="Textonotapie"/>
        <w:ind w:firstLine="709"/>
        <w:contextualSpacing/>
        <w:jc w:val="both"/>
        <w:rPr>
          <w:rFonts w:ascii="Verdana" w:hAnsi="Verdana" w:cs="Arial"/>
          <w:sz w:val="16"/>
          <w:szCs w:val="16"/>
        </w:rPr>
      </w:pPr>
    </w:p>
  </w:footnote>
  <w:footnote w:id="7">
    <w:p w14:paraId="2E9CA1F0" w14:textId="77777777" w:rsidR="00683401" w:rsidRPr="00BE126A" w:rsidRDefault="00683401" w:rsidP="00683401">
      <w:pPr>
        <w:spacing w:after="0" w:line="240" w:lineRule="auto"/>
        <w:ind w:firstLine="709"/>
        <w:contextualSpacing/>
        <w:jc w:val="both"/>
        <w:rPr>
          <w:rFonts w:ascii="Verdana" w:eastAsia="Times New Roman"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w:t>
      </w:r>
      <w:bookmarkStart w:id="5" w:name="33"/>
      <w:r w:rsidRPr="00BE126A">
        <w:rPr>
          <w:rFonts w:ascii="Verdana" w:eastAsia="Calibri" w:hAnsi="Verdana" w:cs="Arial"/>
          <w:bCs/>
          <w:color w:val="000000"/>
          <w:sz w:val="16"/>
          <w:szCs w:val="16"/>
        </w:rPr>
        <w:t>“</w:t>
      </w:r>
      <w:r w:rsidRPr="00BE126A">
        <w:rPr>
          <w:rFonts w:ascii="Verdana" w:eastAsia="Times New Roman" w:hAnsi="Verdana" w:cs="Arial"/>
          <w:sz w:val="16"/>
          <w:szCs w:val="16"/>
        </w:rPr>
        <w:t>Artículo 33. Restricciones a la contratación pública.</w:t>
      </w:r>
      <w:bookmarkEnd w:id="5"/>
      <w:r w:rsidRPr="00BE126A">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9FD42A3" w14:textId="77777777" w:rsidR="00683401" w:rsidRDefault="00683401" w:rsidP="00683401">
      <w:pPr>
        <w:spacing w:after="0" w:line="240" w:lineRule="auto"/>
        <w:ind w:firstLine="709"/>
        <w:contextualSpacing/>
        <w:jc w:val="both"/>
        <w:rPr>
          <w:rFonts w:ascii="Verdana" w:eastAsia="Times New Roman" w:hAnsi="Verdana" w:cs="Arial"/>
          <w:sz w:val="16"/>
          <w:szCs w:val="16"/>
        </w:rPr>
      </w:pPr>
      <w:r w:rsidRPr="00BE126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3F247E0" w14:textId="77777777" w:rsidR="00683401" w:rsidRPr="00BE126A" w:rsidRDefault="00683401" w:rsidP="00683401">
      <w:pPr>
        <w:spacing w:after="0" w:line="240" w:lineRule="auto"/>
        <w:ind w:firstLine="709"/>
        <w:contextualSpacing/>
        <w:jc w:val="both"/>
        <w:rPr>
          <w:rFonts w:ascii="Verdana" w:eastAsia="Times New Roman" w:hAnsi="Verdana" w:cs="Arial"/>
          <w:sz w:val="16"/>
          <w:szCs w:val="16"/>
        </w:rPr>
      </w:pPr>
    </w:p>
  </w:footnote>
  <w:footnote w:id="8">
    <w:p w14:paraId="50BC1BFD" w14:textId="77777777" w:rsidR="00683401" w:rsidRPr="00BE126A" w:rsidRDefault="00683401" w:rsidP="00683401">
      <w:pPr>
        <w:pStyle w:val="NormalWeb"/>
        <w:spacing w:before="0" w:beforeAutospacing="0" w:after="0" w:afterAutospacing="0"/>
        <w:ind w:firstLine="709"/>
        <w:contextualSpacing/>
        <w:jc w:val="both"/>
        <w:rPr>
          <w:rFonts w:ascii="Verdana" w:hAnsi="Verdana" w:cs="Arial"/>
          <w:sz w:val="16"/>
          <w:szCs w:val="16"/>
          <w:lang w:val="es-MX"/>
        </w:rPr>
      </w:pPr>
      <w:r w:rsidRPr="00BE126A">
        <w:rPr>
          <w:rStyle w:val="Refdenotaalpie"/>
          <w:rFonts w:ascii="Verdana" w:eastAsiaTheme="majorEastAsia" w:hAnsi="Verdana" w:cs="Arial"/>
          <w:sz w:val="16"/>
          <w:szCs w:val="16"/>
        </w:rPr>
        <w:footnoteRef/>
      </w:r>
      <w:r w:rsidRPr="00BE126A">
        <w:rPr>
          <w:rFonts w:ascii="Verdana" w:hAnsi="Verdana" w:cs="Arial"/>
          <w:sz w:val="16"/>
          <w:szCs w:val="16"/>
        </w:rPr>
        <w:t xml:space="preserve"> </w:t>
      </w:r>
      <w:bookmarkStart w:id="6" w:name="38"/>
      <w:r w:rsidRPr="00BE126A">
        <w:rPr>
          <w:rFonts w:ascii="Verdana" w:eastAsia="Calibri" w:hAnsi="Verdana" w:cs="Arial"/>
          <w:bCs/>
          <w:color w:val="000000"/>
          <w:sz w:val="16"/>
          <w:szCs w:val="16"/>
        </w:rPr>
        <w:t>“</w:t>
      </w:r>
      <w:r w:rsidRPr="00BE126A">
        <w:rPr>
          <w:rFonts w:ascii="Verdana" w:hAnsi="Verdana" w:cs="Arial"/>
          <w:sz w:val="16"/>
          <w:szCs w:val="16"/>
          <w:lang w:val="es-MX"/>
        </w:rPr>
        <w:t>Artículo 38. Prohibiciones para los servidores públicos. A los empleados del Estado les está prohibido:</w:t>
      </w:r>
      <w:bookmarkEnd w:id="6"/>
    </w:p>
    <w:p w14:paraId="5B8A9AEA" w14:textId="77777777" w:rsidR="00683401" w:rsidRPr="00BE126A" w:rsidRDefault="00683401" w:rsidP="00683401">
      <w:pPr>
        <w:pStyle w:val="NormalWeb"/>
        <w:spacing w:before="0" w:beforeAutospacing="0" w:after="0" w:afterAutospacing="0"/>
        <w:ind w:firstLine="709"/>
        <w:contextualSpacing/>
        <w:jc w:val="both"/>
        <w:rPr>
          <w:rFonts w:ascii="Verdana" w:hAnsi="Verdana" w:cs="Arial"/>
          <w:sz w:val="16"/>
          <w:szCs w:val="16"/>
          <w:lang w:val="es-MX"/>
        </w:rPr>
      </w:pPr>
      <w:r>
        <w:rPr>
          <w:rFonts w:ascii="Verdana" w:hAnsi="Verdana" w:cs="Arial"/>
          <w:sz w:val="16"/>
          <w:szCs w:val="16"/>
          <w:lang w:val="es-MX"/>
        </w:rPr>
        <w:t>(…)</w:t>
      </w:r>
    </w:p>
    <w:p w14:paraId="6F65F353" w14:textId="77777777" w:rsidR="00683401" w:rsidRDefault="00683401" w:rsidP="00683401">
      <w:pPr>
        <w:pStyle w:val="NormalWeb"/>
        <w:spacing w:before="0" w:beforeAutospacing="0" w:after="0" w:afterAutospacing="0"/>
        <w:ind w:firstLine="709"/>
        <w:contextualSpacing/>
        <w:jc w:val="both"/>
        <w:rPr>
          <w:rFonts w:ascii="Verdana" w:eastAsia="Calibri" w:hAnsi="Verdana" w:cs="Arial"/>
          <w:bCs/>
          <w:color w:val="000000"/>
          <w:sz w:val="16"/>
          <w:szCs w:val="16"/>
        </w:rPr>
      </w:pPr>
      <w:r w:rsidRPr="00BE126A">
        <w:rPr>
          <w:rStyle w:val="baj"/>
          <w:rFonts w:ascii="Verdana" w:hAnsi="Verdana" w:cs="Arial"/>
          <w:sz w:val="16"/>
          <w:szCs w:val="16"/>
          <w:lang w:val="es-MX"/>
        </w:rPr>
        <w:t>Parágrafo.</w:t>
      </w:r>
      <w:r w:rsidRPr="00BE126A">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E126A">
        <w:rPr>
          <w:rFonts w:ascii="Verdana" w:eastAsia="Calibri" w:hAnsi="Verdana" w:cs="Arial"/>
          <w:bCs/>
          <w:color w:val="000000"/>
          <w:sz w:val="16"/>
          <w:szCs w:val="16"/>
        </w:rPr>
        <w:t>”</w:t>
      </w:r>
      <w:r>
        <w:rPr>
          <w:rFonts w:ascii="Verdana" w:eastAsia="Calibri" w:hAnsi="Verdana" w:cs="Arial"/>
          <w:bCs/>
          <w:color w:val="000000"/>
          <w:sz w:val="16"/>
          <w:szCs w:val="16"/>
        </w:rPr>
        <w:t>.</w:t>
      </w:r>
    </w:p>
    <w:p w14:paraId="35349BB5" w14:textId="77777777" w:rsidR="00683401" w:rsidRPr="00BE126A" w:rsidRDefault="00683401" w:rsidP="00683401">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3E463F9A" w14:textId="77777777" w:rsidR="00683401" w:rsidRPr="00BE126A" w:rsidRDefault="00683401" w:rsidP="00683401">
      <w:pPr>
        <w:spacing w:after="0" w:line="240" w:lineRule="auto"/>
        <w:ind w:left="100" w:right="244" w:firstLine="709"/>
        <w:contextualSpacing/>
        <w:jc w:val="both"/>
        <w:rPr>
          <w:rFonts w:ascii="Verdana" w:hAnsi="Verdana" w:cs="Arial"/>
          <w:sz w:val="16"/>
          <w:szCs w:val="16"/>
          <w:lang w:val="es-ES"/>
        </w:rPr>
      </w:pPr>
      <w:r w:rsidRPr="00BE126A">
        <w:rPr>
          <w:rStyle w:val="Refdenotaalpie"/>
          <w:rFonts w:ascii="Verdana" w:hAnsi="Verdana" w:cs="Arial"/>
          <w:sz w:val="16"/>
          <w:szCs w:val="16"/>
        </w:rPr>
        <w:footnoteRef/>
      </w:r>
      <w:r w:rsidRPr="00BE126A">
        <w:rPr>
          <w:rFonts w:ascii="Verdana" w:hAnsi="Verdana" w:cs="Arial"/>
          <w:sz w:val="16"/>
          <w:szCs w:val="16"/>
        </w:rPr>
        <w:t xml:space="preserve"> </w:t>
      </w:r>
      <w:r w:rsidRPr="00A04AF0">
        <w:rPr>
          <w:rFonts w:ascii="Verdana" w:hAnsi="Verdana" w:cs="Arial"/>
          <w:sz w:val="16"/>
          <w:szCs w:val="16"/>
        </w:rPr>
        <w:t>Consejo de Estado. Sala de Consulta y Servicio Civil. Concepto del 17 de febrero de 2015.</w:t>
      </w:r>
      <w:r>
        <w:rPr>
          <w:rFonts w:ascii="Verdana" w:hAnsi="Verdana" w:cs="Arial"/>
          <w:sz w:val="16"/>
          <w:szCs w:val="16"/>
        </w:rPr>
        <w:t xml:space="preserve"> </w:t>
      </w:r>
      <w:r w:rsidRPr="00A04AF0">
        <w:rPr>
          <w:rFonts w:ascii="Verdana" w:hAnsi="Verdana" w:cs="Arial"/>
          <w:sz w:val="16"/>
          <w:szCs w:val="16"/>
        </w:rPr>
        <w:t>Radicado: 11001-03-06-000-2015-00164-00 (2269). C.P. William Zambrano Cetina</w:t>
      </w:r>
      <w:r w:rsidRPr="00BE126A">
        <w:rPr>
          <w:rFonts w:ascii="Verdana" w:hAnsi="Verdana" w:cs="Arial"/>
          <w:sz w:val="16"/>
          <w:szCs w:val="16"/>
        </w:rPr>
        <w:t>.</w:t>
      </w:r>
    </w:p>
  </w:footnote>
  <w:footnote w:id="10">
    <w:p w14:paraId="2802D069" w14:textId="77777777" w:rsidR="00683401" w:rsidRDefault="00683401" w:rsidP="00683401">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sz w:val="16"/>
          <w:szCs w:val="16"/>
          <w:lang w:val="es-ES"/>
        </w:rPr>
        <w:t xml:space="preserve">[25] </w:t>
      </w:r>
      <w:r w:rsidRPr="00CE0D82">
        <w:rPr>
          <w:rFonts w:ascii="Verdana" w:hAnsi="Verdana" w:cs="Arial"/>
          <w:sz w:val="16"/>
          <w:szCs w:val="16"/>
        </w:rPr>
        <w:t>Cfr. Consejo de Estado. Sección Tercera. Sentencia de 3 de diciembre de 2007. Radicados: 24.715, 25.206, 25.409, 24.524, 27.834, 25.410, 26.105, 28.244, 31.447 -acumulados</w:t>
      </w:r>
      <w:r w:rsidRPr="00CE0D82">
        <w:rPr>
          <w:rFonts w:ascii="Verdana" w:hAnsi="Verdana" w:cs="Arial"/>
          <w:sz w:val="16"/>
          <w:szCs w:val="16"/>
        </w:rPr>
        <w:t>-</w:t>
      </w:r>
      <w:r>
        <w:rPr>
          <w:rFonts w:ascii="Verdana" w:hAnsi="Verdana" w:cs="Arial"/>
          <w:sz w:val="16"/>
          <w:szCs w:val="16"/>
        </w:rPr>
        <w:t>“</w:t>
      </w:r>
      <w:r w:rsidRPr="00CE0D82">
        <w:rPr>
          <w:rFonts w:ascii="Verdana" w:hAnsi="Verdana" w:cs="Arial"/>
          <w:sz w:val="16"/>
          <w:szCs w:val="16"/>
        </w:rPr>
        <w:t>.</w:t>
      </w:r>
    </w:p>
    <w:p w14:paraId="0F022157" w14:textId="77777777" w:rsidR="00683401" w:rsidRPr="00CE0D82" w:rsidRDefault="00683401" w:rsidP="00683401">
      <w:pPr>
        <w:pStyle w:val="Textonotapie"/>
        <w:ind w:firstLine="709"/>
        <w:contextualSpacing/>
        <w:jc w:val="both"/>
        <w:rPr>
          <w:rFonts w:ascii="Verdana" w:hAnsi="Verdana" w:cs="Arial"/>
          <w:sz w:val="16"/>
          <w:szCs w:val="16"/>
        </w:rPr>
      </w:pPr>
    </w:p>
  </w:footnote>
  <w:footnote w:id="11">
    <w:p w14:paraId="5FC5CE3C" w14:textId="77777777" w:rsidR="00683401" w:rsidRDefault="00683401" w:rsidP="00683401">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bookmarkStart w:id="14" w:name="_Hlk74294506"/>
      <w:r w:rsidRPr="00CE0D82">
        <w:rPr>
          <w:rFonts w:ascii="Verdana" w:hAnsi="Verdana" w:cs="Arial"/>
          <w:sz w:val="16"/>
          <w:szCs w:val="16"/>
        </w:rPr>
        <w:t>“</w:t>
      </w:r>
      <w:r w:rsidRPr="00CE0D82">
        <w:rPr>
          <w:rFonts w:ascii="Verdana" w:hAnsi="Verdana" w:cs="Arial"/>
          <w:sz w:val="16"/>
          <w:szCs w:val="16"/>
          <w:lang w:val="es-ES"/>
        </w:rPr>
        <w:t xml:space="preserve">[26] </w:t>
      </w:r>
      <w:bookmarkEnd w:id="14"/>
      <w:r w:rsidRPr="00CE0D82">
        <w:rPr>
          <w:rFonts w:ascii="Verdana" w:hAnsi="Verdana" w:cs="Arial"/>
          <w:sz w:val="16"/>
          <w:szCs w:val="16"/>
        </w:rPr>
        <w:t>Al respecto ver el concepto 1712 de 2 de febrero de 2006. Consejo de Estado Sala de Consulta y Servicio Civil”.</w:t>
      </w:r>
    </w:p>
    <w:p w14:paraId="4285C683" w14:textId="77777777" w:rsidR="00683401" w:rsidRPr="00CE0D82" w:rsidRDefault="00683401" w:rsidP="00683401">
      <w:pPr>
        <w:pStyle w:val="Textonotapie"/>
        <w:ind w:firstLine="709"/>
        <w:contextualSpacing/>
        <w:jc w:val="both"/>
        <w:rPr>
          <w:rFonts w:ascii="Verdana" w:hAnsi="Verdana" w:cs="Arial"/>
          <w:sz w:val="16"/>
          <w:szCs w:val="16"/>
        </w:rPr>
      </w:pPr>
    </w:p>
  </w:footnote>
  <w:footnote w:id="12">
    <w:p w14:paraId="211D6CF4" w14:textId="77777777" w:rsidR="00683401" w:rsidRDefault="00683401" w:rsidP="00683401">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235FCF">
        <w:rPr>
          <w:rFonts w:ascii="Verdana" w:hAnsi="Verdana" w:cs="Arial"/>
          <w:sz w:val="16"/>
          <w:szCs w:val="16"/>
        </w:rPr>
        <w:t>Consejo de Estado. Sala de Consulta y Servicio Civil. Concepto del 2 de septiembre de 2013. Radicación número: 11001-03-06-000-2013-00412-00 (2168). C</w:t>
      </w:r>
      <w:r>
        <w:rPr>
          <w:rFonts w:ascii="Verdana" w:hAnsi="Verdana" w:cs="Arial"/>
          <w:sz w:val="16"/>
          <w:szCs w:val="16"/>
        </w:rPr>
        <w:t>.P</w:t>
      </w:r>
      <w:r w:rsidRPr="00235FCF">
        <w:rPr>
          <w:rFonts w:ascii="Verdana" w:hAnsi="Verdana" w:cs="Arial"/>
          <w:sz w:val="16"/>
          <w:szCs w:val="16"/>
        </w:rPr>
        <w:t xml:space="preserve">: Álvaro </w:t>
      </w:r>
      <w:r w:rsidRPr="00235FCF">
        <w:rPr>
          <w:rFonts w:ascii="Verdana" w:hAnsi="Verdana" w:cs="Arial"/>
          <w:sz w:val="16"/>
          <w:szCs w:val="16"/>
        </w:rPr>
        <w:t>Namén Vargas.</w:t>
      </w:r>
    </w:p>
    <w:p w14:paraId="00E98C8F" w14:textId="77777777" w:rsidR="00683401" w:rsidRPr="005800D0" w:rsidRDefault="00683401" w:rsidP="00683401">
      <w:pPr>
        <w:pStyle w:val="Textonotapie"/>
        <w:ind w:firstLine="709"/>
        <w:contextualSpacing/>
        <w:jc w:val="both"/>
        <w:rPr>
          <w:rFonts w:ascii="Verdana" w:hAnsi="Verdana" w:cs="Arial"/>
          <w:sz w:val="16"/>
          <w:szCs w:val="16"/>
        </w:rPr>
      </w:pPr>
    </w:p>
  </w:footnote>
  <w:footnote w:id="13">
    <w:p w14:paraId="1AC1FB1B" w14:textId="77777777" w:rsidR="00683401" w:rsidRDefault="00683401" w:rsidP="00683401">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sz w:val="16"/>
          <w:szCs w:val="16"/>
          <w:lang w:val="es-ES"/>
        </w:rPr>
        <w:t xml:space="preserve">Artículo 2. </w:t>
      </w:r>
    </w:p>
    <w:p w14:paraId="1ECAF448" w14:textId="77777777" w:rsidR="00683401" w:rsidRPr="00CE0D82" w:rsidRDefault="00683401" w:rsidP="00683401">
      <w:pPr>
        <w:pStyle w:val="Textonotapie"/>
        <w:ind w:firstLine="709"/>
        <w:contextualSpacing/>
        <w:rPr>
          <w:rFonts w:ascii="Verdana" w:hAnsi="Verdana" w:cs="Arial"/>
          <w:sz w:val="16"/>
          <w:szCs w:val="16"/>
          <w:lang w:val="es-ES"/>
        </w:rPr>
      </w:pPr>
    </w:p>
  </w:footnote>
  <w:footnote w:id="14">
    <w:p w14:paraId="6B0A3958" w14:textId="77777777" w:rsidR="00683401" w:rsidRDefault="00683401" w:rsidP="00683401">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i/>
          <w:sz w:val="16"/>
          <w:szCs w:val="16"/>
          <w:lang w:val="es-ES"/>
        </w:rPr>
        <w:t>Ídem</w:t>
      </w:r>
      <w:r w:rsidRPr="00CE0D82">
        <w:rPr>
          <w:rFonts w:ascii="Verdana" w:hAnsi="Verdana" w:cs="Arial"/>
          <w:sz w:val="16"/>
          <w:szCs w:val="16"/>
          <w:lang w:val="es-ES"/>
        </w:rPr>
        <w:t>.</w:t>
      </w:r>
    </w:p>
    <w:p w14:paraId="0246DC99" w14:textId="77777777" w:rsidR="00683401" w:rsidRPr="00CE0D82" w:rsidRDefault="00683401" w:rsidP="00683401">
      <w:pPr>
        <w:pStyle w:val="Textonotapie"/>
        <w:ind w:firstLine="709"/>
        <w:contextualSpacing/>
        <w:rPr>
          <w:rFonts w:ascii="Verdana" w:hAnsi="Verdana" w:cs="Arial"/>
          <w:sz w:val="16"/>
          <w:szCs w:val="16"/>
          <w:lang w:val="es-ES"/>
        </w:rPr>
      </w:pPr>
    </w:p>
  </w:footnote>
  <w:footnote w:id="15">
    <w:p w14:paraId="73897993" w14:textId="77777777" w:rsidR="00683401" w:rsidRDefault="00683401" w:rsidP="00683401">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Style w:val="Refdenotaalpie"/>
          <w:rFonts w:ascii="Verdana" w:hAnsi="Verdana" w:cs="Arial"/>
          <w:sz w:val="16"/>
          <w:szCs w:val="16"/>
        </w:rPr>
        <w:t xml:space="preserve"> </w:t>
      </w:r>
      <w:r w:rsidRPr="00CE0D82">
        <w:rPr>
          <w:rFonts w:ascii="Verdana" w:hAnsi="Verdana" w:cs="Arial"/>
          <w:sz w:val="16"/>
          <w:szCs w:val="16"/>
          <w:lang w:val="es-ES"/>
        </w:rPr>
        <w:t xml:space="preserve">[…] A este respecto, cabe recordar que el artículo 860 del Código de Comercio regula la licitación en el derecho privado. </w:t>
      </w:r>
    </w:p>
    <w:p w14:paraId="7C09EBBF" w14:textId="77777777" w:rsidR="00683401" w:rsidRPr="00CE0D82" w:rsidRDefault="00683401" w:rsidP="00683401">
      <w:pPr>
        <w:pStyle w:val="Textonotapie"/>
        <w:ind w:firstLine="709"/>
        <w:contextualSpacing/>
        <w:rPr>
          <w:rFonts w:ascii="Verdana" w:hAnsi="Verdana" w:cs="Arial"/>
          <w:sz w:val="16"/>
          <w:szCs w:val="16"/>
          <w:lang w:val="es-ES"/>
        </w:rPr>
      </w:pPr>
    </w:p>
  </w:footnote>
  <w:footnote w:id="16">
    <w:p w14:paraId="23A5EC29" w14:textId="77777777" w:rsidR="00683401" w:rsidRDefault="00683401" w:rsidP="00683401">
      <w:pPr>
        <w:shd w:val="clear" w:color="auto" w:fill="FFFFFF"/>
        <w:spacing w:after="0" w:line="240" w:lineRule="auto"/>
        <w:ind w:firstLine="709"/>
        <w:contextualSpacing/>
        <w:jc w:val="both"/>
        <w:rPr>
          <w:rFonts w:ascii="Verdana" w:hAnsi="Verdana" w:cs="Arial"/>
          <w:sz w:val="16"/>
          <w:szCs w:val="16"/>
          <w:lang w:val="es-ES"/>
        </w:rPr>
      </w:pPr>
      <w:r w:rsidRPr="00CE0D82">
        <w:rPr>
          <w:rStyle w:val="Refdenotaalpie"/>
          <w:rFonts w:ascii="Verdana" w:hAnsi="Verdana" w:cs="Arial"/>
          <w:sz w:val="16"/>
          <w:szCs w:val="16"/>
        </w:rPr>
        <w:footnoteRef/>
      </w:r>
      <w:r w:rsidRPr="00CE0D82">
        <w:rPr>
          <w:rStyle w:val="Refdenotaalpie"/>
          <w:rFonts w:ascii="Verdana" w:hAnsi="Verdana" w:cs="Arial"/>
          <w:sz w:val="16"/>
          <w:szCs w:val="16"/>
        </w:rPr>
        <w:t xml:space="preserve"> </w:t>
      </w:r>
      <w:r w:rsidRPr="00CE0D82">
        <w:rPr>
          <w:rFonts w:ascii="Verdana" w:hAnsi="Verdana" w:cs="Arial"/>
          <w:sz w:val="16"/>
          <w:szCs w:val="16"/>
          <w:lang w:val="es-ES"/>
        </w:rPr>
        <w:t>Consejo de Estado. Sala de Consulta y Servicio Civil, Concepto de 8 de mayo de 2018. Radicación Número: 11001-03-06-000-2018-00095-00</w:t>
      </w:r>
      <w:r>
        <w:rPr>
          <w:rFonts w:ascii="Verdana" w:hAnsi="Verdana" w:cs="Arial"/>
          <w:sz w:val="16"/>
          <w:szCs w:val="16"/>
          <w:lang w:val="es-ES"/>
        </w:rPr>
        <w:t xml:space="preserve"> </w:t>
      </w:r>
      <w:r w:rsidRPr="00CE0D82">
        <w:rPr>
          <w:rFonts w:ascii="Verdana" w:hAnsi="Verdana" w:cs="Arial"/>
          <w:sz w:val="16"/>
          <w:szCs w:val="16"/>
          <w:lang w:val="es-ES"/>
        </w:rPr>
        <w:t xml:space="preserve">(2382). </w:t>
      </w:r>
      <w:r>
        <w:rPr>
          <w:rFonts w:ascii="Verdana" w:hAnsi="Verdana" w:cs="Arial"/>
          <w:sz w:val="16"/>
          <w:szCs w:val="16"/>
          <w:lang w:val="es-ES"/>
        </w:rPr>
        <w:t>C.P:</w:t>
      </w:r>
      <w:r w:rsidRPr="00CE0D82">
        <w:rPr>
          <w:rFonts w:ascii="Verdana" w:hAnsi="Verdana" w:cs="Arial"/>
          <w:sz w:val="16"/>
          <w:szCs w:val="16"/>
          <w:lang w:val="es-ES"/>
        </w:rPr>
        <w:t xml:space="preserve"> Álvaro </w:t>
      </w:r>
      <w:r w:rsidRPr="00CE0D82">
        <w:rPr>
          <w:rFonts w:ascii="Verdana" w:hAnsi="Verdana" w:cs="Arial"/>
          <w:sz w:val="16"/>
          <w:szCs w:val="16"/>
          <w:lang w:val="es-ES"/>
        </w:rPr>
        <w:t>Namén Vargas</w:t>
      </w:r>
      <w:r w:rsidRPr="005800D0">
        <w:rPr>
          <w:rFonts w:ascii="Verdana" w:hAnsi="Verdana" w:cs="Arial"/>
          <w:sz w:val="16"/>
          <w:szCs w:val="16"/>
          <w:lang w:val="es-ES"/>
        </w:rPr>
        <w:t>.</w:t>
      </w:r>
    </w:p>
    <w:p w14:paraId="2F61986B" w14:textId="77777777" w:rsidR="00683401" w:rsidRPr="005800D0" w:rsidRDefault="00683401" w:rsidP="00683401">
      <w:pPr>
        <w:shd w:val="clear" w:color="auto" w:fill="FFFFFF"/>
        <w:spacing w:after="0" w:line="240" w:lineRule="auto"/>
        <w:ind w:firstLine="709"/>
        <w:contextualSpacing/>
        <w:jc w:val="both"/>
        <w:rPr>
          <w:rFonts w:ascii="Verdana" w:hAnsi="Verdana" w:cs="Arial"/>
          <w:sz w:val="16"/>
          <w:szCs w:val="16"/>
          <w:lang w:val="es-ES"/>
        </w:rPr>
      </w:pPr>
    </w:p>
  </w:footnote>
  <w:footnote w:id="17">
    <w:p w14:paraId="4E210B33" w14:textId="77777777" w:rsidR="00683401" w:rsidRDefault="00683401" w:rsidP="00683401">
      <w:pPr>
        <w:pStyle w:val="Textonotapie"/>
        <w:ind w:firstLine="709"/>
        <w:contextualSpacing/>
        <w:jc w:val="both"/>
        <w:rPr>
          <w:rFonts w:ascii="Verdana" w:hAnsi="Verdana" w:cs="Arial"/>
          <w:sz w:val="16"/>
          <w:szCs w:val="16"/>
        </w:rPr>
      </w:pPr>
      <w:r w:rsidRPr="00195E24">
        <w:rPr>
          <w:rStyle w:val="Refdenotaalpie"/>
          <w:rFonts w:ascii="Verdana" w:hAnsi="Verdana" w:cs="Arial"/>
          <w:sz w:val="16"/>
          <w:szCs w:val="16"/>
        </w:rPr>
        <w:footnoteRef/>
      </w:r>
      <w:r w:rsidRPr="00195E24">
        <w:rPr>
          <w:rFonts w:ascii="Verdana" w:hAnsi="Verdana" w:cs="Arial"/>
          <w:sz w:val="16"/>
          <w:szCs w:val="16"/>
        </w:rPr>
        <w:t xml:space="preserve"> Consejo de Estado. Sala de Consulta y Servicio Civil. Concepto del 08 de mayo de 2018. </w:t>
      </w:r>
      <w:r w:rsidRPr="00195E24">
        <w:rPr>
          <w:rFonts w:ascii="Verdana" w:hAnsi="Verdana" w:cs="Arial"/>
          <w:sz w:val="16"/>
          <w:szCs w:val="16"/>
        </w:rPr>
        <w:t>Exp. 2.382. C.P. Álvaro Namén Vargas.</w:t>
      </w:r>
    </w:p>
    <w:p w14:paraId="64B7848F" w14:textId="77777777" w:rsidR="00683401" w:rsidRPr="00195E24" w:rsidRDefault="00683401" w:rsidP="00683401">
      <w:pPr>
        <w:pStyle w:val="Textonotapie"/>
        <w:ind w:firstLine="709"/>
        <w:contextualSpacing/>
        <w:jc w:val="both"/>
        <w:rPr>
          <w:rFonts w:ascii="Verdana" w:hAnsi="Verdana" w:cs="Arial"/>
          <w:sz w:val="16"/>
          <w:szCs w:val="16"/>
        </w:rPr>
      </w:pPr>
    </w:p>
  </w:footnote>
  <w:footnote w:id="18">
    <w:p w14:paraId="6F654467" w14:textId="77777777" w:rsidR="00683401" w:rsidRDefault="00683401" w:rsidP="00683401">
      <w:pPr>
        <w:spacing w:after="0" w:line="240" w:lineRule="auto"/>
        <w:ind w:firstLine="709"/>
        <w:contextualSpacing/>
        <w:jc w:val="both"/>
        <w:rPr>
          <w:rFonts w:ascii="Verdana" w:hAnsi="Verdana" w:cs="Arial"/>
          <w:color w:val="000000" w:themeColor="text1"/>
          <w:sz w:val="16"/>
          <w:szCs w:val="16"/>
        </w:rPr>
      </w:pPr>
      <w:r w:rsidRPr="00195E24">
        <w:rPr>
          <w:rStyle w:val="Refdenotaalpie"/>
          <w:rFonts w:ascii="Verdana" w:hAnsi="Verdana" w:cs="Arial"/>
          <w:color w:val="000000" w:themeColor="text1"/>
          <w:sz w:val="16"/>
          <w:szCs w:val="16"/>
        </w:rPr>
        <w:footnoteRef/>
      </w:r>
      <w:r w:rsidRPr="00195E24">
        <w:rPr>
          <w:rFonts w:ascii="Verdana" w:hAnsi="Verdana" w:cs="Arial"/>
          <w:color w:val="000000" w:themeColor="text1"/>
          <w:sz w:val="16"/>
          <w:szCs w:val="16"/>
        </w:rPr>
        <w:t xml:space="preserve"> Consejo de Estado. Sala de Consulta y Servicio Civil. Concepto de 20 de febrero de 2006. Radicación Número: 11001-03-06-000-2006-00026-00 (1727). </w:t>
      </w:r>
      <w:r>
        <w:rPr>
          <w:rFonts w:ascii="Verdana" w:hAnsi="Verdana" w:cs="Arial"/>
          <w:color w:val="000000" w:themeColor="text1"/>
          <w:sz w:val="16"/>
          <w:szCs w:val="16"/>
        </w:rPr>
        <w:t>C.P</w:t>
      </w:r>
      <w:r w:rsidRPr="00195E24">
        <w:rPr>
          <w:rFonts w:ascii="Verdana" w:hAnsi="Verdana" w:cs="Arial"/>
          <w:color w:val="000000" w:themeColor="text1"/>
          <w:sz w:val="16"/>
          <w:szCs w:val="16"/>
        </w:rPr>
        <w:t>: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1AFE172F" w14:textId="77777777" w:rsidR="00683401" w:rsidRPr="005800D0" w:rsidRDefault="00683401" w:rsidP="00683401">
      <w:pPr>
        <w:spacing w:after="0" w:line="240" w:lineRule="auto"/>
        <w:ind w:firstLine="709"/>
        <w:contextualSpacing/>
        <w:jc w:val="both"/>
        <w:rPr>
          <w:rFonts w:ascii="Verdana" w:hAnsi="Verdana" w:cs="Arial"/>
          <w:color w:val="000000" w:themeColor="text1"/>
          <w:sz w:val="16"/>
          <w:szCs w:val="16"/>
        </w:rPr>
      </w:pPr>
    </w:p>
  </w:footnote>
  <w:footnote w:id="19">
    <w:p w14:paraId="20CC31FB" w14:textId="77777777" w:rsidR="00683401" w:rsidRDefault="00683401" w:rsidP="00683401">
      <w:pPr>
        <w:pStyle w:val="Textonotapie"/>
        <w:ind w:firstLine="709"/>
        <w:contextualSpacing/>
        <w:jc w:val="both"/>
        <w:rPr>
          <w:rFonts w:ascii="Verdana" w:eastAsia="Times New Roman" w:hAnsi="Verdana" w:cs="Arial"/>
          <w:bCs/>
          <w:color w:val="000000" w:themeColor="text1"/>
          <w:sz w:val="16"/>
          <w:szCs w:val="16"/>
          <w:lang w:eastAsia="x-none"/>
        </w:rPr>
      </w:pPr>
      <w:r w:rsidRPr="00195E24">
        <w:rPr>
          <w:rStyle w:val="Refdenotaalpie"/>
          <w:rFonts w:ascii="Verdana" w:hAnsi="Verdana" w:cs="Arial"/>
          <w:color w:val="000000" w:themeColor="text1"/>
          <w:sz w:val="16"/>
          <w:szCs w:val="16"/>
        </w:rPr>
        <w:footnoteRef/>
      </w:r>
      <w:r w:rsidRPr="00195E24">
        <w:rPr>
          <w:rFonts w:ascii="Verdana" w:hAnsi="Verdana" w:cs="Arial"/>
          <w:color w:val="000000" w:themeColor="text1"/>
          <w:sz w:val="16"/>
          <w:szCs w:val="16"/>
        </w:rPr>
        <w:t xml:space="preserve"> Consejo de Estado. Sala de Consulta y Servicio Civil. Concepto de 6 de abril de 2006. Radicación Número: 11001-03-06-000-2006-00038-00 (1738). </w:t>
      </w:r>
      <w:r>
        <w:rPr>
          <w:rFonts w:ascii="Verdana" w:hAnsi="Verdana" w:cs="Arial"/>
          <w:color w:val="000000" w:themeColor="text1"/>
          <w:sz w:val="16"/>
          <w:szCs w:val="16"/>
        </w:rPr>
        <w:t>C.P:</w:t>
      </w:r>
      <w:r w:rsidRPr="00195E24">
        <w:rPr>
          <w:rFonts w:ascii="Verdana" w:hAnsi="Verdana" w:cs="Arial"/>
          <w:color w:val="000000" w:themeColor="text1"/>
          <w:sz w:val="16"/>
          <w:szCs w:val="16"/>
        </w:rPr>
        <w:t xml:space="preserve"> Enrique José Arboleda Perdomo:</w:t>
      </w:r>
      <w:r w:rsidRPr="00195E24">
        <w:rPr>
          <w:rFonts w:ascii="Verdana" w:eastAsia="Times New Roman" w:hAnsi="Verdana" w:cs="Arial"/>
          <w:bCs/>
          <w:color w:val="000000" w:themeColor="text1"/>
          <w:sz w:val="16"/>
          <w:szCs w:val="16"/>
          <w:lang w:eastAsia="x-none"/>
        </w:rPr>
        <w:t xml:space="preserve"> </w:t>
      </w:r>
      <w:bookmarkStart w:id="18" w:name="_Hlk97890572"/>
      <w:r>
        <w:rPr>
          <w:rFonts w:ascii="Verdana" w:eastAsia="Times New Roman" w:hAnsi="Verdana" w:cs="Arial"/>
          <w:bCs/>
          <w:color w:val="000000" w:themeColor="text1"/>
          <w:sz w:val="16"/>
          <w:szCs w:val="16"/>
          <w:lang w:eastAsia="x-none"/>
        </w:rPr>
        <w:t>“</w:t>
      </w:r>
      <w:r w:rsidRPr="00195E24">
        <w:rPr>
          <w:rFonts w:ascii="Verdana" w:hAnsi="Verdana" w:cs="Arial"/>
          <w:color w:val="000000" w:themeColor="text1"/>
          <w:sz w:val="16"/>
          <w:szCs w:val="16"/>
        </w:rPr>
        <w:t xml:space="preserve">Si bien en el tema del concepto del que se extractaron </w:t>
      </w:r>
      <w:bookmarkEnd w:id="18"/>
      <w:r w:rsidRPr="00195E24">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color w:val="000000" w:themeColor="text1"/>
          <w:sz w:val="16"/>
          <w:szCs w:val="16"/>
          <w:lang w:eastAsia="x-none"/>
        </w:rPr>
        <w:t>”</w:t>
      </w:r>
      <w:r w:rsidRPr="00195E24">
        <w:rPr>
          <w:rFonts w:ascii="Verdana" w:eastAsia="Times New Roman" w:hAnsi="Verdana" w:cs="Arial"/>
          <w:bCs/>
          <w:color w:val="000000" w:themeColor="text1"/>
          <w:sz w:val="16"/>
          <w:szCs w:val="16"/>
          <w:lang w:eastAsia="x-none"/>
        </w:rPr>
        <w:t>.</w:t>
      </w:r>
    </w:p>
    <w:p w14:paraId="54A61DBC" w14:textId="77777777" w:rsidR="00683401" w:rsidRPr="00195E24" w:rsidRDefault="00683401" w:rsidP="00683401">
      <w:pPr>
        <w:pStyle w:val="Textonotapie"/>
        <w:ind w:firstLine="709"/>
        <w:contextualSpacing/>
        <w:jc w:val="both"/>
        <w:rPr>
          <w:rFonts w:ascii="Verdana" w:hAnsi="Verdana" w:cs="Arial"/>
          <w:color w:val="000000" w:themeColor="text1"/>
          <w:sz w:val="16"/>
          <w:szCs w:val="16"/>
        </w:rPr>
      </w:pPr>
    </w:p>
  </w:footnote>
  <w:footnote w:id="20">
    <w:p w14:paraId="03CF8DF1" w14:textId="77777777" w:rsidR="00683401" w:rsidRDefault="00683401" w:rsidP="00683401">
      <w:pPr>
        <w:spacing w:after="0" w:line="240" w:lineRule="auto"/>
        <w:ind w:firstLine="708"/>
        <w:contextualSpacing/>
        <w:jc w:val="both"/>
        <w:rPr>
          <w:rFonts w:ascii="Verdana" w:hAnsi="Verdana" w:cs="Arial"/>
          <w:color w:val="000000" w:themeColor="text1"/>
          <w:sz w:val="16"/>
          <w:szCs w:val="16"/>
        </w:rPr>
      </w:pPr>
      <w:r w:rsidRPr="005800D0">
        <w:rPr>
          <w:rStyle w:val="Refdenotaalpie"/>
          <w:rFonts w:ascii="Verdana" w:hAnsi="Verdana" w:cs="Arial"/>
          <w:color w:val="000000" w:themeColor="text1"/>
          <w:sz w:val="16"/>
          <w:szCs w:val="16"/>
        </w:rPr>
        <w:footnoteRef/>
      </w:r>
      <w:r w:rsidRPr="005800D0">
        <w:rPr>
          <w:rFonts w:ascii="Verdana" w:hAnsi="Verdana" w:cs="Arial"/>
          <w:color w:val="000000" w:themeColor="text1"/>
          <w:sz w:val="16"/>
          <w:szCs w:val="16"/>
        </w:rPr>
        <w:t xml:space="preserve"> Consejo de Estado. Sala de Consulta y Servicio Civil. Concepto de 6 de abril de 2006. Radicación Número: 11001-03-06-000-2006-00038-00(1738). C</w:t>
      </w:r>
      <w:r>
        <w:rPr>
          <w:rFonts w:ascii="Verdana" w:hAnsi="Verdana" w:cs="Arial"/>
          <w:color w:val="000000" w:themeColor="text1"/>
          <w:sz w:val="16"/>
          <w:szCs w:val="16"/>
        </w:rPr>
        <w:t xml:space="preserve">.P: </w:t>
      </w:r>
      <w:r w:rsidRPr="005800D0">
        <w:rPr>
          <w:rFonts w:ascii="Verdana" w:hAnsi="Verdana" w:cs="Arial"/>
          <w:color w:val="000000" w:themeColor="text1"/>
          <w:sz w:val="16"/>
          <w:szCs w:val="16"/>
        </w:rPr>
        <w:t xml:space="preserve">Enrique José Arboleda Perdomo. </w:t>
      </w:r>
    </w:p>
    <w:p w14:paraId="4C850575" w14:textId="77777777" w:rsidR="00683401" w:rsidRPr="005800D0" w:rsidRDefault="00683401" w:rsidP="00683401">
      <w:pPr>
        <w:spacing w:after="0" w:line="240" w:lineRule="auto"/>
        <w:ind w:firstLine="708"/>
        <w:contextualSpacing/>
        <w:jc w:val="both"/>
        <w:rPr>
          <w:rFonts w:ascii="Verdana" w:hAnsi="Verdana" w:cs="Arial"/>
          <w:color w:val="000000" w:themeColor="text1"/>
          <w:sz w:val="16"/>
          <w:szCs w:val="16"/>
        </w:rPr>
      </w:pPr>
    </w:p>
  </w:footnote>
  <w:footnote w:id="21">
    <w:p w14:paraId="262F281B" w14:textId="77777777" w:rsidR="00683401" w:rsidRPr="005800D0" w:rsidRDefault="00683401" w:rsidP="00683401">
      <w:pPr>
        <w:pStyle w:val="Textonotapie"/>
        <w:ind w:firstLine="709"/>
        <w:contextualSpacing/>
        <w:rPr>
          <w:rFonts w:ascii="Verdana" w:hAnsi="Verdana" w:cs="Arial"/>
          <w:color w:val="000000" w:themeColor="text1"/>
          <w:sz w:val="16"/>
          <w:szCs w:val="16"/>
        </w:rPr>
      </w:pPr>
      <w:r w:rsidRPr="005800D0">
        <w:rPr>
          <w:rStyle w:val="Refdenotaalpie"/>
          <w:rFonts w:ascii="Verdana" w:hAnsi="Verdana" w:cs="Arial"/>
          <w:color w:val="000000" w:themeColor="text1"/>
          <w:sz w:val="16"/>
          <w:szCs w:val="16"/>
        </w:rPr>
        <w:footnoteRef/>
      </w:r>
      <w:r w:rsidRPr="005800D0">
        <w:rPr>
          <w:rFonts w:ascii="Verdana" w:hAnsi="Verdana" w:cs="Arial"/>
          <w:color w:val="000000" w:themeColor="text1"/>
          <w:sz w:val="16"/>
          <w:szCs w:val="16"/>
        </w:rPr>
        <w:t xml:space="preserve"> Consejo de Estado. Sala de Consulta y Servicio Civil, ídem.</w:t>
      </w:r>
    </w:p>
  </w:footnote>
  <w:footnote w:id="22">
    <w:p w14:paraId="7A225C09" w14:textId="77777777" w:rsidR="00683401" w:rsidRPr="00373C69" w:rsidRDefault="00683401" w:rsidP="00683401">
      <w:pPr>
        <w:spacing w:after="0" w:line="240" w:lineRule="auto"/>
        <w:ind w:firstLine="708"/>
        <w:contextualSpacing/>
        <w:jc w:val="both"/>
        <w:rPr>
          <w:rFonts w:ascii="Verdana" w:eastAsia="Calibri" w:hAnsi="Verdana" w:cs="Arial"/>
          <w:sz w:val="16"/>
          <w:szCs w:val="16"/>
          <w:lang w:val="es-ES"/>
        </w:rPr>
      </w:pPr>
      <w:r w:rsidRPr="00373C69">
        <w:rPr>
          <w:rStyle w:val="Refdenotaalpie"/>
          <w:rFonts w:ascii="Verdana" w:hAnsi="Verdana"/>
          <w:sz w:val="16"/>
          <w:szCs w:val="16"/>
        </w:rPr>
        <w:footnoteRef/>
      </w:r>
      <w:r w:rsidRPr="00373C69">
        <w:rPr>
          <w:rFonts w:ascii="Verdana" w:hAnsi="Verdana"/>
          <w:sz w:val="16"/>
          <w:szCs w:val="16"/>
        </w:rPr>
        <w:t xml:space="preserve"> </w:t>
      </w:r>
      <w:r w:rsidRPr="00373C69">
        <w:rPr>
          <w:rFonts w:ascii="Verdana" w:eastAsia="Calibri" w:hAnsi="Verdana" w:cs="Arial"/>
          <w:sz w:val="16"/>
          <w:szCs w:val="16"/>
          <w:lang w:val="es-ES"/>
        </w:rPr>
        <w:t xml:space="preserve">Agencia Nacional de Contratación Pública – Colombia Compra Eficiente, Guía de buenas Prácticas en la Adquisición de Software y servicios asociados. </w:t>
      </w:r>
      <w:r>
        <w:rPr>
          <w:rFonts w:ascii="Verdana" w:eastAsia="Calibri" w:hAnsi="Verdana" w:cs="Arial"/>
          <w:sz w:val="16"/>
          <w:szCs w:val="16"/>
          <w:lang w:val="es-ES"/>
        </w:rPr>
        <w:t xml:space="preserve">Disponible en </w:t>
      </w:r>
      <w:hyperlink r:id="rId1" w:history="1">
        <w:r w:rsidRPr="00AB31EB">
          <w:rPr>
            <w:rStyle w:val="Hipervnculo"/>
            <w:rFonts w:ascii="Verdana" w:eastAsia="Calibri" w:hAnsi="Verdana" w:cs="Arial"/>
            <w:sz w:val="16"/>
            <w:szCs w:val="16"/>
          </w:rPr>
          <w:t>guia_de_buenas_practicas_software_ver1_logo01.pdf</w:t>
        </w:r>
      </w:hyperlink>
    </w:p>
    <w:p w14:paraId="1331C95F" w14:textId="77777777" w:rsidR="00683401" w:rsidRPr="00373C69" w:rsidRDefault="00683401" w:rsidP="00683401">
      <w:pPr>
        <w:pStyle w:val="Textonotapie"/>
        <w:contextualSpacing/>
        <w:jc w:val="both"/>
        <w:rPr>
          <w:rFonts w:ascii="Verdana" w:hAnsi="Verdana"/>
          <w:sz w:val="16"/>
          <w:szCs w:val="16"/>
          <w:lang w:val="es-ES"/>
        </w:rPr>
      </w:pPr>
    </w:p>
  </w:footnote>
  <w:footnote w:id="23">
    <w:p w14:paraId="7806FDFA" w14:textId="77777777" w:rsidR="00683401" w:rsidRPr="00373C69" w:rsidRDefault="00683401" w:rsidP="00683401">
      <w:pPr>
        <w:pStyle w:val="Textonotapie"/>
        <w:ind w:firstLine="708"/>
        <w:contextualSpacing/>
        <w:jc w:val="both"/>
        <w:rPr>
          <w:rFonts w:ascii="Verdana" w:hAnsi="Verdana"/>
          <w:sz w:val="16"/>
          <w:szCs w:val="16"/>
          <w:lang w:val="es-ES"/>
        </w:rPr>
      </w:pPr>
      <w:r w:rsidRPr="00373C69">
        <w:rPr>
          <w:rStyle w:val="Refdenotaalpie"/>
          <w:rFonts w:ascii="Verdana" w:hAnsi="Verdana"/>
          <w:sz w:val="16"/>
          <w:szCs w:val="16"/>
        </w:rPr>
        <w:footnoteRef/>
      </w:r>
      <w:r w:rsidRPr="00373C69">
        <w:rPr>
          <w:rFonts w:ascii="Verdana" w:hAnsi="Verdana"/>
          <w:sz w:val="16"/>
          <w:szCs w:val="16"/>
        </w:rPr>
        <w:t xml:space="preserve"> </w:t>
      </w:r>
      <w:r w:rsidRPr="00373C69">
        <w:rPr>
          <w:rFonts w:ascii="Verdana" w:hAnsi="Verdana"/>
          <w:sz w:val="16"/>
          <w:szCs w:val="16"/>
          <w:lang w:val="es-ES"/>
        </w:rPr>
        <w:t xml:space="preserve">Ibidem, pág. 14. </w:t>
      </w:r>
    </w:p>
  </w:footnote>
  <w:footnote w:id="24">
    <w:p w14:paraId="3F4A5010" w14:textId="77777777" w:rsidR="00683401" w:rsidRDefault="00683401" w:rsidP="00683401">
      <w:pPr>
        <w:pStyle w:val="Textonotapie"/>
        <w:ind w:firstLine="708"/>
        <w:contextualSpacing/>
        <w:jc w:val="both"/>
        <w:rPr>
          <w:rFonts w:ascii="Verdana" w:hAnsi="Verdana"/>
          <w:sz w:val="16"/>
          <w:szCs w:val="16"/>
          <w:lang w:val="es-ES"/>
        </w:rPr>
      </w:pPr>
      <w:r w:rsidRPr="00373C69">
        <w:rPr>
          <w:rStyle w:val="Refdenotaalpie"/>
          <w:rFonts w:ascii="Verdana" w:hAnsi="Verdana"/>
          <w:sz w:val="16"/>
          <w:szCs w:val="16"/>
        </w:rPr>
        <w:footnoteRef/>
      </w:r>
      <w:r w:rsidRPr="00373C69">
        <w:rPr>
          <w:rFonts w:ascii="Verdana" w:hAnsi="Verdana"/>
          <w:sz w:val="16"/>
          <w:szCs w:val="16"/>
        </w:rPr>
        <w:t xml:space="preserve"> </w:t>
      </w:r>
      <w:r w:rsidRPr="00373C69">
        <w:rPr>
          <w:rFonts w:ascii="Verdana" w:hAnsi="Verdana"/>
          <w:sz w:val="16"/>
          <w:szCs w:val="16"/>
          <w:lang w:val="es-ES"/>
        </w:rPr>
        <w:t>Decreto 1082 de 2015, artículo </w:t>
      </w:r>
      <w:bookmarkStart w:id="20" w:name="2.2.1.2.1.2.2"/>
      <w:bookmarkEnd w:id="20"/>
      <w:r w:rsidRPr="00373C69">
        <w:rPr>
          <w:rFonts w:ascii="Verdana" w:hAnsi="Verdana"/>
          <w:sz w:val="16"/>
          <w:szCs w:val="16"/>
          <w:lang w:val="es-ES"/>
        </w:rPr>
        <w:t>2.2.1.2.1.2.2. y siguientes.</w:t>
      </w:r>
    </w:p>
    <w:p w14:paraId="20EE538D" w14:textId="77777777" w:rsidR="00683401" w:rsidRPr="00373C69" w:rsidRDefault="00683401" w:rsidP="00683401">
      <w:pPr>
        <w:pStyle w:val="Textonotapie"/>
        <w:ind w:firstLine="708"/>
        <w:contextualSpacing/>
        <w:jc w:val="both"/>
        <w:rPr>
          <w:rFonts w:ascii="Verdana" w:hAnsi="Verdana"/>
          <w:sz w:val="16"/>
          <w:szCs w:val="16"/>
          <w:lang w:val="es-ES"/>
        </w:rPr>
      </w:pPr>
    </w:p>
  </w:footnote>
  <w:footnote w:id="25">
    <w:p w14:paraId="7208049D" w14:textId="77777777" w:rsidR="00683401" w:rsidRDefault="00683401" w:rsidP="00683401">
      <w:pPr>
        <w:pStyle w:val="Textonotapie"/>
        <w:ind w:firstLine="708"/>
        <w:contextualSpacing/>
        <w:jc w:val="both"/>
        <w:rPr>
          <w:rFonts w:ascii="Verdana" w:hAnsi="Verdana"/>
          <w:sz w:val="16"/>
          <w:szCs w:val="16"/>
          <w:lang w:val="es-ES"/>
        </w:rPr>
      </w:pPr>
      <w:r w:rsidRPr="00373C69">
        <w:rPr>
          <w:rStyle w:val="Refdenotaalpie"/>
          <w:rFonts w:ascii="Verdana" w:hAnsi="Verdana"/>
          <w:sz w:val="16"/>
          <w:szCs w:val="16"/>
        </w:rPr>
        <w:footnoteRef/>
      </w:r>
      <w:r w:rsidRPr="00373C69">
        <w:rPr>
          <w:rFonts w:ascii="Verdana" w:hAnsi="Verdana"/>
          <w:sz w:val="16"/>
          <w:szCs w:val="16"/>
        </w:rPr>
        <w:t xml:space="preserve"> </w:t>
      </w:r>
      <w:r w:rsidRPr="00373C69">
        <w:rPr>
          <w:rFonts w:ascii="Verdana" w:hAnsi="Verdana"/>
          <w:sz w:val="16"/>
          <w:szCs w:val="16"/>
          <w:lang w:val="es-ES"/>
        </w:rPr>
        <w:t>Ley 1150 de 2007, artículo 5, numeral 3.</w:t>
      </w:r>
    </w:p>
    <w:p w14:paraId="38A5E44F" w14:textId="77777777" w:rsidR="00683401" w:rsidRPr="00373C69" w:rsidRDefault="00683401" w:rsidP="00683401">
      <w:pPr>
        <w:pStyle w:val="Textonotapie"/>
        <w:ind w:firstLine="708"/>
        <w:contextualSpacing/>
        <w:jc w:val="both"/>
        <w:rPr>
          <w:rFonts w:ascii="Verdana" w:hAnsi="Verdana"/>
          <w:sz w:val="16"/>
          <w:szCs w:val="16"/>
          <w:lang w:val="es-ES"/>
        </w:rPr>
      </w:pPr>
    </w:p>
  </w:footnote>
  <w:footnote w:id="26">
    <w:p w14:paraId="4F348C7B" w14:textId="77777777" w:rsidR="00683401" w:rsidRPr="00373C69" w:rsidRDefault="00683401" w:rsidP="00683401">
      <w:pPr>
        <w:spacing w:after="0" w:line="240" w:lineRule="auto"/>
        <w:ind w:firstLine="708"/>
        <w:contextualSpacing/>
        <w:jc w:val="both"/>
        <w:rPr>
          <w:rFonts w:ascii="Verdana" w:eastAsia="Calibri" w:hAnsi="Verdana" w:cs="Arial"/>
          <w:sz w:val="16"/>
          <w:szCs w:val="16"/>
          <w:lang w:val="es-ES"/>
        </w:rPr>
      </w:pPr>
      <w:r w:rsidRPr="00373C69">
        <w:rPr>
          <w:rStyle w:val="Refdenotaalpie"/>
          <w:rFonts w:ascii="Verdana" w:hAnsi="Verdana"/>
          <w:sz w:val="16"/>
          <w:szCs w:val="16"/>
        </w:rPr>
        <w:footnoteRef/>
      </w:r>
      <w:r w:rsidRPr="00373C69">
        <w:rPr>
          <w:rFonts w:ascii="Verdana" w:hAnsi="Verdana"/>
          <w:sz w:val="16"/>
          <w:szCs w:val="16"/>
        </w:rPr>
        <w:t xml:space="preserve"> </w:t>
      </w:r>
      <w:r w:rsidRPr="00373C69">
        <w:rPr>
          <w:rFonts w:ascii="Verdana" w:eastAsia="Calibri" w:hAnsi="Verdana" w:cs="Arial"/>
          <w:sz w:val="16"/>
          <w:szCs w:val="16"/>
          <w:lang w:val="es-ES"/>
        </w:rPr>
        <w:t>Por ejemplo, las entidades tienen la potestad de hacer uso del Instrumento de agregación de Demanda “</w:t>
      </w:r>
      <w:r w:rsidRPr="00373C69">
        <w:rPr>
          <w:rFonts w:ascii="Verdana" w:eastAsia="Calibri" w:hAnsi="Verdana" w:cs="Arial"/>
          <w:sz w:val="16"/>
          <w:szCs w:val="16"/>
        </w:rPr>
        <w:t>IAD/SDA de Software por Catálogo II”. Para obtener información sobre el proceso de contratación y utilización de este instrumento consulte</w:t>
      </w:r>
      <w:r>
        <w:rPr>
          <w:rFonts w:ascii="Verdana" w:eastAsia="Calibri" w:hAnsi="Verdana" w:cs="Arial"/>
          <w:sz w:val="16"/>
          <w:szCs w:val="16"/>
        </w:rPr>
        <w:t xml:space="preserve"> </w:t>
      </w:r>
      <w:hyperlink r:id="rId2" w:history="1">
        <w:r w:rsidRPr="00E454D3">
          <w:rPr>
            <w:rStyle w:val="Hipervnculo"/>
            <w:rFonts w:ascii="Verdana" w:eastAsia="Calibri" w:hAnsi="Verdana" w:cs="Arial"/>
            <w:sz w:val="16"/>
            <w:szCs w:val="16"/>
          </w:rPr>
          <w:t>Otros Instrumentos de Agregación de Demanda | Colombia Compra Eficiente | Agencia Nacional de Contratación Pública</w:t>
        </w:r>
      </w:hyperlink>
      <w:r w:rsidRPr="00373C69">
        <w:rPr>
          <w:rFonts w:ascii="Verdana" w:eastAsia="Calibri" w:hAnsi="Verdana" w:cs="Arial"/>
          <w:sz w:val="16"/>
          <w:szCs w:val="16"/>
        </w:rPr>
        <w:t xml:space="preserve"> </w:t>
      </w:r>
    </w:p>
  </w:footnote>
  <w:footnote w:id="27">
    <w:p w14:paraId="2DFE2619" w14:textId="77777777" w:rsidR="00683401" w:rsidRPr="00497BA2" w:rsidRDefault="00683401" w:rsidP="00683401">
      <w:pPr>
        <w:pStyle w:val="Textonotapie"/>
        <w:ind w:firstLine="709"/>
        <w:jc w:val="both"/>
        <w:rPr>
          <w:rFonts w:ascii="Verdana" w:hAnsi="Verdana" w:cs="Arial"/>
          <w:color w:val="000000" w:themeColor="text1"/>
          <w:sz w:val="16"/>
          <w:szCs w:val="16"/>
        </w:rPr>
      </w:pPr>
      <w:r w:rsidRPr="00497BA2">
        <w:rPr>
          <w:rStyle w:val="Refdenotaalpie"/>
          <w:rFonts w:ascii="Verdana" w:hAnsi="Verdana" w:cs="Arial"/>
          <w:color w:val="000000" w:themeColor="text1"/>
          <w:sz w:val="16"/>
          <w:szCs w:val="16"/>
        </w:rPr>
        <w:footnoteRef/>
      </w:r>
      <w:r w:rsidRPr="00497BA2">
        <w:rPr>
          <w:rFonts w:ascii="Verdana" w:hAnsi="Verdana" w:cs="Arial"/>
          <w:color w:val="000000" w:themeColor="text1"/>
          <w:sz w:val="16"/>
          <w:szCs w:val="16"/>
        </w:rPr>
        <w:t xml:space="preserve"> No en vano, la doctrina anota que «Los conceptos jurídicos indeterminados traen causa, pues, de la dificultad de la completa y acabada programación normativa de la acción administrativa. Aunque por razón de la imprecisión propia de todo lenguaje y también del jurídico, todo concepto jurídico requiere interpretación, lo específico del calificado como indeterminado es su utilización por el legislador por razón de no proceder o no poder realizar una predeterminación precisa de la acción administrativa. El legislador conoce ciertamente el supuesto que quiere establecer, pero las características de éste impondrían —para su definición acabada— el recurso a la casuística, lo que incrementaría la densidad de la programación normativa y la seguridad en su ejecución, pero conllevaría un riesgo cierto de restricción del supuesto normativo. El recurso a conceptos jurídicos indeterminados tiene por objeto prevenir este riesgo» (Cfr. PAREJO ALFONSO, Luciano. Lecciones de derecho administrativo. Quinta Edición. Valencia: Tirant lo Blanch, 2012, p. 269).</w:t>
      </w:r>
    </w:p>
    <w:p w14:paraId="0A0857A4" w14:textId="77777777" w:rsidR="00683401" w:rsidRPr="00497BA2" w:rsidRDefault="00683401" w:rsidP="00683401">
      <w:pPr>
        <w:pStyle w:val="Textonotapie"/>
        <w:ind w:firstLine="709"/>
        <w:jc w:val="both"/>
        <w:rPr>
          <w:rFonts w:ascii="Verdana" w:hAnsi="Verdana" w:cs="Arial"/>
          <w:color w:val="000000" w:themeColor="text1"/>
          <w:sz w:val="16"/>
          <w:szCs w:val="16"/>
        </w:rPr>
      </w:pPr>
    </w:p>
  </w:footnote>
  <w:footnote w:id="28">
    <w:p w14:paraId="7D16D7C9" w14:textId="77777777" w:rsidR="00683401" w:rsidRPr="00497BA2" w:rsidRDefault="00683401" w:rsidP="00683401">
      <w:pPr>
        <w:pStyle w:val="Textonotapie"/>
        <w:ind w:firstLine="709"/>
        <w:jc w:val="both"/>
        <w:rPr>
          <w:rFonts w:ascii="Verdana" w:hAnsi="Verdana" w:cs="Arial"/>
          <w:color w:val="000000" w:themeColor="text1"/>
          <w:sz w:val="16"/>
          <w:szCs w:val="16"/>
        </w:rPr>
      </w:pPr>
      <w:r w:rsidRPr="00497BA2">
        <w:rPr>
          <w:rStyle w:val="Refdenotaalpie"/>
          <w:rFonts w:ascii="Verdana" w:hAnsi="Verdana" w:cs="Arial"/>
          <w:color w:val="000000" w:themeColor="text1"/>
          <w:sz w:val="16"/>
          <w:szCs w:val="16"/>
        </w:rPr>
        <w:footnoteRef/>
      </w:r>
      <w:r w:rsidRPr="00497BA2">
        <w:rPr>
          <w:rFonts w:ascii="Verdana" w:hAnsi="Verdana" w:cs="Arial"/>
          <w:color w:val="000000" w:themeColor="text1"/>
          <w:sz w:val="16"/>
          <w:szCs w:val="16"/>
        </w:rPr>
        <w:t xml:space="preserve"> DROMI, José Roberto. La licitación pública. Buenos Aires: Ciudad Argentina, 1980. pp. 173-174. Para el autor, la aplicación de la causal supone que: i) las prestaciones están amparadas legalmente por un derecho de marca; </w:t>
      </w:r>
      <w:r w:rsidRPr="00497BA2">
        <w:rPr>
          <w:rFonts w:ascii="Verdana" w:hAnsi="Verdana" w:cs="Arial"/>
          <w:color w:val="000000" w:themeColor="text1"/>
          <w:sz w:val="16"/>
          <w:szCs w:val="16"/>
        </w:rPr>
        <w:t>ii) la necesidad no puede satisfacerse con equivalentes no sujetos a privilegio, pues de los contrario la causal es inaplicable; iii) la necesidad solo pueda satisfacerla el titular de estos derechos, excluyendo que otros aspirantes en condiciones similares también puedan hacerlo; y iv) la existencia de informes técnicos que acrediten la imposibilidad de sustitutos convenientes (Ibidem., p. 174).</w:t>
      </w:r>
    </w:p>
    <w:p w14:paraId="70613679" w14:textId="77777777" w:rsidR="00683401" w:rsidRPr="00C37349" w:rsidRDefault="00683401" w:rsidP="00683401">
      <w:pPr>
        <w:pStyle w:val="Textonotapie"/>
        <w:ind w:firstLine="709"/>
        <w:jc w:val="both"/>
        <w:rPr>
          <w:rFonts w:ascii="Arial" w:hAnsi="Arial" w:cs="Arial"/>
          <w:color w:val="000000" w:themeColor="text1"/>
          <w:sz w:val="19"/>
          <w:szCs w:val="19"/>
        </w:rPr>
      </w:pPr>
    </w:p>
  </w:footnote>
  <w:footnote w:id="29">
    <w:p w14:paraId="5C73B4EB" w14:textId="77777777" w:rsidR="00683401" w:rsidRPr="00497BA2" w:rsidRDefault="00683401" w:rsidP="00683401">
      <w:pPr>
        <w:pStyle w:val="Textonotapie"/>
        <w:ind w:firstLine="709"/>
        <w:jc w:val="both"/>
        <w:rPr>
          <w:rFonts w:ascii="Verdana" w:hAnsi="Verdana" w:cs="Arial"/>
          <w:sz w:val="16"/>
          <w:szCs w:val="16"/>
          <w:lang w:val="es-ES"/>
        </w:rPr>
      </w:pPr>
      <w:r w:rsidRPr="00497BA2">
        <w:rPr>
          <w:rStyle w:val="Refdenotaalpie"/>
          <w:rFonts w:ascii="Verdana" w:hAnsi="Verdana" w:cs="Arial"/>
          <w:sz w:val="16"/>
          <w:szCs w:val="16"/>
        </w:rPr>
        <w:footnoteRef/>
      </w:r>
      <w:r w:rsidRPr="00497BA2">
        <w:rPr>
          <w:rFonts w:ascii="Verdana" w:hAnsi="Verdana" w:cs="Arial"/>
          <w:sz w:val="16"/>
          <w:szCs w:val="16"/>
        </w:rPr>
        <w:t xml:space="preserve"> </w:t>
      </w:r>
      <w:r w:rsidRPr="00497BA2">
        <w:rPr>
          <w:rFonts w:ascii="Verdana" w:hAnsi="Verdana" w:cs="Arial"/>
          <w:sz w:val="16"/>
          <w:szCs w:val="16"/>
          <w:lang w:val="es-ES"/>
        </w:rPr>
        <w:t>Así lo ha reconocido la doctrina, al señalar que «La identificación acerca de la inexistencia de más de un proponente es el resultado de los estudios y análisis que debe efectuar la entidad durante la fase previa o preparatoria, tal como de manera expresa lo reconoce dicha norma» (DÁVILA VINUEZA, Luis Guillermo. Régimen jurídico de la contratación estatal. Bogotá: Legis, 2016, p. 506).</w:t>
      </w:r>
    </w:p>
  </w:footnote>
  <w:footnote w:id="30">
    <w:p w14:paraId="5DF08A0A" w14:textId="77777777" w:rsidR="00683401" w:rsidRDefault="00683401" w:rsidP="00683401">
      <w:pPr>
        <w:pStyle w:val="Textonotapie"/>
        <w:ind w:firstLine="709"/>
        <w:contextualSpacing/>
        <w:jc w:val="both"/>
        <w:rPr>
          <w:rFonts w:ascii="Verdana" w:hAnsi="Verdana" w:cs="Arial"/>
          <w:sz w:val="16"/>
          <w:szCs w:val="16"/>
        </w:rPr>
      </w:pPr>
      <w:r w:rsidRPr="00BD3EDB">
        <w:rPr>
          <w:rStyle w:val="Refdenotaalpie"/>
          <w:rFonts w:ascii="Verdana" w:hAnsi="Verdana"/>
          <w:sz w:val="16"/>
          <w:szCs w:val="16"/>
        </w:rPr>
        <w:footnoteRef/>
      </w:r>
      <w:r w:rsidRPr="00BD3EDB">
        <w:rPr>
          <w:rFonts w:ascii="Verdana" w:hAnsi="Verdana"/>
          <w:sz w:val="16"/>
          <w:szCs w:val="16"/>
        </w:rPr>
        <w:t xml:space="preserve"> </w:t>
      </w:r>
      <w:r w:rsidRPr="00BD3EDB">
        <w:rPr>
          <w:rFonts w:ascii="Verdana" w:hAnsi="Verdana" w:cs="Arial"/>
          <w:sz w:val="16"/>
          <w:szCs w:val="16"/>
        </w:rPr>
        <w:t>Consejo de Estado -Sección Tercera-. Sentencia del 21 de febrero de 2025. Radicación Número: 68.280. CP: José Roberto Sáchica Méndez.</w:t>
      </w:r>
    </w:p>
    <w:p w14:paraId="6FEC8655" w14:textId="77777777" w:rsidR="00683401" w:rsidRPr="00BD3EDB" w:rsidRDefault="00683401" w:rsidP="00683401">
      <w:pPr>
        <w:pStyle w:val="Textonotapie"/>
        <w:ind w:firstLine="709"/>
        <w:contextualSpacing/>
        <w:jc w:val="both"/>
        <w:rPr>
          <w:rFonts w:ascii="Verdana" w:hAnsi="Verdana" w:cs="Arial"/>
          <w:sz w:val="16"/>
          <w:szCs w:val="16"/>
        </w:rPr>
      </w:pPr>
    </w:p>
  </w:footnote>
  <w:footnote w:id="31">
    <w:p w14:paraId="5FEA6FE0" w14:textId="77777777" w:rsidR="00683401" w:rsidRPr="00BD3EDB" w:rsidRDefault="00683401" w:rsidP="00683401">
      <w:pPr>
        <w:pStyle w:val="Textonotapie"/>
        <w:ind w:firstLine="709"/>
        <w:contextualSpacing/>
        <w:jc w:val="both"/>
        <w:rPr>
          <w:rFonts w:ascii="Verdana" w:hAnsi="Verdana" w:cs="Arial"/>
          <w:sz w:val="16"/>
          <w:szCs w:val="16"/>
        </w:rPr>
      </w:pPr>
      <w:r w:rsidRPr="00BD3EDB">
        <w:rPr>
          <w:rFonts w:ascii="Verdana" w:hAnsi="Verdana"/>
          <w:sz w:val="16"/>
          <w:szCs w:val="16"/>
          <w:vertAlign w:val="superscript"/>
        </w:rPr>
        <w:footnoteRef/>
      </w:r>
      <w:r w:rsidRPr="00BD3EDB">
        <w:rPr>
          <w:rFonts w:ascii="Verdana" w:hAnsi="Verdana"/>
          <w:sz w:val="16"/>
          <w:szCs w:val="16"/>
          <w:vertAlign w:val="superscript"/>
        </w:rPr>
        <w:t xml:space="preserve"> </w:t>
      </w:r>
      <w:r w:rsidRPr="00BD3EDB">
        <w:rPr>
          <w:rFonts w:ascii="Verdana" w:hAnsi="Verdana" w:cs="Arial"/>
          <w:sz w:val="16"/>
          <w:szCs w:val="16"/>
        </w:rPr>
        <w:t xml:space="preserve">Ley 1150 de 2007: Artículo 2, numeral 4, literal c. </w:t>
      </w:r>
      <w:r>
        <w:rPr>
          <w:rFonts w:ascii="Verdana" w:hAnsi="Verdana" w:cs="Arial"/>
          <w:sz w:val="16"/>
          <w:szCs w:val="16"/>
        </w:rPr>
        <w:t>(…)</w:t>
      </w:r>
      <w:r w:rsidRPr="00BD3EDB">
        <w:rPr>
          <w:rFonts w:ascii="Verdana" w:hAnsi="Verdana" w:cs="Arial"/>
          <w:sz w:val="16"/>
          <w:szCs w:val="16"/>
        </w:rPr>
        <w:t xml:space="preserve">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3FD2CE19" w14:textId="77777777" w:rsidR="00683401" w:rsidRPr="00BD3EDB" w:rsidRDefault="00683401" w:rsidP="00683401">
      <w:pPr>
        <w:pStyle w:val="Textonotapie"/>
        <w:ind w:firstLine="709"/>
        <w:contextualSpacing/>
        <w:jc w:val="both"/>
        <w:rPr>
          <w:rFonts w:ascii="Verdana" w:hAnsi="Verdana" w:cs="Arial"/>
          <w:sz w:val="16"/>
          <w:szCs w:val="16"/>
        </w:rPr>
      </w:pPr>
    </w:p>
  </w:footnote>
  <w:footnote w:id="32">
    <w:p w14:paraId="15397A3D" w14:textId="77777777" w:rsidR="00683401" w:rsidRDefault="00683401" w:rsidP="00683401">
      <w:pPr>
        <w:pStyle w:val="Textonotapie"/>
        <w:ind w:firstLine="709"/>
        <w:contextualSpacing/>
        <w:jc w:val="both"/>
        <w:rPr>
          <w:rFonts w:ascii="Verdana" w:hAnsi="Verdana" w:cs="Arial"/>
          <w:sz w:val="16"/>
          <w:szCs w:val="16"/>
        </w:rPr>
      </w:pPr>
      <w:r w:rsidRPr="00BD3EDB">
        <w:rPr>
          <w:rFonts w:ascii="Verdana" w:hAnsi="Verdana"/>
          <w:sz w:val="16"/>
          <w:szCs w:val="16"/>
          <w:vertAlign w:val="superscript"/>
        </w:rPr>
        <w:footnoteRef/>
      </w:r>
      <w:r w:rsidRPr="00BD3EDB">
        <w:rPr>
          <w:rFonts w:ascii="Verdana" w:hAnsi="Verdana" w:cs="Arial"/>
          <w:sz w:val="16"/>
          <w:szCs w:val="16"/>
          <w:vertAlign w:val="superscript"/>
        </w:rPr>
        <w:t xml:space="preserve"> </w:t>
      </w:r>
      <w:r w:rsidRPr="00BD3EDB">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r>
        <w:rPr>
          <w:rFonts w:ascii="Verdana" w:hAnsi="Verdana" w:cs="Arial"/>
          <w:sz w:val="16"/>
          <w:szCs w:val="16"/>
        </w:rPr>
        <w:t xml:space="preserve"> (…)”. </w:t>
      </w:r>
    </w:p>
    <w:p w14:paraId="591331E0" w14:textId="77777777" w:rsidR="00683401" w:rsidRPr="00BD3EDB" w:rsidRDefault="00683401" w:rsidP="00683401">
      <w:pPr>
        <w:pStyle w:val="Textonotapie"/>
        <w:ind w:firstLine="709"/>
        <w:contextualSpacing/>
        <w:jc w:val="both"/>
        <w:rPr>
          <w:rFonts w:ascii="Verdana" w:hAnsi="Verdana" w:cs="Arial"/>
          <w:sz w:val="16"/>
          <w:szCs w:val="16"/>
        </w:rPr>
      </w:pPr>
    </w:p>
  </w:footnote>
  <w:footnote w:id="33">
    <w:p w14:paraId="506D55A9" w14:textId="77777777" w:rsidR="00683401" w:rsidRPr="00BD3EDB" w:rsidRDefault="00683401" w:rsidP="00683401">
      <w:pPr>
        <w:pStyle w:val="Textonotapie"/>
        <w:ind w:firstLine="709"/>
        <w:contextualSpacing/>
        <w:jc w:val="both"/>
        <w:rPr>
          <w:rFonts w:ascii="Verdana" w:hAnsi="Verdana" w:cs="Arial"/>
          <w:sz w:val="16"/>
          <w:szCs w:val="16"/>
        </w:rPr>
      </w:pPr>
      <w:r w:rsidRPr="00BD3EDB">
        <w:rPr>
          <w:rFonts w:ascii="Verdana" w:hAnsi="Verdana"/>
          <w:sz w:val="16"/>
          <w:szCs w:val="16"/>
          <w:vertAlign w:val="superscript"/>
        </w:rPr>
        <w:footnoteRef/>
      </w:r>
      <w:r w:rsidRPr="00BD3EDB">
        <w:rPr>
          <w:rFonts w:ascii="Verdana" w:hAnsi="Verdana" w:cs="Arial"/>
          <w:sz w:val="16"/>
          <w:szCs w:val="16"/>
          <w:vertAlign w:val="superscript"/>
        </w:rPr>
        <w:t xml:space="preserve"> </w:t>
      </w:r>
      <w:r w:rsidRPr="00BD3EDB">
        <w:rPr>
          <w:rFonts w:ascii="Verdana" w:hAnsi="Verdana" w:cs="Arial"/>
          <w:sz w:val="16"/>
          <w:szCs w:val="16"/>
        </w:rPr>
        <w:t>Código Civil: “Artículo 27. Cuando el sentido de la ley sea claro, no se desatenderá su tenor a pretexto de consultar su espíritu”.</w:t>
      </w:r>
    </w:p>
  </w:footnote>
  <w:footnote w:id="34">
    <w:p w14:paraId="0D7C14D5" w14:textId="77777777" w:rsidR="00683401" w:rsidRPr="00BD3EDB" w:rsidRDefault="00683401" w:rsidP="00683401">
      <w:pPr>
        <w:pStyle w:val="Textonotapie"/>
        <w:ind w:firstLine="709"/>
        <w:contextualSpacing/>
        <w:jc w:val="both"/>
        <w:rPr>
          <w:rFonts w:ascii="Verdana" w:hAnsi="Verdana"/>
          <w:sz w:val="16"/>
          <w:szCs w:val="16"/>
          <w:lang w:val="es-CO"/>
        </w:rPr>
      </w:pPr>
      <w:r w:rsidRPr="00BD3EDB">
        <w:rPr>
          <w:rStyle w:val="Refdenotaalpie"/>
          <w:rFonts w:ascii="Verdana" w:hAnsi="Verdana"/>
          <w:sz w:val="16"/>
          <w:szCs w:val="16"/>
        </w:rPr>
        <w:footnoteRef/>
      </w:r>
      <w:r w:rsidRPr="00BD3EDB">
        <w:rPr>
          <w:rFonts w:ascii="Verdana" w:hAnsi="Verdana"/>
          <w:sz w:val="16"/>
          <w:szCs w:val="16"/>
          <w:lang w:val="es-CO"/>
        </w:rPr>
        <w:t xml:space="preserve"> Consejo de Estado. Sala de lo Contencioso Administrativo. Sección Tercera. Auto del 4 de octubre de 2024. </w:t>
      </w:r>
      <w:r w:rsidRPr="00BD3EDB">
        <w:rPr>
          <w:rFonts w:ascii="Verdana" w:hAnsi="Verdana"/>
          <w:sz w:val="16"/>
          <w:szCs w:val="16"/>
          <w:lang w:val="es-CO"/>
        </w:rPr>
        <w:t>Exp. 70.313. C.P: Fredy Ibarra Martínez.</w:t>
      </w:r>
    </w:p>
  </w:footnote>
  <w:footnote w:id="35">
    <w:p w14:paraId="6C37DA16" w14:textId="77777777" w:rsidR="00683401" w:rsidRPr="00BD3EDB" w:rsidRDefault="00683401" w:rsidP="00683401">
      <w:pPr>
        <w:pStyle w:val="Textonotapie"/>
        <w:ind w:firstLine="709"/>
        <w:contextualSpacing/>
        <w:jc w:val="both"/>
        <w:rPr>
          <w:rFonts w:ascii="Verdana" w:hAnsi="Verdana"/>
          <w:sz w:val="16"/>
          <w:szCs w:val="16"/>
          <w:lang w:val="es-CO"/>
        </w:rPr>
      </w:pPr>
      <w:r w:rsidRPr="00BD3EDB">
        <w:rPr>
          <w:rStyle w:val="Refdenotaalpie"/>
          <w:rFonts w:ascii="Verdana" w:hAnsi="Verdana"/>
          <w:sz w:val="16"/>
          <w:szCs w:val="16"/>
        </w:rPr>
        <w:footnoteRef/>
      </w:r>
      <w:r w:rsidRPr="00BD3EDB">
        <w:rPr>
          <w:rFonts w:ascii="Verdana" w:hAnsi="Verdana"/>
          <w:sz w:val="16"/>
          <w:szCs w:val="16"/>
        </w:rPr>
        <w:t xml:space="preserve"> La parte resolutiva del auto dispone lo siguiente; “</w:t>
      </w:r>
      <w:r w:rsidRPr="00BD3EDB">
        <w:rPr>
          <w:rFonts w:ascii="Verdana" w:hAnsi="Verdana"/>
          <w:b/>
          <w:sz w:val="16"/>
          <w:szCs w:val="16"/>
          <w:lang w:val="es-CO"/>
        </w:rPr>
        <w:t xml:space="preserve">PRIMERO: DECRETAR </w:t>
      </w:r>
      <w:r w:rsidRPr="00BD3EDB">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D3EDB">
        <w:rPr>
          <w:rFonts w:ascii="Verdana" w:hAnsi="Verdana"/>
          <w:i/>
          <w:sz w:val="16"/>
          <w:szCs w:val="16"/>
          <w:lang w:val="es-CO"/>
        </w:rPr>
        <w:t>“[e]</w:t>
      </w:r>
      <w:r w:rsidRPr="00BD3EDB">
        <w:rPr>
          <w:rFonts w:ascii="Verdana" w:hAnsi="Verdana"/>
          <w:i/>
          <w:sz w:val="16"/>
          <w:szCs w:val="16"/>
          <w:lang w:val="es-CO"/>
        </w:rPr>
        <w:t>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D3EDB">
        <w:rPr>
          <w:rFonts w:ascii="Verdana" w:hAnsi="Verdana"/>
          <w:sz w:val="16"/>
          <w:szCs w:val="16"/>
          <w:lang w:val="es-CO"/>
        </w:rPr>
        <w:t xml:space="preserve">, por las razones expuestas en precedencia. </w:t>
      </w:r>
    </w:p>
    <w:p w14:paraId="35B66C5D" w14:textId="77777777" w:rsidR="00683401" w:rsidRDefault="00683401" w:rsidP="00683401">
      <w:pPr>
        <w:pStyle w:val="Textonotapie"/>
        <w:ind w:firstLine="709"/>
        <w:contextualSpacing/>
        <w:jc w:val="both"/>
        <w:rPr>
          <w:rFonts w:ascii="Verdana" w:hAnsi="Verdana"/>
          <w:sz w:val="18"/>
          <w:szCs w:val="18"/>
          <w:lang w:val="es-CO"/>
        </w:rPr>
      </w:pPr>
      <w:r w:rsidRPr="00BD3EDB">
        <w:rPr>
          <w:rFonts w:ascii="Verdana" w:hAnsi="Verdana"/>
          <w:b/>
          <w:sz w:val="16"/>
          <w:szCs w:val="16"/>
          <w:lang w:val="es-CO"/>
        </w:rPr>
        <w:t xml:space="preserve">SEGUNDO: DECRETAR </w:t>
      </w:r>
      <w:r w:rsidRPr="00BD3EDB">
        <w:rPr>
          <w:rFonts w:ascii="Verdana" w:hAnsi="Verdana"/>
          <w:sz w:val="16"/>
          <w:szCs w:val="16"/>
          <w:lang w:val="es-CO"/>
        </w:rPr>
        <w:t>la suspensión provisional de la expresión “</w:t>
      </w:r>
      <w:r w:rsidRPr="00BD3EDB">
        <w:rPr>
          <w:rFonts w:ascii="Verdana" w:hAnsi="Verdana"/>
          <w:i/>
          <w:sz w:val="16"/>
          <w:szCs w:val="16"/>
          <w:lang w:val="es-CO"/>
        </w:rPr>
        <w:t>contratos</w:t>
      </w:r>
      <w:r w:rsidRPr="00BD3EDB">
        <w:rPr>
          <w:rFonts w:ascii="Verdana" w:hAnsi="Verdana"/>
          <w:sz w:val="16"/>
          <w:szCs w:val="16"/>
          <w:lang w:val="es-CO"/>
        </w:rPr>
        <w:t xml:space="preserve">” y del párrafo </w:t>
      </w:r>
      <w:r w:rsidRPr="00BD3EDB">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D3EDB">
        <w:rPr>
          <w:rFonts w:ascii="Verdana" w:hAnsi="Verdana"/>
          <w:sz w:val="16"/>
          <w:szCs w:val="16"/>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Sala de lo Contencioso Administrativo. Sección Tercera. Auto del 6 de noviembre de 2025. Exp. 72.424. C.P: Fernando Alexei Pardo Flórez.</w:t>
      </w:r>
      <w:r w:rsidRPr="001D30AB">
        <w:rPr>
          <w:rFonts w:ascii="Verdana" w:hAnsi="Verdana"/>
          <w:sz w:val="18"/>
          <w:szCs w:val="18"/>
          <w:lang w:val="es-CO"/>
        </w:rPr>
        <w:t xml:space="preserve"> </w:t>
      </w:r>
    </w:p>
    <w:p w14:paraId="3267F4B1" w14:textId="77777777" w:rsidR="00683401" w:rsidRPr="00591AA5" w:rsidRDefault="00683401" w:rsidP="00683401">
      <w:pPr>
        <w:pStyle w:val="Textonotapie"/>
        <w:ind w:firstLine="709"/>
        <w:contextualSpacing/>
        <w:jc w:val="both"/>
        <w:rPr>
          <w:rFonts w:ascii="Verdana" w:hAnsi="Verdana"/>
          <w:sz w:val="18"/>
          <w:szCs w:val="18"/>
          <w:lang w:val="es-CO"/>
        </w:rPr>
      </w:pPr>
    </w:p>
  </w:footnote>
  <w:footnote w:id="36">
    <w:p w14:paraId="5922FA06" w14:textId="77777777" w:rsidR="00683401" w:rsidRDefault="00683401" w:rsidP="00683401">
      <w:pPr>
        <w:spacing w:after="0" w:line="240" w:lineRule="auto"/>
        <w:ind w:firstLine="709"/>
        <w:contextualSpacing/>
        <w:jc w:val="both"/>
        <w:rPr>
          <w:rFonts w:ascii="Verdana" w:eastAsia="Times New Roman" w:hAnsi="Verdana" w:cs="Times New Roman"/>
          <w:sz w:val="16"/>
          <w:szCs w:val="16"/>
          <w:lang w:eastAsia="es-ES"/>
        </w:rPr>
      </w:pPr>
      <w:r w:rsidRPr="00BD3EDB">
        <w:rPr>
          <w:rStyle w:val="Refdenotaalpie"/>
          <w:rFonts w:ascii="Verdana" w:hAnsi="Verdana"/>
          <w:sz w:val="16"/>
          <w:szCs w:val="16"/>
        </w:rPr>
        <w:footnoteRef/>
      </w:r>
      <w:r w:rsidRPr="00BD3EDB">
        <w:rPr>
          <w:rFonts w:ascii="Verdana" w:hAnsi="Verdana"/>
          <w:sz w:val="16"/>
          <w:szCs w:val="16"/>
        </w:rPr>
        <w:t xml:space="preserve"> </w:t>
      </w:r>
      <w:r w:rsidRPr="00BD3EDB">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BD3EDB">
        <w:rPr>
          <w:rFonts w:ascii="Verdana" w:hAnsi="Verdana"/>
          <w:sz w:val="16"/>
          <w:szCs w:val="16"/>
        </w:rPr>
        <w:t xml:space="preserve">La parte de la providencia señala: </w:t>
      </w:r>
      <w:r w:rsidRPr="00BD3EDB">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r w:rsidRPr="00BD3EDB">
        <w:rPr>
          <w:rFonts w:ascii="Verdana" w:eastAsia="Times New Roman" w:hAnsi="Verdana" w:cs="Times New Roman"/>
          <w:sz w:val="16"/>
          <w:szCs w:val="16"/>
          <w:lang w:eastAsia="es-ES"/>
        </w:rPr>
        <w:t>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2DDE9C36" w14:textId="77777777" w:rsidR="00683401" w:rsidRPr="00BD3EDB" w:rsidRDefault="00683401" w:rsidP="00683401">
      <w:pPr>
        <w:spacing w:after="0" w:line="240" w:lineRule="auto"/>
        <w:ind w:firstLine="709"/>
        <w:contextualSpacing/>
        <w:jc w:val="both"/>
        <w:rPr>
          <w:rFonts w:ascii="Verdana" w:eastAsia="Times New Roman" w:hAnsi="Verdana" w:cs="Times New Roman"/>
          <w:sz w:val="16"/>
          <w:szCs w:val="16"/>
          <w:lang w:eastAsia="es-ES"/>
        </w:rPr>
      </w:pPr>
    </w:p>
  </w:footnote>
  <w:footnote w:id="37">
    <w:p w14:paraId="501B89E6" w14:textId="77777777" w:rsidR="00683401" w:rsidRPr="00BD3EDB" w:rsidRDefault="00683401" w:rsidP="00683401">
      <w:pPr>
        <w:pStyle w:val="Textonotapie"/>
        <w:ind w:firstLine="709"/>
        <w:jc w:val="both"/>
        <w:rPr>
          <w:rFonts w:ascii="Verdana" w:hAnsi="Verdana"/>
          <w:sz w:val="16"/>
          <w:szCs w:val="16"/>
          <w:lang w:val="es-CO"/>
        </w:rPr>
      </w:pPr>
      <w:r w:rsidRPr="00BD3EDB">
        <w:rPr>
          <w:rStyle w:val="Refdenotaalpie"/>
          <w:rFonts w:ascii="Verdana" w:hAnsi="Verdana"/>
          <w:sz w:val="16"/>
          <w:szCs w:val="16"/>
        </w:rPr>
        <w:footnoteRef/>
      </w:r>
      <w:r w:rsidRPr="00BD3EDB">
        <w:rPr>
          <w:rFonts w:ascii="Verdana" w:hAnsi="Verdana"/>
          <w:sz w:val="16"/>
          <w:szCs w:val="16"/>
        </w:rPr>
        <w:t xml:space="preserve"> No </w:t>
      </w:r>
      <w:r w:rsidRPr="00BD3EDB">
        <w:rPr>
          <w:rFonts w:ascii="Verdana" w:hAnsi="Verdana"/>
          <w:sz w:val="16"/>
          <w:szCs w:val="16"/>
        </w:rPr>
        <w:t>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823711"/>
    <w:multiLevelType w:val="multilevel"/>
    <w:tmpl w:val="9BC08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C811DB"/>
    <w:multiLevelType w:val="hybridMultilevel"/>
    <w:tmpl w:val="6CE876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7CF1841"/>
    <w:multiLevelType w:val="multilevel"/>
    <w:tmpl w:val="EF9A7826"/>
    <w:lvl w:ilvl="0">
      <w:start w:val="1"/>
      <w:numFmt w:val="decimal"/>
      <w:lvlText w:val="%1."/>
      <w:lvlJc w:val="left"/>
      <w:pPr>
        <w:tabs>
          <w:tab w:val="num" w:pos="1211"/>
        </w:tabs>
        <w:ind w:left="1211" w:hanging="360"/>
      </w:pPr>
      <w:rPr>
        <w:rFonts w:ascii="Verdana" w:eastAsiaTheme="minorHAnsi" w:hAnsi="Verdana" w:cstheme="minorBidi"/>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DBC60A3"/>
    <w:multiLevelType w:val="hybridMultilevel"/>
    <w:tmpl w:val="4DB46EE8"/>
    <w:lvl w:ilvl="0" w:tplc="240A0003">
      <w:start w:val="1"/>
      <w:numFmt w:val="bullet"/>
      <w:lvlText w:val="o"/>
      <w:lvlJc w:val="left"/>
      <w:pPr>
        <w:ind w:left="1571" w:hanging="360"/>
      </w:pPr>
      <w:rPr>
        <w:rFonts w:ascii="Courier New" w:hAnsi="Courier New" w:cs="Courier New" w:hint="default"/>
      </w:rPr>
    </w:lvl>
    <w:lvl w:ilvl="1" w:tplc="240A0003" w:tentative="1">
      <w:start w:val="1"/>
      <w:numFmt w:val="bullet"/>
      <w:lvlText w:val="o"/>
      <w:lvlJc w:val="left"/>
      <w:pPr>
        <w:ind w:left="2291" w:hanging="360"/>
      </w:pPr>
      <w:rPr>
        <w:rFonts w:ascii="Courier New" w:hAnsi="Courier New" w:cs="Courier New" w:hint="default"/>
      </w:rPr>
    </w:lvl>
    <w:lvl w:ilvl="2" w:tplc="240A0005" w:tentative="1">
      <w:start w:val="1"/>
      <w:numFmt w:val="bullet"/>
      <w:lvlText w:val=""/>
      <w:lvlJc w:val="left"/>
      <w:pPr>
        <w:ind w:left="3011" w:hanging="360"/>
      </w:pPr>
      <w:rPr>
        <w:rFonts w:ascii="Wingdings" w:hAnsi="Wingdings" w:hint="default"/>
      </w:rPr>
    </w:lvl>
    <w:lvl w:ilvl="3" w:tplc="240A0001" w:tentative="1">
      <w:start w:val="1"/>
      <w:numFmt w:val="bullet"/>
      <w:lvlText w:val=""/>
      <w:lvlJc w:val="left"/>
      <w:pPr>
        <w:ind w:left="3731" w:hanging="360"/>
      </w:pPr>
      <w:rPr>
        <w:rFonts w:ascii="Symbol" w:hAnsi="Symbol" w:hint="default"/>
      </w:rPr>
    </w:lvl>
    <w:lvl w:ilvl="4" w:tplc="240A0003" w:tentative="1">
      <w:start w:val="1"/>
      <w:numFmt w:val="bullet"/>
      <w:lvlText w:val="o"/>
      <w:lvlJc w:val="left"/>
      <w:pPr>
        <w:ind w:left="4451" w:hanging="360"/>
      </w:pPr>
      <w:rPr>
        <w:rFonts w:ascii="Courier New" w:hAnsi="Courier New" w:cs="Courier New" w:hint="default"/>
      </w:rPr>
    </w:lvl>
    <w:lvl w:ilvl="5" w:tplc="240A0005" w:tentative="1">
      <w:start w:val="1"/>
      <w:numFmt w:val="bullet"/>
      <w:lvlText w:val=""/>
      <w:lvlJc w:val="left"/>
      <w:pPr>
        <w:ind w:left="5171" w:hanging="360"/>
      </w:pPr>
      <w:rPr>
        <w:rFonts w:ascii="Wingdings" w:hAnsi="Wingdings" w:hint="default"/>
      </w:rPr>
    </w:lvl>
    <w:lvl w:ilvl="6" w:tplc="240A0001" w:tentative="1">
      <w:start w:val="1"/>
      <w:numFmt w:val="bullet"/>
      <w:lvlText w:val=""/>
      <w:lvlJc w:val="left"/>
      <w:pPr>
        <w:ind w:left="5891" w:hanging="360"/>
      </w:pPr>
      <w:rPr>
        <w:rFonts w:ascii="Symbol" w:hAnsi="Symbol" w:hint="default"/>
      </w:rPr>
    </w:lvl>
    <w:lvl w:ilvl="7" w:tplc="240A0003" w:tentative="1">
      <w:start w:val="1"/>
      <w:numFmt w:val="bullet"/>
      <w:lvlText w:val="o"/>
      <w:lvlJc w:val="left"/>
      <w:pPr>
        <w:ind w:left="6611" w:hanging="360"/>
      </w:pPr>
      <w:rPr>
        <w:rFonts w:ascii="Courier New" w:hAnsi="Courier New" w:cs="Courier New" w:hint="default"/>
      </w:rPr>
    </w:lvl>
    <w:lvl w:ilvl="8" w:tplc="240A0005" w:tentative="1">
      <w:start w:val="1"/>
      <w:numFmt w:val="bullet"/>
      <w:lvlText w:val=""/>
      <w:lvlJc w:val="left"/>
      <w:pPr>
        <w:ind w:left="7331"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79765710">
    <w:abstractNumId w:val="16"/>
  </w:num>
  <w:num w:numId="18" w16cid:durableId="2051103899">
    <w:abstractNumId w:val="4"/>
  </w:num>
  <w:num w:numId="19" w16cid:durableId="404643632">
    <w:abstractNumId w:val="17"/>
  </w:num>
  <w:num w:numId="20" w16cid:durableId="6308650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4AD0"/>
    <w:rsid w:val="00093D9A"/>
    <w:rsid w:val="000A683E"/>
    <w:rsid w:val="000B19B9"/>
    <w:rsid w:val="000D0334"/>
    <w:rsid w:val="000D5DA7"/>
    <w:rsid w:val="000F6486"/>
    <w:rsid w:val="00116940"/>
    <w:rsid w:val="00125105"/>
    <w:rsid w:val="00127233"/>
    <w:rsid w:val="0015699B"/>
    <w:rsid w:val="001A33BF"/>
    <w:rsid w:val="001E4177"/>
    <w:rsid w:val="001F0B24"/>
    <w:rsid w:val="001F7DC6"/>
    <w:rsid w:val="002064C7"/>
    <w:rsid w:val="0022400B"/>
    <w:rsid w:val="002421BB"/>
    <w:rsid w:val="002447D7"/>
    <w:rsid w:val="00255C1D"/>
    <w:rsid w:val="0025796E"/>
    <w:rsid w:val="002707A2"/>
    <w:rsid w:val="002951A0"/>
    <w:rsid w:val="002962BC"/>
    <w:rsid w:val="002A093D"/>
    <w:rsid w:val="002A0DD0"/>
    <w:rsid w:val="002A49AC"/>
    <w:rsid w:val="002A64FD"/>
    <w:rsid w:val="002C7A84"/>
    <w:rsid w:val="002E2BF8"/>
    <w:rsid w:val="002E4FD9"/>
    <w:rsid w:val="002F4FCC"/>
    <w:rsid w:val="0030657A"/>
    <w:rsid w:val="00322A85"/>
    <w:rsid w:val="00324168"/>
    <w:rsid w:val="00330834"/>
    <w:rsid w:val="003448F4"/>
    <w:rsid w:val="00374F5E"/>
    <w:rsid w:val="00377E3E"/>
    <w:rsid w:val="003A779E"/>
    <w:rsid w:val="003D0F4D"/>
    <w:rsid w:val="003D5B0D"/>
    <w:rsid w:val="003E0499"/>
    <w:rsid w:val="003E4F80"/>
    <w:rsid w:val="003E6439"/>
    <w:rsid w:val="003E7576"/>
    <w:rsid w:val="003F3941"/>
    <w:rsid w:val="00406575"/>
    <w:rsid w:val="00414C74"/>
    <w:rsid w:val="004210D0"/>
    <w:rsid w:val="0042722E"/>
    <w:rsid w:val="0044528D"/>
    <w:rsid w:val="00466E39"/>
    <w:rsid w:val="004A1847"/>
    <w:rsid w:val="004A305D"/>
    <w:rsid w:val="004F21C4"/>
    <w:rsid w:val="004F685F"/>
    <w:rsid w:val="004F6901"/>
    <w:rsid w:val="005566E8"/>
    <w:rsid w:val="00570DD1"/>
    <w:rsid w:val="00574867"/>
    <w:rsid w:val="00591460"/>
    <w:rsid w:val="005A65E0"/>
    <w:rsid w:val="005C3777"/>
    <w:rsid w:val="005C5CDC"/>
    <w:rsid w:val="005D476C"/>
    <w:rsid w:val="006200BF"/>
    <w:rsid w:val="006219F8"/>
    <w:rsid w:val="006302F7"/>
    <w:rsid w:val="00646B9F"/>
    <w:rsid w:val="00665D70"/>
    <w:rsid w:val="00683401"/>
    <w:rsid w:val="006900D9"/>
    <w:rsid w:val="006A24E2"/>
    <w:rsid w:val="00706C16"/>
    <w:rsid w:val="007340C3"/>
    <w:rsid w:val="0075235A"/>
    <w:rsid w:val="00756841"/>
    <w:rsid w:val="007649AB"/>
    <w:rsid w:val="00771D0C"/>
    <w:rsid w:val="007833AC"/>
    <w:rsid w:val="007B268C"/>
    <w:rsid w:val="007B7171"/>
    <w:rsid w:val="007C0C0F"/>
    <w:rsid w:val="007C3DC2"/>
    <w:rsid w:val="007C4389"/>
    <w:rsid w:val="007E5497"/>
    <w:rsid w:val="00806ED3"/>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95E73"/>
    <w:rsid w:val="009A0DFA"/>
    <w:rsid w:val="009A1C6F"/>
    <w:rsid w:val="009B2D26"/>
    <w:rsid w:val="009C71FA"/>
    <w:rsid w:val="009C72E7"/>
    <w:rsid w:val="009C7F7E"/>
    <w:rsid w:val="009D3058"/>
    <w:rsid w:val="009F3A13"/>
    <w:rsid w:val="00A10D3B"/>
    <w:rsid w:val="00A122D3"/>
    <w:rsid w:val="00A14468"/>
    <w:rsid w:val="00A17F13"/>
    <w:rsid w:val="00A20739"/>
    <w:rsid w:val="00A23AF9"/>
    <w:rsid w:val="00A33C78"/>
    <w:rsid w:val="00A37CC3"/>
    <w:rsid w:val="00AB0ADB"/>
    <w:rsid w:val="00AE486C"/>
    <w:rsid w:val="00B00C0E"/>
    <w:rsid w:val="00B01B1A"/>
    <w:rsid w:val="00B0381D"/>
    <w:rsid w:val="00B44A47"/>
    <w:rsid w:val="00B72CD3"/>
    <w:rsid w:val="00B72FFF"/>
    <w:rsid w:val="00BB3668"/>
    <w:rsid w:val="00BC3D36"/>
    <w:rsid w:val="00BD54A6"/>
    <w:rsid w:val="00BD7F72"/>
    <w:rsid w:val="00BF7425"/>
    <w:rsid w:val="00C04FB3"/>
    <w:rsid w:val="00C11D8B"/>
    <w:rsid w:val="00C15139"/>
    <w:rsid w:val="00C330EB"/>
    <w:rsid w:val="00C50D69"/>
    <w:rsid w:val="00C5365C"/>
    <w:rsid w:val="00C754BE"/>
    <w:rsid w:val="00C76B1C"/>
    <w:rsid w:val="00C90E54"/>
    <w:rsid w:val="00C925AC"/>
    <w:rsid w:val="00CB6357"/>
    <w:rsid w:val="00CC1B26"/>
    <w:rsid w:val="00D33D1B"/>
    <w:rsid w:val="00D361FD"/>
    <w:rsid w:val="00D423A2"/>
    <w:rsid w:val="00D44E26"/>
    <w:rsid w:val="00D520D8"/>
    <w:rsid w:val="00D63AC2"/>
    <w:rsid w:val="00D7383B"/>
    <w:rsid w:val="00D7788A"/>
    <w:rsid w:val="00DA231B"/>
    <w:rsid w:val="00DC39FC"/>
    <w:rsid w:val="00DD0B42"/>
    <w:rsid w:val="00DF5254"/>
    <w:rsid w:val="00E02524"/>
    <w:rsid w:val="00E16408"/>
    <w:rsid w:val="00E20894"/>
    <w:rsid w:val="00E245AB"/>
    <w:rsid w:val="00E2764C"/>
    <w:rsid w:val="00E27F2E"/>
    <w:rsid w:val="00E50AFE"/>
    <w:rsid w:val="00E73AA1"/>
    <w:rsid w:val="00E75C92"/>
    <w:rsid w:val="00E771DC"/>
    <w:rsid w:val="00E8772A"/>
    <w:rsid w:val="00E90F6B"/>
    <w:rsid w:val="00E92C27"/>
    <w:rsid w:val="00EA0E3D"/>
    <w:rsid w:val="00EC38A7"/>
    <w:rsid w:val="00EE1AA8"/>
    <w:rsid w:val="00F23FEA"/>
    <w:rsid w:val="00F31EDC"/>
    <w:rsid w:val="00F462B3"/>
    <w:rsid w:val="00F5664F"/>
    <w:rsid w:val="00F56C40"/>
    <w:rsid w:val="00F666C4"/>
    <w:rsid w:val="00F76AFC"/>
    <w:rsid w:val="00FA47C0"/>
    <w:rsid w:val="00FA7E7C"/>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83401"/>
    <w:rPr>
      <w:rFonts w:ascii="Geomanist Light" w:hAnsi="Geomanist Light"/>
      <w:lang w:val="es-ES"/>
    </w:rPr>
  </w:style>
  <w:style w:type="paragraph" w:customStyle="1" w:styleId="Appelnotedebasde">
    <w:name w:val="Appel note de bas de..."/>
    <w:basedOn w:val="Normal"/>
    <w:link w:val="Refdenotaalpie"/>
    <w:uiPriority w:val="99"/>
    <w:rsid w:val="00683401"/>
    <w:pPr>
      <w:spacing w:line="240" w:lineRule="exact"/>
    </w:pPr>
    <w:rPr>
      <w:vertAlign w:val="superscript"/>
    </w:rPr>
  </w:style>
  <w:style w:type="character" w:customStyle="1" w:styleId="NormalWebCar">
    <w:name w:val="Normal (Web) Car"/>
    <w:link w:val="NormalWeb"/>
    <w:uiPriority w:val="99"/>
    <w:locked/>
    <w:rsid w:val="00683401"/>
    <w:rPr>
      <w:rFonts w:ascii="Times New Roman" w:eastAsia="Times New Roman" w:hAnsi="Times New Roman" w:cs="Times New Roman"/>
      <w:sz w:val="24"/>
      <w:szCs w:val="24"/>
      <w:lang w:eastAsia="es-CO"/>
    </w:rPr>
  </w:style>
  <w:style w:type="character" w:customStyle="1" w:styleId="baj">
    <w:name w:val="b_aj"/>
    <w:basedOn w:val="Fuentedeprrafopredeter"/>
    <w:rsid w:val="006834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wp-content/uploads/2024/08/guia_de_buenas_practicas_software_ver1_logo01.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el.martinez@iudigital.edu.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operaciones.colombiacompra.gov.co/tienda-virtual-del-estado-colombiano/agregacion-de-demanda-espec%C3%ADfica" TargetMode="External"/><Relationship Id="rId1" Type="http://schemas.openxmlformats.org/officeDocument/2006/relationships/hyperlink" Target="https://www.colombiacompra.gov.co/wp-content/uploads/2024/08/guia_de_buenas_practicas_software_ver1_logo0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08F036EC-94B4-47EE-970D-746C71E288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103</TotalTime>
  <Pages>44</Pages>
  <Words>15090</Words>
  <Characters>82997</Characters>
  <Application>Microsoft Office Word</Application>
  <DocSecurity>0</DocSecurity>
  <Lines>1509</Lines>
  <Paragraphs>286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2023-01-10T21:18:00Z</cp:lastPrinted>
  <dcterms:created xsi:type="dcterms:W3CDTF">2025-12-22T14:19:00Z</dcterms:created>
  <dcterms:modified xsi:type="dcterms:W3CDTF">2025-12-22T16:47:00Z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