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6BA6DE" w14:textId="0B17AA2E" w:rsidR="001B1BC6" w:rsidRPr="001B1BC6" w:rsidRDefault="001B1BC6" w:rsidP="001B1BC6">
      <w:pPr>
        <w:spacing w:after="0"/>
        <w:jc w:val="both"/>
        <w:rPr>
          <w:rFonts w:ascii="Verdana" w:hAnsi="Verdana"/>
        </w:rPr>
      </w:pPr>
      <w:bookmarkStart w:id="0" w:name="_Hlk143780582"/>
      <w:r w:rsidRPr="001B1BC6">
        <w:rPr>
          <w:rFonts w:ascii="Verdana" w:eastAsia="Calibri" w:hAnsi="Verdana" w:cs="Times New Roman"/>
          <w:b/>
          <w:bCs/>
          <w:color w:val="000000"/>
        </w:rPr>
        <w:t xml:space="preserve">DOCUMENTOS TIPO – Fundamento normativo – Obligatoriedad </w:t>
      </w:r>
    </w:p>
    <w:p w14:paraId="3CED4A2C" w14:textId="77777777" w:rsidR="001B1BC6" w:rsidRPr="001B1BC6" w:rsidRDefault="001B1BC6" w:rsidP="001B1BC6">
      <w:pPr>
        <w:spacing w:after="0" w:line="276" w:lineRule="auto"/>
        <w:jc w:val="both"/>
        <w:rPr>
          <w:rFonts w:ascii="Verdana" w:eastAsia="Calibri" w:hAnsi="Verdana" w:cs="Arial"/>
          <w:b/>
          <w:bCs/>
        </w:rPr>
      </w:pPr>
    </w:p>
    <w:p w14:paraId="76434450" w14:textId="4EF309B4" w:rsidR="001B1BC6" w:rsidRPr="001B1BC6" w:rsidRDefault="009E7460" w:rsidP="001B1BC6">
      <w:pPr>
        <w:snapToGrid w:val="0"/>
        <w:spacing w:after="0" w:line="240" w:lineRule="auto"/>
        <w:jc w:val="both"/>
        <w:rPr>
          <w:rFonts w:ascii="Verdana" w:eastAsia="Times New Roman" w:hAnsi="Verdana" w:cs="Arial"/>
          <w:sz w:val="20"/>
          <w:szCs w:val="20"/>
          <w:shd w:val="clear" w:color="auto" w:fill="FFFFFF"/>
          <w:lang w:eastAsia="es-ES_tradnl"/>
        </w:rPr>
      </w:pPr>
      <w:r w:rsidRPr="009E7460">
        <w:rPr>
          <w:rFonts w:ascii="Verdana" w:eastAsia="Times New Roman" w:hAnsi="Verdana" w:cs="Arial"/>
          <w:sz w:val="20"/>
          <w:szCs w:val="20"/>
          <w:shd w:val="clear" w:color="auto" w:fill="FFFFFF"/>
          <w:lang w:eastAsia="es-ES_tradnl"/>
        </w:rPr>
        <w:t xml:space="preserve">Los documentos tipo expedidos por la Agencia Nacional de Contratación Pública </w:t>
      </w:r>
      <w:r>
        <w:rPr>
          <w:rFonts w:ascii="Verdana" w:eastAsia="Times New Roman" w:hAnsi="Verdana" w:cs="Arial"/>
          <w:sz w:val="20"/>
          <w:szCs w:val="20"/>
          <w:shd w:val="clear" w:color="auto" w:fill="FFFFFF"/>
          <w:lang w:eastAsia="es-ES_tradnl"/>
        </w:rPr>
        <w:t xml:space="preserve">- </w:t>
      </w:r>
      <w:r w:rsidRPr="009E7460">
        <w:rPr>
          <w:rFonts w:ascii="Verdana" w:eastAsia="Times New Roman" w:hAnsi="Verdana" w:cs="Arial"/>
          <w:sz w:val="20"/>
          <w:szCs w:val="20"/>
          <w:shd w:val="clear" w:color="auto" w:fill="FFFFFF"/>
          <w:lang w:eastAsia="es-ES_tradnl"/>
        </w:rPr>
        <w:t>Colombia Compra Eficiente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w:t>
      </w:r>
    </w:p>
    <w:p w14:paraId="0DA09D90" w14:textId="77777777" w:rsidR="001B1BC6" w:rsidRPr="001B1BC6" w:rsidRDefault="001B1BC6" w:rsidP="001B1BC6">
      <w:pPr>
        <w:spacing w:after="0" w:line="276" w:lineRule="auto"/>
        <w:jc w:val="both"/>
        <w:rPr>
          <w:rFonts w:ascii="Verdana" w:eastAsia="Calibri" w:hAnsi="Verdana" w:cs="Arial"/>
          <w:b/>
          <w:bCs/>
        </w:rPr>
      </w:pPr>
    </w:p>
    <w:p w14:paraId="65C95163" w14:textId="77777777" w:rsidR="001B1BC6" w:rsidRPr="001B1BC6" w:rsidRDefault="001B1BC6" w:rsidP="001B1BC6">
      <w:pPr>
        <w:spacing w:after="0" w:line="240" w:lineRule="auto"/>
        <w:jc w:val="both"/>
        <w:rPr>
          <w:rFonts w:ascii="Verdana" w:eastAsia="Calibri" w:hAnsi="Verdana" w:cs="Arial"/>
          <w:b/>
          <w:bCs/>
        </w:rPr>
      </w:pPr>
      <w:r w:rsidRPr="001B1BC6">
        <w:rPr>
          <w:rFonts w:ascii="Verdana" w:eastAsia="Calibri" w:hAnsi="Verdana" w:cs="Arial"/>
          <w:b/>
          <w:bCs/>
        </w:rPr>
        <w:t>MINUTA TIPO DE GESTIÓN CATASTRAL ‒ Documento tipo ‒ Catastro multipropósito ‒ Contrato interadministrativo</w:t>
      </w:r>
    </w:p>
    <w:p w14:paraId="77442604" w14:textId="77777777" w:rsidR="001B1BC6" w:rsidRPr="001B1BC6" w:rsidRDefault="001B1BC6" w:rsidP="001B1BC6">
      <w:pPr>
        <w:spacing w:after="0" w:line="240" w:lineRule="auto"/>
        <w:jc w:val="both"/>
        <w:rPr>
          <w:rFonts w:ascii="Verdana" w:eastAsia="Calibri" w:hAnsi="Verdana" w:cs="Arial"/>
          <w:b/>
          <w:bCs/>
        </w:rPr>
      </w:pPr>
    </w:p>
    <w:p w14:paraId="0C736C9B" w14:textId="1FBCBB69" w:rsidR="001B1BC6" w:rsidRPr="001B1BC6" w:rsidRDefault="001B1BC6" w:rsidP="001B1BC6">
      <w:pPr>
        <w:spacing w:after="0" w:line="240" w:lineRule="auto"/>
        <w:jc w:val="both"/>
        <w:rPr>
          <w:rFonts w:ascii="Verdana" w:eastAsia="Calibri" w:hAnsi="Verdana" w:cs="Arial"/>
          <w:color w:val="000000"/>
          <w:sz w:val="20"/>
          <w:szCs w:val="20"/>
          <w:shd w:val="clear" w:color="auto" w:fill="FFFFFF"/>
          <w:lang w:val="es-MX"/>
        </w:rPr>
      </w:pPr>
      <w:r w:rsidRPr="001B1BC6">
        <w:rPr>
          <w:rFonts w:ascii="Verdana" w:eastAsia="Calibri" w:hAnsi="Verdana" w:cs="Arial"/>
          <w:sz w:val="20"/>
          <w:szCs w:val="20"/>
          <w:lang w:val="es-MX"/>
        </w:rPr>
        <w:t xml:space="preserve">[…] </w:t>
      </w:r>
      <w:r w:rsidR="009E7460" w:rsidRPr="009E7460">
        <w:rPr>
          <w:rFonts w:ascii="Verdana" w:eastAsia="Calibri" w:hAnsi="Verdana" w:cs="Arial"/>
          <w:sz w:val="20"/>
          <w:szCs w:val="20"/>
          <w:lang w:val="es-MX"/>
        </w:rPr>
        <w:t>el documento tipo o minuta tipo adoptado por la Agencia Nacional de Contratación Pública – Colombia Compra Eficiente, en conjunto con el Instituto Geográfico Agustín Codazzi –IGAC– y el Departamento Administrativo Nacional de Estadística ‒DANE–, es el instrumento que concreta una de las formas de prestación del servicio público de gestión catastral, fundamentado particularmente en los artículos 2.2.2.5.6 y 2.2.2.5.7 del Decreto 1983 de 2019. El primero, referente a la facultad que tienen las entidades territoriales no habilitadas para contratar con un gestor catastral la prestación integral del servicio público en su territorio; mientras que el segundo artículo, entre otros requerimientos, dispone que la contratación de este servicio podrá realizarse a través de contratación directa, observando los principios de selección objetiva y transparencia, por tratarse de un contrato interadministrativo.</w:t>
      </w:r>
    </w:p>
    <w:p w14:paraId="431A213E" w14:textId="77777777" w:rsidR="001B1BC6" w:rsidRPr="001B1BC6" w:rsidRDefault="001B1BC6" w:rsidP="001B1BC6">
      <w:pPr>
        <w:spacing w:after="0" w:line="240" w:lineRule="auto"/>
        <w:jc w:val="both"/>
        <w:rPr>
          <w:rFonts w:ascii="Verdana" w:eastAsia="Calibri" w:hAnsi="Verdana" w:cs="Arial"/>
          <w:lang w:val="es-MX"/>
        </w:rPr>
      </w:pPr>
    </w:p>
    <w:p w14:paraId="5C7A246F" w14:textId="77777777" w:rsidR="001B1BC6" w:rsidRPr="001B1BC6" w:rsidRDefault="001B1BC6" w:rsidP="001B1BC6">
      <w:pPr>
        <w:spacing w:after="0" w:line="240" w:lineRule="auto"/>
        <w:jc w:val="both"/>
        <w:rPr>
          <w:rFonts w:ascii="Verdana" w:eastAsia="Calibri" w:hAnsi="Verdana" w:cs="Arial"/>
          <w:b/>
          <w:bCs/>
        </w:rPr>
      </w:pPr>
      <w:r w:rsidRPr="001B1BC6">
        <w:rPr>
          <w:rFonts w:ascii="Verdana" w:eastAsia="Calibri" w:hAnsi="Verdana" w:cs="Arial"/>
          <w:b/>
          <w:bCs/>
        </w:rPr>
        <w:t xml:space="preserve">MINUTA TIPO DE GESTIÓN CATASTRAL ‒ Ámbito de aplicación ‒ Servicio de gestión catastral integral  </w:t>
      </w:r>
    </w:p>
    <w:p w14:paraId="54D49927" w14:textId="77777777" w:rsidR="001B1BC6" w:rsidRPr="001B1BC6" w:rsidRDefault="001B1BC6" w:rsidP="001B1BC6">
      <w:pPr>
        <w:spacing w:after="0" w:line="240" w:lineRule="auto"/>
        <w:jc w:val="both"/>
        <w:rPr>
          <w:rFonts w:ascii="Verdana" w:eastAsia="Calibri" w:hAnsi="Verdana" w:cs="Arial"/>
          <w:b/>
          <w:bCs/>
        </w:rPr>
      </w:pPr>
    </w:p>
    <w:p w14:paraId="7B045D68" w14:textId="77E703A1" w:rsidR="001B1BC6" w:rsidRPr="001B1BC6" w:rsidRDefault="001B1BC6" w:rsidP="001B1BC6">
      <w:pPr>
        <w:spacing w:after="0" w:line="240" w:lineRule="auto"/>
        <w:jc w:val="both"/>
        <w:rPr>
          <w:rFonts w:ascii="Verdana" w:eastAsia="Calibri" w:hAnsi="Verdana" w:cs="Arial"/>
          <w:sz w:val="20"/>
          <w:szCs w:val="20"/>
          <w:lang w:val="es-MX"/>
        </w:rPr>
      </w:pPr>
      <w:r w:rsidRPr="001B1BC6">
        <w:rPr>
          <w:rFonts w:ascii="Verdana" w:eastAsia="Calibri" w:hAnsi="Verdana" w:cs="Arial"/>
          <w:color w:val="000000"/>
          <w:sz w:val="20"/>
          <w:szCs w:val="20"/>
          <w:lang w:val="es-MX"/>
        </w:rPr>
        <w:t xml:space="preserve">[…] </w:t>
      </w:r>
      <w:r w:rsidR="009E7460" w:rsidRPr="009E7460">
        <w:rPr>
          <w:rFonts w:ascii="Verdana" w:eastAsia="Calibri" w:hAnsi="Verdana" w:cs="Arial"/>
          <w:color w:val="000000"/>
          <w:sz w:val="20"/>
          <w:szCs w:val="20"/>
          <w:lang w:val="es-MX"/>
        </w:rPr>
        <w:t>el objeto de la minuta tipo se circunscribe a la prestación integral de la gestión catastral que comprende, de manera conjunta, las actividades de formación o actualización, según corresponda, conservación y difusión catastral. Esto significa que, con fundamento en esta minuta, únicamente se podrá contratar al gestor catastral para la ejecución de las actividades señaladas de manera integral. Así lo determina la parte introductoria de la minuta tipo que expresamente dispone que “Debido a que la prestación del servicio catastral es integral, en los términos del artículo 2.2.2.5.6. del Decreto 1983 de 2019, se contratará la actividad de formación o actualización catastral junto con su conservación. Es decir, no será posible contratar de forma aislada, con fundamento en esta minuta, las actividades de formación, actualización o conservación catastral”.</w:t>
      </w:r>
    </w:p>
    <w:p w14:paraId="718062BA" w14:textId="77777777" w:rsidR="001B1BC6" w:rsidRPr="001B1BC6" w:rsidRDefault="001B1BC6" w:rsidP="001B1BC6">
      <w:pPr>
        <w:spacing w:after="0" w:line="276" w:lineRule="auto"/>
        <w:jc w:val="both"/>
        <w:rPr>
          <w:rFonts w:ascii="Verdana" w:eastAsia="Calibri" w:hAnsi="Verdana" w:cs="Arial"/>
          <w:b/>
          <w:color w:val="000000"/>
          <w:lang w:val="es-MX"/>
        </w:rPr>
      </w:pPr>
    </w:p>
    <w:p w14:paraId="10528DFD" w14:textId="77777777" w:rsidR="009E7460" w:rsidRDefault="001B1BC6" w:rsidP="009E7460">
      <w:pPr>
        <w:spacing w:after="0" w:line="276" w:lineRule="auto"/>
        <w:jc w:val="both"/>
        <w:rPr>
          <w:rFonts w:ascii="Verdana" w:eastAsia="Geomanist Light" w:hAnsi="Verdana" w:cs="Arial"/>
          <w:b/>
          <w:bCs/>
        </w:rPr>
      </w:pPr>
      <w:r w:rsidRPr="001B1BC6">
        <w:rPr>
          <w:rFonts w:ascii="Verdana" w:eastAsia="Geomanist Light" w:hAnsi="Verdana" w:cs="Arial"/>
          <w:b/>
          <w:bCs/>
        </w:rPr>
        <w:t>MINUTA TIPO DE GESTIÓN CATASTRAL – Inalterabilidad</w:t>
      </w:r>
    </w:p>
    <w:p w14:paraId="774BB366" w14:textId="77777777" w:rsidR="009E7460" w:rsidRDefault="009E7460" w:rsidP="009E7460">
      <w:pPr>
        <w:spacing w:after="0" w:line="276" w:lineRule="auto"/>
        <w:jc w:val="both"/>
        <w:rPr>
          <w:rFonts w:ascii="Verdana" w:eastAsia="Geomanist Light" w:hAnsi="Verdana" w:cs="Arial"/>
          <w:b/>
          <w:bCs/>
        </w:rPr>
      </w:pPr>
    </w:p>
    <w:p w14:paraId="6F4B2F03" w14:textId="528F9227" w:rsidR="009E7460" w:rsidRDefault="009E7460" w:rsidP="009E7460">
      <w:pPr>
        <w:spacing w:after="0" w:line="276" w:lineRule="auto"/>
        <w:jc w:val="both"/>
        <w:rPr>
          <w:rFonts w:ascii="Verdana" w:eastAsia="Calibri" w:hAnsi="Verdana" w:cs="Arial"/>
          <w:color w:val="000000"/>
          <w:kern w:val="2"/>
          <w:sz w:val="20"/>
          <w:szCs w:val="20"/>
          <w:lang w:val="es-ES"/>
          <w14:ligatures w14:val="standardContextual"/>
        </w:rPr>
      </w:pPr>
      <w:r w:rsidRPr="009E7460">
        <w:rPr>
          <w:rFonts w:ascii="Verdana" w:eastAsia="Calibri" w:hAnsi="Verdana" w:cs="Arial"/>
          <w:color w:val="000000"/>
          <w:sz w:val="20"/>
          <w:szCs w:val="20"/>
          <w:shd w:val="clear" w:color="auto" w:fill="FFFFFF"/>
          <w:lang w:val="es-MX"/>
        </w:rPr>
        <w:lastRenderedPageBreak/>
        <w:t xml:space="preserve">En todo caso, es importante resaltar que, </w:t>
      </w:r>
      <w:r w:rsidRPr="009E7460">
        <w:rPr>
          <w:rFonts w:ascii="Verdana" w:eastAsia="Calibri" w:hAnsi="Verdana" w:cs="Arial"/>
          <w:color w:val="000000"/>
          <w:kern w:val="2"/>
          <w:sz w:val="20"/>
          <w:szCs w:val="20"/>
          <w:lang w:val="es-ES"/>
          <w14:ligatures w14:val="standardContextual"/>
        </w:rPr>
        <w:t xml:space="preserve">todas las resoluciones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9E7460">
        <w:rPr>
          <w:rFonts w:ascii="Verdana" w:eastAsia="Calibri" w:hAnsi="Verdana" w:cs="Arial"/>
          <w:i/>
          <w:iCs/>
          <w:color w:val="000000"/>
          <w:kern w:val="2"/>
          <w:sz w:val="20"/>
          <w:szCs w:val="20"/>
          <w:lang w:val="es-ES"/>
          <w14:ligatures w14:val="standardContextual"/>
        </w:rPr>
        <w:t>Documentos del Proceso</w:t>
      </w:r>
      <w:r w:rsidRPr="009E7460">
        <w:rPr>
          <w:rFonts w:ascii="Verdana" w:eastAsia="Calibri" w:hAnsi="Verdana" w:cs="Arial"/>
          <w:color w:val="000000"/>
          <w:kern w:val="2"/>
          <w:sz w:val="20"/>
          <w:szCs w:val="20"/>
          <w:lang w:val="es-ES"/>
          <w14:ligatures w14:val="standardContextual"/>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40E0F046" w14:textId="77777777" w:rsidR="009E7460" w:rsidRPr="009E7460" w:rsidRDefault="009E7460" w:rsidP="009E7460">
      <w:pPr>
        <w:spacing w:after="0" w:line="276" w:lineRule="auto"/>
        <w:jc w:val="both"/>
        <w:rPr>
          <w:rFonts w:ascii="Verdana" w:eastAsia="Geomanist Light" w:hAnsi="Verdana" w:cs="Arial"/>
          <w:b/>
          <w:bCs/>
        </w:rPr>
      </w:pPr>
    </w:p>
    <w:p w14:paraId="325770F0" w14:textId="208CCA06" w:rsidR="009E7460" w:rsidRPr="009E7460" w:rsidRDefault="009E7460" w:rsidP="009E7460">
      <w:pPr>
        <w:snapToGrid w:val="0"/>
        <w:spacing w:after="0" w:line="240" w:lineRule="auto"/>
        <w:jc w:val="both"/>
        <w:rPr>
          <w:rFonts w:ascii="Verdana" w:eastAsia="Calibri" w:hAnsi="Verdana" w:cs="Arial"/>
          <w:kern w:val="2"/>
          <w:sz w:val="20"/>
          <w:szCs w:val="20"/>
          <w:lang w:val="es-ES_tradnl"/>
          <w14:ligatures w14:val="standardContextual"/>
        </w:rPr>
      </w:pPr>
      <w:r w:rsidRPr="009E7460">
        <w:rPr>
          <w:rFonts w:ascii="Verdana" w:eastAsia="Calibri" w:hAnsi="Verdana" w:cs="Arial"/>
          <w:kern w:val="2"/>
          <w:sz w:val="20"/>
          <w:szCs w:val="20"/>
          <w:lang w:val="es-MX"/>
          <w14:ligatures w14:val="standardContextual"/>
        </w:rPr>
        <w:t xml:space="preserve">Por regla general, estos aspectos modificables corresponden a aquellos incluidos en corchetes y resaltados en gris </w:t>
      </w:r>
      <w:r w:rsidRPr="009E7460">
        <w:rPr>
          <w:rFonts w:ascii="Verdana" w:eastAsia="Aptos" w:hAnsi="Verdana" w:cs="Arial"/>
          <w:kern w:val="2"/>
          <w:sz w:val="20"/>
          <w:szCs w:val="20"/>
          <w:lang w:val="es-ES_tradnl"/>
          <w14:ligatures w14:val="standardContextual"/>
        </w:rPr>
        <w:t>–[</w:t>
      </w:r>
      <w:r w:rsidRPr="009E7460">
        <w:rPr>
          <w:rFonts w:ascii="Verdana" w:eastAsia="Aptos" w:hAnsi="Verdana" w:cs="Arial"/>
          <w:kern w:val="2"/>
          <w:sz w:val="20"/>
          <w:szCs w:val="20"/>
          <w:highlight w:val="lightGray"/>
          <w:lang w:val="es-ES_tradnl"/>
          <w14:ligatures w14:val="standardContextual"/>
        </w:rPr>
        <w:t>texto de ejemplo</w:t>
      </w:r>
      <w:r w:rsidRPr="009E7460">
        <w:rPr>
          <w:rFonts w:ascii="Verdana" w:eastAsia="Aptos" w:hAnsi="Verdana" w:cs="Arial"/>
          <w:kern w:val="2"/>
          <w:sz w:val="20"/>
          <w:szCs w:val="20"/>
          <w:lang w:val="es-ES_tradnl"/>
          <w14:ligatures w14:val="standardContextual"/>
        </w:rPr>
        <w:t xml:space="preserve">]–, los cuales </w:t>
      </w:r>
      <w:r w:rsidRPr="009E7460">
        <w:rPr>
          <w:rFonts w:ascii="Verdana" w:eastAsia="Calibri" w:hAnsi="Verdana" w:cs="Arial"/>
          <w:kern w:val="2"/>
          <w:sz w:val="20"/>
          <w:szCs w:val="20"/>
          <w:lang w:val="es-ES_tradnl"/>
          <w14:ligatures w14:val="standardContextual"/>
        </w:rPr>
        <w:t>deben ser diligenciados la entidad contratante o el proponente, según corresponda, de acuerdo con las instrucciones que allí se señalen. Al respecto, la parte introductoria de la Minuta Tipo contempla lo siguiente: […]</w:t>
      </w:r>
    </w:p>
    <w:p w14:paraId="1089B0DB" w14:textId="77777777" w:rsidR="001B1BC6" w:rsidRPr="001B1BC6" w:rsidRDefault="001B1BC6" w:rsidP="001B1BC6">
      <w:pPr>
        <w:spacing w:after="0" w:line="240" w:lineRule="auto"/>
        <w:jc w:val="both"/>
        <w:rPr>
          <w:rFonts w:ascii="Verdana" w:eastAsia="Geomanist Light" w:hAnsi="Verdana" w:cs="Arial"/>
        </w:rPr>
      </w:pPr>
    </w:p>
    <w:p w14:paraId="0D52855F" w14:textId="77777777" w:rsidR="001B1BC6" w:rsidRPr="001B1BC6" w:rsidRDefault="001B1BC6" w:rsidP="001B1BC6">
      <w:pPr>
        <w:spacing w:after="0" w:line="240" w:lineRule="auto"/>
        <w:rPr>
          <w:rFonts w:ascii="Verdana" w:eastAsia="Geomanist Light" w:hAnsi="Verdana" w:cs="Arial"/>
        </w:rPr>
      </w:pPr>
    </w:p>
    <w:p w14:paraId="31D34FC0" w14:textId="77777777" w:rsidR="001B1BC6" w:rsidRPr="001B1BC6" w:rsidRDefault="001B1BC6" w:rsidP="001B1BC6">
      <w:pPr>
        <w:spacing w:after="0" w:line="240" w:lineRule="auto"/>
        <w:rPr>
          <w:rFonts w:ascii="Verdana" w:eastAsia="Geomanist Light" w:hAnsi="Verdana" w:cs="Arial"/>
        </w:rPr>
      </w:pPr>
    </w:p>
    <w:p w14:paraId="12A7421C" w14:textId="77777777" w:rsidR="001B1BC6" w:rsidRPr="001B1BC6" w:rsidRDefault="001B1BC6" w:rsidP="001B1BC6">
      <w:pPr>
        <w:spacing w:after="0" w:line="240" w:lineRule="auto"/>
        <w:rPr>
          <w:rFonts w:ascii="Verdana" w:eastAsia="Geomanist Light" w:hAnsi="Verdana" w:cs="Arial"/>
        </w:rPr>
      </w:pPr>
    </w:p>
    <w:p w14:paraId="359FD8FB" w14:textId="77777777" w:rsidR="001B1BC6" w:rsidRPr="001B1BC6" w:rsidRDefault="001B1BC6" w:rsidP="001B1BC6">
      <w:pPr>
        <w:spacing w:after="0" w:line="240" w:lineRule="auto"/>
        <w:rPr>
          <w:rFonts w:ascii="Verdana" w:eastAsia="Geomanist Light" w:hAnsi="Verdana" w:cs="Arial"/>
        </w:rPr>
      </w:pPr>
    </w:p>
    <w:p w14:paraId="5053E07C" w14:textId="77777777" w:rsidR="001B1BC6" w:rsidRPr="001B1BC6" w:rsidRDefault="001B1BC6" w:rsidP="001B1BC6">
      <w:pPr>
        <w:spacing w:after="0" w:line="240" w:lineRule="auto"/>
        <w:rPr>
          <w:rFonts w:ascii="Verdana" w:eastAsia="Geomanist Light" w:hAnsi="Verdana" w:cs="Arial"/>
        </w:rPr>
      </w:pPr>
    </w:p>
    <w:p w14:paraId="3CD7E3F1" w14:textId="77777777" w:rsidR="001B1BC6" w:rsidRPr="001B1BC6" w:rsidRDefault="001B1BC6" w:rsidP="001B1BC6">
      <w:pPr>
        <w:spacing w:after="0" w:line="240" w:lineRule="auto"/>
        <w:rPr>
          <w:rFonts w:ascii="Verdana" w:eastAsia="Geomanist Light" w:hAnsi="Verdana" w:cs="Arial"/>
        </w:rPr>
      </w:pPr>
    </w:p>
    <w:p w14:paraId="415067CC" w14:textId="77777777" w:rsidR="001B1BC6" w:rsidRPr="001B1BC6" w:rsidRDefault="001B1BC6" w:rsidP="001B1BC6">
      <w:pPr>
        <w:spacing w:after="0" w:line="240" w:lineRule="auto"/>
        <w:rPr>
          <w:rFonts w:ascii="Verdana" w:eastAsia="Geomanist Light" w:hAnsi="Verdana" w:cs="Arial"/>
        </w:rPr>
      </w:pPr>
    </w:p>
    <w:p w14:paraId="44AACF61" w14:textId="77777777" w:rsidR="001B1BC6" w:rsidRPr="001B1BC6" w:rsidRDefault="001B1BC6" w:rsidP="001B1BC6">
      <w:pPr>
        <w:spacing w:after="0" w:line="240" w:lineRule="auto"/>
        <w:rPr>
          <w:rFonts w:ascii="Verdana" w:eastAsia="Geomanist Light" w:hAnsi="Verdana" w:cs="Arial"/>
        </w:rPr>
      </w:pPr>
    </w:p>
    <w:p w14:paraId="67E2A702" w14:textId="77777777" w:rsidR="001B1BC6" w:rsidRPr="001B1BC6" w:rsidRDefault="001B1BC6" w:rsidP="001B1BC6">
      <w:pPr>
        <w:spacing w:after="0" w:line="240" w:lineRule="auto"/>
        <w:rPr>
          <w:rFonts w:ascii="Verdana" w:eastAsia="Geomanist Light" w:hAnsi="Verdana" w:cs="Arial"/>
        </w:rPr>
      </w:pPr>
    </w:p>
    <w:p w14:paraId="7D2DF1B5" w14:textId="77777777" w:rsidR="001B1BC6" w:rsidRPr="001B1BC6" w:rsidRDefault="001B1BC6" w:rsidP="001B1BC6">
      <w:pPr>
        <w:spacing w:after="0" w:line="240" w:lineRule="auto"/>
        <w:rPr>
          <w:rFonts w:ascii="Verdana" w:eastAsia="Geomanist Light" w:hAnsi="Verdana" w:cs="Arial"/>
        </w:rPr>
      </w:pPr>
    </w:p>
    <w:p w14:paraId="669EA1DD" w14:textId="77777777" w:rsidR="001B1BC6" w:rsidRPr="001B1BC6" w:rsidRDefault="001B1BC6" w:rsidP="001B1BC6">
      <w:pPr>
        <w:spacing w:after="0" w:line="240" w:lineRule="auto"/>
        <w:rPr>
          <w:rFonts w:ascii="Verdana" w:eastAsia="Geomanist Light" w:hAnsi="Verdana" w:cs="Arial"/>
        </w:rPr>
      </w:pPr>
    </w:p>
    <w:p w14:paraId="6EB497E3" w14:textId="77777777" w:rsidR="001B1BC6" w:rsidRPr="001B1BC6" w:rsidRDefault="001B1BC6" w:rsidP="001B1BC6">
      <w:pPr>
        <w:spacing w:after="0" w:line="240" w:lineRule="auto"/>
        <w:rPr>
          <w:rFonts w:ascii="Verdana" w:eastAsia="Geomanist Light" w:hAnsi="Verdana" w:cs="Arial"/>
        </w:rPr>
      </w:pPr>
    </w:p>
    <w:p w14:paraId="171D4EA6" w14:textId="77777777" w:rsidR="001B1BC6" w:rsidRDefault="001B1BC6" w:rsidP="001B1BC6">
      <w:pPr>
        <w:spacing w:after="0" w:line="240" w:lineRule="auto"/>
        <w:rPr>
          <w:rFonts w:ascii="Verdana" w:eastAsia="Geomanist Light" w:hAnsi="Verdana" w:cs="Arial"/>
        </w:rPr>
      </w:pPr>
    </w:p>
    <w:p w14:paraId="3AA1D6FA" w14:textId="77777777" w:rsidR="009E7460" w:rsidRPr="001B1BC6" w:rsidRDefault="009E7460" w:rsidP="001B1BC6">
      <w:pPr>
        <w:spacing w:after="0" w:line="240" w:lineRule="auto"/>
        <w:rPr>
          <w:rFonts w:ascii="Verdana" w:eastAsia="Geomanist Light" w:hAnsi="Verdana" w:cs="Arial"/>
        </w:rPr>
      </w:pPr>
    </w:p>
    <w:p w14:paraId="5A5F050E" w14:textId="77777777" w:rsidR="001B1BC6" w:rsidRPr="001B1BC6" w:rsidRDefault="001B1BC6" w:rsidP="001B1BC6">
      <w:pPr>
        <w:spacing w:after="0" w:line="240" w:lineRule="auto"/>
        <w:rPr>
          <w:rFonts w:ascii="Verdana" w:eastAsia="Geomanist Light" w:hAnsi="Verdana" w:cs="Arial"/>
        </w:rPr>
      </w:pPr>
    </w:p>
    <w:p w14:paraId="0A51C042" w14:textId="77777777" w:rsidR="001B1BC6" w:rsidRPr="001B1BC6" w:rsidRDefault="001B1BC6" w:rsidP="001B1BC6">
      <w:pPr>
        <w:spacing w:after="0" w:line="240" w:lineRule="auto"/>
        <w:rPr>
          <w:rFonts w:ascii="Verdana" w:eastAsia="Geomanist Light" w:hAnsi="Verdana" w:cs="Arial"/>
        </w:rPr>
      </w:pPr>
    </w:p>
    <w:p w14:paraId="7D49531A" w14:textId="77777777" w:rsidR="001B1BC6" w:rsidRPr="001B1BC6" w:rsidRDefault="001B1BC6" w:rsidP="001B1BC6">
      <w:pPr>
        <w:spacing w:after="0" w:line="240" w:lineRule="auto"/>
        <w:rPr>
          <w:rFonts w:ascii="Verdana" w:eastAsia="Geomanist Light" w:hAnsi="Verdana" w:cs="Arial"/>
        </w:rPr>
      </w:pPr>
    </w:p>
    <w:p w14:paraId="01061651" w14:textId="77777777" w:rsidR="001B1BC6" w:rsidRPr="001B1BC6" w:rsidRDefault="001B1BC6" w:rsidP="001B1BC6">
      <w:pPr>
        <w:spacing w:after="0" w:line="240" w:lineRule="auto"/>
        <w:rPr>
          <w:rFonts w:ascii="Verdana" w:eastAsia="Geomanist Light" w:hAnsi="Verdana" w:cs="Arial"/>
        </w:rPr>
      </w:pPr>
    </w:p>
    <w:p w14:paraId="6192DD4B" w14:textId="77777777" w:rsidR="001B1BC6" w:rsidRPr="001B1BC6" w:rsidRDefault="001B1BC6" w:rsidP="001B1BC6">
      <w:pPr>
        <w:spacing w:after="0" w:line="240" w:lineRule="auto"/>
        <w:rPr>
          <w:rFonts w:ascii="Verdana" w:eastAsia="Geomanist Light" w:hAnsi="Verdana" w:cs="Arial"/>
        </w:rPr>
      </w:pPr>
    </w:p>
    <w:p w14:paraId="5A40651B" w14:textId="77777777" w:rsidR="001B1BC6" w:rsidRPr="001B1BC6" w:rsidRDefault="001B1BC6" w:rsidP="001B1BC6">
      <w:pPr>
        <w:spacing w:after="0" w:line="240" w:lineRule="auto"/>
        <w:rPr>
          <w:rFonts w:ascii="Verdana" w:eastAsia="Geomanist Light" w:hAnsi="Verdana" w:cs="Arial"/>
        </w:rPr>
      </w:pPr>
    </w:p>
    <w:p w14:paraId="7373A076" w14:textId="77777777" w:rsidR="001B1BC6" w:rsidRPr="001B1BC6" w:rsidRDefault="001B1BC6" w:rsidP="001B1BC6">
      <w:pPr>
        <w:spacing w:after="0" w:line="240" w:lineRule="auto"/>
        <w:rPr>
          <w:rFonts w:ascii="Verdana" w:eastAsia="Geomanist Light" w:hAnsi="Verdana" w:cs="Arial"/>
        </w:rPr>
      </w:pPr>
    </w:p>
    <w:p w14:paraId="35DFBF09" w14:textId="77777777" w:rsidR="001B1BC6" w:rsidRPr="001B1BC6" w:rsidRDefault="001B1BC6" w:rsidP="001B1BC6">
      <w:pPr>
        <w:spacing w:after="0" w:line="240" w:lineRule="auto"/>
        <w:rPr>
          <w:rFonts w:ascii="Verdana" w:eastAsia="Geomanist Light" w:hAnsi="Verdana" w:cs="Arial"/>
        </w:rPr>
      </w:pPr>
    </w:p>
    <w:p w14:paraId="6D3C7248" w14:textId="0EBF3B37" w:rsidR="001B1BC6" w:rsidRPr="004D7E34" w:rsidRDefault="001B1BC6" w:rsidP="001B1BC6">
      <w:pPr>
        <w:spacing w:after="0" w:line="240" w:lineRule="auto"/>
        <w:rPr>
          <w:rFonts w:ascii="Verdana" w:hAnsi="Verdana"/>
        </w:rPr>
      </w:pPr>
      <w:r w:rsidRPr="0024624F">
        <w:rPr>
          <w:rFonts w:ascii="Verdana" w:hAnsi="Verdana"/>
        </w:rPr>
        <w:lastRenderedPageBreak/>
        <w:t xml:space="preserve">Bogotá D.C., </w:t>
      </w:r>
      <w:r w:rsidR="004D7E34">
        <w:rPr>
          <w:rFonts w:ascii="Verdana" w:hAnsi="Verdana"/>
        </w:rPr>
        <w:t>12 Diciembre 2025</w:t>
      </w:r>
    </w:p>
    <w:p w14:paraId="6B00CA35" w14:textId="1296F60A" w:rsidR="001B1BC6" w:rsidRPr="001B1BC6" w:rsidRDefault="004D7E34" w:rsidP="001B1BC6">
      <w:pPr>
        <w:spacing w:after="0" w:line="240" w:lineRule="auto"/>
        <w:jc w:val="right"/>
        <w:rPr>
          <w:rFonts w:ascii="Verdana" w:eastAsia="Calibri" w:hAnsi="Verdana" w:cs="Arial"/>
          <w:lang w:eastAsia="es-ES"/>
        </w:rPr>
      </w:pPr>
      <w:r>
        <w:rPr>
          <w:rFonts w:ascii="Verdana" w:eastAsia="Calibri" w:hAnsi="Verdana" w:cs="Arial"/>
          <w:noProof/>
          <w:lang w:eastAsia="es-ES"/>
        </w:rPr>
        <w:drawing>
          <wp:inline distT="0" distB="0" distL="0" distR="0" wp14:anchorId="44699588" wp14:editId="705BEC85">
            <wp:extent cx="3042980" cy="918795"/>
            <wp:effectExtent l="0" t="0" r="0" b="0"/>
            <wp:docPr id="91525159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5251590" name="Imagen 915251590"/>
                    <pic:cNvPicPr/>
                  </pic:nvPicPr>
                  <pic:blipFill>
                    <a:blip r:embed="rId10">
                      <a:extLst>
                        <a:ext uri="{28A0092B-C50C-407E-A947-70E740481C1C}">
                          <a14:useLocalDpi xmlns:a14="http://schemas.microsoft.com/office/drawing/2010/main" val="0"/>
                        </a:ext>
                      </a:extLst>
                    </a:blip>
                    <a:stretch>
                      <a:fillRect/>
                    </a:stretch>
                  </pic:blipFill>
                  <pic:spPr>
                    <a:xfrm>
                      <a:off x="0" y="0"/>
                      <a:ext cx="3062596" cy="924718"/>
                    </a:xfrm>
                    <a:prstGeom prst="rect">
                      <a:avLst/>
                    </a:prstGeom>
                  </pic:spPr>
                </pic:pic>
              </a:graphicData>
            </a:graphic>
          </wp:inline>
        </w:drawing>
      </w:r>
    </w:p>
    <w:p w14:paraId="185A429A" w14:textId="77777777" w:rsidR="001B1BC6" w:rsidRPr="001B1BC6" w:rsidRDefault="001B1BC6" w:rsidP="001B1BC6">
      <w:pPr>
        <w:spacing w:after="0" w:line="240" w:lineRule="auto"/>
        <w:rPr>
          <w:rFonts w:ascii="Verdana" w:eastAsia="Calibri" w:hAnsi="Verdana" w:cs="Arial"/>
          <w:lang w:eastAsia="es-ES"/>
        </w:rPr>
      </w:pPr>
      <w:r w:rsidRPr="001B1BC6">
        <w:rPr>
          <w:rFonts w:ascii="Verdana" w:eastAsia="Calibri" w:hAnsi="Verdana" w:cs="Arial"/>
          <w:lang w:eastAsia="es-ES"/>
        </w:rPr>
        <w:t>Señor</w:t>
      </w:r>
    </w:p>
    <w:p w14:paraId="59B9BE6C" w14:textId="77777777" w:rsidR="001B1BC6" w:rsidRPr="001B1BC6" w:rsidRDefault="001B1BC6" w:rsidP="001B1BC6">
      <w:pPr>
        <w:spacing w:after="0" w:line="240" w:lineRule="auto"/>
        <w:rPr>
          <w:rFonts w:ascii="Verdana" w:eastAsia="Calibri" w:hAnsi="Verdana" w:cs="Arial"/>
          <w:b/>
          <w:bCs/>
          <w:lang w:eastAsia="es-ES"/>
        </w:rPr>
      </w:pPr>
      <w:r w:rsidRPr="001B1BC6">
        <w:rPr>
          <w:rFonts w:ascii="Verdana" w:eastAsia="Calibri" w:hAnsi="Verdana" w:cs="Arial"/>
          <w:b/>
          <w:bCs/>
          <w:lang w:eastAsia="es-ES"/>
        </w:rPr>
        <w:t>Carlos Andrés Rey Trejos</w:t>
      </w:r>
    </w:p>
    <w:p w14:paraId="45CB2314" w14:textId="77777777" w:rsidR="001B1BC6" w:rsidRPr="001B1BC6" w:rsidRDefault="001B1BC6" w:rsidP="001B1BC6">
      <w:pPr>
        <w:spacing w:after="0" w:line="240" w:lineRule="auto"/>
        <w:rPr>
          <w:rFonts w:ascii="Verdana" w:eastAsia="Calibri" w:hAnsi="Verdana" w:cs="Arial"/>
          <w:lang w:eastAsia="es-ES"/>
        </w:rPr>
      </w:pPr>
      <w:r w:rsidRPr="001B1BC6">
        <w:rPr>
          <w:rFonts w:ascii="Verdana" w:eastAsia="Calibri" w:hAnsi="Verdana" w:cs="Arial"/>
          <w:lang w:eastAsia="es-ES"/>
        </w:rPr>
        <w:t>Jefe Oficina Asesora Jurídica</w:t>
      </w:r>
    </w:p>
    <w:p w14:paraId="1D0D9B0C" w14:textId="77777777" w:rsidR="001B1BC6" w:rsidRPr="001B1BC6" w:rsidRDefault="001B1BC6" w:rsidP="001B1BC6">
      <w:pPr>
        <w:spacing w:after="0" w:line="240" w:lineRule="auto"/>
        <w:rPr>
          <w:rFonts w:ascii="Verdana" w:eastAsia="Calibri" w:hAnsi="Verdana" w:cs="Arial"/>
          <w:lang w:eastAsia="es-ES"/>
        </w:rPr>
      </w:pPr>
      <w:r w:rsidRPr="001B1BC6">
        <w:rPr>
          <w:rFonts w:ascii="Verdana" w:eastAsia="Calibri" w:hAnsi="Verdana" w:cs="Arial"/>
          <w:lang w:eastAsia="es-ES"/>
        </w:rPr>
        <w:t>Alcaldía de Calarcá</w:t>
      </w:r>
    </w:p>
    <w:p w14:paraId="2E01DA9A" w14:textId="77777777" w:rsidR="001B1BC6" w:rsidRPr="001B1BC6" w:rsidRDefault="001B1BC6" w:rsidP="001B1BC6">
      <w:pPr>
        <w:spacing w:after="0" w:line="240" w:lineRule="auto"/>
        <w:rPr>
          <w:rFonts w:ascii="Verdana" w:eastAsia="Calibri" w:hAnsi="Verdana" w:cs="Arial"/>
          <w:lang w:eastAsia="es-ES"/>
        </w:rPr>
      </w:pPr>
      <w:r w:rsidRPr="001B1BC6">
        <w:rPr>
          <w:rFonts w:ascii="Verdana" w:eastAsia="Calibri" w:hAnsi="Verdana" w:cs="Arial"/>
          <w:lang w:eastAsia="es-ES"/>
        </w:rPr>
        <w:t>Calarcá, Quindío</w:t>
      </w:r>
    </w:p>
    <w:p w14:paraId="182C051D" w14:textId="77777777" w:rsidR="001B1BC6" w:rsidRPr="001B1BC6" w:rsidRDefault="001B1BC6" w:rsidP="001B1BC6">
      <w:pPr>
        <w:spacing w:after="0" w:line="240" w:lineRule="auto"/>
        <w:rPr>
          <w:rFonts w:ascii="Verdana" w:eastAsia="Calibri" w:hAnsi="Verdana" w:cs="Arial"/>
          <w:b/>
          <w:bCs/>
          <w:lang w:eastAsia="es-ES_tradnl"/>
        </w:rPr>
      </w:pPr>
    </w:p>
    <w:p w14:paraId="6BCCE1BB" w14:textId="77777777" w:rsidR="001B1BC6" w:rsidRPr="001B1BC6" w:rsidRDefault="001B1BC6" w:rsidP="001B1BC6">
      <w:pPr>
        <w:spacing w:after="0" w:line="240" w:lineRule="auto"/>
        <w:rPr>
          <w:rFonts w:ascii="Verdana" w:eastAsia="Calibri" w:hAnsi="Verdana" w:cs="Arial"/>
          <w:b/>
          <w:bCs/>
          <w:lang w:eastAsia="es-ES_tradnl"/>
        </w:rPr>
      </w:pPr>
    </w:p>
    <w:tbl>
      <w:tblPr>
        <w:tblStyle w:val="Tablaconcuadrcula1"/>
        <w:tblW w:w="923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402"/>
        <w:gridCol w:w="5831"/>
      </w:tblGrid>
      <w:tr w:rsidR="001B1BC6" w:rsidRPr="001B1BC6" w14:paraId="1B1B814E" w14:textId="77777777" w:rsidTr="00E3455C">
        <w:trPr>
          <w:trHeight w:val="999"/>
        </w:trPr>
        <w:tc>
          <w:tcPr>
            <w:tcW w:w="3402" w:type="dxa"/>
          </w:tcPr>
          <w:p w14:paraId="2DFCA59E" w14:textId="77777777" w:rsidR="001B1BC6" w:rsidRPr="001B1BC6" w:rsidRDefault="001B1BC6" w:rsidP="001B1BC6">
            <w:pPr>
              <w:jc w:val="both"/>
              <w:rPr>
                <w:rFonts w:ascii="Verdana" w:eastAsia="Calibri" w:hAnsi="Verdana" w:cs="Arial"/>
                <w:b/>
                <w:bCs/>
                <w:lang w:eastAsia="es-ES_tradnl"/>
              </w:rPr>
            </w:pPr>
          </w:p>
        </w:tc>
        <w:tc>
          <w:tcPr>
            <w:tcW w:w="5831" w:type="dxa"/>
            <w:hideMark/>
          </w:tcPr>
          <w:p w14:paraId="506A5A6A" w14:textId="77777777" w:rsidR="001B1BC6" w:rsidRPr="001B1BC6" w:rsidRDefault="001B1BC6" w:rsidP="001B1BC6">
            <w:pPr>
              <w:jc w:val="both"/>
              <w:rPr>
                <w:rFonts w:ascii="Verdana" w:eastAsia="Calibri" w:hAnsi="Verdana" w:cs="Arial"/>
                <w:b/>
                <w:bCs/>
                <w:lang w:eastAsia="es-ES"/>
              </w:rPr>
            </w:pPr>
            <w:r w:rsidRPr="001B1BC6">
              <w:rPr>
                <w:rFonts w:ascii="Verdana" w:eastAsia="Calibri" w:hAnsi="Verdana" w:cs="Arial"/>
                <w:b/>
                <w:bCs/>
                <w:lang w:eastAsia="es-ES"/>
              </w:rPr>
              <w:t>Concepto C – 1666 de 2025</w:t>
            </w:r>
          </w:p>
        </w:tc>
      </w:tr>
      <w:tr w:rsidR="001B1BC6" w:rsidRPr="001B1BC6" w14:paraId="27B40CCA" w14:textId="77777777" w:rsidTr="00E3455C">
        <w:trPr>
          <w:trHeight w:val="999"/>
        </w:trPr>
        <w:tc>
          <w:tcPr>
            <w:tcW w:w="3402" w:type="dxa"/>
            <w:hideMark/>
          </w:tcPr>
          <w:p w14:paraId="093C5D4A" w14:textId="77777777" w:rsidR="001B1BC6" w:rsidRPr="001B1BC6" w:rsidRDefault="001B1BC6" w:rsidP="001B1BC6">
            <w:pPr>
              <w:spacing w:line="276" w:lineRule="auto"/>
              <w:jc w:val="both"/>
              <w:rPr>
                <w:rFonts w:ascii="Verdana" w:eastAsia="Calibri" w:hAnsi="Verdana" w:cs="Arial"/>
                <w:lang w:eastAsia="es-ES_tradnl"/>
              </w:rPr>
            </w:pPr>
            <w:r w:rsidRPr="001B1BC6">
              <w:rPr>
                <w:rFonts w:ascii="Verdana" w:eastAsia="Calibri" w:hAnsi="Verdana" w:cs="Arial"/>
                <w:b/>
                <w:lang w:eastAsia="es-ES_tradnl"/>
              </w:rPr>
              <w:t>Temas:</w:t>
            </w:r>
            <w:r w:rsidRPr="001B1BC6">
              <w:rPr>
                <w:rFonts w:ascii="Verdana" w:eastAsia="Calibri" w:hAnsi="Verdana" w:cs="Arial"/>
                <w:lang w:eastAsia="es-ES_tradnl"/>
              </w:rPr>
              <w:t xml:space="preserve">                   </w:t>
            </w:r>
          </w:p>
        </w:tc>
        <w:tc>
          <w:tcPr>
            <w:tcW w:w="5831" w:type="dxa"/>
          </w:tcPr>
          <w:p w14:paraId="6BD38C17" w14:textId="77777777" w:rsidR="001B1BC6" w:rsidRPr="001B1BC6" w:rsidRDefault="001B1BC6" w:rsidP="001B1BC6">
            <w:pPr>
              <w:spacing w:line="276" w:lineRule="auto"/>
              <w:jc w:val="both"/>
              <w:rPr>
                <w:rFonts w:ascii="Verdana" w:eastAsia="Geomanist Light" w:hAnsi="Verdana" w:cs="Arial"/>
              </w:rPr>
            </w:pPr>
            <w:r w:rsidRPr="001B1BC6">
              <w:rPr>
                <w:rFonts w:ascii="Verdana" w:eastAsia="Calibri" w:hAnsi="Verdana" w:cs="Times New Roman"/>
                <w:color w:val="000000"/>
              </w:rPr>
              <w:t xml:space="preserve">DOCUMENTOS TIPO – Fundamento normativo – Obligatoriedad </w:t>
            </w:r>
            <w:r w:rsidRPr="001B1BC6">
              <w:rPr>
                <w:rFonts w:ascii="Verdana" w:eastAsia="Calibri" w:hAnsi="Verdana" w:cs="Times New Roman"/>
              </w:rPr>
              <w:t xml:space="preserve">/ </w:t>
            </w:r>
            <w:r w:rsidRPr="001B1BC6">
              <w:rPr>
                <w:rFonts w:ascii="Verdana" w:eastAsia="Calibri" w:hAnsi="Verdana" w:cs="Arial"/>
              </w:rPr>
              <w:t xml:space="preserve">MINUTA TIPO ‒ Documento tipo ‒ Catastro multipropósito ‒ Contrato interadministrativo / MINUTA TIPO ‒ Ámbito de aplicación ‒ Servicio de gestión catastral integral / </w:t>
            </w:r>
            <w:r w:rsidRPr="001B1BC6">
              <w:rPr>
                <w:rFonts w:ascii="Verdana" w:eastAsia="Geomanist Light" w:hAnsi="Verdana" w:cs="Arial"/>
              </w:rPr>
              <w:t>MINUTA TIPO DE GESTIÓN CATASTRAL – Inalterabilidad</w:t>
            </w:r>
          </w:p>
          <w:p w14:paraId="2DB22EA4" w14:textId="77777777" w:rsidR="001B1BC6" w:rsidRPr="001B1BC6" w:rsidRDefault="001B1BC6" w:rsidP="001B1BC6">
            <w:pPr>
              <w:spacing w:line="276" w:lineRule="auto"/>
              <w:jc w:val="both"/>
              <w:rPr>
                <w:rFonts w:ascii="Verdana" w:eastAsia="Calibri" w:hAnsi="Verdana" w:cs="Arial"/>
              </w:rPr>
            </w:pPr>
          </w:p>
        </w:tc>
      </w:tr>
      <w:tr w:rsidR="001B1BC6" w:rsidRPr="001B1BC6" w14:paraId="2987E775" w14:textId="77777777" w:rsidTr="00E3455C">
        <w:trPr>
          <w:trHeight w:val="597"/>
        </w:trPr>
        <w:tc>
          <w:tcPr>
            <w:tcW w:w="3402" w:type="dxa"/>
            <w:hideMark/>
          </w:tcPr>
          <w:p w14:paraId="415B7899" w14:textId="77777777" w:rsidR="001B1BC6" w:rsidRPr="001B1BC6" w:rsidRDefault="001B1BC6" w:rsidP="001B1BC6">
            <w:pPr>
              <w:spacing w:line="276" w:lineRule="auto"/>
              <w:jc w:val="both"/>
              <w:rPr>
                <w:rFonts w:ascii="Verdana" w:eastAsia="Calibri" w:hAnsi="Verdana" w:cs="Arial"/>
                <w:b/>
                <w:lang w:eastAsia="es-ES_tradnl"/>
              </w:rPr>
            </w:pPr>
            <w:r w:rsidRPr="001B1BC6">
              <w:rPr>
                <w:rFonts w:ascii="Verdana" w:eastAsia="Calibri" w:hAnsi="Verdana" w:cs="Arial"/>
                <w:b/>
                <w:lang w:eastAsia="es-ES_tradnl"/>
              </w:rPr>
              <w:t>Radicación:</w:t>
            </w:r>
            <w:r w:rsidRPr="001B1BC6">
              <w:rPr>
                <w:rFonts w:ascii="Verdana" w:eastAsia="Calibri" w:hAnsi="Verdana" w:cs="Arial"/>
                <w:lang w:eastAsia="es-ES_tradnl"/>
              </w:rPr>
              <w:t xml:space="preserve">               </w:t>
            </w:r>
          </w:p>
        </w:tc>
        <w:tc>
          <w:tcPr>
            <w:tcW w:w="5831" w:type="dxa"/>
          </w:tcPr>
          <w:p w14:paraId="6D2E6FE7" w14:textId="77777777" w:rsidR="001B1BC6" w:rsidRPr="001B1BC6" w:rsidRDefault="001B1BC6" w:rsidP="001B1BC6">
            <w:pPr>
              <w:spacing w:line="276" w:lineRule="auto"/>
              <w:jc w:val="both"/>
              <w:rPr>
                <w:rFonts w:ascii="Verdana" w:eastAsia="Calibri" w:hAnsi="Verdana" w:cs="Arial"/>
                <w:lang w:eastAsia="es-ES_tradnl"/>
              </w:rPr>
            </w:pPr>
            <w:r w:rsidRPr="001B1BC6">
              <w:rPr>
                <w:rFonts w:ascii="Verdana" w:eastAsia="Calibri" w:hAnsi="Verdana" w:cs="Arial"/>
                <w:lang w:eastAsia="es-ES_tradnl"/>
              </w:rPr>
              <w:t>Respuesta a consulta con radicado No. 1_2025_11_10_012685</w:t>
            </w:r>
          </w:p>
        </w:tc>
      </w:tr>
    </w:tbl>
    <w:p w14:paraId="5DC734C4" w14:textId="77777777" w:rsidR="001B1BC6" w:rsidRPr="001B1BC6" w:rsidRDefault="001B1BC6" w:rsidP="001B1BC6">
      <w:pPr>
        <w:spacing w:after="0" w:line="240" w:lineRule="auto"/>
        <w:jc w:val="both"/>
        <w:rPr>
          <w:rFonts w:ascii="Verdana" w:eastAsia="Calibri" w:hAnsi="Verdana" w:cs="Arial"/>
          <w:lang w:eastAsia="es-ES_tradnl"/>
        </w:rPr>
      </w:pPr>
    </w:p>
    <w:p w14:paraId="3E40250F" w14:textId="77777777" w:rsidR="001B1BC6" w:rsidRPr="001B1BC6" w:rsidRDefault="001B1BC6" w:rsidP="001B1BC6">
      <w:pPr>
        <w:spacing w:after="0" w:line="276" w:lineRule="auto"/>
        <w:jc w:val="both"/>
        <w:rPr>
          <w:rFonts w:ascii="Verdana" w:eastAsia="Calibri" w:hAnsi="Verdana" w:cs="Arial"/>
          <w:lang w:eastAsia="es-ES"/>
        </w:rPr>
      </w:pPr>
    </w:p>
    <w:p w14:paraId="3DDA92D5" w14:textId="77777777" w:rsidR="001B1BC6" w:rsidRPr="001B1BC6" w:rsidRDefault="001B1BC6" w:rsidP="001B1BC6">
      <w:pPr>
        <w:spacing w:after="0" w:line="276" w:lineRule="auto"/>
        <w:jc w:val="both"/>
        <w:rPr>
          <w:rFonts w:ascii="Verdana" w:eastAsia="Calibri" w:hAnsi="Verdana" w:cs="Arial"/>
          <w:lang w:eastAsia="es-ES"/>
        </w:rPr>
      </w:pPr>
      <w:r w:rsidRPr="001B1BC6">
        <w:rPr>
          <w:rFonts w:ascii="Verdana" w:eastAsia="Calibri" w:hAnsi="Verdana" w:cs="Arial"/>
          <w:lang w:eastAsia="es-ES"/>
        </w:rPr>
        <w:t xml:space="preserve">Estimado señor Rey Trejos:  </w:t>
      </w:r>
    </w:p>
    <w:p w14:paraId="053FBBD1" w14:textId="77777777" w:rsidR="001B1BC6" w:rsidRPr="001B1BC6" w:rsidRDefault="001B1BC6" w:rsidP="001B1BC6">
      <w:pPr>
        <w:tabs>
          <w:tab w:val="left" w:pos="3768"/>
        </w:tabs>
        <w:spacing w:after="0" w:line="276" w:lineRule="auto"/>
        <w:jc w:val="both"/>
        <w:rPr>
          <w:rFonts w:ascii="Verdana" w:eastAsia="Calibri" w:hAnsi="Verdana" w:cs="Arial"/>
          <w:lang w:eastAsia="es-ES"/>
        </w:rPr>
      </w:pPr>
      <w:r w:rsidRPr="001B1BC6">
        <w:rPr>
          <w:rFonts w:ascii="Verdana" w:eastAsia="Calibri" w:hAnsi="Verdana" w:cs="Arial"/>
          <w:lang w:eastAsia="es-ES"/>
        </w:rPr>
        <w:tab/>
      </w:r>
    </w:p>
    <w:p w14:paraId="7914EA82" w14:textId="77777777" w:rsidR="001B1BC6" w:rsidRPr="001B1BC6" w:rsidRDefault="001B1BC6" w:rsidP="001B1BC6">
      <w:pPr>
        <w:spacing w:after="0" w:line="276" w:lineRule="auto"/>
        <w:jc w:val="both"/>
        <w:rPr>
          <w:rFonts w:ascii="Verdana" w:eastAsia="Calibri" w:hAnsi="Verdana" w:cs="Arial"/>
          <w:lang w:eastAsia="es-ES"/>
        </w:rPr>
      </w:pPr>
      <w:r w:rsidRPr="001B1BC6">
        <w:rPr>
          <w:rFonts w:ascii="Verdana" w:eastAsia="Calibri" w:hAnsi="Verdana" w:cs="Arial"/>
          <w:lang w:eastAsia="es-ES"/>
        </w:rPr>
        <w:t>En ejercicio de la competencia otorgada por los artículos 3, numeral 5º, y 11, numeral 8º, del Decreto Ley 4170 de 2011,</w:t>
      </w:r>
      <w:r w:rsidRPr="001B1BC6">
        <w:rPr>
          <w:rFonts w:ascii="Verdana" w:eastAsia="Arial MT" w:hAnsi="Verdana" w:cs="Arial MT"/>
          <w:lang w:eastAsia="es-ES"/>
        </w:rPr>
        <w:t xml:space="preserve"> </w:t>
      </w:r>
      <w:r w:rsidRPr="001B1BC6">
        <w:rPr>
          <w:rFonts w:ascii="Verdana" w:eastAsia="Calibri" w:hAnsi="Verdana" w:cs="Arial"/>
        </w:rPr>
        <w:t xml:space="preserve">así como lo establecido en el artículo 4 de la Resolución 1707 de 2018 expedida por esta Entidad, </w:t>
      </w:r>
      <w:r w:rsidRPr="001B1BC6">
        <w:rPr>
          <w:rFonts w:ascii="Verdana" w:eastAsia="Calibri" w:hAnsi="Verdana" w:cs="Arial"/>
          <w:lang w:eastAsia="es-ES"/>
        </w:rPr>
        <w:t>la Agencia Nacional de Contratación Pública –Colombia Compra Eficiente– responde su solicitud de consulta de fecha 10 de noviembre de 2025. En relación con los documentos tipo de gestión catastral con enfoque multipropósito, usted pregunta lo siguiente:</w:t>
      </w:r>
      <w:bookmarkStart w:id="1" w:name="_Hlk95313578"/>
    </w:p>
    <w:p w14:paraId="32757629" w14:textId="77777777" w:rsidR="001B1BC6" w:rsidRPr="001B1BC6" w:rsidRDefault="001B1BC6" w:rsidP="001B1BC6">
      <w:pPr>
        <w:spacing w:after="0" w:line="276" w:lineRule="auto"/>
        <w:jc w:val="both"/>
        <w:rPr>
          <w:rFonts w:ascii="Verdana" w:eastAsia="Calibri" w:hAnsi="Verdana" w:cs="Arial"/>
          <w:sz w:val="21"/>
          <w:szCs w:val="21"/>
          <w:lang w:eastAsia="es-ES"/>
        </w:rPr>
      </w:pPr>
    </w:p>
    <w:bookmarkEnd w:id="1"/>
    <w:p w14:paraId="5F42E353" w14:textId="77777777" w:rsidR="001B1BC6" w:rsidRPr="001B1BC6" w:rsidRDefault="001B1BC6" w:rsidP="001B1BC6">
      <w:pPr>
        <w:spacing w:after="0" w:line="240" w:lineRule="auto"/>
        <w:ind w:left="709" w:right="709"/>
        <w:jc w:val="both"/>
        <w:rPr>
          <w:rFonts w:ascii="Verdana" w:eastAsia="Calibri" w:hAnsi="Verdana" w:cs="Arial"/>
          <w:sz w:val="21"/>
          <w:szCs w:val="21"/>
          <w:lang w:val="es-ES" w:eastAsia="es-ES"/>
        </w:rPr>
      </w:pPr>
      <w:r w:rsidRPr="001B1BC6">
        <w:rPr>
          <w:rFonts w:ascii="Verdana" w:eastAsia="Calibri" w:hAnsi="Verdana" w:cs="Arial"/>
          <w:sz w:val="21"/>
          <w:szCs w:val="21"/>
          <w:lang w:eastAsia="es-ES"/>
        </w:rPr>
        <w:t xml:space="preserve">“1. La procedencia o no de incluir modificaciones, como la cláusula suspensiva sugerida por el IGAC, sin desconocer el principio de </w:t>
      </w:r>
      <w:proofErr w:type="spellStart"/>
      <w:r w:rsidRPr="001B1BC6">
        <w:rPr>
          <w:rFonts w:ascii="Verdana" w:eastAsia="Calibri" w:hAnsi="Verdana" w:cs="Arial"/>
          <w:sz w:val="21"/>
          <w:szCs w:val="21"/>
          <w:lang w:eastAsia="es-ES"/>
        </w:rPr>
        <w:t>inmodificabilidad</w:t>
      </w:r>
      <w:proofErr w:type="spellEnd"/>
      <w:r w:rsidRPr="001B1BC6">
        <w:rPr>
          <w:rFonts w:ascii="Verdana" w:eastAsia="Calibri" w:hAnsi="Verdana" w:cs="Arial"/>
          <w:sz w:val="21"/>
          <w:szCs w:val="21"/>
          <w:lang w:eastAsia="es-ES"/>
        </w:rPr>
        <w:t xml:space="preserve"> de los documentos tipo”.</w:t>
      </w:r>
    </w:p>
    <w:p w14:paraId="2417DE97" w14:textId="77777777" w:rsidR="001B1BC6" w:rsidRPr="001B1BC6" w:rsidRDefault="001B1BC6" w:rsidP="001B1BC6">
      <w:pPr>
        <w:spacing w:after="0" w:line="240" w:lineRule="auto"/>
        <w:ind w:left="709" w:right="709"/>
        <w:jc w:val="both"/>
        <w:rPr>
          <w:rFonts w:ascii="Verdana" w:eastAsia="Times New Roman" w:hAnsi="Verdana" w:cs="Times New Roman"/>
          <w:sz w:val="21"/>
          <w:szCs w:val="21"/>
          <w:lang w:eastAsia="es-CO"/>
        </w:rPr>
      </w:pPr>
    </w:p>
    <w:p w14:paraId="42C30EDD" w14:textId="77777777" w:rsidR="001B1BC6" w:rsidRPr="001B1BC6" w:rsidRDefault="001B1BC6" w:rsidP="001B1BC6">
      <w:pPr>
        <w:spacing w:after="120" w:line="276" w:lineRule="auto"/>
        <w:ind w:firstLine="709"/>
        <w:jc w:val="both"/>
        <w:rPr>
          <w:rFonts w:ascii="Verdana" w:eastAsia="Calibri" w:hAnsi="Verdana" w:cs="Arial"/>
          <w:lang w:eastAsia="es-ES"/>
        </w:rPr>
      </w:pPr>
      <w:r w:rsidRPr="001B1BC6">
        <w:rPr>
          <w:rFonts w:ascii="Verdana" w:eastAsia="Calibri" w:hAnsi="Verdana" w:cs="Arial"/>
          <w:lang w:eastAsia="es-ES"/>
        </w:rPr>
        <w:t xml:space="preserve">De manera preliminar, resulta necesario resaltar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p>
    <w:p w14:paraId="501DFD1D" w14:textId="77777777" w:rsidR="001B1BC6" w:rsidRPr="001B1BC6" w:rsidRDefault="001B1BC6" w:rsidP="001B1BC6">
      <w:pPr>
        <w:spacing w:after="0" w:line="276" w:lineRule="auto"/>
        <w:jc w:val="both"/>
        <w:rPr>
          <w:rFonts w:ascii="Verdana" w:eastAsia="Calibri" w:hAnsi="Verdana" w:cs="Arial"/>
          <w:lang w:eastAsia="es-ES"/>
        </w:rPr>
      </w:pPr>
      <w:r w:rsidRPr="001B1BC6">
        <w:rPr>
          <w:rFonts w:ascii="Verdana" w:eastAsia="Calibri" w:hAnsi="Verdana" w:cs="Arial"/>
          <w:lang w:eastAsia="es-ES_tradnl"/>
        </w:rPr>
        <w:tab/>
      </w:r>
      <w:r w:rsidRPr="001B1BC6">
        <w:rPr>
          <w:rFonts w:ascii="Verdana" w:eastAsia="Calibri" w:hAnsi="Verdana" w:cs="Arial"/>
          <w:lang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p>
    <w:p w14:paraId="298430A8" w14:textId="77777777" w:rsidR="001B1BC6" w:rsidRPr="001B1BC6" w:rsidRDefault="001B1BC6" w:rsidP="001B1BC6">
      <w:pPr>
        <w:snapToGrid w:val="0"/>
        <w:spacing w:after="0" w:line="276" w:lineRule="auto"/>
        <w:ind w:firstLine="709"/>
        <w:jc w:val="both"/>
        <w:rPr>
          <w:rFonts w:ascii="Verdana" w:eastAsia="Calibri" w:hAnsi="Verdana" w:cs="Arial"/>
          <w:lang w:eastAsia="es-ES"/>
        </w:rPr>
      </w:pPr>
    </w:p>
    <w:p w14:paraId="4F4B5ED1" w14:textId="77777777" w:rsidR="001B1BC6" w:rsidRPr="001B1BC6" w:rsidRDefault="001B1BC6" w:rsidP="001B1BC6">
      <w:pPr>
        <w:numPr>
          <w:ilvl w:val="0"/>
          <w:numId w:val="16"/>
        </w:numPr>
        <w:tabs>
          <w:tab w:val="left" w:pos="142"/>
          <w:tab w:val="left" w:pos="284"/>
        </w:tabs>
        <w:snapToGrid w:val="0"/>
        <w:spacing w:after="0" w:line="276" w:lineRule="auto"/>
        <w:jc w:val="both"/>
        <w:rPr>
          <w:rFonts w:ascii="Verdana" w:eastAsia="Century Gothic" w:hAnsi="Verdana" w:cs="Century Gothic"/>
          <w:b/>
          <w:bCs/>
        </w:rPr>
      </w:pPr>
      <w:r w:rsidRPr="001B1BC6">
        <w:rPr>
          <w:rFonts w:ascii="Verdana" w:eastAsia="Century Gothic" w:hAnsi="Verdana" w:cs="Century Gothic"/>
          <w:b/>
          <w:bCs/>
        </w:rPr>
        <w:t>Problema planteado:</w:t>
      </w:r>
    </w:p>
    <w:p w14:paraId="19816433" w14:textId="77777777" w:rsidR="001B1BC6" w:rsidRPr="001B1BC6" w:rsidRDefault="001B1BC6" w:rsidP="001B1BC6">
      <w:pPr>
        <w:tabs>
          <w:tab w:val="left" w:pos="426"/>
        </w:tabs>
        <w:snapToGrid w:val="0"/>
        <w:spacing w:after="0" w:line="276" w:lineRule="auto"/>
        <w:jc w:val="both"/>
        <w:rPr>
          <w:rFonts w:ascii="Verdana" w:eastAsia="Century Gothic" w:hAnsi="Verdana" w:cs="Century Gothic"/>
        </w:rPr>
      </w:pPr>
    </w:p>
    <w:p w14:paraId="13EDBE10" w14:textId="77777777" w:rsidR="001B1BC6" w:rsidRPr="001B1BC6" w:rsidRDefault="001B1BC6" w:rsidP="001B1BC6">
      <w:pPr>
        <w:snapToGrid w:val="0"/>
        <w:spacing w:after="0" w:line="276" w:lineRule="auto"/>
        <w:jc w:val="both"/>
        <w:rPr>
          <w:rFonts w:ascii="Verdana" w:eastAsia="Century Gothic" w:hAnsi="Verdana" w:cs="Century Gothic"/>
        </w:rPr>
      </w:pPr>
      <w:r w:rsidRPr="001B1BC6">
        <w:rPr>
          <w:rFonts w:ascii="Verdana" w:eastAsia="Century Gothic" w:hAnsi="Verdana" w:cs="Century Gothic"/>
        </w:rPr>
        <w:t>De acuerdo con el contenido de su solicitud, esta Agencia resolverá el siguiente problema jurídico: ¿es posible incluir una cláusula suspensiva en los documentos tipo de gestión catastral con enfoque multipropósito?</w:t>
      </w:r>
    </w:p>
    <w:p w14:paraId="22A134DF" w14:textId="77777777" w:rsidR="001B1BC6" w:rsidRPr="001B1BC6" w:rsidRDefault="001B1BC6" w:rsidP="001B1BC6">
      <w:pPr>
        <w:snapToGrid w:val="0"/>
        <w:spacing w:after="0" w:line="276" w:lineRule="auto"/>
        <w:jc w:val="both"/>
        <w:rPr>
          <w:rFonts w:ascii="Verdana" w:eastAsia="Century Gothic" w:hAnsi="Verdana" w:cs="Century Gothic"/>
        </w:rPr>
      </w:pPr>
    </w:p>
    <w:p w14:paraId="1D760650" w14:textId="77777777" w:rsidR="001B1BC6" w:rsidRPr="001B1BC6" w:rsidRDefault="001B1BC6" w:rsidP="001B1BC6">
      <w:pPr>
        <w:numPr>
          <w:ilvl w:val="0"/>
          <w:numId w:val="16"/>
        </w:numPr>
        <w:tabs>
          <w:tab w:val="left" w:pos="142"/>
          <w:tab w:val="left" w:pos="284"/>
        </w:tabs>
        <w:spacing w:after="0" w:line="276" w:lineRule="auto"/>
        <w:contextualSpacing/>
        <w:jc w:val="both"/>
        <w:rPr>
          <w:rFonts w:ascii="Verdana" w:eastAsia="Century Gothic" w:hAnsi="Verdana" w:cs="Century Gothic"/>
          <w:b/>
          <w:bCs/>
        </w:rPr>
      </w:pPr>
      <w:r w:rsidRPr="001B1BC6">
        <w:rPr>
          <w:rFonts w:ascii="Verdana" w:eastAsia="Century Gothic" w:hAnsi="Verdana" w:cs="Century Gothic"/>
          <w:b/>
          <w:bCs/>
        </w:rPr>
        <w:t>Respuesta:</w:t>
      </w:r>
    </w:p>
    <w:p w14:paraId="53DCE07C" w14:textId="77777777" w:rsidR="001B1BC6" w:rsidRPr="001B1BC6" w:rsidRDefault="001B1BC6" w:rsidP="001B1BC6">
      <w:pPr>
        <w:tabs>
          <w:tab w:val="left" w:pos="142"/>
          <w:tab w:val="left" w:pos="284"/>
        </w:tabs>
        <w:spacing w:after="0" w:line="276" w:lineRule="auto"/>
        <w:ind w:left="360"/>
        <w:contextualSpacing/>
        <w:jc w:val="both"/>
        <w:rPr>
          <w:rFonts w:ascii="Verdana" w:eastAsia="Century Gothic" w:hAnsi="Verdana" w:cs="Century Gothic"/>
          <w:b/>
          <w:bCs/>
        </w:rPr>
      </w:pPr>
    </w:p>
    <w:tbl>
      <w:tblPr>
        <w:tblStyle w:val="Tablaconcuadrcula1"/>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1B1BC6" w:rsidRPr="001B1BC6" w14:paraId="670267BC" w14:textId="77777777" w:rsidTr="00E3455C">
        <w:trPr>
          <w:trHeight w:val="2802"/>
        </w:trPr>
        <w:tc>
          <w:tcPr>
            <w:tcW w:w="8828" w:type="dxa"/>
            <w:tcBorders>
              <w:top w:val="dotted" w:sz="4" w:space="0" w:color="auto"/>
              <w:left w:val="dotted" w:sz="4" w:space="0" w:color="auto"/>
              <w:bottom w:val="dotted" w:sz="4" w:space="0" w:color="auto"/>
              <w:right w:val="dotted" w:sz="4" w:space="0" w:color="auto"/>
            </w:tcBorders>
          </w:tcPr>
          <w:p w14:paraId="5B9CE271" w14:textId="77777777" w:rsidR="001B1BC6" w:rsidRPr="001B1BC6" w:rsidRDefault="001B1BC6" w:rsidP="001B1BC6">
            <w:pPr>
              <w:snapToGrid w:val="0"/>
              <w:spacing w:after="120" w:line="276" w:lineRule="auto"/>
              <w:jc w:val="both"/>
              <w:rPr>
                <w:rFonts w:ascii="Verdana" w:eastAsia="Calibri" w:hAnsi="Verdana" w:cs="Arial"/>
                <w:lang w:val="es-MX"/>
              </w:rPr>
            </w:pPr>
            <w:r w:rsidRPr="001B1BC6">
              <w:rPr>
                <w:rFonts w:ascii="Verdana" w:eastAsia="Calibri" w:hAnsi="Verdana" w:cs="Arial"/>
                <w:lang w:val="es-MX"/>
              </w:rPr>
              <w:lastRenderedPageBreak/>
              <w:t xml:space="preserve">El documento tipo o minuta tipo de gestion catastral con enfoque multipropósito adoptado por la </w:t>
            </w:r>
            <w:r w:rsidRPr="001B1BC6">
              <w:rPr>
                <w:rFonts w:ascii="Verdana" w:eastAsia="Calibri" w:hAnsi="Verdana" w:cs="Arial"/>
                <w:color w:val="000000"/>
                <w:shd w:val="clear" w:color="auto" w:fill="FFFFFF"/>
                <w:lang w:val="es-MX"/>
              </w:rPr>
              <w:t xml:space="preserve">Agencia Nacional de Contratación Pública – Colombia Compra Eficiente, en conjunto con el Instituto Geográfico Agustín Codazzi –IGAC– y el Departamento Administrativo Nacional de Estadística ‒DANE–, es el instrumento que concreta una de las formas de prestación del servicio público de gestión catastral, fundamentado particularmente en los artículos 2.2.2.5.6 y 2.2.2.5.7 del Decreto 1983 de 2019. El primero, referente a la facultad que tienen las entidades territoriales no habilitadas para contratar con un gestor catastral la prestación integral del servicio público en su territorio; mientras que el segundo artículo, entre otros requerimientos, dispone que la contratación de este servicio podrá realizarse a través de contratación directa, observando los principios de selección objetiva y transparencia, por tratarse de un contrato interadministrativo. </w:t>
            </w:r>
          </w:p>
          <w:p w14:paraId="2CA7EA62" w14:textId="77777777" w:rsidR="001B1BC6" w:rsidRPr="001B1BC6" w:rsidRDefault="001B1BC6" w:rsidP="001B1BC6">
            <w:pPr>
              <w:snapToGrid w:val="0"/>
              <w:spacing w:after="120" w:line="276" w:lineRule="auto"/>
              <w:ind w:firstLine="709"/>
              <w:jc w:val="both"/>
              <w:rPr>
                <w:rFonts w:ascii="Verdana" w:eastAsia="Calibri" w:hAnsi="Verdana" w:cs="Arial"/>
                <w:bCs/>
              </w:rPr>
            </w:pPr>
            <w:r w:rsidRPr="001B1BC6">
              <w:rPr>
                <w:rFonts w:ascii="Verdana" w:eastAsia="Calibri" w:hAnsi="Verdana" w:cs="Arial"/>
                <w:color w:val="000000"/>
                <w:shd w:val="clear" w:color="auto" w:fill="FFFFFF"/>
                <w:lang w:val="es-MX"/>
              </w:rPr>
              <w:t xml:space="preserve">De este modo, la minuta tipo materializa la forma de prestación del servicio público de gestión catastral de manera integral, mediante el cual un municipio decide contratar a un gestor catastral habilitado para la prestación de este servicio, lo cual, debe realizarse mediante un contrato interadministrativo. Este documento </w:t>
            </w:r>
            <w:r w:rsidRPr="001B1BC6">
              <w:rPr>
                <w:rFonts w:ascii="Verdana" w:eastAsia="Calibri" w:hAnsi="Verdana" w:cs="Arial"/>
                <w:color w:val="000000"/>
                <w:lang w:val="es-MX"/>
              </w:rPr>
              <w:t>contiene las condiciones que deben incorporarse en las minutas para contratos interadministrativos para la ejecución de las actividades de formación o actualización y conservación catastral, que celebre con cualquier gestor catastral habilitado o con el Instituto Geográfico Agustín Codazzi.</w:t>
            </w:r>
          </w:p>
          <w:p w14:paraId="40D78991" w14:textId="77777777" w:rsidR="001B1BC6" w:rsidRPr="001B1BC6" w:rsidRDefault="001B1BC6" w:rsidP="001B1BC6">
            <w:pPr>
              <w:snapToGrid w:val="0"/>
              <w:spacing w:after="120" w:line="276" w:lineRule="auto"/>
              <w:ind w:firstLine="709"/>
              <w:jc w:val="both"/>
              <w:rPr>
                <w:rFonts w:ascii="Verdana" w:eastAsia="Calibri" w:hAnsi="Verdana" w:cs="Arial"/>
                <w:lang w:val="es-MX"/>
              </w:rPr>
            </w:pPr>
            <w:r w:rsidRPr="001B1BC6">
              <w:rPr>
                <w:rFonts w:ascii="Verdana" w:eastAsia="Calibri" w:hAnsi="Verdana" w:cs="Arial"/>
                <w:color w:val="000000"/>
                <w:lang w:val="es-MX"/>
              </w:rPr>
              <w:t xml:space="preserve">De ahí que el objeto de la minuta tipo se circunscribe a la prestación integral de la gestión catastral que comprende, de manera conjunta, las actividades de formación o actualización, según corresponda, conservación y difusión catastral. Esto significa que, con fundamento en esta minuta, únicamente se podrá contratar al gestor catastral para la ejecución de las actividades señaladas de manera integral. </w:t>
            </w:r>
            <w:r w:rsidRPr="001B1BC6">
              <w:rPr>
                <w:rFonts w:ascii="Verdana" w:eastAsia="Calibri" w:hAnsi="Verdana" w:cs="Arial"/>
                <w:color w:val="000000"/>
                <w:shd w:val="clear" w:color="auto" w:fill="FFFFFF"/>
                <w:lang w:val="es-MX"/>
              </w:rPr>
              <w:t xml:space="preserve">Así lo determina la parte introductoria de la minuta tipo que expresamente dispone que </w:t>
            </w:r>
            <w:r w:rsidRPr="001B1BC6">
              <w:rPr>
                <w:rFonts w:ascii="Verdana" w:eastAsia="Calibri" w:hAnsi="Verdana" w:cs="Arial"/>
                <w:lang w:val="es-MX"/>
              </w:rPr>
              <w:t>“</w:t>
            </w:r>
            <w:r w:rsidRPr="001B1BC6">
              <w:rPr>
                <w:rFonts w:ascii="Verdana" w:eastAsia="Calibri" w:hAnsi="Verdana" w:cs="Arial"/>
                <w:color w:val="000000"/>
                <w:shd w:val="clear" w:color="auto" w:fill="FFFFFF"/>
                <w:lang w:val="es-MX"/>
              </w:rPr>
              <w:t>Debido a que la prestación del servicio catastral es integral, en los términos del artículo 2.2.2.5.6. del Decreto 1983 de 2019, se contratará la actividad de formación o actualización catastral junto con su conservación. Es decir, no será posible contratar de forma aislada, con fundamento en esta minuta, las actividades de formación, actualización o conservación catastral</w:t>
            </w:r>
            <w:r w:rsidRPr="001B1BC6">
              <w:rPr>
                <w:rFonts w:ascii="Verdana" w:eastAsia="Calibri" w:hAnsi="Verdana" w:cs="Arial"/>
                <w:lang w:val="es-MX"/>
              </w:rPr>
              <w:t xml:space="preserve">”. </w:t>
            </w:r>
          </w:p>
          <w:p w14:paraId="27C562F5" w14:textId="77777777" w:rsidR="001B1BC6" w:rsidRPr="001B1BC6" w:rsidRDefault="001B1BC6" w:rsidP="001B1BC6">
            <w:pPr>
              <w:snapToGrid w:val="0"/>
              <w:spacing w:before="120" w:after="120" w:line="276" w:lineRule="auto"/>
              <w:ind w:firstLine="709"/>
              <w:jc w:val="both"/>
              <w:rPr>
                <w:rFonts w:ascii="Verdana" w:eastAsia="Calibri" w:hAnsi="Verdana" w:cs="Arial"/>
                <w:color w:val="000000"/>
                <w:lang w:val="es-ES"/>
              </w:rPr>
            </w:pPr>
            <w:r w:rsidRPr="001B1BC6">
              <w:rPr>
                <w:rFonts w:ascii="Verdana" w:eastAsia="Calibri" w:hAnsi="Verdana" w:cs="Arial"/>
                <w:color w:val="000000"/>
                <w:shd w:val="clear" w:color="auto" w:fill="FFFFFF"/>
                <w:lang w:val="es-MX"/>
              </w:rPr>
              <w:lastRenderedPageBreak/>
              <w:t xml:space="preserve">Por otra parte, es importante resaltar que, </w:t>
            </w:r>
            <w:r w:rsidRPr="001B1BC6">
              <w:rPr>
                <w:rFonts w:ascii="Verdana" w:eastAsia="Calibri" w:hAnsi="Verdana" w:cs="Arial"/>
                <w:color w:val="000000"/>
                <w:lang w:val="es-ES"/>
              </w:rPr>
              <w:t xml:space="preserve">todas las resoluciones expedidas por la Agencia Nacional de Contratación Pública – Colombia Compra Eficiente, mediante las cuales se adoptaron los documentos tipo, consagran la regla de la inalterabilidad. Esta prohibición consiste en que las entidades estatales no pueden incluir o modificar en los </w:t>
            </w:r>
            <w:r w:rsidRPr="001B1BC6">
              <w:rPr>
                <w:rFonts w:ascii="Verdana" w:eastAsia="Calibri" w:hAnsi="Verdana" w:cs="Arial"/>
                <w:i/>
                <w:iCs/>
                <w:color w:val="000000"/>
                <w:lang w:val="es-ES"/>
              </w:rPr>
              <w:t>Documentos del Proceso</w:t>
            </w:r>
            <w:r w:rsidRPr="001B1BC6">
              <w:rPr>
                <w:rFonts w:ascii="Verdana" w:eastAsia="Calibri" w:hAnsi="Verdana" w:cs="Arial"/>
                <w:color w:val="000000"/>
                <w:lang w:val="es-ES"/>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5A721E54" w14:textId="77777777" w:rsidR="001B1BC6" w:rsidRPr="001B1BC6" w:rsidRDefault="001B1BC6" w:rsidP="001B1BC6">
            <w:pPr>
              <w:snapToGrid w:val="0"/>
              <w:spacing w:line="276" w:lineRule="auto"/>
              <w:ind w:firstLine="709"/>
              <w:jc w:val="both"/>
              <w:rPr>
                <w:rFonts w:ascii="Verdana" w:eastAsia="Calibri" w:hAnsi="Verdana" w:cs="Arial"/>
                <w:lang w:val="es-ES_tradnl"/>
              </w:rPr>
            </w:pPr>
            <w:r w:rsidRPr="001B1BC6">
              <w:rPr>
                <w:rFonts w:ascii="Verdana" w:eastAsia="Calibri" w:hAnsi="Verdana" w:cs="Arial"/>
                <w:lang w:val="es-MX"/>
              </w:rPr>
              <w:t xml:space="preserve">Por regla general, estos aspectos modificables corresponden a aquellos incluidos en corchetes y resaltados en gris </w:t>
            </w:r>
            <w:r w:rsidRPr="001B1BC6">
              <w:rPr>
                <w:rFonts w:ascii="Verdana" w:eastAsia="Aptos" w:hAnsi="Verdana" w:cs="Arial"/>
                <w:lang w:val="es-ES_tradnl"/>
              </w:rPr>
              <w:t>–[</w:t>
            </w:r>
            <w:r w:rsidRPr="001B1BC6">
              <w:rPr>
                <w:rFonts w:ascii="Verdana" w:eastAsia="Aptos" w:hAnsi="Verdana" w:cs="Arial"/>
                <w:highlight w:val="lightGray"/>
                <w:lang w:val="es-ES_tradnl"/>
              </w:rPr>
              <w:t>texto de ejemplo</w:t>
            </w:r>
            <w:r w:rsidRPr="001B1BC6">
              <w:rPr>
                <w:rFonts w:ascii="Verdana" w:eastAsia="Aptos" w:hAnsi="Verdana" w:cs="Arial"/>
                <w:lang w:val="es-ES_tradnl"/>
              </w:rPr>
              <w:t xml:space="preserve">]–, los cuales </w:t>
            </w:r>
            <w:r w:rsidRPr="001B1BC6">
              <w:rPr>
                <w:rFonts w:ascii="Verdana" w:eastAsia="Calibri" w:hAnsi="Verdana" w:cs="Arial"/>
                <w:lang w:val="es-ES_tradnl"/>
              </w:rPr>
              <w:t xml:space="preserve">deben ser diligenciados la entidad contratante o el proponente, según corresponda, de acuerdo con las instrucciones que allí se señalen. En ese sentido, solo podrán modificarse o diligenciarse los aspectos que la Minuta Tipo permita de forma expresa, en los términos que allí mismo se determinen, sin que sea posible incluir elementos no permitidos o que quebranten el contenido de los documentos tipo. </w:t>
            </w:r>
          </w:p>
        </w:tc>
      </w:tr>
    </w:tbl>
    <w:p w14:paraId="625294BA" w14:textId="77777777" w:rsidR="001B1BC6" w:rsidRPr="001B1BC6" w:rsidRDefault="001B1BC6" w:rsidP="001B1BC6">
      <w:pPr>
        <w:tabs>
          <w:tab w:val="left" w:pos="142"/>
          <w:tab w:val="left" w:pos="284"/>
        </w:tabs>
        <w:spacing w:after="0" w:line="276" w:lineRule="auto"/>
        <w:jc w:val="both"/>
        <w:rPr>
          <w:rFonts w:ascii="Verdana" w:eastAsia="Century Gothic" w:hAnsi="Verdana" w:cs="Century Gothic"/>
          <w:b/>
          <w:bCs/>
        </w:rPr>
      </w:pPr>
    </w:p>
    <w:p w14:paraId="15207FF6" w14:textId="77777777" w:rsidR="001B1BC6" w:rsidRPr="001B1BC6" w:rsidRDefault="001B1BC6" w:rsidP="001B1BC6">
      <w:pPr>
        <w:numPr>
          <w:ilvl w:val="0"/>
          <w:numId w:val="16"/>
        </w:numPr>
        <w:tabs>
          <w:tab w:val="left" w:pos="142"/>
          <w:tab w:val="left" w:pos="284"/>
        </w:tabs>
        <w:spacing w:after="0" w:line="276" w:lineRule="auto"/>
        <w:contextualSpacing/>
        <w:jc w:val="both"/>
        <w:rPr>
          <w:rFonts w:ascii="Verdana" w:eastAsia="Century Gothic" w:hAnsi="Verdana" w:cs="Century Gothic"/>
          <w:b/>
          <w:bCs/>
        </w:rPr>
      </w:pPr>
      <w:r w:rsidRPr="001B1BC6">
        <w:rPr>
          <w:rFonts w:ascii="Verdana" w:eastAsia="Century Gothic" w:hAnsi="Verdana" w:cs="Century Gothic"/>
          <w:b/>
          <w:bCs/>
        </w:rPr>
        <w:t>Razones de la respuesta:</w:t>
      </w:r>
    </w:p>
    <w:p w14:paraId="1AD9B26C" w14:textId="77777777" w:rsidR="001B1BC6" w:rsidRPr="001B1BC6" w:rsidRDefault="001B1BC6" w:rsidP="001B1BC6">
      <w:pPr>
        <w:spacing w:after="0" w:line="276" w:lineRule="auto"/>
        <w:jc w:val="both"/>
        <w:rPr>
          <w:rFonts w:ascii="Verdana" w:eastAsia="Calibri" w:hAnsi="Verdana" w:cs="Arial"/>
        </w:rPr>
      </w:pPr>
    </w:p>
    <w:p w14:paraId="2C9E9999" w14:textId="77777777" w:rsidR="001B1BC6" w:rsidRPr="001B1BC6" w:rsidRDefault="001B1BC6" w:rsidP="001B1BC6">
      <w:pPr>
        <w:snapToGrid w:val="0"/>
        <w:spacing w:after="0" w:line="276" w:lineRule="auto"/>
        <w:jc w:val="both"/>
        <w:rPr>
          <w:rFonts w:ascii="Verdana" w:eastAsia="Calibri" w:hAnsi="Verdana" w:cs="Arial"/>
        </w:rPr>
      </w:pPr>
      <w:r w:rsidRPr="001B1BC6">
        <w:rPr>
          <w:rFonts w:ascii="Verdana" w:eastAsia="Calibri" w:hAnsi="Verdana" w:cs="Arial"/>
        </w:rPr>
        <w:t xml:space="preserve">Lo anterior se sustenta en las siguientes consideraciones: </w:t>
      </w:r>
    </w:p>
    <w:p w14:paraId="5B775D8B" w14:textId="77777777" w:rsidR="001B1BC6" w:rsidRPr="001B1BC6" w:rsidRDefault="001B1BC6" w:rsidP="001B1BC6">
      <w:pPr>
        <w:snapToGrid w:val="0"/>
        <w:spacing w:after="0" w:line="276" w:lineRule="auto"/>
        <w:jc w:val="both"/>
        <w:rPr>
          <w:rFonts w:ascii="Verdana" w:eastAsia="Calibri" w:hAnsi="Verdana" w:cs="Arial"/>
        </w:rPr>
      </w:pPr>
    </w:p>
    <w:p w14:paraId="0D4C8AF8" w14:textId="02B5685A" w:rsidR="001B1BC6" w:rsidRPr="001B1BC6" w:rsidRDefault="001B1BC6" w:rsidP="001B1BC6">
      <w:pPr>
        <w:snapToGrid w:val="0"/>
        <w:spacing w:after="120" w:line="276" w:lineRule="auto"/>
        <w:jc w:val="both"/>
        <w:rPr>
          <w:rFonts w:ascii="Verdana" w:eastAsia="Calibri" w:hAnsi="Verdana" w:cs="Arial"/>
        </w:rPr>
      </w:pPr>
      <w:r w:rsidRPr="001B1BC6">
        <w:rPr>
          <w:rFonts w:ascii="Verdana" w:eastAsia="Calibri" w:hAnsi="Verdana" w:cs="Arial"/>
        </w:rPr>
        <w:t xml:space="preserve">Los documentos tipo expedidos por la Agencia Nacional de Contratación Pública </w:t>
      </w:r>
      <w:r w:rsidR="009E7460">
        <w:rPr>
          <w:rFonts w:ascii="Verdana" w:eastAsia="Symbol" w:hAnsi="Verdana" w:cs="Symbol"/>
        </w:rPr>
        <w:t>-</w:t>
      </w:r>
      <w:r w:rsidRPr="001B1BC6">
        <w:rPr>
          <w:rFonts w:ascii="Verdana" w:eastAsia="Calibri" w:hAnsi="Verdana" w:cs="Arial"/>
        </w:rPr>
        <w:t xml:space="preserve"> Colombia Compra Eficiente en ejercicio de la potestad otorgada por la Ley 2022 de 2020 son de obligatoria observancia por parte de las Entidades Estatales sometidas al Estatuto General de Contratación de la Administración Pública –EGCAP–. Debido a esto, tales entidades deben aplicar de manera forzosa los documentos tipo para desarrollar los Procesos de Contratación en los objetos y modalidades cobijadas por los Documentos Tipo. </w:t>
      </w:r>
    </w:p>
    <w:p w14:paraId="4C7C0E08" w14:textId="77777777" w:rsidR="001B1BC6" w:rsidRPr="001B1BC6" w:rsidRDefault="001B1BC6" w:rsidP="001B1BC6">
      <w:pPr>
        <w:snapToGrid w:val="0"/>
        <w:spacing w:after="120" w:line="276" w:lineRule="auto"/>
        <w:ind w:firstLine="709"/>
        <w:jc w:val="both"/>
        <w:rPr>
          <w:rFonts w:ascii="Verdana" w:eastAsia="Calibri" w:hAnsi="Verdana" w:cs="Arial"/>
          <w:bCs/>
        </w:rPr>
      </w:pPr>
      <w:r w:rsidRPr="001B1BC6">
        <w:rPr>
          <w:rFonts w:ascii="Verdana" w:eastAsia="Calibri" w:hAnsi="Verdana" w:cs="Times New Roman"/>
        </w:rPr>
        <w:lastRenderedPageBreak/>
        <w:t>La Agencia Nacional de Contratación Pública – Colombia Compra Eficiente ha expedido documentos tipo para los sectores de infraestructura de transporte, agua potable y saneamiento básico y social. Asimismo, esta Agencia expidió los documentos tipo de gestión catastral con enfoque multipropósito y para la contratación directa de convenios solidarios para la ejecución de obras hasta la menor cuantía con organismos de acción comunal</w:t>
      </w:r>
      <w:r w:rsidRPr="001B1BC6">
        <w:rPr>
          <w:rFonts w:ascii="Verdana" w:eastAsia="Calibri" w:hAnsi="Verdana" w:cs="Times New Roman"/>
          <w:vertAlign w:val="superscript"/>
        </w:rPr>
        <w:footnoteReference w:id="1"/>
      </w:r>
      <w:r w:rsidRPr="001B1BC6">
        <w:rPr>
          <w:rFonts w:ascii="Verdana" w:eastAsia="Calibri" w:hAnsi="Verdana" w:cs="Times New Roman"/>
        </w:rPr>
        <w:t>.</w:t>
      </w:r>
    </w:p>
    <w:p w14:paraId="4E331CC0" w14:textId="77777777" w:rsidR="001B1BC6" w:rsidRPr="001B1BC6" w:rsidRDefault="001B1BC6" w:rsidP="001B1BC6">
      <w:pPr>
        <w:snapToGrid w:val="0"/>
        <w:spacing w:after="120" w:line="276" w:lineRule="auto"/>
        <w:ind w:firstLine="709"/>
        <w:jc w:val="both"/>
        <w:rPr>
          <w:rFonts w:ascii="Verdana" w:eastAsia="Calibri" w:hAnsi="Verdana" w:cs="Arial"/>
          <w:bCs/>
        </w:rPr>
      </w:pPr>
      <w:r w:rsidRPr="001B1BC6">
        <w:rPr>
          <w:rFonts w:ascii="Verdana" w:eastAsia="Calibri" w:hAnsi="Verdana" w:cs="Arial"/>
          <w:lang w:val="es-MX"/>
        </w:rPr>
        <w:t>Debido a la necesidad de actualizar la gestión catastral e implementar herramientas que faciliten los procesos de formación, actualización, conservación y difusión catastral, era prioritario estructurar los documentos tipo que definieran la contratación de las actividades relacionadas con la gestión catastral. Así, con el objetivo de unificar y facilitar la contratación de la gestión catastral de las entidades estatales y, a su vez, cumplir la línea de acción No. 13 definida en el documento CONPES 3958 del 26 de marzo de 2019</w:t>
      </w:r>
      <w:r w:rsidRPr="001B1BC6">
        <w:rPr>
          <w:rFonts w:ascii="Verdana" w:eastAsia="Calibri" w:hAnsi="Verdana" w:cs="Arial"/>
          <w:vertAlign w:val="superscript"/>
          <w:lang w:val="es-MX"/>
        </w:rPr>
        <w:footnoteReference w:id="2"/>
      </w:r>
      <w:r w:rsidRPr="001B1BC6">
        <w:rPr>
          <w:rFonts w:ascii="Verdana" w:eastAsia="Calibri" w:hAnsi="Verdana" w:cs="Arial"/>
          <w:lang w:val="es-MX"/>
        </w:rPr>
        <w:t xml:space="preserve">, la Agencia expidió la Resolución No. 269 del 16 de diciembre de 2020, “Por la cual se adopta el documento tipo para los procesos de gestión catastral con enfoque multipropósito que se celebren a través de contratos interadministrativos”. </w:t>
      </w:r>
    </w:p>
    <w:p w14:paraId="19E2D568" w14:textId="77777777" w:rsidR="001B1BC6" w:rsidRPr="001B1BC6" w:rsidRDefault="001B1BC6" w:rsidP="001B1BC6">
      <w:pPr>
        <w:snapToGrid w:val="0"/>
        <w:spacing w:after="120" w:line="276" w:lineRule="auto"/>
        <w:ind w:firstLine="709"/>
        <w:jc w:val="both"/>
        <w:rPr>
          <w:rFonts w:ascii="Verdana" w:eastAsia="Calibri" w:hAnsi="Verdana" w:cs="Arial"/>
          <w:bCs/>
        </w:rPr>
      </w:pPr>
      <w:r w:rsidRPr="001B1BC6">
        <w:rPr>
          <w:rFonts w:ascii="Verdana" w:eastAsia="Calibri" w:hAnsi="Verdana" w:cs="Arial"/>
          <w:lang w:val="es-MX"/>
        </w:rPr>
        <w:t>E</w:t>
      </w:r>
      <w:r w:rsidRPr="001B1BC6">
        <w:rPr>
          <w:rFonts w:ascii="Verdana" w:eastAsia="Calibri" w:hAnsi="Verdana" w:cs="Arial"/>
          <w:color w:val="000000"/>
          <w:shd w:val="clear" w:color="auto" w:fill="FFFFFF"/>
          <w:lang w:val="es-MX"/>
        </w:rPr>
        <w:t>l argumento principal que fundamenta el enfoque regulatorio adoptado por Colombia Compra Eficiente para expedir el documento tipo señalado, se sustenta en una sujeción estricta al principio de legalidad. De esta manera se apoya en la normativa legal y reglamentaria que regula la prestación del servicio público de gestión catastral, cuando se acude a celebrar un contrato para el desarrollo de esta actividad.</w:t>
      </w:r>
    </w:p>
    <w:p w14:paraId="2E21C096" w14:textId="77777777" w:rsidR="001B1BC6" w:rsidRPr="001B1BC6" w:rsidRDefault="001B1BC6" w:rsidP="001B1BC6">
      <w:pPr>
        <w:snapToGrid w:val="0"/>
        <w:spacing w:after="120" w:line="276" w:lineRule="auto"/>
        <w:ind w:firstLine="709"/>
        <w:jc w:val="both"/>
        <w:rPr>
          <w:rFonts w:ascii="Verdana" w:eastAsia="Calibri" w:hAnsi="Verdana" w:cs="Arial"/>
          <w:color w:val="000000"/>
          <w:shd w:val="clear" w:color="auto" w:fill="FFFFFF"/>
          <w:lang w:val="es-MX"/>
        </w:rPr>
      </w:pPr>
      <w:r w:rsidRPr="001B1BC6">
        <w:rPr>
          <w:rFonts w:ascii="Verdana" w:eastAsia="Calibri" w:hAnsi="Verdana" w:cs="Arial"/>
          <w:lang w:val="es-MX"/>
        </w:rPr>
        <w:t xml:space="preserve">En efecto, </w:t>
      </w:r>
      <w:bookmarkStart w:id="2" w:name="_Hlk72143126"/>
      <w:r w:rsidRPr="001B1BC6">
        <w:rPr>
          <w:rFonts w:ascii="Verdana" w:eastAsia="Calibri" w:hAnsi="Verdana" w:cs="Arial"/>
          <w:lang w:val="es-MX"/>
        </w:rPr>
        <w:t xml:space="preserve">el documento tipo o minuta tipo adoptado por la </w:t>
      </w:r>
      <w:r w:rsidRPr="001B1BC6">
        <w:rPr>
          <w:rFonts w:ascii="Verdana" w:eastAsia="Calibri" w:hAnsi="Verdana" w:cs="Arial"/>
          <w:color w:val="000000"/>
          <w:shd w:val="clear" w:color="auto" w:fill="FFFFFF"/>
          <w:lang w:val="es-MX"/>
        </w:rPr>
        <w:t xml:space="preserve">Agencia Nacional de Contratación Pública – Colombia Compra Eficiente, en conjunto con el Instituto Geográfico Agustín Codazzi –IGAC– y el Departamento Administrativo Nacional de Estadística ‒DANE–, es el instrumento que concreta </w:t>
      </w:r>
      <w:r w:rsidRPr="001B1BC6">
        <w:rPr>
          <w:rFonts w:ascii="Verdana" w:eastAsia="Calibri" w:hAnsi="Verdana" w:cs="Arial"/>
          <w:color w:val="000000"/>
          <w:shd w:val="clear" w:color="auto" w:fill="FFFFFF"/>
          <w:lang w:val="es-MX"/>
        </w:rPr>
        <w:lastRenderedPageBreak/>
        <w:t xml:space="preserve">una de las formas de prestación del servicio público de gestión catastral, fundamentado particularmente en los artículos 2.2.2.5.6 y 2.2.2.5.7 del Decreto 1983 de 2019. El primero, referente a la facultad que tienen las entidades territoriales no habilitadas para contratar con un gestor catastral la prestación integral del servicio público en su territorio; mientras que el segundo artículo, entre otros requerimientos, dispone que la contratación de este servicio podrá realizarse a través de contratación directa, observando los principios de selección objetiva y transparencia, por tratarse de un contrato interadministrativo. </w:t>
      </w:r>
    </w:p>
    <w:bookmarkEnd w:id="2"/>
    <w:p w14:paraId="5FE6111C" w14:textId="77777777" w:rsidR="001B1BC6" w:rsidRPr="001B1BC6" w:rsidRDefault="001B1BC6" w:rsidP="001B1BC6">
      <w:pPr>
        <w:snapToGrid w:val="0"/>
        <w:spacing w:after="120" w:line="276" w:lineRule="auto"/>
        <w:ind w:firstLine="709"/>
        <w:jc w:val="both"/>
        <w:rPr>
          <w:rFonts w:ascii="Verdana" w:eastAsia="Calibri" w:hAnsi="Verdana" w:cs="Arial"/>
          <w:bCs/>
        </w:rPr>
      </w:pPr>
      <w:r w:rsidRPr="001B1BC6">
        <w:rPr>
          <w:rFonts w:ascii="Verdana" w:eastAsia="Calibri" w:hAnsi="Verdana" w:cs="Arial"/>
          <w:color w:val="000000"/>
          <w:shd w:val="clear" w:color="auto" w:fill="FFFFFF"/>
          <w:lang w:val="es-MX"/>
        </w:rPr>
        <w:t xml:space="preserve">De este modo, la minuta tipo materializa la forma de prestación del servicio público de gestión catastral de manera integral, mediante el cual un municipio decide contratar a un gestor catastral habilitado para la prestación de este servicio, lo cual, debe realizarse mediante un contrato interadministrativo. Este documento </w:t>
      </w:r>
      <w:r w:rsidRPr="001B1BC6">
        <w:rPr>
          <w:rFonts w:ascii="Verdana" w:eastAsia="Calibri" w:hAnsi="Verdana" w:cs="Arial"/>
          <w:color w:val="000000"/>
          <w:lang w:val="es-MX"/>
        </w:rPr>
        <w:t>contiene las condiciones que deben incorporarse en las minutas para contratos interadministrativos para la ejecución de las actividades de formación o actualización y conservación catastral, que celebre con cualquier gestor catastral habilitado o con el Instituto Geográfico Agustín Codazzi.</w:t>
      </w:r>
    </w:p>
    <w:p w14:paraId="182B381D" w14:textId="77777777" w:rsidR="001B1BC6" w:rsidRPr="001B1BC6" w:rsidRDefault="001B1BC6" w:rsidP="001B1BC6">
      <w:pPr>
        <w:snapToGrid w:val="0"/>
        <w:spacing w:after="120" w:line="276" w:lineRule="auto"/>
        <w:ind w:firstLine="709"/>
        <w:jc w:val="both"/>
        <w:rPr>
          <w:rFonts w:ascii="Verdana" w:eastAsia="Calibri" w:hAnsi="Verdana" w:cs="Arial"/>
          <w:lang w:val="es-MX"/>
        </w:rPr>
      </w:pPr>
      <w:r w:rsidRPr="001B1BC6">
        <w:rPr>
          <w:rFonts w:ascii="Verdana" w:eastAsia="Calibri" w:hAnsi="Verdana" w:cs="Arial"/>
          <w:color w:val="000000"/>
          <w:lang w:val="es-MX"/>
        </w:rPr>
        <w:t xml:space="preserve">De ahí que </w:t>
      </w:r>
      <w:bookmarkStart w:id="3" w:name="_Hlk75267005"/>
      <w:r w:rsidRPr="001B1BC6">
        <w:rPr>
          <w:rFonts w:ascii="Verdana" w:eastAsia="Calibri" w:hAnsi="Verdana" w:cs="Arial"/>
          <w:color w:val="000000"/>
          <w:lang w:val="es-MX"/>
        </w:rPr>
        <w:t xml:space="preserve">el objeto de la minuta tipo se circunscribe a la prestación integral de la gestión catastral que comprende, de manera conjunta, las actividades de formación o actualización, según corresponda, conservación y difusión catastral. Esto significa que, con fundamento en esta minuta, únicamente se podrá contratar al gestor catastral para la ejecución de las actividades señaladas de manera integral. </w:t>
      </w:r>
      <w:r w:rsidRPr="001B1BC6">
        <w:rPr>
          <w:rFonts w:ascii="Verdana" w:eastAsia="Calibri" w:hAnsi="Verdana" w:cs="Arial"/>
          <w:color w:val="000000"/>
          <w:shd w:val="clear" w:color="auto" w:fill="FFFFFF"/>
          <w:lang w:val="es-MX"/>
        </w:rPr>
        <w:t xml:space="preserve">Así lo determina la parte introductoria de la minuta tipo que expresamente dispone que </w:t>
      </w:r>
      <w:r w:rsidRPr="001B1BC6">
        <w:rPr>
          <w:rFonts w:ascii="Verdana" w:eastAsia="Calibri" w:hAnsi="Verdana" w:cs="Arial"/>
          <w:lang w:val="es-MX"/>
        </w:rPr>
        <w:t>“</w:t>
      </w:r>
      <w:r w:rsidRPr="001B1BC6">
        <w:rPr>
          <w:rFonts w:ascii="Verdana" w:eastAsia="Calibri" w:hAnsi="Verdana" w:cs="Arial"/>
          <w:color w:val="000000"/>
          <w:shd w:val="clear" w:color="auto" w:fill="FFFFFF"/>
          <w:lang w:val="es-MX"/>
        </w:rPr>
        <w:t>Debido a que la prestación del servicio catastral es integral, en los términos del artículo 2.2.2.5.6. del Decreto 1983 de 2019, se contratará la actividad de formación o actualización catastral junto con su conservación. Es decir, no será posible contratar de forma aislada, con fundamento en esta minuta, las actividades de formación, actualización o conservación catastral</w:t>
      </w:r>
      <w:bookmarkEnd w:id="3"/>
      <w:r w:rsidRPr="001B1BC6">
        <w:rPr>
          <w:rFonts w:ascii="Verdana" w:eastAsia="Calibri" w:hAnsi="Verdana" w:cs="Arial"/>
          <w:lang w:val="es-MX"/>
        </w:rPr>
        <w:t xml:space="preserve">”. </w:t>
      </w:r>
    </w:p>
    <w:p w14:paraId="4D147B50" w14:textId="77777777" w:rsidR="001B1BC6" w:rsidRPr="001B1BC6" w:rsidRDefault="001B1BC6" w:rsidP="001B1BC6">
      <w:pPr>
        <w:snapToGrid w:val="0"/>
        <w:spacing w:after="120" w:line="276" w:lineRule="auto"/>
        <w:ind w:firstLine="709"/>
        <w:jc w:val="both"/>
        <w:rPr>
          <w:rFonts w:ascii="Verdana" w:eastAsia="Calibri" w:hAnsi="Verdana" w:cs="Arial"/>
          <w:lang w:val="es-MX"/>
        </w:rPr>
      </w:pPr>
      <w:r w:rsidRPr="001B1BC6">
        <w:rPr>
          <w:rFonts w:ascii="Verdana" w:eastAsia="Calibri" w:hAnsi="Verdana" w:cs="Arial"/>
          <w:lang w:val="es-MX"/>
        </w:rPr>
        <w:t xml:space="preserve">Por consiguiente, es claro que la prestación del servicio de gestión catastral que se desarrolle en el marco de la minuta tipo debe comprender, en su integridad, las actividades de que trata el </w:t>
      </w:r>
      <w:r w:rsidRPr="001B1BC6">
        <w:rPr>
          <w:rFonts w:ascii="Verdana" w:eastAsia="Calibri" w:hAnsi="Verdana" w:cs="Arial"/>
          <w:color w:val="000000"/>
          <w:lang w:val="es-MX"/>
        </w:rPr>
        <w:t>artículo 2.2.2.5.6 del</w:t>
      </w:r>
      <w:r w:rsidRPr="001B1BC6">
        <w:rPr>
          <w:rFonts w:ascii="Verdana" w:eastAsia="Calibri" w:hAnsi="Verdana" w:cs="Arial"/>
          <w:color w:val="000000"/>
          <w:shd w:val="clear" w:color="auto" w:fill="FFFFFF"/>
          <w:lang w:val="es-MX"/>
        </w:rPr>
        <w:t xml:space="preserve"> Decreto 1983 de 2019</w:t>
      </w:r>
      <w:r w:rsidRPr="001B1BC6">
        <w:rPr>
          <w:rFonts w:ascii="Verdana" w:eastAsia="Calibri" w:hAnsi="Verdana" w:cs="Arial"/>
          <w:color w:val="000000"/>
          <w:lang w:val="es-MX"/>
        </w:rPr>
        <w:t xml:space="preserve">. Es importante enfatizar este aspecto, pues estas actividades constituyen la base primordial de la minuta tipo, sobre las cuales se estructuran las obligaciones y demás condiciones del contrato interadministrativo. </w:t>
      </w:r>
    </w:p>
    <w:p w14:paraId="25CB908B" w14:textId="77777777" w:rsidR="001B1BC6" w:rsidRPr="001B1BC6" w:rsidRDefault="001B1BC6" w:rsidP="001B1BC6">
      <w:pPr>
        <w:snapToGrid w:val="0"/>
        <w:spacing w:after="120" w:line="276" w:lineRule="auto"/>
        <w:ind w:firstLine="709"/>
        <w:jc w:val="both"/>
        <w:rPr>
          <w:rFonts w:ascii="Verdana" w:eastAsia="Calibri" w:hAnsi="Verdana" w:cs="Arial"/>
          <w:lang w:val="es-MX" w:eastAsia="es-CO"/>
        </w:rPr>
      </w:pPr>
      <w:r w:rsidRPr="001B1BC6">
        <w:rPr>
          <w:rFonts w:ascii="Verdana" w:eastAsia="Calibri" w:hAnsi="Verdana" w:cs="Arial"/>
          <w:lang w:val="es-MX"/>
        </w:rPr>
        <w:lastRenderedPageBreak/>
        <w:t>Así, el municipio, con base en la información de los estudios y documentos previos elaborados, deberá señalar si la actividad de gestión catastral será la de formación o la de actualización. La primera corresponde al “</w:t>
      </w:r>
      <w:r w:rsidRPr="001B1BC6">
        <w:rPr>
          <w:rFonts w:ascii="Verdana" w:eastAsia="Calibri" w:hAnsi="Verdana" w:cs="Arial"/>
          <w:lang w:val="es-MX" w:eastAsia="es-CO"/>
        </w:rPr>
        <w:t>conjunto de actividades destinadas a identificar, por primera vez, la información catastral en la totalidad de los predios que conforman el territorio o en parte de él</w:t>
      </w:r>
      <w:r w:rsidRPr="001B1BC6">
        <w:rPr>
          <w:rFonts w:ascii="Verdana" w:eastAsia="Calibri" w:hAnsi="Verdana" w:cs="Arial"/>
          <w:lang w:val="es-MX"/>
        </w:rPr>
        <w:t>”</w:t>
      </w:r>
      <w:r w:rsidRPr="001B1BC6">
        <w:rPr>
          <w:rFonts w:ascii="Verdana" w:eastAsia="Calibri" w:hAnsi="Verdana" w:cs="Times New Roman"/>
          <w:vertAlign w:val="superscript"/>
          <w:lang w:val="es-MX" w:eastAsia="es-CO"/>
        </w:rPr>
        <w:footnoteReference w:id="3"/>
      </w:r>
      <w:r w:rsidRPr="001B1BC6">
        <w:rPr>
          <w:rFonts w:ascii="Verdana" w:eastAsia="Calibri" w:hAnsi="Verdana" w:cs="Arial"/>
          <w:lang w:val="es-MX" w:eastAsia="es-CO"/>
        </w:rPr>
        <w:t xml:space="preserve">. Por su parte, la segunda comprende el </w:t>
      </w:r>
      <w:r w:rsidRPr="001B1BC6">
        <w:rPr>
          <w:rFonts w:ascii="Verdana" w:eastAsia="Calibri" w:hAnsi="Verdana" w:cs="Arial"/>
          <w:lang w:val="es-MX"/>
        </w:rPr>
        <w:t>“</w:t>
      </w:r>
      <w:r w:rsidRPr="001B1BC6">
        <w:rPr>
          <w:rFonts w:ascii="Verdana" w:eastAsia="Calibri" w:hAnsi="Verdana" w:cs="Arial"/>
          <w:lang w:val="es-MX" w:eastAsia="es-CO"/>
        </w:rPr>
        <w:t>conjunto de actividades destinadas a identificar, incorporar o rectificar los cambios o inconsistencias en la información catastral durante un periodo determinado. (…). En ningún caso, para actualizar la información de un área geográfica, será obligatorio adelantar levantamiento catastral en la totalidad de inmuebles</w:t>
      </w:r>
      <w:r w:rsidRPr="001B1BC6">
        <w:rPr>
          <w:rFonts w:ascii="Verdana" w:eastAsia="Calibri" w:hAnsi="Verdana" w:cs="Arial"/>
          <w:lang w:val="es-MX"/>
        </w:rPr>
        <w:t>”</w:t>
      </w:r>
      <w:r w:rsidRPr="001B1BC6">
        <w:rPr>
          <w:rFonts w:ascii="Verdana" w:eastAsia="Calibri" w:hAnsi="Verdana" w:cs="Times New Roman"/>
          <w:vertAlign w:val="superscript"/>
          <w:lang w:val="es-MX" w:eastAsia="es-CO"/>
        </w:rPr>
        <w:footnoteReference w:id="4"/>
      </w:r>
      <w:r w:rsidRPr="001B1BC6">
        <w:rPr>
          <w:rFonts w:ascii="Verdana" w:eastAsia="Calibri" w:hAnsi="Verdana" w:cs="Arial"/>
          <w:lang w:val="es-MX"/>
        </w:rPr>
        <w:t>. El objeto de la minuta deberá comprender alguna de estas actividades, en conjunto con la conservación y difusión catastral</w:t>
      </w:r>
      <w:r w:rsidRPr="001B1BC6">
        <w:rPr>
          <w:rFonts w:ascii="Verdana" w:eastAsia="Calibri" w:hAnsi="Verdana" w:cs="Times New Roman"/>
          <w:vertAlign w:val="superscript"/>
          <w:lang w:val="es-MX"/>
        </w:rPr>
        <w:footnoteReference w:id="5"/>
      </w:r>
      <w:r w:rsidRPr="001B1BC6">
        <w:rPr>
          <w:rFonts w:ascii="Verdana" w:eastAsia="Calibri" w:hAnsi="Verdana" w:cs="Arial"/>
          <w:lang w:val="es-MX"/>
        </w:rPr>
        <w:t>.</w:t>
      </w:r>
    </w:p>
    <w:p w14:paraId="0D74EE3B" w14:textId="77777777" w:rsidR="001B1BC6" w:rsidRPr="001B1BC6" w:rsidRDefault="001B1BC6" w:rsidP="001B1BC6">
      <w:pPr>
        <w:snapToGrid w:val="0"/>
        <w:spacing w:after="0" w:line="276" w:lineRule="auto"/>
        <w:ind w:firstLine="709"/>
        <w:jc w:val="both"/>
        <w:rPr>
          <w:rFonts w:ascii="Verdana" w:eastAsia="Calibri" w:hAnsi="Verdana" w:cs="Arial"/>
          <w:color w:val="000000"/>
          <w:shd w:val="clear" w:color="auto" w:fill="FFFFFF"/>
          <w:lang w:val="es-MX"/>
        </w:rPr>
      </w:pPr>
      <w:r w:rsidRPr="001B1BC6">
        <w:rPr>
          <w:rFonts w:ascii="Verdana" w:eastAsia="Calibri" w:hAnsi="Verdana" w:cs="Arial"/>
          <w:color w:val="000000"/>
          <w:lang w:val="es-MX"/>
        </w:rPr>
        <w:t>Así las cosas, el ámbito de aplicación de la minuta tipo para los procesos de gestión catastral con enfoque multipropósito que se celebren a través de contratos interadministrativos, se fundamenta en los artículos 2.2.2.5.6 y 2.2.2.5.7 del Decreto 1983 de 2019. Estas normas se refieren a la prestación</w:t>
      </w:r>
      <w:r w:rsidRPr="001B1BC6">
        <w:rPr>
          <w:rFonts w:ascii="Verdana" w:eastAsia="Calibri" w:hAnsi="Verdana" w:cs="Arial"/>
          <w:color w:val="000000"/>
          <w:shd w:val="clear" w:color="auto" w:fill="FFFFFF"/>
          <w:lang w:val="es-MX"/>
        </w:rPr>
        <w:t xml:space="preserve"> integral del servicio de gestión catastral, es decir, incluyendo las actividades de formación o actualización y conservación, mediante contrato interadministrativo. Por ello, </w:t>
      </w:r>
      <w:r w:rsidRPr="001B1BC6">
        <w:rPr>
          <w:rFonts w:ascii="Verdana" w:eastAsia="Calibri" w:hAnsi="Verdana" w:cs="Arial"/>
          <w:color w:val="000000"/>
          <w:lang w:val="es-MX"/>
        </w:rPr>
        <w:t>aquellas entidades territoriales que no estén habilitadas</w:t>
      </w:r>
      <w:r w:rsidRPr="001B1BC6">
        <w:rPr>
          <w:rFonts w:ascii="Verdana" w:eastAsia="Calibri" w:hAnsi="Verdana" w:cs="Arial"/>
          <w:color w:val="000000"/>
          <w:shd w:val="clear" w:color="auto" w:fill="FFFFFF"/>
          <w:lang w:val="es-MX"/>
        </w:rPr>
        <w:t xml:space="preserve"> pueden contratar a cualquier gestor catastral habilitado cuando requieran la prestación integral de este servicio. </w:t>
      </w:r>
    </w:p>
    <w:p w14:paraId="59E3F6B8" w14:textId="77777777" w:rsidR="001B1BC6" w:rsidRPr="001B1BC6" w:rsidRDefault="001B1BC6" w:rsidP="001B1BC6">
      <w:pPr>
        <w:snapToGrid w:val="0"/>
        <w:spacing w:before="120" w:after="120" w:line="276" w:lineRule="auto"/>
        <w:ind w:firstLine="709"/>
        <w:jc w:val="both"/>
        <w:rPr>
          <w:rFonts w:ascii="Verdana" w:eastAsia="Calibri" w:hAnsi="Verdana" w:cs="Arial"/>
          <w:color w:val="000000"/>
          <w:kern w:val="2"/>
          <w:lang w:val="es-ES"/>
          <w14:ligatures w14:val="standardContextual"/>
        </w:rPr>
      </w:pPr>
      <w:r w:rsidRPr="001B1BC6">
        <w:rPr>
          <w:rFonts w:ascii="Verdana" w:eastAsia="Calibri" w:hAnsi="Verdana" w:cs="Arial"/>
          <w:color w:val="000000"/>
          <w:shd w:val="clear" w:color="auto" w:fill="FFFFFF"/>
          <w:lang w:val="es-MX"/>
        </w:rPr>
        <w:t xml:space="preserve">En todo caso, es importante resaltar que, </w:t>
      </w:r>
      <w:r w:rsidRPr="001B1BC6">
        <w:rPr>
          <w:rFonts w:ascii="Verdana" w:eastAsia="Calibri" w:hAnsi="Verdana" w:cs="Arial"/>
          <w:color w:val="000000"/>
          <w:kern w:val="2"/>
          <w:lang w:val="es-ES"/>
          <w14:ligatures w14:val="standardContextual"/>
        </w:rPr>
        <w:t>todas las resoluciones</w:t>
      </w:r>
      <w:r w:rsidRPr="001B1BC6">
        <w:rPr>
          <w:rFonts w:ascii="Verdana" w:eastAsia="Calibri" w:hAnsi="Verdana" w:cs="Arial"/>
          <w:color w:val="000000"/>
          <w:kern w:val="2"/>
          <w:vertAlign w:val="superscript"/>
          <w:lang w:val="es-ES"/>
          <w14:ligatures w14:val="standardContextual"/>
        </w:rPr>
        <w:footnoteReference w:id="6"/>
      </w:r>
      <w:r w:rsidRPr="001B1BC6">
        <w:rPr>
          <w:rFonts w:ascii="Verdana" w:eastAsia="Calibri" w:hAnsi="Verdana" w:cs="Arial"/>
          <w:color w:val="000000"/>
          <w:kern w:val="2"/>
          <w:lang w:val="es-ES"/>
          <w14:ligatures w14:val="standardContextual"/>
        </w:rPr>
        <w:t xml:space="preserve"> expedidas por la Agencia Nacional de Contratación Pública – Colombia Compra </w:t>
      </w:r>
      <w:r w:rsidRPr="001B1BC6">
        <w:rPr>
          <w:rFonts w:ascii="Verdana" w:eastAsia="Calibri" w:hAnsi="Verdana" w:cs="Arial"/>
          <w:color w:val="000000"/>
          <w:kern w:val="2"/>
          <w:lang w:val="es-ES"/>
          <w14:ligatures w14:val="standardContextual"/>
        </w:rPr>
        <w:lastRenderedPageBreak/>
        <w:t xml:space="preserve">Eficiente, mediante las cuales se adoptaron los documentos tipo, consagran la regla de la inalterabilidad. Esta prohibición consiste en que las entidades estatales no pueden incluir o modificar en los </w:t>
      </w:r>
      <w:r w:rsidRPr="001B1BC6">
        <w:rPr>
          <w:rFonts w:ascii="Verdana" w:eastAsia="Calibri" w:hAnsi="Verdana" w:cs="Arial"/>
          <w:i/>
          <w:iCs/>
          <w:color w:val="000000"/>
          <w:kern w:val="2"/>
          <w:lang w:val="es-ES"/>
          <w14:ligatures w14:val="standardContextual"/>
        </w:rPr>
        <w:t>Documentos del Proceso</w:t>
      </w:r>
      <w:r w:rsidRPr="001B1BC6">
        <w:rPr>
          <w:rFonts w:ascii="Verdana" w:eastAsia="Calibri" w:hAnsi="Verdana" w:cs="Arial"/>
          <w:color w:val="000000"/>
          <w:kern w:val="2"/>
          <w:lang w:val="es-ES"/>
          <w14:ligatures w14:val="standardContextual"/>
        </w:rPr>
        <w:t xml:space="preserve"> las condiciones habilitantes, los factores técnicos y económicos de escogencia y los sistemas de ponderación distintos a los señalados en los documentos tipo. En consecuencia, las condiciones establecidas en los documentos tipo son de obligatorio cumplimiento para las entidades sometidas al Estatuto General de Contratación de la Administración Pública que adelanten procesos que deban regirse por su contenido, y no pueden variarse los requisitos fijados en ellos. Por lo tanto, las entidades estatales, al realizar sus procedimientos de selección, solo podrán modificarlos en los aspectos en que los documentos tipo lo permitan.</w:t>
      </w:r>
    </w:p>
    <w:p w14:paraId="197CCDE8" w14:textId="77777777" w:rsidR="001B1BC6" w:rsidRPr="001B1BC6" w:rsidRDefault="001B1BC6" w:rsidP="001B1BC6">
      <w:pPr>
        <w:snapToGrid w:val="0"/>
        <w:spacing w:after="0" w:line="276" w:lineRule="auto"/>
        <w:ind w:firstLine="709"/>
        <w:jc w:val="both"/>
        <w:rPr>
          <w:rFonts w:ascii="Verdana" w:eastAsia="Calibri" w:hAnsi="Verdana" w:cs="Arial"/>
          <w:kern w:val="2"/>
          <w:lang w:val="es-ES_tradnl"/>
          <w14:ligatures w14:val="standardContextual"/>
        </w:rPr>
      </w:pPr>
      <w:r w:rsidRPr="001B1BC6">
        <w:rPr>
          <w:rFonts w:ascii="Verdana" w:eastAsia="Calibri" w:hAnsi="Verdana" w:cs="Arial"/>
          <w:kern w:val="2"/>
          <w:lang w:val="es-MX"/>
          <w14:ligatures w14:val="standardContextual"/>
        </w:rPr>
        <w:t xml:space="preserve">Por regla general, estos aspectos modificables corresponden a aquellos incluidos en corchetes y resaltados en gris </w:t>
      </w:r>
      <w:r w:rsidRPr="001B1BC6">
        <w:rPr>
          <w:rFonts w:ascii="Verdana" w:eastAsia="Aptos" w:hAnsi="Verdana" w:cs="Arial"/>
          <w:kern w:val="2"/>
          <w:lang w:val="es-ES_tradnl"/>
          <w14:ligatures w14:val="standardContextual"/>
        </w:rPr>
        <w:t>–[</w:t>
      </w:r>
      <w:r w:rsidRPr="001B1BC6">
        <w:rPr>
          <w:rFonts w:ascii="Verdana" w:eastAsia="Aptos" w:hAnsi="Verdana" w:cs="Arial"/>
          <w:kern w:val="2"/>
          <w:highlight w:val="lightGray"/>
          <w:lang w:val="es-ES_tradnl"/>
          <w14:ligatures w14:val="standardContextual"/>
        </w:rPr>
        <w:t>texto de ejemplo</w:t>
      </w:r>
      <w:r w:rsidRPr="001B1BC6">
        <w:rPr>
          <w:rFonts w:ascii="Verdana" w:eastAsia="Aptos" w:hAnsi="Verdana" w:cs="Arial"/>
          <w:kern w:val="2"/>
          <w:lang w:val="es-ES_tradnl"/>
          <w14:ligatures w14:val="standardContextual"/>
        </w:rPr>
        <w:t xml:space="preserve">]–, los cuales </w:t>
      </w:r>
      <w:r w:rsidRPr="001B1BC6">
        <w:rPr>
          <w:rFonts w:ascii="Verdana" w:eastAsia="Calibri" w:hAnsi="Verdana" w:cs="Arial"/>
          <w:kern w:val="2"/>
          <w:lang w:val="es-ES_tradnl"/>
          <w14:ligatures w14:val="standardContextual"/>
        </w:rPr>
        <w:t>deben ser diligenciados la entidad contratante o el proponente, según corresponda, de acuerdo con las instrucciones que allí se señalen. Al respecto, la parte introductoria de la Minuta Tipo contempla lo siguiente:</w:t>
      </w:r>
    </w:p>
    <w:p w14:paraId="63F407AF" w14:textId="77777777" w:rsidR="001B1BC6" w:rsidRPr="001B1BC6" w:rsidRDefault="001B1BC6" w:rsidP="001B1BC6">
      <w:pPr>
        <w:snapToGrid w:val="0"/>
        <w:spacing w:after="0" w:line="276" w:lineRule="auto"/>
        <w:ind w:firstLine="709"/>
        <w:jc w:val="both"/>
        <w:rPr>
          <w:rFonts w:ascii="Verdana" w:eastAsia="Calibri" w:hAnsi="Verdana" w:cs="Arial"/>
          <w:kern w:val="2"/>
          <w:lang w:val="es-ES_tradnl"/>
          <w14:ligatures w14:val="standardContextual"/>
        </w:rPr>
      </w:pPr>
    </w:p>
    <w:p w14:paraId="23D7AC94" w14:textId="77777777" w:rsidR="001B1BC6" w:rsidRPr="001B1BC6" w:rsidRDefault="001B1BC6" w:rsidP="001B1BC6">
      <w:pPr>
        <w:tabs>
          <w:tab w:val="center" w:pos="5119"/>
          <w:tab w:val="right" w:pos="9538"/>
        </w:tabs>
        <w:spacing w:after="0" w:line="240" w:lineRule="auto"/>
        <w:ind w:left="709" w:right="709"/>
        <w:jc w:val="both"/>
        <w:rPr>
          <w:rFonts w:ascii="Verdana" w:eastAsia="Aptos" w:hAnsi="Verdana" w:cs="Arial"/>
          <w:color w:val="000000"/>
          <w:kern w:val="2"/>
          <w:sz w:val="21"/>
          <w:szCs w:val="21"/>
          <w:highlight w:val="lightGray"/>
          <w:lang w:val="es-ES_tradnl"/>
          <w14:ligatures w14:val="standardContextual"/>
        </w:rPr>
      </w:pPr>
      <w:r w:rsidRPr="001B1BC6">
        <w:rPr>
          <w:rFonts w:ascii="Verdana" w:eastAsia="Aptos" w:hAnsi="Verdana" w:cs="Arial"/>
          <w:color w:val="000000"/>
          <w:kern w:val="2"/>
          <w:sz w:val="21"/>
          <w:szCs w:val="21"/>
          <w:highlight w:val="lightGray"/>
          <w:lang w:val="es-ES_tradnl"/>
          <w14:ligatures w14:val="standardContextual"/>
        </w:rPr>
        <w:t>[Los aspectos incluidos en corchetes y resaltados en gris, al igual que los espacios con una raya “____” deben ser diligenciados por el Municipio, por lo que su contenido es susceptible de modificación. En estos lugares, en algunos casos, también se incluyen apartes entre paréntesis que constituyen indicaciones para diligenciar los aspectos entre corchetes y resaltados en gris]</w:t>
      </w:r>
    </w:p>
    <w:p w14:paraId="240461BD" w14:textId="77777777" w:rsidR="001B1BC6" w:rsidRPr="001B1BC6" w:rsidRDefault="001B1BC6" w:rsidP="001B1BC6">
      <w:pPr>
        <w:tabs>
          <w:tab w:val="center" w:pos="5119"/>
          <w:tab w:val="right" w:pos="9538"/>
        </w:tabs>
        <w:spacing w:after="0" w:line="276" w:lineRule="auto"/>
        <w:ind w:left="709" w:right="709"/>
        <w:jc w:val="both"/>
        <w:rPr>
          <w:rFonts w:ascii="Verdana" w:eastAsia="Aptos" w:hAnsi="Verdana" w:cs="Arial"/>
          <w:color w:val="000000"/>
          <w:kern w:val="2"/>
          <w:highlight w:val="lightGray"/>
          <w:lang w:val="es-ES_tradnl"/>
          <w14:ligatures w14:val="standardContextual"/>
        </w:rPr>
      </w:pPr>
    </w:p>
    <w:p w14:paraId="57265D6F" w14:textId="77777777" w:rsidR="001B1BC6" w:rsidRPr="001B1BC6" w:rsidRDefault="001B1BC6" w:rsidP="001B1BC6">
      <w:pPr>
        <w:spacing w:after="0" w:line="276" w:lineRule="auto"/>
        <w:ind w:firstLine="709"/>
        <w:jc w:val="both"/>
        <w:rPr>
          <w:rFonts w:ascii="Verdana" w:eastAsia="Calibri" w:hAnsi="Verdana" w:cs="Arial"/>
          <w:color w:val="000000"/>
          <w:kern w:val="2"/>
          <w:lang w:val="es-ES"/>
          <w14:ligatures w14:val="standardContextual"/>
        </w:rPr>
      </w:pPr>
      <w:r w:rsidRPr="454071D6">
        <w:rPr>
          <w:rFonts w:ascii="Verdana" w:eastAsia="Calibri" w:hAnsi="Verdana" w:cs="Arial"/>
          <w:kern w:val="2"/>
          <w:lang w:val="es-ES"/>
          <w14:ligatures w14:val="standardContextual"/>
        </w:rPr>
        <w:t xml:space="preserve">En ese sentido, solo podrán modificarse o diligenciarse los aspectos que la Minuta Tipo permita de forma expresa, en los términos que allí mismo se determinen, sin que sea posible incluir elementos no permitidos o que quebranten el contenido de los documentos tipo. </w:t>
      </w:r>
    </w:p>
    <w:p w14:paraId="75DB59FE" w14:textId="77777777" w:rsidR="001B1BC6" w:rsidRPr="001B1BC6" w:rsidRDefault="001B1BC6" w:rsidP="001B1BC6">
      <w:pPr>
        <w:snapToGrid w:val="0"/>
        <w:spacing w:after="0" w:line="276" w:lineRule="auto"/>
        <w:jc w:val="both"/>
        <w:rPr>
          <w:rFonts w:ascii="Verdana" w:eastAsia="Calibri" w:hAnsi="Verdana" w:cs="Arial"/>
        </w:rPr>
      </w:pPr>
    </w:p>
    <w:p w14:paraId="7B1849F9" w14:textId="77777777" w:rsidR="001B1BC6" w:rsidRPr="001B1BC6" w:rsidRDefault="001B1BC6" w:rsidP="001B1BC6">
      <w:pPr>
        <w:numPr>
          <w:ilvl w:val="0"/>
          <w:numId w:val="18"/>
        </w:numPr>
        <w:tabs>
          <w:tab w:val="left" w:pos="142"/>
          <w:tab w:val="left" w:pos="284"/>
        </w:tabs>
        <w:spacing w:after="0" w:line="276" w:lineRule="auto"/>
        <w:ind w:left="357" w:hanging="357"/>
        <w:jc w:val="both"/>
        <w:rPr>
          <w:rFonts w:ascii="Verdana" w:eastAsia="Century Gothic" w:hAnsi="Verdana" w:cs="Century Gothic"/>
          <w:b/>
          <w:bCs/>
        </w:rPr>
      </w:pPr>
      <w:r w:rsidRPr="001B1BC6">
        <w:rPr>
          <w:rFonts w:ascii="Verdana" w:eastAsia="Century Gothic" w:hAnsi="Verdana" w:cs="Century Gothic"/>
          <w:b/>
          <w:bCs/>
        </w:rPr>
        <w:t>Referencias normativas, jurisprudenciales y otras fuentes:</w:t>
      </w:r>
    </w:p>
    <w:p w14:paraId="6DDADA74" w14:textId="77777777" w:rsidR="001B1BC6" w:rsidRPr="001B1BC6" w:rsidRDefault="001B1BC6" w:rsidP="001B1BC6">
      <w:pPr>
        <w:spacing w:after="0"/>
        <w:ind w:left="-15840"/>
        <w:jc w:val="both"/>
        <w:rPr>
          <w:rFonts w:ascii="Verdana" w:eastAsia="Calibri" w:hAnsi="Verdana" w:cs="Arial"/>
          <w:b/>
          <w:bCs/>
        </w:rPr>
      </w:pPr>
      <w:r w:rsidRPr="001B1BC6">
        <w:rPr>
          <w:rFonts w:ascii="Verdana" w:eastAsia="Calibri" w:hAnsi="Verdana" w:cs="Arial"/>
          <w:b/>
          <w:bCs/>
        </w:rPr>
        <w:t>4. Referencias normativas, jurisprudenciales y otras fuentes:</w:t>
      </w:r>
    </w:p>
    <w:tbl>
      <w:tblPr>
        <w:tblStyle w:val="Tablaconcuadrcula1"/>
        <w:tblW w:w="8640"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1B1BC6" w:rsidRPr="001B1BC6" w14:paraId="798109CE" w14:textId="77777777" w:rsidTr="00E3455C">
        <w:trPr>
          <w:trHeight w:val="870"/>
        </w:trPr>
        <w:tc>
          <w:tcPr>
            <w:tcW w:w="8647" w:type="dxa"/>
            <w:tcBorders>
              <w:top w:val="dotted" w:sz="4" w:space="0" w:color="auto"/>
              <w:left w:val="dotted" w:sz="4" w:space="0" w:color="auto"/>
              <w:bottom w:val="dotted" w:sz="4" w:space="0" w:color="auto"/>
              <w:right w:val="dotted" w:sz="4" w:space="0" w:color="auto"/>
            </w:tcBorders>
          </w:tcPr>
          <w:p w14:paraId="7FFB7DDC" w14:textId="77777777" w:rsidR="001B1BC6" w:rsidRPr="001B1BC6" w:rsidRDefault="001B1BC6" w:rsidP="001B1BC6">
            <w:pPr>
              <w:widowControl w:val="0"/>
              <w:numPr>
                <w:ilvl w:val="0"/>
                <w:numId w:val="19"/>
              </w:numPr>
              <w:autoSpaceDE w:val="0"/>
              <w:autoSpaceDN w:val="0"/>
              <w:adjustRightInd w:val="0"/>
              <w:snapToGrid w:val="0"/>
              <w:spacing w:after="120" w:line="276" w:lineRule="auto"/>
              <w:ind w:left="714" w:hanging="357"/>
              <w:jc w:val="both"/>
              <w:rPr>
                <w:rFonts w:ascii="Verdana" w:eastAsia="Calibri" w:hAnsi="Verdana" w:cs="Arial"/>
                <w:lang w:val="es-ES"/>
              </w:rPr>
            </w:pPr>
            <w:r w:rsidRPr="001B1BC6">
              <w:rPr>
                <w:rFonts w:ascii="Verdana" w:eastAsia="Calibri" w:hAnsi="Verdana" w:cs="Arial"/>
                <w:lang w:val="es-ES"/>
              </w:rPr>
              <w:t xml:space="preserve">Ley 2022 de 2020, artículo 1. </w:t>
            </w:r>
          </w:p>
          <w:p w14:paraId="6E186C83" w14:textId="77777777" w:rsidR="001B1BC6" w:rsidRPr="001B1BC6" w:rsidRDefault="001B1BC6" w:rsidP="001B1BC6">
            <w:pPr>
              <w:widowControl w:val="0"/>
              <w:numPr>
                <w:ilvl w:val="0"/>
                <w:numId w:val="17"/>
              </w:numPr>
              <w:autoSpaceDE w:val="0"/>
              <w:autoSpaceDN w:val="0"/>
              <w:adjustRightInd w:val="0"/>
              <w:snapToGrid w:val="0"/>
              <w:spacing w:after="120" w:line="276" w:lineRule="auto"/>
              <w:ind w:left="714" w:hanging="357"/>
              <w:jc w:val="both"/>
              <w:rPr>
                <w:rFonts w:ascii="Verdana" w:eastAsia="Calibri" w:hAnsi="Verdana" w:cs="Arial"/>
              </w:rPr>
            </w:pPr>
            <w:r w:rsidRPr="001B1BC6">
              <w:rPr>
                <w:rFonts w:ascii="Verdana" w:eastAsia="Calibri" w:hAnsi="Verdana" w:cs="Arial"/>
              </w:rPr>
              <w:t xml:space="preserve">Decreto 1983 de 2019, artículos </w:t>
            </w:r>
            <w:r w:rsidRPr="001B1BC6">
              <w:rPr>
                <w:rFonts w:ascii="Verdana" w:eastAsia="Calibri" w:hAnsi="Verdana" w:cs="Arial"/>
                <w:color w:val="000000"/>
                <w:shd w:val="clear" w:color="auto" w:fill="FFFFFF"/>
                <w:lang w:val="es-MX"/>
              </w:rPr>
              <w:t>2.2.2.5.6 y 2.2.2.5.7.</w:t>
            </w:r>
          </w:p>
          <w:p w14:paraId="3A07C6B7" w14:textId="77777777" w:rsidR="001B1BC6" w:rsidRPr="001B1BC6" w:rsidRDefault="001B1BC6" w:rsidP="001B1BC6">
            <w:pPr>
              <w:widowControl w:val="0"/>
              <w:numPr>
                <w:ilvl w:val="0"/>
                <w:numId w:val="17"/>
              </w:numPr>
              <w:autoSpaceDE w:val="0"/>
              <w:autoSpaceDN w:val="0"/>
              <w:adjustRightInd w:val="0"/>
              <w:snapToGrid w:val="0"/>
              <w:spacing w:after="120" w:line="276" w:lineRule="auto"/>
              <w:ind w:left="714" w:hanging="357"/>
              <w:jc w:val="both"/>
              <w:rPr>
                <w:rFonts w:ascii="Verdana" w:eastAsia="Calibri" w:hAnsi="Verdana" w:cs="Arial"/>
              </w:rPr>
            </w:pPr>
            <w:r w:rsidRPr="001B1BC6">
              <w:rPr>
                <w:rFonts w:ascii="Verdana" w:eastAsia="Calibri" w:hAnsi="Verdana" w:cs="Arial"/>
              </w:rPr>
              <w:lastRenderedPageBreak/>
              <w:t xml:space="preserve">Documentos Tipo. Disponibles en: </w:t>
            </w:r>
            <w:hyperlink r:id="rId11" w:history="1">
              <w:r w:rsidRPr="001B1BC6">
                <w:rPr>
                  <w:rFonts w:ascii="Verdana" w:eastAsia="Calibri" w:hAnsi="Verdana" w:cs="Arial"/>
                  <w:color w:val="0000FF"/>
                  <w:u w:val="single"/>
                </w:rPr>
                <w:t>https://www.colombiacompra.gov.co/normativa-y-relatoria/documentos-tipo</w:t>
              </w:r>
            </w:hyperlink>
            <w:r w:rsidRPr="001B1BC6">
              <w:rPr>
                <w:rFonts w:ascii="Verdana" w:eastAsia="Calibri" w:hAnsi="Verdana" w:cs="Arial"/>
              </w:rPr>
              <w:t xml:space="preserve">. </w:t>
            </w:r>
          </w:p>
          <w:p w14:paraId="575F2E53" w14:textId="77777777" w:rsidR="001B1BC6" w:rsidRPr="001B1BC6" w:rsidRDefault="001B1BC6" w:rsidP="001B1BC6">
            <w:pPr>
              <w:widowControl w:val="0"/>
              <w:numPr>
                <w:ilvl w:val="0"/>
                <w:numId w:val="17"/>
              </w:numPr>
              <w:autoSpaceDE w:val="0"/>
              <w:autoSpaceDN w:val="0"/>
              <w:adjustRightInd w:val="0"/>
              <w:snapToGrid w:val="0"/>
              <w:spacing w:after="120" w:line="276" w:lineRule="auto"/>
              <w:ind w:left="714" w:hanging="357"/>
              <w:jc w:val="both"/>
              <w:rPr>
                <w:rFonts w:ascii="Verdana" w:eastAsia="Calibri" w:hAnsi="Verdana" w:cs="Arial"/>
              </w:rPr>
            </w:pPr>
            <w:r w:rsidRPr="001B1BC6">
              <w:rPr>
                <w:rFonts w:ascii="Verdana" w:eastAsia="Calibri" w:hAnsi="Verdana" w:cs="Arial"/>
                <w:lang w:val="es-ES_tradnl"/>
              </w:rPr>
              <w:t xml:space="preserve">Resolución 269 del 16 de diciembre de 2021. Disponible en el siguiente enlace: </w:t>
            </w:r>
            <w:hyperlink r:id="rId12" w:history="1">
              <w:r w:rsidRPr="001B1BC6">
                <w:rPr>
                  <w:rFonts w:ascii="Verdana" w:eastAsia="Calibri" w:hAnsi="Verdana" w:cs="Arial"/>
                  <w:color w:val="0000FF"/>
                  <w:u w:val="single"/>
                  <w:lang w:val="es-ES_tradnl"/>
                </w:rPr>
                <w:t>https://www.colombiacompra.gov.co/normativa-y-relatoria/documentos-tipo</w:t>
              </w:r>
            </w:hyperlink>
            <w:r w:rsidRPr="001B1BC6">
              <w:rPr>
                <w:rFonts w:ascii="Verdana" w:eastAsia="Calibri" w:hAnsi="Verdana" w:cs="Arial"/>
                <w:lang w:val="es-ES_tradnl"/>
              </w:rPr>
              <w:t xml:space="preserve">. </w:t>
            </w:r>
          </w:p>
        </w:tc>
      </w:tr>
    </w:tbl>
    <w:p w14:paraId="66621400" w14:textId="77777777" w:rsidR="001B1BC6" w:rsidRPr="001B1BC6" w:rsidRDefault="001B1BC6" w:rsidP="001B1BC6">
      <w:pPr>
        <w:tabs>
          <w:tab w:val="left" w:pos="142"/>
          <w:tab w:val="left" w:pos="284"/>
        </w:tabs>
        <w:spacing w:after="0" w:line="276" w:lineRule="auto"/>
        <w:jc w:val="both"/>
        <w:rPr>
          <w:rFonts w:ascii="Verdana" w:eastAsia="Calibri" w:hAnsi="Verdana" w:cs="Arial"/>
        </w:rPr>
      </w:pPr>
    </w:p>
    <w:p w14:paraId="5BA6410E" w14:textId="77777777" w:rsidR="001B1BC6" w:rsidRPr="001B1BC6" w:rsidRDefault="001B1BC6" w:rsidP="001B1BC6">
      <w:pPr>
        <w:tabs>
          <w:tab w:val="left" w:pos="142"/>
          <w:tab w:val="left" w:pos="284"/>
        </w:tabs>
        <w:spacing w:after="0" w:line="276" w:lineRule="auto"/>
        <w:jc w:val="both"/>
        <w:rPr>
          <w:rFonts w:ascii="Verdana" w:eastAsia="Century Gothic" w:hAnsi="Verdana" w:cs="Century Gothic"/>
          <w:b/>
          <w:bCs/>
        </w:rPr>
      </w:pPr>
      <w:r w:rsidRPr="001B1BC6">
        <w:rPr>
          <w:rFonts w:ascii="Verdana" w:eastAsia="Calibri" w:hAnsi="Verdana" w:cs="Arial"/>
          <w:b/>
          <w:bCs/>
        </w:rPr>
        <w:t>5</w:t>
      </w:r>
      <w:r w:rsidRPr="001B1BC6">
        <w:rPr>
          <w:rFonts w:ascii="Verdana" w:eastAsia="Calibri" w:hAnsi="Verdana" w:cs="Arial"/>
        </w:rPr>
        <w:t>.</w:t>
      </w:r>
      <w:r w:rsidRPr="001B1BC6">
        <w:rPr>
          <w:rFonts w:ascii="Verdana" w:eastAsia="Century Gothic" w:hAnsi="Verdana" w:cs="Century Gothic"/>
          <w:b/>
          <w:bCs/>
        </w:rPr>
        <w:t>Doctrina de la Agencia Nacional de Contratación Pública:</w:t>
      </w:r>
    </w:p>
    <w:p w14:paraId="141A95FF" w14:textId="77777777" w:rsidR="001B1BC6" w:rsidRPr="001B1BC6" w:rsidRDefault="001B1BC6" w:rsidP="001B1BC6">
      <w:pPr>
        <w:widowControl w:val="0"/>
        <w:autoSpaceDE w:val="0"/>
        <w:autoSpaceDN w:val="0"/>
        <w:spacing w:after="0" w:line="276" w:lineRule="auto"/>
        <w:jc w:val="both"/>
        <w:rPr>
          <w:rFonts w:ascii="Verdana" w:eastAsia="Calibri" w:hAnsi="Verdana" w:cs="Arial"/>
        </w:rPr>
      </w:pPr>
    </w:p>
    <w:p w14:paraId="5AF91E4B" w14:textId="77777777" w:rsidR="001B1BC6" w:rsidRPr="001B1BC6" w:rsidRDefault="001B1BC6" w:rsidP="001B1BC6">
      <w:pPr>
        <w:widowControl w:val="0"/>
        <w:autoSpaceDE w:val="0"/>
        <w:autoSpaceDN w:val="0"/>
        <w:spacing w:after="0" w:line="276" w:lineRule="auto"/>
        <w:jc w:val="both"/>
        <w:rPr>
          <w:rFonts w:ascii="Verdana" w:eastAsia="Times New Roman" w:hAnsi="Verdana" w:cs="Arial"/>
          <w:kern w:val="2"/>
          <w:shd w:val="clear" w:color="auto" w:fill="FFFFFF"/>
          <w:lang w:val="es-ES"/>
          <w14:ligatures w14:val="standardContextual"/>
        </w:rPr>
      </w:pPr>
      <w:r w:rsidRPr="001B1BC6">
        <w:rPr>
          <w:rFonts w:ascii="Verdana" w:eastAsia="Times New Roman" w:hAnsi="Verdana" w:cs="Arial"/>
          <w:color w:val="000000"/>
          <w:lang w:val="es-ES_tradnl" w:eastAsia="es-ES_tradnl"/>
        </w:rPr>
        <w:t>La Agencia Nacional de Contratación Pública – Colombia Compra Eficiente se pronunció sobre</w:t>
      </w:r>
      <w:r w:rsidRPr="001B1BC6">
        <w:rPr>
          <w:rFonts w:ascii="Verdana" w:eastAsia="Calibri" w:hAnsi="Verdana" w:cs="Arial"/>
          <w:shd w:val="clear" w:color="auto" w:fill="FFFFFF"/>
        </w:rPr>
        <w:t xml:space="preserve"> el alcance de los documentos tipo adoptados mediante la Resolución No. 269 de 2020 en los oficios con radicado No. P20201203000378 del 2 de diciembre de 2020 y en los conceptos C-809 del 11 de febrero de 2021, C-097 del 23 de marzo de 2021, </w:t>
      </w:r>
      <w:bookmarkStart w:id="5" w:name="_Hlk73718617"/>
      <w:r w:rsidRPr="001B1BC6">
        <w:rPr>
          <w:rFonts w:ascii="Verdana" w:eastAsia="Calibri" w:hAnsi="Verdana" w:cs="Arial"/>
          <w:shd w:val="clear" w:color="auto" w:fill="FFFFFF"/>
        </w:rPr>
        <w:t>C-159 del 20 de mayo de 2021</w:t>
      </w:r>
      <w:bookmarkEnd w:id="5"/>
      <w:r w:rsidRPr="001B1BC6">
        <w:rPr>
          <w:rFonts w:ascii="Verdana" w:eastAsia="Calibri" w:hAnsi="Verdana" w:cs="Arial"/>
          <w:shd w:val="clear" w:color="auto" w:fill="FFFFFF"/>
        </w:rPr>
        <w:t xml:space="preserve">, C-261 de 22 de junio de 2021, C-564 de 11 de octubre de 2021, C-666 del 22 de diciembre de 2021, C-731 del 26 de enero de 2022, C-302 del 12 de mayo de 2022, C-551 del 29 de agosto de 2022, C-342 del 25 de abril de 2025, C-427 del 16 de mayo de 2025, entre otros. </w:t>
      </w:r>
      <w:r w:rsidRPr="001B1BC6">
        <w:rPr>
          <w:rFonts w:ascii="Verdana" w:eastAsia="Times New Roman" w:hAnsi="Verdana" w:cs="Arial"/>
          <w:kern w:val="2"/>
          <w:shd w:val="clear" w:color="auto" w:fill="FFFFFF"/>
          <w:lang w:val="es-ES"/>
          <w14:ligatures w14:val="standardContextual"/>
        </w:rPr>
        <w:t>Esos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3" w:tgtFrame="_blank" w:tooltip="Dirección URL original: https://relatoria.colombiacompra.gov.co/. Haga clic o pulse si confía en este vínculo." w:history="1">
        <w:r w:rsidRPr="001B1BC6">
          <w:rPr>
            <w:rFonts w:ascii="Verdana" w:eastAsia="Times New Roman" w:hAnsi="Verdana" w:cs="Arial"/>
            <w:kern w:val="2"/>
            <w:shd w:val="clear" w:color="auto" w:fill="FFFFFF"/>
            <w:lang w:val="es-ES"/>
            <w14:ligatures w14:val="standardContextual"/>
          </w:rPr>
          <w:t>https://relatoria.colombiacompra.gov.co/</w:t>
        </w:r>
      </w:hyperlink>
      <w:r w:rsidRPr="001B1BC6">
        <w:rPr>
          <w:rFonts w:ascii="Verdana" w:eastAsia="Times New Roman" w:hAnsi="Verdana" w:cs="Arial"/>
          <w:kern w:val="2"/>
          <w:shd w:val="clear" w:color="auto" w:fill="FFFFFF"/>
          <w:lang w:val="es-ES"/>
          <w14:ligatures w14:val="standardContextual"/>
        </w:rPr>
        <w:t>.</w:t>
      </w:r>
    </w:p>
    <w:p w14:paraId="220C081A" w14:textId="77777777" w:rsidR="001B1BC6" w:rsidRPr="001B1BC6" w:rsidRDefault="001B1BC6" w:rsidP="001B1BC6">
      <w:pPr>
        <w:spacing w:after="0" w:line="240" w:lineRule="auto"/>
        <w:jc w:val="both"/>
        <w:rPr>
          <w:rFonts w:ascii="Verdana" w:eastAsia="Calibri" w:hAnsi="Verdana" w:cs="Arial"/>
          <w:color w:val="000000"/>
          <w:kern w:val="2"/>
          <w:shd w:val="clear" w:color="auto" w:fill="FFFFFF"/>
          <w:lang w:val="es-ES_tradnl"/>
          <w14:ligatures w14:val="standardContextual"/>
        </w:rPr>
      </w:pPr>
    </w:p>
    <w:p w14:paraId="429F93A7" w14:textId="77777777" w:rsidR="001B1BC6" w:rsidRPr="001B1BC6" w:rsidRDefault="001B1BC6" w:rsidP="001B1BC6">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1B1BC6">
        <w:rPr>
          <w:rFonts w:ascii="Verdana" w:eastAsia="Calibri" w:hAnsi="Verdana" w:cs="Arial"/>
          <w:kern w:val="2"/>
          <w:shd w:val="clear" w:color="auto" w:fill="FFFFFF"/>
          <w:lang w:val="es-ES_tradnl"/>
          <w14:ligatures w14:val="standardContextual"/>
        </w:rPr>
        <w:t>La</w:t>
      </w:r>
      <w:r w:rsidRPr="001B1BC6">
        <w:rPr>
          <w:rFonts w:ascii="Verdana" w:eastAsia="Calibri" w:hAnsi="Verdana" w:cs="Arial"/>
          <w:b/>
          <w:bCs/>
          <w:kern w:val="2"/>
          <w:shd w:val="clear" w:color="auto" w:fill="FFFFFF"/>
          <w:lang w:val="es-ES_tradnl"/>
          <w14:ligatures w14:val="standardContextual"/>
        </w:rPr>
        <w:t xml:space="preserve"> Agencia Nacional de Contratación Pública - Colombia Compra Eficiente</w:t>
      </w:r>
      <w:r w:rsidRPr="001B1BC6">
        <w:rPr>
          <w:rFonts w:ascii="Verdana" w:eastAsia="Calibri" w:hAnsi="Verdana"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1B1BC6">
        <w:rPr>
          <w:rFonts w:ascii="Verdana" w:eastAsia="Calibri" w:hAnsi="Verdana" w:cs="Arial"/>
          <w:b/>
          <w:bCs/>
          <w:kern w:val="2"/>
          <w:shd w:val="clear" w:color="auto" w:fill="FFFFFF"/>
          <w:lang w:val="es-ES_tradnl"/>
          <w14:ligatures w14:val="standardContextual"/>
        </w:rPr>
        <w:t>Documentos Tipo</w:t>
      </w:r>
      <w:r w:rsidRPr="001B1BC6">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1B1BC6">
        <w:rPr>
          <w:rFonts w:ascii="Verdana" w:eastAsia="Calibri" w:hAnsi="Verdana" w:cs="Arial"/>
          <w:b/>
          <w:bCs/>
          <w:kern w:val="2"/>
          <w:shd w:val="clear" w:color="auto" w:fill="FFFFFF"/>
          <w:lang w:val="es-ES_tradnl"/>
          <w14:ligatures w14:val="standardContextual"/>
        </w:rPr>
        <w:t>transparencia</w:t>
      </w:r>
      <w:r w:rsidRPr="001B1BC6">
        <w:rPr>
          <w:rFonts w:ascii="Verdana" w:eastAsia="Calibri" w:hAnsi="Verdana" w:cs="Arial"/>
          <w:kern w:val="2"/>
          <w:shd w:val="clear" w:color="auto" w:fill="FFFFFF"/>
          <w:lang w:val="es-ES_tradnl"/>
          <w14:ligatures w14:val="standardContextual"/>
        </w:rPr>
        <w:t> y promover un proceso de </w:t>
      </w:r>
      <w:r w:rsidRPr="001B1BC6">
        <w:rPr>
          <w:rFonts w:ascii="Verdana" w:eastAsia="Calibri" w:hAnsi="Verdana" w:cs="Arial"/>
          <w:b/>
          <w:bCs/>
          <w:kern w:val="2"/>
          <w:shd w:val="clear" w:color="auto" w:fill="FFFFFF"/>
          <w:lang w:val="es-ES_tradnl"/>
          <w14:ligatures w14:val="standardContextual"/>
        </w:rPr>
        <w:t>selección objetiva</w:t>
      </w:r>
      <w:r w:rsidRPr="001B1BC6">
        <w:rPr>
          <w:rFonts w:ascii="Verdana" w:eastAsia="Calibri" w:hAnsi="Verdana" w:cs="Arial"/>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7EF04F12" w14:textId="77777777" w:rsidR="001B1BC6" w:rsidRPr="001B1BC6" w:rsidRDefault="001B1BC6" w:rsidP="001B1BC6">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64166AD6" w14:textId="77777777" w:rsidR="001B1BC6" w:rsidRPr="001B1BC6" w:rsidRDefault="001B1BC6" w:rsidP="001B1BC6">
      <w:pPr>
        <w:widowControl w:val="0"/>
        <w:autoSpaceDE w:val="0"/>
        <w:autoSpaceDN w:val="0"/>
        <w:spacing w:after="0" w:line="276" w:lineRule="auto"/>
        <w:jc w:val="both"/>
        <w:rPr>
          <w:rFonts w:ascii="Verdana" w:eastAsia="Calibri" w:hAnsi="Verdana" w:cs="Arial"/>
          <w:kern w:val="2"/>
          <w:shd w:val="clear" w:color="auto" w:fill="FFFFFF"/>
          <w:lang w:val="es-ES"/>
          <w14:ligatures w14:val="standardContextual"/>
        </w:rPr>
      </w:pPr>
      <w:r w:rsidRPr="001B1BC6">
        <w:rPr>
          <w:rFonts w:ascii="Verdana" w:eastAsia="Calibri" w:hAnsi="Verdana" w:cs="Arial"/>
          <w:kern w:val="2"/>
          <w:shd w:val="clear" w:color="auto" w:fill="FFFFFF"/>
          <w:lang w:val="es-ES"/>
          <w14:ligatures w14:val="standardContextual"/>
        </w:rPr>
        <w:t>También, le contamos que ya se encuentra disponible la </w:t>
      </w:r>
      <w:r w:rsidRPr="001B1BC6">
        <w:rPr>
          <w:rFonts w:ascii="Verdana" w:eastAsia="Calibri" w:hAnsi="Verdana" w:cs="Arial"/>
          <w:b/>
          <w:kern w:val="2"/>
          <w:shd w:val="clear" w:color="auto" w:fill="FFFFFF"/>
          <w:lang w:val="es-ES"/>
          <w14:ligatures w14:val="standardContextual"/>
        </w:rPr>
        <w:t xml:space="preserve">Guía de lineamientos </w:t>
      </w:r>
      <w:r w:rsidRPr="001B1BC6">
        <w:rPr>
          <w:rFonts w:ascii="Verdana" w:eastAsia="Calibri" w:hAnsi="Verdana" w:cs="Arial"/>
          <w:b/>
          <w:kern w:val="2"/>
          <w:shd w:val="clear" w:color="auto" w:fill="FFFFFF"/>
          <w:lang w:val="es-ES"/>
          <w14:ligatures w14:val="standardContextual"/>
        </w:rPr>
        <w:lastRenderedPageBreak/>
        <w:t>de transparencia y selección objetiva para el departamento de La Guajira – Objetivo sexto constitucional de la Sentencia T-302 del 2017. </w:t>
      </w:r>
      <w:r w:rsidRPr="001B1BC6">
        <w:rPr>
          <w:rFonts w:ascii="Verdana" w:eastAsia="Calibri" w:hAnsi="Verdana" w:cs="Arial"/>
          <w:kern w:val="2"/>
          <w:shd w:val="clear" w:color="auto" w:fill="FFFFFF"/>
          <w:lang w:val="es-ES"/>
          <w14:ligatures w14:val="standardContextual"/>
        </w:rPr>
        <w:t xml:space="preserve">Esta Guía se expide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1B1BC6">
        <w:rPr>
          <w:rFonts w:ascii="Verdana" w:eastAsia="Calibri" w:hAnsi="Verdana" w:cs="Arial"/>
          <w:kern w:val="2"/>
          <w:shd w:val="clear" w:color="auto" w:fill="FFFFFF"/>
          <w:lang w:val="es-ES"/>
          <w14:ligatures w14:val="standardContextual"/>
        </w:rPr>
        <w:t>Wayúu</w:t>
      </w:r>
      <w:proofErr w:type="spellEnd"/>
      <w:r w:rsidRPr="001B1BC6">
        <w:rPr>
          <w:rFonts w:ascii="Verdana" w:eastAsia="Calibri" w:hAnsi="Verdana" w:cs="Arial"/>
          <w:kern w:val="2"/>
          <w:shd w:val="clear" w:color="auto" w:fill="FFFFFF"/>
          <w:lang w:val="es-ES"/>
          <w14:ligatures w14:val="standardContextual"/>
        </w:rPr>
        <w:t>. Puede consultar la guía en el siguiente enlace: </w:t>
      </w:r>
      <w:hyperlink r:id="rId14" w:tgtFrame="_blank" w:tooltip="Original URL: https://www.colombiacompra.gov.co/wp-content/uploads/2025/05/GUIA-DE-LINEAMIENTOS-DE-TRANSPARENCIA-Y-SELECCION-OBJETIVA-1.0.pdf. Click or tap if you trust this link." w:history="1">
        <w:r w:rsidRPr="001B1BC6">
          <w:rPr>
            <w:rFonts w:ascii="Verdana" w:eastAsia="Calibri" w:hAnsi="Verdana" w:cs="Arial"/>
            <w:color w:val="0000FF"/>
            <w:kern w:val="2"/>
            <w:u w:val="single"/>
            <w:shd w:val="clear" w:color="auto" w:fill="FFFFFF"/>
            <w:lang w:val="es-ES"/>
            <w14:ligatures w14:val="standardContextual"/>
          </w:rPr>
          <w:t>Guía de lineamientos de transparencia y selección objetiva para el departamento de La Guajira – Objetivo sexto constitucional de la Sentencia T-302 del 2017</w:t>
        </w:r>
      </w:hyperlink>
      <w:r w:rsidRPr="001B1BC6">
        <w:rPr>
          <w:rFonts w:ascii="Verdana" w:eastAsia="Calibri" w:hAnsi="Verdana" w:cs="Arial"/>
          <w:kern w:val="2"/>
          <w:u w:val="single"/>
          <w:shd w:val="clear" w:color="auto" w:fill="FFFFFF"/>
          <w:lang w:val="es-ES"/>
          <w14:ligatures w14:val="standardContextual"/>
        </w:rPr>
        <w:t>.</w:t>
      </w:r>
    </w:p>
    <w:p w14:paraId="4B0D72FA" w14:textId="77777777" w:rsidR="001B1BC6" w:rsidRPr="001B1BC6" w:rsidRDefault="001B1BC6" w:rsidP="001B1BC6">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5E00B57D" w14:textId="77777777" w:rsidR="001B1BC6" w:rsidRPr="001B1BC6" w:rsidRDefault="001B1BC6" w:rsidP="001B1BC6">
      <w:pPr>
        <w:spacing w:after="0" w:line="276" w:lineRule="auto"/>
        <w:jc w:val="both"/>
        <w:rPr>
          <w:rFonts w:ascii="Verdana" w:eastAsia="Calibri" w:hAnsi="Verdana" w:cs="Times New Roman"/>
          <w:kern w:val="2"/>
          <w:lang w:val="es-ES_tradnl"/>
          <w14:ligatures w14:val="standardContextual"/>
        </w:rPr>
      </w:pPr>
      <w:r w:rsidRPr="001B1BC6">
        <w:rPr>
          <w:rFonts w:ascii="Verdana" w:eastAsia="Calibri" w:hAnsi="Verdana" w:cs="Times New Roman"/>
          <w:kern w:val="2"/>
          <w:lang w:val="es-ES_tradnl"/>
          <w14:ligatures w14:val="standardContextual"/>
        </w:rPr>
        <w:t xml:space="preserve">Por último, los invitamos a seguirnos en las redes sociales, en las cuales se difunde información institucional: </w:t>
      </w:r>
    </w:p>
    <w:p w14:paraId="5C3F5FFD" w14:textId="77777777" w:rsidR="001B1BC6" w:rsidRPr="001B1BC6" w:rsidRDefault="001B1BC6" w:rsidP="001B1BC6">
      <w:pPr>
        <w:spacing w:after="0" w:line="240" w:lineRule="auto"/>
        <w:jc w:val="both"/>
        <w:rPr>
          <w:rFonts w:ascii="Verdana" w:eastAsia="Calibri" w:hAnsi="Verdana" w:cs="Times New Roman"/>
          <w:kern w:val="2"/>
          <w:lang w:val="es-ES_tradnl"/>
          <w14:ligatures w14:val="standardContextual"/>
        </w:rPr>
      </w:pPr>
    </w:p>
    <w:p w14:paraId="0652561D" w14:textId="77777777" w:rsidR="001B1BC6" w:rsidRPr="001B1BC6" w:rsidRDefault="001B1BC6" w:rsidP="001B1BC6">
      <w:pPr>
        <w:spacing w:after="0" w:line="240" w:lineRule="auto"/>
        <w:jc w:val="both"/>
        <w:rPr>
          <w:rFonts w:ascii="Verdana" w:eastAsia="Calibri" w:hAnsi="Verdana" w:cs="Times New Roman"/>
          <w:kern w:val="2"/>
          <w:lang w:val="es-ES_tradnl"/>
          <w14:ligatures w14:val="standardContextual"/>
        </w:rPr>
      </w:pPr>
      <w:r w:rsidRPr="001B1BC6">
        <w:rPr>
          <w:rFonts w:ascii="Verdana" w:eastAsia="Calibri" w:hAnsi="Verdana" w:cs="Times New Roman"/>
          <w:kern w:val="2"/>
          <w:lang w:val="es-ES_tradnl"/>
          <w14:ligatures w14:val="standardContextual"/>
        </w:rPr>
        <w:t xml:space="preserve">X: </w:t>
      </w:r>
      <w:r w:rsidRPr="001B1BC6">
        <w:rPr>
          <w:rFonts w:ascii="Verdana" w:eastAsia="Calibri" w:hAnsi="Verdana" w:cs="Times New Roman"/>
          <w:kern w:val="2"/>
          <w:u w:val="single"/>
          <w:lang w:val="es-ES_tradnl"/>
          <w14:ligatures w14:val="standardContextual"/>
        </w:rPr>
        <w:t>@colombiacompra</w:t>
      </w:r>
      <w:r w:rsidRPr="001B1BC6">
        <w:rPr>
          <w:rFonts w:ascii="Verdana" w:eastAsia="Calibri" w:hAnsi="Verdana" w:cs="Times New Roman"/>
          <w:kern w:val="2"/>
          <w:lang w:val="es-ES_tradnl"/>
          <w14:ligatures w14:val="standardContextual"/>
        </w:rPr>
        <w:t xml:space="preserve"> </w:t>
      </w:r>
    </w:p>
    <w:p w14:paraId="1FBE4AEA" w14:textId="77777777" w:rsidR="001B1BC6" w:rsidRPr="001B1BC6" w:rsidRDefault="001B1BC6" w:rsidP="001B1BC6">
      <w:pPr>
        <w:spacing w:after="0" w:line="240" w:lineRule="auto"/>
        <w:jc w:val="both"/>
        <w:rPr>
          <w:rFonts w:ascii="Verdana" w:eastAsia="Calibri" w:hAnsi="Verdana" w:cs="Times New Roman"/>
          <w:kern w:val="2"/>
          <w:lang w:val="es-ES"/>
          <w14:ligatures w14:val="standardContextual"/>
        </w:rPr>
      </w:pPr>
      <w:r w:rsidRPr="001B1BC6">
        <w:rPr>
          <w:rFonts w:ascii="Verdana" w:eastAsia="Calibri" w:hAnsi="Verdana" w:cs="Times New Roman"/>
          <w:kern w:val="2"/>
          <w:lang w:val="es-ES"/>
          <w14:ligatures w14:val="standardContextual"/>
        </w:rPr>
        <w:t xml:space="preserve">Facebook: </w:t>
      </w:r>
      <w:proofErr w:type="spellStart"/>
      <w:r w:rsidRPr="001B1BC6">
        <w:rPr>
          <w:rFonts w:ascii="Verdana" w:eastAsia="Calibri" w:hAnsi="Verdana" w:cs="Times New Roman"/>
          <w:kern w:val="2"/>
          <w:u w:val="single"/>
          <w:lang w:val="es-ES"/>
          <w14:ligatures w14:val="standardContextual"/>
        </w:rPr>
        <w:t>ColombiaCompraEficiente</w:t>
      </w:r>
      <w:proofErr w:type="spellEnd"/>
    </w:p>
    <w:p w14:paraId="624CA535" w14:textId="77777777" w:rsidR="001B1BC6" w:rsidRPr="001B1BC6" w:rsidRDefault="001B1BC6" w:rsidP="001B1BC6">
      <w:pPr>
        <w:spacing w:after="0" w:line="240" w:lineRule="auto"/>
        <w:jc w:val="both"/>
        <w:rPr>
          <w:rFonts w:ascii="Verdana" w:eastAsia="Calibri" w:hAnsi="Verdana" w:cs="Times New Roman"/>
          <w:kern w:val="2"/>
          <w:lang w:val="es-ES_tradnl"/>
          <w14:ligatures w14:val="standardContextual"/>
        </w:rPr>
      </w:pPr>
      <w:r w:rsidRPr="001B1BC6">
        <w:rPr>
          <w:rFonts w:ascii="Verdana" w:eastAsia="Calibri" w:hAnsi="Verdana" w:cs="Times New Roman"/>
          <w:kern w:val="2"/>
          <w:lang w:val="es-ES_tradnl"/>
          <w14:ligatures w14:val="standardContextual"/>
        </w:rPr>
        <w:t xml:space="preserve">LinkedIn: </w:t>
      </w:r>
      <w:r w:rsidRPr="001B1BC6">
        <w:rPr>
          <w:rFonts w:ascii="Verdana" w:eastAsia="Calibri" w:hAnsi="Verdana" w:cs="Times New Roman"/>
          <w:kern w:val="2"/>
          <w:u w:val="single"/>
          <w:lang w:val="es-ES_tradnl"/>
          <w14:ligatures w14:val="standardContextual"/>
        </w:rPr>
        <w:t>Agencia Nacional de Contratación Pública - Colombia Compra Eficiente</w:t>
      </w:r>
      <w:r w:rsidRPr="001B1BC6">
        <w:rPr>
          <w:rFonts w:ascii="Verdana" w:eastAsia="Calibri" w:hAnsi="Verdana" w:cs="Times New Roman"/>
          <w:kern w:val="2"/>
          <w:lang w:val="es-ES_tradnl"/>
          <w14:ligatures w14:val="standardContextual"/>
        </w:rPr>
        <w:t xml:space="preserve"> Instagram: </w:t>
      </w:r>
      <w:r w:rsidRPr="001B1BC6">
        <w:rPr>
          <w:rFonts w:ascii="Verdana" w:eastAsia="Calibri" w:hAnsi="Verdana" w:cs="Times New Roman"/>
          <w:kern w:val="2"/>
          <w:u w:val="single"/>
          <w:lang w:val="es-ES_tradnl"/>
          <w14:ligatures w14:val="standardContextual"/>
        </w:rPr>
        <w:t>@colombiacompraeficiente_cce</w:t>
      </w:r>
    </w:p>
    <w:p w14:paraId="316AD6EB" w14:textId="77777777" w:rsidR="001B1BC6" w:rsidRPr="001B1BC6" w:rsidRDefault="001B1BC6" w:rsidP="001B1BC6">
      <w:pPr>
        <w:widowControl w:val="0"/>
        <w:autoSpaceDE w:val="0"/>
        <w:autoSpaceDN w:val="0"/>
        <w:spacing w:after="0" w:line="276" w:lineRule="auto"/>
        <w:jc w:val="both"/>
        <w:rPr>
          <w:rFonts w:ascii="Verdana" w:eastAsia="Calibri" w:hAnsi="Verdana" w:cs="Arial"/>
          <w:kern w:val="2"/>
          <w:lang w:val="es-ES_tradnl"/>
          <w14:ligatures w14:val="standardContextual"/>
        </w:rPr>
      </w:pPr>
    </w:p>
    <w:p w14:paraId="6AC3C817" w14:textId="77777777" w:rsidR="001B1BC6" w:rsidRPr="001B1BC6" w:rsidRDefault="001B1BC6" w:rsidP="001B1BC6">
      <w:pPr>
        <w:widowControl w:val="0"/>
        <w:autoSpaceDE w:val="0"/>
        <w:autoSpaceDN w:val="0"/>
        <w:spacing w:after="0" w:line="276" w:lineRule="auto"/>
        <w:jc w:val="both"/>
        <w:rPr>
          <w:rFonts w:ascii="Verdana" w:eastAsia="Calibri" w:hAnsi="Verdana" w:cs="Arial"/>
          <w:kern w:val="2"/>
          <w:lang w:val="es-ES_tradnl"/>
          <w14:ligatures w14:val="standardContextual"/>
        </w:rPr>
      </w:pPr>
      <w:r w:rsidRPr="001B1BC6">
        <w:rPr>
          <w:rFonts w:ascii="Verdana" w:eastAsia="Calibri" w:hAnsi="Verdana" w:cs="Arial"/>
          <w:kern w:val="2"/>
          <w:lang w:val="es-ES_tradnl"/>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14:paraId="73E00892" w14:textId="77777777" w:rsidR="001B1BC6" w:rsidRPr="001B1BC6" w:rsidRDefault="001B1BC6" w:rsidP="001B1BC6">
      <w:pPr>
        <w:widowControl w:val="0"/>
        <w:autoSpaceDE w:val="0"/>
        <w:autoSpaceDN w:val="0"/>
        <w:spacing w:after="0" w:line="276" w:lineRule="auto"/>
        <w:jc w:val="both"/>
        <w:rPr>
          <w:rFonts w:ascii="Verdana" w:eastAsia="Calibri" w:hAnsi="Verdana" w:cs="Arial"/>
        </w:rPr>
      </w:pPr>
    </w:p>
    <w:p w14:paraId="74B5D0A8" w14:textId="77777777" w:rsidR="001B1BC6" w:rsidRPr="001B1BC6" w:rsidRDefault="001B1BC6" w:rsidP="001B1BC6">
      <w:pPr>
        <w:spacing w:after="0" w:line="240" w:lineRule="auto"/>
        <w:rPr>
          <w:rFonts w:ascii="Verdana" w:eastAsia="Calibri" w:hAnsi="Verdana" w:cs="Arial"/>
          <w:lang w:eastAsia="es-CO"/>
        </w:rPr>
      </w:pPr>
      <w:r w:rsidRPr="001B1BC6">
        <w:rPr>
          <w:rFonts w:ascii="Verdana" w:eastAsia="Times New Roman" w:hAnsi="Verdana" w:cs="Arial"/>
          <w:lang w:eastAsia="es-CO"/>
        </w:rPr>
        <w:t>Atentamente,</w:t>
      </w:r>
      <w:r w:rsidRPr="001B1BC6">
        <w:rPr>
          <w:rFonts w:ascii="Verdana" w:eastAsia="Calibri" w:hAnsi="Verdana" w:cs="Arial"/>
          <w:lang w:eastAsia="es-CO"/>
        </w:rPr>
        <w:t xml:space="preserve"> </w:t>
      </w:r>
    </w:p>
    <w:p w14:paraId="7E12B48A" w14:textId="4A59DEB4" w:rsidR="001B1BC6" w:rsidRPr="001B1BC6" w:rsidRDefault="00182815" w:rsidP="001B1BC6">
      <w:pPr>
        <w:tabs>
          <w:tab w:val="left" w:pos="1320"/>
        </w:tabs>
        <w:jc w:val="center"/>
        <w:rPr>
          <w:rFonts w:ascii="Verdana" w:eastAsia="Calibri" w:hAnsi="Verdana" w:cs="Times New Roman"/>
        </w:rPr>
      </w:pPr>
      <w:r>
        <w:rPr>
          <w:noProof/>
        </w:rPr>
        <w:drawing>
          <wp:inline distT="0" distB="0" distL="0" distR="0" wp14:anchorId="74C16C1D" wp14:editId="3B5D94BD">
            <wp:extent cx="3513015" cy="1304074"/>
            <wp:effectExtent l="0" t="0" r="0" b="0"/>
            <wp:docPr id="1" name="Imagen 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 Carta&#10;&#10;El contenido generado por IA puede ser incorrecto."/>
                    <pic:cNvPicPr/>
                  </pic:nvPicPr>
                  <pic:blipFill>
                    <a:blip r:embed="rId15"/>
                    <a:stretch>
                      <a:fillRect/>
                    </a:stretch>
                  </pic:blipFill>
                  <pic:spPr>
                    <a:xfrm>
                      <a:off x="0" y="0"/>
                      <a:ext cx="3518644" cy="1306164"/>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1B1BC6" w:rsidRPr="001B1BC6" w14:paraId="6DF513F8" w14:textId="77777777" w:rsidTr="454071D6">
        <w:trPr>
          <w:trHeight w:val="315"/>
        </w:trPr>
        <w:tc>
          <w:tcPr>
            <w:tcW w:w="893" w:type="dxa"/>
            <w:vAlign w:val="center"/>
            <w:hideMark/>
          </w:tcPr>
          <w:p w14:paraId="2EA5078C" w14:textId="77777777" w:rsidR="001B1BC6" w:rsidRPr="001B1BC6" w:rsidRDefault="001B1BC6" w:rsidP="001B1BC6">
            <w:pPr>
              <w:rPr>
                <w:rFonts w:ascii="Verdana" w:eastAsia="Calibri" w:hAnsi="Verdana" w:cs="Arial"/>
                <w:sz w:val="16"/>
                <w:szCs w:val="16"/>
                <w:lang w:eastAsia="es-ES"/>
              </w:rPr>
            </w:pPr>
            <w:r w:rsidRPr="001B1BC6">
              <w:rPr>
                <w:rFonts w:ascii="Verdana" w:eastAsia="Calibri" w:hAnsi="Verdana" w:cs="Arial"/>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0C1F519E" w14:textId="77777777" w:rsidR="001B1BC6" w:rsidRPr="001B1BC6" w:rsidRDefault="001B1BC6" w:rsidP="001B1BC6">
            <w:pPr>
              <w:rPr>
                <w:rFonts w:ascii="Verdana" w:eastAsia="Arial" w:hAnsi="Verdana" w:cs="Arial"/>
                <w:sz w:val="16"/>
                <w:szCs w:val="16"/>
              </w:rPr>
            </w:pPr>
            <w:r w:rsidRPr="001B1BC6">
              <w:rPr>
                <w:rFonts w:ascii="Verdana" w:eastAsia="Arial" w:hAnsi="Verdana" w:cs="Arial"/>
                <w:sz w:val="16"/>
                <w:szCs w:val="16"/>
              </w:rPr>
              <w:t>Kevin Arlid Herrera Santa</w:t>
            </w:r>
          </w:p>
          <w:p w14:paraId="288AC004" w14:textId="77777777" w:rsidR="001B1BC6" w:rsidRPr="001B1BC6" w:rsidRDefault="001B1BC6" w:rsidP="001B1BC6">
            <w:pPr>
              <w:rPr>
                <w:rFonts w:ascii="Verdana" w:eastAsia="Arial" w:hAnsi="Verdana" w:cs="Arial"/>
                <w:sz w:val="16"/>
                <w:szCs w:val="16"/>
              </w:rPr>
            </w:pPr>
            <w:r w:rsidRPr="001B1BC6">
              <w:rPr>
                <w:rFonts w:ascii="Verdana" w:eastAsia="Arial" w:hAnsi="Verdana" w:cs="Arial"/>
                <w:sz w:val="16"/>
                <w:szCs w:val="16"/>
              </w:rPr>
              <w:t>Contratista de la Subdirección de Gestión Contractual</w:t>
            </w:r>
          </w:p>
        </w:tc>
      </w:tr>
      <w:tr w:rsidR="001B1BC6" w:rsidRPr="001B1BC6" w14:paraId="5169938F" w14:textId="77777777" w:rsidTr="454071D6">
        <w:trPr>
          <w:trHeight w:val="330"/>
        </w:trPr>
        <w:tc>
          <w:tcPr>
            <w:tcW w:w="893" w:type="dxa"/>
            <w:vAlign w:val="center"/>
            <w:hideMark/>
          </w:tcPr>
          <w:p w14:paraId="6E0C0BF9" w14:textId="77777777" w:rsidR="001B1BC6" w:rsidRPr="001B1BC6" w:rsidRDefault="001B1BC6" w:rsidP="001B1BC6">
            <w:pPr>
              <w:rPr>
                <w:rFonts w:ascii="Verdana" w:eastAsia="Calibri" w:hAnsi="Verdana" w:cs="Arial"/>
                <w:sz w:val="16"/>
                <w:szCs w:val="16"/>
                <w:lang w:eastAsia="es-ES"/>
              </w:rPr>
            </w:pPr>
            <w:r w:rsidRPr="001B1BC6">
              <w:rPr>
                <w:rFonts w:ascii="Verdana" w:eastAsia="Calibri" w:hAnsi="Verdana" w:cs="Arial"/>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F344B76" w14:textId="77777777" w:rsidR="001B1BC6" w:rsidRPr="001B1BC6" w:rsidRDefault="001B1BC6" w:rsidP="001B1BC6">
            <w:pPr>
              <w:textAlignment w:val="baseline"/>
              <w:rPr>
                <w:rFonts w:ascii="Verdana" w:eastAsia="Times New Roman" w:hAnsi="Verdana" w:cs="Segoe UI"/>
                <w:sz w:val="16"/>
                <w:szCs w:val="16"/>
                <w:lang w:val="es-ES" w:eastAsia="es-ES"/>
              </w:rPr>
            </w:pPr>
            <w:r w:rsidRPr="454071D6">
              <w:rPr>
                <w:rFonts w:ascii="Verdana" w:eastAsia="Times New Roman" w:hAnsi="Verdana" w:cs="Segoe UI"/>
                <w:sz w:val="16"/>
                <w:szCs w:val="16"/>
                <w:lang w:val="es-ES" w:eastAsia="es-ES"/>
              </w:rPr>
              <w:t xml:space="preserve">Adriana </w:t>
            </w:r>
            <w:proofErr w:type="spellStart"/>
            <w:r w:rsidRPr="454071D6">
              <w:rPr>
                <w:rFonts w:ascii="Verdana" w:eastAsia="Times New Roman" w:hAnsi="Verdana" w:cs="Segoe UI"/>
                <w:sz w:val="16"/>
                <w:szCs w:val="16"/>
                <w:lang w:val="es-ES" w:eastAsia="es-ES"/>
              </w:rPr>
              <w:t>Katerine</w:t>
            </w:r>
            <w:proofErr w:type="spellEnd"/>
            <w:r w:rsidRPr="454071D6">
              <w:rPr>
                <w:rFonts w:ascii="Verdana" w:eastAsia="Times New Roman" w:hAnsi="Verdana" w:cs="Segoe UI"/>
                <w:sz w:val="16"/>
                <w:szCs w:val="16"/>
                <w:lang w:val="es-ES" w:eastAsia="es-ES"/>
              </w:rPr>
              <w:t xml:space="preserve"> López Rodríguez</w:t>
            </w:r>
          </w:p>
          <w:p w14:paraId="743FDF61" w14:textId="77777777" w:rsidR="001B1BC6" w:rsidRPr="001B1BC6" w:rsidRDefault="001B1BC6" w:rsidP="001B1BC6">
            <w:pPr>
              <w:textAlignment w:val="baseline"/>
              <w:rPr>
                <w:rFonts w:ascii="Verdana" w:eastAsia="Times New Roman" w:hAnsi="Verdana" w:cs="Segoe UI"/>
                <w:sz w:val="16"/>
                <w:szCs w:val="16"/>
                <w:lang w:eastAsia="es-ES_tradnl"/>
              </w:rPr>
            </w:pPr>
            <w:r w:rsidRPr="001B1BC6">
              <w:rPr>
                <w:rFonts w:ascii="Verdana" w:eastAsia="Times New Roman" w:hAnsi="Verdana" w:cs="Arial"/>
                <w:sz w:val="16"/>
                <w:szCs w:val="16"/>
                <w:lang w:val="es-ES_tradnl" w:eastAsia="es-ES_tradnl"/>
              </w:rPr>
              <w:t>Contratista de la Subdirección de Gestión Contractual </w:t>
            </w:r>
          </w:p>
        </w:tc>
      </w:tr>
      <w:tr w:rsidR="001B1BC6" w:rsidRPr="001B1BC6" w14:paraId="69E9FA69" w14:textId="77777777" w:rsidTr="454071D6">
        <w:trPr>
          <w:trHeight w:val="300"/>
        </w:trPr>
        <w:tc>
          <w:tcPr>
            <w:tcW w:w="893" w:type="dxa"/>
            <w:vAlign w:val="center"/>
          </w:tcPr>
          <w:p w14:paraId="5A4EB096" w14:textId="77777777" w:rsidR="001B1BC6" w:rsidRPr="001B1BC6" w:rsidRDefault="001B1BC6" w:rsidP="001B1BC6">
            <w:pPr>
              <w:rPr>
                <w:rFonts w:ascii="Verdana" w:eastAsia="Calibri" w:hAnsi="Verdana" w:cs="Arial"/>
                <w:sz w:val="16"/>
                <w:szCs w:val="16"/>
                <w:lang w:eastAsia="es-ES"/>
              </w:rPr>
            </w:pPr>
            <w:r w:rsidRPr="001B1BC6">
              <w:rPr>
                <w:rFonts w:ascii="Verdana" w:eastAsia="Calibri" w:hAnsi="Verdana" w:cs="Arial"/>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7D949F4" w14:textId="77777777" w:rsidR="001B1BC6" w:rsidRPr="001B1BC6" w:rsidRDefault="001B1BC6" w:rsidP="001B1BC6">
            <w:pPr>
              <w:rPr>
                <w:rFonts w:ascii="Verdana" w:eastAsia="Calibri" w:hAnsi="Verdana" w:cs="Arial"/>
                <w:sz w:val="16"/>
                <w:szCs w:val="16"/>
                <w:lang w:eastAsia="es-ES"/>
              </w:rPr>
            </w:pPr>
            <w:r w:rsidRPr="001B1BC6">
              <w:rPr>
                <w:rFonts w:ascii="Verdana" w:eastAsia="Calibri" w:hAnsi="Verdana" w:cs="Arial"/>
                <w:sz w:val="16"/>
                <w:szCs w:val="16"/>
                <w:lang w:eastAsia="es-ES"/>
              </w:rPr>
              <w:t xml:space="preserve">Carolina Quintero </w:t>
            </w:r>
            <w:proofErr w:type="spellStart"/>
            <w:r w:rsidRPr="001B1BC6">
              <w:rPr>
                <w:rFonts w:ascii="Verdana" w:eastAsia="Calibri" w:hAnsi="Verdana" w:cs="Arial"/>
                <w:sz w:val="16"/>
                <w:szCs w:val="16"/>
                <w:lang w:eastAsia="es-ES"/>
              </w:rPr>
              <w:t>Gacharná</w:t>
            </w:r>
            <w:proofErr w:type="spellEnd"/>
          </w:p>
          <w:p w14:paraId="05F6D8DB" w14:textId="77777777" w:rsidR="001B1BC6" w:rsidRPr="001B1BC6" w:rsidRDefault="001B1BC6" w:rsidP="001B1BC6">
            <w:pPr>
              <w:rPr>
                <w:rFonts w:ascii="Verdana" w:eastAsia="Calibri" w:hAnsi="Verdana" w:cs="Arial"/>
                <w:sz w:val="16"/>
                <w:szCs w:val="16"/>
                <w:lang w:eastAsia="es-ES"/>
              </w:rPr>
            </w:pPr>
            <w:r w:rsidRPr="001B1BC6">
              <w:rPr>
                <w:rFonts w:ascii="Verdana" w:eastAsia="Calibri" w:hAnsi="Verdana" w:cs="Arial"/>
                <w:sz w:val="16"/>
                <w:szCs w:val="16"/>
                <w:lang w:eastAsia="es-ES"/>
              </w:rPr>
              <w:t>Subdirectora de Gestión Contractual ANCP – CCE</w:t>
            </w:r>
          </w:p>
        </w:tc>
      </w:tr>
      <w:bookmarkEnd w:id="0"/>
    </w:tbl>
    <w:p w14:paraId="12443EE0" w14:textId="77777777" w:rsidR="00C15139" w:rsidRPr="0024624F" w:rsidRDefault="00C15139" w:rsidP="00C15139">
      <w:pPr>
        <w:spacing w:after="0"/>
        <w:rPr>
          <w:rFonts w:ascii="Verdana" w:hAnsi="Verdana"/>
        </w:rPr>
      </w:pPr>
    </w:p>
    <w:sectPr w:rsidR="00C15139" w:rsidRPr="0024624F"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BB2F0F" w14:textId="77777777" w:rsidR="00B70B8A" w:rsidRDefault="00B70B8A" w:rsidP="004A1847">
      <w:pPr>
        <w:spacing w:after="0" w:line="240" w:lineRule="auto"/>
      </w:pPr>
      <w:r>
        <w:separator/>
      </w:r>
    </w:p>
  </w:endnote>
  <w:endnote w:type="continuationSeparator" w:id="0">
    <w:p w14:paraId="0AE0C577" w14:textId="77777777" w:rsidR="00B70B8A" w:rsidRDefault="00B70B8A"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ptos">
    <w:panose1 w:val="020B0004020202020204"/>
    <w:charset w:val="00"/>
    <w:family w:val="swiss"/>
    <w:pitch w:val="variable"/>
    <w:sig w:usb0="20000287" w:usb1="00000003" w:usb2="0000000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C852F7" w14:textId="77777777" w:rsidR="00B70B8A" w:rsidRDefault="00B70B8A" w:rsidP="004A1847">
      <w:pPr>
        <w:spacing w:after="0" w:line="240" w:lineRule="auto"/>
      </w:pPr>
      <w:r>
        <w:separator/>
      </w:r>
    </w:p>
  </w:footnote>
  <w:footnote w:type="continuationSeparator" w:id="0">
    <w:p w14:paraId="07D9C493" w14:textId="77777777" w:rsidR="00B70B8A" w:rsidRDefault="00B70B8A" w:rsidP="004A1847">
      <w:pPr>
        <w:spacing w:after="0" w:line="240" w:lineRule="auto"/>
      </w:pPr>
      <w:r>
        <w:continuationSeparator/>
      </w:r>
    </w:p>
  </w:footnote>
  <w:footnote w:id="1">
    <w:p w14:paraId="1FF0AC9D" w14:textId="77777777" w:rsidR="001B1BC6" w:rsidRPr="002B464E" w:rsidRDefault="001B1BC6" w:rsidP="001B1BC6">
      <w:pPr>
        <w:pStyle w:val="Textonotapie"/>
        <w:ind w:firstLine="709"/>
        <w:jc w:val="both"/>
        <w:rPr>
          <w:rFonts w:ascii="Verdana" w:hAnsi="Verdana"/>
          <w:sz w:val="18"/>
          <w:szCs w:val="18"/>
          <w:lang w:val="es-CO"/>
        </w:rPr>
      </w:pPr>
      <w:r w:rsidRPr="002B464E">
        <w:rPr>
          <w:rStyle w:val="Refdenotaalpie"/>
          <w:rFonts w:ascii="Verdana" w:hAnsi="Verdana"/>
          <w:sz w:val="18"/>
          <w:szCs w:val="18"/>
          <w:lang w:val="es-CO"/>
        </w:rPr>
        <w:footnoteRef/>
      </w:r>
      <w:r w:rsidRPr="002B464E">
        <w:rPr>
          <w:rFonts w:ascii="Verdana" w:hAnsi="Verdana"/>
          <w:sz w:val="18"/>
          <w:szCs w:val="18"/>
          <w:lang w:val="es-CO"/>
        </w:rPr>
        <w:t xml:space="preserve"> Estos Documentos Tipo pueden ser consultados en la página web de Colombia Compra Eficiente, a través del siguiente enlace: </w:t>
      </w:r>
      <w:hyperlink r:id="rId1" w:history="1">
        <w:r w:rsidRPr="002B464E">
          <w:rPr>
            <w:rStyle w:val="Hipervnculo"/>
            <w:rFonts w:ascii="Verdana" w:hAnsi="Verdana"/>
            <w:sz w:val="18"/>
            <w:szCs w:val="18"/>
            <w:lang w:val="es-CO"/>
          </w:rPr>
          <w:t>https://www.colombiacompra.gov.co/documentos-tipo/documentos-tipo</w:t>
        </w:r>
      </w:hyperlink>
      <w:r w:rsidRPr="002B464E">
        <w:rPr>
          <w:rFonts w:ascii="Verdana" w:hAnsi="Verdana"/>
          <w:sz w:val="18"/>
          <w:szCs w:val="18"/>
          <w:lang w:val="es-CO"/>
        </w:rPr>
        <w:t xml:space="preserve"> </w:t>
      </w:r>
    </w:p>
    <w:p w14:paraId="6F1AC8B7" w14:textId="77777777" w:rsidR="001B1BC6" w:rsidRPr="002B464E" w:rsidRDefault="001B1BC6" w:rsidP="001B1BC6">
      <w:pPr>
        <w:pStyle w:val="Textonotapie"/>
        <w:ind w:firstLine="709"/>
        <w:jc w:val="both"/>
        <w:rPr>
          <w:rFonts w:ascii="Verdana" w:hAnsi="Verdana"/>
          <w:sz w:val="18"/>
          <w:szCs w:val="18"/>
          <w:lang w:val="es-CO"/>
        </w:rPr>
      </w:pPr>
    </w:p>
  </w:footnote>
  <w:footnote w:id="2">
    <w:p w14:paraId="719311D5" w14:textId="77777777" w:rsidR="001B1BC6" w:rsidRPr="002B464E" w:rsidRDefault="001B1BC6" w:rsidP="001B1BC6">
      <w:pPr>
        <w:pStyle w:val="Textonotapie"/>
        <w:ind w:firstLine="709"/>
        <w:jc w:val="both"/>
        <w:rPr>
          <w:rFonts w:ascii="Verdana" w:hAnsi="Verdana" w:cs="Arial"/>
          <w:sz w:val="18"/>
          <w:szCs w:val="18"/>
          <w:lang w:val="es-CO"/>
        </w:rPr>
      </w:pPr>
      <w:r w:rsidRPr="002B464E">
        <w:rPr>
          <w:rStyle w:val="Refdenotaalpie"/>
          <w:rFonts w:ascii="Verdana" w:hAnsi="Verdana" w:cs="Arial"/>
          <w:sz w:val="18"/>
          <w:szCs w:val="18"/>
        </w:rPr>
        <w:footnoteRef/>
      </w:r>
      <w:r w:rsidRPr="002B464E">
        <w:rPr>
          <w:rFonts w:ascii="Verdana" w:hAnsi="Verdana" w:cs="Arial"/>
          <w:sz w:val="18"/>
          <w:szCs w:val="18"/>
        </w:rPr>
        <w:t xml:space="preserve"> CONPES 3958 "Estrategia para la implementación de la política pública de catastro multipropósito", 2019, pág. 56. “</w:t>
      </w:r>
      <w:r w:rsidRPr="002B464E">
        <w:rPr>
          <w:rFonts w:ascii="Verdana" w:hAnsi="Verdana" w:cs="Arial"/>
          <w:i/>
          <w:iCs/>
          <w:sz w:val="18"/>
          <w:szCs w:val="18"/>
        </w:rPr>
        <w:t>Línea de acción 13. Definición de esquemas de financiación para garantizar el levantamiento de la información catastral con enfoque multipropósito en el tiempo</w:t>
      </w:r>
      <w:r w:rsidRPr="002B464E">
        <w:rPr>
          <w:rFonts w:ascii="Verdana" w:hAnsi="Verdana" w:cs="Arial"/>
          <w:i/>
          <w:iCs/>
          <w:sz w:val="18"/>
          <w:szCs w:val="18"/>
          <w:lang w:val="es-CO"/>
        </w:rPr>
        <w:t>.</w:t>
      </w:r>
      <w:r w:rsidRPr="002B464E">
        <w:rPr>
          <w:rFonts w:ascii="Verdana" w:hAnsi="Verdana" w:cs="Arial"/>
          <w:sz w:val="18"/>
          <w:szCs w:val="18"/>
          <w:lang w:val="es-CO"/>
        </w:rPr>
        <w:t xml:space="preserve"> […] </w:t>
      </w:r>
      <w:r w:rsidRPr="002B464E">
        <w:rPr>
          <w:rFonts w:ascii="Verdana" w:hAnsi="Verdana" w:cs="Arial"/>
          <w:sz w:val="18"/>
          <w:szCs w:val="18"/>
        </w:rPr>
        <w:t>siguiendo los lineamientos de Colombia Compra Eficiente, el IGAC definirá los esquemas de contratación de cartografía y de actividades relacionadas con la gestión catastral, haciendo uso de acuerdos marco de precios en articulación con los instrumentos de proyectos tipo que se desarrollen”.</w:t>
      </w:r>
    </w:p>
  </w:footnote>
  <w:footnote w:id="3">
    <w:p w14:paraId="3220143D" w14:textId="77777777" w:rsidR="001B1BC6" w:rsidRPr="002B464E" w:rsidRDefault="001B1BC6" w:rsidP="001B1BC6">
      <w:pPr>
        <w:pStyle w:val="Textonotapie"/>
        <w:ind w:firstLine="709"/>
        <w:jc w:val="both"/>
        <w:rPr>
          <w:rFonts w:ascii="Verdana" w:eastAsia="Calibri" w:hAnsi="Verdana" w:cs="Arial"/>
          <w:sz w:val="18"/>
          <w:szCs w:val="18"/>
        </w:rPr>
      </w:pPr>
      <w:r w:rsidRPr="002B464E">
        <w:rPr>
          <w:rStyle w:val="Refdenotaalpie"/>
          <w:rFonts w:ascii="Verdana" w:hAnsi="Verdana" w:cs="Arial"/>
          <w:sz w:val="18"/>
          <w:szCs w:val="18"/>
        </w:rPr>
        <w:footnoteRef/>
      </w:r>
      <w:r w:rsidRPr="002B464E">
        <w:rPr>
          <w:rFonts w:ascii="Verdana" w:hAnsi="Verdana" w:cs="Arial"/>
          <w:sz w:val="18"/>
          <w:szCs w:val="18"/>
        </w:rPr>
        <w:t xml:space="preserve"> </w:t>
      </w:r>
      <w:r w:rsidRPr="002B464E">
        <w:rPr>
          <w:rFonts w:ascii="Verdana" w:eastAsia="Calibri" w:hAnsi="Verdana" w:cs="Arial"/>
          <w:sz w:val="18"/>
          <w:szCs w:val="18"/>
          <w:lang w:eastAsia="es-CO"/>
        </w:rPr>
        <w:t xml:space="preserve">Artículo 2.2.2.2.2 del </w:t>
      </w:r>
      <w:r w:rsidRPr="002B464E">
        <w:rPr>
          <w:rFonts w:ascii="Verdana" w:eastAsia="Calibri" w:hAnsi="Verdana" w:cs="Arial"/>
          <w:sz w:val="18"/>
          <w:szCs w:val="18"/>
        </w:rPr>
        <w:t>Decreto 1170 de 2015, modificado por el artículo 1 del Decreto 148 de 2020.</w:t>
      </w:r>
    </w:p>
    <w:p w14:paraId="13B52561" w14:textId="77777777" w:rsidR="001B1BC6" w:rsidRPr="002B464E" w:rsidRDefault="001B1BC6" w:rsidP="001B1BC6">
      <w:pPr>
        <w:pStyle w:val="Textonotapie"/>
        <w:ind w:firstLine="709"/>
        <w:jc w:val="both"/>
        <w:rPr>
          <w:rFonts w:ascii="Verdana" w:eastAsia="Calibri" w:hAnsi="Verdana" w:cs="Arial"/>
          <w:sz w:val="18"/>
          <w:szCs w:val="18"/>
        </w:rPr>
      </w:pPr>
    </w:p>
  </w:footnote>
  <w:footnote w:id="4">
    <w:p w14:paraId="2767BD13" w14:textId="77777777" w:rsidR="001B1BC6" w:rsidRPr="002B464E" w:rsidRDefault="001B1BC6" w:rsidP="001B1BC6">
      <w:pPr>
        <w:pStyle w:val="Textonotapie"/>
        <w:ind w:firstLine="709"/>
        <w:jc w:val="both"/>
        <w:rPr>
          <w:rFonts w:ascii="Verdana" w:hAnsi="Verdana" w:cs="Arial"/>
          <w:sz w:val="18"/>
          <w:szCs w:val="18"/>
        </w:rPr>
      </w:pPr>
      <w:r w:rsidRPr="002B464E">
        <w:rPr>
          <w:rStyle w:val="Refdenotaalpie"/>
          <w:rFonts w:ascii="Verdana" w:hAnsi="Verdana" w:cs="Arial"/>
          <w:sz w:val="18"/>
          <w:szCs w:val="18"/>
        </w:rPr>
        <w:footnoteRef/>
      </w:r>
      <w:r w:rsidRPr="002B464E">
        <w:rPr>
          <w:rFonts w:ascii="Verdana" w:hAnsi="Verdana" w:cs="Arial"/>
          <w:sz w:val="18"/>
          <w:szCs w:val="18"/>
        </w:rPr>
        <w:t xml:space="preserve"> </w:t>
      </w:r>
      <w:r w:rsidRPr="002B464E">
        <w:rPr>
          <w:rFonts w:ascii="Verdana" w:hAnsi="Verdana" w:cs="Arial"/>
          <w:i/>
          <w:iCs/>
          <w:sz w:val="18"/>
          <w:szCs w:val="18"/>
        </w:rPr>
        <w:t>Ibidem</w:t>
      </w:r>
      <w:r w:rsidRPr="002B464E">
        <w:rPr>
          <w:rFonts w:ascii="Verdana" w:hAnsi="Verdana" w:cs="Arial"/>
          <w:sz w:val="18"/>
          <w:szCs w:val="18"/>
        </w:rPr>
        <w:t xml:space="preserve">. </w:t>
      </w:r>
    </w:p>
    <w:p w14:paraId="51CD5CA4" w14:textId="77777777" w:rsidR="001B1BC6" w:rsidRPr="002B464E" w:rsidRDefault="001B1BC6" w:rsidP="001B1BC6">
      <w:pPr>
        <w:pStyle w:val="Textonotapie"/>
        <w:ind w:firstLine="709"/>
        <w:jc w:val="both"/>
        <w:rPr>
          <w:rFonts w:ascii="Verdana" w:hAnsi="Verdana" w:cs="Arial"/>
          <w:sz w:val="18"/>
          <w:szCs w:val="18"/>
        </w:rPr>
      </w:pPr>
    </w:p>
  </w:footnote>
  <w:footnote w:id="5">
    <w:p w14:paraId="4E67D825" w14:textId="77777777" w:rsidR="001B1BC6" w:rsidRPr="002B464E" w:rsidRDefault="001B1BC6" w:rsidP="001B1BC6">
      <w:pPr>
        <w:pStyle w:val="Textonotapie"/>
        <w:ind w:firstLine="709"/>
        <w:jc w:val="both"/>
        <w:rPr>
          <w:rFonts w:ascii="Verdana" w:hAnsi="Verdana" w:cs="Arial"/>
          <w:sz w:val="18"/>
          <w:szCs w:val="18"/>
        </w:rPr>
      </w:pPr>
      <w:r w:rsidRPr="002B464E">
        <w:rPr>
          <w:rStyle w:val="Refdenotaalpie"/>
          <w:rFonts w:ascii="Verdana" w:hAnsi="Verdana" w:cs="Arial"/>
          <w:sz w:val="18"/>
          <w:szCs w:val="18"/>
        </w:rPr>
        <w:footnoteRef/>
      </w:r>
      <w:r w:rsidRPr="002B464E">
        <w:rPr>
          <w:rFonts w:ascii="Verdana" w:hAnsi="Verdana" w:cs="Arial"/>
          <w:sz w:val="18"/>
          <w:szCs w:val="18"/>
        </w:rPr>
        <w:t xml:space="preserve"> El artículo 2.2.2.2.2 del Decreto 1170 de 2015 modificado por el artículo 1 del Decreto 148 de 2020, dispone que el proceso de conservación catastral consiste en el conjunto de acciones tendientes a mantener vigente la base catastral de forma permanente, mediante la incorporación de los cambios que sufra la información de un bien inmueble. Por su parte, define a la difusión catastral como aquellas actividades tendientes al uso, disposición y acceso a la información catastral, así como la generación de insumos que contribuyan a la planeación y gestión de los territorios.</w:t>
      </w:r>
    </w:p>
  </w:footnote>
  <w:footnote w:id="6">
    <w:p w14:paraId="00DBD1BF" w14:textId="77777777" w:rsidR="001B1BC6" w:rsidRPr="00CD5B19" w:rsidRDefault="001B1BC6" w:rsidP="001B1BC6">
      <w:pPr>
        <w:pStyle w:val="Textonotapie"/>
        <w:snapToGrid w:val="0"/>
        <w:jc w:val="both"/>
        <w:rPr>
          <w:rFonts w:ascii="Verdana" w:hAnsi="Verdana" w:cs="Arial"/>
          <w:color w:val="000000"/>
          <w:sz w:val="18"/>
          <w:szCs w:val="18"/>
        </w:rPr>
      </w:pPr>
    </w:p>
    <w:p w14:paraId="0C0A38BF" w14:textId="77777777" w:rsidR="001B1BC6" w:rsidRPr="00CD5B19" w:rsidRDefault="001B1BC6" w:rsidP="001B1BC6">
      <w:pPr>
        <w:pStyle w:val="Textonotapie"/>
        <w:snapToGrid w:val="0"/>
        <w:ind w:firstLine="709"/>
        <w:jc w:val="both"/>
        <w:rPr>
          <w:rFonts w:ascii="Verdana" w:hAnsi="Verdana" w:cs="Arial"/>
          <w:color w:val="000000"/>
          <w:sz w:val="18"/>
          <w:szCs w:val="18"/>
          <w:lang w:val="es-ES"/>
        </w:rPr>
      </w:pPr>
      <w:r w:rsidRPr="00CD5B19">
        <w:rPr>
          <w:rStyle w:val="Refdenotaalpie"/>
          <w:rFonts w:ascii="Verdana" w:hAnsi="Verdana" w:cs="Arial"/>
          <w:color w:val="000000"/>
          <w:sz w:val="18"/>
          <w:szCs w:val="18"/>
        </w:rPr>
        <w:footnoteRef/>
      </w:r>
      <w:r w:rsidRPr="00CD5B19">
        <w:rPr>
          <w:rFonts w:ascii="Verdana" w:hAnsi="Verdana" w:cs="Arial"/>
          <w:color w:val="000000"/>
          <w:sz w:val="18"/>
          <w:szCs w:val="18"/>
        </w:rPr>
        <w:t xml:space="preserve"> </w:t>
      </w:r>
      <w:r w:rsidRPr="00CD5B19">
        <w:rPr>
          <w:rFonts w:ascii="Verdana" w:hAnsi="Verdana" w:cs="Arial"/>
          <w:color w:val="000000"/>
          <w:sz w:val="18"/>
          <w:szCs w:val="18"/>
          <w:lang w:val="es-ES"/>
        </w:rPr>
        <w:t xml:space="preserve">En cuanto a las resoluciones vigentes, dicha regla se observa en el artículo 3 de las Resoluciones </w:t>
      </w:r>
      <w:bookmarkStart w:id="4" w:name="_Hlk82363077"/>
      <w:r w:rsidRPr="00CD5B19">
        <w:rPr>
          <w:rFonts w:ascii="Verdana" w:hAnsi="Verdana" w:cs="Arial"/>
          <w:color w:val="000000"/>
          <w:sz w:val="18"/>
          <w:szCs w:val="18"/>
          <w:lang w:val="es-ES"/>
        </w:rPr>
        <w:t>248 de 2020, 249 de 2020, 269 de 2020, 219 de 2021, 220 de 2021, 392 de 2021, 454 de 2021, 333 de 2022, 358 de 2023, 798 de 2023, 456 de 2024, 463 de 2024, 464 de 2024, 725 de 2024, 726 de 2024, entre otras</w:t>
      </w:r>
      <w:bookmarkEnd w:id="4"/>
      <w:r w:rsidRPr="00CD5B19">
        <w:rPr>
          <w:rFonts w:ascii="Verdana" w:hAnsi="Verdana" w:cs="Arial"/>
          <w:color w:val="000000"/>
          <w:sz w:val="18"/>
          <w:szCs w:val="18"/>
          <w:lang w:val="es-ES"/>
        </w:rPr>
        <w:t xml:space="preserve">. </w:t>
      </w:r>
    </w:p>
    <w:p w14:paraId="7F2FBF3E" w14:textId="77777777" w:rsidR="001B1BC6" w:rsidRPr="00CD5B19" w:rsidRDefault="001B1BC6" w:rsidP="001B1BC6">
      <w:pPr>
        <w:pStyle w:val="Textonotapie"/>
        <w:snapToGrid w:val="0"/>
        <w:ind w:firstLine="709"/>
        <w:jc w:val="both"/>
        <w:rPr>
          <w:rFonts w:ascii="Verdana" w:hAnsi="Verdana" w:cs="Arial"/>
          <w:color w:val="000000"/>
          <w:sz w:val="18"/>
          <w:szCs w:val="18"/>
          <w:lang w:val="es-ES"/>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55pt;height:12.5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0" w:hanging="360"/>
      </w:p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2E75EF7"/>
    <w:multiLevelType w:val="hybridMultilevel"/>
    <w:tmpl w:val="0416017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6"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39D726F5"/>
    <w:multiLevelType w:val="hybridMultilevel"/>
    <w:tmpl w:val="C9903574"/>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start w:val="1"/>
      <w:numFmt w:val="bullet"/>
      <w:lvlText w:val=""/>
      <w:lvlJc w:val="left"/>
      <w:pPr>
        <w:ind w:left="2160" w:hanging="360"/>
      </w:pPr>
      <w:rPr>
        <w:rFonts w:ascii="Wingdings" w:hAnsi="Wingdings" w:hint="default"/>
      </w:rPr>
    </w:lvl>
    <w:lvl w:ilvl="3" w:tplc="040A0001">
      <w:start w:val="1"/>
      <w:numFmt w:val="bullet"/>
      <w:lvlText w:val=""/>
      <w:lvlJc w:val="left"/>
      <w:pPr>
        <w:ind w:left="2880" w:hanging="360"/>
      </w:pPr>
      <w:rPr>
        <w:rFonts w:ascii="Symbol" w:hAnsi="Symbol" w:hint="default"/>
      </w:rPr>
    </w:lvl>
    <w:lvl w:ilvl="4" w:tplc="040A0003">
      <w:start w:val="1"/>
      <w:numFmt w:val="bullet"/>
      <w:lvlText w:val="o"/>
      <w:lvlJc w:val="left"/>
      <w:pPr>
        <w:ind w:left="3600" w:hanging="360"/>
      </w:pPr>
      <w:rPr>
        <w:rFonts w:ascii="Courier New" w:hAnsi="Courier New" w:cs="Courier New" w:hint="default"/>
      </w:rPr>
    </w:lvl>
    <w:lvl w:ilvl="5" w:tplc="040A0005">
      <w:start w:val="1"/>
      <w:numFmt w:val="bullet"/>
      <w:lvlText w:val=""/>
      <w:lvlJc w:val="left"/>
      <w:pPr>
        <w:ind w:left="4320" w:hanging="360"/>
      </w:pPr>
      <w:rPr>
        <w:rFonts w:ascii="Wingdings" w:hAnsi="Wingdings" w:hint="default"/>
      </w:rPr>
    </w:lvl>
    <w:lvl w:ilvl="6" w:tplc="040A0001">
      <w:start w:val="1"/>
      <w:numFmt w:val="bullet"/>
      <w:lvlText w:val=""/>
      <w:lvlJc w:val="left"/>
      <w:pPr>
        <w:ind w:left="5040" w:hanging="360"/>
      </w:pPr>
      <w:rPr>
        <w:rFonts w:ascii="Symbol" w:hAnsi="Symbol" w:hint="default"/>
      </w:rPr>
    </w:lvl>
    <w:lvl w:ilvl="7" w:tplc="040A0003">
      <w:start w:val="1"/>
      <w:numFmt w:val="bullet"/>
      <w:lvlText w:val="o"/>
      <w:lvlJc w:val="left"/>
      <w:pPr>
        <w:ind w:left="5760" w:hanging="360"/>
      </w:pPr>
      <w:rPr>
        <w:rFonts w:ascii="Courier New" w:hAnsi="Courier New" w:cs="Courier New" w:hint="default"/>
      </w:rPr>
    </w:lvl>
    <w:lvl w:ilvl="8" w:tplc="040A0005">
      <w:start w:val="1"/>
      <w:numFmt w:val="bullet"/>
      <w:lvlText w:val=""/>
      <w:lvlJc w:val="left"/>
      <w:pPr>
        <w:ind w:left="6480" w:hanging="360"/>
      </w:pPr>
      <w:rPr>
        <w:rFonts w:ascii="Wingdings" w:hAnsi="Wingdings" w:hint="default"/>
      </w:rPr>
    </w:lvl>
  </w:abstractNum>
  <w:abstractNum w:abstractNumId="11"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7"/>
  </w:num>
  <w:num w:numId="2" w16cid:durableId="19822139">
    <w:abstractNumId w:val="2"/>
  </w:num>
  <w:num w:numId="3" w16cid:durableId="876742304">
    <w:abstractNumId w:val="5"/>
  </w:num>
  <w:num w:numId="4" w16cid:durableId="24518640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6"/>
  </w:num>
  <w:num w:numId="8" w16cid:durableId="152644682">
    <w:abstractNumId w:val="13"/>
  </w:num>
  <w:num w:numId="9" w16cid:durableId="1317221377">
    <w:abstractNumId w:val="8"/>
  </w:num>
  <w:num w:numId="10" w16cid:durableId="1471245386">
    <w:abstractNumId w:val="12"/>
  </w:num>
  <w:num w:numId="11" w16cid:durableId="289172385">
    <w:abstractNumId w:val="9"/>
  </w:num>
  <w:num w:numId="12" w16cid:durableId="1470781324">
    <w:abstractNumId w:val="1"/>
  </w:num>
  <w:num w:numId="13" w16cid:durableId="1512908409">
    <w:abstractNumId w:val="4"/>
  </w:num>
  <w:num w:numId="14" w16cid:durableId="895897244">
    <w:abstractNumId w:val="15"/>
  </w:num>
  <w:num w:numId="15" w16cid:durableId="390349800">
    <w:abstractNumId w:val="11"/>
  </w:num>
  <w:num w:numId="16" w16cid:durableId="1699816028">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827985604">
    <w:abstractNumId w:val="10"/>
  </w:num>
  <w:num w:numId="18" w16cid:durableId="341274352">
    <w:abstractNumId w:val="0"/>
  </w:num>
  <w:num w:numId="19" w16cid:durableId="58507254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0AE7"/>
    <w:rsid w:val="00082362"/>
    <w:rsid w:val="000A683E"/>
    <w:rsid w:val="000B19B9"/>
    <w:rsid w:val="000D0334"/>
    <w:rsid w:val="000D5DA7"/>
    <w:rsid w:val="000F6486"/>
    <w:rsid w:val="00116940"/>
    <w:rsid w:val="00125105"/>
    <w:rsid w:val="00127233"/>
    <w:rsid w:val="0015699B"/>
    <w:rsid w:val="00182815"/>
    <w:rsid w:val="001A33BF"/>
    <w:rsid w:val="001B1BC6"/>
    <w:rsid w:val="001E4177"/>
    <w:rsid w:val="001F0B24"/>
    <w:rsid w:val="001F4B70"/>
    <w:rsid w:val="001F7DC6"/>
    <w:rsid w:val="0022400B"/>
    <w:rsid w:val="002421BB"/>
    <w:rsid w:val="0025796E"/>
    <w:rsid w:val="002707A2"/>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2D58"/>
    <w:rsid w:val="0042722E"/>
    <w:rsid w:val="0044528D"/>
    <w:rsid w:val="00466E39"/>
    <w:rsid w:val="004A1847"/>
    <w:rsid w:val="004A2ED8"/>
    <w:rsid w:val="004A305D"/>
    <w:rsid w:val="004D7E34"/>
    <w:rsid w:val="004F21C4"/>
    <w:rsid w:val="004F685F"/>
    <w:rsid w:val="005566E8"/>
    <w:rsid w:val="00574867"/>
    <w:rsid w:val="00591460"/>
    <w:rsid w:val="005A65E0"/>
    <w:rsid w:val="005C3777"/>
    <w:rsid w:val="005C5CDC"/>
    <w:rsid w:val="005D476C"/>
    <w:rsid w:val="005D79C6"/>
    <w:rsid w:val="00612B3A"/>
    <w:rsid w:val="006200BF"/>
    <w:rsid w:val="006219F8"/>
    <w:rsid w:val="006302F7"/>
    <w:rsid w:val="00646B9F"/>
    <w:rsid w:val="00665D70"/>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E7460"/>
    <w:rsid w:val="009F3A13"/>
    <w:rsid w:val="00A122D3"/>
    <w:rsid w:val="00A14468"/>
    <w:rsid w:val="00A17F13"/>
    <w:rsid w:val="00A20739"/>
    <w:rsid w:val="00A23AF9"/>
    <w:rsid w:val="00A33C78"/>
    <w:rsid w:val="00A92C85"/>
    <w:rsid w:val="00AB0ADB"/>
    <w:rsid w:val="00B00C0E"/>
    <w:rsid w:val="00B01B1A"/>
    <w:rsid w:val="00B0381D"/>
    <w:rsid w:val="00B44A47"/>
    <w:rsid w:val="00B70B8A"/>
    <w:rsid w:val="00B72CD3"/>
    <w:rsid w:val="00B72FFF"/>
    <w:rsid w:val="00BC3D36"/>
    <w:rsid w:val="00BD54A6"/>
    <w:rsid w:val="00BD7F72"/>
    <w:rsid w:val="00BF7425"/>
    <w:rsid w:val="00C04FB3"/>
    <w:rsid w:val="00C11D8B"/>
    <w:rsid w:val="00C15139"/>
    <w:rsid w:val="00C24A97"/>
    <w:rsid w:val="00C330EB"/>
    <w:rsid w:val="00C50D69"/>
    <w:rsid w:val="00C5365C"/>
    <w:rsid w:val="00C645B5"/>
    <w:rsid w:val="00C754BE"/>
    <w:rsid w:val="00C76B1C"/>
    <w:rsid w:val="00C925AC"/>
    <w:rsid w:val="00CB6357"/>
    <w:rsid w:val="00CC1B26"/>
    <w:rsid w:val="00D361FD"/>
    <w:rsid w:val="00D423A2"/>
    <w:rsid w:val="00D44E26"/>
    <w:rsid w:val="00D520D8"/>
    <w:rsid w:val="00D63AC2"/>
    <w:rsid w:val="00D7383B"/>
    <w:rsid w:val="00D7788A"/>
    <w:rsid w:val="00DA231B"/>
    <w:rsid w:val="00DC39FC"/>
    <w:rsid w:val="00DF5254"/>
    <w:rsid w:val="00DF7BB9"/>
    <w:rsid w:val="00E02524"/>
    <w:rsid w:val="00E16408"/>
    <w:rsid w:val="00E20894"/>
    <w:rsid w:val="00E245AB"/>
    <w:rsid w:val="00E2764C"/>
    <w:rsid w:val="00E27F2E"/>
    <w:rsid w:val="00E50AFE"/>
    <w:rsid w:val="00E75C92"/>
    <w:rsid w:val="00E771DC"/>
    <w:rsid w:val="00E8772A"/>
    <w:rsid w:val="00E90F6B"/>
    <w:rsid w:val="00E92C27"/>
    <w:rsid w:val="00EA0E3D"/>
    <w:rsid w:val="00EB53A7"/>
    <w:rsid w:val="00EC38A7"/>
    <w:rsid w:val="00EE1AA8"/>
    <w:rsid w:val="00F23FEA"/>
    <w:rsid w:val="00F31EDC"/>
    <w:rsid w:val="00F41590"/>
    <w:rsid w:val="00F462B3"/>
    <w:rsid w:val="00F511A0"/>
    <w:rsid w:val="00F5664F"/>
    <w:rsid w:val="00F666C4"/>
    <w:rsid w:val="00F76AFC"/>
    <w:rsid w:val="00FA47C0"/>
    <w:rsid w:val="00FB5DD1"/>
    <w:rsid w:val="00FC2B5D"/>
    <w:rsid w:val="00FF1449"/>
    <w:rsid w:val="00FF7963"/>
    <w:rsid w:val="071B8F93"/>
    <w:rsid w:val="09908A09"/>
    <w:rsid w:val="0FF4CCA8"/>
    <w:rsid w:val="13CFC91B"/>
    <w:rsid w:val="19A2EC2C"/>
    <w:rsid w:val="2859CA1B"/>
    <w:rsid w:val="32A4F9CF"/>
    <w:rsid w:val="356CEDFD"/>
    <w:rsid w:val="454071D6"/>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1B1BC6"/>
    <w:pPr>
      <w:spacing w:line="240" w:lineRule="exact"/>
    </w:pPr>
    <w:rPr>
      <w:vertAlign w:val="superscript"/>
    </w:rPr>
  </w:style>
  <w:style w:type="table" w:customStyle="1" w:styleId="Tablaconcuadrcula1">
    <w:name w:val="Tabla con cuadrícula1"/>
    <w:basedOn w:val="Tablanormal"/>
    <w:next w:val="Tablaconcuadrcula"/>
    <w:uiPriority w:val="39"/>
    <w:qFormat/>
    <w:rsid w:val="001B1BC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normativa-y-relatoria/documentos-tipo"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kevin.herrera%40colombiacompra.gov.co%7C7cfff6dece924643582c08dd97bfed90%7C7b09041e245149d08cb179d5e3d8c1be%7C0%7C0%7C638833572792593175%7CUnknown%7CTWFpbGZsb3d8eyJFbXB0eU1hcGkiOnRydWUsIlYiOiIwLjAuMDAwMCIsIlAiOiJXaW4zMiIsIkFOIjoiTWFpbCIsIldUIjoyfQ%3D%3D%7C0%7C%7C%7C&amp;sdata=FIIjS2kKZlQ08v4XgTQUjZlWVw3z44%2FtOaHriVSZTqg%3D&amp;reserved=0"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colombiacompra.gov.co/documentos-tipo/documentos-tipo"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53F5043-F1CE-4375-9458-17DAEF85D2EE}"/>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4</TotalTime>
  <Pages>12</Pages>
  <Words>3648</Words>
  <Characters>21090</Characters>
  <Application>Microsoft Office Word</Application>
  <DocSecurity>0</DocSecurity>
  <Lines>439</Lines>
  <Paragraphs>92</Paragraphs>
  <ScaleCrop>false</ScaleCrop>
  <Company/>
  <LinksUpToDate>false</LinksUpToDate>
  <CharactersWithSpaces>24646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Herrera</cp:lastModifiedBy>
  <cp:revision>6</cp:revision>
  <cp:lastPrinted>2023-01-10T21:18:00Z</cp:lastPrinted>
  <dcterms:created xsi:type="dcterms:W3CDTF">2025-12-12T23:08:00Z</dcterms:created>
  <dcterms:modified xsi:type="dcterms:W3CDTF">2025-12-20T01:42:00Z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