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BA5C4" w14:textId="4331916F" w:rsidR="00CF6A48" w:rsidRPr="00C7633E" w:rsidRDefault="00CF6A48" w:rsidP="00CF6A48">
      <w:pPr>
        <w:spacing w:after="0" w:line="240" w:lineRule="auto"/>
        <w:jc w:val="both"/>
        <w:rPr>
          <w:rFonts w:ascii="Verdana" w:hAnsi="Verdana"/>
          <w:b/>
          <w:bCs/>
        </w:rPr>
      </w:pPr>
      <w:r w:rsidRPr="00C7633E">
        <w:rPr>
          <w:rFonts w:ascii="Verdana" w:hAnsi="Verdana"/>
          <w:b/>
          <w:bCs/>
        </w:rPr>
        <w:t>REQUISITOS DE PERFECCIONAMIENTO DE LOS CONTRATOS ESTATALES – Celebración del contrato estatal – ELEMENTOS DEL CONTRATO – Elementos de la esencia – Elementos de la naturaleza –</w:t>
      </w:r>
      <w:r w:rsidR="00EC0117">
        <w:rPr>
          <w:rFonts w:ascii="Verdana" w:hAnsi="Verdana"/>
          <w:b/>
          <w:bCs/>
        </w:rPr>
        <w:t xml:space="preserve"> </w:t>
      </w:r>
      <w:r w:rsidRPr="00C7633E">
        <w:rPr>
          <w:rFonts w:ascii="Verdana" w:hAnsi="Verdana"/>
          <w:b/>
          <w:bCs/>
        </w:rPr>
        <w:t xml:space="preserve">Elementos accidentales </w:t>
      </w:r>
    </w:p>
    <w:p w14:paraId="75A33906" w14:textId="77777777" w:rsidR="00CF6A48" w:rsidRPr="00C7633E" w:rsidRDefault="00CF6A48" w:rsidP="00CF6A48">
      <w:pPr>
        <w:spacing w:after="0" w:line="240" w:lineRule="auto"/>
        <w:rPr>
          <w:rFonts w:ascii="Verdana" w:hAnsi="Verdana"/>
        </w:rPr>
      </w:pPr>
    </w:p>
    <w:p w14:paraId="11CF9FCE" w14:textId="77777777" w:rsidR="00CF6A48" w:rsidRDefault="00CF6A48" w:rsidP="00CF6A48">
      <w:pPr>
        <w:spacing w:after="0" w:line="240" w:lineRule="auto"/>
        <w:jc w:val="both"/>
        <w:rPr>
          <w:rFonts w:ascii="Verdana" w:eastAsia="Calibri" w:hAnsi="Verdana" w:cs="Arial"/>
          <w:sz w:val="20"/>
          <w:szCs w:val="20"/>
          <w:lang w:val="es-ES"/>
        </w:rPr>
      </w:pPr>
      <w:r w:rsidRPr="1952E7C8">
        <w:rPr>
          <w:rFonts w:ascii="Verdana" w:eastAsia="Calibri" w:hAnsi="Verdana" w:cs="Arial"/>
          <w:sz w:val="20"/>
          <w:szCs w:val="20"/>
          <w:lang w:val="es-ES"/>
        </w:rPr>
        <w:t xml:space="preserve">Los </w:t>
      </w:r>
      <w:r w:rsidRPr="1952E7C8">
        <w:rPr>
          <w:rFonts w:ascii="Verdana" w:eastAsia="Calibri" w:hAnsi="Verdana" w:cs="Arial"/>
          <w:i/>
          <w:iCs/>
          <w:sz w:val="20"/>
          <w:szCs w:val="20"/>
          <w:lang w:val="es-ES"/>
        </w:rPr>
        <w:t>requisitos de perfeccionamiento</w:t>
      </w:r>
      <w:r w:rsidRPr="1952E7C8">
        <w:rPr>
          <w:rFonts w:ascii="Verdana" w:eastAsia="Calibri" w:hAnsi="Verdana" w:cs="Arial"/>
          <w:sz w:val="20"/>
          <w:szCs w:val="20"/>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653268CB" w14:textId="77777777" w:rsidR="00CF6A48" w:rsidRPr="00C35401" w:rsidRDefault="00CF6A48" w:rsidP="00CF6A48">
      <w:pPr>
        <w:spacing w:after="0" w:line="240" w:lineRule="auto"/>
        <w:jc w:val="both"/>
        <w:rPr>
          <w:rFonts w:ascii="Verdana" w:eastAsia="Calibri" w:hAnsi="Verdana" w:cs="Arial"/>
          <w:sz w:val="20"/>
          <w:szCs w:val="20"/>
          <w:lang w:val="es-ES_tradnl"/>
        </w:rPr>
      </w:pPr>
    </w:p>
    <w:p w14:paraId="59EB0E1C" w14:textId="77777777" w:rsidR="00CF6A48" w:rsidRDefault="00CF6A48" w:rsidP="00CF6A48">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de la </w:t>
      </w:r>
      <w:r w:rsidRPr="00C35401">
        <w:rPr>
          <w:rFonts w:ascii="Verdana" w:eastAsia="Calibri" w:hAnsi="Verdana" w:cs="Arial"/>
          <w:i/>
          <w:iCs/>
          <w:sz w:val="20"/>
          <w:szCs w:val="20"/>
          <w:lang w:val="es-ES_tradnl"/>
        </w:rPr>
        <w:t>esencia</w:t>
      </w:r>
      <w:r w:rsidRPr="00C35401">
        <w:rPr>
          <w:rFonts w:ascii="Verdana" w:eastAsia="Calibri" w:hAnsi="Verdana" w:cs="Arial"/>
          <w:sz w:val="20"/>
          <w:szCs w:val="20"/>
          <w:lang w:val="es-ES_tradnl"/>
        </w:rPr>
        <w:t xml:space="preserve"> son aquellos que, al cumplirse, marcan la existencia del contrato y le otorgan su identidad o tipología, permitiendo que no se confunda con otro contrato. Los de la </w:t>
      </w:r>
      <w:r w:rsidRPr="00C35401">
        <w:rPr>
          <w:rFonts w:ascii="Verdana" w:eastAsia="Calibri" w:hAnsi="Verdana" w:cs="Arial"/>
          <w:i/>
          <w:iCs/>
          <w:sz w:val="20"/>
          <w:szCs w:val="20"/>
          <w:lang w:val="es-ES_tradnl"/>
        </w:rPr>
        <w:t>naturaleza</w:t>
      </w:r>
      <w:r w:rsidRPr="00C35401">
        <w:rPr>
          <w:rFonts w:ascii="Verdana" w:eastAsia="Calibri" w:hAnsi="Verdana" w:cs="Arial"/>
          <w:sz w:val="20"/>
          <w:szCs w:val="20"/>
          <w:lang w:val="es-ES_tradnl"/>
        </w:rPr>
        <w:t xml:space="preserve"> son aquellos que, no siendo esenciales al contrato, se entienden incorporados por ministerio de la ley, aun ante el silencio de las partes. Y los </w:t>
      </w:r>
      <w:r w:rsidRPr="00C35401">
        <w:rPr>
          <w:rFonts w:ascii="Verdana" w:eastAsia="Calibri" w:hAnsi="Verdana" w:cs="Arial"/>
          <w:i/>
          <w:iCs/>
          <w:sz w:val="20"/>
          <w:szCs w:val="20"/>
          <w:lang w:val="es-ES_tradnl"/>
        </w:rPr>
        <w:t>accidentales</w:t>
      </w:r>
      <w:r w:rsidRPr="00C35401">
        <w:rPr>
          <w:rFonts w:ascii="Verdana" w:eastAsia="Calibri" w:hAnsi="Verdana" w:cs="Arial"/>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29892443" w14:textId="77777777" w:rsidR="00CF6A48" w:rsidRDefault="00CF6A48" w:rsidP="00CF6A48">
      <w:pPr>
        <w:spacing w:after="0" w:line="240" w:lineRule="auto"/>
        <w:jc w:val="both"/>
        <w:rPr>
          <w:rFonts w:ascii="Verdana" w:eastAsia="Calibri" w:hAnsi="Verdana" w:cs="Arial"/>
          <w:sz w:val="20"/>
          <w:szCs w:val="20"/>
          <w:lang w:val="es-ES_tradnl"/>
        </w:rPr>
      </w:pPr>
    </w:p>
    <w:p w14:paraId="0D40DAE3" w14:textId="77777777" w:rsidR="00CF6A48" w:rsidRPr="00682C93" w:rsidRDefault="00CF6A48" w:rsidP="00CF6A4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0C19E0F4" w14:textId="77777777" w:rsidR="00CF6A48" w:rsidRDefault="00CF6A48" w:rsidP="00CF6A48">
      <w:pPr>
        <w:spacing w:after="0" w:line="240" w:lineRule="auto"/>
        <w:jc w:val="both"/>
        <w:rPr>
          <w:rFonts w:ascii="Verdana" w:hAnsi="Verdana" w:cs="Arial"/>
          <w:b/>
          <w:lang w:val="es-MX" w:eastAsia="es-ES_tradnl"/>
        </w:rPr>
      </w:pPr>
    </w:p>
    <w:p w14:paraId="57D7A3BE" w14:textId="77777777" w:rsidR="00CF6A48" w:rsidRDefault="00CF6A48" w:rsidP="00CF6A48">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6B18539" w14:textId="77777777" w:rsidR="00CF6A48" w:rsidRPr="00682C93" w:rsidRDefault="00CF6A48" w:rsidP="00CF6A48">
      <w:pPr>
        <w:spacing w:after="0" w:line="240" w:lineRule="auto"/>
        <w:jc w:val="both"/>
        <w:rPr>
          <w:rFonts w:ascii="Verdana" w:hAnsi="Verdana" w:cs="Arial"/>
          <w:b/>
          <w:sz w:val="20"/>
          <w:lang w:val="es-MX" w:eastAsia="es-ES_tradnl"/>
        </w:rPr>
      </w:pPr>
    </w:p>
    <w:p w14:paraId="63507CF9" w14:textId="77777777" w:rsidR="00CF6A48" w:rsidRPr="00682C93" w:rsidRDefault="00CF6A48" w:rsidP="00CF6A4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21D74F2D" w14:textId="77777777" w:rsidR="00CF6A48" w:rsidRDefault="00CF6A48" w:rsidP="00CF6A48">
      <w:pPr>
        <w:spacing w:after="0" w:line="240" w:lineRule="auto"/>
        <w:jc w:val="both"/>
        <w:rPr>
          <w:rFonts w:ascii="Verdana" w:hAnsi="Verdana" w:cs="Arial"/>
          <w:b/>
          <w:lang w:val="es-MX" w:eastAsia="es-ES_tradnl"/>
        </w:rPr>
      </w:pPr>
    </w:p>
    <w:p w14:paraId="5C052858" w14:textId="77777777" w:rsidR="00CF6A48" w:rsidRPr="00E41F23" w:rsidRDefault="00CF6A48" w:rsidP="00CF6A48">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CE99E3F" w14:textId="77777777" w:rsidR="00CF6A48" w:rsidRPr="00E41F23" w:rsidRDefault="00CF6A48" w:rsidP="00CF6A48">
      <w:pPr>
        <w:spacing w:after="0" w:line="240" w:lineRule="auto"/>
        <w:jc w:val="both"/>
        <w:rPr>
          <w:rFonts w:ascii="Verdana" w:eastAsia="Calibri" w:hAnsi="Verdana" w:cs="Arial"/>
          <w:sz w:val="20"/>
        </w:rPr>
      </w:pPr>
    </w:p>
    <w:p w14:paraId="3968AE67" w14:textId="77777777" w:rsidR="00CF6A48" w:rsidRDefault="00CF6A48" w:rsidP="00CF6A48">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 xml:space="preserve">celebrar </w:t>
      </w:r>
      <w:r w:rsidRPr="00E41F23">
        <w:rPr>
          <w:rFonts w:ascii="Verdana" w:eastAsia="Calibri" w:hAnsi="Verdana" w:cs="Arial"/>
          <w:sz w:val="20"/>
          <w:lang w:val="es-MX"/>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7FF7853F" w14:textId="77777777" w:rsidR="00CF6A48" w:rsidRPr="00E41F23" w:rsidRDefault="00CF6A48" w:rsidP="00CF6A48">
      <w:pPr>
        <w:widowControl w:val="0"/>
        <w:autoSpaceDE w:val="0"/>
        <w:autoSpaceDN w:val="0"/>
        <w:spacing w:after="0" w:line="240" w:lineRule="auto"/>
        <w:ind w:right="113"/>
        <w:jc w:val="both"/>
        <w:rPr>
          <w:rFonts w:ascii="Verdana" w:eastAsia="Arial" w:hAnsi="Verdana" w:cs="Arial"/>
          <w:sz w:val="20"/>
          <w:lang w:val="es-ES" w:eastAsia="es-ES" w:bidi="es-ES"/>
        </w:rPr>
      </w:pPr>
    </w:p>
    <w:p w14:paraId="55BFCE4D" w14:textId="77777777" w:rsidR="00CF6A48" w:rsidRPr="00E41F23" w:rsidRDefault="00CF6A48" w:rsidP="00CF6A48">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A5A4919" w14:textId="77777777" w:rsidR="00CF6A48" w:rsidRPr="00682C93" w:rsidRDefault="00CF6A48" w:rsidP="00CF6A48">
      <w:pPr>
        <w:spacing w:after="0" w:line="240" w:lineRule="auto"/>
        <w:jc w:val="both"/>
        <w:rPr>
          <w:rFonts w:ascii="Verdana" w:hAnsi="Verdana" w:cs="Arial"/>
          <w:b/>
          <w:lang w:val="es-ES" w:eastAsia="es-ES_tradnl"/>
        </w:rPr>
      </w:pPr>
    </w:p>
    <w:p w14:paraId="34B317DA" w14:textId="77777777" w:rsidR="00CF6A48" w:rsidRDefault="00CF6A48" w:rsidP="00CF6A48">
      <w:pPr>
        <w:spacing w:after="0" w:line="240" w:lineRule="auto"/>
        <w:jc w:val="both"/>
        <w:rPr>
          <w:rFonts w:ascii="Verdana" w:eastAsia="Calibri" w:hAnsi="Verdana" w:cs="Arial"/>
          <w:sz w:val="20"/>
          <w:szCs w:val="20"/>
          <w:lang w:val="es-ES_tradnl"/>
        </w:rPr>
      </w:pPr>
    </w:p>
    <w:p w14:paraId="55A6E2E1" w14:textId="77777777" w:rsidR="00CF6A48" w:rsidRPr="00C35401" w:rsidRDefault="00CF6A48" w:rsidP="00CF6A48">
      <w:pPr>
        <w:spacing w:after="0" w:line="240" w:lineRule="auto"/>
        <w:jc w:val="both"/>
        <w:rPr>
          <w:rFonts w:ascii="Verdana" w:eastAsia="Calibri" w:hAnsi="Verdana" w:cs="Arial"/>
          <w:sz w:val="20"/>
          <w:szCs w:val="20"/>
          <w:lang w:val="es-ES_tradnl"/>
        </w:rPr>
      </w:pPr>
    </w:p>
    <w:p w14:paraId="7E5AC606" w14:textId="77777777" w:rsidR="00CF6A48" w:rsidRDefault="00CF6A48" w:rsidP="00CF6A48">
      <w:pPr>
        <w:spacing w:after="0" w:line="240" w:lineRule="auto"/>
        <w:rPr>
          <w:rFonts w:ascii="Verdana" w:hAnsi="Verdana"/>
        </w:rPr>
      </w:pPr>
    </w:p>
    <w:p w14:paraId="7B6BD0C8" w14:textId="77777777" w:rsidR="00CF6A48" w:rsidRDefault="00CF6A48" w:rsidP="00CF6A48">
      <w:pPr>
        <w:spacing w:after="0" w:line="240" w:lineRule="auto"/>
        <w:rPr>
          <w:rFonts w:ascii="Verdana" w:hAnsi="Verdana"/>
        </w:rPr>
      </w:pPr>
    </w:p>
    <w:p w14:paraId="72358B8E" w14:textId="77777777" w:rsidR="00CF6A48" w:rsidRDefault="00CF6A48" w:rsidP="00CF6A48">
      <w:pPr>
        <w:spacing w:after="0" w:line="240" w:lineRule="auto"/>
        <w:rPr>
          <w:rFonts w:ascii="Verdana" w:hAnsi="Verdana"/>
        </w:rPr>
      </w:pPr>
    </w:p>
    <w:p w14:paraId="0B37AD04" w14:textId="77777777" w:rsidR="00CF6A48" w:rsidRDefault="00CF6A48" w:rsidP="00CF6A48">
      <w:pPr>
        <w:spacing w:after="0" w:line="240" w:lineRule="auto"/>
        <w:rPr>
          <w:rFonts w:ascii="Verdana" w:hAnsi="Verdana"/>
        </w:rPr>
      </w:pPr>
    </w:p>
    <w:p w14:paraId="71F5319D" w14:textId="77777777" w:rsidR="00CF6A48" w:rsidRDefault="00CF6A48" w:rsidP="00CF6A48">
      <w:pPr>
        <w:spacing w:after="0" w:line="240" w:lineRule="auto"/>
        <w:rPr>
          <w:rFonts w:ascii="Verdana" w:hAnsi="Verdana"/>
        </w:rPr>
      </w:pPr>
    </w:p>
    <w:p w14:paraId="667D58F5" w14:textId="77777777" w:rsidR="00CF6A48" w:rsidRDefault="00CF6A48" w:rsidP="00CF6A48">
      <w:pPr>
        <w:spacing w:after="0" w:line="240" w:lineRule="auto"/>
        <w:rPr>
          <w:rFonts w:ascii="Verdana" w:hAnsi="Verdana"/>
        </w:rPr>
      </w:pPr>
    </w:p>
    <w:p w14:paraId="71CA91D5" w14:textId="77777777" w:rsidR="00CF6A48" w:rsidRDefault="00CF6A48" w:rsidP="00CF6A48">
      <w:pPr>
        <w:spacing w:after="0" w:line="240" w:lineRule="auto"/>
        <w:rPr>
          <w:rFonts w:ascii="Verdana" w:hAnsi="Verdana"/>
        </w:rPr>
      </w:pPr>
    </w:p>
    <w:p w14:paraId="034988A0" w14:textId="77777777" w:rsidR="00CF6A48" w:rsidRDefault="00CF6A48" w:rsidP="00CF6A48">
      <w:pPr>
        <w:spacing w:after="0" w:line="240" w:lineRule="auto"/>
        <w:rPr>
          <w:rFonts w:ascii="Verdana" w:hAnsi="Verdana"/>
        </w:rPr>
      </w:pPr>
    </w:p>
    <w:p w14:paraId="370B197F" w14:textId="77777777" w:rsidR="00CF6A48" w:rsidRDefault="00CF6A48" w:rsidP="00CF6A48">
      <w:pPr>
        <w:spacing w:after="0" w:line="240" w:lineRule="auto"/>
        <w:rPr>
          <w:rFonts w:ascii="Verdana" w:hAnsi="Verdana"/>
        </w:rPr>
      </w:pPr>
    </w:p>
    <w:p w14:paraId="3FDDFFE5" w14:textId="77777777" w:rsidR="00CF6A48" w:rsidRDefault="00CF6A48" w:rsidP="00CF6A48">
      <w:pPr>
        <w:spacing w:after="0" w:line="240" w:lineRule="auto"/>
        <w:rPr>
          <w:rFonts w:ascii="Verdana" w:hAnsi="Verdana"/>
        </w:rPr>
      </w:pPr>
    </w:p>
    <w:p w14:paraId="42AECE1B" w14:textId="77777777" w:rsidR="00CF6A48" w:rsidRDefault="00CF6A48" w:rsidP="00CF6A48">
      <w:pPr>
        <w:spacing w:after="0" w:line="240" w:lineRule="auto"/>
        <w:rPr>
          <w:rFonts w:ascii="Verdana" w:hAnsi="Verdana"/>
        </w:rPr>
      </w:pPr>
    </w:p>
    <w:p w14:paraId="4725BA73" w14:textId="77777777" w:rsidR="00CF6A48" w:rsidRDefault="00CF6A48" w:rsidP="00CF6A48">
      <w:pPr>
        <w:spacing w:after="0" w:line="240" w:lineRule="auto"/>
        <w:rPr>
          <w:rFonts w:ascii="Verdana" w:hAnsi="Verdana"/>
        </w:rPr>
      </w:pPr>
    </w:p>
    <w:p w14:paraId="0D6EA30D" w14:textId="77777777" w:rsidR="00CF6A48" w:rsidRDefault="00CF6A48" w:rsidP="00CF6A48">
      <w:pPr>
        <w:spacing w:after="0" w:line="240" w:lineRule="auto"/>
        <w:rPr>
          <w:rFonts w:ascii="Verdana" w:hAnsi="Verdana"/>
        </w:rPr>
      </w:pPr>
    </w:p>
    <w:p w14:paraId="6871D1F5" w14:textId="77777777" w:rsidR="00CF6A48" w:rsidRDefault="00CF6A48" w:rsidP="00CF6A48">
      <w:pPr>
        <w:spacing w:after="0" w:line="240" w:lineRule="auto"/>
        <w:rPr>
          <w:rFonts w:ascii="Verdana" w:hAnsi="Verdana"/>
        </w:rPr>
      </w:pPr>
    </w:p>
    <w:p w14:paraId="71909298" w14:textId="77777777" w:rsidR="00CF6A48" w:rsidRDefault="00CF6A48" w:rsidP="00CF6A48">
      <w:pPr>
        <w:spacing w:after="0" w:line="240" w:lineRule="auto"/>
        <w:rPr>
          <w:rFonts w:ascii="Verdana" w:hAnsi="Verdana"/>
        </w:rPr>
      </w:pPr>
    </w:p>
    <w:p w14:paraId="5254D551" w14:textId="77777777" w:rsidR="00CF6A48" w:rsidRDefault="00CF6A48" w:rsidP="00CF6A48">
      <w:pPr>
        <w:spacing w:after="0" w:line="240" w:lineRule="auto"/>
        <w:rPr>
          <w:rFonts w:ascii="Verdana" w:eastAsia="Geomanist Light" w:hAnsi="Verdana" w:cs="Arial"/>
        </w:rPr>
      </w:pPr>
    </w:p>
    <w:p w14:paraId="1B886742" w14:textId="77777777" w:rsidR="00CF6A48" w:rsidRDefault="00CF6A48" w:rsidP="00CF6A48">
      <w:pPr>
        <w:spacing w:after="0" w:line="240" w:lineRule="auto"/>
        <w:rPr>
          <w:rFonts w:ascii="Verdana" w:eastAsia="Geomanist Light" w:hAnsi="Verdana" w:cs="Arial"/>
        </w:rPr>
      </w:pPr>
    </w:p>
    <w:p w14:paraId="5AEE18DB" w14:textId="77777777" w:rsidR="00CF6A48" w:rsidRDefault="00CF6A48" w:rsidP="00CF6A48">
      <w:pPr>
        <w:spacing w:after="0" w:line="240" w:lineRule="auto"/>
        <w:rPr>
          <w:rFonts w:ascii="Verdana" w:eastAsia="Geomanist Light" w:hAnsi="Verdana" w:cs="Arial"/>
        </w:rPr>
      </w:pPr>
    </w:p>
    <w:p w14:paraId="7B3C6724" w14:textId="77777777" w:rsidR="00CF6A48" w:rsidRDefault="00CF6A48" w:rsidP="00CF6A48">
      <w:pPr>
        <w:spacing w:after="0" w:line="240" w:lineRule="auto"/>
        <w:rPr>
          <w:rFonts w:ascii="Verdana" w:eastAsia="Geomanist Light" w:hAnsi="Verdana" w:cs="Arial"/>
        </w:rPr>
      </w:pPr>
    </w:p>
    <w:p w14:paraId="574DCB42" w14:textId="77777777" w:rsidR="00CF6A48" w:rsidRDefault="00CF6A48" w:rsidP="00CF6A48">
      <w:pPr>
        <w:spacing w:after="0" w:line="240" w:lineRule="auto"/>
        <w:rPr>
          <w:rFonts w:ascii="Verdana" w:eastAsia="Geomanist Light" w:hAnsi="Verdana" w:cs="Arial"/>
        </w:rPr>
      </w:pPr>
    </w:p>
    <w:p w14:paraId="5E7B947E" w14:textId="77777777" w:rsidR="00CF6A48" w:rsidRDefault="00CF6A48" w:rsidP="00CF6A48">
      <w:pPr>
        <w:spacing w:after="0" w:line="240" w:lineRule="auto"/>
        <w:rPr>
          <w:rFonts w:ascii="Verdana" w:eastAsia="Geomanist Light" w:hAnsi="Verdana" w:cs="Arial"/>
        </w:rPr>
      </w:pPr>
    </w:p>
    <w:p w14:paraId="45FC86BB" w14:textId="77777777" w:rsidR="00CF6A48" w:rsidRDefault="00CF6A48" w:rsidP="00CF6A48">
      <w:pPr>
        <w:spacing w:after="0" w:line="240" w:lineRule="auto"/>
        <w:rPr>
          <w:rFonts w:ascii="Verdana" w:eastAsia="Geomanist Light" w:hAnsi="Verdana" w:cs="Arial"/>
        </w:rPr>
      </w:pPr>
    </w:p>
    <w:p w14:paraId="03C98F6D" w14:textId="77777777" w:rsidR="00CF6A48" w:rsidRDefault="00CF6A48" w:rsidP="00CF6A48">
      <w:pPr>
        <w:spacing w:after="0" w:line="240" w:lineRule="auto"/>
        <w:rPr>
          <w:rFonts w:ascii="Verdana" w:eastAsia="Geomanist Light" w:hAnsi="Verdana" w:cs="Arial"/>
        </w:rPr>
      </w:pPr>
    </w:p>
    <w:p w14:paraId="668FF3C1" w14:textId="48ACFB35" w:rsidR="00CF6A48" w:rsidRPr="00037AFB" w:rsidRDefault="00B65AAF" w:rsidP="00CF6A48">
      <w:pPr>
        <w:spacing w:after="0" w:line="240" w:lineRule="auto"/>
        <w:rPr>
          <w:rFonts w:ascii="Verdana" w:eastAsia="Calibri" w:hAnsi="Verdana" w:cs="Arial"/>
          <w:bCs/>
          <w:sz w:val="20"/>
          <w:szCs w:val="20"/>
          <w:lang w:eastAsia="es-ES_tradnl"/>
        </w:rPr>
      </w:pPr>
      <w:r w:rsidRPr="00B65AAF">
        <w:rPr>
          <w:rFonts w:ascii="Verdana" w:eastAsia="Calibri" w:hAnsi="Verdana" w:cs="Arial"/>
          <w:b/>
          <w:bCs/>
          <w:noProof/>
          <w:lang w:eastAsia="es-ES_tradnl"/>
        </w:rPr>
        <w:lastRenderedPageBreak/>
        <w:drawing>
          <wp:anchor distT="0" distB="0" distL="114300" distR="114300" simplePos="0" relativeHeight="251658240" behindDoc="1" locked="0" layoutInCell="1" allowOverlap="1" wp14:anchorId="1C2E1360" wp14:editId="4551A6B3">
            <wp:simplePos x="0" y="0"/>
            <wp:positionH relativeFrom="column">
              <wp:posOffset>3209290</wp:posOffset>
            </wp:positionH>
            <wp:positionV relativeFrom="paragraph">
              <wp:posOffset>0</wp:posOffset>
            </wp:positionV>
            <wp:extent cx="3343772" cy="1035896"/>
            <wp:effectExtent l="0" t="0" r="0" b="0"/>
            <wp:wrapTight wrapText="bothSides">
              <wp:wrapPolygon edited="0">
                <wp:start x="0" y="0"/>
                <wp:lineTo x="0" y="21057"/>
                <wp:lineTo x="21415" y="21057"/>
                <wp:lineTo x="21415" y="0"/>
                <wp:lineTo x="0" y="0"/>
              </wp:wrapPolygon>
            </wp:wrapTight>
            <wp:docPr id="19322599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259951" name=""/>
                    <pic:cNvPicPr/>
                  </pic:nvPicPr>
                  <pic:blipFill>
                    <a:blip r:embed="rId10">
                      <a:extLst>
                        <a:ext uri="{28A0092B-C50C-407E-A947-70E740481C1C}">
                          <a14:useLocalDpi xmlns:a14="http://schemas.microsoft.com/office/drawing/2010/main" val="0"/>
                        </a:ext>
                      </a:extLst>
                    </a:blip>
                    <a:stretch>
                      <a:fillRect/>
                    </a:stretch>
                  </pic:blipFill>
                  <pic:spPr>
                    <a:xfrm>
                      <a:off x="0" y="0"/>
                      <a:ext cx="3343772" cy="1035896"/>
                    </a:xfrm>
                    <a:prstGeom prst="rect">
                      <a:avLst/>
                    </a:prstGeom>
                  </pic:spPr>
                </pic:pic>
              </a:graphicData>
            </a:graphic>
            <wp14:sizeRelH relativeFrom="page">
              <wp14:pctWidth>0</wp14:pctWidth>
            </wp14:sizeRelH>
            <wp14:sizeRelV relativeFrom="page">
              <wp14:pctHeight>0</wp14:pctHeight>
            </wp14:sizeRelV>
          </wp:anchor>
        </w:drawing>
      </w:r>
      <w:r w:rsidR="00CF6A48" w:rsidRPr="00037AFB">
        <w:rPr>
          <w:rFonts w:ascii="Verdana" w:eastAsia="Geomanist Light" w:hAnsi="Verdana" w:cs="Arial"/>
        </w:rPr>
        <w:t>Bogotá D.C., [Día] de [</w:t>
      </w:r>
      <w:proofErr w:type="spellStart"/>
      <w:r w:rsidR="00CF6A48" w:rsidRPr="00037AFB">
        <w:rPr>
          <w:rFonts w:ascii="Verdana" w:eastAsia="Geomanist Light" w:hAnsi="Verdana" w:cs="Arial"/>
        </w:rPr>
        <w:t>Mes.NombreCapitalizado</w:t>
      </w:r>
      <w:proofErr w:type="spellEnd"/>
      <w:r w:rsidR="00CF6A48" w:rsidRPr="00037AFB">
        <w:rPr>
          <w:rFonts w:ascii="Verdana" w:eastAsia="Geomanist Light" w:hAnsi="Verdana" w:cs="Arial"/>
        </w:rPr>
        <w:t>] de [Año]</w:t>
      </w:r>
    </w:p>
    <w:p w14:paraId="3B8724EE" w14:textId="0D2B140D" w:rsidR="00CF6A48" w:rsidRPr="00037AFB" w:rsidRDefault="00CF6A48" w:rsidP="00CF6A48">
      <w:pPr>
        <w:spacing w:after="0" w:line="240" w:lineRule="auto"/>
        <w:rPr>
          <w:rFonts w:ascii="Verdana" w:eastAsia="Calibri" w:hAnsi="Verdana" w:cs="Arial"/>
          <w:b/>
          <w:bCs/>
          <w:lang w:eastAsia="es-ES_tradnl"/>
        </w:rPr>
      </w:pPr>
    </w:p>
    <w:p w14:paraId="4AA094EE" w14:textId="77777777" w:rsidR="00CF6A48" w:rsidRPr="00037AFB" w:rsidRDefault="00CF6A48" w:rsidP="00CF6A48">
      <w:pPr>
        <w:spacing w:after="0" w:line="240" w:lineRule="auto"/>
        <w:rPr>
          <w:rFonts w:ascii="Verdana" w:eastAsia="Calibri" w:hAnsi="Verdana" w:cs="Arial"/>
          <w:lang w:eastAsia="es-ES_tradnl"/>
        </w:rPr>
      </w:pPr>
      <w:r w:rsidRPr="00037AFB">
        <w:rPr>
          <w:rFonts w:ascii="Verdana" w:eastAsia="Calibri" w:hAnsi="Verdana" w:cs="Arial"/>
          <w:lang w:eastAsia="es-ES_tradnl"/>
        </w:rPr>
        <w:t>Señor</w:t>
      </w:r>
    </w:p>
    <w:p w14:paraId="0D7E3978" w14:textId="77777777" w:rsidR="00CF6A48" w:rsidRDefault="00CF6A48" w:rsidP="00CF6A48">
      <w:pPr>
        <w:spacing w:after="0" w:line="240" w:lineRule="auto"/>
        <w:rPr>
          <w:rFonts w:ascii="Verdana" w:eastAsia="Calibri" w:hAnsi="Verdana" w:cs="Arial"/>
          <w:b/>
          <w:bCs/>
          <w:lang w:eastAsia="es-ES_tradnl"/>
        </w:rPr>
      </w:pPr>
      <w:r>
        <w:rPr>
          <w:rFonts w:ascii="Verdana" w:eastAsia="Calibri" w:hAnsi="Verdana" w:cs="Arial"/>
          <w:b/>
          <w:bCs/>
          <w:lang w:eastAsia="es-ES_tradnl"/>
        </w:rPr>
        <w:t>Sergio Andrés Villamizar Mateus</w:t>
      </w:r>
    </w:p>
    <w:p w14:paraId="3E6F5D40" w14:textId="77777777" w:rsidR="00CF6A48" w:rsidRPr="00D31064" w:rsidRDefault="00CF6A48" w:rsidP="00CF6A48">
      <w:pPr>
        <w:spacing w:after="0" w:line="240" w:lineRule="auto"/>
        <w:rPr>
          <w:rFonts w:ascii="Verdana" w:eastAsia="Calibri" w:hAnsi="Verdana" w:cs="Arial"/>
          <w:lang w:eastAsia="es-ES_tradnl"/>
        </w:rPr>
      </w:pPr>
      <w:r>
        <w:rPr>
          <w:rFonts w:ascii="Verdana" w:eastAsia="Calibri" w:hAnsi="Verdana" w:cs="Arial"/>
          <w:lang w:eastAsia="es-ES_tradnl"/>
        </w:rPr>
        <w:t>villamizarmateus@hotmail.com</w:t>
      </w:r>
    </w:p>
    <w:p w14:paraId="515943FB" w14:textId="77777777" w:rsidR="00CF6A48" w:rsidRPr="00037AFB" w:rsidRDefault="00CF6A48" w:rsidP="00CF6A48">
      <w:pPr>
        <w:spacing w:after="0" w:line="240" w:lineRule="auto"/>
        <w:rPr>
          <w:rFonts w:ascii="Verdana" w:eastAsia="Calibri" w:hAnsi="Verdana" w:cs="Arial"/>
          <w:lang w:eastAsia="es-ES_tradnl"/>
        </w:rPr>
      </w:pPr>
      <w:r>
        <w:rPr>
          <w:rFonts w:ascii="Verdana" w:eastAsia="Calibri" w:hAnsi="Verdana" w:cs="Arial"/>
          <w:lang w:eastAsia="es-ES_tradnl"/>
        </w:rPr>
        <w:t>Bucaramanga, Santander</w:t>
      </w:r>
    </w:p>
    <w:p w14:paraId="6891C4F4" w14:textId="77777777" w:rsidR="00CF6A48" w:rsidRPr="00037AFB" w:rsidRDefault="00CF6A48" w:rsidP="00CF6A48">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F6A48" w:rsidRPr="00037AFB" w14:paraId="5AFC1FF2" w14:textId="77777777" w:rsidTr="001460E1">
        <w:trPr>
          <w:trHeight w:val="190"/>
        </w:trPr>
        <w:tc>
          <w:tcPr>
            <w:tcW w:w="2689" w:type="dxa"/>
          </w:tcPr>
          <w:p w14:paraId="3B3DBD80" w14:textId="77777777" w:rsidR="00CF6A48" w:rsidRPr="00037AFB" w:rsidRDefault="00CF6A48" w:rsidP="001460E1">
            <w:pPr>
              <w:jc w:val="both"/>
              <w:rPr>
                <w:rFonts w:ascii="Verdana" w:eastAsia="Calibri" w:hAnsi="Verdana" w:cs="Arial"/>
                <w:b/>
                <w:bCs/>
                <w:lang w:eastAsia="es-ES_tradnl"/>
              </w:rPr>
            </w:pPr>
          </w:p>
        </w:tc>
        <w:tc>
          <w:tcPr>
            <w:tcW w:w="6100" w:type="dxa"/>
          </w:tcPr>
          <w:p w14:paraId="4A9BB0D0" w14:textId="77777777" w:rsidR="00CF6A48" w:rsidRPr="00037AFB" w:rsidRDefault="00CF6A48" w:rsidP="001460E1">
            <w:pPr>
              <w:jc w:val="both"/>
              <w:rPr>
                <w:rFonts w:ascii="Verdana" w:eastAsia="Calibri" w:hAnsi="Verdana" w:cs="Arial"/>
                <w:b/>
                <w:bCs/>
                <w:lang w:eastAsia="es-ES"/>
              </w:rPr>
            </w:pPr>
            <w:r w:rsidRPr="00037AFB">
              <w:rPr>
                <w:rFonts w:ascii="Verdana" w:eastAsia="Calibri" w:hAnsi="Verdana" w:cs="Arial"/>
                <w:b/>
                <w:bCs/>
                <w:lang w:eastAsia="es-ES"/>
              </w:rPr>
              <w:t>Concepto C- 16</w:t>
            </w:r>
            <w:r>
              <w:rPr>
                <w:rFonts w:ascii="Verdana" w:eastAsia="Calibri" w:hAnsi="Verdana" w:cs="Arial"/>
                <w:b/>
                <w:bCs/>
                <w:lang w:eastAsia="es-ES"/>
              </w:rPr>
              <w:t>68</w:t>
            </w:r>
            <w:r w:rsidRPr="00037AFB">
              <w:rPr>
                <w:rFonts w:ascii="Verdana" w:eastAsia="Calibri" w:hAnsi="Verdana" w:cs="Arial"/>
                <w:b/>
                <w:bCs/>
                <w:lang w:eastAsia="es-ES"/>
              </w:rPr>
              <w:t xml:space="preserve"> de 2025</w:t>
            </w:r>
          </w:p>
          <w:p w14:paraId="51DB092F" w14:textId="77777777" w:rsidR="00CF6A48" w:rsidRPr="00037AFB" w:rsidRDefault="00CF6A48" w:rsidP="001460E1">
            <w:pPr>
              <w:jc w:val="both"/>
              <w:rPr>
                <w:rFonts w:ascii="Verdana" w:eastAsia="Calibri" w:hAnsi="Verdana" w:cs="Arial"/>
                <w:b/>
                <w:bCs/>
                <w:lang w:eastAsia="es-ES"/>
              </w:rPr>
            </w:pPr>
          </w:p>
        </w:tc>
      </w:tr>
      <w:tr w:rsidR="00CF6A48" w:rsidRPr="00037AFB" w14:paraId="0DBFC8BD" w14:textId="77777777" w:rsidTr="001460E1">
        <w:trPr>
          <w:trHeight w:val="884"/>
        </w:trPr>
        <w:tc>
          <w:tcPr>
            <w:tcW w:w="2689" w:type="dxa"/>
          </w:tcPr>
          <w:p w14:paraId="156278E2" w14:textId="77777777" w:rsidR="00CF6A48" w:rsidRPr="00037AFB" w:rsidRDefault="00CF6A48" w:rsidP="001460E1">
            <w:pPr>
              <w:jc w:val="both"/>
              <w:rPr>
                <w:rFonts w:ascii="Verdana" w:eastAsia="Calibri" w:hAnsi="Verdana" w:cs="Arial"/>
                <w:lang w:eastAsia="es-ES_tradnl"/>
              </w:rPr>
            </w:pPr>
            <w:r w:rsidRPr="00037AFB">
              <w:rPr>
                <w:rFonts w:ascii="Verdana" w:eastAsia="Calibri" w:hAnsi="Verdana" w:cs="Arial"/>
                <w:b/>
                <w:lang w:eastAsia="es-ES_tradnl"/>
              </w:rPr>
              <w:t>Tema:</w:t>
            </w:r>
            <w:r w:rsidRPr="00037AFB">
              <w:rPr>
                <w:rFonts w:ascii="Verdana" w:eastAsia="Calibri" w:hAnsi="Verdana" w:cs="Arial"/>
                <w:lang w:eastAsia="es-ES_tradnl"/>
              </w:rPr>
              <w:t xml:space="preserve">                   </w:t>
            </w:r>
          </w:p>
        </w:tc>
        <w:tc>
          <w:tcPr>
            <w:tcW w:w="6100" w:type="dxa"/>
          </w:tcPr>
          <w:p w14:paraId="7DC43424" w14:textId="77777777" w:rsidR="00CF6A48" w:rsidRPr="00037AFB" w:rsidRDefault="00CF6A48" w:rsidP="001460E1">
            <w:pPr>
              <w:jc w:val="both"/>
              <w:rPr>
                <w:rFonts w:ascii="Verdana" w:eastAsia="Calibri" w:hAnsi="Verdana" w:cs="Arial"/>
                <w:lang w:val="es-ES" w:eastAsia="es-ES"/>
              </w:rPr>
            </w:pPr>
            <w:r w:rsidRPr="004523A7">
              <w:rPr>
                <w:rFonts w:ascii="Verdana" w:eastAsia="Calibri" w:hAnsi="Verdana" w:cs="Arial"/>
                <w:lang w:val="es-ES" w:eastAsia="es-ES"/>
              </w:rPr>
              <w:t>REQUISITOS DE PERFECCIONAMIENTO DE LOS CONTRATOS ESTATALES – Celebración del contrato estatal – ELEMENTOS DEL CONTRATO – Elementos de la esencia – Elementos de la naturaleza –Elementos accidentales</w:t>
            </w:r>
            <w:r>
              <w:rPr>
                <w:rFonts w:ascii="Verdana" w:eastAsia="Calibri" w:hAnsi="Verdana" w:cs="Arial"/>
                <w:lang w:val="es-ES" w:eastAsia="es-ES"/>
              </w:rPr>
              <w:t xml:space="preserve">/ </w:t>
            </w:r>
            <w:r w:rsidRPr="00AB4596">
              <w:rPr>
                <w:rFonts w:ascii="Verdana" w:eastAsia="Calibri" w:hAnsi="Verdana" w:cs="Arial"/>
                <w:lang w:val="es-ES" w:eastAsia="es-ES"/>
              </w:rPr>
              <w:t>LEY DE GARANTÍAS ELECTORALES ‒ Finalidad</w:t>
            </w:r>
            <w:r>
              <w:rPr>
                <w:rFonts w:ascii="Verdana" w:eastAsia="Calibri" w:hAnsi="Verdana" w:cs="Arial"/>
                <w:lang w:val="es-ES" w:eastAsia="es-ES"/>
              </w:rPr>
              <w:t>/</w:t>
            </w:r>
            <w:r>
              <w:t xml:space="preserve"> </w:t>
            </w:r>
            <w:r w:rsidRPr="00AB4596">
              <w:rPr>
                <w:rFonts w:ascii="Verdana" w:eastAsia="Calibri" w:hAnsi="Verdana" w:cs="Arial"/>
                <w:lang w:val="es-ES" w:eastAsia="es-ES"/>
              </w:rPr>
              <w:t>LEY DE GARANTÍAS ELECTORALES ‒ Tipos de restricciones ‒ Ámbito temporal – celebración- límite</w:t>
            </w:r>
          </w:p>
          <w:p w14:paraId="6B113233" w14:textId="77777777" w:rsidR="00CF6A48" w:rsidRPr="00037AFB" w:rsidRDefault="00CF6A48" w:rsidP="001460E1">
            <w:pPr>
              <w:jc w:val="both"/>
              <w:rPr>
                <w:rFonts w:ascii="Verdana" w:eastAsia="Calibri" w:hAnsi="Verdana" w:cs="Arial"/>
                <w:lang w:val="es-ES" w:eastAsia="es-ES"/>
              </w:rPr>
            </w:pPr>
            <w:r w:rsidRPr="00037AFB">
              <w:rPr>
                <w:rFonts w:ascii="Verdana" w:eastAsia="Calibri" w:hAnsi="Verdana" w:cs="Arial"/>
                <w:lang w:val="es-ES" w:eastAsia="es-ES"/>
              </w:rPr>
              <w:t xml:space="preserve">                </w:t>
            </w:r>
          </w:p>
        </w:tc>
      </w:tr>
      <w:tr w:rsidR="00CF6A48" w:rsidRPr="00037AFB" w14:paraId="02FCB6ED" w14:textId="77777777" w:rsidTr="001460E1">
        <w:tc>
          <w:tcPr>
            <w:tcW w:w="2689" w:type="dxa"/>
          </w:tcPr>
          <w:p w14:paraId="1184B808" w14:textId="77777777" w:rsidR="00CF6A48" w:rsidRPr="00037AFB" w:rsidRDefault="00CF6A48" w:rsidP="001460E1">
            <w:pPr>
              <w:jc w:val="both"/>
              <w:rPr>
                <w:rFonts w:ascii="Verdana" w:eastAsia="Calibri" w:hAnsi="Verdana" w:cs="Arial"/>
                <w:b/>
                <w:lang w:eastAsia="es-ES_tradnl"/>
              </w:rPr>
            </w:pPr>
            <w:r w:rsidRPr="00037AFB">
              <w:rPr>
                <w:rFonts w:ascii="Verdana" w:eastAsia="Calibri" w:hAnsi="Verdana" w:cs="Arial"/>
                <w:b/>
                <w:lang w:eastAsia="es-ES_tradnl"/>
              </w:rPr>
              <w:t>Radicación:</w:t>
            </w:r>
            <w:r w:rsidRPr="00037AFB">
              <w:rPr>
                <w:rFonts w:ascii="Verdana" w:eastAsia="Calibri" w:hAnsi="Verdana" w:cs="Arial"/>
                <w:lang w:eastAsia="es-ES_tradnl"/>
              </w:rPr>
              <w:t xml:space="preserve">               </w:t>
            </w:r>
          </w:p>
        </w:tc>
        <w:tc>
          <w:tcPr>
            <w:tcW w:w="6100" w:type="dxa"/>
          </w:tcPr>
          <w:p w14:paraId="2B94B551" w14:textId="77777777" w:rsidR="00CF6A48" w:rsidRPr="00037AFB" w:rsidRDefault="00CF6A48" w:rsidP="001460E1">
            <w:pPr>
              <w:jc w:val="both"/>
              <w:rPr>
                <w:rFonts w:ascii="Verdana" w:eastAsia="Calibri" w:hAnsi="Verdana" w:cs="Arial"/>
                <w:lang w:eastAsia="es-ES_tradnl"/>
              </w:rPr>
            </w:pPr>
            <w:r w:rsidRPr="00037AFB">
              <w:rPr>
                <w:rFonts w:ascii="Verdana" w:eastAsia="Calibri" w:hAnsi="Verdana" w:cs="Arial"/>
                <w:lang w:eastAsia="es-ES_tradnl"/>
              </w:rPr>
              <w:t>Respuesta a consulta con radicado No.</w:t>
            </w:r>
            <w:r w:rsidRPr="00D93A19">
              <w:rPr>
                <w:rFonts w:ascii="Verdana" w:hAnsi="Verdana" w:cs="Segoe UI"/>
                <w:color w:val="2B2B2B"/>
                <w:sz w:val="27"/>
                <w:szCs w:val="27"/>
                <w:shd w:val="clear" w:color="auto" w:fill="FFFFFF"/>
              </w:rPr>
              <w:t xml:space="preserve"> </w:t>
            </w:r>
            <w:r w:rsidRPr="00D31064">
              <w:rPr>
                <w:rFonts w:ascii="Verdana" w:hAnsi="Verdana" w:cs="Segoe UI"/>
                <w:color w:val="2B2B2B"/>
                <w:shd w:val="clear" w:color="auto" w:fill="FFFFFF"/>
              </w:rPr>
              <w:t>1_2025_11_11_012689</w:t>
            </w:r>
          </w:p>
        </w:tc>
      </w:tr>
    </w:tbl>
    <w:p w14:paraId="3402550D" w14:textId="77777777" w:rsidR="00CF6A48" w:rsidRPr="00037AFB" w:rsidRDefault="00CF6A48" w:rsidP="00CF6A48">
      <w:pPr>
        <w:spacing w:after="0" w:line="240" w:lineRule="auto"/>
        <w:jc w:val="both"/>
        <w:rPr>
          <w:rFonts w:ascii="Verdana" w:eastAsia="Calibri" w:hAnsi="Verdana" w:cs="Arial"/>
          <w:lang w:eastAsia="es-ES_tradnl"/>
        </w:rPr>
      </w:pPr>
    </w:p>
    <w:p w14:paraId="58859AFB" w14:textId="77777777" w:rsidR="00CF6A48" w:rsidRPr="00960F72" w:rsidRDefault="00CF6A48" w:rsidP="00CF6A48">
      <w:pPr>
        <w:spacing w:after="0" w:line="276" w:lineRule="auto"/>
        <w:jc w:val="both"/>
        <w:rPr>
          <w:rFonts w:ascii="Verdana" w:eastAsia="Calibri" w:hAnsi="Verdana" w:cs="Arial"/>
          <w:lang w:eastAsia="es-ES"/>
        </w:rPr>
      </w:pPr>
      <w:r>
        <w:rPr>
          <w:rFonts w:ascii="Verdana" w:eastAsia="Calibri" w:hAnsi="Verdana" w:cs="Arial"/>
          <w:lang w:eastAsia="es-ES"/>
        </w:rPr>
        <w:t>Estimado señor Villamizar:</w:t>
      </w:r>
    </w:p>
    <w:p w14:paraId="18977610" w14:textId="77777777" w:rsidR="00CF6A48" w:rsidRPr="00960F72" w:rsidRDefault="00CF6A48" w:rsidP="00CF6A48">
      <w:pPr>
        <w:tabs>
          <w:tab w:val="left" w:pos="3768"/>
        </w:tabs>
        <w:spacing w:after="0" w:line="276" w:lineRule="auto"/>
        <w:jc w:val="both"/>
        <w:rPr>
          <w:rFonts w:ascii="Verdana" w:eastAsia="Calibri" w:hAnsi="Verdana" w:cs="Arial"/>
          <w:lang w:eastAsia="es-ES"/>
        </w:rPr>
      </w:pPr>
    </w:p>
    <w:p w14:paraId="0599065A" w14:textId="77777777" w:rsidR="00CF6A48" w:rsidRPr="00960F72" w:rsidRDefault="00CF6A48" w:rsidP="00CF6A48">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11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5A95698F" w14:textId="77777777" w:rsidR="00CF6A48" w:rsidRPr="00960F72" w:rsidRDefault="00CF6A48" w:rsidP="00CF6A48">
      <w:pPr>
        <w:spacing w:after="0" w:line="276" w:lineRule="auto"/>
        <w:jc w:val="both"/>
        <w:rPr>
          <w:rFonts w:ascii="Verdana" w:eastAsia="Calibri" w:hAnsi="Verdana" w:cs="Arial"/>
          <w:lang w:eastAsia="es-ES"/>
        </w:rPr>
      </w:pPr>
    </w:p>
    <w:p w14:paraId="30FF7C00" w14:textId="77777777" w:rsidR="00CF6A48" w:rsidRPr="003C2C84" w:rsidRDefault="00CF6A48" w:rsidP="00CF6A4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 De </w:t>
      </w:r>
      <w:r w:rsidRPr="00D31064">
        <w:rPr>
          <w:rFonts w:ascii="Verdana" w:eastAsia="Calibri" w:hAnsi="Verdana" w:cs="Arial"/>
          <w:sz w:val="20"/>
          <w:szCs w:val="20"/>
          <w:lang w:eastAsia="es-ES"/>
        </w:rPr>
        <w:t>manera atenta solicitamos a Colombia Compra Eficiente emitir una directriz o concepto orientador respecto a los procesos contractuales publicados en SECOP antes del inicio de la restricción prevista en el artículo 38 de la Ley 996 de 2005 (Ley de Garantías Electorales), que fueron suscritos por las partes con anterioridad al 8 de noviembre de 2025, pero no alcanzaron a completarse en la plataforma la etapa de legalización, debido a los tiempos administrativos internos y los flujos de revisión documental requeridos por el proceso.</w:t>
      </w:r>
      <w:r>
        <w:rPr>
          <w:rFonts w:ascii="Verdana" w:eastAsia="Calibri" w:hAnsi="Verdana" w:cs="Arial"/>
          <w:sz w:val="20"/>
          <w:szCs w:val="20"/>
          <w:lang w:eastAsia="es-ES"/>
        </w:rPr>
        <w:t xml:space="preserve"> </w:t>
      </w:r>
      <w:r w:rsidRPr="00D31064">
        <w:rPr>
          <w:rFonts w:ascii="Verdana" w:eastAsia="Calibri" w:hAnsi="Verdana" w:cs="Arial"/>
          <w:sz w:val="20"/>
          <w:szCs w:val="20"/>
          <w:lang w:eastAsia="es-ES"/>
        </w:rPr>
        <w:t xml:space="preserve">Cabe resaltar que la base de estos contratos es el documento elevado a escrito con las formalidades establecidas en la normatividad vigente, cumpliendo así lo dispuesto en el artículo 41 de la Ley 80 de 1993, según el cual “los contratos del Estado </w:t>
      </w:r>
      <w:r w:rsidRPr="00D31064">
        <w:rPr>
          <w:rFonts w:ascii="Verdana" w:eastAsia="Calibri" w:hAnsi="Verdana" w:cs="Arial"/>
          <w:sz w:val="20"/>
          <w:szCs w:val="20"/>
          <w:lang w:eastAsia="es-ES"/>
        </w:rPr>
        <w:lastRenderedPageBreak/>
        <w:t>se perfeccionan cuando se logre acuerdo sobre el objeto y la contraprestación y éste se eleve a escrito”.</w:t>
      </w:r>
      <w:r>
        <w:rPr>
          <w:rFonts w:ascii="Verdana" w:eastAsia="Calibri" w:hAnsi="Verdana" w:cs="Arial"/>
          <w:sz w:val="20"/>
          <w:szCs w:val="20"/>
          <w:lang w:eastAsia="es-ES"/>
        </w:rPr>
        <w:t xml:space="preserve"> </w:t>
      </w:r>
      <w:r w:rsidRPr="00D31064">
        <w:rPr>
          <w:rFonts w:ascii="Verdana" w:eastAsia="Calibri" w:hAnsi="Verdana" w:cs="Arial"/>
          <w:sz w:val="20"/>
          <w:szCs w:val="20"/>
          <w:lang w:eastAsia="es-ES"/>
        </w:rPr>
        <w:t xml:space="preserve">En ese sentido, los contratos fueron legalmente perfeccionados antes de la </w:t>
      </w:r>
      <w:proofErr w:type="gramStart"/>
      <w:r w:rsidRPr="00D31064">
        <w:rPr>
          <w:rFonts w:ascii="Verdana" w:eastAsia="Calibri" w:hAnsi="Verdana" w:cs="Arial"/>
          <w:sz w:val="20"/>
          <w:szCs w:val="20"/>
          <w:lang w:eastAsia="es-ES"/>
        </w:rPr>
        <w:t>entrada en vigencia</w:t>
      </w:r>
      <w:proofErr w:type="gramEnd"/>
      <w:r w:rsidRPr="00D31064">
        <w:rPr>
          <w:rFonts w:ascii="Verdana" w:eastAsia="Calibri" w:hAnsi="Verdana" w:cs="Arial"/>
          <w:sz w:val="20"/>
          <w:szCs w:val="20"/>
          <w:lang w:eastAsia="es-ES"/>
        </w:rPr>
        <w:t xml:space="preserve"> de la restricción electoral, aunque su registro de legalización en la plataforma SECOP no se haya culminado por razones operativas.</w:t>
      </w:r>
      <w:r>
        <w:rPr>
          <w:rFonts w:ascii="Verdana" w:eastAsia="Calibri" w:hAnsi="Verdana" w:cs="Arial"/>
          <w:sz w:val="20"/>
          <w:szCs w:val="20"/>
          <w:lang w:eastAsia="es-ES"/>
        </w:rPr>
        <w:t xml:space="preserve"> </w:t>
      </w:r>
      <w:r w:rsidRPr="00D31064">
        <w:rPr>
          <w:rFonts w:ascii="Verdana" w:eastAsia="Calibri" w:hAnsi="Verdana" w:cs="Arial"/>
          <w:sz w:val="20"/>
          <w:szCs w:val="20"/>
          <w:lang w:eastAsia="es-ES"/>
        </w:rPr>
        <w:t>Con base en lo anterior, solicitamos muy respetuosamente se nos indique si es procedente efectuar la legalización en SECOP de dichos contratos, toda vez que su suscripción se realizó de manera oportuna y conforme a la ley, y que lo que resta corresponde únicamente a una etapa de registro y formalización digital dentro del sistema.</w:t>
      </w:r>
      <w:r>
        <w:rPr>
          <w:rFonts w:ascii="Verdana" w:eastAsia="Calibri" w:hAnsi="Verdana" w:cs="Arial"/>
          <w:sz w:val="20"/>
          <w:szCs w:val="20"/>
          <w:lang w:eastAsia="es-ES"/>
        </w:rPr>
        <w:t xml:space="preserve"> </w:t>
      </w:r>
      <w:r w:rsidRPr="00D31064">
        <w:rPr>
          <w:rFonts w:ascii="Verdana" w:eastAsia="Calibri" w:hAnsi="Verdana" w:cs="Arial"/>
          <w:sz w:val="20"/>
          <w:szCs w:val="20"/>
          <w:lang w:eastAsia="es-ES"/>
        </w:rPr>
        <w:t>Agradecemos su orientación para garantizar el cumplimiento de la Ley de Garantías, la adecuada transparencia contractual y la consistencia de la información reportada en SECOP</w:t>
      </w:r>
      <w:r w:rsidRPr="003C2C84">
        <w:rPr>
          <w:rFonts w:ascii="Verdana" w:eastAsia="Calibri" w:hAnsi="Verdana" w:cs="Arial"/>
          <w:sz w:val="20"/>
          <w:szCs w:val="20"/>
          <w:lang w:eastAsia="es-ES"/>
        </w:rPr>
        <w:t>.</w:t>
      </w:r>
      <w:r>
        <w:rPr>
          <w:rFonts w:ascii="Verdana" w:eastAsia="Calibri" w:hAnsi="Verdana" w:cs="Arial"/>
          <w:sz w:val="20"/>
          <w:szCs w:val="20"/>
          <w:lang w:eastAsia="es-ES"/>
        </w:rPr>
        <w:t>”</w:t>
      </w:r>
    </w:p>
    <w:p w14:paraId="5444D8CD" w14:textId="77777777" w:rsidR="00CF6A48" w:rsidRPr="00755387" w:rsidRDefault="00CF6A48" w:rsidP="00CF6A48">
      <w:pPr>
        <w:spacing w:after="0" w:line="276" w:lineRule="auto"/>
        <w:ind w:right="709"/>
        <w:jc w:val="both"/>
        <w:rPr>
          <w:rFonts w:ascii="Verdana" w:eastAsia="Calibri" w:hAnsi="Verdana" w:cs="Arial"/>
          <w:lang w:eastAsia="es-ES"/>
        </w:rPr>
      </w:pPr>
    </w:p>
    <w:p w14:paraId="703E1147" w14:textId="77777777" w:rsidR="00CF6A48" w:rsidRPr="00960F72" w:rsidRDefault="00CF6A48" w:rsidP="00CF6A48">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829C4B6" w14:textId="77777777" w:rsidR="00CF6A48" w:rsidRPr="00960F72" w:rsidRDefault="00CF6A48" w:rsidP="00CF6A48">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56C2D99" w14:textId="77777777" w:rsidR="00CF6A48" w:rsidRPr="00960F72" w:rsidRDefault="00CF6A48" w:rsidP="00CF6A48">
      <w:pPr>
        <w:spacing w:after="0" w:line="276" w:lineRule="auto"/>
        <w:ind w:firstLine="709"/>
        <w:jc w:val="both"/>
        <w:rPr>
          <w:rFonts w:ascii="Verdana" w:eastAsia="Calibri" w:hAnsi="Verdana" w:cs="Arial"/>
          <w:lang w:eastAsia="es-ES"/>
        </w:rPr>
      </w:pPr>
    </w:p>
    <w:p w14:paraId="721DF1E3" w14:textId="77777777" w:rsidR="00CF6A48" w:rsidRPr="00960F72" w:rsidRDefault="00CF6A48" w:rsidP="00CF6A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1D59139" w14:textId="77777777" w:rsidR="00CF6A48" w:rsidRPr="00960F72" w:rsidRDefault="00CF6A48" w:rsidP="00CF6A48">
      <w:pPr>
        <w:tabs>
          <w:tab w:val="left" w:pos="426"/>
        </w:tabs>
        <w:spacing w:after="0" w:line="276" w:lineRule="auto"/>
        <w:jc w:val="both"/>
        <w:rPr>
          <w:rFonts w:ascii="Verdana" w:eastAsia="Century Gothic" w:hAnsi="Verdana" w:cs="Century Gothic"/>
        </w:rPr>
      </w:pPr>
    </w:p>
    <w:p w14:paraId="7930DFA4" w14:textId="05A6BD5F" w:rsidR="00CF6A48" w:rsidRDefault="00CF6A48" w:rsidP="00CF6A48">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D31064">
        <w:rPr>
          <w:rFonts w:ascii="Verdana" w:eastAsia="Century Gothic" w:hAnsi="Verdana" w:cs="Century Gothic"/>
        </w:rPr>
        <w:t>¿La legalización en la plataforma SECOP</w:t>
      </w:r>
      <w:r w:rsidR="00165C78">
        <w:rPr>
          <w:rFonts w:ascii="Verdana" w:eastAsia="Century Gothic" w:hAnsi="Verdana" w:cs="Century Gothic"/>
        </w:rPr>
        <w:t xml:space="preserve">, cuando el contrato no se suscribe a </w:t>
      </w:r>
      <w:r w:rsidR="00247C61">
        <w:rPr>
          <w:rFonts w:ascii="Verdana" w:eastAsia="Century Gothic" w:hAnsi="Verdana" w:cs="Century Gothic"/>
        </w:rPr>
        <w:t>través</w:t>
      </w:r>
      <w:r w:rsidR="00165C78">
        <w:rPr>
          <w:rFonts w:ascii="Verdana" w:eastAsia="Century Gothic" w:hAnsi="Verdana" w:cs="Century Gothic"/>
        </w:rPr>
        <w:t xml:space="preserve"> </w:t>
      </w:r>
      <w:proofErr w:type="gramStart"/>
      <w:r w:rsidR="00165C78">
        <w:rPr>
          <w:rFonts w:ascii="Verdana" w:eastAsia="Century Gothic" w:hAnsi="Verdana" w:cs="Century Gothic"/>
        </w:rPr>
        <w:t xml:space="preserve">de </w:t>
      </w:r>
      <w:r w:rsidRPr="00D31064">
        <w:rPr>
          <w:rFonts w:ascii="Verdana" w:eastAsia="Century Gothic" w:hAnsi="Verdana" w:cs="Century Gothic"/>
        </w:rPr>
        <w:t xml:space="preserve"> </w:t>
      </w:r>
      <w:r w:rsidR="00044593">
        <w:rPr>
          <w:rFonts w:ascii="Verdana" w:eastAsia="Century Gothic" w:hAnsi="Verdana" w:cs="Century Gothic"/>
        </w:rPr>
        <w:t>S</w:t>
      </w:r>
      <w:r w:rsidR="005D2E27">
        <w:rPr>
          <w:rFonts w:ascii="Verdana" w:eastAsia="Century Gothic" w:hAnsi="Verdana" w:cs="Century Gothic"/>
        </w:rPr>
        <w:t>ECOP</w:t>
      </w:r>
      <w:proofErr w:type="gramEnd"/>
      <w:r w:rsidR="005D2E27">
        <w:rPr>
          <w:rFonts w:ascii="Verdana" w:eastAsia="Century Gothic" w:hAnsi="Verdana" w:cs="Century Gothic"/>
        </w:rPr>
        <w:t xml:space="preserve"> II,</w:t>
      </w:r>
      <w:r w:rsidRPr="00D31064">
        <w:rPr>
          <w:rFonts w:ascii="Verdana" w:eastAsia="Century Gothic" w:hAnsi="Verdana" w:cs="Century Gothic"/>
        </w:rPr>
        <w:t xml:space="preserve"> de contratos estatales perfeccionados y suscritos con anterioridad a la </w:t>
      </w:r>
      <w:proofErr w:type="gramStart"/>
      <w:r w:rsidRPr="00D31064">
        <w:rPr>
          <w:rFonts w:ascii="Verdana" w:eastAsia="Century Gothic" w:hAnsi="Verdana" w:cs="Century Gothic"/>
        </w:rPr>
        <w:t>entrada en vigencia</w:t>
      </w:r>
      <w:proofErr w:type="gramEnd"/>
      <w:r w:rsidRPr="00D31064">
        <w:rPr>
          <w:rFonts w:ascii="Verdana" w:eastAsia="Century Gothic" w:hAnsi="Verdana" w:cs="Century Gothic"/>
        </w:rPr>
        <w:t xml:space="preserve"> de la restricción prevista en </w:t>
      </w:r>
      <w:r w:rsidRPr="00D31064">
        <w:rPr>
          <w:rFonts w:ascii="Verdana" w:eastAsia="Century Gothic" w:hAnsi="Verdana" w:cs="Century Gothic"/>
        </w:rPr>
        <w:lastRenderedPageBreak/>
        <w:t>el artículo 38 de la Ley 996 de 2005 constituye una vulneración a la Ley de Garantías Electorales</w:t>
      </w:r>
      <w:r>
        <w:rPr>
          <w:rFonts w:ascii="Verdana" w:eastAsia="Century Gothic" w:hAnsi="Verdana" w:cs="Century Gothic"/>
        </w:rPr>
        <w:t>?</w:t>
      </w:r>
    </w:p>
    <w:p w14:paraId="63008FAA" w14:textId="77777777" w:rsidR="00CF6A48" w:rsidRPr="00960F72" w:rsidRDefault="00CF6A48" w:rsidP="00CF6A48">
      <w:pPr>
        <w:spacing w:after="0" w:line="276" w:lineRule="auto"/>
        <w:jc w:val="both"/>
        <w:rPr>
          <w:rFonts w:ascii="Verdana" w:eastAsia="Century Gothic" w:hAnsi="Verdana" w:cs="Century Gothic"/>
        </w:rPr>
      </w:pPr>
    </w:p>
    <w:p w14:paraId="27944BB2" w14:textId="77777777" w:rsidR="00CF6A48" w:rsidRDefault="00CF6A48" w:rsidP="00CF6A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7F28A475" w14:textId="77777777" w:rsidR="00CF6A48" w:rsidRPr="00027E7B" w:rsidRDefault="00CF6A48" w:rsidP="00CF6A4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6A48" w:rsidRPr="00960F72" w14:paraId="445651D6" w14:textId="77777777" w:rsidTr="001460E1">
        <w:tc>
          <w:tcPr>
            <w:tcW w:w="8828" w:type="dxa"/>
          </w:tcPr>
          <w:p w14:paraId="2F9A7274" w14:textId="08EC2613" w:rsidR="00CF6A48" w:rsidRPr="0093530B" w:rsidRDefault="00CF6A48" w:rsidP="001460E1">
            <w:pPr>
              <w:spacing w:line="276" w:lineRule="auto"/>
              <w:jc w:val="both"/>
              <w:rPr>
                <w:rFonts w:ascii="Verdana" w:hAnsi="Verdana"/>
              </w:rPr>
            </w:pPr>
            <w:r w:rsidRPr="0093530B">
              <w:rPr>
                <w:rFonts w:ascii="Verdana" w:hAnsi="Verdana"/>
              </w:rPr>
              <w:t xml:space="preserve">La restricción prevista en el parágrafo del artículo 38 de la Ley 996 de 2005 se refiere expresamente a la prohibición de celebrar determinados negocios jurídicos durante el período electoral, </w:t>
            </w:r>
            <w:r w:rsidR="00FC286E">
              <w:rPr>
                <w:rFonts w:ascii="Verdana" w:hAnsi="Verdana"/>
              </w:rPr>
              <w:t xml:space="preserve">esto es convenios </w:t>
            </w:r>
            <w:r w:rsidR="007D03D8">
              <w:rPr>
                <w:rFonts w:ascii="Verdana" w:hAnsi="Verdana"/>
              </w:rPr>
              <w:t>interadministrativos,</w:t>
            </w:r>
            <w:r w:rsidRPr="0093530B">
              <w:rPr>
                <w:rFonts w:ascii="Verdana" w:hAnsi="Verdana"/>
              </w:rPr>
              <w:t xml:space="preserve"> noción que, en el ámbito de la contratación estatal, se identifica con el perfeccionamiento del contrato, esto es, con el momento en el cual se cumple el acuerdo sobre el objeto y la contraprestación y este se eleva a escrito, de conformidad con lo dispuesto en el artículo 41 de la Ley 80 de 1993. En ese sentido, la Ley de Garantías Electorales no proscribe </w:t>
            </w:r>
            <w:r w:rsidR="00994F89">
              <w:rPr>
                <w:rFonts w:ascii="Verdana" w:hAnsi="Verdana"/>
              </w:rPr>
              <w:t xml:space="preserve">las </w:t>
            </w:r>
            <w:r w:rsidRPr="0093530B">
              <w:rPr>
                <w:rFonts w:ascii="Verdana" w:hAnsi="Verdana"/>
              </w:rPr>
              <w:t xml:space="preserve">actuaciones posteriores al perfeccionamiento contractual, </w:t>
            </w:r>
            <w:r w:rsidR="00990919">
              <w:rPr>
                <w:rFonts w:ascii="Verdana" w:hAnsi="Verdana"/>
              </w:rPr>
              <w:t xml:space="preserve">como son los requisitos de ejecución, </w:t>
            </w:r>
            <w:r w:rsidRPr="0093530B">
              <w:rPr>
                <w:rFonts w:ascii="Verdana" w:hAnsi="Verdana"/>
              </w:rPr>
              <w:t>toda vez que, por tratarse de una norma de carácter prohibitivo, su interpretación debe ser restrictiva y ceñirse estrictamente a los supuestos expresamente previstos por el legislador.</w:t>
            </w:r>
          </w:p>
          <w:p w14:paraId="63E7DC2D" w14:textId="6AFCF1AB" w:rsidR="00CF6A48" w:rsidRPr="0093530B" w:rsidRDefault="00CF6A48" w:rsidP="001460E1">
            <w:pPr>
              <w:spacing w:line="276" w:lineRule="auto"/>
              <w:jc w:val="both"/>
              <w:rPr>
                <w:rFonts w:ascii="Verdana" w:hAnsi="Verdana"/>
              </w:rPr>
            </w:pPr>
            <w:r>
              <w:rPr>
                <w:rFonts w:ascii="Verdana" w:hAnsi="Verdana"/>
              </w:rPr>
              <w:t xml:space="preserve">      </w:t>
            </w:r>
            <w:r w:rsidR="00935FA9">
              <w:rPr>
                <w:rFonts w:ascii="Verdana" w:hAnsi="Verdana"/>
              </w:rPr>
              <w:t>Teniendo en cuenta el objeto de la consulta, debe señalarse que e</w:t>
            </w:r>
            <w:r w:rsidRPr="0093530B">
              <w:rPr>
                <w:rFonts w:ascii="Verdana" w:hAnsi="Verdana"/>
              </w:rPr>
              <w:t>xiste una diferencia clara entre los requisitos de perfeccionamiento del contrato estatal, que determinan su existencia jurídica, y los requisitos de ejecución, que únicamente habilitan el inicio del cumplimiento del objeto contractual. Dentro de estos últimos se encuentran, entre otros, la aprobación de las garantías, la expedición del registro presupuestal y la acreditación del cumplimiento de las obligaciones con el Sistema de Seguridad Social Integral, los cuales no constituyen condiciones de existencia del contrato, sino exigencias posteriores a su perfeccionamiento.</w:t>
            </w:r>
          </w:p>
          <w:p w14:paraId="1F2DF519" w14:textId="5C2284A9" w:rsidR="00CF6A48" w:rsidRPr="0093530B" w:rsidRDefault="00CF6A48" w:rsidP="001460E1">
            <w:pPr>
              <w:spacing w:line="276" w:lineRule="auto"/>
              <w:jc w:val="both"/>
              <w:rPr>
                <w:rFonts w:ascii="Verdana" w:hAnsi="Verdana"/>
              </w:rPr>
            </w:pPr>
            <w:r>
              <w:rPr>
                <w:rFonts w:ascii="Verdana" w:hAnsi="Verdana"/>
              </w:rPr>
              <w:t xml:space="preserve">      </w:t>
            </w:r>
            <w:r w:rsidRPr="0093530B">
              <w:rPr>
                <w:rFonts w:ascii="Verdana" w:hAnsi="Verdana"/>
              </w:rPr>
              <w:t xml:space="preserve">En consecuencia, cuando un contrato estatal fue válidamente perfeccionado y suscrito con anterioridad al inicio del período de restricción electoral, el cumplimiento posterior de los requisitos de </w:t>
            </w:r>
            <w:proofErr w:type="gramStart"/>
            <w:r w:rsidRPr="0093530B">
              <w:rPr>
                <w:rFonts w:ascii="Verdana" w:hAnsi="Verdana"/>
              </w:rPr>
              <w:t>ejecución</w:t>
            </w:r>
            <w:r>
              <w:rPr>
                <w:rFonts w:ascii="Verdana" w:hAnsi="Verdana"/>
              </w:rPr>
              <w:t xml:space="preserve"> </w:t>
            </w:r>
            <w:r w:rsidRPr="0093530B">
              <w:rPr>
                <w:rFonts w:ascii="Verdana" w:hAnsi="Verdana"/>
              </w:rPr>
              <w:t xml:space="preserve"> no</w:t>
            </w:r>
            <w:proofErr w:type="gramEnd"/>
            <w:r w:rsidRPr="0093530B">
              <w:rPr>
                <w:rFonts w:ascii="Verdana" w:hAnsi="Verdana"/>
              </w:rPr>
              <w:t xml:space="preserve"> implican la celebración de un nuevo contrato ni el perfeccionamiento de uno distinto, sino el desarrollo normal de una relación contractual ya existente. Por tanto, dichas actuaciones</w:t>
            </w:r>
            <w:r w:rsidR="003B0CB9">
              <w:rPr>
                <w:rFonts w:ascii="Verdana" w:hAnsi="Verdana"/>
              </w:rPr>
              <w:t xml:space="preserve"> tendientes a </w:t>
            </w:r>
            <w:r w:rsidR="00915ABA">
              <w:rPr>
                <w:rFonts w:ascii="Verdana" w:hAnsi="Verdana"/>
              </w:rPr>
              <w:t>iniciar la ejecución contractual</w:t>
            </w:r>
            <w:r w:rsidRPr="0093530B">
              <w:rPr>
                <w:rFonts w:ascii="Verdana" w:hAnsi="Verdana"/>
              </w:rPr>
              <w:t xml:space="preserve"> no se encuentran comprendidas dentro del ámbito de prohibición del artículo 38 de la Ley 996 de 2005.</w:t>
            </w:r>
          </w:p>
          <w:p w14:paraId="72607EC2" w14:textId="77777777" w:rsidR="00B65AAF" w:rsidRDefault="00CF6A48" w:rsidP="001460E1">
            <w:pPr>
              <w:spacing w:line="276" w:lineRule="auto"/>
              <w:jc w:val="both"/>
              <w:rPr>
                <w:rFonts w:ascii="Verdana" w:hAnsi="Verdana"/>
              </w:rPr>
            </w:pPr>
            <w:r>
              <w:rPr>
                <w:rFonts w:ascii="Verdana" w:hAnsi="Verdana"/>
              </w:rPr>
              <w:t xml:space="preserve">      </w:t>
            </w:r>
            <w:r w:rsidRPr="0093530B">
              <w:rPr>
                <w:rFonts w:ascii="Verdana" w:hAnsi="Verdana"/>
              </w:rPr>
              <w:t xml:space="preserve">Bajo esta interpretación, la </w:t>
            </w:r>
            <w:r>
              <w:rPr>
                <w:rFonts w:ascii="Verdana" w:hAnsi="Verdana"/>
              </w:rPr>
              <w:t xml:space="preserve">publicación y establecimiento de requisitos de </w:t>
            </w:r>
          </w:p>
          <w:p w14:paraId="41208FCE" w14:textId="3348292D" w:rsidR="00CF6A48" w:rsidRDefault="00CF6A48" w:rsidP="001460E1">
            <w:pPr>
              <w:spacing w:line="276" w:lineRule="auto"/>
              <w:jc w:val="both"/>
              <w:rPr>
                <w:rFonts w:ascii="Verdana" w:hAnsi="Verdana"/>
              </w:rPr>
            </w:pPr>
            <w:r>
              <w:rPr>
                <w:rFonts w:ascii="Verdana" w:hAnsi="Verdana"/>
              </w:rPr>
              <w:lastRenderedPageBreak/>
              <w:t>ejecución del contrato en la plataforma</w:t>
            </w:r>
            <w:r w:rsidRPr="0093530B">
              <w:rPr>
                <w:rFonts w:ascii="Verdana" w:hAnsi="Verdana"/>
              </w:rPr>
              <w:t xml:space="preserve"> en SECOP</w:t>
            </w:r>
            <w:r w:rsidR="00915ABA">
              <w:rPr>
                <w:rFonts w:ascii="Verdana" w:hAnsi="Verdana"/>
              </w:rPr>
              <w:t>, en aquellos casos en los cuales no se perfecciona el contrato en el SECOP II,</w:t>
            </w:r>
            <w:r>
              <w:rPr>
                <w:rFonts w:ascii="Verdana" w:hAnsi="Verdana"/>
              </w:rPr>
              <w:t xml:space="preserve"> luego </w:t>
            </w:r>
            <w:r w:rsidRPr="0093530B">
              <w:rPr>
                <w:rFonts w:ascii="Verdana" w:hAnsi="Verdana"/>
              </w:rPr>
              <w:t>entrada en vigencia de la Ley de Garantías Electorales no constituye una vulneración de dicha norma, en la medida en que no comporta la celebración del contrato durante el período electoral, sino el cumplimiento de deberes posteriores de ejecución y publicidad, orientados a garantizar la transparencia, la trazabilidad y la correcta gestión de la información contractual.</w:t>
            </w:r>
          </w:p>
          <w:p w14:paraId="1939B5DE" w14:textId="77777777" w:rsidR="00CF6A48" w:rsidRDefault="00CF6A48" w:rsidP="001460E1">
            <w:pPr>
              <w:spacing w:line="276" w:lineRule="auto"/>
              <w:jc w:val="both"/>
              <w:rPr>
                <w:rFonts w:ascii="Verdana" w:hAnsi="Verdana"/>
              </w:rPr>
            </w:pPr>
          </w:p>
          <w:p w14:paraId="5602CBEE" w14:textId="77777777" w:rsidR="00CF6A48" w:rsidRPr="005069C4" w:rsidRDefault="00CF6A48" w:rsidP="001460E1">
            <w:pPr>
              <w:spacing w:line="276" w:lineRule="auto"/>
              <w:jc w:val="both"/>
              <w:rPr>
                <w:rFonts w:ascii="Verdana" w:hAnsi="Verdana"/>
              </w:rPr>
            </w:pPr>
            <w:r>
              <w:rPr>
                <w:rFonts w:ascii="Verdana" w:hAnsi="Verdana"/>
              </w:rPr>
              <w:t xml:space="preserve">     </w:t>
            </w:r>
            <w:r w:rsidRPr="00AB4596">
              <w:rPr>
                <w:rFonts w:ascii="Verdana" w:hAnsi="Verdana"/>
              </w:rPr>
              <w:t xml:space="preserve">Ahora bien, es preciso aclarar que, en el marco del uso obligatorio del SECOP II, en tanto plataforma de naturaleza transaccional, el proceso </w:t>
            </w:r>
            <w:proofErr w:type="gramStart"/>
            <w:r w:rsidRPr="00AB4596">
              <w:rPr>
                <w:rFonts w:ascii="Verdana" w:hAnsi="Verdana"/>
              </w:rPr>
              <w:t xml:space="preserve">contractual </w:t>
            </w:r>
            <w:r>
              <w:rPr>
                <w:rFonts w:ascii="Verdana" w:hAnsi="Verdana"/>
              </w:rPr>
              <w:t>,</w:t>
            </w:r>
            <w:proofErr w:type="gramEnd"/>
            <w:r>
              <w:rPr>
                <w:rFonts w:ascii="Verdana" w:hAnsi="Verdana"/>
              </w:rPr>
              <w:t xml:space="preserve"> </w:t>
            </w:r>
            <w:r w:rsidRPr="00AB4596">
              <w:rPr>
                <w:rFonts w:ascii="Verdana" w:hAnsi="Verdana"/>
              </w:rPr>
              <w:t>incluida la suscripción del contrato</w:t>
            </w:r>
            <w:r>
              <w:rPr>
                <w:rFonts w:ascii="Verdana" w:hAnsi="Verdana"/>
              </w:rPr>
              <w:t>,</w:t>
            </w:r>
            <w:r w:rsidRPr="00AB4596">
              <w:rPr>
                <w:rFonts w:ascii="Verdana" w:hAnsi="Verdana"/>
              </w:rPr>
              <w:t xml:space="preserve"> se gestiona y registra a través de dicho sistema. En ese sentido, la actuación correspondiente al perfeccionamiento contractual debe quedar reflejada en la plataforma. </w:t>
            </w:r>
          </w:p>
        </w:tc>
      </w:tr>
    </w:tbl>
    <w:p w14:paraId="3E8E598E" w14:textId="77777777" w:rsidR="00CF6A48" w:rsidRDefault="00CF6A48" w:rsidP="00CF6A48">
      <w:pPr>
        <w:tabs>
          <w:tab w:val="left" w:pos="142"/>
          <w:tab w:val="left" w:pos="284"/>
        </w:tabs>
        <w:spacing w:after="0" w:line="276" w:lineRule="auto"/>
        <w:jc w:val="both"/>
        <w:rPr>
          <w:rFonts w:ascii="Verdana" w:eastAsia="Century Gothic" w:hAnsi="Verdana" w:cs="Century Gothic"/>
          <w:b/>
          <w:bCs/>
        </w:rPr>
      </w:pPr>
    </w:p>
    <w:p w14:paraId="760E7C1E" w14:textId="77777777" w:rsidR="00CF6A48" w:rsidRPr="00960F72" w:rsidRDefault="00CF6A48" w:rsidP="00CF6A48">
      <w:pPr>
        <w:tabs>
          <w:tab w:val="left" w:pos="142"/>
          <w:tab w:val="left" w:pos="284"/>
        </w:tabs>
        <w:spacing w:after="0" w:line="276" w:lineRule="auto"/>
        <w:jc w:val="both"/>
        <w:rPr>
          <w:rFonts w:ascii="Verdana" w:eastAsia="Century Gothic" w:hAnsi="Verdana" w:cs="Century Gothic"/>
          <w:b/>
          <w:bCs/>
        </w:rPr>
      </w:pPr>
    </w:p>
    <w:p w14:paraId="24BC7B71" w14:textId="77777777" w:rsidR="00CF6A48" w:rsidRDefault="00CF6A48" w:rsidP="00CF6A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6DD8714B" w14:textId="77777777" w:rsidR="00CF6A48" w:rsidRDefault="00CF6A48" w:rsidP="00CF6A4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37F42E2" w14:textId="77777777" w:rsidR="00CF6A48" w:rsidRPr="00515AC9" w:rsidRDefault="00CF6A48" w:rsidP="00CF6A48">
      <w:pPr>
        <w:spacing w:after="120" w:line="276" w:lineRule="auto"/>
        <w:jc w:val="both"/>
        <w:rPr>
          <w:rFonts w:ascii="Verdana" w:eastAsia="Calibri" w:hAnsi="Verdana" w:cs="Arial"/>
          <w:lang w:val="es-ES"/>
        </w:rPr>
      </w:pPr>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64359CA9" w14:textId="77777777" w:rsidR="00CF6A48" w:rsidRDefault="00CF6A48" w:rsidP="00CF6A48">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77C7E0F3" w14:textId="77777777" w:rsidR="00CF6A48" w:rsidRPr="00515AC9" w:rsidRDefault="00CF6A48" w:rsidP="00CF6A48">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w:t>
      </w:r>
      <w:r w:rsidRPr="00515AC9">
        <w:rPr>
          <w:rFonts w:ascii="Verdana" w:eastAsia="Calibri" w:hAnsi="Verdana" w:cs="Arial"/>
          <w:lang w:val="es-ES_tradnl"/>
        </w:rPr>
        <w:lastRenderedPageBreak/>
        <w:t>contrato</w:t>
      </w:r>
      <w:r w:rsidRPr="00515AC9">
        <w:rPr>
          <w:rStyle w:val="Refdenotaalpie"/>
          <w:rFonts w:ascii="Verdana" w:hAnsi="Verdana" w:cs="Arial"/>
        </w:rPr>
        <w:footnoteReference w:id="2"/>
      </w:r>
      <w:r w:rsidRPr="00515AC9">
        <w:rPr>
          <w:rFonts w:ascii="Verdana" w:eastAsia="Calibri" w:hAnsi="Verdana" w:cs="Arial"/>
          <w:lang w:val="es-ES_tradnl"/>
        </w:rPr>
        <w:t>. Los requisitos de perfeccionamiento del contrato estatal ingresan dentro de los elementos de la esencia.</w:t>
      </w:r>
    </w:p>
    <w:p w14:paraId="4A0DB726" w14:textId="77777777" w:rsidR="00CF6A48" w:rsidRPr="00515AC9" w:rsidRDefault="00CF6A48" w:rsidP="00CF6A48">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3"/>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por regla general, son solemnes, ya que solo se entienden celebrados si se cumplen ciertas formalidades. Esta regla general solo tiene una excepción</w:t>
      </w:r>
      <w:r>
        <w:rPr>
          <w:rStyle w:val="Refdenotaalpie"/>
          <w:rFonts w:ascii="Verdana" w:eastAsia="Calibri" w:hAnsi="Verdana" w:cs="Arial"/>
          <w:lang w:val="es-ES_tradnl"/>
        </w:rPr>
        <w:footnoteReference w:id="4"/>
      </w:r>
      <w:r w:rsidRPr="00515AC9">
        <w:rPr>
          <w:rFonts w:ascii="Verdana" w:eastAsia="Calibri" w:hAnsi="Verdana" w:cs="Arial"/>
          <w:lang w:val="es-ES_tradnl"/>
        </w:rPr>
        <w:t>.</w:t>
      </w:r>
    </w:p>
    <w:p w14:paraId="0B3803CD" w14:textId="77777777" w:rsidR="00CF6A48" w:rsidRDefault="00CF6A48" w:rsidP="00CF6A48">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7EF67E86" w14:textId="77777777" w:rsidR="00CF6A48" w:rsidRPr="00515AC9" w:rsidRDefault="00CF6A48" w:rsidP="00CF6A48">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5"/>
      </w:r>
      <w:r w:rsidRPr="00515AC9">
        <w:rPr>
          <w:rFonts w:ascii="Verdana" w:eastAsia="Calibri" w:hAnsi="Verdana" w:cs="Arial"/>
          <w:lang w:val="es-ES_tradnl"/>
        </w:rPr>
        <w:t xml:space="preserve">. </w:t>
      </w:r>
    </w:p>
    <w:p w14:paraId="5160DD94" w14:textId="77777777" w:rsidR="00CF6A48" w:rsidRPr="00515AC9" w:rsidRDefault="00CF6A48" w:rsidP="00CF6A48">
      <w:pPr>
        <w:spacing w:after="0"/>
        <w:ind w:firstLine="708"/>
        <w:jc w:val="both"/>
        <w:rPr>
          <w:rFonts w:ascii="Verdana" w:eastAsia="Calibri" w:hAnsi="Verdana" w:cs="Arial"/>
        </w:rPr>
      </w:pPr>
      <w:r>
        <w:rPr>
          <w:rFonts w:ascii="Verdana" w:eastAsia="Calibri" w:hAnsi="Verdana" w:cs="Arial"/>
          <w:lang w:val="es-ES_tradnl"/>
        </w:rPr>
        <w:lastRenderedPageBreak/>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0C215D32" w14:textId="77777777" w:rsidR="00CF6A48" w:rsidRPr="00515AC9" w:rsidRDefault="00CF6A48" w:rsidP="00CF6A48">
      <w:pPr>
        <w:spacing w:after="0"/>
        <w:jc w:val="both"/>
        <w:rPr>
          <w:rFonts w:ascii="Verdana" w:eastAsia="Calibri" w:hAnsi="Verdana" w:cs="Arial"/>
        </w:rPr>
      </w:pPr>
    </w:p>
    <w:p w14:paraId="77010640" w14:textId="77777777" w:rsidR="00CF6A48" w:rsidRPr="00F00E70" w:rsidRDefault="00CF6A48" w:rsidP="00CF6A48">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6"/>
      </w:r>
      <w:r w:rsidRPr="00F00E70">
        <w:rPr>
          <w:rFonts w:ascii="Verdana" w:eastAsia="Calibri" w:hAnsi="Verdana" w:cs="Arial"/>
          <w:sz w:val="20"/>
          <w:szCs w:val="20"/>
        </w:rPr>
        <w:t>.</w:t>
      </w:r>
    </w:p>
    <w:p w14:paraId="7D59C333" w14:textId="77777777" w:rsidR="00CF6A48" w:rsidRPr="00F00E70" w:rsidRDefault="00CF6A48" w:rsidP="00CF6A48">
      <w:pPr>
        <w:spacing w:after="0" w:line="276" w:lineRule="auto"/>
        <w:ind w:left="708"/>
        <w:jc w:val="both"/>
        <w:rPr>
          <w:rFonts w:ascii="Verdana" w:eastAsia="Calibri" w:hAnsi="Verdana" w:cs="Arial"/>
        </w:rPr>
      </w:pPr>
    </w:p>
    <w:p w14:paraId="77A288C4" w14:textId="77777777" w:rsidR="00CF6A48" w:rsidRPr="00515AC9" w:rsidRDefault="00CF6A48" w:rsidP="00CF6A48">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3165B02E" w14:textId="0C563DEB" w:rsidR="00CF6A48" w:rsidRPr="00515AC9" w:rsidRDefault="00CF6A48" w:rsidP="00CF6A48">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sidR="00E82794">
        <w:rPr>
          <w:rFonts w:ascii="Verdana" w:eastAsia="Calibri" w:hAnsi="Verdana" w:cs="Arial"/>
        </w:rPr>
        <w:t>,</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25249A9F" w14:textId="77777777" w:rsidR="00CF6A48" w:rsidRPr="00515AC9" w:rsidRDefault="00CF6A48" w:rsidP="00CF6A48">
      <w:pPr>
        <w:spacing w:after="0" w:line="276" w:lineRule="auto"/>
        <w:jc w:val="both"/>
        <w:rPr>
          <w:rFonts w:ascii="Verdana" w:eastAsia="Calibri" w:hAnsi="Verdana" w:cs="Arial"/>
          <w:i/>
          <w:iCs/>
        </w:rPr>
      </w:pPr>
    </w:p>
    <w:p w14:paraId="084C8B4D" w14:textId="77777777" w:rsidR="00CF6A48" w:rsidRPr="00B41137" w:rsidRDefault="00CF6A48" w:rsidP="00CF6A48">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w:t>
      </w:r>
      <w:r w:rsidRPr="00B41137">
        <w:rPr>
          <w:rFonts w:ascii="Verdana" w:eastAsia="Calibri" w:hAnsi="Verdana" w:cs="Arial"/>
          <w:sz w:val="20"/>
          <w:szCs w:val="20"/>
        </w:rPr>
        <w:lastRenderedPageBreak/>
        <w:t xml:space="preserve">el pago de aportes parafiscales relativos al Sistema de Seguridad Social Integral, así como los propios del Sena, ICBF y Cajas de Compensación Familiar, cuando corresponda”. </w:t>
      </w:r>
    </w:p>
    <w:p w14:paraId="7B88ABA9" w14:textId="77777777" w:rsidR="00CF6A48" w:rsidRPr="00515AC9" w:rsidRDefault="00CF6A48" w:rsidP="00CF6A48">
      <w:pPr>
        <w:spacing w:after="0" w:line="276" w:lineRule="auto"/>
        <w:jc w:val="both"/>
        <w:rPr>
          <w:rFonts w:ascii="Verdana" w:eastAsia="Calibri" w:hAnsi="Verdana" w:cs="Arial"/>
          <w:lang w:val="es-ES_tradnl"/>
        </w:rPr>
      </w:pPr>
    </w:p>
    <w:p w14:paraId="452E766B" w14:textId="77777777" w:rsidR="00CF6A48" w:rsidRPr="00515AC9" w:rsidRDefault="00CF6A48" w:rsidP="00CF6A48">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2281C2CF" w14:textId="77777777" w:rsidR="00CF6A48" w:rsidRDefault="00CF6A48" w:rsidP="00CF6A48">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rPr>
        <w:t>, como por ejemplo el acta de inicio</w:t>
      </w:r>
      <w:r w:rsidRPr="573DC269">
        <w:rPr>
          <w:rFonts w:ascii="Verdana" w:eastAsia="Calibri" w:hAnsi="Verdana" w:cs="Arial"/>
          <w:lang w:val="es-ES"/>
        </w:rPr>
        <w:t>.</w:t>
      </w:r>
    </w:p>
    <w:p w14:paraId="671B542A" w14:textId="77777777" w:rsidR="00CF6A48" w:rsidRDefault="00CF6A48" w:rsidP="00CF6A48">
      <w:pPr>
        <w:spacing w:after="120" w:line="276" w:lineRule="auto"/>
        <w:ind w:firstLine="708"/>
        <w:jc w:val="both"/>
        <w:rPr>
          <w:rFonts w:ascii="Verdana" w:hAnsi="Verdana" w:cs="Arial"/>
          <w:color w:val="000000" w:themeColor="text1"/>
          <w:lang w:eastAsia="es-CO"/>
        </w:rPr>
      </w:pPr>
      <w:r>
        <w:rPr>
          <w:rFonts w:ascii="Verdana" w:eastAsia="Calibri" w:hAnsi="Verdana" w:cs="Arial"/>
          <w:lang w:val="es-ES"/>
        </w:rPr>
        <w:t>En relación con</w:t>
      </w:r>
      <w:r w:rsidRPr="001C5D9A">
        <w:rPr>
          <w:rFonts w:ascii="Verdana" w:eastAsia="Calibri" w:hAnsi="Verdana" w:cs="Arial"/>
          <w:lang w:val="es-ES"/>
        </w:rPr>
        <w:t xml:space="preserve"> los requisitos legales de ejecución</w:t>
      </w:r>
      <w:r>
        <w:rPr>
          <w:rFonts w:ascii="Verdana" w:eastAsia="Calibri" w:hAnsi="Verdana" w:cs="Arial"/>
          <w:lang w:val="es-ES"/>
        </w:rPr>
        <w:t>,</w:t>
      </w:r>
      <w:r w:rsidRPr="001C5D9A">
        <w:rPr>
          <w:rFonts w:ascii="Verdana" w:eastAsia="Calibri" w:hAnsi="Verdana" w:cs="Arial"/>
          <w:lang w:val="es-ES"/>
        </w:rPr>
        <w:t xml:space="preserve"> </w:t>
      </w:r>
      <w:r>
        <w:rPr>
          <w:rFonts w:ascii="Verdana" w:eastAsia="Calibri" w:hAnsi="Verdana" w:cs="Arial"/>
          <w:lang w:val="es-ES"/>
        </w:rPr>
        <w:t>en primer lugar,</w:t>
      </w:r>
      <w:r w:rsidRPr="001C5D9A">
        <w:rPr>
          <w:rFonts w:ascii="Verdana" w:eastAsia="Calibri" w:hAnsi="Verdana" w:cs="Arial"/>
          <w:lang w:val="es-ES"/>
        </w:rPr>
        <w:t xml:space="preserve"> se tiene como uno de ellos, la </w:t>
      </w:r>
      <w:r w:rsidRPr="573DC269">
        <w:rPr>
          <w:rFonts w:ascii="Verdana" w:eastAsia="Calibri" w:hAnsi="Verdana" w:cs="Arial"/>
          <w:lang w:val="es-ES"/>
        </w:rPr>
        <w:t>aprobación de las garantías exigidas en el contrato</w:t>
      </w:r>
      <w:r>
        <w:rPr>
          <w:rFonts w:ascii="Verdana" w:eastAsia="Calibri" w:hAnsi="Verdana" w:cs="Arial"/>
          <w:lang w:val="es-ES"/>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w:t>
      </w:r>
      <w:r w:rsidRPr="00C31767">
        <w:rPr>
          <w:rFonts w:ascii="Verdana" w:hAnsi="Verdana" w:cs="Arial"/>
          <w:color w:val="000000" w:themeColor="text1"/>
          <w:lang w:val="es-MX"/>
        </w:rPr>
        <w:t>establece que “P</w:t>
      </w:r>
      <w:r w:rsidRPr="00C31767">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r>
        <w:rPr>
          <w:rFonts w:ascii="Verdana" w:hAnsi="Verdana" w:cs="Arial"/>
          <w:color w:val="000000" w:themeColor="text1"/>
          <w:lang w:eastAsia="es-CO"/>
        </w:rPr>
        <w:t xml:space="preserve"> en caso que se hayan solicitado</w:t>
      </w:r>
      <w:r w:rsidRPr="00C31767">
        <w:rPr>
          <w:rFonts w:ascii="Verdana" w:hAnsi="Verdana" w:cs="Arial"/>
          <w:color w:val="000000" w:themeColor="text1"/>
          <w:lang w:eastAsia="es-CO"/>
        </w:rPr>
        <w:t>.</w:t>
      </w:r>
    </w:p>
    <w:p w14:paraId="1E78CEB7" w14:textId="77777777" w:rsidR="00CF6A48" w:rsidRDefault="00CF6A48" w:rsidP="00CF6A48">
      <w:pPr>
        <w:spacing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w:t>
      </w:r>
      <w:r>
        <w:rPr>
          <w:rFonts w:ascii="Verdana" w:hAnsi="Verdana" w:cs="Arial"/>
          <w:color w:val="000000" w:themeColor="text1"/>
          <w:lang w:eastAsia="es-CO"/>
        </w:rPr>
        <w:t>el inicio</w:t>
      </w:r>
      <w:r w:rsidRPr="00C31767">
        <w:rPr>
          <w:rFonts w:ascii="Verdana" w:hAnsi="Verdana" w:cs="Arial"/>
          <w:color w:val="000000" w:themeColor="text1"/>
          <w:lang w:eastAsia="es-CO"/>
        </w:rPr>
        <w:t xml:space="preserve"> del contrato, el contratista debe cumplir con la obligación de constituir las garantías</w:t>
      </w:r>
      <w:r>
        <w:rPr>
          <w:rFonts w:ascii="Verdana" w:hAnsi="Verdana" w:cs="Arial"/>
          <w:color w:val="000000" w:themeColor="text1"/>
          <w:lang w:eastAsia="es-CO"/>
        </w:rPr>
        <w:t xml:space="preserve"> solicitadas</w:t>
      </w:r>
      <w:r w:rsidRPr="00C31767">
        <w:rPr>
          <w:rFonts w:ascii="Verdana" w:hAnsi="Verdana" w:cs="Arial"/>
          <w:color w:val="000000" w:themeColor="text1"/>
          <w:lang w:eastAsia="es-CO"/>
        </w:rPr>
        <w:t xml:space="preserve">, para lo cual deberá presentar el respectivo instrumento para la verificación por parte de la entidad estatal, quien procederá a su aprobación siempre que se cumplan con las condiciones pactadas en el contrato. </w:t>
      </w:r>
    </w:p>
    <w:p w14:paraId="1B9EF4D6" w14:textId="77777777" w:rsidR="00CF6A48" w:rsidRPr="004523A7" w:rsidRDefault="00CF6A48" w:rsidP="00CF6A48">
      <w:pPr>
        <w:spacing w:line="276" w:lineRule="auto"/>
        <w:ind w:firstLine="709"/>
        <w:jc w:val="both"/>
        <w:rPr>
          <w:rFonts w:ascii="Verdana" w:eastAsia="Calibri" w:hAnsi="Verdana" w:cs="Times New Roman"/>
        </w:rPr>
      </w:pPr>
      <w:r w:rsidRPr="004523A7">
        <w:rPr>
          <w:rFonts w:ascii="Verdana" w:eastAsia="Calibri" w:hAnsi="Verdana" w:cs="Times New Roman"/>
        </w:rPr>
        <w:t>Ahora bien, a partir de la distinción entre perfeccionamiento y ejecución del contrato estatal, resulta necesario analizar el alcance de las restricciones previstas en la Ley 996 de 2005. La denominada Ley de Garantías Electorales tiene como finalidad asegurar condiciones de igualdad, transparencia y neutralidad en los procesos electorales, para lo cual establece determinadas prohibiciones en cabeza de los servidores públicos, particularmente en materia de contratación estatal. Al tratarse de normas de carácter restrictivo, su interpretación debe ser estricta y ceñida a los supuestos expresamente previstos por el legislador.</w:t>
      </w:r>
    </w:p>
    <w:p w14:paraId="3C236B9E" w14:textId="77777777" w:rsidR="00CF6A48" w:rsidRPr="004523A7" w:rsidRDefault="00CF6A48" w:rsidP="00CF6A48">
      <w:pPr>
        <w:spacing w:line="276" w:lineRule="auto"/>
        <w:ind w:firstLine="708"/>
        <w:jc w:val="both"/>
        <w:rPr>
          <w:rFonts w:ascii="Verdana" w:eastAsia="Calibri" w:hAnsi="Verdana" w:cs="Times New Roman"/>
        </w:rPr>
      </w:pPr>
      <w:r w:rsidRPr="004523A7">
        <w:rPr>
          <w:rFonts w:ascii="Verdana" w:eastAsia="Calibri" w:hAnsi="Verdana" w:cs="Times New Roman"/>
        </w:rPr>
        <w:lastRenderedPageBreak/>
        <w:t xml:space="preserve">En ese sentido, el parágrafo del artículo 38 de la Ley 996 de 2005 prohíbe a determinadas autoridades territoriales “celebrar” convenios interadministrativos para la ejecución de recursos públicos durante el período electoral. </w:t>
      </w:r>
      <w:r>
        <w:rPr>
          <w:rFonts w:ascii="Verdana" w:eastAsia="Calibri" w:hAnsi="Verdana" w:cs="Times New Roman"/>
        </w:rPr>
        <w:t xml:space="preserve">El </w:t>
      </w:r>
      <w:r w:rsidRPr="004523A7">
        <w:rPr>
          <w:rFonts w:ascii="Verdana" w:eastAsia="Calibri" w:hAnsi="Verdana" w:cs="Times New Roman"/>
        </w:rPr>
        <w:t>verbo “celebrar”, en el contexto de la contratación estatal, se identifica con el perfeccionamiento del contrato, esto es, con el momento en el cual el negocio jurídico adquiere existencia y produce efectos jurídicos, de conformidad con lo dispuesto en los artículos 39 y 41 de la Ley 80 de 1993.</w:t>
      </w:r>
    </w:p>
    <w:p w14:paraId="35E456E1" w14:textId="77777777" w:rsidR="00CF6A48" w:rsidRPr="004523A7" w:rsidRDefault="00CF6A48" w:rsidP="00CF6A48">
      <w:pPr>
        <w:spacing w:line="276" w:lineRule="auto"/>
        <w:ind w:firstLine="709"/>
        <w:jc w:val="both"/>
        <w:rPr>
          <w:rFonts w:ascii="Verdana" w:eastAsia="Calibri" w:hAnsi="Verdana" w:cs="Times New Roman"/>
        </w:rPr>
      </w:pPr>
      <w:r w:rsidRPr="004523A7">
        <w:rPr>
          <w:rFonts w:ascii="Verdana" w:eastAsia="Calibri" w:hAnsi="Verdana" w:cs="Times New Roman"/>
        </w:rPr>
        <w:t>Bajo esta interpretación, la restricción contenida en la Ley de Garantías Electorales recae exclusivamente sobre los actos que dan lugar al nacimiento del contrato estatal, mas no sobre aquellas actuaciones posteriores que corresponden al cumplimiento de requisitos de ejecución o a deberes de carácter formal, instrumental o de publicidad derivados de una relación contractual válidamente perfeccionada con anterioridad al inicio del período de restricción. En consecuencia, una vez el contrato ha sido perfeccionado conforme a la ley, las actuaciones posteriores no comportan un nuevo acto de celebración ni implican la suscripción de un contrato distinto.</w:t>
      </w:r>
    </w:p>
    <w:p w14:paraId="13E5BE59" w14:textId="77777777" w:rsidR="00CF6A48" w:rsidRPr="004523A7" w:rsidRDefault="00CF6A48" w:rsidP="00CF6A48">
      <w:pPr>
        <w:spacing w:line="276" w:lineRule="auto"/>
        <w:ind w:firstLine="709"/>
        <w:jc w:val="both"/>
        <w:rPr>
          <w:rFonts w:ascii="Verdana" w:eastAsia="Calibri" w:hAnsi="Verdana" w:cs="Times New Roman"/>
        </w:rPr>
      </w:pPr>
      <w:r w:rsidRPr="004523A7">
        <w:rPr>
          <w:rFonts w:ascii="Verdana" w:eastAsia="Calibri" w:hAnsi="Verdana" w:cs="Times New Roman"/>
        </w:rPr>
        <w:t>En este orden de ideas, la exigencia de cumplir con los requisitos de ejecución previstos en el inciso segundo del artículo 41 de la Ley 80 de 1993</w:t>
      </w:r>
      <w:r>
        <w:rPr>
          <w:rFonts w:ascii="Verdana" w:eastAsia="Calibri" w:hAnsi="Verdana" w:cs="Times New Roman"/>
        </w:rPr>
        <w:t xml:space="preserve">, </w:t>
      </w:r>
      <w:r w:rsidRPr="004523A7">
        <w:rPr>
          <w:rFonts w:ascii="Verdana" w:eastAsia="Calibri" w:hAnsi="Verdana" w:cs="Times New Roman"/>
        </w:rPr>
        <w:t xml:space="preserve">tales como la aprobación de las garantías, la expedición del registro presupuestal o la acreditación del cumplimiento de las obligaciones con el Sistema de Seguridad Social </w:t>
      </w:r>
      <w:proofErr w:type="gramStart"/>
      <w:r w:rsidRPr="004523A7">
        <w:rPr>
          <w:rFonts w:ascii="Verdana" w:eastAsia="Calibri" w:hAnsi="Verdana" w:cs="Times New Roman"/>
        </w:rPr>
        <w:t>Integral</w:t>
      </w:r>
      <w:r>
        <w:rPr>
          <w:rFonts w:ascii="Verdana" w:eastAsia="Calibri" w:hAnsi="Verdana" w:cs="Times New Roman"/>
        </w:rPr>
        <w:t>,</w:t>
      </w:r>
      <w:proofErr w:type="gramEnd"/>
      <w:r w:rsidRPr="004523A7">
        <w:rPr>
          <w:rFonts w:ascii="Verdana" w:eastAsia="Calibri" w:hAnsi="Verdana" w:cs="Times New Roman"/>
        </w:rPr>
        <w:t xml:space="preserve"> no afecta la existencia del contrato ni puede asimilarse a un acto de perfeccionamiento. Tales exigencias tienen por objeto habilitar el inicio de la ejecución contractual, mas no condicionan la validez ni el nacimiento del vínculo jurídico previamente constituido.</w:t>
      </w:r>
    </w:p>
    <w:p w14:paraId="6FC4102E" w14:textId="1079193D" w:rsidR="00CF6A48" w:rsidRPr="00AB4596" w:rsidRDefault="00CF6A48" w:rsidP="00CF6A48">
      <w:pPr>
        <w:spacing w:line="276" w:lineRule="auto"/>
        <w:ind w:firstLine="709"/>
        <w:jc w:val="both"/>
        <w:rPr>
          <w:rFonts w:ascii="Verdana" w:eastAsia="Calibri" w:hAnsi="Verdana" w:cs="Times New Roman"/>
        </w:rPr>
      </w:pPr>
      <w:r w:rsidRPr="004523A7">
        <w:rPr>
          <w:rFonts w:ascii="Verdana" w:eastAsia="Calibri" w:hAnsi="Verdana" w:cs="Times New Roman"/>
        </w:rPr>
        <w:t>En consecuencia, cuando un contrato estatal</w:t>
      </w:r>
      <w:r w:rsidR="0097082A">
        <w:rPr>
          <w:rFonts w:ascii="Verdana" w:eastAsia="Calibri" w:hAnsi="Verdana" w:cs="Times New Roman"/>
        </w:rPr>
        <w:t>, para el caso de la restricci</w:t>
      </w:r>
      <w:r w:rsidR="00747C1C">
        <w:rPr>
          <w:rFonts w:ascii="Verdana" w:eastAsia="Calibri" w:hAnsi="Verdana" w:cs="Times New Roman"/>
        </w:rPr>
        <w:t>ón del artículo 38</w:t>
      </w:r>
      <w:r w:rsidR="009C6E7D">
        <w:rPr>
          <w:rFonts w:ascii="Verdana" w:eastAsia="Calibri" w:hAnsi="Verdana" w:cs="Times New Roman"/>
        </w:rPr>
        <w:t>,</w:t>
      </w:r>
      <w:r w:rsidRPr="004523A7">
        <w:rPr>
          <w:rFonts w:ascii="Verdana" w:eastAsia="Calibri" w:hAnsi="Verdana" w:cs="Times New Roman"/>
        </w:rPr>
        <w:t>cuenta con los requisitos de perfeccionamiento exigidos por el ordenamiento jurídico antes del inicio del período de restricción electoral, y lo que resta es únicamente el cumplimiento de requisitos de ejecución o de formalidades posteriores</w:t>
      </w:r>
      <w:r w:rsidR="00D850A2">
        <w:rPr>
          <w:rFonts w:ascii="Verdana" w:eastAsia="Calibri" w:hAnsi="Verdana" w:cs="Times New Roman"/>
        </w:rPr>
        <w:t xml:space="preserve"> que no sean necesarias para perfeccionar el contrato estatal</w:t>
      </w:r>
      <w:r w:rsidRPr="004523A7">
        <w:rPr>
          <w:rFonts w:ascii="Verdana" w:eastAsia="Calibri" w:hAnsi="Verdana" w:cs="Times New Roman"/>
        </w:rPr>
        <w:t>, no se desconoce la prohibición contenida en el parágrafo del artículo 38 de la Ley 996 de 2005, en la medida en que no se está frente a un acto de celebración contractual dentro del período electoral, sino ante el desarrollo normal de una relación jurídica ya existente.</w:t>
      </w:r>
    </w:p>
    <w:p w14:paraId="705F6DD7" w14:textId="027464EF" w:rsidR="00AF4C79" w:rsidRDefault="00AF4C79" w:rsidP="004D7693">
      <w:pPr>
        <w:spacing w:line="276" w:lineRule="auto"/>
        <w:jc w:val="both"/>
        <w:rPr>
          <w:rFonts w:ascii="Verdana" w:hAnsi="Verdana"/>
        </w:rPr>
      </w:pPr>
    </w:p>
    <w:p w14:paraId="1805D32F" w14:textId="77777777" w:rsidR="00AF4C79" w:rsidRPr="0093530B" w:rsidRDefault="00AF4C79" w:rsidP="004D7693">
      <w:pPr>
        <w:spacing w:line="276" w:lineRule="auto"/>
        <w:jc w:val="both"/>
        <w:rPr>
          <w:rFonts w:ascii="Verdana" w:hAnsi="Verdana"/>
        </w:rPr>
      </w:pPr>
    </w:p>
    <w:p w14:paraId="77BE8E2A" w14:textId="329BC4FC" w:rsidR="00AF4C79" w:rsidRDefault="00AF4C79" w:rsidP="004D7693">
      <w:pPr>
        <w:spacing w:line="276" w:lineRule="auto"/>
        <w:jc w:val="both"/>
        <w:rPr>
          <w:rFonts w:ascii="Verdana" w:hAnsi="Verdana"/>
        </w:rPr>
      </w:pPr>
      <w:r>
        <w:rPr>
          <w:rFonts w:ascii="Verdana" w:hAnsi="Verdana"/>
        </w:rPr>
        <w:t xml:space="preserve">      </w:t>
      </w:r>
      <w:r w:rsidRPr="0093530B">
        <w:rPr>
          <w:rFonts w:ascii="Verdana" w:hAnsi="Verdana"/>
        </w:rPr>
        <w:t xml:space="preserve">Bajo esta interpretación, la </w:t>
      </w:r>
      <w:r>
        <w:rPr>
          <w:rFonts w:ascii="Verdana" w:hAnsi="Verdana"/>
        </w:rPr>
        <w:t>publicación y establecimiento de requisitos de ejecución del contrato en la plataforma</w:t>
      </w:r>
      <w:r w:rsidRPr="0093530B">
        <w:rPr>
          <w:rFonts w:ascii="Verdana" w:hAnsi="Verdana"/>
        </w:rPr>
        <w:t xml:space="preserve"> en SECOP</w:t>
      </w:r>
      <w:r>
        <w:rPr>
          <w:rFonts w:ascii="Verdana" w:hAnsi="Verdana"/>
        </w:rPr>
        <w:t xml:space="preserve">, en aquellos casos en los cuales no se perfecciona el contrato en el SECOP II, luego </w:t>
      </w:r>
      <w:r w:rsidRPr="0093530B">
        <w:rPr>
          <w:rFonts w:ascii="Verdana" w:hAnsi="Verdana"/>
        </w:rPr>
        <w:t>entrada en vigencia de la Ley de Garantías Electorales no constituye una vulneración de dicha norma, en la medida en que no comporta la celebración del contrato durante el período electoral, sino el cumplimiento de deberes posteriores de ejecución y publicidad, orientados a garantizar la transparencia, la trazabilidad y la correcta gestión de la información contractual.</w:t>
      </w:r>
    </w:p>
    <w:p w14:paraId="39891005" w14:textId="6460DF36" w:rsidR="00AF4C79" w:rsidRPr="00AB4596" w:rsidRDefault="00AF4C79" w:rsidP="00CF6A48">
      <w:pPr>
        <w:spacing w:line="276" w:lineRule="auto"/>
        <w:ind w:firstLine="709"/>
        <w:jc w:val="both"/>
        <w:rPr>
          <w:rFonts w:ascii="Verdana" w:eastAsia="Calibri" w:hAnsi="Verdana" w:cs="Times New Roman"/>
        </w:rPr>
      </w:pPr>
      <w:r>
        <w:rPr>
          <w:rFonts w:ascii="Verdana" w:hAnsi="Verdana"/>
        </w:rPr>
        <w:t xml:space="preserve">     </w:t>
      </w:r>
      <w:r w:rsidRPr="00AB4596">
        <w:rPr>
          <w:rFonts w:ascii="Verdana" w:hAnsi="Verdana"/>
        </w:rPr>
        <w:t xml:space="preserve">Ahora bien, es preciso aclarar que, en el marco del uso obligatorio del SECOP II, en tanto plataforma de naturaleza transaccional, el proceso </w:t>
      </w:r>
      <w:proofErr w:type="gramStart"/>
      <w:r w:rsidRPr="00AB4596">
        <w:rPr>
          <w:rFonts w:ascii="Verdana" w:hAnsi="Verdana"/>
        </w:rPr>
        <w:t xml:space="preserve">contractual </w:t>
      </w:r>
      <w:r>
        <w:rPr>
          <w:rFonts w:ascii="Verdana" w:hAnsi="Verdana"/>
        </w:rPr>
        <w:t>,</w:t>
      </w:r>
      <w:proofErr w:type="gramEnd"/>
      <w:r>
        <w:rPr>
          <w:rFonts w:ascii="Verdana" w:hAnsi="Verdana"/>
        </w:rPr>
        <w:t xml:space="preserve"> </w:t>
      </w:r>
      <w:r w:rsidRPr="00AB4596">
        <w:rPr>
          <w:rFonts w:ascii="Verdana" w:hAnsi="Verdana"/>
        </w:rPr>
        <w:t>incluida la suscripción del contrato</w:t>
      </w:r>
      <w:r>
        <w:rPr>
          <w:rFonts w:ascii="Verdana" w:hAnsi="Verdana"/>
        </w:rPr>
        <w:t>,</w:t>
      </w:r>
      <w:r w:rsidRPr="00AB4596">
        <w:rPr>
          <w:rFonts w:ascii="Verdana" w:hAnsi="Verdana"/>
        </w:rPr>
        <w:t xml:space="preserve"> se gestiona y registra a través de dicho sistema. En ese sentido, la actuación correspondiente al perfeccionamiento contractual debe quedar reflejada en la plataforma</w:t>
      </w:r>
    </w:p>
    <w:p w14:paraId="4FADA939" w14:textId="77777777" w:rsidR="00CF6A48" w:rsidRPr="0060676F" w:rsidRDefault="00CF6A48" w:rsidP="00CF6A48">
      <w:pPr>
        <w:pStyle w:val="Prrafodelista"/>
        <w:numPr>
          <w:ilvl w:val="0"/>
          <w:numId w:val="16"/>
        </w:numPr>
        <w:spacing w:after="0" w:line="276" w:lineRule="auto"/>
        <w:ind w:left="284"/>
        <w:contextualSpacing w:val="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441DAEE" w14:textId="77777777" w:rsidR="00CF6A48" w:rsidRPr="00593A5F" w:rsidRDefault="00CF6A48" w:rsidP="00CF6A4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6A48" w:rsidRPr="00593A5F" w14:paraId="5D7F3CB0" w14:textId="77777777" w:rsidTr="001460E1">
        <w:trPr>
          <w:trHeight w:val="870"/>
        </w:trPr>
        <w:tc>
          <w:tcPr>
            <w:tcW w:w="8647" w:type="dxa"/>
          </w:tcPr>
          <w:p w14:paraId="7D78B386" w14:textId="77777777" w:rsidR="00CF6A48" w:rsidRDefault="00CF6A48" w:rsidP="001460E1">
            <w:pPr>
              <w:pStyle w:val="Prrafodelista"/>
              <w:numPr>
                <w:ilvl w:val="0"/>
                <w:numId w:val="17"/>
              </w:numPr>
              <w:spacing w:line="276" w:lineRule="auto"/>
              <w:jc w:val="both"/>
              <w:rPr>
                <w:rFonts w:ascii="Verdana" w:hAnsi="Verdana"/>
              </w:rPr>
            </w:pPr>
            <w:r>
              <w:rPr>
                <w:rFonts w:ascii="Verdana" w:hAnsi="Verdana"/>
              </w:rPr>
              <w:t xml:space="preserve">Código Civil. Artículos 28 y 1501. </w:t>
            </w:r>
          </w:p>
          <w:p w14:paraId="1A8C1E6F" w14:textId="77777777" w:rsidR="00CF6A48" w:rsidRDefault="00CF6A48" w:rsidP="001460E1">
            <w:pPr>
              <w:pStyle w:val="Prrafodelista"/>
              <w:numPr>
                <w:ilvl w:val="0"/>
                <w:numId w:val="17"/>
              </w:numPr>
              <w:spacing w:line="276" w:lineRule="auto"/>
              <w:jc w:val="both"/>
              <w:rPr>
                <w:rFonts w:ascii="Verdana" w:hAnsi="Verdana"/>
              </w:rPr>
            </w:pPr>
            <w:r>
              <w:rPr>
                <w:rFonts w:ascii="Verdana" w:hAnsi="Verdana"/>
              </w:rPr>
              <w:t xml:space="preserve">Ley 80 de 1993. Artículo 40, 41. </w:t>
            </w:r>
          </w:p>
          <w:p w14:paraId="0C783A74" w14:textId="77777777" w:rsidR="00CF6A48" w:rsidRDefault="00CF6A48" w:rsidP="001460E1">
            <w:pPr>
              <w:pStyle w:val="Prrafodelista"/>
              <w:numPr>
                <w:ilvl w:val="0"/>
                <w:numId w:val="17"/>
              </w:numPr>
              <w:spacing w:line="276" w:lineRule="auto"/>
              <w:jc w:val="both"/>
              <w:rPr>
                <w:rFonts w:ascii="Verdana" w:hAnsi="Verdana"/>
              </w:rPr>
            </w:pPr>
            <w:r>
              <w:rPr>
                <w:rFonts w:ascii="Verdana" w:hAnsi="Verdana"/>
              </w:rPr>
              <w:t xml:space="preserve">Ley 1150 de 2007. Artículo 23. </w:t>
            </w:r>
          </w:p>
          <w:p w14:paraId="7B673B78" w14:textId="77777777" w:rsidR="00CF6A48" w:rsidRPr="00984360" w:rsidRDefault="00CF6A48" w:rsidP="001460E1">
            <w:pPr>
              <w:pStyle w:val="Prrafodelista"/>
              <w:numPr>
                <w:ilvl w:val="0"/>
                <w:numId w:val="17"/>
              </w:numPr>
              <w:spacing w:line="276" w:lineRule="auto"/>
              <w:jc w:val="both"/>
              <w:rPr>
                <w:rFonts w:ascii="Verdana" w:hAnsi="Verdana"/>
              </w:rPr>
            </w:pPr>
            <w:r w:rsidRPr="00984360">
              <w:rPr>
                <w:rFonts w:ascii="Verdana" w:hAnsi="Verdana"/>
              </w:rPr>
              <w:t xml:space="preserve">Consejo de Estado. Sala de lo Contencioso Administrativo. Sección Tercera. Subsección A. Sentencia del del 24 de febrero de 2016. </w:t>
            </w:r>
            <w:proofErr w:type="spellStart"/>
            <w:r w:rsidRPr="00984360">
              <w:rPr>
                <w:rFonts w:ascii="Verdana" w:hAnsi="Verdana"/>
              </w:rPr>
              <w:t>Exp</w:t>
            </w:r>
            <w:proofErr w:type="spellEnd"/>
            <w:r w:rsidRPr="00984360">
              <w:rPr>
                <w:rFonts w:ascii="Verdana" w:hAnsi="Verdana"/>
              </w:rPr>
              <w:t>. 46.185. C.P. Marta Nubia Velásquez Rico.</w:t>
            </w:r>
          </w:p>
          <w:p w14:paraId="426167CD" w14:textId="77777777" w:rsidR="00CF6A48" w:rsidRPr="00D54BE1" w:rsidRDefault="00CF6A48" w:rsidP="001460E1">
            <w:pPr>
              <w:pStyle w:val="Prrafodelista"/>
              <w:numPr>
                <w:ilvl w:val="0"/>
                <w:numId w:val="17"/>
              </w:numPr>
              <w:spacing w:line="276" w:lineRule="auto"/>
              <w:jc w:val="both"/>
              <w:rPr>
                <w:rFonts w:ascii="Verdana" w:hAnsi="Verdana"/>
              </w:rPr>
            </w:pPr>
            <w:r w:rsidRPr="00D54BE1">
              <w:rPr>
                <w:rFonts w:ascii="Verdana" w:hAnsi="Verdana"/>
              </w:rPr>
              <w:t xml:space="preserve">Consejo de Estado. </w:t>
            </w:r>
            <w:r>
              <w:rPr>
                <w:rFonts w:ascii="Verdana" w:hAnsi="Verdana"/>
              </w:rPr>
              <w:t xml:space="preserve">Sala de lo Contencioso Administrativo. </w:t>
            </w:r>
            <w:r w:rsidRPr="00D54BE1">
              <w:rPr>
                <w:rFonts w:ascii="Verdana" w:hAnsi="Verdana"/>
              </w:rPr>
              <w:t xml:space="preserve">Sección </w:t>
            </w:r>
            <w:r>
              <w:rPr>
                <w:rFonts w:ascii="Verdana" w:hAnsi="Verdana"/>
              </w:rPr>
              <w:t>T</w:t>
            </w:r>
            <w:r w:rsidRPr="00D54BE1">
              <w:rPr>
                <w:rFonts w:ascii="Verdana" w:hAnsi="Verdana"/>
              </w:rPr>
              <w:t xml:space="preserve">ercera. </w:t>
            </w:r>
            <w:r>
              <w:rPr>
                <w:rFonts w:ascii="Verdana" w:hAnsi="Verdana"/>
              </w:rPr>
              <w:t xml:space="preserve">Subsección B. </w:t>
            </w:r>
            <w:r w:rsidRPr="00D54BE1">
              <w:rPr>
                <w:rFonts w:ascii="Verdana" w:hAnsi="Verdana"/>
              </w:rPr>
              <w:t xml:space="preserve">Sentencia del 10 de mayo de 2018. </w:t>
            </w:r>
            <w:proofErr w:type="spellStart"/>
            <w:r w:rsidRPr="00D54BE1">
              <w:rPr>
                <w:rFonts w:ascii="Verdana" w:hAnsi="Verdana"/>
              </w:rPr>
              <w:t>Exp</w:t>
            </w:r>
            <w:proofErr w:type="spellEnd"/>
            <w:r w:rsidRPr="00D54BE1">
              <w:rPr>
                <w:rFonts w:ascii="Verdana" w:hAnsi="Verdana"/>
              </w:rPr>
              <w:t>. 41.186. C.P. Stella Conto Díaz del Castillo.</w:t>
            </w:r>
          </w:p>
          <w:p w14:paraId="2DD7EB08" w14:textId="77777777" w:rsidR="00CF6A48" w:rsidRPr="00AB4596" w:rsidRDefault="00CF6A48" w:rsidP="001460E1">
            <w:pPr>
              <w:widowControl w:val="0"/>
              <w:numPr>
                <w:ilvl w:val="0"/>
                <w:numId w:val="17"/>
              </w:numPr>
              <w:autoSpaceDE w:val="0"/>
              <w:autoSpaceDN w:val="0"/>
              <w:spacing w:line="276" w:lineRule="auto"/>
              <w:jc w:val="both"/>
              <w:rPr>
                <w:rFonts w:ascii="Verdana" w:hAnsi="Verdana" w:cs="Arial"/>
              </w:rPr>
            </w:pPr>
            <w:r w:rsidRPr="00D54BE1">
              <w:rPr>
                <w:rFonts w:ascii="Verdana" w:hAnsi="Verdana"/>
              </w:rPr>
              <w:t>EXPÓSITO VÉLEZ, Juan Carlos. Forma y contenido del contrato estatal. Bogotá: Universidad Externado de Colombia, 2013. pp. 28-29</w:t>
            </w:r>
          </w:p>
          <w:p w14:paraId="4F60574A" w14:textId="77777777" w:rsidR="00CF6A48" w:rsidRPr="00AB4596" w:rsidRDefault="00CF6A48" w:rsidP="001460E1">
            <w:pPr>
              <w:widowControl w:val="0"/>
              <w:numPr>
                <w:ilvl w:val="0"/>
                <w:numId w:val="17"/>
              </w:numPr>
              <w:autoSpaceDE w:val="0"/>
              <w:autoSpaceDN w:val="0"/>
              <w:spacing w:line="276" w:lineRule="auto"/>
              <w:jc w:val="both"/>
              <w:rPr>
                <w:rFonts w:ascii="Verdana" w:hAnsi="Verdana" w:cs="Arial"/>
              </w:rPr>
            </w:pPr>
            <w:r w:rsidRPr="00AB4596">
              <w:rPr>
                <w:rFonts w:ascii="Verdana" w:hAnsi="Verdana" w:cs="Arial"/>
              </w:rPr>
              <w:t>Ley 996 de 2005, artículos 9, 33 y 38.</w:t>
            </w:r>
          </w:p>
          <w:p w14:paraId="3E01935D" w14:textId="77777777" w:rsidR="00CF6A48" w:rsidRPr="00AB4596" w:rsidRDefault="00CF6A48" w:rsidP="001460E1">
            <w:pPr>
              <w:widowControl w:val="0"/>
              <w:numPr>
                <w:ilvl w:val="0"/>
                <w:numId w:val="17"/>
              </w:numPr>
              <w:autoSpaceDE w:val="0"/>
              <w:autoSpaceDN w:val="0"/>
              <w:spacing w:line="276" w:lineRule="auto"/>
              <w:jc w:val="both"/>
              <w:rPr>
                <w:rFonts w:ascii="Verdana" w:hAnsi="Verdana" w:cs="Arial"/>
              </w:rPr>
            </w:pPr>
            <w:r w:rsidRPr="00AB4596">
              <w:rPr>
                <w:rFonts w:ascii="Verdana" w:hAnsi="Verdana" w:cs="Arial"/>
              </w:rPr>
              <w:t>Ley 1150 de 2007, artículo 2.</w:t>
            </w:r>
          </w:p>
        </w:tc>
      </w:tr>
    </w:tbl>
    <w:p w14:paraId="754806F9" w14:textId="77777777" w:rsidR="00CF6A48" w:rsidRDefault="00CF6A48" w:rsidP="00CF6A4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74072E5" w14:textId="77777777" w:rsidR="00CF6A48" w:rsidRDefault="00CF6A48" w:rsidP="00CF6A48">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E849F86" w14:textId="77777777" w:rsidR="00CF6A48" w:rsidRPr="00593A5F" w:rsidRDefault="00CF6A48" w:rsidP="00CF6A4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0E89379" w14:textId="77777777" w:rsidR="00CF6A48" w:rsidRPr="00ED0098" w:rsidRDefault="00CF6A48" w:rsidP="00CF6A48">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 xml:space="preserve">onceptos C-227 del 24 de mayo de 2021, C-396 del 13 de agosto de 2021, C-439 del 27 de agosto de 2021, C-481 del 9 de </w:t>
      </w:r>
      <w:r w:rsidRPr="00BC7FC8">
        <w:rPr>
          <w:rFonts w:ascii="Verdana" w:hAnsi="Verdana" w:cs="Arial"/>
          <w:shd w:val="clear" w:color="auto" w:fill="FFFFFF"/>
        </w:rPr>
        <w:lastRenderedPageBreak/>
        <w:t>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56E60D9" w14:textId="77777777" w:rsidR="00CF6A48" w:rsidRPr="00103B90" w:rsidRDefault="00CF6A48" w:rsidP="00CF6A48">
      <w:pPr>
        <w:widowControl w:val="0"/>
        <w:autoSpaceDE w:val="0"/>
        <w:autoSpaceDN w:val="0"/>
        <w:spacing w:after="0" w:line="276" w:lineRule="auto"/>
        <w:jc w:val="both"/>
        <w:rPr>
          <w:rFonts w:ascii="Verdana" w:hAnsi="Verdana"/>
        </w:rPr>
      </w:pPr>
    </w:p>
    <w:p w14:paraId="56864125" w14:textId="77777777" w:rsidR="00CF6A48" w:rsidRPr="00505CD6" w:rsidRDefault="00CF6A48" w:rsidP="00CF6A48">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77DF9E3" w14:textId="77777777" w:rsidR="00CF6A48" w:rsidRPr="00505CD6" w:rsidRDefault="00CF6A48" w:rsidP="00CF6A48">
      <w:pPr>
        <w:widowControl w:val="0"/>
        <w:autoSpaceDE w:val="0"/>
        <w:autoSpaceDN w:val="0"/>
        <w:spacing w:after="0" w:line="276" w:lineRule="auto"/>
        <w:jc w:val="both"/>
        <w:rPr>
          <w:rFonts w:ascii="Verdana" w:hAnsi="Verdana" w:cs="Arial"/>
        </w:rPr>
      </w:pPr>
    </w:p>
    <w:p w14:paraId="36E86450" w14:textId="77777777" w:rsidR="00CF6A48" w:rsidRPr="00D93A19" w:rsidRDefault="00CF6A48" w:rsidP="00CF6A48">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C5D2BCE" w14:textId="34D6C029" w:rsidR="00CF6A48" w:rsidRDefault="00B65AAF" w:rsidP="00CF6A48">
      <w:pPr>
        <w:spacing w:after="0" w:line="276" w:lineRule="auto"/>
        <w:jc w:val="center"/>
        <w:rPr>
          <w:rFonts w:ascii="Verdana" w:hAnsi="Verdana"/>
          <w:lang w:val="es-ES_tradnl"/>
        </w:rPr>
      </w:pPr>
      <w:r>
        <w:rPr>
          <w:rFonts w:ascii="Verdana" w:hAnsi="Verdana"/>
          <w:noProof/>
          <w:lang w:val="es-ES_tradnl"/>
        </w:rPr>
        <w:drawing>
          <wp:inline distT="0" distB="0" distL="0" distR="0" wp14:anchorId="2D96A629" wp14:editId="62BEDFBD">
            <wp:extent cx="3639058" cy="1343212"/>
            <wp:effectExtent l="0" t="0" r="0" b="0"/>
            <wp:docPr id="140147231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72315"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6A48" w:rsidRPr="00D53651" w14:paraId="7C943E95" w14:textId="77777777" w:rsidTr="001460E1">
        <w:trPr>
          <w:trHeight w:val="315"/>
        </w:trPr>
        <w:tc>
          <w:tcPr>
            <w:tcW w:w="893" w:type="dxa"/>
            <w:vAlign w:val="center"/>
            <w:hideMark/>
          </w:tcPr>
          <w:p w14:paraId="6D663009" w14:textId="77777777" w:rsidR="00CF6A48" w:rsidRPr="00D53651" w:rsidRDefault="00CF6A48" w:rsidP="001460E1">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044DBDF0" w14:textId="77777777" w:rsidR="00CF6A48" w:rsidRPr="00D53651" w:rsidRDefault="00CF6A48" w:rsidP="001460E1">
            <w:pPr>
              <w:spacing w:line="276" w:lineRule="auto"/>
              <w:jc w:val="both"/>
              <w:rPr>
                <w:rFonts w:ascii="Verdana" w:hAnsi="Verdana"/>
                <w:sz w:val="16"/>
                <w:szCs w:val="16"/>
              </w:rPr>
            </w:pPr>
            <w:r>
              <w:rPr>
                <w:rFonts w:ascii="Verdana" w:hAnsi="Verdana"/>
                <w:sz w:val="16"/>
                <w:szCs w:val="16"/>
              </w:rPr>
              <w:t>Gloria Elizabeth Arango Builes</w:t>
            </w:r>
          </w:p>
          <w:p w14:paraId="357C4C9F" w14:textId="77777777" w:rsidR="00CF6A48" w:rsidRPr="00D53651" w:rsidRDefault="00CF6A48" w:rsidP="001460E1">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CF6A48" w:rsidRPr="00D53651" w14:paraId="0F2C1A13" w14:textId="77777777" w:rsidTr="001460E1">
        <w:trPr>
          <w:trHeight w:val="330"/>
        </w:trPr>
        <w:tc>
          <w:tcPr>
            <w:tcW w:w="893" w:type="dxa"/>
            <w:vAlign w:val="center"/>
            <w:hideMark/>
          </w:tcPr>
          <w:p w14:paraId="5E31DDA0" w14:textId="77777777" w:rsidR="00CF6A48" w:rsidRPr="00D53651" w:rsidRDefault="00CF6A48" w:rsidP="001460E1">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A103AF0" w14:textId="77777777" w:rsidR="00CF6A48" w:rsidRPr="00D53651" w:rsidRDefault="00CF6A48" w:rsidP="001460E1">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r>
              <w:rPr>
                <w:rFonts w:ascii="Verdana" w:hAnsi="Verdana"/>
                <w:sz w:val="16"/>
                <w:szCs w:val="16"/>
              </w:rPr>
              <w:t>Castañeda</w:t>
            </w:r>
            <w:r w:rsidRPr="00D53651">
              <w:rPr>
                <w:rFonts w:ascii="Verdana" w:hAnsi="Verdana"/>
                <w:sz w:val="16"/>
                <w:szCs w:val="16"/>
              </w:rPr>
              <w:t xml:space="preserve"> </w:t>
            </w:r>
          </w:p>
          <w:p w14:paraId="1BB1CDAD" w14:textId="77777777" w:rsidR="00CF6A48" w:rsidRPr="00D53651" w:rsidRDefault="00CF6A48" w:rsidP="001460E1">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CF6A48" w:rsidRPr="00D53651" w14:paraId="1FADCA27" w14:textId="77777777" w:rsidTr="001460E1">
        <w:trPr>
          <w:trHeight w:val="300"/>
        </w:trPr>
        <w:tc>
          <w:tcPr>
            <w:tcW w:w="893" w:type="dxa"/>
            <w:vAlign w:val="center"/>
            <w:hideMark/>
          </w:tcPr>
          <w:p w14:paraId="29F11588" w14:textId="77777777" w:rsidR="00CF6A48" w:rsidRPr="00D53651" w:rsidRDefault="00CF6A48" w:rsidP="001460E1">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20D3D8F3" w14:textId="77777777" w:rsidR="00CF6A48" w:rsidRPr="00D53651" w:rsidRDefault="00CF6A48" w:rsidP="001460E1">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A36B43F" w14:textId="77777777" w:rsidR="00CF6A48" w:rsidRPr="00D53651" w:rsidRDefault="00CF6A48" w:rsidP="001460E1">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6930F7FB" w14:textId="77777777" w:rsidR="00CF6A48" w:rsidRPr="000931E9" w:rsidRDefault="00CF6A48" w:rsidP="00CF6A48"/>
    <w:p w14:paraId="16A652C5" w14:textId="77777777" w:rsidR="00CF6A48" w:rsidRPr="0044528D" w:rsidRDefault="00CF6A48" w:rsidP="00CF6A48">
      <w:pPr>
        <w:spacing w:after="0"/>
        <w:rPr>
          <w:rFonts w:ascii="Verdana" w:hAnsi="Verdana"/>
        </w:rPr>
      </w:pPr>
    </w:p>
    <w:p w14:paraId="05C20957" w14:textId="77777777" w:rsidR="00CF6A48" w:rsidRPr="00FA01E0" w:rsidRDefault="00CF6A48" w:rsidP="00CF6A48">
      <w:pPr>
        <w:spacing w:after="0" w:line="276" w:lineRule="auto"/>
        <w:jc w:val="both"/>
        <w:rPr>
          <w:rFonts w:ascii="Verdana" w:eastAsia="Calibri" w:hAnsi="Verdana" w:cs="Arial"/>
          <w:lang w:val="es-ES"/>
        </w:rPr>
      </w:pPr>
    </w:p>
    <w:p w14:paraId="7FED03CD" w14:textId="77777777" w:rsidR="00CF6A48" w:rsidRPr="00514983" w:rsidRDefault="00CF6A48" w:rsidP="00CF6A48"/>
    <w:p w14:paraId="42B7CE54" w14:textId="77777777" w:rsidR="00CF6A48" w:rsidRPr="00FF4E35" w:rsidRDefault="00CF6A48" w:rsidP="00CF6A48"/>
    <w:sectPr w:rsidR="00CF6A48" w:rsidRPr="00FF4E35"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81F82" w14:textId="77777777" w:rsidR="00D16BF6" w:rsidRDefault="00D16BF6" w:rsidP="004A1847">
      <w:pPr>
        <w:spacing w:after="0" w:line="240" w:lineRule="auto"/>
      </w:pPr>
      <w:r>
        <w:separator/>
      </w:r>
    </w:p>
  </w:endnote>
  <w:endnote w:type="continuationSeparator" w:id="0">
    <w:p w14:paraId="408E672D" w14:textId="77777777" w:rsidR="00D16BF6" w:rsidRDefault="00D16BF6" w:rsidP="004A1847">
      <w:pPr>
        <w:spacing w:after="0" w:line="240" w:lineRule="auto"/>
      </w:pPr>
      <w:r>
        <w:continuationSeparator/>
      </w:r>
    </w:p>
  </w:endnote>
  <w:endnote w:type="continuationNotice" w:id="1">
    <w:p w14:paraId="06CF80C4" w14:textId="77777777" w:rsidR="00D16BF6" w:rsidRDefault="00D16B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87E7D" w14:textId="77777777" w:rsidR="00D16BF6" w:rsidRDefault="00D16BF6" w:rsidP="004A1847">
      <w:pPr>
        <w:spacing w:after="0" w:line="240" w:lineRule="auto"/>
      </w:pPr>
      <w:r>
        <w:separator/>
      </w:r>
    </w:p>
  </w:footnote>
  <w:footnote w:type="continuationSeparator" w:id="0">
    <w:p w14:paraId="65E34B35" w14:textId="77777777" w:rsidR="00D16BF6" w:rsidRDefault="00D16BF6" w:rsidP="004A1847">
      <w:pPr>
        <w:spacing w:after="0" w:line="240" w:lineRule="auto"/>
      </w:pPr>
      <w:r>
        <w:continuationSeparator/>
      </w:r>
    </w:p>
  </w:footnote>
  <w:footnote w:type="continuationNotice" w:id="1">
    <w:p w14:paraId="4B8C4145" w14:textId="77777777" w:rsidR="00D16BF6" w:rsidRDefault="00D16BF6">
      <w:pPr>
        <w:spacing w:after="0" w:line="240" w:lineRule="auto"/>
      </w:pPr>
    </w:p>
  </w:footnote>
  <w:footnote w:id="2">
    <w:p w14:paraId="1D10A193" w14:textId="77777777" w:rsidR="00CF6A48" w:rsidRDefault="00CF6A48" w:rsidP="00CF6A48">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este enunciado normativo establece: </w:t>
      </w:r>
      <w:r>
        <w:rPr>
          <w:rFonts w:ascii="Verdana" w:hAnsi="Verdana" w:cs="Arial"/>
          <w:sz w:val="14"/>
          <w:szCs w:val="14"/>
          <w:lang w:val="es-ES"/>
        </w:rPr>
        <w:t>“</w:t>
      </w:r>
      <w:r w:rsidRPr="00B41137">
        <w:rPr>
          <w:rFonts w:ascii="Verdana" w:hAnsi="Verdana" w:cs="Arial"/>
          <w:sz w:val="14"/>
          <w:szCs w:val="14"/>
          <w:lang w:val="es-ES"/>
        </w:rPr>
        <w:t>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4"/>
          <w:szCs w:val="14"/>
          <w:lang w:val="es-ES"/>
        </w:rPr>
        <w:t>”</w:t>
      </w:r>
      <w:r w:rsidRPr="00B41137">
        <w:rPr>
          <w:rFonts w:ascii="Verdana" w:hAnsi="Verdana" w:cs="Arial"/>
          <w:sz w:val="14"/>
          <w:szCs w:val="14"/>
          <w:lang w:val="es-ES"/>
        </w:rPr>
        <w:t>.</w:t>
      </w:r>
    </w:p>
    <w:p w14:paraId="22134717" w14:textId="77777777" w:rsidR="00CF6A48" w:rsidRPr="00B41137" w:rsidRDefault="00CF6A48" w:rsidP="00CF6A48">
      <w:pPr>
        <w:spacing w:after="0" w:line="240" w:lineRule="auto"/>
        <w:ind w:firstLine="709"/>
        <w:jc w:val="both"/>
        <w:rPr>
          <w:rFonts w:ascii="Verdana" w:hAnsi="Verdana" w:cs="Arial"/>
          <w:sz w:val="14"/>
          <w:szCs w:val="14"/>
          <w:lang w:val="es-ES"/>
        </w:rPr>
      </w:pPr>
    </w:p>
  </w:footnote>
  <w:footnote w:id="3">
    <w:p w14:paraId="589B0A28" w14:textId="77777777" w:rsidR="00CF6A48" w:rsidRDefault="00CF6A48" w:rsidP="00CF6A48">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el artículo 1.500 del Código Civil expresa: </w:t>
      </w:r>
      <w:r>
        <w:rPr>
          <w:rFonts w:ascii="Verdana" w:hAnsi="Verdana" w:cs="Arial"/>
          <w:sz w:val="14"/>
          <w:szCs w:val="14"/>
          <w:lang w:val="es-ES"/>
        </w:rPr>
        <w:t>“</w:t>
      </w:r>
      <w:r w:rsidRPr="00B41137">
        <w:rPr>
          <w:rFonts w:ascii="Verdana" w:hAnsi="Verdana" w:cs="Arial"/>
          <w:sz w:val="14"/>
          <w:szCs w:val="14"/>
          <w:lang w:val="es-ES"/>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r>
        <w:rPr>
          <w:rFonts w:ascii="Verdana" w:hAnsi="Verdana" w:cs="Arial"/>
          <w:sz w:val="14"/>
          <w:szCs w:val="14"/>
          <w:lang w:val="es-ES"/>
        </w:rPr>
        <w:t>”</w:t>
      </w:r>
      <w:r w:rsidRPr="00B41137">
        <w:rPr>
          <w:rFonts w:ascii="Verdana" w:hAnsi="Verdana" w:cs="Arial"/>
          <w:sz w:val="14"/>
          <w:szCs w:val="14"/>
          <w:lang w:val="es-ES"/>
        </w:rPr>
        <w:t>.</w:t>
      </w:r>
    </w:p>
    <w:p w14:paraId="4EE18157" w14:textId="77777777" w:rsidR="00CF6A48" w:rsidRPr="00B41137" w:rsidRDefault="00CF6A48" w:rsidP="00CF6A48">
      <w:pPr>
        <w:spacing w:after="0" w:line="240" w:lineRule="auto"/>
        <w:ind w:firstLine="709"/>
        <w:jc w:val="both"/>
        <w:rPr>
          <w:rFonts w:ascii="Verdana" w:hAnsi="Verdana" w:cs="Arial"/>
          <w:sz w:val="14"/>
          <w:szCs w:val="14"/>
          <w:lang w:val="es-ES"/>
        </w:rPr>
      </w:pPr>
    </w:p>
  </w:footnote>
  <w:footnote w:id="4">
    <w:p w14:paraId="3C2BB428" w14:textId="77777777" w:rsidR="00CF6A48" w:rsidRPr="003223C5" w:rsidRDefault="00CF6A48" w:rsidP="00CF6A48">
      <w:pPr>
        <w:spacing w:after="0" w:line="240" w:lineRule="auto"/>
        <w:ind w:firstLine="709"/>
        <w:jc w:val="both"/>
        <w:rPr>
          <w:rFonts w:ascii="Verdana" w:eastAsia="Calibri" w:hAnsi="Verdana" w:cs="Arial"/>
          <w:sz w:val="14"/>
          <w:szCs w:val="14"/>
          <w:lang w:val="es-ES"/>
        </w:rPr>
      </w:pPr>
      <w:r w:rsidRPr="003223C5">
        <w:rPr>
          <w:rStyle w:val="Refdenotaalpie"/>
          <w:rFonts w:ascii="Verdana" w:hAnsi="Verdana"/>
          <w:sz w:val="14"/>
          <w:szCs w:val="14"/>
        </w:rPr>
        <w:footnoteRef/>
      </w:r>
      <w:r w:rsidRPr="003223C5">
        <w:rPr>
          <w:rFonts w:ascii="Verdana" w:hAnsi="Verdana"/>
          <w:sz w:val="14"/>
          <w:szCs w:val="14"/>
        </w:rPr>
        <w:t xml:space="preserve"> </w:t>
      </w:r>
      <w:r w:rsidRPr="003223C5">
        <w:rPr>
          <w:rFonts w:ascii="Verdana" w:eastAsia="Calibri" w:hAnsi="Verdana" w:cs="Arial"/>
          <w:sz w:val="14"/>
          <w:szCs w:val="14"/>
          <w:lang w:val="es-ES"/>
        </w:rPr>
        <w:t>La excepción a la anterior regla se encuentra en el cuarto inciso del mismo artículo, según el cual, “</w:t>
      </w:r>
      <w:r w:rsidRPr="003223C5">
        <w:rPr>
          <w:rFonts w:ascii="Verdana" w:eastAsia="Calibri" w:hAnsi="Verdana" w:cs="Arial"/>
          <w:i/>
          <w:iCs/>
          <w:sz w:val="14"/>
          <w:szCs w:val="14"/>
          <w:lang w:val="es-ES"/>
        </w:rPr>
        <w:t>En caso de situaciones de urgencia manifiesta a que se refiere el artículo </w:t>
      </w:r>
      <w:hyperlink r:id="rId1" w:anchor="42" w:history="1">
        <w:r w:rsidRPr="003223C5">
          <w:rPr>
            <w:rStyle w:val="Hipervnculo"/>
            <w:rFonts w:ascii="Verdana" w:eastAsia="Calibri" w:hAnsi="Verdana" w:cs="Arial"/>
            <w:i/>
            <w:iCs/>
            <w:color w:val="auto"/>
            <w:sz w:val="14"/>
            <w:szCs w:val="14"/>
            <w:u w:val="none"/>
            <w:lang w:val="es-ES"/>
          </w:rPr>
          <w:t>42</w:t>
        </w:r>
      </w:hyperlink>
      <w:r w:rsidRPr="003223C5">
        <w:rPr>
          <w:rFonts w:ascii="Verdana" w:eastAsia="Calibri" w:hAnsi="Verdana" w:cs="Arial"/>
          <w:i/>
          <w:iCs/>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3223C5">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73AB3C4B" w14:textId="77777777" w:rsidR="00CF6A48" w:rsidRPr="003223C5" w:rsidRDefault="00CF6A48" w:rsidP="00CF6A48">
      <w:pPr>
        <w:pStyle w:val="Textonotapie"/>
        <w:rPr>
          <w:rFonts w:ascii="Verdana" w:hAnsi="Verdana"/>
          <w:sz w:val="14"/>
          <w:szCs w:val="14"/>
          <w:lang w:val="es-ES"/>
        </w:rPr>
      </w:pPr>
    </w:p>
  </w:footnote>
  <w:footnote w:id="5">
    <w:p w14:paraId="0B34FA51" w14:textId="77777777" w:rsidR="00CF6A48" w:rsidRDefault="00CF6A48" w:rsidP="00CF6A48">
      <w:pPr>
        <w:pStyle w:val="Textonotapie"/>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EXPÓSITO VÉLEZ, Juan Carlos. Forma y contenido del contrato estatal. Bogotá: Universidad Externado de Colombia, 2013. pp. 28-29.</w:t>
      </w:r>
    </w:p>
    <w:p w14:paraId="0A73ACA7" w14:textId="77777777" w:rsidR="00CF6A48" w:rsidRPr="00B41137" w:rsidRDefault="00CF6A48" w:rsidP="00CF6A48">
      <w:pPr>
        <w:pStyle w:val="Textonotapie"/>
        <w:ind w:firstLine="709"/>
        <w:jc w:val="both"/>
        <w:rPr>
          <w:rFonts w:ascii="Verdana" w:hAnsi="Verdana" w:cs="Arial"/>
          <w:sz w:val="14"/>
          <w:szCs w:val="14"/>
          <w:lang w:val="es-ES"/>
        </w:rPr>
      </w:pPr>
    </w:p>
  </w:footnote>
  <w:footnote w:id="6">
    <w:p w14:paraId="12B33120" w14:textId="77777777" w:rsidR="00CF6A48" w:rsidRDefault="00CF6A48" w:rsidP="00CF6A48">
      <w:pPr>
        <w:pStyle w:val="Textonotapie"/>
        <w:ind w:firstLine="709"/>
        <w:jc w:val="both"/>
        <w:rPr>
          <w:rFonts w:ascii="Verdana" w:hAnsi="Verdana" w:cs="Arial"/>
          <w:color w:val="000000" w:themeColor="text1"/>
          <w:sz w:val="14"/>
          <w:szCs w:val="14"/>
        </w:rPr>
      </w:pPr>
      <w:r w:rsidRPr="00B41137">
        <w:rPr>
          <w:rStyle w:val="Refdenotaalpie"/>
          <w:rFonts w:ascii="Verdana" w:hAnsi="Verdana" w:cs="Arial"/>
          <w:sz w:val="14"/>
          <w:szCs w:val="14"/>
        </w:rPr>
        <w:footnoteRef/>
      </w:r>
      <w:r w:rsidRPr="00B41137">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B41137">
        <w:rPr>
          <w:rFonts w:ascii="Verdana" w:hAnsi="Verdana" w:cs="Arial"/>
          <w:color w:val="000000" w:themeColor="text1"/>
          <w:sz w:val="14"/>
          <w:szCs w:val="14"/>
        </w:rPr>
        <w:t xml:space="preserve">Sección </w:t>
      </w:r>
      <w:r>
        <w:rPr>
          <w:rFonts w:ascii="Verdana" w:hAnsi="Verdana" w:cs="Arial"/>
          <w:color w:val="000000" w:themeColor="text1"/>
          <w:sz w:val="14"/>
          <w:szCs w:val="14"/>
        </w:rPr>
        <w:t>T</w:t>
      </w:r>
      <w:r w:rsidRPr="00B41137">
        <w:rPr>
          <w:rFonts w:ascii="Verdana" w:hAnsi="Verdana" w:cs="Arial"/>
          <w:color w:val="000000" w:themeColor="text1"/>
          <w:sz w:val="14"/>
          <w:szCs w:val="14"/>
        </w:rPr>
        <w:t>ercera.</w:t>
      </w:r>
      <w:r>
        <w:rPr>
          <w:rFonts w:ascii="Verdana" w:hAnsi="Verdana" w:cs="Arial"/>
          <w:color w:val="000000" w:themeColor="text1"/>
          <w:sz w:val="14"/>
          <w:szCs w:val="14"/>
        </w:rPr>
        <w:t xml:space="preserve"> Subsección B.</w:t>
      </w:r>
      <w:r w:rsidRPr="00B41137">
        <w:rPr>
          <w:rFonts w:ascii="Verdana" w:hAnsi="Verdana" w:cs="Arial"/>
          <w:color w:val="000000" w:themeColor="text1"/>
          <w:sz w:val="14"/>
          <w:szCs w:val="14"/>
        </w:rPr>
        <w:t xml:space="preserve"> Sentencia del 10 de mayo de 2018. </w:t>
      </w:r>
      <w:r w:rsidRPr="00B41137">
        <w:rPr>
          <w:rFonts w:ascii="Verdana" w:hAnsi="Verdana" w:cs="Arial"/>
          <w:color w:val="000000" w:themeColor="text1"/>
          <w:sz w:val="14"/>
          <w:szCs w:val="14"/>
        </w:rPr>
        <w:t>Exp. 41.186. C.P. Stella Conto Díaz del Castillo.</w:t>
      </w:r>
    </w:p>
    <w:p w14:paraId="7F7063C6" w14:textId="77777777" w:rsidR="00CF6A48" w:rsidRPr="00B41137" w:rsidRDefault="00CF6A48" w:rsidP="00CF6A48">
      <w:pPr>
        <w:pStyle w:val="Textonotapie"/>
        <w:ind w:firstLine="709"/>
        <w:jc w:val="both"/>
        <w:rPr>
          <w:rFonts w:ascii="Verdana" w:hAnsi="Verdana" w:cs="Arial"/>
          <w:color w:val="000000" w:themeColor="text1"/>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407803937">
    <w:abstractNumId w:val="0"/>
  </w:num>
  <w:num w:numId="17" w16cid:durableId="1219436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690"/>
    <w:rsid w:val="00044593"/>
    <w:rsid w:val="00046945"/>
    <w:rsid w:val="00061B2A"/>
    <w:rsid w:val="00082362"/>
    <w:rsid w:val="000A683E"/>
    <w:rsid w:val="000B19B9"/>
    <w:rsid w:val="000D0334"/>
    <w:rsid w:val="000D5DA7"/>
    <w:rsid w:val="000F6486"/>
    <w:rsid w:val="00116940"/>
    <w:rsid w:val="00125105"/>
    <w:rsid w:val="00127233"/>
    <w:rsid w:val="0015699B"/>
    <w:rsid w:val="00165C78"/>
    <w:rsid w:val="001A33BF"/>
    <w:rsid w:val="001E4177"/>
    <w:rsid w:val="001F0B24"/>
    <w:rsid w:val="001F7DC6"/>
    <w:rsid w:val="0022400B"/>
    <w:rsid w:val="002421BB"/>
    <w:rsid w:val="00247C61"/>
    <w:rsid w:val="0025796E"/>
    <w:rsid w:val="002707A2"/>
    <w:rsid w:val="002951A0"/>
    <w:rsid w:val="002962BC"/>
    <w:rsid w:val="002A093D"/>
    <w:rsid w:val="002A0DD0"/>
    <w:rsid w:val="002A49AC"/>
    <w:rsid w:val="002A64FD"/>
    <w:rsid w:val="002B6364"/>
    <w:rsid w:val="002C1DA9"/>
    <w:rsid w:val="002C7A84"/>
    <w:rsid w:val="002E2BF8"/>
    <w:rsid w:val="002E4FD9"/>
    <w:rsid w:val="0030657A"/>
    <w:rsid w:val="00322A85"/>
    <w:rsid w:val="00324168"/>
    <w:rsid w:val="00330834"/>
    <w:rsid w:val="00330E92"/>
    <w:rsid w:val="003448F4"/>
    <w:rsid w:val="00374F5E"/>
    <w:rsid w:val="00377E3E"/>
    <w:rsid w:val="003A779E"/>
    <w:rsid w:val="003B0CB9"/>
    <w:rsid w:val="003D0F4D"/>
    <w:rsid w:val="003D5B0D"/>
    <w:rsid w:val="003E0499"/>
    <w:rsid w:val="003E4F80"/>
    <w:rsid w:val="003E6439"/>
    <w:rsid w:val="003F3941"/>
    <w:rsid w:val="00406575"/>
    <w:rsid w:val="00414C74"/>
    <w:rsid w:val="0042722E"/>
    <w:rsid w:val="0044528D"/>
    <w:rsid w:val="00466E39"/>
    <w:rsid w:val="004A1847"/>
    <w:rsid w:val="004A305D"/>
    <w:rsid w:val="004C10B3"/>
    <w:rsid w:val="004F21C4"/>
    <w:rsid w:val="004F318A"/>
    <w:rsid w:val="004F685F"/>
    <w:rsid w:val="005552DC"/>
    <w:rsid w:val="005566E8"/>
    <w:rsid w:val="00574867"/>
    <w:rsid w:val="00591460"/>
    <w:rsid w:val="005A65E0"/>
    <w:rsid w:val="005C3777"/>
    <w:rsid w:val="005C5CDC"/>
    <w:rsid w:val="005D2E27"/>
    <w:rsid w:val="005D476C"/>
    <w:rsid w:val="006200BF"/>
    <w:rsid w:val="006219F8"/>
    <w:rsid w:val="006302F7"/>
    <w:rsid w:val="00646B9F"/>
    <w:rsid w:val="00665D70"/>
    <w:rsid w:val="006900D9"/>
    <w:rsid w:val="00706C16"/>
    <w:rsid w:val="00727A43"/>
    <w:rsid w:val="007340C3"/>
    <w:rsid w:val="00747C1C"/>
    <w:rsid w:val="007520FE"/>
    <w:rsid w:val="0075235A"/>
    <w:rsid w:val="00756841"/>
    <w:rsid w:val="007649AB"/>
    <w:rsid w:val="00771D0C"/>
    <w:rsid w:val="007833AC"/>
    <w:rsid w:val="007B268C"/>
    <w:rsid w:val="007B7171"/>
    <w:rsid w:val="007C0C0F"/>
    <w:rsid w:val="007C3DC2"/>
    <w:rsid w:val="007D03D8"/>
    <w:rsid w:val="007E5497"/>
    <w:rsid w:val="00806F5F"/>
    <w:rsid w:val="00820278"/>
    <w:rsid w:val="008258C9"/>
    <w:rsid w:val="00844AE9"/>
    <w:rsid w:val="00867F95"/>
    <w:rsid w:val="008843B6"/>
    <w:rsid w:val="00891928"/>
    <w:rsid w:val="008A446D"/>
    <w:rsid w:val="008B25F1"/>
    <w:rsid w:val="008D180B"/>
    <w:rsid w:val="008F0EA7"/>
    <w:rsid w:val="00915ABA"/>
    <w:rsid w:val="00923EEF"/>
    <w:rsid w:val="00924509"/>
    <w:rsid w:val="00935FA9"/>
    <w:rsid w:val="009419F9"/>
    <w:rsid w:val="0095685E"/>
    <w:rsid w:val="00961B09"/>
    <w:rsid w:val="00965334"/>
    <w:rsid w:val="0097082A"/>
    <w:rsid w:val="0097093E"/>
    <w:rsid w:val="00990919"/>
    <w:rsid w:val="00994F89"/>
    <w:rsid w:val="009A0DFA"/>
    <w:rsid w:val="009A1C6F"/>
    <w:rsid w:val="009B2D26"/>
    <w:rsid w:val="009C6E7D"/>
    <w:rsid w:val="009C71FA"/>
    <w:rsid w:val="009C72E7"/>
    <w:rsid w:val="009C7F7E"/>
    <w:rsid w:val="009D3058"/>
    <w:rsid w:val="009F3A13"/>
    <w:rsid w:val="00A122D3"/>
    <w:rsid w:val="00A14468"/>
    <w:rsid w:val="00A17F13"/>
    <w:rsid w:val="00A20739"/>
    <w:rsid w:val="00A23AF9"/>
    <w:rsid w:val="00A33C78"/>
    <w:rsid w:val="00A55EA2"/>
    <w:rsid w:val="00AA68B4"/>
    <w:rsid w:val="00AB0ADB"/>
    <w:rsid w:val="00AF4C79"/>
    <w:rsid w:val="00B00C0E"/>
    <w:rsid w:val="00B01B1A"/>
    <w:rsid w:val="00B0381D"/>
    <w:rsid w:val="00B44A47"/>
    <w:rsid w:val="00B65AAF"/>
    <w:rsid w:val="00B72CD3"/>
    <w:rsid w:val="00B72FFF"/>
    <w:rsid w:val="00BC3D36"/>
    <w:rsid w:val="00BD3958"/>
    <w:rsid w:val="00BD54A6"/>
    <w:rsid w:val="00BD7F72"/>
    <w:rsid w:val="00BF7425"/>
    <w:rsid w:val="00C00315"/>
    <w:rsid w:val="00C04FB3"/>
    <w:rsid w:val="00C11D8B"/>
    <w:rsid w:val="00C15139"/>
    <w:rsid w:val="00C330EB"/>
    <w:rsid w:val="00C50D69"/>
    <w:rsid w:val="00C5365C"/>
    <w:rsid w:val="00C754BE"/>
    <w:rsid w:val="00C76B1C"/>
    <w:rsid w:val="00C925AC"/>
    <w:rsid w:val="00CB6357"/>
    <w:rsid w:val="00CC1B26"/>
    <w:rsid w:val="00CF6A48"/>
    <w:rsid w:val="00D16BF6"/>
    <w:rsid w:val="00D361FD"/>
    <w:rsid w:val="00D423A2"/>
    <w:rsid w:val="00D44E26"/>
    <w:rsid w:val="00D520D8"/>
    <w:rsid w:val="00D63AC2"/>
    <w:rsid w:val="00D7383B"/>
    <w:rsid w:val="00D7788A"/>
    <w:rsid w:val="00D850A2"/>
    <w:rsid w:val="00DA231B"/>
    <w:rsid w:val="00DC39FC"/>
    <w:rsid w:val="00DE1926"/>
    <w:rsid w:val="00DF5254"/>
    <w:rsid w:val="00E02524"/>
    <w:rsid w:val="00E16408"/>
    <w:rsid w:val="00E20894"/>
    <w:rsid w:val="00E245AB"/>
    <w:rsid w:val="00E2764C"/>
    <w:rsid w:val="00E27F2E"/>
    <w:rsid w:val="00E35859"/>
    <w:rsid w:val="00E50AFE"/>
    <w:rsid w:val="00E75C92"/>
    <w:rsid w:val="00E771DC"/>
    <w:rsid w:val="00E82794"/>
    <w:rsid w:val="00E8772A"/>
    <w:rsid w:val="00E90F6B"/>
    <w:rsid w:val="00E92C27"/>
    <w:rsid w:val="00EA0E3D"/>
    <w:rsid w:val="00EC0117"/>
    <w:rsid w:val="00EC38A7"/>
    <w:rsid w:val="00EE1AA8"/>
    <w:rsid w:val="00F1619D"/>
    <w:rsid w:val="00F23FEA"/>
    <w:rsid w:val="00F26C58"/>
    <w:rsid w:val="00F31EDC"/>
    <w:rsid w:val="00F462B3"/>
    <w:rsid w:val="00F5664F"/>
    <w:rsid w:val="00F666C4"/>
    <w:rsid w:val="00F70210"/>
    <w:rsid w:val="00F76AFC"/>
    <w:rsid w:val="00FA47C0"/>
    <w:rsid w:val="00FB5DD1"/>
    <w:rsid w:val="00FC286E"/>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6A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6A4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7672420-68EE-40D9-9489-8610913337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3943</Words>
  <Characters>21372</Characters>
  <Application>Microsoft Office Word</Application>
  <DocSecurity>0</DocSecurity>
  <Lines>445</Lines>
  <Paragraphs>93</Paragraphs>
  <ScaleCrop>false</ScaleCrop>
  <Company/>
  <LinksUpToDate>false</LinksUpToDate>
  <CharactersWithSpaces>25222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2025-12-22T18:48:00Z</dcterms:created>
  <dcterms:modified xsi:type="dcterms:W3CDTF">2025-12-26T16:31:00Z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