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4C92B" w14:textId="77777777" w:rsidR="00983929" w:rsidRPr="00AF1555" w:rsidRDefault="00983929" w:rsidP="00983929">
      <w:pPr>
        <w:spacing w:after="0" w:line="240" w:lineRule="auto"/>
        <w:jc w:val="both"/>
        <w:rPr>
          <w:rFonts w:ascii="Verdana" w:eastAsia="Calibri" w:hAnsi="Verdana" w:cs="Arial"/>
          <w:b/>
          <w:color w:val="000000" w:themeColor="text1"/>
          <w:lang w:val="es-ES"/>
        </w:rPr>
      </w:pPr>
      <w:r w:rsidRPr="00E95799">
        <w:rPr>
          <w:rFonts w:ascii="Verdana" w:eastAsia="Calibri" w:hAnsi="Verdana" w:cs="Arial"/>
          <w:b/>
          <w:color w:val="000000" w:themeColor="text1"/>
          <w:lang w:val="es-ES"/>
        </w:rPr>
        <w:t>LIQUIDACIÓN DEL CONTRATO – Definición – Objetivo</w:t>
      </w:r>
      <w:r w:rsidRPr="00AF1555">
        <w:rPr>
          <w:rFonts w:ascii="Verdana" w:eastAsia="Calibri" w:hAnsi="Verdana" w:cs="Arial"/>
          <w:b/>
          <w:color w:val="000000" w:themeColor="text1"/>
          <w:lang w:val="es-ES"/>
        </w:rPr>
        <w:t xml:space="preserve"> </w:t>
      </w:r>
    </w:p>
    <w:p w14:paraId="0BB66FEF" w14:textId="77777777" w:rsidR="00983929" w:rsidRPr="00AF1555" w:rsidRDefault="00983929" w:rsidP="00983929">
      <w:pPr>
        <w:spacing w:after="0" w:line="240" w:lineRule="auto"/>
        <w:jc w:val="both"/>
        <w:rPr>
          <w:rFonts w:ascii="Verdana" w:eastAsia="Calibri" w:hAnsi="Verdana" w:cs="Arial"/>
          <w:bCs/>
          <w:color w:val="000000" w:themeColor="text1"/>
          <w:sz w:val="20"/>
          <w:szCs w:val="20"/>
          <w:lang w:val="es-ES"/>
        </w:rPr>
      </w:pPr>
    </w:p>
    <w:p w14:paraId="70F0DA4B" w14:textId="77777777" w:rsidR="00983929" w:rsidRPr="00AF1555" w:rsidRDefault="00983929" w:rsidP="00983929">
      <w:pPr>
        <w:spacing w:after="0" w:line="240" w:lineRule="auto"/>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eastAsia="es-ES_tradnl"/>
        </w:rPr>
        <w:t>L</w:t>
      </w:r>
      <w:r w:rsidRPr="00E95799">
        <w:rPr>
          <w:rFonts w:ascii="Verdana" w:eastAsia="Calibri" w:hAnsi="Verdana" w:cs="Arial"/>
          <w:color w:val="000000" w:themeColor="text1"/>
          <w:sz w:val="20"/>
          <w:szCs w:val="20"/>
          <w:lang w:val="es-ES_tradnl" w:eastAsia="es-ES_tradnl"/>
        </w:rPr>
        <w:t>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comportamiento financiero del negocio</w:t>
      </w:r>
      <w:r w:rsidRPr="00AF1555">
        <w:rPr>
          <w:rFonts w:ascii="Verdana" w:eastAsia="Calibri" w:hAnsi="Verdana" w:cs="Arial"/>
          <w:color w:val="000000" w:themeColor="text1"/>
          <w:sz w:val="20"/>
          <w:szCs w:val="20"/>
          <w:lang w:val="es-ES_tradnl"/>
        </w:rPr>
        <w:t>.</w:t>
      </w:r>
    </w:p>
    <w:p w14:paraId="62F37178" w14:textId="77777777" w:rsidR="00983929" w:rsidRPr="00AF1555" w:rsidRDefault="00983929" w:rsidP="00983929">
      <w:pPr>
        <w:spacing w:after="0" w:line="240" w:lineRule="auto"/>
        <w:rPr>
          <w:rFonts w:ascii="Verdana" w:eastAsia="Geomanist Light" w:hAnsi="Verdana" w:cs="Arial"/>
          <w:color w:val="000000" w:themeColor="text1"/>
          <w:sz w:val="20"/>
          <w:szCs w:val="20"/>
          <w:lang w:val="es-ES_tradnl"/>
        </w:rPr>
      </w:pPr>
    </w:p>
    <w:p w14:paraId="3054FCF5" w14:textId="77777777" w:rsidR="00983929" w:rsidRPr="00AF1555" w:rsidRDefault="00983929" w:rsidP="00983929">
      <w:pPr>
        <w:spacing w:after="0" w:line="240" w:lineRule="auto"/>
        <w:jc w:val="both"/>
        <w:rPr>
          <w:rFonts w:ascii="Verdana" w:eastAsia="Calibri" w:hAnsi="Verdana" w:cs="Arial"/>
          <w:b/>
          <w:lang w:val="es-ES"/>
        </w:rPr>
      </w:pPr>
      <w:r w:rsidRPr="00E95799">
        <w:rPr>
          <w:rFonts w:ascii="Verdana" w:eastAsia="Calibri" w:hAnsi="Verdana" w:cs="Arial"/>
          <w:b/>
          <w:lang w:val="es-ES"/>
        </w:rPr>
        <w:t>LIQUIDACIÓN DEL CONTRATO – Normativa – Oportunidad</w:t>
      </w:r>
    </w:p>
    <w:p w14:paraId="47792037" w14:textId="77777777" w:rsidR="00983929" w:rsidRPr="00AF1555" w:rsidRDefault="00983929" w:rsidP="00983929">
      <w:pPr>
        <w:spacing w:after="0" w:line="240" w:lineRule="auto"/>
        <w:jc w:val="both"/>
        <w:rPr>
          <w:rFonts w:ascii="Verdana" w:eastAsia="Calibri" w:hAnsi="Verdana" w:cs="Arial"/>
          <w:b/>
          <w:sz w:val="20"/>
          <w:szCs w:val="20"/>
          <w:lang w:val="es-ES"/>
        </w:rPr>
      </w:pPr>
    </w:p>
    <w:p w14:paraId="0CD5B653" w14:textId="77777777" w:rsidR="00983929" w:rsidRPr="00E95799" w:rsidRDefault="00983929" w:rsidP="00983929">
      <w:pPr>
        <w:spacing w:after="0" w:line="240" w:lineRule="auto"/>
        <w:jc w:val="both"/>
        <w:rPr>
          <w:rFonts w:ascii="Verdana" w:eastAsia="Calibri" w:hAnsi="Verdana" w:cs="Arial"/>
          <w:bCs/>
          <w:sz w:val="20"/>
          <w:szCs w:val="20"/>
          <w:lang w:val="es-ES"/>
        </w:rPr>
      </w:pPr>
      <w:r w:rsidRPr="00E95799">
        <w:rPr>
          <w:rFonts w:ascii="Verdana" w:eastAsia="Calibri" w:hAnsi="Verdana" w:cs="Arial"/>
          <w:bCs/>
          <w:sz w:val="20"/>
          <w:szCs w:val="20"/>
          <w:lang w:val="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w:t>
      </w:r>
    </w:p>
    <w:p w14:paraId="7DC0478B" w14:textId="77777777" w:rsidR="00983929" w:rsidRDefault="00983929" w:rsidP="00983929">
      <w:pPr>
        <w:spacing w:after="0" w:line="240" w:lineRule="auto"/>
        <w:jc w:val="both"/>
        <w:rPr>
          <w:rFonts w:ascii="Verdana" w:eastAsia="Calibri" w:hAnsi="Verdana" w:cs="Arial"/>
          <w:bCs/>
          <w:sz w:val="20"/>
          <w:szCs w:val="20"/>
          <w:lang w:val="es-ES"/>
        </w:rPr>
      </w:pPr>
      <w:r>
        <w:rPr>
          <w:rFonts w:ascii="Verdana" w:eastAsia="Calibri" w:hAnsi="Verdana" w:cs="Arial"/>
          <w:bCs/>
          <w:sz w:val="20"/>
          <w:szCs w:val="20"/>
          <w:lang w:val="es-ES"/>
        </w:rPr>
        <w:t>[</w:t>
      </w:r>
      <w:r w:rsidRPr="00E95799">
        <w:rPr>
          <w:rFonts w:ascii="Verdana" w:eastAsia="Calibri" w:hAnsi="Verdana" w:cs="Arial"/>
          <w:bCs/>
          <w:sz w:val="20"/>
          <w:szCs w:val="20"/>
          <w:lang w:val="es-ES"/>
        </w:rPr>
        <w:t>…</w:t>
      </w:r>
      <w:r>
        <w:rPr>
          <w:rFonts w:ascii="Verdana" w:eastAsia="Calibri" w:hAnsi="Verdana" w:cs="Arial"/>
          <w:bCs/>
          <w:sz w:val="20"/>
          <w:szCs w:val="20"/>
          <w:lang w:val="es-ES"/>
        </w:rPr>
        <w:t>]</w:t>
      </w:r>
    </w:p>
    <w:p w14:paraId="5485A4F1" w14:textId="77777777" w:rsidR="00983929" w:rsidRPr="00E95799" w:rsidRDefault="00983929" w:rsidP="00983929">
      <w:pPr>
        <w:spacing w:after="0" w:line="240" w:lineRule="auto"/>
        <w:jc w:val="both"/>
        <w:rPr>
          <w:rFonts w:ascii="Verdana" w:eastAsia="Calibri" w:hAnsi="Verdana" w:cs="Arial"/>
          <w:bCs/>
          <w:sz w:val="20"/>
          <w:szCs w:val="20"/>
          <w:lang w:val="es-ES"/>
        </w:rPr>
      </w:pPr>
    </w:p>
    <w:p w14:paraId="26159EB9" w14:textId="77777777" w:rsidR="00983929" w:rsidRPr="00AF1555" w:rsidRDefault="00983929" w:rsidP="00983929">
      <w:pPr>
        <w:spacing w:after="0" w:line="240" w:lineRule="auto"/>
        <w:jc w:val="both"/>
        <w:rPr>
          <w:rFonts w:ascii="Verdana" w:eastAsia="Calibri" w:hAnsi="Verdana" w:cs="Arial"/>
          <w:color w:val="000000"/>
          <w:sz w:val="20"/>
          <w:szCs w:val="20"/>
          <w:lang w:val="es-ES_tradnl"/>
        </w:rPr>
      </w:pPr>
      <w:r w:rsidRPr="00E95799">
        <w:rPr>
          <w:rFonts w:ascii="Verdana" w:eastAsia="Calibri" w:hAnsi="Verdana" w:cs="Arial"/>
          <w:bCs/>
          <w:sz w:val="20"/>
          <w:szCs w:val="20"/>
          <w:lang w:val="es-ES"/>
        </w:rPr>
        <w:t>Por tanto, si se trata de un contrato en el cual no existe pacto sobre el término para la liquidación bilateral, el término supletivo aplicaría, y se podría liquidar el contrato dentro de los 4 meses siguientes a la terminación del contrato, de manera bilateral, dentro de los 2 meses siguientes a ellos de manera unilateral por la entidad, más un plazo de 2 años para la liquidación unilateral, bilateral o judicial: para un total de 2 años y 6 meses. Estos términos pueden verse modificados si las partes acuerdan un plazo mayor o menor para realizar la liquidación de mutuo acuerdo, con lo cual dejaría de estar incluido el término supletivo de la Ley 1150 de 2007</w:t>
      </w:r>
      <w:r w:rsidRPr="00AF1555">
        <w:rPr>
          <w:rFonts w:ascii="Verdana" w:eastAsia="Calibri" w:hAnsi="Verdana" w:cs="Arial"/>
          <w:color w:val="000000"/>
          <w:sz w:val="20"/>
          <w:szCs w:val="20"/>
          <w:lang w:val="es-ES_tradnl"/>
        </w:rPr>
        <w:t>.</w:t>
      </w:r>
    </w:p>
    <w:p w14:paraId="2676EBA3" w14:textId="77777777" w:rsidR="00983929" w:rsidRPr="00745E97" w:rsidRDefault="00983929" w:rsidP="00983929">
      <w:pPr>
        <w:spacing w:after="0" w:line="240" w:lineRule="auto"/>
        <w:rPr>
          <w:rFonts w:ascii="Verdana" w:eastAsia="Geomanist Light" w:hAnsi="Verdana" w:cs="Arial"/>
          <w:b/>
          <w:bCs/>
          <w:color w:val="000000" w:themeColor="text1"/>
          <w:sz w:val="20"/>
          <w:szCs w:val="20"/>
          <w:lang w:val="es-ES_tradnl"/>
        </w:rPr>
      </w:pPr>
    </w:p>
    <w:p w14:paraId="55ED48AB" w14:textId="5AE6A34F" w:rsidR="00983929" w:rsidRDefault="00745E97" w:rsidP="00745E97">
      <w:pPr>
        <w:tabs>
          <w:tab w:val="left" w:pos="426"/>
        </w:tabs>
        <w:spacing w:after="0" w:line="240" w:lineRule="auto"/>
        <w:jc w:val="both"/>
        <w:rPr>
          <w:rFonts w:ascii="Verdana" w:hAnsi="Verdana" w:cs="Arial"/>
          <w:b/>
          <w:bCs/>
          <w:lang w:eastAsia="es-CO"/>
        </w:rPr>
      </w:pPr>
      <w:r w:rsidRPr="00745E97">
        <w:rPr>
          <w:rFonts w:ascii="Verdana" w:eastAsia="Calibri" w:hAnsi="Verdana" w:cs="Arial"/>
          <w:b/>
          <w:bCs/>
          <w:lang w:val="es-ES" w:eastAsia="es-ES"/>
        </w:rPr>
        <w:t>PERDIDA DE COMPETENCIA– Caducidad</w:t>
      </w:r>
      <w:r w:rsidRPr="00745E97">
        <w:rPr>
          <w:rFonts w:ascii="Verdana" w:eastAsia="Times New Roman" w:hAnsi="Verdana" w:cs="Arial"/>
          <w:b/>
          <w:bCs/>
          <w:lang w:eastAsia="es-ES_tradnl"/>
        </w:rPr>
        <w:t xml:space="preserve"> del medio de control de controversias contractuales </w:t>
      </w:r>
      <w:r w:rsidRPr="00745E97">
        <w:rPr>
          <w:rFonts w:ascii="Verdana" w:eastAsia="Calibri" w:hAnsi="Verdana" w:cs="Arial"/>
          <w:b/>
          <w:bCs/>
          <w:lang w:val="es-ES" w:eastAsia="es-ES"/>
        </w:rPr>
        <w:t xml:space="preserve">– Liquidación judicial  </w:t>
      </w:r>
    </w:p>
    <w:p w14:paraId="6024E51D" w14:textId="77777777" w:rsidR="00745E97" w:rsidRDefault="00745E97" w:rsidP="00745E97">
      <w:pPr>
        <w:tabs>
          <w:tab w:val="left" w:pos="426"/>
        </w:tabs>
        <w:spacing w:after="0" w:line="240" w:lineRule="auto"/>
        <w:jc w:val="both"/>
        <w:rPr>
          <w:rFonts w:ascii="Verdana" w:hAnsi="Verdana" w:cs="Arial"/>
          <w:b/>
          <w:bCs/>
          <w:lang w:eastAsia="es-CO"/>
        </w:rPr>
      </w:pPr>
    </w:p>
    <w:p w14:paraId="6299663C" w14:textId="42D44C00" w:rsidR="00745E97" w:rsidRPr="00745E97" w:rsidRDefault="00745E97" w:rsidP="00745E97">
      <w:pPr>
        <w:tabs>
          <w:tab w:val="left" w:pos="426"/>
        </w:tabs>
        <w:spacing w:after="0" w:line="240" w:lineRule="auto"/>
        <w:jc w:val="both"/>
        <w:rPr>
          <w:rFonts w:ascii="Verdana" w:hAnsi="Verdana" w:cs="Arial"/>
          <w:sz w:val="20"/>
          <w:szCs w:val="20"/>
          <w:lang w:val="es-ES" w:eastAsia="es-CO"/>
        </w:rPr>
      </w:pPr>
      <w:r>
        <w:rPr>
          <w:rFonts w:ascii="Verdana" w:hAnsi="Verdana" w:cs="Arial"/>
          <w:sz w:val="20"/>
          <w:szCs w:val="20"/>
          <w:lang w:val="es-ES" w:eastAsia="es-CO"/>
        </w:rPr>
        <w:t>S</w:t>
      </w:r>
      <w:r w:rsidRPr="00745E97">
        <w:rPr>
          <w:rFonts w:ascii="Verdana" w:hAnsi="Verdana" w:cs="Arial"/>
          <w:sz w:val="20"/>
          <w:szCs w:val="20"/>
          <w:lang w:val="es-ES" w:eastAsia="es-CO"/>
        </w:rPr>
        <w:t xml:space="preserve">e precisa que la entidad estatal pierde competencia para liquidar el contrato en estos dos eventos: i) cuando se ha superado el término de los dos (2) años y seis (6) meses previstos anteriormente sin que se hubiese efectuado la liquidación, y </w:t>
      </w:r>
      <w:proofErr w:type="spellStart"/>
      <w:r w:rsidRPr="00745E97">
        <w:rPr>
          <w:rFonts w:ascii="Verdana" w:hAnsi="Verdana" w:cs="Arial"/>
          <w:sz w:val="20"/>
          <w:szCs w:val="20"/>
          <w:lang w:val="es-ES" w:eastAsia="es-CO"/>
        </w:rPr>
        <w:t>ii</w:t>
      </w:r>
      <w:proofErr w:type="spellEnd"/>
      <w:r w:rsidRPr="00745E97">
        <w:rPr>
          <w:rFonts w:ascii="Verdana" w:hAnsi="Verdana" w:cs="Arial"/>
          <w:sz w:val="20"/>
          <w:szCs w:val="20"/>
          <w:lang w:val="es-ES" w:eastAsia="es-CO"/>
        </w:rPr>
        <w:t>) cuando, aun sin haberse vencido los plazos establecidos, se ha presentado demanda ante la jurisdicción de lo contencioso administrativo con el fin de obtener la liquidación judicial del contrato.</w:t>
      </w:r>
      <w:r w:rsidRPr="00745E97">
        <w:rPr>
          <w:rFonts w:ascii="Verdana" w:hAnsi="Verdana" w:cs="Arial"/>
          <w:sz w:val="20"/>
          <w:szCs w:val="20"/>
          <w:lang w:eastAsia="es-CO"/>
        </w:rPr>
        <w:t xml:space="preserve"> </w:t>
      </w:r>
    </w:p>
    <w:p w14:paraId="1F998A67" w14:textId="77777777" w:rsidR="00745E97" w:rsidRDefault="00745E97" w:rsidP="00745E97">
      <w:pPr>
        <w:tabs>
          <w:tab w:val="left" w:pos="426"/>
        </w:tabs>
        <w:spacing w:after="0" w:line="240" w:lineRule="auto"/>
        <w:jc w:val="both"/>
        <w:rPr>
          <w:rFonts w:ascii="Verdana" w:hAnsi="Verdana" w:cs="Arial"/>
          <w:sz w:val="20"/>
          <w:szCs w:val="20"/>
          <w:lang w:eastAsia="es-CO"/>
        </w:rPr>
      </w:pPr>
    </w:p>
    <w:p w14:paraId="67D41F37" w14:textId="77777777" w:rsidR="00ED6DA5" w:rsidRDefault="00745E97" w:rsidP="00ED6DA5">
      <w:pPr>
        <w:tabs>
          <w:tab w:val="left" w:pos="426"/>
        </w:tabs>
        <w:spacing w:after="0" w:line="240" w:lineRule="auto"/>
        <w:jc w:val="both"/>
        <w:rPr>
          <w:rFonts w:ascii="Verdana" w:hAnsi="Verdana" w:cs="Arial"/>
          <w:sz w:val="20"/>
          <w:szCs w:val="20"/>
          <w:lang w:eastAsia="es-CO"/>
        </w:rPr>
      </w:pPr>
      <w:r w:rsidRPr="00745E97">
        <w:rPr>
          <w:rFonts w:ascii="Verdana" w:hAnsi="Verdana" w:cs="Arial"/>
          <w:sz w:val="20"/>
          <w:szCs w:val="20"/>
          <w:lang w:eastAsia="es-CO"/>
        </w:rPr>
        <w:t>En tales eventos, no resulta indispensable que la Entidad expida un acto que declare formalmente la pérdida de competencia, puesto que esta se produce de pleno derecho con la ocurrencia de las circunstancias descritas. Sin perjuicio de lo anterior, nada obsta para que, con fines de control y gestión administrativa interna, así como para el cierre del expediente contractual, la entidad deje las constancias pertinentes en el respectivo archivo contractual. En todo caso, debe precisarse que dicha situación no habilita a la entidad para reconocer o efectuar pagos a favor del contratista derivados de un contrato no liquidado, especialmente cuando, en el primer evento, se haya configurado la caducidad del medio de control de controversias contractuales para solicitar la liquidación judicial del contrato estatal.</w:t>
      </w:r>
    </w:p>
    <w:p w14:paraId="0E8E0BAD" w14:textId="58B661D5" w:rsidR="00FF6120" w:rsidRPr="00ED6DA5" w:rsidRDefault="00FF6120" w:rsidP="00ED6DA5">
      <w:pPr>
        <w:tabs>
          <w:tab w:val="left" w:pos="426"/>
        </w:tabs>
        <w:spacing w:after="0" w:line="240" w:lineRule="auto"/>
        <w:jc w:val="both"/>
        <w:rPr>
          <w:rFonts w:ascii="Verdana" w:hAnsi="Verdana" w:cs="Arial"/>
          <w:sz w:val="20"/>
          <w:szCs w:val="20"/>
          <w:lang w:eastAsia="es-CO"/>
        </w:rPr>
      </w:pPr>
      <w:r w:rsidRPr="00C55BDE">
        <w:rPr>
          <w:rFonts w:ascii="Verdana" w:hAnsi="Verdana"/>
        </w:rPr>
        <w:lastRenderedPageBreak/>
        <w:t xml:space="preserve">Bogotá D.C., </w:t>
      </w:r>
      <w:r w:rsidR="00925870">
        <w:rPr>
          <w:rFonts w:ascii="Verdana" w:eastAsia="Geomanist Light" w:hAnsi="Verdana" w:cs="Arial"/>
          <w:color w:val="201F1E"/>
        </w:rPr>
        <w:t>19 de diciembre de 2025</w:t>
      </w:r>
    </w:p>
    <w:p w14:paraId="7A62B666" w14:textId="2078D114" w:rsidR="00FF6120" w:rsidRPr="00961C0B" w:rsidRDefault="00FF6120" w:rsidP="00FF6120">
      <w:pPr>
        <w:spacing w:after="0" w:line="240" w:lineRule="auto"/>
        <w:jc w:val="right"/>
        <w:rPr>
          <w:rFonts w:ascii="Verdana" w:eastAsia="Calibri" w:hAnsi="Verdana" w:cs="Arial"/>
          <w:color w:val="000000"/>
          <w:lang w:val="es-MX"/>
        </w:rPr>
      </w:pPr>
    </w:p>
    <w:p w14:paraId="37FC5CFE" w14:textId="55F9B29F" w:rsidR="00FF6120" w:rsidRPr="00593A5F" w:rsidRDefault="00ED6DA5" w:rsidP="00925870">
      <w:pPr>
        <w:spacing w:after="0" w:line="240" w:lineRule="auto"/>
        <w:jc w:val="right"/>
        <w:rPr>
          <w:rFonts w:ascii="Verdana" w:eastAsia="Calibri" w:hAnsi="Verdana" w:cs="Arial"/>
          <w:color w:val="000000"/>
          <w:lang w:val="es-ES"/>
        </w:rPr>
      </w:pPr>
      <w:r w:rsidRPr="00925870">
        <w:rPr>
          <w:rFonts w:ascii="Verdana" w:eastAsia="Calibri" w:hAnsi="Verdana" w:cs="Arial"/>
          <w:noProof/>
          <w:color w:val="000000"/>
          <w:lang w:val="es-ES"/>
        </w:rPr>
        <w:drawing>
          <wp:anchor distT="0" distB="0" distL="114300" distR="114300" simplePos="0" relativeHeight="251658240" behindDoc="0" locked="0" layoutInCell="1" allowOverlap="1" wp14:anchorId="449EDE3C" wp14:editId="6D792BCD">
            <wp:simplePos x="0" y="0"/>
            <wp:positionH relativeFrom="margin">
              <wp:align>right</wp:align>
            </wp:positionH>
            <wp:positionV relativeFrom="paragraph">
              <wp:posOffset>96520</wp:posOffset>
            </wp:positionV>
            <wp:extent cx="2554605" cy="727075"/>
            <wp:effectExtent l="0" t="0" r="0" b="0"/>
            <wp:wrapSquare wrapText="bothSides"/>
            <wp:docPr id="18097213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460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7885284" w14:textId="77777777" w:rsidR="00FF6120" w:rsidRDefault="00FF6120" w:rsidP="00FF6120">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73D26E69" w14:textId="77777777" w:rsidR="00FF6120" w:rsidRPr="00B04195" w:rsidRDefault="00FF6120" w:rsidP="00FF6120">
      <w:pPr>
        <w:spacing w:after="0" w:line="240" w:lineRule="auto"/>
        <w:jc w:val="both"/>
        <w:rPr>
          <w:rFonts w:ascii="Verdana" w:eastAsia="Calibri" w:hAnsi="Verdana" w:cs="Arial"/>
          <w:b/>
          <w:bCs/>
          <w:lang w:val="es-ES" w:eastAsia="es-ES"/>
        </w:rPr>
      </w:pPr>
      <w:r w:rsidRPr="00B04195">
        <w:rPr>
          <w:rFonts w:ascii="Verdana" w:eastAsia="Calibri" w:hAnsi="Verdana" w:cs="Arial"/>
          <w:b/>
          <w:bCs/>
          <w:lang w:val="es-ES" w:eastAsia="es-ES"/>
        </w:rPr>
        <w:t xml:space="preserve">Darcy Daniela Martínez Rodríguez </w:t>
      </w:r>
    </w:p>
    <w:p w14:paraId="6AE2B7E4" w14:textId="77777777" w:rsidR="00FF6120" w:rsidRPr="00492FEC" w:rsidRDefault="00FF6120" w:rsidP="00FF6120">
      <w:pPr>
        <w:spacing w:after="0" w:line="240" w:lineRule="auto"/>
        <w:rPr>
          <w:rFonts w:ascii="Verdana" w:eastAsia="Calibri" w:hAnsi="Verdana" w:cs="Arial"/>
          <w:bCs/>
          <w:lang w:val="es-ES_tradnl" w:eastAsia="es-ES_tradnl"/>
        </w:rPr>
      </w:pPr>
      <w:hyperlink r:id="rId11" w:history="1">
        <w:r w:rsidRPr="00492FEC">
          <w:rPr>
            <w:rStyle w:val="Hipervnculo"/>
            <w:rFonts w:ascii="Verdana" w:eastAsia="Calibri" w:hAnsi="Verdana" w:cs="Arial"/>
            <w:bCs/>
            <w:lang w:val="es-ES_tradnl" w:eastAsia="es-ES_tradnl"/>
          </w:rPr>
          <w:t>abgjunior01@gmail.com</w:t>
        </w:r>
      </w:hyperlink>
      <w:r w:rsidRPr="00492FEC">
        <w:rPr>
          <w:rFonts w:ascii="Verdana" w:eastAsia="Calibri" w:hAnsi="Verdana" w:cs="Arial"/>
          <w:bCs/>
          <w:lang w:val="es-ES_tradnl" w:eastAsia="es-ES_tradnl"/>
        </w:rPr>
        <w:t xml:space="preserve"> </w:t>
      </w:r>
    </w:p>
    <w:p w14:paraId="16B58883" w14:textId="77777777" w:rsidR="00FF6120" w:rsidRDefault="00FF6120" w:rsidP="00FF6120">
      <w:pPr>
        <w:spacing w:after="0" w:line="240" w:lineRule="auto"/>
        <w:rPr>
          <w:rFonts w:ascii="Verdana" w:eastAsia="Calibri" w:hAnsi="Verdana" w:cs="Arial"/>
          <w:lang w:val="es-ES" w:eastAsia="es-ES"/>
        </w:rPr>
      </w:pPr>
      <w:r>
        <w:rPr>
          <w:rFonts w:ascii="Verdana" w:eastAsia="Calibri" w:hAnsi="Verdana" w:cs="Arial"/>
          <w:lang w:val="es-ES" w:eastAsia="es-ES"/>
        </w:rPr>
        <w:t>Tunja, Boyacá</w:t>
      </w:r>
    </w:p>
    <w:p w14:paraId="4D42C59B" w14:textId="77777777" w:rsidR="00FF6120" w:rsidRPr="00593A5F" w:rsidRDefault="00FF6120" w:rsidP="00FF6120">
      <w:pPr>
        <w:spacing w:after="0" w:line="240" w:lineRule="auto"/>
        <w:rPr>
          <w:rFonts w:ascii="Verdana" w:eastAsia="Calibri" w:hAnsi="Verdana" w:cs="Arial"/>
          <w:b/>
          <w:bCs/>
          <w:color w:val="000000"/>
          <w:lang w:val="es-ES_tradnl" w:eastAsia="es-ES_tradnl"/>
        </w:rPr>
      </w:pPr>
    </w:p>
    <w:p w14:paraId="15A3B81B" w14:textId="77777777" w:rsidR="00FF6120" w:rsidRPr="00593A5F" w:rsidRDefault="00FF6120" w:rsidP="00FF612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F6120" w:rsidRPr="00593A5F" w14:paraId="442268A4" w14:textId="77777777" w:rsidTr="00DD5BED">
        <w:trPr>
          <w:trHeight w:val="884"/>
        </w:trPr>
        <w:tc>
          <w:tcPr>
            <w:tcW w:w="2689" w:type="dxa"/>
          </w:tcPr>
          <w:p w14:paraId="44DAB3C2" w14:textId="77777777" w:rsidR="00FF6120" w:rsidRPr="00C00976" w:rsidRDefault="00FF6120" w:rsidP="00DD5BED">
            <w:pPr>
              <w:jc w:val="both"/>
              <w:rPr>
                <w:rFonts w:ascii="Verdana" w:eastAsia="Calibri" w:hAnsi="Verdana" w:cs="Arial"/>
                <w:b/>
                <w:bCs/>
                <w:color w:val="7030A0"/>
                <w:lang w:val="es-ES_tradnl" w:eastAsia="es-ES_tradnl"/>
              </w:rPr>
            </w:pPr>
          </w:p>
        </w:tc>
        <w:tc>
          <w:tcPr>
            <w:tcW w:w="6100" w:type="dxa"/>
          </w:tcPr>
          <w:p w14:paraId="152EEC0D" w14:textId="77777777" w:rsidR="00FF6120" w:rsidRPr="00C00976" w:rsidRDefault="00FF6120" w:rsidP="00DD5BE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1669</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FF6120" w:rsidRPr="00593A5F" w14:paraId="77D438F0" w14:textId="77777777" w:rsidTr="00DD5BED">
        <w:trPr>
          <w:trHeight w:val="884"/>
        </w:trPr>
        <w:tc>
          <w:tcPr>
            <w:tcW w:w="2689" w:type="dxa"/>
          </w:tcPr>
          <w:p w14:paraId="77154513" w14:textId="77777777" w:rsidR="00FF6120" w:rsidRPr="00593A5F" w:rsidRDefault="00FF6120" w:rsidP="00DD5BE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607E085" w14:textId="48ECA090" w:rsidR="00FF6120" w:rsidRPr="00A11406" w:rsidRDefault="00FF6120" w:rsidP="00DD5BED">
            <w:pPr>
              <w:spacing w:line="276" w:lineRule="auto"/>
              <w:jc w:val="both"/>
              <w:rPr>
                <w:rFonts w:ascii="Verdana" w:eastAsia="Calibri" w:hAnsi="Verdana" w:cs="Arial"/>
                <w:lang w:val="es-ES" w:eastAsia="es-ES"/>
              </w:rPr>
            </w:pPr>
            <w:r w:rsidRPr="00FA3A97">
              <w:rPr>
                <w:rFonts w:ascii="Verdana" w:eastAsia="Calibri" w:hAnsi="Verdana" w:cs="Arial"/>
                <w:lang w:val="es-ES" w:eastAsia="es-ES"/>
              </w:rPr>
              <w:t xml:space="preserve">LIQUIDACIÓN DEL CONTRATO – Definición – Objetivo </w:t>
            </w:r>
            <w:r>
              <w:rPr>
                <w:rFonts w:ascii="Verdana" w:eastAsia="Calibri" w:hAnsi="Verdana" w:cs="Arial"/>
                <w:lang w:val="es-ES" w:eastAsia="es-ES"/>
              </w:rPr>
              <w:t xml:space="preserve">/ </w:t>
            </w:r>
            <w:r w:rsidRPr="00FA3A97">
              <w:rPr>
                <w:rFonts w:ascii="Verdana" w:eastAsia="Calibri" w:hAnsi="Verdana" w:cs="Arial"/>
                <w:lang w:val="es-ES" w:eastAsia="es-ES"/>
              </w:rPr>
              <w:t>LIQUIDACIÓN DEL CONTRATO – Normativa – Oportunidad</w:t>
            </w:r>
            <w:r>
              <w:rPr>
                <w:rFonts w:ascii="Verdana" w:eastAsia="Calibri" w:hAnsi="Verdana" w:cs="Arial"/>
                <w:lang w:val="es-ES" w:eastAsia="es-ES"/>
              </w:rPr>
              <w:t xml:space="preserve"> / PERDIDA DE COMPETENCIA</w:t>
            </w:r>
            <w:r w:rsidR="00745E97">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Pr>
                <w:rFonts w:ascii="Verdana" w:eastAsia="Calibri" w:hAnsi="Verdana" w:cs="Arial"/>
                <w:lang w:val="es-ES" w:eastAsia="es-ES"/>
              </w:rPr>
              <w:t>Caducidad</w:t>
            </w:r>
            <w:r>
              <w:rPr>
                <w:rFonts w:ascii="Verdana" w:eastAsia="Times New Roman" w:hAnsi="Verdana" w:cs="Arial"/>
                <w:lang w:eastAsia="es-ES_tradnl"/>
              </w:rPr>
              <w:t xml:space="preserve"> del medio de control de controversias contractuales </w:t>
            </w:r>
            <w:r w:rsidRPr="00FA3A97">
              <w:rPr>
                <w:rFonts w:ascii="Verdana" w:eastAsia="Calibri" w:hAnsi="Verdana" w:cs="Arial"/>
                <w:lang w:val="es-ES" w:eastAsia="es-ES"/>
              </w:rPr>
              <w:t>–</w:t>
            </w:r>
            <w:r>
              <w:rPr>
                <w:rFonts w:ascii="Verdana" w:eastAsia="Calibri" w:hAnsi="Verdana" w:cs="Arial"/>
                <w:lang w:val="es-ES" w:eastAsia="es-ES"/>
              </w:rPr>
              <w:t xml:space="preserve"> Liquidación judicial</w:t>
            </w:r>
            <w:r w:rsidRPr="00FA3A97">
              <w:rPr>
                <w:rFonts w:ascii="Verdana" w:eastAsia="Calibri" w:hAnsi="Verdana" w:cs="Arial"/>
                <w:lang w:val="es-ES" w:eastAsia="es-ES"/>
              </w:rPr>
              <w:t xml:space="preserve">  </w:t>
            </w:r>
          </w:p>
          <w:p w14:paraId="773CF01B" w14:textId="77777777" w:rsidR="00FF6120" w:rsidRPr="00593A5F" w:rsidRDefault="00FF6120" w:rsidP="00DD5BE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FF6120" w:rsidRPr="008E6AD9" w14:paraId="6C049AFF" w14:textId="77777777" w:rsidTr="00DD5BED">
        <w:tc>
          <w:tcPr>
            <w:tcW w:w="2689" w:type="dxa"/>
          </w:tcPr>
          <w:p w14:paraId="23993637" w14:textId="77777777" w:rsidR="00FF6120" w:rsidRPr="008E6AD9" w:rsidRDefault="00FF6120" w:rsidP="00DD5BE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7C1AC87" w14:textId="77777777" w:rsidR="00FF6120" w:rsidRPr="008E6AD9" w:rsidRDefault="00FF6120" w:rsidP="00DD5BED">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00355C">
              <w:rPr>
                <w:rFonts w:ascii="Verdana" w:eastAsia="Calibri" w:hAnsi="Verdana" w:cs="Arial"/>
                <w:lang w:val="es-ES_tradnl" w:eastAsia="es-ES_tradnl"/>
              </w:rPr>
              <w:t>1_2025_11_11_012720</w:t>
            </w:r>
            <w:r>
              <w:rPr>
                <w:rFonts w:ascii="Verdana" w:eastAsia="Calibri" w:hAnsi="Verdana" w:cs="Arial"/>
                <w:lang w:val="es-ES_tradnl" w:eastAsia="es-ES_tradnl"/>
              </w:rPr>
              <w:t xml:space="preserve">                                  </w:t>
            </w:r>
          </w:p>
        </w:tc>
      </w:tr>
    </w:tbl>
    <w:p w14:paraId="07BB0E51" w14:textId="77777777" w:rsidR="00FF6120" w:rsidRPr="00593A5F" w:rsidRDefault="00FF6120" w:rsidP="00FF6120">
      <w:pPr>
        <w:spacing w:after="0" w:line="240" w:lineRule="auto"/>
        <w:jc w:val="both"/>
        <w:rPr>
          <w:rFonts w:ascii="Verdana" w:eastAsia="Calibri" w:hAnsi="Verdana" w:cs="Arial"/>
          <w:color w:val="000000"/>
          <w:lang w:val="es-ES_tradnl" w:eastAsia="es-ES_tradnl"/>
        </w:rPr>
      </w:pPr>
    </w:p>
    <w:p w14:paraId="2E20FFA3" w14:textId="77777777" w:rsidR="00FF6120" w:rsidRPr="00593A5F" w:rsidRDefault="00FF6120" w:rsidP="00FF6120">
      <w:pPr>
        <w:spacing w:after="0" w:line="240" w:lineRule="auto"/>
        <w:jc w:val="both"/>
        <w:rPr>
          <w:rFonts w:ascii="Verdana" w:eastAsia="Calibri" w:hAnsi="Verdana" w:cs="Arial"/>
          <w:color w:val="000000"/>
          <w:lang w:val="es-ES_tradnl" w:eastAsia="es-ES_tradnl"/>
        </w:rPr>
      </w:pPr>
    </w:p>
    <w:p w14:paraId="42FBCB42" w14:textId="77777777" w:rsidR="00FF6120" w:rsidRPr="008E6AD9" w:rsidRDefault="00FF6120" w:rsidP="00FF6120">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señor</w:t>
      </w:r>
      <w:r>
        <w:rPr>
          <w:rFonts w:ascii="Verdana" w:eastAsia="Calibri" w:hAnsi="Verdana" w:cs="Arial"/>
          <w:lang w:val="es-ES" w:eastAsia="es-ES"/>
        </w:rPr>
        <w:t>a Martínez</w:t>
      </w:r>
      <w:r w:rsidRPr="008E6AD9">
        <w:rPr>
          <w:rFonts w:ascii="Verdana" w:eastAsia="Calibri" w:hAnsi="Verdana" w:cs="Arial"/>
          <w:lang w:val="es-ES" w:eastAsia="es-ES"/>
        </w:rPr>
        <w:t xml:space="preserve">: </w:t>
      </w:r>
    </w:p>
    <w:p w14:paraId="50B181E9" w14:textId="77777777" w:rsidR="00FF6120" w:rsidRDefault="00FF6120" w:rsidP="00FF612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4D1A6CE" w14:textId="77777777" w:rsidR="00FF6120" w:rsidRPr="009C673D" w:rsidRDefault="00FF6120" w:rsidP="00FF6120">
      <w:pPr>
        <w:spacing w:after="120" w:line="276" w:lineRule="auto"/>
        <w:jc w:val="both"/>
        <w:rPr>
          <w:rFonts w:ascii="Verdana" w:eastAsia="Century Gothic" w:hAnsi="Verdana" w:cs="Century Gothic"/>
          <w:lang w:val="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11 de noviembre</w:t>
      </w:r>
      <w:r w:rsidRPr="008E6AD9">
        <w:rPr>
          <w:rFonts w:ascii="Verdana" w:eastAsia="Calibri" w:hAnsi="Verdana" w:cs="Arial"/>
          <w:lang w:val="es-ES" w:eastAsia="es-ES"/>
        </w:rPr>
        <w:t xml:space="preserve"> de 202</w:t>
      </w:r>
      <w:r>
        <w:rPr>
          <w:rFonts w:ascii="Verdana" w:eastAsia="Calibri" w:hAnsi="Verdana" w:cs="Arial"/>
          <w:lang w:val="es-ES" w:eastAsia="es-ES"/>
        </w:rPr>
        <w:t>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pregunta lo siguiente</w:t>
      </w:r>
      <w:r w:rsidRPr="008E6AD9">
        <w:rPr>
          <w:rFonts w:ascii="Verdana" w:eastAsia="Calibri" w:hAnsi="Verdana" w:cs="Arial"/>
          <w:lang w:val="es-ES" w:eastAsia="es-ES"/>
        </w:rPr>
        <w:t xml:space="preserve">: </w:t>
      </w:r>
      <w:bookmarkStart w:id="0" w:name="_Hlk95313578"/>
      <w:r w:rsidRPr="009C673D">
        <w:rPr>
          <w:rFonts w:ascii="Verdana" w:eastAsia="Century Gothic" w:hAnsi="Verdana" w:cs="Century Gothic"/>
          <w:i/>
          <w:lang w:val="es-ES"/>
        </w:rPr>
        <w:t>“</w:t>
      </w:r>
      <w:r w:rsidRPr="009C673D">
        <w:rPr>
          <w:rFonts w:ascii="Verdana" w:eastAsia="Century Gothic" w:hAnsi="Verdana" w:cs="Century Gothic"/>
          <w:i/>
        </w:rPr>
        <w:t>¿si una entidad no sometida a régimen especial puede declarar la pérdida de competencia para liquidar?</w:t>
      </w:r>
      <w:bookmarkEnd w:id="0"/>
      <w:r w:rsidRPr="009C673D">
        <w:rPr>
          <w:rFonts w:ascii="Verdana" w:eastAsia="Century Gothic" w:hAnsi="Verdana" w:cs="Century Gothic"/>
          <w:i/>
          <w:lang w:val="es-ES"/>
        </w:rPr>
        <w:t>”.</w:t>
      </w:r>
      <w:r w:rsidRPr="009C673D">
        <w:rPr>
          <w:rFonts w:ascii="Verdana" w:eastAsia="Century Gothic" w:hAnsi="Verdana" w:cs="Century Gothic"/>
          <w:lang w:val="es-ES"/>
        </w:rPr>
        <w:t xml:space="preserve"> </w:t>
      </w:r>
    </w:p>
    <w:p w14:paraId="39F8FA8A" w14:textId="77777777" w:rsidR="00FF6120" w:rsidRPr="00A652FF" w:rsidRDefault="00FF6120" w:rsidP="00FF6120">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593A5F">
        <w:rPr>
          <w:rFonts w:ascii="Verdana" w:eastAsia="Calibri" w:hAnsi="Verdana" w:cs="Arial"/>
          <w:color w:val="000000"/>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FB04179" w14:textId="77777777" w:rsidR="00FF6120" w:rsidRDefault="00FF6120" w:rsidP="00FF6120">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w:t>
      </w:r>
      <w:r>
        <w:rPr>
          <w:rFonts w:ascii="Verdana" w:eastAsia="Calibri" w:hAnsi="Verdana" w:cs="Arial"/>
          <w:color w:val="000000"/>
          <w:lang w:val="es-ES" w:eastAsia="es-ES"/>
        </w:rPr>
        <w:t>la segunda pregunta de la</w:t>
      </w:r>
      <w:r w:rsidRPr="00593A5F">
        <w:rPr>
          <w:rFonts w:ascii="Verdana" w:eastAsia="Calibri" w:hAnsi="Verdana" w:cs="Arial"/>
          <w:color w:val="000000"/>
          <w:lang w:val="es-ES" w:eastAsia="es-ES"/>
        </w:rPr>
        <w:t xml:space="preserve">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47CC816B" w14:textId="77777777" w:rsidR="00FF6120" w:rsidRPr="00593A5F" w:rsidRDefault="00FF6120" w:rsidP="00FF6120">
      <w:pPr>
        <w:spacing w:after="0" w:line="276" w:lineRule="auto"/>
        <w:ind w:firstLine="709"/>
        <w:jc w:val="both"/>
        <w:rPr>
          <w:rFonts w:ascii="Verdana" w:eastAsia="Calibri" w:hAnsi="Verdana" w:cs="Arial"/>
          <w:color w:val="000000"/>
          <w:lang w:val="es-ES" w:eastAsia="es-ES"/>
        </w:rPr>
      </w:pPr>
    </w:p>
    <w:p w14:paraId="0B8DC422" w14:textId="77777777" w:rsidR="00FF6120" w:rsidRPr="00593A5F" w:rsidRDefault="00FF6120" w:rsidP="00FF612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8AA1328" w14:textId="77777777" w:rsidR="00FF6120" w:rsidRPr="00593A5F" w:rsidRDefault="00FF6120" w:rsidP="00FF6120">
      <w:pPr>
        <w:tabs>
          <w:tab w:val="left" w:pos="426"/>
        </w:tabs>
        <w:spacing w:after="0" w:line="276" w:lineRule="auto"/>
        <w:jc w:val="both"/>
        <w:rPr>
          <w:rFonts w:ascii="Verdana" w:eastAsia="Century Gothic" w:hAnsi="Verdana" w:cs="Century Gothic"/>
          <w:lang w:val="es-ES"/>
        </w:rPr>
      </w:pPr>
    </w:p>
    <w:p w14:paraId="0FADD853" w14:textId="77777777" w:rsidR="00FF6120" w:rsidRPr="00593A5F" w:rsidRDefault="00FF6120" w:rsidP="00FF6120">
      <w:pPr>
        <w:spacing w:after="0" w:line="276" w:lineRule="auto"/>
        <w:jc w:val="both"/>
        <w:rPr>
          <w:rFonts w:ascii="Verdana" w:eastAsia="Century Gothic" w:hAnsi="Verdana" w:cs="Century Gothic"/>
        </w:rPr>
      </w:pPr>
      <w:r>
        <w:rPr>
          <w:rFonts w:ascii="Verdana" w:eastAsia="Century Gothic" w:hAnsi="Verdana" w:cs="Century Gothic"/>
        </w:rPr>
        <w:t xml:space="preserve">Depurada la competencia de la entidad, 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 </w:t>
      </w:r>
      <w:r>
        <w:rPr>
          <w:rFonts w:ascii="Verdana" w:eastAsia="Century Gothic" w:hAnsi="Verdana" w:cs="Century Gothic"/>
        </w:rPr>
        <w:t>¿Es posible que una entidad estatal sometida al EGCAP pierda competencia para liquidar el contrato?</w:t>
      </w:r>
      <w:r w:rsidRPr="00C00976">
        <w:rPr>
          <w:rFonts w:ascii="Verdana" w:eastAsia="Century Gothic" w:hAnsi="Verdana" w:cs="Century Gothic"/>
          <w:color w:val="7030A0"/>
        </w:rPr>
        <w:t xml:space="preserve"> </w:t>
      </w:r>
    </w:p>
    <w:p w14:paraId="1B50A61F" w14:textId="77777777" w:rsidR="00FF6120" w:rsidRPr="00593A5F" w:rsidRDefault="00FF6120" w:rsidP="00FF6120">
      <w:pPr>
        <w:spacing w:after="0" w:line="276" w:lineRule="auto"/>
        <w:jc w:val="both"/>
        <w:rPr>
          <w:rFonts w:ascii="Verdana" w:eastAsia="Calibri" w:hAnsi="Verdana" w:cs="Arial"/>
          <w:color w:val="7030A0"/>
          <w:lang w:val="es-ES"/>
        </w:rPr>
      </w:pPr>
    </w:p>
    <w:p w14:paraId="0001AF0F" w14:textId="77777777" w:rsidR="00FF6120" w:rsidRPr="00593A5F" w:rsidRDefault="00FF6120" w:rsidP="00FF61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BA583FA" w14:textId="77777777" w:rsidR="00FF6120" w:rsidRPr="00593A5F" w:rsidRDefault="00FF6120" w:rsidP="00FF612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6120" w:rsidRPr="00593A5F" w14:paraId="10A9F67D" w14:textId="77777777" w:rsidTr="00DD5BED">
        <w:trPr>
          <w:jc w:val="center"/>
        </w:trPr>
        <w:tc>
          <w:tcPr>
            <w:tcW w:w="8828" w:type="dxa"/>
          </w:tcPr>
          <w:p w14:paraId="77C4EA21" w14:textId="77777777" w:rsidR="00FF6120" w:rsidRDefault="00FF6120" w:rsidP="00DD5BED">
            <w:pPr>
              <w:spacing w:after="120" w:line="276" w:lineRule="auto"/>
              <w:jc w:val="both"/>
              <w:rPr>
                <w:rFonts w:ascii="Verdana" w:eastAsia="Calibri" w:hAnsi="Verdana" w:cs="Arial"/>
                <w:lang w:val="es-ES"/>
              </w:rPr>
            </w:pPr>
            <w:bookmarkStart w:id="1" w:name="_Hlk171694685"/>
            <w:r>
              <w:rPr>
                <w:rFonts w:ascii="Verdana" w:eastAsia="Calibri" w:hAnsi="Verdana" w:cs="Arial"/>
                <w:lang w:val="es-ES"/>
              </w:rPr>
              <w:t xml:space="preserve">El ordenamiento jurídico vigente permite la liquidación unilateral, bilateral e incluso judicial una vez vencido el plazo establecido por el artículo 11 de la Ley 1150 de 2007. En otras palabras, la liquidación final de los contratos estatales tiene un ámbito temporal que empieza con la terminación del contrato y comprende: i) el periodo contractual pactado por las partes o supletivo legal –de cuatro (4) meses– para la liquidación bilateral; </w:t>
            </w:r>
            <w:proofErr w:type="spellStart"/>
            <w:r>
              <w:rPr>
                <w:rFonts w:ascii="Verdana" w:eastAsia="Calibri" w:hAnsi="Verdana" w:cs="Arial"/>
                <w:lang w:val="es-ES"/>
              </w:rPr>
              <w:t>ii</w:t>
            </w:r>
            <w:proofErr w:type="spellEnd"/>
            <w:r>
              <w:rPr>
                <w:rFonts w:ascii="Verdana" w:eastAsia="Calibri" w:hAnsi="Verdana" w:cs="Arial"/>
                <w:lang w:val="es-ES"/>
              </w:rPr>
              <w:t xml:space="preserve">) más el período legal para la liquidación unilateral –de dos (2) meses–; </w:t>
            </w:r>
            <w:proofErr w:type="spellStart"/>
            <w:r>
              <w:rPr>
                <w:rFonts w:ascii="Verdana" w:eastAsia="Calibri" w:hAnsi="Verdana" w:cs="Arial"/>
                <w:lang w:val="es-ES"/>
              </w:rPr>
              <w:t>iii</w:t>
            </w:r>
            <w:proofErr w:type="spellEnd"/>
            <w:r>
              <w:rPr>
                <w:rFonts w:ascii="Verdana" w:eastAsia="Calibri" w:hAnsi="Verdana" w:cs="Arial"/>
                <w:lang w:val="es-ES"/>
              </w:rPr>
              <w:t>) más el plazo de dos (2) años para hacerlo de mutuo acuerdo o unilateralmente, sin perjuicio de que se solicite la liquidación judicial.</w:t>
            </w:r>
          </w:p>
          <w:p w14:paraId="5856F9A9" w14:textId="77777777" w:rsidR="00FF6120" w:rsidRDefault="00FF6120" w:rsidP="00DD5BED">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hAnsi="Verdana" w:cs="Arial"/>
                <w:color w:val="000000" w:themeColor="text1"/>
                <w:lang w:val="es-ES"/>
              </w:rPr>
              <w:t xml:space="preserve">En ese orden de ideas, si se trata de un contrato en el cual no existe pacto sobre el término para la liquidación bilateral, el término supletivo aplicaría, y se podría liquidar el contrato dentro de los cuatro (4) meses siguientes a su terminación de manera bilateral, dentro de los dos (2) meses siguientes a ellos de manera unilateral por la entidad, más un plazo de dos (2) años para la liquidación unilateral, bilateral o judicial. Esto, para un total de dos (2) años y seis (6) meses.  Estos términos pueden verse modificados si las partes acuerdan un plazo mayor o menor para realizar la liquidación de </w:t>
            </w:r>
            <w:r>
              <w:rPr>
                <w:rFonts w:ascii="Verdana" w:hAnsi="Verdana" w:cs="Arial"/>
                <w:color w:val="000000" w:themeColor="text1"/>
                <w:lang w:val="es-ES"/>
              </w:rPr>
              <w:lastRenderedPageBreak/>
              <w:t>mutuo acuerdo, con lo cual dejaría de estar incluido el término supletivo de la Ley 1150 de 2007</w:t>
            </w:r>
          </w:p>
          <w:p w14:paraId="1BB4A409" w14:textId="77777777" w:rsidR="00FF6120" w:rsidRPr="00EF67E9" w:rsidRDefault="00FF6120" w:rsidP="00DD5BED">
            <w:pPr>
              <w:spacing w:after="120" w:line="276" w:lineRule="auto"/>
              <w:ind w:firstLine="703"/>
              <w:jc w:val="both"/>
              <w:rPr>
                <w:rFonts w:ascii="Verdana" w:eastAsia="Times New Roman" w:hAnsi="Verdana" w:cs="Arial"/>
                <w:color w:val="000000"/>
                <w:bdr w:val="none" w:sz="0" w:space="0" w:color="auto" w:frame="1"/>
                <w:shd w:val="clear" w:color="auto" w:fill="FFFFFF"/>
                <w:lang w:val="es-ES" w:eastAsia="es-ES_tradnl"/>
              </w:rPr>
            </w:pPr>
            <w:r w:rsidRPr="009F19CA">
              <w:rPr>
                <w:rFonts w:ascii="Verdana" w:eastAsia="Times New Roman" w:hAnsi="Verdana" w:cs="Arial"/>
                <w:color w:val="000000"/>
                <w:bdr w:val="none" w:sz="0" w:space="0" w:color="auto" w:frame="1"/>
                <w:shd w:val="clear" w:color="auto" w:fill="FFFFFF"/>
                <w:lang w:val="es-ES" w:eastAsia="es-ES_tradnl"/>
              </w:rPr>
              <w:t>En este contexto,</w:t>
            </w:r>
            <w:r>
              <w:rPr>
                <w:rFonts w:ascii="Verdana" w:eastAsia="Times New Roman" w:hAnsi="Verdana" w:cs="Arial"/>
                <w:color w:val="000000"/>
                <w:bdr w:val="none" w:sz="0" w:space="0" w:color="auto" w:frame="1"/>
                <w:shd w:val="clear" w:color="auto" w:fill="FFFFFF"/>
                <w:lang w:val="es-ES" w:eastAsia="es-ES_tradnl"/>
              </w:rPr>
              <w:t xml:space="preserve"> de cara a la consulta planteada, se precisa que</w:t>
            </w:r>
            <w:r w:rsidRPr="009F19CA">
              <w:rPr>
                <w:rFonts w:ascii="Verdana" w:eastAsia="Times New Roman" w:hAnsi="Verdana" w:cs="Arial"/>
                <w:color w:val="000000"/>
                <w:bdr w:val="none" w:sz="0" w:space="0" w:color="auto" w:frame="1"/>
                <w:shd w:val="clear" w:color="auto" w:fill="FFFFFF"/>
                <w:lang w:val="es-ES" w:eastAsia="es-ES_tradnl"/>
              </w:rPr>
              <w:t xml:space="preserve"> la </w:t>
            </w:r>
            <w:r>
              <w:rPr>
                <w:rFonts w:ascii="Verdana" w:eastAsia="Times New Roman" w:hAnsi="Verdana" w:cs="Arial"/>
                <w:color w:val="000000"/>
                <w:bdr w:val="none" w:sz="0" w:space="0" w:color="auto" w:frame="1"/>
                <w:shd w:val="clear" w:color="auto" w:fill="FFFFFF"/>
                <w:lang w:val="es-ES" w:eastAsia="es-ES_tradnl"/>
              </w:rPr>
              <w:t>e</w:t>
            </w:r>
            <w:r w:rsidRPr="009F19CA">
              <w:rPr>
                <w:rFonts w:ascii="Verdana" w:eastAsia="Times New Roman" w:hAnsi="Verdana" w:cs="Arial"/>
                <w:color w:val="000000"/>
                <w:bdr w:val="none" w:sz="0" w:space="0" w:color="auto" w:frame="1"/>
                <w:shd w:val="clear" w:color="auto" w:fill="FFFFFF"/>
                <w:lang w:val="es-ES" w:eastAsia="es-ES_tradnl"/>
              </w:rPr>
              <w:t xml:space="preserve">ntidad </w:t>
            </w:r>
            <w:r>
              <w:rPr>
                <w:rFonts w:ascii="Verdana" w:eastAsia="Times New Roman" w:hAnsi="Verdana" w:cs="Arial"/>
                <w:color w:val="000000"/>
                <w:bdr w:val="none" w:sz="0" w:space="0" w:color="auto" w:frame="1"/>
                <w:shd w:val="clear" w:color="auto" w:fill="FFFFFF"/>
                <w:lang w:val="es-ES" w:eastAsia="es-ES_tradnl"/>
              </w:rPr>
              <w:t>e</w:t>
            </w:r>
            <w:r w:rsidRPr="009F19CA">
              <w:rPr>
                <w:rFonts w:ascii="Verdana" w:eastAsia="Times New Roman" w:hAnsi="Verdana" w:cs="Arial"/>
                <w:color w:val="000000"/>
                <w:bdr w:val="none" w:sz="0" w:space="0" w:color="auto" w:frame="1"/>
                <w:shd w:val="clear" w:color="auto" w:fill="FFFFFF"/>
                <w:lang w:val="es-ES" w:eastAsia="es-ES_tradnl"/>
              </w:rPr>
              <w:t>statal pierde competencia para liquidar el contrato</w:t>
            </w:r>
            <w:r>
              <w:rPr>
                <w:rFonts w:ascii="Verdana" w:eastAsia="Times New Roman" w:hAnsi="Verdana" w:cs="Arial"/>
                <w:color w:val="000000"/>
                <w:bdr w:val="none" w:sz="0" w:space="0" w:color="auto" w:frame="1"/>
                <w:shd w:val="clear" w:color="auto" w:fill="FFFFFF"/>
                <w:lang w:val="es-ES" w:eastAsia="es-ES_tradnl"/>
              </w:rPr>
              <w:t xml:space="preserve"> en estos dos eventos: i)</w:t>
            </w:r>
            <w:r w:rsidRPr="009F19CA">
              <w:rPr>
                <w:rFonts w:ascii="Verdana" w:eastAsia="Times New Roman" w:hAnsi="Verdana" w:cs="Arial"/>
                <w:color w:val="000000"/>
                <w:bdr w:val="none" w:sz="0" w:space="0" w:color="auto" w:frame="1"/>
                <w:shd w:val="clear" w:color="auto" w:fill="FFFFFF"/>
                <w:lang w:val="es-ES" w:eastAsia="es-ES_tradnl"/>
              </w:rPr>
              <w:t xml:space="preserve"> cuando se ha superado </w:t>
            </w:r>
            <w:r>
              <w:rPr>
                <w:rFonts w:ascii="Verdana" w:eastAsia="Times New Roman" w:hAnsi="Verdana" w:cs="Arial"/>
                <w:color w:val="000000"/>
                <w:bdr w:val="none" w:sz="0" w:space="0" w:color="auto" w:frame="1"/>
                <w:shd w:val="clear" w:color="auto" w:fill="FFFFFF"/>
                <w:lang w:val="es-ES" w:eastAsia="es-ES_tradnl"/>
              </w:rPr>
              <w:t>el</w:t>
            </w:r>
            <w:r w:rsidRPr="009F19CA">
              <w:rPr>
                <w:rFonts w:ascii="Verdana" w:eastAsia="Times New Roman" w:hAnsi="Verdana" w:cs="Arial"/>
                <w:color w:val="000000"/>
                <w:bdr w:val="none" w:sz="0" w:space="0" w:color="auto" w:frame="1"/>
                <w:shd w:val="clear" w:color="auto" w:fill="FFFFFF"/>
                <w:lang w:val="es-ES" w:eastAsia="es-ES_tradnl"/>
              </w:rPr>
              <w:t xml:space="preserve"> término</w:t>
            </w:r>
            <w:r>
              <w:rPr>
                <w:rFonts w:ascii="Verdana" w:eastAsia="Times New Roman" w:hAnsi="Verdana" w:cs="Arial"/>
                <w:color w:val="000000"/>
                <w:bdr w:val="none" w:sz="0" w:space="0" w:color="auto" w:frame="1"/>
                <w:shd w:val="clear" w:color="auto" w:fill="FFFFFF"/>
                <w:lang w:val="es-ES" w:eastAsia="es-ES_tradnl"/>
              </w:rPr>
              <w:t xml:space="preserve"> de los dos (2) años y seis (6) meses</w:t>
            </w:r>
            <w:r w:rsidRPr="009F19CA">
              <w:rPr>
                <w:rFonts w:ascii="Verdana" w:eastAsia="Times New Roman" w:hAnsi="Verdana" w:cs="Arial"/>
                <w:color w:val="000000"/>
                <w:bdr w:val="none" w:sz="0" w:space="0" w:color="auto" w:frame="1"/>
                <w:shd w:val="clear" w:color="auto" w:fill="FFFFFF"/>
                <w:lang w:val="es-ES" w:eastAsia="es-ES_tradnl"/>
              </w:rPr>
              <w:t xml:space="preserve"> prev</w:t>
            </w:r>
            <w:r>
              <w:rPr>
                <w:rFonts w:ascii="Verdana" w:eastAsia="Times New Roman" w:hAnsi="Verdana" w:cs="Arial"/>
                <w:color w:val="000000"/>
                <w:bdr w:val="none" w:sz="0" w:space="0" w:color="auto" w:frame="1"/>
                <w:shd w:val="clear" w:color="auto" w:fill="FFFFFF"/>
                <w:lang w:val="es-ES" w:eastAsia="es-ES_tradnl"/>
              </w:rPr>
              <w:t xml:space="preserve">istos anteriormente sin </w:t>
            </w:r>
            <w:r w:rsidRPr="009F19CA">
              <w:rPr>
                <w:rFonts w:ascii="Verdana" w:eastAsia="Times New Roman" w:hAnsi="Verdana" w:cs="Arial"/>
                <w:color w:val="000000"/>
                <w:bdr w:val="none" w:sz="0" w:space="0" w:color="auto" w:frame="1"/>
                <w:shd w:val="clear" w:color="auto" w:fill="FFFFFF"/>
                <w:lang w:val="es-ES" w:eastAsia="es-ES_tradnl"/>
              </w:rPr>
              <w:t>que se hubie</w:t>
            </w:r>
            <w:r>
              <w:rPr>
                <w:rFonts w:ascii="Verdana" w:eastAsia="Times New Roman" w:hAnsi="Verdana" w:cs="Arial"/>
                <w:color w:val="000000"/>
                <w:bdr w:val="none" w:sz="0" w:space="0" w:color="auto" w:frame="1"/>
                <w:shd w:val="clear" w:color="auto" w:fill="FFFFFF"/>
                <w:lang w:val="es-ES" w:eastAsia="es-ES_tradnl"/>
              </w:rPr>
              <w:t>se</w:t>
            </w:r>
            <w:r w:rsidRPr="009F19CA">
              <w:rPr>
                <w:rFonts w:ascii="Verdana" w:eastAsia="Times New Roman" w:hAnsi="Verdana" w:cs="Arial"/>
                <w:color w:val="000000"/>
                <w:bdr w:val="none" w:sz="0" w:space="0" w:color="auto" w:frame="1"/>
                <w:shd w:val="clear" w:color="auto" w:fill="FFFFFF"/>
                <w:lang w:val="es-ES" w:eastAsia="es-ES_tradnl"/>
              </w:rPr>
              <w:t xml:space="preserve"> efectuado la liquidación</w:t>
            </w:r>
            <w:r>
              <w:rPr>
                <w:rFonts w:ascii="Verdana" w:eastAsia="Times New Roman" w:hAnsi="Verdana" w:cs="Arial"/>
                <w:color w:val="000000"/>
                <w:bdr w:val="none" w:sz="0" w:space="0" w:color="auto" w:frame="1"/>
                <w:shd w:val="clear" w:color="auto" w:fill="FFFFFF"/>
                <w:lang w:val="es-ES" w:eastAsia="es-ES_tradnl"/>
              </w:rPr>
              <w:t xml:space="preserve">, y </w:t>
            </w:r>
            <w:proofErr w:type="spellStart"/>
            <w:r>
              <w:rPr>
                <w:rFonts w:ascii="Verdana" w:eastAsia="Times New Roman" w:hAnsi="Verdana" w:cs="Arial"/>
                <w:color w:val="000000"/>
                <w:bdr w:val="none" w:sz="0" w:space="0" w:color="auto" w:frame="1"/>
                <w:shd w:val="clear" w:color="auto" w:fill="FFFFFF"/>
                <w:lang w:val="es-ES" w:eastAsia="es-ES_tradnl"/>
              </w:rPr>
              <w:t>ii</w:t>
            </w:r>
            <w:proofErr w:type="spellEnd"/>
            <w:r>
              <w:rPr>
                <w:rFonts w:ascii="Verdana" w:eastAsia="Times New Roman" w:hAnsi="Verdana" w:cs="Arial"/>
                <w:color w:val="000000"/>
                <w:bdr w:val="none" w:sz="0" w:space="0" w:color="auto" w:frame="1"/>
                <w:shd w:val="clear" w:color="auto" w:fill="FFFFFF"/>
                <w:lang w:val="es-ES" w:eastAsia="es-ES_tradnl"/>
              </w:rPr>
              <w:t>)</w:t>
            </w:r>
            <w:r w:rsidRPr="009F19CA">
              <w:rPr>
                <w:rFonts w:ascii="Verdana" w:eastAsia="Times New Roman" w:hAnsi="Verdana" w:cs="Arial"/>
                <w:color w:val="000000"/>
                <w:bdr w:val="none" w:sz="0" w:space="0" w:color="auto" w:frame="1"/>
                <w:shd w:val="clear" w:color="auto" w:fill="FFFFFF"/>
                <w:lang w:val="es-ES" w:eastAsia="es-ES_tradnl"/>
              </w:rPr>
              <w:t xml:space="preserve"> cuando, aun sin haberse vencido los plazos establecidos, se ha presentado demanda ante la jurisdicción de lo contencioso administrativo con el fin de obtener la liquidación judicial del contrato</w:t>
            </w:r>
            <w:r>
              <w:rPr>
                <w:rFonts w:ascii="Verdana" w:eastAsia="Times New Roman" w:hAnsi="Verdana" w:cs="Arial"/>
                <w:color w:val="000000"/>
                <w:bdr w:val="none" w:sz="0" w:space="0" w:color="auto" w:frame="1"/>
                <w:shd w:val="clear" w:color="auto" w:fill="FFFFFF"/>
                <w:lang w:val="es-ES" w:eastAsia="es-ES_tradnl"/>
              </w:rPr>
              <w:t>.</w:t>
            </w:r>
            <w:r w:rsidRPr="00264451">
              <w:rPr>
                <w:rFonts w:ascii="Verdana" w:eastAsia="Times New Roman" w:hAnsi="Verdana" w:cs="Arial"/>
                <w:color w:val="000000"/>
                <w:bdr w:val="none" w:sz="0" w:space="0" w:color="auto" w:frame="1"/>
                <w:shd w:val="clear" w:color="auto" w:fill="FFFFFF"/>
                <w:lang w:eastAsia="es-ES_tradnl"/>
              </w:rPr>
              <w:t xml:space="preserve"> </w:t>
            </w:r>
          </w:p>
          <w:p w14:paraId="7C05A65D" w14:textId="77777777" w:rsidR="00FF6120" w:rsidRDefault="00FF6120" w:rsidP="00DD5BED">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sidRPr="007E6AE6">
              <w:rPr>
                <w:rFonts w:ascii="Verdana" w:eastAsia="Times New Roman" w:hAnsi="Verdana" w:cs="Arial"/>
                <w:color w:val="000000"/>
                <w:bdr w:val="none" w:sz="0" w:space="0" w:color="auto" w:frame="1"/>
                <w:shd w:val="clear" w:color="auto" w:fill="FFFFFF"/>
                <w:lang w:eastAsia="es-ES_tradnl"/>
              </w:rPr>
              <w:t xml:space="preserve">En tales eventos, no resulta indispensable que la Entidad expida un acto </w:t>
            </w:r>
            <w:r>
              <w:rPr>
                <w:rFonts w:ascii="Verdana" w:eastAsia="Times New Roman" w:hAnsi="Verdana" w:cs="Arial"/>
                <w:color w:val="000000"/>
                <w:bdr w:val="none" w:sz="0" w:space="0" w:color="auto" w:frame="1"/>
                <w:shd w:val="clear" w:color="auto" w:fill="FFFFFF"/>
                <w:lang w:eastAsia="es-ES_tradnl"/>
              </w:rPr>
              <w:t>q</w:t>
            </w:r>
            <w:r w:rsidRPr="007E6AE6">
              <w:rPr>
                <w:rFonts w:ascii="Verdana" w:eastAsia="Times New Roman" w:hAnsi="Verdana" w:cs="Arial"/>
                <w:color w:val="000000"/>
                <w:bdr w:val="none" w:sz="0" w:space="0" w:color="auto" w:frame="1"/>
                <w:shd w:val="clear" w:color="auto" w:fill="FFFFFF"/>
                <w:lang w:eastAsia="es-ES_tradnl"/>
              </w:rPr>
              <w:t xml:space="preserve">ue declare formalmente la pérdida de competencia, puesto que esta se produce de pleno derecho con la ocurrencia de las circunstancias descritas. Sin perjuicio de lo anterior, nada obsta para que, con fines de control y gestión administrativa interna, así como para el cierre del expediente contractual, la </w:t>
            </w:r>
            <w:r>
              <w:rPr>
                <w:rFonts w:ascii="Verdana" w:eastAsia="Times New Roman" w:hAnsi="Verdana" w:cs="Arial"/>
                <w:color w:val="000000"/>
                <w:bdr w:val="none" w:sz="0" w:space="0" w:color="auto" w:frame="1"/>
                <w:shd w:val="clear" w:color="auto" w:fill="FFFFFF"/>
                <w:lang w:eastAsia="es-ES_tradnl"/>
              </w:rPr>
              <w:t>e</w:t>
            </w:r>
            <w:r w:rsidRPr="007E6AE6">
              <w:rPr>
                <w:rFonts w:ascii="Verdana" w:eastAsia="Times New Roman" w:hAnsi="Verdana" w:cs="Arial"/>
                <w:color w:val="000000"/>
                <w:bdr w:val="none" w:sz="0" w:space="0" w:color="auto" w:frame="1"/>
                <w:shd w:val="clear" w:color="auto" w:fill="FFFFFF"/>
                <w:lang w:eastAsia="es-ES_tradnl"/>
              </w:rPr>
              <w:t xml:space="preserve">ntidad deje las constancias pertinentes en el respectivo archivo contractual. En todo caso, debe precisarse que dicha situación no habilita a la </w:t>
            </w:r>
            <w:r>
              <w:rPr>
                <w:rFonts w:ascii="Verdana" w:eastAsia="Times New Roman" w:hAnsi="Verdana" w:cs="Arial"/>
                <w:color w:val="000000"/>
                <w:bdr w:val="none" w:sz="0" w:space="0" w:color="auto" w:frame="1"/>
                <w:shd w:val="clear" w:color="auto" w:fill="FFFFFF"/>
                <w:lang w:eastAsia="es-ES_tradnl"/>
              </w:rPr>
              <w:t>e</w:t>
            </w:r>
            <w:r w:rsidRPr="007E6AE6">
              <w:rPr>
                <w:rFonts w:ascii="Verdana" w:eastAsia="Times New Roman" w:hAnsi="Verdana" w:cs="Arial"/>
                <w:color w:val="000000"/>
                <w:bdr w:val="none" w:sz="0" w:space="0" w:color="auto" w:frame="1"/>
                <w:shd w:val="clear" w:color="auto" w:fill="FFFFFF"/>
                <w:lang w:eastAsia="es-ES_tradnl"/>
              </w:rPr>
              <w:t>ntidad para reconocer o efectuar pagos a favor del contratista derivados de un contrato no liquidado, especialmente cuando, en el primer evento, se haya configurado la caducidad del medio de control de controversias contractuales para solicitar la liquidación judicial del contrato estatal</w:t>
            </w:r>
            <w:r>
              <w:rPr>
                <w:rFonts w:ascii="Verdana" w:eastAsia="Times New Roman" w:hAnsi="Verdana" w:cs="Arial"/>
                <w:color w:val="000000"/>
                <w:bdr w:val="none" w:sz="0" w:space="0" w:color="auto" w:frame="1"/>
                <w:shd w:val="clear" w:color="auto" w:fill="FFFFFF"/>
                <w:lang w:eastAsia="es-ES_tradnl"/>
              </w:rPr>
              <w:t>.</w:t>
            </w:r>
          </w:p>
          <w:p w14:paraId="7FCC275B" w14:textId="77777777" w:rsidR="00FF6120" w:rsidRDefault="00FF6120" w:rsidP="00DD5BED">
            <w:pPr>
              <w:spacing w:after="120" w:line="276" w:lineRule="auto"/>
              <w:ind w:firstLine="709"/>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val="es-ES" w:eastAsia="es-ES_tradnl"/>
              </w:rPr>
              <w:t xml:space="preserve">Ahora bien, en relación con el primer evento, vale la pena indicar que </w:t>
            </w:r>
            <w:r>
              <w:rPr>
                <w:rFonts w:ascii="Verdana" w:hAnsi="Verdana" w:cs="Arial"/>
                <w:lang w:eastAsia="es-MX"/>
              </w:rPr>
              <w:t xml:space="preserve">esta Subdirección, en concepto identificado con radicación de salida No.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y con ello, las obligaciones pendientes son de carácter natural, es decir, no son exigibles. </w:t>
            </w:r>
          </w:p>
          <w:p w14:paraId="560ECBB6" w14:textId="77777777" w:rsidR="00FF6120" w:rsidRPr="00CB35DA" w:rsidRDefault="00FF6120" w:rsidP="00DD5BED">
            <w:pPr>
              <w:spacing w:after="120" w:line="276" w:lineRule="auto"/>
              <w:ind w:firstLine="705"/>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val="es-ES" w:eastAsia="es-ES_tradnl"/>
              </w:rPr>
              <w:t>Respecto del momento en que se concreta la perdida de competencia</w:t>
            </w:r>
            <w:r>
              <w:rPr>
                <w:rFonts w:ascii="Verdana" w:eastAsia="Times New Roman" w:hAnsi="Verdana" w:cs="Arial"/>
                <w:color w:val="000000"/>
                <w:bdr w:val="none" w:sz="0" w:space="0" w:color="auto" w:frame="1"/>
                <w:shd w:val="clear" w:color="auto" w:fill="FFFFFF"/>
                <w:lang w:eastAsia="es-ES_tradnl"/>
              </w:rPr>
              <w:t xml:space="preserve"> competencia temporal para liquidar bilateral o unilateralmente</w:t>
            </w:r>
            <w:bookmarkStart w:id="2" w:name="_Hlk172563679"/>
            <w:r>
              <w:rPr>
                <w:rFonts w:ascii="Verdana" w:eastAsia="Times New Roman" w:hAnsi="Verdana" w:cs="Arial"/>
                <w:color w:val="000000"/>
                <w:bdr w:val="none" w:sz="0" w:space="0" w:color="auto" w:frame="1"/>
                <w:shd w:val="clear" w:color="auto" w:fill="FFFFFF"/>
                <w:lang w:eastAsia="es-ES_tradnl"/>
              </w:rPr>
              <w:t xml:space="preserve"> si se ha presentado demanda</w:t>
            </w:r>
            <w:r>
              <w:rPr>
                <w:rFonts w:ascii="Verdana" w:eastAsia="Times New Roman" w:hAnsi="Verdana" w:cs="Arial"/>
                <w:color w:val="000000"/>
                <w:bdr w:val="none" w:sz="0" w:space="0" w:color="auto" w:frame="1"/>
                <w:shd w:val="clear" w:color="auto" w:fill="FFFFFF"/>
                <w:lang w:val="es-ES" w:eastAsia="es-ES_tradnl"/>
              </w:rPr>
              <w:t xml:space="preserve">, esta </w:t>
            </w:r>
            <w:r>
              <w:rPr>
                <w:rFonts w:ascii="Verdana" w:eastAsia="Times New Roman" w:hAnsi="Verdana" w:cs="Arial"/>
                <w:color w:val="000000"/>
                <w:bdr w:val="none" w:sz="0" w:space="0" w:color="auto" w:frame="1"/>
                <w:shd w:val="clear" w:color="auto" w:fill="FFFFFF"/>
                <w:lang w:eastAsia="es-ES_tradnl"/>
              </w:rPr>
              <w:t>Agencia, teniendo en cuenta los pronunciamientos del Consejo de Estado, estima que la pérdida se concreta con la presentación de la demanda que pretenda la liquidación en sede jurisdiccional. La razón es que el artículo 141 de la Ley 1437 de 2011 no dispone expresamente la posibilidad de liquidarlo hasta de la admisión de la demanda, por lo que basta “</w:t>
            </w:r>
            <w:r w:rsidRPr="00477459">
              <w:rPr>
                <w:rFonts w:ascii="Verdana" w:eastAsia="Times New Roman" w:hAnsi="Verdana" w:cs="Arial"/>
                <w:color w:val="000000"/>
                <w:bdr w:val="none" w:sz="0" w:space="0" w:color="auto" w:frame="1"/>
                <w:shd w:val="clear" w:color="auto" w:fill="FFFFFF"/>
                <w:lang w:eastAsia="es-ES_tradnl"/>
              </w:rPr>
              <w:t>solicitar la liquidación judicial</w:t>
            </w:r>
            <w:r>
              <w:rPr>
                <w:rFonts w:ascii="Verdana" w:eastAsia="Times New Roman" w:hAnsi="Verdana" w:cs="Arial"/>
                <w:color w:val="000000"/>
                <w:bdr w:val="none" w:sz="0" w:space="0" w:color="auto" w:frame="1"/>
                <w:shd w:val="clear" w:color="auto" w:fill="FFFFFF"/>
                <w:lang w:eastAsia="es-ES_tradnl"/>
              </w:rPr>
              <w:t xml:space="preserve">” en los términos de la norma citada. Asimismo, </w:t>
            </w:r>
            <w:r>
              <w:rPr>
                <w:rFonts w:ascii="Verdana" w:eastAsia="Times New Roman" w:hAnsi="Verdana" w:cs="Arial"/>
                <w:color w:val="000000"/>
                <w:bdr w:val="none" w:sz="0" w:space="0" w:color="auto" w:frame="1"/>
                <w:shd w:val="clear" w:color="auto" w:fill="FFFFFF"/>
                <w:lang w:eastAsia="es-ES_tradnl"/>
              </w:rPr>
              <w:lastRenderedPageBreak/>
              <w:t>considerando que la presentación de la demanda interrumpe el término de caducidad del medio de control de controversias contractuales, no resulta coherente exigir su admisión cuando la norma sólo exige la presentar la solicitud antes de que finalice el término previsto en la ley</w:t>
            </w:r>
            <w:r w:rsidRPr="008D0DEF">
              <w:rPr>
                <w:rFonts w:ascii="Verdana" w:eastAsia="Times New Roman" w:hAnsi="Verdana" w:cs="Arial"/>
                <w:color w:val="000000" w:themeColor="text1"/>
                <w:lang w:eastAsia="es-CO"/>
              </w:rPr>
              <w:t>.</w:t>
            </w:r>
            <w:bookmarkEnd w:id="2"/>
          </w:p>
        </w:tc>
      </w:tr>
    </w:tbl>
    <w:p w14:paraId="6361C611" w14:textId="77777777" w:rsidR="00FF6120" w:rsidRPr="00593A5F" w:rsidRDefault="00FF6120" w:rsidP="00FF6120">
      <w:pPr>
        <w:tabs>
          <w:tab w:val="left" w:pos="142"/>
          <w:tab w:val="left" w:pos="284"/>
        </w:tabs>
        <w:spacing w:after="0" w:line="276" w:lineRule="auto"/>
        <w:jc w:val="both"/>
        <w:rPr>
          <w:rFonts w:ascii="Verdana" w:eastAsia="Century Gothic" w:hAnsi="Verdana" w:cs="Century Gothic"/>
          <w:b/>
          <w:bCs/>
          <w:lang w:val="es-ES"/>
        </w:rPr>
      </w:pPr>
    </w:p>
    <w:bookmarkEnd w:id="1"/>
    <w:p w14:paraId="38F85DE8" w14:textId="77777777" w:rsidR="00FF6120" w:rsidRPr="00593A5F" w:rsidRDefault="00FF6120" w:rsidP="00FF61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B375E0E" w14:textId="77777777" w:rsidR="00FF6120" w:rsidRPr="00593A5F" w:rsidRDefault="00FF6120" w:rsidP="00FF6120">
      <w:pPr>
        <w:spacing w:after="0" w:line="276" w:lineRule="auto"/>
        <w:jc w:val="both"/>
        <w:rPr>
          <w:rFonts w:ascii="Verdana" w:eastAsia="Calibri" w:hAnsi="Verdana" w:cs="Arial"/>
          <w:color w:val="7030A0"/>
          <w:lang w:val="es-ES"/>
        </w:rPr>
      </w:pPr>
    </w:p>
    <w:p w14:paraId="06201196" w14:textId="77777777" w:rsidR="00FF6120" w:rsidRPr="00B96799" w:rsidRDefault="00FF6120" w:rsidP="00FF6120">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74F5A72" w14:textId="77777777" w:rsidR="00FF6120" w:rsidRPr="00593A5F" w:rsidRDefault="00FF6120" w:rsidP="00FF6120">
      <w:pPr>
        <w:spacing w:after="0" w:line="276" w:lineRule="auto"/>
        <w:jc w:val="both"/>
        <w:rPr>
          <w:rFonts w:ascii="Verdana" w:eastAsia="Calibri" w:hAnsi="Verdana" w:cs="Arial"/>
          <w:color w:val="7030A0"/>
          <w:lang w:val="es-ES"/>
        </w:rPr>
      </w:pPr>
    </w:p>
    <w:p w14:paraId="5A4D8EAB" w14:textId="77777777" w:rsidR="00FF6120" w:rsidRPr="00FB5FC4" w:rsidRDefault="00FF6120" w:rsidP="00FF6120">
      <w:pPr>
        <w:spacing w:after="0" w:line="276" w:lineRule="auto"/>
        <w:jc w:val="both"/>
        <w:rPr>
          <w:rFonts w:ascii="Verdana" w:eastAsia="Calibri" w:hAnsi="Verdana" w:cs="Arial"/>
          <w:color w:val="000000"/>
          <w:lang w:val="es-ES_tradnl"/>
        </w:rPr>
      </w:pPr>
      <w:r w:rsidRPr="00FB5FC4">
        <w:rPr>
          <w:rFonts w:ascii="Verdana" w:eastAsia="Calibri" w:hAnsi="Verdana" w:cs="Arial"/>
          <w:color w:val="000000"/>
          <w:lang w:val="es-ES_tradnl"/>
        </w:rPr>
        <w:t>La liquidación es el momento en el cual, una vez concluido el contrato estatal, las partes cruzan cuentas respecto de sus obligaciones</w:t>
      </w:r>
      <w:r>
        <w:rPr>
          <w:rFonts w:ascii="Verdana" w:eastAsia="Calibri" w:hAnsi="Verdana" w:cs="Arial"/>
          <w:color w:val="000000"/>
          <w:lang w:val="es-ES_tradnl"/>
        </w:rPr>
        <w:t>.</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P</w:t>
      </w:r>
      <w:r w:rsidRPr="00FB5FC4">
        <w:rPr>
          <w:rFonts w:ascii="Verdana" w:eastAsia="Calibri" w:hAnsi="Verdana" w:cs="Arial"/>
          <w:color w:val="000000"/>
          <w:lang w:val="es-ES_tradnl"/>
        </w:rPr>
        <w:t xml:space="preserve">or tanto, su objetivo es determinar si pueden declararse a paz y salvo mutuo o si, por el contrario, existen aún obligaciones por cumplir, para acordar la forma en que deben ser </w:t>
      </w:r>
      <w:r>
        <w:rPr>
          <w:rFonts w:ascii="Verdana" w:eastAsia="Calibri" w:hAnsi="Verdana" w:cs="Arial"/>
          <w:color w:val="000000"/>
          <w:lang w:val="es-ES_tradnl"/>
        </w:rPr>
        <w:t>finalizadas</w:t>
      </w:r>
      <w:r w:rsidRPr="00FB5FC4">
        <w:rPr>
          <w:rFonts w:ascii="Verdana" w:eastAsia="Calibri" w:hAnsi="Verdana" w:cs="Arial"/>
          <w:color w:val="000000"/>
          <w:vertAlign w:val="superscript"/>
          <w:lang w:val="es-ES_tradnl"/>
        </w:rPr>
        <w:footnoteReference w:id="2"/>
      </w:r>
      <w:r w:rsidRPr="00FB5FC4">
        <w:rPr>
          <w:rFonts w:ascii="Verdana" w:eastAsia="Calibri" w:hAnsi="Verdana" w:cs="Arial"/>
          <w:color w:val="000000"/>
          <w:lang w:val="es-ES_tradnl"/>
        </w:rPr>
        <w:t>. En armonía con lo anterior, la doctrina ha definido la liquidación de la siguiente manera:</w:t>
      </w:r>
    </w:p>
    <w:p w14:paraId="6C672C5B" w14:textId="77777777" w:rsidR="00FF6120" w:rsidRPr="00FB5FC4" w:rsidRDefault="00FF6120" w:rsidP="00FF6120">
      <w:pPr>
        <w:spacing w:after="0" w:line="276" w:lineRule="auto"/>
        <w:jc w:val="both"/>
        <w:rPr>
          <w:rFonts w:ascii="Verdana" w:eastAsia="Calibri" w:hAnsi="Verdana" w:cs="Arial"/>
          <w:color w:val="000000"/>
          <w:lang w:val="es-ES_tradnl"/>
        </w:rPr>
      </w:pPr>
    </w:p>
    <w:p w14:paraId="4D1D9106" w14:textId="77777777" w:rsidR="00FF6120" w:rsidRPr="00FB5FC4" w:rsidRDefault="00FF6120" w:rsidP="00FF6120">
      <w:pPr>
        <w:spacing w:after="0" w:line="240" w:lineRule="auto"/>
        <w:ind w:left="709" w:right="758"/>
        <w:jc w:val="both"/>
        <w:rPr>
          <w:rFonts w:ascii="Verdana" w:eastAsia="Calibri" w:hAnsi="Verdana" w:cs="Arial"/>
          <w:sz w:val="21"/>
          <w:szCs w:val="21"/>
          <w:lang w:val="es-MX"/>
        </w:rPr>
      </w:pPr>
      <w:r w:rsidRPr="00FB5FC4">
        <w:rPr>
          <w:rFonts w:ascii="Verdana" w:eastAsia="Calibri" w:hAnsi="Verdana" w:cs="Arial"/>
          <w:i/>
          <w:iCs/>
          <w:color w:val="000000"/>
          <w:sz w:val="21"/>
          <w:szCs w:val="21"/>
          <w:lang w:val="es-ES_tradnl"/>
        </w:rPr>
        <w:t>“</w:t>
      </w:r>
      <w:r w:rsidRPr="00FB5FC4">
        <w:rPr>
          <w:rFonts w:ascii="Verdana" w:eastAsia="Calibri" w:hAnsi="Verdana" w:cs="Arial"/>
          <w:sz w:val="21"/>
          <w:szCs w:val="21"/>
          <w:lang w:val="es-MX"/>
        </w:rPr>
        <w:t xml:space="preserve">[…]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w:t>
      </w:r>
      <w:proofErr w:type="spellStart"/>
      <w:r w:rsidRPr="00FB5FC4">
        <w:rPr>
          <w:rFonts w:ascii="Verdana" w:eastAsia="Calibri" w:hAnsi="Verdana" w:cs="Arial"/>
          <w:sz w:val="21"/>
          <w:szCs w:val="21"/>
          <w:lang w:val="es-MX"/>
        </w:rPr>
        <w:t>ii</w:t>
      </w:r>
      <w:proofErr w:type="spellEnd"/>
      <w:r w:rsidRPr="00FB5FC4">
        <w:rPr>
          <w:rFonts w:ascii="Verdana" w:eastAsia="Calibri" w:hAnsi="Verdana" w:cs="Arial"/>
          <w:sz w:val="21"/>
          <w:szCs w:val="21"/>
          <w:lang w:val="es-MX"/>
        </w:rPr>
        <w:t xml:space="preserve">) definir la situación jurídica de las partes, estableciendo si pueden constituirse o no a paz y salvo; lo que </w:t>
      </w:r>
      <w:r w:rsidRPr="00FB5FC4">
        <w:rPr>
          <w:rFonts w:ascii="Verdana" w:eastAsia="Calibri" w:hAnsi="Verdana" w:cs="Arial"/>
          <w:sz w:val="21"/>
          <w:szCs w:val="21"/>
          <w:lang w:val="es-MX"/>
        </w:rPr>
        <w:lastRenderedPageBreak/>
        <w:t>exige, en la práctica, que los negociantes dialoguen e intenten ponerse de acuerdo (aspecto subjetivo)</w:t>
      </w:r>
      <w:r>
        <w:rPr>
          <w:rFonts w:ascii="Verdana" w:eastAsia="Calibri" w:hAnsi="Verdana" w:cs="Arial"/>
          <w:sz w:val="21"/>
          <w:szCs w:val="21"/>
          <w:lang w:val="es-MX"/>
        </w:rPr>
        <w:t>”</w:t>
      </w:r>
      <w:r w:rsidRPr="00FB5FC4">
        <w:rPr>
          <w:rFonts w:ascii="Verdana" w:eastAsia="Calibri" w:hAnsi="Verdana" w:cs="Arial"/>
          <w:sz w:val="21"/>
          <w:szCs w:val="21"/>
          <w:vertAlign w:val="superscript"/>
          <w:lang w:val="es-MX"/>
        </w:rPr>
        <w:footnoteReference w:id="3"/>
      </w:r>
      <w:r w:rsidRPr="00FB5FC4">
        <w:rPr>
          <w:rFonts w:ascii="Verdana" w:eastAsia="Calibri" w:hAnsi="Verdana" w:cs="Arial"/>
          <w:sz w:val="21"/>
          <w:szCs w:val="21"/>
          <w:lang w:val="es-MX"/>
        </w:rPr>
        <w:t>.</w:t>
      </w:r>
    </w:p>
    <w:p w14:paraId="025177AA" w14:textId="77777777" w:rsidR="00FF6120" w:rsidRPr="00FB5FC4" w:rsidRDefault="00FF6120" w:rsidP="00FF6120">
      <w:pPr>
        <w:spacing w:after="0" w:line="276" w:lineRule="auto"/>
        <w:jc w:val="both"/>
        <w:rPr>
          <w:rFonts w:ascii="Verdana" w:eastAsia="Calibri" w:hAnsi="Verdana" w:cs="Arial"/>
          <w:color w:val="000000"/>
          <w:lang w:val="es-ES_tradnl"/>
        </w:rPr>
      </w:pPr>
    </w:p>
    <w:p w14:paraId="0A685821" w14:textId="77777777" w:rsidR="00FF6120" w:rsidRPr="00FB5FC4" w:rsidRDefault="00FF6120" w:rsidP="00FF6120">
      <w:pPr>
        <w:spacing w:after="120" w:line="276" w:lineRule="auto"/>
        <w:ind w:firstLine="709"/>
        <w:jc w:val="both"/>
        <w:rPr>
          <w:rFonts w:ascii="Verdana" w:eastAsia="Times New Roman" w:hAnsi="Verdana" w:cs="Arial"/>
          <w:color w:val="000000"/>
          <w:sz w:val="21"/>
          <w:szCs w:val="21"/>
          <w:lang w:val="es-ES_tradnl" w:eastAsia="es-ES_tradnl"/>
        </w:rPr>
      </w:pP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egún la jurisprudencia, la liquidación es el ajuste de cuentas donde las partes hacen un balance económico, técnico y jurídico del cumplimiento de las obligaciones que tienen a su cargo. Así lo manifestó el Consejo de Estado en la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entencia del 20 de octubre de 2014, en la que consideró, por un lado, que </w:t>
      </w:r>
      <w:r w:rsidRPr="00FB5FC4">
        <w:rPr>
          <w:rFonts w:ascii="Verdana" w:eastAsia="Times New Roman" w:hAnsi="Verdana" w:cs="Arial"/>
          <w:i/>
          <w:iCs/>
          <w:color w:val="000000"/>
          <w:szCs w:val="24"/>
          <w:lang w:val="es-ES_tradnl" w:eastAsia="es-ES_tradnl"/>
        </w:rPr>
        <w:t>liquidar</w:t>
      </w:r>
      <w:r w:rsidRPr="00FB5FC4">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FB5FC4">
        <w:rPr>
          <w:rFonts w:ascii="Verdana" w:eastAsia="Times New Roman" w:hAnsi="Verdana" w:cs="Arial"/>
          <w:i/>
          <w:iCs/>
          <w:color w:val="000000"/>
          <w:szCs w:val="24"/>
          <w:lang w:val="es-ES_tradnl" w:eastAsia="es-ES_tradnl"/>
        </w:rPr>
        <w:t>liquidación</w:t>
      </w:r>
      <w:r w:rsidRPr="00FB5FC4">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FB5FC4">
        <w:rPr>
          <w:rFonts w:ascii="Verdana" w:eastAsia="Times New Roman" w:hAnsi="Verdana" w:cs="Arial"/>
          <w:color w:val="000000"/>
          <w:szCs w:val="24"/>
          <w:vertAlign w:val="superscript"/>
          <w:lang w:val="es-ES_tradnl" w:eastAsia="es-ES_tradnl"/>
        </w:rPr>
        <w:footnoteReference w:id="4"/>
      </w:r>
      <w:r w:rsidRPr="00FB5FC4">
        <w:rPr>
          <w:rFonts w:ascii="Verdana" w:eastAsia="Times New Roman" w:hAnsi="Verdana" w:cs="Arial"/>
          <w:color w:val="000000"/>
          <w:szCs w:val="24"/>
          <w:lang w:val="es-ES_tradnl" w:eastAsia="es-ES_tradnl"/>
        </w:rPr>
        <w:t xml:space="preserve">. </w:t>
      </w:r>
    </w:p>
    <w:p w14:paraId="60099346" w14:textId="77777777" w:rsidR="00FF6120" w:rsidRPr="00FB5FC4" w:rsidRDefault="00FF6120" w:rsidP="00FF6120">
      <w:pPr>
        <w:spacing w:after="0" w:line="276" w:lineRule="auto"/>
        <w:ind w:firstLine="709"/>
        <w:jc w:val="both"/>
        <w:rPr>
          <w:rFonts w:ascii="Verdana" w:eastAsia="Calibri" w:hAnsi="Verdana" w:cs="Arial"/>
          <w:color w:val="000000"/>
          <w:lang w:val="es-ES_tradnl"/>
        </w:rPr>
      </w:pPr>
      <w:r w:rsidRPr="00FB5FC4">
        <w:rPr>
          <w:rFonts w:ascii="Verdana" w:eastAsia="Calibri" w:hAnsi="Verdana" w:cs="Arial"/>
          <w:color w:val="000000"/>
          <w:lang w:val="es-ES_tradnl"/>
        </w:rPr>
        <w:t>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6A63D87B" w14:textId="77777777" w:rsidR="00FF6120" w:rsidRPr="00D71733" w:rsidRDefault="00FF6120" w:rsidP="00FF6120">
      <w:pPr>
        <w:spacing w:after="0" w:line="276" w:lineRule="auto"/>
        <w:ind w:firstLine="708"/>
        <w:jc w:val="both"/>
        <w:rPr>
          <w:rFonts w:ascii="Verdana" w:eastAsia="Calibri" w:hAnsi="Verdana" w:cs="Arial"/>
          <w:lang w:val="es-ES"/>
        </w:rPr>
      </w:pPr>
    </w:p>
    <w:p w14:paraId="1374E577" w14:textId="77777777" w:rsidR="00FF6120" w:rsidRPr="00D71733" w:rsidRDefault="00FF6120" w:rsidP="00FF6120">
      <w:pPr>
        <w:spacing w:after="0" w:line="240" w:lineRule="auto"/>
        <w:ind w:left="709" w:right="758"/>
        <w:jc w:val="both"/>
        <w:rPr>
          <w:rFonts w:ascii="Verdana" w:eastAsia="Calibri" w:hAnsi="Verdana" w:cs="Arial"/>
          <w:sz w:val="21"/>
          <w:szCs w:val="21"/>
          <w:lang w:val="es-MX"/>
        </w:rPr>
      </w:pPr>
      <w:r w:rsidRPr="00D71733">
        <w:rPr>
          <w:rFonts w:ascii="Verdana" w:eastAsia="Calibri" w:hAnsi="Verdana" w:cs="Arial"/>
          <w:sz w:val="21"/>
          <w:szCs w:val="21"/>
          <w:lang w:val="es-ES"/>
        </w:rPr>
        <w:t>“</w:t>
      </w:r>
      <w:r w:rsidRPr="00D71733">
        <w:rPr>
          <w:rFonts w:ascii="Verdana" w:eastAsia="Calibri" w:hAnsi="Verdana" w:cs="Arial"/>
          <w:sz w:val="21"/>
          <w:szCs w:val="21"/>
          <w:lang w:val="es-MX"/>
        </w:rPr>
        <w:t>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Pr="00D71733">
        <w:rPr>
          <w:rFonts w:ascii="Verdana" w:eastAsia="Calibri" w:hAnsi="Verdana" w:cs="Arial"/>
          <w:sz w:val="21"/>
          <w:szCs w:val="21"/>
          <w:vertAlign w:val="superscript"/>
          <w:lang w:val="es-MX"/>
        </w:rPr>
        <w:footnoteReference w:id="5"/>
      </w:r>
      <w:r>
        <w:rPr>
          <w:rFonts w:ascii="Verdana" w:eastAsia="Calibri" w:hAnsi="Verdana" w:cs="Arial"/>
          <w:sz w:val="21"/>
          <w:szCs w:val="21"/>
          <w:lang w:val="es-MX"/>
        </w:rPr>
        <w:t>.</w:t>
      </w:r>
    </w:p>
    <w:p w14:paraId="0693C699" w14:textId="77777777" w:rsidR="00FF6120" w:rsidRPr="00D71733" w:rsidRDefault="00FF6120" w:rsidP="00FF6120">
      <w:pPr>
        <w:spacing w:after="0" w:line="276" w:lineRule="auto"/>
        <w:ind w:left="709" w:right="758"/>
        <w:jc w:val="both"/>
        <w:rPr>
          <w:rFonts w:ascii="Verdana" w:eastAsia="Calibri" w:hAnsi="Verdana" w:cs="Arial"/>
          <w:lang w:val="es-ES"/>
        </w:rPr>
      </w:pPr>
    </w:p>
    <w:p w14:paraId="6E36902E" w14:textId="77777777" w:rsidR="00FF6120" w:rsidRPr="00FB5FC4" w:rsidRDefault="00FF6120" w:rsidP="00FF6120">
      <w:pPr>
        <w:spacing w:after="120" w:line="276" w:lineRule="auto"/>
        <w:ind w:firstLine="708"/>
        <w:jc w:val="both"/>
        <w:rPr>
          <w:rFonts w:ascii="Verdana" w:eastAsia="Calibri" w:hAnsi="Verdana" w:cs="Arial"/>
          <w:color w:val="000000"/>
          <w:lang w:val="es-ES_tradnl"/>
        </w:rPr>
      </w:pPr>
      <w:r w:rsidRPr="00FB5FC4">
        <w:rPr>
          <w:rFonts w:ascii="Verdana" w:eastAsia="Calibri" w:hAnsi="Verdana" w:cs="Arial"/>
          <w:color w:val="000000"/>
          <w:lang w:val="es-ES_tradnl"/>
        </w:rPr>
        <w:t xml:space="preserve">Así las cosas, de acuerdo con el artículo 60 de la Ley 80 de 1993, los contratos de tracto sucesivo, aquellos cuyo cumplimiento o ejecución se </w:t>
      </w:r>
      <w:r w:rsidRPr="00FB5FC4">
        <w:rPr>
          <w:rFonts w:ascii="Verdana" w:eastAsia="Calibri" w:hAnsi="Verdana" w:cs="Arial"/>
          <w:color w:val="000000"/>
          <w:lang w:val="es-ES_tradnl"/>
        </w:rPr>
        <w:lastRenderedPageBreak/>
        <w:t>prolongue en el tiempo y los demás que lo requieran “</w:t>
      </w:r>
      <w:r w:rsidRPr="00D71733">
        <w:rPr>
          <w:rFonts w:ascii="Verdana" w:eastAsia="Calibri" w:hAnsi="Verdana" w:cs="Arial"/>
          <w:color w:val="000000"/>
          <w:lang w:val="es-ES_tradnl"/>
        </w:rPr>
        <w:t>serán objeto de liquidación</w:t>
      </w:r>
      <w:r w:rsidRPr="00FB5FC4">
        <w:rPr>
          <w:rFonts w:ascii="Verdana" w:eastAsia="Calibri" w:hAnsi="Verdana" w:cs="Arial"/>
          <w:color w:val="000000"/>
          <w:lang w:val="es-ES_tradnl"/>
        </w:rPr>
        <w:t>”.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FB5FC4">
        <w:rPr>
          <w:rFonts w:ascii="Verdana" w:eastAsia="Calibri" w:hAnsi="Verdana" w:cs="Arial"/>
          <w:color w:val="000000"/>
          <w:vertAlign w:val="superscript"/>
          <w:lang w:val="es-ES_tradnl"/>
        </w:rPr>
        <w:footnoteReference w:id="6"/>
      </w:r>
      <w:r w:rsidRPr="00FB5FC4">
        <w:rPr>
          <w:rFonts w:ascii="Verdana" w:eastAsia="Calibri" w:hAnsi="Verdana" w:cs="Arial"/>
          <w:color w:val="000000"/>
          <w:lang w:val="es-ES_tradnl"/>
        </w:rPr>
        <w:t xml:space="preserve">, así como la probabilidad de que puedan surgir diferencias durante la ejecución del contrato; sin perjuicio de que, como se indicó, todos los contratos estatales de </w:t>
      </w:r>
      <w:r w:rsidRPr="00FB5FC4">
        <w:rPr>
          <w:rFonts w:ascii="Verdana" w:eastAsia="Calibri" w:hAnsi="Verdana" w:cs="Arial"/>
          <w:i/>
          <w:iCs/>
          <w:color w:val="000000"/>
          <w:lang w:val="es-ES_tradnl"/>
        </w:rPr>
        <w:t>tracto sucesivo</w:t>
      </w:r>
      <w:r w:rsidRPr="00FB5FC4">
        <w:rPr>
          <w:rFonts w:ascii="Verdana" w:eastAsia="Calibri" w:hAnsi="Verdana" w:cs="Arial"/>
          <w:color w:val="000000"/>
          <w:lang w:val="es-ES_tradnl"/>
        </w:rPr>
        <w:t xml:space="preserve"> o aquellos cuya ejecución se prolongue en el tiempo siempre deban liquidarse, convirtiéndose en estos contratos en una cláusula de la naturaleza, conforme a la clasificación prevista en el Código Civil.</w:t>
      </w:r>
    </w:p>
    <w:p w14:paraId="3E46222E" w14:textId="77777777" w:rsidR="00FF6120" w:rsidRPr="00FB5FC4" w:rsidRDefault="00FF6120" w:rsidP="00FF6120">
      <w:pPr>
        <w:spacing w:after="120" w:line="276" w:lineRule="auto"/>
        <w:ind w:firstLine="708"/>
        <w:jc w:val="both"/>
        <w:rPr>
          <w:rFonts w:ascii="Verdana" w:eastAsia="Calibri" w:hAnsi="Verdana" w:cs="Arial"/>
          <w:color w:val="000000"/>
          <w:lang w:val="es-ES"/>
        </w:rPr>
      </w:pPr>
      <w:r w:rsidRPr="5378C036">
        <w:rPr>
          <w:rFonts w:ascii="Verdana" w:eastAsia="Calibri" w:hAnsi="Verdana" w:cs="Arial"/>
          <w:color w:val="000000"/>
          <w:lang w:val="es-ES"/>
        </w:rPr>
        <w:t>Por su parte, el artículo 11 de la Ley 1150 de 2007 contiene las reglas de tipo procedimental para liquidar los contratos estatales, las cuales se pasan a explicar</w:t>
      </w:r>
      <w:r w:rsidRPr="5378C036">
        <w:rPr>
          <w:rFonts w:ascii="Verdana" w:eastAsia="Calibri" w:hAnsi="Verdana" w:cs="Arial"/>
          <w:color w:val="000000"/>
          <w:vertAlign w:val="superscript"/>
          <w:lang w:val="es-ES"/>
        </w:rPr>
        <w:footnoteReference w:id="7"/>
      </w:r>
      <w:r w:rsidRPr="5378C036">
        <w:rPr>
          <w:rFonts w:ascii="Verdana" w:eastAsia="Calibri" w:hAnsi="Verdana" w:cs="Arial"/>
          <w:color w:val="000000"/>
          <w:lang w:val="es-ES"/>
        </w:rPr>
        <w:t xml:space="preserve">. En primer lugar, en ejercicio de la autonomía de la voluntad y de 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5378C036">
        <w:rPr>
          <w:rFonts w:ascii="Verdana" w:eastAsia="Calibri" w:hAnsi="Verdana" w:cs="Arial"/>
          <w:color w:val="000000"/>
          <w:lang w:val="es-ES"/>
        </w:rPr>
        <w:t>ii</w:t>
      </w:r>
      <w:proofErr w:type="spellEnd"/>
      <w:r w:rsidRPr="5378C036">
        <w:rPr>
          <w:rFonts w:ascii="Verdana" w:eastAsia="Calibri" w:hAnsi="Verdana" w:cs="Arial"/>
          <w:color w:val="000000"/>
          <w:lang w:val="es-ES"/>
        </w:rPr>
        <w:t xml:space="preserve">) la expedición del acto administrativo que ordene la terminación del contrato; o, </w:t>
      </w:r>
      <w:proofErr w:type="spellStart"/>
      <w:r w:rsidRPr="5378C036">
        <w:rPr>
          <w:rFonts w:ascii="Verdana" w:eastAsia="Calibri" w:hAnsi="Verdana" w:cs="Arial"/>
          <w:color w:val="000000"/>
          <w:lang w:val="es-ES"/>
        </w:rPr>
        <w:t>iii</w:t>
      </w:r>
      <w:proofErr w:type="spellEnd"/>
      <w:r w:rsidRPr="5378C036">
        <w:rPr>
          <w:rFonts w:ascii="Verdana" w:eastAsia="Calibri" w:hAnsi="Verdana" w:cs="Arial"/>
          <w:color w:val="000000"/>
          <w:lang w:val="es-ES"/>
        </w:rPr>
        <w:t>) la fecha del acuerdo que disponga la terminación del contrato.</w:t>
      </w:r>
    </w:p>
    <w:p w14:paraId="239A2717" w14:textId="77777777" w:rsidR="00FF6120" w:rsidRPr="004B5D6E" w:rsidRDefault="00FF6120" w:rsidP="00FF6120">
      <w:pPr>
        <w:spacing w:after="120" w:line="276" w:lineRule="auto"/>
        <w:ind w:firstLine="709"/>
        <w:jc w:val="both"/>
        <w:rPr>
          <w:rFonts w:ascii="Verdana" w:eastAsia="Times New Roman" w:hAnsi="Verdana" w:cs="Arial"/>
          <w:lang w:val="es-ES" w:eastAsia="es-ES"/>
        </w:rPr>
      </w:pPr>
      <w:r w:rsidRPr="00D3146C">
        <w:rPr>
          <w:rFonts w:ascii="Verdana" w:eastAsia="Times New Roman" w:hAnsi="Verdana" w:cs="Arial"/>
          <w:lang w:val="es-ES" w:eastAsia="es-ES"/>
        </w:rPr>
        <w:t xml:space="preserve">El artículo 11 de la Ley 1150 de 2007 señala que la liquidación de mutuo acuerdo deberá realizar dentro del plazo previsto en “los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“materializa los principios </w:t>
      </w:r>
      <w:r w:rsidRPr="00D3146C">
        <w:rPr>
          <w:rFonts w:ascii="Verdana" w:eastAsia="Times New Roman" w:hAnsi="Verdana" w:cs="Arial"/>
          <w:lang w:val="es-ES" w:eastAsia="es-ES"/>
        </w:rPr>
        <w:lastRenderedPageBreak/>
        <w:t>de planeación contractual y de trasparencia, comoquiera que su adecuada formulación permite o garantiza la selección objetiva del contratista de acuerdo con los parámetros de calificación correspondientes para cada tipo de procedimiento [y que] constituye la ley tanto del procedimiento administrativo de selección del contratista, como del contrato a</w:t>
      </w:r>
      <w:r w:rsidRPr="00D3146C">
        <w:rPr>
          <w:rFonts w:ascii="Verdana" w:eastAsia="Times New Roman" w:hAnsi="Verdana" w:cs="Arial"/>
          <w:spacing w:val="-7"/>
          <w:lang w:val="es-ES" w:eastAsia="es-ES"/>
        </w:rPr>
        <w:t xml:space="preserve"> </w:t>
      </w:r>
      <w:r w:rsidRPr="00D3146C">
        <w:rPr>
          <w:rFonts w:ascii="Verdana" w:eastAsia="Times New Roman" w:hAnsi="Verdana" w:cs="Arial"/>
          <w:lang w:val="es-ES" w:eastAsia="es-ES"/>
        </w:rPr>
        <w:t>celebrar”</w:t>
      </w:r>
      <w:r w:rsidRPr="00D3146C">
        <w:rPr>
          <w:rFonts w:ascii="Verdana" w:eastAsia="Times New Roman" w:hAnsi="Verdana" w:cs="Arial"/>
          <w:vertAlign w:val="superscript"/>
          <w:lang w:val="es-ES" w:eastAsia="es-ES"/>
        </w:rPr>
        <w:footnoteReference w:id="8"/>
      </w:r>
      <w:r w:rsidRPr="00D3146C">
        <w:rPr>
          <w:rFonts w:ascii="Verdana" w:eastAsia="Times New Roman" w:hAnsi="Verdana" w:cs="Arial"/>
          <w:lang w:val="es-ES" w:eastAsia="es-ES"/>
        </w:rPr>
        <w:t>. A partir de tales características debe determinarse la equivalencia de un documento con un pliego de condiciones, la cual se puede ejemplificar claramente con la invitación a participar en los procesos de mínima cuantía</w:t>
      </w:r>
      <w:r w:rsidRPr="00D3146C">
        <w:rPr>
          <w:rFonts w:ascii="Verdana" w:eastAsia="Times New Roman" w:hAnsi="Verdana" w:cs="Arial"/>
          <w:vertAlign w:val="superscript"/>
          <w:lang w:val="es-ES" w:eastAsia="es-ES"/>
        </w:rPr>
        <w:footnoteReference w:id="9"/>
      </w:r>
      <w:r w:rsidRPr="00D3146C">
        <w:rPr>
          <w:rFonts w:ascii="Verdana" w:eastAsia="Times New Roman" w:hAnsi="Verdana" w:cs="Arial"/>
          <w:lang w:val="es-ES" w:eastAsia="es-ES"/>
        </w:rPr>
        <w:t xml:space="preserve">, documento dentro del cual la entidad contratante debe fijar las reglas aplicables al procedimiento de selección, cumpliendo con la función del pliego de condiciones. En tal sentido, es un documento “equivalente” del mismo en los términos del artículo 11 </w:t>
      </w:r>
      <w:proofErr w:type="spellStart"/>
      <w:r w:rsidRPr="00D3146C">
        <w:rPr>
          <w:rFonts w:ascii="Verdana" w:eastAsia="Times New Roman" w:hAnsi="Verdana" w:cs="Arial"/>
          <w:lang w:val="es-ES" w:eastAsia="es-ES"/>
        </w:rPr>
        <w:t>Ibídem</w:t>
      </w:r>
      <w:proofErr w:type="spellEnd"/>
      <w:r w:rsidRPr="00D3146C">
        <w:rPr>
          <w:rFonts w:ascii="Verdana" w:eastAsia="Times New Roman" w:hAnsi="Verdana" w:cs="Arial"/>
          <w:lang w:val="es-ES" w:eastAsia="es-ES"/>
        </w:rPr>
        <w:t xml:space="preserve">, dentro del cual es viable establecer el plazo para la liquidación de mutuo acuerdo. </w:t>
      </w:r>
    </w:p>
    <w:p w14:paraId="6BDA51CE" w14:textId="77777777" w:rsidR="00FF6120" w:rsidRPr="00FB5FC4" w:rsidRDefault="00FF6120" w:rsidP="00FF6120">
      <w:pPr>
        <w:spacing w:after="120" w:line="276" w:lineRule="auto"/>
        <w:ind w:firstLine="709"/>
        <w:jc w:val="both"/>
        <w:rPr>
          <w:rFonts w:ascii="Verdana" w:eastAsia="Times New Roman" w:hAnsi="Verdana" w:cs="Arial"/>
          <w:lang w:val="es-ES" w:eastAsia="es-ES"/>
        </w:rPr>
      </w:pPr>
      <w:r w:rsidRPr="5378C036">
        <w:rPr>
          <w:rFonts w:ascii="Verdana" w:eastAsia="Times New Roman" w:hAnsi="Verdana" w:cs="Arial"/>
          <w:lang w:val="es-ES" w:eastAsia="es-ES"/>
        </w:rPr>
        <w:t>De otra parte, cuando el artículo 11 de la Ley 1150 de 2007 hace referencia al término que “acuerden las partes”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implica una modificación del contrato. Por tal razón, su celebración debe cumplir con los requisitos del negocio jurídico, ameritando la concurrencia de capacidad jurídica de los agentes, un consentimiento libre de vicios, un objeto y causa lícita, así como la formalidad escrita requerida en materia de contratación estatal</w:t>
      </w:r>
      <w:r w:rsidRPr="5378C036">
        <w:rPr>
          <w:rFonts w:ascii="Verdana" w:eastAsia="Times New Roman" w:hAnsi="Verdana" w:cs="Arial"/>
          <w:vertAlign w:val="superscript"/>
          <w:lang w:val="es-ES" w:eastAsia="es-ES"/>
        </w:rPr>
        <w:footnoteReference w:id="10"/>
      </w:r>
      <w:r w:rsidRPr="5378C036">
        <w:rPr>
          <w:rFonts w:ascii="Verdana" w:eastAsia="Times New Roman" w:hAnsi="Verdana" w:cs="Arial"/>
          <w:lang w:val="es-ES" w:eastAsia="es-ES"/>
        </w:rPr>
        <w:t xml:space="preserve">. </w:t>
      </w:r>
    </w:p>
    <w:p w14:paraId="31812B5F" w14:textId="77777777" w:rsidR="00FF6120" w:rsidRPr="00FB5FC4" w:rsidRDefault="00FF6120" w:rsidP="00FF6120">
      <w:pPr>
        <w:spacing w:after="120" w:line="276" w:lineRule="auto"/>
        <w:ind w:firstLine="709"/>
        <w:jc w:val="both"/>
        <w:rPr>
          <w:rFonts w:ascii="Verdana" w:eastAsia="Calibri" w:hAnsi="Verdana" w:cs="Arial"/>
          <w:lang w:val="es-ES"/>
        </w:rPr>
      </w:pPr>
      <w:r w:rsidRPr="5378C036">
        <w:rPr>
          <w:rFonts w:ascii="Verdana" w:eastAsia="Calibri" w:hAnsi="Verdana" w:cs="Arial"/>
          <w:lang w:val="es-ES"/>
        </w:rPr>
        <w:lastRenderedPageBreak/>
        <w:t>Ahora bien, el término de 4 meses previsto en el artículo 11 de la Ley 1150 de 2007, dado su carácter supletivo, solo resulta aplicable ante la ausencia de 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5378C036">
        <w:rPr>
          <w:rFonts w:ascii="Verdana" w:eastAsia="Calibri" w:hAnsi="Verdana" w:cs="Arial"/>
          <w:vertAlign w:val="superscript"/>
          <w:lang w:val="es-ES"/>
        </w:rPr>
        <w:footnoteReference w:id="11"/>
      </w:r>
      <w:r w:rsidRPr="5378C036">
        <w:rPr>
          <w:rFonts w:ascii="Verdana" w:eastAsia="Calibri" w:hAnsi="Verdana" w:cs="Arial"/>
          <w:lang w:val="es-ES"/>
        </w:rPr>
        <w:t>, lo cual implica que las mismas se desarrollen en procura de la economía y la celeridad</w:t>
      </w:r>
      <w:r w:rsidRPr="5378C036">
        <w:rPr>
          <w:rFonts w:ascii="Verdana" w:eastAsia="Calibri" w:hAnsi="Verdana" w:cs="Arial"/>
          <w:vertAlign w:val="superscript"/>
          <w:lang w:val="es-ES"/>
        </w:rPr>
        <w:footnoteReference w:id="12"/>
      </w:r>
      <w:r w:rsidRPr="5378C036">
        <w:rPr>
          <w:rFonts w:ascii="Verdana" w:eastAsia="Calibri" w:hAnsi="Verdana" w:cs="Arial"/>
          <w:lang w:val="es-ES"/>
        </w:rPr>
        <w:t>. Esto significa que, en ejercicio de la facultad que les asiste para fijar el plazo para la liquidación bilateral, las partes deben actuar en garantía de estos principios, por lo que el término que se acuerde debe fijarse de manera razonable.</w:t>
      </w:r>
    </w:p>
    <w:p w14:paraId="4369A5C4" w14:textId="77777777" w:rsidR="00FF6120" w:rsidRPr="00FB5FC4" w:rsidRDefault="00FF6120" w:rsidP="00FF6120">
      <w:pPr>
        <w:spacing w:after="120" w:line="276" w:lineRule="auto"/>
        <w:ind w:firstLine="709"/>
        <w:jc w:val="both"/>
        <w:rPr>
          <w:rFonts w:ascii="Verdana" w:eastAsia="Calibri" w:hAnsi="Verdana" w:cs="Arial"/>
          <w:color w:val="000000"/>
          <w:lang w:val="es-ES_tradnl"/>
        </w:rPr>
      </w:pPr>
      <w:r w:rsidRPr="00FB5FC4">
        <w:rPr>
          <w:rFonts w:ascii="Verdana" w:eastAsia="Calibri" w:hAnsi="Verdana" w:cs="Arial"/>
          <w:color w:val="000000"/>
          <w:lang w:val="es-ES_tradn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FB5FC4">
        <w:rPr>
          <w:rFonts w:ascii="Verdana" w:eastAsia="Calibri" w:hAnsi="Verdana" w:cs="Arial"/>
          <w:color w:val="000000"/>
          <w:vertAlign w:val="superscript"/>
          <w:lang w:val="es-ES_tradnl"/>
        </w:rPr>
        <w:footnoteReference w:id="13"/>
      </w:r>
      <w:r w:rsidRPr="00FB5FC4">
        <w:rPr>
          <w:rFonts w:ascii="Verdana" w:eastAsia="Calibri" w:hAnsi="Verdana" w:cs="Arial"/>
          <w:color w:val="000000"/>
          <w:lang w:val="es-ES_tradnl"/>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FB5FC4">
        <w:rPr>
          <w:rFonts w:ascii="Verdana" w:eastAsia="Calibri" w:hAnsi="Verdana" w:cs="Arial"/>
          <w:iCs/>
          <w:color w:val="000000"/>
          <w:vertAlign w:val="superscript"/>
          <w:lang w:val="es-ES_tradnl"/>
        </w:rPr>
        <w:footnoteReference w:id="14"/>
      </w:r>
      <w:r w:rsidRPr="00FB5FC4">
        <w:rPr>
          <w:rFonts w:ascii="Verdana" w:eastAsia="Calibri" w:hAnsi="Verdana" w:cs="Arial"/>
          <w:color w:val="000000"/>
          <w:lang w:val="es-ES_tradnl"/>
        </w:rPr>
        <w:t xml:space="preserve">, y </w:t>
      </w:r>
      <w:r w:rsidRPr="00FB5FC4">
        <w:rPr>
          <w:rFonts w:ascii="Verdana" w:eastAsia="Calibri" w:hAnsi="Verdana" w:cs="Arial"/>
          <w:iCs/>
          <w:color w:val="000000"/>
          <w:lang w:val="es-ES_tradnl"/>
        </w:rPr>
        <w:t xml:space="preserve">el documento </w:t>
      </w:r>
      <w:r w:rsidRPr="00FB5FC4">
        <w:rPr>
          <w:rFonts w:ascii="Verdana" w:eastAsia="Calibri" w:hAnsi="Verdana" w:cs="Arial"/>
          <w:iCs/>
          <w:color w:val="000000"/>
          <w:lang w:val="es-ES_tradnl"/>
        </w:rPr>
        <w:lastRenderedPageBreak/>
        <w:t>que la contiene presta mérito ejecutivo, siempre que se satisfagan los elementos para considerarlo como tal</w:t>
      </w:r>
      <w:r w:rsidRPr="00FB5FC4">
        <w:rPr>
          <w:rFonts w:ascii="Verdana" w:eastAsia="Calibri" w:hAnsi="Verdana" w:cs="Arial"/>
          <w:color w:val="000000"/>
          <w:lang w:val="es-ES_tradnl"/>
        </w:rPr>
        <w:t>.</w:t>
      </w:r>
    </w:p>
    <w:p w14:paraId="47092A44" w14:textId="77777777" w:rsidR="00FF6120" w:rsidRPr="00FB5FC4" w:rsidRDefault="00FF6120" w:rsidP="00FF6120">
      <w:pPr>
        <w:spacing w:after="0" w:line="276" w:lineRule="auto"/>
        <w:ind w:firstLine="705"/>
        <w:jc w:val="both"/>
        <w:rPr>
          <w:rFonts w:ascii="Verdana" w:eastAsia="Times New Roman" w:hAnsi="Verdana" w:cs="Arial"/>
          <w:color w:val="000000"/>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Si no es posible efectuar la liquidación de manera bilateral, el ordenamiento jurídico prevé una facultad, de carácter subsidiario, para que la Entidad Estatal realice la liquidación unilateralmente. En relación con este aspecto, la </w:t>
      </w:r>
      <w:r w:rsidRPr="00FB5FC4">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FB5FC4">
        <w:rPr>
          <w:rFonts w:ascii="Verdana" w:eastAsia="Times New Roman" w:hAnsi="Verdana" w:cs="Arial"/>
          <w:color w:val="000000"/>
          <w:bdr w:val="none" w:sz="0" w:space="0" w:color="auto" w:frame="1"/>
          <w:shd w:val="clear" w:color="auto" w:fill="FFFFFF"/>
          <w:lang w:val="es-ES" w:eastAsia="es-ES_tradnl"/>
        </w:rPr>
        <w:t>Consejo de Estado</w:t>
      </w:r>
      <w:r w:rsidRPr="00FB5FC4">
        <w:rPr>
          <w:rFonts w:ascii="Verdana" w:eastAsia="Times New Roman" w:hAnsi="Verdana" w:cs="Arial"/>
          <w:color w:val="000000"/>
          <w:bdr w:val="none" w:sz="0" w:space="0" w:color="auto" w:frame="1"/>
          <w:shd w:val="clear" w:color="auto" w:fill="FFFFFF"/>
          <w:lang w:val="es-MX" w:eastAsia="es-ES_tradnl"/>
        </w:rPr>
        <w:t>, en concepto del 28 de junio de 2016</w:t>
      </w:r>
      <w:r w:rsidRPr="00FB5FC4">
        <w:rPr>
          <w:rFonts w:ascii="Verdana" w:eastAsia="Times New Roman" w:hAnsi="Verdana" w:cs="Arial"/>
          <w:color w:val="000000"/>
          <w:bdr w:val="none" w:sz="0" w:space="0" w:color="auto" w:frame="1"/>
          <w:shd w:val="clear" w:color="auto" w:fill="FFFFFF"/>
          <w:vertAlign w:val="superscript"/>
          <w:lang w:val="es-MX" w:eastAsia="es-ES_tradnl"/>
        </w:rPr>
        <w:footnoteReference w:id="15"/>
      </w:r>
      <w:r w:rsidRPr="00FB5FC4">
        <w:rPr>
          <w:rFonts w:ascii="Verdana" w:eastAsia="Times New Roman" w:hAnsi="Verdana" w:cs="Arial"/>
          <w:color w:val="000000"/>
          <w:bdr w:val="none" w:sz="0" w:space="0" w:color="auto" w:frame="1"/>
          <w:shd w:val="clear" w:color="auto" w:fill="FFFFFF"/>
          <w:lang w:val="es-MX" w:eastAsia="es-ES_tradnl"/>
        </w:rPr>
        <w:t>, manifestó que:  </w:t>
      </w:r>
    </w:p>
    <w:p w14:paraId="45A75948" w14:textId="77777777" w:rsidR="00FF6120" w:rsidRPr="00FB5FC4" w:rsidRDefault="00FF6120" w:rsidP="00FF6120">
      <w:pPr>
        <w:spacing w:after="0" w:line="276" w:lineRule="auto"/>
        <w:ind w:left="705" w:right="750"/>
        <w:jc w:val="both"/>
        <w:rPr>
          <w:rFonts w:ascii="Verdana" w:eastAsia="Times New Roman" w:hAnsi="Verdana" w:cs="Arial"/>
          <w:color w:val="000000"/>
          <w:lang w:eastAsia="es-ES_tradnl"/>
        </w:rPr>
      </w:pPr>
    </w:p>
    <w:p w14:paraId="4018EC2F" w14:textId="77777777" w:rsidR="00FF6120" w:rsidRPr="004B5D6E" w:rsidRDefault="00FF6120" w:rsidP="00FF6120">
      <w:pPr>
        <w:spacing w:after="0" w:line="240" w:lineRule="auto"/>
        <w:ind w:left="705" w:right="750"/>
        <w:jc w:val="both"/>
        <w:rPr>
          <w:rFonts w:ascii="Verdana" w:eastAsia="Times New Roman" w:hAnsi="Verdana" w:cs="Arial"/>
          <w:color w:val="000000"/>
          <w:sz w:val="21"/>
          <w:szCs w:val="21"/>
          <w:lang w:eastAsia="es-ES_tradnl"/>
        </w:rPr>
      </w:pPr>
      <w:r w:rsidRPr="004B5D6E">
        <w:rPr>
          <w:rFonts w:ascii="Verdana" w:eastAsia="Times New Roman" w:hAnsi="Verdana" w:cs="Arial"/>
          <w:i/>
          <w:iCs/>
          <w:sz w:val="21"/>
          <w:szCs w:val="21"/>
          <w:lang w:val="es-ES_tradnl" w:eastAsia="es-ES_tradnl"/>
        </w:rPr>
        <w:t>“</w:t>
      </w:r>
      <w:r w:rsidRPr="004B5D6E">
        <w:rPr>
          <w:rFonts w:ascii="Verdana" w:eastAsia="Calibri" w:hAnsi="Verdana" w:cs="Arial"/>
          <w:color w:val="000000"/>
          <w:sz w:val="21"/>
          <w:szCs w:val="21"/>
          <w:lang w:val="es-ES" w:eastAsia="es-ES_tradnl"/>
        </w:rPr>
        <w:t>[</w:t>
      </w:r>
      <w:r w:rsidRPr="004B5D6E">
        <w:rPr>
          <w:rFonts w:ascii="Verdana" w:eastAsia="Times New Roman" w:hAnsi="Verdana" w:cs="Arial"/>
          <w:color w:val="000000"/>
          <w:sz w:val="21"/>
          <w:szCs w:val="21"/>
          <w:bdr w:val="none" w:sz="0" w:space="0" w:color="auto" w:frame="1"/>
          <w:shd w:val="clear" w:color="auto" w:fill="FFFFFF"/>
          <w:lang w:eastAsia="es-ES_tradnl"/>
        </w:rPr>
        <w:t>…]</w:t>
      </w:r>
      <w:r w:rsidRPr="004B5D6E">
        <w:rPr>
          <w:rFonts w:ascii="Verdana" w:eastAsia="Times New Roman" w:hAnsi="Verdana" w:cs="Arial"/>
          <w:color w:val="000000"/>
          <w:sz w:val="21"/>
          <w:szCs w:val="21"/>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Pr>
          <w:rFonts w:ascii="Verdana" w:eastAsia="Times New Roman" w:hAnsi="Verdana" w:cs="Arial"/>
          <w:color w:val="000000"/>
          <w:sz w:val="21"/>
          <w:szCs w:val="21"/>
          <w:bdr w:val="none" w:sz="0" w:space="0" w:color="auto" w:frame="1"/>
          <w:shd w:val="clear" w:color="auto" w:fill="FFFFFF"/>
          <w:lang w:val="es-ES" w:eastAsia="es-ES_tradnl"/>
        </w:rPr>
        <w:t>”</w:t>
      </w:r>
      <w:r w:rsidRPr="004B5D6E">
        <w:rPr>
          <w:rFonts w:ascii="Verdana" w:eastAsia="Times New Roman" w:hAnsi="Verdana" w:cs="Arial"/>
          <w:color w:val="000000"/>
          <w:sz w:val="21"/>
          <w:szCs w:val="21"/>
          <w:bdr w:val="none" w:sz="0" w:space="0" w:color="auto" w:frame="1"/>
          <w:shd w:val="clear" w:color="auto" w:fill="FFFFFF"/>
          <w:lang w:val="es-ES" w:eastAsia="es-ES_tradnl"/>
        </w:rPr>
        <w:t>. </w:t>
      </w:r>
      <w:r w:rsidRPr="004B5D6E">
        <w:rPr>
          <w:rFonts w:ascii="Verdana" w:eastAsia="Times New Roman" w:hAnsi="Verdana" w:cs="Arial"/>
          <w:color w:val="000000"/>
          <w:sz w:val="21"/>
          <w:szCs w:val="21"/>
          <w:bdr w:val="none" w:sz="0" w:space="0" w:color="auto" w:frame="1"/>
          <w:shd w:val="clear" w:color="auto" w:fill="FFFFFF"/>
          <w:lang w:eastAsia="es-ES_tradnl"/>
        </w:rPr>
        <w:t>  </w:t>
      </w:r>
    </w:p>
    <w:p w14:paraId="1729966D" w14:textId="77777777" w:rsidR="00FF6120" w:rsidRPr="00FB5FC4" w:rsidRDefault="00FF6120" w:rsidP="00FF6120">
      <w:pPr>
        <w:spacing w:after="0" w:line="276" w:lineRule="auto"/>
        <w:ind w:left="705" w:right="750"/>
        <w:jc w:val="both"/>
        <w:rPr>
          <w:rFonts w:ascii="Verdana" w:eastAsia="Times New Roman" w:hAnsi="Verdana" w:cs="Arial"/>
          <w:color w:val="000000"/>
          <w:lang w:eastAsia="es-ES_tradnl"/>
        </w:rPr>
      </w:pPr>
    </w:p>
    <w:p w14:paraId="317C94C9" w14:textId="77777777" w:rsidR="00FF6120" w:rsidRPr="00FB5FC4" w:rsidRDefault="00FF6120" w:rsidP="00FF6120">
      <w:pPr>
        <w:spacing w:after="120" w:line="276" w:lineRule="auto"/>
        <w:ind w:firstLine="705"/>
        <w:jc w:val="both"/>
        <w:rPr>
          <w:rFonts w:ascii="Verdana" w:eastAsia="Times New Roman" w:hAnsi="Verdana" w:cs="Arial"/>
          <w:color w:val="000000"/>
          <w:lang w:eastAsia="es-ES_tradnl"/>
        </w:rPr>
      </w:pPr>
      <w:bookmarkStart w:id="10" w:name="_Hlk141851266"/>
      <w:r w:rsidRPr="00FB5FC4">
        <w:rPr>
          <w:rFonts w:ascii="Verdana" w:eastAsia="Times New Roman" w:hAnsi="Verdana" w:cs="Arial"/>
          <w:color w:val="000000"/>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1364BDE9" w14:textId="77777777" w:rsidR="00FF6120" w:rsidRPr="00FB5FC4" w:rsidRDefault="00FF6120" w:rsidP="00FF6120">
      <w:pPr>
        <w:spacing w:after="0" w:line="276" w:lineRule="auto"/>
        <w:ind w:firstLine="705"/>
        <w:jc w:val="both"/>
        <w:rPr>
          <w:rFonts w:ascii="Verdana" w:eastAsia="Times New Roman" w:hAnsi="Verdana" w:cs="Arial"/>
          <w:color w:val="000000"/>
          <w:bdr w:val="none" w:sz="0" w:space="0" w:color="auto" w:frame="1"/>
          <w:shd w:val="clear" w:color="auto" w:fill="FFFFFF"/>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10"/>
      <w:r w:rsidRPr="00FB5FC4">
        <w:rPr>
          <w:rFonts w:ascii="Verdana" w:eastAsia="Times New Roman" w:hAnsi="Verdana" w:cs="Arial"/>
          <w:color w:val="000000"/>
          <w:bdr w:val="none" w:sz="0" w:space="0" w:color="auto" w:frame="1"/>
          <w:shd w:val="clear" w:color="auto" w:fill="FFFFFF"/>
          <w:lang w:val="es-ES" w:eastAsia="es-ES_tradnl"/>
        </w:rPr>
        <w:t xml:space="preserve">En este sentido, en decisión de unificación de la </w:t>
      </w:r>
      <w:r w:rsidRPr="00FB5FC4">
        <w:rPr>
          <w:rFonts w:ascii="Verdana" w:eastAsia="Times New Roman" w:hAnsi="Verdana" w:cs="Arial"/>
          <w:color w:val="000000"/>
          <w:bdr w:val="none" w:sz="0" w:space="0" w:color="auto" w:frame="1"/>
          <w:shd w:val="clear" w:color="auto" w:fill="FFFFFF"/>
          <w:lang w:val="es-MX" w:eastAsia="es-ES_tradnl"/>
        </w:rPr>
        <w:t>Sección Tercera</w:t>
      </w:r>
      <w:r w:rsidRPr="00FB5FC4">
        <w:rPr>
          <w:rFonts w:ascii="Verdana" w:eastAsia="Times New Roman" w:hAnsi="Verdana" w:cs="Arial"/>
          <w:color w:val="000000"/>
          <w:bdr w:val="none" w:sz="0" w:space="0" w:color="auto" w:frame="1"/>
          <w:shd w:val="clear" w:color="auto" w:fill="FFFFFF"/>
          <w:lang w:val="es-ES" w:eastAsia="es-ES_tradnl"/>
        </w:rPr>
        <w:t xml:space="preserve"> del Consejo de Estado del</w:t>
      </w:r>
      <w:r w:rsidRPr="00FB5FC4">
        <w:rPr>
          <w:rFonts w:ascii="Verdana" w:eastAsia="Times New Roman" w:hAnsi="Verdana" w:cs="Arial"/>
          <w:color w:val="000000"/>
          <w:bdr w:val="none" w:sz="0" w:space="0" w:color="auto" w:frame="1"/>
          <w:shd w:val="clear" w:color="auto" w:fill="FFFFFF"/>
          <w:lang w:val="es-MX" w:eastAsia="es-ES_tradnl"/>
        </w:rPr>
        <w:t> </w:t>
      </w:r>
      <w:r w:rsidRPr="00FB5FC4">
        <w:rPr>
          <w:rFonts w:ascii="Verdana" w:eastAsia="Times New Roman" w:hAnsi="Verdana" w:cs="Arial"/>
          <w:color w:val="000000"/>
          <w:bdr w:val="none" w:sz="0" w:space="0" w:color="auto" w:frame="1"/>
          <w:shd w:val="clear" w:color="auto" w:fill="FFFFFF"/>
          <w:lang w:eastAsia="es-ES_tradnl"/>
        </w:rPr>
        <w:t>1 de agosto de 2019, se expresó: </w:t>
      </w:r>
    </w:p>
    <w:p w14:paraId="1AD653C9" w14:textId="77777777" w:rsidR="00FF6120" w:rsidRPr="00FB5FC4" w:rsidRDefault="00FF6120" w:rsidP="00FF6120">
      <w:pPr>
        <w:spacing w:after="0" w:line="276" w:lineRule="auto"/>
        <w:ind w:firstLine="705"/>
        <w:jc w:val="both"/>
        <w:rPr>
          <w:rFonts w:ascii="Verdana" w:eastAsia="Times New Roman" w:hAnsi="Verdana" w:cs="Arial"/>
          <w:color w:val="000000"/>
          <w:lang w:eastAsia="es-ES_tradnl"/>
        </w:rPr>
      </w:pPr>
    </w:p>
    <w:p w14:paraId="2B590C14" w14:textId="77777777" w:rsidR="00FF6120" w:rsidRPr="004B5D6E" w:rsidRDefault="00FF6120" w:rsidP="00FF6120">
      <w:pPr>
        <w:spacing w:after="0" w:line="240" w:lineRule="auto"/>
        <w:ind w:left="705" w:right="750"/>
        <w:jc w:val="both"/>
        <w:rPr>
          <w:rFonts w:ascii="Verdana" w:eastAsia="Times New Roman" w:hAnsi="Verdana" w:cs="Arial"/>
          <w:color w:val="000000"/>
          <w:sz w:val="21"/>
          <w:szCs w:val="21"/>
          <w:lang w:eastAsia="es-ES_tradnl"/>
        </w:rPr>
      </w:pPr>
      <w:r w:rsidRPr="004B5D6E">
        <w:rPr>
          <w:rFonts w:ascii="Verdana" w:eastAsia="Times New Roman" w:hAnsi="Verdana" w:cs="Arial"/>
          <w:sz w:val="21"/>
          <w:szCs w:val="21"/>
          <w:lang w:val="es-ES_tradnl" w:eastAsia="es-ES_tradnl"/>
        </w:rPr>
        <w:t>“</w:t>
      </w:r>
      <w:r w:rsidRPr="004B5D6E">
        <w:rPr>
          <w:rFonts w:ascii="Verdana" w:eastAsia="Times New Roman" w:hAnsi="Verdana" w:cs="Arial"/>
          <w:color w:val="000000"/>
          <w:sz w:val="21"/>
          <w:szCs w:val="21"/>
          <w:bdr w:val="none" w:sz="0" w:space="0" w:color="auto" w:frame="1"/>
          <w:shd w:val="clear" w:color="auto" w:fill="FFFFFF"/>
          <w:lang w:val="es-ES" w:eastAsia="es-ES_tradnl"/>
        </w:rPr>
        <w:t xml:space="preserve">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w:t>
      </w:r>
      <w:r w:rsidRPr="004B5D6E">
        <w:rPr>
          <w:rFonts w:ascii="Verdana" w:eastAsia="Times New Roman" w:hAnsi="Verdana" w:cs="Arial"/>
          <w:color w:val="000000"/>
          <w:sz w:val="21"/>
          <w:szCs w:val="21"/>
          <w:bdr w:val="none" w:sz="0" w:space="0" w:color="auto" w:frame="1"/>
          <w:shd w:val="clear" w:color="auto" w:fill="FFFFFF"/>
          <w:lang w:val="es-ES" w:eastAsia="es-ES_tradnl"/>
        </w:rPr>
        <w:lastRenderedPageBreak/>
        <w:t>e  incluso, después de haber pasado los dos meses subsiguientes a dicho vencimiento sin que la administración lo hubiera liquidado unilateralmente, bajo condición de que el acuerdo </w:t>
      </w:r>
      <w:proofErr w:type="spellStart"/>
      <w:r w:rsidRPr="004B5D6E">
        <w:rPr>
          <w:rFonts w:ascii="Verdana" w:eastAsia="Times New Roman" w:hAnsi="Verdana" w:cs="Arial"/>
          <w:color w:val="000000"/>
          <w:sz w:val="21"/>
          <w:szCs w:val="21"/>
          <w:bdr w:val="none" w:sz="0" w:space="0" w:color="auto" w:frame="1"/>
          <w:shd w:val="clear" w:color="auto" w:fill="FFFFFF"/>
          <w:lang w:val="es-ES" w:eastAsia="es-ES_tradnl"/>
        </w:rPr>
        <w:t>liquidatorio</w:t>
      </w:r>
      <w:proofErr w:type="spellEnd"/>
      <w:r w:rsidRPr="004B5D6E">
        <w:rPr>
          <w:rFonts w:ascii="Verdana" w:eastAsia="Times New Roman" w:hAnsi="Verdana" w:cs="Arial"/>
          <w:color w:val="000000"/>
          <w:sz w:val="21"/>
          <w:szCs w:val="21"/>
          <w:bdr w:val="none" w:sz="0" w:space="0" w:color="auto" w:frame="1"/>
          <w:shd w:val="clear" w:color="auto" w:fill="FFFFFF"/>
          <w:lang w:val="es-ES" w:eastAsia="es-ES_tradnl"/>
        </w:rPr>
        <w:t> se logre dentro del lapso de dos años contados a partir del vencimiento del término legalmente conocido para la liquidación unilateral, pues ese es el lapso que el ordenamiento ha fijado para el ejercicio oportuno de la acción</w:t>
      </w:r>
      <w:r w:rsidRPr="004B5D6E">
        <w:rPr>
          <w:rFonts w:ascii="Verdana" w:eastAsia="Times New Roman" w:hAnsi="Verdana" w:cs="Arial"/>
          <w:sz w:val="21"/>
          <w:szCs w:val="21"/>
          <w:lang w:val="es-ES_tradnl" w:eastAsia="es-ES_tradnl"/>
        </w:rPr>
        <w:t>”</w:t>
      </w:r>
      <w:r w:rsidRPr="004B5D6E">
        <w:rPr>
          <w:rFonts w:ascii="Verdana" w:eastAsia="Times New Roman" w:hAnsi="Verdana" w:cs="Arial"/>
          <w:color w:val="000000"/>
          <w:bdr w:val="none" w:sz="0" w:space="0" w:color="auto" w:frame="1"/>
          <w:shd w:val="clear" w:color="auto" w:fill="FFFFFF"/>
          <w:vertAlign w:val="superscript"/>
          <w:lang w:eastAsia="es-ES_tradnl"/>
        </w:rPr>
        <w:t xml:space="preserve"> </w:t>
      </w:r>
      <w:r w:rsidRPr="004B5D6E">
        <w:rPr>
          <w:rFonts w:ascii="Verdana" w:eastAsia="Times New Roman" w:hAnsi="Verdana" w:cs="Arial"/>
          <w:color w:val="000000"/>
          <w:bdr w:val="none" w:sz="0" w:space="0" w:color="auto" w:frame="1"/>
          <w:shd w:val="clear" w:color="auto" w:fill="FFFFFF"/>
          <w:vertAlign w:val="superscript"/>
          <w:lang w:eastAsia="es-ES_tradnl"/>
        </w:rPr>
        <w:footnoteReference w:id="16"/>
      </w:r>
      <w:r w:rsidRPr="004B5D6E">
        <w:rPr>
          <w:rFonts w:ascii="Verdana" w:eastAsia="Times New Roman" w:hAnsi="Verdana" w:cs="Arial"/>
          <w:sz w:val="21"/>
          <w:szCs w:val="21"/>
          <w:lang w:val="es-ES_tradnl" w:eastAsia="es-ES_tradnl"/>
        </w:rPr>
        <w:t>.</w:t>
      </w:r>
      <w:r w:rsidRPr="004B5D6E">
        <w:rPr>
          <w:rFonts w:ascii="Verdana" w:eastAsia="Times New Roman" w:hAnsi="Verdana" w:cs="Arial"/>
          <w:color w:val="000000"/>
          <w:sz w:val="21"/>
          <w:szCs w:val="21"/>
          <w:bdr w:val="none" w:sz="0" w:space="0" w:color="auto" w:frame="1"/>
          <w:shd w:val="clear" w:color="auto" w:fill="FFFFFF"/>
          <w:lang w:val="es-ES" w:eastAsia="es-ES_tradnl"/>
        </w:rPr>
        <w:t> </w:t>
      </w:r>
    </w:p>
    <w:p w14:paraId="12312EBD" w14:textId="77777777" w:rsidR="00FF6120" w:rsidRPr="00FB5FC4" w:rsidRDefault="00FF6120" w:rsidP="00FF6120">
      <w:pPr>
        <w:spacing w:after="0" w:line="276" w:lineRule="auto"/>
        <w:ind w:firstLine="708"/>
        <w:jc w:val="both"/>
        <w:rPr>
          <w:rFonts w:ascii="Verdana" w:eastAsia="Times New Roman" w:hAnsi="Verdana" w:cs="Arial"/>
          <w:color w:val="000000"/>
          <w:lang w:eastAsia="es-ES_tradnl"/>
        </w:rPr>
      </w:pPr>
    </w:p>
    <w:p w14:paraId="03DAC97A" w14:textId="77777777" w:rsidR="00FF6120"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sidRPr="00FB5FC4">
        <w:rPr>
          <w:rFonts w:ascii="Verdana" w:eastAsia="Times New Roman" w:hAnsi="Verdana" w:cs="Arial"/>
          <w:color w:val="000000"/>
          <w:bdr w:val="none" w:sz="0" w:space="0" w:color="auto" w:frame="1"/>
          <w:shd w:val="clear" w:color="auto" w:fill="FFFFFF"/>
          <w:lang w:eastAsia="es-ES_tradnl"/>
        </w:rPr>
        <w:t>A su turno</w:t>
      </w:r>
      <w:r>
        <w:rPr>
          <w:rFonts w:ascii="Verdana" w:eastAsia="Times New Roman" w:hAnsi="Verdana" w:cs="Arial"/>
          <w:color w:val="000000"/>
          <w:bdr w:val="none" w:sz="0" w:space="0" w:color="auto" w:frame="1"/>
          <w:shd w:val="clear" w:color="auto" w:fill="FFFFFF"/>
          <w:lang w:eastAsia="es-ES_tradnl"/>
        </w:rPr>
        <w:t xml:space="preserve">, la liquidación judicial hace parte de una de las pretensiones que admite el medio de control de controversias contractuales. Al respecto, el artículo 141 de la Ley 1437 de 2011 dispone que “[…] </w:t>
      </w:r>
      <w:r w:rsidRPr="00F915F3">
        <w:rPr>
          <w:rFonts w:ascii="Verdana" w:eastAsia="Times New Roman" w:hAnsi="Verdana" w:cs="Arial"/>
          <w:color w:val="000000"/>
          <w:bdr w:val="none" w:sz="0" w:space="0" w:color="auto" w:frame="1"/>
          <w:shd w:val="clear" w:color="auto" w:fill="FFFFFF"/>
          <w:lang w:eastAsia="es-ES_tradnl"/>
        </w:rPr>
        <w:t xml:space="preserve">el interesado podrá </w:t>
      </w:r>
      <w:bookmarkStart w:id="11" w:name="_Hlk172560769"/>
      <w:r w:rsidRPr="00F915F3">
        <w:rPr>
          <w:rFonts w:ascii="Verdana" w:eastAsia="Times New Roman" w:hAnsi="Verdana" w:cs="Arial"/>
          <w:color w:val="000000"/>
          <w:bdr w:val="none" w:sz="0" w:space="0" w:color="auto" w:frame="1"/>
          <w:shd w:val="clear" w:color="auto" w:fill="FFFFFF"/>
          <w:lang w:eastAsia="es-ES_tradnl"/>
        </w:rPr>
        <w:t>solicitar la liquidación judicial</w:t>
      </w:r>
      <w:bookmarkEnd w:id="11"/>
      <w:r w:rsidRPr="00F915F3">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w:t>
      </w:r>
      <w:r>
        <w:rPr>
          <w:rFonts w:ascii="Verdana" w:eastAsia="Times New Roman" w:hAnsi="Verdana" w:cs="Arial"/>
          <w:color w:val="000000"/>
          <w:bdr w:val="none" w:sz="0" w:space="0" w:color="auto" w:frame="1"/>
          <w:shd w:val="clear" w:color="auto" w:fill="FFFFFF"/>
          <w:lang w:eastAsia="es-ES_tradnl"/>
        </w:rPr>
        <w:t>”</w:t>
      </w:r>
      <w:r w:rsidRPr="00F915F3">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Bajo esta perspectiva, para la entidad cesa la facultad de liquidar bilateral o unilateralmente, ya que el tema pasa de la administración a la jurisdicción. </w:t>
      </w:r>
    </w:p>
    <w:p w14:paraId="7B70055D" w14:textId="77777777" w:rsidR="00FF6120" w:rsidRDefault="00FF6120" w:rsidP="00FF6120">
      <w:pPr>
        <w:spacing w:after="120" w:line="276" w:lineRule="auto"/>
        <w:ind w:firstLine="709"/>
        <w:jc w:val="both"/>
        <w:rPr>
          <w:rFonts w:ascii="Verdana" w:eastAsia="Calibri" w:hAnsi="Verdana" w:cs="Arial"/>
          <w:lang w:val="es-ES"/>
        </w:rPr>
      </w:pPr>
      <w:r>
        <w:rPr>
          <w:rFonts w:ascii="Verdana" w:eastAsia="Calibri" w:hAnsi="Verdana" w:cs="Arial"/>
          <w:lang w:val="es-ES"/>
        </w:rPr>
        <w:t>En este punto, es pertinente aclarar que, en relación con el término de caducidad para demandar en aquellos contratos que requieran liquidación, la jurisprudencia unificada del Consejo de Estado ha determinado que, en virtud del artículo 164 de la Ley 1437 de 2011 -CPACA-, la regla general es que los dos (2) años comiencen a correr a partir de la fecha de expedición del acta de liquidación, bien sea unilateral o de mutuo acuerdo. Solo en caso de que no exista liquidación de ningún tipo, el término de dos (2) años comienza a contar a partir de la suma de los seis (6) meses de que trata el artículo 11 de la Ley 1150 de 2011.</w:t>
      </w:r>
    </w:p>
    <w:p w14:paraId="138ABBE5" w14:textId="77777777" w:rsidR="00FF6120" w:rsidRDefault="00FF6120" w:rsidP="00FF6120">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Así las cosas, es claro que el ordenamiento jurídico vigente permite la liquidación unilateral, bilateral e incluso judicial una vez vencido el plazo establecido por el artículo 11 de la Ley 1150 de 2007. En otras palabras, la liquidación final de los contratos estatales tiene un ámbito temporal que empieza con la terminación del contrato y comprende: i) el periodo contractual pactado por las partes o supletivo legal –de cuatro (4) meses– para la liquidación bilateral; </w:t>
      </w:r>
      <w:proofErr w:type="spellStart"/>
      <w:r>
        <w:rPr>
          <w:rFonts w:ascii="Verdana" w:eastAsia="Calibri" w:hAnsi="Verdana" w:cs="Arial"/>
          <w:lang w:val="es-ES"/>
        </w:rPr>
        <w:t>ii</w:t>
      </w:r>
      <w:proofErr w:type="spellEnd"/>
      <w:r>
        <w:rPr>
          <w:rFonts w:ascii="Verdana" w:eastAsia="Calibri" w:hAnsi="Verdana" w:cs="Arial"/>
          <w:lang w:val="es-ES"/>
        </w:rPr>
        <w:t xml:space="preserve">) más el período legal para la liquidación unilateral –de dos (2) meses–; </w:t>
      </w:r>
      <w:proofErr w:type="spellStart"/>
      <w:r>
        <w:rPr>
          <w:rFonts w:ascii="Verdana" w:eastAsia="Calibri" w:hAnsi="Verdana" w:cs="Arial"/>
          <w:lang w:val="es-ES"/>
        </w:rPr>
        <w:t>iii</w:t>
      </w:r>
      <w:proofErr w:type="spellEnd"/>
      <w:r>
        <w:rPr>
          <w:rFonts w:ascii="Verdana" w:eastAsia="Calibri" w:hAnsi="Verdana" w:cs="Arial"/>
          <w:lang w:val="es-ES"/>
        </w:rPr>
        <w:t>) más el plazo de dos (2) años para hacerlo de mutuo acuerdo o unilateralmente, sin perjuicio de que se solicite la liquidación judicial.</w:t>
      </w:r>
    </w:p>
    <w:p w14:paraId="4C570473" w14:textId="77777777" w:rsidR="00FF6120"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hAnsi="Verdana" w:cs="Arial"/>
          <w:color w:val="000000" w:themeColor="text1"/>
          <w:lang w:val="es-ES"/>
        </w:rPr>
        <w:lastRenderedPageBreak/>
        <w:t>En ese orden de ideas, si se trata de un contrato en el cual no existe pacto sobre el término para la liquidación bilateral, el término supletivo aplicaría, y se podría liquidar el contrato dentro de los cuatro (4) meses siguientes a su terminación de manera bilateral, dentro de los dos (2) meses siguientes a ellos de manera unilateral por la entidad, más un plazo de dos (2) años para la liquidación unilateral, bilateral o judicial. Esto, para un total de dos (2) años y seis (6) meses.  Estos términos pueden verse modificados si las partes acuerdan un plazo mayor o menor para realizar la liquidación de mutuo acuerdo, con lo cual dejaría de estar incluido el término supletivo de la Ley 1150 de 2007</w:t>
      </w:r>
    </w:p>
    <w:p w14:paraId="41529BD3" w14:textId="77777777" w:rsidR="00FF6120" w:rsidRPr="00EF67E9"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val="es-ES" w:eastAsia="es-ES_tradnl"/>
        </w:rPr>
      </w:pPr>
      <w:r w:rsidRPr="009F19CA">
        <w:rPr>
          <w:rFonts w:ascii="Verdana" w:eastAsia="Times New Roman" w:hAnsi="Verdana" w:cs="Arial"/>
          <w:color w:val="000000"/>
          <w:bdr w:val="none" w:sz="0" w:space="0" w:color="auto" w:frame="1"/>
          <w:shd w:val="clear" w:color="auto" w:fill="FFFFFF"/>
          <w:lang w:val="es-ES" w:eastAsia="es-ES_tradnl"/>
        </w:rPr>
        <w:t>En este contexto,</w:t>
      </w:r>
      <w:r>
        <w:rPr>
          <w:rFonts w:ascii="Verdana" w:eastAsia="Times New Roman" w:hAnsi="Verdana" w:cs="Arial"/>
          <w:color w:val="000000"/>
          <w:bdr w:val="none" w:sz="0" w:space="0" w:color="auto" w:frame="1"/>
          <w:shd w:val="clear" w:color="auto" w:fill="FFFFFF"/>
          <w:lang w:val="es-ES" w:eastAsia="es-ES_tradnl"/>
        </w:rPr>
        <w:t xml:space="preserve"> de cara a la consulta planteada, se precisa que</w:t>
      </w:r>
      <w:r w:rsidRPr="009F19CA">
        <w:rPr>
          <w:rFonts w:ascii="Verdana" w:eastAsia="Times New Roman" w:hAnsi="Verdana" w:cs="Arial"/>
          <w:color w:val="000000"/>
          <w:bdr w:val="none" w:sz="0" w:space="0" w:color="auto" w:frame="1"/>
          <w:shd w:val="clear" w:color="auto" w:fill="FFFFFF"/>
          <w:lang w:val="es-ES" w:eastAsia="es-ES_tradnl"/>
        </w:rPr>
        <w:t xml:space="preserve"> la </w:t>
      </w:r>
      <w:r>
        <w:rPr>
          <w:rFonts w:ascii="Verdana" w:eastAsia="Times New Roman" w:hAnsi="Verdana" w:cs="Arial"/>
          <w:color w:val="000000"/>
          <w:bdr w:val="none" w:sz="0" w:space="0" w:color="auto" w:frame="1"/>
          <w:shd w:val="clear" w:color="auto" w:fill="FFFFFF"/>
          <w:lang w:val="es-ES" w:eastAsia="es-ES_tradnl"/>
        </w:rPr>
        <w:t>e</w:t>
      </w:r>
      <w:r w:rsidRPr="009F19CA">
        <w:rPr>
          <w:rFonts w:ascii="Verdana" w:eastAsia="Times New Roman" w:hAnsi="Verdana" w:cs="Arial"/>
          <w:color w:val="000000"/>
          <w:bdr w:val="none" w:sz="0" w:space="0" w:color="auto" w:frame="1"/>
          <w:shd w:val="clear" w:color="auto" w:fill="FFFFFF"/>
          <w:lang w:val="es-ES" w:eastAsia="es-ES_tradnl"/>
        </w:rPr>
        <w:t xml:space="preserve">ntidad </w:t>
      </w:r>
      <w:r>
        <w:rPr>
          <w:rFonts w:ascii="Verdana" w:eastAsia="Times New Roman" w:hAnsi="Verdana" w:cs="Arial"/>
          <w:color w:val="000000"/>
          <w:bdr w:val="none" w:sz="0" w:space="0" w:color="auto" w:frame="1"/>
          <w:shd w:val="clear" w:color="auto" w:fill="FFFFFF"/>
          <w:lang w:val="es-ES" w:eastAsia="es-ES_tradnl"/>
        </w:rPr>
        <w:t>e</w:t>
      </w:r>
      <w:r w:rsidRPr="009F19CA">
        <w:rPr>
          <w:rFonts w:ascii="Verdana" w:eastAsia="Times New Roman" w:hAnsi="Verdana" w:cs="Arial"/>
          <w:color w:val="000000"/>
          <w:bdr w:val="none" w:sz="0" w:space="0" w:color="auto" w:frame="1"/>
          <w:shd w:val="clear" w:color="auto" w:fill="FFFFFF"/>
          <w:lang w:val="es-ES" w:eastAsia="es-ES_tradnl"/>
        </w:rPr>
        <w:t>statal pierde competencia para liquidar el contrato</w:t>
      </w:r>
      <w:r>
        <w:rPr>
          <w:rFonts w:ascii="Verdana" w:eastAsia="Times New Roman" w:hAnsi="Verdana" w:cs="Arial"/>
          <w:color w:val="000000"/>
          <w:bdr w:val="none" w:sz="0" w:space="0" w:color="auto" w:frame="1"/>
          <w:shd w:val="clear" w:color="auto" w:fill="FFFFFF"/>
          <w:lang w:val="es-ES" w:eastAsia="es-ES_tradnl"/>
        </w:rPr>
        <w:t xml:space="preserve"> en estos dos eventos: i)</w:t>
      </w:r>
      <w:r w:rsidRPr="009F19CA">
        <w:rPr>
          <w:rFonts w:ascii="Verdana" w:eastAsia="Times New Roman" w:hAnsi="Verdana" w:cs="Arial"/>
          <w:color w:val="000000"/>
          <w:bdr w:val="none" w:sz="0" w:space="0" w:color="auto" w:frame="1"/>
          <w:shd w:val="clear" w:color="auto" w:fill="FFFFFF"/>
          <w:lang w:val="es-ES" w:eastAsia="es-ES_tradnl"/>
        </w:rPr>
        <w:t xml:space="preserve"> cuando se ha superado </w:t>
      </w:r>
      <w:r>
        <w:rPr>
          <w:rFonts w:ascii="Verdana" w:eastAsia="Times New Roman" w:hAnsi="Verdana" w:cs="Arial"/>
          <w:color w:val="000000"/>
          <w:bdr w:val="none" w:sz="0" w:space="0" w:color="auto" w:frame="1"/>
          <w:shd w:val="clear" w:color="auto" w:fill="FFFFFF"/>
          <w:lang w:val="es-ES" w:eastAsia="es-ES_tradnl"/>
        </w:rPr>
        <w:t>el</w:t>
      </w:r>
      <w:r w:rsidRPr="009F19CA">
        <w:rPr>
          <w:rFonts w:ascii="Verdana" w:eastAsia="Times New Roman" w:hAnsi="Verdana" w:cs="Arial"/>
          <w:color w:val="000000"/>
          <w:bdr w:val="none" w:sz="0" w:space="0" w:color="auto" w:frame="1"/>
          <w:shd w:val="clear" w:color="auto" w:fill="FFFFFF"/>
          <w:lang w:val="es-ES" w:eastAsia="es-ES_tradnl"/>
        </w:rPr>
        <w:t xml:space="preserve"> término</w:t>
      </w:r>
      <w:r>
        <w:rPr>
          <w:rFonts w:ascii="Verdana" w:eastAsia="Times New Roman" w:hAnsi="Verdana" w:cs="Arial"/>
          <w:color w:val="000000"/>
          <w:bdr w:val="none" w:sz="0" w:space="0" w:color="auto" w:frame="1"/>
          <w:shd w:val="clear" w:color="auto" w:fill="FFFFFF"/>
          <w:lang w:val="es-ES" w:eastAsia="es-ES_tradnl"/>
        </w:rPr>
        <w:t xml:space="preserve"> de los dos (2) años y seis (6) meses</w:t>
      </w:r>
      <w:r w:rsidRPr="009F19CA">
        <w:rPr>
          <w:rFonts w:ascii="Verdana" w:eastAsia="Times New Roman" w:hAnsi="Verdana" w:cs="Arial"/>
          <w:color w:val="000000"/>
          <w:bdr w:val="none" w:sz="0" w:space="0" w:color="auto" w:frame="1"/>
          <w:shd w:val="clear" w:color="auto" w:fill="FFFFFF"/>
          <w:lang w:val="es-ES" w:eastAsia="es-ES_tradnl"/>
        </w:rPr>
        <w:t xml:space="preserve"> prev</w:t>
      </w:r>
      <w:r>
        <w:rPr>
          <w:rFonts w:ascii="Verdana" w:eastAsia="Times New Roman" w:hAnsi="Verdana" w:cs="Arial"/>
          <w:color w:val="000000"/>
          <w:bdr w:val="none" w:sz="0" w:space="0" w:color="auto" w:frame="1"/>
          <w:shd w:val="clear" w:color="auto" w:fill="FFFFFF"/>
          <w:lang w:val="es-ES" w:eastAsia="es-ES_tradnl"/>
        </w:rPr>
        <w:t xml:space="preserve">istos anteriormente sin </w:t>
      </w:r>
      <w:r w:rsidRPr="009F19CA">
        <w:rPr>
          <w:rFonts w:ascii="Verdana" w:eastAsia="Times New Roman" w:hAnsi="Verdana" w:cs="Arial"/>
          <w:color w:val="000000"/>
          <w:bdr w:val="none" w:sz="0" w:space="0" w:color="auto" w:frame="1"/>
          <w:shd w:val="clear" w:color="auto" w:fill="FFFFFF"/>
          <w:lang w:val="es-ES" w:eastAsia="es-ES_tradnl"/>
        </w:rPr>
        <w:t>que se hubie</w:t>
      </w:r>
      <w:r>
        <w:rPr>
          <w:rFonts w:ascii="Verdana" w:eastAsia="Times New Roman" w:hAnsi="Verdana" w:cs="Arial"/>
          <w:color w:val="000000"/>
          <w:bdr w:val="none" w:sz="0" w:space="0" w:color="auto" w:frame="1"/>
          <w:shd w:val="clear" w:color="auto" w:fill="FFFFFF"/>
          <w:lang w:val="es-ES" w:eastAsia="es-ES_tradnl"/>
        </w:rPr>
        <w:t>se</w:t>
      </w:r>
      <w:r w:rsidRPr="009F19CA">
        <w:rPr>
          <w:rFonts w:ascii="Verdana" w:eastAsia="Times New Roman" w:hAnsi="Verdana" w:cs="Arial"/>
          <w:color w:val="000000"/>
          <w:bdr w:val="none" w:sz="0" w:space="0" w:color="auto" w:frame="1"/>
          <w:shd w:val="clear" w:color="auto" w:fill="FFFFFF"/>
          <w:lang w:val="es-ES" w:eastAsia="es-ES_tradnl"/>
        </w:rPr>
        <w:t xml:space="preserve"> efectuado la liquidación</w:t>
      </w:r>
      <w:r>
        <w:rPr>
          <w:rFonts w:ascii="Verdana" w:eastAsia="Times New Roman" w:hAnsi="Verdana" w:cs="Arial"/>
          <w:color w:val="000000"/>
          <w:bdr w:val="none" w:sz="0" w:space="0" w:color="auto" w:frame="1"/>
          <w:shd w:val="clear" w:color="auto" w:fill="FFFFFF"/>
          <w:lang w:val="es-ES" w:eastAsia="es-ES_tradnl"/>
        </w:rPr>
        <w:t xml:space="preserve">, y </w:t>
      </w:r>
      <w:proofErr w:type="spellStart"/>
      <w:r>
        <w:rPr>
          <w:rFonts w:ascii="Verdana" w:eastAsia="Times New Roman" w:hAnsi="Verdana" w:cs="Arial"/>
          <w:color w:val="000000"/>
          <w:bdr w:val="none" w:sz="0" w:space="0" w:color="auto" w:frame="1"/>
          <w:shd w:val="clear" w:color="auto" w:fill="FFFFFF"/>
          <w:lang w:val="es-ES" w:eastAsia="es-ES_tradnl"/>
        </w:rPr>
        <w:t>ii</w:t>
      </w:r>
      <w:proofErr w:type="spellEnd"/>
      <w:r>
        <w:rPr>
          <w:rFonts w:ascii="Verdana" w:eastAsia="Times New Roman" w:hAnsi="Verdana" w:cs="Arial"/>
          <w:color w:val="000000"/>
          <w:bdr w:val="none" w:sz="0" w:space="0" w:color="auto" w:frame="1"/>
          <w:shd w:val="clear" w:color="auto" w:fill="FFFFFF"/>
          <w:lang w:val="es-ES" w:eastAsia="es-ES_tradnl"/>
        </w:rPr>
        <w:t>)</w:t>
      </w:r>
      <w:r w:rsidRPr="009F19CA">
        <w:rPr>
          <w:rFonts w:ascii="Verdana" w:eastAsia="Times New Roman" w:hAnsi="Verdana" w:cs="Arial"/>
          <w:color w:val="000000"/>
          <w:bdr w:val="none" w:sz="0" w:space="0" w:color="auto" w:frame="1"/>
          <w:shd w:val="clear" w:color="auto" w:fill="FFFFFF"/>
          <w:lang w:val="es-ES" w:eastAsia="es-ES_tradnl"/>
        </w:rPr>
        <w:t xml:space="preserve"> cuando, aun sin haberse vencido los plazos establecidos, se ha presentado demanda ante la jurisdicción de lo contencioso administrativo con el fin de obtener la liquidación judicial del contrato</w:t>
      </w:r>
      <w:r>
        <w:rPr>
          <w:rFonts w:ascii="Verdana" w:eastAsia="Times New Roman" w:hAnsi="Verdana" w:cs="Arial"/>
          <w:color w:val="000000"/>
          <w:bdr w:val="none" w:sz="0" w:space="0" w:color="auto" w:frame="1"/>
          <w:shd w:val="clear" w:color="auto" w:fill="FFFFFF"/>
          <w:lang w:val="es-ES" w:eastAsia="es-ES_tradnl"/>
        </w:rPr>
        <w:t>.</w:t>
      </w:r>
      <w:r w:rsidRPr="00264451">
        <w:rPr>
          <w:rFonts w:ascii="Verdana" w:eastAsia="Times New Roman" w:hAnsi="Verdana" w:cs="Arial"/>
          <w:color w:val="000000"/>
          <w:bdr w:val="none" w:sz="0" w:space="0" w:color="auto" w:frame="1"/>
          <w:shd w:val="clear" w:color="auto" w:fill="FFFFFF"/>
          <w:lang w:eastAsia="es-ES_tradnl"/>
        </w:rPr>
        <w:t xml:space="preserve"> </w:t>
      </w:r>
    </w:p>
    <w:p w14:paraId="1930C4A6" w14:textId="77777777" w:rsidR="00FF6120" w:rsidRPr="00264451"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sidRPr="007E6AE6">
        <w:rPr>
          <w:rFonts w:ascii="Verdana" w:eastAsia="Times New Roman" w:hAnsi="Verdana" w:cs="Arial"/>
          <w:color w:val="000000"/>
          <w:bdr w:val="none" w:sz="0" w:space="0" w:color="auto" w:frame="1"/>
          <w:shd w:val="clear" w:color="auto" w:fill="FFFFFF"/>
          <w:lang w:eastAsia="es-ES_tradnl"/>
        </w:rPr>
        <w:t xml:space="preserve">En tales eventos, no resulta indispensable que la Entidad expida un acto </w:t>
      </w:r>
      <w:r>
        <w:rPr>
          <w:rFonts w:ascii="Verdana" w:eastAsia="Times New Roman" w:hAnsi="Verdana" w:cs="Arial"/>
          <w:color w:val="000000"/>
          <w:bdr w:val="none" w:sz="0" w:space="0" w:color="auto" w:frame="1"/>
          <w:shd w:val="clear" w:color="auto" w:fill="FFFFFF"/>
          <w:lang w:eastAsia="es-ES_tradnl"/>
        </w:rPr>
        <w:t>q</w:t>
      </w:r>
      <w:r w:rsidRPr="007E6AE6">
        <w:rPr>
          <w:rFonts w:ascii="Verdana" w:eastAsia="Times New Roman" w:hAnsi="Verdana" w:cs="Arial"/>
          <w:color w:val="000000"/>
          <w:bdr w:val="none" w:sz="0" w:space="0" w:color="auto" w:frame="1"/>
          <w:shd w:val="clear" w:color="auto" w:fill="FFFFFF"/>
          <w:lang w:eastAsia="es-ES_tradnl"/>
        </w:rPr>
        <w:t xml:space="preserve">ue declare formalmente la pérdida de competencia, puesto que esta se produce de pleno derecho con la ocurrencia de las circunstancias descritas. Sin perjuicio de lo anterior, nada obsta para que, con fines de control y gestión administrativa interna, así como para el cierre del expediente contractual, la </w:t>
      </w:r>
      <w:r>
        <w:rPr>
          <w:rFonts w:ascii="Verdana" w:eastAsia="Times New Roman" w:hAnsi="Verdana" w:cs="Arial"/>
          <w:color w:val="000000"/>
          <w:bdr w:val="none" w:sz="0" w:space="0" w:color="auto" w:frame="1"/>
          <w:shd w:val="clear" w:color="auto" w:fill="FFFFFF"/>
          <w:lang w:eastAsia="es-ES_tradnl"/>
        </w:rPr>
        <w:t>e</w:t>
      </w:r>
      <w:r w:rsidRPr="007E6AE6">
        <w:rPr>
          <w:rFonts w:ascii="Verdana" w:eastAsia="Times New Roman" w:hAnsi="Verdana" w:cs="Arial"/>
          <w:color w:val="000000"/>
          <w:bdr w:val="none" w:sz="0" w:space="0" w:color="auto" w:frame="1"/>
          <w:shd w:val="clear" w:color="auto" w:fill="FFFFFF"/>
          <w:lang w:eastAsia="es-ES_tradnl"/>
        </w:rPr>
        <w:t xml:space="preserve">ntidad deje las constancias pertinentes en el respectivo archivo contractual. En todo caso, debe precisarse que dicha situación no habilita a la </w:t>
      </w:r>
      <w:r>
        <w:rPr>
          <w:rFonts w:ascii="Verdana" w:eastAsia="Times New Roman" w:hAnsi="Verdana" w:cs="Arial"/>
          <w:color w:val="000000"/>
          <w:bdr w:val="none" w:sz="0" w:space="0" w:color="auto" w:frame="1"/>
          <w:shd w:val="clear" w:color="auto" w:fill="FFFFFF"/>
          <w:lang w:eastAsia="es-ES_tradnl"/>
        </w:rPr>
        <w:t>e</w:t>
      </w:r>
      <w:r w:rsidRPr="007E6AE6">
        <w:rPr>
          <w:rFonts w:ascii="Verdana" w:eastAsia="Times New Roman" w:hAnsi="Verdana" w:cs="Arial"/>
          <w:color w:val="000000"/>
          <w:bdr w:val="none" w:sz="0" w:space="0" w:color="auto" w:frame="1"/>
          <w:shd w:val="clear" w:color="auto" w:fill="FFFFFF"/>
          <w:lang w:eastAsia="es-ES_tradnl"/>
        </w:rPr>
        <w:t>ntidad para reconocer o efectuar pagos a favor del contratista derivados de un contrato no liquidado, especialmente cuando, en el primer evento, se haya configurado la caducidad del medio de control de controversias contractuales para solicitar la liquidación judicial del contrato estatal</w:t>
      </w:r>
      <w:r>
        <w:rPr>
          <w:rFonts w:ascii="Verdana" w:eastAsia="Times New Roman" w:hAnsi="Verdana" w:cs="Arial"/>
          <w:color w:val="000000"/>
          <w:bdr w:val="none" w:sz="0" w:space="0" w:color="auto" w:frame="1"/>
          <w:shd w:val="clear" w:color="auto" w:fill="FFFFFF"/>
          <w:lang w:eastAsia="es-ES_tradnl"/>
        </w:rPr>
        <w:t>.</w:t>
      </w:r>
    </w:p>
    <w:p w14:paraId="7EF4C35B" w14:textId="77777777" w:rsidR="00FF6120" w:rsidRDefault="00FF6120" w:rsidP="00FF6120">
      <w:pPr>
        <w:spacing w:after="0"/>
        <w:ind w:firstLine="708"/>
        <w:jc w:val="both"/>
        <w:rPr>
          <w:rFonts w:ascii="Verdana" w:hAnsi="Verdana" w:cs="Arial"/>
          <w:lang w:eastAsia="es-MX"/>
        </w:rPr>
      </w:pPr>
      <w:r>
        <w:rPr>
          <w:rFonts w:ascii="Verdana" w:eastAsia="Times New Roman" w:hAnsi="Verdana" w:cs="Arial"/>
          <w:color w:val="000000"/>
          <w:bdr w:val="none" w:sz="0" w:space="0" w:color="auto" w:frame="1"/>
          <w:shd w:val="clear" w:color="auto" w:fill="FFFFFF"/>
          <w:lang w:val="es-ES" w:eastAsia="es-ES_tradnl"/>
        </w:rPr>
        <w:t xml:space="preserve">Ahora bien, en relación con el primer evento, vale la pena indicar que </w:t>
      </w:r>
      <w:r>
        <w:rPr>
          <w:rFonts w:ascii="Verdana" w:hAnsi="Verdana" w:cs="Arial"/>
          <w:lang w:eastAsia="es-MX"/>
        </w:rPr>
        <w:t xml:space="preserve">esta Subdirección, en concepto identificado con radicación de salida No.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y con ello, las obligaciones pendientes son de carácter natural, es decir, no son exigibles. Sobre este punto, esto es, sobre la degeneración de </w:t>
      </w:r>
      <w:r>
        <w:rPr>
          <w:rFonts w:ascii="Verdana" w:hAnsi="Verdana" w:cs="Arial"/>
          <w:lang w:eastAsia="es-MX"/>
        </w:rPr>
        <w:lastRenderedPageBreak/>
        <w:t>obligaciones civiles en naturales y la posibilidad de que las entidades estatales reconozcan y paguen las mismas, el Consejo de Estado</w:t>
      </w:r>
      <w:r>
        <w:rPr>
          <w:rStyle w:val="Refdenotaalpie"/>
          <w:rFonts w:ascii="Verdana" w:hAnsi="Verdana" w:cs="Arial"/>
          <w:lang w:eastAsia="es-MX"/>
        </w:rPr>
        <w:footnoteReference w:id="17"/>
      </w:r>
      <w:r>
        <w:rPr>
          <w:rFonts w:ascii="Verdana" w:hAnsi="Verdana" w:cs="Arial"/>
          <w:lang w:eastAsia="es-MX"/>
        </w:rPr>
        <w:t xml:space="preserve"> precisó lo siguiente: </w:t>
      </w:r>
    </w:p>
    <w:p w14:paraId="0EF77CF6" w14:textId="77777777" w:rsidR="00FF6120" w:rsidRDefault="00FF6120" w:rsidP="00FF6120">
      <w:pPr>
        <w:spacing w:after="0"/>
        <w:ind w:firstLine="708"/>
        <w:jc w:val="both"/>
        <w:rPr>
          <w:rFonts w:ascii="Verdana" w:hAnsi="Verdana" w:cs="Arial"/>
          <w:lang w:eastAsia="es-MX"/>
        </w:rPr>
      </w:pPr>
    </w:p>
    <w:p w14:paraId="4781A96E" w14:textId="77777777" w:rsidR="00FF6120" w:rsidRDefault="00FF6120" w:rsidP="00FF6120">
      <w:pPr>
        <w:spacing w:after="0"/>
        <w:ind w:left="709" w:right="709"/>
        <w:jc w:val="both"/>
        <w:rPr>
          <w:rFonts w:ascii="Verdana" w:hAnsi="Verdana" w:cs="Arial"/>
          <w:sz w:val="20"/>
          <w:szCs w:val="20"/>
          <w:lang w:eastAsia="es-MX"/>
        </w:rPr>
      </w:pPr>
      <w:r>
        <w:rPr>
          <w:rFonts w:ascii="Verdana" w:hAnsi="Verdana" w:cs="Arial"/>
          <w:sz w:val="20"/>
          <w:szCs w:val="20"/>
          <w:lang w:eastAsia="es-MX"/>
        </w:rPr>
        <w:t>“la protección al interés general y el patrimonio público confiado al manejo de los agentes del Estado, así como el principio de legalidad que gobierna las actuaciones de todas las autoridades públicas, permiten inferir la inviabilidad del pago de este tipo de obligaciones naturales, limitación con la cual se evita que a su amparo se puedan cubrir donaciones o pagos irregulares a particulares cuando ya ha operado la caducidad y se ha cerrado la posibilidad de juicio para demandar una situación u obligación que se ha estabilizado jurídicamente en virtud de este instituto procesal. Las autoridades no tienen plena libertad para disponer intereses del Estado, que son los mismos intereses generales y en los que se involucran recursos públicos, cuya disposición se encuentra seriamente limitada”.</w:t>
      </w:r>
    </w:p>
    <w:p w14:paraId="544DC66A" w14:textId="77777777" w:rsidR="00FF6120" w:rsidRDefault="00FF6120" w:rsidP="00FF6120">
      <w:pPr>
        <w:spacing w:after="0"/>
        <w:ind w:left="709" w:right="709"/>
        <w:jc w:val="both"/>
        <w:rPr>
          <w:rFonts w:ascii="Verdana" w:hAnsi="Verdana" w:cs="Arial"/>
          <w:sz w:val="20"/>
          <w:szCs w:val="20"/>
          <w:lang w:eastAsia="es-MX"/>
        </w:rPr>
      </w:pPr>
    </w:p>
    <w:p w14:paraId="46C1A819" w14:textId="77777777" w:rsidR="00FF6120" w:rsidRDefault="00FF6120" w:rsidP="00FF6120">
      <w:pPr>
        <w:spacing w:after="120" w:line="276" w:lineRule="auto"/>
        <w:ind w:firstLine="709"/>
        <w:jc w:val="both"/>
        <w:rPr>
          <w:rFonts w:ascii="Verdana" w:hAnsi="Verdana" w:cs="Arial"/>
          <w:lang w:eastAsia="es-MX"/>
        </w:rPr>
      </w:pPr>
      <w:r>
        <w:rPr>
          <w:rFonts w:ascii="Verdana" w:hAnsi="Verdana" w:cs="Arial"/>
          <w:lang w:eastAsia="es-MX"/>
        </w:rPr>
        <w:t>En conclusión, los plazos legales para la liquidación son perentorios y, por lo tanto, una vez vencidos por el transcurso del tiempo, ya no es posible ejercer la facultad correspondiente. En ese sentido, si la liquidación del contrato no se realiza dentro de los términos establecidos, se pierde la competencia para hacerlo. Cabe advertir que este plazo no se interrumpe ni se suspende, aun cuando queden actividades u obligaciones pendientes de cumplimiento, muchos menos por existir un proceso sancionatorio en curso pendiente de decidir.</w:t>
      </w:r>
    </w:p>
    <w:p w14:paraId="0E5AADE3" w14:textId="77777777" w:rsidR="00FF6120"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En relación con el segundo evento, para efectos de determinar si la pérdida de competencia se sujeta a la presentación de la demanda que pretende la liquidación judicial o si depende de su admisión correspondiente, es importante señalar que el problema no ha admitido una solución uniforme. Por ejemplo, durante la vigencia del CCA, la jurisprudencia sostuvo que “</w:t>
      </w:r>
      <w:r w:rsidRPr="007467E4">
        <w:rPr>
          <w:rFonts w:ascii="Verdana" w:hAnsi="Verdana" w:cs="Arial"/>
          <w:szCs w:val="24"/>
        </w:rPr>
        <w:t xml:space="preserve">Si el contratista </w:t>
      </w:r>
      <w:r w:rsidRPr="004E1FE4">
        <w:rPr>
          <w:rFonts w:ascii="Verdana" w:hAnsi="Verdana" w:cs="Arial"/>
          <w:bCs/>
          <w:szCs w:val="24"/>
        </w:rPr>
        <w:t>no acude al juez</w:t>
      </w:r>
      <w:r w:rsidRPr="007467E4">
        <w:rPr>
          <w:rFonts w:ascii="Verdana" w:hAnsi="Verdana" w:cs="Arial"/>
          <w:szCs w:val="24"/>
        </w:rPr>
        <w:t xml:space="preserve"> a solicitar la liquidación judicial, la Administración podrá liquidar hasta el día anterior a que transcurran, según el caso, </w:t>
      </w:r>
      <w:r w:rsidRPr="004E1FE4">
        <w:rPr>
          <w:rFonts w:ascii="Verdana" w:hAnsi="Verdana" w:cs="Arial"/>
          <w:bCs/>
          <w:szCs w:val="24"/>
        </w:rPr>
        <w:t>veinte años</w:t>
      </w:r>
      <w:r w:rsidRPr="007467E4">
        <w:rPr>
          <w:rFonts w:ascii="Verdana" w:hAnsi="Verdana" w:cs="Arial"/>
          <w:szCs w:val="24"/>
        </w:rPr>
        <w:t xml:space="preserve"> - para conductas ocurridas antes de entrar a regir el decreto ley 01 de 1984 -  </w:t>
      </w:r>
      <w:r w:rsidRPr="004E1FE4">
        <w:rPr>
          <w:rFonts w:ascii="Verdana" w:hAnsi="Verdana" w:cs="Arial"/>
          <w:bCs/>
          <w:szCs w:val="24"/>
        </w:rPr>
        <w:t>y dos años</w:t>
      </w:r>
      <w:r w:rsidRPr="007467E4">
        <w:rPr>
          <w:rFonts w:ascii="Verdana" w:hAnsi="Verdana" w:cs="Arial"/>
          <w:szCs w:val="24"/>
        </w:rPr>
        <w:t xml:space="preserve"> - para conductas ocurridas después de entrar a regir el decreto ley 01 de 1984 - contados a partir del incumplimiento de la obligación de liquidar</w:t>
      </w:r>
      <w:r>
        <w:rPr>
          <w:rFonts w:ascii="Verdana" w:hAnsi="Verdana" w:cs="Arial"/>
          <w:szCs w:val="24"/>
        </w:rPr>
        <w:t xml:space="preserve">” (Énfasis dentro del texto). Sin embargo, criterio que también se reiteró posteriormente en la Sentencia del 2 de mayo de 2002, rad. 20472, con ponencia del Consejero </w:t>
      </w:r>
      <w:r w:rsidRPr="008B3627">
        <w:rPr>
          <w:rFonts w:ascii="Verdana" w:hAnsi="Verdana" w:cs="Arial"/>
          <w:szCs w:val="24"/>
        </w:rPr>
        <w:t>Germán Rodríguez Villamizar</w:t>
      </w:r>
      <w:r>
        <w:rPr>
          <w:rFonts w:ascii="Verdana" w:hAnsi="Verdana" w:cs="Arial"/>
          <w:szCs w:val="24"/>
        </w:rPr>
        <w:t>, a reglón seguido señala que “</w:t>
      </w:r>
      <w:r w:rsidRPr="007467E4">
        <w:rPr>
          <w:rFonts w:ascii="Verdana" w:hAnsi="Verdana" w:cs="Arial"/>
          <w:szCs w:val="24"/>
        </w:rPr>
        <w:t xml:space="preserve">Si el contratista </w:t>
      </w:r>
      <w:r w:rsidRPr="004E1FE4">
        <w:rPr>
          <w:rFonts w:ascii="Verdana" w:hAnsi="Verdana" w:cs="Arial"/>
          <w:bCs/>
          <w:szCs w:val="24"/>
        </w:rPr>
        <w:t>acude al juez</w:t>
      </w:r>
      <w:r w:rsidRPr="007467E4">
        <w:rPr>
          <w:rFonts w:ascii="Verdana" w:hAnsi="Verdana" w:cs="Arial"/>
          <w:szCs w:val="24"/>
        </w:rPr>
        <w:t xml:space="preserve">, la Administración podrá liquidar unilateralmente hasta el día anterior al que le sea notificado el auto admisorio de la demanda, siempre y cuando no hayan transcurrido antes de la notificación, </w:t>
      </w:r>
      <w:r w:rsidRPr="007467E4">
        <w:rPr>
          <w:rFonts w:ascii="Verdana" w:hAnsi="Verdana" w:cs="Arial"/>
          <w:szCs w:val="24"/>
        </w:rPr>
        <w:lastRenderedPageBreak/>
        <w:t>según el caso - antes o después de la entrada en vigencia del decreto ley 01 de 1984 -, los veinte o los dos años, contados a partir del incumplimiento administrativo de la obligación de liquidar unilateralmente</w:t>
      </w:r>
      <w:r>
        <w:rPr>
          <w:rFonts w:ascii="Verdana" w:hAnsi="Verdana" w:cs="Arial"/>
          <w:szCs w:val="24"/>
        </w:rPr>
        <w:t>”</w:t>
      </w:r>
      <w:r>
        <w:rPr>
          <w:rStyle w:val="Refdenotaalpie"/>
          <w:rFonts w:ascii="Verdana" w:hAnsi="Verdana" w:cs="Arial"/>
          <w:szCs w:val="24"/>
        </w:rPr>
        <w:footnoteReference w:id="18"/>
      </w:r>
      <w:r>
        <w:rPr>
          <w:rFonts w:ascii="Verdana" w:hAnsi="Verdana" w:cs="Arial"/>
          <w:szCs w:val="24"/>
        </w:rPr>
        <w:t xml:space="preserve"> (Énfasis dentro del texto)</w:t>
      </w:r>
      <w:r w:rsidRPr="007467E4">
        <w:rPr>
          <w:rFonts w:ascii="Verdana" w:hAnsi="Verdana" w:cs="Arial"/>
          <w:szCs w:val="24"/>
        </w:rPr>
        <w:t xml:space="preserve">. </w:t>
      </w:r>
      <w:r w:rsidRPr="007467E4">
        <w:rPr>
          <w:rFonts w:ascii="Verdana" w:eastAsia="Times New Roman" w:hAnsi="Verdana" w:cs="Arial"/>
          <w:color w:val="000000"/>
          <w:bdr w:val="none" w:sz="0" w:space="0" w:color="auto" w:frame="1"/>
          <w:shd w:val="clear" w:color="auto" w:fill="FFFFFF"/>
          <w:lang w:eastAsia="es-ES_tradnl"/>
        </w:rPr>
        <w:t xml:space="preserve"> </w:t>
      </w:r>
    </w:p>
    <w:p w14:paraId="47CD9908" w14:textId="77777777" w:rsidR="00FF6120"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Dicha postura se sostuvo en la Sentencia del 29 de abril de 2015, rad. 27712, con ponencia de la </w:t>
      </w:r>
      <w:proofErr w:type="gramStart"/>
      <w:r>
        <w:rPr>
          <w:rFonts w:ascii="Verdana" w:eastAsia="Times New Roman" w:hAnsi="Verdana" w:cs="Arial"/>
          <w:color w:val="000000"/>
          <w:bdr w:val="none" w:sz="0" w:space="0" w:color="auto" w:frame="1"/>
          <w:shd w:val="clear" w:color="auto" w:fill="FFFFFF"/>
          <w:lang w:eastAsia="es-ES_tradnl"/>
        </w:rPr>
        <w:t>Consejera</w:t>
      </w:r>
      <w:proofErr w:type="gramEnd"/>
      <w:r>
        <w:rPr>
          <w:rFonts w:ascii="Verdana" w:eastAsia="Times New Roman" w:hAnsi="Verdana" w:cs="Arial"/>
          <w:color w:val="000000"/>
          <w:bdr w:val="none" w:sz="0" w:space="0" w:color="auto" w:frame="1"/>
          <w:shd w:val="clear" w:color="auto" w:fill="FFFFFF"/>
          <w:lang w:eastAsia="es-ES_tradnl"/>
        </w:rPr>
        <w:t xml:space="preserve"> </w:t>
      </w:r>
      <w:r w:rsidRPr="0055211C">
        <w:rPr>
          <w:rFonts w:ascii="Verdana" w:eastAsia="Times New Roman" w:hAnsi="Verdana" w:cs="Arial"/>
          <w:color w:val="000000"/>
          <w:bdr w:val="none" w:sz="0" w:space="0" w:color="auto" w:frame="1"/>
          <w:shd w:val="clear" w:color="auto" w:fill="FFFFFF"/>
          <w:lang w:eastAsia="es-ES_tradnl"/>
        </w:rPr>
        <w:t>Stella Conto Diaz Del Castillo</w:t>
      </w:r>
      <w:r>
        <w:rPr>
          <w:rFonts w:ascii="Verdana" w:eastAsia="Times New Roman" w:hAnsi="Verdana" w:cs="Arial"/>
          <w:color w:val="000000"/>
          <w:bdr w:val="none" w:sz="0" w:space="0" w:color="auto" w:frame="1"/>
          <w:shd w:val="clear" w:color="auto" w:fill="FFFFFF"/>
          <w:lang w:eastAsia="es-ES_tradnl"/>
        </w:rPr>
        <w:t xml:space="preserve">. En el 2016, la Sección Tercera también consideró que “[…] </w:t>
      </w:r>
      <w:r w:rsidRPr="00485702">
        <w:rPr>
          <w:rFonts w:ascii="Verdana" w:eastAsia="Times New Roman" w:hAnsi="Verdana" w:cs="Arial"/>
          <w:color w:val="000000"/>
          <w:bdr w:val="none" w:sz="0" w:space="0" w:color="auto" w:frame="1"/>
          <w:shd w:val="clear" w:color="auto" w:fill="FFFFFF"/>
          <w:lang w:eastAsia="es-ES_tradnl"/>
        </w:rPr>
        <w:t xml:space="preserve">si la pretensión principal es que el juez liquide el convenio, es porque el negocio jurídico no ha sido liquidado hasta antes de que se trabe litis, es decir, </w:t>
      </w:r>
      <w:r w:rsidRPr="0096562A">
        <w:rPr>
          <w:rFonts w:ascii="Verdana" w:eastAsia="Times New Roman" w:hAnsi="Verdana" w:cs="Arial"/>
          <w:i/>
          <w:iCs/>
          <w:color w:val="000000"/>
          <w:bdr w:val="none" w:sz="0" w:space="0" w:color="auto" w:frame="1"/>
          <w:shd w:val="clear" w:color="auto" w:fill="FFFFFF"/>
          <w:lang w:eastAsia="es-ES_tradnl"/>
        </w:rPr>
        <w:t>hasta antes de que se notifique el auto admisorio de la demanda al extremo pasivo del proceso</w:t>
      </w:r>
      <w:r w:rsidRPr="00485702">
        <w:rPr>
          <w:rFonts w:ascii="Verdana" w:eastAsia="Times New Roman" w:hAnsi="Verdana" w:cs="Arial"/>
          <w:color w:val="000000"/>
          <w:bdr w:val="none" w:sz="0" w:space="0" w:color="auto" w:frame="1"/>
          <w:shd w:val="clear" w:color="auto" w:fill="FFFFFF"/>
          <w:lang w:eastAsia="es-ES_tradnl"/>
        </w:rPr>
        <w:t>, bien sea porque las partes no lograron liquidarlo de mutuo acuerdo o porque la administración no lo liquidó unilateralmente</w:t>
      </w:r>
      <w:r>
        <w:rPr>
          <w:rFonts w:ascii="Verdana" w:eastAsia="Times New Roman" w:hAnsi="Verdana" w:cs="Arial"/>
          <w:color w:val="000000"/>
          <w:bdr w:val="none" w:sz="0" w:space="0" w:color="auto" w:frame="1"/>
          <w:shd w:val="clear" w:color="auto" w:fill="FFFFFF"/>
          <w:lang w:eastAsia="es-ES_tradnl"/>
        </w:rPr>
        <w:t>”</w:t>
      </w:r>
      <w:r>
        <w:rPr>
          <w:rStyle w:val="Refdenotaalpie"/>
          <w:rFonts w:ascii="Verdana" w:eastAsia="Times New Roman" w:hAnsi="Verdana" w:cs="Arial"/>
          <w:color w:val="000000"/>
          <w:bdr w:val="none" w:sz="0" w:space="0" w:color="auto" w:frame="1"/>
          <w:shd w:val="clear" w:color="auto" w:fill="FFFFFF"/>
          <w:lang w:eastAsia="es-ES_tradnl"/>
        </w:rPr>
        <w:footnoteReference w:id="19"/>
      </w:r>
      <w:r>
        <w:rPr>
          <w:rFonts w:ascii="Verdana" w:eastAsia="Times New Roman" w:hAnsi="Verdana" w:cs="Arial"/>
          <w:color w:val="000000"/>
          <w:bdr w:val="none" w:sz="0" w:space="0" w:color="auto" w:frame="1"/>
          <w:shd w:val="clear" w:color="auto" w:fill="FFFFFF"/>
          <w:lang w:eastAsia="es-ES_tradnl"/>
        </w:rPr>
        <w:t xml:space="preserve"> (Énfasis fuera de texto). </w:t>
      </w:r>
    </w:p>
    <w:p w14:paraId="3574B142" w14:textId="77777777" w:rsidR="00FF6120"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No obstante, a partir de 2020, la Subsección B han adoptado un criterio distinto al explicado en los párrafos precedentes. Al respecto, considerando fenómenos como la interrupción de la prescripción o de la caducidad, así como la constitución en mora, manifiesta que “[…] </w:t>
      </w:r>
      <w:r w:rsidRPr="00C53E9D">
        <w:rPr>
          <w:rFonts w:ascii="Verdana" w:eastAsia="Times New Roman" w:hAnsi="Verdana" w:cs="Arial"/>
          <w:color w:val="000000"/>
          <w:bdr w:val="none" w:sz="0" w:space="0" w:color="auto" w:frame="1"/>
          <w:shd w:val="clear" w:color="auto" w:fill="FFFFFF"/>
          <w:lang w:eastAsia="es-ES_tradnl"/>
        </w:rPr>
        <w:t>se hace necesario un ejercicio de integración normativa que esté m</w:t>
      </w:r>
      <w:r>
        <w:rPr>
          <w:rFonts w:ascii="Verdana" w:eastAsia="Times New Roman" w:hAnsi="Verdana" w:cs="Arial"/>
          <w:color w:val="000000"/>
          <w:bdr w:val="none" w:sz="0" w:space="0" w:color="auto" w:frame="1"/>
          <w:shd w:val="clear" w:color="auto" w:fill="FFFFFF"/>
          <w:lang w:eastAsia="es-ES_tradnl"/>
        </w:rPr>
        <w:t>á</w:t>
      </w:r>
      <w:r w:rsidRPr="00C53E9D">
        <w:rPr>
          <w:rFonts w:ascii="Verdana" w:eastAsia="Times New Roman" w:hAnsi="Verdana" w:cs="Arial"/>
          <w:color w:val="000000"/>
          <w:bdr w:val="none" w:sz="0" w:space="0" w:color="auto" w:frame="1"/>
          <w:shd w:val="clear" w:color="auto" w:fill="FFFFFF"/>
          <w:lang w:eastAsia="es-ES_tradnl"/>
        </w:rPr>
        <w:t>s acorde con los efectos que la legislación procesal le atribuye a la presentación de la demanda, y que no están condicionados a su notificación.</w:t>
      </w:r>
      <w:r>
        <w:rPr>
          <w:rFonts w:ascii="Verdana" w:eastAsia="Times New Roman" w:hAnsi="Verdana" w:cs="Arial"/>
          <w:color w:val="000000"/>
          <w:bdr w:val="none" w:sz="0" w:space="0" w:color="auto" w:frame="1"/>
          <w:shd w:val="clear" w:color="auto" w:fill="FFFFFF"/>
          <w:lang w:eastAsia="es-ES_tradnl"/>
        </w:rPr>
        <w:t xml:space="preserve"> </w:t>
      </w:r>
      <w:r w:rsidRPr="00143F21">
        <w:rPr>
          <w:rFonts w:ascii="Verdana" w:eastAsia="Times New Roman" w:hAnsi="Verdana" w:cs="Arial"/>
          <w:i/>
          <w:iCs/>
          <w:color w:val="000000"/>
          <w:bdr w:val="none" w:sz="0" w:space="0" w:color="auto" w:frame="1"/>
          <w:shd w:val="clear" w:color="auto" w:fill="FFFFFF"/>
          <w:lang w:eastAsia="es-ES_tradnl"/>
        </w:rPr>
        <w:t>Desde este enfoque, la Sala declarará que la Administración perdió competencia para liquidar el contrato en forma unilateral, a partir de la fecha en que se presentó la demanda que pretendió su liquidación judicial</w:t>
      </w:r>
      <w:r>
        <w:rPr>
          <w:rFonts w:ascii="Verdana" w:eastAsia="Times New Roman" w:hAnsi="Verdana" w:cs="Arial"/>
          <w:color w:val="000000"/>
          <w:bdr w:val="none" w:sz="0" w:space="0" w:color="auto" w:frame="1"/>
          <w:shd w:val="clear" w:color="auto" w:fill="FFFFFF"/>
          <w:lang w:eastAsia="es-ES_tradnl"/>
        </w:rPr>
        <w:t>”</w:t>
      </w:r>
      <w:r>
        <w:rPr>
          <w:rStyle w:val="Refdenotaalpie"/>
          <w:rFonts w:ascii="Verdana" w:eastAsia="Times New Roman" w:hAnsi="Verdana" w:cs="Arial"/>
          <w:color w:val="000000"/>
          <w:bdr w:val="none" w:sz="0" w:space="0" w:color="auto" w:frame="1"/>
          <w:shd w:val="clear" w:color="auto" w:fill="FFFFFF"/>
          <w:lang w:eastAsia="es-ES_tradnl"/>
        </w:rPr>
        <w:footnoteReference w:id="20"/>
      </w:r>
      <w:r>
        <w:rPr>
          <w:rFonts w:ascii="Verdana" w:eastAsia="Times New Roman" w:hAnsi="Verdana" w:cs="Arial"/>
          <w:color w:val="000000"/>
          <w:bdr w:val="none" w:sz="0" w:space="0" w:color="auto" w:frame="1"/>
          <w:shd w:val="clear" w:color="auto" w:fill="FFFFFF"/>
          <w:lang w:eastAsia="es-ES_tradnl"/>
        </w:rPr>
        <w:t xml:space="preserve"> (Énfasis fuera de texto). Dicho criterio ha sido reiterado por la misma Subsección en la Sentencia del 14 de septiembre de 2022, rad. 67167, con ponencia del consejero </w:t>
      </w:r>
      <w:r w:rsidRPr="008457D2">
        <w:rPr>
          <w:rFonts w:ascii="Verdana" w:eastAsia="Times New Roman" w:hAnsi="Verdana" w:cs="Arial"/>
          <w:color w:val="000000"/>
          <w:bdr w:val="none" w:sz="0" w:space="0" w:color="auto" w:frame="1"/>
          <w:shd w:val="clear" w:color="auto" w:fill="FFFFFF"/>
          <w:lang w:eastAsia="es-ES_tradnl"/>
        </w:rPr>
        <w:t>Fredy Ibarra Martínez</w:t>
      </w:r>
      <w:r>
        <w:rPr>
          <w:rFonts w:ascii="Verdana" w:eastAsia="Times New Roman" w:hAnsi="Verdana" w:cs="Arial"/>
          <w:color w:val="000000"/>
          <w:bdr w:val="none" w:sz="0" w:space="0" w:color="auto" w:frame="1"/>
          <w:shd w:val="clear" w:color="auto" w:fill="FFFFFF"/>
          <w:lang w:eastAsia="es-ES_tradnl"/>
        </w:rPr>
        <w:t>.</w:t>
      </w:r>
    </w:p>
    <w:p w14:paraId="58C0F349" w14:textId="77777777" w:rsidR="00FF6120"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Sobre este aspecto, la Agencia observa que –fuera de la decisión unificada en el Auto del 1° de agosto de 2019, rad 62009, con ponencia del </w:t>
      </w:r>
      <w:proofErr w:type="gramStart"/>
      <w:r>
        <w:rPr>
          <w:rFonts w:ascii="Verdana" w:eastAsia="Times New Roman" w:hAnsi="Verdana" w:cs="Arial"/>
          <w:color w:val="000000"/>
          <w:bdr w:val="none" w:sz="0" w:space="0" w:color="auto" w:frame="1"/>
          <w:shd w:val="clear" w:color="auto" w:fill="FFFFFF"/>
          <w:lang w:eastAsia="es-ES_tradnl"/>
        </w:rPr>
        <w:t>Consejero</w:t>
      </w:r>
      <w:proofErr w:type="gramEnd"/>
      <w:r>
        <w:rPr>
          <w:rFonts w:ascii="Verdana" w:eastAsia="Times New Roman" w:hAnsi="Verdana" w:cs="Arial"/>
          <w:color w:val="000000"/>
          <w:bdr w:val="none" w:sz="0" w:space="0" w:color="auto" w:frame="1"/>
          <w:shd w:val="clear" w:color="auto" w:fill="FFFFFF"/>
          <w:lang w:eastAsia="es-ES_tradnl"/>
        </w:rPr>
        <w:t xml:space="preserve"> </w:t>
      </w:r>
      <w:r w:rsidRPr="008457D2">
        <w:rPr>
          <w:rFonts w:ascii="Verdana" w:eastAsia="Times New Roman" w:hAnsi="Verdana" w:cs="Arial"/>
          <w:color w:val="000000"/>
          <w:bdr w:val="none" w:sz="0" w:space="0" w:color="auto" w:frame="1"/>
          <w:shd w:val="clear" w:color="auto" w:fill="FFFFFF"/>
          <w:lang w:eastAsia="es-ES_tradnl"/>
        </w:rPr>
        <w:t>Jaime Enrique Rodríguez Navas</w:t>
      </w:r>
      <w:r>
        <w:rPr>
          <w:rFonts w:ascii="Verdana" w:eastAsia="Times New Roman" w:hAnsi="Verdana" w:cs="Arial"/>
          <w:color w:val="000000"/>
          <w:bdr w:val="none" w:sz="0" w:space="0" w:color="auto" w:frame="1"/>
          <w:shd w:val="clear" w:color="auto" w:fill="FFFFFF"/>
          <w:lang w:eastAsia="es-ES_tradnl"/>
        </w:rPr>
        <w:t>– no existe un criterio uniforme sobre el tema objeto de consulta por parte del máximo órgano judicial de lo contencioso administrativo</w:t>
      </w:r>
      <w:r>
        <w:rPr>
          <w:rStyle w:val="Refdenotaalpie"/>
          <w:rFonts w:ascii="Verdana" w:eastAsia="Times New Roman" w:hAnsi="Verdana" w:cs="Arial"/>
          <w:color w:val="000000"/>
          <w:bdr w:val="none" w:sz="0" w:space="0" w:color="auto" w:frame="1"/>
          <w:shd w:val="clear" w:color="auto" w:fill="FFFFFF"/>
          <w:lang w:eastAsia="es-ES_tradnl"/>
        </w:rPr>
        <w:footnoteReference w:id="21"/>
      </w:r>
      <w:r>
        <w:rPr>
          <w:rFonts w:ascii="Verdana" w:eastAsia="Times New Roman" w:hAnsi="Verdana" w:cs="Arial"/>
          <w:color w:val="000000"/>
          <w:bdr w:val="none" w:sz="0" w:space="0" w:color="auto" w:frame="1"/>
          <w:shd w:val="clear" w:color="auto" w:fill="FFFFFF"/>
          <w:lang w:eastAsia="es-ES_tradnl"/>
        </w:rPr>
        <w:t xml:space="preserve">. Por ello, cada Subsección de la Sección Tercera tiene </w:t>
      </w:r>
      <w:r>
        <w:rPr>
          <w:rFonts w:ascii="Verdana" w:eastAsia="Times New Roman" w:hAnsi="Verdana" w:cs="Arial"/>
          <w:color w:val="000000"/>
          <w:bdr w:val="none" w:sz="0" w:space="0" w:color="auto" w:frame="1"/>
          <w:shd w:val="clear" w:color="auto" w:fill="FFFFFF"/>
          <w:lang w:eastAsia="es-ES_tradnl"/>
        </w:rPr>
        <w:lastRenderedPageBreak/>
        <w:t>discrecionalidad para acoger un criterio u otro mientras que no se adopte una decisión que resuelva el problema por vía normativa.</w:t>
      </w:r>
    </w:p>
    <w:p w14:paraId="7D422E34" w14:textId="77777777" w:rsidR="00FF6120"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En todo caso, sin perjuicio del criterio que adopten los órganos judiciales, la Agencia estima que la pérdida de competencia temporal para liquidar bilateral o unilateralmente se concreta con la presentación de la demanda que pretenda la liquidación en sede jurisdiccional. La razón es que el artículo 141 de la Ley 1437 de 2011 no dispone expresamente la posibilidad de liquidarlo hasta de la admisión de la demanda, por lo que basta “</w:t>
      </w:r>
      <w:r w:rsidRPr="00477459">
        <w:rPr>
          <w:rFonts w:ascii="Verdana" w:eastAsia="Times New Roman" w:hAnsi="Verdana" w:cs="Arial"/>
          <w:color w:val="000000"/>
          <w:bdr w:val="none" w:sz="0" w:space="0" w:color="auto" w:frame="1"/>
          <w:shd w:val="clear" w:color="auto" w:fill="FFFFFF"/>
          <w:lang w:eastAsia="es-ES_tradnl"/>
        </w:rPr>
        <w:t>solicitar la liquidación judicial</w:t>
      </w:r>
      <w:r>
        <w:rPr>
          <w:rFonts w:ascii="Verdana" w:eastAsia="Times New Roman" w:hAnsi="Verdana" w:cs="Arial"/>
          <w:color w:val="000000"/>
          <w:bdr w:val="none" w:sz="0" w:space="0" w:color="auto" w:frame="1"/>
          <w:shd w:val="clear" w:color="auto" w:fill="FFFFFF"/>
          <w:lang w:eastAsia="es-ES_tradnl"/>
        </w:rPr>
        <w:t xml:space="preserve">” en los términos de la norma citada. Asimismo, considerando que la presentación de la demanda interrumpe el término de caducidad del medio de control de controversias contractuales, no resulta coherente exigir su admisión cuando la norma sólo exige la presentar la solicitud antes de que finalice el término previsto en la ley. </w:t>
      </w:r>
    </w:p>
    <w:p w14:paraId="6EF3764D" w14:textId="77777777" w:rsidR="00FF6120" w:rsidRDefault="00FF6120" w:rsidP="00FF6120">
      <w:pPr>
        <w:spacing w:after="120" w:line="276" w:lineRule="auto"/>
        <w:ind w:firstLine="703"/>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 xml:space="preserve">Como se explicó en el Concepto C-158 del 6 de junio de 2023, </w:t>
      </w:r>
      <w:r w:rsidRPr="00F45E89">
        <w:rPr>
          <w:rFonts w:ascii="Verdana" w:eastAsia="Times New Roman" w:hAnsi="Verdana" w:cs="Arial"/>
          <w:color w:val="000000"/>
          <w:bdr w:val="none" w:sz="0" w:space="0" w:color="auto" w:frame="1"/>
          <w:shd w:val="clear" w:color="auto" w:fill="FFFFFF"/>
          <w:lang w:eastAsia="es-ES_tradnl"/>
        </w:rPr>
        <w:t>se podrá, entonces, interponer una demanda ante la jurisdicción de lo contencioso administrativo solicitando la liquidación judicial del contrato mediante el medio de control de controversias contractuales, en los términos del artículo 141 del Código de Procedimiento Administrativo y de lo Contencioso Administrativo –CPACA–. La demanda debe ser presentada dentro del término que establece el artículo 164 del CPACA, pues de lo contrario operará el fenómeno de la caducidad, por lo cual no sería posible realizar la liquidación del contrato por ningún medio.</w:t>
      </w:r>
    </w:p>
    <w:p w14:paraId="0D0E5A18" w14:textId="77777777" w:rsidR="00FF6120" w:rsidRPr="007467E4" w:rsidRDefault="00FF6120" w:rsidP="00FF6120">
      <w:pPr>
        <w:spacing w:after="0" w:line="276" w:lineRule="auto"/>
        <w:ind w:firstLine="703"/>
        <w:jc w:val="both"/>
        <w:rPr>
          <w:rFonts w:ascii="Verdana" w:eastAsia="Times New Roman" w:hAnsi="Verdana" w:cs="Arial"/>
          <w:color w:val="000000"/>
          <w:bdr w:val="none" w:sz="0" w:space="0" w:color="auto" w:frame="1"/>
          <w:shd w:val="clear" w:color="auto" w:fill="FFFFFF"/>
          <w:lang w:eastAsia="es-ES_tradnl"/>
        </w:rPr>
      </w:pPr>
      <w:r w:rsidRPr="001E3FCB">
        <w:rPr>
          <w:rFonts w:ascii="Verdana" w:hAnsi="Verdana" w:cs="Arial"/>
        </w:rPr>
        <w:t>Dentro de este marco, la entidad contratante definirá en cada caso concreto lo</w:t>
      </w:r>
      <w:r>
        <w:rPr>
          <w:rFonts w:ascii="Verdana" w:hAnsi="Verdana" w:cs="Arial"/>
        </w:rPr>
        <w:t xml:space="preserve"> relacionado con sus estrategias procesales</w:t>
      </w:r>
      <w:r w:rsidRPr="001E3FCB">
        <w:rPr>
          <w:rFonts w:ascii="Verdana" w:hAnsi="Verdana" w:cs="Arial"/>
        </w:rPr>
        <w:t>. Al tratarse de un análisis que debe</w:t>
      </w:r>
      <w:r>
        <w:rPr>
          <w:rFonts w:ascii="Verdana" w:hAnsi="Verdana" w:cs="Arial"/>
        </w:rPr>
        <w:t xml:space="preserve"> realizar el juez de la causa en medio de control de controversias contractuales</w:t>
      </w:r>
      <w:r w:rsidRPr="001E3FCB">
        <w:rPr>
          <w:rFonts w:ascii="Verdana" w:hAnsi="Verdana" w:cs="Arial"/>
        </w:rPr>
        <w:t xml:space="preserve">,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w:t>
      </w:r>
      <w:r>
        <w:rPr>
          <w:rFonts w:ascii="Verdana" w:hAnsi="Verdana" w:cs="Arial"/>
        </w:rPr>
        <w:t>proponer las excepciones que estime pertinentes</w:t>
      </w:r>
      <w:r w:rsidRPr="001E3FCB">
        <w:rPr>
          <w:rFonts w:ascii="Verdana" w:hAnsi="Verdana" w:cs="Arial"/>
        </w:rPr>
        <w:t xml:space="preserve">, sin que sea atribución de Colombia Compra Eficiente </w:t>
      </w:r>
      <w:r>
        <w:rPr>
          <w:rFonts w:ascii="Verdana" w:hAnsi="Verdana" w:cs="Arial"/>
        </w:rPr>
        <w:t>coadyubarlas</w:t>
      </w:r>
      <w:r w:rsidRPr="001E3FCB">
        <w:rPr>
          <w:rFonts w:ascii="Verdana" w:hAnsi="Verdana" w:cs="Arial"/>
        </w:rPr>
        <w:t>.</w:t>
      </w:r>
    </w:p>
    <w:p w14:paraId="7AA2F068" w14:textId="77777777" w:rsidR="00FF6120" w:rsidRPr="00FB5FC4" w:rsidRDefault="00FF6120" w:rsidP="00FF6120">
      <w:pPr>
        <w:spacing w:after="0" w:line="276" w:lineRule="auto"/>
        <w:ind w:firstLine="705"/>
        <w:jc w:val="both"/>
        <w:rPr>
          <w:rFonts w:ascii="Verdana" w:eastAsia="Times New Roman" w:hAnsi="Verdana" w:cs="Arial"/>
          <w:color w:val="000000" w:themeColor="text1"/>
          <w:lang w:eastAsia="es-CO"/>
        </w:rPr>
      </w:pPr>
    </w:p>
    <w:p w14:paraId="57EDADA1" w14:textId="77777777" w:rsidR="00FF6120" w:rsidRPr="00593A5F" w:rsidRDefault="00FF6120" w:rsidP="00FF61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42AF066" w14:textId="77777777" w:rsidR="00FF6120" w:rsidRPr="00593A5F" w:rsidRDefault="00FF6120" w:rsidP="00FF612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F6120" w:rsidRPr="002407CE" w14:paraId="75CD2760" w14:textId="77777777" w:rsidTr="00DD5BED">
        <w:trPr>
          <w:trHeight w:val="870"/>
          <w:jc w:val="center"/>
        </w:trPr>
        <w:tc>
          <w:tcPr>
            <w:tcW w:w="8647" w:type="dxa"/>
          </w:tcPr>
          <w:p w14:paraId="0E555D03" w14:textId="77777777" w:rsidR="00FF6120" w:rsidRDefault="00FF6120" w:rsidP="00DD5BED">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lastRenderedPageBreak/>
              <w:t xml:space="preserve">Ley 80 de 1993, artículo 60. </w:t>
            </w:r>
          </w:p>
          <w:p w14:paraId="7BDDFB67" w14:textId="77777777" w:rsidR="00FF6120" w:rsidRPr="00B478FA" w:rsidRDefault="00FF6120" w:rsidP="00DD5BED">
            <w:pPr>
              <w:pStyle w:val="Prrafodelista"/>
              <w:widowControl w:val="0"/>
              <w:autoSpaceDE w:val="0"/>
              <w:autoSpaceDN w:val="0"/>
              <w:spacing w:line="276" w:lineRule="auto"/>
              <w:jc w:val="both"/>
              <w:rPr>
                <w:rFonts w:ascii="Verdana" w:hAnsi="Verdana" w:cs="Arial"/>
                <w:sz w:val="12"/>
                <w:szCs w:val="12"/>
              </w:rPr>
            </w:pPr>
          </w:p>
          <w:p w14:paraId="0E028AEB" w14:textId="77777777" w:rsidR="00FF6120" w:rsidRDefault="00FF6120" w:rsidP="00DD5BED">
            <w:pPr>
              <w:pStyle w:val="Prrafodelista"/>
              <w:widowControl w:val="0"/>
              <w:numPr>
                <w:ilvl w:val="0"/>
                <w:numId w:val="17"/>
              </w:numPr>
              <w:autoSpaceDE w:val="0"/>
              <w:autoSpaceDN w:val="0"/>
              <w:spacing w:line="276" w:lineRule="auto"/>
              <w:jc w:val="both"/>
              <w:rPr>
                <w:rFonts w:ascii="Verdana" w:hAnsi="Verdana" w:cs="Arial"/>
              </w:rPr>
            </w:pPr>
            <w:r w:rsidRPr="00EA612E">
              <w:rPr>
                <w:rFonts w:ascii="Verdana" w:hAnsi="Verdana" w:cs="Arial"/>
              </w:rPr>
              <w:t xml:space="preserve">Ley 1150 de 2007, artículo </w:t>
            </w:r>
            <w:r>
              <w:rPr>
                <w:rFonts w:ascii="Verdana" w:hAnsi="Verdana" w:cs="Arial"/>
              </w:rPr>
              <w:t>11</w:t>
            </w:r>
            <w:r w:rsidRPr="00EA612E">
              <w:rPr>
                <w:rFonts w:ascii="Verdana" w:hAnsi="Verdana" w:cs="Arial"/>
              </w:rPr>
              <w:t xml:space="preserve">. </w:t>
            </w:r>
          </w:p>
          <w:p w14:paraId="12980D73" w14:textId="77777777" w:rsidR="00FF6120" w:rsidRPr="00B478FA" w:rsidRDefault="00FF6120" w:rsidP="00DD5BED">
            <w:pPr>
              <w:widowControl w:val="0"/>
              <w:autoSpaceDE w:val="0"/>
              <w:autoSpaceDN w:val="0"/>
              <w:spacing w:line="276" w:lineRule="auto"/>
              <w:jc w:val="both"/>
              <w:rPr>
                <w:rFonts w:ascii="Verdana" w:hAnsi="Verdana" w:cs="Arial"/>
                <w:sz w:val="12"/>
                <w:szCs w:val="12"/>
              </w:rPr>
            </w:pPr>
          </w:p>
          <w:p w14:paraId="6E48B177" w14:textId="77777777" w:rsidR="00FF6120" w:rsidRPr="001D733B" w:rsidRDefault="00FF6120" w:rsidP="00DD5BED">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Ley 1437 de 2011</w:t>
            </w:r>
            <w:r w:rsidRPr="00EA612E">
              <w:rPr>
                <w:rFonts w:ascii="Verdana" w:hAnsi="Verdana" w:cs="Arial"/>
              </w:rPr>
              <w:t xml:space="preserve">, artículos </w:t>
            </w:r>
            <w:r>
              <w:rPr>
                <w:rFonts w:ascii="Verdana" w:hAnsi="Verdana" w:cs="Arial"/>
              </w:rPr>
              <w:t>141 y 164</w:t>
            </w:r>
            <w:r w:rsidRPr="00EA612E">
              <w:rPr>
                <w:rFonts w:ascii="Verdana" w:hAnsi="Verdana" w:cs="Arial"/>
              </w:rPr>
              <w:t>.</w:t>
            </w:r>
          </w:p>
        </w:tc>
      </w:tr>
    </w:tbl>
    <w:p w14:paraId="5A6C8589" w14:textId="77777777" w:rsidR="00FF6120" w:rsidRPr="002407CE" w:rsidRDefault="00FF6120" w:rsidP="00FF6120">
      <w:pPr>
        <w:widowControl w:val="0"/>
        <w:autoSpaceDE w:val="0"/>
        <w:autoSpaceDN w:val="0"/>
        <w:spacing w:after="0" w:line="276" w:lineRule="auto"/>
        <w:jc w:val="both"/>
        <w:rPr>
          <w:rFonts w:ascii="Verdana" w:hAnsi="Verdana" w:cs="Arial"/>
        </w:rPr>
      </w:pPr>
    </w:p>
    <w:p w14:paraId="104BB5C2" w14:textId="77777777" w:rsidR="00FF6120" w:rsidRPr="00593A5F" w:rsidRDefault="00FF6120" w:rsidP="00FF612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38896EA" w14:textId="77777777" w:rsidR="00FF6120" w:rsidRPr="00593A5F" w:rsidRDefault="00FF6120" w:rsidP="00FF6120">
      <w:pPr>
        <w:widowControl w:val="0"/>
        <w:autoSpaceDE w:val="0"/>
        <w:autoSpaceDN w:val="0"/>
        <w:spacing w:after="0" w:line="276" w:lineRule="auto"/>
        <w:jc w:val="both"/>
        <w:rPr>
          <w:rFonts w:ascii="Verdana" w:hAnsi="Verdana" w:cs="Arial"/>
        </w:rPr>
      </w:pPr>
    </w:p>
    <w:p w14:paraId="6A1254C4" w14:textId="77777777" w:rsidR="00FF6120" w:rsidRDefault="00FF6120" w:rsidP="00FF612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D781E">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la liquidación</w:t>
      </w:r>
      <w:r w:rsidRPr="00DD781E">
        <w:rPr>
          <w:rStyle w:val="normaltextrun"/>
          <w:rFonts w:ascii="Verdana" w:hAnsi="Verdana" w:cs="Arial"/>
          <w:shd w:val="clear" w:color="auto" w:fill="FFFFFF"/>
          <w:lang w:val="es-ES"/>
        </w:rPr>
        <w:t xml:space="preserve"> en los Conceptos</w:t>
      </w:r>
      <w:r w:rsidRPr="00DD781E">
        <w:rPr>
          <w:rStyle w:val="normaltextrun"/>
          <w:rFonts w:ascii="Verdana" w:hAnsi="Verdana" w:cs="Calibri"/>
          <w:shd w:val="clear" w:color="auto" w:fill="FFFFFF"/>
        </w:rPr>
        <w:t xml:space="preserve"> </w:t>
      </w:r>
      <w:r w:rsidRPr="004B5D6E">
        <w:rPr>
          <w:rStyle w:val="normaltextrun"/>
          <w:rFonts w:ascii="Verdana" w:hAnsi="Verdana" w:cs="Arial"/>
          <w:shd w:val="clear" w:color="auto" w:fill="FFFFFF"/>
          <w:lang w:val="es-ES"/>
        </w:rPr>
        <w:t>4201912000004908 del 27 de septiembre de 2019</w:t>
      </w:r>
      <w:r>
        <w:rPr>
          <w:rStyle w:val="normaltextrun"/>
          <w:rFonts w:ascii="Verdana" w:hAnsi="Verdana" w:cs="Arial"/>
          <w:shd w:val="clear" w:color="auto" w:fill="FFFFFF"/>
          <w:lang w:val="es-ES"/>
        </w:rPr>
        <w:t xml:space="preserve">, </w:t>
      </w:r>
      <w:r w:rsidRPr="004B5D6E">
        <w:rPr>
          <w:rStyle w:val="normaltextrun"/>
          <w:rFonts w:ascii="Verdana" w:hAnsi="Verdana" w:cs="Arial"/>
          <w:shd w:val="clear" w:color="auto" w:fill="FFFFFF"/>
          <w:lang w:val="es-ES"/>
        </w:rPr>
        <w:t>CU-028 de 25 de febrero de 2020, C-221 de 21 de abril de 2020, C-078 del 17 de marzo de 2021, C-220 del 18 de mayo de 2021, C-444 del 23 de julio de 2021, C-747 del 8 de noviembre de 2022, C-739 de del 29 de noviembre de 2022</w:t>
      </w:r>
      <w:r>
        <w:rPr>
          <w:rStyle w:val="normaltextrun"/>
          <w:rFonts w:ascii="Verdana" w:hAnsi="Verdana" w:cs="Arial"/>
          <w:shd w:val="clear" w:color="auto" w:fill="FFFFFF"/>
          <w:lang w:val="es-ES"/>
        </w:rPr>
        <w:t>,</w:t>
      </w:r>
      <w:r w:rsidRPr="004B5D6E">
        <w:rPr>
          <w:rStyle w:val="normaltextrun"/>
          <w:rFonts w:ascii="Verdana" w:hAnsi="Verdana" w:cs="Arial"/>
          <w:shd w:val="clear" w:color="auto" w:fill="FFFFFF"/>
          <w:lang w:val="es-ES"/>
        </w:rPr>
        <w:t xml:space="preserve"> C- 176 de 3 de mayo de 2023</w:t>
      </w:r>
      <w:r>
        <w:rPr>
          <w:rStyle w:val="normaltextrun"/>
          <w:rFonts w:ascii="Verdana" w:hAnsi="Verdana" w:cs="Arial"/>
          <w:shd w:val="clear" w:color="auto" w:fill="FFFFFF"/>
          <w:lang w:val="es-ES"/>
        </w:rPr>
        <w:t>, C-158 del 6 de junio de 2023, C-326 del 15 de agosto de 2024 y C-754 del 24 de julio de 2025</w:t>
      </w:r>
      <w:r w:rsidRPr="00EA761C">
        <w:rPr>
          <w:rStyle w:val="normaltextrun"/>
          <w:rFonts w:ascii="Verdana" w:hAnsi="Verdana" w:cs="Arial"/>
          <w:shd w:val="clear" w:color="auto" w:fill="FFFFFF"/>
          <w:lang w:val="es-ES"/>
        </w:rPr>
        <w:t>. Es</w:t>
      </w:r>
      <w:r w:rsidRPr="00EA761C">
        <w:rPr>
          <w:rFonts w:ascii="Verdana" w:hAnsi="Verdana"/>
        </w:rPr>
        <w:t>tos</w:t>
      </w:r>
      <w:r>
        <w:rPr>
          <w:rFonts w:ascii="Verdana" w:hAnsi="Verdana"/>
        </w:rPr>
        <w:t xml:space="preserve"> y otros</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5C4AC129" w14:textId="77777777" w:rsidR="00FF6120" w:rsidRDefault="00FF6120" w:rsidP="00FF6120">
      <w:pPr>
        <w:shd w:val="clear" w:color="auto" w:fill="FFFFFF"/>
        <w:spacing w:after="0" w:line="276" w:lineRule="auto"/>
        <w:jc w:val="both"/>
        <w:rPr>
          <w:rFonts w:ascii="Verdana" w:hAnsi="Verdana" w:cs="Arial"/>
          <w:shd w:val="clear" w:color="auto" w:fill="FFFFFF"/>
        </w:rPr>
      </w:pPr>
    </w:p>
    <w:p w14:paraId="3AE1398E" w14:textId="77777777" w:rsidR="00FF6120" w:rsidRPr="00C55BDE" w:rsidRDefault="00FF6120" w:rsidP="00FF6120">
      <w:pPr>
        <w:shd w:val="clear" w:color="auto" w:fill="FFFFFF"/>
        <w:spacing w:after="120" w:line="276" w:lineRule="auto"/>
        <w:jc w:val="both"/>
        <w:rPr>
          <w:rFonts w:ascii="Verdana" w:hAnsi="Verdana"/>
          <w:color w:val="467886"/>
          <w:u w:val="single"/>
        </w:rPr>
      </w:pPr>
      <w:r w:rsidRPr="00C55BDE">
        <w:rPr>
          <w:rFonts w:ascii="Verdana" w:hAnsi="Verdana"/>
          <w:color w:val="000000"/>
          <w:lang w:val="es-ES_tradnl"/>
        </w:rPr>
        <w:t>Informamos</w:t>
      </w:r>
      <w:r w:rsidRPr="00C55BDE">
        <w:rPr>
          <w:rFonts w:ascii="Verdana" w:hAnsi="Verdana"/>
          <w:color w:val="000000"/>
        </w:rPr>
        <w:t xml:space="preserve"> que ya se encuentra disponible la </w:t>
      </w:r>
      <w:r w:rsidRPr="00C55BDE">
        <w:rPr>
          <w:rFonts w:ascii="Verdana" w:hAnsi="Verdana"/>
          <w:b/>
          <w:bCs/>
          <w:color w:val="000000"/>
        </w:rPr>
        <w:t>Guía de lineamientos de transparencia y selección objetiva para el departamento de La Guajira – Objetivo sexto constitucional de la Sentencia T-302 del 2017. </w:t>
      </w:r>
      <w:r w:rsidRPr="00C55BD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55BDE">
        <w:rPr>
          <w:rFonts w:ascii="Verdana" w:hAnsi="Verdana"/>
          <w:color w:val="000000"/>
        </w:rPr>
        <w:t>Wayúu</w:t>
      </w:r>
      <w:proofErr w:type="spellEnd"/>
      <w:r w:rsidRPr="00C55BDE">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C55BDE">
          <w:rPr>
            <w:rFonts w:ascii="Verdana" w:hAnsi="Verdana"/>
            <w:color w:val="0000FF"/>
            <w:u w:val="single"/>
          </w:rPr>
          <w:t>Guía de lineamientos de transparencia y selección objetiva para el departamento de La Guajira – Objetivo sexto constitucional de la Sentencia T-302 del 2017</w:t>
        </w:r>
      </w:hyperlink>
      <w:r w:rsidRPr="00C55BDE">
        <w:rPr>
          <w:rFonts w:ascii="Verdana" w:hAnsi="Verdana"/>
          <w:color w:val="000000"/>
          <w:u w:val="single"/>
        </w:rPr>
        <w:t>.</w:t>
      </w:r>
    </w:p>
    <w:p w14:paraId="6D69D97F" w14:textId="77777777" w:rsidR="00FF6120" w:rsidRPr="00C55BDE" w:rsidRDefault="00FF6120" w:rsidP="00FF6120">
      <w:pPr>
        <w:shd w:val="clear" w:color="auto" w:fill="FFFFFF"/>
        <w:spacing w:after="0" w:line="276" w:lineRule="auto"/>
        <w:jc w:val="both"/>
        <w:rPr>
          <w:rFonts w:ascii="Verdana" w:hAnsi="Verdana"/>
          <w:color w:val="467886"/>
          <w:u w:val="single"/>
        </w:rPr>
      </w:pPr>
      <w:r w:rsidRPr="00C55BD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0C9BFF8" w14:textId="77777777" w:rsidR="00FF6120" w:rsidRPr="00C55BDE" w:rsidRDefault="00FF6120" w:rsidP="00FF6120">
      <w:pPr>
        <w:spacing w:after="0"/>
        <w:jc w:val="both"/>
        <w:rPr>
          <w:rFonts w:ascii="Verdana" w:hAnsi="Verdana"/>
        </w:rPr>
      </w:pPr>
    </w:p>
    <w:p w14:paraId="26D6570D" w14:textId="77777777" w:rsidR="00FF6120" w:rsidRPr="00C55BDE" w:rsidRDefault="00FF6120" w:rsidP="00FF6120">
      <w:pPr>
        <w:numPr>
          <w:ilvl w:val="0"/>
          <w:numId w:val="15"/>
        </w:numPr>
        <w:spacing w:after="0" w:line="240" w:lineRule="auto"/>
        <w:contextualSpacing/>
        <w:jc w:val="both"/>
        <w:rPr>
          <w:rFonts w:ascii="Verdana" w:eastAsia="Verdana" w:hAnsi="Verdana" w:cs="Verdana"/>
          <w:color w:val="4472C4" w:themeColor="accent1"/>
          <w:u w:val="single"/>
          <w:lang w:val="es-MX"/>
        </w:rPr>
      </w:pPr>
      <w:r w:rsidRPr="00C55BDE">
        <w:rPr>
          <w:rFonts w:ascii="Verdana" w:eastAsia="Verdana" w:hAnsi="Verdana" w:cs="Verdana"/>
          <w:lang w:val="es-MX"/>
        </w:rPr>
        <w:t xml:space="preserve">Línea nacional gratuita o servicio a la ciudadanía (Mesa de servicio): </w:t>
      </w:r>
      <w:r w:rsidRPr="00C55BDE">
        <w:rPr>
          <w:rFonts w:ascii="Verdana" w:hAnsi="Verdana"/>
          <w:color w:val="0000FF"/>
          <w:u w:val="single"/>
          <w:lang w:val="es-ES"/>
        </w:rPr>
        <w:t>01800 0520808</w:t>
      </w:r>
    </w:p>
    <w:p w14:paraId="07D64BEB" w14:textId="77777777" w:rsidR="00FF6120" w:rsidRPr="00C55BDE" w:rsidRDefault="00FF6120" w:rsidP="00FF6120">
      <w:pPr>
        <w:numPr>
          <w:ilvl w:val="0"/>
          <w:numId w:val="15"/>
        </w:numPr>
        <w:spacing w:after="0"/>
        <w:contextualSpacing/>
        <w:rPr>
          <w:rFonts w:ascii="Verdana" w:eastAsia="Verdana" w:hAnsi="Verdana" w:cs="Verdana"/>
          <w:color w:val="4472C4" w:themeColor="accent1"/>
          <w:u w:val="single"/>
          <w:lang w:val="es-MX"/>
        </w:rPr>
      </w:pPr>
      <w:r w:rsidRPr="00C55BDE">
        <w:rPr>
          <w:rFonts w:ascii="Verdana" w:eastAsia="Verdana" w:hAnsi="Verdana" w:cs="Verdana"/>
          <w:lang w:val="es-MX"/>
        </w:rPr>
        <w:t>Línea en Bogotá (Mesa de servicio</w:t>
      </w:r>
      <w:proofErr w:type="gramStart"/>
      <w:r w:rsidRPr="00C55BDE">
        <w:rPr>
          <w:rFonts w:ascii="Verdana" w:eastAsia="Verdana" w:hAnsi="Verdana" w:cs="Verdana"/>
          <w:lang w:val="es-MX"/>
        </w:rPr>
        <w:t>):</w:t>
      </w:r>
      <w:r w:rsidRPr="00C55BDE">
        <w:rPr>
          <w:rFonts w:ascii="Verdana" w:hAnsi="Verdana"/>
          <w:color w:val="0000FF"/>
          <w:u w:val="single"/>
          <w:lang w:val="es-ES"/>
        </w:rPr>
        <w:t>+</w:t>
      </w:r>
      <w:proofErr w:type="gramEnd"/>
      <w:r w:rsidRPr="00C55BDE">
        <w:rPr>
          <w:rFonts w:ascii="Verdana" w:hAnsi="Verdana"/>
          <w:color w:val="0000FF"/>
          <w:u w:val="single"/>
          <w:lang w:val="es-ES"/>
        </w:rPr>
        <w:t>57 601 7456788</w:t>
      </w:r>
    </w:p>
    <w:p w14:paraId="432B20B5" w14:textId="77777777" w:rsidR="00FF6120" w:rsidRPr="00C55BDE" w:rsidRDefault="00FF6120" w:rsidP="00FF6120">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MX"/>
        </w:rPr>
        <w:lastRenderedPageBreak/>
        <w:t xml:space="preserve">Correo de radicación de correspondencia: </w:t>
      </w:r>
      <w:hyperlink r:id="rId14" w:history="1">
        <w:r w:rsidRPr="00C55BDE">
          <w:rPr>
            <w:rFonts w:ascii="Verdana" w:eastAsia="Verdana" w:hAnsi="Verdana" w:cs="Verdana"/>
            <w:color w:val="0000FF"/>
            <w:u w:val="single"/>
            <w:lang w:val="es-MX"/>
          </w:rPr>
          <w:t>ventanilladeradicacion@colombiacompra.gov.co</w:t>
        </w:r>
      </w:hyperlink>
    </w:p>
    <w:p w14:paraId="68928B48" w14:textId="77777777" w:rsidR="00FF6120" w:rsidRPr="00C55BDE" w:rsidRDefault="00FF6120" w:rsidP="00FF6120">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ES"/>
        </w:rPr>
        <w:t xml:space="preserve">Formulario web para PQRSD: </w:t>
      </w:r>
      <w:hyperlink r:id="rId15" w:history="1">
        <w:r w:rsidRPr="00C55BDE">
          <w:rPr>
            <w:rFonts w:ascii="Verdana" w:eastAsia="Verdana" w:hAnsi="Verdana" w:cs="Verdana"/>
            <w:color w:val="0000FF"/>
            <w:u w:val="single"/>
            <w:lang w:val="es-MX"/>
          </w:rPr>
          <w:t>https://www.colombiacompra.gov.co/pqrsd/informacion-importante-antes-de-formular-una-pqrsd</w:t>
        </w:r>
      </w:hyperlink>
    </w:p>
    <w:p w14:paraId="58F62697" w14:textId="77777777" w:rsidR="00FF6120" w:rsidRPr="00C55BDE" w:rsidRDefault="00FF6120" w:rsidP="00FF6120">
      <w:pPr>
        <w:spacing w:after="0" w:line="240" w:lineRule="auto"/>
        <w:ind w:left="720"/>
        <w:jc w:val="both"/>
        <w:rPr>
          <w:rFonts w:ascii="Verdana" w:hAnsi="Verdana"/>
        </w:rPr>
      </w:pPr>
    </w:p>
    <w:p w14:paraId="76335C19" w14:textId="77777777" w:rsidR="00FF6120" w:rsidRPr="00C55BDE" w:rsidRDefault="00FF6120" w:rsidP="00FF6120">
      <w:pPr>
        <w:spacing w:after="0" w:line="276" w:lineRule="auto"/>
        <w:jc w:val="both"/>
        <w:rPr>
          <w:rFonts w:ascii="Verdana" w:hAnsi="Verdana"/>
        </w:rPr>
      </w:pPr>
      <w:r w:rsidRPr="00C55BDE">
        <w:rPr>
          <w:rFonts w:ascii="Verdana" w:hAnsi="Verdana"/>
        </w:rPr>
        <w:t xml:space="preserve">Evalúa el servicio que ofrece la Agencia por el canal de atención de PQRSD en el siguiente enlace: </w:t>
      </w:r>
      <w:hyperlink r:id="rId16" w:history="1">
        <w:r w:rsidRPr="00C55BDE">
          <w:rPr>
            <w:rStyle w:val="Hipervnculo"/>
            <w:rFonts w:ascii="Verdana" w:hAnsi="Verdana"/>
          </w:rPr>
          <w:t>https://forms.office.com/r/pPHyWVs2SZ</w:t>
        </w:r>
      </w:hyperlink>
      <w:r w:rsidRPr="00C55BDE">
        <w:rPr>
          <w:rFonts w:ascii="Verdana" w:hAnsi="Verdana"/>
        </w:rPr>
        <w:t xml:space="preserve"> .¡Ayúdanos a mejorar porque el compromiso es de todos!</w:t>
      </w:r>
    </w:p>
    <w:p w14:paraId="2B6124D8" w14:textId="77777777" w:rsidR="00FF6120" w:rsidRPr="00C55BDE" w:rsidRDefault="00FF6120" w:rsidP="00FF6120">
      <w:pPr>
        <w:spacing w:after="0" w:line="240" w:lineRule="auto"/>
        <w:rPr>
          <w:rFonts w:ascii="Verdana" w:hAnsi="Verdana"/>
        </w:rPr>
      </w:pPr>
    </w:p>
    <w:p w14:paraId="48CF2C63" w14:textId="77777777" w:rsidR="00FF6120" w:rsidRPr="00C55BDE" w:rsidRDefault="00FF6120" w:rsidP="00FF6120">
      <w:pPr>
        <w:spacing w:after="0" w:line="240" w:lineRule="auto"/>
        <w:jc w:val="both"/>
        <w:rPr>
          <w:rFonts w:ascii="Verdana" w:hAnsi="Verdana"/>
        </w:rPr>
      </w:pPr>
      <w:r w:rsidRPr="00C55BDE">
        <w:rPr>
          <w:rFonts w:ascii="Verdana" w:hAnsi="Verdana"/>
        </w:rPr>
        <w:t xml:space="preserve">Por último, lo invitamos a seguirnos en las redes sociales en las cuales se difunde información institucional: </w:t>
      </w:r>
    </w:p>
    <w:p w14:paraId="4EE6BB77" w14:textId="77777777" w:rsidR="00FF6120" w:rsidRPr="00C55BDE" w:rsidRDefault="00FF6120" w:rsidP="00FF6120">
      <w:pPr>
        <w:spacing w:after="0" w:line="240" w:lineRule="auto"/>
        <w:jc w:val="both"/>
        <w:rPr>
          <w:rFonts w:ascii="Verdana" w:hAnsi="Verdana"/>
        </w:rPr>
      </w:pPr>
    </w:p>
    <w:p w14:paraId="04B2947C" w14:textId="77777777" w:rsidR="00FF6120" w:rsidRPr="00C55BDE" w:rsidRDefault="00FF6120" w:rsidP="00FF6120">
      <w:pPr>
        <w:spacing w:after="0" w:line="240" w:lineRule="auto"/>
        <w:jc w:val="both"/>
        <w:rPr>
          <w:rFonts w:ascii="Verdana" w:hAnsi="Verdana"/>
        </w:rPr>
      </w:pPr>
      <w:r w:rsidRPr="00C55BDE">
        <w:rPr>
          <w:rFonts w:ascii="Verdana" w:hAnsi="Verdana"/>
        </w:rPr>
        <w:t xml:space="preserve">Twitter: </w:t>
      </w:r>
      <w:r w:rsidRPr="00C55BDE">
        <w:rPr>
          <w:rFonts w:ascii="Verdana" w:hAnsi="Verdana"/>
          <w:color w:val="0000FF"/>
          <w:u w:val="single"/>
        </w:rPr>
        <w:t>@colombiacompra</w:t>
      </w:r>
      <w:r w:rsidRPr="00C55BDE">
        <w:rPr>
          <w:rFonts w:ascii="Verdana" w:hAnsi="Verdana"/>
        </w:rPr>
        <w:t xml:space="preserve"> </w:t>
      </w:r>
    </w:p>
    <w:p w14:paraId="51F6FAC4" w14:textId="77777777" w:rsidR="00FF6120" w:rsidRPr="00C55BDE" w:rsidRDefault="00FF6120" w:rsidP="00FF6120">
      <w:pPr>
        <w:spacing w:after="0" w:line="240" w:lineRule="auto"/>
        <w:jc w:val="both"/>
        <w:rPr>
          <w:rFonts w:ascii="Verdana" w:hAnsi="Verdana"/>
        </w:rPr>
      </w:pPr>
      <w:r w:rsidRPr="00C55BDE">
        <w:rPr>
          <w:rFonts w:ascii="Verdana" w:hAnsi="Verdana"/>
        </w:rPr>
        <w:t xml:space="preserve">Facebook: </w:t>
      </w:r>
      <w:proofErr w:type="spellStart"/>
      <w:r w:rsidRPr="00C55BDE">
        <w:rPr>
          <w:rFonts w:ascii="Verdana" w:hAnsi="Verdana"/>
          <w:color w:val="0000FF"/>
          <w:u w:val="single"/>
        </w:rPr>
        <w:t>ColombiaCompraEficiente</w:t>
      </w:r>
      <w:proofErr w:type="spellEnd"/>
    </w:p>
    <w:p w14:paraId="0AFF0101" w14:textId="77777777" w:rsidR="00FF6120" w:rsidRPr="00C55BDE" w:rsidRDefault="00FF6120" w:rsidP="00FF6120">
      <w:pPr>
        <w:spacing w:after="0" w:line="240" w:lineRule="auto"/>
        <w:jc w:val="both"/>
        <w:rPr>
          <w:rFonts w:ascii="Verdana" w:hAnsi="Verdana"/>
        </w:rPr>
      </w:pPr>
      <w:r w:rsidRPr="00C55BDE">
        <w:rPr>
          <w:rFonts w:ascii="Verdana" w:hAnsi="Verdana"/>
        </w:rPr>
        <w:t xml:space="preserve">LinkedIn: </w:t>
      </w:r>
      <w:r w:rsidRPr="00C55BDE">
        <w:rPr>
          <w:rFonts w:ascii="Verdana" w:hAnsi="Verdana"/>
          <w:color w:val="0000FF"/>
          <w:u w:val="single"/>
        </w:rPr>
        <w:t>Agencia Nacional de Contratación Pública - Colombia Compra Eficiente</w:t>
      </w:r>
      <w:r w:rsidRPr="00C55BDE">
        <w:rPr>
          <w:rFonts w:ascii="Verdana" w:hAnsi="Verdana"/>
        </w:rPr>
        <w:t xml:space="preserve"> Instagram: </w:t>
      </w:r>
      <w:r w:rsidRPr="00C55BDE">
        <w:rPr>
          <w:rFonts w:ascii="Verdana" w:hAnsi="Verdana"/>
          <w:color w:val="0000FF"/>
          <w:u w:val="single"/>
        </w:rPr>
        <w:t>@colombiacompraeficiente_cce</w:t>
      </w:r>
    </w:p>
    <w:p w14:paraId="73D647FF" w14:textId="77777777" w:rsidR="00FF6120" w:rsidRPr="00C55BDE" w:rsidRDefault="00FF6120" w:rsidP="00FF6120">
      <w:pPr>
        <w:widowControl w:val="0"/>
        <w:autoSpaceDE w:val="0"/>
        <w:autoSpaceDN w:val="0"/>
        <w:spacing w:after="120" w:line="276" w:lineRule="auto"/>
        <w:jc w:val="both"/>
        <w:rPr>
          <w:rFonts w:ascii="Verdana" w:hAnsi="Verdana" w:cs="Arial"/>
          <w:color w:val="FF0000"/>
          <w:shd w:val="clear" w:color="auto" w:fill="FFFFFF"/>
          <w:lang w:val="es-ES_tradnl"/>
        </w:rPr>
      </w:pPr>
      <w:r w:rsidRPr="00C55BDE">
        <w:rPr>
          <w:rFonts w:ascii="Verdana" w:hAnsi="Verdana" w:cs="Arial"/>
          <w:color w:val="FF0000"/>
          <w:shd w:val="clear" w:color="auto" w:fill="FFFFFF"/>
          <w:lang w:val="es-ES_tradnl"/>
        </w:rPr>
        <w:t xml:space="preserve">        </w:t>
      </w:r>
    </w:p>
    <w:p w14:paraId="7E94EA28" w14:textId="77777777" w:rsidR="00FF6120" w:rsidRPr="00C55BDE" w:rsidRDefault="00FF6120" w:rsidP="00FF6120">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1E80FB8" w14:textId="77777777" w:rsidR="00FF6120" w:rsidRPr="00C55BDE" w:rsidRDefault="00FF6120" w:rsidP="00FF6120">
      <w:pPr>
        <w:widowControl w:val="0"/>
        <w:autoSpaceDE w:val="0"/>
        <w:autoSpaceDN w:val="0"/>
        <w:spacing w:after="0" w:line="276" w:lineRule="auto"/>
        <w:jc w:val="both"/>
        <w:rPr>
          <w:rFonts w:ascii="Verdana" w:hAnsi="Verdana" w:cs="Arial"/>
          <w:lang w:val="es-ES_tradnl"/>
        </w:rPr>
      </w:pPr>
    </w:p>
    <w:p w14:paraId="2EAFE42E" w14:textId="77777777" w:rsidR="00FF6120" w:rsidRPr="00C55BDE" w:rsidRDefault="00FF6120" w:rsidP="00FF6120">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2CD1867D" w14:textId="503CA4DE" w:rsidR="00FF6120" w:rsidRDefault="00745E97" w:rsidP="00FF6120">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418DAD51" wp14:editId="733EE001">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318444"/>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FF6120" w14:paraId="2E5C3C7B" w14:textId="77777777" w:rsidTr="00DD5BED">
        <w:trPr>
          <w:trHeight w:val="315"/>
        </w:trPr>
        <w:tc>
          <w:tcPr>
            <w:tcW w:w="893" w:type="dxa"/>
            <w:vAlign w:val="center"/>
            <w:hideMark/>
          </w:tcPr>
          <w:p w14:paraId="7D2131B6" w14:textId="77777777" w:rsidR="00FF6120" w:rsidRDefault="00FF6120" w:rsidP="00DD5BED">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D7D1E2E" w14:textId="77777777" w:rsidR="00FF6120" w:rsidRDefault="00FF6120" w:rsidP="00DD5BED">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43FBCFB5" w14:textId="77777777" w:rsidR="00FF6120" w:rsidRDefault="00FF6120" w:rsidP="00DD5BED">
            <w:pPr>
              <w:spacing w:after="255" w:line="254" w:lineRule="auto"/>
              <w:contextualSpacing/>
              <w:rPr>
                <w:rFonts w:ascii="Verdana" w:hAnsi="Verdana"/>
                <w:sz w:val="16"/>
                <w:szCs w:val="16"/>
              </w:rPr>
            </w:pPr>
            <w:r>
              <w:rPr>
                <w:rFonts w:ascii="Verdana" w:eastAsia="Calibri" w:hAnsi="Verdana" w:cs="Times New Roman"/>
                <w:sz w:val="16"/>
                <w:szCs w:val="16"/>
              </w:rPr>
              <w:t>Contratista de la Subdirección de Gestión Contractual</w:t>
            </w:r>
          </w:p>
        </w:tc>
      </w:tr>
      <w:tr w:rsidR="00FF6120" w14:paraId="2BB83905" w14:textId="77777777" w:rsidTr="00DD5BED">
        <w:trPr>
          <w:trHeight w:val="330"/>
        </w:trPr>
        <w:tc>
          <w:tcPr>
            <w:tcW w:w="893" w:type="dxa"/>
            <w:vAlign w:val="center"/>
            <w:hideMark/>
          </w:tcPr>
          <w:p w14:paraId="2388F97A" w14:textId="77777777" w:rsidR="00FF6120" w:rsidRDefault="00FF6120" w:rsidP="00DD5BED">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8D77909" w14:textId="77777777" w:rsidR="00FF6120" w:rsidRDefault="00FF6120" w:rsidP="00DD5BED">
            <w:pPr>
              <w:spacing w:before="100" w:beforeAutospacing="1" w:after="100" w:afterAutospacing="1" w:line="254" w:lineRule="auto"/>
              <w:contextualSpacing/>
              <w:textAlignment w:val="baseline"/>
              <w:rPr>
                <w:rFonts w:ascii="Verdana" w:eastAsia="Times New Roman" w:hAnsi="Verdana"/>
                <w:sz w:val="16"/>
                <w:szCs w:val="16"/>
                <w:lang w:eastAsia="es-ES_tradnl"/>
              </w:rPr>
            </w:pPr>
            <w:r>
              <w:rPr>
                <w:rFonts w:ascii="Verdana" w:eastAsia="Times New Roman" w:hAnsi="Verdana"/>
                <w:sz w:val="16"/>
                <w:szCs w:val="16"/>
                <w:lang w:eastAsia="es-ES_tradnl"/>
              </w:rPr>
              <w:t>Alejandro Sarmiento Cantillo</w:t>
            </w:r>
          </w:p>
          <w:p w14:paraId="5D4B458E" w14:textId="77777777" w:rsidR="00FF6120" w:rsidRDefault="00FF6120" w:rsidP="00DD5BED">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sz w:val="16"/>
                <w:szCs w:val="16"/>
                <w:lang w:eastAsia="es-ES_tradnl"/>
              </w:rPr>
              <w:t>Gestor T1 ‒ 15 de la Subdirección de Gestión Contractual </w:t>
            </w:r>
          </w:p>
        </w:tc>
      </w:tr>
      <w:tr w:rsidR="00FF6120" w14:paraId="71695D28" w14:textId="77777777" w:rsidTr="00DD5BED">
        <w:trPr>
          <w:trHeight w:val="300"/>
        </w:trPr>
        <w:tc>
          <w:tcPr>
            <w:tcW w:w="893" w:type="dxa"/>
            <w:vAlign w:val="center"/>
            <w:hideMark/>
          </w:tcPr>
          <w:p w14:paraId="557045E3" w14:textId="77777777" w:rsidR="00FF6120" w:rsidRDefault="00FF6120" w:rsidP="00DD5BED">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3603D5" w14:textId="77777777" w:rsidR="00FF6120" w:rsidRDefault="00FF6120" w:rsidP="00DD5BED">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val="pt-BR" w:eastAsia="es-ES"/>
              </w:rPr>
              <w:t xml:space="preserve">Carolina Quintero </w:t>
            </w:r>
            <w:proofErr w:type="spellStart"/>
            <w:r>
              <w:rPr>
                <w:rFonts w:ascii="Verdana" w:eastAsia="Calibri" w:hAnsi="Verdana"/>
                <w:sz w:val="16"/>
                <w:szCs w:val="16"/>
                <w:lang w:val="pt-BR" w:eastAsia="es-ES"/>
              </w:rPr>
              <w:t>Gacharná</w:t>
            </w:r>
            <w:proofErr w:type="spellEnd"/>
          </w:p>
          <w:p w14:paraId="663DF192" w14:textId="77777777" w:rsidR="00FF6120" w:rsidRDefault="00FF6120" w:rsidP="00DD5BED">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eastAsia="es-ES"/>
              </w:rPr>
              <w:t>Subdirectora</w:t>
            </w:r>
            <w:r>
              <w:rPr>
                <w:rFonts w:ascii="Verdana" w:eastAsia="Calibri" w:hAnsi="Verdana"/>
                <w:sz w:val="16"/>
                <w:szCs w:val="16"/>
                <w:lang w:val="pt-BR" w:eastAsia="es-ES"/>
              </w:rPr>
              <w:t xml:space="preserve"> de Gestión Contratual ANCP – CCE</w:t>
            </w:r>
          </w:p>
        </w:tc>
      </w:tr>
    </w:tbl>
    <w:p w14:paraId="7227AFAE" w14:textId="77777777" w:rsidR="00FF6120" w:rsidRDefault="00FF6120" w:rsidP="00FF6120">
      <w:pPr>
        <w:spacing w:after="0" w:line="240" w:lineRule="auto"/>
        <w:rPr>
          <w:rFonts w:ascii="Verdana" w:eastAsia="Times New Roman" w:hAnsi="Verdana" w:cs="Arial"/>
          <w:sz w:val="24"/>
          <w:szCs w:val="24"/>
          <w:lang w:eastAsia="es-ES"/>
        </w:rPr>
      </w:pPr>
    </w:p>
    <w:p w14:paraId="678AD77F" w14:textId="77777777" w:rsidR="00983929" w:rsidRDefault="00983929" w:rsidP="0078512F">
      <w:pPr>
        <w:spacing w:after="0" w:line="240" w:lineRule="auto"/>
        <w:rPr>
          <w:rFonts w:ascii="Verdana" w:eastAsia="Geomanist Light" w:hAnsi="Verdana" w:cs="Arial"/>
          <w:color w:val="000000" w:themeColor="text1"/>
          <w:lang w:val="es-MX"/>
        </w:rPr>
      </w:pPr>
    </w:p>
    <w:sectPr w:rsidR="00983929"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EBDCF9" w14:textId="77777777" w:rsidR="00C755DC" w:rsidRDefault="00C755DC" w:rsidP="004A1847">
      <w:pPr>
        <w:spacing w:after="0" w:line="240" w:lineRule="auto"/>
      </w:pPr>
      <w:r>
        <w:separator/>
      </w:r>
    </w:p>
  </w:endnote>
  <w:endnote w:type="continuationSeparator" w:id="0">
    <w:p w14:paraId="5192B4F2" w14:textId="77777777" w:rsidR="00C755DC" w:rsidRDefault="00C755DC" w:rsidP="004A1847">
      <w:pPr>
        <w:spacing w:after="0" w:line="240" w:lineRule="auto"/>
      </w:pPr>
      <w:r>
        <w:continuationSeparator/>
      </w:r>
    </w:p>
  </w:endnote>
  <w:endnote w:type="continuationNotice" w:id="1">
    <w:p w14:paraId="6E990CD1" w14:textId="77777777" w:rsidR="00C755DC" w:rsidRDefault="00C755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FE32D" w14:textId="77777777" w:rsidR="00C755DC" w:rsidRDefault="00C755DC" w:rsidP="004A1847">
      <w:pPr>
        <w:spacing w:after="0" w:line="240" w:lineRule="auto"/>
      </w:pPr>
      <w:r>
        <w:separator/>
      </w:r>
    </w:p>
  </w:footnote>
  <w:footnote w:type="continuationSeparator" w:id="0">
    <w:p w14:paraId="4BAA33AB" w14:textId="77777777" w:rsidR="00C755DC" w:rsidRDefault="00C755DC" w:rsidP="004A1847">
      <w:pPr>
        <w:spacing w:after="0" w:line="240" w:lineRule="auto"/>
      </w:pPr>
      <w:r>
        <w:continuationSeparator/>
      </w:r>
    </w:p>
  </w:footnote>
  <w:footnote w:type="continuationNotice" w:id="1">
    <w:p w14:paraId="4C1CE705" w14:textId="77777777" w:rsidR="00C755DC" w:rsidRDefault="00C755DC">
      <w:pPr>
        <w:spacing w:after="0" w:line="240" w:lineRule="auto"/>
      </w:pPr>
    </w:p>
  </w:footnote>
  <w:footnote w:id="2">
    <w:p w14:paraId="6920CD1B" w14:textId="77777777" w:rsidR="00FF6120" w:rsidRPr="0077438B" w:rsidRDefault="00FF6120" w:rsidP="00FF6120">
      <w:pPr>
        <w:pStyle w:val="Textonotapie"/>
        <w:ind w:firstLine="708"/>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77438B">
        <w:rPr>
          <w:rFonts w:ascii="Verdana" w:hAnsi="Verdana" w:cs="Arial"/>
          <w:color w:val="000000"/>
          <w:sz w:val="14"/>
          <w:szCs w:val="14"/>
          <w:shd w:val="clear" w:color="auto" w:fill="FFFFFF"/>
        </w:rPr>
        <w:t>” (</w:t>
      </w:r>
      <w:r w:rsidRPr="0077438B">
        <w:rPr>
          <w:rFonts w:ascii="Verdana" w:hAnsi="Verdana" w:cs="Arial"/>
          <w:color w:val="000000"/>
          <w:sz w:val="14"/>
          <w:szCs w:val="14"/>
        </w:rPr>
        <w:t>EXPOSITO, Juan Carlos. Forma y contenido del contrato estatal. Bogotá: Universidad Externado de Colombia, p. 89 y 90).</w:t>
      </w:r>
    </w:p>
  </w:footnote>
  <w:footnote w:id="3">
    <w:p w14:paraId="2A697D72" w14:textId="77777777" w:rsidR="00FF6120" w:rsidRPr="0077438B" w:rsidRDefault="00FF6120" w:rsidP="00FF6120">
      <w:pPr>
        <w:pStyle w:val="Textonotapie"/>
        <w:ind w:firstLine="708"/>
        <w:jc w:val="both"/>
        <w:rPr>
          <w:rFonts w:ascii="Verdana" w:hAnsi="Verdana" w:cs="Arial"/>
          <w:color w:val="000000"/>
          <w:sz w:val="14"/>
          <w:szCs w:val="14"/>
          <w:lang w:val="es-CO"/>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DÍAZ DÍEZ, Cristian Andrés. La liquidación. Serie: Las Cláusulas del Contrato Estatal. Medellín: Librería Jurídica Sánchez y Centro de Estudios de Derecho Administrativo –CEDA–, 2013, pp. 53-54.</w:t>
      </w:r>
    </w:p>
  </w:footnote>
  <w:footnote w:id="4">
    <w:p w14:paraId="2BFE42D3" w14:textId="77777777" w:rsidR="00FF6120" w:rsidRPr="0077438B" w:rsidRDefault="00FF6120" w:rsidP="00FF6120">
      <w:pPr>
        <w:spacing w:after="0"/>
        <w:ind w:firstLine="708"/>
        <w:jc w:val="both"/>
        <w:rPr>
          <w:rFonts w:ascii="Verdana" w:hAnsi="Verdana" w:cs="Arial"/>
          <w:color w:val="000000"/>
          <w:sz w:val="14"/>
          <w:szCs w:val="14"/>
          <w:lang w:val="es-ES"/>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Consejo de Estado. Sección Tercera. Subsección C. 20 de octubre de 2014, M.P: Enrique Gil Botero. </w:t>
      </w:r>
      <w:r w:rsidRPr="0077438B">
        <w:rPr>
          <w:rFonts w:ascii="Verdana" w:hAnsi="Verdana" w:cs="Arial"/>
          <w:color w:val="000000"/>
          <w:sz w:val="14"/>
          <w:szCs w:val="14"/>
        </w:rPr>
        <w:t>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5">
    <w:p w14:paraId="54566C45" w14:textId="77777777" w:rsidR="00FF6120" w:rsidRPr="0077438B" w:rsidRDefault="00FF6120" w:rsidP="00FF6120">
      <w:pPr>
        <w:pStyle w:val="Textonotapie"/>
        <w:ind w:firstLine="708"/>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EXPÓSITO VÉLEZ, Juan Carlos. Forma y contenido del contrato estatal, p. 90.</w:t>
      </w:r>
    </w:p>
  </w:footnote>
  <w:footnote w:id="6">
    <w:p w14:paraId="1284882F" w14:textId="77777777" w:rsidR="00FF6120" w:rsidRPr="0077438B" w:rsidRDefault="00FF6120" w:rsidP="00FF6120">
      <w:pPr>
        <w:pStyle w:val="Textonotapie"/>
        <w:ind w:firstLine="708"/>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CONSEJO DE ESTADO, Sala de Consulta y Servicio Civil. Radicado No. 1453. Concepto de 6 de agosto de 2003. MP. Augusto Trejos.</w:t>
      </w:r>
    </w:p>
  </w:footnote>
  <w:footnote w:id="7">
    <w:p w14:paraId="016922E2" w14:textId="77777777" w:rsidR="00FF6120" w:rsidRPr="0077438B" w:rsidRDefault="00FF6120" w:rsidP="00FF6120">
      <w:pPr>
        <w:pStyle w:val="Textonotapie"/>
        <w:ind w:firstLine="708"/>
        <w:jc w:val="both"/>
        <w:rPr>
          <w:rFonts w:ascii="Verdana" w:hAnsi="Verdana" w:cs="Arial"/>
          <w:color w:val="000000"/>
          <w:sz w:val="14"/>
          <w:szCs w:val="14"/>
          <w:lang w:val="es-ES"/>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w:t>
      </w:r>
      <w:r w:rsidRPr="0077438B">
        <w:rPr>
          <w:rFonts w:ascii="Verdana" w:hAnsi="Verdana" w:cs="Arial"/>
          <w:color w:val="000000"/>
          <w:sz w:val="14"/>
          <w:szCs w:val="14"/>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396BE73B" w14:textId="77777777" w:rsidR="00FF6120" w:rsidRPr="0077438B" w:rsidRDefault="00FF6120" w:rsidP="00FF6120">
      <w:pPr>
        <w:pStyle w:val="Textonotapie"/>
        <w:ind w:firstLine="708"/>
        <w:jc w:val="both"/>
        <w:rPr>
          <w:rFonts w:ascii="Verdana" w:hAnsi="Verdana" w:cs="Arial"/>
          <w:color w:val="000000"/>
          <w:sz w:val="14"/>
          <w:szCs w:val="14"/>
          <w:lang w:val="es-ES"/>
        </w:rPr>
      </w:pPr>
      <w:r w:rsidRPr="0077438B">
        <w:rPr>
          <w:rFonts w:ascii="Verdana" w:hAnsi="Verdana" w:cs="Arial"/>
          <w:color w:val="000000"/>
          <w:sz w:val="14"/>
          <w:szCs w:val="14"/>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7B92A5F0" w14:textId="77777777" w:rsidR="00FF6120" w:rsidRPr="0077438B" w:rsidRDefault="00FF6120" w:rsidP="00FF6120">
      <w:pPr>
        <w:pStyle w:val="Textonotapie"/>
        <w:ind w:firstLine="708"/>
        <w:jc w:val="both"/>
        <w:rPr>
          <w:rFonts w:ascii="Verdana" w:hAnsi="Verdana" w:cs="Arial"/>
          <w:color w:val="000000"/>
          <w:sz w:val="14"/>
          <w:szCs w:val="14"/>
          <w:lang w:val="es-ES"/>
        </w:rPr>
      </w:pPr>
      <w:r w:rsidRPr="0077438B">
        <w:rPr>
          <w:rFonts w:ascii="Verdana" w:hAnsi="Verdana" w:cs="Arial"/>
          <w:color w:val="000000"/>
          <w:sz w:val="14"/>
          <w:szCs w:val="14"/>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43F4D5E2" w14:textId="77777777" w:rsidR="00FF6120" w:rsidRPr="0077438B" w:rsidRDefault="00FF6120" w:rsidP="00FF6120">
      <w:pPr>
        <w:pStyle w:val="Textonotapie"/>
        <w:ind w:firstLine="708"/>
        <w:jc w:val="both"/>
        <w:rPr>
          <w:rFonts w:ascii="Verdana" w:hAnsi="Verdana" w:cs="Arial"/>
          <w:color w:val="000000"/>
          <w:sz w:val="14"/>
          <w:szCs w:val="14"/>
          <w:lang w:val="es-ES"/>
        </w:rPr>
      </w:pPr>
      <w:r w:rsidRPr="0077438B">
        <w:rPr>
          <w:rFonts w:ascii="Verdana" w:hAnsi="Verdana" w:cs="Arial"/>
          <w:color w:val="000000"/>
          <w:sz w:val="14"/>
          <w:szCs w:val="14"/>
          <w:lang w:val="es-ES"/>
        </w:rPr>
        <w:t>Los contratistas tendrán derecho a efectuar salvedades a la liquidación por mutuo acuerdo, y en este evento la liquidación unilateral solo procederá en relación con los aspectos que no hayan sido objeto de acuerdo”.</w:t>
      </w:r>
    </w:p>
  </w:footnote>
  <w:footnote w:id="8">
    <w:p w14:paraId="22BE15F2" w14:textId="77777777" w:rsidR="00FF6120" w:rsidRPr="0077438B" w:rsidRDefault="00FF6120" w:rsidP="00FF6120">
      <w:pPr>
        <w:pStyle w:val="Textonotapie"/>
        <w:ind w:firstLine="709"/>
        <w:jc w:val="both"/>
        <w:rPr>
          <w:rFonts w:ascii="Verdana" w:hAnsi="Verdana" w:cs="Arial"/>
          <w:color w:val="000000"/>
          <w:sz w:val="14"/>
          <w:szCs w:val="14"/>
          <w:lang w:val="es-CO"/>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CONSEJO DE ESTADO, Sección Tercera, Subsección C, Sentencia del 24 de julio de 2013, radicado No. 25.642, Consejero Ponente Enrique Gil Botero.</w:t>
      </w:r>
    </w:p>
  </w:footnote>
  <w:footnote w:id="9">
    <w:p w14:paraId="715CAC65" w14:textId="77777777" w:rsidR="00FF6120" w:rsidRPr="0077438B" w:rsidRDefault="00FF6120" w:rsidP="00FF6120">
      <w:pPr>
        <w:pStyle w:val="NormalWeb"/>
        <w:spacing w:before="0" w:beforeAutospacing="0" w:after="0" w:afterAutospacing="0"/>
        <w:ind w:firstLine="709"/>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Decreto 1082 de 2015 “</w:t>
      </w:r>
      <w:r w:rsidRPr="0077438B">
        <w:rPr>
          <w:rStyle w:val="Textoennegrita"/>
          <w:rFonts w:ascii="Verdana" w:hAnsi="Verdana" w:cs="Arial"/>
          <w:color w:val="000000"/>
          <w:sz w:val="14"/>
          <w:szCs w:val="14"/>
        </w:rPr>
        <w:t>Artículo 2.2.1.2.1.5.2. </w:t>
      </w:r>
      <w:r w:rsidRPr="0077438B">
        <w:rPr>
          <w:rStyle w:val="nfasis"/>
          <w:rFonts w:ascii="Verdana" w:eastAsia="MS Mincho" w:hAnsi="Verdana" w:cs="Arial"/>
          <w:color w:val="000000"/>
          <w:sz w:val="14"/>
          <w:szCs w:val="14"/>
        </w:rPr>
        <w:t>Procedimiento para la contratación de mínima cuantía. </w:t>
      </w:r>
      <w:r w:rsidRPr="0077438B">
        <w:rPr>
          <w:rFonts w:ascii="Verdana" w:hAnsi="Verdana" w:cs="Arial"/>
          <w:color w:val="000000"/>
          <w:sz w:val="14"/>
          <w:szCs w:val="14"/>
        </w:rPr>
        <w:t>Las siguientes reglas son aplicables a la contratación cuyo valor no excede del 10% de la menor cuantía de la Entidad Estatal, independientemente de su objeto: </w:t>
      </w:r>
    </w:p>
    <w:p w14:paraId="0B4E8379" w14:textId="77777777" w:rsidR="00FF6120" w:rsidRPr="0077438B" w:rsidRDefault="00FF6120" w:rsidP="00FF6120">
      <w:pPr>
        <w:pStyle w:val="NormalWeb"/>
        <w:spacing w:before="0" w:beforeAutospacing="0" w:after="0" w:afterAutospacing="0"/>
        <w:jc w:val="both"/>
        <w:rPr>
          <w:rFonts w:ascii="Verdana" w:hAnsi="Verdana" w:cs="Arial"/>
          <w:color w:val="000000"/>
          <w:sz w:val="14"/>
          <w:szCs w:val="14"/>
        </w:rPr>
      </w:pPr>
      <w:r w:rsidRPr="0077438B">
        <w:rPr>
          <w:rFonts w:ascii="Verdana" w:hAnsi="Verdana" w:cs="Arial"/>
          <w:color w:val="000000"/>
          <w:sz w:val="14"/>
          <w:szCs w:val="14"/>
        </w:rPr>
        <w:t>  </w:t>
      </w:r>
      <w:r w:rsidRPr="0077438B">
        <w:rPr>
          <w:rFonts w:ascii="Verdana" w:hAnsi="Verdana" w:cs="Arial"/>
          <w:color w:val="000000"/>
          <w:sz w:val="14"/>
          <w:szCs w:val="14"/>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 </w:t>
      </w:r>
    </w:p>
    <w:p w14:paraId="5E167845" w14:textId="77777777" w:rsidR="00FF6120" w:rsidRPr="0077438B" w:rsidRDefault="00FF6120" w:rsidP="00FF6120">
      <w:pPr>
        <w:pStyle w:val="Textonotapie"/>
        <w:ind w:firstLine="709"/>
        <w:jc w:val="both"/>
        <w:rPr>
          <w:rFonts w:ascii="Verdana" w:hAnsi="Verdana" w:cs="Arial"/>
          <w:color w:val="000000"/>
          <w:sz w:val="14"/>
          <w:szCs w:val="14"/>
          <w:lang w:val="es-CO"/>
        </w:rPr>
      </w:pPr>
      <w:r w:rsidRPr="0077438B">
        <w:rPr>
          <w:rFonts w:ascii="Verdana" w:hAnsi="Verdana" w:cs="Arial"/>
          <w:color w:val="000000"/>
          <w:sz w:val="14"/>
          <w:szCs w:val="14"/>
        </w:rPr>
        <w:t xml:space="preserve"> </w:t>
      </w:r>
    </w:p>
  </w:footnote>
  <w:footnote w:id="10">
    <w:p w14:paraId="1F10DB91" w14:textId="77777777" w:rsidR="00FF6120" w:rsidRPr="0077438B" w:rsidRDefault="00FF6120" w:rsidP="00FF6120">
      <w:pPr>
        <w:pStyle w:val="NormalWeb"/>
        <w:spacing w:before="0" w:beforeAutospacing="0" w:after="0" w:afterAutospacing="0"/>
        <w:ind w:firstLine="720"/>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Ley 80 de 1993 “</w:t>
      </w:r>
      <w:r w:rsidRPr="0077438B">
        <w:rPr>
          <w:rStyle w:val="Textoennegrita"/>
          <w:rFonts w:ascii="Verdana" w:hAnsi="Verdana" w:cs="Arial"/>
          <w:color w:val="000000"/>
          <w:sz w:val="14"/>
          <w:szCs w:val="14"/>
        </w:rPr>
        <w:t>Articulo 39. De la forma del contrato estatal. </w:t>
      </w:r>
      <w:r w:rsidRPr="0077438B">
        <w:rPr>
          <w:rFonts w:ascii="Verdana" w:hAnsi="Verdana" w:cs="Arial"/>
          <w:color w:val="000000"/>
          <w:sz w:val="14"/>
          <w:szCs w:val="14"/>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p>
    <w:p w14:paraId="64C3FDC0" w14:textId="77777777" w:rsidR="00FF6120" w:rsidRPr="0077438B" w:rsidRDefault="00FF6120" w:rsidP="00FF6120">
      <w:pPr>
        <w:pStyle w:val="NormalWeb"/>
        <w:spacing w:before="0" w:beforeAutospacing="0" w:after="0" w:afterAutospacing="0"/>
        <w:jc w:val="both"/>
        <w:rPr>
          <w:rFonts w:ascii="Verdana" w:hAnsi="Verdana" w:cs="Arial"/>
          <w:color w:val="000000"/>
          <w:sz w:val="14"/>
          <w:szCs w:val="14"/>
        </w:rPr>
      </w:pPr>
      <w:r w:rsidRPr="0077438B">
        <w:rPr>
          <w:rFonts w:ascii="Verdana" w:hAnsi="Verdana" w:cs="Arial"/>
          <w:color w:val="000000"/>
          <w:sz w:val="14"/>
          <w:szCs w:val="14"/>
        </w:rPr>
        <w:t>  </w:t>
      </w:r>
      <w:r w:rsidRPr="0077438B">
        <w:rPr>
          <w:rFonts w:ascii="Verdana" w:hAnsi="Verdana" w:cs="Arial"/>
          <w:color w:val="000000"/>
          <w:sz w:val="14"/>
          <w:szCs w:val="14"/>
        </w:rPr>
        <w:tab/>
        <w:t>[…]</w:t>
      </w:r>
      <w:bookmarkStart w:id="3" w:name="ver_1790147"/>
      <w:bookmarkStart w:id="4" w:name="ver_30220791"/>
      <w:bookmarkStart w:id="5" w:name="ver_1790148"/>
      <w:bookmarkEnd w:id="3"/>
      <w:bookmarkEnd w:id="4"/>
    </w:p>
    <w:p w14:paraId="4DEA91CE" w14:textId="77777777" w:rsidR="00FF6120" w:rsidRPr="0077438B" w:rsidRDefault="00FF6120" w:rsidP="00FF6120">
      <w:pPr>
        <w:pStyle w:val="NormalWeb"/>
        <w:spacing w:before="0" w:beforeAutospacing="0" w:after="0" w:afterAutospacing="0"/>
        <w:ind w:firstLine="720"/>
        <w:jc w:val="both"/>
        <w:rPr>
          <w:rFonts w:ascii="Verdana" w:hAnsi="Verdana" w:cs="Arial"/>
          <w:color w:val="000000"/>
          <w:sz w:val="14"/>
          <w:szCs w:val="14"/>
        </w:rPr>
      </w:pPr>
      <w:r w:rsidRPr="0077438B">
        <w:rPr>
          <w:rStyle w:val="Textoennegrita"/>
          <w:rFonts w:ascii="Verdana" w:hAnsi="Verdana" w:cs="Arial"/>
          <w:color w:val="000000"/>
          <w:sz w:val="14"/>
          <w:szCs w:val="14"/>
        </w:rPr>
        <w:t>Artículo 40. Del contenido del contrato estatal.</w:t>
      </w:r>
      <w:r w:rsidRPr="0077438B">
        <w:rPr>
          <w:rFonts w:ascii="Verdana" w:hAnsi="Verdana" w:cs="Arial"/>
          <w:color w:val="000000"/>
          <w:sz w:val="14"/>
          <w:szCs w:val="14"/>
        </w:rPr>
        <w:t> Las estipulaciones de los contratos serán las que de acuerdo con las normas civiles, comerciales y las previstas en esta ley, correspondan a su esencia y naturaleza. </w:t>
      </w:r>
    </w:p>
    <w:p w14:paraId="3AE86A9F" w14:textId="77777777" w:rsidR="00FF6120" w:rsidRPr="0077438B" w:rsidRDefault="00FF6120" w:rsidP="00FF6120">
      <w:pPr>
        <w:pStyle w:val="NormalWeb"/>
        <w:spacing w:before="0" w:beforeAutospacing="0" w:after="0" w:afterAutospacing="0"/>
        <w:ind w:firstLine="720"/>
        <w:jc w:val="both"/>
        <w:rPr>
          <w:rFonts w:ascii="Verdana" w:hAnsi="Verdana" w:cs="Arial"/>
          <w:color w:val="000000"/>
          <w:sz w:val="14"/>
          <w:szCs w:val="14"/>
        </w:rPr>
      </w:pPr>
      <w:r w:rsidRPr="0077438B">
        <w:rPr>
          <w:rFonts w:ascii="Verdana" w:hAnsi="Verdana" w:cs="Arial"/>
          <w:color w:val="000000"/>
          <w:sz w:val="14"/>
          <w:szCs w:val="14"/>
        </w:rPr>
        <w:t>Las entidades podrán celebrar los contratos y acuerdos que permitan la autonomía de la voluntad y requieran el cumplimiento de los fines estatales. </w:t>
      </w:r>
    </w:p>
    <w:p w14:paraId="014F26FD" w14:textId="77777777" w:rsidR="00FF6120" w:rsidRPr="0077438B" w:rsidRDefault="00FF6120" w:rsidP="00FF6120">
      <w:pPr>
        <w:pStyle w:val="NormalWeb"/>
        <w:spacing w:before="0" w:beforeAutospacing="0" w:after="0" w:afterAutospacing="0"/>
        <w:jc w:val="both"/>
        <w:rPr>
          <w:rFonts w:ascii="Verdana" w:hAnsi="Verdana" w:cs="Arial"/>
          <w:color w:val="000000"/>
          <w:sz w:val="14"/>
          <w:szCs w:val="14"/>
        </w:rPr>
      </w:pPr>
      <w:r w:rsidRPr="0077438B">
        <w:rPr>
          <w:rFonts w:ascii="Verdana" w:hAnsi="Verdana" w:cs="Arial"/>
          <w:color w:val="000000"/>
          <w:sz w:val="14"/>
          <w:szCs w:val="14"/>
        </w:rPr>
        <w:t>  </w:t>
      </w:r>
      <w:r w:rsidRPr="0077438B">
        <w:rPr>
          <w:rFonts w:ascii="Verdana" w:hAnsi="Verdana" w:cs="Arial"/>
          <w:color w:val="000000"/>
          <w:sz w:val="14"/>
          <w:szCs w:val="14"/>
        </w:rPr>
        <w:tab/>
        <w:t>[…]  </w:t>
      </w:r>
    </w:p>
    <w:p w14:paraId="5497677D" w14:textId="77777777" w:rsidR="00FF6120" w:rsidRPr="0077438B" w:rsidRDefault="00FF6120" w:rsidP="00FF6120">
      <w:pPr>
        <w:pStyle w:val="NormalWeb"/>
        <w:spacing w:before="0" w:beforeAutospacing="0" w:after="0" w:afterAutospacing="0"/>
        <w:ind w:firstLine="720"/>
        <w:jc w:val="both"/>
        <w:rPr>
          <w:rFonts w:ascii="Verdana" w:hAnsi="Verdana" w:cs="Arial"/>
          <w:color w:val="000000"/>
          <w:sz w:val="14"/>
          <w:szCs w:val="14"/>
        </w:rPr>
      </w:pPr>
      <w:bookmarkStart w:id="6" w:name="ver_30161420"/>
      <w:bookmarkStart w:id="7" w:name="ver_1790149"/>
      <w:bookmarkStart w:id="8" w:name="ver_30161408"/>
      <w:bookmarkStart w:id="9" w:name="ver_30161443"/>
      <w:bookmarkEnd w:id="5"/>
      <w:bookmarkEnd w:id="6"/>
      <w:bookmarkEnd w:id="7"/>
      <w:bookmarkEnd w:id="8"/>
      <w:bookmarkEnd w:id="9"/>
      <w:r w:rsidRPr="0077438B">
        <w:rPr>
          <w:rStyle w:val="Textoennegrita"/>
          <w:rFonts w:ascii="Verdana" w:hAnsi="Verdana" w:cs="Arial"/>
          <w:color w:val="000000"/>
          <w:sz w:val="14"/>
          <w:szCs w:val="14"/>
        </w:rPr>
        <w:t>Artículo 41. Del perfeccionamiento del contrato.</w:t>
      </w:r>
      <w:r w:rsidRPr="0077438B">
        <w:rPr>
          <w:rFonts w:ascii="Verdana" w:hAnsi="Verdana" w:cs="Arial"/>
          <w:color w:val="000000"/>
          <w:sz w:val="14"/>
          <w:szCs w:val="14"/>
        </w:rPr>
        <w:t> Los contratos del Estado se perfeccionan cuando se logre acuerdo sobre el objeto y la contraprestación y éste se eleve a escrito […]”.</w:t>
      </w:r>
    </w:p>
  </w:footnote>
  <w:footnote w:id="11">
    <w:p w14:paraId="4F6A0D5D" w14:textId="77777777" w:rsidR="00FF6120" w:rsidRPr="0077438B" w:rsidRDefault="00FF6120" w:rsidP="00FF6120">
      <w:pPr>
        <w:pStyle w:val="Textonotapie"/>
        <w:ind w:firstLine="709"/>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Ley 80 de 1993 “</w:t>
      </w:r>
      <w:r w:rsidRPr="0077438B">
        <w:rPr>
          <w:rStyle w:val="Textoennegrita"/>
          <w:rFonts w:ascii="Verdana" w:hAnsi="Verdana" w:cs="Arial"/>
          <w:color w:val="000000"/>
          <w:sz w:val="14"/>
          <w:szCs w:val="14"/>
        </w:rPr>
        <w:t>Artículo 77. De la normatividad aplicable en las actuaciones administrativas.</w:t>
      </w:r>
      <w:r w:rsidRPr="0077438B">
        <w:rPr>
          <w:rFonts w:ascii="Verdana" w:hAnsi="Verdana" w:cs="Arial"/>
          <w:color w:val="000000"/>
          <w:sz w:val="14"/>
          <w:szCs w:val="14"/>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2">
    <w:p w14:paraId="328F7DC1" w14:textId="77777777" w:rsidR="00FF6120" w:rsidRPr="0077438B" w:rsidRDefault="00FF6120" w:rsidP="00FF6120">
      <w:pPr>
        <w:pStyle w:val="NormalWeb"/>
        <w:spacing w:before="0" w:beforeAutospacing="0" w:after="0" w:afterAutospacing="0"/>
        <w:ind w:firstLine="709"/>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Ley 80 de 1993 “</w:t>
      </w:r>
      <w:r w:rsidRPr="0077438B">
        <w:rPr>
          <w:rStyle w:val="Textoennegrita"/>
          <w:rFonts w:ascii="Verdana" w:hAnsi="Verdana" w:cs="Arial"/>
          <w:color w:val="000000"/>
          <w:sz w:val="14"/>
          <w:szCs w:val="14"/>
        </w:rPr>
        <w:t>Artículo 25. Del principio de economía.</w:t>
      </w:r>
      <w:r w:rsidRPr="0077438B">
        <w:rPr>
          <w:rFonts w:ascii="Verdana" w:hAnsi="Verdana" w:cs="Arial"/>
          <w:color w:val="000000"/>
          <w:sz w:val="14"/>
          <w:szCs w:val="14"/>
        </w:rPr>
        <w:t> En virtud de este principio: </w:t>
      </w:r>
    </w:p>
    <w:p w14:paraId="45D82E34" w14:textId="77777777" w:rsidR="00FF6120" w:rsidRPr="0077438B" w:rsidRDefault="00FF6120" w:rsidP="00FF6120">
      <w:pPr>
        <w:pStyle w:val="NormalWeb"/>
        <w:spacing w:before="0" w:beforeAutospacing="0" w:after="0" w:afterAutospacing="0"/>
        <w:ind w:firstLine="709"/>
        <w:jc w:val="both"/>
        <w:rPr>
          <w:rFonts w:ascii="Verdana" w:hAnsi="Verdana" w:cs="Arial"/>
          <w:color w:val="000000"/>
          <w:sz w:val="14"/>
          <w:szCs w:val="14"/>
        </w:rPr>
      </w:pPr>
      <w:r w:rsidRPr="0077438B">
        <w:rPr>
          <w:rFonts w:ascii="Verdana" w:hAnsi="Verdana" w:cs="Arial"/>
          <w:color w:val="000000"/>
          <w:sz w:val="14"/>
          <w:szCs w:val="14"/>
        </w:rPr>
        <w:t>[…]</w:t>
      </w:r>
    </w:p>
    <w:p w14:paraId="1171599C" w14:textId="77777777" w:rsidR="00FF6120" w:rsidRPr="0077438B" w:rsidRDefault="00FF6120" w:rsidP="00FF6120">
      <w:pPr>
        <w:pStyle w:val="NormalWeb"/>
        <w:spacing w:before="0" w:beforeAutospacing="0" w:after="0" w:afterAutospacing="0"/>
        <w:ind w:firstLine="709"/>
        <w:jc w:val="both"/>
        <w:rPr>
          <w:rFonts w:ascii="Verdana" w:hAnsi="Verdana" w:cs="Arial"/>
          <w:color w:val="000000"/>
          <w:sz w:val="14"/>
          <w:szCs w:val="14"/>
        </w:rPr>
      </w:pPr>
      <w:r w:rsidRPr="0077438B">
        <w:rPr>
          <w:rFonts w:ascii="Verdana" w:hAnsi="Verdana" w:cs="Arial"/>
          <w:color w:val="000000"/>
          <w:sz w:val="14"/>
          <w:szCs w:val="14"/>
        </w:rPr>
        <w:t>4o. Los trámites se adelantarán con austeridad de tiempo, medios y gastos y se impedirán las dilaciones y los retardos en la ejecución del contrato. </w:t>
      </w:r>
    </w:p>
    <w:p w14:paraId="44876B8C" w14:textId="77777777" w:rsidR="00FF6120" w:rsidRPr="0077438B" w:rsidRDefault="00FF6120" w:rsidP="00FF6120">
      <w:pPr>
        <w:pStyle w:val="NormalWeb"/>
        <w:spacing w:before="0" w:beforeAutospacing="0" w:after="0" w:afterAutospacing="0"/>
        <w:jc w:val="both"/>
        <w:rPr>
          <w:rFonts w:ascii="Verdana" w:hAnsi="Verdana" w:cs="Arial"/>
          <w:color w:val="000000"/>
          <w:sz w:val="14"/>
          <w:szCs w:val="14"/>
        </w:rPr>
      </w:pPr>
      <w:r w:rsidRPr="0077438B">
        <w:rPr>
          <w:rFonts w:ascii="Verdana" w:hAnsi="Verdana" w:cs="Arial"/>
          <w:color w:val="000000"/>
          <w:sz w:val="14"/>
          <w:szCs w:val="14"/>
        </w:rPr>
        <w:t>  </w:t>
      </w:r>
      <w:r w:rsidRPr="0077438B">
        <w:rPr>
          <w:rFonts w:ascii="Verdana" w:hAnsi="Verdana" w:cs="Arial"/>
          <w:color w:val="000000"/>
          <w:sz w:val="14"/>
          <w:szCs w:val="14"/>
        </w:rPr>
        <w:tab/>
        <w:t>5o. Se adoptarán procedimientos que garanticen la pronta solución de las diferencias y controversias que con motivo de la celebración y ejecución del contrato se presenten […]”.</w:t>
      </w:r>
    </w:p>
    <w:p w14:paraId="1A35A457" w14:textId="77777777" w:rsidR="00FF6120" w:rsidRPr="0077438B" w:rsidRDefault="00FF6120" w:rsidP="00FF6120">
      <w:pPr>
        <w:pStyle w:val="NormalWeb"/>
        <w:spacing w:before="0" w:beforeAutospacing="0" w:after="0" w:afterAutospacing="0"/>
        <w:jc w:val="both"/>
        <w:rPr>
          <w:rFonts w:ascii="Verdana" w:hAnsi="Verdana" w:cs="Arial"/>
          <w:color w:val="000000"/>
          <w:sz w:val="14"/>
          <w:szCs w:val="14"/>
        </w:rPr>
      </w:pPr>
    </w:p>
  </w:footnote>
  <w:footnote w:id="13">
    <w:p w14:paraId="16EE6637" w14:textId="77777777" w:rsidR="00FF6120" w:rsidRPr="0077438B" w:rsidRDefault="00FF6120" w:rsidP="00FF6120">
      <w:pPr>
        <w:pStyle w:val="Textonotapie"/>
        <w:ind w:firstLine="708"/>
        <w:jc w:val="both"/>
        <w:rPr>
          <w:rFonts w:ascii="Verdana" w:hAnsi="Verdana" w:cs="Arial"/>
          <w:color w:val="000000"/>
          <w:sz w:val="14"/>
          <w:szCs w:val="14"/>
          <w:lang w:val="es-ES"/>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COLOMBIA COMPRA EFICIENTE. Guía para la Liquidación de los Procesos de Contratación. página 5, disponible en: </w:t>
      </w:r>
      <w:hyperlink r:id="rId1" w:history="1">
        <w:r w:rsidRPr="0077438B">
          <w:rPr>
            <w:rStyle w:val="Hipervnculo"/>
            <w:rFonts w:ascii="Verdana" w:hAnsi="Verdana" w:cs="Arial"/>
            <w:sz w:val="14"/>
            <w:szCs w:val="14"/>
          </w:rPr>
          <w:t xml:space="preserve">https://www.colombiacompra.gov.co/sites/cce_public/files/cce_documents/cce_guia_liquidacion_procesos.pdf  </w:t>
        </w:r>
      </w:hyperlink>
    </w:p>
  </w:footnote>
  <w:footnote w:id="14">
    <w:p w14:paraId="52D3FFD4" w14:textId="77777777" w:rsidR="00FF6120" w:rsidRPr="0077438B" w:rsidRDefault="00FF6120" w:rsidP="00FF6120">
      <w:pPr>
        <w:pStyle w:val="Textonotapie"/>
        <w:ind w:firstLine="708"/>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5">
    <w:p w14:paraId="2A0A5C88" w14:textId="77777777" w:rsidR="00FF6120" w:rsidRPr="0077438B" w:rsidRDefault="00FF6120" w:rsidP="00FF6120">
      <w:pPr>
        <w:pStyle w:val="Textonotapie"/>
        <w:ind w:firstLine="708"/>
        <w:jc w:val="both"/>
        <w:rPr>
          <w:rFonts w:ascii="Verdana" w:hAnsi="Verdana" w:cs="Arial"/>
          <w:color w:val="000000"/>
          <w:sz w:val="14"/>
          <w:szCs w:val="14"/>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CONSEJO DE ESTADO. Sala de Consulta y Servicio Civil. Concepto de 28 de Junio de 2016. Radicación: 2253. C.P. Álvaro </w:t>
      </w:r>
      <w:r w:rsidRPr="0077438B">
        <w:rPr>
          <w:rFonts w:ascii="Verdana" w:hAnsi="Verdana" w:cs="Arial"/>
          <w:color w:val="000000"/>
          <w:sz w:val="14"/>
          <w:szCs w:val="14"/>
        </w:rPr>
        <w:t xml:space="preserve">Namén Vargas. </w:t>
      </w:r>
    </w:p>
  </w:footnote>
  <w:footnote w:id="16">
    <w:p w14:paraId="6A8C9230" w14:textId="77777777" w:rsidR="00FF6120" w:rsidRPr="0077438B" w:rsidRDefault="00FF6120" w:rsidP="00FF6120">
      <w:pPr>
        <w:pStyle w:val="Textonotapie"/>
        <w:ind w:firstLine="708"/>
        <w:jc w:val="both"/>
        <w:rPr>
          <w:rFonts w:ascii="Verdana" w:hAnsi="Verdana"/>
          <w:color w:val="000000"/>
          <w:sz w:val="14"/>
          <w:szCs w:val="14"/>
          <w:lang w:val="es-ES"/>
        </w:rPr>
      </w:pPr>
      <w:r w:rsidRPr="0077438B">
        <w:rPr>
          <w:rStyle w:val="Refdenotaalpie"/>
          <w:rFonts w:ascii="Verdana" w:hAnsi="Verdana" w:cs="Arial"/>
          <w:color w:val="000000"/>
          <w:sz w:val="14"/>
          <w:szCs w:val="14"/>
        </w:rPr>
        <w:footnoteRef/>
      </w:r>
      <w:r w:rsidRPr="0077438B">
        <w:rPr>
          <w:rFonts w:ascii="Verdana" w:hAnsi="Verdana" w:cs="Arial"/>
          <w:color w:val="000000"/>
          <w:sz w:val="14"/>
          <w:szCs w:val="14"/>
        </w:rPr>
        <w:t xml:space="preserve"> CONSEJO DE ESTADO. Sección Tercera. </w:t>
      </w:r>
      <w:r w:rsidRPr="0077438B">
        <w:rPr>
          <w:rFonts w:ascii="Verdana" w:hAnsi="Verdana" w:cs="Arial"/>
          <w:color w:val="000000"/>
          <w:sz w:val="14"/>
          <w:szCs w:val="14"/>
          <w:lang w:val="es-CO"/>
        </w:rPr>
        <w:t xml:space="preserve">Sala Plena. Auto del 1 de agosto de 2019. </w:t>
      </w:r>
      <w:r w:rsidRPr="0077438B">
        <w:rPr>
          <w:rFonts w:ascii="Verdana" w:hAnsi="Verdana" w:cs="Arial"/>
          <w:color w:val="000000"/>
          <w:sz w:val="14"/>
          <w:szCs w:val="14"/>
        </w:rPr>
        <w:t xml:space="preserve">Exp. 62009. C.P. Jaime Enrique Rodríguez Navas. </w:t>
      </w:r>
      <w:r w:rsidRPr="0077438B">
        <w:rPr>
          <w:rFonts w:ascii="Verdana" w:hAnsi="Verdana"/>
          <w:color w:val="000000"/>
          <w:sz w:val="14"/>
          <w:szCs w:val="14"/>
          <w:lang w:val="es-ES"/>
        </w:rPr>
        <w:t xml:space="preserve"> </w:t>
      </w:r>
    </w:p>
  </w:footnote>
  <w:footnote w:id="17">
    <w:p w14:paraId="2DD131E7" w14:textId="77777777" w:rsidR="00FF6120" w:rsidRPr="0077438B" w:rsidRDefault="00FF6120" w:rsidP="00FF6120">
      <w:pPr>
        <w:pStyle w:val="Textonotapie"/>
        <w:ind w:firstLine="708"/>
        <w:jc w:val="both"/>
        <w:rPr>
          <w:rFonts w:ascii="Verdana" w:hAnsi="Verdana"/>
          <w:sz w:val="14"/>
          <w:szCs w:val="14"/>
          <w:lang w:val="es-ES"/>
        </w:rPr>
      </w:pPr>
      <w:r w:rsidRPr="0077438B">
        <w:rPr>
          <w:rStyle w:val="Refdenotaalpie"/>
          <w:rFonts w:ascii="Verdana" w:hAnsi="Verdana"/>
          <w:sz w:val="14"/>
          <w:szCs w:val="14"/>
        </w:rPr>
        <w:footnoteRef/>
      </w:r>
      <w:r w:rsidRPr="0077438B">
        <w:rPr>
          <w:rFonts w:ascii="Verdana" w:hAnsi="Verdana"/>
          <w:sz w:val="14"/>
          <w:szCs w:val="14"/>
        </w:rPr>
        <w:t xml:space="preserve"> </w:t>
      </w:r>
      <w:r w:rsidRPr="0077438B">
        <w:rPr>
          <w:rFonts w:ascii="Verdana" w:hAnsi="Verdana" w:cs="Arial"/>
          <w:sz w:val="14"/>
          <w:szCs w:val="14"/>
          <w:lang w:val="es-ES"/>
        </w:rPr>
        <w:t xml:space="preserve">Consejo de Estado. Sala de Consulta y Servicio Civil. Concepto de 28 de junio de 2016. Rad: </w:t>
      </w:r>
      <w:r w:rsidRPr="0077438B">
        <w:rPr>
          <w:rFonts w:ascii="Verdana" w:hAnsi="Verdana" w:cs="Arial"/>
          <w:bCs/>
          <w:color w:val="333333"/>
          <w:sz w:val="14"/>
          <w:szCs w:val="14"/>
          <w:shd w:val="clear" w:color="auto" w:fill="FFFFFF"/>
        </w:rPr>
        <w:t xml:space="preserve">11001-03-06-000-2015-00067-00 (2253). C.P: Álvaro </w:t>
      </w:r>
      <w:r w:rsidRPr="0077438B">
        <w:rPr>
          <w:rFonts w:ascii="Verdana" w:hAnsi="Verdana" w:cs="Arial"/>
          <w:bCs/>
          <w:color w:val="333333"/>
          <w:sz w:val="14"/>
          <w:szCs w:val="14"/>
          <w:shd w:val="clear" w:color="auto" w:fill="FFFFFF"/>
        </w:rPr>
        <w:t>Namén Vargas.</w:t>
      </w:r>
    </w:p>
  </w:footnote>
  <w:footnote w:id="18">
    <w:p w14:paraId="4D742510" w14:textId="77777777" w:rsidR="00FF6120" w:rsidRPr="0077438B" w:rsidRDefault="00FF6120" w:rsidP="00FF6120">
      <w:pPr>
        <w:pStyle w:val="Textonotapie"/>
        <w:ind w:firstLine="708"/>
        <w:jc w:val="both"/>
        <w:rPr>
          <w:rFonts w:ascii="Verdana" w:hAnsi="Verdana"/>
          <w:sz w:val="14"/>
          <w:szCs w:val="14"/>
        </w:rPr>
      </w:pPr>
      <w:r w:rsidRPr="0077438B">
        <w:rPr>
          <w:rStyle w:val="Refdenotaalpie"/>
          <w:rFonts w:ascii="Verdana" w:hAnsi="Verdana"/>
          <w:sz w:val="14"/>
          <w:szCs w:val="14"/>
        </w:rPr>
        <w:footnoteRef/>
      </w:r>
      <w:r w:rsidRPr="0077438B">
        <w:rPr>
          <w:rFonts w:ascii="Verdana" w:hAnsi="Verdana"/>
          <w:sz w:val="14"/>
          <w:szCs w:val="14"/>
        </w:rPr>
        <w:t xml:space="preserve"> CONSEJO DE ESTADO. Sección Tercera. Sentencia del 13 de julio de 2000. Rad. 12513. C.P. María Elena Giraldo Gómez.</w:t>
      </w:r>
    </w:p>
  </w:footnote>
  <w:footnote w:id="19">
    <w:p w14:paraId="7BBEAEDA" w14:textId="77777777" w:rsidR="00FF6120" w:rsidRPr="0077438B" w:rsidRDefault="00FF6120" w:rsidP="00FF6120">
      <w:pPr>
        <w:pStyle w:val="Textonotapie"/>
        <w:ind w:firstLine="708"/>
        <w:jc w:val="both"/>
        <w:rPr>
          <w:rFonts w:ascii="Verdana" w:hAnsi="Verdana"/>
          <w:sz w:val="14"/>
          <w:szCs w:val="14"/>
        </w:rPr>
      </w:pPr>
      <w:r w:rsidRPr="0077438B">
        <w:rPr>
          <w:rStyle w:val="Refdenotaalpie"/>
          <w:rFonts w:ascii="Verdana" w:hAnsi="Verdana"/>
          <w:sz w:val="14"/>
          <w:szCs w:val="14"/>
        </w:rPr>
        <w:footnoteRef/>
      </w:r>
      <w:r w:rsidRPr="0077438B">
        <w:rPr>
          <w:rFonts w:ascii="Verdana" w:hAnsi="Verdana"/>
          <w:sz w:val="14"/>
          <w:szCs w:val="14"/>
        </w:rPr>
        <w:t xml:space="preserve"> CONSEJO DE ESTADO. Sección Tercera. Subsección A. Sentencia del 12 de mayo de 2016. Rad. 35056. C.P. Carlos Alberto Zambrano Barrera.</w:t>
      </w:r>
    </w:p>
  </w:footnote>
  <w:footnote w:id="20">
    <w:p w14:paraId="5D46CB71" w14:textId="77777777" w:rsidR="00FF6120" w:rsidRPr="0077438B" w:rsidRDefault="00FF6120" w:rsidP="00FF6120">
      <w:pPr>
        <w:pStyle w:val="Textonotapie"/>
        <w:ind w:firstLine="708"/>
        <w:jc w:val="both"/>
        <w:rPr>
          <w:rFonts w:ascii="Verdana" w:hAnsi="Verdana"/>
          <w:sz w:val="14"/>
          <w:szCs w:val="14"/>
        </w:rPr>
      </w:pPr>
      <w:r w:rsidRPr="0077438B">
        <w:rPr>
          <w:rStyle w:val="Refdenotaalpie"/>
          <w:rFonts w:ascii="Verdana" w:hAnsi="Verdana"/>
          <w:sz w:val="14"/>
          <w:szCs w:val="14"/>
        </w:rPr>
        <w:footnoteRef/>
      </w:r>
      <w:r w:rsidRPr="0077438B">
        <w:rPr>
          <w:rFonts w:ascii="Verdana" w:hAnsi="Verdana"/>
          <w:sz w:val="14"/>
          <w:szCs w:val="14"/>
        </w:rPr>
        <w:t xml:space="preserve"> CONSEJO DE ESTADO. Sección Tercera. Subsección B. Sentencia del 1° de junio de 2020. Rad. 48522. C.P. Alberto Montaña Plata.</w:t>
      </w:r>
    </w:p>
  </w:footnote>
  <w:footnote w:id="21">
    <w:p w14:paraId="7FF79DC4" w14:textId="77777777" w:rsidR="00FF6120" w:rsidRPr="0077438B" w:rsidRDefault="00FF6120" w:rsidP="00FF6120">
      <w:pPr>
        <w:pStyle w:val="Textonotapie"/>
        <w:ind w:firstLine="708"/>
        <w:jc w:val="both"/>
        <w:rPr>
          <w:rFonts w:ascii="Verdana" w:hAnsi="Verdana"/>
          <w:sz w:val="14"/>
          <w:szCs w:val="14"/>
        </w:rPr>
      </w:pPr>
      <w:r w:rsidRPr="0077438B">
        <w:rPr>
          <w:rStyle w:val="Refdenotaalpie"/>
          <w:rFonts w:ascii="Verdana" w:hAnsi="Verdana"/>
          <w:sz w:val="14"/>
          <w:szCs w:val="14"/>
        </w:rPr>
        <w:footnoteRef/>
      </w:r>
      <w:r w:rsidRPr="0077438B">
        <w:rPr>
          <w:rFonts w:ascii="Verdana" w:hAnsi="Verdana"/>
          <w:sz w:val="14"/>
          <w:szCs w:val="14"/>
        </w:rPr>
        <w:t xml:space="preserve"> Por medio del referido auto, “En los términos indicados en la parte motiva de esta providencia, UNIFÍCASE la jurisprudencia de la Sección Tercera del Consejo de Estado, en relación con el término de caducidad del medio de control de controversias contractuales de contratos que han sido liquidados después de haber vencido el término convencional y/o legalmente dispuesto para su liquidación, pero dentro de los dos años posteriores al vencimiento de este último. La Sala unifica el criterio que ha de ser observado para el conteo del término de caducidad del medio de control de controversias contractuales en tales casos, para indicar que éste debe iniciar a partir del día siguiente al de la firma del acta o de la ejecutoria del acto de liquidación del contrato, conforme al ap. </w:t>
      </w:r>
      <w:r w:rsidRPr="0077438B">
        <w:rPr>
          <w:rFonts w:ascii="Verdana" w:hAnsi="Verdana"/>
          <w:sz w:val="14"/>
          <w:szCs w:val="14"/>
        </w:rPr>
        <w:t>iii del literal j. del numeral 2 del artículo 164 del CPACA; y de precisar que, en consecuencia, el apartado v) del literal j del mismo numeral solo se deberá aplicar cuando al momento de interponerse la demanda, el operador judicial encuentre que no hubo liquidación contractual alguna”.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55C"/>
    <w:rsid w:val="00043C1D"/>
    <w:rsid w:val="000604AA"/>
    <w:rsid w:val="00061B2A"/>
    <w:rsid w:val="000714FA"/>
    <w:rsid w:val="00082362"/>
    <w:rsid w:val="000A683E"/>
    <w:rsid w:val="000B19B9"/>
    <w:rsid w:val="000B3326"/>
    <w:rsid w:val="000B76AE"/>
    <w:rsid w:val="000C3A39"/>
    <w:rsid w:val="000D0334"/>
    <w:rsid w:val="000F2D86"/>
    <w:rsid w:val="000F490F"/>
    <w:rsid w:val="000F6486"/>
    <w:rsid w:val="00123E9A"/>
    <w:rsid w:val="00125105"/>
    <w:rsid w:val="00127233"/>
    <w:rsid w:val="001E3A86"/>
    <w:rsid w:val="001E4177"/>
    <w:rsid w:val="001E762A"/>
    <w:rsid w:val="001F7DC6"/>
    <w:rsid w:val="002217A2"/>
    <w:rsid w:val="002325F7"/>
    <w:rsid w:val="002421BB"/>
    <w:rsid w:val="002462D1"/>
    <w:rsid w:val="0025796E"/>
    <w:rsid w:val="00264451"/>
    <w:rsid w:val="002707A2"/>
    <w:rsid w:val="00281E76"/>
    <w:rsid w:val="00282894"/>
    <w:rsid w:val="00283FE4"/>
    <w:rsid w:val="00286BFE"/>
    <w:rsid w:val="00287526"/>
    <w:rsid w:val="00293694"/>
    <w:rsid w:val="002951A0"/>
    <w:rsid w:val="002962BC"/>
    <w:rsid w:val="002A093D"/>
    <w:rsid w:val="002A0DD0"/>
    <w:rsid w:val="002A49AC"/>
    <w:rsid w:val="002A4BFB"/>
    <w:rsid w:val="002A64FD"/>
    <w:rsid w:val="002C6AF9"/>
    <w:rsid w:val="002C7A84"/>
    <w:rsid w:val="002E4FD9"/>
    <w:rsid w:val="002E5B05"/>
    <w:rsid w:val="00311FEB"/>
    <w:rsid w:val="00320C8A"/>
    <w:rsid w:val="00322A85"/>
    <w:rsid w:val="00324168"/>
    <w:rsid w:val="00337796"/>
    <w:rsid w:val="003448F4"/>
    <w:rsid w:val="00374F5E"/>
    <w:rsid w:val="00377E3E"/>
    <w:rsid w:val="00391B87"/>
    <w:rsid w:val="00391D38"/>
    <w:rsid w:val="003A26D1"/>
    <w:rsid w:val="003A779E"/>
    <w:rsid w:val="003D0F4D"/>
    <w:rsid w:val="003D5B0D"/>
    <w:rsid w:val="003E0499"/>
    <w:rsid w:val="003F3941"/>
    <w:rsid w:val="00406575"/>
    <w:rsid w:val="00413763"/>
    <w:rsid w:val="0042722E"/>
    <w:rsid w:val="0044528D"/>
    <w:rsid w:val="00451E8D"/>
    <w:rsid w:val="00451FCD"/>
    <w:rsid w:val="00492FEC"/>
    <w:rsid w:val="004A1727"/>
    <w:rsid w:val="004A1847"/>
    <w:rsid w:val="004A283A"/>
    <w:rsid w:val="004A305D"/>
    <w:rsid w:val="004B4760"/>
    <w:rsid w:val="004C0F58"/>
    <w:rsid w:val="004E1FE4"/>
    <w:rsid w:val="004E3FBD"/>
    <w:rsid w:val="004F21C4"/>
    <w:rsid w:val="004F685F"/>
    <w:rsid w:val="00512314"/>
    <w:rsid w:val="00521D09"/>
    <w:rsid w:val="00521DC4"/>
    <w:rsid w:val="00530BF8"/>
    <w:rsid w:val="00530E10"/>
    <w:rsid w:val="00532883"/>
    <w:rsid w:val="00541617"/>
    <w:rsid w:val="005440B0"/>
    <w:rsid w:val="005566E8"/>
    <w:rsid w:val="005569EB"/>
    <w:rsid w:val="00574867"/>
    <w:rsid w:val="00591460"/>
    <w:rsid w:val="00592628"/>
    <w:rsid w:val="005933F4"/>
    <w:rsid w:val="00596680"/>
    <w:rsid w:val="005C3777"/>
    <w:rsid w:val="005C5CDC"/>
    <w:rsid w:val="005D476C"/>
    <w:rsid w:val="005F0601"/>
    <w:rsid w:val="00610812"/>
    <w:rsid w:val="006219F8"/>
    <w:rsid w:val="0063085B"/>
    <w:rsid w:val="00643488"/>
    <w:rsid w:val="00645EA0"/>
    <w:rsid w:val="006501EC"/>
    <w:rsid w:val="00650FF7"/>
    <w:rsid w:val="00665D70"/>
    <w:rsid w:val="0067113B"/>
    <w:rsid w:val="00671DAC"/>
    <w:rsid w:val="00684B99"/>
    <w:rsid w:val="006900D9"/>
    <w:rsid w:val="006A3F86"/>
    <w:rsid w:val="006A5A54"/>
    <w:rsid w:val="006D12F8"/>
    <w:rsid w:val="006E6070"/>
    <w:rsid w:val="006F31A0"/>
    <w:rsid w:val="00706C16"/>
    <w:rsid w:val="007147ED"/>
    <w:rsid w:val="00745E97"/>
    <w:rsid w:val="00747E82"/>
    <w:rsid w:val="00756841"/>
    <w:rsid w:val="0075756F"/>
    <w:rsid w:val="007649AB"/>
    <w:rsid w:val="00765C78"/>
    <w:rsid w:val="00771D0C"/>
    <w:rsid w:val="00780DE6"/>
    <w:rsid w:val="007833AC"/>
    <w:rsid w:val="0078512F"/>
    <w:rsid w:val="00785B98"/>
    <w:rsid w:val="00785FFF"/>
    <w:rsid w:val="00790302"/>
    <w:rsid w:val="007B268C"/>
    <w:rsid w:val="007B5B75"/>
    <w:rsid w:val="007B7171"/>
    <w:rsid w:val="007C0C0F"/>
    <w:rsid w:val="007C3DC2"/>
    <w:rsid w:val="007E5497"/>
    <w:rsid w:val="007E6AE6"/>
    <w:rsid w:val="007E7643"/>
    <w:rsid w:val="007F6FC5"/>
    <w:rsid w:val="00806F5F"/>
    <w:rsid w:val="00810645"/>
    <w:rsid w:val="00811F94"/>
    <w:rsid w:val="00820278"/>
    <w:rsid w:val="0082583C"/>
    <w:rsid w:val="00837A99"/>
    <w:rsid w:val="00857C99"/>
    <w:rsid w:val="00874CAC"/>
    <w:rsid w:val="0087759F"/>
    <w:rsid w:val="008843B6"/>
    <w:rsid w:val="00891928"/>
    <w:rsid w:val="008A446D"/>
    <w:rsid w:val="008B31D3"/>
    <w:rsid w:val="008C0017"/>
    <w:rsid w:val="008D180B"/>
    <w:rsid w:val="008D6B70"/>
    <w:rsid w:val="008F0EA7"/>
    <w:rsid w:val="009051CF"/>
    <w:rsid w:val="0092176E"/>
    <w:rsid w:val="00923EEF"/>
    <w:rsid w:val="00925870"/>
    <w:rsid w:val="00936332"/>
    <w:rsid w:val="009419F9"/>
    <w:rsid w:val="0095685E"/>
    <w:rsid w:val="00961B09"/>
    <w:rsid w:val="00961C0B"/>
    <w:rsid w:val="00965334"/>
    <w:rsid w:val="0097093E"/>
    <w:rsid w:val="00983929"/>
    <w:rsid w:val="00983B21"/>
    <w:rsid w:val="009A0DFA"/>
    <w:rsid w:val="009B2D26"/>
    <w:rsid w:val="009B63EB"/>
    <w:rsid w:val="009C71FA"/>
    <w:rsid w:val="009C72E7"/>
    <w:rsid w:val="009D3058"/>
    <w:rsid w:val="009D3778"/>
    <w:rsid w:val="009F19CA"/>
    <w:rsid w:val="009F3A13"/>
    <w:rsid w:val="00A122D3"/>
    <w:rsid w:val="00A17E23"/>
    <w:rsid w:val="00A17F13"/>
    <w:rsid w:val="00A20739"/>
    <w:rsid w:val="00A20DD8"/>
    <w:rsid w:val="00A33C78"/>
    <w:rsid w:val="00A53FD0"/>
    <w:rsid w:val="00A74CCB"/>
    <w:rsid w:val="00A756C2"/>
    <w:rsid w:val="00AB0ADB"/>
    <w:rsid w:val="00AB0DDD"/>
    <w:rsid w:val="00AC717F"/>
    <w:rsid w:val="00AE09B1"/>
    <w:rsid w:val="00B01B1A"/>
    <w:rsid w:val="00B04195"/>
    <w:rsid w:val="00B13613"/>
    <w:rsid w:val="00B1612E"/>
    <w:rsid w:val="00B16367"/>
    <w:rsid w:val="00B2551F"/>
    <w:rsid w:val="00B30EEF"/>
    <w:rsid w:val="00B72CD3"/>
    <w:rsid w:val="00B72FFF"/>
    <w:rsid w:val="00B97273"/>
    <w:rsid w:val="00BA4212"/>
    <w:rsid w:val="00BB5413"/>
    <w:rsid w:val="00BC3D36"/>
    <w:rsid w:val="00BD7F72"/>
    <w:rsid w:val="00BE0A35"/>
    <w:rsid w:val="00BE792C"/>
    <w:rsid w:val="00BF51D5"/>
    <w:rsid w:val="00BF6D34"/>
    <w:rsid w:val="00C04FB3"/>
    <w:rsid w:val="00C101F4"/>
    <w:rsid w:val="00C214B9"/>
    <w:rsid w:val="00C330EB"/>
    <w:rsid w:val="00C475CF"/>
    <w:rsid w:val="00C506D8"/>
    <w:rsid w:val="00C56FE2"/>
    <w:rsid w:val="00C754BE"/>
    <w:rsid w:val="00C755DC"/>
    <w:rsid w:val="00C76B1C"/>
    <w:rsid w:val="00C915D6"/>
    <w:rsid w:val="00C9605B"/>
    <w:rsid w:val="00CA1021"/>
    <w:rsid w:val="00CB330A"/>
    <w:rsid w:val="00CB35DA"/>
    <w:rsid w:val="00CB6357"/>
    <w:rsid w:val="00CC1B26"/>
    <w:rsid w:val="00CC3B6A"/>
    <w:rsid w:val="00CD2AB5"/>
    <w:rsid w:val="00CF60C9"/>
    <w:rsid w:val="00CF7756"/>
    <w:rsid w:val="00D22635"/>
    <w:rsid w:val="00D23FBA"/>
    <w:rsid w:val="00D3146C"/>
    <w:rsid w:val="00D423A2"/>
    <w:rsid w:val="00D520D8"/>
    <w:rsid w:val="00D616B7"/>
    <w:rsid w:val="00D63AC2"/>
    <w:rsid w:val="00D7383B"/>
    <w:rsid w:val="00D80E81"/>
    <w:rsid w:val="00D8644A"/>
    <w:rsid w:val="00DA231B"/>
    <w:rsid w:val="00DA23A0"/>
    <w:rsid w:val="00DB41C5"/>
    <w:rsid w:val="00DC39FC"/>
    <w:rsid w:val="00DF4588"/>
    <w:rsid w:val="00DF5254"/>
    <w:rsid w:val="00DF57EC"/>
    <w:rsid w:val="00E06766"/>
    <w:rsid w:val="00E12BE1"/>
    <w:rsid w:val="00E16408"/>
    <w:rsid w:val="00E20894"/>
    <w:rsid w:val="00E245AB"/>
    <w:rsid w:val="00E25C87"/>
    <w:rsid w:val="00E2764C"/>
    <w:rsid w:val="00E27F2E"/>
    <w:rsid w:val="00E3174F"/>
    <w:rsid w:val="00E413EA"/>
    <w:rsid w:val="00E42427"/>
    <w:rsid w:val="00E50AFE"/>
    <w:rsid w:val="00E54C13"/>
    <w:rsid w:val="00E75C92"/>
    <w:rsid w:val="00E771DC"/>
    <w:rsid w:val="00E8772A"/>
    <w:rsid w:val="00E90F6B"/>
    <w:rsid w:val="00E92C27"/>
    <w:rsid w:val="00EA0E3D"/>
    <w:rsid w:val="00EA630F"/>
    <w:rsid w:val="00EB19CC"/>
    <w:rsid w:val="00EB68FA"/>
    <w:rsid w:val="00EC38A7"/>
    <w:rsid w:val="00ED6DA5"/>
    <w:rsid w:val="00EE1AA8"/>
    <w:rsid w:val="00EF67E9"/>
    <w:rsid w:val="00F1289B"/>
    <w:rsid w:val="00F26300"/>
    <w:rsid w:val="00F31EDC"/>
    <w:rsid w:val="00F33FA1"/>
    <w:rsid w:val="00F462B3"/>
    <w:rsid w:val="00F5664F"/>
    <w:rsid w:val="00F666C4"/>
    <w:rsid w:val="00F76AFC"/>
    <w:rsid w:val="00F82372"/>
    <w:rsid w:val="00F9045B"/>
    <w:rsid w:val="00FA41CA"/>
    <w:rsid w:val="00FA47C0"/>
    <w:rsid w:val="00FB5DD1"/>
    <w:rsid w:val="00FC2B5D"/>
    <w:rsid w:val="00FE777C"/>
    <w:rsid w:val="00FF1449"/>
    <w:rsid w:val="00FF1F0B"/>
    <w:rsid w:val="00FF6120"/>
    <w:rsid w:val="5378C036"/>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78512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8512F"/>
    <w:rPr>
      <w:rFonts w:ascii="Geomanist Light" w:hAnsi="Geomanist Light"/>
      <w:lang w:val="es-ES"/>
    </w:rPr>
  </w:style>
  <w:style w:type="character" w:styleId="Textoennegrita">
    <w:name w:val="Strong"/>
    <w:basedOn w:val="Fuentedeprrafopredeter"/>
    <w:uiPriority w:val="22"/>
    <w:qFormat/>
    <w:rsid w:val="0078512F"/>
    <w:rPr>
      <w:b/>
      <w:bCs/>
    </w:rPr>
  </w:style>
  <w:style w:type="character" w:styleId="nfasis">
    <w:name w:val="Emphasis"/>
    <w:basedOn w:val="Fuentedeprrafopredeter"/>
    <w:uiPriority w:val="20"/>
    <w:qFormat/>
    <w:rsid w:val="0078512F"/>
    <w:rPr>
      <w:i/>
      <w:iCs/>
    </w:rPr>
  </w:style>
  <w:style w:type="table" w:customStyle="1" w:styleId="Tablaconcuadrcula11">
    <w:name w:val="Tabla con cuadrícula11"/>
    <w:basedOn w:val="Tablanormal"/>
    <w:next w:val="Tablaconcuadrcula"/>
    <w:uiPriority w:val="39"/>
    <w:qFormat/>
    <w:rsid w:val="00785FFF"/>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gjunior01@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CE305EB-AAA6-4F7C-86E2-17AC938AA3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Pages>
  <Words>6257</Words>
  <Characters>32791</Characters>
  <Application>Microsoft Office Word</Application>
  <DocSecurity>0</DocSecurity>
  <Lines>618</Lines>
  <Paragraphs>115</Paragraphs>
  <ScaleCrop>false</ScaleCrop>
  <Company/>
  <LinksUpToDate>false</LinksUpToDate>
  <CharactersWithSpaces>38933</CharactersWithSpaces>
  <SharedDoc>false</SharedDoc>
  <HLinks>
    <vt:vector size="24" baseType="variant">
      <vt:variant>
        <vt:i4>5439494</vt:i4>
      </vt:variant>
      <vt:variant>
        <vt:i4>6</vt:i4>
      </vt:variant>
      <vt:variant>
        <vt:i4>0</vt:i4>
      </vt:variant>
      <vt:variant>
        <vt:i4>5</vt:i4>
      </vt:variant>
      <vt:variant>
        <vt:lpwstr>https://www.colombiacompra.gov.co/sala-de-prensa/boletin-digital</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720937</vt:i4>
      </vt:variant>
      <vt:variant>
        <vt:i4>0</vt:i4>
      </vt:variant>
      <vt:variant>
        <vt:i4>0</vt:i4>
      </vt:variant>
      <vt:variant>
        <vt:i4>5</vt:i4>
      </vt:variant>
      <vt:variant>
        <vt:lpwstr>mailto:eliecerpereirab@gmail.com</vt:lpwstr>
      </vt:variant>
      <vt:variant>
        <vt:lpwstr/>
      </vt:variant>
      <vt:variant>
        <vt:i4>458817</vt:i4>
      </vt:variant>
      <vt:variant>
        <vt:i4>0</vt:i4>
      </vt:variant>
      <vt:variant>
        <vt:i4>0</vt:i4>
      </vt:variant>
      <vt:variant>
        <vt:i4>5</vt:i4>
      </vt:variant>
      <vt:variant>
        <vt:lpwstr>https://cceficiente.sharepoint.com/sites/SGDEA/TRD_254/EXPEDIENTE_1668/DOCUMENTO_407171/DOCUMENTO_407171.docx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2025-12-22T01:05:00Z</dcterms:created>
  <dcterms:modified xsi:type="dcterms:W3CDTF">2025-12-22T16:57:00Z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