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6B2EAC" w14:textId="77777777" w:rsidR="00B27C12" w:rsidRPr="002F2A8C" w:rsidRDefault="00B27C12" w:rsidP="002F2A8C">
      <w:pPr>
        <w:snapToGrid w:val="0"/>
        <w:spacing w:after="0" w:line="240" w:lineRule="auto"/>
        <w:contextualSpacing/>
        <w:jc w:val="both"/>
        <w:rPr>
          <w:rFonts w:ascii="Verdana" w:eastAsia="Calibri" w:hAnsi="Verdana" w:cs="Arial"/>
          <w:b/>
          <w:bCs/>
          <w:lang w:val="es-ES"/>
        </w:rPr>
      </w:pPr>
      <w:bookmarkStart w:id="0" w:name="_Hlk143780582"/>
      <w:r w:rsidRPr="002F2A8C">
        <w:rPr>
          <w:rFonts w:ascii="Verdana" w:eastAsia="Calibri" w:hAnsi="Verdana" w:cs="Arial"/>
          <w:b/>
          <w:bCs/>
          <w:lang w:val="es-ES"/>
        </w:rPr>
        <w:t>LEY DE GARANTÍAS – Prohibiciones</w:t>
      </w:r>
    </w:p>
    <w:p w14:paraId="5A29ADE5" w14:textId="77777777" w:rsidR="002F2A8C" w:rsidRDefault="002F2A8C" w:rsidP="002F2A8C">
      <w:pPr>
        <w:snapToGrid w:val="0"/>
        <w:spacing w:after="0" w:line="240" w:lineRule="auto"/>
        <w:contextualSpacing/>
        <w:jc w:val="both"/>
        <w:rPr>
          <w:rFonts w:ascii="Verdana" w:eastAsia="Arial" w:hAnsi="Verdana" w:cs="Arial"/>
          <w:sz w:val="20"/>
          <w:szCs w:val="20"/>
          <w:lang w:val="es-ES" w:eastAsia="es-ES" w:bidi="es-ES"/>
        </w:rPr>
      </w:pPr>
    </w:p>
    <w:p w14:paraId="1FABD9C5" w14:textId="7FB4E7B3" w:rsidR="007F5900" w:rsidRPr="002F2A8C" w:rsidRDefault="007F5900" w:rsidP="002F2A8C">
      <w:pPr>
        <w:snapToGrid w:val="0"/>
        <w:spacing w:after="0" w:line="240" w:lineRule="auto"/>
        <w:contextualSpacing/>
        <w:jc w:val="both"/>
        <w:rPr>
          <w:rFonts w:ascii="Verdana" w:eastAsia="Arial" w:hAnsi="Verdana" w:cs="Arial"/>
          <w:sz w:val="20"/>
          <w:szCs w:val="20"/>
          <w:lang w:val="es-ES" w:eastAsia="es-ES" w:bidi="es-ES"/>
        </w:rPr>
      </w:pPr>
      <w:r w:rsidRPr="002F2A8C">
        <w:rPr>
          <w:rFonts w:ascii="Verdana" w:eastAsia="Arial" w:hAnsi="Verdana" w:cs="Arial"/>
          <w:sz w:val="20"/>
          <w:szCs w:val="20"/>
          <w:lang w:val="es-ES" w:eastAsia="es-ES" w:bidi="es-ES"/>
        </w:rPr>
        <w:t xml:space="preserve">De conformidad con lo anterior, la Ley 996 de 2005 establece dos (2) tipos de restricciones en materia de contratación, las cuales coinciden parcialmente. </w:t>
      </w:r>
      <w:r w:rsidRPr="002F2A8C">
        <w:rPr>
          <w:rFonts w:ascii="Verdana" w:eastAsia="Arial" w:hAnsi="Verdana" w:cs="Arial"/>
          <w:i/>
          <w:sz w:val="20"/>
          <w:szCs w:val="20"/>
          <w:lang w:val="es-ES" w:eastAsia="es-ES" w:bidi="es-ES"/>
        </w:rPr>
        <w:t>En primer lugar</w:t>
      </w:r>
      <w:r w:rsidRPr="002F2A8C">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2F2A8C">
        <w:rPr>
          <w:rFonts w:ascii="Verdana" w:eastAsia="Arial" w:hAnsi="Verdana" w:cs="Arial"/>
          <w:i/>
          <w:sz w:val="20"/>
          <w:szCs w:val="20"/>
          <w:lang w:val="es-ES" w:eastAsia="es-ES" w:bidi="es-ES"/>
        </w:rPr>
        <w:t>En segundo lugar</w:t>
      </w:r>
      <w:r w:rsidRPr="002F2A8C">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6F40AFF9" w14:textId="77777777" w:rsidR="007F5900" w:rsidRPr="002F2A8C" w:rsidRDefault="007F5900" w:rsidP="002F2A8C">
      <w:pPr>
        <w:snapToGrid w:val="0"/>
        <w:spacing w:after="0" w:line="240" w:lineRule="auto"/>
        <w:contextualSpacing/>
        <w:jc w:val="both"/>
        <w:rPr>
          <w:rFonts w:ascii="Verdana" w:eastAsia="Calibri" w:hAnsi="Verdana" w:cs="Arial"/>
          <w:sz w:val="20"/>
          <w:szCs w:val="20"/>
          <w:lang w:val="es-ES"/>
        </w:rPr>
      </w:pPr>
    </w:p>
    <w:p w14:paraId="78AACC31" w14:textId="77777777" w:rsidR="00B27C12" w:rsidRPr="002F2A8C" w:rsidRDefault="00B27C12" w:rsidP="002F2A8C">
      <w:pPr>
        <w:snapToGrid w:val="0"/>
        <w:contextualSpacing/>
        <w:jc w:val="both"/>
        <w:rPr>
          <w:rFonts w:ascii="Verdana" w:eastAsia="Calibri" w:hAnsi="Verdana" w:cs="Arial"/>
          <w:b/>
          <w:bCs/>
          <w:lang w:val="es-ES"/>
        </w:rPr>
      </w:pPr>
      <w:r w:rsidRPr="002F2A8C">
        <w:rPr>
          <w:rFonts w:ascii="Verdana" w:eastAsia="Calibri" w:hAnsi="Verdana" w:cs="Arial"/>
          <w:b/>
          <w:bCs/>
          <w:lang w:val="es-ES"/>
        </w:rPr>
        <w:t>REQUISITOS DE EJECUCIÓN – Diferencias entre requisitos de perfeccionamiento y ejecución – Requisitos de ejecución legales y convencionales</w:t>
      </w:r>
    </w:p>
    <w:p w14:paraId="0B5FCC53" w14:textId="77777777" w:rsidR="002F2A8C" w:rsidRPr="002F2A8C" w:rsidRDefault="002F2A8C" w:rsidP="002F2A8C">
      <w:pPr>
        <w:snapToGrid w:val="0"/>
        <w:spacing w:after="0" w:line="240" w:lineRule="auto"/>
        <w:contextualSpacing/>
        <w:jc w:val="both"/>
        <w:rPr>
          <w:rFonts w:ascii="Verdana" w:eastAsia="Calibri" w:hAnsi="Verdana" w:cs="Arial"/>
          <w:sz w:val="20"/>
          <w:szCs w:val="20"/>
          <w:lang w:val="es-ES"/>
        </w:rPr>
      </w:pPr>
    </w:p>
    <w:p w14:paraId="099CC508" w14:textId="5E3F6E2A" w:rsidR="007F5900" w:rsidRPr="002F2A8C" w:rsidRDefault="007F5900" w:rsidP="002F2A8C">
      <w:pPr>
        <w:snapToGrid w:val="0"/>
        <w:spacing w:after="0" w:line="240" w:lineRule="auto"/>
        <w:contextualSpacing/>
        <w:jc w:val="both"/>
        <w:rPr>
          <w:rFonts w:ascii="Verdana" w:eastAsia="Calibri" w:hAnsi="Verdana" w:cs="Arial"/>
          <w:sz w:val="20"/>
          <w:szCs w:val="20"/>
          <w:lang w:val="es-ES"/>
        </w:rPr>
      </w:pPr>
      <w:r w:rsidRPr="002F2A8C">
        <w:rPr>
          <w:rFonts w:ascii="Verdana" w:eastAsia="Calibri" w:hAnsi="Verdana" w:cs="Arial"/>
          <w:sz w:val="20"/>
          <w:szCs w:val="20"/>
          <w:lang w:val="es-ES"/>
        </w:rPr>
        <w:t xml:space="preserve">Ahora bien, en relación con los </w:t>
      </w:r>
      <w:r w:rsidRPr="002F2A8C">
        <w:rPr>
          <w:rFonts w:ascii="Verdana" w:eastAsia="Calibri" w:hAnsi="Verdana" w:cs="Arial"/>
          <w:i/>
          <w:iCs/>
          <w:sz w:val="20"/>
          <w:szCs w:val="20"/>
          <w:lang w:val="es-ES"/>
        </w:rPr>
        <w:t>requisitos de ejecución</w:t>
      </w:r>
      <w:r w:rsidRPr="002F2A8C">
        <w:rPr>
          <w:rFonts w:ascii="Verdana" w:eastAsia="Calibri" w:hAnsi="Verdana" w:cs="Arial"/>
          <w:sz w:val="20"/>
          <w:szCs w:val="20"/>
          <w:lang w:val="es-ES"/>
        </w:rPr>
        <w:t xml:space="preserve"> debe señalarse que, estos posibilitan el inicio de la fase de realización de las actividades pactadas en el contrato, es decir, el cumplimiento del objeto del negocio jurídico. A partir de esta distinción, es posible encontrar contratos estatales –perfeccionados– respecto de los cuales aún falte satisfacer uno o varios requisitos de ejecución.</w:t>
      </w:r>
    </w:p>
    <w:p w14:paraId="6F077D9E" w14:textId="77777777" w:rsidR="002F2A8C" w:rsidRDefault="002F2A8C" w:rsidP="002F2A8C">
      <w:pPr>
        <w:snapToGrid w:val="0"/>
        <w:spacing w:after="0" w:line="240" w:lineRule="auto"/>
        <w:contextualSpacing/>
        <w:jc w:val="both"/>
        <w:rPr>
          <w:rFonts w:ascii="Verdana" w:eastAsia="Calibri" w:hAnsi="Verdana" w:cs="Arial"/>
          <w:sz w:val="20"/>
          <w:szCs w:val="20"/>
          <w:lang w:val="es-ES"/>
        </w:rPr>
      </w:pPr>
    </w:p>
    <w:p w14:paraId="64329F68" w14:textId="3EA585B6" w:rsidR="007F5900" w:rsidRPr="002F2A8C" w:rsidRDefault="007F5900" w:rsidP="002F2A8C">
      <w:pPr>
        <w:snapToGrid w:val="0"/>
        <w:spacing w:after="0" w:line="240" w:lineRule="auto"/>
        <w:contextualSpacing/>
        <w:jc w:val="both"/>
        <w:rPr>
          <w:rFonts w:ascii="Verdana" w:eastAsia="Calibri" w:hAnsi="Verdana" w:cs="Arial"/>
          <w:sz w:val="20"/>
          <w:szCs w:val="20"/>
          <w:lang w:val="es-ES"/>
        </w:rPr>
      </w:pPr>
      <w:r w:rsidRPr="002F2A8C">
        <w:rPr>
          <w:rFonts w:ascii="Verdana" w:eastAsia="Calibri" w:hAnsi="Verdana" w:cs="Arial"/>
          <w:sz w:val="20"/>
          <w:szCs w:val="20"/>
          <w:lang w:val="es-ES"/>
        </w:rPr>
        <w:t xml:space="preserve">[…] </w:t>
      </w:r>
      <w:r w:rsidRPr="002F2A8C">
        <w:rPr>
          <w:rFonts w:ascii="Verdana" w:eastAsia="Calibri" w:hAnsi="Verdana" w:cs="Arial"/>
          <w:sz w:val="20"/>
          <w:szCs w:val="20"/>
          <w:lang w:val="es-ES"/>
        </w:rPr>
        <w:t xml:space="preserve">En ese orden, los requisitos de ejecución de los contratos estatales pueden ser “legales” o “convencionales”. Los primeros son aquellos que se encuentran previstos en la ley. Los segundos son estipulados por las partes. En otros términos, los requisitos </w:t>
      </w:r>
      <w:r w:rsidRPr="002F2A8C">
        <w:rPr>
          <w:rFonts w:ascii="Verdana" w:eastAsia="Calibri" w:hAnsi="Verdana" w:cs="Arial"/>
          <w:i/>
          <w:iCs/>
          <w:sz w:val="20"/>
          <w:szCs w:val="20"/>
          <w:lang w:val="es-ES"/>
        </w:rPr>
        <w:t>legales</w:t>
      </w:r>
      <w:r w:rsidRPr="002F2A8C">
        <w:rPr>
          <w:rFonts w:ascii="Verdana" w:eastAsia="Calibri" w:hAnsi="Verdana" w:cs="Arial"/>
          <w:sz w:val="20"/>
          <w:szCs w:val="20"/>
          <w:lang w:val="es-ES"/>
        </w:rPr>
        <w:t xml:space="preserve"> de ejecución son elementos de la </w:t>
      </w:r>
      <w:r w:rsidRPr="002F2A8C">
        <w:rPr>
          <w:rFonts w:ascii="Verdana" w:eastAsia="Calibri" w:hAnsi="Verdana" w:cs="Arial"/>
          <w:i/>
          <w:iCs/>
          <w:sz w:val="20"/>
          <w:szCs w:val="20"/>
          <w:lang w:val="es-ES"/>
        </w:rPr>
        <w:t>naturaleza</w:t>
      </w:r>
      <w:r w:rsidRPr="002F2A8C">
        <w:rPr>
          <w:rFonts w:ascii="Verdana" w:eastAsia="Calibri" w:hAnsi="Verdana" w:cs="Arial"/>
          <w:sz w:val="20"/>
          <w:szCs w:val="20"/>
          <w:lang w:val="es-ES"/>
        </w:rPr>
        <w:t xml:space="preserve">, mientras que los requisitos </w:t>
      </w:r>
      <w:r w:rsidRPr="002F2A8C">
        <w:rPr>
          <w:rFonts w:ascii="Verdana" w:eastAsia="Calibri" w:hAnsi="Verdana" w:cs="Arial"/>
          <w:i/>
          <w:iCs/>
          <w:sz w:val="20"/>
          <w:szCs w:val="20"/>
          <w:lang w:val="es-ES"/>
        </w:rPr>
        <w:t>convencionales</w:t>
      </w:r>
      <w:r w:rsidRPr="002F2A8C">
        <w:rPr>
          <w:rFonts w:ascii="Verdana" w:eastAsia="Calibri" w:hAnsi="Verdana" w:cs="Arial"/>
          <w:sz w:val="20"/>
          <w:szCs w:val="20"/>
          <w:lang w:val="es-ES"/>
        </w:rPr>
        <w:t xml:space="preserve"> de ejecución son elementos </w:t>
      </w:r>
      <w:r w:rsidRPr="002F2A8C">
        <w:rPr>
          <w:rFonts w:ascii="Verdana" w:eastAsia="Calibri" w:hAnsi="Verdana" w:cs="Arial"/>
          <w:i/>
          <w:iCs/>
          <w:sz w:val="20"/>
          <w:szCs w:val="20"/>
          <w:lang w:val="es-ES"/>
        </w:rPr>
        <w:t>accidentales</w:t>
      </w:r>
      <w:r w:rsidRPr="002F2A8C">
        <w:rPr>
          <w:rFonts w:ascii="Verdana" w:eastAsia="Calibri" w:hAnsi="Verdana" w:cs="Arial"/>
          <w:sz w:val="20"/>
          <w:szCs w:val="20"/>
          <w:lang w:val="es-ES"/>
        </w:rPr>
        <w:t xml:space="preserve">. </w:t>
      </w:r>
    </w:p>
    <w:p w14:paraId="656E5F3E" w14:textId="77777777" w:rsidR="002F2A8C" w:rsidRDefault="002F2A8C" w:rsidP="002F2A8C">
      <w:pPr>
        <w:snapToGrid w:val="0"/>
        <w:spacing w:after="0" w:line="240" w:lineRule="auto"/>
        <w:contextualSpacing/>
        <w:jc w:val="both"/>
        <w:rPr>
          <w:rFonts w:ascii="Verdana" w:eastAsia="Calibri" w:hAnsi="Verdana" w:cs="Arial"/>
          <w:sz w:val="20"/>
          <w:szCs w:val="20"/>
          <w:lang w:val="es-ES"/>
        </w:rPr>
      </w:pPr>
    </w:p>
    <w:p w14:paraId="7D2CF1FD" w14:textId="7E0D75D5" w:rsidR="007F5900" w:rsidRPr="002F2A8C" w:rsidRDefault="007F5900" w:rsidP="002F2A8C">
      <w:pPr>
        <w:snapToGrid w:val="0"/>
        <w:spacing w:after="0" w:line="240" w:lineRule="auto"/>
        <w:contextualSpacing/>
        <w:jc w:val="both"/>
        <w:rPr>
          <w:rFonts w:ascii="Verdana" w:eastAsia="Calibri" w:hAnsi="Verdana" w:cs="Arial"/>
          <w:sz w:val="20"/>
          <w:szCs w:val="20"/>
          <w:lang w:val="es-ES"/>
        </w:rPr>
      </w:pPr>
      <w:r w:rsidRPr="002F2A8C">
        <w:rPr>
          <w:rFonts w:ascii="Verdana" w:eastAsia="Calibri" w:hAnsi="Verdana" w:cs="Arial"/>
          <w:sz w:val="20"/>
          <w:szCs w:val="20"/>
          <w:lang w:val="es-ES"/>
        </w:rPr>
        <w:t xml:space="preserve">Como puede observarse, los requisitos </w:t>
      </w:r>
      <w:r w:rsidRPr="002F2A8C">
        <w:rPr>
          <w:rFonts w:ascii="Verdana" w:eastAsia="Calibri" w:hAnsi="Verdana" w:cs="Arial"/>
          <w:i/>
          <w:iCs/>
          <w:sz w:val="20"/>
          <w:szCs w:val="20"/>
          <w:lang w:val="es-ES"/>
        </w:rPr>
        <w:t>legales</w:t>
      </w:r>
      <w:r w:rsidRPr="002F2A8C">
        <w:rPr>
          <w:rFonts w:ascii="Verdana" w:eastAsia="Calibri" w:hAnsi="Verdana" w:cs="Arial"/>
          <w:sz w:val="20"/>
          <w:szCs w:val="20"/>
          <w:lang w:val="es-ES"/>
        </w:rPr>
        <w:t xml:space="preserve"> de ejecución son: (i) la aprobación de las garantías exigidas en el contrato, (</w:t>
      </w:r>
      <w:proofErr w:type="spellStart"/>
      <w:r w:rsidRPr="002F2A8C">
        <w:rPr>
          <w:rFonts w:ascii="Verdana" w:eastAsia="Calibri" w:hAnsi="Verdana" w:cs="Arial"/>
          <w:sz w:val="20"/>
          <w:szCs w:val="20"/>
          <w:lang w:val="es-ES"/>
        </w:rPr>
        <w:t>ii</w:t>
      </w:r>
      <w:proofErr w:type="spellEnd"/>
      <w:r w:rsidRPr="002F2A8C">
        <w:rPr>
          <w:rFonts w:ascii="Verdana" w:eastAsia="Calibri" w:hAnsi="Verdana" w:cs="Arial"/>
          <w:sz w:val="20"/>
          <w:szCs w:val="20"/>
          <w:lang w:val="es-ES"/>
        </w:rPr>
        <w:t xml:space="preserve">) la existencia de </w:t>
      </w:r>
      <w:r w:rsidRPr="002F2A8C">
        <w:rPr>
          <w:rFonts w:ascii="Verdana" w:eastAsia="Calibri" w:hAnsi="Verdana" w:cs="Arial"/>
          <w:i/>
          <w:iCs/>
          <w:sz w:val="20"/>
          <w:szCs w:val="20"/>
          <w:lang w:val="es-ES"/>
        </w:rPr>
        <w:t>la apropiación presupuestal correspondiente</w:t>
      </w:r>
      <w:r w:rsidRPr="002F2A8C">
        <w:rPr>
          <w:rFonts w:ascii="Verdana" w:eastAsia="Calibri" w:hAnsi="Verdana" w:cs="Arial"/>
          <w:sz w:val="20"/>
          <w:szCs w:val="20"/>
          <w:lang w:val="es-ES"/>
        </w:rPr>
        <w:t xml:space="preserve"> y (</w:t>
      </w:r>
      <w:proofErr w:type="spellStart"/>
      <w:r w:rsidRPr="002F2A8C">
        <w:rPr>
          <w:rFonts w:ascii="Verdana" w:eastAsia="Calibri" w:hAnsi="Verdana" w:cs="Arial"/>
          <w:sz w:val="20"/>
          <w:szCs w:val="20"/>
          <w:lang w:val="es-ES"/>
        </w:rPr>
        <w:t>iii</w:t>
      </w:r>
      <w:proofErr w:type="spellEnd"/>
      <w:r w:rsidRPr="002F2A8C">
        <w:rPr>
          <w:rFonts w:ascii="Verdana" w:eastAsia="Calibri" w:hAnsi="Verdana" w:cs="Arial"/>
          <w:sz w:val="20"/>
          <w:szCs w:val="20"/>
          <w:lang w:val="es-ES"/>
        </w:rPr>
        <w:t xml:space="preserve">) la acreditación del cumplimiento de las obligaciones con el Sistema de Seguridad Social Integral. Por su parte, serán requisitos </w:t>
      </w:r>
      <w:r w:rsidRPr="002F2A8C">
        <w:rPr>
          <w:rFonts w:ascii="Verdana" w:eastAsia="Calibri" w:hAnsi="Verdana" w:cs="Arial"/>
          <w:i/>
          <w:iCs/>
          <w:sz w:val="20"/>
          <w:szCs w:val="20"/>
          <w:lang w:val="es-ES"/>
        </w:rPr>
        <w:t xml:space="preserve">convencionales </w:t>
      </w:r>
      <w:r w:rsidRPr="002F2A8C">
        <w:rPr>
          <w:rFonts w:ascii="Verdana" w:eastAsia="Calibri" w:hAnsi="Verdana" w:cs="Arial"/>
          <w:sz w:val="20"/>
          <w:szCs w:val="20"/>
          <w:lang w:val="es-ES"/>
        </w:rPr>
        <w:t>aquellos que no se encuentran consagrados en la ley, sino que se pactan en la minuta del contrato o que el contratista acepta al momento de adherirse al clausulado del pliego de condiciones o documento equivalente.</w:t>
      </w:r>
    </w:p>
    <w:p w14:paraId="3115C245" w14:textId="051A48A7" w:rsidR="007F5900" w:rsidRPr="002F2A8C" w:rsidRDefault="007F5900" w:rsidP="002F2A8C">
      <w:pPr>
        <w:snapToGrid w:val="0"/>
        <w:spacing w:after="0" w:line="240" w:lineRule="auto"/>
        <w:contextualSpacing/>
        <w:jc w:val="both"/>
        <w:rPr>
          <w:rFonts w:ascii="Verdana" w:eastAsia="Calibri" w:hAnsi="Verdana" w:cs="Arial"/>
          <w:sz w:val="20"/>
          <w:szCs w:val="20"/>
          <w:lang w:val="es-ES"/>
        </w:rPr>
      </w:pPr>
    </w:p>
    <w:p w14:paraId="540153C4" w14:textId="77777777" w:rsidR="00B27C12" w:rsidRPr="002F2A8C" w:rsidRDefault="00B27C12" w:rsidP="002F2A8C">
      <w:pPr>
        <w:snapToGrid w:val="0"/>
        <w:spacing w:after="0" w:line="240" w:lineRule="auto"/>
        <w:contextualSpacing/>
        <w:jc w:val="both"/>
        <w:rPr>
          <w:rFonts w:ascii="Verdana" w:eastAsia="Calibri" w:hAnsi="Verdana" w:cs="Arial"/>
          <w:b/>
          <w:bCs/>
          <w:lang w:val="es-ES" w:eastAsia="es-ES"/>
        </w:rPr>
      </w:pPr>
      <w:r w:rsidRPr="002F2A8C">
        <w:rPr>
          <w:rFonts w:ascii="Verdana" w:eastAsia="Calibri" w:hAnsi="Verdana" w:cs="Arial"/>
          <w:b/>
          <w:bCs/>
          <w:lang w:val="es-ES" w:eastAsia="es-ES"/>
        </w:rPr>
        <w:t>REGISTRO PRESUPUESTAL – Expedición – Oportunidad – Requisito de ejecución</w:t>
      </w:r>
    </w:p>
    <w:p w14:paraId="5D5805D5" w14:textId="77777777" w:rsidR="002F2A8C" w:rsidRDefault="002F2A8C" w:rsidP="002F2A8C">
      <w:pPr>
        <w:snapToGrid w:val="0"/>
        <w:spacing w:after="0" w:line="240" w:lineRule="auto"/>
        <w:contextualSpacing/>
        <w:jc w:val="both"/>
        <w:rPr>
          <w:rFonts w:ascii="Verdana" w:eastAsia="Times New Roman" w:hAnsi="Verdana" w:cs="Arial"/>
          <w:color w:val="1A1A1A" w:themeColor="background1" w:themeShade="1A"/>
          <w:sz w:val="20"/>
          <w:szCs w:val="20"/>
          <w:lang w:val="es-ES" w:eastAsia="es-ES_tradnl"/>
        </w:rPr>
      </w:pPr>
    </w:p>
    <w:p w14:paraId="0ECF32DC" w14:textId="0D6B02D3" w:rsidR="007F5900" w:rsidRPr="002F2A8C" w:rsidRDefault="007F5900" w:rsidP="002F2A8C">
      <w:pPr>
        <w:snapToGrid w:val="0"/>
        <w:spacing w:after="0" w:line="240" w:lineRule="auto"/>
        <w:contextualSpacing/>
        <w:jc w:val="both"/>
        <w:rPr>
          <w:rFonts w:ascii="Verdana" w:eastAsia="Times New Roman" w:hAnsi="Verdana" w:cs="Arial"/>
          <w:color w:val="1A1A1A" w:themeColor="background1" w:themeShade="1A"/>
          <w:sz w:val="20"/>
          <w:szCs w:val="20"/>
          <w:lang w:val="es-ES" w:eastAsia="es-ES_tradnl"/>
        </w:rPr>
      </w:pPr>
      <w:r w:rsidRPr="002F2A8C">
        <w:rPr>
          <w:rFonts w:ascii="Verdana" w:eastAsia="Times New Roman" w:hAnsi="Verdana" w:cs="Arial"/>
          <w:color w:val="1A1A1A" w:themeColor="background1" w:themeShade="1A"/>
          <w:sz w:val="20"/>
          <w:szCs w:val="20"/>
          <w:lang w:val="es-ES" w:eastAsia="es-ES_tradnl"/>
        </w:rPr>
        <w:lastRenderedPageBreak/>
        <w:t xml:space="preserve">Al ser un requisito de ejecución del contrato, el Registro Presupuestal normalmente se expide </w:t>
      </w:r>
      <w:r w:rsidRPr="002F2A8C">
        <w:rPr>
          <w:rFonts w:ascii="Verdana" w:eastAsia="Times New Roman" w:hAnsi="Verdana" w:cs="Arial"/>
          <w:i/>
          <w:iCs/>
          <w:color w:val="1A1A1A" w:themeColor="background1" w:themeShade="1A"/>
          <w:sz w:val="20"/>
          <w:szCs w:val="20"/>
          <w:lang w:val="es-ES" w:eastAsia="es-ES_tradnl"/>
        </w:rPr>
        <w:t>después de celebrado el contrato</w:t>
      </w:r>
      <w:r w:rsidRPr="002F2A8C">
        <w:rPr>
          <w:rFonts w:ascii="Verdana" w:eastAsia="Times New Roman" w:hAnsi="Verdana" w:cs="Arial"/>
          <w:color w:val="1A1A1A" w:themeColor="background1" w:themeShade="1A"/>
          <w:sz w:val="20"/>
          <w:szCs w:val="20"/>
          <w:lang w:val="es-ES" w:eastAsia="es-ES_tradnl"/>
        </w:rPr>
        <w:t>, tal como se desprende de lo establecido en el inciso segundo del artículo 41 de la Ley 80 de 1993. En todo caso, esta Agencia considera que lo importante es que se hubiere expedido antes del inicio de la ejecución contractual, por lo que su expedición previa no afecta la validez del contrato estatal.</w:t>
      </w:r>
    </w:p>
    <w:p w14:paraId="73794815" w14:textId="77777777" w:rsidR="007F5900" w:rsidRPr="002F2A8C" w:rsidRDefault="007F5900" w:rsidP="002F2A8C">
      <w:pPr>
        <w:snapToGrid w:val="0"/>
        <w:spacing w:after="0" w:line="240" w:lineRule="auto"/>
        <w:contextualSpacing/>
        <w:jc w:val="both"/>
        <w:rPr>
          <w:rFonts w:ascii="Verdana" w:eastAsia="Calibri" w:hAnsi="Verdana" w:cs="Arial"/>
          <w:sz w:val="20"/>
          <w:szCs w:val="20"/>
          <w:lang w:val="es-ES" w:eastAsia="es-ES"/>
        </w:rPr>
      </w:pPr>
    </w:p>
    <w:p w14:paraId="61F9020C" w14:textId="5FC30D20" w:rsidR="00B27C12" w:rsidRPr="002F2A8C" w:rsidRDefault="00B27C12" w:rsidP="002F2A8C">
      <w:pPr>
        <w:snapToGrid w:val="0"/>
        <w:contextualSpacing/>
        <w:jc w:val="both"/>
        <w:rPr>
          <w:rFonts w:ascii="Verdana" w:eastAsia="Calibri" w:hAnsi="Verdana" w:cs="Arial"/>
          <w:b/>
          <w:bCs/>
          <w:lang w:val="es-ES"/>
        </w:rPr>
      </w:pPr>
      <w:r w:rsidRPr="002F2A8C">
        <w:rPr>
          <w:rFonts w:ascii="Verdana" w:eastAsia="Calibri" w:hAnsi="Verdana" w:cs="Arial"/>
          <w:b/>
          <w:bCs/>
          <w:lang w:val="es-ES"/>
        </w:rPr>
        <w:t>LEY DE GARANTÍAS – Registro presupuestal – No aplica</w:t>
      </w:r>
    </w:p>
    <w:p w14:paraId="4D425394" w14:textId="77777777" w:rsidR="002F2A8C" w:rsidRPr="002F2A8C" w:rsidRDefault="002F2A8C" w:rsidP="002F2A8C">
      <w:pPr>
        <w:snapToGrid w:val="0"/>
        <w:spacing w:after="0" w:line="240" w:lineRule="auto"/>
        <w:contextualSpacing/>
        <w:jc w:val="both"/>
        <w:rPr>
          <w:rFonts w:ascii="Verdana" w:eastAsia="Calibri" w:hAnsi="Verdana" w:cs="Arial"/>
          <w:sz w:val="20"/>
          <w:szCs w:val="20"/>
          <w:lang w:val="es-ES"/>
        </w:rPr>
      </w:pPr>
    </w:p>
    <w:p w14:paraId="15445970" w14:textId="7A27E3F8" w:rsidR="00B27C12" w:rsidRPr="002F2A8C" w:rsidRDefault="00B27C12" w:rsidP="002F2A8C">
      <w:pPr>
        <w:snapToGrid w:val="0"/>
        <w:spacing w:after="0" w:line="240" w:lineRule="auto"/>
        <w:contextualSpacing/>
        <w:jc w:val="both"/>
        <w:rPr>
          <w:rFonts w:ascii="Verdana" w:eastAsia="Times New Roman" w:hAnsi="Verdana" w:cs="Arial"/>
          <w:sz w:val="20"/>
          <w:szCs w:val="20"/>
          <w:lang w:val="es-ES" w:eastAsia="es-ES_tradnl"/>
        </w:rPr>
      </w:pPr>
      <w:r w:rsidRPr="002F2A8C">
        <w:rPr>
          <w:rFonts w:ascii="Verdana" w:eastAsia="Times New Roman" w:hAnsi="Verdana" w:cs="Arial"/>
          <w:color w:val="000000"/>
          <w:sz w:val="20"/>
          <w:szCs w:val="20"/>
          <w:lang w:val="es-ES" w:eastAsia="es-ES_tradnl"/>
        </w:rPr>
        <w:t>En consecuencia, e</w:t>
      </w:r>
      <w:r w:rsidRPr="002F2A8C">
        <w:rPr>
          <w:rFonts w:ascii="Verdana" w:eastAsia="Times New Roman" w:hAnsi="Verdana" w:cs="Arial"/>
          <w:color w:val="1A1A1A" w:themeColor="background1" w:themeShade="1A"/>
          <w:sz w:val="20"/>
          <w:szCs w:val="20"/>
          <w:lang w:val="es-ES" w:eastAsia="es-ES_tradnl"/>
        </w:rPr>
        <w:t>l registro presupuestal no constituye un requisito para la celebración o perfeccionamiento del contrato estatal. Dado que las prohibiciones establecidas en los artículos 33 y el parágrafo del artículo 38 de la Ley de Garantías Electorales se refieren a la celebración directa de contratos y de convenios administrativos, respectivamente, el cumplimiento de requisitos asociados a la ejecución de dichos contratos, como es el caso de la expedición del registro presupuestal, no se encuentra restringido. En consecuencia, las entidades podrán realizar la apropiación presupuestal y expedir este documento durante el periodo prelectoral señalado en los artículos 33 y 38 con respecto a los contratos que hayan celebrado previamente.</w:t>
      </w:r>
    </w:p>
    <w:p w14:paraId="1EC8A3CC" w14:textId="77777777" w:rsidR="00B27C12" w:rsidRDefault="00B27C12" w:rsidP="00F324B1">
      <w:pPr>
        <w:spacing w:after="0"/>
        <w:rPr>
          <w:rFonts w:ascii="Verdana" w:hAnsi="Verdana"/>
          <w:lang w:val="es-ES"/>
        </w:rPr>
      </w:pPr>
    </w:p>
    <w:p w14:paraId="056CE9F4" w14:textId="77777777" w:rsidR="002F2A8C" w:rsidRDefault="002F2A8C" w:rsidP="00F324B1">
      <w:pPr>
        <w:spacing w:after="0"/>
        <w:rPr>
          <w:rFonts w:ascii="Verdana" w:hAnsi="Verdana"/>
          <w:lang w:val="es-ES"/>
        </w:rPr>
      </w:pPr>
    </w:p>
    <w:p w14:paraId="4BCDEA22" w14:textId="77777777" w:rsidR="002F2A8C" w:rsidRDefault="002F2A8C" w:rsidP="00F324B1">
      <w:pPr>
        <w:spacing w:after="0"/>
        <w:rPr>
          <w:rFonts w:ascii="Verdana" w:hAnsi="Verdana"/>
          <w:lang w:val="es-ES"/>
        </w:rPr>
      </w:pPr>
    </w:p>
    <w:p w14:paraId="3B5868F2" w14:textId="77777777" w:rsidR="002F2A8C" w:rsidRDefault="002F2A8C" w:rsidP="00F324B1">
      <w:pPr>
        <w:spacing w:after="0"/>
        <w:rPr>
          <w:rFonts w:ascii="Verdana" w:hAnsi="Verdana"/>
          <w:lang w:val="es-ES"/>
        </w:rPr>
      </w:pPr>
    </w:p>
    <w:p w14:paraId="3CD13FA8" w14:textId="77777777" w:rsidR="002F2A8C" w:rsidRDefault="002F2A8C" w:rsidP="00F324B1">
      <w:pPr>
        <w:spacing w:after="0"/>
        <w:rPr>
          <w:rFonts w:ascii="Verdana" w:hAnsi="Verdana"/>
          <w:lang w:val="es-ES"/>
        </w:rPr>
      </w:pPr>
    </w:p>
    <w:p w14:paraId="565A2818" w14:textId="77777777" w:rsidR="002F2A8C" w:rsidRDefault="002F2A8C" w:rsidP="00F324B1">
      <w:pPr>
        <w:spacing w:after="0"/>
        <w:rPr>
          <w:rFonts w:ascii="Verdana" w:hAnsi="Verdana"/>
          <w:lang w:val="es-ES"/>
        </w:rPr>
      </w:pPr>
    </w:p>
    <w:p w14:paraId="14BAF8BD" w14:textId="77777777" w:rsidR="002F2A8C" w:rsidRDefault="002F2A8C" w:rsidP="00F324B1">
      <w:pPr>
        <w:spacing w:after="0"/>
        <w:rPr>
          <w:rFonts w:ascii="Verdana" w:hAnsi="Verdana"/>
          <w:lang w:val="es-ES"/>
        </w:rPr>
      </w:pPr>
    </w:p>
    <w:p w14:paraId="67299D3D" w14:textId="77777777" w:rsidR="002F2A8C" w:rsidRDefault="002F2A8C" w:rsidP="00F324B1">
      <w:pPr>
        <w:spacing w:after="0"/>
        <w:rPr>
          <w:rFonts w:ascii="Verdana" w:hAnsi="Verdana"/>
          <w:lang w:val="es-ES"/>
        </w:rPr>
      </w:pPr>
    </w:p>
    <w:p w14:paraId="153E8F8A" w14:textId="77777777" w:rsidR="002F2A8C" w:rsidRDefault="002F2A8C" w:rsidP="00F324B1">
      <w:pPr>
        <w:spacing w:after="0"/>
        <w:rPr>
          <w:rFonts w:ascii="Verdana" w:hAnsi="Verdana"/>
          <w:lang w:val="es-ES"/>
        </w:rPr>
      </w:pPr>
    </w:p>
    <w:p w14:paraId="7C38B55D" w14:textId="77777777" w:rsidR="002F2A8C" w:rsidRDefault="002F2A8C" w:rsidP="00F324B1">
      <w:pPr>
        <w:spacing w:after="0"/>
        <w:rPr>
          <w:rFonts w:ascii="Verdana" w:hAnsi="Verdana"/>
          <w:lang w:val="es-ES"/>
        </w:rPr>
      </w:pPr>
    </w:p>
    <w:p w14:paraId="6249A65A" w14:textId="77777777" w:rsidR="002F2A8C" w:rsidRDefault="002F2A8C" w:rsidP="00F324B1">
      <w:pPr>
        <w:spacing w:after="0"/>
        <w:rPr>
          <w:rFonts w:ascii="Verdana" w:hAnsi="Verdana"/>
          <w:lang w:val="es-ES"/>
        </w:rPr>
      </w:pPr>
    </w:p>
    <w:p w14:paraId="43227E92" w14:textId="77777777" w:rsidR="002F2A8C" w:rsidRDefault="002F2A8C" w:rsidP="00F324B1">
      <w:pPr>
        <w:spacing w:after="0"/>
        <w:rPr>
          <w:rFonts w:ascii="Verdana" w:hAnsi="Verdana"/>
          <w:lang w:val="es-ES"/>
        </w:rPr>
      </w:pPr>
    </w:p>
    <w:p w14:paraId="4B698198" w14:textId="77777777" w:rsidR="002F2A8C" w:rsidRDefault="002F2A8C" w:rsidP="00F324B1">
      <w:pPr>
        <w:spacing w:after="0"/>
        <w:rPr>
          <w:rFonts w:ascii="Verdana" w:hAnsi="Verdana"/>
          <w:lang w:val="es-ES"/>
        </w:rPr>
      </w:pPr>
    </w:p>
    <w:p w14:paraId="1A69F214" w14:textId="77777777" w:rsidR="002F2A8C" w:rsidRDefault="002F2A8C" w:rsidP="00F324B1">
      <w:pPr>
        <w:spacing w:after="0"/>
        <w:rPr>
          <w:rFonts w:ascii="Verdana" w:hAnsi="Verdana"/>
          <w:lang w:val="es-ES"/>
        </w:rPr>
      </w:pPr>
    </w:p>
    <w:p w14:paraId="4BB9A1CD" w14:textId="77777777" w:rsidR="002F2A8C" w:rsidRDefault="002F2A8C" w:rsidP="00F324B1">
      <w:pPr>
        <w:spacing w:after="0"/>
        <w:rPr>
          <w:rFonts w:ascii="Verdana" w:hAnsi="Verdana"/>
          <w:lang w:val="es-ES"/>
        </w:rPr>
      </w:pPr>
    </w:p>
    <w:p w14:paraId="1185BE1E" w14:textId="77777777" w:rsidR="002F2A8C" w:rsidRDefault="002F2A8C" w:rsidP="00F324B1">
      <w:pPr>
        <w:spacing w:after="0"/>
        <w:rPr>
          <w:rFonts w:ascii="Verdana" w:hAnsi="Verdana"/>
          <w:lang w:val="es-ES"/>
        </w:rPr>
      </w:pPr>
    </w:p>
    <w:p w14:paraId="3EF1CDD7" w14:textId="77777777" w:rsidR="002F2A8C" w:rsidRDefault="002F2A8C" w:rsidP="00F324B1">
      <w:pPr>
        <w:spacing w:after="0"/>
        <w:rPr>
          <w:rFonts w:ascii="Verdana" w:hAnsi="Verdana"/>
          <w:lang w:val="es-ES"/>
        </w:rPr>
      </w:pPr>
    </w:p>
    <w:p w14:paraId="0EA53373" w14:textId="77777777" w:rsidR="002F2A8C" w:rsidRDefault="002F2A8C" w:rsidP="00F324B1">
      <w:pPr>
        <w:spacing w:after="0"/>
        <w:rPr>
          <w:rFonts w:ascii="Verdana" w:hAnsi="Verdana"/>
          <w:lang w:val="es-ES"/>
        </w:rPr>
      </w:pPr>
    </w:p>
    <w:p w14:paraId="6CF708D0" w14:textId="77777777" w:rsidR="002F2A8C" w:rsidRDefault="002F2A8C" w:rsidP="00F324B1">
      <w:pPr>
        <w:spacing w:after="0"/>
        <w:rPr>
          <w:rFonts w:ascii="Verdana" w:hAnsi="Verdana"/>
          <w:lang w:val="es-ES"/>
        </w:rPr>
      </w:pPr>
    </w:p>
    <w:p w14:paraId="6DB4AC1F" w14:textId="77777777" w:rsidR="002F2A8C" w:rsidRDefault="002F2A8C" w:rsidP="00F324B1">
      <w:pPr>
        <w:spacing w:after="0"/>
        <w:rPr>
          <w:rFonts w:ascii="Verdana" w:hAnsi="Verdana"/>
          <w:lang w:val="es-ES"/>
        </w:rPr>
      </w:pPr>
    </w:p>
    <w:p w14:paraId="687248D6" w14:textId="77777777" w:rsidR="002F2A8C" w:rsidRDefault="002F2A8C" w:rsidP="00F324B1">
      <w:pPr>
        <w:spacing w:after="0"/>
        <w:rPr>
          <w:rFonts w:ascii="Verdana" w:hAnsi="Verdana"/>
          <w:lang w:val="es-ES"/>
        </w:rPr>
      </w:pPr>
    </w:p>
    <w:p w14:paraId="40191734" w14:textId="77777777" w:rsidR="002F2A8C" w:rsidRDefault="002F2A8C" w:rsidP="00F324B1">
      <w:pPr>
        <w:spacing w:after="0"/>
        <w:rPr>
          <w:rFonts w:ascii="Verdana" w:hAnsi="Verdana"/>
          <w:lang w:val="es-ES"/>
        </w:rPr>
      </w:pPr>
    </w:p>
    <w:p w14:paraId="04F65760" w14:textId="77777777" w:rsidR="002F2A8C" w:rsidRDefault="002F2A8C" w:rsidP="00F324B1">
      <w:pPr>
        <w:spacing w:after="0"/>
        <w:rPr>
          <w:rFonts w:ascii="Verdana" w:hAnsi="Verdana"/>
          <w:lang w:val="es-ES"/>
        </w:rPr>
      </w:pPr>
    </w:p>
    <w:p w14:paraId="27982753" w14:textId="77777777" w:rsidR="002F2A8C" w:rsidRDefault="002F2A8C" w:rsidP="00F324B1">
      <w:pPr>
        <w:spacing w:after="0"/>
        <w:rPr>
          <w:rFonts w:ascii="Verdana" w:hAnsi="Verdana"/>
          <w:lang w:val="es-ES"/>
        </w:rPr>
      </w:pPr>
    </w:p>
    <w:p w14:paraId="0658EC37" w14:textId="7982BCF6" w:rsidR="00F324B1" w:rsidRPr="00D9137A" w:rsidRDefault="00F324B1" w:rsidP="00F324B1">
      <w:pPr>
        <w:spacing w:after="0"/>
        <w:rPr>
          <w:rFonts w:ascii="Verdana" w:hAnsi="Verdana"/>
          <w:lang w:val="es-ES"/>
        </w:rPr>
      </w:pPr>
      <w:r w:rsidRPr="00D9137A">
        <w:rPr>
          <w:rFonts w:ascii="Verdana" w:hAnsi="Verdana"/>
          <w:lang w:val="es-ES"/>
        </w:rPr>
        <w:lastRenderedPageBreak/>
        <w:t xml:space="preserve">Bogotá D.C., </w:t>
      </w:r>
      <w:r w:rsidR="00EB14C1">
        <w:rPr>
          <w:rFonts w:ascii="Verdana" w:hAnsi="Verdana"/>
          <w:lang w:val="es-ES"/>
        </w:rPr>
        <w:t>22 de Diciembre de 2025</w:t>
      </w:r>
      <w:r w:rsidRPr="00D9137A">
        <w:rPr>
          <w:rFonts w:ascii="Verdana" w:hAnsi="Verdana"/>
          <w:lang w:val="es-ES"/>
        </w:rPr>
        <w:tab/>
      </w:r>
    </w:p>
    <w:p w14:paraId="1C6A9C26" w14:textId="5318AEAB" w:rsidR="00F324B1" w:rsidRPr="00D9137A" w:rsidRDefault="00B27C12" w:rsidP="00F324B1">
      <w:pPr>
        <w:spacing w:after="0"/>
        <w:rPr>
          <w:rFonts w:ascii="Verdana" w:hAnsi="Verdana"/>
          <w:lang w:val="es-ES"/>
        </w:rPr>
      </w:pPr>
      <w:r>
        <w:rPr>
          <w:rFonts w:ascii="Verdana" w:eastAsia="Calibri" w:hAnsi="Verdana" w:cs="Arial"/>
          <w:noProof/>
          <w:color w:val="000000" w:themeColor="text1"/>
          <w:lang w:val="es-ES" w:eastAsia="es-ES"/>
        </w:rPr>
        <w:drawing>
          <wp:anchor distT="0" distB="0" distL="114300" distR="114300" simplePos="0" relativeHeight="251660288" behindDoc="0" locked="0" layoutInCell="1" allowOverlap="1" wp14:anchorId="730B2E43" wp14:editId="77E9FC97">
            <wp:simplePos x="0" y="0"/>
            <wp:positionH relativeFrom="column">
              <wp:posOffset>2982595</wp:posOffset>
            </wp:positionH>
            <wp:positionV relativeFrom="page">
              <wp:posOffset>1872615</wp:posOffset>
            </wp:positionV>
            <wp:extent cx="2374265" cy="724535"/>
            <wp:effectExtent l="0" t="0" r="635" b="0"/>
            <wp:wrapSquare wrapText="bothSides"/>
            <wp:docPr id="11070536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053690" name="Picture 1107053690"/>
                    <pic:cNvPicPr/>
                  </pic:nvPicPr>
                  <pic:blipFill>
                    <a:blip r:embed="rId10">
                      <a:extLst>
                        <a:ext uri="{28A0092B-C50C-407E-A947-70E740481C1C}">
                          <a14:useLocalDpi xmlns:a14="http://schemas.microsoft.com/office/drawing/2010/main" val="0"/>
                        </a:ext>
                      </a:extLst>
                    </a:blip>
                    <a:stretch>
                      <a:fillRect/>
                    </a:stretch>
                  </pic:blipFill>
                  <pic:spPr>
                    <a:xfrm>
                      <a:off x="0" y="0"/>
                      <a:ext cx="2374265" cy="724535"/>
                    </a:xfrm>
                    <a:prstGeom prst="rect">
                      <a:avLst/>
                    </a:prstGeom>
                  </pic:spPr>
                </pic:pic>
              </a:graphicData>
            </a:graphic>
            <wp14:sizeRelH relativeFrom="page">
              <wp14:pctWidth>0</wp14:pctWidth>
            </wp14:sizeRelH>
            <wp14:sizeRelV relativeFrom="page">
              <wp14:pctHeight>0</wp14:pctHeight>
            </wp14:sizeRelV>
          </wp:anchor>
        </w:drawing>
      </w:r>
    </w:p>
    <w:p w14:paraId="40F5310D" w14:textId="6C27EF6A" w:rsidR="00F324B1" w:rsidRPr="00D9137A" w:rsidRDefault="00F324B1" w:rsidP="00F324B1">
      <w:pPr>
        <w:spacing w:after="0" w:line="240" w:lineRule="auto"/>
        <w:rPr>
          <w:rFonts w:ascii="Verdana" w:eastAsia="Calibri" w:hAnsi="Verdana" w:cs="Arial"/>
          <w:color w:val="000000" w:themeColor="text1"/>
          <w:lang w:val="es-ES" w:eastAsia="es-ES"/>
        </w:rPr>
      </w:pPr>
      <w:r w:rsidRPr="00D9137A">
        <w:rPr>
          <w:rFonts w:ascii="Verdana" w:eastAsia="Calibri" w:hAnsi="Verdana" w:cs="Arial"/>
          <w:color w:val="000000" w:themeColor="text1"/>
          <w:lang w:val="es-ES" w:eastAsia="es-ES"/>
        </w:rPr>
        <w:t>Señora</w:t>
      </w:r>
    </w:p>
    <w:p w14:paraId="196791FF" w14:textId="77777777" w:rsidR="00F324B1" w:rsidRPr="00D9137A" w:rsidRDefault="00F324B1" w:rsidP="00F324B1">
      <w:pPr>
        <w:spacing w:after="0" w:line="240" w:lineRule="auto"/>
        <w:rPr>
          <w:rFonts w:ascii="Verdana" w:eastAsia="Calibri" w:hAnsi="Verdana" w:cs="Arial"/>
          <w:b/>
          <w:bCs/>
          <w:color w:val="000000" w:themeColor="text1"/>
          <w:lang w:val="es-ES" w:eastAsia="es-ES"/>
        </w:rPr>
      </w:pPr>
      <w:r w:rsidRPr="00D9137A">
        <w:rPr>
          <w:rFonts w:ascii="Verdana" w:eastAsia="Calibri" w:hAnsi="Verdana" w:cs="Arial"/>
          <w:b/>
          <w:bCs/>
          <w:color w:val="000000" w:themeColor="text1"/>
          <w:lang w:val="es-ES" w:eastAsia="es-ES"/>
        </w:rPr>
        <w:t xml:space="preserve">Isabel Rincón Ríos </w:t>
      </w:r>
    </w:p>
    <w:p w14:paraId="3558A80C" w14:textId="77777777" w:rsidR="00F324B1" w:rsidRPr="00D9137A" w:rsidRDefault="00F324B1" w:rsidP="00F324B1">
      <w:pPr>
        <w:spacing w:after="0" w:line="240" w:lineRule="auto"/>
        <w:rPr>
          <w:rFonts w:ascii="Verdana" w:eastAsia="Calibri" w:hAnsi="Verdana" w:cs="Arial"/>
          <w:color w:val="000000" w:themeColor="text1"/>
          <w:lang w:val="es-ES" w:eastAsia="es-ES"/>
        </w:rPr>
      </w:pPr>
      <w:hyperlink r:id="rId11" w:history="1">
        <w:r w:rsidRPr="004F5174">
          <w:rPr>
            <w:rStyle w:val="Hyperlink"/>
            <w:rFonts w:ascii="Verdana" w:eastAsia="Calibri" w:hAnsi="Verdana" w:cs="Arial"/>
            <w:lang w:val="es-ES" w:eastAsia="es-ES"/>
          </w:rPr>
          <w:t>isabelrinconrios@hotmail.com</w:t>
        </w:r>
      </w:hyperlink>
    </w:p>
    <w:p w14:paraId="2533A7FB" w14:textId="77777777" w:rsidR="00F324B1" w:rsidRPr="004F5174" w:rsidRDefault="00F324B1" w:rsidP="00F324B1">
      <w:pPr>
        <w:spacing w:after="0" w:line="240" w:lineRule="auto"/>
        <w:rPr>
          <w:rFonts w:ascii="Verdana" w:eastAsia="Calibri" w:hAnsi="Verdana" w:cs="Arial"/>
          <w:color w:val="000000" w:themeColor="text1"/>
          <w:lang w:val="es-ES" w:eastAsia="es-ES"/>
        </w:rPr>
      </w:pPr>
      <w:r w:rsidRPr="00D9137A">
        <w:rPr>
          <w:rFonts w:ascii="Verdana" w:eastAsia="Calibri" w:hAnsi="Verdana" w:cs="Arial"/>
          <w:color w:val="000000" w:themeColor="text1"/>
          <w:lang w:val="es-ES" w:eastAsia="es-ES"/>
        </w:rPr>
        <w:t>Bogotá D.C.</w:t>
      </w:r>
    </w:p>
    <w:p w14:paraId="49C016EF" w14:textId="77777777" w:rsidR="00F324B1" w:rsidRPr="004F5174" w:rsidRDefault="00F324B1" w:rsidP="00F324B1">
      <w:pPr>
        <w:spacing w:after="0" w:line="240" w:lineRule="auto"/>
        <w:rPr>
          <w:rFonts w:ascii="Verdana" w:eastAsia="Calibri" w:hAnsi="Verdana" w:cs="Arial"/>
          <w:b/>
          <w:bCs/>
          <w:color w:val="000000" w:themeColor="text1"/>
          <w:lang w:val="es-ES" w:eastAsia="es-ES"/>
        </w:rPr>
      </w:pPr>
    </w:p>
    <w:p w14:paraId="693CA4FD" w14:textId="77777777" w:rsidR="00F324B1" w:rsidRPr="00D9137A" w:rsidRDefault="00F324B1" w:rsidP="00F324B1">
      <w:pPr>
        <w:spacing w:after="0" w:line="240" w:lineRule="auto"/>
        <w:rPr>
          <w:rFonts w:ascii="Verdana" w:eastAsia="Calibri" w:hAnsi="Verdana" w:cs="Arial"/>
          <w:b/>
          <w:bCs/>
          <w:color w:val="000000" w:themeColor="text1"/>
          <w:lang w:val="es-ES" w:eastAsia="es-ES"/>
        </w:rPr>
      </w:pPr>
    </w:p>
    <w:p w14:paraId="569279C4" w14:textId="77777777" w:rsidR="00F324B1" w:rsidRPr="00D9137A" w:rsidRDefault="00F324B1" w:rsidP="00F324B1">
      <w:pPr>
        <w:spacing w:after="0" w:line="240" w:lineRule="auto"/>
        <w:rPr>
          <w:rFonts w:ascii="Verdana" w:eastAsia="Calibri" w:hAnsi="Verdana" w:cs="Arial"/>
          <w:b/>
          <w:bCs/>
          <w:color w:val="000000" w:themeColor="text1"/>
          <w:lang w:val="es-ES" w:eastAsia="es-ES_tradnl"/>
        </w:rPr>
      </w:pPr>
    </w:p>
    <w:tbl>
      <w:tblPr>
        <w:tblStyle w:val="TableGrid"/>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F324B1" w:rsidRPr="00D9137A" w14:paraId="485A23F9" w14:textId="77777777" w:rsidTr="0036622E">
        <w:trPr>
          <w:gridAfter w:val="1"/>
          <w:wAfter w:w="4179" w:type="dxa"/>
          <w:trHeight w:val="304"/>
        </w:trPr>
        <w:tc>
          <w:tcPr>
            <w:tcW w:w="2689" w:type="dxa"/>
          </w:tcPr>
          <w:p w14:paraId="4C5637B5" w14:textId="77777777" w:rsidR="00F324B1" w:rsidRPr="00D9137A" w:rsidRDefault="00F324B1" w:rsidP="0036622E">
            <w:pPr>
              <w:jc w:val="both"/>
              <w:rPr>
                <w:rFonts w:ascii="Verdana" w:eastAsia="Calibri" w:hAnsi="Verdana" w:cs="Arial"/>
                <w:b/>
                <w:bCs/>
                <w:color w:val="000000" w:themeColor="text1"/>
                <w:lang w:val="es-ES" w:eastAsia="es-ES_tradnl"/>
              </w:rPr>
            </w:pPr>
          </w:p>
        </w:tc>
        <w:tc>
          <w:tcPr>
            <w:tcW w:w="6100" w:type="dxa"/>
          </w:tcPr>
          <w:p w14:paraId="22A3FCFD" w14:textId="77777777" w:rsidR="00F324B1" w:rsidRPr="00D9137A" w:rsidRDefault="00F324B1" w:rsidP="0036622E">
            <w:pPr>
              <w:jc w:val="both"/>
              <w:rPr>
                <w:rFonts w:ascii="Verdana" w:eastAsia="Calibri" w:hAnsi="Verdana" w:cs="Arial"/>
                <w:b/>
                <w:bCs/>
                <w:color w:val="000000" w:themeColor="text1"/>
                <w:lang w:val="es-ES" w:eastAsia="es-ES"/>
              </w:rPr>
            </w:pPr>
            <w:r w:rsidRPr="00D9137A">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1670</w:t>
            </w:r>
            <w:r w:rsidRPr="00D9137A">
              <w:rPr>
                <w:rFonts w:ascii="Verdana" w:eastAsia="Calibri" w:hAnsi="Verdana" w:cs="Arial"/>
                <w:b/>
                <w:bCs/>
                <w:color w:val="000000" w:themeColor="text1"/>
                <w:lang w:val="es-ES" w:eastAsia="es-ES"/>
              </w:rPr>
              <w:t xml:space="preserve"> de 2025</w:t>
            </w:r>
          </w:p>
          <w:p w14:paraId="082D2E69" w14:textId="77777777" w:rsidR="00F324B1" w:rsidRPr="00D9137A" w:rsidRDefault="00F324B1" w:rsidP="0036622E">
            <w:pPr>
              <w:jc w:val="both"/>
              <w:rPr>
                <w:rFonts w:ascii="Verdana" w:eastAsia="Calibri" w:hAnsi="Verdana" w:cs="Arial"/>
                <w:b/>
                <w:bCs/>
                <w:color w:val="000000" w:themeColor="text1"/>
                <w:lang w:val="es-ES" w:eastAsia="es-ES"/>
              </w:rPr>
            </w:pPr>
          </w:p>
        </w:tc>
      </w:tr>
      <w:tr w:rsidR="00F324B1" w:rsidRPr="00D9137A" w14:paraId="27046160" w14:textId="77777777" w:rsidTr="0036622E">
        <w:trPr>
          <w:trHeight w:val="884"/>
        </w:trPr>
        <w:tc>
          <w:tcPr>
            <w:tcW w:w="2689" w:type="dxa"/>
          </w:tcPr>
          <w:p w14:paraId="4522D947" w14:textId="77777777" w:rsidR="00F324B1" w:rsidRPr="00D9137A" w:rsidRDefault="00F324B1" w:rsidP="0036622E">
            <w:pPr>
              <w:jc w:val="both"/>
              <w:rPr>
                <w:rFonts w:ascii="Verdana" w:eastAsia="Calibri" w:hAnsi="Verdana" w:cs="Arial"/>
                <w:color w:val="000000" w:themeColor="text1"/>
                <w:lang w:val="es-ES" w:eastAsia="es-ES_tradnl"/>
              </w:rPr>
            </w:pPr>
            <w:r w:rsidRPr="00D9137A">
              <w:rPr>
                <w:rFonts w:ascii="Verdana" w:eastAsia="Calibri" w:hAnsi="Verdana" w:cs="Arial"/>
                <w:b/>
                <w:color w:val="000000" w:themeColor="text1"/>
                <w:lang w:val="es-ES" w:eastAsia="es-ES_tradnl"/>
              </w:rPr>
              <w:t>Temas:</w:t>
            </w:r>
            <w:r w:rsidRPr="00D9137A">
              <w:rPr>
                <w:rFonts w:ascii="Verdana" w:eastAsia="Calibri" w:hAnsi="Verdana" w:cs="Arial"/>
                <w:color w:val="000000" w:themeColor="text1"/>
                <w:lang w:val="es-ES" w:eastAsia="es-ES_tradnl"/>
              </w:rPr>
              <w:t xml:space="preserve">                   </w:t>
            </w:r>
          </w:p>
        </w:tc>
        <w:tc>
          <w:tcPr>
            <w:tcW w:w="6100" w:type="dxa"/>
          </w:tcPr>
          <w:p w14:paraId="64F6601E" w14:textId="17CF46F7" w:rsidR="00F324B1" w:rsidRPr="00D9137A" w:rsidRDefault="00F324B1" w:rsidP="0036622E">
            <w:pPr>
              <w:spacing w:line="276" w:lineRule="auto"/>
              <w:jc w:val="both"/>
              <w:rPr>
                <w:rFonts w:ascii="Verdana" w:eastAsia="Times New Roman" w:hAnsi="Verdana" w:cs="Arial"/>
                <w:lang w:val="es-ES" w:eastAsia="es-ES_tradnl"/>
              </w:rPr>
            </w:pPr>
            <w:r w:rsidRPr="00D9137A">
              <w:rPr>
                <w:rFonts w:ascii="Verdana" w:eastAsia="Calibri" w:hAnsi="Verdana" w:cs="Arial"/>
                <w:lang w:val="es-ES"/>
              </w:rPr>
              <w:t xml:space="preserve">LEY DE GARANTÍAS – Prohibiciones / REQUISITOS DE EJECUCIÓN – Diferencias entre requisitos de perfeccionamiento y ejecución – Requisitos de ejecución legales y convencionales </w:t>
            </w:r>
            <w:r w:rsidRPr="00D9137A">
              <w:rPr>
                <w:rFonts w:ascii="Verdana" w:eastAsia="Calibri" w:hAnsi="Verdana" w:cs="Arial"/>
                <w:lang w:val="es-ES" w:eastAsia="es-ES"/>
              </w:rPr>
              <w:t>/ REGISTRO PRESUPUESTAL – Expedición – Oportunidad – Requisito de ejecución /</w:t>
            </w:r>
            <w:r w:rsidRPr="00D9137A">
              <w:rPr>
                <w:rFonts w:ascii="Verdana" w:eastAsia="Calibri" w:hAnsi="Verdana" w:cs="Arial"/>
                <w:lang w:val="es-ES"/>
              </w:rPr>
              <w:t xml:space="preserve"> LEY DE GARANTÍAS – Registro presupuestal – No aplica</w:t>
            </w:r>
          </w:p>
          <w:p w14:paraId="5AD24B3E" w14:textId="77777777" w:rsidR="00F324B1" w:rsidRPr="00D9137A" w:rsidRDefault="00F324B1" w:rsidP="0036622E">
            <w:pPr>
              <w:spacing w:line="276" w:lineRule="auto"/>
              <w:jc w:val="both"/>
              <w:rPr>
                <w:rFonts w:ascii="Verdana" w:eastAsia="Calibri" w:hAnsi="Verdana" w:cs="Arial"/>
                <w:color w:val="000000" w:themeColor="text1"/>
                <w:lang w:val="es-ES" w:eastAsia="es-ES_tradnl"/>
              </w:rPr>
            </w:pPr>
          </w:p>
        </w:tc>
        <w:tc>
          <w:tcPr>
            <w:tcW w:w="4179" w:type="dxa"/>
          </w:tcPr>
          <w:p w14:paraId="509D7C63" w14:textId="77777777" w:rsidR="00F324B1" w:rsidRPr="00D9137A" w:rsidRDefault="00F324B1" w:rsidP="0036622E">
            <w:pPr>
              <w:spacing w:line="276" w:lineRule="auto"/>
              <w:jc w:val="both"/>
              <w:rPr>
                <w:rFonts w:ascii="Verdana" w:eastAsia="Calibri" w:hAnsi="Verdana" w:cs="Arial"/>
                <w:color w:val="000000" w:themeColor="text1"/>
                <w:lang w:val="es-ES" w:eastAsia="es-ES_tradnl"/>
              </w:rPr>
            </w:pPr>
          </w:p>
          <w:p w14:paraId="44B9CD43" w14:textId="77777777" w:rsidR="00F324B1" w:rsidRPr="00D9137A" w:rsidRDefault="00F324B1" w:rsidP="0036622E">
            <w:pPr>
              <w:spacing w:line="276" w:lineRule="auto"/>
              <w:rPr>
                <w:rFonts w:ascii="Verdana" w:eastAsia="Calibri" w:hAnsi="Verdana" w:cs="Arial"/>
                <w:color w:val="000000" w:themeColor="text1"/>
                <w:lang w:val="es-ES" w:eastAsia="es-ES_tradnl"/>
              </w:rPr>
            </w:pPr>
          </w:p>
        </w:tc>
      </w:tr>
      <w:tr w:rsidR="00F324B1" w:rsidRPr="00D9137A" w14:paraId="2FAA88EE" w14:textId="77777777" w:rsidTr="0036622E">
        <w:trPr>
          <w:gridAfter w:val="1"/>
          <w:wAfter w:w="4179" w:type="dxa"/>
        </w:trPr>
        <w:tc>
          <w:tcPr>
            <w:tcW w:w="2689" w:type="dxa"/>
          </w:tcPr>
          <w:p w14:paraId="6E187823" w14:textId="77777777" w:rsidR="00F324B1" w:rsidRPr="00D9137A" w:rsidRDefault="00F324B1" w:rsidP="0036622E">
            <w:pPr>
              <w:jc w:val="both"/>
              <w:rPr>
                <w:rFonts w:ascii="Verdana" w:eastAsia="Calibri" w:hAnsi="Verdana" w:cs="Arial"/>
                <w:b/>
                <w:color w:val="000000" w:themeColor="text1"/>
                <w:lang w:val="es-ES" w:eastAsia="es-ES_tradnl"/>
              </w:rPr>
            </w:pPr>
            <w:r w:rsidRPr="00D9137A">
              <w:rPr>
                <w:rFonts w:ascii="Verdana" w:eastAsia="Calibri" w:hAnsi="Verdana" w:cs="Arial"/>
                <w:b/>
                <w:color w:val="000000" w:themeColor="text1"/>
                <w:lang w:val="es-ES" w:eastAsia="es-ES_tradnl"/>
              </w:rPr>
              <w:t>Radicación:</w:t>
            </w:r>
            <w:r w:rsidRPr="00D9137A">
              <w:rPr>
                <w:rFonts w:ascii="Verdana" w:eastAsia="Calibri" w:hAnsi="Verdana" w:cs="Arial"/>
                <w:color w:val="000000" w:themeColor="text1"/>
                <w:lang w:val="es-ES" w:eastAsia="es-ES_tradnl"/>
              </w:rPr>
              <w:t xml:space="preserve">               </w:t>
            </w:r>
          </w:p>
        </w:tc>
        <w:tc>
          <w:tcPr>
            <w:tcW w:w="6100" w:type="dxa"/>
          </w:tcPr>
          <w:p w14:paraId="3BC5D5DE" w14:textId="77777777" w:rsidR="00F324B1" w:rsidRPr="00D9137A" w:rsidRDefault="00F324B1" w:rsidP="0036622E">
            <w:pPr>
              <w:jc w:val="both"/>
              <w:rPr>
                <w:rFonts w:ascii="Verdana" w:eastAsia="Calibri" w:hAnsi="Verdana" w:cs="Arial"/>
                <w:color w:val="000000" w:themeColor="text1"/>
                <w:lang w:val="es-ES" w:eastAsia="es-ES_tradnl"/>
              </w:rPr>
            </w:pPr>
            <w:r w:rsidRPr="00D9137A">
              <w:rPr>
                <w:rFonts w:ascii="Verdana" w:eastAsia="Calibri" w:hAnsi="Verdana" w:cs="Arial"/>
                <w:color w:val="000000" w:themeColor="text1"/>
                <w:lang w:val="es-ES" w:eastAsia="es-ES_tradnl"/>
              </w:rPr>
              <w:t>Respuesta a consulta con radicado No. 1_2025_11_11_012744</w:t>
            </w:r>
          </w:p>
        </w:tc>
      </w:tr>
    </w:tbl>
    <w:p w14:paraId="3C53DFCA" w14:textId="77777777" w:rsidR="00F324B1" w:rsidRPr="00D9137A" w:rsidRDefault="00F324B1" w:rsidP="00F324B1">
      <w:pPr>
        <w:spacing w:after="0" w:line="276" w:lineRule="auto"/>
        <w:jc w:val="both"/>
        <w:rPr>
          <w:rFonts w:ascii="Verdana" w:eastAsia="Calibri" w:hAnsi="Verdana" w:cs="Arial"/>
          <w:color w:val="000000" w:themeColor="text1"/>
          <w:lang w:val="es-ES" w:eastAsia="es-ES_tradnl"/>
        </w:rPr>
      </w:pPr>
    </w:p>
    <w:p w14:paraId="78BD0D3D" w14:textId="77777777" w:rsidR="00F324B1" w:rsidRPr="00D9137A" w:rsidRDefault="00F324B1" w:rsidP="00F324B1">
      <w:pPr>
        <w:spacing w:after="0" w:line="276" w:lineRule="auto"/>
        <w:jc w:val="both"/>
        <w:rPr>
          <w:rFonts w:ascii="Verdana" w:eastAsia="Calibri" w:hAnsi="Verdana" w:cs="Arial"/>
          <w:color w:val="000000" w:themeColor="text1"/>
          <w:lang w:val="es-ES" w:eastAsia="es-ES_tradnl"/>
        </w:rPr>
      </w:pPr>
    </w:p>
    <w:p w14:paraId="07B1DA98" w14:textId="77777777" w:rsidR="00F324B1" w:rsidRPr="00D9137A" w:rsidRDefault="00F324B1" w:rsidP="00F324B1">
      <w:pPr>
        <w:spacing w:after="0" w:line="276" w:lineRule="auto"/>
        <w:jc w:val="both"/>
        <w:rPr>
          <w:rFonts w:ascii="Verdana" w:eastAsia="Calibri" w:hAnsi="Verdana" w:cs="Arial"/>
          <w:color w:val="000000" w:themeColor="text1"/>
          <w:lang w:val="es-ES" w:eastAsia="es-ES"/>
        </w:rPr>
      </w:pPr>
      <w:r w:rsidRPr="00D9137A">
        <w:rPr>
          <w:rFonts w:ascii="Verdana" w:eastAsia="Calibri" w:hAnsi="Verdana" w:cs="Arial"/>
          <w:color w:val="000000" w:themeColor="text1"/>
          <w:lang w:val="es-ES" w:eastAsia="es-ES"/>
        </w:rPr>
        <w:t xml:space="preserve">Estimada señora Rincón: </w:t>
      </w:r>
    </w:p>
    <w:p w14:paraId="4D1BAF64" w14:textId="77777777" w:rsidR="00F324B1" w:rsidRPr="00D9137A" w:rsidRDefault="00F324B1" w:rsidP="00F324B1">
      <w:pPr>
        <w:tabs>
          <w:tab w:val="left" w:pos="3768"/>
        </w:tabs>
        <w:spacing w:after="0" w:line="276" w:lineRule="auto"/>
        <w:jc w:val="both"/>
        <w:rPr>
          <w:rFonts w:ascii="Verdana" w:eastAsia="Calibri" w:hAnsi="Verdana" w:cs="Arial"/>
          <w:color w:val="000000" w:themeColor="text1"/>
          <w:lang w:val="es-ES" w:eastAsia="es-ES"/>
        </w:rPr>
      </w:pPr>
      <w:r w:rsidRPr="00D9137A">
        <w:rPr>
          <w:rFonts w:ascii="Verdana" w:eastAsia="Calibri" w:hAnsi="Verdana" w:cs="Arial"/>
          <w:color w:val="000000" w:themeColor="text1"/>
          <w:lang w:val="es-ES" w:eastAsia="es-ES"/>
        </w:rPr>
        <w:tab/>
      </w:r>
    </w:p>
    <w:p w14:paraId="3A2475AE" w14:textId="77777777" w:rsidR="00F324B1" w:rsidRPr="00D9137A" w:rsidRDefault="00F324B1" w:rsidP="00F324B1">
      <w:pPr>
        <w:spacing w:after="0" w:line="276" w:lineRule="auto"/>
        <w:jc w:val="both"/>
        <w:rPr>
          <w:rFonts w:ascii="Verdana" w:eastAsia="Calibri" w:hAnsi="Verdana" w:cs="Arial"/>
          <w:color w:val="000000" w:themeColor="text1"/>
          <w:lang w:val="es-ES" w:eastAsia="es-ES"/>
        </w:rPr>
      </w:pPr>
      <w:r w:rsidRPr="00D9137A">
        <w:rPr>
          <w:rFonts w:ascii="Verdana" w:eastAsia="Calibri" w:hAnsi="Verdana" w:cs="Arial"/>
          <w:color w:val="000000" w:themeColor="text1"/>
          <w:lang w:val="es-ES" w:eastAsia="es-ES"/>
        </w:rPr>
        <w:t>En ejercicio de la competencia otorgada por los artículos 3, numeral 5º, y 11, numeral 8º, del Decreto Ley 4170 de 2011,</w:t>
      </w:r>
      <w:r w:rsidRPr="00D9137A">
        <w:rPr>
          <w:rFonts w:ascii="Verdana" w:eastAsia="Arial MT" w:hAnsi="Verdana" w:cs="Arial MT"/>
          <w:color w:val="000000" w:themeColor="text1"/>
          <w:lang w:val="es-ES" w:eastAsia="es-ES"/>
        </w:rPr>
        <w:t xml:space="preserve"> </w:t>
      </w:r>
      <w:r w:rsidRPr="00D9137A">
        <w:rPr>
          <w:rFonts w:ascii="Verdana" w:hAnsi="Verdana" w:cs="Arial"/>
          <w:color w:val="000000" w:themeColor="text1"/>
          <w:lang w:val="es-ES"/>
        </w:rPr>
        <w:t>así como lo establecido en el artículo 4 de la Resolución 1707 de 2018 expedida por esta Entidad, la Agencia Nacional de Contratación Pública – Colombia Compra Eficiente– responde su solicitud de consulta del 11 de noviembre 2025, en la cual manifiesta lo siguiente:</w:t>
      </w:r>
      <w:r w:rsidRPr="00D9137A">
        <w:rPr>
          <w:rFonts w:ascii="Verdana" w:eastAsia="Calibri" w:hAnsi="Verdana" w:cs="Arial"/>
          <w:color w:val="000000" w:themeColor="text1"/>
          <w:lang w:val="es-ES" w:eastAsia="es-ES"/>
        </w:rPr>
        <w:t xml:space="preserve"> </w:t>
      </w:r>
    </w:p>
    <w:p w14:paraId="23C372B3" w14:textId="77777777" w:rsidR="00F324B1" w:rsidRPr="00D9137A" w:rsidRDefault="00F324B1" w:rsidP="00F324B1">
      <w:pPr>
        <w:spacing w:after="0" w:line="276" w:lineRule="auto"/>
        <w:jc w:val="both"/>
        <w:rPr>
          <w:rFonts w:ascii="Verdana" w:eastAsia="Calibri" w:hAnsi="Verdana" w:cs="Arial"/>
          <w:color w:val="000000" w:themeColor="text1"/>
          <w:lang w:val="es-ES" w:eastAsia="es-ES"/>
        </w:rPr>
      </w:pPr>
    </w:p>
    <w:p w14:paraId="1C13F261" w14:textId="77777777" w:rsidR="00F324B1" w:rsidRPr="00D9137A" w:rsidRDefault="00F324B1" w:rsidP="00F324B1">
      <w:pPr>
        <w:spacing w:after="0"/>
        <w:ind w:left="720" w:right="709"/>
        <w:jc w:val="both"/>
        <w:rPr>
          <w:rFonts w:ascii="Verdana" w:eastAsia="Century Gothic" w:hAnsi="Verdana" w:cs="Century Gothic"/>
          <w:color w:val="000000" w:themeColor="text1"/>
          <w:sz w:val="20"/>
          <w:szCs w:val="20"/>
          <w:lang w:val="es-ES"/>
        </w:rPr>
      </w:pPr>
      <w:r w:rsidRPr="00D9137A">
        <w:rPr>
          <w:rFonts w:ascii="Verdana" w:eastAsia="Century Gothic" w:hAnsi="Verdana" w:cs="Century Gothic"/>
          <w:color w:val="000000" w:themeColor="text1"/>
          <w:sz w:val="20"/>
          <w:szCs w:val="20"/>
          <w:lang w:val="es-ES"/>
        </w:rPr>
        <w:t xml:space="preserve">“El registro presupuestal es el documento mediante el cual se perfecciona un compromiso bien sea un contrato o convenio. En ese entendido y entrada en vigencia la Ley de garantías electorales para la celebración de convenios interadministrativos solicito a su despacho con todo respeto se me indique si es viable y legal que en un convenio interadministrativo celebrado el día 7 de noviembre realizarle el Registro presupuestal con posterioridad es decir con la fecha actual ya entrada en vigencia la ley de garantías para este concepto, o esta </w:t>
      </w:r>
      <w:proofErr w:type="spellStart"/>
      <w:r w:rsidRPr="00D9137A">
        <w:rPr>
          <w:rFonts w:ascii="Verdana" w:eastAsia="Century Gothic" w:hAnsi="Verdana" w:cs="Century Gothic"/>
          <w:color w:val="000000" w:themeColor="text1"/>
          <w:sz w:val="20"/>
          <w:szCs w:val="20"/>
          <w:lang w:val="es-ES"/>
        </w:rPr>
        <w:t>expedición</w:t>
      </w:r>
      <w:proofErr w:type="spellEnd"/>
      <w:r w:rsidRPr="00D9137A">
        <w:rPr>
          <w:rFonts w:ascii="Verdana" w:eastAsia="Century Gothic" w:hAnsi="Verdana" w:cs="Century Gothic"/>
          <w:color w:val="000000" w:themeColor="text1"/>
          <w:sz w:val="20"/>
          <w:szCs w:val="20"/>
          <w:lang w:val="es-ES"/>
        </w:rPr>
        <w:t xml:space="preserve"> de registro presupuestal </w:t>
      </w:r>
      <w:r w:rsidRPr="00D9137A">
        <w:rPr>
          <w:rFonts w:ascii="Verdana" w:eastAsia="Century Gothic" w:hAnsi="Verdana" w:cs="Century Gothic"/>
          <w:color w:val="000000" w:themeColor="text1"/>
          <w:sz w:val="20"/>
          <w:szCs w:val="20"/>
          <w:lang w:val="es-ES"/>
        </w:rPr>
        <w:lastRenderedPageBreak/>
        <w:t xml:space="preserve">a un convenio interadministrativo </w:t>
      </w:r>
      <w:proofErr w:type="spellStart"/>
      <w:r w:rsidRPr="00D9137A">
        <w:rPr>
          <w:rFonts w:ascii="Verdana" w:eastAsia="Century Gothic" w:hAnsi="Verdana" w:cs="Century Gothic"/>
          <w:color w:val="000000" w:themeColor="text1"/>
          <w:sz w:val="20"/>
          <w:szCs w:val="20"/>
          <w:lang w:val="es-ES"/>
        </w:rPr>
        <w:t>también</w:t>
      </w:r>
      <w:proofErr w:type="spellEnd"/>
      <w:r w:rsidRPr="00D9137A">
        <w:rPr>
          <w:rFonts w:ascii="Verdana" w:eastAsia="Century Gothic" w:hAnsi="Verdana" w:cs="Century Gothic"/>
          <w:color w:val="000000" w:themeColor="text1"/>
          <w:sz w:val="20"/>
          <w:szCs w:val="20"/>
          <w:lang w:val="es-ES"/>
        </w:rPr>
        <w:t xml:space="preserve"> quedaba prohibida a partir del 07 de noviembre de 2025”. </w:t>
      </w:r>
    </w:p>
    <w:p w14:paraId="4446334D" w14:textId="77777777" w:rsidR="00F324B1" w:rsidRPr="00D9137A" w:rsidRDefault="00F324B1" w:rsidP="00F324B1">
      <w:pPr>
        <w:spacing w:after="0"/>
        <w:ind w:left="709" w:right="709"/>
        <w:jc w:val="both"/>
        <w:rPr>
          <w:rFonts w:ascii="Verdana" w:eastAsia="Century Gothic" w:hAnsi="Verdana" w:cs="Century Gothic"/>
          <w:i/>
          <w:iCs/>
          <w:color w:val="000000" w:themeColor="text1"/>
          <w:sz w:val="20"/>
          <w:szCs w:val="20"/>
          <w:lang w:val="es-ES"/>
        </w:rPr>
      </w:pPr>
    </w:p>
    <w:p w14:paraId="542AF66D" w14:textId="77777777" w:rsidR="00F324B1" w:rsidRPr="00D9137A" w:rsidRDefault="00F324B1" w:rsidP="00F324B1">
      <w:pPr>
        <w:spacing w:after="0" w:line="276" w:lineRule="auto"/>
        <w:ind w:firstLine="708"/>
        <w:contextualSpacing/>
        <w:jc w:val="both"/>
        <w:rPr>
          <w:rFonts w:ascii="Verdana" w:eastAsia="Calibri" w:hAnsi="Verdana" w:cs="Arial"/>
          <w:color w:val="000000" w:themeColor="text1"/>
          <w:szCs w:val="24"/>
          <w:lang w:val="es-ES" w:eastAsia="es-ES_tradnl"/>
        </w:rPr>
      </w:pPr>
      <w:bookmarkStart w:id="1" w:name="_Hlk135067441"/>
      <w:r w:rsidRPr="00D9137A">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9137A">
        <w:rPr>
          <w:rFonts w:ascii="Verdana" w:eastAsia="Calibri" w:hAnsi="Verdana" w:cs="Arial"/>
          <w:color w:val="000000" w:themeColor="text1"/>
          <w:szCs w:val="24"/>
          <w:lang w:val="es-ES" w:eastAsia="es-ES_tradnl"/>
        </w:rPr>
        <w:tab/>
      </w:r>
    </w:p>
    <w:p w14:paraId="0F3C8B31" w14:textId="77777777" w:rsidR="00F324B1" w:rsidRPr="00D9137A" w:rsidRDefault="00F324B1" w:rsidP="00F324B1">
      <w:pPr>
        <w:spacing w:before="120" w:after="120" w:line="276" w:lineRule="auto"/>
        <w:ind w:firstLine="709"/>
        <w:jc w:val="both"/>
        <w:rPr>
          <w:rFonts w:ascii="Verdana" w:eastAsia="Calibri" w:hAnsi="Verdana" w:cs="Arial"/>
          <w:color w:val="000000" w:themeColor="text1"/>
          <w:lang w:val="es-ES" w:eastAsia="es-ES"/>
        </w:rPr>
      </w:pPr>
      <w:r w:rsidRPr="00D9137A">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bookmarkEnd w:id="1"/>
    <w:p w14:paraId="20B4973E" w14:textId="77777777" w:rsidR="00F324B1" w:rsidRPr="00D9137A" w:rsidRDefault="00F324B1" w:rsidP="00F324B1">
      <w:pPr>
        <w:spacing w:after="0" w:line="276" w:lineRule="auto"/>
        <w:jc w:val="both"/>
        <w:rPr>
          <w:rFonts w:ascii="Verdana" w:eastAsia="Calibri" w:hAnsi="Verdana" w:cs="Arial"/>
          <w:color w:val="000000" w:themeColor="text1"/>
          <w:lang w:val="es-ES" w:eastAsia="es-ES"/>
        </w:rPr>
      </w:pPr>
    </w:p>
    <w:p w14:paraId="4B1AE117" w14:textId="77777777" w:rsidR="00F324B1" w:rsidRPr="00D9137A" w:rsidRDefault="00F324B1" w:rsidP="00F324B1">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D9137A">
        <w:rPr>
          <w:rFonts w:ascii="Verdana" w:eastAsia="Century Gothic" w:hAnsi="Verdana" w:cs="Century Gothic"/>
          <w:b/>
          <w:bCs/>
          <w:color w:val="000000" w:themeColor="text1"/>
        </w:rPr>
        <w:t>Problema planteado:</w:t>
      </w:r>
    </w:p>
    <w:p w14:paraId="613A18B4" w14:textId="77777777" w:rsidR="00F324B1" w:rsidRPr="00D9137A" w:rsidRDefault="00F324B1" w:rsidP="00F324B1">
      <w:pPr>
        <w:tabs>
          <w:tab w:val="left" w:pos="426"/>
        </w:tabs>
        <w:spacing w:after="0" w:line="276" w:lineRule="auto"/>
        <w:jc w:val="both"/>
        <w:rPr>
          <w:rFonts w:ascii="Verdana" w:eastAsia="Century Gothic" w:hAnsi="Verdana" w:cs="Century Gothic"/>
          <w:color w:val="000000" w:themeColor="text1"/>
          <w:lang w:val="es-ES"/>
        </w:rPr>
      </w:pPr>
    </w:p>
    <w:p w14:paraId="0CD29A12" w14:textId="77777777" w:rsidR="00F324B1" w:rsidRPr="00D9137A" w:rsidRDefault="00F324B1" w:rsidP="00F324B1">
      <w:pPr>
        <w:spacing w:after="0" w:line="276" w:lineRule="auto"/>
        <w:jc w:val="both"/>
        <w:rPr>
          <w:rFonts w:ascii="Verdana" w:eastAsia="Century Gothic" w:hAnsi="Verdana" w:cs="Century Gothic"/>
          <w:color w:val="000000" w:themeColor="text1"/>
          <w:lang w:val="es-ES"/>
        </w:rPr>
      </w:pPr>
      <w:r w:rsidRPr="00D9137A">
        <w:rPr>
          <w:rFonts w:ascii="Verdana" w:eastAsia="Century Gothic" w:hAnsi="Verdana" w:cs="Century Gothic"/>
          <w:color w:val="000000" w:themeColor="text1"/>
          <w:lang w:val="es-ES"/>
        </w:rPr>
        <w:t>De acuerdo con el contenido de su solicitud, esta Agencia resolverá el siguiente problema jurídico:</w:t>
      </w:r>
      <w:r w:rsidRPr="00D9137A">
        <w:rPr>
          <w:rFonts w:ascii="Verdana" w:eastAsia="Century Gothic" w:hAnsi="Verdana" w:cs="Century Gothic"/>
          <w:lang w:val="es-ES"/>
        </w:rPr>
        <w:t xml:space="preserve"> ¿la expedición del registro presupuestal se encuentra sujeta a las prohibiciones establecidas en la Ley de Garantías Electorales? </w:t>
      </w:r>
    </w:p>
    <w:p w14:paraId="066D4E81" w14:textId="77777777" w:rsidR="00F324B1" w:rsidRPr="00D9137A" w:rsidRDefault="00F324B1" w:rsidP="00F324B1">
      <w:pPr>
        <w:spacing w:after="0" w:line="276" w:lineRule="auto"/>
        <w:jc w:val="both"/>
        <w:rPr>
          <w:rFonts w:ascii="Verdana" w:eastAsia="Calibri" w:hAnsi="Verdana" w:cs="Arial"/>
          <w:color w:val="000000" w:themeColor="text1"/>
          <w:lang w:val="es-ES"/>
        </w:rPr>
      </w:pPr>
    </w:p>
    <w:p w14:paraId="2A69538D" w14:textId="77777777" w:rsidR="00F324B1" w:rsidRPr="00D9137A" w:rsidRDefault="00F324B1" w:rsidP="00F324B1">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D9137A">
        <w:rPr>
          <w:rFonts w:ascii="Verdana" w:eastAsia="Century Gothic" w:hAnsi="Verdana" w:cs="Century Gothic"/>
          <w:b/>
          <w:bCs/>
          <w:color w:val="000000" w:themeColor="text1"/>
        </w:rPr>
        <w:t>Respuesta:</w:t>
      </w:r>
    </w:p>
    <w:p w14:paraId="25B713E7" w14:textId="77777777" w:rsidR="00F324B1" w:rsidRPr="00D9137A" w:rsidRDefault="00F324B1" w:rsidP="00F324B1">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324B1" w:rsidRPr="00D9137A" w14:paraId="09362F98" w14:textId="77777777" w:rsidTr="0036622E">
        <w:tc>
          <w:tcPr>
            <w:tcW w:w="8828" w:type="dxa"/>
          </w:tcPr>
          <w:p w14:paraId="7B8349EC" w14:textId="77777777" w:rsidR="00F324B1" w:rsidRPr="00D9137A" w:rsidRDefault="00F324B1" w:rsidP="00F324B1">
            <w:pPr>
              <w:spacing w:before="120" w:after="120" w:line="276" w:lineRule="auto"/>
              <w:jc w:val="both"/>
              <w:rPr>
                <w:rFonts w:ascii="Verdana" w:eastAsia="Times New Roman" w:hAnsi="Verdana" w:cs="Arial"/>
                <w:color w:val="000000"/>
                <w:szCs w:val="24"/>
                <w:lang w:val="es-ES" w:eastAsia="es-ES_tradnl"/>
              </w:rPr>
            </w:pPr>
            <w:r w:rsidRPr="00D9137A">
              <w:rPr>
                <w:rFonts w:ascii="Verdana" w:eastAsia="Calibri" w:hAnsi="Verdana" w:cs="Arial"/>
                <w:lang w:val="es-ES"/>
              </w:rPr>
              <w:t xml:space="preserve">Los requisitos </w:t>
            </w:r>
            <w:r w:rsidRPr="00D9137A">
              <w:rPr>
                <w:rFonts w:ascii="Verdana" w:eastAsia="Calibri" w:hAnsi="Verdana" w:cs="Arial"/>
                <w:i/>
                <w:iCs/>
                <w:lang w:val="es-ES"/>
              </w:rPr>
              <w:t>legales</w:t>
            </w:r>
            <w:r w:rsidRPr="00D9137A">
              <w:rPr>
                <w:rFonts w:ascii="Verdana" w:eastAsia="Calibri" w:hAnsi="Verdana" w:cs="Arial"/>
                <w:lang w:val="es-ES"/>
              </w:rPr>
              <w:t xml:space="preserve"> de ejecución son: (i) la aprobación de las garantías exigidas en el contrato, (</w:t>
            </w:r>
            <w:proofErr w:type="spellStart"/>
            <w:r w:rsidRPr="00D9137A">
              <w:rPr>
                <w:rFonts w:ascii="Verdana" w:eastAsia="Calibri" w:hAnsi="Verdana" w:cs="Arial"/>
                <w:lang w:val="es-ES"/>
              </w:rPr>
              <w:t>ii</w:t>
            </w:r>
            <w:proofErr w:type="spellEnd"/>
            <w:r w:rsidRPr="00D9137A">
              <w:rPr>
                <w:rFonts w:ascii="Verdana" w:eastAsia="Calibri" w:hAnsi="Verdana" w:cs="Arial"/>
                <w:lang w:val="es-ES"/>
              </w:rPr>
              <w:t xml:space="preserve">) la existencia de </w:t>
            </w:r>
            <w:r w:rsidRPr="00D9137A">
              <w:rPr>
                <w:rFonts w:ascii="Verdana" w:eastAsia="Calibri" w:hAnsi="Verdana" w:cs="Arial"/>
                <w:i/>
                <w:iCs/>
                <w:lang w:val="es-ES"/>
              </w:rPr>
              <w:t>la apropiación presupuestal correspondiente</w:t>
            </w:r>
            <w:r w:rsidRPr="00D9137A">
              <w:rPr>
                <w:rFonts w:ascii="Verdana" w:eastAsia="Calibri" w:hAnsi="Verdana" w:cs="Arial"/>
                <w:lang w:val="es-ES"/>
              </w:rPr>
              <w:t xml:space="preserve"> y (</w:t>
            </w:r>
            <w:proofErr w:type="spellStart"/>
            <w:r w:rsidRPr="00D9137A">
              <w:rPr>
                <w:rFonts w:ascii="Verdana" w:eastAsia="Calibri" w:hAnsi="Verdana" w:cs="Arial"/>
                <w:lang w:val="es-ES"/>
              </w:rPr>
              <w:t>iii</w:t>
            </w:r>
            <w:proofErr w:type="spellEnd"/>
            <w:r w:rsidRPr="00D9137A">
              <w:rPr>
                <w:rFonts w:ascii="Verdana" w:eastAsia="Calibri" w:hAnsi="Verdana" w:cs="Arial"/>
                <w:lang w:val="es-ES"/>
              </w:rPr>
              <w:t>) la acreditación del cumplimiento de las obligaciones con el Sistema de Seguridad Social Integral. C</w:t>
            </w:r>
            <w:r w:rsidRPr="00D9137A">
              <w:rPr>
                <w:rFonts w:ascii="Verdana" w:eastAsia="Times New Roman" w:hAnsi="Verdana" w:cs="Arial"/>
                <w:color w:val="1A1A1A" w:themeColor="background1" w:themeShade="1A"/>
                <w:lang w:val="es-ES" w:eastAsia="es-ES_tradnl"/>
              </w:rPr>
              <w:t xml:space="preserve">onforme al artículo 41 de la Ley 80 de 1993, el Registro Presupuestal es necesario para </w:t>
            </w:r>
            <w:r w:rsidRPr="00D9137A">
              <w:rPr>
                <w:rFonts w:ascii="Verdana" w:eastAsia="Times New Roman" w:hAnsi="Verdana" w:cs="Arial"/>
                <w:i/>
                <w:iCs/>
                <w:color w:val="1A1A1A" w:themeColor="background1" w:themeShade="1A"/>
                <w:lang w:val="es-ES" w:eastAsia="es-ES_tradnl"/>
              </w:rPr>
              <w:t>iniciar la ejecución</w:t>
            </w:r>
            <w:r w:rsidRPr="00D9137A">
              <w:rPr>
                <w:rFonts w:ascii="Verdana" w:eastAsia="Times New Roman" w:hAnsi="Verdana" w:cs="Arial"/>
                <w:color w:val="1A1A1A" w:themeColor="background1" w:themeShade="1A"/>
                <w:lang w:val="es-ES" w:eastAsia="es-ES_tradnl"/>
              </w:rPr>
              <w:t xml:space="preserve"> del contrato, una vez se tenga definido el valor y el plazo. Al ser un requisito de </w:t>
            </w:r>
            <w:r w:rsidRPr="00D9137A">
              <w:rPr>
                <w:rFonts w:ascii="Verdana" w:eastAsia="Times New Roman" w:hAnsi="Verdana" w:cs="Arial"/>
                <w:color w:val="1A1A1A" w:themeColor="background1" w:themeShade="1A"/>
                <w:lang w:val="es-ES" w:eastAsia="es-ES_tradnl"/>
              </w:rPr>
              <w:lastRenderedPageBreak/>
              <w:t xml:space="preserve">ejecución del contrato, el Registro Presupuestal normalmente se expide </w:t>
            </w:r>
            <w:r w:rsidRPr="00D9137A">
              <w:rPr>
                <w:rFonts w:ascii="Verdana" w:eastAsia="Times New Roman" w:hAnsi="Verdana" w:cs="Arial"/>
                <w:i/>
                <w:iCs/>
                <w:color w:val="1A1A1A" w:themeColor="background1" w:themeShade="1A"/>
                <w:lang w:val="es-ES" w:eastAsia="es-ES_tradnl"/>
              </w:rPr>
              <w:t>después de celebrado el contrato</w:t>
            </w:r>
            <w:r w:rsidRPr="00D9137A">
              <w:rPr>
                <w:rFonts w:ascii="Verdana" w:eastAsia="Times New Roman" w:hAnsi="Verdana" w:cs="Arial"/>
                <w:color w:val="1A1A1A" w:themeColor="background1" w:themeShade="1A"/>
                <w:lang w:val="es-ES" w:eastAsia="es-ES_tradnl"/>
              </w:rPr>
              <w:t>, tal como se desprende de lo establecido en el inciso segundo del artículo 41 de la Ley 80 de 1993.</w:t>
            </w:r>
          </w:p>
          <w:p w14:paraId="76B7EE19" w14:textId="77777777" w:rsidR="00F324B1" w:rsidRPr="00D9137A" w:rsidRDefault="00F324B1" w:rsidP="0036622E">
            <w:pPr>
              <w:spacing w:after="120" w:line="276" w:lineRule="auto"/>
              <w:ind w:firstLine="709"/>
              <w:jc w:val="both"/>
              <w:rPr>
                <w:rFonts w:ascii="Verdana" w:eastAsia="Times New Roman" w:hAnsi="Verdana" w:cs="Arial"/>
                <w:color w:val="1A1A1A" w:themeColor="background1" w:themeShade="1A"/>
                <w:lang w:val="es-ES" w:eastAsia="es-ES_tradnl"/>
              </w:rPr>
            </w:pPr>
            <w:r w:rsidRPr="00D9137A">
              <w:rPr>
                <w:rFonts w:ascii="Verdana" w:eastAsia="Times New Roman" w:hAnsi="Verdana" w:cs="Arial"/>
                <w:color w:val="000000"/>
                <w:szCs w:val="24"/>
                <w:lang w:val="es-ES" w:eastAsia="es-ES_tradnl"/>
              </w:rPr>
              <w:t>En consecuencia, e</w:t>
            </w:r>
            <w:r w:rsidRPr="00D9137A">
              <w:rPr>
                <w:rFonts w:ascii="Verdana" w:eastAsia="Times New Roman" w:hAnsi="Verdana" w:cs="Arial"/>
                <w:color w:val="1A1A1A" w:themeColor="background1" w:themeShade="1A"/>
                <w:lang w:val="es-ES" w:eastAsia="es-ES_tradnl"/>
              </w:rPr>
              <w:t>l registro presupuestal no constituye un requisito para la celebración o perfeccionamiento del contrato estatal. Dado que las prohibiciones establecidas en los artículos 33 y el parágrafo del artículo 38 de la Ley de Garantías Electorales se refieren a la celebración directa de contratos y de convenios administrativos, respectivamente, el cumplimiento de requisitos asociados a la ejecución de dichos contratos, como es el caso de la expedición del registro presupuestal, no se encuentra restringido. En consecuencia, las entidades podrán realizar la apropiación presupuestal y expedir este documento durante el periodo prelectoral señalado en los artículos 33 y 38 con respecto a los contratos que hayan celebrado previamente.</w:t>
            </w:r>
          </w:p>
        </w:tc>
      </w:tr>
    </w:tbl>
    <w:p w14:paraId="7ECC8D17" w14:textId="77777777" w:rsidR="00F324B1" w:rsidRPr="00D9137A" w:rsidRDefault="00F324B1" w:rsidP="00F324B1">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84DB860" w14:textId="77777777" w:rsidR="00F324B1" w:rsidRPr="00D9137A" w:rsidRDefault="00F324B1" w:rsidP="00F324B1">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D9137A">
        <w:rPr>
          <w:rFonts w:ascii="Verdana" w:eastAsia="Century Gothic" w:hAnsi="Verdana" w:cs="Century Gothic"/>
          <w:b/>
          <w:bCs/>
          <w:color w:val="000000" w:themeColor="text1"/>
        </w:rPr>
        <w:t>Razones de la respuesta:</w:t>
      </w:r>
    </w:p>
    <w:p w14:paraId="28A6E8A8" w14:textId="77777777" w:rsidR="00F324B1" w:rsidRPr="00D9137A" w:rsidRDefault="00F324B1" w:rsidP="00F324B1">
      <w:pPr>
        <w:spacing w:after="0" w:line="276" w:lineRule="auto"/>
        <w:jc w:val="both"/>
        <w:rPr>
          <w:rFonts w:ascii="Verdana" w:eastAsia="Calibri" w:hAnsi="Verdana" w:cs="Arial"/>
          <w:color w:val="000000" w:themeColor="text1"/>
          <w:lang w:val="es-ES"/>
        </w:rPr>
      </w:pPr>
    </w:p>
    <w:p w14:paraId="26384E33" w14:textId="77777777" w:rsidR="00F324B1" w:rsidRPr="00D9137A" w:rsidRDefault="00F324B1" w:rsidP="00F324B1">
      <w:pPr>
        <w:spacing w:after="0" w:line="276" w:lineRule="auto"/>
        <w:jc w:val="both"/>
        <w:rPr>
          <w:rFonts w:ascii="Verdana" w:eastAsia="Calibri" w:hAnsi="Verdana" w:cs="Arial"/>
          <w:color w:val="000000" w:themeColor="text1"/>
          <w:lang w:val="es-ES"/>
        </w:rPr>
      </w:pPr>
      <w:r w:rsidRPr="00D9137A">
        <w:rPr>
          <w:rFonts w:ascii="Verdana" w:eastAsia="Calibri" w:hAnsi="Verdana" w:cs="Arial"/>
          <w:color w:val="000000" w:themeColor="text1"/>
          <w:lang w:val="es-ES"/>
        </w:rPr>
        <w:t xml:space="preserve">Lo anterior se sustenta en las siguientes consideraciones: </w:t>
      </w:r>
    </w:p>
    <w:p w14:paraId="591CB3D9" w14:textId="77777777" w:rsidR="00F324B1" w:rsidRPr="00D9137A" w:rsidRDefault="00F324B1" w:rsidP="00F324B1">
      <w:pPr>
        <w:spacing w:after="0" w:line="276" w:lineRule="auto"/>
        <w:jc w:val="both"/>
        <w:rPr>
          <w:rFonts w:ascii="Verdana" w:eastAsia="Calibri" w:hAnsi="Verdana" w:cs="Arial"/>
          <w:color w:val="000000" w:themeColor="text1"/>
          <w:lang w:val="es-ES"/>
        </w:rPr>
      </w:pPr>
    </w:p>
    <w:p w14:paraId="3D2C63F3" w14:textId="77777777" w:rsidR="00F324B1" w:rsidRPr="00D9137A" w:rsidRDefault="00F324B1" w:rsidP="00F324B1">
      <w:pPr>
        <w:spacing w:after="0" w:line="276" w:lineRule="auto"/>
        <w:jc w:val="both"/>
        <w:rPr>
          <w:rFonts w:ascii="Verdana" w:eastAsia="Times New Roman" w:hAnsi="Verdana" w:cs="Arial"/>
          <w:lang w:val="es-ES" w:eastAsia="es-CO"/>
        </w:rPr>
      </w:pPr>
      <w:r w:rsidRPr="00D9137A">
        <w:rPr>
          <w:rFonts w:ascii="Verdana" w:eastAsia="Times New Roman" w:hAnsi="Verdana" w:cs="Arial"/>
          <w:lang w:val="es-ES" w:eastAsia="es-CO"/>
        </w:rPr>
        <w:t>i)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6B032C21" w14:textId="77777777" w:rsidR="00F324B1" w:rsidRPr="00D9137A" w:rsidRDefault="00F324B1" w:rsidP="00F324B1">
      <w:pPr>
        <w:spacing w:after="0" w:line="276" w:lineRule="auto"/>
        <w:ind w:firstLine="709"/>
        <w:jc w:val="both"/>
        <w:rPr>
          <w:rFonts w:ascii="Verdana" w:eastAsia="Times New Roman" w:hAnsi="Verdana" w:cs="Arial"/>
          <w:lang w:val="es-ES" w:eastAsia="es-CO"/>
        </w:rPr>
      </w:pPr>
    </w:p>
    <w:p w14:paraId="73C0D96F" w14:textId="77777777" w:rsidR="00F324B1" w:rsidRPr="00B52B8D" w:rsidRDefault="00F324B1" w:rsidP="00F324B1">
      <w:pPr>
        <w:spacing w:after="0" w:line="240" w:lineRule="auto"/>
        <w:ind w:left="709" w:right="709"/>
        <w:jc w:val="both"/>
        <w:rPr>
          <w:rFonts w:ascii="Verdana" w:eastAsia="Times New Roman" w:hAnsi="Verdana" w:cs="Arial"/>
          <w:sz w:val="21"/>
          <w:szCs w:val="21"/>
          <w:lang w:val="es-ES" w:eastAsia="es-CO"/>
        </w:rPr>
      </w:pPr>
      <w:r w:rsidRPr="00B52B8D">
        <w:rPr>
          <w:rFonts w:ascii="Verdana" w:eastAsia="Times New Roman" w:hAnsi="Verdana" w:cs="Arial"/>
          <w:sz w:val="21"/>
          <w:szCs w:val="21"/>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B52B8D">
        <w:rPr>
          <w:rFonts w:ascii="Verdana" w:eastAsia="Times New Roman" w:hAnsi="Verdana" w:cs="Arial"/>
          <w:sz w:val="21"/>
          <w:szCs w:val="21"/>
          <w:lang w:val="es-ES" w:eastAsia="es-CO"/>
        </w:rPr>
        <w:t>legis</w:t>
      </w:r>
      <w:proofErr w:type="spellEnd"/>
      <w:r w:rsidRPr="00B52B8D">
        <w:rPr>
          <w:rFonts w:ascii="Verdana" w:eastAsia="Times New Roman" w:hAnsi="Verdana" w:cs="Arial"/>
          <w:sz w:val="21"/>
          <w:szCs w:val="21"/>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w:t>
      </w:r>
      <w:r w:rsidRPr="00B52B8D">
        <w:rPr>
          <w:rFonts w:ascii="Verdana" w:eastAsia="Times New Roman" w:hAnsi="Verdana" w:cs="Arial"/>
          <w:sz w:val="21"/>
          <w:szCs w:val="21"/>
          <w:lang w:val="es-ES" w:eastAsia="es-CO"/>
        </w:rPr>
        <w:lastRenderedPageBreak/>
        <w:t>modificadas, ampliadas o adicionadas por acuerdo o convenio o acto unilateral.</w:t>
      </w:r>
    </w:p>
    <w:p w14:paraId="48626372" w14:textId="77777777" w:rsidR="00F324B1" w:rsidRPr="00B52B8D" w:rsidRDefault="00F324B1" w:rsidP="00F324B1">
      <w:pPr>
        <w:spacing w:after="0" w:line="240" w:lineRule="auto"/>
        <w:ind w:right="709"/>
        <w:jc w:val="both"/>
        <w:rPr>
          <w:rFonts w:ascii="Verdana" w:eastAsia="Times New Roman" w:hAnsi="Verdana" w:cs="Arial"/>
          <w:sz w:val="24"/>
          <w:szCs w:val="24"/>
          <w:lang w:val="es-ES" w:eastAsia="es-CO"/>
        </w:rPr>
      </w:pPr>
    </w:p>
    <w:p w14:paraId="018DEA74" w14:textId="77777777" w:rsidR="00F324B1" w:rsidRPr="00B52B8D" w:rsidRDefault="00F324B1" w:rsidP="00F324B1">
      <w:pPr>
        <w:spacing w:after="0" w:line="240" w:lineRule="auto"/>
        <w:ind w:left="709" w:right="709"/>
        <w:jc w:val="both"/>
        <w:rPr>
          <w:rFonts w:ascii="Verdana" w:eastAsia="Times New Roman" w:hAnsi="Verdana" w:cs="Arial"/>
          <w:sz w:val="21"/>
          <w:szCs w:val="21"/>
          <w:lang w:val="es-ES" w:eastAsia="es-CO"/>
        </w:rPr>
      </w:pPr>
      <w:r w:rsidRPr="00B52B8D">
        <w:rPr>
          <w:rFonts w:ascii="Verdana" w:eastAsia="Times New Roman" w:hAnsi="Verdana" w:cs="Arial"/>
          <w:sz w:val="21"/>
          <w:szCs w:val="21"/>
          <w:lang w:val="es-ES" w:eastAsia="es-CO"/>
        </w:rPr>
        <w:t>La jurisprudencia de la Corte Constitucional</w:t>
      </w:r>
      <w:r w:rsidRPr="00B52B8D">
        <w:rPr>
          <w:rFonts w:ascii="Verdana" w:eastAsia="Times New Roman" w:hAnsi="Verdana" w:cs="Arial"/>
          <w:sz w:val="21"/>
          <w:szCs w:val="21"/>
          <w:vertAlign w:val="superscript"/>
          <w:lang w:val="es-ES" w:eastAsia="es-CO"/>
        </w:rPr>
        <w:footnoteReference w:id="1"/>
      </w:r>
      <w:r w:rsidRPr="00B52B8D">
        <w:rPr>
          <w:rFonts w:ascii="Verdana" w:eastAsia="Times New Roman" w:hAnsi="Verdana" w:cs="Arial"/>
          <w:sz w:val="21"/>
          <w:szCs w:val="21"/>
          <w:lang w:val="es-ES" w:eastAsia="es-CO"/>
        </w:rPr>
        <w:t> y del Consejo de Estado</w:t>
      </w:r>
      <w:r w:rsidRPr="00B52B8D">
        <w:rPr>
          <w:rFonts w:ascii="Verdana" w:eastAsia="Times New Roman" w:hAnsi="Verdana" w:cs="Arial"/>
          <w:sz w:val="21"/>
          <w:szCs w:val="21"/>
          <w:vertAlign w:val="superscript"/>
          <w:lang w:val="es-ES" w:eastAsia="es-CO"/>
        </w:rPr>
        <w:footnoteReference w:id="2"/>
      </w:r>
      <w:r w:rsidRPr="00B52B8D">
        <w:rPr>
          <w:rFonts w:ascii="Verdana" w:eastAsia="Times New Roman" w:hAnsi="Verdana" w:cs="Arial"/>
          <w:sz w:val="21"/>
          <w:szCs w:val="21"/>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B52B8D">
        <w:rPr>
          <w:rFonts w:ascii="Verdana" w:eastAsia="Times New Roman" w:hAnsi="Verdana" w:cs="Arial"/>
          <w:sz w:val="21"/>
          <w:szCs w:val="21"/>
          <w:vertAlign w:val="superscript"/>
          <w:lang w:val="es-ES" w:eastAsia="es-CO"/>
        </w:rPr>
        <w:footnoteReference w:id="3"/>
      </w:r>
      <w:r w:rsidRPr="00B52B8D">
        <w:rPr>
          <w:rFonts w:ascii="Verdana" w:eastAsia="Times New Roman" w:hAnsi="Verdana" w:cs="Arial"/>
          <w:sz w:val="21"/>
          <w:szCs w:val="21"/>
          <w:lang w:val="es-ES" w:eastAsia="es-CO"/>
        </w:rPr>
        <w:t>.</w:t>
      </w:r>
    </w:p>
    <w:p w14:paraId="3C68160B" w14:textId="77777777" w:rsidR="00F324B1" w:rsidRPr="00D9137A" w:rsidRDefault="00F324B1" w:rsidP="00F324B1">
      <w:pPr>
        <w:spacing w:after="0" w:line="276" w:lineRule="auto"/>
        <w:jc w:val="both"/>
        <w:rPr>
          <w:rFonts w:ascii="Verdana" w:eastAsia="Calibri" w:hAnsi="Verdana" w:cs="Arial"/>
          <w:bCs/>
          <w:lang w:val="es-ES"/>
        </w:rPr>
      </w:pPr>
    </w:p>
    <w:p w14:paraId="00227CCB" w14:textId="77777777" w:rsidR="00F324B1" w:rsidRPr="00D9137A" w:rsidRDefault="00F324B1" w:rsidP="00F324B1">
      <w:pPr>
        <w:spacing w:after="0" w:line="276" w:lineRule="auto"/>
        <w:ind w:firstLine="709"/>
        <w:jc w:val="both"/>
        <w:rPr>
          <w:rFonts w:ascii="Verdana" w:eastAsia="Arial" w:hAnsi="Verdana" w:cs="Arial"/>
          <w:lang w:val="es-ES" w:eastAsia="es-ES" w:bidi="es-ES"/>
        </w:rPr>
      </w:pPr>
      <w:r w:rsidRPr="00D9137A">
        <w:rPr>
          <w:rFonts w:ascii="Verdana" w:eastAsia="Times New Roman" w:hAnsi="Verdana" w:cs="Arial"/>
          <w:lang w:val="es-ES" w:eastAsia="es-CO"/>
        </w:rPr>
        <w:t>De</w:t>
      </w:r>
      <w:r w:rsidRPr="00D9137A">
        <w:rPr>
          <w:rFonts w:ascii="Verdana" w:eastAsia="Arial" w:hAnsi="Verdana" w:cs="Arial"/>
          <w:lang w:val="es-ES" w:eastAsia="es-ES" w:bidi="es-ES"/>
        </w:rPr>
        <w:t xml:space="preserve"> conformidad con lo anterior, la Ley de Garantías Electorales estableció una serie de regulaciones y prohibiciones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461A19B0" w14:textId="77777777" w:rsidR="00F324B1" w:rsidRPr="00D9137A" w:rsidRDefault="00F324B1" w:rsidP="00F324B1">
      <w:pPr>
        <w:spacing w:before="120" w:after="0" w:line="276" w:lineRule="auto"/>
        <w:ind w:firstLine="709"/>
        <w:jc w:val="both"/>
        <w:rPr>
          <w:rFonts w:ascii="Verdana" w:eastAsia="Arial" w:hAnsi="Verdana" w:cs="Arial"/>
          <w:lang w:val="es-ES" w:eastAsia="es-ES" w:bidi="es-ES"/>
        </w:rPr>
      </w:pPr>
      <w:r w:rsidRPr="00D9137A">
        <w:rPr>
          <w:rFonts w:ascii="Verdana" w:eastAsia="Arial" w:hAnsi="Verdana" w:cs="Arial"/>
          <w:lang w:val="es-ES" w:eastAsia="es-ES" w:bidi="es-ES"/>
        </w:rPr>
        <w:t xml:space="preserve">Las restricciones consagradas en la Ley de Garantías se dirigen a dos (2) tipos de campañas electorales diferenciadas: las presidenciales y las que se adelanten para la elección de los demás cargos de elección popular, tanto a nivel nacional como territorial. </w:t>
      </w:r>
      <w:r w:rsidRPr="00D9137A">
        <w:rPr>
          <w:rFonts w:ascii="Verdana" w:eastAsia="Calibri" w:hAnsi="Verdana" w:cs="Arial"/>
          <w:lang w:val="es-ES"/>
        </w:rPr>
        <w:t xml:space="preserve">Por un lado, el </w:t>
      </w:r>
      <w:r w:rsidRPr="00D9137A">
        <w:rPr>
          <w:rFonts w:ascii="Verdana" w:eastAsia="Calibri" w:hAnsi="Verdana" w:cs="Arial"/>
          <w:i/>
          <w:iCs/>
          <w:lang w:val="es-ES"/>
        </w:rPr>
        <w:t xml:space="preserve">artículo 33 </w:t>
      </w:r>
      <w:r w:rsidRPr="00D9137A">
        <w:rPr>
          <w:rFonts w:ascii="Verdana" w:eastAsia="Calibri" w:hAnsi="Verdana" w:cs="Arial"/>
          <w:lang w:val="es-ES"/>
        </w:rPr>
        <w:t xml:space="preserve">de la Ley 996 de 2005 prohíbe “[…] la contratación directa por parte de </w:t>
      </w:r>
      <w:r w:rsidRPr="00D9137A">
        <w:rPr>
          <w:rFonts w:ascii="Verdana" w:eastAsia="Calibri" w:hAnsi="Verdana" w:cs="Arial"/>
          <w:i/>
          <w:iCs/>
          <w:lang w:val="es-ES"/>
        </w:rPr>
        <w:t>todos los entes del Estado</w:t>
      </w:r>
      <w:r w:rsidRPr="00D9137A">
        <w:rPr>
          <w:rFonts w:ascii="Verdana" w:eastAsia="Calibri" w:hAnsi="Verdana" w:cs="Arial"/>
          <w:lang w:val="es-ES"/>
        </w:rPr>
        <w:t xml:space="preserve">” durante los cuatro (4) meses anteriores a las </w:t>
      </w:r>
      <w:r w:rsidRPr="00D9137A">
        <w:rPr>
          <w:rFonts w:ascii="Verdana" w:eastAsia="Calibri" w:hAnsi="Verdana" w:cs="Arial"/>
          <w:i/>
          <w:iCs/>
          <w:lang w:val="es-ES"/>
        </w:rPr>
        <w:t>elecciones presidenciales</w:t>
      </w:r>
      <w:r w:rsidRPr="00D9137A">
        <w:rPr>
          <w:rFonts w:ascii="Verdana" w:eastAsia="Calibri" w:hAnsi="Verdana" w:cs="Arial"/>
          <w:lang w:val="es-ES"/>
        </w:rPr>
        <w:t xml:space="preserve">, salvo “[…] lo referente a la defensa y seguridad del Estado, los contratos de crédito público, los requeridos para cubrir las emergencias educativas, sanitarias y desastres, así como también los utilizados para la reconstrucción de vías, </w:t>
      </w:r>
      <w:r w:rsidRPr="00D9137A">
        <w:rPr>
          <w:rFonts w:ascii="Verdana" w:eastAsia="Calibri" w:hAnsi="Verdana" w:cs="Arial"/>
          <w:lang w:val="es-ES"/>
        </w:rPr>
        <w:lastRenderedPageBreak/>
        <w:t>puentes, carreteras, infraestructura energética y de comunicaciones, en caso de que hayan sido objeto de atentados, acciones terroristas, desastres naturales o casos de fuerza mayor, y los que deban realizar las entidades sanitarias y hospitalarias”</w:t>
      </w:r>
      <w:r w:rsidRPr="00D9137A">
        <w:rPr>
          <w:rFonts w:ascii="Verdana" w:eastAsia="Calibri" w:hAnsi="Verdana" w:cs="Arial"/>
          <w:vertAlign w:val="superscript"/>
          <w:lang w:val="es-ES"/>
        </w:rPr>
        <w:footnoteReference w:id="4"/>
      </w:r>
      <w:r w:rsidRPr="00D9137A">
        <w:rPr>
          <w:rFonts w:ascii="Verdana" w:eastAsia="Calibri" w:hAnsi="Verdana" w:cs="Arial"/>
          <w:lang w:val="es-ES"/>
        </w:rPr>
        <w:t>.</w:t>
      </w:r>
    </w:p>
    <w:p w14:paraId="725859A4" w14:textId="77777777" w:rsidR="00F324B1" w:rsidRPr="00D9137A" w:rsidRDefault="00F324B1" w:rsidP="00B27C12">
      <w:pPr>
        <w:widowControl w:val="0"/>
        <w:autoSpaceDE w:val="0"/>
        <w:autoSpaceDN w:val="0"/>
        <w:spacing w:before="120" w:after="120" w:line="276" w:lineRule="auto"/>
        <w:ind w:right="113" w:firstLine="709"/>
        <w:jc w:val="both"/>
        <w:rPr>
          <w:rFonts w:ascii="Verdana" w:eastAsia="Arial" w:hAnsi="Verdana" w:cs="Arial"/>
          <w:lang w:val="es-ES" w:eastAsia="es-ES" w:bidi="es-ES"/>
        </w:rPr>
      </w:pPr>
      <w:r w:rsidRPr="00D9137A">
        <w:rPr>
          <w:rFonts w:ascii="Verdana" w:eastAsia="Calibri" w:hAnsi="Verdana" w:cs="Arial"/>
          <w:lang w:val="es-ES"/>
        </w:rPr>
        <w:t xml:space="preserve">Por otro lado, </w:t>
      </w:r>
      <w:r w:rsidRPr="00D9137A">
        <w:rPr>
          <w:rFonts w:ascii="Verdana" w:eastAsia="Calibri" w:hAnsi="Verdana" w:cs="Arial"/>
          <w:i/>
          <w:iCs/>
          <w:lang w:val="es-ES"/>
        </w:rPr>
        <w:t xml:space="preserve">el parágrafo del artículo 38 </w:t>
      </w:r>
      <w:r w:rsidRPr="00D9137A">
        <w:rPr>
          <w:rFonts w:ascii="Verdana" w:eastAsia="Calibri" w:hAnsi="Verdana" w:cs="Arial"/>
          <w:lang w:val="es-ES"/>
        </w:rPr>
        <w:t xml:space="preserve">de la Ley 996 de 2005 prevé una restricción, aplicable respecto de </w:t>
      </w:r>
      <w:r w:rsidRPr="00D9137A">
        <w:rPr>
          <w:rFonts w:ascii="Verdana" w:eastAsia="Calibri" w:hAnsi="Verdana" w:cs="Arial"/>
          <w:i/>
          <w:iCs/>
          <w:lang w:val="es-ES"/>
        </w:rPr>
        <w:t>cualquier tipo de contienda electoral</w:t>
      </w:r>
      <w:r w:rsidRPr="00D9137A">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9137A">
        <w:rPr>
          <w:rFonts w:ascii="Verdana" w:eastAsia="Calibri" w:hAnsi="Verdana" w:cs="Arial"/>
          <w:vertAlign w:val="superscript"/>
          <w:lang w:val="es-ES"/>
        </w:rPr>
        <w:footnoteReference w:id="5"/>
      </w:r>
      <w:r w:rsidRPr="00D9137A">
        <w:rPr>
          <w:rFonts w:ascii="Verdana" w:eastAsia="Calibri" w:hAnsi="Verdana" w:cs="Arial"/>
          <w:lang w:val="es-ES"/>
        </w:rPr>
        <w:t>.</w:t>
      </w:r>
      <w:r w:rsidRPr="00D9137A">
        <w:rPr>
          <w:rFonts w:ascii="Verdana" w:eastAsia="Arial" w:hAnsi="Verdana" w:cs="Arial"/>
          <w:lang w:val="es-ES" w:eastAsia="es-ES" w:bidi="es-ES"/>
        </w:rPr>
        <w:t xml:space="preserve"> </w:t>
      </w:r>
    </w:p>
    <w:p w14:paraId="4273D599" w14:textId="77777777" w:rsidR="00F324B1" w:rsidRPr="00D9137A" w:rsidRDefault="00F324B1" w:rsidP="00F324B1">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D9137A">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70D63382" w14:textId="77777777" w:rsidR="00F324B1" w:rsidRPr="00D9137A" w:rsidRDefault="00F324B1" w:rsidP="00F324B1">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6482F5C4" w14:textId="77777777" w:rsidR="00F324B1" w:rsidRPr="00B52B8D" w:rsidRDefault="00F324B1" w:rsidP="00F324B1">
      <w:pPr>
        <w:widowControl w:val="0"/>
        <w:autoSpaceDE w:val="0"/>
        <w:autoSpaceDN w:val="0"/>
        <w:spacing w:after="0" w:line="240" w:lineRule="auto"/>
        <w:ind w:left="709" w:right="709"/>
        <w:jc w:val="both"/>
        <w:rPr>
          <w:rFonts w:ascii="Verdana" w:eastAsia="Arial" w:hAnsi="Verdana" w:cs="Arial"/>
          <w:sz w:val="21"/>
          <w:szCs w:val="21"/>
          <w:lang w:val="es-ES" w:eastAsia="es-ES" w:bidi="es-ES"/>
        </w:rPr>
      </w:pPr>
      <w:r w:rsidRPr="00B52B8D">
        <w:rPr>
          <w:rFonts w:ascii="Verdana" w:eastAsia="Arial" w:hAnsi="Verdana" w:cs="Arial"/>
          <w:sz w:val="21"/>
          <w:szCs w:val="21"/>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w:t>
      </w:r>
      <w:r w:rsidRPr="00B52B8D">
        <w:rPr>
          <w:rFonts w:ascii="Verdana" w:eastAsia="Arial" w:hAnsi="Verdana" w:cs="Arial"/>
          <w:sz w:val="21"/>
          <w:szCs w:val="21"/>
          <w:lang w:val="es-ES" w:eastAsia="es-ES" w:bidi="es-ES"/>
        </w:rPr>
        <w:lastRenderedPageBreak/>
        <w:t>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B52B8D">
        <w:rPr>
          <w:rFonts w:ascii="Verdana" w:eastAsia="Arial" w:hAnsi="Verdana" w:cs="Arial"/>
          <w:sz w:val="21"/>
          <w:szCs w:val="21"/>
          <w:vertAlign w:val="superscript"/>
          <w:lang w:val="es-ES" w:eastAsia="es-ES" w:bidi="es-ES"/>
        </w:rPr>
        <w:footnoteReference w:id="6"/>
      </w:r>
    </w:p>
    <w:p w14:paraId="0F1B3DA4" w14:textId="77777777" w:rsidR="00F324B1" w:rsidRPr="00D9137A" w:rsidRDefault="00F324B1" w:rsidP="00F324B1">
      <w:pPr>
        <w:widowControl w:val="0"/>
        <w:autoSpaceDE w:val="0"/>
        <w:autoSpaceDN w:val="0"/>
        <w:spacing w:after="0" w:line="276" w:lineRule="auto"/>
        <w:contextualSpacing/>
        <w:rPr>
          <w:rFonts w:ascii="Verdana" w:eastAsia="Arial" w:hAnsi="Verdana" w:cs="Arial"/>
          <w:lang w:val="es-ES" w:eastAsia="es-ES" w:bidi="es-ES"/>
        </w:rPr>
      </w:pPr>
    </w:p>
    <w:p w14:paraId="23188376" w14:textId="77777777" w:rsidR="00F324B1" w:rsidRPr="00D9137A" w:rsidRDefault="00F324B1" w:rsidP="00F324B1">
      <w:pPr>
        <w:spacing w:after="120" w:line="276" w:lineRule="auto"/>
        <w:ind w:firstLine="709"/>
        <w:jc w:val="both"/>
        <w:rPr>
          <w:rFonts w:ascii="Verdana" w:eastAsia="Arial" w:hAnsi="Verdana" w:cs="Arial"/>
          <w:lang w:val="es-ES" w:eastAsia="es-ES" w:bidi="es-ES"/>
        </w:rPr>
      </w:pPr>
      <w:r w:rsidRPr="00D9137A">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D9137A">
        <w:rPr>
          <w:rFonts w:ascii="Verdana" w:eastAsia="Arial" w:hAnsi="Verdana" w:cs="Arial"/>
          <w:i/>
          <w:lang w:val="es-ES" w:eastAsia="es-ES" w:bidi="es-ES"/>
        </w:rPr>
        <w:t>En primer lugar</w:t>
      </w:r>
      <w:r w:rsidRPr="00D9137A">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D9137A">
        <w:rPr>
          <w:rFonts w:ascii="Verdana" w:eastAsia="Arial" w:hAnsi="Verdana" w:cs="Arial"/>
          <w:i/>
          <w:lang w:val="es-ES" w:eastAsia="es-ES" w:bidi="es-ES"/>
        </w:rPr>
        <w:t>En segundo lugar</w:t>
      </w:r>
      <w:r w:rsidRPr="00D9137A">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E781942" w14:textId="77777777" w:rsidR="00F324B1" w:rsidRPr="00D9137A" w:rsidRDefault="00F324B1" w:rsidP="00F324B1">
      <w:pPr>
        <w:spacing w:after="0" w:line="276" w:lineRule="auto"/>
        <w:ind w:firstLine="709"/>
        <w:jc w:val="both"/>
        <w:rPr>
          <w:rFonts w:ascii="Verdana" w:eastAsia="Arial" w:hAnsi="Verdana" w:cs="Arial"/>
          <w:lang w:val="es-ES" w:eastAsia="es-ES" w:bidi="es-ES"/>
        </w:rPr>
      </w:pPr>
      <w:r w:rsidRPr="00D9137A">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606DFF8C" w14:textId="77777777" w:rsidR="00F324B1" w:rsidRPr="00D9137A" w:rsidRDefault="00F324B1" w:rsidP="00F324B1">
      <w:pPr>
        <w:spacing w:after="0" w:line="276" w:lineRule="auto"/>
        <w:jc w:val="both"/>
        <w:rPr>
          <w:rFonts w:ascii="Verdana" w:eastAsia="Calibri" w:hAnsi="Verdana" w:cs="Arial"/>
          <w:color w:val="000000" w:themeColor="text1"/>
          <w:lang w:val="es-ES"/>
        </w:rPr>
      </w:pPr>
    </w:p>
    <w:p w14:paraId="76F18063" w14:textId="77777777" w:rsidR="00F324B1" w:rsidRPr="00D9137A" w:rsidRDefault="00F324B1" w:rsidP="00F324B1">
      <w:pPr>
        <w:spacing w:after="120" w:line="276" w:lineRule="auto"/>
        <w:jc w:val="both"/>
        <w:rPr>
          <w:rFonts w:ascii="Verdana" w:eastAsia="Calibri" w:hAnsi="Verdana" w:cs="Arial"/>
          <w:lang w:val="es-ES"/>
        </w:rPr>
      </w:pPr>
      <w:bookmarkStart w:id="2" w:name="_Hlk199343457"/>
      <w:proofErr w:type="spellStart"/>
      <w:r w:rsidRPr="00D9137A">
        <w:rPr>
          <w:rFonts w:ascii="Verdana" w:eastAsia="Calibri" w:hAnsi="Verdana" w:cs="Arial"/>
          <w:color w:val="000000" w:themeColor="text1"/>
          <w:lang w:val="es-ES"/>
        </w:rPr>
        <w:t>ii</w:t>
      </w:r>
      <w:proofErr w:type="spellEnd"/>
      <w:r w:rsidRPr="00D9137A">
        <w:rPr>
          <w:rFonts w:ascii="Verdana" w:eastAsia="Calibri" w:hAnsi="Verdana" w:cs="Arial"/>
          <w:color w:val="000000" w:themeColor="text1"/>
          <w:lang w:val="es-ES"/>
        </w:rPr>
        <w:t xml:space="preserve">) Por otra parte, </w:t>
      </w:r>
      <w:r w:rsidRPr="00D9137A">
        <w:rPr>
          <w:rFonts w:ascii="Verdana" w:eastAsia="Calibri" w:hAnsi="Verdana" w:cs="Arial"/>
          <w:lang w:val="es-ES"/>
        </w:rPr>
        <w:t>el Estatuto General de Contratación de la Administración Pública – en adelante EGCAP – prevé dos tipos de exigencias en relación con los contratos estatales: (i) las relacionadas con el perfeccionamiento y (</w:t>
      </w:r>
      <w:proofErr w:type="spellStart"/>
      <w:r w:rsidRPr="00D9137A">
        <w:rPr>
          <w:rFonts w:ascii="Verdana" w:eastAsia="Calibri" w:hAnsi="Verdana" w:cs="Arial"/>
          <w:lang w:val="es-ES"/>
        </w:rPr>
        <w:t>ii</w:t>
      </w:r>
      <w:proofErr w:type="spellEnd"/>
      <w:r w:rsidRPr="00D9137A">
        <w:rPr>
          <w:rFonts w:ascii="Verdana" w:eastAsia="Calibri" w:hAnsi="Verdana" w:cs="Arial"/>
          <w:lang w:val="es-ES"/>
        </w:rPr>
        <w:t xml:space="preserve">) las que </w:t>
      </w:r>
      <w:r w:rsidRPr="00D9137A">
        <w:rPr>
          <w:rFonts w:ascii="Verdana" w:eastAsia="Calibri" w:hAnsi="Verdana" w:cs="Arial"/>
          <w:lang w:val="es-ES"/>
        </w:rPr>
        <w:lastRenderedPageBreak/>
        <w:t xml:space="preserve">tienen que ver con la ejecución. Si bien ambas se complementan y marcan el origen de la fase contractual –o de ejecución–, es importante distinguirlas, ya que las consecuencias jurídicas que generan son diferentes. </w:t>
      </w:r>
    </w:p>
    <w:p w14:paraId="29D750B3" w14:textId="77777777" w:rsidR="00F324B1" w:rsidRPr="00D9137A" w:rsidRDefault="00F324B1" w:rsidP="00F324B1">
      <w:pPr>
        <w:spacing w:after="120" w:line="276" w:lineRule="auto"/>
        <w:ind w:firstLine="709"/>
        <w:jc w:val="both"/>
        <w:rPr>
          <w:rFonts w:ascii="Verdana" w:eastAsia="Calibri" w:hAnsi="Verdana" w:cs="Arial"/>
          <w:lang w:val="es-ES"/>
        </w:rPr>
      </w:pPr>
      <w:r w:rsidRPr="00D9137A">
        <w:rPr>
          <w:rFonts w:ascii="Verdana" w:eastAsia="Calibri" w:hAnsi="Verdana" w:cs="Arial"/>
          <w:lang w:val="es-ES"/>
        </w:rPr>
        <w:t xml:space="preserve">Los </w:t>
      </w:r>
      <w:r w:rsidRPr="00D9137A">
        <w:rPr>
          <w:rFonts w:ascii="Verdana" w:eastAsia="Calibri" w:hAnsi="Verdana" w:cs="Arial"/>
          <w:i/>
          <w:iCs/>
          <w:lang w:val="es-ES"/>
        </w:rPr>
        <w:t>requisitos de perfeccionamiento</w:t>
      </w:r>
      <w:r w:rsidRPr="00D9137A">
        <w:rPr>
          <w:rFonts w:ascii="Verdana" w:eastAsia="Calibri" w:hAnsi="Verdana" w:cs="Arial"/>
          <w:lang w:val="es-ES"/>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w:t>
      </w:r>
    </w:p>
    <w:p w14:paraId="443FAAE2" w14:textId="77777777" w:rsidR="00F324B1" w:rsidRPr="00D9137A" w:rsidRDefault="00F324B1" w:rsidP="00F324B1">
      <w:pPr>
        <w:spacing w:after="120" w:line="276" w:lineRule="auto"/>
        <w:ind w:firstLine="709"/>
        <w:jc w:val="both"/>
        <w:rPr>
          <w:rFonts w:ascii="Verdana" w:eastAsia="Calibri" w:hAnsi="Verdana" w:cs="Arial"/>
          <w:lang w:val="es-ES"/>
        </w:rPr>
      </w:pPr>
      <w:r w:rsidRPr="00D9137A">
        <w:rPr>
          <w:rFonts w:ascii="Verdana" w:eastAsia="Calibri" w:hAnsi="Verdana" w:cs="Arial"/>
          <w:lang w:val="es-ES"/>
        </w:rPr>
        <w:t xml:space="preserve">Los de la </w:t>
      </w:r>
      <w:r w:rsidRPr="00D9137A">
        <w:rPr>
          <w:rFonts w:ascii="Verdana" w:eastAsia="Calibri" w:hAnsi="Verdana" w:cs="Arial"/>
          <w:i/>
          <w:iCs/>
          <w:lang w:val="es-ES"/>
        </w:rPr>
        <w:t>esencia</w:t>
      </w:r>
      <w:r w:rsidRPr="00D9137A">
        <w:rPr>
          <w:rFonts w:ascii="Verdana" w:eastAsia="Calibri" w:hAnsi="Verdana" w:cs="Arial"/>
          <w:lang w:val="es-ES"/>
        </w:rPr>
        <w:t xml:space="preserve"> son aquellos que, al cumplirse, marcan la existencia del contrato y le otorgan su identidad o tipología, permitiendo que no se confunda con otro contrato. Los de la </w:t>
      </w:r>
      <w:r w:rsidRPr="00D9137A">
        <w:rPr>
          <w:rFonts w:ascii="Verdana" w:eastAsia="Calibri" w:hAnsi="Verdana" w:cs="Arial"/>
          <w:i/>
          <w:iCs/>
          <w:lang w:val="es-ES"/>
        </w:rPr>
        <w:t>naturaleza</w:t>
      </w:r>
      <w:r w:rsidRPr="00D9137A">
        <w:rPr>
          <w:rFonts w:ascii="Verdana" w:eastAsia="Calibri" w:hAnsi="Verdana" w:cs="Arial"/>
          <w:lang w:val="es-ES"/>
        </w:rPr>
        <w:t xml:space="preserve"> son aquellos que, no siendo esenciales al contrato, se entienden incorporados por ministerio de la ley, aun ante el silencio de las partes. Y los </w:t>
      </w:r>
      <w:r w:rsidRPr="00D9137A">
        <w:rPr>
          <w:rFonts w:ascii="Verdana" w:eastAsia="Calibri" w:hAnsi="Verdana" w:cs="Arial"/>
          <w:i/>
          <w:iCs/>
          <w:lang w:val="es-ES"/>
        </w:rPr>
        <w:t>accidentales</w:t>
      </w:r>
      <w:r w:rsidRPr="00D9137A">
        <w:rPr>
          <w:rFonts w:ascii="Verdana" w:eastAsia="Calibri" w:hAnsi="Verdana" w:cs="Arial"/>
          <w:lang w:val="es-ES"/>
        </w:rPr>
        <w:t xml:space="preserve"> son los que las partes agregan en ejercicio de su autonomía de la voluntad, ya que no son ni esenciales, ni de la naturaleza del contrato</w:t>
      </w:r>
      <w:r w:rsidRPr="00D9137A">
        <w:rPr>
          <w:rStyle w:val="FootnoteReference"/>
          <w:rFonts w:ascii="Verdana" w:hAnsi="Verdana" w:cs="Arial"/>
          <w:lang w:val="es-ES"/>
        </w:rPr>
        <w:footnoteReference w:id="7"/>
      </w:r>
      <w:r w:rsidRPr="00D9137A">
        <w:rPr>
          <w:rFonts w:ascii="Verdana" w:eastAsia="Calibri" w:hAnsi="Verdana" w:cs="Arial"/>
          <w:lang w:val="es-ES"/>
        </w:rPr>
        <w:t>. Los requisitos de perfeccionamiento del contrato estatal ingresan dentro de los elementos de la esencia.</w:t>
      </w:r>
    </w:p>
    <w:p w14:paraId="598B815B" w14:textId="77777777" w:rsidR="00F324B1" w:rsidRPr="00D9137A" w:rsidRDefault="00F324B1" w:rsidP="00F324B1">
      <w:pPr>
        <w:spacing w:after="120" w:line="276" w:lineRule="auto"/>
        <w:ind w:firstLine="709"/>
        <w:jc w:val="both"/>
        <w:rPr>
          <w:rFonts w:ascii="Verdana" w:eastAsia="Calibri" w:hAnsi="Verdana" w:cs="Arial"/>
          <w:lang w:val="es-ES"/>
        </w:rPr>
      </w:pPr>
      <w:r w:rsidRPr="00D9137A">
        <w:rPr>
          <w:rFonts w:ascii="Verdana" w:eastAsia="Calibri" w:hAnsi="Verdana" w:cs="Arial"/>
          <w:lang w:val="es-ES"/>
        </w:rPr>
        <w:t xml:space="preserve">Además, los contratos –en términos generales– pueden ser: consensuales, reales o solemnes. Son </w:t>
      </w:r>
      <w:r w:rsidRPr="00D9137A">
        <w:rPr>
          <w:rFonts w:ascii="Verdana" w:eastAsia="Calibri" w:hAnsi="Verdana" w:cs="Arial"/>
          <w:i/>
          <w:iCs/>
          <w:lang w:val="es-ES"/>
        </w:rPr>
        <w:t>consensuales</w:t>
      </w:r>
      <w:r w:rsidRPr="00D9137A">
        <w:rPr>
          <w:rFonts w:ascii="Verdana" w:eastAsia="Calibri" w:hAnsi="Verdana" w:cs="Arial"/>
          <w:lang w:val="es-ES"/>
        </w:rPr>
        <w:t xml:space="preserve"> los que se perfeccionan con el consentimiento informal, pues no requieren de formalidades especiales. Son </w:t>
      </w:r>
      <w:r w:rsidRPr="00D9137A">
        <w:rPr>
          <w:rFonts w:ascii="Verdana" w:eastAsia="Calibri" w:hAnsi="Verdana" w:cs="Arial"/>
          <w:i/>
          <w:iCs/>
          <w:lang w:val="es-ES"/>
        </w:rPr>
        <w:t>reales</w:t>
      </w:r>
      <w:r w:rsidRPr="00D9137A">
        <w:rPr>
          <w:rFonts w:ascii="Verdana" w:eastAsia="Calibri" w:hAnsi="Verdana" w:cs="Arial"/>
          <w:lang w:val="es-ES"/>
        </w:rPr>
        <w:t xml:space="preserve"> aquellos que existen solo con la tradición o entrega de una cosa. Por su parte, son </w:t>
      </w:r>
      <w:r w:rsidRPr="00D9137A">
        <w:rPr>
          <w:rFonts w:ascii="Verdana" w:eastAsia="Calibri" w:hAnsi="Verdana" w:cs="Arial"/>
          <w:i/>
          <w:iCs/>
          <w:lang w:val="es-ES"/>
        </w:rPr>
        <w:t>solemnes</w:t>
      </w:r>
      <w:r w:rsidRPr="00D9137A">
        <w:rPr>
          <w:rFonts w:ascii="Verdana" w:eastAsia="Calibri" w:hAnsi="Verdana" w:cs="Arial"/>
          <w:lang w:val="es-ES"/>
        </w:rPr>
        <w:t xml:space="preserve"> aquellos contratos cuyo perfeccionamiento está revestido del cumplimiento de exigencias formales o ritualidades específicas</w:t>
      </w:r>
      <w:r w:rsidRPr="00D9137A">
        <w:rPr>
          <w:rStyle w:val="FootnoteReference"/>
          <w:rFonts w:ascii="Verdana" w:hAnsi="Verdana" w:cs="Arial"/>
          <w:lang w:val="es-ES"/>
        </w:rPr>
        <w:footnoteReference w:id="8"/>
      </w:r>
      <w:r w:rsidRPr="00D9137A">
        <w:rPr>
          <w:rFonts w:ascii="Verdana" w:eastAsia="Calibri" w:hAnsi="Verdana" w:cs="Arial"/>
          <w:lang w:val="es-ES"/>
        </w:rPr>
        <w:t>. Pues bien, los contratos estatales regulados por el EGCAP, por regla general, son solemnes, ya que solo se entienden celebrados si se cumplen ciertas formalidades. Esta regla general solo tiene una excepción</w:t>
      </w:r>
      <w:r w:rsidRPr="00D9137A">
        <w:rPr>
          <w:rStyle w:val="FootnoteReference"/>
          <w:rFonts w:ascii="Verdana" w:eastAsia="Calibri" w:hAnsi="Verdana" w:cs="Arial"/>
          <w:lang w:val="es-ES"/>
        </w:rPr>
        <w:footnoteReference w:id="9"/>
      </w:r>
      <w:r w:rsidRPr="00D9137A">
        <w:rPr>
          <w:rFonts w:ascii="Verdana" w:eastAsia="Calibri" w:hAnsi="Verdana" w:cs="Arial"/>
          <w:lang w:val="es-ES"/>
        </w:rPr>
        <w:t>.</w:t>
      </w:r>
    </w:p>
    <w:p w14:paraId="57EE776B" w14:textId="77777777" w:rsidR="00F324B1" w:rsidRPr="00D9137A" w:rsidRDefault="00F324B1" w:rsidP="00F324B1">
      <w:pPr>
        <w:spacing w:after="120" w:line="276" w:lineRule="auto"/>
        <w:ind w:firstLine="709"/>
        <w:jc w:val="both"/>
        <w:rPr>
          <w:rFonts w:ascii="Verdana" w:eastAsia="Calibri" w:hAnsi="Verdana" w:cs="Arial"/>
          <w:lang w:val="es-ES"/>
        </w:rPr>
      </w:pPr>
      <w:r w:rsidRPr="00D9137A">
        <w:rPr>
          <w:rFonts w:ascii="Verdana" w:eastAsia="Calibri" w:hAnsi="Verdana" w:cs="Arial"/>
          <w:lang w:val="es-ES"/>
        </w:rPr>
        <w:lastRenderedPageBreak/>
        <w:t>En efecto, el primer inciso del artículo 41 de la Ley 80 de 1993 establece que “</w:t>
      </w:r>
      <w:r w:rsidRPr="00D9137A">
        <w:rPr>
          <w:rFonts w:ascii="Verdana" w:eastAsia="Calibri" w:hAnsi="Verdana" w:cs="Arial"/>
          <w:i/>
          <w:iCs/>
          <w:lang w:val="es-ES"/>
        </w:rPr>
        <w:t>Los contratos del Estado se perfeccionan cuando se logre acuerdo sobre el objeto y la contraprestación y éste se eleve a escrito</w:t>
      </w:r>
      <w:r w:rsidRPr="00D9137A">
        <w:rPr>
          <w:rFonts w:ascii="Verdana" w:eastAsia="Calibri" w:hAnsi="Verdana" w:cs="Arial"/>
          <w:lang w:val="es-ES"/>
        </w:rPr>
        <w:t xml:space="preserve">”. Como se advierte, el legislador dispuso que para que el contrato estatal exista, no solo debe haber un acuerdo sobre la obligación principal del negocio –es decir, sobre el “objeto”– y sobre la contraprestación, sino que se debe plasmar por escrito. </w:t>
      </w:r>
    </w:p>
    <w:p w14:paraId="72682B45" w14:textId="77777777" w:rsidR="00F324B1" w:rsidRPr="00D9137A" w:rsidRDefault="00F324B1" w:rsidP="00F324B1">
      <w:pPr>
        <w:spacing w:after="120" w:line="276" w:lineRule="auto"/>
        <w:ind w:firstLine="709"/>
        <w:jc w:val="both"/>
        <w:rPr>
          <w:rFonts w:ascii="Verdana" w:eastAsia="Calibri" w:hAnsi="Verdana" w:cs="Arial"/>
          <w:lang w:val="es-ES"/>
        </w:rPr>
      </w:pPr>
      <w:r w:rsidRPr="00D9137A">
        <w:rPr>
          <w:rFonts w:ascii="Verdana" w:eastAsia="Calibri" w:hAnsi="Verdana" w:cs="Arial"/>
          <w:lang w:val="es-ES"/>
        </w:rPr>
        <w:t xml:space="preserve">Tal circunstancia le ha permitido a la doctrina concluir que el contrato estatal regulado en el EGCAP es “[…] </w:t>
      </w:r>
      <w:r w:rsidRPr="00D9137A">
        <w:rPr>
          <w:rFonts w:ascii="Verdana" w:eastAsia="Calibri" w:hAnsi="Verdana" w:cs="Arial"/>
          <w:i/>
          <w:iCs/>
          <w:lang w:val="es-ES"/>
        </w:rPr>
        <w:t xml:space="preserve">principalmente, solemne, ya que la manifestación de voluntad, si no se expresa bajo la forma ad </w:t>
      </w:r>
      <w:proofErr w:type="spellStart"/>
      <w:r w:rsidRPr="00D9137A">
        <w:rPr>
          <w:rFonts w:ascii="Verdana" w:eastAsia="Calibri" w:hAnsi="Verdana" w:cs="Arial"/>
          <w:i/>
          <w:iCs/>
          <w:lang w:val="es-ES"/>
        </w:rPr>
        <w:t>solemnitatem</w:t>
      </w:r>
      <w:proofErr w:type="spellEnd"/>
      <w:r w:rsidRPr="00D9137A">
        <w:rPr>
          <w:rFonts w:ascii="Verdana" w:eastAsia="Calibri" w:hAnsi="Verdana" w:cs="Arial"/>
          <w:i/>
          <w:iCs/>
          <w:lang w:val="es-ES"/>
        </w:rPr>
        <w:t xml:space="preserve"> o ad </w:t>
      </w:r>
      <w:proofErr w:type="spellStart"/>
      <w:r w:rsidRPr="00D9137A">
        <w:rPr>
          <w:rFonts w:ascii="Verdana" w:eastAsia="Calibri" w:hAnsi="Verdana" w:cs="Arial"/>
          <w:i/>
          <w:iCs/>
          <w:lang w:val="es-ES"/>
        </w:rPr>
        <w:t>substantiam</w:t>
      </w:r>
      <w:proofErr w:type="spellEnd"/>
      <w:r w:rsidRPr="00D9137A">
        <w:rPr>
          <w:rFonts w:ascii="Verdana" w:eastAsia="Calibri" w:hAnsi="Verdana" w:cs="Arial"/>
          <w:i/>
          <w:iCs/>
          <w:lang w:val="es-ES"/>
        </w:rPr>
        <w:t xml:space="preserve"> </w:t>
      </w:r>
      <w:proofErr w:type="spellStart"/>
      <w:r w:rsidRPr="00D9137A">
        <w:rPr>
          <w:rFonts w:ascii="Verdana" w:eastAsia="Calibri" w:hAnsi="Verdana" w:cs="Arial"/>
          <w:i/>
          <w:iCs/>
          <w:lang w:val="es-ES"/>
        </w:rPr>
        <w:t>actus</w:t>
      </w:r>
      <w:proofErr w:type="spellEnd"/>
      <w:r w:rsidRPr="00D9137A">
        <w:rPr>
          <w:rFonts w:ascii="Verdana" w:eastAsia="Calibri" w:hAnsi="Verdana" w:cs="Arial"/>
          <w:i/>
          <w:iCs/>
          <w:lang w:val="es-ES"/>
        </w:rPr>
        <w:t xml:space="preserve"> exigida por la ley, es inexistente, es decir, se entiende que el contrato jamás ha sido creado para el mundo jurídico”</w:t>
      </w:r>
      <w:r w:rsidRPr="00D9137A">
        <w:rPr>
          <w:rStyle w:val="FootnoteReference"/>
          <w:rFonts w:ascii="Verdana" w:hAnsi="Verdana" w:cs="Arial"/>
          <w:lang w:val="es-ES"/>
        </w:rPr>
        <w:footnoteReference w:id="10"/>
      </w:r>
      <w:r w:rsidRPr="00D9137A">
        <w:rPr>
          <w:rFonts w:ascii="Verdana" w:eastAsia="Calibri" w:hAnsi="Verdana" w:cs="Arial"/>
          <w:lang w:val="es-ES"/>
        </w:rPr>
        <w:t xml:space="preserve">. </w:t>
      </w:r>
    </w:p>
    <w:p w14:paraId="2150E962" w14:textId="77777777" w:rsidR="00F324B1" w:rsidRPr="00D9137A" w:rsidRDefault="00F324B1" w:rsidP="00F324B1">
      <w:pPr>
        <w:spacing w:after="0"/>
        <w:ind w:firstLine="708"/>
        <w:jc w:val="both"/>
        <w:rPr>
          <w:rFonts w:ascii="Verdana" w:eastAsia="Calibri" w:hAnsi="Verdana" w:cs="Arial"/>
          <w:lang w:val="es-ES"/>
        </w:rPr>
      </w:pPr>
      <w:r w:rsidRPr="00D9137A">
        <w:rPr>
          <w:rFonts w:ascii="Verdana" w:eastAsia="Calibri" w:hAnsi="Verdana" w:cs="Arial"/>
          <w:lang w:val="es-ES"/>
        </w:rPr>
        <w:t xml:space="preserve">Ahora bien, en relación con los </w:t>
      </w:r>
      <w:r w:rsidRPr="00D9137A">
        <w:rPr>
          <w:rFonts w:ascii="Verdana" w:eastAsia="Calibri" w:hAnsi="Verdana" w:cs="Arial"/>
          <w:i/>
          <w:iCs/>
          <w:lang w:val="es-ES"/>
        </w:rPr>
        <w:t>requisitos de ejecución</w:t>
      </w:r>
      <w:r w:rsidRPr="00D9137A">
        <w:rPr>
          <w:rFonts w:ascii="Verdana" w:eastAsia="Calibri" w:hAnsi="Verdana" w:cs="Arial"/>
          <w:lang w:val="es-ES"/>
        </w:rPr>
        <w:t xml:space="preserve"> debe señalarse que, estos posibilitan el inicio de la fase de realización de las actividades pactadas en el contrato, es decir, el cumplimiento del objeto del negocio jurídico. A partir de esta distinción, es posible encontrar contratos estatales –perfeccionados– respecto de los cuales aún falte satisfacer uno o varios requisitos de ejecución. Sobre el particular, el Consejo de Estado aclaró la diferencia entre el perfeccionamiento y la ejecución del contrato, de la siguiente manera:</w:t>
      </w:r>
    </w:p>
    <w:p w14:paraId="38161D0F" w14:textId="77777777" w:rsidR="00F324B1" w:rsidRPr="00D9137A" w:rsidRDefault="00F324B1" w:rsidP="00F324B1">
      <w:pPr>
        <w:spacing w:after="0"/>
        <w:jc w:val="both"/>
        <w:rPr>
          <w:rFonts w:ascii="Verdana" w:eastAsia="Calibri" w:hAnsi="Verdana" w:cs="Arial"/>
          <w:lang w:val="es-ES"/>
        </w:rPr>
      </w:pPr>
    </w:p>
    <w:p w14:paraId="436594BA" w14:textId="77777777" w:rsidR="00F324B1" w:rsidRPr="00B52B8D" w:rsidRDefault="00F324B1" w:rsidP="00F324B1">
      <w:pPr>
        <w:spacing w:after="0"/>
        <w:ind w:left="708" w:right="709"/>
        <w:jc w:val="both"/>
        <w:rPr>
          <w:rFonts w:ascii="Verdana" w:eastAsia="Calibri" w:hAnsi="Verdana" w:cs="Arial"/>
          <w:sz w:val="21"/>
          <w:szCs w:val="21"/>
          <w:lang w:val="es-ES"/>
        </w:rPr>
      </w:pPr>
      <w:r w:rsidRPr="00B52B8D">
        <w:rPr>
          <w:rFonts w:ascii="Verdana" w:eastAsia="Calibri" w:hAnsi="Verdana" w:cs="Arial"/>
          <w:sz w:val="21"/>
          <w:szCs w:val="21"/>
          <w:lang w:val="es-ES"/>
        </w:rPr>
        <w:t xml:space="preserve">“La Sala concluyó y ahora se reitera que i) la existencia del contrato no difiere de la perfección, esto es cumplidos los elementos esenciales que dan lugar al contrato no queda sino aceptar la relación jurídico contractual; </w:t>
      </w:r>
      <w:proofErr w:type="spellStart"/>
      <w:r w:rsidRPr="00B52B8D">
        <w:rPr>
          <w:rFonts w:ascii="Verdana" w:eastAsia="Calibri" w:hAnsi="Verdana" w:cs="Arial"/>
          <w:sz w:val="21"/>
          <w:szCs w:val="21"/>
          <w:lang w:val="es-ES"/>
        </w:rPr>
        <w:t>ii</w:t>
      </w:r>
      <w:proofErr w:type="spellEnd"/>
      <w:r w:rsidRPr="00B52B8D">
        <w:rPr>
          <w:rFonts w:ascii="Verdana" w:eastAsia="Calibri" w:hAnsi="Verdana" w:cs="Arial"/>
          <w:sz w:val="21"/>
          <w:szCs w:val="21"/>
          <w:lang w:val="es-ES"/>
        </w:rPr>
        <w:t xml:space="preserve">) por virtud de lo dispuesto en la Ley 80 de 1993 el contrato estatal existe, esto es, “se perfecciona” cuando “se logra acuerdo sobre el objeto y la contraprestación y éste se eleve a escrito”; </w:t>
      </w:r>
      <w:proofErr w:type="spellStart"/>
      <w:r w:rsidRPr="00B52B8D">
        <w:rPr>
          <w:rFonts w:ascii="Verdana" w:eastAsia="Calibri" w:hAnsi="Verdana" w:cs="Arial"/>
          <w:sz w:val="21"/>
          <w:szCs w:val="21"/>
          <w:lang w:val="es-ES"/>
        </w:rPr>
        <w:t>iii</w:t>
      </w:r>
      <w:proofErr w:type="spellEnd"/>
      <w:r w:rsidRPr="00B52B8D">
        <w:rPr>
          <w:rFonts w:ascii="Verdana" w:eastAsia="Calibri" w:hAnsi="Verdana" w:cs="Arial"/>
          <w:sz w:val="21"/>
          <w:szCs w:val="21"/>
          <w:lang w:val="es-ES"/>
        </w:rPr>
        <w:t xml:space="preserve">) es ejecutable cuando se cumplen las condiciones previstas en el inciso segundo del artículo 41 de la ley, interpretado en concordancia con lo dispuesto en el artículo 49 de la Ley 179 de 1994, compilado en el artículo 71 del Estatuto Orgánico de Presupuesto, Decreto Ley 111 de 1996 y </w:t>
      </w:r>
      <w:proofErr w:type="spellStart"/>
      <w:r w:rsidRPr="00B52B8D">
        <w:rPr>
          <w:rFonts w:ascii="Verdana" w:eastAsia="Calibri" w:hAnsi="Verdana" w:cs="Arial"/>
          <w:sz w:val="21"/>
          <w:szCs w:val="21"/>
          <w:lang w:val="es-ES"/>
        </w:rPr>
        <w:t>iv</w:t>
      </w:r>
      <w:proofErr w:type="spellEnd"/>
      <w:r w:rsidRPr="00B52B8D">
        <w:rPr>
          <w:rFonts w:ascii="Verdana" w:eastAsia="Calibri" w:hAnsi="Verdana" w:cs="Arial"/>
          <w:sz w:val="21"/>
          <w:szCs w:val="21"/>
          <w:lang w:val="es-ES"/>
        </w:rPr>
        <w:t>) el requisito relativo al registro presupuestal no es una condición de existencia del contrato estatal, es un requisito de ejecución”</w:t>
      </w:r>
      <w:r w:rsidRPr="00B52B8D">
        <w:rPr>
          <w:rStyle w:val="FootnoteReference"/>
          <w:rFonts w:ascii="Verdana" w:hAnsi="Verdana" w:cs="Arial"/>
          <w:sz w:val="21"/>
          <w:szCs w:val="21"/>
          <w:lang w:val="es-ES"/>
        </w:rPr>
        <w:footnoteReference w:id="11"/>
      </w:r>
      <w:r w:rsidRPr="00B52B8D">
        <w:rPr>
          <w:rFonts w:ascii="Verdana" w:eastAsia="Calibri" w:hAnsi="Verdana" w:cs="Arial"/>
          <w:sz w:val="21"/>
          <w:szCs w:val="21"/>
          <w:lang w:val="es-ES"/>
        </w:rPr>
        <w:t>.</w:t>
      </w:r>
    </w:p>
    <w:p w14:paraId="2B0779F7" w14:textId="77777777" w:rsidR="00F324B1" w:rsidRPr="00D9137A" w:rsidRDefault="00F324B1" w:rsidP="00F324B1">
      <w:pPr>
        <w:spacing w:after="0" w:line="276" w:lineRule="auto"/>
        <w:ind w:left="708"/>
        <w:jc w:val="both"/>
        <w:rPr>
          <w:rFonts w:ascii="Verdana" w:eastAsia="Calibri" w:hAnsi="Verdana" w:cs="Arial"/>
          <w:lang w:val="es-ES"/>
        </w:rPr>
      </w:pPr>
    </w:p>
    <w:p w14:paraId="58DEBCC4" w14:textId="77777777" w:rsidR="00F324B1" w:rsidRPr="00D9137A" w:rsidRDefault="00F324B1" w:rsidP="00F324B1">
      <w:pPr>
        <w:spacing w:after="120"/>
        <w:ind w:firstLine="708"/>
        <w:jc w:val="both"/>
        <w:rPr>
          <w:rFonts w:ascii="Verdana" w:eastAsia="Calibri" w:hAnsi="Verdana" w:cs="Arial"/>
          <w:lang w:val="es-ES"/>
        </w:rPr>
      </w:pPr>
      <w:r w:rsidRPr="00D9137A">
        <w:rPr>
          <w:rFonts w:ascii="Verdana" w:eastAsia="Calibri" w:hAnsi="Verdana" w:cs="Arial"/>
          <w:lang w:val="es-ES"/>
        </w:rPr>
        <w:t xml:space="preserve">En ese orden, los requisitos de ejecución de los contratos estatales pueden ser “legales” o “convencionales”. Los primeros son aquellos que se encuentran previstos en la ley. Los segundos son estipulados por las partes. En otros términos, los requisitos </w:t>
      </w:r>
      <w:r w:rsidRPr="00D9137A">
        <w:rPr>
          <w:rFonts w:ascii="Verdana" w:eastAsia="Calibri" w:hAnsi="Verdana" w:cs="Arial"/>
          <w:i/>
          <w:iCs/>
          <w:lang w:val="es-ES"/>
        </w:rPr>
        <w:t>legales</w:t>
      </w:r>
      <w:r w:rsidRPr="00D9137A">
        <w:rPr>
          <w:rFonts w:ascii="Verdana" w:eastAsia="Calibri" w:hAnsi="Verdana" w:cs="Arial"/>
          <w:lang w:val="es-ES"/>
        </w:rPr>
        <w:t xml:space="preserve"> de ejecución son elementos de la </w:t>
      </w:r>
      <w:r w:rsidRPr="00D9137A">
        <w:rPr>
          <w:rFonts w:ascii="Verdana" w:eastAsia="Calibri" w:hAnsi="Verdana" w:cs="Arial"/>
          <w:i/>
          <w:iCs/>
          <w:lang w:val="es-ES"/>
        </w:rPr>
        <w:t>naturaleza</w:t>
      </w:r>
      <w:r w:rsidRPr="00D9137A">
        <w:rPr>
          <w:rFonts w:ascii="Verdana" w:eastAsia="Calibri" w:hAnsi="Verdana" w:cs="Arial"/>
          <w:lang w:val="es-ES"/>
        </w:rPr>
        <w:t xml:space="preserve">, mientras que los requisitos </w:t>
      </w:r>
      <w:r w:rsidRPr="00D9137A">
        <w:rPr>
          <w:rFonts w:ascii="Verdana" w:eastAsia="Calibri" w:hAnsi="Verdana" w:cs="Arial"/>
          <w:i/>
          <w:iCs/>
          <w:lang w:val="es-ES"/>
        </w:rPr>
        <w:t>convencionales</w:t>
      </w:r>
      <w:r w:rsidRPr="00D9137A">
        <w:rPr>
          <w:rFonts w:ascii="Verdana" w:eastAsia="Calibri" w:hAnsi="Verdana" w:cs="Arial"/>
          <w:lang w:val="es-ES"/>
        </w:rPr>
        <w:t xml:space="preserve"> de ejecución son elementos </w:t>
      </w:r>
      <w:r w:rsidRPr="00D9137A">
        <w:rPr>
          <w:rFonts w:ascii="Verdana" w:eastAsia="Calibri" w:hAnsi="Verdana" w:cs="Arial"/>
          <w:i/>
          <w:iCs/>
          <w:lang w:val="es-ES"/>
        </w:rPr>
        <w:t>accidentales</w:t>
      </w:r>
      <w:r w:rsidRPr="00D9137A">
        <w:rPr>
          <w:rFonts w:ascii="Verdana" w:eastAsia="Calibri" w:hAnsi="Verdana" w:cs="Arial"/>
          <w:lang w:val="es-ES"/>
        </w:rPr>
        <w:t xml:space="preserve">. </w:t>
      </w:r>
    </w:p>
    <w:p w14:paraId="73FC8258" w14:textId="77777777" w:rsidR="00F324B1" w:rsidRPr="00D9137A" w:rsidRDefault="00F324B1" w:rsidP="00F324B1">
      <w:pPr>
        <w:spacing w:after="0"/>
        <w:ind w:firstLine="708"/>
        <w:jc w:val="both"/>
        <w:rPr>
          <w:rFonts w:ascii="Verdana" w:eastAsia="Calibri" w:hAnsi="Verdana" w:cs="Arial"/>
          <w:lang w:val="es-ES"/>
        </w:rPr>
      </w:pPr>
      <w:r w:rsidRPr="00D9137A">
        <w:rPr>
          <w:rFonts w:ascii="Verdana" w:eastAsia="Calibri" w:hAnsi="Verdana" w:cs="Arial"/>
          <w:lang w:val="es-ES"/>
        </w:rPr>
        <w:t xml:space="preserve">En efecto, el segundo inciso del artículo 41 de la Ley 80 de 1993, modificado por el artículo 23 de la Ley 1150 de 2007 establece los requisitos </w:t>
      </w:r>
      <w:r w:rsidRPr="00D9137A">
        <w:rPr>
          <w:rFonts w:ascii="Verdana" w:eastAsia="Calibri" w:hAnsi="Verdana" w:cs="Arial"/>
          <w:i/>
          <w:iCs/>
          <w:lang w:val="es-ES"/>
        </w:rPr>
        <w:t xml:space="preserve">legales </w:t>
      </w:r>
      <w:r w:rsidRPr="00D9137A">
        <w:rPr>
          <w:rFonts w:ascii="Verdana" w:eastAsia="Calibri" w:hAnsi="Verdana" w:cs="Arial"/>
          <w:lang w:val="es-ES"/>
        </w:rPr>
        <w:t xml:space="preserve">de </w:t>
      </w:r>
      <w:r w:rsidRPr="00D9137A">
        <w:rPr>
          <w:rFonts w:ascii="Verdana" w:eastAsia="Calibri" w:hAnsi="Verdana" w:cs="Arial"/>
          <w:i/>
          <w:iCs/>
          <w:lang w:val="es-ES"/>
        </w:rPr>
        <w:t>ejecución</w:t>
      </w:r>
      <w:r w:rsidRPr="00D9137A">
        <w:rPr>
          <w:rFonts w:ascii="Verdana" w:eastAsia="Calibri" w:hAnsi="Verdana" w:cs="Arial"/>
          <w:lang w:val="es-ES"/>
        </w:rPr>
        <w:t xml:space="preserve"> de los contratos estatales de la siguiente manera:</w:t>
      </w:r>
    </w:p>
    <w:p w14:paraId="39214D53" w14:textId="77777777" w:rsidR="00F324B1" w:rsidRPr="00D9137A" w:rsidRDefault="00F324B1" w:rsidP="00F324B1">
      <w:pPr>
        <w:spacing w:after="0" w:line="276" w:lineRule="auto"/>
        <w:jc w:val="both"/>
        <w:rPr>
          <w:rFonts w:ascii="Verdana" w:eastAsia="Calibri" w:hAnsi="Verdana" w:cs="Arial"/>
          <w:i/>
          <w:iCs/>
          <w:lang w:val="es-ES"/>
        </w:rPr>
      </w:pPr>
    </w:p>
    <w:p w14:paraId="4DA03D99" w14:textId="77777777" w:rsidR="00F324B1" w:rsidRPr="00B52B8D" w:rsidRDefault="00F324B1" w:rsidP="00F324B1">
      <w:pPr>
        <w:spacing w:after="0" w:line="240" w:lineRule="auto"/>
        <w:ind w:left="709" w:right="709"/>
        <w:jc w:val="both"/>
        <w:rPr>
          <w:rFonts w:ascii="Verdana" w:eastAsia="Calibri" w:hAnsi="Verdana" w:cs="Arial"/>
          <w:sz w:val="21"/>
          <w:szCs w:val="21"/>
          <w:lang w:val="es-ES"/>
        </w:rPr>
      </w:pPr>
      <w:r w:rsidRPr="00B52B8D">
        <w:rPr>
          <w:rFonts w:ascii="Verdana" w:eastAsia="Calibri" w:hAnsi="Verdana" w:cs="Arial"/>
          <w:sz w:val="21"/>
          <w:szCs w:val="21"/>
          <w:lang w:val="es-ES"/>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 </w:t>
      </w:r>
    </w:p>
    <w:p w14:paraId="1767E542" w14:textId="77777777" w:rsidR="00F324B1" w:rsidRPr="00D9137A" w:rsidRDefault="00F324B1" w:rsidP="00F324B1">
      <w:pPr>
        <w:spacing w:after="0" w:line="276" w:lineRule="auto"/>
        <w:jc w:val="both"/>
        <w:rPr>
          <w:rFonts w:ascii="Verdana" w:eastAsia="Calibri" w:hAnsi="Verdana" w:cs="Arial"/>
          <w:lang w:val="es-ES"/>
        </w:rPr>
      </w:pPr>
    </w:p>
    <w:p w14:paraId="07D2E42E" w14:textId="77777777" w:rsidR="00F324B1" w:rsidRPr="00D9137A" w:rsidRDefault="00F324B1" w:rsidP="00F324B1">
      <w:pPr>
        <w:spacing w:after="120" w:line="276" w:lineRule="auto"/>
        <w:ind w:firstLine="708"/>
        <w:jc w:val="both"/>
        <w:rPr>
          <w:rFonts w:ascii="Verdana" w:eastAsia="Calibri" w:hAnsi="Verdana" w:cs="Arial"/>
          <w:lang w:val="es-ES"/>
        </w:rPr>
      </w:pPr>
      <w:r w:rsidRPr="00D9137A">
        <w:rPr>
          <w:rFonts w:ascii="Verdana" w:eastAsia="Calibri" w:hAnsi="Verdana" w:cs="Arial"/>
          <w:lang w:val="es-ES"/>
        </w:rPr>
        <w:t xml:space="preserve">Como puede observarse, los requisitos </w:t>
      </w:r>
      <w:r w:rsidRPr="00D9137A">
        <w:rPr>
          <w:rFonts w:ascii="Verdana" w:eastAsia="Calibri" w:hAnsi="Verdana" w:cs="Arial"/>
          <w:i/>
          <w:iCs/>
          <w:lang w:val="es-ES"/>
        </w:rPr>
        <w:t>legales</w:t>
      </w:r>
      <w:r w:rsidRPr="00D9137A">
        <w:rPr>
          <w:rFonts w:ascii="Verdana" w:eastAsia="Calibri" w:hAnsi="Verdana" w:cs="Arial"/>
          <w:lang w:val="es-ES"/>
        </w:rPr>
        <w:t xml:space="preserve"> de ejecución son: (i) la aprobación de las garantías exigidas en el contrato, (</w:t>
      </w:r>
      <w:proofErr w:type="spellStart"/>
      <w:r w:rsidRPr="00D9137A">
        <w:rPr>
          <w:rFonts w:ascii="Verdana" w:eastAsia="Calibri" w:hAnsi="Verdana" w:cs="Arial"/>
          <w:lang w:val="es-ES"/>
        </w:rPr>
        <w:t>ii</w:t>
      </w:r>
      <w:proofErr w:type="spellEnd"/>
      <w:r w:rsidRPr="00D9137A">
        <w:rPr>
          <w:rFonts w:ascii="Verdana" w:eastAsia="Calibri" w:hAnsi="Verdana" w:cs="Arial"/>
          <w:lang w:val="es-ES"/>
        </w:rPr>
        <w:t xml:space="preserve">) la existencia de </w:t>
      </w:r>
      <w:r w:rsidRPr="00D9137A">
        <w:rPr>
          <w:rFonts w:ascii="Verdana" w:eastAsia="Calibri" w:hAnsi="Verdana" w:cs="Arial"/>
          <w:i/>
          <w:iCs/>
          <w:lang w:val="es-ES"/>
        </w:rPr>
        <w:t>la apropiación presupuestal correspondiente</w:t>
      </w:r>
      <w:r w:rsidRPr="00D9137A">
        <w:rPr>
          <w:rFonts w:ascii="Verdana" w:eastAsia="Calibri" w:hAnsi="Verdana" w:cs="Arial"/>
          <w:lang w:val="es-ES"/>
        </w:rPr>
        <w:t xml:space="preserve"> y (</w:t>
      </w:r>
      <w:proofErr w:type="spellStart"/>
      <w:r w:rsidRPr="00D9137A">
        <w:rPr>
          <w:rFonts w:ascii="Verdana" w:eastAsia="Calibri" w:hAnsi="Verdana" w:cs="Arial"/>
          <w:lang w:val="es-ES"/>
        </w:rPr>
        <w:t>iii</w:t>
      </w:r>
      <w:proofErr w:type="spellEnd"/>
      <w:r w:rsidRPr="00D9137A">
        <w:rPr>
          <w:rFonts w:ascii="Verdana" w:eastAsia="Calibri" w:hAnsi="Verdana" w:cs="Arial"/>
          <w:lang w:val="es-ES"/>
        </w:rPr>
        <w:t xml:space="preserve">) la acreditación del cumplimiento de las obligaciones con el Sistema de Seguridad Social Integral. </w:t>
      </w:r>
      <w:r w:rsidRPr="00D9137A">
        <w:rPr>
          <w:lang w:val="es-ES"/>
        </w:rPr>
        <w:tab/>
      </w:r>
    </w:p>
    <w:p w14:paraId="40886BF6" w14:textId="77777777" w:rsidR="00F324B1" w:rsidRPr="00D9137A" w:rsidRDefault="00F324B1" w:rsidP="00F324B1">
      <w:pPr>
        <w:spacing w:after="120" w:line="276" w:lineRule="auto"/>
        <w:ind w:firstLine="708"/>
        <w:jc w:val="both"/>
        <w:rPr>
          <w:rFonts w:ascii="Verdana" w:eastAsia="Calibri" w:hAnsi="Verdana" w:cs="Arial"/>
          <w:lang w:val="es-ES"/>
        </w:rPr>
      </w:pPr>
      <w:r w:rsidRPr="00D9137A">
        <w:rPr>
          <w:rFonts w:ascii="Verdana" w:eastAsia="Calibri" w:hAnsi="Verdana" w:cs="Arial"/>
          <w:lang w:val="es-ES"/>
        </w:rPr>
        <w:t xml:space="preserve">Por su parte, serán requisitos </w:t>
      </w:r>
      <w:r w:rsidRPr="00D9137A">
        <w:rPr>
          <w:rFonts w:ascii="Verdana" w:eastAsia="Calibri" w:hAnsi="Verdana" w:cs="Arial"/>
          <w:i/>
          <w:iCs/>
          <w:lang w:val="es-ES"/>
        </w:rPr>
        <w:t xml:space="preserve">convencionales </w:t>
      </w:r>
      <w:r w:rsidRPr="00D9137A">
        <w:rPr>
          <w:rFonts w:ascii="Verdana" w:eastAsia="Calibri" w:hAnsi="Verdana" w:cs="Arial"/>
          <w:lang w:val="es-ES"/>
        </w:rPr>
        <w:t>aquellos que no se encuentran consagrados en la ley, sino que se pactan en la minuta del contrato o que el contratista acepta al momento de adherirse al clausulado del pliego de condiciones o documento equivalente.</w:t>
      </w:r>
    </w:p>
    <w:p w14:paraId="4CA29F7F" w14:textId="77777777" w:rsidR="00F324B1" w:rsidRPr="00D9137A" w:rsidRDefault="00F324B1" w:rsidP="00F324B1">
      <w:pPr>
        <w:spacing w:after="120" w:line="276" w:lineRule="auto"/>
        <w:ind w:firstLine="708"/>
        <w:jc w:val="both"/>
        <w:rPr>
          <w:rFonts w:ascii="Verdana" w:eastAsia="Calibri" w:hAnsi="Verdana" w:cs="Arial"/>
          <w:lang w:val="es-ES"/>
        </w:rPr>
      </w:pPr>
      <w:r w:rsidRPr="00D9137A">
        <w:rPr>
          <w:rFonts w:ascii="Verdana" w:eastAsia="Calibri" w:hAnsi="Verdana" w:cs="Arial"/>
          <w:lang w:val="es-ES"/>
        </w:rPr>
        <w:t xml:space="preserve">Ahora bien, </w:t>
      </w:r>
      <w:r w:rsidRPr="00D9137A">
        <w:rPr>
          <w:rFonts w:ascii="Verdana" w:eastAsia="Times New Roman" w:hAnsi="Verdana" w:cs="Arial"/>
          <w:color w:val="1A1A1A" w:themeColor="background1" w:themeShade="1A"/>
          <w:lang w:val="es-ES" w:eastAsia="es-ES_tradnl"/>
        </w:rPr>
        <w:t xml:space="preserve">conforme al artículo 41 de la Ley 80 de 1993, el Registro Presupuestal es necesario para </w:t>
      </w:r>
      <w:r w:rsidRPr="00D9137A">
        <w:rPr>
          <w:rFonts w:ascii="Verdana" w:eastAsia="Times New Roman" w:hAnsi="Verdana" w:cs="Arial"/>
          <w:i/>
          <w:iCs/>
          <w:color w:val="1A1A1A" w:themeColor="background1" w:themeShade="1A"/>
          <w:lang w:val="es-ES" w:eastAsia="es-ES_tradnl"/>
        </w:rPr>
        <w:t>iniciar la ejecución</w:t>
      </w:r>
      <w:r w:rsidRPr="00D9137A">
        <w:rPr>
          <w:rFonts w:ascii="Verdana" w:eastAsia="Times New Roman" w:hAnsi="Verdana" w:cs="Arial"/>
          <w:color w:val="1A1A1A" w:themeColor="background1" w:themeShade="1A"/>
          <w:lang w:val="es-ES" w:eastAsia="es-ES_tradnl"/>
        </w:rPr>
        <w:t xml:space="preserve"> del contrato, una vez se tenga definido el valor y el plazo. En concordancia con lo anterior, el Consejo de Estado expresó respecto de la disponibilidad y el compromiso presupuestal, que:</w:t>
      </w:r>
    </w:p>
    <w:p w14:paraId="3D596BC7" w14:textId="0052FEA4" w:rsidR="00F324B1" w:rsidRPr="002F2A8C" w:rsidRDefault="00F324B1" w:rsidP="002F2A8C">
      <w:pPr>
        <w:pStyle w:val="ListParagraph"/>
        <w:tabs>
          <w:tab w:val="left" w:pos="8222"/>
        </w:tabs>
        <w:spacing w:after="0" w:line="240" w:lineRule="auto"/>
        <w:ind w:left="851" w:right="616"/>
        <w:jc w:val="both"/>
        <w:rPr>
          <w:rFonts w:ascii="Verdana" w:eastAsia="Times New Roman" w:hAnsi="Verdana" w:cs="Arial"/>
          <w:color w:val="000000" w:themeColor="text1"/>
          <w:sz w:val="21"/>
          <w:szCs w:val="21"/>
          <w:u w:val="single"/>
          <w:lang w:eastAsia="es-ES_tradnl"/>
        </w:rPr>
      </w:pPr>
      <w:r w:rsidRPr="00B52B8D">
        <w:rPr>
          <w:rFonts w:ascii="Verdana" w:eastAsia="Times New Roman" w:hAnsi="Verdana" w:cs="Arial"/>
          <w:color w:val="000000" w:themeColor="text1"/>
          <w:sz w:val="21"/>
          <w:szCs w:val="21"/>
          <w:lang w:eastAsia="es-ES_tradnl"/>
        </w:rPr>
        <w:t xml:space="preserve">“En virtud de la expedición del certificado de disponibilidad presupuestal la entidad imprime fe de que existen los fondos necesarios para contraer determinadas obligaciones. Sin embargo, en virtud del certificado no se afecta de manera inmediata la respectiva </w:t>
      </w:r>
      <w:r w:rsidRPr="00B52B8D">
        <w:rPr>
          <w:rFonts w:ascii="Verdana" w:eastAsia="Times New Roman" w:hAnsi="Verdana" w:cs="Arial"/>
          <w:color w:val="000000" w:themeColor="text1"/>
          <w:sz w:val="21"/>
          <w:szCs w:val="21"/>
          <w:lang w:eastAsia="es-ES_tradnl"/>
        </w:rPr>
        <w:lastRenderedPageBreak/>
        <w:t xml:space="preserve">apropiación, simplemente la aparta de forma transitoria mientras se lleva a cabo el perfeccionamiento del compromiso presupuestal, lo cual se logra a través del registro presupuestal. En otras palabras, </w:t>
      </w:r>
      <w:r w:rsidRPr="00B52B8D">
        <w:rPr>
          <w:rFonts w:ascii="Verdana" w:eastAsia="Times New Roman" w:hAnsi="Verdana" w:cs="Arial"/>
          <w:color w:val="000000" w:themeColor="text1"/>
          <w:sz w:val="21"/>
          <w:szCs w:val="21"/>
          <w:u w:val="single"/>
          <w:lang w:eastAsia="es-ES_tradnl"/>
        </w:rPr>
        <w:t>el registro presupuestal es el mecanismo mediante el cual se afecta la apropiación de forma definitiva, acto que si bien a su turno se traduce en el perfeccionamiento del compromiso presupuestal no es lo mismo que el perfeccionamiento del contrato en tanto el registro se obtiene luego de que el contrato nace a la vida jurídica y no antes y además no consulta un consenso entre las</w:t>
      </w:r>
      <w:r w:rsidRPr="00B52B8D">
        <w:rPr>
          <w:rFonts w:ascii="Verdana" w:eastAsia="Times New Roman" w:hAnsi="Verdana" w:cs="Arial"/>
          <w:color w:val="000000" w:themeColor="text1"/>
          <w:spacing w:val="-3"/>
          <w:sz w:val="21"/>
          <w:szCs w:val="21"/>
          <w:u w:val="single"/>
          <w:lang w:eastAsia="es-ES_tradnl"/>
        </w:rPr>
        <w:t xml:space="preserve"> </w:t>
      </w:r>
      <w:r w:rsidRPr="00B52B8D">
        <w:rPr>
          <w:rFonts w:ascii="Verdana" w:eastAsia="Times New Roman" w:hAnsi="Verdana" w:cs="Arial"/>
          <w:color w:val="000000" w:themeColor="text1"/>
          <w:sz w:val="21"/>
          <w:szCs w:val="21"/>
          <w:u w:val="single"/>
          <w:lang w:eastAsia="es-ES_tradnl"/>
        </w:rPr>
        <w:t>partes</w:t>
      </w:r>
      <w:r w:rsidRPr="00B52B8D">
        <w:rPr>
          <w:rStyle w:val="FootnoteReference"/>
          <w:rFonts w:ascii="Verdana" w:eastAsia="Times New Roman" w:hAnsi="Verdana" w:cs="Arial"/>
          <w:color w:val="000000" w:themeColor="text1"/>
          <w:sz w:val="21"/>
          <w:szCs w:val="21"/>
          <w:u w:val="single"/>
          <w:lang w:eastAsia="es-ES_tradnl"/>
        </w:rPr>
        <w:footnoteReference w:id="12"/>
      </w:r>
      <w:r w:rsidRPr="00B52B8D">
        <w:rPr>
          <w:rFonts w:ascii="Verdana" w:eastAsia="Times New Roman" w:hAnsi="Verdana" w:cs="Arial"/>
          <w:color w:val="000000" w:themeColor="text1"/>
          <w:sz w:val="21"/>
          <w:szCs w:val="21"/>
          <w:u w:val="single"/>
          <w:lang w:eastAsia="es-ES_tradnl"/>
        </w:rPr>
        <w:t>.</w:t>
      </w:r>
      <w:r w:rsidRPr="00B52B8D">
        <w:rPr>
          <w:rFonts w:ascii="Verdana" w:eastAsia="Times New Roman" w:hAnsi="Verdana" w:cs="Arial"/>
          <w:color w:val="000000" w:themeColor="text1"/>
          <w:sz w:val="21"/>
          <w:szCs w:val="21"/>
          <w:lang w:eastAsia="es-ES_tradnl"/>
        </w:rPr>
        <w:t xml:space="preserve"> (Subrayado fuera de texto)</w:t>
      </w:r>
    </w:p>
    <w:p w14:paraId="2A8894B9" w14:textId="77777777" w:rsidR="00F324B1" w:rsidRPr="00D9137A" w:rsidRDefault="00F324B1" w:rsidP="00F324B1">
      <w:pPr>
        <w:pStyle w:val="ListParagraph"/>
        <w:spacing w:after="0" w:line="240" w:lineRule="auto"/>
        <w:ind w:left="1491" w:right="357"/>
        <w:jc w:val="both"/>
        <w:rPr>
          <w:rFonts w:ascii="Verdana" w:eastAsia="Times New Roman" w:hAnsi="Verdana" w:cs="Arial"/>
          <w:color w:val="000000" w:themeColor="text1"/>
          <w:sz w:val="20"/>
          <w:szCs w:val="20"/>
          <w:lang w:eastAsia="es-ES_tradnl"/>
        </w:rPr>
      </w:pPr>
    </w:p>
    <w:p w14:paraId="54BE5878" w14:textId="77777777" w:rsidR="00F324B1" w:rsidRPr="00D9137A" w:rsidRDefault="00F324B1" w:rsidP="00F324B1">
      <w:pPr>
        <w:spacing w:after="120" w:line="276" w:lineRule="auto"/>
        <w:ind w:firstLine="709"/>
        <w:jc w:val="both"/>
        <w:rPr>
          <w:rFonts w:ascii="Verdana" w:eastAsia="Times New Roman" w:hAnsi="Verdana" w:cs="Arial"/>
          <w:color w:val="1A1A1A" w:themeColor="background1" w:themeShade="1A"/>
          <w:lang w:val="es-ES" w:eastAsia="es-ES_tradnl"/>
        </w:rPr>
      </w:pPr>
      <w:r w:rsidRPr="00D9137A">
        <w:rPr>
          <w:rFonts w:ascii="Verdana" w:eastAsia="Times New Roman" w:hAnsi="Verdana" w:cs="Arial"/>
          <w:color w:val="1A1A1A" w:themeColor="background1" w:themeShade="1A"/>
          <w:lang w:val="es-ES" w:eastAsia="es-ES_tradnl"/>
        </w:rPr>
        <w:t xml:space="preserve">Al ser un requisito de ejecución del contrato, el Registro Presupuestal normalmente se expide </w:t>
      </w:r>
      <w:r w:rsidRPr="00D9137A">
        <w:rPr>
          <w:rFonts w:ascii="Verdana" w:eastAsia="Times New Roman" w:hAnsi="Verdana" w:cs="Arial"/>
          <w:i/>
          <w:iCs/>
          <w:color w:val="1A1A1A" w:themeColor="background1" w:themeShade="1A"/>
          <w:lang w:val="es-ES" w:eastAsia="es-ES_tradnl"/>
        </w:rPr>
        <w:t>después de celebrado el contrato</w:t>
      </w:r>
      <w:r w:rsidRPr="00D9137A">
        <w:rPr>
          <w:rFonts w:ascii="Verdana" w:eastAsia="Times New Roman" w:hAnsi="Verdana" w:cs="Arial"/>
          <w:color w:val="1A1A1A" w:themeColor="background1" w:themeShade="1A"/>
          <w:lang w:val="es-ES" w:eastAsia="es-ES_tradnl"/>
        </w:rPr>
        <w:t>, tal como se desprende de lo establecido en el inciso segundo del artículo 41 de la Ley 80 de 1993. En todo caso, esta Agencia considera que lo importante es que se hubiere expedido antes del inicio de la ejecución contractual, por lo que su expedición previa no afecta la validez del contrato estatal.</w:t>
      </w:r>
    </w:p>
    <w:p w14:paraId="2554D693" w14:textId="77777777" w:rsidR="00F324B1" w:rsidRPr="00D9137A" w:rsidRDefault="00F324B1" w:rsidP="00F324B1">
      <w:pPr>
        <w:spacing w:after="120" w:line="276" w:lineRule="auto"/>
        <w:ind w:firstLine="709"/>
        <w:jc w:val="both"/>
        <w:rPr>
          <w:rFonts w:ascii="Verdana" w:eastAsia="Times New Roman" w:hAnsi="Verdana" w:cs="Arial"/>
          <w:color w:val="1A1A1A" w:themeColor="background1" w:themeShade="1A"/>
          <w:lang w:val="es-ES" w:eastAsia="es-ES_tradnl"/>
        </w:rPr>
      </w:pPr>
      <w:r w:rsidRPr="00D9137A">
        <w:rPr>
          <w:rFonts w:ascii="Verdana" w:eastAsia="Times New Roman" w:hAnsi="Verdana" w:cs="Arial"/>
          <w:color w:val="1A1A1A" w:themeColor="background1" w:themeShade="1A"/>
          <w:lang w:val="es-ES" w:eastAsia="es-ES_tradnl"/>
        </w:rPr>
        <w:t xml:space="preserve">En suma, el registro presupuestal no constituye un requisito para la celebración o perfeccionamiento del contrato estatal. Dado que las prohibiciones establecidas en los artículos 33 y el parágrafo del artículo 38 de la Ley de Garantías Electorales se refieren a la celebración directa de contratos y de convenios administrativos, respectivamente, el cumplimiento de requisitos asociados a la ejecución de dichos contratos, como es el caso de la expedición del registro presupuestal, no se encuentra restringido. En consecuencia, las entidades podrán realizar la apropiación presupuestal y expedir este documento durante el periodo prelectoral señalado en los artículos 33 y 38 con respecto a </w:t>
      </w:r>
      <w:r>
        <w:rPr>
          <w:rFonts w:ascii="Verdana" w:eastAsia="Times New Roman" w:hAnsi="Verdana" w:cs="Arial"/>
          <w:color w:val="1A1A1A" w:themeColor="background1" w:themeShade="1A"/>
          <w:lang w:val="es-ES" w:eastAsia="es-ES_tradnl"/>
        </w:rPr>
        <w:t xml:space="preserve">los </w:t>
      </w:r>
      <w:r w:rsidRPr="00D9137A">
        <w:rPr>
          <w:rFonts w:ascii="Verdana" w:eastAsia="Times New Roman" w:hAnsi="Verdana" w:cs="Arial"/>
          <w:color w:val="1A1A1A" w:themeColor="background1" w:themeShade="1A"/>
          <w:lang w:val="es-ES" w:eastAsia="es-ES_tradnl"/>
        </w:rPr>
        <w:t xml:space="preserve">contratos </w:t>
      </w:r>
      <w:r>
        <w:rPr>
          <w:rFonts w:ascii="Verdana" w:eastAsia="Times New Roman" w:hAnsi="Verdana" w:cs="Arial"/>
          <w:color w:val="1A1A1A" w:themeColor="background1" w:themeShade="1A"/>
          <w:lang w:val="es-ES" w:eastAsia="es-ES_tradnl"/>
        </w:rPr>
        <w:t>que hayan c</w:t>
      </w:r>
      <w:r w:rsidRPr="00D9137A">
        <w:rPr>
          <w:rFonts w:ascii="Verdana" w:eastAsia="Times New Roman" w:hAnsi="Verdana" w:cs="Arial"/>
          <w:color w:val="1A1A1A" w:themeColor="background1" w:themeShade="1A"/>
          <w:lang w:val="es-ES" w:eastAsia="es-ES_tradnl"/>
        </w:rPr>
        <w:t>elebrado previamente.</w:t>
      </w:r>
    </w:p>
    <w:bookmarkEnd w:id="2"/>
    <w:p w14:paraId="42B89D38" w14:textId="77777777" w:rsidR="00F324B1" w:rsidRPr="00D9137A" w:rsidRDefault="00F324B1" w:rsidP="00F324B1">
      <w:pPr>
        <w:spacing w:after="0" w:line="276" w:lineRule="auto"/>
        <w:jc w:val="both"/>
        <w:rPr>
          <w:rFonts w:ascii="Verdana" w:eastAsia="Calibri" w:hAnsi="Verdana" w:cs="Arial"/>
          <w:color w:val="000000" w:themeColor="text1"/>
          <w:lang w:val="es-ES"/>
        </w:rPr>
      </w:pPr>
    </w:p>
    <w:p w14:paraId="3F7442B0" w14:textId="77777777" w:rsidR="00F324B1" w:rsidRPr="00D9137A" w:rsidRDefault="00F324B1" w:rsidP="00F324B1">
      <w:pPr>
        <w:pStyle w:val="ListParagraph"/>
        <w:numPr>
          <w:ilvl w:val="0"/>
          <w:numId w:val="16"/>
        </w:numPr>
        <w:spacing w:line="276" w:lineRule="auto"/>
        <w:jc w:val="both"/>
        <w:rPr>
          <w:rFonts w:ascii="Verdana" w:eastAsia="Century Gothic" w:hAnsi="Verdana" w:cs="Century Gothic"/>
          <w:b/>
          <w:bCs/>
          <w:color w:val="000000" w:themeColor="text1"/>
        </w:rPr>
      </w:pPr>
      <w:r w:rsidRPr="00D9137A">
        <w:rPr>
          <w:rFonts w:ascii="Verdana" w:eastAsia="Century Gothic" w:hAnsi="Verdana" w:cs="Century Gothic"/>
          <w:b/>
          <w:bCs/>
          <w:color w:val="000000" w:themeColor="text1"/>
        </w:rPr>
        <w:t>Referencias normativas, jurisprudenciales y otras fuentes:</w:t>
      </w:r>
    </w:p>
    <w:p w14:paraId="6A2F2F81" w14:textId="77777777" w:rsidR="00F324B1" w:rsidRPr="00D9137A" w:rsidRDefault="00F324B1" w:rsidP="00F324B1">
      <w:pPr>
        <w:pStyle w:val="ListParagraph"/>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324B1" w:rsidRPr="00D9137A" w14:paraId="2CCC551D" w14:textId="77777777" w:rsidTr="0036622E">
        <w:trPr>
          <w:trHeight w:val="870"/>
        </w:trPr>
        <w:tc>
          <w:tcPr>
            <w:tcW w:w="8647" w:type="dxa"/>
          </w:tcPr>
          <w:p w14:paraId="2F3E5256" w14:textId="77777777" w:rsidR="00F324B1" w:rsidRPr="00D9137A" w:rsidRDefault="00F324B1" w:rsidP="0036622E">
            <w:pPr>
              <w:pStyle w:val="ListParagraph"/>
              <w:numPr>
                <w:ilvl w:val="0"/>
                <w:numId w:val="17"/>
              </w:numPr>
              <w:snapToGrid w:val="0"/>
              <w:spacing w:before="120" w:after="120" w:line="276" w:lineRule="auto"/>
              <w:ind w:left="714" w:hanging="357"/>
              <w:contextualSpacing w:val="0"/>
              <w:jc w:val="both"/>
              <w:rPr>
                <w:rFonts w:ascii="Verdana" w:hAnsi="Verdana"/>
              </w:rPr>
            </w:pPr>
            <w:r w:rsidRPr="00D9137A">
              <w:rPr>
                <w:rFonts w:ascii="Verdana" w:hAnsi="Verdana"/>
              </w:rPr>
              <w:t xml:space="preserve">Código Civil. Artículo 1501. </w:t>
            </w:r>
          </w:p>
          <w:p w14:paraId="04E98B5B" w14:textId="77777777" w:rsidR="00F324B1" w:rsidRPr="00D9137A" w:rsidRDefault="00F324B1" w:rsidP="0036622E">
            <w:pPr>
              <w:pStyle w:val="ListParagraph"/>
              <w:numPr>
                <w:ilvl w:val="0"/>
                <w:numId w:val="17"/>
              </w:numPr>
              <w:snapToGrid w:val="0"/>
              <w:spacing w:before="120" w:after="120" w:line="276" w:lineRule="auto"/>
              <w:ind w:left="714" w:hanging="357"/>
              <w:contextualSpacing w:val="0"/>
              <w:jc w:val="both"/>
              <w:rPr>
                <w:rFonts w:ascii="Verdana" w:hAnsi="Verdana"/>
              </w:rPr>
            </w:pPr>
            <w:r w:rsidRPr="00D9137A">
              <w:rPr>
                <w:rFonts w:ascii="Verdana" w:hAnsi="Verdana"/>
              </w:rPr>
              <w:t xml:space="preserve">Ley 80 de 1993. Artículo 40, 41. </w:t>
            </w:r>
          </w:p>
          <w:p w14:paraId="0E93DAEF" w14:textId="77777777" w:rsidR="00F324B1" w:rsidRPr="00D9137A" w:rsidRDefault="00F324B1" w:rsidP="0036622E">
            <w:pPr>
              <w:pStyle w:val="ListParagraph"/>
              <w:numPr>
                <w:ilvl w:val="0"/>
                <w:numId w:val="17"/>
              </w:numPr>
              <w:snapToGrid w:val="0"/>
              <w:spacing w:before="120" w:after="120" w:line="276" w:lineRule="auto"/>
              <w:ind w:left="714" w:hanging="357"/>
              <w:contextualSpacing w:val="0"/>
              <w:jc w:val="both"/>
              <w:rPr>
                <w:rFonts w:ascii="Verdana" w:hAnsi="Verdana"/>
              </w:rPr>
            </w:pPr>
            <w:r w:rsidRPr="00D9137A">
              <w:rPr>
                <w:rFonts w:ascii="Verdana" w:hAnsi="Verdana"/>
              </w:rPr>
              <w:t xml:space="preserve">Ley 1150 de 2007. Artículo 23. </w:t>
            </w:r>
          </w:p>
          <w:p w14:paraId="5942B121" w14:textId="77777777" w:rsidR="00F324B1" w:rsidRPr="00D9137A" w:rsidRDefault="00F324B1" w:rsidP="0036622E">
            <w:pPr>
              <w:pStyle w:val="ListParagraph"/>
              <w:numPr>
                <w:ilvl w:val="0"/>
                <w:numId w:val="17"/>
              </w:numPr>
              <w:snapToGrid w:val="0"/>
              <w:spacing w:before="120" w:after="120" w:line="276" w:lineRule="auto"/>
              <w:ind w:left="714" w:hanging="357"/>
              <w:contextualSpacing w:val="0"/>
              <w:jc w:val="both"/>
              <w:rPr>
                <w:rFonts w:ascii="Verdana" w:hAnsi="Verdana"/>
              </w:rPr>
            </w:pPr>
            <w:r w:rsidRPr="00D9137A">
              <w:rPr>
                <w:rFonts w:ascii="Verdana" w:hAnsi="Verdana"/>
              </w:rPr>
              <w:lastRenderedPageBreak/>
              <w:t xml:space="preserve">Consejo de Estado. Sala de lo Contencioso Administrativo. Sección Tercera. Subsección B. Sentencia del 10 de mayo de 2018. </w:t>
            </w:r>
            <w:proofErr w:type="spellStart"/>
            <w:r w:rsidRPr="00D9137A">
              <w:rPr>
                <w:rFonts w:ascii="Verdana" w:hAnsi="Verdana"/>
              </w:rPr>
              <w:t>Exp</w:t>
            </w:r>
            <w:proofErr w:type="spellEnd"/>
            <w:r w:rsidRPr="00D9137A">
              <w:rPr>
                <w:rFonts w:ascii="Verdana" w:hAnsi="Verdana"/>
              </w:rPr>
              <w:t>. 41.186. C.P. Stella Conto Díaz del Castillo.</w:t>
            </w:r>
          </w:p>
          <w:p w14:paraId="6E922291" w14:textId="77777777" w:rsidR="00F324B1" w:rsidRPr="00D9137A" w:rsidRDefault="00F324B1" w:rsidP="0036622E">
            <w:pPr>
              <w:pStyle w:val="ListParagraph"/>
              <w:numPr>
                <w:ilvl w:val="0"/>
                <w:numId w:val="17"/>
              </w:numPr>
              <w:snapToGrid w:val="0"/>
              <w:spacing w:before="120" w:after="120" w:line="276" w:lineRule="auto"/>
              <w:ind w:left="714" w:hanging="357"/>
              <w:contextualSpacing w:val="0"/>
              <w:jc w:val="both"/>
              <w:rPr>
                <w:rFonts w:ascii="Verdana" w:hAnsi="Verdana"/>
              </w:rPr>
            </w:pPr>
            <w:r w:rsidRPr="00D9137A">
              <w:rPr>
                <w:rFonts w:ascii="Verdana" w:hAnsi="Verdana"/>
              </w:rPr>
              <w:t xml:space="preserve">Consejo de Estado. Sala de lo Contencioso Administrativo. Sección Tercera. Subsección A. Sentencia del del 24 de febrero de 2016. </w:t>
            </w:r>
            <w:proofErr w:type="spellStart"/>
            <w:r w:rsidRPr="00D9137A">
              <w:rPr>
                <w:rFonts w:ascii="Verdana" w:hAnsi="Verdana"/>
              </w:rPr>
              <w:t>Exp</w:t>
            </w:r>
            <w:proofErr w:type="spellEnd"/>
            <w:r w:rsidRPr="00D9137A">
              <w:rPr>
                <w:rFonts w:ascii="Verdana" w:hAnsi="Verdana"/>
              </w:rPr>
              <w:t>. 46.185. C.P. Marta Nubia Velásquez Rico.</w:t>
            </w:r>
          </w:p>
          <w:p w14:paraId="7744FDDF" w14:textId="77777777" w:rsidR="00F324B1" w:rsidRPr="00D9137A" w:rsidRDefault="00F324B1" w:rsidP="0036622E">
            <w:pPr>
              <w:pStyle w:val="ListParagraph"/>
              <w:widowControl w:val="0"/>
              <w:numPr>
                <w:ilvl w:val="0"/>
                <w:numId w:val="17"/>
              </w:numPr>
              <w:autoSpaceDE w:val="0"/>
              <w:autoSpaceDN w:val="0"/>
              <w:snapToGrid w:val="0"/>
              <w:spacing w:before="120" w:after="120" w:line="276" w:lineRule="auto"/>
              <w:ind w:left="714" w:hanging="357"/>
              <w:contextualSpacing w:val="0"/>
              <w:jc w:val="both"/>
              <w:rPr>
                <w:rFonts w:ascii="Verdana" w:hAnsi="Verdana"/>
              </w:rPr>
            </w:pPr>
            <w:r w:rsidRPr="00D9137A">
              <w:rPr>
                <w:rFonts w:ascii="Verdana" w:hAnsi="Verdana"/>
              </w:rPr>
              <w:t>EXPÓSITO VÉLEZ, Juan Carlos. Forma y contenido del contrato estatal. Bogotá: Universidad Externado de Colombia, 2013. pp. 28-29.</w:t>
            </w:r>
          </w:p>
        </w:tc>
      </w:tr>
    </w:tbl>
    <w:p w14:paraId="35EA122D" w14:textId="77777777" w:rsidR="00F324B1" w:rsidRPr="00D9137A" w:rsidRDefault="00F324B1" w:rsidP="00F324B1">
      <w:pPr>
        <w:widowControl w:val="0"/>
        <w:autoSpaceDE w:val="0"/>
        <w:autoSpaceDN w:val="0"/>
        <w:spacing w:after="0" w:line="276" w:lineRule="auto"/>
        <w:jc w:val="both"/>
        <w:rPr>
          <w:rFonts w:ascii="Verdana" w:hAnsi="Verdana" w:cs="Arial"/>
          <w:color w:val="000000" w:themeColor="text1"/>
          <w:lang w:val="es-ES"/>
        </w:rPr>
      </w:pPr>
    </w:p>
    <w:p w14:paraId="6FC81D9D" w14:textId="77777777" w:rsidR="00F324B1" w:rsidRPr="00D9137A" w:rsidRDefault="00F324B1" w:rsidP="00F324B1">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D9137A">
        <w:rPr>
          <w:rFonts w:ascii="Verdana" w:eastAsia="Century Gothic" w:hAnsi="Verdana" w:cs="Century Gothic"/>
          <w:b/>
          <w:bCs/>
          <w:color w:val="000000" w:themeColor="text1"/>
        </w:rPr>
        <w:t>Doctrina de la Agencia Nacional de Contratación Pública:</w:t>
      </w:r>
    </w:p>
    <w:p w14:paraId="6B2504FF" w14:textId="77777777" w:rsidR="00F324B1" w:rsidRPr="00D9137A" w:rsidRDefault="00F324B1" w:rsidP="00F324B1">
      <w:pPr>
        <w:widowControl w:val="0"/>
        <w:autoSpaceDE w:val="0"/>
        <w:autoSpaceDN w:val="0"/>
        <w:spacing w:after="0" w:line="276" w:lineRule="auto"/>
        <w:jc w:val="both"/>
        <w:rPr>
          <w:rFonts w:ascii="Verdana" w:hAnsi="Verdana" w:cs="Arial"/>
          <w:color w:val="000000" w:themeColor="text1"/>
          <w:lang w:val="es-ES"/>
        </w:rPr>
      </w:pPr>
    </w:p>
    <w:p w14:paraId="063D994F" w14:textId="77777777" w:rsidR="00F324B1" w:rsidRPr="00D9137A" w:rsidRDefault="00F324B1" w:rsidP="00F324B1">
      <w:pPr>
        <w:widowControl w:val="0"/>
        <w:autoSpaceDE w:val="0"/>
        <w:autoSpaceDN w:val="0"/>
        <w:spacing w:after="0" w:line="276" w:lineRule="auto"/>
        <w:jc w:val="both"/>
        <w:rPr>
          <w:rStyle w:val="normaltextrun"/>
          <w:rFonts w:ascii="Verdana" w:hAnsi="Verdana" w:cs="Arial"/>
          <w:shd w:val="clear" w:color="auto" w:fill="FFFFFF"/>
          <w:lang w:val="es-ES"/>
        </w:rPr>
      </w:pPr>
      <w:r w:rsidRPr="00D9137A">
        <w:rPr>
          <w:rStyle w:val="normaltextrun"/>
          <w:rFonts w:ascii="Verdana" w:hAnsi="Verdana" w:cs="Arial"/>
          <w:color w:val="000000" w:themeColor="text1"/>
          <w:shd w:val="clear" w:color="auto" w:fill="FFFFFF"/>
          <w:lang w:val="es-ES"/>
        </w:rPr>
        <w:t xml:space="preserve">La Agencia Nacional de Contratación Pública – Colombia Compra Eficiente se ha referido </w:t>
      </w:r>
      <w:r w:rsidRPr="00D9137A">
        <w:rPr>
          <w:rStyle w:val="normaltextrun"/>
          <w:rFonts w:ascii="Verdana" w:hAnsi="Verdana" w:cs="Arial"/>
          <w:shd w:val="clear" w:color="auto" w:fill="FFFFFF"/>
          <w:lang w:val="es-ES"/>
        </w:rPr>
        <w:t xml:space="preserve">se ha pronunciado sobre </w:t>
      </w:r>
      <w:r w:rsidRPr="00D9137A">
        <w:rPr>
          <w:rFonts w:ascii="Verdana" w:eastAsia="Calibri" w:hAnsi="Verdana" w:cs="Arial"/>
          <w:shd w:val="clear" w:color="auto" w:fill="FFFFFF"/>
          <w:lang w:val="es-ES"/>
        </w:rPr>
        <w:t xml:space="preserve">los requisitos de perfeccionamiento y ejecución de los contratos estatales en los conceptos C-797 del 22 de enero de 2021, </w:t>
      </w:r>
      <w:r w:rsidRPr="00D9137A">
        <w:rPr>
          <w:rFonts w:ascii="Verdana" w:eastAsia="Calibri" w:hAnsi="Verdana" w:cs="Arial"/>
          <w:lang w:val="es-ES"/>
        </w:rPr>
        <w:t xml:space="preserve">C – 638 de 2022, C-464 del 16 de mayo de 2025, C-411 del 13 de mayo de 2025 y C-536 del 11 de junio de 2025, entre otros. </w:t>
      </w:r>
      <w:r w:rsidRPr="00D9137A">
        <w:rPr>
          <w:rStyle w:val="normaltextrun"/>
          <w:rFonts w:ascii="Verdana" w:hAnsi="Verdana" w:cs="Arial"/>
          <w:shd w:val="clear" w:color="auto" w:fill="FFFFFF"/>
          <w:lang w:val="es-ES"/>
        </w:rPr>
        <w:t>Estos y otros conceptos se encuentran disponibles para consulta en el Sistema de relatoría de la Agencia</w:t>
      </w:r>
      <w:r w:rsidRPr="00D9137A">
        <w:rPr>
          <w:rFonts w:ascii="Verdana" w:hAnsi="Verdana"/>
          <w:lang w:val="es-ES"/>
        </w:rPr>
        <w:t>, al cual puede accederse a través del siguiente enlace:</w:t>
      </w:r>
      <w:r w:rsidRPr="00D9137A">
        <w:rPr>
          <w:rStyle w:val="normaltextrun"/>
          <w:rFonts w:ascii="Verdana" w:hAnsi="Verdana" w:cs="Arial"/>
          <w:shd w:val="clear" w:color="auto" w:fill="FFFFFF"/>
          <w:lang w:val="es-ES"/>
        </w:rPr>
        <w:t xml:space="preserve"> </w:t>
      </w:r>
      <w:hyperlink r:id="rId12" w:history="1">
        <w:r w:rsidRPr="00D9137A">
          <w:rPr>
            <w:rStyle w:val="Hyperlink"/>
            <w:rFonts w:ascii="Verdana" w:hAnsi="Verdana" w:cs="Arial"/>
            <w:shd w:val="clear" w:color="auto" w:fill="FFFFFF"/>
            <w:lang w:val="es-ES"/>
          </w:rPr>
          <w:t>https://relatoria.colombiacompra.gov.co/busqueda/conceptos</w:t>
        </w:r>
      </w:hyperlink>
      <w:r w:rsidRPr="00D9137A">
        <w:rPr>
          <w:rStyle w:val="normaltextrun"/>
          <w:rFonts w:ascii="Verdana" w:hAnsi="Verdana" w:cs="Arial"/>
          <w:shd w:val="clear" w:color="auto" w:fill="FFFFFF"/>
          <w:lang w:val="es-ES"/>
        </w:rPr>
        <w:t>.</w:t>
      </w:r>
      <w:r w:rsidRPr="00D9137A">
        <w:rPr>
          <w:rStyle w:val="normaltextrun"/>
          <w:rFonts w:ascii="Verdana" w:hAnsi="Verdana" w:cs="Arial"/>
          <w:color w:val="FF0000"/>
          <w:shd w:val="clear" w:color="auto" w:fill="FFFFFF"/>
          <w:lang w:val="es-ES"/>
        </w:rPr>
        <w:t xml:space="preserve"> </w:t>
      </w:r>
    </w:p>
    <w:p w14:paraId="042F2A1E" w14:textId="77777777" w:rsidR="00F324B1" w:rsidRPr="00D9137A" w:rsidRDefault="00F324B1" w:rsidP="00F324B1">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06F8024" w14:textId="77777777" w:rsidR="00F324B1" w:rsidRPr="00D9137A" w:rsidRDefault="00F324B1" w:rsidP="00F324B1">
      <w:pPr>
        <w:spacing w:after="0" w:line="276" w:lineRule="auto"/>
        <w:jc w:val="both"/>
        <w:rPr>
          <w:rFonts w:ascii="Verdana" w:hAnsi="Verdana"/>
          <w:lang w:val="es-ES"/>
        </w:rPr>
      </w:pPr>
      <w:r w:rsidRPr="00D9137A">
        <w:rPr>
          <w:rFonts w:ascii="Verdana" w:hAnsi="Verdana"/>
          <w:lang w:val="es-ES"/>
        </w:rPr>
        <w:t xml:space="preserve">Por último, lo invitamos a seguirnos en las redes sociales en las cuales se difunde información institucional: </w:t>
      </w:r>
    </w:p>
    <w:p w14:paraId="7093A43D" w14:textId="77777777" w:rsidR="00F324B1" w:rsidRPr="00D9137A" w:rsidRDefault="00F324B1" w:rsidP="00F324B1">
      <w:pPr>
        <w:spacing w:after="0" w:line="276" w:lineRule="auto"/>
        <w:jc w:val="both"/>
        <w:rPr>
          <w:rFonts w:ascii="Verdana" w:hAnsi="Verdana"/>
          <w:lang w:val="es-ES"/>
        </w:rPr>
      </w:pPr>
    </w:p>
    <w:p w14:paraId="6B10BD15" w14:textId="77777777" w:rsidR="00F324B1" w:rsidRPr="00D9137A" w:rsidRDefault="00F324B1" w:rsidP="00F324B1">
      <w:pPr>
        <w:spacing w:after="0" w:line="276" w:lineRule="auto"/>
        <w:jc w:val="both"/>
        <w:rPr>
          <w:rFonts w:ascii="Verdana" w:hAnsi="Verdana"/>
          <w:lang w:val="es-ES"/>
        </w:rPr>
      </w:pPr>
      <w:r w:rsidRPr="00D9137A">
        <w:rPr>
          <w:rFonts w:ascii="Verdana" w:hAnsi="Verdana"/>
          <w:lang w:val="es-ES"/>
        </w:rPr>
        <w:t xml:space="preserve">Twitter: </w:t>
      </w:r>
      <w:r w:rsidRPr="00D9137A">
        <w:rPr>
          <w:rStyle w:val="Hyperlink"/>
          <w:rFonts w:ascii="Verdana" w:hAnsi="Verdana" w:cs="Arial"/>
          <w:shd w:val="clear" w:color="auto" w:fill="FFFFFF"/>
          <w:lang w:val="es-ES"/>
        </w:rPr>
        <w:t>@colombiacompra</w:t>
      </w:r>
      <w:r w:rsidRPr="00D9137A">
        <w:rPr>
          <w:rFonts w:ascii="Verdana" w:hAnsi="Verdana"/>
          <w:color w:val="4472C4" w:themeColor="accent1"/>
          <w:lang w:val="es-ES"/>
        </w:rPr>
        <w:t xml:space="preserve"> </w:t>
      </w:r>
    </w:p>
    <w:p w14:paraId="7C32B175" w14:textId="77777777" w:rsidR="00F324B1" w:rsidRPr="00D9137A" w:rsidRDefault="00F324B1" w:rsidP="00F324B1">
      <w:pPr>
        <w:spacing w:after="0" w:line="276" w:lineRule="auto"/>
        <w:jc w:val="both"/>
        <w:rPr>
          <w:rFonts w:ascii="Verdana" w:hAnsi="Verdana"/>
          <w:lang w:val="es-ES"/>
        </w:rPr>
      </w:pPr>
      <w:r w:rsidRPr="00D9137A">
        <w:rPr>
          <w:rFonts w:ascii="Verdana" w:hAnsi="Verdana"/>
          <w:lang w:val="es-ES"/>
        </w:rPr>
        <w:t xml:space="preserve">Facebook: </w:t>
      </w:r>
      <w:proofErr w:type="spellStart"/>
      <w:r w:rsidRPr="00D9137A">
        <w:rPr>
          <w:rStyle w:val="Hyperlink"/>
          <w:rFonts w:ascii="Verdana" w:hAnsi="Verdana" w:cs="Arial"/>
          <w:shd w:val="clear" w:color="auto" w:fill="FFFFFF"/>
          <w:lang w:val="es-ES"/>
        </w:rPr>
        <w:t>ColombiaCompraEficiente</w:t>
      </w:r>
      <w:proofErr w:type="spellEnd"/>
    </w:p>
    <w:p w14:paraId="3FCEC5D2" w14:textId="77777777" w:rsidR="00F324B1" w:rsidRPr="00D9137A" w:rsidRDefault="00F324B1" w:rsidP="00F324B1">
      <w:pPr>
        <w:spacing w:after="0" w:line="276" w:lineRule="auto"/>
        <w:jc w:val="both"/>
        <w:rPr>
          <w:rFonts w:ascii="Verdana" w:hAnsi="Verdana"/>
          <w:lang w:val="es-ES"/>
        </w:rPr>
      </w:pPr>
      <w:r w:rsidRPr="00D9137A">
        <w:rPr>
          <w:rFonts w:ascii="Verdana" w:hAnsi="Verdana"/>
          <w:lang w:val="es-ES"/>
        </w:rPr>
        <w:t xml:space="preserve">LinkedIn: </w:t>
      </w:r>
      <w:r w:rsidRPr="00D9137A">
        <w:rPr>
          <w:rStyle w:val="Hyperlink"/>
          <w:rFonts w:ascii="Verdana" w:hAnsi="Verdana" w:cs="Arial"/>
          <w:shd w:val="clear" w:color="auto" w:fill="FFFFFF"/>
          <w:lang w:val="es-ES"/>
        </w:rPr>
        <w:t xml:space="preserve">Agencia Nacional de Contratación Pública - Colombia Compra Eficiente </w:t>
      </w:r>
      <w:r w:rsidRPr="00D9137A">
        <w:rPr>
          <w:rFonts w:ascii="Verdana" w:hAnsi="Verdana"/>
          <w:lang w:val="es-ES"/>
        </w:rPr>
        <w:t xml:space="preserve">Instagram: </w:t>
      </w:r>
      <w:r w:rsidRPr="00D9137A">
        <w:rPr>
          <w:rStyle w:val="Hyperlink"/>
          <w:rFonts w:ascii="Verdana" w:hAnsi="Verdana" w:cs="Arial"/>
          <w:shd w:val="clear" w:color="auto" w:fill="FFFFFF"/>
          <w:lang w:val="es-ES"/>
        </w:rPr>
        <w:t>@colombiacompraeficiente_cce</w:t>
      </w:r>
    </w:p>
    <w:p w14:paraId="7A87EDEA" w14:textId="77777777" w:rsidR="00F324B1" w:rsidRPr="00D9137A" w:rsidRDefault="00F324B1" w:rsidP="00F324B1">
      <w:pPr>
        <w:widowControl w:val="0"/>
        <w:autoSpaceDE w:val="0"/>
        <w:autoSpaceDN w:val="0"/>
        <w:spacing w:after="0" w:line="276" w:lineRule="auto"/>
        <w:jc w:val="both"/>
        <w:rPr>
          <w:rFonts w:ascii="Verdana" w:hAnsi="Verdana" w:cs="Arial"/>
          <w:color w:val="000000" w:themeColor="text1"/>
          <w:lang w:val="es-ES"/>
        </w:rPr>
      </w:pPr>
    </w:p>
    <w:p w14:paraId="4BBF2809" w14:textId="77777777" w:rsidR="00F324B1" w:rsidRPr="00D9137A" w:rsidRDefault="00F324B1" w:rsidP="00F324B1">
      <w:pPr>
        <w:widowControl w:val="0"/>
        <w:autoSpaceDE w:val="0"/>
        <w:autoSpaceDN w:val="0"/>
        <w:spacing w:after="0" w:line="276" w:lineRule="auto"/>
        <w:jc w:val="both"/>
        <w:rPr>
          <w:rFonts w:ascii="Verdana" w:hAnsi="Verdana" w:cs="Arial"/>
          <w:color w:val="000000" w:themeColor="text1"/>
          <w:lang w:val="es-ES"/>
        </w:rPr>
      </w:pPr>
      <w:r w:rsidRPr="00D9137A">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F6FCF30" w14:textId="77777777" w:rsidR="00F324B1" w:rsidRPr="00D9137A" w:rsidRDefault="00F324B1" w:rsidP="00F324B1">
      <w:pPr>
        <w:widowControl w:val="0"/>
        <w:autoSpaceDE w:val="0"/>
        <w:autoSpaceDN w:val="0"/>
        <w:spacing w:after="0" w:line="276" w:lineRule="auto"/>
        <w:jc w:val="both"/>
        <w:rPr>
          <w:rFonts w:ascii="Verdana" w:hAnsi="Verdana" w:cs="Arial"/>
          <w:color w:val="000000" w:themeColor="text1"/>
          <w:lang w:val="es-ES"/>
        </w:rPr>
      </w:pPr>
    </w:p>
    <w:p w14:paraId="7F6C502E" w14:textId="77777777" w:rsidR="00F324B1" w:rsidRPr="00D9137A" w:rsidRDefault="00F324B1" w:rsidP="00F324B1">
      <w:pPr>
        <w:spacing w:after="0" w:line="276" w:lineRule="auto"/>
        <w:rPr>
          <w:rFonts w:ascii="Verdana" w:hAnsi="Verdana" w:cs="Arial"/>
          <w:color w:val="000000" w:themeColor="text1"/>
          <w:lang w:val="es-ES" w:eastAsia="es-CO"/>
        </w:rPr>
      </w:pPr>
      <w:r w:rsidRPr="00D9137A">
        <w:rPr>
          <w:rFonts w:ascii="Verdana" w:eastAsia="Times New Roman" w:hAnsi="Verdana" w:cs="Arial"/>
          <w:color w:val="000000" w:themeColor="text1"/>
          <w:lang w:val="es-ES" w:eastAsia="es-CO"/>
        </w:rPr>
        <w:t>Atentamente,</w:t>
      </w:r>
      <w:r w:rsidRPr="00D9137A">
        <w:rPr>
          <w:rFonts w:ascii="Verdana" w:hAnsi="Verdana" w:cs="Arial"/>
          <w:color w:val="000000" w:themeColor="text1"/>
          <w:lang w:val="es-ES" w:eastAsia="es-CO"/>
        </w:rPr>
        <w:t xml:space="preserve"> </w:t>
      </w:r>
    </w:p>
    <w:bookmarkEnd w:id="0"/>
    <w:p w14:paraId="794CFCB4" w14:textId="64EF5972" w:rsidR="00F324B1" w:rsidRPr="00D9137A" w:rsidRDefault="00F324B1" w:rsidP="00F324B1">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324B1" w:rsidRPr="00D9137A" w14:paraId="43DCA05B" w14:textId="77777777" w:rsidTr="0036622E">
        <w:trPr>
          <w:trHeight w:val="315"/>
        </w:trPr>
        <w:tc>
          <w:tcPr>
            <w:tcW w:w="893" w:type="dxa"/>
            <w:vAlign w:val="center"/>
            <w:hideMark/>
          </w:tcPr>
          <w:p w14:paraId="1987794F" w14:textId="77777777" w:rsidR="00F324B1" w:rsidRPr="00D9137A" w:rsidRDefault="00F324B1" w:rsidP="0036622E">
            <w:pPr>
              <w:contextualSpacing/>
              <w:rPr>
                <w:rFonts w:ascii="Verdana" w:hAnsi="Verdana" w:cs="Arial"/>
                <w:sz w:val="16"/>
                <w:szCs w:val="16"/>
                <w:lang w:val="es-ES" w:eastAsia="es-ES"/>
              </w:rPr>
            </w:pPr>
            <w:r w:rsidRPr="00D9137A">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7D457F2C" w14:textId="13B93CFA" w:rsidR="00F324B1" w:rsidRPr="00D9137A" w:rsidRDefault="00F324B1" w:rsidP="0036622E">
            <w:pPr>
              <w:contextualSpacing/>
              <w:rPr>
                <w:rFonts w:ascii="Verdana" w:eastAsia="Arial" w:hAnsi="Verdana" w:cs="Arial"/>
                <w:color w:val="000000" w:themeColor="text1"/>
                <w:sz w:val="16"/>
                <w:szCs w:val="16"/>
                <w:lang w:val="es-ES"/>
              </w:rPr>
            </w:pPr>
            <w:r w:rsidRPr="00D9137A">
              <w:rPr>
                <w:rFonts w:ascii="Verdana" w:eastAsia="Arial" w:hAnsi="Verdana" w:cs="Arial"/>
                <w:color w:val="000000" w:themeColor="text1"/>
                <w:sz w:val="16"/>
                <w:szCs w:val="16"/>
                <w:lang w:val="es-ES"/>
              </w:rPr>
              <w:t>Anamaría Bonilla Prieto</w:t>
            </w:r>
          </w:p>
          <w:p w14:paraId="6E2CB304" w14:textId="77777777" w:rsidR="00F324B1" w:rsidRPr="00D9137A" w:rsidRDefault="00F324B1" w:rsidP="0036622E">
            <w:pPr>
              <w:contextualSpacing/>
              <w:rPr>
                <w:rFonts w:ascii="Verdana" w:eastAsia="Arial" w:hAnsi="Verdana" w:cs="Arial"/>
                <w:sz w:val="16"/>
                <w:szCs w:val="16"/>
                <w:lang w:val="es-ES"/>
              </w:rPr>
            </w:pPr>
            <w:r w:rsidRPr="00D9137A">
              <w:rPr>
                <w:rStyle w:val="normaltextrun"/>
                <w:rFonts w:ascii="Verdana" w:eastAsia="Arial" w:hAnsi="Verdana" w:cs="Arial"/>
                <w:color w:val="000000" w:themeColor="text1"/>
                <w:sz w:val="16"/>
                <w:szCs w:val="16"/>
                <w:lang w:val="es-ES"/>
              </w:rPr>
              <w:t xml:space="preserve">Contratista de la Subdirección </w:t>
            </w:r>
            <w:r w:rsidRPr="00D9137A">
              <w:rPr>
                <w:rStyle w:val="normaltextrun"/>
                <w:rFonts w:ascii="Verdana" w:eastAsia="Arial" w:hAnsi="Verdana" w:cs="Arial"/>
                <w:sz w:val="16"/>
                <w:szCs w:val="16"/>
                <w:lang w:val="es-ES"/>
              </w:rPr>
              <w:t>de Gestión Contractual</w:t>
            </w:r>
          </w:p>
        </w:tc>
      </w:tr>
      <w:tr w:rsidR="00F324B1" w:rsidRPr="00D9137A" w14:paraId="5DE01995" w14:textId="77777777" w:rsidTr="0036622E">
        <w:trPr>
          <w:trHeight w:val="330"/>
        </w:trPr>
        <w:tc>
          <w:tcPr>
            <w:tcW w:w="893" w:type="dxa"/>
            <w:vAlign w:val="center"/>
            <w:hideMark/>
          </w:tcPr>
          <w:p w14:paraId="02009F4D" w14:textId="77777777" w:rsidR="00F324B1" w:rsidRPr="00D9137A" w:rsidRDefault="00F324B1" w:rsidP="0036622E">
            <w:pPr>
              <w:contextualSpacing/>
              <w:rPr>
                <w:rFonts w:ascii="Verdana" w:hAnsi="Verdana" w:cs="Arial"/>
                <w:sz w:val="16"/>
                <w:szCs w:val="16"/>
                <w:lang w:val="es-ES" w:eastAsia="es-ES"/>
              </w:rPr>
            </w:pPr>
            <w:r w:rsidRPr="00D9137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CEBF116" w14:textId="77777777" w:rsidR="00F324B1" w:rsidRPr="00D9137A" w:rsidRDefault="00F324B1" w:rsidP="0036622E">
            <w:pPr>
              <w:contextualSpacing/>
              <w:rPr>
                <w:rFonts w:ascii="Verdana" w:eastAsia="Arial" w:hAnsi="Verdana" w:cs="Arial"/>
                <w:color w:val="000000" w:themeColor="text1"/>
                <w:sz w:val="16"/>
                <w:szCs w:val="16"/>
                <w:lang w:val="es-ES"/>
              </w:rPr>
            </w:pPr>
            <w:r w:rsidRPr="00D9137A">
              <w:rPr>
                <w:rFonts w:ascii="Verdana" w:eastAsia="Arial" w:hAnsi="Verdana" w:cs="Arial"/>
                <w:color w:val="000000" w:themeColor="text1"/>
                <w:sz w:val="16"/>
                <w:szCs w:val="16"/>
                <w:lang w:val="es-ES"/>
              </w:rPr>
              <w:t>Alejandro Sarmiento Cantillo</w:t>
            </w:r>
          </w:p>
          <w:p w14:paraId="328CC7F7" w14:textId="77777777" w:rsidR="00F324B1" w:rsidRPr="00D9137A" w:rsidRDefault="00F324B1" w:rsidP="0036622E">
            <w:pPr>
              <w:contextualSpacing/>
              <w:rPr>
                <w:rFonts w:ascii="Verdana" w:hAnsi="Verdana" w:cs="Segoe UI"/>
                <w:sz w:val="16"/>
                <w:szCs w:val="16"/>
                <w:lang w:val="es-ES"/>
              </w:rPr>
            </w:pPr>
            <w:r w:rsidRPr="00D9137A">
              <w:rPr>
                <w:rFonts w:ascii="Verdana" w:eastAsia="Arial" w:hAnsi="Verdana" w:cs="Arial"/>
                <w:color w:val="000000" w:themeColor="text1"/>
                <w:sz w:val="16"/>
                <w:szCs w:val="16"/>
                <w:lang w:val="es-ES"/>
              </w:rPr>
              <w:t>Gestor T1 – 15 de la Subdirección de Gestión Contractual</w:t>
            </w:r>
            <w:r w:rsidRPr="00D9137A">
              <w:rPr>
                <w:rFonts w:ascii="Verdana" w:hAnsi="Verdana" w:cs="Segoe UI"/>
                <w:sz w:val="16"/>
                <w:szCs w:val="16"/>
                <w:lang w:val="es-ES"/>
              </w:rPr>
              <w:t> </w:t>
            </w:r>
          </w:p>
        </w:tc>
      </w:tr>
      <w:tr w:rsidR="00F324B1" w:rsidRPr="00D9137A" w14:paraId="5242C9F7" w14:textId="77777777" w:rsidTr="0036622E">
        <w:trPr>
          <w:trHeight w:val="300"/>
        </w:trPr>
        <w:tc>
          <w:tcPr>
            <w:tcW w:w="893" w:type="dxa"/>
            <w:vAlign w:val="center"/>
          </w:tcPr>
          <w:p w14:paraId="79425493" w14:textId="77777777" w:rsidR="00F324B1" w:rsidRPr="00D9137A" w:rsidRDefault="00F324B1" w:rsidP="0036622E">
            <w:pPr>
              <w:contextualSpacing/>
              <w:rPr>
                <w:rFonts w:ascii="Verdana" w:hAnsi="Verdana" w:cs="Arial"/>
                <w:sz w:val="16"/>
                <w:szCs w:val="16"/>
                <w:lang w:val="es-ES" w:eastAsia="es-ES"/>
              </w:rPr>
            </w:pPr>
            <w:r w:rsidRPr="00D9137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0B37761" w14:textId="77777777" w:rsidR="00F324B1" w:rsidRPr="00D9137A" w:rsidRDefault="00F324B1" w:rsidP="0036622E">
            <w:pPr>
              <w:contextualSpacing/>
              <w:rPr>
                <w:rFonts w:ascii="Verdana" w:eastAsia="Calibri" w:hAnsi="Verdana" w:cs="Arial"/>
                <w:sz w:val="16"/>
                <w:szCs w:val="16"/>
                <w:lang w:val="es-ES" w:eastAsia="es-ES"/>
              </w:rPr>
            </w:pPr>
            <w:r w:rsidRPr="00D9137A">
              <w:rPr>
                <w:rFonts w:ascii="Verdana" w:eastAsia="Calibri" w:hAnsi="Verdana" w:cs="Arial"/>
                <w:sz w:val="16"/>
                <w:szCs w:val="16"/>
                <w:lang w:val="es-ES" w:eastAsia="es-ES"/>
              </w:rPr>
              <w:t>Carolina Quintero Gacharná</w:t>
            </w:r>
          </w:p>
          <w:p w14:paraId="7FF76DF8" w14:textId="77777777" w:rsidR="00F324B1" w:rsidRPr="00D9137A" w:rsidRDefault="00F324B1" w:rsidP="0036622E">
            <w:pPr>
              <w:contextualSpacing/>
              <w:rPr>
                <w:rFonts w:ascii="Verdana" w:eastAsia="Calibri" w:hAnsi="Verdana" w:cs="Arial"/>
                <w:sz w:val="16"/>
                <w:szCs w:val="16"/>
                <w:lang w:val="es-ES" w:eastAsia="es-ES"/>
              </w:rPr>
            </w:pPr>
            <w:r w:rsidRPr="00D9137A">
              <w:rPr>
                <w:rFonts w:ascii="Verdana" w:eastAsia="Calibri" w:hAnsi="Verdana" w:cs="Arial"/>
                <w:sz w:val="16"/>
                <w:szCs w:val="16"/>
                <w:lang w:val="es-ES" w:eastAsia="es-ES"/>
              </w:rPr>
              <w:t>Subdirectora de Gestión Contractual ANCP – CCE</w:t>
            </w:r>
          </w:p>
        </w:tc>
      </w:tr>
    </w:tbl>
    <w:p w14:paraId="674AEC4F" w14:textId="4D4768BE" w:rsidR="00F324B1" w:rsidRPr="00D9137A" w:rsidRDefault="002F2A8C" w:rsidP="00F324B1">
      <w:pPr>
        <w:rPr>
          <w:lang w:val="es-ES"/>
        </w:rPr>
      </w:pPr>
      <w:r w:rsidRPr="002C3AD6">
        <w:rPr>
          <w:rFonts w:ascii="Century Gothic" w:hAnsi="Century Gothic"/>
          <w:noProof/>
        </w:rPr>
        <w:drawing>
          <wp:anchor distT="0" distB="0" distL="114300" distR="114300" simplePos="0" relativeHeight="251659264" behindDoc="0" locked="0" layoutInCell="1" allowOverlap="1" wp14:anchorId="3688E09D" wp14:editId="1303C046">
            <wp:simplePos x="0" y="0"/>
            <wp:positionH relativeFrom="column">
              <wp:posOffset>1216741</wp:posOffset>
            </wp:positionH>
            <wp:positionV relativeFrom="page">
              <wp:posOffset>1375799</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p>
    <w:p w14:paraId="40587BE6" w14:textId="77777777" w:rsidR="00F324B1" w:rsidRPr="00D9137A" w:rsidRDefault="00F324B1" w:rsidP="00F324B1">
      <w:pPr>
        <w:rPr>
          <w:lang w:val="es-ES"/>
        </w:rPr>
      </w:pPr>
    </w:p>
    <w:p w14:paraId="0F293BF4" w14:textId="023FB3C2" w:rsidR="00127233" w:rsidRPr="00F324B1" w:rsidRDefault="00127233" w:rsidP="00F324B1"/>
    <w:sectPr w:rsidR="00127233" w:rsidRPr="00F324B1"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EFDDDA" w14:textId="77777777" w:rsidR="00BE5EF1" w:rsidRDefault="00BE5EF1" w:rsidP="004A1847">
      <w:pPr>
        <w:spacing w:after="0" w:line="240" w:lineRule="auto"/>
      </w:pPr>
      <w:r>
        <w:separator/>
      </w:r>
    </w:p>
  </w:endnote>
  <w:endnote w:type="continuationSeparator" w:id="0">
    <w:p w14:paraId="1B706BF1" w14:textId="77777777" w:rsidR="00BE5EF1" w:rsidRDefault="00BE5EF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C67918" w14:textId="77777777" w:rsidR="00BE5EF1" w:rsidRDefault="00BE5EF1" w:rsidP="004A1847">
      <w:pPr>
        <w:spacing w:after="0" w:line="240" w:lineRule="auto"/>
      </w:pPr>
      <w:r>
        <w:separator/>
      </w:r>
    </w:p>
  </w:footnote>
  <w:footnote w:type="continuationSeparator" w:id="0">
    <w:p w14:paraId="7BE490A4" w14:textId="77777777" w:rsidR="00BE5EF1" w:rsidRDefault="00BE5EF1" w:rsidP="004A1847">
      <w:pPr>
        <w:spacing w:after="0" w:line="240" w:lineRule="auto"/>
      </w:pPr>
      <w:r>
        <w:continuationSeparator/>
      </w:r>
    </w:p>
  </w:footnote>
  <w:footnote w:id="1">
    <w:p w14:paraId="3E8D63DD" w14:textId="77777777" w:rsidR="00F324B1" w:rsidRPr="002F2A8C" w:rsidRDefault="00F324B1" w:rsidP="00F324B1">
      <w:pPr>
        <w:pStyle w:val="FootnoteText"/>
        <w:ind w:firstLine="709"/>
        <w:contextualSpacing/>
        <w:jc w:val="both"/>
        <w:rPr>
          <w:rFonts w:ascii="Verdana" w:hAnsi="Verdana" w:cs="Arial"/>
          <w:sz w:val="16"/>
          <w:szCs w:val="16"/>
          <w:lang w:val="pt-BR"/>
        </w:rPr>
      </w:pPr>
      <w:r w:rsidRPr="002F2A8C">
        <w:rPr>
          <w:rStyle w:val="FootnoteReference"/>
          <w:rFonts w:ascii="Verdana" w:hAnsi="Verdana" w:cs="Arial"/>
          <w:sz w:val="16"/>
          <w:szCs w:val="16"/>
        </w:rPr>
        <w:footnoteRef/>
      </w:r>
      <w:r w:rsidRPr="002F2A8C">
        <w:rPr>
          <w:rFonts w:ascii="Verdana" w:hAnsi="Verdana" w:cs="Arial"/>
          <w:sz w:val="16"/>
          <w:szCs w:val="16"/>
          <w:lang w:val="pt-BR"/>
        </w:rPr>
        <w:t xml:space="preserve"> Corte Constitucional. Sentencias: C-233 de 4 de abril de 2002, expediente: D-3704; C-551 de 9 de </w:t>
      </w:r>
      <w:proofErr w:type="spellStart"/>
      <w:r w:rsidRPr="002F2A8C">
        <w:rPr>
          <w:rFonts w:ascii="Verdana" w:hAnsi="Verdana" w:cs="Arial"/>
          <w:sz w:val="16"/>
          <w:szCs w:val="16"/>
          <w:lang w:val="pt-BR"/>
        </w:rPr>
        <w:t>julio</w:t>
      </w:r>
      <w:proofErr w:type="spellEnd"/>
      <w:r w:rsidRPr="002F2A8C">
        <w:rPr>
          <w:rFonts w:ascii="Verdana" w:hAnsi="Verdana" w:cs="Arial"/>
          <w:sz w:val="16"/>
          <w:szCs w:val="16"/>
          <w:lang w:val="pt-BR"/>
        </w:rPr>
        <w:t xml:space="preserve"> de 2003, expediente: CRF-001 de 9 de </w:t>
      </w:r>
      <w:proofErr w:type="spellStart"/>
      <w:r w:rsidRPr="002F2A8C">
        <w:rPr>
          <w:rFonts w:ascii="Verdana" w:hAnsi="Verdana" w:cs="Arial"/>
          <w:sz w:val="16"/>
          <w:szCs w:val="16"/>
          <w:lang w:val="pt-BR"/>
        </w:rPr>
        <w:t>julio</w:t>
      </w:r>
      <w:proofErr w:type="spellEnd"/>
      <w:r w:rsidRPr="002F2A8C">
        <w:rPr>
          <w:rFonts w:ascii="Verdana" w:hAnsi="Verdana" w:cs="Arial"/>
          <w:sz w:val="16"/>
          <w:szCs w:val="16"/>
          <w:lang w:val="pt-BR"/>
        </w:rPr>
        <w:t xml:space="preserve"> de 2003; C-652 de 5 de agosto de 2003, expediente: D-4330; C-353 de 20 de </w:t>
      </w:r>
      <w:proofErr w:type="spellStart"/>
      <w:r w:rsidRPr="002F2A8C">
        <w:rPr>
          <w:rFonts w:ascii="Verdana" w:hAnsi="Verdana" w:cs="Arial"/>
          <w:sz w:val="16"/>
          <w:szCs w:val="16"/>
          <w:lang w:val="pt-BR"/>
        </w:rPr>
        <w:t>mayo</w:t>
      </w:r>
      <w:proofErr w:type="spellEnd"/>
      <w:r w:rsidRPr="002F2A8C">
        <w:rPr>
          <w:rFonts w:ascii="Verdana" w:hAnsi="Verdana" w:cs="Arial"/>
          <w:sz w:val="16"/>
          <w:szCs w:val="16"/>
          <w:lang w:val="pt-BR"/>
        </w:rPr>
        <w:t xml:space="preserve"> de 2009, expediente: D-7518, C-541 de 30 de </w:t>
      </w:r>
      <w:proofErr w:type="spellStart"/>
      <w:r w:rsidRPr="002F2A8C">
        <w:rPr>
          <w:rFonts w:ascii="Verdana" w:hAnsi="Verdana" w:cs="Arial"/>
          <w:sz w:val="16"/>
          <w:szCs w:val="16"/>
          <w:lang w:val="pt-BR"/>
        </w:rPr>
        <w:t>junio</w:t>
      </w:r>
      <w:proofErr w:type="spellEnd"/>
      <w:r w:rsidRPr="002F2A8C">
        <w:rPr>
          <w:rFonts w:ascii="Verdana" w:hAnsi="Verdana" w:cs="Arial"/>
          <w:sz w:val="16"/>
          <w:szCs w:val="16"/>
          <w:lang w:val="pt-BR"/>
        </w:rPr>
        <w:t xml:space="preserve"> de 2010, expediente: DD7966; entre </w:t>
      </w:r>
      <w:proofErr w:type="spellStart"/>
      <w:r w:rsidRPr="002F2A8C">
        <w:rPr>
          <w:rFonts w:ascii="Verdana" w:hAnsi="Verdana" w:cs="Arial"/>
          <w:sz w:val="16"/>
          <w:szCs w:val="16"/>
          <w:lang w:val="pt-BR"/>
        </w:rPr>
        <w:t>otras</w:t>
      </w:r>
      <w:proofErr w:type="spellEnd"/>
      <w:r w:rsidRPr="002F2A8C">
        <w:rPr>
          <w:rFonts w:ascii="Verdana" w:hAnsi="Verdana" w:cs="Arial"/>
          <w:sz w:val="16"/>
          <w:szCs w:val="16"/>
          <w:lang w:val="pt-BR"/>
        </w:rPr>
        <w:t>.</w:t>
      </w:r>
    </w:p>
  </w:footnote>
  <w:footnote w:id="2">
    <w:p w14:paraId="513CE801" w14:textId="77777777" w:rsidR="00F324B1" w:rsidRPr="002F2A8C" w:rsidRDefault="00F324B1" w:rsidP="00F324B1">
      <w:pPr>
        <w:pStyle w:val="FootnoteText"/>
        <w:ind w:firstLine="709"/>
        <w:contextualSpacing/>
        <w:jc w:val="both"/>
        <w:rPr>
          <w:rFonts w:ascii="Verdana" w:hAnsi="Verdana" w:cs="Arial"/>
          <w:sz w:val="16"/>
          <w:szCs w:val="16"/>
          <w:lang w:val="es-CO"/>
        </w:rPr>
      </w:pPr>
      <w:r w:rsidRPr="002F2A8C">
        <w:rPr>
          <w:rStyle w:val="FootnoteReference"/>
          <w:rFonts w:ascii="Verdana" w:hAnsi="Verdana" w:cs="Arial"/>
          <w:sz w:val="16"/>
          <w:szCs w:val="16"/>
        </w:rPr>
        <w:footnoteRef/>
      </w:r>
      <w:r w:rsidRPr="002F2A8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3">
    <w:p w14:paraId="289D5C96" w14:textId="77777777" w:rsidR="00F324B1" w:rsidRPr="002F2A8C" w:rsidRDefault="00F324B1" w:rsidP="00F324B1">
      <w:pPr>
        <w:pStyle w:val="FootnoteText"/>
        <w:ind w:firstLine="709"/>
        <w:contextualSpacing/>
        <w:jc w:val="both"/>
        <w:rPr>
          <w:rFonts w:ascii="Verdana" w:hAnsi="Verdana" w:cs="Arial"/>
          <w:sz w:val="16"/>
          <w:szCs w:val="16"/>
        </w:rPr>
      </w:pPr>
      <w:r w:rsidRPr="002F2A8C">
        <w:rPr>
          <w:rStyle w:val="FootnoteReference"/>
          <w:rFonts w:ascii="Verdana" w:hAnsi="Verdana" w:cs="Arial"/>
          <w:sz w:val="16"/>
          <w:szCs w:val="16"/>
        </w:rPr>
        <w:footnoteRef/>
      </w:r>
      <w:r w:rsidRPr="002F2A8C">
        <w:rPr>
          <w:rFonts w:ascii="Verdana" w:hAnsi="Verdana" w:cs="Arial"/>
          <w:sz w:val="16"/>
          <w:szCs w:val="16"/>
        </w:rPr>
        <w:t xml:space="preserve"> </w:t>
      </w:r>
      <w:r w:rsidRPr="002F2A8C">
        <w:rPr>
          <w:rFonts w:ascii="Verdana" w:hAnsi="Verdana" w:cs="Arial"/>
          <w:sz w:val="16"/>
          <w:szCs w:val="16"/>
        </w:rPr>
        <w:t xml:space="preserve">Consejo de Estado, Sala de Consulta y Servicio Civil de fecha 24 de julio de 2013, Rad. 2166, C. P. Álvaro Namén Vargas.  </w:t>
      </w:r>
    </w:p>
  </w:footnote>
  <w:footnote w:id="4">
    <w:p w14:paraId="37F5A163" w14:textId="77777777" w:rsidR="00F324B1" w:rsidRPr="002F2A8C" w:rsidRDefault="00F324B1" w:rsidP="00F324B1">
      <w:pPr>
        <w:spacing w:after="0" w:line="240" w:lineRule="auto"/>
        <w:ind w:firstLine="709"/>
        <w:contextualSpacing/>
        <w:jc w:val="both"/>
        <w:rPr>
          <w:rFonts w:ascii="Verdana" w:eastAsia="Times New Roman" w:hAnsi="Verdana" w:cs="Arial"/>
          <w:sz w:val="16"/>
          <w:szCs w:val="16"/>
        </w:rPr>
      </w:pPr>
      <w:r w:rsidRPr="002F2A8C">
        <w:rPr>
          <w:rStyle w:val="FootnoteReference"/>
          <w:rFonts w:ascii="Verdana" w:hAnsi="Verdana" w:cs="Arial"/>
          <w:sz w:val="16"/>
          <w:szCs w:val="16"/>
        </w:rPr>
        <w:footnoteRef/>
      </w:r>
      <w:r w:rsidRPr="002F2A8C">
        <w:rPr>
          <w:rFonts w:ascii="Verdana" w:hAnsi="Verdana" w:cs="Arial"/>
          <w:sz w:val="16"/>
          <w:szCs w:val="16"/>
        </w:rPr>
        <w:t xml:space="preserve"> </w:t>
      </w:r>
      <w:r w:rsidRPr="002F2A8C">
        <w:rPr>
          <w:rFonts w:ascii="Verdana" w:eastAsia="Calibri" w:hAnsi="Verdana" w:cs="Arial"/>
          <w:color w:val="000000"/>
          <w:sz w:val="16"/>
          <w:szCs w:val="16"/>
        </w:rPr>
        <w:t>“</w:t>
      </w:r>
      <w:r w:rsidRPr="002F2A8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653D23F6" w14:textId="77777777" w:rsidR="00F324B1" w:rsidRPr="002F2A8C" w:rsidRDefault="00F324B1" w:rsidP="00F324B1">
      <w:pPr>
        <w:spacing w:after="0" w:line="240" w:lineRule="auto"/>
        <w:ind w:firstLine="709"/>
        <w:contextualSpacing/>
        <w:jc w:val="both"/>
        <w:rPr>
          <w:rFonts w:ascii="Verdana" w:eastAsia="Times New Roman" w:hAnsi="Verdana" w:cs="Arial"/>
          <w:sz w:val="16"/>
          <w:szCs w:val="16"/>
        </w:rPr>
      </w:pPr>
      <w:r w:rsidRPr="002F2A8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2F2A8C">
        <w:rPr>
          <w:rFonts w:ascii="Verdana" w:eastAsia="Calibri" w:hAnsi="Verdana" w:cs="Arial"/>
          <w:color w:val="000000"/>
          <w:sz w:val="16"/>
          <w:szCs w:val="16"/>
        </w:rPr>
        <w:t>”</w:t>
      </w:r>
      <w:r w:rsidRPr="002F2A8C">
        <w:rPr>
          <w:rFonts w:ascii="Verdana" w:eastAsia="Times New Roman" w:hAnsi="Verdana" w:cs="Arial"/>
          <w:sz w:val="16"/>
          <w:szCs w:val="16"/>
        </w:rPr>
        <w:t>.</w:t>
      </w:r>
    </w:p>
  </w:footnote>
  <w:footnote w:id="5">
    <w:p w14:paraId="75997BC4" w14:textId="77777777" w:rsidR="00F324B1" w:rsidRPr="002F2A8C" w:rsidRDefault="00F324B1" w:rsidP="00F324B1">
      <w:pPr>
        <w:pStyle w:val="NormalWeb"/>
        <w:spacing w:before="0" w:beforeAutospacing="0" w:after="0" w:afterAutospacing="0"/>
        <w:ind w:firstLine="709"/>
        <w:contextualSpacing/>
        <w:jc w:val="both"/>
        <w:rPr>
          <w:rFonts w:ascii="Verdana" w:hAnsi="Verdana" w:cs="Arial"/>
          <w:sz w:val="16"/>
          <w:szCs w:val="16"/>
          <w:lang w:val="es-MX"/>
        </w:rPr>
      </w:pPr>
      <w:r w:rsidRPr="002F2A8C">
        <w:rPr>
          <w:rStyle w:val="FootnoteReference"/>
          <w:rFonts w:ascii="Verdana" w:hAnsi="Verdana" w:cs="Arial"/>
          <w:sz w:val="16"/>
          <w:szCs w:val="16"/>
        </w:rPr>
        <w:footnoteRef/>
      </w:r>
      <w:r w:rsidRPr="002F2A8C">
        <w:rPr>
          <w:rFonts w:ascii="Verdana" w:hAnsi="Verdana" w:cs="Arial"/>
          <w:sz w:val="16"/>
          <w:szCs w:val="16"/>
        </w:rPr>
        <w:t xml:space="preserve"> </w:t>
      </w:r>
      <w:r w:rsidRPr="002F2A8C">
        <w:rPr>
          <w:rFonts w:ascii="Verdana" w:eastAsia="Calibri" w:hAnsi="Verdana" w:cs="Arial"/>
          <w:color w:val="000000"/>
          <w:sz w:val="16"/>
          <w:szCs w:val="16"/>
        </w:rPr>
        <w:t>“</w:t>
      </w:r>
      <w:r w:rsidRPr="002F2A8C">
        <w:rPr>
          <w:rFonts w:ascii="Verdana" w:hAnsi="Verdana" w:cs="Arial"/>
          <w:sz w:val="16"/>
          <w:szCs w:val="16"/>
          <w:lang w:val="es-MX"/>
        </w:rPr>
        <w:t>Artículo 38. Prohibiciones para los servidores públicos. A los empleados del Estado les está prohibido: […]</w:t>
      </w:r>
    </w:p>
    <w:p w14:paraId="1C2E0185" w14:textId="77777777" w:rsidR="00F324B1" w:rsidRPr="002F2A8C" w:rsidRDefault="00F324B1" w:rsidP="00F324B1">
      <w:pPr>
        <w:pStyle w:val="NormalWeb"/>
        <w:spacing w:before="0" w:beforeAutospacing="0" w:after="0" w:afterAutospacing="0"/>
        <w:ind w:firstLine="709"/>
        <w:contextualSpacing/>
        <w:jc w:val="both"/>
        <w:rPr>
          <w:rFonts w:ascii="Verdana" w:hAnsi="Verdana" w:cs="Arial"/>
          <w:sz w:val="16"/>
          <w:szCs w:val="16"/>
          <w:lang w:val="es-MX"/>
        </w:rPr>
      </w:pPr>
      <w:r w:rsidRPr="002F2A8C">
        <w:rPr>
          <w:rStyle w:val="baj"/>
          <w:rFonts w:ascii="Verdana" w:hAnsi="Verdana" w:cs="Arial"/>
          <w:sz w:val="16"/>
          <w:szCs w:val="16"/>
          <w:lang w:val="es-MX"/>
        </w:rPr>
        <w:t>Parágrafo.</w:t>
      </w:r>
      <w:r w:rsidRPr="002F2A8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2F2A8C">
        <w:rPr>
          <w:rFonts w:ascii="Verdana" w:eastAsia="Calibri" w:hAnsi="Verdana" w:cs="Arial"/>
          <w:color w:val="000000"/>
          <w:sz w:val="16"/>
          <w:szCs w:val="16"/>
        </w:rPr>
        <w:t>”</w:t>
      </w:r>
      <w:r w:rsidRPr="002F2A8C">
        <w:rPr>
          <w:rFonts w:ascii="Verdana" w:hAnsi="Verdana" w:cs="Arial"/>
          <w:sz w:val="16"/>
          <w:szCs w:val="16"/>
          <w:lang w:val="es-MX"/>
        </w:rPr>
        <w:t>.</w:t>
      </w:r>
    </w:p>
  </w:footnote>
  <w:footnote w:id="6">
    <w:p w14:paraId="2BFD13C6" w14:textId="77777777" w:rsidR="00F324B1" w:rsidRPr="002F2A8C" w:rsidRDefault="00F324B1" w:rsidP="00F324B1">
      <w:pPr>
        <w:spacing w:after="0" w:line="240" w:lineRule="auto"/>
        <w:ind w:left="100" w:right="244" w:firstLine="709"/>
        <w:contextualSpacing/>
        <w:jc w:val="both"/>
        <w:rPr>
          <w:rFonts w:ascii="Verdana" w:hAnsi="Verdana" w:cs="Arial"/>
          <w:sz w:val="16"/>
          <w:szCs w:val="16"/>
          <w:lang w:val="es-ES"/>
        </w:rPr>
      </w:pPr>
      <w:r w:rsidRPr="002F2A8C">
        <w:rPr>
          <w:rStyle w:val="FootnoteReference"/>
          <w:rFonts w:ascii="Verdana" w:hAnsi="Verdana" w:cs="Arial"/>
          <w:sz w:val="16"/>
          <w:szCs w:val="16"/>
        </w:rPr>
        <w:footnoteRef/>
      </w:r>
      <w:r w:rsidRPr="002F2A8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7">
    <w:p w14:paraId="550D4AA5" w14:textId="6F36FCEC" w:rsidR="00F324B1" w:rsidRPr="002F2A8C" w:rsidRDefault="00F324B1" w:rsidP="002F2A8C">
      <w:pPr>
        <w:spacing w:after="0" w:line="240" w:lineRule="auto"/>
        <w:ind w:firstLine="709"/>
        <w:jc w:val="both"/>
        <w:rPr>
          <w:rFonts w:ascii="Verdana" w:hAnsi="Verdana" w:cs="Arial"/>
          <w:sz w:val="16"/>
          <w:szCs w:val="16"/>
          <w:lang w:val="es-ES"/>
        </w:rPr>
      </w:pPr>
      <w:r w:rsidRPr="002F2A8C">
        <w:rPr>
          <w:rStyle w:val="FootnoteReference"/>
          <w:rFonts w:ascii="Verdana" w:hAnsi="Verdana" w:cs="Arial"/>
          <w:sz w:val="16"/>
          <w:szCs w:val="16"/>
        </w:rPr>
        <w:footnoteRef/>
      </w:r>
      <w:r w:rsidRPr="002F2A8C">
        <w:rPr>
          <w:rFonts w:ascii="Verdana" w:hAnsi="Verdana" w:cs="Arial"/>
          <w:sz w:val="16"/>
          <w:szCs w:val="16"/>
        </w:rPr>
        <w:t xml:space="preserve"> </w:t>
      </w:r>
      <w:r w:rsidRPr="002F2A8C">
        <w:rPr>
          <w:rFonts w:ascii="Verdana" w:hAnsi="Verdana" w:cs="Arial"/>
          <w:sz w:val="16"/>
          <w:szCs w:val="16"/>
          <w:lang w:val="es-ES"/>
        </w:rPr>
        <w:t>En efecto, este enunciado normativo establece: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footnote>
  <w:footnote w:id="8">
    <w:p w14:paraId="5B2F8EBF" w14:textId="7DA99E9E" w:rsidR="00F324B1" w:rsidRPr="002F2A8C" w:rsidRDefault="00F324B1" w:rsidP="002F2A8C">
      <w:pPr>
        <w:spacing w:after="0" w:line="240" w:lineRule="auto"/>
        <w:ind w:firstLine="709"/>
        <w:jc w:val="both"/>
        <w:rPr>
          <w:rFonts w:ascii="Verdana" w:hAnsi="Verdana" w:cs="Arial"/>
          <w:sz w:val="16"/>
          <w:szCs w:val="16"/>
          <w:lang w:val="es-ES"/>
        </w:rPr>
      </w:pPr>
      <w:r w:rsidRPr="002F2A8C">
        <w:rPr>
          <w:rStyle w:val="FootnoteReference"/>
          <w:rFonts w:ascii="Verdana" w:hAnsi="Verdana" w:cs="Arial"/>
          <w:sz w:val="16"/>
          <w:szCs w:val="16"/>
        </w:rPr>
        <w:footnoteRef/>
      </w:r>
      <w:r w:rsidRPr="002F2A8C">
        <w:rPr>
          <w:rFonts w:ascii="Verdana" w:hAnsi="Verdana" w:cs="Arial"/>
          <w:sz w:val="16"/>
          <w:szCs w:val="16"/>
        </w:rPr>
        <w:t xml:space="preserve"> </w:t>
      </w:r>
      <w:r w:rsidRPr="002F2A8C">
        <w:rPr>
          <w:rFonts w:ascii="Verdana" w:hAnsi="Verdana" w:cs="Arial"/>
          <w:sz w:val="16"/>
          <w:szCs w:val="16"/>
          <w:lang w:val="es-ES"/>
        </w:rPr>
        <w:t>En efecto, el artículo 1.500 del Código Civil expresa: “El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footnote>
  <w:footnote w:id="9">
    <w:p w14:paraId="48B8E530" w14:textId="091820A9" w:rsidR="00F324B1" w:rsidRPr="002F2A8C" w:rsidRDefault="00F324B1" w:rsidP="002F2A8C">
      <w:pPr>
        <w:spacing w:after="0" w:line="240" w:lineRule="auto"/>
        <w:ind w:firstLine="709"/>
        <w:jc w:val="both"/>
        <w:rPr>
          <w:rFonts w:ascii="Verdana" w:eastAsia="Calibri" w:hAnsi="Verdana" w:cs="Arial"/>
          <w:sz w:val="16"/>
          <w:szCs w:val="16"/>
          <w:lang w:val="es-ES"/>
        </w:rPr>
      </w:pPr>
      <w:r w:rsidRPr="002F2A8C">
        <w:rPr>
          <w:rStyle w:val="FootnoteReference"/>
          <w:rFonts w:ascii="Verdana" w:hAnsi="Verdana"/>
          <w:sz w:val="16"/>
          <w:szCs w:val="16"/>
        </w:rPr>
        <w:footnoteRef/>
      </w:r>
      <w:r w:rsidRPr="002F2A8C">
        <w:rPr>
          <w:rFonts w:ascii="Verdana" w:hAnsi="Verdana"/>
          <w:sz w:val="16"/>
          <w:szCs w:val="16"/>
        </w:rPr>
        <w:t xml:space="preserve"> </w:t>
      </w:r>
      <w:r w:rsidRPr="002F2A8C">
        <w:rPr>
          <w:rFonts w:ascii="Verdana" w:eastAsia="Calibri" w:hAnsi="Verdana" w:cs="Arial"/>
          <w:sz w:val="16"/>
          <w:szCs w:val="16"/>
          <w:lang w:val="es-ES"/>
        </w:rPr>
        <w:t>La excepción a la anterior regla se encuentra en el cuarto inciso del mismo artículo, según el cual, “</w:t>
      </w:r>
      <w:r w:rsidRPr="002F2A8C">
        <w:rPr>
          <w:rFonts w:ascii="Verdana" w:eastAsia="Calibri" w:hAnsi="Verdana" w:cs="Arial"/>
          <w:i/>
          <w:iCs/>
          <w:sz w:val="16"/>
          <w:szCs w:val="16"/>
          <w:lang w:val="es-ES"/>
        </w:rPr>
        <w:t>En caso de situaciones de urgencia manifiesta a que se refiere el artículo </w:t>
      </w:r>
      <w:hyperlink r:id="rId1" w:anchor="42" w:history="1">
        <w:r w:rsidRPr="002F2A8C">
          <w:rPr>
            <w:rStyle w:val="Hyperlink"/>
            <w:rFonts w:ascii="Verdana" w:eastAsia="Calibri" w:hAnsi="Verdana" w:cs="Arial"/>
            <w:i/>
            <w:iCs/>
            <w:color w:val="auto"/>
            <w:sz w:val="16"/>
            <w:szCs w:val="16"/>
            <w:u w:val="none"/>
            <w:lang w:val="es-ES"/>
          </w:rPr>
          <w:t>42</w:t>
        </w:r>
      </w:hyperlink>
      <w:r w:rsidRPr="002F2A8C">
        <w:rPr>
          <w:rFonts w:ascii="Verdana" w:eastAsia="Calibri" w:hAnsi="Verdana" w:cs="Arial"/>
          <w:i/>
          <w:iCs/>
          <w:sz w:val="16"/>
          <w:szCs w:val="16"/>
          <w:lang w:val="es-ES"/>
        </w:rPr>
        <w:t> de esta ley que no permitan la suscripción de contrato escrito, se prescindirá de éste y aún del acuerdo acerca de la remuneración, no obstante, deberá dejarse constancia escrita de la autorización impartida por la entidad estatal contratante</w:t>
      </w:r>
      <w:r w:rsidRPr="002F2A8C">
        <w:rPr>
          <w:rFonts w:ascii="Verdana" w:eastAsia="Calibri" w:hAnsi="Verdana" w:cs="Arial"/>
          <w:sz w:val="16"/>
          <w:szCs w:val="16"/>
          <w:lang w:val="es-ES"/>
        </w:rPr>
        <w:t>”. En otras palabras, por regla general, los contratos estatales deben constar por escrito, salvo que se presente una situación de urgencia manifiesta en la que no haya tiempo de cumplir con esta formalidad.</w:t>
      </w:r>
    </w:p>
  </w:footnote>
  <w:footnote w:id="10">
    <w:p w14:paraId="619CF1AF" w14:textId="0AFF8EDB" w:rsidR="00F324B1" w:rsidRPr="002F2A8C" w:rsidRDefault="00F324B1" w:rsidP="002F2A8C">
      <w:pPr>
        <w:pStyle w:val="FootnoteText"/>
        <w:ind w:firstLine="709"/>
        <w:jc w:val="both"/>
        <w:rPr>
          <w:rFonts w:ascii="Verdana" w:hAnsi="Verdana" w:cs="Arial"/>
          <w:sz w:val="16"/>
          <w:szCs w:val="16"/>
          <w:lang w:val="es-ES"/>
        </w:rPr>
      </w:pPr>
      <w:r w:rsidRPr="002F2A8C">
        <w:rPr>
          <w:rStyle w:val="FootnoteReference"/>
          <w:rFonts w:ascii="Verdana" w:hAnsi="Verdana" w:cs="Arial"/>
          <w:sz w:val="16"/>
          <w:szCs w:val="16"/>
        </w:rPr>
        <w:footnoteRef/>
      </w:r>
      <w:r w:rsidRPr="002F2A8C">
        <w:rPr>
          <w:rFonts w:ascii="Verdana" w:hAnsi="Verdana" w:cs="Arial"/>
          <w:sz w:val="16"/>
          <w:szCs w:val="16"/>
        </w:rPr>
        <w:t xml:space="preserve"> </w:t>
      </w:r>
      <w:r w:rsidRPr="002F2A8C">
        <w:rPr>
          <w:rFonts w:ascii="Verdana" w:hAnsi="Verdana" w:cs="Arial"/>
          <w:sz w:val="16"/>
          <w:szCs w:val="16"/>
          <w:lang w:val="es-ES"/>
        </w:rPr>
        <w:t>EXPÓSITO VÉLEZ, Juan Carlos. Forma y contenido del contrato estatal. Bogotá: Universidad Externado de Colombia, 2013. pp. 28-29.</w:t>
      </w:r>
    </w:p>
  </w:footnote>
  <w:footnote w:id="11">
    <w:p w14:paraId="5CF0C248" w14:textId="77777777" w:rsidR="00F324B1" w:rsidRPr="002F2A8C" w:rsidRDefault="00F324B1" w:rsidP="00F324B1">
      <w:pPr>
        <w:pStyle w:val="FootnoteText"/>
        <w:ind w:firstLine="709"/>
        <w:jc w:val="both"/>
        <w:rPr>
          <w:rFonts w:ascii="Verdana" w:hAnsi="Verdana" w:cs="Arial"/>
          <w:color w:val="000000" w:themeColor="text1"/>
          <w:sz w:val="16"/>
          <w:szCs w:val="16"/>
        </w:rPr>
      </w:pPr>
      <w:r w:rsidRPr="002F2A8C">
        <w:rPr>
          <w:rStyle w:val="FootnoteReference"/>
          <w:rFonts w:ascii="Verdana" w:hAnsi="Verdana" w:cs="Arial"/>
          <w:sz w:val="16"/>
          <w:szCs w:val="16"/>
        </w:rPr>
        <w:footnoteRef/>
      </w:r>
      <w:r w:rsidRPr="002F2A8C">
        <w:rPr>
          <w:rFonts w:ascii="Verdana" w:hAnsi="Verdana" w:cs="Arial"/>
          <w:color w:val="000000" w:themeColor="text1"/>
          <w:sz w:val="16"/>
          <w:szCs w:val="16"/>
        </w:rPr>
        <w:t xml:space="preserve"> </w:t>
      </w:r>
      <w:r w:rsidRPr="002F2A8C">
        <w:rPr>
          <w:rFonts w:ascii="Verdana" w:hAnsi="Verdana" w:cs="Arial"/>
          <w:color w:val="000000" w:themeColor="text1"/>
          <w:sz w:val="16"/>
          <w:szCs w:val="16"/>
        </w:rPr>
        <w:t>Consejo de Estado. Sala de lo Contencioso Administrativo. Sección Tercera. Subsección B. Sentencia del 10 de mayo de 2018. Exp. 41.186. C.P. Stella Conto Díaz del Castillo.</w:t>
      </w:r>
    </w:p>
    <w:p w14:paraId="1B5A19BA" w14:textId="77777777" w:rsidR="00F324B1" w:rsidRPr="002F2A8C" w:rsidRDefault="00F324B1" w:rsidP="00F324B1">
      <w:pPr>
        <w:pStyle w:val="FootnoteText"/>
        <w:ind w:firstLine="709"/>
        <w:jc w:val="both"/>
        <w:rPr>
          <w:rFonts w:ascii="Verdana" w:hAnsi="Verdana" w:cs="Arial"/>
          <w:color w:val="000000" w:themeColor="text1"/>
          <w:sz w:val="16"/>
          <w:szCs w:val="16"/>
          <w:lang w:val="es-ES"/>
        </w:rPr>
      </w:pPr>
    </w:p>
  </w:footnote>
  <w:footnote w:id="12">
    <w:p w14:paraId="6A99B8AE" w14:textId="77777777" w:rsidR="00F324B1" w:rsidRPr="002F2A8C" w:rsidRDefault="00F324B1" w:rsidP="00F324B1">
      <w:pPr>
        <w:pStyle w:val="FootnoteText"/>
        <w:ind w:firstLine="708"/>
        <w:jc w:val="both"/>
        <w:rPr>
          <w:rFonts w:ascii="Verdana" w:hAnsi="Verdana"/>
          <w:sz w:val="16"/>
          <w:szCs w:val="16"/>
          <w:lang w:val="es-CO"/>
        </w:rPr>
      </w:pPr>
      <w:r w:rsidRPr="002F2A8C">
        <w:rPr>
          <w:rStyle w:val="FootnoteReference"/>
          <w:rFonts w:ascii="Verdana" w:hAnsi="Verdana"/>
          <w:sz w:val="16"/>
          <w:szCs w:val="16"/>
        </w:rPr>
        <w:footnoteRef/>
      </w:r>
      <w:r w:rsidRPr="002F2A8C">
        <w:rPr>
          <w:rFonts w:ascii="Verdana" w:hAnsi="Verdana"/>
          <w:sz w:val="16"/>
          <w:szCs w:val="16"/>
        </w:rPr>
        <w:t xml:space="preserve"> </w:t>
      </w:r>
      <w:r w:rsidRPr="002F2A8C">
        <w:rPr>
          <w:rFonts w:ascii="Verdana" w:hAnsi="Verdana" w:cs="Arial"/>
          <w:color w:val="1A1A1A" w:themeColor="background1" w:themeShade="1A"/>
          <w:sz w:val="16"/>
          <w:szCs w:val="16"/>
        </w:rPr>
        <w:t>Consejo de Estado. Sala de lo Contencioso Administrativo. Sección Tercera. Subsección A. Sentencia del del 24 de febrero de 2016. Exp. 46.185. C.P. Marta Nubia Velásquez Rico.</w:t>
      </w:r>
    </w:p>
    <w:p w14:paraId="264EC953" w14:textId="77777777" w:rsidR="00F324B1" w:rsidRPr="002F2A8C" w:rsidRDefault="00F324B1" w:rsidP="00F324B1">
      <w:pPr>
        <w:pStyle w:val="FootnoteText"/>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3"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02"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1916AB3"/>
    <w:multiLevelType w:val="hybridMultilevel"/>
    <w:tmpl w:val="D61EC1E6"/>
    <w:lvl w:ilvl="0" w:tplc="73DEAA1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5714248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F2A8C"/>
    <w:rsid w:val="0030657A"/>
    <w:rsid w:val="00322A85"/>
    <w:rsid w:val="00324168"/>
    <w:rsid w:val="00330834"/>
    <w:rsid w:val="003448F4"/>
    <w:rsid w:val="00374F5E"/>
    <w:rsid w:val="00377E3E"/>
    <w:rsid w:val="003A779E"/>
    <w:rsid w:val="003C564F"/>
    <w:rsid w:val="003D0F4D"/>
    <w:rsid w:val="003D3888"/>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7F5900"/>
    <w:rsid w:val="00806F5F"/>
    <w:rsid w:val="00820278"/>
    <w:rsid w:val="008258C9"/>
    <w:rsid w:val="00844AE9"/>
    <w:rsid w:val="00867F95"/>
    <w:rsid w:val="008843B6"/>
    <w:rsid w:val="00891928"/>
    <w:rsid w:val="008A446D"/>
    <w:rsid w:val="008B25F1"/>
    <w:rsid w:val="008D180B"/>
    <w:rsid w:val="008F0EA7"/>
    <w:rsid w:val="00923EEF"/>
    <w:rsid w:val="00937C2F"/>
    <w:rsid w:val="009419F9"/>
    <w:rsid w:val="0095685E"/>
    <w:rsid w:val="00961B09"/>
    <w:rsid w:val="00965334"/>
    <w:rsid w:val="0097093E"/>
    <w:rsid w:val="009971D8"/>
    <w:rsid w:val="009A0DFA"/>
    <w:rsid w:val="009A1C6F"/>
    <w:rsid w:val="009B2D26"/>
    <w:rsid w:val="009C71FA"/>
    <w:rsid w:val="009C72E7"/>
    <w:rsid w:val="009C7F7E"/>
    <w:rsid w:val="009D3058"/>
    <w:rsid w:val="009F3A13"/>
    <w:rsid w:val="00A036D5"/>
    <w:rsid w:val="00A122D3"/>
    <w:rsid w:val="00A14468"/>
    <w:rsid w:val="00A17F13"/>
    <w:rsid w:val="00A20739"/>
    <w:rsid w:val="00A23AF9"/>
    <w:rsid w:val="00A33C78"/>
    <w:rsid w:val="00AB0ADB"/>
    <w:rsid w:val="00B00C0E"/>
    <w:rsid w:val="00B01B1A"/>
    <w:rsid w:val="00B0381D"/>
    <w:rsid w:val="00B21900"/>
    <w:rsid w:val="00B27C12"/>
    <w:rsid w:val="00B44A47"/>
    <w:rsid w:val="00B52B8D"/>
    <w:rsid w:val="00B72CD3"/>
    <w:rsid w:val="00B72FFF"/>
    <w:rsid w:val="00BC3D36"/>
    <w:rsid w:val="00BD54A6"/>
    <w:rsid w:val="00BD7F72"/>
    <w:rsid w:val="00BE5EF1"/>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2C2F"/>
    <w:rsid w:val="00E16408"/>
    <w:rsid w:val="00E20894"/>
    <w:rsid w:val="00E245AB"/>
    <w:rsid w:val="00E2764C"/>
    <w:rsid w:val="00E27F2E"/>
    <w:rsid w:val="00E50AFE"/>
    <w:rsid w:val="00E75C92"/>
    <w:rsid w:val="00E771DC"/>
    <w:rsid w:val="00E8772A"/>
    <w:rsid w:val="00E90F6B"/>
    <w:rsid w:val="00E92C27"/>
    <w:rsid w:val="00EA0E3D"/>
    <w:rsid w:val="00EB14C1"/>
    <w:rsid w:val="00EB5B5A"/>
    <w:rsid w:val="00EC38A7"/>
    <w:rsid w:val="00EE1AA8"/>
    <w:rsid w:val="00F23FEA"/>
    <w:rsid w:val="00F31EDC"/>
    <w:rsid w:val="00F324B1"/>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1"/>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link w:val="NormalWebCh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F324B1"/>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1"/>
    <w:qFormat/>
    <w:locked/>
    <w:rsid w:val="00F324B1"/>
    <w:rPr>
      <w:rFonts w:ascii="Geomanist Light" w:hAnsi="Geomanist Light"/>
      <w:lang w:val="es-ES"/>
    </w:rPr>
  </w:style>
  <w:style w:type="character" w:customStyle="1" w:styleId="baj">
    <w:name w:val="b_aj"/>
    <w:basedOn w:val="DefaultParagraphFont"/>
    <w:rsid w:val="00F324B1"/>
  </w:style>
  <w:style w:type="character" w:customStyle="1" w:styleId="NormalWebChar">
    <w:name w:val="Normal (Web) Char"/>
    <w:link w:val="NormalWeb"/>
    <w:uiPriority w:val="99"/>
    <w:locked/>
    <w:rsid w:val="00F324B1"/>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sabelrinconrios@hot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3.xml><?xml version="1.0" encoding="utf-8"?>
<ds:datastoreItem xmlns:ds="http://schemas.openxmlformats.org/officeDocument/2006/customXml" ds:itemID="{C26C5284-EB71-440E-9DDB-C4F3FC47C967}"/>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7</TotalTime>
  <Pages>14</Pages>
  <Words>3971</Words>
  <Characters>22641</Characters>
  <Application>Microsoft Office Word</Application>
  <DocSecurity>0</DocSecurity>
  <Lines>188</Lines>
  <Paragraphs>53</Paragraphs>
  <ScaleCrop>false</ScaleCrop>
  <Company/>
  <LinksUpToDate>false</LinksUpToDate>
  <CharactersWithSpaces>26559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6</cp:revision>
  <cp:lastPrinted>2023-01-10T21:18:00Z</cp:lastPrinted>
  <dcterms:created xsi:type="dcterms:W3CDTF">2025-12-31T16:27:00Z</dcterms:created>
  <dcterms:modified xsi:type="dcterms:W3CDTF">2025-12-31T16:39:00Z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