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50023C" w14:textId="77777777" w:rsidR="001141A7" w:rsidRPr="00EA2CFE" w:rsidRDefault="001141A7" w:rsidP="001141A7">
      <w:pPr>
        <w:contextualSpacing/>
        <w:jc w:val="both"/>
        <w:rPr>
          <w:rFonts w:ascii="Verdana" w:eastAsia="Yu Gothic UI Semibold" w:hAnsi="Verdana" w:cs="Arial"/>
          <w:b/>
          <w:bCs/>
          <w:color w:val="000000" w:themeColor="text1"/>
          <w:lang w:val="es-MX"/>
        </w:rPr>
      </w:pPr>
      <w:r w:rsidRPr="00EA2CFE">
        <w:rPr>
          <w:rFonts w:ascii="Verdana" w:eastAsia="Yu Gothic UI Semibold" w:hAnsi="Verdana" w:cs="Arial"/>
          <w:b/>
          <w:bCs/>
          <w:color w:val="000000" w:themeColor="text1"/>
          <w:lang w:val="es-MX"/>
        </w:rPr>
        <w:t>ESTABILIDAD LABORAL REFORZADA DE MUJER EMBARAZADA – Concepto</w:t>
      </w:r>
    </w:p>
    <w:p w14:paraId="4F728858" w14:textId="77777777" w:rsidR="001141A7" w:rsidRPr="00EA2CFE" w:rsidRDefault="001141A7" w:rsidP="001141A7">
      <w:pPr>
        <w:contextualSpacing/>
        <w:jc w:val="both"/>
        <w:rPr>
          <w:rFonts w:ascii="Verdana" w:eastAsia="Yu Gothic UI Semibold" w:hAnsi="Verdana" w:cs="Arial"/>
          <w:b/>
          <w:bCs/>
          <w:color w:val="000000" w:themeColor="text1"/>
          <w:lang w:val="es-MX"/>
        </w:rPr>
      </w:pPr>
    </w:p>
    <w:p w14:paraId="77E57BEC" w14:textId="77777777" w:rsidR="001141A7" w:rsidRPr="00EA2CFE" w:rsidRDefault="001141A7" w:rsidP="001141A7">
      <w:pPr>
        <w:contextualSpacing/>
        <w:jc w:val="both"/>
        <w:rPr>
          <w:rFonts w:ascii="Verdana" w:eastAsia="Yu Gothic UI Semibold" w:hAnsi="Verdana" w:cs="Arial"/>
          <w:b/>
          <w:bCs/>
          <w:color w:val="000000" w:themeColor="text1"/>
          <w:sz w:val="20"/>
          <w:szCs w:val="20"/>
          <w:lang w:val="es-MX"/>
        </w:rPr>
      </w:pPr>
      <w:r w:rsidRPr="00EA2CFE">
        <w:rPr>
          <w:rFonts w:ascii="Verdana" w:eastAsia="Calibri" w:hAnsi="Verdana" w:cs="Arial"/>
          <w:bCs/>
          <w:sz w:val="20"/>
          <w:szCs w:val="20"/>
          <w:lang w:val="es-MX"/>
        </w:rPr>
        <w:t xml:space="preserve">El fuero de maternidad es una figura que otorga una protección reforzada a la futura madre y a la que acaba de serlo, es decir, a la mujer que se encuentra en estado de embarazo y en periodo de lactancia, con el fin de que el proceso de gestación no interfiera en la estabilidad laboral que, como trabajadora, le asiste. El propósito es que la aspiraciones familiares y profesionales de la mujer no se excluyan y puedan armonizarse, al punto de desarrollar su proyecto de vida y su personalidad en condiciones de dignidad y libertad, pues históricamente el estado de gravidez (embarazo) ha constituido un motivo de exclusión de la mujer en el trabajo, en el que es preciso </w:t>
      </w:r>
      <w:r>
        <w:rPr>
          <w:rFonts w:ascii="Verdana" w:eastAsia="Calibri" w:hAnsi="Verdana" w:cs="Arial"/>
          <w:bCs/>
          <w:sz w:val="20"/>
          <w:szCs w:val="20"/>
          <w:lang w:val="es-MX"/>
        </w:rPr>
        <w:t>“</w:t>
      </w:r>
      <w:r w:rsidRPr="00EA2CFE">
        <w:rPr>
          <w:rFonts w:ascii="Verdana" w:eastAsia="Calibri" w:hAnsi="Verdana" w:cs="Arial"/>
          <w:bCs/>
          <w:sz w:val="20"/>
          <w:szCs w:val="20"/>
          <w:lang w:val="es-MX"/>
        </w:rPr>
        <w:t>impedir la discriminación constituida por el despido, la terminación o la no renovación del contrato por causa o con ocasión del embarazo o la lactancia</w:t>
      </w:r>
      <w:r>
        <w:rPr>
          <w:rFonts w:ascii="Verdana" w:eastAsia="Calibri" w:hAnsi="Verdana" w:cs="Arial"/>
          <w:bCs/>
          <w:sz w:val="20"/>
          <w:szCs w:val="20"/>
          <w:lang w:val="es-MX"/>
        </w:rPr>
        <w:t>”</w:t>
      </w:r>
      <w:r w:rsidRPr="00EA2CFE">
        <w:rPr>
          <w:rFonts w:ascii="Verdana" w:eastAsia="Calibri" w:hAnsi="Verdana" w:cs="Arial"/>
          <w:bCs/>
          <w:sz w:val="20"/>
          <w:szCs w:val="20"/>
          <w:lang w:val="es-MX"/>
        </w:rPr>
        <w:t>.</w:t>
      </w:r>
    </w:p>
    <w:p w14:paraId="39CFF26A" w14:textId="77777777" w:rsidR="001141A7" w:rsidRPr="00EA2CFE" w:rsidRDefault="001141A7" w:rsidP="001141A7">
      <w:pPr>
        <w:contextualSpacing/>
        <w:jc w:val="both"/>
        <w:rPr>
          <w:rFonts w:ascii="Verdana" w:eastAsia="Yu Gothic UI Semibold" w:hAnsi="Verdana" w:cs="Arial"/>
          <w:b/>
          <w:bCs/>
          <w:color w:val="000000" w:themeColor="text1"/>
          <w:sz w:val="20"/>
          <w:szCs w:val="20"/>
          <w:lang w:val="es-MX"/>
        </w:rPr>
      </w:pPr>
    </w:p>
    <w:p w14:paraId="799392B6" w14:textId="77777777" w:rsidR="001141A7" w:rsidRPr="00EA2CFE" w:rsidRDefault="001141A7" w:rsidP="001141A7">
      <w:pPr>
        <w:contextualSpacing/>
        <w:jc w:val="both"/>
        <w:rPr>
          <w:rFonts w:ascii="Verdana" w:eastAsia="Yu Gothic UI Semibold" w:hAnsi="Verdana" w:cs="Arial"/>
          <w:b/>
          <w:bCs/>
          <w:color w:val="000000" w:themeColor="text1"/>
          <w:lang w:val="es-MX"/>
        </w:rPr>
      </w:pPr>
      <w:r w:rsidRPr="00EA2CFE">
        <w:rPr>
          <w:rFonts w:ascii="Verdana" w:eastAsia="Yu Gothic UI Semibold" w:hAnsi="Verdana" w:cs="Arial"/>
          <w:b/>
          <w:bCs/>
          <w:color w:val="000000" w:themeColor="text1"/>
          <w:lang w:val="es-MX"/>
        </w:rPr>
        <w:t xml:space="preserve">ESTABILIDAD LABORAL REFORZADA DE MUJER EMBARAZADA – Unificación jurisprudencial </w:t>
      </w:r>
    </w:p>
    <w:p w14:paraId="2D7057E4" w14:textId="77777777" w:rsidR="001141A7" w:rsidRPr="00EA2CFE" w:rsidRDefault="001141A7" w:rsidP="001141A7">
      <w:pPr>
        <w:contextualSpacing/>
        <w:jc w:val="both"/>
        <w:rPr>
          <w:rFonts w:ascii="Verdana" w:eastAsia="Yu Gothic UI Semibold" w:hAnsi="Verdana" w:cs="Arial"/>
          <w:b/>
          <w:bCs/>
          <w:color w:val="000000" w:themeColor="text1"/>
          <w:sz w:val="20"/>
          <w:szCs w:val="20"/>
          <w:lang w:val="es-MX"/>
        </w:rPr>
      </w:pPr>
    </w:p>
    <w:p w14:paraId="49E87E66" w14:textId="77777777" w:rsidR="001141A7" w:rsidRPr="00EA2CFE" w:rsidRDefault="001141A7" w:rsidP="001141A7">
      <w:pPr>
        <w:contextualSpacing/>
        <w:jc w:val="both"/>
        <w:rPr>
          <w:rFonts w:ascii="Verdana" w:eastAsia="Yu Gothic UI Semibold" w:hAnsi="Verdana" w:cs="Arial"/>
          <w:sz w:val="20"/>
          <w:szCs w:val="20"/>
          <w:shd w:val="clear" w:color="auto" w:fill="FFFFFF"/>
          <w:lang w:val="es-ES_tradnl"/>
        </w:rPr>
      </w:pPr>
      <w:r w:rsidRPr="00EA2CFE">
        <w:rPr>
          <w:rFonts w:ascii="Verdana" w:eastAsia="Yu Gothic UI Semibold" w:hAnsi="Verdana" w:cs="Arial"/>
          <w:sz w:val="20"/>
          <w:szCs w:val="20"/>
          <w:shd w:val="clear" w:color="auto" w:fill="FFFFFF"/>
          <w:lang w:val="es-ES_tradnl"/>
        </w:rPr>
        <w:t xml:space="preserve">[…] </w:t>
      </w:r>
      <w:r w:rsidRPr="00EA2CFE">
        <w:rPr>
          <w:rFonts w:ascii="Verdana" w:eastAsia="Yu Gothic UI Semibold" w:hAnsi="Verdana" w:cs="Arial"/>
          <w:sz w:val="20"/>
          <w:szCs w:val="20"/>
        </w:rPr>
        <w:t>en el año 2018 la Corte Constitucional profirió la sentencia de unificación SU-075 de 2018, en la cual recoge, entre otras, las sentencias T-030 de 2018 y T-350 del 2016. En esta providencia, el Alto Tribunal establece unos criterios con el fin de impedir la discriminación que se puede presentar a una mujer en estado de embarazo o lactancia, específicamente, respecto a la terminación o la no renovación del contrato. Dando paso a establecer que el denominado</w:t>
      </w:r>
      <w:r w:rsidRPr="00EA2CFE">
        <w:rPr>
          <w:rFonts w:ascii="Verdana" w:eastAsia="Yu Gothic UI Semibold" w:hAnsi="Verdana" w:cs="Arial"/>
          <w:i/>
          <w:sz w:val="20"/>
          <w:szCs w:val="20"/>
        </w:rPr>
        <w:t xml:space="preserve"> </w:t>
      </w:r>
      <w:r>
        <w:rPr>
          <w:rFonts w:ascii="Verdana" w:eastAsia="Yu Gothic UI Semibold" w:hAnsi="Verdana" w:cs="Arial"/>
          <w:i/>
          <w:sz w:val="20"/>
          <w:szCs w:val="20"/>
          <w:lang w:eastAsia="es-MX"/>
        </w:rPr>
        <w:t>“</w:t>
      </w:r>
      <w:r w:rsidRPr="00EA2CFE">
        <w:rPr>
          <w:rFonts w:ascii="Verdana" w:eastAsia="Yu Gothic UI Semibold" w:hAnsi="Verdana" w:cs="Arial"/>
          <w:i/>
          <w:sz w:val="20"/>
          <w:szCs w:val="20"/>
        </w:rPr>
        <w:t>fuero de maternidad</w:t>
      </w:r>
      <w:r>
        <w:rPr>
          <w:rFonts w:ascii="Verdana" w:eastAsia="Yu Gothic UI Semibold" w:hAnsi="Verdana" w:cs="Arial"/>
          <w:i/>
          <w:sz w:val="20"/>
          <w:szCs w:val="20"/>
          <w:lang w:eastAsia="es-MX"/>
        </w:rPr>
        <w:t>”</w:t>
      </w:r>
      <w:r w:rsidRPr="00EA2CFE">
        <w:rPr>
          <w:rFonts w:ascii="Verdana" w:eastAsia="Yu Gothic UI Semibold" w:hAnsi="Verdana" w:cs="Arial"/>
          <w:i/>
          <w:sz w:val="20"/>
          <w:szCs w:val="20"/>
        </w:rPr>
        <w:t>,</w:t>
      </w:r>
      <w:r w:rsidRPr="00EA2CFE">
        <w:rPr>
          <w:rFonts w:ascii="Verdana" w:eastAsia="Yu Gothic UI Semibold" w:hAnsi="Verdana" w:cs="Arial"/>
          <w:sz w:val="20"/>
          <w:szCs w:val="20"/>
        </w:rPr>
        <w:t xml:space="preserve"> encuentra también su sustento en la cláusula general de igualdad de la Constitución </w:t>
      </w:r>
      <w:r>
        <w:rPr>
          <w:rFonts w:ascii="Verdana" w:eastAsia="Yu Gothic UI Semibold" w:hAnsi="Verdana" w:cs="Arial"/>
          <w:i/>
          <w:sz w:val="20"/>
          <w:szCs w:val="20"/>
          <w:lang w:eastAsia="es-MX"/>
        </w:rPr>
        <w:t>“</w:t>
      </w:r>
      <w:r w:rsidRPr="00EA2CFE">
        <w:rPr>
          <w:rFonts w:ascii="Verdana" w:eastAsia="Yu Gothic UI Semibold" w:hAnsi="Verdana" w:cs="Arial"/>
          <w:i/>
          <w:sz w:val="20"/>
          <w:szCs w:val="20"/>
        </w:rPr>
        <w:t>que proscribe la discriminación por razones de sexo, así como en el ya mencionado artículo 43 Superior, que dispone la igualdad de derechos y oportunidades entre hombres y mujeres</w:t>
      </w:r>
      <w:r>
        <w:rPr>
          <w:rFonts w:ascii="Verdana" w:eastAsia="Yu Gothic UI Semibold" w:hAnsi="Verdana" w:cs="Arial"/>
          <w:i/>
          <w:sz w:val="20"/>
          <w:szCs w:val="20"/>
          <w:lang w:eastAsia="es-MX"/>
        </w:rPr>
        <w:t>”</w:t>
      </w:r>
    </w:p>
    <w:p w14:paraId="7745EE36" w14:textId="77777777" w:rsidR="001141A7" w:rsidRPr="00EA2CFE" w:rsidRDefault="001141A7" w:rsidP="001141A7">
      <w:pPr>
        <w:contextualSpacing/>
        <w:rPr>
          <w:rFonts w:ascii="Verdana" w:hAnsi="Verdana" w:cs="Arial"/>
          <w:sz w:val="20"/>
          <w:szCs w:val="20"/>
        </w:rPr>
      </w:pPr>
    </w:p>
    <w:p w14:paraId="50D081AE" w14:textId="77777777" w:rsidR="001141A7" w:rsidRPr="00EA2CFE" w:rsidRDefault="001141A7" w:rsidP="001141A7">
      <w:pPr>
        <w:contextualSpacing/>
        <w:jc w:val="both"/>
        <w:rPr>
          <w:rFonts w:ascii="Verdana" w:eastAsia="Yu Gothic UI Semibold" w:hAnsi="Verdana" w:cs="Arial"/>
          <w:b/>
          <w:bCs/>
          <w:color w:val="000000" w:themeColor="text1"/>
          <w:sz w:val="20"/>
          <w:szCs w:val="20"/>
          <w:lang w:val="es-MX"/>
        </w:rPr>
      </w:pPr>
      <w:r w:rsidRPr="00EA2CFE">
        <w:rPr>
          <w:rFonts w:ascii="Verdana" w:eastAsia="Yu Gothic UI Semibold" w:hAnsi="Verdana" w:cs="Arial"/>
          <w:b/>
          <w:bCs/>
          <w:color w:val="000000" w:themeColor="text1"/>
          <w:lang w:val="es-MX"/>
        </w:rPr>
        <w:t>ESTABILIDAD LABORAL REFORZADA DE MUJER EMBARAZADA – Procedencia</w:t>
      </w:r>
    </w:p>
    <w:p w14:paraId="6A0BD7FC" w14:textId="77777777" w:rsidR="001141A7" w:rsidRPr="00EA2CFE" w:rsidRDefault="001141A7" w:rsidP="001141A7">
      <w:pPr>
        <w:contextualSpacing/>
        <w:jc w:val="both"/>
        <w:rPr>
          <w:rFonts w:ascii="Verdana" w:hAnsi="Verdana" w:cs="Arial"/>
          <w:sz w:val="20"/>
          <w:szCs w:val="20"/>
        </w:rPr>
      </w:pPr>
    </w:p>
    <w:p w14:paraId="6369CE57" w14:textId="77777777" w:rsidR="001141A7" w:rsidRPr="00EA2CFE" w:rsidRDefault="001141A7" w:rsidP="001141A7">
      <w:pPr>
        <w:widowControl w:val="0"/>
        <w:autoSpaceDE w:val="0"/>
        <w:autoSpaceDN w:val="0"/>
        <w:contextualSpacing/>
        <w:jc w:val="both"/>
        <w:rPr>
          <w:rFonts w:ascii="Verdana" w:eastAsia="Arial" w:hAnsi="Verdana" w:cs="Arial"/>
          <w:sz w:val="20"/>
          <w:szCs w:val="20"/>
          <w:lang w:val="es-ES"/>
        </w:rPr>
      </w:pPr>
      <w:r w:rsidRPr="00EA2CFE">
        <w:rPr>
          <w:rFonts w:ascii="Verdana" w:eastAsia="Arial" w:hAnsi="Verdana" w:cs="Arial"/>
          <w:sz w:val="20"/>
          <w:szCs w:val="20"/>
          <w:lang w:val="es-ES"/>
        </w:rPr>
        <w:t>Conforme a lo anterior, la Corte Constitucional ha expuesto dos (2) posiciones frente a los cuales opera la protección proveniente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(ii) cuando a pesar de no probarse la configuración de un contrato realidad la terminación del contrato de prestación de servicios se fundamenta en criterios discriminatorios, y no en motivos objetivos.</w:t>
      </w:r>
    </w:p>
    <w:p w14:paraId="6D1DB9BE" w14:textId="77777777" w:rsidR="001141A7" w:rsidRPr="00EA2CFE" w:rsidRDefault="001141A7" w:rsidP="001141A7">
      <w:pPr>
        <w:widowControl w:val="0"/>
        <w:autoSpaceDE w:val="0"/>
        <w:autoSpaceDN w:val="0"/>
        <w:contextualSpacing/>
        <w:jc w:val="both"/>
        <w:rPr>
          <w:rFonts w:ascii="Verdana" w:eastAsia="Arial" w:hAnsi="Verdana" w:cs="Arial"/>
          <w:sz w:val="20"/>
          <w:szCs w:val="20"/>
          <w:lang w:val="es-ES"/>
        </w:rPr>
      </w:pPr>
    </w:p>
    <w:p w14:paraId="286B9B92" w14:textId="77777777" w:rsidR="001141A7" w:rsidRPr="00EA2CFE" w:rsidRDefault="001141A7" w:rsidP="001141A7">
      <w:pPr>
        <w:contextualSpacing/>
        <w:jc w:val="both"/>
        <w:rPr>
          <w:rFonts w:ascii="Verdana" w:eastAsia="Yu Gothic UI Semibold" w:hAnsi="Verdana" w:cs="Arial"/>
          <w:b/>
          <w:bCs/>
          <w:color w:val="000000" w:themeColor="text1"/>
          <w:lang w:val="es-MX"/>
        </w:rPr>
      </w:pPr>
      <w:r w:rsidRPr="00EA2CFE">
        <w:rPr>
          <w:rFonts w:ascii="Verdana" w:eastAsia="Yu Gothic UI Semibold" w:hAnsi="Verdana" w:cs="Arial"/>
          <w:b/>
          <w:bCs/>
          <w:color w:val="000000" w:themeColor="text1"/>
          <w:lang w:val="es-MX"/>
        </w:rPr>
        <w:t xml:space="preserve">SUSPENSIÓN DEL CONTRATO – Estado de embarazo y licencia de maternidad </w:t>
      </w:r>
    </w:p>
    <w:p w14:paraId="433BF918" w14:textId="77777777" w:rsidR="001141A7" w:rsidRPr="00EA2CFE" w:rsidRDefault="001141A7" w:rsidP="001141A7">
      <w:pPr>
        <w:contextualSpacing/>
        <w:jc w:val="both"/>
        <w:rPr>
          <w:rFonts w:ascii="Verdana" w:hAnsi="Verdana" w:cs="Arial"/>
          <w:sz w:val="20"/>
          <w:szCs w:val="20"/>
        </w:rPr>
      </w:pPr>
    </w:p>
    <w:p w14:paraId="6ECFEB60" w14:textId="77777777" w:rsidR="001141A7" w:rsidRPr="00EA2CFE" w:rsidRDefault="001141A7" w:rsidP="001141A7">
      <w:pPr>
        <w:contextualSpacing/>
        <w:jc w:val="both"/>
        <w:rPr>
          <w:rFonts w:ascii="Verdana" w:hAnsi="Verdana" w:cs="Arial"/>
          <w:color w:val="333333"/>
          <w:sz w:val="20"/>
          <w:szCs w:val="20"/>
          <w:shd w:val="clear" w:color="auto" w:fill="FFFFFF"/>
        </w:rPr>
      </w:pPr>
      <w:r w:rsidRPr="00EA2CFE">
        <w:rPr>
          <w:rFonts w:ascii="Verdana" w:hAnsi="Verdana" w:cs="Arial"/>
          <w:sz w:val="20"/>
          <w:szCs w:val="20"/>
        </w:rPr>
        <w:t>Conforme lo anterior, cuando se presenten el tipo de situaciones descritas en la consulta, la entidad estatal, a través del supervisor del contrato, determinará si las obligaciones contractuales no pueden desarrollarse temporalmente por parte de la contratista y, en consecuencia, debe proceder a la suspensión del contrato durante su estado de embarazo o en el periodo de la licencia de maternidad.</w:t>
      </w:r>
      <w:r w:rsidRPr="00EA2CFE">
        <w:rPr>
          <w:rFonts w:ascii="Verdana" w:hAnsi="Verdana" w:cs="Arial"/>
          <w:sz w:val="20"/>
          <w:szCs w:val="20"/>
          <w:shd w:val="clear" w:color="auto" w:fill="FFFFFF"/>
        </w:rPr>
        <w:t xml:space="preserve"> En ese sentido, s</w:t>
      </w:r>
      <w:r w:rsidRPr="00EA2CFE">
        <w:rPr>
          <w:rFonts w:ascii="Verdana" w:hAnsi="Verdana" w:cs="Arial"/>
          <w:color w:val="333333"/>
          <w:sz w:val="20"/>
          <w:szCs w:val="20"/>
          <w:shd w:val="clear" w:color="auto" w:fill="FFFFFF"/>
        </w:rPr>
        <w:t>i a pesar de la licencia, las partes acuerdan no suspender el contrato y la contratista acredita el cumplimiento de las actividades contratadas, habría lugar al pago de honorarios, pues el objeto contractual estaría siendo ejecutado. Por el contrario, </w:t>
      </w:r>
      <w:r w:rsidRPr="00EA2CFE">
        <w:rPr>
          <w:rStyle w:val="Textoennegrita"/>
          <w:rFonts w:ascii="Verdana" w:hAnsi="Verdana" w:cs="Arial"/>
          <w:color w:val="333333"/>
          <w:sz w:val="20"/>
          <w:szCs w:val="20"/>
          <w:shd w:val="clear" w:color="auto" w:fill="FFFFFF"/>
        </w:rPr>
        <w:t xml:space="preserve">si deciden suspenderlo, teniendo en cuenta que no se estarían cumpliendo las obligaciones contractuales no habría lugar al pago de honorarios y la prestación económica sería asumida por el Sistema General de Seguridad Social en salud, es decir, estaría a cargo de las ESP. </w:t>
      </w:r>
    </w:p>
    <w:p w14:paraId="3985C407" w14:textId="77777777" w:rsidR="001141A7" w:rsidRPr="00CC5C68" w:rsidRDefault="001141A7" w:rsidP="001141A7">
      <w:pPr>
        <w:spacing w:after="0" w:line="240" w:lineRule="auto"/>
        <w:jc w:val="both"/>
        <w:rPr>
          <w:rFonts w:ascii="Verdana" w:eastAsia="Times New Roman" w:hAnsi="Verdana" w:cs="Arial"/>
          <w:noProof/>
          <w:lang w:val="es-ES_tradnl" w:eastAsia="es-ES_tradnl"/>
        </w:rPr>
      </w:pPr>
    </w:p>
    <w:p w14:paraId="5BBE07A6"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2438539B"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1FEC3528"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43BFFCD3"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3752F475"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04790320"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31799534"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205DB6AC"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4635A29A"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12ABB7AE"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60B2377F"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3007E033"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3930CEEF"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207F6877"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52D75533"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29EC79AB"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70045D6D"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7281034C"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5A687F9B"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75F44708"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3755E30F"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74F498AD"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66922A11"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1064CCE2"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0614B380"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6336EE38"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4D5DC770"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21B8FF83" w14:textId="77777777" w:rsidR="001141A7" w:rsidRDefault="001141A7" w:rsidP="001141A7">
      <w:pPr>
        <w:spacing w:after="0" w:line="240" w:lineRule="auto"/>
        <w:jc w:val="both"/>
        <w:rPr>
          <w:rFonts w:ascii="Verdana" w:eastAsia="Times New Roman" w:hAnsi="Verdana" w:cs="Arial"/>
          <w:noProof/>
          <w:lang w:val="es-ES_tradnl" w:eastAsia="es-ES_tradnl"/>
        </w:rPr>
      </w:pPr>
    </w:p>
    <w:p w14:paraId="2A2B87E7" w14:textId="7E7AF6E9" w:rsidR="001141A7" w:rsidRDefault="001141A7" w:rsidP="001141A7">
      <w:pPr>
        <w:spacing w:after="0" w:line="240" w:lineRule="auto"/>
        <w:jc w:val="both"/>
        <w:rPr>
          <w:rFonts w:ascii="Verdana" w:eastAsia="Times New Roman" w:hAnsi="Verdana" w:cs="Arial"/>
          <w:noProof/>
          <w:lang w:val="es-ES_tradnl" w:eastAsia="es-ES_tradnl"/>
        </w:rPr>
      </w:pPr>
      <w:r w:rsidRPr="00450868">
        <w:rPr>
          <w:rFonts w:ascii="Verdana" w:eastAsia="Times New Roman" w:hAnsi="Verdana" w:cs="Arial"/>
          <w:noProof/>
          <w:lang w:val="es-ES_tradnl" w:eastAsia="es-ES_tradnl"/>
        </w:rPr>
        <w:lastRenderedPageBreak/>
        <w:t xml:space="preserve">Bogotá D.C., </w:t>
      </w:r>
      <w:r w:rsidR="001D4BB2">
        <w:rPr>
          <w:rFonts w:ascii="Verdana" w:eastAsia="Times New Roman" w:hAnsi="Verdana" w:cs="Arial"/>
          <w:noProof/>
          <w:lang w:val="es-ES_tradnl" w:eastAsia="es-ES_tradnl"/>
        </w:rPr>
        <w:t>19 de diciembre de 2025</w:t>
      </w:r>
    </w:p>
    <w:p w14:paraId="21B5D042" w14:textId="4A8FF6F1" w:rsidR="001D4BB2" w:rsidRDefault="001D4BB2" w:rsidP="001D4BB2">
      <w:pPr>
        <w:spacing w:after="0" w:line="240" w:lineRule="auto"/>
        <w:jc w:val="right"/>
        <w:rPr>
          <w:rFonts w:ascii="Verdana" w:eastAsia="Times New Roman" w:hAnsi="Verdana" w:cs="Arial"/>
          <w:noProof/>
          <w:lang w:val="es-ES_tradnl" w:eastAsia="es-ES_tradnl"/>
        </w:rPr>
      </w:pPr>
    </w:p>
    <w:p w14:paraId="63097378" w14:textId="31617353" w:rsidR="001141A7" w:rsidRPr="00CC5C68" w:rsidRDefault="001141A7" w:rsidP="001141A7">
      <w:pPr>
        <w:spacing w:after="0" w:line="240" w:lineRule="auto"/>
        <w:jc w:val="both"/>
        <w:rPr>
          <w:rFonts w:ascii="Verdana" w:eastAsia="Times New Roman" w:hAnsi="Verdana" w:cs="Arial"/>
          <w:noProof/>
          <w:lang w:val="es-ES_tradnl" w:eastAsia="es-ES_tradnl"/>
        </w:rPr>
      </w:pPr>
    </w:p>
    <w:p w14:paraId="7C9FB887" w14:textId="0291FA71" w:rsidR="001141A7" w:rsidRPr="00CC5C68" w:rsidRDefault="00793CDF" w:rsidP="001141A7">
      <w:pPr>
        <w:spacing w:after="0" w:line="240" w:lineRule="auto"/>
        <w:jc w:val="right"/>
        <w:rPr>
          <w:rFonts w:ascii="Verdana" w:eastAsia="Times New Roman" w:hAnsi="Verdana" w:cs="Arial"/>
          <w:noProof/>
          <w:lang w:val="es-ES_tradnl" w:eastAsia="es-ES_tradnl"/>
        </w:rPr>
      </w:pPr>
      <w:r w:rsidRPr="001D4BB2">
        <w:rPr>
          <w:rFonts w:ascii="Verdana" w:eastAsia="Times New Roman" w:hAnsi="Verdana" w:cs="Arial"/>
          <w:noProof/>
          <w:lang w:val="es-ES_tradnl" w:eastAsia="es-ES_tradnl"/>
        </w:rPr>
        <w:drawing>
          <wp:anchor distT="0" distB="0" distL="114300" distR="114300" simplePos="0" relativeHeight="251658240" behindDoc="0" locked="0" layoutInCell="1" allowOverlap="1" wp14:anchorId="7F5D9023" wp14:editId="354178E0">
            <wp:simplePos x="0" y="0"/>
            <wp:positionH relativeFrom="margin">
              <wp:align>right</wp:align>
            </wp:positionH>
            <wp:positionV relativeFrom="paragraph">
              <wp:posOffset>8780</wp:posOffset>
            </wp:positionV>
            <wp:extent cx="2981325" cy="741680"/>
            <wp:effectExtent l="0" t="0" r="9525" b="1270"/>
            <wp:wrapSquare wrapText="bothSides"/>
            <wp:docPr id="38763925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639254" name=""/>
                    <pic:cNvPicPr/>
                  </pic:nvPicPr>
                  <pic:blipFill>
                    <a:blip r:embed="rId10">
                      <a:extLst>
                        <a:ext uri="{28A0092B-C50C-407E-A947-70E740481C1C}">
                          <a14:useLocalDpi xmlns:a14="http://schemas.microsoft.com/office/drawing/2010/main" val="0"/>
                        </a:ext>
                      </a:extLst>
                    </a:blip>
                    <a:stretch>
                      <a:fillRect/>
                    </a:stretch>
                  </pic:blipFill>
                  <pic:spPr>
                    <a:xfrm>
                      <a:off x="0" y="0"/>
                      <a:ext cx="2981325" cy="741680"/>
                    </a:xfrm>
                    <a:prstGeom prst="rect">
                      <a:avLst/>
                    </a:prstGeom>
                  </pic:spPr>
                </pic:pic>
              </a:graphicData>
            </a:graphic>
            <wp14:sizeRelH relativeFrom="margin">
              <wp14:pctWidth>0</wp14:pctWidth>
            </wp14:sizeRelH>
            <wp14:sizeRelV relativeFrom="margin">
              <wp14:pctHeight>0</wp14:pctHeight>
            </wp14:sizeRelV>
          </wp:anchor>
        </w:drawing>
      </w:r>
    </w:p>
    <w:p w14:paraId="16770F80" w14:textId="77777777" w:rsidR="001141A7" w:rsidRPr="00CC5C68" w:rsidRDefault="001141A7" w:rsidP="001141A7">
      <w:pPr>
        <w:spacing w:after="0" w:line="240" w:lineRule="auto"/>
        <w:jc w:val="both"/>
        <w:rPr>
          <w:rFonts w:ascii="Verdana" w:eastAsia="Calibri" w:hAnsi="Verdana" w:cs="Arial"/>
          <w:lang w:val="es-ES" w:eastAsia="es-ES_tradnl"/>
        </w:rPr>
      </w:pPr>
      <w:r w:rsidRPr="00CC5C68">
        <w:rPr>
          <w:rFonts w:ascii="Verdana" w:eastAsia="Calibri" w:hAnsi="Verdana" w:cs="Arial"/>
          <w:lang w:val="es-ES" w:eastAsia="es-ES_tradnl"/>
        </w:rPr>
        <w:t>Señor</w:t>
      </w:r>
    </w:p>
    <w:p w14:paraId="709A7019" w14:textId="77777777" w:rsidR="001141A7" w:rsidRPr="00CC5C68" w:rsidRDefault="001141A7" w:rsidP="001141A7">
      <w:pPr>
        <w:spacing w:after="0" w:line="240" w:lineRule="auto"/>
        <w:rPr>
          <w:rFonts w:ascii="Verdana" w:eastAsia="Calibri" w:hAnsi="Verdana" w:cs="Arial"/>
          <w:b/>
          <w:bCs/>
          <w:lang w:val="es-ES" w:eastAsia="es-ES_tradnl"/>
        </w:rPr>
      </w:pPr>
      <w:r>
        <w:rPr>
          <w:rFonts w:ascii="Verdana" w:eastAsia="Calibri" w:hAnsi="Verdana" w:cs="Arial"/>
          <w:b/>
          <w:bCs/>
          <w:lang w:val="es-ES" w:eastAsia="es-ES_tradnl"/>
        </w:rPr>
        <w:t>José Vásquez Arboleda</w:t>
      </w:r>
    </w:p>
    <w:p w14:paraId="6FCB5DAC" w14:textId="77777777" w:rsidR="001141A7" w:rsidRPr="00CC5C68" w:rsidRDefault="001141A7" w:rsidP="001141A7">
      <w:pPr>
        <w:spacing w:after="0" w:line="240" w:lineRule="auto"/>
        <w:rPr>
          <w:rFonts w:ascii="Verdana" w:eastAsia="Calibri" w:hAnsi="Verdana" w:cs="Arial"/>
          <w:lang w:val="es-ES_tradnl" w:eastAsia="es-ES_tradnl"/>
        </w:rPr>
      </w:pPr>
      <w:r>
        <w:rPr>
          <w:rFonts w:ascii="Verdana" w:eastAsia="Calibri" w:hAnsi="Verdana" w:cs="Arial"/>
          <w:bCs/>
          <w:lang w:val="es-ES_tradnl" w:eastAsia="es-ES_tradnl"/>
        </w:rPr>
        <w:t>Ciudad</w:t>
      </w:r>
    </w:p>
    <w:p w14:paraId="67D59395" w14:textId="77777777" w:rsidR="001141A7" w:rsidRPr="00CC5C68" w:rsidRDefault="001141A7" w:rsidP="001141A7">
      <w:pPr>
        <w:spacing w:after="0" w:line="240" w:lineRule="auto"/>
        <w:rPr>
          <w:rFonts w:ascii="Verdana" w:eastAsia="Calibri" w:hAnsi="Verdana" w:cs="Arial"/>
          <w:lang w:val="es-ES_tradnl" w:eastAsia="es-ES_tradnl"/>
        </w:rPr>
      </w:pPr>
    </w:p>
    <w:p w14:paraId="078B9DF7" w14:textId="77777777" w:rsidR="001141A7" w:rsidRPr="00CC5C68" w:rsidRDefault="001141A7" w:rsidP="001141A7">
      <w:pPr>
        <w:spacing w:after="0" w:line="240" w:lineRule="auto"/>
        <w:rPr>
          <w:rFonts w:ascii="Verdana" w:eastAsia="Calibri" w:hAnsi="Verdana" w:cs="Arial"/>
          <w:lang w:val="es-ES_tradnl" w:eastAsia="es-ES_tradnl"/>
        </w:rPr>
      </w:pPr>
    </w:p>
    <w:p w14:paraId="1237B040" w14:textId="77777777" w:rsidR="001141A7" w:rsidRPr="00CC5C68" w:rsidRDefault="001141A7" w:rsidP="001141A7">
      <w:pPr>
        <w:spacing w:after="0" w:line="240" w:lineRule="auto"/>
        <w:ind w:left="2694"/>
        <w:rPr>
          <w:rFonts w:ascii="Verdana" w:eastAsia="Calibri" w:hAnsi="Verdana" w:cs="Arial"/>
          <w:b/>
          <w:bCs/>
          <w:lang w:val="es-ES" w:eastAsia="es-ES_tradnl"/>
        </w:rPr>
      </w:pPr>
      <w:r w:rsidRPr="00CC5C68">
        <w:rPr>
          <w:rFonts w:ascii="Verdana" w:eastAsia="Calibri" w:hAnsi="Verdana" w:cs="Arial"/>
          <w:b/>
          <w:bCs/>
          <w:lang w:val="es-ES" w:eastAsia="es-ES_tradnl"/>
        </w:rPr>
        <w:t>Concepto C-</w:t>
      </w:r>
      <w:r>
        <w:rPr>
          <w:rFonts w:ascii="Verdana" w:eastAsia="Calibri" w:hAnsi="Verdana" w:cs="Arial"/>
          <w:b/>
          <w:bCs/>
          <w:lang w:val="es-ES" w:eastAsia="es-ES_tradnl"/>
        </w:rPr>
        <w:t>1672</w:t>
      </w:r>
      <w:r w:rsidRPr="00CC5C68">
        <w:rPr>
          <w:rFonts w:ascii="Verdana" w:eastAsia="Calibri" w:hAnsi="Verdana" w:cs="Arial"/>
          <w:b/>
          <w:bCs/>
          <w:lang w:val="es-ES" w:eastAsia="es-ES_tradnl"/>
        </w:rPr>
        <w:t xml:space="preserve"> de 202</w:t>
      </w:r>
      <w:r>
        <w:rPr>
          <w:rFonts w:ascii="Verdana" w:eastAsia="Calibri" w:hAnsi="Verdana" w:cs="Arial"/>
          <w:b/>
          <w:bCs/>
          <w:lang w:val="es-ES" w:eastAsia="es-ES_tradnl"/>
        </w:rPr>
        <w:t>5</w:t>
      </w:r>
    </w:p>
    <w:p w14:paraId="7D713E78" w14:textId="77777777" w:rsidR="001141A7" w:rsidRPr="00CC5C68" w:rsidRDefault="001141A7" w:rsidP="001141A7">
      <w:pPr>
        <w:spacing w:after="0" w:line="240" w:lineRule="auto"/>
        <w:jc w:val="both"/>
        <w:rPr>
          <w:rFonts w:ascii="Verdana" w:eastAsia="Calibri" w:hAnsi="Verdana" w:cs="Arial"/>
          <w:lang w:val="es-ES_tradnl" w:eastAsia="es-ES_tradnl"/>
        </w:rPr>
      </w:pPr>
    </w:p>
    <w:tbl>
      <w:tblPr>
        <w:tblStyle w:val="Tablaconcuadrcula"/>
        <w:tblW w:w="8075"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8"/>
        <w:gridCol w:w="6237"/>
      </w:tblGrid>
      <w:tr w:rsidR="001141A7" w:rsidRPr="00CC5C68" w14:paraId="037A5B73" w14:textId="77777777" w:rsidTr="007435C4">
        <w:trPr>
          <w:jc w:val="right"/>
        </w:trPr>
        <w:tc>
          <w:tcPr>
            <w:tcW w:w="1838" w:type="dxa"/>
          </w:tcPr>
          <w:p w14:paraId="7C767CC6" w14:textId="77777777" w:rsidR="001141A7" w:rsidRPr="00CC5C68" w:rsidRDefault="001141A7" w:rsidP="007435C4">
            <w:pPr>
              <w:jc w:val="center"/>
              <w:rPr>
                <w:rFonts w:ascii="Verdana" w:eastAsia="Calibri" w:hAnsi="Verdana" w:cs="Arial"/>
                <w:lang w:val="es-ES_tradnl" w:eastAsia="es-ES_tradnl"/>
              </w:rPr>
            </w:pPr>
            <w:r w:rsidRPr="00CC5C68">
              <w:rPr>
                <w:rFonts w:ascii="Verdana" w:eastAsia="Calibri" w:hAnsi="Verdana" w:cs="Arial"/>
                <w:b/>
                <w:lang w:val="es-ES_tradnl" w:eastAsia="es-ES_tradnl"/>
              </w:rPr>
              <w:t>Temas:</w:t>
            </w:r>
          </w:p>
        </w:tc>
        <w:tc>
          <w:tcPr>
            <w:tcW w:w="6237" w:type="dxa"/>
          </w:tcPr>
          <w:p w14:paraId="5BAAA90D" w14:textId="77777777" w:rsidR="001141A7" w:rsidRDefault="001141A7" w:rsidP="007435C4">
            <w:pPr>
              <w:jc w:val="both"/>
              <w:textAlignment w:val="baseline"/>
              <w:rPr>
                <w:rFonts w:ascii="Verdana" w:eastAsia="Times New Roman" w:hAnsi="Verdana" w:cs="Arial"/>
                <w:lang w:eastAsia="es-ES_tradnl"/>
              </w:rPr>
            </w:pPr>
            <w:r w:rsidRPr="00EA2CFE">
              <w:rPr>
                <w:rFonts w:ascii="Verdana" w:eastAsia="Times New Roman" w:hAnsi="Verdana" w:cs="Arial"/>
                <w:lang w:eastAsia="es-ES_tradnl"/>
              </w:rPr>
              <w:t>ESTABILIDAD LABORAL REFORZADA DE MUJER EMBARAZADA – Concepto / ESTABILIDAD LABORAL REFORZADA DE MUJER EMBARAZADA – Unificación jurisprudencial / ESTABILIDAD LABORAL REFORZADA DE MUJER EMBARAZADA – Procedencia / SUSPENSIÓN DEL CONTRATO – Estado de embarazo y licencia de maternidad</w:t>
            </w:r>
          </w:p>
          <w:p w14:paraId="689DA972" w14:textId="0740CAA4" w:rsidR="00274E54" w:rsidRPr="00CC5C68" w:rsidRDefault="00274E54" w:rsidP="007435C4">
            <w:pPr>
              <w:jc w:val="both"/>
              <w:textAlignment w:val="baseline"/>
              <w:rPr>
                <w:rFonts w:ascii="Verdana" w:eastAsia="Times New Roman" w:hAnsi="Verdana" w:cs="Arial"/>
                <w:lang w:val="es-ES_tradnl" w:eastAsia="es-ES_tradnl"/>
              </w:rPr>
            </w:pPr>
          </w:p>
        </w:tc>
      </w:tr>
      <w:tr w:rsidR="001141A7" w:rsidRPr="00CC5C68" w14:paraId="3394BC56" w14:textId="77777777" w:rsidTr="007435C4">
        <w:trPr>
          <w:jc w:val="right"/>
        </w:trPr>
        <w:tc>
          <w:tcPr>
            <w:tcW w:w="1838" w:type="dxa"/>
          </w:tcPr>
          <w:p w14:paraId="081306E0" w14:textId="77777777" w:rsidR="001141A7" w:rsidRPr="00CC5C68" w:rsidRDefault="001141A7" w:rsidP="007435C4">
            <w:pPr>
              <w:jc w:val="center"/>
              <w:rPr>
                <w:rFonts w:ascii="Verdana" w:eastAsia="Calibri" w:hAnsi="Verdana" w:cs="Arial"/>
                <w:b/>
                <w:lang w:val="es-ES" w:eastAsia="es-ES_tradnl"/>
              </w:rPr>
            </w:pPr>
            <w:r w:rsidRPr="00CC5C68">
              <w:rPr>
                <w:rFonts w:ascii="Verdana" w:eastAsia="Calibri" w:hAnsi="Verdana" w:cs="Arial"/>
                <w:b/>
                <w:lang w:val="es-ES" w:eastAsia="es-ES_tradnl"/>
              </w:rPr>
              <w:t>Radicación:</w:t>
            </w:r>
          </w:p>
        </w:tc>
        <w:tc>
          <w:tcPr>
            <w:tcW w:w="6237" w:type="dxa"/>
          </w:tcPr>
          <w:p w14:paraId="5CFB6669" w14:textId="77777777" w:rsidR="001141A7" w:rsidRPr="00CC5C68" w:rsidRDefault="001141A7" w:rsidP="007435C4">
            <w:pPr>
              <w:jc w:val="both"/>
              <w:rPr>
                <w:rFonts w:ascii="Verdana" w:eastAsia="Calibri" w:hAnsi="Verdana" w:cs="Arial"/>
                <w:lang w:val="es-ES" w:eastAsia="es-ES_tradnl"/>
              </w:rPr>
            </w:pPr>
            <w:r w:rsidRPr="00CC5C68">
              <w:rPr>
                <w:rFonts w:ascii="Verdana" w:eastAsia="Calibri" w:hAnsi="Verdana" w:cs="Arial"/>
                <w:lang w:val="es-ES" w:eastAsia="es-ES_tradnl"/>
              </w:rPr>
              <w:t>Respuesta a consulta</w:t>
            </w:r>
            <w:r>
              <w:rPr>
                <w:rFonts w:ascii="Verdana" w:eastAsia="Calibri" w:hAnsi="Verdana" w:cs="Arial"/>
                <w:lang w:val="es-ES" w:eastAsia="es-ES_tradnl"/>
              </w:rPr>
              <w:t xml:space="preserve"> </w:t>
            </w:r>
            <w:r>
              <w:rPr>
                <w:rFonts w:ascii="Verdana" w:eastAsia="Calibri" w:hAnsi="Verdana"/>
                <w:lang w:val="es-ES" w:eastAsia="es-ES_tradnl"/>
              </w:rPr>
              <w:t>con</w:t>
            </w:r>
            <w:r w:rsidRPr="00CC5C68">
              <w:rPr>
                <w:rFonts w:ascii="Verdana" w:eastAsia="Calibri" w:hAnsi="Verdana" w:cs="Arial"/>
                <w:lang w:val="es-ES" w:eastAsia="es-ES_tradnl"/>
              </w:rPr>
              <w:t xml:space="preserve"> radicado No. </w:t>
            </w:r>
            <w:r w:rsidRPr="00E5326B">
              <w:rPr>
                <w:rFonts w:ascii="Verdana" w:eastAsia="Times New Roman" w:hAnsi="Verdana" w:cs="Arial"/>
                <w:lang w:eastAsia="es-ES_tradnl"/>
              </w:rPr>
              <w:t>1_2025_11_12_012765</w:t>
            </w:r>
          </w:p>
        </w:tc>
      </w:tr>
    </w:tbl>
    <w:p w14:paraId="6C0A022F" w14:textId="77777777" w:rsidR="001141A7" w:rsidRPr="00CC5C68" w:rsidRDefault="001141A7" w:rsidP="001141A7">
      <w:pPr>
        <w:spacing w:after="0" w:line="240" w:lineRule="auto"/>
        <w:jc w:val="both"/>
        <w:rPr>
          <w:rFonts w:ascii="Verdana" w:eastAsia="Calibri" w:hAnsi="Verdana" w:cs="Arial"/>
          <w:lang w:val="es-ES_tradnl" w:eastAsia="es-ES_tradnl"/>
        </w:rPr>
      </w:pPr>
    </w:p>
    <w:p w14:paraId="5702C833" w14:textId="77777777" w:rsidR="001141A7" w:rsidRPr="00CC5C68" w:rsidRDefault="001141A7" w:rsidP="001141A7">
      <w:pPr>
        <w:spacing w:after="0" w:line="240" w:lineRule="auto"/>
        <w:jc w:val="both"/>
        <w:rPr>
          <w:rFonts w:ascii="Verdana" w:eastAsia="Calibri" w:hAnsi="Verdana" w:cs="Arial"/>
          <w:lang w:val="es-ES_tradnl" w:eastAsia="es-ES_tradnl"/>
        </w:rPr>
      </w:pPr>
    </w:p>
    <w:p w14:paraId="20C72193" w14:textId="77777777" w:rsidR="001141A7" w:rsidRPr="00CC5C68" w:rsidRDefault="001141A7" w:rsidP="001141A7">
      <w:pPr>
        <w:spacing w:after="0" w:line="276" w:lineRule="auto"/>
        <w:contextualSpacing/>
        <w:jc w:val="both"/>
        <w:rPr>
          <w:rFonts w:ascii="Verdana" w:eastAsia="Calibri" w:hAnsi="Verdana" w:cs="Arial"/>
          <w:bCs/>
          <w:lang w:val="es-ES_tradnl" w:eastAsia="es-ES_tradnl"/>
        </w:rPr>
      </w:pPr>
      <w:r w:rsidRPr="00CC5C68">
        <w:rPr>
          <w:rFonts w:ascii="Verdana" w:eastAsia="Calibri" w:hAnsi="Verdana" w:cs="Arial"/>
          <w:lang w:val="es-ES_tradnl" w:eastAsia="es-ES_tradnl"/>
        </w:rPr>
        <w:t>Estimad</w:t>
      </w:r>
      <w:r>
        <w:rPr>
          <w:rFonts w:ascii="Verdana" w:eastAsia="Calibri" w:hAnsi="Verdana" w:cs="Arial"/>
          <w:lang w:val="es-ES_tradnl" w:eastAsia="es-ES_tradnl"/>
        </w:rPr>
        <w:t>o</w:t>
      </w:r>
      <w:r w:rsidRPr="00CC5C68">
        <w:rPr>
          <w:rFonts w:ascii="Verdana" w:eastAsia="Calibri" w:hAnsi="Verdana" w:cs="Arial"/>
          <w:lang w:val="es-ES_tradnl" w:eastAsia="es-ES_tradnl"/>
        </w:rPr>
        <w:t xml:space="preserve"> seño</w:t>
      </w:r>
      <w:r>
        <w:rPr>
          <w:rFonts w:ascii="Verdana" w:eastAsia="Calibri" w:hAnsi="Verdana" w:cs="Arial"/>
          <w:lang w:val="es-ES_tradnl" w:eastAsia="es-ES_tradnl"/>
        </w:rPr>
        <w:t>r</w:t>
      </w:r>
      <w:r w:rsidRPr="00CC5C68">
        <w:rPr>
          <w:rFonts w:ascii="Verdana" w:eastAsia="Calibri" w:hAnsi="Verdana" w:cs="Arial"/>
          <w:lang w:val="es-ES_tradnl" w:eastAsia="es-ES_tradnl"/>
        </w:rPr>
        <w:t xml:space="preserve"> </w:t>
      </w:r>
      <w:r>
        <w:rPr>
          <w:rFonts w:ascii="Verdana" w:eastAsia="Calibri" w:hAnsi="Verdana" w:cs="Arial"/>
          <w:lang w:val="es-ES_tradnl" w:eastAsia="es-ES_tradnl"/>
        </w:rPr>
        <w:t>Vásquez</w:t>
      </w:r>
      <w:r w:rsidRPr="00CC5C68">
        <w:rPr>
          <w:rFonts w:ascii="Verdana" w:eastAsia="Calibri" w:hAnsi="Verdana" w:cs="Arial"/>
          <w:bCs/>
          <w:lang w:val="es-ES_tradnl" w:eastAsia="es-ES_tradnl"/>
        </w:rPr>
        <w:t>:</w:t>
      </w:r>
    </w:p>
    <w:p w14:paraId="125FBE1A" w14:textId="77777777" w:rsidR="001141A7" w:rsidRPr="00CC5C68" w:rsidRDefault="001141A7" w:rsidP="001141A7">
      <w:pPr>
        <w:spacing w:after="0" w:line="276" w:lineRule="auto"/>
        <w:contextualSpacing/>
        <w:jc w:val="both"/>
        <w:rPr>
          <w:rFonts w:ascii="Verdana" w:eastAsia="Calibri" w:hAnsi="Verdana" w:cs="Arial"/>
          <w:lang w:val="es-ES_tradnl" w:eastAsia="es-ES_tradnl"/>
        </w:rPr>
      </w:pPr>
    </w:p>
    <w:p w14:paraId="7E0C99AC" w14:textId="77777777" w:rsidR="001141A7" w:rsidRPr="00CC5C68" w:rsidRDefault="001141A7" w:rsidP="001141A7">
      <w:pPr>
        <w:spacing w:after="0" w:line="276" w:lineRule="auto"/>
        <w:contextualSpacing/>
        <w:jc w:val="both"/>
        <w:rPr>
          <w:rFonts w:ascii="Verdana" w:eastAsia="Calibri" w:hAnsi="Verdana" w:cs="Arial"/>
          <w:lang w:val="es-ES" w:eastAsia="es-ES_tradnl"/>
        </w:rPr>
      </w:pPr>
      <w:r w:rsidRPr="00CC5C68">
        <w:rPr>
          <w:rFonts w:ascii="Verdana" w:eastAsia="Calibri" w:hAnsi="Verdana" w:cs="Arial"/>
          <w:lang w:val="es-ES" w:eastAsia="es-ES_tradnl"/>
        </w:rPr>
        <w:t>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w:t>
      </w:r>
      <w:r>
        <w:rPr>
          <w:rFonts w:ascii="Verdana" w:eastAsia="Calibri" w:hAnsi="Verdana" w:cs="Arial"/>
          <w:lang w:val="es-ES" w:eastAsia="es-ES_tradnl"/>
        </w:rPr>
        <w:t xml:space="preserve"> 12 de noviembre de</w:t>
      </w:r>
      <w:r w:rsidRPr="00CC5C68">
        <w:rPr>
          <w:rFonts w:ascii="Verdana" w:eastAsia="Calibri" w:hAnsi="Verdana" w:cs="Arial"/>
          <w:lang w:val="es-ES" w:eastAsia="es-ES_tradnl"/>
        </w:rPr>
        <w:t xml:space="preserve"> 202</w:t>
      </w:r>
      <w:r>
        <w:rPr>
          <w:rFonts w:ascii="Verdana" w:eastAsia="Calibri" w:hAnsi="Verdana" w:cs="Arial"/>
          <w:lang w:val="es-ES" w:eastAsia="es-ES_tradnl"/>
        </w:rPr>
        <w:t>5</w:t>
      </w:r>
      <w:r w:rsidRPr="00CC5C68">
        <w:rPr>
          <w:rFonts w:ascii="Verdana" w:eastAsia="Calibri" w:hAnsi="Verdana" w:cs="Arial"/>
          <w:lang w:val="es-ES" w:eastAsia="es-ES_tradnl"/>
        </w:rPr>
        <w:t>,</w:t>
      </w:r>
      <w:r>
        <w:rPr>
          <w:rFonts w:ascii="Verdana" w:eastAsia="Calibri" w:hAnsi="Verdana" w:cs="Arial"/>
          <w:lang w:val="es-ES" w:eastAsia="es-ES_tradnl"/>
        </w:rPr>
        <w:t xml:space="preserve"> remitida por el Departamento Administrativo de la Función Pública con oficio remisorio No. </w:t>
      </w:r>
      <w:r w:rsidRPr="00BE009A">
        <w:rPr>
          <w:rFonts w:ascii="Verdana" w:eastAsia="Calibri" w:hAnsi="Verdana" w:cs="Arial"/>
          <w:lang w:val="es-ES" w:eastAsia="es-ES_tradnl"/>
        </w:rPr>
        <w:t>20252040543881</w:t>
      </w:r>
      <w:r>
        <w:rPr>
          <w:rFonts w:ascii="Verdana" w:eastAsia="Calibri" w:hAnsi="Verdana" w:cs="Arial"/>
          <w:lang w:val="es-ES" w:eastAsia="es-ES_tradnl"/>
        </w:rPr>
        <w:t xml:space="preserve"> </w:t>
      </w:r>
      <w:r w:rsidRPr="00CC5C68">
        <w:rPr>
          <w:rFonts w:ascii="Verdana" w:eastAsia="Calibri" w:hAnsi="Verdana" w:cs="Arial"/>
          <w:lang w:val="es-ES" w:eastAsia="es-ES_tradnl"/>
        </w:rPr>
        <w:t>en la cual manifiesta lo siguiente:</w:t>
      </w:r>
    </w:p>
    <w:p w14:paraId="44705E76" w14:textId="77777777" w:rsidR="001141A7" w:rsidRPr="00CC5C68" w:rsidRDefault="001141A7" w:rsidP="001141A7">
      <w:pPr>
        <w:spacing w:after="0" w:line="276" w:lineRule="auto"/>
        <w:contextualSpacing/>
        <w:jc w:val="both"/>
        <w:rPr>
          <w:rFonts w:ascii="Verdana" w:eastAsia="Calibri" w:hAnsi="Verdana" w:cs="Arial"/>
          <w:b/>
          <w:szCs w:val="24"/>
          <w:lang w:val="es-ES_tradnl" w:eastAsia="es-ES_tradnl"/>
        </w:rPr>
      </w:pPr>
    </w:p>
    <w:p w14:paraId="25E49BD4" w14:textId="77777777" w:rsidR="001141A7" w:rsidRPr="00CC5C68" w:rsidRDefault="001141A7" w:rsidP="001141A7">
      <w:pPr>
        <w:spacing w:after="0" w:line="240" w:lineRule="auto"/>
        <w:ind w:left="709" w:right="709"/>
        <w:contextualSpacing/>
        <w:jc w:val="both"/>
        <w:rPr>
          <w:rFonts w:ascii="Verdana" w:eastAsia="Times New Roman" w:hAnsi="Verdana" w:cs="Arial"/>
          <w:sz w:val="21"/>
          <w:szCs w:val="21"/>
          <w:lang w:eastAsia="es-ES_tradnl"/>
        </w:rPr>
      </w:pPr>
      <w:r w:rsidRPr="00CC5C68">
        <w:rPr>
          <w:rFonts w:ascii="Verdana" w:eastAsia="Times New Roman" w:hAnsi="Verdana" w:cs="Arial"/>
          <w:sz w:val="21"/>
          <w:szCs w:val="21"/>
          <w:lang w:eastAsia="es-ES_tradnl"/>
        </w:rPr>
        <w:t>“</w:t>
      </w:r>
      <w:r w:rsidRPr="00761CC6">
        <w:rPr>
          <w:rFonts w:ascii="Verdana" w:eastAsia="Times New Roman" w:hAnsi="Verdana" w:cs="Arial"/>
          <w:sz w:val="21"/>
          <w:szCs w:val="21"/>
          <w:lang w:eastAsia="es-ES_tradnl"/>
        </w:rPr>
        <w:t>Buenas tardes, resulta que tengo una trabajadora contratada por prestación de servicios en un establecimiento público que se encuentra en embarazo y goza de la estabilidad laboral reforzada,</w:t>
      </w:r>
      <w:r>
        <w:rPr>
          <w:rFonts w:ascii="Verdana" w:eastAsia="Times New Roman" w:hAnsi="Verdana" w:cs="Arial"/>
          <w:sz w:val="21"/>
          <w:szCs w:val="21"/>
          <w:lang w:eastAsia="es-ES_tradnl"/>
        </w:rPr>
        <w:t xml:space="preserve"> </w:t>
      </w:r>
      <w:r w:rsidRPr="00761CC6">
        <w:rPr>
          <w:rFonts w:ascii="Verdana" w:eastAsia="Times New Roman" w:hAnsi="Verdana" w:cs="Arial"/>
          <w:sz w:val="21"/>
          <w:szCs w:val="21"/>
          <w:lang w:eastAsia="es-ES_tradnl"/>
        </w:rPr>
        <w:t xml:space="preserve">Ella solicita que se suspenda el contrato sólo por un mes después de tener el bebé, es decir, que una vez tenga el bebé se le suspenda el contrato por un mes y que luego se proceda a cancelarle los honorarios por prestación de servicios una vez se venza el plazo del mes por el cual se suspendió </w:t>
      </w:r>
      <w:r w:rsidRPr="00761CC6">
        <w:rPr>
          <w:rFonts w:ascii="Verdana" w:eastAsia="Times New Roman" w:hAnsi="Verdana" w:cs="Arial"/>
          <w:sz w:val="21"/>
          <w:szCs w:val="21"/>
          <w:lang w:eastAsia="es-ES_tradnl"/>
        </w:rPr>
        <w:lastRenderedPageBreak/>
        <w:t>el contrato con la entidad pública Puedo aceptar que renuncie al resto del tiempo de su licencia para permitirle reanudar las labores del contrato a sabiendas que el derecho a la licencia por maternidad es un derecho irrenunciable?, A además si se puede suspender sólo por ese mes, la EPS está obligada a seguirle pagando la remuneración por la licencia de maternidad a sabiendas de que ya se reanudó su contrato?</w:t>
      </w:r>
      <w:r w:rsidRPr="00175448">
        <w:t xml:space="preserve"> </w:t>
      </w:r>
      <w:r w:rsidRPr="00175448">
        <w:rPr>
          <w:rFonts w:ascii="Verdana" w:eastAsia="Times New Roman" w:hAnsi="Verdana" w:cs="Arial"/>
          <w:sz w:val="21"/>
          <w:szCs w:val="21"/>
          <w:lang w:eastAsia="es-ES_tradnl"/>
        </w:rPr>
        <w:t>Además, el contrato se vence el 30 de diciembre de 2025. si se suspende, la reanudación se haría solo por el tiempo que le resta, esto es hasta el 30 de diciembre o el periodo del contrato en atención a la suspensión se correría un mes más, esto es hasta el 30 de enero debido a la suspensión?</w:t>
      </w:r>
      <w:r w:rsidRPr="00CC5C68">
        <w:rPr>
          <w:rFonts w:ascii="Verdana" w:eastAsia="Times New Roman" w:hAnsi="Verdana" w:cs="Arial"/>
          <w:sz w:val="21"/>
          <w:szCs w:val="21"/>
          <w:lang w:eastAsia="es-ES_tradnl"/>
        </w:rPr>
        <w:t>”.</w:t>
      </w:r>
    </w:p>
    <w:p w14:paraId="4E3AC804" w14:textId="77777777" w:rsidR="001141A7" w:rsidRPr="00CC5C68" w:rsidRDefault="001141A7" w:rsidP="001141A7">
      <w:pPr>
        <w:spacing w:after="0" w:line="240" w:lineRule="auto"/>
        <w:ind w:left="709" w:right="709"/>
        <w:contextualSpacing/>
        <w:jc w:val="both"/>
        <w:rPr>
          <w:rFonts w:ascii="Verdana" w:eastAsia="Times New Roman" w:hAnsi="Verdana" w:cs="Arial"/>
          <w:sz w:val="21"/>
          <w:szCs w:val="21"/>
          <w:lang w:eastAsia="es-ES_tradnl"/>
        </w:rPr>
      </w:pPr>
    </w:p>
    <w:p w14:paraId="40181D8A" w14:textId="77777777" w:rsidR="001141A7" w:rsidRPr="00CC5C68" w:rsidRDefault="001141A7" w:rsidP="001141A7">
      <w:pPr>
        <w:spacing w:after="120" w:line="276" w:lineRule="auto"/>
        <w:ind w:firstLine="709"/>
        <w:jc w:val="both"/>
        <w:rPr>
          <w:rFonts w:ascii="Verdana" w:eastAsia="Calibri" w:hAnsi="Verdana" w:cs="Arial"/>
          <w:color w:val="000000"/>
          <w:szCs w:val="24"/>
          <w:lang w:val="es-ES_tradnl" w:eastAsia="es-ES_tradnl"/>
        </w:rPr>
      </w:pPr>
      <w:r w:rsidRPr="00CC5C68">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C5C68">
        <w:rPr>
          <w:rFonts w:ascii="Verdana" w:eastAsia="Calibri" w:hAnsi="Verdana" w:cs="Arial"/>
          <w:color w:val="000000"/>
          <w:szCs w:val="24"/>
          <w:lang w:val="es-ES_tradnl" w:eastAsia="es-ES_tradnl"/>
        </w:rPr>
        <w:tab/>
      </w:r>
    </w:p>
    <w:p w14:paraId="78321A09" w14:textId="77777777" w:rsidR="001141A7" w:rsidRPr="00CC5C68" w:rsidRDefault="001141A7" w:rsidP="001141A7">
      <w:pPr>
        <w:spacing w:after="0" w:line="276" w:lineRule="auto"/>
        <w:ind w:firstLine="709"/>
        <w:jc w:val="both"/>
        <w:rPr>
          <w:rFonts w:ascii="Verdana" w:eastAsia="Calibri" w:hAnsi="Verdana" w:cs="Arial"/>
          <w:lang w:val="es-ES" w:eastAsia="es-ES"/>
        </w:rPr>
      </w:pPr>
      <w:r w:rsidRPr="00CC5C68">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351DC27B" w14:textId="77777777" w:rsidR="001141A7" w:rsidRPr="00CC5C68" w:rsidRDefault="001141A7" w:rsidP="001141A7">
      <w:pPr>
        <w:spacing w:after="0" w:line="276" w:lineRule="auto"/>
        <w:contextualSpacing/>
        <w:jc w:val="both"/>
        <w:rPr>
          <w:rFonts w:ascii="Verdana" w:eastAsia="Times New Roman" w:hAnsi="Verdana" w:cs="Arial"/>
          <w:szCs w:val="24"/>
          <w:lang w:val="es-ES_tradnl" w:eastAsia="es-ES_tradnl"/>
        </w:rPr>
      </w:pPr>
    </w:p>
    <w:p w14:paraId="51BAC239" w14:textId="77777777" w:rsidR="001141A7" w:rsidRPr="00CC5C68" w:rsidRDefault="001141A7" w:rsidP="001141A7">
      <w:pPr>
        <w:tabs>
          <w:tab w:val="left" w:pos="0"/>
          <w:tab w:val="left" w:pos="284"/>
        </w:tabs>
        <w:spacing w:after="0" w:line="276" w:lineRule="auto"/>
        <w:contextualSpacing/>
        <w:jc w:val="both"/>
        <w:rPr>
          <w:rFonts w:ascii="Verdana" w:eastAsia="Calibri" w:hAnsi="Verdana" w:cs="Arial"/>
          <w:b/>
          <w:lang w:val="es-ES_tradnl"/>
        </w:rPr>
      </w:pPr>
      <w:r w:rsidRPr="00CC5C68">
        <w:rPr>
          <w:rFonts w:ascii="Verdana" w:eastAsia="Calibri" w:hAnsi="Verdana" w:cs="Arial"/>
          <w:b/>
          <w:lang w:val="es-ES_tradnl"/>
        </w:rPr>
        <w:t>1. Problema planteado:</w:t>
      </w:r>
    </w:p>
    <w:p w14:paraId="04B9E0DF" w14:textId="77777777" w:rsidR="001141A7" w:rsidRPr="00CC5C68" w:rsidRDefault="001141A7" w:rsidP="001141A7">
      <w:pPr>
        <w:tabs>
          <w:tab w:val="left" w:pos="0"/>
          <w:tab w:val="left" w:pos="284"/>
        </w:tabs>
        <w:spacing w:after="0" w:line="276" w:lineRule="auto"/>
        <w:contextualSpacing/>
        <w:jc w:val="both"/>
        <w:rPr>
          <w:rFonts w:ascii="Verdana" w:eastAsia="Calibri" w:hAnsi="Verdana" w:cs="Arial"/>
          <w:b/>
          <w:lang w:val="es-ES_tradnl"/>
        </w:rPr>
      </w:pPr>
    </w:p>
    <w:p w14:paraId="69F48E85" w14:textId="77777777" w:rsidR="001141A7" w:rsidRPr="00CC5C68" w:rsidRDefault="001141A7" w:rsidP="001141A7">
      <w:pPr>
        <w:spacing w:after="0" w:line="276" w:lineRule="auto"/>
        <w:jc w:val="both"/>
        <w:rPr>
          <w:rFonts w:ascii="Verdana" w:eastAsia="Century Gothic" w:hAnsi="Verdana" w:cs="Century Gothic"/>
        </w:rPr>
      </w:pPr>
      <w:r w:rsidRPr="00CC5C68">
        <w:rPr>
          <w:rFonts w:ascii="Verdana" w:eastAsia="Century Gothic" w:hAnsi="Verdana" w:cs="Century Gothic"/>
        </w:rPr>
        <w:t xml:space="preserve">De acuerdo con el contenido de su solicitud, esta Agencia resolverá el siguiente problema jurídico: ¿Es </w:t>
      </w:r>
      <w:r>
        <w:rPr>
          <w:rFonts w:ascii="Verdana" w:eastAsia="Century Gothic" w:hAnsi="Verdana" w:cs="Century Gothic"/>
        </w:rPr>
        <w:t>posible suspender o continuar un contrato de prestación de servicios por licencia de maternidad</w:t>
      </w:r>
      <w:r w:rsidRPr="00CC5C68">
        <w:rPr>
          <w:rFonts w:ascii="Verdana" w:eastAsia="Century Gothic" w:hAnsi="Verdana" w:cs="Century Gothic"/>
        </w:rPr>
        <w:t xml:space="preserve">? </w:t>
      </w:r>
    </w:p>
    <w:p w14:paraId="660C7767" w14:textId="77777777" w:rsidR="001141A7" w:rsidRPr="00CC5C68" w:rsidRDefault="001141A7" w:rsidP="001141A7">
      <w:pPr>
        <w:spacing w:after="0" w:line="276" w:lineRule="auto"/>
        <w:ind w:firstLine="709"/>
        <w:jc w:val="both"/>
        <w:rPr>
          <w:rFonts w:ascii="Verdana" w:eastAsia="Calibri" w:hAnsi="Verdana" w:cs="Arial"/>
          <w:lang w:val="es-ES" w:eastAsia="es-ES_tradnl"/>
        </w:rPr>
      </w:pPr>
    </w:p>
    <w:p w14:paraId="074DAAA0" w14:textId="77777777" w:rsidR="001141A7" w:rsidRPr="00CC5C68" w:rsidRDefault="001141A7" w:rsidP="001141A7">
      <w:pPr>
        <w:tabs>
          <w:tab w:val="left" w:pos="142"/>
          <w:tab w:val="left" w:pos="284"/>
        </w:tabs>
        <w:spacing w:after="0" w:line="276" w:lineRule="auto"/>
        <w:jc w:val="both"/>
        <w:rPr>
          <w:rFonts w:ascii="Verdana" w:eastAsia="Century Gothic" w:hAnsi="Verdana" w:cs="Century Gothic"/>
          <w:b/>
          <w:bCs/>
        </w:rPr>
      </w:pPr>
      <w:r w:rsidRPr="00CC5C68">
        <w:rPr>
          <w:rFonts w:ascii="Verdana" w:eastAsia="Century Gothic" w:hAnsi="Verdana" w:cs="Century Gothic"/>
          <w:b/>
          <w:bCs/>
        </w:rPr>
        <w:t>2. Respuesta:</w:t>
      </w:r>
    </w:p>
    <w:p w14:paraId="4997676F" w14:textId="77777777" w:rsidR="001141A7" w:rsidRPr="00CC5C68" w:rsidRDefault="001141A7" w:rsidP="001141A7">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141A7" w:rsidRPr="00CC5C68" w14:paraId="1125D887" w14:textId="77777777" w:rsidTr="007435C4">
        <w:tc>
          <w:tcPr>
            <w:tcW w:w="8828" w:type="dxa"/>
          </w:tcPr>
          <w:p w14:paraId="5067E6B7" w14:textId="77777777" w:rsidR="001141A7" w:rsidRPr="009E57A7" w:rsidRDefault="001141A7" w:rsidP="007435C4">
            <w:pPr>
              <w:spacing w:after="120" w:line="276" w:lineRule="auto"/>
              <w:jc w:val="both"/>
              <w:rPr>
                <w:rFonts w:ascii="Verdana" w:eastAsia="Times New Roman" w:hAnsi="Verdana" w:cs="Arial"/>
                <w:lang w:eastAsia="es-ES_tradnl"/>
              </w:rPr>
            </w:pPr>
            <w:r w:rsidRPr="009E57A7">
              <w:rPr>
                <w:rFonts w:ascii="Verdana" w:eastAsia="Times New Roman" w:hAnsi="Verdana" w:cs="Arial"/>
                <w:lang w:eastAsia="es-ES_tradnl"/>
              </w:rPr>
              <w:t xml:space="preserve">Conforme </w:t>
            </w:r>
            <w:r>
              <w:rPr>
                <w:rFonts w:ascii="Verdana" w:eastAsia="Times New Roman" w:hAnsi="Verdana" w:cs="Arial"/>
                <w:lang w:eastAsia="es-ES_tradnl"/>
              </w:rPr>
              <w:t>l</w:t>
            </w:r>
            <w:r w:rsidRPr="009E57A7">
              <w:rPr>
                <w:rFonts w:ascii="Verdana" w:eastAsia="Times New Roman" w:hAnsi="Verdana" w:cs="Arial"/>
                <w:lang w:eastAsia="es-ES_tradnl"/>
              </w:rPr>
              <w:t>o expuesto a lo largo del presente concepto, la Corte Constitucional ha expuesto dos (2) posiciones frente a los cuales opera la protección proveniente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(ii) cuando a pesar de no probarse la configuración de un contrato realidad la terminación del contrato de prestación de servicios se fundamenta en criterios discriminatorios, y no en motivos objetivos.</w:t>
            </w:r>
          </w:p>
          <w:p w14:paraId="3D0AC8B5" w14:textId="77777777" w:rsidR="001141A7" w:rsidRPr="009E57A7" w:rsidRDefault="001141A7" w:rsidP="007435C4">
            <w:pPr>
              <w:spacing w:after="120" w:line="276" w:lineRule="auto"/>
              <w:ind w:firstLine="709"/>
              <w:jc w:val="both"/>
              <w:rPr>
                <w:rFonts w:ascii="Verdana" w:eastAsia="Times New Roman" w:hAnsi="Verdana" w:cs="Arial"/>
                <w:lang w:eastAsia="es-ES_tradnl"/>
              </w:rPr>
            </w:pPr>
            <w:r w:rsidRPr="009E57A7">
              <w:rPr>
                <w:rFonts w:ascii="Verdana" w:eastAsia="Times New Roman" w:hAnsi="Verdana" w:cs="Arial"/>
                <w:lang w:eastAsia="es-ES_tradnl"/>
              </w:rPr>
              <w:t>Asimismo se resalta, que el Alto Tribunal Constitucional en la sentencia T-743 de 2017, reiteró que la protección a la mujer en estado de embarazo y en periodo de lactancia, está sustentada en cuatro presupuestos de origen constitucional: (i) el deber de protección especial a la mujer gestante; (ii) la contención de prácticas discriminatorias en el escenario laboral contra la mujer, con ocasión del estado de embarazo; (iii) la protección a la vida y a la mujer como su gestora; y (iv) la relevancia de la familia en el ordenamiento social colombiano.</w:t>
            </w:r>
          </w:p>
          <w:p w14:paraId="61C29381" w14:textId="77777777" w:rsidR="001141A7" w:rsidRPr="009E57A7" w:rsidRDefault="001141A7" w:rsidP="007435C4">
            <w:pPr>
              <w:spacing w:after="120" w:line="276" w:lineRule="auto"/>
              <w:ind w:firstLine="709"/>
              <w:jc w:val="both"/>
              <w:rPr>
                <w:rFonts w:ascii="Verdana" w:eastAsia="Times New Roman" w:hAnsi="Verdana" w:cs="Arial"/>
                <w:lang w:eastAsia="es-ES_tradnl"/>
              </w:rPr>
            </w:pPr>
            <w:r w:rsidRPr="009E57A7">
              <w:rPr>
                <w:rFonts w:ascii="Verdana" w:eastAsia="Times New Roman" w:hAnsi="Verdana" w:cs="Arial"/>
                <w:lang w:eastAsia="es-ES_tradnl"/>
              </w:rPr>
              <w:t>En este sentido, les corresponde a las entidades estatales, en virtud de su autonomía, y de acuerdo con los lineamientos de la Corte Constitucional, determinar la mejor forma para garantizar la estabilidad laboral reforzada de las mujeres embarazadas y en periodo de lactancia vinculadas mediante contratos de prestación de servicios.</w:t>
            </w:r>
          </w:p>
          <w:p w14:paraId="00A1AE35" w14:textId="77777777" w:rsidR="001141A7" w:rsidRPr="009E57A7" w:rsidRDefault="001141A7" w:rsidP="007435C4">
            <w:pPr>
              <w:spacing w:after="120" w:line="276" w:lineRule="auto"/>
              <w:ind w:firstLine="709"/>
              <w:jc w:val="both"/>
              <w:rPr>
                <w:rFonts w:ascii="Verdana" w:eastAsia="Times New Roman" w:hAnsi="Verdana" w:cs="Arial"/>
                <w:lang w:eastAsia="es-ES_tradnl"/>
              </w:rPr>
            </w:pPr>
            <w:r w:rsidRPr="009E57A7">
              <w:rPr>
                <w:rFonts w:ascii="Verdana" w:eastAsia="Times New Roman" w:hAnsi="Verdana" w:cs="Arial"/>
                <w:lang w:eastAsia="es-ES_tradnl"/>
              </w:rPr>
              <w:t xml:space="preserve">Ahora bien, frente a la consulta planteada acerca de si es procedente o no suspender un contrato de prestación de servicios cuando la contratista está en estado de embarazo o durante la licencia de maternidad debe señalarse que, no existe disposición normativa que consagre de forma expresa las causales de suspensión del contrato, mucho menos en virtud del estado de embarazo o de la licencia de maternidad. En ejercicio de la autonomía de las partes contratantes, las mismas podrán convenir la cláusula de suspensión del contrato de prestación de servicios, fijando las reglas por las cuales procederán las mismas teniendo en cuenta las disposiciones referidas en la Ley 80 de 1993 y Ley 1150 de 2007. Así las cosas, las partes son quienes determinan las condiciones y términos según los cuales deben llevarse a cabo la suspensión </w:t>
            </w:r>
            <w:r w:rsidRPr="009E57A7">
              <w:rPr>
                <w:rFonts w:ascii="Verdana" w:eastAsia="Times New Roman" w:hAnsi="Verdana" w:cs="Arial"/>
                <w:lang w:eastAsia="es-ES_tradnl"/>
              </w:rPr>
              <w:lastRenderedPageBreak/>
              <w:t>del contrato, por lo que ninguna de las partes de manera unilateral puede declararla por fuera de lo convenido.</w:t>
            </w:r>
          </w:p>
          <w:p w14:paraId="55A4E1C6" w14:textId="77777777" w:rsidR="001141A7" w:rsidRDefault="001141A7" w:rsidP="007435C4">
            <w:pPr>
              <w:spacing w:after="120" w:line="276" w:lineRule="auto"/>
              <w:ind w:firstLine="709"/>
              <w:jc w:val="both"/>
              <w:rPr>
                <w:rFonts w:ascii="Verdana" w:eastAsia="Times New Roman" w:hAnsi="Verdana" w:cs="Arial"/>
                <w:lang w:eastAsia="es-ES_tradnl"/>
              </w:rPr>
            </w:pPr>
            <w:r w:rsidRPr="009E57A7">
              <w:rPr>
                <w:rFonts w:ascii="Verdana" w:eastAsia="Times New Roman" w:hAnsi="Verdana" w:cs="Arial"/>
                <w:lang w:eastAsia="es-ES_tradnl"/>
              </w:rPr>
              <w:t>Conforme lo anterior, cuando se presenten el tipo de situaciones descritas en la consulta, la entidad estatal, a través del supervisor del contrato, determinará si las obligaciones contractuales no pueden desarrollarse temporalmente por parte de la contratista y, en consecuencia, debe proceder a la suspensión del contrato durante su estado de embarazo o en el periodo de la licencia de maternidad. En ese sentido, si a pesar de la licencia, las partes acuerdan no suspender el contrato y la contratista acredita el cumplimiento de las actividades contratadas, habría lugar al pago de honorarios, pues el objeto contractual estaría siendo ejecutado. Por el contrario, si deciden suspenderlo, teniendo en cuenta que no se estarían cumpliendo las obligaciones contractuales no habría lugar al pago de honorarios y la prestación económica sería asumida por el Sistema General de Seguridad Social en salud, es decir, estaría a cargo de las ESP.</w:t>
            </w:r>
          </w:p>
          <w:p w14:paraId="31763D74" w14:textId="77777777" w:rsidR="001141A7" w:rsidRDefault="001141A7" w:rsidP="007435C4">
            <w:pPr>
              <w:spacing w:after="120" w:line="276" w:lineRule="auto"/>
              <w:ind w:firstLine="709"/>
              <w:jc w:val="both"/>
              <w:rPr>
                <w:rFonts w:ascii="Verdana" w:eastAsia="Times New Roman" w:hAnsi="Verdana" w:cs="Arial"/>
                <w:lang w:eastAsia="es-ES_tradnl"/>
              </w:rPr>
            </w:pPr>
            <w:r w:rsidRPr="009E57A7">
              <w:rPr>
                <w:rFonts w:ascii="Verdana" w:eastAsia="Times New Roman" w:hAnsi="Verdana" w:cs="Arial"/>
                <w:lang w:eastAsia="es-ES_tradnl"/>
              </w:rPr>
              <w:t>Finalmente, se debe tener en cuenta que la suspensión del contrato no implica la ampliación de su plazo de ejecución, sino solamente la determinación de un periodo en el cual cesará el cumplimiento de las actividades pactadas, por tanto, no habrá lugar al pago de honorarios correspondientes a este tiempo y el plazo de ejecución continuará siendo el mismo inicialmente pactado.</w:t>
            </w:r>
          </w:p>
          <w:p w14:paraId="202045E3" w14:textId="77777777" w:rsidR="001141A7" w:rsidRPr="00CC5C68" w:rsidRDefault="001141A7" w:rsidP="007435C4">
            <w:pPr>
              <w:spacing w:after="120" w:line="276" w:lineRule="auto"/>
              <w:ind w:firstLine="709"/>
              <w:jc w:val="both"/>
              <w:rPr>
                <w:rFonts w:ascii="Verdana" w:eastAsia="Calibri" w:hAnsi="Verdana" w:cs="Arial"/>
                <w:color w:val="7030A0"/>
              </w:rPr>
            </w:pPr>
            <w:r w:rsidRPr="00CC5C68">
              <w:rPr>
                <w:rFonts w:ascii="Verdana" w:eastAsia="Times New Roman" w:hAnsi="Verdana" w:cs="Arial"/>
                <w:lang w:eastAsia="es-ES_tradnl"/>
              </w:rPr>
              <w:t xml:space="preserve">Sin perjuicio de las aclaraciones anteriores, debe advertirse que es la entidad contratante, al momento de adelantar su actividad contractual, quien debe determinar lo correspondiente </w:t>
            </w:r>
            <w:r>
              <w:rPr>
                <w:rFonts w:ascii="Verdana" w:eastAsia="Times New Roman" w:hAnsi="Verdana" w:cs="Arial"/>
                <w:lang w:eastAsia="es-ES_tradnl"/>
              </w:rPr>
              <w:t>a la licencia de maternidad</w:t>
            </w:r>
            <w:r w:rsidRPr="00CC5C68">
              <w:rPr>
                <w:rFonts w:ascii="Verdana" w:eastAsia="Times New Roman" w:hAnsi="Verdana" w:cs="Arial"/>
                <w:lang w:eastAsia="es-ES_tradnl"/>
              </w:rPr>
              <w:t>. Dado esto, y en atención al alcance la función consultiva atribuida a esta Agencia, lo aquí mencionado no constituye un juicio de valor sobre un proceso contractual particular.</w:t>
            </w:r>
          </w:p>
        </w:tc>
      </w:tr>
    </w:tbl>
    <w:p w14:paraId="73F07C52" w14:textId="77777777" w:rsidR="001141A7" w:rsidRPr="00274E54" w:rsidRDefault="001141A7" w:rsidP="00E65094">
      <w:pPr>
        <w:spacing w:after="0" w:line="276" w:lineRule="auto"/>
        <w:jc w:val="both"/>
        <w:rPr>
          <w:rFonts w:ascii="Verdana" w:eastAsia="Times New Roman" w:hAnsi="Verdana" w:cs="Arial"/>
          <w:lang w:eastAsia="es-ES_tradnl"/>
        </w:rPr>
      </w:pPr>
    </w:p>
    <w:p w14:paraId="6BDE485A" w14:textId="77777777" w:rsidR="001141A7" w:rsidRPr="00274E54" w:rsidRDefault="001141A7" w:rsidP="00AF7CDB">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274E54">
        <w:rPr>
          <w:rFonts w:ascii="Verdana" w:eastAsia="Century Gothic" w:hAnsi="Verdana" w:cs="Century Gothic"/>
          <w:b/>
          <w:bCs/>
        </w:rPr>
        <w:t>3. Razones de la respuesta:</w:t>
      </w:r>
    </w:p>
    <w:p w14:paraId="498A9A8F" w14:textId="77777777" w:rsidR="001141A7" w:rsidRPr="00AF7CDB" w:rsidRDefault="001141A7" w:rsidP="00577FA9">
      <w:pPr>
        <w:spacing w:after="0" w:line="276" w:lineRule="auto"/>
        <w:jc w:val="both"/>
        <w:rPr>
          <w:rFonts w:ascii="Verdana" w:eastAsia="Calibri" w:hAnsi="Verdana" w:cs="Arial"/>
          <w:color w:val="7030A0"/>
          <w:lang w:val="es-ES"/>
        </w:rPr>
      </w:pPr>
    </w:p>
    <w:p w14:paraId="65582F25" w14:textId="77777777" w:rsidR="001141A7" w:rsidRPr="00AF7CDB" w:rsidRDefault="001141A7">
      <w:pPr>
        <w:spacing w:after="0" w:line="276" w:lineRule="auto"/>
        <w:jc w:val="both"/>
        <w:rPr>
          <w:rFonts w:ascii="Verdana" w:eastAsia="Calibri" w:hAnsi="Verdana" w:cs="Arial"/>
          <w:lang w:val="es-ES"/>
        </w:rPr>
      </w:pPr>
      <w:r w:rsidRPr="00AF7CDB">
        <w:rPr>
          <w:rFonts w:ascii="Verdana" w:eastAsia="Calibri" w:hAnsi="Verdana" w:cs="Arial"/>
          <w:lang w:val="es-ES"/>
        </w:rPr>
        <w:t xml:space="preserve">Lo anterior se sustenta en las siguientes consideraciones: </w:t>
      </w:r>
    </w:p>
    <w:p w14:paraId="0D3735AB" w14:textId="77777777" w:rsidR="00274E54" w:rsidRPr="00577FA9" w:rsidRDefault="00274E54">
      <w:pPr>
        <w:spacing w:after="0" w:line="276" w:lineRule="auto"/>
        <w:jc w:val="both"/>
        <w:rPr>
          <w:rFonts w:ascii="Verdana" w:eastAsia="Calibri" w:hAnsi="Verdana" w:cs="Arial"/>
          <w:lang w:val="es-ES"/>
        </w:rPr>
      </w:pPr>
    </w:p>
    <w:p w14:paraId="5562C8AF" w14:textId="787C5011" w:rsidR="00274E54" w:rsidRPr="00E65094" w:rsidRDefault="001141A7" w:rsidP="00E65094">
      <w:pPr>
        <w:spacing w:after="120" w:line="276" w:lineRule="auto"/>
        <w:jc w:val="both"/>
        <w:rPr>
          <w:rFonts w:ascii="Verdana" w:eastAsia="Calibri" w:hAnsi="Verdana" w:cs="Arial"/>
          <w:bCs/>
          <w:lang w:val="es-MX"/>
        </w:rPr>
      </w:pPr>
      <w:r w:rsidRPr="00E65094">
        <w:rPr>
          <w:rFonts w:ascii="Verdana" w:eastAsia="Calibri" w:hAnsi="Verdana" w:cs="Arial"/>
          <w:bCs/>
          <w:lang w:val="es-MX"/>
        </w:rPr>
        <w:t xml:space="preserve">El fuero de maternidad es una figura que otorga una protección reforzada a la futura madre y a la que acaba de serlo, es decir, a la mujer que se encuentra en estado de embarazo y en periodo de lactancia, con el fin de que el proceso de </w:t>
      </w:r>
      <w:r w:rsidRPr="00E65094">
        <w:rPr>
          <w:rFonts w:ascii="Verdana" w:eastAsia="Calibri" w:hAnsi="Verdana" w:cs="Arial"/>
          <w:bCs/>
          <w:lang w:val="es-MX"/>
        </w:rPr>
        <w:lastRenderedPageBreak/>
        <w:t>gestación no interfiera en la estabilidad laboral que, como trabajadora, le asiste. El propósito es que la aspiraciones familiares y profesionales de la mujer no se excluyan y puedan armonizarse, al punto de desarrollar su proyecto de vida y su personalidad en condiciones de dignidad y libertad, pues históricamente el estado de gravidez (embarazo) ha constituido un motivo de exclusión de la mujer en el trabajo, en el que es preciso “impedir la discriminación constituida por el despido, la terminación o la no renovación del contrato por causa o con ocasión del embarazo o la lactancia”</w:t>
      </w:r>
      <w:r w:rsidRPr="00274E54">
        <w:rPr>
          <w:rStyle w:val="Refdenotaalpie"/>
          <w:rFonts w:ascii="Verdana" w:eastAsia="Calibri" w:hAnsi="Verdana" w:cs="Arial"/>
          <w:bCs/>
        </w:rPr>
        <w:footnoteReference w:id="1"/>
      </w:r>
      <w:r w:rsidRPr="00E65094">
        <w:rPr>
          <w:rFonts w:ascii="Verdana" w:eastAsia="Calibri" w:hAnsi="Verdana" w:cs="Arial"/>
          <w:bCs/>
          <w:lang w:val="es-MX"/>
        </w:rPr>
        <w:t>.</w:t>
      </w:r>
      <w:r w:rsidR="00274E54" w:rsidRPr="00274E54">
        <w:rPr>
          <w:rFonts w:ascii="Verdana" w:eastAsia="Calibri" w:hAnsi="Verdana" w:cs="Arial"/>
          <w:bCs/>
          <w:lang w:val="es-MX"/>
        </w:rPr>
        <w:tab/>
      </w:r>
    </w:p>
    <w:p w14:paraId="0485D91D" w14:textId="203EBC33" w:rsidR="00274E54" w:rsidRPr="00E65094" w:rsidRDefault="001141A7" w:rsidP="00E65094">
      <w:pPr>
        <w:spacing w:after="120" w:line="276" w:lineRule="auto"/>
        <w:ind w:firstLine="708"/>
        <w:jc w:val="both"/>
        <w:rPr>
          <w:rFonts w:ascii="Verdana" w:hAnsi="Verdana"/>
        </w:rPr>
      </w:pPr>
      <w:r w:rsidRPr="00E65094">
        <w:rPr>
          <w:rFonts w:ascii="Verdana" w:hAnsi="Verdana"/>
        </w:rPr>
        <w:t>Para desarrollar el problema planteado, se explicarán las dos posiciones que ha definido la Corte Constitucional para proteger el fuero de maternidad a una mujer que está vinculada</w:t>
      </w:r>
      <w:r w:rsidRPr="00E65094">
        <w:rPr>
          <w:rFonts w:ascii="Verdana" w:hAnsi="Verdana"/>
          <w:spacing w:val="19"/>
        </w:rPr>
        <w:t xml:space="preserve"> </w:t>
      </w:r>
      <w:r w:rsidRPr="00E65094">
        <w:rPr>
          <w:rFonts w:ascii="Verdana" w:hAnsi="Verdana"/>
        </w:rPr>
        <w:t>a</w:t>
      </w:r>
      <w:r w:rsidRPr="00E65094">
        <w:rPr>
          <w:rFonts w:ascii="Verdana" w:hAnsi="Verdana"/>
          <w:spacing w:val="19"/>
        </w:rPr>
        <w:t xml:space="preserve"> </w:t>
      </w:r>
      <w:r w:rsidRPr="00E65094">
        <w:rPr>
          <w:rFonts w:ascii="Verdana" w:hAnsi="Verdana"/>
        </w:rPr>
        <w:t>través</w:t>
      </w:r>
      <w:r w:rsidRPr="00E65094">
        <w:rPr>
          <w:rFonts w:ascii="Verdana" w:hAnsi="Verdana"/>
          <w:spacing w:val="19"/>
        </w:rPr>
        <w:t xml:space="preserve"> </w:t>
      </w:r>
      <w:r w:rsidRPr="00E65094">
        <w:rPr>
          <w:rFonts w:ascii="Verdana" w:hAnsi="Verdana"/>
        </w:rPr>
        <w:t>de</w:t>
      </w:r>
      <w:r w:rsidRPr="00E65094">
        <w:rPr>
          <w:rFonts w:ascii="Verdana" w:hAnsi="Verdana"/>
          <w:spacing w:val="18"/>
        </w:rPr>
        <w:t xml:space="preserve"> </w:t>
      </w:r>
      <w:r w:rsidRPr="00E65094">
        <w:rPr>
          <w:rFonts w:ascii="Verdana" w:hAnsi="Verdana"/>
        </w:rPr>
        <w:t>un</w:t>
      </w:r>
      <w:r w:rsidRPr="00E65094">
        <w:rPr>
          <w:rFonts w:ascii="Verdana" w:hAnsi="Verdana"/>
          <w:spacing w:val="19"/>
        </w:rPr>
        <w:t xml:space="preserve"> </w:t>
      </w:r>
      <w:r w:rsidRPr="00E65094">
        <w:rPr>
          <w:rFonts w:ascii="Verdana" w:hAnsi="Verdana"/>
        </w:rPr>
        <w:t>contrato</w:t>
      </w:r>
      <w:r w:rsidRPr="00E65094">
        <w:rPr>
          <w:rFonts w:ascii="Verdana" w:hAnsi="Verdana"/>
          <w:spacing w:val="19"/>
        </w:rPr>
        <w:t xml:space="preserve"> </w:t>
      </w:r>
      <w:r w:rsidRPr="00E65094">
        <w:rPr>
          <w:rFonts w:ascii="Verdana" w:hAnsi="Verdana"/>
        </w:rPr>
        <w:t>de</w:t>
      </w:r>
      <w:r w:rsidRPr="00E65094">
        <w:rPr>
          <w:rFonts w:ascii="Verdana" w:hAnsi="Verdana"/>
          <w:spacing w:val="18"/>
        </w:rPr>
        <w:t xml:space="preserve"> </w:t>
      </w:r>
      <w:r w:rsidRPr="00E65094">
        <w:rPr>
          <w:rFonts w:ascii="Verdana" w:hAnsi="Verdana"/>
        </w:rPr>
        <w:t>prestación</w:t>
      </w:r>
      <w:r w:rsidRPr="00E65094">
        <w:rPr>
          <w:rFonts w:ascii="Verdana" w:hAnsi="Verdana"/>
          <w:spacing w:val="19"/>
        </w:rPr>
        <w:t xml:space="preserve"> </w:t>
      </w:r>
      <w:r w:rsidRPr="00E65094">
        <w:rPr>
          <w:rFonts w:ascii="Verdana" w:hAnsi="Verdana"/>
        </w:rPr>
        <w:t>de</w:t>
      </w:r>
      <w:r w:rsidRPr="00E65094">
        <w:rPr>
          <w:rFonts w:ascii="Verdana" w:hAnsi="Verdana"/>
          <w:spacing w:val="19"/>
        </w:rPr>
        <w:t xml:space="preserve"> </w:t>
      </w:r>
      <w:r w:rsidRPr="00E65094">
        <w:rPr>
          <w:rFonts w:ascii="Verdana" w:hAnsi="Verdana"/>
        </w:rPr>
        <w:t>servicios.</w:t>
      </w:r>
      <w:r w:rsidRPr="00E65094">
        <w:rPr>
          <w:rFonts w:ascii="Verdana" w:hAnsi="Verdana"/>
          <w:spacing w:val="18"/>
        </w:rPr>
        <w:t xml:space="preserve"> </w:t>
      </w:r>
      <w:r w:rsidRPr="00E65094">
        <w:rPr>
          <w:rFonts w:ascii="Verdana" w:hAnsi="Verdana"/>
        </w:rPr>
        <w:t>Lo</w:t>
      </w:r>
      <w:r w:rsidRPr="00E65094">
        <w:rPr>
          <w:rFonts w:ascii="Verdana" w:hAnsi="Verdana"/>
          <w:spacing w:val="24"/>
        </w:rPr>
        <w:t xml:space="preserve"> </w:t>
      </w:r>
      <w:r w:rsidRPr="00E65094">
        <w:rPr>
          <w:rFonts w:ascii="Verdana" w:hAnsi="Verdana"/>
        </w:rPr>
        <w:t>anterior</w:t>
      </w:r>
      <w:r w:rsidRPr="00E65094">
        <w:rPr>
          <w:rFonts w:ascii="Verdana" w:hAnsi="Verdana"/>
          <w:spacing w:val="18"/>
        </w:rPr>
        <w:t xml:space="preserve"> </w:t>
      </w:r>
      <w:r w:rsidRPr="00E65094">
        <w:rPr>
          <w:rFonts w:ascii="Verdana" w:hAnsi="Verdana"/>
        </w:rPr>
        <w:t>para</w:t>
      </w:r>
      <w:r w:rsidRPr="00E65094">
        <w:rPr>
          <w:rFonts w:ascii="Verdana" w:hAnsi="Verdana"/>
          <w:spacing w:val="18"/>
        </w:rPr>
        <w:t xml:space="preserve"> </w:t>
      </w:r>
      <w:r w:rsidRPr="00E65094">
        <w:rPr>
          <w:rFonts w:ascii="Verdana" w:hAnsi="Verdana"/>
        </w:rPr>
        <w:t>determinar cuál es la posición actual del Alto Tribunal Constitucional en la defensa el derecho a la estabilidad laboral reforzada</w:t>
      </w:r>
    </w:p>
    <w:p w14:paraId="28CAB635" w14:textId="2067613F" w:rsidR="00274E54" w:rsidRPr="00E65094" w:rsidRDefault="001141A7" w:rsidP="00E65094">
      <w:pPr>
        <w:spacing w:after="120" w:line="276" w:lineRule="auto"/>
        <w:ind w:firstLine="708"/>
        <w:jc w:val="both"/>
        <w:rPr>
          <w:rFonts w:ascii="Verdana" w:hAnsi="Verdana"/>
          <w:lang w:eastAsia="es-CO"/>
        </w:rPr>
      </w:pPr>
      <w:r w:rsidRPr="00E65094">
        <w:rPr>
          <w:rFonts w:ascii="Verdana" w:hAnsi="Verdana"/>
        </w:rPr>
        <w:t>La Corte Constitucional, en la Sentencia de Unificación 070 de 2013, con ponencia de la magistrada Gloria Stella Ortiz Delgado, fijó la primera posición frente el tema, indicando que la protección al fuero de maternidad excluye a las trabajadoras que laboran de manera independiente, y sólo procede su protección si el juez de tutela, al analizar las condiciones propias del contrato de prestación de servicios, comprueba que las partes están vinculadas a través de un contrato de trabajo</w:t>
      </w:r>
      <w:r w:rsidRPr="00274E54">
        <w:rPr>
          <w:rStyle w:val="Refdenotaalpie"/>
          <w:rFonts w:ascii="Verdana" w:hAnsi="Verdana" w:cs="Arial"/>
        </w:rPr>
        <w:footnoteReference w:id="2"/>
      </w:r>
      <w:r w:rsidRPr="00E65094">
        <w:rPr>
          <w:rFonts w:ascii="Verdana" w:hAnsi="Verdana"/>
        </w:rPr>
        <w:t>. De esta forma, la protección a la estabilidad laboral reforzada de mujeres vinculadas a través de un contrato de prestación de servicios sólo procede frente aquellos casos donde se verifique la concurrencia de los tres (3) elementos del contrato de trabajo.</w:t>
      </w:r>
    </w:p>
    <w:p w14:paraId="004CFAA5" w14:textId="1CB35FBE" w:rsidR="00274E54" w:rsidRPr="00E65094" w:rsidRDefault="001141A7" w:rsidP="00E65094">
      <w:pPr>
        <w:spacing w:after="120" w:line="276" w:lineRule="auto"/>
        <w:ind w:firstLine="708"/>
        <w:jc w:val="both"/>
        <w:rPr>
          <w:rFonts w:ascii="Verdana" w:hAnsi="Verdana" w:cs="Arial"/>
          <w:lang w:eastAsia="es-CO"/>
        </w:rPr>
      </w:pPr>
      <w:r w:rsidRPr="00E65094">
        <w:rPr>
          <w:rFonts w:ascii="Verdana" w:hAnsi="Verdana" w:cs="Arial"/>
        </w:rPr>
        <w:lastRenderedPageBreak/>
        <w:t>Ahora bien, el Alto Tribunal Constitucional, en las sentencias T-102 de 2016</w:t>
      </w:r>
      <w:r w:rsidRPr="00274E54">
        <w:rPr>
          <w:rStyle w:val="Refdenotaalpie"/>
          <w:rFonts w:ascii="Verdana" w:hAnsi="Verdana" w:cs="Arial"/>
        </w:rPr>
        <w:footnoteReference w:id="3"/>
      </w:r>
      <w:r w:rsidRPr="00E65094">
        <w:rPr>
          <w:rFonts w:ascii="Verdana" w:hAnsi="Verdana" w:cs="Arial"/>
        </w:rPr>
        <w:t xml:space="preserve"> y T-564 de 2017</w:t>
      </w:r>
      <w:r w:rsidRPr="00274E54">
        <w:rPr>
          <w:rStyle w:val="Refdenotaalpie"/>
          <w:rFonts w:ascii="Verdana" w:hAnsi="Verdana" w:cs="Arial"/>
        </w:rPr>
        <w:footnoteReference w:id="4"/>
      </w:r>
      <w:r w:rsidRPr="00E65094">
        <w:rPr>
          <w:rFonts w:ascii="Verdana" w:hAnsi="Verdana" w:cs="Arial"/>
        </w:rPr>
        <w:t xml:space="preserve"> estableció otra posición, en los eventos donde no se prueba la configuración del contrato realidad en el contrato de prestación de servicios, señalando que este no es un motivo suficiente para desproteger los derechos de la estabilidad laboral reforzada de la mujer embarazada, si se comprueba que la terminación del contrato es discriminatoria y no atiende a un motivo objetivo.</w:t>
      </w:r>
    </w:p>
    <w:p w14:paraId="1ED1476F" w14:textId="54DC528C" w:rsidR="00274E54" w:rsidRPr="00E65094" w:rsidRDefault="001141A7" w:rsidP="00E65094">
      <w:pPr>
        <w:spacing w:after="120" w:line="276" w:lineRule="auto"/>
        <w:ind w:firstLine="708"/>
        <w:jc w:val="both"/>
        <w:rPr>
          <w:rFonts w:ascii="Verdana" w:hAnsi="Verdana"/>
        </w:rPr>
      </w:pPr>
      <w:r w:rsidRPr="00E65094">
        <w:rPr>
          <w:rFonts w:ascii="Verdana" w:hAnsi="Verdana"/>
        </w:rPr>
        <w:t xml:space="preserve">De acuerdo con la sentencia T-564 de 2017, a pesar de no probarse la configuración del contrato realidad se debe proteger a la mujer en estado de embarazo, vinculada a través de un contrato de prestación de servicios, porque a pesar de que la trabajadora informó al empleador su estado de gestación, éste terminó anticipadamente su contrato, configurándose una terminación por motivos discriminatorios. Por su parte, la sentencia </w:t>
      </w:r>
      <w:r w:rsidRPr="00E65094">
        <w:rPr>
          <w:rFonts w:ascii="Verdana" w:hAnsi="Verdana"/>
          <w:spacing w:val="3"/>
        </w:rPr>
        <w:t xml:space="preserve">T- </w:t>
      </w:r>
      <w:r w:rsidRPr="00E65094">
        <w:rPr>
          <w:rFonts w:ascii="Verdana" w:hAnsi="Verdana"/>
        </w:rPr>
        <w:t>102 de 2016, si bien reconoce la existencia del contrato realidad, reitera que el empleador no demostró ningún motivo objetivo que justificará la terminación del contrato, ya sea porque la actividad que venía realizando ya no era necesaria, o porque no probó que las causas que originaron la contratación desaparecieron, entre</w:t>
      </w:r>
      <w:r w:rsidRPr="00E65094">
        <w:rPr>
          <w:rFonts w:ascii="Verdana" w:hAnsi="Verdana"/>
          <w:spacing w:val="-12"/>
        </w:rPr>
        <w:t xml:space="preserve"> </w:t>
      </w:r>
      <w:r w:rsidRPr="00E65094">
        <w:rPr>
          <w:rFonts w:ascii="Verdana" w:hAnsi="Verdana"/>
        </w:rPr>
        <w:t>otros.</w:t>
      </w:r>
    </w:p>
    <w:p w14:paraId="7B934CA4" w14:textId="77777777" w:rsidR="001141A7" w:rsidRPr="00E65094" w:rsidRDefault="001141A7" w:rsidP="00E65094">
      <w:pPr>
        <w:spacing w:after="0" w:line="276" w:lineRule="auto"/>
        <w:ind w:firstLine="708"/>
        <w:jc w:val="both"/>
        <w:rPr>
          <w:rFonts w:ascii="Verdana" w:hAnsi="Verdana"/>
        </w:rPr>
      </w:pPr>
      <w:r w:rsidRPr="00E65094">
        <w:rPr>
          <w:rFonts w:ascii="Verdana" w:hAnsi="Verdana"/>
        </w:rPr>
        <w:lastRenderedPageBreak/>
        <w:t>En el mismo sentido, en el salvamento de voto a la sentencia T-743 de 2017, se reiteró que la protección a la mujer en estado de embarazo, vinculada por un contrato de prestación de servicios, no sólo se realiza cuando se prueba la configuración de contrato realidad, sino, además, cuando se demuestre que la decisión de la terminación es discriminatoria y no atiende a un motivo objetivo:</w:t>
      </w:r>
    </w:p>
    <w:p w14:paraId="5CF02F41" w14:textId="77777777" w:rsidR="001141A7" w:rsidRPr="00274E54" w:rsidRDefault="001141A7" w:rsidP="00E65094">
      <w:pPr>
        <w:spacing w:after="0" w:line="276" w:lineRule="auto"/>
        <w:ind w:left="709" w:right="709"/>
        <w:jc w:val="both"/>
        <w:rPr>
          <w:rFonts w:ascii="Verdana" w:hAnsi="Verdana" w:cs="Arial"/>
        </w:rPr>
      </w:pPr>
    </w:p>
    <w:p w14:paraId="0551BE3D" w14:textId="77777777" w:rsidR="001141A7" w:rsidRPr="00E65094" w:rsidRDefault="001141A7" w:rsidP="00E65094">
      <w:pPr>
        <w:spacing w:after="0" w:line="240" w:lineRule="auto"/>
        <w:ind w:left="709" w:right="709"/>
        <w:contextualSpacing/>
        <w:jc w:val="both"/>
        <w:rPr>
          <w:rFonts w:ascii="Verdana" w:hAnsi="Verdana" w:cs="Arial"/>
          <w:i/>
          <w:sz w:val="20"/>
          <w:szCs w:val="20"/>
        </w:rPr>
      </w:pPr>
      <w:r w:rsidRPr="00E65094">
        <w:rPr>
          <w:rFonts w:ascii="Verdana" w:eastAsia="Yu Gothic UI Semibold" w:hAnsi="Verdana" w:cs="Arial"/>
          <w:iCs/>
          <w:sz w:val="20"/>
          <w:szCs w:val="20"/>
          <w:lang w:eastAsia="es-MX"/>
        </w:rPr>
        <w:t>“</w:t>
      </w:r>
      <w:r w:rsidRPr="00E65094">
        <w:rPr>
          <w:rFonts w:ascii="Verdana" w:hAnsi="Verdana" w:cs="Arial"/>
          <w:sz w:val="20"/>
          <w:szCs w:val="20"/>
        </w:rPr>
        <w:t xml:space="preserve">Pues bien, el objeto de la aclaración que presento es la necesidad de subrayar la línea jurisprudencial vigente en materia estabilidad laboral reforzada de mujer embarazada en el marco de un contrato de prestación de servicios. A diferencia de las consideraciones de la sentencia, en las cuales se concluye que si no se comprueban los elementos del contrato laboral en la relación contractual no es posible alegar la violación del derecho a la estabilidad laboral reforzada, considero que existen sentencias recientes de las diferentes Salas de Revisión que han establecido que en el marco de relaciones de prestación de servicios, el juez de tutela, </w:t>
      </w:r>
      <w:r w:rsidRPr="00E65094">
        <w:rPr>
          <w:rFonts w:ascii="Verdana" w:hAnsi="Verdana" w:cs="Arial"/>
          <w:i/>
          <w:sz w:val="20"/>
          <w:szCs w:val="20"/>
        </w:rPr>
        <w:t>a pesar de no encontrar probados los elementos del contrato realidad, sí puede garantizar la estabilidad laboral reforzada de la mujer embarazada, siempre y cuando se demuestre que la decisión de la desvinculación es discriminatoria y no atiende a un motivo</w:t>
      </w:r>
      <w:r w:rsidRPr="00E65094">
        <w:rPr>
          <w:rFonts w:ascii="Verdana" w:hAnsi="Verdana" w:cs="Arial"/>
          <w:i/>
          <w:spacing w:val="-5"/>
          <w:sz w:val="20"/>
          <w:szCs w:val="20"/>
        </w:rPr>
        <w:t xml:space="preserve"> </w:t>
      </w:r>
      <w:r w:rsidRPr="00E65094">
        <w:rPr>
          <w:rFonts w:ascii="Verdana" w:hAnsi="Verdana" w:cs="Arial"/>
          <w:i/>
          <w:sz w:val="20"/>
          <w:szCs w:val="20"/>
        </w:rPr>
        <w:t>objetivo.</w:t>
      </w:r>
    </w:p>
    <w:p w14:paraId="2BFBD3AC" w14:textId="77777777" w:rsidR="001141A7" w:rsidRPr="00E65094" w:rsidRDefault="001141A7" w:rsidP="00E65094">
      <w:pPr>
        <w:spacing w:after="0" w:line="240" w:lineRule="auto"/>
        <w:ind w:left="709" w:right="709"/>
        <w:contextualSpacing/>
        <w:jc w:val="both"/>
        <w:rPr>
          <w:rFonts w:ascii="Verdana" w:hAnsi="Verdana" w:cs="Arial"/>
          <w:i/>
          <w:sz w:val="20"/>
          <w:szCs w:val="20"/>
        </w:rPr>
      </w:pPr>
    </w:p>
    <w:p w14:paraId="76F43916" w14:textId="3F32260B" w:rsidR="001141A7" w:rsidRDefault="001141A7" w:rsidP="00AF7CDB">
      <w:pPr>
        <w:spacing w:after="0" w:line="240" w:lineRule="auto"/>
        <w:ind w:left="709" w:right="709"/>
        <w:contextualSpacing/>
        <w:jc w:val="both"/>
        <w:rPr>
          <w:rFonts w:ascii="Verdana" w:hAnsi="Verdana" w:cs="Arial"/>
          <w:sz w:val="20"/>
          <w:szCs w:val="20"/>
        </w:rPr>
      </w:pPr>
      <w:r w:rsidRPr="00E65094">
        <w:rPr>
          <w:rFonts w:ascii="Verdana" w:hAnsi="Verdana" w:cs="Arial"/>
          <w:sz w:val="20"/>
          <w:szCs w:val="20"/>
        </w:rPr>
        <w:t>Son un ejemplo de esta tesis jurisprudencial las sentencias T-102 de 2016, T-350 de 2016 y T-564 de 2017, que sostienen que en el marco de relaciones de contratos de prestación de servicios independientemente de la prueba sobre los elementos del contrato realidad, si se demuestra la necesidad de la función o continuidad del objeto del contrato, se presume que la desvinculación fue en razón del estado de embarazo, y en consecuencia, procede con todos sus efectos el numeral 2º del artículo 239 del Código Sustantivo de Trabajo</w:t>
      </w:r>
      <w:r w:rsidRPr="00E65094">
        <w:rPr>
          <w:rFonts w:ascii="Verdana" w:hAnsi="Verdana" w:cs="Arial"/>
          <w:noProof/>
          <w:sz w:val="20"/>
          <w:szCs w:val="20"/>
          <w:lang w:val="es-ES_tradnl"/>
        </w:rPr>
        <w:t>”</w:t>
      </w:r>
      <w:r w:rsidRPr="00E65094">
        <w:rPr>
          <w:rFonts w:ascii="Verdana" w:hAnsi="Verdana" w:cs="Arial"/>
          <w:sz w:val="20"/>
          <w:szCs w:val="20"/>
        </w:rPr>
        <w:t>. [Cursiva por fuera del</w:t>
      </w:r>
      <w:r w:rsidRPr="00E65094">
        <w:rPr>
          <w:rFonts w:ascii="Verdana" w:hAnsi="Verdana" w:cs="Arial"/>
          <w:spacing w:val="-16"/>
          <w:sz w:val="20"/>
          <w:szCs w:val="20"/>
        </w:rPr>
        <w:t xml:space="preserve"> </w:t>
      </w:r>
      <w:r w:rsidRPr="00E65094">
        <w:rPr>
          <w:rFonts w:ascii="Verdana" w:hAnsi="Verdana" w:cs="Arial"/>
          <w:sz w:val="20"/>
          <w:szCs w:val="20"/>
        </w:rPr>
        <w:t>texto].</w:t>
      </w:r>
    </w:p>
    <w:p w14:paraId="01EA46B9" w14:textId="77777777" w:rsidR="00AF7CDB" w:rsidRPr="00E65094" w:rsidRDefault="00AF7CDB" w:rsidP="00E65094">
      <w:pPr>
        <w:spacing w:after="0" w:line="276" w:lineRule="auto"/>
        <w:ind w:left="709" w:right="709"/>
        <w:contextualSpacing/>
        <w:jc w:val="both"/>
        <w:rPr>
          <w:rFonts w:ascii="Verdana" w:hAnsi="Verdana" w:cs="Arial"/>
          <w:i/>
        </w:rPr>
      </w:pPr>
    </w:p>
    <w:p w14:paraId="48562C35" w14:textId="49D7943B" w:rsidR="00274E54" w:rsidRPr="00AF7CDB" w:rsidRDefault="001141A7" w:rsidP="00E65094">
      <w:pPr>
        <w:pStyle w:val="Textoindependiente"/>
        <w:spacing w:line="276" w:lineRule="auto"/>
        <w:ind w:right="108" w:firstLine="709"/>
        <w:jc w:val="both"/>
        <w:rPr>
          <w:rFonts w:ascii="Verdana" w:eastAsia="Yu Gothic UI Semibold" w:hAnsi="Verdana" w:cs="Arial"/>
        </w:rPr>
      </w:pPr>
      <w:r w:rsidRPr="00AF7CDB">
        <w:rPr>
          <w:rFonts w:ascii="Verdana" w:eastAsia="Yu Gothic UI Semibold" w:hAnsi="Verdana" w:cs="Arial"/>
        </w:rPr>
        <w:t>Finalmente, en el año 2018 la Corte Constitucional profirió la sentencia de unificación SU-075 de 2018, en la cual recoge, entre otras, las sentencias T-030 de 2018 y T-350 del 2016. En esta providencia, el Alto Tribunal establece unos criterios con el fin de impedir la discriminación que</w:t>
      </w:r>
      <w:r w:rsidRPr="00577FA9">
        <w:rPr>
          <w:rFonts w:ascii="Verdana" w:eastAsia="Yu Gothic UI Semibold" w:hAnsi="Verdana" w:cs="Arial"/>
        </w:rPr>
        <w:t xml:space="preserve"> se puede presentar a una mujer en estado de embarazo o lactancia, específicamente, respecto a la terminación o la no renovación del contrato. Dando paso a establecer que el denominado</w:t>
      </w:r>
      <w:r w:rsidRPr="00AF7CDB">
        <w:rPr>
          <w:rFonts w:ascii="Verdana" w:eastAsia="Yu Gothic UI Semibold" w:hAnsi="Verdana" w:cs="Arial"/>
          <w:i/>
        </w:rPr>
        <w:t xml:space="preserve"> </w:t>
      </w:r>
      <w:r w:rsidRPr="00AF7CDB">
        <w:rPr>
          <w:rFonts w:ascii="Verdana" w:eastAsia="Yu Gothic UI Semibold" w:hAnsi="Verdana" w:cs="Arial"/>
          <w:i/>
          <w:lang w:eastAsia="es-MX"/>
        </w:rPr>
        <w:t>“</w:t>
      </w:r>
      <w:r w:rsidRPr="00AF7CDB">
        <w:rPr>
          <w:rFonts w:ascii="Verdana" w:eastAsia="Yu Gothic UI Semibold" w:hAnsi="Verdana" w:cs="Arial"/>
          <w:i/>
        </w:rPr>
        <w:t>fuero de maternidad</w:t>
      </w:r>
      <w:r w:rsidRPr="00AF7CDB">
        <w:rPr>
          <w:rFonts w:ascii="Verdana" w:eastAsia="Yu Gothic UI Semibold" w:hAnsi="Verdana" w:cs="Arial"/>
          <w:i/>
          <w:lang w:eastAsia="es-MX"/>
        </w:rPr>
        <w:t>”</w:t>
      </w:r>
      <w:r w:rsidRPr="00AF7CDB">
        <w:rPr>
          <w:rFonts w:ascii="Verdana" w:eastAsia="Yu Gothic UI Semibold" w:hAnsi="Verdana" w:cs="Arial"/>
          <w:i/>
        </w:rPr>
        <w:t>,</w:t>
      </w:r>
      <w:r w:rsidRPr="00AF7CDB">
        <w:rPr>
          <w:rFonts w:ascii="Verdana" w:eastAsia="Yu Gothic UI Semibold" w:hAnsi="Verdana" w:cs="Arial"/>
        </w:rPr>
        <w:t xml:space="preserve"> encuentra también su sustento en la cláusula general de igualdad de la Constitución </w:t>
      </w:r>
      <w:r w:rsidRPr="00AF7CDB">
        <w:rPr>
          <w:rFonts w:ascii="Verdana" w:eastAsia="Yu Gothic UI Semibold" w:hAnsi="Verdana" w:cs="Arial"/>
          <w:i/>
          <w:lang w:eastAsia="es-MX"/>
        </w:rPr>
        <w:t>“</w:t>
      </w:r>
      <w:r w:rsidRPr="00AF7CDB">
        <w:rPr>
          <w:rFonts w:ascii="Verdana" w:eastAsia="Yu Gothic UI Semibold" w:hAnsi="Verdana" w:cs="Arial"/>
          <w:i/>
        </w:rPr>
        <w:t xml:space="preserve">que proscribe la discriminación </w:t>
      </w:r>
      <w:r w:rsidRPr="00AF7CDB">
        <w:rPr>
          <w:rFonts w:ascii="Verdana" w:eastAsia="Yu Gothic UI Semibold" w:hAnsi="Verdana" w:cs="Arial"/>
          <w:i/>
        </w:rPr>
        <w:lastRenderedPageBreak/>
        <w:t>por razones de sexo, así como en el ya mencionado artículo 43 Superior, que dispone la igualdad de derechos y oportunidades entre hombres y mujeres</w:t>
      </w:r>
      <w:r w:rsidRPr="00AF7CDB">
        <w:rPr>
          <w:rFonts w:ascii="Verdana" w:eastAsia="Yu Gothic UI Semibold" w:hAnsi="Verdana" w:cs="Arial"/>
          <w:i/>
          <w:lang w:eastAsia="es-MX"/>
        </w:rPr>
        <w:t>”</w:t>
      </w:r>
      <w:r w:rsidRPr="00AF7CDB">
        <w:rPr>
          <w:rStyle w:val="Refdenotaalpie"/>
          <w:rFonts w:ascii="Verdana" w:eastAsia="Yu Gothic UI Semibold" w:hAnsi="Verdana" w:cs="Arial"/>
          <w:i/>
          <w:lang w:eastAsia="es-MX"/>
        </w:rPr>
        <w:footnoteReference w:id="5"/>
      </w:r>
      <w:r w:rsidRPr="00AF7CDB">
        <w:rPr>
          <w:rFonts w:ascii="Verdana" w:eastAsia="Yu Gothic UI Semibold" w:hAnsi="Verdana" w:cs="Arial"/>
          <w:i/>
          <w:lang w:eastAsia="es-MX"/>
        </w:rPr>
        <w:t>.</w:t>
      </w:r>
    </w:p>
    <w:p w14:paraId="11F33CD2" w14:textId="77777777" w:rsidR="001141A7" w:rsidRPr="00E65094" w:rsidRDefault="001141A7" w:rsidP="00E65094">
      <w:pPr>
        <w:pStyle w:val="Textoindependiente"/>
        <w:spacing w:after="0" w:line="276" w:lineRule="auto"/>
        <w:ind w:right="108" w:firstLine="709"/>
        <w:jc w:val="both"/>
        <w:rPr>
          <w:rFonts w:ascii="Verdana" w:hAnsi="Verdana"/>
          <w:lang w:eastAsia="es-CO"/>
        </w:rPr>
      </w:pPr>
      <w:r w:rsidRPr="00E65094">
        <w:rPr>
          <w:rFonts w:ascii="Verdana" w:hAnsi="Verdana"/>
          <w:lang w:eastAsia="es-CO"/>
        </w:rPr>
        <w:t xml:space="preserve">La sentencia citada determina el tratamiento que deberían darles las entidades a sus trabajadoras o contratistas cuando se encuentren en estado de embarazo o lactancia, estableciendo su procedencia en los siguientes términos: </w:t>
      </w:r>
    </w:p>
    <w:p w14:paraId="3B70F1B2" w14:textId="77777777" w:rsidR="001141A7" w:rsidRPr="00AF7CDB" w:rsidRDefault="001141A7" w:rsidP="001141A7">
      <w:pPr>
        <w:shd w:val="clear" w:color="auto" w:fill="FFFFFF"/>
        <w:spacing w:after="120" w:line="276" w:lineRule="auto"/>
        <w:ind w:left="709" w:right="709"/>
        <w:contextualSpacing/>
        <w:jc w:val="both"/>
        <w:rPr>
          <w:rFonts w:ascii="Verdana" w:eastAsia="Yu Gothic UI Semibold" w:hAnsi="Verdana" w:cs="Arial"/>
          <w:sz w:val="21"/>
          <w:szCs w:val="21"/>
          <w:highlight w:val="red"/>
          <w:lang w:eastAsia="es-CO"/>
        </w:rPr>
      </w:pPr>
    </w:p>
    <w:p w14:paraId="76F51659" w14:textId="77777777" w:rsidR="001141A7" w:rsidRPr="00E65094" w:rsidRDefault="001141A7" w:rsidP="00E65094">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E65094">
        <w:rPr>
          <w:rFonts w:ascii="Verdana" w:eastAsia="Yu Gothic UI Semibold" w:hAnsi="Verdana" w:cs="Arial"/>
          <w:iCs/>
          <w:sz w:val="20"/>
          <w:szCs w:val="20"/>
          <w:lang w:eastAsia="es-MX"/>
        </w:rPr>
        <w:t>“</w:t>
      </w:r>
      <w:r w:rsidRPr="00E65094">
        <w:rPr>
          <w:rFonts w:ascii="Verdana" w:eastAsia="Yu Gothic UI Semibold" w:hAnsi="Verdana" w:cs="Arial"/>
          <w:sz w:val="20"/>
          <w:szCs w:val="20"/>
          <w:lang w:eastAsia="es-CO"/>
        </w:rPr>
        <w:t>La protección reforzada a la maternidad y la lactancia en el ámbito del trabajo procede cuando se demuestre, sin ninguna otra exigencia adicional, lo siguiente: </w:t>
      </w:r>
    </w:p>
    <w:p w14:paraId="3367489F" w14:textId="77777777" w:rsidR="001141A7" w:rsidRPr="00E65094" w:rsidRDefault="001141A7" w:rsidP="00E65094">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E65094">
        <w:rPr>
          <w:rFonts w:ascii="Verdana" w:eastAsia="Yu Gothic UI Semibold" w:hAnsi="Verdana" w:cs="Arial"/>
          <w:sz w:val="20"/>
          <w:szCs w:val="20"/>
          <w:lang w:eastAsia="es-CO"/>
        </w:rPr>
        <w:t> </w:t>
      </w:r>
    </w:p>
    <w:p w14:paraId="1C59D202" w14:textId="77777777" w:rsidR="001141A7" w:rsidRPr="00E65094" w:rsidRDefault="001141A7" w:rsidP="00E65094">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E65094">
        <w:rPr>
          <w:rFonts w:ascii="Verdana" w:eastAsia="Yu Gothic UI Semibold" w:hAnsi="Verdana" w:cs="Arial"/>
          <w:sz w:val="20"/>
          <w:szCs w:val="20"/>
          <w:lang w:eastAsia="es-CO"/>
        </w:rPr>
        <w:t>(a) La existencia de una relación laboral o de prestación de servicios y; </w:t>
      </w:r>
    </w:p>
    <w:p w14:paraId="3CDA4CD3" w14:textId="77777777" w:rsidR="001141A7" w:rsidRPr="00E65094" w:rsidRDefault="001141A7" w:rsidP="00E65094">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E65094">
        <w:rPr>
          <w:rFonts w:ascii="Verdana" w:eastAsia="Yu Gothic UI Semibold" w:hAnsi="Verdana" w:cs="Arial"/>
          <w:sz w:val="20"/>
          <w:szCs w:val="20"/>
          <w:lang w:eastAsia="es-CO"/>
        </w:rPr>
        <w:t> </w:t>
      </w:r>
    </w:p>
    <w:p w14:paraId="1DC21A0A" w14:textId="77777777" w:rsidR="001141A7" w:rsidRPr="00E65094" w:rsidRDefault="001141A7" w:rsidP="00E65094">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E65094">
        <w:rPr>
          <w:rFonts w:ascii="Verdana" w:eastAsia="Yu Gothic UI Semibold" w:hAnsi="Verdana" w:cs="Arial"/>
          <w:sz w:val="20"/>
          <w:szCs w:val="20"/>
          <w:lang w:eastAsia="es-CO"/>
        </w:rPr>
        <w:t>(b) Que la mujer se encuentra en estado de embarazo o dentro de los tres meses siguientes al parto, en vigencia de dicha relación laboral o de prestación.</w:t>
      </w:r>
    </w:p>
    <w:p w14:paraId="3A6DADE0" w14:textId="77777777" w:rsidR="001141A7" w:rsidRPr="00E65094" w:rsidRDefault="001141A7" w:rsidP="00E65094">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E65094">
        <w:rPr>
          <w:rFonts w:ascii="Verdana" w:eastAsia="Yu Gothic UI Semibold" w:hAnsi="Verdana" w:cs="Arial"/>
          <w:sz w:val="20"/>
          <w:szCs w:val="20"/>
          <w:lang w:eastAsia="es-CO"/>
        </w:rPr>
        <w:t> </w:t>
      </w:r>
    </w:p>
    <w:p w14:paraId="1CB445B7" w14:textId="77777777" w:rsidR="001141A7" w:rsidRPr="00E65094" w:rsidRDefault="001141A7" w:rsidP="00E65094">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E65094">
        <w:rPr>
          <w:rFonts w:ascii="Verdana" w:eastAsia="Yu Gothic UI Semibold" w:hAnsi="Verdana" w:cs="Arial"/>
          <w:sz w:val="20"/>
          <w:szCs w:val="20"/>
          <w:lang w:eastAsia="es-CO"/>
        </w:rPr>
        <w:t>No obstante, el alcance de la protección se debe determinar a partir de dos factores:</w:t>
      </w:r>
    </w:p>
    <w:p w14:paraId="4AE34111" w14:textId="77777777" w:rsidR="001141A7" w:rsidRPr="00E65094" w:rsidRDefault="001141A7" w:rsidP="00E65094">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E65094">
        <w:rPr>
          <w:rFonts w:ascii="Verdana" w:eastAsia="Yu Gothic UI Semibold" w:hAnsi="Verdana" w:cs="Arial"/>
          <w:sz w:val="20"/>
          <w:szCs w:val="20"/>
          <w:lang w:eastAsia="es-CO"/>
        </w:rPr>
        <w:t> </w:t>
      </w:r>
    </w:p>
    <w:p w14:paraId="0B43FCE0" w14:textId="77777777" w:rsidR="001141A7" w:rsidRPr="00E65094" w:rsidRDefault="001141A7" w:rsidP="00E65094">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E65094">
        <w:rPr>
          <w:rFonts w:ascii="Verdana" w:eastAsia="Yu Gothic UI Semibold" w:hAnsi="Verdana" w:cs="Arial"/>
          <w:sz w:val="20"/>
          <w:szCs w:val="20"/>
          <w:lang w:eastAsia="es-CO"/>
        </w:rPr>
        <w:t>(a) El conocimiento del embarazo por parte del empleador; y</w:t>
      </w:r>
    </w:p>
    <w:p w14:paraId="4A48CCBB" w14:textId="77777777" w:rsidR="001141A7" w:rsidRPr="00E65094" w:rsidRDefault="001141A7" w:rsidP="00E65094">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E65094">
        <w:rPr>
          <w:rFonts w:ascii="Verdana" w:eastAsia="Yu Gothic UI Semibold" w:hAnsi="Verdana" w:cs="Arial"/>
          <w:sz w:val="20"/>
          <w:szCs w:val="20"/>
          <w:lang w:eastAsia="es-CO"/>
        </w:rPr>
        <w:t> </w:t>
      </w:r>
    </w:p>
    <w:p w14:paraId="65E2F3FA" w14:textId="77777777" w:rsidR="001141A7" w:rsidRPr="00E65094" w:rsidRDefault="001141A7" w:rsidP="00E65094">
      <w:pPr>
        <w:shd w:val="clear" w:color="auto" w:fill="FFFFFF"/>
        <w:spacing w:line="240" w:lineRule="auto"/>
        <w:ind w:left="709" w:right="709"/>
        <w:contextualSpacing/>
        <w:jc w:val="both"/>
        <w:rPr>
          <w:rFonts w:ascii="Verdana" w:eastAsia="Yu Gothic UI Semibold" w:hAnsi="Verdana" w:cs="Arial"/>
          <w:sz w:val="20"/>
          <w:szCs w:val="20"/>
          <w:lang w:eastAsia="es-CO"/>
        </w:rPr>
      </w:pPr>
      <w:r w:rsidRPr="00E65094">
        <w:rPr>
          <w:rFonts w:ascii="Verdana" w:eastAsia="Yu Gothic UI Semibold" w:hAnsi="Verdana" w:cs="Arial"/>
          <w:sz w:val="20"/>
          <w:szCs w:val="20"/>
          <w:lang w:eastAsia="es-CO"/>
        </w:rPr>
        <w:t>(b) La alternativa laboral mediante la cual se encontraba vinculada la mujer embarazada</w:t>
      </w:r>
      <w:r w:rsidRPr="00E65094">
        <w:rPr>
          <w:rFonts w:ascii="Verdana" w:hAnsi="Verdana" w:cs="Arial"/>
          <w:noProof/>
          <w:sz w:val="20"/>
          <w:szCs w:val="20"/>
          <w:lang w:val="es-ES_tradnl"/>
        </w:rPr>
        <w:t>”.</w:t>
      </w:r>
    </w:p>
    <w:p w14:paraId="5076655C" w14:textId="77777777" w:rsidR="00AF7CDB" w:rsidRDefault="00AF7CDB" w:rsidP="00E65094">
      <w:pPr>
        <w:shd w:val="clear" w:color="auto" w:fill="FFFFFF"/>
        <w:spacing w:after="0" w:line="276" w:lineRule="auto"/>
        <w:ind w:right="51"/>
        <w:jc w:val="both"/>
        <w:rPr>
          <w:rFonts w:ascii="Verdana" w:eastAsia="Yu Gothic UI Semibold" w:hAnsi="Verdana" w:cs="Arial"/>
          <w:lang w:eastAsia="es-CO"/>
        </w:rPr>
      </w:pPr>
    </w:p>
    <w:p w14:paraId="4EB6BA0D" w14:textId="351A63E0" w:rsidR="001141A7" w:rsidRPr="00E65094" w:rsidRDefault="001141A7" w:rsidP="00E65094">
      <w:pPr>
        <w:shd w:val="clear" w:color="auto" w:fill="FFFFFF"/>
        <w:spacing w:after="0" w:line="276" w:lineRule="auto"/>
        <w:ind w:right="51" w:firstLine="708"/>
        <w:jc w:val="both"/>
        <w:rPr>
          <w:rFonts w:ascii="Verdana" w:eastAsia="Yu Gothic UI Semibold" w:hAnsi="Verdana" w:cs="Arial"/>
          <w:lang w:eastAsia="es-CO"/>
        </w:rPr>
      </w:pPr>
      <w:r w:rsidRPr="00E65094">
        <w:rPr>
          <w:rFonts w:ascii="Verdana" w:eastAsia="Yu Gothic UI Semibold" w:hAnsi="Verdana" w:cs="Arial"/>
          <w:lang w:eastAsia="es-CO"/>
        </w:rPr>
        <w:t xml:space="preserve">Como se evidencia en el texto referido, el criterio de la Corte establece que solo se requiere acreditar la relación laboral o la existencia de un contrato de prestación de servicios y el estado de embarazo o lactancia para acceder a la protección denominada estabilidad laboral reforzada de mujer embarazada y en periodo de lactancia. Para el caso concreto de los contratos de prestación de servicios, la sentencia en mención determina:   </w:t>
      </w:r>
    </w:p>
    <w:p w14:paraId="530C64B4" w14:textId="77777777" w:rsidR="001141A7" w:rsidRPr="009954A8" w:rsidRDefault="001141A7" w:rsidP="00E65094">
      <w:pPr>
        <w:shd w:val="clear" w:color="auto" w:fill="FFFFFF"/>
        <w:spacing w:after="0" w:line="276" w:lineRule="auto"/>
        <w:ind w:left="709" w:right="51"/>
        <w:jc w:val="both"/>
        <w:rPr>
          <w:rFonts w:ascii="Verdana" w:eastAsia="Yu Gothic UI Semibold" w:hAnsi="Verdana" w:cs="Arial"/>
          <w:lang w:eastAsia="es-CO"/>
        </w:rPr>
      </w:pPr>
    </w:p>
    <w:p w14:paraId="1D804162" w14:textId="77777777" w:rsidR="001141A7" w:rsidRPr="00E65094" w:rsidRDefault="001141A7" w:rsidP="00E65094">
      <w:pPr>
        <w:shd w:val="clear" w:color="auto" w:fill="FFFFFF"/>
        <w:spacing w:after="0"/>
        <w:ind w:left="709" w:right="709"/>
        <w:contextualSpacing/>
        <w:jc w:val="both"/>
        <w:rPr>
          <w:rFonts w:ascii="Verdana" w:eastAsia="Yu Gothic UI Semibold" w:hAnsi="Verdana" w:cs="Arial"/>
          <w:sz w:val="20"/>
          <w:szCs w:val="20"/>
          <w:lang w:eastAsia="es-CO"/>
        </w:rPr>
      </w:pPr>
      <w:r w:rsidRPr="00E65094">
        <w:rPr>
          <w:rFonts w:ascii="Verdana" w:eastAsia="Yu Gothic UI Semibold" w:hAnsi="Verdana" w:cs="Arial"/>
          <w:iCs/>
          <w:sz w:val="20"/>
          <w:szCs w:val="20"/>
          <w:lang w:eastAsia="es-MX"/>
        </w:rPr>
        <w:t>“</w:t>
      </w:r>
      <w:r w:rsidRPr="00E65094">
        <w:rPr>
          <w:rFonts w:ascii="Verdana" w:eastAsia="Yu Gothic UI Semibold" w:hAnsi="Verdana" w:cs="Arial"/>
          <w:sz w:val="20"/>
          <w:szCs w:val="20"/>
          <w:lang w:eastAsia="es-CO"/>
        </w:rPr>
        <w:t xml:space="preserve">[…]  en el supuesto en que la trabajadora gestante o lactante haya estado vinculada mediante un contrato de prestación de servicios </w:t>
      </w:r>
      <w:r w:rsidRPr="00E65094">
        <w:rPr>
          <w:rFonts w:ascii="Verdana" w:eastAsia="Yu Gothic UI Semibold" w:hAnsi="Verdana" w:cs="Arial"/>
          <w:sz w:val="20"/>
          <w:szCs w:val="20"/>
          <w:u w:val="single"/>
          <w:lang w:eastAsia="es-CO"/>
        </w:rPr>
        <w:t>y logre demostrar la existencia de un contrato realidad, se deberán aplicar las reglas propuestas para los contratos a término fijo</w:t>
      </w:r>
      <w:r w:rsidRPr="00E65094">
        <w:rPr>
          <w:rFonts w:ascii="Verdana" w:eastAsia="Yu Gothic UI Semibold" w:hAnsi="Verdana" w:cs="Arial"/>
          <w:sz w:val="20"/>
          <w:szCs w:val="20"/>
          <w:lang w:eastAsia="es-CO"/>
        </w:rPr>
        <w:t>, toda vez que, “dentro las características del contrato de prestación de servicios, según lo ha entendido esta Corporación, se encuentran que se trata de un contrato temporal, cuya duración es por un tiempo limitado, que es además el indispensable para ejecutar el objeto contractual convenido […]</w:t>
      </w:r>
      <w:r w:rsidRPr="00E65094">
        <w:rPr>
          <w:rFonts w:ascii="Verdana" w:hAnsi="Verdana" w:cs="Arial"/>
          <w:noProof/>
          <w:sz w:val="20"/>
          <w:szCs w:val="20"/>
          <w:lang w:val="es-ES_tradnl"/>
        </w:rPr>
        <w:t>”.</w:t>
      </w:r>
    </w:p>
    <w:p w14:paraId="5C5906F8" w14:textId="77777777" w:rsidR="001141A7" w:rsidRPr="009954A8" w:rsidRDefault="001141A7" w:rsidP="00E65094">
      <w:pPr>
        <w:shd w:val="clear" w:color="auto" w:fill="FFFFFF"/>
        <w:spacing w:after="0" w:line="276" w:lineRule="auto"/>
        <w:ind w:right="51"/>
        <w:contextualSpacing/>
        <w:jc w:val="both"/>
        <w:rPr>
          <w:rFonts w:ascii="Verdana" w:eastAsia="Yu Gothic UI Semibold" w:hAnsi="Verdana" w:cs="Arial"/>
          <w:lang w:eastAsia="es-CO"/>
        </w:rPr>
      </w:pPr>
    </w:p>
    <w:p w14:paraId="5E6D450A" w14:textId="77777777" w:rsidR="001141A7" w:rsidRPr="00E65094" w:rsidRDefault="001141A7" w:rsidP="00E65094">
      <w:pPr>
        <w:widowControl w:val="0"/>
        <w:autoSpaceDE w:val="0"/>
        <w:autoSpaceDN w:val="0"/>
        <w:spacing w:after="120" w:line="276" w:lineRule="auto"/>
        <w:ind w:firstLine="708"/>
        <w:jc w:val="both"/>
        <w:rPr>
          <w:rFonts w:ascii="Verdana" w:eastAsia="Arial" w:hAnsi="Verdana" w:cs="Arial"/>
        </w:rPr>
      </w:pPr>
      <w:r w:rsidRPr="00E65094">
        <w:rPr>
          <w:rFonts w:ascii="Verdana" w:eastAsia="Arial" w:hAnsi="Verdana" w:cs="Arial"/>
        </w:rPr>
        <w:t>Conforme a lo anterior, la Corte Constitucional ha expuesto dos (2) posiciones frente a los cuales opera la protección proveniente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(ii) cuando a pesar de no probarse la configuración de un contrato realidad la terminación del contrato de prestación de servicios se fundamenta en criterios discriminatorios, y no en motivos objetivos.</w:t>
      </w:r>
    </w:p>
    <w:p w14:paraId="20FE6E85" w14:textId="77777777" w:rsidR="001141A7" w:rsidRPr="00E65094" w:rsidRDefault="001141A7" w:rsidP="00E65094">
      <w:pPr>
        <w:widowControl w:val="0"/>
        <w:autoSpaceDE w:val="0"/>
        <w:autoSpaceDN w:val="0"/>
        <w:spacing w:after="120" w:line="276" w:lineRule="auto"/>
        <w:ind w:firstLine="708"/>
        <w:jc w:val="both"/>
        <w:rPr>
          <w:rFonts w:ascii="Verdana" w:eastAsia="Arial" w:hAnsi="Verdana" w:cs="Arial"/>
        </w:rPr>
      </w:pPr>
      <w:r w:rsidRPr="00E65094">
        <w:rPr>
          <w:rFonts w:ascii="Verdana" w:eastAsia="Arial" w:hAnsi="Verdana" w:cs="Arial"/>
        </w:rPr>
        <w:t>Asimismo se resalta, que el Alto Tribunal Constitucional en la sentencia T-743 de 2017, reiteró que la protección a la mujer en estado de embarazo y en periodo de lactancia, está sustentada en cuatro presupuestos de origen constitucional: (i) el deber de protección especial a la mujer gestante; (ii) la contención de prácticas discriminatorias en el escenario laboral contra la mujer, con ocasión del estado de embarazo; (iii) la protección a la vida y a la mujer como su gestora; y (iv) la relevancia de la familia en el ordenamiento social colombiano.</w:t>
      </w:r>
    </w:p>
    <w:p w14:paraId="5BE2AEA5" w14:textId="77777777" w:rsidR="001141A7" w:rsidRPr="00E65094" w:rsidRDefault="001141A7" w:rsidP="00E65094">
      <w:pPr>
        <w:widowControl w:val="0"/>
        <w:autoSpaceDE w:val="0"/>
        <w:autoSpaceDN w:val="0"/>
        <w:spacing w:after="120" w:line="276" w:lineRule="auto"/>
        <w:ind w:firstLine="708"/>
        <w:jc w:val="both"/>
        <w:rPr>
          <w:rFonts w:ascii="Verdana" w:eastAsia="Arial" w:hAnsi="Verdana" w:cs="Arial"/>
        </w:rPr>
      </w:pPr>
      <w:r w:rsidRPr="00E65094">
        <w:rPr>
          <w:rFonts w:ascii="Verdana" w:eastAsia="Arial" w:hAnsi="Verdana" w:cs="Arial"/>
        </w:rPr>
        <w:t>En este sentido, les corresponde a las entidades estatales, en virtud de su autonomía, y de acuerdo con los lineamientos de la Corte Constitucional, determinar la mejor forma para garantizar la estabilidad laboral reforzada de las mujeres embarazadas y en periodo de lactancia vinculadas mediante contratos de prestación de servicios.</w:t>
      </w:r>
    </w:p>
    <w:p w14:paraId="2252D0FA" w14:textId="77777777" w:rsidR="001141A7" w:rsidRPr="00E65094" w:rsidRDefault="001141A7" w:rsidP="00E65094">
      <w:pPr>
        <w:widowControl w:val="0"/>
        <w:autoSpaceDE w:val="0"/>
        <w:autoSpaceDN w:val="0"/>
        <w:spacing w:after="0" w:line="276" w:lineRule="auto"/>
        <w:ind w:firstLine="708"/>
        <w:jc w:val="both"/>
        <w:rPr>
          <w:rFonts w:ascii="Verdana" w:eastAsia="Arial" w:hAnsi="Verdana" w:cs="Arial"/>
        </w:rPr>
      </w:pPr>
      <w:r w:rsidRPr="00E65094">
        <w:rPr>
          <w:rFonts w:ascii="Verdana" w:eastAsia="Arial" w:hAnsi="Verdana" w:cs="Arial"/>
        </w:rPr>
        <w:t xml:space="preserve">Recientemente, la Corte Constitucional profirió la sentencia T-329 de 2022, con ponencia de la magistrada </w:t>
      </w:r>
      <w:r w:rsidRPr="00E65094">
        <w:rPr>
          <w:rFonts w:ascii="Verdana" w:hAnsi="Verdana" w:cs="Arial"/>
        </w:rPr>
        <w:t>Natalia Ángel Cabo</w:t>
      </w:r>
      <w:r w:rsidRPr="00E65094">
        <w:rPr>
          <w:rFonts w:ascii="Verdana" w:eastAsia="Arial" w:hAnsi="Verdana" w:cs="Arial"/>
        </w:rPr>
        <w:t xml:space="preserve">, en la cual reiteró el precedente sobre </w:t>
      </w:r>
      <w:bookmarkStart w:id="0" w:name="_Hlk108422441"/>
      <w:r w:rsidRPr="00E65094">
        <w:rPr>
          <w:rFonts w:ascii="Verdana" w:eastAsia="Arial" w:hAnsi="Verdana" w:cs="Arial"/>
        </w:rPr>
        <w:t>la protección de la mujer embarazada y en período de lactancia en contratos de prestación de servicios</w:t>
      </w:r>
      <w:bookmarkEnd w:id="0"/>
      <w:r w:rsidRPr="00E65094">
        <w:rPr>
          <w:rFonts w:ascii="Verdana" w:eastAsia="Arial" w:hAnsi="Verdana" w:cs="Arial"/>
        </w:rPr>
        <w:t xml:space="preserve"> establecido en la Sentencia S-070 de 2013, al indicar lo siguiente: </w:t>
      </w:r>
    </w:p>
    <w:p w14:paraId="5E27C2E9" w14:textId="77777777" w:rsidR="001141A7" w:rsidRPr="009954A8" w:rsidRDefault="001141A7" w:rsidP="00E65094">
      <w:pPr>
        <w:widowControl w:val="0"/>
        <w:autoSpaceDE w:val="0"/>
        <w:autoSpaceDN w:val="0"/>
        <w:spacing w:after="0" w:line="276" w:lineRule="auto"/>
        <w:ind w:firstLine="709"/>
        <w:contextualSpacing/>
        <w:jc w:val="both"/>
        <w:rPr>
          <w:rFonts w:ascii="Verdana" w:eastAsia="Arial" w:hAnsi="Verdana" w:cs="Arial"/>
          <w:lang w:val="es-ES"/>
        </w:rPr>
      </w:pPr>
    </w:p>
    <w:p w14:paraId="366D5869" w14:textId="77777777" w:rsidR="001141A7" w:rsidRPr="00E65094" w:rsidRDefault="001141A7" w:rsidP="00AF7CDB">
      <w:pPr>
        <w:pStyle w:val="Sinespaciado"/>
        <w:ind w:left="709" w:right="709"/>
        <w:contextualSpacing/>
        <w:rPr>
          <w:rFonts w:ascii="Verdana" w:hAnsi="Verdana" w:cs="Arial"/>
          <w:sz w:val="20"/>
          <w:szCs w:val="20"/>
        </w:rPr>
      </w:pPr>
      <w:r w:rsidRPr="00E65094">
        <w:rPr>
          <w:rFonts w:ascii="Verdana" w:eastAsia="Yu Gothic UI Semibold" w:hAnsi="Verdana" w:cs="Arial"/>
          <w:iCs/>
          <w:sz w:val="20"/>
          <w:szCs w:val="20"/>
          <w:lang w:eastAsia="es-MX"/>
        </w:rPr>
        <w:t>“</w:t>
      </w:r>
      <w:r w:rsidRPr="00E65094">
        <w:rPr>
          <w:rFonts w:ascii="Verdana" w:eastAsia="Yu Gothic UI Semibold" w:hAnsi="Verdana" w:cs="Arial"/>
          <w:sz w:val="20"/>
          <w:szCs w:val="20"/>
          <w:lang w:eastAsia="es-CO"/>
        </w:rPr>
        <w:t>[…]</w:t>
      </w:r>
      <w:r w:rsidRPr="00E65094">
        <w:rPr>
          <w:rFonts w:ascii="Verdana" w:hAnsi="Verdana" w:cs="Arial"/>
          <w:sz w:val="20"/>
          <w:szCs w:val="20"/>
        </w:rPr>
        <w:t xml:space="preserve">En la Sentencia SU-070 de 2013, la Corte reconoció la protección de la mujer embarazada en otras alternativas laborales. En relación con el contrato de prestación de servicios indicó que el juez de tutela debe evaluar si existe un inminente riesgo de afectación al mínimo vital o a otros derechos fundamentales de la accionante. En caso afirmativo, el juez de tutela está obligado a evaluar las circunstancias fácticas particulares </w:t>
      </w:r>
      <w:r w:rsidRPr="00E65094">
        <w:rPr>
          <w:rFonts w:ascii="Verdana" w:hAnsi="Verdana" w:cs="Arial"/>
          <w:sz w:val="20"/>
          <w:szCs w:val="20"/>
        </w:rPr>
        <w:lastRenderedPageBreak/>
        <w:t>para determinar si tras esa figura contractual está oculta una relación laboral o si efectivamente se trata de un contrato de prestación de servicios. En los casos en los que se encuentre que el contrato de prestación de servicios oculta una relación laboral, se deben aplicar las reglas establecidas para el contrato laboral a término fijo</w:t>
      </w:r>
      <w:r w:rsidRPr="00E65094">
        <w:rPr>
          <w:rFonts w:ascii="Verdana" w:hAnsi="Verdana" w:cs="Arial"/>
          <w:noProof/>
          <w:sz w:val="20"/>
          <w:szCs w:val="20"/>
          <w:lang w:val="es-ES_tradnl"/>
        </w:rPr>
        <w:t>”.</w:t>
      </w:r>
    </w:p>
    <w:p w14:paraId="1BE57FF9" w14:textId="77777777" w:rsidR="001141A7" w:rsidRPr="009954A8" w:rsidRDefault="001141A7" w:rsidP="00E65094">
      <w:pPr>
        <w:widowControl w:val="0"/>
        <w:autoSpaceDE w:val="0"/>
        <w:autoSpaceDN w:val="0"/>
        <w:spacing w:after="0" w:line="276" w:lineRule="auto"/>
        <w:ind w:firstLine="709"/>
        <w:jc w:val="both"/>
        <w:rPr>
          <w:rFonts w:ascii="Verdana" w:eastAsia="Arial" w:hAnsi="Verdana" w:cs="Arial"/>
          <w:lang w:val="es-ES"/>
        </w:rPr>
      </w:pPr>
    </w:p>
    <w:p w14:paraId="4E6B4667" w14:textId="77777777" w:rsidR="001141A7" w:rsidRPr="00E65094" w:rsidRDefault="001141A7" w:rsidP="00E65094">
      <w:pPr>
        <w:widowControl w:val="0"/>
        <w:autoSpaceDE w:val="0"/>
        <w:autoSpaceDN w:val="0"/>
        <w:spacing w:after="120" w:line="276" w:lineRule="auto"/>
        <w:ind w:firstLine="708"/>
        <w:jc w:val="both"/>
        <w:rPr>
          <w:rFonts w:ascii="Verdana" w:hAnsi="Verdana" w:cs="Arial"/>
          <w:shd w:val="clear" w:color="auto" w:fill="FFFFFF"/>
        </w:rPr>
      </w:pPr>
      <w:r w:rsidRPr="00E65094">
        <w:rPr>
          <w:rFonts w:ascii="Verdana" w:eastAsia="Arial" w:hAnsi="Verdana" w:cs="Arial"/>
        </w:rPr>
        <w:t xml:space="preserve">En dicha providencia la Corte consideró que, en los casos de </w:t>
      </w:r>
      <w:r w:rsidRPr="00E65094">
        <w:rPr>
          <w:rFonts w:ascii="Verdana" w:hAnsi="Verdana" w:cs="Arial"/>
        </w:rPr>
        <w:t xml:space="preserve">en los casos de vinculación mediante contrato de prestación de servicios, aun cuando en el trámite de tutela no se logren acreditar los elementos del contrato realidad, hay lugar a la protección derivada de del fuero de maternidad. Lo anterior, en palabras de la Corte encuentra sustento en las siguientes razones: </w:t>
      </w:r>
      <w:r w:rsidRPr="00E65094">
        <w:rPr>
          <w:rFonts w:ascii="Verdana" w:eastAsia="Yu Gothic UI Semibold" w:hAnsi="Verdana" w:cs="Arial"/>
          <w:iCs/>
          <w:lang w:eastAsia="es-MX"/>
        </w:rPr>
        <w:t>“</w:t>
      </w:r>
      <w:r w:rsidRPr="00E65094">
        <w:rPr>
          <w:rFonts w:ascii="Verdana" w:hAnsi="Verdana" w:cs="Arial"/>
        </w:rPr>
        <w:t xml:space="preserve">(i) la protección de la mujer gestante o en periodo de lactancia se deriva de, entre otros, los artículos 43, 53 y 13 de la Constitución Nacional; (ii) la Sentencia SU-070 de 2013 reiteró la protección a la mujer embarazada en todas las alternativas laborales o de trabajo en las que se incluye el contrato de prestación de servicios; (iii) la Sentencia SU-075 de 2018 reiteró que las condiciones para la protección de la mujer embarazada son la existencia de una relación laboral o de prestación de servicios y que </w:t>
      </w:r>
      <w:r w:rsidRPr="00E65094">
        <w:rPr>
          <w:rFonts w:ascii="Verdana" w:hAnsi="Verdana" w:cs="Arial"/>
          <w:shd w:val="clear" w:color="auto" w:fill="FFFFFF"/>
        </w:rPr>
        <w:t>la mujer se encuentre en estado de embarazo o dentro de los tres meses siguientes al parto, en vigencia de dicha relación laboral o de prestación de servicios</w:t>
      </w:r>
      <w:r w:rsidRPr="00E65094">
        <w:rPr>
          <w:rFonts w:ascii="Verdana" w:hAnsi="Verdana" w:cs="Arial"/>
        </w:rPr>
        <w:t xml:space="preserve">; y (iv) las salas de revisión de la Corte Constitucional </w:t>
      </w:r>
      <w:r w:rsidRPr="00E65094">
        <w:rPr>
          <w:rFonts w:ascii="Verdana" w:hAnsi="Verdana" w:cs="Arial"/>
          <w:shd w:val="clear" w:color="auto" w:fill="FFFFFF"/>
        </w:rPr>
        <w:t>reconocen la protección derivada del fuero de maternidad en los contratos de prestación de servicios</w:t>
      </w:r>
      <w:r w:rsidRPr="00E65094">
        <w:rPr>
          <w:rFonts w:ascii="Verdana" w:hAnsi="Verdana" w:cs="Arial"/>
          <w:noProof/>
          <w:lang w:val="es-ES_tradnl"/>
        </w:rPr>
        <w:t>”</w:t>
      </w:r>
      <w:r w:rsidRPr="009954A8">
        <w:rPr>
          <w:rStyle w:val="Refdenotaalpie"/>
          <w:rFonts w:ascii="Verdana" w:hAnsi="Verdana" w:cs="Arial"/>
          <w:noProof/>
          <w:lang w:val="es-ES_tradnl"/>
        </w:rPr>
        <w:footnoteReference w:id="6"/>
      </w:r>
      <w:r w:rsidRPr="00E65094">
        <w:rPr>
          <w:rFonts w:ascii="Verdana" w:hAnsi="Verdana" w:cs="Arial"/>
          <w:shd w:val="clear" w:color="auto" w:fill="FFFFFF"/>
        </w:rPr>
        <w:t xml:space="preserve">. </w:t>
      </w:r>
    </w:p>
    <w:p w14:paraId="268B4B9B" w14:textId="54F2F8BD" w:rsidR="001141A7" w:rsidRPr="009954A8" w:rsidRDefault="001141A7" w:rsidP="00E65094">
      <w:pPr>
        <w:widowControl w:val="0"/>
        <w:autoSpaceDE w:val="0"/>
        <w:autoSpaceDN w:val="0"/>
        <w:spacing w:after="120" w:line="276" w:lineRule="auto"/>
        <w:ind w:firstLine="708"/>
        <w:jc w:val="both"/>
        <w:rPr>
          <w:rFonts w:ascii="Verdana" w:eastAsia="Arial" w:hAnsi="Verdana" w:cs="Arial"/>
          <w:lang w:val="es-ES"/>
        </w:rPr>
      </w:pPr>
      <w:r w:rsidRPr="00E65094">
        <w:rPr>
          <w:rFonts w:ascii="Verdana" w:eastAsia="Arial" w:hAnsi="Verdana" w:cs="Arial"/>
        </w:rPr>
        <w:t xml:space="preserve">En atención a dicho pronunciamiento, resulta relevante relacionar </w:t>
      </w:r>
      <w:r w:rsidRPr="00E65094">
        <w:rPr>
          <w:rFonts w:ascii="Verdana" w:hAnsi="Verdana" w:cs="Arial"/>
        </w:rPr>
        <w:t>las reglas establecidas en la jurisprudencia constitucional para la protección de las mujeres contratadas mediante contrato de prestación de servicios a quienes no se les renueva dicho contrato mientras se encuentran en estado de embarazo o lactancia:</w:t>
      </w:r>
    </w:p>
    <w:tbl>
      <w:tblPr>
        <w:tblStyle w:val="Tablaconcuadrcula"/>
        <w:tblW w:w="5000" w:type="pct"/>
        <w:tblLook w:val="04A0" w:firstRow="1" w:lastRow="0" w:firstColumn="1" w:lastColumn="0" w:noHBand="0" w:noVBand="1"/>
      </w:tblPr>
      <w:tblGrid>
        <w:gridCol w:w="1813"/>
        <w:gridCol w:w="7015"/>
      </w:tblGrid>
      <w:tr w:rsidR="001141A7" w:rsidRPr="009954A8" w14:paraId="145E48F9" w14:textId="77777777" w:rsidTr="007435C4">
        <w:tc>
          <w:tcPr>
            <w:tcW w:w="1027" w:type="pct"/>
            <w:shd w:val="clear" w:color="auto" w:fill="D9E2F3" w:themeFill="accent1" w:themeFillTint="33"/>
            <w:vAlign w:val="center"/>
          </w:tcPr>
          <w:p w14:paraId="48E04B6E" w14:textId="77777777" w:rsidR="001141A7" w:rsidRPr="009954A8" w:rsidRDefault="001141A7" w:rsidP="007435C4">
            <w:pPr>
              <w:pStyle w:val="Sinespaciado"/>
              <w:ind w:right="0"/>
              <w:jc w:val="center"/>
              <w:rPr>
                <w:rFonts w:ascii="Verdana" w:hAnsi="Verdana" w:cs="Arial"/>
                <w:b/>
                <w:bCs/>
                <w:sz w:val="21"/>
                <w:szCs w:val="21"/>
              </w:rPr>
            </w:pPr>
            <w:r w:rsidRPr="009954A8">
              <w:rPr>
                <w:rFonts w:ascii="Verdana" w:hAnsi="Verdana" w:cs="Arial"/>
                <w:b/>
                <w:bCs/>
                <w:sz w:val="21"/>
                <w:szCs w:val="21"/>
              </w:rPr>
              <w:t>Tipo de relación material</w:t>
            </w:r>
          </w:p>
        </w:tc>
        <w:tc>
          <w:tcPr>
            <w:tcW w:w="3973" w:type="pct"/>
            <w:shd w:val="clear" w:color="auto" w:fill="D9E2F3" w:themeFill="accent1" w:themeFillTint="33"/>
            <w:vAlign w:val="center"/>
          </w:tcPr>
          <w:p w14:paraId="5FBA97CC" w14:textId="77777777" w:rsidR="001141A7" w:rsidRPr="009954A8" w:rsidRDefault="001141A7" w:rsidP="007435C4">
            <w:pPr>
              <w:pStyle w:val="Sinespaciado"/>
              <w:ind w:right="0"/>
              <w:jc w:val="center"/>
              <w:rPr>
                <w:rFonts w:ascii="Verdana" w:hAnsi="Verdana" w:cs="Arial"/>
                <w:b/>
                <w:bCs/>
                <w:sz w:val="21"/>
                <w:szCs w:val="21"/>
              </w:rPr>
            </w:pPr>
            <w:r w:rsidRPr="009954A8">
              <w:rPr>
                <w:rFonts w:ascii="Verdana" w:hAnsi="Verdana" w:cs="Arial"/>
                <w:b/>
                <w:bCs/>
                <w:sz w:val="21"/>
                <w:szCs w:val="21"/>
              </w:rPr>
              <w:t>Alcance de la protección</w:t>
            </w:r>
          </w:p>
        </w:tc>
      </w:tr>
      <w:tr w:rsidR="001141A7" w:rsidRPr="009954A8" w14:paraId="1AC7EBD3" w14:textId="77777777" w:rsidTr="007435C4">
        <w:tc>
          <w:tcPr>
            <w:tcW w:w="1027" w:type="pct"/>
            <w:tcBorders>
              <w:bottom w:val="single" w:sz="4" w:space="0" w:color="auto"/>
            </w:tcBorders>
            <w:vAlign w:val="center"/>
          </w:tcPr>
          <w:p w14:paraId="00224676" w14:textId="77777777" w:rsidR="001141A7" w:rsidRPr="009954A8" w:rsidRDefault="001141A7" w:rsidP="007435C4">
            <w:pPr>
              <w:pStyle w:val="Sinespaciado"/>
              <w:ind w:right="0"/>
              <w:jc w:val="center"/>
              <w:rPr>
                <w:rFonts w:ascii="Verdana" w:hAnsi="Verdana" w:cs="Arial"/>
                <w:b/>
                <w:bCs/>
                <w:sz w:val="21"/>
                <w:szCs w:val="21"/>
              </w:rPr>
            </w:pPr>
            <w:r w:rsidRPr="009954A8">
              <w:rPr>
                <w:rFonts w:ascii="Verdana" w:hAnsi="Verdana" w:cs="Arial"/>
                <w:b/>
                <w:bCs/>
                <w:sz w:val="21"/>
                <w:szCs w:val="21"/>
              </w:rPr>
              <w:t>Se configura un contrato realidad</w:t>
            </w:r>
          </w:p>
        </w:tc>
        <w:tc>
          <w:tcPr>
            <w:tcW w:w="3973" w:type="pct"/>
          </w:tcPr>
          <w:p w14:paraId="3DF5D3B7" w14:textId="77777777" w:rsidR="001141A7" w:rsidRPr="009954A8" w:rsidRDefault="001141A7" w:rsidP="007435C4">
            <w:pPr>
              <w:pStyle w:val="Sinespaciado"/>
              <w:ind w:right="0"/>
              <w:rPr>
                <w:rFonts w:ascii="Verdana" w:hAnsi="Verdana" w:cs="Arial"/>
                <w:sz w:val="21"/>
                <w:szCs w:val="21"/>
              </w:rPr>
            </w:pPr>
            <w:r w:rsidRPr="009954A8">
              <w:rPr>
                <w:rFonts w:ascii="Verdana" w:hAnsi="Verdana" w:cs="Arial"/>
                <w:sz w:val="21"/>
                <w:szCs w:val="21"/>
              </w:rPr>
              <w:t>El juez de tutela deberá aplicar las reglas establecidas para el contrato laboral a término fijo, debido a que este contrato, por sus características de temporalidad, es el que mejor se asemeja al contrato de prestación de servicios</w:t>
            </w:r>
            <w:r w:rsidRPr="009954A8">
              <w:rPr>
                <w:rStyle w:val="Refdenotaalpie"/>
                <w:rFonts w:ascii="Verdana" w:hAnsi="Verdana" w:cs="Arial"/>
                <w:sz w:val="21"/>
                <w:szCs w:val="21"/>
              </w:rPr>
              <w:t xml:space="preserve"> </w:t>
            </w:r>
            <w:r w:rsidRPr="009954A8">
              <w:rPr>
                <w:rStyle w:val="Refdenotaalpie"/>
                <w:rFonts w:ascii="Verdana" w:hAnsi="Verdana" w:cs="Arial"/>
                <w:sz w:val="21"/>
                <w:szCs w:val="21"/>
              </w:rPr>
              <w:footnoteReference w:id="7"/>
            </w:r>
            <w:r w:rsidRPr="009954A8">
              <w:rPr>
                <w:rFonts w:ascii="Verdana" w:hAnsi="Verdana" w:cs="Arial"/>
                <w:sz w:val="21"/>
                <w:szCs w:val="21"/>
              </w:rPr>
              <w:t>.</w:t>
            </w:r>
          </w:p>
        </w:tc>
      </w:tr>
      <w:tr w:rsidR="001141A7" w:rsidRPr="009954A8" w14:paraId="2A102DAD" w14:textId="77777777" w:rsidTr="007435C4">
        <w:trPr>
          <w:trHeight w:val="269"/>
        </w:trPr>
        <w:tc>
          <w:tcPr>
            <w:tcW w:w="1027" w:type="pct"/>
            <w:tcBorders>
              <w:top w:val="single" w:sz="4" w:space="0" w:color="auto"/>
              <w:left w:val="single" w:sz="4" w:space="0" w:color="auto"/>
              <w:bottom w:val="single" w:sz="4" w:space="0" w:color="auto"/>
              <w:right w:val="single" w:sz="4" w:space="0" w:color="auto"/>
            </w:tcBorders>
            <w:vAlign w:val="center"/>
          </w:tcPr>
          <w:p w14:paraId="02AEC570" w14:textId="77777777" w:rsidR="001141A7" w:rsidRPr="009954A8" w:rsidRDefault="001141A7" w:rsidP="007435C4">
            <w:pPr>
              <w:pStyle w:val="Sinespaciado"/>
              <w:ind w:right="0"/>
              <w:jc w:val="center"/>
              <w:rPr>
                <w:rFonts w:ascii="Verdana" w:hAnsi="Verdana" w:cs="Arial"/>
                <w:b/>
                <w:bCs/>
                <w:sz w:val="21"/>
                <w:szCs w:val="21"/>
              </w:rPr>
            </w:pPr>
            <w:r w:rsidRPr="009954A8">
              <w:rPr>
                <w:rFonts w:ascii="Verdana" w:hAnsi="Verdana" w:cs="Arial"/>
                <w:b/>
                <w:bCs/>
                <w:sz w:val="21"/>
                <w:szCs w:val="21"/>
              </w:rPr>
              <w:lastRenderedPageBreak/>
              <w:t>No se configura un contrato realidad</w:t>
            </w:r>
          </w:p>
        </w:tc>
        <w:tc>
          <w:tcPr>
            <w:tcW w:w="3973" w:type="pct"/>
            <w:tcBorders>
              <w:left w:val="single" w:sz="4" w:space="0" w:color="auto"/>
            </w:tcBorders>
            <w:vAlign w:val="center"/>
          </w:tcPr>
          <w:p w14:paraId="05D90D9E" w14:textId="77777777" w:rsidR="001141A7" w:rsidRPr="009954A8" w:rsidRDefault="001141A7" w:rsidP="007435C4">
            <w:pPr>
              <w:pStyle w:val="Sinespaciado"/>
              <w:ind w:right="0"/>
              <w:rPr>
                <w:rFonts w:ascii="Verdana" w:hAnsi="Verdana" w:cs="Arial"/>
                <w:sz w:val="21"/>
                <w:szCs w:val="21"/>
              </w:rPr>
            </w:pPr>
            <w:r w:rsidRPr="009954A8">
              <w:rPr>
                <w:rFonts w:ascii="Verdana" w:hAnsi="Verdana" w:cs="Arial"/>
                <w:sz w:val="21"/>
                <w:szCs w:val="21"/>
              </w:rPr>
              <w:t>Si (i) el contratante conoce el estado de embarazo de la contratista, (ii) subsiste la causa del contrato y (iii) no cuenta con permiso del inspector del trabajo para terminar el contrato, el juez deberá ordenar:</w:t>
            </w:r>
          </w:p>
          <w:p w14:paraId="72EC1527" w14:textId="77777777" w:rsidR="001141A7" w:rsidRPr="009954A8" w:rsidRDefault="001141A7" w:rsidP="007435C4">
            <w:pPr>
              <w:pStyle w:val="Sinespaciado"/>
              <w:ind w:right="0"/>
              <w:rPr>
                <w:rFonts w:ascii="Verdana" w:hAnsi="Verdana" w:cs="Arial"/>
                <w:sz w:val="21"/>
                <w:szCs w:val="21"/>
              </w:rPr>
            </w:pPr>
          </w:p>
          <w:p w14:paraId="65F47730" w14:textId="77777777" w:rsidR="001141A7" w:rsidRPr="009954A8" w:rsidRDefault="001141A7" w:rsidP="007435C4">
            <w:pPr>
              <w:pStyle w:val="Sinespaciado"/>
              <w:numPr>
                <w:ilvl w:val="0"/>
                <w:numId w:val="17"/>
              </w:numPr>
              <w:ind w:right="0"/>
              <w:rPr>
                <w:rFonts w:ascii="Verdana" w:hAnsi="Verdana" w:cs="Arial"/>
                <w:sz w:val="21"/>
                <w:szCs w:val="21"/>
              </w:rPr>
            </w:pPr>
            <w:r w:rsidRPr="009954A8">
              <w:rPr>
                <w:rFonts w:ascii="Verdana" w:hAnsi="Verdana" w:cs="Arial"/>
                <w:sz w:val="21"/>
                <w:szCs w:val="21"/>
              </w:rPr>
              <w:t xml:space="preserve">La renovación de la relación contractual, la cuál se dará hasta por el término del periodo de lactancia. </w:t>
            </w:r>
          </w:p>
          <w:p w14:paraId="6E8D4B12" w14:textId="77777777" w:rsidR="001141A7" w:rsidRPr="009954A8" w:rsidRDefault="001141A7" w:rsidP="007435C4">
            <w:pPr>
              <w:pStyle w:val="Sinespaciado"/>
              <w:numPr>
                <w:ilvl w:val="0"/>
                <w:numId w:val="17"/>
              </w:numPr>
              <w:ind w:right="0"/>
              <w:rPr>
                <w:rFonts w:ascii="Verdana" w:hAnsi="Verdana" w:cs="Arial"/>
                <w:sz w:val="21"/>
                <w:szCs w:val="21"/>
              </w:rPr>
            </w:pPr>
            <w:r w:rsidRPr="009954A8">
              <w:rPr>
                <w:rFonts w:ascii="Verdana" w:hAnsi="Verdana" w:cs="Arial"/>
                <w:sz w:val="21"/>
                <w:szCs w:val="21"/>
              </w:rPr>
              <w:t>El pago de los honorarios dejados de percibir desde la fecha de no renovación del contrato, hasta la renovación del mismo;</w:t>
            </w:r>
          </w:p>
          <w:p w14:paraId="3D85DB30" w14:textId="77777777" w:rsidR="001141A7" w:rsidRPr="009954A8" w:rsidRDefault="001141A7" w:rsidP="007435C4">
            <w:pPr>
              <w:pStyle w:val="Sinespaciado"/>
              <w:numPr>
                <w:ilvl w:val="0"/>
                <w:numId w:val="17"/>
              </w:numPr>
              <w:ind w:right="0"/>
              <w:rPr>
                <w:rFonts w:ascii="Verdana" w:hAnsi="Verdana" w:cs="Arial"/>
                <w:sz w:val="21"/>
                <w:szCs w:val="21"/>
              </w:rPr>
            </w:pPr>
            <w:r w:rsidRPr="009954A8">
              <w:rPr>
                <w:rFonts w:ascii="Verdana" w:hAnsi="Verdana" w:cs="Arial"/>
                <w:sz w:val="21"/>
                <w:szCs w:val="21"/>
              </w:rPr>
              <w:t>El pago por concepto de la indemnización por despido discriminatorio</w:t>
            </w:r>
            <w:r w:rsidRPr="009954A8">
              <w:rPr>
                <w:rStyle w:val="Refdenotaalpie"/>
                <w:rFonts w:ascii="Verdana" w:hAnsi="Verdana" w:cs="Arial"/>
                <w:sz w:val="21"/>
                <w:szCs w:val="21"/>
              </w:rPr>
              <w:footnoteReference w:id="8"/>
            </w:r>
            <w:r w:rsidRPr="009954A8">
              <w:rPr>
                <w:rFonts w:ascii="Verdana" w:hAnsi="Verdana" w:cs="Arial"/>
                <w:sz w:val="21"/>
                <w:szCs w:val="21"/>
              </w:rPr>
              <w:t>; y</w:t>
            </w:r>
          </w:p>
          <w:p w14:paraId="53369EC5" w14:textId="77777777" w:rsidR="001141A7" w:rsidRPr="009954A8" w:rsidRDefault="001141A7" w:rsidP="007435C4">
            <w:pPr>
              <w:pStyle w:val="Sinespaciado"/>
              <w:numPr>
                <w:ilvl w:val="0"/>
                <w:numId w:val="17"/>
              </w:numPr>
              <w:ind w:right="0"/>
              <w:rPr>
                <w:rFonts w:ascii="Verdana" w:hAnsi="Verdana" w:cs="Arial"/>
                <w:sz w:val="21"/>
                <w:szCs w:val="21"/>
              </w:rPr>
            </w:pPr>
            <w:r w:rsidRPr="009954A8">
              <w:rPr>
                <w:rFonts w:ascii="Verdana" w:hAnsi="Verdana" w:cs="Arial"/>
                <w:sz w:val="21"/>
                <w:szCs w:val="21"/>
              </w:rPr>
              <w:t>El pago de la licencia de maternidad. Este pago no se realizará si en el caso se acredita que la madre disfrutó de la licencia de maternidad</w:t>
            </w:r>
            <w:r w:rsidRPr="009954A8">
              <w:rPr>
                <w:rStyle w:val="Refdenotaalpie"/>
                <w:rFonts w:ascii="Verdana" w:hAnsi="Verdana" w:cs="Arial"/>
                <w:sz w:val="21"/>
                <w:szCs w:val="21"/>
              </w:rPr>
              <w:footnoteReference w:id="9"/>
            </w:r>
            <w:r w:rsidRPr="009954A8">
              <w:rPr>
                <w:rFonts w:ascii="Verdana" w:hAnsi="Verdana" w:cs="Arial"/>
                <w:sz w:val="21"/>
                <w:szCs w:val="21"/>
              </w:rPr>
              <w:t>.</w:t>
            </w:r>
          </w:p>
          <w:p w14:paraId="7175DFB4" w14:textId="77777777" w:rsidR="001141A7" w:rsidRPr="009954A8" w:rsidRDefault="001141A7" w:rsidP="007435C4">
            <w:pPr>
              <w:pStyle w:val="Sinespaciado"/>
              <w:numPr>
                <w:ilvl w:val="0"/>
                <w:numId w:val="17"/>
              </w:numPr>
              <w:ind w:right="0"/>
              <w:rPr>
                <w:rFonts w:ascii="Verdana" w:hAnsi="Verdana" w:cs="Arial"/>
                <w:sz w:val="21"/>
                <w:szCs w:val="21"/>
              </w:rPr>
            </w:pPr>
            <w:r w:rsidRPr="009954A8">
              <w:rPr>
                <w:rFonts w:ascii="Verdana" w:hAnsi="Verdana" w:cs="Arial"/>
                <w:sz w:val="21"/>
                <w:szCs w:val="21"/>
              </w:rPr>
              <w:t>En el evento en el que el término del periodo de lactancia ya haya terminado, procederá el reconocimiento de los honorarios dejados de percibir hasta la terminación de periodo de lactancia</w:t>
            </w:r>
            <w:r w:rsidRPr="009954A8">
              <w:rPr>
                <w:rStyle w:val="Refdenotaalpie"/>
                <w:rFonts w:ascii="Verdana" w:hAnsi="Verdana" w:cs="Arial"/>
                <w:sz w:val="21"/>
                <w:szCs w:val="21"/>
              </w:rPr>
              <w:footnoteReference w:id="10"/>
            </w:r>
            <w:r w:rsidRPr="009954A8">
              <w:rPr>
                <w:rFonts w:ascii="Verdana" w:hAnsi="Verdana" w:cs="Arial"/>
                <w:sz w:val="21"/>
                <w:szCs w:val="21"/>
              </w:rPr>
              <w:t>.</w:t>
            </w:r>
          </w:p>
          <w:p w14:paraId="5213EB0F" w14:textId="77777777" w:rsidR="001141A7" w:rsidRPr="009954A8" w:rsidRDefault="001141A7" w:rsidP="007435C4">
            <w:pPr>
              <w:pStyle w:val="Sinespaciado"/>
              <w:ind w:right="0"/>
              <w:rPr>
                <w:rFonts w:ascii="Verdana" w:hAnsi="Verdana" w:cs="Arial"/>
                <w:sz w:val="21"/>
                <w:szCs w:val="21"/>
              </w:rPr>
            </w:pPr>
          </w:p>
          <w:p w14:paraId="612D833A" w14:textId="77777777" w:rsidR="001141A7" w:rsidRPr="009954A8" w:rsidRDefault="001141A7" w:rsidP="007435C4">
            <w:pPr>
              <w:pStyle w:val="Sinespaciado"/>
              <w:keepNext/>
              <w:ind w:right="0"/>
              <w:rPr>
                <w:rFonts w:ascii="Verdana" w:hAnsi="Verdana" w:cs="Arial"/>
                <w:sz w:val="21"/>
                <w:szCs w:val="21"/>
              </w:rPr>
            </w:pPr>
            <w:r w:rsidRPr="009954A8">
              <w:rPr>
                <w:rFonts w:ascii="Verdana" w:hAnsi="Verdana" w:cs="Arial"/>
                <w:sz w:val="21"/>
                <w:szCs w:val="21"/>
              </w:rPr>
              <w:t>En todo caso, el juez deberá estudiar la procedencia de cada una de estas medidas de protección para lo cual tendrá en cuenta las particularidades del caso</w:t>
            </w:r>
            <w:r w:rsidRPr="009954A8">
              <w:rPr>
                <w:rStyle w:val="Refdenotaalpie"/>
                <w:rFonts w:ascii="Verdana" w:hAnsi="Verdana" w:cs="Arial"/>
                <w:sz w:val="21"/>
                <w:szCs w:val="21"/>
              </w:rPr>
              <w:footnoteReference w:id="11"/>
            </w:r>
            <w:r w:rsidRPr="009954A8">
              <w:rPr>
                <w:rFonts w:ascii="Verdana" w:hAnsi="Verdana" w:cs="Arial"/>
                <w:sz w:val="21"/>
                <w:szCs w:val="21"/>
              </w:rPr>
              <w:t>.</w:t>
            </w:r>
          </w:p>
        </w:tc>
      </w:tr>
    </w:tbl>
    <w:p w14:paraId="49B50503" w14:textId="77777777" w:rsidR="001141A7" w:rsidRPr="005945E1" w:rsidRDefault="001141A7" w:rsidP="001141A7">
      <w:pPr>
        <w:pStyle w:val="Descripcin"/>
        <w:spacing w:after="0"/>
        <w:jc w:val="center"/>
        <w:rPr>
          <w:rFonts w:ascii="Verdana" w:hAnsi="Verdana" w:cs="Arial"/>
          <w:i w:val="0"/>
          <w:color w:val="auto"/>
          <w:sz w:val="16"/>
          <w:szCs w:val="16"/>
        </w:rPr>
      </w:pPr>
      <w:r w:rsidRPr="005945E1">
        <w:rPr>
          <w:rFonts w:ascii="Verdana" w:hAnsi="Verdana" w:cs="Arial"/>
          <w:i w:val="0"/>
          <w:color w:val="auto"/>
          <w:sz w:val="16"/>
          <w:szCs w:val="16"/>
        </w:rPr>
        <w:t xml:space="preserve">Tabla: Reglas para la protección de la mujer embarazada en contratos de prestación de servicios. – Tomada de la Sentencia T-329 de 2022. </w:t>
      </w:r>
    </w:p>
    <w:p w14:paraId="408E22A6" w14:textId="77777777" w:rsidR="001141A7" w:rsidRPr="009954A8" w:rsidRDefault="001141A7" w:rsidP="001141A7">
      <w:pPr>
        <w:pStyle w:val="NormalWeb"/>
        <w:shd w:val="clear" w:color="auto" w:fill="FFFFFF"/>
        <w:spacing w:before="0" w:beforeAutospacing="0" w:after="0" w:afterAutospacing="0" w:line="276" w:lineRule="auto"/>
        <w:ind w:firstLine="709"/>
        <w:jc w:val="both"/>
        <w:rPr>
          <w:rFonts w:ascii="Verdana" w:eastAsia="Arial" w:hAnsi="Verdana" w:cs="Arial"/>
          <w:sz w:val="22"/>
          <w:szCs w:val="22"/>
          <w:lang w:val="es-ES"/>
        </w:rPr>
      </w:pPr>
    </w:p>
    <w:p w14:paraId="27D41CFD" w14:textId="77777777" w:rsidR="001141A7" w:rsidRPr="009954A8" w:rsidRDefault="001141A7" w:rsidP="00E65094">
      <w:pPr>
        <w:pStyle w:val="NormalWeb"/>
        <w:shd w:val="clear" w:color="auto" w:fill="FFFFFF"/>
        <w:spacing w:before="0" w:beforeAutospacing="0" w:after="0" w:afterAutospacing="0" w:line="276" w:lineRule="auto"/>
        <w:ind w:firstLine="708"/>
        <w:jc w:val="both"/>
        <w:rPr>
          <w:rFonts w:ascii="Verdana" w:hAnsi="Verdana" w:cs="Arial"/>
          <w:sz w:val="22"/>
          <w:szCs w:val="22"/>
        </w:rPr>
      </w:pPr>
      <w:r w:rsidRPr="009954A8">
        <w:rPr>
          <w:rFonts w:ascii="Verdana" w:eastAsia="Arial" w:hAnsi="Verdana" w:cs="Arial"/>
          <w:sz w:val="22"/>
          <w:szCs w:val="22"/>
          <w:lang w:val="es-ES"/>
        </w:rPr>
        <w:t xml:space="preserve">Ahora bien, </w:t>
      </w:r>
      <w:r w:rsidRPr="009954A8">
        <w:rPr>
          <w:rFonts w:ascii="Verdana" w:eastAsia="Calibri" w:hAnsi="Verdana" w:cs="Arial"/>
          <w:bCs/>
          <w:sz w:val="22"/>
          <w:szCs w:val="22"/>
          <w:lang w:val="es-MX"/>
        </w:rPr>
        <w:t>frente a la consulta planteada acerca de si es procedente o no suspender un contrato de prestación de servicios cuando la contratista está en estado de embarazo o durante la licencia de maternidad</w:t>
      </w:r>
      <w:r w:rsidRPr="009954A8">
        <w:rPr>
          <w:rStyle w:val="Refdenotaalpie"/>
          <w:rFonts w:ascii="Verdana" w:eastAsia="Calibri" w:hAnsi="Verdana" w:cs="Arial"/>
          <w:bCs/>
          <w:sz w:val="22"/>
          <w:szCs w:val="22"/>
          <w:lang w:val="es-MX"/>
        </w:rPr>
        <w:footnoteReference w:id="12"/>
      </w:r>
      <w:r w:rsidRPr="009954A8">
        <w:rPr>
          <w:rFonts w:ascii="Verdana" w:eastAsia="Calibri" w:hAnsi="Verdana" w:cs="Arial"/>
          <w:bCs/>
          <w:sz w:val="22"/>
          <w:szCs w:val="22"/>
          <w:lang w:val="es-MX"/>
        </w:rPr>
        <w:t xml:space="preserve"> debe señalarse que, </w:t>
      </w:r>
      <w:r w:rsidRPr="009954A8">
        <w:rPr>
          <w:rFonts w:ascii="Verdana" w:hAnsi="Verdana" w:cs="Arial"/>
          <w:sz w:val="22"/>
          <w:szCs w:val="22"/>
        </w:rPr>
        <w:t xml:space="preserve">no existe disposición normativa que consagre de forma expresa las causales de </w:t>
      </w:r>
      <w:r w:rsidRPr="009954A8">
        <w:rPr>
          <w:rFonts w:ascii="Verdana" w:hAnsi="Verdana" w:cs="Arial"/>
          <w:sz w:val="22"/>
          <w:szCs w:val="22"/>
        </w:rPr>
        <w:lastRenderedPageBreak/>
        <w:t>suspensión del contrato, mucho menos en virtud del estado de embarazo o de la licencia de maternidad. El Consejo de Estado, en sentencia del 28 de abril de 2010, se refirió a las causales que suspenden el contrato, en los siguientes términos:</w:t>
      </w:r>
    </w:p>
    <w:p w14:paraId="0F68D1DB" w14:textId="77777777" w:rsidR="001141A7" w:rsidRPr="009954A8" w:rsidRDefault="001141A7" w:rsidP="001141A7">
      <w:pPr>
        <w:pStyle w:val="NormalWeb"/>
        <w:shd w:val="clear" w:color="auto" w:fill="FFFFFF"/>
        <w:spacing w:before="0" w:beforeAutospacing="0" w:after="0" w:afterAutospacing="0" w:line="276" w:lineRule="auto"/>
        <w:ind w:firstLine="709"/>
        <w:jc w:val="both"/>
        <w:rPr>
          <w:rFonts w:ascii="Verdana" w:hAnsi="Verdana" w:cs="Arial"/>
          <w:sz w:val="22"/>
          <w:szCs w:val="22"/>
        </w:rPr>
      </w:pPr>
    </w:p>
    <w:p w14:paraId="43477E06" w14:textId="77777777" w:rsidR="001141A7" w:rsidRPr="009954A8" w:rsidRDefault="001141A7" w:rsidP="001141A7">
      <w:pPr>
        <w:pStyle w:val="NormalWeb"/>
        <w:shd w:val="clear" w:color="auto" w:fill="FFFFFF"/>
        <w:spacing w:before="0" w:beforeAutospacing="0" w:after="0" w:afterAutospacing="0"/>
        <w:ind w:left="709" w:right="709"/>
        <w:contextualSpacing/>
        <w:jc w:val="both"/>
        <w:rPr>
          <w:rFonts w:ascii="Verdana" w:hAnsi="Verdana" w:cs="Arial"/>
          <w:sz w:val="21"/>
          <w:szCs w:val="21"/>
        </w:rPr>
      </w:pPr>
      <w:r>
        <w:rPr>
          <w:rFonts w:ascii="Verdana" w:hAnsi="Verdana" w:cs="Arial"/>
          <w:sz w:val="21"/>
          <w:szCs w:val="21"/>
        </w:rPr>
        <w:t>“</w:t>
      </w:r>
      <w:r w:rsidRPr="009954A8">
        <w:rPr>
          <w:rFonts w:ascii="Verdana" w:hAnsi="Verdana" w:cs="Arial"/>
          <w:sz w:val="21"/>
          <w:szCs w:val="21"/>
        </w:rPr>
        <w:t>En efecto, la finalidad de la suspensión del contrato estatal, como medida excepcional, está encaminada a reconocer la ocurrencia de situaciones de fuerza mayor, caso fortuito o de interés público que impiden la ejecución temporal del negocio jurídico, y es precisamente por ese motivo que la misma no puede ser indefinida, sino que debe estar sujeta al vencimiento de un plazo o al cumplimiento de una condición. Por lo tanto, la suspensión no adiciona el contrato en su vigencia o plazo, sino que se delimita como una medida de tipo provisional y excepcional que debe ajustarse a los criterios de necesidad y proporcionalidad, sujeta a un término o condición, período este durante el que las obligaciones contenidas en el contrato no se ejecutan, pero sin que se impute ese tiempo al plazo pactado inicialmente por las partes. […]</w:t>
      </w:r>
      <w:r>
        <w:rPr>
          <w:rFonts w:ascii="Verdana" w:hAnsi="Verdana" w:cs="Arial"/>
          <w:sz w:val="21"/>
          <w:szCs w:val="21"/>
        </w:rPr>
        <w:t>”</w:t>
      </w:r>
    </w:p>
    <w:p w14:paraId="28BA8040" w14:textId="77777777" w:rsidR="001141A7" w:rsidRPr="009954A8" w:rsidRDefault="001141A7" w:rsidP="00E65094">
      <w:pPr>
        <w:spacing w:after="0" w:line="276" w:lineRule="auto"/>
        <w:ind w:firstLine="709"/>
        <w:jc w:val="both"/>
        <w:rPr>
          <w:rFonts w:ascii="Verdana" w:hAnsi="Verdana" w:cs="Arial"/>
        </w:rPr>
      </w:pPr>
    </w:p>
    <w:p w14:paraId="15D6E973" w14:textId="77777777" w:rsidR="001141A7" w:rsidRPr="00E65094" w:rsidRDefault="001141A7" w:rsidP="00E65094">
      <w:pPr>
        <w:spacing w:after="0" w:line="276" w:lineRule="auto"/>
        <w:ind w:firstLine="708"/>
        <w:jc w:val="both"/>
        <w:rPr>
          <w:rFonts w:ascii="Verdana" w:hAnsi="Verdana" w:cs="Arial"/>
        </w:rPr>
      </w:pPr>
      <w:r w:rsidRPr="00E65094">
        <w:rPr>
          <w:rFonts w:ascii="Verdana" w:hAnsi="Verdana" w:cs="Arial"/>
        </w:rPr>
        <w:t>Por otro lado, el Ministerio de Trabajo al absolver una consulta en relación a la suspensión del contrato de prestación de servicios, por licencia de maternidad, conceptuó:</w:t>
      </w:r>
    </w:p>
    <w:p w14:paraId="70C69E37" w14:textId="77777777" w:rsidR="001141A7" w:rsidRPr="009954A8" w:rsidRDefault="001141A7" w:rsidP="00E65094">
      <w:pPr>
        <w:spacing w:after="0"/>
        <w:ind w:left="709" w:right="709"/>
        <w:contextualSpacing/>
        <w:jc w:val="both"/>
        <w:rPr>
          <w:rFonts w:ascii="Verdana" w:hAnsi="Verdana" w:cs="Arial"/>
          <w:sz w:val="21"/>
          <w:szCs w:val="21"/>
        </w:rPr>
      </w:pPr>
    </w:p>
    <w:p w14:paraId="0EB0A217" w14:textId="77777777" w:rsidR="001141A7" w:rsidRPr="009954A8" w:rsidRDefault="001141A7" w:rsidP="001141A7">
      <w:pPr>
        <w:ind w:left="709" w:right="709"/>
        <w:contextualSpacing/>
        <w:jc w:val="both"/>
        <w:rPr>
          <w:rFonts w:ascii="Verdana" w:hAnsi="Verdana" w:cs="Arial"/>
          <w:sz w:val="21"/>
          <w:szCs w:val="21"/>
        </w:rPr>
      </w:pPr>
      <w:r>
        <w:rPr>
          <w:rFonts w:ascii="Verdana" w:hAnsi="Verdana" w:cs="Arial"/>
          <w:color w:val="333333"/>
          <w:sz w:val="21"/>
          <w:szCs w:val="21"/>
        </w:rPr>
        <w:t>“</w:t>
      </w:r>
      <w:r w:rsidRPr="009954A8">
        <w:rPr>
          <w:rFonts w:ascii="Verdana" w:hAnsi="Verdana" w:cs="Arial"/>
          <w:sz w:val="21"/>
          <w:szCs w:val="21"/>
        </w:rPr>
        <w:t>La legislación que regula la contratación estatal, concretamente la Ley 80 de 1993, modificada por la Ley 1150 de 2007 y sus Decretos Reglamentarios, no contempló las causales de suspensión del contrato de prestación de servicios celebrado con entidad pública, motivo por el cual debe señalarse que no existe ninguna disposición normativa que consagre de forma expresa, la suspensión del contrato en virtud de la licencia de maternidad de la contratista […]</w:t>
      </w:r>
    </w:p>
    <w:p w14:paraId="2946F472" w14:textId="77777777" w:rsidR="001141A7" w:rsidRPr="009954A8" w:rsidRDefault="001141A7" w:rsidP="001141A7">
      <w:pPr>
        <w:ind w:left="709" w:right="709"/>
        <w:contextualSpacing/>
        <w:jc w:val="both"/>
        <w:rPr>
          <w:rFonts w:ascii="Verdana" w:hAnsi="Verdana" w:cs="Arial"/>
          <w:sz w:val="21"/>
          <w:szCs w:val="21"/>
        </w:rPr>
      </w:pPr>
    </w:p>
    <w:p w14:paraId="221C73B6" w14:textId="77777777" w:rsidR="001141A7" w:rsidRPr="009954A8" w:rsidRDefault="001141A7" w:rsidP="001141A7">
      <w:pPr>
        <w:shd w:val="clear" w:color="auto" w:fill="FFFFFF"/>
        <w:ind w:left="709" w:right="709"/>
        <w:contextualSpacing/>
        <w:jc w:val="both"/>
        <w:rPr>
          <w:rFonts w:ascii="Verdana" w:hAnsi="Verdana" w:cs="Arial"/>
          <w:sz w:val="21"/>
          <w:szCs w:val="21"/>
        </w:rPr>
      </w:pPr>
      <w:r w:rsidRPr="009954A8">
        <w:rPr>
          <w:rFonts w:ascii="Verdana" w:hAnsi="Verdana" w:cs="Arial"/>
          <w:sz w:val="21"/>
          <w:szCs w:val="21"/>
        </w:rPr>
        <w:t>De conformidad con lo anterior, las partes podrán suspender el contrato de prestación de servicios cuando se determinen eventos que constituyen fuerza mayor o caso fortuito o de interés público que impida, temporalmente cumplir con el objeto de las obligaciones a cargo de las partes contratantes, como es el caso de la contratista que se encuentra en estado de embarazo y se encuentra incapacitada</w:t>
      </w:r>
      <w:r>
        <w:rPr>
          <w:rFonts w:ascii="Verdana" w:hAnsi="Verdana" w:cs="Arial"/>
          <w:color w:val="333333"/>
          <w:sz w:val="21"/>
          <w:szCs w:val="21"/>
        </w:rPr>
        <w:t>”</w:t>
      </w:r>
      <w:r w:rsidRPr="009954A8">
        <w:rPr>
          <w:rFonts w:ascii="Verdana" w:hAnsi="Verdana" w:cs="Arial"/>
          <w:color w:val="333333"/>
          <w:sz w:val="21"/>
          <w:szCs w:val="21"/>
        </w:rPr>
        <w:t>.</w:t>
      </w:r>
      <w:r w:rsidRPr="009954A8">
        <w:rPr>
          <w:rStyle w:val="Refdenotaalpie"/>
          <w:rFonts w:ascii="Verdana" w:hAnsi="Verdana" w:cs="Arial"/>
          <w:sz w:val="21"/>
          <w:szCs w:val="21"/>
        </w:rPr>
        <w:footnoteReference w:id="13"/>
      </w:r>
    </w:p>
    <w:p w14:paraId="388FCCBB" w14:textId="77777777" w:rsidR="001141A7" w:rsidRDefault="001141A7" w:rsidP="001141A7">
      <w:pPr>
        <w:spacing w:after="120" w:line="276" w:lineRule="auto"/>
        <w:jc w:val="both"/>
        <w:rPr>
          <w:rFonts w:ascii="Verdana" w:hAnsi="Verdana" w:cs="Arial"/>
        </w:rPr>
      </w:pPr>
    </w:p>
    <w:p w14:paraId="7FAE03F0" w14:textId="77777777" w:rsidR="001141A7" w:rsidRPr="00E65094" w:rsidRDefault="001141A7" w:rsidP="00E65094">
      <w:pPr>
        <w:spacing w:after="120" w:line="276" w:lineRule="auto"/>
        <w:ind w:firstLine="708"/>
        <w:jc w:val="both"/>
        <w:rPr>
          <w:rFonts w:ascii="Verdana" w:hAnsi="Verdana" w:cs="Arial"/>
        </w:rPr>
      </w:pPr>
      <w:r w:rsidRPr="00E65094">
        <w:rPr>
          <w:rFonts w:ascii="Verdana" w:hAnsi="Verdana" w:cs="Arial"/>
        </w:rPr>
        <w:t>En ejercicio de la autonomía de las partes contratantes, las mismas podrán convenir la cláusula de suspensión del contrato de prestación de servicios, fijando las reglas por las cuales procederán las mismas teniendo en cuenta las disposiciones referidas en la Ley </w:t>
      </w:r>
      <w:hyperlink r:id="rId11" w:anchor="80" w:history="1">
        <w:r w:rsidRPr="00E65094">
          <w:rPr>
            <w:rFonts w:ascii="Verdana" w:hAnsi="Verdana" w:cs="Arial"/>
          </w:rPr>
          <w:t>80</w:t>
        </w:r>
      </w:hyperlink>
      <w:r w:rsidRPr="00E65094">
        <w:rPr>
          <w:rFonts w:ascii="Verdana" w:hAnsi="Verdana" w:cs="Arial"/>
        </w:rPr>
        <w:t> de 1993 y Ley </w:t>
      </w:r>
      <w:hyperlink r:id="rId12" w:anchor="1150" w:history="1">
        <w:r w:rsidRPr="00E65094">
          <w:rPr>
            <w:rFonts w:ascii="Verdana" w:hAnsi="Verdana" w:cs="Arial"/>
          </w:rPr>
          <w:t>1150</w:t>
        </w:r>
      </w:hyperlink>
      <w:r w:rsidRPr="00E65094">
        <w:rPr>
          <w:rFonts w:ascii="Verdana" w:hAnsi="Verdana" w:cs="Arial"/>
        </w:rPr>
        <w:t> de 2007. Así las cosas, las partes son quienes determinan las condiciones y términos según los cuales deben llevarse a cabo la suspensión del contrato, por lo que ninguna de las partes de manera unilateral puede declararla por fuera de lo convenido.</w:t>
      </w:r>
    </w:p>
    <w:p w14:paraId="51D9FE81" w14:textId="77777777" w:rsidR="001141A7" w:rsidRPr="00CC5C68" w:rsidRDefault="001141A7" w:rsidP="001141A7">
      <w:pPr>
        <w:pStyle w:val="Prrafodelista"/>
        <w:spacing w:after="0" w:line="276" w:lineRule="auto"/>
        <w:jc w:val="both"/>
        <w:rPr>
          <w:rFonts w:ascii="Verdana" w:eastAsia="Calibri" w:hAnsi="Verdana" w:cs="Arial"/>
          <w:szCs w:val="24"/>
          <w:lang w:eastAsia="es-ES_tradnl"/>
        </w:rPr>
      </w:pPr>
    </w:p>
    <w:p w14:paraId="33057F7E" w14:textId="77777777" w:rsidR="001141A7" w:rsidRPr="00CC5C68" w:rsidRDefault="001141A7" w:rsidP="001141A7">
      <w:pPr>
        <w:tabs>
          <w:tab w:val="left" w:pos="142"/>
          <w:tab w:val="left" w:pos="284"/>
        </w:tabs>
        <w:spacing w:after="0" w:line="276" w:lineRule="auto"/>
        <w:jc w:val="both"/>
        <w:rPr>
          <w:rFonts w:ascii="Verdana" w:eastAsia="Century Gothic" w:hAnsi="Verdana" w:cs="Century Gothic"/>
          <w:b/>
          <w:bCs/>
        </w:rPr>
      </w:pPr>
      <w:r w:rsidRPr="00CC5C68">
        <w:rPr>
          <w:rFonts w:ascii="Verdana" w:eastAsia="Century Gothic" w:hAnsi="Verdana" w:cs="Century Gothic"/>
          <w:b/>
          <w:bCs/>
        </w:rPr>
        <w:t>4. Referencias normativas, jurisprudenciales y otras fuentes:</w:t>
      </w:r>
    </w:p>
    <w:p w14:paraId="74F8DC70" w14:textId="77777777" w:rsidR="001141A7" w:rsidRPr="00CC5C68" w:rsidRDefault="001141A7" w:rsidP="001141A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1141A7" w:rsidRPr="00CC5C68" w14:paraId="4678C28C" w14:textId="77777777" w:rsidTr="007435C4">
        <w:trPr>
          <w:trHeight w:val="870"/>
        </w:trPr>
        <w:tc>
          <w:tcPr>
            <w:tcW w:w="8647" w:type="dxa"/>
          </w:tcPr>
          <w:p w14:paraId="0A2DA276" w14:textId="77777777" w:rsidR="001141A7" w:rsidRPr="00F118AE" w:rsidRDefault="001141A7" w:rsidP="007435C4">
            <w:pPr>
              <w:pStyle w:val="Prrafodelista"/>
              <w:widowControl w:val="0"/>
              <w:numPr>
                <w:ilvl w:val="0"/>
                <w:numId w:val="16"/>
              </w:numPr>
              <w:autoSpaceDE w:val="0"/>
              <w:autoSpaceDN w:val="0"/>
              <w:spacing w:after="120" w:line="276" w:lineRule="auto"/>
              <w:jc w:val="both"/>
              <w:rPr>
                <w:rFonts w:ascii="Verdana" w:hAnsi="Verdana" w:cs="Arial"/>
              </w:rPr>
            </w:pPr>
            <w:r w:rsidRPr="00F118AE">
              <w:rPr>
                <w:rFonts w:ascii="Verdana" w:hAnsi="Verdana" w:cs="Arial"/>
              </w:rPr>
              <w:t>Corte Constitucional. Sentencia SU 070 de 2013. Magistrado Ponente: Gloria Stella Ortiz Delgado</w:t>
            </w:r>
          </w:p>
          <w:p w14:paraId="13BE4064" w14:textId="77777777" w:rsidR="001141A7" w:rsidRPr="00F118AE" w:rsidRDefault="001141A7" w:rsidP="007435C4">
            <w:pPr>
              <w:pStyle w:val="Prrafodelista"/>
              <w:widowControl w:val="0"/>
              <w:numPr>
                <w:ilvl w:val="0"/>
                <w:numId w:val="16"/>
              </w:numPr>
              <w:autoSpaceDE w:val="0"/>
              <w:autoSpaceDN w:val="0"/>
              <w:spacing w:after="120" w:line="276" w:lineRule="auto"/>
              <w:jc w:val="both"/>
              <w:rPr>
                <w:rFonts w:ascii="Verdana" w:hAnsi="Verdana" w:cs="Arial"/>
              </w:rPr>
            </w:pPr>
            <w:r w:rsidRPr="00F118AE">
              <w:rPr>
                <w:rFonts w:ascii="Verdana" w:hAnsi="Verdana" w:cs="Arial"/>
              </w:rPr>
              <w:t>Corte Constitucional, sentencia T-102 del 1 de marzo de 2016, M.P: María Victoria Calle Correa</w:t>
            </w:r>
          </w:p>
          <w:p w14:paraId="04B906A9" w14:textId="77777777" w:rsidR="001141A7" w:rsidRPr="00F118AE" w:rsidRDefault="001141A7" w:rsidP="007435C4">
            <w:pPr>
              <w:pStyle w:val="Prrafodelista"/>
              <w:widowControl w:val="0"/>
              <w:numPr>
                <w:ilvl w:val="0"/>
                <w:numId w:val="16"/>
              </w:numPr>
              <w:autoSpaceDE w:val="0"/>
              <w:autoSpaceDN w:val="0"/>
              <w:spacing w:after="120" w:line="276" w:lineRule="auto"/>
              <w:jc w:val="both"/>
              <w:rPr>
                <w:rFonts w:ascii="Verdana" w:hAnsi="Verdana" w:cs="Arial"/>
              </w:rPr>
            </w:pPr>
            <w:r w:rsidRPr="00F118AE">
              <w:rPr>
                <w:rFonts w:ascii="Verdana" w:hAnsi="Verdana" w:cs="Arial"/>
                <w:lang w:val="es-CO"/>
              </w:rPr>
              <w:t xml:space="preserve">Corte Constitucional, Sentencia T-743 de 2017, </w:t>
            </w:r>
            <w:proofErr w:type="spellStart"/>
            <w:r w:rsidRPr="00F118AE">
              <w:rPr>
                <w:rFonts w:ascii="Verdana" w:hAnsi="Verdana" w:cs="Arial"/>
                <w:lang w:val="es-CO"/>
              </w:rPr>
              <w:t>Exp</w:t>
            </w:r>
            <w:proofErr w:type="spellEnd"/>
            <w:r w:rsidRPr="00F118AE">
              <w:rPr>
                <w:rFonts w:ascii="Verdana" w:hAnsi="Verdana" w:cs="Arial"/>
                <w:lang w:val="es-CO"/>
              </w:rPr>
              <w:t>. T-6.366.648 Magistrada Ponente Cristina Pardo Schlesinger.</w:t>
            </w:r>
          </w:p>
          <w:p w14:paraId="49413C10" w14:textId="77777777" w:rsidR="001141A7" w:rsidRPr="00F118AE" w:rsidRDefault="001141A7" w:rsidP="007435C4">
            <w:pPr>
              <w:pStyle w:val="Prrafodelista"/>
              <w:widowControl w:val="0"/>
              <w:numPr>
                <w:ilvl w:val="0"/>
                <w:numId w:val="16"/>
              </w:numPr>
              <w:autoSpaceDE w:val="0"/>
              <w:autoSpaceDN w:val="0"/>
              <w:spacing w:after="120" w:line="276" w:lineRule="auto"/>
              <w:jc w:val="both"/>
              <w:rPr>
                <w:rFonts w:ascii="Verdana" w:hAnsi="Verdana" w:cs="Arial"/>
              </w:rPr>
            </w:pPr>
            <w:r w:rsidRPr="00F118AE">
              <w:rPr>
                <w:rFonts w:ascii="Verdana" w:hAnsi="Verdana" w:cs="Arial"/>
              </w:rPr>
              <w:t>Corte Constitucional, sentencia T-564 del 6 de septiembre de 2017, M.P: Cristina Pardo Schlesinger</w:t>
            </w:r>
          </w:p>
          <w:p w14:paraId="66AA1444" w14:textId="77777777" w:rsidR="001141A7" w:rsidRPr="00F118AE" w:rsidRDefault="001141A7" w:rsidP="007435C4">
            <w:pPr>
              <w:pStyle w:val="Prrafodelista"/>
              <w:widowControl w:val="0"/>
              <w:numPr>
                <w:ilvl w:val="0"/>
                <w:numId w:val="16"/>
              </w:numPr>
              <w:autoSpaceDE w:val="0"/>
              <w:autoSpaceDN w:val="0"/>
              <w:spacing w:after="120" w:line="276" w:lineRule="auto"/>
              <w:jc w:val="both"/>
              <w:rPr>
                <w:rFonts w:ascii="Verdana" w:hAnsi="Verdana" w:cs="Arial"/>
              </w:rPr>
            </w:pPr>
            <w:r w:rsidRPr="00F118AE">
              <w:rPr>
                <w:rFonts w:ascii="Verdana" w:hAnsi="Verdana" w:cs="Arial"/>
              </w:rPr>
              <w:t>Corte Constitucional. Sentencia SU 075 de 2018. Magistrado Ponente: Gloria Stella Ortiz Delgado</w:t>
            </w:r>
          </w:p>
          <w:p w14:paraId="25D86878" w14:textId="77777777" w:rsidR="001141A7" w:rsidRPr="00F118AE" w:rsidRDefault="001141A7" w:rsidP="007435C4">
            <w:pPr>
              <w:pStyle w:val="Prrafodelista"/>
              <w:widowControl w:val="0"/>
              <w:numPr>
                <w:ilvl w:val="0"/>
                <w:numId w:val="16"/>
              </w:numPr>
              <w:autoSpaceDE w:val="0"/>
              <w:autoSpaceDN w:val="0"/>
              <w:spacing w:after="120" w:line="276" w:lineRule="auto"/>
              <w:jc w:val="both"/>
              <w:rPr>
                <w:rFonts w:ascii="Verdana" w:hAnsi="Verdana" w:cs="Arial"/>
              </w:rPr>
            </w:pPr>
            <w:r w:rsidRPr="00F118AE">
              <w:rPr>
                <w:rFonts w:ascii="Verdana" w:hAnsi="Verdana" w:cs="Arial"/>
              </w:rPr>
              <w:t>Corte Constitucional, sentencia T-329 de 2022, Magistrada Ponente: Natalia Ángel Cabo</w:t>
            </w:r>
          </w:p>
          <w:p w14:paraId="7A2C8F6B" w14:textId="77777777" w:rsidR="001141A7" w:rsidRPr="00B61BA2" w:rsidRDefault="001141A7" w:rsidP="007435C4">
            <w:pPr>
              <w:pStyle w:val="Prrafodelista"/>
              <w:widowControl w:val="0"/>
              <w:numPr>
                <w:ilvl w:val="0"/>
                <w:numId w:val="16"/>
              </w:numPr>
              <w:autoSpaceDE w:val="0"/>
              <w:autoSpaceDN w:val="0"/>
              <w:spacing w:after="120" w:line="276" w:lineRule="auto"/>
              <w:jc w:val="both"/>
              <w:rPr>
                <w:rFonts w:ascii="Verdana" w:hAnsi="Verdana" w:cs="Arial"/>
              </w:rPr>
            </w:pPr>
            <w:r w:rsidRPr="00F118AE">
              <w:rPr>
                <w:rFonts w:ascii="Verdana" w:hAnsi="Verdana" w:cs="Arial"/>
              </w:rPr>
              <w:t xml:space="preserve">Consejo de Estado, </w:t>
            </w:r>
            <w:r w:rsidRPr="00B61BA2">
              <w:rPr>
                <w:rFonts w:ascii="Verdana" w:hAnsi="Verdana" w:cs="Arial"/>
              </w:rPr>
              <w:t>Sala de lo Contencioso Administrativo, Sección Tercera</w:t>
            </w:r>
            <w:r>
              <w:rPr>
                <w:rFonts w:ascii="Verdana" w:hAnsi="Verdana" w:cs="Arial"/>
              </w:rPr>
              <w:t xml:space="preserve">, </w:t>
            </w:r>
            <w:r w:rsidRPr="00F118AE">
              <w:rPr>
                <w:rFonts w:ascii="Verdana" w:hAnsi="Verdana" w:cs="Arial"/>
              </w:rPr>
              <w:t>sentencia del 28 de abril de 2010,</w:t>
            </w:r>
            <w:r>
              <w:rPr>
                <w:rFonts w:ascii="Verdana" w:hAnsi="Verdana" w:cs="Arial"/>
              </w:rPr>
              <w:t xml:space="preserve"> </w:t>
            </w:r>
            <w:proofErr w:type="spellStart"/>
            <w:r>
              <w:rPr>
                <w:rFonts w:ascii="Verdana" w:hAnsi="Verdana" w:cs="Arial"/>
              </w:rPr>
              <w:t>Exp</w:t>
            </w:r>
            <w:proofErr w:type="spellEnd"/>
            <w:r>
              <w:rPr>
                <w:rFonts w:ascii="Verdana" w:hAnsi="Verdana" w:cs="Arial"/>
              </w:rPr>
              <w:t>. 16.431. Magistrado Enrique Gil Botero.</w:t>
            </w:r>
          </w:p>
          <w:p w14:paraId="1A86F52F" w14:textId="77777777" w:rsidR="001141A7" w:rsidRPr="00F118AE" w:rsidRDefault="001141A7" w:rsidP="007435C4">
            <w:pPr>
              <w:pStyle w:val="Prrafodelista"/>
              <w:widowControl w:val="0"/>
              <w:numPr>
                <w:ilvl w:val="0"/>
                <w:numId w:val="16"/>
              </w:numPr>
              <w:autoSpaceDE w:val="0"/>
              <w:autoSpaceDN w:val="0"/>
              <w:spacing w:after="120" w:line="276" w:lineRule="auto"/>
              <w:jc w:val="both"/>
              <w:rPr>
                <w:rFonts w:ascii="Verdana" w:hAnsi="Verdana" w:cs="Arial"/>
              </w:rPr>
            </w:pPr>
            <w:r w:rsidRPr="00F118AE">
              <w:rPr>
                <w:rFonts w:ascii="Verdana" w:hAnsi="Verdana" w:cs="Arial"/>
              </w:rPr>
              <w:t>Ministerio del Trabajo. Concepto 9972 de 5 de marzo de 2014.</w:t>
            </w:r>
          </w:p>
        </w:tc>
      </w:tr>
    </w:tbl>
    <w:p w14:paraId="21CC50B9" w14:textId="77777777" w:rsidR="001141A7" w:rsidRPr="00CC5C68" w:rsidRDefault="001141A7" w:rsidP="001141A7">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36419735" w14:textId="77777777" w:rsidR="001141A7" w:rsidRPr="00CC5C68" w:rsidRDefault="001141A7" w:rsidP="001141A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CC5C68">
        <w:rPr>
          <w:rFonts w:ascii="Verdana" w:eastAsia="Century Gothic" w:hAnsi="Verdana" w:cs="Century Gothic"/>
          <w:b/>
          <w:bCs/>
          <w:lang w:val="es-CO"/>
        </w:rPr>
        <w:t xml:space="preserve">5. </w:t>
      </w:r>
      <w:r w:rsidRPr="00CC5C68">
        <w:rPr>
          <w:rFonts w:ascii="Verdana" w:eastAsia="Century Gothic" w:hAnsi="Verdana" w:cs="Century Gothic"/>
          <w:b/>
          <w:bCs/>
        </w:rPr>
        <w:t>Doctrina de la Agencia Nacional de Contratación Pública:</w:t>
      </w:r>
    </w:p>
    <w:p w14:paraId="0D52A978" w14:textId="77777777" w:rsidR="001141A7" w:rsidRPr="00CC5C68" w:rsidRDefault="001141A7" w:rsidP="001141A7">
      <w:pPr>
        <w:spacing w:after="0" w:line="276" w:lineRule="auto"/>
        <w:ind w:firstLine="709"/>
        <w:jc w:val="both"/>
        <w:rPr>
          <w:rFonts w:ascii="Verdana" w:eastAsia="Times New Roman" w:hAnsi="Verdana" w:cs="Arial"/>
          <w:szCs w:val="24"/>
          <w:lang w:val="es-ES" w:eastAsia="es-ES_tradnl"/>
        </w:rPr>
      </w:pPr>
    </w:p>
    <w:p w14:paraId="373C1292" w14:textId="77777777" w:rsidR="001141A7" w:rsidRPr="00CC5C68" w:rsidRDefault="001141A7" w:rsidP="001141A7">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CC5C68">
        <w:rPr>
          <w:rFonts w:ascii="Verdana" w:eastAsia="Calibri" w:hAnsi="Verdana" w:cs="Arial"/>
          <w:lang w:val="es-ES_tradnl" w:eastAsia="es-ES_tradnl"/>
        </w:rPr>
        <w:t xml:space="preserve">Sobre </w:t>
      </w:r>
      <w:r>
        <w:rPr>
          <w:rFonts w:ascii="Verdana" w:eastAsia="Calibri" w:hAnsi="Verdana" w:cs="Arial"/>
          <w:lang w:val="es-ES_tradnl" w:eastAsia="es-ES_tradnl"/>
        </w:rPr>
        <w:t>la licencia de maternidad</w:t>
      </w:r>
      <w:r w:rsidRPr="00CC5C68">
        <w:rPr>
          <w:rFonts w:ascii="Verdana" w:eastAsia="Calibri" w:hAnsi="Verdana" w:cs="Arial"/>
          <w:lang w:val="es-ES_tradnl" w:eastAsia="es-ES_tradnl"/>
        </w:rPr>
        <w:t>, se pronunció esta Subdirección en los conceptos</w:t>
      </w:r>
      <w:r>
        <w:rPr>
          <w:rFonts w:ascii="Verdana" w:eastAsia="Calibri" w:hAnsi="Verdana" w:cs="Arial"/>
          <w:lang w:val="es-ES_tradnl" w:eastAsia="es-ES_tradnl"/>
        </w:rPr>
        <w:t xml:space="preserve"> </w:t>
      </w:r>
      <w:r w:rsidRPr="00CC1341">
        <w:rPr>
          <w:rFonts w:ascii="Verdana" w:eastAsia="Calibri" w:hAnsi="Verdana" w:cs="Arial"/>
          <w:lang w:val="es-ES_tradnl" w:eastAsia="es-ES_tradnl"/>
        </w:rPr>
        <w:t>C-770 del del 7 de diciembre de 2022, C-712 del 7 de diciembre de 2022, C-789 del 22 de noviembre de 2022, C-031 del 17 de marzo de 2023, C-213 de 26 de junio de 2023, C-439 del 20 de octubre de 2023 y C-463 del 22 de noviembre de 2023</w:t>
      </w:r>
      <w:r w:rsidRPr="00CC5C68">
        <w:rPr>
          <w:rFonts w:ascii="Verdana" w:eastAsia="Calibri" w:hAnsi="Verdana" w:cs="Arial"/>
          <w:lang w:val="es-ES_tradnl" w:eastAsia="es-ES_tradnl"/>
        </w:rPr>
        <w:t xml:space="preserve">. </w:t>
      </w:r>
      <w:r w:rsidRPr="00CC1341">
        <w:rPr>
          <w:rFonts w:ascii="Verdana" w:eastAsia="Calibri" w:hAnsi="Verdana" w:cs="Arial"/>
          <w:lang w:val="es-ES_tradnl" w:eastAsia="es-ES_tradnl"/>
        </w:rPr>
        <w:t xml:space="preserve">Así mismo, se pronunció respecto de la suspensión del contrato de </w:t>
      </w:r>
      <w:r w:rsidRPr="00CC1341">
        <w:rPr>
          <w:rFonts w:ascii="Verdana" w:eastAsia="Calibri" w:hAnsi="Verdana" w:cs="Arial"/>
          <w:lang w:val="es-ES_tradnl" w:eastAsia="es-ES_tradnl"/>
        </w:rPr>
        <w:lastRenderedPageBreak/>
        <w:t>prestación de servicios por licencia de maternidad en el concepto con radicado 2201913000002416 del 10 de abril de 2019</w:t>
      </w:r>
      <w:r>
        <w:rPr>
          <w:rFonts w:ascii="Verdana" w:eastAsia="Calibri" w:hAnsi="Verdana" w:cs="Arial"/>
          <w:lang w:val="es-ES_tradnl" w:eastAsia="es-ES_tradnl"/>
        </w:rPr>
        <w:t xml:space="preserve">, </w:t>
      </w:r>
      <w:r w:rsidRPr="00CC1341">
        <w:rPr>
          <w:rFonts w:ascii="Verdana" w:eastAsia="Calibri" w:hAnsi="Verdana" w:cs="Arial"/>
          <w:lang w:val="es-ES_tradnl" w:eastAsia="es-ES_tradnl"/>
        </w:rPr>
        <w:t>C-920 del 14 de febrero de 2023</w:t>
      </w:r>
      <w:r>
        <w:rPr>
          <w:rFonts w:ascii="Verdana" w:eastAsia="Calibri" w:hAnsi="Verdana" w:cs="Arial"/>
          <w:lang w:val="es-ES_tradnl" w:eastAsia="es-ES_tradnl"/>
        </w:rPr>
        <w:t>, C-231 del 27 de junio de 2024, C-545 del 12 de junio de 2025, entre otros</w:t>
      </w:r>
      <w:r w:rsidRPr="00CC5C68">
        <w:rPr>
          <w:rFonts w:ascii="Verdana" w:eastAsia="Calibri" w:hAnsi="Verdana" w:cs="Arial"/>
          <w:lang w:val="es-ES" w:eastAsia="es-ES_tradnl"/>
        </w:rPr>
        <w:t>. Estos</w:t>
      </w:r>
      <w:r w:rsidRPr="00CC5C68">
        <w:rPr>
          <w:rFonts w:ascii="Verdana" w:hAnsi="Verdana"/>
        </w:rPr>
        <w:t xml:space="preserve"> y otros conceptos se encuentran disponibles para consulta en el Sistema de relatoría de la Agencia, al cual se puede acceder a través del siguiente enlace:</w:t>
      </w:r>
      <w:r w:rsidRPr="00CC5C68">
        <w:rPr>
          <w:rStyle w:val="normaltextrun"/>
          <w:rFonts w:ascii="Verdana" w:hAnsi="Verdana" w:cs="Arial"/>
          <w:shd w:val="clear" w:color="auto" w:fill="FFFFFF"/>
          <w:lang w:val="es-ES"/>
        </w:rPr>
        <w:t xml:space="preserve"> </w:t>
      </w:r>
      <w:hyperlink r:id="rId13" w:history="1">
        <w:r w:rsidRPr="00CC5C68">
          <w:rPr>
            <w:rStyle w:val="Hipervnculo"/>
            <w:rFonts w:ascii="Verdana" w:hAnsi="Verdana" w:cs="Arial"/>
            <w:shd w:val="clear" w:color="auto" w:fill="FFFFFF"/>
            <w:lang w:val="es-ES"/>
          </w:rPr>
          <w:t>https://relatoria.colombiacompra.gov.co/busqueda/conceptos</w:t>
        </w:r>
      </w:hyperlink>
    </w:p>
    <w:p w14:paraId="16A14ACD" w14:textId="77777777" w:rsidR="001141A7" w:rsidRPr="00CC5C68" w:rsidRDefault="001141A7" w:rsidP="001141A7">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44BF5332" w14:textId="77777777" w:rsidR="001141A7" w:rsidRPr="00DE5CCE" w:rsidRDefault="001141A7" w:rsidP="001141A7">
      <w:pPr>
        <w:spacing w:after="0" w:line="240" w:lineRule="auto"/>
        <w:jc w:val="both"/>
        <w:rPr>
          <w:rFonts w:ascii="Verdana" w:hAnsi="Verdana"/>
        </w:rPr>
      </w:pPr>
      <w:r w:rsidRPr="00DE5CCE">
        <w:rPr>
          <w:rFonts w:ascii="Verdana" w:hAnsi="Verdana"/>
        </w:rPr>
        <w:t>También le contamos que ya se encuentra disponible la </w:t>
      </w:r>
      <w:r w:rsidRPr="00DE5CCE">
        <w:rPr>
          <w:rFonts w:ascii="Verdana" w:hAnsi="Verdana"/>
          <w:b/>
          <w:bCs/>
        </w:rPr>
        <w:t>Guía de lineamientos de transparencia y selección objetiva para el departamento de La Guajira – Objetivo sexto constitucional de la Sentencia T-302 del 2017. </w:t>
      </w:r>
      <w:r w:rsidRPr="00DE5CCE">
        <w:rPr>
          <w:rFonts w:ascii="Verdana" w:hAnsi="Verdana"/>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DE5CCE">
        <w:rPr>
          <w:rFonts w:ascii="Verdana" w:hAnsi="Verdana"/>
        </w:rPr>
        <w:t>Wayúu</w:t>
      </w:r>
      <w:proofErr w:type="spellEnd"/>
      <w:r w:rsidRPr="00DE5CCE">
        <w:rPr>
          <w:rFonts w:ascii="Verdana" w:hAnsi="Verdana"/>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DE5CCE">
          <w:rPr>
            <w:rStyle w:val="Hipervnculo"/>
            <w:rFonts w:ascii="Verdana" w:hAnsi="Verdana"/>
          </w:rPr>
          <w:t>Guía de lineamientos de transparencia y selección objetiva para el departamento de La Guajira – Objetivo sexto constitucional de la Sentencia T-302 del 2017</w:t>
        </w:r>
      </w:hyperlink>
      <w:r w:rsidRPr="00DE5CCE">
        <w:rPr>
          <w:rFonts w:ascii="Verdana" w:hAnsi="Verdana"/>
          <w:u w:val="single"/>
        </w:rPr>
        <w:t>"</w:t>
      </w:r>
    </w:p>
    <w:p w14:paraId="7AE76BE5" w14:textId="77777777" w:rsidR="001141A7" w:rsidRPr="00CC5C68" w:rsidRDefault="001141A7" w:rsidP="001141A7">
      <w:pPr>
        <w:spacing w:after="0" w:line="240" w:lineRule="auto"/>
        <w:jc w:val="both"/>
        <w:rPr>
          <w:rFonts w:ascii="Verdana" w:hAnsi="Verdana"/>
        </w:rPr>
      </w:pPr>
    </w:p>
    <w:p w14:paraId="1B231C04" w14:textId="77777777" w:rsidR="001141A7" w:rsidRPr="00CC5C68" w:rsidRDefault="001141A7" w:rsidP="001141A7">
      <w:pPr>
        <w:spacing w:after="0" w:line="240" w:lineRule="auto"/>
        <w:jc w:val="both"/>
        <w:rPr>
          <w:rFonts w:ascii="Verdana" w:hAnsi="Verdana"/>
        </w:rPr>
      </w:pPr>
      <w:r w:rsidRPr="00CC5C68">
        <w:rPr>
          <w:rFonts w:ascii="Verdana" w:hAnsi="Verdana"/>
        </w:rPr>
        <w:t xml:space="preserve">Por último, lo invitamos a seguirnos en las redes sociales en las cuales se difunde información institucional: </w:t>
      </w:r>
    </w:p>
    <w:p w14:paraId="2CF6879E" w14:textId="77777777" w:rsidR="001141A7" w:rsidRPr="00CC5C68" w:rsidRDefault="001141A7" w:rsidP="001141A7">
      <w:pPr>
        <w:spacing w:after="0" w:line="240" w:lineRule="auto"/>
        <w:jc w:val="both"/>
        <w:rPr>
          <w:rFonts w:ascii="Verdana" w:hAnsi="Verdana"/>
        </w:rPr>
      </w:pPr>
    </w:p>
    <w:p w14:paraId="08BD7ACA" w14:textId="77777777" w:rsidR="001141A7" w:rsidRPr="00CC5C68" w:rsidRDefault="001141A7" w:rsidP="001141A7">
      <w:pPr>
        <w:spacing w:after="0" w:line="240" w:lineRule="auto"/>
        <w:jc w:val="both"/>
        <w:rPr>
          <w:rFonts w:ascii="Verdana" w:hAnsi="Verdana"/>
        </w:rPr>
      </w:pPr>
      <w:r w:rsidRPr="00CC5C68">
        <w:rPr>
          <w:rFonts w:ascii="Verdana" w:hAnsi="Verdana"/>
        </w:rPr>
        <w:t xml:space="preserve">Twitter: </w:t>
      </w:r>
      <w:r w:rsidRPr="00CC5C68">
        <w:rPr>
          <w:rStyle w:val="Hipervnculo"/>
          <w:rFonts w:ascii="Verdana" w:hAnsi="Verdana"/>
          <w:color w:val="4472C4" w:themeColor="accent1"/>
        </w:rPr>
        <w:t>@colombiacompra</w:t>
      </w:r>
      <w:r w:rsidRPr="00CC5C68">
        <w:rPr>
          <w:rFonts w:ascii="Verdana" w:hAnsi="Verdana"/>
          <w:color w:val="4472C4" w:themeColor="accent1"/>
        </w:rPr>
        <w:t xml:space="preserve"> </w:t>
      </w:r>
    </w:p>
    <w:p w14:paraId="681C484F" w14:textId="77777777" w:rsidR="001141A7" w:rsidRPr="00CC5C68" w:rsidRDefault="001141A7" w:rsidP="001141A7">
      <w:pPr>
        <w:spacing w:after="0" w:line="240" w:lineRule="auto"/>
        <w:jc w:val="both"/>
        <w:rPr>
          <w:rFonts w:ascii="Verdana" w:hAnsi="Verdana"/>
        </w:rPr>
      </w:pPr>
      <w:r w:rsidRPr="00CC5C68">
        <w:rPr>
          <w:rFonts w:ascii="Verdana" w:hAnsi="Verdana"/>
        </w:rPr>
        <w:t xml:space="preserve">Facebook: </w:t>
      </w:r>
      <w:proofErr w:type="spellStart"/>
      <w:r w:rsidRPr="00CC5C68">
        <w:rPr>
          <w:rStyle w:val="Hipervnculo"/>
          <w:rFonts w:ascii="Verdana" w:hAnsi="Verdana"/>
          <w:color w:val="4472C4" w:themeColor="accent1"/>
        </w:rPr>
        <w:t>ColombiaCompraEficiente</w:t>
      </w:r>
      <w:proofErr w:type="spellEnd"/>
    </w:p>
    <w:p w14:paraId="200EEFFE" w14:textId="77777777" w:rsidR="001141A7" w:rsidRPr="00CC5C68" w:rsidRDefault="001141A7" w:rsidP="001141A7">
      <w:pPr>
        <w:spacing w:after="0" w:line="240" w:lineRule="auto"/>
        <w:jc w:val="both"/>
        <w:rPr>
          <w:rFonts w:ascii="Verdana" w:hAnsi="Verdana"/>
        </w:rPr>
      </w:pPr>
      <w:r w:rsidRPr="00CC5C68">
        <w:rPr>
          <w:rFonts w:ascii="Verdana" w:hAnsi="Verdana"/>
        </w:rPr>
        <w:t xml:space="preserve">LinkedIn: </w:t>
      </w:r>
      <w:r w:rsidRPr="00CC5C68">
        <w:rPr>
          <w:rStyle w:val="Hipervnculo"/>
          <w:rFonts w:ascii="Verdana" w:hAnsi="Verdana"/>
          <w:color w:val="4472C4" w:themeColor="accent1"/>
        </w:rPr>
        <w:t>Agencia Nacional de Contratación Pública - Colombia Compra Eficiente</w:t>
      </w:r>
      <w:r w:rsidRPr="00CC5C68">
        <w:rPr>
          <w:rFonts w:ascii="Verdana" w:hAnsi="Verdana"/>
          <w:color w:val="4472C4" w:themeColor="accent1"/>
        </w:rPr>
        <w:t xml:space="preserve"> </w:t>
      </w:r>
      <w:r w:rsidRPr="00CC5C68">
        <w:rPr>
          <w:rFonts w:ascii="Verdana" w:hAnsi="Verdana"/>
        </w:rPr>
        <w:t xml:space="preserve">Instagram: </w:t>
      </w:r>
      <w:r w:rsidRPr="00CC5C68">
        <w:rPr>
          <w:rStyle w:val="Hipervnculo"/>
          <w:rFonts w:ascii="Verdana" w:hAnsi="Verdana"/>
          <w:color w:val="4472C4" w:themeColor="accent1"/>
        </w:rPr>
        <w:t>@colombiacompraeficiente_cce</w:t>
      </w:r>
    </w:p>
    <w:p w14:paraId="7819AF53" w14:textId="77777777" w:rsidR="001141A7" w:rsidRPr="00CC5C68" w:rsidRDefault="001141A7" w:rsidP="001141A7">
      <w:pPr>
        <w:widowControl w:val="0"/>
        <w:autoSpaceDE w:val="0"/>
        <w:autoSpaceDN w:val="0"/>
        <w:spacing w:after="0" w:line="276" w:lineRule="auto"/>
        <w:jc w:val="both"/>
        <w:rPr>
          <w:rFonts w:ascii="Verdana" w:hAnsi="Verdana" w:cs="Arial"/>
        </w:rPr>
      </w:pPr>
    </w:p>
    <w:p w14:paraId="0C67EB02" w14:textId="77777777" w:rsidR="001141A7" w:rsidRPr="00CC5C68" w:rsidRDefault="001141A7" w:rsidP="001141A7">
      <w:pPr>
        <w:widowControl w:val="0"/>
        <w:autoSpaceDE w:val="0"/>
        <w:autoSpaceDN w:val="0"/>
        <w:spacing w:after="0" w:line="276" w:lineRule="auto"/>
        <w:jc w:val="both"/>
        <w:rPr>
          <w:rFonts w:ascii="Verdana" w:hAnsi="Verdana" w:cs="Arial"/>
          <w:lang w:val="es-ES_tradnl"/>
        </w:rPr>
      </w:pPr>
      <w:r w:rsidRPr="00CC5C68">
        <w:rPr>
          <w:rFonts w:ascii="Verdana" w:hAnsi="Verdana" w:cs="Arial"/>
        </w:rPr>
        <w:t xml:space="preserve">Este concepto tiene el alcance previsto en el artículo 28 del Código de Procedimiento Administrativo y de lo Contencioso Administrativo </w:t>
      </w:r>
      <w:r w:rsidRPr="00CC5C68">
        <w:rPr>
          <w:rFonts w:ascii="Verdana" w:hAnsi="Verdana" w:cs="Arial"/>
          <w:lang w:val="es-ES_tradnl"/>
        </w:rPr>
        <w:t>y las expresiones aquí utilizadas con mayúscula inicial deben ser entendidas con el significado que les otorga el artículo 2.2.1.1.1.3.1. del Decreto 1082 de 2015.</w:t>
      </w:r>
    </w:p>
    <w:p w14:paraId="09AF55EA" w14:textId="77777777" w:rsidR="001141A7" w:rsidRPr="00CC5C68" w:rsidRDefault="001141A7" w:rsidP="001141A7">
      <w:pPr>
        <w:spacing w:after="0" w:line="276" w:lineRule="auto"/>
        <w:ind w:firstLine="709"/>
        <w:jc w:val="both"/>
        <w:rPr>
          <w:rFonts w:ascii="Verdana" w:eastAsia="Times New Roman" w:hAnsi="Verdana" w:cs="Arial"/>
          <w:szCs w:val="24"/>
          <w:lang w:val="es-ES_tradnl" w:eastAsia="es-ES_tradnl"/>
        </w:rPr>
      </w:pPr>
    </w:p>
    <w:p w14:paraId="267FAF9A" w14:textId="77777777" w:rsidR="001141A7" w:rsidRPr="00CC5C68" w:rsidRDefault="001141A7" w:rsidP="001141A7">
      <w:pPr>
        <w:spacing w:after="0" w:line="276" w:lineRule="auto"/>
        <w:jc w:val="both"/>
        <w:rPr>
          <w:rFonts w:ascii="Verdana" w:eastAsia="Times New Roman" w:hAnsi="Verdana" w:cs="Arial"/>
          <w:lang w:val="es-ES_tradnl" w:eastAsia="es-CO"/>
        </w:rPr>
      </w:pPr>
      <w:bookmarkStart w:id="2" w:name="_Hlk117695077"/>
      <w:r w:rsidRPr="00CC5C68">
        <w:rPr>
          <w:rFonts w:ascii="Verdana" w:eastAsia="Times New Roman" w:hAnsi="Verdana" w:cs="Arial"/>
          <w:lang w:val="es-ES_tradnl" w:eastAsia="es-CO"/>
        </w:rPr>
        <w:t>Atentamente,</w:t>
      </w:r>
    </w:p>
    <w:bookmarkEnd w:id="2"/>
    <w:p w14:paraId="0B806643" w14:textId="76EAFFAF" w:rsidR="001141A7" w:rsidRPr="00CC5C68" w:rsidRDefault="00A27896" w:rsidP="001141A7">
      <w:pPr>
        <w:spacing w:after="18" w:line="240" w:lineRule="auto"/>
        <w:jc w:val="center"/>
        <w:rPr>
          <w:rFonts w:ascii="Verdana" w:eastAsia="Times New Roman" w:hAnsi="Verdana" w:cs="Arial"/>
          <w:sz w:val="24"/>
          <w:szCs w:val="24"/>
          <w:lang w:eastAsia="es-CO"/>
        </w:rPr>
      </w:pPr>
      <w:r w:rsidRPr="002C3AD6">
        <w:rPr>
          <w:rFonts w:ascii="Century Gothic" w:hAnsi="Century Gothic"/>
          <w:noProof/>
        </w:rPr>
        <w:lastRenderedPageBreak/>
        <w:drawing>
          <wp:inline distT="0" distB="0" distL="0" distR="0" wp14:anchorId="305FC4F3" wp14:editId="6513792A">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p w14:paraId="57DFDE79" w14:textId="77777777" w:rsidR="001141A7" w:rsidRPr="00CC5C68" w:rsidRDefault="001141A7" w:rsidP="001141A7">
      <w:pPr>
        <w:spacing w:after="18" w:line="240" w:lineRule="auto"/>
        <w:jc w:val="center"/>
        <w:rPr>
          <w:rFonts w:ascii="Verdana" w:eastAsia="Times New Roman" w:hAnsi="Verdana" w:cs="Arial"/>
          <w:sz w:val="24"/>
          <w:szCs w:val="24"/>
          <w:lang w:eastAsia="es-CO"/>
        </w:rPr>
      </w:pPr>
    </w:p>
    <w:tbl>
      <w:tblPr>
        <w:tblStyle w:val="Tablaconcuadrcula1"/>
        <w:tblpPr w:leftFromText="141" w:rightFromText="141" w:vertAnchor="text" w:horzAnchor="margin" w:tblpY="4"/>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4217"/>
      </w:tblGrid>
      <w:tr w:rsidR="001141A7" w:rsidRPr="00CC5C68" w14:paraId="561C4648" w14:textId="77777777" w:rsidTr="007435C4">
        <w:trPr>
          <w:trHeight w:val="286"/>
        </w:trPr>
        <w:tc>
          <w:tcPr>
            <w:tcW w:w="886" w:type="dxa"/>
            <w:vAlign w:val="center"/>
            <w:hideMark/>
          </w:tcPr>
          <w:p w14:paraId="4266A265" w14:textId="77777777" w:rsidR="001141A7" w:rsidRPr="00CC5C68" w:rsidRDefault="001141A7" w:rsidP="007435C4">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t>Elaboró:</w:t>
            </w:r>
          </w:p>
        </w:tc>
        <w:tc>
          <w:tcPr>
            <w:tcW w:w="4217" w:type="dxa"/>
            <w:tcBorders>
              <w:top w:val="nil"/>
              <w:left w:val="nil"/>
              <w:bottom w:val="dotted" w:sz="4" w:space="0" w:color="7F7F7F"/>
              <w:right w:val="nil"/>
            </w:tcBorders>
            <w:vAlign w:val="center"/>
            <w:hideMark/>
          </w:tcPr>
          <w:p w14:paraId="7670DFBE" w14:textId="77777777" w:rsidR="001141A7" w:rsidRDefault="001141A7" w:rsidP="007435C4">
            <w:pPr>
              <w:rPr>
                <w:rFonts w:ascii="Verdana" w:eastAsia="Times New Roman" w:hAnsi="Verdana" w:cs="Arial"/>
                <w:sz w:val="16"/>
                <w:szCs w:val="16"/>
                <w:lang w:val="es-ES_tradnl" w:eastAsia="es-ES"/>
              </w:rPr>
            </w:pPr>
            <w:r w:rsidRPr="009C4D9A">
              <w:rPr>
                <w:rFonts w:ascii="Verdana" w:eastAsia="Times New Roman" w:hAnsi="Verdana" w:cs="Arial"/>
                <w:sz w:val="16"/>
                <w:szCs w:val="16"/>
                <w:lang w:val="es-ES_tradnl" w:eastAsia="es-ES"/>
              </w:rPr>
              <w:t>Ximena Ríos López</w:t>
            </w:r>
          </w:p>
          <w:p w14:paraId="6344812B" w14:textId="77777777" w:rsidR="001141A7" w:rsidRPr="00CC5C68" w:rsidRDefault="001141A7" w:rsidP="007435C4">
            <w:pPr>
              <w:rPr>
                <w:rFonts w:ascii="Verdana" w:eastAsia="Times New Roman" w:hAnsi="Verdana" w:cs="Arial"/>
                <w:sz w:val="14"/>
                <w:szCs w:val="14"/>
                <w:lang w:eastAsia="es-ES"/>
              </w:rPr>
            </w:pPr>
            <w:r>
              <w:rPr>
                <w:rFonts w:ascii="Verdana" w:eastAsia="Times New Roman" w:hAnsi="Verdana" w:cs="Arial"/>
                <w:sz w:val="16"/>
                <w:szCs w:val="16"/>
                <w:lang w:val="es-ES_tradnl" w:eastAsia="es-ES"/>
              </w:rPr>
              <w:t>Gestor T1-11</w:t>
            </w:r>
            <w:r w:rsidRPr="00CC5C68">
              <w:rPr>
                <w:rFonts w:ascii="Verdana" w:eastAsia="Times New Roman" w:hAnsi="Verdana" w:cs="Arial"/>
                <w:sz w:val="16"/>
                <w:szCs w:val="16"/>
                <w:lang w:eastAsia="es-ES"/>
              </w:rPr>
              <w:t xml:space="preserve"> de la Subdirección de Gestión Contractual</w:t>
            </w:r>
          </w:p>
        </w:tc>
      </w:tr>
      <w:tr w:rsidR="001141A7" w:rsidRPr="00CC5C68" w14:paraId="6967A5E4" w14:textId="77777777" w:rsidTr="007435C4">
        <w:trPr>
          <w:trHeight w:val="299"/>
        </w:trPr>
        <w:tc>
          <w:tcPr>
            <w:tcW w:w="886" w:type="dxa"/>
            <w:vAlign w:val="center"/>
            <w:hideMark/>
          </w:tcPr>
          <w:p w14:paraId="15C11512" w14:textId="77777777" w:rsidR="001141A7" w:rsidRPr="00CC5C68" w:rsidRDefault="001141A7" w:rsidP="007435C4">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t>Revisó:</w:t>
            </w:r>
          </w:p>
        </w:tc>
        <w:tc>
          <w:tcPr>
            <w:tcW w:w="4217" w:type="dxa"/>
            <w:tcBorders>
              <w:top w:val="dotted" w:sz="4" w:space="0" w:color="7F7F7F"/>
              <w:left w:val="nil"/>
              <w:bottom w:val="dotted" w:sz="4" w:space="0" w:color="7F7F7F"/>
              <w:right w:val="nil"/>
            </w:tcBorders>
            <w:vAlign w:val="center"/>
            <w:hideMark/>
          </w:tcPr>
          <w:p w14:paraId="2B521002" w14:textId="77777777" w:rsidR="001141A7" w:rsidRPr="00CC5C68" w:rsidRDefault="001141A7" w:rsidP="007435C4">
            <w:pPr>
              <w:rPr>
                <w:rFonts w:ascii="Verdana" w:eastAsia="Times New Roman" w:hAnsi="Verdana" w:cs="Arial"/>
                <w:sz w:val="16"/>
                <w:szCs w:val="16"/>
                <w:lang w:val="es-ES_tradnl" w:eastAsia="es-ES"/>
              </w:rPr>
            </w:pPr>
            <w:r>
              <w:rPr>
                <w:rFonts w:ascii="Verdana" w:eastAsia="Times New Roman" w:hAnsi="Verdana" w:cs="Arial"/>
                <w:sz w:val="16"/>
                <w:szCs w:val="16"/>
                <w:lang w:val="es-ES_tradnl" w:eastAsia="es-ES"/>
              </w:rPr>
              <w:t>Diana Saavedra</w:t>
            </w:r>
          </w:p>
          <w:p w14:paraId="063CE69C" w14:textId="77777777" w:rsidR="001141A7" w:rsidRPr="00CC5C68" w:rsidRDefault="001141A7" w:rsidP="007435C4">
            <w:pPr>
              <w:rPr>
                <w:rFonts w:ascii="Verdana" w:eastAsia="Times New Roman" w:hAnsi="Verdana" w:cs="Arial"/>
                <w:sz w:val="14"/>
                <w:szCs w:val="14"/>
                <w:lang w:eastAsia="es-ES"/>
              </w:rPr>
            </w:pPr>
            <w:r>
              <w:rPr>
                <w:rFonts w:ascii="Verdana" w:eastAsia="Times New Roman" w:hAnsi="Verdana" w:cs="Arial"/>
                <w:sz w:val="16"/>
                <w:szCs w:val="16"/>
                <w:lang w:eastAsia="es-ES"/>
              </w:rPr>
              <w:t>Contratista</w:t>
            </w:r>
            <w:r w:rsidRPr="00CC5C68">
              <w:rPr>
                <w:rFonts w:ascii="Verdana" w:eastAsia="Times New Roman" w:hAnsi="Verdana" w:cs="Arial"/>
                <w:sz w:val="16"/>
                <w:szCs w:val="16"/>
                <w:lang w:eastAsia="es-ES"/>
              </w:rPr>
              <w:t xml:space="preserve"> de la Subdirección de Gestión Contractual</w:t>
            </w:r>
          </w:p>
        </w:tc>
      </w:tr>
      <w:tr w:rsidR="001141A7" w:rsidRPr="00CC5C68" w14:paraId="13570A2D" w14:textId="77777777" w:rsidTr="007435C4">
        <w:trPr>
          <w:trHeight w:val="272"/>
        </w:trPr>
        <w:tc>
          <w:tcPr>
            <w:tcW w:w="886" w:type="dxa"/>
            <w:vAlign w:val="center"/>
            <w:hideMark/>
          </w:tcPr>
          <w:p w14:paraId="48541703" w14:textId="77777777" w:rsidR="001141A7" w:rsidRPr="00CC5C68" w:rsidRDefault="001141A7" w:rsidP="007435C4">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t>Aprobó:</w:t>
            </w:r>
          </w:p>
        </w:tc>
        <w:tc>
          <w:tcPr>
            <w:tcW w:w="4217" w:type="dxa"/>
            <w:tcBorders>
              <w:top w:val="dotted" w:sz="4" w:space="0" w:color="7F7F7F"/>
              <w:left w:val="nil"/>
              <w:bottom w:val="dotted" w:sz="4" w:space="0" w:color="7F7F7F"/>
              <w:right w:val="nil"/>
            </w:tcBorders>
            <w:vAlign w:val="center"/>
            <w:hideMark/>
          </w:tcPr>
          <w:p w14:paraId="5D03993E" w14:textId="77777777" w:rsidR="001141A7" w:rsidRPr="00CC5C68" w:rsidRDefault="001141A7" w:rsidP="007435C4">
            <w:pPr>
              <w:rPr>
                <w:rFonts w:ascii="Verdana" w:eastAsia="Times New Roman" w:hAnsi="Verdana" w:cs="Arial"/>
                <w:sz w:val="16"/>
                <w:szCs w:val="16"/>
                <w:lang w:eastAsia="es-ES"/>
              </w:rPr>
            </w:pPr>
            <w:r w:rsidRPr="00CC5C68">
              <w:rPr>
                <w:rFonts w:ascii="Verdana" w:eastAsia="Times New Roman" w:hAnsi="Verdana" w:cs="Arial"/>
                <w:sz w:val="16"/>
                <w:szCs w:val="16"/>
                <w:lang w:eastAsia="es-ES"/>
              </w:rPr>
              <w:t>Carolina Quintero Gacharná</w:t>
            </w:r>
          </w:p>
          <w:p w14:paraId="6E1AC07A" w14:textId="77777777" w:rsidR="001141A7" w:rsidRPr="00CC5C68" w:rsidRDefault="001141A7" w:rsidP="007435C4">
            <w:pPr>
              <w:rPr>
                <w:rFonts w:ascii="Verdana" w:eastAsia="Times New Roman" w:hAnsi="Verdana" w:cs="Arial"/>
                <w:sz w:val="14"/>
                <w:szCs w:val="14"/>
                <w:lang w:eastAsia="es-ES"/>
              </w:rPr>
            </w:pPr>
            <w:r w:rsidRPr="00CC5C68">
              <w:rPr>
                <w:rFonts w:ascii="Verdana" w:eastAsia="Times New Roman" w:hAnsi="Verdana" w:cs="Arial"/>
                <w:sz w:val="16"/>
                <w:szCs w:val="16"/>
                <w:lang w:eastAsia="es-ES"/>
              </w:rPr>
              <w:t>Subdirectora de Gestión Contractual ANCP – CCE</w:t>
            </w:r>
          </w:p>
        </w:tc>
      </w:tr>
    </w:tbl>
    <w:p w14:paraId="0D2E0B96" w14:textId="77777777" w:rsidR="001141A7" w:rsidRPr="00CC5C68" w:rsidRDefault="001141A7" w:rsidP="001141A7">
      <w:pPr>
        <w:spacing w:after="0" w:line="276" w:lineRule="auto"/>
        <w:jc w:val="both"/>
        <w:rPr>
          <w:rFonts w:ascii="Verdana" w:eastAsia="Times New Roman" w:hAnsi="Verdana" w:cs="Arial"/>
          <w:lang w:val="es-ES_tradnl"/>
        </w:rPr>
      </w:pPr>
    </w:p>
    <w:p w14:paraId="3A7F258D" w14:textId="77777777" w:rsidR="001141A7" w:rsidRPr="00CC5C68" w:rsidRDefault="001141A7" w:rsidP="001141A7">
      <w:pPr>
        <w:spacing w:after="0" w:line="240" w:lineRule="auto"/>
        <w:rPr>
          <w:rFonts w:ascii="Verdana" w:eastAsia="Times New Roman" w:hAnsi="Verdana" w:cs="Arial"/>
          <w:sz w:val="24"/>
          <w:szCs w:val="24"/>
          <w:lang w:eastAsia="es-ES_tradnl"/>
        </w:rPr>
      </w:pPr>
    </w:p>
    <w:p w14:paraId="3AD06492" w14:textId="77777777" w:rsidR="001141A7" w:rsidRPr="00CC5C68" w:rsidRDefault="001141A7" w:rsidP="001141A7">
      <w:pPr>
        <w:rPr>
          <w:rFonts w:ascii="Verdana" w:hAnsi="Verdana"/>
        </w:rPr>
      </w:pPr>
    </w:p>
    <w:p w14:paraId="67AF006A" w14:textId="77777777" w:rsidR="001141A7" w:rsidRPr="00557077" w:rsidRDefault="001141A7" w:rsidP="001141A7"/>
    <w:p w14:paraId="0F293BF4" w14:textId="3A8DDC57" w:rsidR="00127233" w:rsidRPr="001141A7" w:rsidRDefault="00127233" w:rsidP="001141A7"/>
    <w:sectPr w:rsidR="00127233" w:rsidRPr="001141A7"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D8D084" w14:textId="77777777" w:rsidR="00A5689A" w:rsidRDefault="00A5689A" w:rsidP="004A1847">
      <w:pPr>
        <w:spacing w:after="0" w:line="240" w:lineRule="auto"/>
      </w:pPr>
      <w:r>
        <w:separator/>
      </w:r>
    </w:p>
  </w:endnote>
  <w:endnote w:type="continuationSeparator" w:id="0">
    <w:p w14:paraId="7BCAD27D" w14:textId="77777777" w:rsidR="00A5689A" w:rsidRDefault="00A5689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Yu Gothic UI Semibold">
    <w:panose1 w:val="020B0700000000000000"/>
    <w:charset w:val="80"/>
    <w:family w:val="swiss"/>
    <w:pitch w:val="variable"/>
    <w:sig w:usb0="E00002FF" w:usb1="2AC7FDFF" w:usb2="00000016" w:usb3="00000000" w:csb0="000200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82E27F" w14:textId="77777777" w:rsidR="00A5689A" w:rsidRDefault="00A5689A" w:rsidP="004A1847">
      <w:pPr>
        <w:spacing w:after="0" w:line="240" w:lineRule="auto"/>
      </w:pPr>
      <w:r>
        <w:separator/>
      </w:r>
    </w:p>
  </w:footnote>
  <w:footnote w:type="continuationSeparator" w:id="0">
    <w:p w14:paraId="02DC64C3" w14:textId="77777777" w:rsidR="00A5689A" w:rsidRDefault="00A5689A" w:rsidP="004A1847">
      <w:pPr>
        <w:spacing w:after="0" w:line="240" w:lineRule="auto"/>
      </w:pPr>
      <w:r>
        <w:continuationSeparator/>
      </w:r>
    </w:p>
  </w:footnote>
  <w:footnote w:id="1">
    <w:p w14:paraId="7322D6DC" w14:textId="77777777" w:rsidR="001141A7" w:rsidRPr="00E65094" w:rsidRDefault="001141A7" w:rsidP="003046CD">
      <w:pPr>
        <w:pStyle w:val="Textonotapie"/>
        <w:ind w:left="300" w:firstLine="408"/>
        <w:contextualSpacing/>
        <w:jc w:val="both"/>
        <w:rPr>
          <w:rFonts w:ascii="Verdana" w:hAnsi="Verdana" w:cs="Arial"/>
          <w:sz w:val="14"/>
          <w:szCs w:val="14"/>
        </w:rPr>
      </w:pPr>
      <w:r w:rsidRPr="00E65094">
        <w:rPr>
          <w:rStyle w:val="Refdenotaalpie"/>
          <w:rFonts w:ascii="Verdana" w:hAnsi="Verdana" w:cs="Arial"/>
          <w:sz w:val="14"/>
          <w:szCs w:val="14"/>
        </w:rPr>
        <w:footnoteRef/>
      </w:r>
      <w:r w:rsidRPr="00E65094">
        <w:rPr>
          <w:rFonts w:ascii="Verdana" w:hAnsi="Verdana" w:cs="Arial"/>
          <w:sz w:val="14"/>
          <w:szCs w:val="14"/>
        </w:rPr>
        <w:t xml:space="preserve"> Corte Constitucional, sentencia T-743 de 2017, Exp. T-6.366.648 Magistrada Ponente Cristina Pardo Schlesinger.</w:t>
      </w:r>
    </w:p>
    <w:p w14:paraId="1A999D2D" w14:textId="77777777" w:rsidR="001141A7" w:rsidRPr="00E65094" w:rsidRDefault="001141A7" w:rsidP="003046CD">
      <w:pPr>
        <w:pStyle w:val="Textonotapie"/>
        <w:ind w:left="300" w:firstLine="408"/>
        <w:contextualSpacing/>
        <w:jc w:val="both"/>
        <w:rPr>
          <w:rFonts w:ascii="Verdana" w:hAnsi="Verdana" w:cs="Arial"/>
          <w:sz w:val="14"/>
          <w:szCs w:val="14"/>
        </w:rPr>
      </w:pPr>
    </w:p>
  </w:footnote>
  <w:footnote w:id="2">
    <w:p w14:paraId="122F8684" w14:textId="77777777" w:rsidR="001141A7" w:rsidRPr="00E65094" w:rsidRDefault="001141A7" w:rsidP="00E65094">
      <w:pPr>
        <w:spacing w:after="0" w:line="240" w:lineRule="auto"/>
        <w:ind w:left="300" w:right="306" w:firstLine="408"/>
        <w:contextualSpacing/>
        <w:jc w:val="both"/>
        <w:rPr>
          <w:rFonts w:ascii="Verdana" w:hAnsi="Verdana" w:cs="Arial"/>
          <w:sz w:val="14"/>
          <w:szCs w:val="14"/>
        </w:rPr>
      </w:pPr>
      <w:r w:rsidRPr="00E65094">
        <w:rPr>
          <w:rStyle w:val="Refdenotaalpie"/>
          <w:rFonts w:ascii="Verdana" w:hAnsi="Verdana" w:cs="Arial"/>
          <w:sz w:val="14"/>
          <w:szCs w:val="14"/>
        </w:rPr>
        <w:footnoteRef/>
      </w:r>
      <w:r w:rsidRPr="00E65094">
        <w:rPr>
          <w:rFonts w:ascii="Verdana" w:hAnsi="Verdana" w:cs="Arial"/>
          <w:sz w:val="14"/>
          <w:szCs w:val="14"/>
        </w:rPr>
        <w:t xml:space="preserve"> “En el supuesto de vinculación de la mujer gestante o lactante mediante contrato de prestación de servicios, el juez de tutela deberá analizar las circunstancias fácticas que rodean cada caso, para determinar si bajo dicha figura contractual no se está ocultando la existencia de una auténtica relación laboral.</w:t>
      </w:r>
    </w:p>
    <w:p w14:paraId="44482E26" w14:textId="77777777" w:rsidR="001141A7" w:rsidRPr="00E65094" w:rsidRDefault="001141A7" w:rsidP="00E65094">
      <w:pPr>
        <w:spacing w:after="0" w:line="240" w:lineRule="auto"/>
        <w:ind w:left="300" w:right="306" w:firstLine="707"/>
        <w:contextualSpacing/>
        <w:jc w:val="both"/>
        <w:rPr>
          <w:rFonts w:ascii="Verdana" w:eastAsia="Arial" w:hAnsi="Verdana" w:cs="Arial"/>
          <w:sz w:val="14"/>
          <w:szCs w:val="14"/>
          <w:lang w:val="es-ES"/>
        </w:rPr>
      </w:pPr>
    </w:p>
    <w:p w14:paraId="201F4A7D" w14:textId="77777777" w:rsidR="001141A7" w:rsidRPr="00E65094" w:rsidRDefault="001141A7" w:rsidP="00E65094">
      <w:pPr>
        <w:spacing w:after="0" w:line="240" w:lineRule="auto"/>
        <w:ind w:left="599" w:right="306" w:firstLine="408"/>
        <w:contextualSpacing/>
        <w:jc w:val="both"/>
        <w:rPr>
          <w:rFonts w:ascii="Verdana" w:hAnsi="Verdana" w:cs="Arial"/>
          <w:sz w:val="14"/>
          <w:szCs w:val="14"/>
        </w:rPr>
      </w:pPr>
      <w:r w:rsidRPr="00E65094">
        <w:rPr>
          <w:rFonts w:ascii="Verdana" w:hAnsi="Verdana" w:cs="Arial"/>
          <w:sz w:val="14"/>
          <w:szCs w:val="14"/>
        </w:rPr>
        <w:t>[…]</w:t>
      </w:r>
    </w:p>
    <w:p w14:paraId="6B79595A" w14:textId="77777777" w:rsidR="001141A7" w:rsidRPr="00E65094" w:rsidRDefault="001141A7" w:rsidP="003046CD">
      <w:pPr>
        <w:pStyle w:val="Textoindependiente"/>
        <w:spacing w:after="0" w:line="240" w:lineRule="auto"/>
        <w:ind w:left="300" w:right="306"/>
        <w:contextualSpacing/>
        <w:jc w:val="both"/>
        <w:rPr>
          <w:rFonts w:ascii="Verdana" w:hAnsi="Verdana" w:cs="Arial"/>
          <w:sz w:val="14"/>
          <w:szCs w:val="14"/>
        </w:rPr>
      </w:pPr>
    </w:p>
    <w:p w14:paraId="2965B786" w14:textId="77777777" w:rsidR="001141A7" w:rsidRPr="00E65094" w:rsidRDefault="001141A7" w:rsidP="00E65094">
      <w:pPr>
        <w:spacing w:after="0" w:line="240" w:lineRule="auto"/>
        <w:ind w:left="300" w:right="306" w:firstLine="408"/>
        <w:contextualSpacing/>
        <w:jc w:val="both"/>
        <w:rPr>
          <w:rFonts w:ascii="Verdana" w:hAnsi="Verdana" w:cs="Arial"/>
          <w:sz w:val="14"/>
          <w:szCs w:val="14"/>
        </w:rPr>
      </w:pPr>
      <w:r w:rsidRPr="00E65094">
        <w:rPr>
          <w:rFonts w:ascii="Verdana" w:hAnsi="Verdana" w:cs="Arial"/>
          <w:sz w:val="14"/>
          <w:szCs w:val="14"/>
        </w:rPr>
        <w:t>“Bajo esta lógica, deberá verificarse la estructuración material de los elementos fundamentales de un contrato de trabajo, ‘independientemente de la vinculación o denominación que el empleador adopte para el tipo de contrato que suscriba con el trabajador´. Así, la jurisprudencia de la Corte ha reconocido que los elementos que configuran la existencia de un contrato de trabajo son (i) el salario, (ii) la continua subordinación o dependencia y (iii) la prestación personal del servicio. Por lo tanto, si el juez de tutela concluye la concurrencia de estos tres elementos en una vinculación mediante contrato de prestación de servicios de una trabajadora gestante o lactante, podrá concluirse que se está en presencia de un verdadero contrato de</w:t>
      </w:r>
      <w:r w:rsidRPr="00E65094">
        <w:rPr>
          <w:rFonts w:ascii="Verdana" w:hAnsi="Verdana" w:cs="Arial"/>
          <w:spacing w:val="-17"/>
          <w:sz w:val="14"/>
          <w:szCs w:val="14"/>
        </w:rPr>
        <w:t xml:space="preserve"> </w:t>
      </w:r>
      <w:r w:rsidRPr="00E65094">
        <w:rPr>
          <w:rFonts w:ascii="Verdana" w:hAnsi="Verdana" w:cs="Arial"/>
          <w:sz w:val="14"/>
          <w:szCs w:val="14"/>
        </w:rPr>
        <w:t>trabajo”.</w:t>
      </w:r>
    </w:p>
    <w:p w14:paraId="3E3E63D3" w14:textId="77777777" w:rsidR="001141A7" w:rsidRPr="00E65094" w:rsidRDefault="001141A7" w:rsidP="003046CD">
      <w:pPr>
        <w:pStyle w:val="Textonotapie"/>
        <w:ind w:left="300" w:right="306"/>
        <w:contextualSpacing/>
        <w:jc w:val="both"/>
        <w:rPr>
          <w:rFonts w:ascii="Verdana" w:hAnsi="Verdana" w:cs="Arial"/>
          <w:sz w:val="14"/>
          <w:szCs w:val="14"/>
        </w:rPr>
      </w:pPr>
    </w:p>
  </w:footnote>
  <w:footnote w:id="3">
    <w:p w14:paraId="7A886ED0" w14:textId="77777777" w:rsidR="001141A7" w:rsidRPr="00E65094" w:rsidRDefault="001141A7" w:rsidP="00E65094">
      <w:pPr>
        <w:spacing w:after="0" w:line="240" w:lineRule="auto"/>
        <w:ind w:left="300" w:right="306" w:firstLine="709"/>
        <w:contextualSpacing/>
        <w:jc w:val="both"/>
        <w:rPr>
          <w:rFonts w:ascii="Verdana" w:hAnsi="Verdana" w:cs="Arial"/>
          <w:sz w:val="14"/>
          <w:szCs w:val="14"/>
        </w:rPr>
      </w:pPr>
      <w:r w:rsidRPr="00E65094">
        <w:rPr>
          <w:rStyle w:val="Refdenotaalpie"/>
          <w:rFonts w:ascii="Verdana" w:hAnsi="Verdana" w:cs="Arial"/>
          <w:sz w:val="14"/>
          <w:szCs w:val="14"/>
        </w:rPr>
        <w:footnoteRef/>
      </w:r>
      <w:r w:rsidRPr="00E65094">
        <w:rPr>
          <w:rFonts w:ascii="Verdana" w:hAnsi="Verdana" w:cs="Arial"/>
          <w:sz w:val="14"/>
          <w:szCs w:val="14"/>
        </w:rPr>
        <w:t xml:space="preserve"> La Corte Constitucional en la sentencia T-102 del 1 de marzo de 2016 (M.P: María Victoria Calle Correa) protegió el derecho a la estabilidad laboral reforzada a dos mujeres que se encontraban en fuero de maternidad por demostrarse la existencia de un contrato realidad. En el expediente T-5.208.798 la Sala asumió la existencia de un contrato laboral de cara a la subordinación, pues estaba demostrado que la accionante, entre otras, cumplía un horario establecido por el contratante: ´Obsérvese que el empleador no demostró, por ningún medio, la existencia de una causal objetiva relevante que justificara la terminación del contrato, por ejemplo, que la actividad que venía realizando la trabajadora ya no fuera necesaria para la asociación sindical, o de una justa causa de terminación de la relación laboral. Por el contrario, la labor asignada como asistente administrativa hace parte de las tareas cotidianas del sindicato’”.</w:t>
      </w:r>
    </w:p>
    <w:p w14:paraId="5F10279C" w14:textId="77777777" w:rsidR="001141A7" w:rsidRPr="00E65094" w:rsidRDefault="001141A7" w:rsidP="003046CD">
      <w:pPr>
        <w:pStyle w:val="Textonotapie"/>
        <w:ind w:left="300" w:right="306"/>
        <w:contextualSpacing/>
        <w:jc w:val="both"/>
        <w:rPr>
          <w:rFonts w:ascii="Verdana" w:hAnsi="Verdana" w:cs="Arial"/>
          <w:sz w:val="14"/>
          <w:szCs w:val="14"/>
        </w:rPr>
      </w:pPr>
    </w:p>
  </w:footnote>
  <w:footnote w:id="4">
    <w:p w14:paraId="09CC63DE" w14:textId="77777777" w:rsidR="001141A7" w:rsidRPr="00E65094" w:rsidRDefault="001141A7" w:rsidP="00E65094">
      <w:pPr>
        <w:spacing w:after="0" w:line="240" w:lineRule="auto"/>
        <w:ind w:left="300" w:right="306" w:firstLine="562"/>
        <w:contextualSpacing/>
        <w:jc w:val="both"/>
        <w:rPr>
          <w:rFonts w:ascii="Verdana" w:hAnsi="Verdana" w:cs="Arial"/>
          <w:sz w:val="14"/>
          <w:szCs w:val="14"/>
        </w:rPr>
      </w:pPr>
      <w:r w:rsidRPr="00E65094">
        <w:rPr>
          <w:rFonts w:ascii="Verdana" w:hAnsi="Verdana" w:cs="Arial"/>
          <w:sz w:val="14"/>
          <w:szCs w:val="14"/>
        </w:rPr>
        <w:t xml:space="preserve">  </w:t>
      </w:r>
      <w:r w:rsidRPr="00E65094">
        <w:rPr>
          <w:rStyle w:val="Refdenotaalpie"/>
          <w:rFonts w:ascii="Verdana" w:hAnsi="Verdana" w:cs="Arial"/>
          <w:sz w:val="14"/>
          <w:szCs w:val="14"/>
        </w:rPr>
        <w:footnoteRef/>
      </w:r>
      <w:r w:rsidRPr="00E65094">
        <w:rPr>
          <w:rFonts w:ascii="Verdana" w:hAnsi="Verdana" w:cs="Arial"/>
          <w:sz w:val="14"/>
          <w:szCs w:val="14"/>
        </w:rPr>
        <w:t xml:space="preserve"> Corte Constitucional, sentencia T-564 del 6 de septiembre de 2017, M.P: Cristina Pardo Schlesinger: “La Sala advierte, que ante las contradicciones respecto a los hechos en las cuales incurren las partes involucradas en el asunto de la referencia, en el presente caso no existen suficientes elementos de juicio para la demostración de la relación de trabajo afirmada por la accionante en el escrito de impugnación. La precariedad de las pruebas, los indicios sobre un contrato realidad encubierto y la validez de los documentos aportados al proceso, son asuntos que necesariamente deben ser estudiados por el juez ordinario</w:t>
      </w:r>
      <w:r w:rsidRPr="00E65094">
        <w:rPr>
          <w:rFonts w:ascii="Verdana" w:hAnsi="Verdana" w:cs="Arial"/>
          <w:spacing w:val="-6"/>
          <w:sz w:val="14"/>
          <w:szCs w:val="14"/>
        </w:rPr>
        <w:t xml:space="preserve"> </w:t>
      </w:r>
      <w:r w:rsidRPr="00E65094">
        <w:rPr>
          <w:rFonts w:ascii="Verdana" w:hAnsi="Verdana" w:cs="Arial"/>
          <w:sz w:val="14"/>
          <w:szCs w:val="14"/>
        </w:rPr>
        <w:t>laboral”.</w:t>
      </w:r>
    </w:p>
    <w:p w14:paraId="011FE71C" w14:textId="77777777" w:rsidR="001141A7" w:rsidRPr="00E65094" w:rsidRDefault="001141A7" w:rsidP="00E65094">
      <w:pPr>
        <w:spacing w:after="0" w:line="240" w:lineRule="auto"/>
        <w:ind w:left="300" w:right="306"/>
        <w:contextualSpacing/>
        <w:jc w:val="both"/>
        <w:rPr>
          <w:rFonts w:ascii="Verdana" w:hAnsi="Verdana" w:cs="Arial"/>
          <w:sz w:val="14"/>
          <w:szCs w:val="14"/>
        </w:rPr>
      </w:pPr>
    </w:p>
    <w:p w14:paraId="3FF1DE23" w14:textId="083D4B06" w:rsidR="001141A7" w:rsidRPr="00E65094" w:rsidRDefault="00F0404A" w:rsidP="00E65094">
      <w:pPr>
        <w:spacing w:after="0" w:line="240" w:lineRule="auto"/>
        <w:ind w:left="300" w:right="306"/>
        <w:contextualSpacing/>
        <w:jc w:val="both"/>
        <w:rPr>
          <w:rFonts w:ascii="Verdana" w:hAnsi="Verdana" w:cs="Arial"/>
          <w:sz w:val="14"/>
          <w:szCs w:val="14"/>
        </w:rPr>
      </w:pPr>
      <w:r>
        <w:rPr>
          <w:rFonts w:ascii="Verdana" w:hAnsi="Verdana" w:cs="Arial"/>
          <w:sz w:val="14"/>
          <w:szCs w:val="14"/>
        </w:rPr>
        <w:t>[</w:t>
      </w:r>
      <w:r w:rsidR="001141A7" w:rsidRPr="00E65094">
        <w:rPr>
          <w:rFonts w:ascii="Verdana" w:hAnsi="Verdana" w:cs="Arial"/>
          <w:sz w:val="14"/>
          <w:szCs w:val="14"/>
        </w:rPr>
        <w:t>…]</w:t>
      </w:r>
    </w:p>
    <w:p w14:paraId="3CE3AAB3" w14:textId="77777777" w:rsidR="001141A7" w:rsidRPr="00E65094" w:rsidRDefault="001141A7" w:rsidP="003046CD">
      <w:pPr>
        <w:pStyle w:val="Textoindependiente"/>
        <w:spacing w:after="0" w:line="240" w:lineRule="auto"/>
        <w:ind w:left="300" w:right="306"/>
        <w:contextualSpacing/>
        <w:jc w:val="both"/>
        <w:rPr>
          <w:rFonts w:ascii="Verdana" w:hAnsi="Verdana" w:cs="Arial"/>
          <w:sz w:val="14"/>
          <w:szCs w:val="14"/>
        </w:rPr>
      </w:pPr>
    </w:p>
    <w:p w14:paraId="05186CFF" w14:textId="77777777" w:rsidR="001141A7" w:rsidRPr="00E65094" w:rsidRDefault="001141A7" w:rsidP="00E65094">
      <w:pPr>
        <w:spacing w:after="0" w:line="240" w:lineRule="auto"/>
        <w:ind w:left="300" w:right="306" w:firstLine="408"/>
        <w:contextualSpacing/>
        <w:jc w:val="both"/>
        <w:rPr>
          <w:rFonts w:ascii="Verdana" w:hAnsi="Verdana" w:cs="Arial"/>
          <w:sz w:val="14"/>
          <w:szCs w:val="14"/>
        </w:rPr>
      </w:pPr>
      <w:r w:rsidRPr="00E65094">
        <w:rPr>
          <w:rFonts w:ascii="Verdana" w:hAnsi="Verdana" w:cs="Arial"/>
          <w:sz w:val="14"/>
          <w:szCs w:val="14"/>
        </w:rPr>
        <w:t>“Así las cosas, encuentra la Sala que se cumplen los criterios determinados por la Corporación para proceder al amparo de los derechos fundamentales de la contratista: (i) existió una relación de prestación de servicios entre las partes; (ii) la accionante se encontraba en estado de embarazo y dicha situación fue informada a la accionada en el mes de noviembre de 2016, y (iii) a pocos días de conocerse el estado de gestación de la peticionaria, la relación contractual que había sido continua durante ocho (8) meses aproximadamente, se terminó por decisión de la parte contratante y sin que mediara autorización del inspector del trabajo, requisito necesario  en el  presente  caso concreto,  aun cuando se trate de un contrato de prestación de servicios, pues el amparo constitucional de la estabilidad laboral reforzada de las mujeres embarazadas también es aplicable a este tipo de vinculación contractual, acudiendo a la asimilación de estas alternativas a una relación laboral sin condiciones específicas de</w:t>
      </w:r>
      <w:r w:rsidRPr="00E65094">
        <w:rPr>
          <w:rFonts w:ascii="Verdana" w:hAnsi="Verdana" w:cs="Arial"/>
          <w:spacing w:val="2"/>
          <w:sz w:val="14"/>
          <w:szCs w:val="14"/>
        </w:rPr>
        <w:t xml:space="preserve"> </w:t>
      </w:r>
      <w:r w:rsidRPr="00E65094">
        <w:rPr>
          <w:rFonts w:ascii="Verdana" w:hAnsi="Verdana" w:cs="Arial"/>
          <w:sz w:val="14"/>
          <w:szCs w:val="14"/>
        </w:rPr>
        <w:t>terminación”.</w:t>
      </w:r>
    </w:p>
    <w:p w14:paraId="151A2F8E" w14:textId="77777777" w:rsidR="001141A7" w:rsidRPr="00E65094" w:rsidRDefault="001141A7" w:rsidP="00E65094">
      <w:pPr>
        <w:spacing w:after="0" w:line="240" w:lineRule="auto"/>
        <w:ind w:left="300" w:right="306" w:firstLine="850"/>
        <w:contextualSpacing/>
        <w:jc w:val="both"/>
        <w:rPr>
          <w:rFonts w:ascii="Verdana" w:hAnsi="Verdana" w:cs="Arial"/>
          <w:sz w:val="14"/>
          <w:szCs w:val="14"/>
        </w:rPr>
      </w:pPr>
    </w:p>
    <w:p w14:paraId="289F27EA" w14:textId="77777777" w:rsidR="001141A7" w:rsidRPr="00E65094" w:rsidRDefault="001141A7" w:rsidP="003046CD">
      <w:pPr>
        <w:pStyle w:val="Textonotapie"/>
        <w:ind w:left="300" w:right="306"/>
        <w:contextualSpacing/>
        <w:jc w:val="both"/>
        <w:rPr>
          <w:rFonts w:ascii="Verdana" w:hAnsi="Verdana" w:cs="Arial"/>
          <w:sz w:val="14"/>
          <w:szCs w:val="14"/>
        </w:rPr>
      </w:pPr>
    </w:p>
  </w:footnote>
  <w:footnote w:id="5">
    <w:p w14:paraId="7CCB00DD" w14:textId="77777777" w:rsidR="001141A7" w:rsidRPr="00E65094" w:rsidRDefault="001141A7" w:rsidP="003046CD">
      <w:pPr>
        <w:pStyle w:val="Textonotapie"/>
        <w:ind w:firstLine="708"/>
        <w:contextualSpacing/>
        <w:jc w:val="both"/>
        <w:rPr>
          <w:rFonts w:ascii="Verdana" w:hAnsi="Verdana" w:cs="Arial"/>
          <w:sz w:val="14"/>
          <w:szCs w:val="14"/>
          <w:lang w:val="es-CO"/>
        </w:rPr>
      </w:pPr>
      <w:r w:rsidRPr="00E65094">
        <w:rPr>
          <w:rStyle w:val="Refdenotaalpie"/>
          <w:rFonts w:ascii="Verdana" w:hAnsi="Verdana" w:cs="Arial"/>
          <w:sz w:val="14"/>
          <w:szCs w:val="14"/>
        </w:rPr>
        <w:footnoteRef/>
      </w:r>
      <w:r w:rsidRPr="00E65094">
        <w:rPr>
          <w:rFonts w:ascii="Verdana" w:hAnsi="Verdana" w:cs="Arial"/>
          <w:sz w:val="14"/>
          <w:szCs w:val="14"/>
        </w:rPr>
        <w:t xml:space="preserve"> </w:t>
      </w:r>
      <w:r w:rsidRPr="00E65094">
        <w:rPr>
          <w:rFonts w:ascii="Verdana" w:hAnsi="Verdana" w:cs="Arial"/>
          <w:sz w:val="14"/>
          <w:szCs w:val="14"/>
          <w:lang w:val="es-ES"/>
        </w:rPr>
        <w:t>Corte Constitucional. Sentencia SU 075- de 2018. Magistrado Ponente: Gloria Stella Ortiz Delgado</w:t>
      </w:r>
    </w:p>
  </w:footnote>
  <w:footnote w:id="6">
    <w:p w14:paraId="12ED1BB8" w14:textId="77777777" w:rsidR="001141A7" w:rsidRPr="00E65094" w:rsidRDefault="001141A7" w:rsidP="003046CD">
      <w:pPr>
        <w:pStyle w:val="Sinespaciado"/>
        <w:ind w:left="26" w:right="0" w:firstLine="682"/>
        <w:contextualSpacing/>
        <w:rPr>
          <w:rFonts w:ascii="Verdana" w:hAnsi="Verdana" w:cs="Arial"/>
          <w:sz w:val="14"/>
          <w:szCs w:val="14"/>
        </w:rPr>
      </w:pPr>
      <w:r w:rsidRPr="00E65094">
        <w:rPr>
          <w:rStyle w:val="Refdenotaalpie"/>
          <w:rFonts w:ascii="Verdana" w:hAnsi="Verdana" w:cs="Arial"/>
          <w:sz w:val="14"/>
          <w:szCs w:val="14"/>
        </w:rPr>
        <w:footnoteRef/>
      </w:r>
      <w:r w:rsidRPr="00E65094">
        <w:rPr>
          <w:rFonts w:ascii="Verdana" w:hAnsi="Verdana" w:cs="Arial"/>
          <w:sz w:val="14"/>
          <w:szCs w:val="14"/>
        </w:rPr>
        <w:t xml:space="preserve"> Corte Constitucional. Sentencia T-329 del 19 de septiembre de 2022. Expediente </w:t>
      </w:r>
      <w:bookmarkStart w:id="1" w:name="_Hlk113364075"/>
      <w:r w:rsidRPr="00E65094">
        <w:rPr>
          <w:rFonts w:ascii="Verdana" w:hAnsi="Verdana" w:cs="Arial"/>
          <w:sz w:val="14"/>
          <w:szCs w:val="14"/>
        </w:rPr>
        <w:t>T-8.517.984</w:t>
      </w:r>
      <w:bookmarkEnd w:id="1"/>
      <w:r w:rsidRPr="00E65094">
        <w:rPr>
          <w:rFonts w:ascii="Verdana" w:hAnsi="Verdana" w:cs="Arial"/>
          <w:sz w:val="14"/>
          <w:szCs w:val="14"/>
        </w:rPr>
        <w:t>. Magistrada Ponente: Natalia Ángel Cabo</w:t>
      </w:r>
    </w:p>
    <w:p w14:paraId="2D4D1805" w14:textId="77777777" w:rsidR="001141A7" w:rsidRPr="00E65094" w:rsidRDefault="001141A7">
      <w:pPr>
        <w:pStyle w:val="Textonotapie"/>
        <w:contextualSpacing/>
        <w:rPr>
          <w:rFonts w:ascii="Verdana" w:hAnsi="Verdana" w:cs="Arial"/>
          <w:sz w:val="14"/>
          <w:szCs w:val="14"/>
        </w:rPr>
      </w:pPr>
    </w:p>
  </w:footnote>
  <w:footnote w:id="7">
    <w:p w14:paraId="019F37CF" w14:textId="77777777" w:rsidR="001141A7" w:rsidRPr="00E65094" w:rsidRDefault="001141A7">
      <w:pPr>
        <w:pStyle w:val="Textonotapie"/>
        <w:ind w:firstLine="708"/>
        <w:contextualSpacing/>
        <w:jc w:val="both"/>
        <w:rPr>
          <w:rFonts w:ascii="Verdana" w:hAnsi="Verdana" w:cs="Arial"/>
          <w:sz w:val="14"/>
          <w:szCs w:val="14"/>
        </w:rPr>
      </w:pPr>
      <w:r w:rsidRPr="00E65094">
        <w:rPr>
          <w:rStyle w:val="Refdenotaalpie"/>
          <w:rFonts w:ascii="Verdana" w:hAnsi="Verdana" w:cs="Arial"/>
          <w:sz w:val="14"/>
          <w:szCs w:val="14"/>
        </w:rPr>
        <w:footnoteRef/>
      </w:r>
      <w:r w:rsidRPr="00E65094">
        <w:rPr>
          <w:rFonts w:ascii="Verdana" w:hAnsi="Verdana" w:cs="Arial"/>
          <w:sz w:val="14"/>
          <w:szCs w:val="14"/>
        </w:rPr>
        <w:t xml:space="preserve"> Sentencia SU-070 de 2013. Fund. 6. Reiterado en las</w:t>
      </w:r>
      <w:r w:rsidRPr="00E65094">
        <w:rPr>
          <w:rFonts w:ascii="Verdana" w:hAnsi="Verdana" w:cs="Arial"/>
          <w:sz w:val="14"/>
          <w:szCs w:val="14"/>
          <w:lang w:val="es-ES_tradnl"/>
        </w:rPr>
        <w:t xml:space="preserve"> sentencias SU-040 de 2018 y SU-075 de 2018.</w:t>
      </w:r>
    </w:p>
  </w:footnote>
  <w:footnote w:id="8">
    <w:p w14:paraId="542CB852" w14:textId="77777777" w:rsidR="001141A7" w:rsidRPr="00E65094" w:rsidRDefault="001141A7">
      <w:pPr>
        <w:pStyle w:val="Textonotapie"/>
        <w:contextualSpacing/>
        <w:jc w:val="both"/>
        <w:rPr>
          <w:rFonts w:ascii="Verdana" w:hAnsi="Verdana" w:cs="Arial"/>
          <w:sz w:val="14"/>
          <w:szCs w:val="14"/>
        </w:rPr>
      </w:pPr>
    </w:p>
    <w:p w14:paraId="52A7FD80" w14:textId="77777777" w:rsidR="001141A7" w:rsidRPr="00E65094" w:rsidRDefault="001141A7">
      <w:pPr>
        <w:pStyle w:val="Textonotapie"/>
        <w:ind w:firstLine="708"/>
        <w:contextualSpacing/>
        <w:jc w:val="both"/>
        <w:rPr>
          <w:rFonts w:ascii="Verdana" w:hAnsi="Verdana" w:cs="Arial"/>
          <w:sz w:val="14"/>
          <w:szCs w:val="14"/>
        </w:rPr>
      </w:pPr>
      <w:r w:rsidRPr="00E65094">
        <w:rPr>
          <w:rStyle w:val="Refdenotaalpie"/>
          <w:rFonts w:ascii="Verdana" w:hAnsi="Verdana" w:cs="Arial"/>
          <w:sz w:val="14"/>
          <w:szCs w:val="14"/>
        </w:rPr>
        <w:footnoteRef/>
      </w:r>
      <w:r w:rsidRPr="00E65094">
        <w:rPr>
          <w:rFonts w:ascii="Verdana" w:hAnsi="Verdana" w:cs="Arial"/>
          <w:sz w:val="14"/>
          <w:szCs w:val="14"/>
        </w:rPr>
        <w:t xml:space="preserve"> Esta indemnización se ha reconocido en contratos de prestación de servicios, entre otras, en las sentencias T-564 de 2017, T-350 de 2016, 316 de 2016, T-102 de 2016 y T-346 de 2013.</w:t>
      </w:r>
    </w:p>
  </w:footnote>
  <w:footnote w:id="9">
    <w:p w14:paraId="11B50965" w14:textId="77777777" w:rsidR="001141A7" w:rsidRPr="00E65094" w:rsidRDefault="001141A7">
      <w:pPr>
        <w:pStyle w:val="Textonotapie"/>
        <w:contextualSpacing/>
        <w:jc w:val="both"/>
        <w:rPr>
          <w:rFonts w:ascii="Verdana" w:hAnsi="Verdana" w:cs="Arial"/>
          <w:sz w:val="14"/>
          <w:szCs w:val="14"/>
        </w:rPr>
      </w:pPr>
    </w:p>
    <w:p w14:paraId="69361EC3" w14:textId="77777777" w:rsidR="001141A7" w:rsidRPr="00E65094" w:rsidRDefault="001141A7">
      <w:pPr>
        <w:pStyle w:val="Textonotapie"/>
        <w:ind w:firstLine="708"/>
        <w:contextualSpacing/>
        <w:jc w:val="both"/>
        <w:rPr>
          <w:rFonts w:ascii="Verdana" w:hAnsi="Verdana" w:cs="Arial"/>
          <w:sz w:val="14"/>
          <w:szCs w:val="14"/>
        </w:rPr>
      </w:pPr>
      <w:r w:rsidRPr="00E65094">
        <w:rPr>
          <w:rStyle w:val="Refdenotaalpie"/>
          <w:rFonts w:ascii="Verdana" w:hAnsi="Verdana" w:cs="Arial"/>
          <w:sz w:val="14"/>
          <w:szCs w:val="14"/>
        </w:rPr>
        <w:footnoteRef/>
      </w:r>
      <w:r w:rsidRPr="00E65094">
        <w:rPr>
          <w:rFonts w:ascii="Verdana" w:hAnsi="Verdana" w:cs="Arial"/>
          <w:sz w:val="14"/>
          <w:szCs w:val="14"/>
        </w:rPr>
        <w:t xml:space="preserve"> En las sentencias T-238 de 2015 y T-350 de 2016 la Corte determinó que no procede el pago de la licencia de maternidad cuando en el caso se observe que la licencia de maternidad ya fue disfrutada. </w:t>
      </w:r>
    </w:p>
  </w:footnote>
  <w:footnote w:id="10">
    <w:p w14:paraId="5C470C15" w14:textId="77777777" w:rsidR="001141A7" w:rsidRPr="00E65094" w:rsidRDefault="001141A7">
      <w:pPr>
        <w:pStyle w:val="Textonotapie"/>
        <w:ind w:firstLine="708"/>
        <w:contextualSpacing/>
        <w:jc w:val="both"/>
        <w:rPr>
          <w:rFonts w:ascii="Verdana" w:hAnsi="Verdana" w:cs="Arial"/>
          <w:sz w:val="14"/>
          <w:szCs w:val="14"/>
        </w:rPr>
      </w:pPr>
    </w:p>
    <w:p w14:paraId="2CA77B64" w14:textId="77777777" w:rsidR="001141A7" w:rsidRPr="00E65094" w:rsidRDefault="001141A7">
      <w:pPr>
        <w:pStyle w:val="Textonotapie"/>
        <w:ind w:firstLine="708"/>
        <w:contextualSpacing/>
        <w:jc w:val="both"/>
        <w:rPr>
          <w:rFonts w:ascii="Verdana" w:hAnsi="Verdana" w:cs="Arial"/>
          <w:sz w:val="14"/>
          <w:szCs w:val="14"/>
        </w:rPr>
      </w:pPr>
      <w:r w:rsidRPr="00E65094">
        <w:rPr>
          <w:rStyle w:val="Refdenotaalpie"/>
          <w:rFonts w:ascii="Verdana" w:hAnsi="Verdana" w:cs="Arial"/>
          <w:sz w:val="14"/>
          <w:szCs w:val="14"/>
        </w:rPr>
        <w:footnoteRef/>
      </w:r>
      <w:r w:rsidRPr="00E65094">
        <w:rPr>
          <w:rFonts w:ascii="Verdana" w:hAnsi="Verdana" w:cs="Arial"/>
          <w:sz w:val="14"/>
          <w:szCs w:val="14"/>
        </w:rPr>
        <w:t xml:space="preserve"> Esta media fue aplicada en la Sentencia T-030 de 2018 respecto del caso estudiado bajo el expediente T-6.425.691.</w:t>
      </w:r>
    </w:p>
  </w:footnote>
  <w:footnote w:id="11">
    <w:p w14:paraId="3035652D" w14:textId="77777777" w:rsidR="001141A7" w:rsidRPr="00E65094" w:rsidRDefault="001141A7">
      <w:pPr>
        <w:pStyle w:val="Textonotapie"/>
        <w:ind w:firstLine="708"/>
        <w:contextualSpacing/>
        <w:jc w:val="both"/>
        <w:rPr>
          <w:rFonts w:ascii="Verdana" w:hAnsi="Verdana" w:cs="Arial"/>
          <w:sz w:val="14"/>
          <w:szCs w:val="14"/>
        </w:rPr>
      </w:pPr>
    </w:p>
    <w:p w14:paraId="0B772B85" w14:textId="77777777" w:rsidR="001141A7" w:rsidRPr="00E65094" w:rsidRDefault="001141A7">
      <w:pPr>
        <w:pStyle w:val="Textonotapie"/>
        <w:ind w:firstLine="708"/>
        <w:contextualSpacing/>
        <w:jc w:val="both"/>
        <w:rPr>
          <w:rFonts w:ascii="Verdana" w:hAnsi="Verdana" w:cs="Arial"/>
          <w:sz w:val="14"/>
          <w:szCs w:val="14"/>
        </w:rPr>
      </w:pPr>
      <w:r w:rsidRPr="00E65094">
        <w:rPr>
          <w:rStyle w:val="Refdenotaalpie"/>
          <w:rFonts w:ascii="Verdana" w:hAnsi="Verdana" w:cs="Arial"/>
          <w:sz w:val="14"/>
          <w:szCs w:val="14"/>
        </w:rPr>
        <w:footnoteRef/>
      </w:r>
      <w:r w:rsidRPr="00E65094">
        <w:rPr>
          <w:rFonts w:ascii="Verdana" w:hAnsi="Verdana" w:cs="Arial"/>
          <w:sz w:val="14"/>
          <w:szCs w:val="14"/>
        </w:rPr>
        <w:t xml:space="preserve"> En algunas oportunidades las salas de revisión han reconocido el pago de las prestaciones en materia de seguridad social en salud. Sentencia T-102 de 2016.</w:t>
      </w:r>
    </w:p>
  </w:footnote>
  <w:footnote w:id="12">
    <w:p w14:paraId="75CD3B52" w14:textId="77777777" w:rsidR="001141A7" w:rsidRPr="00E65094" w:rsidRDefault="001141A7" w:rsidP="00E65094">
      <w:pPr>
        <w:spacing w:after="0" w:line="240" w:lineRule="auto"/>
        <w:ind w:firstLine="708"/>
        <w:contextualSpacing/>
        <w:jc w:val="both"/>
        <w:rPr>
          <w:rFonts w:ascii="Verdana" w:hAnsi="Verdana" w:cs="Arial"/>
          <w:sz w:val="14"/>
          <w:szCs w:val="14"/>
        </w:rPr>
      </w:pPr>
    </w:p>
    <w:p w14:paraId="5D69A6DB" w14:textId="77777777" w:rsidR="001141A7" w:rsidRPr="00E65094" w:rsidRDefault="001141A7" w:rsidP="00E65094">
      <w:pPr>
        <w:spacing w:after="0" w:line="240" w:lineRule="auto"/>
        <w:ind w:firstLine="708"/>
        <w:contextualSpacing/>
        <w:jc w:val="both"/>
        <w:rPr>
          <w:rFonts w:ascii="Verdana" w:hAnsi="Verdana" w:cs="Arial"/>
          <w:sz w:val="14"/>
          <w:szCs w:val="14"/>
        </w:rPr>
      </w:pPr>
      <w:r w:rsidRPr="00E65094">
        <w:rPr>
          <w:rStyle w:val="Refdenotaalpie"/>
          <w:rFonts w:ascii="Verdana" w:hAnsi="Verdana" w:cs="Arial"/>
          <w:sz w:val="14"/>
          <w:szCs w:val="14"/>
        </w:rPr>
        <w:footnoteRef/>
      </w:r>
      <w:r w:rsidRPr="00E65094">
        <w:rPr>
          <w:rFonts w:ascii="Verdana" w:hAnsi="Verdana" w:cs="Arial"/>
          <w:sz w:val="14"/>
          <w:szCs w:val="14"/>
        </w:rPr>
        <w:t xml:space="preserve"> La licencia de maternidad es un descanso remunerado que la ley confiere a la mujer que tiene un hijo, el cual aplica tanto para mujeres vinculadas por contrato de trabajo, como a las que están vinculadas por un contrato de prestación de servicios.</w:t>
      </w:r>
    </w:p>
    <w:p w14:paraId="39331951" w14:textId="77777777" w:rsidR="001141A7" w:rsidRPr="00E65094" w:rsidRDefault="001141A7" w:rsidP="00E65094">
      <w:pPr>
        <w:spacing w:after="0" w:line="240" w:lineRule="auto"/>
        <w:ind w:firstLine="708"/>
        <w:contextualSpacing/>
        <w:jc w:val="both"/>
        <w:rPr>
          <w:rFonts w:ascii="Verdana" w:eastAsia="Calibri" w:hAnsi="Verdana" w:cs="Arial"/>
          <w:bCs/>
          <w:sz w:val="14"/>
          <w:szCs w:val="14"/>
          <w:lang w:val="es-MX"/>
        </w:rPr>
      </w:pPr>
    </w:p>
  </w:footnote>
  <w:footnote w:id="13">
    <w:p w14:paraId="785F18A1" w14:textId="77777777" w:rsidR="001141A7" w:rsidRPr="00E65094" w:rsidRDefault="001141A7" w:rsidP="00E65094">
      <w:pPr>
        <w:shd w:val="clear" w:color="auto" w:fill="FFFFFF"/>
        <w:spacing w:after="0" w:line="240" w:lineRule="auto"/>
        <w:ind w:right="49" w:firstLine="708"/>
        <w:contextualSpacing/>
        <w:jc w:val="both"/>
        <w:rPr>
          <w:rFonts w:ascii="Verdana" w:hAnsi="Verdana" w:cs="Arial"/>
          <w:sz w:val="14"/>
          <w:szCs w:val="14"/>
        </w:rPr>
      </w:pPr>
      <w:r w:rsidRPr="00E65094">
        <w:rPr>
          <w:rStyle w:val="Refdenotaalpie"/>
          <w:rFonts w:ascii="Verdana" w:hAnsi="Verdana" w:cs="Arial"/>
          <w:sz w:val="14"/>
          <w:szCs w:val="14"/>
        </w:rPr>
        <w:footnoteRef/>
      </w:r>
      <w:r w:rsidRPr="00E65094">
        <w:rPr>
          <w:rFonts w:ascii="Verdana" w:hAnsi="Verdana" w:cs="Arial"/>
          <w:sz w:val="14"/>
          <w:szCs w:val="14"/>
        </w:rPr>
        <w:t xml:space="preserve"> Ministerio del Trabajo. Concepto 9972 de 5 de marzo de 2014. </w:t>
      </w:r>
    </w:p>
    <w:p w14:paraId="7340E161" w14:textId="77777777" w:rsidR="001141A7" w:rsidRPr="00E65094" w:rsidRDefault="001141A7" w:rsidP="003046CD">
      <w:pPr>
        <w:pStyle w:val="Textonotapie"/>
        <w:contextualSpacing/>
        <w:jc w:val="both"/>
        <w:rPr>
          <w:rFonts w:ascii="Verdana" w:hAnsi="Verdana" w:cs="Arial"/>
          <w:sz w:val="14"/>
          <w:szCs w:val="14"/>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08B9449D"/>
    <w:multiLevelType w:val="hybridMultilevel"/>
    <w:tmpl w:val="F5EE4B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965121"/>
    <w:multiLevelType w:val="hybridMultilevel"/>
    <w:tmpl w:val="792AC09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1" w15:restartNumberingAfterBreak="0">
    <w:nsid w:val="4BED0255"/>
    <w:multiLevelType w:val="hybridMultilevel"/>
    <w:tmpl w:val="5DC279F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595F64C4"/>
    <w:multiLevelType w:val="hybridMultilevel"/>
    <w:tmpl w:val="04C080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5E7D25FD"/>
    <w:multiLevelType w:val="hybridMultilevel"/>
    <w:tmpl w:val="3346809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DB6C13"/>
    <w:multiLevelType w:val="hybridMultilevel"/>
    <w:tmpl w:val="C2A0021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41960443">
    <w:abstractNumId w:val="7"/>
  </w:num>
  <w:num w:numId="2" w16cid:durableId="1223712802">
    <w:abstractNumId w:val="1"/>
  </w:num>
  <w:num w:numId="3" w16cid:durableId="607585384">
    <w:abstractNumId w:val="5"/>
  </w:num>
  <w:num w:numId="4" w16cid:durableId="129028112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752237741">
    <w:abstractNumId w:val="1"/>
  </w:num>
  <w:num w:numId="6" w16cid:durableId="1837111387">
    <w:abstractNumId w:val="18"/>
  </w:num>
  <w:num w:numId="7" w16cid:durableId="284045773">
    <w:abstractNumId w:val="6"/>
  </w:num>
  <w:num w:numId="8" w16cid:durableId="570699495">
    <w:abstractNumId w:val="17"/>
  </w:num>
  <w:num w:numId="9" w16cid:durableId="1159424499">
    <w:abstractNumId w:val="8"/>
  </w:num>
  <w:num w:numId="10" w16cid:durableId="5912197">
    <w:abstractNumId w:val="16"/>
  </w:num>
  <w:num w:numId="11" w16cid:durableId="1699044455">
    <w:abstractNumId w:val="9"/>
  </w:num>
  <w:num w:numId="12" w16cid:durableId="65803253">
    <w:abstractNumId w:val="0"/>
  </w:num>
  <w:num w:numId="13" w16cid:durableId="1260336897">
    <w:abstractNumId w:val="4"/>
  </w:num>
  <w:num w:numId="14" w16cid:durableId="643702624">
    <w:abstractNumId w:val="19"/>
  </w:num>
  <w:num w:numId="15" w16cid:durableId="18971929">
    <w:abstractNumId w:val="14"/>
  </w:num>
  <w:num w:numId="16" w16cid:durableId="1149858707">
    <w:abstractNumId w:val="10"/>
  </w:num>
  <w:num w:numId="17" w16cid:durableId="380591179">
    <w:abstractNumId w:val="2"/>
  </w:num>
  <w:num w:numId="18" w16cid:durableId="1499229176">
    <w:abstractNumId w:val="13"/>
  </w:num>
  <w:num w:numId="19" w16cid:durableId="1962374598">
    <w:abstractNumId w:val="3"/>
  </w:num>
  <w:num w:numId="20" w16cid:durableId="1278414114">
    <w:abstractNumId w:val="11"/>
  </w:num>
  <w:num w:numId="21" w16cid:durableId="291139124">
    <w:abstractNumId w:val="12"/>
  </w:num>
  <w:num w:numId="22" w16cid:durableId="157885618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41A7"/>
    <w:rsid w:val="00116940"/>
    <w:rsid w:val="00125105"/>
    <w:rsid w:val="00127233"/>
    <w:rsid w:val="0015699B"/>
    <w:rsid w:val="0018366C"/>
    <w:rsid w:val="001A33BF"/>
    <w:rsid w:val="001D4BB2"/>
    <w:rsid w:val="001E4177"/>
    <w:rsid w:val="001F0B24"/>
    <w:rsid w:val="001F7DC6"/>
    <w:rsid w:val="0022400B"/>
    <w:rsid w:val="002421BB"/>
    <w:rsid w:val="0025796E"/>
    <w:rsid w:val="002707A2"/>
    <w:rsid w:val="00274E54"/>
    <w:rsid w:val="002951A0"/>
    <w:rsid w:val="002962BC"/>
    <w:rsid w:val="002A093D"/>
    <w:rsid w:val="002A0DD0"/>
    <w:rsid w:val="002A49AC"/>
    <w:rsid w:val="002A64FD"/>
    <w:rsid w:val="002C7A84"/>
    <w:rsid w:val="002E2BF8"/>
    <w:rsid w:val="002E4FD9"/>
    <w:rsid w:val="003046CD"/>
    <w:rsid w:val="0030657A"/>
    <w:rsid w:val="00322A85"/>
    <w:rsid w:val="00324168"/>
    <w:rsid w:val="00330834"/>
    <w:rsid w:val="003448F4"/>
    <w:rsid w:val="00362165"/>
    <w:rsid w:val="003700B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D7B50"/>
    <w:rsid w:val="004F21C4"/>
    <w:rsid w:val="004F685F"/>
    <w:rsid w:val="005566E8"/>
    <w:rsid w:val="00574867"/>
    <w:rsid w:val="00577FA9"/>
    <w:rsid w:val="00591460"/>
    <w:rsid w:val="005A65E0"/>
    <w:rsid w:val="005C3777"/>
    <w:rsid w:val="005C5CDC"/>
    <w:rsid w:val="005D476C"/>
    <w:rsid w:val="0060118E"/>
    <w:rsid w:val="006200BF"/>
    <w:rsid w:val="006219F8"/>
    <w:rsid w:val="006302F7"/>
    <w:rsid w:val="00646B9F"/>
    <w:rsid w:val="00665D70"/>
    <w:rsid w:val="006900D9"/>
    <w:rsid w:val="00706C16"/>
    <w:rsid w:val="007340C3"/>
    <w:rsid w:val="0075235A"/>
    <w:rsid w:val="00756841"/>
    <w:rsid w:val="007649AB"/>
    <w:rsid w:val="00771D0C"/>
    <w:rsid w:val="007833AC"/>
    <w:rsid w:val="00793CDF"/>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27896"/>
    <w:rsid w:val="00A33C78"/>
    <w:rsid w:val="00A5689A"/>
    <w:rsid w:val="00AA6E6E"/>
    <w:rsid w:val="00AB0ADB"/>
    <w:rsid w:val="00AF7CDB"/>
    <w:rsid w:val="00B00C0E"/>
    <w:rsid w:val="00B01B1A"/>
    <w:rsid w:val="00B0381D"/>
    <w:rsid w:val="00B44A47"/>
    <w:rsid w:val="00B72CD3"/>
    <w:rsid w:val="00B72FFF"/>
    <w:rsid w:val="00BC3D36"/>
    <w:rsid w:val="00BD54A6"/>
    <w:rsid w:val="00BD7351"/>
    <w:rsid w:val="00BD7F72"/>
    <w:rsid w:val="00BF7425"/>
    <w:rsid w:val="00C04FB3"/>
    <w:rsid w:val="00C11D8B"/>
    <w:rsid w:val="00C15139"/>
    <w:rsid w:val="00C330EB"/>
    <w:rsid w:val="00C50D69"/>
    <w:rsid w:val="00C5365C"/>
    <w:rsid w:val="00C754BE"/>
    <w:rsid w:val="00C76B1C"/>
    <w:rsid w:val="00C925AC"/>
    <w:rsid w:val="00CB6357"/>
    <w:rsid w:val="00CC1B26"/>
    <w:rsid w:val="00CE3870"/>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31A05"/>
    <w:rsid w:val="00E50AFE"/>
    <w:rsid w:val="00E65094"/>
    <w:rsid w:val="00E75C92"/>
    <w:rsid w:val="00E771DC"/>
    <w:rsid w:val="00E8772A"/>
    <w:rsid w:val="00E90F6B"/>
    <w:rsid w:val="00E92C27"/>
    <w:rsid w:val="00EA0E3D"/>
    <w:rsid w:val="00EC38A7"/>
    <w:rsid w:val="00EE1AA8"/>
    <w:rsid w:val="00F0404A"/>
    <w:rsid w:val="00F23FEA"/>
    <w:rsid w:val="00F31EDC"/>
    <w:rsid w:val="00F33216"/>
    <w:rsid w:val="00F462B3"/>
    <w:rsid w:val="00F5664F"/>
    <w:rsid w:val="00F666C4"/>
    <w:rsid w:val="00F76AFC"/>
    <w:rsid w:val="00FA47C0"/>
    <w:rsid w:val="00FB5DD1"/>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Textoindependiente">
    <w:name w:val="Body Text"/>
    <w:basedOn w:val="Normal"/>
    <w:link w:val="TextoindependienteCar"/>
    <w:uiPriority w:val="99"/>
    <w:unhideWhenUsed/>
    <w:rsid w:val="001141A7"/>
    <w:pPr>
      <w:spacing w:after="120"/>
    </w:pPr>
  </w:style>
  <w:style w:type="character" w:customStyle="1" w:styleId="TextoindependienteCar">
    <w:name w:val="Texto independiente Car"/>
    <w:basedOn w:val="Fuentedeprrafopredeter"/>
    <w:link w:val="Textoindependiente"/>
    <w:uiPriority w:val="99"/>
    <w:rsid w:val="001141A7"/>
  </w:style>
  <w:style w:type="table" w:customStyle="1" w:styleId="Tablaconcuadrcula1">
    <w:name w:val="Tabla con cuadrícula1"/>
    <w:basedOn w:val="Tablanormal"/>
    <w:next w:val="Tablaconcuadrcula"/>
    <w:uiPriority w:val="59"/>
    <w:rsid w:val="001141A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1141A7"/>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1141A7"/>
    <w:rPr>
      <w:rFonts w:ascii="Geomanist Light" w:hAnsi="Geomanist Light"/>
      <w:lang w:val="es-ES"/>
    </w:rPr>
  </w:style>
  <w:style w:type="character" w:styleId="Textoennegrita">
    <w:name w:val="Strong"/>
    <w:basedOn w:val="Fuentedeprrafopredeter"/>
    <w:uiPriority w:val="22"/>
    <w:qFormat/>
    <w:rsid w:val="001141A7"/>
    <w:rPr>
      <w:b/>
      <w:bCs/>
    </w:rPr>
  </w:style>
  <w:style w:type="character" w:customStyle="1" w:styleId="NormalWebCar">
    <w:name w:val="Normal (Web) Car"/>
    <w:link w:val="NormalWeb"/>
    <w:uiPriority w:val="99"/>
    <w:rsid w:val="001141A7"/>
    <w:rPr>
      <w:rFonts w:ascii="Times New Roman" w:eastAsia="Times New Roman" w:hAnsi="Times New Roman" w:cs="Times New Roman"/>
      <w:sz w:val="24"/>
      <w:szCs w:val="24"/>
      <w:lang w:eastAsia="es-CO"/>
    </w:rPr>
  </w:style>
  <w:style w:type="paragraph" w:styleId="Sinespaciado">
    <w:name w:val="No Spacing"/>
    <w:uiPriority w:val="1"/>
    <w:qFormat/>
    <w:rsid w:val="001141A7"/>
    <w:pPr>
      <w:spacing w:after="0" w:line="240" w:lineRule="auto"/>
      <w:ind w:right="-68"/>
      <w:jc w:val="both"/>
    </w:pPr>
    <w:rPr>
      <w:rFonts w:ascii="Times New Roman" w:eastAsia="Times New Roman" w:hAnsi="Times New Roman" w:cs="Times New Roman"/>
      <w:sz w:val="28"/>
      <w:szCs w:val="28"/>
      <w:lang w:eastAsia="es-ES"/>
    </w:rPr>
  </w:style>
  <w:style w:type="paragraph" w:styleId="Descripcin">
    <w:name w:val="caption"/>
    <w:basedOn w:val="Normal"/>
    <w:next w:val="Normal"/>
    <w:uiPriority w:val="35"/>
    <w:unhideWhenUsed/>
    <w:qFormat/>
    <w:rsid w:val="001141A7"/>
    <w:pPr>
      <w:spacing w:after="200" w:line="240" w:lineRule="auto"/>
    </w:pPr>
    <w:rPr>
      <w:rFonts w:ascii="Times New Roman" w:eastAsia="Times New Roman" w:hAnsi="Times New Roman" w:cs="Times New Roman"/>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funcionpublica.gov.co/eva/gestornormativo/norma.php?i=25678"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funcionpublica.gov.co/eva/gestornormativo/norma.php?i=304"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E6398D48-B629-46E5-BF23-5E5D0ECD9A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4</TotalTime>
  <Pages>17</Pages>
  <Words>5200</Words>
  <Characters>27357</Characters>
  <Application>Microsoft Office Word</Application>
  <DocSecurity>0</DocSecurity>
  <Lines>607</Lines>
  <Paragraphs>129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32428</CharactersWithSpaces>
  <SharedDoc>false</SharedDoc>
  <HLinks>
    <vt:vector size="24" baseType="variant">
      <vt:variant>
        <vt:i4>3276900</vt:i4>
      </vt:variant>
      <vt:variant>
        <vt:i4>9</vt:i4>
      </vt:variant>
      <vt:variant>
        <vt:i4>0</vt:i4>
      </vt:variant>
      <vt:variant>
        <vt:i4>5</vt:i4>
      </vt:variant>
      <vt:variant>
        <vt:lpwstr>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2490405</vt:i4>
      </vt:variant>
      <vt:variant>
        <vt:i4>3</vt:i4>
      </vt:variant>
      <vt:variant>
        <vt:i4>0</vt:i4>
      </vt:variant>
      <vt:variant>
        <vt:i4>5</vt:i4>
      </vt:variant>
      <vt:variant>
        <vt:lpwstr>https://www.funcionpublica.gov.co/eva/gestornormativo/norma.php?i=25678</vt:lpwstr>
      </vt:variant>
      <vt:variant>
        <vt:lpwstr>1150</vt:lpwstr>
      </vt:variant>
      <vt:variant>
        <vt:i4>2424878</vt:i4>
      </vt:variant>
      <vt:variant>
        <vt:i4>0</vt:i4>
      </vt:variant>
      <vt:variant>
        <vt:i4>0</vt:i4>
      </vt:variant>
      <vt:variant>
        <vt:i4>5</vt:i4>
      </vt:variant>
      <vt:variant>
        <vt:lpwstr>https://www.funcionpublica.gov.co/eva/gestornormativo/norma.php?i=304</vt:lpwstr>
      </vt:variant>
      <vt:variant>
        <vt:lpwstr>80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2023-01-10T21:18:00Z</cp:lastPrinted>
  <dcterms:created xsi:type="dcterms:W3CDTF">2025-12-18T20:39:00Z</dcterms:created>
  <dcterms:modified xsi:type="dcterms:W3CDTF">2025-12-19T20:57:00Z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