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53EB2C" w14:textId="77777777" w:rsidR="00FA5316" w:rsidRDefault="00FA5316" w:rsidP="00C15139">
      <w:pPr>
        <w:rPr>
          <w:rFonts w:ascii="Verdana" w:hAnsi="Verdana"/>
          <w:sz w:val="22"/>
          <w:szCs w:val="22"/>
        </w:rPr>
      </w:pPr>
      <w:bookmarkStart w:id="0" w:name="_Hlk143780582"/>
    </w:p>
    <w:p w14:paraId="6EEEFF6E" w14:textId="77777777" w:rsidR="00FA5316" w:rsidRPr="00FA5316" w:rsidRDefault="00FA5316" w:rsidP="00FA5316">
      <w:pPr>
        <w:spacing w:before="100" w:beforeAutospacing="1" w:after="100" w:afterAutospacing="1"/>
        <w:jc w:val="both"/>
        <w:outlineLvl w:val="2"/>
        <w:rPr>
          <w:rFonts w:ascii="Verdana" w:hAnsi="Verdana"/>
          <w:b/>
          <w:bCs/>
          <w:sz w:val="22"/>
          <w:szCs w:val="22"/>
          <w:lang w:eastAsia="es-MX"/>
        </w:rPr>
      </w:pPr>
      <w:r w:rsidRPr="00FA5316">
        <w:rPr>
          <w:rFonts w:ascii="Verdana" w:hAnsi="Verdana"/>
          <w:b/>
          <w:bCs/>
          <w:sz w:val="22"/>
          <w:szCs w:val="22"/>
          <w:lang w:eastAsia="es-MX"/>
        </w:rPr>
        <w:t>CONTRATO DE PRESTACIÓN DE SERVICIOS – Concepto – Características – Modalidad de selección</w:t>
      </w:r>
    </w:p>
    <w:p w14:paraId="61CA1665" w14:textId="77777777" w:rsidR="00FA5316" w:rsidRPr="00FA5316" w:rsidRDefault="00FA5316" w:rsidP="00FA5316">
      <w:pPr>
        <w:spacing w:before="100" w:beforeAutospacing="1" w:after="100" w:afterAutospacing="1"/>
        <w:jc w:val="both"/>
        <w:rPr>
          <w:rFonts w:ascii="Verdana" w:hAnsi="Verdana"/>
          <w:sz w:val="22"/>
          <w:szCs w:val="22"/>
          <w:lang w:eastAsia="es-MX"/>
        </w:rPr>
      </w:pPr>
      <w:r w:rsidRPr="00FA5316">
        <w:rPr>
          <w:rFonts w:ascii="Verdana" w:hAnsi="Verdana"/>
          <w:sz w:val="22"/>
          <w:szCs w:val="22"/>
          <w:lang w:eastAsia="es-MX"/>
        </w:rPr>
        <w:t>El contrato de prestación de servicios es un contrato estatal típico celebrado para desarrollar actividades relacionadas con la administración o funcionamiento de la entidad. Se caracteriza por su temporalidad y por no generar relación laboral ni prestaciones sociales. Su celebración debe realizarse a través de la modalidad de contratación directa, conforme al literal h) del numeral 4 del artículo 2 de la Ley 1150 de 2007. Entre sus notas distintivas se encuentran la autonomía e independencia del contratista en la ejecución de la labor, la no obligatoriedad de inscripción en el Registro Único de Proponentes (RUP), y el hecho de que no requiere obligatoriamente garantías ni liquidación.</w:t>
      </w:r>
    </w:p>
    <w:p w14:paraId="4D35FFB2" w14:textId="77777777" w:rsidR="00FA5316" w:rsidRPr="00FA5316" w:rsidRDefault="00FA5316" w:rsidP="00FA5316">
      <w:pPr>
        <w:spacing w:before="100" w:beforeAutospacing="1" w:after="100" w:afterAutospacing="1"/>
        <w:jc w:val="both"/>
        <w:rPr>
          <w:rFonts w:ascii="Verdana" w:hAnsi="Verdana"/>
          <w:sz w:val="22"/>
          <w:szCs w:val="22"/>
          <w:lang w:eastAsia="es-MX"/>
        </w:rPr>
      </w:pPr>
      <w:r w:rsidRPr="00FA5316">
        <w:rPr>
          <w:rFonts w:ascii="Verdana" w:hAnsi="Verdana"/>
          <w:sz w:val="22"/>
          <w:szCs w:val="22"/>
          <w:lang w:eastAsia="es-MX"/>
        </w:rPr>
        <w:t>Las Entidades Estatales pueden contratar directamente con la persona natural o jurídica que esté en capacidad de ejecutar el objeto del contrato, previa verificación de la idoneidad o experiencia requerida y relacionada con el área de que se trate. Tratándose de personas jurídicas, la capacidad jurídica se verifica mediante el Certificado de Existencia y Representación Legal, constatando la vigencia de la sociedad y que su objeto social contemple las actividades a contratar. La idoneidad se acredita con certificaciones de contratos anteriores, copias de contratos ejecutados o actas de recibo a satisfacción.</w:t>
      </w:r>
    </w:p>
    <w:p w14:paraId="162D29D7" w14:textId="77777777" w:rsidR="00FA5316" w:rsidRPr="00FA5316" w:rsidRDefault="00FA5316" w:rsidP="00FA5316">
      <w:pPr>
        <w:spacing w:before="100" w:beforeAutospacing="1" w:after="100" w:afterAutospacing="1"/>
        <w:jc w:val="both"/>
        <w:outlineLvl w:val="2"/>
        <w:rPr>
          <w:rFonts w:ascii="Verdana" w:hAnsi="Verdana"/>
          <w:b/>
          <w:bCs/>
          <w:sz w:val="22"/>
          <w:szCs w:val="22"/>
          <w:lang w:eastAsia="es-MX"/>
        </w:rPr>
      </w:pPr>
      <w:r w:rsidRPr="00FA5316">
        <w:rPr>
          <w:rFonts w:ascii="Verdana" w:hAnsi="Verdana"/>
          <w:b/>
          <w:bCs/>
          <w:sz w:val="22"/>
          <w:szCs w:val="22"/>
          <w:lang w:eastAsia="es-MX"/>
        </w:rPr>
        <w:t>PRESTACIÓN DE SERVICIOS – Formato Único de Hoja de Vida – Persona Jurídica – Requisito Obligatorio</w:t>
      </w:r>
    </w:p>
    <w:p w14:paraId="5DAAD992" w14:textId="77777777" w:rsidR="00FA5316" w:rsidRPr="00FA5316" w:rsidRDefault="00FA5316" w:rsidP="00FA5316">
      <w:pPr>
        <w:spacing w:before="100" w:beforeAutospacing="1" w:after="100" w:afterAutospacing="1"/>
        <w:jc w:val="both"/>
        <w:rPr>
          <w:rFonts w:ascii="Verdana" w:hAnsi="Verdana"/>
          <w:sz w:val="22"/>
          <w:szCs w:val="22"/>
          <w:lang w:eastAsia="es-MX"/>
        </w:rPr>
      </w:pPr>
      <w:r w:rsidRPr="00FA5316">
        <w:rPr>
          <w:rFonts w:ascii="Verdana" w:hAnsi="Verdana"/>
          <w:sz w:val="22"/>
          <w:szCs w:val="22"/>
          <w:lang w:eastAsia="es-MX"/>
        </w:rPr>
        <w:t>De conformidad con el artículo 1 de la Ley 190 de 1995, todo aspirante a celebrar un contrato de prestación de servicios con la administración debe presentar el Formato Único de Hoja de Vida. Esta obligación se mantiene vigente aunque el contrato se celebre con una persona jurídica, materializándose a través del formato específico reglamentado por el Departamento Administrativo de la Función Pública (DAFP) en la Resolución 580 de 1999. El diligenciamiento de este documento al momento de la celebración del contrato constituye un requisito de ley obligatorio para el perfeccionamiento de esta tipología contractual.</w:t>
      </w:r>
    </w:p>
    <w:p w14:paraId="100C4EEC" w14:textId="77777777" w:rsidR="00FA5316" w:rsidRPr="00FA5316" w:rsidRDefault="00FA5316" w:rsidP="00FA5316">
      <w:pPr>
        <w:spacing w:before="100" w:beforeAutospacing="1" w:after="100" w:afterAutospacing="1"/>
        <w:jc w:val="both"/>
        <w:rPr>
          <w:rFonts w:ascii="Verdana" w:hAnsi="Verdana"/>
          <w:sz w:val="22"/>
          <w:szCs w:val="22"/>
          <w:lang w:eastAsia="es-MX"/>
        </w:rPr>
      </w:pPr>
      <w:r w:rsidRPr="00FA5316">
        <w:rPr>
          <w:rFonts w:ascii="Verdana" w:hAnsi="Verdana"/>
          <w:sz w:val="22"/>
          <w:szCs w:val="22"/>
          <w:lang w:eastAsia="es-MX"/>
        </w:rPr>
        <w:t xml:space="preserve">Para la celebración y ejecución del contrato, la Entidad Estatal tiene el deber de verificar que el contratista no se encuentre incurso en causales de inhabilidad o incompatibilidad, consultando antecedentes fiscales (Contraloría), disciplinarios (Procuraduría) y judiciales (Policía Nacional). Asimismo, es indispensable verificar la afiliación y pago de aportes al Sistema de Seguridad Social Integral </w:t>
      </w:r>
      <w:r w:rsidRPr="00FA5316">
        <w:rPr>
          <w:rFonts w:ascii="Verdana" w:hAnsi="Verdana"/>
          <w:sz w:val="22"/>
          <w:szCs w:val="22"/>
          <w:lang w:eastAsia="es-MX"/>
        </w:rPr>
        <w:lastRenderedPageBreak/>
        <w:t>y parafiscales, si a ello hubiere lugar. Otros soportes incluyen el RUT, el RIT, el Certificado de Registro Nacional de Medidas Correctivas (RNMC) y el formato de compromiso de transparencia</w:t>
      </w:r>
    </w:p>
    <w:p w14:paraId="6899EE90" w14:textId="77777777" w:rsidR="00FA5316" w:rsidRDefault="00FA5316" w:rsidP="00C15139">
      <w:pPr>
        <w:rPr>
          <w:rFonts w:ascii="Verdana" w:hAnsi="Verdana"/>
          <w:sz w:val="22"/>
          <w:szCs w:val="22"/>
        </w:rPr>
      </w:pPr>
    </w:p>
    <w:p w14:paraId="701D7CEA" w14:textId="77777777" w:rsidR="00FA5316" w:rsidRDefault="00FA5316" w:rsidP="00C15139">
      <w:pPr>
        <w:rPr>
          <w:rFonts w:ascii="Verdana" w:hAnsi="Verdana"/>
          <w:sz w:val="22"/>
          <w:szCs w:val="22"/>
        </w:rPr>
      </w:pPr>
    </w:p>
    <w:p w14:paraId="6E1F6E39" w14:textId="77777777" w:rsidR="00FA5316" w:rsidRDefault="00FA5316" w:rsidP="00C15139">
      <w:pPr>
        <w:rPr>
          <w:rFonts w:ascii="Verdana" w:hAnsi="Verdana"/>
          <w:sz w:val="22"/>
          <w:szCs w:val="22"/>
        </w:rPr>
      </w:pPr>
    </w:p>
    <w:p w14:paraId="5FD86E08" w14:textId="77777777" w:rsidR="00FA5316" w:rsidRDefault="00FA5316" w:rsidP="00C15139">
      <w:pPr>
        <w:rPr>
          <w:rFonts w:ascii="Verdana" w:hAnsi="Verdana"/>
          <w:sz w:val="22"/>
          <w:szCs w:val="22"/>
        </w:rPr>
      </w:pPr>
    </w:p>
    <w:p w14:paraId="253DDC60" w14:textId="77777777" w:rsidR="00FA5316" w:rsidRDefault="00FA5316" w:rsidP="00C15139">
      <w:pPr>
        <w:rPr>
          <w:rFonts w:ascii="Verdana" w:hAnsi="Verdana"/>
          <w:sz w:val="22"/>
          <w:szCs w:val="22"/>
        </w:rPr>
      </w:pPr>
    </w:p>
    <w:p w14:paraId="07669A88" w14:textId="77777777" w:rsidR="00FA5316" w:rsidRDefault="00FA5316" w:rsidP="00C15139">
      <w:pPr>
        <w:rPr>
          <w:rFonts w:ascii="Verdana" w:hAnsi="Verdana"/>
          <w:sz w:val="22"/>
          <w:szCs w:val="22"/>
        </w:rPr>
      </w:pPr>
    </w:p>
    <w:p w14:paraId="57431D0E" w14:textId="77777777" w:rsidR="00FA5316" w:rsidRDefault="00FA5316" w:rsidP="00C15139">
      <w:pPr>
        <w:rPr>
          <w:rFonts w:ascii="Verdana" w:hAnsi="Verdana"/>
          <w:sz w:val="22"/>
          <w:szCs w:val="22"/>
        </w:rPr>
      </w:pPr>
    </w:p>
    <w:p w14:paraId="598E3150" w14:textId="77777777" w:rsidR="00FA5316" w:rsidRDefault="00FA5316" w:rsidP="00C15139">
      <w:pPr>
        <w:rPr>
          <w:rFonts w:ascii="Verdana" w:hAnsi="Verdana"/>
          <w:sz w:val="22"/>
          <w:szCs w:val="22"/>
        </w:rPr>
      </w:pPr>
    </w:p>
    <w:p w14:paraId="7F236B8F" w14:textId="77777777" w:rsidR="00FA5316" w:rsidRDefault="00FA5316" w:rsidP="00C15139">
      <w:pPr>
        <w:rPr>
          <w:rFonts w:ascii="Verdana" w:hAnsi="Verdana"/>
          <w:sz w:val="22"/>
          <w:szCs w:val="22"/>
        </w:rPr>
      </w:pPr>
    </w:p>
    <w:p w14:paraId="5E0D617D" w14:textId="77777777" w:rsidR="00FA5316" w:rsidRDefault="00FA5316" w:rsidP="00C15139">
      <w:pPr>
        <w:rPr>
          <w:rFonts w:ascii="Verdana" w:hAnsi="Verdana"/>
          <w:sz w:val="22"/>
          <w:szCs w:val="22"/>
        </w:rPr>
      </w:pPr>
    </w:p>
    <w:p w14:paraId="405DF54E" w14:textId="77777777" w:rsidR="00FA5316" w:rsidRDefault="00FA5316" w:rsidP="00C15139">
      <w:pPr>
        <w:rPr>
          <w:rFonts w:ascii="Verdana" w:hAnsi="Verdana"/>
          <w:sz w:val="22"/>
          <w:szCs w:val="22"/>
        </w:rPr>
      </w:pPr>
    </w:p>
    <w:p w14:paraId="4C5C1549" w14:textId="77777777" w:rsidR="00FA5316" w:rsidRDefault="00FA5316" w:rsidP="00C15139">
      <w:pPr>
        <w:rPr>
          <w:rFonts w:ascii="Verdana" w:hAnsi="Verdana"/>
          <w:sz w:val="22"/>
          <w:szCs w:val="22"/>
        </w:rPr>
      </w:pPr>
    </w:p>
    <w:p w14:paraId="134F53B4" w14:textId="77777777" w:rsidR="00FA5316" w:rsidRDefault="00FA5316" w:rsidP="00C15139">
      <w:pPr>
        <w:rPr>
          <w:rFonts w:ascii="Verdana" w:hAnsi="Verdana"/>
          <w:sz w:val="22"/>
          <w:szCs w:val="22"/>
        </w:rPr>
      </w:pPr>
    </w:p>
    <w:p w14:paraId="042A2C41" w14:textId="77777777" w:rsidR="00FA5316" w:rsidRDefault="00FA5316" w:rsidP="00C15139">
      <w:pPr>
        <w:rPr>
          <w:rFonts w:ascii="Verdana" w:hAnsi="Verdana"/>
          <w:sz w:val="22"/>
          <w:szCs w:val="22"/>
        </w:rPr>
      </w:pPr>
    </w:p>
    <w:p w14:paraId="017C29B5" w14:textId="77777777" w:rsidR="00FA5316" w:rsidRDefault="00FA5316" w:rsidP="00C15139">
      <w:pPr>
        <w:rPr>
          <w:rFonts w:ascii="Verdana" w:hAnsi="Verdana"/>
          <w:sz w:val="22"/>
          <w:szCs w:val="22"/>
        </w:rPr>
      </w:pPr>
    </w:p>
    <w:p w14:paraId="4AD7A12E" w14:textId="77777777" w:rsidR="00FA5316" w:rsidRDefault="00FA5316" w:rsidP="00C15139">
      <w:pPr>
        <w:rPr>
          <w:rFonts w:ascii="Verdana" w:hAnsi="Verdana"/>
          <w:sz w:val="22"/>
          <w:szCs w:val="22"/>
        </w:rPr>
      </w:pPr>
    </w:p>
    <w:p w14:paraId="734376A6" w14:textId="77777777" w:rsidR="00FA5316" w:rsidRDefault="00FA5316" w:rsidP="00C15139">
      <w:pPr>
        <w:rPr>
          <w:rFonts w:ascii="Verdana" w:hAnsi="Verdana"/>
          <w:sz w:val="22"/>
          <w:szCs w:val="22"/>
        </w:rPr>
      </w:pPr>
    </w:p>
    <w:p w14:paraId="6F3852F9" w14:textId="77777777" w:rsidR="00FA5316" w:rsidRDefault="00FA5316" w:rsidP="00C15139">
      <w:pPr>
        <w:rPr>
          <w:rFonts w:ascii="Verdana" w:hAnsi="Verdana"/>
          <w:sz w:val="22"/>
          <w:szCs w:val="22"/>
        </w:rPr>
      </w:pPr>
    </w:p>
    <w:p w14:paraId="054CCDFB" w14:textId="77777777" w:rsidR="00FA5316" w:rsidRDefault="00FA5316" w:rsidP="00C15139">
      <w:pPr>
        <w:rPr>
          <w:rFonts w:ascii="Verdana" w:hAnsi="Verdana"/>
          <w:sz w:val="22"/>
          <w:szCs w:val="22"/>
        </w:rPr>
      </w:pPr>
    </w:p>
    <w:p w14:paraId="42525CD2" w14:textId="77777777" w:rsidR="00FA5316" w:rsidRDefault="00FA5316" w:rsidP="00C15139">
      <w:pPr>
        <w:rPr>
          <w:rFonts w:ascii="Verdana" w:hAnsi="Verdana"/>
          <w:sz w:val="22"/>
          <w:szCs w:val="22"/>
        </w:rPr>
      </w:pPr>
    </w:p>
    <w:p w14:paraId="106FA660" w14:textId="77777777" w:rsidR="00FA5316" w:rsidRDefault="00FA5316" w:rsidP="00C15139">
      <w:pPr>
        <w:rPr>
          <w:rFonts w:ascii="Verdana" w:hAnsi="Verdana"/>
          <w:sz w:val="22"/>
          <w:szCs w:val="22"/>
        </w:rPr>
      </w:pPr>
    </w:p>
    <w:p w14:paraId="277B2D3B" w14:textId="77777777" w:rsidR="00FA5316" w:rsidRDefault="00FA5316" w:rsidP="00C15139">
      <w:pPr>
        <w:rPr>
          <w:rFonts w:ascii="Verdana" w:hAnsi="Verdana"/>
          <w:sz w:val="22"/>
          <w:szCs w:val="22"/>
        </w:rPr>
      </w:pPr>
    </w:p>
    <w:p w14:paraId="2D3F3054" w14:textId="77777777" w:rsidR="00FA5316" w:rsidRDefault="00FA5316" w:rsidP="00C15139">
      <w:pPr>
        <w:rPr>
          <w:rFonts w:ascii="Verdana" w:hAnsi="Verdana"/>
          <w:sz w:val="22"/>
          <w:szCs w:val="22"/>
        </w:rPr>
      </w:pPr>
    </w:p>
    <w:p w14:paraId="333F002F" w14:textId="77777777" w:rsidR="00FA5316" w:rsidRDefault="00FA5316" w:rsidP="00C15139">
      <w:pPr>
        <w:rPr>
          <w:rFonts w:ascii="Verdana" w:hAnsi="Verdana"/>
          <w:sz w:val="22"/>
          <w:szCs w:val="22"/>
        </w:rPr>
      </w:pPr>
    </w:p>
    <w:p w14:paraId="25317140" w14:textId="77777777" w:rsidR="00FA5316" w:rsidRDefault="00FA5316" w:rsidP="00C15139">
      <w:pPr>
        <w:rPr>
          <w:rFonts w:ascii="Verdana" w:hAnsi="Verdana"/>
          <w:sz w:val="22"/>
          <w:szCs w:val="22"/>
        </w:rPr>
      </w:pPr>
    </w:p>
    <w:p w14:paraId="4739ACB0" w14:textId="77777777" w:rsidR="00FA5316" w:rsidRDefault="00FA5316" w:rsidP="00C15139">
      <w:pPr>
        <w:rPr>
          <w:rFonts w:ascii="Verdana" w:hAnsi="Verdana"/>
          <w:sz w:val="22"/>
          <w:szCs w:val="22"/>
        </w:rPr>
      </w:pPr>
    </w:p>
    <w:p w14:paraId="1DDCB3B6" w14:textId="77777777" w:rsidR="00FA5316" w:rsidRDefault="00FA5316" w:rsidP="00C15139">
      <w:pPr>
        <w:rPr>
          <w:rFonts w:ascii="Verdana" w:hAnsi="Verdana"/>
          <w:sz w:val="22"/>
          <w:szCs w:val="22"/>
        </w:rPr>
      </w:pPr>
    </w:p>
    <w:p w14:paraId="5867895F" w14:textId="77777777" w:rsidR="00FA5316" w:rsidRDefault="00FA5316" w:rsidP="00C15139">
      <w:pPr>
        <w:rPr>
          <w:rFonts w:ascii="Verdana" w:hAnsi="Verdana"/>
          <w:sz w:val="22"/>
          <w:szCs w:val="22"/>
        </w:rPr>
      </w:pPr>
    </w:p>
    <w:p w14:paraId="0A3496E8" w14:textId="77777777" w:rsidR="00FA5316" w:rsidRDefault="00FA5316" w:rsidP="00C15139">
      <w:pPr>
        <w:rPr>
          <w:rFonts w:ascii="Verdana" w:hAnsi="Verdana"/>
          <w:sz w:val="22"/>
          <w:szCs w:val="22"/>
        </w:rPr>
      </w:pPr>
    </w:p>
    <w:p w14:paraId="44E67E7F" w14:textId="77777777" w:rsidR="00FA5316" w:rsidRDefault="00FA5316" w:rsidP="00C15139">
      <w:pPr>
        <w:rPr>
          <w:rFonts w:ascii="Verdana" w:hAnsi="Verdana"/>
          <w:sz w:val="22"/>
          <w:szCs w:val="22"/>
        </w:rPr>
      </w:pPr>
    </w:p>
    <w:p w14:paraId="776B30A5" w14:textId="77777777" w:rsidR="00FA5316" w:rsidRDefault="00FA5316" w:rsidP="00C15139">
      <w:pPr>
        <w:rPr>
          <w:rFonts w:ascii="Verdana" w:hAnsi="Verdana"/>
          <w:sz w:val="22"/>
          <w:szCs w:val="22"/>
        </w:rPr>
      </w:pPr>
    </w:p>
    <w:p w14:paraId="44D3B805" w14:textId="77777777" w:rsidR="00FA5316" w:rsidRDefault="00FA5316" w:rsidP="00C15139">
      <w:pPr>
        <w:rPr>
          <w:rFonts w:ascii="Verdana" w:hAnsi="Verdana"/>
          <w:sz w:val="22"/>
          <w:szCs w:val="22"/>
        </w:rPr>
      </w:pPr>
    </w:p>
    <w:p w14:paraId="13B23949" w14:textId="77777777" w:rsidR="00FA5316" w:rsidRDefault="00FA5316" w:rsidP="00C15139">
      <w:pPr>
        <w:rPr>
          <w:rFonts w:ascii="Verdana" w:hAnsi="Verdana"/>
          <w:sz w:val="22"/>
          <w:szCs w:val="22"/>
        </w:rPr>
      </w:pPr>
    </w:p>
    <w:p w14:paraId="0888CE98" w14:textId="77777777" w:rsidR="00FA5316" w:rsidRDefault="00FA5316" w:rsidP="00C15139">
      <w:pPr>
        <w:rPr>
          <w:rFonts w:ascii="Verdana" w:hAnsi="Verdana"/>
          <w:sz w:val="22"/>
          <w:szCs w:val="22"/>
        </w:rPr>
      </w:pPr>
    </w:p>
    <w:p w14:paraId="22361C5D" w14:textId="77777777" w:rsidR="00FA5316" w:rsidRDefault="00FA5316" w:rsidP="00C15139">
      <w:pPr>
        <w:rPr>
          <w:rFonts w:ascii="Verdana" w:hAnsi="Verdana"/>
          <w:sz w:val="22"/>
          <w:szCs w:val="22"/>
        </w:rPr>
      </w:pPr>
    </w:p>
    <w:p w14:paraId="1B716B44" w14:textId="77777777" w:rsidR="00FA5316" w:rsidRDefault="00FA5316" w:rsidP="00C15139">
      <w:pPr>
        <w:rPr>
          <w:rFonts w:ascii="Verdana" w:hAnsi="Verdana"/>
          <w:sz w:val="22"/>
          <w:szCs w:val="22"/>
        </w:rPr>
      </w:pPr>
    </w:p>
    <w:p w14:paraId="748DB5C9" w14:textId="77777777" w:rsidR="00FA5316" w:rsidRDefault="00FA5316" w:rsidP="00C15139">
      <w:pPr>
        <w:rPr>
          <w:rFonts w:ascii="Verdana" w:hAnsi="Verdana"/>
          <w:sz w:val="22"/>
          <w:szCs w:val="22"/>
        </w:rPr>
      </w:pPr>
    </w:p>
    <w:p w14:paraId="0D129E52" w14:textId="77777777" w:rsidR="00FA5316" w:rsidRDefault="00FA5316" w:rsidP="00C15139">
      <w:pPr>
        <w:rPr>
          <w:rFonts w:ascii="Verdana" w:hAnsi="Verdana"/>
          <w:sz w:val="22"/>
          <w:szCs w:val="22"/>
        </w:rPr>
      </w:pPr>
    </w:p>
    <w:p w14:paraId="1072518C" w14:textId="77777777" w:rsidR="00FA5316" w:rsidRDefault="00FA5316" w:rsidP="00C15139">
      <w:pPr>
        <w:rPr>
          <w:rFonts w:ascii="Verdana" w:hAnsi="Verdana"/>
          <w:sz w:val="22"/>
          <w:szCs w:val="22"/>
        </w:rPr>
      </w:pPr>
    </w:p>
    <w:p w14:paraId="3428CA62" w14:textId="77777777" w:rsidR="00FA5316" w:rsidRDefault="00FA5316" w:rsidP="00C15139">
      <w:pPr>
        <w:rPr>
          <w:rFonts w:ascii="Verdana" w:hAnsi="Verdana"/>
          <w:sz w:val="22"/>
          <w:szCs w:val="22"/>
        </w:rPr>
      </w:pPr>
    </w:p>
    <w:p w14:paraId="4DEE4A24" w14:textId="77777777" w:rsidR="00FA5316" w:rsidRDefault="00FA5316" w:rsidP="00C15139">
      <w:pPr>
        <w:rPr>
          <w:rFonts w:ascii="Verdana" w:hAnsi="Verdana"/>
          <w:sz w:val="22"/>
          <w:szCs w:val="22"/>
        </w:rPr>
      </w:pPr>
    </w:p>
    <w:p w14:paraId="7A065A4C" w14:textId="77777777" w:rsidR="00FA5316" w:rsidRDefault="00FA5316" w:rsidP="00C15139">
      <w:pPr>
        <w:rPr>
          <w:rFonts w:ascii="Verdana" w:hAnsi="Verdana"/>
          <w:sz w:val="22"/>
          <w:szCs w:val="22"/>
        </w:rPr>
      </w:pPr>
    </w:p>
    <w:p w14:paraId="79845391" w14:textId="499F2975" w:rsidR="001A2719" w:rsidRPr="001A2719" w:rsidRDefault="001A2719" w:rsidP="00C15139">
      <w:pPr>
        <w:rPr>
          <w:rFonts w:ascii="Verdana" w:hAnsi="Verdana"/>
          <w:sz w:val="22"/>
          <w:szCs w:val="22"/>
        </w:rPr>
      </w:pPr>
      <w:r w:rsidRPr="001A2719">
        <w:rPr>
          <w:rFonts w:ascii="Verdana" w:hAnsi="Verdana"/>
          <w:sz w:val="22"/>
          <w:szCs w:val="22"/>
        </w:rPr>
        <w:t>Bogotá</w:t>
      </w:r>
      <w:r w:rsidRPr="001A2719">
        <w:rPr>
          <w:rFonts w:ascii="Verdana" w:hAnsi="Verdana"/>
          <w:spacing w:val="-12"/>
          <w:sz w:val="22"/>
          <w:szCs w:val="22"/>
        </w:rPr>
        <w:t xml:space="preserve"> </w:t>
      </w:r>
      <w:r w:rsidRPr="001A2719">
        <w:rPr>
          <w:rFonts w:ascii="Verdana" w:hAnsi="Verdana"/>
          <w:sz w:val="22"/>
          <w:szCs w:val="22"/>
        </w:rPr>
        <w:t>D.C.,</w:t>
      </w:r>
      <w:r w:rsidRPr="001A2719">
        <w:rPr>
          <w:rFonts w:ascii="Verdana" w:hAnsi="Verdana"/>
          <w:spacing w:val="-9"/>
          <w:sz w:val="22"/>
          <w:szCs w:val="22"/>
        </w:rPr>
        <w:t xml:space="preserve"> </w:t>
      </w:r>
      <w:r w:rsidRPr="001A2719">
        <w:rPr>
          <w:rFonts w:ascii="Verdana" w:hAnsi="Verdana"/>
          <w:sz w:val="22"/>
          <w:szCs w:val="22"/>
        </w:rPr>
        <w:t>23</w:t>
      </w:r>
      <w:r w:rsidRPr="001A2719">
        <w:rPr>
          <w:rFonts w:ascii="Verdana" w:hAnsi="Verdana"/>
          <w:spacing w:val="-12"/>
          <w:sz w:val="22"/>
          <w:szCs w:val="22"/>
        </w:rPr>
        <w:t xml:space="preserve"> </w:t>
      </w:r>
      <w:r w:rsidRPr="001A2719">
        <w:rPr>
          <w:rFonts w:ascii="Verdana" w:hAnsi="Verdana"/>
          <w:sz w:val="22"/>
          <w:szCs w:val="22"/>
        </w:rPr>
        <w:t>Diciembre</w:t>
      </w:r>
      <w:r w:rsidRPr="001A2719">
        <w:rPr>
          <w:rFonts w:ascii="Verdana" w:hAnsi="Verdana"/>
          <w:spacing w:val="-8"/>
          <w:sz w:val="22"/>
          <w:szCs w:val="22"/>
        </w:rPr>
        <w:t xml:space="preserve"> </w:t>
      </w:r>
      <w:r w:rsidRPr="001A2719">
        <w:rPr>
          <w:rFonts w:ascii="Verdana" w:hAnsi="Verdana"/>
          <w:sz w:val="22"/>
          <w:szCs w:val="22"/>
        </w:rPr>
        <w:t>2025</w:t>
      </w:r>
    </w:p>
    <w:p w14:paraId="1468C46D" w14:textId="5A45AC29" w:rsidR="00C15139" w:rsidRPr="0024624F" w:rsidRDefault="001A2719" w:rsidP="00C15139">
      <w:pPr>
        <w:rPr>
          <w:rFonts w:ascii="Verdana" w:hAnsi="Verdana"/>
        </w:rPr>
      </w:pPr>
      <w:r>
        <w:rPr>
          <w:noProof/>
        </w:rPr>
        <w:drawing>
          <wp:anchor distT="0" distB="0" distL="0" distR="0" simplePos="0" relativeHeight="251659264" behindDoc="0" locked="0" layoutInCell="1" allowOverlap="1" wp14:anchorId="08DBC5F5" wp14:editId="1CF6E70D">
            <wp:simplePos x="0" y="0"/>
            <wp:positionH relativeFrom="page">
              <wp:posOffset>4267472</wp:posOffset>
            </wp:positionH>
            <wp:positionV relativeFrom="paragraph">
              <wp:posOffset>30571</wp:posOffset>
            </wp:positionV>
            <wp:extent cx="3239999" cy="899999"/>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3239999" cy="899999"/>
                    </a:xfrm>
                    <a:prstGeom prst="rect">
                      <a:avLst/>
                    </a:prstGeom>
                  </pic:spPr>
                </pic:pic>
              </a:graphicData>
            </a:graphic>
          </wp:anchor>
        </w:drawing>
      </w:r>
      <w:r w:rsidR="00C15139" w:rsidRPr="0024624F">
        <w:rPr>
          <w:rFonts w:ascii="Verdana" w:hAnsi="Verdana"/>
        </w:rPr>
        <w:tab/>
      </w:r>
    </w:p>
    <w:p w14:paraId="46582287" w14:textId="5FA13332" w:rsidR="00127D60" w:rsidRPr="00B96799" w:rsidRDefault="00127D60" w:rsidP="00127D60">
      <w:pPr>
        <w:jc w:val="both"/>
        <w:rPr>
          <w:rFonts w:ascii="Verdana" w:eastAsia="Calibri" w:hAnsi="Verdana" w:cs="Arial"/>
          <w:lang w:val="es-ES" w:eastAsia="es-ES"/>
        </w:rPr>
      </w:pPr>
      <w:r w:rsidRPr="00B96799">
        <w:rPr>
          <w:rFonts w:ascii="Verdana" w:eastAsia="Calibri" w:hAnsi="Verdana" w:cs="Arial"/>
          <w:lang w:val="es-ES" w:eastAsia="es-ES"/>
        </w:rPr>
        <w:t>Señor</w:t>
      </w:r>
    </w:p>
    <w:p w14:paraId="3E317A46" w14:textId="5B941064" w:rsidR="00127D60" w:rsidRDefault="00127D60" w:rsidP="00127D60">
      <w:pPr>
        <w:rPr>
          <w:rFonts w:ascii="Verdana" w:eastAsia="Calibri" w:hAnsi="Verdana" w:cs="Arial"/>
          <w:b/>
          <w:lang w:val="es-ES_tradnl"/>
        </w:rPr>
      </w:pPr>
      <w:r>
        <w:rPr>
          <w:rFonts w:ascii="Verdana" w:eastAsia="Calibri" w:hAnsi="Verdana" w:cs="Arial"/>
          <w:b/>
          <w:lang w:val="es-ES_tradnl"/>
        </w:rPr>
        <w:t xml:space="preserve">Jorge Alberto Serna </w:t>
      </w:r>
    </w:p>
    <w:p w14:paraId="0B2C921F" w14:textId="77777777" w:rsidR="00127D60" w:rsidRDefault="00127D60" w:rsidP="00127D60">
      <w:pPr>
        <w:rPr>
          <w:rFonts w:ascii="Verdana" w:eastAsia="Calibri" w:hAnsi="Verdana" w:cs="Arial"/>
          <w:b/>
          <w:lang w:val="es-ES_tradnl"/>
        </w:rPr>
      </w:pPr>
      <w:r>
        <w:rPr>
          <w:rFonts w:ascii="Verdana" w:eastAsia="Calibri" w:hAnsi="Verdana" w:cs="Arial"/>
          <w:b/>
          <w:lang w:val="es-ES_tradnl"/>
        </w:rPr>
        <w:t>Acompañamiento municipal S.A.S</w:t>
      </w:r>
    </w:p>
    <w:p w14:paraId="47EE55B3" w14:textId="77777777" w:rsidR="00127D60" w:rsidRDefault="00127D60" w:rsidP="00127D60">
      <w:pPr>
        <w:rPr>
          <w:rFonts w:ascii="Verdana" w:eastAsia="Calibri" w:hAnsi="Verdana" w:cs="Arial"/>
          <w:lang w:val="es-ES" w:eastAsia="es-ES"/>
        </w:rPr>
      </w:pPr>
      <w:hyperlink r:id="rId11" w:history="1">
        <w:r w:rsidRPr="00DE01CE">
          <w:rPr>
            <w:rStyle w:val="Hipervnculo"/>
            <w:rFonts w:ascii="Verdana" w:eastAsia="Calibri" w:hAnsi="Verdana" w:cs="Arial"/>
            <w:lang w:val="es-ES" w:eastAsia="es-ES"/>
          </w:rPr>
          <w:t>petosena@gmail.com</w:t>
        </w:r>
      </w:hyperlink>
    </w:p>
    <w:p w14:paraId="1D5A94D6" w14:textId="77777777" w:rsidR="00127D60" w:rsidRPr="00B96799" w:rsidRDefault="00127D60" w:rsidP="00127D60">
      <w:pPr>
        <w:rPr>
          <w:rFonts w:ascii="Verdana" w:eastAsia="Calibri" w:hAnsi="Verdana" w:cs="Arial"/>
          <w:b/>
          <w:bCs/>
          <w:lang w:val="es-ES" w:eastAsia="es-ES"/>
        </w:rPr>
      </w:pPr>
      <w:r>
        <w:rPr>
          <w:rFonts w:ascii="Verdana" w:eastAsia="Calibri" w:hAnsi="Verdana" w:cs="Arial"/>
          <w:lang w:val="es-ES" w:eastAsia="es-ES"/>
        </w:rPr>
        <w:t>Armenia</w:t>
      </w:r>
      <w:r w:rsidRPr="00B96799">
        <w:rPr>
          <w:rFonts w:ascii="Verdana" w:eastAsia="Calibri" w:hAnsi="Verdana" w:cs="Arial"/>
          <w:lang w:val="es-ES" w:eastAsia="es-ES"/>
        </w:rPr>
        <w:t xml:space="preserve">, </w:t>
      </w:r>
      <w:r>
        <w:rPr>
          <w:rFonts w:ascii="Verdana" w:eastAsia="Calibri" w:hAnsi="Verdana" w:cs="Arial"/>
          <w:lang w:val="es-ES" w:eastAsia="es-ES"/>
        </w:rPr>
        <w:t>Quindío</w:t>
      </w:r>
    </w:p>
    <w:p w14:paraId="42E08810" w14:textId="77777777" w:rsidR="00127D60" w:rsidRDefault="00127D60" w:rsidP="00127D60">
      <w:pPr>
        <w:jc w:val="both"/>
        <w:rPr>
          <w:rFonts w:ascii="Verdana" w:eastAsia="Calibri" w:hAnsi="Verdana" w:cs="Arial"/>
          <w:color w:val="000000" w:themeColor="text1"/>
          <w:lang w:val="es-ES_tradnl"/>
        </w:rPr>
      </w:pPr>
    </w:p>
    <w:p w14:paraId="7B7FCC96" w14:textId="77777777" w:rsidR="009D1C1C" w:rsidRDefault="009D1C1C" w:rsidP="00127D60">
      <w:pPr>
        <w:jc w:val="both"/>
        <w:rPr>
          <w:rFonts w:ascii="Verdana" w:eastAsia="Calibri" w:hAnsi="Verdana" w:cs="Arial"/>
          <w:color w:val="000000" w:themeColor="text1"/>
          <w:lang w:val="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82389" w:rsidRPr="00593A5F" w14:paraId="5ED853AC" w14:textId="77777777" w:rsidTr="00382389">
        <w:trPr>
          <w:trHeight w:val="884"/>
        </w:trPr>
        <w:tc>
          <w:tcPr>
            <w:tcW w:w="2689" w:type="dxa"/>
          </w:tcPr>
          <w:p w14:paraId="75EEE709" w14:textId="77777777" w:rsidR="00382389" w:rsidRPr="00C00976" w:rsidRDefault="00382389" w:rsidP="00B15EBB">
            <w:pPr>
              <w:jc w:val="both"/>
              <w:rPr>
                <w:rFonts w:ascii="Verdana" w:eastAsia="Calibri" w:hAnsi="Verdana" w:cs="Arial"/>
                <w:b/>
                <w:color w:val="7030A0"/>
                <w:lang w:val="es-ES_tradnl"/>
              </w:rPr>
            </w:pPr>
          </w:p>
        </w:tc>
        <w:tc>
          <w:tcPr>
            <w:tcW w:w="6100" w:type="dxa"/>
          </w:tcPr>
          <w:p w14:paraId="69222AFE" w14:textId="77777777" w:rsidR="00382389" w:rsidRPr="00C00976" w:rsidRDefault="00382389" w:rsidP="00B15EBB">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Concepto C</w:t>
            </w:r>
            <w:r>
              <w:rPr>
                <w:rFonts w:ascii="Verdana" w:eastAsia="Calibri" w:hAnsi="Verdana" w:cs="Arial"/>
                <w:b/>
                <w:bCs/>
                <w:lang w:val="es-ES" w:eastAsia="es-ES"/>
              </w:rPr>
              <w:t>- 1674</w:t>
            </w:r>
            <w:r w:rsidRPr="00C00976">
              <w:rPr>
                <w:rFonts w:ascii="Verdana" w:eastAsia="Calibri" w:hAnsi="Verdana" w:cs="Arial"/>
                <w:b/>
                <w:bCs/>
                <w:color w:val="7030A0"/>
                <w:lang w:val="es-ES" w:eastAsia="es-ES"/>
              </w:rPr>
              <w:t xml:space="preserve"> </w:t>
            </w:r>
            <w:r w:rsidRPr="00247BDE">
              <w:rPr>
                <w:rFonts w:ascii="Verdana" w:eastAsia="Calibri" w:hAnsi="Verdana" w:cs="Arial"/>
                <w:b/>
                <w:bCs/>
                <w:lang w:val="es-ES" w:eastAsia="es-ES"/>
              </w:rPr>
              <w:t>de</w:t>
            </w:r>
            <w:r>
              <w:rPr>
                <w:rFonts w:ascii="Verdana" w:eastAsia="Calibri" w:hAnsi="Verdana" w:cs="Arial"/>
                <w:b/>
                <w:bCs/>
                <w:lang w:val="es-ES" w:eastAsia="es-ES"/>
              </w:rPr>
              <w:t xml:space="preserve"> 2025</w:t>
            </w:r>
          </w:p>
        </w:tc>
      </w:tr>
      <w:tr w:rsidR="00382389" w:rsidRPr="00593A5F" w14:paraId="7E6C3033" w14:textId="77777777" w:rsidTr="00382389">
        <w:trPr>
          <w:trHeight w:val="884"/>
        </w:trPr>
        <w:tc>
          <w:tcPr>
            <w:tcW w:w="2689" w:type="dxa"/>
          </w:tcPr>
          <w:p w14:paraId="2C0EE1ED" w14:textId="77777777" w:rsidR="00382389" w:rsidRPr="000A453F" w:rsidRDefault="00382389" w:rsidP="00B15EBB">
            <w:pPr>
              <w:jc w:val="both"/>
              <w:rPr>
                <w:rFonts w:ascii="Verdana" w:eastAsia="Calibri" w:hAnsi="Verdana" w:cs="Arial"/>
                <w:color w:val="000000" w:themeColor="text1"/>
                <w:lang w:val="es-ES_tradnl"/>
              </w:rPr>
            </w:pPr>
            <w:r w:rsidRPr="000A453F">
              <w:rPr>
                <w:rFonts w:ascii="Verdana" w:eastAsia="Calibri" w:hAnsi="Verdana" w:cs="Arial"/>
                <w:b/>
                <w:color w:val="000000" w:themeColor="text1"/>
                <w:lang w:val="es-ES_tradnl"/>
              </w:rPr>
              <w:t>Temas:</w:t>
            </w:r>
            <w:r w:rsidRPr="000A453F">
              <w:rPr>
                <w:rFonts w:ascii="Verdana" w:eastAsia="Calibri" w:hAnsi="Verdana" w:cs="Arial"/>
                <w:color w:val="000000" w:themeColor="text1"/>
                <w:lang w:val="es-ES_tradnl"/>
              </w:rPr>
              <w:t xml:space="preserve">                   </w:t>
            </w:r>
          </w:p>
        </w:tc>
        <w:tc>
          <w:tcPr>
            <w:tcW w:w="6100" w:type="dxa"/>
          </w:tcPr>
          <w:p w14:paraId="51FDFEEA" w14:textId="77777777" w:rsidR="00382389" w:rsidRPr="000A453F" w:rsidRDefault="00382389" w:rsidP="00B15EBB">
            <w:pPr>
              <w:spacing w:line="276" w:lineRule="auto"/>
              <w:jc w:val="both"/>
              <w:rPr>
                <w:rFonts w:ascii="Verdana" w:eastAsia="Calibri" w:hAnsi="Verdana" w:cs="Arial"/>
                <w:color w:val="000000" w:themeColor="text1"/>
                <w:lang w:val="es-ES" w:eastAsia="es-ES"/>
              </w:rPr>
            </w:pPr>
            <w:r w:rsidRPr="000A453F">
              <w:rPr>
                <w:rFonts w:ascii="Verdana" w:eastAsia="Calibri" w:hAnsi="Verdana" w:cs="Arial"/>
                <w:color w:val="000000" w:themeColor="text1"/>
                <w:lang w:val="es-ES" w:eastAsia="es-ES"/>
              </w:rPr>
              <w:t>CONTRATO DE PRESTACIÓN DE SERVICIOS ― Concepto ― Características generales/ FORMATO HOJA DE VIDA DE LA FUNCIÓN PÚBLICA-Persona Jurídica Principios de Adecuación y Proporcionalidad - Principios de Adecuación y Proporcionalidad</w:t>
            </w:r>
          </w:p>
          <w:p w14:paraId="18292B3B" w14:textId="77777777" w:rsidR="00382389" w:rsidRPr="000A453F" w:rsidRDefault="00382389" w:rsidP="00B15EBB">
            <w:pPr>
              <w:spacing w:line="276" w:lineRule="auto"/>
              <w:jc w:val="both"/>
              <w:rPr>
                <w:rFonts w:ascii="Verdana" w:eastAsia="Calibri" w:hAnsi="Verdana" w:cs="Arial"/>
                <w:color w:val="000000" w:themeColor="text1"/>
                <w:lang w:val="es-ES" w:eastAsia="es-ES"/>
              </w:rPr>
            </w:pPr>
          </w:p>
        </w:tc>
      </w:tr>
      <w:tr w:rsidR="00382389" w:rsidRPr="00593A5F" w14:paraId="5B1D662F" w14:textId="77777777" w:rsidTr="00382389">
        <w:tc>
          <w:tcPr>
            <w:tcW w:w="2689" w:type="dxa"/>
          </w:tcPr>
          <w:p w14:paraId="17821675" w14:textId="77777777" w:rsidR="00382389" w:rsidRPr="00F2149B" w:rsidRDefault="00382389" w:rsidP="00B15EBB">
            <w:pPr>
              <w:jc w:val="both"/>
              <w:rPr>
                <w:rFonts w:ascii="Verdana" w:eastAsia="Calibri" w:hAnsi="Verdana" w:cs="Arial"/>
                <w:b/>
                <w:color w:val="000000" w:themeColor="text1"/>
                <w:lang w:val="es-ES_tradnl"/>
              </w:rPr>
            </w:pPr>
            <w:r w:rsidRPr="00F2149B">
              <w:rPr>
                <w:rFonts w:ascii="Verdana" w:eastAsia="Calibri" w:hAnsi="Verdana" w:cs="Arial"/>
                <w:b/>
                <w:color w:val="000000" w:themeColor="text1"/>
                <w:lang w:val="es-ES_tradnl"/>
              </w:rPr>
              <w:t>Radicación:</w:t>
            </w:r>
            <w:r w:rsidRPr="00F2149B">
              <w:rPr>
                <w:rFonts w:ascii="Verdana" w:eastAsia="Calibri" w:hAnsi="Verdana" w:cs="Arial"/>
                <w:color w:val="000000" w:themeColor="text1"/>
                <w:lang w:val="es-ES_tradnl"/>
              </w:rPr>
              <w:t xml:space="preserve">               </w:t>
            </w:r>
          </w:p>
        </w:tc>
        <w:tc>
          <w:tcPr>
            <w:tcW w:w="6100" w:type="dxa"/>
          </w:tcPr>
          <w:p w14:paraId="74A438A1" w14:textId="77777777" w:rsidR="00382389" w:rsidRPr="00F2149B" w:rsidRDefault="00382389" w:rsidP="00B15EBB">
            <w:pPr>
              <w:jc w:val="both"/>
              <w:rPr>
                <w:rFonts w:ascii="Verdana" w:eastAsia="Calibri" w:hAnsi="Verdana" w:cs="Arial"/>
                <w:color w:val="000000" w:themeColor="text1"/>
                <w:lang w:val="es-ES_tradnl"/>
              </w:rPr>
            </w:pPr>
            <w:r w:rsidRPr="00F2149B">
              <w:rPr>
                <w:rFonts w:ascii="Verdana" w:eastAsia="Calibri" w:hAnsi="Verdana" w:cs="Arial"/>
                <w:color w:val="000000" w:themeColor="text1"/>
                <w:lang w:val="es-ES_tradnl"/>
              </w:rPr>
              <w:t xml:space="preserve">Respuesta a consulta con radicado No. </w:t>
            </w:r>
            <w:r w:rsidRPr="00F2149B">
              <w:rPr>
                <w:rFonts w:ascii="Verdana" w:hAnsi="Verdana"/>
                <w:color w:val="000000" w:themeColor="text1"/>
              </w:rPr>
              <w:br/>
            </w:r>
            <w:r w:rsidRPr="00F2149B">
              <w:rPr>
                <w:rFonts w:ascii="Verdana" w:hAnsi="Verdana"/>
                <w:color w:val="000000" w:themeColor="text1"/>
                <w:shd w:val="clear" w:color="auto" w:fill="F5F5F5"/>
              </w:rPr>
              <w:t>1_2025_11_12_012776</w:t>
            </w:r>
          </w:p>
        </w:tc>
      </w:tr>
    </w:tbl>
    <w:p w14:paraId="19B525C1" w14:textId="77777777" w:rsidR="009D1C1C" w:rsidRPr="00F2149B" w:rsidRDefault="009D1C1C" w:rsidP="00127D60">
      <w:pPr>
        <w:jc w:val="both"/>
        <w:rPr>
          <w:rFonts w:ascii="Verdana" w:eastAsia="Calibri" w:hAnsi="Verdana" w:cs="Arial"/>
          <w:color w:val="000000" w:themeColor="text1"/>
          <w:lang w:val="es-ES_tradnl"/>
        </w:rPr>
      </w:pPr>
    </w:p>
    <w:p w14:paraId="3AD093DF" w14:textId="77777777" w:rsidR="00127D60" w:rsidRPr="00F2149B" w:rsidRDefault="00127D60" w:rsidP="00127D60">
      <w:pPr>
        <w:jc w:val="both"/>
        <w:rPr>
          <w:rFonts w:ascii="Verdana" w:eastAsia="Calibri" w:hAnsi="Verdana" w:cs="Arial"/>
          <w:color w:val="000000" w:themeColor="text1"/>
          <w:lang w:val="es-ES_tradnl"/>
        </w:rPr>
      </w:pPr>
    </w:p>
    <w:p w14:paraId="6EC5A57B" w14:textId="77777777" w:rsidR="00127D60" w:rsidRPr="00F2149B" w:rsidRDefault="00127D60" w:rsidP="00127D60">
      <w:pPr>
        <w:spacing w:line="276" w:lineRule="auto"/>
        <w:jc w:val="both"/>
        <w:rPr>
          <w:rFonts w:ascii="Verdana" w:eastAsia="Calibri" w:hAnsi="Verdana" w:cs="Arial"/>
          <w:color w:val="000000" w:themeColor="text1"/>
          <w:lang w:val="es-ES" w:eastAsia="es-ES"/>
        </w:rPr>
      </w:pPr>
      <w:r w:rsidRPr="00F2149B">
        <w:rPr>
          <w:rFonts w:ascii="Verdana" w:eastAsia="Calibri" w:hAnsi="Verdana" w:cs="Arial"/>
          <w:color w:val="000000" w:themeColor="text1"/>
          <w:lang w:val="es-ES" w:eastAsia="es-ES"/>
        </w:rPr>
        <w:t>Estimado señor Serna:</w:t>
      </w:r>
    </w:p>
    <w:p w14:paraId="2F6A46DC" w14:textId="77777777" w:rsidR="00127D60" w:rsidRPr="00F2149B" w:rsidRDefault="00127D60" w:rsidP="00127D60">
      <w:pPr>
        <w:tabs>
          <w:tab w:val="left" w:pos="3768"/>
        </w:tabs>
        <w:spacing w:line="276" w:lineRule="auto"/>
        <w:jc w:val="both"/>
        <w:rPr>
          <w:rFonts w:ascii="Verdana" w:eastAsia="Calibri" w:hAnsi="Verdana" w:cs="Arial"/>
          <w:color w:val="000000" w:themeColor="text1"/>
          <w:lang w:val="es-ES" w:eastAsia="es-ES"/>
        </w:rPr>
      </w:pPr>
      <w:r w:rsidRPr="00F2149B">
        <w:rPr>
          <w:rFonts w:ascii="Verdana" w:eastAsia="Calibri" w:hAnsi="Verdana" w:cs="Arial"/>
          <w:color w:val="000000" w:themeColor="text1"/>
          <w:lang w:val="es-ES" w:eastAsia="es-ES"/>
        </w:rPr>
        <w:tab/>
      </w:r>
    </w:p>
    <w:p w14:paraId="1B2D4469" w14:textId="77777777" w:rsidR="00127D60" w:rsidRPr="00593A5F" w:rsidRDefault="00127D60" w:rsidP="00127D60">
      <w:pPr>
        <w:spacing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w:t>
      </w:r>
      <w:r w:rsidRPr="00F2149B">
        <w:rPr>
          <w:rFonts w:ascii="Verdana" w:eastAsia="Calibri" w:hAnsi="Verdana" w:cs="Arial"/>
          <w:color w:val="000000" w:themeColor="text1"/>
          <w:lang w:val="es-ES" w:eastAsia="es-ES"/>
        </w:rPr>
        <w:t xml:space="preserve">sulta de fecha 12 de noviembre de 2025, en la cual manifiesta lo siguiente: </w:t>
      </w:r>
    </w:p>
    <w:p w14:paraId="32A6257F" w14:textId="77777777" w:rsidR="00127D60" w:rsidRPr="00F2149B" w:rsidRDefault="00127D60" w:rsidP="00127D60">
      <w:pPr>
        <w:pStyle w:val="Prrafodelista"/>
        <w:tabs>
          <w:tab w:val="left" w:pos="142"/>
          <w:tab w:val="left" w:pos="284"/>
        </w:tabs>
        <w:spacing w:line="276" w:lineRule="auto"/>
        <w:ind w:left="0"/>
        <w:jc w:val="both"/>
        <w:rPr>
          <w:rFonts w:ascii="Verdana" w:eastAsia="Century Gothic" w:hAnsi="Verdana" w:cs="Century Gothic"/>
          <w:b/>
          <w:bCs/>
          <w:color w:val="000000" w:themeColor="text1"/>
        </w:rPr>
      </w:pPr>
    </w:p>
    <w:p w14:paraId="2AF93934" w14:textId="77777777" w:rsidR="00127D60" w:rsidRPr="00F2149B" w:rsidRDefault="00127D60" w:rsidP="00127D60">
      <w:pPr>
        <w:ind w:left="709" w:right="709"/>
        <w:jc w:val="both"/>
        <w:rPr>
          <w:rFonts w:ascii="Verdana" w:eastAsia="Century Gothic" w:hAnsi="Verdana" w:cs="Century Gothic"/>
          <w:color w:val="000000" w:themeColor="text1"/>
          <w:sz w:val="20"/>
          <w:szCs w:val="20"/>
          <w:lang w:val="es-ES"/>
        </w:rPr>
      </w:pPr>
      <w:r w:rsidRPr="00F2149B">
        <w:rPr>
          <w:rFonts w:ascii="Verdana" w:eastAsia="Century Gothic" w:hAnsi="Verdana" w:cs="Century Gothic"/>
          <w:color w:val="000000" w:themeColor="text1"/>
          <w:sz w:val="20"/>
          <w:szCs w:val="20"/>
          <w:lang w:val="es-ES"/>
        </w:rPr>
        <w:lastRenderedPageBreak/>
        <w:t>“Para una persona jurídica cuales son los requisitos y soportes necesarios para realizar un contrato de prestación de servicios”</w:t>
      </w:r>
    </w:p>
    <w:p w14:paraId="36143EFB" w14:textId="77777777" w:rsidR="00127D60" w:rsidRPr="00593A5F" w:rsidRDefault="00127D60" w:rsidP="00127D60">
      <w:pPr>
        <w:pStyle w:val="Prrafodelista"/>
        <w:tabs>
          <w:tab w:val="left" w:pos="142"/>
          <w:tab w:val="left" w:pos="284"/>
        </w:tabs>
        <w:spacing w:line="276" w:lineRule="auto"/>
        <w:ind w:left="0"/>
        <w:jc w:val="both"/>
        <w:rPr>
          <w:rFonts w:ascii="Verdana" w:eastAsia="Century Gothic" w:hAnsi="Verdana" w:cs="Century Gothic"/>
          <w:b/>
          <w:bCs/>
        </w:rPr>
      </w:pPr>
    </w:p>
    <w:p w14:paraId="41C0FAC6" w14:textId="77777777" w:rsidR="00127D60" w:rsidRDefault="00127D60" w:rsidP="00127D60">
      <w:pPr>
        <w:spacing w:after="120" w:line="276" w:lineRule="auto"/>
        <w:ind w:firstLine="709"/>
        <w:jc w:val="both"/>
        <w:rPr>
          <w:rFonts w:ascii="Verdana" w:eastAsia="Calibri" w:hAnsi="Verdana" w:cs="Arial"/>
          <w:color w:val="000000"/>
          <w:lang w:val="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lang w:val="es-ES_tradnl"/>
        </w:rPr>
        <w:tab/>
      </w:r>
    </w:p>
    <w:p w14:paraId="236164BC" w14:textId="77777777" w:rsidR="00127D60" w:rsidRPr="00F2149B" w:rsidRDefault="00127D60" w:rsidP="00127D60">
      <w:pPr>
        <w:spacing w:line="276" w:lineRule="auto"/>
        <w:ind w:firstLine="709"/>
        <w:jc w:val="both"/>
        <w:rPr>
          <w:rFonts w:ascii="Verdana" w:eastAsia="Calibri" w:hAnsi="Verdana" w:cs="Arial"/>
          <w:color w:val="000000"/>
          <w:lang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w:t>
      </w:r>
      <w:r>
        <w:rPr>
          <w:rFonts w:ascii="Verdana" w:eastAsia="Calibri" w:hAnsi="Verdana" w:cs="Arial"/>
          <w:color w:val="000000"/>
          <w:lang w:val="es-ES" w:eastAsia="es-ES"/>
        </w:rPr>
        <w:t>señalando</w:t>
      </w:r>
      <w:r w:rsidRPr="00593A5F">
        <w:rPr>
          <w:rFonts w:ascii="Verdana" w:eastAsia="Calibri" w:hAnsi="Verdana" w:cs="Arial"/>
          <w:color w:val="000000"/>
          <w:lang w:val="es-ES" w:eastAsia="es-ES"/>
        </w:rPr>
        <w:t xml:space="preserve">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Pr="00F2149B">
        <w:rPr>
          <w:rFonts w:ascii="Verdana" w:eastAsia="Calibri" w:hAnsi="Verdana" w:cs="Arial"/>
          <w:color w:val="000000"/>
          <w:lang w:eastAsia="es-ES"/>
        </w:rPr>
        <w:t xml:space="preserve"> </w:t>
      </w:r>
    </w:p>
    <w:p w14:paraId="6A623BDD" w14:textId="77777777" w:rsidR="00127D60" w:rsidRPr="00593A5F" w:rsidRDefault="00127D60" w:rsidP="00127D60">
      <w:pPr>
        <w:spacing w:line="276" w:lineRule="auto"/>
        <w:ind w:firstLine="709"/>
        <w:jc w:val="both"/>
        <w:rPr>
          <w:rFonts w:ascii="Verdana" w:eastAsia="Calibri" w:hAnsi="Verdana" w:cs="Arial"/>
          <w:color w:val="000000"/>
          <w:lang w:val="es-ES" w:eastAsia="es-ES"/>
        </w:rPr>
      </w:pPr>
    </w:p>
    <w:p w14:paraId="559F76A2" w14:textId="77777777" w:rsidR="00127D60" w:rsidRPr="00593A5F" w:rsidRDefault="00127D60" w:rsidP="00127D6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61970D86" w14:textId="77777777" w:rsidR="00127D60" w:rsidRPr="00593A5F" w:rsidRDefault="00127D60" w:rsidP="00127D60">
      <w:pPr>
        <w:tabs>
          <w:tab w:val="left" w:pos="426"/>
        </w:tabs>
        <w:spacing w:line="276" w:lineRule="auto"/>
        <w:jc w:val="both"/>
        <w:rPr>
          <w:rFonts w:ascii="Verdana" w:eastAsia="Century Gothic" w:hAnsi="Verdana" w:cs="Century Gothic"/>
          <w:lang w:val="es-ES"/>
        </w:rPr>
      </w:pPr>
    </w:p>
    <w:p w14:paraId="7AEEC45D" w14:textId="77777777" w:rsidR="00127D60" w:rsidRPr="00593A5F" w:rsidRDefault="00127D60" w:rsidP="00127D60">
      <w:pPr>
        <w:spacing w:line="276" w:lineRule="auto"/>
        <w:jc w:val="both"/>
        <w:rPr>
          <w:rFonts w:ascii="Verdana" w:eastAsia="Century Gothic" w:hAnsi="Verdana" w:cs="Century Gothic"/>
        </w:rPr>
      </w:pPr>
      <w:r w:rsidRPr="1F9252E4">
        <w:rPr>
          <w:rFonts w:ascii="Verdana" w:eastAsia="Century Gothic" w:hAnsi="Verdana" w:cs="Century Gothic"/>
        </w:rPr>
        <w:t xml:space="preserve">De acuerdo con el contenido de su solicitud, esta Agencia resolverá el siguiente problema jurídico: </w:t>
      </w:r>
      <w:r>
        <w:rPr>
          <w:rFonts w:ascii="Verdana" w:eastAsia="Century Gothic" w:hAnsi="Verdana" w:cs="Century Gothic"/>
        </w:rPr>
        <w:t>¿Cuáles son los documentos que acreditan la idoneidad y la capacidad de las personas jurídicas para la celebración de un contrato de prestación de servicios?</w:t>
      </w:r>
    </w:p>
    <w:p w14:paraId="34F01933" w14:textId="77777777" w:rsidR="00127D60" w:rsidRPr="00593A5F" w:rsidRDefault="00127D60" w:rsidP="00127D60">
      <w:pPr>
        <w:spacing w:line="276" w:lineRule="auto"/>
        <w:jc w:val="both"/>
        <w:rPr>
          <w:rFonts w:ascii="Verdana" w:eastAsia="Calibri" w:hAnsi="Verdana" w:cs="Arial"/>
          <w:color w:val="7030A0"/>
          <w:lang w:val="es-ES"/>
        </w:rPr>
      </w:pPr>
    </w:p>
    <w:p w14:paraId="7A038547" w14:textId="77777777" w:rsidR="00127D60" w:rsidRPr="00593A5F" w:rsidRDefault="00127D60" w:rsidP="00127D6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41CE721" w14:textId="77777777" w:rsidR="00127D60" w:rsidRPr="00593A5F" w:rsidRDefault="00127D60" w:rsidP="00127D60">
      <w:pPr>
        <w:tabs>
          <w:tab w:val="left" w:pos="142"/>
          <w:tab w:val="left" w:pos="284"/>
        </w:tabs>
        <w:spacing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27D60" w:rsidRPr="00593A5F" w14:paraId="15CDFF98" w14:textId="77777777" w:rsidTr="00B15EBB">
        <w:tc>
          <w:tcPr>
            <w:tcW w:w="8828" w:type="dxa"/>
          </w:tcPr>
          <w:p w14:paraId="13DBE43D" w14:textId="717F93B0" w:rsidR="00127D60" w:rsidRPr="0059266F" w:rsidRDefault="00127D60" w:rsidP="004644D6">
            <w:pPr>
              <w:spacing w:line="276" w:lineRule="auto"/>
              <w:jc w:val="both"/>
              <w:rPr>
                <w:rFonts w:ascii="Verdana" w:eastAsia="Calibri" w:hAnsi="Verdana" w:cs="Arial"/>
              </w:rPr>
            </w:pPr>
            <w:r w:rsidRPr="0059266F">
              <w:rPr>
                <w:rFonts w:ascii="Verdana" w:hAnsi="Verdana"/>
                <w:lang w:eastAsia="es-MX"/>
              </w:rPr>
              <w:lastRenderedPageBreak/>
              <w:t>En efecto, el artículo 2.2.1.2.1.4.9. del Decreto 1082 de 2015 establece que las Entidades Estatales pueden contratar bajo esta modalidad con la persona natural o jurídica que esté en capacidad de ejecutar el objeto del contrato, siempre y cuando verifiquen la idoneidad o experiencia requerida y relacionada con el área de que se trate. Por tanto, no se exige inscripción en el Registro Único de Proponentes (RUP), y la verificación de la capacidad se realiza directamente con los soportes documentales.</w:t>
            </w:r>
          </w:p>
          <w:p w14:paraId="75CFA663" w14:textId="77777777" w:rsidR="00127D60" w:rsidRDefault="00127D60" w:rsidP="00B15EBB">
            <w:pPr>
              <w:spacing w:before="100" w:beforeAutospacing="1" w:after="100" w:afterAutospacing="1" w:line="276" w:lineRule="auto"/>
              <w:jc w:val="both"/>
              <w:rPr>
                <w:rFonts w:ascii="Verdana" w:hAnsi="Verdana"/>
                <w:lang w:eastAsia="es-MX"/>
              </w:rPr>
            </w:pPr>
            <w:r>
              <w:rPr>
                <w:rFonts w:ascii="Verdana" w:hAnsi="Verdana"/>
                <w:lang w:eastAsia="es-MX"/>
              </w:rPr>
              <w:t xml:space="preserve">       </w:t>
            </w:r>
            <w:r w:rsidRPr="0059266F">
              <w:rPr>
                <w:rFonts w:ascii="Verdana" w:hAnsi="Verdana"/>
                <w:lang w:eastAsia="es-MX"/>
              </w:rPr>
              <w:t xml:space="preserve">Siguiendo los lineamientos de la </w:t>
            </w:r>
            <w:r w:rsidRPr="0059266F">
              <w:rPr>
                <w:rFonts w:ascii="Verdana" w:hAnsi="Verdana"/>
                <w:i/>
                <w:lang w:eastAsia="es-MX"/>
              </w:rPr>
              <w:t>Guía para la contratación de prestación de servicios</w:t>
            </w:r>
            <w:r w:rsidRPr="0059266F">
              <w:rPr>
                <w:rFonts w:ascii="Verdana" w:hAnsi="Verdana"/>
                <w:lang w:eastAsia="es-MX"/>
              </w:rPr>
              <w:t>,</w:t>
            </w:r>
            <w:r>
              <w:rPr>
                <w:rFonts w:ascii="Verdana" w:hAnsi="Verdana"/>
                <w:lang w:eastAsia="es-MX"/>
              </w:rPr>
              <w:t xml:space="preserve"> expedida por esta Agencia de Contratación Pública – Colombia Compra Eficiente,</w:t>
            </w:r>
            <w:r w:rsidRPr="0059266F">
              <w:rPr>
                <w:rFonts w:ascii="Verdana" w:hAnsi="Verdana"/>
                <w:lang w:eastAsia="es-MX"/>
              </w:rPr>
              <w:t xml:space="preserve"> tratándose de personas jurídicas, la Entidad Estatal debe verificar la capacidad jurídica mediante el Certificado de Existencia y Representación Legal, constatando que la sociedad esté debidamente constituida, que su vigencia cubra el plazo del contrato y que su objeto social contemple las actividades a contratar. De igual forma, la idoneidad y experiencia se acreditan mediante los documentos que la Entidad considere pertinentes para demostrar la trayectoria en el área requerida, siendo los soportes idóneos las certificaciones de contratos anteriores, copias de contratos ejecutados junto con sus actas de liquidación o recibos a satisfacción.</w:t>
            </w:r>
          </w:p>
          <w:p w14:paraId="3A2F26F1" w14:textId="2D3D9DFB" w:rsidR="00127D60" w:rsidRPr="0059266F" w:rsidRDefault="00127D60" w:rsidP="00B15EBB">
            <w:pPr>
              <w:spacing w:before="100" w:beforeAutospacing="1" w:after="100" w:afterAutospacing="1" w:line="276" w:lineRule="auto"/>
              <w:jc w:val="both"/>
              <w:rPr>
                <w:rFonts w:ascii="Verdana" w:hAnsi="Verdana"/>
                <w:lang w:eastAsia="es-MX"/>
              </w:rPr>
            </w:pPr>
            <w:r>
              <w:rPr>
                <w:rFonts w:ascii="Verdana" w:hAnsi="Verdana"/>
                <w:lang w:eastAsia="es-MX"/>
              </w:rPr>
              <w:t xml:space="preserve">         </w:t>
            </w:r>
            <w:r w:rsidRPr="0059266F">
              <w:rPr>
                <w:rFonts w:ascii="Verdana" w:hAnsi="Verdana"/>
                <w:lang w:eastAsia="es-MX"/>
              </w:rPr>
              <w:t xml:space="preserve">Por otra parte, frente a los requisitos formales, </w:t>
            </w:r>
            <w:r w:rsidRPr="006863BC">
              <w:rPr>
                <w:rFonts w:ascii="Verdana" w:hAnsi="Verdana"/>
                <w:lang w:eastAsia="es-MX"/>
              </w:rPr>
              <w:t>la Guía</w:t>
            </w:r>
            <w:r w:rsidRPr="0059266F">
              <w:rPr>
                <w:rFonts w:ascii="Verdana" w:hAnsi="Verdana"/>
                <w:lang w:eastAsia="es-MX"/>
              </w:rPr>
              <w:t xml:space="preserve"> recuerda que una de las características de los contratos de prestación de servicios es el cumplimiento del artículo 1 de la Ley 190 de 1995. Esta norma establece que todo aspirante a celebrar un contrato de prestación de servicios con la administración debe presentar el Formato Único de Hoja de Vida. Aunque el contrato se celebre con una persona jurídica, la obligación se mantiene vigente y se materializa a través del formato específico reglamentado por el Departamento Administrativo de la Función Pública (DAFP) en la Resolución 580 de 1999, el cual debe ser diligenciado en el momento de la celebración del contrato, </w:t>
            </w:r>
            <w:r w:rsidRPr="0059266F">
              <w:rPr>
                <w:rFonts w:ascii="Verdana" w:hAnsi="Verdana"/>
                <w:lang w:eastAsia="es-MX"/>
              </w:rPr>
              <w:lastRenderedPageBreak/>
              <w:t xml:space="preserve">constituyéndose en un requisito de </w:t>
            </w:r>
            <w:r w:rsidR="001616C8">
              <w:rPr>
                <w:rFonts w:ascii="Verdana" w:hAnsi="Verdana"/>
                <w:lang w:eastAsia="es-MX"/>
              </w:rPr>
              <w:t>L</w:t>
            </w:r>
            <w:r w:rsidRPr="0059266F">
              <w:rPr>
                <w:rFonts w:ascii="Verdana" w:hAnsi="Verdana"/>
                <w:lang w:eastAsia="es-MX"/>
              </w:rPr>
              <w:t>ey obligatorio para el perfeccionamiento de esta tipología contractual.</w:t>
            </w:r>
          </w:p>
          <w:p w14:paraId="3DF5B282" w14:textId="77777777" w:rsidR="00127D60" w:rsidRPr="00331CAE" w:rsidRDefault="00127D60" w:rsidP="00B15EBB">
            <w:pPr>
              <w:spacing w:before="100" w:beforeAutospacing="1" w:after="100" w:afterAutospacing="1" w:line="276" w:lineRule="auto"/>
              <w:jc w:val="both"/>
              <w:rPr>
                <w:rFonts w:ascii="Verdana" w:hAnsi="Verdana"/>
                <w:lang w:eastAsia="es-MX"/>
              </w:rPr>
            </w:pPr>
            <w:r>
              <w:rPr>
                <w:rFonts w:ascii="Verdana" w:hAnsi="Verdana"/>
                <w:lang w:eastAsia="es-MX"/>
              </w:rPr>
              <w:t xml:space="preserve">        </w:t>
            </w:r>
            <w:r w:rsidRPr="0059266F">
              <w:rPr>
                <w:rFonts w:ascii="Verdana" w:hAnsi="Verdana"/>
                <w:lang w:eastAsia="es-MX"/>
              </w:rPr>
              <w:t>Finalmente, la Entidad Estatal tiene el deber de verificar que el contratista no se encuentre incurso en causales de inhabilidad o incompatibilidad, para lo cual debe consultar los antecedentes fiscales ante la Contraloría, disciplinarios ante la Procuraduría y judiciales ante la Policía Nacional. Asimismo, para la ejecución del contrato, es indispensable verificar la afiliación y pago de aportes al Sistema de Seguridad Social Integral y parafiscales, si a ello hubiere lugar, conforme a las normas vigentes.</w:t>
            </w:r>
            <w:r>
              <w:rPr>
                <w:rFonts w:ascii="Verdana" w:hAnsi="Verdana"/>
              </w:rPr>
              <w:t xml:space="preserve"> </w:t>
            </w:r>
          </w:p>
        </w:tc>
      </w:tr>
    </w:tbl>
    <w:p w14:paraId="1AD31FF2" w14:textId="77777777" w:rsidR="00127D60" w:rsidRPr="00593A5F" w:rsidRDefault="00127D60" w:rsidP="00127D60">
      <w:pPr>
        <w:tabs>
          <w:tab w:val="left" w:pos="142"/>
          <w:tab w:val="left" w:pos="284"/>
        </w:tabs>
        <w:spacing w:line="276" w:lineRule="auto"/>
        <w:jc w:val="both"/>
        <w:rPr>
          <w:rFonts w:ascii="Verdana" w:eastAsia="Century Gothic" w:hAnsi="Verdana" w:cs="Century Gothic"/>
          <w:b/>
          <w:bCs/>
          <w:lang w:val="es-ES"/>
        </w:rPr>
      </w:pPr>
    </w:p>
    <w:p w14:paraId="307D4375" w14:textId="77777777" w:rsidR="00127D60" w:rsidRPr="00593A5F" w:rsidRDefault="00127D60" w:rsidP="00127D6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091B05A" w14:textId="77777777" w:rsidR="00127D60" w:rsidRPr="00593A5F" w:rsidRDefault="00127D60" w:rsidP="00127D60">
      <w:pPr>
        <w:spacing w:line="276" w:lineRule="auto"/>
        <w:jc w:val="both"/>
        <w:rPr>
          <w:rFonts w:ascii="Verdana" w:eastAsia="Calibri" w:hAnsi="Verdana" w:cs="Arial"/>
          <w:color w:val="7030A0"/>
          <w:lang w:val="es-ES"/>
        </w:rPr>
      </w:pPr>
    </w:p>
    <w:p w14:paraId="0027462A" w14:textId="77777777" w:rsidR="00127D60" w:rsidRDefault="00127D60" w:rsidP="00127D60">
      <w:pPr>
        <w:spacing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7DBB6816" w14:textId="77777777" w:rsidR="00127D60" w:rsidRDefault="00127D60" w:rsidP="00127D60">
      <w:pPr>
        <w:spacing w:line="276" w:lineRule="auto"/>
        <w:jc w:val="both"/>
        <w:rPr>
          <w:rFonts w:ascii="Verdana" w:eastAsia="Calibri" w:hAnsi="Verdana" w:cs="Arial"/>
          <w:lang w:val="es-ES"/>
        </w:rPr>
      </w:pPr>
    </w:p>
    <w:p w14:paraId="199501FE" w14:textId="77777777" w:rsidR="00127D60" w:rsidRDefault="00127D60" w:rsidP="00127D60">
      <w:pPr>
        <w:tabs>
          <w:tab w:val="left" w:pos="0"/>
        </w:tabs>
        <w:spacing w:after="120" w:line="276" w:lineRule="auto"/>
        <w:jc w:val="both"/>
        <w:rPr>
          <w:rFonts w:ascii="Verdana" w:eastAsia="Calibri" w:hAnsi="Verdana" w:cs="Arial"/>
          <w:lang w:val="es-ES_tradnl"/>
        </w:rPr>
      </w:pPr>
      <w:bookmarkStart w:id="1" w:name="_Hlk98159554"/>
      <w:bookmarkStart w:id="2" w:name="_Hlk97545054"/>
      <w:r>
        <w:rPr>
          <w:rFonts w:ascii="Verdana" w:eastAsia="Calibri" w:hAnsi="Verdana" w:cs="Arial"/>
          <w:lang w:val="es-MX"/>
        </w:rPr>
        <w:t xml:space="preserve">i) </w:t>
      </w:r>
      <w:r w:rsidRPr="00472251">
        <w:rPr>
          <w:rFonts w:ascii="Verdana" w:eastAsia="Calibri" w:hAnsi="Verdana" w:cs="Arial"/>
          <w:lang w:val="es-MX"/>
        </w:rPr>
        <w:t>El contrato de prestación de servicios es un contrato estatal típico, regulado en el numeral 3 del artículo 32 de la Ley 80 de 1993. Es</w:t>
      </w:r>
      <w:r>
        <w:rPr>
          <w:rFonts w:ascii="Verdana" w:eastAsia="Calibri" w:hAnsi="Verdana" w:cs="Arial"/>
          <w:lang w:val="es-MX"/>
        </w:rPr>
        <w:t>te es</w:t>
      </w:r>
      <w:r w:rsidRPr="00472251">
        <w:rPr>
          <w:rFonts w:ascii="Verdana" w:eastAsia="Calibri" w:hAnsi="Verdana" w:cs="Arial"/>
          <w:lang w:val="es-MX"/>
        </w:rPr>
        <w:t xml:space="preserve">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sidRPr="00472251">
        <w:rPr>
          <w:rFonts w:ascii="Verdana" w:eastAsia="Calibri" w:hAnsi="Verdana" w:cs="Arial"/>
          <w:lang w:val="es-ES_tradnl"/>
        </w:rPr>
        <w:t xml:space="preserve"> </w:t>
      </w:r>
    </w:p>
    <w:p w14:paraId="047A21A7" w14:textId="77777777" w:rsidR="00127D60" w:rsidRPr="00472251" w:rsidRDefault="00127D60" w:rsidP="00127D60">
      <w:pPr>
        <w:spacing w:line="276" w:lineRule="auto"/>
        <w:jc w:val="both"/>
        <w:rPr>
          <w:rFonts w:ascii="Verdana" w:eastAsia="Calibri" w:hAnsi="Verdana" w:cs="Arial"/>
          <w:color w:val="000000"/>
          <w:lang w:val="es-ES"/>
        </w:rPr>
      </w:pPr>
      <w:r>
        <w:rPr>
          <w:rFonts w:ascii="Verdana" w:eastAsia="Calibri" w:hAnsi="Verdana" w:cs="Arial"/>
          <w:lang w:val="es-ES_tradnl"/>
        </w:rPr>
        <w:tab/>
      </w:r>
      <w:r w:rsidRPr="737FE761">
        <w:rPr>
          <w:rFonts w:ascii="Verdana" w:eastAsia="Calibri" w:hAnsi="Verdana" w:cs="Arial"/>
          <w:lang w:val="es-ES"/>
        </w:rPr>
        <w:t xml:space="preserve">La celebración de este tipo de contratos debe efectuarse a través de la modalidad de contratación directa. </w:t>
      </w:r>
      <w:r w:rsidRPr="737FE761">
        <w:rPr>
          <w:rFonts w:ascii="Verdana" w:eastAsia="Calibri" w:hAnsi="Verdana" w:cs="Arial"/>
          <w:color w:val="000000"/>
          <w:lang w:val="es-ES"/>
        </w:rPr>
        <w:t>Así lo dispone el artículo 2, numeral 4º, literal h), de la Ley 1150 de 2007:</w:t>
      </w:r>
    </w:p>
    <w:p w14:paraId="5C69B5DE" w14:textId="77777777" w:rsidR="00127D60" w:rsidRPr="008D5288" w:rsidRDefault="00127D60" w:rsidP="00127D60">
      <w:pPr>
        <w:spacing w:line="276" w:lineRule="auto"/>
        <w:ind w:left="709" w:right="709"/>
        <w:jc w:val="both"/>
        <w:rPr>
          <w:rFonts w:ascii="Verdana" w:eastAsia="Calibri" w:hAnsi="Verdana" w:cs="Arial"/>
          <w:color w:val="000000"/>
          <w:lang w:val="es-ES_tradnl"/>
        </w:rPr>
      </w:pPr>
    </w:p>
    <w:p w14:paraId="5E72FA4F" w14:textId="77777777" w:rsidR="00127D60" w:rsidRPr="00472251" w:rsidRDefault="00127D60" w:rsidP="00127D60">
      <w:pPr>
        <w:ind w:left="709" w:right="709"/>
        <w:jc w:val="both"/>
        <w:rPr>
          <w:rFonts w:ascii="Verdana" w:eastAsia="Calibri" w:hAnsi="Verdana" w:cs="Arial"/>
          <w:color w:val="000000"/>
          <w:sz w:val="20"/>
          <w:szCs w:val="20"/>
          <w:lang w:val="es-MX"/>
        </w:rPr>
      </w:pPr>
      <w:r w:rsidRPr="00472251">
        <w:rPr>
          <w:rFonts w:ascii="Verdana" w:eastAsia="Calibri" w:hAnsi="Verdana" w:cs="Arial"/>
          <w:color w:val="000000"/>
          <w:sz w:val="20"/>
          <w:szCs w:val="20"/>
          <w:lang w:val="es-MX"/>
        </w:rPr>
        <w:t xml:space="preserve">“La escogencia del contratista se efectuará con arreglo a las modalidades de selección de licitación pública, selección abreviada, concurso de méritos y contratación directa, con base en las siguientes reglas: […] 4. Contratación directa. La modalidad de selección de contratación directa solamente procederá en los siguientes casos: […] h) Para la prestación de servicios profesionales y de apoyo a la gestión, o para la ejecución de </w:t>
      </w:r>
      <w:r w:rsidRPr="00472251">
        <w:rPr>
          <w:rFonts w:ascii="Verdana" w:eastAsia="Calibri" w:hAnsi="Verdana" w:cs="Arial"/>
          <w:color w:val="000000"/>
          <w:sz w:val="20"/>
          <w:szCs w:val="20"/>
          <w:lang w:val="es-MX"/>
        </w:rPr>
        <w:lastRenderedPageBreak/>
        <w:t>trabajos artísticos que sólo puedan encomendarse a determinadas personas naturales”.</w:t>
      </w:r>
    </w:p>
    <w:p w14:paraId="7BF9A1C8" w14:textId="77777777" w:rsidR="00127D60" w:rsidRPr="008D5288" w:rsidRDefault="00127D60" w:rsidP="00127D60">
      <w:pPr>
        <w:spacing w:line="276" w:lineRule="auto"/>
        <w:ind w:left="709" w:right="709"/>
        <w:jc w:val="both"/>
        <w:rPr>
          <w:rFonts w:ascii="Verdana" w:eastAsia="Calibri" w:hAnsi="Verdana" w:cs="Arial"/>
          <w:lang w:val="es-MX"/>
        </w:rPr>
      </w:pPr>
    </w:p>
    <w:p w14:paraId="32C063E0" w14:textId="77777777" w:rsidR="00127D60" w:rsidRPr="00A7405A" w:rsidRDefault="00127D60" w:rsidP="00127D60">
      <w:pPr>
        <w:tabs>
          <w:tab w:val="left" w:pos="0"/>
        </w:tabs>
        <w:spacing w:line="276" w:lineRule="auto"/>
        <w:jc w:val="both"/>
        <w:rPr>
          <w:rFonts w:ascii="Verdana" w:hAnsi="Verdana" w:cs="Arial"/>
          <w:noProof/>
          <w:lang w:val="es-ES_tradnl"/>
        </w:rPr>
      </w:pPr>
      <w:r>
        <w:rPr>
          <w:rFonts w:ascii="Verdana" w:hAnsi="Verdana" w:cs="Arial"/>
          <w:noProof/>
          <w:lang w:val="es-ES_tradnl"/>
        </w:rPr>
        <w:tab/>
      </w:r>
      <w:r w:rsidRPr="00A7405A">
        <w:rPr>
          <w:rFonts w:ascii="Verdana" w:hAnsi="Verdana" w:cs="Arial"/>
          <w:noProof/>
          <w:lang w:val="es-ES_tradnl"/>
        </w:rPr>
        <w:t>En tal sentido, el Decreto 1082 de 2015</w:t>
      </w:r>
      <w:r>
        <w:rPr>
          <w:rFonts w:ascii="Verdana" w:hAnsi="Verdana" w:cs="Arial"/>
          <w:noProof/>
          <w:lang w:val="es-ES_tradnl"/>
        </w:rPr>
        <w:t>,</w:t>
      </w:r>
      <w:r w:rsidRPr="00A7405A">
        <w:rPr>
          <w:rFonts w:ascii="Verdana" w:hAnsi="Verdana" w:cs="Arial"/>
          <w:noProof/>
          <w:lang w:val="es-ES_tradnl"/>
        </w:rPr>
        <w:t xml:space="preserve"> en el </w:t>
      </w:r>
      <w:r>
        <w:rPr>
          <w:rFonts w:ascii="Verdana" w:hAnsi="Verdana" w:cs="Arial"/>
          <w:noProof/>
          <w:lang w:val="es-ES_tradnl"/>
        </w:rPr>
        <w:t>a</w:t>
      </w:r>
      <w:r w:rsidRPr="00A7405A">
        <w:rPr>
          <w:rFonts w:ascii="Verdana" w:hAnsi="Verdana" w:cs="Arial"/>
          <w:noProof/>
          <w:lang w:val="es-ES_tradnl"/>
        </w:rPr>
        <w:t>rtículo 2.2.1.2.1.4.9.</w:t>
      </w:r>
      <w:r>
        <w:rPr>
          <w:rFonts w:ascii="Verdana" w:hAnsi="Verdana" w:cs="Arial"/>
          <w:noProof/>
          <w:lang w:val="es-ES_tradnl"/>
        </w:rPr>
        <w:t>,</w:t>
      </w:r>
      <w:r w:rsidRPr="00A7405A">
        <w:rPr>
          <w:rFonts w:ascii="Verdana" w:hAnsi="Verdana" w:cs="Arial"/>
          <w:noProof/>
          <w:lang w:val="es-ES_tradnl"/>
        </w:rPr>
        <w:t xml:space="preserve"> reglamenta la contratación directa para los contratos de servicios profesionales y de apoyo a la gestión, o para la ejecución de trabajos artísticos que solo puedan encomendarse a determinadas personas naturales, en los siguientes términos:</w:t>
      </w:r>
    </w:p>
    <w:p w14:paraId="19C469B6" w14:textId="77777777" w:rsidR="00127D60" w:rsidRPr="00A7405A" w:rsidRDefault="00127D60" w:rsidP="00127D60">
      <w:pPr>
        <w:spacing w:line="276" w:lineRule="auto"/>
        <w:jc w:val="both"/>
        <w:rPr>
          <w:rFonts w:ascii="Verdana" w:hAnsi="Verdana" w:cs="Arial"/>
          <w:lang w:val="es-ES"/>
        </w:rPr>
      </w:pPr>
    </w:p>
    <w:p w14:paraId="1F181CB9" w14:textId="77777777" w:rsidR="00127D60" w:rsidRPr="00A7405A" w:rsidRDefault="00127D60" w:rsidP="00127D60">
      <w:pPr>
        <w:ind w:left="709" w:right="709"/>
        <w:jc w:val="both"/>
        <w:rPr>
          <w:rFonts w:ascii="Verdana" w:hAnsi="Verdana" w:cs="Arial"/>
          <w:sz w:val="20"/>
          <w:szCs w:val="20"/>
          <w:lang w:val="es-MX"/>
        </w:rPr>
      </w:pPr>
      <w:r w:rsidRPr="00A7405A">
        <w:rPr>
          <w:rFonts w:ascii="Verdana" w:hAnsi="Verdana" w:cs="Arial"/>
          <w:sz w:val="20"/>
          <w:szCs w:val="20"/>
          <w:lang w:val="es-MX"/>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7B12A21F" w14:textId="77777777" w:rsidR="00127D60" w:rsidRPr="00A7405A" w:rsidRDefault="00127D60" w:rsidP="00127D60">
      <w:pPr>
        <w:ind w:left="709" w:right="709"/>
        <w:jc w:val="both"/>
        <w:rPr>
          <w:rFonts w:ascii="Verdana" w:hAnsi="Verdana" w:cs="Arial"/>
          <w:sz w:val="20"/>
          <w:szCs w:val="20"/>
        </w:rPr>
      </w:pPr>
    </w:p>
    <w:p w14:paraId="14E272F4" w14:textId="77777777" w:rsidR="00127D60" w:rsidRPr="00A7405A" w:rsidRDefault="00127D60" w:rsidP="00127D60">
      <w:pPr>
        <w:ind w:left="709" w:right="709"/>
        <w:jc w:val="both"/>
        <w:rPr>
          <w:rFonts w:ascii="Verdana" w:hAnsi="Verdana" w:cs="Arial"/>
          <w:sz w:val="20"/>
          <w:szCs w:val="20"/>
          <w:lang w:val="es-MX"/>
        </w:rPr>
      </w:pPr>
      <w:r w:rsidRPr="00A7405A">
        <w:rPr>
          <w:rFonts w:ascii="Verdana" w:hAnsi="Verdana" w:cs="Arial"/>
          <w:sz w:val="20"/>
          <w:szCs w:val="20"/>
          <w:lang w:val="es-MX"/>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4E60BF80" w14:textId="77777777" w:rsidR="00127D60" w:rsidRPr="00A7405A" w:rsidRDefault="00127D60" w:rsidP="00127D60">
      <w:pPr>
        <w:ind w:left="709" w:right="709"/>
        <w:jc w:val="both"/>
        <w:rPr>
          <w:rFonts w:ascii="Verdana" w:hAnsi="Verdana" w:cs="Arial"/>
          <w:sz w:val="20"/>
          <w:szCs w:val="20"/>
          <w:lang w:val="es-MX"/>
        </w:rPr>
      </w:pPr>
    </w:p>
    <w:p w14:paraId="709F6890" w14:textId="77777777" w:rsidR="00127D60" w:rsidRPr="00A7405A" w:rsidRDefault="00127D60" w:rsidP="00127D60">
      <w:pPr>
        <w:ind w:left="709" w:right="709"/>
        <w:jc w:val="both"/>
        <w:rPr>
          <w:rFonts w:ascii="Verdana" w:hAnsi="Verdana" w:cs="Arial"/>
          <w:sz w:val="20"/>
          <w:szCs w:val="20"/>
          <w:lang w:val="es-MX"/>
        </w:rPr>
      </w:pPr>
      <w:r w:rsidRPr="00A7405A">
        <w:rPr>
          <w:rFonts w:ascii="Verdana" w:hAnsi="Verdana" w:cs="Arial"/>
          <w:sz w:val="20"/>
          <w:szCs w:val="20"/>
          <w:lang w:val="es-MX"/>
        </w:rPr>
        <w:t>La Entidad Estatal, para la contratación de trabajos artísticos que solamente puedan en</w:t>
      </w:r>
      <w:r w:rsidRPr="00A7405A">
        <w:rPr>
          <w:rFonts w:ascii="Verdana" w:hAnsi="Verdana" w:cs="Arial"/>
          <w:sz w:val="20"/>
          <w:szCs w:val="20"/>
          <w:lang w:val="es-MX"/>
        </w:rPr>
        <w:softHyphen/>
        <w:t>comendarse a determinadas personas naturales, debe justificar esta situación en los estudios y documentos previos”.</w:t>
      </w:r>
    </w:p>
    <w:p w14:paraId="2E7B5F10" w14:textId="77777777" w:rsidR="00127D60" w:rsidRDefault="00127D60" w:rsidP="00127D60">
      <w:pPr>
        <w:spacing w:line="276" w:lineRule="auto"/>
        <w:ind w:firstLine="708"/>
        <w:jc w:val="both"/>
        <w:rPr>
          <w:rFonts w:ascii="Verdana" w:eastAsia="Calibri" w:hAnsi="Verdana" w:cs="Arial"/>
          <w:lang w:val="es-ES"/>
        </w:rPr>
      </w:pPr>
    </w:p>
    <w:p w14:paraId="4DFAC14D" w14:textId="77777777" w:rsidR="00127D60" w:rsidRPr="00472251" w:rsidRDefault="00127D60" w:rsidP="00127D60">
      <w:pPr>
        <w:spacing w:after="120" w:line="276" w:lineRule="auto"/>
        <w:ind w:firstLine="708"/>
        <w:jc w:val="both"/>
        <w:rPr>
          <w:rFonts w:ascii="Verdana" w:eastAsia="Calibri" w:hAnsi="Verdana" w:cs="Arial"/>
          <w:lang w:val="es-ES"/>
        </w:rPr>
      </w:pPr>
      <w:r w:rsidRPr="00472251">
        <w:rPr>
          <w:rFonts w:ascii="Verdana" w:eastAsia="Calibri" w:hAnsi="Verdana" w:cs="Arial"/>
          <w:lang w:val="es-ES"/>
        </w:rPr>
        <w:t xml:space="preserve">Ahora bien, sus principales características son: </w:t>
      </w:r>
      <w:r w:rsidRPr="00BD24AD">
        <w:rPr>
          <w:rFonts w:ascii="Verdana" w:eastAsia="Calibri" w:hAnsi="Verdana" w:cs="Arial"/>
          <w:i/>
          <w:iCs/>
          <w:lang w:val="es-ES"/>
        </w:rPr>
        <w:t>i)</w:t>
      </w:r>
      <w:r w:rsidRPr="00472251">
        <w:rPr>
          <w:rFonts w:ascii="Verdana" w:eastAsia="Calibri" w:hAnsi="Verdana" w:cs="Arial"/>
          <w:lang w:val="es-ES"/>
        </w:rPr>
        <w:t xml:space="preserve"> Solo puede celebrarse para realizar “actividades relacionadas con la administración o funcionamiento de la entidad”, es decir, que hagan parte de su giro ordinario o quehacer cotidiano. </w:t>
      </w:r>
      <w:proofErr w:type="spellStart"/>
      <w:r w:rsidRPr="00BD24AD">
        <w:rPr>
          <w:rFonts w:ascii="Verdana" w:eastAsia="Calibri" w:hAnsi="Verdana" w:cs="Arial"/>
          <w:i/>
          <w:iCs/>
          <w:lang w:val="es-ES"/>
        </w:rPr>
        <w:t>ii</w:t>
      </w:r>
      <w:proofErr w:type="spellEnd"/>
      <w:r w:rsidRPr="00BD24AD">
        <w:rPr>
          <w:rFonts w:ascii="Verdana" w:eastAsia="Calibri" w:hAnsi="Verdana" w:cs="Arial"/>
          <w:i/>
          <w:iCs/>
          <w:lang w:val="es-ES"/>
        </w:rPr>
        <w:t>)</w:t>
      </w:r>
      <w:r w:rsidRPr="00472251">
        <w:rPr>
          <w:rFonts w:ascii="Verdana" w:eastAsia="Calibri" w:hAnsi="Verdana" w:cs="Arial"/>
          <w:lang w:val="es-ES"/>
        </w:rPr>
        <w:t xml:space="preserve">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w:t>
      </w:r>
      <w:proofErr w:type="spellStart"/>
      <w:r w:rsidRPr="00BD24AD">
        <w:rPr>
          <w:rFonts w:ascii="Verdana" w:eastAsia="Calibri" w:hAnsi="Verdana" w:cs="Arial"/>
          <w:i/>
          <w:iCs/>
          <w:lang w:val="es-ES"/>
        </w:rPr>
        <w:t>iii</w:t>
      </w:r>
      <w:proofErr w:type="spellEnd"/>
      <w:r w:rsidRPr="00BD24AD">
        <w:rPr>
          <w:rFonts w:ascii="Verdana" w:eastAsia="Calibri" w:hAnsi="Verdana" w:cs="Arial"/>
          <w:i/>
          <w:iCs/>
          <w:lang w:val="es-ES"/>
        </w:rPr>
        <w:t>)</w:t>
      </w:r>
      <w:r w:rsidRPr="00472251">
        <w:rPr>
          <w:rFonts w:ascii="Verdana" w:eastAsia="Calibri" w:hAnsi="Verdana" w:cs="Arial"/>
          <w:lang w:val="es-ES"/>
        </w:rPr>
        <w:t xml:space="preserve"> Si bien se celebra para obtener la prestación personal de un servicio, se diferencian del contrato de trabajo en que quien celebra el contrato de prestación de servicios profesionales debe mantener autonomía e independencia en la ejecución </w:t>
      </w:r>
      <w:r w:rsidRPr="00472251">
        <w:rPr>
          <w:rFonts w:ascii="Verdana" w:eastAsia="Calibri" w:hAnsi="Verdana" w:cs="Arial"/>
          <w:lang w:val="es-ES"/>
        </w:rPr>
        <w:lastRenderedPageBreak/>
        <w:t xml:space="preserve">de la labor, lo que significa que no puede existir la </w:t>
      </w:r>
      <w:r w:rsidRPr="00472251">
        <w:rPr>
          <w:rFonts w:ascii="Verdana" w:eastAsia="Calibri" w:hAnsi="Verdana" w:cs="Arial"/>
          <w:i/>
          <w:lang w:val="es-ES"/>
        </w:rPr>
        <w:t>subordinación y dependencia</w:t>
      </w:r>
      <w:r>
        <w:rPr>
          <w:rFonts w:ascii="Verdana" w:eastAsia="Calibri" w:hAnsi="Verdana" w:cs="Arial"/>
          <w:i/>
          <w:lang w:val="es-ES"/>
        </w:rPr>
        <w:t>,</w:t>
      </w:r>
      <w:r w:rsidRPr="00472251">
        <w:rPr>
          <w:rFonts w:ascii="Verdana" w:eastAsia="Calibri" w:hAnsi="Verdana" w:cs="Arial"/>
          <w:lang w:val="es-ES"/>
        </w:rPr>
        <w:t xml:space="preserve"> que s</w:t>
      </w:r>
      <w:r>
        <w:rPr>
          <w:rFonts w:ascii="Verdana" w:eastAsia="Calibri" w:hAnsi="Verdana" w:cs="Arial"/>
          <w:lang w:val="es-ES"/>
        </w:rPr>
        <w:t>on</w:t>
      </w:r>
      <w:r w:rsidRPr="00472251">
        <w:rPr>
          <w:rFonts w:ascii="Verdana" w:eastAsia="Calibri" w:hAnsi="Verdana" w:cs="Arial"/>
          <w:lang w:val="es-ES"/>
        </w:rPr>
        <w:t xml:space="preserve"> elementos constitutivos del vínculo laboral. </w:t>
      </w:r>
      <w:proofErr w:type="spellStart"/>
      <w:r w:rsidRPr="00BD24AD">
        <w:rPr>
          <w:rFonts w:ascii="Verdana" w:eastAsia="Calibri" w:hAnsi="Verdana" w:cs="Arial"/>
          <w:i/>
          <w:iCs/>
          <w:lang w:val="es-ES"/>
        </w:rPr>
        <w:t>iv</w:t>
      </w:r>
      <w:proofErr w:type="spellEnd"/>
      <w:r w:rsidRPr="00BD24AD">
        <w:rPr>
          <w:rFonts w:ascii="Verdana" w:eastAsia="Calibri" w:hAnsi="Verdana" w:cs="Arial"/>
          <w:i/>
          <w:iCs/>
          <w:lang w:val="es-ES"/>
        </w:rPr>
        <w:t>)</w:t>
      </w:r>
      <w:r w:rsidRPr="00472251">
        <w:rPr>
          <w:rFonts w:ascii="Verdana" w:eastAsia="Calibri" w:hAnsi="Verdana" w:cs="Arial"/>
          <w:lang w:val="es-ES"/>
        </w:rPr>
        <w:t xml:space="preserve"> Debe ser temporal. </w:t>
      </w:r>
      <w:r w:rsidRPr="00BD24AD">
        <w:rPr>
          <w:rFonts w:ascii="Verdana" w:eastAsia="Calibri" w:hAnsi="Verdana" w:cs="Arial"/>
          <w:i/>
          <w:iCs/>
          <w:lang w:val="es-ES"/>
        </w:rPr>
        <w:t>v)</w:t>
      </w:r>
      <w:r w:rsidRPr="00472251">
        <w:rPr>
          <w:rFonts w:ascii="Verdana" w:eastAsia="Calibri" w:hAnsi="Verdana" w:cs="Arial"/>
          <w:lang w:val="es-ES"/>
        </w:rPr>
        <w:t xml:space="preserve"> Hacen parte del género denominado </w:t>
      </w:r>
      <w:r w:rsidRPr="00472251">
        <w:rPr>
          <w:rFonts w:ascii="Verdana" w:eastAsia="Calibri" w:hAnsi="Verdana" w:cs="Arial"/>
          <w:i/>
          <w:lang w:val="es-ES"/>
        </w:rPr>
        <w:t>contratos de prestación de servicios</w:t>
      </w:r>
      <w:r w:rsidRPr="00472251">
        <w:rPr>
          <w:rFonts w:ascii="Verdana" w:eastAsia="Calibri" w:hAnsi="Verdana" w:cs="Arial"/>
          <w:lang w:val="es-ES"/>
        </w:rPr>
        <w:t>, dentro del cual también se ubican, como especies</w:t>
      </w:r>
      <w:r>
        <w:rPr>
          <w:rFonts w:ascii="Verdana" w:eastAsia="Calibri" w:hAnsi="Verdana" w:cs="Arial"/>
          <w:lang w:val="es-ES"/>
        </w:rPr>
        <w:t xml:space="preserve">: los contratos de prestación de servicios profesionales, </w:t>
      </w:r>
      <w:r w:rsidRPr="00472251">
        <w:rPr>
          <w:rFonts w:ascii="Verdana" w:eastAsia="Calibri" w:hAnsi="Verdana" w:cs="Arial"/>
          <w:lang w:val="es-ES"/>
        </w:rPr>
        <w:t xml:space="preserve">los contratos de prestación de servicios de apoyo a la gestión y los contratos de prestación de servicios artísticos. </w:t>
      </w:r>
      <w:r w:rsidRPr="00BD24AD">
        <w:rPr>
          <w:rFonts w:ascii="Verdana" w:eastAsia="Calibri" w:hAnsi="Verdana" w:cs="Arial"/>
          <w:i/>
          <w:iCs/>
          <w:lang w:val="es-ES"/>
        </w:rPr>
        <w:t>vi)</w:t>
      </w:r>
      <w:r w:rsidRPr="00472251">
        <w:rPr>
          <w:rFonts w:ascii="Verdana" w:eastAsia="Calibri" w:hAnsi="Verdana" w:cs="Arial"/>
          <w:lang w:val="es-ES"/>
        </w:rPr>
        <w:t xml:space="preserve"> Su celebración debe realizarse a través de la modalidad de contratación directa. </w:t>
      </w:r>
      <w:proofErr w:type="spellStart"/>
      <w:r w:rsidRPr="00BD24AD">
        <w:rPr>
          <w:rFonts w:ascii="Verdana" w:eastAsia="Calibri" w:hAnsi="Verdana" w:cs="Arial"/>
          <w:i/>
          <w:iCs/>
          <w:lang w:val="es-ES"/>
        </w:rPr>
        <w:t>vii</w:t>
      </w:r>
      <w:proofErr w:type="spellEnd"/>
      <w:r w:rsidRPr="00BD24AD">
        <w:rPr>
          <w:rFonts w:ascii="Verdana" w:eastAsia="Calibri" w:hAnsi="Verdana" w:cs="Arial"/>
          <w:i/>
          <w:iCs/>
          <w:lang w:val="es-ES"/>
        </w:rPr>
        <w:t>)</w:t>
      </w:r>
      <w:r w:rsidRPr="00472251">
        <w:rPr>
          <w:rFonts w:ascii="Verdana" w:eastAsia="Calibri" w:hAnsi="Verdana" w:cs="Arial"/>
          <w:lang w:val="es-ES"/>
        </w:rPr>
        <w:t xml:space="preserve"> Para su celebración no se requiere la expedición del acto administrativo de justificación de la contratación directa. </w:t>
      </w:r>
      <w:proofErr w:type="spellStart"/>
      <w:r w:rsidRPr="00BD24AD">
        <w:rPr>
          <w:rFonts w:ascii="Verdana" w:eastAsia="Calibri" w:hAnsi="Verdana" w:cs="Arial"/>
          <w:i/>
          <w:iCs/>
          <w:lang w:val="es-ES"/>
        </w:rPr>
        <w:t>viii</w:t>
      </w:r>
      <w:proofErr w:type="spellEnd"/>
      <w:r w:rsidRPr="00BD24AD">
        <w:rPr>
          <w:rFonts w:ascii="Verdana" w:eastAsia="Calibri" w:hAnsi="Verdana" w:cs="Arial"/>
          <w:i/>
          <w:iCs/>
          <w:lang w:val="es-ES"/>
        </w:rPr>
        <w:t>)</w:t>
      </w:r>
      <w:r w:rsidRPr="00472251">
        <w:rPr>
          <w:rFonts w:ascii="Verdana" w:eastAsia="Calibri" w:hAnsi="Verdana" w:cs="Arial"/>
          <w:lang w:val="es-ES"/>
        </w:rPr>
        <w:t xml:space="preserve"> Admite el pacto de cláusulas excepcionales. </w:t>
      </w:r>
      <w:proofErr w:type="spellStart"/>
      <w:r w:rsidRPr="00BD24AD">
        <w:rPr>
          <w:rFonts w:ascii="Verdana" w:eastAsia="Calibri" w:hAnsi="Verdana" w:cs="Arial"/>
          <w:i/>
          <w:iCs/>
          <w:lang w:val="es-ES"/>
        </w:rPr>
        <w:t>ix</w:t>
      </w:r>
      <w:proofErr w:type="spellEnd"/>
      <w:r w:rsidRPr="00BD24AD">
        <w:rPr>
          <w:rFonts w:ascii="Verdana" w:eastAsia="Calibri" w:hAnsi="Verdana" w:cs="Arial"/>
          <w:i/>
          <w:iCs/>
          <w:lang w:val="es-ES"/>
        </w:rPr>
        <w:t>)</w:t>
      </w:r>
      <w:r w:rsidRPr="00472251">
        <w:rPr>
          <w:rFonts w:ascii="Verdana" w:eastAsia="Calibri" w:hAnsi="Verdana" w:cs="Arial"/>
          <w:lang w:val="es-ES"/>
        </w:rPr>
        <w:t xml:space="preserve"> En él no es obligatoria la liquidación. </w:t>
      </w:r>
      <w:r w:rsidRPr="00BD24AD">
        <w:rPr>
          <w:rFonts w:ascii="Verdana" w:eastAsia="Calibri" w:hAnsi="Verdana" w:cs="Arial"/>
          <w:i/>
          <w:iCs/>
          <w:lang w:val="es-ES"/>
        </w:rPr>
        <w:t xml:space="preserve">x) </w:t>
      </w:r>
      <w:r w:rsidRPr="00472251">
        <w:rPr>
          <w:rFonts w:ascii="Verdana" w:eastAsia="Calibri" w:hAnsi="Verdana" w:cs="Arial"/>
          <w:lang w:val="es-ES"/>
        </w:rPr>
        <w:t xml:space="preserve">Para su celebración no se requiere inscripción en el Registro Único de Proponentes (RUP). </w:t>
      </w:r>
      <w:r w:rsidRPr="00BD24AD">
        <w:rPr>
          <w:rFonts w:ascii="Verdana" w:eastAsia="Calibri" w:hAnsi="Verdana" w:cs="Arial"/>
          <w:i/>
          <w:iCs/>
          <w:lang w:val="es-ES"/>
        </w:rPr>
        <w:t>xi)</w:t>
      </w:r>
      <w:r w:rsidRPr="00472251">
        <w:rPr>
          <w:rFonts w:ascii="Verdana" w:eastAsia="Calibri" w:hAnsi="Verdana" w:cs="Arial"/>
          <w:lang w:val="es-ES"/>
        </w:rPr>
        <w:t xml:space="preserve"> En él no son necesarias las garantías.</w:t>
      </w:r>
      <w:bookmarkEnd w:id="1"/>
      <w:bookmarkEnd w:id="2"/>
    </w:p>
    <w:p w14:paraId="27D694AB" w14:textId="77777777" w:rsidR="00127D60" w:rsidRDefault="00127D60" w:rsidP="00127D60">
      <w:pPr>
        <w:tabs>
          <w:tab w:val="left" w:pos="0"/>
        </w:tabs>
        <w:spacing w:before="120" w:line="276" w:lineRule="auto"/>
        <w:jc w:val="both"/>
        <w:rPr>
          <w:rFonts w:ascii="Verdana" w:eastAsia="Calibri" w:hAnsi="Verdana" w:cs="Arial"/>
          <w:color w:val="000000"/>
          <w:lang w:val="es-ES"/>
        </w:rPr>
      </w:pPr>
      <w:r w:rsidRPr="00472251">
        <w:rPr>
          <w:rFonts w:ascii="Verdana" w:eastAsia="Calibri" w:hAnsi="Verdana" w:cs="Arial"/>
          <w:color w:val="EE0000"/>
          <w:lang w:val="es-ES"/>
        </w:rPr>
        <w:tab/>
      </w:r>
      <w:r w:rsidRPr="00472251">
        <w:rPr>
          <w:rFonts w:ascii="Verdana" w:eastAsia="Calibri" w:hAnsi="Verdana" w:cs="Arial"/>
          <w:lang w:val="es-MX"/>
        </w:rPr>
        <w:t xml:space="preserve">Dentro de los tipos de contrato de prestación de servicios se incluyen </w:t>
      </w:r>
      <w:r w:rsidRPr="00472251">
        <w:rPr>
          <w:rFonts w:ascii="Verdana" w:eastAsia="Calibri" w:hAnsi="Verdana" w:cs="Arial"/>
          <w:lang w:val="es-ES"/>
        </w:rPr>
        <w:t>los contratos de prestación de servicios profesionales, los contratos de prestación de servicios de apoyo a la gestión y los contratos de prestación de servicios artísticos que solo pueden encomendarse a determinadas personas naturales</w:t>
      </w:r>
      <w:r w:rsidRPr="00472251">
        <w:rPr>
          <w:rFonts w:ascii="Verdana" w:eastAsia="Calibri" w:hAnsi="Verdana" w:cs="Arial"/>
          <w:vertAlign w:val="superscript"/>
          <w:lang w:val="es-ES_tradnl"/>
        </w:rPr>
        <w:footnoteReference w:id="1"/>
      </w:r>
      <w:r w:rsidRPr="00472251">
        <w:rPr>
          <w:rFonts w:ascii="Verdana" w:eastAsia="Calibri" w:hAnsi="Verdana" w:cs="Arial"/>
          <w:lang w:val="es-MX"/>
        </w:rPr>
        <w:t xml:space="preserve">. </w:t>
      </w:r>
      <w:r w:rsidRPr="00472251">
        <w:rPr>
          <w:rFonts w:ascii="Verdana" w:eastAsia="Calibri" w:hAnsi="Verdana" w:cs="Arial"/>
          <w:lang w:val="es-ES"/>
        </w:rPr>
        <w:t xml:space="preserve">La diferencia entre el contrato de prestación de servicios profesionales con las otras dos especies del género en el cual se ubican radica en su contenido intelectual intangible y, al mismo tiempo, en la formación profesional que se exige para desempeñar la labor. Así lo consideró el Consejo de Estado en </w:t>
      </w:r>
      <w:r w:rsidRPr="00472251">
        <w:rPr>
          <w:rFonts w:ascii="Verdana" w:eastAsia="Calibri" w:hAnsi="Verdana" w:cs="Arial"/>
          <w:color w:val="000000"/>
          <w:lang w:val="es-ES"/>
        </w:rPr>
        <w:t>Sentencia de Unificación jurisprudencial del 2 de diciembre de 2013, al explicar que:</w:t>
      </w:r>
    </w:p>
    <w:p w14:paraId="6E123AF6" w14:textId="77777777" w:rsidR="00127D60" w:rsidRPr="00472251" w:rsidRDefault="00127D60" w:rsidP="00127D60">
      <w:pPr>
        <w:tabs>
          <w:tab w:val="left" w:pos="0"/>
        </w:tabs>
        <w:spacing w:line="276" w:lineRule="auto"/>
        <w:jc w:val="both"/>
        <w:rPr>
          <w:rFonts w:ascii="Verdana" w:eastAsia="Calibri" w:hAnsi="Verdana" w:cs="Arial"/>
          <w:color w:val="000000"/>
          <w:lang w:val="es-ES"/>
        </w:rPr>
      </w:pPr>
    </w:p>
    <w:p w14:paraId="4C6CDD36" w14:textId="77777777" w:rsidR="00127D60" w:rsidRDefault="00127D60" w:rsidP="00127D60">
      <w:pPr>
        <w:ind w:left="709" w:right="709"/>
        <w:jc w:val="both"/>
        <w:rPr>
          <w:rFonts w:ascii="Verdana" w:eastAsia="Calibri" w:hAnsi="Verdana" w:cs="Arial"/>
          <w:sz w:val="20"/>
          <w:szCs w:val="20"/>
          <w:lang w:val="es-ES_tradnl"/>
        </w:rPr>
      </w:pPr>
      <w:r w:rsidRPr="00472251">
        <w:rPr>
          <w:rFonts w:ascii="Verdana" w:eastAsia="Calibri" w:hAnsi="Verdana" w:cs="Arial"/>
          <w:color w:val="000000"/>
          <w:sz w:val="20"/>
          <w:szCs w:val="20"/>
          <w:lang w:val="es-ES_tradnl"/>
        </w:rPr>
        <w:t xml:space="preserve">“Su objeto está determinado por el desarrollo de actividades identificables e intangibles que impliquen el desempeño de un esfuerzo o actividad, </w:t>
      </w:r>
      <w:r w:rsidRPr="00472251">
        <w:rPr>
          <w:rFonts w:ascii="Verdana" w:eastAsia="Calibri" w:hAnsi="Verdana" w:cs="Arial"/>
          <w:color w:val="000000"/>
          <w:sz w:val="20"/>
          <w:szCs w:val="20"/>
          <w:lang w:val="es-ES_tradnl"/>
        </w:rPr>
        <w:lastRenderedPageBreak/>
        <w:t>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472251">
        <w:rPr>
          <w:rFonts w:ascii="Verdana" w:eastAsia="Calibri" w:hAnsi="Verdana" w:cs="Arial"/>
          <w:sz w:val="20"/>
          <w:szCs w:val="20"/>
          <w:vertAlign w:val="superscript"/>
          <w:lang w:val="es-ES_tradnl"/>
        </w:rPr>
        <w:footnoteReference w:id="2"/>
      </w:r>
      <w:r w:rsidRPr="00472251">
        <w:rPr>
          <w:rFonts w:ascii="Verdana" w:eastAsia="Calibri" w:hAnsi="Verdana" w:cs="Arial"/>
          <w:sz w:val="20"/>
          <w:szCs w:val="20"/>
          <w:lang w:val="es-ES_tradnl"/>
        </w:rPr>
        <w:t>.</w:t>
      </w:r>
    </w:p>
    <w:p w14:paraId="076F4566" w14:textId="77777777" w:rsidR="00127D60" w:rsidRDefault="00127D60" w:rsidP="00127D60">
      <w:pPr>
        <w:spacing w:line="276" w:lineRule="auto"/>
        <w:ind w:left="709" w:right="709"/>
        <w:jc w:val="both"/>
        <w:rPr>
          <w:rFonts w:ascii="Verdana" w:eastAsia="Calibri" w:hAnsi="Verdana" w:cs="Arial"/>
          <w:sz w:val="20"/>
          <w:szCs w:val="20"/>
          <w:lang w:val="es-ES_tradnl"/>
        </w:rPr>
      </w:pPr>
    </w:p>
    <w:p w14:paraId="52C6194B" w14:textId="77777777" w:rsidR="00127D60" w:rsidRPr="00A7405A" w:rsidRDefault="00127D60" w:rsidP="00127D60">
      <w:pPr>
        <w:spacing w:line="276" w:lineRule="auto"/>
        <w:ind w:firstLine="709"/>
        <w:jc w:val="both"/>
        <w:rPr>
          <w:rFonts w:ascii="Verdana" w:hAnsi="Verdana" w:cs="Arial"/>
          <w:color w:val="000000" w:themeColor="text1"/>
          <w:lang w:val="es-ES_tradnl"/>
        </w:rPr>
      </w:pPr>
      <w:r w:rsidRPr="00A7405A">
        <w:rPr>
          <w:rFonts w:ascii="Verdana" w:hAnsi="Verdana" w:cs="Arial"/>
          <w:color w:val="000000" w:themeColor="text1"/>
          <w:lang w:val="es-ES_tradnl"/>
        </w:rPr>
        <w:t xml:space="preserve">Lo expuesto, según la jurisprudencia citada, se diferencia del objeto del </w:t>
      </w:r>
      <w:r w:rsidRPr="00A7405A">
        <w:rPr>
          <w:rFonts w:ascii="Verdana" w:hAnsi="Verdana" w:cs="Arial"/>
          <w:i/>
          <w:iCs/>
          <w:color w:val="000000" w:themeColor="text1"/>
          <w:lang w:val="es-ES_tradnl"/>
        </w:rPr>
        <w:t>contrato de prestación de servicios de apoyo a la gestión</w:t>
      </w:r>
      <w:r w:rsidRPr="00A7405A">
        <w:rPr>
          <w:rFonts w:ascii="Verdana" w:hAnsi="Verdana" w:cs="Arial"/>
          <w:color w:val="000000" w:themeColor="text1"/>
          <w:lang w:val="es-ES_tradnl"/>
        </w:rPr>
        <w:t>, en los siguientes aspectos:</w:t>
      </w:r>
    </w:p>
    <w:p w14:paraId="14C537C7" w14:textId="77777777" w:rsidR="00127D60" w:rsidRPr="00A7405A" w:rsidRDefault="00127D60" w:rsidP="00127D60">
      <w:pPr>
        <w:spacing w:line="276" w:lineRule="auto"/>
        <w:ind w:firstLine="709"/>
        <w:jc w:val="both"/>
        <w:rPr>
          <w:rFonts w:ascii="Verdana" w:hAnsi="Verdana" w:cs="Arial"/>
          <w:color w:val="000000" w:themeColor="text1"/>
          <w:lang w:val="es-ES_tradnl"/>
        </w:rPr>
      </w:pPr>
    </w:p>
    <w:p w14:paraId="6CF9857D" w14:textId="77777777" w:rsidR="00127D60" w:rsidRPr="00A7405A" w:rsidRDefault="00127D60" w:rsidP="00127D60">
      <w:pPr>
        <w:ind w:left="709" w:right="709"/>
        <w:jc w:val="both"/>
        <w:rPr>
          <w:rFonts w:ascii="Verdana" w:hAnsi="Verdana" w:cs="Arial"/>
          <w:color w:val="000000" w:themeColor="text1"/>
          <w:sz w:val="20"/>
          <w:szCs w:val="20"/>
          <w:lang w:val="es-ES_tradnl"/>
        </w:rPr>
      </w:pPr>
      <w:r w:rsidRPr="00A7405A">
        <w:rPr>
          <w:rFonts w:ascii="Verdana" w:hAnsi="Verdana" w:cs="Arial"/>
          <w:color w:val="000000" w:themeColor="text1"/>
          <w:sz w:val="20"/>
          <w:szCs w:val="20"/>
          <w:lang w:val="es-ES_tradnl"/>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3B82EF17" w14:textId="77777777" w:rsidR="00127D60" w:rsidRPr="00A7405A" w:rsidRDefault="00127D60" w:rsidP="00127D60">
      <w:pPr>
        <w:ind w:left="709" w:right="709"/>
        <w:jc w:val="both"/>
        <w:rPr>
          <w:rFonts w:ascii="Verdana" w:hAnsi="Verdana" w:cs="Arial"/>
          <w:color w:val="000000" w:themeColor="text1"/>
          <w:sz w:val="20"/>
          <w:szCs w:val="20"/>
          <w:lang w:val="es-ES"/>
        </w:rPr>
      </w:pPr>
      <w:r w:rsidRPr="00A7405A">
        <w:rPr>
          <w:rFonts w:ascii="Verdana" w:hAnsi="Verdana" w:cs="Arial"/>
          <w:color w:val="000000" w:themeColor="text1"/>
          <w:sz w:val="20"/>
          <w:szCs w:val="20"/>
          <w:lang w:val="es-ES"/>
        </w:rPr>
        <w:t xml:space="preserve">Aunque también se caracteriza por el desempeño de actividad intelectiva, ésta </w:t>
      </w:r>
      <w:proofErr w:type="gramStart"/>
      <w:r w:rsidRPr="00A7405A">
        <w:rPr>
          <w:rFonts w:ascii="Verdana" w:hAnsi="Verdana" w:cs="Arial"/>
          <w:color w:val="000000" w:themeColor="text1"/>
          <w:sz w:val="20"/>
          <w:szCs w:val="20"/>
          <w:lang w:val="es-ES"/>
        </w:rPr>
        <w:t>se enmarca dentro de</w:t>
      </w:r>
      <w:proofErr w:type="gramEnd"/>
      <w:r w:rsidRPr="00A7405A">
        <w:rPr>
          <w:rFonts w:ascii="Verdana" w:hAnsi="Verdana" w:cs="Arial"/>
          <w:color w:val="000000" w:themeColor="text1"/>
          <w:sz w:val="20"/>
          <w:szCs w:val="20"/>
          <w:lang w:val="es-ES"/>
        </w:rPr>
        <w:t xml:space="preserve"> un saber propiamente técnico; igualmente involucra actividades en donde prima el esfuerzo físico o mecánico, en donde no se requiere de personal profesional.</w:t>
      </w:r>
    </w:p>
    <w:p w14:paraId="291B27BD" w14:textId="77777777" w:rsidR="00127D60" w:rsidRPr="00A7405A" w:rsidRDefault="00127D60" w:rsidP="00127D60">
      <w:pPr>
        <w:ind w:left="709" w:right="709"/>
        <w:jc w:val="both"/>
        <w:rPr>
          <w:rFonts w:ascii="Verdana" w:hAnsi="Verdana" w:cs="Arial"/>
          <w:color w:val="000000" w:themeColor="text1"/>
          <w:sz w:val="20"/>
          <w:szCs w:val="20"/>
          <w:lang w:val="es-ES_tradnl"/>
        </w:rPr>
      </w:pPr>
      <w:r w:rsidRPr="00A7405A">
        <w:rPr>
          <w:rFonts w:ascii="Verdana" w:hAnsi="Verdana" w:cs="Arial"/>
          <w:color w:val="000000" w:themeColor="text1"/>
          <w:sz w:val="20"/>
          <w:szCs w:val="20"/>
          <w:lang w:val="es-ES_tradnl"/>
        </w:rPr>
        <w:t>Dentro de su objeto contractual pueden tener lugar actividades operativas, logísticas o asistenciales, siempre que satisfaga los requisitos antes mencionados y sea acorde con las necesidades de la Administración y el principio de planeación”</w:t>
      </w:r>
      <w:r w:rsidRPr="00A7405A">
        <w:rPr>
          <w:rFonts w:ascii="Verdana" w:hAnsi="Verdana" w:cs="Arial"/>
          <w:color w:val="000000" w:themeColor="text1"/>
          <w:sz w:val="20"/>
          <w:szCs w:val="20"/>
          <w:vertAlign w:val="superscript"/>
          <w:lang w:val="es-ES_tradnl"/>
        </w:rPr>
        <w:footnoteReference w:id="3"/>
      </w:r>
      <w:r w:rsidRPr="00A7405A">
        <w:rPr>
          <w:rFonts w:ascii="Verdana" w:hAnsi="Verdana" w:cs="Arial"/>
          <w:color w:val="000000" w:themeColor="text1"/>
          <w:sz w:val="20"/>
          <w:szCs w:val="20"/>
          <w:lang w:val="es-ES_tradnl"/>
        </w:rPr>
        <w:t>.</w:t>
      </w:r>
    </w:p>
    <w:p w14:paraId="11D04419" w14:textId="77777777" w:rsidR="00127D60" w:rsidRPr="00A7405A" w:rsidRDefault="00127D60" w:rsidP="00127D60">
      <w:pPr>
        <w:spacing w:line="276" w:lineRule="auto"/>
        <w:ind w:firstLine="709"/>
        <w:jc w:val="both"/>
        <w:rPr>
          <w:rFonts w:ascii="Verdana" w:hAnsi="Verdana" w:cs="Arial"/>
          <w:color w:val="000000" w:themeColor="text1"/>
          <w:lang w:val="es-ES_tradnl"/>
        </w:rPr>
      </w:pPr>
    </w:p>
    <w:p w14:paraId="7DD11CAA" w14:textId="77777777" w:rsidR="00127D60" w:rsidRPr="00331CAE" w:rsidRDefault="00127D60" w:rsidP="00127D60">
      <w:pPr>
        <w:spacing w:after="120" w:line="276" w:lineRule="auto"/>
        <w:ind w:firstLine="709"/>
        <w:jc w:val="both"/>
        <w:rPr>
          <w:rFonts w:ascii="Verdana" w:hAnsi="Verdana" w:cs="Arial"/>
          <w:color w:val="000000" w:themeColor="text1"/>
          <w:lang w:val="es-MX"/>
        </w:rPr>
      </w:pPr>
      <w:r w:rsidRPr="00A7405A">
        <w:rPr>
          <w:rFonts w:ascii="Verdana" w:hAnsi="Verdana" w:cs="Arial"/>
          <w:color w:val="000000" w:themeColor="text1"/>
          <w:lang w:val="es-ES_tradnl"/>
        </w:rPr>
        <w:t xml:space="preserve">En este sentido, el contrato de prestación de servicios </w:t>
      </w:r>
      <w:r w:rsidRPr="00A7405A">
        <w:rPr>
          <w:rFonts w:ascii="Verdana" w:hAnsi="Verdana" w:cs="Arial"/>
          <w:i/>
          <w:iCs/>
          <w:color w:val="000000" w:themeColor="text1"/>
          <w:lang w:val="es-ES_tradnl"/>
        </w:rPr>
        <w:t>profesionales</w:t>
      </w:r>
      <w:r w:rsidRPr="00A7405A">
        <w:rPr>
          <w:rFonts w:ascii="Verdana" w:hAnsi="Verdana" w:cs="Arial"/>
          <w:color w:val="000000" w:themeColor="text1"/>
          <w:lang w:val="es-ES_tradnl"/>
        </w:rPr>
        <w:t xml:space="preserve"> se caracteriza porque su objeto guarda relación con el desarrollo de actividades que demandan competencias y habilidades profesionales o especializadas de la persona natural o jurídica a contratar, de manera que se trata de un </w:t>
      </w:r>
      <w:r w:rsidRPr="00A7405A">
        <w:rPr>
          <w:rFonts w:ascii="Verdana" w:hAnsi="Verdana" w:cs="Arial"/>
          <w:i/>
          <w:iCs/>
          <w:color w:val="000000" w:themeColor="text1"/>
          <w:lang w:val="es-ES_tradnl"/>
        </w:rPr>
        <w:t>saber intelectivo cualificado.</w:t>
      </w:r>
      <w:r w:rsidRPr="00A7405A">
        <w:rPr>
          <w:rFonts w:ascii="Verdana" w:hAnsi="Verdana" w:cs="Arial"/>
          <w:color w:val="000000" w:themeColor="text1"/>
          <w:lang w:val="es-ES_tradnl"/>
        </w:rPr>
        <w:t xml:space="preserve"> En cambio, los contratos de prestación de servicios de </w:t>
      </w:r>
      <w:r w:rsidRPr="00A7405A">
        <w:rPr>
          <w:rFonts w:ascii="Verdana" w:hAnsi="Verdana" w:cs="Arial"/>
          <w:i/>
          <w:iCs/>
          <w:color w:val="000000" w:themeColor="text1"/>
          <w:lang w:val="es-ES_tradnl"/>
        </w:rPr>
        <w:t>apoyo a la gestión</w:t>
      </w:r>
      <w:r w:rsidRPr="00A7405A">
        <w:rPr>
          <w:rFonts w:ascii="Verdana" w:hAnsi="Verdana" w:cs="Arial"/>
          <w:color w:val="000000" w:themeColor="text1"/>
          <w:lang w:val="es-ES_tradnl"/>
        </w:rPr>
        <w:t xml:space="preserve"> y de </w:t>
      </w:r>
      <w:r w:rsidRPr="00A7405A">
        <w:rPr>
          <w:rFonts w:ascii="Verdana" w:hAnsi="Verdana" w:cs="Arial"/>
          <w:i/>
          <w:iCs/>
          <w:color w:val="000000" w:themeColor="text1"/>
          <w:lang w:val="es-ES_tradnl"/>
        </w:rPr>
        <w:t>servicios artísticos</w:t>
      </w:r>
      <w:r w:rsidRPr="00A7405A">
        <w:rPr>
          <w:rFonts w:ascii="Verdana" w:hAnsi="Verdana" w:cs="Arial"/>
          <w:color w:val="000000" w:themeColor="text1"/>
          <w:lang w:val="es-ES_tradnl"/>
        </w:rPr>
        <w:t xml:space="preserve"> no involucran ese conocimiento profesional </w:t>
      </w:r>
      <w:r w:rsidRPr="00A7405A">
        <w:rPr>
          <w:rFonts w:ascii="Verdana" w:hAnsi="Verdana" w:cs="Arial"/>
          <w:color w:val="000000" w:themeColor="text1"/>
          <w:lang w:val="es-MX"/>
        </w:rPr>
        <w:t xml:space="preserve">o especializados para su ejecución. En los contratos de apoyo a la gestión </w:t>
      </w:r>
      <w:r w:rsidRPr="00A7405A">
        <w:rPr>
          <w:rFonts w:ascii="Verdana" w:hAnsi="Verdana" w:cs="Arial"/>
          <w:color w:val="000000" w:themeColor="text1"/>
          <w:lang w:val="es-ES_tradnl"/>
        </w:rPr>
        <w:t xml:space="preserve">el contratista desempeña un esfuerzo o actividad de apoyo, acompañamiento, o soporte, </w:t>
      </w:r>
      <w:r w:rsidRPr="00A7405A">
        <w:rPr>
          <w:rFonts w:ascii="Verdana" w:hAnsi="Verdana" w:cs="Arial"/>
          <w:color w:val="000000" w:themeColor="text1"/>
          <w:lang w:val="es-MX"/>
        </w:rPr>
        <w:t xml:space="preserve">donde </w:t>
      </w:r>
      <w:r w:rsidRPr="00A7405A">
        <w:rPr>
          <w:rFonts w:ascii="Verdana" w:hAnsi="Verdana" w:cs="Arial"/>
          <w:i/>
          <w:iCs/>
          <w:color w:val="000000" w:themeColor="text1"/>
          <w:lang w:val="es-MX"/>
        </w:rPr>
        <w:t>“</w:t>
      </w:r>
      <w:r w:rsidRPr="00A7405A">
        <w:rPr>
          <w:rFonts w:ascii="Verdana" w:hAnsi="Verdana" w:cs="Arial"/>
          <w:i/>
          <w:iCs/>
          <w:color w:val="000000" w:themeColor="text1"/>
          <w:lang w:val="es-ES_tradnl"/>
        </w:rPr>
        <w:t xml:space="preserve">lo predominante es el actuar como ejecutor, con el propósito y finalidad de </w:t>
      </w:r>
      <w:r w:rsidRPr="00A7405A">
        <w:rPr>
          <w:rFonts w:ascii="Verdana" w:hAnsi="Verdana" w:cs="Arial"/>
          <w:i/>
          <w:iCs/>
          <w:color w:val="000000" w:themeColor="text1"/>
          <w:lang w:val="es-ES_tradnl"/>
        </w:rPr>
        <w:lastRenderedPageBreak/>
        <w:t>satisfacer necesidades de las entidades estatales en lo relacionado con la gestión administrativa o funcionamiento de la misma, por personas no profesionales y que no implican el ejercicio de funciones públicas administrativas”</w:t>
      </w:r>
      <w:r w:rsidRPr="00A7405A">
        <w:rPr>
          <w:rFonts w:ascii="Verdana" w:hAnsi="Verdana" w:cs="Arial"/>
          <w:color w:val="000000" w:themeColor="text1"/>
          <w:lang w:val="es-ES_tradnl"/>
        </w:rPr>
        <w:t>. Igualmente, en el contrato de prestación de servicios artísticos lo prevalente es que la persona que lo ejecute se trate de un artista, es decir, “una persona reconocida como realizador o productor de arte, de obras de arte, ejecutor de trabajos artísticos”, para lo cual es indiferente el carácter de profesional.</w:t>
      </w:r>
    </w:p>
    <w:p w14:paraId="5A459EB1" w14:textId="250092CC" w:rsidR="00127D60" w:rsidRPr="0059266F" w:rsidRDefault="00127D60" w:rsidP="004644D6">
      <w:pPr>
        <w:spacing w:after="120" w:line="276" w:lineRule="auto"/>
        <w:ind w:firstLine="708"/>
        <w:jc w:val="both"/>
        <w:rPr>
          <w:rFonts w:ascii="Verdana" w:eastAsia="Calibri" w:hAnsi="Verdana" w:cs="Arial"/>
        </w:rPr>
      </w:pPr>
      <w:r>
        <w:rPr>
          <w:rFonts w:ascii="Verdana" w:hAnsi="Verdana"/>
          <w:lang w:eastAsia="es-MX"/>
        </w:rPr>
        <w:t xml:space="preserve">Así las cosas, y con el propósito de responder el objeto de consulta, esta modalidad de contratación </w:t>
      </w:r>
      <w:r w:rsidRPr="0059266F">
        <w:rPr>
          <w:rFonts w:ascii="Verdana" w:hAnsi="Verdana"/>
          <w:lang w:eastAsia="es-MX"/>
        </w:rPr>
        <w:t xml:space="preserve">se efectúa mediante la modalidad de </w:t>
      </w:r>
      <w:r>
        <w:rPr>
          <w:rFonts w:ascii="Verdana" w:hAnsi="Verdana"/>
          <w:lang w:eastAsia="es-MX"/>
        </w:rPr>
        <w:t xml:space="preserve">forma </w:t>
      </w:r>
      <w:r w:rsidRPr="0059266F">
        <w:rPr>
          <w:rFonts w:ascii="Verdana" w:hAnsi="Verdana"/>
          <w:lang w:eastAsia="es-MX"/>
        </w:rPr>
        <w:t xml:space="preserve">directa, conforme al literal h) del numeral 4 del artículo 2 de la Ley 1150 de 2007. A diferencia de los procesos competitivos donde se evalúan requisitos habilitantes y se otorgan puntajes, en la contratación directa la Entidad Estatal debe verificar la idoneidad y la capacidad del contratista. En efecto, el artículo 2.2.1.2.1.4.9. del Decreto 1082 de 2015 establece que las Entidades Estatales pueden contratar bajo esta modalidad con la persona natural o jurídica que esté en capacidad de ejecutar el objeto del contrato, siempre y cuando verifiquen la idoneidad o experiencia requerida y relacionada con el área de que se trate. </w:t>
      </w:r>
      <w:r w:rsidR="00914A1E">
        <w:rPr>
          <w:rFonts w:ascii="Verdana" w:hAnsi="Verdana"/>
          <w:lang w:eastAsia="es-MX"/>
        </w:rPr>
        <w:t xml:space="preserve">Para verificar dicha idoneidad, las entidades estatales deberán fijar, en los documentos del proceso, como los estudios previos, los medios a través de los cuales el contratista debe acreditar dicha idoneidad. </w:t>
      </w:r>
    </w:p>
    <w:p w14:paraId="3BE5CC96" w14:textId="5624F249" w:rsidR="00127D60" w:rsidRDefault="00127D60" w:rsidP="004644D6">
      <w:pPr>
        <w:spacing w:after="120" w:line="276" w:lineRule="auto"/>
        <w:jc w:val="both"/>
        <w:rPr>
          <w:rFonts w:ascii="Verdana" w:hAnsi="Verdana"/>
          <w:lang w:eastAsia="es-MX"/>
        </w:rPr>
      </w:pPr>
      <w:r>
        <w:rPr>
          <w:rFonts w:ascii="Verdana" w:hAnsi="Verdana"/>
          <w:lang w:eastAsia="es-MX"/>
        </w:rPr>
        <w:t xml:space="preserve">       </w:t>
      </w:r>
      <w:r w:rsidRPr="0059266F">
        <w:rPr>
          <w:rFonts w:ascii="Verdana" w:hAnsi="Verdana"/>
          <w:lang w:eastAsia="es-MX"/>
        </w:rPr>
        <w:t xml:space="preserve">Siguiendo los lineamientos de la </w:t>
      </w:r>
      <w:r w:rsidRPr="0059266F">
        <w:rPr>
          <w:rFonts w:ascii="Verdana" w:hAnsi="Verdana"/>
          <w:i/>
          <w:lang w:eastAsia="es-MX"/>
        </w:rPr>
        <w:t xml:space="preserve">Guía para la </w:t>
      </w:r>
      <w:r w:rsidR="00236E38">
        <w:rPr>
          <w:rFonts w:ascii="Verdana" w:hAnsi="Verdana"/>
          <w:i/>
          <w:iCs/>
          <w:lang w:eastAsia="es-MX"/>
        </w:rPr>
        <w:t xml:space="preserve">Incorporación de Lineamientos de Integridad en la Contratación de prestación de </w:t>
      </w:r>
      <w:proofErr w:type="spellStart"/>
      <w:r w:rsidR="00236E38">
        <w:rPr>
          <w:rFonts w:ascii="Verdana" w:hAnsi="Verdana"/>
          <w:i/>
          <w:iCs/>
          <w:lang w:eastAsia="es-MX"/>
        </w:rPr>
        <w:t>Servivios</w:t>
      </w:r>
      <w:proofErr w:type="spellEnd"/>
      <w:r w:rsidRPr="0059266F">
        <w:rPr>
          <w:rFonts w:ascii="Verdana" w:hAnsi="Verdana"/>
          <w:lang w:eastAsia="es-MX"/>
        </w:rPr>
        <w:t>,</w:t>
      </w:r>
      <w:r>
        <w:rPr>
          <w:rFonts w:ascii="Verdana" w:hAnsi="Verdana"/>
          <w:lang w:eastAsia="es-MX"/>
        </w:rPr>
        <w:t xml:space="preserve"> expedida por </w:t>
      </w:r>
      <w:r w:rsidR="00157D55">
        <w:rPr>
          <w:rFonts w:ascii="Verdana" w:hAnsi="Verdana"/>
          <w:lang w:eastAsia="es-MX"/>
        </w:rPr>
        <w:t>l</w:t>
      </w:r>
      <w:r>
        <w:rPr>
          <w:rFonts w:ascii="Verdana" w:hAnsi="Verdana"/>
          <w:lang w:eastAsia="es-MX"/>
        </w:rPr>
        <w:t xml:space="preserve">a Agencia de Contratación Pública – Colombia Compra Eficiente, </w:t>
      </w:r>
      <w:r w:rsidR="00914A1E">
        <w:rPr>
          <w:rFonts w:ascii="Verdana" w:hAnsi="Verdana"/>
          <w:lang w:eastAsia="es-MX"/>
        </w:rPr>
        <w:t xml:space="preserve">en su Anexo 3, relaciona algunos de los documentos necesarios para suscribir contratos de prestación de servicios con personas </w:t>
      </w:r>
      <w:proofErr w:type="spellStart"/>
      <w:r w:rsidR="00914A1E">
        <w:rPr>
          <w:rFonts w:ascii="Verdana" w:hAnsi="Verdana"/>
          <w:lang w:eastAsia="es-MX"/>
        </w:rPr>
        <w:t>juridicas</w:t>
      </w:r>
      <w:proofErr w:type="spellEnd"/>
      <w:r w:rsidR="00914A1E">
        <w:rPr>
          <w:rFonts w:ascii="Verdana" w:hAnsi="Verdana"/>
          <w:lang w:eastAsia="es-MX"/>
        </w:rPr>
        <w:t>. Por ejemplo, t</w:t>
      </w:r>
      <w:r w:rsidRPr="0059266F">
        <w:rPr>
          <w:rFonts w:ascii="Verdana" w:hAnsi="Verdana"/>
          <w:lang w:eastAsia="es-MX"/>
        </w:rPr>
        <w:t xml:space="preserve">ratándose de personas jurídicas, la Entidad Estatal debe verificar la capacidad jurídica mediante el Certificado de Existencia y Representación Legal, constatando que la sociedad esté debidamente constituida, que su vigencia cubra el plazo del contrato y que su objeto social contemple las actividades a contratar. De igual forma, la idoneidad y experiencia se acreditan mediante los documentos que la Entidad </w:t>
      </w:r>
      <w:r w:rsidRPr="0059266F">
        <w:rPr>
          <w:rFonts w:ascii="Verdana" w:hAnsi="Verdana"/>
          <w:lang w:eastAsia="es-MX"/>
        </w:rPr>
        <w:lastRenderedPageBreak/>
        <w:t>considere pertinentes para demostrar la trayectoria en el área requerida, siendo los soportes idóneos las certificaciones de contratos anteriores, copias de contratos ejecutados junto con sus actas de liquidación o recibos a satisfacción.</w:t>
      </w:r>
    </w:p>
    <w:p w14:paraId="79E659A0" w14:textId="4B728FA9" w:rsidR="00127D60" w:rsidRPr="004644D6" w:rsidRDefault="00127D60" w:rsidP="00236E38">
      <w:pPr>
        <w:spacing w:after="120" w:line="276" w:lineRule="auto"/>
        <w:jc w:val="both"/>
        <w:rPr>
          <w:rFonts w:ascii="Verdana" w:hAnsi="Verdana"/>
          <w:sz w:val="22"/>
          <w:szCs w:val="22"/>
          <w:lang w:eastAsia="es-MX"/>
        </w:rPr>
      </w:pPr>
      <w:r w:rsidRPr="004644D6">
        <w:rPr>
          <w:rFonts w:ascii="Verdana" w:hAnsi="Verdana"/>
          <w:sz w:val="22"/>
          <w:szCs w:val="22"/>
          <w:lang w:eastAsia="es-MX"/>
        </w:rPr>
        <w:t xml:space="preserve">         Por otra parte, frente a los requisitos formales, la </w:t>
      </w:r>
      <w:r w:rsidRPr="004644D6">
        <w:rPr>
          <w:rFonts w:ascii="Verdana" w:hAnsi="Verdana"/>
          <w:i/>
          <w:sz w:val="22"/>
          <w:szCs w:val="22"/>
          <w:lang w:eastAsia="es-MX"/>
        </w:rPr>
        <w:t>Guía</w:t>
      </w:r>
      <w:r w:rsidRPr="004644D6">
        <w:rPr>
          <w:rFonts w:ascii="Verdana" w:hAnsi="Verdana"/>
          <w:sz w:val="22"/>
          <w:szCs w:val="22"/>
          <w:lang w:eastAsia="es-MX"/>
        </w:rPr>
        <w:t xml:space="preserve"> recuerda que una de las características de los contratos de prestación de servicios es el cumplimiento del artículo 1 de la Ley 190 de 1995. Esta norma establece que todo aspirante a celebrar un contrato de prestación de servicios con la administración debe presentar el Formato Único de Hoja de Vida. Aunque el contrato se celebre con una persona jurídica, la obligación se mantiene vigente y se materializa a través del formato específico reglamentado por el Departamento Administrativo de la Función Pública (DAFP) en la Resolución 580 de 1999, el cual debe ser diligenciado en el momento de la celebración del contrato, constituyéndose en un requisito de ley obligatorio para el perfeccionamiento de esta tipología contractual.</w:t>
      </w:r>
    </w:p>
    <w:p w14:paraId="150945BD" w14:textId="03E98CF2" w:rsidR="00127D60" w:rsidRDefault="00127D60" w:rsidP="004644D6">
      <w:pPr>
        <w:spacing w:after="120" w:line="276" w:lineRule="auto"/>
        <w:jc w:val="both"/>
        <w:rPr>
          <w:rFonts w:ascii="Verdana" w:hAnsi="Verdana"/>
          <w:sz w:val="22"/>
          <w:szCs w:val="22"/>
          <w:lang w:eastAsia="es-MX"/>
        </w:rPr>
      </w:pPr>
      <w:r w:rsidRPr="004644D6">
        <w:rPr>
          <w:rFonts w:ascii="Verdana" w:hAnsi="Verdana"/>
          <w:sz w:val="22"/>
          <w:szCs w:val="22"/>
          <w:lang w:eastAsia="es-MX"/>
        </w:rPr>
        <w:t xml:space="preserve">       Finalmente, la Entidad Estatal tiene el deber de verificar que el contratista no se encuentre incurso en causales de inhabilidad o incompatibilidad, para lo cual debe consultar los antecedentes fiscales ante la Contraloría, disciplinarios ante la Procuraduría y judiciales ante la Policía Nacional. Asimismo, para la ejecución del contrato, es indispensable verificar la afiliación y pago de aportes al Sistema de Seguridad Social Integral y parafiscales, si a ello hubiere lugar, conforme a las normas vigentes.</w:t>
      </w:r>
    </w:p>
    <w:p w14:paraId="2B332826" w14:textId="77777777" w:rsidR="00236E38" w:rsidRPr="00236E38" w:rsidRDefault="00236E38" w:rsidP="00236E38">
      <w:pPr>
        <w:spacing w:after="120" w:line="276" w:lineRule="auto"/>
        <w:ind w:firstLine="708"/>
        <w:jc w:val="both"/>
        <w:rPr>
          <w:rFonts w:ascii="Verdana" w:hAnsi="Verdana"/>
          <w:sz w:val="22"/>
          <w:szCs w:val="22"/>
          <w:lang w:eastAsia="es-MX"/>
        </w:rPr>
      </w:pPr>
      <w:r w:rsidRPr="004D0BB7">
        <w:rPr>
          <w:rFonts w:ascii="Verdana" w:hAnsi="Verdana"/>
          <w:sz w:val="22"/>
          <w:szCs w:val="22"/>
          <w:lang w:eastAsia="es-MX"/>
        </w:rPr>
        <w:t>A continuación a modo de ilustración se transcriben los documentos enunciados en el Anexo 3 de la Guía para la contratación de prestación de servicios. No obstante se aclara que las entidades puede solicitar los demás documentos que consideren necesarios para la acreditación de la idoneidad o experiencia requerida.</w:t>
      </w:r>
    </w:p>
    <w:p w14:paraId="649801E2" w14:textId="77777777" w:rsidR="00236E38" w:rsidRPr="004D0BB7" w:rsidRDefault="00236E38" w:rsidP="00236E38">
      <w:pPr>
        <w:pStyle w:val="Prrafodelista"/>
        <w:numPr>
          <w:ilvl w:val="0"/>
          <w:numId w:val="19"/>
        </w:numPr>
        <w:spacing w:after="120" w:line="276" w:lineRule="auto"/>
        <w:contextualSpacing w:val="0"/>
        <w:rPr>
          <w:rFonts w:ascii="Verdana" w:hAnsi="Verdana"/>
        </w:rPr>
      </w:pPr>
      <w:r w:rsidRPr="004D0BB7">
        <w:rPr>
          <w:rFonts w:ascii="Verdana" w:hAnsi="Verdana"/>
        </w:rPr>
        <w:t>Certificado de existencia y representación legal expedido por la Cámara de Comercio, no mayor a 30 días. (En el objeto social se deberá verificar que la persona jurídica cuenta con la capacidad para ejecutar el servicio a contratar)</w:t>
      </w:r>
    </w:p>
    <w:p w14:paraId="368D3144" w14:textId="77777777" w:rsidR="00236E38" w:rsidRPr="004D0BB7" w:rsidRDefault="00236E38" w:rsidP="00236E38">
      <w:pPr>
        <w:pStyle w:val="Prrafodelista"/>
        <w:numPr>
          <w:ilvl w:val="0"/>
          <w:numId w:val="19"/>
        </w:numPr>
        <w:spacing w:after="120" w:line="276" w:lineRule="auto"/>
        <w:contextualSpacing w:val="0"/>
        <w:rPr>
          <w:rFonts w:ascii="Verdana" w:hAnsi="Verdana"/>
        </w:rPr>
      </w:pPr>
      <w:r w:rsidRPr="004D0BB7">
        <w:rPr>
          <w:rFonts w:ascii="Verdana" w:hAnsi="Verdana"/>
        </w:rPr>
        <w:t>Certificaciones que acrediten la experiencia o idoneidad</w:t>
      </w:r>
    </w:p>
    <w:p w14:paraId="61A7C256" w14:textId="77777777" w:rsidR="00236E38" w:rsidRPr="004D0BB7" w:rsidRDefault="00236E38" w:rsidP="00236E38">
      <w:pPr>
        <w:pStyle w:val="Prrafodelista"/>
        <w:numPr>
          <w:ilvl w:val="0"/>
          <w:numId w:val="19"/>
        </w:numPr>
        <w:spacing w:after="120" w:line="276" w:lineRule="auto"/>
        <w:contextualSpacing w:val="0"/>
        <w:rPr>
          <w:rFonts w:ascii="Verdana" w:hAnsi="Verdana"/>
        </w:rPr>
      </w:pPr>
      <w:r w:rsidRPr="004D0BB7">
        <w:rPr>
          <w:rFonts w:ascii="Verdana" w:hAnsi="Verdana"/>
        </w:rPr>
        <w:t>Copia del Registro Único Tributario – RUT</w:t>
      </w:r>
    </w:p>
    <w:p w14:paraId="7BD745C4" w14:textId="77777777" w:rsidR="00236E38" w:rsidRPr="004D0BB7" w:rsidRDefault="00236E38" w:rsidP="00236E38">
      <w:pPr>
        <w:pStyle w:val="Prrafodelista"/>
        <w:numPr>
          <w:ilvl w:val="0"/>
          <w:numId w:val="19"/>
        </w:numPr>
        <w:spacing w:after="120" w:line="276" w:lineRule="auto"/>
        <w:contextualSpacing w:val="0"/>
        <w:rPr>
          <w:rFonts w:ascii="Verdana" w:hAnsi="Verdana"/>
        </w:rPr>
      </w:pPr>
    </w:p>
    <w:p w14:paraId="0C9C58F5" w14:textId="77777777" w:rsidR="00236E38" w:rsidRPr="004D0BB7" w:rsidRDefault="00236E38" w:rsidP="00236E38">
      <w:pPr>
        <w:pStyle w:val="Prrafodelista"/>
        <w:numPr>
          <w:ilvl w:val="0"/>
          <w:numId w:val="19"/>
        </w:numPr>
        <w:spacing w:after="120" w:line="276" w:lineRule="auto"/>
        <w:contextualSpacing w:val="0"/>
        <w:rPr>
          <w:rFonts w:ascii="Verdana" w:hAnsi="Verdana"/>
        </w:rPr>
      </w:pPr>
      <w:r w:rsidRPr="004D0BB7">
        <w:rPr>
          <w:rFonts w:ascii="Verdana" w:hAnsi="Verdana"/>
        </w:rPr>
        <w:t>Certificación que acredite que la empresa se encuentra al día en el pago de aportes a parafiscales. (SENA, ICBF y Cajas de Compensación Familiar) – (Esta certificación debe estar suscrita por el Revisor Fiscal, cuando corresponda. O por el Representante Legal de l a empresa, cuando no exista Revisor Fiscal.)</w:t>
      </w:r>
    </w:p>
    <w:p w14:paraId="650D6014" w14:textId="77777777" w:rsidR="00236E38" w:rsidRPr="004D0BB7" w:rsidRDefault="00236E38" w:rsidP="00236E38">
      <w:pPr>
        <w:pStyle w:val="Prrafodelista"/>
        <w:numPr>
          <w:ilvl w:val="0"/>
          <w:numId w:val="19"/>
        </w:numPr>
        <w:spacing w:after="120" w:line="276" w:lineRule="auto"/>
        <w:contextualSpacing w:val="0"/>
        <w:rPr>
          <w:rFonts w:ascii="Verdana" w:hAnsi="Verdana"/>
        </w:rPr>
      </w:pPr>
      <w:r w:rsidRPr="004D0BB7">
        <w:rPr>
          <w:rFonts w:ascii="Verdana" w:hAnsi="Verdana"/>
        </w:rPr>
        <w:t>Certificación Bancaria</w:t>
      </w:r>
    </w:p>
    <w:p w14:paraId="4D2BDE7E" w14:textId="77777777" w:rsidR="00236E38" w:rsidRPr="004D0BB7" w:rsidRDefault="00236E38" w:rsidP="00236E38">
      <w:pPr>
        <w:pStyle w:val="Prrafodelista"/>
        <w:numPr>
          <w:ilvl w:val="0"/>
          <w:numId w:val="19"/>
        </w:numPr>
        <w:spacing w:after="120" w:line="276" w:lineRule="auto"/>
        <w:contextualSpacing w:val="0"/>
        <w:rPr>
          <w:rFonts w:ascii="Verdana" w:hAnsi="Verdana"/>
        </w:rPr>
      </w:pPr>
      <w:r w:rsidRPr="004D0BB7">
        <w:rPr>
          <w:rFonts w:ascii="Verdana" w:hAnsi="Verdana"/>
        </w:rPr>
        <w:t>Copia del documento de identidad del Representante Legal</w:t>
      </w:r>
    </w:p>
    <w:p w14:paraId="270371F3" w14:textId="77777777" w:rsidR="00236E38" w:rsidRPr="004D0BB7" w:rsidRDefault="00236E38" w:rsidP="00236E38">
      <w:pPr>
        <w:pStyle w:val="Prrafodelista"/>
        <w:numPr>
          <w:ilvl w:val="0"/>
          <w:numId w:val="19"/>
        </w:numPr>
        <w:spacing w:after="120" w:line="276" w:lineRule="auto"/>
        <w:contextualSpacing w:val="0"/>
        <w:rPr>
          <w:rFonts w:ascii="Verdana" w:hAnsi="Verdana"/>
        </w:rPr>
      </w:pPr>
      <w:r w:rsidRPr="004D0BB7">
        <w:rPr>
          <w:rFonts w:ascii="Verdana" w:hAnsi="Verdana"/>
        </w:rPr>
        <w:t>Hoja de Vida SIGEP persona jurídica o la que aplique</w:t>
      </w:r>
    </w:p>
    <w:p w14:paraId="4A373983" w14:textId="77777777" w:rsidR="00236E38" w:rsidRPr="004D0BB7" w:rsidRDefault="00236E38" w:rsidP="00236E38">
      <w:pPr>
        <w:pStyle w:val="Prrafodelista"/>
        <w:numPr>
          <w:ilvl w:val="0"/>
          <w:numId w:val="19"/>
        </w:numPr>
        <w:spacing w:after="120" w:line="276" w:lineRule="auto"/>
        <w:contextualSpacing w:val="0"/>
        <w:rPr>
          <w:rFonts w:ascii="Verdana" w:hAnsi="Verdana"/>
        </w:rPr>
      </w:pPr>
      <w:r w:rsidRPr="004D0BB7">
        <w:rPr>
          <w:rFonts w:ascii="Verdana" w:hAnsi="Verdana"/>
        </w:rPr>
        <w:t xml:space="preserve">Copia del Registro de Identificación Tributaria – RIT </w:t>
      </w:r>
    </w:p>
    <w:p w14:paraId="43A6464F" w14:textId="77777777" w:rsidR="00236E38" w:rsidRPr="004D0BB7" w:rsidRDefault="00236E38" w:rsidP="00236E38">
      <w:pPr>
        <w:pStyle w:val="Prrafodelista"/>
        <w:numPr>
          <w:ilvl w:val="0"/>
          <w:numId w:val="19"/>
        </w:numPr>
        <w:spacing w:after="120" w:line="276" w:lineRule="auto"/>
        <w:contextualSpacing w:val="0"/>
        <w:rPr>
          <w:rFonts w:ascii="Verdana" w:hAnsi="Verdana"/>
        </w:rPr>
      </w:pPr>
      <w:r w:rsidRPr="004D0BB7">
        <w:rPr>
          <w:rFonts w:ascii="Verdana" w:hAnsi="Verdana"/>
        </w:rPr>
        <w:t>Certificado de antecedentes judiciales del Representante Legal (Policía Nacional) – (En caso de no aportarlo la Entidad Estatal podrá verificar en línea la respectiva información.)</w:t>
      </w:r>
    </w:p>
    <w:p w14:paraId="5CE417DE" w14:textId="77777777" w:rsidR="00236E38" w:rsidRPr="004D0BB7" w:rsidRDefault="00236E38" w:rsidP="00236E38">
      <w:pPr>
        <w:pStyle w:val="Prrafodelista"/>
        <w:numPr>
          <w:ilvl w:val="0"/>
          <w:numId w:val="19"/>
        </w:numPr>
        <w:spacing w:after="120" w:line="276" w:lineRule="auto"/>
        <w:contextualSpacing w:val="0"/>
        <w:rPr>
          <w:rFonts w:ascii="Verdana" w:hAnsi="Verdana"/>
        </w:rPr>
      </w:pPr>
      <w:r w:rsidRPr="004D0BB7">
        <w:rPr>
          <w:rFonts w:ascii="Verdana" w:hAnsi="Verdana"/>
        </w:rPr>
        <w:t>Boletín de antecedentes fiscales de la persona jurídica y del Representante Legal (Contraloría General de la República) – (En caso de no aportarlo la Entidad Estatal podrá verificar en línea la respectiva información.)</w:t>
      </w:r>
    </w:p>
    <w:p w14:paraId="35749151" w14:textId="77777777" w:rsidR="00236E38" w:rsidRPr="004D0BB7" w:rsidRDefault="00236E38" w:rsidP="00236E38">
      <w:pPr>
        <w:pStyle w:val="Prrafodelista"/>
        <w:numPr>
          <w:ilvl w:val="0"/>
          <w:numId w:val="19"/>
        </w:numPr>
        <w:spacing w:after="120" w:line="276" w:lineRule="auto"/>
        <w:contextualSpacing w:val="0"/>
        <w:rPr>
          <w:rFonts w:ascii="Verdana" w:hAnsi="Verdana"/>
        </w:rPr>
      </w:pPr>
      <w:r w:rsidRPr="004D0BB7">
        <w:rPr>
          <w:rFonts w:ascii="Verdana" w:hAnsi="Verdana"/>
        </w:rPr>
        <w:t>Certificado de Antecedentes Disciplinarios de la persona jurídica y del Representante Legal (Procuraduría General de la Nación) – (En caso de no aportarlo la Entidad Estatal podrá verificar en línea la respectiva información)</w:t>
      </w:r>
    </w:p>
    <w:p w14:paraId="53F798F5" w14:textId="77777777" w:rsidR="00236E38" w:rsidRPr="004D0BB7" w:rsidRDefault="00236E38" w:rsidP="00236E38">
      <w:pPr>
        <w:pStyle w:val="Prrafodelista"/>
        <w:numPr>
          <w:ilvl w:val="0"/>
          <w:numId w:val="19"/>
        </w:numPr>
        <w:spacing w:after="120" w:line="276" w:lineRule="auto"/>
        <w:contextualSpacing w:val="0"/>
        <w:rPr>
          <w:rFonts w:ascii="Verdana" w:hAnsi="Verdana"/>
        </w:rPr>
      </w:pPr>
      <w:r w:rsidRPr="004D0BB7">
        <w:rPr>
          <w:rFonts w:ascii="Verdana" w:hAnsi="Verdana"/>
        </w:rPr>
        <w:t>Certificado de Registro Nacional de Medidas Correctivas – RNMC del Representante Legal – (En caso de no aportarlo la Entidad Estatal podrá verificar en línea la respectiva información)</w:t>
      </w:r>
    </w:p>
    <w:p w14:paraId="61B9AD1D" w14:textId="44A5C737" w:rsidR="00236E38" w:rsidRPr="004644D6" w:rsidRDefault="00236E38" w:rsidP="004644D6">
      <w:pPr>
        <w:pStyle w:val="Prrafodelista"/>
        <w:numPr>
          <w:ilvl w:val="0"/>
          <w:numId w:val="19"/>
        </w:numPr>
        <w:spacing w:after="0" w:line="276" w:lineRule="auto"/>
        <w:ind w:left="1069"/>
        <w:contextualSpacing w:val="0"/>
        <w:rPr>
          <w:rFonts w:ascii="Verdana" w:hAnsi="Verdana"/>
        </w:rPr>
      </w:pPr>
      <w:r w:rsidRPr="004D0BB7">
        <w:rPr>
          <w:rFonts w:ascii="Verdana" w:hAnsi="Verdana"/>
        </w:rPr>
        <w:t>Formato compromiso de transparencia dispuesto por la entidad</w:t>
      </w:r>
      <w:r w:rsidRPr="004D0BB7">
        <w:rPr>
          <w:rFonts w:ascii="Verdana" w:hAnsi="Verdana"/>
          <w:i/>
          <w:iCs/>
          <w:lang w:eastAsia="es-MX"/>
        </w:rPr>
        <w:t xml:space="preserve"> </w:t>
      </w:r>
    </w:p>
    <w:p w14:paraId="5CF1A2C6" w14:textId="77777777" w:rsidR="00236E38" w:rsidRPr="004644D6" w:rsidRDefault="00236E38" w:rsidP="004644D6">
      <w:pPr>
        <w:spacing w:line="276" w:lineRule="auto"/>
        <w:jc w:val="both"/>
        <w:rPr>
          <w:rFonts w:ascii="Verdana" w:hAnsi="Verdana"/>
          <w:sz w:val="22"/>
          <w:szCs w:val="22"/>
          <w:lang w:eastAsia="es-MX"/>
        </w:rPr>
      </w:pPr>
    </w:p>
    <w:p w14:paraId="1FC52BD2" w14:textId="77777777" w:rsidR="00127D60" w:rsidRPr="00593A5F" w:rsidRDefault="00127D60" w:rsidP="00127D6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6A2EC7B1" w14:textId="77777777" w:rsidR="00127D60" w:rsidRPr="00593A5F" w:rsidRDefault="00127D60" w:rsidP="00127D60">
      <w:pPr>
        <w:widowControl w:val="0"/>
        <w:autoSpaceDE w:val="0"/>
        <w:autoSpaceDN w:val="0"/>
        <w:spacing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27D60" w:rsidRPr="00593A5F" w14:paraId="03D0DBFC" w14:textId="77777777" w:rsidTr="004644D6">
        <w:trPr>
          <w:trHeight w:val="86"/>
        </w:trPr>
        <w:tc>
          <w:tcPr>
            <w:tcW w:w="8647" w:type="dxa"/>
          </w:tcPr>
          <w:p w14:paraId="1FAFB82E" w14:textId="77777777" w:rsidR="00127D60" w:rsidRPr="00951555" w:rsidRDefault="00127D60" w:rsidP="00127D60">
            <w:pPr>
              <w:pStyle w:val="Prrafodelista"/>
              <w:widowControl w:val="0"/>
              <w:numPr>
                <w:ilvl w:val="0"/>
                <w:numId w:val="17"/>
              </w:numPr>
              <w:autoSpaceDE w:val="0"/>
              <w:autoSpaceDN w:val="0"/>
              <w:spacing w:after="120"/>
              <w:contextualSpacing w:val="0"/>
              <w:rPr>
                <w:rFonts w:ascii="Verdana" w:hAnsi="Verdana" w:cs="Arial"/>
              </w:rPr>
            </w:pPr>
            <w:r w:rsidRPr="00951555">
              <w:rPr>
                <w:rFonts w:ascii="Verdana" w:hAnsi="Verdana"/>
              </w:rPr>
              <w:t>Ley 80 de 1993</w:t>
            </w:r>
            <w:r>
              <w:rPr>
                <w:rFonts w:ascii="Verdana" w:hAnsi="Verdana"/>
              </w:rPr>
              <w:t xml:space="preserve">, </w:t>
            </w:r>
            <w:r w:rsidRPr="00951555">
              <w:rPr>
                <w:rFonts w:ascii="Verdana" w:hAnsi="Verdana"/>
              </w:rPr>
              <w:t>Artículos 32 numeral 3, 14 numeral 2, 60.</w:t>
            </w:r>
          </w:p>
          <w:p w14:paraId="33397F40" w14:textId="77777777" w:rsidR="00127D60" w:rsidRPr="00951555" w:rsidRDefault="00127D60" w:rsidP="00127D60">
            <w:pPr>
              <w:pStyle w:val="Prrafodelista"/>
              <w:widowControl w:val="0"/>
              <w:numPr>
                <w:ilvl w:val="0"/>
                <w:numId w:val="17"/>
              </w:numPr>
              <w:autoSpaceDE w:val="0"/>
              <w:autoSpaceDN w:val="0"/>
              <w:spacing w:after="120"/>
              <w:contextualSpacing w:val="0"/>
              <w:rPr>
                <w:rFonts w:ascii="Verdana" w:hAnsi="Verdana" w:cs="Arial"/>
              </w:rPr>
            </w:pPr>
            <w:r w:rsidRPr="00951555">
              <w:rPr>
                <w:rFonts w:ascii="Verdana" w:hAnsi="Verdana"/>
              </w:rPr>
              <w:t>Ley 1150 de 200</w:t>
            </w:r>
            <w:r>
              <w:rPr>
                <w:rFonts w:ascii="Verdana" w:hAnsi="Verdana"/>
              </w:rPr>
              <w:t xml:space="preserve">, </w:t>
            </w:r>
            <w:r w:rsidRPr="00951555">
              <w:rPr>
                <w:rFonts w:ascii="Verdana" w:hAnsi="Verdana"/>
              </w:rPr>
              <w:t>Artículo 2 numeral 4, literal h</w:t>
            </w:r>
          </w:p>
          <w:p w14:paraId="3FD3791D" w14:textId="77777777" w:rsidR="00127D60" w:rsidRPr="00951555" w:rsidRDefault="00127D60" w:rsidP="00127D60">
            <w:pPr>
              <w:pStyle w:val="Prrafodelista"/>
              <w:widowControl w:val="0"/>
              <w:numPr>
                <w:ilvl w:val="0"/>
                <w:numId w:val="17"/>
              </w:numPr>
              <w:autoSpaceDE w:val="0"/>
              <w:autoSpaceDN w:val="0"/>
              <w:spacing w:after="120"/>
              <w:contextualSpacing w:val="0"/>
              <w:rPr>
                <w:rFonts w:ascii="Verdana" w:hAnsi="Verdana" w:cs="Arial"/>
              </w:rPr>
            </w:pPr>
            <w:r w:rsidRPr="00951555">
              <w:rPr>
                <w:rFonts w:ascii="Verdana" w:hAnsi="Verdana"/>
              </w:rPr>
              <w:t>Ley 190 de 1995</w:t>
            </w:r>
            <w:r>
              <w:rPr>
                <w:rFonts w:ascii="Verdana" w:hAnsi="Verdana"/>
              </w:rPr>
              <w:t xml:space="preserve">, </w:t>
            </w:r>
            <w:r w:rsidRPr="00951555">
              <w:rPr>
                <w:rFonts w:ascii="Verdana" w:hAnsi="Verdana"/>
              </w:rPr>
              <w:t>Artículo 1</w:t>
            </w:r>
          </w:p>
          <w:p w14:paraId="2EDA3696" w14:textId="77777777" w:rsidR="00127D60" w:rsidRPr="00951555" w:rsidRDefault="00127D60" w:rsidP="00127D60">
            <w:pPr>
              <w:pStyle w:val="Prrafodelista"/>
              <w:widowControl w:val="0"/>
              <w:numPr>
                <w:ilvl w:val="0"/>
                <w:numId w:val="17"/>
              </w:numPr>
              <w:autoSpaceDE w:val="0"/>
              <w:autoSpaceDN w:val="0"/>
              <w:spacing w:after="120"/>
              <w:contextualSpacing w:val="0"/>
              <w:rPr>
                <w:rFonts w:ascii="Verdana" w:hAnsi="Verdana" w:cs="Arial"/>
              </w:rPr>
            </w:pPr>
            <w:r w:rsidRPr="00951555">
              <w:rPr>
                <w:rFonts w:ascii="Verdana" w:hAnsi="Verdana"/>
              </w:rPr>
              <w:lastRenderedPageBreak/>
              <w:t>Decreto 1082 de 2015</w:t>
            </w:r>
            <w:r>
              <w:rPr>
                <w:rFonts w:ascii="Verdana" w:hAnsi="Verdana"/>
              </w:rPr>
              <w:t xml:space="preserve">, </w:t>
            </w:r>
            <w:r w:rsidRPr="00951555">
              <w:rPr>
                <w:rFonts w:ascii="Verdana" w:hAnsi="Verdana"/>
              </w:rPr>
              <w:t>Artículo 2.2.1.2.1.4.9</w:t>
            </w:r>
            <w:r>
              <w:rPr>
                <w:rFonts w:ascii="Verdana" w:hAnsi="Verdana"/>
              </w:rPr>
              <w:t>.</w:t>
            </w:r>
          </w:p>
          <w:p w14:paraId="046CE54C" w14:textId="761E49C7" w:rsidR="00127D60" w:rsidRPr="00951555" w:rsidRDefault="00127D60" w:rsidP="00127D60">
            <w:pPr>
              <w:pStyle w:val="Prrafodelista"/>
              <w:widowControl w:val="0"/>
              <w:numPr>
                <w:ilvl w:val="0"/>
                <w:numId w:val="17"/>
              </w:numPr>
              <w:autoSpaceDE w:val="0"/>
              <w:autoSpaceDN w:val="0"/>
              <w:spacing w:after="120"/>
              <w:contextualSpacing w:val="0"/>
              <w:rPr>
                <w:rFonts w:ascii="Verdana" w:hAnsi="Verdana" w:cs="Arial"/>
              </w:rPr>
            </w:pPr>
            <w:r w:rsidRPr="00951555">
              <w:rPr>
                <w:rFonts w:ascii="Verdana" w:hAnsi="Verdana"/>
              </w:rPr>
              <w:t>Decreto 1571 de 1998</w:t>
            </w:r>
            <w:r w:rsidR="00BF71F7">
              <w:rPr>
                <w:rFonts w:ascii="Verdana" w:hAnsi="Verdana"/>
              </w:rPr>
              <w:t xml:space="preserve"> </w:t>
            </w:r>
            <w:r w:rsidRPr="00951555">
              <w:rPr>
                <w:rFonts w:ascii="Verdana" w:hAnsi="Verdana"/>
              </w:rPr>
              <w:t>Artículos 10 y 11</w:t>
            </w:r>
            <w:r>
              <w:rPr>
                <w:rFonts w:ascii="Verdana" w:hAnsi="Verdana"/>
              </w:rPr>
              <w:t>.</w:t>
            </w:r>
          </w:p>
          <w:p w14:paraId="6483BAA4" w14:textId="459C3398" w:rsidR="00236E38" w:rsidRPr="00236E38" w:rsidRDefault="00127D60" w:rsidP="00127D60">
            <w:pPr>
              <w:pStyle w:val="Prrafodelista"/>
              <w:widowControl w:val="0"/>
              <w:numPr>
                <w:ilvl w:val="0"/>
                <w:numId w:val="17"/>
              </w:numPr>
              <w:autoSpaceDE w:val="0"/>
              <w:autoSpaceDN w:val="0"/>
              <w:spacing w:after="120"/>
              <w:contextualSpacing w:val="0"/>
              <w:rPr>
                <w:rFonts w:ascii="Verdana" w:hAnsi="Verdana" w:cs="Arial"/>
              </w:rPr>
            </w:pPr>
            <w:r w:rsidRPr="00951555">
              <w:rPr>
                <w:rFonts w:ascii="Verdana" w:hAnsi="Verdana"/>
              </w:rPr>
              <w:t>Resolución 580 de 1999</w:t>
            </w:r>
            <w:r w:rsidR="00BF71F7">
              <w:rPr>
                <w:rFonts w:ascii="Verdana" w:hAnsi="Verdana"/>
              </w:rPr>
              <w:t xml:space="preserve"> </w:t>
            </w:r>
            <w:r w:rsidRPr="00951555">
              <w:rPr>
                <w:rFonts w:ascii="Verdana" w:hAnsi="Verdana"/>
              </w:rPr>
              <w:t>Expedida por el DAFP</w:t>
            </w:r>
            <w:r>
              <w:rPr>
                <w:rFonts w:ascii="Verdana" w:hAnsi="Verdana"/>
              </w:rPr>
              <w:t>.</w:t>
            </w:r>
            <w:r w:rsidR="00236E38" w:rsidRPr="00236E38">
              <w:rPr>
                <w:rFonts w:ascii="Verdana" w:hAnsi="Verdana"/>
              </w:rPr>
              <w:t xml:space="preserve"> </w:t>
            </w:r>
          </w:p>
          <w:p w14:paraId="40D699A3" w14:textId="198D4DD0" w:rsidR="00127D60" w:rsidRPr="004644D6" w:rsidRDefault="00236E38" w:rsidP="004644D6">
            <w:pPr>
              <w:pStyle w:val="Prrafodelista"/>
              <w:widowControl w:val="0"/>
              <w:numPr>
                <w:ilvl w:val="0"/>
                <w:numId w:val="17"/>
              </w:numPr>
              <w:autoSpaceDE w:val="0"/>
              <w:autoSpaceDN w:val="0"/>
              <w:spacing w:after="120"/>
              <w:contextualSpacing w:val="0"/>
              <w:jc w:val="both"/>
            </w:pPr>
            <w:r w:rsidRPr="004644D6">
              <w:rPr>
                <w:rFonts w:ascii="Verdana" w:hAnsi="Verdana"/>
              </w:rPr>
              <w:t>GUÍA PARA LA INCORPORACIÓN DE LINEAMIENTOS DE INTEGRIDAD EN LA CONTRATACIÓN DE PRESTACIÓN DE SERVICIOS. Disponible en: https://operaciones.colombiacompra.gov.co/sites/cce_public/files/cce_documents/cce-eicp-gi-23_guia_contratacion_prestacion_de_servicios_v1_11-07-2023_def_1_1.pdf</w:t>
            </w:r>
          </w:p>
        </w:tc>
      </w:tr>
    </w:tbl>
    <w:p w14:paraId="7E93F6E2" w14:textId="77777777" w:rsidR="00127D60" w:rsidRPr="00593A5F" w:rsidRDefault="00127D60" w:rsidP="00127D60">
      <w:pPr>
        <w:widowControl w:val="0"/>
        <w:autoSpaceDE w:val="0"/>
        <w:autoSpaceDN w:val="0"/>
        <w:spacing w:line="276" w:lineRule="auto"/>
        <w:jc w:val="both"/>
        <w:rPr>
          <w:rFonts w:ascii="Verdana" w:hAnsi="Verdana" w:cs="Arial"/>
        </w:rPr>
      </w:pPr>
    </w:p>
    <w:p w14:paraId="133F1A62" w14:textId="6135F9C3" w:rsidR="00AC4C54" w:rsidRPr="00AC4C54" w:rsidRDefault="00127D60" w:rsidP="00AC4C5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96A27AC" w14:textId="77777777" w:rsidR="00127D60" w:rsidRDefault="00127D60" w:rsidP="00127D6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880C0C3" w14:textId="05920C2A" w:rsidR="00127D60" w:rsidRPr="00C92459" w:rsidRDefault="00A26210" w:rsidP="00127D60">
      <w:pPr>
        <w:widowControl w:val="0"/>
        <w:autoSpaceDE w:val="0"/>
        <w:autoSpaceDN w:val="0"/>
        <w:spacing w:after="120" w:line="276" w:lineRule="auto"/>
        <w:jc w:val="both"/>
        <w:rPr>
          <w:rFonts w:ascii="Verdana" w:eastAsia="Arial" w:hAnsi="Verdana" w:cs="Arial"/>
          <w:lang w:val="es-MX"/>
        </w:rPr>
      </w:pPr>
      <w:r w:rsidRPr="00152466">
        <w:rPr>
          <w:rFonts w:ascii="Verdana" w:hAnsi="Verdana" w:cs="Arial"/>
          <w:shd w:val="clear" w:color="auto" w:fill="FFFFFF"/>
          <w:lang w:val="es-ES"/>
        </w:rPr>
        <w:t>Sobre los contratos de prestación de servicios, esta Subdirección se ha referido en los Conceptos Nro. C−293 del 12 de mayo de 2020, C−313 del 21 de mayo de 2020, C−345 del 21 de mayo de 2020, C−359 del 04de junio de 2020, C−379 del 30 de junio de 2020, C−414 del 30 de junio de 2020, C-661 del 17 de noviembre de 2020, C−685 del 18 de diciembre de 2020, C- 004 del 12 de febrero de 2021, C−106 del 7 de abril de 2021, C-181 del 07 de abril de 2022, C-214 del 22 de abril de 2022 y C-491 de 01 de agosto de 2022, C-008 del 20 de febrero de 2023, C-009 del 20 de febrero de 2023, C-286 del 2023, C-351 del 30 de agosto de 2024, C-372 del 26 de Agosto 2024, C-904 del 9 de diciembre de 2024, C-754 del 4 de diciembre de 2024, C-363 del 15 de abril de 2025</w:t>
      </w:r>
      <w:r w:rsidRPr="00152466">
        <w:rPr>
          <w:rFonts w:ascii="Verdana" w:hAnsi="Verdana" w:cs="Arial"/>
          <w:lang w:val="es-ES"/>
        </w:rPr>
        <w:t>, C-441 del 16 de mayo de 2025, C-517 del 27 de mayo de 2025 y C- 578 del 24 de junio del 2025</w:t>
      </w:r>
      <w:r w:rsidR="00C92459">
        <w:rPr>
          <w:rFonts w:ascii="Verdana" w:eastAsia="Arial" w:hAnsi="Verdana" w:cs="Arial"/>
          <w:lang w:val="es-ES"/>
        </w:rPr>
        <w:t xml:space="preserve">. </w:t>
      </w:r>
      <w:r w:rsidR="00127D60" w:rsidRPr="00FF007A">
        <w:rPr>
          <w:rFonts w:ascii="Verdana" w:hAnsi="Verdana" w:cs="Arial"/>
        </w:rPr>
        <w:t xml:space="preserve">Estos y otros </w:t>
      </w:r>
      <w:r w:rsidR="00127D60" w:rsidRPr="00FF007A">
        <w:rPr>
          <w:rFonts w:ascii="Verdana" w:hAnsi="Verdana"/>
        </w:rPr>
        <w:t>conceptos se encuentran disponibles para consulta en el Sistema de relatoría de la Agencia, al cual se puede acceder a través del siguiente enlace:</w:t>
      </w:r>
      <w:r w:rsidR="00127D60" w:rsidRPr="00FF007A">
        <w:rPr>
          <w:rFonts w:ascii="Verdana" w:hAnsi="Verdana" w:cs="Arial"/>
          <w:shd w:val="clear" w:color="auto" w:fill="FFFFFF"/>
        </w:rPr>
        <w:t xml:space="preserve"> </w:t>
      </w:r>
      <w:hyperlink r:id="rId12" w:history="1">
        <w:r w:rsidR="00127D60" w:rsidRPr="00FF007A">
          <w:rPr>
            <w:rFonts w:ascii="Verdana" w:hAnsi="Verdana" w:cs="Arial"/>
            <w:color w:val="0563C1" w:themeColor="hyperlink"/>
            <w:u w:val="single"/>
            <w:shd w:val="clear" w:color="auto" w:fill="FFFFFF"/>
          </w:rPr>
          <w:t>https://relatoria.colombiacompra.gov.co/busqueda/conceptos</w:t>
        </w:r>
      </w:hyperlink>
      <w:r w:rsidR="00127D60" w:rsidRPr="00FF007A">
        <w:rPr>
          <w:rFonts w:ascii="Verdana" w:hAnsi="Verdana" w:cs="Arial"/>
          <w:shd w:val="clear" w:color="auto" w:fill="FFFFFF"/>
        </w:rPr>
        <w:t>.</w:t>
      </w:r>
      <w:r w:rsidR="00127D60" w:rsidRPr="00FF007A">
        <w:rPr>
          <w:rFonts w:ascii="Verdana" w:hAnsi="Verdana" w:cs="Arial"/>
          <w:color w:val="FF0000"/>
          <w:shd w:val="clear" w:color="auto" w:fill="FFFFFF"/>
        </w:rPr>
        <w:t xml:space="preserve"> </w:t>
      </w:r>
      <w:r w:rsidR="00127D60" w:rsidRPr="00FF007A">
        <w:rPr>
          <w:rFonts w:ascii="Verdana" w:hAnsi="Verdana" w:cs="Arial"/>
          <w:color w:val="000000" w:themeColor="text1"/>
          <w:shd w:val="clear" w:color="auto" w:fill="FFFFFF"/>
        </w:rPr>
        <w:t>  </w:t>
      </w:r>
    </w:p>
    <w:p w14:paraId="1E6FB310" w14:textId="77777777" w:rsidR="00127D60" w:rsidRPr="00FE6BBD" w:rsidRDefault="00127D60" w:rsidP="00127D60">
      <w:pPr>
        <w:widowControl w:val="0"/>
        <w:autoSpaceDE w:val="0"/>
        <w:autoSpaceDN w:val="0"/>
        <w:spacing w:line="276" w:lineRule="auto"/>
        <w:jc w:val="both"/>
        <w:rPr>
          <w:rStyle w:val="normaltextrun"/>
          <w:rFonts w:ascii="Verdana" w:hAnsi="Verdana" w:cs="Arial"/>
          <w:color w:val="000000" w:themeColor="text1"/>
          <w:shd w:val="clear" w:color="auto" w:fill="FFFFFF"/>
          <w:lang w:val="es-ES"/>
        </w:rPr>
      </w:pPr>
    </w:p>
    <w:p w14:paraId="3E352575" w14:textId="77777777" w:rsidR="00127D60" w:rsidRPr="00FE6BBD" w:rsidRDefault="00127D60" w:rsidP="00127D60">
      <w:pPr>
        <w:shd w:val="clear" w:color="auto" w:fill="FFFFFF"/>
        <w:spacing w:line="276" w:lineRule="auto"/>
        <w:jc w:val="both"/>
        <w:rPr>
          <w:rFonts w:ascii="Verdana" w:hAnsi="Verdana"/>
          <w:color w:val="000000"/>
          <w:u w:val="single"/>
        </w:rPr>
      </w:pPr>
      <w:r w:rsidRPr="00FE6BBD">
        <w:rPr>
          <w:rFonts w:ascii="Verdana" w:hAnsi="Verdana"/>
          <w:color w:val="000000"/>
        </w:rPr>
        <w:t>Te informamos que ya se encuentra disponible la </w:t>
      </w:r>
      <w:r w:rsidRPr="00FE6BBD">
        <w:rPr>
          <w:rFonts w:ascii="Verdana" w:hAnsi="Verdana"/>
          <w:b/>
          <w:bCs/>
          <w:color w:val="000000"/>
        </w:rPr>
        <w:t xml:space="preserve">Guía de lineamientos de transparencia y selección objetiva para el departamento de La Guajira – Objetivo sexto constitucional de la Sentencia T-302 del </w:t>
      </w:r>
      <w:r w:rsidRPr="00FE6BBD">
        <w:rPr>
          <w:rFonts w:ascii="Verdana" w:hAnsi="Verdana"/>
          <w:b/>
          <w:bCs/>
          <w:color w:val="000000"/>
        </w:rPr>
        <w:lastRenderedPageBreak/>
        <w:t>2017. </w:t>
      </w:r>
      <w:r w:rsidRPr="00FE6BBD">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FE6BBD">
        <w:rPr>
          <w:rFonts w:ascii="Verdana" w:hAnsi="Verdana"/>
          <w:color w:val="000000"/>
        </w:rPr>
        <w:t>Wayúu</w:t>
      </w:r>
      <w:proofErr w:type="spellEnd"/>
      <w:r w:rsidRPr="00FE6BBD">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FE6BBD">
          <w:rPr>
            <w:rStyle w:val="Hipervnculo"/>
            <w:rFonts w:ascii="Verdana" w:hAnsi="Verdana"/>
          </w:rPr>
          <w:t>Guía de lineamientos de transparencia y selección objetiva para el departamento de La Guajira – Objetivo sexto constitucional de la Sentencia T-302 del 2017</w:t>
        </w:r>
      </w:hyperlink>
      <w:r w:rsidRPr="00FE6BBD">
        <w:rPr>
          <w:rFonts w:ascii="Verdana" w:hAnsi="Verdana"/>
          <w:color w:val="000000"/>
          <w:u w:val="single"/>
        </w:rPr>
        <w:t>.</w:t>
      </w:r>
    </w:p>
    <w:p w14:paraId="17EADFA2" w14:textId="77777777" w:rsidR="00127D60" w:rsidRPr="00FE6BBD" w:rsidRDefault="00127D60" w:rsidP="00127D60">
      <w:pPr>
        <w:widowControl w:val="0"/>
        <w:autoSpaceDE w:val="0"/>
        <w:autoSpaceDN w:val="0"/>
        <w:spacing w:line="276" w:lineRule="auto"/>
        <w:jc w:val="both"/>
        <w:rPr>
          <w:rStyle w:val="normaltextrun"/>
          <w:rFonts w:ascii="Verdana" w:hAnsi="Verdana" w:cs="Arial"/>
          <w:color w:val="FF0000"/>
          <w:shd w:val="clear" w:color="auto" w:fill="FFFFFF"/>
          <w:lang w:val="es-ES"/>
        </w:rPr>
      </w:pPr>
    </w:p>
    <w:p w14:paraId="2892136F" w14:textId="77777777" w:rsidR="00127D60" w:rsidRPr="00FE6BBD" w:rsidRDefault="00127D60" w:rsidP="00127D60">
      <w:pPr>
        <w:spacing w:line="276" w:lineRule="auto"/>
        <w:jc w:val="both"/>
        <w:rPr>
          <w:rFonts w:ascii="Verdana" w:hAnsi="Verdana"/>
        </w:rPr>
      </w:pPr>
      <w:r w:rsidRPr="00FE6BBD">
        <w:rPr>
          <w:rFonts w:ascii="Verdana" w:hAnsi="Verdana"/>
        </w:rPr>
        <w:t xml:space="preserve">Por último, lo invitamos a seguirnos en las redes sociales en las cuales se difunde información institucional: </w:t>
      </w:r>
    </w:p>
    <w:p w14:paraId="07004B0A" w14:textId="77777777" w:rsidR="00127D60" w:rsidRPr="00FE6BBD" w:rsidRDefault="00127D60" w:rsidP="00127D60">
      <w:pPr>
        <w:spacing w:line="276" w:lineRule="auto"/>
        <w:jc w:val="both"/>
        <w:rPr>
          <w:rFonts w:ascii="Verdana" w:hAnsi="Verdana"/>
        </w:rPr>
      </w:pPr>
    </w:p>
    <w:p w14:paraId="314B7D93" w14:textId="77777777" w:rsidR="00127D60" w:rsidRPr="00FE6BBD" w:rsidRDefault="00127D60" w:rsidP="00127D60">
      <w:pPr>
        <w:spacing w:line="276" w:lineRule="auto"/>
        <w:jc w:val="both"/>
        <w:rPr>
          <w:rFonts w:ascii="Verdana" w:hAnsi="Verdana"/>
        </w:rPr>
      </w:pPr>
      <w:r w:rsidRPr="00FE6BBD">
        <w:rPr>
          <w:rFonts w:ascii="Verdana" w:hAnsi="Verdana"/>
        </w:rPr>
        <w:t xml:space="preserve">Twitter: </w:t>
      </w:r>
      <w:r w:rsidRPr="00FE6BBD">
        <w:rPr>
          <w:rStyle w:val="Hipervnculo"/>
          <w:rFonts w:ascii="Verdana" w:hAnsi="Verdana"/>
          <w:color w:val="4472C4" w:themeColor="accent1"/>
        </w:rPr>
        <w:t>@colombiacompra</w:t>
      </w:r>
      <w:r w:rsidRPr="00FE6BBD">
        <w:rPr>
          <w:rFonts w:ascii="Verdana" w:hAnsi="Verdana"/>
          <w:color w:val="4472C4" w:themeColor="accent1"/>
        </w:rPr>
        <w:t xml:space="preserve"> </w:t>
      </w:r>
    </w:p>
    <w:p w14:paraId="381D3A0F" w14:textId="77777777" w:rsidR="00127D60" w:rsidRPr="00FE6BBD" w:rsidRDefault="00127D60" w:rsidP="00127D60">
      <w:pPr>
        <w:spacing w:line="276" w:lineRule="auto"/>
        <w:jc w:val="both"/>
        <w:rPr>
          <w:rFonts w:ascii="Verdana" w:hAnsi="Verdana"/>
        </w:rPr>
      </w:pPr>
      <w:r w:rsidRPr="00FE6BBD">
        <w:rPr>
          <w:rFonts w:ascii="Verdana" w:hAnsi="Verdana"/>
        </w:rPr>
        <w:t xml:space="preserve">Facebook: </w:t>
      </w:r>
      <w:proofErr w:type="spellStart"/>
      <w:r w:rsidRPr="00FE6BBD">
        <w:rPr>
          <w:rStyle w:val="Hipervnculo"/>
          <w:rFonts w:ascii="Verdana" w:hAnsi="Verdana"/>
          <w:color w:val="4472C4" w:themeColor="accent1"/>
        </w:rPr>
        <w:t>ColombiaCompraEficiente</w:t>
      </w:r>
      <w:proofErr w:type="spellEnd"/>
    </w:p>
    <w:p w14:paraId="54491A21" w14:textId="77777777" w:rsidR="00127D60" w:rsidRPr="00FE6BBD" w:rsidRDefault="00127D60" w:rsidP="00127D60">
      <w:pPr>
        <w:spacing w:line="276" w:lineRule="auto"/>
        <w:jc w:val="both"/>
        <w:rPr>
          <w:rFonts w:ascii="Verdana" w:hAnsi="Verdana"/>
        </w:rPr>
      </w:pPr>
      <w:r w:rsidRPr="00FE6BBD">
        <w:rPr>
          <w:rFonts w:ascii="Verdana" w:hAnsi="Verdana"/>
        </w:rPr>
        <w:t xml:space="preserve">LinkedIn: </w:t>
      </w:r>
      <w:r w:rsidRPr="00FE6BBD">
        <w:rPr>
          <w:rStyle w:val="Hipervnculo"/>
          <w:rFonts w:ascii="Verdana" w:hAnsi="Verdana"/>
          <w:color w:val="4472C4" w:themeColor="accent1"/>
        </w:rPr>
        <w:t>Agencia Nacional de Contratación Pública - Colombia Compra Eficiente</w:t>
      </w:r>
      <w:r w:rsidRPr="00FE6BBD">
        <w:rPr>
          <w:rFonts w:ascii="Verdana" w:hAnsi="Verdana"/>
          <w:color w:val="4472C4" w:themeColor="accent1"/>
        </w:rPr>
        <w:t xml:space="preserve"> </w:t>
      </w:r>
      <w:r w:rsidRPr="00FE6BBD">
        <w:rPr>
          <w:rFonts w:ascii="Verdana" w:hAnsi="Verdana"/>
        </w:rPr>
        <w:t xml:space="preserve">Instagram: </w:t>
      </w:r>
      <w:r w:rsidRPr="00FE6BBD">
        <w:rPr>
          <w:rStyle w:val="Hipervnculo"/>
          <w:rFonts w:ascii="Verdana" w:hAnsi="Verdana"/>
          <w:color w:val="4472C4" w:themeColor="accent1"/>
        </w:rPr>
        <w:t>@colombiacompraeficiente_cce</w:t>
      </w:r>
    </w:p>
    <w:p w14:paraId="137C452C" w14:textId="77777777" w:rsidR="00127D60" w:rsidRPr="00FE6BBD" w:rsidRDefault="00127D60" w:rsidP="00127D60">
      <w:pPr>
        <w:widowControl w:val="0"/>
        <w:autoSpaceDE w:val="0"/>
        <w:autoSpaceDN w:val="0"/>
        <w:spacing w:line="276" w:lineRule="auto"/>
        <w:jc w:val="both"/>
        <w:rPr>
          <w:rFonts w:ascii="Verdana" w:hAnsi="Verdana" w:cs="Arial"/>
        </w:rPr>
      </w:pPr>
    </w:p>
    <w:p w14:paraId="21767304" w14:textId="77777777" w:rsidR="00127D60" w:rsidRPr="00FE6BBD" w:rsidRDefault="00127D60" w:rsidP="00127D60">
      <w:pPr>
        <w:widowControl w:val="0"/>
        <w:autoSpaceDE w:val="0"/>
        <w:autoSpaceDN w:val="0"/>
        <w:spacing w:line="276" w:lineRule="auto"/>
        <w:jc w:val="both"/>
        <w:rPr>
          <w:rFonts w:ascii="Verdana" w:hAnsi="Verdana" w:cs="Arial"/>
          <w:lang w:val="es-ES_tradnl"/>
        </w:rPr>
      </w:pPr>
      <w:r w:rsidRPr="00FE6BBD">
        <w:rPr>
          <w:rFonts w:ascii="Verdana" w:hAnsi="Verdana" w:cs="Arial"/>
        </w:rPr>
        <w:t xml:space="preserve">Este concepto tiene el alcance previsto en el artículo 28 del Código de Procedimiento Administrativo y de lo Contencioso Administrativo </w:t>
      </w:r>
      <w:r w:rsidRPr="00FE6BBD">
        <w:rPr>
          <w:rFonts w:ascii="Verdana" w:hAnsi="Verdana" w:cs="Arial"/>
          <w:lang w:val="es-ES_tradnl"/>
        </w:rPr>
        <w:t>y las expresiones aquí utilizadas con mayúscula inicial deben ser entendidas con el significado que les otorga el artículo 2.2.1.1.1.3.1. del Decreto 1082 de 2015.</w:t>
      </w:r>
    </w:p>
    <w:p w14:paraId="5827259C" w14:textId="77777777" w:rsidR="00127D60" w:rsidRPr="00FE6BBD" w:rsidRDefault="00127D60" w:rsidP="00127D60">
      <w:pPr>
        <w:widowControl w:val="0"/>
        <w:autoSpaceDE w:val="0"/>
        <w:autoSpaceDN w:val="0"/>
        <w:spacing w:line="276" w:lineRule="auto"/>
        <w:jc w:val="both"/>
        <w:rPr>
          <w:rFonts w:ascii="Verdana" w:hAnsi="Verdana" w:cs="Arial"/>
        </w:rPr>
      </w:pPr>
    </w:p>
    <w:p w14:paraId="36067F2D" w14:textId="1BC467AA" w:rsidR="00127D60" w:rsidRPr="00593A5F" w:rsidRDefault="00127D60" w:rsidP="004644D6">
      <w:pPr>
        <w:spacing w:line="276" w:lineRule="auto"/>
        <w:rPr>
          <w:rFonts w:ascii="Verdana" w:hAnsi="Verdana" w:cs="Arial"/>
        </w:rPr>
      </w:pPr>
      <w:r w:rsidRPr="00FE6BBD">
        <w:rPr>
          <w:rFonts w:ascii="Verdana" w:hAnsi="Verdana" w:cs="Arial"/>
          <w:lang w:eastAsia="es-CO"/>
        </w:rPr>
        <w:t xml:space="preserve">Atentamente, </w:t>
      </w:r>
    </w:p>
    <w:p w14:paraId="3249C0F5" w14:textId="5C7891D2" w:rsidR="00127D60" w:rsidRPr="00593A5F" w:rsidRDefault="001A2719" w:rsidP="00127D60">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187F0E1E" wp14:editId="5D4D4CCB">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p w14:paraId="527C4827" w14:textId="77777777" w:rsidR="00127D60" w:rsidRPr="00593A5F" w:rsidRDefault="00127D60" w:rsidP="00127D60">
      <w:pPr>
        <w:rPr>
          <w:rFonts w:ascii="Verdana" w:hAnsi="Verdana" w:cs="Arial"/>
          <w:lang w:eastAsia="es-ES"/>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27D60" w:rsidRPr="00FE6BBD" w14:paraId="4277A03D" w14:textId="77777777" w:rsidTr="004644D6">
        <w:trPr>
          <w:trHeight w:val="315"/>
        </w:trPr>
        <w:tc>
          <w:tcPr>
            <w:tcW w:w="893" w:type="dxa"/>
            <w:vAlign w:val="center"/>
            <w:hideMark/>
          </w:tcPr>
          <w:p w14:paraId="04E8CF25" w14:textId="77777777" w:rsidR="00127D60" w:rsidRPr="00FE6BBD" w:rsidRDefault="00127D60" w:rsidP="00B15EBB">
            <w:pPr>
              <w:spacing w:line="276" w:lineRule="auto"/>
              <w:contextualSpacing/>
              <w:rPr>
                <w:rFonts w:ascii="Verdana" w:hAnsi="Verdana" w:cs="Arial"/>
                <w:sz w:val="16"/>
                <w:szCs w:val="16"/>
                <w:lang w:val="es-ES" w:eastAsia="es-ES"/>
              </w:rPr>
            </w:pPr>
            <w:r w:rsidRPr="00FE6BBD">
              <w:rPr>
                <w:rFonts w:ascii="Verdana" w:hAnsi="Verdana" w:cs="Arial"/>
                <w:sz w:val="16"/>
                <w:szCs w:val="16"/>
                <w:lang w:val="es-ES" w:eastAsia="es-ES"/>
              </w:rPr>
              <w:t>Elaboró:</w:t>
            </w:r>
          </w:p>
        </w:tc>
        <w:tc>
          <w:tcPr>
            <w:tcW w:w="5628" w:type="dxa"/>
            <w:vAlign w:val="center"/>
            <w:hideMark/>
          </w:tcPr>
          <w:p w14:paraId="725F8326" w14:textId="77777777" w:rsidR="00127D60" w:rsidRPr="00FE6BBD" w:rsidRDefault="00127D60" w:rsidP="00B15EBB">
            <w:pPr>
              <w:spacing w:line="276" w:lineRule="auto"/>
              <w:contextualSpacing/>
              <w:rPr>
                <w:rStyle w:val="normaltextrun"/>
                <w:rFonts w:ascii="Verdana" w:eastAsia="Arial" w:hAnsi="Verdana" w:cs="Arial"/>
                <w:sz w:val="16"/>
                <w:szCs w:val="16"/>
              </w:rPr>
            </w:pPr>
            <w:r w:rsidRPr="00FE6BBD">
              <w:rPr>
                <w:rStyle w:val="normaltextrun"/>
                <w:rFonts w:ascii="Verdana" w:eastAsia="Arial" w:hAnsi="Verdana" w:cs="Arial"/>
                <w:sz w:val="16"/>
                <w:szCs w:val="16"/>
              </w:rPr>
              <w:t>Andrea del Pilar Garzón Sánchez.</w:t>
            </w:r>
          </w:p>
          <w:p w14:paraId="5537384C" w14:textId="77777777" w:rsidR="00127D60" w:rsidRPr="00FE6BBD" w:rsidRDefault="00127D60" w:rsidP="00B15EBB">
            <w:pPr>
              <w:spacing w:line="276" w:lineRule="auto"/>
              <w:contextualSpacing/>
              <w:rPr>
                <w:rFonts w:ascii="Verdana" w:eastAsia="Arial" w:hAnsi="Verdana" w:cs="Arial"/>
                <w:color w:val="7030A0"/>
                <w:sz w:val="16"/>
                <w:szCs w:val="16"/>
              </w:rPr>
            </w:pPr>
            <w:r w:rsidRPr="00FE6BBD">
              <w:rPr>
                <w:rStyle w:val="normaltextrun"/>
                <w:rFonts w:ascii="Verdana" w:eastAsia="Arial" w:hAnsi="Verdana" w:cs="Arial"/>
                <w:sz w:val="16"/>
                <w:szCs w:val="16"/>
              </w:rPr>
              <w:lastRenderedPageBreak/>
              <w:t>Contratista de la Subdirección de Gestión Contractual</w:t>
            </w:r>
          </w:p>
        </w:tc>
      </w:tr>
      <w:tr w:rsidR="00127D60" w:rsidRPr="00FE6BBD" w14:paraId="6B6FD2B8" w14:textId="77777777" w:rsidTr="004644D6">
        <w:trPr>
          <w:trHeight w:val="330"/>
        </w:trPr>
        <w:tc>
          <w:tcPr>
            <w:tcW w:w="893" w:type="dxa"/>
            <w:vAlign w:val="center"/>
            <w:hideMark/>
          </w:tcPr>
          <w:p w14:paraId="024B1BD5" w14:textId="77777777" w:rsidR="00127D60" w:rsidRPr="00FE6BBD" w:rsidRDefault="00127D60" w:rsidP="00B15EBB">
            <w:pPr>
              <w:spacing w:line="276" w:lineRule="auto"/>
              <w:contextualSpacing/>
              <w:rPr>
                <w:rFonts w:ascii="Verdana" w:hAnsi="Verdana" w:cs="Arial"/>
                <w:sz w:val="16"/>
                <w:szCs w:val="16"/>
                <w:lang w:val="es-ES" w:eastAsia="es-ES"/>
              </w:rPr>
            </w:pPr>
            <w:r w:rsidRPr="00FE6BBD">
              <w:rPr>
                <w:rFonts w:ascii="Verdana" w:hAnsi="Verdana" w:cs="Arial"/>
                <w:sz w:val="16"/>
                <w:szCs w:val="16"/>
                <w:lang w:val="es-ES" w:eastAsia="es-ES"/>
              </w:rPr>
              <w:lastRenderedPageBreak/>
              <w:t>Revisó:</w:t>
            </w:r>
          </w:p>
        </w:tc>
        <w:tc>
          <w:tcPr>
            <w:tcW w:w="5628" w:type="dxa"/>
            <w:vAlign w:val="center"/>
            <w:hideMark/>
          </w:tcPr>
          <w:p w14:paraId="16775B6D" w14:textId="77777777" w:rsidR="00127D60" w:rsidRPr="00FE6BBD" w:rsidRDefault="00127D60" w:rsidP="00B15EBB">
            <w:pPr>
              <w:pStyle w:val="paragraph"/>
              <w:spacing w:before="0" w:beforeAutospacing="0" w:after="0" w:afterAutospacing="0" w:line="276" w:lineRule="auto"/>
              <w:contextualSpacing/>
              <w:textAlignment w:val="baseline"/>
              <w:rPr>
                <w:rStyle w:val="normaltextrun"/>
                <w:rFonts w:ascii="Verdana" w:hAnsi="Verdana" w:cs="Arial"/>
                <w:sz w:val="16"/>
                <w:szCs w:val="16"/>
                <w:lang w:val="es-ES"/>
              </w:rPr>
            </w:pPr>
            <w:r w:rsidRPr="00FE6BBD">
              <w:rPr>
                <w:rStyle w:val="normaltextrun"/>
                <w:rFonts w:ascii="Verdana" w:hAnsi="Verdana" w:cs="Arial"/>
                <w:sz w:val="16"/>
                <w:szCs w:val="16"/>
                <w:lang w:val="es-ES"/>
              </w:rPr>
              <w:t>Diana Lucia Saavedra Castañeda.</w:t>
            </w:r>
          </w:p>
          <w:p w14:paraId="7BFB1C0B" w14:textId="77777777" w:rsidR="00127D60" w:rsidRPr="00FE6BBD" w:rsidRDefault="00127D60" w:rsidP="00B15EBB">
            <w:pPr>
              <w:pStyle w:val="paragraph"/>
              <w:spacing w:before="0" w:beforeAutospacing="0" w:after="0" w:afterAutospacing="0" w:line="276" w:lineRule="auto"/>
              <w:contextualSpacing/>
              <w:textAlignment w:val="baseline"/>
              <w:rPr>
                <w:rFonts w:ascii="Verdana" w:hAnsi="Verdana" w:cs="Segoe UI"/>
                <w:sz w:val="16"/>
                <w:szCs w:val="16"/>
              </w:rPr>
            </w:pPr>
            <w:r w:rsidRPr="00FE6BBD">
              <w:rPr>
                <w:rStyle w:val="normaltextrun"/>
                <w:rFonts w:ascii="Verdana" w:hAnsi="Verdana" w:cs="Arial"/>
                <w:sz w:val="16"/>
                <w:szCs w:val="16"/>
                <w:lang w:val="es-ES"/>
              </w:rPr>
              <w:t>Contratista de la Subdirección de Gestión Contractual</w:t>
            </w:r>
            <w:r w:rsidRPr="00FE6BBD">
              <w:rPr>
                <w:rStyle w:val="eop"/>
                <w:rFonts w:ascii="Verdana" w:hAnsi="Verdana" w:cs="Arial"/>
                <w:sz w:val="16"/>
                <w:szCs w:val="16"/>
              </w:rPr>
              <w:t> </w:t>
            </w:r>
          </w:p>
        </w:tc>
      </w:tr>
      <w:tr w:rsidR="00127D60" w:rsidRPr="00FE6BBD" w14:paraId="18BDBCD0" w14:textId="77777777" w:rsidTr="004644D6">
        <w:trPr>
          <w:trHeight w:val="300"/>
        </w:trPr>
        <w:tc>
          <w:tcPr>
            <w:tcW w:w="893" w:type="dxa"/>
            <w:vAlign w:val="center"/>
          </w:tcPr>
          <w:p w14:paraId="3BF3DF4B" w14:textId="77777777" w:rsidR="00127D60" w:rsidRPr="00FE6BBD" w:rsidRDefault="00127D60" w:rsidP="00B15EBB">
            <w:pPr>
              <w:spacing w:line="276" w:lineRule="auto"/>
              <w:contextualSpacing/>
              <w:rPr>
                <w:rFonts w:ascii="Verdana" w:hAnsi="Verdana" w:cs="Arial"/>
                <w:sz w:val="16"/>
                <w:szCs w:val="16"/>
                <w:lang w:val="es-ES" w:eastAsia="es-ES"/>
              </w:rPr>
            </w:pPr>
            <w:r w:rsidRPr="00FE6BBD">
              <w:rPr>
                <w:rFonts w:ascii="Verdana" w:hAnsi="Verdana" w:cs="Arial"/>
                <w:sz w:val="16"/>
                <w:szCs w:val="16"/>
                <w:lang w:val="es-ES" w:eastAsia="es-ES"/>
              </w:rPr>
              <w:t>Aprobó:</w:t>
            </w:r>
          </w:p>
        </w:tc>
        <w:tc>
          <w:tcPr>
            <w:tcW w:w="5628" w:type="dxa"/>
            <w:vAlign w:val="center"/>
          </w:tcPr>
          <w:p w14:paraId="15CA233B" w14:textId="77777777" w:rsidR="00127D60" w:rsidRPr="00FE6BBD" w:rsidRDefault="00127D60" w:rsidP="00B15EBB">
            <w:pPr>
              <w:contextualSpacing/>
              <w:rPr>
                <w:rFonts w:ascii="Verdana" w:eastAsia="Calibri" w:hAnsi="Verdana" w:cs="Arial"/>
                <w:sz w:val="16"/>
                <w:szCs w:val="16"/>
                <w:lang w:val="pt-BR" w:eastAsia="es-ES"/>
              </w:rPr>
            </w:pPr>
            <w:r w:rsidRPr="00FE6BBD">
              <w:rPr>
                <w:rFonts w:ascii="Verdana" w:eastAsia="Calibri" w:hAnsi="Verdana" w:cs="Arial"/>
                <w:sz w:val="16"/>
                <w:szCs w:val="16"/>
                <w:lang w:val="pt-BR" w:eastAsia="es-ES"/>
              </w:rPr>
              <w:t xml:space="preserve">Carolina Quintero </w:t>
            </w:r>
            <w:proofErr w:type="spellStart"/>
            <w:r w:rsidRPr="00FE6BBD">
              <w:rPr>
                <w:rFonts w:ascii="Verdana" w:eastAsia="Calibri" w:hAnsi="Verdana" w:cs="Arial"/>
                <w:sz w:val="16"/>
                <w:szCs w:val="16"/>
                <w:lang w:val="pt-BR" w:eastAsia="es-ES"/>
              </w:rPr>
              <w:t>Gacharná</w:t>
            </w:r>
            <w:proofErr w:type="spellEnd"/>
          </w:p>
          <w:p w14:paraId="06B63FE4" w14:textId="77777777" w:rsidR="00127D60" w:rsidRPr="00FE6BBD" w:rsidRDefault="00127D60" w:rsidP="00B15EBB">
            <w:pPr>
              <w:spacing w:line="276" w:lineRule="auto"/>
              <w:contextualSpacing/>
              <w:rPr>
                <w:rFonts w:ascii="Verdana" w:eastAsia="Calibri" w:hAnsi="Verdana" w:cs="Arial"/>
                <w:sz w:val="16"/>
                <w:szCs w:val="16"/>
                <w:lang w:val="pt-BR" w:eastAsia="es-ES"/>
              </w:rPr>
            </w:pPr>
            <w:r w:rsidRPr="00FE6BBD">
              <w:rPr>
                <w:rFonts w:ascii="Verdana" w:eastAsia="Calibri" w:hAnsi="Verdana" w:cs="Arial"/>
                <w:sz w:val="16"/>
                <w:szCs w:val="16"/>
                <w:lang w:eastAsia="es-ES"/>
              </w:rPr>
              <w:t>Subdirectora</w:t>
            </w:r>
            <w:r w:rsidRPr="00FE6BBD">
              <w:rPr>
                <w:rFonts w:ascii="Verdana" w:eastAsia="Calibri" w:hAnsi="Verdana" w:cs="Arial"/>
                <w:sz w:val="16"/>
                <w:szCs w:val="16"/>
                <w:lang w:val="pt-BR" w:eastAsia="es-ES"/>
              </w:rPr>
              <w:t xml:space="preserve"> de Gestión </w:t>
            </w:r>
            <w:proofErr w:type="spellStart"/>
            <w:r w:rsidRPr="00FE6BBD">
              <w:rPr>
                <w:rFonts w:ascii="Verdana" w:eastAsia="Calibri" w:hAnsi="Verdana" w:cs="Arial"/>
                <w:sz w:val="16"/>
                <w:szCs w:val="16"/>
                <w:lang w:val="pt-BR" w:eastAsia="es-ES"/>
              </w:rPr>
              <w:t>Contractual</w:t>
            </w:r>
            <w:proofErr w:type="spellEnd"/>
            <w:r w:rsidRPr="00FE6BBD">
              <w:rPr>
                <w:rFonts w:ascii="Verdana" w:eastAsia="Calibri" w:hAnsi="Verdana" w:cs="Arial"/>
                <w:sz w:val="16"/>
                <w:szCs w:val="16"/>
                <w:lang w:val="pt-BR" w:eastAsia="es-ES"/>
              </w:rPr>
              <w:t xml:space="preserve"> ANCP – CCE </w:t>
            </w:r>
          </w:p>
        </w:tc>
      </w:tr>
    </w:tbl>
    <w:p w14:paraId="420126C4" w14:textId="77777777" w:rsidR="00127D60" w:rsidRPr="00871B59" w:rsidRDefault="00127D60" w:rsidP="00127D60"/>
    <w:p w14:paraId="2B547369" w14:textId="77777777" w:rsidR="006129A0" w:rsidRPr="00593A5F" w:rsidRDefault="006129A0" w:rsidP="006129A0">
      <w:pPr>
        <w:widowControl w:val="0"/>
        <w:autoSpaceDE w:val="0"/>
        <w:autoSpaceDN w:val="0"/>
        <w:spacing w:line="276" w:lineRule="auto"/>
        <w:jc w:val="both"/>
        <w:rPr>
          <w:rFonts w:ascii="Verdana" w:hAnsi="Verdana" w:cs="Arial"/>
        </w:rPr>
      </w:pPr>
    </w:p>
    <w:bookmarkEnd w:id="0"/>
    <w:p w14:paraId="12443EE0" w14:textId="6EB10246" w:rsidR="00C15139" w:rsidRPr="0024624F" w:rsidRDefault="00C15139" w:rsidP="00C15139">
      <w:pPr>
        <w:rPr>
          <w:rFonts w:ascii="Verdana" w:hAnsi="Verdana"/>
        </w:rPr>
      </w:pPr>
    </w:p>
    <w:sectPr w:rsidR="00C15139"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A38066" w14:textId="77777777" w:rsidR="00EA6840" w:rsidRDefault="00EA6840" w:rsidP="004A1847">
      <w:r>
        <w:separator/>
      </w:r>
    </w:p>
  </w:endnote>
  <w:endnote w:type="continuationSeparator" w:id="0">
    <w:p w14:paraId="047BBD96" w14:textId="77777777" w:rsidR="00EA6840" w:rsidRDefault="00EA6840" w:rsidP="004A1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cstheme="minorBidi"/>
        <w:b/>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cstheme="minorBidi"/>
        <w:b/>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D8B57B" w14:textId="77777777" w:rsidR="00EA6840" w:rsidRDefault="00EA6840" w:rsidP="004A1847">
      <w:r>
        <w:separator/>
      </w:r>
    </w:p>
  </w:footnote>
  <w:footnote w:type="continuationSeparator" w:id="0">
    <w:p w14:paraId="43D07B13" w14:textId="77777777" w:rsidR="00EA6840" w:rsidRDefault="00EA6840" w:rsidP="004A1847">
      <w:r>
        <w:continuationSeparator/>
      </w:r>
    </w:p>
  </w:footnote>
  <w:footnote w:id="1">
    <w:p w14:paraId="3F13073D" w14:textId="77777777" w:rsidR="00127D60" w:rsidRPr="00472251" w:rsidRDefault="00127D60" w:rsidP="00127D60">
      <w:pPr>
        <w:pStyle w:val="Textonotapie"/>
        <w:ind w:firstLine="709"/>
        <w:jc w:val="both"/>
        <w:rPr>
          <w:rFonts w:ascii="Verdana" w:hAnsi="Verdana" w:cs="Arial"/>
          <w:color w:val="000000"/>
          <w:sz w:val="16"/>
          <w:szCs w:val="16"/>
          <w:lang w:val="es-ES"/>
        </w:rPr>
      </w:pPr>
      <w:r w:rsidRPr="00472251">
        <w:rPr>
          <w:rStyle w:val="Refdenotaalpie"/>
          <w:rFonts w:ascii="Verdana" w:hAnsi="Verdana" w:cs="Arial"/>
          <w:color w:val="000000"/>
          <w:sz w:val="16"/>
          <w:szCs w:val="16"/>
        </w:rPr>
        <w:footnoteRef/>
      </w:r>
      <w:r w:rsidRPr="00472251">
        <w:rPr>
          <w:rFonts w:ascii="Verdana" w:hAnsi="Verdana" w:cs="Arial"/>
          <w:color w:val="000000"/>
          <w:sz w:val="16"/>
          <w:szCs w:val="16"/>
        </w:rPr>
        <w:t xml:space="preserve"> </w:t>
      </w:r>
      <w:r w:rsidRPr="00472251">
        <w:rPr>
          <w:rFonts w:ascii="Verdana" w:hAnsi="Verdana" w:cs="Arial"/>
          <w:color w:val="000000"/>
          <w:sz w:val="16"/>
          <w:szCs w:val="16"/>
          <w:lang w:val="es-ES"/>
        </w:rPr>
        <w:t>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 “La Entidad Estatal, para la contratación de trabajos artísticos que solamente puedan encomendarse a determinadas personas naturales, debe justificar esta situación en los estudios y documentos previos”.</w:t>
      </w:r>
    </w:p>
    <w:p w14:paraId="580983D4" w14:textId="77777777" w:rsidR="00127D60" w:rsidRPr="00472251" w:rsidRDefault="00127D60" w:rsidP="00127D60">
      <w:pPr>
        <w:pStyle w:val="Textonotapie"/>
        <w:ind w:firstLine="709"/>
        <w:jc w:val="both"/>
        <w:rPr>
          <w:rFonts w:ascii="Verdana" w:hAnsi="Verdana" w:cs="Arial"/>
          <w:color w:val="000000"/>
          <w:sz w:val="16"/>
          <w:szCs w:val="16"/>
          <w:lang w:val="es-ES"/>
        </w:rPr>
      </w:pPr>
    </w:p>
  </w:footnote>
  <w:footnote w:id="2">
    <w:p w14:paraId="00133F99" w14:textId="77777777" w:rsidR="00127D60" w:rsidRPr="00472251" w:rsidRDefault="00127D60" w:rsidP="00127D60">
      <w:pPr>
        <w:pStyle w:val="Textonotapie"/>
        <w:ind w:firstLine="709"/>
        <w:jc w:val="both"/>
        <w:rPr>
          <w:rFonts w:ascii="Verdana" w:hAnsi="Verdana" w:cs="Arial"/>
          <w:color w:val="000000"/>
          <w:sz w:val="16"/>
          <w:szCs w:val="16"/>
          <w:lang w:val="es-ES"/>
        </w:rPr>
      </w:pPr>
      <w:r w:rsidRPr="00472251">
        <w:rPr>
          <w:rStyle w:val="Refdenotaalpie"/>
          <w:rFonts w:ascii="Verdana" w:hAnsi="Verdana" w:cs="Arial"/>
          <w:color w:val="000000"/>
          <w:sz w:val="16"/>
          <w:szCs w:val="16"/>
        </w:rPr>
        <w:footnoteRef/>
      </w:r>
      <w:r w:rsidRPr="00472251">
        <w:rPr>
          <w:rFonts w:ascii="Verdana" w:hAnsi="Verdana" w:cs="Arial"/>
          <w:color w:val="000000"/>
          <w:sz w:val="16"/>
          <w:szCs w:val="16"/>
        </w:rPr>
        <w:t xml:space="preserve"> </w:t>
      </w:r>
      <w:r w:rsidRPr="005159CB">
        <w:rPr>
          <w:rFonts w:ascii="Verdana" w:hAnsi="Verdana" w:cs="Arial"/>
          <w:sz w:val="16"/>
          <w:szCs w:val="16"/>
        </w:rPr>
        <w:t>Consejo de Estado. Sección Tercera. Subsección C. Sentencia de Unificación del 2 de diciembre de 2013. Exp. 41.719. C.P Jaime Orlando Santofimio Gamboa.</w:t>
      </w:r>
    </w:p>
    <w:p w14:paraId="7D7B936A" w14:textId="77777777" w:rsidR="00127D60" w:rsidRPr="00472251" w:rsidRDefault="00127D60" w:rsidP="00127D60">
      <w:pPr>
        <w:pStyle w:val="Textonotapie"/>
        <w:ind w:firstLine="709"/>
        <w:jc w:val="both"/>
        <w:rPr>
          <w:rFonts w:ascii="Verdana" w:hAnsi="Verdana" w:cs="Arial"/>
          <w:color w:val="000000"/>
          <w:sz w:val="16"/>
          <w:szCs w:val="16"/>
          <w:lang w:val="es-ES"/>
        </w:rPr>
      </w:pPr>
    </w:p>
  </w:footnote>
  <w:footnote w:id="3">
    <w:p w14:paraId="08D34A9D" w14:textId="77777777" w:rsidR="00127D60" w:rsidRPr="00A7405A" w:rsidRDefault="00127D60" w:rsidP="00127D60">
      <w:pPr>
        <w:pStyle w:val="Textonotapie"/>
        <w:ind w:firstLine="709"/>
        <w:jc w:val="both"/>
        <w:rPr>
          <w:rFonts w:ascii="Verdana" w:hAnsi="Verdana" w:cs="Arial"/>
          <w:color w:val="000000" w:themeColor="text1"/>
          <w:sz w:val="16"/>
          <w:szCs w:val="16"/>
          <w:lang w:val="es-ES"/>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w:t>
      </w:r>
      <w:r w:rsidRPr="00A7405A">
        <w:rPr>
          <w:rFonts w:ascii="Verdana" w:hAnsi="Verdana" w:cs="Arial"/>
          <w:i/>
          <w:iCs/>
          <w:color w:val="000000" w:themeColor="text1"/>
          <w:sz w:val="16"/>
          <w:szCs w:val="16"/>
          <w:lang w:val="es-ES"/>
        </w:rPr>
        <w:t>Ibíd</w:t>
      </w:r>
      <w:r w:rsidRPr="00A7405A">
        <w:rPr>
          <w:rFonts w:ascii="Verdana" w:hAnsi="Verdana" w:cs="Arial"/>
          <w:color w:val="000000" w:themeColor="text1"/>
          <w:sz w:val="16"/>
          <w:szCs w:val="16"/>
          <w:lang w:val="es-ES"/>
        </w:rPr>
        <w:t>.</w:t>
      </w:r>
    </w:p>
    <w:p w14:paraId="2CE228F3" w14:textId="77777777" w:rsidR="00127D60" w:rsidRPr="00A7405A" w:rsidRDefault="00127D60" w:rsidP="00127D60">
      <w:pPr>
        <w:pStyle w:val="Textonotapie"/>
        <w:ind w:firstLine="709"/>
        <w:jc w:val="both"/>
        <w:rPr>
          <w:rFonts w:ascii="Verdana" w:hAnsi="Verdana" w:cs="Arial"/>
          <w:color w:val="000000" w:themeColor="text1"/>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line="120" w:lineRule="auto"/>
      <w:rPr>
        <w:rFonts w:ascii="Century Gothic" w:eastAsia="Geo" w:hAnsi="Century Gothic" w:cs="Geo"/>
        <w:sz w:val="16"/>
        <w:szCs w:val="16"/>
        <w:lang w:eastAsia="es-CO"/>
      </w:rPr>
    </w:pPr>
  </w:p>
  <w:p w14:paraId="211B7F5D" w14:textId="77777777" w:rsidR="00C925AC" w:rsidRDefault="00C925AC" w:rsidP="00844AE9">
    <w:pPr>
      <w:rPr>
        <w:rFonts w:ascii="Verdana" w:hAnsi="Verdana"/>
      </w:rPr>
    </w:pPr>
  </w:p>
  <w:p w14:paraId="5A0054B1" w14:textId="77777777" w:rsidR="00A14468" w:rsidRPr="00C925AC" w:rsidRDefault="00A14468" w:rsidP="00844AE9">
    <w:pPr>
      <w:rPr>
        <w:rFonts w:ascii="Verdana" w:hAnsi="Verdana"/>
      </w:rPr>
    </w:pPr>
  </w:p>
  <w:p w14:paraId="1FD1C243" w14:textId="37C5500A" w:rsidR="008A446D" w:rsidRPr="00C925AC" w:rsidRDefault="00C925AC" w:rsidP="000D5DA7">
    <w:pPr>
      <w:spacing w:line="480" w:lineRule="auto"/>
      <w:rPr>
        <w:rFonts w:ascii="Verdana" w:hAnsi="Verdana"/>
        <w:b/>
      </w:rPr>
    </w:pPr>
    <w:r w:rsidRPr="00C925AC">
      <w:rPr>
        <w:rFonts w:ascii="Verdana" w:hAnsi="Verdana"/>
        <w:b/>
      </w:rPr>
      <w:t>FORMATO</w:t>
    </w:r>
    <w:r w:rsidR="00BF7425">
      <w:rPr>
        <w:rFonts w:ascii="Verdana" w:hAnsi="Verdana"/>
        <w:b/>
      </w:rPr>
      <w:t xml:space="preserve"> DE RESPUESTA </w:t>
    </w:r>
    <w:r w:rsidRPr="00C925AC">
      <w:rPr>
        <w:rFonts w:ascii="Verdana" w:hAnsi="Verdana"/>
        <w:b/>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35pt;height:12.3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1069" w:hanging="360"/>
      </w:pPr>
      <w:rPr>
        <w:b/>
        <w:color w:val="000000" w:themeColor="text1"/>
      </w:rPr>
    </w:lvl>
    <w:lvl w:ilvl="1">
      <w:start w:val="2"/>
      <w:numFmt w:val="decimal"/>
      <w:isLgl/>
      <w:lvlText w:val="%1.%2"/>
      <w:lvlJc w:val="left"/>
      <w:pPr>
        <w:ind w:left="709" w:hanging="360"/>
      </w:pPr>
    </w:lvl>
    <w:lvl w:ilvl="2">
      <w:start w:val="1"/>
      <w:numFmt w:val="decimal"/>
      <w:isLgl/>
      <w:lvlText w:val="%1.%2.%3"/>
      <w:lvlJc w:val="left"/>
      <w:pPr>
        <w:ind w:left="1429" w:hanging="720"/>
      </w:pPr>
    </w:lvl>
    <w:lvl w:ilvl="3">
      <w:start w:val="1"/>
      <w:numFmt w:val="decimal"/>
      <w:isLgl/>
      <w:lvlText w:val="%1.%2.%3.%4"/>
      <w:lvlJc w:val="left"/>
      <w:pPr>
        <w:ind w:left="1429" w:hanging="720"/>
      </w:pPr>
    </w:lvl>
    <w:lvl w:ilvl="4">
      <w:start w:val="1"/>
      <w:numFmt w:val="decimal"/>
      <w:isLgl/>
      <w:lvlText w:val="%1.%2.%3.%4.%5"/>
      <w:lvlJc w:val="left"/>
      <w:pPr>
        <w:ind w:left="1789" w:hanging="1080"/>
      </w:pPr>
    </w:lvl>
    <w:lvl w:ilvl="5">
      <w:start w:val="1"/>
      <w:numFmt w:val="decimal"/>
      <w:isLgl/>
      <w:lvlText w:val="%1.%2.%3.%4.%5.%6"/>
      <w:lvlJc w:val="left"/>
      <w:pPr>
        <w:ind w:left="1789" w:hanging="1080"/>
      </w:pPr>
    </w:lvl>
    <w:lvl w:ilvl="6">
      <w:start w:val="1"/>
      <w:numFmt w:val="decimal"/>
      <w:isLgl/>
      <w:lvlText w:val="%1.%2.%3.%4.%5.%6.%7"/>
      <w:lvlJc w:val="left"/>
      <w:pPr>
        <w:ind w:left="2149" w:hanging="1440"/>
      </w:pPr>
    </w:lvl>
    <w:lvl w:ilvl="7">
      <w:start w:val="1"/>
      <w:numFmt w:val="decimal"/>
      <w:isLgl/>
      <w:lvlText w:val="%1.%2.%3.%4.%5.%6.%7.%8"/>
      <w:lvlJc w:val="left"/>
      <w:pPr>
        <w:ind w:left="2149" w:hanging="1440"/>
      </w:pPr>
    </w:lvl>
    <w:lvl w:ilvl="8">
      <w:start w:val="1"/>
      <w:numFmt w:val="decimal"/>
      <w:isLgl/>
      <w:lvlText w:val="%1.%2.%3.%4.%5.%6.%7.%8.%9"/>
      <w:lvlJc w:val="left"/>
      <w:pPr>
        <w:ind w:left="2509"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E7758F"/>
    <w:multiLevelType w:val="hybridMultilevel"/>
    <w:tmpl w:val="15860DC0"/>
    <w:lvl w:ilvl="0" w:tplc="F4EA7E54">
      <w:start w:val="1"/>
      <w:numFmt w:val="lowerRoman"/>
      <w:lvlText w:val="%1)"/>
      <w:lvlJc w:val="left"/>
      <w:pPr>
        <w:ind w:left="1440" w:hanging="720"/>
      </w:pPr>
      <w:rPr>
        <w:rFonts w:hint="default"/>
        <w:color w:val="auto"/>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3C83BDF"/>
    <w:multiLevelType w:val="hybridMultilevel"/>
    <w:tmpl w:val="272C06E0"/>
    <w:lvl w:ilvl="0" w:tplc="E68ABA86">
      <w:start w:val="5"/>
      <w:numFmt w:val="bullet"/>
      <w:lvlText w:val=""/>
      <w:lvlJc w:val="left"/>
      <w:pPr>
        <w:ind w:left="1068" w:hanging="360"/>
      </w:pPr>
      <w:rPr>
        <w:rFonts w:ascii="Symbol" w:eastAsia="Times New Roman" w:hAnsi="Symbol" w:cs="Times New Roman" w:hint="default"/>
      </w:rPr>
    </w:lvl>
    <w:lvl w:ilvl="1" w:tplc="040A0003" w:tentative="1">
      <w:start w:val="1"/>
      <w:numFmt w:val="bullet"/>
      <w:lvlText w:val="o"/>
      <w:lvlJc w:val="left"/>
      <w:pPr>
        <w:ind w:left="1788" w:hanging="360"/>
      </w:pPr>
      <w:rPr>
        <w:rFonts w:ascii="Courier New" w:hAnsi="Courier New" w:cs="Courier New" w:hint="default"/>
      </w:rPr>
    </w:lvl>
    <w:lvl w:ilvl="2" w:tplc="040A0005" w:tentative="1">
      <w:start w:val="1"/>
      <w:numFmt w:val="bullet"/>
      <w:lvlText w:val=""/>
      <w:lvlJc w:val="left"/>
      <w:pPr>
        <w:ind w:left="2508" w:hanging="360"/>
      </w:pPr>
      <w:rPr>
        <w:rFonts w:ascii="Wingdings" w:hAnsi="Wingdings" w:hint="default"/>
      </w:rPr>
    </w:lvl>
    <w:lvl w:ilvl="3" w:tplc="040A0001" w:tentative="1">
      <w:start w:val="1"/>
      <w:numFmt w:val="bullet"/>
      <w:lvlText w:val=""/>
      <w:lvlJc w:val="left"/>
      <w:pPr>
        <w:ind w:left="3228" w:hanging="360"/>
      </w:pPr>
      <w:rPr>
        <w:rFonts w:ascii="Symbol" w:hAnsi="Symbol" w:hint="default"/>
      </w:rPr>
    </w:lvl>
    <w:lvl w:ilvl="4" w:tplc="040A0003" w:tentative="1">
      <w:start w:val="1"/>
      <w:numFmt w:val="bullet"/>
      <w:lvlText w:val="o"/>
      <w:lvlJc w:val="left"/>
      <w:pPr>
        <w:ind w:left="3948" w:hanging="360"/>
      </w:pPr>
      <w:rPr>
        <w:rFonts w:ascii="Courier New" w:hAnsi="Courier New" w:cs="Courier New" w:hint="default"/>
      </w:rPr>
    </w:lvl>
    <w:lvl w:ilvl="5" w:tplc="040A0005" w:tentative="1">
      <w:start w:val="1"/>
      <w:numFmt w:val="bullet"/>
      <w:lvlText w:val=""/>
      <w:lvlJc w:val="left"/>
      <w:pPr>
        <w:ind w:left="4668" w:hanging="360"/>
      </w:pPr>
      <w:rPr>
        <w:rFonts w:ascii="Wingdings" w:hAnsi="Wingdings" w:hint="default"/>
      </w:rPr>
    </w:lvl>
    <w:lvl w:ilvl="6" w:tplc="040A0001" w:tentative="1">
      <w:start w:val="1"/>
      <w:numFmt w:val="bullet"/>
      <w:lvlText w:val=""/>
      <w:lvlJc w:val="left"/>
      <w:pPr>
        <w:ind w:left="5388" w:hanging="360"/>
      </w:pPr>
      <w:rPr>
        <w:rFonts w:ascii="Symbol" w:hAnsi="Symbol" w:hint="default"/>
      </w:rPr>
    </w:lvl>
    <w:lvl w:ilvl="7" w:tplc="040A0003" w:tentative="1">
      <w:start w:val="1"/>
      <w:numFmt w:val="bullet"/>
      <w:lvlText w:val="o"/>
      <w:lvlJc w:val="left"/>
      <w:pPr>
        <w:ind w:left="6108" w:hanging="360"/>
      </w:pPr>
      <w:rPr>
        <w:rFonts w:ascii="Courier New" w:hAnsi="Courier New" w:cs="Courier New" w:hint="default"/>
      </w:rPr>
    </w:lvl>
    <w:lvl w:ilvl="8" w:tplc="040A0005" w:tentative="1">
      <w:start w:val="1"/>
      <w:numFmt w:val="bullet"/>
      <w:lvlText w:val=""/>
      <w:lvlJc w:val="left"/>
      <w:pPr>
        <w:ind w:left="6828"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46708850">
    <w:abstractNumId w:val="7"/>
  </w:num>
  <w:num w:numId="2" w16cid:durableId="572159283">
    <w:abstractNumId w:val="2"/>
  </w:num>
  <w:num w:numId="3" w16cid:durableId="1319766818">
    <w:abstractNumId w:val="5"/>
  </w:num>
  <w:num w:numId="4" w16cid:durableId="4328690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39734166">
    <w:abstractNumId w:val="2"/>
  </w:num>
  <w:num w:numId="6" w16cid:durableId="364794111">
    <w:abstractNumId w:val="15"/>
  </w:num>
  <w:num w:numId="7" w16cid:durableId="1630934451">
    <w:abstractNumId w:val="6"/>
  </w:num>
  <w:num w:numId="8" w16cid:durableId="1932085084">
    <w:abstractNumId w:val="14"/>
  </w:num>
  <w:num w:numId="9" w16cid:durableId="708845096">
    <w:abstractNumId w:val="8"/>
  </w:num>
  <w:num w:numId="10" w16cid:durableId="1851597613">
    <w:abstractNumId w:val="13"/>
  </w:num>
  <w:num w:numId="11" w16cid:durableId="1556743975">
    <w:abstractNumId w:val="9"/>
  </w:num>
  <w:num w:numId="12" w16cid:durableId="1063333888">
    <w:abstractNumId w:val="1"/>
  </w:num>
  <w:num w:numId="13" w16cid:durableId="336661927">
    <w:abstractNumId w:val="3"/>
  </w:num>
  <w:num w:numId="14" w16cid:durableId="1421945944">
    <w:abstractNumId w:val="16"/>
  </w:num>
  <w:num w:numId="15" w16cid:durableId="902644071">
    <w:abstractNumId w:val="11"/>
  </w:num>
  <w:num w:numId="16" w16cid:durableId="1584996455">
    <w:abstractNumId w:val="0"/>
  </w:num>
  <w:num w:numId="17" w16cid:durableId="1562902832">
    <w:abstractNumId w:val="10"/>
  </w:num>
  <w:num w:numId="18" w16cid:durableId="406420256">
    <w:abstractNumId w:val="4"/>
  </w:num>
  <w:num w:numId="19" w16cid:durableId="93598816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doNotDisplayPageBoundarie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27D60"/>
    <w:rsid w:val="0015699B"/>
    <w:rsid w:val="00157D55"/>
    <w:rsid w:val="001616C8"/>
    <w:rsid w:val="001A2719"/>
    <w:rsid w:val="001A33BF"/>
    <w:rsid w:val="001E4177"/>
    <w:rsid w:val="001F0B24"/>
    <w:rsid w:val="001F3F5D"/>
    <w:rsid w:val="001F7DC6"/>
    <w:rsid w:val="0022400B"/>
    <w:rsid w:val="00236E38"/>
    <w:rsid w:val="002421BB"/>
    <w:rsid w:val="0025796E"/>
    <w:rsid w:val="002707A2"/>
    <w:rsid w:val="002951A0"/>
    <w:rsid w:val="002962BC"/>
    <w:rsid w:val="002A093D"/>
    <w:rsid w:val="002A0DD0"/>
    <w:rsid w:val="002A49AC"/>
    <w:rsid w:val="002A64FD"/>
    <w:rsid w:val="002C7A84"/>
    <w:rsid w:val="002E2BF8"/>
    <w:rsid w:val="002E43D4"/>
    <w:rsid w:val="002E4FD9"/>
    <w:rsid w:val="002F3326"/>
    <w:rsid w:val="0030657A"/>
    <w:rsid w:val="00322A85"/>
    <w:rsid w:val="00324168"/>
    <w:rsid w:val="00330834"/>
    <w:rsid w:val="003448F4"/>
    <w:rsid w:val="00374F5E"/>
    <w:rsid w:val="00377E3E"/>
    <w:rsid w:val="00382389"/>
    <w:rsid w:val="003A779E"/>
    <w:rsid w:val="003D0F4D"/>
    <w:rsid w:val="003D5B0D"/>
    <w:rsid w:val="003D6C72"/>
    <w:rsid w:val="003E0499"/>
    <w:rsid w:val="003E4F80"/>
    <w:rsid w:val="003E618E"/>
    <w:rsid w:val="003E6439"/>
    <w:rsid w:val="003F3941"/>
    <w:rsid w:val="00406575"/>
    <w:rsid w:val="00414C74"/>
    <w:rsid w:val="0042722E"/>
    <w:rsid w:val="0044528D"/>
    <w:rsid w:val="004644D6"/>
    <w:rsid w:val="00466E39"/>
    <w:rsid w:val="004A1847"/>
    <w:rsid w:val="004A305D"/>
    <w:rsid w:val="004B1C6D"/>
    <w:rsid w:val="004C6935"/>
    <w:rsid w:val="004F21C4"/>
    <w:rsid w:val="004F685F"/>
    <w:rsid w:val="00547943"/>
    <w:rsid w:val="005566E8"/>
    <w:rsid w:val="00574867"/>
    <w:rsid w:val="00591460"/>
    <w:rsid w:val="005A65E0"/>
    <w:rsid w:val="005C2792"/>
    <w:rsid w:val="005C3777"/>
    <w:rsid w:val="005C5CDC"/>
    <w:rsid w:val="005D476C"/>
    <w:rsid w:val="005E2483"/>
    <w:rsid w:val="005E5939"/>
    <w:rsid w:val="006129A0"/>
    <w:rsid w:val="006200BF"/>
    <w:rsid w:val="006219F8"/>
    <w:rsid w:val="006302F7"/>
    <w:rsid w:val="00646B9F"/>
    <w:rsid w:val="00665D70"/>
    <w:rsid w:val="00666FE8"/>
    <w:rsid w:val="006900D9"/>
    <w:rsid w:val="00706C16"/>
    <w:rsid w:val="007322D7"/>
    <w:rsid w:val="007340C3"/>
    <w:rsid w:val="0075235A"/>
    <w:rsid w:val="00756841"/>
    <w:rsid w:val="007649AB"/>
    <w:rsid w:val="00771D0C"/>
    <w:rsid w:val="007833AC"/>
    <w:rsid w:val="007B268C"/>
    <w:rsid w:val="007B7171"/>
    <w:rsid w:val="007C023E"/>
    <w:rsid w:val="007C0C0F"/>
    <w:rsid w:val="007C3DC2"/>
    <w:rsid w:val="007E5497"/>
    <w:rsid w:val="00806F5F"/>
    <w:rsid w:val="00814BC0"/>
    <w:rsid w:val="00820278"/>
    <w:rsid w:val="008258C9"/>
    <w:rsid w:val="00832656"/>
    <w:rsid w:val="00844AE9"/>
    <w:rsid w:val="00867F95"/>
    <w:rsid w:val="008706F1"/>
    <w:rsid w:val="00883764"/>
    <w:rsid w:val="008843B6"/>
    <w:rsid w:val="00891928"/>
    <w:rsid w:val="008A446D"/>
    <w:rsid w:val="008B21AC"/>
    <w:rsid w:val="008B25F1"/>
    <w:rsid w:val="008D180B"/>
    <w:rsid w:val="008D398F"/>
    <w:rsid w:val="008F0EA7"/>
    <w:rsid w:val="00914A1E"/>
    <w:rsid w:val="00923EEF"/>
    <w:rsid w:val="009419F9"/>
    <w:rsid w:val="0095685E"/>
    <w:rsid w:val="00961B09"/>
    <w:rsid w:val="00965334"/>
    <w:rsid w:val="0097093E"/>
    <w:rsid w:val="009A0DFA"/>
    <w:rsid w:val="009A1C6F"/>
    <w:rsid w:val="009B2D26"/>
    <w:rsid w:val="009C71FA"/>
    <w:rsid w:val="009C72E7"/>
    <w:rsid w:val="009C7F7E"/>
    <w:rsid w:val="009D1C1C"/>
    <w:rsid w:val="009D3058"/>
    <w:rsid w:val="009F3A13"/>
    <w:rsid w:val="00A122D3"/>
    <w:rsid w:val="00A14468"/>
    <w:rsid w:val="00A17F13"/>
    <w:rsid w:val="00A20739"/>
    <w:rsid w:val="00A23AF9"/>
    <w:rsid w:val="00A26210"/>
    <w:rsid w:val="00A33C78"/>
    <w:rsid w:val="00AA7183"/>
    <w:rsid w:val="00AB0ADB"/>
    <w:rsid w:val="00AC4C54"/>
    <w:rsid w:val="00B00C0E"/>
    <w:rsid w:val="00B01B1A"/>
    <w:rsid w:val="00B0381D"/>
    <w:rsid w:val="00B44A47"/>
    <w:rsid w:val="00B47A17"/>
    <w:rsid w:val="00B72CD3"/>
    <w:rsid w:val="00B72FFF"/>
    <w:rsid w:val="00BA141F"/>
    <w:rsid w:val="00BC3D36"/>
    <w:rsid w:val="00BC4588"/>
    <w:rsid w:val="00BD54A6"/>
    <w:rsid w:val="00BD7F72"/>
    <w:rsid w:val="00BF11BC"/>
    <w:rsid w:val="00BF71F7"/>
    <w:rsid w:val="00BF7425"/>
    <w:rsid w:val="00C04FB3"/>
    <w:rsid w:val="00C0740C"/>
    <w:rsid w:val="00C11D8B"/>
    <w:rsid w:val="00C15139"/>
    <w:rsid w:val="00C330EB"/>
    <w:rsid w:val="00C50D69"/>
    <w:rsid w:val="00C5365C"/>
    <w:rsid w:val="00C67999"/>
    <w:rsid w:val="00C754BE"/>
    <w:rsid w:val="00C76B1C"/>
    <w:rsid w:val="00C92459"/>
    <w:rsid w:val="00C925AC"/>
    <w:rsid w:val="00CB3456"/>
    <w:rsid w:val="00CB6357"/>
    <w:rsid w:val="00CC1B26"/>
    <w:rsid w:val="00CE05CA"/>
    <w:rsid w:val="00D361FD"/>
    <w:rsid w:val="00D423A2"/>
    <w:rsid w:val="00D44E26"/>
    <w:rsid w:val="00D520D8"/>
    <w:rsid w:val="00D63AC2"/>
    <w:rsid w:val="00D7383B"/>
    <w:rsid w:val="00D7788A"/>
    <w:rsid w:val="00DA231B"/>
    <w:rsid w:val="00DB306D"/>
    <w:rsid w:val="00DC39FC"/>
    <w:rsid w:val="00DF5254"/>
    <w:rsid w:val="00E02524"/>
    <w:rsid w:val="00E16408"/>
    <w:rsid w:val="00E20894"/>
    <w:rsid w:val="00E245AB"/>
    <w:rsid w:val="00E2764C"/>
    <w:rsid w:val="00E27F2E"/>
    <w:rsid w:val="00E44995"/>
    <w:rsid w:val="00E50AFE"/>
    <w:rsid w:val="00E75C92"/>
    <w:rsid w:val="00E771DC"/>
    <w:rsid w:val="00E8772A"/>
    <w:rsid w:val="00E90F6B"/>
    <w:rsid w:val="00E92C27"/>
    <w:rsid w:val="00EA0E3D"/>
    <w:rsid w:val="00EA6840"/>
    <w:rsid w:val="00EC38A7"/>
    <w:rsid w:val="00EE1AA8"/>
    <w:rsid w:val="00EE4DCE"/>
    <w:rsid w:val="00F10110"/>
    <w:rsid w:val="00F23FEA"/>
    <w:rsid w:val="00F31EDC"/>
    <w:rsid w:val="00F462B3"/>
    <w:rsid w:val="00F5664F"/>
    <w:rsid w:val="00F60681"/>
    <w:rsid w:val="00F666C4"/>
    <w:rsid w:val="00F76AFC"/>
    <w:rsid w:val="00FA47C0"/>
    <w:rsid w:val="00FA5316"/>
    <w:rsid w:val="00FB5DD1"/>
    <w:rsid w:val="00FC2B5D"/>
    <w:rsid w:val="00FD3297"/>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4A1E"/>
    <w:pPr>
      <w:spacing w:after="0" w:line="240" w:lineRule="auto"/>
    </w:pPr>
    <w:rPr>
      <w:rFonts w:ascii="Times New Roman" w:eastAsia="Times New Roman" w:hAnsi="Times New Roman" w:cs="Times New Roman"/>
      <w:sz w:val="24"/>
      <w:szCs w:val="24"/>
      <w:lang w:eastAsia="es-ES_tradnl"/>
    </w:rPr>
  </w:style>
  <w:style w:type="paragraph" w:styleId="Ttulo3">
    <w:name w:val="heading 3"/>
    <w:basedOn w:val="Normal"/>
    <w:link w:val="Ttulo3Car"/>
    <w:uiPriority w:val="9"/>
    <w:qFormat/>
    <w:rsid w:val="00FA5316"/>
    <w:pPr>
      <w:spacing w:before="100" w:beforeAutospacing="1" w:after="100" w:afterAutospacing="1"/>
      <w:outlineLvl w:val="2"/>
    </w:pPr>
    <w:rPr>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spacing w:after="160" w:line="259" w:lineRule="auto"/>
      <w:ind w:left="720"/>
      <w:contextualSpacing/>
    </w:pPr>
    <w:rPr>
      <w:rFonts w:ascii="Geomanist Light" w:eastAsiaTheme="minorHAnsi" w:hAnsi="Geomanist Light" w:cstheme="minorBidi"/>
      <w:sz w:val="22"/>
      <w:szCs w:val="22"/>
      <w:lang w:val="es-ES" w:eastAsia="en-US"/>
    </w:rPr>
  </w:style>
  <w:style w:type="paragraph" w:styleId="Ttulo">
    <w:name w:val="Title"/>
    <w:basedOn w:val="Normal"/>
    <w:next w:val="Normal"/>
    <w:link w:val="TtuloCar"/>
    <w:uiPriority w:val="10"/>
    <w:qFormat/>
    <w:rsid w:val="005566E8"/>
    <w:pPr>
      <w:contextualSpacing/>
    </w:pPr>
    <w:rPr>
      <w:rFonts w:ascii="Geomanist" w:eastAsiaTheme="majorEastAsia" w:hAnsi="Geomanist" w:cstheme="majorBidi"/>
      <w:spacing w:val="-10"/>
      <w:kern w:val="28"/>
      <w:sz w:val="22"/>
      <w:szCs w:val="56"/>
      <w:lang w:val="es-ES" w:eastAsia="en-U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pPr>
    <w:rPr>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pPr>
    <w:rPr>
      <w:lang w:eastAsia="es-CO"/>
    </w:rPr>
  </w:style>
  <w:style w:type="paragraph" w:customStyle="1" w:styleId="blanco">
    <w:name w:val="blanco"/>
    <w:basedOn w:val="Normal"/>
    <w:rsid w:val="00C76B1C"/>
    <w:pPr>
      <w:spacing w:before="100" w:beforeAutospacing="1" w:after="100" w:afterAutospacing="1"/>
    </w:pPr>
    <w:rPr>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129A0"/>
    <w:pPr>
      <w:spacing w:after="160" w:line="240" w:lineRule="exact"/>
    </w:pPr>
    <w:rPr>
      <w:rFonts w:asciiTheme="minorHAnsi" w:eastAsiaTheme="minorHAnsi" w:hAnsiTheme="minorHAnsi" w:cstheme="minorBidi"/>
      <w:sz w:val="22"/>
      <w:szCs w:val="22"/>
      <w:vertAlign w:val="superscript"/>
      <w:lang w:eastAsia="en-U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129A0"/>
    <w:rPr>
      <w:rFonts w:ascii="Geomanist Light" w:hAnsi="Geomanist Light"/>
      <w:lang w:val="es-ES"/>
    </w:rPr>
  </w:style>
  <w:style w:type="character" w:customStyle="1" w:styleId="citation-271">
    <w:name w:val="citation-271"/>
    <w:basedOn w:val="Fuentedeprrafopredeter"/>
    <w:rsid w:val="006129A0"/>
  </w:style>
  <w:style w:type="character" w:customStyle="1" w:styleId="citation-270">
    <w:name w:val="citation-270"/>
    <w:basedOn w:val="Fuentedeprrafopredeter"/>
    <w:rsid w:val="006129A0"/>
  </w:style>
  <w:style w:type="character" w:customStyle="1" w:styleId="citation-269">
    <w:name w:val="citation-269"/>
    <w:basedOn w:val="Fuentedeprrafopredeter"/>
    <w:rsid w:val="006129A0"/>
  </w:style>
  <w:style w:type="character" w:customStyle="1" w:styleId="NormalWebCar">
    <w:name w:val="Normal (Web) Car"/>
    <w:link w:val="NormalWeb"/>
    <w:uiPriority w:val="99"/>
    <w:rsid w:val="006129A0"/>
    <w:rPr>
      <w:rFonts w:ascii="Times New Roman" w:eastAsia="Times New Roman" w:hAnsi="Times New Roman" w:cs="Times New Roman"/>
      <w:sz w:val="24"/>
      <w:szCs w:val="24"/>
      <w:lang w:eastAsia="es-CO"/>
    </w:rPr>
  </w:style>
  <w:style w:type="character" w:customStyle="1" w:styleId="citation-281">
    <w:name w:val="citation-281"/>
    <w:basedOn w:val="Fuentedeprrafopredeter"/>
    <w:rsid w:val="006129A0"/>
  </w:style>
  <w:style w:type="character" w:customStyle="1" w:styleId="citation-280">
    <w:name w:val="citation-280"/>
    <w:basedOn w:val="Fuentedeprrafopredeter"/>
    <w:rsid w:val="006129A0"/>
  </w:style>
  <w:style w:type="character" w:customStyle="1" w:styleId="citation-279">
    <w:name w:val="citation-279"/>
    <w:basedOn w:val="Fuentedeprrafopredeter"/>
    <w:rsid w:val="006129A0"/>
  </w:style>
  <w:style w:type="character" w:customStyle="1" w:styleId="citation-277">
    <w:name w:val="citation-277"/>
    <w:basedOn w:val="Fuentedeprrafopredeter"/>
    <w:rsid w:val="006129A0"/>
  </w:style>
  <w:style w:type="character" w:customStyle="1" w:styleId="citation-276">
    <w:name w:val="citation-276"/>
    <w:basedOn w:val="Fuentedeprrafopredeter"/>
    <w:rsid w:val="006129A0"/>
  </w:style>
  <w:style w:type="character" w:customStyle="1" w:styleId="citation-275">
    <w:name w:val="citation-275"/>
    <w:basedOn w:val="Fuentedeprrafopredeter"/>
    <w:rsid w:val="006129A0"/>
  </w:style>
  <w:style w:type="character" w:customStyle="1" w:styleId="citation-274">
    <w:name w:val="citation-274"/>
    <w:basedOn w:val="Fuentedeprrafopredeter"/>
    <w:rsid w:val="006129A0"/>
  </w:style>
  <w:style w:type="character" w:styleId="Refdecomentario">
    <w:name w:val="annotation reference"/>
    <w:basedOn w:val="Fuentedeprrafopredeter"/>
    <w:uiPriority w:val="99"/>
    <w:semiHidden/>
    <w:unhideWhenUsed/>
    <w:rsid w:val="00B47A17"/>
    <w:rPr>
      <w:sz w:val="16"/>
      <w:szCs w:val="16"/>
    </w:rPr>
  </w:style>
  <w:style w:type="paragraph" w:styleId="Textocomentario">
    <w:name w:val="annotation text"/>
    <w:basedOn w:val="Normal"/>
    <w:link w:val="TextocomentarioCar"/>
    <w:uiPriority w:val="99"/>
    <w:semiHidden/>
    <w:unhideWhenUsed/>
    <w:rsid w:val="00B47A17"/>
    <w:rPr>
      <w:sz w:val="20"/>
      <w:szCs w:val="20"/>
    </w:rPr>
  </w:style>
  <w:style w:type="character" w:customStyle="1" w:styleId="TextocomentarioCar">
    <w:name w:val="Texto comentario Car"/>
    <w:basedOn w:val="Fuentedeprrafopredeter"/>
    <w:link w:val="Textocomentario"/>
    <w:uiPriority w:val="99"/>
    <w:semiHidden/>
    <w:rsid w:val="00B47A17"/>
    <w:rPr>
      <w:rFonts w:ascii="Times New Roman" w:eastAsia="Times New Roman" w:hAnsi="Times New Roman" w:cs="Times New Roman"/>
      <w:sz w:val="20"/>
      <w:szCs w:val="20"/>
      <w:lang w:eastAsia="es-ES_tradnl"/>
    </w:rPr>
  </w:style>
  <w:style w:type="paragraph" w:styleId="Asuntodelcomentario">
    <w:name w:val="annotation subject"/>
    <w:basedOn w:val="Textocomentario"/>
    <w:next w:val="Textocomentario"/>
    <w:link w:val="AsuntodelcomentarioCar"/>
    <w:uiPriority w:val="99"/>
    <w:semiHidden/>
    <w:unhideWhenUsed/>
    <w:rsid w:val="00B47A17"/>
    <w:rPr>
      <w:b/>
      <w:bCs/>
    </w:rPr>
  </w:style>
  <w:style w:type="character" w:customStyle="1" w:styleId="AsuntodelcomentarioCar">
    <w:name w:val="Asunto del comentario Car"/>
    <w:basedOn w:val="TextocomentarioCar"/>
    <w:link w:val="Asuntodelcomentario"/>
    <w:uiPriority w:val="99"/>
    <w:semiHidden/>
    <w:rsid w:val="00B47A17"/>
    <w:rPr>
      <w:rFonts w:ascii="Times New Roman" w:eastAsia="Times New Roman" w:hAnsi="Times New Roman" w:cs="Times New Roman"/>
      <w:b/>
      <w:bCs/>
      <w:sz w:val="20"/>
      <w:szCs w:val="20"/>
      <w:lang w:eastAsia="es-ES_tradnl"/>
    </w:rPr>
  </w:style>
  <w:style w:type="character" w:customStyle="1" w:styleId="Ttulo3Car">
    <w:name w:val="Título 3 Car"/>
    <w:basedOn w:val="Fuentedeprrafopredeter"/>
    <w:link w:val="Ttulo3"/>
    <w:uiPriority w:val="9"/>
    <w:rsid w:val="00FA5316"/>
    <w:rPr>
      <w:rFonts w:ascii="Times New Roman" w:eastAsia="Times New Roman" w:hAnsi="Times New Roman" w:cs="Times New Roman"/>
      <w:b/>
      <w:bCs/>
      <w:sz w:val="27"/>
      <w:szCs w:val="27"/>
      <w:lang w:eastAsia="es-MX"/>
    </w:rPr>
  </w:style>
  <w:style w:type="character" w:customStyle="1" w:styleId="citation-320">
    <w:name w:val="citation-320"/>
    <w:basedOn w:val="Fuentedeprrafopredeter"/>
    <w:rsid w:val="00FA5316"/>
  </w:style>
  <w:style w:type="character" w:customStyle="1" w:styleId="citation-319">
    <w:name w:val="citation-319"/>
    <w:basedOn w:val="Fuentedeprrafopredeter"/>
    <w:rsid w:val="00FA5316"/>
  </w:style>
  <w:style w:type="character" w:customStyle="1" w:styleId="citation-318">
    <w:name w:val="citation-318"/>
    <w:basedOn w:val="Fuentedeprrafopredeter"/>
    <w:rsid w:val="00FA5316"/>
  </w:style>
  <w:style w:type="character" w:customStyle="1" w:styleId="citation-317">
    <w:name w:val="citation-317"/>
    <w:basedOn w:val="Fuentedeprrafopredeter"/>
    <w:rsid w:val="00FA5316"/>
  </w:style>
  <w:style w:type="character" w:customStyle="1" w:styleId="citation-316">
    <w:name w:val="citation-316"/>
    <w:basedOn w:val="Fuentedeprrafopredeter"/>
    <w:rsid w:val="00FA5316"/>
  </w:style>
  <w:style w:type="character" w:customStyle="1" w:styleId="citation-315">
    <w:name w:val="citation-315"/>
    <w:basedOn w:val="Fuentedeprrafopredeter"/>
    <w:rsid w:val="00FA5316"/>
  </w:style>
  <w:style w:type="character" w:customStyle="1" w:styleId="citation-314">
    <w:name w:val="citation-314"/>
    <w:basedOn w:val="Fuentedeprrafopredeter"/>
    <w:rsid w:val="00FA5316"/>
  </w:style>
  <w:style w:type="character" w:customStyle="1" w:styleId="citation-313">
    <w:name w:val="citation-313"/>
    <w:basedOn w:val="Fuentedeprrafopredeter"/>
    <w:rsid w:val="00FA5316"/>
  </w:style>
  <w:style w:type="character" w:customStyle="1" w:styleId="citation-312">
    <w:name w:val="citation-312"/>
    <w:basedOn w:val="Fuentedeprrafopredeter"/>
    <w:rsid w:val="00FA5316"/>
  </w:style>
  <w:style w:type="character" w:customStyle="1" w:styleId="citation-311">
    <w:name w:val="citation-311"/>
    <w:basedOn w:val="Fuentedeprrafopredeter"/>
    <w:rsid w:val="00FA5316"/>
  </w:style>
  <w:style w:type="character" w:customStyle="1" w:styleId="citation-310">
    <w:name w:val="citation-310"/>
    <w:basedOn w:val="Fuentedeprrafopredeter"/>
    <w:rsid w:val="00FA5316"/>
  </w:style>
  <w:style w:type="character" w:customStyle="1" w:styleId="citation-309">
    <w:name w:val="citation-309"/>
    <w:basedOn w:val="Fuentedeprrafopredeter"/>
    <w:rsid w:val="00FA5316"/>
  </w:style>
  <w:style w:type="character" w:customStyle="1" w:styleId="citation-308">
    <w:name w:val="citation-308"/>
    <w:basedOn w:val="Fuentedeprrafopredeter"/>
    <w:rsid w:val="00FA53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39100">
      <w:bodyDiv w:val="1"/>
      <w:marLeft w:val="0"/>
      <w:marRight w:val="0"/>
      <w:marTop w:val="0"/>
      <w:marBottom w:val="0"/>
      <w:divBdr>
        <w:top w:val="none" w:sz="0" w:space="0" w:color="auto"/>
        <w:left w:val="none" w:sz="0" w:space="0" w:color="auto"/>
        <w:bottom w:val="none" w:sz="0" w:space="0" w:color="auto"/>
        <w:right w:val="none" w:sz="0" w:space="0" w:color="auto"/>
      </w:divBdr>
    </w:div>
    <w:div w:id="367999412">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38930386">
      <w:bodyDiv w:val="1"/>
      <w:marLeft w:val="0"/>
      <w:marRight w:val="0"/>
      <w:marTop w:val="0"/>
      <w:marBottom w:val="0"/>
      <w:divBdr>
        <w:top w:val="none" w:sz="0" w:space="0" w:color="auto"/>
        <w:left w:val="none" w:sz="0" w:space="0" w:color="auto"/>
        <w:bottom w:val="none" w:sz="0" w:space="0" w:color="auto"/>
        <w:right w:val="none" w:sz="0" w:space="0" w:color="auto"/>
      </w:divBdr>
    </w:div>
    <w:div w:id="876818103">
      <w:bodyDiv w:val="1"/>
      <w:marLeft w:val="0"/>
      <w:marRight w:val="0"/>
      <w:marTop w:val="0"/>
      <w:marBottom w:val="0"/>
      <w:divBdr>
        <w:top w:val="none" w:sz="0" w:space="0" w:color="auto"/>
        <w:left w:val="none" w:sz="0" w:space="0" w:color="auto"/>
        <w:bottom w:val="none" w:sz="0" w:space="0" w:color="auto"/>
        <w:right w:val="none" w:sz="0" w:space="0" w:color="auto"/>
      </w:divBdr>
    </w:div>
    <w:div w:id="889078562">
      <w:bodyDiv w:val="1"/>
      <w:marLeft w:val="0"/>
      <w:marRight w:val="0"/>
      <w:marTop w:val="0"/>
      <w:marBottom w:val="0"/>
      <w:divBdr>
        <w:top w:val="none" w:sz="0" w:space="0" w:color="auto"/>
        <w:left w:val="none" w:sz="0" w:space="0" w:color="auto"/>
        <w:bottom w:val="none" w:sz="0" w:space="0" w:color="auto"/>
        <w:right w:val="none" w:sz="0" w:space="0" w:color="auto"/>
      </w:divBdr>
    </w:div>
    <w:div w:id="97337205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6355394">
      <w:bodyDiv w:val="1"/>
      <w:marLeft w:val="0"/>
      <w:marRight w:val="0"/>
      <w:marTop w:val="0"/>
      <w:marBottom w:val="0"/>
      <w:divBdr>
        <w:top w:val="none" w:sz="0" w:space="0" w:color="auto"/>
        <w:left w:val="none" w:sz="0" w:space="0" w:color="auto"/>
        <w:bottom w:val="none" w:sz="0" w:space="0" w:color="auto"/>
        <w:right w:val="none" w:sz="0" w:space="0" w:color="auto"/>
      </w:divBdr>
    </w:div>
    <w:div w:id="1237863991">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15336133">
      <w:bodyDiv w:val="1"/>
      <w:marLeft w:val="0"/>
      <w:marRight w:val="0"/>
      <w:marTop w:val="0"/>
      <w:marBottom w:val="0"/>
      <w:divBdr>
        <w:top w:val="none" w:sz="0" w:space="0" w:color="auto"/>
        <w:left w:val="none" w:sz="0" w:space="0" w:color="auto"/>
        <w:bottom w:val="none" w:sz="0" w:space="0" w:color="auto"/>
        <w:right w:val="none" w:sz="0" w:space="0" w:color="auto"/>
      </w:divBdr>
    </w:div>
    <w:div w:id="1395933041">
      <w:bodyDiv w:val="1"/>
      <w:marLeft w:val="0"/>
      <w:marRight w:val="0"/>
      <w:marTop w:val="0"/>
      <w:marBottom w:val="0"/>
      <w:divBdr>
        <w:top w:val="none" w:sz="0" w:space="0" w:color="auto"/>
        <w:left w:val="none" w:sz="0" w:space="0" w:color="auto"/>
        <w:bottom w:val="none" w:sz="0" w:space="0" w:color="auto"/>
        <w:right w:val="none" w:sz="0" w:space="0" w:color="auto"/>
      </w:divBdr>
    </w:div>
    <w:div w:id="1406605502">
      <w:bodyDiv w:val="1"/>
      <w:marLeft w:val="0"/>
      <w:marRight w:val="0"/>
      <w:marTop w:val="0"/>
      <w:marBottom w:val="0"/>
      <w:divBdr>
        <w:top w:val="none" w:sz="0" w:space="0" w:color="auto"/>
        <w:left w:val="none" w:sz="0" w:space="0" w:color="auto"/>
        <w:bottom w:val="none" w:sz="0" w:space="0" w:color="auto"/>
        <w:right w:val="none" w:sz="0" w:space="0" w:color="auto"/>
      </w:divBdr>
    </w:div>
    <w:div w:id="1552351601">
      <w:bodyDiv w:val="1"/>
      <w:marLeft w:val="0"/>
      <w:marRight w:val="0"/>
      <w:marTop w:val="0"/>
      <w:marBottom w:val="0"/>
      <w:divBdr>
        <w:top w:val="none" w:sz="0" w:space="0" w:color="auto"/>
        <w:left w:val="none" w:sz="0" w:space="0" w:color="auto"/>
        <w:bottom w:val="none" w:sz="0" w:space="0" w:color="auto"/>
        <w:right w:val="none" w:sz="0" w:space="0" w:color="auto"/>
      </w:divBdr>
    </w:div>
    <w:div w:id="1742211513">
      <w:bodyDiv w:val="1"/>
      <w:marLeft w:val="0"/>
      <w:marRight w:val="0"/>
      <w:marTop w:val="0"/>
      <w:marBottom w:val="0"/>
      <w:divBdr>
        <w:top w:val="none" w:sz="0" w:space="0" w:color="auto"/>
        <w:left w:val="none" w:sz="0" w:space="0" w:color="auto"/>
        <w:bottom w:val="none" w:sz="0" w:space="0" w:color="auto"/>
        <w:right w:val="none" w:sz="0" w:space="0" w:color="auto"/>
      </w:divBdr>
    </w:div>
    <w:div w:id="1768110770">
      <w:bodyDiv w:val="1"/>
      <w:marLeft w:val="0"/>
      <w:marRight w:val="0"/>
      <w:marTop w:val="0"/>
      <w:marBottom w:val="0"/>
      <w:divBdr>
        <w:top w:val="none" w:sz="0" w:space="0" w:color="auto"/>
        <w:left w:val="none" w:sz="0" w:space="0" w:color="auto"/>
        <w:bottom w:val="none" w:sz="0" w:space="0" w:color="auto"/>
        <w:right w:val="none" w:sz="0" w:space="0" w:color="auto"/>
      </w:divBdr>
    </w:div>
    <w:div w:id="1937708053">
      <w:bodyDiv w:val="1"/>
      <w:marLeft w:val="0"/>
      <w:marRight w:val="0"/>
      <w:marTop w:val="0"/>
      <w:marBottom w:val="0"/>
      <w:divBdr>
        <w:top w:val="none" w:sz="0" w:space="0" w:color="auto"/>
        <w:left w:val="none" w:sz="0" w:space="0" w:color="auto"/>
        <w:bottom w:val="none" w:sz="0" w:space="0" w:color="auto"/>
        <w:right w:val="none" w:sz="0" w:space="0" w:color="auto"/>
      </w:divBdr>
    </w:div>
    <w:div w:id="1976324869">
      <w:bodyDiv w:val="1"/>
      <w:marLeft w:val="0"/>
      <w:marRight w:val="0"/>
      <w:marTop w:val="0"/>
      <w:marBottom w:val="0"/>
      <w:divBdr>
        <w:top w:val="none" w:sz="0" w:space="0" w:color="auto"/>
        <w:left w:val="none" w:sz="0" w:space="0" w:color="auto"/>
        <w:bottom w:val="none" w:sz="0" w:space="0" w:color="auto"/>
        <w:right w:val="none" w:sz="0" w:space="0" w:color="auto"/>
      </w:divBdr>
    </w:div>
    <w:div w:id="2059426642">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ETOSENA@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customXml/itemProps2.xml><?xml version="1.0" encoding="utf-8"?>
<ds:datastoreItem xmlns:ds="http://schemas.openxmlformats.org/officeDocument/2006/customXml" ds:itemID="{B8244C98-00F6-404F-A9DD-6DA9C4A16CC7}"/>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15</Pages>
  <Words>3873</Words>
  <Characters>21811</Characters>
  <Application>Microsoft Office Word</Application>
  <DocSecurity>0</DocSecurity>
  <Lines>519</Lines>
  <Paragraphs>115</Paragraphs>
  <ScaleCrop>false</ScaleCrop>
  <Company/>
  <LinksUpToDate>false</LinksUpToDate>
  <CharactersWithSpaces>25569</CharactersWithSpaces>
  <SharedDoc>false</SharedDoc>
  <HLinks>
    <vt:vector size="24" baseType="variant">
      <vt:variant>
        <vt:i4>7995518</vt:i4>
      </vt:variant>
      <vt:variant>
        <vt:i4>15</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6488184</vt:i4>
      </vt:variant>
      <vt:variant>
        <vt:i4>9</vt:i4>
      </vt:variant>
      <vt:variant>
        <vt:i4>0</vt:i4>
      </vt:variant>
      <vt:variant>
        <vt:i4>5</vt:i4>
      </vt:variant>
      <vt:variant>
        <vt:lpwstr>https://www.colombiacompra.gov.co/wp-content/uploads/2024/10/cce-eicp-gi-21_guia_contratacion_prestacion_de_servicios_v1_03-03-2023_1.pdf</vt:lpwstr>
      </vt:variant>
      <vt:variant>
        <vt:lpwstr/>
      </vt:variant>
      <vt:variant>
        <vt:i4>8257613</vt:i4>
      </vt:variant>
      <vt:variant>
        <vt:i4>6</vt:i4>
      </vt:variant>
      <vt:variant>
        <vt:i4>0</vt:i4>
      </vt:variant>
      <vt:variant>
        <vt:i4>5</vt:i4>
      </vt:variant>
      <vt:variant>
        <vt:lpwstr>mailto:PETOSENA@GMAIL.COM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Andrea del Pilar Garzón Sánchez</cp:lastModifiedBy>
  <cp:revision>2</cp:revision>
  <cp:lastPrinted>2023-01-10T21:18:00Z</cp:lastPrinted>
  <dcterms:created xsi:type="dcterms:W3CDTF">2025-12-24T14:47:00Z</dcterms:created>
  <dcterms:modified xsi:type="dcterms:W3CDTF">2025-12-24T14:47:00Z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