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3A1B0" w14:textId="77777777" w:rsidR="00D422F8" w:rsidRPr="008C1C57" w:rsidRDefault="00D422F8" w:rsidP="00D422F8">
      <w:pPr>
        <w:spacing w:after="0"/>
        <w:contextualSpacing/>
        <w:jc w:val="both"/>
        <w:rPr>
          <w:rFonts w:ascii="Verdana" w:eastAsia="Calibri" w:hAnsi="Verdana" w:cs="Arial"/>
          <w:b/>
          <w:bCs/>
          <w:lang w:val="es-ES" w:eastAsia="es-ES"/>
        </w:rPr>
      </w:pPr>
      <w:bookmarkStart w:id="0" w:name="_Hlk143780582"/>
      <w:r w:rsidRPr="008C1C57">
        <w:rPr>
          <w:rFonts w:ascii="Verdana" w:eastAsia="Calibri" w:hAnsi="Verdana" w:cs="Arial"/>
          <w:b/>
          <w:bCs/>
          <w:lang w:val="es-ES" w:eastAsia="es-ES"/>
        </w:rPr>
        <w:t>LEY DE GARANTÍAS ELECTORALES – Finalidad</w:t>
      </w:r>
    </w:p>
    <w:p w14:paraId="66CED1E6" w14:textId="77777777" w:rsidR="00D422F8" w:rsidRPr="008C1C57" w:rsidRDefault="00D422F8" w:rsidP="00D422F8">
      <w:pPr>
        <w:contextualSpacing/>
        <w:jc w:val="both"/>
        <w:rPr>
          <w:rFonts w:ascii="Verdana" w:eastAsia="Calibri" w:hAnsi="Verdana" w:cs="Arial"/>
          <w:b/>
          <w:bCs/>
          <w:lang w:val="es-ES" w:eastAsia="es-ES"/>
        </w:rPr>
      </w:pPr>
    </w:p>
    <w:p w14:paraId="27575327" w14:textId="77777777" w:rsidR="00D422F8" w:rsidRPr="008C1C57" w:rsidRDefault="00D422F8" w:rsidP="00D422F8">
      <w:pPr>
        <w:spacing w:line="240" w:lineRule="auto"/>
        <w:contextualSpacing/>
        <w:jc w:val="both"/>
        <w:rPr>
          <w:rFonts w:ascii="Verdana" w:eastAsia="Times New Roman" w:hAnsi="Verdana" w:cs="Arial"/>
          <w:sz w:val="20"/>
          <w:szCs w:val="20"/>
          <w:lang w:val="es-ES" w:eastAsia="es-CO"/>
        </w:rPr>
      </w:pPr>
      <w:r w:rsidRPr="008C1C57">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5C1DB68A" w14:textId="77777777" w:rsidR="00D422F8" w:rsidRPr="00B67A94" w:rsidRDefault="00D422F8" w:rsidP="00D422F8">
      <w:pPr>
        <w:spacing w:after="0" w:line="240" w:lineRule="auto"/>
        <w:contextualSpacing/>
        <w:jc w:val="both"/>
        <w:rPr>
          <w:rFonts w:ascii="Verdana" w:eastAsia="Calibri" w:hAnsi="Verdana" w:cs="Arial"/>
          <w:b/>
          <w:bCs/>
          <w:color w:val="4472C4" w:themeColor="accent1"/>
          <w:lang w:val="es-ES" w:eastAsia="es-ES"/>
        </w:rPr>
      </w:pPr>
    </w:p>
    <w:p w14:paraId="7AF0AEE3" w14:textId="77777777" w:rsidR="00D422F8" w:rsidRPr="00A750C7" w:rsidRDefault="00D422F8" w:rsidP="00D422F8">
      <w:pPr>
        <w:contextualSpacing/>
        <w:jc w:val="both"/>
        <w:rPr>
          <w:rFonts w:ascii="Verdana" w:eastAsia="Calibri" w:hAnsi="Verdana" w:cs="Arial"/>
          <w:b/>
          <w:bCs/>
          <w:lang w:val="es-ES" w:eastAsia="es-ES"/>
        </w:rPr>
      </w:pPr>
      <w:r w:rsidRPr="00A750C7">
        <w:rPr>
          <w:rFonts w:ascii="Verdana" w:eastAsia="Calibri" w:hAnsi="Verdana" w:cs="Arial"/>
          <w:b/>
          <w:bCs/>
          <w:lang w:val="es-ES" w:eastAsia="es-ES"/>
        </w:rPr>
        <w:t>LEY DE GARANTÍAS ELECTORALES ‒ Restricciones ‒ Contratación ‒ Tipos de elección</w:t>
      </w:r>
    </w:p>
    <w:p w14:paraId="7E7223BC" w14:textId="77777777" w:rsidR="00D422F8" w:rsidRDefault="00D422F8" w:rsidP="00D422F8">
      <w:pPr>
        <w:spacing w:after="0" w:line="240" w:lineRule="auto"/>
        <w:jc w:val="both"/>
        <w:rPr>
          <w:rFonts w:ascii="Verdana" w:eastAsia="Calibri" w:hAnsi="Verdana" w:cs="Arial"/>
          <w:b/>
          <w:bCs/>
          <w:lang w:val="es-ES" w:eastAsia="es-ES"/>
        </w:rPr>
      </w:pPr>
    </w:p>
    <w:p w14:paraId="7BD1EB70" w14:textId="77777777" w:rsidR="00D422F8" w:rsidRPr="00A750C7" w:rsidRDefault="00D422F8" w:rsidP="00D422F8">
      <w:pPr>
        <w:spacing w:after="0" w:line="240" w:lineRule="auto"/>
        <w:jc w:val="both"/>
        <w:rPr>
          <w:rFonts w:ascii="Verdana" w:eastAsia="Arial" w:hAnsi="Verdana" w:cs="Arial"/>
          <w:sz w:val="20"/>
          <w:szCs w:val="20"/>
          <w:lang w:val="es-ES" w:eastAsia="es-ES" w:bidi="es-ES"/>
        </w:rPr>
      </w:pPr>
      <w:r w:rsidRPr="00A750C7">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A750C7">
        <w:rPr>
          <w:rFonts w:ascii="Verdana" w:eastAsia="Arial" w:hAnsi="Verdana" w:cs="Arial"/>
          <w:i/>
          <w:sz w:val="20"/>
          <w:szCs w:val="20"/>
          <w:lang w:val="es-ES" w:eastAsia="es-ES" w:bidi="es-ES"/>
        </w:rPr>
        <w:t>En primer lugar</w:t>
      </w:r>
      <w:r w:rsidRPr="00A750C7">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750C7">
        <w:rPr>
          <w:rFonts w:ascii="Verdana" w:eastAsia="Arial" w:hAnsi="Verdana" w:cs="Arial"/>
          <w:i/>
          <w:sz w:val="20"/>
          <w:szCs w:val="20"/>
          <w:lang w:val="es-ES" w:eastAsia="es-ES" w:bidi="es-ES"/>
        </w:rPr>
        <w:t>En segundo lugar</w:t>
      </w:r>
      <w:r w:rsidRPr="00A750C7">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F42298A" w14:textId="77777777" w:rsidR="00D422F8" w:rsidRPr="00B679CF" w:rsidRDefault="00D422F8" w:rsidP="00D422F8">
      <w:pPr>
        <w:spacing w:after="0" w:line="240" w:lineRule="auto"/>
        <w:jc w:val="both"/>
        <w:rPr>
          <w:rFonts w:ascii="Verdana" w:eastAsia="Arial" w:hAnsi="Verdana" w:cs="Arial"/>
          <w:sz w:val="20"/>
          <w:szCs w:val="20"/>
          <w:lang w:val="es-ES" w:eastAsia="es-ES" w:bidi="es-ES"/>
        </w:rPr>
      </w:pPr>
    </w:p>
    <w:p w14:paraId="684064BA" w14:textId="77777777" w:rsidR="00D422F8" w:rsidRPr="00B679CF" w:rsidRDefault="00D422F8" w:rsidP="00D422F8">
      <w:pPr>
        <w:contextualSpacing/>
        <w:jc w:val="both"/>
        <w:rPr>
          <w:rFonts w:ascii="Verdana" w:eastAsia="Calibri" w:hAnsi="Verdana" w:cs="Arial"/>
          <w:b/>
          <w:bCs/>
          <w:lang w:val="es-ES" w:eastAsia="es-ES"/>
        </w:rPr>
      </w:pPr>
      <w:r w:rsidRPr="00B679CF">
        <w:rPr>
          <w:rFonts w:ascii="Verdana" w:eastAsia="Calibri" w:hAnsi="Verdana" w:cs="Arial"/>
          <w:b/>
          <w:bCs/>
          <w:lang w:val="es-ES" w:eastAsia="es-ES"/>
        </w:rPr>
        <w:t>LEY DE GARANTÍAS ELECTORALES ‒ Artículo 38 ‒ Parágrafo</w:t>
      </w:r>
    </w:p>
    <w:p w14:paraId="09652C5C" w14:textId="77777777" w:rsidR="00D422F8" w:rsidRPr="00B679CF" w:rsidRDefault="00D422F8" w:rsidP="00D422F8">
      <w:pPr>
        <w:spacing w:line="240" w:lineRule="auto"/>
        <w:contextualSpacing/>
        <w:jc w:val="both"/>
        <w:rPr>
          <w:rFonts w:ascii="Verdana" w:eastAsia="Calibri" w:hAnsi="Verdana" w:cs="Arial"/>
          <w:b/>
          <w:bCs/>
          <w:sz w:val="20"/>
          <w:szCs w:val="20"/>
          <w:lang w:val="es-ES" w:eastAsia="es-ES"/>
        </w:rPr>
      </w:pPr>
    </w:p>
    <w:p w14:paraId="09637169" w14:textId="77777777" w:rsidR="00D422F8" w:rsidRPr="00B679CF" w:rsidRDefault="00D422F8" w:rsidP="00D422F8">
      <w:pPr>
        <w:spacing w:after="0" w:line="240" w:lineRule="auto"/>
        <w:contextualSpacing/>
        <w:jc w:val="both"/>
        <w:rPr>
          <w:rFonts w:ascii="Verdana" w:eastAsia="Calibri" w:hAnsi="Verdana" w:cs="Arial"/>
          <w:b/>
          <w:bCs/>
          <w:sz w:val="20"/>
          <w:szCs w:val="20"/>
          <w:lang w:val="es-ES" w:eastAsia="es-ES"/>
        </w:rPr>
      </w:pPr>
      <w:r w:rsidRPr="00B679CF">
        <w:rPr>
          <w:rFonts w:ascii="Verdana" w:eastAsia="Times New Roman" w:hAnsi="Verdana" w:cs="Arial"/>
          <w:sz w:val="20"/>
          <w:szCs w:val="20"/>
          <w:lang w:val="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7026E29" w14:textId="77777777" w:rsidR="00D422F8" w:rsidRPr="00B679CF" w:rsidRDefault="00D422F8" w:rsidP="00D422F8">
      <w:pPr>
        <w:spacing w:after="0" w:line="240" w:lineRule="auto"/>
        <w:jc w:val="both"/>
        <w:rPr>
          <w:rFonts w:ascii="Verdana" w:hAnsi="Verdana" w:cs="Arial"/>
          <w:b/>
          <w:lang w:val="es-ES" w:eastAsia="es-ES_tradnl"/>
        </w:rPr>
      </w:pPr>
    </w:p>
    <w:p w14:paraId="4348EA65" w14:textId="77777777" w:rsidR="00D422F8" w:rsidRDefault="00D422F8" w:rsidP="00D422F8">
      <w:pPr>
        <w:spacing w:after="0" w:line="240" w:lineRule="auto"/>
        <w:jc w:val="both"/>
        <w:rPr>
          <w:rFonts w:ascii="Verdana" w:hAnsi="Verdana" w:cs="Arial"/>
          <w:b/>
          <w:lang w:val="es-MX" w:eastAsia="es-ES_tradnl"/>
        </w:rPr>
      </w:pPr>
      <w:r w:rsidRPr="00682C93">
        <w:rPr>
          <w:rFonts w:ascii="Verdana" w:hAnsi="Verdana" w:cs="Arial"/>
          <w:b/>
          <w:lang w:val="es-MX" w:eastAsia="es-ES_tradnl"/>
        </w:rPr>
        <w:t>CONTRATOS Y CONVENIOS INTERADMINISTRATIVOS – Definición – Criterio org</w:t>
      </w:r>
      <w:r>
        <w:rPr>
          <w:rFonts w:ascii="Verdana" w:hAnsi="Verdana" w:cs="Arial"/>
          <w:b/>
          <w:lang w:val="es-MX" w:eastAsia="es-ES_tradnl"/>
        </w:rPr>
        <w:t>ánico</w:t>
      </w:r>
    </w:p>
    <w:p w14:paraId="5F54F3D0" w14:textId="77777777" w:rsidR="00D422F8" w:rsidRDefault="00D422F8" w:rsidP="00D422F8">
      <w:pPr>
        <w:spacing w:after="0" w:line="240" w:lineRule="auto"/>
        <w:jc w:val="both"/>
        <w:rPr>
          <w:rFonts w:ascii="Verdana" w:hAnsi="Verdana" w:cs="Arial"/>
          <w:b/>
          <w:lang w:val="es-MX" w:eastAsia="es-ES_tradnl"/>
        </w:rPr>
      </w:pPr>
    </w:p>
    <w:p w14:paraId="591A6B92" w14:textId="77777777" w:rsidR="00D422F8" w:rsidRPr="00597B78" w:rsidRDefault="00D422F8" w:rsidP="00D422F8">
      <w:pPr>
        <w:spacing w:after="0" w:line="240" w:lineRule="auto"/>
        <w:jc w:val="both"/>
        <w:rPr>
          <w:rFonts w:ascii="Verdana" w:hAnsi="Verdana" w:cs="Arial"/>
          <w:b/>
          <w:sz w:val="20"/>
          <w:szCs w:val="20"/>
          <w:lang w:val="es-MX" w:eastAsia="es-ES_tradnl"/>
        </w:rPr>
      </w:pPr>
      <w:r w:rsidRPr="003F2A9C">
        <w:rPr>
          <w:rFonts w:ascii="Verdana" w:eastAsia="Calibri" w:hAnsi="Verdana" w:cs="Arial"/>
          <w:sz w:val="20"/>
          <w:lang w:bidi="es-ES"/>
        </w:rPr>
        <w:lastRenderedPageBreak/>
        <w:t xml:space="preserve">Por este motivo, se argumenta en dichos conceptos que cuando la Ley 80 de 1993 se </w:t>
      </w:r>
      <w:r w:rsidRPr="00597B78">
        <w:rPr>
          <w:rFonts w:ascii="Verdana" w:eastAsia="Calibri" w:hAnsi="Verdana" w:cs="Arial"/>
          <w:sz w:val="20"/>
          <w:szCs w:val="20"/>
          <w:lang w:bidi="es-ES"/>
        </w:rPr>
        <w:t xml:space="preserve">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597B78">
        <w:rPr>
          <w:rFonts w:ascii="Verdana" w:eastAsia="Arial" w:hAnsi="Verdana" w:cs="Arial"/>
          <w:sz w:val="20"/>
          <w:szCs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659DA74A" w14:textId="77777777" w:rsidR="00D422F8" w:rsidRPr="00597B78" w:rsidRDefault="00D422F8" w:rsidP="00D422F8">
      <w:pPr>
        <w:spacing w:after="0" w:line="240" w:lineRule="auto"/>
        <w:jc w:val="both"/>
        <w:rPr>
          <w:rFonts w:ascii="Verdana" w:eastAsia="Calibri" w:hAnsi="Verdana" w:cs="Arial"/>
          <w:sz w:val="20"/>
          <w:szCs w:val="20"/>
          <w:lang w:bidi="es-ES"/>
        </w:rPr>
      </w:pPr>
    </w:p>
    <w:p w14:paraId="6C27A742" w14:textId="77777777" w:rsidR="00D422F8" w:rsidRPr="00597B78" w:rsidRDefault="00D422F8" w:rsidP="00D422F8">
      <w:pPr>
        <w:spacing w:after="0" w:line="240" w:lineRule="auto"/>
        <w:jc w:val="both"/>
        <w:rPr>
          <w:rFonts w:ascii="Verdana" w:eastAsia="Arial" w:hAnsi="Verdana" w:cs="Arial"/>
          <w:sz w:val="20"/>
          <w:szCs w:val="20"/>
          <w:lang w:val="es-ES" w:eastAsia="es-ES" w:bidi="es-ES"/>
        </w:rPr>
      </w:pPr>
      <w:r w:rsidRPr="00597B78">
        <w:rPr>
          <w:rFonts w:ascii="Verdana" w:eastAsia="Calibri" w:hAnsi="Verdana" w:cs="Arial"/>
          <w:sz w:val="20"/>
          <w:szCs w:val="20"/>
          <w:lang w:val="es-ES" w:bidi="es-ES"/>
        </w:rPr>
        <w:t>De este modo, en la Circular Externa</w:t>
      </w:r>
      <w:r w:rsidRPr="00597B78">
        <w:rPr>
          <w:rFonts w:ascii="Verdana" w:eastAsia="Arial" w:hAnsi="Verdana" w:cs="Arial"/>
          <w:sz w:val="20"/>
          <w:szCs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p>
    <w:p w14:paraId="484885F6" w14:textId="77777777" w:rsidR="00D422F8" w:rsidRPr="00B67A94" w:rsidRDefault="00D422F8" w:rsidP="00D422F8">
      <w:pPr>
        <w:spacing w:after="0"/>
        <w:rPr>
          <w:rFonts w:ascii="Verdana" w:hAnsi="Verdana"/>
          <w:color w:val="4472C4" w:themeColor="accent1"/>
          <w:lang w:val="es-ES"/>
        </w:rPr>
      </w:pPr>
    </w:p>
    <w:p w14:paraId="2148194B" w14:textId="77777777" w:rsidR="00D422F8" w:rsidRDefault="00D422F8" w:rsidP="00D422F8">
      <w:pPr>
        <w:spacing w:after="0" w:line="240" w:lineRule="auto"/>
        <w:jc w:val="both"/>
        <w:rPr>
          <w:rFonts w:ascii="Verdana" w:hAnsi="Verdana" w:cs="Arial"/>
          <w:b/>
          <w:lang w:val="es-MX" w:eastAsia="es-ES_tradnl"/>
        </w:rPr>
      </w:pPr>
      <w:r w:rsidRPr="00D31232">
        <w:rPr>
          <w:rFonts w:ascii="Verdana" w:hAnsi="Verdana" w:cs="Arial"/>
          <w:b/>
          <w:lang w:val="es-MX" w:eastAsia="es-ES_tradnl"/>
        </w:rPr>
        <w:t>OBLIGATORIEDAD</w:t>
      </w:r>
      <w:r>
        <w:rPr>
          <w:rFonts w:ascii="Verdana" w:hAnsi="Verdana" w:cs="Arial"/>
          <w:b/>
          <w:lang w:val="es-MX" w:eastAsia="es-ES_tradnl"/>
        </w:rPr>
        <w:t xml:space="preserve"> – Competencia Consultiva – Agencia Nacional de Contratación Pública - Colombia Compra Eficiente</w:t>
      </w:r>
    </w:p>
    <w:p w14:paraId="65FF0D70" w14:textId="77777777" w:rsidR="00D422F8" w:rsidRPr="00597B78" w:rsidRDefault="00D422F8" w:rsidP="00D422F8">
      <w:pPr>
        <w:spacing w:after="0"/>
        <w:rPr>
          <w:rFonts w:ascii="Verdana" w:hAnsi="Verdana"/>
          <w:color w:val="4472C4" w:themeColor="accent1"/>
          <w:sz w:val="24"/>
          <w:szCs w:val="24"/>
          <w:lang w:val="es-ES"/>
        </w:rPr>
      </w:pPr>
    </w:p>
    <w:p w14:paraId="04B36E90" w14:textId="77777777" w:rsidR="00D422F8" w:rsidRDefault="00D422F8" w:rsidP="00D422F8">
      <w:pPr>
        <w:spacing w:after="0" w:line="240" w:lineRule="auto"/>
        <w:jc w:val="both"/>
        <w:rPr>
          <w:rFonts w:ascii="Verdana" w:eastAsia="Times New Roman" w:hAnsi="Verdana" w:cs="Times New Roman"/>
          <w:sz w:val="20"/>
          <w:szCs w:val="20"/>
          <w:lang w:eastAsia="es-ES"/>
        </w:rPr>
      </w:pPr>
      <w:r w:rsidRPr="00597B78">
        <w:rPr>
          <w:rFonts w:ascii="Verdana" w:hAnsi="Verdana"/>
          <w:color w:val="000000" w:themeColor="text1"/>
          <w:sz w:val="20"/>
          <w:szCs w:val="20"/>
          <w:lang w:val="es-ES"/>
        </w:rPr>
        <w:t>El</w:t>
      </w:r>
      <w:r w:rsidRPr="00597B78">
        <w:rPr>
          <w:rFonts w:ascii="Verdana" w:eastAsia="Times New Roman" w:hAnsi="Verdana" w:cs="Times New Roman"/>
          <w:sz w:val="20"/>
          <w:szCs w:val="20"/>
          <w:lang w:eastAsia="es-ES"/>
        </w:rPr>
        <w:t xml:space="preserve"> alcance de la competencia consultiva encuentra su fundamento normativo en el artículo 28 de la Ley 1437 de 2011, sustituido por el artículo 1 de la Ley 1755 de 2015, […] La norma citada prescribe que los conceptos emitidos por las autoridades, como respuestas a peticiones realizadas en ejercicio del derecho a formular consultas, no son de obligatorio cumplimiento o de imperativa ejecución, es decir, no tienen efectos vinculantes. En particular, es preciso advertir que los conceptos contienen la posición hermenéutica de la Subdirección de Gestión Contractual en relación con determinado aspecto del ordenamiento jurídico. Esta competencia de interpretación de normas generales, por definición, no puede extenderse a la resolución de controversias, ni a brindar asesorías sobre casos puntuales.</w:t>
      </w:r>
    </w:p>
    <w:p w14:paraId="72A53ADD" w14:textId="77777777" w:rsidR="00D422F8" w:rsidRPr="00597B78" w:rsidRDefault="00D422F8" w:rsidP="00D422F8">
      <w:pPr>
        <w:spacing w:after="0" w:line="240" w:lineRule="auto"/>
        <w:jc w:val="both"/>
        <w:rPr>
          <w:rFonts w:ascii="Verdana" w:eastAsia="Times New Roman" w:hAnsi="Verdana" w:cs="Times New Roman"/>
          <w:sz w:val="20"/>
          <w:szCs w:val="20"/>
          <w:lang w:eastAsia="es-ES"/>
        </w:rPr>
      </w:pPr>
    </w:p>
    <w:p w14:paraId="47D02519" w14:textId="77777777" w:rsidR="00D422F8" w:rsidRPr="00597B78" w:rsidRDefault="00D422F8" w:rsidP="00D422F8">
      <w:pPr>
        <w:spacing w:after="120" w:line="240" w:lineRule="auto"/>
        <w:jc w:val="both"/>
        <w:rPr>
          <w:rFonts w:ascii="Verdana" w:eastAsia="Times New Roman" w:hAnsi="Verdana" w:cs="Times New Roman"/>
          <w:sz w:val="20"/>
          <w:szCs w:val="20"/>
          <w:lang w:eastAsia="es-ES"/>
        </w:rPr>
      </w:pPr>
      <w:r w:rsidRPr="00597B78">
        <w:rPr>
          <w:rFonts w:ascii="Verdana" w:eastAsia="Times New Roman" w:hAnsi="Verdana" w:cs="Times New Roman"/>
          <w:sz w:val="20"/>
          <w:szCs w:val="20"/>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p w14:paraId="172C10D1" w14:textId="77777777" w:rsidR="00D422F8" w:rsidRPr="00EF0587" w:rsidRDefault="00D422F8" w:rsidP="00D422F8">
      <w:pPr>
        <w:spacing w:after="0"/>
        <w:rPr>
          <w:rFonts w:ascii="Verdana" w:hAnsi="Verdana"/>
          <w:color w:val="4472C4" w:themeColor="accent1"/>
        </w:rPr>
      </w:pPr>
    </w:p>
    <w:p w14:paraId="108DE883" w14:textId="77777777" w:rsidR="00D422F8" w:rsidRDefault="00D422F8" w:rsidP="00D422F8">
      <w:pPr>
        <w:spacing w:after="0"/>
        <w:rPr>
          <w:rFonts w:ascii="Verdana" w:hAnsi="Verdana"/>
          <w:color w:val="4472C4" w:themeColor="accent1"/>
          <w:lang w:val="es-ES"/>
        </w:rPr>
      </w:pPr>
    </w:p>
    <w:p w14:paraId="2F1DA11D" w14:textId="77777777" w:rsidR="00D422F8" w:rsidRDefault="00D422F8" w:rsidP="00D422F8">
      <w:pPr>
        <w:spacing w:after="0"/>
        <w:rPr>
          <w:rFonts w:ascii="Verdana" w:hAnsi="Verdana"/>
          <w:color w:val="4472C4" w:themeColor="accent1"/>
          <w:lang w:val="es-ES"/>
        </w:rPr>
      </w:pPr>
    </w:p>
    <w:p w14:paraId="1EBA9FDE" w14:textId="77777777" w:rsidR="00D422F8" w:rsidRDefault="00D422F8" w:rsidP="00D422F8">
      <w:pPr>
        <w:spacing w:after="0"/>
        <w:rPr>
          <w:rFonts w:ascii="Verdana" w:hAnsi="Verdana"/>
          <w:color w:val="4472C4" w:themeColor="accent1"/>
          <w:lang w:val="es-ES"/>
        </w:rPr>
      </w:pPr>
    </w:p>
    <w:p w14:paraId="7893C250" w14:textId="77777777" w:rsidR="00D422F8" w:rsidRDefault="00D422F8" w:rsidP="00D422F8">
      <w:pPr>
        <w:spacing w:after="0"/>
        <w:rPr>
          <w:rFonts w:ascii="Verdana" w:hAnsi="Verdana"/>
          <w:color w:val="4472C4" w:themeColor="accent1"/>
          <w:lang w:val="es-ES"/>
        </w:rPr>
      </w:pPr>
    </w:p>
    <w:p w14:paraId="57927FE1" w14:textId="77777777" w:rsidR="00D422F8" w:rsidRDefault="00D422F8" w:rsidP="00D422F8">
      <w:pPr>
        <w:spacing w:after="0"/>
        <w:rPr>
          <w:rFonts w:ascii="Verdana" w:hAnsi="Verdana"/>
          <w:color w:val="4472C4" w:themeColor="accent1"/>
          <w:lang w:val="es-ES"/>
        </w:rPr>
      </w:pPr>
    </w:p>
    <w:p w14:paraId="1344B66F" w14:textId="77777777" w:rsidR="00D422F8" w:rsidRPr="00380C86" w:rsidRDefault="00D422F8" w:rsidP="00D422F8">
      <w:pPr>
        <w:shd w:val="clear" w:color="auto" w:fill="FFFFFF"/>
        <w:spacing w:after="0" w:line="240" w:lineRule="auto"/>
        <w:rPr>
          <w:rFonts w:ascii="Verdana" w:eastAsia="Times New Roman" w:hAnsi="Verdana" w:cs="Arial"/>
          <w:bdr w:val="none" w:sz="0" w:space="0" w:color="auto" w:frame="1"/>
          <w:lang w:eastAsia="es-CO"/>
        </w:rPr>
      </w:pPr>
    </w:p>
    <w:p w14:paraId="4E178B07" w14:textId="4CF7A51B" w:rsidR="00D422F8" w:rsidRPr="00FD5254" w:rsidRDefault="00D422F8" w:rsidP="006E58C5">
      <w:pPr>
        <w:spacing w:after="0" w:line="240" w:lineRule="auto"/>
        <w:rPr>
          <w:rFonts w:ascii="Verdana" w:hAnsi="Verdana"/>
        </w:rPr>
      </w:pPr>
      <w:r w:rsidRPr="00FD5254">
        <w:rPr>
          <w:rFonts w:ascii="Verdana" w:hAnsi="Verdana"/>
        </w:rPr>
        <w:lastRenderedPageBreak/>
        <w:t xml:space="preserve">Bogotá D.C., </w:t>
      </w:r>
      <w:r w:rsidR="001E04A3">
        <w:rPr>
          <w:rFonts w:ascii="Verdana" w:hAnsi="Verdana"/>
        </w:rPr>
        <w:t>23 de diciembre de 2025</w:t>
      </w:r>
    </w:p>
    <w:p w14:paraId="783D690D" w14:textId="29994FED" w:rsidR="00D422F8" w:rsidRPr="00FD5254" w:rsidRDefault="00D422F8" w:rsidP="006E58C5">
      <w:pPr>
        <w:spacing w:after="0" w:line="240" w:lineRule="auto"/>
        <w:rPr>
          <w:rFonts w:ascii="Verdana" w:hAnsi="Verdana"/>
          <w:lang w:val="es-ES"/>
        </w:rPr>
      </w:pPr>
    </w:p>
    <w:p w14:paraId="66F40BEF" w14:textId="5385ECFA" w:rsidR="00D422F8" w:rsidRPr="00FD5254" w:rsidRDefault="00D30B19" w:rsidP="00FD5254">
      <w:pPr>
        <w:spacing w:after="0" w:line="240" w:lineRule="auto"/>
        <w:rPr>
          <w:rFonts w:ascii="Verdana" w:hAnsi="Verdana"/>
          <w:lang w:val="es-ES"/>
        </w:rPr>
      </w:pPr>
      <w:r w:rsidRPr="001E04A3">
        <w:rPr>
          <w:rFonts w:ascii="Verdana" w:hAnsi="Verdana"/>
          <w:noProof/>
        </w:rPr>
        <w:drawing>
          <wp:anchor distT="0" distB="0" distL="114300" distR="114300" simplePos="0" relativeHeight="251660288" behindDoc="1" locked="0" layoutInCell="1" allowOverlap="1" wp14:anchorId="297C82E8" wp14:editId="53E10970">
            <wp:simplePos x="0" y="0"/>
            <wp:positionH relativeFrom="margin">
              <wp:align>right</wp:align>
            </wp:positionH>
            <wp:positionV relativeFrom="paragraph">
              <wp:posOffset>11430</wp:posOffset>
            </wp:positionV>
            <wp:extent cx="2781300" cy="817245"/>
            <wp:effectExtent l="0" t="0" r="0" b="1905"/>
            <wp:wrapSquare wrapText="bothSides"/>
            <wp:docPr id="10414152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415234" name=""/>
                    <pic:cNvPicPr/>
                  </pic:nvPicPr>
                  <pic:blipFill>
                    <a:blip r:embed="rId10">
                      <a:extLst>
                        <a:ext uri="{28A0092B-C50C-407E-A947-70E740481C1C}">
                          <a14:useLocalDpi xmlns:a14="http://schemas.microsoft.com/office/drawing/2010/main" val="0"/>
                        </a:ext>
                      </a:extLst>
                    </a:blip>
                    <a:stretch>
                      <a:fillRect/>
                    </a:stretch>
                  </pic:blipFill>
                  <pic:spPr>
                    <a:xfrm>
                      <a:off x="0" y="0"/>
                      <a:ext cx="2781300" cy="817245"/>
                    </a:xfrm>
                    <a:prstGeom prst="rect">
                      <a:avLst/>
                    </a:prstGeom>
                  </pic:spPr>
                </pic:pic>
              </a:graphicData>
            </a:graphic>
            <wp14:sizeRelH relativeFrom="margin">
              <wp14:pctWidth>0</wp14:pctWidth>
            </wp14:sizeRelH>
            <wp14:sizeRelV relativeFrom="margin">
              <wp14:pctHeight>0</wp14:pctHeight>
            </wp14:sizeRelV>
          </wp:anchor>
        </w:drawing>
      </w:r>
      <w:r w:rsidR="00D422F8" w:rsidRPr="00FD5254">
        <w:rPr>
          <w:rFonts w:ascii="Verdana" w:eastAsia="Calibri" w:hAnsi="Verdana" w:cs="Arial"/>
          <w:lang w:val="es-ES" w:eastAsia="es-ES"/>
        </w:rPr>
        <w:t>Señor</w:t>
      </w:r>
    </w:p>
    <w:p w14:paraId="3B7AC58A" w14:textId="77777777" w:rsidR="00D422F8" w:rsidRPr="00FD5254" w:rsidRDefault="00D422F8" w:rsidP="006E58C5">
      <w:pPr>
        <w:spacing w:after="0" w:line="240" w:lineRule="auto"/>
        <w:rPr>
          <w:rFonts w:ascii="Verdana" w:eastAsia="Calibri" w:hAnsi="Verdana" w:cs="Arial"/>
          <w:b/>
          <w:bCs/>
          <w:lang w:val="es-ES" w:eastAsia="es-ES"/>
        </w:rPr>
      </w:pPr>
      <w:r w:rsidRPr="00FD5254">
        <w:rPr>
          <w:rFonts w:ascii="Verdana" w:eastAsia="Calibri" w:hAnsi="Verdana" w:cs="Arial"/>
          <w:b/>
          <w:bCs/>
          <w:lang w:val="es-ES" w:eastAsia="es-ES"/>
        </w:rPr>
        <w:t>Francisco Javier Guzmán Figueroa</w:t>
      </w:r>
    </w:p>
    <w:p w14:paraId="6FF90051" w14:textId="77777777" w:rsidR="00D422F8" w:rsidRPr="00FD5254" w:rsidRDefault="00D422F8" w:rsidP="006E58C5">
      <w:pPr>
        <w:spacing w:after="0" w:line="240" w:lineRule="auto"/>
        <w:rPr>
          <w:rFonts w:ascii="Verdana" w:eastAsia="Calibri" w:hAnsi="Verdana" w:cs="Arial"/>
          <w:lang w:val="es-ES" w:eastAsia="es-ES"/>
        </w:rPr>
      </w:pPr>
      <w:r w:rsidRPr="00FD5254">
        <w:rPr>
          <w:rFonts w:ascii="Verdana" w:eastAsia="Calibri" w:hAnsi="Verdana" w:cs="Arial"/>
          <w:lang w:val="es-ES" w:eastAsia="es-ES"/>
        </w:rPr>
        <w:t>Alcalde Municipal de Pradera</w:t>
      </w:r>
    </w:p>
    <w:p w14:paraId="3E8E24AD" w14:textId="77777777" w:rsidR="00D422F8" w:rsidRPr="00FD5254" w:rsidRDefault="00D422F8" w:rsidP="006E58C5">
      <w:pPr>
        <w:spacing w:after="0" w:line="240" w:lineRule="auto"/>
        <w:rPr>
          <w:rStyle w:val="Hipervnculo"/>
          <w:rFonts w:ascii="Verdana" w:hAnsi="Verdana"/>
          <w:color w:val="auto"/>
        </w:rPr>
      </w:pPr>
      <w:hyperlink r:id="rId11" w:history="1">
        <w:r w:rsidRPr="00FD5254">
          <w:rPr>
            <w:rStyle w:val="Hipervnculo"/>
            <w:rFonts w:ascii="Verdana" w:hAnsi="Verdana"/>
          </w:rPr>
          <w:t>contáctenos@pradera-valle.gov.co</w:t>
        </w:r>
      </w:hyperlink>
      <w:r w:rsidRPr="00FD5254">
        <w:rPr>
          <w:rStyle w:val="Hipervnculo"/>
          <w:rFonts w:ascii="Verdana" w:hAnsi="Verdana"/>
          <w:color w:val="auto"/>
        </w:rPr>
        <w:t xml:space="preserve">  </w:t>
      </w:r>
    </w:p>
    <w:p w14:paraId="6E21E76C" w14:textId="77777777" w:rsidR="00D422F8" w:rsidRPr="00FD5254" w:rsidRDefault="00D422F8" w:rsidP="006E58C5">
      <w:pPr>
        <w:spacing w:after="0" w:line="240" w:lineRule="auto"/>
        <w:rPr>
          <w:rFonts w:ascii="Verdana" w:eastAsia="Calibri" w:hAnsi="Verdana" w:cs="Arial"/>
          <w:lang w:val="es-ES" w:eastAsia="es-ES"/>
        </w:rPr>
      </w:pPr>
      <w:r w:rsidRPr="00FD5254">
        <w:rPr>
          <w:rFonts w:ascii="Verdana" w:eastAsia="Calibri" w:hAnsi="Verdana" w:cs="Arial"/>
          <w:lang w:val="es-ES" w:eastAsia="es-ES"/>
        </w:rPr>
        <w:t>Pradera, Valle del Cauca</w:t>
      </w:r>
    </w:p>
    <w:p w14:paraId="25B80DA0" w14:textId="77777777" w:rsidR="00D422F8" w:rsidRPr="00FD5254" w:rsidRDefault="00D422F8" w:rsidP="00FD5254">
      <w:pPr>
        <w:spacing w:after="0" w:line="240" w:lineRule="auto"/>
        <w:rPr>
          <w:rFonts w:ascii="Verdana" w:eastAsia="Calibri" w:hAnsi="Verdana" w:cs="Arial"/>
          <w:b/>
          <w:color w:val="000000" w:themeColor="text1"/>
          <w:lang w:val="es-ES" w:eastAsia="es-ES"/>
        </w:rPr>
      </w:pPr>
    </w:p>
    <w:p w14:paraId="20EF827A" w14:textId="77777777" w:rsidR="00D422F8" w:rsidRPr="00FD5254" w:rsidRDefault="00D422F8">
      <w:pPr>
        <w:spacing w:after="0" w:line="240" w:lineRule="auto"/>
        <w:rPr>
          <w:rFonts w:ascii="Verdana" w:eastAsia="Calibri" w:hAnsi="Verdana" w:cs="Arial"/>
          <w:b/>
          <w:bCs/>
          <w:color w:val="4472C4" w:themeColor="accen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422F8" w:rsidRPr="00FD5254" w14:paraId="0807FDB2" w14:textId="77777777" w:rsidTr="00A723C1">
        <w:trPr>
          <w:trHeight w:val="300"/>
        </w:trPr>
        <w:tc>
          <w:tcPr>
            <w:tcW w:w="2410" w:type="dxa"/>
          </w:tcPr>
          <w:p w14:paraId="1F6D4383" w14:textId="77777777" w:rsidR="00D422F8" w:rsidRPr="00FD5254" w:rsidRDefault="00D422F8">
            <w:pPr>
              <w:ind w:left="-142"/>
              <w:jc w:val="both"/>
              <w:rPr>
                <w:rFonts w:ascii="Verdana" w:eastAsia="Calibri" w:hAnsi="Verdana" w:cs="Arial"/>
                <w:b/>
                <w:bCs/>
                <w:color w:val="4472C4" w:themeColor="accent1"/>
                <w:lang w:val="es-ES" w:eastAsia="es-ES_tradnl"/>
              </w:rPr>
            </w:pPr>
          </w:p>
        </w:tc>
        <w:tc>
          <w:tcPr>
            <w:tcW w:w="6100" w:type="dxa"/>
          </w:tcPr>
          <w:p w14:paraId="3DC3AD1D" w14:textId="77777777" w:rsidR="00D422F8" w:rsidRPr="00FD5254" w:rsidRDefault="00D422F8">
            <w:pPr>
              <w:ind w:left="3"/>
              <w:jc w:val="both"/>
              <w:rPr>
                <w:rFonts w:ascii="Verdana" w:eastAsia="Calibri" w:hAnsi="Verdana" w:cs="Arial"/>
                <w:b/>
                <w:bCs/>
                <w:lang w:val="es-ES" w:eastAsia="es-ES"/>
              </w:rPr>
            </w:pPr>
            <w:r w:rsidRPr="00FD5254">
              <w:rPr>
                <w:rFonts w:ascii="Verdana" w:eastAsia="Calibri" w:hAnsi="Verdana" w:cs="Arial"/>
                <w:b/>
                <w:bCs/>
                <w:lang w:val="es-ES" w:eastAsia="es-ES"/>
              </w:rPr>
              <w:t>Concepto C-1675 de 2025</w:t>
            </w:r>
          </w:p>
          <w:p w14:paraId="16D5180A" w14:textId="77777777" w:rsidR="00D422F8" w:rsidRPr="00FD5254" w:rsidRDefault="00D422F8">
            <w:pPr>
              <w:ind w:left="3"/>
              <w:jc w:val="both"/>
              <w:rPr>
                <w:rFonts w:ascii="Verdana" w:eastAsia="Calibri" w:hAnsi="Verdana" w:cs="Arial"/>
                <w:b/>
                <w:bCs/>
                <w:color w:val="4472C4" w:themeColor="accent1"/>
                <w:lang w:val="es-ES" w:eastAsia="es-ES"/>
              </w:rPr>
            </w:pPr>
          </w:p>
        </w:tc>
      </w:tr>
      <w:tr w:rsidR="00D422F8" w:rsidRPr="00FD5254" w14:paraId="5BB42811" w14:textId="77777777" w:rsidTr="00A723C1">
        <w:trPr>
          <w:trHeight w:val="300"/>
        </w:trPr>
        <w:tc>
          <w:tcPr>
            <w:tcW w:w="2410" w:type="dxa"/>
          </w:tcPr>
          <w:p w14:paraId="359C42C6" w14:textId="77777777" w:rsidR="00D422F8" w:rsidRPr="00FD5254" w:rsidRDefault="00D422F8" w:rsidP="00FD5254">
            <w:pPr>
              <w:ind w:left="424" w:firstLine="142"/>
              <w:jc w:val="both"/>
              <w:rPr>
                <w:rFonts w:ascii="Verdana" w:eastAsia="Calibri" w:hAnsi="Verdana" w:cs="Arial"/>
                <w:color w:val="4472C4" w:themeColor="accent1"/>
                <w:lang w:val="es-ES" w:eastAsia="es-ES_tradnl"/>
              </w:rPr>
            </w:pPr>
            <w:r w:rsidRPr="00FD5254">
              <w:rPr>
                <w:rFonts w:ascii="Verdana" w:eastAsia="Calibri" w:hAnsi="Verdana" w:cs="Arial"/>
                <w:b/>
                <w:lang w:val="es-ES" w:eastAsia="es-ES_tradnl"/>
              </w:rPr>
              <w:t>Temas:</w:t>
            </w:r>
            <w:r w:rsidRPr="00FD5254">
              <w:rPr>
                <w:rFonts w:ascii="Verdana" w:eastAsia="Calibri" w:hAnsi="Verdana" w:cs="Arial"/>
                <w:color w:val="4472C4" w:themeColor="accent1"/>
                <w:lang w:val="es-ES" w:eastAsia="es-ES_tradnl"/>
              </w:rPr>
              <w:t xml:space="preserve">                  </w:t>
            </w:r>
          </w:p>
        </w:tc>
        <w:tc>
          <w:tcPr>
            <w:tcW w:w="6100" w:type="dxa"/>
          </w:tcPr>
          <w:p w14:paraId="46BA66BE" w14:textId="77777777" w:rsidR="00D422F8" w:rsidRPr="00FD5254" w:rsidRDefault="00D422F8">
            <w:pPr>
              <w:jc w:val="both"/>
              <w:rPr>
                <w:rFonts w:ascii="Verdana" w:hAnsi="Verdana" w:cs="Arial"/>
                <w:lang w:val="es-MX" w:eastAsia="es-ES_tradnl"/>
              </w:rPr>
            </w:pPr>
            <w:r w:rsidRPr="00FD5254">
              <w:rPr>
                <w:rFonts w:ascii="Verdana" w:eastAsia="Calibri" w:hAnsi="Verdana" w:cs="Arial"/>
                <w:lang w:val="es-ES" w:eastAsia="es-ES"/>
              </w:rPr>
              <w:t>LEY DE GARANTÍAS ELECTORALES – Finalidad / LEY DE GARANTÍAS ELECTORALES ‒ Restricciones ‒ Contratación ‒ Tipos de elección / LEY DE GARANTÍAS ELECTORALES ‒ Artículo 38 ‒ Parágrafo / CONTRATOS Y CONVENIOS INTERADMINISTRATIVOS – Definición – Criterio orgánico / OBLIGATORIEDAD</w:t>
            </w:r>
            <w:r w:rsidRPr="00FD5254">
              <w:rPr>
                <w:rFonts w:ascii="Verdana" w:hAnsi="Verdana" w:cs="Arial"/>
                <w:lang w:val="es-MX" w:eastAsia="es-ES_tradnl"/>
              </w:rPr>
              <w:t xml:space="preserve"> – Competencia Consultiva – Agencia Nacional de Contratación Pública - Colombia Compra Eficiente</w:t>
            </w:r>
          </w:p>
          <w:p w14:paraId="7804656E" w14:textId="77777777" w:rsidR="00D422F8" w:rsidRPr="00FD5254" w:rsidRDefault="00D422F8">
            <w:pPr>
              <w:jc w:val="both"/>
              <w:rPr>
                <w:rFonts w:ascii="Verdana" w:hAnsi="Verdana"/>
                <w:color w:val="4472C4" w:themeColor="accent1"/>
                <w:lang w:val="es-ES"/>
              </w:rPr>
            </w:pPr>
          </w:p>
        </w:tc>
      </w:tr>
      <w:tr w:rsidR="00D422F8" w:rsidRPr="00FD5254" w14:paraId="239A0986" w14:textId="77777777" w:rsidTr="00A723C1">
        <w:tc>
          <w:tcPr>
            <w:tcW w:w="2410" w:type="dxa"/>
          </w:tcPr>
          <w:p w14:paraId="2971FECD" w14:textId="77777777" w:rsidR="00D422F8" w:rsidRPr="00FD5254" w:rsidRDefault="00D422F8" w:rsidP="00FD5254">
            <w:pPr>
              <w:ind w:left="561"/>
              <w:jc w:val="both"/>
              <w:rPr>
                <w:rFonts w:ascii="Verdana" w:eastAsia="Calibri" w:hAnsi="Verdana" w:cs="Arial"/>
                <w:b/>
                <w:lang w:val="es-ES" w:eastAsia="es-ES_tradnl"/>
              </w:rPr>
            </w:pPr>
            <w:r w:rsidRPr="00FD5254">
              <w:rPr>
                <w:rFonts w:ascii="Verdana" w:eastAsia="Calibri" w:hAnsi="Verdana" w:cs="Arial"/>
                <w:b/>
                <w:lang w:val="es-ES" w:eastAsia="es-ES_tradnl"/>
              </w:rPr>
              <w:t>Radicación:</w:t>
            </w:r>
            <w:r w:rsidRPr="00FD5254">
              <w:rPr>
                <w:rFonts w:ascii="Verdana" w:eastAsia="Calibri" w:hAnsi="Verdana" w:cs="Arial"/>
                <w:lang w:val="es-ES" w:eastAsia="es-ES_tradnl"/>
              </w:rPr>
              <w:t xml:space="preserve">              </w:t>
            </w:r>
          </w:p>
        </w:tc>
        <w:tc>
          <w:tcPr>
            <w:tcW w:w="6100" w:type="dxa"/>
          </w:tcPr>
          <w:p w14:paraId="1548C429" w14:textId="77777777" w:rsidR="00D422F8" w:rsidRPr="00FD5254" w:rsidRDefault="00D422F8">
            <w:pPr>
              <w:ind w:left="3"/>
              <w:jc w:val="both"/>
              <w:rPr>
                <w:rFonts w:ascii="Verdana" w:hAnsi="Verdana"/>
                <w:lang w:val="es-ES"/>
              </w:rPr>
            </w:pPr>
            <w:r w:rsidRPr="00FD5254">
              <w:rPr>
                <w:rFonts w:ascii="Verdana" w:eastAsia="Calibri" w:hAnsi="Verdana" w:cs="Arial"/>
                <w:lang w:val="es-ES" w:eastAsia="es-ES"/>
              </w:rPr>
              <w:t>Respuesta a consulta con radicado No. 1_2025_11_12_012779</w:t>
            </w:r>
          </w:p>
        </w:tc>
      </w:tr>
    </w:tbl>
    <w:p w14:paraId="676C2F19" w14:textId="77777777" w:rsidR="00D422F8" w:rsidRPr="00B67A94" w:rsidRDefault="00D422F8" w:rsidP="00FD5254">
      <w:pPr>
        <w:spacing w:after="0" w:line="276" w:lineRule="auto"/>
        <w:jc w:val="both"/>
        <w:rPr>
          <w:rFonts w:ascii="Verdana" w:eastAsia="Calibri" w:hAnsi="Verdana" w:cs="Arial"/>
          <w:color w:val="4472C4" w:themeColor="accent1"/>
          <w:lang w:val="es-ES" w:eastAsia="es-ES"/>
        </w:rPr>
      </w:pPr>
    </w:p>
    <w:p w14:paraId="3C57AE9E" w14:textId="77777777" w:rsidR="00D422F8" w:rsidRPr="00B67A94" w:rsidRDefault="00D422F8">
      <w:pPr>
        <w:spacing w:after="0" w:line="276" w:lineRule="auto"/>
        <w:jc w:val="both"/>
        <w:rPr>
          <w:rFonts w:ascii="Verdana" w:eastAsia="Calibri" w:hAnsi="Verdana" w:cs="Arial"/>
          <w:color w:val="4472C4" w:themeColor="accent1"/>
          <w:lang w:val="es-ES" w:eastAsia="es-ES"/>
        </w:rPr>
      </w:pPr>
    </w:p>
    <w:p w14:paraId="0AD2C9C1" w14:textId="77777777" w:rsidR="00D422F8" w:rsidRPr="005038B9" w:rsidRDefault="00D422F8">
      <w:pPr>
        <w:spacing w:after="0" w:line="276" w:lineRule="auto"/>
        <w:jc w:val="both"/>
        <w:rPr>
          <w:rFonts w:ascii="Verdana" w:eastAsia="Calibri" w:hAnsi="Verdana" w:cs="Arial"/>
          <w:lang w:val="es-ES" w:eastAsia="es-ES"/>
        </w:rPr>
      </w:pPr>
      <w:r w:rsidRPr="005038B9">
        <w:rPr>
          <w:rFonts w:ascii="Verdana" w:eastAsia="Calibri" w:hAnsi="Verdana" w:cs="Arial"/>
          <w:lang w:val="es-ES" w:eastAsia="es-ES"/>
        </w:rPr>
        <w:t>Estimado señor Guzmán</w:t>
      </w:r>
      <w:r>
        <w:rPr>
          <w:rFonts w:ascii="Verdana" w:eastAsia="Calibri" w:hAnsi="Verdana" w:cs="Arial"/>
          <w:lang w:val="es-ES" w:eastAsia="es-ES"/>
        </w:rPr>
        <w:t>,</w:t>
      </w:r>
    </w:p>
    <w:p w14:paraId="5392A93C" w14:textId="77777777" w:rsidR="00D422F8" w:rsidRPr="005038B9" w:rsidRDefault="00D422F8">
      <w:pPr>
        <w:tabs>
          <w:tab w:val="left" w:pos="3768"/>
        </w:tabs>
        <w:spacing w:after="0" w:line="276" w:lineRule="auto"/>
        <w:jc w:val="both"/>
        <w:rPr>
          <w:rFonts w:ascii="Verdana" w:eastAsia="Calibri" w:hAnsi="Verdana" w:cs="Arial"/>
          <w:lang w:val="es-ES" w:eastAsia="es-ES"/>
        </w:rPr>
      </w:pPr>
      <w:r w:rsidRPr="005038B9">
        <w:rPr>
          <w:rFonts w:ascii="Verdana" w:eastAsia="Calibri" w:hAnsi="Verdana" w:cs="Arial"/>
          <w:lang w:val="es-ES" w:eastAsia="es-ES"/>
        </w:rPr>
        <w:tab/>
      </w:r>
    </w:p>
    <w:p w14:paraId="3C733E82" w14:textId="77777777" w:rsidR="00D422F8" w:rsidRPr="006C10A4" w:rsidRDefault="00D422F8">
      <w:pPr>
        <w:spacing w:after="0" w:line="276" w:lineRule="auto"/>
        <w:jc w:val="both"/>
        <w:rPr>
          <w:rFonts w:ascii="Verdana" w:eastAsia="Calibri" w:hAnsi="Verdana" w:cs="Arial"/>
          <w:lang w:val="es-ES" w:eastAsia="es-ES"/>
        </w:rPr>
      </w:pPr>
      <w:r w:rsidRPr="006C10A4">
        <w:rPr>
          <w:rFonts w:ascii="Verdana" w:eastAsia="Calibri" w:hAnsi="Verdana" w:cs="Arial"/>
          <w:lang w:val="es-ES" w:eastAsia="es-ES"/>
        </w:rPr>
        <w:t>En ejercicio de la competencia otorgada por los artículos 3, numeral 5º, y 11, numeral 8º, del Decreto Ley 4170 de 2011,</w:t>
      </w:r>
      <w:r w:rsidRPr="006C10A4">
        <w:rPr>
          <w:rFonts w:ascii="Verdana" w:eastAsia="Arial MT" w:hAnsi="Verdana" w:cs="Arial MT"/>
          <w:lang w:val="es-ES" w:eastAsia="es-ES"/>
        </w:rPr>
        <w:t xml:space="preserve"> </w:t>
      </w:r>
      <w:r w:rsidRPr="006C10A4">
        <w:rPr>
          <w:rFonts w:ascii="Verdana" w:hAnsi="Verdana" w:cs="Arial"/>
          <w:lang w:val="es-ES"/>
        </w:rPr>
        <w:t xml:space="preserve">así como lo establecido en el artículo 4 de la Resolución 1707 de 2018 expedida por esta Entidad, </w:t>
      </w:r>
      <w:r w:rsidRPr="006C10A4">
        <w:rPr>
          <w:rFonts w:ascii="Verdana" w:eastAsia="Calibri" w:hAnsi="Verdana" w:cs="Arial"/>
          <w:lang w:val="es-ES" w:eastAsia="es-ES"/>
        </w:rPr>
        <w:t xml:space="preserve">la Agencia Nacional de Contratación Pública – Colombia Compra Eficiente– responde su solicitud de consulta de fecha 12 de noviembre de 2025, en la cual manifiesta lo siguiente: </w:t>
      </w:r>
    </w:p>
    <w:p w14:paraId="2C31E7A8" w14:textId="77777777" w:rsidR="00D422F8" w:rsidRPr="00AA0279" w:rsidRDefault="00D422F8">
      <w:pPr>
        <w:tabs>
          <w:tab w:val="left" w:pos="142"/>
          <w:tab w:val="left" w:pos="284"/>
        </w:tabs>
        <w:spacing w:after="0" w:line="276" w:lineRule="auto"/>
        <w:contextualSpacing/>
        <w:jc w:val="both"/>
        <w:rPr>
          <w:rFonts w:ascii="Verdana" w:eastAsia="Century Gothic" w:hAnsi="Verdana" w:cs="Century Gothic"/>
          <w:b/>
          <w:bCs/>
          <w:lang w:val="es-ES"/>
        </w:rPr>
      </w:pPr>
    </w:p>
    <w:p w14:paraId="1190D720" w14:textId="77777777" w:rsidR="00D422F8" w:rsidRPr="00AA0279" w:rsidRDefault="00D422F8" w:rsidP="00D422F8">
      <w:pPr>
        <w:spacing w:before="120" w:after="120"/>
        <w:ind w:left="709" w:right="709"/>
        <w:contextualSpacing/>
        <w:jc w:val="both"/>
        <w:rPr>
          <w:rFonts w:ascii="Verdana" w:hAnsi="Verdana"/>
          <w:i/>
          <w:iCs/>
          <w:sz w:val="20"/>
          <w:szCs w:val="20"/>
          <w:lang w:val="es-ES"/>
        </w:rPr>
      </w:pPr>
      <w:r w:rsidRPr="00AA0279">
        <w:rPr>
          <w:rFonts w:ascii="Verdana" w:eastAsia="Century Gothic" w:hAnsi="Verdana" w:cs="Century Gothic"/>
          <w:i/>
          <w:iCs/>
          <w:sz w:val="20"/>
          <w:szCs w:val="20"/>
          <w:lang w:val="es-ES"/>
        </w:rPr>
        <w:t>“</w:t>
      </w:r>
      <w:r w:rsidRPr="00AA0279">
        <w:rPr>
          <w:rFonts w:ascii="Verdana" w:hAnsi="Verdana"/>
          <w:i/>
          <w:iCs/>
          <w:sz w:val="20"/>
          <w:szCs w:val="20"/>
          <w:lang w:val="es-ES"/>
        </w:rPr>
        <w:t>El Municipio de Pradera – Valle del Cauca, en ejercicio del derecho consagrado en el artículo 5 de la Ley 1755 de 2015 (Derecho de Petición), se permite formular la siguiente solicitud de información y concepto técnico-jurídico relacionada con la aplicación de la Ley 996 de 2005 (Ley de Garantías Electorales), conforme a las competencias asignadas a esa Agencia Nacional de Contratación Pública mediante el Decreto 4170 de 2011.</w:t>
      </w:r>
    </w:p>
    <w:p w14:paraId="7C9997D9" w14:textId="77777777" w:rsidR="00D422F8" w:rsidRPr="00F92D72" w:rsidRDefault="00D422F8" w:rsidP="00D422F8">
      <w:pPr>
        <w:spacing w:before="120" w:after="120"/>
        <w:ind w:left="709" w:right="709"/>
        <w:contextualSpacing/>
        <w:jc w:val="both"/>
        <w:rPr>
          <w:rFonts w:ascii="Verdana" w:hAnsi="Verdana"/>
          <w:i/>
          <w:iCs/>
          <w:color w:val="4472C4" w:themeColor="accent1"/>
          <w:sz w:val="20"/>
          <w:szCs w:val="20"/>
          <w:lang w:val="es-ES"/>
        </w:rPr>
      </w:pPr>
    </w:p>
    <w:p w14:paraId="2B636D00" w14:textId="77777777" w:rsidR="00D422F8" w:rsidRPr="00386752" w:rsidRDefault="00D422F8" w:rsidP="00D422F8">
      <w:pPr>
        <w:spacing w:before="120" w:after="120"/>
        <w:ind w:left="709" w:right="709"/>
        <w:contextualSpacing/>
        <w:jc w:val="both"/>
        <w:rPr>
          <w:rFonts w:ascii="Verdana" w:hAnsi="Verdana"/>
          <w:i/>
          <w:iCs/>
          <w:sz w:val="20"/>
          <w:szCs w:val="20"/>
          <w:lang w:val="es-ES"/>
        </w:rPr>
      </w:pPr>
      <w:r w:rsidRPr="00386752">
        <w:rPr>
          <w:rFonts w:ascii="Verdana" w:hAnsi="Verdana"/>
          <w:i/>
          <w:iCs/>
          <w:sz w:val="20"/>
          <w:szCs w:val="20"/>
          <w:lang w:val="es-ES"/>
        </w:rPr>
        <w:lastRenderedPageBreak/>
        <w:t>En particular, se solicita a Colombia Compra Eficiente emitir concepto sobre la viabilidad jurídica de celebrar, durante la vigencia de la Ley de Garantías Electorales, un convenio interadministrativo entre el Municipio de Pradera y una entidad pública del orden nacional (ESAP o DAFP), cuyo objeto consiste en brindar acompañamiento técnico y metodológico para el rediseño institucional del municipio, sin que exista transferencia de recursos ni afectación presupuestal alguna por parte del ente territorial.</w:t>
      </w:r>
    </w:p>
    <w:p w14:paraId="20595492" w14:textId="77777777" w:rsidR="00D422F8" w:rsidRPr="00F92D72" w:rsidRDefault="00D422F8" w:rsidP="00D422F8">
      <w:pPr>
        <w:spacing w:before="120" w:after="120"/>
        <w:ind w:left="709" w:right="709"/>
        <w:contextualSpacing/>
        <w:jc w:val="both"/>
        <w:rPr>
          <w:rFonts w:ascii="Verdana" w:hAnsi="Verdana"/>
          <w:i/>
          <w:iCs/>
          <w:color w:val="4472C4" w:themeColor="accent1"/>
          <w:sz w:val="20"/>
          <w:szCs w:val="20"/>
          <w:lang w:val="es-ES"/>
        </w:rPr>
      </w:pPr>
    </w:p>
    <w:p w14:paraId="1E0E2807" w14:textId="77777777" w:rsidR="00D422F8" w:rsidRPr="004668F2" w:rsidRDefault="00D422F8" w:rsidP="006E58C5">
      <w:pPr>
        <w:spacing w:after="0"/>
        <w:ind w:left="709" w:right="709"/>
        <w:contextualSpacing/>
        <w:jc w:val="both"/>
        <w:rPr>
          <w:rFonts w:ascii="Verdana" w:hAnsi="Verdana"/>
          <w:i/>
          <w:iCs/>
          <w:sz w:val="20"/>
          <w:szCs w:val="20"/>
          <w:lang w:val="es-ES"/>
        </w:rPr>
      </w:pPr>
      <w:r w:rsidRPr="004668F2">
        <w:rPr>
          <w:rFonts w:ascii="Verdana" w:hAnsi="Verdana"/>
          <w:i/>
          <w:iCs/>
          <w:sz w:val="20"/>
          <w:szCs w:val="20"/>
          <w:lang w:val="es-ES"/>
        </w:rPr>
        <w:t>El Municipio requiere establecer si, bajo las condiciones señaladas, la suscripción de dicho convenio se encuentra exceptuada de las restricciones previstas en el artículo 38 de la Ley 996 de 2005, en concordancia con el parágrafo del mismo artículo, que permite la suscripción de convenios con entidades públicas para el desarrollo de funciones administrativas.</w:t>
      </w:r>
    </w:p>
    <w:p w14:paraId="202256DB" w14:textId="77777777" w:rsidR="00D422F8" w:rsidRPr="004668F2" w:rsidRDefault="00D422F8" w:rsidP="00D422F8">
      <w:pPr>
        <w:spacing w:before="120" w:after="120"/>
        <w:ind w:left="709" w:right="709"/>
        <w:contextualSpacing/>
        <w:jc w:val="both"/>
        <w:rPr>
          <w:rFonts w:ascii="Verdana" w:hAnsi="Verdana"/>
          <w:i/>
          <w:iCs/>
          <w:sz w:val="20"/>
          <w:szCs w:val="20"/>
          <w:lang w:val="es-ES"/>
        </w:rPr>
      </w:pPr>
    </w:p>
    <w:p w14:paraId="606ADFE1" w14:textId="77777777" w:rsidR="00D422F8" w:rsidRPr="004668F2" w:rsidRDefault="00D422F8" w:rsidP="00D422F8">
      <w:pPr>
        <w:spacing w:before="120" w:after="120"/>
        <w:ind w:left="709" w:right="709"/>
        <w:contextualSpacing/>
        <w:jc w:val="both"/>
        <w:rPr>
          <w:rFonts w:ascii="Verdana" w:hAnsi="Verdana"/>
          <w:i/>
          <w:iCs/>
          <w:sz w:val="20"/>
          <w:szCs w:val="20"/>
          <w:lang w:val="es-ES"/>
        </w:rPr>
      </w:pPr>
      <w:r w:rsidRPr="004668F2">
        <w:rPr>
          <w:rFonts w:ascii="Verdana" w:hAnsi="Verdana"/>
          <w:i/>
          <w:iCs/>
          <w:sz w:val="20"/>
          <w:szCs w:val="20"/>
        </w:rPr>
        <w:t>Agradecemos que la respuesta sea emitida con fuerza vinculante, en atención a la competencia que le asiste a esa entidad como órgano rector del Sistema de Compras y Contratación Pública, de conformidad con el artículo 3 del Decreto 4170 de 2011.</w:t>
      </w:r>
      <w:r w:rsidRPr="004668F2">
        <w:rPr>
          <w:rFonts w:ascii="Verdana" w:hAnsi="Verdana"/>
          <w:i/>
          <w:iCs/>
          <w:sz w:val="20"/>
          <w:szCs w:val="20"/>
          <w:lang w:val="es-ES"/>
        </w:rPr>
        <w:t>”.</w:t>
      </w:r>
    </w:p>
    <w:p w14:paraId="7F1BB026" w14:textId="77777777" w:rsidR="00D422F8" w:rsidRPr="00B67A94" w:rsidRDefault="00D422F8" w:rsidP="00FD5254">
      <w:pPr>
        <w:spacing w:after="0" w:line="276" w:lineRule="auto"/>
        <w:ind w:right="709"/>
        <w:jc w:val="both"/>
        <w:rPr>
          <w:rFonts w:ascii="Verdana" w:eastAsia="Calibri" w:hAnsi="Verdana" w:cs="Arial"/>
          <w:color w:val="4472C4" w:themeColor="accent1"/>
          <w:lang w:val="es-ES"/>
        </w:rPr>
      </w:pPr>
    </w:p>
    <w:p w14:paraId="644193D8" w14:textId="77777777" w:rsidR="00D422F8" w:rsidRPr="00B67A94" w:rsidRDefault="00D422F8" w:rsidP="00CF4676">
      <w:pPr>
        <w:spacing w:after="120" w:line="276" w:lineRule="auto"/>
        <w:ind w:firstLine="708"/>
        <w:jc w:val="both"/>
        <w:rPr>
          <w:rFonts w:ascii="Verdana" w:eastAsia="Calibri" w:hAnsi="Verdana" w:cs="Arial"/>
          <w:color w:val="4472C4" w:themeColor="accent1"/>
          <w:lang w:val="es-ES" w:eastAsia="es-ES"/>
        </w:rPr>
      </w:pPr>
      <w:r w:rsidRPr="0042512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lang w:val="es-ES" w:eastAsia="es-ES"/>
        </w:rPr>
        <w:t xml:space="preserve"> </w:t>
      </w:r>
      <w:r w:rsidRPr="00B67A94">
        <w:rPr>
          <w:color w:val="4472C4" w:themeColor="accent1"/>
          <w:lang w:val="es-ES"/>
        </w:rPr>
        <w:tab/>
      </w:r>
    </w:p>
    <w:p w14:paraId="42D1B0FE" w14:textId="41162EE3" w:rsidR="00D422F8" w:rsidRPr="00201503" w:rsidRDefault="00D422F8">
      <w:pPr>
        <w:spacing w:after="0" w:line="276" w:lineRule="auto"/>
        <w:ind w:firstLine="709"/>
        <w:jc w:val="both"/>
        <w:rPr>
          <w:rFonts w:ascii="Verdana" w:eastAsia="Calibri" w:hAnsi="Verdana" w:cs="Arial"/>
          <w:lang w:val="es-ES" w:eastAsia="es-ES"/>
        </w:rPr>
      </w:pPr>
      <w:r w:rsidRPr="0020150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D6565E">
        <w:rPr>
          <w:rFonts w:ascii="Verdana" w:eastAsia="Calibri" w:hAnsi="Verdana" w:cs="Arial"/>
          <w:lang w:val="es-ES" w:eastAsia="es-ES"/>
        </w:rPr>
        <w:t>señala</w:t>
      </w:r>
      <w:r w:rsidR="00D6565E" w:rsidRPr="00201503">
        <w:rPr>
          <w:rFonts w:ascii="Verdana" w:eastAsia="Calibri" w:hAnsi="Verdana" w:cs="Arial"/>
          <w:lang w:val="es-ES" w:eastAsia="es-ES"/>
        </w:rPr>
        <w:t xml:space="preserve">ndo </w:t>
      </w:r>
      <w:r w:rsidR="00D6565E">
        <w:rPr>
          <w:rFonts w:ascii="Verdana" w:eastAsia="Calibri" w:hAnsi="Verdana" w:cs="Arial"/>
          <w:lang w:val="es-ES" w:eastAsia="es-ES"/>
        </w:rPr>
        <w:t>alg</w:t>
      </w:r>
      <w:r w:rsidRPr="00201503">
        <w:rPr>
          <w:rFonts w:ascii="Verdana" w:eastAsia="Calibri" w:hAnsi="Verdana" w:cs="Arial"/>
          <w:lang w:val="es-ES" w:eastAsia="es-ES"/>
        </w:rPr>
        <w:t xml:space="preserve">unas consideraciones sobre las normas generales relacionadas con el problema jurídico de su consulta. </w:t>
      </w:r>
    </w:p>
    <w:p w14:paraId="017FCCDB" w14:textId="77777777" w:rsidR="00D422F8" w:rsidRPr="00B67A94" w:rsidRDefault="00D422F8">
      <w:pPr>
        <w:spacing w:after="0" w:line="276" w:lineRule="auto"/>
        <w:ind w:firstLine="709"/>
        <w:jc w:val="both"/>
        <w:rPr>
          <w:rFonts w:ascii="Verdana" w:eastAsia="Calibri" w:hAnsi="Verdana" w:cs="Arial"/>
          <w:color w:val="4472C4" w:themeColor="accent1"/>
          <w:lang w:val="es-ES" w:eastAsia="es-ES"/>
        </w:rPr>
      </w:pPr>
    </w:p>
    <w:p w14:paraId="1EE2931A" w14:textId="77777777" w:rsidR="00D422F8" w:rsidRPr="008C14BF" w:rsidRDefault="00D422F8" w:rsidP="006E58C5">
      <w:pPr>
        <w:tabs>
          <w:tab w:val="left" w:pos="142"/>
          <w:tab w:val="left" w:pos="284"/>
        </w:tabs>
        <w:spacing w:after="0" w:line="276" w:lineRule="auto"/>
        <w:jc w:val="both"/>
        <w:rPr>
          <w:rFonts w:ascii="Verdana" w:eastAsia="Century Gothic" w:hAnsi="Verdana" w:cs="Century Gothic"/>
          <w:b/>
          <w:lang w:val="es-ES"/>
        </w:rPr>
      </w:pPr>
      <w:r w:rsidRPr="008C14BF">
        <w:rPr>
          <w:rFonts w:ascii="Verdana" w:eastAsia="Century Gothic" w:hAnsi="Verdana" w:cs="Century Gothic"/>
          <w:b/>
          <w:lang w:val="es-ES"/>
        </w:rPr>
        <w:t>1. Problema planteado:</w:t>
      </w:r>
    </w:p>
    <w:p w14:paraId="7531FFFF" w14:textId="77777777" w:rsidR="00D422F8" w:rsidRPr="008C14BF" w:rsidRDefault="00D422F8" w:rsidP="00884678">
      <w:pPr>
        <w:tabs>
          <w:tab w:val="left" w:pos="426"/>
        </w:tabs>
        <w:spacing w:after="0" w:line="276" w:lineRule="auto"/>
        <w:jc w:val="both"/>
        <w:rPr>
          <w:rFonts w:ascii="Verdana" w:eastAsia="Century Gothic" w:hAnsi="Verdana" w:cs="Century Gothic"/>
          <w:lang w:val="es-ES"/>
        </w:rPr>
      </w:pPr>
    </w:p>
    <w:p w14:paraId="1A36BDC8" w14:textId="77777777" w:rsidR="00D422F8" w:rsidRDefault="00D422F8" w:rsidP="00CF4676">
      <w:pPr>
        <w:spacing w:after="0" w:line="276" w:lineRule="auto"/>
        <w:jc w:val="both"/>
        <w:rPr>
          <w:rFonts w:ascii="Verdana" w:eastAsia="Century Gothic" w:hAnsi="Verdana" w:cs="Century Gothic"/>
          <w:color w:val="4472C4" w:themeColor="accent1"/>
        </w:rPr>
      </w:pPr>
      <w:r w:rsidRPr="008C14BF">
        <w:rPr>
          <w:rFonts w:ascii="Verdana" w:eastAsia="Century Gothic" w:hAnsi="Verdana" w:cs="Century Gothic"/>
          <w:lang w:val="es-ES"/>
        </w:rPr>
        <w:t xml:space="preserve">De acuerdo con el contenido de su solicitud, esta Agencia resolverá el siguiente problema jurídico: </w:t>
      </w:r>
      <w:r w:rsidRPr="006C2A28">
        <w:rPr>
          <w:rFonts w:ascii="Verdana" w:eastAsia="Century Gothic" w:hAnsi="Verdana" w:cs="Century Gothic"/>
        </w:rPr>
        <w:t>¿Es jurídicamente viable celebrar, durante la vigencia de la Ley de Garantías Electorales, un convenio interadministrativo entre un municipio y una entidad del Orden Nacional cuando no existe transferencia de recursos?</w:t>
      </w:r>
    </w:p>
    <w:p w14:paraId="411B5F53" w14:textId="77777777" w:rsidR="00D422F8" w:rsidRPr="00201503" w:rsidRDefault="00D422F8">
      <w:pPr>
        <w:spacing w:after="0" w:line="276" w:lineRule="auto"/>
        <w:jc w:val="both"/>
        <w:rPr>
          <w:rFonts w:ascii="Verdana" w:eastAsia="Calibri" w:hAnsi="Verdana" w:cs="Arial"/>
          <w:lang w:val="es-ES"/>
        </w:rPr>
      </w:pPr>
    </w:p>
    <w:p w14:paraId="5224B96F" w14:textId="77777777" w:rsidR="00D422F8" w:rsidRPr="00201503" w:rsidRDefault="00D422F8">
      <w:pPr>
        <w:tabs>
          <w:tab w:val="left" w:pos="142"/>
          <w:tab w:val="left" w:pos="284"/>
        </w:tabs>
        <w:spacing w:after="0" w:line="276" w:lineRule="auto"/>
        <w:jc w:val="both"/>
        <w:rPr>
          <w:rFonts w:ascii="Verdana" w:eastAsia="Century Gothic" w:hAnsi="Verdana" w:cs="Century Gothic"/>
          <w:b/>
          <w:lang w:val="es-ES"/>
        </w:rPr>
      </w:pPr>
      <w:r w:rsidRPr="00201503">
        <w:rPr>
          <w:rFonts w:ascii="Verdana" w:eastAsia="Century Gothic" w:hAnsi="Verdana" w:cs="Century Gothic"/>
          <w:b/>
          <w:lang w:val="es-ES"/>
        </w:rPr>
        <w:t>2. Respuesta:</w:t>
      </w:r>
    </w:p>
    <w:p w14:paraId="65EABFB3" w14:textId="77777777" w:rsidR="00D422F8" w:rsidRPr="00B67A94" w:rsidRDefault="00D422F8">
      <w:pPr>
        <w:tabs>
          <w:tab w:val="left" w:pos="142"/>
          <w:tab w:val="left" w:pos="284"/>
        </w:tabs>
        <w:spacing w:after="0" w:line="276" w:lineRule="auto"/>
        <w:jc w:val="both"/>
        <w:rPr>
          <w:rFonts w:ascii="Verdana" w:eastAsia="Century Gothic" w:hAnsi="Verdana" w:cs="Century Gothic"/>
          <w:b/>
          <w:bCs/>
          <w:color w:val="4472C4" w:themeColor="accen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22F8" w:rsidRPr="00B67A94" w14:paraId="5A616E3F" w14:textId="77777777" w:rsidTr="00A723C1">
        <w:tc>
          <w:tcPr>
            <w:tcW w:w="8828" w:type="dxa"/>
          </w:tcPr>
          <w:p w14:paraId="79C910D6" w14:textId="77777777" w:rsidR="00D422F8" w:rsidRPr="00043B7D" w:rsidRDefault="00D422F8" w:rsidP="00A723C1">
            <w:pPr>
              <w:spacing w:before="120" w:after="120" w:line="276" w:lineRule="auto"/>
              <w:jc w:val="both"/>
              <w:rPr>
                <w:rFonts w:ascii="Verdana" w:eastAsia="Calibri" w:hAnsi="Verdana" w:cs="Arial"/>
                <w:color w:val="000000" w:themeColor="text1"/>
                <w:lang w:val="es-ES"/>
              </w:rPr>
            </w:pPr>
            <w:r w:rsidRPr="00043B7D">
              <w:rPr>
                <w:rFonts w:ascii="Verdana" w:eastAsia="Calibri" w:hAnsi="Verdana" w:cs="Arial"/>
                <w:color w:val="000000" w:themeColor="text1"/>
                <w:lang w:val="es-ES"/>
              </w:rPr>
              <w:t>A partir del análisis de las normas generales del sistema de compras y contratación pública, sin desconocer que cada entidad debe verificar la viabilidad técnica, jurídica y financiera de los contratos que se pretendan celebrar, puede sostenerse que la Ley 996 de 2005 establece modalidades de restricciones en materia de contratación</w:t>
            </w:r>
            <w:r>
              <w:rPr>
                <w:rFonts w:ascii="Verdana" w:eastAsia="Calibri" w:hAnsi="Verdana" w:cs="Arial"/>
                <w:color w:val="000000" w:themeColor="text1"/>
                <w:lang w:val="es-ES"/>
              </w:rPr>
              <w:t>.</w:t>
            </w:r>
          </w:p>
          <w:p w14:paraId="3197E7A4" w14:textId="2D98A5B2" w:rsidR="00D422F8" w:rsidRPr="00BB3BA3" w:rsidRDefault="00D422F8" w:rsidP="006E58C5">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En primer lugar, e</w:t>
            </w:r>
            <w:r w:rsidRPr="00BB3BA3">
              <w:rPr>
                <w:rFonts w:ascii="Verdana" w:eastAsia="Calibri" w:hAnsi="Verdana" w:cs="Arial"/>
                <w:color w:val="000000" w:themeColor="text1"/>
                <w:lang w:val="es-ES"/>
              </w:rPr>
              <w:t xml:space="preserve">l </w:t>
            </w:r>
            <w:r w:rsidRPr="00BB3BA3">
              <w:rPr>
                <w:rFonts w:ascii="Verdana" w:eastAsia="Calibri" w:hAnsi="Verdana" w:cs="Arial"/>
                <w:i/>
                <w:iCs/>
                <w:color w:val="000000" w:themeColor="text1"/>
                <w:lang w:val="es-ES"/>
              </w:rPr>
              <w:t>artículo 33</w:t>
            </w:r>
            <w:r w:rsidRPr="00BB3BA3">
              <w:rPr>
                <w:rFonts w:ascii="Verdana" w:eastAsia="Calibri" w:hAnsi="Verdana" w:cs="Arial"/>
                <w:color w:val="000000" w:themeColor="text1"/>
                <w:lang w:val="es-ES"/>
              </w:rPr>
              <w:t xml:space="preserve">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3271BF">
              <w:rPr>
                <w:rFonts w:ascii="Verdana" w:eastAsia="Calibri" w:hAnsi="Verdana" w:cs="Arial"/>
                <w:color w:val="000000" w:themeColor="text1"/>
                <w:lang w:val="es-ES"/>
              </w:rPr>
              <w:t>”</w:t>
            </w:r>
            <w:r w:rsidRPr="00BB3BA3">
              <w:rPr>
                <w:rFonts w:ascii="Verdana" w:eastAsia="Calibri" w:hAnsi="Verdana" w:cs="Arial"/>
                <w:color w:val="000000" w:themeColor="text1"/>
                <w:lang w:val="es-ES"/>
              </w:rPr>
              <w:t>.</w:t>
            </w:r>
          </w:p>
          <w:p w14:paraId="2B9E48D5" w14:textId="77777777" w:rsidR="00D422F8" w:rsidRPr="005966A0" w:rsidRDefault="00D422F8" w:rsidP="006E58C5">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50125A">
              <w:rPr>
                <w:rFonts w:ascii="Verdana" w:eastAsia="Calibri" w:hAnsi="Verdana" w:cs="Arial"/>
                <w:color w:val="000000" w:themeColor="text1"/>
                <w:lang w:val="es-ES"/>
              </w:rPr>
              <w:t xml:space="preserve">Por otro lado, </w:t>
            </w:r>
            <w:r w:rsidRPr="0050125A">
              <w:rPr>
                <w:rFonts w:ascii="Verdana" w:eastAsia="Calibri" w:hAnsi="Verdana" w:cs="Arial"/>
                <w:i/>
                <w:iCs/>
                <w:color w:val="000000" w:themeColor="text1"/>
                <w:lang w:val="es-ES"/>
              </w:rPr>
              <w:t xml:space="preserve">el parágrafo del artículo 38 </w:t>
            </w:r>
            <w:r w:rsidRPr="0050125A">
              <w:rPr>
                <w:rFonts w:ascii="Verdana" w:eastAsia="Calibri" w:hAnsi="Verdana" w:cs="Arial"/>
                <w:color w:val="000000" w:themeColor="text1"/>
                <w:lang w:val="es-ES"/>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w:t>
            </w:r>
            <w:r w:rsidRPr="000B2A18">
              <w:rPr>
                <w:rFonts w:ascii="Verdana" w:eastAsia="Calibri" w:hAnsi="Verdana" w:cs="Arial"/>
                <w:color w:val="000000" w:themeColor="text1"/>
                <w:lang w:val="es-ES"/>
              </w:rPr>
              <w:t>para reuniones de carácter proselitista”.</w:t>
            </w:r>
            <w:r w:rsidRPr="000B2A18">
              <w:rPr>
                <w:rFonts w:ascii="Verdana" w:eastAsia="Arial" w:hAnsi="Verdana" w:cs="Arial"/>
                <w:color w:val="000000" w:themeColor="text1"/>
                <w:lang w:val="es-ES" w:eastAsia="es-ES" w:bidi="es-ES"/>
              </w:rPr>
              <w:t xml:space="preserve"> </w:t>
            </w:r>
            <w:r w:rsidRPr="005966A0">
              <w:rPr>
                <w:rFonts w:ascii="Verdana" w:eastAsia="Times New Roman" w:hAnsi="Verdana" w:cs="Arial"/>
                <w:bCs/>
                <w:lang w:val="es-ES" w:eastAsia="es-CO"/>
              </w:rPr>
              <w:t xml:space="preserve">Es importante precisar que, la figura del convenio interadministrativo </w:t>
            </w:r>
            <w:r w:rsidRPr="005966A0">
              <w:rPr>
                <w:rFonts w:ascii="Verdana" w:eastAsia="Times New Roman" w:hAnsi="Verdana" w:cs="Arial"/>
                <w:bCs/>
                <w:lang w:eastAsia="es-CO"/>
              </w:rPr>
              <w:t xml:space="preserve">se fundamenta en un criterio orgánico, por lo que, es imperativo que los extremos de la relación contractual sean entidades públicas. Su definición no está supeditada a la modalidad de selección utilizada </w:t>
            </w:r>
            <w:r w:rsidRPr="005966A0">
              <w:rPr>
                <w:rFonts w:ascii="Verdana" w:eastAsia="Times New Roman" w:hAnsi="Verdana" w:cs="Arial"/>
                <w:bCs/>
                <w:lang w:eastAsia="es-CO"/>
              </w:rPr>
              <w:lastRenderedPageBreak/>
              <w:t>para celebrarlo, sino exclusivamente a la calidad pública de las partes intervinientes.</w:t>
            </w:r>
          </w:p>
          <w:p w14:paraId="725CED71" w14:textId="77777777" w:rsidR="00D422F8" w:rsidRDefault="00D422F8" w:rsidP="00A723C1">
            <w:pPr>
              <w:spacing w:before="120" w:after="120" w:line="276" w:lineRule="auto"/>
              <w:ind w:firstLine="708"/>
              <w:jc w:val="both"/>
              <w:rPr>
                <w:rFonts w:ascii="Verdana" w:eastAsia="Times New Roman" w:hAnsi="Verdana" w:cs="Arial"/>
                <w:lang w:eastAsia="es-CO"/>
              </w:rPr>
            </w:pPr>
            <w:r w:rsidRPr="00546D69">
              <w:rPr>
                <w:rFonts w:ascii="Verdana" w:eastAsia="Times New Roman" w:hAnsi="Verdana" w:cs="Arial"/>
                <w:bCs/>
                <w:lang w:val="es-ES" w:eastAsia="es-CO"/>
              </w:rPr>
              <w:t xml:space="preserve">Ahora bien, </w:t>
            </w:r>
            <w:r>
              <w:rPr>
                <w:rFonts w:ascii="Verdana" w:eastAsia="Times New Roman" w:hAnsi="Verdana" w:cs="Arial"/>
                <w:bCs/>
                <w:lang w:val="es-ES" w:eastAsia="es-CO"/>
              </w:rPr>
              <w:t>p</w:t>
            </w:r>
            <w:r w:rsidRPr="00546D69">
              <w:rPr>
                <w:rFonts w:ascii="Verdana" w:eastAsia="Times New Roman" w:hAnsi="Verdana" w:cs="Arial"/>
                <w:bCs/>
                <w:lang w:eastAsia="es-CO"/>
              </w:rPr>
              <w:t>ara responder al problema jurídico planteado, es indispensable determinar el alcance de la prohibición establecida en el parágrafo del artículo 38 de la Ley 996 de 2025</w:t>
            </w:r>
            <w:r>
              <w:rPr>
                <w:rFonts w:ascii="Verdana" w:eastAsia="Times New Roman" w:hAnsi="Verdana" w:cs="Arial"/>
                <w:bCs/>
                <w:lang w:eastAsia="es-CO"/>
              </w:rPr>
              <w:t>.</w:t>
            </w:r>
            <w:r>
              <w:rPr>
                <w:rFonts w:ascii="Verdana" w:hAnsi="Verdana" w:cs="Arial"/>
                <w:lang w:val="es-ES_tradnl"/>
              </w:rPr>
              <w:t xml:space="preserve"> La Circular Externa No. 006 de 2025 expedida por la ANCP-CCE, en sus literales </w:t>
            </w:r>
            <w:proofErr w:type="spellStart"/>
            <w:r>
              <w:rPr>
                <w:rFonts w:ascii="Verdana" w:hAnsi="Verdana" w:cs="Arial"/>
                <w:lang w:val="es-ES_tradnl"/>
              </w:rPr>
              <w:t>ii</w:t>
            </w:r>
            <w:proofErr w:type="spellEnd"/>
            <w:r>
              <w:rPr>
                <w:rFonts w:ascii="Verdana" w:hAnsi="Verdana" w:cs="Arial"/>
                <w:lang w:val="es-ES_tradnl"/>
              </w:rPr>
              <w:t xml:space="preserve">) y </w:t>
            </w:r>
            <w:proofErr w:type="spellStart"/>
            <w:r>
              <w:rPr>
                <w:rFonts w:ascii="Verdana" w:hAnsi="Verdana" w:cs="Arial"/>
                <w:lang w:val="es-ES_tradnl"/>
              </w:rPr>
              <w:t>iv</w:t>
            </w:r>
            <w:proofErr w:type="spellEnd"/>
            <w:r>
              <w:rPr>
                <w:rFonts w:ascii="Verdana" w:hAnsi="Verdana" w:cs="Arial"/>
                <w:lang w:val="es-ES_tradnl"/>
              </w:rPr>
              <w:t xml:space="preserve">) del numeral 2, indica que el parágrafo del artículo 38 de la Ley 996 de 2005 cobija expresamente a los </w:t>
            </w:r>
            <w:r>
              <w:rPr>
                <w:rFonts w:ascii="Verdana" w:hAnsi="Verdana" w:cs="Arial"/>
                <w:i/>
                <w:iCs/>
                <w:lang w:val="es-ES_tradnl"/>
              </w:rPr>
              <w:t xml:space="preserve">convenios interadministrativos </w:t>
            </w:r>
            <w:r>
              <w:rPr>
                <w:rFonts w:ascii="Verdana" w:hAnsi="Verdana" w:cs="Arial"/>
                <w:lang w:val="es-ES_tradnl"/>
              </w:rPr>
              <w:t xml:space="preserve">en los que se contemple la ejecución de recursos públicos. Además, precisa que el parágrafo referido no estableció ningún supuesto que exceptúe la aplicación de dicha prohibición, por lo que, la restricción referida a la celebración de </w:t>
            </w:r>
            <w:r>
              <w:rPr>
                <w:rFonts w:ascii="Verdana" w:hAnsi="Verdana" w:cs="Arial"/>
                <w:i/>
                <w:iCs/>
                <w:lang w:val="es-ES_tradnl"/>
              </w:rPr>
              <w:t xml:space="preserve">convenios interadministrativos </w:t>
            </w:r>
            <w:r>
              <w:rPr>
                <w:rFonts w:ascii="Verdana" w:hAnsi="Verdana" w:cs="Arial"/>
                <w:lang w:val="es-ES_tradnl"/>
              </w:rPr>
              <w:t xml:space="preserve">aplicará a los sujetos allí celebrados </w:t>
            </w:r>
            <w:r w:rsidRPr="00667CD6">
              <w:rPr>
                <w:rFonts w:ascii="Verdana" w:eastAsia="Times New Roman" w:hAnsi="Verdana" w:cs="Arial"/>
                <w:i/>
                <w:iCs/>
                <w:lang w:eastAsia="es-CO"/>
              </w:rPr>
              <w:t>“aunque se configure alguno de los supuestos de excepción que señaló el inciso final del artículo 33</w:t>
            </w:r>
            <w:r>
              <w:rPr>
                <w:rFonts w:ascii="Verdana" w:eastAsia="Times New Roman" w:hAnsi="Verdana" w:cs="Arial"/>
                <w:i/>
                <w:iCs/>
                <w:lang w:eastAsia="es-CO"/>
              </w:rPr>
              <w:t>.</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720DEEA0" w14:textId="77777777" w:rsidR="00D422F8" w:rsidRDefault="00D422F8" w:rsidP="00A723C1">
            <w:pPr>
              <w:spacing w:after="120" w:line="276" w:lineRule="auto"/>
              <w:ind w:firstLine="709"/>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B886398" w14:textId="77777777" w:rsidR="00D422F8" w:rsidRPr="00B67A94" w:rsidRDefault="00D422F8" w:rsidP="006E58C5">
            <w:pPr>
              <w:spacing w:line="276" w:lineRule="auto"/>
              <w:ind w:firstLine="708"/>
              <w:jc w:val="both"/>
              <w:rPr>
                <w:rFonts w:ascii="Verdana" w:eastAsia="Times New Roman" w:hAnsi="Verdana" w:cs="Arial"/>
                <w:bCs/>
                <w:color w:val="4472C4" w:themeColor="accent1"/>
                <w:lang w:val="es-ES" w:eastAsia="es-CO"/>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66CF5148" w14:textId="77777777" w:rsidR="00D422F8" w:rsidRPr="00B67A94" w:rsidRDefault="00D422F8" w:rsidP="00D422F8">
      <w:pPr>
        <w:tabs>
          <w:tab w:val="left" w:pos="142"/>
          <w:tab w:val="left" w:pos="284"/>
        </w:tabs>
        <w:spacing w:after="0" w:line="276" w:lineRule="auto"/>
        <w:jc w:val="both"/>
        <w:rPr>
          <w:rFonts w:ascii="Verdana" w:eastAsia="Century Gothic" w:hAnsi="Verdana" w:cs="Century Gothic"/>
          <w:b/>
          <w:bCs/>
          <w:color w:val="4472C4" w:themeColor="accent1"/>
          <w:lang w:val="es-ES"/>
        </w:rPr>
      </w:pPr>
    </w:p>
    <w:p w14:paraId="3A6E34A9" w14:textId="77777777" w:rsidR="00D422F8" w:rsidRPr="000D5040" w:rsidRDefault="00D422F8" w:rsidP="00D422F8">
      <w:pPr>
        <w:tabs>
          <w:tab w:val="left" w:pos="142"/>
          <w:tab w:val="left" w:pos="284"/>
        </w:tabs>
        <w:spacing w:after="0" w:line="276" w:lineRule="auto"/>
        <w:jc w:val="both"/>
        <w:rPr>
          <w:rFonts w:ascii="Verdana" w:eastAsia="Century Gothic" w:hAnsi="Verdana" w:cs="Century Gothic"/>
          <w:b/>
          <w:lang w:val="es-ES"/>
        </w:rPr>
      </w:pPr>
      <w:r w:rsidRPr="000D5040">
        <w:rPr>
          <w:rFonts w:ascii="Verdana" w:eastAsia="Century Gothic" w:hAnsi="Verdana" w:cs="Century Gothic"/>
          <w:b/>
          <w:lang w:val="es-ES"/>
        </w:rPr>
        <w:t>3. Razones de la respuesta:</w:t>
      </w:r>
    </w:p>
    <w:p w14:paraId="30E71AC0" w14:textId="77777777" w:rsidR="00D422F8" w:rsidRPr="00B67A94" w:rsidRDefault="00D422F8" w:rsidP="00D422F8">
      <w:pPr>
        <w:spacing w:after="0" w:line="276" w:lineRule="auto"/>
        <w:jc w:val="both"/>
        <w:rPr>
          <w:rFonts w:ascii="Verdana" w:eastAsia="Calibri" w:hAnsi="Verdana" w:cs="Arial"/>
          <w:color w:val="4472C4" w:themeColor="accent1"/>
          <w:lang w:val="es-ES"/>
        </w:rPr>
      </w:pPr>
    </w:p>
    <w:p w14:paraId="2CFA0C0C" w14:textId="77777777" w:rsidR="00D422F8" w:rsidRPr="00860425" w:rsidRDefault="00D422F8" w:rsidP="00D422F8">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860425">
        <w:rPr>
          <w:rFonts w:ascii="Verdana" w:eastAsia="Calibri" w:hAnsi="Verdana" w:cs="Arial"/>
          <w:lang w:val="es-ES"/>
        </w:rPr>
        <w:lastRenderedPageBreak/>
        <w:t>i)</w:t>
      </w:r>
      <w:r w:rsidRPr="00860425">
        <w:rPr>
          <w:rFonts w:ascii="Verdana" w:eastAsia="Verdana" w:hAnsi="Verdana" w:cs="Verdana"/>
          <w:lang w:val="es-ES"/>
        </w:rPr>
        <w:t xml:space="preserve"> </w:t>
      </w:r>
      <w:r w:rsidRPr="00860425">
        <w:rPr>
          <w:rFonts w:ascii="Verdana" w:eastAsia="Calibri" w:hAnsi="Verdana" w:cs="Arial"/>
          <w:lang w:val="es-ES"/>
        </w:rPr>
        <w:t>El ordenamiento jurídico colombiano contempla medidas para evitar la obtención de beneficios personales en asuntos propios de la administración pública</w:t>
      </w:r>
      <w:r w:rsidRPr="00860425">
        <w:rPr>
          <w:rFonts w:ascii="Verdana" w:eastAsia="Calibri" w:hAnsi="Verdana" w:cs="Arial"/>
          <w:i/>
          <w:lang w:val="es-ES"/>
        </w:rPr>
        <w:t xml:space="preserve">. </w:t>
      </w:r>
      <w:r w:rsidRPr="00860425">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860425">
        <w:rPr>
          <w:rFonts w:ascii="Verdana" w:hAnsi="Verdana"/>
          <w:vertAlign w:val="superscript"/>
          <w:lang w:val="es-ES"/>
        </w:rPr>
        <w:footnoteReference w:id="1"/>
      </w:r>
      <w:r w:rsidRPr="00860425">
        <w:rPr>
          <w:rFonts w:ascii="Verdana" w:eastAsia="Calibri" w:hAnsi="Verdana" w:cs="Arial"/>
          <w:lang w:val="es-ES"/>
        </w:rPr>
        <w:t xml:space="preserve">. </w:t>
      </w:r>
    </w:p>
    <w:p w14:paraId="0FACE91A" w14:textId="77777777" w:rsidR="00D422F8" w:rsidRPr="00503019" w:rsidRDefault="00D422F8" w:rsidP="00D422F8">
      <w:pPr>
        <w:tabs>
          <w:tab w:val="left" w:pos="426"/>
        </w:tabs>
        <w:spacing w:after="120" w:line="276" w:lineRule="auto"/>
        <w:ind w:firstLine="709"/>
        <w:jc w:val="both"/>
        <w:rPr>
          <w:rFonts w:ascii="Verdana" w:eastAsia="Calibri" w:hAnsi="Verdana" w:cs="Arial"/>
          <w:lang w:val="es-ES"/>
        </w:rPr>
      </w:pPr>
      <w:r w:rsidRPr="00503019">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03019">
        <w:rPr>
          <w:rFonts w:ascii="Verdana" w:eastAsia="Times New Roman" w:hAnsi="Verdana" w:cs="Arial"/>
          <w:vertAlign w:val="superscript"/>
          <w:lang w:val="es-ES" w:eastAsia="es-CO"/>
        </w:rPr>
        <w:footnoteReference w:id="2"/>
      </w:r>
      <w:r w:rsidRPr="00503019">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03019">
        <w:rPr>
          <w:rFonts w:ascii="Verdana" w:eastAsia="Calibri" w:hAnsi="Verdana" w:cs="Arial"/>
          <w:lang w:val="es-ES"/>
        </w:rPr>
        <w:t xml:space="preserve"> </w:t>
      </w:r>
    </w:p>
    <w:p w14:paraId="77773B85" w14:textId="77777777" w:rsidR="00D422F8" w:rsidRPr="006E5E26" w:rsidRDefault="00D422F8" w:rsidP="00D422F8">
      <w:pPr>
        <w:tabs>
          <w:tab w:val="left" w:pos="426"/>
        </w:tabs>
        <w:spacing w:after="0" w:line="276" w:lineRule="auto"/>
        <w:ind w:firstLine="709"/>
        <w:jc w:val="both"/>
        <w:rPr>
          <w:rFonts w:ascii="Verdana" w:eastAsia="Calibri" w:hAnsi="Verdana" w:cs="Arial"/>
          <w:lang w:val="es-ES"/>
        </w:rPr>
      </w:pPr>
      <w:r w:rsidRPr="006E5E26">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4335C8C" w14:textId="77777777" w:rsidR="00D422F8" w:rsidRPr="006E5E26" w:rsidRDefault="00D422F8" w:rsidP="00D422F8">
      <w:pPr>
        <w:spacing w:after="0" w:line="276" w:lineRule="auto"/>
        <w:ind w:right="709"/>
        <w:jc w:val="both"/>
        <w:rPr>
          <w:rFonts w:ascii="Verdana" w:eastAsia="Times New Roman" w:hAnsi="Verdana" w:cs="Arial"/>
          <w:lang w:val="es-ES" w:eastAsia="es-CO"/>
        </w:rPr>
      </w:pPr>
    </w:p>
    <w:p w14:paraId="31722AD2" w14:textId="77777777" w:rsidR="00D422F8" w:rsidRDefault="00D422F8" w:rsidP="00D422F8">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 </w:t>
      </w:r>
    </w:p>
    <w:p w14:paraId="03E18A77" w14:textId="77777777" w:rsidR="00D422F8" w:rsidRPr="006E5E26" w:rsidRDefault="00D422F8" w:rsidP="00D422F8">
      <w:pPr>
        <w:spacing w:after="0" w:line="240" w:lineRule="auto"/>
        <w:ind w:left="709" w:right="709"/>
        <w:contextualSpacing/>
        <w:jc w:val="both"/>
        <w:rPr>
          <w:rFonts w:ascii="Verdana" w:eastAsia="Times New Roman" w:hAnsi="Verdana" w:cs="Arial"/>
          <w:sz w:val="20"/>
          <w:szCs w:val="20"/>
          <w:lang w:val="es-ES" w:eastAsia="es-CO"/>
        </w:rPr>
      </w:pPr>
    </w:p>
    <w:p w14:paraId="7E89B857" w14:textId="77777777" w:rsidR="00D422F8" w:rsidRPr="006E5E26" w:rsidRDefault="00D422F8" w:rsidP="00D422F8">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6E5E26">
        <w:rPr>
          <w:rFonts w:ascii="Verdana" w:eastAsia="Times New Roman" w:hAnsi="Verdana" w:cs="Arial"/>
          <w:sz w:val="20"/>
          <w:szCs w:val="20"/>
          <w:lang w:val="es-ES" w:eastAsia="es-CO"/>
        </w:rPr>
        <w:lastRenderedPageBreak/>
        <w:t>las ideas y las propuestas las que definan el ascenso al poder, y no el músculo económico de los que se lo disputan”.</w:t>
      </w:r>
      <w:r w:rsidRPr="006E5E26">
        <w:rPr>
          <w:rFonts w:ascii="Verdana" w:eastAsia="Calibri" w:hAnsi="Verdana" w:cs="Arial"/>
          <w:sz w:val="20"/>
          <w:szCs w:val="20"/>
          <w:vertAlign w:val="superscript"/>
          <w:lang w:val="es-ES"/>
        </w:rPr>
        <w:footnoteReference w:id="3"/>
      </w:r>
    </w:p>
    <w:p w14:paraId="0471DBE4" w14:textId="77777777" w:rsidR="00D422F8" w:rsidRPr="00B67A94" w:rsidRDefault="00D422F8" w:rsidP="00D422F8">
      <w:pPr>
        <w:spacing w:after="0" w:line="276" w:lineRule="auto"/>
        <w:ind w:firstLine="709"/>
        <w:jc w:val="both"/>
        <w:rPr>
          <w:rFonts w:ascii="Verdana" w:eastAsia="Times New Roman" w:hAnsi="Verdana" w:cs="Arial"/>
          <w:color w:val="4472C4" w:themeColor="accent1"/>
          <w:lang w:val="es-ES" w:eastAsia="es-CO"/>
        </w:rPr>
      </w:pPr>
    </w:p>
    <w:p w14:paraId="1F0D7E17" w14:textId="77777777" w:rsidR="00D422F8" w:rsidRPr="006E1064" w:rsidRDefault="00D422F8" w:rsidP="00D422F8">
      <w:pPr>
        <w:spacing w:after="0" w:line="276" w:lineRule="auto"/>
        <w:ind w:firstLine="709"/>
        <w:jc w:val="both"/>
        <w:rPr>
          <w:rFonts w:ascii="Verdana" w:eastAsia="Times New Roman" w:hAnsi="Verdana" w:cs="Arial"/>
          <w:lang w:val="es-ES" w:eastAsia="es-CO"/>
        </w:rPr>
      </w:pPr>
      <w:r w:rsidRPr="006E106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3AAFE09" w14:textId="77777777" w:rsidR="00D422F8" w:rsidRPr="00B67A94" w:rsidRDefault="00D422F8" w:rsidP="00D422F8">
      <w:pPr>
        <w:spacing w:after="0" w:line="276" w:lineRule="auto"/>
        <w:ind w:firstLine="709"/>
        <w:jc w:val="both"/>
        <w:rPr>
          <w:rFonts w:ascii="Verdana" w:eastAsia="Times New Roman" w:hAnsi="Verdana" w:cs="Arial"/>
          <w:color w:val="4472C4" w:themeColor="accent1"/>
          <w:lang w:val="es-ES" w:eastAsia="es-CO"/>
        </w:rPr>
      </w:pPr>
    </w:p>
    <w:p w14:paraId="31E09CA0" w14:textId="77777777" w:rsidR="00D422F8" w:rsidRPr="00E232D8" w:rsidRDefault="00D422F8" w:rsidP="00D422F8">
      <w:pPr>
        <w:spacing w:after="0" w:line="240" w:lineRule="auto"/>
        <w:ind w:left="709" w:right="709"/>
        <w:jc w:val="both"/>
        <w:rPr>
          <w:rFonts w:ascii="Verdana" w:eastAsia="Times New Roman" w:hAnsi="Verdana" w:cs="Arial"/>
          <w:sz w:val="20"/>
          <w:szCs w:val="20"/>
          <w:lang w:val="es-ES" w:eastAsia="es-CO"/>
        </w:rPr>
      </w:pPr>
      <w:r w:rsidRPr="00B67A94">
        <w:rPr>
          <w:rFonts w:ascii="Verdana" w:eastAsia="Times New Roman" w:hAnsi="Verdana" w:cs="Arial"/>
          <w:color w:val="4472C4" w:themeColor="accent1"/>
          <w:sz w:val="20"/>
          <w:szCs w:val="20"/>
          <w:lang w:val="es-ES" w:eastAsia="es-CO"/>
        </w:rPr>
        <w:t>“</w:t>
      </w:r>
      <w:r w:rsidRPr="00E232D8">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2D8">
        <w:rPr>
          <w:rFonts w:ascii="Verdana" w:eastAsia="Times New Roman" w:hAnsi="Verdana" w:cs="Arial"/>
          <w:sz w:val="20"/>
          <w:szCs w:val="20"/>
          <w:lang w:val="es-ES" w:eastAsia="es-CO"/>
        </w:rPr>
        <w:t>legis</w:t>
      </w:r>
      <w:proofErr w:type="spellEnd"/>
      <w:r w:rsidRPr="00E232D8">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0E57B8C" w14:textId="77777777" w:rsidR="00D422F8" w:rsidRPr="00B67A94" w:rsidRDefault="00D422F8" w:rsidP="00D422F8">
      <w:pPr>
        <w:spacing w:after="0" w:line="240" w:lineRule="auto"/>
        <w:ind w:right="709"/>
        <w:jc w:val="both"/>
        <w:rPr>
          <w:rFonts w:ascii="Verdana" w:eastAsia="Times New Roman" w:hAnsi="Verdana" w:cs="Arial"/>
          <w:color w:val="4472C4" w:themeColor="accent1"/>
          <w:lang w:val="es-ES" w:eastAsia="es-CO"/>
        </w:rPr>
      </w:pPr>
    </w:p>
    <w:p w14:paraId="4EC16008" w14:textId="77777777" w:rsidR="00D422F8" w:rsidRPr="00E232D8" w:rsidRDefault="00D422F8" w:rsidP="00D422F8">
      <w:pPr>
        <w:spacing w:after="0" w:line="240" w:lineRule="auto"/>
        <w:ind w:left="709" w:right="709"/>
        <w:jc w:val="both"/>
        <w:rPr>
          <w:rFonts w:ascii="Verdana" w:eastAsia="Times New Roman" w:hAnsi="Verdana" w:cs="Arial"/>
          <w:sz w:val="20"/>
          <w:szCs w:val="20"/>
          <w:lang w:val="es-ES" w:eastAsia="es-CO"/>
        </w:rPr>
      </w:pPr>
      <w:r w:rsidRPr="00E232D8">
        <w:rPr>
          <w:rFonts w:ascii="Verdana" w:eastAsia="Times New Roman" w:hAnsi="Verdana" w:cs="Arial"/>
          <w:sz w:val="20"/>
          <w:szCs w:val="20"/>
          <w:lang w:val="es-ES" w:eastAsia="es-CO"/>
        </w:rPr>
        <w:t>La jurisprudencia de la Corte Constitucional</w:t>
      </w:r>
      <w:r w:rsidRPr="00E232D8">
        <w:rPr>
          <w:rFonts w:ascii="Verdana" w:eastAsia="Times New Roman" w:hAnsi="Verdana" w:cs="Arial"/>
          <w:sz w:val="20"/>
          <w:szCs w:val="20"/>
          <w:vertAlign w:val="superscript"/>
          <w:lang w:val="es-ES" w:eastAsia="es-CO"/>
        </w:rPr>
        <w:footnoteReference w:id="4"/>
      </w:r>
      <w:r w:rsidRPr="00E232D8">
        <w:rPr>
          <w:rFonts w:ascii="Verdana" w:eastAsia="Times New Roman" w:hAnsi="Verdana" w:cs="Arial"/>
          <w:sz w:val="20"/>
          <w:szCs w:val="20"/>
          <w:lang w:val="es-ES" w:eastAsia="es-CO"/>
        </w:rPr>
        <w:t> y del Consejo de Estado</w:t>
      </w:r>
      <w:r w:rsidRPr="00E232D8">
        <w:rPr>
          <w:rFonts w:ascii="Verdana" w:eastAsia="Times New Roman" w:hAnsi="Verdana" w:cs="Arial"/>
          <w:sz w:val="20"/>
          <w:szCs w:val="20"/>
          <w:vertAlign w:val="superscript"/>
          <w:lang w:val="es-ES" w:eastAsia="es-CO"/>
        </w:rPr>
        <w:footnoteReference w:id="5"/>
      </w:r>
      <w:r w:rsidRPr="00E232D8">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2D8">
        <w:rPr>
          <w:rFonts w:ascii="Verdana" w:eastAsia="Times New Roman" w:hAnsi="Verdana" w:cs="Arial"/>
          <w:sz w:val="20"/>
          <w:szCs w:val="20"/>
          <w:vertAlign w:val="superscript"/>
          <w:lang w:val="es-ES" w:eastAsia="es-CO"/>
        </w:rPr>
        <w:footnoteReference w:id="6"/>
      </w:r>
      <w:r w:rsidRPr="00E232D8">
        <w:rPr>
          <w:rFonts w:ascii="Verdana" w:eastAsia="Times New Roman" w:hAnsi="Verdana" w:cs="Arial"/>
          <w:sz w:val="20"/>
          <w:szCs w:val="20"/>
          <w:lang w:val="es-ES" w:eastAsia="es-CO"/>
        </w:rPr>
        <w:t>.</w:t>
      </w:r>
    </w:p>
    <w:p w14:paraId="6B8DF942" w14:textId="77777777" w:rsidR="00D422F8" w:rsidRPr="00C3478C" w:rsidRDefault="00D422F8" w:rsidP="00D422F8">
      <w:pPr>
        <w:spacing w:after="0" w:line="276" w:lineRule="auto"/>
        <w:jc w:val="both"/>
        <w:rPr>
          <w:rFonts w:ascii="Verdana" w:eastAsia="Calibri" w:hAnsi="Verdana" w:cs="Arial"/>
          <w:bCs/>
          <w:lang w:val="es-ES"/>
        </w:rPr>
      </w:pPr>
    </w:p>
    <w:p w14:paraId="40A03776" w14:textId="77777777" w:rsidR="00D422F8" w:rsidRPr="00C3478C" w:rsidRDefault="00D422F8" w:rsidP="00D422F8">
      <w:pPr>
        <w:spacing w:after="0" w:line="276" w:lineRule="auto"/>
        <w:ind w:firstLine="709"/>
        <w:jc w:val="both"/>
        <w:rPr>
          <w:rFonts w:ascii="Verdana" w:eastAsia="Arial" w:hAnsi="Verdana" w:cs="Arial"/>
          <w:lang w:val="es-ES" w:eastAsia="es-ES" w:bidi="es-ES"/>
        </w:rPr>
      </w:pPr>
      <w:r w:rsidRPr="00C3478C">
        <w:rPr>
          <w:rFonts w:ascii="Verdana" w:eastAsia="Times New Roman" w:hAnsi="Verdana" w:cs="Arial"/>
          <w:lang w:val="es-ES" w:eastAsia="es-CO"/>
        </w:rPr>
        <w:t>De</w:t>
      </w:r>
      <w:r w:rsidRPr="00C3478C">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5D7C85A7" w14:textId="77777777" w:rsidR="00D422F8" w:rsidRPr="00B67A94" w:rsidRDefault="00D422F8" w:rsidP="00D422F8">
      <w:pPr>
        <w:spacing w:after="0" w:line="276" w:lineRule="auto"/>
        <w:ind w:firstLine="709"/>
        <w:jc w:val="both"/>
        <w:rPr>
          <w:rFonts w:ascii="Verdana" w:eastAsia="Arial" w:hAnsi="Verdana" w:cs="Arial"/>
          <w:color w:val="4472C4" w:themeColor="accent1"/>
          <w:lang w:val="es-ES" w:eastAsia="es-ES" w:bidi="es-ES"/>
        </w:rPr>
      </w:pPr>
    </w:p>
    <w:p w14:paraId="0D204511" w14:textId="77777777" w:rsidR="00D422F8" w:rsidRPr="00B75FB5" w:rsidRDefault="00D422F8" w:rsidP="00D422F8">
      <w:pPr>
        <w:spacing w:after="120" w:line="276" w:lineRule="auto"/>
        <w:jc w:val="both"/>
        <w:rPr>
          <w:rFonts w:ascii="Verdana" w:eastAsia="Arial" w:hAnsi="Verdana" w:cs="Arial"/>
          <w:lang w:val="es-ES" w:eastAsia="es-ES" w:bidi="es-ES"/>
        </w:rPr>
      </w:pPr>
      <w:proofErr w:type="spellStart"/>
      <w:r w:rsidRPr="00B75FB5">
        <w:rPr>
          <w:rFonts w:ascii="Verdana" w:eastAsia="Arial" w:hAnsi="Verdana" w:cs="Arial"/>
          <w:lang w:val="es-ES" w:eastAsia="es-ES" w:bidi="es-ES"/>
        </w:rPr>
        <w:t>ii</w:t>
      </w:r>
      <w:proofErr w:type="spellEnd"/>
      <w:r w:rsidRPr="00B75FB5">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2A065825" w14:textId="77777777" w:rsidR="00D422F8" w:rsidRPr="00B75FB5" w:rsidRDefault="00D422F8" w:rsidP="00D422F8">
      <w:pPr>
        <w:spacing w:after="120" w:line="276" w:lineRule="auto"/>
        <w:ind w:firstLine="708"/>
        <w:jc w:val="both"/>
        <w:rPr>
          <w:rFonts w:ascii="Verdana" w:eastAsia="Calibri" w:hAnsi="Verdana" w:cs="Arial"/>
          <w:lang w:val="es-ES"/>
        </w:rPr>
      </w:pPr>
      <w:r w:rsidRPr="00B75FB5">
        <w:rPr>
          <w:rFonts w:ascii="Verdana" w:eastAsia="Calibri" w:hAnsi="Verdana" w:cs="Arial"/>
          <w:lang w:val="es-ES"/>
        </w:rPr>
        <w:t xml:space="preserve">Por un lado, el </w:t>
      </w:r>
      <w:r w:rsidRPr="00B75FB5">
        <w:rPr>
          <w:rFonts w:ascii="Verdana" w:eastAsia="Calibri" w:hAnsi="Verdana" w:cs="Arial"/>
          <w:i/>
          <w:iCs/>
          <w:lang w:val="es-ES"/>
        </w:rPr>
        <w:t xml:space="preserve">artículo 33 </w:t>
      </w:r>
      <w:r w:rsidRPr="00B75FB5">
        <w:rPr>
          <w:rFonts w:ascii="Verdana" w:eastAsia="Calibri" w:hAnsi="Verdana" w:cs="Arial"/>
          <w:lang w:val="es-ES"/>
        </w:rPr>
        <w:t xml:space="preserve">de la Ley 996 de 2005 prohíbe “[…] la contratación directa por parte de </w:t>
      </w:r>
      <w:r w:rsidRPr="00B75FB5">
        <w:rPr>
          <w:rFonts w:ascii="Verdana" w:eastAsia="Calibri" w:hAnsi="Verdana" w:cs="Arial"/>
          <w:i/>
          <w:iCs/>
          <w:lang w:val="es-ES"/>
        </w:rPr>
        <w:t>todos los entes del Estado</w:t>
      </w:r>
      <w:r w:rsidRPr="00B75FB5">
        <w:rPr>
          <w:rFonts w:ascii="Verdana" w:eastAsia="Calibri" w:hAnsi="Verdana" w:cs="Arial"/>
          <w:lang w:val="es-ES"/>
        </w:rPr>
        <w:t xml:space="preserve">” durante los cuatro (4) meses anteriores a las </w:t>
      </w:r>
      <w:r w:rsidRPr="00B75FB5">
        <w:rPr>
          <w:rFonts w:ascii="Verdana" w:eastAsia="Calibri" w:hAnsi="Verdana" w:cs="Arial"/>
          <w:i/>
          <w:iCs/>
          <w:lang w:val="es-ES"/>
        </w:rPr>
        <w:t>elecciones presidenciales</w:t>
      </w:r>
      <w:r w:rsidRPr="00B75FB5">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75FB5">
        <w:rPr>
          <w:rFonts w:ascii="Verdana" w:eastAsia="Calibri" w:hAnsi="Verdana" w:cs="Arial"/>
          <w:vertAlign w:val="superscript"/>
          <w:lang w:val="es-ES"/>
        </w:rPr>
        <w:footnoteReference w:id="7"/>
      </w:r>
      <w:r w:rsidRPr="00B75FB5">
        <w:rPr>
          <w:rFonts w:ascii="Verdana" w:eastAsia="Calibri" w:hAnsi="Verdana" w:cs="Arial"/>
          <w:lang w:val="es-ES"/>
        </w:rPr>
        <w:t>.</w:t>
      </w:r>
    </w:p>
    <w:p w14:paraId="50705B68" w14:textId="77777777" w:rsidR="00D422F8" w:rsidRPr="00FD7FEB" w:rsidRDefault="00D422F8" w:rsidP="00D422F8">
      <w:pPr>
        <w:widowControl w:val="0"/>
        <w:autoSpaceDE w:val="0"/>
        <w:autoSpaceDN w:val="0"/>
        <w:spacing w:after="120" w:line="276" w:lineRule="auto"/>
        <w:ind w:right="113" w:firstLine="709"/>
        <w:jc w:val="both"/>
        <w:rPr>
          <w:rFonts w:ascii="Verdana" w:eastAsia="Arial" w:hAnsi="Verdana" w:cs="Arial"/>
          <w:lang w:val="es-ES" w:eastAsia="es-ES" w:bidi="es-ES"/>
        </w:rPr>
      </w:pPr>
      <w:r w:rsidRPr="00B75FB5">
        <w:rPr>
          <w:rFonts w:ascii="Verdana" w:eastAsia="Calibri" w:hAnsi="Verdana" w:cs="Arial"/>
          <w:lang w:val="es-ES"/>
        </w:rPr>
        <w:t xml:space="preserve">Por otro lado, </w:t>
      </w:r>
      <w:r w:rsidRPr="00B75FB5">
        <w:rPr>
          <w:rFonts w:ascii="Verdana" w:eastAsia="Calibri" w:hAnsi="Verdana" w:cs="Arial"/>
          <w:i/>
          <w:iCs/>
          <w:lang w:val="es-ES"/>
        </w:rPr>
        <w:t xml:space="preserve">el parágrafo del artículo 38 </w:t>
      </w:r>
      <w:r w:rsidRPr="00B75FB5">
        <w:rPr>
          <w:rFonts w:ascii="Verdana" w:eastAsia="Calibri" w:hAnsi="Verdana" w:cs="Arial"/>
          <w:lang w:val="es-ES"/>
        </w:rPr>
        <w:t xml:space="preserve">de la Ley 996 de 2005 prevé una restricción, aplicable respecto de </w:t>
      </w:r>
      <w:r w:rsidRPr="00B75FB5">
        <w:rPr>
          <w:rFonts w:ascii="Verdana" w:eastAsia="Calibri" w:hAnsi="Verdana" w:cs="Arial"/>
          <w:i/>
          <w:iCs/>
          <w:lang w:val="es-ES"/>
        </w:rPr>
        <w:t>cualquier tipo de contienda electoral</w:t>
      </w:r>
      <w:r w:rsidRPr="00B75FB5">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w:t>
      </w:r>
      <w:r w:rsidRPr="00FD7FEB">
        <w:rPr>
          <w:rFonts w:ascii="Verdana" w:eastAsia="Calibri" w:hAnsi="Verdana" w:cs="Arial"/>
          <w:lang w:val="es-ES"/>
        </w:rPr>
        <w:t xml:space="preserve"> ejecución de recursos públicos, ni participar, promover y destinar recursos públicos de las entidades a su cargo, como tampoco de las que participen como miembros de sus juntas directivas, en o para reuniones de carácter </w:t>
      </w:r>
      <w:r w:rsidRPr="00FD7FEB">
        <w:rPr>
          <w:rFonts w:ascii="Verdana" w:eastAsia="Calibri" w:hAnsi="Verdana" w:cs="Arial"/>
          <w:lang w:val="es-ES"/>
        </w:rPr>
        <w:lastRenderedPageBreak/>
        <w:t>proselitista”</w:t>
      </w:r>
      <w:r w:rsidRPr="00FD7FEB">
        <w:rPr>
          <w:rFonts w:ascii="Verdana" w:eastAsia="Calibri" w:hAnsi="Verdana" w:cs="Arial"/>
          <w:vertAlign w:val="superscript"/>
          <w:lang w:val="es-ES"/>
        </w:rPr>
        <w:footnoteReference w:id="8"/>
      </w:r>
      <w:r w:rsidRPr="00FD7FEB">
        <w:rPr>
          <w:rFonts w:ascii="Verdana" w:eastAsia="Calibri" w:hAnsi="Verdana" w:cs="Arial"/>
          <w:lang w:val="es-ES"/>
        </w:rPr>
        <w:t>.</w:t>
      </w:r>
      <w:r w:rsidRPr="00FD7FEB">
        <w:rPr>
          <w:rFonts w:ascii="Verdana" w:eastAsia="Arial" w:hAnsi="Verdana" w:cs="Arial"/>
          <w:lang w:val="es-ES" w:eastAsia="es-ES" w:bidi="es-ES"/>
        </w:rPr>
        <w:t xml:space="preserve"> </w:t>
      </w:r>
    </w:p>
    <w:p w14:paraId="016F8811" w14:textId="77777777" w:rsidR="00D422F8" w:rsidRPr="00D758B3" w:rsidRDefault="00D422F8" w:rsidP="00D422F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758B3">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EC39B24" w14:textId="77777777" w:rsidR="00D422F8" w:rsidRPr="00E77A27" w:rsidRDefault="00D422F8" w:rsidP="00D422F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12378F1" w14:textId="77777777" w:rsidR="00D422F8" w:rsidRPr="00E77A27" w:rsidRDefault="00D422F8" w:rsidP="00D422F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E77A27">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77A27">
        <w:rPr>
          <w:rFonts w:ascii="Verdana" w:eastAsia="Arial" w:hAnsi="Verdana" w:cs="Arial"/>
          <w:sz w:val="20"/>
          <w:szCs w:val="20"/>
          <w:lang w:val="es-ES" w:eastAsia="es-ES" w:bidi="es-ES"/>
        </w:rPr>
        <w:t>Presidente</w:t>
      </w:r>
      <w:proofErr w:type="gramEnd"/>
      <w:r w:rsidRPr="00E77A27">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E77A27">
        <w:rPr>
          <w:rFonts w:ascii="Verdana" w:eastAsia="Arial" w:hAnsi="Verdana" w:cs="Arial"/>
          <w:sz w:val="20"/>
          <w:szCs w:val="20"/>
          <w:vertAlign w:val="superscript"/>
          <w:lang w:val="es-ES" w:eastAsia="es-ES" w:bidi="es-ES"/>
        </w:rPr>
        <w:footnoteReference w:id="9"/>
      </w:r>
    </w:p>
    <w:p w14:paraId="68E371C1" w14:textId="77777777" w:rsidR="00D422F8" w:rsidRPr="00B67A94" w:rsidRDefault="00D422F8" w:rsidP="00D422F8">
      <w:pPr>
        <w:widowControl w:val="0"/>
        <w:autoSpaceDE w:val="0"/>
        <w:autoSpaceDN w:val="0"/>
        <w:spacing w:after="0" w:line="276" w:lineRule="auto"/>
        <w:contextualSpacing/>
        <w:rPr>
          <w:rFonts w:ascii="Verdana" w:eastAsia="Arial" w:hAnsi="Verdana" w:cs="Arial"/>
          <w:color w:val="4472C4" w:themeColor="accent1"/>
          <w:lang w:val="es-ES" w:eastAsia="es-ES" w:bidi="es-ES"/>
        </w:rPr>
      </w:pPr>
    </w:p>
    <w:p w14:paraId="788FE425" w14:textId="602AEA40" w:rsidR="00D422F8" w:rsidRDefault="00D422F8" w:rsidP="00CF4676">
      <w:pPr>
        <w:spacing w:after="0" w:line="276" w:lineRule="auto"/>
        <w:ind w:firstLine="709"/>
        <w:jc w:val="both"/>
        <w:rPr>
          <w:rFonts w:ascii="Verdana" w:eastAsia="Arial" w:hAnsi="Verdana" w:cs="Arial"/>
          <w:lang w:val="es-ES" w:eastAsia="es-ES" w:bidi="es-ES"/>
        </w:rPr>
      </w:pPr>
      <w:r w:rsidRPr="00632F5B">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632F5B">
        <w:rPr>
          <w:rFonts w:ascii="Verdana" w:eastAsia="Arial" w:hAnsi="Verdana" w:cs="Arial"/>
          <w:lang w:val="es-ES" w:eastAsia="es-ES" w:bidi="es-ES"/>
        </w:rPr>
        <w:t>Presidente</w:t>
      </w:r>
      <w:proofErr w:type="gramEnd"/>
      <w:r w:rsidRPr="00632F5B">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632F5B">
        <w:rPr>
          <w:rFonts w:ascii="Verdana" w:eastAsia="Arial" w:hAnsi="Verdana" w:cs="Arial"/>
          <w:lang w:val="es-ES" w:eastAsia="es-ES" w:bidi="es-ES"/>
        </w:rPr>
        <w:t>Presidente</w:t>
      </w:r>
      <w:proofErr w:type="gramEnd"/>
      <w:r w:rsidRPr="00632F5B">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9697A94" w14:textId="77777777" w:rsidR="00CF4676" w:rsidRPr="00732E25" w:rsidRDefault="00CF4676" w:rsidP="006E58C5">
      <w:pPr>
        <w:spacing w:after="0" w:line="276" w:lineRule="auto"/>
        <w:ind w:firstLine="709"/>
        <w:jc w:val="both"/>
        <w:rPr>
          <w:rFonts w:ascii="Verdana" w:eastAsia="Arial" w:hAnsi="Verdana" w:cs="Arial"/>
          <w:lang w:val="es-ES" w:eastAsia="es-ES" w:bidi="es-ES"/>
        </w:rPr>
      </w:pPr>
    </w:p>
    <w:p w14:paraId="43305EAB" w14:textId="77777777" w:rsidR="00D422F8" w:rsidRPr="00D55087" w:rsidRDefault="00D422F8" w:rsidP="00D422F8">
      <w:pPr>
        <w:spacing w:after="120" w:line="276" w:lineRule="auto"/>
        <w:jc w:val="both"/>
        <w:rPr>
          <w:rFonts w:ascii="Verdana" w:eastAsia="Times New Roman" w:hAnsi="Verdana" w:cs="Arial"/>
          <w:lang w:val="es-MX" w:eastAsia="x-none"/>
        </w:rPr>
      </w:pPr>
      <w:proofErr w:type="spellStart"/>
      <w:r w:rsidRPr="00F46B23">
        <w:rPr>
          <w:rFonts w:ascii="Verdana" w:eastAsia="Calibri" w:hAnsi="Verdana" w:cs="Arial"/>
          <w:lang w:val="es-ES"/>
        </w:rPr>
        <w:t>iii</w:t>
      </w:r>
      <w:proofErr w:type="spellEnd"/>
      <w:r w:rsidRPr="00F46B23">
        <w:rPr>
          <w:rFonts w:ascii="Verdana" w:eastAsia="Calibri" w:hAnsi="Verdana" w:cs="Arial"/>
          <w:lang w:val="es-ES"/>
        </w:rPr>
        <w:t xml:space="preserve">) </w:t>
      </w:r>
      <w:r w:rsidRPr="00F46B23">
        <w:rPr>
          <w:rFonts w:ascii="Verdana" w:eastAsia="Arial" w:hAnsi="Verdana" w:cs="Arial"/>
          <w:lang w:val="es-ES" w:eastAsia="es-ES" w:bidi="es-ES"/>
        </w:rPr>
        <w:t xml:space="preserve">Ahora bien, </w:t>
      </w:r>
      <w:r w:rsidRPr="00F46B23">
        <w:rPr>
          <w:rFonts w:ascii="Verdana" w:eastAsia="Calibri" w:hAnsi="Verdana" w:cs="Arial"/>
          <w:lang w:val="es-ES" w:eastAsia="es-ES" w:bidi="es-ES"/>
        </w:rPr>
        <w:t xml:space="preserve">para responder al problema jurídico planteado, es necesario hacer énfasis en el alcance que tiene la prohibición establecida en el parágrafo </w:t>
      </w:r>
      <w:r w:rsidRPr="00F46B23">
        <w:rPr>
          <w:rFonts w:ascii="Verdana" w:eastAsia="Calibri" w:hAnsi="Verdana" w:cs="Arial"/>
          <w:lang w:val="es-ES" w:eastAsia="es-ES" w:bidi="es-ES"/>
        </w:rPr>
        <w:lastRenderedPageBreak/>
        <w:t>del artículo 38 de la Ley 996 de 2005. La mencionada norma dispon</w:t>
      </w:r>
      <w:r>
        <w:rPr>
          <w:rFonts w:ascii="Verdana" w:eastAsia="Calibri" w:hAnsi="Verdana" w:cs="Arial"/>
          <w:lang w:val="es-ES" w:eastAsia="es-ES" w:bidi="es-ES"/>
        </w:rPr>
        <w:t xml:space="preserve">e que “Los Gobernadores, </w:t>
      </w:r>
      <w:proofErr w:type="gramStart"/>
      <w:r>
        <w:rPr>
          <w:rFonts w:ascii="Verdana" w:eastAsia="Calibri" w:hAnsi="Verdana" w:cs="Arial"/>
          <w:lang w:val="es-ES" w:eastAsia="es-ES" w:bidi="es-ES"/>
        </w:rPr>
        <w:t>Alcaldes</w:t>
      </w:r>
      <w:proofErr w:type="gramEnd"/>
      <w:r>
        <w:rPr>
          <w:rFonts w:ascii="Verdana" w:eastAsia="Calibri" w:hAnsi="Verdana" w:cs="Arial"/>
          <w:lang w:val="es-ES" w:eastAsia="es-ES" w:bidi="es-ES"/>
        </w:rPr>
        <w:t xml:space="preserve">, Municipales y/o Distritales, </w:t>
      </w:r>
      <w:proofErr w:type="gramStart"/>
      <w:r>
        <w:rPr>
          <w:rFonts w:ascii="Verdana" w:eastAsia="Calibri" w:hAnsi="Verdana" w:cs="Arial"/>
          <w:lang w:val="es-ES" w:eastAsia="es-ES" w:bidi="es-ES"/>
        </w:rPr>
        <w:t>Secretarios</w:t>
      </w:r>
      <w:proofErr w:type="gramEnd"/>
      <w:r>
        <w:rPr>
          <w:rFonts w:ascii="Verdana" w:eastAsia="Calibri" w:hAnsi="Verdana" w:cs="Arial"/>
          <w:lang w:val="es-ES" w:eastAsia="es-ES" w:bidi="es-ES"/>
        </w:rPr>
        <w:t xml:space="preserve">, Gerentes y directores de Entidades Descentralizadas del Orden Municipal Departamental o Distrital, dentro de los (4) meses anteriores a las elecciones, no podrán celebrar </w:t>
      </w:r>
      <w:r>
        <w:rPr>
          <w:rFonts w:ascii="Verdana" w:eastAsia="Calibri" w:hAnsi="Verdana" w:cs="Arial"/>
          <w:i/>
          <w:iCs/>
          <w:lang w:val="es-ES" w:eastAsia="es-ES" w:bidi="es-ES"/>
        </w:rPr>
        <w:t xml:space="preserve">convenios interadministrativos </w:t>
      </w:r>
      <w:r>
        <w:rPr>
          <w:rFonts w:ascii="Verdana" w:eastAsia="Calibri" w:hAnsi="Verdana" w:cs="Arial"/>
          <w:lang w:val="es-ES" w:eastAsia="es-ES" w:bidi="es-ES"/>
        </w:rPr>
        <w:t xml:space="preserve">para la ejecución de recursos públicos”. </w:t>
      </w:r>
      <w:r w:rsidRPr="00461891">
        <w:rPr>
          <w:rFonts w:ascii="Verdana" w:eastAsia="Times New Roman" w:hAnsi="Verdana" w:cs="Arial"/>
          <w:lang w:val="es-MX" w:eastAsia="x-none"/>
        </w:rPr>
        <w:t>[Énfasis fuera del texto original]</w:t>
      </w:r>
    </w:p>
    <w:p w14:paraId="31ACB072" w14:textId="77777777" w:rsidR="00D422F8" w:rsidRPr="00667CD6" w:rsidRDefault="00D422F8" w:rsidP="00D422F8">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10"/>
      </w:r>
      <w:r w:rsidRPr="00667CD6">
        <w:rPr>
          <w:rFonts w:ascii="Verdana" w:hAnsi="Verdana" w:cs="Arial"/>
          <w:lang w:eastAsia="es-ES"/>
        </w:rPr>
        <w:t>.</w:t>
      </w:r>
    </w:p>
    <w:p w14:paraId="48F9D596" w14:textId="77777777" w:rsidR="00D422F8" w:rsidRPr="00667CD6" w:rsidRDefault="00D422F8" w:rsidP="00D422F8">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convenio interadministrativo.</w:t>
      </w:r>
    </w:p>
    <w:p w14:paraId="3383C2F8" w14:textId="77777777" w:rsidR="00D422F8" w:rsidRPr="00667CD6" w:rsidRDefault="00D422F8" w:rsidP="00D422F8">
      <w:pPr>
        <w:spacing w:before="120" w:after="0" w:line="276" w:lineRule="auto"/>
        <w:ind w:firstLine="708"/>
        <w:jc w:val="both"/>
        <w:rPr>
          <w:rFonts w:ascii="Verdana" w:hAnsi="Verdana" w:cs="Arial"/>
          <w:lang w:val="es-ES_tradnl"/>
        </w:rPr>
      </w:pPr>
      <w:r w:rsidRPr="2035D652">
        <w:rPr>
          <w:rFonts w:ascii="Verdana" w:hAnsi="Verdana" w:cs="Arial"/>
          <w:lang w:val="es-ES"/>
        </w:rPr>
        <w:t>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11"/>
      </w:r>
      <w:r w:rsidRPr="2035D652">
        <w:rPr>
          <w:rFonts w:ascii="Verdana" w:hAnsi="Verdana" w:cs="Arial"/>
          <w:lang w:val="es-ES"/>
        </w:rPr>
        <w:t xml:space="preserve">. </w:t>
      </w:r>
    </w:p>
    <w:p w14:paraId="60DB7803" w14:textId="77777777" w:rsidR="00D422F8" w:rsidRDefault="00D422F8" w:rsidP="00D422F8">
      <w:pPr>
        <w:spacing w:before="120" w:after="0" w:line="276" w:lineRule="auto"/>
        <w:ind w:firstLine="708"/>
        <w:jc w:val="both"/>
        <w:rPr>
          <w:rFonts w:ascii="Verdana" w:hAnsi="Verdana" w:cs="Arial"/>
          <w:lang w:val="es-ES"/>
        </w:rPr>
      </w:pPr>
      <w:r>
        <w:rPr>
          <w:rFonts w:ascii="Verdana" w:hAnsi="Verdana" w:cs="Arial"/>
          <w:lang w:val="es-ES"/>
        </w:rPr>
        <w:lastRenderedPageBreak/>
        <w:t>De igual manera</w:t>
      </w:r>
      <w:r w:rsidRPr="2035D652">
        <w:rPr>
          <w:rFonts w:ascii="Verdana" w:hAnsi="Verdana" w:cs="Arial"/>
          <w:lang w:val="es-ES"/>
        </w:rPr>
        <w:t>, es necesario tener en cuenta que para que un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12"/>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E97F5B6" w14:textId="77777777" w:rsidR="00D422F8" w:rsidRDefault="00D422F8" w:rsidP="00D422F8">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r>
        <w:rPr>
          <w:rFonts w:ascii="Verdana" w:eastAsia="Times New Roman" w:hAnsi="Verdana" w:cs="Arial"/>
          <w:lang w:val="es-MX" w:eastAsia="es-CO"/>
        </w:rPr>
        <w:t>.</w:t>
      </w:r>
    </w:p>
    <w:p w14:paraId="06BA332B" w14:textId="77777777" w:rsidR="00D422F8" w:rsidRPr="00E102A0" w:rsidRDefault="00D422F8" w:rsidP="00D422F8">
      <w:pPr>
        <w:spacing w:before="120" w:after="0" w:line="276" w:lineRule="auto"/>
        <w:ind w:firstLine="708"/>
        <w:jc w:val="both"/>
        <w:rPr>
          <w:rFonts w:ascii="Verdana" w:eastAsia="Times New Roman" w:hAnsi="Verdana" w:cs="Arial"/>
          <w:i/>
          <w:iCs/>
          <w:lang w:eastAsia="es-CO"/>
        </w:rPr>
      </w:pPr>
      <w:r>
        <w:rPr>
          <w:rFonts w:ascii="Verdana" w:hAnsi="Verdana" w:cs="Arial"/>
          <w:lang w:val="es-ES_tradnl"/>
        </w:rPr>
        <w:t xml:space="preserve">Ahora bien, con respecto al alcance de la prohibición en mención, la Circular Externa No. 006 de 2025 expedida por la ANCP-CCE, en sus literales </w:t>
      </w:r>
      <w:proofErr w:type="spellStart"/>
      <w:r>
        <w:rPr>
          <w:rFonts w:ascii="Verdana" w:hAnsi="Verdana" w:cs="Arial"/>
          <w:lang w:val="es-ES_tradnl"/>
        </w:rPr>
        <w:t>ii</w:t>
      </w:r>
      <w:proofErr w:type="spellEnd"/>
      <w:r>
        <w:rPr>
          <w:rFonts w:ascii="Verdana" w:hAnsi="Verdana" w:cs="Arial"/>
          <w:lang w:val="es-ES_tradnl"/>
        </w:rPr>
        <w:t xml:space="preserve">) y </w:t>
      </w:r>
      <w:proofErr w:type="spellStart"/>
      <w:r>
        <w:rPr>
          <w:rFonts w:ascii="Verdana" w:hAnsi="Verdana" w:cs="Arial"/>
          <w:lang w:val="es-ES_tradnl"/>
        </w:rPr>
        <w:t>iv</w:t>
      </w:r>
      <w:proofErr w:type="spellEnd"/>
      <w:r>
        <w:rPr>
          <w:rFonts w:ascii="Verdana" w:hAnsi="Verdana" w:cs="Arial"/>
          <w:lang w:val="es-ES_tradnl"/>
        </w:rPr>
        <w:t xml:space="preserve">) del numeral 2, indica que el parágrafo del artículo 38 de la Ley 996 de 2005 cobija expresamente a los </w:t>
      </w:r>
      <w:r>
        <w:rPr>
          <w:rFonts w:ascii="Verdana" w:hAnsi="Verdana" w:cs="Arial"/>
          <w:i/>
          <w:iCs/>
          <w:lang w:val="es-ES_tradnl"/>
        </w:rPr>
        <w:t xml:space="preserve">convenios interadministrativos </w:t>
      </w:r>
      <w:r>
        <w:rPr>
          <w:rFonts w:ascii="Verdana" w:hAnsi="Verdana" w:cs="Arial"/>
          <w:lang w:val="es-ES_tradnl"/>
        </w:rPr>
        <w:t xml:space="preserve">en los que se contemple la ejecución de recursos públicos. Además, precisa que el parágrafo referido no estableció ningún supuesto que exceptúe la aplicación de dicha prohibición, por lo que, la restricción referida a la celebración de </w:t>
      </w:r>
      <w:r>
        <w:rPr>
          <w:rFonts w:ascii="Verdana" w:hAnsi="Verdana" w:cs="Arial"/>
          <w:i/>
          <w:iCs/>
          <w:lang w:val="es-ES_tradnl"/>
        </w:rPr>
        <w:t xml:space="preserve">convenios interadministrativos </w:t>
      </w:r>
      <w:r>
        <w:rPr>
          <w:rFonts w:ascii="Verdana" w:hAnsi="Verdana" w:cs="Arial"/>
          <w:lang w:val="es-ES_tradnl"/>
        </w:rPr>
        <w:t xml:space="preserve">aplicará a los sujetos allí celebrados </w:t>
      </w:r>
      <w:r w:rsidRPr="00667CD6">
        <w:rPr>
          <w:rFonts w:ascii="Verdana" w:eastAsia="Times New Roman" w:hAnsi="Verdana" w:cs="Arial"/>
          <w:i/>
          <w:iCs/>
          <w:lang w:eastAsia="es-CO"/>
        </w:rPr>
        <w:t>“aunque se configure alguno de los supuestos de excepción que señaló el inciso final del artículo 33”.</w:t>
      </w:r>
    </w:p>
    <w:p w14:paraId="3049A940" w14:textId="21727467" w:rsidR="00D422F8" w:rsidRDefault="00D422F8" w:rsidP="00D422F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w:t>
      </w:r>
      <w:r w:rsidR="00CF4676">
        <w:rPr>
          <w:rFonts w:ascii="Verdana" w:eastAsia="Times New Roman" w:hAnsi="Verdana" w:cs="Arial"/>
          <w:lang w:eastAsia="es-CO"/>
        </w:rPr>
        <w:t xml:space="preserve">atendiendo al problema jurídico planteado, </w:t>
      </w:r>
      <w:r w:rsidRPr="00667CD6">
        <w:rPr>
          <w:rFonts w:ascii="Verdana" w:eastAsia="Times New Roman" w:hAnsi="Verdana" w:cs="Arial"/>
          <w:lang w:eastAsia="es-CO"/>
        </w:rPr>
        <w:t xml:space="preserve">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14EED1AC" w14:textId="77777777" w:rsidR="00D422F8" w:rsidRPr="00271FF6" w:rsidRDefault="00D422F8" w:rsidP="00D422F8">
      <w:pPr>
        <w:spacing w:before="120" w:after="0" w:line="276" w:lineRule="auto"/>
        <w:ind w:firstLine="708"/>
        <w:jc w:val="both"/>
        <w:rPr>
          <w:rFonts w:ascii="Verdana" w:eastAsia="Times New Roman" w:hAnsi="Verdana" w:cs="Arial"/>
          <w:lang w:eastAsia="es-CO"/>
        </w:rPr>
      </w:pPr>
      <w:r w:rsidRPr="00271FF6">
        <w:rPr>
          <w:rFonts w:ascii="Verdana" w:eastAsia="Times New Roman" w:hAnsi="Verdana" w:cs="Arial"/>
          <w:lang w:eastAsia="es-CO"/>
        </w:rPr>
        <w:lastRenderedPageBreak/>
        <w:t xml:space="preserve">Por lo tanto, conforme a lo dispuesto en la Circular referida, si se suscriben </w:t>
      </w:r>
      <w:r w:rsidRPr="00271FF6">
        <w:rPr>
          <w:rFonts w:ascii="Verdana" w:eastAsia="Times New Roman" w:hAnsi="Verdana" w:cs="Arial"/>
          <w:i/>
          <w:iCs/>
          <w:lang w:eastAsia="es-CO"/>
        </w:rPr>
        <w:t>convenios interadministrativos para la ejecución de recursos públicos</w:t>
      </w:r>
      <w:r w:rsidRPr="00271FF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271FF6">
        <w:rPr>
          <w:rFonts w:ascii="Verdana" w:eastAsia="Times New Roman" w:hAnsi="Verdana" w:cs="Arial"/>
          <w:i/>
          <w:iCs/>
          <w:lang w:eastAsia="es-CO"/>
        </w:rPr>
        <w:t>ibidem</w:t>
      </w:r>
      <w:r w:rsidRPr="00271FF6">
        <w:rPr>
          <w:rFonts w:ascii="Verdana" w:eastAsia="Times New Roman" w:hAnsi="Verdana" w:cs="Arial"/>
          <w:lang w:eastAsia="es-CO"/>
        </w:rPr>
        <w:t>, independientemente de que se configure alguno de los supuestos de excepción que señaló el inciso final del artículo 33, es decir, que se trate de:</w:t>
      </w:r>
      <w:r w:rsidRPr="00271FF6">
        <w:rPr>
          <w:rFonts w:ascii="Verdana" w:hAnsi="Verdana" w:cs="Arial"/>
          <w:bCs/>
          <w:lang w:val="es-MX" w:eastAsia="x-none"/>
        </w:rPr>
        <w:t xml:space="preserve"> i) la defensa y seguridad del Estado; </w:t>
      </w:r>
      <w:proofErr w:type="spellStart"/>
      <w:r w:rsidRPr="00271FF6">
        <w:rPr>
          <w:rFonts w:ascii="Verdana" w:hAnsi="Verdana" w:cs="Arial"/>
          <w:bCs/>
          <w:lang w:val="es-MX" w:eastAsia="x-none"/>
        </w:rPr>
        <w:t>ii</w:t>
      </w:r>
      <w:proofErr w:type="spellEnd"/>
      <w:r w:rsidRPr="00271FF6">
        <w:rPr>
          <w:rFonts w:ascii="Verdana" w:hAnsi="Verdana" w:cs="Arial"/>
          <w:bCs/>
          <w:lang w:val="es-MX" w:eastAsia="x-none"/>
        </w:rPr>
        <w:t xml:space="preserve">) los contratos de crédito público; </w:t>
      </w:r>
      <w:proofErr w:type="spellStart"/>
      <w:r w:rsidRPr="00271FF6">
        <w:rPr>
          <w:rFonts w:ascii="Verdana" w:hAnsi="Verdana" w:cs="Arial"/>
          <w:bCs/>
          <w:lang w:val="es-MX" w:eastAsia="x-none"/>
        </w:rPr>
        <w:t>iii</w:t>
      </w:r>
      <w:proofErr w:type="spellEnd"/>
      <w:r w:rsidRPr="00271FF6">
        <w:rPr>
          <w:rFonts w:ascii="Verdana" w:hAnsi="Verdana" w:cs="Arial"/>
          <w:bCs/>
          <w:lang w:val="es-MX" w:eastAsia="x-none"/>
        </w:rPr>
        <w:t xml:space="preserve">) los requeridos para cubrir las emergencias educativas, sanitarias y desastres; </w:t>
      </w:r>
      <w:proofErr w:type="spellStart"/>
      <w:r w:rsidRPr="00271FF6">
        <w:rPr>
          <w:rFonts w:ascii="Verdana" w:hAnsi="Verdana" w:cs="Arial"/>
          <w:bCs/>
          <w:lang w:val="es-MX" w:eastAsia="x-none"/>
        </w:rPr>
        <w:t>iv</w:t>
      </w:r>
      <w:proofErr w:type="spellEnd"/>
      <w:r w:rsidRPr="00271FF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71FF6">
        <w:rPr>
          <w:rFonts w:ascii="Verdana" w:hAnsi="Verdana" w:cs="Arial"/>
          <w:bCs/>
          <w:lang w:val="es-MX" w:eastAsia="es-CO"/>
        </w:rPr>
        <w:t xml:space="preserve"> </w:t>
      </w:r>
      <w:r w:rsidRPr="00271FF6">
        <w:rPr>
          <w:rFonts w:ascii="Verdana" w:eastAsia="Times New Roman" w:hAnsi="Verdana" w:cs="Arial"/>
          <w:lang w:eastAsia="es-CO"/>
        </w:rPr>
        <w:t xml:space="preserve">  </w:t>
      </w:r>
    </w:p>
    <w:p w14:paraId="28EE69A9" w14:textId="77777777" w:rsidR="00D422F8" w:rsidRPr="00667CD6" w:rsidRDefault="00D422F8" w:rsidP="00D422F8">
      <w:pPr>
        <w:spacing w:before="120" w:after="0" w:line="276" w:lineRule="auto"/>
        <w:ind w:firstLine="708"/>
        <w:jc w:val="both"/>
        <w:rPr>
          <w:rFonts w:ascii="Verdana" w:eastAsia="Times New Roman" w:hAnsi="Verdana" w:cs="Arial"/>
          <w:lang w:eastAsia="es-CO"/>
        </w:rPr>
      </w:pPr>
      <w:r w:rsidRPr="00271FF6">
        <w:rPr>
          <w:rFonts w:ascii="Verdana" w:eastAsia="Times New Roman" w:hAnsi="Verdana" w:cs="Arial"/>
          <w:lang w:eastAsia="es-CO"/>
        </w:rPr>
        <w:t>En este punto, teniendo en cuenta lo señalado en el contenido de</w:t>
      </w:r>
      <w:r>
        <w:rPr>
          <w:rFonts w:ascii="Verdana" w:eastAsia="Times New Roman" w:hAnsi="Verdana" w:cs="Arial"/>
          <w:lang w:eastAsia="es-CO"/>
        </w:rPr>
        <w:t xml:space="preserv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13"/>
      </w:r>
      <w:r w:rsidRPr="00667CD6">
        <w:rPr>
          <w:rFonts w:ascii="Verdana" w:hAnsi="Verdana" w:cs="Arial"/>
        </w:rPr>
        <w:t xml:space="preserve">: </w:t>
      </w:r>
    </w:p>
    <w:p w14:paraId="5D583862" w14:textId="77777777" w:rsidR="00D422F8" w:rsidRPr="00667CD6" w:rsidRDefault="00D422F8" w:rsidP="00D422F8">
      <w:pPr>
        <w:spacing w:after="0" w:line="276" w:lineRule="auto"/>
        <w:ind w:firstLine="709"/>
        <w:jc w:val="both"/>
        <w:rPr>
          <w:rFonts w:ascii="Verdana" w:hAnsi="Verdana" w:cs="Arial"/>
        </w:rPr>
      </w:pPr>
    </w:p>
    <w:p w14:paraId="1C77E617" w14:textId="77777777" w:rsidR="00D422F8" w:rsidRPr="00667CD6" w:rsidRDefault="00D422F8" w:rsidP="00D422F8">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EC2B5B4" w14:textId="77777777" w:rsidR="00D422F8" w:rsidRPr="00667CD6" w:rsidRDefault="00D422F8" w:rsidP="00D422F8">
      <w:pPr>
        <w:spacing w:after="0" w:line="240" w:lineRule="auto"/>
        <w:ind w:left="709" w:right="709"/>
        <w:jc w:val="both"/>
        <w:rPr>
          <w:rFonts w:ascii="Verdana" w:hAnsi="Verdana" w:cs="Arial"/>
          <w:sz w:val="20"/>
          <w:szCs w:val="20"/>
        </w:rPr>
      </w:pPr>
    </w:p>
    <w:p w14:paraId="4EC1A0D1" w14:textId="77777777" w:rsidR="00D422F8" w:rsidRPr="00667CD6" w:rsidRDefault="00D422F8" w:rsidP="00D422F8">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5435760" w14:textId="77777777" w:rsidR="00D422F8" w:rsidRPr="00667CD6" w:rsidRDefault="00D422F8" w:rsidP="00D422F8">
      <w:pPr>
        <w:spacing w:after="0" w:line="276" w:lineRule="auto"/>
        <w:ind w:left="709" w:right="709"/>
        <w:jc w:val="both"/>
        <w:rPr>
          <w:rFonts w:ascii="Verdana" w:hAnsi="Verdana" w:cs="Arial"/>
        </w:rPr>
      </w:pPr>
    </w:p>
    <w:p w14:paraId="337BFBD5" w14:textId="77777777" w:rsidR="00D422F8" w:rsidRPr="00667CD6" w:rsidRDefault="00D422F8" w:rsidP="00D422F8">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lastRenderedPageBreak/>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678DAE5" w14:textId="77777777" w:rsidR="00D422F8" w:rsidRPr="00667CD6" w:rsidRDefault="00D422F8" w:rsidP="00D422F8">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14"/>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w:t>
      </w:r>
      <w:r w:rsidRPr="00667CD6">
        <w:rPr>
          <w:rFonts w:ascii="Verdana" w:eastAsia="Arial" w:hAnsi="Verdana" w:cs="Arial"/>
          <w:lang w:eastAsia="es-ES" w:bidi="es-ES"/>
        </w:rPr>
        <w:lastRenderedPageBreak/>
        <w:t xml:space="preserve">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57245BA" w14:textId="77777777" w:rsidR="00D422F8" w:rsidRDefault="00D422F8" w:rsidP="00D422F8">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BE9D5CD" w14:textId="77777777" w:rsidR="00D422F8" w:rsidRDefault="00D422F8" w:rsidP="00D422F8">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5"/>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4BBDC28" w14:textId="77777777" w:rsidR="00D422F8" w:rsidRPr="00670659" w:rsidRDefault="00D422F8" w:rsidP="00D422F8">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65F9DDB2" w14:textId="3EE86205" w:rsidR="00D422F8" w:rsidRDefault="00D422F8" w:rsidP="00CF4676">
      <w:pPr>
        <w:spacing w:after="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 xml:space="preserve">en la sentencia expedida por la Sección Tercera de la Sala de lo Contencioso </w:t>
      </w:r>
      <w:r w:rsidRPr="2035D652">
        <w:rPr>
          <w:rFonts w:ascii="Verdana" w:eastAsia="Times New Roman" w:hAnsi="Verdana" w:cs="Arial"/>
          <w:lang w:eastAsia="es-CO"/>
        </w:rPr>
        <w:lastRenderedPageBreak/>
        <w:t>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16"/>
      </w:r>
      <w:r>
        <w:rPr>
          <w:rFonts w:ascii="Verdana" w:eastAsia="Times New Roman" w:hAnsi="Verdana" w:cs="Arial"/>
          <w:lang w:eastAsia="es-CO"/>
        </w:rPr>
        <w:t>.</w:t>
      </w:r>
    </w:p>
    <w:p w14:paraId="7405220B" w14:textId="77777777" w:rsidR="00CF4676" w:rsidRDefault="00CF4676" w:rsidP="006E58C5">
      <w:pPr>
        <w:spacing w:after="0" w:line="276" w:lineRule="auto"/>
        <w:ind w:firstLine="709"/>
        <w:jc w:val="both"/>
        <w:rPr>
          <w:rFonts w:ascii="Verdana" w:eastAsia="Times New Roman" w:hAnsi="Verdana" w:cs="Arial"/>
          <w:lang w:eastAsia="es-CO"/>
        </w:rPr>
      </w:pPr>
    </w:p>
    <w:p w14:paraId="3DBAD68C" w14:textId="77777777" w:rsidR="00D422F8" w:rsidRPr="009271D6" w:rsidRDefault="00D422F8" w:rsidP="00D422F8">
      <w:pPr>
        <w:spacing w:after="120" w:line="276" w:lineRule="auto"/>
        <w:jc w:val="both"/>
        <w:rPr>
          <w:rFonts w:ascii="Verdana" w:eastAsia="Times New Roman" w:hAnsi="Verdana" w:cs="Times New Roman"/>
          <w:lang w:eastAsia="es-ES"/>
        </w:rPr>
      </w:pPr>
      <w:proofErr w:type="spellStart"/>
      <w:r>
        <w:rPr>
          <w:rFonts w:ascii="Verdana" w:eastAsia="Times New Roman" w:hAnsi="Verdana" w:cs="Arial"/>
          <w:lang w:eastAsia="es-CO"/>
        </w:rPr>
        <w:t>iv</w:t>
      </w:r>
      <w:proofErr w:type="spellEnd"/>
      <w:r w:rsidRPr="009271D6">
        <w:rPr>
          <w:rFonts w:ascii="Verdana" w:eastAsia="Times New Roman" w:hAnsi="Verdana" w:cs="Times New Roman"/>
          <w:lang w:eastAsia="es-ES"/>
        </w:rPr>
        <w:t xml:space="preserve">) Precisado lo anterior, respecto del objeto de su consulta debe advertirse que, la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“Absolver consultas sobre la aplicación de normas de carácter general” y “difundir las normas, reglas, procedimientos, medios tecnológicos y mejores prácticas para las compras y la contratación pública”, de conformidad con el numeral 5 y 10 del artículo 3 ibidem. </w:t>
      </w:r>
    </w:p>
    <w:p w14:paraId="43C58D61" w14:textId="77777777" w:rsidR="00D422F8" w:rsidRPr="009271D6" w:rsidRDefault="00D422F8" w:rsidP="00D422F8">
      <w:pPr>
        <w:spacing w:after="120" w:line="276" w:lineRule="auto"/>
        <w:ind w:firstLine="708"/>
        <w:jc w:val="both"/>
        <w:rPr>
          <w:rFonts w:ascii="Verdana" w:eastAsia="Times New Roman" w:hAnsi="Verdana" w:cs="Times New Roman"/>
          <w:lang w:eastAsia="es-ES"/>
        </w:rPr>
      </w:pPr>
      <w:r w:rsidRPr="009271D6">
        <w:rPr>
          <w:rFonts w:ascii="Verdana" w:eastAsia="Times New Roman" w:hAnsi="Verdana" w:cs="Times New Roman"/>
          <w:lang w:eastAsia="es-ES"/>
        </w:rPr>
        <w:t>Por un lado, de acuerdo con lo establecido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En ese sentido, resolver consultas sobre casos particulares desborda las atribuciones asignadas por el legislador, que no concibió a Colombia Compra Eficiente como una autoridad para solucionar problemas jurídicos particulares, especialmente, cuando el conocimiento de estos últimos corresponde resolverlos a los partícipes del sistema de compra pública y, eventualmente, a las autoridades judiciales y a los organismos de control.</w:t>
      </w:r>
    </w:p>
    <w:p w14:paraId="0CCD97E3" w14:textId="77777777" w:rsidR="00D422F8" w:rsidRPr="009271D6" w:rsidRDefault="00D422F8" w:rsidP="00D422F8">
      <w:pPr>
        <w:spacing w:after="120" w:line="276" w:lineRule="auto"/>
        <w:ind w:firstLine="590"/>
        <w:jc w:val="both"/>
        <w:rPr>
          <w:rFonts w:ascii="Verdana" w:eastAsia="Times New Roman" w:hAnsi="Verdana" w:cs="Times New Roman"/>
          <w:lang w:eastAsia="es-ES"/>
        </w:rPr>
      </w:pPr>
      <w:r w:rsidRPr="009271D6">
        <w:rPr>
          <w:rFonts w:ascii="Verdana" w:eastAsia="Times New Roman" w:hAnsi="Verdana" w:cs="Times New Roman"/>
          <w:lang w:eastAsia="es-ES"/>
        </w:rPr>
        <w:t xml:space="preserve">Por tanto, la competencia de esta Agencia se fija con límites claros, con el objeto de evitar que actúe como una instancia de validación de las actuaciones </w:t>
      </w:r>
      <w:r w:rsidRPr="009271D6">
        <w:rPr>
          <w:rFonts w:ascii="Verdana" w:eastAsia="Times New Roman" w:hAnsi="Verdana" w:cs="Times New Roman"/>
          <w:lang w:eastAsia="es-ES"/>
        </w:rPr>
        <w:lastRenderedPageBreak/>
        <w:t>de las entidades sujetas a la Ley 80 de 1993 o de los demás participantes de la contratación pública</w:t>
      </w:r>
      <w:r w:rsidRPr="00032EA1">
        <w:rPr>
          <w:rFonts w:ascii="Verdana" w:eastAsia="Times New Roman" w:hAnsi="Verdana" w:cs="Times New Roman"/>
          <w:vertAlign w:val="superscript"/>
          <w:lang w:eastAsia="es-ES"/>
        </w:rPr>
        <w:footnoteReference w:id="17"/>
      </w:r>
      <w:r w:rsidRPr="009271D6">
        <w:rPr>
          <w:rFonts w:ascii="Verdana" w:eastAsia="Times New Roman" w:hAnsi="Verdana" w:cs="Times New Roman"/>
          <w:lang w:eastAsia="es-ES"/>
        </w:rPr>
        <w:t>. Lo anterior, en la medida en que, para resolver una consulta de carácter particular, además de conocer un sinnúmero de detalles de la actuación administrativa, es necesario acceder al expediente y a los documentos del procedimiento contractual donde surge la inquietud; razón por la cual, al no ser un órgano judicial, ni una entidad de vigilancia, inspección o control en materia contractual, carece de la facultad para desempeñar estas funciones.</w:t>
      </w:r>
    </w:p>
    <w:p w14:paraId="4648842E" w14:textId="77777777" w:rsidR="00D422F8" w:rsidRPr="009271D6" w:rsidRDefault="00D422F8" w:rsidP="00D422F8">
      <w:pPr>
        <w:spacing w:after="0" w:line="276" w:lineRule="auto"/>
        <w:ind w:firstLine="709"/>
        <w:jc w:val="both"/>
        <w:rPr>
          <w:rFonts w:ascii="Verdana" w:eastAsia="Times New Roman" w:hAnsi="Verdana" w:cs="Times New Roman"/>
          <w:lang w:eastAsia="es-ES"/>
        </w:rPr>
      </w:pPr>
      <w:r w:rsidRPr="009271D6">
        <w:rPr>
          <w:rFonts w:ascii="Verdana" w:eastAsia="Times New Roman" w:hAnsi="Verdana" w:cs="Times New Roman"/>
          <w:lang w:eastAsia="es-ES"/>
        </w:rPr>
        <w:t>Ahora bien, el alcance de la competencia consultiva encuentra su fundamento normativo en el artículo 28 de la Ley 1437 de 2011, que dispone lo siguiente:</w:t>
      </w:r>
    </w:p>
    <w:p w14:paraId="6703B2B3" w14:textId="77777777" w:rsidR="00D422F8" w:rsidRPr="009271D6" w:rsidRDefault="00D422F8" w:rsidP="00D422F8">
      <w:pPr>
        <w:spacing w:after="0" w:line="276" w:lineRule="auto"/>
        <w:contextualSpacing/>
        <w:rPr>
          <w:rFonts w:ascii="Verdana" w:eastAsia="Times New Roman" w:hAnsi="Verdana" w:cs="Times New Roman"/>
          <w:sz w:val="20"/>
          <w:szCs w:val="20"/>
          <w:lang w:eastAsia="es-ES"/>
        </w:rPr>
      </w:pPr>
    </w:p>
    <w:p w14:paraId="13EB5CA4" w14:textId="77777777" w:rsidR="00D422F8" w:rsidRPr="009271D6" w:rsidRDefault="00D422F8" w:rsidP="00D422F8">
      <w:pPr>
        <w:spacing w:after="0" w:line="240" w:lineRule="auto"/>
        <w:ind w:left="709" w:right="709"/>
        <w:contextualSpacing/>
        <w:jc w:val="both"/>
        <w:rPr>
          <w:rFonts w:ascii="Verdana" w:eastAsia="Times New Roman" w:hAnsi="Verdana" w:cs="Times New Roman"/>
          <w:sz w:val="20"/>
          <w:szCs w:val="20"/>
          <w:lang w:eastAsia="es-ES"/>
        </w:rPr>
      </w:pPr>
      <w:r w:rsidRPr="009271D6">
        <w:rPr>
          <w:rFonts w:ascii="Verdana" w:eastAsia="Times New Roman" w:hAnsi="Verdana" w:cs="Times New Roman"/>
          <w:sz w:val="20"/>
          <w:szCs w:val="20"/>
          <w:lang w:eastAsia="es-ES"/>
        </w:rPr>
        <w:t>“Artículo 28. Alcance de los conceptos. Salvo disposición legal en contrario, los conceptos emitidos por las autoridades como respuestas a peticiones realizadas en ejercicio del derecho a formular consultas no serán de obligatorio cumplimiento o ejecución”. [Énfasis fuera del texto original]</w:t>
      </w:r>
    </w:p>
    <w:p w14:paraId="474DAA5D" w14:textId="77777777" w:rsidR="00D422F8" w:rsidRPr="009271D6" w:rsidRDefault="00D422F8" w:rsidP="00D422F8">
      <w:pPr>
        <w:spacing w:after="0" w:line="276" w:lineRule="auto"/>
        <w:contextualSpacing/>
        <w:rPr>
          <w:rFonts w:ascii="Verdana" w:eastAsia="Times New Roman" w:hAnsi="Verdana" w:cs="Times New Roman"/>
          <w:lang w:eastAsia="es-ES"/>
        </w:rPr>
      </w:pPr>
    </w:p>
    <w:p w14:paraId="098D80C3" w14:textId="77777777" w:rsidR="00D422F8" w:rsidRPr="009271D6" w:rsidRDefault="00D422F8" w:rsidP="00D422F8">
      <w:pPr>
        <w:spacing w:after="120" w:line="276" w:lineRule="auto"/>
        <w:ind w:firstLine="708"/>
        <w:jc w:val="both"/>
        <w:rPr>
          <w:rFonts w:ascii="Verdana" w:eastAsia="Times New Roman" w:hAnsi="Verdana" w:cs="Times New Roman"/>
          <w:lang w:eastAsia="es-ES"/>
        </w:rPr>
      </w:pPr>
      <w:r w:rsidRPr="009271D6">
        <w:rPr>
          <w:rFonts w:ascii="Verdana" w:eastAsia="Times New Roman" w:hAnsi="Verdana" w:cs="Times New Roman"/>
          <w:lang w:eastAsia="es-ES"/>
        </w:rPr>
        <w:t>La norma citada prescribe que los conceptos emitidos por las autoridades, como respuestas a peticiones realizadas en ejercicio del derecho a formular consultas, no son de obligatorio cumplimiento o de imperativa ejecución, es decir, no tienen efectos vinculantes. En particular, es preciso advertir que los conceptos contienen la posición hermenéutica de la Subdirección de Gestión Contractual en relación con determinado aspecto del ordenamiento jurídico. Esta competencia de interpretación de normas generales, por definición, no puede extenderse a la resolución de controversias, ni a brindar asesorías sobre casos puntuales.</w:t>
      </w:r>
    </w:p>
    <w:p w14:paraId="14917D8D" w14:textId="15CB38A3" w:rsidR="00D422F8" w:rsidRDefault="00D422F8" w:rsidP="006E58C5">
      <w:pPr>
        <w:spacing w:after="0" w:line="276" w:lineRule="auto"/>
        <w:ind w:firstLine="708"/>
        <w:jc w:val="both"/>
        <w:rPr>
          <w:rFonts w:ascii="Verdana" w:eastAsia="Times New Roman" w:hAnsi="Verdana" w:cs="Times New Roman"/>
          <w:lang w:eastAsia="es-ES"/>
        </w:rPr>
      </w:pPr>
      <w:r w:rsidRPr="009271D6">
        <w:rPr>
          <w:rFonts w:ascii="Verdana" w:eastAsia="Times New Roman" w:hAnsi="Verdana" w:cs="Times New Roman"/>
          <w:lang w:eastAsia="es-ES"/>
        </w:rPr>
        <w:t xml:space="preserve">En otras palabras, los conceptos de esta Agencia tienen como objeto la interpretación de normas de carácter general, esto es, del ordenamiento jurídico </w:t>
      </w:r>
      <w:r w:rsidRPr="009271D6">
        <w:rPr>
          <w:rFonts w:ascii="Verdana" w:eastAsia="Times New Roman" w:hAnsi="Verdana" w:cs="Times New Roman"/>
          <w:lang w:eastAsia="es-ES"/>
        </w:rPr>
        <w:lastRenderedPageBreak/>
        <w:t>en abstracto, no la resolución de controversias o la asesoría para casos concretos</w:t>
      </w:r>
      <w:r w:rsidR="00CF4676">
        <w:rPr>
          <w:rFonts w:ascii="Verdana" w:eastAsia="Times New Roman" w:hAnsi="Verdana" w:cs="Times New Roman"/>
          <w:lang w:eastAsia="es-ES"/>
        </w:rPr>
        <w:t>. A</w:t>
      </w:r>
      <w:r w:rsidRPr="009271D6">
        <w:rPr>
          <w:rFonts w:ascii="Verdana" w:eastAsia="Times New Roman" w:hAnsi="Verdana" w:cs="Times New Roman"/>
          <w:lang w:eastAsia="es-ES"/>
        </w:rPr>
        <w:t>demás, no son vinculantes o de obligatorio cumplimiento para el destinatario, sino que expresan la posición interpretativa del organismo que elabora el concepto</w:t>
      </w:r>
      <w:r w:rsidR="00CF4676">
        <w:rPr>
          <w:rFonts w:ascii="Verdana" w:eastAsia="Times New Roman" w:hAnsi="Verdana" w:cs="Times New Roman"/>
          <w:lang w:eastAsia="es-ES"/>
        </w:rPr>
        <w:t xml:space="preserve">, razón por la cual no es posible acceder a su petición respecto a que el presente concepto tenga un carácter vinculante. </w:t>
      </w:r>
    </w:p>
    <w:p w14:paraId="1023AF1B" w14:textId="77777777" w:rsidR="00CF4676" w:rsidRPr="00CF4676" w:rsidRDefault="00CF4676" w:rsidP="006E58C5">
      <w:pPr>
        <w:spacing w:after="0" w:line="276" w:lineRule="auto"/>
        <w:ind w:firstLine="708"/>
        <w:jc w:val="both"/>
        <w:rPr>
          <w:rFonts w:ascii="Verdana" w:eastAsia="Calibri" w:hAnsi="Verdana" w:cs="Arial"/>
          <w:color w:val="4472C4" w:themeColor="accent1"/>
          <w:lang w:val="es-ES"/>
        </w:rPr>
      </w:pPr>
    </w:p>
    <w:bookmarkEnd w:id="1"/>
    <w:bookmarkEnd w:id="2"/>
    <w:p w14:paraId="2C8A535B" w14:textId="77777777" w:rsidR="00D422F8" w:rsidRPr="00CF4676" w:rsidRDefault="00D422F8" w:rsidP="00CF4676">
      <w:pPr>
        <w:tabs>
          <w:tab w:val="left" w:pos="142"/>
          <w:tab w:val="left" w:pos="284"/>
        </w:tabs>
        <w:spacing w:after="0" w:line="276" w:lineRule="auto"/>
        <w:jc w:val="both"/>
        <w:rPr>
          <w:rFonts w:ascii="Verdana" w:eastAsia="Century Gothic" w:hAnsi="Verdana" w:cs="Century Gothic"/>
          <w:b/>
          <w:color w:val="4472C4" w:themeColor="accent1"/>
          <w:lang w:val="es-ES"/>
        </w:rPr>
      </w:pPr>
      <w:r w:rsidRPr="00CF4676">
        <w:rPr>
          <w:rFonts w:ascii="Verdana" w:eastAsia="Century Gothic" w:hAnsi="Verdana" w:cs="Century Gothic"/>
          <w:b/>
          <w:lang w:val="es-ES"/>
        </w:rPr>
        <w:t>4. Referencias normativas, jurisprudenciales y otras fuentes:</w:t>
      </w:r>
    </w:p>
    <w:p w14:paraId="51AC8853" w14:textId="77777777" w:rsidR="00D422F8" w:rsidRPr="00CF4676" w:rsidRDefault="00D422F8">
      <w:pPr>
        <w:widowControl w:val="0"/>
        <w:autoSpaceDE w:val="0"/>
        <w:autoSpaceDN w:val="0"/>
        <w:spacing w:after="0" w:line="276" w:lineRule="auto"/>
        <w:jc w:val="both"/>
        <w:rPr>
          <w:rFonts w:ascii="Verdana" w:hAnsi="Verdana" w:cs="Arial"/>
          <w:color w:val="4472C4" w:themeColor="accen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22F8" w:rsidRPr="00CF4676" w14:paraId="7A680FEE" w14:textId="77777777" w:rsidTr="00A723C1">
        <w:trPr>
          <w:trHeight w:val="870"/>
        </w:trPr>
        <w:tc>
          <w:tcPr>
            <w:tcW w:w="8647" w:type="dxa"/>
          </w:tcPr>
          <w:p w14:paraId="62F6AFD1"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Arial MT" w:hAnsi="Verdana" w:cs="Arial"/>
                <w:lang w:val="es-ES" w:eastAsia="es-ES" w:bidi="es-ES"/>
              </w:rPr>
              <w:t>Constitución Política de Colombia. Artículo 127.</w:t>
            </w:r>
          </w:p>
          <w:p w14:paraId="2CC3D2B2" w14:textId="77777777" w:rsidR="00D422F8" w:rsidRPr="00CF4676" w:rsidRDefault="00D422F8">
            <w:pPr>
              <w:pStyle w:val="Prrafodelista"/>
              <w:numPr>
                <w:ilvl w:val="0"/>
                <w:numId w:val="16"/>
              </w:numPr>
              <w:spacing w:line="276" w:lineRule="auto"/>
              <w:ind w:left="714" w:hanging="357"/>
              <w:jc w:val="both"/>
              <w:rPr>
                <w:rFonts w:ascii="Verdana" w:hAnsi="Verdana" w:cs="Arial"/>
              </w:rPr>
            </w:pPr>
            <w:r w:rsidRPr="00CF4676">
              <w:rPr>
                <w:rFonts w:ascii="Verdana" w:hAnsi="Verdana" w:cs="Arial"/>
              </w:rPr>
              <w:t>Ley 80 de 1993. Artículo 41.</w:t>
            </w:r>
          </w:p>
          <w:p w14:paraId="6F76D479"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Arial MT" w:hAnsi="Verdana" w:cs="Arial"/>
                <w:bCs/>
                <w:lang w:val="es-ES" w:eastAsia="es-ES" w:bidi="es-ES"/>
              </w:rPr>
              <w:t>Ley 996 de 2005. Artículos 33 y 38.</w:t>
            </w:r>
          </w:p>
          <w:p w14:paraId="3CC20FAE"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Times New Roman" w:hAnsi="Verdana" w:cs="Times New Roman"/>
                <w:lang w:val="es-ES" w:eastAsia="es-MX"/>
              </w:rPr>
              <w:t xml:space="preserve">Ley 1150 de 2007. </w:t>
            </w:r>
            <w:r w:rsidRPr="00CF4676">
              <w:rPr>
                <w:rFonts w:ascii="Verdana" w:eastAsia="Arial MT" w:hAnsi="Verdana" w:cs="Arial"/>
                <w:lang w:val="es-ES" w:eastAsia="es-ES" w:bidi="es-ES"/>
              </w:rPr>
              <w:t xml:space="preserve">Artículo 2, numeral 4. </w:t>
            </w:r>
          </w:p>
          <w:p w14:paraId="7BE06B70"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Times New Roman" w:hAnsi="Verdana" w:cs="Times New Roman"/>
                <w:lang w:eastAsia="es-ES"/>
              </w:rPr>
              <w:t>Ley 1437 de 2011. Artículo 28.</w:t>
            </w:r>
          </w:p>
          <w:p w14:paraId="6B8690BC"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Times New Roman" w:hAnsi="Verdana" w:cs="Times New Roman"/>
                <w:lang w:eastAsia="es-ES"/>
              </w:rPr>
              <w:t>Decreto Ley 4170 de 2011. Artículo 3.</w:t>
            </w:r>
          </w:p>
          <w:p w14:paraId="246B6F9D"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Arial MT" w:hAnsi="Verdana" w:cs="Arial"/>
                <w:lang w:val="es-ES" w:eastAsia="es-ES" w:bidi="es-ES"/>
              </w:rPr>
              <w:t>Corte Constitucional. Sentencia C- 1153 de 2005. M.P. Marco Gerardo Monroy Cabra.</w:t>
            </w:r>
          </w:p>
          <w:p w14:paraId="48A5A27E"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Arial MT" w:hAnsi="Verdana" w:cs="Arial"/>
                <w:lang w:val="es-ES" w:eastAsia="es-ES" w:bidi="es-ES"/>
              </w:rPr>
              <w:t xml:space="preserve">Consejo de Estado. Sala de lo Contencioso Administrativo. Sección Primera. Sentencia del 3 de marzo de 2005, </w:t>
            </w:r>
            <w:proofErr w:type="spellStart"/>
            <w:r w:rsidRPr="00CF4676">
              <w:rPr>
                <w:rFonts w:ascii="Verdana" w:eastAsia="Arial MT" w:hAnsi="Verdana" w:cs="Arial"/>
                <w:lang w:val="es-ES" w:eastAsia="es-ES" w:bidi="es-ES"/>
              </w:rPr>
              <w:t>Exp</w:t>
            </w:r>
            <w:proofErr w:type="spellEnd"/>
            <w:r w:rsidRPr="00CF4676">
              <w:rPr>
                <w:rFonts w:ascii="Verdana" w:eastAsia="Arial MT" w:hAnsi="Verdana" w:cs="Arial"/>
                <w:lang w:val="es-ES" w:eastAsia="es-ES" w:bidi="es-ES"/>
              </w:rPr>
              <w:t>. 2004-00823-01(PI).</w:t>
            </w:r>
          </w:p>
          <w:p w14:paraId="1557880E" w14:textId="77777777" w:rsidR="00D422F8" w:rsidRPr="00CF4676" w:rsidRDefault="00D422F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CF4676">
              <w:rPr>
                <w:rFonts w:ascii="Verdana" w:eastAsia="Arial MT" w:hAnsi="Verdana" w:cs="Arial"/>
                <w:lang w:val="es-ES" w:eastAsia="es-ES" w:bidi="es-ES"/>
              </w:rPr>
              <w:t xml:space="preserve">Consejo de Estado, Sala de Consulta y Servicio Civil, Concepto de fecha 24 de julio de 2013, Rad. 2166, C. P. Álvaro </w:t>
            </w:r>
            <w:proofErr w:type="spellStart"/>
            <w:r w:rsidRPr="00CF4676">
              <w:rPr>
                <w:rFonts w:ascii="Verdana" w:eastAsia="Arial MT" w:hAnsi="Verdana" w:cs="Arial"/>
                <w:lang w:val="es-ES" w:eastAsia="es-ES" w:bidi="es-ES"/>
              </w:rPr>
              <w:t>Namén</w:t>
            </w:r>
            <w:proofErr w:type="spellEnd"/>
            <w:r w:rsidRPr="00CF4676">
              <w:rPr>
                <w:rFonts w:ascii="Verdana" w:eastAsia="Arial MT" w:hAnsi="Verdana" w:cs="Arial"/>
                <w:lang w:val="es-ES" w:eastAsia="es-ES" w:bidi="es-ES"/>
              </w:rPr>
              <w:t xml:space="preserve"> Vargas. </w:t>
            </w:r>
          </w:p>
          <w:p w14:paraId="5A0B311D" w14:textId="77777777" w:rsidR="00D422F8" w:rsidRPr="00CF4676" w:rsidRDefault="00D422F8">
            <w:pPr>
              <w:pStyle w:val="Prrafodelista"/>
              <w:numPr>
                <w:ilvl w:val="0"/>
                <w:numId w:val="16"/>
              </w:numPr>
              <w:spacing w:line="276" w:lineRule="auto"/>
              <w:ind w:left="714" w:hanging="357"/>
              <w:jc w:val="both"/>
              <w:rPr>
                <w:rFonts w:ascii="Verdana" w:eastAsia="Arial MT" w:hAnsi="Verdana" w:cs="Arial"/>
                <w:lang w:eastAsia="es-ES" w:bidi="es-ES"/>
              </w:rPr>
            </w:pPr>
            <w:r w:rsidRPr="00CF4676">
              <w:rPr>
                <w:rFonts w:ascii="Verdana" w:eastAsia="Arial MT" w:hAnsi="Verdana" w:cs="Arial"/>
                <w:lang w:eastAsia="es-ES" w:bidi="es-ES"/>
              </w:rPr>
              <w:t>Consejo de Estado. Sala de Consulta y Servicio Civil. Concepto del 17 de febrero de 2015. C.P. William Zambrano Cetina. Radicación No. 11001-03-06-000-2015-00164-00(2269).</w:t>
            </w:r>
          </w:p>
        </w:tc>
      </w:tr>
    </w:tbl>
    <w:p w14:paraId="05381AF8" w14:textId="77777777" w:rsidR="00D422F8" w:rsidRPr="00CF4676" w:rsidRDefault="00D422F8" w:rsidP="00CF4676">
      <w:pPr>
        <w:widowControl w:val="0"/>
        <w:autoSpaceDE w:val="0"/>
        <w:autoSpaceDN w:val="0"/>
        <w:spacing w:after="0" w:line="276" w:lineRule="auto"/>
        <w:jc w:val="both"/>
        <w:rPr>
          <w:rFonts w:ascii="Verdana" w:hAnsi="Verdana" w:cs="Arial"/>
          <w:lang w:val="es-ES"/>
        </w:rPr>
      </w:pPr>
    </w:p>
    <w:p w14:paraId="546F5929" w14:textId="77777777" w:rsidR="00D422F8" w:rsidRPr="00CF4676" w:rsidRDefault="00D422F8">
      <w:pPr>
        <w:tabs>
          <w:tab w:val="left" w:pos="142"/>
          <w:tab w:val="left" w:pos="284"/>
        </w:tabs>
        <w:spacing w:after="0" w:line="276" w:lineRule="auto"/>
        <w:jc w:val="both"/>
        <w:rPr>
          <w:rFonts w:ascii="Verdana" w:eastAsia="Century Gothic" w:hAnsi="Verdana" w:cs="Century Gothic"/>
          <w:b/>
          <w:lang w:val="es-ES"/>
        </w:rPr>
      </w:pPr>
      <w:r w:rsidRPr="00CF4676">
        <w:rPr>
          <w:rFonts w:ascii="Verdana" w:eastAsia="Century Gothic" w:hAnsi="Verdana" w:cs="Century Gothic"/>
          <w:b/>
          <w:lang w:val="es-ES"/>
        </w:rPr>
        <w:t>5. Doctrina de la Agencia Nacional de Contratación Pública:</w:t>
      </w:r>
    </w:p>
    <w:p w14:paraId="4EBC5528" w14:textId="77777777" w:rsidR="00D422F8" w:rsidRPr="00CF4676" w:rsidRDefault="00D422F8">
      <w:pPr>
        <w:widowControl w:val="0"/>
        <w:autoSpaceDE w:val="0"/>
        <w:autoSpaceDN w:val="0"/>
        <w:spacing w:after="0" w:line="276" w:lineRule="auto"/>
        <w:jc w:val="both"/>
        <w:rPr>
          <w:rFonts w:ascii="Verdana" w:hAnsi="Verdana" w:cs="Arial"/>
          <w:color w:val="4472C4" w:themeColor="accent1"/>
          <w:lang w:val="es-ES"/>
        </w:rPr>
      </w:pPr>
    </w:p>
    <w:p w14:paraId="2A1BC283" w14:textId="77777777" w:rsidR="00D422F8" w:rsidRPr="00CF4676" w:rsidRDefault="00D422F8" w:rsidP="006E58C5">
      <w:pPr>
        <w:spacing w:after="0" w:line="276" w:lineRule="auto"/>
        <w:jc w:val="both"/>
        <w:rPr>
          <w:rFonts w:ascii="Verdana" w:hAnsi="Verdana" w:cs="Arial"/>
          <w:color w:val="4472C4" w:themeColor="accent1"/>
          <w:shd w:val="clear" w:color="auto" w:fill="FFFFFF"/>
          <w:lang w:val="es-ES"/>
        </w:rPr>
      </w:pPr>
      <w:r w:rsidRPr="00CF4676">
        <w:rPr>
          <w:rFonts w:ascii="Verdana" w:eastAsia="Calibri" w:hAnsi="Verdana" w:cs="Arial"/>
          <w:color w:val="000000" w:themeColor="text1"/>
          <w:lang w:val="es-ES"/>
        </w:rPr>
        <w:t xml:space="preserve">La Agencia Nacional de Contratación Pública – Colombia Compra Eficiente se ha referido </w:t>
      </w:r>
      <w:r w:rsidRPr="00CF4676">
        <w:rPr>
          <w:rFonts w:ascii="Verdana" w:hAnsi="Verdana" w:cs="Arial"/>
          <w:color w:val="000000" w:themeColor="text1"/>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w:t>
      </w:r>
      <w:r w:rsidRPr="00CF4676">
        <w:rPr>
          <w:rFonts w:ascii="Verdana" w:hAnsi="Verdana" w:cs="Arial"/>
          <w:color w:val="000000" w:themeColor="text1"/>
          <w:shd w:val="clear" w:color="auto" w:fill="FFFFFF"/>
          <w:lang w:val="es-ES"/>
        </w:rPr>
        <w:lastRenderedPageBreak/>
        <w:t>180 del 21 de marzo de 2025, C-317 del 25 de abril de 2025, C-510 del 4 de junio de 2025, C -635 del 27 de junio de 2025, C–750 de 17 de julio 2025, C-729 del 15 de Julio de 2015 y C-273-A de 2025, entre otros. Sobre la aplicación de esta ley y la contratación del PIC se refirió en los conceptos C ‒ 044 del 04 de marzo de 2022, C ‒ 158 del 04 de abril de 2022, C ‒ 364 del 20 de mayo de 2022, C-979 del 25 de agosto de 2025, C- 1296 del 17 de octubre de 2025 y C-1507 del 26 de noviembre de 2025</w:t>
      </w:r>
      <w:r w:rsidRPr="00CF4676">
        <w:rPr>
          <w:rFonts w:ascii="Verdana" w:hAnsi="Verdana" w:cs="Arial"/>
          <w:color w:val="4472C4" w:themeColor="accent1"/>
          <w:shd w:val="clear" w:color="auto" w:fill="FFFFFF"/>
          <w:lang w:val="es-ES"/>
        </w:rPr>
        <w:t>.</w:t>
      </w:r>
    </w:p>
    <w:p w14:paraId="0601F369" w14:textId="77777777" w:rsidR="00D422F8" w:rsidRPr="00CF4676" w:rsidRDefault="00D422F8" w:rsidP="006E58C5">
      <w:pPr>
        <w:spacing w:after="0" w:line="276" w:lineRule="auto"/>
        <w:jc w:val="both"/>
        <w:rPr>
          <w:rFonts w:ascii="Verdana" w:hAnsi="Verdana" w:cs="Arial"/>
          <w:color w:val="4472C4" w:themeColor="accent1"/>
          <w:shd w:val="clear" w:color="auto" w:fill="FFFFFF"/>
          <w:lang w:val="es-ES"/>
        </w:rPr>
      </w:pPr>
    </w:p>
    <w:p w14:paraId="13E3B221" w14:textId="77777777" w:rsidR="00D422F8" w:rsidRPr="006E58C5" w:rsidRDefault="00D422F8" w:rsidP="006E58C5">
      <w:pPr>
        <w:spacing w:after="0" w:line="276" w:lineRule="auto"/>
        <w:jc w:val="both"/>
        <w:rPr>
          <w:rFonts w:ascii="Verdana" w:hAnsi="Verdana"/>
          <w:lang w:val="es-ES"/>
        </w:rPr>
      </w:pPr>
      <w:r w:rsidRPr="00CF4676">
        <w:rPr>
          <w:rFonts w:ascii="Verdana" w:hAnsi="Verdana" w:cs="Arial"/>
          <w:shd w:val="clear" w:color="auto" w:fill="FFFFFF"/>
          <w:lang w:val="es-ES"/>
        </w:rPr>
        <w:t>Estos</w:t>
      </w:r>
      <w:r w:rsidRPr="00CF4676">
        <w:rPr>
          <w:rFonts w:ascii="Verdana" w:hAnsi="Verdana"/>
          <w:lang w:val="es-ES"/>
        </w:rPr>
        <w:t xml:space="preserve"> y otros se encuentran disponibles para consulta en el Sistema de relatoría de la Agencia, al cual se puede acceder a través del siguiente enlace:</w:t>
      </w:r>
      <w:r w:rsidRPr="00CF4676">
        <w:rPr>
          <w:rFonts w:ascii="Verdana" w:hAnsi="Verdana" w:cs="Arial"/>
          <w:shd w:val="clear" w:color="auto" w:fill="FFFFFF"/>
          <w:lang w:val="es-ES"/>
        </w:rPr>
        <w:t xml:space="preserve"> </w:t>
      </w:r>
      <w:hyperlink r:id="rId12" w:history="1">
        <w:r w:rsidRPr="00CF4676">
          <w:rPr>
            <w:rStyle w:val="Hipervnculo"/>
            <w:rFonts w:ascii="Verdana" w:hAnsi="Verdana" w:cs="Arial"/>
            <w:shd w:val="clear" w:color="auto" w:fill="FFFFFF"/>
            <w:lang w:val="es-ES"/>
          </w:rPr>
          <w:t>https://relatoria.colombiacompra.gov.co/busqueda/conceptos</w:t>
        </w:r>
      </w:hyperlink>
    </w:p>
    <w:p w14:paraId="21354B32" w14:textId="77777777" w:rsidR="00D422F8" w:rsidRPr="00CF4676" w:rsidRDefault="00D422F8" w:rsidP="006E58C5">
      <w:pPr>
        <w:spacing w:after="0" w:line="276" w:lineRule="auto"/>
        <w:jc w:val="both"/>
        <w:rPr>
          <w:rFonts w:ascii="Verdana" w:hAnsi="Verdana" w:cs="Arial"/>
          <w:color w:val="4472C4" w:themeColor="accent1"/>
          <w:shd w:val="clear" w:color="auto" w:fill="FFFFFF"/>
          <w:lang w:val="es-ES"/>
        </w:rPr>
      </w:pPr>
    </w:p>
    <w:p w14:paraId="14928147" w14:textId="77777777" w:rsidR="00D422F8" w:rsidRPr="00CF4676" w:rsidRDefault="00D422F8" w:rsidP="006E58C5">
      <w:pPr>
        <w:spacing w:after="0" w:line="276" w:lineRule="auto"/>
        <w:jc w:val="both"/>
        <w:rPr>
          <w:rFonts w:ascii="Verdana" w:hAnsi="Verdana" w:cs="Arial"/>
          <w:color w:val="4472C4" w:themeColor="accent1"/>
          <w:shd w:val="clear" w:color="auto" w:fill="FFFFFF"/>
        </w:rPr>
      </w:pPr>
      <w:r w:rsidRPr="00CF4676">
        <w:rPr>
          <w:rFonts w:ascii="Verdana" w:hAnsi="Verdana" w:cs="Arial"/>
          <w:shd w:val="clear" w:color="auto" w:fill="FFFFFF"/>
        </w:rPr>
        <w:t>También le contamos que ya se encuentra disponible la </w:t>
      </w:r>
      <w:r w:rsidRPr="00CF4676">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CF4676">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F4676">
        <w:rPr>
          <w:rFonts w:ascii="Verdana" w:hAnsi="Verdana" w:cs="Arial"/>
          <w:shd w:val="clear" w:color="auto" w:fill="FFFFFF"/>
        </w:rPr>
        <w:t>Wayúu</w:t>
      </w:r>
      <w:proofErr w:type="spellEnd"/>
      <w:r w:rsidRPr="00CF4676">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CF4676">
          <w:rPr>
            <w:rStyle w:val="Hipervnculo"/>
            <w:rFonts w:ascii="Verdana" w:hAnsi="Verdana" w:cs="Arial"/>
            <w:color w:val="0000CC"/>
            <w:shd w:val="clear" w:color="auto" w:fill="FFFFFF"/>
          </w:rPr>
          <w:t>Guía de lineamientos de transparencia y selección objetiva para el departamento de La Guajira – Objetivo sexto constitucional de la Sentencia T-302 del 2017</w:t>
        </w:r>
      </w:hyperlink>
    </w:p>
    <w:p w14:paraId="5376388A" w14:textId="77777777" w:rsidR="00D422F8" w:rsidRPr="00CF4676" w:rsidRDefault="00D422F8" w:rsidP="006E58C5">
      <w:pPr>
        <w:spacing w:after="0" w:line="276" w:lineRule="auto"/>
        <w:jc w:val="both"/>
        <w:rPr>
          <w:rFonts w:ascii="Verdana" w:hAnsi="Verdana" w:cs="Arial"/>
          <w:color w:val="4472C4" w:themeColor="accent1"/>
          <w:shd w:val="clear" w:color="auto" w:fill="FFFFFF"/>
        </w:rPr>
      </w:pPr>
    </w:p>
    <w:p w14:paraId="7963E55D" w14:textId="77777777" w:rsidR="00D422F8" w:rsidRPr="00CF4676" w:rsidRDefault="00D422F8" w:rsidP="006E58C5">
      <w:pPr>
        <w:spacing w:after="0" w:line="276" w:lineRule="auto"/>
        <w:jc w:val="both"/>
        <w:rPr>
          <w:rFonts w:ascii="Verdana" w:hAnsi="Verdana" w:cs="Arial"/>
          <w:shd w:val="clear" w:color="auto" w:fill="FFFFFF"/>
        </w:rPr>
      </w:pPr>
      <w:r w:rsidRPr="00CF4676">
        <w:rPr>
          <w:rFonts w:ascii="Verdana" w:hAnsi="Verdana" w:cs="Arial"/>
          <w:shd w:val="clear" w:color="auto" w:fill="FFFFFF"/>
        </w:rPr>
        <w:t xml:space="preserve">Por último, lo invitamos a seguirnos en las redes sociales en las cuales se difunde información institucional: </w:t>
      </w:r>
    </w:p>
    <w:p w14:paraId="08631BD2" w14:textId="77777777" w:rsidR="00D422F8" w:rsidRPr="00CF4676" w:rsidRDefault="00D422F8" w:rsidP="006E58C5">
      <w:pPr>
        <w:spacing w:after="0" w:line="276" w:lineRule="auto"/>
        <w:jc w:val="both"/>
        <w:rPr>
          <w:rFonts w:ascii="Verdana" w:hAnsi="Verdana" w:cs="Arial"/>
          <w:color w:val="4472C4" w:themeColor="accent1"/>
          <w:shd w:val="clear" w:color="auto" w:fill="FFFFFF"/>
        </w:rPr>
      </w:pPr>
    </w:p>
    <w:p w14:paraId="5D2F04A7" w14:textId="77777777" w:rsidR="00D422F8" w:rsidRPr="00CF4676" w:rsidRDefault="00D422F8" w:rsidP="006E58C5">
      <w:pPr>
        <w:spacing w:after="0" w:line="276" w:lineRule="auto"/>
        <w:jc w:val="both"/>
        <w:rPr>
          <w:rFonts w:ascii="Verdana" w:hAnsi="Verdana" w:cs="Arial"/>
          <w:shd w:val="clear" w:color="auto" w:fill="FFFFFF"/>
        </w:rPr>
      </w:pPr>
      <w:r w:rsidRPr="00CF4676">
        <w:rPr>
          <w:rFonts w:ascii="Verdana" w:hAnsi="Verdana" w:cs="Arial"/>
          <w:shd w:val="clear" w:color="auto" w:fill="FFFFFF"/>
        </w:rPr>
        <w:t xml:space="preserve">Twitter: </w:t>
      </w:r>
      <w:r w:rsidRPr="00CF4676">
        <w:rPr>
          <w:rFonts w:ascii="Verdana" w:hAnsi="Verdana" w:cs="Arial"/>
          <w:color w:val="0000CC"/>
          <w:u w:val="single"/>
          <w:shd w:val="clear" w:color="auto" w:fill="FFFFFF"/>
        </w:rPr>
        <w:t>@colombiacompra</w:t>
      </w:r>
      <w:r w:rsidRPr="00CF4676">
        <w:rPr>
          <w:rFonts w:ascii="Verdana" w:hAnsi="Verdana" w:cs="Arial"/>
          <w:color w:val="0000CC"/>
          <w:shd w:val="clear" w:color="auto" w:fill="FFFFFF"/>
        </w:rPr>
        <w:t xml:space="preserve"> </w:t>
      </w:r>
    </w:p>
    <w:p w14:paraId="6FD271CD" w14:textId="77777777" w:rsidR="00D422F8" w:rsidRPr="00CF4676" w:rsidRDefault="00D422F8" w:rsidP="006E58C5">
      <w:pPr>
        <w:spacing w:after="0" w:line="276" w:lineRule="auto"/>
        <w:jc w:val="both"/>
        <w:rPr>
          <w:rFonts w:ascii="Verdana" w:hAnsi="Verdana" w:cs="Arial"/>
          <w:shd w:val="clear" w:color="auto" w:fill="FFFFFF"/>
        </w:rPr>
      </w:pPr>
      <w:r w:rsidRPr="00CF4676">
        <w:rPr>
          <w:rFonts w:ascii="Verdana" w:hAnsi="Verdana" w:cs="Arial"/>
          <w:shd w:val="clear" w:color="auto" w:fill="FFFFFF"/>
        </w:rPr>
        <w:t xml:space="preserve">Facebook: </w:t>
      </w:r>
      <w:proofErr w:type="spellStart"/>
      <w:r w:rsidRPr="00CF4676">
        <w:rPr>
          <w:rFonts w:ascii="Verdana" w:hAnsi="Verdana" w:cs="Arial"/>
          <w:color w:val="0000CC"/>
          <w:u w:val="single"/>
          <w:shd w:val="clear" w:color="auto" w:fill="FFFFFF"/>
        </w:rPr>
        <w:t>ColombiaCompraEficiente</w:t>
      </w:r>
      <w:proofErr w:type="spellEnd"/>
    </w:p>
    <w:p w14:paraId="7764BE54" w14:textId="77777777" w:rsidR="00D422F8" w:rsidRPr="00CF4676" w:rsidRDefault="00D422F8" w:rsidP="006E58C5">
      <w:pPr>
        <w:spacing w:after="0" w:line="276" w:lineRule="auto"/>
        <w:jc w:val="both"/>
        <w:rPr>
          <w:rFonts w:ascii="Verdana" w:hAnsi="Verdana" w:cs="Arial"/>
          <w:shd w:val="clear" w:color="auto" w:fill="FFFFFF"/>
        </w:rPr>
      </w:pPr>
      <w:r w:rsidRPr="00CF4676">
        <w:rPr>
          <w:rFonts w:ascii="Verdana" w:hAnsi="Verdana" w:cs="Arial"/>
          <w:shd w:val="clear" w:color="auto" w:fill="FFFFFF"/>
        </w:rPr>
        <w:t xml:space="preserve">LinkedIn: </w:t>
      </w:r>
      <w:r w:rsidRPr="00CF4676">
        <w:rPr>
          <w:rFonts w:ascii="Verdana" w:hAnsi="Verdana" w:cs="Arial"/>
          <w:color w:val="0000CC"/>
          <w:u w:val="single"/>
          <w:shd w:val="clear" w:color="auto" w:fill="FFFFFF"/>
        </w:rPr>
        <w:t>Agencia Nacional de Contratación Pública - Colombia Compra Eficiente</w:t>
      </w:r>
      <w:r w:rsidRPr="00CF4676">
        <w:rPr>
          <w:rFonts w:ascii="Verdana" w:hAnsi="Verdana" w:cs="Arial"/>
          <w:color w:val="0000CC"/>
          <w:shd w:val="clear" w:color="auto" w:fill="FFFFFF"/>
        </w:rPr>
        <w:t xml:space="preserve"> </w:t>
      </w:r>
      <w:r w:rsidRPr="00CF4676">
        <w:rPr>
          <w:rFonts w:ascii="Verdana" w:hAnsi="Verdana" w:cs="Arial"/>
          <w:shd w:val="clear" w:color="auto" w:fill="FFFFFF"/>
        </w:rPr>
        <w:t xml:space="preserve">Instagram: </w:t>
      </w:r>
      <w:r w:rsidRPr="00CF4676">
        <w:rPr>
          <w:rFonts w:ascii="Verdana" w:hAnsi="Verdana" w:cs="Arial"/>
          <w:color w:val="0000CC"/>
          <w:u w:val="single"/>
          <w:shd w:val="clear" w:color="auto" w:fill="FFFFFF"/>
        </w:rPr>
        <w:t>@colombiacompraeficiente_cce</w:t>
      </w:r>
    </w:p>
    <w:p w14:paraId="6EE69C44" w14:textId="77777777" w:rsidR="00D422F8" w:rsidRPr="00CF4676" w:rsidRDefault="00D422F8" w:rsidP="00CF4676">
      <w:pPr>
        <w:widowControl w:val="0"/>
        <w:autoSpaceDE w:val="0"/>
        <w:autoSpaceDN w:val="0"/>
        <w:spacing w:after="0" w:line="276" w:lineRule="auto"/>
        <w:jc w:val="both"/>
        <w:rPr>
          <w:rFonts w:ascii="Verdana" w:hAnsi="Verdana" w:cs="Arial"/>
          <w:color w:val="4472C4" w:themeColor="accent1"/>
          <w:lang w:val="es-ES"/>
        </w:rPr>
      </w:pPr>
    </w:p>
    <w:p w14:paraId="2005D15E" w14:textId="77777777" w:rsidR="00D422F8" w:rsidRPr="00CF4676" w:rsidRDefault="00D422F8">
      <w:pPr>
        <w:widowControl w:val="0"/>
        <w:autoSpaceDE w:val="0"/>
        <w:autoSpaceDN w:val="0"/>
        <w:spacing w:after="0" w:line="276" w:lineRule="auto"/>
        <w:jc w:val="both"/>
        <w:rPr>
          <w:rFonts w:ascii="Verdana" w:hAnsi="Verdana" w:cs="Arial"/>
          <w:lang w:val="es-ES"/>
        </w:rPr>
      </w:pPr>
      <w:r w:rsidRPr="00CF467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A3DD5F2" w14:textId="77777777" w:rsidR="00D422F8" w:rsidRPr="00CF4676" w:rsidRDefault="00D422F8">
      <w:pPr>
        <w:widowControl w:val="0"/>
        <w:autoSpaceDE w:val="0"/>
        <w:autoSpaceDN w:val="0"/>
        <w:spacing w:after="0" w:line="276" w:lineRule="auto"/>
        <w:jc w:val="both"/>
        <w:rPr>
          <w:rFonts w:ascii="Verdana" w:hAnsi="Verdana" w:cs="Arial"/>
          <w:color w:val="4472C4" w:themeColor="accent1"/>
          <w:lang w:val="es-ES"/>
        </w:rPr>
      </w:pPr>
    </w:p>
    <w:p w14:paraId="514573BD" w14:textId="77777777" w:rsidR="00D422F8" w:rsidRPr="00CF4676" w:rsidRDefault="00D422F8">
      <w:pPr>
        <w:spacing w:after="0" w:line="276" w:lineRule="auto"/>
        <w:rPr>
          <w:rFonts w:ascii="Verdana" w:hAnsi="Verdana" w:cs="Arial"/>
          <w:lang w:val="es-ES" w:eastAsia="es-CO"/>
        </w:rPr>
      </w:pPr>
      <w:r w:rsidRPr="00CF4676">
        <w:rPr>
          <w:rFonts w:ascii="Verdana" w:eastAsia="Times New Roman" w:hAnsi="Verdana" w:cs="Arial"/>
          <w:lang w:val="es-ES" w:eastAsia="es-CO"/>
        </w:rPr>
        <w:t>Atentamente,</w:t>
      </w:r>
      <w:r w:rsidRPr="00CF4676">
        <w:rPr>
          <w:rFonts w:ascii="Verdana" w:hAnsi="Verdana" w:cs="Arial"/>
          <w:lang w:val="es-ES" w:eastAsia="es-CO"/>
        </w:rPr>
        <w:t xml:space="preserve"> </w:t>
      </w:r>
    </w:p>
    <w:p w14:paraId="7075F6CB" w14:textId="77777777" w:rsidR="00D422F8" w:rsidRDefault="00D422F8" w:rsidP="00D422F8">
      <w:pPr>
        <w:spacing w:after="0" w:line="276" w:lineRule="auto"/>
        <w:jc w:val="center"/>
        <w:rPr>
          <w:noProof/>
        </w:rPr>
      </w:pPr>
    </w:p>
    <w:p w14:paraId="36D4953A" w14:textId="7E230303" w:rsidR="00D422F8" w:rsidRPr="00A9178F" w:rsidRDefault="00A9178F" w:rsidP="00A9178F">
      <w:pPr>
        <w:spacing w:after="0" w:line="276" w:lineRule="auto"/>
        <w:jc w:val="center"/>
        <w:rPr>
          <w:noProof/>
        </w:rPr>
      </w:pPr>
      <w:r>
        <w:rPr>
          <w:noProof/>
        </w:rPr>
        <w:drawing>
          <wp:inline distT="0" distB="0" distL="0" distR="0" wp14:anchorId="0EA3CB6D" wp14:editId="3DAD5070">
            <wp:extent cx="3771900" cy="1409700"/>
            <wp:effectExtent l="0" t="0" r="0" b="0"/>
            <wp:docPr id="198102885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p w14:paraId="146D907D" w14:textId="77777777" w:rsidR="00D422F8" w:rsidRPr="009B6D0A" w:rsidRDefault="00D422F8" w:rsidP="00D422F8">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422F8" w:rsidRPr="009B6D0A" w14:paraId="36506CE5" w14:textId="77777777" w:rsidTr="00A723C1">
        <w:trPr>
          <w:trHeight w:val="315"/>
        </w:trPr>
        <w:tc>
          <w:tcPr>
            <w:tcW w:w="893" w:type="dxa"/>
            <w:vAlign w:val="center"/>
            <w:hideMark/>
          </w:tcPr>
          <w:p w14:paraId="4A4CD61D" w14:textId="77777777" w:rsidR="00D422F8" w:rsidRPr="009B6D0A" w:rsidRDefault="00D422F8" w:rsidP="00A723C1">
            <w:pPr>
              <w:contextualSpacing/>
              <w:rPr>
                <w:rFonts w:ascii="Verdana" w:hAnsi="Verdana" w:cs="Arial"/>
                <w:sz w:val="16"/>
                <w:szCs w:val="16"/>
                <w:lang w:val="es-ES" w:eastAsia="es-ES"/>
              </w:rPr>
            </w:pPr>
            <w:r w:rsidRPr="009B6D0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0BEF40D" w14:textId="77777777" w:rsidR="00D422F8" w:rsidRPr="009B6D0A" w:rsidRDefault="00D422F8" w:rsidP="00A723C1">
            <w:pPr>
              <w:rPr>
                <w:rFonts w:ascii="Verdana" w:eastAsia="Times New Roman" w:hAnsi="Verdana" w:cs="Arial"/>
                <w:sz w:val="16"/>
                <w:szCs w:val="16"/>
                <w:lang w:eastAsia="es-ES"/>
              </w:rPr>
            </w:pPr>
            <w:r w:rsidRPr="009B6D0A">
              <w:rPr>
                <w:rFonts w:ascii="Verdana" w:eastAsia="Times New Roman" w:hAnsi="Verdana" w:cs="Arial"/>
                <w:sz w:val="16"/>
                <w:szCs w:val="16"/>
                <w:lang w:eastAsia="es-ES"/>
              </w:rPr>
              <w:t>Camila Alejandra Naranjo Gómez</w:t>
            </w:r>
          </w:p>
          <w:p w14:paraId="38A53E36" w14:textId="77777777" w:rsidR="00D422F8" w:rsidRPr="009B6D0A" w:rsidRDefault="00D422F8" w:rsidP="00A723C1">
            <w:pPr>
              <w:contextualSpacing/>
              <w:rPr>
                <w:rFonts w:ascii="Verdana" w:eastAsia="Arial" w:hAnsi="Verdana" w:cs="Arial"/>
                <w:sz w:val="16"/>
                <w:szCs w:val="16"/>
                <w:lang w:val="es-ES"/>
              </w:rPr>
            </w:pPr>
            <w:r w:rsidRPr="009B6D0A">
              <w:rPr>
                <w:rFonts w:ascii="Verdana" w:eastAsia="Times New Roman" w:hAnsi="Verdana" w:cs="Arial"/>
                <w:sz w:val="16"/>
                <w:szCs w:val="16"/>
                <w:lang w:eastAsia="es-ES"/>
              </w:rPr>
              <w:t>Analista T2-1 de la Subdirección de Gestión Contractual</w:t>
            </w:r>
          </w:p>
        </w:tc>
      </w:tr>
      <w:tr w:rsidR="00D422F8" w:rsidRPr="009B6D0A" w14:paraId="4B3B3836" w14:textId="77777777" w:rsidTr="00A723C1">
        <w:trPr>
          <w:trHeight w:val="330"/>
        </w:trPr>
        <w:tc>
          <w:tcPr>
            <w:tcW w:w="893" w:type="dxa"/>
            <w:vAlign w:val="center"/>
            <w:hideMark/>
          </w:tcPr>
          <w:p w14:paraId="466E52E0" w14:textId="77777777" w:rsidR="00D422F8" w:rsidRPr="009B6D0A" w:rsidRDefault="00D422F8" w:rsidP="00A723C1">
            <w:pPr>
              <w:contextualSpacing/>
              <w:rPr>
                <w:rFonts w:ascii="Verdana" w:hAnsi="Verdana" w:cs="Arial"/>
                <w:sz w:val="16"/>
                <w:szCs w:val="16"/>
                <w:lang w:val="es-ES" w:eastAsia="es-ES"/>
              </w:rPr>
            </w:pPr>
            <w:r w:rsidRPr="009B6D0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6E325F" w14:textId="77777777" w:rsidR="00D422F8" w:rsidRPr="002F2853" w:rsidRDefault="00D422F8" w:rsidP="00A723C1">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Diana Lucía Saavedra</w:t>
            </w:r>
            <w:r>
              <w:rPr>
                <w:rFonts w:ascii="Verdana" w:eastAsia="Times New Roman" w:hAnsi="Verdana" w:cs="Arial"/>
                <w:sz w:val="16"/>
                <w:szCs w:val="16"/>
                <w:lang w:eastAsia="es-ES"/>
              </w:rPr>
              <w:t xml:space="preserve"> Castañeda</w:t>
            </w:r>
          </w:p>
          <w:p w14:paraId="4B8F1591" w14:textId="77777777" w:rsidR="00D422F8" w:rsidRPr="009B6D0A" w:rsidRDefault="00D422F8" w:rsidP="00A723C1">
            <w:pPr>
              <w:pStyle w:val="paragraph"/>
              <w:spacing w:before="0" w:beforeAutospacing="0" w:after="0" w:afterAutospacing="0"/>
              <w:contextualSpacing/>
              <w:textAlignment w:val="baseline"/>
              <w:rPr>
                <w:rFonts w:ascii="Verdana" w:hAnsi="Verdana" w:cs="Segoe UI"/>
                <w:sz w:val="16"/>
                <w:szCs w:val="16"/>
                <w:lang w:val="es-ES"/>
              </w:rPr>
            </w:pPr>
            <w:r w:rsidRPr="002F2853">
              <w:rPr>
                <w:rFonts w:ascii="Verdana" w:hAnsi="Verdana" w:cs="Arial"/>
                <w:sz w:val="16"/>
                <w:szCs w:val="16"/>
                <w:lang w:eastAsia="es-ES"/>
              </w:rPr>
              <w:t>Contratista de la Subdirección de Gestión Contractual</w:t>
            </w:r>
          </w:p>
        </w:tc>
      </w:tr>
      <w:tr w:rsidR="00D422F8" w:rsidRPr="009B6D0A" w14:paraId="1F5164C0" w14:textId="77777777" w:rsidTr="00A723C1">
        <w:trPr>
          <w:trHeight w:val="300"/>
        </w:trPr>
        <w:tc>
          <w:tcPr>
            <w:tcW w:w="893" w:type="dxa"/>
            <w:vAlign w:val="center"/>
          </w:tcPr>
          <w:p w14:paraId="39E855F8" w14:textId="77777777" w:rsidR="00D422F8" w:rsidRPr="009B6D0A" w:rsidRDefault="00D422F8" w:rsidP="00A723C1">
            <w:pPr>
              <w:contextualSpacing/>
              <w:rPr>
                <w:rFonts w:ascii="Verdana" w:hAnsi="Verdana" w:cs="Arial"/>
                <w:sz w:val="16"/>
                <w:szCs w:val="16"/>
                <w:lang w:val="es-ES" w:eastAsia="es-ES"/>
              </w:rPr>
            </w:pPr>
            <w:r w:rsidRPr="009B6D0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36E995" w14:textId="77777777" w:rsidR="00D422F8" w:rsidRPr="009B6D0A" w:rsidRDefault="00D422F8" w:rsidP="00A723C1">
            <w:pPr>
              <w:contextualSpacing/>
              <w:rPr>
                <w:rFonts w:ascii="Verdana" w:eastAsia="Calibri" w:hAnsi="Verdana" w:cs="Arial"/>
                <w:sz w:val="16"/>
                <w:szCs w:val="16"/>
                <w:lang w:val="es-ES" w:eastAsia="es-ES"/>
              </w:rPr>
            </w:pPr>
            <w:r w:rsidRPr="009B6D0A">
              <w:rPr>
                <w:rFonts w:ascii="Verdana" w:eastAsia="Calibri" w:hAnsi="Verdana" w:cs="Arial"/>
                <w:sz w:val="16"/>
                <w:szCs w:val="16"/>
                <w:lang w:val="es-ES" w:eastAsia="es-ES"/>
              </w:rPr>
              <w:t xml:space="preserve">Carolina Quintero </w:t>
            </w:r>
            <w:proofErr w:type="spellStart"/>
            <w:r w:rsidRPr="009B6D0A">
              <w:rPr>
                <w:rFonts w:ascii="Verdana" w:eastAsia="Calibri" w:hAnsi="Verdana" w:cs="Arial"/>
                <w:sz w:val="16"/>
                <w:szCs w:val="16"/>
                <w:lang w:val="es-ES" w:eastAsia="es-ES"/>
              </w:rPr>
              <w:t>Gacharná</w:t>
            </w:r>
            <w:proofErr w:type="spellEnd"/>
          </w:p>
          <w:p w14:paraId="52ABAE7A" w14:textId="77777777" w:rsidR="00D422F8" w:rsidRPr="009B6D0A" w:rsidRDefault="00D422F8" w:rsidP="00A723C1">
            <w:pPr>
              <w:contextualSpacing/>
              <w:rPr>
                <w:rFonts w:ascii="Verdana" w:eastAsia="Calibri" w:hAnsi="Verdana" w:cs="Arial"/>
                <w:sz w:val="16"/>
                <w:szCs w:val="16"/>
                <w:lang w:val="es-ES" w:eastAsia="es-ES"/>
              </w:rPr>
            </w:pPr>
            <w:r w:rsidRPr="009B6D0A">
              <w:rPr>
                <w:rFonts w:ascii="Verdana" w:eastAsia="Calibri" w:hAnsi="Verdana" w:cs="Arial"/>
                <w:sz w:val="16"/>
                <w:szCs w:val="16"/>
                <w:lang w:val="es-ES" w:eastAsia="es-ES"/>
              </w:rPr>
              <w:t>Subdirectora de Gestión Contractual ANCP – CCE</w:t>
            </w:r>
          </w:p>
        </w:tc>
      </w:tr>
    </w:tbl>
    <w:p w14:paraId="1092D8D8" w14:textId="77777777" w:rsidR="00D422F8" w:rsidRPr="009B6D0A" w:rsidRDefault="00D422F8" w:rsidP="00D422F8">
      <w:pPr>
        <w:spacing w:after="0" w:line="276" w:lineRule="auto"/>
        <w:jc w:val="center"/>
        <w:rPr>
          <w:lang w:val="es-ES"/>
        </w:rPr>
      </w:pPr>
    </w:p>
    <w:p w14:paraId="6C9587B2" w14:textId="77777777" w:rsidR="00D422F8" w:rsidRPr="009B6D0A" w:rsidRDefault="00D422F8" w:rsidP="00D422F8">
      <w:pPr>
        <w:spacing w:after="0" w:line="240" w:lineRule="auto"/>
        <w:textAlignment w:val="baseline"/>
        <w:rPr>
          <w:rFonts w:ascii="Verdana" w:eastAsia="Times New Roman" w:hAnsi="Verdana" w:cs="Segoe UI"/>
          <w:b/>
          <w:bCs/>
          <w:lang w:val="es-ES" w:eastAsia="es-CO"/>
        </w:rPr>
      </w:pPr>
    </w:p>
    <w:p w14:paraId="3F839E77" w14:textId="77777777" w:rsidR="00D422F8" w:rsidRPr="00B67A94" w:rsidRDefault="00D422F8" w:rsidP="00D422F8">
      <w:pPr>
        <w:rPr>
          <w:color w:val="4472C4" w:themeColor="accent1"/>
          <w:lang w:val="es-ES"/>
        </w:rPr>
      </w:pPr>
    </w:p>
    <w:p w14:paraId="37631D2A" w14:textId="77777777" w:rsidR="00D422F8" w:rsidRPr="00B67A94" w:rsidRDefault="00D422F8" w:rsidP="00D422F8">
      <w:pPr>
        <w:rPr>
          <w:color w:val="4472C4" w:themeColor="accent1"/>
        </w:rPr>
      </w:pPr>
    </w:p>
    <w:p w14:paraId="15BBF7A4" w14:textId="4E0C7902" w:rsidR="009601FA" w:rsidRDefault="009601FA" w:rsidP="00C15139">
      <w:pPr>
        <w:spacing w:after="0"/>
        <w:rPr>
          <w:rFonts w:ascii="Verdana" w:hAnsi="Verdana"/>
        </w:rPr>
      </w:pPr>
    </w:p>
    <w:p w14:paraId="1FFF5A28" w14:textId="77777777" w:rsidR="009601FA" w:rsidRDefault="009601FA" w:rsidP="00C15139">
      <w:pPr>
        <w:spacing w:after="0"/>
        <w:rPr>
          <w:rFonts w:ascii="Verdana" w:hAnsi="Verdana"/>
        </w:rPr>
      </w:pPr>
    </w:p>
    <w:p w14:paraId="033BE681" w14:textId="77777777" w:rsidR="009601FA" w:rsidRDefault="009601FA" w:rsidP="00C15139">
      <w:pPr>
        <w:spacing w:after="0"/>
        <w:rPr>
          <w:rFonts w:ascii="Verdana" w:hAnsi="Verdana"/>
        </w:rPr>
      </w:pPr>
    </w:p>
    <w:p w14:paraId="145D924D" w14:textId="77777777" w:rsidR="009601FA" w:rsidRDefault="009601FA" w:rsidP="00C15139">
      <w:pPr>
        <w:spacing w:after="0"/>
        <w:rPr>
          <w:rFonts w:ascii="Verdana" w:hAnsi="Verdana"/>
        </w:rPr>
      </w:pPr>
    </w:p>
    <w:p w14:paraId="0B02868D" w14:textId="77777777" w:rsidR="009601FA" w:rsidRDefault="009601FA" w:rsidP="00C15139">
      <w:pPr>
        <w:spacing w:after="0"/>
        <w:rPr>
          <w:rFonts w:ascii="Verdana" w:hAnsi="Verdana"/>
        </w:rPr>
      </w:pPr>
    </w:p>
    <w:p w14:paraId="761552BE" w14:textId="77777777" w:rsidR="009601FA" w:rsidRDefault="009601FA" w:rsidP="00C15139">
      <w:pPr>
        <w:spacing w:after="0"/>
        <w:rPr>
          <w:rFonts w:ascii="Verdana" w:hAnsi="Verdana"/>
        </w:rPr>
      </w:pPr>
    </w:p>
    <w:p w14:paraId="4152F19D" w14:textId="77777777" w:rsidR="009601FA" w:rsidRDefault="009601FA" w:rsidP="00C15139">
      <w:pPr>
        <w:spacing w:after="0"/>
        <w:rPr>
          <w:rFonts w:ascii="Verdana" w:hAnsi="Verdana"/>
        </w:rPr>
      </w:pPr>
    </w:p>
    <w:p w14:paraId="3252A051" w14:textId="77777777" w:rsidR="009601FA" w:rsidRDefault="009601FA" w:rsidP="00C15139">
      <w:pPr>
        <w:spacing w:after="0"/>
        <w:rPr>
          <w:rFonts w:ascii="Verdana" w:hAnsi="Verdana"/>
        </w:rPr>
      </w:pPr>
    </w:p>
    <w:p w14:paraId="09098A4A" w14:textId="77777777" w:rsidR="009601FA" w:rsidRDefault="009601FA" w:rsidP="00C15139">
      <w:pPr>
        <w:spacing w:after="0"/>
        <w:rPr>
          <w:rFonts w:ascii="Verdana" w:hAnsi="Verdana"/>
        </w:rPr>
      </w:pPr>
    </w:p>
    <w:p w14:paraId="12290D78" w14:textId="77777777" w:rsidR="009601FA" w:rsidRDefault="009601FA" w:rsidP="00C15139">
      <w:pPr>
        <w:spacing w:after="0"/>
        <w:rPr>
          <w:rFonts w:ascii="Verdana" w:hAnsi="Verdana"/>
        </w:rPr>
      </w:pPr>
    </w:p>
    <w:p w14:paraId="4A4D8651" w14:textId="77777777" w:rsidR="009601FA" w:rsidRDefault="009601FA" w:rsidP="00C15139">
      <w:pPr>
        <w:spacing w:after="0"/>
        <w:rPr>
          <w:rFonts w:ascii="Verdana" w:hAnsi="Verdana"/>
        </w:rPr>
      </w:pPr>
    </w:p>
    <w:p w14:paraId="38791F5D" w14:textId="77777777" w:rsidR="009601FA" w:rsidRDefault="009601FA" w:rsidP="00C15139">
      <w:pPr>
        <w:spacing w:after="0"/>
        <w:rPr>
          <w:rFonts w:ascii="Verdana" w:hAnsi="Verdana"/>
        </w:rPr>
      </w:pPr>
    </w:p>
    <w:p w14:paraId="502E1941" w14:textId="77777777" w:rsidR="009601FA" w:rsidRDefault="009601FA" w:rsidP="00C15139">
      <w:pPr>
        <w:spacing w:after="0"/>
        <w:rPr>
          <w:rFonts w:ascii="Verdana" w:hAnsi="Verdana"/>
        </w:rPr>
      </w:pPr>
    </w:p>
    <w:p w14:paraId="73352F59" w14:textId="77777777" w:rsidR="009601FA" w:rsidRDefault="009601FA" w:rsidP="00C15139">
      <w:pPr>
        <w:spacing w:after="0"/>
        <w:rPr>
          <w:rFonts w:ascii="Verdana" w:hAnsi="Verdana"/>
        </w:rPr>
      </w:pPr>
    </w:p>
    <w:bookmarkEnd w:id="0"/>
    <w:p w14:paraId="480EF60D" w14:textId="77777777" w:rsidR="009601FA" w:rsidRDefault="009601FA" w:rsidP="00C15139">
      <w:pPr>
        <w:spacing w:after="0"/>
        <w:rPr>
          <w:rFonts w:ascii="Verdana" w:hAnsi="Verdana"/>
        </w:rPr>
      </w:pPr>
    </w:p>
    <w:sectPr w:rsidR="009601F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E4F56" w14:textId="77777777" w:rsidR="00F47BD2" w:rsidRDefault="00F47BD2" w:rsidP="004A1847">
      <w:pPr>
        <w:spacing w:after="0" w:line="240" w:lineRule="auto"/>
      </w:pPr>
      <w:r>
        <w:separator/>
      </w:r>
    </w:p>
  </w:endnote>
  <w:endnote w:type="continuationSeparator" w:id="0">
    <w:p w14:paraId="0E402ADE" w14:textId="77777777" w:rsidR="00F47BD2" w:rsidRDefault="00F47BD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F2BFE" w14:textId="77777777" w:rsidR="00F47BD2" w:rsidRDefault="00F47BD2" w:rsidP="004A1847">
      <w:pPr>
        <w:spacing w:after="0" w:line="240" w:lineRule="auto"/>
      </w:pPr>
      <w:r>
        <w:separator/>
      </w:r>
    </w:p>
  </w:footnote>
  <w:footnote w:type="continuationSeparator" w:id="0">
    <w:p w14:paraId="2E33625A" w14:textId="77777777" w:rsidR="00F47BD2" w:rsidRDefault="00F47BD2" w:rsidP="004A1847">
      <w:pPr>
        <w:spacing w:after="0" w:line="240" w:lineRule="auto"/>
      </w:pPr>
      <w:r>
        <w:continuationSeparator/>
      </w:r>
    </w:p>
  </w:footnote>
  <w:footnote w:id="1">
    <w:p w14:paraId="6D9A8AEC" w14:textId="77777777" w:rsidR="00D422F8" w:rsidRPr="0016660C" w:rsidRDefault="00D422F8" w:rsidP="00D422F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CD07C1D" w14:textId="77777777" w:rsidR="00D422F8" w:rsidRPr="0016660C" w:rsidRDefault="00D422F8" w:rsidP="00D422F8">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45365274" w14:textId="77777777" w:rsidR="00D422F8" w:rsidRPr="0016660C" w:rsidRDefault="00D422F8" w:rsidP="00D422F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500617E3" w14:textId="77777777" w:rsidR="00D422F8" w:rsidRPr="00274625" w:rsidRDefault="00D422F8" w:rsidP="00D422F8">
      <w:pPr>
        <w:pStyle w:val="Textonotapie"/>
        <w:ind w:firstLine="709"/>
        <w:contextualSpacing/>
        <w:jc w:val="both"/>
        <w:rPr>
          <w:rFonts w:ascii="Verdana" w:hAnsi="Verdana" w:cs="Arial"/>
          <w:sz w:val="16"/>
          <w:szCs w:val="16"/>
          <w:lang w:val="pt-BR"/>
        </w:rPr>
      </w:pPr>
      <w:r w:rsidRPr="00274625">
        <w:rPr>
          <w:rStyle w:val="Refdenotaalpie"/>
          <w:rFonts w:ascii="Verdana" w:hAnsi="Verdana" w:cs="Arial"/>
          <w:sz w:val="16"/>
          <w:szCs w:val="16"/>
        </w:rPr>
        <w:footnoteRef/>
      </w:r>
      <w:r w:rsidRPr="00274625">
        <w:rPr>
          <w:rFonts w:ascii="Verdana" w:hAnsi="Verdana" w:cs="Arial"/>
          <w:sz w:val="16"/>
          <w:szCs w:val="16"/>
          <w:lang w:val="pt-BR"/>
        </w:rPr>
        <w:t xml:space="preserve"> Corte Constitucional, Sentencia C- 1153 de 2005, M.P. Marco Gerardo Monroy Cabra.</w:t>
      </w:r>
    </w:p>
  </w:footnote>
  <w:footnote w:id="4">
    <w:p w14:paraId="14CF40F3" w14:textId="77777777" w:rsidR="00D422F8" w:rsidRPr="00274625" w:rsidRDefault="00D422F8" w:rsidP="00D422F8">
      <w:pPr>
        <w:pStyle w:val="Textonotapie"/>
        <w:ind w:firstLine="709"/>
        <w:contextualSpacing/>
        <w:jc w:val="both"/>
        <w:rPr>
          <w:rFonts w:ascii="Verdana" w:hAnsi="Verdana" w:cs="Arial"/>
          <w:sz w:val="16"/>
          <w:szCs w:val="16"/>
          <w:lang w:val="pt-BR"/>
        </w:rPr>
      </w:pPr>
      <w:r w:rsidRPr="00274625">
        <w:rPr>
          <w:rStyle w:val="Refdenotaalpie"/>
          <w:rFonts w:ascii="Verdana" w:hAnsi="Verdana" w:cs="Arial"/>
          <w:sz w:val="16"/>
          <w:szCs w:val="16"/>
        </w:rPr>
        <w:footnoteRef/>
      </w:r>
      <w:r w:rsidRPr="00274625">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DFB69D0" w14:textId="77777777" w:rsidR="00D422F8" w:rsidRPr="0016660C" w:rsidRDefault="00D422F8" w:rsidP="00D422F8">
      <w:pPr>
        <w:pStyle w:val="Textonotapie"/>
        <w:ind w:firstLine="709"/>
        <w:contextualSpacing/>
        <w:jc w:val="both"/>
        <w:rPr>
          <w:rFonts w:ascii="Verdana" w:hAnsi="Verdana" w:cs="Arial"/>
          <w:sz w:val="16"/>
          <w:szCs w:val="16"/>
          <w:lang w:val="es-CO"/>
        </w:rPr>
      </w:pPr>
      <w:r w:rsidRPr="00274625">
        <w:rPr>
          <w:rStyle w:val="Refdenotaalpie"/>
          <w:rFonts w:ascii="Verdana" w:hAnsi="Verdana" w:cs="Arial"/>
          <w:sz w:val="16"/>
          <w:szCs w:val="16"/>
        </w:rPr>
        <w:footnoteRef/>
      </w:r>
      <w:r w:rsidRPr="0027462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11751F6" w14:textId="77777777" w:rsidR="00D422F8" w:rsidRPr="0016660C" w:rsidRDefault="00D422F8" w:rsidP="00D422F8">
      <w:pPr>
        <w:pStyle w:val="Textonotapie"/>
        <w:ind w:firstLine="708"/>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56B03EE1" w14:textId="77777777" w:rsidR="00D422F8" w:rsidRPr="0016660C" w:rsidRDefault="00D422F8" w:rsidP="00D422F8">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26928E3" w14:textId="77777777" w:rsidR="00D422F8" w:rsidRPr="0016660C" w:rsidRDefault="00D422F8" w:rsidP="00D422F8">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57525C90" w14:textId="77777777" w:rsidR="00D422F8" w:rsidRPr="0016660C" w:rsidRDefault="00D422F8" w:rsidP="00D422F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0DB5E0D3" w14:textId="77777777" w:rsidR="00D422F8" w:rsidRDefault="00D422F8" w:rsidP="00D422F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p w14:paraId="157EB055" w14:textId="77777777" w:rsidR="00D422F8" w:rsidRPr="0016660C" w:rsidRDefault="00D422F8" w:rsidP="00D422F8">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383F70C4" w14:textId="77777777" w:rsidR="00D422F8" w:rsidRPr="0016660C" w:rsidRDefault="00D422F8" w:rsidP="00D422F8">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74D5D868" w14:textId="77777777" w:rsidR="00D422F8" w:rsidRPr="006D382B" w:rsidRDefault="00D422F8" w:rsidP="00D422F8">
      <w:pPr>
        <w:pStyle w:val="Textonotapie"/>
        <w:ind w:firstLine="709"/>
        <w:contextualSpacing/>
        <w:jc w:val="both"/>
        <w:rPr>
          <w:rFonts w:ascii="Verdana" w:hAnsi="Verdana" w:cs="Arial"/>
          <w:sz w:val="16"/>
          <w:szCs w:val="16"/>
        </w:rPr>
      </w:pPr>
      <w:r w:rsidRPr="006D382B">
        <w:rPr>
          <w:rStyle w:val="Refdenotaalpie"/>
          <w:rFonts w:ascii="Verdana" w:hAnsi="Verdana"/>
          <w:sz w:val="16"/>
          <w:szCs w:val="16"/>
        </w:rPr>
        <w:footnoteRef/>
      </w:r>
      <w:r w:rsidRPr="006D382B">
        <w:rPr>
          <w:rFonts w:ascii="Verdana" w:hAnsi="Verdana"/>
          <w:sz w:val="16"/>
          <w:szCs w:val="16"/>
        </w:rPr>
        <w:t xml:space="preserve"> </w:t>
      </w:r>
      <w:r w:rsidRPr="006D382B">
        <w:rPr>
          <w:rFonts w:ascii="Verdana" w:hAnsi="Verdana" w:cs="Arial"/>
          <w:sz w:val="16"/>
          <w:szCs w:val="16"/>
        </w:rPr>
        <w:t>Consejo de Estado -Sección Tercera-. Sentencia del 21 de febrero de 2025. Radicación Número: 68.280. CP: José Roberto Sáchica Méndez.</w:t>
      </w:r>
    </w:p>
  </w:footnote>
  <w:footnote w:id="11">
    <w:p w14:paraId="4ADBF961" w14:textId="77777777" w:rsidR="00D422F8" w:rsidRPr="006D382B" w:rsidRDefault="00D422F8" w:rsidP="00D422F8">
      <w:pPr>
        <w:pStyle w:val="Textonotapie"/>
        <w:ind w:firstLine="709"/>
        <w:contextualSpacing/>
        <w:jc w:val="both"/>
        <w:rPr>
          <w:rFonts w:ascii="Verdana" w:hAnsi="Verdana" w:cs="Arial"/>
          <w:sz w:val="16"/>
          <w:szCs w:val="16"/>
        </w:rPr>
      </w:pPr>
      <w:r w:rsidRPr="006D382B">
        <w:rPr>
          <w:rFonts w:ascii="Verdana" w:hAnsi="Verdana"/>
          <w:sz w:val="16"/>
          <w:szCs w:val="16"/>
          <w:vertAlign w:val="superscript"/>
        </w:rPr>
        <w:footnoteRef/>
      </w:r>
      <w:r w:rsidRPr="006D382B">
        <w:rPr>
          <w:rFonts w:ascii="Verdana" w:hAnsi="Verdana"/>
          <w:sz w:val="16"/>
          <w:szCs w:val="16"/>
          <w:vertAlign w:val="superscript"/>
        </w:rPr>
        <w:t xml:space="preserve"> </w:t>
      </w:r>
      <w:r w:rsidRPr="006D382B">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2">
    <w:p w14:paraId="73FAD1C8" w14:textId="77777777" w:rsidR="00D422F8" w:rsidRPr="006D382B" w:rsidRDefault="00D422F8" w:rsidP="00D422F8">
      <w:pPr>
        <w:pStyle w:val="Textonotapie"/>
        <w:ind w:firstLine="709"/>
        <w:contextualSpacing/>
        <w:jc w:val="both"/>
        <w:rPr>
          <w:rFonts w:ascii="Verdana" w:hAnsi="Verdana" w:cs="Arial"/>
          <w:sz w:val="16"/>
          <w:szCs w:val="16"/>
        </w:rPr>
      </w:pPr>
      <w:r w:rsidRPr="006D382B">
        <w:rPr>
          <w:rFonts w:ascii="Verdana" w:hAnsi="Verdana"/>
          <w:sz w:val="16"/>
          <w:szCs w:val="16"/>
          <w:vertAlign w:val="superscript"/>
        </w:rPr>
        <w:footnoteRef/>
      </w:r>
      <w:r w:rsidRPr="006D382B">
        <w:rPr>
          <w:rFonts w:ascii="Verdana" w:hAnsi="Verdana" w:cs="Arial"/>
          <w:sz w:val="16"/>
          <w:szCs w:val="16"/>
          <w:vertAlign w:val="superscript"/>
        </w:rPr>
        <w:t xml:space="preserve"> </w:t>
      </w:r>
      <w:r w:rsidRPr="006D382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r>
        <w:rPr>
          <w:rFonts w:ascii="Verdana" w:hAnsi="Verdana" w:cs="Arial"/>
          <w:sz w:val="16"/>
          <w:szCs w:val="16"/>
        </w:rPr>
        <w:t xml:space="preserve"> </w:t>
      </w:r>
      <w:r w:rsidRPr="006D382B">
        <w:rPr>
          <w:rFonts w:ascii="Verdana" w:hAnsi="Verdana" w:cs="Arial"/>
          <w:sz w:val="16"/>
          <w:szCs w:val="16"/>
        </w:rPr>
        <w:t>[…]”.</w:t>
      </w:r>
    </w:p>
  </w:footnote>
  <w:footnote w:id="13">
    <w:p w14:paraId="784ED3CC" w14:textId="77777777" w:rsidR="00D422F8" w:rsidRPr="006D382B" w:rsidRDefault="00D422F8" w:rsidP="00D422F8">
      <w:pPr>
        <w:pStyle w:val="Textonotapie"/>
        <w:ind w:left="851" w:hanging="142"/>
        <w:contextualSpacing/>
        <w:jc w:val="both"/>
        <w:rPr>
          <w:rFonts w:ascii="Verdana" w:hAnsi="Verdana"/>
          <w:sz w:val="16"/>
          <w:szCs w:val="16"/>
          <w:lang w:val="es-CO"/>
        </w:rPr>
      </w:pPr>
      <w:r w:rsidRPr="006D382B">
        <w:rPr>
          <w:rStyle w:val="Refdenotaalpie"/>
          <w:rFonts w:ascii="Verdana" w:hAnsi="Verdana"/>
          <w:sz w:val="16"/>
          <w:szCs w:val="16"/>
        </w:rPr>
        <w:footnoteRef/>
      </w:r>
      <w:r w:rsidRPr="006D382B">
        <w:rPr>
          <w:rFonts w:ascii="Verdana" w:hAnsi="Verdana"/>
          <w:sz w:val="16"/>
          <w:szCs w:val="16"/>
          <w:lang w:val="es-CO"/>
        </w:rPr>
        <w:t xml:space="preserve"> Consejo de Estado, Sección Tercera. Auto del 4 de octubre de 2024. Exp. 70.313. C.P: Fredy Ibarra</w:t>
      </w:r>
      <w:r>
        <w:rPr>
          <w:rFonts w:ascii="Verdana" w:hAnsi="Verdana"/>
          <w:sz w:val="16"/>
          <w:szCs w:val="16"/>
          <w:lang w:val="es-CO"/>
        </w:rPr>
        <w:t xml:space="preserve"> </w:t>
      </w:r>
      <w:r w:rsidRPr="006D382B">
        <w:rPr>
          <w:rFonts w:ascii="Verdana" w:hAnsi="Verdana"/>
          <w:sz w:val="16"/>
          <w:szCs w:val="16"/>
          <w:lang w:val="es-CO"/>
        </w:rPr>
        <w:t>Martínez.</w:t>
      </w:r>
    </w:p>
  </w:footnote>
  <w:footnote w:id="14">
    <w:p w14:paraId="032039EA" w14:textId="77777777" w:rsidR="00D422F8" w:rsidRPr="00FB19D7" w:rsidRDefault="00D422F8" w:rsidP="00D422F8">
      <w:pPr>
        <w:pStyle w:val="Textonotapie"/>
        <w:ind w:firstLine="709"/>
        <w:contextualSpacing/>
        <w:jc w:val="both"/>
        <w:rPr>
          <w:rFonts w:ascii="Verdana" w:hAnsi="Verdana"/>
          <w:sz w:val="16"/>
          <w:szCs w:val="16"/>
          <w:lang w:val="es-CO"/>
        </w:rPr>
      </w:pPr>
      <w:r w:rsidRPr="00FB19D7">
        <w:rPr>
          <w:rStyle w:val="Refdenotaalpie"/>
          <w:rFonts w:ascii="Verdana" w:hAnsi="Verdana"/>
          <w:sz w:val="16"/>
          <w:szCs w:val="16"/>
        </w:rPr>
        <w:footnoteRef/>
      </w:r>
      <w:r w:rsidRPr="00FB19D7">
        <w:rPr>
          <w:rFonts w:ascii="Verdana" w:hAnsi="Verdana"/>
          <w:sz w:val="16"/>
          <w:szCs w:val="16"/>
        </w:rPr>
        <w:t xml:space="preserve"> La parte resolutiva del auto dispone lo siguiente; “</w:t>
      </w:r>
      <w:r w:rsidRPr="00FB19D7">
        <w:rPr>
          <w:rFonts w:ascii="Verdana" w:hAnsi="Verdana"/>
          <w:b/>
          <w:sz w:val="16"/>
          <w:szCs w:val="16"/>
          <w:lang w:val="es-CO"/>
        </w:rPr>
        <w:t xml:space="preserve">PRIMERO: DECRETAR </w:t>
      </w:r>
      <w:r w:rsidRPr="00FB19D7">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B19D7">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B19D7">
        <w:rPr>
          <w:rFonts w:ascii="Verdana" w:hAnsi="Verdana"/>
          <w:sz w:val="16"/>
          <w:szCs w:val="16"/>
          <w:lang w:val="es-CO"/>
        </w:rPr>
        <w:t xml:space="preserve">, por las razones expuestas en precedencia. </w:t>
      </w:r>
    </w:p>
    <w:p w14:paraId="065A82C7" w14:textId="77777777" w:rsidR="00D422F8" w:rsidRPr="006D382B" w:rsidRDefault="00D422F8" w:rsidP="00D422F8">
      <w:pPr>
        <w:pStyle w:val="Textonotapie"/>
        <w:ind w:firstLine="709"/>
        <w:contextualSpacing/>
        <w:jc w:val="both"/>
        <w:rPr>
          <w:rFonts w:ascii="Verdana" w:hAnsi="Verdana"/>
          <w:sz w:val="16"/>
          <w:szCs w:val="16"/>
          <w:lang w:val="es-CO"/>
        </w:rPr>
      </w:pPr>
      <w:r w:rsidRPr="00FB19D7">
        <w:rPr>
          <w:rFonts w:ascii="Verdana" w:hAnsi="Verdana"/>
          <w:b/>
          <w:sz w:val="16"/>
          <w:szCs w:val="16"/>
          <w:lang w:val="es-CO"/>
        </w:rPr>
        <w:t xml:space="preserve">SEGUNDO: DECRETAR </w:t>
      </w:r>
      <w:r w:rsidRPr="00FB19D7">
        <w:rPr>
          <w:rFonts w:ascii="Verdana" w:hAnsi="Verdana"/>
          <w:sz w:val="16"/>
          <w:szCs w:val="16"/>
          <w:lang w:val="es-CO"/>
        </w:rPr>
        <w:t>la suspensión provisional de la expresión “</w:t>
      </w:r>
      <w:r w:rsidRPr="00FB19D7">
        <w:rPr>
          <w:rFonts w:ascii="Verdana" w:hAnsi="Verdana"/>
          <w:i/>
          <w:sz w:val="16"/>
          <w:szCs w:val="16"/>
          <w:lang w:val="es-CO"/>
        </w:rPr>
        <w:t>contratos</w:t>
      </w:r>
      <w:r w:rsidRPr="00FB19D7">
        <w:rPr>
          <w:rFonts w:ascii="Verdana" w:hAnsi="Verdana"/>
          <w:sz w:val="16"/>
          <w:szCs w:val="16"/>
          <w:lang w:val="es-CO"/>
        </w:rPr>
        <w:t xml:space="preserve">” y del párrafo </w:t>
      </w:r>
      <w:r w:rsidRPr="00FB19D7">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FB19D7">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15">
    <w:p w14:paraId="5957CBAF" w14:textId="77777777" w:rsidR="00D422F8" w:rsidRPr="00032EA1" w:rsidRDefault="00D422F8" w:rsidP="00D422F8">
      <w:pPr>
        <w:spacing w:after="0" w:line="240" w:lineRule="auto"/>
        <w:ind w:firstLine="709"/>
        <w:contextualSpacing/>
        <w:jc w:val="both"/>
        <w:rPr>
          <w:rFonts w:ascii="Verdana" w:eastAsia="Times New Roman" w:hAnsi="Verdana" w:cs="Times New Roman"/>
          <w:sz w:val="16"/>
          <w:szCs w:val="16"/>
          <w:lang w:eastAsia="es-ES"/>
        </w:rPr>
      </w:pPr>
      <w:r w:rsidRPr="00032EA1">
        <w:rPr>
          <w:rStyle w:val="Refdenotaalpie"/>
          <w:rFonts w:ascii="Verdana" w:hAnsi="Verdana"/>
          <w:sz w:val="16"/>
          <w:szCs w:val="16"/>
        </w:rPr>
        <w:footnoteRef/>
      </w:r>
      <w:r w:rsidRPr="00032EA1">
        <w:rPr>
          <w:rFonts w:ascii="Verdana" w:hAnsi="Verdana"/>
          <w:sz w:val="16"/>
          <w:szCs w:val="16"/>
        </w:rPr>
        <w:t xml:space="preserve"> </w:t>
      </w:r>
      <w:r w:rsidRPr="00032EA1">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032EA1">
        <w:rPr>
          <w:rFonts w:ascii="Verdana" w:hAnsi="Verdana"/>
          <w:sz w:val="16"/>
          <w:szCs w:val="16"/>
        </w:rPr>
        <w:t xml:space="preserve">La parte de la providencia señala: </w:t>
      </w:r>
      <w:r w:rsidRPr="00032EA1">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6">
    <w:p w14:paraId="182DDCAC" w14:textId="77777777" w:rsidR="00D422F8" w:rsidRPr="00032EA1" w:rsidRDefault="00D422F8" w:rsidP="00D422F8">
      <w:pPr>
        <w:pStyle w:val="Textonotapie"/>
        <w:ind w:firstLine="709"/>
        <w:jc w:val="both"/>
        <w:rPr>
          <w:rFonts w:ascii="Verdana" w:hAnsi="Verdana"/>
          <w:sz w:val="16"/>
          <w:szCs w:val="16"/>
          <w:lang w:val="es-CO"/>
        </w:rPr>
      </w:pPr>
      <w:r w:rsidRPr="00032EA1">
        <w:rPr>
          <w:rStyle w:val="Refdenotaalpie"/>
          <w:rFonts w:ascii="Verdana" w:hAnsi="Verdana"/>
          <w:sz w:val="16"/>
          <w:szCs w:val="16"/>
        </w:rPr>
        <w:footnoteRef/>
      </w:r>
      <w:r w:rsidRPr="00032EA1">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7">
    <w:p w14:paraId="32777074" w14:textId="77777777" w:rsidR="00D422F8" w:rsidRPr="00FC1D97" w:rsidRDefault="00D422F8" w:rsidP="00D422F8">
      <w:pPr>
        <w:spacing w:after="0" w:line="240" w:lineRule="auto"/>
        <w:ind w:firstLine="709"/>
        <w:contextualSpacing/>
        <w:jc w:val="both"/>
        <w:rPr>
          <w:rFonts w:ascii="Arial" w:hAnsi="Arial" w:cs="Arial"/>
          <w:sz w:val="18"/>
          <w:szCs w:val="18"/>
        </w:rPr>
      </w:pPr>
      <w:r w:rsidRPr="00032EA1">
        <w:rPr>
          <w:rStyle w:val="Refdenotaalpie"/>
          <w:rFonts w:ascii="Verdana" w:hAnsi="Verdana" w:cs="Arial"/>
          <w:sz w:val="16"/>
          <w:szCs w:val="16"/>
        </w:rPr>
        <w:footnoteRef/>
      </w:r>
      <w:r w:rsidRPr="00F02B3F">
        <w:rPr>
          <w:rFonts w:ascii="Verdana" w:hAnsi="Verdana" w:cs="Arial"/>
          <w:sz w:val="16"/>
          <w:szCs w:val="16"/>
        </w:rPr>
        <w:t xml:space="preserve"> La Agencia Nacional de Contratación Pública </w:t>
      </w:r>
      <w:r w:rsidRPr="00F02B3F">
        <w:rPr>
          <w:rFonts w:ascii="Verdana" w:hAnsi="Verdana" w:cs="Arial"/>
          <w:w w:val="95"/>
          <w:sz w:val="16"/>
          <w:szCs w:val="16"/>
        </w:rPr>
        <w:t xml:space="preserve">‒ </w:t>
      </w:r>
      <w:r w:rsidRPr="00F02B3F">
        <w:rPr>
          <w:rFonts w:ascii="Verdana" w:hAnsi="Verdana" w:cs="Arial"/>
          <w:sz w:val="16"/>
          <w:szCs w:val="16"/>
        </w:rPr>
        <w:t>Colombia Compra Eficiente fue creada por el Decreto Ley</w:t>
      </w:r>
      <w:r w:rsidRPr="00F02B3F">
        <w:rPr>
          <w:rFonts w:ascii="Verdana" w:hAnsi="Verdana" w:cs="Arial"/>
          <w:spacing w:val="1"/>
          <w:sz w:val="16"/>
          <w:szCs w:val="16"/>
        </w:rPr>
        <w:t xml:space="preserve"> </w:t>
      </w:r>
      <w:r w:rsidRPr="00F02B3F">
        <w:rPr>
          <w:rFonts w:ascii="Verdana" w:hAnsi="Verdana" w:cs="Arial"/>
          <w:sz w:val="16"/>
          <w:szCs w:val="16"/>
        </w:rPr>
        <w:t>4170 de 2011. Su objetivo es servir como ente rector de la política de compras y contratación del Estado.</w:t>
      </w:r>
      <w:r w:rsidRPr="00FC1D97">
        <w:rPr>
          <w:rFonts w:ascii="Arial" w:hAnsi="Arial" w:cs="Arial"/>
          <w:sz w:val="18"/>
          <w:szCs w:val="18"/>
        </w:rPr>
        <w:t xml:space="preserve"> </w:t>
      </w:r>
      <w:r w:rsidRPr="00F02B3F">
        <w:rPr>
          <w:rFonts w:ascii="Verdana" w:hAnsi="Verdana" w:cs="Arial"/>
          <w:sz w:val="16"/>
          <w:szCs w:val="16"/>
        </w:rPr>
        <w:t>Para tales</w:t>
      </w:r>
      <w:r w:rsidRPr="00F02B3F">
        <w:rPr>
          <w:rFonts w:ascii="Verdana" w:hAnsi="Verdana" w:cs="Arial"/>
          <w:spacing w:val="1"/>
          <w:sz w:val="16"/>
          <w:szCs w:val="16"/>
        </w:rPr>
        <w:t xml:space="preserve"> </w:t>
      </w:r>
      <w:r w:rsidRPr="00F02B3F">
        <w:rPr>
          <w:rFonts w:ascii="Verdana" w:hAnsi="Verdana" w:cs="Arial"/>
          <w:sz w:val="16"/>
          <w:szCs w:val="16"/>
        </w:rPr>
        <w:t>fines, como órgano técnico especializado, le corresponde formular políticas públicas y normas y unificar los procesos</w:t>
      </w:r>
      <w:r w:rsidRPr="00F02B3F">
        <w:rPr>
          <w:rFonts w:ascii="Verdana" w:hAnsi="Verdana" w:cs="Arial"/>
          <w:spacing w:val="1"/>
          <w:sz w:val="16"/>
          <w:szCs w:val="16"/>
        </w:rPr>
        <w:t xml:space="preserve"> </w:t>
      </w:r>
      <w:r w:rsidRPr="00F02B3F">
        <w:rPr>
          <w:rFonts w:ascii="Verdana" w:hAnsi="Verdana" w:cs="Arial"/>
          <w:sz w:val="16"/>
          <w:szCs w:val="16"/>
        </w:rPr>
        <w:t>de contratación estatal, con el fin de lograr una mayor eficiencia, transparencia y optimización de los recursos del</w:t>
      </w:r>
      <w:r w:rsidRPr="00F02B3F">
        <w:rPr>
          <w:rFonts w:ascii="Verdana" w:hAnsi="Verdana" w:cs="Arial"/>
          <w:spacing w:val="1"/>
          <w:sz w:val="16"/>
          <w:szCs w:val="16"/>
        </w:rPr>
        <w:t xml:space="preserve"> </w:t>
      </w:r>
      <w:r w:rsidRPr="00F02B3F">
        <w:rPr>
          <w:rFonts w:ascii="Verdana" w:hAnsi="Verdana" w:cs="Arial"/>
          <w:sz w:val="16"/>
          <w:szCs w:val="16"/>
        </w:rPr>
        <w:t>Estado. El artículo 3 ibidem señala, de manera precisa, las funciones de Colombia Compra Eficiente. Concretamente,</w:t>
      </w:r>
      <w:r w:rsidRPr="00F02B3F">
        <w:rPr>
          <w:rFonts w:ascii="Verdana" w:hAnsi="Verdana" w:cs="Arial"/>
          <w:spacing w:val="1"/>
          <w:sz w:val="16"/>
          <w:szCs w:val="16"/>
        </w:rPr>
        <w:t xml:space="preserve"> </w:t>
      </w:r>
      <w:r w:rsidRPr="00F02B3F">
        <w:rPr>
          <w:rFonts w:ascii="Verdana" w:hAnsi="Verdana" w:cs="Arial"/>
          <w:sz w:val="16"/>
          <w:szCs w:val="16"/>
        </w:rPr>
        <w:t>el</w:t>
      </w:r>
      <w:r w:rsidRPr="00F02B3F">
        <w:rPr>
          <w:rFonts w:ascii="Verdana" w:hAnsi="Verdana" w:cs="Arial"/>
          <w:spacing w:val="-10"/>
          <w:sz w:val="16"/>
          <w:szCs w:val="16"/>
        </w:rPr>
        <w:t xml:space="preserve"> </w:t>
      </w:r>
      <w:r w:rsidRPr="00F02B3F">
        <w:rPr>
          <w:rFonts w:ascii="Verdana" w:hAnsi="Verdana" w:cs="Arial"/>
          <w:sz w:val="16"/>
          <w:szCs w:val="16"/>
        </w:rPr>
        <w:t>numeral</w:t>
      </w:r>
      <w:r w:rsidRPr="00F02B3F">
        <w:rPr>
          <w:rFonts w:ascii="Verdana" w:hAnsi="Verdana" w:cs="Arial"/>
          <w:spacing w:val="-9"/>
          <w:sz w:val="16"/>
          <w:szCs w:val="16"/>
        </w:rPr>
        <w:t xml:space="preserve"> </w:t>
      </w:r>
      <w:r w:rsidRPr="00F02B3F">
        <w:rPr>
          <w:rFonts w:ascii="Verdana" w:hAnsi="Verdana" w:cs="Arial"/>
          <w:sz w:val="16"/>
          <w:szCs w:val="16"/>
        </w:rPr>
        <w:t>5º</w:t>
      </w:r>
      <w:r w:rsidRPr="00F02B3F">
        <w:rPr>
          <w:rFonts w:ascii="Verdana" w:hAnsi="Verdana" w:cs="Arial"/>
          <w:spacing w:val="-9"/>
          <w:sz w:val="16"/>
          <w:szCs w:val="16"/>
        </w:rPr>
        <w:t xml:space="preserve"> </w:t>
      </w:r>
      <w:r w:rsidRPr="00F02B3F">
        <w:rPr>
          <w:rFonts w:ascii="Verdana" w:hAnsi="Verdana" w:cs="Arial"/>
          <w:sz w:val="16"/>
          <w:szCs w:val="16"/>
        </w:rPr>
        <w:t>de</w:t>
      </w:r>
      <w:r w:rsidRPr="00F02B3F">
        <w:rPr>
          <w:rFonts w:ascii="Verdana" w:hAnsi="Verdana" w:cs="Arial"/>
          <w:spacing w:val="-9"/>
          <w:sz w:val="16"/>
          <w:szCs w:val="16"/>
        </w:rPr>
        <w:t xml:space="preserve"> </w:t>
      </w:r>
      <w:r w:rsidRPr="00F02B3F">
        <w:rPr>
          <w:rFonts w:ascii="Verdana" w:hAnsi="Verdana" w:cs="Arial"/>
          <w:sz w:val="16"/>
          <w:szCs w:val="16"/>
        </w:rPr>
        <w:t>este</w:t>
      </w:r>
      <w:r w:rsidRPr="00F02B3F">
        <w:rPr>
          <w:rFonts w:ascii="Verdana" w:hAnsi="Verdana" w:cs="Arial"/>
          <w:spacing w:val="-9"/>
          <w:sz w:val="16"/>
          <w:szCs w:val="16"/>
        </w:rPr>
        <w:t xml:space="preserve"> </w:t>
      </w:r>
      <w:r w:rsidRPr="00F02B3F">
        <w:rPr>
          <w:rFonts w:ascii="Verdana" w:hAnsi="Verdana" w:cs="Arial"/>
          <w:sz w:val="16"/>
          <w:szCs w:val="16"/>
        </w:rPr>
        <w:t>artículo</w:t>
      </w:r>
      <w:r w:rsidRPr="00F02B3F">
        <w:rPr>
          <w:rFonts w:ascii="Verdana" w:hAnsi="Verdana" w:cs="Arial"/>
          <w:spacing w:val="-9"/>
          <w:sz w:val="16"/>
          <w:szCs w:val="16"/>
        </w:rPr>
        <w:t xml:space="preserve"> </w:t>
      </w:r>
      <w:r w:rsidRPr="00F02B3F">
        <w:rPr>
          <w:rFonts w:ascii="Verdana" w:hAnsi="Verdana" w:cs="Arial"/>
          <w:sz w:val="16"/>
          <w:szCs w:val="16"/>
        </w:rPr>
        <w:t>establece</w:t>
      </w:r>
      <w:r w:rsidRPr="00F02B3F">
        <w:rPr>
          <w:rFonts w:ascii="Verdana" w:hAnsi="Verdana" w:cs="Arial"/>
          <w:spacing w:val="-9"/>
          <w:sz w:val="16"/>
          <w:szCs w:val="16"/>
        </w:rPr>
        <w:t xml:space="preserve"> </w:t>
      </w:r>
      <w:r w:rsidRPr="00F02B3F">
        <w:rPr>
          <w:rFonts w:ascii="Verdana" w:hAnsi="Verdana" w:cs="Arial"/>
          <w:sz w:val="16"/>
          <w:szCs w:val="16"/>
        </w:rPr>
        <w:t>que</w:t>
      </w:r>
      <w:r w:rsidRPr="00F02B3F">
        <w:rPr>
          <w:rFonts w:ascii="Verdana" w:hAnsi="Verdana" w:cs="Arial"/>
          <w:spacing w:val="-9"/>
          <w:sz w:val="16"/>
          <w:szCs w:val="16"/>
        </w:rPr>
        <w:t xml:space="preserve"> </w:t>
      </w:r>
      <w:r w:rsidRPr="00F02B3F">
        <w:rPr>
          <w:rFonts w:ascii="Verdana" w:hAnsi="Verdana" w:cs="Arial"/>
          <w:sz w:val="16"/>
          <w:szCs w:val="16"/>
        </w:rPr>
        <w:t>le</w:t>
      </w:r>
      <w:r w:rsidRPr="00F02B3F">
        <w:rPr>
          <w:rFonts w:ascii="Verdana" w:hAnsi="Verdana" w:cs="Arial"/>
          <w:spacing w:val="-9"/>
          <w:sz w:val="16"/>
          <w:szCs w:val="16"/>
        </w:rPr>
        <w:t xml:space="preserve"> </w:t>
      </w:r>
      <w:r w:rsidRPr="00F02B3F">
        <w:rPr>
          <w:rFonts w:ascii="Verdana" w:hAnsi="Verdana" w:cs="Arial"/>
          <w:sz w:val="16"/>
          <w:szCs w:val="16"/>
        </w:rPr>
        <w:t>corresponde</w:t>
      </w:r>
      <w:r w:rsidRPr="00F02B3F">
        <w:rPr>
          <w:rFonts w:ascii="Verdana" w:hAnsi="Verdana" w:cs="Arial"/>
          <w:spacing w:val="-9"/>
          <w:sz w:val="16"/>
          <w:szCs w:val="16"/>
        </w:rPr>
        <w:t xml:space="preserve"> </w:t>
      </w:r>
      <w:r w:rsidRPr="00F02B3F">
        <w:rPr>
          <w:rFonts w:ascii="Verdana" w:hAnsi="Verdana" w:cs="Arial"/>
          <w:sz w:val="16"/>
          <w:szCs w:val="16"/>
        </w:rPr>
        <w:t>a</w:t>
      </w:r>
      <w:r w:rsidRPr="00F02B3F">
        <w:rPr>
          <w:rFonts w:ascii="Verdana" w:hAnsi="Verdana" w:cs="Arial"/>
          <w:spacing w:val="-9"/>
          <w:sz w:val="16"/>
          <w:szCs w:val="16"/>
        </w:rPr>
        <w:t xml:space="preserve"> </w:t>
      </w:r>
      <w:r w:rsidRPr="00F02B3F">
        <w:rPr>
          <w:rFonts w:ascii="Verdana" w:hAnsi="Verdana" w:cs="Arial"/>
          <w:sz w:val="16"/>
          <w:szCs w:val="16"/>
        </w:rPr>
        <w:t>esta</w:t>
      </w:r>
      <w:r w:rsidRPr="00F02B3F">
        <w:rPr>
          <w:rFonts w:ascii="Verdana" w:hAnsi="Verdana" w:cs="Arial"/>
          <w:spacing w:val="-9"/>
          <w:sz w:val="16"/>
          <w:szCs w:val="16"/>
        </w:rPr>
        <w:t xml:space="preserve"> </w:t>
      </w:r>
      <w:r w:rsidRPr="00F02B3F">
        <w:rPr>
          <w:rFonts w:ascii="Verdana" w:hAnsi="Verdana" w:cs="Arial"/>
          <w:sz w:val="16"/>
          <w:szCs w:val="16"/>
        </w:rPr>
        <w:t>entidad:</w:t>
      </w:r>
      <w:r w:rsidRPr="00F02B3F">
        <w:rPr>
          <w:rFonts w:ascii="Verdana" w:hAnsi="Verdana" w:cs="Arial"/>
          <w:spacing w:val="-9"/>
          <w:sz w:val="16"/>
          <w:szCs w:val="16"/>
        </w:rPr>
        <w:t xml:space="preserve"> “</w:t>
      </w:r>
      <w:r w:rsidRPr="00F02B3F">
        <w:rPr>
          <w:rFonts w:ascii="Verdana" w:hAnsi="Verdana" w:cs="Arial"/>
          <w:sz w:val="16"/>
          <w:szCs w:val="16"/>
        </w:rPr>
        <w:t>[a]bsolver</w:t>
      </w:r>
      <w:r w:rsidRPr="00F02B3F">
        <w:rPr>
          <w:rFonts w:ascii="Verdana" w:hAnsi="Verdana" w:cs="Arial"/>
          <w:spacing w:val="-9"/>
          <w:sz w:val="16"/>
          <w:szCs w:val="16"/>
        </w:rPr>
        <w:t xml:space="preserve"> </w:t>
      </w:r>
      <w:r w:rsidRPr="00F02B3F">
        <w:rPr>
          <w:rFonts w:ascii="Verdana" w:hAnsi="Verdana" w:cs="Arial"/>
          <w:sz w:val="16"/>
          <w:szCs w:val="16"/>
        </w:rPr>
        <w:t>consultas</w:t>
      </w:r>
      <w:r w:rsidRPr="00F02B3F">
        <w:rPr>
          <w:rFonts w:ascii="Verdana" w:hAnsi="Verdana" w:cs="Arial"/>
          <w:spacing w:val="-9"/>
          <w:sz w:val="16"/>
          <w:szCs w:val="16"/>
        </w:rPr>
        <w:t xml:space="preserve"> </w:t>
      </w:r>
      <w:r w:rsidRPr="00F02B3F">
        <w:rPr>
          <w:rFonts w:ascii="Verdana" w:hAnsi="Verdana" w:cs="Arial"/>
          <w:sz w:val="16"/>
          <w:szCs w:val="16"/>
        </w:rPr>
        <w:t>sobre</w:t>
      </w:r>
      <w:r w:rsidRPr="00F02B3F">
        <w:rPr>
          <w:rFonts w:ascii="Verdana" w:hAnsi="Verdana" w:cs="Arial"/>
          <w:spacing w:val="-9"/>
          <w:sz w:val="16"/>
          <w:szCs w:val="16"/>
        </w:rPr>
        <w:t xml:space="preserve"> </w:t>
      </w:r>
      <w:r w:rsidRPr="00F02B3F">
        <w:rPr>
          <w:rFonts w:ascii="Verdana" w:hAnsi="Verdana" w:cs="Arial"/>
          <w:sz w:val="16"/>
          <w:szCs w:val="16"/>
        </w:rPr>
        <w:t>la</w:t>
      </w:r>
      <w:r w:rsidRPr="00F02B3F">
        <w:rPr>
          <w:rFonts w:ascii="Verdana" w:hAnsi="Verdana" w:cs="Arial"/>
          <w:spacing w:val="-9"/>
          <w:sz w:val="16"/>
          <w:szCs w:val="16"/>
        </w:rPr>
        <w:t xml:space="preserve"> </w:t>
      </w:r>
      <w:r w:rsidRPr="00F02B3F">
        <w:rPr>
          <w:rFonts w:ascii="Verdana" w:hAnsi="Verdana" w:cs="Arial"/>
          <w:sz w:val="16"/>
          <w:szCs w:val="16"/>
        </w:rPr>
        <w:t>aplicación</w:t>
      </w:r>
      <w:r w:rsidRPr="00F02B3F">
        <w:rPr>
          <w:rFonts w:ascii="Verdana" w:hAnsi="Verdana" w:cs="Arial"/>
          <w:spacing w:val="-9"/>
          <w:sz w:val="16"/>
          <w:szCs w:val="16"/>
        </w:rPr>
        <w:t xml:space="preserve"> </w:t>
      </w:r>
      <w:r w:rsidRPr="00F02B3F">
        <w:rPr>
          <w:rFonts w:ascii="Verdana" w:hAnsi="Verdana" w:cs="Arial"/>
          <w:sz w:val="16"/>
          <w:szCs w:val="16"/>
        </w:rPr>
        <w:t>de</w:t>
      </w:r>
      <w:r w:rsidRPr="00F02B3F">
        <w:rPr>
          <w:rFonts w:ascii="Verdana" w:hAnsi="Verdana" w:cs="Arial"/>
          <w:spacing w:val="1"/>
          <w:sz w:val="16"/>
          <w:szCs w:val="16"/>
        </w:rPr>
        <w:t xml:space="preserve"> </w:t>
      </w:r>
      <w:r w:rsidRPr="00F02B3F">
        <w:rPr>
          <w:rFonts w:ascii="Verdana" w:hAnsi="Verdana" w:cs="Arial"/>
          <w:spacing w:val="-1"/>
          <w:sz w:val="16"/>
          <w:szCs w:val="16"/>
        </w:rPr>
        <w:t>normas</w:t>
      </w:r>
      <w:r w:rsidRPr="00F02B3F">
        <w:rPr>
          <w:rFonts w:ascii="Verdana" w:hAnsi="Verdana" w:cs="Arial"/>
          <w:spacing w:val="-12"/>
          <w:sz w:val="16"/>
          <w:szCs w:val="16"/>
        </w:rPr>
        <w:t xml:space="preserve"> </w:t>
      </w:r>
      <w:r w:rsidRPr="00F02B3F">
        <w:rPr>
          <w:rFonts w:ascii="Verdana" w:hAnsi="Verdana" w:cs="Arial"/>
          <w:spacing w:val="-1"/>
          <w:sz w:val="16"/>
          <w:szCs w:val="16"/>
        </w:rPr>
        <w:t>de</w:t>
      </w:r>
      <w:r w:rsidRPr="00F02B3F">
        <w:rPr>
          <w:rFonts w:ascii="Verdana" w:hAnsi="Verdana" w:cs="Arial"/>
          <w:spacing w:val="-13"/>
          <w:sz w:val="16"/>
          <w:szCs w:val="16"/>
        </w:rPr>
        <w:t xml:space="preserve"> </w:t>
      </w:r>
      <w:r w:rsidRPr="00F02B3F">
        <w:rPr>
          <w:rFonts w:ascii="Verdana" w:hAnsi="Verdana" w:cs="Arial"/>
          <w:spacing w:val="-1"/>
          <w:sz w:val="16"/>
          <w:szCs w:val="16"/>
        </w:rPr>
        <w:t>carácter</w:t>
      </w:r>
      <w:r w:rsidRPr="00F02B3F">
        <w:rPr>
          <w:rFonts w:ascii="Verdana" w:hAnsi="Verdana" w:cs="Arial"/>
          <w:spacing w:val="-13"/>
          <w:sz w:val="16"/>
          <w:szCs w:val="16"/>
        </w:rPr>
        <w:t xml:space="preserve"> </w:t>
      </w:r>
      <w:r w:rsidRPr="00F02B3F">
        <w:rPr>
          <w:rFonts w:ascii="Verdana" w:hAnsi="Verdana" w:cs="Arial"/>
          <w:spacing w:val="-1"/>
          <w:sz w:val="16"/>
          <w:szCs w:val="16"/>
        </w:rPr>
        <w:t>general</w:t>
      </w:r>
      <w:r w:rsidRPr="00F02B3F">
        <w:rPr>
          <w:rFonts w:ascii="Verdana" w:hAnsi="Verdana" w:cs="Arial"/>
          <w:spacing w:val="-12"/>
          <w:sz w:val="16"/>
          <w:szCs w:val="16"/>
        </w:rPr>
        <w:t xml:space="preserve"> </w:t>
      </w:r>
      <w:r w:rsidRPr="00F02B3F">
        <w:rPr>
          <w:rFonts w:ascii="Verdana" w:hAnsi="Verdana" w:cs="Arial"/>
          <w:spacing w:val="-1"/>
          <w:sz w:val="16"/>
          <w:szCs w:val="16"/>
        </w:rPr>
        <w:t>y</w:t>
      </w:r>
      <w:r w:rsidRPr="00F02B3F">
        <w:rPr>
          <w:rFonts w:ascii="Verdana" w:hAnsi="Verdana" w:cs="Arial"/>
          <w:spacing w:val="-13"/>
          <w:sz w:val="16"/>
          <w:szCs w:val="16"/>
        </w:rPr>
        <w:t xml:space="preserve"> </w:t>
      </w:r>
      <w:r w:rsidRPr="00F02B3F">
        <w:rPr>
          <w:rFonts w:ascii="Verdana" w:hAnsi="Verdana" w:cs="Arial"/>
          <w:spacing w:val="-1"/>
          <w:sz w:val="16"/>
          <w:szCs w:val="16"/>
        </w:rPr>
        <w:t>expedir</w:t>
      </w:r>
      <w:r w:rsidRPr="00F02B3F">
        <w:rPr>
          <w:rFonts w:ascii="Verdana" w:hAnsi="Verdana" w:cs="Arial"/>
          <w:spacing w:val="-12"/>
          <w:sz w:val="16"/>
          <w:szCs w:val="16"/>
        </w:rPr>
        <w:t xml:space="preserve"> </w:t>
      </w:r>
      <w:r w:rsidRPr="00F02B3F">
        <w:rPr>
          <w:rFonts w:ascii="Verdana" w:hAnsi="Verdana" w:cs="Arial"/>
          <w:spacing w:val="-1"/>
          <w:sz w:val="16"/>
          <w:szCs w:val="16"/>
        </w:rPr>
        <w:t>circulares</w:t>
      </w:r>
      <w:r w:rsidRPr="00F02B3F">
        <w:rPr>
          <w:rFonts w:ascii="Verdana" w:hAnsi="Verdana" w:cs="Arial"/>
          <w:spacing w:val="-13"/>
          <w:sz w:val="16"/>
          <w:szCs w:val="16"/>
        </w:rPr>
        <w:t xml:space="preserve"> </w:t>
      </w:r>
      <w:r w:rsidRPr="00F02B3F">
        <w:rPr>
          <w:rFonts w:ascii="Verdana" w:hAnsi="Verdana" w:cs="Arial"/>
          <w:spacing w:val="-1"/>
          <w:sz w:val="16"/>
          <w:szCs w:val="16"/>
        </w:rPr>
        <w:t>externas</w:t>
      </w:r>
      <w:r w:rsidRPr="00F02B3F">
        <w:rPr>
          <w:rFonts w:ascii="Verdana" w:hAnsi="Verdana" w:cs="Arial"/>
          <w:spacing w:val="-12"/>
          <w:sz w:val="16"/>
          <w:szCs w:val="16"/>
        </w:rPr>
        <w:t xml:space="preserve"> </w:t>
      </w:r>
      <w:r w:rsidRPr="00F02B3F">
        <w:rPr>
          <w:rFonts w:ascii="Verdana" w:hAnsi="Verdana" w:cs="Arial"/>
          <w:sz w:val="16"/>
          <w:szCs w:val="16"/>
        </w:rPr>
        <w:t>en</w:t>
      </w:r>
      <w:r w:rsidRPr="00F02B3F">
        <w:rPr>
          <w:rFonts w:ascii="Verdana" w:hAnsi="Verdana" w:cs="Arial"/>
          <w:spacing w:val="-13"/>
          <w:sz w:val="16"/>
          <w:szCs w:val="16"/>
        </w:rPr>
        <w:t xml:space="preserve"> </w:t>
      </w:r>
      <w:r w:rsidRPr="00F02B3F">
        <w:rPr>
          <w:rFonts w:ascii="Verdana" w:hAnsi="Verdana" w:cs="Arial"/>
          <w:sz w:val="16"/>
          <w:szCs w:val="16"/>
        </w:rPr>
        <w:t>materia</w:t>
      </w:r>
      <w:r w:rsidRPr="00F02B3F">
        <w:rPr>
          <w:rFonts w:ascii="Verdana" w:hAnsi="Verdana" w:cs="Arial"/>
          <w:spacing w:val="-13"/>
          <w:sz w:val="16"/>
          <w:szCs w:val="16"/>
        </w:rPr>
        <w:t xml:space="preserve"> </w:t>
      </w:r>
      <w:r w:rsidRPr="00F02B3F">
        <w:rPr>
          <w:rFonts w:ascii="Verdana" w:hAnsi="Verdana" w:cs="Arial"/>
          <w:sz w:val="16"/>
          <w:szCs w:val="16"/>
        </w:rPr>
        <w:t>de</w:t>
      </w:r>
      <w:r w:rsidRPr="00F02B3F">
        <w:rPr>
          <w:rFonts w:ascii="Verdana" w:hAnsi="Verdana" w:cs="Arial"/>
          <w:spacing w:val="-13"/>
          <w:sz w:val="16"/>
          <w:szCs w:val="16"/>
        </w:rPr>
        <w:t xml:space="preserve"> </w:t>
      </w:r>
      <w:r w:rsidRPr="00F02B3F">
        <w:rPr>
          <w:rFonts w:ascii="Verdana" w:hAnsi="Verdana" w:cs="Arial"/>
          <w:sz w:val="16"/>
          <w:szCs w:val="16"/>
        </w:rPr>
        <w:t>compras</w:t>
      </w:r>
      <w:r w:rsidRPr="00F02B3F">
        <w:rPr>
          <w:rFonts w:ascii="Verdana" w:hAnsi="Verdana" w:cs="Arial"/>
          <w:spacing w:val="-13"/>
          <w:sz w:val="16"/>
          <w:szCs w:val="16"/>
        </w:rPr>
        <w:t xml:space="preserve"> </w:t>
      </w:r>
      <w:r w:rsidRPr="00F02B3F">
        <w:rPr>
          <w:rFonts w:ascii="Verdana" w:hAnsi="Verdana" w:cs="Arial"/>
          <w:sz w:val="16"/>
          <w:szCs w:val="16"/>
        </w:rPr>
        <w:t>y</w:t>
      </w:r>
      <w:r w:rsidRPr="00F02B3F">
        <w:rPr>
          <w:rFonts w:ascii="Verdana" w:hAnsi="Verdana" w:cs="Arial"/>
          <w:spacing w:val="-13"/>
          <w:sz w:val="16"/>
          <w:szCs w:val="16"/>
        </w:rPr>
        <w:t xml:space="preserve"> </w:t>
      </w:r>
      <w:r w:rsidRPr="00F02B3F">
        <w:rPr>
          <w:rFonts w:ascii="Verdana" w:hAnsi="Verdana" w:cs="Arial"/>
          <w:sz w:val="16"/>
          <w:szCs w:val="16"/>
        </w:rPr>
        <w:t>contratación</w:t>
      </w:r>
      <w:r w:rsidRPr="00F02B3F">
        <w:rPr>
          <w:rFonts w:ascii="Verdana" w:hAnsi="Verdana" w:cs="Arial"/>
          <w:spacing w:val="-13"/>
          <w:sz w:val="16"/>
          <w:szCs w:val="16"/>
        </w:rPr>
        <w:t xml:space="preserve"> </w:t>
      </w:r>
      <w:r w:rsidRPr="00F02B3F">
        <w:rPr>
          <w:rFonts w:ascii="Verdana" w:hAnsi="Verdana" w:cs="Arial"/>
          <w:sz w:val="16"/>
          <w:szCs w:val="16"/>
        </w:rPr>
        <w:t>pública».</w:t>
      </w:r>
      <w:r w:rsidRPr="00F02B3F">
        <w:rPr>
          <w:rFonts w:ascii="Verdana" w:hAnsi="Verdana" w:cs="Arial"/>
          <w:spacing w:val="-12"/>
          <w:sz w:val="16"/>
          <w:szCs w:val="16"/>
        </w:rPr>
        <w:t xml:space="preserve"> </w:t>
      </w:r>
      <w:r w:rsidRPr="00F02B3F">
        <w:rPr>
          <w:rFonts w:ascii="Verdana" w:hAnsi="Verdana" w:cs="Arial"/>
          <w:sz w:val="16"/>
          <w:szCs w:val="16"/>
        </w:rPr>
        <w:t>Seguidamente,</w:t>
      </w:r>
      <w:r w:rsidRPr="00F02B3F">
        <w:rPr>
          <w:rFonts w:ascii="Verdana" w:hAnsi="Verdana" w:cs="Arial"/>
          <w:spacing w:val="1"/>
          <w:sz w:val="16"/>
          <w:szCs w:val="16"/>
        </w:rPr>
        <w:t xml:space="preserve"> </w:t>
      </w:r>
      <w:r w:rsidRPr="00F02B3F">
        <w:rPr>
          <w:rFonts w:ascii="Verdana" w:hAnsi="Verdana" w:cs="Arial"/>
          <w:sz w:val="16"/>
          <w:szCs w:val="16"/>
        </w:rPr>
        <w:t>el numeral 8º del artículo 11 ibidem señala que es función de la Subdirección de Gestión Contractual: «[a]bsolver</w:t>
      </w:r>
      <w:r w:rsidRPr="00F02B3F">
        <w:rPr>
          <w:rFonts w:ascii="Verdana" w:hAnsi="Verdana" w:cs="Arial"/>
          <w:spacing w:val="1"/>
          <w:sz w:val="16"/>
          <w:szCs w:val="16"/>
        </w:rPr>
        <w:t xml:space="preserve"> </w:t>
      </w:r>
      <w:r w:rsidRPr="00F02B3F">
        <w:rPr>
          <w:rFonts w:ascii="Verdana" w:hAnsi="Verdana" w:cs="Arial"/>
          <w:sz w:val="16"/>
          <w:szCs w:val="16"/>
        </w:rPr>
        <w:t>consultas</w:t>
      </w:r>
      <w:r w:rsidRPr="00F02B3F">
        <w:rPr>
          <w:rFonts w:ascii="Verdana" w:hAnsi="Verdana" w:cs="Arial"/>
          <w:spacing w:val="-2"/>
          <w:sz w:val="16"/>
          <w:szCs w:val="16"/>
        </w:rPr>
        <w:t xml:space="preserve"> </w:t>
      </w:r>
      <w:r w:rsidRPr="00F02B3F">
        <w:rPr>
          <w:rFonts w:ascii="Verdana" w:hAnsi="Verdana" w:cs="Arial"/>
          <w:sz w:val="16"/>
          <w:szCs w:val="16"/>
        </w:rPr>
        <w:t>sobre</w:t>
      </w:r>
      <w:r w:rsidRPr="00F02B3F">
        <w:rPr>
          <w:rFonts w:ascii="Verdana" w:hAnsi="Verdana" w:cs="Arial"/>
          <w:spacing w:val="-1"/>
          <w:sz w:val="16"/>
          <w:szCs w:val="16"/>
        </w:rPr>
        <w:t xml:space="preserve"> </w:t>
      </w:r>
      <w:r w:rsidRPr="00F02B3F">
        <w:rPr>
          <w:rFonts w:ascii="Verdana" w:hAnsi="Verdana" w:cs="Arial"/>
          <w:sz w:val="16"/>
          <w:szCs w:val="16"/>
        </w:rPr>
        <w:t>la</w:t>
      </w:r>
      <w:r w:rsidRPr="00F02B3F">
        <w:rPr>
          <w:rFonts w:ascii="Verdana" w:hAnsi="Verdana" w:cs="Arial"/>
          <w:spacing w:val="-1"/>
          <w:sz w:val="16"/>
          <w:szCs w:val="16"/>
        </w:rPr>
        <w:t xml:space="preserve"> </w:t>
      </w:r>
      <w:r w:rsidRPr="00F02B3F">
        <w:rPr>
          <w:rFonts w:ascii="Verdana" w:hAnsi="Verdana" w:cs="Arial"/>
          <w:sz w:val="16"/>
          <w:szCs w:val="16"/>
        </w:rPr>
        <w:t>aplicación</w:t>
      </w:r>
      <w:r w:rsidRPr="00F02B3F">
        <w:rPr>
          <w:rFonts w:ascii="Verdana" w:hAnsi="Verdana" w:cs="Arial"/>
          <w:spacing w:val="-2"/>
          <w:sz w:val="16"/>
          <w:szCs w:val="16"/>
        </w:rPr>
        <w:t xml:space="preserve"> </w:t>
      </w:r>
      <w:r w:rsidRPr="00F02B3F">
        <w:rPr>
          <w:rFonts w:ascii="Verdana" w:hAnsi="Verdana" w:cs="Arial"/>
          <w:sz w:val="16"/>
          <w:szCs w:val="16"/>
        </w:rPr>
        <w:t>de</w:t>
      </w:r>
      <w:r w:rsidRPr="00F02B3F">
        <w:rPr>
          <w:rFonts w:ascii="Verdana" w:hAnsi="Verdana" w:cs="Arial"/>
          <w:spacing w:val="-1"/>
          <w:sz w:val="16"/>
          <w:szCs w:val="16"/>
        </w:rPr>
        <w:t xml:space="preserve"> </w:t>
      </w:r>
      <w:r w:rsidRPr="00F02B3F">
        <w:rPr>
          <w:rFonts w:ascii="Verdana" w:hAnsi="Verdana" w:cs="Arial"/>
          <w:sz w:val="16"/>
          <w:szCs w:val="16"/>
        </w:rPr>
        <w:t>normas</w:t>
      </w:r>
      <w:r w:rsidRPr="00F02B3F">
        <w:rPr>
          <w:rFonts w:ascii="Verdana" w:hAnsi="Verdana" w:cs="Arial"/>
          <w:spacing w:val="-1"/>
          <w:sz w:val="16"/>
          <w:szCs w:val="16"/>
        </w:rPr>
        <w:t xml:space="preserve"> </w:t>
      </w:r>
      <w:r w:rsidRPr="00F02B3F">
        <w:rPr>
          <w:rFonts w:ascii="Verdana" w:hAnsi="Verdana" w:cs="Arial"/>
          <w:sz w:val="16"/>
          <w:szCs w:val="16"/>
        </w:rPr>
        <w:t>de</w:t>
      </w:r>
      <w:r w:rsidRPr="00F02B3F">
        <w:rPr>
          <w:rFonts w:ascii="Verdana" w:hAnsi="Verdana" w:cs="Arial"/>
          <w:spacing w:val="-1"/>
          <w:sz w:val="16"/>
          <w:szCs w:val="16"/>
        </w:rPr>
        <w:t xml:space="preserve"> </w:t>
      </w:r>
      <w:r w:rsidRPr="00F02B3F">
        <w:rPr>
          <w:rFonts w:ascii="Verdana" w:hAnsi="Verdana" w:cs="Arial"/>
          <w:sz w:val="16"/>
          <w:szCs w:val="16"/>
        </w:rPr>
        <w:t>carácter</w:t>
      </w:r>
      <w:r w:rsidRPr="00F02B3F">
        <w:rPr>
          <w:rFonts w:ascii="Verdana" w:hAnsi="Verdana" w:cs="Arial"/>
          <w:spacing w:val="-2"/>
          <w:sz w:val="16"/>
          <w:szCs w:val="16"/>
        </w:rPr>
        <w:t xml:space="preserve"> </w:t>
      </w:r>
      <w:r w:rsidRPr="00F02B3F">
        <w:rPr>
          <w:rFonts w:ascii="Verdana" w:hAnsi="Verdana" w:cs="Arial"/>
          <w:sz w:val="16"/>
          <w:szCs w:val="16"/>
        </w:rPr>
        <w:t>general”.</w:t>
      </w:r>
    </w:p>
    <w:p w14:paraId="2B21CDEF" w14:textId="77777777" w:rsidR="00D422F8" w:rsidRPr="00FC1D97" w:rsidRDefault="00D422F8" w:rsidP="00D422F8">
      <w:pPr>
        <w:pStyle w:val="Textonotapie"/>
        <w:contextualSpacing/>
        <w:jc w:val="both"/>
        <w:rPr>
          <w:rFonts w:ascii="Arial" w:hAnsi="Arial"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11065136">
    <w:abstractNumId w:val="5"/>
  </w:num>
  <w:num w:numId="2" w16cid:durableId="1443838139">
    <w:abstractNumId w:val="1"/>
  </w:num>
  <w:num w:numId="3" w16cid:durableId="1237057712">
    <w:abstractNumId w:val="3"/>
  </w:num>
  <w:num w:numId="4" w16cid:durableId="10497221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92776054">
    <w:abstractNumId w:val="1"/>
  </w:num>
  <w:num w:numId="6" w16cid:durableId="238096133">
    <w:abstractNumId w:val="12"/>
  </w:num>
  <w:num w:numId="7" w16cid:durableId="2069835809">
    <w:abstractNumId w:val="4"/>
  </w:num>
  <w:num w:numId="8" w16cid:durableId="1884364348">
    <w:abstractNumId w:val="11"/>
  </w:num>
  <w:num w:numId="9" w16cid:durableId="449518953">
    <w:abstractNumId w:val="6"/>
  </w:num>
  <w:num w:numId="10" w16cid:durableId="65420990">
    <w:abstractNumId w:val="10"/>
  </w:num>
  <w:num w:numId="11" w16cid:durableId="924454516">
    <w:abstractNumId w:val="7"/>
  </w:num>
  <w:num w:numId="12" w16cid:durableId="1198422408">
    <w:abstractNumId w:val="0"/>
  </w:num>
  <w:num w:numId="13" w16cid:durableId="1657104461">
    <w:abstractNumId w:val="2"/>
  </w:num>
  <w:num w:numId="14" w16cid:durableId="1809398264">
    <w:abstractNumId w:val="13"/>
  </w:num>
  <w:num w:numId="15" w16cid:durableId="936672728">
    <w:abstractNumId w:val="9"/>
  </w:num>
  <w:num w:numId="16" w16cid:durableId="10183165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550D"/>
    <w:rsid w:val="00082362"/>
    <w:rsid w:val="000A683E"/>
    <w:rsid w:val="000B19B9"/>
    <w:rsid w:val="000D0334"/>
    <w:rsid w:val="000D5DA7"/>
    <w:rsid w:val="000F6486"/>
    <w:rsid w:val="00116940"/>
    <w:rsid w:val="00125105"/>
    <w:rsid w:val="00127233"/>
    <w:rsid w:val="0015699B"/>
    <w:rsid w:val="001A33BF"/>
    <w:rsid w:val="001E04A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71BF"/>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1418"/>
    <w:rsid w:val="0044528D"/>
    <w:rsid w:val="00466E39"/>
    <w:rsid w:val="00483F7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E58C5"/>
    <w:rsid w:val="00706C16"/>
    <w:rsid w:val="0072774C"/>
    <w:rsid w:val="007340C3"/>
    <w:rsid w:val="0075235A"/>
    <w:rsid w:val="00756841"/>
    <w:rsid w:val="007649AB"/>
    <w:rsid w:val="00771D0C"/>
    <w:rsid w:val="007833AC"/>
    <w:rsid w:val="007B268C"/>
    <w:rsid w:val="007B7171"/>
    <w:rsid w:val="007C0C0F"/>
    <w:rsid w:val="007C3DC2"/>
    <w:rsid w:val="007E5497"/>
    <w:rsid w:val="007F73F7"/>
    <w:rsid w:val="00806F5F"/>
    <w:rsid w:val="00820278"/>
    <w:rsid w:val="008258C9"/>
    <w:rsid w:val="00844AE9"/>
    <w:rsid w:val="00867F95"/>
    <w:rsid w:val="008843B6"/>
    <w:rsid w:val="00884678"/>
    <w:rsid w:val="00891928"/>
    <w:rsid w:val="008A446D"/>
    <w:rsid w:val="008B25F1"/>
    <w:rsid w:val="008D180B"/>
    <w:rsid w:val="008F0EA7"/>
    <w:rsid w:val="00902E41"/>
    <w:rsid w:val="00923EEF"/>
    <w:rsid w:val="009339F8"/>
    <w:rsid w:val="009419F9"/>
    <w:rsid w:val="0095685E"/>
    <w:rsid w:val="009601FA"/>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178F"/>
    <w:rsid w:val="00A93CF6"/>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4676"/>
    <w:rsid w:val="00D30B19"/>
    <w:rsid w:val="00D361FD"/>
    <w:rsid w:val="00D422F8"/>
    <w:rsid w:val="00D423A2"/>
    <w:rsid w:val="00D44E26"/>
    <w:rsid w:val="00D520D8"/>
    <w:rsid w:val="00D63AC2"/>
    <w:rsid w:val="00D6565E"/>
    <w:rsid w:val="00D7383B"/>
    <w:rsid w:val="00D7788A"/>
    <w:rsid w:val="00DA231B"/>
    <w:rsid w:val="00DC39FC"/>
    <w:rsid w:val="00DF5254"/>
    <w:rsid w:val="00E02524"/>
    <w:rsid w:val="00E16408"/>
    <w:rsid w:val="00E20894"/>
    <w:rsid w:val="00E245AB"/>
    <w:rsid w:val="00E2764C"/>
    <w:rsid w:val="00E27F2E"/>
    <w:rsid w:val="00E35CDA"/>
    <w:rsid w:val="00E50AFE"/>
    <w:rsid w:val="00E75C92"/>
    <w:rsid w:val="00E771DC"/>
    <w:rsid w:val="00E8772A"/>
    <w:rsid w:val="00E90F6B"/>
    <w:rsid w:val="00E92C27"/>
    <w:rsid w:val="00EA0E3D"/>
    <w:rsid w:val="00EC38A7"/>
    <w:rsid w:val="00EE1AA8"/>
    <w:rsid w:val="00F23FEA"/>
    <w:rsid w:val="00F31EDC"/>
    <w:rsid w:val="00F462B3"/>
    <w:rsid w:val="00F47BD2"/>
    <w:rsid w:val="00F5664F"/>
    <w:rsid w:val="00F666C4"/>
    <w:rsid w:val="00F76AFC"/>
    <w:rsid w:val="00FA47C0"/>
    <w:rsid w:val="00FB5DD1"/>
    <w:rsid w:val="00FC2B5D"/>
    <w:rsid w:val="00FD5254"/>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422F8"/>
    <w:pPr>
      <w:spacing w:line="240" w:lineRule="exact"/>
    </w:pPr>
    <w:rPr>
      <w:vertAlign w:val="superscript"/>
    </w:rPr>
  </w:style>
  <w:style w:type="character" w:customStyle="1" w:styleId="baj">
    <w:name w:val="b_aj"/>
    <w:basedOn w:val="Fuentedeprrafopredeter"/>
    <w:rsid w:val="00D422F8"/>
  </w:style>
  <w:style w:type="character" w:customStyle="1" w:styleId="NormalWebCar">
    <w:name w:val="Normal (Web) Car"/>
    <w:link w:val="NormalWeb"/>
    <w:uiPriority w:val="99"/>
    <w:locked/>
    <w:rsid w:val="00D422F8"/>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22F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225;ctenos@pradera-valle.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860E94E-1094-4C3A-9A27-5AF64DFDB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20</Pages>
  <Words>6394</Words>
  <Characters>35300</Characters>
  <Application>Microsoft Office Word</Application>
  <DocSecurity>0</DocSecurity>
  <Lines>692</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2025-12-23T14:15:00Z</dcterms:created>
  <dcterms:modified xsi:type="dcterms:W3CDTF">2025-12-24T15:32:00Z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