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FBA460" w14:textId="77777777" w:rsidR="004D0547" w:rsidRDefault="004D0547" w:rsidP="004D0547">
      <w:pPr>
        <w:spacing w:after="0" w:line="240" w:lineRule="auto"/>
        <w:jc w:val="both"/>
        <w:rPr>
          <w:rFonts w:ascii="Verdana" w:eastAsia="Calibri" w:hAnsi="Verdana" w:cs="Arial"/>
          <w:b/>
          <w:bCs/>
          <w:lang w:eastAsia="es-ES"/>
        </w:rPr>
      </w:pPr>
      <w:bookmarkStart w:id="0" w:name="_Hlk215673488"/>
      <w:r w:rsidRPr="004B21C7">
        <w:rPr>
          <w:rFonts w:ascii="Verdana" w:eastAsia="Calibri" w:hAnsi="Verdana" w:cs="Arial"/>
          <w:b/>
          <w:bCs/>
          <w:lang w:eastAsia="es-ES"/>
        </w:rPr>
        <w:t>ESTABILIDAD OCUPACIONAL REFORZADA – Mujer embarazada</w:t>
      </w:r>
      <w:r>
        <w:rPr>
          <w:rFonts w:ascii="Verdana" w:eastAsia="Calibri" w:hAnsi="Verdana" w:cs="Arial"/>
          <w:b/>
          <w:bCs/>
          <w:lang w:eastAsia="es-ES"/>
        </w:rPr>
        <w:t xml:space="preserve"> y/o periodo de lactancia</w:t>
      </w:r>
    </w:p>
    <w:p w14:paraId="4CDDCD1E" w14:textId="77777777" w:rsidR="004D0547" w:rsidRDefault="004D0547" w:rsidP="004D0547">
      <w:pPr>
        <w:spacing w:after="0" w:line="240" w:lineRule="auto"/>
        <w:jc w:val="both"/>
        <w:rPr>
          <w:rFonts w:ascii="Verdana" w:eastAsia="Calibri" w:hAnsi="Verdana" w:cs="Arial"/>
          <w:b/>
          <w:bCs/>
          <w:lang w:eastAsia="es-ES"/>
        </w:rPr>
      </w:pPr>
    </w:p>
    <w:p w14:paraId="7412D45B" w14:textId="77777777" w:rsidR="004D0547" w:rsidRDefault="004D0547" w:rsidP="004D0547">
      <w:pPr>
        <w:spacing w:after="0" w:line="240" w:lineRule="auto"/>
        <w:jc w:val="both"/>
        <w:rPr>
          <w:rFonts w:ascii="Verdana" w:eastAsia="Calibri" w:hAnsi="Verdana" w:cs="Arial"/>
          <w:color w:val="000000"/>
          <w:sz w:val="20"/>
          <w:szCs w:val="20"/>
          <w:lang w:eastAsia="es-ES_tradnl"/>
        </w:rPr>
      </w:pPr>
      <w:r>
        <w:rPr>
          <w:rFonts w:ascii="Verdana" w:eastAsia="Calibri" w:hAnsi="Verdana" w:cs="Arial"/>
          <w:color w:val="000000"/>
          <w:sz w:val="20"/>
          <w:szCs w:val="20"/>
          <w:lang w:eastAsia="es-ES_tradnl"/>
        </w:rPr>
        <w:t xml:space="preserve">[…] </w:t>
      </w:r>
      <w:r w:rsidRPr="0072670B">
        <w:rPr>
          <w:rFonts w:ascii="Verdana" w:eastAsia="Calibri" w:hAnsi="Verdana" w:cs="Arial"/>
          <w:color w:val="000000"/>
          <w:sz w:val="20"/>
          <w:szCs w:val="20"/>
          <w:lang w:eastAsia="es-ES_tradnl"/>
        </w:rPr>
        <w:t>la Corte Constitucional ha expuesto dos (2) posiciones frente a los cuales opera la protección del denominado fuero de maternidad de mujeres vinculadas por medio de un contrato de prestación de servicios: i) cuando el juez prueba la configuración de un contrato realidad en el contrato de prestación de servicios, porque concurren los siguientes elementos: a) el salario, b) la continua subordinación o dependencia y c) la prestación personal del servicio; y además, ii) cuando a pesar de no probarse la configuración de un contrato realidad la terminación del contrato de prestación de servicios se fundamenta en criterios discriminatorios, y no en motivos objetivos.</w:t>
      </w:r>
    </w:p>
    <w:p w14:paraId="1169ACCF" w14:textId="77777777" w:rsidR="004D0547" w:rsidRDefault="004D0547" w:rsidP="004D0547">
      <w:pPr>
        <w:spacing w:after="0" w:line="240" w:lineRule="auto"/>
        <w:jc w:val="both"/>
        <w:rPr>
          <w:rFonts w:ascii="Verdana" w:eastAsia="Calibri" w:hAnsi="Verdana" w:cs="Arial"/>
          <w:color w:val="000000"/>
          <w:sz w:val="20"/>
          <w:szCs w:val="20"/>
          <w:lang w:eastAsia="es-ES_tradnl"/>
        </w:rPr>
      </w:pPr>
    </w:p>
    <w:p w14:paraId="1E173D85" w14:textId="77777777" w:rsidR="004D0547" w:rsidRDefault="004D0547" w:rsidP="004D0547">
      <w:pPr>
        <w:spacing w:after="0" w:line="240" w:lineRule="auto"/>
        <w:jc w:val="both"/>
        <w:rPr>
          <w:rFonts w:ascii="Verdana" w:eastAsia="Calibri" w:hAnsi="Verdana" w:cs="Arial"/>
          <w:b/>
          <w:bCs/>
          <w:lang w:eastAsia="es-ES"/>
        </w:rPr>
      </w:pPr>
      <w:r w:rsidRPr="0072670B">
        <w:rPr>
          <w:rFonts w:ascii="Verdana" w:eastAsia="Calibri" w:hAnsi="Verdana" w:cs="Arial"/>
          <w:b/>
          <w:bCs/>
          <w:lang w:eastAsia="es-ES"/>
        </w:rPr>
        <w:t>CONTRATO DE PRESTACIÓN DE SERVICIOS – Protección por maternidad</w:t>
      </w:r>
    </w:p>
    <w:p w14:paraId="7C9FD341" w14:textId="77777777" w:rsidR="004D0547" w:rsidRDefault="004D0547" w:rsidP="004D0547">
      <w:pPr>
        <w:spacing w:after="0" w:line="240" w:lineRule="auto"/>
        <w:jc w:val="both"/>
        <w:rPr>
          <w:rFonts w:ascii="Verdana" w:eastAsia="Calibri" w:hAnsi="Verdana" w:cs="Arial"/>
          <w:b/>
          <w:bCs/>
          <w:lang w:eastAsia="es-ES"/>
        </w:rPr>
      </w:pPr>
    </w:p>
    <w:p w14:paraId="1A7870CF" w14:textId="77777777" w:rsidR="004D0547" w:rsidRPr="008D1EE5" w:rsidRDefault="004D0547" w:rsidP="004D0547">
      <w:pPr>
        <w:spacing w:after="0" w:line="240" w:lineRule="auto"/>
        <w:jc w:val="both"/>
        <w:rPr>
          <w:rFonts w:ascii="Verdana" w:eastAsia="Calibri" w:hAnsi="Verdana" w:cs="Arial"/>
          <w:color w:val="000000"/>
          <w:sz w:val="20"/>
          <w:szCs w:val="20"/>
          <w:lang w:eastAsia="es-ES_tradnl"/>
        </w:rPr>
      </w:pPr>
      <w:r w:rsidRPr="0072670B">
        <w:rPr>
          <w:rFonts w:ascii="Verdana" w:eastAsia="Calibri" w:hAnsi="Verdana" w:cs="Arial"/>
          <w:color w:val="000000"/>
          <w:sz w:val="20"/>
          <w:szCs w:val="20"/>
          <w:lang w:eastAsia="es-ES_tradnl"/>
        </w:rPr>
        <w:t>En este sentido, de conformidad con lo expuesto, les corresponde a las Entidades Estatales, en virtud de su autonomía, y de acuerdo con los lineamientos de la Corte Constitucional, determinar la mejor forma para garantizar la estabilidad ocupacional reforzada a favor de las mujeres en estado de embarazo o en período de lactancia, incluso cuando se encuentran vinculadas mediante contratos de prestación de servicios, orientado a impedir prácticas discriminatorias derivadas de la terminación o no renovación del vínculo contractual por causa o con ocasión de la maternidad. No obstante, el alcance y la forma de materialización de dicha protección deben analizarse a la luz del marco normativo aplicable a la actuación de las entidades estatales, en particular, cuando concurren restricciones legales que inciden en la gestión contractual.</w:t>
      </w:r>
      <w:r w:rsidRPr="00783D7C">
        <w:t xml:space="preserve"> </w:t>
      </w:r>
    </w:p>
    <w:p w14:paraId="198C62FC" w14:textId="77777777" w:rsidR="004D0547" w:rsidRDefault="004D0547" w:rsidP="004D0547">
      <w:pPr>
        <w:spacing w:after="0" w:line="240" w:lineRule="auto"/>
        <w:jc w:val="both"/>
        <w:rPr>
          <w:rFonts w:ascii="Verdana" w:eastAsia="Calibri" w:hAnsi="Verdana" w:cs="Arial"/>
          <w:b/>
          <w:bCs/>
          <w:color w:val="000000"/>
          <w:lang w:eastAsia="es-ES_tradnl"/>
        </w:rPr>
      </w:pPr>
    </w:p>
    <w:p w14:paraId="39BE1059" w14:textId="77777777" w:rsidR="004D0547" w:rsidRDefault="004D0547" w:rsidP="004D0547">
      <w:pPr>
        <w:spacing w:after="0" w:line="240" w:lineRule="auto"/>
        <w:jc w:val="both"/>
        <w:rPr>
          <w:rFonts w:ascii="Verdana" w:eastAsia="Calibri" w:hAnsi="Verdana" w:cs="Arial"/>
          <w:b/>
          <w:bCs/>
          <w:lang w:eastAsia="es-ES"/>
        </w:rPr>
      </w:pPr>
      <w:r w:rsidRPr="0072670B">
        <w:rPr>
          <w:rFonts w:ascii="Verdana" w:eastAsia="Calibri" w:hAnsi="Verdana" w:cs="Arial"/>
          <w:b/>
          <w:bCs/>
          <w:lang w:eastAsia="es-ES"/>
        </w:rPr>
        <w:t>LEY DE GARANTÍAS ELECTORALES – Artículo 33 – Contratación directa</w:t>
      </w:r>
    </w:p>
    <w:p w14:paraId="4B860604" w14:textId="77777777" w:rsidR="004D0547" w:rsidRDefault="004D0547" w:rsidP="004D0547">
      <w:pPr>
        <w:spacing w:after="0" w:line="240" w:lineRule="auto"/>
        <w:jc w:val="both"/>
        <w:rPr>
          <w:rFonts w:ascii="Verdana" w:eastAsia="Calibri" w:hAnsi="Verdana" w:cs="Arial"/>
          <w:color w:val="000000"/>
          <w:sz w:val="20"/>
          <w:szCs w:val="20"/>
          <w:lang w:eastAsia="es-ES"/>
        </w:rPr>
      </w:pPr>
    </w:p>
    <w:p w14:paraId="6FA19F91" w14:textId="77777777" w:rsidR="004D0547" w:rsidRDefault="004D0547" w:rsidP="004D0547">
      <w:pPr>
        <w:spacing w:after="0" w:line="240" w:lineRule="auto"/>
        <w:jc w:val="both"/>
        <w:rPr>
          <w:rFonts w:ascii="Verdana" w:eastAsia="Calibri" w:hAnsi="Verdana" w:cs="Arial"/>
          <w:color w:val="000000"/>
          <w:sz w:val="20"/>
          <w:szCs w:val="20"/>
          <w:lang w:eastAsia="es-ES_tradnl"/>
        </w:rPr>
      </w:pPr>
      <w:r w:rsidRPr="00783D7C">
        <w:rPr>
          <w:rFonts w:ascii="Verdana" w:eastAsia="Calibri" w:hAnsi="Verdana" w:cs="Arial"/>
          <w:color w:val="000000"/>
          <w:sz w:val="20"/>
          <w:szCs w:val="20"/>
          <w:lang w:eastAsia="es-ES_tradnl"/>
        </w:rPr>
        <w:t>De conformidad con lo anterior, la Ley 996 de 2005 establece dos (2) tipos de restricciones en materia de contratación, las cuales coinciden parcialmente. En primer lugar,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w:t>
      </w:r>
      <w:r>
        <w:rPr>
          <w:rFonts w:ascii="Verdana" w:eastAsia="Calibri" w:hAnsi="Verdana" w:cs="Arial"/>
          <w:color w:val="000000"/>
          <w:sz w:val="20"/>
          <w:szCs w:val="20"/>
          <w:lang w:eastAsia="es-ES_tradnl"/>
        </w:rPr>
        <w:t xml:space="preserve"> </w:t>
      </w:r>
      <w:r w:rsidRPr="00783D7C">
        <w:rPr>
          <w:rFonts w:ascii="Verdana" w:eastAsia="Calibri" w:hAnsi="Verdana" w:cs="Arial"/>
          <w:color w:val="000000"/>
          <w:sz w:val="20"/>
          <w:szCs w:val="20"/>
          <w:lang w:eastAsia="es-ES_tradnl"/>
        </w:rPr>
        <w:t>En segundo lugar,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 para los sujetos señalados en la disposición.</w:t>
      </w:r>
    </w:p>
    <w:p w14:paraId="26736EE5" w14:textId="77777777" w:rsidR="004D0547" w:rsidRDefault="004D0547" w:rsidP="004D0547">
      <w:pPr>
        <w:spacing w:after="0" w:line="240" w:lineRule="auto"/>
        <w:jc w:val="both"/>
        <w:rPr>
          <w:rFonts w:ascii="Verdana" w:eastAsia="Calibri" w:hAnsi="Verdana" w:cs="Arial"/>
          <w:color w:val="000000"/>
          <w:sz w:val="20"/>
          <w:szCs w:val="20"/>
          <w:lang w:eastAsia="es-ES_tradnl"/>
        </w:rPr>
      </w:pPr>
    </w:p>
    <w:p w14:paraId="35720C5A" w14:textId="77777777" w:rsidR="004D0547" w:rsidRDefault="004D0547" w:rsidP="004D0547">
      <w:pPr>
        <w:spacing w:after="0" w:line="240" w:lineRule="auto"/>
        <w:jc w:val="both"/>
        <w:rPr>
          <w:rFonts w:ascii="Verdana" w:eastAsia="Calibri" w:hAnsi="Verdana" w:cs="Arial"/>
          <w:color w:val="000000"/>
          <w:sz w:val="20"/>
          <w:szCs w:val="20"/>
          <w:lang w:eastAsia="es-ES_tradnl"/>
        </w:rPr>
      </w:pPr>
      <w:r>
        <w:rPr>
          <w:rFonts w:ascii="Verdana" w:eastAsia="Calibri" w:hAnsi="Verdana" w:cs="Arial"/>
          <w:color w:val="000000"/>
          <w:sz w:val="20"/>
          <w:szCs w:val="20"/>
          <w:lang w:eastAsia="es-ES_tradnl"/>
        </w:rPr>
        <w:t>[…]</w:t>
      </w:r>
    </w:p>
    <w:p w14:paraId="7350A545" w14:textId="77777777" w:rsidR="004D0547" w:rsidRDefault="004D0547" w:rsidP="004D0547">
      <w:pPr>
        <w:spacing w:after="0" w:line="240" w:lineRule="auto"/>
        <w:jc w:val="both"/>
        <w:rPr>
          <w:rFonts w:ascii="Verdana" w:eastAsia="Calibri" w:hAnsi="Verdana" w:cs="Arial"/>
          <w:color w:val="000000"/>
          <w:sz w:val="20"/>
          <w:szCs w:val="20"/>
          <w:lang w:eastAsia="es-ES_tradnl"/>
        </w:rPr>
      </w:pPr>
    </w:p>
    <w:p w14:paraId="77E13A54" w14:textId="77777777" w:rsidR="004D0547" w:rsidRDefault="004D0547" w:rsidP="004D0547">
      <w:pPr>
        <w:spacing w:after="0" w:line="240" w:lineRule="auto"/>
        <w:jc w:val="both"/>
        <w:rPr>
          <w:rFonts w:ascii="Verdana" w:eastAsia="Calibri" w:hAnsi="Verdana" w:cs="Arial"/>
          <w:color w:val="000000"/>
          <w:sz w:val="20"/>
          <w:szCs w:val="20"/>
          <w:lang w:eastAsia="es-ES_tradnl"/>
        </w:rPr>
      </w:pPr>
      <w:r w:rsidRPr="008D1EE5">
        <w:rPr>
          <w:rFonts w:ascii="Verdana" w:eastAsia="Calibri" w:hAnsi="Verdana" w:cs="Arial"/>
          <w:color w:val="000000"/>
          <w:sz w:val="20"/>
          <w:szCs w:val="20"/>
          <w:lang w:eastAsia="es-ES_tradnl"/>
        </w:rPr>
        <w:t xml:space="preserve">Por tanto, las excepciones a la prohibición contenida en el inciso segundo de artículo 33 de la Ley de Garantías Electorales tienen por finalidad garantizar la realización </w:t>
      </w:r>
      <w:r w:rsidRPr="008D1EE5">
        <w:rPr>
          <w:rFonts w:ascii="Verdana" w:eastAsia="Calibri" w:hAnsi="Verdana" w:cs="Arial"/>
          <w:color w:val="000000"/>
          <w:sz w:val="20"/>
          <w:szCs w:val="20"/>
          <w:lang w:eastAsia="es-ES_tradnl"/>
        </w:rPr>
        <w:lastRenderedPageBreak/>
        <w:t>ininterrumpida de ciertas actividades que, dada su importancia en el orden interno, se verían irrazonablemente afectadas por la restricción. De igual forma, la Sala de Consulta y Servicio Civil del Consejo de Estado, en concepto del 2 de septiembre de 2013, mencionó las excepciones a la prohibición del artículo 33 de la Ley de Garantías Electorales, resaltando su carácter taxativo, y señalando la independencia de los supuestos, así: “[…] Las excepciones aplicables a la restricción de contratación pública. Ahora bien, las únicas excepciones a las disposiciones previstas en la Ley de Garantías se encuentran numeradas taxativamente en el último inciso del artículo 33 de la ley 996 de 2005 […]”</w:t>
      </w:r>
    </w:p>
    <w:p w14:paraId="1687A8DF" w14:textId="77777777" w:rsidR="004D0547" w:rsidRPr="008D1EE5" w:rsidRDefault="004D0547" w:rsidP="004D0547">
      <w:pPr>
        <w:spacing w:after="0" w:line="240" w:lineRule="auto"/>
        <w:jc w:val="both"/>
        <w:rPr>
          <w:rFonts w:ascii="Verdana" w:eastAsia="Calibri" w:hAnsi="Verdana" w:cs="Arial"/>
          <w:color w:val="000000"/>
          <w:sz w:val="20"/>
          <w:szCs w:val="20"/>
          <w:lang w:eastAsia="es-ES_tradnl"/>
        </w:rPr>
      </w:pPr>
    </w:p>
    <w:p w14:paraId="6D662C54" w14:textId="77777777" w:rsidR="004D0547" w:rsidRDefault="004D0547" w:rsidP="004D0547">
      <w:pPr>
        <w:spacing w:after="0" w:line="240" w:lineRule="auto"/>
        <w:jc w:val="both"/>
        <w:rPr>
          <w:rFonts w:ascii="Verdana" w:eastAsia="Calibri" w:hAnsi="Verdana" w:cs="Arial"/>
          <w:color w:val="000000"/>
          <w:sz w:val="20"/>
          <w:szCs w:val="20"/>
          <w:lang w:eastAsia="es-ES_tradnl"/>
        </w:rPr>
      </w:pPr>
      <w:r w:rsidRPr="008D1EE5">
        <w:rPr>
          <w:rFonts w:ascii="Verdana" w:eastAsia="Calibri" w:hAnsi="Verdana" w:cs="Arial"/>
          <w:color w:val="000000"/>
          <w:sz w:val="20"/>
          <w:szCs w:val="20"/>
          <w:lang w:eastAsia="es-ES_tradnl"/>
        </w:rPr>
        <w:t xml:space="preserve">Lo anterior implica que las excepciones al artículo 33 en comento deben interpretarse y aplicarse de manera estricta. En otras palabras, no es factible hacer interpretaciones extensivas para incluir otros supuestos de hecho similares a las circunstancias previstas en dicho artículo, pues el carácter taxativo implica que solo en los eventos consagrados expresamente en la norma permiten que ciertas entidades estatales se vean exceptuadas de la prohibición. </w:t>
      </w:r>
    </w:p>
    <w:p w14:paraId="03BF9100" w14:textId="77777777" w:rsidR="004D0547" w:rsidRPr="008D1EE5" w:rsidRDefault="004D0547" w:rsidP="004D0547">
      <w:pPr>
        <w:spacing w:after="0" w:line="240" w:lineRule="auto"/>
        <w:jc w:val="both"/>
        <w:rPr>
          <w:rFonts w:ascii="Verdana" w:eastAsia="Calibri" w:hAnsi="Verdana" w:cs="Arial"/>
          <w:color w:val="000000"/>
          <w:sz w:val="20"/>
          <w:szCs w:val="20"/>
          <w:lang w:eastAsia="es-ES_tradnl"/>
        </w:rPr>
      </w:pPr>
    </w:p>
    <w:p w14:paraId="672A517D" w14:textId="77777777" w:rsidR="004D0547" w:rsidRPr="00703B77" w:rsidRDefault="004D0547" w:rsidP="004D0547">
      <w:pPr>
        <w:spacing w:after="0" w:line="240" w:lineRule="auto"/>
        <w:jc w:val="both"/>
        <w:rPr>
          <w:rFonts w:ascii="Verdana" w:eastAsia="Calibri" w:hAnsi="Verdana" w:cs="Arial"/>
          <w:color w:val="000000"/>
          <w:sz w:val="20"/>
          <w:szCs w:val="20"/>
          <w:lang w:eastAsia="es-ES_tradnl"/>
        </w:rPr>
      </w:pPr>
      <w:r w:rsidRPr="008D1EE5">
        <w:rPr>
          <w:rFonts w:ascii="Verdana" w:eastAsia="Calibri" w:hAnsi="Verdana" w:cs="Arial"/>
          <w:color w:val="000000"/>
          <w:sz w:val="20"/>
          <w:szCs w:val="20"/>
          <w:lang w:eastAsia="es-ES_tradnl"/>
        </w:rPr>
        <w:t>Particularmente, al confrontar el catálogo de excepciones con los contratos directos —particularmente los contratos de prestación de servicios profesionales y/o de apoyo a la gestión— a los que se hace referencia en la presente solicitud, se advierte que dichos contratos no encuadran en ninguno de los supuestos exceptuados por el inciso segundo del artículo 33 de la Ley 996 de 2005. Por lo tanto, al no estar expresamente excluidos del ámbito de la prohibición, tales contratos se encuentran comprendidos en la restricción general a la contratación directa durante los cuatro (4) meses previos a las elecciones, lo que implica que su celebración en ese periodo resulta jurídicamente improcedente.</w:t>
      </w:r>
      <w:r w:rsidRPr="00A869FE">
        <w:rPr>
          <w:rFonts w:ascii="Verdana" w:hAnsi="Verdana"/>
          <w:sz w:val="20"/>
        </w:rPr>
        <w:t xml:space="preserve"> </w:t>
      </w:r>
    </w:p>
    <w:p w14:paraId="5D8513DB" w14:textId="77777777" w:rsidR="004D0547" w:rsidRDefault="004D0547" w:rsidP="004D0547">
      <w:pPr>
        <w:spacing w:after="0" w:line="240" w:lineRule="auto"/>
        <w:jc w:val="both"/>
        <w:rPr>
          <w:rFonts w:ascii="Verdana" w:hAnsi="Verdana"/>
          <w:sz w:val="20"/>
        </w:rPr>
      </w:pPr>
    </w:p>
    <w:p w14:paraId="5557A487" w14:textId="77777777" w:rsidR="004D0547" w:rsidRDefault="004D0547" w:rsidP="004D0547">
      <w:pPr>
        <w:spacing w:after="0" w:line="240" w:lineRule="auto"/>
        <w:jc w:val="both"/>
        <w:rPr>
          <w:rFonts w:ascii="Verdana" w:eastAsia="Calibri" w:hAnsi="Verdana" w:cs="Arial"/>
          <w:b/>
          <w:bCs/>
          <w:lang w:eastAsia="es-ES"/>
        </w:rPr>
      </w:pPr>
      <w:r w:rsidRPr="0072670B">
        <w:rPr>
          <w:rFonts w:ascii="Verdana" w:eastAsia="Calibri" w:hAnsi="Verdana" w:cs="Arial"/>
          <w:b/>
          <w:bCs/>
          <w:lang w:eastAsia="es-ES"/>
        </w:rPr>
        <w:t>ENTIDADES TERRITORIALES – Restricciones preelectorales – Planeación contractual</w:t>
      </w:r>
    </w:p>
    <w:p w14:paraId="1E4FC56F" w14:textId="77777777" w:rsidR="004D0547" w:rsidRDefault="004D0547" w:rsidP="004D0547">
      <w:pPr>
        <w:spacing w:after="0" w:line="240" w:lineRule="auto"/>
        <w:jc w:val="both"/>
        <w:rPr>
          <w:rFonts w:ascii="Verdana" w:eastAsia="Calibri" w:hAnsi="Verdana" w:cs="Arial"/>
          <w:b/>
          <w:bCs/>
          <w:lang w:eastAsia="es-ES"/>
        </w:rPr>
      </w:pPr>
    </w:p>
    <w:p w14:paraId="7555E67F" w14:textId="77777777" w:rsidR="004D0547" w:rsidRPr="00F10EF0" w:rsidRDefault="004D0547" w:rsidP="004D0547">
      <w:pPr>
        <w:spacing w:after="0" w:line="240" w:lineRule="auto"/>
        <w:jc w:val="both"/>
        <w:rPr>
          <w:rFonts w:ascii="Verdana" w:eastAsia="Calibri" w:hAnsi="Verdana" w:cs="Arial"/>
          <w:color w:val="000000"/>
          <w:sz w:val="20"/>
          <w:szCs w:val="20"/>
          <w:lang w:eastAsia="es-ES_tradnl"/>
        </w:rPr>
      </w:pPr>
      <w:r w:rsidRPr="00F10EF0">
        <w:rPr>
          <w:rFonts w:ascii="Verdana" w:eastAsia="Calibri" w:hAnsi="Verdana" w:cs="Arial"/>
          <w:color w:val="000000"/>
          <w:sz w:val="20"/>
          <w:szCs w:val="20"/>
          <w:lang w:eastAsia="es-ES_tradnl"/>
        </w:rPr>
        <w:t>Frente a las consideraciones específicas del presente concepto, es necesario precisar que la entidad consultante corresponde a una administración municipal, razón por la cual se encuentra comprendida dentro del ámbito subjetivo de aplicación de la restricción prevista en el artículo 33 de la Ley 996 de 2005, en tanto dicha disposición se dirige expresamente a “todos los entes del Estado”, sin distinción alguna respecto de su naturaleza, nivel territorial o régimen jurídico aplicable.</w:t>
      </w:r>
    </w:p>
    <w:p w14:paraId="7B7898A9" w14:textId="77777777" w:rsidR="004D0547" w:rsidRPr="00F10EF0" w:rsidRDefault="004D0547" w:rsidP="004D0547">
      <w:pPr>
        <w:spacing w:after="0" w:line="240" w:lineRule="auto"/>
        <w:jc w:val="both"/>
        <w:rPr>
          <w:rFonts w:ascii="Verdana" w:eastAsia="Calibri" w:hAnsi="Verdana" w:cs="Arial"/>
          <w:color w:val="000000"/>
          <w:sz w:val="20"/>
          <w:szCs w:val="20"/>
          <w:lang w:eastAsia="es-ES_tradnl"/>
        </w:rPr>
      </w:pPr>
      <w:r w:rsidRPr="00F10EF0">
        <w:rPr>
          <w:rFonts w:ascii="Verdana" w:eastAsia="Calibri" w:hAnsi="Verdana" w:cs="Arial"/>
          <w:color w:val="000000"/>
          <w:sz w:val="20"/>
          <w:szCs w:val="20"/>
          <w:lang w:eastAsia="es-ES_tradnl"/>
        </w:rPr>
        <w:t>Ahora bien, la prohibición consagrada en la norma citada recae sobre la contratación directa, entendida esta como la celebración de nuevos negocios jurídicos bajo modalidades que no impliquen convocatoria pública ni pluralidad de oferentes. En ese sentido, la restricción no se extiende, en principio, a las modificaciones, prórrogas o adiciones de contratos previamente suscritos, más allá de las limitaciones propias establecidas en el Estatuto General de Contratación de la Administración Pública, salvo que el objeto contractual se subsuma en alguno de los supuestos expresamente exceptuados por el inciso segundo del artículo 33 de la Ley 996 de 2005, esto es:</w:t>
      </w:r>
    </w:p>
    <w:p w14:paraId="5C85756B" w14:textId="77777777" w:rsidR="004D0547" w:rsidRPr="00F10EF0" w:rsidRDefault="004D0547" w:rsidP="004D0547">
      <w:pPr>
        <w:spacing w:after="0" w:line="240" w:lineRule="auto"/>
        <w:jc w:val="both"/>
        <w:rPr>
          <w:rFonts w:ascii="Verdana" w:eastAsia="Calibri" w:hAnsi="Verdana" w:cs="Arial"/>
          <w:color w:val="000000"/>
          <w:sz w:val="20"/>
          <w:szCs w:val="20"/>
          <w:lang w:eastAsia="es-ES_tradnl"/>
        </w:rPr>
      </w:pPr>
    </w:p>
    <w:p w14:paraId="06F6649D" w14:textId="77777777" w:rsidR="004D0547" w:rsidRPr="00540EE9" w:rsidRDefault="004D0547" w:rsidP="004D0547">
      <w:pPr>
        <w:spacing w:after="0" w:line="240" w:lineRule="auto"/>
        <w:ind w:left="709" w:right="709"/>
        <w:jc w:val="both"/>
        <w:rPr>
          <w:rFonts w:ascii="Verdana" w:eastAsia="Calibri" w:hAnsi="Verdana" w:cs="Arial"/>
          <w:color w:val="000000"/>
          <w:sz w:val="18"/>
          <w:szCs w:val="18"/>
          <w:lang w:eastAsia="es-ES_tradnl"/>
        </w:rPr>
      </w:pPr>
      <w:r w:rsidRPr="00540EE9">
        <w:rPr>
          <w:rFonts w:ascii="Verdana" w:eastAsia="Calibri" w:hAnsi="Verdana" w:cs="Arial"/>
          <w:color w:val="000000"/>
          <w:sz w:val="18"/>
          <w:szCs w:val="18"/>
          <w:lang w:eastAsia="es-ES_tradnl"/>
        </w:rPr>
        <w:t xml:space="preserve">“[…] lo referente a la defensa y seguridad del Estado, los contratos de crédito público, los requeridos para cubrir las emergencias educativas, sanitarias y desastres, así como también los utilizados para la reconstrucción de vías, puentes, </w:t>
      </w:r>
      <w:r w:rsidRPr="00540EE9">
        <w:rPr>
          <w:rFonts w:ascii="Verdana" w:eastAsia="Calibri" w:hAnsi="Verdana" w:cs="Arial"/>
          <w:color w:val="000000"/>
          <w:sz w:val="18"/>
          <w:szCs w:val="18"/>
          <w:lang w:eastAsia="es-ES_tradnl"/>
        </w:rPr>
        <w:lastRenderedPageBreak/>
        <w:t>carreteras, infraestructura energética y de comunicaciones, en caso de que hayan sido objeto de atentados, acciones terroristas, desastres naturales o casos de fuerza mayor, y los que deban realizar las entidades sanitarias y hospitalarias”.</w:t>
      </w:r>
    </w:p>
    <w:p w14:paraId="357E8D3D" w14:textId="77777777" w:rsidR="004D0547" w:rsidRPr="00F10EF0" w:rsidRDefault="004D0547" w:rsidP="004D0547">
      <w:pPr>
        <w:spacing w:after="0" w:line="240" w:lineRule="auto"/>
        <w:jc w:val="both"/>
        <w:rPr>
          <w:rFonts w:ascii="Verdana" w:eastAsia="Calibri" w:hAnsi="Verdana" w:cs="Arial"/>
          <w:color w:val="000000"/>
          <w:sz w:val="20"/>
          <w:szCs w:val="20"/>
          <w:lang w:eastAsia="es-ES_tradnl"/>
        </w:rPr>
      </w:pPr>
    </w:p>
    <w:p w14:paraId="52FD2B76" w14:textId="77777777" w:rsidR="004D0547" w:rsidRPr="00F10EF0" w:rsidRDefault="004D0547" w:rsidP="004D0547">
      <w:pPr>
        <w:spacing w:after="0" w:line="240" w:lineRule="auto"/>
        <w:jc w:val="both"/>
        <w:rPr>
          <w:rFonts w:ascii="Verdana" w:eastAsia="Calibri" w:hAnsi="Verdana" w:cs="Arial"/>
          <w:color w:val="000000"/>
          <w:sz w:val="20"/>
          <w:szCs w:val="20"/>
          <w:lang w:eastAsia="es-ES_tradnl"/>
        </w:rPr>
      </w:pPr>
      <w:r w:rsidRPr="00F10EF0">
        <w:rPr>
          <w:rFonts w:ascii="Verdana" w:eastAsia="Calibri" w:hAnsi="Verdana" w:cs="Arial"/>
          <w:color w:val="000000"/>
          <w:sz w:val="20"/>
          <w:szCs w:val="20"/>
          <w:lang w:eastAsia="es-ES_tradnl"/>
        </w:rPr>
        <w:t>En este contexto, resulta fundamental que, en el marco del principio de planeación, como manifestación del principio de economía, cuyo propósito es asegurar que toda actuación contractual esté precedida de los estudios técnicos, financieros y jurídicos necesarios para determinar su viabilidad y conveniencia, y teniendo en cuenta las restricciones derivadas de la Ley de Garantías Electorales, la entidad estatal evalúe si resulta jurídicamente procedente, a la luz de los criterios desarrollados por la Corte Constitucional para la protección de los derechos de las mujeres en estado de embarazo o en período de lactancia, adelantar prórrogas, modificaciones o adiciones de los contratos celebrados con anterioridad a la entrada en vigencia de las prohibiciones mencionadas, así como la cesión de los mismos, actuaciones que, en principio, pueden tener lugar durante el período de aplicación de la Ley de Garantías, siempre que no se desnaturalice la prohibición de la contratación directa y se respeten los principios de planeación, transparencia y responsabilidad.</w:t>
      </w:r>
    </w:p>
    <w:p w14:paraId="55792096" w14:textId="77777777" w:rsidR="004D0547" w:rsidRPr="00F10EF0" w:rsidRDefault="004D0547" w:rsidP="004D0547">
      <w:pPr>
        <w:spacing w:after="0" w:line="240" w:lineRule="auto"/>
        <w:jc w:val="both"/>
        <w:rPr>
          <w:rFonts w:ascii="Verdana" w:eastAsia="Calibri" w:hAnsi="Verdana" w:cs="Arial"/>
          <w:color w:val="000000"/>
          <w:sz w:val="20"/>
          <w:szCs w:val="20"/>
          <w:lang w:eastAsia="es-ES_tradnl"/>
        </w:rPr>
      </w:pPr>
    </w:p>
    <w:p w14:paraId="22E408B7" w14:textId="77777777" w:rsidR="004D0547" w:rsidRDefault="004D0547" w:rsidP="004D0547">
      <w:pPr>
        <w:spacing w:after="0" w:line="240" w:lineRule="auto"/>
        <w:rPr>
          <w:rFonts w:ascii="Verdana" w:eastAsia="Geomanist Light" w:hAnsi="Verdana" w:cs="Arial"/>
          <w:color w:val="000000" w:themeColor="text1"/>
        </w:rPr>
      </w:pPr>
    </w:p>
    <w:p w14:paraId="212F0F60" w14:textId="77777777" w:rsidR="004D0547" w:rsidRDefault="004D0547" w:rsidP="004D0547">
      <w:pPr>
        <w:spacing w:after="0" w:line="240" w:lineRule="auto"/>
        <w:contextualSpacing/>
        <w:jc w:val="both"/>
        <w:rPr>
          <w:rFonts w:ascii="Verdana" w:hAnsi="Verdana"/>
        </w:rPr>
      </w:pPr>
    </w:p>
    <w:p w14:paraId="256DA6E0" w14:textId="77777777" w:rsidR="004D0547" w:rsidRDefault="004D0547" w:rsidP="004D0547">
      <w:pPr>
        <w:spacing w:after="0" w:line="240" w:lineRule="auto"/>
        <w:contextualSpacing/>
        <w:jc w:val="both"/>
        <w:rPr>
          <w:rFonts w:ascii="Verdana" w:hAnsi="Verdana"/>
        </w:rPr>
      </w:pPr>
    </w:p>
    <w:p w14:paraId="7AA7A069" w14:textId="77777777" w:rsidR="004D0547" w:rsidRDefault="004D0547" w:rsidP="004D0547">
      <w:pPr>
        <w:spacing w:after="0" w:line="240" w:lineRule="auto"/>
        <w:contextualSpacing/>
        <w:jc w:val="both"/>
        <w:rPr>
          <w:rFonts w:ascii="Verdana" w:hAnsi="Verdana"/>
        </w:rPr>
      </w:pPr>
    </w:p>
    <w:p w14:paraId="0BC1CF76" w14:textId="77777777" w:rsidR="004D0547" w:rsidRDefault="004D0547" w:rsidP="004D0547">
      <w:pPr>
        <w:spacing w:after="0" w:line="240" w:lineRule="auto"/>
        <w:contextualSpacing/>
        <w:jc w:val="both"/>
        <w:rPr>
          <w:rFonts w:ascii="Verdana" w:hAnsi="Verdana"/>
        </w:rPr>
      </w:pPr>
    </w:p>
    <w:p w14:paraId="2540AA53" w14:textId="77777777" w:rsidR="004D0547" w:rsidRDefault="004D0547" w:rsidP="004D0547">
      <w:pPr>
        <w:spacing w:after="0" w:line="240" w:lineRule="auto"/>
        <w:contextualSpacing/>
        <w:jc w:val="both"/>
        <w:rPr>
          <w:rFonts w:ascii="Verdana" w:hAnsi="Verdana"/>
        </w:rPr>
      </w:pPr>
    </w:p>
    <w:p w14:paraId="3CD2FE6E" w14:textId="77777777" w:rsidR="004D0547" w:rsidRDefault="004D0547" w:rsidP="004D0547">
      <w:pPr>
        <w:spacing w:after="0" w:line="240" w:lineRule="auto"/>
        <w:contextualSpacing/>
        <w:jc w:val="both"/>
        <w:rPr>
          <w:rFonts w:ascii="Verdana" w:hAnsi="Verdana"/>
        </w:rPr>
      </w:pPr>
    </w:p>
    <w:p w14:paraId="0577985B" w14:textId="77777777" w:rsidR="004D0547" w:rsidRDefault="004D0547" w:rsidP="004D0547">
      <w:pPr>
        <w:spacing w:after="0" w:line="240" w:lineRule="auto"/>
        <w:contextualSpacing/>
        <w:jc w:val="both"/>
        <w:rPr>
          <w:rFonts w:ascii="Verdana" w:hAnsi="Verdana"/>
        </w:rPr>
      </w:pPr>
    </w:p>
    <w:p w14:paraId="581C9F18" w14:textId="77777777" w:rsidR="004D0547" w:rsidRDefault="004D0547" w:rsidP="004D0547">
      <w:pPr>
        <w:spacing w:after="0" w:line="240" w:lineRule="auto"/>
        <w:contextualSpacing/>
        <w:jc w:val="both"/>
        <w:rPr>
          <w:rFonts w:ascii="Verdana" w:hAnsi="Verdana"/>
        </w:rPr>
      </w:pPr>
    </w:p>
    <w:p w14:paraId="5D1032DC" w14:textId="77777777" w:rsidR="004D0547" w:rsidRDefault="004D0547" w:rsidP="004D0547">
      <w:pPr>
        <w:spacing w:after="0" w:line="240" w:lineRule="auto"/>
        <w:contextualSpacing/>
        <w:jc w:val="both"/>
        <w:rPr>
          <w:rFonts w:ascii="Verdana" w:hAnsi="Verdana"/>
        </w:rPr>
      </w:pPr>
    </w:p>
    <w:p w14:paraId="517C0547" w14:textId="77777777" w:rsidR="004D0547" w:rsidRDefault="004D0547" w:rsidP="004D0547">
      <w:pPr>
        <w:spacing w:after="0" w:line="240" w:lineRule="auto"/>
        <w:contextualSpacing/>
        <w:jc w:val="both"/>
        <w:rPr>
          <w:rFonts w:ascii="Verdana" w:hAnsi="Verdana"/>
        </w:rPr>
      </w:pPr>
    </w:p>
    <w:p w14:paraId="1DE34917" w14:textId="77777777" w:rsidR="004D0547" w:rsidRDefault="004D0547" w:rsidP="004D0547">
      <w:pPr>
        <w:spacing w:after="0" w:line="240" w:lineRule="auto"/>
        <w:contextualSpacing/>
        <w:jc w:val="both"/>
        <w:rPr>
          <w:rFonts w:ascii="Verdana" w:hAnsi="Verdana"/>
        </w:rPr>
      </w:pPr>
    </w:p>
    <w:p w14:paraId="3377B818" w14:textId="77777777" w:rsidR="004D0547" w:rsidRDefault="004D0547" w:rsidP="004D0547">
      <w:pPr>
        <w:spacing w:after="0" w:line="240" w:lineRule="auto"/>
        <w:contextualSpacing/>
        <w:jc w:val="both"/>
        <w:rPr>
          <w:rFonts w:ascii="Verdana" w:hAnsi="Verdana"/>
        </w:rPr>
      </w:pPr>
    </w:p>
    <w:p w14:paraId="12DE482A" w14:textId="77777777" w:rsidR="004D0547" w:rsidRDefault="004D0547" w:rsidP="004D0547">
      <w:pPr>
        <w:spacing w:after="0" w:line="240" w:lineRule="auto"/>
        <w:contextualSpacing/>
        <w:jc w:val="both"/>
        <w:rPr>
          <w:rFonts w:ascii="Verdana" w:hAnsi="Verdana"/>
        </w:rPr>
      </w:pPr>
    </w:p>
    <w:p w14:paraId="748325C2" w14:textId="77777777" w:rsidR="004D0547" w:rsidRDefault="004D0547" w:rsidP="004D0547">
      <w:pPr>
        <w:spacing w:after="0" w:line="240" w:lineRule="auto"/>
        <w:contextualSpacing/>
        <w:jc w:val="both"/>
        <w:rPr>
          <w:rFonts w:ascii="Verdana" w:hAnsi="Verdana"/>
        </w:rPr>
      </w:pPr>
    </w:p>
    <w:p w14:paraId="664C6DA6" w14:textId="77777777" w:rsidR="004D0547" w:rsidRDefault="004D0547" w:rsidP="004D0547">
      <w:pPr>
        <w:spacing w:after="0" w:line="240" w:lineRule="auto"/>
        <w:contextualSpacing/>
        <w:jc w:val="both"/>
        <w:rPr>
          <w:rFonts w:ascii="Verdana" w:hAnsi="Verdana"/>
        </w:rPr>
      </w:pPr>
    </w:p>
    <w:p w14:paraId="1D1761FB" w14:textId="77777777" w:rsidR="004D0547" w:rsidRDefault="004D0547" w:rsidP="004D0547">
      <w:pPr>
        <w:spacing w:after="0" w:line="240" w:lineRule="auto"/>
        <w:contextualSpacing/>
        <w:jc w:val="both"/>
        <w:rPr>
          <w:rFonts w:ascii="Verdana" w:hAnsi="Verdana"/>
        </w:rPr>
      </w:pPr>
    </w:p>
    <w:p w14:paraId="2516AA82" w14:textId="77777777" w:rsidR="004D0547" w:rsidRDefault="004D0547" w:rsidP="004D0547">
      <w:pPr>
        <w:spacing w:after="0" w:line="240" w:lineRule="auto"/>
        <w:contextualSpacing/>
        <w:jc w:val="both"/>
        <w:rPr>
          <w:rFonts w:ascii="Verdana" w:hAnsi="Verdana"/>
        </w:rPr>
      </w:pPr>
    </w:p>
    <w:p w14:paraId="71980C46" w14:textId="77777777" w:rsidR="004D0547" w:rsidRDefault="004D0547" w:rsidP="004D0547">
      <w:pPr>
        <w:spacing w:after="0" w:line="240" w:lineRule="auto"/>
        <w:contextualSpacing/>
        <w:jc w:val="both"/>
        <w:rPr>
          <w:rFonts w:ascii="Verdana" w:hAnsi="Verdana"/>
        </w:rPr>
      </w:pPr>
    </w:p>
    <w:p w14:paraId="711BCB78" w14:textId="77777777" w:rsidR="004D0547" w:rsidRDefault="004D0547" w:rsidP="004D0547">
      <w:pPr>
        <w:spacing w:after="0" w:line="240" w:lineRule="auto"/>
        <w:contextualSpacing/>
        <w:jc w:val="both"/>
        <w:rPr>
          <w:rFonts w:ascii="Verdana" w:hAnsi="Verdana"/>
        </w:rPr>
      </w:pPr>
    </w:p>
    <w:p w14:paraId="5259A61D" w14:textId="77777777" w:rsidR="004D0547" w:rsidRDefault="004D0547" w:rsidP="004D0547">
      <w:pPr>
        <w:spacing w:after="0" w:line="240" w:lineRule="auto"/>
        <w:contextualSpacing/>
        <w:jc w:val="both"/>
        <w:rPr>
          <w:rFonts w:ascii="Verdana" w:hAnsi="Verdana"/>
        </w:rPr>
      </w:pPr>
    </w:p>
    <w:p w14:paraId="5446998D" w14:textId="77777777" w:rsidR="004D0547" w:rsidRDefault="004D0547" w:rsidP="004D0547">
      <w:pPr>
        <w:spacing w:after="0" w:line="240" w:lineRule="auto"/>
        <w:contextualSpacing/>
        <w:jc w:val="both"/>
        <w:rPr>
          <w:rFonts w:ascii="Verdana" w:hAnsi="Verdana"/>
        </w:rPr>
      </w:pPr>
    </w:p>
    <w:p w14:paraId="337D8918" w14:textId="77777777" w:rsidR="004D0547" w:rsidRDefault="004D0547" w:rsidP="004D0547">
      <w:pPr>
        <w:spacing w:after="0" w:line="240" w:lineRule="auto"/>
        <w:contextualSpacing/>
        <w:jc w:val="both"/>
        <w:rPr>
          <w:rFonts w:ascii="Verdana" w:hAnsi="Verdana"/>
        </w:rPr>
      </w:pPr>
    </w:p>
    <w:p w14:paraId="72013382" w14:textId="77777777" w:rsidR="004D0547" w:rsidRDefault="004D0547" w:rsidP="004D0547">
      <w:pPr>
        <w:spacing w:after="0" w:line="240" w:lineRule="auto"/>
        <w:contextualSpacing/>
        <w:jc w:val="both"/>
        <w:rPr>
          <w:rFonts w:ascii="Verdana" w:hAnsi="Verdana"/>
        </w:rPr>
      </w:pPr>
    </w:p>
    <w:p w14:paraId="3322019B" w14:textId="77777777" w:rsidR="004D0547" w:rsidRDefault="004D0547" w:rsidP="004D0547">
      <w:pPr>
        <w:spacing w:after="0" w:line="240" w:lineRule="auto"/>
        <w:contextualSpacing/>
        <w:jc w:val="both"/>
        <w:rPr>
          <w:rFonts w:ascii="Verdana" w:hAnsi="Verdana"/>
        </w:rPr>
      </w:pPr>
    </w:p>
    <w:p w14:paraId="3AA4690E" w14:textId="77777777" w:rsidR="004D0547" w:rsidRDefault="004D0547" w:rsidP="004D0547">
      <w:pPr>
        <w:spacing w:after="0" w:line="240" w:lineRule="auto"/>
        <w:contextualSpacing/>
        <w:jc w:val="both"/>
        <w:rPr>
          <w:rFonts w:ascii="Verdana" w:hAnsi="Verdana"/>
        </w:rPr>
      </w:pPr>
    </w:p>
    <w:p w14:paraId="505F1E71" w14:textId="77777777" w:rsidR="004D0547" w:rsidRDefault="004D0547" w:rsidP="004D0547">
      <w:pPr>
        <w:spacing w:after="0" w:line="240" w:lineRule="auto"/>
        <w:contextualSpacing/>
        <w:jc w:val="both"/>
        <w:rPr>
          <w:rFonts w:ascii="Verdana" w:hAnsi="Verdana"/>
        </w:rPr>
      </w:pPr>
    </w:p>
    <w:p w14:paraId="6C1FC584" w14:textId="77777777" w:rsidR="004D0547" w:rsidRDefault="004D0547" w:rsidP="004D0547">
      <w:pPr>
        <w:spacing w:after="0" w:line="240" w:lineRule="auto"/>
        <w:contextualSpacing/>
        <w:jc w:val="both"/>
        <w:rPr>
          <w:rFonts w:ascii="Verdana" w:hAnsi="Verdana"/>
        </w:rPr>
      </w:pPr>
    </w:p>
    <w:p w14:paraId="19E94B72" w14:textId="331419AB" w:rsidR="004D0547" w:rsidRPr="00A869FE" w:rsidRDefault="004D0547" w:rsidP="004D0547">
      <w:pPr>
        <w:spacing w:after="0" w:line="240" w:lineRule="auto"/>
        <w:contextualSpacing/>
        <w:jc w:val="both"/>
        <w:rPr>
          <w:rFonts w:ascii="Verdana" w:eastAsia="Times New Roman" w:hAnsi="Verdana" w:cs="Arial"/>
          <w:lang w:eastAsia="es-ES"/>
        </w:rPr>
      </w:pPr>
      <w:r w:rsidRPr="00A869FE">
        <w:rPr>
          <w:rFonts w:ascii="Verdana" w:hAnsi="Verdana"/>
        </w:rPr>
        <w:lastRenderedPageBreak/>
        <w:t xml:space="preserve">Bogotá D.C., </w:t>
      </w:r>
      <w:r w:rsidR="001250C4">
        <w:rPr>
          <w:rFonts w:ascii="Verdana" w:hAnsi="Verdana"/>
        </w:rPr>
        <w:t>22 de diciembre de 2025</w:t>
      </w:r>
    </w:p>
    <w:p w14:paraId="26001CDF" w14:textId="77777777" w:rsidR="004D0547" w:rsidRPr="00A869FE" w:rsidRDefault="004D0547" w:rsidP="004D0547">
      <w:pPr>
        <w:spacing w:after="0" w:line="240" w:lineRule="auto"/>
        <w:jc w:val="right"/>
        <w:rPr>
          <w:rFonts w:ascii="Verdana" w:hAnsi="Verdana" w:cs="Arial"/>
          <w:color w:val="000000"/>
        </w:rPr>
      </w:pPr>
    </w:p>
    <w:p w14:paraId="6D606349" w14:textId="538F7BA2" w:rsidR="004D0547" w:rsidRDefault="001250C4" w:rsidP="001250C4">
      <w:pPr>
        <w:spacing w:after="0" w:line="240" w:lineRule="auto"/>
        <w:jc w:val="right"/>
        <w:rPr>
          <w:rFonts w:ascii="Verdana" w:hAnsi="Verdana" w:cs="Arial"/>
          <w:lang w:eastAsia="es-ES"/>
        </w:rPr>
      </w:pPr>
      <w:r w:rsidRPr="001250C4">
        <w:rPr>
          <w:rFonts w:ascii="Verdana" w:hAnsi="Verdana" w:cs="Arial"/>
          <w:lang w:eastAsia="es-ES"/>
        </w:rPr>
        <w:drawing>
          <wp:inline distT="0" distB="0" distL="0" distR="0" wp14:anchorId="4286D636" wp14:editId="7E676F55">
            <wp:extent cx="3842100" cy="1089421"/>
            <wp:effectExtent l="0" t="0" r="6350" b="0"/>
            <wp:docPr id="2082731512"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2731512" name="Imagen 1" descr="Texto&#10;&#10;El contenido generado por IA puede ser incorrecto."/>
                    <pic:cNvPicPr/>
                  </pic:nvPicPr>
                  <pic:blipFill>
                    <a:blip r:embed="rId7"/>
                    <a:stretch>
                      <a:fillRect/>
                    </a:stretch>
                  </pic:blipFill>
                  <pic:spPr>
                    <a:xfrm>
                      <a:off x="0" y="0"/>
                      <a:ext cx="3859401" cy="1094327"/>
                    </a:xfrm>
                    <a:prstGeom prst="rect">
                      <a:avLst/>
                    </a:prstGeom>
                  </pic:spPr>
                </pic:pic>
              </a:graphicData>
            </a:graphic>
          </wp:inline>
        </w:drawing>
      </w:r>
    </w:p>
    <w:p w14:paraId="25CDE447" w14:textId="77777777" w:rsidR="004D0547" w:rsidRPr="00A869FE" w:rsidRDefault="004D0547" w:rsidP="004D0547">
      <w:pPr>
        <w:spacing w:after="0" w:line="240" w:lineRule="auto"/>
        <w:jc w:val="both"/>
        <w:rPr>
          <w:rFonts w:ascii="Verdana" w:hAnsi="Verdana" w:cs="Arial"/>
          <w:lang w:eastAsia="es-ES"/>
        </w:rPr>
      </w:pPr>
      <w:r w:rsidRPr="00A869FE">
        <w:rPr>
          <w:rFonts w:ascii="Verdana" w:hAnsi="Verdana" w:cs="Arial"/>
          <w:lang w:eastAsia="es-ES"/>
        </w:rPr>
        <w:t>Señor</w:t>
      </w:r>
    </w:p>
    <w:p w14:paraId="66BB3BE7" w14:textId="77777777" w:rsidR="004D0547" w:rsidRPr="00D56752" w:rsidRDefault="004D0547" w:rsidP="004D0547">
      <w:pPr>
        <w:spacing w:after="0" w:line="240" w:lineRule="auto"/>
        <w:jc w:val="both"/>
        <w:rPr>
          <w:rFonts w:ascii="Verdana" w:hAnsi="Verdana" w:cs="Arial"/>
          <w:b/>
          <w:bCs/>
          <w:lang w:eastAsia="es-ES"/>
        </w:rPr>
      </w:pPr>
      <w:r w:rsidRPr="00913C7A">
        <w:rPr>
          <w:rFonts w:ascii="Verdana" w:hAnsi="Verdana" w:cs="Arial"/>
          <w:b/>
          <w:bCs/>
          <w:lang w:eastAsia="es-ES"/>
        </w:rPr>
        <w:t>Luis Eduardo</w:t>
      </w:r>
      <w:r w:rsidRPr="00013F41">
        <w:t xml:space="preserve"> </w:t>
      </w:r>
      <w:r w:rsidRPr="00013F41">
        <w:rPr>
          <w:rFonts w:ascii="Verdana" w:hAnsi="Verdana" w:cs="Arial"/>
          <w:b/>
          <w:bCs/>
          <w:lang w:eastAsia="es-ES"/>
        </w:rPr>
        <w:t>Arias Rodríguez</w:t>
      </w:r>
    </w:p>
    <w:p w14:paraId="37F5EB07" w14:textId="77777777" w:rsidR="004D0547" w:rsidRPr="008E0A05" w:rsidRDefault="004D0547" w:rsidP="004D0547">
      <w:pPr>
        <w:tabs>
          <w:tab w:val="left" w:pos="3708"/>
        </w:tabs>
        <w:spacing w:after="0" w:line="240" w:lineRule="auto"/>
        <w:rPr>
          <w:rFonts w:ascii="Verdana" w:hAnsi="Verdana" w:cs="Arial"/>
          <w:lang w:eastAsia="es-ES"/>
        </w:rPr>
      </w:pPr>
      <w:r w:rsidRPr="008E0A05">
        <w:rPr>
          <w:rFonts w:ascii="Verdana" w:hAnsi="Verdana" w:cs="Arial"/>
          <w:lang w:eastAsia="es-ES"/>
        </w:rPr>
        <w:t>Bogotá</w:t>
      </w:r>
      <w:r>
        <w:rPr>
          <w:rFonts w:ascii="Verdana" w:hAnsi="Verdana" w:cs="Arial"/>
          <w:lang w:eastAsia="es-ES"/>
        </w:rPr>
        <w:t>, D.C.</w:t>
      </w:r>
      <w:r w:rsidRPr="008E0A05">
        <w:rPr>
          <w:rFonts w:ascii="Verdana" w:hAnsi="Verdana" w:cs="Arial"/>
          <w:lang w:eastAsia="es-ES"/>
        </w:rPr>
        <w:tab/>
      </w:r>
    </w:p>
    <w:p w14:paraId="70464AC6" w14:textId="77777777" w:rsidR="004D0547" w:rsidRPr="008E0A05" w:rsidRDefault="004D0547" w:rsidP="004D0547">
      <w:pPr>
        <w:spacing w:after="0" w:line="240" w:lineRule="auto"/>
        <w:rPr>
          <w:rFonts w:ascii="Verdana" w:hAnsi="Verdana" w:cs="Arial"/>
          <w:b/>
          <w:bCs/>
          <w:color w:val="000000"/>
          <w:lang w:eastAsia="es-ES_tradnl"/>
        </w:rPr>
      </w:pPr>
    </w:p>
    <w:p w14:paraId="53AF88F6" w14:textId="77777777" w:rsidR="004D0547" w:rsidRPr="008E0A05" w:rsidRDefault="004D0547" w:rsidP="004D0547">
      <w:pPr>
        <w:spacing w:after="0" w:line="240" w:lineRule="auto"/>
        <w:rPr>
          <w:rFonts w:ascii="Verdana" w:hAnsi="Verdana" w:cs="Arial"/>
          <w:b/>
          <w:bCs/>
          <w:color w:val="000000"/>
          <w:lang w:eastAsia="es-ES_tradnl"/>
        </w:rPr>
      </w:pPr>
    </w:p>
    <w:tbl>
      <w:tblPr>
        <w:tblStyle w:val="Tablaconcuadrcula1"/>
        <w:tblW w:w="8789" w:type="dxa"/>
        <w:tblCellMar>
          <w:left w:w="0" w:type="dxa"/>
          <w:right w:w="0" w:type="dxa"/>
        </w:tblCellMar>
        <w:tblLook w:val="04A0" w:firstRow="1" w:lastRow="0" w:firstColumn="1" w:lastColumn="0" w:noHBand="0" w:noVBand="1"/>
      </w:tblPr>
      <w:tblGrid>
        <w:gridCol w:w="2689"/>
        <w:gridCol w:w="6100"/>
      </w:tblGrid>
      <w:tr w:rsidR="004D0547" w:rsidRPr="00A869FE" w14:paraId="56A6C80E" w14:textId="77777777" w:rsidTr="00CD4AEA">
        <w:trPr>
          <w:trHeight w:val="633"/>
        </w:trPr>
        <w:tc>
          <w:tcPr>
            <w:tcW w:w="2689" w:type="dxa"/>
          </w:tcPr>
          <w:p w14:paraId="1026291A" w14:textId="77777777" w:rsidR="004D0547" w:rsidRPr="008E0A05" w:rsidRDefault="004D0547" w:rsidP="00CD4AEA">
            <w:pPr>
              <w:jc w:val="both"/>
              <w:rPr>
                <w:rFonts w:ascii="Verdana" w:hAnsi="Verdana" w:cs="Arial"/>
                <w:b/>
                <w:bCs/>
                <w:color w:val="7030A0"/>
                <w:lang w:eastAsia="es-ES_tradnl"/>
              </w:rPr>
            </w:pPr>
          </w:p>
        </w:tc>
        <w:tc>
          <w:tcPr>
            <w:tcW w:w="6100" w:type="dxa"/>
          </w:tcPr>
          <w:p w14:paraId="230374DB" w14:textId="77777777" w:rsidR="004D0547" w:rsidRPr="00A869FE" w:rsidRDefault="004D0547" w:rsidP="00CD4AEA">
            <w:pPr>
              <w:jc w:val="both"/>
              <w:rPr>
                <w:rFonts w:ascii="Verdana" w:hAnsi="Verdana" w:cs="Arial"/>
                <w:b/>
                <w:bCs/>
                <w:color w:val="7030A0"/>
                <w:lang w:eastAsia="es-ES"/>
              </w:rPr>
            </w:pPr>
            <w:r w:rsidRPr="00A869FE">
              <w:rPr>
                <w:rFonts w:ascii="Verdana" w:hAnsi="Verdana" w:cs="Arial"/>
                <w:b/>
                <w:bCs/>
                <w:lang w:eastAsia="es-ES"/>
              </w:rPr>
              <w:t>Concepto C – 1</w:t>
            </w:r>
            <w:r>
              <w:rPr>
                <w:rFonts w:ascii="Verdana" w:hAnsi="Verdana" w:cs="Arial"/>
                <w:b/>
                <w:bCs/>
                <w:lang w:eastAsia="es-ES"/>
              </w:rPr>
              <w:t>676</w:t>
            </w:r>
            <w:r w:rsidRPr="00A869FE">
              <w:rPr>
                <w:rFonts w:ascii="Verdana" w:hAnsi="Verdana" w:cs="Arial"/>
                <w:b/>
                <w:bCs/>
                <w:lang w:eastAsia="es-ES"/>
              </w:rPr>
              <w:t xml:space="preserve"> de 2025</w:t>
            </w:r>
          </w:p>
        </w:tc>
      </w:tr>
      <w:tr w:rsidR="004D0547" w:rsidRPr="00A869FE" w14:paraId="222338D0" w14:textId="77777777" w:rsidTr="00CD4AEA">
        <w:trPr>
          <w:trHeight w:val="884"/>
        </w:trPr>
        <w:tc>
          <w:tcPr>
            <w:tcW w:w="2689" w:type="dxa"/>
          </w:tcPr>
          <w:p w14:paraId="57559A66" w14:textId="77777777" w:rsidR="004D0547" w:rsidRPr="00A869FE" w:rsidRDefault="004D0547" w:rsidP="00CD4AEA">
            <w:pPr>
              <w:jc w:val="both"/>
              <w:rPr>
                <w:rFonts w:ascii="Verdana" w:hAnsi="Verdana" w:cs="Arial"/>
                <w:color w:val="000000"/>
                <w:lang w:eastAsia="es-ES_tradnl"/>
              </w:rPr>
            </w:pPr>
            <w:r w:rsidRPr="00A869FE">
              <w:rPr>
                <w:rFonts w:ascii="Verdana" w:hAnsi="Verdana" w:cs="Arial"/>
                <w:b/>
                <w:color w:val="000000"/>
                <w:lang w:eastAsia="es-ES_tradnl"/>
              </w:rPr>
              <w:t>Temas:</w:t>
            </w:r>
            <w:r w:rsidRPr="00A869FE">
              <w:rPr>
                <w:rFonts w:ascii="Verdana" w:hAnsi="Verdana" w:cs="Arial"/>
                <w:color w:val="000000"/>
                <w:lang w:eastAsia="es-ES_tradnl"/>
              </w:rPr>
              <w:t xml:space="preserve">                   </w:t>
            </w:r>
          </w:p>
        </w:tc>
        <w:tc>
          <w:tcPr>
            <w:tcW w:w="6100" w:type="dxa"/>
          </w:tcPr>
          <w:p w14:paraId="0A1128AE" w14:textId="77777777" w:rsidR="004D0547" w:rsidRDefault="004D0547" w:rsidP="00CD4AEA">
            <w:pPr>
              <w:jc w:val="both"/>
              <w:rPr>
                <w:rFonts w:ascii="Verdana" w:hAnsi="Verdana" w:cs="Arial"/>
                <w:lang w:eastAsia="es-ES"/>
              </w:rPr>
            </w:pPr>
            <w:r w:rsidRPr="00F10EF0">
              <w:rPr>
                <w:rFonts w:ascii="Verdana" w:hAnsi="Verdana" w:cs="Arial"/>
                <w:lang w:eastAsia="es-ES"/>
              </w:rPr>
              <w:t>ESTABILIDAD OCUPACIONAL REFORZADA – Mujer embarazada y/o periodo de lactancia</w:t>
            </w:r>
            <w:r>
              <w:rPr>
                <w:rFonts w:ascii="Verdana" w:hAnsi="Verdana" w:cs="Arial"/>
                <w:lang w:eastAsia="es-ES"/>
              </w:rPr>
              <w:t xml:space="preserve"> / </w:t>
            </w:r>
            <w:r w:rsidRPr="00F10EF0">
              <w:rPr>
                <w:rFonts w:ascii="Verdana" w:hAnsi="Verdana" w:cs="Arial"/>
                <w:lang w:eastAsia="es-ES"/>
              </w:rPr>
              <w:t>CONTRATO DE PRESTACIÓN DE SERVICIOS – Protección por maternidad</w:t>
            </w:r>
            <w:r>
              <w:rPr>
                <w:rFonts w:ascii="Verdana" w:hAnsi="Verdana" w:cs="Arial"/>
                <w:lang w:eastAsia="es-ES"/>
              </w:rPr>
              <w:t xml:space="preserve"> / </w:t>
            </w:r>
            <w:r w:rsidRPr="00F10EF0">
              <w:rPr>
                <w:rFonts w:ascii="Verdana" w:hAnsi="Verdana" w:cs="Arial"/>
                <w:lang w:eastAsia="es-ES"/>
              </w:rPr>
              <w:t>LEY DE GARANTÍAS ELECTORALES – Artículo 33 – Contratación directa</w:t>
            </w:r>
            <w:r>
              <w:rPr>
                <w:rFonts w:ascii="Verdana" w:hAnsi="Verdana" w:cs="Arial"/>
                <w:lang w:eastAsia="es-ES"/>
              </w:rPr>
              <w:t xml:space="preserve"> / </w:t>
            </w:r>
            <w:r w:rsidRPr="00F10EF0">
              <w:rPr>
                <w:rFonts w:ascii="Verdana" w:hAnsi="Verdana" w:cs="Arial"/>
                <w:lang w:eastAsia="es-ES"/>
              </w:rPr>
              <w:t>ENTIDADES TERRITORIALES – Restricciones preelectorales – Planeación contractual</w:t>
            </w:r>
          </w:p>
          <w:p w14:paraId="4F5244B8" w14:textId="77777777" w:rsidR="004D0547" w:rsidRPr="00F10EF0" w:rsidRDefault="004D0547" w:rsidP="00CD4AEA">
            <w:pPr>
              <w:jc w:val="both"/>
            </w:pPr>
          </w:p>
        </w:tc>
      </w:tr>
      <w:tr w:rsidR="004D0547" w:rsidRPr="00A869FE" w14:paraId="3C9F784F" w14:textId="77777777" w:rsidTr="00CD4AEA">
        <w:tc>
          <w:tcPr>
            <w:tcW w:w="2689" w:type="dxa"/>
          </w:tcPr>
          <w:p w14:paraId="3C47419B" w14:textId="77777777" w:rsidR="004D0547" w:rsidRPr="00A869FE" w:rsidRDefault="004D0547" w:rsidP="00CD4AEA">
            <w:pPr>
              <w:jc w:val="both"/>
              <w:rPr>
                <w:rFonts w:ascii="Verdana" w:hAnsi="Verdana" w:cs="Arial"/>
                <w:b/>
                <w:lang w:eastAsia="es-ES_tradnl"/>
              </w:rPr>
            </w:pPr>
            <w:r w:rsidRPr="00A869FE">
              <w:rPr>
                <w:rFonts w:ascii="Verdana" w:hAnsi="Verdana" w:cs="Arial"/>
                <w:b/>
                <w:lang w:eastAsia="es-ES_tradnl"/>
              </w:rPr>
              <w:t>Radicación:</w:t>
            </w:r>
            <w:r w:rsidRPr="00A869FE">
              <w:rPr>
                <w:rFonts w:ascii="Verdana" w:hAnsi="Verdana" w:cs="Arial"/>
                <w:lang w:eastAsia="es-ES_tradnl"/>
              </w:rPr>
              <w:t xml:space="preserve">               </w:t>
            </w:r>
          </w:p>
        </w:tc>
        <w:tc>
          <w:tcPr>
            <w:tcW w:w="6100" w:type="dxa"/>
          </w:tcPr>
          <w:p w14:paraId="14AC9A13" w14:textId="77777777" w:rsidR="004D0547" w:rsidRPr="00A869FE" w:rsidRDefault="004D0547" w:rsidP="00CD4AEA">
            <w:pPr>
              <w:spacing w:line="276" w:lineRule="auto"/>
              <w:jc w:val="both"/>
              <w:rPr>
                <w:rFonts w:ascii="Verdana" w:hAnsi="Verdana" w:cs="Arial"/>
                <w:lang w:eastAsia="es-ES_tradnl"/>
              </w:rPr>
            </w:pPr>
            <w:r w:rsidRPr="00A869FE">
              <w:rPr>
                <w:rFonts w:ascii="Verdana" w:hAnsi="Verdana" w:cs="Arial"/>
                <w:lang w:eastAsia="es-ES_tradnl"/>
              </w:rPr>
              <w:t xml:space="preserve">Respuesta a la consulta con radicado No. </w:t>
            </w:r>
            <w:r w:rsidRPr="00013F41">
              <w:rPr>
                <w:rFonts w:ascii="Verdana" w:hAnsi="Verdana" w:cs="Arial"/>
                <w:lang w:eastAsia="es-ES_tradnl"/>
              </w:rPr>
              <w:t>1_2025_11_19_013024</w:t>
            </w:r>
          </w:p>
        </w:tc>
      </w:tr>
    </w:tbl>
    <w:p w14:paraId="4CD74B63" w14:textId="77777777" w:rsidR="004D0547" w:rsidRPr="00A869FE" w:rsidRDefault="004D0547" w:rsidP="004D0547">
      <w:pPr>
        <w:spacing w:after="0" w:line="240" w:lineRule="auto"/>
        <w:jc w:val="both"/>
        <w:rPr>
          <w:rFonts w:ascii="Verdana" w:hAnsi="Verdana" w:cs="Arial"/>
          <w:color w:val="000000"/>
          <w:lang w:eastAsia="es-ES_tradnl"/>
        </w:rPr>
      </w:pPr>
    </w:p>
    <w:p w14:paraId="7A73E2E3" w14:textId="77777777" w:rsidR="004D0547" w:rsidRPr="00A869FE" w:rsidRDefault="004D0547" w:rsidP="004D0547">
      <w:pPr>
        <w:spacing w:after="0" w:line="276" w:lineRule="auto"/>
        <w:jc w:val="both"/>
        <w:rPr>
          <w:rFonts w:ascii="Verdana" w:hAnsi="Verdana" w:cs="Arial"/>
          <w:lang w:eastAsia="es-ES"/>
        </w:rPr>
      </w:pPr>
      <w:r w:rsidRPr="00A869FE">
        <w:rPr>
          <w:rFonts w:ascii="Verdana" w:hAnsi="Verdana" w:cs="Arial"/>
          <w:lang w:eastAsia="es-ES"/>
        </w:rPr>
        <w:t>Estimad</w:t>
      </w:r>
      <w:r>
        <w:rPr>
          <w:rFonts w:ascii="Verdana" w:hAnsi="Verdana" w:cs="Arial"/>
          <w:lang w:eastAsia="es-ES"/>
        </w:rPr>
        <w:t>o señor Arias Rodríguez</w:t>
      </w:r>
      <w:r w:rsidRPr="00A869FE">
        <w:rPr>
          <w:rFonts w:ascii="Verdana" w:hAnsi="Verdana" w:cs="Arial"/>
          <w:lang w:eastAsia="es-ES"/>
        </w:rPr>
        <w:t xml:space="preserve">: </w:t>
      </w:r>
    </w:p>
    <w:p w14:paraId="4AD41B12" w14:textId="77777777" w:rsidR="004D0547" w:rsidRPr="00A869FE" w:rsidRDefault="004D0547" w:rsidP="004D0547">
      <w:pPr>
        <w:tabs>
          <w:tab w:val="left" w:pos="3768"/>
        </w:tabs>
        <w:spacing w:after="0" w:line="276" w:lineRule="auto"/>
        <w:jc w:val="both"/>
        <w:rPr>
          <w:rFonts w:ascii="Verdana" w:hAnsi="Verdana" w:cs="Arial"/>
          <w:color w:val="000000" w:themeColor="text1"/>
          <w:lang w:eastAsia="es-ES"/>
        </w:rPr>
      </w:pPr>
      <w:r w:rsidRPr="00A869FE">
        <w:rPr>
          <w:rFonts w:ascii="Verdana" w:hAnsi="Verdana" w:cs="Arial"/>
          <w:color w:val="000000" w:themeColor="text1"/>
          <w:lang w:eastAsia="es-ES"/>
        </w:rPr>
        <w:tab/>
      </w:r>
    </w:p>
    <w:p w14:paraId="461F5E13" w14:textId="77777777" w:rsidR="004D0547" w:rsidRPr="002034D9" w:rsidRDefault="004D0547" w:rsidP="004D0547">
      <w:pPr>
        <w:spacing w:after="0" w:line="276" w:lineRule="auto"/>
        <w:jc w:val="both"/>
        <w:rPr>
          <w:rFonts w:ascii="Verdana" w:hAnsi="Verdana" w:cs="Arial"/>
          <w:lang w:eastAsia="es-ES"/>
        </w:rPr>
      </w:pPr>
      <w:r w:rsidRPr="00A869FE">
        <w:rPr>
          <w:rFonts w:ascii="Verdana" w:hAnsi="Verdana" w:cs="Arial"/>
          <w:color w:val="000000" w:themeColor="text1"/>
          <w:lang w:eastAsia="es-ES"/>
        </w:rPr>
        <w:t>En ejercicio de la competencia otorgada por los artículos 3, numeral 5º, y 11, numeral 8º, del Decreto Ley 4170 de 2011,</w:t>
      </w:r>
      <w:r w:rsidRPr="00A869FE">
        <w:rPr>
          <w:rFonts w:ascii="Verdana" w:eastAsia="Arial MT" w:hAnsi="Verdana" w:cs="Arial MT"/>
          <w:lang w:eastAsia="es-ES"/>
        </w:rPr>
        <w:t xml:space="preserve"> </w:t>
      </w:r>
      <w:r w:rsidRPr="00A869FE">
        <w:rPr>
          <w:rFonts w:ascii="Verdana" w:hAnsi="Verdana" w:cs="Arial"/>
        </w:rPr>
        <w:t xml:space="preserve">así como lo establecido en la Resolución 469 de 2025 expedida por esta Entidad, </w:t>
      </w:r>
      <w:r w:rsidRPr="00A869FE">
        <w:rPr>
          <w:rFonts w:ascii="Verdana" w:hAnsi="Verdana" w:cs="Arial"/>
          <w:color w:val="000000" w:themeColor="text1"/>
          <w:lang w:eastAsia="es-ES"/>
        </w:rPr>
        <w:t>la Agencia Nacional de Contratación Pública – Colombia Compra Eficiente responde su solicitud</w:t>
      </w:r>
      <w:r>
        <w:rPr>
          <w:rFonts w:ascii="Verdana" w:hAnsi="Verdana" w:cs="Arial"/>
          <w:color w:val="000000" w:themeColor="text1"/>
          <w:lang w:eastAsia="es-ES"/>
        </w:rPr>
        <w:t xml:space="preserve"> remitida por el Departamento Administrativo de la Función Pública – DAFP y radicada el</w:t>
      </w:r>
      <w:r w:rsidRPr="00A869FE">
        <w:rPr>
          <w:rFonts w:ascii="Verdana" w:hAnsi="Verdana" w:cs="Arial"/>
          <w:lang w:eastAsia="es-ES"/>
        </w:rPr>
        <w:t xml:space="preserve"> 19</w:t>
      </w:r>
      <w:r>
        <w:rPr>
          <w:rFonts w:ascii="Verdana" w:hAnsi="Verdana" w:cs="Arial"/>
          <w:lang w:eastAsia="es-ES"/>
        </w:rPr>
        <w:t xml:space="preserve"> </w:t>
      </w:r>
      <w:r w:rsidRPr="00A869FE">
        <w:rPr>
          <w:rFonts w:ascii="Verdana" w:hAnsi="Verdana" w:cs="Arial"/>
          <w:lang w:eastAsia="es-ES"/>
        </w:rPr>
        <w:t xml:space="preserve">de </w:t>
      </w:r>
      <w:r>
        <w:rPr>
          <w:rFonts w:ascii="Verdana" w:hAnsi="Verdana" w:cs="Arial"/>
          <w:lang w:eastAsia="es-ES"/>
        </w:rPr>
        <w:t>noviembre</w:t>
      </w:r>
      <w:r w:rsidRPr="00A869FE">
        <w:rPr>
          <w:rFonts w:ascii="Verdana" w:hAnsi="Verdana" w:cs="Arial"/>
          <w:lang w:eastAsia="es-ES"/>
        </w:rPr>
        <w:t xml:space="preserve"> de 2025, </w:t>
      </w:r>
      <w:r>
        <w:rPr>
          <w:rFonts w:ascii="Verdana" w:hAnsi="Verdana" w:cs="Arial"/>
          <w:lang w:eastAsia="es-ES"/>
        </w:rPr>
        <w:t>petición formulada en los siguientes términos</w:t>
      </w:r>
      <w:r w:rsidRPr="00A869FE">
        <w:rPr>
          <w:rFonts w:ascii="Verdana" w:hAnsi="Verdana" w:cs="Arial"/>
          <w:lang w:eastAsia="es-ES"/>
        </w:rPr>
        <w:t xml:space="preserve">: </w:t>
      </w:r>
    </w:p>
    <w:p w14:paraId="3C68E541" w14:textId="77777777" w:rsidR="004D0547" w:rsidRPr="00A869FE" w:rsidRDefault="004D0547" w:rsidP="004D0547">
      <w:pPr>
        <w:tabs>
          <w:tab w:val="left" w:pos="142"/>
          <w:tab w:val="left" w:pos="284"/>
        </w:tabs>
        <w:spacing w:after="0" w:line="276" w:lineRule="auto"/>
        <w:contextualSpacing/>
        <w:jc w:val="both"/>
        <w:rPr>
          <w:rFonts w:ascii="Verdana" w:eastAsia="Century Gothic" w:hAnsi="Verdana" w:cs="Century Gothic"/>
          <w:b/>
          <w:bCs/>
        </w:rPr>
      </w:pPr>
    </w:p>
    <w:p w14:paraId="1F2FCD1A" w14:textId="77777777" w:rsidR="004D0547" w:rsidRDefault="004D0547" w:rsidP="004D0547">
      <w:pPr>
        <w:spacing w:after="0" w:line="240" w:lineRule="auto"/>
        <w:ind w:left="709" w:right="709"/>
        <w:jc w:val="both"/>
        <w:rPr>
          <w:rFonts w:ascii="Verdana" w:eastAsia="Century Gothic" w:hAnsi="Verdana" w:cs="Century Gothic"/>
          <w:sz w:val="20"/>
          <w:szCs w:val="20"/>
        </w:rPr>
      </w:pPr>
      <w:bookmarkStart w:id="1" w:name="_Hlk95313578"/>
      <w:r w:rsidRPr="00A869FE">
        <w:rPr>
          <w:rFonts w:ascii="Verdana" w:eastAsia="Century Gothic" w:hAnsi="Verdana" w:cs="Century Gothic"/>
          <w:sz w:val="20"/>
          <w:szCs w:val="20"/>
        </w:rPr>
        <w:t>“</w:t>
      </w:r>
      <w:bookmarkEnd w:id="1"/>
      <w:r>
        <w:rPr>
          <w:rFonts w:ascii="Verdana" w:eastAsia="Century Gothic" w:hAnsi="Verdana" w:cs="Century Gothic"/>
          <w:sz w:val="20"/>
          <w:szCs w:val="20"/>
        </w:rPr>
        <w:t>[…]</w:t>
      </w:r>
    </w:p>
    <w:p w14:paraId="07DC13CC" w14:textId="77777777" w:rsidR="004D0547" w:rsidRDefault="004D0547" w:rsidP="004D0547">
      <w:pPr>
        <w:spacing w:after="0" w:line="240" w:lineRule="auto"/>
        <w:ind w:left="709" w:right="709"/>
        <w:jc w:val="both"/>
        <w:rPr>
          <w:rFonts w:ascii="Verdana" w:eastAsia="Century Gothic" w:hAnsi="Verdana" w:cs="Century Gothic"/>
          <w:sz w:val="20"/>
          <w:szCs w:val="20"/>
        </w:rPr>
      </w:pPr>
    </w:p>
    <w:p w14:paraId="20F0392D" w14:textId="77777777" w:rsidR="004D0547" w:rsidRDefault="004D0547" w:rsidP="004D0547">
      <w:pPr>
        <w:spacing w:after="0" w:line="240" w:lineRule="auto"/>
        <w:ind w:left="709" w:right="709"/>
        <w:jc w:val="both"/>
        <w:rPr>
          <w:rFonts w:ascii="Verdana" w:eastAsia="Century Gothic" w:hAnsi="Verdana" w:cs="Century Gothic"/>
          <w:sz w:val="20"/>
          <w:szCs w:val="20"/>
        </w:rPr>
      </w:pPr>
      <w:r w:rsidRPr="00CD272A">
        <w:rPr>
          <w:rFonts w:ascii="Verdana" w:eastAsia="Century Gothic" w:hAnsi="Verdana" w:cs="Century Gothic"/>
          <w:sz w:val="20"/>
          <w:szCs w:val="20"/>
        </w:rPr>
        <w:t xml:space="preserve">En un Municipio, una mujer en estado de embarazo se encuentra vinculada mediante contrato de prestación de servicios, actualmente, cuenta con contrato de vigencia hasta el 24 de diciembre del 2025, y tiene programado parto para el 10 de enero del 2026, las preguntas son las siguientes; </w:t>
      </w:r>
    </w:p>
    <w:p w14:paraId="3ACE3270" w14:textId="77777777" w:rsidR="004D0547" w:rsidRDefault="004D0547" w:rsidP="004D0547">
      <w:pPr>
        <w:spacing w:after="0" w:line="240" w:lineRule="auto"/>
        <w:ind w:left="709" w:right="709"/>
        <w:jc w:val="both"/>
        <w:rPr>
          <w:rFonts w:ascii="Verdana" w:eastAsia="Century Gothic" w:hAnsi="Verdana" w:cs="Century Gothic"/>
          <w:sz w:val="20"/>
          <w:szCs w:val="20"/>
        </w:rPr>
      </w:pPr>
    </w:p>
    <w:p w14:paraId="1371CA48" w14:textId="77777777" w:rsidR="004D0547" w:rsidRDefault="004D0547" w:rsidP="004D0547">
      <w:pPr>
        <w:spacing w:after="0" w:line="240" w:lineRule="auto"/>
        <w:ind w:left="709" w:right="709"/>
        <w:jc w:val="both"/>
        <w:rPr>
          <w:rFonts w:ascii="Verdana" w:eastAsia="Century Gothic" w:hAnsi="Verdana" w:cs="Century Gothic"/>
          <w:sz w:val="20"/>
          <w:szCs w:val="20"/>
        </w:rPr>
      </w:pPr>
      <w:r w:rsidRPr="00CD272A">
        <w:rPr>
          <w:rFonts w:ascii="Verdana" w:eastAsia="Century Gothic" w:hAnsi="Verdana" w:cs="Century Gothic"/>
          <w:sz w:val="20"/>
          <w:szCs w:val="20"/>
        </w:rPr>
        <w:t xml:space="preserve">1. La Administración Municipal de Zetaquira, deberá renovar el contrato de prestación de servicios, atendiendo a que, la fecha de la terminación contractual, es de 20 días aproximadamente antes del parto de la contratista. </w:t>
      </w:r>
    </w:p>
    <w:p w14:paraId="0F69EC99" w14:textId="77777777" w:rsidR="004D0547" w:rsidRDefault="004D0547" w:rsidP="004D0547">
      <w:pPr>
        <w:spacing w:after="0" w:line="240" w:lineRule="auto"/>
        <w:ind w:left="709" w:right="709"/>
        <w:jc w:val="both"/>
        <w:rPr>
          <w:rFonts w:ascii="Verdana" w:eastAsia="Century Gothic" w:hAnsi="Verdana" w:cs="Century Gothic"/>
          <w:sz w:val="20"/>
          <w:szCs w:val="20"/>
        </w:rPr>
      </w:pPr>
    </w:p>
    <w:p w14:paraId="6DA66526" w14:textId="77777777" w:rsidR="004D0547" w:rsidRDefault="004D0547" w:rsidP="004D0547">
      <w:pPr>
        <w:spacing w:after="0" w:line="240" w:lineRule="auto"/>
        <w:ind w:left="709" w:right="709"/>
        <w:jc w:val="both"/>
        <w:rPr>
          <w:rFonts w:ascii="Verdana" w:eastAsia="Century Gothic" w:hAnsi="Verdana" w:cs="Century Gothic"/>
          <w:sz w:val="20"/>
          <w:szCs w:val="20"/>
        </w:rPr>
      </w:pPr>
      <w:r w:rsidRPr="00CD272A">
        <w:rPr>
          <w:rFonts w:ascii="Verdana" w:eastAsia="Century Gothic" w:hAnsi="Verdana" w:cs="Century Gothic"/>
          <w:sz w:val="20"/>
          <w:szCs w:val="20"/>
        </w:rPr>
        <w:t xml:space="preserve">2. Si hay obligatoriedad de mantener el contrato, se deberá hacer uno nuevo, o se debe de adicionar tiempo. </w:t>
      </w:r>
    </w:p>
    <w:p w14:paraId="23834C28" w14:textId="77777777" w:rsidR="004D0547" w:rsidRDefault="004D0547" w:rsidP="004D0547">
      <w:pPr>
        <w:spacing w:after="0" w:line="240" w:lineRule="auto"/>
        <w:ind w:left="709" w:right="709"/>
        <w:jc w:val="both"/>
        <w:rPr>
          <w:rFonts w:ascii="Verdana" w:eastAsia="Century Gothic" w:hAnsi="Verdana" w:cs="Century Gothic"/>
          <w:sz w:val="20"/>
          <w:szCs w:val="20"/>
        </w:rPr>
      </w:pPr>
    </w:p>
    <w:p w14:paraId="7F0D5CFD" w14:textId="77777777" w:rsidR="004D0547" w:rsidRPr="00A869FE" w:rsidRDefault="004D0547" w:rsidP="004D0547">
      <w:pPr>
        <w:spacing w:after="0" w:line="240" w:lineRule="auto"/>
        <w:ind w:left="709" w:right="709"/>
        <w:jc w:val="both"/>
        <w:rPr>
          <w:rFonts w:ascii="Verdana" w:hAnsi="Verdana"/>
          <w:sz w:val="20"/>
          <w:szCs w:val="20"/>
        </w:rPr>
      </w:pPr>
      <w:r w:rsidRPr="00CD272A">
        <w:rPr>
          <w:rFonts w:ascii="Verdana" w:eastAsia="Century Gothic" w:hAnsi="Verdana" w:cs="Century Gothic"/>
          <w:sz w:val="20"/>
          <w:szCs w:val="20"/>
        </w:rPr>
        <w:t>3. Si hay fuero de maternidad para la contratista, cuanto tiempo la cobija y que clase de be</w:t>
      </w:r>
      <w:r>
        <w:rPr>
          <w:rFonts w:ascii="Verdana" w:eastAsia="Century Gothic" w:hAnsi="Verdana" w:cs="Century Gothic"/>
          <w:sz w:val="20"/>
          <w:szCs w:val="20"/>
        </w:rPr>
        <w:t>neficios tienen.</w:t>
      </w:r>
      <w:r w:rsidRPr="00A869FE">
        <w:rPr>
          <w:rFonts w:ascii="Verdana" w:hAnsi="Verdana"/>
          <w:sz w:val="20"/>
          <w:szCs w:val="20"/>
        </w:rPr>
        <w:t>”</w:t>
      </w:r>
    </w:p>
    <w:p w14:paraId="3EB55A89" w14:textId="77777777" w:rsidR="004D0547" w:rsidRPr="00A869FE" w:rsidRDefault="004D0547" w:rsidP="004D0547">
      <w:pPr>
        <w:tabs>
          <w:tab w:val="left" w:pos="142"/>
          <w:tab w:val="left" w:pos="284"/>
        </w:tabs>
        <w:spacing w:after="0" w:line="276" w:lineRule="auto"/>
        <w:contextualSpacing/>
        <w:jc w:val="both"/>
        <w:rPr>
          <w:rFonts w:ascii="Verdana" w:eastAsia="Century Gothic" w:hAnsi="Verdana" w:cs="Century Gothic"/>
          <w:b/>
          <w:bCs/>
        </w:rPr>
      </w:pPr>
    </w:p>
    <w:p w14:paraId="4E5F00BA" w14:textId="77777777" w:rsidR="004D0547" w:rsidRPr="00A869FE" w:rsidRDefault="004D0547" w:rsidP="004D0547">
      <w:pPr>
        <w:spacing w:after="120" w:line="276" w:lineRule="auto"/>
        <w:ind w:firstLine="709"/>
        <w:jc w:val="both"/>
        <w:rPr>
          <w:rFonts w:ascii="Verdana" w:hAnsi="Verdana" w:cs="Arial"/>
          <w:color w:val="000000"/>
          <w:lang w:eastAsia="es-ES"/>
        </w:rPr>
      </w:pPr>
      <w:r w:rsidRPr="00A869FE">
        <w:rPr>
          <w:rFonts w:ascii="Verdana" w:hAnsi="Verdana" w:cs="Arial"/>
          <w:color w:val="000000" w:themeColor="text1"/>
          <w:lang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hAnsi="Verdana" w:cs="Arial"/>
          <w:color w:val="000000" w:themeColor="text1"/>
          <w:lang w:eastAsia="es-ES"/>
        </w:rPr>
        <w:t xml:space="preserve">la Agencia Nacional de Contratación Pública – </w:t>
      </w:r>
      <w:r w:rsidRPr="00A869FE">
        <w:rPr>
          <w:rFonts w:ascii="Verdana" w:hAnsi="Verdana" w:cs="Arial"/>
          <w:color w:val="000000" w:themeColor="text1"/>
          <w:lang w:eastAsia="es-ES"/>
        </w:rPr>
        <w:t xml:space="preserve">Colombia Compra Eficiente como una autoridad para solucionar problemas jurídicos concretos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A869FE">
        <w:tab/>
      </w:r>
    </w:p>
    <w:p w14:paraId="2DABB9EF" w14:textId="77777777" w:rsidR="004D0547" w:rsidRPr="00A869FE" w:rsidRDefault="004D0547" w:rsidP="004D0547">
      <w:pPr>
        <w:spacing w:after="0" w:line="276" w:lineRule="auto"/>
        <w:ind w:firstLine="709"/>
        <w:jc w:val="both"/>
        <w:rPr>
          <w:rFonts w:ascii="Verdana" w:hAnsi="Verdana" w:cs="Arial"/>
          <w:color w:val="000000"/>
          <w:lang w:eastAsia="es-ES"/>
        </w:rPr>
      </w:pPr>
      <w:r w:rsidRPr="00A869FE">
        <w:rPr>
          <w:rFonts w:ascii="Verdana"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específicas que la haya motivado, pero haciendo unas consideraciones sobre las normas generales relacionadas con el</w:t>
      </w:r>
      <w:r w:rsidRPr="00A869FE">
        <w:rPr>
          <w:rFonts w:ascii="Verdana" w:hAnsi="Verdana" w:cs="Arial"/>
          <w:color w:val="7030A0"/>
          <w:lang w:eastAsia="es-ES"/>
        </w:rPr>
        <w:t xml:space="preserve"> </w:t>
      </w:r>
      <w:r w:rsidRPr="00A869FE">
        <w:rPr>
          <w:rFonts w:ascii="Verdana" w:hAnsi="Verdana" w:cs="Arial"/>
          <w:color w:val="000000"/>
          <w:lang w:eastAsia="es-ES"/>
        </w:rPr>
        <w:t>problema</w:t>
      </w:r>
      <w:r w:rsidRPr="00A869FE">
        <w:rPr>
          <w:rFonts w:ascii="Verdana" w:hAnsi="Verdana" w:cs="Arial"/>
          <w:color w:val="7030A0"/>
          <w:lang w:eastAsia="es-ES"/>
        </w:rPr>
        <w:t xml:space="preserve"> </w:t>
      </w:r>
      <w:r w:rsidRPr="00A869FE">
        <w:rPr>
          <w:rFonts w:ascii="Verdana" w:hAnsi="Verdana" w:cs="Arial"/>
          <w:color w:val="000000"/>
          <w:lang w:eastAsia="es-ES"/>
        </w:rPr>
        <w:t>jurídico</w:t>
      </w:r>
      <w:r w:rsidRPr="00A869FE">
        <w:rPr>
          <w:rFonts w:ascii="Verdana" w:hAnsi="Verdana" w:cs="Arial"/>
          <w:color w:val="7030A0"/>
          <w:lang w:eastAsia="es-ES"/>
        </w:rPr>
        <w:t xml:space="preserve"> </w:t>
      </w:r>
      <w:r w:rsidRPr="00A869FE">
        <w:rPr>
          <w:rFonts w:ascii="Verdana" w:hAnsi="Verdana" w:cs="Arial"/>
          <w:color w:val="000000"/>
          <w:lang w:eastAsia="es-ES"/>
        </w:rPr>
        <w:t xml:space="preserve">de su consulta. </w:t>
      </w:r>
      <w:r w:rsidRPr="00A869FE">
        <w:rPr>
          <w:rFonts w:ascii="Verdana" w:hAnsi="Verdana" w:cs="Arial"/>
          <w:lang w:eastAsia="es-ES"/>
        </w:rPr>
        <w:t xml:space="preserve"> </w:t>
      </w:r>
    </w:p>
    <w:p w14:paraId="3008E1EA" w14:textId="77777777" w:rsidR="004D0547" w:rsidRPr="00A869FE" w:rsidRDefault="004D0547" w:rsidP="004D0547">
      <w:pPr>
        <w:spacing w:after="0" w:line="276" w:lineRule="auto"/>
        <w:ind w:firstLine="708"/>
        <w:jc w:val="both"/>
        <w:rPr>
          <w:rFonts w:ascii="Verdana" w:hAnsi="Verdana" w:cs="Arial"/>
          <w:lang w:eastAsia="es-ES"/>
        </w:rPr>
      </w:pPr>
    </w:p>
    <w:p w14:paraId="5FCF8A8C" w14:textId="77777777" w:rsidR="004D0547" w:rsidRPr="00A869FE" w:rsidRDefault="004D0547" w:rsidP="004D0547">
      <w:pPr>
        <w:numPr>
          <w:ilvl w:val="0"/>
          <w:numId w:val="2"/>
        </w:numPr>
        <w:tabs>
          <w:tab w:val="left" w:pos="142"/>
          <w:tab w:val="left" w:pos="284"/>
        </w:tabs>
        <w:spacing w:after="0" w:line="276" w:lineRule="auto"/>
        <w:jc w:val="both"/>
        <w:rPr>
          <w:rFonts w:ascii="Verdana" w:eastAsia="Century Gothic" w:hAnsi="Verdana" w:cs="Century Gothic"/>
          <w:b/>
          <w:bCs/>
        </w:rPr>
      </w:pPr>
      <w:r w:rsidRPr="00A869FE">
        <w:rPr>
          <w:rFonts w:ascii="Verdana" w:eastAsia="Century Gothic" w:hAnsi="Verdana" w:cs="Century Gothic"/>
          <w:b/>
          <w:bCs/>
        </w:rPr>
        <w:t>Problema planteado:</w:t>
      </w:r>
    </w:p>
    <w:p w14:paraId="38031412" w14:textId="77777777" w:rsidR="004D0547" w:rsidRPr="00A869FE" w:rsidRDefault="004D0547" w:rsidP="004D0547">
      <w:pPr>
        <w:tabs>
          <w:tab w:val="left" w:pos="426"/>
        </w:tabs>
        <w:spacing w:after="0" w:line="276" w:lineRule="auto"/>
        <w:jc w:val="both"/>
        <w:rPr>
          <w:rFonts w:ascii="Verdana" w:eastAsia="Century Gothic" w:hAnsi="Verdana" w:cs="Century Gothic"/>
        </w:rPr>
      </w:pPr>
    </w:p>
    <w:p w14:paraId="6925D000" w14:textId="77777777" w:rsidR="004D0547" w:rsidRPr="00A869FE" w:rsidRDefault="004D0547" w:rsidP="004D0547">
      <w:pPr>
        <w:spacing w:after="0" w:line="276" w:lineRule="auto"/>
        <w:jc w:val="both"/>
        <w:rPr>
          <w:rFonts w:ascii="Verdana" w:eastAsia="Century Gothic" w:hAnsi="Verdana" w:cs="Century Gothic"/>
        </w:rPr>
      </w:pPr>
      <w:r w:rsidRPr="00A869FE">
        <w:rPr>
          <w:rFonts w:ascii="Verdana" w:eastAsia="Century Gothic" w:hAnsi="Verdana" w:cs="Century Gothic"/>
        </w:rPr>
        <w:t xml:space="preserve">De acuerdo con el contenido de su solicitud, esta Agencia resolverá el siguiente problema jurídico: </w:t>
      </w:r>
      <w:r w:rsidRPr="00BC378A">
        <w:rPr>
          <w:rFonts w:ascii="Verdana" w:eastAsia="Century Gothic" w:hAnsi="Verdana" w:cs="Century Gothic"/>
        </w:rPr>
        <w:t xml:space="preserve">¿De qué manera debe una entidad estatal </w:t>
      </w:r>
      <w:r>
        <w:rPr>
          <w:rFonts w:ascii="Verdana" w:eastAsia="Century Gothic" w:hAnsi="Verdana" w:cs="Century Gothic"/>
        </w:rPr>
        <w:t>armonizar</w:t>
      </w:r>
      <w:r w:rsidRPr="00BC378A">
        <w:rPr>
          <w:rFonts w:ascii="Verdana" w:eastAsia="Century Gothic" w:hAnsi="Verdana" w:cs="Century Gothic"/>
        </w:rPr>
        <w:t xml:space="preserve"> la protección del derecho a la estabilidad ocupacional reforzada de las mujeres en estado de embarazo</w:t>
      </w:r>
      <w:r>
        <w:rPr>
          <w:rFonts w:ascii="Verdana" w:eastAsia="Century Gothic" w:hAnsi="Verdana" w:cs="Century Gothic"/>
        </w:rPr>
        <w:t xml:space="preserve"> o en periodo de lactancia,</w:t>
      </w:r>
      <w:r w:rsidRPr="00BC378A">
        <w:rPr>
          <w:rFonts w:ascii="Verdana" w:eastAsia="Century Gothic" w:hAnsi="Verdana" w:cs="Century Gothic"/>
        </w:rPr>
        <w:t xml:space="preserve"> vinculadas mediante contratos de prestación de servicios</w:t>
      </w:r>
      <w:r>
        <w:rPr>
          <w:rFonts w:ascii="Verdana" w:eastAsia="Century Gothic" w:hAnsi="Verdana" w:cs="Century Gothic"/>
        </w:rPr>
        <w:t>,</w:t>
      </w:r>
      <w:r w:rsidRPr="00BC378A">
        <w:rPr>
          <w:rFonts w:ascii="Verdana" w:eastAsia="Century Gothic" w:hAnsi="Verdana" w:cs="Century Gothic"/>
        </w:rPr>
        <w:t xml:space="preserve"> con las restricciones a la contratación directa establecidas en el artículo 33 de la Ley 996 de 2005 durante el período preelectoral?</w:t>
      </w:r>
    </w:p>
    <w:p w14:paraId="6AA98B8E" w14:textId="77777777" w:rsidR="004D0547" w:rsidRPr="00A869FE" w:rsidRDefault="004D0547" w:rsidP="004D0547">
      <w:pPr>
        <w:spacing w:after="0" w:line="276" w:lineRule="auto"/>
        <w:jc w:val="both"/>
        <w:rPr>
          <w:rFonts w:ascii="Verdana" w:hAnsi="Verdana" w:cs="Arial"/>
          <w:color w:val="7030A0"/>
        </w:rPr>
      </w:pPr>
    </w:p>
    <w:p w14:paraId="055BB496" w14:textId="77777777" w:rsidR="004D0547" w:rsidRPr="00A869FE" w:rsidRDefault="004D0547" w:rsidP="004D0547">
      <w:pPr>
        <w:numPr>
          <w:ilvl w:val="0"/>
          <w:numId w:val="2"/>
        </w:numPr>
        <w:tabs>
          <w:tab w:val="left" w:pos="142"/>
          <w:tab w:val="left" w:pos="284"/>
        </w:tabs>
        <w:spacing w:after="0" w:line="276" w:lineRule="auto"/>
        <w:jc w:val="both"/>
        <w:rPr>
          <w:rFonts w:ascii="Verdana" w:eastAsia="Century Gothic" w:hAnsi="Verdana" w:cs="Century Gothic"/>
          <w:b/>
          <w:bCs/>
        </w:rPr>
      </w:pPr>
      <w:r w:rsidRPr="00A869FE">
        <w:rPr>
          <w:rFonts w:ascii="Verdana" w:eastAsia="Century Gothic" w:hAnsi="Verdana" w:cs="Century Gothic"/>
          <w:b/>
          <w:bCs/>
        </w:rPr>
        <w:t>Respuesta:</w:t>
      </w:r>
    </w:p>
    <w:p w14:paraId="2A2B847C" w14:textId="77777777" w:rsidR="004D0547" w:rsidRPr="00A869FE" w:rsidRDefault="004D0547" w:rsidP="004D0547">
      <w:pPr>
        <w:tabs>
          <w:tab w:val="left" w:pos="142"/>
          <w:tab w:val="left" w:pos="284"/>
        </w:tabs>
        <w:spacing w:after="0" w:line="276" w:lineRule="auto"/>
        <w:jc w:val="both"/>
        <w:rPr>
          <w:rFonts w:ascii="Verdana" w:eastAsia="Century Gothic" w:hAnsi="Verdana" w:cs="Century Gothic"/>
          <w:b/>
          <w:bCs/>
        </w:rPr>
      </w:pPr>
    </w:p>
    <w:tbl>
      <w:tblPr>
        <w:tblStyle w:val="Tablaconcuadrcula1"/>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D0547" w:rsidRPr="00A869FE" w14:paraId="1BEEADAA" w14:textId="77777777" w:rsidTr="00CD4AEA">
        <w:trPr>
          <w:jc w:val="center"/>
        </w:trPr>
        <w:tc>
          <w:tcPr>
            <w:tcW w:w="8828" w:type="dxa"/>
          </w:tcPr>
          <w:p w14:paraId="6286400B" w14:textId="77777777" w:rsidR="004D0547" w:rsidRPr="00454486" w:rsidRDefault="004D0547" w:rsidP="00CD4AEA">
            <w:pPr>
              <w:spacing w:after="120" w:line="276" w:lineRule="auto"/>
              <w:jc w:val="both"/>
              <w:rPr>
                <w:rFonts w:ascii="Verdana" w:eastAsia="Arial" w:hAnsi="Verdana" w:cs="Arial"/>
                <w:lang w:eastAsia="es-ES" w:bidi="es-ES"/>
              </w:rPr>
            </w:pPr>
            <w:r w:rsidRPr="00454486">
              <w:rPr>
                <w:rFonts w:ascii="Verdana" w:eastAsia="Arial" w:hAnsi="Verdana" w:cs="Arial"/>
                <w:lang w:eastAsia="es-ES" w:bidi="es-ES"/>
              </w:rPr>
              <w:t>De conformidad con el marco constitucional y jurisprudencial vigente, las mujeres en estado de embarazo o en período de lactancia vinculadas mediante contratos de prestación de servicios son titulares del derecho a la estabilidad ocupacional reforzada, cuya finalidad es impedir cualquier forma de discriminación derivada de la terminación o no renovación del vínculo contractual por causa o con ocasión de la maternidad. Esta protección resulta exigible frente a las entidades estatales, aun cuando la relación se haya estructurado bajo una modalidad contractual de naturaleza temporal, y su alcance debe determinarse atendiendo a las reglas fijadas por la Corte Constitucional, particularmente en lo relativo a la existencia de una relación de prestación de servicios, el conocimiento del estado de embarazo por parte de la entidad y la ausencia de motivos objetivos que justifiquen la terminación del vínculo.</w:t>
            </w:r>
          </w:p>
          <w:p w14:paraId="5353CC46" w14:textId="77777777" w:rsidR="004D0547" w:rsidRPr="00454486" w:rsidRDefault="004D0547" w:rsidP="00CD4AEA">
            <w:pPr>
              <w:spacing w:after="160" w:line="276" w:lineRule="auto"/>
              <w:ind w:firstLine="709"/>
              <w:jc w:val="both"/>
              <w:rPr>
                <w:rFonts w:ascii="Verdana" w:eastAsia="Arial" w:hAnsi="Verdana" w:cs="Arial"/>
                <w:lang w:eastAsia="es-ES" w:bidi="es-ES"/>
              </w:rPr>
            </w:pPr>
            <w:r w:rsidRPr="00454486">
              <w:rPr>
                <w:rFonts w:ascii="Verdana" w:eastAsia="Arial" w:hAnsi="Verdana" w:cs="Arial"/>
                <w:lang w:eastAsia="es-ES" w:bidi="es-ES"/>
              </w:rPr>
              <w:t>No obstante, la garantía de dicho derecho no opera de manera aislada, sino que debe armonizarse con el conjunto de disposiciones legales que regulan la actividad contractual de las entidades estatales. En este sentido, durante los períodos preelectorales para la elección de Presidente de la República, el artículo 33 de la Ley 996 de 2005 establece una prohibición general de contratación directa aplicable a todos los entes del Estado, la cual debe ser interpretada y aplicada de manera estricta, en atención a su carácter excepcional y a la finalidad de preservar la igualdad y transparencia en la contienda electoral. Dicha restricción comprende la celebración de nuevos contratos bajo modalidades que no impliquen convocatoria pública ni pluralidad de oferentes, y únicamente admite las excepciones expresamente previstas por el legislador.</w:t>
            </w:r>
          </w:p>
          <w:p w14:paraId="50D070F2" w14:textId="77777777" w:rsidR="004D0547" w:rsidRDefault="004D0547" w:rsidP="00CD4AEA">
            <w:pPr>
              <w:spacing w:after="160" w:line="276" w:lineRule="auto"/>
              <w:ind w:firstLine="709"/>
              <w:jc w:val="both"/>
              <w:rPr>
                <w:rFonts w:ascii="Verdana" w:eastAsia="Arial" w:hAnsi="Verdana" w:cs="Arial"/>
                <w:lang w:eastAsia="es-ES" w:bidi="es-ES"/>
              </w:rPr>
            </w:pPr>
            <w:r w:rsidRPr="00454486">
              <w:rPr>
                <w:rFonts w:ascii="Verdana" w:eastAsia="Arial" w:hAnsi="Verdana" w:cs="Arial"/>
                <w:lang w:eastAsia="es-ES" w:bidi="es-ES"/>
              </w:rPr>
              <w:t xml:space="preserve">En consecuencia, tratándose de entidades territoriales, la adopción de decisiones orientadas a garantizar la estabilidad ocupacional reforzada de las mujeres embarazadas vinculadas mediante contratos de prestación de servicios debe realizarse en el marco del principio de planeación y de los principios que gobiernan la función administrativa y la contratación estatal, evaluando, en cada caso, las alternativas jurídicas disponibles que no desconozcan las restricciones legales vigentes. </w:t>
            </w:r>
          </w:p>
          <w:p w14:paraId="6789D3BF" w14:textId="77777777" w:rsidR="004D0547" w:rsidRPr="00454486" w:rsidRDefault="004D0547" w:rsidP="00CD4AEA">
            <w:pPr>
              <w:spacing w:after="160" w:line="276" w:lineRule="auto"/>
              <w:ind w:firstLine="709"/>
              <w:jc w:val="both"/>
              <w:rPr>
                <w:rFonts w:ascii="Verdana" w:eastAsia="Arial" w:hAnsi="Verdana" w:cs="Arial"/>
                <w:lang w:eastAsia="es-ES" w:bidi="es-ES"/>
              </w:rPr>
            </w:pPr>
            <w:r w:rsidRPr="00454486">
              <w:rPr>
                <w:rFonts w:ascii="Verdana" w:eastAsia="Arial" w:hAnsi="Verdana" w:cs="Arial"/>
                <w:lang w:eastAsia="es-ES" w:bidi="es-ES"/>
              </w:rPr>
              <w:lastRenderedPageBreak/>
              <w:t>En particular, corresponde a la entidad determinar, de manera autónoma y debidamente motivada, si resulta jurídicamente viable acudir a figuras como la prórroga, modificación o adición de contratos celebrados con anterioridad a la entrada en vigencia de las prohibiciones previstas en la Ley de Garantías Electorales, siempre que dichas actuaciones no impliquen la celebración de un nuevo negocio jurídico ni desnaturalicen la restricción a la contratación directa, y se ajusten a los principios de planeación, transparencia y responsabilidad.</w:t>
            </w:r>
          </w:p>
          <w:p w14:paraId="2D8D2C71" w14:textId="77777777" w:rsidR="004D0547" w:rsidRPr="00465BCB" w:rsidRDefault="004D0547" w:rsidP="00CD4AEA">
            <w:pPr>
              <w:spacing w:line="276" w:lineRule="auto"/>
              <w:ind w:firstLine="709"/>
              <w:jc w:val="both"/>
              <w:rPr>
                <w:rFonts w:ascii="Verdana" w:eastAsia="Arial" w:hAnsi="Verdana" w:cs="Arial"/>
                <w:lang w:eastAsia="es-ES" w:bidi="es-ES"/>
              </w:rPr>
            </w:pPr>
            <w:r w:rsidRPr="00454486">
              <w:rPr>
                <w:rFonts w:ascii="Verdana" w:eastAsia="Arial" w:hAnsi="Verdana" w:cs="Arial"/>
                <w:lang w:eastAsia="es-ES" w:bidi="es-ES"/>
              </w:rPr>
              <w:t>En todo caso, el alcance del presente concepto es de carácter general y abstracto, por lo que no corresponde a esta instancia definir la procedencia de una actuación contractual específica ni resolver situaciones particulares, las cuales deben ser analizadas por cada entidad estatal con base en las circunstancias concretas del caso, los lineamientos jurisprudenciales aplicables y el marco normativo vigente.</w:t>
            </w:r>
          </w:p>
        </w:tc>
      </w:tr>
    </w:tbl>
    <w:p w14:paraId="2E891898" w14:textId="77777777" w:rsidR="004D0547" w:rsidRPr="00A869FE" w:rsidRDefault="004D0547" w:rsidP="004D0547">
      <w:pPr>
        <w:tabs>
          <w:tab w:val="left" w:pos="142"/>
          <w:tab w:val="left" w:pos="284"/>
        </w:tabs>
        <w:spacing w:after="0" w:line="276" w:lineRule="auto"/>
        <w:jc w:val="both"/>
        <w:rPr>
          <w:rFonts w:ascii="Verdana" w:eastAsia="Century Gothic" w:hAnsi="Verdana" w:cs="Century Gothic"/>
          <w:b/>
          <w:bCs/>
        </w:rPr>
      </w:pPr>
    </w:p>
    <w:p w14:paraId="5C813DC8" w14:textId="77777777" w:rsidR="004D0547" w:rsidRPr="00A869FE" w:rsidRDefault="004D0547" w:rsidP="004D0547">
      <w:pPr>
        <w:numPr>
          <w:ilvl w:val="0"/>
          <w:numId w:val="2"/>
        </w:numPr>
        <w:tabs>
          <w:tab w:val="left" w:pos="142"/>
          <w:tab w:val="left" w:pos="284"/>
        </w:tabs>
        <w:spacing w:after="0" w:line="276" w:lineRule="auto"/>
        <w:jc w:val="both"/>
        <w:rPr>
          <w:rFonts w:ascii="Verdana" w:eastAsia="Century Gothic" w:hAnsi="Verdana" w:cs="Century Gothic"/>
          <w:b/>
          <w:bCs/>
        </w:rPr>
      </w:pPr>
      <w:r w:rsidRPr="00A869FE">
        <w:rPr>
          <w:rFonts w:ascii="Verdana" w:eastAsia="Century Gothic" w:hAnsi="Verdana" w:cs="Century Gothic"/>
          <w:b/>
          <w:bCs/>
        </w:rPr>
        <w:t>Razones de la respuesta:</w:t>
      </w:r>
    </w:p>
    <w:p w14:paraId="652C1532" w14:textId="77777777" w:rsidR="004D0547" w:rsidRPr="00A869FE" w:rsidRDefault="004D0547" w:rsidP="004D0547">
      <w:pPr>
        <w:spacing w:after="0" w:line="276" w:lineRule="auto"/>
        <w:jc w:val="both"/>
        <w:rPr>
          <w:rFonts w:ascii="Verdana" w:hAnsi="Verdana" w:cs="Arial"/>
          <w:color w:val="7030A0"/>
        </w:rPr>
      </w:pPr>
    </w:p>
    <w:p w14:paraId="6735FC73" w14:textId="77777777" w:rsidR="004D0547" w:rsidRPr="00A869FE" w:rsidRDefault="004D0547" w:rsidP="004D0547">
      <w:pPr>
        <w:spacing w:after="0" w:line="276" w:lineRule="auto"/>
        <w:jc w:val="both"/>
        <w:rPr>
          <w:rFonts w:ascii="Verdana" w:hAnsi="Verdana" w:cs="Arial"/>
        </w:rPr>
      </w:pPr>
      <w:r w:rsidRPr="00A869FE">
        <w:rPr>
          <w:rFonts w:ascii="Verdana" w:hAnsi="Verdana" w:cs="Arial"/>
        </w:rPr>
        <w:t>Lo anterior se sustenta en las siguientes consideraciones:</w:t>
      </w:r>
    </w:p>
    <w:p w14:paraId="1D22A717" w14:textId="77777777" w:rsidR="004D0547" w:rsidRPr="00A869FE" w:rsidRDefault="004D0547" w:rsidP="004D0547">
      <w:pPr>
        <w:spacing w:after="0" w:line="276" w:lineRule="auto"/>
        <w:ind w:firstLine="709"/>
        <w:jc w:val="both"/>
        <w:rPr>
          <w:rFonts w:ascii="Verdana" w:hAnsi="Verdana" w:cs="Arial"/>
          <w:color w:val="000000" w:themeColor="text1"/>
        </w:rPr>
      </w:pPr>
    </w:p>
    <w:p w14:paraId="5570D2A1" w14:textId="77777777" w:rsidR="004D0547" w:rsidRPr="008C6876" w:rsidRDefault="004D0547" w:rsidP="004D0547">
      <w:pPr>
        <w:tabs>
          <w:tab w:val="left" w:pos="0"/>
        </w:tabs>
        <w:spacing w:after="120" w:line="276" w:lineRule="auto"/>
        <w:jc w:val="both"/>
        <w:rPr>
          <w:rFonts w:ascii="Verdana" w:hAnsi="Verdana" w:cs="Arial"/>
          <w:noProof/>
          <w:lang w:val="es-ES_tradnl"/>
        </w:rPr>
      </w:pPr>
      <w:r>
        <w:rPr>
          <w:rFonts w:ascii="Verdana" w:hAnsi="Verdana" w:cs="Arial"/>
          <w:noProof/>
          <w:lang w:val="es-ES_tradnl"/>
        </w:rPr>
        <w:t xml:space="preserve">i. </w:t>
      </w:r>
      <w:r w:rsidRPr="008C6876">
        <w:rPr>
          <w:rFonts w:ascii="Verdana" w:hAnsi="Verdana" w:cs="Arial"/>
          <w:noProof/>
          <w:lang w:val="es-ES_tradnl"/>
        </w:rPr>
        <w:t>El fuero de maternidad es una figura que otorga una protección reforzada a la futura madre y a la que acaba de serlo, es decir, a la mujer que se encuentre en estado de embarazo y en periodo de lactancia, con el fin de que el proceso de gestación no interfiera en la estabilidad laboral que, como trabajadora, le asiste. El propósito es que las aspiraciones familiares y profesionales de la mujer no se excluyan y puedan armonizarse, al punto de desarrollar su proyecto de vida y su personalidad en condicionrd de dignidad y libertad, pues históricamente el estado de gravidez ha constituido un motivo de exclusión de la mujer en el trabajo, en el que es preciso “impedir la discriminación constituida por el despido, la terminación o la no renovación del contrato por causa o con ocasión del embarazo o la lactancia”</w:t>
      </w:r>
      <w:r w:rsidRPr="008C6876">
        <w:rPr>
          <w:rFonts w:ascii="Verdana" w:eastAsia="Calibri" w:hAnsi="Verdana" w:cs="Arial"/>
          <w:bCs/>
          <w:vertAlign w:val="superscript"/>
        </w:rPr>
        <w:t xml:space="preserve"> </w:t>
      </w:r>
      <w:r w:rsidRPr="008C6876">
        <w:rPr>
          <w:rFonts w:ascii="Verdana" w:eastAsia="Calibri" w:hAnsi="Verdana" w:cs="Arial"/>
          <w:bCs/>
          <w:vertAlign w:val="superscript"/>
        </w:rPr>
        <w:footnoteReference w:id="1"/>
      </w:r>
      <w:r w:rsidRPr="008C6876">
        <w:rPr>
          <w:rFonts w:ascii="Verdana" w:eastAsia="Calibri" w:hAnsi="Verdana" w:cs="Arial"/>
          <w:bCs/>
        </w:rPr>
        <w:t>.</w:t>
      </w:r>
    </w:p>
    <w:p w14:paraId="644D49F2" w14:textId="77777777" w:rsidR="004D0547" w:rsidRPr="008C6876" w:rsidRDefault="004D0547" w:rsidP="004D0547">
      <w:pPr>
        <w:spacing w:after="120" w:line="276" w:lineRule="auto"/>
        <w:ind w:firstLine="708"/>
        <w:jc w:val="both"/>
        <w:rPr>
          <w:rFonts w:ascii="Verdana" w:hAnsi="Verdana"/>
        </w:rPr>
      </w:pPr>
      <w:r w:rsidRPr="008C6876">
        <w:rPr>
          <w:rFonts w:ascii="Verdana" w:hAnsi="Verdana"/>
        </w:rPr>
        <w:t xml:space="preserve">Con el fin de aclarar el objeto bajo consulta, se explicarán las dos (2) posiciones que ha definido al Corte Constitucional para proteger el fuero de maternidad a una mujer que está vinculada a través de un contrato de prestación de servicios. Lo anterior, para determinar cuál es la posición del Alto Tribunal Constitucional en la defensa del derecho a la estabilidad ocupacional reforzada. </w:t>
      </w:r>
    </w:p>
    <w:p w14:paraId="041AB27E" w14:textId="77777777" w:rsidR="004D0547" w:rsidRPr="008C6876" w:rsidRDefault="004D0547" w:rsidP="004D0547">
      <w:pPr>
        <w:tabs>
          <w:tab w:val="left" w:pos="0"/>
        </w:tabs>
        <w:spacing w:after="120" w:line="276" w:lineRule="auto"/>
        <w:jc w:val="both"/>
        <w:rPr>
          <w:rFonts w:ascii="Verdana" w:hAnsi="Verdana" w:cs="Arial"/>
        </w:rPr>
      </w:pPr>
      <w:r w:rsidRPr="008C6876">
        <w:rPr>
          <w:rFonts w:ascii="Verdana" w:eastAsia="Arial" w:hAnsi="Verdana" w:cs="Arial"/>
          <w:color w:val="000000"/>
        </w:rPr>
        <w:lastRenderedPageBreak/>
        <w:tab/>
        <w:t>La Corte Constitucional, en la Sentencia SU-070 de 2013, con ponencia de la Magistrada Gloria Stella Ortiz Delgado, fijó la primera posición frente el tema, indicando que la protección al fuero de maternidad excluye a las trabajadoras que laboran de manera independiente, y sólo procede su protección si el juez de tutela, al analizar las condiciones propias del contrato de prestación de servicios, comprueba que las partes están vinculadas a través de un contrato de trabajo</w:t>
      </w:r>
      <w:r w:rsidRPr="008C6876">
        <w:rPr>
          <w:rFonts w:ascii="Verdana" w:hAnsi="Verdana" w:cs="Arial"/>
          <w:vertAlign w:val="superscript"/>
        </w:rPr>
        <w:footnoteReference w:id="2"/>
      </w:r>
      <w:r w:rsidRPr="008C6876">
        <w:rPr>
          <w:rFonts w:ascii="Verdana" w:hAnsi="Verdana" w:cs="Arial"/>
        </w:rPr>
        <w:t xml:space="preserve">. De esta forma, según el criterio fijado por la Corte en la Sentencia SU-070 de 2023, la protección a la estabilidad laboral reforzada de mujeres vinculadas a través de un contrato de prestación de servicios sólo procede frente aquellos casos donde se verifique la concurrencia de los tres (3) elementos del contrato de trabajo. </w:t>
      </w:r>
    </w:p>
    <w:p w14:paraId="0F3E3CA1" w14:textId="77777777" w:rsidR="004D0547" w:rsidRPr="008C6876" w:rsidRDefault="004D0547" w:rsidP="004D0547">
      <w:pPr>
        <w:tabs>
          <w:tab w:val="left" w:pos="0"/>
        </w:tabs>
        <w:spacing w:after="120" w:line="276" w:lineRule="auto"/>
        <w:jc w:val="both"/>
        <w:rPr>
          <w:rFonts w:ascii="Verdana" w:hAnsi="Verdana" w:cs="Arial"/>
        </w:rPr>
      </w:pPr>
      <w:r>
        <w:rPr>
          <w:rFonts w:ascii="Verdana" w:hAnsi="Verdana" w:cs="Arial"/>
        </w:rPr>
        <w:tab/>
      </w:r>
      <w:r w:rsidRPr="008C6876">
        <w:rPr>
          <w:rFonts w:ascii="Verdana" w:hAnsi="Verdana" w:cs="Arial"/>
        </w:rPr>
        <w:t>Ahora bien, el Alto Tribunal Constitucional, en las sentencias T-102 de 2016</w:t>
      </w:r>
      <w:r w:rsidRPr="008C6876">
        <w:rPr>
          <w:rStyle w:val="Refdenotaalpie"/>
          <w:rFonts w:ascii="Verdana" w:hAnsi="Verdana" w:cs="Arial"/>
        </w:rPr>
        <w:footnoteReference w:id="3"/>
      </w:r>
      <w:r w:rsidRPr="008C6876">
        <w:rPr>
          <w:rFonts w:ascii="Verdana" w:hAnsi="Verdana" w:cs="Arial"/>
        </w:rPr>
        <w:t xml:space="preserve"> y T-564 de 2017</w:t>
      </w:r>
      <w:r w:rsidRPr="008C6876">
        <w:rPr>
          <w:rStyle w:val="Refdenotaalpie"/>
          <w:rFonts w:ascii="Verdana" w:hAnsi="Verdana" w:cs="Arial"/>
        </w:rPr>
        <w:footnoteReference w:id="4"/>
      </w:r>
      <w:r w:rsidRPr="008C6876">
        <w:rPr>
          <w:rFonts w:ascii="Verdana" w:hAnsi="Verdana" w:cs="Arial"/>
        </w:rPr>
        <w:t xml:space="preserve"> estableció otra posición, en los eventos donde no se prueba la configuración del contrato realidad en el contrato de prestación de servicios, señalando que este no es un motivo suficiente para desproteger los </w:t>
      </w:r>
      <w:r w:rsidRPr="008C6876">
        <w:rPr>
          <w:rFonts w:ascii="Verdana" w:hAnsi="Verdana" w:cs="Arial"/>
        </w:rPr>
        <w:lastRenderedPageBreak/>
        <w:t>derechos de la estabilidad ocupacional reforzada de la mujer embarazada, si se comprueba que la terminación del contrato es discriminatoria y no atiende a un motivo objetivo.</w:t>
      </w:r>
    </w:p>
    <w:p w14:paraId="61A8B072" w14:textId="77777777" w:rsidR="004D0547" w:rsidRPr="008C6876" w:rsidRDefault="004D0547" w:rsidP="004D0547">
      <w:pPr>
        <w:tabs>
          <w:tab w:val="left" w:pos="0"/>
        </w:tabs>
        <w:spacing w:after="120" w:line="276" w:lineRule="auto"/>
        <w:jc w:val="both"/>
        <w:rPr>
          <w:rFonts w:ascii="Verdana" w:hAnsi="Verdana" w:cs="Arial"/>
        </w:rPr>
      </w:pPr>
      <w:r w:rsidRPr="008C6876">
        <w:rPr>
          <w:rFonts w:ascii="Verdana" w:hAnsi="Verdana" w:cs="Arial"/>
        </w:rPr>
        <w:tab/>
        <w:t>De acuerdo con la sentencia T-564 de 2017, a pesar de no probarse la configuración del contrato realidad, se debe proteger a la mujer en estado embarazo, vinculada a través de un contrato de prestación de servicios, porque a pesar de que la trabajadora informó al empleador de su estado de gestación, éste terminó anticipadamente su contrato, configurándose una terminación por motivos discriminatorios. Por su parte, la sentencia T-102 de 2016, si bien reconoce la existencia del contrato realidad, reitera que el empleador no demostró ningún motivo objetivo que justificara la terminación del contrato, ya sea porque la actividad que venía realizando ya no era necesaria, o porque no probó que las causas que originaron la contratación desaparecieron, entre otros.</w:t>
      </w:r>
    </w:p>
    <w:p w14:paraId="1F85FBF4" w14:textId="77777777" w:rsidR="004D0547" w:rsidRPr="008C6876" w:rsidRDefault="004D0547" w:rsidP="004D0547">
      <w:pPr>
        <w:spacing w:after="0" w:line="276" w:lineRule="auto"/>
        <w:ind w:firstLine="709"/>
        <w:jc w:val="both"/>
        <w:rPr>
          <w:rFonts w:ascii="Verdana" w:eastAsiaTheme="minorEastAsia" w:hAnsi="Verdana" w:cs="Arial"/>
          <w:lang w:eastAsia="es-CO"/>
        </w:rPr>
      </w:pPr>
      <w:r w:rsidRPr="008C6876">
        <w:rPr>
          <w:rFonts w:ascii="Verdana" w:eastAsiaTheme="minorEastAsia" w:hAnsi="Verdana" w:cs="Arial"/>
          <w:lang w:eastAsia="es-CO"/>
        </w:rPr>
        <w:t>En el mismo sentido, en el salvamento de voto a la sentencia T-743 de 2017, se reiteró que la protección a la mujer en estado de embarazo, vinculada por un contrato de prestación de servicios, no sólo se realiza cuando se prueba la configuración de contrato realidad, sino, además, cuando se demuestre que la decisión de la terminación es discriminatoria y no atiende a un motivo objetivo:</w:t>
      </w:r>
    </w:p>
    <w:p w14:paraId="721F80C0" w14:textId="77777777" w:rsidR="004D0547" w:rsidRPr="008C6876" w:rsidRDefault="004D0547" w:rsidP="004D0547">
      <w:pPr>
        <w:spacing w:after="0" w:line="276" w:lineRule="auto"/>
        <w:ind w:left="709" w:right="709"/>
        <w:jc w:val="both"/>
        <w:rPr>
          <w:rFonts w:ascii="Verdana" w:hAnsi="Verdana" w:cs="Arial"/>
        </w:rPr>
      </w:pPr>
    </w:p>
    <w:p w14:paraId="3D9B4009" w14:textId="77777777" w:rsidR="004D0547" w:rsidRPr="008C6876" w:rsidRDefault="004D0547" w:rsidP="004D0547">
      <w:pPr>
        <w:spacing w:line="240" w:lineRule="auto"/>
        <w:ind w:left="709" w:right="709"/>
        <w:contextualSpacing/>
        <w:jc w:val="both"/>
        <w:rPr>
          <w:rFonts w:ascii="Verdana" w:hAnsi="Verdana" w:cs="Arial"/>
          <w:i/>
          <w:sz w:val="20"/>
          <w:szCs w:val="20"/>
        </w:rPr>
      </w:pPr>
      <w:r w:rsidRPr="008C6876">
        <w:rPr>
          <w:rFonts w:ascii="Verdana" w:eastAsia="Yu Gothic UI Semibold" w:hAnsi="Verdana" w:cs="Arial"/>
          <w:iCs/>
          <w:sz w:val="20"/>
          <w:szCs w:val="20"/>
          <w:lang w:eastAsia="es-MX"/>
        </w:rPr>
        <w:t>“</w:t>
      </w:r>
      <w:r w:rsidRPr="008C6876">
        <w:rPr>
          <w:rFonts w:ascii="Verdana" w:hAnsi="Verdana" w:cs="Arial"/>
          <w:sz w:val="20"/>
          <w:szCs w:val="20"/>
        </w:rPr>
        <w:t xml:space="preserve">Pues bien, el objeto de la aclaración que presento es la necesidad de subrayar la línea jurisprudencial vigente en materia estabilidad laboral reforzada de mujer embarazada en el marco de un contrato de prestación de servicios. A diferencia de las consideraciones de la sentencia, en las cuales se concluye que si no se comprueban los elementos del contrato laboral en la relación contractual no es posible alegar la violación del derecho a la estabilidad laboral reforzada, considero que existen sentencias recientes de las diferentes Salas de Revisión que han establecido que en el marco de relaciones de prestación de servicios, el juez de tutela, </w:t>
      </w:r>
      <w:r w:rsidRPr="008C6876">
        <w:rPr>
          <w:rFonts w:ascii="Verdana" w:hAnsi="Verdana" w:cs="Arial"/>
          <w:i/>
          <w:sz w:val="20"/>
          <w:szCs w:val="20"/>
        </w:rPr>
        <w:t>a pesar de no encontrar probados los elementos del contrato realidad, sí puede garantizar la estabilidad laboral reforzada de la mujer embarazada, siempre y cuando se demuestre que la decisión de la desvinculación es discriminatoria y no atiende a un motivo</w:t>
      </w:r>
      <w:r w:rsidRPr="008C6876">
        <w:rPr>
          <w:rFonts w:ascii="Verdana" w:hAnsi="Verdana" w:cs="Arial"/>
          <w:i/>
          <w:spacing w:val="-5"/>
          <w:sz w:val="20"/>
          <w:szCs w:val="20"/>
        </w:rPr>
        <w:t xml:space="preserve"> </w:t>
      </w:r>
      <w:r w:rsidRPr="008C6876">
        <w:rPr>
          <w:rFonts w:ascii="Verdana" w:hAnsi="Verdana" w:cs="Arial"/>
          <w:i/>
          <w:sz w:val="20"/>
          <w:szCs w:val="20"/>
        </w:rPr>
        <w:t>objetivo.</w:t>
      </w:r>
    </w:p>
    <w:p w14:paraId="07F45D88" w14:textId="77777777" w:rsidR="004D0547" w:rsidRPr="008C6876" w:rsidRDefault="004D0547" w:rsidP="004D0547">
      <w:pPr>
        <w:spacing w:line="240" w:lineRule="auto"/>
        <w:ind w:left="709" w:right="709"/>
        <w:contextualSpacing/>
        <w:jc w:val="both"/>
        <w:rPr>
          <w:rFonts w:ascii="Verdana" w:hAnsi="Verdana" w:cs="Arial"/>
          <w:i/>
          <w:sz w:val="20"/>
          <w:szCs w:val="20"/>
        </w:rPr>
      </w:pPr>
    </w:p>
    <w:p w14:paraId="44B4F017" w14:textId="77777777" w:rsidR="004D0547" w:rsidRPr="008C6876" w:rsidRDefault="004D0547" w:rsidP="004D0547">
      <w:pPr>
        <w:spacing w:after="0" w:line="240" w:lineRule="auto"/>
        <w:ind w:left="709" w:right="709"/>
        <w:contextualSpacing/>
        <w:jc w:val="both"/>
        <w:rPr>
          <w:rFonts w:ascii="Verdana" w:hAnsi="Verdana" w:cs="Arial"/>
          <w:sz w:val="20"/>
          <w:szCs w:val="20"/>
        </w:rPr>
      </w:pPr>
      <w:r w:rsidRPr="008C6876">
        <w:rPr>
          <w:rFonts w:ascii="Verdana" w:hAnsi="Verdana" w:cs="Arial"/>
          <w:sz w:val="20"/>
          <w:szCs w:val="20"/>
        </w:rPr>
        <w:t>Son un ejemplo de esta tesis jurisprudencial las sentencias T-102 de 2016, T-350 de 2016 y T-564 de 2017, que sostienen que en el marco de relaciones de contratos de prestación de servicios independientemente de la prueba sobre los elementos del contrato realidad, si se demuestra la necesidad de la función o continuidad del objeto del contrato, se presume que la desvinculación fue en razón del estado de embarazo, y en consecuencia, procede con todos sus efectos el numeral 2º del artículo 239 del Código Sustantivo de Trabajo</w:t>
      </w:r>
      <w:r w:rsidRPr="008C6876">
        <w:rPr>
          <w:rFonts w:ascii="Verdana" w:hAnsi="Verdana" w:cs="Arial"/>
          <w:noProof/>
          <w:sz w:val="20"/>
          <w:szCs w:val="20"/>
          <w:lang w:val="es-ES_tradnl"/>
        </w:rPr>
        <w:t>”</w:t>
      </w:r>
      <w:r w:rsidRPr="008C6876">
        <w:rPr>
          <w:rFonts w:ascii="Verdana" w:hAnsi="Verdana" w:cs="Arial"/>
          <w:sz w:val="20"/>
          <w:szCs w:val="20"/>
        </w:rPr>
        <w:t>. (Énfasis fuera del</w:t>
      </w:r>
      <w:r w:rsidRPr="008C6876">
        <w:rPr>
          <w:rFonts w:ascii="Verdana" w:hAnsi="Verdana" w:cs="Arial"/>
          <w:spacing w:val="-16"/>
          <w:sz w:val="20"/>
          <w:szCs w:val="20"/>
        </w:rPr>
        <w:t xml:space="preserve"> </w:t>
      </w:r>
      <w:r w:rsidRPr="008C6876">
        <w:rPr>
          <w:rFonts w:ascii="Verdana" w:hAnsi="Verdana" w:cs="Arial"/>
          <w:sz w:val="20"/>
          <w:szCs w:val="20"/>
        </w:rPr>
        <w:t>texto).</w:t>
      </w:r>
    </w:p>
    <w:p w14:paraId="6C6B7958" w14:textId="77777777" w:rsidR="004D0547" w:rsidRPr="008C6876" w:rsidRDefault="004D0547" w:rsidP="004D0547">
      <w:pPr>
        <w:spacing w:after="0" w:line="276" w:lineRule="auto"/>
        <w:ind w:right="709"/>
        <w:rPr>
          <w:rFonts w:ascii="Verdana" w:eastAsia="Yu Gothic UI Semibold" w:hAnsi="Verdana" w:cs="Arial"/>
          <w:b/>
          <w:lang w:eastAsia="es-CO"/>
        </w:rPr>
      </w:pPr>
    </w:p>
    <w:p w14:paraId="721B20BF" w14:textId="77777777" w:rsidR="004D0547" w:rsidRPr="008C6876" w:rsidRDefault="004D0547" w:rsidP="004D0547">
      <w:pPr>
        <w:spacing w:after="120" w:line="276" w:lineRule="auto"/>
        <w:ind w:right="108"/>
        <w:jc w:val="both"/>
        <w:rPr>
          <w:rFonts w:ascii="Verdana" w:eastAsia="Yu Gothic UI Semibold" w:hAnsi="Verdana" w:cs="Arial"/>
          <w:i/>
          <w:lang w:eastAsia="es-MX"/>
        </w:rPr>
      </w:pPr>
      <w:r w:rsidRPr="008C6876">
        <w:rPr>
          <w:rFonts w:ascii="Verdana" w:eastAsia="Yu Gothic UI Semibold" w:hAnsi="Verdana" w:cs="Arial"/>
          <w:lang w:eastAsia="es-CO"/>
        </w:rPr>
        <w:tab/>
        <w:t>Finalmente, la Corte Constitucional profirió la sentencia de unificación SU-075 de 2018, en la cual recoge, entre otras, las sentencias T-030 de 2018 y T-350 del 2016. En esta providencia, el Alto Tribunal estableció unos criterios con el fin de impedir la discriminación que puede presentarse frente a una mujer en estado de embarazo o lactancia, específicamente, respecto a la terminación o la no renovación del contrato. Dicha providencia dio paso a establecer que, el denominado</w:t>
      </w:r>
      <w:r w:rsidRPr="008C6876">
        <w:rPr>
          <w:rFonts w:ascii="Verdana" w:eastAsia="Yu Gothic UI Semibold" w:hAnsi="Verdana" w:cs="Arial"/>
          <w:i/>
          <w:lang w:eastAsia="es-CO"/>
        </w:rPr>
        <w:t xml:space="preserve"> </w:t>
      </w:r>
      <w:r w:rsidRPr="008C6876">
        <w:rPr>
          <w:rFonts w:ascii="Verdana" w:eastAsia="Yu Gothic UI Semibold" w:hAnsi="Verdana" w:cs="Arial"/>
          <w:i/>
          <w:lang w:eastAsia="es-MX"/>
        </w:rPr>
        <w:t>“</w:t>
      </w:r>
      <w:r w:rsidRPr="008C6876">
        <w:rPr>
          <w:rFonts w:ascii="Verdana" w:eastAsia="Yu Gothic UI Semibold" w:hAnsi="Verdana" w:cs="Arial"/>
          <w:i/>
          <w:lang w:eastAsia="es-CO"/>
        </w:rPr>
        <w:t>fuero de maternidad</w:t>
      </w:r>
      <w:r w:rsidRPr="008C6876">
        <w:rPr>
          <w:rFonts w:ascii="Verdana" w:eastAsia="Yu Gothic UI Semibold" w:hAnsi="Verdana" w:cs="Arial"/>
          <w:i/>
          <w:lang w:eastAsia="es-MX"/>
        </w:rPr>
        <w:t>”</w:t>
      </w:r>
      <w:r w:rsidRPr="008C6876">
        <w:rPr>
          <w:rFonts w:ascii="Verdana" w:eastAsia="Yu Gothic UI Semibold" w:hAnsi="Verdana" w:cs="Arial"/>
          <w:lang w:eastAsia="es-CO"/>
        </w:rPr>
        <w:t xml:space="preserve"> encuentra también su sustento en la cláusula general de igualdad de la Constitución </w:t>
      </w:r>
      <w:r w:rsidRPr="008C6876">
        <w:rPr>
          <w:rFonts w:ascii="Verdana" w:eastAsia="Yu Gothic UI Semibold" w:hAnsi="Verdana" w:cs="Arial"/>
          <w:i/>
          <w:lang w:eastAsia="es-MX"/>
        </w:rPr>
        <w:t>“</w:t>
      </w:r>
      <w:r w:rsidRPr="008C6876">
        <w:rPr>
          <w:rFonts w:ascii="Verdana" w:eastAsia="Yu Gothic UI Semibold" w:hAnsi="Verdana" w:cs="Arial"/>
          <w:i/>
          <w:lang w:eastAsia="es-CO"/>
        </w:rPr>
        <w:t>que proscribe la discriminación por razones de sexo, así como en el ya mencionado artículo 43 Superior, que dispone la igualdad de derechos y oportunidades entre hombres y mujeres</w:t>
      </w:r>
      <w:r w:rsidRPr="008C6876">
        <w:rPr>
          <w:rFonts w:ascii="Verdana" w:eastAsia="Yu Gothic UI Semibold" w:hAnsi="Verdana" w:cs="Arial"/>
          <w:i/>
          <w:lang w:eastAsia="es-MX"/>
        </w:rPr>
        <w:t>”</w:t>
      </w:r>
      <w:r w:rsidRPr="008C6876">
        <w:rPr>
          <w:rFonts w:ascii="Verdana" w:eastAsia="Yu Gothic UI Semibold" w:hAnsi="Verdana" w:cs="Arial"/>
          <w:i/>
          <w:vertAlign w:val="superscript"/>
          <w:lang w:eastAsia="es-MX"/>
        </w:rPr>
        <w:footnoteReference w:id="5"/>
      </w:r>
      <w:r w:rsidRPr="008C6876">
        <w:rPr>
          <w:rFonts w:ascii="Verdana" w:eastAsia="Yu Gothic UI Semibold" w:hAnsi="Verdana" w:cs="Arial"/>
          <w:i/>
          <w:lang w:eastAsia="es-MX"/>
        </w:rPr>
        <w:t xml:space="preserve">. </w:t>
      </w:r>
    </w:p>
    <w:p w14:paraId="15C4424A" w14:textId="77777777" w:rsidR="004D0547" w:rsidRPr="008C6876" w:rsidRDefault="004D0547" w:rsidP="004D0547">
      <w:pPr>
        <w:spacing w:after="0" w:line="276" w:lineRule="auto"/>
        <w:ind w:right="108" w:firstLine="708"/>
        <w:jc w:val="both"/>
        <w:rPr>
          <w:rFonts w:ascii="Verdana" w:eastAsia="Yu Gothic UI Semibold" w:hAnsi="Verdana" w:cs="Arial"/>
          <w:lang w:eastAsia="es-CO"/>
        </w:rPr>
      </w:pPr>
      <w:r w:rsidRPr="008C6876">
        <w:rPr>
          <w:rFonts w:ascii="Verdana" w:eastAsia="Yu Gothic UI Semibold" w:hAnsi="Verdana" w:cs="Arial"/>
          <w:lang w:eastAsia="es-CO"/>
        </w:rPr>
        <w:t xml:space="preserve">La sentencia citada determina el tratamiento que deberían darles las entidades a sus trabajadoras o contratistas cuando se encuentren en estado de embarazo o lactancia, estableciendo su procedencia en los siguientes términos: </w:t>
      </w:r>
    </w:p>
    <w:p w14:paraId="252FD0F3" w14:textId="77777777" w:rsidR="004D0547" w:rsidRPr="008C6876" w:rsidRDefault="004D0547" w:rsidP="004D0547">
      <w:pPr>
        <w:shd w:val="clear" w:color="auto" w:fill="FFFFFF"/>
        <w:spacing w:after="120" w:line="276" w:lineRule="auto"/>
        <w:ind w:left="709" w:right="709"/>
        <w:contextualSpacing/>
        <w:jc w:val="both"/>
        <w:rPr>
          <w:rFonts w:ascii="Verdana" w:eastAsia="Yu Gothic UI Semibold" w:hAnsi="Verdana" w:cs="Arial"/>
          <w:highlight w:val="red"/>
          <w:lang w:eastAsia="es-CO"/>
        </w:rPr>
      </w:pPr>
    </w:p>
    <w:p w14:paraId="366FB95E" w14:textId="77777777" w:rsidR="004D0547" w:rsidRPr="008C6876" w:rsidRDefault="004D0547" w:rsidP="004D0547">
      <w:pPr>
        <w:shd w:val="clear" w:color="auto" w:fill="FFFFFF"/>
        <w:spacing w:line="240" w:lineRule="auto"/>
        <w:ind w:left="709" w:right="709"/>
        <w:contextualSpacing/>
        <w:jc w:val="both"/>
        <w:rPr>
          <w:rFonts w:ascii="Verdana" w:eastAsia="Yu Gothic UI Semibold" w:hAnsi="Verdana" w:cs="Arial"/>
          <w:sz w:val="20"/>
          <w:szCs w:val="20"/>
          <w:lang w:eastAsia="es-CO"/>
        </w:rPr>
      </w:pPr>
      <w:r w:rsidRPr="008C6876">
        <w:rPr>
          <w:rFonts w:ascii="Verdana" w:eastAsia="Yu Gothic UI Semibold" w:hAnsi="Verdana" w:cs="Arial"/>
          <w:iCs/>
          <w:sz w:val="20"/>
          <w:szCs w:val="20"/>
          <w:lang w:eastAsia="es-MX"/>
        </w:rPr>
        <w:t>“</w:t>
      </w:r>
      <w:r w:rsidRPr="008C6876">
        <w:rPr>
          <w:rFonts w:ascii="Verdana" w:eastAsia="Yu Gothic UI Semibold" w:hAnsi="Verdana" w:cs="Arial"/>
          <w:sz w:val="20"/>
          <w:szCs w:val="20"/>
          <w:lang w:eastAsia="es-CO"/>
        </w:rPr>
        <w:t>La protección reforzada a la maternidad y la lactancia en el ámbito del trabajo procede cuando se demuestre, sin ninguna otra exigencia adicional, lo siguiente:</w:t>
      </w:r>
    </w:p>
    <w:p w14:paraId="772722BD" w14:textId="77777777" w:rsidR="004D0547" w:rsidRPr="008C6876" w:rsidRDefault="004D0547" w:rsidP="004D0547">
      <w:pPr>
        <w:shd w:val="clear" w:color="auto" w:fill="FFFFFF"/>
        <w:spacing w:line="240" w:lineRule="auto"/>
        <w:ind w:left="709" w:right="709"/>
        <w:contextualSpacing/>
        <w:jc w:val="both"/>
        <w:rPr>
          <w:rFonts w:ascii="Verdana" w:eastAsia="Yu Gothic UI Semibold" w:hAnsi="Verdana" w:cs="Arial"/>
          <w:sz w:val="20"/>
          <w:szCs w:val="20"/>
          <w:lang w:eastAsia="es-CO"/>
        </w:rPr>
      </w:pPr>
    </w:p>
    <w:p w14:paraId="336C9376" w14:textId="77777777" w:rsidR="004D0547" w:rsidRPr="008C6876" w:rsidRDefault="004D0547" w:rsidP="004D0547">
      <w:pPr>
        <w:shd w:val="clear" w:color="auto" w:fill="FFFFFF"/>
        <w:spacing w:line="240" w:lineRule="auto"/>
        <w:ind w:left="709" w:right="709"/>
        <w:contextualSpacing/>
        <w:jc w:val="both"/>
        <w:rPr>
          <w:rFonts w:ascii="Verdana" w:eastAsia="Yu Gothic UI Semibold" w:hAnsi="Verdana" w:cs="Arial"/>
          <w:sz w:val="20"/>
          <w:szCs w:val="20"/>
          <w:lang w:eastAsia="es-CO"/>
        </w:rPr>
      </w:pPr>
      <w:r w:rsidRPr="008C6876">
        <w:rPr>
          <w:rFonts w:ascii="Verdana" w:eastAsia="Yu Gothic UI Semibold" w:hAnsi="Verdana" w:cs="Arial"/>
          <w:sz w:val="20"/>
          <w:szCs w:val="20"/>
          <w:lang w:eastAsia="es-CO"/>
        </w:rPr>
        <w:t>(a) La existencia de una relación laboral o de prestación de servicios y;</w:t>
      </w:r>
    </w:p>
    <w:p w14:paraId="6761F7CC" w14:textId="77777777" w:rsidR="004D0547" w:rsidRPr="008C6876" w:rsidRDefault="004D0547" w:rsidP="004D0547">
      <w:pPr>
        <w:shd w:val="clear" w:color="auto" w:fill="FFFFFF"/>
        <w:spacing w:line="240" w:lineRule="auto"/>
        <w:ind w:left="709" w:right="709"/>
        <w:contextualSpacing/>
        <w:jc w:val="both"/>
        <w:rPr>
          <w:rFonts w:ascii="Verdana" w:eastAsia="Yu Gothic UI Semibold" w:hAnsi="Verdana" w:cs="Arial"/>
          <w:sz w:val="20"/>
          <w:szCs w:val="20"/>
          <w:lang w:eastAsia="es-CO"/>
        </w:rPr>
      </w:pPr>
    </w:p>
    <w:p w14:paraId="346C3676" w14:textId="77777777" w:rsidR="004D0547" w:rsidRPr="008C6876" w:rsidRDefault="004D0547" w:rsidP="004D0547">
      <w:pPr>
        <w:shd w:val="clear" w:color="auto" w:fill="FFFFFF"/>
        <w:spacing w:line="240" w:lineRule="auto"/>
        <w:ind w:left="709" w:right="709"/>
        <w:contextualSpacing/>
        <w:jc w:val="both"/>
        <w:rPr>
          <w:rFonts w:ascii="Verdana" w:eastAsia="Yu Gothic UI Semibold" w:hAnsi="Verdana" w:cs="Arial"/>
          <w:sz w:val="20"/>
          <w:szCs w:val="20"/>
          <w:lang w:eastAsia="es-CO"/>
        </w:rPr>
      </w:pPr>
      <w:r w:rsidRPr="008C6876">
        <w:rPr>
          <w:rFonts w:ascii="Verdana" w:eastAsia="Yu Gothic UI Semibold" w:hAnsi="Verdana" w:cs="Arial"/>
          <w:sz w:val="20"/>
          <w:szCs w:val="20"/>
          <w:lang w:eastAsia="es-CO"/>
        </w:rPr>
        <w:t>(b) Que la mujer se encuentra en estado de embarazo o dentro de los tres meses siguientes al parto, en vigencia de dicha relación laboral o de prestación.</w:t>
      </w:r>
    </w:p>
    <w:p w14:paraId="36720F2E" w14:textId="77777777" w:rsidR="004D0547" w:rsidRPr="008C6876" w:rsidRDefault="004D0547" w:rsidP="004D0547">
      <w:pPr>
        <w:shd w:val="clear" w:color="auto" w:fill="FFFFFF"/>
        <w:spacing w:line="240" w:lineRule="auto"/>
        <w:ind w:left="709" w:right="709"/>
        <w:contextualSpacing/>
        <w:jc w:val="both"/>
        <w:rPr>
          <w:rFonts w:ascii="Verdana" w:eastAsia="Yu Gothic UI Semibold" w:hAnsi="Verdana" w:cs="Arial"/>
          <w:sz w:val="20"/>
          <w:szCs w:val="20"/>
          <w:lang w:eastAsia="es-CO"/>
        </w:rPr>
      </w:pPr>
      <w:r w:rsidRPr="008C6876">
        <w:rPr>
          <w:rFonts w:ascii="Verdana" w:eastAsia="Yu Gothic UI Semibold" w:hAnsi="Verdana" w:cs="Arial"/>
          <w:sz w:val="20"/>
          <w:szCs w:val="20"/>
          <w:lang w:eastAsia="es-CO"/>
        </w:rPr>
        <w:t> </w:t>
      </w:r>
    </w:p>
    <w:p w14:paraId="50BD2809" w14:textId="77777777" w:rsidR="004D0547" w:rsidRPr="008C6876" w:rsidRDefault="004D0547" w:rsidP="004D0547">
      <w:pPr>
        <w:shd w:val="clear" w:color="auto" w:fill="FFFFFF"/>
        <w:spacing w:line="240" w:lineRule="auto"/>
        <w:ind w:left="709" w:right="709"/>
        <w:contextualSpacing/>
        <w:jc w:val="both"/>
        <w:rPr>
          <w:rFonts w:ascii="Verdana" w:eastAsia="Yu Gothic UI Semibold" w:hAnsi="Verdana" w:cs="Arial"/>
          <w:sz w:val="20"/>
          <w:szCs w:val="20"/>
          <w:lang w:eastAsia="es-CO"/>
        </w:rPr>
      </w:pPr>
      <w:r w:rsidRPr="008C6876">
        <w:rPr>
          <w:rFonts w:ascii="Verdana" w:eastAsia="Yu Gothic UI Semibold" w:hAnsi="Verdana" w:cs="Arial"/>
          <w:sz w:val="20"/>
          <w:szCs w:val="20"/>
          <w:lang w:eastAsia="es-CO"/>
        </w:rPr>
        <w:t>No obstante, el alcance de la protección se debe determinar a partir de dos factores:</w:t>
      </w:r>
    </w:p>
    <w:p w14:paraId="03B5B053" w14:textId="77777777" w:rsidR="004D0547" w:rsidRPr="008C6876" w:rsidRDefault="004D0547" w:rsidP="004D0547">
      <w:pPr>
        <w:shd w:val="clear" w:color="auto" w:fill="FFFFFF"/>
        <w:spacing w:line="240" w:lineRule="auto"/>
        <w:ind w:left="709" w:right="709"/>
        <w:contextualSpacing/>
        <w:jc w:val="both"/>
        <w:rPr>
          <w:rFonts w:ascii="Verdana" w:eastAsia="Yu Gothic UI Semibold" w:hAnsi="Verdana" w:cs="Arial"/>
          <w:sz w:val="20"/>
          <w:szCs w:val="20"/>
          <w:lang w:eastAsia="es-CO"/>
        </w:rPr>
      </w:pPr>
      <w:r w:rsidRPr="008C6876">
        <w:rPr>
          <w:rFonts w:ascii="Verdana" w:eastAsia="Yu Gothic UI Semibold" w:hAnsi="Verdana" w:cs="Arial"/>
          <w:sz w:val="20"/>
          <w:szCs w:val="20"/>
          <w:lang w:eastAsia="es-CO"/>
        </w:rPr>
        <w:t> </w:t>
      </w:r>
    </w:p>
    <w:p w14:paraId="6C3A0577" w14:textId="77777777" w:rsidR="004D0547" w:rsidRPr="008C6876" w:rsidRDefault="004D0547" w:rsidP="004D0547">
      <w:pPr>
        <w:shd w:val="clear" w:color="auto" w:fill="FFFFFF"/>
        <w:spacing w:line="240" w:lineRule="auto"/>
        <w:ind w:left="709" w:right="709"/>
        <w:contextualSpacing/>
        <w:jc w:val="both"/>
        <w:rPr>
          <w:rFonts w:ascii="Verdana" w:eastAsia="Yu Gothic UI Semibold" w:hAnsi="Verdana" w:cs="Arial"/>
          <w:sz w:val="20"/>
          <w:szCs w:val="20"/>
          <w:lang w:eastAsia="es-CO"/>
        </w:rPr>
      </w:pPr>
      <w:r w:rsidRPr="008C6876">
        <w:rPr>
          <w:rFonts w:ascii="Verdana" w:eastAsia="Yu Gothic UI Semibold" w:hAnsi="Verdana" w:cs="Arial"/>
          <w:sz w:val="20"/>
          <w:szCs w:val="20"/>
          <w:lang w:eastAsia="es-CO"/>
        </w:rPr>
        <w:t>(a) El conocimiento del embarazo por parte del empleador; y</w:t>
      </w:r>
    </w:p>
    <w:p w14:paraId="08F0919B" w14:textId="77777777" w:rsidR="004D0547" w:rsidRPr="008C6876" w:rsidRDefault="004D0547" w:rsidP="004D0547">
      <w:pPr>
        <w:shd w:val="clear" w:color="auto" w:fill="FFFFFF"/>
        <w:spacing w:line="240" w:lineRule="auto"/>
        <w:ind w:left="709" w:right="709"/>
        <w:contextualSpacing/>
        <w:jc w:val="both"/>
        <w:rPr>
          <w:rFonts w:ascii="Verdana" w:eastAsia="Yu Gothic UI Semibold" w:hAnsi="Verdana" w:cs="Arial"/>
          <w:sz w:val="20"/>
          <w:szCs w:val="20"/>
          <w:lang w:eastAsia="es-CO"/>
        </w:rPr>
      </w:pPr>
      <w:r w:rsidRPr="008C6876">
        <w:rPr>
          <w:rFonts w:ascii="Verdana" w:eastAsia="Yu Gothic UI Semibold" w:hAnsi="Verdana" w:cs="Arial"/>
          <w:sz w:val="20"/>
          <w:szCs w:val="20"/>
          <w:lang w:eastAsia="es-CO"/>
        </w:rPr>
        <w:t> </w:t>
      </w:r>
    </w:p>
    <w:p w14:paraId="100EA607" w14:textId="77777777" w:rsidR="004D0547" w:rsidRPr="008C6876" w:rsidRDefault="004D0547" w:rsidP="004D0547">
      <w:pPr>
        <w:shd w:val="clear" w:color="auto" w:fill="FFFFFF"/>
        <w:spacing w:line="240" w:lineRule="auto"/>
        <w:ind w:left="709" w:right="709"/>
        <w:contextualSpacing/>
        <w:jc w:val="both"/>
        <w:rPr>
          <w:rFonts w:ascii="Verdana" w:eastAsia="Yu Gothic UI Semibold" w:hAnsi="Verdana" w:cs="Arial"/>
          <w:sz w:val="20"/>
          <w:szCs w:val="20"/>
          <w:lang w:eastAsia="es-CO"/>
        </w:rPr>
      </w:pPr>
      <w:r w:rsidRPr="008C6876">
        <w:rPr>
          <w:rFonts w:ascii="Verdana" w:eastAsia="Yu Gothic UI Semibold" w:hAnsi="Verdana" w:cs="Arial"/>
          <w:sz w:val="20"/>
          <w:szCs w:val="20"/>
          <w:lang w:eastAsia="es-CO"/>
        </w:rPr>
        <w:t>(b) La alternativa laboral mediante la cual se encontraba vinculada la mujer embarazada</w:t>
      </w:r>
      <w:r w:rsidRPr="008C6876">
        <w:rPr>
          <w:rFonts w:ascii="Verdana" w:hAnsi="Verdana" w:cs="Arial"/>
          <w:noProof/>
          <w:sz w:val="20"/>
          <w:szCs w:val="20"/>
          <w:lang w:val="es-ES_tradnl"/>
        </w:rPr>
        <w:t>”.</w:t>
      </w:r>
    </w:p>
    <w:p w14:paraId="1D040F4C" w14:textId="77777777" w:rsidR="004D0547" w:rsidRPr="008C6876" w:rsidRDefault="004D0547" w:rsidP="004D0547">
      <w:pPr>
        <w:shd w:val="clear" w:color="auto" w:fill="FFFFFF"/>
        <w:spacing w:after="0" w:line="276" w:lineRule="auto"/>
        <w:ind w:right="49" w:firstLine="708"/>
        <w:jc w:val="both"/>
        <w:rPr>
          <w:rFonts w:ascii="Verdana" w:eastAsia="Yu Gothic UI Semibold" w:hAnsi="Verdana" w:cs="Arial"/>
          <w:lang w:eastAsia="es-CO"/>
        </w:rPr>
      </w:pPr>
    </w:p>
    <w:p w14:paraId="3FCB854A" w14:textId="77777777" w:rsidR="004D0547" w:rsidRPr="008C6876" w:rsidRDefault="004D0547" w:rsidP="004D0547">
      <w:pPr>
        <w:shd w:val="clear" w:color="auto" w:fill="FFFFFF"/>
        <w:spacing w:after="0" w:line="276" w:lineRule="auto"/>
        <w:ind w:right="51" w:firstLine="709"/>
        <w:jc w:val="both"/>
        <w:rPr>
          <w:rFonts w:ascii="Verdana" w:eastAsia="Yu Gothic UI Semibold" w:hAnsi="Verdana" w:cs="Arial"/>
          <w:lang w:eastAsia="es-CO"/>
        </w:rPr>
      </w:pPr>
      <w:r w:rsidRPr="008C6876">
        <w:rPr>
          <w:rFonts w:ascii="Verdana" w:eastAsia="Yu Gothic UI Semibold" w:hAnsi="Verdana" w:cs="Arial"/>
          <w:lang w:eastAsia="es-CO"/>
        </w:rPr>
        <w:t xml:space="preserve">Como se evidencia en el texto referido, el criterio de la Corte establece que solo se requiere acreditar la relación laboral o la existencia de un contrato de prestación de servicios y el estado de embarazo o lactancia para acceder a la protección denominada estabilidad ocupacional reforzada de mujer embarazada y en los tres (3) meses siguientes al parto. Para el caso concreto de los contratos de prestación de servicios, la sentencia en mención determina:   </w:t>
      </w:r>
    </w:p>
    <w:p w14:paraId="7DC547F0" w14:textId="77777777" w:rsidR="004D0547" w:rsidRPr="008C6876" w:rsidRDefault="004D0547" w:rsidP="004D0547">
      <w:pPr>
        <w:shd w:val="clear" w:color="auto" w:fill="FFFFFF"/>
        <w:spacing w:after="0" w:line="276" w:lineRule="auto"/>
        <w:ind w:left="709" w:right="49"/>
        <w:jc w:val="both"/>
        <w:rPr>
          <w:rFonts w:ascii="Verdana" w:eastAsia="Yu Gothic UI Semibold" w:hAnsi="Verdana" w:cs="Arial"/>
          <w:lang w:eastAsia="es-CO"/>
        </w:rPr>
      </w:pPr>
    </w:p>
    <w:p w14:paraId="1465BD26" w14:textId="77777777" w:rsidR="004D0547" w:rsidRPr="008C6876" w:rsidRDefault="004D0547" w:rsidP="004D0547">
      <w:pPr>
        <w:shd w:val="clear" w:color="auto" w:fill="FFFFFF"/>
        <w:spacing w:line="240" w:lineRule="auto"/>
        <w:ind w:left="709" w:right="709"/>
        <w:contextualSpacing/>
        <w:jc w:val="both"/>
        <w:rPr>
          <w:rFonts w:ascii="Verdana" w:hAnsi="Verdana" w:cs="Arial"/>
          <w:noProof/>
          <w:sz w:val="20"/>
          <w:szCs w:val="20"/>
          <w:lang w:val="es-ES_tradnl"/>
        </w:rPr>
      </w:pPr>
      <w:r w:rsidRPr="008C6876">
        <w:rPr>
          <w:rFonts w:ascii="Verdana" w:eastAsia="Yu Gothic UI Semibold" w:hAnsi="Verdana" w:cs="Arial"/>
          <w:iCs/>
          <w:sz w:val="20"/>
          <w:szCs w:val="20"/>
          <w:lang w:eastAsia="es-MX"/>
        </w:rPr>
        <w:t>“</w:t>
      </w:r>
      <w:r w:rsidRPr="008C6876">
        <w:rPr>
          <w:rFonts w:ascii="Verdana" w:eastAsia="Yu Gothic UI Semibold" w:hAnsi="Verdana" w:cs="Arial"/>
          <w:sz w:val="20"/>
          <w:szCs w:val="20"/>
          <w:lang w:eastAsia="es-CO"/>
        </w:rPr>
        <w:t>[…] en el supuesto en que la trabajadora gestante o lactante haya estado vinculada mediante un contrato de prestación de servicios y logre demostrar la existencia de un contrato realidad, se deberán aplicar las reglas propuestas para los contratos a término fijo, toda vez que, “dentro las características del contrato de prestación de servicios, según lo ha entendido esta Corporación, se encuentran que se trata de un contrato temporal, cuya duración es por un tiempo limitado, que es además el indispensable para ejecutar el objeto contractual convenido […]</w:t>
      </w:r>
      <w:r w:rsidRPr="008C6876">
        <w:rPr>
          <w:rFonts w:ascii="Verdana" w:hAnsi="Verdana" w:cs="Arial"/>
          <w:noProof/>
          <w:sz w:val="20"/>
          <w:szCs w:val="20"/>
          <w:lang w:val="es-ES_tradnl"/>
        </w:rPr>
        <w:t>”.</w:t>
      </w:r>
    </w:p>
    <w:p w14:paraId="1E161121" w14:textId="77777777" w:rsidR="004D0547" w:rsidRPr="008C6876" w:rsidRDefault="004D0547" w:rsidP="004D0547">
      <w:pPr>
        <w:shd w:val="clear" w:color="auto" w:fill="FFFFFF"/>
        <w:spacing w:line="240" w:lineRule="auto"/>
        <w:ind w:right="709"/>
        <w:contextualSpacing/>
        <w:jc w:val="both"/>
        <w:rPr>
          <w:rFonts w:ascii="Verdana" w:hAnsi="Verdana" w:cs="Arial"/>
          <w:noProof/>
          <w:lang w:val="es-ES_tradnl"/>
        </w:rPr>
      </w:pPr>
    </w:p>
    <w:p w14:paraId="4F9BECEA" w14:textId="77777777" w:rsidR="004D0547" w:rsidRPr="008C6876" w:rsidRDefault="004D0547" w:rsidP="004D0547">
      <w:pPr>
        <w:shd w:val="clear" w:color="auto" w:fill="FFFFFF"/>
        <w:spacing w:after="120" w:line="276" w:lineRule="auto"/>
        <w:jc w:val="both"/>
        <w:rPr>
          <w:rFonts w:ascii="Verdana" w:eastAsia="Yu Gothic UI Semibold" w:hAnsi="Verdana" w:cs="Arial"/>
          <w:lang w:eastAsia="es-CO"/>
        </w:rPr>
      </w:pPr>
      <w:r w:rsidRPr="008C6876">
        <w:rPr>
          <w:rFonts w:ascii="Verdana" w:hAnsi="Verdana" w:cs="Arial"/>
          <w:noProof/>
          <w:lang w:val="es-ES_tradnl"/>
        </w:rPr>
        <w:tab/>
        <w:t>Conforme a lo anterior, la Corte Constitucional ha expuesto dos (2) posiciones frente a los cuales opera la protección del denominado fuero de maternidad de mujeres vinculadas por medio de un contrato de prestación de servicios: i) cuando el juez prueba la configur</w:t>
      </w:r>
      <w:r>
        <w:rPr>
          <w:rFonts w:ascii="Verdana" w:hAnsi="Verdana" w:cs="Arial"/>
          <w:noProof/>
          <w:lang w:val="es-ES_tradnl"/>
        </w:rPr>
        <w:t>a</w:t>
      </w:r>
      <w:r w:rsidRPr="008C6876">
        <w:rPr>
          <w:rFonts w:ascii="Verdana" w:hAnsi="Verdana" w:cs="Arial"/>
          <w:noProof/>
          <w:lang w:val="es-ES_tradnl"/>
        </w:rPr>
        <w:t>ción de un contrato realidad en el contrato de prestación de servicios, porque concurren los siguientes elementos: a) el salario, b) la continua subordinación o dependencia y c) la prestación personal del servicio; y además, ii) cuando a pesar de no probarse la configuración de un contrato realidad la terminación del contrato de prestación de servicios se fundamenta en criterios discriminatorios, y no en motivos objetivos.</w:t>
      </w:r>
    </w:p>
    <w:p w14:paraId="2BDCA340" w14:textId="77777777" w:rsidR="004D0547" w:rsidRPr="008C6876" w:rsidRDefault="004D0547" w:rsidP="004D0547">
      <w:pPr>
        <w:tabs>
          <w:tab w:val="left" w:pos="0"/>
        </w:tabs>
        <w:spacing w:after="120" w:line="276" w:lineRule="auto"/>
        <w:jc w:val="both"/>
        <w:rPr>
          <w:rFonts w:ascii="Verdana" w:hAnsi="Verdana" w:cs="Arial"/>
        </w:rPr>
      </w:pPr>
      <w:r w:rsidRPr="008C6876">
        <w:rPr>
          <w:rFonts w:ascii="Verdana" w:hAnsi="Verdana" w:cs="Arial"/>
        </w:rPr>
        <w:tab/>
        <w:t>Asimismo, se resalta que el Alto Tribunal Constitucional, en la sentencia T-743 de 2017, reiteró que la protección a la mujer en estado de embarazo y en periodo de lactancia está sustentada en cuatro presupuestos de origen constitucional: i) el deber de protección especial a la mujer gestante, ii) la contención de prácticas discriminatorias en el escenario laboral contra la mujer con ocasión del estado de embarazo, iii) la protección a la vida y a la mujer como su gestora y iv) la relevancia de la familia en el ordenamiento social colombiano.</w:t>
      </w:r>
    </w:p>
    <w:p w14:paraId="4A6FAAB6" w14:textId="77777777" w:rsidR="004D0547" w:rsidRPr="008C6876" w:rsidRDefault="004D0547" w:rsidP="004D0547">
      <w:pPr>
        <w:widowControl w:val="0"/>
        <w:autoSpaceDE w:val="0"/>
        <w:autoSpaceDN w:val="0"/>
        <w:spacing w:after="0" w:line="276" w:lineRule="auto"/>
        <w:ind w:firstLine="709"/>
        <w:jc w:val="both"/>
        <w:rPr>
          <w:rFonts w:ascii="Verdana" w:eastAsia="Arial" w:hAnsi="Verdana" w:cs="Arial"/>
          <w:lang w:val="es-ES"/>
        </w:rPr>
      </w:pPr>
      <w:r w:rsidRPr="008C6876">
        <w:rPr>
          <w:rFonts w:ascii="Verdana" w:eastAsia="Arial" w:hAnsi="Verdana" w:cs="Arial"/>
          <w:lang w:val="es-ES"/>
        </w:rPr>
        <w:t xml:space="preserve">Adicionalmente, la Corte Constitucional profirió la sentencia T-329 de 2022, con ponencia de la magistrada </w:t>
      </w:r>
      <w:r w:rsidRPr="008C6876">
        <w:rPr>
          <w:rFonts w:ascii="Verdana" w:hAnsi="Verdana" w:cs="Arial"/>
        </w:rPr>
        <w:t>Natalia Ángel Cabo</w:t>
      </w:r>
      <w:r w:rsidRPr="008C6876">
        <w:rPr>
          <w:rFonts w:ascii="Verdana" w:eastAsia="Arial" w:hAnsi="Verdana" w:cs="Arial"/>
          <w:lang w:val="es-ES"/>
        </w:rPr>
        <w:t xml:space="preserve">, en la cual reiteró el precedente sobre </w:t>
      </w:r>
      <w:bookmarkStart w:id="2" w:name="_Hlk108422441"/>
      <w:r w:rsidRPr="008C6876">
        <w:rPr>
          <w:rFonts w:ascii="Verdana" w:eastAsia="Arial" w:hAnsi="Verdana" w:cs="Arial"/>
          <w:lang w:val="es-ES"/>
        </w:rPr>
        <w:t>la protección de la mujer embarazada y en período de lactancia en contratos de prestación de servicios</w:t>
      </w:r>
      <w:bookmarkEnd w:id="2"/>
      <w:r w:rsidRPr="008C6876">
        <w:rPr>
          <w:rFonts w:ascii="Verdana" w:eastAsia="Arial" w:hAnsi="Verdana" w:cs="Arial"/>
          <w:lang w:val="es-ES"/>
        </w:rPr>
        <w:t xml:space="preserve"> establecido en la Sentencia S-070 de 2013, al indicar lo siguiente: </w:t>
      </w:r>
    </w:p>
    <w:p w14:paraId="38F4E780" w14:textId="77777777" w:rsidR="004D0547" w:rsidRPr="008C6876" w:rsidRDefault="004D0547" w:rsidP="004D0547">
      <w:pPr>
        <w:widowControl w:val="0"/>
        <w:autoSpaceDE w:val="0"/>
        <w:autoSpaceDN w:val="0"/>
        <w:spacing w:after="0" w:line="276" w:lineRule="auto"/>
        <w:ind w:firstLine="709"/>
        <w:contextualSpacing/>
        <w:jc w:val="both"/>
        <w:rPr>
          <w:rFonts w:ascii="Verdana" w:eastAsia="Arial" w:hAnsi="Verdana" w:cs="Arial"/>
          <w:lang w:val="es-ES"/>
        </w:rPr>
      </w:pPr>
    </w:p>
    <w:p w14:paraId="2661FC1C" w14:textId="77777777" w:rsidR="004D0547" w:rsidRPr="008C6876" w:rsidRDefault="004D0547" w:rsidP="004D0547">
      <w:pPr>
        <w:spacing w:after="0" w:line="240" w:lineRule="auto"/>
        <w:ind w:left="709" w:right="709"/>
        <w:contextualSpacing/>
        <w:jc w:val="both"/>
        <w:rPr>
          <w:rFonts w:ascii="Verdana" w:eastAsia="Times New Roman" w:hAnsi="Verdana" w:cs="Arial"/>
          <w:sz w:val="21"/>
          <w:szCs w:val="21"/>
          <w:lang w:eastAsia="es-ES"/>
        </w:rPr>
      </w:pPr>
      <w:r w:rsidRPr="008C6876">
        <w:rPr>
          <w:rFonts w:ascii="Verdana" w:eastAsia="Yu Gothic UI Semibold" w:hAnsi="Verdana" w:cs="Arial"/>
          <w:iCs/>
          <w:sz w:val="21"/>
          <w:szCs w:val="21"/>
          <w:lang w:eastAsia="es-MX"/>
        </w:rPr>
        <w:t>“</w:t>
      </w:r>
      <w:r w:rsidRPr="008C6876">
        <w:rPr>
          <w:rFonts w:ascii="Verdana" w:eastAsia="Yu Gothic UI Semibold" w:hAnsi="Verdana" w:cs="Arial"/>
          <w:sz w:val="21"/>
          <w:szCs w:val="21"/>
          <w:lang w:eastAsia="es-CO"/>
        </w:rPr>
        <w:t xml:space="preserve">[…] </w:t>
      </w:r>
      <w:r w:rsidRPr="008C6876">
        <w:rPr>
          <w:rFonts w:ascii="Verdana" w:eastAsia="Times New Roman" w:hAnsi="Verdana" w:cs="Arial"/>
          <w:sz w:val="21"/>
          <w:szCs w:val="21"/>
          <w:lang w:eastAsia="es-ES"/>
        </w:rPr>
        <w:t xml:space="preserve">En la Sentencia SU-070 de 2013, la Corte reconoció la protección de la mujer embarazada en otras alternativas laborales. En relación con el contrato de prestación de servicios indicó que el juez de tutela debe evaluar si existe un inminente riesgo de afectación al mínimo vital o a otros derechos fundamentales de la accionante. En caso afirmativo, el juez de tutela está obligado a evaluar las circunstancias fácticas particulares para determinar si tras esa figura contractual está oculta </w:t>
      </w:r>
      <w:r w:rsidRPr="008C6876">
        <w:rPr>
          <w:rFonts w:ascii="Verdana" w:eastAsia="Times New Roman" w:hAnsi="Verdana" w:cs="Arial"/>
          <w:sz w:val="21"/>
          <w:szCs w:val="21"/>
          <w:lang w:eastAsia="es-ES"/>
        </w:rPr>
        <w:lastRenderedPageBreak/>
        <w:t>una relación laboral o si efectivamente se trata de un contrato de prestación de servicios. En los casos en los que se encuentre que el contrato de prestación de servicios oculta una relación laboral, se deben aplicar las reglas establecidas para el contrato laboral a término fijo</w:t>
      </w:r>
      <w:r w:rsidRPr="008C6876">
        <w:rPr>
          <w:rFonts w:ascii="Verdana" w:eastAsia="Times New Roman" w:hAnsi="Verdana" w:cs="Arial"/>
          <w:noProof/>
          <w:sz w:val="21"/>
          <w:szCs w:val="21"/>
          <w:lang w:val="es-ES_tradnl" w:eastAsia="es-ES"/>
        </w:rPr>
        <w:t>”.</w:t>
      </w:r>
    </w:p>
    <w:p w14:paraId="18117326" w14:textId="77777777" w:rsidR="004D0547" w:rsidRPr="008C6876" w:rsidRDefault="004D0547" w:rsidP="004D0547">
      <w:pPr>
        <w:widowControl w:val="0"/>
        <w:autoSpaceDE w:val="0"/>
        <w:autoSpaceDN w:val="0"/>
        <w:spacing w:after="0" w:line="276" w:lineRule="auto"/>
        <w:ind w:firstLine="709"/>
        <w:jc w:val="both"/>
        <w:rPr>
          <w:rFonts w:ascii="Verdana" w:eastAsia="Arial" w:hAnsi="Verdana" w:cs="Arial"/>
          <w:lang w:val="es-ES"/>
        </w:rPr>
      </w:pPr>
    </w:p>
    <w:p w14:paraId="707B3C63" w14:textId="77777777" w:rsidR="004D0547" w:rsidRPr="008C6876" w:rsidRDefault="004D0547" w:rsidP="004D0547">
      <w:pPr>
        <w:widowControl w:val="0"/>
        <w:autoSpaceDE w:val="0"/>
        <w:autoSpaceDN w:val="0"/>
        <w:spacing w:after="120" w:line="276" w:lineRule="auto"/>
        <w:ind w:firstLine="709"/>
        <w:jc w:val="both"/>
        <w:rPr>
          <w:rFonts w:ascii="Verdana" w:hAnsi="Verdana" w:cs="Arial"/>
          <w:shd w:val="clear" w:color="auto" w:fill="FFFFFF"/>
        </w:rPr>
      </w:pPr>
      <w:r w:rsidRPr="008C6876">
        <w:rPr>
          <w:rFonts w:ascii="Verdana" w:eastAsia="Arial" w:hAnsi="Verdana" w:cs="Arial"/>
          <w:lang w:val="es-ES"/>
        </w:rPr>
        <w:t xml:space="preserve">En dicha providencia la Corte consideró que, </w:t>
      </w:r>
      <w:r w:rsidRPr="008C6876">
        <w:rPr>
          <w:rFonts w:ascii="Verdana" w:hAnsi="Verdana" w:cs="Arial"/>
        </w:rPr>
        <w:t xml:space="preserve">en los casos de vinculación mediante contrato de prestación de servicios, aun cuando en el trámite de tutela no se logren acreditar los elementos del contrato realidad, hay lugar a la protección derivada de del fuero de maternidad. Lo anterior, en palabras de la Corte encuentra sustento en las siguientes razones: </w:t>
      </w:r>
      <w:r w:rsidRPr="008C6876">
        <w:rPr>
          <w:rFonts w:ascii="Verdana" w:eastAsia="Yu Gothic UI Semibold" w:hAnsi="Verdana" w:cs="Arial"/>
          <w:iCs/>
          <w:lang w:eastAsia="es-MX"/>
        </w:rPr>
        <w:t>“</w:t>
      </w:r>
      <w:r w:rsidRPr="008C6876">
        <w:rPr>
          <w:rFonts w:ascii="Verdana" w:hAnsi="Verdana" w:cs="Arial"/>
        </w:rPr>
        <w:t xml:space="preserve">(i) la protección de la mujer gestante o en periodo de lactancia se deriva de, entre otros, los artículos 43, 53 y 13 de la Constitución Nacional; (ii) la Sentencia SU-070 de 2013 reiteró la protección a la mujer embarazada en todas las alternativas laborales o de trabajo en las que se incluye el contrato de prestación de servicios; (iii) la Sentencia SU-075 de 2018 reiteró que las condiciones para la protección de la mujer embarazada son la existencia de una relación laboral o de prestación de servicios y que </w:t>
      </w:r>
      <w:r w:rsidRPr="008C6876">
        <w:rPr>
          <w:rFonts w:ascii="Verdana" w:hAnsi="Verdana" w:cs="Arial"/>
          <w:shd w:val="clear" w:color="auto" w:fill="FFFFFF"/>
        </w:rPr>
        <w:t>la mujer se encuentre en estado de embarazo o dentro de los tres meses siguientes al parto, en vigencia de dicha relación laboral o de prestación de servicios</w:t>
      </w:r>
      <w:r w:rsidRPr="008C6876">
        <w:rPr>
          <w:rFonts w:ascii="Verdana" w:hAnsi="Verdana" w:cs="Arial"/>
        </w:rPr>
        <w:t xml:space="preserve">; y (iv) las salas de revisión de la Corte Constitucional </w:t>
      </w:r>
      <w:r w:rsidRPr="008C6876">
        <w:rPr>
          <w:rFonts w:ascii="Verdana" w:hAnsi="Verdana" w:cs="Arial"/>
          <w:shd w:val="clear" w:color="auto" w:fill="FFFFFF"/>
        </w:rPr>
        <w:t>reconocen la protección derivada del fuero de maternidad en los contratos de prestación de servicios</w:t>
      </w:r>
      <w:r w:rsidRPr="008C6876">
        <w:rPr>
          <w:rFonts w:ascii="Verdana" w:hAnsi="Verdana" w:cs="Arial"/>
          <w:noProof/>
          <w:lang w:val="es-ES_tradnl"/>
        </w:rPr>
        <w:t>”</w:t>
      </w:r>
      <w:r w:rsidRPr="008C6876">
        <w:rPr>
          <w:rFonts w:ascii="Verdana" w:hAnsi="Verdana" w:cs="Arial"/>
          <w:noProof/>
          <w:vertAlign w:val="superscript"/>
          <w:lang w:val="es-ES_tradnl"/>
        </w:rPr>
        <w:footnoteReference w:id="6"/>
      </w:r>
      <w:r w:rsidRPr="008C6876">
        <w:rPr>
          <w:rFonts w:ascii="Verdana" w:hAnsi="Verdana" w:cs="Arial"/>
          <w:shd w:val="clear" w:color="auto" w:fill="FFFFFF"/>
        </w:rPr>
        <w:t xml:space="preserve">. </w:t>
      </w:r>
    </w:p>
    <w:p w14:paraId="42C89C06" w14:textId="77777777" w:rsidR="004D0547" w:rsidRPr="008C6876" w:rsidRDefault="004D0547" w:rsidP="004D0547">
      <w:pPr>
        <w:widowControl w:val="0"/>
        <w:autoSpaceDE w:val="0"/>
        <w:autoSpaceDN w:val="0"/>
        <w:spacing w:after="0" w:line="276" w:lineRule="auto"/>
        <w:ind w:firstLine="709"/>
        <w:jc w:val="both"/>
        <w:rPr>
          <w:rFonts w:ascii="Verdana" w:hAnsi="Verdana" w:cs="Arial"/>
          <w:shd w:val="clear" w:color="auto" w:fill="FFFFFF"/>
        </w:rPr>
      </w:pPr>
      <w:r w:rsidRPr="008C6876">
        <w:rPr>
          <w:rFonts w:ascii="Verdana" w:hAnsi="Verdana" w:cs="Arial"/>
          <w:shd w:val="clear" w:color="auto" w:fill="FFFFFF"/>
        </w:rPr>
        <w:t xml:space="preserve">En línea con lo anterior, resulta relevante relacionar las reglas establecidas en la jurisprudencia constitucional para la protección de las mujeres vinculadas mediante contrato de prestación de servicios a quienes no se les renueva dicho contrato mientras se encuentran en estado de embarazo o lactancia: </w:t>
      </w:r>
    </w:p>
    <w:p w14:paraId="251667F9" w14:textId="77777777" w:rsidR="004D0547" w:rsidRPr="008C6876" w:rsidRDefault="004D0547" w:rsidP="004D0547">
      <w:pPr>
        <w:widowControl w:val="0"/>
        <w:autoSpaceDE w:val="0"/>
        <w:autoSpaceDN w:val="0"/>
        <w:spacing w:after="0" w:line="276" w:lineRule="auto"/>
        <w:ind w:firstLine="709"/>
        <w:jc w:val="both"/>
        <w:rPr>
          <w:rFonts w:ascii="Verdana" w:hAnsi="Verdana" w:cs="Arial"/>
          <w:shd w:val="clear" w:color="auto" w:fill="FFFFFF"/>
        </w:rPr>
      </w:pPr>
    </w:p>
    <w:tbl>
      <w:tblPr>
        <w:tblStyle w:val="Tablaconcuadrcula"/>
        <w:tblW w:w="5000" w:type="pct"/>
        <w:tblLook w:val="04A0" w:firstRow="1" w:lastRow="0" w:firstColumn="1" w:lastColumn="0" w:noHBand="0" w:noVBand="1"/>
      </w:tblPr>
      <w:tblGrid>
        <w:gridCol w:w="2548"/>
        <w:gridCol w:w="6280"/>
      </w:tblGrid>
      <w:tr w:rsidR="004D0547" w:rsidRPr="008C6876" w14:paraId="260754C0" w14:textId="77777777" w:rsidTr="00CD4AEA">
        <w:tc>
          <w:tcPr>
            <w:tcW w:w="1443" w:type="pct"/>
            <w:shd w:val="clear" w:color="auto" w:fill="D9E2F3" w:themeFill="accent1" w:themeFillTint="33"/>
            <w:vAlign w:val="center"/>
          </w:tcPr>
          <w:p w14:paraId="679F9478" w14:textId="77777777" w:rsidR="004D0547" w:rsidRPr="008C6876" w:rsidRDefault="004D0547" w:rsidP="00CD4AEA">
            <w:pPr>
              <w:jc w:val="center"/>
              <w:rPr>
                <w:rFonts w:ascii="Verdana" w:hAnsi="Verdana" w:cs="Arial"/>
                <w:b/>
                <w:bCs/>
                <w:sz w:val="21"/>
                <w:szCs w:val="21"/>
                <w:lang w:val="es-MX"/>
              </w:rPr>
            </w:pPr>
            <w:r w:rsidRPr="008C6876">
              <w:rPr>
                <w:rFonts w:ascii="Verdana" w:hAnsi="Verdana" w:cs="Arial"/>
                <w:b/>
                <w:bCs/>
                <w:sz w:val="21"/>
                <w:szCs w:val="21"/>
                <w:lang w:val="es-MX"/>
              </w:rPr>
              <w:t>Tipo de relación material</w:t>
            </w:r>
          </w:p>
        </w:tc>
        <w:tc>
          <w:tcPr>
            <w:tcW w:w="3557" w:type="pct"/>
            <w:shd w:val="clear" w:color="auto" w:fill="D9E2F3" w:themeFill="accent1" w:themeFillTint="33"/>
            <w:vAlign w:val="center"/>
          </w:tcPr>
          <w:p w14:paraId="700FB7B4" w14:textId="77777777" w:rsidR="004D0547" w:rsidRPr="008C6876" w:rsidRDefault="004D0547" w:rsidP="00CD4AEA">
            <w:pPr>
              <w:jc w:val="center"/>
              <w:rPr>
                <w:rFonts w:ascii="Verdana" w:hAnsi="Verdana" w:cs="Arial"/>
                <w:b/>
                <w:bCs/>
                <w:sz w:val="21"/>
                <w:szCs w:val="21"/>
                <w:lang w:val="es-MX"/>
              </w:rPr>
            </w:pPr>
            <w:r w:rsidRPr="008C6876">
              <w:rPr>
                <w:rFonts w:ascii="Verdana" w:hAnsi="Verdana" w:cs="Arial"/>
                <w:b/>
                <w:bCs/>
                <w:sz w:val="21"/>
                <w:szCs w:val="21"/>
                <w:lang w:val="es-MX"/>
              </w:rPr>
              <w:t>Alcance de la protección</w:t>
            </w:r>
          </w:p>
        </w:tc>
      </w:tr>
      <w:tr w:rsidR="004D0547" w:rsidRPr="008C6876" w14:paraId="038CF02E" w14:textId="77777777" w:rsidTr="00CD4AEA">
        <w:tc>
          <w:tcPr>
            <w:tcW w:w="1443" w:type="pct"/>
            <w:tcBorders>
              <w:bottom w:val="single" w:sz="4" w:space="0" w:color="auto"/>
            </w:tcBorders>
            <w:vAlign w:val="center"/>
          </w:tcPr>
          <w:p w14:paraId="024B1402" w14:textId="77777777" w:rsidR="004D0547" w:rsidRPr="008C6876" w:rsidRDefault="004D0547" w:rsidP="00CD4AEA">
            <w:pPr>
              <w:jc w:val="center"/>
              <w:rPr>
                <w:rFonts w:ascii="Verdana" w:hAnsi="Verdana" w:cs="Arial"/>
                <w:b/>
                <w:bCs/>
                <w:sz w:val="21"/>
                <w:szCs w:val="21"/>
                <w:lang w:val="es-MX"/>
              </w:rPr>
            </w:pPr>
            <w:r w:rsidRPr="008C6876">
              <w:rPr>
                <w:rFonts w:ascii="Verdana" w:hAnsi="Verdana" w:cs="Arial"/>
                <w:b/>
                <w:bCs/>
                <w:sz w:val="21"/>
                <w:szCs w:val="21"/>
                <w:lang w:val="es-MX"/>
              </w:rPr>
              <w:t>Se configura un contrato realidad</w:t>
            </w:r>
          </w:p>
        </w:tc>
        <w:tc>
          <w:tcPr>
            <w:tcW w:w="3557" w:type="pct"/>
          </w:tcPr>
          <w:p w14:paraId="154B446E" w14:textId="77777777" w:rsidR="004D0547" w:rsidRPr="008C6876" w:rsidRDefault="004D0547" w:rsidP="00CD4AEA">
            <w:pPr>
              <w:jc w:val="both"/>
              <w:rPr>
                <w:rFonts w:ascii="Verdana" w:hAnsi="Verdana" w:cs="Arial"/>
                <w:sz w:val="21"/>
                <w:szCs w:val="21"/>
                <w:lang w:val="es-MX"/>
              </w:rPr>
            </w:pPr>
            <w:r w:rsidRPr="008C6876">
              <w:rPr>
                <w:rFonts w:ascii="Verdana" w:hAnsi="Verdana" w:cs="Arial"/>
                <w:sz w:val="21"/>
                <w:szCs w:val="21"/>
                <w:lang w:val="es-MX"/>
              </w:rPr>
              <w:t>El juez de tutela deberá aplicar las reglas establecidas para el contrato laboral a término fijo, debido a que este contrato, por sus características de temporalidad, es el que mejor se asemeja al contrato de prestación de servicios</w:t>
            </w:r>
            <w:r w:rsidRPr="008C6876">
              <w:rPr>
                <w:rFonts w:ascii="Verdana" w:hAnsi="Verdana" w:cs="Arial"/>
                <w:sz w:val="21"/>
                <w:szCs w:val="21"/>
                <w:vertAlign w:val="superscript"/>
                <w:lang w:val="es-MX"/>
              </w:rPr>
              <w:t xml:space="preserve"> </w:t>
            </w:r>
            <w:r w:rsidRPr="008C6876">
              <w:rPr>
                <w:rFonts w:ascii="Verdana" w:hAnsi="Verdana" w:cs="Arial"/>
                <w:sz w:val="21"/>
                <w:szCs w:val="21"/>
                <w:vertAlign w:val="superscript"/>
                <w:lang w:val="es-MX"/>
              </w:rPr>
              <w:footnoteReference w:id="7"/>
            </w:r>
            <w:r w:rsidRPr="008C6876">
              <w:rPr>
                <w:rFonts w:ascii="Verdana" w:hAnsi="Verdana" w:cs="Arial"/>
                <w:sz w:val="21"/>
                <w:szCs w:val="21"/>
                <w:lang w:val="es-MX"/>
              </w:rPr>
              <w:t>.</w:t>
            </w:r>
          </w:p>
        </w:tc>
      </w:tr>
      <w:tr w:rsidR="004D0547" w:rsidRPr="008C6876" w14:paraId="1E648F90" w14:textId="77777777" w:rsidTr="00CD4AEA">
        <w:trPr>
          <w:trHeight w:val="269"/>
        </w:trPr>
        <w:tc>
          <w:tcPr>
            <w:tcW w:w="1443" w:type="pct"/>
            <w:tcBorders>
              <w:top w:val="single" w:sz="4" w:space="0" w:color="auto"/>
              <w:left w:val="single" w:sz="4" w:space="0" w:color="auto"/>
              <w:bottom w:val="single" w:sz="4" w:space="0" w:color="auto"/>
              <w:right w:val="single" w:sz="4" w:space="0" w:color="auto"/>
            </w:tcBorders>
            <w:vAlign w:val="center"/>
          </w:tcPr>
          <w:p w14:paraId="50E6D260" w14:textId="77777777" w:rsidR="004D0547" w:rsidRPr="008C6876" w:rsidRDefault="004D0547" w:rsidP="00CD4AEA">
            <w:pPr>
              <w:jc w:val="center"/>
              <w:rPr>
                <w:rFonts w:ascii="Verdana" w:hAnsi="Verdana" w:cs="Arial"/>
                <w:b/>
                <w:bCs/>
                <w:sz w:val="21"/>
                <w:szCs w:val="21"/>
                <w:lang w:val="es-MX"/>
              </w:rPr>
            </w:pPr>
            <w:r w:rsidRPr="008C6876">
              <w:rPr>
                <w:rFonts w:ascii="Verdana" w:hAnsi="Verdana" w:cs="Arial"/>
                <w:b/>
                <w:bCs/>
                <w:sz w:val="21"/>
                <w:szCs w:val="21"/>
                <w:lang w:val="es-MX"/>
              </w:rPr>
              <w:t>No se configura un contrato realidad</w:t>
            </w:r>
          </w:p>
        </w:tc>
        <w:tc>
          <w:tcPr>
            <w:tcW w:w="3557" w:type="pct"/>
            <w:tcBorders>
              <w:left w:val="single" w:sz="4" w:space="0" w:color="auto"/>
            </w:tcBorders>
            <w:vAlign w:val="center"/>
          </w:tcPr>
          <w:p w14:paraId="42219985" w14:textId="77777777" w:rsidR="004D0547" w:rsidRPr="008C6876" w:rsidRDefault="004D0547" w:rsidP="00CD4AEA">
            <w:pPr>
              <w:jc w:val="both"/>
              <w:rPr>
                <w:rFonts w:ascii="Verdana" w:hAnsi="Verdana" w:cs="Arial"/>
                <w:sz w:val="21"/>
                <w:szCs w:val="21"/>
                <w:lang w:val="es-MX"/>
              </w:rPr>
            </w:pPr>
            <w:r w:rsidRPr="008C6876">
              <w:rPr>
                <w:rFonts w:ascii="Verdana" w:hAnsi="Verdana" w:cs="Arial"/>
                <w:sz w:val="21"/>
                <w:szCs w:val="21"/>
                <w:lang w:val="es-MX"/>
              </w:rPr>
              <w:t xml:space="preserve">Si (i) el contratante conoce el estado de embarazo de la contratista, (ii) subsiste la causa del contrato y (iii) no </w:t>
            </w:r>
            <w:r w:rsidRPr="008C6876">
              <w:rPr>
                <w:rFonts w:ascii="Verdana" w:hAnsi="Verdana" w:cs="Arial"/>
                <w:sz w:val="21"/>
                <w:szCs w:val="21"/>
                <w:lang w:val="es-MX"/>
              </w:rPr>
              <w:lastRenderedPageBreak/>
              <w:t>cuenta con permiso del inspector del trabajo para terminar el contrato, el juez deberá ordenar:</w:t>
            </w:r>
          </w:p>
          <w:p w14:paraId="1E0B6BB2" w14:textId="77777777" w:rsidR="004D0547" w:rsidRPr="008C6876" w:rsidRDefault="004D0547" w:rsidP="00CD4AEA">
            <w:pPr>
              <w:rPr>
                <w:rFonts w:ascii="Verdana" w:hAnsi="Verdana" w:cs="Arial"/>
                <w:sz w:val="21"/>
                <w:szCs w:val="21"/>
                <w:lang w:val="es-MX"/>
              </w:rPr>
            </w:pPr>
          </w:p>
          <w:p w14:paraId="372F401D" w14:textId="77777777" w:rsidR="004D0547" w:rsidRPr="008C6876" w:rsidRDefault="004D0547" w:rsidP="004D0547">
            <w:pPr>
              <w:numPr>
                <w:ilvl w:val="0"/>
                <w:numId w:val="4"/>
              </w:numPr>
              <w:jc w:val="both"/>
              <w:rPr>
                <w:rFonts w:ascii="Verdana" w:hAnsi="Verdana" w:cs="Arial"/>
                <w:sz w:val="21"/>
                <w:szCs w:val="21"/>
                <w:lang w:val="es-MX"/>
              </w:rPr>
            </w:pPr>
            <w:r w:rsidRPr="008C6876">
              <w:rPr>
                <w:rFonts w:ascii="Verdana" w:hAnsi="Verdana" w:cs="Arial"/>
                <w:sz w:val="21"/>
                <w:szCs w:val="21"/>
                <w:lang w:val="es-MX"/>
              </w:rPr>
              <w:t xml:space="preserve">La renovación de la relación contractual, la cual se dará hasta por el término del periodo de lactancia. </w:t>
            </w:r>
          </w:p>
          <w:p w14:paraId="2ABB7812" w14:textId="77777777" w:rsidR="004D0547" w:rsidRPr="008C6876" w:rsidRDefault="004D0547" w:rsidP="004D0547">
            <w:pPr>
              <w:numPr>
                <w:ilvl w:val="0"/>
                <w:numId w:val="4"/>
              </w:numPr>
              <w:jc w:val="both"/>
              <w:rPr>
                <w:rFonts w:ascii="Verdana" w:hAnsi="Verdana" w:cs="Arial"/>
                <w:sz w:val="21"/>
                <w:szCs w:val="21"/>
                <w:lang w:val="es-MX"/>
              </w:rPr>
            </w:pPr>
            <w:r w:rsidRPr="008C6876">
              <w:rPr>
                <w:rFonts w:ascii="Verdana" w:hAnsi="Verdana" w:cs="Arial"/>
                <w:sz w:val="21"/>
                <w:szCs w:val="21"/>
                <w:lang w:val="es-MX"/>
              </w:rPr>
              <w:t>El pago de los honorarios dejados de percibir desde la fecha de no renovación del contrato, hasta la renovación del mismo;</w:t>
            </w:r>
          </w:p>
          <w:p w14:paraId="74FA14B7" w14:textId="77777777" w:rsidR="004D0547" w:rsidRPr="008C6876" w:rsidRDefault="004D0547" w:rsidP="004D0547">
            <w:pPr>
              <w:numPr>
                <w:ilvl w:val="0"/>
                <w:numId w:val="4"/>
              </w:numPr>
              <w:jc w:val="both"/>
              <w:rPr>
                <w:rFonts w:ascii="Verdana" w:hAnsi="Verdana" w:cs="Arial"/>
                <w:sz w:val="21"/>
                <w:szCs w:val="21"/>
                <w:lang w:val="es-MX"/>
              </w:rPr>
            </w:pPr>
            <w:r w:rsidRPr="008C6876">
              <w:rPr>
                <w:rFonts w:ascii="Verdana" w:hAnsi="Verdana" w:cs="Arial"/>
                <w:sz w:val="21"/>
                <w:szCs w:val="21"/>
                <w:lang w:val="es-MX"/>
              </w:rPr>
              <w:t>El pago por concepto de la indemnización por despido discriminatorio</w:t>
            </w:r>
            <w:r w:rsidRPr="008C6876">
              <w:rPr>
                <w:rFonts w:ascii="Verdana" w:hAnsi="Verdana" w:cs="Arial"/>
                <w:sz w:val="21"/>
                <w:szCs w:val="21"/>
                <w:vertAlign w:val="superscript"/>
                <w:lang w:val="es-MX"/>
              </w:rPr>
              <w:footnoteReference w:id="8"/>
            </w:r>
            <w:r w:rsidRPr="008C6876">
              <w:rPr>
                <w:rFonts w:ascii="Verdana" w:hAnsi="Verdana" w:cs="Arial"/>
                <w:sz w:val="21"/>
                <w:szCs w:val="21"/>
                <w:lang w:val="es-MX"/>
              </w:rPr>
              <w:t>; y</w:t>
            </w:r>
          </w:p>
          <w:p w14:paraId="38F9A9F1" w14:textId="77777777" w:rsidR="004D0547" w:rsidRPr="008C6876" w:rsidRDefault="004D0547" w:rsidP="004D0547">
            <w:pPr>
              <w:numPr>
                <w:ilvl w:val="0"/>
                <w:numId w:val="4"/>
              </w:numPr>
              <w:jc w:val="both"/>
              <w:rPr>
                <w:rFonts w:ascii="Verdana" w:hAnsi="Verdana" w:cs="Arial"/>
                <w:sz w:val="21"/>
                <w:szCs w:val="21"/>
                <w:lang w:val="es-MX"/>
              </w:rPr>
            </w:pPr>
            <w:r w:rsidRPr="008C6876">
              <w:rPr>
                <w:rFonts w:ascii="Verdana" w:hAnsi="Verdana" w:cs="Arial"/>
                <w:sz w:val="21"/>
                <w:szCs w:val="21"/>
                <w:lang w:val="es-MX"/>
              </w:rPr>
              <w:t>El pago de la licencia de maternidad. Este pago no se realizará si en el caso se acredita que la madre disfrutó de la licencia de maternidad</w:t>
            </w:r>
            <w:r w:rsidRPr="008C6876">
              <w:rPr>
                <w:rFonts w:ascii="Verdana" w:hAnsi="Verdana" w:cs="Arial"/>
                <w:sz w:val="21"/>
                <w:szCs w:val="21"/>
                <w:vertAlign w:val="superscript"/>
                <w:lang w:val="es-MX"/>
              </w:rPr>
              <w:footnoteReference w:id="9"/>
            </w:r>
            <w:r w:rsidRPr="008C6876">
              <w:rPr>
                <w:rFonts w:ascii="Verdana" w:hAnsi="Verdana" w:cs="Arial"/>
                <w:sz w:val="21"/>
                <w:szCs w:val="21"/>
                <w:lang w:val="es-MX"/>
              </w:rPr>
              <w:t>.</w:t>
            </w:r>
          </w:p>
          <w:p w14:paraId="5CF946F5" w14:textId="77777777" w:rsidR="004D0547" w:rsidRPr="008C6876" w:rsidRDefault="004D0547" w:rsidP="004D0547">
            <w:pPr>
              <w:numPr>
                <w:ilvl w:val="0"/>
                <w:numId w:val="4"/>
              </w:numPr>
              <w:jc w:val="both"/>
              <w:rPr>
                <w:rFonts w:ascii="Verdana" w:hAnsi="Verdana" w:cs="Arial"/>
                <w:sz w:val="21"/>
                <w:szCs w:val="21"/>
                <w:lang w:val="es-MX"/>
              </w:rPr>
            </w:pPr>
            <w:r w:rsidRPr="008C6876">
              <w:rPr>
                <w:rFonts w:ascii="Verdana" w:hAnsi="Verdana" w:cs="Arial"/>
                <w:sz w:val="21"/>
                <w:szCs w:val="21"/>
                <w:lang w:val="es-MX"/>
              </w:rPr>
              <w:t>En el evento en el que el término del periodo de lactancia ya haya terminado, procederá el reconocimiento de los honorarios dejados de percibir hasta la terminación de periodo de lactancia</w:t>
            </w:r>
            <w:r w:rsidRPr="008C6876">
              <w:rPr>
                <w:rFonts w:ascii="Verdana" w:hAnsi="Verdana" w:cs="Arial"/>
                <w:sz w:val="21"/>
                <w:szCs w:val="21"/>
                <w:vertAlign w:val="superscript"/>
                <w:lang w:val="es-MX"/>
              </w:rPr>
              <w:footnoteReference w:id="10"/>
            </w:r>
            <w:r w:rsidRPr="008C6876">
              <w:rPr>
                <w:rFonts w:ascii="Verdana" w:hAnsi="Verdana" w:cs="Arial"/>
                <w:sz w:val="21"/>
                <w:szCs w:val="21"/>
                <w:lang w:val="es-MX"/>
              </w:rPr>
              <w:t>.</w:t>
            </w:r>
          </w:p>
          <w:p w14:paraId="62241EFC" w14:textId="77777777" w:rsidR="004D0547" w:rsidRPr="008C6876" w:rsidRDefault="004D0547" w:rsidP="00CD4AEA">
            <w:pPr>
              <w:rPr>
                <w:rFonts w:ascii="Verdana" w:hAnsi="Verdana" w:cs="Arial"/>
                <w:sz w:val="21"/>
                <w:szCs w:val="21"/>
                <w:lang w:val="es-MX"/>
              </w:rPr>
            </w:pPr>
          </w:p>
          <w:p w14:paraId="1EC59EAA" w14:textId="77777777" w:rsidR="004D0547" w:rsidRPr="008C6876" w:rsidRDefault="004D0547" w:rsidP="00CD4AEA">
            <w:pPr>
              <w:keepNext/>
              <w:jc w:val="both"/>
              <w:rPr>
                <w:rFonts w:ascii="Verdana" w:hAnsi="Verdana" w:cs="Arial"/>
                <w:sz w:val="21"/>
                <w:szCs w:val="21"/>
                <w:lang w:val="es-MX"/>
              </w:rPr>
            </w:pPr>
            <w:r w:rsidRPr="008C6876">
              <w:rPr>
                <w:rFonts w:ascii="Verdana" w:hAnsi="Verdana" w:cs="Arial"/>
                <w:sz w:val="21"/>
                <w:szCs w:val="21"/>
                <w:lang w:val="es-MX"/>
              </w:rPr>
              <w:t>En todo caso, el juez deberá estudiar la procedencia de cada una de estas medidas de protección para lo cual tendrá en cuenta las particularidades del caso</w:t>
            </w:r>
            <w:r w:rsidRPr="008C6876">
              <w:rPr>
                <w:rFonts w:ascii="Verdana" w:hAnsi="Verdana" w:cs="Arial"/>
                <w:sz w:val="21"/>
                <w:szCs w:val="21"/>
                <w:vertAlign w:val="superscript"/>
                <w:lang w:val="es-MX"/>
              </w:rPr>
              <w:footnoteReference w:id="11"/>
            </w:r>
            <w:r w:rsidRPr="008C6876">
              <w:rPr>
                <w:rFonts w:ascii="Verdana" w:hAnsi="Verdana" w:cs="Arial"/>
                <w:sz w:val="21"/>
                <w:szCs w:val="21"/>
                <w:lang w:val="es-MX"/>
              </w:rPr>
              <w:t>.</w:t>
            </w:r>
          </w:p>
        </w:tc>
      </w:tr>
    </w:tbl>
    <w:p w14:paraId="12E45CCF" w14:textId="77777777" w:rsidR="004D0547" w:rsidRPr="007303B7" w:rsidRDefault="004D0547" w:rsidP="004D0547">
      <w:pPr>
        <w:spacing w:after="0" w:line="240" w:lineRule="auto"/>
        <w:jc w:val="center"/>
        <w:rPr>
          <w:rFonts w:ascii="Verdana" w:eastAsia="Times New Roman" w:hAnsi="Verdana" w:cs="Arial"/>
          <w:iCs/>
          <w:sz w:val="16"/>
          <w:szCs w:val="16"/>
        </w:rPr>
      </w:pPr>
      <w:r w:rsidRPr="007303B7">
        <w:rPr>
          <w:rFonts w:ascii="Verdana" w:eastAsia="Times New Roman" w:hAnsi="Verdana" w:cs="Arial"/>
          <w:iCs/>
          <w:sz w:val="16"/>
          <w:szCs w:val="16"/>
        </w:rPr>
        <w:lastRenderedPageBreak/>
        <w:t xml:space="preserve">Tabla: Reglas para la protección de la mujer embarazada en contratos de prestación de servicios. – Tomada de la Sentencia T-329 de 2022. </w:t>
      </w:r>
    </w:p>
    <w:p w14:paraId="5DC92E57" w14:textId="77777777" w:rsidR="004D0547" w:rsidRPr="008C6876" w:rsidRDefault="004D0547" w:rsidP="004D0547">
      <w:pPr>
        <w:tabs>
          <w:tab w:val="left" w:pos="0"/>
        </w:tabs>
        <w:spacing w:after="0" w:line="276" w:lineRule="auto"/>
        <w:jc w:val="both"/>
        <w:rPr>
          <w:rFonts w:ascii="Verdana" w:hAnsi="Verdana" w:cs="Arial"/>
          <w:highlight w:val="yellow"/>
          <w:shd w:val="clear" w:color="auto" w:fill="FFFFFF"/>
        </w:rPr>
      </w:pPr>
    </w:p>
    <w:p w14:paraId="0A03A1D7" w14:textId="77777777" w:rsidR="004D0547" w:rsidRDefault="004D0547" w:rsidP="004D0547">
      <w:pPr>
        <w:widowControl w:val="0"/>
        <w:autoSpaceDE w:val="0"/>
        <w:autoSpaceDN w:val="0"/>
        <w:spacing w:after="120" w:line="276" w:lineRule="auto"/>
        <w:ind w:firstLine="709"/>
        <w:jc w:val="both"/>
        <w:rPr>
          <w:rFonts w:ascii="Verdana" w:hAnsi="Verdana" w:cs="Arial"/>
          <w:shd w:val="clear" w:color="auto" w:fill="FFFFFF"/>
        </w:rPr>
      </w:pPr>
      <w:r w:rsidRPr="008C6876">
        <w:rPr>
          <w:rFonts w:ascii="Verdana" w:hAnsi="Verdana" w:cs="Arial"/>
          <w:shd w:val="clear" w:color="auto" w:fill="FFFFFF"/>
        </w:rPr>
        <w:t xml:space="preserve">En este sentido, </w:t>
      </w:r>
      <w:r>
        <w:rPr>
          <w:rFonts w:ascii="Verdana" w:hAnsi="Verdana" w:cs="Arial"/>
          <w:shd w:val="clear" w:color="auto" w:fill="FFFFFF"/>
        </w:rPr>
        <w:t>d</w:t>
      </w:r>
      <w:r w:rsidRPr="00815BAD">
        <w:rPr>
          <w:rFonts w:ascii="Verdana" w:hAnsi="Verdana" w:cs="Arial"/>
          <w:shd w:val="clear" w:color="auto" w:fill="FFFFFF"/>
        </w:rPr>
        <w:t>e conformidad con lo expuesto</w:t>
      </w:r>
      <w:r>
        <w:rPr>
          <w:rFonts w:ascii="Verdana" w:hAnsi="Verdana" w:cs="Arial"/>
          <w:shd w:val="clear" w:color="auto" w:fill="FFFFFF"/>
        </w:rPr>
        <w:t>,</w:t>
      </w:r>
      <w:r w:rsidRPr="008C6876">
        <w:rPr>
          <w:rFonts w:ascii="Verdana" w:hAnsi="Verdana" w:cs="Arial"/>
          <w:shd w:val="clear" w:color="auto" w:fill="FFFFFF"/>
        </w:rPr>
        <w:t xml:space="preserve"> les corresponde a las Entidades Estatales, en virtud de su autonomía, y de acuerdo con los lineamientos de la Corte Constitucional, determinar la mejor forma para garantizar la estabilidad ocupacional reforzada </w:t>
      </w:r>
      <w:r w:rsidRPr="00815BAD">
        <w:rPr>
          <w:rFonts w:ascii="Verdana" w:hAnsi="Verdana" w:cs="Arial"/>
          <w:shd w:val="clear" w:color="auto" w:fill="FFFFFF"/>
        </w:rPr>
        <w:t xml:space="preserve">a favor de las mujeres en estado de embarazo o en período de lactancia, incluso cuando se encuentran vinculadas mediante contratos de prestación de servicios, orientado a impedir prácticas discriminatorias derivadas de la terminación o no renovación del vínculo contractual por causa o con ocasión de la maternidad. No obstante, el alcance y la forma de materialización de dicha protección deben analizarse a la luz del marco normativo aplicable a la actuación de las entidades estatales, en </w:t>
      </w:r>
      <w:r w:rsidRPr="00815BAD">
        <w:rPr>
          <w:rFonts w:ascii="Verdana" w:hAnsi="Verdana" w:cs="Arial"/>
          <w:shd w:val="clear" w:color="auto" w:fill="FFFFFF"/>
        </w:rPr>
        <w:lastRenderedPageBreak/>
        <w:t>particular, cuando concurren restricciones legales que inciden en la gestión contractual.</w:t>
      </w:r>
    </w:p>
    <w:p w14:paraId="48646D9A" w14:textId="77777777" w:rsidR="004D0547" w:rsidRPr="008C6876" w:rsidRDefault="004D0547" w:rsidP="004D0547">
      <w:pPr>
        <w:widowControl w:val="0"/>
        <w:autoSpaceDE w:val="0"/>
        <w:autoSpaceDN w:val="0"/>
        <w:spacing w:after="0" w:line="276" w:lineRule="auto"/>
        <w:ind w:firstLine="708"/>
        <w:jc w:val="both"/>
        <w:rPr>
          <w:rFonts w:ascii="Verdana" w:hAnsi="Verdana" w:cs="Arial"/>
        </w:rPr>
      </w:pPr>
      <w:r>
        <w:rPr>
          <w:rFonts w:ascii="Verdana" w:hAnsi="Verdana" w:cs="Arial"/>
          <w:shd w:val="clear" w:color="auto" w:fill="FFFFFF"/>
        </w:rPr>
        <w:t>Ahora bien, para resolver el problema jurídico propuesto</w:t>
      </w:r>
      <w:r w:rsidRPr="009D4DBC">
        <w:rPr>
          <w:rFonts w:ascii="Verdana" w:hAnsi="Verdana" w:cs="Arial"/>
          <w:shd w:val="clear" w:color="auto" w:fill="FFFFFF"/>
        </w:rPr>
        <w:t>, resulta necesario examinar las restricciones que el ordenamiento jurídico impone a la actividad contractual de las entidades estatales durante los períodos preelectorales, específicamente aquellas previstas en la Ley 996 de 2005 —Ley de Garantías Electorales—, con el fin de determinar en qué medida tales limitaciones condicionan o delimitan las alternativas jurídicas disponibles para garantizar la estabilidad ocupacional reforzada de las mujeres embarazadas vinculadas mediante contratos de prestación de servicios.</w:t>
      </w:r>
      <w:r>
        <w:rPr>
          <w:rFonts w:ascii="Verdana" w:hAnsi="Verdana" w:cs="Arial"/>
          <w:shd w:val="clear" w:color="auto" w:fill="FFFFFF"/>
        </w:rPr>
        <w:tab/>
      </w:r>
    </w:p>
    <w:p w14:paraId="4FCD8523" w14:textId="77777777" w:rsidR="004D0547" w:rsidRPr="00BC3A80" w:rsidRDefault="004D0547" w:rsidP="004D0547">
      <w:pPr>
        <w:spacing w:after="0" w:line="276" w:lineRule="auto"/>
        <w:ind w:firstLine="709"/>
        <w:jc w:val="both"/>
        <w:rPr>
          <w:rFonts w:ascii="Verdana" w:hAnsi="Verdana" w:cs="Arial"/>
          <w:color w:val="000000" w:themeColor="text1"/>
        </w:rPr>
      </w:pPr>
    </w:p>
    <w:p w14:paraId="1A79618A" w14:textId="77777777" w:rsidR="004D0547" w:rsidRPr="00BC3A80" w:rsidRDefault="004D0547" w:rsidP="004D0547">
      <w:pPr>
        <w:tabs>
          <w:tab w:val="left" w:pos="426"/>
        </w:tabs>
        <w:spacing w:after="120" w:line="276" w:lineRule="auto"/>
        <w:jc w:val="both"/>
        <w:rPr>
          <w:rFonts w:ascii="Verdana" w:eastAsia="Times New Roman" w:hAnsi="Verdana" w:cs="Arial"/>
          <w:lang w:val="es-ES" w:eastAsia="es-CO"/>
        </w:rPr>
      </w:pPr>
      <w:r>
        <w:rPr>
          <w:rFonts w:ascii="Verdana" w:hAnsi="Verdana" w:cs="Arial"/>
          <w:color w:val="000000" w:themeColor="text1"/>
          <w:lang w:val="es-ES"/>
        </w:rPr>
        <w:t>ii</w:t>
      </w:r>
      <w:r w:rsidRPr="00BC3A80">
        <w:rPr>
          <w:rFonts w:ascii="Verdana" w:hAnsi="Verdana" w:cs="Arial"/>
          <w:color w:val="000000" w:themeColor="text1"/>
          <w:lang w:val="es-ES"/>
        </w:rPr>
        <w:t>.</w:t>
      </w:r>
      <w:r w:rsidRPr="00BC3A80">
        <w:rPr>
          <w:rFonts w:ascii="Verdana" w:eastAsia="Verdana" w:hAnsi="Verdana" w:cs="Verdana"/>
          <w:lang w:val="es-ES"/>
        </w:rPr>
        <w:t xml:space="preserve"> </w:t>
      </w:r>
      <w:r w:rsidRPr="00BC3A80">
        <w:rPr>
          <w:rFonts w:ascii="Verdana" w:hAnsi="Verdana" w:cs="Arial"/>
          <w:lang w:val="es-ES"/>
        </w:rPr>
        <w:t>El ordenamiento jurídico colombiano contempla medidas para evitar la obtención de beneficios personales en asuntos propios de la administración pública</w:t>
      </w:r>
      <w:r w:rsidRPr="00BC3A80">
        <w:rPr>
          <w:rFonts w:ascii="Verdana" w:hAnsi="Verdana" w:cs="Arial"/>
          <w:i/>
          <w:lang w:val="es-ES"/>
        </w:rPr>
        <w:t xml:space="preserve">. </w:t>
      </w:r>
      <w:r w:rsidRPr="00BC3A80">
        <w:rPr>
          <w:rFonts w:ascii="Verdana" w:hAnsi="Verdana" w:cs="Arial"/>
          <w:lang w:val="es-ES"/>
        </w:rPr>
        <w:t>Por ejemplo, el artículo 127 de la Constitución Política establece una prohibición contractual a los servidores públicos y, en cuanto a aspectos políticos, señala restricciones a ciertos empleados del Estado, incluso en época no electoral</w:t>
      </w:r>
      <w:r w:rsidRPr="00BC3A80">
        <w:rPr>
          <w:rFonts w:ascii="Verdana" w:hAnsi="Verdana"/>
          <w:vertAlign w:val="superscript"/>
          <w:lang w:val="es-ES"/>
        </w:rPr>
        <w:footnoteReference w:id="12"/>
      </w:r>
      <w:r w:rsidRPr="00BC3A80">
        <w:rPr>
          <w:rFonts w:ascii="Verdana" w:hAnsi="Verdana" w:cs="Arial"/>
          <w:lang w:val="es-ES"/>
        </w:rPr>
        <w:t xml:space="preserve">. </w:t>
      </w:r>
    </w:p>
    <w:p w14:paraId="3D9FAC19" w14:textId="77777777" w:rsidR="004D0547" w:rsidRPr="00BC3A80" w:rsidRDefault="004D0547" w:rsidP="004D0547">
      <w:pPr>
        <w:tabs>
          <w:tab w:val="left" w:pos="426"/>
        </w:tabs>
        <w:spacing w:after="120" w:line="276" w:lineRule="auto"/>
        <w:ind w:firstLine="709"/>
        <w:jc w:val="both"/>
        <w:rPr>
          <w:rFonts w:ascii="Verdana" w:hAnsi="Verdana" w:cs="Arial"/>
          <w:lang w:val="es-ES"/>
        </w:rPr>
      </w:pPr>
      <w:r w:rsidRPr="00BC3A80">
        <w:rPr>
          <w:rFonts w:ascii="Verdana" w:eastAsia="Times New Roman" w:hAnsi="Verdana" w:cs="Arial"/>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BC3A80">
        <w:rPr>
          <w:rFonts w:ascii="Verdana" w:eastAsia="Times New Roman" w:hAnsi="Verdana" w:cs="Arial"/>
          <w:vertAlign w:val="superscript"/>
          <w:lang w:val="es-ES" w:eastAsia="es-CO"/>
        </w:rPr>
        <w:footnoteReference w:id="13"/>
      </w:r>
      <w:r w:rsidRPr="00BC3A80">
        <w:rPr>
          <w:rFonts w:ascii="Verdana" w:eastAsia="Times New Roman" w:hAnsi="Verdana" w:cs="Arial"/>
          <w:lang w:val="es-ES" w:eastAsia="es-CO"/>
        </w:rPr>
        <w:t>. En esta medida, introduce limitaciones para realizar nombramientos, postulaciones, contrataciones o cualquier otro tipo de actividad que implique destinación de recursos públicos bajo el devenir propio de las Entidades Estatales.</w:t>
      </w:r>
      <w:r w:rsidRPr="00BC3A80">
        <w:rPr>
          <w:rFonts w:ascii="Verdana" w:hAnsi="Verdana" w:cs="Arial"/>
          <w:lang w:val="es-ES"/>
        </w:rPr>
        <w:t xml:space="preserve"> </w:t>
      </w:r>
    </w:p>
    <w:p w14:paraId="319A0111" w14:textId="77777777" w:rsidR="004D0547" w:rsidRPr="00BC3A80" w:rsidRDefault="004D0547" w:rsidP="004D0547">
      <w:pPr>
        <w:tabs>
          <w:tab w:val="left" w:pos="426"/>
        </w:tabs>
        <w:spacing w:after="0" w:line="276" w:lineRule="auto"/>
        <w:ind w:firstLine="709"/>
        <w:jc w:val="both"/>
        <w:rPr>
          <w:rFonts w:ascii="Verdana" w:hAnsi="Verdana" w:cs="Arial"/>
          <w:lang w:val="es-ES"/>
        </w:rPr>
      </w:pPr>
      <w:r w:rsidRPr="00BC3A80">
        <w:rPr>
          <w:rFonts w:ascii="Verdana" w:eastAsia="Times New Roman" w:hAnsi="Verdana" w:cs="Arial"/>
          <w:lang w:val="es-ES" w:eastAsia="es-CO"/>
        </w:rPr>
        <w:t>En armonía con lo anterior, la Corte Constitucional ha abordado la definición de la Ley de Garantías Electorales. De esta manera, explica que tiene como propósito:</w:t>
      </w:r>
    </w:p>
    <w:p w14:paraId="7C27B5AD" w14:textId="77777777" w:rsidR="004D0547" w:rsidRPr="00BC3A80" w:rsidRDefault="004D0547" w:rsidP="004D0547">
      <w:pPr>
        <w:spacing w:after="0" w:line="276" w:lineRule="auto"/>
        <w:ind w:right="709"/>
        <w:jc w:val="both"/>
        <w:rPr>
          <w:rFonts w:ascii="Verdana" w:eastAsia="Times New Roman" w:hAnsi="Verdana" w:cs="Arial"/>
          <w:lang w:val="es-ES" w:eastAsia="es-CO"/>
        </w:rPr>
      </w:pPr>
    </w:p>
    <w:p w14:paraId="1A719926" w14:textId="77777777" w:rsidR="004D0547" w:rsidRPr="00BC3A80" w:rsidRDefault="004D0547" w:rsidP="004D0547">
      <w:pPr>
        <w:spacing w:after="0" w:line="240" w:lineRule="auto"/>
        <w:ind w:left="709" w:right="709"/>
        <w:contextualSpacing/>
        <w:jc w:val="both"/>
        <w:rPr>
          <w:rFonts w:ascii="Verdana" w:eastAsia="Times New Roman" w:hAnsi="Verdana" w:cs="Arial"/>
          <w:sz w:val="20"/>
          <w:szCs w:val="20"/>
          <w:lang w:val="es-ES" w:eastAsia="es-CO"/>
        </w:rPr>
      </w:pPr>
      <w:r w:rsidRPr="00BC3A80">
        <w:rPr>
          <w:rFonts w:ascii="Verdana" w:eastAsia="Times New Roman" w:hAnsi="Verdana" w:cs="Arial"/>
          <w:sz w:val="20"/>
          <w:szCs w:val="20"/>
          <w:lang w:val="es-ES" w:eastAsia="es-CO"/>
        </w:rPr>
        <w:lastRenderedPageBreak/>
        <w:t>“[…] la definición de reglas claras que permitan acceder a los canales de expresión democrática de manera efectiva e igualitaria. El objetivo de una ley de garantías es definir esas reglas.</w:t>
      </w:r>
    </w:p>
    <w:p w14:paraId="130CFE7B" w14:textId="77777777" w:rsidR="004D0547" w:rsidRDefault="004D0547" w:rsidP="004D0547">
      <w:pPr>
        <w:spacing w:after="0" w:line="240" w:lineRule="auto"/>
        <w:ind w:left="709" w:right="709"/>
        <w:contextualSpacing/>
        <w:jc w:val="both"/>
        <w:rPr>
          <w:rFonts w:ascii="Verdana" w:eastAsia="Times New Roman" w:hAnsi="Verdana" w:cs="Arial"/>
          <w:sz w:val="20"/>
          <w:szCs w:val="20"/>
          <w:lang w:val="es-ES" w:eastAsia="es-CO"/>
        </w:rPr>
      </w:pPr>
    </w:p>
    <w:p w14:paraId="748B6695" w14:textId="77777777" w:rsidR="004D0547" w:rsidRPr="00BC3A80" w:rsidRDefault="004D0547" w:rsidP="004D0547">
      <w:pPr>
        <w:spacing w:after="0" w:line="240" w:lineRule="auto"/>
        <w:ind w:left="709" w:right="709"/>
        <w:contextualSpacing/>
        <w:jc w:val="both"/>
        <w:rPr>
          <w:rFonts w:ascii="Verdana" w:eastAsia="Times New Roman" w:hAnsi="Verdana" w:cs="Arial"/>
          <w:sz w:val="20"/>
          <w:szCs w:val="20"/>
          <w:lang w:val="es-ES" w:eastAsia="es-CO"/>
        </w:rPr>
      </w:pPr>
      <w:r w:rsidRPr="00BC3A80">
        <w:rPr>
          <w:rFonts w:ascii="Verdana" w:eastAsia="Times New Roman" w:hAnsi="Verdana" w:cs="Arial"/>
          <w:sz w:val="20"/>
          <w:szCs w:val="20"/>
          <w:lang w:val="es-ES" w:eastAsia="es-CO"/>
        </w:rPr>
        <w:t xml:space="preserve">[…] </w:t>
      </w:r>
    </w:p>
    <w:p w14:paraId="22EB6149" w14:textId="77777777" w:rsidR="004D0547" w:rsidRDefault="004D0547" w:rsidP="004D0547">
      <w:pPr>
        <w:spacing w:after="0" w:line="240" w:lineRule="auto"/>
        <w:ind w:left="709" w:right="709"/>
        <w:contextualSpacing/>
        <w:jc w:val="both"/>
        <w:rPr>
          <w:rFonts w:ascii="Verdana" w:eastAsia="Times New Roman" w:hAnsi="Verdana" w:cs="Arial"/>
          <w:sz w:val="20"/>
          <w:szCs w:val="20"/>
          <w:lang w:val="es-ES" w:eastAsia="es-CO"/>
        </w:rPr>
      </w:pPr>
    </w:p>
    <w:p w14:paraId="3AFFEA70" w14:textId="77777777" w:rsidR="004D0547" w:rsidRPr="00BC3A80" w:rsidRDefault="004D0547" w:rsidP="004D0547">
      <w:pPr>
        <w:spacing w:after="0" w:line="240" w:lineRule="auto"/>
        <w:ind w:left="709" w:right="709"/>
        <w:contextualSpacing/>
        <w:jc w:val="both"/>
        <w:rPr>
          <w:rFonts w:ascii="Verdana" w:eastAsia="Times New Roman" w:hAnsi="Verdana" w:cs="Arial"/>
          <w:sz w:val="20"/>
          <w:szCs w:val="20"/>
          <w:lang w:val="es-ES" w:eastAsia="es-CO"/>
        </w:rPr>
      </w:pPr>
      <w:r w:rsidRPr="00BC3A80">
        <w:rPr>
          <w:rFonts w:ascii="Verdana" w:eastAsia="Times New Roman" w:hAnsi="Verdana" w:cs="Arial"/>
          <w:sz w:val="20"/>
          <w:szCs w:val="20"/>
          <w:lang w:val="es-ES"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BC3A80">
        <w:rPr>
          <w:rFonts w:ascii="Verdana" w:hAnsi="Verdana" w:cs="Arial"/>
          <w:sz w:val="20"/>
          <w:szCs w:val="20"/>
          <w:vertAlign w:val="superscript"/>
          <w:lang w:val="es-ES"/>
        </w:rPr>
        <w:footnoteReference w:id="14"/>
      </w:r>
    </w:p>
    <w:p w14:paraId="06D19804" w14:textId="77777777" w:rsidR="004D0547" w:rsidRPr="00BC3A80" w:rsidRDefault="004D0547" w:rsidP="004D0547">
      <w:pPr>
        <w:spacing w:after="0" w:line="276" w:lineRule="auto"/>
        <w:ind w:firstLine="709"/>
        <w:jc w:val="both"/>
        <w:rPr>
          <w:rFonts w:ascii="Verdana" w:eastAsia="Times New Roman" w:hAnsi="Verdana" w:cs="Arial"/>
          <w:lang w:val="es-ES" w:eastAsia="es-CO"/>
        </w:rPr>
      </w:pPr>
    </w:p>
    <w:p w14:paraId="31C19650" w14:textId="77777777" w:rsidR="004D0547" w:rsidRPr="00BC3A80" w:rsidRDefault="004D0547" w:rsidP="004D0547">
      <w:pPr>
        <w:spacing w:after="0" w:line="276" w:lineRule="auto"/>
        <w:ind w:firstLine="709"/>
        <w:jc w:val="both"/>
        <w:rPr>
          <w:rFonts w:ascii="Verdana" w:eastAsia="Times New Roman" w:hAnsi="Verdana" w:cs="Arial"/>
          <w:lang w:val="es-ES" w:eastAsia="es-CO"/>
        </w:rPr>
      </w:pPr>
      <w:r w:rsidRPr="00BC3A80">
        <w:rPr>
          <w:rFonts w:ascii="Verdana" w:eastAsia="Times New Roman" w:hAnsi="Verdana" w:cs="Arial"/>
          <w:lang w:val="es-ES" w:eastAsia="es-CO"/>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6AB05220" w14:textId="77777777" w:rsidR="004D0547" w:rsidRPr="00BC3A80" w:rsidRDefault="004D0547" w:rsidP="004D0547">
      <w:pPr>
        <w:spacing w:after="0" w:line="276" w:lineRule="auto"/>
        <w:ind w:firstLine="709"/>
        <w:jc w:val="both"/>
        <w:rPr>
          <w:rFonts w:ascii="Verdana" w:eastAsia="Times New Roman" w:hAnsi="Verdana" w:cs="Arial"/>
          <w:lang w:val="es-ES" w:eastAsia="es-CO"/>
        </w:rPr>
      </w:pPr>
    </w:p>
    <w:p w14:paraId="094B9861" w14:textId="77777777" w:rsidR="004D0547" w:rsidRPr="00BC3A80" w:rsidRDefault="004D0547" w:rsidP="004D0547">
      <w:pPr>
        <w:spacing w:after="0" w:line="240" w:lineRule="auto"/>
        <w:ind w:left="709" w:right="709"/>
        <w:jc w:val="both"/>
        <w:rPr>
          <w:rFonts w:ascii="Verdana" w:eastAsia="Times New Roman" w:hAnsi="Verdana" w:cs="Arial"/>
          <w:sz w:val="20"/>
          <w:szCs w:val="20"/>
          <w:lang w:val="es-ES" w:eastAsia="es-CO"/>
        </w:rPr>
      </w:pPr>
      <w:r w:rsidRPr="00BC3A80">
        <w:rPr>
          <w:rFonts w:ascii="Verdana" w:eastAsia="Times New Roman" w:hAnsi="Verdana" w:cs="Arial"/>
          <w:sz w:val="20"/>
          <w:szCs w:val="20"/>
          <w:lang w:val="es-ES"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3421734B" w14:textId="77777777" w:rsidR="004D0547" w:rsidRPr="00BC3A80" w:rsidRDefault="004D0547" w:rsidP="004D0547">
      <w:pPr>
        <w:spacing w:after="0" w:line="240" w:lineRule="auto"/>
        <w:ind w:right="709"/>
        <w:jc w:val="both"/>
        <w:rPr>
          <w:rFonts w:ascii="Verdana" w:eastAsia="Times New Roman" w:hAnsi="Verdana" w:cs="Arial"/>
          <w:lang w:val="es-ES" w:eastAsia="es-CO"/>
        </w:rPr>
      </w:pPr>
    </w:p>
    <w:p w14:paraId="0250C49D" w14:textId="77777777" w:rsidR="004D0547" w:rsidRPr="00BC3A80" w:rsidRDefault="004D0547" w:rsidP="004D0547">
      <w:pPr>
        <w:spacing w:after="0" w:line="240" w:lineRule="auto"/>
        <w:ind w:left="709" w:right="709"/>
        <w:jc w:val="both"/>
        <w:rPr>
          <w:rFonts w:ascii="Verdana" w:eastAsia="Times New Roman" w:hAnsi="Verdana" w:cs="Arial"/>
          <w:sz w:val="20"/>
          <w:szCs w:val="20"/>
          <w:lang w:val="es-ES" w:eastAsia="es-CO"/>
        </w:rPr>
      </w:pPr>
      <w:r w:rsidRPr="00BC3A80">
        <w:rPr>
          <w:rFonts w:ascii="Verdana" w:eastAsia="Times New Roman" w:hAnsi="Verdana" w:cs="Arial"/>
          <w:sz w:val="20"/>
          <w:szCs w:val="20"/>
          <w:lang w:val="es-ES" w:eastAsia="es-CO"/>
        </w:rPr>
        <w:t>La jurisprudencia de la Corte Constitucional</w:t>
      </w:r>
      <w:r w:rsidRPr="00BC3A80">
        <w:rPr>
          <w:rFonts w:ascii="Verdana" w:eastAsia="Times New Roman" w:hAnsi="Verdana" w:cs="Arial"/>
          <w:sz w:val="20"/>
          <w:szCs w:val="20"/>
          <w:vertAlign w:val="superscript"/>
          <w:lang w:val="es-ES" w:eastAsia="es-CO"/>
        </w:rPr>
        <w:footnoteReference w:id="15"/>
      </w:r>
      <w:r w:rsidRPr="00BC3A80">
        <w:rPr>
          <w:rFonts w:ascii="Verdana" w:eastAsia="Times New Roman" w:hAnsi="Verdana" w:cs="Arial"/>
          <w:sz w:val="20"/>
          <w:szCs w:val="20"/>
          <w:lang w:val="es-ES" w:eastAsia="es-CO"/>
        </w:rPr>
        <w:t> y del Consejo de Estado</w:t>
      </w:r>
      <w:r w:rsidRPr="00BC3A80">
        <w:rPr>
          <w:rFonts w:ascii="Verdana" w:eastAsia="Times New Roman" w:hAnsi="Verdana" w:cs="Arial"/>
          <w:sz w:val="20"/>
          <w:szCs w:val="20"/>
          <w:vertAlign w:val="superscript"/>
          <w:lang w:val="es-ES" w:eastAsia="es-CO"/>
        </w:rPr>
        <w:footnoteReference w:id="16"/>
      </w:r>
      <w:r w:rsidRPr="00BC3A80">
        <w:rPr>
          <w:rFonts w:ascii="Verdana" w:eastAsia="Times New Roman" w:hAnsi="Verdana" w:cs="Arial"/>
          <w:sz w:val="20"/>
          <w:szCs w:val="20"/>
          <w:lang w:val="es-ES" w:eastAsia="es-CO"/>
        </w:rPr>
        <w:t xml:space="preserve">, coinciden en que las normas que establecen prohibiciones deben estar de </w:t>
      </w:r>
      <w:r w:rsidRPr="00BC3A80">
        <w:rPr>
          <w:rFonts w:ascii="Verdana" w:eastAsia="Times New Roman" w:hAnsi="Verdana" w:cs="Arial"/>
          <w:sz w:val="20"/>
          <w:szCs w:val="20"/>
          <w:lang w:val="es-ES" w:eastAsia="es-CO"/>
        </w:rPr>
        <w:lastRenderedPageBreak/>
        <w:t>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BC3A80">
        <w:rPr>
          <w:rFonts w:ascii="Verdana" w:eastAsia="Times New Roman" w:hAnsi="Verdana" w:cs="Arial"/>
          <w:sz w:val="20"/>
          <w:szCs w:val="20"/>
          <w:vertAlign w:val="superscript"/>
          <w:lang w:val="es-ES" w:eastAsia="es-CO"/>
        </w:rPr>
        <w:footnoteReference w:id="17"/>
      </w:r>
      <w:r w:rsidRPr="00BC3A80">
        <w:rPr>
          <w:rFonts w:ascii="Verdana" w:eastAsia="Times New Roman" w:hAnsi="Verdana" w:cs="Arial"/>
          <w:sz w:val="20"/>
          <w:szCs w:val="20"/>
          <w:lang w:val="es-ES" w:eastAsia="es-CO"/>
        </w:rPr>
        <w:t>.</w:t>
      </w:r>
    </w:p>
    <w:p w14:paraId="6F936FA2" w14:textId="77777777" w:rsidR="004D0547" w:rsidRPr="00BC3A80" w:rsidRDefault="004D0547" w:rsidP="004D0547">
      <w:pPr>
        <w:spacing w:after="0" w:line="276" w:lineRule="auto"/>
        <w:jc w:val="both"/>
        <w:rPr>
          <w:rFonts w:ascii="Verdana" w:hAnsi="Verdana" w:cs="Arial"/>
          <w:bCs/>
          <w:lang w:val="es-ES"/>
        </w:rPr>
      </w:pPr>
    </w:p>
    <w:p w14:paraId="062E8754" w14:textId="77777777" w:rsidR="004D0547" w:rsidRPr="00BC3A80" w:rsidRDefault="004D0547" w:rsidP="004D0547">
      <w:pPr>
        <w:spacing w:after="120" w:line="276" w:lineRule="auto"/>
        <w:ind w:firstLine="708"/>
        <w:jc w:val="both"/>
        <w:rPr>
          <w:rFonts w:ascii="Verdana" w:eastAsia="Arial" w:hAnsi="Verdana" w:cs="Arial"/>
          <w:lang w:val="es-ES" w:eastAsia="es-ES" w:bidi="es-ES"/>
        </w:rPr>
      </w:pPr>
      <w:r w:rsidRPr="00BC3A80">
        <w:rPr>
          <w:rFonts w:ascii="Verdana" w:eastAsia="Times New Roman" w:hAnsi="Verdana" w:cs="Arial"/>
          <w:lang w:val="es-ES" w:eastAsia="es-CO"/>
        </w:rPr>
        <w:t>De</w:t>
      </w:r>
      <w:r w:rsidRPr="00BC3A80">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420A5418" w14:textId="77777777" w:rsidR="004D0547" w:rsidRPr="00BC3A80" w:rsidRDefault="004D0547" w:rsidP="004D0547">
      <w:pPr>
        <w:spacing w:after="120" w:line="276" w:lineRule="auto"/>
        <w:ind w:firstLine="708"/>
        <w:jc w:val="both"/>
        <w:rPr>
          <w:rFonts w:ascii="Verdana" w:eastAsia="Arial" w:hAnsi="Verdana" w:cs="Arial"/>
          <w:lang w:val="es-ES" w:eastAsia="es-ES" w:bidi="es-ES"/>
        </w:rPr>
      </w:pPr>
      <w:r w:rsidRPr="00BC3A80">
        <w:rPr>
          <w:rFonts w:ascii="Verdana" w:eastAsia="Arial" w:hAnsi="Verdana" w:cs="Arial"/>
          <w:lang w:val="es-ES" w:eastAsia="es-ES" w:bidi="es-ES"/>
        </w:rPr>
        <w:t xml:space="preserve">Las restricciones consagradas en la Ley de Garantías </w:t>
      </w:r>
      <w:r>
        <w:rPr>
          <w:rFonts w:ascii="Verdana" w:eastAsia="Arial" w:hAnsi="Verdana" w:cs="Arial"/>
          <w:lang w:val="es-ES" w:eastAsia="es-ES" w:bidi="es-ES"/>
        </w:rPr>
        <w:t xml:space="preserve">Electorales </w:t>
      </w:r>
      <w:r w:rsidRPr="00BC3A80">
        <w:rPr>
          <w:rFonts w:ascii="Verdana" w:eastAsia="Arial" w:hAnsi="Verdana" w:cs="Arial"/>
          <w:lang w:val="es-ES" w:eastAsia="es-ES" w:bidi="es-ES"/>
        </w:rPr>
        <w:t>se dirigen a dos (2) tipos de campañas electorales diferenciadas: las presidenciales y las que se adelanten para la elección de los demás cargos de elección popular, tanto a nivel nacional como territorial.</w:t>
      </w:r>
    </w:p>
    <w:p w14:paraId="2148E780" w14:textId="77777777" w:rsidR="004D0547" w:rsidRPr="00BC3A80" w:rsidRDefault="004D0547" w:rsidP="004D0547">
      <w:pPr>
        <w:spacing w:after="120" w:line="276" w:lineRule="auto"/>
        <w:ind w:firstLine="708"/>
        <w:jc w:val="both"/>
        <w:rPr>
          <w:rFonts w:ascii="Verdana" w:hAnsi="Verdana" w:cs="Arial"/>
          <w:lang w:val="es-ES"/>
        </w:rPr>
      </w:pPr>
      <w:r w:rsidRPr="00BC3A80">
        <w:rPr>
          <w:rFonts w:ascii="Verdana" w:hAnsi="Verdana" w:cs="Arial"/>
          <w:lang w:val="es-ES"/>
        </w:rPr>
        <w:t xml:space="preserve">Por un lado, el </w:t>
      </w:r>
      <w:r w:rsidRPr="00BC3A80">
        <w:rPr>
          <w:rFonts w:ascii="Verdana" w:hAnsi="Verdana" w:cs="Arial"/>
          <w:i/>
          <w:iCs/>
          <w:lang w:val="es-ES"/>
        </w:rPr>
        <w:t xml:space="preserve">artículo 33 </w:t>
      </w:r>
      <w:r w:rsidRPr="00BC3A80">
        <w:rPr>
          <w:rFonts w:ascii="Verdana" w:hAnsi="Verdana" w:cs="Arial"/>
          <w:lang w:val="es-ES"/>
        </w:rPr>
        <w:t xml:space="preserve">de la Ley 996 de 2005 prohíbe “[…] la contratación directa por parte de </w:t>
      </w:r>
      <w:r w:rsidRPr="00BC3A80">
        <w:rPr>
          <w:rFonts w:ascii="Verdana" w:hAnsi="Verdana" w:cs="Arial"/>
          <w:i/>
          <w:iCs/>
          <w:lang w:val="es-ES"/>
        </w:rPr>
        <w:t>todos los entes del Estado</w:t>
      </w:r>
      <w:r w:rsidRPr="00BC3A80">
        <w:rPr>
          <w:rFonts w:ascii="Verdana" w:hAnsi="Verdana" w:cs="Arial"/>
          <w:lang w:val="es-ES"/>
        </w:rPr>
        <w:t xml:space="preserve">” durante los cuatro (4) meses anteriores a las </w:t>
      </w:r>
      <w:r w:rsidRPr="00BC3A80">
        <w:rPr>
          <w:rFonts w:ascii="Verdana" w:hAnsi="Verdana" w:cs="Arial"/>
          <w:i/>
          <w:iCs/>
          <w:lang w:val="es-ES"/>
        </w:rPr>
        <w:t>elecciones presidenciales</w:t>
      </w:r>
      <w:r w:rsidRPr="00BC3A80">
        <w:rPr>
          <w:rFonts w:ascii="Verdana" w:hAnsi="Verdana" w:cs="Arial"/>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BC3A80">
        <w:rPr>
          <w:rFonts w:ascii="Verdana" w:hAnsi="Verdana" w:cs="Arial"/>
          <w:vertAlign w:val="superscript"/>
          <w:lang w:val="es-ES"/>
        </w:rPr>
        <w:footnoteReference w:id="18"/>
      </w:r>
      <w:r w:rsidRPr="00BC3A80">
        <w:rPr>
          <w:rFonts w:ascii="Verdana" w:hAnsi="Verdana" w:cs="Arial"/>
          <w:lang w:val="es-ES"/>
        </w:rPr>
        <w:t>.</w:t>
      </w:r>
    </w:p>
    <w:p w14:paraId="04E5D79F" w14:textId="77777777" w:rsidR="004D0547" w:rsidRPr="00BC3A80" w:rsidRDefault="004D0547" w:rsidP="004D0547">
      <w:pPr>
        <w:widowControl w:val="0"/>
        <w:autoSpaceDE w:val="0"/>
        <w:autoSpaceDN w:val="0"/>
        <w:spacing w:after="120" w:line="276" w:lineRule="auto"/>
        <w:ind w:right="113" w:firstLine="709"/>
        <w:jc w:val="both"/>
        <w:rPr>
          <w:rFonts w:ascii="Verdana" w:eastAsia="Arial" w:hAnsi="Verdana" w:cs="Arial"/>
          <w:lang w:val="es-ES" w:eastAsia="es-ES" w:bidi="es-ES"/>
        </w:rPr>
      </w:pPr>
      <w:r w:rsidRPr="00BC3A80">
        <w:rPr>
          <w:rFonts w:ascii="Verdana" w:hAnsi="Verdana" w:cs="Arial"/>
          <w:lang w:val="es-ES"/>
        </w:rPr>
        <w:t xml:space="preserve">Por otro lado, </w:t>
      </w:r>
      <w:r w:rsidRPr="00BC3A80">
        <w:rPr>
          <w:rFonts w:ascii="Verdana" w:hAnsi="Verdana" w:cs="Arial"/>
          <w:i/>
          <w:iCs/>
          <w:lang w:val="es-ES"/>
        </w:rPr>
        <w:t xml:space="preserve">el parágrafo del artículo 38 </w:t>
      </w:r>
      <w:r w:rsidRPr="00BC3A80">
        <w:rPr>
          <w:rFonts w:ascii="Verdana" w:hAnsi="Verdana" w:cs="Arial"/>
          <w:lang w:val="es-ES"/>
        </w:rPr>
        <w:t xml:space="preserve">de la Ley 996 de 2005 prevé </w:t>
      </w:r>
      <w:r w:rsidRPr="00BC3A80">
        <w:rPr>
          <w:rFonts w:ascii="Verdana" w:hAnsi="Verdana" w:cs="Arial"/>
          <w:lang w:val="es-ES"/>
        </w:rPr>
        <w:lastRenderedPageBreak/>
        <w:t xml:space="preserve">una restricción, aplicable respecto de </w:t>
      </w:r>
      <w:r w:rsidRPr="00BC3A80">
        <w:rPr>
          <w:rFonts w:ascii="Verdana" w:hAnsi="Verdana" w:cs="Arial"/>
          <w:i/>
          <w:iCs/>
          <w:lang w:val="es-ES"/>
        </w:rPr>
        <w:t>cualquier tipo de contienda electoral</w:t>
      </w:r>
      <w:r w:rsidRPr="00BC3A80">
        <w:rPr>
          <w:rFonts w:ascii="Verdana" w:hAnsi="Verdana" w:cs="Arial"/>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BC3A80">
        <w:rPr>
          <w:rFonts w:ascii="Verdana" w:hAnsi="Verdana" w:cs="Arial"/>
          <w:vertAlign w:val="superscript"/>
          <w:lang w:val="es-ES"/>
        </w:rPr>
        <w:footnoteReference w:id="19"/>
      </w:r>
      <w:r w:rsidRPr="00BC3A80">
        <w:rPr>
          <w:rFonts w:ascii="Verdana" w:hAnsi="Verdana" w:cs="Arial"/>
          <w:lang w:val="es-ES"/>
        </w:rPr>
        <w:t>.</w:t>
      </w:r>
      <w:r w:rsidRPr="00BC3A80">
        <w:rPr>
          <w:rFonts w:ascii="Verdana" w:eastAsia="Arial" w:hAnsi="Verdana" w:cs="Arial"/>
          <w:lang w:val="es-ES" w:eastAsia="es-ES" w:bidi="es-ES"/>
        </w:rPr>
        <w:t xml:space="preserve"> </w:t>
      </w:r>
    </w:p>
    <w:p w14:paraId="008D9222" w14:textId="77777777" w:rsidR="004D0547" w:rsidRPr="00BC3A80" w:rsidRDefault="004D0547" w:rsidP="004D0547">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BC3A80">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señala:</w:t>
      </w:r>
    </w:p>
    <w:p w14:paraId="522BCBA3" w14:textId="77777777" w:rsidR="004D0547" w:rsidRPr="00BC3A80" w:rsidRDefault="004D0547" w:rsidP="004D0547">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75300946" w14:textId="77777777" w:rsidR="004D0547" w:rsidRPr="00BC3A80" w:rsidRDefault="004D0547" w:rsidP="004D0547">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BC3A80">
        <w:rPr>
          <w:rFonts w:ascii="Verdana" w:eastAsia="Arial" w:hAnsi="Verdana" w:cs="Arial"/>
          <w:sz w:val="20"/>
          <w:szCs w:val="20"/>
          <w:lang w:val="es-ES" w:eastAsia="es-ES" w:bidi="es-ES"/>
        </w:rPr>
        <w:t>“La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BC3A80">
        <w:rPr>
          <w:rFonts w:ascii="Verdana" w:eastAsia="Arial" w:hAnsi="Verdana" w:cs="Arial"/>
          <w:sz w:val="20"/>
          <w:szCs w:val="20"/>
          <w:vertAlign w:val="superscript"/>
          <w:lang w:val="es-ES" w:eastAsia="es-ES" w:bidi="es-ES"/>
        </w:rPr>
        <w:footnoteReference w:id="20"/>
      </w:r>
      <w:r w:rsidRPr="00BC3A80">
        <w:rPr>
          <w:rFonts w:ascii="Verdana" w:eastAsia="Arial" w:hAnsi="Verdana" w:cs="Arial"/>
          <w:sz w:val="20"/>
          <w:szCs w:val="20"/>
          <w:lang w:val="es-ES" w:eastAsia="es-ES" w:bidi="es-ES"/>
        </w:rPr>
        <w:t>”.</w:t>
      </w:r>
    </w:p>
    <w:p w14:paraId="4EE0BEA9" w14:textId="77777777" w:rsidR="004D0547" w:rsidRPr="00BC3A80" w:rsidRDefault="004D0547" w:rsidP="004D0547">
      <w:pPr>
        <w:widowControl w:val="0"/>
        <w:autoSpaceDE w:val="0"/>
        <w:autoSpaceDN w:val="0"/>
        <w:spacing w:after="0" w:line="276" w:lineRule="auto"/>
        <w:contextualSpacing/>
        <w:rPr>
          <w:rFonts w:ascii="Verdana" w:eastAsia="Arial" w:hAnsi="Verdana" w:cs="Arial"/>
          <w:lang w:val="es-ES" w:eastAsia="es-ES" w:bidi="es-ES"/>
        </w:rPr>
      </w:pPr>
    </w:p>
    <w:p w14:paraId="1EFF3988" w14:textId="77777777" w:rsidR="004D0547" w:rsidRPr="00BC3A80" w:rsidRDefault="004D0547" w:rsidP="004D0547">
      <w:pPr>
        <w:spacing w:after="120" w:line="276" w:lineRule="auto"/>
        <w:ind w:firstLine="709"/>
        <w:jc w:val="both"/>
        <w:rPr>
          <w:rFonts w:ascii="Verdana" w:eastAsia="Arial" w:hAnsi="Verdana" w:cs="Arial"/>
          <w:lang w:val="es-ES" w:eastAsia="es-ES" w:bidi="es-ES"/>
        </w:rPr>
      </w:pPr>
      <w:r w:rsidRPr="00BC3A80">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BC3A80">
        <w:rPr>
          <w:rFonts w:ascii="Verdana" w:eastAsia="Arial" w:hAnsi="Verdana" w:cs="Arial"/>
          <w:i/>
          <w:lang w:val="es-ES" w:eastAsia="es-ES" w:bidi="es-ES"/>
        </w:rPr>
        <w:t>En primer lugar</w:t>
      </w:r>
      <w:r w:rsidRPr="00BC3A80">
        <w:rPr>
          <w:rFonts w:ascii="Verdana" w:eastAsia="Arial" w:hAnsi="Verdana" w:cs="Arial"/>
          <w:lang w:val="es-ES" w:eastAsia="es-ES" w:bidi="es-ES"/>
        </w:rPr>
        <w:t xml:space="preserve">, la del artículo 33 que aplica solo respecto de las elecciones presidenciales, en virtud de la cual queda proscrita la contratación directa dentro </w:t>
      </w:r>
      <w:r w:rsidRPr="00BC3A80">
        <w:rPr>
          <w:rFonts w:ascii="Verdana" w:eastAsia="Arial" w:hAnsi="Verdana" w:cs="Arial"/>
          <w:lang w:val="es-ES" w:eastAsia="es-ES" w:bidi="es-ES"/>
        </w:rPr>
        <w:lastRenderedPageBreak/>
        <w:t xml:space="preserve">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BC3A80">
        <w:rPr>
          <w:rFonts w:ascii="Verdana" w:eastAsia="Arial" w:hAnsi="Verdana" w:cs="Arial"/>
          <w:i/>
          <w:lang w:val="es-ES" w:eastAsia="es-ES" w:bidi="es-ES"/>
        </w:rPr>
        <w:t>En segundo lugar</w:t>
      </w:r>
      <w:r w:rsidRPr="00BC3A80">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r>
        <w:rPr>
          <w:rFonts w:ascii="Verdana" w:eastAsia="Arial" w:hAnsi="Verdana" w:cs="Arial"/>
          <w:lang w:val="es-ES" w:eastAsia="es-ES" w:bidi="es-ES"/>
        </w:rPr>
        <w:t xml:space="preserve"> para los sujetos señalados en la disposición</w:t>
      </w:r>
      <w:r w:rsidRPr="00BC3A80">
        <w:rPr>
          <w:rFonts w:ascii="Verdana" w:eastAsia="Arial" w:hAnsi="Verdana" w:cs="Arial"/>
          <w:lang w:val="es-ES" w:eastAsia="es-ES" w:bidi="es-ES"/>
        </w:rPr>
        <w:t>.</w:t>
      </w:r>
    </w:p>
    <w:p w14:paraId="404ECB9B" w14:textId="77777777" w:rsidR="004D0547" w:rsidRPr="00BC3A80" w:rsidRDefault="004D0547" w:rsidP="004D0547">
      <w:pPr>
        <w:spacing w:after="120" w:line="276" w:lineRule="auto"/>
        <w:ind w:firstLine="709"/>
        <w:jc w:val="both"/>
        <w:rPr>
          <w:rFonts w:ascii="Verdana" w:eastAsia="Arial" w:hAnsi="Verdana" w:cs="Arial"/>
          <w:lang w:val="es-ES" w:eastAsia="es-ES" w:bidi="es-ES"/>
        </w:rPr>
      </w:pPr>
      <w:r w:rsidRPr="00BC3A80">
        <w:rPr>
          <w:rFonts w:ascii="Verdana" w:eastAsia="Arial" w:hAnsi="Verdana" w:cs="Arial"/>
          <w:lang w:val="es-ES" w:eastAsia="es-ES" w:bidi="es-ES"/>
        </w:rPr>
        <w:t>Ambas restricciones no son excluyentes, lo que permite concluir que, en el período preelectoral para elección de Presidente de la República, aplican las restricciones del artículo 33 con sus excepciones, así como las del parágrafo del artículo 38, a todos los entes del Estado. En cambio, tratándose de elecciones en general, excluyendo las correspondientes al Presidente de la República, las autoridades allí mencionadas sólo deben aplicar las restricciones contenidas en el parágrafo del artículo 38.</w:t>
      </w:r>
    </w:p>
    <w:p w14:paraId="29E5D1CD" w14:textId="77777777" w:rsidR="004D0547" w:rsidRPr="00BC3A80" w:rsidRDefault="004D0547" w:rsidP="004D0547">
      <w:pPr>
        <w:spacing w:after="120" w:line="276" w:lineRule="auto"/>
        <w:ind w:firstLine="709"/>
        <w:jc w:val="both"/>
        <w:rPr>
          <w:rFonts w:ascii="Verdana" w:eastAsia="Arial" w:hAnsi="Verdana" w:cs="Arial"/>
          <w:lang w:val="es-ES" w:eastAsia="es-ES" w:bidi="es-ES"/>
        </w:rPr>
      </w:pPr>
      <w:r w:rsidRPr="00BC3A80">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p>
    <w:p w14:paraId="70AE6CCD" w14:textId="77777777" w:rsidR="004D0547" w:rsidRPr="00BC3A80" w:rsidRDefault="004D0547" w:rsidP="004D0547">
      <w:pPr>
        <w:spacing w:after="0" w:line="276" w:lineRule="auto"/>
        <w:ind w:firstLine="708"/>
        <w:jc w:val="both"/>
        <w:rPr>
          <w:rFonts w:ascii="Verdana" w:eastAsia="Times New Roman" w:hAnsi="Verdana" w:cs="Arial"/>
          <w:lang w:val="es-ES" w:eastAsia="es-CO"/>
        </w:rPr>
      </w:pPr>
      <w:r>
        <w:rPr>
          <w:rFonts w:ascii="Verdana" w:hAnsi="Verdana" w:cs="Arial"/>
          <w:lang w:val="es-ES"/>
        </w:rPr>
        <w:t>Frente al</w:t>
      </w:r>
      <w:r w:rsidRPr="00BC3A80">
        <w:rPr>
          <w:rFonts w:ascii="Verdana" w:hAnsi="Verdana" w:cs="Arial"/>
          <w:lang w:val="es-ES" w:eastAsia="es-ES" w:bidi="es-ES"/>
        </w:rPr>
        <w:t xml:space="preserve"> alcance de la prohibición </w:t>
      </w:r>
      <w:r w:rsidRPr="00BC3A80">
        <w:rPr>
          <w:rFonts w:ascii="Verdana" w:eastAsia="Arial" w:hAnsi="Verdana" w:cs="Arial"/>
          <w:lang w:val="es-ES" w:eastAsia="es-ES" w:bidi="es-ES"/>
        </w:rPr>
        <w:t>establecida en e</w:t>
      </w:r>
      <w:r w:rsidRPr="00BC3A80">
        <w:rPr>
          <w:rFonts w:ascii="Verdana" w:hAnsi="Verdana" w:cs="Arial"/>
          <w:lang w:val="es-ES"/>
        </w:rPr>
        <w:t xml:space="preserve">l </w:t>
      </w:r>
      <w:r w:rsidRPr="00BC3A80">
        <w:rPr>
          <w:rFonts w:ascii="Verdana" w:eastAsia="Times New Roman" w:hAnsi="Verdana" w:cs="Arial"/>
          <w:lang w:val="es-ES"/>
        </w:rPr>
        <w:t>artículo 33 de la Ley 996 de 2005 y sus excepciones</w:t>
      </w:r>
      <w:r>
        <w:rPr>
          <w:rFonts w:ascii="Verdana" w:eastAsia="Times New Roman" w:hAnsi="Verdana" w:cs="Arial"/>
          <w:lang w:val="es-ES"/>
        </w:rPr>
        <w:t>, se precisa que e</w:t>
      </w:r>
      <w:r w:rsidRPr="00BC3A80">
        <w:rPr>
          <w:rFonts w:ascii="Verdana" w:eastAsia="Times New Roman" w:hAnsi="Verdana" w:cs="Arial"/>
          <w:lang w:val="es-ES"/>
        </w:rPr>
        <w:t xml:space="preserve">l </w:t>
      </w:r>
      <w:r w:rsidRPr="00BC3A80">
        <w:rPr>
          <w:rFonts w:ascii="Verdana" w:eastAsia="Times New Roman" w:hAnsi="Verdana" w:cs="Arial"/>
          <w:i/>
          <w:iCs/>
          <w:lang w:val="es-ES"/>
        </w:rPr>
        <w:t>ámbito material</w:t>
      </w:r>
      <w:r w:rsidRPr="00BC3A80">
        <w:rPr>
          <w:rFonts w:ascii="Verdana" w:eastAsia="Times New Roman" w:hAnsi="Verdana" w:cs="Arial"/>
          <w:lang w:val="es-ES"/>
        </w:rPr>
        <w:t xml:space="preserve"> de esta prohibición está delimitado por la expresión </w:t>
      </w:r>
      <w:r w:rsidRPr="00BC3A80">
        <w:rPr>
          <w:rFonts w:ascii="Verdana" w:hAnsi="Verdana" w:cs="Arial"/>
          <w:bCs/>
          <w:lang w:val="es-ES"/>
        </w:rPr>
        <w:t>“</w:t>
      </w:r>
      <w:r w:rsidRPr="00BC3A80">
        <w:rPr>
          <w:rFonts w:ascii="Verdana" w:eastAsia="Times New Roman" w:hAnsi="Verdana" w:cs="Arial"/>
          <w:lang w:val="es-ES"/>
        </w:rPr>
        <w:t xml:space="preserve">queda prohibida la contratación </w:t>
      </w:r>
      <w:r w:rsidRPr="00BC3A80">
        <w:rPr>
          <w:rFonts w:ascii="Verdana" w:eastAsia="Times New Roman" w:hAnsi="Verdana" w:cs="Arial"/>
          <w:lang w:val="es-ES"/>
        </w:rPr>
        <w:lastRenderedPageBreak/>
        <w:t>directa</w:t>
      </w:r>
      <w:r w:rsidRPr="00BC3A80">
        <w:rPr>
          <w:rFonts w:ascii="Verdana" w:hAnsi="Verdana" w:cs="Arial"/>
          <w:lang w:val="es-ES"/>
        </w:rPr>
        <w:t>”</w:t>
      </w:r>
      <w:r w:rsidRPr="00BC3A80">
        <w:rPr>
          <w:rFonts w:ascii="Verdana" w:eastAsia="Times New Roman" w:hAnsi="Verdana" w:cs="Arial"/>
          <w:lang w:val="es-ES"/>
        </w:rPr>
        <w:t xml:space="preserve">. </w:t>
      </w:r>
      <w:r w:rsidRPr="00BC3A80">
        <w:rPr>
          <w:rFonts w:ascii="Verdana" w:eastAsia="Times New Roman" w:hAnsi="Verdana" w:cs="Arial"/>
          <w:lang w:val="es-ES" w:eastAsia="es-CO"/>
        </w:rPr>
        <w:t>A propósito de esta restricción de la Ley de Garantías Electorales, la Sala de Consulta y Servicio Civil del Consejo de Estado ha considerado que:</w:t>
      </w:r>
    </w:p>
    <w:p w14:paraId="6E90F1AD" w14:textId="77777777" w:rsidR="004D0547" w:rsidRPr="00BC3A80" w:rsidRDefault="004D0547" w:rsidP="004D0547">
      <w:pPr>
        <w:spacing w:after="0" w:line="276" w:lineRule="auto"/>
        <w:jc w:val="both"/>
        <w:rPr>
          <w:rFonts w:ascii="Verdana" w:eastAsia="Arial" w:hAnsi="Verdana" w:cs="Arial"/>
          <w:lang w:val="es-ES" w:eastAsia="es-ES" w:bidi="es-ES"/>
        </w:rPr>
      </w:pPr>
    </w:p>
    <w:p w14:paraId="499467C4" w14:textId="77777777" w:rsidR="004D0547" w:rsidRPr="00BC3A80" w:rsidRDefault="004D0547" w:rsidP="004D0547">
      <w:pPr>
        <w:spacing w:after="0" w:line="240" w:lineRule="auto"/>
        <w:ind w:left="709" w:right="709"/>
        <w:jc w:val="both"/>
        <w:rPr>
          <w:rFonts w:ascii="Verdana" w:hAnsi="Verdana" w:cs="Arial"/>
          <w:sz w:val="20"/>
          <w:szCs w:val="20"/>
          <w:lang w:val="es-ES"/>
        </w:rPr>
      </w:pPr>
      <w:r w:rsidRPr="00BC3A80">
        <w:rPr>
          <w:rFonts w:ascii="Verdana" w:hAnsi="Verdana" w:cs="Arial"/>
          <w:sz w:val="20"/>
          <w:szCs w:val="20"/>
          <w:lang w:val="es-ES"/>
        </w:rPr>
        <w:t>“[…] 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BC3A80">
        <w:rPr>
          <w:rFonts w:ascii="Verdana" w:eastAsia="Times New Roman" w:hAnsi="Verdana" w:cs="Arial"/>
          <w:sz w:val="20"/>
          <w:szCs w:val="20"/>
          <w:vertAlign w:val="superscript"/>
          <w:lang w:val="es-ES"/>
        </w:rPr>
        <w:footnoteReference w:id="21"/>
      </w:r>
      <w:r w:rsidRPr="00BC3A80">
        <w:rPr>
          <w:rFonts w:ascii="Verdana" w:eastAsia="Times New Roman" w:hAnsi="Verdana" w:cs="Arial"/>
          <w:sz w:val="20"/>
          <w:szCs w:val="20"/>
          <w:vertAlign w:val="superscript"/>
          <w:lang w:val="es-ES"/>
        </w:rPr>
        <w:t>.</w:t>
      </w:r>
      <w:r w:rsidRPr="00BC3A80">
        <w:rPr>
          <w:rFonts w:ascii="Verdana" w:hAnsi="Verdana" w:cs="Arial"/>
          <w:sz w:val="20"/>
          <w:szCs w:val="20"/>
          <w:lang w:val="es-ES"/>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BC3A80">
        <w:rPr>
          <w:rFonts w:ascii="Verdana" w:eastAsia="Times New Roman" w:hAnsi="Verdana" w:cs="Arial"/>
          <w:sz w:val="20"/>
          <w:szCs w:val="20"/>
          <w:vertAlign w:val="superscript"/>
          <w:lang w:val="es-ES" w:eastAsia="es-CO"/>
        </w:rPr>
        <w:footnoteReference w:id="22"/>
      </w:r>
      <w:r w:rsidRPr="00BC3A80">
        <w:rPr>
          <w:rFonts w:ascii="Verdana" w:hAnsi="Verdana" w:cs="Arial"/>
          <w:sz w:val="20"/>
          <w:szCs w:val="20"/>
          <w:lang w:val="es-ES"/>
        </w:rPr>
        <w:t xml:space="preserve"> .</w:t>
      </w:r>
    </w:p>
    <w:p w14:paraId="5D5DB606" w14:textId="77777777" w:rsidR="004D0547" w:rsidRPr="00BC3A80" w:rsidRDefault="004D0547" w:rsidP="004D0547">
      <w:pPr>
        <w:shd w:val="clear" w:color="auto" w:fill="FFFFFF" w:themeFill="background1"/>
        <w:spacing w:after="0" w:line="276" w:lineRule="auto"/>
        <w:ind w:firstLine="709"/>
        <w:jc w:val="both"/>
        <w:rPr>
          <w:rFonts w:ascii="Verdana" w:eastAsia="Times New Roman" w:hAnsi="Verdana" w:cs="Arial"/>
          <w:lang w:val="es-ES" w:eastAsia="x-none"/>
        </w:rPr>
      </w:pPr>
    </w:p>
    <w:p w14:paraId="6F1CECA1" w14:textId="77777777" w:rsidR="004D0547" w:rsidRPr="00BC3A80" w:rsidRDefault="004D0547" w:rsidP="004D0547">
      <w:pPr>
        <w:spacing w:after="120" w:line="276" w:lineRule="auto"/>
        <w:ind w:firstLine="708"/>
        <w:jc w:val="both"/>
        <w:rPr>
          <w:rFonts w:ascii="Verdana" w:eastAsia="Times New Roman" w:hAnsi="Verdana" w:cs="Arial"/>
          <w:bCs/>
          <w:lang w:val="es-ES" w:eastAsia="x-none"/>
        </w:rPr>
      </w:pPr>
      <w:r w:rsidRPr="00BC3A80">
        <w:rPr>
          <w:rFonts w:ascii="Verdana" w:eastAsia="Times New Roman" w:hAnsi="Verdana" w:cs="Arial"/>
          <w:lang w:val="es-ES" w:eastAsia="x-none"/>
        </w:rPr>
        <w:t xml:space="preserve">De acuerdo con este concepto, la prohibición del artículo 33 de la Ley de Garantías Electorales se refiere a </w:t>
      </w:r>
      <w:r w:rsidRPr="00BC3A80">
        <w:rPr>
          <w:rFonts w:ascii="Verdana" w:eastAsia="Times New Roman" w:hAnsi="Verdana" w:cs="Arial"/>
          <w:sz w:val="19"/>
          <w:szCs w:val="19"/>
          <w:lang w:val="es-ES" w:eastAsia="en-GB"/>
        </w:rPr>
        <w:t>“</w:t>
      </w:r>
      <w:r w:rsidRPr="00BC3A80">
        <w:rPr>
          <w:rFonts w:ascii="Verdana" w:eastAsia="Times New Roman" w:hAnsi="Verdana" w:cs="Arial"/>
          <w:lang w:val="es-ES" w:eastAsia="x-none"/>
        </w:rPr>
        <w:t>cualquier sistema que no implique convocatoria pública y posibilidad de pluralidad de oferentes</w:t>
      </w:r>
      <w:r w:rsidRPr="00BC3A80">
        <w:rPr>
          <w:rFonts w:ascii="Verdana" w:eastAsia="Times New Roman" w:hAnsi="Verdana" w:cs="Arial"/>
          <w:lang w:val="es-ES" w:eastAsia="en-GB"/>
        </w:rPr>
        <w:t>”</w:t>
      </w:r>
      <w:r w:rsidRPr="00BC3A80">
        <w:rPr>
          <w:rFonts w:ascii="Verdana" w:eastAsia="Times New Roman" w:hAnsi="Verdana" w:cs="Arial"/>
          <w:lang w:val="es-ES" w:eastAsia="x-none"/>
        </w:rPr>
        <w:t xml:space="preserve">, por lo que excluye las demás modalidades de contratación previstas en la Ley 1150 de 2007, es decir, la licitación pública, la selección abreviada, el concurso de méritos </w:t>
      </w:r>
      <w:r w:rsidRPr="00BC3A80">
        <w:rPr>
          <w:rFonts w:ascii="Verdana" w:eastAsia="Times New Roman" w:hAnsi="Verdana" w:cs="Arial"/>
          <w:lang w:val="es-ES"/>
        </w:rPr>
        <w:t>y la mínima cuantía</w:t>
      </w:r>
      <w:r w:rsidRPr="00BC3A80" w:rsidDel="00A85D9F">
        <w:rPr>
          <w:rFonts w:ascii="Verdana" w:eastAsia="Times New Roman" w:hAnsi="Verdana" w:cs="Arial"/>
          <w:lang w:val="es-ES" w:eastAsia="x-none"/>
        </w:rPr>
        <w:t xml:space="preserve"> </w:t>
      </w:r>
      <w:r w:rsidRPr="00BC3A80">
        <w:rPr>
          <w:rFonts w:ascii="Verdana" w:eastAsia="Times New Roman" w:hAnsi="Verdana" w:cs="Arial"/>
          <w:lang w:val="es-ES"/>
        </w:rPr>
        <w:t xml:space="preserve">u otros previstos en normas especiales. </w:t>
      </w:r>
      <w:r w:rsidRPr="00BC3A80">
        <w:rPr>
          <w:rFonts w:ascii="Verdana" w:eastAsia="Times New Roman" w:hAnsi="Verdana" w:cs="Arial"/>
          <w:lang w:val="es-ES" w:eastAsia="x-none"/>
        </w:rPr>
        <w:t>Esta posición es congruente con la expedición de la Ley 1150 de 2007 que, entre otras reformas, introdujo la selección abreviada, rediseñó el concurso de méritos</w:t>
      </w:r>
      <w:r w:rsidRPr="00BC3A80">
        <w:rPr>
          <w:rFonts w:ascii="Verdana" w:eastAsia="Times New Roman" w:hAnsi="Verdana" w:cs="Arial"/>
          <w:vertAlign w:val="superscript"/>
          <w:lang w:val="es-ES" w:eastAsia="x-none"/>
        </w:rPr>
        <w:footnoteReference w:id="23"/>
      </w:r>
      <w:r w:rsidRPr="00BC3A80">
        <w:rPr>
          <w:rFonts w:ascii="Verdana" w:eastAsia="Times New Roman" w:hAnsi="Verdana" w:cs="Arial"/>
          <w:lang w:val="es-ES" w:eastAsia="x-none"/>
        </w:rPr>
        <w:t xml:space="preserve"> y sistematizó las causales de contratación directa</w:t>
      </w:r>
      <w:r w:rsidRPr="00BC3A80">
        <w:rPr>
          <w:rFonts w:ascii="Verdana" w:eastAsia="Times New Roman" w:hAnsi="Verdana" w:cs="Arial"/>
          <w:vertAlign w:val="superscript"/>
          <w:lang w:val="es-ES" w:eastAsia="x-none"/>
        </w:rPr>
        <w:footnoteReference w:id="24"/>
      </w:r>
      <w:r w:rsidRPr="00BC3A80">
        <w:rPr>
          <w:rFonts w:ascii="Verdana" w:eastAsia="Times New Roman" w:hAnsi="Verdana" w:cs="Arial"/>
          <w:lang w:val="es-ES" w:eastAsia="x-none"/>
        </w:rPr>
        <w:t xml:space="preserve">, </w:t>
      </w:r>
      <w:r w:rsidRPr="00BC3A80">
        <w:rPr>
          <w:rFonts w:ascii="Verdana" w:hAnsi="Verdana" w:cs="Arial"/>
          <w:lang w:val="es-ES" w:eastAsia="x-none"/>
        </w:rPr>
        <w:t>además lo es con la posterior creación de la modalidad de mínima cuantía establecida actualmente en el numeral 5 del artículo 2 de la Ley 1150 de 2007, de acuerdo con las modificaciones realizadas por leyes posteriores.</w:t>
      </w:r>
    </w:p>
    <w:p w14:paraId="43AEBE45" w14:textId="77777777" w:rsidR="004D0547" w:rsidRPr="00BC3A80" w:rsidRDefault="004D0547" w:rsidP="004D0547">
      <w:pPr>
        <w:spacing w:after="120" w:line="276" w:lineRule="auto"/>
        <w:ind w:firstLine="708"/>
        <w:jc w:val="both"/>
        <w:rPr>
          <w:rFonts w:ascii="Verdana" w:eastAsia="Times New Roman" w:hAnsi="Verdana" w:cs="Arial"/>
          <w:bCs/>
          <w:lang w:val="es-ES" w:eastAsia="es-CO"/>
        </w:rPr>
      </w:pPr>
      <w:r w:rsidRPr="00BC3A80">
        <w:rPr>
          <w:rFonts w:ascii="Verdana" w:eastAsia="Times New Roman" w:hAnsi="Verdana" w:cs="Arial"/>
          <w:bCs/>
          <w:lang w:val="es-ES"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w:t>
      </w:r>
      <w:r w:rsidRPr="00BC3A80">
        <w:rPr>
          <w:rFonts w:ascii="Verdana" w:eastAsia="Times New Roman" w:hAnsi="Verdana" w:cs="Arial"/>
          <w:bCs/>
          <w:i/>
          <w:iCs/>
          <w:lang w:val="es-ES" w:eastAsia="es-CO"/>
        </w:rPr>
        <w:t>, sino también frente a las entidades que tengan un régimen especial de contratación</w:t>
      </w:r>
      <w:r w:rsidRPr="00BC3A80">
        <w:rPr>
          <w:rFonts w:ascii="Verdana" w:eastAsia="Times New Roman" w:hAnsi="Verdana" w:cs="Arial"/>
          <w:bCs/>
          <w:lang w:val="es-ES" w:eastAsia="es-CO"/>
        </w:rPr>
        <w:t xml:space="preserve">. No obstante, también se observa que luego </w:t>
      </w:r>
      <w:r w:rsidRPr="00BC3A80">
        <w:rPr>
          <w:rFonts w:ascii="Verdana" w:eastAsia="Times New Roman" w:hAnsi="Verdana" w:cs="Arial"/>
          <w:bCs/>
          <w:lang w:val="es-ES" w:eastAsia="es-CO"/>
        </w:rPr>
        <w:lastRenderedPageBreak/>
        <w:t xml:space="preserve">de la expedición de Ley 1150 de 2007, el Consejo de Estado comenzó a delimitar con mayor precisión el término de “contratación directa”. </w:t>
      </w:r>
      <w:r w:rsidRPr="00BC3A80">
        <w:rPr>
          <w:rFonts w:ascii="Verdana" w:eastAsia="Times New Roman" w:hAnsi="Verdana" w:cs="Arial"/>
          <w:lang w:val="es-ES"/>
        </w:rPr>
        <w:t xml:space="preserve">Así, para la prohibición o restricción temporal contenida en su artículo 33, “contratación directa” es </w:t>
      </w:r>
      <w:r w:rsidRPr="00BC3A80">
        <w:rPr>
          <w:rFonts w:ascii="Verdana" w:eastAsia="Times New Roman" w:hAnsi="Verdana" w:cs="Arial"/>
          <w:i/>
          <w:iCs/>
          <w:lang w:val="es-ES"/>
        </w:rPr>
        <w:t>cualquier</w:t>
      </w:r>
      <w:r w:rsidRPr="00BC3A80">
        <w:rPr>
          <w:rFonts w:ascii="Verdana" w:eastAsia="Times New Roman" w:hAnsi="Verdana" w:cs="Arial"/>
          <w:lang w:val="es-ES"/>
        </w:rPr>
        <w:t xml:space="preserve"> sistema de selección o procedimiento de contratación utilizado por las entidades estatales que no incluya la convocatoria pública en alguna de sus etapas, ni permita la participación de una pluralidad de oferentes</w:t>
      </w:r>
      <w:r w:rsidRPr="00BC3A80">
        <w:rPr>
          <w:rFonts w:ascii="Verdana" w:eastAsia="Times New Roman" w:hAnsi="Verdana" w:cs="Arial"/>
          <w:vertAlign w:val="superscript"/>
          <w:lang w:val="es-ES" w:eastAsia="x-none"/>
        </w:rPr>
        <w:footnoteReference w:id="25"/>
      </w:r>
      <w:r w:rsidRPr="00BC3A80">
        <w:rPr>
          <w:rFonts w:ascii="Verdana" w:eastAsia="Times New Roman" w:hAnsi="Verdana" w:cs="Arial"/>
          <w:lang w:val="es-ES"/>
        </w:rPr>
        <w:t>.</w:t>
      </w:r>
      <w:r w:rsidRPr="00BC3A80">
        <w:rPr>
          <w:rFonts w:ascii="Verdana" w:eastAsia="Times New Roman" w:hAnsi="Verdana" w:cs="Arial"/>
          <w:vertAlign w:val="superscript"/>
          <w:lang w:val="es-ES" w:eastAsia="x-none"/>
        </w:rPr>
        <w:t xml:space="preserve"> </w:t>
      </w:r>
    </w:p>
    <w:p w14:paraId="21C6388E" w14:textId="77777777" w:rsidR="004D0547" w:rsidRPr="00BC3A80" w:rsidRDefault="004D0547" w:rsidP="004D0547">
      <w:pPr>
        <w:spacing w:after="120" w:line="276" w:lineRule="auto"/>
        <w:ind w:firstLine="708"/>
        <w:jc w:val="both"/>
        <w:rPr>
          <w:rFonts w:ascii="Verdana" w:eastAsia="Times New Roman" w:hAnsi="Verdana" w:cs="Arial"/>
          <w:lang w:val="es-ES"/>
        </w:rPr>
      </w:pPr>
      <w:r w:rsidRPr="00BC3A80">
        <w:rPr>
          <w:rFonts w:ascii="Verdana" w:eastAsia="Times New Roman" w:hAnsi="Verdana" w:cs="Arial"/>
          <w:lang w:val="es-ES"/>
        </w:rPr>
        <w:t xml:space="preserve">De lo anterior se desprende que la restricción aplica, sin perjuicio de las excepciones establecidas en la misma ley, para celebrar </w:t>
      </w:r>
      <w:r w:rsidRPr="00BC3A80">
        <w:rPr>
          <w:rFonts w:ascii="Verdana" w:eastAsia="Times New Roman" w:hAnsi="Verdana" w:cs="Arial"/>
          <w:i/>
          <w:iCs/>
          <w:lang w:val="es-ES"/>
        </w:rPr>
        <w:t>cualquier contrato o convenio de forma directa</w:t>
      </w:r>
      <w:r w:rsidRPr="00BC3A80">
        <w:rPr>
          <w:rFonts w:ascii="Verdana" w:eastAsia="Times New Roman" w:hAnsi="Verdana" w:cs="Arial"/>
          <w:lang w:val="es-ES"/>
        </w:rPr>
        <w:t>,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4C74711C" w14:textId="77777777" w:rsidR="004D0547" w:rsidRDefault="004D0547" w:rsidP="004D0547">
      <w:pPr>
        <w:spacing w:after="0" w:line="276" w:lineRule="auto"/>
        <w:ind w:firstLine="708"/>
        <w:jc w:val="both"/>
        <w:rPr>
          <w:rFonts w:ascii="Verdana" w:eastAsia="Times New Roman" w:hAnsi="Verdana" w:cs="Arial"/>
          <w:lang w:val="es-ES"/>
        </w:rPr>
      </w:pPr>
      <w:r w:rsidRPr="00BC3A80">
        <w:rPr>
          <w:rFonts w:ascii="Verdana" w:eastAsia="Times New Roman" w:hAnsi="Verdana" w:cs="Arial"/>
          <w:bCs/>
          <w:lang w:val="es-ES" w:eastAsia="es-CO"/>
        </w:rPr>
        <w:t xml:space="preserve">Con respecto a los </w:t>
      </w:r>
      <w:r w:rsidRPr="00BC3A80">
        <w:rPr>
          <w:rFonts w:ascii="Verdana" w:eastAsia="Times New Roman" w:hAnsi="Verdana" w:cs="Arial"/>
          <w:bCs/>
          <w:i/>
          <w:iCs/>
          <w:lang w:val="es-ES" w:eastAsia="es-CO"/>
        </w:rPr>
        <w:t>sujetos</w:t>
      </w:r>
      <w:r w:rsidRPr="00BC3A80">
        <w:rPr>
          <w:rFonts w:ascii="Verdana" w:eastAsia="Times New Roman" w:hAnsi="Verdana" w:cs="Arial"/>
          <w:bCs/>
          <w:lang w:val="es-ES" w:eastAsia="es-CO"/>
        </w:rPr>
        <w:t xml:space="preserve"> que se encuentran enmarcados en la prohibición del artículo 33, </w:t>
      </w:r>
      <w:r w:rsidRPr="00BC3A80">
        <w:rPr>
          <w:rFonts w:ascii="Verdana" w:eastAsia="Times New Roman" w:hAnsi="Verdana" w:cs="Arial"/>
          <w:lang w:val="es-ES"/>
        </w:rPr>
        <w:t>la Ley 996 de 2005 señala expresamente que son “</w:t>
      </w:r>
      <w:r w:rsidRPr="00BC3A80">
        <w:rPr>
          <w:rFonts w:ascii="Verdana" w:eastAsia="Times New Roman" w:hAnsi="Verdana" w:cs="Arial"/>
          <w:i/>
          <w:iCs/>
          <w:u w:val="single"/>
          <w:lang w:val="es-ES"/>
        </w:rPr>
        <w:t>todos</w:t>
      </w:r>
      <w:r w:rsidRPr="00BC3A80">
        <w:rPr>
          <w:rFonts w:ascii="Verdana" w:eastAsia="Times New Roman" w:hAnsi="Verdana" w:cs="Arial"/>
          <w:i/>
          <w:iCs/>
          <w:lang w:val="es-ES"/>
        </w:rPr>
        <w:t xml:space="preserve"> los entes del Estado</w:t>
      </w:r>
      <w:r w:rsidRPr="00BC3A80">
        <w:rPr>
          <w:rFonts w:ascii="Verdana" w:eastAsia="Times New Roman" w:hAnsi="Verdana" w:cs="Arial"/>
          <w:lang w:val="es-ES"/>
        </w:rPr>
        <w:t>” [énfasis propio]. Al respecto la Sala De Consulta y Servicio Civil del Consejo de Estado señaló lo siguiente:</w:t>
      </w:r>
    </w:p>
    <w:p w14:paraId="2A240AA0" w14:textId="77777777" w:rsidR="004D0547" w:rsidRPr="00BC3A80" w:rsidRDefault="004D0547" w:rsidP="004D0547">
      <w:pPr>
        <w:spacing w:after="0" w:line="276" w:lineRule="auto"/>
        <w:ind w:firstLine="708"/>
        <w:jc w:val="both"/>
        <w:rPr>
          <w:rFonts w:ascii="Verdana" w:eastAsia="Times New Roman" w:hAnsi="Verdana" w:cs="Arial"/>
          <w:lang w:val="es-ES"/>
        </w:rPr>
      </w:pPr>
    </w:p>
    <w:p w14:paraId="43B87298" w14:textId="77777777" w:rsidR="004D0547" w:rsidRPr="00BC3A80" w:rsidRDefault="004D0547" w:rsidP="004D0547">
      <w:pPr>
        <w:spacing w:after="0" w:line="240" w:lineRule="auto"/>
        <w:ind w:left="709" w:right="709"/>
        <w:jc w:val="both"/>
        <w:rPr>
          <w:rFonts w:ascii="Verdana" w:eastAsia="Times New Roman" w:hAnsi="Verdana" w:cs="Arial"/>
          <w:bCs/>
          <w:sz w:val="20"/>
          <w:szCs w:val="20"/>
          <w:lang w:val="es-ES" w:eastAsia="es-CO"/>
        </w:rPr>
      </w:pPr>
      <w:r w:rsidRPr="00BC3A80">
        <w:rPr>
          <w:rFonts w:ascii="Verdana" w:eastAsia="Times New Roman" w:hAnsi="Verdana" w:cs="Arial"/>
          <w:bCs/>
          <w:sz w:val="20"/>
          <w:szCs w:val="20"/>
          <w:lang w:val="es-ES" w:eastAsia="es-CO"/>
        </w:rPr>
        <w:t>“El vocablo "todos" que utilizó el legislador, comprende, en consecuencia, sin distinción del "régimen jurídico, forma de organización o naturaleza, su pertenencia a una u otra rama del poder público o su autonomía, a la totalidad de los entes del Estado. Es decir, la prohibición cobija a cualquier ente público que eventualmente pueda a través de la contratación directa romper el equilibrio entre los partidos y los candidatos a las elecciones presidenciales […]”</w:t>
      </w:r>
      <w:r w:rsidRPr="00BC3A80">
        <w:rPr>
          <w:rFonts w:ascii="Verdana" w:eastAsia="Times New Roman" w:hAnsi="Verdana" w:cs="Arial"/>
          <w:bCs/>
          <w:sz w:val="20"/>
          <w:szCs w:val="20"/>
          <w:vertAlign w:val="superscript"/>
          <w:lang w:val="es-ES" w:eastAsia="es-CO"/>
        </w:rPr>
        <w:footnoteReference w:id="26"/>
      </w:r>
      <w:r w:rsidRPr="00BC3A80">
        <w:rPr>
          <w:rFonts w:ascii="Verdana" w:eastAsia="Times New Roman" w:hAnsi="Verdana" w:cs="Arial"/>
          <w:bCs/>
          <w:sz w:val="20"/>
          <w:szCs w:val="20"/>
          <w:lang w:val="es-ES" w:eastAsia="es-CO"/>
        </w:rPr>
        <w:t>.</w:t>
      </w:r>
    </w:p>
    <w:p w14:paraId="1610FC3A" w14:textId="77777777" w:rsidR="004D0547" w:rsidRPr="00BC3A80" w:rsidRDefault="004D0547" w:rsidP="004D0547">
      <w:pPr>
        <w:spacing w:after="0" w:line="240" w:lineRule="auto"/>
        <w:ind w:left="709" w:right="709"/>
        <w:jc w:val="both"/>
        <w:rPr>
          <w:rFonts w:ascii="Verdana" w:eastAsia="Times New Roman" w:hAnsi="Verdana" w:cs="Arial"/>
          <w:bCs/>
          <w:lang w:val="es-ES" w:eastAsia="es-CO"/>
        </w:rPr>
      </w:pPr>
    </w:p>
    <w:p w14:paraId="24A8E9BB" w14:textId="77777777" w:rsidR="004D0547" w:rsidRPr="00BC3A80" w:rsidRDefault="004D0547" w:rsidP="004D0547">
      <w:pPr>
        <w:spacing w:after="120" w:line="276" w:lineRule="auto"/>
        <w:ind w:firstLine="708"/>
        <w:jc w:val="both"/>
        <w:rPr>
          <w:rFonts w:ascii="Verdana" w:hAnsi="Verdana" w:cs="Arial"/>
          <w:bCs/>
          <w:sz w:val="20"/>
          <w:szCs w:val="20"/>
          <w:lang w:val="es-ES" w:eastAsia="es-CO"/>
        </w:rPr>
      </w:pPr>
      <w:r w:rsidRPr="00BC3A80">
        <w:rPr>
          <w:rFonts w:ascii="Verdana" w:hAnsi="Verdana" w:cs="Arial"/>
          <w:bCs/>
          <w:lang w:val="es-ES" w:eastAsia="x-none"/>
        </w:rPr>
        <w:t>En consecuencia, el artículo 33 de la Ley 996 de 2005 señala expresamente que los destinatarios de la prohibición son “todos los entes del Estado”, expresión que contempla a los diferentes organismos o entidades autorizadas por la ley para suscribir contratos.</w:t>
      </w:r>
      <w:r w:rsidRPr="00BC3A80">
        <w:rPr>
          <w:rFonts w:ascii="Verdana" w:hAnsi="Verdana"/>
          <w:lang w:val="es-ES"/>
        </w:rPr>
        <w:t xml:space="preserve"> </w:t>
      </w:r>
      <w:r w:rsidRPr="00BC3A80">
        <w:rPr>
          <w:rFonts w:ascii="Verdana" w:hAnsi="Verdana" w:cs="Arial"/>
          <w:bCs/>
          <w:lang w:val="es-ES" w:eastAsia="x-none"/>
        </w:rPr>
        <w:t>En efecto, tal como lo ha sostenido el Consejo de Estado, el vocablo “todos” utilizado por el legislador comprende</w:t>
      </w:r>
      <w:r w:rsidRPr="00BC3A80">
        <w:rPr>
          <w:rFonts w:ascii="Verdana" w:hAnsi="Verdana"/>
          <w:lang w:val="es-ES"/>
        </w:rPr>
        <w:t xml:space="preserve"> </w:t>
      </w:r>
      <w:r w:rsidRPr="00BC3A80">
        <w:rPr>
          <w:rFonts w:ascii="Verdana" w:hAnsi="Verdana" w:cs="Arial"/>
          <w:bCs/>
          <w:lang w:val="es-ES" w:eastAsia="x-none"/>
        </w:rPr>
        <w:t xml:space="preserve">a la totalidad de los entes del Estado, sin distinción del régimen jurídico, forma de organización o naturaleza, su pertenencia a una u otra rama del poder público o su autonomía, e incluso si las entidades estatales tienen </w:t>
      </w:r>
      <w:r w:rsidRPr="00BC3A80">
        <w:rPr>
          <w:rFonts w:ascii="Verdana" w:hAnsi="Verdana" w:cs="Arial"/>
          <w:bCs/>
          <w:lang w:val="es-ES" w:eastAsia="x-none"/>
        </w:rPr>
        <w:lastRenderedPageBreak/>
        <w:t>régimen especial de contratación y están exceptuadas del ámbito de aplicación del Estatuto General de Contratación de la Administración Pública</w:t>
      </w:r>
      <w:r w:rsidRPr="00BC3A80">
        <w:rPr>
          <w:rFonts w:ascii="Verdana" w:hAnsi="Verdana" w:cs="Arial"/>
          <w:bCs/>
          <w:sz w:val="20"/>
          <w:szCs w:val="20"/>
          <w:vertAlign w:val="superscript"/>
          <w:lang w:val="es-ES" w:eastAsia="x-none"/>
        </w:rPr>
        <w:footnoteReference w:id="27"/>
      </w:r>
      <w:r w:rsidRPr="00BC3A80">
        <w:rPr>
          <w:rFonts w:ascii="Verdana" w:hAnsi="Verdana" w:cs="Arial"/>
          <w:bCs/>
          <w:sz w:val="20"/>
          <w:szCs w:val="20"/>
          <w:lang w:val="es-ES" w:eastAsia="x-none"/>
        </w:rPr>
        <w:t>.</w:t>
      </w:r>
      <w:r w:rsidRPr="00BC3A80">
        <w:rPr>
          <w:rFonts w:ascii="Verdana" w:hAnsi="Verdana" w:cs="Arial"/>
          <w:bCs/>
          <w:sz w:val="20"/>
          <w:szCs w:val="20"/>
          <w:lang w:val="es-ES" w:eastAsia="es-CO"/>
        </w:rPr>
        <w:t>”</w:t>
      </w:r>
    </w:p>
    <w:p w14:paraId="7F1B684C" w14:textId="77777777" w:rsidR="004D0547" w:rsidRPr="00BC3A80" w:rsidRDefault="004D0547" w:rsidP="004D0547">
      <w:pPr>
        <w:spacing w:after="120" w:line="276" w:lineRule="auto"/>
        <w:ind w:firstLine="709"/>
        <w:jc w:val="both"/>
        <w:rPr>
          <w:rFonts w:ascii="Verdana" w:eastAsia="Arial" w:hAnsi="Verdana" w:cs="Arial"/>
          <w:bCs/>
          <w:color w:val="000000" w:themeColor="text1"/>
          <w:lang w:val="es-ES"/>
        </w:rPr>
      </w:pPr>
      <w:r w:rsidRPr="00BC3A80">
        <w:rPr>
          <w:rFonts w:ascii="Verdana" w:eastAsia="Arial" w:hAnsi="Verdana" w:cs="Arial"/>
          <w:color w:val="000000" w:themeColor="text1"/>
          <w:lang w:val="es-ES"/>
        </w:rPr>
        <w:t xml:space="preserve">Por lo tanto, la restricción del artículo 33 prevista en la Ley 996 de 2005, teniendo en cuenta la finalidad de la ley de garantías electorales, cobija a cualquier ente público que pueda a través de la contratación directa romper el equilibrio entre los partidos y los candidatos en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 o </w:t>
      </w:r>
      <w:r w:rsidRPr="0099520E">
        <w:rPr>
          <w:rFonts w:ascii="Verdana" w:eastAsia="Arial" w:hAnsi="Verdana" w:cs="Arial"/>
          <w:color w:val="000000" w:themeColor="text1"/>
          <w:lang w:val="es-ES"/>
        </w:rPr>
        <w:t>normas especiales.</w:t>
      </w:r>
    </w:p>
    <w:p w14:paraId="597D22BF" w14:textId="77777777" w:rsidR="004D0547" w:rsidRPr="00CD77EE" w:rsidRDefault="004D0547" w:rsidP="004D0547">
      <w:pPr>
        <w:spacing w:after="120" w:line="276" w:lineRule="auto"/>
        <w:ind w:firstLine="709"/>
        <w:jc w:val="both"/>
        <w:rPr>
          <w:rFonts w:ascii="Verdana" w:hAnsi="Verdana" w:cs="Arial"/>
          <w:bCs/>
          <w:color w:val="000000" w:themeColor="text1"/>
          <w:lang w:val="es-ES"/>
        </w:rPr>
      </w:pPr>
      <w:r w:rsidRPr="00CD77EE">
        <w:rPr>
          <w:rFonts w:ascii="Verdana" w:eastAsia="Arial" w:hAnsi="Verdana" w:cs="Arial"/>
          <w:bCs/>
          <w:color w:val="000000" w:themeColor="text1"/>
          <w:lang w:val="es-ES"/>
        </w:rPr>
        <w:t xml:space="preserve">En este punto, debe tenerse en cuenta que, en principio, todos los entes del Estado están cobijados por la prohibición para contratar directamente establecida en el artículo 33 de la Ley de Garantías Electorales. Sin embargo, es importante reiterar que </w:t>
      </w:r>
      <w:r w:rsidRPr="00CD77EE">
        <w:rPr>
          <w:rFonts w:ascii="Verdana" w:hAnsi="Verdana" w:cs="Arial"/>
          <w:bCs/>
          <w:color w:val="000000" w:themeColor="text1"/>
          <w:lang w:val="es-ES"/>
        </w:rPr>
        <w:t>el segundo inciso de la misma disposición consagró las excepciones aplicables a la prohibición de contratación directa establecida en el mismo artículo. Como se indicó, las excepciones a la prohibición del artículo 33 de la norma mencionada son las siguientes:</w:t>
      </w:r>
    </w:p>
    <w:p w14:paraId="30AACC09" w14:textId="77777777" w:rsidR="004D0547" w:rsidRPr="00CD77EE" w:rsidRDefault="004D0547" w:rsidP="004D0547">
      <w:pPr>
        <w:tabs>
          <w:tab w:val="left" w:pos="709"/>
        </w:tabs>
        <w:spacing w:before="120" w:line="276" w:lineRule="auto"/>
        <w:jc w:val="both"/>
        <w:rPr>
          <w:rFonts w:ascii="Verdana" w:hAnsi="Verdana" w:cs="Arial"/>
          <w:bCs/>
          <w:color w:val="000000" w:themeColor="text1"/>
          <w:lang w:val="es-ES"/>
        </w:rPr>
      </w:pPr>
      <w:r w:rsidRPr="00CD77EE">
        <w:rPr>
          <w:rFonts w:ascii="Verdana" w:hAnsi="Verdana" w:cs="Arial"/>
          <w:bCs/>
          <w:color w:val="000000" w:themeColor="text1"/>
          <w:lang w:val="es-ES"/>
        </w:rPr>
        <w:tab/>
        <w:t>1) La contratación referente a la defensa y seguridad del Estado;</w:t>
      </w:r>
    </w:p>
    <w:p w14:paraId="23623629" w14:textId="77777777" w:rsidR="004D0547" w:rsidRPr="00CD77EE" w:rsidRDefault="004D0547" w:rsidP="004D0547">
      <w:pPr>
        <w:tabs>
          <w:tab w:val="left" w:pos="709"/>
        </w:tabs>
        <w:spacing w:before="120" w:line="276" w:lineRule="auto"/>
        <w:jc w:val="both"/>
        <w:rPr>
          <w:rFonts w:ascii="Verdana" w:hAnsi="Verdana" w:cs="Arial"/>
          <w:bCs/>
          <w:color w:val="000000" w:themeColor="text1"/>
          <w:lang w:val="es-ES"/>
        </w:rPr>
      </w:pPr>
      <w:r w:rsidRPr="00CD77EE">
        <w:rPr>
          <w:rFonts w:ascii="Verdana" w:hAnsi="Verdana" w:cs="Arial"/>
          <w:bCs/>
          <w:color w:val="000000" w:themeColor="text1"/>
          <w:lang w:val="es-ES"/>
        </w:rPr>
        <w:tab/>
        <w:t>2) Los contratos de crédito público;</w:t>
      </w:r>
    </w:p>
    <w:p w14:paraId="09C481EA" w14:textId="77777777" w:rsidR="004D0547" w:rsidRPr="00CD77EE" w:rsidRDefault="004D0547" w:rsidP="004D0547">
      <w:pPr>
        <w:tabs>
          <w:tab w:val="left" w:pos="709"/>
        </w:tabs>
        <w:spacing w:before="120" w:line="276" w:lineRule="auto"/>
        <w:jc w:val="both"/>
        <w:rPr>
          <w:rFonts w:ascii="Verdana" w:hAnsi="Verdana" w:cs="Arial"/>
          <w:bCs/>
          <w:color w:val="000000" w:themeColor="text1"/>
          <w:lang w:val="es-ES"/>
        </w:rPr>
      </w:pPr>
      <w:r w:rsidRPr="00CD77EE">
        <w:rPr>
          <w:rFonts w:ascii="Verdana" w:hAnsi="Verdana" w:cs="Arial"/>
          <w:bCs/>
          <w:color w:val="000000" w:themeColor="text1"/>
          <w:lang w:val="es-ES"/>
        </w:rPr>
        <w:tab/>
        <w:t xml:space="preserve">3) Los contratos requeridos para cubrir las emergencias educativas, sanitarias y desastres; </w:t>
      </w:r>
    </w:p>
    <w:p w14:paraId="52B89844" w14:textId="77777777" w:rsidR="004D0547" w:rsidRPr="00CD77EE" w:rsidRDefault="004D0547" w:rsidP="004D0547">
      <w:pPr>
        <w:tabs>
          <w:tab w:val="left" w:pos="709"/>
        </w:tabs>
        <w:spacing w:before="120" w:line="276" w:lineRule="auto"/>
        <w:jc w:val="both"/>
        <w:rPr>
          <w:rFonts w:ascii="Verdana" w:hAnsi="Verdana" w:cs="Arial"/>
          <w:bCs/>
          <w:color w:val="000000" w:themeColor="text1"/>
          <w:lang w:val="es-ES"/>
        </w:rPr>
      </w:pPr>
      <w:r w:rsidRPr="00CD77EE">
        <w:rPr>
          <w:rFonts w:ascii="Verdana" w:hAnsi="Verdana" w:cs="Arial"/>
          <w:bCs/>
          <w:color w:val="000000" w:themeColor="text1"/>
          <w:lang w:val="es-ES"/>
        </w:rPr>
        <w:tab/>
        <w:t>4) La contratación para la reconstrucción de vías, puentes, carreteras, infraestructura energética y de comunicaciones, en caso de que hayan sido objeto de atentados, acciones terroristas, desastres naturales o casos de fuerza mayor y;</w:t>
      </w:r>
    </w:p>
    <w:p w14:paraId="0EB653A1" w14:textId="77777777" w:rsidR="004D0547" w:rsidRPr="00CD77EE" w:rsidRDefault="004D0547" w:rsidP="004D0547">
      <w:pPr>
        <w:tabs>
          <w:tab w:val="left" w:pos="709"/>
        </w:tabs>
        <w:spacing w:before="120" w:line="276" w:lineRule="auto"/>
        <w:jc w:val="both"/>
        <w:rPr>
          <w:rFonts w:ascii="Verdana" w:hAnsi="Verdana" w:cs="Arial"/>
          <w:bCs/>
          <w:color w:val="000000" w:themeColor="text1"/>
          <w:lang w:val="es-ES"/>
        </w:rPr>
      </w:pPr>
      <w:r w:rsidRPr="00CD77EE">
        <w:rPr>
          <w:rFonts w:ascii="Verdana" w:hAnsi="Verdana" w:cs="Arial"/>
          <w:bCs/>
          <w:color w:val="000000" w:themeColor="text1"/>
          <w:lang w:val="es-ES"/>
        </w:rPr>
        <w:tab/>
        <w:t xml:space="preserve">5) La contratación que deban realizar las entidades sanitarias y hospitalarias. </w:t>
      </w:r>
    </w:p>
    <w:p w14:paraId="03B302B0" w14:textId="77777777" w:rsidR="004D0547" w:rsidRPr="00407C12" w:rsidRDefault="004D0547" w:rsidP="004D0547">
      <w:pPr>
        <w:tabs>
          <w:tab w:val="left" w:pos="426"/>
        </w:tabs>
        <w:spacing w:before="120" w:after="0" w:line="276" w:lineRule="auto"/>
        <w:ind w:firstLine="709"/>
        <w:jc w:val="both"/>
        <w:rPr>
          <w:rFonts w:ascii="Verdana" w:hAnsi="Verdana" w:cs="Arial"/>
          <w:bCs/>
          <w:color w:val="000000" w:themeColor="text1"/>
          <w:lang w:val="es-ES"/>
        </w:rPr>
      </w:pPr>
      <w:r w:rsidRPr="00407C12">
        <w:rPr>
          <w:rFonts w:ascii="Verdana" w:hAnsi="Verdana" w:cs="Arial"/>
          <w:bCs/>
          <w:color w:val="000000" w:themeColor="text1"/>
          <w:lang w:val="es-ES"/>
        </w:rPr>
        <w:lastRenderedPageBreak/>
        <w:t xml:space="preserve">La Sala de Consulta y Servicio Civil del Consejo de Estado, en concepto del 4 de febrero de 2010, se pronunció frente a las razones por las que el legislador consagró excepciones al artículo 33 de la Ley de Garantías Electorales en los siguientes términos: </w:t>
      </w:r>
    </w:p>
    <w:p w14:paraId="057ABA16" w14:textId="77777777" w:rsidR="004D0547" w:rsidRPr="00407C12" w:rsidRDefault="004D0547" w:rsidP="004D0547">
      <w:pPr>
        <w:tabs>
          <w:tab w:val="left" w:pos="426"/>
        </w:tabs>
        <w:spacing w:after="0" w:line="240" w:lineRule="auto"/>
        <w:ind w:firstLine="709"/>
        <w:jc w:val="both"/>
        <w:rPr>
          <w:rFonts w:ascii="Verdana" w:hAnsi="Verdana" w:cs="Arial"/>
          <w:bCs/>
          <w:color w:val="000000" w:themeColor="text1"/>
          <w:lang w:val="es-ES"/>
        </w:rPr>
      </w:pPr>
    </w:p>
    <w:p w14:paraId="50418E8C" w14:textId="77777777" w:rsidR="004D0547" w:rsidRPr="00407C12" w:rsidRDefault="004D0547" w:rsidP="004D0547">
      <w:pPr>
        <w:shd w:val="clear" w:color="auto" w:fill="FFFFFF"/>
        <w:spacing w:after="0" w:line="240" w:lineRule="auto"/>
        <w:ind w:left="709" w:right="709"/>
        <w:jc w:val="both"/>
        <w:rPr>
          <w:rFonts w:ascii="Verdana" w:hAnsi="Verdana" w:cs="Arial"/>
          <w:color w:val="000000" w:themeColor="text1"/>
          <w:sz w:val="20"/>
          <w:szCs w:val="20"/>
          <w:lang w:val="es-ES" w:eastAsia="es-CO"/>
        </w:rPr>
      </w:pPr>
      <w:r w:rsidRPr="00407C12">
        <w:rPr>
          <w:rFonts w:ascii="Verdana" w:hAnsi="Verdana" w:cs="Arial"/>
          <w:color w:val="000000" w:themeColor="text1"/>
          <w:sz w:val="20"/>
          <w:szCs w:val="20"/>
          <w:lang w:val="es-ES" w:eastAsia="es-CO"/>
        </w:rPr>
        <w:t>“[…] Las excepciones establecidas en los artículos 32 y 33 en comento, guardan relación, exclusivamente, con algunos servicios públicos que por su naturaleza no admiten postergaciones en la atención de sus necesidades de personal, bienes y servicios [...]</w:t>
      </w:r>
      <w:r w:rsidRPr="00407C12">
        <w:rPr>
          <w:rFonts w:ascii="Verdana" w:hAnsi="Verdana" w:cs="Arial"/>
          <w:color w:val="000000" w:themeColor="text1"/>
          <w:sz w:val="20"/>
          <w:szCs w:val="20"/>
          <w:vertAlign w:val="superscript"/>
          <w:lang w:val="es-ES" w:eastAsia="es-CO"/>
        </w:rPr>
        <w:footnoteReference w:id="28"/>
      </w:r>
      <w:r w:rsidRPr="00407C12">
        <w:rPr>
          <w:rFonts w:ascii="Verdana" w:hAnsi="Verdana" w:cs="Arial"/>
          <w:color w:val="000000" w:themeColor="text1"/>
          <w:sz w:val="20"/>
          <w:szCs w:val="20"/>
          <w:lang w:val="es-ES" w:eastAsia="es-CO"/>
        </w:rPr>
        <w:t xml:space="preserve">”. </w:t>
      </w:r>
    </w:p>
    <w:p w14:paraId="7E065F4E" w14:textId="77777777" w:rsidR="004D0547" w:rsidRPr="00DF0C0C" w:rsidRDefault="004D0547" w:rsidP="004D0547">
      <w:pPr>
        <w:shd w:val="clear" w:color="auto" w:fill="FFFFFF"/>
        <w:spacing w:after="0" w:line="240" w:lineRule="auto"/>
        <w:ind w:left="709" w:right="709"/>
        <w:jc w:val="both"/>
        <w:rPr>
          <w:rFonts w:ascii="Verdana" w:hAnsi="Verdana" w:cs="Arial"/>
          <w:color w:val="000000" w:themeColor="text1"/>
          <w:sz w:val="20"/>
          <w:szCs w:val="20"/>
          <w:highlight w:val="cyan"/>
          <w:lang w:val="es-ES" w:eastAsia="es-CO"/>
        </w:rPr>
      </w:pPr>
    </w:p>
    <w:p w14:paraId="55833A5B" w14:textId="77777777" w:rsidR="004D0547" w:rsidRPr="00DF0C0C" w:rsidRDefault="004D0547" w:rsidP="004D0547">
      <w:pPr>
        <w:tabs>
          <w:tab w:val="left" w:pos="426"/>
          <w:tab w:val="left" w:pos="3402"/>
        </w:tabs>
        <w:spacing w:after="120" w:line="276" w:lineRule="auto"/>
        <w:ind w:firstLine="709"/>
        <w:jc w:val="both"/>
        <w:rPr>
          <w:rFonts w:ascii="Verdana" w:hAnsi="Verdana" w:cs="Arial"/>
          <w:color w:val="000000" w:themeColor="text1"/>
          <w:highlight w:val="cyan"/>
          <w:shd w:val="clear" w:color="auto" w:fill="FFFFFF"/>
          <w:lang w:val="es-ES"/>
        </w:rPr>
      </w:pPr>
      <w:r w:rsidRPr="00DD40AB">
        <w:rPr>
          <w:rFonts w:ascii="Verdana" w:hAnsi="Verdana" w:cs="Arial"/>
          <w:bCs/>
          <w:color w:val="000000" w:themeColor="text1"/>
          <w:lang w:val="es-ES"/>
        </w:rPr>
        <w:t xml:space="preserve">Por tanto, las excepciones a la prohibición contenida en el inciso segundo de artículo 33 de la </w:t>
      </w:r>
      <w:r>
        <w:rPr>
          <w:rFonts w:ascii="Verdana" w:hAnsi="Verdana" w:cs="Arial"/>
          <w:bCs/>
          <w:color w:val="000000" w:themeColor="text1"/>
          <w:lang w:val="es-ES"/>
        </w:rPr>
        <w:t>L</w:t>
      </w:r>
      <w:r w:rsidRPr="00DD40AB">
        <w:rPr>
          <w:rFonts w:ascii="Verdana" w:hAnsi="Verdana" w:cs="Arial"/>
          <w:bCs/>
          <w:color w:val="000000" w:themeColor="text1"/>
          <w:lang w:val="es-ES"/>
        </w:rPr>
        <w:t xml:space="preserve">ey de </w:t>
      </w:r>
      <w:r>
        <w:rPr>
          <w:rFonts w:ascii="Verdana" w:hAnsi="Verdana" w:cs="Arial"/>
          <w:bCs/>
          <w:color w:val="000000" w:themeColor="text1"/>
          <w:lang w:val="es-ES"/>
        </w:rPr>
        <w:t>G</w:t>
      </w:r>
      <w:r w:rsidRPr="00DD40AB">
        <w:rPr>
          <w:rFonts w:ascii="Verdana" w:hAnsi="Verdana" w:cs="Arial"/>
          <w:bCs/>
          <w:color w:val="000000" w:themeColor="text1"/>
          <w:lang w:val="es-ES"/>
        </w:rPr>
        <w:t xml:space="preserve">arantías </w:t>
      </w:r>
      <w:r>
        <w:rPr>
          <w:rFonts w:ascii="Verdana" w:hAnsi="Verdana" w:cs="Arial"/>
          <w:bCs/>
          <w:color w:val="000000" w:themeColor="text1"/>
          <w:lang w:val="es-ES"/>
        </w:rPr>
        <w:t>E</w:t>
      </w:r>
      <w:r w:rsidRPr="00DD40AB">
        <w:rPr>
          <w:rFonts w:ascii="Verdana" w:hAnsi="Verdana" w:cs="Arial"/>
          <w:bCs/>
          <w:color w:val="000000" w:themeColor="text1"/>
          <w:lang w:val="es-ES"/>
        </w:rPr>
        <w:t>lectorales tienen por finalidad garantizar la realización ininterrumpida de ciertas actividades que, dada su importancia en el orden interno, se verían irrazonablemente afectadas por la restricción. De igual forma, la Sala de Consulta y Servicio Civil del Consejo de Estado, en concepto del 2 de septiembre de 2013</w:t>
      </w:r>
      <w:r w:rsidRPr="00DD40AB">
        <w:rPr>
          <w:rFonts w:ascii="Verdana" w:hAnsi="Verdana" w:cs="Arial"/>
          <w:color w:val="000000" w:themeColor="text1"/>
          <w:lang w:val="es-ES"/>
        </w:rPr>
        <w:t xml:space="preserve">, mencionó las excepciones a la prohibición del artículo 33 de la Ley de Garantías Electorales, resaltando su carácter taxativo, y señalando la independencia de los supuestos, así: “[…] </w:t>
      </w:r>
      <w:r w:rsidRPr="00DD40AB">
        <w:rPr>
          <w:rFonts w:ascii="Verdana" w:hAnsi="Verdana" w:cs="Arial"/>
          <w:i/>
          <w:color w:val="000000" w:themeColor="text1"/>
          <w:lang w:val="es-ES"/>
        </w:rPr>
        <w:t xml:space="preserve">Las excepciones aplicables a la restricción de contratación pública. </w:t>
      </w:r>
      <w:r w:rsidRPr="00DD40AB">
        <w:rPr>
          <w:rFonts w:ascii="Verdana" w:hAnsi="Verdana" w:cs="Arial"/>
          <w:color w:val="000000" w:themeColor="text1"/>
          <w:shd w:val="clear" w:color="auto" w:fill="FFFFFF"/>
          <w:lang w:val="es-ES"/>
        </w:rPr>
        <w:t>Ahora bien, las únicas excepciones a las disposiciones previstas en la Ley de Garantías se encuentran numeradas taxativamente en el último inciso del artículo 33 de la ley 996 de 2005 […]”</w:t>
      </w:r>
      <w:r w:rsidRPr="00DD40AB">
        <w:rPr>
          <w:rFonts w:ascii="Verdana" w:hAnsi="Verdana" w:cs="Arial"/>
          <w:color w:val="000000" w:themeColor="text1"/>
          <w:shd w:val="clear" w:color="auto" w:fill="FFFFFF"/>
          <w:vertAlign w:val="superscript"/>
          <w:lang w:val="es-ES"/>
        </w:rPr>
        <w:footnoteReference w:id="29"/>
      </w:r>
      <w:r w:rsidRPr="00DD40AB">
        <w:rPr>
          <w:rFonts w:ascii="Verdana" w:hAnsi="Verdana" w:cs="Arial"/>
          <w:color w:val="000000" w:themeColor="text1"/>
          <w:shd w:val="clear" w:color="auto" w:fill="FFFFFF"/>
          <w:lang w:val="es-ES"/>
        </w:rPr>
        <w:t>.</w:t>
      </w:r>
    </w:p>
    <w:p w14:paraId="26629B30" w14:textId="77777777" w:rsidR="004D0547" w:rsidRDefault="004D0547" w:rsidP="004D0547">
      <w:pPr>
        <w:tabs>
          <w:tab w:val="left" w:pos="426"/>
          <w:tab w:val="left" w:pos="3402"/>
        </w:tabs>
        <w:spacing w:after="120" w:line="276" w:lineRule="auto"/>
        <w:ind w:firstLine="709"/>
        <w:jc w:val="both"/>
        <w:rPr>
          <w:rFonts w:ascii="Verdana" w:hAnsi="Verdana" w:cs="Arial"/>
          <w:bCs/>
          <w:color w:val="000000" w:themeColor="text1"/>
          <w:lang w:val="es-ES"/>
        </w:rPr>
      </w:pPr>
      <w:r w:rsidRPr="009E6635">
        <w:rPr>
          <w:rFonts w:ascii="Verdana" w:hAnsi="Verdana" w:cs="Arial"/>
          <w:bCs/>
          <w:color w:val="000000" w:themeColor="text1"/>
          <w:lang w:val="es-ES"/>
        </w:rPr>
        <w:t xml:space="preserve">Lo anterior implica que las excepciones al artículo 33 en comento deben interpretarse y aplicarse de manera </w:t>
      </w:r>
      <w:r w:rsidRPr="009E6635">
        <w:rPr>
          <w:rFonts w:ascii="Verdana" w:hAnsi="Verdana" w:cs="Arial"/>
          <w:bCs/>
          <w:i/>
          <w:iCs/>
          <w:color w:val="000000" w:themeColor="text1"/>
          <w:lang w:val="es-ES"/>
        </w:rPr>
        <w:t>estricta</w:t>
      </w:r>
      <w:r w:rsidRPr="009E6635">
        <w:rPr>
          <w:rFonts w:ascii="Verdana" w:hAnsi="Verdana" w:cs="Arial"/>
          <w:bCs/>
          <w:color w:val="000000" w:themeColor="text1"/>
          <w:lang w:val="es-ES"/>
        </w:rPr>
        <w:t>. En otras palabras, no es factible hacer interpretaciones extensivas</w:t>
      </w:r>
      <w:r w:rsidRPr="009E6635">
        <w:rPr>
          <w:rFonts w:ascii="Verdana" w:hAnsi="Verdana" w:cs="Arial"/>
          <w:bCs/>
          <w:i/>
          <w:iCs/>
          <w:color w:val="000000" w:themeColor="text1"/>
          <w:lang w:val="es-ES"/>
        </w:rPr>
        <w:t xml:space="preserve"> </w:t>
      </w:r>
      <w:r w:rsidRPr="009E6635">
        <w:rPr>
          <w:rFonts w:ascii="Verdana" w:hAnsi="Verdana" w:cs="Arial"/>
          <w:bCs/>
          <w:color w:val="000000" w:themeColor="text1"/>
          <w:lang w:val="es-ES"/>
        </w:rPr>
        <w:t xml:space="preserve">para incluir otros supuestos de hecho similares a las circunstancias previstas en dicho artículo, pues el carácter taxativo implica que solo en los eventos consagrados expresamente en la norma permiten que ciertas entidades estatales se vean exceptuadas de la prohibición. </w:t>
      </w:r>
    </w:p>
    <w:p w14:paraId="2FE84A05" w14:textId="77777777" w:rsidR="004D0547" w:rsidRDefault="004D0547" w:rsidP="004D0547">
      <w:pPr>
        <w:spacing w:after="0" w:line="276" w:lineRule="auto"/>
        <w:ind w:firstLine="709"/>
        <w:jc w:val="both"/>
        <w:rPr>
          <w:rFonts w:ascii="Verdana" w:hAnsi="Verdana" w:cs="Arial"/>
          <w:bCs/>
          <w:color w:val="000000" w:themeColor="text1"/>
        </w:rPr>
      </w:pPr>
      <w:r w:rsidRPr="009E6635">
        <w:rPr>
          <w:rFonts w:ascii="Verdana" w:hAnsi="Verdana" w:cs="Arial"/>
          <w:bCs/>
          <w:color w:val="000000" w:themeColor="text1"/>
          <w:lang w:val="es-ES"/>
        </w:rPr>
        <w:t xml:space="preserve">Particularmente, </w:t>
      </w:r>
      <w:r w:rsidRPr="004F51CF">
        <w:rPr>
          <w:rFonts w:ascii="Verdana" w:hAnsi="Verdana" w:cs="Arial"/>
          <w:bCs/>
          <w:color w:val="000000" w:themeColor="text1"/>
        </w:rPr>
        <w:t>al confrontar el catálogo de excepciones con</w:t>
      </w:r>
      <w:r>
        <w:rPr>
          <w:rFonts w:ascii="Verdana" w:hAnsi="Verdana" w:cs="Arial"/>
          <w:bCs/>
          <w:color w:val="000000" w:themeColor="text1"/>
        </w:rPr>
        <w:t xml:space="preserve"> </w:t>
      </w:r>
      <w:r>
        <w:rPr>
          <w:rFonts w:ascii="Verdana" w:hAnsi="Verdana" w:cs="Arial"/>
          <w:bCs/>
          <w:color w:val="000000" w:themeColor="text1"/>
          <w:lang w:val="es-ES"/>
        </w:rPr>
        <w:t>los</w:t>
      </w:r>
      <w:r w:rsidRPr="009E6635">
        <w:rPr>
          <w:rFonts w:ascii="Verdana" w:hAnsi="Verdana" w:cs="Arial"/>
          <w:bCs/>
          <w:color w:val="000000" w:themeColor="text1"/>
          <w:lang w:val="es-ES"/>
        </w:rPr>
        <w:t xml:space="preserve"> contratos </w:t>
      </w:r>
      <w:r>
        <w:rPr>
          <w:rFonts w:ascii="Verdana" w:hAnsi="Verdana" w:cs="Arial"/>
          <w:bCs/>
          <w:color w:val="000000" w:themeColor="text1"/>
        </w:rPr>
        <w:t>directos</w:t>
      </w:r>
      <w:r w:rsidRPr="00BA1157">
        <w:rPr>
          <w:rFonts w:ascii="Verdana" w:hAnsi="Verdana" w:cs="Arial"/>
          <w:bCs/>
          <w:color w:val="000000" w:themeColor="text1"/>
        </w:rPr>
        <w:t xml:space="preserve"> —particularmente los contratos de prestación de servicios profesionales y/o de apoyo a la gestión—</w:t>
      </w:r>
      <w:r>
        <w:rPr>
          <w:rFonts w:ascii="Verdana" w:hAnsi="Verdana" w:cs="Arial"/>
          <w:bCs/>
          <w:color w:val="000000" w:themeColor="text1"/>
        </w:rPr>
        <w:t xml:space="preserve"> a los que se hace referencia en la presente solicitud, </w:t>
      </w:r>
      <w:r w:rsidRPr="00093CA0">
        <w:rPr>
          <w:rFonts w:ascii="Verdana" w:hAnsi="Verdana" w:cs="Arial"/>
          <w:bCs/>
          <w:color w:val="000000" w:themeColor="text1"/>
        </w:rPr>
        <w:t xml:space="preserve">se advierte que dichos contratos no encuadran en ninguno de los supuestos exceptuados por el inciso segundo del artículo 33 de la Ley 996 de 2005. </w:t>
      </w:r>
      <w:r>
        <w:rPr>
          <w:rFonts w:ascii="Verdana" w:hAnsi="Verdana" w:cs="Arial"/>
          <w:bCs/>
          <w:color w:val="000000" w:themeColor="text1"/>
        </w:rPr>
        <w:t xml:space="preserve">Nótese que la circunstancia particular de una mujer que se encuentra </w:t>
      </w:r>
      <w:r>
        <w:rPr>
          <w:rFonts w:ascii="Verdana" w:hAnsi="Verdana" w:cs="Arial"/>
          <w:bCs/>
          <w:color w:val="000000" w:themeColor="text1"/>
        </w:rPr>
        <w:lastRenderedPageBreak/>
        <w:t xml:space="preserve">en estado de embarazo tampoco está dentro de las excepcione antes mencionadas. </w:t>
      </w:r>
      <w:r w:rsidRPr="00093CA0">
        <w:rPr>
          <w:rFonts w:ascii="Verdana" w:hAnsi="Verdana" w:cs="Arial"/>
          <w:bCs/>
          <w:color w:val="000000" w:themeColor="text1"/>
        </w:rPr>
        <w:t>Por lo tanto, al no estar expresamente excluidos del ámbito de la prohibición, tales contratos se encuentran comprendidos en la restricción general a la contratación directa durante los cuatro (4) meses previos a las elecciones, lo que implica que su celebración en ese periodo resulta jurídicamente improcedente.</w:t>
      </w:r>
    </w:p>
    <w:p w14:paraId="7D6C6386" w14:textId="77777777" w:rsidR="004D0547" w:rsidRPr="009E6635" w:rsidRDefault="004D0547" w:rsidP="004D0547">
      <w:pPr>
        <w:spacing w:after="0" w:line="276" w:lineRule="auto"/>
        <w:ind w:firstLine="709"/>
        <w:jc w:val="both"/>
        <w:rPr>
          <w:rFonts w:ascii="Verdana" w:hAnsi="Verdana" w:cs="Arial"/>
          <w:bCs/>
          <w:color w:val="000000" w:themeColor="text1"/>
          <w:lang w:val="es-ES"/>
        </w:rPr>
      </w:pPr>
    </w:p>
    <w:p w14:paraId="42331759" w14:textId="77777777" w:rsidR="004D0547" w:rsidRDefault="004D0547" w:rsidP="004D0547">
      <w:pPr>
        <w:spacing w:after="120" w:line="276" w:lineRule="auto"/>
        <w:jc w:val="both"/>
        <w:rPr>
          <w:rFonts w:ascii="Verdana" w:hAnsi="Verdana" w:cs="Arial"/>
          <w:bCs/>
          <w:color w:val="000000" w:themeColor="text1"/>
        </w:rPr>
      </w:pPr>
      <w:r>
        <w:rPr>
          <w:rFonts w:ascii="Verdana" w:hAnsi="Verdana" w:cs="Arial"/>
          <w:bCs/>
          <w:color w:val="000000" w:themeColor="text1"/>
          <w:lang w:val="es-ES"/>
        </w:rPr>
        <w:t xml:space="preserve">iii. </w:t>
      </w:r>
      <w:r w:rsidRPr="00CD7009">
        <w:rPr>
          <w:rFonts w:ascii="Verdana" w:hAnsi="Verdana" w:cs="Arial"/>
          <w:bCs/>
          <w:color w:val="000000" w:themeColor="text1"/>
        </w:rPr>
        <w:t>Así las cosas, una vez delimitado, de un lado, el alcance constitucional de la estabilidad ocupacional reforzada de la mujer embarazada y</w:t>
      </w:r>
      <w:r>
        <w:rPr>
          <w:rFonts w:ascii="Verdana" w:hAnsi="Verdana" w:cs="Arial"/>
          <w:bCs/>
          <w:color w:val="000000" w:themeColor="text1"/>
        </w:rPr>
        <w:t>/o en periodo de lactancia y</w:t>
      </w:r>
      <w:r w:rsidRPr="00CD7009">
        <w:rPr>
          <w:rFonts w:ascii="Verdana" w:hAnsi="Verdana" w:cs="Arial"/>
          <w:bCs/>
          <w:color w:val="000000" w:themeColor="text1"/>
        </w:rPr>
        <w:t>, de otro, las restricciones a la contratación directa aplicables en período preelectoral</w:t>
      </w:r>
      <w:r>
        <w:rPr>
          <w:rFonts w:ascii="Verdana" w:hAnsi="Verdana" w:cs="Arial"/>
          <w:bCs/>
          <w:color w:val="000000" w:themeColor="text1"/>
        </w:rPr>
        <w:t>, particularmente la restricción del artículo 33 de la Ley 996 de 2005</w:t>
      </w:r>
      <w:r w:rsidRPr="00CD7009">
        <w:rPr>
          <w:rFonts w:ascii="Verdana" w:hAnsi="Verdana" w:cs="Arial"/>
          <w:bCs/>
          <w:color w:val="000000" w:themeColor="text1"/>
        </w:rPr>
        <w:t>, corresponde analizar cómo deben articularse ambos regímenes en el ámbito de actuación de las entidades territoriales, a fin de adoptar decisiones que, sin desconocer las prohibiciones legales vigentes, permitan garantizar efectivamente los derechos fundamentales comprometidos.</w:t>
      </w:r>
    </w:p>
    <w:p w14:paraId="3D137AFD" w14:textId="77777777" w:rsidR="004D0547" w:rsidRPr="008C6747" w:rsidRDefault="004D0547" w:rsidP="004D0547">
      <w:pPr>
        <w:tabs>
          <w:tab w:val="left" w:pos="426"/>
          <w:tab w:val="left" w:pos="3402"/>
        </w:tabs>
        <w:spacing w:after="120" w:line="276" w:lineRule="auto"/>
        <w:ind w:firstLine="709"/>
        <w:jc w:val="both"/>
        <w:rPr>
          <w:rFonts w:ascii="Verdana" w:hAnsi="Verdana" w:cs="Arial"/>
          <w:bCs/>
          <w:color w:val="000000" w:themeColor="text1"/>
        </w:rPr>
      </w:pPr>
      <w:r w:rsidRPr="008C6747">
        <w:rPr>
          <w:rFonts w:ascii="Verdana" w:hAnsi="Verdana" w:cs="Arial"/>
          <w:bCs/>
          <w:color w:val="000000" w:themeColor="text1"/>
        </w:rPr>
        <w:t>Frente a las consideraciones específicas del presente concepto, es necesario precisar que la entidad consultante corresponde a una administración municipal, razón por la cual se encuentra comprendida dentro del ámbito subjetivo de aplicación de la restricción prevista en el artículo 33 de la Ley 996 de 2005, en tanto dicha disposición se dirige expresamente a “todos los entes del Estado”, sin distinción alguna respecto de su naturaleza, nivel territorial o régimen jurídico aplicable.</w:t>
      </w:r>
    </w:p>
    <w:p w14:paraId="2F620498" w14:textId="77777777" w:rsidR="004D0547" w:rsidRDefault="004D0547" w:rsidP="004D0547">
      <w:pPr>
        <w:tabs>
          <w:tab w:val="left" w:pos="426"/>
        </w:tabs>
        <w:spacing w:after="0" w:line="276" w:lineRule="auto"/>
        <w:ind w:firstLine="709"/>
        <w:jc w:val="both"/>
        <w:rPr>
          <w:rFonts w:ascii="Verdana" w:hAnsi="Verdana" w:cs="Arial"/>
          <w:bCs/>
          <w:color w:val="000000" w:themeColor="text1"/>
        </w:rPr>
      </w:pPr>
      <w:r w:rsidRPr="008C6747">
        <w:rPr>
          <w:rFonts w:ascii="Verdana" w:hAnsi="Verdana" w:cs="Arial"/>
          <w:bCs/>
          <w:color w:val="000000" w:themeColor="text1"/>
        </w:rPr>
        <w:t>Ahora bien, la prohibición consagrada en la norma citada recae sobre la contratación directa, entendida esta como la celebración de nuevos negocios jurídicos bajo modalidades que no impliquen convocatoria pública ni pluralidad de oferentes. En ese sentido, la restricción no se extiende, en principio, a las modificaciones, prórrogas o adiciones de contratos previamente suscritos, más allá de las limitaciones propias establecidas en el Estatuto General de Contratación de la Administración Pública, salvo que el objeto contractual se subsuma en alguno de los supuestos expresamente exceptuados por el inciso segundo del artículo 33 de la Ley 996 de 2005, esto es:</w:t>
      </w:r>
    </w:p>
    <w:p w14:paraId="5E56F609" w14:textId="77777777" w:rsidR="004D0547" w:rsidRPr="008C6747" w:rsidRDefault="004D0547" w:rsidP="004D0547">
      <w:pPr>
        <w:tabs>
          <w:tab w:val="left" w:pos="426"/>
        </w:tabs>
        <w:spacing w:after="0" w:line="276" w:lineRule="auto"/>
        <w:ind w:left="709" w:right="709" w:firstLine="709"/>
        <w:jc w:val="both"/>
        <w:rPr>
          <w:rFonts w:ascii="Verdana" w:hAnsi="Verdana" w:cs="Arial"/>
          <w:bCs/>
          <w:color w:val="000000" w:themeColor="text1"/>
          <w:sz w:val="21"/>
          <w:szCs w:val="21"/>
        </w:rPr>
      </w:pPr>
      <w:r w:rsidRPr="008C6747">
        <w:rPr>
          <w:rFonts w:ascii="Verdana" w:hAnsi="Verdana" w:cs="Arial"/>
          <w:bCs/>
          <w:color w:val="000000" w:themeColor="text1"/>
        </w:rPr>
        <w:br/>
      </w:r>
      <w:r w:rsidRPr="008C6747">
        <w:rPr>
          <w:rFonts w:ascii="Verdana" w:hAnsi="Verdana" w:cs="Arial"/>
          <w:bCs/>
          <w:color w:val="000000" w:themeColor="text1"/>
          <w:sz w:val="21"/>
          <w:szCs w:val="21"/>
        </w:rPr>
        <w:t xml:space="preserve">“[…]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w:t>
      </w:r>
      <w:r w:rsidRPr="008C6747">
        <w:rPr>
          <w:rFonts w:ascii="Verdana" w:hAnsi="Verdana" w:cs="Arial"/>
          <w:bCs/>
          <w:color w:val="000000" w:themeColor="text1"/>
          <w:sz w:val="21"/>
          <w:szCs w:val="21"/>
        </w:rPr>
        <w:lastRenderedPageBreak/>
        <w:t>acciones terroristas, desastres naturales o casos de fuerza mayor, y los que deban realizar las entidades sanitarias y hospitalarias”.</w:t>
      </w:r>
    </w:p>
    <w:p w14:paraId="4929A7A9" w14:textId="77777777" w:rsidR="004D0547" w:rsidRPr="008C6747" w:rsidRDefault="004D0547" w:rsidP="004D0547">
      <w:pPr>
        <w:tabs>
          <w:tab w:val="left" w:pos="426"/>
        </w:tabs>
        <w:spacing w:after="0" w:line="276" w:lineRule="auto"/>
        <w:ind w:firstLine="709"/>
        <w:jc w:val="both"/>
        <w:rPr>
          <w:rFonts w:ascii="Verdana" w:hAnsi="Verdana" w:cs="Arial"/>
          <w:bCs/>
          <w:color w:val="000000" w:themeColor="text1"/>
        </w:rPr>
      </w:pPr>
    </w:p>
    <w:p w14:paraId="5E11E9EA" w14:textId="77777777" w:rsidR="004D0547" w:rsidRPr="008C6747" w:rsidRDefault="004D0547" w:rsidP="004D0547">
      <w:pPr>
        <w:tabs>
          <w:tab w:val="left" w:pos="426"/>
          <w:tab w:val="left" w:pos="3402"/>
        </w:tabs>
        <w:spacing w:after="120" w:line="276" w:lineRule="auto"/>
        <w:ind w:firstLine="709"/>
        <w:jc w:val="both"/>
        <w:rPr>
          <w:rFonts w:ascii="Verdana" w:hAnsi="Verdana" w:cs="Arial"/>
          <w:bCs/>
          <w:color w:val="000000" w:themeColor="text1"/>
        </w:rPr>
      </w:pPr>
      <w:r w:rsidRPr="008C6747">
        <w:rPr>
          <w:rFonts w:ascii="Verdana" w:hAnsi="Verdana" w:cs="Arial"/>
          <w:bCs/>
          <w:color w:val="000000" w:themeColor="text1"/>
        </w:rPr>
        <w:t>En este contexto, resulta fundamental que, en el marco del principio de planeación, como manifestación del principio de economía, cuyo propósito es asegurar que toda actuación contractual esté precedida de los estudios técnicos, financieros y jurídicos necesarios para determinar su viabilidad y conveniencia, y teniendo en cuenta las restricciones derivadas de la Ley de Garantías Electorales, la entidad estatal evalúe si resulta jurídicamente procedente, a la luz de los criterios desarrollados por la Corte Constitucional para la protección de los derechos de las mujeres en estado de embarazo o en período de lactancia, adelantar prórrogas, modificaciones o adiciones de los contratos celebrados con anterioridad a la entrada en vigencia de las prohibiciones mencionadas, así como la cesión de los mismos, actuaciones que, en principio, pueden tener lugar durante el período de aplicación de la Ley de Garantías, siempre que no se desnaturalice la prohibición de la contratación directa y se respeten los principios de planeación, transparencia y responsabilidad.</w:t>
      </w:r>
    </w:p>
    <w:p w14:paraId="7047A8F2" w14:textId="77777777" w:rsidR="004D0547" w:rsidRDefault="004D0547" w:rsidP="004D0547">
      <w:pPr>
        <w:tabs>
          <w:tab w:val="left" w:pos="426"/>
          <w:tab w:val="left" w:pos="3402"/>
        </w:tabs>
        <w:spacing w:after="0" w:line="276" w:lineRule="auto"/>
        <w:ind w:firstLine="709"/>
        <w:jc w:val="both"/>
        <w:rPr>
          <w:rFonts w:ascii="Verdana" w:hAnsi="Verdana" w:cs="Arial"/>
          <w:bCs/>
          <w:color w:val="000000" w:themeColor="text1"/>
        </w:rPr>
      </w:pPr>
      <w:r w:rsidRPr="008C6747">
        <w:rPr>
          <w:rFonts w:ascii="Verdana" w:hAnsi="Verdana" w:cs="Arial"/>
          <w:bCs/>
          <w:color w:val="000000" w:themeColor="text1"/>
        </w:rPr>
        <w:t>No obstante, debe advertirse que dicho análisis corresponde ser realizado por cada entidad estatal en ejercicio de su autonomía, atendiendo a las particularidades del caso concreto, en la medida en que el alcance del presente concepto no permite resolver de manera específica la situación planteada.</w:t>
      </w:r>
    </w:p>
    <w:p w14:paraId="08293E2F" w14:textId="77777777" w:rsidR="004D0547" w:rsidRPr="009D7FB4" w:rsidRDefault="004D0547" w:rsidP="004D0547">
      <w:pPr>
        <w:tabs>
          <w:tab w:val="left" w:pos="426"/>
          <w:tab w:val="left" w:pos="3402"/>
        </w:tabs>
        <w:spacing w:after="0" w:line="276" w:lineRule="auto"/>
        <w:ind w:firstLine="709"/>
        <w:jc w:val="both"/>
        <w:rPr>
          <w:rFonts w:ascii="Verdana" w:hAnsi="Verdana" w:cs="Arial"/>
          <w:bCs/>
          <w:color w:val="000000" w:themeColor="text1"/>
          <w:lang w:val="es-ES"/>
        </w:rPr>
      </w:pPr>
    </w:p>
    <w:p w14:paraId="314344B3" w14:textId="77777777" w:rsidR="004D0547" w:rsidRPr="00A869FE" w:rsidRDefault="004D0547" w:rsidP="004D0547">
      <w:pPr>
        <w:numPr>
          <w:ilvl w:val="0"/>
          <w:numId w:val="2"/>
        </w:numPr>
        <w:tabs>
          <w:tab w:val="left" w:pos="142"/>
          <w:tab w:val="left" w:pos="284"/>
        </w:tabs>
        <w:spacing w:after="0" w:line="276" w:lineRule="auto"/>
        <w:jc w:val="both"/>
        <w:rPr>
          <w:rFonts w:ascii="Verdana" w:eastAsia="Century Gothic" w:hAnsi="Verdana" w:cs="Century Gothic"/>
          <w:b/>
          <w:bCs/>
        </w:rPr>
      </w:pPr>
      <w:r w:rsidRPr="00A869FE">
        <w:rPr>
          <w:rFonts w:ascii="Verdana" w:eastAsia="Century Gothic" w:hAnsi="Verdana" w:cs="Century Gothic"/>
          <w:b/>
          <w:bCs/>
        </w:rPr>
        <w:t>Referencias normativas:</w:t>
      </w:r>
    </w:p>
    <w:p w14:paraId="7CAF66A2" w14:textId="77777777" w:rsidR="004D0547" w:rsidRPr="00A869FE" w:rsidRDefault="004D0547" w:rsidP="004D0547">
      <w:pPr>
        <w:widowControl w:val="0"/>
        <w:autoSpaceDE w:val="0"/>
        <w:autoSpaceDN w:val="0"/>
        <w:spacing w:after="0" w:line="276" w:lineRule="auto"/>
        <w:jc w:val="both"/>
        <w:rPr>
          <w:rFonts w:ascii="Verdana" w:hAnsi="Verdana" w:cs="Arial"/>
        </w:rPr>
      </w:pPr>
    </w:p>
    <w:tbl>
      <w:tblPr>
        <w:tblStyle w:val="Tablaconcuadrcula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D0547" w:rsidRPr="00A869FE" w14:paraId="065DB5B0" w14:textId="77777777" w:rsidTr="00CD4AEA">
        <w:trPr>
          <w:trHeight w:val="491"/>
          <w:jc w:val="center"/>
        </w:trPr>
        <w:tc>
          <w:tcPr>
            <w:tcW w:w="8647" w:type="dxa"/>
          </w:tcPr>
          <w:p w14:paraId="70014C5C" w14:textId="77777777" w:rsidR="004D0547" w:rsidRDefault="004D0547" w:rsidP="004D0547">
            <w:pPr>
              <w:widowControl w:val="0"/>
              <w:numPr>
                <w:ilvl w:val="0"/>
                <w:numId w:val="3"/>
              </w:numPr>
              <w:autoSpaceDE w:val="0"/>
              <w:autoSpaceDN w:val="0"/>
              <w:spacing w:line="276" w:lineRule="auto"/>
              <w:jc w:val="both"/>
              <w:rPr>
                <w:rFonts w:ascii="Verdana" w:hAnsi="Verdana" w:cs="Arial"/>
              </w:rPr>
            </w:pPr>
            <w:r w:rsidRPr="00997C22">
              <w:rPr>
                <w:rFonts w:ascii="Verdana" w:hAnsi="Verdana" w:cs="Arial"/>
              </w:rPr>
              <w:t>Constitución Política</w:t>
            </w:r>
            <w:r>
              <w:rPr>
                <w:rFonts w:ascii="Verdana" w:hAnsi="Verdana" w:cs="Arial"/>
              </w:rPr>
              <w:t xml:space="preserve">, </w:t>
            </w:r>
            <w:r w:rsidRPr="00997C22">
              <w:rPr>
                <w:rFonts w:ascii="Verdana" w:hAnsi="Verdana" w:cs="Arial"/>
              </w:rPr>
              <w:t>artículo 127</w:t>
            </w:r>
            <w:r>
              <w:rPr>
                <w:rFonts w:ascii="Verdana" w:hAnsi="Verdana" w:cs="Arial"/>
              </w:rPr>
              <w:t>.</w:t>
            </w:r>
          </w:p>
          <w:p w14:paraId="7CDB5AD5" w14:textId="77777777" w:rsidR="004D0547" w:rsidRPr="00997C22" w:rsidRDefault="004D0547" w:rsidP="004D0547">
            <w:pPr>
              <w:widowControl w:val="0"/>
              <w:numPr>
                <w:ilvl w:val="0"/>
                <w:numId w:val="3"/>
              </w:numPr>
              <w:autoSpaceDE w:val="0"/>
              <w:autoSpaceDN w:val="0"/>
              <w:spacing w:line="276" w:lineRule="auto"/>
              <w:jc w:val="both"/>
              <w:rPr>
                <w:rFonts w:ascii="Verdana" w:hAnsi="Verdana" w:cs="Arial"/>
              </w:rPr>
            </w:pPr>
            <w:r w:rsidRPr="00997C22">
              <w:rPr>
                <w:rFonts w:ascii="Verdana" w:hAnsi="Verdana" w:cs="Arial"/>
              </w:rPr>
              <w:t>Ley 996 de 2005</w:t>
            </w:r>
            <w:r>
              <w:rPr>
                <w:rFonts w:ascii="Verdana" w:hAnsi="Verdana" w:cs="Arial"/>
              </w:rPr>
              <w:t xml:space="preserve"> </w:t>
            </w:r>
            <w:r w:rsidRPr="00997C22">
              <w:rPr>
                <w:rFonts w:ascii="Verdana" w:hAnsi="Verdana" w:cs="Arial"/>
              </w:rPr>
              <w:t>artículo 3</w:t>
            </w:r>
            <w:r>
              <w:rPr>
                <w:rFonts w:ascii="Verdana" w:hAnsi="Verdana" w:cs="Arial"/>
              </w:rPr>
              <w:t>3</w:t>
            </w:r>
            <w:r w:rsidRPr="00997C22">
              <w:rPr>
                <w:rFonts w:ascii="Verdana" w:hAnsi="Verdana" w:cs="Arial"/>
              </w:rPr>
              <w:t xml:space="preserve"> </w:t>
            </w:r>
            <w:r>
              <w:rPr>
                <w:rFonts w:ascii="Verdana" w:hAnsi="Verdana" w:cs="Arial"/>
              </w:rPr>
              <w:t xml:space="preserve">y </w:t>
            </w:r>
            <w:r w:rsidRPr="00997C22">
              <w:rPr>
                <w:rFonts w:ascii="Verdana" w:hAnsi="Verdana" w:cs="Arial"/>
              </w:rPr>
              <w:t>artículo 3</w:t>
            </w:r>
            <w:r>
              <w:rPr>
                <w:rFonts w:ascii="Verdana" w:hAnsi="Verdana" w:cs="Arial"/>
              </w:rPr>
              <w:t>8.</w:t>
            </w:r>
            <w:r w:rsidRPr="00997C22">
              <w:rPr>
                <w:rFonts w:ascii="Verdana" w:hAnsi="Verdana" w:cs="Arial"/>
              </w:rPr>
              <w:t xml:space="preserve"> </w:t>
            </w:r>
          </w:p>
          <w:p w14:paraId="06388F80" w14:textId="77777777" w:rsidR="004D0547" w:rsidRPr="00997C22" w:rsidRDefault="004D0547" w:rsidP="004D0547">
            <w:pPr>
              <w:widowControl w:val="0"/>
              <w:numPr>
                <w:ilvl w:val="0"/>
                <w:numId w:val="3"/>
              </w:numPr>
              <w:autoSpaceDE w:val="0"/>
              <w:autoSpaceDN w:val="0"/>
              <w:spacing w:line="276" w:lineRule="auto"/>
              <w:jc w:val="both"/>
              <w:rPr>
                <w:rFonts w:ascii="Verdana" w:hAnsi="Verdana" w:cs="Arial"/>
              </w:rPr>
            </w:pPr>
            <w:r w:rsidRPr="00997C22">
              <w:rPr>
                <w:rFonts w:ascii="Verdana" w:hAnsi="Verdana" w:cs="Arial"/>
              </w:rPr>
              <w:t>Gaceta del Congreso de la República No. 71 del 2005.</w:t>
            </w:r>
          </w:p>
          <w:p w14:paraId="42E5C730" w14:textId="77777777" w:rsidR="004D0547" w:rsidRPr="00997C22" w:rsidRDefault="004D0547" w:rsidP="004D0547">
            <w:pPr>
              <w:widowControl w:val="0"/>
              <w:numPr>
                <w:ilvl w:val="0"/>
                <w:numId w:val="3"/>
              </w:numPr>
              <w:autoSpaceDE w:val="0"/>
              <w:autoSpaceDN w:val="0"/>
              <w:spacing w:line="276" w:lineRule="auto"/>
              <w:jc w:val="both"/>
              <w:rPr>
                <w:rFonts w:ascii="Verdana" w:hAnsi="Verdana" w:cs="Arial"/>
              </w:rPr>
            </w:pPr>
            <w:r w:rsidRPr="00997C22">
              <w:rPr>
                <w:rFonts w:ascii="Verdana" w:hAnsi="Verdana" w:cs="Arial"/>
              </w:rPr>
              <w:t>Corte Constitucional, en la Sentencia SU-070 de 2013, con ponencia de la Magistrada Gloria Stella Ortiz Delgado</w:t>
            </w:r>
            <w:r>
              <w:rPr>
                <w:rFonts w:ascii="Verdana" w:hAnsi="Verdana" w:cs="Arial"/>
              </w:rPr>
              <w:t>.</w:t>
            </w:r>
          </w:p>
          <w:p w14:paraId="0417644B" w14:textId="77777777" w:rsidR="004D0547" w:rsidRPr="00997C22" w:rsidRDefault="004D0547" w:rsidP="004D0547">
            <w:pPr>
              <w:widowControl w:val="0"/>
              <w:numPr>
                <w:ilvl w:val="0"/>
                <w:numId w:val="3"/>
              </w:numPr>
              <w:autoSpaceDE w:val="0"/>
              <w:autoSpaceDN w:val="0"/>
              <w:spacing w:line="276" w:lineRule="auto"/>
              <w:jc w:val="both"/>
              <w:rPr>
                <w:rFonts w:ascii="Verdana" w:hAnsi="Verdana" w:cs="Arial"/>
              </w:rPr>
            </w:pPr>
            <w:r w:rsidRPr="00997C22">
              <w:rPr>
                <w:rFonts w:ascii="Verdana" w:hAnsi="Verdana" w:cs="Arial"/>
              </w:rPr>
              <w:t>Corte Constitucional. Sentencia SU-075 de 2018. Magistrado Ponente: Gloria Stella Ortiz Delgado</w:t>
            </w:r>
            <w:r>
              <w:rPr>
                <w:rFonts w:ascii="Verdana" w:hAnsi="Verdana" w:cs="Arial"/>
              </w:rPr>
              <w:t>.</w:t>
            </w:r>
          </w:p>
          <w:p w14:paraId="106F3B49" w14:textId="77777777" w:rsidR="004D0547" w:rsidRPr="00997C22" w:rsidRDefault="004D0547" w:rsidP="004D0547">
            <w:pPr>
              <w:widowControl w:val="0"/>
              <w:numPr>
                <w:ilvl w:val="0"/>
                <w:numId w:val="3"/>
              </w:numPr>
              <w:autoSpaceDE w:val="0"/>
              <w:autoSpaceDN w:val="0"/>
              <w:spacing w:line="276" w:lineRule="auto"/>
              <w:jc w:val="both"/>
              <w:rPr>
                <w:rFonts w:ascii="Verdana" w:hAnsi="Verdana" w:cs="Arial"/>
                <w:lang w:val="pt-BR"/>
              </w:rPr>
            </w:pPr>
            <w:r w:rsidRPr="00997C22">
              <w:rPr>
                <w:rFonts w:ascii="Verdana" w:hAnsi="Verdana" w:cs="Arial"/>
                <w:lang w:val="pt-BR"/>
              </w:rPr>
              <w:t>Corte Constitucional, sentencia T-743 de 2017, Exp. T-6.366.648 Magistrada Ponente Cristina Pardo Schlesinger.</w:t>
            </w:r>
          </w:p>
          <w:p w14:paraId="16420F2D" w14:textId="77777777" w:rsidR="004D0547" w:rsidRPr="00997C22" w:rsidRDefault="004D0547" w:rsidP="004D0547">
            <w:pPr>
              <w:widowControl w:val="0"/>
              <w:numPr>
                <w:ilvl w:val="0"/>
                <w:numId w:val="3"/>
              </w:numPr>
              <w:autoSpaceDE w:val="0"/>
              <w:autoSpaceDN w:val="0"/>
              <w:spacing w:line="276" w:lineRule="auto"/>
              <w:jc w:val="both"/>
              <w:rPr>
                <w:rFonts w:ascii="Verdana" w:hAnsi="Verdana" w:cs="Arial"/>
              </w:rPr>
            </w:pPr>
            <w:r w:rsidRPr="00997C22">
              <w:rPr>
                <w:rFonts w:ascii="Verdana" w:hAnsi="Verdana" w:cs="Arial"/>
              </w:rPr>
              <w:t>Corte Constitucional en la sentencia T-102 del 1 de marzo de 2016 (M.P: María Victoria Calle Correa</w:t>
            </w:r>
            <w:r>
              <w:rPr>
                <w:rFonts w:ascii="Verdana" w:hAnsi="Verdana" w:cs="Arial"/>
              </w:rPr>
              <w:t>.</w:t>
            </w:r>
          </w:p>
          <w:p w14:paraId="7F4CF8E7" w14:textId="77777777" w:rsidR="004D0547" w:rsidRPr="00997C22" w:rsidRDefault="004D0547" w:rsidP="004D0547">
            <w:pPr>
              <w:widowControl w:val="0"/>
              <w:numPr>
                <w:ilvl w:val="0"/>
                <w:numId w:val="3"/>
              </w:numPr>
              <w:autoSpaceDE w:val="0"/>
              <w:autoSpaceDN w:val="0"/>
              <w:spacing w:line="276" w:lineRule="auto"/>
              <w:jc w:val="both"/>
              <w:rPr>
                <w:rFonts w:ascii="Verdana" w:hAnsi="Verdana" w:cs="Arial"/>
                <w:lang w:val="pt-BR"/>
              </w:rPr>
            </w:pPr>
            <w:r w:rsidRPr="00997C22">
              <w:rPr>
                <w:rFonts w:ascii="Verdana" w:hAnsi="Verdana" w:cs="Arial"/>
                <w:lang w:val="pt-BR"/>
              </w:rPr>
              <w:t>Corte Constitucional sentencia T-743 de 2017</w:t>
            </w:r>
            <w:r>
              <w:rPr>
                <w:rFonts w:ascii="Verdana" w:hAnsi="Verdana" w:cs="Arial"/>
                <w:lang w:val="pt-BR"/>
              </w:rPr>
              <w:t>.</w:t>
            </w:r>
          </w:p>
          <w:p w14:paraId="46F5A1AA" w14:textId="77777777" w:rsidR="004D0547" w:rsidRPr="00997C22" w:rsidRDefault="004D0547" w:rsidP="004D0547">
            <w:pPr>
              <w:widowControl w:val="0"/>
              <w:numPr>
                <w:ilvl w:val="0"/>
                <w:numId w:val="3"/>
              </w:numPr>
              <w:autoSpaceDE w:val="0"/>
              <w:autoSpaceDN w:val="0"/>
              <w:spacing w:line="276" w:lineRule="auto"/>
              <w:jc w:val="both"/>
              <w:rPr>
                <w:rFonts w:ascii="Verdana" w:hAnsi="Verdana" w:cs="Arial"/>
                <w:lang w:val="pt-BR"/>
              </w:rPr>
            </w:pPr>
            <w:r w:rsidRPr="00997C22">
              <w:rPr>
                <w:rFonts w:ascii="Verdana" w:hAnsi="Verdana" w:cs="Arial"/>
                <w:lang w:val="pt-BR"/>
              </w:rPr>
              <w:t>Corte Constitucional sentencia T-030 de 2018</w:t>
            </w:r>
            <w:r>
              <w:rPr>
                <w:rFonts w:ascii="Verdana" w:hAnsi="Verdana" w:cs="Arial"/>
                <w:lang w:val="pt-BR"/>
              </w:rPr>
              <w:t>.</w:t>
            </w:r>
            <w:r w:rsidRPr="00997C22">
              <w:rPr>
                <w:rFonts w:ascii="Verdana" w:hAnsi="Verdana" w:cs="Arial"/>
                <w:lang w:val="pt-BR"/>
              </w:rPr>
              <w:t xml:space="preserve">  </w:t>
            </w:r>
          </w:p>
          <w:p w14:paraId="5847D863" w14:textId="77777777" w:rsidR="004D0547" w:rsidRPr="00997C22" w:rsidRDefault="004D0547" w:rsidP="004D0547">
            <w:pPr>
              <w:widowControl w:val="0"/>
              <w:numPr>
                <w:ilvl w:val="0"/>
                <w:numId w:val="3"/>
              </w:numPr>
              <w:autoSpaceDE w:val="0"/>
              <w:autoSpaceDN w:val="0"/>
              <w:spacing w:line="276" w:lineRule="auto"/>
              <w:jc w:val="both"/>
              <w:rPr>
                <w:rFonts w:ascii="Verdana" w:hAnsi="Verdana" w:cs="Arial"/>
              </w:rPr>
            </w:pPr>
            <w:r w:rsidRPr="00997C22">
              <w:rPr>
                <w:rFonts w:ascii="Verdana" w:hAnsi="Verdana" w:cs="Arial"/>
                <w:lang w:val="pt-BR"/>
              </w:rPr>
              <w:t>Corte Constitucional</w:t>
            </w:r>
            <w:r w:rsidRPr="00997C22">
              <w:rPr>
                <w:rFonts w:ascii="Verdana" w:hAnsi="Verdana" w:cs="Arial"/>
              </w:rPr>
              <w:t xml:space="preserve"> T-350 del 2016</w:t>
            </w:r>
            <w:r>
              <w:rPr>
                <w:rFonts w:ascii="Verdana" w:hAnsi="Verdana" w:cs="Arial"/>
              </w:rPr>
              <w:t>.</w:t>
            </w:r>
          </w:p>
          <w:p w14:paraId="574541CE" w14:textId="77777777" w:rsidR="004D0547" w:rsidRPr="00997C22" w:rsidRDefault="004D0547" w:rsidP="004D0547">
            <w:pPr>
              <w:widowControl w:val="0"/>
              <w:numPr>
                <w:ilvl w:val="0"/>
                <w:numId w:val="3"/>
              </w:numPr>
              <w:autoSpaceDE w:val="0"/>
              <w:autoSpaceDN w:val="0"/>
              <w:spacing w:line="276" w:lineRule="auto"/>
              <w:jc w:val="both"/>
              <w:rPr>
                <w:rFonts w:ascii="Verdana" w:hAnsi="Verdana" w:cs="Arial"/>
              </w:rPr>
            </w:pPr>
            <w:r w:rsidRPr="00997C22">
              <w:rPr>
                <w:rFonts w:ascii="Verdana" w:hAnsi="Verdana" w:cs="Arial"/>
              </w:rPr>
              <w:lastRenderedPageBreak/>
              <w:t>Corte Constitucional. Sentencia T-329 del 19 de septiembre de 2022. Expediente T-8.517.984. Magistrada Ponente: Natalia Ángel Cabo</w:t>
            </w:r>
          </w:p>
          <w:p w14:paraId="16FA4EA2" w14:textId="77777777" w:rsidR="004D0547" w:rsidRPr="00997C22" w:rsidRDefault="004D0547" w:rsidP="004D0547">
            <w:pPr>
              <w:widowControl w:val="0"/>
              <w:numPr>
                <w:ilvl w:val="0"/>
                <w:numId w:val="3"/>
              </w:numPr>
              <w:autoSpaceDE w:val="0"/>
              <w:autoSpaceDN w:val="0"/>
              <w:spacing w:line="276" w:lineRule="auto"/>
              <w:jc w:val="both"/>
              <w:rPr>
                <w:rFonts w:ascii="Verdana" w:hAnsi="Verdana" w:cs="Arial"/>
              </w:rPr>
            </w:pPr>
            <w:r w:rsidRPr="00997C22">
              <w:rPr>
                <w:rFonts w:ascii="Verdana" w:hAnsi="Verdana" w:cs="Arial"/>
              </w:rPr>
              <w:t>Corte Constitucional, Sentencia C- 1153 de 2005, M.P. Marco Gerardo Monroy Cabra.</w:t>
            </w:r>
          </w:p>
          <w:p w14:paraId="1BA76BAE" w14:textId="77777777" w:rsidR="004D0547" w:rsidRPr="00997C22" w:rsidRDefault="004D0547" w:rsidP="004D0547">
            <w:pPr>
              <w:widowControl w:val="0"/>
              <w:numPr>
                <w:ilvl w:val="0"/>
                <w:numId w:val="3"/>
              </w:numPr>
              <w:autoSpaceDE w:val="0"/>
              <w:autoSpaceDN w:val="0"/>
              <w:spacing w:line="276" w:lineRule="auto"/>
              <w:jc w:val="both"/>
              <w:rPr>
                <w:rFonts w:ascii="Verdana" w:hAnsi="Verdana" w:cs="Arial"/>
              </w:rPr>
            </w:pPr>
            <w:r w:rsidRPr="00997C22">
              <w:rPr>
                <w:rFonts w:ascii="Verdana" w:hAnsi="Verdana" w:cs="Arial"/>
              </w:rPr>
              <w:t>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p w14:paraId="00DAA8FD" w14:textId="77777777" w:rsidR="004D0547" w:rsidRPr="00997C22" w:rsidRDefault="004D0547" w:rsidP="004D0547">
            <w:pPr>
              <w:widowControl w:val="0"/>
              <w:numPr>
                <w:ilvl w:val="0"/>
                <w:numId w:val="3"/>
              </w:numPr>
              <w:autoSpaceDE w:val="0"/>
              <w:autoSpaceDN w:val="0"/>
              <w:spacing w:line="276" w:lineRule="auto"/>
              <w:jc w:val="both"/>
              <w:rPr>
                <w:rFonts w:ascii="Verdana" w:hAnsi="Verdana" w:cs="Arial"/>
              </w:rPr>
            </w:pPr>
            <w:r w:rsidRPr="00997C22">
              <w:rPr>
                <w:rFonts w:ascii="Verdana" w:hAnsi="Verdana" w:cs="Arial"/>
              </w:rPr>
              <w:t>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p w14:paraId="5F919CEB" w14:textId="77777777" w:rsidR="004D0547" w:rsidRPr="00997C22" w:rsidRDefault="004D0547" w:rsidP="004D0547">
            <w:pPr>
              <w:widowControl w:val="0"/>
              <w:numPr>
                <w:ilvl w:val="0"/>
                <w:numId w:val="3"/>
              </w:numPr>
              <w:autoSpaceDE w:val="0"/>
              <w:autoSpaceDN w:val="0"/>
              <w:spacing w:line="276" w:lineRule="auto"/>
              <w:jc w:val="both"/>
              <w:rPr>
                <w:rFonts w:ascii="Verdana" w:hAnsi="Verdana" w:cs="Arial"/>
              </w:rPr>
            </w:pPr>
            <w:r w:rsidRPr="00997C22">
              <w:rPr>
                <w:rFonts w:ascii="Verdana" w:hAnsi="Verdana" w:cs="Arial"/>
              </w:rPr>
              <w:t>Consejo de Estado, Sala de Consulta y Servicio Civil de fecha 24 de julio de 2013, Rad. 2166, C. P. Álvaro Namén Vargas.</w:t>
            </w:r>
          </w:p>
          <w:p w14:paraId="703DC740" w14:textId="77777777" w:rsidR="004D0547" w:rsidRPr="00997C22" w:rsidRDefault="004D0547" w:rsidP="004D0547">
            <w:pPr>
              <w:widowControl w:val="0"/>
              <w:numPr>
                <w:ilvl w:val="0"/>
                <w:numId w:val="3"/>
              </w:numPr>
              <w:autoSpaceDE w:val="0"/>
              <w:autoSpaceDN w:val="0"/>
              <w:spacing w:line="276" w:lineRule="auto"/>
              <w:jc w:val="both"/>
              <w:rPr>
                <w:rFonts w:ascii="Verdana" w:hAnsi="Verdana" w:cs="Arial"/>
              </w:rPr>
            </w:pPr>
            <w:r w:rsidRPr="00997C22">
              <w:rPr>
                <w:rFonts w:ascii="Verdana" w:hAnsi="Verdana" w:cs="Arial"/>
              </w:rPr>
              <w:t>Consejo de Estado. Sala de Consulta y Servicio Civil. Concepto del 17 de febrero de 2015. C.P. William Zambrano Cetina. Radicación No. 11001-03-06-000-2015-00164-00(2269)</w:t>
            </w:r>
          </w:p>
          <w:p w14:paraId="0D11CC6D" w14:textId="77777777" w:rsidR="004D0547" w:rsidRPr="00997C22" w:rsidRDefault="004D0547" w:rsidP="004D0547">
            <w:pPr>
              <w:widowControl w:val="0"/>
              <w:numPr>
                <w:ilvl w:val="0"/>
                <w:numId w:val="3"/>
              </w:numPr>
              <w:autoSpaceDE w:val="0"/>
              <w:autoSpaceDN w:val="0"/>
              <w:spacing w:line="276" w:lineRule="auto"/>
              <w:jc w:val="both"/>
              <w:rPr>
                <w:rFonts w:ascii="Verdana" w:hAnsi="Verdana" w:cs="Arial"/>
              </w:rPr>
            </w:pPr>
            <w:r w:rsidRPr="00997C22">
              <w:rPr>
                <w:rFonts w:ascii="Verdana" w:hAnsi="Verdana" w:cs="Arial"/>
              </w:rPr>
              <w:t>Corte Constitucional, en la Sentencia C-1153 del 11 de noviembre de 2005</w:t>
            </w:r>
          </w:p>
          <w:p w14:paraId="7EDC33E8" w14:textId="77777777" w:rsidR="004D0547" w:rsidRPr="00997C22" w:rsidRDefault="004D0547" w:rsidP="004D0547">
            <w:pPr>
              <w:widowControl w:val="0"/>
              <w:numPr>
                <w:ilvl w:val="0"/>
                <w:numId w:val="3"/>
              </w:numPr>
              <w:autoSpaceDE w:val="0"/>
              <w:autoSpaceDN w:val="0"/>
              <w:spacing w:line="276" w:lineRule="auto"/>
              <w:jc w:val="both"/>
              <w:rPr>
                <w:rFonts w:ascii="Verdana" w:hAnsi="Verdana" w:cs="Arial"/>
              </w:rPr>
            </w:pPr>
            <w:r w:rsidRPr="00997C22">
              <w:rPr>
                <w:rFonts w:ascii="Verdana" w:hAnsi="Verdana" w:cs="Arial"/>
              </w:rPr>
              <w:t>Consejo de Estado Sala de Consulta y Servicio Civil</w:t>
            </w:r>
            <w:r>
              <w:rPr>
                <w:rFonts w:ascii="Verdana" w:hAnsi="Verdana" w:cs="Arial"/>
              </w:rPr>
              <w:t>,</w:t>
            </w:r>
            <w:r w:rsidRPr="00997C22">
              <w:rPr>
                <w:rFonts w:ascii="Verdana" w:hAnsi="Verdana" w:cs="Arial"/>
              </w:rPr>
              <w:t xml:space="preserve"> </w:t>
            </w:r>
            <w:r>
              <w:rPr>
                <w:rFonts w:ascii="Verdana" w:hAnsi="Verdana" w:cs="Arial"/>
              </w:rPr>
              <w:t>C</w:t>
            </w:r>
            <w:r w:rsidRPr="00997C22">
              <w:rPr>
                <w:rFonts w:ascii="Verdana" w:hAnsi="Verdana" w:cs="Arial"/>
              </w:rPr>
              <w:t xml:space="preserve">oncepto 1712 de 2 de febrero de 2006. </w:t>
            </w:r>
          </w:p>
          <w:p w14:paraId="60C041F7" w14:textId="77777777" w:rsidR="004D0547" w:rsidRPr="00997C22" w:rsidRDefault="004D0547" w:rsidP="004D0547">
            <w:pPr>
              <w:widowControl w:val="0"/>
              <w:numPr>
                <w:ilvl w:val="0"/>
                <w:numId w:val="3"/>
              </w:numPr>
              <w:autoSpaceDE w:val="0"/>
              <w:autoSpaceDN w:val="0"/>
              <w:spacing w:line="276" w:lineRule="auto"/>
              <w:jc w:val="both"/>
              <w:rPr>
                <w:rFonts w:ascii="Verdana" w:hAnsi="Verdana" w:cs="Arial"/>
              </w:rPr>
            </w:pPr>
            <w:r w:rsidRPr="00997C22">
              <w:rPr>
                <w:rFonts w:ascii="Verdana" w:hAnsi="Verdana" w:cs="Arial"/>
              </w:rPr>
              <w:t>Consejo de Estado. Sala de Consulta y Servicio Civil. Concepto del 2 de septiembre de 2013. Radicación número: 11001-03-06-000-2013-00412-00 (2168). Consejero Ponente: Álvaro Namén Vargas.</w:t>
            </w:r>
          </w:p>
          <w:p w14:paraId="4AAF9625" w14:textId="77777777" w:rsidR="004D0547" w:rsidRPr="00997C22" w:rsidRDefault="004D0547" w:rsidP="004D0547">
            <w:pPr>
              <w:widowControl w:val="0"/>
              <w:numPr>
                <w:ilvl w:val="0"/>
                <w:numId w:val="3"/>
              </w:numPr>
              <w:autoSpaceDE w:val="0"/>
              <w:autoSpaceDN w:val="0"/>
              <w:spacing w:line="276" w:lineRule="auto"/>
              <w:jc w:val="both"/>
              <w:rPr>
                <w:rFonts w:ascii="Verdana" w:hAnsi="Verdana" w:cs="Arial"/>
              </w:rPr>
            </w:pPr>
            <w:r w:rsidRPr="00997C22">
              <w:rPr>
                <w:rFonts w:ascii="Verdana" w:hAnsi="Verdana" w:cs="Arial"/>
              </w:rPr>
              <w:t>Consejo de Estado. Sala de Consulta y Servicio Civil. Concepto del 08 de mayo de 2018. Exp. 2.382. C.P. Álvaro Namén Vargas.</w:t>
            </w:r>
          </w:p>
          <w:p w14:paraId="4D1FD51E" w14:textId="77777777" w:rsidR="004D0547" w:rsidRPr="00997C22" w:rsidRDefault="004D0547" w:rsidP="004D0547">
            <w:pPr>
              <w:widowControl w:val="0"/>
              <w:numPr>
                <w:ilvl w:val="0"/>
                <w:numId w:val="3"/>
              </w:numPr>
              <w:autoSpaceDE w:val="0"/>
              <w:autoSpaceDN w:val="0"/>
              <w:spacing w:line="276" w:lineRule="auto"/>
              <w:jc w:val="both"/>
              <w:rPr>
                <w:rFonts w:ascii="Verdana" w:hAnsi="Verdana" w:cs="Arial"/>
              </w:rPr>
            </w:pPr>
            <w:r w:rsidRPr="00997C22">
              <w:rPr>
                <w:rFonts w:ascii="Verdana" w:hAnsi="Verdana" w:cs="Arial"/>
              </w:rPr>
              <w:t>Consejo de Estado. Sala de Consulta y Servicio Civil. Concepto de 20 de febrero de 2006. Radicación Número: 11001-03-06-000-2006-00026-00(1727)</w:t>
            </w:r>
          </w:p>
          <w:p w14:paraId="593FCB45" w14:textId="77777777" w:rsidR="004D0547" w:rsidRPr="00997C22" w:rsidRDefault="004D0547" w:rsidP="004D0547">
            <w:pPr>
              <w:widowControl w:val="0"/>
              <w:numPr>
                <w:ilvl w:val="0"/>
                <w:numId w:val="3"/>
              </w:numPr>
              <w:autoSpaceDE w:val="0"/>
              <w:autoSpaceDN w:val="0"/>
              <w:spacing w:line="276" w:lineRule="auto"/>
              <w:jc w:val="both"/>
              <w:rPr>
                <w:rFonts w:ascii="Verdana" w:hAnsi="Verdana" w:cs="Arial"/>
              </w:rPr>
            </w:pPr>
            <w:r w:rsidRPr="00997C22">
              <w:rPr>
                <w:rFonts w:ascii="Verdana" w:hAnsi="Verdana" w:cs="Arial"/>
              </w:rPr>
              <w:t xml:space="preserve">Consejo </w:t>
            </w:r>
            <w:r>
              <w:rPr>
                <w:rFonts w:ascii="Verdana" w:hAnsi="Verdana" w:cs="Arial"/>
              </w:rPr>
              <w:t>d</w:t>
            </w:r>
            <w:r w:rsidRPr="00997C22">
              <w:rPr>
                <w:rFonts w:ascii="Verdana" w:hAnsi="Verdana" w:cs="Arial"/>
              </w:rPr>
              <w:t>e Estado. Sala de Consulta y Servicio Civil. Concepto del 18 de febrero 2010. Rad. 11001-03-06-000-2010-00006-00 (1985). C.P. Enrique José Arboleda Perdomo</w:t>
            </w:r>
          </w:p>
          <w:p w14:paraId="7F65FB11" w14:textId="77777777" w:rsidR="004D0547" w:rsidRPr="003905DF" w:rsidRDefault="004D0547" w:rsidP="004D0547">
            <w:pPr>
              <w:widowControl w:val="0"/>
              <w:numPr>
                <w:ilvl w:val="0"/>
                <w:numId w:val="3"/>
              </w:numPr>
              <w:autoSpaceDE w:val="0"/>
              <w:autoSpaceDN w:val="0"/>
              <w:spacing w:line="276" w:lineRule="auto"/>
              <w:jc w:val="both"/>
              <w:rPr>
                <w:rFonts w:ascii="Verdana" w:hAnsi="Verdana" w:cs="Arial"/>
              </w:rPr>
            </w:pPr>
            <w:r w:rsidRPr="00997C22">
              <w:rPr>
                <w:rFonts w:ascii="Verdana" w:hAnsi="Verdana" w:cs="Arial"/>
              </w:rPr>
              <w:t>Consejo de Estado. Sala de Consulta y Servicio Civil. Concepto del 02 de septiembre de 2013. Rad. 11001-03-06-000-2013-00412-00 (2168). C.P. Álvaro Namén Vargas</w:t>
            </w:r>
          </w:p>
        </w:tc>
      </w:tr>
    </w:tbl>
    <w:p w14:paraId="540FD3D0" w14:textId="77777777" w:rsidR="004D0547" w:rsidRPr="00A869FE" w:rsidRDefault="004D0547" w:rsidP="004D0547">
      <w:pPr>
        <w:widowControl w:val="0"/>
        <w:autoSpaceDE w:val="0"/>
        <w:autoSpaceDN w:val="0"/>
        <w:spacing w:after="0" w:line="276" w:lineRule="auto"/>
        <w:jc w:val="both"/>
        <w:rPr>
          <w:rFonts w:ascii="Verdana" w:hAnsi="Verdana" w:cs="Arial"/>
        </w:rPr>
      </w:pPr>
    </w:p>
    <w:p w14:paraId="7E3DB936" w14:textId="77777777" w:rsidR="004D0547" w:rsidRPr="00A869FE" w:rsidRDefault="004D0547" w:rsidP="004D0547">
      <w:pPr>
        <w:numPr>
          <w:ilvl w:val="0"/>
          <w:numId w:val="2"/>
        </w:numPr>
        <w:tabs>
          <w:tab w:val="left" w:pos="142"/>
          <w:tab w:val="left" w:pos="284"/>
        </w:tabs>
        <w:spacing w:after="0" w:line="276" w:lineRule="auto"/>
        <w:jc w:val="both"/>
        <w:rPr>
          <w:rFonts w:ascii="Verdana" w:eastAsia="Century Gothic" w:hAnsi="Verdana" w:cs="Century Gothic"/>
          <w:b/>
          <w:bCs/>
        </w:rPr>
      </w:pPr>
      <w:r w:rsidRPr="00A869FE">
        <w:rPr>
          <w:rFonts w:ascii="Verdana" w:eastAsia="Century Gothic" w:hAnsi="Verdana" w:cs="Century Gothic"/>
          <w:b/>
          <w:bCs/>
        </w:rPr>
        <w:t>Doctrina de la Agencia Nacional de Contratación Pública:</w:t>
      </w:r>
    </w:p>
    <w:p w14:paraId="20F746FA" w14:textId="77777777" w:rsidR="004D0547" w:rsidRPr="00A869FE" w:rsidRDefault="004D0547" w:rsidP="004D0547">
      <w:pPr>
        <w:widowControl w:val="0"/>
        <w:autoSpaceDE w:val="0"/>
        <w:autoSpaceDN w:val="0"/>
        <w:spacing w:after="0" w:line="276" w:lineRule="auto"/>
        <w:jc w:val="both"/>
        <w:rPr>
          <w:rFonts w:ascii="Verdana" w:hAnsi="Verdana" w:cs="Arial"/>
        </w:rPr>
      </w:pPr>
    </w:p>
    <w:p w14:paraId="496AB01F" w14:textId="77777777" w:rsidR="004D0547" w:rsidRDefault="004D0547" w:rsidP="004D0547">
      <w:pPr>
        <w:widowControl w:val="0"/>
        <w:autoSpaceDE w:val="0"/>
        <w:autoSpaceDN w:val="0"/>
        <w:spacing w:after="0" w:line="276" w:lineRule="auto"/>
        <w:jc w:val="both"/>
        <w:rPr>
          <w:rFonts w:ascii="Verdana" w:hAnsi="Verdana" w:cs="Arial"/>
          <w:shd w:val="clear" w:color="auto" w:fill="FFFFFF"/>
        </w:rPr>
      </w:pPr>
      <w:r w:rsidRPr="00E860E7">
        <w:rPr>
          <w:rFonts w:ascii="Verdana" w:hAnsi="Verdana" w:cs="Arial"/>
          <w:bCs/>
          <w:shd w:val="clear" w:color="auto" w:fill="FFFFFF"/>
        </w:rPr>
        <w:t xml:space="preserve">Sobre la estabilidad laboral reforzada en mujer embarazada que tiene un vínculo a través de un contrato de prestación de servicios, esta Subdirección se ha pronunciado en los conceptos 2201913000009150 del 11 de diciembre de 2019, 2201913000009571 del 24 de diciembre de 2019, C-712 del 7 de diciembre de 2022, C-789 del 22 de noviembre de 2022, C-920 del 14 de febrero de 2023, C-031 del 17 de marzo de 2023, C-213 de 26 de junio de 2023, C-463 del 11 de noviembre de 2023, C- 015 del 13 de febrero de 2024, C-076 del 8 de julio de 2024, C-300 del 21 de agosto de 2024, C-922 del 8 de diciembre de 2024, C-142 del 14 de marzo de 2025, C- 192 del 25 de marzo de 2025, C- 414 del 12 de mayo de 2025, </w:t>
      </w:r>
      <w:r>
        <w:rPr>
          <w:rFonts w:ascii="Verdana" w:hAnsi="Verdana" w:cs="Arial"/>
          <w:bCs/>
          <w:shd w:val="clear" w:color="auto" w:fill="FFFFFF"/>
        </w:rPr>
        <w:t>C-</w:t>
      </w:r>
      <w:r w:rsidRPr="001715C8">
        <w:rPr>
          <w:rFonts w:ascii="Verdana" w:hAnsi="Verdana" w:cs="Arial"/>
          <w:bCs/>
          <w:shd w:val="clear" w:color="auto" w:fill="FFFFFF"/>
        </w:rPr>
        <w:t>1271 del 17 de octubre de 2025</w:t>
      </w:r>
      <w:r w:rsidRPr="001715C8">
        <w:rPr>
          <w:rFonts w:ascii="Verdana" w:hAnsi="Verdana" w:cs="Arial"/>
          <w:shd w:val="clear" w:color="auto" w:fill="FFFFFF"/>
        </w:rPr>
        <w:t>, C-1415 del 11 de noviembre de 2025, entre otros</w:t>
      </w:r>
      <w:r w:rsidRPr="001715C8">
        <w:rPr>
          <w:rFonts w:ascii="Verdana" w:hAnsi="Verdana" w:cs="Arial"/>
          <w:shd w:val="clear" w:color="auto" w:fill="FFFFFF"/>
          <w:lang w:val="es-ES"/>
        </w:rPr>
        <w:t>.</w:t>
      </w:r>
      <w:r w:rsidRPr="001715C8">
        <w:rPr>
          <w:rStyle w:val="normaltextrun"/>
          <w:rFonts w:ascii="Verdana" w:hAnsi="Verdana" w:cs="Arial"/>
          <w:shd w:val="clear" w:color="auto" w:fill="FFFFFF"/>
          <w:lang w:val="es-ES"/>
        </w:rPr>
        <w:t xml:space="preserve"> </w:t>
      </w:r>
      <w:r>
        <w:rPr>
          <w:rStyle w:val="normaltextrun"/>
          <w:rFonts w:ascii="Verdana" w:hAnsi="Verdana" w:cs="Arial"/>
          <w:shd w:val="clear" w:color="auto" w:fill="FFFFFF"/>
          <w:lang w:val="es-ES"/>
        </w:rPr>
        <w:t xml:space="preserve">Así mismo, </w:t>
      </w:r>
      <w:r>
        <w:rPr>
          <w:rFonts w:ascii="Verdana" w:hAnsi="Verdana" w:cs="Arial"/>
          <w:shd w:val="clear" w:color="auto" w:fill="FFFFFF"/>
        </w:rPr>
        <w:t>e</w:t>
      </w:r>
      <w:r w:rsidRPr="00BC3A80">
        <w:rPr>
          <w:rFonts w:ascii="Verdana" w:hAnsi="Verdana" w:cs="Arial"/>
          <w:shd w:val="clear" w:color="auto" w:fill="FFFFFF"/>
        </w:rPr>
        <w:t>sta Subdirección se ha pronunciado sobre la finalidad y propósito de la Ley de 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C-696 del 11 de julio de 2025, C-708 del 15 de julio de 2025, C-1186 del 17 de septiembre de 2025, C-1350 del 1˚ de octubre de 2025</w:t>
      </w:r>
      <w:r>
        <w:rPr>
          <w:rFonts w:ascii="Verdana" w:hAnsi="Verdana" w:cs="Arial"/>
          <w:shd w:val="clear" w:color="auto" w:fill="FFFFFF"/>
        </w:rPr>
        <w:t>,</w:t>
      </w:r>
      <w:r w:rsidRPr="00BC3A80">
        <w:rPr>
          <w:rFonts w:ascii="Verdana" w:hAnsi="Verdana" w:cs="Arial"/>
          <w:shd w:val="clear" w:color="auto" w:fill="FFFFFF"/>
        </w:rPr>
        <w:t xml:space="preserve"> C-1430 del 12 de noviembre de 2025</w:t>
      </w:r>
      <w:r>
        <w:rPr>
          <w:rFonts w:ascii="Verdana" w:hAnsi="Verdana" w:cs="Arial"/>
          <w:shd w:val="clear" w:color="auto" w:fill="FFFFFF"/>
        </w:rPr>
        <w:t xml:space="preserve"> y C-1568 del 14 de noviembre de 2025, entre otros</w:t>
      </w:r>
      <w:r w:rsidRPr="00BC3A80">
        <w:rPr>
          <w:rFonts w:ascii="Verdana" w:hAnsi="Verdana" w:cs="Arial"/>
          <w:shd w:val="clear" w:color="auto" w:fill="FFFFFF"/>
        </w:rPr>
        <w:t xml:space="preserve">. </w:t>
      </w:r>
      <w:r w:rsidRPr="00A869FE">
        <w:rPr>
          <w:rFonts w:ascii="Verdana" w:hAnsi="Verdana" w:cs="Arial"/>
          <w:shd w:val="clear" w:color="auto" w:fill="FFFFFF"/>
        </w:rPr>
        <w:t>Estos conceptos se encuentran disponibles para consulta en el Sistema de relatoría de la Agencia, al cual puede accederse a través del siguiente enlace:</w:t>
      </w:r>
    </w:p>
    <w:p w14:paraId="1CF38428" w14:textId="77777777" w:rsidR="004D0547" w:rsidRDefault="004D0547" w:rsidP="004D0547">
      <w:pPr>
        <w:widowControl w:val="0"/>
        <w:autoSpaceDE w:val="0"/>
        <w:autoSpaceDN w:val="0"/>
        <w:spacing w:after="0" w:line="276" w:lineRule="auto"/>
        <w:jc w:val="both"/>
        <w:rPr>
          <w:rFonts w:ascii="Verdana" w:hAnsi="Verdana" w:cs="Arial"/>
          <w:shd w:val="clear" w:color="auto" w:fill="FFFFFF"/>
        </w:rPr>
      </w:pPr>
    </w:p>
    <w:p w14:paraId="4521C5C7" w14:textId="77777777" w:rsidR="004D0547" w:rsidRPr="00A869FE" w:rsidRDefault="004D0547" w:rsidP="004D0547">
      <w:pPr>
        <w:widowControl w:val="0"/>
        <w:autoSpaceDE w:val="0"/>
        <w:autoSpaceDN w:val="0"/>
        <w:spacing w:after="0" w:line="276" w:lineRule="auto"/>
        <w:jc w:val="both"/>
        <w:rPr>
          <w:rFonts w:ascii="Verdana" w:hAnsi="Verdana" w:cs="Arial"/>
          <w:color w:val="FF0000"/>
          <w:shd w:val="clear" w:color="auto" w:fill="FFFFFF"/>
        </w:rPr>
      </w:pPr>
      <w:hyperlink r:id="rId8" w:history="1">
        <w:r w:rsidRPr="00A869FE">
          <w:rPr>
            <w:rFonts w:ascii="Verdana" w:hAnsi="Verdana" w:cs="Arial"/>
            <w:color w:val="0000FF"/>
            <w:u w:val="single"/>
            <w:shd w:val="clear" w:color="auto" w:fill="FFFFFF"/>
          </w:rPr>
          <w:t>https://relatoria.colombiacompra.gov.co/busqueda/conceptos</w:t>
        </w:r>
      </w:hyperlink>
      <w:r w:rsidRPr="00A869FE">
        <w:rPr>
          <w:rFonts w:ascii="Verdana" w:hAnsi="Verdana" w:cs="Arial"/>
          <w:shd w:val="clear" w:color="auto" w:fill="FFFFFF"/>
        </w:rPr>
        <w:t xml:space="preserve">. </w:t>
      </w:r>
      <w:r w:rsidRPr="00A869FE">
        <w:rPr>
          <w:rFonts w:ascii="Verdana" w:hAnsi="Verdana" w:cs="Arial"/>
          <w:color w:val="FF0000"/>
          <w:shd w:val="clear" w:color="auto" w:fill="FFFFFF"/>
        </w:rPr>
        <w:t xml:space="preserve"> </w:t>
      </w:r>
    </w:p>
    <w:p w14:paraId="3BAD3591" w14:textId="77777777" w:rsidR="004D0547" w:rsidRPr="00A869FE" w:rsidRDefault="004D0547" w:rsidP="004D0547">
      <w:pPr>
        <w:widowControl w:val="0"/>
        <w:autoSpaceDE w:val="0"/>
        <w:autoSpaceDN w:val="0"/>
        <w:spacing w:after="0" w:line="276" w:lineRule="auto"/>
        <w:jc w:val="both"/>
        <w:rPr>
          <w:rFonts w:ascii="Verdana" w:hAnsi="Verdana" w:cs="Arial"/>
          <w:color w:val="FF0000"/>
          <w:shd w:val="clear" w:color="auto" w:fill="FFFFFF"/>
        </w:rPr>
      </w:pPr>
    </w:p>
    <w:p w14:paraId="7EECC015" w14:textId="77777777" w:rsidR="004D0547" w:rsidRPr="00A869FE" w:rsidRDefault="004D0547" w:rsidP="004D0547">
      <w:pPr>
        <w:shd w:val="clear" w:color="auto" w:fill="FFFFFF"/>
        <w:spacing w:after="0" w:line="276" w:lineRule="auto"/>
        <w:jc w:val="both"/>
        <w:rPr>
          <w:rFonts w:ascii="Verdana" w:hAnsi="Verdana"/>
          <w:color w:val="467886"/>
          <w:u w:val="single"/>
        </w:rPr>
      </w:pPr>
      <w:r w:rsidRPr="00A869FE">
        <w:rPr>
          <w:rFonts w:ascii="Verdana" w:hAnsi="Verdana"/>
          <w:color w:val="000000"/>
        </w:rPr>
        <w:t>Te informamos que ya se encuentra disponible la </w:t>
      </w:r>
      <w:r w:rsidRPr="00A869FE">
        <w:rPr>
          <w:rFonts w:ascii="Verdana" w:hAnsi="Verdana"/>
          <w:b/>
          <w:bCs/>
          <w:color w:val="000000"/>
        </w:rPr>
        <w:t>Guía de lineamientos de transparencia y selección objetiva para el departamento de La Guajira – Objetivo sexto constitucional de la Sentencia T-302 del 2017. </w:t>
      </w:r>
      <w:r w:rsidRPr="00A869FE">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w:t>
      </w:r>
      <w:r w:rsidRPr="00A869FE">
        <w:rPr>
          <w:rFonts w:ascii="Verdana" w:hAnsi="Verdana"/>
          <w:color w:val="000000"/>
        </w:rPr>
        <w:lastRenderedPageBreak/>
        <w:t>fundamentales de los niños y de las niñas del Pueblo Wayúu. Puede consultar la guía en el siguiente enlace: </w:t>
      </w:r>
      <w:hyperlink r:id="rId9" w:tgtFrame="_blank" w:tooltip="Dirección URL original: https://www.colombiacompra.gov.co/wp-content/uploads/2025/05/GUIA-DE-LINEAMIENTOS-DE-TRANSPARENCIA-Y-SELECCION-OBJETIVA-1.0.pdf. Haga clic o pulse si confía en este vínculo." w:history="1">
        <w:r w:rsidRPr="00A869FE">
          <w:rPr>
            <w:rFonts w:ascii="Verdana" w:hAnsi="Verdana"/>
            <w:color w:val="0000FF"/>
            <w:u w:val="single"/>
          </w:rPr>
          <w:t>Guía de lineamientos de transparencia y selección objetiva para el departamento de La Guajira – Objetivo sexto constitucional de la Sentencia T-302 del 2017</w:t>
        </w:r>
      </w:hyperlink>
      <w:r w:rsidRPr="00A869FE">
        <w:rPr>
          <w:rFonts w:ascii="Verdana" w:hAnsi="Verdana"/>
          <w:color w:val="000000"/>
          <w:u w:val="single"/>
        </w:rPr>
        <w:t>.</w:t>
      </w:r>
    </w:p>
    <w:p w14:paraId="5B91DF9C" w14:textId="77777777" w:rsidR="004D0547" w:rsidRPr="00A869FE" w:rsidRDefault="004D0547" w:rsidP="004D0547">
      <w:pPr>
        <w:widowControl w:val="0"/>
        <w:autoSpaceDE w:val="0"/>
        <w:autoSpaceDN w:val="0"/>
        <w:spacing w:after="0" w:line="276" w:lineRule="auto"/>
        <w:jc w:val="both"/>
        <w:rPr>
          <w:rFonts w:ascii="Verdana" w:hAnsi="Verdana" w:cs="Arial"/>
          <w:color w:val="000000" w:themeColor="text1"/>
          <w:shd w:val="clear" w:color="auto" w:fill="FFFFFF"/>
        </w:rPr>
      </w:pPr>
      <w:r w:rsidRPr="00A869FE">
        <w:rPr>
          <w:rFonts w:ascii="Verdana" w:hAnsi="Verdana" w:cs="Arial"/>
          <w:color w:val="000000" w:themeColor="text1"/>
          <w:shd w:val="clear" w:color="auto" w:fill="FFFFFF"/>
        </w:rPr>
        <w:t xml:space="preserve"> </w:t>
      </w:r>
    </w:p>
    <w:p w14:paraId="063C58CA" w14:textId="77777777" w:rsidR="004D0547" w:rsidRPr="00A869FE" w:rsidRDefault="004D0547" w:rsidP="004D0547">
      <w:pPr>
        <w:spacing w:after="0" w:line="276" w:lineRule="auto"/>
        <w:jc w:val="both"/>
        <w:rPr>
          <w:rFonts w:ascii="Verdana" w:hAnsi="Verdana"/>
        </w:rPr>
      </w:pPr>
      <w:r w:rsidRPr="00A869FE">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5426ED30" w14:textId="77777777" w:rsidR="004D0547" w:rsidRPr="00A869FE" w:rsidRDefault="004D0547" w:rsidP="004D0547">
      <w:pPr>
        <w:spacing w:after="0" w:line="276" w:lineRule="auto"/>
        <w:jc w:val="both"/>
        <w:rPr>
          <w:rFonts w:ascii="Verdana" w:hAnsi="Verdana"/>
        </w:rPr>
      </w:pPr>
    </w:p>
    <w:p w14:paraId="74661FEE" w14:textId="77777777" w:rsidR="004D0547" w:rsidRPr="00A869FE" w:rsidRDefault="004D0547" w:rsidP="004D0547">
      <w:pPr>
        <w:numPr>
          <w:ilvl w:val="0"/>
          <w:numId w:val="1"/>
        </w:numPr>
        <w:spacing w:after="0" w:line="276" w:lineRule="auto"/>
        <w:contextualSpacing/>
        <w:jc w:val="both"/>
        <w:rPr>
          <w:rFonts w:ascii="Verdana" w:eastAsia="Verdana" w:hAnsi="Verdana" w:cs="Verdana"/>
          <w:color w:val="4472C4" w:themeColor="accent1"/>
          <w:u w:val="single"/>
        </w:rPr>
      </w:pPr>
      <w:r w:rsidRPr="00A869FE">
        <w:rPr>
          <w:rFonts w:ascii="Verdana" w:eastAsia="Verdana" w:hAnsi="Verdana" w:cs="Verdana"/>
        </w:rPr>
        <w:t xml:space="preserve">Línea nacional gratuita o servicio a la ciudadanía (Mesa de servicio): </w:t>
      </w:r>
      <w:r w:rsidRPr="00A869FE">
        <w:rPr>
          <w:rFonts w:ascii="Verdana" w:hAnsi="Verdana"/>
          <w:color w:val="0000FF"/>
          <w:u w:val="single"/>
        </w:rPr>
        <w:t>01800 0520808</w:t>
      </w:r>
    </w:p>
    <w:p w14:paraId="0CE3D0F8" w14:textId="77777777" w:rsidR="004D0547" w:rsidRPr="00A869FE" w:rsidRDefault="004D0547" w:rsidP="004D0547">
      <w:pPr>
        <w:numPr>
          <w:ilvl w:val="0"/>
          <w:numId w:val="1"/>
        </w:numPr>
        <w:spacing w:after="0" w:line="276" w:lineRule="auto"/>
        <w:contextualSpacing/>
        <w:rPr>
          <w:rFonts w:ascii="Verdana" w:eastAsia="Verdana" w:hAnsi="Verdana" w:cs="Verdana"/>
          <w:color w:val="4472C4" w:themeColor="accent1"/>
          <w:u w:val="single"/>
        </w:rPr>
      </w:pPr>
      <w:r w:rsidRPr="00A869FE">
        <w:rPr>
          <w:rFonts w:ascii="Verdana" w:eastAsia="Verdana" w:hAnsi="Verdana" w:cs="Verdana"/>
        </w:rPr>
        <w:t>Línea en Bogotá (Mesa de servicio):</w:t>
      </w:r>
      <w:r w:rsidRPr="00A869FE">
        <w:rPr>
          <w:rFonts w:ascii="Verdana" w:hAnsi="Verdana"/>
          <w:color w:val="0000FF"/>
          <w:u w:val="single"/>
        </w:rPr>
        <w:t>+57 601 7456788</w:t>
      </w:r>
    </w:p>
    <w:p w14:paraId="1AD475F7" w14:textId="77777777" w:rsidR="004D0547" w:rsidRPr="00A869FE" w:rsidRDefault="004D0547" w:rsidP="004D0547">
      <w:pPr>
        <w:numPr>
          <w:ilvl w:val="0"/>
          <w:numId w:val="1"/>
        </w:numPr>
        <w:spacing w:after="0" w:line="276" w:lineRule="auto"/>
        <w:contextualSpacing/>
        <w:rPr>
          <w:rFonts w:ascii="Verdana" w:eastAsia="Verdana" w:hAnsi="Verdana" w:cs="Verdana"/>
          <w:color w:val="0000FF"/>
          <w:u w:val="single"/>
        </w:rPr>
      </w:pPr>
      <w:r w:rsidRPr="00A869FE">
        <w:rPr>
          <w:rFonts w:ascii="Verdana" w:eastAsia="Verdana" w:hAnsi="Verdana" w:cs="Verdana"/>
        </w:rPr>
        <w:t xml:space="preserve">Correo de radicación de correspondencia: </w:t>
      </w:r>
      <w:hyperlink r:id="rId10" w:history="1">
        <w:r w:rsidRPr="00A869FE">
          <w:rPr>
            <w:rFonts w:ascii="Verdana" w:eastAsia="Verdana" w:hAnsi="Verdana" w:cs="Verdana"/>
            <w:color w:val="0000FF"/>
            <w:u w:val="single"/>
          </w:rPr>
          <w:t>ventanilladeradicacion@colombiacompra.gov.co</w:t>
        </w:r>
      </w:hyperlink>
    </w:p>
    <w:p w14:paraId="63BE3D39" w14:textId="77777777" w:rsidR="004D0547" w:rsidRPr="00A869FE" w:rsidRDefault="004D0547" w:rsidP="004D0547">
      <w:pPr>
        <w:numPr>
          <w:ilvl w:val="0"/>
          <w:numId w:val="1"/>
        </w:numPr>
        <w:spacing w:after="0" w:line="276" w:lineRule="auto"/>
        <w:contextualSpacing/>
        <w:rPr>
          <w:rFonts w:ascii="Verdana" w:eastAsia="Verdana" w:hAnsi="Verdana" w:cs="Verdana"/>
          <w:color w:val="0000FF"/>
          <w:u w:val="single"/>
        </w:rPr>
      </w:pPr>
      <w:r w:rsidRPr="00A869FE">
        <w:rPr>
          <w:rFonts w:ascii="Verdana" w:eastAsia="Verdana" w:hAnsi="Verdana" w:cs="Verdana"/>
        </w:rPr>
        <w:t xml:space="preserve">Formulario web para PQRSD: </w:t>
      </w:r>
      <w:hyperlink r:id="rId11" w:history="1">
        <w:r w:rsidRPr="00A869FE">
          <w:rPr>
            <w:rFonts w:ascii="Verdana" w:eastAsia="Verdana" w:hAnsi="Verdana" w:cs="Verdana"/>
            <w:color w:val="0000FF"/>
            <w:u w:val="single"/>
          </w:rPr>
          <w:t>https://www.colombiacompra.gov.co/pqrsd/informacion-importante-antes-de-formular-una-pqrsd</w:t>
        </w:r>
      </w:hyperlink>
    </w:p>
    <w:p w14:paraId="143FB244" w14:textId="77777777" w:rsidR="004D0547" w:rsidRPr="00A869FE" w:rsidRDefault="004D0547" w:rsidP="004D0547">
      <w:pPr>
        <w:spacing w:after="0" w:line="276" w:lineRule="auto"/>
        <w:ind w:left="720"/>
        <w:jc w:val="both"/>
        <w:rPr>
          <w:rFonts w:ascii="Verdana" w:hAnsi="Verdana"/>
        </w:rPr>
      </w:pPr>
    </w:p>
    <w:p w14:paraId="6AA68629" w14:textId="77777777" w:rsidR="004D0547" w:rsidRPr="00A869FE" w:rsidRDefault="004D0547" w:rsidP="004D0547">
      <w:pPr>
        <w:spacing w:after="0" w:line="276" w:lineRule="auto"/>
        <w:rPr>
          <w:rFonts w:ascii="Verdana" w:hAnsi="Verdana"/>
        </w:rPr>
      </w:pPr>
      <w:r w:rsidRPr="00A869FE">
        <w:rPr>
          <w:rFonts w:ascii="Verdana" w:hAnsi="Verdana"/>
        </w:rPr>
        <w:t>Evalúa el servicio que ofrece la Agencia por el canal de atención de PQRSD en el siguiente enlace :</w:t>
      </w:r>
      <w:hyperlink r:id="rId12" w:tgtFrame="_blank" w:tooltip="https://forms.office.com/r/pphywvs2sz" w:history="1">
        <w:r w:rsidRPr="00A869FE">
          <w:rPr>
            <w:rFonts w:ascii="Verdana" w:hAnsi="Verdana"/>
            <w:color w:val="0000FF"/>
            <w:u w:val="single"/>
          </w:rPr>
          <w:t>https://forms.office.com/r/pPHyWVs2SZ</w:t>
        </w:r>
      </w:hyperlink>
      <w:r w:rsidRPr="00A869FE">
        <w:rPr>
          <w:rFonts w:ascii="Verdana" w:hAnsi="Verdana"/>
        </w:rPr>
        <w:t xml:space="preserve"> .¡Ayúdanos a mejorar porque el compromiso es de todos!</w:t>
      </w:r>
    </w:p>
    <w:p w14:paraId="1175BA39" w14:textId="77777777" w:rsidR="004D0547" w:rsidRPr="00A869FE" w:rsidRDefault="004D0547" w:rsidP="004D0547">
      <w:pPr>
        <w:spacing w:after="0" w:line="276" w:lineRule="auto"/>
        <w:rPr>
          <w:rFonts w:ascii="Verdana" w:hAnsi="Verdana"/>
        </w:rPr>
      </w:pPr>
    </w:p>
    <w:p w14:paraId="6C75E2B0" w14:textId="77777777" w:rsidR="004D0547" w:rsidRPr="00A869FE" w:rsidRDefault="004D0547" w:rsidP="004D0547">
      <w:pPr>
        <w:spacing w:after="0" w:line="276" w:lineRule="auto"/>
        <w:jc w:val="both"/>
        <w:rPr>
          <w:rFonts w:ascii="Verdana" w:hAnsi="Verdana"/>
        </w:rPr>
      </w:pPr>
      <w:r w:rsidRPr="00A869FE">
        <w:rPr>
          <w:rFonts w:ascii="Verdana" w:hAnsi="Verdana"/>
        </w:rPr>
        <w:t xml:space="preserve">Por último, lo invitamos a seguirnos en las redes sociales en las cuales se difunde información institucional: </w:t>
      </w:r>
    </w:p>
    <w:p w14:paraId="01866CCF" w14:textId="77777777" w:rsidR="004D0547" w:rsidRPr="00A869FE" w:rsidRDefault="004D0547" w:rsidP="004D0547">
      <w:pPr>
        <w:spacing w:after="0" w:line="276" w:lineRule="auto"/>
        <w:jc w:val="both"/>
        <w:rPr>
          <w:rFonts w:ascii="Verdana" w:hAnsi="Verdana"/>
        </w:rPr>
      </w:pPr>
    </w:p>
    <w:p w14:paraId="1D08DFD9" w14:textId="77777777" w:rsidR="004D0547" w:rsidRPr="00A869FE" w:rsidRDefault="004D0547" w:rsidP="004D0547">
      <w:pPr>
        <w:spacing w:after="0" w:line="276" w:lineRule="auto"/>
        <w:jc w:val="both"/>
        <w:rPr>
          <w:rFonts w:ascii="Verdana" w:hAnsi="Verdana"/>
        </w:rPr>
      </w:pPr>
      <w:r w:rsidRPr="00A869FE">
        <w:rPr>
          <w:rFonts w:ascii="Verdana" w:hAnsi="Verdana"/>
        </w:rPr>
        <w:t xml:space="preserve">Twitter: </w:t>
      </w:r>
      <w:r w:rsidRPr="00A869FE">
        <w:rPr>
          <w:rFonts w:ascii="Verdana" w:hAnsi="Verdana"/>
          <w:color w:val="0000FF"/>
          <w:u w:val="single"/>
        </w:rPr>
        <w:t>@colombiacompra</w:t>
      </w:r>
      <w:r w:rsidRPr="00A869FE">
        <w:rPr>
          <w:rFonts w:ascii="Verdana" w:hAnsi="Verdana"/>
        </w:rPr>
        <w:t xml:space="preserve"> </w:t>
      </w:r>
    </w:p>
    <w:p w14:paraId="78804678" w14:textId="77777777" w:rsidR="004D0547" w:rsidRPr="00A869FE" w:rsidRDefault="004D0547" w:rsidP="004D0547">
      <w:pPr>
        <w:spacing w:after="0" w:line="276" w:lineRule="auto"/>
        <w:jc w:val="both"/>
        <w:rPr>
          <w:rFonts w:ascii="Verdana" w:hAnsi="Verdana"/>
        </w:rPr>
      </w:pPr>
      <w:r w:rsidRPr="00A869FE">
        <w:rPr>
          <w:rFonts w:ascii="Verdana" w:hAnsi="Verdana"/>
        </w:rPr>
        <w:t xml:space="preserve">Facebook: </w:t>
      </w:r>
      <w:r w:rsidRPr="00A869FE">
        <w:rPr>
          <w:rFonts w:ascii="Verdana" w:hAnsi="Verdana"/>
          <w:color w:val="0000FF"/>
          <w:u w:val="single"/>
        </w:rPr>
        <w:t>ColombiaCompraEficiente</w:t>
      </w:r>
    </w:p>
    <w:p w14:paraId="6C1C6F9A" w14:textId="77777777" w:rsidR="004D0547" w:rsidRPr="00A869FE" w:rsidRDefault="004D0547" w:rsidP="004D0547">
      <w:pPr>
        <w:spacing w:after="0" w:line="276" w:lineRule="auto"/>
        <w:jc w:val="both"/>
        <w:rPr>
          <w:rFonts w:ascii="Verdana" w:hAnsi="Verdana"/>
        </w:rPr>
      </w:pPr>
      <w:r w:rsidRPr="00A869FE">
        <w:rPr>
          <w:rFonts w:ascii="Verdana" w:hAnsi="Verdana"/>
        </w:rPr>
        <w:t xml:space="preserve">LinkedIn: </w:t>
      </w:r>
      <w:r w:rsidRPr="00A869FE">
        <w:rPr>
          <w:rFonts w:ascii="Verdana" w:hAnsi="Verdana"/>
          <w:color w:val="0000FF"/>
          <w:u w:val="single"/>
        </w:rPr>
        <w:t>Agencia Nacional de Contratación Pública - Colombia Compra Eficiente</w:t>
      </w:r>
      <w:r w:rsidRPr="00A869FE">
        <w:rPr>
          <w:rFonts w:ascii="Verdana" w:hAnsi="Verdana"/>
        </w:rPr>
        <w:t xml:space="preserve"> Instagram: </w:t>
      </w:r>
      <w:r w:rsidRPr="00A869FE">
        <w:rPr>
          <w:rFonts w:ascii="Verdana" w:hAnsi="Verdana"/>
          <w:color w:val="0000FF"/>
          <w:u w:val="single"/>
        </w:rPr>
        <w:t>@colombiacompraeficiente_cce</w:t>
      </w:r>
    </w:p>
    <w:p w14:paraId="19F24EE0" w14:textId="77777777" w:rsidR="004D0547" w:rsidRPr="00A869FE" w:rsidRDefault="004D0547" w:rsidP="004D0547">
      <w:pPr>
        <w:widowControl w:val="0"/>
        <w:autoSpaceDE w:val="0"/>
        <w:autoSpaceDN w:val="0"/>
        <w:spacing w:after="0" w:line="276" w:lineRule="auto"/>
        <w:jc w:val="both"/>
        <w:rPr>
          <w:rFonts w:ascii="Verdana" w:hAnsi="Verdana" w:cs="Arial"/>
          <w:color w:val="FF0000"/>
          <w:shd w:val="clear" w:color="auto" w:fill="FFFFFF"/>
        </w:rPr>
      </w:pPr>
      <w:r w:rsidRPr="00A869FE">
        <w:rPr>
          <w:rFonts w:ascii="Verdana" w:hAnsi="Verdana" w:cs="Arial"/>
          <w:color w:val="FF0000"/>
          <w:shd w:val="clear" w:color="auto" w:fill="FFFFFF"/>
        </w:rPr>
        <w:t xml:space="preserve">        </w:t>
      </w:r>
    </w:p>
    <w:p w14:paraId="7FC89873" w14:textId="77777777" w:rsidR="004D0547" w:rsidRPr="00A869FE" w:rsidRDefault="004D0547" w:rsidP="004D0547">
      <w:pPr>
        <w:widowControl w:val="0"/>
        <w:autoSpaceDE w:val="0"/>
        <w:autoSpaceDN w:val="0"/>
        <w:spacing w:after="0" w:line="276" w:lineRule="auto"/>
        <w:jc w:val="both"/>
        <w:rPr>
          <w:rFonts w:ascii="Verdana" w:hAnsi="Verdana" w:cs="Arial"/>
        </w:rPr>
      </w:pPr>
      <w:r w:rsidRPr="00A869FE">
        <w:rPr>
          <w:rFonts w:ascii="Verdana" w:hAnsi="Verdana" w:cs="Aria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4D8D7301" w14:textId="77777777" w:rsidR="004D0547" w:rsidRPr="00A869FE" w:rsidRDefault="004D0547" w:rsidP="004D0547">
      <w:pPr>
        <w:widowControl w:val="0"/>
        <w:autoSpaceDE w:val="0"/>
        <w:autoSpaceDN w:val="0"/>
        <w:spacing w:after="0" w:line="276" w:lineRule="auto"/>
        <w:jc w:val="both"/>
        <w:rPr>
          <w:rFonts w:ascii="Verdana" w:hAnsi="Verdana" w:cs="Arial"/>
        </w:rPr>
      </w:pPr>
    </w:p>
    <w:p w14:paraId="4681D7B0" w14:textId="77777777" w:rsidR="004D0547" w:rsidRPr="00A869FE" w:rsidRDefault="004D0547" w:rsidP="004D0547">
      <w:pPr>
        <w:spacing w:after="0" w:line="276" w:lineRule="auto"/>
        <w:rPr>
          <w:rFonts w:ascii="Verdana" w:eastAsia="Times New Roman" w:hAnsi="Verdana" w:cs="Arial"/>
          <w:lang w:eastAsia="es-ES_tradnl"/>
        </w:rPr>
      </w:pPr>
      <w:r w:rsidRPr="00A869FE">
        <w:rPr>
          <w:rFonts w:ascii="Verdana" w:eastAsia="Times New Roman" w:hAnsi="Verdana" w:cs="Arial"/>
          <w:lang w:eastAsia="es-CO"/>
        </w:rPr>
        <w:t>Atentamente,</w:t>
      </w:r>
      <w:r w:rsidRPr="00A869FE">
        <w:rPr>
          <w:rFonts w:ascii="Verdana" w:hAnsi="Verdana" w:cs="Arial"/>
          <w:lang w:eastAsia="es-CO"/>
        </w:rPr>
        <w:t xml:space="preserve"> </w:t>
      </w:r>
      <w:bookmarkEnd w:id="0"/>
    </w:p>
    <w:p w14:paraId="7E3C4B1B" w14:textId="3D1B30E5" w:rsidR="004D0547" w:rsidRPr="00A869FE" w:rsidRDefault="00B54AF7" w:rsidP="004D0547">
      <w:pPr>
        <w:spacing w:after="0" w:line="240" w:lineRule="auto"/>
        <w:jc w:val="center"/>
      </w:pPr>
      <w:r w:rsidRPr="004D5C25">
        <w:rPr>
          <w:rFonts w:ascii="Century Gothic" w:hAnsi="Century Gothic"/>
          <w:noProof/>
        </w:rPr>
        <w:lastRenderedPageBreak/>
        <w:drawing>
          <wp:inline distT="0" distB="0" distL="0" distR="0" wp14:anchorId="572F9CD4" wp14:editId="58A05079">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3"/>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D0547" w:rsidRPr="00A869FE" w14:paraId="314B7974" w14:textId="77777777" w:rsidTr="00CD4AEA">
        <w:trPr>
          <w:trHeight w:val="315"/>
        </w:trPr>
        <w:tc>
          <w:tcPr>
            <w:tcW w:w="893" w:type="dxa"/>
            <w:vAlign w:val="center"/>
            <w:hideMark/>
          </w:tcPr>
          <w:p w14:paraId="6A1A58A5" w14:textId="77777777" w:rsidR="004D0547" w:rsidRPr="00A869FE" w:rsidRDefault="004D0547" w:rsidP="00CD4AEA">
            <w:pPr>
              <w:contextualSpacing/>
              <w:rPr>
                <w:rFonts w:ascii="Verdana" w:hAnsi="Verdana" w:cs="Arial"/>
                <w:sz w:val="16"/>
                <w:szCs w:val="16"/>
                <w:lang w:eastAsia="es-ES"/>
              </w:rPr>
            </w:pPr>
            <w:r w:rsidRPr="00A869FE">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0FC7AC4D" w14:textId="77777777" w:rsidR="004D0547" w:rsidRPr="00A869FE" w:rsidRDefault="004D0547" w:rsidP="00CD4AEA">
            <w:pPr>
              <w:spacing w:line="256" w:lineRule="auto"/>
              <w:rPr>
                <w:rFonts w:ascii="Verdana" w:eastAsia="Calibri" w:hAnsi="Verdana" w:cs="Times New Roman"/>
                <w:sz w:val="16"/>
                <w:szCs w:val="16"/>
              </w:rPr>
            </w:pPr>
            <w:r w:rsidRPr="00A869FE">
              <w:rPr>
                <w:rFonts w:ascii="Verdana" w:eastAsia="Calibri" w:hAnsi="Verdana" w:cs="Times New Roman"/>
                <w:sz w:val="16"/>
                <w:szCs w:val="16"/>
              </w:rPr>
              <w:t>Sergio Enrique Caballero Lesmes</w:t>
            </w:r>
          </w:p>
          <w:p w14:paraId="7A29D133" w14:textId="77777777" w:rsidR="004D0547" w:rsidRPr="00A869FE" w:rsidRDefault="004D0547" w:rsidP="00CD4AEA">
            <w:pPr>
              <w:contextualSpacing/>
              <w:rPr>
                <w:rFonts w:ascii="Verdana" w:eastAsia="Arial" w:hAnsi="Verdana" w:cs="Arial"/>
                <w:sz w:val="16"/>
                <w:szCs w:val="16"/>
              </w:rPr>
            </w:pPr>
            <w:r w:rsidRPr="00A869FE">
              <w:rPr>
                <w:rFonts w:ascii="Verdana" w:eastAsia="Calibri" w:hAnsi="Verdana" w:cs="Times New Roman"/>
                <w:sz w:val="16"/>
                <w:szCs w:val="16"/>
              </w:rPr>
              <w:t>Analista T2 -02 de la Subdirección de Gestión Contractual</w:t>
            </w:r>
          </w:p>
        </w:tc>
      </w:tr>
      <w:tr w:rsidR="004D0547" w:rsidRPr="00A869FE" w14:paraId="03444205" w14:textId="77777777" w:rsidTr="00CD4AEA">
        <w:trPr>
          <w:trHeight w:val="330"/>
        </w:trPr>
        <w:tc>
          <w:tcPr>
            <w:tcW w:w="893" w:type="dxa"/>
            <w:vAlign w:val="center"/>
            <w:hideMark/>
          </w:tcPr>
          <w:p w14:paraId="377F2E95" w14:textId="77777777" w:rsidR="004D0547" w:rsidRPr="00A869FE" w:rsidRDefault="004D0547" w:rsidP="00CD4AEA">
            <w:pPr>
              <w:contextualSpacing/>
              <w:rPr>
                <w:rFonts w:ascii="Verdana" w:hAnsi="Verdana" w:cs="Arial"/>
                <w:sz w:val="16"/>
                <w:szCs w:val="16"/>
                <w:lang w:eastAsia="es-ES"/>
              </w:rPr>
            </w:pPr>
            <w:r w:rsidRPr="00A869FE">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52AE2FF" w14:textId="77777777" w:rsidR="004D0547" w:rsidRPr="00A869FE" w:rsidRDefault="004D0547" w:rsidP="00CD4AEA">
            <w:pPr>
              <w:spacing w:line="256" w:lineRule="auto"/>
              <w:rPr>
                <w:rFonts w:ascii="Verdana" w:eastAsia="Calibri" w:hAnsi="Verdana" w:cs="Times New Roman"/>
                <w:sz w:val="16"/>
                <w:szCs w:val="16"/>
              </w:rPr>
            </w:pPr>
            <w:r>
              <w:rPr>
                <w:rFonts w:ascii="Verdana" w:eastAsia="Calibri" w:hAnsi="Verdana" w:cs="Times New Roman"/>
                <w:sz w:val="16"/>
                <w:szCs w:val="16"/>
              </w:rPr>
              <w:t>Diana Lucía Saavedra Castañeda</w:t>
            </w:r>
          </w:p>
          <w:p w14:paraId="79531472" w14:textId="77777777" w:rsidR="004D0547" w:rsidRPr="00A869FE" w:rsidRDefault="004D0547" w:rsidP="00CD4AEA">
            <w:pPr>
              <w:pStyle w:val="paragraph"/>
              <w:spacing w:before="0" w:beforeAutospacing="0" w:after="0" w:afterAutospacing="0"/>
              <w:contextualSpacing/>
              <w:textAlignment w:val="baseline"/>
              <w:rPr>
                <w:rFonts w:ascii="Verdana" w:hAnsi="Verdana" w:cs="Segoe UI"/>
                <w:sz w:val="16"/>
                <w:szCs w:val="16"/>
              </w:rPr>
            </w:pPr>
            <w:r w:rsidRPr="00A869FE">
              <w:rPr>
                <w:rFonts w:ascii="Verdana" w:eastAsia="Calibri" w:hAnsi="Verdana"/>
                <w:sz w:val="16"/>
                <w:szCs w:val="16"/>
              </w:rPr>
              <w:t>Contratista de la Subdirección de Gestión Contractual </w:t>
            </w:r>
          </w:p>
        </w:tc>
      </w:tr>
      <w:tr w:rsidR="004D0547" w:rsidRPr="00A869FE" w14:paraId="797C619F" w14:textId="77777777" w:rsidTr="00CD4AEA">
        <w:trPr>
          <w:trHeight w:val="300"/>
        </w:trPr>
        <w:tc>
          <w:tcPr>
            <w:tcW w:w="893" w:type="dxa"/>
            <w:vAlign w:val="center"/>
          </w:tcPr>
          <w:p w14:paraId="6CA55CCE" w14:textId="77777777" w:rsidR="004D0547" w:rsidRPr="00A869FE" w:rsidRDefault="004D0547" w:rsidP="00CD4AEA">
            <w:pPr>
              <w:contextualSpacing/>
              <w:rPr>
                <w:rFonts w:ascii="Verdana" w:hAnsi="Verdana" w:cs="Arial"/>
                <w:sz w:val="16"/>
                <w:szCs w:val="16"/>
                <w:lang w:eastAsia="es-ES"/>
              </w:rPr>
            </w:pPr>
            <w:r w:rsidRPr="00A869FE">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EE64460" w14:textId="77777777" w:rsidR="004D0547" w:rsidRPr="00A869FE" w:rsidRDefault="004D0547" w:rsidP="00CD4AEA">
            <w:pPr>
              <w:contextualSpacing/>
              <w:rPr>
                <w:rFonts w:ascii="Verdana" w:eastAsia="Calibri" w:hAnsi="Verdana" w:cs="Arial"/>
                <w:sz w:val="16"/>
                <w:szCs w:val="16"/>
                <w:lang w:eastAsia="es-ES"/>
              </w:rPr>
            </w:pPr>
            <w:r w:rsidRPr="00A869FE">
              <w:rPr>
                <w:rFonts w:ascii="Verdana" w:eastAsia="Calibri" w:hAnsi="Verdana" w:cs="Arial"/>
                <w:sz w:val="16"/>
                <w:szCs w:val="16"/>
                <w:lang w:eastAsia="es-ES"/>
              </w:rPr>
              <w:t>Carolina Quintero Gacharná</w:t>
            </w:r>
          </w:p>
          <w:p w14:paraId="02D9D2E6" w14:textId="77777777" w:rsidR="004D0547" w:rsidRPr="00A869FE" w:rsidRDefault="004D0547" w:rsidP="00CD4AEA">
            <w:pPr>
              <w:contextualSpacing/>
              <w:rPr>
                <w:rFonts w:ascii="Verdana" w:eastAsia="Calibri" w:hAnsi="Verdana" w:cs="Arial"/>
                <w:sz w:val="16"/>
                <w:szCs w:val="16"/>
                <w:lang w:eastAsia="es-ES"/>
              </w:rPr>
            </w:pPr>
            <w:r w:rsidRPr="00A869FE">
              <w:rPr>
                <w:rFonts w:ascii="Verdana" w:eastAsia="Calibri" w:hAnsi="Verdana" w:cs="Arial"/>
                <w:sz w:val="16"/>
                <w:szCs w:val="16"/>
                <w:lang w:eastAsia="es-ES"/>
              </w:rPr>
              <w:t>Subdirectora de Gestión Contractual ANCP – CCE</w:t>
            </w:r>
          </w:p>
        </w:tc>
      </w:tr>
    </w:tbl>
    <w:p w14:paraId="33BA0714" w14:textId="77777777" w:rsidR="004D0547" w:rsidRPr="00CE53B2" w:rsidRDefault="004D0547" w:rsidP="004D0547"/>
    <w:p w14:paraId="02AE4D7B" w14:textId="77777777" w:rsidR="004D0547" w:rsidRDefault="004D0547" w:rsidP="004D0547"/>
    <w:p w14:paraId="73DF1889" w14:textId="77777777" w:rsidR="004D0547" w:rsidRPr="007001D3" w:rsidRDefault="004D0547" w:rsidP="004D0547"/>
    <w:p w14:paraId="30E72CA8" w14:textId="77777777" w:rsidR="00C24FFE" w:rsidRDefault="00C24FFE"/>
    <w:sectPr w:rsidR="00C24FFE" w:rsidSect="004D0547">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35223B" w14:textId="77777777" w:rsidR="004D0547" w:rsidRDefault="004D0547" w:rsidP="004D0547">
      <w:pPr>
        <w:spacing w:after="0" w:line="240" w:lineRule="auto"/>
      </w:pPr>
      <w:r>
        <w:separator/>
      </w:r>
    </w:p>
  </w:endnote>
  <w:endnote w:type="continuationSeparator" w:id="0">
    <w:p w14:paraId="799D921F" w14:textId="77777777" w:rsidR="004D0547" w:rsidRDefault="004D0547" w:rsidP="004D0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Yu Gothic UI Semibold">
    <w:panose1 w:val="020B07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766647" w14:textId="77777777" w:rsidR="004D0547" w:rsidRDefault="004D0547">
    <w:pPr>
      <w:pStyle w:val="Piedepgina"/>
    </w:pPr>
  </w:p>
  <w:p w14:paraId="2A3E638C" w14:textId="77777777" w:rsidR="004D0547" w:rsidRPr="00174B77" w:rsidRDefault="004D0547"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367DBCB7" w14:textId="77777777" w:rsidR="004D0547" w:rsidRDefault="004D0547"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10BD7D91" w14:textId="77777777" w:rsidR="004D0547" w:rsidRPr="00E41027" w:rsidRDefault="004D0547" w:rsidP="00D520D8">
    <w:pPr>
      <w:spacing w:after="0"/>
      <w:jc w:val="both"/>
      <w:rPr>
        <w:rFonts w:ascii="Verdana" w:hAnsi="Verdana"/>
        <w:sz w:val="18"/>
        <w:szCs w:val="18"/>
      </w:rPr>
    </w:pPr>
    <w:r w:rsidRPr="00E41027">
      <w:rPr>
        <w:rFonts w:ascii="Verdana" w:hAnsi="Verdana"/>
        <w:sz w:val="18"/>
        <w:szCs w:val="18"/>
      </w:rPr>
      <w:t>Mesa de servicio: (+57) 601 7456788</w:t>
    </w:r>
  </w:p>
  <w:p w14:paraId="5086E949" w14:textId="77777777" w:rsidR="004D0547" w:rsidRPr="003162EA" w:rsidRDefault="004D0547" w:rsidP="356CEDFD">
    <w:pPr>
      <w:pBdr>
        <w:top w:val="nil"/>
        <w:left w:val="nil"/>
        <w:bottom w:val="nil"/>
        <w:right w:val="nil"/>
        <w:between w:val="nil"/>
      </w:pBdr>
      <w:tabs>
        <w:tab w:val="center" w:pos="4419"/>
        <w:tab w:val="right" w:pos="8838"/>
        <w:tab w:val="center" w:pos="5400"/>
      </w:tabs>
      <w:spacing w:after="0"/>
      <w:jc w:val="right"/>
      <w:rPr>
        <w:lang w:val="pt-BR"/>
      </w:rPr>
    </w:pPr>
    <w:r w:rsidRPr="003162EA">
      <w:rPr>
        <w:rFonts w:ascii="Century Gothic" w:eastAsia="Geo" w:hAnsi="Century Gothic" w:cs="Geo"/>
        <w:b/>
        <w:bCs/>
        <w:color w:val="000000" w:themeColor="text1"/>
        <w:sz w:val="16"/>
        <w:szCs w:val="16"/>
        <w:lang w:val="pt-BR" w:eastAsia="es-CO"/>
      </w:rPr>
      <w:t xml:space="preserve">Código: </w:t>
    </w:r>
    <w:r w:rsidRPr="003162EA">
      <w:rPr>
        <w:rFonts w:ascii="Century Gothic" w:eastAsia="Geo" w:hAnsi="Century Gothic" w:cs="Geo"/>
        <w:color w:val="000000" w:themeColor="text1"/>
        <w:sz w:val="16"/>
        <w:szCs w:val="16"/>
        <w:lang w:val="pt-BR" w:eastAsia="es-CO"/>
      </w:rPr>
      <w:t xml:space="preserve">CCE-REC-FM-17 </w:t>
    </w:r>
    <w:r w:rsidRPr="003162EA">
      <w:rPr>
        <w:rFonts w:ascii="Century Gothic" w:eastAsia="Geo" w:hAnsi="Century Gothic" w:cs="Geo"/>
        <w:b/>
        <w:bCs/>
        <w:color w:val="000000" w:themeColor="text1"/>
        <w:sz w:val="16"/>
        <w:szCs w:val="16"/>
        <w:lang w:val="pt-BR" w:eastAsia="es-CO"/>
      </w:rPr>
      <w:t>V</w:t>
    </w:r>
    <w:r w:rsidRPr="003162EA">
      <w:rPr>
        <w:rFonts w:ascii="Century Gothic" w:eastAsia="Arial Nova" w:hAnsi="Century Gothic" w:cs="Arial Nova"/>
        <w:b/>
        <w:bCs/>
        <w:color w:val="000000" w:themeColor="text1"/>
        <w:sz w:val="16"/>
        <w:szCs w:val="16"/>
        <w:lang w:val="pt-BR" w:eastAsia="es-CO"/>
      </w:rPr>
      <w:t xml:space="preserve">: </w:t>
    </w:r>
    <w:r w:rsidRPr="003162EA">
      <w:rPr>
        <w:rFonts w:ascii="Century Gothic" w:eastAsia="Geo" w:hAnsi="Century Gothic" w:cs="Geo"/>
        <w:sz w:val="16"/>
        <w:szCs w:val="16"/>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B65B2A" w14:textId="77777777" w:rsidR="004D0547" w:rsidRDefault="004D0547" w:rsidP="004D0547">
      <w:pPr>
        <w:spacing w:after="0" w:line="240" w:lineRule="auto"/>
      </w:pPr>
      <w:r>
        <w:separator/>
      </w:r>
    </w:p>
  </w:footnote>
  <w:footnote w:type="continuationSeparator" w:id="0">
    <w:p w14:paraId="573FA5E9" w14:textId="77777777" w:rsidR="004D0547" w:rsidRDefault="004D0547" w:rsidP="004D0547">
      <w:pPr>
        <w:spacing w:after="0" w:line="240" w:lineRule="auto"/>
      </w:pPr>
      <w:r>
        <w:continuationSeparator/>
      </w:r>
    </w:p>
  </w:footnote>
  <w:footnote w:id="1">
    <w:p w14:paraId="458F4C9A" w14:textId="77777777" w:rsidR="004D0547" w:rsidRPr="00CD4AEA" w:rsidRDefault="004D0547" w:rsidP="004D0547">
      <w:pPr>
        <w:pStyle w:val="Textonotapie"/>
        <w:ind w:firstLine="709"/>
        <w:contextualSpacing/>
        <w:jc w:val="both"/>
        <w:rPr>
          <w:rFonts w:ascii="Verdana" w:hAnsi="Verdana" w:cs="Arial"/>
          <w:sz w:val="14"/>
          <w:szCs w:val="14"/>
          <w:lang w:val="it-IT"/>
        </w:rPr>
      </w:pPr>
      <w:r w:rsidRPr="00CD4AEA">
        <w:rPr>
          <w:rStyle w:val="Refdenotaalpie"/>
          <w:rFonts w:ascii="Verdana" w:hAnsi="Verdana" w:cs="Arial"/>
          <w:sz w:val="14"/>
          <w:szCs w:val="14"/>
        </w:rPr>
        <w:footnoteRef/>
      </w:r>
      <w:r w:rsidRPr="00CD4AEA">
        <w:rPr>
          <w:rFonts w:ascii="Verdana" w:hAnsi="Verdana" w:cs="Arial"/>
          <w:sz w:val="14"/>
          <w:szCs w:val="14"/>
          <w:lang w:val="pt-BR"/>
        </w:rPr>
        <w:t xml:space="preserve"> Corte Constitucional, sentencia T-743 de 2017, Exp. </w:t>
      </w:r>
      <w:r w:rsidRPr="00CD4AEA">
        <w:rPr>
          <w:rFonts w:ascii="Verdana" w:hAnsi="Verdana" w:cs="Arial"/>
          <w:sz w:val="14"/>
          <w:szCs w:val="14"/>
          <w:lang w:val="it-IT"/>
        </w:rPr>
        <w:t>T-6.366.648 Magistrada Ponente Cristina Pardo Schlesinger.</w:t>
      </w:r>
    </w:p>
    <w:p w14:paraId="257A84B1" w14:textId="77777777" w:rsidR="004D0547" w:rsidRPr="00CD4AEA" w:rsidRDefault="004D0547" w:rsidP="004D0547">
      <w:pPr>
        <w:pStyle w:val="Textonotapie"/>
        <w:ind w:firstLine="709"/>
        <w:contextualSpacing/>
        <w:jc w:val="both"/>
        <w:rPr>
          <w:rFonts w:ascii="Verdana" w:hAnsi="Verdana" w:cs="Arial"/>
          <w:sz w:val="14"/>
          <w:szCs w:val="14"/>
          <w:lang w:val="it-IT"/>
        </w:rPr>
      </w:pPr>
    </w:p>
  </w:footnote>
  <w:footnote w:id="2">
    <w:p w14:paraId="68413E7C" w14:textId="77777777" w:rsidR="004D0547" w:rsidRPr="00CD4AEA" w:rsidRDefault="004D0547" w:rsidP="004D0547">
      <w:pPr>
        <w:spacing w:after="0" w:line="240" w:lineRule="auto"/>
        <w:ind w:firstLine="709"/>
        <w:contextualSpacing/>
        <w:jc w:val="both"/>
        <w:rPr>
          <w:rFonts w:ascii="Verdana" w:hAnsi="Verdana" w:cs="Arial"/>
          <w:sz w:val="14"/>
          <w:szCs w:val="14"/>
        </w:rPr>
      </w:pPr>
      <w:r w:rsidRPr="00CD4AEA">
        <w:rPr>
          <w:rStyle w:val="Refdenotaalpie"/>
          <w:rFonts w:ascii="Verdana" w:hAnsi="Verdana" w:cs="Arial"/>
          <w:sz w:val="14"/>
          <w:szCs w:val="14"/>
        </w:rPr>
        <w:footnoteRef/>
      </w:r>
      <w:r w:rsidRPr="00CD4AEA">
        <w:rPr>
          <w:rFonts w:ascii="Verdana" w:hAnsi="Verdana" w:cs="Arial"/>
          <w:sz w:val="14"/>
          <w:szCs w:val="14"/>
        </w:rPr>
        <w:t xml:space="preserve"> La sentencia explica lo siguiente: “En el supuesto de vinculación de la mujer gestante o lactante mediante contrato de prestación de servicios, el juez de tutela deberá analizar las circunstancias fácticas que rodean cada caso, para determinar si bajo dicha figura contractual no se está ocultando la existencia de una auténtica relación laboral.</w:t>
      </w:r>
    </w:p>
    <w:p w14:paraId="2A070020" w14:textId="77777777" w:rsidR="004D0547" w:rsidRPr="00CD4AEA" w:rsidRDefault="004D0547" w:rsidP="004D0547">
      <w:pPr>
        <w:spacing w:after="0" w:line="240" w:lineRule="auto"/>
        <w:ind w:firstLine="709"/>
        <w:contextualSpacing/>
        <w:jc w:val="both"/>
        <w:rPr>
          <w:rFonts w:ascii="Verdana" w:hAnsi="Verdana" w:cs="Arial"/>
          <w:sz w:val="14"/>
          <w:szCs w:val="14"/>
        </w:rPr>
      </w:pPr>
      <w:r w:rsidRPr="00CD4AEA">
        <w:rPr>
          <w:rFonts w:ascii="Verdana" w:hAnsi="Verdana" w:cs="Arial"/>
          <w:sz w:val="14"/>
          <w:szCs w:val="14"/>
        </w:rPr>
        <w:t>[…]</w:t>
      </w:r>
    </w:p>
    <w:p w14:paraId="699CA6BC" w14:textId="77777777" w:rsidR="004D0547" w:rsidRPr="00CD4AEA" w:rsidRDefault="004D0547" w:rsidP="004D0547">
      <w:pPr>
        <w:spacing w:after="0" w:line="240" w:lineRule="auto"/>
        <w:ind w:firstLine="709"/>
        <w:contextualSpacing/>
        <w:jc w:val="both"/>
        <w:rPr>
          <w:rFonts w:ascii="Verdana" w:hAnsi="Verdana" w:cs="Arial"/>
          <w:sz w:val="14"/>
          <w:szCs w:val="14"/>
        </w:rPr>
      </w:pPr>
      <w:r w:rsidRPr="00CD4AEA">
        <w:rPr>
          <w:rFonts w:ascii="Verdana" w:hAnsi="Verdana" w:cs="Arial"/>
          <w:sz w:val="14"/>
          <w:szCs w:val="14"/>
        </w:rPr>
        <w:t>“Bajo esta lógica, deberá verificarse la estructuración material de los elementos fundamentales de un contrato de trabajo, ‘independientemente de la vinculación o denominación que el empleador adopte para el tipo de contrato que suscriba con el trabajador´. Así, la jurisprudencia de la Corte ha reconocido que los elementos que configuran la existencia de un contrato de trabajo son (i) el salario, (ii) la continua subordinación o dependencia y (iii) la prestación personal del servicio. Por lo tanto, si el juez de tutela concluye la concurrencia de estos tres elementos en una vinculación mediante contrato de prestación de servicios de una trabajadora gestante o lactante, podrá concluirse que se está en presencia de un verdadero contrato de</w:t>
      </w:r>
      <w:r w:rsidRPr="00CD4AEA">
        <w:rPr>
          <w:rFonts w:ascii="Verdana" w:hAnsi="Verdana" w:cs="Arial"/>
          <w:spacing w:val="-17"/>
          <w:sz w:val="14"/>
          <w:szCs w:val="14"/>
        </w:rPr>
        <w:t xml:space="preserve"> </w:t>
      </w:r>
      <w:r w:rsidRPr="00CD4AEA">
        <w:rPr>
          <w:rFonts w:ascii="Verdana" w:hAnsi="Verdana" w:cs="Arial"/>
          <w:sz w:val="14"/>
          <w:szCs w:val="14"/>
        </w:rPr>
        <w:t>trabajo”.</w:t>
      </w:r>
    </w:p>
    <w:p w14:paraId="39B575B4" w14:textId="77777777" w:rsidR="004D0547" w:rsidRPr="00CD4AEA" w:rsidRDefault="004D0547" w:rsidP="004D0547">
      <w:pPr>
        <w:pStyle w:val="Textonotapie"/>
        <w:contextualSpacing/>
        <w:jc w:val="both"/>
        <w:rPr>
          <w:rFonts w:ascii="Verdana" w:hAnsi="Verdana" w:cs="Arial"/>
          <w:sz w:val="14"/>
          <w:szCs w:val="14"/>
        </w:rPr>
      </w:pPr>
    </w:p>
  </w:footnote>
  <w:footnote w:id="3">
    <w:p w14:paraId="01715A74" w14:textId="77777777" w:rsidR="004D0547" w:rsidRPr="00CD4AEA" w:rsidRDefault="004D0547" w:rsidP="004D0547">
      <w:pPr>
        <w:spacing w:after="0" w:line="240" w:lineRule="auto"/>
        <w:ind w:firstLine="709"/>
        <w:contextualSpacing/>
        <w:jc w:val="both"/>
        <w:rPr>
          <w:rFonts w:ascii="Verdana" w:hAnsi="Verdana" w:cs="Arial"/>
          <w:sz w:val="14"/>
          <w:szCs w:val="14"/>
        </w:rPr>
      </w:pPr>
      <w:r w:rsidRPr="00CD4AEA">
        <w:rPr>
          <w:rStyle w:val="Refdenotaalpie"/>
          <w:rFonts w:ascii="Verdana" w:hAnsi="Verdana" w:cs="Arial"/>
          <w:sz w:val="14"/>
          <w:szCs w:val="14"/>
        </w:rPr>
        <w:footnoteRef/>
      </w:r>
      <w:r w:rsidRPr="00CD4AEA">
        <w:rPr>
          <w:rFonts w:ascii="Verdana" w:hAnsi="Verdana" w:cs="Arial"/>
          <w:sz w:val="14"/>
          <w:szCs w:val="14"/>
        </w:rPr>
        <w:t xml:space="preserve"> La Corte Constitucional en la sentencia T-102 del 1 de marzo de 2016 (M.P: María Victoria Calle Correa) protegió el derecho a la estabilidad laboral reforzada a dos mujeres que se encontraban en fuero de maternidad por demostrarse la existencia de un contrato realidad. En el expediente T-5.208.798 la Sala asumió la existencia de un contrato laboral de cara a la subordinación, pues estaba demostrado que la accionante, entre otras, cumplía un horario establecido por el contratante: ´Obsérvese que el empleador no demostró, por ningún medio, la existencia de una causal objetiva relevante que justificara la terminación del contrato, por ejemplo, que la actividad que venía realizando la trabajadora ya no fuera necesaria para la asociación sindical, o de una justa causa de terminación de la relación laboral. Por el contrario, la labor asignada como asistente administrativa hace parte de las tareas cotidianas del sindicato’”.</w:t>
      </w:r>
    </w:p>
    <w:p w14:paraId="74A7C25E" w14:textId="77777777" w:rsidR="004D0547" w:rsidRPr="00CD4AEA" w:rsidRDefault="004D0547" w:rsidP="004D0547">
      <w:pPr>
        <w:pStyle w:val="Textonotapie"/>
        <w:contextualSpacing/>
        <w:jc w:val="both"/>
        <w:rPr>
          <w:rFonts w:ascii="Verdana" w:hAnsi="Verdana" w:cs="Arial"/>
          <w:sz w:val="14"/>
          <w:szCs w:val="14"/>
        </w:rPr>
      </w:pPr>
    </w:p>
  </w:footnote>
  <w:footnote w:id="4">
    <w:p w14:paraId="62D8931F" w14:textId="77777777" w:rsidR="004D0547" w:rsidRPr="00CD4AEA" w:rsidRDefault="004D0547" w:rsidP="004D0547">
      <w:pPr>
        <w:spacing w:after="0" w:line="240" w:lineRule="auto"/>
        <w:ind w:firstLine="562"/>
        <w:contextualSpacing/>
        <w:jc w:val="both"/>
        <w:rPr>
          <w:rFonts w:ascii="Verdana" w:hAnsi="Verdana" w:cs="Arial"/>
          <w:sz w:val="14"/>
          <w:szCs w:val="14"/>
        </w:rPr>
      </w:pPr>
      <w:r w:rsidRPr="00CD4AEA">
        <w:rPr>
          <w:rFonts w:ascii="Verdana" w:hAnsi="Verdana" w:cs="Arial"/>
          <w:sz w:val="14"/>
          <w:szCs w:val="14"/>
        </w:rPr>
        <w:t xml:space="preserve">  </w:t>
      </w:r>
      <w:r w:rsidRPr="00CD4AEA">
        <w:rPr>
          <w:rStyle w:val="Refdenotaalpie"/>
          <w:rFonts w:ascii="Verdana" w:hAnsi="Verdana" w:cs="Arial"/>
          <w:sz w:val="14"/>
          <w:szCs w:val="14"/>
        </w:rPr>
        <w:footnoteRef/>
      </w:r>
      <w:r w:rsidRPr="00CD4AEA">
        <w:rPr>
          <w:rFonts w:ascii="Verdana" w:hAnsi="Verdana" w:cs="Arial"/>
          <w:sz w:val="14"/>
          <w:szCs w:val="14"/>
        </w:rPr>
        <w:t xml:space="preserve"> Corte Constitucional, sentencia T-564 del 6 de septiembre de 2017, M.P: Cristina Pardo Schlesinger: “La Sala advierte, que ante las contradicciones respecto a los hechos en las cuales incurren las partes involucradas en el asunto de la referencia, en el presente caso no existen suficientes elementos de juicio para la demostración de la relación de trabajo afirmada por la accionante en el escrito de impugnación. La precariedad de las pruebas, los indicios sobre un contrato realidad encubierto y la validez de los documentos aportados al proceso, son asuntos que necesariamente deben ser estudiados por el juez ordinario</w:t>
      </w:r>
      <w:r w:rsidRPr="00CD4AEA">
        <w:rPr>
          <w:rFonts w:ascii="Verdana" w:hAnsi="Verdana" w:cs="Arial"/>
          <w:spacing w:val="-6"/>
          <w:sz w:val="14"/>
          <w:szCs w:val="14"/>
        </w:rPr>
        <w:t xml:space="preserve"> </w:t>
      </w:r>
      <w:r w:rsidRPr="00CD4AEA">
        <w:rPr>
          <w:rFonts w:ascii="Verdana" w:hAnsi="Verdana" w:cs="Arial"/>
          <w:sz w:val="14"/>
          <w:szCs w:val="14"/>
        </w:rPr>
        <w:t>laboral”.</w:t>
      </w:r>
    </w:p>
    <w:p w14:paraId="2991051F" w14:textId="77777777" w:rsidR="004D0547" w:rsidRPr="00CD4AEA" w:rsidRDefault="004D0547" w:rsidP="004D0547">
      <w:pPr>
        <w:spacing w:after="0" w:line="240" w:lineRule="auto"/>
        <w:ind w:firstLine="708"/>
        <w:contextualSpacing/>
        <w:jc w:val="both"/>
        <w:rPr>
          <w:rFonts w:ascii="Verdana" w:hAnsi="Verdana" w:cs="Arial"/>
          <w:sz w:val="14"/>
          <w:szCs w:val="14"/>
        </w:rPr>
      </w:pPr>
      <w:r w:rsidRPr="00CD4AEA">
        <w:rPr>
          <w:rFonts w:ascii="Verdana" w:hAnsi="Verdana" w:cs="Arial"/>
          <w:sz w:val="14"/>
          <w:szCs w:val="14"/>
        </w:rPr>
        <w:t>[…]</w:t>
      </w:r>
    </w:p>
    <w:p w14:paraId="3B7E4F94" w14:textId="77777777" w:rsidR="004D0547" w:rsidRPr="00CD4AEA" w:rsidRDefault="004D0547" w:rsidP="004D0547">
      <w:pPr>
        <w:spacing w:after="0" w:line="240" w:lineRule="auto"/>
        <w:ind w:firstLine="708"/>
        <w:contextualSpacing/>
        <w:jc w:val="both"/>
        <w:rPr>
          <w:rFonts w:ascii="Verdana" w:hAnsi="Verdana" w:cs="Arial"/>
          <w:sz w:val="14"/>
          <w:szCs w:val="14"/>
        </w:rPr>
      </w:pPr>
      <w:r w:rsidRPr="00CD4AEA">
        <w:rPr>
          <w:rFonts w:ascii="Verdana" w:hAnsi="Verdana" w:cs="Arial"/>
          <w:sz w:val="14"/>
          <w:szCs w:val="14"/>
        </w:rPr>
        <w:t>“Así las cosas, encuentra la Sala que se cumplen los criterios determinados por la Corporación para proceder al amparo de los derechos fundamentales de la contratista: (i) existió una relación de prestación de servicios entre las partes; (ii) la accionante se encontraba en estado de embarazo y dicha situación fue informada a la accionada en el mes de noviembre de 2016, y (iii) a pocos días de conocerse el estado de gestación de la peticionaria, la relación contractual que había sido continua durante ocho (8) meses aproximadamente, se terminó por decisión de la parte contratante y sin que mediara autorización del inspector del trabajo, requisito necesario  en el  presente  caso concreto,  aun cuando se trate de un contrato de prestación de servicios, pues el amparo constitucional de la estabilidad laboral reforzada de las mujeres embarazadas también es aplicable a este tipo de vinculación contractual, acudiendo a la asimilación de estas alternativas a una relación laboral sin condiciones específicas de</w:t>
      </w:r>
      <w:r w:rsidRPr="00CD4AEA">
        <w:rPr>
          <w:rFonts w:ascii="Verdana" w:hAnsi="Verdana" w:cs="Arial"/>
          <w:spacing w:val="2"/>
          <w:sz w:val="14"/>
          <w:szCs w:val="14"/>
        </w:rPr>
        <w:t xml:space="preserve"> </w:t>
      </w:r>
      <w:r w:rsidRPr="00CD4AEA">
        <w:rPr>
          <w:rFonts w:ascii="Verdana" w:hAnsi="Verdana" w:cs="Arial"/>
          <w:sz w:val="14"/>
          <w:szCs w:val="14"/>
        </w:rPr>
        <w:t>terminación”.</w:t>
      </w:r>
    </w:p>
    <w:p w14:paraId="77BFA805" w14:textId="77777777" w:rsidR="004D0547" w:rsidRPr="00CD4AEA" w:rsidRDefault="004D0547" w:rsidP="004D0547">
      <w:pPr>
        <w:spacing w:after="0" w:line="240" w:lineRule="auto"/>
        <w:ind w:firstLine="850"/>
        <w:contextualSpacing/>
        <w:jc w:val="both"/>
        <w:rPr>
          <w:rFonts w:ascii="Verdana" w:hAnsi="Verdana" w:cs="Arial"/>
          <w:sz w:val="14"/>
          <w:szCs w:val="14"/>
        </w:rPr>
      </w:pPr>
    </w:p>
    <w:p w14:paraId="0E9DBE0E" w14:textId="77777777" w:rsidR="004D0547" w:rsidRPr="00CD4AEA" w:rsidRDefault="004D0547" w:rsidP="004D0547">
      <w:pPr>
        <w:pStyle w:val="Textonotapie"/>
        <w:contextualSpacing/>
        <w:jc w:val="both"/>
        <w:rPr>
          <w:rFonts w:ascii="Verdana" w:hAnsi="Verdana" w:cs="Arial"/>
          <w:sz w:val="14"/>
          <w:szCs w:val="14"/>
        </w:rPr>
      </w:pPr>
    </w:p>
  </w:footnote>
  <w:footnote w:id="5">
    <w:p w14:paraId="5490EAD6" w14:textId="77777777" w:rsidR="004D0547" w:rsidRDefault="004D0547" w:rsidP="004D0547">
      <w:pPr>
        <w:pStyle w:val="Textonotapie"/>
        <w:ind w:firstLine="708"/>
        <w:contextualSpacing/>
        <w:jc w:val="both"/>
        <w:rPr>
          <w:rFonts w:ascii="Verdana" w:hAnsi="Verdana" w:cs="Arial"/>
          <w:sz w:val="14"/>
          <w:szCs w:val="14"/>
          <w:lang w:val="es-ES"/>
        </w:rPr>
      </w:pPr>
      <w:r w:rsidRPr="00CD4AEA">
        <w:rPr>
          <w:rStyle w:val="Refdenotaalpie"/>
          <w:rFonts w:ascii="Verdana" w:hAnsi="Verdana" w:cs="Arial"/>
          <w:sz w:val="14"/>
          <w:szCs w:val="14"/>
        </w:rPr>
        <w:footnoteRef/>
      </w:r>
      <w:r w:rsidRPr="00CD4AEA">
        <w:rPr>
          <w:rFonts w:ascii="Verdana" w:hAnsi="Verdana" w:cs="Arial"/>
          <w:sz w:val="14"/>
          <w:szCs w:val="14"/>
        </w:rPr>
        <w:t xml:space="preserve"> </w:t>
      </w:r>
      <w:r w:rsidRPr="00CD4AEA">
        <w:rPr>
          <w:rFonts w:ascii="Verdana" w:hAnsi="Verdana" w:cs="Arial"/>
          <w:sz w:val="14"/>
          <w:szCs w:val="14"/>
          <w:lang w:val="es-ES"/>
        </w:rPr>
        <w:t>Corte Constitucional. Sentencia SU-075 de 2018. Magistrado Ponente: Gloria Stella Ortiz Delgado</w:t>
      </w:r>
      <w:r>
        <w:rPr>
          <w:rFonts w:ascii="Verdana" w:hAnsi="Verdana" w:cs="Arial"/>
          <w:sz w:val="14"/>
          <w:szCs w:val="14"/>
          <w:lang w:val="es-ES"/>
        </w:rPr>
        <w:t xml:space="preserve">. </w:t>
      </w:r>
    </w:p>
    <w:p w14:paraId="568E0615" w14:textId="77777777" w:rsidR="004D0547" w:rsidRPr="00CD4AEA" w:rsidRDefault="004D0547" w:rsidP="004D0547">
      <w:pPr>
        <w:pStyle w:val="Textonotapie"/>
        <w:ind w:firstLine="708"/>
        <w:contextualSpacing/>
        <w:jc w:val="both"/>
        <w:rPr>
          <w:rFonts w:ascii="Verdana" w:hAnsi="Verdana" w:cs="Arial"/>
          <w:sz w:val="14"/>
          <w:szCs w:val="14"/>
          <w:lang w:val="es-CO"/>
        </w:rPr>
      </w:pPr>
    </w:p>
  </w:footnote>
  <w:footnote w:id="6">
    <w:p w14:paraId="218C3483" w14:textId="77777777" w:rsidR="004D0547" w:rsidRPr="00CD4AEA" w:rsidRDefault="004D0547" w:rsidP="004D0547">
      <w:pPr>
        <w:pStyle w:val="Sinespaciado"/>
        <w:ind w:firstLine="682"/>
        <w:contextualSpacing/>
        <w:jc w:val="both"/>
        <w:rPr>
          <w:rFonts w:ascii="Verdana" w:hAnsi="Verdana" w:cs="Arial"/>
          <w:sz w:val="14"/>
          <w:szCs w:val="14"/>
        </w:rPr>
      </w:pPr>
      <w:r w:rsidRPr="00CD4AEA">
        <w:rPr>
          <w:rStyle w:val="Refdenotaalpie"/>
          <w:rFonts w:ascii="Verdana" w:hAnsi="Verdana" w:cs="Arial"/>
          <w:sz w:val="14"/>
          <w:szCs w:val="14"/>
        </w:rPr>
        <w:footnoteRef/>
      </w:r>
      <w:r w:rsidRPr="00CD4AEA">
        <w:rPr>
          <w:rFonts w:ascii="Verdana" w:hAnsi="Verdana" w:cs="Arial"/>
          <w:sz w:val="14"/>
          <w:szCs w:val="14"/>
        </w:rPr>
        <w:t xml:space="preserve"> Corte Constitucional. Sentencia T-329 del 19 de septiembre de 2022. Expediente </w:t>
      </w:r>
      <w:bookmarkStart w:id="3" w:name="_Hlk113364075"/>
      <w:r w:rsidRPr="00CD4AEA">
        <w:rPr>
          <w:rFonts w:ascii="Verdana" w:hAnsi="Verdana" w:cs="Arial"/>
          <w:sz w:val="14"/>
          <w:szCs w:val="14"/>
        </w:rPr>
        <w:t>T-8.517.984</w:t>
      </w:r>
      <w:bookmarkEnd w:id="3"/>
      <w:r w:rsidRPr="00CD4AEA">
        <w:rPr>
          <w:rFonts w:ascii="Verdana" w:hAnsi="Verdana" w:cs="Arial"/>
          <w:sz w:val="14"/>
          <w:szCs w:val="14"/>
        </w:rPr>
        <w:t>. Magistrada Ponente: Natalia Ángel Cabo</w:t>
      </w:r>
    </w:p>
    <w:p w14:paraId="1AC75A1D" w14:textId="77777777" w:rsidR="004D0547" w:rsidRPr="00CD4AEA" w:rsidRDefault="004D0547" w:rsidP="004D0547">
      <w:pPr>
        <w:pStyle w:val="Textonotapie"/>
        <w:contextualSpacing/>
        <w:jc w:val="both"/>
        <w:rPr>
          <w:rFonts w:ascii="Verdana" w:hAnsi="Verdana" w:cs="Arial"/>
          <w:sz w:val="14"/>
          <w:szCs w:val="14"/>
        </w:rPr>
      </w:pPr>
    </w:p>
  </w:footnote>
  <w:footnote w:id="7">
    <w:p w14:paraId="6CD8B9D0" w14:textId="77777777" w:rsidR="004D0547" w:rsidRDefault="004D0547" w:rsidP="004D0547">
      <w:pPr>
        <w:pStyle w:val="Textonotapie"/>
        <w:ind w:firstLine="708"/>
        <w:contextualSpacing/>
        <w:jc w:val="both"/>
        <w:rPr>
          <w:rFonts w:ascii="Verdana" w:hAnsi="Verdana" w:cs="Arial"/>
          <w:sz w:val="14"/>
          <w:szCs w:val="14"/>
          <w:lang w:val="es-ES_tradnl"/>
        </w:rPr>
      </w:pPr>
      <w:r w:rsidRPr="00CD4AEA">
        <w:rPr>
          <w:rStyle w:val="Refdenotaalpie"/>
          <w:rFonts w:ascii="Verdana" w:hAnsi="Verdana" w:cs="Arial"/>
          <w:sz w:val="14"/>
          <w:szCs w:val="14"/>
        </w:rPr>
        <w:footnoteRef/>
      </w:r>
      <w:r w:rsidRPr="00CD4AEA">
        <w:rPr>
          <w:rFonts w:ascii="Verdana" w:hAnsi="Verdana" w:cs="Arial"/>
          <w:sz w:val="14"/>
          <w:szCs w:val="14"/>
        </w:rPr>
        <w:t xml:space="preserve"> Sentencia SU-070 de 2013. Fund. 6. Reiterado en las</w:t>
      </w:r>
      <w:r w:rsidRPr="00CD4AEA">
        <w:rPr>
          <w:rFonts w:ascii="Verdana" w:hAnsi="Verdana" w:cs="Arial"/>
          <w:sz w:val="14"/>
          <w:szCs w:val="14"/>
          <w:lang w:val="es-ES_tradnl"/>
        </w:rPr>
        <w:t xml:space="preserve"> sentencias SU-040 de 2018 y SU-075 de 2018.</w:t>
      </w:r>
    </w:p>
    <w:p w14:paraId="515D5201" w14:textId="77777777" w:rsidR="004D0547" w:rsidRPr="00CD4AEA" w:rsidRDefault="004D0547" w:rsidP="004D0547">
      <w:pPr>
        <w:pStyle w:val="Textonotapie"/>
        <w:ind w:firstLine="708"/>
        <w:contextualSpacing/>
        <w:jc w:val="both"/>
        <w:rPr>
          <w:rFonts w:ascii="Verdana" w:hAnsi="Verdana" w:cs="Arial"/>
          <w:sz w:val="14"/>
          <w:szCs w:val="14"/>
        </w:rPr>
      </w:pPr>
    </w:p>
  </w:footnote>
  <w:footnote w:id="8">
    <w:p w14:paraId="041FCA82" w14:textId="77777777" w:rsidR="004D0547" w:rsidRPr="00CD4AEA" w:rsidRDefault="004D0547" w:rsidP="004D0547">
      <w:pPr>
        <w:pStyle w:val="Textonotapie"/>
        <w:contextualSpacing/>
        <w:jc w:val="both"/>
        <w:rPr>
          <w:rFonts w:ascii="Verdana" w:hAnsi="Verdana" w:cs="Arial"/>
          <w:sz w:val="14"/>
          <w:szCs w:val="14"/>
        </w:rPr>
      </w:pPr>
    </w:p>
    <w:p w14:paraId="52A87E0B" w14:textId="77777777" w:rsidR="004D0547" w:rsidRPr="00CD4AEA" w:rsidRDefault="004D0547" w:rsidP="004D0547">
      <w:pPr>
        <w:pStyle w:val="Textonotapie"/>
        <w:ind w:firstLine="708"/>
        <w:contextualSpacing/>
        <w:jc w:val="both"/>
        <w:rPr>
          <w:rFonts w:ascii="Verdana" w:hAnsi="Verdana" w:cs="Arial"/>
          <w:sz w:val="14"/>
          <w:szCs w:val="14"/>
        </w:rPr>
      </w:pPr>
      <w:r w:rsidRPr="00CD4AEA">
        <w:rPr>
          <w:rStyle w:val="Refdenotaalpie"/>
          <w:rFonts w:ascii="Verdana" w:hAnsi="Verdana" w:cs="Arial"/>
          <w:sz w:val="14"/>
          <w:szCs w:val="14"/>
        </w:rPr>
        <w:footnoteRef/>
      </w:r>
      <w:r w:rsidRPr="00CD4AEA">
        <w:rPr>
          <w:rFonts w:ascii="Verdana" w:hAnsi="Verdana" w:cs="Arial"/>
          <w:sz w:val="14"/>
          <w:szCs w:val="14"/>
        </w:rPr>
        <w:t xml:space="preserve"> Esta indemnización se ha reconocido en contratos de prestación de servicios, entre otras, en las sentencias T-564 de 2017, T-350 de 2016, 316 de 2016, T-102 de 2016 y T-346 de 2013.</w:t>
      </w:r>
    </w:p>
  </w:footnote>
  <w:footnote w:id="9">
    <w:p w14:paraId="24F85B44" w14:textId="77777777" w:rsidR="004D0547" w:rsidRPr="00CD4AEA" w:rsidRDefault="004D0547" w:rsidP="004D0547">
      <w:pPr>
        <w:pStyle w:val="Textonotapie"/>
        <w:contextualSpacing/>
        <w:jc w:val="both"/>
        <w:rPr>
          <w:rFonts w:ascii="Verdana" w:hAnsi="Verdana" w:cs="Arial"/>
          <w:sz w:val="14"/>
          <w:szCs w:val="14"/>
        </w:rPr>
      </w:pPr>
    </w:p>
    <w:p w14:paraId="66D20F6D" w14:textId="77777777" w:rsidR="004D0547" w:rsidRPr="00CD4AEA" w:rsidRDefault="004D0547" w:rsidP="004D0547">
      <w:pPr>
        <w:pStyle w:val="Textonotapie"/>
        <w:ind w:firstLine="708"/>
        <w:contextualSpacing/>
        <w:jc w:val="both"/>
        <w:rPr>
          <w:rFonts w:ascii="Verdana" w:hAnsi="Verdana" w:cs="Arial"/>
          <w:sz w:val="14"/>
          <w:szCs w:val="14"/>
        </w:rPr>
      </w:pPr>
      <w:r w:rsidRPr="00CD4AEA">
        <w:rPr>
          <w:rStyle w:val="Refdenotaalpie"/>
          <w:rFonts w:ascii="Verdana" w:hAnsi="Verdana" w:cs="Arial"/>
          <w:sz w:val="14"/>
          <w:szCs w:val="14"/>
        </w:rPr>
        <w:footnoteRef/>
      </w:r>
      <w:r w:rsidRPr="00CD4AEA">
        <w:rPr>
          <w:rFonts w:ascii="Verdana" w:hAnsi="Verdana" w:cs="Arial"/>
          <w:sz w:val="14"/>
          <w:szCs w:val="14"/>
        </w:rPr>
        <w:t xml:space="preserve"> En las sentencias T-238 de 2015 y T-350 de 2016 la Corte determinó que no procede el pago de la licencia de maternidad cuando en el caso se observe que la licencia de maternidad ya fue disfrutada. </w:t>
      </w:r>
    </w:p>
  </w:footnote>
  <w:footnote w:id="10">
    <w:p w14:paraId="23A6ACA1" w14:textId="77777777" w:rsidR="004D0547" w:rsidRPr="00CD4AEA" w:rsidRDefault="004D0547" w:rsidP="004D0547">
      <w:pPr>
        <w:pStyle w:val="Textonotapie"/>
        <w:ind w:firstLine="708"/>
        <w:contextualSpacing/>
        <w:jc w:val="both"/>
        <w:rPr>
          <w:rFonts w:ascii="Verdana" w:hAnsi="Verdana" w:cs="Arial"/>
          <w:sz w:val="14"/>
          <w:szCs w:val="14"/>
        </w:rPr>
      </w:pPr>
    </w:p>
    <w:p w14:paraId="4C3962C5" w14:textId="77777777" w:rsidR="004D0547" w:rsidRPr="00CD4AEA" w:rsidRDefault="004D0547" w:rsidP="004D0547">
      <w:pPr>
        <w:pStyle w:val="Textonotapie"/>
        <w:ind w:firstLine="708"/>
        <w:contextualSpacing/>
        <w:jc w:val="both"/>
        <w:rPr>
          <w:rFonts w:ascii="Verdana" w:hAnsi="Verdana" w:cs="Arial"/>
          <w:sz w:val="14"/>
          <w:szCs w:val="14"/>
        </w:rPr>
      </w:pPr>
      <w:r w:rsidRPr="00CD4AEA">
        <w:rPr>
          <w:rStyle w:val="Refdenotaalpie"/>
          <w:rFonts w:ascii="Verdana" w:hAnsi="Verdana" w:cs="Arial"/>
          <w:sz w:val="14"/>
          <w:szCs w:val="14"/>
        </w:rPr>
        <w:footnoteRef/>
      </w:r>
      <w:r w:rsidRPr="00CD4AEA">
        <w:rPr>
          <w:rFonts w:ascii="Verdana" w:hAnsi="Verdana" w:cs="Arial"/>
          <w:sz w:val="14"/>
          <w:szCs w:val="14"/>
        </w:rPr>
        <w:t xml:space="preserve"> Esta media fue aplicada en la Sentencia T-030 de 2018 respecto del caso estudiado bajo el expediente T-6.425.691.</w:t>
      </w:r>
    </w:p>
  </w:footnote>
  <w:footnote w:id="11">
    <w:p w14:paraId="508F07F1" w14:textId="77777777" w:rsidR="004D0547" w:rsidRPr="00CD4AEA" w:rsidRDefault="004D0547" w:rsidP="004D0547">
      <w:pPr>
        <w:pStyle w:val="Textonotapie"/>
        <w:ind w:firstLine="708"/>
        <w:contextualSpacing/>
        <w:jc w:val="both"/>
        <w:rPr>
          <w:rFonts w:ascii="Verdana" w:hAnsi="Verdana" w:cs="Arial"/>
          <w:sz w:val="14"/>
          <w:szCs w:val="14"/>
        </w:rPr>
      </w:pPr>
    </w:p>
    <w:p w14:paraId="1A30835E" w14:textId="77777777" w:rsidR="004D0547" w:rsidRPr="00CD4AEA" w:rsidRDefault="004D0547" w:rsidP="004D0547">
      <w:pPr>
        <w:pStyle w:val="Textonotapie"/>
        <w:ind w:firstLine="708"/>
        <w:contextualSpacing/>
        <w:jc w:val="both"/>
        <w:rPr>
          <w:rFonts w:ascii="Verdana" w:hAnsi="Verdana" w:cs="Arial"/>
          <w:sz w:val="14"/>
          <w:szCs w:val="14"/>
        </w:rPr>
      </w:pPr>
      <w:r w:rsidRPr="00CD4AEA">
        <w:rPr>
          <w:rStyle w:val="Refdenotaalpie"/>
          <w:rFonts w:ascii="Verdana" w:hAnsi="Verdana" w:cs="Arial"/>
          <w:sz w:val="14"/>
          <w:szCs w:val="14"/>
        </w:rPr>
        <w:footnoteRef/>
      </w:r>
      <w:r w:rsidRPr="00CD4AEA">
        <w:rPr>
          <w:rFonts w:ascii="Verdana" w:hAnsi="Verdana" w:cs="Arial"/>
          <w:sz w:val="14"/>
          <w:szCs w:val="14"/>
        </w:rPr>
        <w:t xml:space="preserve"> En algunas oportunidades las salas de revisión han reconocido el pago de las prestaciones en materia de seguridad social en salud. Sentencia T-102 de 2016.</w:t>
      </w:r>
    </w:p>
  </w:footnote>
  <w:footnote w:id="12">
    <w:p w14:paraId="522C6651" w14:textId="77777777" w:rsidR="004D0547" w:rsidRPr="00CD4AEA" w:rsidRDefault="004D0547" w:rsidP="004D0547">
      <w:pPr>
        <w:pStyle w:val="Textonotapie"/>
        <w:ind w:firstLine="709"/>
        <w:contextualSpacing/>
        <w:jc w:val="both"/>
        <w:rPr>
          <w:rFonts w:ascii="Verdana" w:hAnsi="Verdana" w:cs="Arial"/>
          <w:sz w:val="14"/>
          <w:szCs w:val="14"/>
        </w:rPr>
      </w:pPr>
      <w:r w:rsidRPr="00CD4AEA">
        <w:rPr>
          <w:rStyle w:val="Refdenotaalpie"/>
          <w:rFonts w:ascii="Verdana" w:hAnsi="Verdana" w:cs="Arial"/>
          <w:sz w:val="14"/>
          <w:szCs w:val="14"/>
        </w:rPr>
        <w:footnoteRef/>
      </w:r>
      <w:r w:rsidRPr="00CD4AEA">
        <w:rPr>
          <w:rFonts w:ascii="Verdana" w:hAnsi="Verdana" w:cs="Arial"/>
          <w:sz w:val="14"/>
          <w:szCs w:val="14"/>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0C5E21F9" w14:textId="77777777" w:rsidR="004D0547" w:rsidRPr="00CD4AEA" w:rsidRDefault="004D0547" w:rsidP="004D0547">
      <w:pPr>
        <w:pStyle w:val="Textonotapie"/>
        <w:ind w:firstLine="709"/>
        <w:contextualSpacing/>
        <w:jc w:val="both"/>
        <w:rPr>
          <w:rFonts w:ascii="Verdana" w:hAnsi="Verdana" w:cs="Arial"/>
          <w:sz w:val="14"/>
          <w:szCs w:val="14"/>
        </w:rPr>
      </w:pPr>
      <w:r w:rsidRPr="00CD4AEA">
        <w:rPr>
          <w:rFonts w:ascii="Verdana" w:hAnsi="Verdana" w:cs="Arial"/>
          <w:sz w:val="14"/>
          <w:szCs w:val="14"/>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1249FA31" w14:textId="77777777" w:rsidR="004D0547" w:rsidRPr="00CD4AEA" w:rsidRDefault="004D0547" w:rsidP="004D0547">
      <w:pPr>
        <w:pStyle w:val="Textonotapie"/>
        <w:ind w:firstLine="709"/>
        <w:contextualSpacing/>
        <w:jc w:val="both"/>
        <w:rPr>
          <w:rFonts w:ascii="Verdana" w:hAnsi="Verdana" w:cs="Arial"/>
          <w:sz w:val="14"/>
          <w:szCs w:val="14"/>
        </w:rPr>
      </w:pPr>
    </w:p>
  </w:footnote>
  <w:footnote w:id="13">
    <w:p w14:paraId="3B0FEE23" w14:textId="77777777" w:rsidR="004D0547" w:rsidRDefault="004D0547" w:rsidP="004D0547">
      <w:pPr>
        <w:pStyle w:val="Textonotapie"/>
        <w:ind w:firstLine="709"/>
        <w:contextualSpacing/>
        <w:jc w:val="both"/>
        <w:rPr>
          <w:rFonts w:ascii="Verdana" w:hAnsi="Verdana" w:cs="Arial"/>
          <w:sz w:val="14"/>
          <w:szCs w:val="14"/>
        </w:rPr>
      </w:pPr>
      <w:r w:rsidRPr="00CD4AEA">
        <w:rPr>
          <w:rStyle w:val="Refdenotaalpie"/>
          <w:rFonts w:ascii="Verdana" w:hAnsi="Verdana" w:cs="Arial"/>
          <w:sz w:val="14"/>
          <w:szCs w:val="14"/>
        </w:rPr>
        <w:footnoteRef/>
      </w:r>
      <w:r w:rsidRPr="00CD4AEA">
        <w:rPr>
          <w:rFonts w:ascii="Verdana" w:hAnsi="Verdana" w:cs="Arial"/>
          <w:sz w:val="14"/>
          <w:szCs w:val="14"/>
        </w:rPr>
        <w:t xml:space="preserve"> Gaceta del Congreso de la República No. 71 del 2005.</w:t>
      </w:r>
    </w:p>
    <w:p w14:paraId="6D2F815D" w14:textId="77777777" w:rsidR="004D0547" w:rsidRPr="002B7171" w:rsidRDefault="004D0547" w:rsidP="004D0547">
      <w:pPr>
        <w:pStyle w:val="Textonotapie"/>
        <w:ind w:firstLine="709"/>
        <w:contextualSpacing/>
        <w:jc w:val="both"/>
        <w:rPr>
          <w:rFonts w:ascii="Verdana" w:hAnsi="Verdana" w:cs="Arial"/>
          <w:sz w:val="14"/>
          <w:szCs w:val="14"/>
        </w:rPr>
      </w:pPr>
    </w:p>
  </w:footnote>
  <w:footnote w:id="14">
    <w:p w14:paraId="5282C605" w14:textId="77777777" w:rsidR="004D0547" w:rsidRPr="00CD4AEA" w:rsidRDefault="004D0547" w:rsidP="004D0547">
      <w:pPr>
        <w:pStyle w:val="Textonotapie"/>
        <w:ind w:firstLine="709"/>
        <w:contextualSpacing/>
        <w:jc w:val="both"/>
        <w:rPr>
          <w:rFonts w:ascii="Verdana" w:hAnsi="Verdana" w:cs="Arial"/>
          <w:sz w:val="14"/>
          <w:szCs w:val="14"/>
          <w:lang w:val="pt-BR"/>
        </w:rPr>
      </w:pPr>
      <w:r w:rsidRPr="00CD4AEA">
        <w:rPr>
          <w:rStyle w:val="Refdenotaalpie"/>
          <w:rFonts w:ascii="Verdana" w:hAnsi="Verdana" w:cs="Arial"/>
          <w:sz w:val="14"/>
          <w:szCs w:val="14"/>
        </w:rPr>
        <w:footnoteRef/>
      </w:r>
      <w:r w:rsidRPr="00CD4AEA">
        <w:rPr>
          <w:rFonts w:ascii="Verdana" w:hAnsi="Verdana" w:cs="Arial"/>
          <w:sz w:val="14"/>
          <w:szCs w:val="14"/>
          <w:lang w:val="pt-BR"/>
        </w:rPr>
        <w:t xml:space="preserve"> Corte Constitucional, Sentencia C- 1153 de 2005, M.P. Marco Gerardo Monroy Cabra.</w:t>
      </w:r>
    </w:p>
    <w:p w14:paraId="7DF383C1" w14:textId="77777777" w:rsidR="004D0547" w:rsidRPr="00CD4AEA" w:rsidRDefault="004D0547" w:rsidP="004D0547">
      <w:pPr>
        <w:pStyle w:val="Textonotapie"/>
        <w:ind w:firstLine="709"/>
        <w:contextualSpacing/>
        <w:jc w:val="both"/>
        <w:rPr>
          <w:rFonts w:ascii="Verdana" w:hAnsi="Verdana" w:cs="Arial"/>
          <w:sz w:val="14"/>
          <w:szCs w:val="14"/>
          <w:lang w:val="pt-BR"/>
        </w:rPr>
      </w:pPr>
    </w:p>
  </w:footnote>
  <w:footnote w:id="15">
    <w:p w14:paraId="0212906F" w14:textId="77777777" w:rsidR="004D0547" w:rsidRPr="00CD4AEA" w:rsidRDefault="004D0547" w:rsidP="004D0547">
      <w:pPr>
        <w:pStyle w:val="Textonotapie"/>
        <w:ind w:firstLine="709"/>
        <w:contextualSpacing/>
        <w:jc w:val="both"/>
        <w:rPr>
          <w:rFonts w:ascii="Verdana" w:hAnsi="Verdana" w:cs="Arial"/>
          <w:sz w:val="14"/>
          <w:szCs w:val="14"/>
          <w:lang w:val="pt-BR"/>
        </w:rPr>
      </w:pPr>
      <w:r w:rsidRPr="00CD4AEA">
        <w:rPr>
          <w:rStyle w:val="Refdenotaalpie"/>
          <w:rFonts w:ascii="Verdana" w:hAnsi="Verdana" w:cs="Arial"/>
          <w:sz w:val="14"/>
          <w:szCs w:val="14"/>
        </w:rPr>
        <w:footnoteRef/>
      </w:r>
      <w:r w:rsidRPr="00CD4AEA">
        <w:rPr>
          <w:rFonts w:ascii="Verdana" w:hAnsi="Verdana" w:cs="Arial"/>
          <w:sz w:val="14"/>
          <w:szCs w:val="14"/>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p w14:paraId="1D3B959E" w14:textId="77777777" w:rsidR="004D0547" w:rsidRPr="00CD4AEA" w:rsidRDefault="004D0547" w:rsidP="004D0547">
      <w:pPr>
        <w:pStyle w:val="Textonotapie"/>
        <w:ind w:firstLine="709"/>
        <w:contextualSpacing/>
        <w:jc w:val="both"/>
        <w:rPr>
          <w:rFonts w:ascii="Verdana" w:hAnsi="Verdana" w:cs="Arial"/>
          <w:sz w:val="14"/>
          <w:szCs w:val="14"/>
          <w:lang w:val="pt-BR"/>
        </w:rPr>
      </w:pPr>
    </w:p>
  </w:footnote>
  <w:footnote w:id="16">
    <w:p w14:paraId="11E79716" w14:textId="77777777" w:rsidR="004D0547" w:rsidRPr="00CD4AEA" w:rsidRDefault="004D0547" w:rsidP="004D0547">
      <w:pPr>
        <w:pStyle w:val="Textonotapie"/>
        <w:ind w:firstLine="709"/>
        <w:contextualSpacing/>
        <w:jc w:val="both"/>
        <w:rPr>
          <w:rFonts w:ascii="Verdana" w:hAnsi="Verdana" w:cs="Arial"/>
          <w:sz w:val="14"/>
          <w:szCs w:val="14"/>
          <w:lang w:val="es-CO"/>
        </w:rPr>
      </w:pPr>
      <w:r w:rsidRPr="00CD4AEA">
        <w:rPr>
          <w:rStyle w:val="Refdenotaalpie"/>
          <w:rFonts w:ascii="Verdana" w:hAnsi="Verdana" w:cs="Arial"/>
          <w:sz w:val="14"/>
          <w:szCs w:val="14"/>
        </w:rPr>
        <w:footnoteRef/>
      </w:r>
      <w:r w:rsidRPr="00CD4AEA">
        <w:rPr>
          <w:rFonts w:ascii="Verdana" w:hAnsi="Verdana" w:cs="Arial"/>
          <w:sz w:val="14"/>
          <w:szCs w:val="14"/>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p w14:paraId="7C9BD272" w14:textId="77777777" w:rsidR="004D0547" w:rsidRPr="00CD4AEA" w:rsidRDefault="004D0547" w:rsidP="004D0547">
      <w:pPr>
        <w:pStyle w:val="Textonotapie"/>
        <w:ind w:firstLine="709"/>
        <w:contextualSpacing/>
        <w:jc w:val="both"/>
        <w:rPr>
          <w:rFonts w:ascii="Verdana" w:hAnsi="Verdana" w:cs="Arial"/>
          <w:sz w:val="14"/>
          <w:szCs w:val="14"/>
          <w:lang w:val="es-CO"/>
        </w:rPr>
      </w:pPr>
    </w:p>
  </w:footnote>
  <w:footnote w:id="17">
    <w:p w14:paraId="00E56D1C" w14:textId="77777777" w:rsidR="004D0547" w:rsidRPr="00CD4AEA" w:rsidRDefault="004D0547" w:rsidP="004D0547">
      <w:pPr>
        <w:pStyle w:val="Textonotapie"/>
        <w:ind w:firstLine="709"/>
        <w:contextualSpacing/>
        <w:jc w:val="both"/>
        <w:rPr>
          <w:rFonts w:ascii="Verdana" w:hAnsi="Verdana" w:cs="Arial"/>
          <w:sz w:val="14"/>
          <w:szCs w:val="14"/>
        </w:rPr>
      </w:pPr>
      <w:r w:rsidRPr="00CD4AEA">
        <w:rPr>
          <w:rStyle w:val="Refdenotaalpie"/>
          <w:rFonts w:ascii="Verdana" w:hAnsi="Verdana" w:cs="Arial"/>
          <w:sz w:val="14"/>
          <w:szCs w:val="14"/>
        </w:rPr>
        <w:footnoteRef/>
      </w:r>
      <w:r w:rsidRPr="00CD4AEA">
        <w:rPr>
          <w:rFonts w:ascii="Verdana" w:hAnsi="Verdana" w:cs="Arial"/>
          <w:sz w:val="14"/>
          <w:szCs w:val="14"/>
        </w:rPr>
        <w:t xml:space="preserve"> Consejo de Estado, Sala de Consulta y Servicio Civil de fecha 24 de julio de 2013, Rad. 2166, C. P. Álvaro Namén Vargas. </w:t>
      </w:r>
    </w:p>
    <w:p w14:paraId="7C976ADD" w14:textId="77777777" w:rsidR="004D0547" w:rsidRPr="00CD4AEA" w:rsidRDefault="004D0547" w:rsidP="004D0547">
      <w:pPr>
        <w:pStyle w:val="Textonotapie"/>
        <w:ind w:firstLine="709"/>
        <w:contextualSpacing/>
        <w:jc w:val="both"/>
        <w:rPr>
          <w:rFonts w:ascii="Verdana" w:hAnsi="Verdana" w:cs="Arial"/>
          <w:sz w:val="14"/>
          <w:szCs w:val="14"/>
        </w:rPr>
      </w:pPr>
      <w:r w:rsidRPr="00CD4AEA">
        <w:rPr>
          <w:rFonts w:ascii="Verdana" w:hAnsi="Verdana" w:cs="Arial"/>
          <w:sz w:val="14"/>
          <w:szCs w:val="14"/>
        </w:rPr>
        <w:t xml:space="preserve"> </w:t>
      </w:r>
    </w:p>
  </w:footnote>
  <w:footnote w:id="18">
    <w:p w14:paraId="57EB9A1E" w14:textId="77777777" w:rsidR="004D0547" w:rsidRPr="00CD4AEA" w:rsidRDefault="004D0547" w:rsidP="004D0547">
      <w:pPr>
        <w:spacing w:after="0" w:line="240" w:lineRule="auto"/>
        <w:ind w:firstLine="709"/>
        <w:contextualSpacing/>
        <w:jc w:val="both"/>
        <w:rPr>
          <w:rFonts w:ascii="Verdana" w:eastAsia="Times New Roman" w:hAnsi="Verdana" w:cs="Arial"/>
          <w:sz w:val="14"/>
          <w:szCs w:val="14"/>
        </w:rPr>
      </w:pPr>
      <w:r w:rsidRPr="00CD4AEA">
        <w:rPr>
          <w:rStyle w:val="Refdenotaalpie"/>
          <w:rFonts w:ascii="Verdana" w:hAnsi="Verdana" w:cs="Arial"/>
          <w:sz w:val="14"/>
          <w:szCs w:val="14"/>
        </w:rPr>
        <w:footnoteRef/>
      </w:r>
      <w:r w:rsidRPr="00CD4AEA">
        <w:rPr>
          <w:rFonts w:ascii="Verdana" w:hAnsi="Verdana" w:cs="Arial"/>
          <w:sz w:val="14"/>
          <w:szCs w:val="14"/>
        </w:rPr>
        <w:t xml:space="preserve"> </w:t>
      </w:r>
      <w:r w:rsidRPr="00CD4AEA">
        <w:rPr>
          <w:rFonts w:ascii="Verdana" w:hAnsi="Verdana" w:cs="Arial"/>
          <w:color w:val="000000"/>
          <w:sz w:val="14"/>
          <w:szCs w:val="14"/>
        </w:rPr>
        <w:t>“</w:t>
      </w:r>
      <w:r w:rsidRPr="00CD4AEA">
        <w:rPr>
          <w:rFonts w:ascii="Verdana" w:eastAsia="Times New Roman" w:hAnsi="Verdana" w:cs="Arial"/>
          <w:sz w:val="14"/>
          <w:szCs w:val="14"/>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0484639E" w14:textId="77777777" w:rsidR="004D0547" w:rsidRPr="00CD4AEA" w:rsidRDefault="004D0547" w:rsidP="004D0547">
      <w:pPr>
        <w:spacing w:after="0" w:line="240" w:lineRule="auto"/>
        <w:ind w:firstLine="709"/>
        <w:contextualSpacing/>
        <w:jc w:val="both"/>
        <w:rPr>
          <w:rFonts w:ascii="Verdana" w:eastAsia="Times New Roman" w:hAnsi="Verdana" w:cs="Arial"/>
          <w:sz w:val="14"/>
          <w:szCs w:val="14"/>
        </w:rPr>
      </w:pPr>
      <w:r w:rsidRPr="00CD4AEA">
        <w:rPr>
          <w:rFonts w:ascii="Verdana" w:eastAsia="Times New Roman" w:hAnsi="Verdana" w:cs="Arial"/>
          <w:sz w:val="14"/>
          <w:szCs w:val="14"/>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CD4AEA">
        <w:rPr>
          <w:rFonts w:ascii="Verdana" w:hAnsi="Verdana" w:cs="Arial"/>
          <w:color w:val="000000"/>
          <w:sz w:val="14"/>
          <w:szCs w:val="14"/>
        </w:rPr>
        <w:t>”</w:t>
      </w:r>
      <w:r w:rsidRPr="00CD4AEA">
        <w:rPr>
          <w:rFonts w:ascii="Verdana" w:eastAsia="Times New Roman" w:hAnsi="Verdana" w:cs="Arial"/>
          <w:sz w:val="14"/>
          <w:szCs w:val="14"/>
        </w:rPr>
        <w:t>.</w:t>
      </w:r>
    </w:p>
    <w:p w14:paraId="65EE5B65" w14:textId="77777777" w:rsidR="004D0547" w:rsidRPr="00CD4AEA" w:rsidRDefault="004D0547" w:rsidP="004D0547">
      <w:pPr>
        <w:spacing w:after="0" w:line="240" w:lineRule="auto"/>
        <w:ind w:firstLine="709"/>
        <w:contextualSpacing/>
        <w:jc w:val="both"/>
        <w:rPr>
          <w:rFonts w:ascii="Verdana" w:eastAsia="Times New Roman" w:hAnsi="Verdana" w:cs="Arial"/>
          <w:sz w:val="14"/>
          <w:szCs w:val="14"/>
        </w:rPr>
      </w:pPr>
    </w:p>
  </w:footnote>
  <w:footnote w:id="19">
    <w:p w14:paraId="043517F9" w14:textId="77777777" w:rsidR="004D0547" w:rsidRPr="00CD4AEA" w:rsidRDefault="004D0547" w:rsidP="004D0547">
      <w:pPr>
        <w:spacing w:after="0" w:line="240" w:lineRule="auto"/>
        <w:ind w:firstLine="709"/>
        <w:contextualSpacing/>
        <w:jc w:val="both"/>
        <w:rPr>
          <w:rFonts w:ascii="Verdana" w:hAnsi="Verdana" w:cs="Arial"/>
          <w:sz w:val="14"/>
          <w:szCs w:val="14"/>
          <w:lang w:val="es-MX"/>
        </w:rPr>
      </w:pPr>
      <w:r w:rsidRPr="00CD4AEA">
        <w:rPr>
          <w:rStyle w:val="Refdenotaalpie"/>
          <w:rFonts w:ascii="Verdana" w:hAnsi="Verdana" w:cs="Arial"/>
          <w:sz w:val="14"/>
          <w:szCs w:val="14"/>
        </w:rPr>
        <w:footnoteRef/>
      </w:r>
      <w:r w:rsidRPr="00CD4AEA">
        <w:rPr>
          <w:rFonts w:ascii="Verdana" w:hAnsi="Verdana" w:cs="Arial"/>
          <w:sz w:val="14"/>
          <w:szCs w:val="14"/>
        </w:rPr>
        <w:t xml:space="preserve"> </w:t>
      </w:r>
      <w:r w:rsidRPr="00CD4AEA">
        <w:rPr>
          <w:rFonts w:ascii="Verdana" w:eastAsia="Calibri" w:hAnsi="Verdana" w:cs="Arial"/>
          <w:color w:val="000000"/>
          <w:sz w:val="14"/>
          <w:szCs w:val="14"/>
        </w:rPr>
        <w:t>“</w:t>
      </w:r>
      <w:r w:rsidRPr="00CD4AEA">
        <w:rPr>
          <w:rFonts w:ascii="Verdana" w:hAnsi="Verdana" w:cs="Arial"/>
          <w:sz w:val="14"/>
          <w:szCs w:val="14"/>
          <w:lang w:val="es-MX"/>
        </w:rPr>
        <w:t xml:space="preserve">Artículo 38. Prohibiciones para los servidores públicos. A los empleados del Estado les está prohibido: </w:t>
      </w:r>
    </w:p>
    <w:p w14:paraId="03E55C9D" w14:textId="77777777" w:rsidR="004D0547" w:rsidRPr="00CD4AEA" w:rsidRDefault="004D0547" w:rsidP="004D0547">
      <w:pPr>
        <w:spacing w:after="0" w:line="240" w:lineRule="auto"/>
        <w:ind w:firstLine="709"/>
        <w:contextualSpacing/>
        <w:jc w:val="both"/>
        <w:rPr>
          <w:rFonts w:ascii="Verdana" w:hAnsi="Verdana" w:cs="Arial"/>
          <w:sz w:val="14"/>
          <w:szCs w:val="14"/>
          <w:lang w:val="es-MX"/>
        </w:rPr>
      </w:pPr>
      <w:r w:rsidRPr="00CD4AEA">
        <w:rPr>
          <w:rFonts w:ascii="Verdana" w:hAnsi="Verdana" w:cs="Arial"/>
          <w:sz w:val="14"/>
          <w:szCs w:val="14"/>
          <w:lang w:val="es-MX"/>
        </w:rPr>
        <w:t>[…]</w:t>
      </w:r>
    </w:p>
    <w:p w14:paraId="111EAC82" w14:textId="77777777" w:rsidR="004D0547" w:rsidRDefault="004D0547" w:rsidP="004D0547">
      <w:pPr>
        <w:spacing w:after="0" w:line="240" w:lineRule="auto"/>
        <w:ind w:firstLine="709"/>
        <w:contextualSpacing/>
        <w:jc w:val="both"/>
        <w:rPr>
          <w:rFonts w:ascii="Verdana" w:hAnsi="Verdana" w:cs="Arial"/>
          <w:sz w:val="14"/>
          <w:szCs w:val="14"/>
          <w:lang w:val="es-MX"/>
        </w:rPr>
      </w:pPr>
      <w:r w:rsidRPr="00CD4AEA">
        <w:rPr>
          <w:rStyle w:val="baj"/>
          <w:rFonts w:ascii="Verdana" w:hAnsi="Verdana" w:cs="Arial"/>
          <w:sz w:val="14"/>
          <w:szCs w:val="14"/>
          <w:lang w:val="es-MX"/>
        </w:rPr>
        <w:t>Parágrafo.</w:t>
      </w:r>
      <w:r w:rsidRPr="00CD4AEA">
        <w:rPr>
          <w:rFonts w:ascii="Verdana" w:hAnsi="Verdana" w:cs="Arial"/>
          <w:sz w:val="14"/>
          <w:szCs w:val="14"/>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CD4AEA">
        <w:rPr>
          <w:rFonts w:ascii="Verdana" w:eastAsia="Calibri" w:hAnsi="Verdana" w:cs="Arial"/>
          <w:color w:val="000000"/>
          <w:sz w:val="14"/>
          <w:szCs w:val="14"/>
        </w:rPr>
        <w:t>”</w:t>
      </w:r>
      <w:r w:rsidRPr="00CD4AEA">
        <w:rPr>
          <w:rFonts w:ascii="Verdana" w:hAnsi="Verdana" w:cs="Arial"/>
          <w:sz w:val="14"/>
          <w:szCs w:val="14"/>
          <w:lang w:val="es-MX"/>
        </w:rPr>
        <w:t>.</w:t>
      </w:r>
    </w:p>
    <w:p w14:paraId="60CCB6EA" w14:textId="77777777" w:rsidR="004D0547" w:rsidRPr="002B7171" w:rsidRDefault="004D0547" w:rsidP="004D0547">
      <w:pPr>
        <w:spacing w:after="0" w:line="240" w:lineRule="auto"/>
        <w:ind w:firstLine="709"/>
        <w:contextualSpacing/>
        <w:jc w:val="both"/>
        <w:rPr>
          <w:rFonts w:ascii="Verdana" w:hAnsi="Verdana" w:cs="Arial"/>
          <w:sz w:val="14"/>
          <w:szCs w:val="14"/>
          <w:lang w:val="es-MX"/>
        </w:rPr>
      </w:pPr>
    </w:p>
  </w:footnote>
  <w:footnote w:id="20">
    <w:p w14:paraId="289217FC" w14:textId="77777777" w:rsidR="004D0547" w:rsidRDefault="004D0547" w:rsidP="004D0547">
      <w:pPr>
        <w:pStyle w:val="NormalWeb"/>
        <w:spacing w:before="0" w:beforeAutospacing="0" w:after="0"/>
        <w:ind w:firstLine="709"/>
        <w:contextualSpacing/>
        <w:jc w:val="both"/>
        <w:rPr>
          <w:rFonts w:ascii="Verdana" w:hAnsi="Verdana" w:cs="Arial"/>
          <w:sz w:val="14"/>
          <w:szCs w:val="14"/>
        </w:rPr>
      </w:pPr>
      <w:r w:rsidRPr="00CD4AEA">
        <w:rPr>
          <w:rStyle w:val="Refdenotaalpie"/>
          <w:rFonts w:ascii="Verdana" w:eastAsiaTheme="majorEastAsia" w:hAnsi="Verdana" w:cs="Arial"/>
          <w:sz w:val="14"/>
          <w:szCs w:val="14"/>
        </w:rPr>
        <w:footnoteRef/>
      </w:r>
      <w:r w:rsidRPr="00CD4AEA">
        <w:rPr>
          <w:rFonts w:ascii="Verdana" w:hAnsi="Verdana" w:cs="Arial"/>
          <w:sz w:val="14"/>
          <w:szCs w:val="14"/>
        </w:rPr>
        <w:t xml:space="preserve"> Consejo de Estado. Sala de Consulta y Servicio Civil. Concepto del 17 de febrero de 2015. C.P. William Zambrano Cetina. Radicación No. 11001-03-06-000-2015-00164-00(2269).</w:t>
      </w:r>
    </w:p>
    <w:p w14:paraId="07AEE462" w14:textId="77777777" w:rsidR="004D0547" w:rsidRPr="00CD4AEA" w:rsidRDefault="004D0547" w:rsidP="004D0547">
      <w:pPr>
        <w:pStyle w:val="NormalWeb"/>
        <w:spacing w:before="0" w:beforeAutospacing="0" w:after="0"/>
        <w:ind w:firstLine="709"/>
        <w:contextualSpacing/>
        <w:jc w:val="both"/>
        <w:rPr>
          <w:rFonts w:ascii="Verdana" w:hAnsi="Verdana" w:cs="Arial"/>
          <w:sz w:val="14"/>
          <w:szCs w:val="14"/>
          <w:lang w:val="es-ES"/>
        </w:rPr>
      </w:pPr>
    </w:p>
  </w:footnote>
  <w:footnote w:id="21">
    <w:p w14:paraId="5B7C422A" w14:textId="77777777" w:rsidR="004D0547" w:rsidRPr="00CD4AEA" w:rsidRDefault="004D0547" w:rsidP="004D0547">
      <w:pPr>
        <w:pStyle w:val="Textonotapie"/>
        <w:ind w:right="51" w:firstLine="709"/>
        <w:contextualSpacing/>
        <w:jc w:val="both"/>
        <w:rPr>
          <w:rFonts w:ascii="Verdana" w:hAnsi="Verdana" w:cs="Arial"/>
          <w:sz w:val="14"/>
          <w:szCs w:val="14"/>
        </w:rPr>
      </w:pPr>
      <w:r w:rsidRPr="00CD4AEA">
        <w:rPr>
          <w:rStyle w:val="Refdenotaalpie"/>
          <w:rFonts w:ascii="Verdana" w:hAnsi="Verdana" w:cs="Arial"/>
          <w:sz w:val="14"/>
          <w:szCs w:val="14"/>
        </w:rPr>
        <w:footnoteRef/>
      </w:r>
      <w:r w:rsidRPr="00CD4AEA">
        <w:rPr>
          <w:rFonts w:ascii="Verdana" w:hAnsi="Verdana" w:cs="Arial"/>
          <w:sz w:val="14"/>
          <w:szCs w:val="14"/>
        </w:rPr>
        <w:t xml:space="preserve"> “</w:t>
      </w:r>
      <w:r w:rsidRPr="00CD4AEA">
        <w:rPr>
          <w:rFonts w:ascii="Verdana" w:hAnsi="Verdana" w:cs="Arial"/>
          <w:sz w:val="14"/>
          <w:szCs w:val="14"/>
          <w:lang w:val="es-ES"/>
        </w:rPr>
        <w:t xml:space="preserve">[26] </w:t>
      </w:r>
      <w:r w:rsidRPr="00CD4AEA">
        <w:rPr>
          <w:rFonts w:ascii="Verdana" w:hAnsi="Verdana" w:cs="Arial"/>
          <w:sz w:val="14"/>
          <w:szCs w:val="14"/>
        </w:rPr>
        <w:t>Al respecto ver el concepto 1712 de 2 de febrero de 2006. Consejo de Estado Sala de Consulta y Servicio Civil”.</w:t>
      </w:r>
    </w:p>
    <w:p w14:paraId="490338CC" w14:textId="77777777" w:rsidR="004D0547" w:rsidRPr="00CD4AEA" w:rsidRDefault="004D0547" w:rsidP="004D0547">
      <w:pPr>
        <w:pStyle w:val="Textonotapie"/>
        <w:ind w:right="51" w:firstLine="709"/>
        <w:contextualSpacing/>
        <w:jc w:val="both"/>
        <w:rPr>
          <w:rFonts w:ascii="Verdana" w:hAnsi="Verdana" w:cs="Arial"/>
          <w:sz w:val="14"/>
          <w:szCs w:val="14"/>
        </w:rPr>
      </w:pPr>
    </w:p>
  </w:footnote>
  <w:footnote w:id="22">
    <w:p w14:paraId="1BA6C766" w14:textId="77777777" w:rsidR="004D0547" w:rsidRPr="00CD4AEA" w:rsidRDefault="004D0547" w:rsidP="004D0547">
      <w:pPr>
        <w:pStyle w:val="Textonotapie"/>
        <w:ind w:firstLine="709"/>
        <w:contextualSpacing/>
        <w:jc w:val="both"/>
        <w:rPr>
          <w:rFonts w:ascii="Verdana" w:hAnsi="Verdana" w:cs="Arial"/>
          <w:sz w:val="14"/>
          <w:szCs w:val="14"/>
        </w:rPr>
      </w:pPr>
      <w:r w:rsidRPr="00CD4AEA">
        <w:rPr>
          <w:rStyle w:val="Refdenotaalpie"/>
          <w:rFonts w:ascii="Verdana" w:hAnsi="Verdana" w:cs="Arial"/>
          <w:sz w:val="14"/>
          <w:szCs w:val="14"/>
        </w:rPr>
        <w:footnoteRef/>
      </w:r>
      <w:r w:rsidRPr="00CD4AEA">
        <w:rPr>
          <w:rFonts w:ascii="Verdana" w:hAnsi="Verdana" w:cs="Arial"/>
          <w:sz w:val="14"/>
          <w:szCs w:val="14"/>
        </w:rPr>
        <w:t xml:space="preserve"> Consejo de Estado. Sala de Consulta y Servicio Civil. Concepto del 2 de septiembre de 2013. Radicación número: 11001-03-06-000-2013-00412-00 (2168). Consejero Ponente: Álvaro Namén Vargas.</w:t>
      </w:r>
    </w:p>
    <w:p w14:paraId="683C4D00" w14:textId="77777777" w:rsidR="004D0547" w:rsidRPr="00CD4AEA" w:rsidRDefault="004D0547" w:rsidP="004D0547">
      <w:pPr>
        <w:pStyle w:val="Textonotapie"/>
        <w:ind w:firstLine="709"/>
        <w:contextualSpacing/>
        <w:jc w:val="both"/>
        <w:rPr>
          <w:rFonts w:ascii="Verdana" w:hAnsi="Verdana" w:cs="Arial"/>
          <w:sz w:val="14"/>
          <w:szCs w:val="14"/>
        </w:rPr>
      </w:pPr>
    </w:p>
  </w:footnote>
  <w:footnote w:id="23">
    <w:p w14:paraId="6C62D4A3" w14:textId="77777777" w:rsidR="004D0547" w:rsidRPr="00CD4AEA" w:rsidRDefault="004D0547" w:rsidP="004D0547">
      <w:pPr>
        <w:pStyle w:val="Textonotapie"/>
        <w:ind w:firstLine="709"/>
        <w:contextualSpacing/>
        <w:jc w:val="both"/>
        <w:rPr>
          <w:rFonts w:ascii="Verdana" w:hAnsi="Verdana" w:cs="Arial"/>
          <w:sz w:val="14"/>
          <w:szCs w:val="14"/>
          <w:lang w:val="es-ES"/>
        </w:rPr>
      </w:pPr>
      <w:r w:rsidRPr="00CD4AEA">
        <w:rPr>
          <w:rStyle w:val="Refdenotaalpie"/>
          <w:rFonts w:ascii="Verdana" w:hAnsi="Verdana" w:cs="Arial"/>
          <w:sz w:val="14"/>
          <w:szCs w:val="14"/>
        </w:rPr>
        <w:footnoteRef/>
      </w:r>
      <w:r w:rsidRPr="00CD4AEA">
        <w:rPr>
          <w:rFonts w:ascii="Verdana" w:hAnsi="Verdana" w:cs="Arial"/>
          <w:sz w:val="14"/>
          <w:szCs w:val="14"/>
        </w:rPr>
        <w:t xml:space="preserve"> </w:t>
      </w:r>
      <w:r w:rsidRPr="00CD4AEA">
        <w:rPr>
          <w:rFonts w:ascii="Verdana" w:hAnsi="Verdana" w:cs="Arial"/>
          <w:sz w:val="14"/>
          <w:szCs w:val="14"/>
          <w:lang w:val="es-ES"/>
        </w:rPr>
        <w:t xml:space="preserve">Artículo 2. </w:t>
      </w:r>
    </w:p>
    <w:p w14:paraId="268450AD" w14:textId="77777777" w:rsidR="004D0547" w:rsidRPr="00CD4AEA" w:rsidRDefault="004D0547" w:rsidP="004D0547">
      <w:pPr>
        <w:pStyle w:val="Textonotapie"/>
        <w:ind w:firstLine="709"/>
        <w:contextualSpacing/>
        <w:jc w:val="both"/>
        <w:rPr>
          <w:rFonts w:ascii="Verdana" w:hAnsi="Verdana" w:cs="Arial"/>
          <w:sz w:val="14"/>
          <w:szCs w:val="14"/>
          <w:lang w:val="es-ES"/>
        </w:rPr>
      </w:pPr>
    </w:p>
  </w:footnote>
  <w:footnote w:id="24">
    <w:p w14:paraId="3D17C035" w14:textId="77777777" w:rsidR="004D0547" w:rsidRPr="00CD4AEA" w:rsidRDefault="004D0547" w:rsidP="004D0547">
      <w:pPr>
        <w:pStyle w:val="Textonotapie"/>
        <w:ind w:firstLine="709"/>
        <w:contextualSpacing/>
        <w:jc w:val="both"/>
        <w:rPr>
          <w:rFonts w:ascii="Verdana" w:hAnsi="Verdana" w:cs="Arial"/>
          <w:sz w:val="14"/>
          <w:szCs w:val="14"/>
          <w:lang w:val="es-ES"/>
        </w:rPr>
      </w:pPr>
      <w:r w:rsidRPr="00CD4AEA">
        <w:rPr>
          <w:rStyle w:val="Refdenotaalpie"/>
          <w:rFonts w:ascii="Verdana" w:hAnsi="Verdana" w:cs="Arial"/>
          <w:sz w:val="14"/>
          <w:szCs w:val="14"/>
        </w:rPr>
        <w:footnoteRef/>
      </w:r>
      <w:r w:rsidRPr="00CD4AEA">
        <w:rPr>
          <w:rFonts w:ascii="Verdana" w:hAnsi="Verdana" w:cs="Arial"/>
          <w:sz w:val="14"/>
          <w:szCs w:val="14"/>
        </w:rPr>
        <w:t xml:space="preserve"> </w:t>
      </w:r>
      <w:r w:rsidRPr="00CD4AEA">
        <w:rPr>
          <w:rFonts w:ascii="Verdana" w:hAnsi="Verdana" w:cs="Arial"/>
          <w:i/>
          <w:sz w:val="14"/>
          <w:szCs w:val="14"/>
          <w:lang w:val="es-ES"/>
        </w:rPr>
        <w:t>Ídem</w:t>
      </w:r>
      <w:r w:rsidRPr="00CD4AEA">
        <w:rPr>
          <w:rFonts w:ascii="Verdana" w:hAnsi="Verdana" w:cs="Arial"/>
          <w:sz w:val="14"/>
          <w:szCs w:val="14"/>
          <w:lang w:val="es-ES"/>
        </w:rPr>
        <w:t>.</w:t>
      </w:r>
    </w:p>
    <w:p w14:paraId="53359668" w14:textId="77777777" w:rsidR="004D0547" w:rsidRPr="00CD4AEA" w:rsidRDefault="004D0547" w:rsidP="004D0547">
      <w:pPr>
        <w:pStyle w:val="Textonotapie"/>
        <w:ind w:firstLine="709"/>
        <w:contextualSpacing/>
        <w:jc w:val="both"/>
        <w:rPr>
          <w:rFonts w:ascii="Verdana" w:hAnsi="Verdana" w:cs="Arial"/>
          <w:sz w:val="14"/>
          <w:szCs w:val="14"/>
          <w:lang w:val="es-ES"/>
        </w:rPr>
      </w:pPr>
    </w:p>
  </w:footnote>
  <w:footnote w:id="25">
    <w:p w14:paraId="49D7F5DD" w14:textId="77777777" w:rsidR="004D0547" w:rsidRPr="00CD4AEA" w:rsidRDefault="004D0547" w:rsidP="004D0547">
      <w:pPr>
        <w:pStyle w:val="Textonotapie"/>
        <w:ind w:firstLine="709"/>
        <w:contextualSpacing/>
        <w:jc w:val="both"/>
        <w:rPr>
          <w:rFonts w:ascii="Verdana" w:hAnsi="Verdana" w:cs="Arial"/>
          <w:sz w:val="14"/>
          <w:szCs w:val="14"/>
        </w:rPr>
      </w:pPr>
      <w:r w:rsidRPr="00CD4AEA">
        <w:rPr>
          <w:rStyle w:val="Refdenotaalpie"/>
          <w:rFonts w:ascii="Verdana" w:hAnsi="Verdana" w:cs="Arial"/>
          <w:sz w:val="14"/>
          <w:szCs w:val="14"/>
        </w:rPr>
        <w:footnoteRef/>
      </w:r>
      <w:r w:rsidRPr="00CD4AEA">
        <w:rPr>
          <w:rFonts w:ascii="Verdana" w:hAnsi="Verdana" w:cs="Arial"/>
          <w:sz w:val="14"/>
          <w:szCs w:val="14"/>
        </w:rPr>
        <w:t xml:space="preserve"> Consejo de Estado. Sala de Consulta y Servicio Civil. Concepto del 08 de mayo de 2018. Exp. 2.382. C.P. Álvaro Namén Vargas.</w:t>
      </w:r>
    </w:p>
    <w:p w14:paraId="7CFFF034" w14:textId="77777777" w:rsidR="004D0547" w:rsidRPr="00CD4AEA" w:rsidRDefault="004D0547" w:rsidP="004D0547">
      <w:pPr>
        <w:pStyle w:val="Textonotapie"/>
        <w:ind w:firstLine="709"/>
        <w:contextualSpacing/>
        <w:jc w:val="both"/>
        <w:rPr>
          <w:rFonts w:ascii="Verdana" w:hAnsi="Verdana" w:cs="Arial"/>
          <w:sz w:val="14"/>
          <w:szCs w:val="14"/>
        </w:rPr>
      </w:pPr>
    </w:p>
  </w:footnote>
  <w:footnote w:id="26">
    <w:p w14:paraId="01AF01B1" w14:textId="77777777" w:rsidR="004D0547" w:rsidRPr="00CD4AEA" w:rsidRDefault="004D0547" w:rsidP="004D0547">
      <w:pPr>
        <w:pStyle w:val="Textonotapie"/>
        <w:ind w:firstLine="708"/>
        <w:contextualSpacing/>
        <w:jc w:val="both"/>
        <w:rPr>
          <w:rFonts w:ascii="Verdana" w:hAnsi="Verdana"/>
          <w:sz w:val="14"/>
          <w:szCs w:val="14"/>
          <w:lang w:val="es-CO"/>
        </w:rPr>
      </w:pPr>
      <w:r w:rsidRPr="00CD4AEA">
        <w:rPr>
          <w:rStyle w:val="Refdenotaalpie"/>
          <w:rFonts w:ascii="Verdana" w:hAnsi="Verdana"/>
          <w:sz w:val="14"/>
          <w:szCs w:val="14"/>
        </w:rPr>
        <w:footnoteRef/>
      </w:r>
      <w:r w:rsidRPr="00CD4AEA">
        <w:rPr>
          <w:rFonts w:ascii="Verdana" w:hAnsi="Verdana"/>
          <w:sz w:val="14"/>
          <w:szCs w:val="14"/>
        </w:rPr>
        <w:t xml:space="preserve"> </w:t>
      </w:r>
      <w:r w:rsidRPr="00CD4AEA">
        <w:rPr>
          <w:rFonts w:ascii="Verdana" w:hAnsi="Verdana" w:cs="Arial"/>
          <w:sz w:val="14"/>
          <w:szCs w:val="14"/>
          <w:lang w:val="es-ES"/>
        </w:rPr>
        <w:t xml:space="preserve">Consejo de Estado, Sala de Consulta y Servicio Civil, Concepto de fecha 8 de mayo de 2018, No. </w:t>
      </w:r>
      <w:r w:rsidRPr="00CD4AEA">
        <w:rPr>
          <w:rFonts w:ascii="Verdana" w:hAnsi="Verdana"/>
          <w:sz w:val="14"/>
          <w:szCs w:val="14"/>
          <w:lang w:val="es-CO"/>
        </w:rPr>
        <w:t>2382.</w:t>
      </w:r>
      <w:r w:rsidRPr="00CD4AEA">
        <w:rPr>
          <w:rFonts w:ascii="Verdana" w:hAnsi="Verdana"/>
          <w:sz w:val="14"/>
          <w:szCs w:val="14"/>
        </w:rPr>
        <w:t xml:space="preserve"> </w:t>
      </w:r>
      <w:r w:rsidRPr="00CD4AEA">
        <w:rPr>
          <w:rFonts w:ascii="Verdana" w:hAnsi="Verdana"/>
          <w:sz w:val="14"/>
          <w:szCs w:val="14"/>
          <w:lang w:val="es-CO"/>
        </w:rPr>
        <w:t>C. P. Álvaro Namén Vargas.</w:t>
      </w:r>
    </w:p>
    <w:p w14:paraId="31E08E16" w14:textId="77777777" w:rsidR="004D0547" w:rsidRPr="00CD4AEA" w:rsidRDefault="004D0547" w:rsidP="004D0547">
      <w:pPr>
        <w:pStyle w:val="Textonotapie"/>
        <w:ind w:firstLine="708"/>
        <w:contextualSpacing/>
        <w:jc w:val="both"/>
        <w:rPr>
          <w:rFonts w:ascii="Verdana" w:hAnsi="Verdana"/>
          <w:sz w:val="14"/>
          <w:szCs w:val="14"/>
          <w:lang w:val="es-ES"/>
        </w:rPr>
      </w:pPr>
    </w:p>
  </w:footnote>
  <w:footnote w:id="27">
    <w:p w14:paraId="0EB7B0F9" w14:textId="77777777" w:rsidR="004D0547" w:rsidRPr="00CD4AEA" w:rsidRDefault="004D0547" w:rsidP="004D0547">
      <w:pPr>
        <w:spacing w:after="0" w:line="240" w:lineRule="auto"/>
        <w:ind w:firstLine="709"/>
        <w:contextualSpacing/>
        <w:jc w:val="both"/>
        <w:rPr>
          <w:rFonts w:ascii="Verdana" w:hAnsi="Verdana" w:cs="Arial"/>
          <w:color w:val="000000" w:themeColor="text1"/>
          <w:sz w:val="14"/>
          <w:szCs w:val="14"/>
        </w:rPr>
      </w:pPr>
      <w:r w:rsidRPr="00CD4AEA">
        <w:rPr>
          <w:rStyle w:val="Refdenotaalpie"/>
          <w:rFonts w:ascii="Verdana" w:hAnsi="Verdana" w:cs="Arial"/>
          <w:color w:val="000000" w:themeColor="text1"/>
          <w:sz w:val="14"/>
          <w:szCs w:val="14"/>
        </w:rPr>
        <w:footnoteRef/>
      </w:r>
      <w:r w:rsidRPr="00CD4AEA">
        <w:rPr>
          <w:rFonts w:ascii="Verdana" w:hAnsi="Verdana" w:cs="Arial"/>
          <w:color w:val="000000" w:themeColor="text1"/>
          <w:sz w:val="14"/>
          <w:szCs w:val="14"/>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p w14:paraId="380CF5CF" w14:textId="77777777" w:rsidR="004D0547" w:rsidRPr="00CD4AEA" w:rsidRDefault="004D0547" w:rsidP="004D0547">
      <w:pPr>
        <w:spacing w:after="0" w:line="240" w:lineRule="auto"/>
        <w:ind w:firstLine="709"/>
        <w:contextualSpacing/>
        <w:jc w:val="both"/>
        <w:rPr>
          <w:rFonts w:ascii="Verdana" w:hAnsi="Verdana" w:cs="Arial"/>
          <w:color w:val="000000" w:themeColor="text1"/>
          <w:sz w:val="14"/>
          <w:szCs w:val="14"/>
        </w:rPr>
      </w:pPr>
    </w:p>
  </w:footnote>
  <w:footnote w:id="28">
    <w:p w14:paraId="643EC643" w14:textId="77777777" w:rsidR="004D0547" w:rsidRPr="00CD4AEA" w:rsidRDefault="004D0547" w:rsidP="004D0547">
      <w:pPr>
        <w:pStyle w:val="Textonotapie"/>
        <w:ind w:firstLine="708"/>
        <w:contextualSpacing/>
        <w:jc w:val="both"/>
        <w:rPr>
          <w:rFonts w:ascii="Verdana" w:hAnsi="Verdana" w:cs="Arial"/>
          <w:color w:val="000000" w:themeColor="text1"/>
          <w:sz w:val="14"/>
          <w:szCs w:val="14"/>
        </w:rPr>
      </w:pPr>
      <w:r w:rsidRPr="00CD4AEA">
        <w:rPr>
          <w:rStyle w:val="Refdenotaalpie"/>
          <w:rFonts w:ascii="Verdana" w:hAnsi="Verdana" w:cs="Arial"/>
          <w:color w:val="000000" w:themeColor="text1"/>
          <w:sz w:val="14"/>
          <w:szCs w:val="14"/>
        </w:rPr>
        <w:footnoteRef/>
      </w:r>
      <w:r w:rsidRPr="00CD4AEA">
        <w:rPr>
          <w:rFonts w:ascii="Verdana" w:hAnsi="Verdana" w:cs="Arial"/>
          <w:color w:val="000000" w:themeColor="text1"/>
          <w:sz w:val="14"/>
          <w:szCs w:val="14"/>
        </w:rPr>
        <w:t xml:space="preserve"> CONSEJO DE ESTADO. Sala de Consulta y Servicio Civil. Concepto del 18 de febrero 2010. Rad. 11001-03-06-000-2010-00006-00 (1985). C.P. Enrique José Arboleda Perdomo.</w:t>
      </w:r>
    </w:p>
    <w:p w14:paraId="5748DDCB" w14:textId="77777777" w:rsidR="004D0547" w:rsidRPr="00CD4AEA" w:rsidRDefault="004D0547" w:rsidP="004D0547">
      <w:pPr>
        <w:pStyle w:val="Textonotapie"/>
        <w:ind w:firstLine="708"/>
        <w:contextualSpacing/>
        <w:jc w:val="both"/>
        <w:rPr>
          <w:rFonts w:ascii="Verdana" w:hAnsi="Verdana" w:cs="Arial"/>
          <w:color w:val="000000" w:themeColor="text1"/>
          <w:sz w:val="14"/>
          <w:szCs w:val="14"/>
        </w:rPr>
      </w:pPr>
    </w:p>
  </w:footnote>
  <w:footnote w:id="29">
    <w:p w14:paraId="21718C57" w14:textId="77777777" w:rsidR="004D0547" w:rsidRDefault="004D0547" w:rsidP="004D0547">
      <w:pPr>
        <w:pStyle w:val="Textonotapie"/>
        <w:ind w:firstLine="708"/>
        <w:contextualSpacing/>
        <w:jc w:val="both"/>
        <w:rPr>
          <w:rFonts w:ascii="Verdana" w:hAnsi="Verdana" w:cs="Arial"/>
          <w:color w:val="000000" w:themeColor="text1"/>
          <w:sz w:val="14"/>
          <w:szCs w:val="14"/>
        </w:rPr>
      </w:pPr>
      <w:r w:rsidRPr="00CD4AEA">
        <w:rPr>
          <w:rStyle w:val="Refdenotaalpie"/>
          <w:rFonts w:ascii="Verdana" w:hAnsi="Verdana" w:cs="Arial"/>
          <w:color w:val="000000" w:themeColor="text1"/>
          <w:sz w:val="14"/>
          <w:szCs w:val="14"/>
        </w:rPr>
        <w:footnoteRef/>
      </w:r>
      <w:r w:rsidRPr="00CD4AEA">
        <w:rPr>
          <w:rFonts w:ascii="Verdana" w:hAnsi="Verdana" w:cs="Arial"/>
          <w:color w:val="000000" w:themeColor="text1"/>
          <w:sz w:val="14"/>
          <w:szCs w:val="14"/>
        </w:rPr>
        <w:t xml:space="preserve"> Consejo de Estado. Sala de Consulta y Servicio Civil. Concepto del 02 de septiembre de 2013. Rad. 11001-03-06-000-2013-00412-00 (2168). C.P. Álvaro Namén Vargas.</w:t>
      </w:r>
    </w:p>
    <w:p w14:paraId="1C21A60C" w14:textId="77777777" w:rsidR="004D0547" w:rsidRPr="002B7171" w:rsidRDefault="004D0547" w:rsidP="004D0547">
      <w:pPr>
        <w:pStyle w:val="Textonotapie"/>
        <w:ind w:firstLine="708"/>
        <w:contextualSpacing/>
        <w:jc w:val="both"/>
        <w:rPr>
          <w:rFonts w:ascii="Verdana" w:hAnsi="Verdana" w:cs="Arial"/>
          <w:color w:val="000000" w:themeColor="text1"/>
          <w:sz w:val="14"/>
          <w:szCs w:val="1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EBD5ED" w14:textId="77777777" w:rsidR="004D0547" w:rsidRDefault="004D0547"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280712D4" wp14:editId="326A0DA8">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299ABA2D" wp14:editId="2FE52983">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5F7ACE72" w14:textId="77777777" w:rsidR="004D0547" w:rsidRDefault="004D0547">
    <w:pPr>
      <w:pStyle w:val="Encabezado"/>
    </w:pPr>
  </w:p>
  <w:p w14:paraId="054ED418" w14:textId="77777777" w:rsidR="004D0547" w:rsidRPr="004A305D" w:rsidRDefault="004D0547" w:rsidP="00B01B1A">
    <w:pPr>
      <w:spacing w:after="0" w:line="120" w:lineRule="auto"/>
      <w:rPr>
        <w:rFonts w:ascii="Century Gothic" w:eastAsia="Geo" w:hAnsi="Century Gothic" w:cs="Geo"/>
        <w:sz w:val="16"/>
        <w:szCs w:val="16"/>
        <w:lang w:eastAsia="es-CO"/>
      </w:rPr>
    </w:pPr>
  </w:p>
  <w:p w14:paraId="3C2B46AE" w14:textId="77777777" w:rsidR="004D0547" w:rsidRDefault="004D0547" w:rsidP="00844AE9">
    <w:pPr>
      <w:spacing w:after="0" w:line="240" w:lineRule="auto"/>
      <w:rPr>
        <w:rFonts w:ascii="Verdana" w:hAnsi="Verdana"/>
        <w:sz w:val="24"/>
        <w:szCs w:val="24"/>
      </w:rPr>
    </w:pPr>
  </w:p>
  <w:p w14:paraId="63435042" w14:textId="77777777" w:rsidR="004D0547" w:rsidRPr="00C925AC" w:rsidRDefault="004D0547" w:rsidP="00844AE9">
    <w:pPr>
      <w:spacing w:after="0" w:line="240" w:lineRule="auto"/>
      <w:rPr>
        <w:rFonts w:ascii="Verdana" w:hAnsi="Verdana"/>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8B9449D"/>
    <w:multiLevelType w:val="hybridMultilevel"/>
    <w:tmpl w:val="F5EE4BD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90349800">
    <w:abstractNumId w:val="3"/>
  </w:num>
  <w:num w:numId="2" w16cid:durableId="518470888">
    <w:abstractNumId w:val="0"/>
  </w:num>
  <w:num w:numId="3" w16cid:durableId="2053143587">
    <w:abstractNumId w:val="2"/>
  </w:num>
  <w:num w:numId="4" w16cid:durableId="7770655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9"/>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0547"/>
    <w:rsid w:val="001250C4"/>
    <w:rsid w:val="00474DF4"/>
    <w:rsid w:val="00485D25"/>
    <w:rsid w:val="004D0547"/>
    <w:rsid w:val="004F471F"/>
    <w:rsid w:val="0080049B"/>
    <w:rsid w:val="00915BD7"/>
    <w:rsid w:val="00B54AF7"/>
    <w:rsid w:val="00C24FF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EE70E9"/>
  <w15:chartTrackingRefBased/>
  <w15:docId w15:val="{CB63F9BA-93CC-45CE-9D15-FF0C1ED37D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0547"/>
    <w:rPr>
      <w:kern w:val="0"/>
      <w14:ligatures w14:val="none"/>
    </w:rPr>
  </w:style>
  <w:style w:type="paragraph" w:styleId="Ttulo1">
    <w:name w:val="heading 1"/>
    <w:basedOn w:val="Normal"/>
    <w:next w:val="Normal"/>
    <w:link w:val="Ttulo1Car"/>
    <w:uiPriority w:val="9"/>
    <w:qFormat/>
    <w:rsid w:val="004D054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4D054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4D0547"/>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4D0547"/>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4D0547"/>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4D0547"/>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4D0547"/>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4D0547"/>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4D0547"/>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D0547"/>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4D0547"/>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4D0547"/>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4D0547"/>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4D0547"/>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4D0547"/>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4D0547"/>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4D0547"/>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4D0547"/>
    <w:rPr>
      <w:rFonts w:eastAsiaTheme="majorEastAsia" w:cstheme="majorBidi"/>
      <w:color w:val="272727" w:themeColor="text1" w:themeTint="D8"/>
    </w:rPr>
  </w:style>
  <w:style w:type="paragraph" w:styleId="Ttulo">
    <w:name w:val="Title"/>
    <w:basedOn w:val="Normal"/>
    <w:next w:val="Normal"/>
    <w:link w:val="TtuloCar"/>
    <w:uiPriority w:val="10"/>
    <w:qFormat/>
    <w:rsid w:val="004D054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4D054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4D0547"/>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D054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4D0547"/>
    <w:pPr>
      <w:spacing w:before="160"/>
      <w:jc w:val="center"/>
    </w:pPr>
    <w:rPr>
      <w:i/>
      <w:iCs/>
      <w:color w:val="404040" w:themeColor="text1" w:themeTint="BF"/>
    </w:rPr>
  </w:style>
  <w:style w:type="character" w:customStyle="1" w:styleId="CitaCar">
    <w:name w:val="Cita Car"/>
    <w:basedOn w:val="Fuentedeprrafopredeter"/>
    <w:link w:val="Cita"/>
    <w:uiPriority w:val="29"/>
    <w:rsid w:val="004D0547"/>
    <w:rPr>
      <w:i/>
      <w:iCs/>
      <w:color w:val="404040" w:themeColor="text1" w:themeTint="BF"/>
    </w:rPr>
  </w:style>
  <w:style w:type="paragraph" w:styleId="Prrafodelista">
    <w:name w:val="List Paragraph"/>
    <w:basedOn w:val="Normal"/>
    <w:uiPriority w:val="34"/>
    <w:qFormat/>
    <w:rsid w:val="004D0547"/>
    <w:pPr>
      <w:ind w:left="720"/>
      <w:contextualSpacing/>
    </w:pPr>
  </w:style>
  <w:style w:type="character" w:styleId="nfasisintenso">
    <w:name w:val="Intense Emphasis"/>
    <w:basedOn w:val="Fuentedeprrafopredeter"/>
    <w:uiPriority w:val="21"/>
    <w:qFormat/>
    <w:rsid w:val="004D0547"/>
    <w:rPr>
      <w:i/>
      <w:iCs/>
      <w:color w:val="2F5496" w:themeColor="accent1" w:themeShade="BF"/>
    </w:rPr>
  </w:style>
  <w:style w:type="paragraph" w:styleId="Citadestacada">
    <w:name w:val="Intense Quote"/>
    <w:basedOn w:val="Normal"/>
    <w:next w:val="Normal"/>
    <w:link w:val="CitadestacadaCar"/>
    <w:uiPriority w:val="30"/>
    <w:qFormat/>
    <w:rsid w:val="004D054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4D0547"/>
    <w:rPr>
      <w:i/>
      <w:iCs/>
      <w:color w:val="2F5496" w:themeColor="accent1" w:themeShade="BF"/>
    </w:rPr>
  </w:style>
  <w:style w:type="character" w:styleId="Referenciaintensa">
    <w:name w:val="Intense Reference"/>
    <w:basedOn w:val="Fuentedeprrafopredeter"/>
    <w:uiPriority w:val="32"/>
    <w:qFormat/>
    <w:rsid w:val="004D0547"/>
    <w:rPr>
      <w:b/>
      <w:bCs/>
      <w:smallCaps/>
      <w:color w:val="2F5496" w:themeColor="accent1" w:themeShade="BF"/>
      <w:spacing w:val="5"/>
    </w:rPr>
  </w:style>
  <w:style w:type="paragraph" w:styleId="Encabezado">
    <w:name w:val="header"/>
    <w:basedOn w:val="Normal"/>
    <w:link w:val="EncabezadoCar"/>
    <w:uiPriority w:val="99"/>
    <w:unhideWhenUsed/>
    <w:rsid w:val="004D05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D0547"/>
    <w:rPr>
      <w:kern w:val="0"/>
      <w14:ligatures w14:val="none"/>
    </w:rPr>
  </w:style>
  <w:style w:type="paragraph" w:styleId="Piedepgina">
    <w:name w:val="footer"/>
    <w:basedOn w:val="Normal"/>
    <w:link w:val="PiedepginaCar"/>
    <w:uiPriority w:val="99"/>
    <w:unhideWhenUsed/>
    <w:rsid w:val="004D05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D0547"/>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4D0547"/>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4D0547"/>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4D0547"/>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4D0547"/>
    <w:rPr>
      <w:vertAlign w:val="superscript"/>
    </w:rPr>
  </w:style>
  <w:style w:type="character" w:customStyle="1" w:styleId="normaltextrun">
    <w:name w:val="normaltextrun"/>
    <w:basedOn w:val="Fuentedeprrafopredeter"/>
    <w:rsid w:val="004D0547"/>
  </w:style>
  <w:style w:type="table" w:styleId="Tablaconcuadrcula">
    <w:name w:val="Table Grid"/>
    <w:basedOn w:val="Tablanormal"/>
    <w:uiPriority w:val="39"/>
    <w:qFormat/>
    <w:rsid w:val="004D0547"/>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4D0547"/>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NormalWeb">
    <w:name w:val="Normal (Web)"/>
    <w:basedOn w:val="Normal"/>
    <w:link w:val="NormalWebCar"/>
    <w:uiPriority w:val="99"/>
    <w:unhideWhenUsed/>
    <w:rsid w:val="004D0547"/>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Appelnotedebasde">
    <w:name w:val="Appel note de bas de..."/>
    <w:basedOn w:val="Normal"/>
    <w:link w:val="Refdenotaalpie"/>
    <w:uiPriority w:val="99"/>
    <w:rsid w:val="004D0547"/>
    <w:pPr>
      <w:spacing w:line="240" w:lineRule="exact"/>
    </w:pPr>
    <w:rPr>
      <w:kern w:val="2"/>
      <w:vertAlign w:val="superscript"/>
      <w14:ligatures w14:val="standardContextual"/>
    </w:rPr>
  </w:style>
  <w:style w:type="table" w:customStyle="1" w:styleId="Tablaconcuadrcula1">
    <w:name w:val="Tabla con cuadrícula1"/>
    <w:basedOn w:val="Tablanormal"/>
    <w:next w:val="Tablaconcuadrcula"/>
    <w:uiPriority w:val="39"/>
    <w:qFormat/>
    <w:rsid w:val="004D0547"/>
    <w:pPr>
      <w:spacing w:after="0" w:line="240" w:lineRule="auto"/>
    </w:pPr>
    <w:rPr>
      <w:kern w:val="0"/>
      <w14:ligatures w14:val="none"/>
    </w:rPr>
    <w:tblPr/>
  </w:style>
  <w:style w:type="character" w:customStyle="1" w:styleId="baj">
    <w:name w:val="b_aj"/>
    <w:basedOn w:val="Fuentedeprrafopredeter"/>
    <w:rsid w:val="004D0547"/>
  </w:style>
  <w:style w:type="character" w:customStyle="1" w:styleId="NormalWebCar">
    <w:name w:val="Normal (Web) Car"/>
    <w:link w:val="NormalWeb"/>
    <w:uiPriority w:val="99"/>
    <w:locked/>
    <w:rsid w:val="004D0547"/>
    <w:rPr>
      <w:rFonts w:ascii="Times New Roman" w:eastAsia="Times New Roman" w:hAnsi="Times New Roman" w:cs="Times New Roman"/>
      <w:kern w:val="0"/>
      <w:sz w:val="24"/>
      <w:szCs w:val="24"/>
      <w:lang w:eastAsia="es-CO"/>
      <w14:ligatures w14:val="none"/>
    </w:rPr>
  </w:style>
  <w:style w:type="paragraph" w:styleId="Sinespaciado">
    <w:name w:val="No Spacing"/>
    <w:uiPriority w:val="1"/>
    <w:qFormat/>
    <w:rsid w:val="004D0547"/>
    <w:pPr>
      <w:spacing w:after="0" w:line="240" w:lineRule="auto"/>
    </w:pPr>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latoria.colombiacompra.gov.co/busqueda/conceptos" TargetMode="External"/><Relationship Id="rId13" Type="http://schemas.openxmlformats.org/officeDocument/2006/relationships/image" Target="media/image2.png"/><Relationship Id="rId1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forms.office.com/r/pPHyWVs2SZ"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20"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colombiacompra.gov.co/pqrsd/informacion-importante-antes-de-formular-una-pqrsd"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mailto:ventanilladeradicacion@colombiacompra.gov.co" TargetMode="External"/><Relationship Id="rId19"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05F9B34-4817-4DA3-A099-29F72CDC4393}"/>
</file>

<file path=customXml/itemProps2.xml><?xml version="1.0" encoding="utf-8"?>
<ds:datastoreItem xmlns:ds="http://schemas.openxmlformats.org/officeDocument/2006/customXml" ds:itemID="{CC148B91-8835-4E55-A4F6-E37827403737}"/>
</file>

<file path=customXml/itemProps3.xml><?xml version="1.0" encoding="utf-8"?>
<ds:datastoreItem xmlns:ds="http://schemas.openxmlformats.org/officeDocument/2006/customXml" ds:itemID="{3F51CDFC-46EF-4D6E-8524-57C4A6300B8E}"/>
</file>

<file path=docProps/app.xml><?xml version="1.0" encoding="utf-8"?>
<Properties xmlns="http://schemas.openxmlformats.org/officeDocument/2006/extended-properties" xmlns:vt="http://schemas.openxmlformats.org/officeDocument/2006/docPropsVTypes">
  <Template>Normal</Template>
  <TotalTime>1</TotalTime>
  <Pages>28</Pages>
  <Words>9552</Words>
  <Characters>51868</Characters>
  <Application>Microsoft Office Word</Application>
  <DocSecurity>0</DocSecurity>
  <Lines>1037</Lines>
  <Paragraphs>211</Paragraphs>
  <ScaleCrop>false</ScaleCrop>
  <Company/>
  <LinksUpToDate>false</LinksUpToDate>
  <CharactersWithSpaces>61209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Sergio Enrique Caballero Lesmes</cp:lastModifiedBy>
  <cp:revision>3</cp:revision>
  <dcterms:created xsi:type="dcterms:W3CDTF">2025-12-22T13:17:00Z</dcterms:created>
  <dcterms:modified xsi:type="dcterms:W3CDTF">2025-12-29T14:42:00Z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