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30677F" w14:textId="77777777" w:rsidR="001F3644" w:rsidRPr="00F02C5A" w:rsidRDefault="001F3644" w:rsidP="001F3644">
      <w:pPr>
        <w:tabs>
          <w:tab w:val="left" w:pos="426"/>
        </w:tabs>
        <w:spacing w:line="240" w:lineRule="auto"/>
        <w:contextualSpacing/>
        <w:jc w:val="both"/>
        <w:rPr>
          <w:rFonts w:ascii="Verdana" w:eastAsia="Calibri" w:hAnsi="Verdana" w:cs="Arial"/>
          <w:b/>
          <w:bCs/>
          <w:lang w:val="es-MX"/>
        </w:rPr>
      </w:pPr>
      <w:bookmarkStart w:id="0" w:name="_Hlk181166130"/>
      <w:bookmarkStart w:id="1" w:name="_Hlk209714638"/>
      <w:r w:rsidRPr="00F02C5A">
        <w:rPr>
          <w:rFonts w:ascii="Verdana" w:eastAsia="Calibri" w:hAnsi="Verdana" w:cs="Arial"/>
          <w:b/>
          <w:bCs/>
          <w:lang w:val="es-MX"/>
        </w:rPr>
        <w:t xml:space="preserve">LEY DE GARANTÍAS ELECTORALES </w:t>
      </w:r>
      <w:r w:rsidRPr="005D0E91">
        <w:rPr>
          <w:rFonts w:ascii="Verdana" w:eastAsia="Calibri" w:hAnsi="Verdana" w:cs="Arial"/>
          <w:b/>
          <w:bCs/>
          <w:lang w:val="es-ES"/>
        </w:rPr>
        <w:t>–</w:t>
      </w:r>
      <w:r w:rsidRPr="00F02C5A">
        <w:rPr>
          <w:rFonts w:ascii="Verdana" w:eastAsia="Calibri" w:hAnsi="Verdana" w:cs="Arial"/>
          <w:b/>
          <w:bCs/>
          <w:lang w:val="es-MX"/>
        </w:rPr>
        <w:t xml:space="preserve"> Prohibición ‒ Contratación directa ‒ Alcance </w:t>
      </w:r>
    </w:p>
    <w:p w14:paraId="0EFF4975" w14:textId="77777777" w:rsidR="001F3644" w:rsidRPr="00F02C5A" w:rsidRDefault="001F3644" w:rsidP="001F3644">
      <w:pPr>
        <w:tabs>
          <w:tab w:val="left" w:pos="426"/>
        </w:tabs>
        <w:spacing w:line="240" w:lineRule="auto"/>
        <w:contextualSpacing/>
        <w:jc w:val="both"/>
        <w:rPr>
          <w:rFonts w:ascii="Verdana" w:eastAsia="Calibri" w:hAnsi="Verdana" w:cs="Arial"/>
          <w:noProof/>
          <w:sz w:val="20"/>
          <w:szCs w:val="20"/>
          <w:lang w:val="es-MX"/>
        </w:rPr>
      </w:pPr>
    </w:p>
    <w:p w14:paraId="72B1CA91" w14:textId="77777777" w:rsidR="001F3644" w:rsidRPr="00F02C5A" w:rsidRDefault="001F3644" w:rsidP="001F3644">
      <w:pPr>
        <w:spacing w:line="240" w:lineRule="auto"/>
        <w:contextualSpacing/>
        <w:jc w:val="both"/>
        <w:rPr>
          <w:rFonts w:ascii="Verdana" w:eastAsia="Times New Roman" w:hAnsi="Verdana" w:cs="Arial"/>
          <w:bCs/>
          <w:sz w:val="20"/>
          <w:szCs w:val="20"/>
          <w:lang w:val="es-MX" w:eastAsia="x-none"/>
        </w:rPr>
      </w:pPr>
      <w:r w:rsidRPr="00F02C5A">
        <w:rPr>
          <w:rFonts w:ascii="Verdana" w:eastAsia="Calibri" w:hAnsi="Verdana" w:cs="Arial"/>
          <w:noProof/>
          <w:sz w:val="20"/>
          <w:szCs w:val="20"/>
          <w:lang w:val="es-ES_tradnl"/>
        </w:rPr>
        <w:t xml:space="preserve">[…] </w:t>
      </w:r>
      <w:r w:rsidRPr="00F02C5A">
        <w:rPr>
          <w:rFonts w:ascii="Verdana" w:eastAsia="Times New Roman" w:hAnsi="Verdana" w:cs="Arial"/>
          <w:bCs/>
          <w:sz w:val="20"/>
          <w:szCs w:val="20"/>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sz w:val="20"/>
          <w:szCs w:val="20"/>
          <w:vertAlign w:val="superscript"/>
          <w:lang w:eastAsia="x-none"/>
        </w:rPr>
        <w:t xml:space="preserve"> </w:t>
      </w:r>
    </w:p>
    <w:p w14:paraId="29B51E4E" w14:textId="77777777" w:rsidR="001F3644" w:rsidRPr="00F02C5A" w:rsidRDefault="001F3644" w:rsidP="001F3644">
      <w:pPr>
        <w:spacing w:line="240" w:lineRule="auto"/>
        <w:contextualSpacing/>
        <w:jc w:val="both"/>
        <w:rPr>
          <w:rFonts w:ascii="Verdana" w:eastAsia="Times New Roman" w:hAnsi="Verdana" w:cs="Arial"/>
          <w:bCs/>
          <w:sz w:val="20"/>
          <w:szCs w:val="20"/>
          <w:lang w:val="es-MX" w:eastAsia="x-none"/>
        </w:rPr>
      </w:pPr>
    </w:p>
    <w:p w14:paraId="2458531B" w14:textId="77777777" w:rsidR="001F3644" w:rsidRPr="00F02C5A" w:rsidRDefault="001F3644" w:rsidP="001F3644">
      <w:pPr>
        <w:spacing w:line="240" w:lineRule="auto"/>
        <w:contextualSpacing/>
        <w:jc w:val="both"/>
        <w:rPr>
          <w:rFonts w:ascii="Verdana" w:eastAsia="Times New Roman" w:hAnsi="Verdana" w:cs="Arial"/>
          <w:sz w:val="20"/>
          <w:szCs w:val="20"/>
          <w:lang w:eastAsia="x-none"/>
        </w:rPr>
      </w:pPr>
      <w:r w:rsidRPr="00F02C5A">
        <w:rPr>
          <w:rFonts w:ascii="Verdana" w:eastAsia="Times New Roman" w:hAnsi="Verdana" w:cs="Arial"/>
          <w:bCs/>
          <w:sz w:val="20"/>
          <w:szCs w:val="20"/>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02C5A">
        <w:rPr>
          <w:rFonts w:ascii="Verdana" w:eastAsia="Times New Roman" w:hAnsi="Verdana" w:cs="Arial"/>
          <w:sz w:val="20"/>
          <w:szCs w:val="20"/>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las entidades públicas pueden seguir contratando bajo estos sistemas.</w:t>
      </w:r>
    </w:p>
    <w:p w14:paraId="6B78F232" w14:textId="77777777" w:rsidR="001F3644" w:rsidRPr="00F02C5A" w:rsidRDefault="001F3644" w:rsidP="001F3644">
      <w:pPr>
        <w:spacing w:line="240" w:lineRule="auto"/>
        <w:contextualSpacing/>
        <w:jc w:val="both"/>
        <w:rPr>
          <w:rFonts w:ascii="Verdana" w:eastAsia="Times New Roman" w:hAnsi="Verdana" w:cs="Arial"/>
          <w:lang w:eastAsia="x-none"/>
        </w:rPr>
      </w:pPr>
    </w:p>
    <w:p w14:paraId="19F05BA2" w14:textId="77777777" w:rsidR="001F3644" w:rsidRPr="00F02C5A" w:rsidRDefault="001F3644" w:rsidP="001F3644">
      <w:pPr>
        <w:tabs>
          <w:tab w:val="left" w:pos="426"/>
        </w:tabs>
        <w:spacing w:line="240" w:lineRule="auto"/>
        <w:contextualSpacing/>
        <w:jc w:val="both"/>
        <w:rPr>
          <w:rFonts w:ascii="Verdana" w:eastAsia="Calibri" w:hAnsi="Verdana" w:cs="Arial"/>
          <w:b/>
          <w:bCs/>
          <w:sz w:val="20"/>
          <w:szCs w:val="20"/>
          <w:lang w:val="es-MX"/>
        </w:rPr>
      </w:pPr>
      <w:r w:rsidRPr="00F02C5A">
        <w:rPr>
          <w:rFonts w:ascii="Verdana" w:eastAsia="Calibri" w:hAnsi="Verdana" w:cs="Arial"/>
          <w:b/>
          <w:bCs/>
          <w:lang w:val="es-MX"/>
        </w:rPr>
        <w:t xml:space="preserve">LEY DE GARANTÍAS ELECTORALES </w:t>
      </w:r>
      <w:r w:rsidRPr="005D0E91">
        <w:rPr>
          <w:rFonts w:ascii="Verdana" w:eastAsia="Calibri" w:hAnsi="Verdana" w:cs="Arial"/>
          <w:b/>
          <w:bCs/>
          <w:lang w:val="es-ES"/>
        </w:rPr>
        <w:t>–</w:t>
      </w:r>
      <w:r w:rsidRPr="00F02C5A">
        <w:rPr>
          <w:rFonts w:ascii="Verdana" w:eastAsia="Calibri" w:hAnsi="Verdana" w:cs="Arial"/>
          <w:b/>
          <w:bCs/>
          <w:lang w:val="es-MX"/>
        </w:rPr>
        <w:t xml:space="preserve"> Prohibición ‒ Contratación directa ‒ </w:t>
      </w:r>
      <w:r w:rsidRPr="00F02C5A">
        <w:rPr>
          <w:rFonts w:ascii="Verdana" w:eastAsia="Times New Roman" w:hAnsi="Verdana" w:cs="Arial"/>
          <w:b/>
          <w:bCs/>
          <w:lang w:eastAsia="es-CO"/>
        </w:rPr>
        <w:t>Excepciones</w:t>
      </w:r>
      <w:r w:rsidRPr="00F02C5A">
        <w:rPr>
          <w:rFonts w:ascii="Verdana" w:eastAsia="Calibri" w:hAnsi="Verdana" w:cs="Arial"/>
          <w:b/>
          <w:bCs/>
          <w:lang w:val="es-MX"/>
        </w:rPr>
        <w:t xml:space="preserve"> </w:t>
      </w:r>
    </w:p>
    <w:p w14:paraId="34F805E2" w14:textId="77777777" w:rsidR="001F3644" w:rsidRPr="00F02C5A" w:rsidRDefault="001F3644" w:rsidP="001F3644">
      <w:pPr>
        <w:tabs>
          <w:tab w:val="left" w:pos="426"/>
        </w:tabs>
        <w:spacing w:line="240" w:lineRule="auto"/>
        <w:contextualSpacing/>
        <w:jc w:val="both"/>
        <w:rPr>
          <w:rFonts w:ascii="Verdana" w:eastAsia="Times New Roman" w:hAnsi="Verdana" w:cs="Arial"/>
          <w:sz w:val="20"/>
          <w:szCs w:val="20"/>
          <w:lang w:eastAsia="x-none"/>
        </w:rPr>
      </w:pPr>
    </w:p>
    <w:p w14:paraId="2A067323" w14:textId="77777777" w:rsidR="001F3644" w:rsidRDefault="001F3644" w:rsidP="001F3644">
      <w:pPr>
        <w:spacing w:line="240" w:lineRule="auto"/>
        <w:contextualSpacing/>
        <w:jc w:val="both"/>
        <w:rPr>
          <w:rFonts w:ascii="Verdana" w:eastAsia="Times New Roman" w:hAnsi="Verdana" w:cs="Arial"/>
          <w:bCs/>
          <w:sz w:val="20"/>
          <w:szCs w:val="20"/>
          <w:lang w:val="es-MX" w:eastAsia="es-CO"/>
        </w:rPr>
      </w:pPr>
      <w:r w:rsidRPr="00F02C5A">
        <w:rPr>
          <w:rFonts w:ascii="Verdana" w:eastAsia="Calibri" w:hAnsi="Verdana" w:cs="Arial"/>
          <w:noProof/>
          <w:sz w:val="20"/>
          <w:szCs w:val="20"/>
          <w:lang w:val="es-ES_tradnl"/>
        </w:rPr>
        <w:t xml:space="preserve">[…] </w:t>
      </w:r>
      <w:r w:rsidRPr="00F02C5A">
        <w:rPr>
          <w:rFonts w:ascii="Verdana" w:eastAsia="Times New Roman" w:hAnsi="Verdana" w:cs="Arial"/>
          <w:bCs/>
          <w:sz w:val="20"/>
          <w:szCs w:val="20"/>
          <w:lang w:val="es-MX" w:eastAsia="x-none"/>
        </w:rPr>
        <w:t>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02C5A">
        <w:rPr>
          <w:rFonts w:ascii="Verdana" w:eastAsia="Times New Roman" w:hAnsi="Verdana" w:cs="Arial"/>
          <w:bCs/>
          <w:sz w:val="20"/>
          <w:szCs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47BDCDB" w14:textId="77777777" w:rsidR="001F3644" w:rsidRDefault="001F3644" w:rsidP="001F3644">
      <w:pPr>
        <w:spacing w:line="240" w:lineRule="auto"/>
        <w:contextualSpacing/>
        <w:jc w:val="both"/>
        <w:rPr>
          <w:rFonts w:ascii="Verdana" w:eastAsia="Times New Roman" w:hAnsi="Verdana" w:cs="Arial"/>
          <w:bCs/>
          <w:sz w:val="20"/>
          <w:szCs w:val="20"/>
          <w:lang w:val="es-MX" w:eastAsia="es-CO"/>
        </w:rPr>
      </w:pPr>
    </w:p>
    <w:p w14:paraId="2ED4A0EA" w14:textId="77777777" w:rsidR="001F3644" w:rsidRPr="00F02C5A" w:rsidRDefault="001F3644" w:rsidP="001F3644">
      <w:pPr>
        <w:tabs>
          <w:tab w:val="left" w:pos="426"/>
        </w:tabs>
        <w:spacing w:line="240" w:lineRule="auto"/>
        <w:contextualSpacing/>
        <w:jc w:val="both"/>
        <w:rPr>
          <w:rFonts w:ascii="Verdana" w:eastAsia="Calibri" w:hAnsi="Verdana" w:cs="Arial"/>
          <w:b/>
          <w:bCs/>
          <w:sz w:val="20"/>
          <w:szCs w:val="20"/>
          <w:lang w:val="es-MX"/>
        </w:rPr>
      </w:pPr>
      <w:r w:rsidRPr="00F02C5A">
        <w:rPr>
          <w:rFonts w:ascii="Verdana" w:eastAsia="Calibri" w:hAnsi="Verdana" w:cs="Arial"/>
          <w:b/>
          <w:bCs/>
          <w:lang w:val="es-MX"/>
        </w:rPr>
        <w:t xml:space="preserve">LEY DE GARANTÍAS ELECTORALES </w:t>
      </w:r>
      <w:r w:rsidRPr="005D0E91">
        <w:rPr>
          <w:rFonts w:ascii="Verdana" w:eastAsia="Calibri" w:hAnsi="Verdana" w:cs="Arial"/>
          <w:b/>
          <w:bCs/>
          <w:lang w:val="es-ES"/>
        </w:rPr>
        <w:t>–</w:t>
      </w:r>
      <w:r w:rsidRPr="00F02C5A">
        <w:rPr>
          <w:rFonts w:ascii="Verdana" w:eastAsia="Calibri" w:hAnsi="Verdana" w:cs="Arial"/>
          <w:b/>
          <w:bCs/>
          <w:lang w:val="es-MX"/>
        </w:rPr>
        <w:t xml:space="preserve"> Prohibición ‒ Contratación directa ‒</w:t>
      </w:r>
      <w:r w:rsidRPr="00D35E4D">
        <w:t xml:space="preserve"> </w:t>
      </w:r>
      <w:r>
        <w:rPr>
          <w:rFonts w:ascii="Verdana" w:eastAsia="Calibri" w:hAnsi="Verdana" w:cs="Arial"/>
          <w:b/>
          <w:bCs/>
          <w:lang w:val="es-MX"/>
        </w:rPr>
        <w:t>C</w:t>
      </w:r>
      <w:r w:rsidRPr="00D35E4D">
        <w:rPr>
          <w:rFonts w:ascii="Verdana" w:eastAsia="Calibri" w:hAnsi="Verdana" w:cs="Arial"/>
          <w:b/>
          <w:bCs/>
          <w:lang w:val="es-MX"/>
        </w:rPr>
        <w:t xml:space="preserve">onvenios </w:t>
      </w:r>
      <w:r>
        <w:rPr>
          <w:rFonts w:ascii="Verdana" w:eastAsia="Calibri" w:hAnsi="Verdana" w:cs="Arial"/>
          <w:b/>
          <w:bCs/>
          <w:lang w:val="es-MX"/>
        </w:rPr>
        <w:t>solidarios</w:t>
      </w:r>
    </w:p>
    <w:p w14:paraId="2E2E054E" w14:textId="77777777" w:rsidR="001F3644" w:rsidRPr="00F02C5A" w:rsidRDefault="001F3644" w:rsidP="001F3644">
      <w:pPr>
        <w:spacing w:line="240" w:lineRule="auto"/>
        <w:contextualSpacing/>
        <w:jc w:val="both"/>
        <w:rPr>
          <w:rFonts w:ascii="Verdana" w:eastAsia="Times New Roman" w:hAnsi="Verdana" w:cs="Arial"/>
          <w:bCs/>
          <w:sz w:val="20"/>
          <w:szCs w:val="20"/>
          <w:lang w:val="es-MX" w:eastAsia="es-CO"/>
        </w:rPr>
      </w:pPr>
    </w:p>
    <w:p w14:paraId="368E4213" w14:textId="77777777" w:rsidR="001F3644" w:rsidRDefault="001F3644" w:rsidP="001F3644">
      <w:pPr>
        <w:spacing w:line="240" w:lineRule="auto"/>
        <w:contextualSpacing/>
        <w:jc w:val="both"/>
        <w:rPr>
          <w:rFonts w:ascii="Verdana" w:eastAsia="Times New Roman" w:hAnsi="Verdana" w:cs="Arial"/>
          <w:bCs/>
          <w:sz w:val="20"/>
          <w:szCs w:val="20"/>
          <w:lang w:val="es-MX" w:eastAsia="es-CO"/>
        </w:rPr>
      </w:pPr>
      <w:r w:rsidRPr="007230C1">
        <w:rPr>
          <w:rFonts w:ascii="Verdana" w:eastAsia="Times New Roman" w:hAnsi="Verdana" w:cs="Arial"/>
          <w:bCs/>
          <w:sz w:val="20"/>
          <w:szCs w:val="20"/>
          <w:lang w:val="es-MX" w:eastAsia="es-CO"/>
        </w:rPr>
        <w:t>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w:t>
      </w:r>
    </w:p>
    <w:p w14:paraId="0A89AA59" w14:textId="77777777" w:rsidR="001F3644" w:rsidRPr="007230C1" w:rsidRDefault="001F3644" w:rsidP="001F3644">
      <w:pPr>
        <w:spacing w:line="240" w:lineRule="auto"/>
        <w:contextualSpacing/>
        <w:jc w:val="both"/>
        <w:rPr>
          <w:rFonts w:ascii="Verdana" w:eastAsia="Times New Roman" w:hAnsi="Verdana" w:cs="Arial"/>
          <w:bCs/>
          <w:sz w:val="20"/>
          <w:szCs w:val="20"/>
          <w:lang w:val="es-MX" w:eastAsia="es-CO"/>
        </w:rPr>
      </w:pPr>
    </w:p>
    <w:p w14:paraId="5E58CAD5" w14:textId="77777777" w:rsidR="001F3644" w:rsidRPr="00D35E4D" w:rsidRDefault="001F3644" w:rsidP="001F3644">
      <w:pPr>
        <w:spacing w:line="240" w:lineRule="auto"/>
        <w:contextualSpacing/>
        <w:jc w:val="both"/>
        <w:rPr>
          <w:rFonts w:ascii="Verdana" w:eastAsia="Times New Roman" w:hAnsi="Verdana" w:cs="Arial"/>
          <w:bCs/>
          <w:sz w:val="20"/>
          <w:szCs w:val="20"/>
          <w:lang w:val="es-MX" w:eastAsia="es-CO"/>
        </w:rPr>
      </w:pPr>
      <w:r w:rsidRPr="007230C1">
        <w:rPr>
          <w:rFonts w:ascii="Verdana" w:eastAsia="Times New Roman" w:hAnsi="Verdana" w:cs="Arial"/>
          <w:bCs/>
          <w:sz w:val="20"/>
          <w:szCs w:val="20"/>
          <w:lang w:val="es-MX" w:eastAsia="es-CO"/>
        </w:rPr>
        <w:lastRenderedPageBreak/>
        <w:t>Por tanto, teniendo en cuenta que el artículo 95 de la Ley 2166 de 2021 dispone que “Se autoriza a los entes del orden Nacional, Departamental, Distrital y municipal para celebrar directamente convenios solidarios con los Organismos de Acción Comunal con el fin de contratar con los habitantes de la comunidad”; esta contratación al ser directa se encuentra cobijada por la prohibición del artículo 33 de la Ley de Garantías Electorales, ya que como se señaló en el párrafo anterior, la prohibición es amplia y aplica a toda la contratación que no implique convocatoria pública.</w:t>
      </w:r>
    </w:p>
    <w:p w14:paraId="0F6A378E" w14:textId="77777777" w:rsidR="001F3644" w:rsidRDefault="001F3644" w:rsidP="001F3644">
      <w:pPr>
        <w:spacing w:after="0" w:line="240" w:lineRule="auto"/>
        <w:jc w:val="both"/>
        <w:rPr>
          <w:rFonts w:ascii="Verdana" w:eastAsia="Times New Roman" w:hAnsi="Verdana" w:cs="Arial"/>
          <w:noProof/>
          <w:lang w:val="es-ES_tradnl" w:eastAsia="es-ES_tradnl"/>
        </w:rPr>
      </w:pPr>
    </w:p>
    <w:p w14:paraId="78E204D2" w14:textId="77777777" w:rsidR="001F3644" w:rsidRDefault="001F3644" w:rsidP="001F3644">
      <w:pPr>
        <w:spacing w:after="0" w:line="240" w:lineRule="auto"/>
        <w:jc w:val="both"/>
        <w:rPr>
          <w:rFonts w:ascii="Verdana" w:eastAsia="Times New Roman" w:hAnsi="Verdana" w:cs="Arial"/>
          <w:noProof/>
          <w:lang w:val="es-ES_tradnl" w:eastAsia="es-ES_tradnl"/>
        </w:rPr>
      </w:pPr>
    </w:p>
    <w:p w14:paraId="11DFDC03" w14:textId="77777777" w:rsidR="001F3644" w:rsidRDefault="001F3644" w:rsidP="001F3644">
      <w:pPr>
        <w:spacing w:after="0" w:line="240" w:lineRule="auto"/>
        <w:jc w:val="both"/>
        <w:rPr>
          <w:rFonts w:ascii="Verdana" w:eastAsia="Times New Roman" w:hAnsi="Verdana" w:cs="Arial"/>
          <w:noProof/>
          <w:lang w:val="es-ES_tradnl" w:eastAsia="es-ES_tradnl"/>
        </w:rPr>
      </w:pPr>
    </w:p>
    <w:p w14:paraId="54080BF9" w14:textId="77777777" w:rsidR="001F3644" w:rsidRDefault="001F3644" w:rsidP="001F3644">
      <w:pPr>
        <w:spacing w:after="0" w:line="240" w:lineRule="auto"/>
        <w:jc w:val="both"/>
        <w:rPr>
          <w:rFonts w:ascii="Verdana" w:eastAsia="Times New Roman" w:hAnsi="Verdana" w:cs="Arial"/>
          <w:noProof/>
          <w:lang w:val="es-ES_tradnl" w:eastAsia="es-ES_tradnl"/>
        </w:rPr>
      </w:pPr>
    </w:p>
    <w:p w14:paraId="53C021BA" w14:textId="77777777" w:rsidR="001F3644" w:rsidRDefault="001F3644" w:rsidP="001F3644">
      <w:pPr>
        <w:spacing w:after="0" w:line="240" w:lineRule="auto"/>
        <w:jc w:val="both"/>
        <w:rPr>
          <w:rFonts w:ascii="Verdana" w:eastAsia="Times New Roman" w:hAnsi="Verdana" w:cs="Arial"/>
          <w:noProof/>
          <w:lang w:val="es-ES_tradnl" w:eastAsia="es-ES_tradnl"/>
        </w:rPr>
      </w:pPr>
    </w:p>
    <w:p w14:paraId="0CDAC759" w14:textId="77777777" w:rsidR="001F3644" w:rsidRDefault="001F3644" w:rsidP="001F3644">
      <w:pPr>
        <w:spacing w:after="0" w:line="240" w:lineRule="auto"/>
        <w:jc w:val="both"/>
        <w:rPr>
          <w:rFonts w:ascii="Verdana" w:eastAsia="Times New Roman" w:hAnsi="Verdana" w:cs="Arial"/>
          <w:noProof/>
          <w:lang w:val="es-ES_tradnl" w:eastAsia="es-ES_tradnl"/>
        </w:rPr>
      </w:pPr>
    </w:p>
    <w:p w14:paraId="401E4E97" w14:textId="77777777" w:rsidR="001F3644" w:rsidRDefault="001F3644" w:rsidP="001F3644">
      <w:pPr>
        <w:spacing w:after="0" w:line="240" w:lineRule="auto"/>
        <w:jc w:val="both"/>
        <w:rPr>
          <w:rFonts w:ascii="Verdana" w:eastAsia="Times New Roman" w:hAnsi="Verdana" w:cs="Arial"/>
          <w:noProof/>
          <w:lang w:val="es-ES_tradnl" w:eastAsia="es-ES_tradnl"/>
        </w:rPr>
      </w:pPr>
    </w:p>
    <w:p w14:paraId="65B9C59A" w14:textId="77777777" w:rsidR="001F3644" w:rsidRDefault="001F3644" w:rsidP="001F3644">
      <w:pPr>
        <w:spacing w:after="0" w:line="240" w:lineRule="auto"/>
        <w:jc w:val="both"/>
        <w:rPr>
          <w:rFonts w:ascii="Verdana" w:eastAsia="Times New Roman" w:hAnsi="Verdana" w:cs="Arial"/>
          <w:noProof/>
          <w:lang w:val="es-ES_tradnl" w:eastAsia="es-ES_tradnl"/>
        </w:rPr>
      </w:pPr>
    </w:p>
    <w:p w14:paraId="22DEA17A" w14:textId="77777777" w:rsidR="001F3644" w:rsidRDefault="001F3644" w:rsidP="001F3644">
      <w:pPr>
        <w:spacing w:after="0" w:line="240" w:lineRule="auto"/>
        <w:jc w:val="both"/>
        <w:rPr>
          <w:rFonts w:ascii="Verdana" w:eastAsia="Times New Roman" w:hAnsi="Verdana" w:cs="Arial"/>
          <w:noProof/>
          <w:lang w:val="es-ES_tradnl" w:eastAsia="es-ES_tradnl"/>
        </w:rPr>
      </w:pPr>
    </w:p>
    <w:p w14:paraId="51E59AD0" w14:textId="77777777" w:rsidR="001F3644" w:rsidRDefault="001F3644" w:rsidP="001F3644">
      <w:pPr>
        <w:spacing w:after="0" w:line="240" w:lineRule="auto"/>
        <w:jc w:val="both"/>
        <w:rPr>
          <w:rFonts w:ascii="Verdana" w:eastAsia="Times New Roman" w:hAnsi="Verdana" w:cs="Arial"/>
          <w:noProof/>
          <w:lang w:val="es-ES_tradnl" w:eastAsia="es-ES_tradnl"/>
        </w:rPr>
      </w:pPr>
    </w:p>
    <w:p w14:paraId="70710111" w14:textId="77777777" w:rsidR="001F3644" w:rsidRDefault="001F3644" w:rsidP="001F3644">
      <w:pPr>
        <w:spacing w:after="0" w:line="240" w:lineRule="auto"/>
        <w:jc w:val="both"/>
        <w:rPr>
          <w:rFonts w:ascii="Verdana" w:eastAsia="Times New Roman" w:hAnsi="Verdana" w:cs="Arial"/>
          <w:noProof/>
          <w:lang w:val="es-ES_tradnl" w:eastAsia="es-ES_tradnl"/>
        </w:rPr>
      </w:pPr>
    </w:p>
    <w:p w14:paraId="3A42CB68" w14:textId="77777777" w:rsidR="001F3644" w:rsidRDefault="001F3644" w:rsidP="001F3644">
      <w:pPr>
        <w:spacing w:after="0" w:line="240" w:lineRule="auto"/>
        <w:rPr>
          <w:rFonts w:ascii="Verdana" w:hAnsi="Verdana"/>
        </w:rPr>
      </w:pPr>
    </w:p>
    <w:p w14:paraId="2F8233B7" w14:textId="77777777" w:rsidR="001F3644" w:rsidRDefault="001F3644" w:rsidP="001F3644">
      <w:pPr>
        <w:spacing w:after="0" w:line="240" w:lineRule="auto"/>
        <w:rPr>
          <w:rFonts w:ascii="Verdana" w:hAnsi="Verdana"/>
        </w:rPr>
      </w:pPr>
    </w:p>
    <w:p w14:paraId="3106D2A4" w14:textId="77777777" w:rsidR="001F3644" w:rsidRDefault="001F3644" w:rsidP="001F3644">
      <w:pPr>
        <w:spacing w:after="0" w:line="240" w:lineRule="auto"/>
        <w:rPr>
          <w:rFonts w:ascii="Verdana" w:hAnsi="Verdana"/>
        </w:rPr>
      </w:pPr>
    </w:p>
    <w:p w14:paraId="6DCBAB47" w14:textId="77777777" w:rsidR="001F3644" w:rsidRDefault="001F3644" w:rsidP="001F3644">
      <w:pPr>
        <w:spacing w:after="0" w:line="240" w:lineRule="auto"/>
        <w:rPr>
          <w:rFonts w:ascii="Verdana" w:hAnsi="Verdana"/>
        </w:rPr>
      </w:pPr>
    </w:p>
    <w:p w14:paraId="3976AA7F" w14:textId="77777777" w:rsidR="001F3644" w:rsidRDefault="001F3644" w:rsidP="001F3644">
      <w:pPr>
        <w:spacing w:after="0" w:line="240" w:lineRule="auto"/>
        <w:rPr>
          <w:rFonts w:ascii="Verdana" w:hAnsi="Verdana"/>
        </w:rPr>
      </w:pPr>
    </w:p>
    <w:p w14:paraId="18778C9A" w14:textId="77777777" w:rsidR="001F3644" w:rsidRDefault="001F3644" w:rsidP="001F3644">
      <w:pPr>
        <w:spacing w:after="0" w:line="240" w:lineRule="auto"/>
        <w:rPr>
          <w:rFonts w:ascii="Verdana" w:hAnsi="Verdana"/>
        </w:rPr>
      </w:pPr>
    </w:p>
    <w:p w14:paraId="3D59A7D8" w14:textId="77777777" w:rsidR="001F3644" w:rsidRDefault="001F3644" w:rsidP="001F3644">
      <w:pPr>
        <w:spacing w:after="0" w:line="240" w:lineRule="auto"/>
        <w:rPr>
          <w:rFonts w:ascii="Verdana" w:hAnsi="Verdana"/>
        </w:rPr>
      </w:pPr>
    </w:p>
    <w:p w14:paraId="3388D047" w14:textId="77777777" w:rsidR="001F3644" w:rsidRDefault="001F3644" w:rsidP="001F3644">
      <w:pPr>
        <w:spacing w:after="0" w:line="240" w:lineRule="auto"/>
        <w:rPr>
          <w:rFonts w:ascii="Verdana" w:hAnsi="Verdana"/>
        </w:rPr>
      </w:pPr>
    </w:p>
    <w:p w14:paraId="22AB0039" w14:textId="77777777" w:rsidR="001F3644" w:rsidRDefault="001F3644" w:rsidP="001F3644">
      <w:pPr>
        <w:spacing w:after="0" w:line="240" w:lineRule="auto"/>
        <w:rPr>
          <w:rFonts w:ascii="Verdana" w:hAnsi="Verdana"/>
        </w:rPr>
      </w:pPr>
    </w:p>
    <w:p w14:paraId="153448AD" w14:textId="77777777" w:rsidR="001F3644" w:rsidRDefault="001F3644" w:rsidP="001F3644">
      <w:pPr>
        <w:spacing w:after="0" w:line="240" w:lineRule="auto"/>
        <w:rPr>
          <w:rFonts w:ascii="Verdana" w:hAnsi="Verdana"/>
        </w:rPr>
      </w:pPr>
    </w:p>
    <w:p w14:paraId="11D4D0A5" w14:textId="77777777" w:rsidR="001F3644" w:rsidRDefault="001F3644" w:rsidP="001F3644">
      <w:pPr>
        <w:spacing w:after="0" w:line="240" w:lineRule="auto"/>
        <w:rPr>
          <w:rFonts w:ascii="Verdana" w:hAnsi="Verdana"/>
        </w:rPr>
      </w:pPr>
    </w:p>
    <w:p w14:paraId="2C54FB78" w14:textId="77777777" w:rsidR="001F3644" w:rsidRDefault="001F3644" w:rsidP="001F3644">
      <w:pPr>
        <w:spacing w:after="0" w:line="240" w:lineRule="auto"/>
        <w:rPr>
          <w:rFonts w:ascii="Verdana" w:hAnsi="Verdana"/>
        </w:rPr>
      </w:pPr>
    </w:p>
    <w:p w14:paraId="534006E8" w14:textId="77777777" w:rsidR="001F3644" w:rsidRDefault="001F3644" w:rsidP="001F3644">
      <w:pPr>
        <w:spacing w:after="0" w:line="240" w:lineRule="auto"/>
        <w:rPr>
          <w:rFonts w:ascii="Verdana" w:hAnsi="Verdana"/>
        </w:rPr>
      </w:pPr>
    </w:p>
    <w:p w14:paraId="5A55C3BA" w14:textId="77777777" w:rsidR="001F3644" w:rsidRDefault="001F3644" w:rsidP="001F3644">
      <w:pPr>
        <w:spacing w:after="0" w:line="240" w:lineRule="auto"/>
        <w:rPr>
          <w:rFonts w:ascii="Verdana" w:hAnsi="Verdana"/>
        </w:rPr>
      </w:pPr>
    </w:p>
    <w:p w14:paraId="2742A16B" w14:textId="77777777" w:rsidR="001F3644" w:rsidRDefault="001F3644" w:rsidP="001F3644">
      <w:pPr>
        <w:spacing w:after="0" w:line="240" w:lineRule="auto"/>
        <w:rPr>
          <w:rFonts w:ascii="Verdana" w:hAnsi="Verdana"/>
        </w:rPr>
      </w:pPr>
    </w:p>
    <w:p w14:paraId="42376076" w14:textId="77777777" w:rsidR="001F3644" w:rsidRDefault="001F3644" w:rsidP="001F3644">
      <w:pPr>
        <w:spacing w:after="0" w:line="240" w:lineRule="auto"/>
        <w:rPr>
          <w:rFonts w:ascii="Verdana" w:hAnsi="Verdana"/>
        </w:rPr>
      </w:pPr>
    </w:p>
    <w:p w14:paraId="617C597E" w14:textId="77777777" w:rsidR="001F3644" w:rsidRDefault="001F3644" w:rsidP="001F3644">
      <w:pPr>
        <w:spacing w:after="0" w:line="240" w:lineRule="auto"/>
        <w:rPr>
          <w:rFonts w:ascii="Verdana" w:hAnsi="Verdana"/>
        </w:rPr>
      </w:pPr>
    </w:p>
    <w:p w14:paraId="7A8233AD" w14:textId="77777777" w:rsidR="001F3644" w:rsidRDefault="001F3644" w:rsidP="001F3644">
      <w:pPr>
        <w:spacing w:after="0" w:line="240" w:lineRule="auto"/>
        <w:rPr>
          <w:rFonts w:ascii="Verdana" w:hAnsi="Verdana"/>
        </w:rPr>
      </w:pPr>
    </w:p>
    <w:p w14:paraId="70056C2E" w14:textId="77777777" w:rsidR="001F3644" w:rsidRDefault="001F3644" w:rsidP="001F3644">
      <w:pPr>
        <w:spacing w:after="0" w:line="240" w:lineRule="auto"/>
        <w:rPr>
          <w:rFonts w:ascii="Verdana" w:hAnsi="Verdana"/>
        </w:rPr>
      </w:pPr>
    </w:p>
    <w:p w14:paraId="1B141620" w14:textId="77777777" w:rsidR="001F3644" w:rsidRDefault="001F3644" w:rsidP="001F3644">
      <w:pPr>
        <w:spacing w:after="0" w:line="240" w:lineRule="auto"/>
        <w:rPr>
          <w:rFonts w:ascii="Verdana" w:hAnsi="Verdana"/>
        </w:rPr>
      </w:pPr>
    </w:p>
    <w:p w14:paraId="6CA19560" w14:textId="77777777" w:rsidR="001F3644" w:rsidRDefault="001F3644" w:rsidP="001F3644">
      <w:pPr>
        <w:spacing w:after="0" w:line="240" w:lineRule="auto"/>
        <w:rPr>
          <w:rFonts w:ascii="Verdana" w:hAnsi="Verdana"/>
        </w:rPr>
      </w:pPr>
    </w:p>
    <w:p w14:paraId="0DEC7638" w14:textId="77777777" w:rsidR="001F3644" w:rsidRDefault="001F3644" w:rsidP="001F3644">
      <w:pPr>
        <w:spacing w:after="0" w:line="240" w:lineRule="auto"/>
        <w:rPr>
          <w:rFonts w:ascii="Verdana" w:hAnsi="Verdana"/>
        </w:rPr>
      </w:pPr>
    </w:p>
    <w:p w14:paraId="437FFD03" w14:textId="77777777" w:rsidR="001F3644" w:rsidRDefault="001F3644" w:rsidP="001F3644">
      <w:pPr>
        <w:spacing w:after="0" w:line="240" w:lineRule="auto"/>
        <w:rPr>
          <w:rFonts w:ascii="Verdana" w:hAnsi="Verdana"/>
        </w:rPr>
      </w:pPr>
    </w:p>
    <w:p w14:paraId="201A3E8C" w14:textId="77777777" w:rsidR="001F3644" w:rsidRDefault="001F3644" w:rsidP="001F3644">
      <w:pPr>
        <w:spacing w:after="0" w:line="240" w:lineRule="auto"/>
        <w:rPr>
          <w:rFonts w:ascii="Verdana" w:hAnsi="Verdana"/>
        </w:rPr>
      </w:pPr>
    </w:p>
    <w:p w14:paraId="112BFE41" w14:textId="77777777" w:rsidR="001F3644" w:rsidRDefault="001F3644" w:rsidP="001F3644">
      <w:pPr>
        <w:spacing w:after="0" w:line="240" w:lineRule="auto"/>
        <w:rPr>
          <w:rFonts w:ascii="Verdana" w:hAnsi="Verdana"/>
        </w:rPr>
      </w:pPr>
      <w:r>
        <w:rPr>
          <w:rFonts w:ascii="Verdana" w:hAnsi="Verdana"/>
        </w:rPr>
        <w:t>B</w:t>
      </w:r>
      <w:r w:rsidRPr="0044528D">
        <w:rPr>
          <w:rFonts w:ascii="Verdana" w:hAnsi="Verdana"/>
        </w:rPr>
        <w:t xml:space="preserve">ogotá D.C., </w:t>
      </w:r>
      <w:r>
        <w:rPr>
          <w:rFonts w:ascii="Verdana" w:hAnsi="Verdana"/>
        </w:rPr>
        <w:t>23 de diciembre de 2025.</w:t>
      </w:r>
    </w:p>
    <w:bookmarkEnd w:id="0"/>
    <w:p w14:paraId="5FC5BA16" w14:textId="77777777" w:rsidR="001F3644" w:rsidRDefault="001F3644" w:rsidP="001F3644">
      <w:pPr>
        <w:spacing w:after="0" w:line="240" w:lineRule="auto"/>
        <w:rPr>
          <w:rFonts w:ascii="Verdana" w:hAnsi="Verdana"/>
        </w:rPr>
      </w:pPr>
    </w:p>
    <w:p w14:paraId="3F80B9DB" w14:textId="77777777" w:rsidR="001F3644" w:rsidRDefault="001F3644" w:rsidP="001F3644">
      <w:pPr>
        <w:spacing w:after="0" w:line="240" w:lineRule="auto"/>
        <w:rPr>
          <w:rFonts w:ascii="Verdana" w:hAnsi="Verdana"/>
        </w:rPr>
      </w:pPr>
    </w:p>
    <w:p w14:paraId="2B27D04B" w14:textId="590C22F1" w:rsidR="00171E22" w:rsidRDefault="00171E22" w:rsidP="00171E22">
      <w:pPr>
        <w:spacing w:after="0" w:line="240" w:lineRule="auto"/>
        <w:jc w:val="right"/>
        <w:rPr>
          <w:rFonts w:ascii="Verdana" w:hAnsi="Verdana"/>
        </w:rPr>
      </w:pPr>
      <w:r>
        <w:rPr>
          <w:rFonts w:ascii="Verdana" w:hAnsi="Verdana"/>
          <w:noProof/>
        </w:rPr>
        <w:drawing>
          <wp:inline distT="0" distB="0" distL="0" distR="0" wp14:anchorId="671727E7" wp14:editId="1EC3CFEB">
            <wp:extent cx="2619375" cy="885825"/>
            <wp:effectExtent l="0" t="0" r="9525" b="9525"/>
            <wp:docPr id="8058501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19375" cy="885825"/>
                    </a:xfrm>
                    <a:prstGeom prst="rect">
                      <a:avLst/>
                    </a:prstGeom>
                    <a:noFill/>
                    <a:ln>
                      <a:noFill/>
                    </a:ln>
                  </pic:spPr>
                </pic:pic>
              </a:graphicData>
            </a:graphic>
          </wp:inline>
        </w:drawing>
      </w:r>
    </w:p>
    <w:p w14:paraId="784CDF5E" w14:textId="77777777" w:rsidR="00171E22" w:rsidRDefault="00171E22" w:rsidP="001F3644">
      <w:pPr>
        <w:spacing w:after="0" w:line="240" w:lineRule="auto"/>
        <w:rPr>
          <w:rFonts w:ascii="Verdana" w:hAnsi="Verdana"/>
        </w:rPr>
      </w:pPr>
    </w:p>
    <w:p w14:paraId="0BE9296A" w14:textId="77777777" w:rsidR="00171E22" w:rsidRDefault="00171E22" w:rsidP="001F3644">
      <w:pPr>
        <w:spacing w:after="0" w:line="240" w:lineRule="auto"/>
        <w:rPr>
          <w:rFonts w:ascii="Verdana" w:hAnsi="Verdana"/>
        </w:rPr>
      </w:pPr>
    </w:p>
    <w:p w14:paraId="4866D48F" w14:textId="77777777" w:rsidR="001F3644" w:rsidRPr="00DA739A" w:rsidRDefault="001F3644" w:rsidP="001F3644">
      <w:pPr>
        <w:spacing w:after="0" w:line="240" w:lineRule="auto"/>
        <w:jc w:val="both"/>
        <w:rPr>
          <w:rFonts w:ascii="Verdana" w:eastAsia="Calibri" w:hAnsi="Verdana" w:cs="Arial"/>
          <w:lang w:eastAsia="es-ES"/>
        </w:rPr>
      </w:pPr>
      <w:r w:rsidRPr="00DA739A">
        <w:rPr>
          <w:rFonts w:ascii="Verdana" w:eastAsia="Calibri" w:hAnsi="Verdana" w:cs="Arial"/>
          <w:lang w:eastAsia="es-ES"/>
        </w:rPr>
        <w:t>Señor</w:t>
      </w:r>
      <w:r w:rsidRPr="00DA739A">
        <w:rPr>
          <w:rFonts w:ascii="Verdana" w:eastAsia="Calibri" w:hAnsi="Verdana" w:cs="Arial"/>
          <w:lang w:eastAsia="es-ES"/>
        </w:rPr>
        <w:tab/>
      </w:r>
    </w:p>
    <w:p w14:paraId="2BF54F29" w14:textId="77777777" w:rsidR="001F3644" w:rsidRPr="00DA739A" w:rsidRDefault="001F3644" w:rsidP="001F3644">
      <w:pPr>
        <w:spacing w:after="0" w:line="240" w:lineRule="auto"/>
        <w:rPr>
          <w:rFonts w:ascii="Verdana" w:eastAsia="Calibri" w:hAnsi="Verdana" w:cs="Arial"/>
          <w:b/>
          <w:bCs/>
          <w:sz w:val="24"/>
          <w:szCs w:val="24"/>
          <w:lang w:eastAsia="es-ES"/>
        </w:rPr>
      </w:pPr>
      <w:r w:rsidRPr="00DA739A">
        <w:rPr>
          <w:rFonts w:ascii="Verdana" w:eastAsia="Calibri" w:hAnsi="Verdana" w:cs="Arial"/>
          <w:b/>
          <w:bCs/>
          <w:sz w:val="24"/>
          <w:szCs w:val="24"/>
          <w:lang w:eastAsia="es-ES"/>
        </w:rPr>
        <w:t>JENNY RODRIGUEZ</w:t>
      </w:r>
    </w:p>
    <w:p w14:paraId="7CEAB03B" w14:textId="77777777" w:rsidR="001F3644" w:rsidRPr="00DA739A" w:rsidRDefault="001F3644" w:rsidP="001F3644">
      <w:pPr>
        <w:spacing w:after="0" w:line="240" w:lineRule="auto"/>
        <w:rPr>
          <w:rFonts w:ascii="Verdana" w:hAnsi="Verdana"/>
        </w:rPr>
      </w:pPr>
      <w:hyperlink r:id="rId11" w:history="1">
        <w:r w:rsidRPr="00DA739A">
          <w:rPr>
            <w:rStyle w:val="Hipervnculo"/>
            <w:rFonts w:ascii="Verdana" w:hAnsi="Verdana"/>
          </w:rPr>
          <w:t>sofi.rod1989@hotmail.com</w:t>
        </w:r>
      </w:hyperlink>
    </w:p>
    <w:p w14:paraId="5277CD8E" w14:textId="77777777" w:rsidR="001F3644" w:rsidRDefault="001F3644" w:rsidP="001F3644">
      <w:pPr>
        <w:spacing w:after="0" w:line="240" w:lineRule="auto"/>
        <w:rPr>
          <w:rFonts w:ascii="Verdana" w:hAnsi="Verdana"/>
        </w:rPr>
      </w:pPr>
      <w:r w:rsidRPr="00DA739A">
        <w:rPr>
          <w:rFonts w:ascii="Verdana" w:hAnsi="Verdana"/>
        </w:rPr>
        <w:t>Medellín (Antioquia)</w:t>
      </w:r>
    </w:p>
    <w:p w14:paraId="59159FD2" w14:textId="77777777" w:rsidR="001F3644" w:rsidRPr="00FE3DEC" w:rsidRDefault="001F3644" w:rsidP="001F3644">
      <w:pPr>
        <w:spacing w:after="0" w:line="240" w:lineRule="auto"/>
        <w:rPr>
          <w:rFonts w:ascii="Verdana" w:eastAsia="Calibri" w:hAnsi="Verdana" w:cs="Arial"/>
          <w:color w:val="000000"/>
          <w:lang w:val="es-ES_tradnl" w:eastAsia="es-ES_tradnl"/>
        </w:rPr>
      </w:pPr>
    </w:p>
    <w:tbl>
      <w:tblPr>
        <w:tblStyle w:val="Tablaconcuadrcula"/>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474"/>
      </w:tblGrid>
      <w:tr w:rsidR="001F3644" w:rsidRPr="00593A5F" w14:paraId="2575CF41" w14:textId="77777777" w:rsidTr="003F72F5">
        <w:trPr>
          <w:trHeight w:val="273"/>
        </w:trPr>
        <w:tc>
          <w:tcPr>
            <w:tcW w:w="2295" w:type="dxa"/>
          </w:tcPr>
          <w:p w14:paraId="2DA10FF6" w14:textId="77777777" w:rsidR="001F3644" w:rsidRPr="00E5644F" w:rsidRDefault="001F3644" w:rsidP="003F72F5">
            <w:pPr>
              <w:jc w:val="both"/>
              <w:rPr>
                <w:rFonts w:ascii="Verdana" w:eastAsia="Calibri" w:hAnsi="Verdana" w:cs="Arial"/>
                <w:b/>
                <w:bCs/>
                <w:color w:val="7030A0"/>
                <w:lang w:val="es-ES_tradnl" w:eastAsia="es-ES_tradnl"/>
              </w:rPr>
            </w:pPr>
          </w:p>
        </w:tc>
        <w:tc>
          <w:tcPr>
            <w:tcW w:w="6636" w:type="dxa"/>
            <w:gridSpan w:val="2"/>
          </w:tcPr>
          <w:p w14:paraId="16EE0D96" w14:textId="77777777" w:rsidR="001F3644" w:rsidRDefault="001F3644" w:rsidP="003F72F5">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1678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458BF654" w14:textId="77777777" w:rsidR="001F3644" w:rsidRPr="00E5644F" w:rsidRDefault="001F3644" w:rsidP="003F72F5">
            <w:pPr>
              <w:jc w:val="both"/>
              <w:rPr>
                <w:rFonts w:ascii="Verdana" w:eastAsia="Calibri" w:hAnsi="Verdana" w:cs="Arial"/>
                <w:b/>
                <w:bCs/>
                <w:color w:val="7030A0"/>
                <w:lang w:val="es-ES" w:eastAsia="es-ES"/>
              </w:rPr>
            </w:pPr>
          </w:p>
        </w:tc>
      </w:tr>
      <w:tr w:rsidR="001F3644" w:rsidRPr="00280D79" w14:paraId="1B461DD0" w14:textId="77777777" w:rsidTr="003F72F5">
        <w:trPr>
          <w:trHeight w:val="1583"/>
        </w:trPr>
        <w:tc>
          <w:tcPr>
            <w:tcW w:w="2295" w:type="dxa"/>
          </w:tcPr>
          <w:p w14:paraId="339CC92E" w14:textId="77777777" w:rsidR="001F3644" w:rsidRPr="00593A5F" w:rsidRDefault="001F3644" w:rsidP="003F72F5">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636" w:type="dxa"/>
            <w:gridSpan w:val="2"/>
          </w:tcPr>
          <w:p w14:paraId="20DEB803" w14:textId="77777777" w:rsidR="001F3644" w:rsidRPr="00280D79" w:rsidRDefault="001F3644" w:rsidP="003F72F5">
            <w:pPr>
              <w:jc w:val="both"/>
              <w:rPr>
                <w:rFonts w:ascii="Verdana" w:eastAsia="Calibri" w:hAnsi="Verdana" w:cs="Arial"/>
                <w:b/>
                <w:highlight w:val="yellow"/>
                <w:lang w:val="es-ES" w:eastAsia="es-ES"/>
              </w:rPr>
            </w:pPr>
            <w:r w:rsidRPr="003F7B98">
              <w:rPr>
                <w:rFonts w:ascii="Verdana" w:eastAsia="Times New Roman" w:hAnsi="Verdana" w:cs="Arial"/>
                <w:lang w:eastAsia="es-ES_tradnl"/>
              </w:rPr>
              <w:t>LEY DE GARANTÍAS ELECTORALES ─ Prohibición ‒ Contratación directa ‒ Alcance / LEY DE GARANTÍAS ELECTORALES ─ Prohibición ‒ Contratación directa ‒ Excepciones / LEY DE GARANTÍAS ELECTORALES ─ Prohibición ‒ Contratación directa ‒ Convenios</w:t>
            </w:r>
            <w:r>
              <w:rPr>
                <w:rFonts w:ascii="Verdana" w:eastAsia="Times New Roman" w:hAnsi="Verdana" w:cs="Arial"/>
                <w:lang w:eastAsia="es-ES_tradnl"/>
              </w:rPr>
              <w:t xml:space="preserve"> solidarios</w:t>
            </w:r>
          </w:p>
        </w:tc>
      </w:tr>
      <w:tr w:rsidR="001F3644" w:rsidRPr="00593A5F" w14:paraId="0A3E2124" w14:textId="77777777" w:rsidTr="003F72F5">
        <w:trPr>
          <w:trHeight w:val="545"/>
        </w:trPr>
        <w:tc>
          <w:tcPr>
            <w:tcW w:w="2295" w:type="dxa"/>
          </w:tcPr>
          <w:p w14:paraId="6BF27C6B" w14:textId="77777777" w:rsidR="001F3644" w:rsidRPr="006730E9" w:rsidRDefault="001F3644" w:rsidP="003F72F5">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636" w:type="dxa"/>
            <w:gridSpan w:val="2"/>
          </w:tcPr>
          <w:p w14:paraId="509BF621" w14:textId="77777777" w:rsidR="001F3644" w:rsidRPr="006730E9" w:rsidRDefault="001F3644" w:rsidP="003F72F5">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DA739A">
              <w:rPr>
                <w:rFonts w:ascii="Verdana" w:eastAsia="Calibri" w:hAnsi="Verdana" w:cs="Arial"/>
                <w:lang w:val="es-ES_tradnl" w:eastAsia="es-ES_tradnl"/>
              </w:rPr>
              <w:t>1_2025_11_12_012782</w:t>
            </w:r>
            <w:r>
              <w:rPr>
                <w:rFonts w:ascii="Verdana" w:eastAsia="Calibri" w:hAnsi="Verdana" w:cs="Arial"/>
                <w:lang w:val="es-ES_tradnl" w:eastAsia="es-ES_tradnl"/>
              </w:rPr>
              <w:t>.</w:t>
            </w:r>
          </w:p>
        </w:tc>
      </w:tr>
      <w:tr w:rsidR="001F3644" w:rsidRPr="00DB23D2" w14:paraId="26C8ED03" w14:textId="77777777" w:rsidTr="003F72F5">
        <w:trPr>
          <w:gridAfter w:val="1"/>
          <w:wAfter w:w="474" w:type="dxa"/>
          <w:trHeight w:val="242"/>
        </w:trPr>
        <w:tc>
          <w:tcPr>
            <w:tcW w:w="8457" w:type="dxa"/>
            <w:gridSpan w:val="2"/>
          </w:tcPr>
          <w:p w14:paraId="0C8A0AB1" w14:textId="77777777" w:rsidR="001F3644" w:rsidRPr="00DB23D2" w:rsidRDefault="001F3644" w:rsidP="003F72F5">
            <w:pPr>
              <w:spacing w:line="276" w:lineRule="auto"/>
              <w:jc w:val="both"/>
              <w:rPr>
                <w:rFonts w:ascii="Verdana" w:eastAsia="Calibri" w:hAnsi="Verdana" w:cs="Arial"/>
                <w:lang w:val="es-ES_tradnl" w:eastAsia="es-ES"/>
              </w:rPr>
            </w:pPr>
          </w:p>
        </w:tc>
      </w:tr>
    </w:tbl>
    <w:p w14:paraId="05395539" w14:textId="77777777" w:rsidR="001F3644" w:rsidRPr="006730E9" w:rsidRDefault="001F3644" w:rsidP="001F3644">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a </w:t>
      </w:r>
      <w:r w:rsidRPr="006730E9">
        <w:rPr>
          <w:rFonts w:ascii="Verdana" w:eastAsia="Calibri" w:hAnsi="Verdana" w:cs="Arial"/>
          <w:lang w:val="es-ES" w:eastAsia="es-ES"/>
        </w:rPr>
        <w:t>señor</w:t>
      </w:r>
      <w:r>
        <w:rPr>
          <w:rFonts w:ascii="Verdana" w:eastAsia="Calibri" w:hAnsi="Verdana" w:cs="Arial"/>
          <w:lang w:val="es-ES" w:eastAsia="es-ES"/>
        </w:rPr>
        <w:t xml:space="preserve">a </w:t>
      </w:r>
      <w:r w:rsidRPr="00DA739A">
        <w:rPr>
          <w:rFonts w:ascii="Verdana" w:eastAsia="Calibri" w:hAnsi="Verdana" w:cs="Arial"/>
          <w:lang w:val="es-ES" w:eastAsia="es-ES"/>
        </w:rPr>
        <w:t>Rodr</w:t>
      </w:r>
      <w:r>
        <w:rPr>
          <w:rFonts w:ascii="Verdana" w:eastAsia="Calibri" w:hAnsi="Verdana" w:cs="Arial"/>
          <w:lang w:val="es-ES" w:eastAsia="es-ES"/>
        </w:rPr>
        <w:t>í</w:t>
      </w:r>
      <w:r w:rsidRPr="00DA739A">
        <w:rPr>
          <w:rFonts w:ascii="Verdana" w:eastAsia="Calibri" w:hAnsi="Verdana" w:cs="Arial"/>
          <w:lang w:val="es-ES" w:eastAsia="es-ES"/>
        </w:rPr>
        <w:t>guez</w:t>
      </w:r>
      <w:r>
        <w:rPr>
          <w:rFonts w:ascii="Verdana" w:eastAsia="Calibri" w:hAnsi="Verdana" w:cs="Arial"/>
          <w:lang w:val="es-ES" w:eastAsia="es-ES"/>
        </w:rPr>
        <w:t>;</w:t>
      </w:r>
    </w:p>
    <w:p w14:paraId="038729FA" w14:textId="77777777" w:rsidR="001F3644" w:rsidRDefault="001F3644" w:rsidP="001F3644">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b/>
      </w:r>
    </w:p>
    <w:p w14:paraId="73620D1F" w14:textId="77777777" w:rsidR="001F3644" w:rsidRPr="006730E9" w:rsidRDefault="001F3644" w:rsidP="001F3644">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trasladada por competencia por el Departamento Administrativo de la Función Pública y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 xml:space="preserve">06 </w:t>
      </w:r>
      <w:r w:rsidRPr="00656A22">
        <w:rPr>
          <w:rFonts w:ascii="Verdana" w:eastAsia="Calibri" w:hAnsi="Verdana" w:cs="Arial"/>
          <w:lang w:val="es-ES" w:eastAsia="es-ES"/>
        </w:rPr>
        <w:t xml:space="preserve">de </w:t>
      </w:r>
      <w:r>
        <w:rPr>
          <w:rFonts w:ascii="Verdana" w:eastAsia="Calibri" w:hAnsi="Verdana" w:cs="Arial"/>
          <w:lang w:val="es-ES" w:eastAsia="es-ES"/>
        </w:rPr>
        <w:t>noviembre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139E4C09" w14:textId="77777777" w:rsidR="001F3644" w:rsidRPr="00326382" w:rsidRDefault="001F3644" w:rsidP="001F3644">
      <w:pPr>
        <w:spacing w:after="0" w:line="276" w:lineRule="auto"/>
        <w:ind w:left="709" w:right="474"/>
        <w:jc w:val="both"/>
        <w:rPr>
          <w:rFonts w:ascii="Verdana" w:hAnsi="Verdana" w:cs="Arial"/>
          <w:sz w:val="20"/>
          <w:szCs w:val="20"/>
          <w:shd w:val="clear" w:color="auto" w:fill="FFFFFF"/>
        </w:rPr>
      </w:pPr>
      <w:bookmarkStart w:id="2" w:name="_Hlk95313578"/>
    </w:p>
    <w:bookmarkEnd w:id="2"/>
    <w:p w14:paraId="3AD7ACCB" w14:textId="77777777" w:rsidR="001F3644" w:rsidRDefault="001F3644" w:rsidP="001F3644">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7F0CB212" w14:textId="77777777" w:rsidR="001F3644" w:rsidRDefault="001F3644" w:rsidP="001F3644">
      <w:pPr>
        <w:tabs>
          <w:tab w:val="left" w:pos="142"/>
          <w:tab w:val="left" w:pos="567"/>
        </w:tabs>
        <w:spacing w:after="0" w:line="240" w:lineRule="auto"/>
        <w:ind w:right="709"/>
        <w:jc w:val="both"/>
        <w:rPr>
          <w:rFonts w:ascii="Verdana" w:eastAsia="Century Gothic" w:hAnsi="Verdana" w:cs="Century Gothic"/>
          <w:i/>
          <w:iCs/>
          <w:sz w:val="20"/>
          <w:szCs w:val="20"/>
        </w:rPr>
      </w:pPr>
    </w:p>
    <w:p w14:paraId="251863F0" w14:textId="77777777" w:rsidR="001F3644" w:rsidRDefault="001F3644" w:rsidP="001F3644">
      <w:pPr>
        <w:tabs>
          <w:tab w:val="left" w:pos="142"/>
          <w:tab w:val="left" w:pos="567"/>
        </w:tabs>
        <w:spacing w:after="0" w:line="240" w:lineRule="auto"/>
        <w:ind w:left="709" w:right="709"/>
        <w:jc w:val="both"/>
        <w:rPr>
          <w:rFonts w:ascii="Verdana" w:eastAsia="Century Gothic" w:hAnsi="Verdana" w:cs="Century Gothic"/>
          <w:i/>
          <w:iCs/>
          <w:sz w:val="20"/>
          <w:szCs w:val="20"/>
        </w:rPr>
      </w:pPr>
      <w:r w:rsidRPr="00DA739A">
        <w:rPr>
          <w:rFonts w:ascii="Verdana" w:eastAsia="Century Gothic" w:hAnsi="Verdana" w:cs="Century Gothic"/>
          <w:i/>
          <w:iCs/>
          <w:sz w:val="20"/>
          <w:szCs w:val="20"/>
        </w:rPr>
        <w:t>De manera atenta me permito solicitar su orientación jurídica sobre si los convenios</w:t>
      </w:r>
      <w:r>
        <w:rPr>
          <w:rFonts w:ascii="Verdana" w:eastAsia="Century Gothic" w:hAnsi="Verdana" w:cs="Century Gothic"/>
          <w:i/>
          <w:iCs/>
          <w:sz w:val="20"/>
          <w:szCs w:val="20"/>
        </w:rPr>
        <w:t xml:space="preserve"> </w:t>
      </w:r>
      <w:r w:rsidRPr="00DA739A">
        <w:rPr>
          <w:rFonts w:ascii="Verdana" w:eastAsia="Century Gothic" w:hAnsi="Verdana" w:cs="Century Gothic"/>
          <w:i/>
          <w:iCs/>
          <w:sz w:val="20"/>
          <w:szCs w:val="20"/>
        </w:rPr>
        <w:t>solidarios celebrados en el marco de lo dispuesto por el parágrafo 3° del artículo 3°</w:t>
      </w:r>
      <w:r>
        <w:rPr>
          <w:rFonts w:ascii="Verdana" w:eastAsia="Century Gothic" w:hAnsi="Verdana" w:cs="Century Gothic"/>
          <w:i/>
          <w:iCs/>
          <w:sz w:val="20"/>
          <w:szCs w:val="20"/>
        </w:rPr>
        <w:t xml:space="preserve"> </w:t>
      </w:r>
      <w:r w:rsidRPr="00DA739A">
        <w:rPr>
          <w:rFonts w:ascii="Verdana" w:eastAsia="Century Gothic" w:hAnsi="Verdana" w:cs="Century Gothic"/>
          <w:i/>
          <w:iCs/>
          <w:sz w:val="20"/>
          <w:szCs w:val="20"/>
        </w:rPr>
        <w:t>de la Ley 136 de 1994, se encuentran sujetos a las restricciones establecidas en la</w:t>
      </w:r>
      <w:r>
        <w:rPr>
          <w:rFonts w:ascii="Verdana" w:eastAsia="Century Gothic" w:hAnsi="Verdana" w:cs="Century Gothic"/>
          <w:i/>
          <w:iCs/>
          <w:sz w:val="20"/>
          <w:szCs w:val="20"/>
        </w:rPr>
        <w:t xml:space="preserve"> </w:t>
      </w:r>
      <w:r w:rsidRPr="00DA739A">
        <w:rPr>
          <w:rFonts w:ascii="Verdana" w:eastAsia="Century Gothic" w:hAnsi="Verdana" w:cs="Century Gothic"/>
          <w:i/>
          <w:iCs/>
          <w:sz w:val="20"/>
          <w:szCs w:val="20"/>
        </w:rPr>
        <w:t>Ley 996 de 2005 (Ley de Garantías Electorales), particularmente en lo relacionado</w:t>
      </w:r>
      <w:r>
        <w:rPr>
          <w:rFonts w:ascii="Verdana" w:eastAsia="Century Gothic" w:hAnsi="Verdana" w:cs="Century Gothic"/>
          <w:i/>
          <w:iCs/>
          <w:sz w:val="20"/>
          <w:szCs w:val="20"/>
        </w:rPr>
        <w:t xml:space="preserve"> </w:t>
      </w:r>
      <w:r w:rsidRPr="00DA739A">
        <w:rPr>
          <w:rFonts w:ascii="Verdana" w:eastAsia="Century Gothic" w:hAnsi="Verdana" w:cs="Century Gothic"/>
          <w:i/>
          <w:iCs/>
          <w:sz w:val="20"/>
          <w:szCs w:val="20"/>
        </w:rPr>
        <w:t>con la prohibición de celebrar convenios durante los cuatro (4) meses anteriores a</w:t>
      </w:r>
      <w:r>
        <w:rPr>
          <w:rFonts w:ascii="Verdana" w:eastAsia="Century Gothic" w:hAnsi="Verdana" w:cs="Century Gothic"/>
          <w:i/>
          <w:iCs/>
          <w:sz w:val="20"/>
          <w:szCs w:val="20"/>
        </w:rPr>
        <w:t xml:space="preserve"> </w:t>
      </w:r>
      <w:r w:rsidRPr="00DA739A">
        <w:rPr>
          <w:rFonts w:ascii="Verdana" w:eastAsia="Century Gothic" w:hAnsi="Verdana" w:cs="Century Gothic"/>
          <w:i/>
          <w:iCs/>
          <w:sz w:val="20"/>
          <w:szCs w:val="20"/>
        </w:rPr>
        <w:t>las elecciones.</w:t>
      </w:r>
    </w:p>
    <w:p w14:paraId="33BEAA5B" w14:textId="77777777" w:rsidR="001F3644" w:rsidRDefault="001F3644" w:rsidP="001F3644">
      <w:pPr>
        <w:tabs>
          <w:tab w:val="left" w:pos="142"/>
          <w:tab w:val="left" w:pos="567"/>
        </w:tabs>
        <w:spacing w:after="0" w:line="240" w:lineRule="auto"/>
        <w:ind w:left="709" w:right="709"/>
        <w:jc w:val="both"/>
        <w:rPr>
          <w:rFonts w:ascii="Verdana" w:eastAsia="Century Gothic" w:hAnsi="Verdana" w:cs="Century Gothic"/>
          <w:i/>
          <w:iCs/>
          <w:sz w:val="20"/>
          <w:szCs w:val="20"/>
        </w:rPr>
      </w:pPr>
    </w:p>
    <w:p w14:paraId="349A396E" w14:textId="77777777" w:rsidR="001F3644" w:rsidRPr="00D36635" w:rsidRDefault="001F3644" w:rsidP="001F3644">
      <w:pPr>
        <w:tabs>
          <w:tab w:val="left" w:pos="142"/>
          <w:tab w:val="left" w:pos="567"/>
        </w:tabs>
        <w:spacing w:after="0" w:line="240" w:lineRule="auto"/>
        <w:ind w:left="709" w:right="709"/>
        <w:jc w:val="both"/>
        <w:rPr>
          <w:rFonts w:ascii="Verdana" w:eastAsia="Century Gothic" w:hAnsi="Verdana" w:cs="Century Gothic"/>
          <w:i/>
          <w:iCs/>
          <w:sz w:val="20"/>
          <w:szCs w:val="20"/>
        </w:rPr>
      </w:pPr>
      <w:r w:rsidRPr="00DA739A">
        <w:rPr>
          <w:rFonts w:ascii="Verdana" w:eastAsia="Century Gothic" w:hAnsi="Verdana" w:cs="Century Gothic"/>
          <w:i/>
          <w:iCs/>
          <w:sz w:val="20"/>
          <w:szCs w:val="20"/>
        </w:rPr>
        <w:t>Agradezco la atención prestada y la orientación que puedan brindar sobre el</w:t>
      </w:r>
      <w:r>
        <w:rPr>
          <w:rFonts w:ascii="Verdana" w:eastAsia="Century Gothic" w:hAnsi="Verdana" w:cs="Century Gothic"/>
          <w:i/>
          <w:iCs/>
          <w:sz w:val="20"/>
          <w:szCs w:val="20"/>
        </w:rPr>
        <w:t xml:space="preserve"> </w:t>
      </w:r>
      <w:r w:rsidRPr="00DA739A">
        <w:rPr>
          <w:rFonts w:ascii="Verdana" w:eastAsia="Century Gothic" w:hAnsi="Verdana" w:cs="Century Gothic"/>
          <w:i/>
          <w:iCs/>
          <w:sz w:val="20"/>
          <w:szCs w:val="20"/>
        </w:rPr>
        <w:t>particular, en aras de actuar conforme a los principios de legalidad, transparencia y</w:t>
      </w:r>
      <w:r>
        <w:rPr>
          <w:rFonts w:ascii="Verdana" w:eastAsia="Century Gothic" w:hAnsi="Verdana" w:cs="Century Gothic"/>
          <w:i/>
          <w:iCs/>
          <w:sz w:val="20"/>
          <w:szCs w:val="20"/>
        </w:rPr>
        <w:t xml:space="preserve"> </w:t>
      </w:r>
      <w:r w:rsidRPr="00DA739A">
        <w:rPr>
          <w:rFonts w:ascii="Verdana" w:eastAsia="Century Gothic" w:hAnsi="Verdana" w:cs="Century Gothic"/>
          <w:i/>
          <w:iCs/>
          <w:sz w:val="20"/>
          <w:szCs w:val="20"/>
        </w:rPr>
        <w:t>responsabilidad administrativa.:</w:t>
      </w:r>
    </w:p>
    <w:p w14:paraId="1B99F8AB" w14:textId="77777777" w:rsidR="001F3644" w:rsidRPr="00EA70F7" w:rsidRDefault="001F3644" w:rsidP="001F3644">
      <w:pPr>
        <w:tabs>
          <w:tab w:val="left" w:pos="142"/>
          <w:tab w:val="left" w:pos="567"/>
        </w:tabs>
        <w:spacing w:after="0" w:line="240" w:lineRule="auto"/>
        <w:ind w:left="709" w:right="709"/>
        <w:jc w:val="both"/>
        <w:rPr>
          <w:rFonts w:ascii="Verdana" w:eastAsia="Century Gothic" w:hAnsi="Verdana" w:cs="Century Gothic"/>
          <w:i/>
          <w:iCs/>
          <w:sz w:val="20"/>
          <w:szCs w:val="20"/>
        </w:rPr>
      </w:pPr>
      <w:r w:rsidRPr="00D36635">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7CE58B70" w14:textId="77777777" w:rsidR="001F3644" w:rsidRDefault="001F3644" w:rsidP="001F3644">
      <w:pPr>
        <w:spacing w:after="0" w:line="276" w:lineRule="auto"/>
        <w:ind w:firstLine="709"/>
        <w:jc w:val="both"/>
        <w:rPr>
          <w:rFonts w:ascii="Verdana" w:eastAsia="Calibri" w:hAnsi="Verdana" w:cs="Arial"/>
          <w:lang w:val="es-ES" w:eastAsia="es-ES"/>
        </w:rPr>
      </w:pPr>
    </w:p>
    <w:p w14:paraId="0D23474B" w14:textId="77777777" w:rsidR="001F3644" w:rsidRPr="00AA3B9F" w:rsidRDefault="001F3644" w:rsidP="001F3644">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1D72C89D" w14:textId="77777777" w:rsidR="001F3644" w:rsidRDefault="001F3644" w:rsidP="001F3644">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5786E3A2" w14:textId="77777777" w:rsidR="001F3644" w:rsidRDefault="001F3644" w:rsidP="001F3644">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6CD7AB52" w14:textId="77777777" w:rsidR="001F3644" w:rsidRDefault="001F3644" w:rsidP="001F364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28D45117" w14:textId="77777777" w:rsidR="001F3644" w:rsidRDefault="001F3644" w:rsidP="001F3644">
      <w:pPr>
        <w:pStyle w:val="Prrafodelista"/>
        <w:tabs>
          <w:tab w:val="left" w:pos="142"/>
          <w:tab w:val="left" w:pos="284"/>
        </w:tabs>
        <w:spacing w:after="0" w:line="276" w:lineRule="auto"/>
        <w:ind w:left="0"/>
        <w:jc w:val="both"/>
        <w:rPr>
          <w:rFonts w:ascii="Verdana" w:eastAsia="Century Gothic" w:hAnsi="Verdana" w:cs="Century Gothic"/>
          <w:b/>
          <w:bCs/>
        </w:rPr>
      </w:pPr>
    </w:p>
    <w:p w14:paraId="7437B333" w14:textId="77777777" w:rsidR="001F3644" w:rsidRDefault="001F3644" w:rsidP="001F3644">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el </w:t>
      </w:r>
      <w:r w:rsidRPr="00E21BD1">
        <w:rPr>
          <w:rFonts w:ascii="Verdana" w:eastAsia="Calibri" w:hAnsi="Verdana" w:cs="Arial"/>
          <w:lang w:eastAsia="es-ES"/>
        </w:rPr>
        <w:t>siguiente problema</w:t>
      </w:r>
      <w:r>
        <w:rPr>
          <w:rFonts w:ascii="Verdana" w:eastAsia="Calibri" w:hAnsi="Verdana" w:cs="Arial"/>
          <w:lang w:eastAsia="es-ES"/>
        </w:rPr>
        <w:t xml:space="preserve"> jurídicos</w:t>
      </w:r>
      <w:r w:rsidRPr="00E21BD1">
        <w:rPr>
          <w:rFonts w:ascii="Verdana" w:eastAsia="Calibri" w:hAnsi="Verdana" w:cs="Arial"/>
          <w:lang w:eastAsia="es-ES"/>
        </w:rPr>
        <w:t>:</w:t>
      </w:r>
      <w:bookmarkStart w:id="3" w:name="_Hlk196737317"/>
      <w:r>
        <w:rPr>
          <w:rFonts w:ascii="Verdana" w:eastAsia="Calibri" w:hAnsi="Verdana" w:cs="Arial"/>
          <w:lang w:eastAsia="es-ES"/>
        </w:rPr>
        <w:t xml:space="preserve"> </w:t>
      </w:r>
      <w:r w:rsidRPr="00CC5C68">
        <w:rPr>
          <w:rFonts w:ascii="Verdana" w:eastAsia="Century Gothic" w:hAnsi="Verdana" w:cs="Century Gothic"/>
        </w:rPr>
        <w:t>¿</w:t>
      </w:r>
      <w:r w:rsidRPr="007324AA">
        <w:t xml:space="preserve"> </w:t>
      </w:r>
      <w:r w:rsidRPr="007324AA">
        <w:rPr>
          <w:rFonts w:ascii="Verdana" w:eastAsia="Century Gothic" w:hAnsi="Verdana" w:cs="Century Gothic"/>
        </w:rPr>
        <w:t>las restricciones establecidas en la Ley 996 de 2005 (Ley de Garantías Electorales)</w:t>
      </w:r>
      <w:r>
        <w:rPr>
          <w:rFonts w:ascii="Verdana" w:eastAsia="Century Gothic" w:hAnsi="Verdana" w:cs="Century Gothic"/>
        </w:rPr>
        <w:t xml:space="preserve"> aplica a los </w:t>
      </w:r>
      <w:r w:rsidRPr="00BA2DB8">
        <w:rPr>
          <w:rFonts w:ascii="Verdana" w:eastAsia="Century Gothic" w:hAnsi="Verdana" w:cs="Century Gothic"/>
        </w:rPr>
        <w:t xml:space="preserve">convenios </w:t>
      </w:r>
      <w:r>
        <w:rPr>
          <w:rFonts w:ascii="Verdana" w:eastAsia="Century Gothic" w:hAnsi="Verdana" w:cs="Century Gothic"/>
        </w:rPr>
        <w:t xml:space="preserve">solidarios </w:t>
      </w:r>
      <w:r w:rsidRPr="000B4FCC">
        <w:rPr>
          <w:rFonts w:ascii="Verdana" w:eastAsia="Calibri" w:hAnsi="Verdana" w:cs="Arial"/>
          <w:lang w:eastAsia="es-ES"/>
        </w:rPr>
        <w:t>?</w:t>
      </w:r>
      <w:r>
        <w:rPr>
          <w:rFonts w:ascii="Verdana" w:eastAsia="Calibri" w:hAnsi="Verdana" w:cs="Arial"/>
          <w:lang w:eastAsia="es-ES"/>
        </w:rPr>
        <w:t xml:space="preserve"> </w:t>
      </w:r>
      <w:r w:rsidRPr="008303DD">
        <w:rPr>
          <w:rFonts w:ascii="Verdana" w:eastAsia="Calibri" w:hAnsi="Verdana" w:cs="Arial"/>
          <w:lang w:eastAsia="es-ES"/>
        </w:rPr>
        <w:t xml:space="preserve"> </w:t>
      </w:r>
    </w:p>
    <w:p w14:paraId="17E28F2F" w14:textId="77777777" w:rsidR="001F3644" w:rsidRDefault="001F3644" w:rsidP="001F3644">
      <w:pPr>
        <w:spacing w:after="0" w:line="276" w:lineRule="auto"/>
        <w:jc w:val="both"/>
        <w:rPr>
          <w:rFonts w:ascii="Verdana" w:eastAsia="Calibri" w:hAnsi="Verdana" w:cs="Arial"/>
          <w:lang w:eastAsia="es-ES"/>
        </w:rPr>
      </w:pPr>
    </w:p>
    <w:bookmarkEnd w:id="3"/>
    <w:p w14:paraId="699BC807" w14:textId="77777777" w:rsidR="001F3644" w:rsidRDefault="001F3644" w:rsidP="001F36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8559919" w14:textId="77777777" w:rsidR="001F3644" w:rsidRPr="00593A5F" w:rsidRDefault="001F3644" w:rsidP="001F3644">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F3644" w:rsidRPr="00593A5F" w14:paraId="6C8AFD8D" w14:textId="77777777" w:rsidTr="003F72F5">
        <w:tc>
          <w:tcPr>
            <w:tcW w:w="8828" w:type="dxa"/>
          </w:tcPr>
          <w:p w14:paraId="26DF24C8" w14:textId="77777777" w:rsidR="001F3644" w:rsidRDefault="001F3644" w:rsidP="003F72F5">
            <w:pPr>
              <w:spacing w:after="120" w:line="276" w:lineRule="auto"/>
              <w:jc w:val="both"/>
              <w:rPr>
                <w:rFonts w:ascii="Verdana" w:eastAsia="Times New Roman" w:hAnsi="Verdana" w:cs="Arial"/>
                <w:lang w:eastAsia="x-none"/>
              </w:rPr>
            </w:pPr>
            <w:r>
              <w:rPr>
                <w:rFonts w:ascii="Verdana" w:eastAsia="Arial" w:hAnsi="Verdana" w:cs="Arial"/>
                <w:color w:val="000000"/>
              </w:rPr>
              <w:t xml:space="preserve">          </w:t>
            </w:r>
            <w:r>
              <w:rPr>
                <w:rFonts w:ascii="Verdana" w:hAnsi="Verdana"/>
              </w:rPr>
              <w:t>En</w:t>
            </w:r>
            <w:r w:rsidRPr="00B31C7B">
              <w:rPr>
                <w:rFonts w:ascii="Verdana" w:eastAsia="Calibri" w:hAnsi="Verdana" w:cs="Arial"/>
                <w:color w:val="000000"/>
              </w:rPr>
              <w:t xml:space="preserve"> </w:t>
            </w:r>
            <w:r>
              <w:rPr>
                <w:rFonts w:ascii="Verdana" w:eastAsia="Calibri" w:hAnsi="Verdana" w:cs="Arial"/>
                <w:color w:val="000000"/>
              </w:rPr>
              <w:t xml:space="preserve">línea con lo previsto en el concepto C-1096 del 28 de agosto de 2025 </w:t>
            </w:r>
            <w:bookmarkStart w:id="4" w:name="_Hlk78818702"/>
            <w:r>
              <w:rPr>
                <w:rFonts w:ascii="Verdana" w:eastAsia="Calibri" w:hAnsi="Verdana" w:cs="Arial"/>
                <w:color w:val="000000"/>
              </w:rPr>
              <w:t>l</w:t>
            </w:r>
            <w:r w:rsidRPr="00F02C5A">
              <w:rPr>
                <w:rFonts w:ascii="Verdana" w:eastAsia="Times New Roman" w:hAnsi="Verdana" w:cs="Arial"/>
                <w:lang w:eastAsia="x-none"/>
              </w:rPr>
              <w:t xml:space="preserve">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por lo que excluye las demás modalidades de contratación previstas en la Ley 1150 de 2007, es decir, la licitación pública, la selección abreviada y el concurso de méritos u otros previstos en normas especiales.</w:t>
            </w:r>
            <w:bookmarkEnd w:id="4"/>
          </w:p>
          <w:p w14:paraId="5992D82F" w14:textId="77777777" w:rsidR="001F3644" w:rsidRDefault="001F3644" w:rsidP="003F72F5">
            <w:pPr>
              <w:spacing w:after="120" w:line="276" w:lineRule="auto"/>
              <w:ind w:firstLine="708"/>
              <w:jc w:val="both"/>
              <w:rPr>
                <w:rFonts w:ascii="Verdana" w:eastAsia="Times New Roman" w:hAnsi="Verdana" w:cs="Arial"/>
                <w:lang w:eastAsia="x-none"/>
              </w:rPr>
            </w:pPr>
            <w:r>
              <w:rPr>
                <w:rFonts w:ascii="Verdana" w:eastAsia="Times New Roman" w:hAnsi="Verdana" w:cs="Arial"/>
                <w:lang w:eastAsia="x-none"/>
              </w:rPr>
              <w:t xml:space="preserve"> </w:t>
            </w:r>
            <w:r w:rsidRPr="005F73B4">
              <w:rPr>
                <w:rFonts w:ascii="Verdana" w:hAnsi="Verdana" w:cs="Arial"/>
                <w:lang w:val="es-ES"/>
              </w:rPr>
              <w:t xml:space="preserve">Ahora bien, con relación a la celebración de </w:t>
            </w:r>
            <w:r w:rsidRPr="005F73B4">
              <w:rPr>
                <w:rFonts w:ascii="Verdana" w:hAnsi="Verdana" w:cs="Arial"/>
                <w:i/>
                <w:iCs/>
                <w:lang w:val="es-ES"/>
              </w:rPr>
              <w:t>convenios</w:t>
            </w:r>
            <w:r>
              <w:rPr>
                <w:rFonts w:ascii="Verdana" w:hAnsi="Verdana" w:cs="Arial"/>
                <w:i/>
                <w:iCs/>
                <w:lang w:val="es-ES"/>
              </w:rPr>
              <w:t xml:space="preserve"> solidarios</w:t>
            </w:r>
            <w:r w:rsidRPr="005F73B4">
              <w:rPr>
                <w:rFonts w:ascii="Verdana" w:hAnsi="Verdana" w:cs="Arial"/>
                <w:lang w:val="es-ES"/>
              </w:rPr>
              <w:t xml:space="preserve"> ha de tenerse en cuenta que el </w:t>
            </w:r>
            <w:r w:rsidRPr="005F73B4">
              <w:rPr>
                <w:rFonts w:ascii="Verdana" w:hAnsi="Verdana" w:cs="Arial"/>
                <w:color w:val="000000" w:themeColor="text1"/>
                <w:lang w:val="es-ES_tradnl"/>
              </w:rPr>
              <w:t xml:space="preserve">artículo 3.16 de la Ley 136 de 1994 hace referencia a los convenios suscritos entre los municipios y distritos con los cabildos, las autoridades y organizaciones indígenas, los </w:t>
            </w:r>
            <w:r w:rsidRPr="005F73B4">
              <w:rPr>
                <w:rFonts w:ascii="Verdana" w:hAnsi="Verdana" w:cs="Arial"/>
                <w:i/>
                <w:iCs/>
                <w:color w:val="000000" w:themeColor="text1"/>
                <w:lang w:val="es-ES_tradnl"/>
              </w:rPr>
              <w:t>organismos de acción comunal</w:t>
            </w:r>
            <w:r w:rsidRPr="005F73B4">
              <w:rPr>
                <w:rFonts w:ascii="Verdana" w:hAnsi="Verdana" w:cs="Arial"/>
                <w:color w:val="000000" w:themeColor="text1"/>
                <w:lang w:val="es-ES_tradnl"/>
              </w:rPr>
              <w:t xml:space="preserve"> y demás organizaciones civiles y asociaciones residentes en el territorio. Por su parte, el artículo 95 de la Ley 2166 de 2021</w:t>
            </w:r>
            <w:r w:rsidRPr="005F73B4">
              <w:rPr>
                <w:rFonts w:ascii="Verdana" w:hAnsi="Verdana" w:cs="Arial"/>
                <w:i/>
                <w:iCs/>
                <w:lang w:val="es-ES"/>
              </w:rPr>
              <w:t xml:space="preserve"> </w:t>
            </w:r>
            <w:r w:rsidRPr="005F73B4">
              <w:rPr>
                <w:rFonts w:ascii="Verdana" w:eastAsia="Calibri" w:hAnsi="Verdana" w:cs="Arial"/>
                <w:color w:val="000000" w:themeColor="text1"/>
                <w:lang w:val="es-ES"/>
              </w:rPr>
              <w:t xml:space="preserve">señala que las Entidades del orden nacional, departamental, distrital y municipal podrán celebrar directamente convenios solidarios con organismos de acción comunal para la ejecución de obras hasta por la menor cuantía. Y finalmente, el parágrafo 2 del artículo 63 </w:t>
            </w:r>
            <w:r w:rsidRPr="005F73B4">
              <w:rPr>
                <w:rFonts w:ascii="Verdana" w:eastAsia="Calibri" w:hAnsi="Verdana" w:cs="Arial"/>
                <w:i/>
                <w:iCs/>
                <w:color w:val="000000" w:themeColor="text1"/>
                <w:lang w:val="es-ES"/>
              </w:rPr>
              <w:t>ibidem</w:t>
            </w:r>
            <w:r w:rsidRPr="005F73B4">
              <w:rPr>
                <w:rFonts w:ascii="Verdana" w:eastAsia="Calibri" w:hAnsi="Verdana" w:cs="Arial"/>
                <w:color w:val="000000" w:themeColor="text1"/>
                <w:lang w:val="es-ES"/>
              </w:rPr>
              <w:t xml:space="preserve"> permite la celebración de convenios solidarios entre entidades del orden nacional, departamental, distrital, local y municipal con los organismos de acción comunal</w:t>
            </w:r>
            <w:r w:rsidRPr="005F73B4">
              <w:rPr>
                <w:rFonts w:ascii="Verdana" w:eastAsia="Calibri" w:hAnsi="Verdana" w:cs="Arial"/>
                <w:i/>
                <w:iCs/>
                <w:color w:val="000000" w:themeColor="text1"/>
                <w:lang w:val="es-ES"/>
              </w:rPr>
              <w:t xml:space="preserve"> </w:t>
            </w:r>
            <w:r w:rsidRPr="005F73B4">
              <w:rPr>
                <w:rFonts w:ascii="Verdana" w:eastAsia="Calibri" w:hAnsi="Verdana" w:cs="Arial"/>
                <w:color w:val="000000" w:themeColor="text1"/>
                <w:lang w:val="es-ES"/>
              </w:rPr>
              <w:t>para la ejecución de proyectos incluidos en el respectivo plan nacional de desarrollo o para la ejecución de los proyectos derivados del Acuerdo Final de Paz</w:t>
            </w:r>
            <w:r w:rsidRPr="005F73B4">
              <w:rPr>
                <w:rFonts w:ascii="Verdana" w:eastAsia="Calibri" w:hAnsi="Verdana" w:cs="Arial"/>
                <w:i/>
                <w:iCs/>
                <w:color w:val="000000" w:themeColor="text1"/>
                <w:lang w:val="es-ES"/>
              </w:rPr>
              <w:t>.</w:t>
            </w:r>
            <w:r>
              <w:rPr>
                <w:rFonts w:ascii="Verdana" w:eastAsia="Times New Roman" w:hAnsi="Verdana" w:cs="Arial"/>
                <w:lang w:eastAsia="x-none"/>
              </w:rPr>
              <w:t xml:space="preserve"> Esta contratación al ser directa se encuentra cobijada por la prohibición del artículo 33 de la Ley de Garantías Electorales, ya que como se señaló en el párrafo anterior, la prohibición es amplia y aplica a toda la contratación que no implique convocatoria pública.</w:t>
            </w:r>
          </w:p>
          <w:p w14:paraId="717C6082" w14:textId="77777777" w:rsidR="001F3644" w:rsidRDefault="001F3644" w:rsidP="003F72F5">
            <w:pPr>
              <w:spacing w:after="120" w:line="276" w:lineRule="auto"/>
              <w:jc w:val="both"/>
              <w:rPr>
                <w:rFonts w:ascii="Verdana" w:eastAsia="Calibri" w:hAnsi="Verdana" w:cs="Arial"/>
              </w:rPr>
            </w:pPr>
            <w:r>
              <w:rPr>
                <w:rFonts w:ascii="Verdana" w:eastAsia="Times New Roman" w:hAnsi="Verdana" w:cs="Arial"/>
                <w:lang w:eastAsia="x-none"/>
              </w:rPr>
              <w:t xml:space="preserve">       Por su parte, sobre las fechas en que aplica la Ley de garantías, se debe tener en cuenta que el Consejo Nacional Electoral mediante Resolución No. 2581 del 5 de marzo de 2025 fijó el calendario electoral para las elecciones al Congreso de la República que serán el 8 de marzo de 2026, en esa medida, de acuerdo con el artículo 38 de la Ley 996 de 2005, </w:t>
            </w:r>
            <w:r w:rsidRPr="000C5BB0">
              <w:rPr>
                <w:rFonts w:ascii="Verdana" w:eastAsia="Calibri" w:hAnsi="Verdana" w:cs="Arial"/>
              </w:rPr>
              <w:t>la restricci</w:t>
            </w:r>
            <w:r>
              <w:rPr>
                <w:rFonts w:ascii="Verdana" w:eastAsia="Calibri" w:hAnsi="Verdana" w:cs="Arial"/>
              </w:rPr>
              <w:t>ón</w:t>
            </w:r>
            <w:r w:rsidRPr="000C5BB0">
              <w:rPr>
                <w:rFonts w:ascii="Verdana" w:eastAsia="Calibri" w:hAnsi="Verdana" w:cs="Arial"/>
              </w:rPr>
              <w:t xml:space="preserve"> inicia</w:t>
            </w:r>
            <w:r>
              <w:rPr>
                <w:rFonts w:ascii="Verdana" w:eastAsia="Calibri" w:hAnsi="Verdana" w:cs="Arial"/>
              </w:rPr>
              <w:t>ría</w:t>
            </w:r>
            <w:r w:rsidRPr="000C5BB0">
              <w:rPr>
                <w:rFonts w:ascii="Verdana" w:eastAsia="Calibri" w:hAnsi="Verdana" w:cs="Arial"/>
              </w:rPr>
              <w:t xml:space="preserve"> el 8 de noviembre de 2025, es decir, 4 meses antes de la fecha de las elecciones</w:t>
            </w:r>
            <w:r>
              <w:rPr>
                <w:rFonts w:ascii="Verdana" w:eastAsia="Calibri" w:hAnsi="Verdana" w:cs="Arial"/>
              </w:rPr>
              <w:t xml:space="preserve">, y las restricciones que se aplican son </w:t>
            </w:r>
            <w:r w:rsidRPr="00461891">
              <w:rPr>
                <w:rFonts w:ascii="Verdana" w:eastAsia="Calibri" w:hAnsi="Verdana" w:cs="Arial"/>
              </w:rPr>
              <w:t>que prohíbe a los gobernadores, alcaldes municipales o distritales, secretarios, gerentes y directores de entidades descentralizadas del orden municipal, departamental o distrital</w:t>
            </w:r>
            <w:r>
              <w:rPr>
                <w:rFonts w:ascii="Verdana" w:eastAsia="Calibri" w:hAnsi="Verdana" w:cs="Arial"/>
              </w:rPr>
              <w:t xml:space="preserve"> </w:t>
            </w:r>
            <w:r w:rsidRPr="00461891">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0C5BB0">
              <w:rPr>
                <w:rFonts w:ascii="Verdana" w:eastAsia="Calibri" w:hAnsi="Verdana" w:cs="Arial"/>
              </w:rPr>
              <w:t>.</w:t>
            </w:r>
          </w:p>
          <w:p w14:paraId="4B8F4879" w14:textId="77777777" w:rsidR="001F3644" w:rsidRDefault="001F3644" w:rsidP="003F72F5">
            <w:pPr>
              <w:tabs>
                <w:tab w:val="left" w:pos="284"/>
              </w:tabs>
              <w:spacing w:after="160" w:line="259" w:lineRule="auto"/>
              <w:jc w:val="both"/>
              <w:rPr>
                <w:rFonts w:ascii="Verdana" w:eastAsia="Calibri" w:hAnsi="Verdana" w:cs="Arial"/>
                <w:lang w:val="es-ES"/>
              </w:rPr>
            </w:pPr>
            <w:r>
              <w:rPr>
                <w:rFonts w:ascii="Verdana" w:eastAsia="Calibri" w:hAnsi="Verdana" w:cs="Arial"/>
              </w:rPr>
              <w:t xml:space="preserve">          P</w:t>
            </w:r>
            <w:r w:rsidRPr="000C5BB0">
              <w:rPr>
                <w:rFonts w:ascii="Verdana" w:eastAsia="Calibri" w:hAnsi="Verdana" w:cs="Arial"/>
              </w:rPr>
              <w:t>ara las elecciones presidenciales,</w:t>
            </w:r>
            <w:r>
              <w:rPr>
                <w:rFonts w:ascii="Verdana" w:eastAsia="Calibri" w:hAnsi="Verdana" w:cs="Arial"/>
              </w:rPr>
              <w:t xml:space="preserve"> </w:t>
            </w:r>
            <w:r>
              <w:rPr>
                <w:rFonts w:ascii="Verdana" w:eastAsia="Times New Roman" w:hAnsi="Verdana" w:cs="Arial"/>
                <w:lang w:eastAsia="x-none"/>
              </w:rPr>
              <w:t>el Consejo Nacional Electoral mediante Resolución No. 2580 del 5 de marzo de 2025 fijó el calendario electoral para las elecciones</w:t>
            </w:r>
            <w:r w:rsidRPr="000C5BB0">
              <w:rPr>
                <w:rFonts w:ascii="Verdana" w:eastAsia="Calibri" w:hAnsi="Verdana" w:cs="Arial"/>
              </w:rPr>
              <w:t xml:space="preserve"> </w:t>
            </w:r>
            <w:r>
              <w:rPr>
                <w:rFonts w:ascii="Verdana" w:eastAsia="Calibri" w:hAnsi="Verdana" w:cs="Arial"/>
              </w:rPr>
              <w:t>de Presidente y Vicepresidente de la República en primera vuelta que se celebrarán el 31 de mayo de 2026, por lo que las restricciones a aplicar son las del artículo 33 de la Ley 996 de 2005 que dispone que dentro de los 4 meses anteriores a la elección presidencial, es decir desde el 31 de enero de 2026 y hasta el momento de la celebración de la segunda vuelta, si fuere el caso, q</w:t>
            </w:r>
            <w:r w:rsidRPr="008772F9">
              <w:rPr>
                <w:rFonts w:ascii="Verdana" w:eastAsia="Calibri" w:hAnsi="Verdana" w:cs="Arial"/>
              </w:rPr>
              <w:t>ueda prohibida la contratación directa por parte de todos los entes del Estado</w:t>
            </w:r>
            <w:r>
              <w:rPr>
                <w:rFonts w:ascii="Verdana" w:eastAsia="Calibri" w:hAnsi="Verdana" w:cs="Arial"/>
              </w:rPr>
              <w:t>, dentro de lo cual se incluyen los convenios solidarios</w:t>
            </w:r>
            <w:r w:rsidRPr="008772F9">
              <w:rPr>
                <w:rFonts w:ascii="Verdana" w:eastAsia="Calibri" w:hAnsi="Verdana" w:cs="Arial"/>
              </w:rPr>
              <w:t>.</w:t>
            </w:r>
            <w:r>
              <w:rPr>
                <w:rFonts w:ascii="Verdana" w:eastAsia="Calibri" w:hAnsi="Verdana" w:cs="Arial"/>
                <w:color w:val="000000"/>
              </w:rPr>
              <w:t xml:space="preserve"> </w:t>
            </w:r>
          </w:p>
          <w:p w14:paraId="52DC1D80" w14:textId="77777777" w:rsidR="001F3644" w:rsidRPr="00DB4737" w:rsidRDefault="001F3644" w:rsidP="003F72F5">
            <w:pPr>
              <w:spacing w:line="276" w:lineRule="auto"/>
              <w:contextualSpacing/>
              <w:jc w:val="both"/>
              <w:rPr>
                <w:rFonts w:ascii="Verdana" w:eastAsia="Calibri" w:hAnsi="Verdana" w:cs="Times New Roman"/>
                <w:lang w:val="es-ES"/>
              </w:rPr>
            </w:pPr>
            <w:r>
              <w:rPr>
                <w:rFonts w:ascii="Verdana" w:eastAsia="Calibri" w:hAnsi="Verdana" w:cs="Arial"/>
                <w:bCs/>
                <w:color w:val="000000" w:themeColor="text1"/>
              </w:rPr>
              <w:t xml:space="preserve">         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6164A5A5" w14:textId="77777777" w:rsidR="001F3644" w:rsidRDefault="001F3644" w:rsidP="003F72F5">
            <w:pPr>
              <w:spacing w:line="276" w:lineRule="auto"/>
              <w:contextualSpacing/>
              <w:jc w:val="both"/>
              <w:rPr>
                <w:rFonts w:ascii="Verdana" w:eastAsia="Calibri" w:hAnsi="Verdana" w:cs="Times New Roman"/>
                <w:lang w:val="es-ES"/>
              </w:rPr>
            </w:pPr>
          </w:p>
          <w:p w14:paraId="6D33853A" w14:textId="77777777" w:rsidR="001F3644" w:rsidRPr="00E529C2" w:rsidRDefault="001F3644" w:rsidP="003F72F5">
            <w:pPr>
              <w:spacing w:line="276" w:lineRule="auto"/>
              <w:jc w:val="both"/>
              <w:rPr>
                <w:rFonts w:ascii="Verdana" w:eastAsia="Calibri" w:hAnsi="Verdana" w:cs="Times New Roman"/>
                <w:lang w:val="es-ES"/>
              </w:rPr>
            </w:pPr>
            <w:r>
              <w:rPr>
                <w:rFonts w:ascii="Verdana" w:eastAsia="Calibri" w:hAnsi="Verdana" w:cs="Times New Roman"/>
                <w:lang w:val="es-ES"/>
              </w:rPr>
              <w:t xml:space="preserve">        Asi las cosas</w:t>
            </w:r>
            <w:r w:rsidRPr="00DB4737">
              <w:rPr>
                <w:rFonts w:ascii="Verdana" w:eastAsia="Calibri" w:hAnsi="Verdana"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1F3644" w:rsidRPr="00593A5F" w14:paraId="1C8CF4CD" w14:textId="77777777" w:rsidTr="003F72F5">
        <w:tc>
          <w:tcPr>
            <w:tcW w:w="8828" w:type="dxa"/>
          </w:tcPr>
          <w:p w14:paraId="2B2DF140" w14:textId="77777777" w:rsidR="001F3644" w:rsidRDefault="001F3644" w:rsidP="003F72F5">
            <w:pPr>
              <w:spacing w:after="120" w:line="276" w:lineRule="auto"/>
              <w:jc w:val="both"/>
              <w:rPr>
                <w:rFonts w:ascii="Verdana" w:eastAsia="Calibri" w:hAnsi="Verdana" w:cs="Arial"/>
                <w:bCs/>
                <w:lang w:eastAsia="es-ES_tradnl"/>
              </w:rPr>
            </w:pPr>
          </w:p>
        </w:tc>
      </w:tr>
    </w:tbl>
    <w:p w14:paraId="66981A10" w14:textId="77777777" w:rsidR="001F3644" w:rsidRDefault="001F3644" w:rsidP="001F3644">
      <w:pPr>
        <w:tabs>
          <w:tab w:val="left" w:pos="142"/>
          <w:tab w:val="left" w:pos="284"/>
        </w:tabs>
        <w:spacing w:after="0" w:line="276" w:lineRule="auto"/>
        <w:jc w:val="both"/>
        <w:rPr>
          <w:rFonts w:ascii="Verdana" w:eastAsia="Century Gothic" w:hAnsi="Verdana" w:cs="Century Gothic"/>
          <w:b/>
          <w:bCs/>
          <w:lang w:val="es-ES"/>
        </w:rPr>
      </w:pPr>
    </w:p>
    <w:p w14:paraId="742CBD7D" w14:textId="77777777" w:rsidR="001F3644" w:rsidRDefault="001F3644" w:rsidP="001F3644">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36E50E7" w14:textId="77777777" w:rsidR="001F3644" w:rsidRDefault="001F3644" w:rsidP="001F3644">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A22AEB8" w14:textId="77777777" w:rsidR="001F3644" w:rsidRPr="00F02C5A" w:rsidRDefault="001F3644" w:rsidP="001F3644">
      <w:pPr>
        <w:spacing w:after="0" w:line="276" w:lineRule="auto"/>
        <w:jc w:val="both"/>
        <w:rPr>
          <w:rFonts w:ascii="Verdana" w:eastAsia="Times New Roman" w:hAnsi="Verdana" w:cs="Arial"/>
          <w:lang w:val="es-MX" w:eastAsia="es-CO"/>
        </w:rPr>
      </w:pPr>
      <w:r>
        <w:rPr>
          <w:rFonts w:ascii="Verdana" w:hAnsi="Verdana"/>
        </w:rPr>
        <w:t xml:space="preserve">       </w:t>
      </w:r>
      <w:r w:rsidRPr="00F02C5A">
        <w:rPr>
          <w:rFonts w:ascii="Verdana" w:eastAsia="Times New Roman" w:hAnsi="Verdana" w:cs="Arial"/>
          <w:lang w:val="es-MX" w:eastAsia="x-none"/>
        </w:rPr>
        <w:t xml:space="preserve">El ámbito material de la prohibición contenida </w:t>
      </w:r>
      <w:bookmarkStart w:id="5" w:name="_Hlk75628761"/>
      <w:r w:rsidRPr="00F02C5A">
        <w:rPr>
          <w:rFonts w:ascii="Verdana" w:eastAsia="Times New Roman" w:hAnsi="Verdana" w:cs="Arial"/>
          <w:lang w:val="es-MX" w:eastAsia="x-none"/>
        </w:rPr>
        <w:t xml:space="preserve">en el artículo 33 de la Ley 996 de 2005 </w:t>
      </w:r>
      <w:bookmarkEnd w:id="5"/>
      <w:r w:rsidRPr="00F02C5A">
        <w:rPr>
          <w:rFonts w:ascii="Verdana" w:eastAsia="Times New Roman" w:hAnsi="Verdana" w:cs="Arial"/>
          <w:lang w:val="es-MX" w:eastAsia="x-none"/>
        </w:rPr>
        <w:t xml:space="preserve">está delimitado por la expresión </w:t>
      </w:r>
      <w:r w:rsidRPr="00F02C5A">
        <w:rPr>
          <w:rFonts w:ascii="Verdana" w:eastAsia="Calibri" w:hAnsi="Verdana" w:cs="Arial"/>
          <w:sz w:val="20"/>
          <w:szCs w:val="20"/>
          <w:lang w:val="es-MX"/>
        </w:rPr>
        <w:t>“</w:t>
      </w:r>
      <w:r w:rsidRPr="00F02C5A">
        <w:rPr>
          <w:rFonts w:ascii="Verdana" w:eastAsia="Times New Roman" w:hAnsi="Verdana" w:cs="Arial"/>
          <w:lang w:val="es-MX" w:eastAsia="x-none"/>
        </w:rPr>
        <w:t>queda prohibida la contratación directa</w:t>
      </w:r>
      <w:r w:rsidRPr="00F02C5A">
        <w:rPr>
          <w:rFonts w:ascii="Verdana" w:eastAsia="Calibri" w:hAnsi="Verdana" w:cs="Arial"/>
          <w:sz w:val="20"/>
          <w:szCs w:val="20"/>
          <w:lang w:val="es-MX"/>
        </w:rPr>
        <w:t>”</w:t>
      </w:r>
      <w:r w:rsidRPr="00F02C5A">
        <w:rPr>
          <w:rFonts w:ascii="Verdana" w:eastAsia="Times New Roman" w:hAnsi="Verdana" w:cs="Arial"/>
          <w:lang w:val="es-MX" w:eastAsia="x-none"/>
        </w:rPr>
        <w:t>.</w:t>
      </w:r>
      <w:r w:rsidRPr="00F02C5A">
        <w:rPr>
          <w:rFonts w:ascii="Verdana" w:eastAsia="Times New Roman" w:hAnsi="Verdana" w:cs="Arial"/>
          <w:lang w:val="es-MX" w:eastAsia="es-CO"/>
        </w:rPr>
        <w:t xml:space="preserve"> A propósito de </w:t>
      </w:r>
      <w:r w:rsidRPr="00F02C5A">
        <w:rPr>
          <w:rFonts w:ascii="Verdana" w:eastAsia="Times New Roman" w:hAnsi="Verdana" w:cs="Arial"/>
          <w:lang w:eastAsia="es-CO"/>
        </w:rPr>
        <w:t>esta restricción de la Ley de Garantías Electorales, la Sala de Consulta y Servicio Civil del Consejo de Estado ha considerado que:</w:t>
      </w:r>
    </w:p>
    <w:p w14:paraId="4F95ABF9" w14:textId="77777777" w:rsidR="001F3644" w:rsidRPr="00F02C5A" w:rsidRDefault="001F3644" w:rsidP="001F3644">
      <w:pPr>
        <w:spacing w:after="0" w:line="276" w:lineRule="auto"/>
        <w:ind w:left="708" w:right="709"/>
        <w:contextualSpacing/>
        <w:jc w:val="both"/>
        <w:rPr>
          <w:rFonts w:ascii="Verdana" w:eastAsia="Calibri" w:hAnsi="Verdana" w:cs="Arial"/>
          <w:sz w:val="21"/>
          <w:szCs w:val="21"/>
          <w:lang w:val="es-MX"/>
        </w:rPr>
      </w:pPr>
    </w:p>
    <w:p w14:paraId="3BF35536" w14:textId="77777777" w:rsidR="001F3644" w:rsidRPr="00F02C5A" w:rsidRDefault="001F3644" w:rsidP="001F3644">
      <w:pPr>
        <w:spacing w:after="0" w:line="240" w:lineRule="auto"/>
        <w:ind w:left="709"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F02C5A">
        <w:rPr>
          <w:rFonts w:ascii="Verdana" w:eastAsia="Times New Roman" w:hAnsi="Verdana" w:cs="Arial"/>
          <w:vertAlign w:val="superscript"/>
          <w:lang w:eastAsia="es-CO"/>
        </w:rPr>
        <w:footnoteReference w:id="1"/>
      </w:r>
      <w:r w:rsidRPr="00F02C5A">
        <w:rPr>
          <w:rFonts w:ascii="Verdana" w:eastAsia="Calibri" w:hAnsi="Verdana" w:cs="Arial"/>
          <w:sz w:val="21"/>
          <w:szCs w:val="21"/>
          <w:lang w:val="es-MX"/>
        </w:rPr>
        <w:t>.</w:t>
      </w:r>
    </w:p>
    <w:p w14:paraId="0118C5B9" w14:textId="77777777" w:rsidR="001F3644" w:rsidRPr="00F02C5A" w:rsidRDefault="001F3644" w:rsidP="001F3644">
      <w:pPr>
        <w:spacing w:after="0" w:line="240" w:lineRule="auto"/>
        <w:ind w:left="709" w:right="709"/>
        <w:contextualSpacing/>
        <w:jc w:val="both"/>
        <w:rPr>
          <w:rFonts w:ascii="Verdana" w:eastAsia="Calibri" w:hAnsi="Verdana" w:cs="Arial"/>
          <w:sz w:val="12"/>
          <w:szCs w:val="12"/>
          <w:lang w:val="es-MX"/>
        </w:rPr>
      </w:pPr>
    </w:p>
    <w:p w14:paraId="2E65FA2A" w14:textId="77777777" w:rsidR="001F3644" w:rsidRPr="00F02C5A" w:rsidRDefault="001F3644" w:rsidP="001F3644">
      <w:pPr>
        <w:spacing w:after="0" w:line="240" w:lineRule="auto"/>
        <w:ind w:left="708"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 xml:space="preserve">Esta Sala ha entendido que para los efectos de la ley de garantías, y dada su finalidad, el enunciado ´contratación directa´ es sinónimo </w:t>
      </w:r>
      <w:bookmarkStart w:id="6" w:name="_Hlk75741738"/>
      <w:r w:rsidRPr="00F02C5A">
        <w:rPr>
          <w:rFonts w:ascii="Verdana" w:eastAsia="Calibri" w:hAnsi="Verdana" w:cs="Arial"/>
          <w:sz w:val="21"/>
          <w:szCs w:val="21"/>
          <w:lang w:val="es-MX"/>
        </w:rPr>
        <w:t xml:space="preserve">de cualquier sistema que no implique convocatoria pública y posibilidad de pluralidad de oferentes, </w:t>
      </w:r>
      <w:bookmarkEnd w:id="6"/>
      <w:r w:rsidRPr="00F02C5A">
        <w:rPr>
          <w:rFonts w:ascii="Verdana" w:eastAsia="Calibri" w:hAnsi="Verdana" w:cs="Arial"/>
          <w:sz w:val="21"/>
          <w:szCs w:val="21"/>
          <w:lang w:val="es-MX"/>
        </w:rPr>
        <w:t>y que, además, no necesariamente hace referencia al procedimiento especial regulado por la ley de contratación estatal, sino a cualquier otro que prescinda de un proceso de licitación pública o concurso</w:t>
      </w:r>
      <w:r w:rsidRPr="00F02C5A">
        <w:rPr>
          <w:rFonts w:ascii="Verdana" w:eastAsia="Times New Roman" w:hAnsi="Verdana" w:cs="Arial"/>
          <w:sz w:val="21"/>
          <w:szCs w:val="21"/>
          <w:vertAlign w:val="superscript"/>
          <w:lang w:val="es-MX"/>
        </w:rPr>
        <w:footnoteReference w:id="2"/>
      </w:r>
      <w:r w:rsidRPr="00F02C5A">
        <w:rPr>
          <w:rFonts w:ascii="Verdana" w:eastAsia="Times New Roman" w:hAnsi="Verdana" w:cs="Arial"/>
          <w:sz w:val="21"/>
          <w:szCs w:val="21"/>
          <w:vertAlign w:val="superscript"/>
          <w:lang w:val="es-MX"/>
        </w:rPr>
        <w:t>.</w:t>
      </w:r>
      <w:r w:rsidRPr="00F02C5A">
        <w:rPr>
          <w:rFonts w:ascii="Verdana" w:eastAsia="Calibri" w:hAnsi="Verdana" w:cs="Arial"/>
          <w:sz w:val="21"/>
          <w:szCs w:val="21"/>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02C5A">
        <w:rPr>
          <w:rFonts w:ascii="Verdana" w:eastAsia="Times New Roman" w:hAnsi="Verdana" w:cs="Arial"/>
          <w:vertAlign w:val="superscript"/>
          <w:lang w:eastAsia="es-CO"/>
        </w:rPr>
        <w:footnoteReference w:id="3"/>
      </w:r>
      <w:r w:rsidRPr="00F02C5A">
        <w:rPr>
          <w:rFonts w:ascii="Verdana" w:eastAsia="Calibri" w:hAnsi="Verdana" w:cs="Arial"/>
          <w:sz w:val="21"/>
          <w:szCs w:val="21"/>
          <w:lang w:val="es-MX"/>
        </w:rPr>
        <w:t xml:space="preserve"> .</w:t>
      </w:r>
    </w:p>
    <w:p w14:paraId="193ADA54" w14:textId="77777777" w:rsidR="001F3644" w:rsidRPr="00F02C5A" w:rsidRDefault="001F3644" w:rsidP="001F3644">
      <w:pPr>
        <w:shd w:val="clear" w:color="auto" w:fill="FFFFFF"/>
        <w:spacing w:after="0" w:line="276" w:lineRule="auto"/>
        <w:ind w:firstLine="709"/>
        <w:contextualSpacing/>
        <w:jc w:val="both"/>
        <w:rPr>
          <w:rFonts w:ascii="Verdana" w:eastAsia="Times New Roman" w:hAnsi="Verdana" w:cs="Arial"/>
          <w:lang w:eastAsia="x-none"/>
        </w:rPr>
      </w:pPr>
    </w:p>
    <w:p w14:paraId="01D688EC" w14:textId="77777777" w:rsidR="001F3644" w:rsidRPr="00F02C5A" w:rsidRDefault="001F3644" w:rsidP="001F3644">
      <w:pPr>
        <w:spacing w:after="120" w:line="276" w:lineRule="auto"/>
        <w:ind w:firstLine="709"/>
        <w:jc w:val="both"/>
        <w:rPr>
          <w:rFonts w:ascii="Verdana" w:eastAsia="Times New Roman" w:hAnsi="Verdana" w:cs="Arial"/>
          <w:lang w:eastAsia="x-none"/>
        </w:rPr>
      </w:pPr>
      <w:bookmarkStart w:id="8" w:name="_Hlk94521748"/>
      <w:r w:rsidRPr="00F02C5A">
        <w:rPr>
          <w:rFonts w:ascii="Verdana" w:eastAsia="Times New Roman" w:hAnsi="Verdana" w:cs="Arial"/>
          <w:lang w:eastAsia="x-none"/>
        </w:rPr>
        <w:t xml:space="preserve">De conformidad con el citado concepto, la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previstos en normas especiales. </w:t>
      </w:r>
      <w:bookmarkEnd w:id="8"/>
      <w:r w:rsidRPr="00F02C5A">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02C5A">
        <w:rPr>
          <w:rFonts w:ascii="Verdana" w:eastAsia="Times New Roman" w:hAnsi="Verdana" w:cs="Arial"/>
          <w:vertAlign w:val="superscript"/>
          <w:lang w:val="en-GB" w:eastAsia="x-none"/>
        </w:rPr>
        <w:footnoteReference w:id="4"/>
      </w:r>
      <w:r w:rsidRPr="00F02C5A">
        <w:rPr>
          <w:rFonts w:ascii="Verdana" w:eastAsia="Times New Roman" w:hAnsi="Verdana" w:cs="Arial"/>
          <w:lang w:eastAsia="x-none"/>
        </w:rPr>
        <w:t xml:space="preserve"> y sistematizó las causales de contratación directa</w:t>
      </w:r>
      <w:r w:rsidRPr="00F02C5A">
        <w:rPr>
          <w:rFonts w:ascii="Verdana" w:eastAsia="Times New Roman" w:hAnsi="Verdana" w:cs="Arial"/>
          <w:vertAlign w:val="superscript"/>
          <w:lang w:val="en-GB" w:eastAsia="x-none"/>
        </w:rPr>
        <w:footnoteReference w:id="5"/>
      </w:r>
      <w:r w:rsidRPr="00F02C5A">
        <w:rPr>
          <w:rFonts w:ascii="Verdana" w:eastAsia="Times New Roman" w:hAnsi="Verdana" w:cs="Arial"/>
          <w:lang w:eastAsia="x-none"/>
        </w:rPr>
        <w:t xml:space="preserve">. </w:t>
      </w:r>
    </w:p>
    <w:p w14:paraId="1E4F6AA4" w14:textId="77777777" w:rsidR="001F3644" w:rsidRPr="00F02C5A" w:rsidRDefault="001F3644" w:rsidP="001F3644">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eastAsia="x-none"/>
        </w:rPr>
        <w:t xml:space="preserve">De esta forma, se ha depurado la noción de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contratación directa</w:t>
      </w:r>
      <w:r w:rsidRPr="00F02C5A">
        <w:rPr>
          <w:rFonts w:ascii="Verdana" w:eastAsia="Times New Roman" w:hAnsi="Verdana" w:cs="Arial"/>
          <w:lang w:eastAsia="en-GB"/>
        </w:rPr>
        <w:t>”</w:t>
      </w:r>
      <w:r w:rsidRPr="00F02C5A">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02C5A">
        <w:rPr>
          <w:rFonts w:ascii="Verdana" w:eastAsia="Times New Roman" w:hAnsi="Verdana" w:cs="Arial"/>
          <w:vertAlign w:val="superscript"/>
          <w:lang w:val="en-GB" w:eastAsia="x-none"/>
        </w:rPr>
        <w:footnoteReference w:id="6"/>
      </w:r>
      <w:r w:rsidRPr="00F02C5A">
        <w:rPr>
          <w:rFonts w:ascii="Verdana" w:eastAsia="Times New Roman" w:hAnsi="Verdana" w:cs="Arial"/>
          <w:lang w:eastAsia="x-none"/>
        </w:rPr>
        <w:t>, han establecido sistemas de contratación que implican convocatoria pública y participación de varios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w:t>
      </w:r>
    </w:p>
    <w:p w14:paraId="67BAC771" w14:textId="77777777" w:rsidR="001F3644" w:rsidRPr="00F02C5A" w:rsidRDefault="001F3644" w:rsidP="001F3644">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E</w:t>
      </w:r>
      <w:r w:rsidRPr="00F02C5A">
        <w:rPr>
          <w:rFonts w:ascii="Verdana" w:eastAsia="Times New Roman" w:hAnsi="Verdana" w:cs="Arial"/>
          <w:lang w:eastAsia="x-none"/>
        </w:rPr>
        <w:t xml:space="preserve">n efecto, vale la pena mencionar que, </w:t>
      </w:r>
      <w:bookmarkStart w:id="9" w:name="_Hlk75636073"/>
      <w:r w:rsidRPr="00F02C5A">
        <w:rPr>
          <w:rFonts w:ascii="Verdana" w:eastAsia="Times New Roman" w:hAnsi="Verdana" w:cs="Arial"/>
          <w:lang w:eastAsia="x-none"/>
        </w:rPr>
        <w:t>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bookmarkEnd w:id="9"/>
      <w:r w:rsidRPr="00F02C5A">
        <w:rPr>
          <w:rFonts w:ascii="Verdana" w:eastAsia="Times New Roman" w:hAnsi="Verdana" w:cs="Arial"/>
          <w:vertAlign w:val="superscript"/>
          <w:lang w:eastAsia="x-none"/>
        </w:rPr>
        <w:footnoteReference w:id="7"/>
      </w:r>
      <w:r w:rsidRPr="00F02C5A">
        <w:rPr>
          <w:rFonts w:ascii="Verdana" w:eastAsia="Times New Roman" w:hAnsi="Verdana" w:cs="Arial"/>
          <w:lang w:eastAsia="x-none"/>
        </w:rPr>
        <w:t xml:space="preserve">. </w:t>
      </w:r>
    </w:p>
    <w:p w14:paraId="0382398C" w14:textId="77777777" w:rsidR="001F3644" w:rsidRPr="00F02C5A" w:rsidRDefault="001F3644" w:rsidP="001F3644">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35E6527A" w14:textId="77777777" w:rsidR="001F3644" w:rsidRPr="00F02C5A" w:rsidRDefault="001F3644" w:rsidP="001F3644">
      <w:pPr>
        <w:spacing w:after="120" w:line="276" w:lineRule="auto"/>
        <w:ind w:firstLine="709"/>
        <w:jc w:val="both"/>
        <w:rPr>
          <w:rFonts w:ascii="Verdana" w:eastAsia="Times New Roman" w:hAnsi="Verdana" w:cs="Arial"/>
          <w:lang w:val="es-MX" w:eastAsia="x-none"/>
        </w:rPr>
      </w:pPr>
      <w:bookmarkStart w:id="10" w:name="_Hlk78818796"/>
      <w:r w:rsidRPr="00F02C5A">
        <w:rPr>
          <w:rFonts w:ascii="Verdana" w:eastAsia="Times New Roman" w:hAnsi="Verdana" w:cs="Arial"/>
          <w:lang w:val="es-MX" w:eastAsia="x-none"/>
        </w:rPr>
        <w:t xml:space="preserve"> Así las cosas, </w:t>
      </w:r>
      <w:bookmarkStart w:id="11" w:name="_Hlk99577798"/>
      <w:r w:rsidRPr="00F02C5A">
        <w:rPr>
          <w:rFonts w:ascii="Verdana" w:eastAsia="Times New Roman" w:hAnsi="Verdana" w:cs="Arial"/>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vertAlign w:val="superscript"/>
          <w:lang w:eastAsia="x-none"/>
        </w:rPr>
        <w:footnoteReference w:id="8"/>
      </w:r>
      <w:r w:rsidRPr="00F02C5A">
        <w:rPr>
          <w:rFonts w:ascii="Verdana" w:eastAsia="Times New Roman" w:hAnsi="Verdana" w:cs="Arial"/>
          <w:lang w:val="es-MX" w:eastAsia="x-none"/>
        </w:rPr>
        <w:t>.</w:t>
      </w:r>
      <w:r w:rsidRPr="00F02C5A">
        <w:rPr>
          <w:rFonts w:ascii="Verdana" w:eastAsia="Times New Roman" w:hAnsi="Verdana" w:cs="Arial"/>
          <w:vertAlign w:val="superscript"/>
          <w:lang w:eastAsia="x-none"/>
        </w:rPr>
        <w:t xml:space="preserve"> </w:t>
      </w:r>
    </w:p>
    <w:bookmarkEnd w:id="10"/>
    <w:p w14:paraId="5FF6E903" w14:textId="77777777" w:rsidR="001F3644" w:rsidRPr="00F02C5A" w:rsidRDefault="001F3644" w:rsidP="001F3644">
      <w:pPr>
        <w:spacing w:after="120" w:line="276" w:lineRule="auto"/>
        <w:ind w:firstLine="709"/>
        <w:jc w:val="both"/>
        <w:rPr>
          <w:rFonts w:ascii="Verdana" w:eastAsia="Times New Roman" w:hAnsi="Verdana" w:cs="Arial"/>
          <w:lang w:eastAsia="x-none"/>
        </w:rPr>
      </w:pPr>
      <w:r w:rsidRPr="00F02C5A">
        <w:rPr>
          <w:rFonts w:ascii="Verdana" w:eastAsia="Times New Roman" w:hAnsi="Verdana" w:cs="Arial"/>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02C5A">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1E55F800" w14:textId="77777777" w:rsidR="001F3644" w:rsidRPr="00F02C5A" w:rsidRDefault="001F3644" w:rsidP="001F3644">
      <w:pPr>
        <w:spacing w:after="120" w:line="276" w:lineRule="auto"/>
        <w:ind w:firstLine="709"/>
        <w:jc w:val="both"/>
        <w:rPr>
          <w:rFonts w:ascii="Verdana" w:eastAsia="Times New Roman" w:hAnsi="Verdana" w:cs="Arial"/>
          <w:lang w:val="es-MX" w:eastAsia="x-none"/>
        </w:rPr>
      </w:pPr>
      <w:bookmarkStart w:id="12" w:name="_Hlk77237094"/>
      <w:bookmarkEnd w:id="11"/>
      <w:r w:rsidRPr="00F02C5A">
        <w:rPr>
          <w:rFonts w:ascii="Verdana" w:eastAsia="Times New Roman" w:hAnsi="Verdana" w:cs="Arial"/>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12"/>
    </w:p>
    <w:p w14:paraId="6317DEA8" w14:textId="77777777" w:rsidR="001F3644" w:rsidRPr="00F02C5A" w:rsidRDefault="001F3644" w:rsidP="001F3644">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 xml:space="preserve">De otro lado, </w:t>
      </w:r>
      <w:bookmarkStart w:id="13" w:name="_Hlk99577887"/>
      <w:bookmarkStart w:id="14" w:name="_Hlk100679762"/>
      <w:r w:rsidRPr="00F02C5A">
        <w:rPr>
          <w:rFonts w:ascii="Verdana" w:eastAsia="Times New Roman" w:hAnsi="Verdana" w:cs="Arial"/>
          <w:lang w:val="es-MX" w:eastAsia="x-none"/>
        </w:rPr>
        <w:t>las excepciones a la restricción prevista en la Ley de Garantías Electorales,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02C5A">
        <w:rPr>
          <w:rFonts w:ascii="Verdana" w:eastAsia="Times New Roman" w:hAnsi="Verdana" w:cs="Arial"/>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bookmarkEnd w:id="13"/>
    </w:p>
    <w:bookmarkEnd w:id="14"/>
    <w:p w14:paraId="25C5B7E3" w14:textId="77777777" w:rsidR="001F3644" w:rsidRDefault="001F3644" w:rsidP="001F3644">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val="es-MX" w:eastAsia="x-none"/>
        </w:rPr>
        <w:t>En esta labor es importante tener en cuenta, como lo anotó la Corte Constitucional, en Sentencia C-1153 de noviembre 11 de 2005</w:t>
      </w:r>
      <w:r w:rsidRPr="00F02C5A">
        <w:rPr>
          <w:rFonts w:ascii="Verdana" w:eastAsia="Calibri" w:hAnsi="Verdana" w:cs="Arial"/>
          <w:sz w:val="24"/>
          <w:lang w:val="es-MX"/>
        </w:rPr>
        <w:t>,</w:t>
      </w:r>
      <w:r w:rsidRPr="00F02C5A">
        <w:rPr>
          <w:rFonts w:ascii="Verdana" w:eastAsia="Times New Roman" w:hAnsi="Verdana" w:cs="Arial"/>
          <w:lang w:val="es-MX" w:eastAsia="x-none"/>
        </w:rPr>
        <w:t xml:space="preserve"> </w:t>
      </w:r>
      <w:bookmarkStart w:id="15" w:name="_Hlk74309042"/>
      <w:r w:rsidRPr="00F02C5A">
        <w:rPr>
          <w:rFonts w:ascii="Verdana" w:eastAsia="Times New Roman" w:hAnsi="Verdana" w:cs="Arial"/>
          <w:lang w:val="es-MX" w:eastAsia="x-none"/>
        </w:rPr>
        <w:t>que “</w:t>
      </w:r>
      <w:bookmarkEnd w:id="15"/>
      <w:r w:rsidRPr="00F02C5A">
        <w:rPr>
          <w:rFonts w:ascii="Verdana" w:eastAsia="Times New Roman" w:hAnsi="Verdana" w:cs="Arial"/>
          <w:lang w:val="es-MX" w:eastAsia="x-none"/>
        </w:rPr>
        <w:t xml:space="preserve">si bien la limitación garantiza la igualdad de condiciones, también es necesario que tal limitación que pretende la igualdad </w:t>
      </w:r>
      <w:bookmarkStart w:id="16" w:name="_Hlk75768308"/>
      <w:r w:rsidRPr="00F02C5A">
        <w:rPr>
          <w:rFonts w:ascii="Verdana" w:eastAsia="Times New Roman" w:hAnsi="Verdana" w:cs="Arial"/>
          <w:lang w:val="es-MX" w:eastAsia="x-none"/>
        </w:rPr>
        <w:t>no termine yendo en detrimento de intereses públicos, cuya garantía está en cabeza del ejecutivo, como son los inmersos en las excepciones para la prohibición de contratación”</w:t>
      </w:r>
      <w:r w:rsidRPr="00F02C5A">
        <w:rPr>
          <w:rFonts w:ascii="Verdana" w:eastAsia="Calibri" w:hAnsi="Verdana" w:cs="Arial"/>
          <w:vertAlign w:val="superscript"/>
          <w:lang w:val="es-MX"/>
        </w:rPr>
        <w:footnoteReference w:id="9"/>
      </w:r>
      <w:r w:rsidRPr="00F02C5A">
        <w:rPr>
          <w:rFonts w:ascii="Verdana" w:eastAsia="Times New Roman" w:hAnsi="Verdana" w:cs="Arial"/>
          <w:lang w:val="es-MX" w:eastAsia="x-none"/>
        </w:rPr>
        <w:t xml:space="preserve">.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w:t>
      </w:r>
      <w:r w:rsidRPr="00F02C5A">
        <w:rPr>
          <w:rFonts w:ascii="Verdana" w:eastAsia="Times New Roman" w:hAnsi="Verdana" w:cs="Arial"/>
          <w:lang w:val="es-MX" w:eastAsia="es-CO"/>
        </w:rPr>
        <w:t>candidatos</w:t>
      </w:r>
      <w:r w:rsidRPr="00F02C5A">
        <w:rPr>
          <w:rFonts w:ascii="Verdana" w:eastAsia="Times New Roman" w:hAnsi="Verdana" w:cs="Arial"/>
          <w:lang w:val="es-MX" w:eastAsia="x-none"/>
        </w:rPr>
        <w:t xml:space="preserve"> como garantía electoral.</w:t>
      </w:r>
      <w:bookmarkEnd w:id="16"/>
    </w:p>
    <w:p w14:paraId="2D2C45AD" w14:textId="77777777" w:rsidR="001F3644" w:rsidRDefault="001F3644" w:rsidP="001F3644">
      <w:pPr>
        <w:spacing w:line="276" w:lineRule="auto"/>
        <w:contextualSpacing/>
        <w:jc w:val="both"/>
      </w:pPr>
      <w:r>
        <w:rPr>
          <w:rFonts w:ascii="Verdana" w:eastAsia="Calibri" w:hAnsi="Verdana" w:cs="Arial"/>
          <w:bCs/>
          <w:color w:val="000000" w:themeColor="text1"/>
        </w:rPr>
        <w:t xml:space="preserve">         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1679B8E5" w14:textId="77777777" w:rsidR="001F3644" w:rsidRDefault="001F3644" w:rsidP="001F3644">
      <w:pPr>
        <w:spacing w:line="276" w:lineRule="auto"/>
        <w:contextualSpacing/>
        <w:jc w:val="both"/>
        <w:rPr>
          <w:rFonts w:ascii="Verdana" w:eastAsia="Calibri" w:hAnsi="Verdana" w:cs="Times New Roman"/>
          <w:lang w:val="es-ES"/>
        </w:rPr>
      </w:pPr>
    </w:p>
    <w:p w14:paraId="56B6E1C3" w14:textId="77777777" w:rsidR="001F3644" w:rsidRPr="00635F71" w:rsidRDefault="001F3644" w:rsidP="001F3644">
      <w:pPr>
        <w:spacing w:line="276" w:lineRule="auto"/>
        <w:ind w:firstLine="284"/>
        <w:contextualSpacing/>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40FFD500" w14:textId="77777777" w:rsidR="001F3644" w:rsidRDefault="001F3644" w:rsidP="001F3644">
      <w:pPr>
        <w:ind w:firstLine="709"/>
        <w:jc w:val="both"/>
        <w:rPr>
          <w:rFonts w:ascii="Verdana" w:eastAsia="Arial" w:hAnsi="Verdana" w:cs="Arial"/>
          <w:lang w:val="es-MX" w:eastAsia="es-ES" w:bidi="es-ES"/>
        </w:rPr>
      </w:pPr>
    </w:p>
    <w:p w14:paraId="319B2EB4" w14:textId="77777777" w:rsidR="001F3644" w:rsidRPr="005A118F" w:rsidRDefault="001F3644" w:rsidP="001F3644">
      <w:pPr>
        <w:ind w:firstLine="709"/>
        <w:jc w:val="both"/>
        <w:rPr>
          <w:rFonts w:ascii="Verdana" w:eastAsia="Calibri" w:hAnsi="Verdana" w:cs="Arial"/>
          <w:color w:val="000000" w:themeColor="text1"/>
        </w:rPr>
      </w:pPr>
    </w:p>
    <w:p w14:paraId="295B70BB" w14:textId="77777777" w:rsidR="001F3644" w:rsidRPr="0060676F" w:rsidRDefault="001F3644" w:rsidP="001F3644">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34007865" w14:textId="77777777" w:rsidR="001F3644" w:rsidRPr="00593A5F" w:rsidRDefault="001F3644" w:rsidP="001F3644">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F3644" w:rsidRPr="00593A5F" w14:paraId="5A52BB21" w14:textId="77777777" w:rsidTr="003F72F5">
        <w:trPr>
          <w:trHeight w:val="870"/>
        </w:trPr>
        <w:tc>
          <w:tcPr>
            <w:tcW w:w="8647" w:type="dxa"/>
          </w:tcPr>
          <w:p w14:paraId="111798F4" w14:textId="77777777" w:rsidR="001F3644" w:rsidRDefault="001F3644" w:rsidP="003F72F5">
            <w:pPr>
              <w:pStyle w:val="Prrafodelista"/>
              <w:widowControl w:val="0"/>
              <w:numPr>
                <w:ilvl w:val="0"/>
                <w:numId w:val="17"/>
              </w:numPr>
              <w:autoSpaceDE w:val="0"/>
              <w:autoSpaceDN w:val="0"/>
              <w:spacing w:after="120" w:line="276" w:lineRule="auto"/>
              <w:jc w:val="both"/>
              <w:rPr>
                <w:rFonts w:ascii="Verdana" w:hAnsi="Verdana" w:cs="Arial"/>
              </w:rPr>
            </w:pPr>
            <w:r w:rsidRPr="00745CAA">
              <w:rPr>
                <w:rFonts w:ascii="Verdana" w:hAnsi="Verdana" w:cs="Arial"/>
              </w:rPr>
              <w:t xml:space="preserve">Ley </w:t>
            </w:r>
            <w:r>
              <w:rPr>
                <w:rFonts w:ascii="Verdana" w:hAnsi="Verdana" w:cs="Arial"/>
              </w:rPr>
              <w:t>996</w:t>
            </w:r>
            <w:r w:rsidRPr="00745CAA">
              <w:rPr>
                <w:rFonts w:ascii="Verdana" w:hAnsi="Verdana" w:cs="Arial"/>
              </w:rPr>
              <w:t xml:space="preserve"> de 200</w:t>
            </w:r>
            <w:r>
              <w:rPr>
                <w:rFonts w:ascii="Verdana" w:hAnsi="Verdana" w:cs="Arial"/>
              </w:rPr>
              <w:t>5</w:t>
            </w:r>
            <w:r w:rsidRPr="00745CAA">
              <w:rPr>
                <w:rFonts w:ascii="Verdana" w:hAnsi="Verdana" w:cs="Arial"/>
              </w:rPr>
              <w:t>, artículo</w:t>
            </w:r>
            <w:r>
              <w:rPr>
                <w:rFonts w:ascii="Verdana" w:hAnsi="Verdana" w:cs="Arial"/>
              </w:rPr>
              <w:t>s 33 y 38</w:t>
            </w:r>
            <w:r w:rsidRPr="00745CAA">
              <w:rPr>
                <w:rFonts w:ascii="Verdana" w:hAnsi="Verdana" w:cs="Arial"/>
              </w:rPr>
              <w:t>.</w:t>
            </w:r>
          </w:p>
          <w:p w14:paraId="51538F72" w14:textId="77777777" w:rsidR="001F3644" w:rsidRPr="003E412A" w:rsidRDefault="001F3644" w:rsidP="003F72F5">
            <w:pPr>
              <w:pStyle w:val="Prrafodelista"/>
              <w:widowControl w:val="0"/>
              <w:numPr>
                <w:ilvl w:val="0"/>
                <w:numId w:val="17"/>
              </w:numPr>
              <w:autoSpaceDE w:val="0"/>
              <w:autoSpaceDN w:val="0"/>
              <w:spacing w:after="120" w:line="276" w:lineRule="auto"/>
              <w:jc w:val="both"/>
              <w:rPr>
                <w:rFonts w:ascii="Verdana" w:hAnsi="Verdana" w:cs="Arial"/>
              </w:rPr>
            </w:pPr>
            <w:r w:rsidRPr="00F02C5A">
              <w:rPr>
                <w:rFonts w:ascii="Verdana" w:eastAsia="Times New Roman" w:hAnsi="Verdana" w:cs="Arial"/>
                <w:lang w:val="es-MX" w:eastAsia="x-none"/>
              </w:rPr>
              <w:t>Corte Constitucional, Sentencia C-1153 de noviembre 11 de 2005</w:t>
            </w:r>
            <w:r>
              <w:rPr>
                <w:rFonts w:ascii="Verdana" w:eastAsia="Times New Roman" w:hAnsi="Verdana" w:cs="Arial"/>
                <w:lang w:val="es-MX" w:eastAsia="x-none"/>
              </w:rPr>
              <w:t>.</w:t>
            </w:r>
          </w:p>
          <w:p w14:paraId="0DB2FB35" w14:textId="77777777" w:rsidR="001F3644" w:rsidRPr="003E412A" w:rsidRDefault="001F3644" w:rsidP="003F72F5">
            <w:pPr>
              <w:pStyle w:val="Prrafodelista"/>
              <w:widowControl w:val="0"/>
              <w:numPr>
                <w:ilvl w:val="0"/>
                <w:numId w:val="17"/>
              </w:numPr>
              <w:autoSpaceDE w:val="0"/>
              <w:autoSpaceDN w:val="0"/>
              <w:spacing w:after="120" w:line="276" w:lineRule="auto"/>
              <w:jc w:val="both"/>
              <w:rPr>
                <w:rFonts w:ascii="Verdana" w:hAnsi="Verdana" w:cs="Arial"/>
              </w:rPr>
            </w:pPr>
            <w:r w:rsidRPr="003E412A">
              <w:rPr>
                <w:rFonts w:ascii="Verdana" w:hAnsi="Verdana" w:cs="Arial"/>
              </w:rPr>
              <w:t xml:space="preserve">Consejo de Estado. Sala de Consulta y Servicio Civil, Concepto de 8 de mayo de 2018. Radicación Número: 11001-03-06-000-2018-00095-00(2382). Consejero Ponente: Álvaro </w:t>
            </w:r>
            <w:proofErr w:type="spellStart"/>
            <w:r w:rsidRPr="003E412A">
              <w:rPr>
                <w:rFonts w:ascii="Verdana" w:hAnsi="Verdana" w:cs="Arial"/>
              </w:rPr>
              <w:t>Namén</w:t>
            </w:r>
            <w:proofErr w:type="spellEnd"/>
            <w:r w:rsidRPr="003E412A">
              <w:rPr>
                <w:rFonts w:ascii="Verdana" w:hAnsi="Verdana" w:cs="Arial"/>
              </w:rPr>
              <w:t xml:space="preserve"> Vargas.</w:t>
            </w:r>
          </w:p>
          <w:p w14:paraId="265BDE39" w14:textId="77777777" w:rsidR="001F3644" w:rsidRDefault="001F3644" w:rsidP="003F72F5">
            <w:pPr>
              <w:pStyle w:val="Prrafodelista"/>
              <w:widowControl w:val="0"/>
              <w:numPr>
                <w:ilvl w:val="0"/>
                <w:numId w:val="17"/>
              </w:numPr>
              <w:autoSpaceDE w:val="0"/>
              <w:autoSpaceDN w:val="0"/>
              <w:spacing w:after="120" w:line="276" w:lineRule="auto"/>
              <w:jc w:val="both"/>
              <w:rPr>
                <w:rFonts w:ascii="Verdana" w:hAnsi="Verdana" w:cs="Arial"/>
              </w:rPr>
            </w:pPr>
            <w:r w:rsidRPr="003E412A">
              <w:rPr>
                <w:rFonts w:ascii="Verdana" w:hAnsi="Verdana" w:cs="Arial"/>
              </w:rPr>
              <w:t xml:space="preserve">Consejo de Estado. Sala de Consulta y Servicio Civil. Concepto del 08 de mayo de 2018. </w:t>
            </w:r>
            <w:proofErr w:type="spellStart"/>
            <w:r w:rsidRPr="003E412A">
              <w:rPr>
                <w:rFonts w:ascii="Verdana" w:hAnsi="Verdana" w:cs="Arial"/>
              </w:rPr>
              <w:t>Exp</w:t>
            </w:r>
            <w:proofErr w:type="spellEnd"/>
            <w:r w:rsidRPr="003E412A">
              <w:rPr>
                <w:rFonts w:ascii="Verdana" w:hAnsi="Verdana" w:cs="Arial"/>
              </w:rPr>
              <w:t xml:space="preserve">. 2.382. C.P. Álvaro </w:t>
            </w:r>
            <w:proofErr w:type="spellStart"/>
            <w:r w:rsidRPr="003E412A">
              <w:rPr>
                <w:rFonts w:ascii="Verdana" w:hAnsi="Verdana" w:cs="Arial"/>
              </w:rPr>
              <w:t>Namén</w:t>
            </w:r>
            <w:proofErr w:type="spellEnd"/>
            <w:r w:rsidRPr="003E412A">
              <w:rPr>
                <w:rFonts w:ascii="Verdana" w:hAnsi="Verdana" w:cs="Arial"/>
              </w:rPr>
              <w:t xml:space="preserve"> Vargas.</w:t>
            </w:r>
          </w:p>
          <w:p w14:paraId="2D68EC80" w14:textId="77777777" w:rsidR="001F3644" w:rsidRPr="007E43EB" w:rsidRDefault="001F3644" w:rsidP="003F72F5">
            <w:pPr>
              <w:pStyle w:val="Prrafodelista"/>
              <w:widowControl w:val="0"/>
              <w:numPr>
                <w:ilvl w:val="0"/>
                <w:numId w:val="17"/>
              </w:numPr>
              <w:autoSpaceDE w:val="0"/>
              <w:autoSpaceDN w:val="0"/>
              <w:spacing w:after="120" w:line="276" w:lineRule="auto"/>
              <w:jc w:val="both"/>
              <w:rPr>
                <w:rFonts w:ascii="Verdana" w:hAnsi="Verdana" w:cs="Arial"/>
              </w:rPr>
            </w:pPr>
            <w:r>
              <w:rPr>
                <w:rFonts w:ascii="Verdana" w:hAnsi="Verdana" w:cs="Arial"/>
              </w:rPr>
              <w:t>C</w:t>
            </w:r>
            <w:r w:rsidRPr="007E43EB">
              <w:rPr>
                <w:rFonts w:ascii="Verdana" w:hAnsi="Verdana" w:cs="Arial"/>
              </w:rPr>
              <w:t>onsejo de Estado. Sección Tercera. Sentencia de 3 de diciembre de 2007. Radicados: 24.715, 25.206, 25.409, 24.524, 27.834, 25.410, 26.105, 28.244, 31.447 -acumulados-”.</w:t>
            </w:r>
          </w:p>
          <w:p w14:paraId="2D45C264" w14:textId="77777777" w:rsidR="001F3644" w:rsidRPr="007E43EB" w:rsidRDefault="001F3644" w:rsidP="003F72F5">
            <w:pPr>
              <w:pStyle w:val="Prrafodelista"/>
              <w:widowControl w:val="0"/>
              <w:numPr>
                <w:ilvl w:val="0"/>
                <w:numId w:val="17"/>
              </w:numPr>
              <w:autoSpaceDE w:val="0"/>
              <w:autoSpaceDN w:val="0"/>
              <w:spacing w:after="120" w:line="276" w:lineRule="auto"/>
              <w:jc w:val="both"/>
              <w:rPr>
                <w:rFonts w:ascii="Verdana" w:hAnsi="Verdana" w:cs="Arial"/>
              </w:rPr>
            </w:pPr>
            <w:r>
              <w:rPr>
                <w:rFonts w:ascii="Verdana" w:hAnsi="Verdana" w:cs="Arial"/>
              </w:rPr>
              <w:t xml:space="preserve">Consejo de Estado, </w:t>
            </w:r>
            <w:r w:rsidRPr="007E43EB">
              <w:rPr>
                <w:rFonts w:ascii="Verdana" w:hAnsi="Verdana" w:cs="Arial"/>
              </w:rPr>
              <w:t>Sala de Consulta y Servicio Civil</w:t>
            </w:r>
            <w:r>
              <w:rPr>
                <w:rFonts w:ascii="Verdana" w:hAnsi="Verdana" w:cs="Arial"/>
              </w:rPr>
              <w:t>, C</w:t>
            </w:r>
            <w:r w:rsidRPr="007E43EB">
              <w:rPr>
                <w:rFonts w:ascii="Verdana" w:hAnsi="Verdana" w:cs="Arial"/>
              </w:rPr>
              <w:t xml:space="preserve">oncepto 1712 de 2 de febrero de 2006. </w:t>
            </w:r>
          </w:p>
          <w:p w14:paraId="683F52A3" w14:textId="77777777" w:rsidR="001F3644" w:rsidRDefault="001F3644" w:rsidP="003F72F5">
            <w:pPr>
              <w:pStyle w:val="Prrafodelista"/>
              <w:widowControl w:val="0"/>
              <w:numPr>
                <w:ilvl w:val="0"/>
                <w:numId w:val="17"/>
              </w:numPr>
              <w:autoSpaceDE w:val="0"/>
              <w:autoSpaceDN w:val="0"/>
              <w:spacing w:after="120" w:line="276" w:lineRule="auto"/>
              <w:jc w:val="both"/>
              <w:rPr>
                <w:rFonts w:ascii="Verdana" w:hAnsi="Verdana" w:cs="Arial"/>
              </w:rPr>
            </w:pPr>
            <w:r w:rsidRPr="007E43EB">
              <w:rPr>
                <w:rFonts w:ascii="Verdana" w:hAnsi="Verdana" w:cs="Arial"/>
              </w:rPr>
              <w:t xml:space="preserve">Consejo de Estado. Sala de Consulta y Servicio Civil. Concepto del 2 de septiembre de 2013. Radicación número: 11001-03-06-000-2013-00412-00 (2168). Consejero Ponente: Álvaro </w:t>
            </w:r>
            <w:proofErr w:type="spellStart"/>
            <w:r w:rsidRPr="007E43EB">
              <w:rPr>
                <w:rFonts w:ascii="Verdana" w:hAnsi="Verdana" w:cs="Arial"/>
              </w:rPr>
              <w:t>Namén</w:t>
            </w:r>
            <w:proofErr w:type="spellEnd"/>
            <w:r w:rsidRPr="007E43EB">
              <w:rPr>
                <w:rFonts w:ascii="Verdana" w:hAnsi="Verdana" w:cs="Arial"/>
              </w:rPr>
              <w:t xml:space="preserve"> Vargas.</w:t>
            </w:r>
          </w:p>
          <w:p w14:paraId="60522F06" w14:textId="77777777" w:rsidR="001F3644" w:rsidRPr="00814A46" w:rsidRDefault="001F3644" w:rsidP="003F72F5">
            <w:pPr>
              <w:pStyle w:val="Prrafodelista"/>
              <w:widowControl w:val="0"/>
              <w:tabs>
                <w:tab w:val="left" w:pos="8419"/>
              </w:tabs>
              <w:autoSpaceDE w:val="0"/>
              <w:autoSpaceDN w:val="0"/>
              <w:spacing w:after="120" w:line="276" w:lineRule="auto"/>
              <w:contextualSpacing w:val="0"/>
              <w:jc w:val="both"/>
              <w:rPr>
                <w:rFonts w:ascii="Verdana" w:hAnsi="Verdana" w:cs="Arial"/>
              </w:rPr>
            </w:pPr>
            <w:r>
              <w:rPr>
                <w:rFonts w:ascii="Verdana" w:hAnsi="Verdana" w:cs="Arial"/>
              </w:rPr>
              <w:t xml:space="preserve">Colombia Compra Eficiente, </w:t>
            </w:r>
            <w:r w:rsidRPr="00D4444C">
              <w:rPr>
                <w:rFonts w:ascii="Verdana" w:hAnsi="Verdana" w:cs="Arial"/>
              </w:rPr>
              <w:t>Circular Externa Única</w:t>
            </w:r>
            <w:r>
              <w:rPr>
                <w:rFonts w:ascii="Verdana" w:hAnsi="Verdana" w:cs="Arial"/>
              </w:rPr>
              <w:t>. Disponible en</w:t>
            </w:r>
            <w:r w:rsidRPr="00D4444C">
              <w:rPr>
                <w:rFonts w:ascii="Verdana" w:hAnsi="Verdana" w:cs="Arial"/>
              </w:rPr>
              <w:t xml:space="preserve">: </w:t>
            </w:r>
            <w:hyperlink r:id="rId12" w:history="1">
              <w:r w:rsidRPr="008D4636">
                <w:rPr>
                  <w:rStyle w:val="Hipervnculo"/>
                  <w:rFonts w:ascii="Verdana" w:hAnsi="Verdana" w:cs="Arial"/>
                </w:rPr>
                <w:t>https://colombiacompra.gov.co/sites/cce_public/files/cce_circulares/cce-eicp-ma-06_circular_externa_con_comentarios_de_ciudadanos-_v2f_002.pdf</w:t>
              </w:r>
            </w:hyperlink>
          </w:p>
          <w:p w14:paraId="4BE2E407" w14:textId="77777777" w:rsidR="001F3644" w:rsidRPr="0003480F" w:rsidRDefault="001F3644" w:rsidP="003F72F5">
            <w:pPr>
              <w:widowControl w:val="0"/>
              <w:autoSpaceDE w:val="0"/>
              <w:autoSpaceDN w:val="0"/>
              <w:spacing w:after="120" w:line="276" w:lineRule="auto"/>
              <w:ind w:left="720"/>
              <w:jc w:val="both"/>
              <w:rPr>
                <w:rFonts w:ascii="Verdana" w:hAnsi="Verdana" w:cs="Arial"/>
                <w:color w:val="000000" w:themeColor="text1"/>
              </w:rPr>
            </w:pPr>
          </w:p>
        </w:tc>
      </w:tr>
    </w:tbl>
    <w:p w14:paraId="32E1D1FB" w14:textId="77777777" w:rsidR="001F3644" w:rsidRDefault="001F3644" w:rsidP="001F3644">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C4160BA" w14:textId="77777777" w:rsidR="001F3644" w:rsidRDefault="001F3644" w:rsidP="001F3644">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328918C" w14:textId="77777777" w:rsidR="001F3644" w:rsidRPr="00593A5F" w:rsidRDefault="001F3644" w:rsidP="001F3644">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6645066" w14:textId="77777777" w:rsidR="001F3644" w:rsidRPr="00CC5C68" w:rsidRDefault="001F3644" w:rsidP="001F3644">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CC5C68">
        <w:rPr>
          <w:rFonts w:ascii="Verdana" w:eastAsia="Calibri" w:hAnsi="Verdana" w:cs="Arial"/>
          <w:lang w:val="es-ES_tradnl" w:eastAsia="es-ES_tradnl"/>
        </w:rPr>
        <w:t xml:space="preserve">Sobre </w:t>
      </w:r>
      <w:r>
        <w:rPr>
          <w:rFonts w:ascii="Verdana" w:eastAsia="Calibri" w:hAnsi="Verdana" w:cs="Arial"/>
          <w:lang w:val="es-ES_tradnl" w:eastAsia="es-ES_tradnl"/>
        </w:rPr>
        <w:t>las restricciones de la Ley de Garantías Electorales</w:t>
      </w:r>
      <w:r w:rsidRPr="00CC5C68">
        <w:rPr>
          <w:rFonts w:ascii="Verdana" w:eastAsia="Calibri" w:hAnsi="Verdana" w:cs="Arial"/>
          <w:lang w:val="es-ES_tradnl" w:eastAsia="es-ES_tradnl"/>
        </w:rPr>
        <w:t>, se pronunció esta Subdirección en los</w:t>
      </w:r>
      <w:r>
        <w:rPr>
          <w:rFonts w:ascii="Verdana" w:eastAsia="Calibri" w:hAnsi="Verdana" w:cs="Arial"/>
          <w:lang w:val="es-ES_tradnl" w:eastAsia="es-ES_tradnl"/>
        </w:rPr>
        <w:t xml:space="preserve"> conceptos</w:t>
      </w:r>
      <w:r w:rsidRPr="00CC5C68">
        <w:rPr>
          <w:rFonts w:ascii="Verdana" w:eastAsia="Calibri" w:hAnsi="Verdana" w:cs="Arial"/>
          <w:lang w:val="es-ES_tradnl" w:eastAsia="es-ES_tradnl"/>
        </w:rPr>
        <w:t xml:space="preserve"> </w:t>
      </w:r>
      <w:r w:rsidRPr="00F02C5A">
        <w:rPr>
          <w:rStyle w:val="normaltextrun"/>
          <w:rFonts w:ascii="Verdana" w:hAnsi="Verdana" w:cs="Arial"/>
          <w:color w:val="000000"/>
          <w:shd w:val="clear" w:color="auto" w:fill="FFFFFF"/>
          <w:lang w:val="es-ES"/>
        </w:rPr>
        <w:t xml:space="preserve">C-074 del 17 de marzo de 2021, C-075 del 16 de marzo de 2021, C-227 de 2021 del 5 de mayo de 2021, C-259 del 2 de junio de 2021, C-296 del 22 de junio de 2021, C-337 del 13 de julio de 2021, C-350 del 16 de julio de 2021, C-352 del 27 de julio de 2021, C-374 del 16 de septiembre de 2021, C-381 del 2 de agosto de 2021, C-391 del 11 de agosto de 2021, C-396 del 13 de agosto de 2021, C-401 del 10 de agosto de 2021, C-413 del 17 de agosto de 2021, C-439  del 27 de agosto de 2021, C-456 del 3 de septiembre de 2021, C-481 del 98 de septiembre de 2021, C-495 del 15 de septiembre de 2021, C-497 del 15 de septiembre de 2021, C-499 del 15 de septiembre de 2021, C-523 del 10 de octubre de 2021, C-528 del 27 de septiembre de 2021, C-543 del 9 de noviembre de 2021, C-550 del 5 de octubre de 2021, C-557 del 7 de octubre de 2021, C-563 del 8 de octubre de 2021, C-606 del 3 de noviembre de 2021, C-614 del 2 de noviembre de 2021, C-633 del 11 de noviembre de 2021, C-634 del 11 de noviembre de 2021, C-636 del 16 de noviembre de 2021, C-674 del 6 de diciembre de 2021, C-675 del 6 de enero de 2022, C-677 del 4 de diciembre de 2021, C-695 del 22 de diciembre de 2021, C-699 del 6 de enero de 2022, C-700 del 6 de enero de 2021, C-723 del 28 de diciembre de 2021, </w:t>
      </w:r>
      <w:r w:rsidRPr="00F02C5A">
        <w:rPr>
          <w:rStyle w:val="normaltextrun"/>
          <w:rFonts w:ascii="Verdana" w:hAnsi="Verdana" w:cs="Arial"/>
          <w:color w:val="000000"/>
          <w:shd w:val="clear" w:color="auto" w:fill="FFFFFF"/>
        </w:rPr>
        <w:t>C-715 del 21 de enero de 2022, C-718 del 24 de enero de 2022 y C-726 del 24 de enero de 2022, C-002 del 15 de febrero de 2022, C–005 del 16 de febrero de 2022, C-009 del 15 de febrero de 2022, C-014 del 18 de febrero de 2022, C-022 del 21 de febrero de 2022, C-023 del 22 de febrero de 2022, C-008 del 24 de febrero de 2022, C-045 del 3 de marzo de 2022, C-054 del 7 de marzo de 2022, C-064 del 8 de marzo de 2022, C-072 del 11 de marzo de 2022, C-109 del 14 de marzo de 2022, C-073 del 14 de marzo de 2022, C-075 del 10 de marzo de 2022, C-077 del 17 de marzo de 2022, C-092 del 16 de marzo de 2022, C-094 del 16 de marzo de 2022, C-096 del 22 de marzo de 2022, C-097 del 18 de marzo de 2022, C-098 del 9 de marzo de 2022, C-099 del 22 de marzo de 2022, C-102 del 22 de marzo de 2022, C-107 del 18 de marzo de 2022, C-111 del 22 de marzo de 2022. C-115 del 22 de marzo de 2022, C-116 del 18 de marzo de 2022, C-127 del 22 de marzo de 2022, C-134 del 1° de abril de 2022, C-164 del 22 de marzo de 2022, C-170 del 5 de abril de 2022, C-175 del 17 de mayo de 2022, C-329 del 24 de mayo de 2022, C-027 del 22 de marzo de 2023, C-049 del 13 de abril de 2023, C-075 del 25 de abril de 2023, C-076 del 25 de abril de 2023, C-098 del 4 de mayo de 2023, C-105 del 14 de junio de 2023, C-107 del 8 de mayo de 2023, C-115 del 8 de junio de 2023, C-116 del 8 de junio de 2023, C-118 del 9 de junio de 2023, C-134 del 26 de mayo de 2023, C-145 del 18 de mayo de 2023</w:t>
      </w:r>
      <w:r>
        <w:rPr>
          <w:rStyle w:val="normaltextrun"/>
          <w:rFonts w:ascii="Verdana" w:hAnsi="Verdana" w:cs="Arial"/>
          <w:color w:val="000000"/>
          <w:shd w:val="clear" w:color="auto" w:fill="FFFFFF"/>
        </w:rPr>
        <w:t xml:space="preserve">, </w:t>
      </w:r>
      <w:r w:rsidRPr="00F02C5A">
        <w:rPr>
          <w:rStyle w:val="normaltextrun"/>
          <w:rFonts w:ascii="Verdana" w:hAnsi="Verdana" w:cs="Arial"/>
          <w:color w:val="000000"/>
          <w:shd w:val="clear" w:color="auto" w:fill="FFFFFF"/>
        </w:rPr>
        <w:t>C-149 del 1° de junio de 2023</w:t>
      </w:r>
      <w:r>
        <w:rPr>
          <w:rStyle w:val="normaltextrun"/>
          <w:rFonts w:ascii="Verdana" w:hAnsi="Verdana" w:cs="Arial"/>
          <w:color w:val="000000"/>
          <w:shd w:val="clear" w:color="auto" w:fill="FFFFFF"/>
        </w:rPr>
        <w:t>, C-345 del 14 de julio de 2023, C-317 del 25 de abril de 2025, C-584 del 24 de junio de 2025 y  C – 1096 del 28 de agosto de 2025</w:t>
      </w:r>
      <w:r w:rsidRPr="00CC5C68">
        <w:rPr>
          <w:rFonts w:ascii="Verdana" w:eastAsia="Calibri" w:hAnsi="Verdana" w:cs="Arial"/>
          <w:lang w:val="es-ES_tradnl" w:eastAsia="es-ES_tradnl"/>
        </w:rPr>
        <w:t xml:space="preserve">. </w:t>
      </w:r>
      <w:r w:rsidRPr="00CC5C68">
        <w:rPr>
          <w:rFonts w:ascii="Verdana" w:eastAsia="Calibri" w:hAnsi="Verdana" w:cs="Arial"/>
          <w:lang w:val="es-ES" w:eastAsia="es-ES_tradnl"/>
        </w:rPr>
        <w:t>Estos</w:t>
      </w:r>
      <w:r w:rsidRPr="00CC5C68">
        <w:rPr>
          <w:rFonts w:ascii="Verdana" w:hAnsi="Verdana"/>
        </w:rPr>
        <w:t xml:space="preserve"> y otros conceptos se encuentran disponibles para consulta en el Sistema de relatoría de la Agencia, al cual se puede acceder a través del siguiente enlace:</w:t>
      </w:r>
      <w:r w:rsidRPr="00CC5C68">
        <w:rPr>
          <w:rStyle w:val="normaltextrun"/>
          <w:rFonts w:ascii="Verdana" w:hAnsi="Verdana" w:cs="Arial"/>
          <w:shd w:val="clear" w:color="auto" w:fill="FFFFFF"/>
          <w:lang w:val="es-ES"/>
        </w:rPr>
        <w:t xml:space="preserve"> </w:t>
      </w:r>
      <w:hyperlink r:id="rId13" w:history="1">
        <w:r w:rsidRPr="00CC5C68">
          <w:rPr>
            <w:rStyle w:val="Hipervnculo"/>
            <w:rFonts w:ascii="Verdana" w:hAnsi="Verdana" w:cs="Arial"/>
            <w:shd w:val="clear" w:color="auto" w:fill="FFFFFF"/>
            <w:lang w:val="es-ES"/>
          </w:rPr>
          <w:t>https://relatoria.colombiacompra.gov.co/busqueda/conceptos</w:t>
        </w:r>
      </w:hyperlink>
    </w:p>
    <w:p w14:paraId="216D16CC" w14:textId="77777777" w:rsidR="001F3644" w:rsidRPr="00505CD6" w:rsidRDefault="001F3644" w:rsidP="001F3644">
      <w:pPr>
        <w:widowControl w:val="0"/>
        <w:autoSpaceDE w:val="0"/>
        <w:autoSpaceDN w:val="0"/>
        <w:spacing w:after="0" w:line="276" w:lineRule="auto"/>
        <w:jc w:val="both"/>
        <w:rPr>
          <w:rFonts w:ascii="Verdana" w:hAnsi="Verdana" w:cs="Arial"/>
          <w:color w:val="000000" w:themeColor="text1"/>
          <w:shd w:val="clear" w:color="auto" w:fill="FFFFFF"/>
        </w:rPr>
      </w:pPr>
    </w:p>
    <w:p w14:paraId="71105D5C" w14:textId="77777777" w:rsidR="001F3644" w:rsidRPr="00103B90" w:rsidRDefault="001F3644" w:rsidP="001F3644">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1BDA76AE" w14:textId="77777777" w:rsidR="001F3644" w:rsidRPr="00103B90" w:rsidRDefault="001F3644" w:rsidP="001F3644">
      <w:pPr>
        <w:widowControl w:val="0"/>
        <w:autoSpaceDE w:val="0"/>
        <w:autoSpaceDN w:val="0"/>
        <w:spacing w:after="0" w:line="276" w:lineRule="auto"/>
        <w:jc w:val="both"/>
        <w:rPr>
          <w:rFonts w:ascii="Verdana" w:hAnsi="Verdana"/>
        </w:rPr>
      </w:pPr>
    </w:p>
    <w:p w14:paraId="2707A630" w14:textId="77777777" w:rsidR="001F3644" w:rsidRPr="00505CD6" w:rsidRDefault="001F3644" w:rsidP="001F3644">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6B7F4305" w14:textId="77777777" w:rsidR="001F3644" w:rsidRPr="00505CD6" w:rsidRDefault="001F3644" w:rsidP="001F3644">
      <w:pPr>
        <w:widowControl w:val="0"/>
        <w:autoSpaceDE w:val="0"/>
        <w:autoSpaceDN w:val="0"/>
        <w:spacing w:after="0" w:line="276" w:lineRule="auto"/>
        <w:jc w:val="both"/>
        <w:rPr>
          <w:rFonts w:ascii="Verdana" w:hAnsi="Verdana" w:cs="Arial"/>
        </w:rPr>
      </w:pPr>
    </w:p>
    <w:p w14:paraId="0C3B10E1" w14:textId="77777777" w:rsidR="001F3644" w:rsidRDefault="001F3644" w:rsidP="001F3644">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5103372B" w14:textId="77777777" w:rsidR="001F3644" w:rsidRDefault="001F3644" w:rsidP="001F3644">
      <w:pPr>
        <w:spacing w:line="276" w:lineRule="auto"/>
        <w:jc w:val="center"/>
        <w:rPr>
          <w:noProof/>
        </w:rPr>
      </w:pPr>
    </w:p>
    <w:p w14:paraId="036845A4" w14:textId="41A556B6" w:rsidR="001F3644" w:rsidRDefault="001F3644" w:rsidP="001F3644">
      <w:pPr>
        <w:spacing w:line="276" w:lineRule="auto"/>
        <w:jc w:val="center"/>
        <w:rPr>
          <w:noProof/>
        </w:rPr>
      </w:pPr>
    </w:p>
    <w:p w14:paraId="30DBA6A1" w14:textId="5ADD9D43" w:rsidR="00171E22" w:rsidRDefault="00171E22" w:rsidP="001F3644">
      <w:pPr>
        <w:spacing w:line="276" w:lineRule="auto"/>
        <w:jc w:val="center"/>
        <w:rPr>
          <w:noProof/>
        </w:rPr>
      </w:pPr>
      <w:r>
        <w:rPr>
          <w:noProof/>
        </w:rPr>
        <w:drawing>
          <wp:inline distT="0" distB="0" distL="0" distR="0" wp14:anchorId="07D5D976" wp14:editId="526A7AA5">
            <wp:extent cx="3964305" cy="1701807"/>
            <wp:effectExtent l="0" t="0" r="0" b="0"/>
            <wp:docPr id="2011480760"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480760" name="Imagen 2" descr="Texto&#10;&#10;El contenido generado por IA puede ser incorrect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991192" cy="1713349"/>
                    </a:xfrm>
                    <a:prstGeom prst="rect">
                      <a:avLst/>
                    </a:prstGeom>
                    <a:noFill/>
                    <a:ln>
                      <a:noFill/>
                    </a:ln>
                  </pic:spPr>
                </pic:pic>
              </a:graphicData>
            </a:graphic>
          </wp:inline>
        </w:drawing>
      </w:r>
    </w:p>
    <w:p w14:paraId="52444FF6" w14:textId="77777777" w:rsidR="001F3644" w:rsidRDefault="001F3644" w:rsidP="001F3644">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F3644" w:rsidRPr="00593A5F" w14:paraId="5672F846" w14:textId="77777777" w:rsidTr="003F72F5">
        <w:trPr>
          <w:trHeight w:val="315"/>
        </w:trPr>
        <w:tc>
          <w:tcPr>
            <w:tcW w:w="893" w:type="dxa"/>
            <w:vAlign w:val="center"/>
            <w:hideMark/>
          </w:tcPr>
          <w:p w14:paraId="21BC70BA" w14:textId="77777777" w:rsidR="001F3644" w:rsidRPr="003751C7" w:rsidRDefault="001F3644" w:rsidP="003F72F5">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53D59AC" w14:textId="77777777" w:rsidR="001F3644" w:rsidRPr="007911EE" w:rsidRDefault="001F3644" w:rsidP="003F72F5">
            <w:pPr>
              <w:contextualSpacing/>
              <w:rPr>
                <w:rFonts w:ascii="Verdana" w:hAnsi="Verdana"/>
                <w:sz w:val="16"/>
                <w:szCs w:val="16"/>
              </w:rPr>
            </w:pPr>
            <w:r>
              <w:rPr>
                <w:rFonts w:ascii="Verdana" w:hAnsi="Verdana"/>
                <w:sz w:val="16"/>
                <w:szCs w:val="16"/>
              </w:rPr>
              <w:t>Daniel Eduardo Rojas Poveda</w:t>
            </w:r>
          </w:p>
          <w:p w14:paraId="2DA60DFA" w14:textId="77777777" w:rsidR="001F3644" w:rsidRPr="007911EE" w:rsidRDefault="001F3644" w:rsidP="003F72F5">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1F3644" w:rsidRPr="00593A5F" w14:paraId="5CFF0310" w14:textId="77777777" w:rsidTr="003F72F5">
        <w:trPr>
          <w:trHeight w:val="330"/>
        </w:trPr>
        <w:tc>
          <w:tcPr>
            <w:tcW w:w="893" w:type="dxa"/>
            <w:vAlign w:val="center"/>
            <w:hideMark/>
          </w:tcPr>
          <w:p w14:paraId="13AB8813" w14:textId="77777777" w:rsidR="001F3644" w:rsidRPr="003751C7" w:rsidRDefault="001F3644" w:rsidP="003F72F5">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68FF0EF" w14:textId="77777777" w:rsidR="001F3644" w:rsidRDefault="001F3644" w:rsidP="003F72F5">
            <w:pPr>
              <w:spacing w:line="276" w:lineRule="auto"/>
              <w:contextualSpacing/>
              <w:jc w:val="both"/>
              <w:rPr>
                <w:rFonts w:ascii="Verdana" w:hAnsi="Verdana"/>
                <w:sz w:val="16"/>
                <w:szCs w:val="16"/>
              </w:rPr>
            </w:pPr>
            <w:r w:rsidRPr="00915A2F">
              <w:rPr>
                <w:rFonts w:ascii="Verdana" w:hAnsi="Verdana"/>
                <w:sz w:val="16"/>
                <w:szCs w:val="16"/>
              </w:rPr>
              <w:t>Juan Carlos González</w:t>
            </w:r>
            <w:r>
              <w:rPr>
                <w:rFonts w:ascii="Verdana" w:hAnsi="Verdana"/>
                <w:sz w:val="16"/>
                <w:szCs w:val="16"/>
              </w:rPr>
              <w:t xml:space="preserve"> Vásquez</w:t>
            </w:r>
          </w:p>
          <w:p w14:paraId="4B1AC4DC" w14:textId="77777777" w:rsidR="001F3644" w:rsidRPr="007911EE" w:rsidRDefault="001F3644" w:rsidP="003F72F5">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1F3644" w:rsidRPr="00593A5F" w14:paraId="1B1B2E9E" w14:textId="77777777" w:rsidTr="003F72F5">
        <w:trPr>
          <w:trHeight w:val="330"/>
        </w:trPr>
        <w:tc>
          <w:tcPr>
            <w:tcW w:w="893" w:type="dxa"/>
            <w:vAlign w:val="center"/>
          </w:tcPr>
          <w:p w14:paraId="3E25602B" w14:textId="77777777" w:rsidR="001F3644" w:rsidRPr="003751C7" w:rsidRDefault="001F3644" w:rsidP="003F72F5">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AE725EB" w14:textId="77777777" w:rsidR="001F3644" w:rsidRDefault="001F3644" w:rsidP="003F72F5">
            <w:pPr>
              <w:spacing w:line="276" w:lineRule="auto"/>
              <w:contextualSpacing/>
              <w:jc w:val="both"/>
              <w:rPr>
                <w:rFonts w:ascii="Verdana" w:hAnsi="Verdana"/>
                <w:sz w:val="16"/>
                <w:szCs w:val="16"/>
              </w:rPr>
            </w:pPr>
            <w:r>
              <w:rPr>
                <w:rFonts w:ascii="Verdana" w:hAnsi="Verdana"/>
                <w:sz w:val="16"/>
                <w:szCs w:val="16"/>
              </w:rPr>
              <w:t xml:space="preserve">Carolina Quintero </w:t>
            </w:r>
            <w:proofErr w:type="spellStart"/>
            <w:r>
              <w:rPr>
                <w:rFonts w:ascii="Verdana" w:hAnsi="Verdana"/>
                <w:sz w:val="16"/>
                <w:szCs w:val="16"/>
              </w:rPr>
              <w:t>Gacharná</w:t>
            </w:r>
            <w:proofErr w:type="spellEnd"/>
            <w:r>
              <w:rPr>
                <w:rFonts w:ascii="Verdana" w:hAnsi="Verdana"/>
                <w:sz w:val="16"/>
                <w:szCs w:val="16"/>
              </w:rPr>
              <w:t xml:space="preserve"> </w:t>
            </w:r>
          </w:p>
          <w:p w14:paraId="50A6691C" w14:textId="77777777" w:rsidR="001F3644" w:rsidRDefault="001F3644" w:rsidP="003F72F5">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7CD815E6" w14:textId="77777777" w:rsidR="001F3644" w:rsidRPr="00F30C63" w:rsidRDefault="001F3644" w:rsidP="001F3644"/>
    <w:p w14:paraId="0F293BF4" w14:textId="211A9709" w:rsidR="00127233" w:rsidRPr="001F3644" w:rsidRDefault="00127233" w:rsidP="001F3644"/>
    <w:sectPr w:rsidR="00127233" w:rsidRPr="001F3644"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623D12" w14:textId="77777777" w:rsidR="00A05496" w:rsidRDefault="00A05496" w:rsidP="004A1847">
      <w:pPr>
        <w:spacing w:after="0" w:line="240" w:lineRule="auto"/>
      </w:pPr>
      <w:r>
        <w:separator/>
      </w:r>
    </w:p>
  </w:endnote>
  <w:endnote w:type="continuationSeparator" w:id="0">
    <w:p w14:paraId="0E5C04FC" w14:textId="77777777" w:rsidR="00A05496" w:rsidRDefault="00A0549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96F728" w14:textId="77777777" w:rsidR="00A05496" w:rsidRDefault="00A05496" w:rsidP="004A1847">
      <w:pPr>
        <w:spacing w:after="0" w:line="240" w:lineRule="auto"/>
      </w:pPr>
      <w:r>
        <w:separator/>
      </w:r>
    </w:p>
  </w:footnote>
  <w:footnote w:type="continuationSeparator" w:id="0">
    <w:p w14:paraId="77B5EE66" w14:textId="77777777" w:rsidR="00A05496" w:rsidRDefault="00A05496" w:rsidP="004A1847">
      <w:pPr>
        <w:spacing w:after="0" w:line="240" w:lineRule="auto"/>
      </w:pPr>
      <w:r>
        <w:continuationSeparator/>
      </w:r>
    </w:p>
  </w:footnote>
  <w:footnote w:id="1">
    <w:p w14:paraId="48077B36" w14:textId="77777777" w:rsidR="001F3644" w:rsidRPr="00B93D47" w:rsidRDefault="001F3644" w:rsidP="001F3644">
      <w:pPr>
        <w:pStyle w:val="Textonotapie"/>
        <w:ind w:right="51"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sz w:val="16"/>
          <w:szCs w:val="16"/>
          <w:lang w:val="es-ES"/>
        </w:rPr>
        <w:t xml:space="preserve">[25] </w:t>
      </w:r>
      <w:r w:rsidRPr="00B93D47">
        <w:rPr>
          <w:rFonts w:ascii="Verdana" w:hAnsi="Verdana" w:cs="Arial"/>
          <w:sz w:val="16"/>
          <w:szCs w:val="16"/>
        </w:rPr>
        <w:t>Cfr. Consejo de Estado. Sección Tercera. Sentencia de 3 de diciembre de 2007. Radicados: 24.715, 25.206, 25.409, 24.524, 27.834, 25.410, 26.105, 28.244, 31.447 -acumulados-”.</w:t>
      </w:r>
    </w:p>
    <w:p w14:paraId="620E95AA" w14:textId="77777777" w:rsidR="001F3644" w:rsidRPr="00B93D47" w:rsidRDefault="001F3644" w:rsidP="001F3644">
      <w:pPr>
        <w:pStyle w:val="Textonotapie"/>
        <w:ind w:right="51" w:firstLine="709"/>
        <w:contextualSpacing/>
        <w:jc w:val="both"/>
        <w:rPr>
          <w:rFonts w:ascii="Verdana" w:hAnsi="Verdana" w:cs="Arial"/>
          <w:sz w:val="16"/>
          <w:szCs w:val="16"/>
        </w:rPr>
      </w:pPr>
    </w:p>
  </w:footnote>
  <w:footnote w:id="2">
    <w:p w14:paraId="64908CCC" w14:textId="77777777" w:rsidR="001F3644" w:rsidRPr="00B93D47" w:rsidRDefault="001F3644" w:rsidP="001F3644">
      <w:pPr>
        <w:pStyle w:val="Textonotapie"/>
        <w:ind w:right="51"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w:t>
      </w:r>
      <w:bookmarkStart w:id="7" w:name="_Hlk74294506"/>
      <w:r w:rsidRPr="00B93D47">
        <w:rPr>
          <w:rFonts w:ascii="Verdana" w:hAnsi="Verdana" w:cs="Arial"/>
          <w:sz w:val="16"/>
          <w:szCs w:val="16"/>
        </w:rPr>
        <w:t>“</w:t>
      </w:r>
      <w:r w:rsidRPr="00B93D47">
        <w:rPr>
          <w:rFonts w:ascii="Verdana" w:hAnsi="Verdana" w:cs="Arial"/>
          <w:sz w:val="16"/>
          <w:szCs w:val="16"/>
          <w:lang w:val="es-ES"/>
        </w:rPr>
        <w:t xml:space="preserve">[26] </w:t>
      </w:r>
      <w:bookmarkEnd w:id="7"/>
      <w:r w:rsidRPr="00B93D47">
        <w:rPr>
          <w:rFonts w:ascii="Verdana" w:hAnsi="Verdana" w:cs="Arial"/>
          <w:sz w:val="16"/>
          <w:szCs w:val="16"/>
        </w:rPr>
        <w:t>Al respecto ver el concepto 1712 de 2 de febrero de 2006. Consejo de Estado Sala de Consulta y Servicio Civil”.</w:t>
      </w:r>
    </w:p>
  </w:footnote>
  <w:footnote w:id="3">
    <w:p w14:paraId="1876597C" w14:textId="77777777" w:rsidR="001F3644" w:rsidRPr="00B93D47" w:rsidRDefault="001F3644" w:rsidP="001F3644">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4">
    <w:p w14:paraId="0F53A8B1" w14:textId="77777777" w:rsidR="001F3644" w:rsidRPr="00B93D47" w:rsidRDefault="001F3644" w:rsidP="001F3644">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sz w:val="16"/>
          <w:szCs w:val="16"/>
          <w:lang w:val="es-ES"/>
        </w:rPr>
        <w:t xml:space="preserve">Artículo 2. </w:t>
      </w:r>
    </w:p>
  </w:footnote>
  <w:footnote w:id="5">
    <w:p w14:paraId="177B3C16" w14:textId="77777777" w:rsidR="001F3644" w:rsidRPr="00B93D47" w:rsidRDefault="001F3644" w:rsidP="001F3644">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i/>
          <w:sz w:val="16"/>
          <w:szCs w:val="16"/>
          <w:lang w:val="es-ES"/>
        </w:rPr>
        <w:t>Ídem</w:t>
      </w:r>
      <w:r w:rsidRPr="00B93D47">
        <w:rPr>
          <w:rFonts w:ascii="Verdana" w:hAnsi="Verdana" w:cs="Arial"/>
          <w:sz w:val="16"/>
          <w:szCs w:val="16"/>
          <w:lang w:val="es-ES"/>
        </w:rPr>
        <w:t>.</w:t>
      </w:r>
    </w:p>
  </w:footnote>
  <w:footnote w:id="6">
    <w:p w14:paraId="6DBCCACB" w14:textId="77777777" w:rsidR="001F3644" w:rsidRDefault="001F3644" w:rsidP="001F3644">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 xml:space="preserve">“[…] A este respecto, cabe recordar que el artículo 860 del Código de Comercio regula la licitación en el derecho privado”. </w:t>
      </w:r>
    </w:p>
    <w:p w14:paraId="7EBCAD6D" w14:textId="77777777" w:rsidR="001F3644" w:rsidRPr="00B93D47" w:rsidRDefault="001F3644" w:rsidP="001F3644">
      <w:pPr>
        <w:pStyle w:val="Textonotapie"/>
        <w:ind w:firstLine="709"/>
        <w:contextualSpacing/>
        <w:jc w:val="both"/>
        <w:rPr>
          <w:rFonts w:ascii="Verdana" w:hAnsi="Verdana" w:cs="Arial"/>
          <w:sz w:val="16"/>
          <w:szCs w:val="16"/>
          <w:lang w:val="es-ES"/>
        </w:rPr>
      </w:pPr>
    </w:p>
  </w:footnote>
  <w:footnote w:id="7">
    <w:p w14:paraId="27562D27" w14:textId="77777777" w:rsidR="001F3644" w:rsidRPr="00B93D47" w:rsidRDefault="001F3644" w:rsidP="001F3644">
      <w:pPr>
        <w:shd w:val="clear" w:color="auto" w:fill="FFFFFF"/>
        <w:spacing w:after="0" w:line="240" w:lineRule="auto"/>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8">
    <w:p w14:paraId="300F0311" w14:textId="77777777" w:rsidR="001F3644" w:rsidRDefault="001F3644" w:rsidP="001F3644">
      <w:pPr>
        <w:pStyle w:val="Textonotapie"/>
        <w:ind w:firstLine="709"/>
        <w:contextualSpacing/>
        <w:jc w:val="both"/>
        <w:rPr>
          <w:rFonts w:ascii="Verdana" w:hAnsi="Verdana" w:cs="Arial"/>
          <w:sz w:val="16"/>
          <w:szCs w:val="16"/>
        </w:rPr>
      </w:pPr>
    </w:p>
    <w:p w14:paraId="4AF56B1B" w14:textId="77777777" w:rsidR="001F3644" w:rsidRDefault="001F3644" w:rsidP="001F3644">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Consejo de Estado. Sala de Consulta y Servicio Civil. Concepto del 08 de mayo de 2018. Exp. 2.382. C.P. Álvaro Namén Vargas.</w:t>
      </w:r>
    </w:p>
    <w:p w14:paraId="441AD309" w14:textId="77777777" w:rsidR="001F3644" w:rsidRPr="00B93D47" w:rsidRDefault="001F3644" w:rsidP="001F3644">
      <w:pPr>
        <w:pStyle w:val="Textonotapie"/>
        <w:ind w:firstLine="709"/>
        <w:contextualSpacing/>
        <w:jc w:val="both"/>
        <w:rPr>
          <w:rFonts w:ascii="Verdana" w:hAnsi="Verdana" w:cs="Arial"/>
          <w:sz w:val="16"/>
          <w:szCs w:val="16"/>
        </w:rPr>
      </w:pPr>
    </w:p>
  </w:footnote>
  <w:footnote w:id="9">
    <w:p w14:paraId="541ECD25" w14:textId="77777777" w:rsidR="001F3644" w:rsidRPr="00B93D47" w:rsidRDefault="001F3644" w:rsidP="001F3644">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pt;height:12.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410660111">
    <w:abstractNumId w:val="0"/>
  </w:num>
  <w:num w:numId="17" w16cid:durableId="14943692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71E22"/>
    <w:rsid w:val="001A33BF"/>
    <w:rsid w:val="001E4177"/>
    <w:rsid w:val="001F0B24"/>
    <w:rsid w:val="001F3644"/>
    <w:rsid w:val="001F7DC6"/>
    <w:rsid w:val="0022400B"/>
    <w:rsid w:val="002421BB"/>
    <w:rsid w:val="0025796E"/>
    <w:rsid w:val="002707A2"/>
    <w:rsid w:val="00275315"/>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14677"/>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05496"/>
    <w:rsid w:val="00A122D3"/>
    <w:rsid w:val="00A14468"/>
    <w:rsid w:val="00A17F13"/>
    <w:rsid w:val="00A20739"/>
    <w:rsid w:val="00A23AF9"/>
    <w:rsid w:val="00A33C78"/>
    <w:rsid w:val="00A53F11"/>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4486"/>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F3644"/>
    <w:rPr>
      <w:rFonts w:ascii="Geomanist Light" w:hAnsi="Geomanist Light"/>
      <w:lang w:val="es-ES"/>
    </w:rPr>
  </w:style>
  <w:style w:type="paragraph" w:customStyle="1" w:styleId="Appelnotedebasde">
    <w:name w:val="Appel note de bas de..."/>
    <w:basedOn w:val="Normal"/>
    <w:link w:val="Refdenotaalpie"/>
    <w:uiPriority w:val="99"/>
    <w:rsid w:val="001F3644"/>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olombiacompra.gov.co/sites/cce_public/files/cce_circulares/cce-eicp-ma-06_circular_externa_con_comentarios_de_ciudadanos-_v2f_002.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ofi.rod1989@hotmail.com" TargetMode="External"/><Relationship Id="rId5" Type="http://schemas.openxmlformats.org/officeDocument/2006/relationships/styles" Target="styles.xml"/><Relationship Id="rId15" Type="http://schemas.openxmlformats.org/officeDocument/2006/relationships/image" Target="media/image3.jpe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customXml/itemProps3.xml><?xml version="1.0" encoding="utf-8"?>
<ds:datastoreItem xmlns:ds="http://schemas.openxmlformats.org/officeDocument/2006/customXml" ds:itemID="{80346341-BB63-4BA3-86DA-C056C9EE8168}"/>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13</Pages>
  <Words>4297</Words>
  <Characters>22388</Characters>
  <Application>Microsoft Office Word</Application>
  <DocSecurity>0</DocSecurity>
  <Lines>476</Lines>
  <Paragraphs>91</Paragraphs>
  <ScaleCrop>false</ScaleCrop>
  <Company/>
  <LinksUpToDate>false</LinksUpToDate>
  <CharactersWithSpaces>26594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3</cp:revision>
  <cp:lastPrinted>2023-01-10T21:18:00Z</cp:lastPrinted>
  <dcterms:created xsi:type="dcterms:W3CDTF">2025-12-24T15:23:00Z</dcterms:created>
  <dcterms:modified xsi:type="dcterms:W3CDTF">2025-12-24T15:33:00Z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