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0A3793" w14:textId="77777777" w:rsidR="00983DD3" w:rsidRPr="00D126E1" w:rsidRDefault="00983DD3" w:rsidP="00983DD3">
      <w:pPr>
        <w:spacing w:after="0" w:line="276" w:lineRule="auto"/>
        <w:jc w:val="both"/>
        <w:rPr>
          <w:rFonts w:ascii="Verdana" w:eastAsia="Calibri" w:hAnsi="Verdana" w:cs="Arial"/>
          <w:b/>
          <w:bCs/>
          <w:lang w:val="es-ES_tradnl"/>
        </w:rPr>
      </w:pPr>
      <w:bookmarkStart w:id="0" w:name="_Hlk77174298"/>
      <w:bookmarkStart w:id="1" w:name="_Hlk99351345"/>
      <w:bookmarkStart w:id="2" w:name="_Hlk176861190"/>
      <w:bookmarkStart w:id="3" w:name="_Hlk176877108"/>
      <w:bookmarkStart w:id="4" w:name="_Hlk143780582"/>
      <w:bookmarkEnd w:id="0"/>
      <w:bookmarkEnd w:id="1"/>
      <w:bookmarkEnd w:id="2"/>
      <w:bookmarkEnd w:id="3"/>
      <w:r w:rsidRPr="00D126E1">
        <w:rPr>
          <w:rFonts w:ascii="Verdana" w:eastAsia="Calibri" w:hAnsi="Verdana" w:cs="Arial"/>
          <w:b/>
          <w:bCs/>
          <w:lang w:val="es-ES_tradnl"/>
        </w:rPr>
        <w:t xml:space="preserve">DOCUMENTOS TIPO – Fundamento normativo – Obligatoriedad </w:t>
      </w:r>
    </w:p>
    <w:p w14:paraId="3E02E070" w14:textId="77777777" w:rsidR="00983DD3" w:rsidRPr="00D126E1" w:rsidRDefault="00983DD3" w:rsidP="00983DD3">
      <w:pPr>
        <w:spacing w:after="0" w:line="276" w:lineRule="auto"/>
        <w:jc w:val="both"/>
        <w:rPr>
          <w:rFonts w:ascii="Verdana" w:eastAsia="Calibri" w:hAnsi="Verdana" w:cs="Arial"/>
          <w:b/>
          <w:bCs/>
          <w:sz w:val="20"/>
          <w:szCs w:val="20"/>
          <w:lang w:val="es-ES_tradnl"/>
        </w:rPr>
      </w:pPr>
    </w:p>
    <w:p w14:paraId="0F6900F5" w14:textId="77777777" w:rsidR="00983DD3" w:rsidRDefault="00983DD3" w:rsidP="00983DD3">
      <w:pPr>
        <w:tabs>
          <w:tab w:val="left" w:pos="709"/>
        </w:tabs>
        <w:spacing w:after="0" w:line="240" w:lineRule="auto"/>
        <w:jc w:val="both"/>
        <w:rPr>
          <w:rFonts w:ascii="Verdana" w:eastAsia="Calibri" w:hAnsi="Verdana" w:cs="Arial"/>
          <w:sz w:val="20"/>
          <w:szCs w:val="20"/>
          <w:lang w:val="es-ES"/>
        </w:rPr>
      </w:pPr>
      <w:r w:rsidRPr="00D126E1">
        <w:rPr>
          <w:rFonts w:ascii="Verdana" w:eastAsia="Calibri" w:hAnsi="Verdana" w:cs="Arial"/>
          <w:sz w:val="20"/>
          <w:szCs w:val="20"/>
          <w:lang w:val="es-ES"/>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w:t>
      </w:r>
      <w:r>
        <w:rPr>
          <w:rFonts w:ascii="Verdana" w:eastAsia="Calibri" w:hAnsi="Verdana" w:cs="Arial"/>
          <w:sz w:val="20"/>
          <w:szCs w:val="20"/>
          <w:lang w:val="es-ES"/>
        </w:rPr>
        <w:t xml:space="preserve">Contratación de </w:t>
      </w:r>
      <w:r w:rsidRPr="00D126E1">
        <w:rPr>
          <w:rFonts w:ascii="Verdana" w:eastAsia="Calibri" w:hAnsi="Verdana" w:cs="Arial"/>
          <w:sz w:val="20"/>
          <w:szCs w:val="20"/>
          <w:lang w:val="es-ES"/>
        </w:rPr>
        <w:t>la Administración Pública.</w:t>
      </w:r>
    </w:p>
    <w:p w14:paraId="2A91359A" w14:textId="77777777" w:rsidR="00B0222C" w:rsidRDefault="00B0222C" w:rsidP="00983DD3">
      <w:pPr>
        <w:tabs>
          <w:tab w:val="left" w:pos="709"/>
        </w:tabs>
        <w:spacing w:after="0" w:line="240" w:lineRule="auto"/>
        <w:jc w:val="both"/>
        <w:rPr>
          <w:rFonts w:ascii="Verdana" w:eastAsia="Calibri" w:hAnsi="Verdana" w:cs="Arial"/>
          <w:sz w:val="20"/>
          <w:szCs w:val="20"/>
          <w:lang w:val="es-ES"/>
        </w:rPr>
      </w:pPr>
    </w:p>
    <w:p w14:paraId="46477F3D" w14:textId="77777777" w:rsidR="00B0222C" w:rsidRPr="00DB16BD" w:rsidRDefault="00B0222C" w:rsidP="00B0222C">
      <w:pPr>
        <w:spacing w:after="0" w:line="240" w:lineRule="auto"/>
        <w:jc w:val="both"/>
        <w:rPr>
          <w:rFonts w:ascii="Verdana" w:hAnsi="Verdana" w:cs="Arial"/>
          <w:b/>
          <w:color w:val="000000"/>
          <w:szCs w:val="24"/>
          <w:lang w:val="es-ES_tradnl" w:eastAsia="es-ES_tradnl"/>
        </w:rPr>
      </w:pPr>
      <w:r w:rsidRPr="00DB16BD">
        <w:rPr>
          <w:rFonts w:ascii="Verdana" w:eastAsia="Times New Roman" w:hAnsi="Verdana" w:cs="Arial"/>
          <w:b/>
          <w:lang w:eastAsia="es-ES_tradnl"/>
        </w:rPr>
        <w:t xml:space="preserve">DOCUMENTOS TIPO – Fundamento normativo – Obligatoriedad – Ámbito de aplicación – Entidades sometidas </w:t>
      </w:r>
    </w:p>
    <w:p w14:paraId="3FE9208D" w14:textId="77777777" w:rsidR="00B0222C" w:rsidRDefault="00B0222C" w:rsidP="00B0222C">
      <w:pPr>
        <w:spacing w:after="0" w:line="240" w:lineRule="auto"/>
        <w:jc w:val="both"/>
        <w:rPr>
          <w:rFonts w:ascii="Verdana" w:hAnsi="Verdana" w:cs="Arial"/>
          <w:b/>
          <w:color w:val="000000"/>
          <w:szCs w:val="24"/>
          <w:lang w:val="es-ES_tradnl" w:eastAsia="es-ES_tradnl"/>
        </w:rPr>
      </w:pPr>
    </w:p>
    <w:p w14:paraId="6D928F72" w14:textId="77777777" w:rsidR="00B0222C" w:rsidRPr="00113C4A" w:rsidRDefault="00B0222C" w:rsidP="00B0222C">
      <w:pPr>
        <w:spacing w:after="0" w:line="240" w:lineRule="auto"/>
        <w:jc w:val="both"/>
        <w:rPr>
          <w:rFonts w:ascii="Verdana" w:eastAsia="Calibri" w:hAnsi="Verdana" w:cs="Arial"/>
          <w:sz w:val="20"/>
          <w:lang w:val="es-ES_tradnl" w:eastAsia="es-ES_tradnl"/>
        </w:rPr>
      </w:pPr>
      <w:r w:rsidRPr="00113C4A">
        <w:rPr>
          <w:rFonts w:ascii="Verdana" w:eastAsia="Calibri" w:hAnsi="Verdana" w:cs="Arial"/>
          <w:sz w:val="20"/>
          <w:lang w:val="es-ES_tradnl" w:eastAsia="es-ES"/>
        </w:rPr>
        <w:t xml:space="preserve">La Ley 2022 de 2020,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113C4A">
        <w:rPr>
          <w:rFonts w:ascii="Verdana" w:eastAsia="Calibri" w:hAnsi="Verdana" w:cs="Arial"/>
          <w:bCs/>
          <w:sz w:val="20"/>
          <w:lang w:val="es-ES_tradnl" w:eastAsia="es-ES_tradnl"/>
        </w:rPr>
        <w:t>EGCAP</w:t>
      </w:r>
      <w:r w:rsidRPr="00113C4A">
        <w:rPr>
          <w:rFonts w:ascii="Verdana" w:eastAsia="Calibri" w:hAnsi="Verdana" w:cs="Arial"/>
          <w:sz w:val="20"/>
          <w:lang w:val="es-ES_tradnl" w:eastAsia="es-ES"/>
        </w:rPr>
        <w:t xml:space="preserve">, se atribuyó a la </w:t>
      </w:r>
      <w:r w:rsidRPr="00113C4A">
        <w:rPr>
          <w:rFonts w:ascii="Verdana" w:eastAsia="Calibri" w:hAnsi="Verdana" w:cs="Arial"/>
          <w:sz w:val="20"/>
          <w:lang w:val="es-ES_tradnl" w:eastAsia="es-ES_tradnl"/>
        </w:rPr>
        <w:t>Agencia Nacional de Contratación Pública – Colombia Compra Eficiente la competencia para su expedición.</w:t>
      </w:r>
    </w:p>
    <w:p w14:paraId="2A95FA88" w14:textId="77777777" w:rsidR="00B0222C" w:rsidRPr="00113C4A" w:rsidRDefault="00B0222C" w:rsidP="00B0222C">
      <w:pPr>
        <w:spacing w:after="0" w:line="240" w:lineRule="auto"/>
        <w:jc w:val="both"/>
        <w:rPr>
          <w:rFonts w:ascii="Verdana" w:eastAsia="Calibri" w:hAnsi="Verdana" w:cs="Arial"/>
          <w:sz w:val="20"/>
          <w:lang w:val="es-ES_tradnl" w:eastAsia="es-ES"/>
        </w:rPr>
      </w:pPr>
      <w:r w:rsidRPr="00113C4A">
        <w:rPr>
          <w:rFonts w:ascii="Verdana" w:eastAsia="Calibri" w:hAnsi="Verdana" w:cs="Arial"/>
          <w:sz w:val="20"/>
          <w:lang w:val="es-ES_tradnl" w:eastAsia="es-ES_tradnl"/>
        </w:rPr>
        <w:t xml:space="preserve">[…] </w:t>
      </w:r>
    </w:p>
    <w:p w14:paraId="56B8FF75" w14:textId="77777777" w:rsidR="00B0222C" w:rsidRPr="00113C4A" w:rsidRDefault="00B0222C" w:rsidP="00B0222C">
      <w:pPr>
        <w:spacing w:after="0" w:line="240" w:lineRule="auto"/>
        <w:jc w:val="both"/>
        <w:rPr>
          <w:rFonts w:ascii="Verdana" w:eastAsia="Calibri" w:hAnsi="Verdana" w:cs="Arial"/>
          <w:sz w:val="20"/>
        </w:rPr>
      </w:pPr>
      <w:r w:rsidRPr="00113C4A">
        <w:rPr>
          <w:rFonts w:ascii="Verdana" w:eastAsia="Calibri" w:hAnsi="Verdana" w:cs="Arial"/>
          <w:sz w:val="20"/>
          <w:lang w:eastAsia="es-ES_tradnl"/>
        </w:rPr>
        <w:t xml:space="preserve">De acuerdo con lo expuesto, </w:t>
      </w:r>
      <w:r w:rsidRPr="00113C4A">
        <w:rPr>
          <w:rFonts w:ascii="Verdana" w:eastAsia="Calibri" w:hAnsi="Verdana" w:cs="Arial"/>
          <w:sz w:val="20"/>
          <w:bdr w:val="none" w:sz="0" w:space="0" w:color="auto" w:frame="1"/>
          <w:lang w:eastAsia="es-ES_tradnl"/>
        </w:rPr>
        <w:t xml:space="preserve">los Documentos Tipo adoptados son obligatorios para las Entidades Estatales regidas por el </w:t>
      </w:r>
      <w:r w:rsidRPr="00113C4A">
        <w:rPr>
          <w:rFonts w:ascii="Verdana" w:eastAsia="Calibri" w:hAnsi="Verdana" w:cs="Arial"/>
          <w:bCs/>
          <w:sz w:val="20"/>
          <w:lang w:val="es-ES_tradnl" w:eastAsia="es-ES_tradnl"/>
        </w:rPr>
        <w:t>EGCAP</w:t>
      </w:r>
      <w:r w:rsidRPr="00113C4A">
        <w:rPr>
          <w:rFonts w:ascii="Verdana" w:eastAsia="Calibri" w:hAnsi="Verdana" w:cs="Arial"/>
          <w:sz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113C4A">
        <w:rPr>
          <w:rFonts w:ascii="Verdana" w:eastAsia="Calibri" w:hAnsi="Verdana" w:cs="Arial"/>
          <w:sz w:val="20"/>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122D135C" w14:textId="77777777" w:rsidR="00B0222C" w:rsidRPr="00113C4A" w:rsidRDefault="00B0222C" w:rsidP="00B0222C">
      <w:pPr>
        <w:spacing w:after="0" w:line="240" w:lineRule="auto"/>
        <w:jc w:val="both"/>
        <w:rPr>
          <w:rFonts w:ascii="Verdana" w:hAnsi="Verdana" w:cs="Arial"/>
          <w:b/>
          <w:color w:val="000000"/>
          <w:szCs w:val="24"/>
          <w:lang w:eastAsia="es-ES_tradnl"/>
        </w:rPr>
      </w:pPr>
    </w:p>
    <w:p w14:paraId="664C5A74" w14:textId="77777777" w:rsidR="00B0222C" w:rsidRDefault="00B0222C" w:rsidP="00B0222C">
      <w:pPr>
        <w:spacing w:after="0" w:line="240" w:lineRule="auto"/>
        <w:jc w:val="both"/>
        <w:rPr>
          <w:rFonts w:ascii="Verdana" w:hAnsi="Verdana" w:cs="Arial"/>
          <w:b/>
          <w:color w:val="000000"/>
          <w:szCs w:val="24"/>
          <w:lang w:val="es-ES_tradnl" w:eastAsia="es-ES_tradnl"/>
        </w:rPr>
      </w:pPr>
      <w:r w:rsidRPr="00DB16BD">
        <w:rPr>
          <w:rFonts w:ascii="Verdana" w:hAnsi="Verdana" w:cs="Arial"/>
          <w:b/>
          <w:color w:val="000000"/>
          <w:szCs w:val="24"/>
          <w:lang w:val="es-ES_tradnl" w:eastAsia="es-ES_tradnl"/>
        </w:rPr>
        <w:t xml:space="preserve">LEY 2195 DE 2022 – Artículo 56 – Personas jurídicas de derecho privado – Documentos tipo – Estatuto General de Contratación de la Administración Pública </w:t>
      </w:r>
    </w:p>
    <w:p w14:paraId="1A371086" w14:textId="77777777" w:rsidR="00B0222C" w:rsidRPr="00DB16BD" w:rsidRDefault="00B0222C" w:rsidP="00B0222C">
      <w:pPr>
        <w:spacing w:after="0" w:line="240" w:lineRule="auto"/>
        <w:jc w:val="both"/>
        <w:rPr>
          <w:rFonts w:ascii="Verdana" w:hAnsi="Verdana" w:cs="Arial"/>
          <w:b/>
          <w:color w:val="000000"/>
          <w:szCs w:val="24"/>
          <w:lang w:val="es-ES_tradnl" w:eastAsia="es-ES_tradnl"/>
        </w:rPr>
      </w:pPr>
    </w:p>
    <w:p w14:paraId="4D81AC3C" w14:textId="77777777" w:rsidR="00B0222C" w:rsidRDefault="00B0222C" w:rsidP="00B0222C">
      <w:pPr>
        <w:spacing w:after="0" w:line="240" w:lineRule="auto"/>
        <w:jc w:val="both"/>
        <w:rPr>
          <w:rFonts w:ascii="Verdana" w:hAnsi="Verdana" w:cs="Arial"/>
          <w:color w:val="000000"/>
          <w:sz w:val="20"/>
          <w:szCs w:val="24"/>
          <w:lang w:val="es-ES" w:eastAsia="es-ES_tradnl"/>
        </w:rPr>
      </w:pPr>
      <w:r w:rsidRPr="00113C4A">
        <w:rPr>
          <w:rFonts w:ascii="Verdana" w:hAnsi="Verdana" w:cs="Arial"/>
          <w:color w:val="000000"/>
          <w:sz w:val="20"/>
          <w:szCs w:val="24"/>
          <w:lang w:val="es-ES_tradnl" w:eastAsia="es-ES_tradnl"/>
        </w:rPr>
        <w:t xml:space="preserve">En efecto, el Concepto C-870 del 13 de agosto de 2025 </w:t>
      </w:r>
      <w:r w:rsidRPr="00113C4A">
        <w:rPr>
          <w:rFonts w:ascii="Verdana" w:hAnsi="Verdana" w:cs="Arial"/>
          <w:color w:val="000000"/>
          <w:sz w:val="20"/>
          <w:szCs w:val="24"/>
          <w:lang w:val="es-ES" w:eastAsia="es-ES_tradnl"/>
        </w:rPr>
        <w:t xml:space="preserve">expresa que el primer inciso del artículo 56 de la Ley 2195 de 2022 surge como una disposición complementaria de la Ley 2022 de 2020, en la medida en que, según se infiere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113C4A">
        <w:rPr>
          <w:rFonts w:ascii="Verdana" w:hAnsi="Verdana" w:cs="Arial"/>
          <w:color w:val="000000"/>
          <w:sz w:val="20"/>
          <w:szCs w:val="24"/>
          <w:lang w:val="es-ES" w:eastAsia="es-ES_tradnl"/>
        </w:rPr>
        <w:t>ii</w:t>
      </w:r>
      <w:proofErr w:type="spellEnd"/>
      <w:r w:rsidRPr="00113C4A">
        <w:rPr>
          <w:rFonts w:ascii="Verdana" w:hAnsi="Verdana" w:cs="Arial"/>
          <w:color w:val="000000"/>
          <w:sz w:val="20"/>
          <w:szCs w:val="24"/>
          <w:lang w:val="es-ES" w:eastAsia="es-ES_tradnl"/>
        </w:rPr>
        <w:t xml:space="preserve">) patrimonios autónomos o </w:t>
      </w:r>
      <w:proofErr w:type="spellStart"/>
      <w:r w:rsidRPr="00113C4A">
        <w:rPr>
          <w:rFonts w:ascii="Verdana" w:hAnsi="Verdana" w:cs="Arial"/>
          <w:color w:val="000000"/>
          <w:sz w:val="20"/>
          <w:szCs w:val="24"/>
          <w:lang w:val="es-ES" w:eastAsia="es-ES_tradnl"/>
        </w:rPr>
        <w:t>iii</w:t>
      </w:r>
      <w:proofErr w:type="spellEnd"/>
      <w:r w:rsidRPr="00113C4A">
        <w:rPr>
          <w:rFonts w:ascii="Verdana" w:hAnsi="Verdana" w:cs="Arial"/>
          <w:color w:val="000000"/>
          <w:sz w:val="20"/>
          <w:szCs w:val="24"/>
          <w:lang w:val="es-ES" w:eastAsia="es-ES_tradnl"/>
        </w:rPr>
        <w:t xml:space="preserve">) con personas naturales o jurídicas de derecho privado, tenga que hacerlo aplicando documentos tipo. Los efectos del primer inciso del artículo 56 se proyectarían entonces a los contratos o convenios interadministrativos o de cualquier otra índole, que se deban </w:t>
      </w:r>
      <w:r w:rsidRPr="00113C4A">
        <w:rPr>
          <w:rFonts w:ascii="Verdana" w:hAnsi="Verdana" w:cs="Arial"/>
          <w:color w:val="000000"/>
          <w:sz w:val="20"/>
          <w:szCs w:val="24"/>
          <w:lang w:val="es-ES" w:eastAsia="es-ES_tradnl"/>
        </w:rPr>
        <w:lastRenderedPageBreak/>
        <w:t>celebrar con estos sujetos, cuyos objetos comprendan la adquisición de bienes, obras o servicios, que, al tenor de lo dispuesto en el apartado normativo bajo examen, deberán celebrarse mediante documentos tipo.</w:t>
      </w:r>
    </w:p>
    <w:p w14:paraId="02B9658C" w14:textId="77777777" w:rsidR="00B0222C" w:rsidRPr="00113C4A" w:rsidRDefault="00B0222C" w:rsidP="00B0222C">
      <w:pPr>
        <w:spacing w:after="0" w:line="240" w:lineRule="auto"/>
        <w:jc w:val="both"/>
        <w:rPr>
          <w:rFonts w:ascii="Verdana" w:hAnsi="Verdana" w:cs="Arial"/>
          <w:color w:val="000000"/>
          <w:sz w:val="20"/>
          <w:szCs w:val="24"/>
          <w:lang w:val="es-ES" w:eastAsia="es-ES_tradnl"/>
        </w:rPr>
      </w:pPr>
    </w:p>
    <w:p w14:paraId="1D7966FB" w14:textId="77777777" w:rsidR="00B0222C" w:rsidRPr="00113C4A" w:rsidRDefault="00B0222C" w:rsidP="00B0222C">
      <w:pPr>
        <w:spacing w:after="0" w:line="240" w:lineRule="auto"/>
        <w:jc w:val="both"/>
        <w:rPr>
          <w:rFonts w:ascii="Verdana" w:hAnsi="Verdana" w:cs="Arial"/>
          <w:color w:val="000000"/>
          <w:sz w:val="20"/>
          <w:szCs w:val="24"/>
          <w:lang w:val="es-ES" w:eastAsia="es-ES_tradnl"/>
        </w:rPr>
      </w:pPr>
      <w:r w:rsidRPr="00113C4A">
        <w:rPr>
          <w:rFonts w:ascii="Verdana" w:hAnsi="Verdana" w:cs="Arial"/>
          <w:color w:val="000000"/>
          <w:sz w:val="20"/>
          <w:szCs w:val="24"/>
          <w:lang w:val="es-ES" w:eastAsia="es-ES_tradnl"/>
        </w:rPr>
        <w:t xml:space="preserve">Sin perjuicio de lo anterior, solo es posible comprender los efectos de lo dispuesto en el artículo 56 de la Ley 2195 de 2022 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55706AB9" w14:textId="77777777" w:rsidR="00B0222C" w:rsidRPr="00113C4A" w:rsidRDefault="00B0222C" w:rsidP="00B0222C">
      <w:pPr>
        <w:spacing w:after="0" w:line="240" w:lineRule="auto"/>
        <w:jc w:val="both"/>
        <w:rPr>
          <w:rFonts w:ascii="Verdana" w:hAnsi="Verdana" w:cs="Arial"/>
          <w:b/>
          <w:color w:val="000000"/>
          <w:szCs w:val="24"/>
          <w:lang w:val="es-ES" w:eastAsia="es-ES_tradnl"/>
        </w:rPr>
      </w:pPr>
    </w:p>
    <w:p w14:paraId="54BB2D3F" w14:textId="77777777" w:rsidR="00B0222C" w:rsidRPr="00DB16BD" w:rsidRDefault="00B0222C" w:rsidP="00B0222C">
      <w:pPr>
        <w:spacing w:after="0" w:line="240" w:lineRule="auto"/>
        <w:jc w:val="both"/>
        <w:rPr>
          <w:rFonts w:ascii="Verdana" w:hAnsi="Verdana" w:cs="Arial"/>
          <w:b/>
          <w:bCs/>
          <w:lang w:val="es-MX" w:eastAsia="es-ES" w:bidi="es-ES"/>
        </w:rPr>
      </w:pPr>
      <w:r w:rsidRPr="00DB16BD">
        <w:rPr>
          <w:rFonts w:ascii="Verdana" w:hAnsi="Verdana" w:cs="Arial"/>
          <w:b/>
          <w:color w:val="000000"/>
          <w:szCs w:val="24"/>
          <w:lang w:val="es-ES_tradnl" w:eastAsia="es-ES_tradnl"/>
        </w:rPr>
        <w:t xml:space="preserve">LEY 2195 DE 2022 – Artículo 56 – Parágrafo – Alcance. </w:t>
      </w:r>
    </w:p>
    <w:p w14:paraId="2BC3B543" w14:textId="77777777" w:rsidR="00B0222C" w:rsidRPr="00DB16BD" w:rsidRDefault="00B0222C" w:rsidP="00B0222C">
      <w:pPr>
        <w:spacing w:after="0"/>
        <w:rPr>
          <w:rFonts w:ascii="Verdana" w:hAnsi="Verdana"/>
          <w:lang w:val="es-MX"/>
        </w:rPr>
      </w:pPr>
    </w:p>
    <w:p w14:paraId="0E0D89FC" w14:textId="77777777" w:rsidR="00B0222C" w:rsidRDefault="00B0222C" w:rsidP="00B0222C">
      <w:pPr>
        <w:tabs>
          <w:tab w:val="left" w:pos="0"/>
        </w:tabs>
        <w:spacing w:after="0" w:line="240" w:lineRule="auto"/>
        <w:jc w:val="both"/>
        <w:rPr>
          <w:rFonts w:ascii="Verdana" w:eastAsia="Calibri" w:hAnsi="Verdana" w:cs="Arial"/>
          <w:bCs/>
          <w:lang w:val="es-ES_tradnl"/>
        </w:rPr>
      </w:pPr>
      <w:r w:rsidRPr="005D732A">
        <w:rPr>
          <w:rFonts w:ascii="Verdana" w:hAnsi="Verdana" w:cs="Arial"/>
          <w:color w:val="000000" w:themeColor="text1"/>
        </w:rPr>
        <w:t xml:space="preserve">En este contexto, </w:t>
      </w:r>
      <w:r w:rsidRPr="005D732A">
        <w:rPr>
          <w:rFonts w:ascii="Verdana" w:eastAsia="Calibri" w:hAnsi="Verdana" w:cs="Arial"/>
          <w:bCs/>
          <w:lang w:val="es-ES_tradnl" w:eastAsia="es-ES_tradnl"/>
        </w:rPr>
        <w:t>de la interpretación sistemática de los incisos primero y segundo</w:t>
      </w:r>
      <w:r w:rsidRPr="005D732A">
        <w:rPr>
          <w:rFonts w:ascii="Verdana" w:eastAsia="Calibri" w:hAnsi="Verdana" w:cs="Arial"/>
          <w:bCs/>
          <w:lang w:eastAsia="es-ES_tradnl"/>
        </w:rPr>
        <w:t xml:space="preserve"> del artículo 56 de la Ley 2195 de 2022,</w:t>
      </w:r>
      <w:r w:rsidRPr="005D732A">
        <w:rPr>
          <w:rFonts w:ascii="Verdana" w:eastAsia="Calibri" w:hAnsi="Verdana" w:cs="Arial"/>
          <w:bCs/>
          <w:lang w:val="es-ES_tradnl" w:eastAsia="es-ES_tradnl"/>
        </w:rPr>
        <w:t xml:space="preserve"> se infiere que </w:t>
      </w:r>
      <w:r w:rsidRPr="005D732A">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5D732A">
        <w:rPr>
          <w:rFonts w:ascii="Arial" w:eastAsia="Calibri" w:hAnsi="Arial" w:cs="Arial"/>
          <w:bCs/>
          <w:lang w:val="es-ES_tradnl"/>
        </w:rPr>
        <w:t xml:space="preserve"> </w:t>
      </w:r>
      <w:r w:rsidRPr="005D732A">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38733654" w14:textId="77777777" w:rsidR="00B0222C" w:rsidRPr="005D732A" w:rsidRDefault="00B0222C" w:rsidP="00B0222C">
      <w:pPr>
        <w:tabs>
          <w:tab w:val="left" w:pos="0"/>
        </w:tabs>
        <w:spacing w:after="0" w:line="240" w:lineRule="auto"/>
        <w:jc w:val="both"/>
        <w:rPr>
          <w:rFonts w:ascii="Arial" w:eastAsia="Calibri" w:hAnsi="Arial" w:cs="Arial"/>
          <w:bCs/>
          <w:lang w:val="es-ES_tradnl"/>
        </w:rPr>
      </w:pPr>
    </w:p>
    <w:p w14:paraId="36F80DAE" w14:textId="77777777" w:rsidR="00B0222C" w:rsidRDefault="00B0222C" w:rsidP="00B0222C">
      <w:pPr>
        <w:tabs>
          <w:tab w:val="left" w:pos="0"/>
        </w:tabs>
        <w:spacing w:after="0" w:line="240" w:lineRule="auto"/>
        <w:jc w:val="both"/>
        <w:rPr>
          <w:rFonts w:ascii="Verdana" w:eastAsia="Calibri" w:hAnsi="Verdana" w:cs="Arial"/>
          <w:bCs/>
          <w:color w:val="000000"/>
          <w:lang w:val="es-ES_tradnl" w:eastAsia="es-ES_tradnl"/>
        </w:rPr>
      </w:pPr>
      <w:r w:rsidRPr="005D732A">
        <w:rPr>
          <w:rFonts w:ascii="Verdana" w:eastAsia="Calibri" w:hAnsi="Verdana" w:cs="Arial"/>
          <w:bCs/>
          <w:lang w:val="es-ES_tradnl" w:eastAsia="es-ES_tradnl"/>
        </w:rPr>
        <w:t>Sin perjuicio de lo anterior</w:t>
      </w:r>
      <w:r w:rsidRPr="005D732A">
        <w:rPr>
          <w:rFonts w:ascii="Verdana" w:eastAsia="Times New Roman" w:hAnsi="Verdana" w:cs="Arial"/>
          <w:lang w:eastAsia="es-ES_tradnl"/>
        </w:rPr>
        <w:t xml:space="preserve">, </w:t>
      </w:r>
      <w:r w:rsidRPr="005D732A">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5D732A">
        <w:rPr>
          <w:rFonts w:ascii="Verdana" w:eastAsia="Calibri" w:hAnsi="Verdana" w:cs="Arial"/>
          <w:bCs/>
          <w:lang w:val="es-ES_tradnl" w:eastAsia="es-ES_tradnl"/>
        </w:rPr>
        <w:t>ii</w:t>
      </w:r>
      <w:proofErr w:type="spellEnd"/>
      <w:r w:rsidRPr="005D732A">
        <w:rPr>
          <w:rFonts w:ascii="Verdana" w:eastAsia="Calibri" w:hAnsi="Verdana" w:cs="Arial"/>
          <w:bCs/>
          <w:lang w:val="es-ES_tradnl" w:eastAsia="es-ES_tradnl"/>
        </w:rPr>
        <w:t xml:space="preserve">) las </w:t>
      </w:r>
      <w:r w:rsidRPr="005D732A">
        <w:rPr>
          <w:rFonts w:ascii="Verdana" w:eastAsia="Calibri" w:hAnsi="Verdana" w:cs="Arial"/>
          <w:bCs/>
          <w:i/>
          <w:iCs/>
          <w:lang w:val="es-ES_tradnl" w:eastAsia="es-ES_tradnl"/>
        </w:rPr>
        <w:t>empresas sociales del Estado</w:t>
      </w:r>
      <w:r w:rsidRPr="005D732A">
        <w:rPr>
          <w:rFonts w:ascii="Verdana" w:eastAsia="Calibri" w:hAnsi="Verdana" w:cs="Arial"/>
          <w:bCs/>
          <w:lang w:val="es-ES_tradnl" w:eastAsia="es-ES_tradnl"/>
        </w:rPr>
        <w:t xml:space="preserve">, </w:t>
      </w:r>
      <w:proofErr w:type="spellStart"/>
      <w:r w:rsidRPr="005D732A">
        <w:rPr>
          <w:rFonts w:ascii="Verdana" w:eastAsia="Calibri" w:hAnsi="Verdana" w:cs="Arial"/>
          <w:bCs/>
          <w:lang w:val="es-ES_tradnl" w:eastAsia="es-ES_tradnl"/>
        </w:rPr>
        <w:t>iii</w:t>
      </w:r>
      <w:proofErr w:type="spellEnd"/>
      <w:r w:rsidRPr="005D732A">
        <w:rPr>
          <w:rFonts w:ascii="Verdana" w:eastAsia="Calibri" w:hAnsi="Verdana" w:cs="Arial"/>
          <w:bCs/>
          <w:lang w:val="es-ES_tradnl" w:eastAsia="es-ES_tradnl"/>
        </w:rPr>
        <w:t xml:space="preserve">) las sociedades de economía mixta y </w:t>
      </w:r>
      <w:proofErr w:type="spellStart"/>
      <w:r w:rsidRPr="005D732A">
        <w:rPr>
          <w:rFonts w:ascii="Verdana" w:eastAsia="Calibri" w:hAnsi="Verdana" w:cs="Arial"/>
          <w:bCs/>
          <w:lang w:val="es-ES_tradnl" w:eastAsia="es-ES_tradnl"/>
        </w:rPr>
        <w:t>iv</w:t>
      </w:r>
      <w:proofErr w:type="spellEnd"/>
      <w:r w:rsidRPr="005D732A">
        <w:rPr>
          <w:rFonts w:ascii="Verdana" w:eastAsia="Calibri" w:hAnsi="Verdana" w:cs="Arial"/>
          <w:bCs/>
          <w:lang w:val="es-ES_tradnl" w:eastAsia="es-ES_tradnl"/>
        </w:rPr>
        <w:t xml:space="preserve">) las empresas industriales y comerciales del Estado, únicamente, en la contratación relacionada con el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xml:space="preserve"> Esto significa que, en la contratación asociada a su </w:t>
      </w:r>
      <w:r w:rsidRPr="005D732A">
        <w:rPr>
          <w:rFonts w:ascii="Verdana" w:eastAsia="Calibri" w:hAnsi="Verdana" w:cs="Arial"/>
          <w:bCs/>
          <w:i/>
          <w:iCs/>
          <w:lang w:val="es-ES_tradnl" w:eastAsia="es-ES_tradnl"/>
        </w:rPr>
        <w:t xml:space="preserve">giro ordinario, </w:t>
      </w:r>
      <w:r w:rsidRPr="005D732A">
        <w:rPr>
          <w:rFonts w:ascii="Verdana" w:eastAsia="Calibri" w:hAnsi="Verdana" w:cs="Arial"/>
          <w:bCs/>
          <w:lang w:val="es-ES_tradnl" w:eastAsia="es-ES_tradnl"/>
        </w:rPr>
        <w:t>estos tipos de entidades no tendrían que aplicar, de manera obligatoria, los Documentos Tipo, ni tampoco el EGCAP.</w:t>
      </w:r>
      <w:r w:rsidRPr="005D732A">
        <w:rPr>
          <w:rFonts w:ascii="Verdana" w:eastAsia="Times New Roman" w:hAnsi="Verdana" w:cs="Arial"/>
          <w:lang w:eastAsia="es-ES_tradnl"/>
        </w:rPr>
        <w:t xml:space="preserve"> </w:t>
      </w:r>
      <w:r w:rsidRPr="005D732A">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5D732A">
        <w:rPr>
          <w:rFonts w:ascii="Verdana" w:eastAsia="Calibri" w:hAnsi="Verdana" w:cs="Arial"/>
          <w:bCs/>
          <w:color w:val="000000"/>
          <w:lang w:val="es-ES_tradnl" w:eastAsia="es-ES_tradnl"/>
        </w:rPr>
        <w:t xml:space="preserve"> </w:t>
      </w:r>
    </w:p>
    <w:p w14:paraId="6531ABE4" w14:textId="77777777" w:rsidR="00B0222C" w:rsidRDefault="00B0222C" w:rsidP="00B0222C">
      <w:pPr>
        <w:tabs>
          <w:tab w:val="left" w:pos="0"/>
        </w:tabs>
        <w:spacing w:after="0" w:line="240" w:lineRule="auto"/>
        <w:jc w:val="both"/>
        <w:rPr>
          <w:rFonts w:ascii="Verdana" w:eastAsia="Calibri" w:hAnsi="Verdana" w:cs="Arial"/>
          <w:bCs/>
          <w:color w:val="000000"/>
          <w:lang w:val="es-ES_tradnl" w:eastAsia="es-ES_tradnl"/>
        </w:rPr>
      </w:pPr>
    </w:p>
    <w:p w14:paraId="3D9C484F" w14:textId="77777777" w:rsidR="00B0222C" w:rsidRDefault="00B0222C" w:rsidP="00B0222C">
      <w:pPr>
        <w:tabs>
          <w:tab w:val="left" w:pos="0"/>
        </w:tabs>
        <w:spacing w:after="0" w:line="240" w:lineRule="auto"/>
        <w:jc w:val="both"/>
        <w:rPr>
          <w:rFonts w:ascii="Verdana" w:eastAsia="Calibri" w:hAnsi="Verdana" w:cs="Arial"/>
          <w:bCs/>
          <w:color w:val="000000"/>
          <w:lang w:val="es-ES_tradnl" w:eastAsia="es-ES_tradnl"/>
        </w:rPr>
      </w:pPr>
    </w:p>
    <w:p w14:paraId="2F8EC98E" w14:textId="77777777" w:rsidR="00B0222C" w:rsidRDefault="00B0222C" w:rsidP="00B0222C">
      <w:pPr>
        <w:tabs>
          <w:tab w:val="left" w:pos="0"/>
        </w:tabs>
        <w:spacing w:after="0" w:line="240" w:lineRule="auto"/>
        <w:jc w:val="both"/>
        <w:rPr>
          <w:rFonts w:ascii="Verdana" w:eastAsia="Calibri" w:hAnsi="Verdana" w:cs="Arial"/>
          <w:bCs/>
          <w:color w:val="000000"/>
          <w:lang w:val="es-ES_tradnl" w:eastAsia="es-ES_tradnl"/>
        </w:rPr>
      </w:pPr>
    </w:p>
    <w:p w14:paraId="13D711AC" w14:textId="77777777" w:rsidR="00B0222C" w:rsidRDefault="00B0222C" w:rsidP="00B0222C">
      <w:pPr>
        <w:tabs>
          <w:tab w:val="left" w:pos="0"/>
        </w:tabs>
        <w:spacing w:after="0" w:line="240" w:lineRule="auto"/>
        <w:jc w:val="both"/>
        <w:rPr>
          <w:rFonts w:ascii="Verdana" w:eastAsia="Calibri" w:hAnsi="Verdana" w:cs="Arial"/>
          <w:bCs/>
          <w:color w:val="000000"/>
          <w:lang w:val="es-ES_tradnl" w:eastAsia="es-ES_tradnl"/>
        </w:rPr>
      </w:pPr>
    </w:p>
    <w:p w14:paraId="3CCDB918" w14:textId="77777777" w:rsidR="00B0222C" w:rsidRPr="005D732A" w:rsidRDefault="00B0222C" w:rsidP="00B0222C">
      <w:pPr>
        <w:tabs>
          <w:tab w:val="left" w:pos="0"/>
        </w:tabs>
        <w:spacing w:after="0" w:line="240" w:lineRule="auto"/>
        <w:jc w:val="both"/>
        <w:rPr>
          <w:rFonts w:ascii="Verdana" w:eastAsia="Calibri" w:hAnsi="Verdana" w:cs="Arial"/>
          <w:bCs/>
          <w:color w:val="000000"/>
          <w:lang w:val="es-ES_tradnl" w:eastAsia="es-ES_tradnl"/>
        </w:rPr>
      </w:pPr>
    </w:p>
    <w:p w14:paraId="3B429DBE" w14:textId="77777777" w:rsidR="00B0222C" w:rsidRDefault="00B0222C" w:rsidP="00B0222C">
      <w:pPr>
        <w:spacing w:after="0" w:line="240" w:lineRule="auto"/>
        <w:rPr>
          <w:rFonts w:ascii="Verdana" w:hAnsi="Verdana"/>
          <w:lang w:val="es-ES_tradnl"/>
        </w:rPr>
      </w:pPr>
    </w:p>
    <w:p w14:paraId="05AA5B91" w14:textId="77777777" w:rsidR="00B0222C" w:rsidRDefault="00B0222C" w:rsidP="00B0222C">
      <w:pPr>
        <w:spacing w:after="0" w:line="240" w:lineRule="auto"/>
        <w:rPr>
          <w:rFonts w:ascii="Verdana" w:hAnsi="Verdana"/>
          <w:lang w:val="es-ES_tradnl"/>
        </w:rPr>
      </w:pPr>
    </w:p>
    <w:p w14:paraId="73877F79" w14:textId="77777777" w:rsidR="00B0222C" w:rsidRPr="00113C4A" w:rsidRDefault="00B0222C" w:rsidP="00B0222C">
      <w:pPr>
        <w:spacing w:after="0" w:line="240" w:lineRule="auto"/>
        <w:rPr>
          <w:rFonts w:ascii="Verdana" w:hAnsi="Verdana"/>
          <w:lang w:val="es-ES_tradnl"/>
        </w:rPr>
      </w:pPr>
    </w:p>
    <w:p w14:paraId="30322ED5" w14:textId="77777777" w:rsidR="00B0222C" w:rsidRDefault="00B0222C" w:rsidP="00B0222C">
      <w:pPr>
        <w:spacing w:after="0"/>
        <w:rPr>
          <w:rFonts w:ascii="Verdana" w:hAnsi="Verdana"/>
        </w:rPr>
      </w:pPr>
    </w:p>
    <w:p w14:paraId="734557D5" w14:textId="77777777" w:rsidR="00B0222C" w:rsidRPr="00D126E1" w:rsidRDefault="00B0222C" w:rsidP="00983DD3">
      <w:pPr>
        <w:tabs>
          <w:tab w:val="left" w:pos="709"/>
        </w:tabs>
        <w:spacing w:after="0" w:line="240" w:lineRule="auto"/>
        <w:jc w:val="both"/>
        <w:rPr>
          <w:rFonts w:ascii="Verdana" w:eastAsia="Calibri" w:hAnsi="Verdana" w:cs="Arial"/>
          <w:sz w:val="20"/>
          <w:szCs w:val="20"/>
          <w:lang w:val="es-ES"/>
        </w:rPr>
      </w:pPr>
    </w:p>
    <w:p w14:paraId="4A56696E" w14:textId="77777777" w:rsidR="00983DD3" w:rsidRPr="00D126E1" w:rsidRDefault="00983DD3" w:rsidP="00983DD3">
      <w:pPr>
        <w:widowControl w:val="0"/>
        <w:autoSpaceDE w:val="0"/>
        <w:autoSpaceDN w:val="0"/>
        <w:spacing w:after="0" w:line="276" w:lineRule="auto"/>
        <w:jc w:val="both"/>
        <w:rPr>
          <w:rFonts w:ascii="Verdana" w:eastAsia="Calibri" w:hAnsi="Verdana" w:cs="Times New Roman"/>
          <w:lang w:val="es-ES"/>
        </w:rPr>
      </w:pPr>
    </w:p>
    <w:p w14:paraId="7017842A" w14:textId="77777777" w:rsidR="00983DD3" w:rsidRPr="00D126E1" w:rsidRDefault="00983DD3" w:rsidP="00983DD3">
      <w:pPr>
        <w:spacing w:after="0" w:line="276" w:lineRule="auto"/>
        <w:jc w:val="both"/>
        <w:rPr>
          <w:rFonts w:ascii="Verdana" w:eastAsia="Calibri" w:hAnsi="Verdana" w:cs="Times New Roman"/>
          <w:sz w:val="20"/>
          <w:szCs w:val="20"/>
          <w:lang w:val="es-ES"/>
        </w:rPr>
      </w:pPr>
      <w:r w:rsidRPr="00D126E1">
        <w:rPr>
          <w:rFonts w:ascii="Verdana" w:eastAsia="Calibri" w:hAnsi="Verdana" w:cs="Times New Roman"/>
          <w:b/>
          <w:bCs/>
          <w:lang w:val="es-ES"/>
        </w:rPr>
        <w:t xml:space="preserve">DOCUMENTOS TIPO – Aplicación – Matriz de Experiencia </w:t>
      </w:r>
    </w:p>
    <w:p w14:paraId="51362BFA" w14:textId="77777777" w:rsidR="00983DD3" w:rsidRPr="00D126E1" w:rsidRDefault="00983DD3" w:rsidP="00983DD3">
      <w:pPr>
        <w:spacing w:after="0" w:line="240" w:lineRule="auto"/>
        <w:rPr>
          <w:rFonts w:ascii="Verdana" w:eastAsia="Geomanist Light" w:hAnsi="Verdana" w:cs="Arial"/>
          <w:highlight w:val="yellow"/>
          <w:lang w:val="es-MX"/>
        </w:rPr>
      </w:pPr>
    </w:p>
    <w:p w14:paraId="2642053E" w14:textId="77777777" w:rsidR="00983DD3" w:rsidRPr="00D126E1" w:rsidRDefault="00983DD3" w:rsidP="00983DD3">
      <w:pPr>
        <w:widowControl w:val="0"/>
        <w:autoSpaceDE w:val="0"/>
        <w:autoSpaceDN w:val="0"/>
        <w:spacing w:after="0" w:line="240" w:lineRule="auto"/>
        <w:jc w:val="both"/>
        <w:rPr>
          <w:rFonts w:ascii="Verdana" w:eastAsia="Calibri" w:hAnsi="Verdana" w:cs="Times New Roman"/>
          <w:sz w:val="20"/>
          <w:szCs w:val="20"/>
          <w:lang w:val="es-ES"/>
        </w:rPr>
      </w:pPr>
      <w:r w:rsidRPr="00D126E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DCFD2D2" w14:textId="77777777" w:rsidR="00983DD3" w:rsidRPr="00D126E1" w:rsidRDefault="00983DD3" w:rsidP="00983DD3">
      <w:pPr>
        <w:widowControl w:val="0"/>
        <w:autoSpaceDE w:val="0"/>
        <w:autoSpaceDN w:val="0"/>
        <w:spacing w:after="0" w:line="240" w:lineRule="auto"/>
        <w:ind w:left="708" w:hanging="708"/>
        <w:jc w:val="both"/>
        <w:rPr>
          <w:rFonts w:ascii="Verdana" w:eastAsia="Calibri" w:hAnsi="Verdana" w:cs="Times New Roman"/>
          <w:sz w:val="20"/>
          <w:szCs w:val="20"/>
          <w:lang w:val="es-ES"/>
        </w:rPr>
      </w:pPr>
    </w:p>
    <w:p w14:paraId="38D79E14" w14:textId="77777777" w:rsidR="00983DD3" w:rsidRPr="00D126E1" w:rsidRDefault="00983DD3" w:rsidP="00983DD3">
      <w:pPr>
        <w:widowControl w:val="0"/>
        <w:autoSpaceDE w:val="0"/>
        <w:autoSpaceDN w:val="0"/>
        <w:spacing w:after="0" w:line="240" w:lineRule="auto"/>
        <w:jc w:val="both"/>
        <w:rPr>
          <w:rFonts w:ascii="Verdana" w:eastAsia="Calibri" w:hAnsi="Verdana" w:cs="Times New Roman"/>
          <w:sz w:val="20"/>
          <w:szCs w:val="20"/>
          <w:lang w:val="es-ES"/>
        </w:rPr>
      </w:pPr>
      <w:r w:rsidRPr="00D126E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2D82C4C" w14:textId="77777777" w:rsidR="00983DD3" w:rsidRPr="00D126E1" w:rsidRDefault="00983DD3" w:rsidP="00983DD3">
      <w:pPr>
        <w:widowControl w:val="0"/>
        <w:autoSpaceDE w:val="0"/>
        <w:autoSpaceDN w:val="0"/>
        <w:spacing w:after="0" w:line="240" w:lineRule="auto"/>
        <w:jc w:val="both"/>
        <w:rPr>
          <w:rFonts w:ascii="Verdana" w:eastAsia="Calibri" w:hAnsi="Verdana" w:cs="Times New Roman"/>
          <w:b/>
          <w:bCs/>
          <w:sz w:val="20"/>
          <w:szCs w:val="20"/>
          <w:lang w:val="es-ES"/>
        </w:rPr>
      </w:pPr>
    </w:p>
    <w:p w14:paraId="7A2840F0"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75503584"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2121EC63"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2D7646F1"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2D8C4F23"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7AC4C568"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69D622DC"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57044A55"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5AA474BF" w14:textId="77777777" w:rsidR="00983DD3" w:rsidRDefault="00983DD3" w:rsidP="00983DD3">
      <w:pPr>
        <w:spacing w:after="0" w:line="240" w:lineRule="auto"/>
        <w:rPr>
          <w:rFonts w:ascii="Verdana" w:eastAsia="Times New Roman" w:hAnsi="Verdana" w:cs="Times New Roman"/>
          <w:color w:val="000000"/>
          <w:sz w:val="20"/>
          <w:szCs w:val="20"/>
          <w:lang w:eastAsia="es-CO"/>
        </w:rPr>
      </w:pPr>
    </w:p>
    <w:p w14:paraId="721FA35E" w14:textId="77777777" w:rsidR="00983DD3" w:rsidRDefault="00983DD3" w:rsidP="00983DD3">
      <w:pPr>
        <w:spacing w:after="0" w:line="240" w:lineRule="auto"/>
        <w:rPr>
          <w:rFonts w:ascii="Verdana" w:eastAsia="Times New Roman" w:hAnsi="Verdana" w:cs="Times New Roman"/>
          <w:color w:val="000000"/>
          <w:sz w:val="20"/>
          <w:szCs w:val="20"/>
          <w:lang w:eastAsia="es-CO"/>
        </w:rPr>
      </w:pPr>
    </w:p>
    <w:p w14:paraId="42CB4123" w14:textId="77777777" w:rsidR="00983DD3" w:rsidRDefault="00983DD3" w:rsidP="00983DD3">
      <w:pPr>
        <w:spacing w:after="0" w:line="240" w:lineRule="auto"/>
        <w:rPr>
          <w:rFonts w:ascii="Verdana" w:eastAsia="Times New Roman" w:hAnsi="Verdana" w:cs="Times New Roman"/>
          <w:color w:val="000000"/>
          <w:sz w:val="20"/>
          <w:szCs w:val="20"/>
          <w:lang w:eastAsia="es-CO"/>
        </w:rPr>
      </w:pPr>
    </w:p>
    <w:p w14:paraId="0A8EBC73" w14:textId="77777777" w:rsidR="00983DD3" w:rsidRDefault="00983DD3" w:rsidP="00983DD3">
      <w:pPr>
        <w:spacing w:after="0" w:line="240" w:lineRule="auto"/>
        <w:rPr>
          <w:rFonts w:ascii="Verdana" w:eastAsia="Times New Roman" w:hAnsi="Verdana" w:cs="Times New Roman"/>
          <w:color w:val="000000"/>
          <w:sz w:val="20"/>
          <w:szCs w:val="20"/>
          <w:lang w:eastAsia="es-CO"/>
        </w:rPr>
      </w:pPr>
    </w:p>
    <w:p w14:paraId="20E04E5D" w14:textId="77777777" w:rsidR="00983DD3" w:rsidRDefault="00983DD3" w:rsidP="00983DD3">
      <w:pPr>
        <w:spacing w:after="0" w:line="240" w:lineRule="auto"/>
        <w:rPr>
          <w:rFonts w:ascii="Verdana" w:eastAsia="Times New Roman" w:hAnsi="Verdana" w:cs="Times New Roman"/>
          <w:color w:val="000000"/>
          <w:sz w:val="20"/>
          <w:szCs w:val="20"/>
          <w:lang w:eastAsia="es-CO"/>
        </w:rPr>
      </w:pPr>
    </w:p>
    <w:p w14:paraId="582AFD4E" w14:textId="77777777" w:rsidR="00983DD3" w:rsidRDefault="00983DD3" w:rsidP="00983DD3">
      <w:pPr>
        <w:spacing w:after="0" w:line="240" w:lineRule="auto"/>
        <w:rPr>
          <w:rFonts w:ascii="Verdana" w:eastAsia="Times New Roman" w:hAnsi="Verdana" w:cs="Times New Roman"/>
          <w:color w:val="000000"/>
          <w:sz w:val="20"/>
          <w:szCs w:val="20"/>
          <w:lang w:eastAsia="es-CO"/>
        </w:rPr>
      </w:pPr>
    </w:p>
    <w:p w14:paraId="04448A08"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54700F93" w14:textId="77777777" w:rsidR="00983DD3" w:rsidRPr="00D126E1" w:rsidRDefault="00983DD3" w:rsidP="00983DD3">
      <w:pPr>
        <w:spacing w:after="0" w:line="240" w:lineRule="auto"/>
        <w:rPr>
          <w:rFonts w:ascii="Verdana" w:eastAsia="Times New Roman" w:hAnsi="Verdana" w:cs="Times New Roman"/>
          <w:color w:val="000000"/>
          <w:sz w:val="20"/>
          <w:szCs w:val="20"/>
          <w:lang w:eastAsia="es-CO"/>
        </w:rPr>
      </w:pPr>
    </w:p>
    <w:p w14:paraId="6A125CDB" w14:textId="1D760068" w:rsidR="00983DD3" w:rsidRPr="00397D75" w:rsidRDefault="00683CDB" w:rsidP="00983DD3">
      <w:pPr>
        <w:spacing w:after="0" w:line="240" w:lineRule="auto"/>
        <w:rPr>
          <w:rFonts w:ascii="Verdana" w:eastAsia="Calibri" w:hAnsi="Verdana" w:cs="Arial"/>
          <w:kern w:val="2"/>
          <w:lang w:eastAsia="es-ES"/>
          <w14:ligatures w14:val="standardContextual"/>
        </w:rPr>
      </w:pPr>
      <w:r w:rsidRPr="00683CDB">
        <w:rPr>
          <w:rFonts w:ascii="Verdana" w:eastAsia="Calibri" w:hAnsi="Verdana" w:cs="Arial"/>
          <w:kern w:val="2"/>
          <w:lang w:eastAsia="es-ES"/>
          <w14:ligatures w14:val="standardContextual"/>
        </w:rPr>
        <w:lastRenderedPageBreak/>
        <w:t>Bogotá D.C., 09 de diciembre de 2025</w:t>
      </w:r>
    </w:p>
    <w:p w14:paraId="6AD88C9B" w14:textId="77777777" w:rsidR="00683CDB" w:rsidRDefault="00683CDB" w:rsidP="00983DD3">
      <w:pPr>
        <w:spacing w:after="0" w:line="240" w:lineRule="auto"/>
        <w:rPr>
          <w:rFonts w:ascii="Verdana" w:eastAsia="Calibri" w:hAnsi="Verdana" w:cs="Arial"/>
          <w:kern w:val="2"/>
          <w:lang w:val="es-ES" w:eastAsia="es-ES"/>
          <w14:ligatures w14:val="standardContextual"/>
        </w:rPr>
      </w:pPr>
    </w:p>
    <w:p w14:paraId="0DD1C227" w14:textId="62C2E572" w:rsidR="00683CDB" w:rsidRDefault="00683CDB" w:rsidP="00683CDB">
      <w:pPr>
        <w:spacing w:after="0" w:line="240" w:lineRule="auto"/>
        <w:ind w:left="4248"/>
        <w:rPr>
          <w:rFonts w:ascii="Verdana" w:eastAsia="Calibri" w:hAnsi="Verdana" w:cs="Arial"/>
          <w:kern w:val="2"/>
          <w:lang w:val="es-ES" w:eastAsia="es-ES"/>
          <w14:ligatures w14:val="standardContextual"/>
        </w:rPr>
      </w:pPr>
      <w:r>
        <w:rPr>
          <w:noProof/>
        </w:rPr>
        <w:drawing>
          <wp:inline distT="0" distB="0" distL="0" distR="0" wp14:anchorId="69E926FF" wp14:editId="3089E3A6">
            <wp:extent cx="3086100" cy="876300"/>
            <wp:effectExtent l="0" t="0" r="0" b="0"/>
            <wp:docPr id="7453739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373977" name=""/>
                    <pic:cNvPicPr/>
                  </pic:nvPicPr>
                  <pic:blipFill>
                    <a:blip r:embed="rId11"/>
                    <a:stretch>
                      <a:fillRect/>
                    </a:stretch>
                  </pic:blipFill>
                  <pic:spPr>
                    <a:xfrm>
                      <a:off x="0" y="0"/>
                      <a:ext cx="3086100" cy="876300"/>
                    </a:xfrm>
                    <a:prstGeom prst="rect">
                      <a:avLst/>
                    </a:prstGeom>
                  </pic:spPr>
                </pic:pic>
              </a:graphicData>
            </a:graphic>
          </wp:inline>
        </w:drawing>
      </w:r>
    </w:p>
    <w:p w14:paraId="5D813152" w14:textId="52FA63EE" w:rsidR="00983DD3" w:rsidRDefault="00983DD3" w:rsidP="00983DD3">
      <w:pPr>
        <w:spacing w:after="0" w:line="240" w:lineRule="auto"/>
        <w:rPr>
          <w:rFonts w:ascii="Verdana" w:eastAsia="Calibri" w:hAnsi="Verdana" w:cs="Arial"/>
          <w:kern w:val="2"/>
          <w:lang w:val="es-ES" w:eastAsia="es-ES"/>
          <w14:ligatures w14:val="standardContextual"/>
        </w:rPr>
      </w:pPr>
      <w:r w:rsidRPr="00D126E1">
        <w:rPr>
          <w:rFonts w:ascii="Verdana" w:eastAsia="Calibri" w:hAnsi="Verdana" w:cs="Arial"/>
          <w:kern w:val="2"/>
          <w:lang w:val="es-ES" w:eastAsia="es-ES"/>
          <w14:ligatures w14:val="standardContextual"/>
        </w:rPr>
        <w:t>Señor</w:t>
      </w:r>
      <w:r>
        <w:rPr>
          <w:rFonts w:ascii="Verdana" w:eastAsia="Calibri" w:hAnsi="Verdana" w:cs="Arial"/>
          <w:kern w:val="2"/>
          <w:lang w:val="es-ES" w:eastAsia="es-ES"/>
          <w14:ligatures w14:val="standardContextual"/>
        </w:rPr>
        <w:t>a</w:t>
      </w:r>
    </w:p>
    <w:p w14:paraId="404E08FB" w14:textId="77777777" w:rsidR="00983DD3" w:rsidRPr="00381508" w:rsidRDefault="00983DD3" w:rsidP="00983DD3">
      <w:pPr>
        <w:spacing w:after="0" w:line="240" w:lineRule="auto"/>
        <w:rPr>
          <w:rFonts w:ascii="Verdana" w:eastAsia="Calibri" w:hAnsi="Verdana" w:cs="Arial"/>
          <w:b/>
          <w:bCs/>
          <w:kern w:val="2"/>
          <w:lang w:val="es-ES" w:eastAsia="es-ES"/>
          <w14:ligatures w14:val="standardContextual"/>
        </w:rPr>
      </w:pPr>
      <w:r w:rsidRPr="00381508">
        <w:rPr>
          <w:rFonts w:ascii="Verdana" w:eastAsia="Calibri" w:hAnsi="Verdana" w:cs="Arial"/>
          <w:b/>
          <w:bCs/>
          <w:kern w:val="2"/>
          <w:lang w:val="es-ES" w:eastAsia="es-ES"/>
          <w14:ligatures w14:val="standardContextual"/>
        </w:rPr>
        <w:t xml:space="preserve">Yamile Betancourt Vega </w:t>
      </w:r>
    </w:p>
    <w:p w14:paraId="0CBB5822" w14:textId="77777777" w:rsidR="00983DD3" w:rsidRDefault="00983DD3" w:rsidP="00983DD3">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 xml:space="preserve">Profesional de Defensa </w:t>
      </w:r>
    </w:p>
    <w:p w14:paraId="0A30C6C1" w14:textId="77777777" w:rsidR="00983DD3" w:rsidRDefault="00983DD3" w:rsidP="00983DD3">
      <w:pPr>
        <w:spacing w:after="0" w:line="240" w:lineRule="auto"/>
        <w:rPr>
          <w:rFonts w:ascii="Verdana" w:eastAsia="Calibri" w:hAnsi="Verdana" w:cs="Arial"/>
          <w:kern w:val="2"/>
          <w:lang w:val="es-ES" w:eastAsia="es-ES"/>
          <w14:ligatures w14:val="standardContextual"/>
        </w:rPr>
      </w:pPr>
      <w:r>
        <w:rPr>
          <w:rFonts w:ascii="Verdana" w:eastAsia="Calibri" w:hAnsi="Verdana" w:cs="Arial"/>
          <w:kern w:val="2"/>
          <w:lang w:val="es-ES" w:eastAsia="es-ES"/>
          <w14:ligatures w14:val="standardContextual"/>
        </w:rPr>
        <w:t xml:space="preserve">Agencia logística fuerzas militares </w:t>
      </w:r>
    </w:p>
    <w:p w14:paraId="0C4588A6" w14:textId="77777777" w:rsidR="00983DD3" w:rsidRDefault="00000000" w:rsidP="00983DD3">
      <w:pPr>
        <w:spacing w:after="0" w:line="240" w:lineRule="auto"/>
        <w:rPr>
          <w:rFonts w:ascii="Verdana" w:eastAsia="Calibri" w:hAnsi="Verdana" w:cs="Arial"/>
          <w:kern w:val="2"/>
          <w:lang w:val="es-ES" w:eastAsia="es-ES"/>
          <w14:ligatures w14:val="standardContextual"/>
        </w:rPr>
      </w:pPr>
      <w:hyperlink r:id="rId12" w:history="1">
        <w:r w:rsidR="00983DD3" w:rsidRPr="003D3268">
          <w:rPr>
            <w:rStyle w:val="Hipervnculo"/>
            <w:rFonts w:ascii="Verdana" w:eastAsia="Calibri" w:hAnsi="Verdana" w:cs="Arial"/>
            <w:kern w:val="2"/>
            <w:lang w:val="es-ES" w:eastAsia="es-ES"/>
            <w14:ligatures w14:val="standardContextual"/>
          </w:rPr>
          <w:t>Yamile.betancourt@agencialogistica.gov.co</w:t>
        </w:r>
      </w:hyperlink>
      <w:r w:rsidR="00983DD3">
        <w:rPr>
          <w:rFonts w:ascii="Verdana" w:eastAsia="Calibri" w:hAnsi="Verdana" w:cs="Arial"/>
          <w:kern w:val="2"/>
          <w:lang w:val="es-ES" w:eastAsia="es-ES"/>
          <w14:ligatures w14:val="standardContextual"/>
        </w:rPr>
        <w:t xml:space="preserve"> </w:t>
      </w:r>
    </w:p>
    <w:p w14:paraId="6297F410" w14:textId="77777777" w:rsidR="00983DD3" w:rsidRPr="00D126E1" w:rsidRDefault="00983DD3" w:rsidP="00983DD3">
      <w:pPr>
        <w:spacing w:after="0" w:line="240" w:lineRule="auto"/>
        <w:rPr>
          <w:rFonts w:ascii="Verdana" w:eastAsia="Aptos" w:hAnsi="Verdana" w:cs="Times New Roman"/>
          <w:kern w:val="2"/>
          <w14:ligatures w14:val="standardContextual"/>
        </w:rPr>
      </w:pPr>
      <w:r>
        <w:rPr>
          <w:rFonts w:ascii="Verdana" w:eastAsia="Calibri" w:hAnsi="Verdana" w:cs="Arial"/>
          <w:kern w:val="2"/>
          <w:lang w:val="es-ES" w:eastAsia="es-ES"/>
          <w14:ligatures w14:val="standardContextual"/>
        </w:rPr>
        <w:t>Bogotá D.C</w:t>
      </w:r>
    </w:p>
    <w:p w14:paraId="7A7AE6A5" w14:textId="77777777" w:rsidR="00983DD3" w:rsidRDefault="00983DD3" w:rsidP="00983DD3">
      <w:pPr>
        <w:spacing w:after="0" w:line="240" w:lineRule="auto"/>
        <w:rPr>
          <w:rFonts w:ascii="Verdana" w:eastAsia="Calibri" w:hAnsi="Verdana" w:cs="Arial"/>
          <w:b/>
          <w:bCs/>
          <w:lang w:val="es-ES_tradnl" w:eastAsia="es-ES_tradnl"/>
        </w:rPr>
      </w:pPr>
    </w:p>
    <w:p w14:paraId="57EF4A2A" w14:textId="77777777" w:rsidR="00983DD3" w:rsidRPr="00D126E1" w:rsidRDefault="00983DD3" w:rsidP="00983DD3">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27"/>
        <w:gridCol w:w="6241"/>
      </w:tblGrid>
      <w:tr w:rsidR="00983DD3" w:rsidRPr="00D126E1" w14:paraId="1D0DA879" w14:textId="77777777" w:rsidTr="0025228A">
        <w:trPr>
          <w:trHeight w:val="229"/>
        </w:trPr>
        <w:tc>
          <w:tcPr>
            <w:tcW w:w="2127" w:type="dxa"/>
          </w:tcPr>
          <w:p w14:paraId="11FD21C6" w14:textId="77777777" w:rsidR="00983DD3" w:rsidRPr="00D126E1" w:rsidRDefault="00983DD3" w:rsidP="00200275">
            <w:pPr>
              <w:jc w:val="both"/>
              <w:rPr>
                <w:rFonts w:ascii="Verdana" w:eastAsia="Calibri" w:hAnsi="Verdana" w:cs="Arial"/>
                <w:b/>
                <w:bCs/>
                <w:lang w:val="es-ES_tradnl" w:eastAsia="es-ES_tradnl"/>
              </w:rPr>
            </w:pPr>
          </w:p>
        </w:tc>
        <w:tc>
          <w:tcPr>
            <w:tcW w:w="6241" w:type="dxa"/>
          </w:tcPr>
          <w:p w14:paraId="37056DB7" w14:textId="77777777" w:rsidR="00983DD3" w:rsidRPr="00D126E1" w:rsidRDefault="00983DD3" w:rsidP="00200275">
            <w:pPr>
              <w:jc w:val="both"/>
              <w:rPr>
                <w:rFonts w:ascii="Verdana" w:eastAsia="Calibri" w:hAnsi="Verdana" w:cs="Arial"/>
                <w:b/>
                <w:bCs/>
                <w:lang w:val="es-ES" w:eastAsia="es-ES"/>
              </w:rPr>
            </w:pPr>
            <w:r w:rsidRPr="00D126E1">
              <w:rPr>
                <w:rFonts w:ascii="Verdana" w:eastAsia="Calibri" w:hAnsi="Verdana" w:cs="Arial"/>
                <w:b/>
                <w:bCs/>
                <w:lang w:val="es-ES" w:eastAsia="es-ES"/>
              </w:rPr>
              <w:t xml:space="preserve">Concepto C- </w:t>
            </w:r>
            <w:r>
              <w:rPr>
                <w:rFonts w:ascii="Verdana" w:eastAsia="Calibri" w:hAnsi="Verdana" w:cs="Arial"/>
                <w:b/>
                <w:bCs/>
                <w:lang w:val="es-ES" w:eastAsia="es-ES"/>
              </w:rPr>
              <w:t xml:space="preserve">1679 </w:t>
            </w:r>
            <w:r w:rsidRPr="00D126E1">
              <w:rPr>
                <w:rFonts w:ascii="Verdana" w:eastAsia="Calibri" w:hAnsi="Verdana" w:cs="Arial"/>
                <w:b/>
                <w:bCs/>
                <w:lang w:val="es-ES" w:eastAsia="es-ES"/>
              </w:rPr>
              <w:t>de 2025</w:t>
            </w:r>
          </w:p>
          <w:p w14:paraId="664ED594" w14:textId="77777777" w:rsidR="00983DD3" w:rsidRDefault="00983DD3" w:rsidP="00200275">
            <w:pPr>
              <w:jc w:val="both"/>
              <w:rPr>
                <w:rFonts w:ascii="Verdana" w:eastAsia="Calibri" w:hAnsi="Verdana" w:cs="Arial"/>
                <w:b/>
                <w:bCs/>
                <w:lang w:val="es-ES" w:eastAsia="es-ES"/>
              </w:rPr>
            </w:pPr>
          </w:p>
          <w:p w14:paraId="79646F45" w14:textId="77777777" w:rsidR="00983DD3" w:rsidRPr="00D126E1" w:rsidRDefault="00983DD3" w:rsidP="00200275">
            <w:pPr>
              <w:jc w:val="both"/>
              <w:rPr>
                <w:rFonts w:ascii="Verdana" w:eastAsia="Calibri" w:hAnsi="Verdana" w:cs="Arial"/>
                <w:b/>
                <w:bCs/>
                <w:lang w:val="es-ES" w:eastAsia="es-ES"/>
              </w:rPr>
            </w:pPr>
          </w:p>
        </w:tc>
      </w:tr>
      <w:tr w:rsidR="00983DD3" w:rsidRPr="00D126E1" w14:paraId="1F563361" w14:textId="77777777" w:rsidTr="0025228A">
        <w:trPr>
          <w:trHeight w:val="884"/>
        </w:trPr>
        <w:tc>
          <w:tcPr>
            <w:tcW w:w="2127" w:type="dxa"/>
          </w:tcPr>
          <w:p w14:paraId="3004EDEB" w14:textId="77777777" w:rsidR="00983DD3" w:rsidRPr="00D126E1" w:rsidRDefault="00983DD3" w:rsidP="00200275">
            <w:pPr>
              <w:jc w:val="both"/>
              <w:rPr>
                <w:rFonts w:ascii="Verdana" w:eastAsia="Calibri" w:hAnsi="Verdana" w:cs="Arial"/>
                <w:lang w:val="es-ES_tradnl" w:eastAsia="es-ES_tradnl"/>
              </w:rPr>
            </w:pPr>
            <w:r w:rsidRPr="00D126E1">
              <w:rPr>
                <w:rFonts w:ascii="Verdana" w:eastAsia="Calibri" w:hAnsi="Verdana" w:cs="Arial"/>
                <w:b/>
                <w:lang w:val="es-ES_tradnl" w:eastAsia="es-ES_tradnl"/>
              </w:rPr>
              <w:t>Temas:</w:t>
            </w:r>
            <w:r w:rsidRPr="00D126E1">
              <w:rPr>
                <w:rFonts w:ascii="Verdana" w:eastAsia="Calibri" w:hAnsi="Verdana" w:cs="Arial"/>
                <w:lang w:val="es-ES_tradnl" w:eastAsia="es-ES_tradnl"/>
              </w:rPr>
              <w:t xml:space="preserve">                   </w:t>
            </w:r>
          </w:p>
        </w:tc>
        <w:tc>
          <w:tcPr>
            <w:tcW w:w="6241" w:type="dxa"/>
          </w:tcPr>
          <w:p w14:paraId="4828208B" w14:textId="77777777" w:rsidR="00983DD3" w:rsidRDefault="00983DD3" w:rsidP="00200275">
            <w:pPr>
              <w:widowControl w:val="0"/>
              <w:autoSpaceDE w:val="0"/>
              <w:autoSpaceDN w:val="0"/>
              <w:jc w:val="both"/>
              <w:rPr>
                <w:rFonts w:ascii="Verdana" w:eastAsia="Calibri" w:hAnsi="Verdana" w:cs="Times New Roman"/>
                <w:lang w:val="es-ES"/>
              </w:rPr>
            </w:pPr>
            <w:r w:rsidRPr="00D126E1">
              <w:rPr>
                <w:rFonts w:ascii="Verdana" w:eastAsia="Calibri" w:hAnsi="Verdana" w:cs="Arial"/>
                <w:lang w:val="es-ES_tradnl"/>
              </w:rPr>
              <w:t xml:space="preserve">DOCUMENTOS TIPO – Fundamento normativo – Obligatoriedad / </w:t>
            </w:r>
            <w:r w:rsidRPr="00D126E1">
              <w:rPr>
                <w:rFonts w:ascii="Verdana" w:eastAsia="Calibri" w:hAnsi="Verdana" w:cs="Times New Roman"/>
                <w:lang w:val="es-ES"/>
              </w:rPr>
              <w:t xml:space="preserve">DOCUMENTOS TIPO – Aplicación – Matriz de Experiencia / DOCUMENTOS TIPO </w:t>
            </w:r>
          </w:p>
          <w:p w14:paraId="46755BF9" w14:textId="77777777" w:rsidR="00983DD3" w:rsidRPr="00D126E1" w:rsidRDefault="00983DD3" w:rsidP="00200275">
            <w:pPr>
              <w:widowControl w:val="0"/>
              <w:autoSpaceDE w:val="0"/>
              <w:autoSpaceDN w:val="0"/>
              <w:jc w:val="both"/>
              <w:rPr>
                <w:rFonts w:ascii="Verdana" w:eastAsia="Calibri" w:hAnsi="Verdana" w:cs="Arial"/>
                <w:bCs/>
                <w:lang w:val="es-ES" w:eastAsia="es-ES"/>
              </w:rPr>
            </w:pPr>
          </w:p>
        </w:tc>
      </w:tr>
      <w:tr w:rsidR="00983DD3" w:rsidRPr="00D126E1" w14:paraId="14B6FA12" w14:textId="77777777" w:rsidTr="0025228A">
        <w:tc>
          <w:tcPr>
            <w:tcW w:w="2127" w:type="dxa"/>
          </w:tcPr>
          <w:p w14:paraId="48FDD47F" w14:textId="77777777" w:rsidR="00983DD3" w:rsidRPr="00D126E1" w:rsidRDefault="00983DD3" w:rsidP="00200275">
            <w:pPr>
              <w:jc w:val="both"/>
              <w:rPr>
                <w:rFonts w:ascii="Verdana" w:eastAsia="Calibri" w:hAnsi="Verdana" w:cs="Arial"/>
                <w:b/>
                <w:lang w:val="es-ES_tradnl" w:eastAsia="es-ES_tradnl"/>
              </w:rPr>
            </w:pPr>
            <w:r w:rsidRPr="00D126E1">
              <w:rPr>
                <w:rFonts w:ascii="Verdana" w:eastAsia="Calibri" w:hAnsi="Verdana" w:cs="Arial"/>
                <w:b/>
                <w:lang w:val="es-ES_tradnl" w:eastAsia="es-ES_tradnl"/>
              </w:rPr>
              <w:t>Radicación:</w:t>
            </w:r>
            <w:r w:rsidRPr="00D126E1">
              <w:rPr>
                <w:rFonts w:ascii="Verdana" w:eastAsia="Calibri" w:hAnsi="Verdana" w:cs="Arial"/>
                <w:lang w:val="es-ES_tradnl" w:eastAsia="es-ES_tradnl"/>
              </w:rPr>
              <w:t xml:space="preserve">               </w:t>
            </w:r>
          </w:p>
        </w:tc>
        <w:tc>
          <w:tcPr>
            <w:tcW w:w="6241" w:type="dxa"/>
          </w:tcPr>
          <w:p w14:paraId="4CCDF82F" w14:textId="77777777" w:rsidR="00983DD3" w:rsidRPr="00D126E1" w:rsidRDefault="00983DD3" w:rsidP="00200275">
            <w:pPr>
              <w:ind w:left="3" w:hanging="3"/>
              <w:jc w:val="both"/>
              <w:rPr>
                <w:rFonts w:ascii="Verdana" w:eastAsia="Calibri" w:hAnsi="Verdana" w:cs="Arial"/>
                <w:lang w:val="es-ES_tradnl" w:eastAsia="es-ES_tradnl"/>
              </w:rPr>
            </w:pPr>
            <w:r w:rsidRPr="00D126E1">
              <w:rPr>
                <w:rFonts w:ascii="Verdana" w:eastAsia="Calibri" w:hAnsi="Verdana" w:cs="Arial"/>
                <w:lang w:val="es-ES_tradnl" w:eastAsia="es-ES_tradnl"/>
              </w:rPr>
              <w:t xml:space="preserve">Respuesta a consulta con radicado No. </w:t>
            </w:r>
            <w:r w:rsidR="005A3CE7" w:rsidRPr="005A3CE7">
              <w:rPr>
                <w:rFonts w:ascii="Verdana" w:eastAsia="Calibri" w:hAnsi="Verdana" w:cs="Arial"/>
                <w:lang w:val="es-ES_tradnl" w:eastAsia="es-ES_tradnl"/>
              </w:rPr>
              <w:t>1_2025_11_13_012819</w:t>
            </w:r>
          </w:p>
        </w:tc>
      </w:tr>
    </w:tbl>
    <w:p w14:paraId="4AA43398" w14:textId="77777777" w:rsidR="00983DD3" w:rsidRDefault="00983DD3" w:rsidP="00983DD3">
      <w:pPr>
        <w:spacing w:after="0" w:line="276" w:lineRule="auto"/>
        <w:jc w:val="both"/>
        <w:rPr>
          <w:rFonts w:ascii="Verdana" w:eastAsia="Calibri" w:hAnsi="Verdana" w:cs="Arial"/>
          <w:lang w:val="es-ES" w:eastAsia="es-ES"/>
        </w:rPr>
      </w:pPr>
    </w:p>
    <w:p w14:paraId="185C2AC2" w14:textId="77777777" w:rsidR="00983DD3" w:rsidRPr="00D126E1" w:rsidRDefault="00983DD3" w:rsidP="00983DD3">
      <w:pPr>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Estimad</w:t>
      </w:r>
      <w:r>
        <w:rPr>
          <w:rFonts w:ascii="Verdana" w:eastAsia="Calibri" w:hAnsi="Verdana" w:cs="Arial"/>
          <w:lang w:val="es-ES" w:eastAsia="es-ES"/>
        </w:rPr>
        <w:t>a señora Betancourt</w:t>
      </w:r>
      <w:r w:rsidRPr="00D126E1">
        <w:rPr>
          <w:rFonts w:ascii="Verdana" w:eastAsia="Calibri" w:hAnsi="Verdana" w:cs="Arial"/>
          <w:lang w:val="es-ES" w:eastAsia="es-ES"/>
        </w:rPr>
        <w:t xml:space="preserve">: </w:t>
      </w:r>
    </w:p>
    <w:p w14:paraId="22E11478" w14:textId="77777777" w:rsidR="00983DD3" w:rsidRPr="00D126E1" w:rsidRDefault="00983DD3" w:rsidP="00983DD3">
      <w:pPr>
        <w:tabs>
          <w:tab w:val="left" w:pos="3768"/>
        </w:tabs>
        <w:spacing w:after="0" w:line="276" w:lineRule="auto"/>
        <w:ind w:left="3768" w:hanging="3768"/>
        <w:jc w:val="both"/>
        <w:rPr>
          <w:rFonts w:ascii="Verdana" w:eastAsia="Calibri" w:hAnsi="Verdana" w:cs="Arial"/>
          <w:lang w:val="es-ES" w:eastAsia="es-ES"/>
        </w:rPr>
      </w:pPr>
      <w:r w:rsidRPr="00D126E1">
        <w:rPr>
          <w:rFonts w:ascii="Verdana" w:eastAsia="Calibri" w:hAnsi="Verdana" w:cs="Arial"/>
          <w:lang w:val="es-ES" w:eastAsia="es-ES"/>
        </w:rPr>
        <w:tab/>
      </w:r>
    </w:p>
    <w:p w14:paraId="2FDAF7B7" w14:textId="77777777" w:rsidR="00983DD3" w:rsidRPr="00D126E1" w:rsidRDefault="00983DD3" w:rsidP="00983DD3">
      <w:pPr>
        <w:spacing w:after="0" w:line="276" w:lineRule="auto"/>
        <w:jc w:val="both"/>
        <w:rPr>
          <w:rFonts w:ascii="Verdana" w:eastAsia="Calibri" w:hAnsi="Verdana" w:cs="Arial"/>
          <w:lang w:val="es-ES" w:eastAsia="es-ES"/>
        </w:rPr>
      </w:pPr>
      <w:r w:rsidRPr="00D126E1">
        <w:rPr>
          <w:rFonts w:ascii="Verdana" w:eastAsia="Calibri" w:hAnsi="Verdana" w:cs="Arial"/>
          <w:lang w:val="es-ES" w:eastAsia="es-ES"/>
        </w:rPr>
        <w:t>En ejercicio de la competencia otorgada por los artículos 3, numeral 5º, y 11, numeral 8º, del Decreto Ley 4170 de 2011,</w:t>
      </w:r>
      <w:r w:rsidRPr="00D126E1">
        <w:rPr>
          <w:rFonts w:ascii="Verdana" w:eastAsia="Arial MT" w:hAnsi="Verdana" w:cs="Arial MT"/>
          <w:lang w:val="es-ES" w:eastAsia="es-ES"/>
        </w:rPr>
        <w:t xml:space="preserve"> </w:t>
      </w:r>
      <w:r w:rsidRPr="00D126E1">
        <w:rPr>
          <w:rFonts w:ascii="Verdana" w:eastAsia="Calibri" w:hAnsi="Verdana" w:cs="Arial"/>
        </w:rPr>
        <w:t xml:space="preserve">así como lo establecido en el artículo 4 de la Resolución 1707 de 2018 expedida por esta Entidad, </w:t>
      </w:r>
      <w:r w:rsidRPr="00D126E1">
        <w:rPr>
          <w:rFonts w:ascii="Verdana" w:eastAsia="Calibri" w:hAnsi="Verdana" w:cs="Arial"/>
          <w:lang w:val="es-ES" w:eastAsia="es-ES"/>
        </w:rPr>
        <w:t xml:space="preserve">la Agencia Nacional de Contratación Pública – Colombia Compra Eficiente– responde su solicitud de consulta del </w:t>
      </w:r>
      <w:r w:rsidR="00E70B95">
        <w:rPr>
          <w:rFonts w:ascii="Verdana" w:eastAsia="Calibri" w:hAnsi="Verdana" w:cs="Arial"/>
          <w:lang w:val="es-ES" w:eastAsia="es-ES"/>
        </w:rPr>
        <w:t>13</w:t>
      </w:r>
      <w:r w:rsidRPr="00D126E1">
        <w:rPr>
          <w:rFonts w:ascii="Verdana" w:eastAsia="Calibri" w:hAnsi="Verdana" w:cs="Arial"/>
          <w:lang w:val="es-ES" w:eastAsia="es-ES"/>
        </w:rPr>
        <w:t xml:space="preserve"> de </w:t>
      </w:r>
      <w:r w:rsidR="00E70B95">
        <w:rPr>
          <w:rFonts w:ascii="Verdana" w:eastAsia="Calibri" w:hAnsi="Verdana" w:cs="Arial"/>
          <w:lang w:val="es-ES" w:eastAsia="es-ES"/>
        </w:rPr>
        <w:t>noviembre</w:t>
      </w:r>
      <w:r w:rsidRPr="00D126E1">
        <w:rPr>
          <w:rFonts w:ascii="Verdana" w:eastAsia="Calibri" w:hAnsi="Verdana" w:cs="Arial"/>
          <w:lang w:val="es-ES" w:eastAsia="es-ES"/>
        </w:rPr>
        <w:t xml:space="preserve"> de 2025, en la cual manifiesta lo siguiente:</w:t>
      </w:r>
    </w:p>
    <w:p w14:paraId="7E5E0330" w14:textId="77777777" w:rsidR="00983DD3" w:rsidRPr="00D126E1" w:rsidRDefault="00983DD3" w:rsidP="00983DD3">
      <w:pPr>
        <w:spacing w:after="0" w:line="276" w:lineRule="auto"/>
        <w:jc w:val="both"/>
        <w:rPr>
          <w:rFonts w:ascii="Verdana" w:eastAsia="Calibri" w:hAnsi="Verdana" w:cs="Arial"/>
          <w:lang w:val="es-ES" w:eastAsia="es-ES"/>
        </w:rPr>
      </w:pPr>
    </w:p>
    <w:p w14:paraId="77AD553A" w14:textId="77777777" w:rsidR="00983DD3" w:rsidRPr="0028106D" w:rsidRDefault="00983DD3" w:rsidP="00983DD3">
      <w:pPr>
        <w:jc w:val="both"/>
        <w:rPr>
          <w:rFonts w:ascii="Times New Roman" w:eastAsia="Times New Roman" w:hAnsi="Times New Roman" w:cs="Times New Roman"/>
          <w:color w:val="000000"/>
          <w:sz w:val="27"/>
          <w:szCs w:val="27"/>
          <w:lang w:eastAsia="es-CO"/>
        </w:rPr>
      </w:pPr>
      <w:r w:rsidRPr="00D126E1">
        <w:rPr>
          <w:rFonts w:ascii="Verdana" w:eastAsia="Aptos" w:hAnsi="Verdana" w:cs="Helvetica"/>
          <w:color w:val="000000"/>
          <w:sz w:val="21"/>
          <w:szCs w:val="21"/>
          <w14:ligatures w14:val="standardContextual"/>
        </w:rPr>
        <w:t>“</w:t>
      </w:r>
      <w:r w:rsidRPr="001E3F26">
        <w:rPr>
          <w:rFonts w:ascii="Verdana" w:eastAsia="Calibri" w:hAnsi="Verdana" w:cs="Arial"/>
          <w:lang w:val="es-ES" w:eastAsia="es-ES"/>
        </w:rPr>
        <w:t>Nos ponemos en contacto desde la Agencia Logística de las Fuerzas Militares con el fin de realizar consulta respecto a que derivado los resultados del Índice de Gestión y desempeño para la vigencia 2024, una de las recomendaciones emitidas dentro de la política Compras y Contratación Pública, indica:</w:t>
      </w:r>
    </w:p>
    <w:p w14:paraId="4FAB7799" w14:textId="77777777" w:rsidR="00983DD3" w:rsidRPr="0028106D" w:rsidRDefault="00983DD3" w:rsidP="00983DD3">
      <w:pPr>
        <w:spacing w:after="0" w:line="240" w:lineRule="auto"/>
        <w:rPr>
          <w:rFonts w:ascii="Times New Roman" w:eastAsia="Times New Roman" w:hAnsi="Times New Roman" w:cs="Times New Roman"/>
          <w:color w:val="000000"/>
          <w:sz w:val="27"/>
          <w:szCs w:val="27"/>
          <w:lang w:eastAsia="es-CO"/>
        </w:rPr>
      </w:pPr>
      <w:r w:rsidRPr="0028106D">
        <w:rPr>
          <w:rFonts w:ascii="Times New Roman" w:eastAsia="Times New Roman" w:hAnsi="Times New Roman" w:cs="Times New Roman"/>
          <w:color w:val="000000"/>
          <w:sz w:val="27"/>
          <w:szCs w:val="27"/>
          <w:lang w:eastAsia="es-CO"/>
        </w:rPr>
        <w:t> </w:t>
      </w:r>
    </w:p>
    <w:p w14:paraId="00180738" w14:textId="77777777" w:rsidR="00983DD3" w:rsidRPr="0028106D" w:rsidRDefault="00983DD3" w:rsidP="00983DD3">
      <w:pPr>
        <w:spacing w:after="0" w:line="240" w:lineRule="auto"/>
        <w:ind w:left="850" w:right="850"/>
        <w:jc w:val="both"/>
        <w:rPr>
          <w:rFonts w:ascii="Times New Roman" w:eastAsia="Times New Roman" w:hAnsi="Times New Roman" w:cs="Times New Roman"/>
          <w:color w:val="000000"/>
          <w:sz w:val="20"/>
          <w:szCs w:val="20"/>
          <w:lang w:eastAsia="es-CO"/>
        </w:rPr>
      </w:pPr>
      <w:r w:rsidRPr="0028106D">
        <w:rPr>
          <w:rFonts w:ascii="Verdana" w:eastAsia="Times New Roman" w:hAnsi="Verdana" w:cs="Times New Roman"/>
          <w:color w:val="000000"/>
          <w:sz w:val="20"/>
          <w:szCs w:val="20"/>
          <w:lang w:eastAsia="es-CO"/>
        </w:rPr>
        <w:lastRenderedPageBreak/>
        <w:t>"</w:t>
      </w:r>
      <w:r w:rsidRPr="0028106D">
        <w:rPr>
          <w:rFonts w:ascii="Verdana" w:eastAsia="Times New Roman" w:hAnsi="Verdana" w:cs="Times New Roman"/>
          <w:i/>
          <w:iCs/>
          <w:color w:val="000000"/>
          <w:sz w:val="20"/>
          <w:szCs w:val="20"/>
          <w:lang w:eastAsia="es-CO"/>
        </w:rPr>
        <w:t>Conforme la Ley 2022 de 2020 que modifica la Ley 1150 de 2007, las entidades regidas bajo el Estatuto General de Contratación de la Administración Pública deben hacer uso de los Documentos Tipo adoptados por la Agencia Nacional de Contratación Pública - Colombia Compra Eficiente, siempre y cuando el objeto contractual esté contenido en alguno de ellos y exista para la modalidad de selección aplicable.</w:t>
      </w:r>
      <w:r w:rsidRPr="0028106D">
        <w:rPr>
          <w:rFonts w:ascii="Verdana" w:eastAsia="Times New Roman" w:hAnsi="Verdana" w:cs="Times New Roman"/>
          <w:i/>
          <w:iCs/>
          <w:color w:val="000000"/>
          <w:sz w:val="20"/>
          <w:szCs w:val="20"/>
          <w:lang w:eastAsia="es-CO"/>
        </w:rPr>
        <w:br/>
        <w:t>En la actualidad, se han expedido Documentos Tipo para los siguientes sectores:</w:t>
      </w:r>
      <w:r w:rsidRPr="0028106D">
        <w:rPr>
          <w:rFonts w:ascii="Verdana" w:eastAsia="Times New Roman" w:hAnsi="Verdana" w:cs="Times New Roman"/>
          <w:i/>
          <w:iCs/>
          <w:color w:val="000000"/>
          <w:sz w:val="20"/>
          <w:szCs w:val="20"/>
          <w:lang w:eastAsia="es-CO"/>
        </w:rPr>
        <w:br/>
        <w:t>1. Documentos tipo infraestructura de transporte,</w:t>
      </w:r>
      <w:r w:rsidRPr="0028106D">
        <w:rPr>
          <w:rFonts w:ascii="Verdana" w:eastAsia="Times New Roman" w:hAnsi="Verdana" w:cs="Times New Roman"/>
          <w:i/>
          <w:iCs/>
          <w:color w:val="000000"/>
          <w:sz w:val="20"/>
          <w:szCs w:val="20"/>
          <w:lang w:eastAsia="es-CO"/>
        </w:rPr>
        <w:br/>
        <w:t>2. Documentos tipo infraestructura de agua potable y saneamiento básico,</w:t>
      </w:r>
      <w:r w:rsidRPr="0028106D">
        <w:rPr>
          <w:rFonts w:ascii="Verdana" w:eastAsia="Times New Roman" w:hAnsi="Verdana" w:cs="Times New Roman"/>
          <w:i/>
          <w:iCs/>
          <w:color w:val="000000"/>
          <w:sz w:val="20"/>
          <w:szCs w:val="20"/>
          <w:lang w:eastAsia="es-CO"/>
        </w:rPr>
        <w:br/>
        <w:t>3. Documentos tipo de gestión catastral con enfoque multipropósito,</w:t>
      </w:r>
      <w:r w:rsidRPr="0028106D">
        <w:rPr>
          <w:rFonts w:ascii="Verdana" w:eastAsia="Times New Roman" w:hAnsi="Verdana" w:cs="Times New Roman"/>
          <w:i/>
          <w:iCs/>
          <w:color w:val="000000"/>
          <w:sz w:val="20"/>
          <w:szCs w:val="20"/>
          <w:lang w:eastAsia="es-CO"/>
        </w:rPr>
        <w:br/>
        <w:t>4. Documentos tipo para proyectos de infraestructura social (salud, educación y recreación, cultura y deporte),</w:t>
      </w:r>
      <w:r w:rsidRPr="0028106D">
        <w:rPr>
          <w:rFonts w:ascii="Verdana" w:eastAsia="Times New Roman" w:hAnsi="Verdana" w:cs="Times New Roman"/>
          <w:i/>
          <w:iCs/>
          <w:color w:val="000000"/>
          <w:sz w:val="20"/>
          <w:szCs w:val="20"/>
          <w:lang w:eastAsia="es-CO"/>
        </w:rPr>
        <w:br/>
        <w:t>5. Documento tipo para la contratación directa de convenios solidarios para la ejecución de obras hasta la menor cuantía con organismos de acción comunal.</w:t>
      </w:r>
      <w:r w:rsidRPr="0028106D">
        <w:rPr>
          <w:rFonts w:ascii="Verdana" w:eastAsia="Times New Roman" w:hAnsi="Verdana" w:cs="Times New Roman"/>
          <w:i/>
          <w:iCs/>
          <w:color w:val="000000"/>
          <w:sz w:val="20"/>
          <w:szCs w:val="20"/>
          <w:lang w:eastAsia="es-CO"/>
        </w:rPr>
        <w:br/>
      </w:r>
      <w:r w:rsidRPr="0028106D">
        <w:rPr>
          <w:rFonts w:ascii="Verdana" w:eastAsia="Times New Roman" w:hAnsi="Verdana" w:cs="Times New Roman"/>
          <w:i/>
          <w:iCs/>
          <w:color w:val="000000"/>
          <w:sz w:val="20"/>
          <w:szCs w:val="20"/>
          <w:lang w:eastAsia="es-CO"/>
        </w:rPr>
        <w:br/>
        <w:t>Los anteriores Documentos Tipo se pueden encontrar en el siguiente enlace: </w:t>
      </w:r>
      <w:hyperlink r:id="rId13" w:history="1">
        <w:r w:rsidRPr="0028106D">
          <w:rPr>
            <w:rFonts w:ascii="Verdana" w:eastAsia="Times New Roman" w:hAnsi="Verdana" w:cs="Times New Roman"/>
            <w:i/>
            <w:iCs/>
            <w:color w:val="0000FF"/>
            <w:sz w:val="20"/>
            <w:szCs w:val="20"/>
            <w:u w:val="single"/>
            <w:lang w:eastAsia="es-CO"/>
          </w:rPr>
          <w:t>https://www.colombiacompra.gov.co/normativa-y-relatoria/documentos-tipo</w:t>
        </w:r>
      </w:hyperlink>
      <w:r w:rsidRPr="0028106D">
        <w:rPr>
          <w:rFonts w:ascii="Verdana" w:eastAsia="Times New Roman" w:hAnsi="Verdana" w:cs="Times New Roman"/>
          <w:i/>
          <w:iCs/>
          <w:color w:val="000000"/>
          <w:sz w:val="20"/>
          <w:szCs w:val="20"/>
          <w:lang w:eastAsia="es-CO"/>
        </w:rPr>
        <w:br/>
      </w:r>
      <w:r w:rsidRPr="0028106D">
        <w:rPr>
          <w:rFonts w:ascii="Verdana" w:eastAsia="Times New Roman" w:hAnsi="Verdana" w:cs="Times New Roman"/>
          <w:i/>
          <w:iCs/>
          <w:color w:val="000000"/>
          <w:sz w:val="20"/>
          <w:szCs w:val="20"/>
          <w:lang w:eastAsia="es-CO"/>
        </w:rPr>
        <w:br/>
        <w:t>Para su aplicación, se recomienda revisar el ítem "Aplicar los Documentos Tipo expedidos por la Agencia Nacional de Contratación Pública – Colombia Compra Eficiente" de numeral 2.4. Política de Compras y Contratación Pública de Manual Operativo MIPG V6 de la Función Pública. </w:t>
      </w:r>
      <w:r w:rsidRPr="0028106D">
        <w:rPr>
          <w:rFonts w:ascii="Verdana" w:eastAsia="Times New Roman" w:hAnsi="Verdana" w:cs="Times New Roman"/>
          <w:color w:val="000000"/>
          <w:sz w:val="20"/>
          <w:szCs w:val="20"/>
          <w:lang w:eastAsia="es-CO"/>
        </w:rPr>
        <w:t>"</w:t>
      </w:r>
    </w:p>
    <w:p w14:paraId="34D9B2A1" w14:textId="77777777" w:rsidR="00983DD3" w:rsidRPr="0028106D" w:rsidRDefault="00983DD3" w:rsidP="00983DD3">
      <w:pPr>
        <w:spacing w:after="0" w:line="240" w:lineRule="auto"/>
        <w:ind w:left="850" w:right="850"/>
        <w:jc w:val="both"/>
        <w:rPr>
          <w:rFonts w:ascii="Times New Roman" w:eastAsia="Times New Roman" w:hAnsi="Times New Roman" w:cs="Times New Roman"/>
          <w:color w:val="000000"/>
          <w:sz w:val="20"/>
          <w:szCs w:val="20"/>
          <w:lang w:eastAsia="es-CO"/>
        </w:rPr>
      </w:pPr>
      <w:r w:rsidRPr="0028106D">
        <w:rPr>
          <w:rFonts w:ascii="Times New Roman" w:eastAsia="Times New Roman" w:hAnsi="Times New Roman" w:cs="Times New Roman"/>
          <w:color w:val="000000"/>
          <w:sz w:val="20"/>
          <w:szCs w:val="20"/>
          <w:lang w:eastAsia="es-CO"/>
        </w:rPr>
        <w:t> </w:t>
      </w:r>
    </w:p>
    <w:p w14:paraId="1EA6A8AD" w14:textId="77777777" w:rsidR="00983DD3" w:rsidRPr="0028106D" w:rsidRDefault="00983DD3" w:rsidP="00983DD3">
      <w:pPr>
        <w:spacing w:after="0" w:line="240" w:lineRule="auto"/>
        <w:ind w:left="850" w:right="850"/>
        <w:jc w:val="both"/>
        <w:rPr>
          <w:rFonts w:ascii="Times New Roman" w:eastAsia="Times New Roman" w:hAnsi="Times New Roman" w:cs="Times New Roman"/>
          <w:color w:val="000000"/>
          <w:sz w:val="20"/>
          <w:szCs w:val="20"/>
          <w:lang w:eastAsia="es-CO"/>
        </w:rPr>
      </w:pPr>
      <w:r w:rsidRPr="0028106D">
        <w:rPr>
          <w:rFonts w:ascii="Verdana" w:eastAsia="Times New Roman" w:hAnsi="Verdana" w:cs="Times New Roman"/>
          <w:color w:val="000000"/>
          <w:sz w:val="20"/>
          <w:szCs w:val="20"/>
          <w:lang w:eastAsia="es-CO"/>
        </w:rPr>
        <w:t>Una vez analizada la recomendación evidenciamos lo siguiente: </w:t>
      </w:r>
    </w:p>
    <w:p w14:paraId="7AA1C252" w14:textId="77777777" w:rsidR="00983DD3" w:rsidRPr="0028106D" w:rsidRDefault="00983DD3" w:rsidP="00983DD3">
      <w:pPr>
        <w:numPr>
          <w:ilvl w:val="0"/>
          <w:numId w:val="18"/>
        </w:numPr>
        <w:spacing w:before="100" w:beforeAutospacing="1" w:after="100" w:afterAutospacing="1" w:line="240" w:lineRule="auto"/>
        <w:ind w:left="850" w:right="850"/>
        <w:jc w:val="both"/>
        <w:rPr>
          <w:rFonts w:ascii="Times New Roman" w:eastAsia="Times New Roman" w:hAnsi="Times New Roman" w:cs="Times New Roman"/>
          <w:color w:val="000000"/>
          <w:sz w:val="20"/>
          <w:szCs w:val="20"/>
          <w:lang w:eastAsia="es-CO"/>
        </w:rPr>
      </w:pPr>
      <w:r w:rsidRPr="0028106D">
        <w:rPr>
          <w:rFonts w:ascii="Verdana" w:eastAsia="Times New Roman" w:hAnsi="Verdana" w:cs="Times New Roman"/>
          <w:color w:val="000000"/>
          <w:sz w:val="20"/>
          <w:szCs w:val="20"/>
          <w:lang w:eastAsia="es-CO"/>
        </w:rPr>
        <w:t>Según el Decreto 4746 de 2002 en su ARTÍCULO 2º. la Naturaleza jurídica de la Agencia Logística de las Fuerzas Militares, es un establecimiento público del orden nacional, adscrito al Ministerio de Defensa Nacional, dotado de personería jurídica, autonomía administrativa y financiera y patrimonio independiente.</w:t>
      </w:r>
    </w:p>
    <w:p w14:paraId="2AA8BCF3" w14:textId="77777777" w:rsidR="00983DD3" w:rsidRPr="0028106D" w:rsidRDefault="00983DD3" w:rsidP="00983DD3">
      <w:pPr>
        <w:numPr>
          <w:ilvl w:val="0"/>
          <w:numId w:val="18"/>
        </w:numPr>
        <w:spacing w:before="100" w:beforeAutospacing="1" w:after="100" w:afterAutospacing="1" w:line="240" w:lineRule="auto"/>
        <w:ind w:left="850" w:right="850"/>
        <w:jc w:val="both"/>
        <w:rPr>
          <w:rFonts w:ascii="Times New Roman" w:eastAsia="Times New Roman" w:hAnsi="Times New Roman" w:cs="Times New Roman"/>
          <w:color w:val="000000"/>
          <w:sz w:val="20"/>
          <w:szCs w:val="20"/>
          <w:lang w:eastAsia="es-CO"/>
        </w:rPr>
      </w:pPr>
      <w:r w:rsidRPr="0028106D">
        <w:rPr>
          <w:rFonts w:ascii="Verdana" w:eastAsia="Times New Roman" w:hAnsi="Verdana" w:cs="Times New Roman"/>
          <w:color w:val="000000"/>
          <w:sz w:val="20"/>
          <w:szCs w:val="20"/>
          <w:lang w:eastAsia="es-CO"/>
        </w:rPr>
        <w:t>En el mismo decreto en el ARTÍCULO 6º. establece como Objeto de La Agencia Logística de las Fuerzas Militares tiene por objeto ejecutar las actividades de apoyo logístico y abastecimiento de bienes y servicios requeridos para atender las necesidades de las Fuerzas Militares.</w:t>
      </w:r>
      <w:r w:rsidRPr="0028106D">
        <w:rPr>
          <w:rFonts w:ascii="Times New Roman" w:eastAsia="Times New Roman" w:hAnsi="Times New Roman" w:cs="Times New Roman"/>
          <w:color w:val="000000"/>
          <w:sz w:val="20"/>
          <w:szCs w:val="20"/>
          <w:lang w:eastAsia="es-CO"/>
        </w:rPr>
        <w:t> </w:t>
      </w:r>
    </w:p>
    <w:p w14:paraId="2665852E" w14:textId="77777777" w:rsidR="00983DD3" w:rsidRPr="0028106D" w:rsidRDefault="00983DD3" w:rsidP="00983DD3">
      <w:pPr>
        <w:spacing w:after="0" w:line="240" w:lineRule="auto"/>
        <w:ind w:left="850" w:right="850"/>
        <w:jc w:val="both"/>
        <w:rPr>
          <w:rFonts w:ascii="Times New Roman" w:eastAsia="Times New Roman" w:hAnsi="Times New Roman" w:cs="Times New Roman"/>
          <w:color w:val="000000"/>
          <w:sz w:val="20"/>
          <w:szCs w:val="20"/>
          <w:lang w:eastAsia="es-CO"/>
        </w:rPr>
      </w:pPr>
      <w:r w:rsidRPr="0028106D">
        <w:rPr>
          <w:rFonts w:ascii="Verdana" w:eastAsia="Times New Roman" w:hAnsi="Verdana" w:cs="Times New Roman"/>
          <w:color w:val="000000"/>
          <w:sz w:val="20"/>
          <w:szCs w:val="20"/>
          <w:lang w:eastAsia="es-CO"/>
        </w:rPr>
        <w:t>Por lo anterior, nuestra consulta va dirigida hacia la claridad o no aplicabilidad de los Documentos</w:t>
      </w:r>
      <w:r w:rsidRPr="0028106D">
        <w:rPr>
          <w:rFonts w:ascii="Verdana" w:eastAsia="Times New Roman" w:hAnsi="Verdana" w:cs="Times New Roman"/>
          <w:i/>
          <w:iCs/>
          <w:color w:val="000000"/>
          <w:sz w:val="20"/>
          <w:szCs w:val="20"/>
          <w:lang w:eastAsia="es-CO"/>
        </w:rPr>
        <w:t xml:space="preserve"> Tipo expedidos por la Agencia Nacional de Contratación Pública – Colombia Compra Eficiente</w:t>
      </w:r>
      <w:r w:rsidRPr="0028106D">
        <w:rPr>
          <w:rFonts w:ascii="Verdana" w:eastAsia="Times New Roman" w:hAnsi="Verdana" w:cs="Times New Roman"/>
          <w:color w:val="000000"/>
          <w:sz w:val="20"/>
          <w:szCs w:val="20"/>
          <w:lang w:eastAsia="es-CO"/>
        </w:rPr>
        <w:t xml:space="preserve">, tendiendo en cuenta que acorde a la naturaleza jurídica de la entidad y la </w:t>
      </w:r>
      <w:proofErr w:type="spellStart"/>
      <w:r w:rsidRPr="0028106D">
        <w:rPr>
          <w:rFonts w:ascii="Verdana" w:eastAsia="Times New Roman" w:hAnsi="Verdana" w:cs="Times New Roman"/>
          <w:color w:val="000000"/>
          <w:sz w:val="20"/>
          <w:szCs w:val="20"/>
          <w:lang w:eastAsia="es-CO"/>
        </w:rPr>
        <w:t>tipologia</w:t>
      </w:r>
      <w:proofErr w:type="spellEnd"/>
      <w:r w:rsidRPr="0028106D">
        <w:rPr>
          <w:rFonts w:ascii="Verdana" w:eastAsia="Times New Roman" w:hAnsi="Verdana" w:cs="Times New Roman"/>
          <w:color w:val="000000"/>
          <w:sz w:val="20"/>
          <w:szCs w:val="20"/>
          <w:lang w:eastAsia="es-CO"/>
        </w:rPr>
        <w:t xml:space="preserve"> de los procesos misionales</w:t>
      </w:r>
      <w:r>
        <w:rPr>
          <w:rFonts w:ascii="Verdana" w:eastAsia="Times New Roman" w:hAnsi="Verdana" w:cs="Times New Roman"/>
          <w:color w:val="000000"/>
          <w:sz w:val="20"/>
          <w:szCs w:val="20"/>
          <w:lang w:eastAsia="es-CO"/>
        </w:rPr>
        <w:t>”</w:t>
      </w:r>
      <w:r w:rsidRPr="0028106D">
        <w:rPr>
          <w:rFonts w:ascii="Verdana" w:eastAsia="Times New Roman" w:hAnsi="Verdana" w:cs="Times New Roman"/>
          <w:color w:val="000000"/>
          <w:sz w:val="20"/>
          <w:szCs w:val="20"/>
          <w:lang w:eastAsia="es-CO"/>
        </w:rPr>
        <w:t>.</w:t>
      </w:r>
      <w:r>
        <w:rPr>
          <w:rFonts w:ascii="Verdana" w:eastAsia="Times New Roman" w:hAnsi="Verdana" w:cs="Times New Roman"/>
          <w:color w:val="000000"/>
          <w:sz w:val="20"/>
          <w:szCs w:val="20"/>
          <w:lang w:eastAsia="es-CO"/>
        </w:rPr>
        <w:t xml:space="preserve"> (SIC)</w:t>
      </w:r>
    </w:p>
    <w:p w14:paraId="1FB2F374" w14:textId="77777777" w:rsidR="00983DD3" w:rsidRPr="003C581B" w:rsidRDefault="00983DD3" w:rsidP="00983DD3">
      <w:pPr>
        <w:spacing w:after="120" w:line="240" w:lineRule="auto"/>
        <w:ind w:left="850" w:right="850"/>
        <w:jc w:val="both"/>
        <w:rPr>
          <w:rFonts w:ascii="Verdana" w:eastAsia="Aptos" w:hAnsi="Verdana" w:cs="Helvetica"/>
          <w:color w:val="000000"/>
          <w:sz w:val="20"/>
          <w:szCs w:val="20"/>
          <w14:ligatures w14:val="standardContextual"/>
        </w:rPr>
      </w:pPr>
    </w:p>
    <w:p w14:paraId="2F327665" w14:textId="77777777" w:rsidR="00983DD3" w:rsidRPr="002B1949" w:rsidRDefault="00983DD3" w:rsidP="00983DD3">
      <w:pPr>
        <w:spacing w:after="12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1949">
        <w:rPr>
          <w:rFonts w:ascii="Verdana" w:eastAsia="Calibri" w:hAnsi="Verdana" w:cs="Arial"/>
          <w:color w:val="000000"/>
          <w:lang w:eastAsia="es-ES"/>
        </w:rPr>
        <w:tab/>
      </w:r>
    </w:p>
    <w:p w14:paraId="3DF4BE95" w14:textId="77777777" w:rsidR="00983DD3" w:rsidRPr="002B1949" w:rsidRDefault="00983DD3" w:rsidP="00983DD3">
      <w:pPr>
        <w:spacing w:after="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Pr>
          <w:rFonts w:ascii="Verdana" w:eastAsia="Calibri" w:hAnsi="Verdana" w:cs="Arial"/>
          <w:color w:val="000000"/>
          <w:lang w:eastAsia="es-ES"/>
        </w:rPr>
        <w:t>.</w:t>
      </w:r>
    </w:p>
    <w:p w14:paraId="71403550" w14:textId="77777777" w:rsidR="00983DD3" w:rsidRPr="00D126E1" w:rsidRDefault="00983DD3" w:rsidP="00983DD3">
      <w:pPr>
        <w:spacing w:after="0" w:line="240" w:lineRule="auto"/>
        <w:ind w:right="709"/>
        <w:jc w:val="both"/>
        <w:rPr>
          <w:rFonts w:ascii="Verdana" w:eastAsia="Aptos" w:hAnsi="Verdana" w:cs="Helvetica"/>
          <w:color w:val="000000"/>
          <w:sz w:val="21"/>
          <w:szCs w:val="21"/>
          <w:lang w:val="es-MX"/>
          <w14:ligatures w14:val="standardContextual"/>
        </w:rPr>
      </w:pPr>
    </w:p>
    <w:p w14:paraId="474A4070" w14:textId="77777777" w:rsidR="00983DD3" w:rsidRPr="00D126E1" w:rsidRDefault="00983DD3" w:rsidP="00983DD3">
      <w:pPr>
        <w:numPr>
          <w:ilvl w:val="0"/>
          <w:numId w:val="17"/>
        </w:numPr>
        <w:tabs>
          <w:tab w:val="left" w:pos="142"/>
          <w:tab w:val="left" w:pos="284"/>
        </w:tabs>
        <w:spacing w:after="0" w:line="276" w:lineRule="auto"/>
        <w:jc w:val="both"/>
        <w:rPr>
          <w:rFonts w:ascii="Verdana" w:eastAsia="Century Gothic" w:hAnsi="Verdana" w:cs="Century Gothic"/>
          <w:b/>
          <w:bCs/>
        </w:rPr>
      </w:pPr>
      <w:r w:rsidRPr="00D126E1">
        <w:rPr>
          <w:rFonts w:ascii="Verdana" w:eastAsia="Century Gothic" w:hAnsi="Verdana" w:cs="Century Gothic"/>
          <w:b/>
          <w:bCs/>
        </w:rPr>
        <w:t>Problema planteado:</w:t>
      </w:r>
    </w:p>
    <w:p w14:paraId="0696E4A1" w14:textId="77777777" w:rsidR="00983DD3" w:rsidRPr="00D126E1" w:rsidRDefault="00983DD3" w:rsidP="00983DD3">
      <w:pPr>
        <w:tabs>
          <w:tab w:val="left" w:pos="426"/>
        </w:tabs>
        <w:spacing w:after="0" w:line="276" w:lineRule="auto"/>
        <w:jc w:val="both"/>
        <w:rPr>
          <w:rFonts w:ascii="Verdana" w:eastAsia="Century Gothic" w:hAnsi="Verdana" w:cs="Century Gothic"/>
          <w:lang w:val="es-ES"/>
        </w:rPr>
      </w:pPr>
    </w:p>
    <w:p w14:paraId="65CDA317" w14:textId="77777777" w:rsidR="00983DD3" w:rsidRDefault="00983DD3" w:rsidP="00983DD3">
      <w:pPr>
        <w:spacing w:after="0" w:line="276" w:lineRule="auto"/>
        <w:jc w:val="both"/>
        <w:rPr>
          <w:rFonts w:ascii="Verdana" w:eastAsia="Calibri" w:hAnsi="Verdana" w:cs="Arial"/>
          <w:bCs/>
          <w:lang w:val="es-ES_tradnl" w:eastAsia="es-ES_tradnl"/>
        </w:rPr>
      </w:pPr>
      <w:r w:rsidRPr="00D126E1">
        <w:rPr>
          <w:rFonts w:ascii="Verdana" w:eastAsia="Century Gothic" w:hAnsi="Verdana" w:cs="Century Gothic"/>
        </w:rPr>
        <w:t xml:space="preserve">De acuerdo con el contenido de su solicitud, esta Agencia resolverá el siguiente problema jurídico: </w:t>
      </w:r>
      <w:r>
        <w:rPr>
          <w:rFonts w:ascii="Verdana" w:eastAsia="Calibri" w:hAnsi="Verdana" w:cs="Arial"/>
          <w:bCs/>
          <w:lang w:val="es-ES_tradnl" w:eastAsia="es-ES_tradnl"/>
        </w:rPr>
        <w:t>¿Cuáles son las entidades estatales que están obligadas a utilizar los documentos tipo expedidos por la Agencia Nacional de Contratación Pública – Colombia Compra Eficiente y cuando deben hacerlo?</w:t>
      </w:r>
    </w:p>
    <w:p w14:paraId="1CF6A8D0" w14:textId="77777777" w:rsidR="00075870" w:rsidRPr="00D126E1" w:rsidRDefault="00075870" w:rsidP="00983DD3">
      <w:pPr>
        <w:spacing w:after="0" w:line="276" w:lineRule="auto"/>
        <w:jc w:val="both"/>
        <w:rPr>
          <w:rFonts w:ascii="Verdana" w:eastAsia="Century Gothic" w:hAnsi="Verdana" w:cs="Century Gothic"/>
        </w:rPr>
      </w:pPr>
    </w:p>
    <w:p w14:paraId="3DB6E5EA" w14:textId="77777777" w:rsidR="00983DD3" w:rsidRPr="00D126E1" w:rsidRDefault="00983DD3" w:rsidP="00983DD3">
      <w:pPr>
        <w:tabs>
          <w:tab w:val="left" w:pos="142"/>
          <w:tab w:val="left" w:pos="284"/>
        </w:tabs>
        <w:spacing w:after="0" w:line="276" w:lineRule="auto"/>
        <w:contextualSpacing/>
        <w:jc w:val="both"/>
        <w:rPr>
          <w:rFonts w:ascii="Verdana" w:eastAsia="Century Gothic" w:hAnsi="Verdana" w:cs="Century Gothic"/>
          <w:b/>
          <w:bCs/>
          <w:lang w:val="es-ES"/>
        </w:rPr>
      </w:pPr>
      <w:r w:rsidRPr="00D126E1">
        <w:rPr>
          <w:rFonts w:ascii="Verdana" w:eastAsia="Century Gothic" w:hAnsi="Verdana" w:cs="Century Gothic"/>
          <w:b/>
          <w:bCs/>
          <w:lang w:val="es-ES"/>
        </w:rPr>
        <w:t>2. Respuestas:</w:t>
      </w:r>
    </w:p>
    <w:p w14:paraId="2C9F1E3F" w14:textId="77777777" w:rsidR="00983DD3" w:rsidRPr="00D126E1" w:rsidRDefault="00983DD3" w:rsidP="00983DD3">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0EEF" w:rsidRPr="00223018" w14:paraId="179E6596" w14:textId="77777777" w:rsidTr="000F3C54">
        <w:tc>
          <w:tcPr>
            <w:tcW w:w="8828" w:type="dxa"/>
            <w:shd w:val="clear" w:color="auto" w:fill="auto"/>
          </w:tcPr>
          <w:p w14:paraId="6F58215D" w14:textId="77777777" w:rsidR="00240EEF" w:rsidRPr="00223018" w:rsidRDefault="00240EEF" w:rsidP="000F3C54">
            <w:pPr>
              <w:spacing w:after="120" w:line="276" w:lineRule="auto"/>
              <w:jc w:val="both"/>
              <w:rPr>
                <w:rFonts w:ascii="Verdana" w:eastAsia="Aptos" w:hAnsi="Verdana" w:cs="Arial"/>
                <w:color w:val="000000"/>
                <w:shd w:val="clear" w:color="auto" w:fill="FFFFFF"/>
                <w:lang w:val="es-ES_tradnl"/>
              </w:rPr>
            </w:pPr>
            <w:r>
              <w:rPr>
                <w:rFonts w:ascii="Verdana" w:eastAsia="Aptos" w:hAnsi="Verdana" w:cs="Arial"/>
                <w:bCs/>
                <w:color w:val="000000"/>
                <w:shd w:val="clear" w:color="auto" w:fill="FFFFFF"/>
                <w:lang w:val="es-ES_tradnl"/>
              </w:rPr>
              <w:t>En principio, los</w:t>
            </w:r>
            <w:r w:rsidRPr="00223018">
              <w:rPr>
                <w:rFonts w:ascii="Verdana" w:eastAsia="Aptos" w:hAnsi="Verdana" w:cs="Arial"/>
                <w:bCs/>
                <w:color w:val="000000"/>
                <w:shd w:val="clear" w:color="auto" w:fill="FFFFFF"/>
                <w:lang w:val="es-ES_tradnl"/>
              </w:rPr>
              <w:t xml:space="preserve"> documentos tipo expedidos por la Agencia Nacional de Contratación Pública son de aplicación obligatoria para las entidades estatales sometidas al Estatuto General de Contratación de la Administración Pública</w:t>
            </w:r>
            <w:r>
              <w:rPr>
                <w:rFonts w:ascii="Verdana" w:eastAsia="Aptos" w:hAnsi="Verdana" w:cs="Arial"/>
                <w:bCs/>
                <w:color w:val="000000"/>
                <w:shd w:val="clear" w:color="auto" w:fill="FFFFFF"/>
                <w:lang w:val="es-ES_tradnl"/>
              </w:rPr>
              <w:t>, en virtud de lo dispuesto</w:t>
            </w:r>
            <w:r w:rsidRPr="00223018">
              <w:rPr>
                <w:rFonts w:ascii="Verdana" w:eastAsia="Aptos" w:hAnsi="Verdana" w:cs="Arial"/>
                <w:bCs/>
                <w:color w:val="000000"/>
                <w:shd w:val="clear" w:color="auto" w:fill="FFFFFF"/>
                <w:lang w:val="es-ES_tradnl"/>
              </w:rPr>
              <w:t xml:space="preserve"> </w:t>
            </w:r>
            <w:r>
              <w:rPr>
                <w:rFonts w:ascii="Verdana" w:eastAsia="Aptos" w:hAnsi="Verdana" w:cs="Arial"/>
                <w:bCs/>
                <w:color w:val="000000"/>
                <w:shd w:val="clear" w:color="auto" w:fill="FFFFFF"/>
                <w:lang w:val="es-ES_tradnl"/>
              </w:rPr>
              <w:t xml:space="preserve">en </w:t>
            </w:r>
            <w:r w:rsidRPr="00223018">
              <w:rPr>
                <w:rFonts w:ascii="Verdana" w:eastAsia="Aptos" w:hAnsi="Verdana" w:cs="Arial"/>
                <w:bCs/>
                <w:color w:val="000000"/>
                <w:shd w:val="clear" w:color="auto" w:fill="FFFFFF"/>
                <w:lang w:val="es-ES_tradnl"/>
              </w:rPr>
              <w:t>la Ley 2022 de 2020</w:t>
            </w:r>
            <w:r>
              <w:rPr>
                <w:rFonts w:ascii="Verdana" w:eastAsia="Aptos" w:hAnsi="Verdana" w:cs="Arial"/>
                <w:bCs/>
                <w:color w:val="000000"/>
                <w:shd w:val="clear" w:color="auto" w:fill="FFFFFF"/>
                <w:lang w:val="es-ES_tradnl"/>
              </w:rPr>
              <w:t xml:space="preserve">. Sin embargo, </w:t>
            </w:r>
            <w:r w:rsidRPr="00223018">
              <w:rPr>
                <w:rFonts w:ascii="Verdana" w:eastAsia="Aptos" w:hAnsi="Verdana" w:cs="Arial"/>
                <w:bCs/>
                <w:color w:val="000000"/>
                <w:shd w:val="clear" w:color="auto" w:fill="FFFFFF"/>
                <w:lang w:val="es-ES_tradnl"/>
              </w:rPr>
              <w:t xml:space="preserve"> </w:t>
            </w:r>
            <w:r w:rsidRPr="00223018">
              <w:rPr>
                <w:rFonts w:ascii="Verdana" w:eastAsia="Aptos" w:hAnsi="Verdana" w:cs="Arial"/>
                <w:color w:val="000000"/>
                <w:shd w:val="clear" w:color="auto" w:fill="FFFFFF"/>
                <w:lang w:val="es-ES_tradnl"/>
              </w:rPr>
              <w:t xml:space="preserve">en atención a lo dispuesto en los dos primeros incisos del artículo 56 de la Ley 2195 de 2022, cuando las entidades estatales regidas por el Estatuto General de Contratación de la Administración Pública suscriban convenios o contratos de cualquier índole con entidades estatales de régimen exceptuado, patrimonios </w:t>
            </w:r>
            <w:r w:rsidRPr="00223018">
              <w:rPr>
                <w:rFonts w:ascii="Verdana" w:eastAsia="Aptos" w:hAnsi="Verdana" w:cs="Arial"/>
                <w:color w:val="000000"/>
                <w:shd w:val="clear" w:color="auto" w:fill="FFFFFF"/>
                <w:lang w:val="es-ES_tradnl"/>
              </w:rPr>
              <w:lastRenderedPageBreak/>
              <w:t xml:space="preserve">autónomos, personas naturales o jurídicas de derecho privado, </w:t>
            </w:r>
            <w:r>
              <w:rPr>
                <w:rFonts w:ascii="Verdana" w:eastAsia="Aptos" w:hAnsi="Verdana" w:cs="Arial"/>
                <w:color w:val="000000"/>
                <w:shd w:val="clear" w:color="auto" w:fill="FFFFFF"/>
                <w:lang w:val="es-ES_tradnl"/>
              </w:rPr>
              <w:t xml:space="preserve">el deber de </w:t>
            </w:r>
            <w:r w:rsidRPr="00223018">
              <w:rPr>
                <w:rFonts w:ascii="Verdana" w:eastAsia="Aptos" w:hAnsi="Verdana" w:cs="Arial"/>
                <w:color w:val="000000"/>
                <w:shd w:val="clear" w:color="auto" w:fill="FFFFFF"/>
                <w:lang w:val="es-ES_tradnl"/>
              </w:rPr>
              <w:t>aplicar documentos tipo</w:t>
            </w:r>
            <w:r>
              <w:rPr>
                <w:rFonts w:ascii="Verdana" w:eastAsia="Aptos" w:hAnsi="Verdana" w:cs="Arial"/>
                <w:color w:val="000000"/>
                <w:shd w:val="clear" w:color="auto" w:fill="FFFFFF"/>
                <w:lang w:val="es-ES_tradnl"/>
              </w:rPr>
              <w:t xml:space="preserve"> y </w:t>
            </w:r>
            <w:r w:rsidRPr="00223018">
              <w:rPr>
                <w:rFonts w:ascii="Verdana" w:eastAsia="Aptos" w:hAnsi="Verdana" w:cs="Arial"/>
                <w:color w:val="000000"/>
                <w:shd w:val="clear" w:color="auto" w:fill="FFFFFF"/>
                <w:lang w:val="es-ES_tradnl"/>
              </w:rPr>
              <w:t>las disposiciones del Estatuto General de Contratación de la Administración Pública</w:t>
            </w:r>
            <w:r>
              <w:rPr>
                <w:rFonts w:ascii="Verdana" w:eastAsia="Aptos" w:hAnsi="Verdana" w:cs="Arial"/>
                <w:color w:val="000000"/>
                <w:shd w:val="clear" w:color="auto" w:fill="FFFFFF"/>
                <w:lang w:val="es-ES_tradnl"/>
              </w:rPr>
              <w:t>, se hace extensiva a tales sujetos sometidos por regla general al derecho privado</w:t>
            </w:r>
            <w:r w:rsidRPr="00223018">
              <w:rPr>
                <w:rFonts w:ascii="Verdana" w:eastAsia="Aptos" w:hAnsi="Verdana" w:cs="Arial"/>
                <w:color w:val="000000"/>
                <w:shd w:val="clear" w:color="auto" w:fill="FFFFFF"/>
                <w:lang w:val="es-ES_tradnl"/>
              </w:rPr>
              <w:t xml:space="preserve">. </w:t>
            </w:r>
          </w:p>
          <w:p w14:paraId="2304DBC2" w14:textId="1959EF26" w:rsidR="00240EEF" w:rsidRPr="00223018" w:rsidRDefault="00240EEF" w:rsidP="000F3C54">
            <w:pPr>
              <w:spacing w:after="120" w:line="276" w:lineRule="auto"/>
              <w:ind w:firstLine="709"/>
              <w:jc w:val="both"/>
              <w:rPr>
                <w:rFonts w:ascii="Verdana" w:eastAsia="Aptos" w:hAnsi="Verdana" w:cs="Arial"/>
                <w:shd w:val="clear" w:color="auto" w:fill="FFFFFF"/>
                <w:lang w:val="es-ES_tradnl"/>
              </w:rPr>
            </w:pPr>
            <w:r w:rsidRPr="00223018">
              <w:rPr>
                <w:rFonts w:ascii="Verdana" w:eastAsia="Aptos" w:hAnsi="Verdana" w:cs="Arial"/>
                <w:color w:val="000000"/>
                <w:shd w:val="clear" w:color="auto" w:fill="FFFFFF"/>
                <w:lang w:val="es-ES_tradnl"/>
              </w:rPr>
              <w:t xml:space="preserve">De esta manera, la obligación de aplicar documentos tipo, y en general, las disposiciones del Estatuto General de Contratación de la Administración Pública se extienden no solamente a la celebración del contrato o convenio propiamente dicho, sino también a los compromisos contractuales derivados, según lo expresamente consagrado en el segundo inciso del artículo 56 de la ley citada. Esto implica que, si una entidad exceptuada, un patrimonio autónomo o una persona natural o jurídica de derecho privado, en cumplimiento de un compromiso asumido en el contrato celebrado con una entidad sometida al Estatuto General, debe contratar una obra o servicio cobijado por algún documento tipo, estará obligada a hacerlo aplicando los mencionados documentos tipo, además de adelantar el proceso de contratación y celebrar el contrato conforme al Estatuto General de Contratación de la Administración Pública. </w:t>
            </w:r>
            <w:bookmarkStart w:id="5" w:name="_Hlk109991456"/>
            <w:r w:rsidRPr="00223018">
              <w:rPr>
                <w:rFonts w:ascii="Verdana" w:eastAsia="Aptos" w:hAnsi="Verdana" w:cs="Arial"/>
                <w:shd w:val="clear" w:color="auto" w:fill="FFFFFF"/>
                <w:lang w:val="es-ES_tradnl"/>
              </w:rPr>
              <w:t xml:space="preserve">No obstante, se encuentran exceptuadas de dicha obligación </w:t>
            </w:r>
            <w:r w:rsidRPr="00223018">
              <w:rPr>
                <w:rFonts w:ascii="Verdana" w:eastAsia="Aptos" w:hAnsi="Verdana" w:cs="Arial"/>
                <w:shd w:val="clear" w:color="auto" w:fill="FFFFFF"/>
              </w:rPr>
              <w:t>las Instituciones de Educación Superior públicas, las empresas sociales del Estado, las sociedades de economía mixta y las empresas industriales y comerciales del Estado -, únicamente en cuanto a la contratación de su giro ordinario</w:t>
            </w:r>
            <w:r w:rsidRPr="00223018">
              <w:rPr>
                <w:rFonts w:ascii="Verdana" w:eastAsia="Aptos" w:hAnsi="Verdana" w:cs="Arial"/>
                <w:shd w:val="clear" w:color="auto" w:fill="FFFFFF"/>
                <w:lang w:val="es-ES_tradnl"/>
              </w:rPr>
              <w:t>.</w:t>
            </w:r>
          </w:p>
          <w:bookmarkEnd w:id="5"/>
          <w:p w14:paraId="0C6F5568" w14:textId="58534CB2" w:rsidR="00240EEF" w:rsidRPr="00223018" w:rsidRDefault="00240EEF" w:rsidP="000F3C54">
            <w:pPr>
              <w:spacing w:after="120" w:line="276" w:lineRule="auto"/>
              <w:ind w:firstLine="709"/>
              <w:jc w:val="both"/>
              <w:rPr>
                <w:rFonts w:ascii="Verdana" w:eastAsia="Aptos" w:hAnsi="Verdana" w:cs="Arial"/>
                <w:color w:val="000000"/>
                <w:shd w:val="clear" w:color="auto" w:fill="FFFFFF"/>
                <w:lang w:val="es-ES"/>
              </w:rPr>
            </w:pPr>
            <w:r w:rsidRPr="49485EED">
              <w:rPr>
                <w:rFonts w:ascii="Verdana" w:eastAsia="Calibri" w:hAnsi="Verdana" w:cs="Arial"/>
                <w:color w:val="000000"/>
                <w:lang w:val="es-ES"/>
              </w:rPr>
              <w:t xml:space="preserve">De esta manera, salvo las excepciones descritas en el parágrafo </w:t>
            </w:r>
            <w:r w:rsidRPr="49485EED">
              <w:rPr>
                <w:rFonts w:ascii="Verdana" w:eastAsia="Calibri" w:hAnsi="Verdana" w:cs="Arial"/>
                <w:i/>
                <w:iCs/>
                <w:color w:val="000000"/>
                <w:lang w:val="es-ES"/>
              </w:rPr>
              <w:t>ibidem</w:t>
            </w:r>
            <w:r w:rsidRPr="49485EED">
              <w:rPr>
                <w:rFonts w:ascii="Verdana" w:eastAsia="Calibri" w:hAnsi="Verdana" w:cs="Arial"/>
                <w:color w:val="000000"/>
                <w:lang w:val="es-ES"/>
              </w:rPr>
              <w:t xml:space="preserve">, </w:t>
            </w:r>
            <w:r w:rsidRPr="49485EED">
              <w:rPr>
                <w:rFonts w:ascii="Verdana" w:eastAsia="Aptos" w:hAnsi="Verdana" w:cs="Arial"/>
                <w:color w:val="000000"/>
                <w:shd w:val="clear" w:color="auto" w:fill="FFFFFF"/>
                <w:lang w:val="es-ES"/>
              </w:rPr>
              <w:t xml:space="preserve">la obligación de aplicar documentos tipo, y en general, las disposiciones del Estatuto General de Contratación de la Administración Pública se extienden no solamente a la celebración del contrato o convenio propiamente dicho, sino también a los compromisos contractuales derivados, según lo expresamente consagrado en el segundo inciso del artículo 56 de la ley citada. </w:t>
            </w:r>
          </w:p>
          <w:p w14:paraId="262C258A" w14:textId="77777777" w:rsidR="00240EEF" w:rsidRPr="00223018" w:rsidRDefault="00240EEF" w:rsidP="000F3C54">
            <w:pPr>
              <w:spacing w:after="120" w:line="276" w:lineRule="auto"/>
              <w:ind w:firstLine="709"/>
              <w:jc w:val="both"/>
              <w:rPr>
                <w:rFonts w:ascii="Verdana" w:eastAsia="Calibri" w:hAnsi="Verdana" w:cs="Arial"/>
                <w:bCs/>
                <w:color w:val="000000"/>
                <w:lang w:val="es-MX"/>
              </w:rPr>
            </w:pPr>
            <w:r w:rsidRPr="00223018">
              <w:rPr>
                <w:rFonts w:ascii="Verdana" w:eastAsia="Aptos" w:hAnsi="Verdana" w:cs="Arial"/>
                <w:bCs/>
                <w:color w:val="000000"/>
                <w:shd w:val="clear" w:color="auto" w:fill="FFFFFF"/>
                <w:lang w:val="es-ES_tradnl"/>
              </w:rPr>
              <w:t xml:space="preserve">Para determinar si se encuentran o no obligados a aplicar documentos tipo, deberán verificar si el objeto contractual a contratar se encuentra cobijado por algún documento tipo existente. De no ser así, no solo no resultaría obligatoria la aplicación de los documentos tipo, sino que tampoco habría lugar a la aplicación del EGCAP, debido a que tal medida contemplada en el inciso segundo de la norma en comento está condicionada a la aplicación de documentos tipo. </w:t>
            </w:r>
          </w:p>
          <w:p w14:paraId="06A8DFCD" w14:textId="77777777" w:rsidR="00240EEF" w:rsidRPr="00223018" w:rsidRDefault="00240EEF" w:rsidP="000F3C54">
            <w:pPr>
              <w:ind w:firstLine="709"/>
              <w:jc w:val="both"/>
              <w:rPr>
                <w:rFonts w:ascii="Aptos" w:eastAsia="Aptos" w:hAnsi="Aptos" w:cs="Times New Roman"/>
                <w:bCs/>
                <w:lang w:val="es-ES_tradnl" w:eastAsia="es-ES_tradnl"/>
              </w:rPr>
            </w:pPr>
            <w:r w:rsidRPr="00223018">
              <w:rPr>
                <w:rFonts w:ascii="Verdana" w:eastAsia="Aptos" w:hAnsi="Verdana" w:cs="Arial"/>
                <w:bCs/>
                <w:color w:val="000000"/>
                <w:shd w:val="clear" w:color="auto" w:fill="FFFFFF"/>
                <w:lang w:val="es-ES_tradnl"/>
              </w:rPr>
              <w:lastRenderedPageBreak/>
              <w:t xml:space="preserve">En relación con </w:t>
            </w:r>
            <w:r w:rsidRPr="00223018">
              <w:rPr>
                <w:rFonts w:ascii="Verdana" w:eastAsia="Calibri" w:hAnsi="Verdana" w:cs="Arial"/>
                <w:bCs/>
                <w:color w:val="000000"/>
                <w:lang w:val="es-ES_tradnl"/>
              </w:rPr>
              <w:t xml:space="preserve">las excepciones consagradas en el parágrafo del artículo 56 de la Ley 2195 de 2022, </w:t>
            </w:r>
            <w:r w:rsidRPr="00223018">
              <w:rPr>
                <w:rFonts w:ascii="Verdana" w:eastAsia="Aptos" w:hAnsi="Verdana" w:cs="Arial"/>
                <w:color w:val="000000"/>
                <w:shd w:val="clear" w:color="auto" w:fill="FFFFFF"/>
                <w:lang w:val="es-ES_tradnl"/>
              </w:rPr>
              <w:t xml:space="preserve">cada entidad pública debe hacer un ejercicio de subsunción a efectos de determinar si la noma en cita resulta aplicable, dada su naturaleza jurídica. </w:t>
            </w:r>
            <w:r w:rsidRPr="00223018">
              <w:rPr>
                <w:rFonts w:ascii="Aptos" w:eastAsia="Aptos" w:hAnsi="Aptos" w:cs="Times New Roman"/>
                <w:lang w:eastAsia="es-ES"/>
              </w:rPr>
              <w:t xml:space="preserve"> </w:t>
            </w:r>
          </w:p>
        </w:tc>
      </w:tr>
    </w:tbl>
    <w:p w14:paraId="32ABE21E" w14:textId="77777777" w:rsidR="00240EEF" w:rsidRPr="00223018" w:rsidRDefault="00240EEF" w:rsidP="00240EEF">
      <w:pPr>
        <w:tabs>
          <w:tab w:val="left" w:pos="142"/>
          <w:tab w:val="left" w:pos="284"/>
        </w:tabs>
        <w:spacing w:after="0" w:line="276" w:lineRule="auto"/>
        <w:jc w:val="both"/>
        <w:rPr>
          <w:rFonts w:ascii="Verdana" w:eastAsia="Century Gothic" w:hAnsi="Verdana" w:cs="Century Gothic"/>
          <w:b/>
          <w:bCs/>
          <w:lang w:val="es-ES"/>
        </w:rPr>
      </w:pPr>
    </w:p>
    <w:p w14:paraId="070E5C56" w14:textId="77777777" w:rsidR="00983DD3" w:rsidRPr="00223018" w:rsidRDefault="00983DD3" w:rsidP="00240EEF">
      <w:pPr>
        <w:numPr>
          <w:ilvl w:val="0"/>
          <w:numId w:val="17"/>
        </w:numPr>
        <w:tabs>
          <w:tab w:val="left" w:pos="142"/>
          <w:tab w:val="left" w:pos="284"/>
        </w:tabs>
        <w:spacing w:after="0" w:line="276" w:lineRule="auto"/>
        <w:ind w:left="0" w:firstLine="0"/>
        <w:jc w:val="both"/>
        <w:rPr>
          <w:rFonts w:ascii="Verdana" w:eastAsia="Century Gothic" w:hAnsi="Verdana" w:cs="Century Gothic"/>
          <w:b/>
        </w:rPr>
      </w:pPr>
      <w:r w:rsidRPr="00223018">
        <w:rPr>
          <w:rFonts w:ascii="Verdana" w:eastAsia="Century Gothic" w:hAnsi="Verdana" w:cs="Century Gothic"/>
          <w:b/>
        </w:rPr>
        <w:t>Razones de la respuesta:</w:t>
      </w:r>
    </w:p>
    <w:p w14:paraId="4CF91500" w14:textId="77777777" w:rsidR="00983DD3" w:rsidRPr="00223018" w:rsidRDefault="00983DD3" w:rsidP="00983DD3">
      <w:pPr>
        <w:spacing w:after="0" w:line="276" w:lineRule="auto"/>
        <w:jc w:val="both"/>
        <w:rPr>
          <w:rFonts w:ascii="Verdana" w:eastAsia="Calibri" w:hAnsi="Verdana" w:cs="Arial"/>
          <w:color w:val="7030A0"/>
          <w:lang w:val="es-ES"/>
        </w:rPr>
      </w:pPr>
    </w:p>
    <w:p w14:paraId="405D4958" w14:textId="2D877ADC" w:rsidR="00240EEF" w:rsidRDefault="00983DD3" w:rsidP="00683CDB">
      <w:pPr>
        <w:spacing w:after="0" w:line="276" w:lineRule="auto"/>
        <w:jc w:val="both"/>
        <w:rPr>
          <w:rFonts w:ascii="Verdana" w:eastAsia="Calibri" w:hAnsi="Verdana" w:cs="Arial"/>
          <w:lang w:val="es-ES"/>
        </w:rPr>
      </w:pPr>
      <w:r w:rsidRPr="00D126E1">
        <w:rPr>
          <w:rFonts w:ascii="Verdana" w:eastAsia="Calibri" w:hAnsi="Verdana" w:cs="Arial"/>
          <w:lang w:val="es-ES"/>
        </w:rPr>
        <w:t xml:space="preserve">Lo anterior se sustenta en las siguientes consideraciones: </w:t>
      </w:r>
    </w:p>
    <w:p w14:paraId="11A4C8C2" w14:textId="77777777" w:rsidR="00683CDB" w:rsidRPr="00683CDB" w:rsidRDefault="00683CDB" w:rsidP="00683CDB">
      <w:pPr>
        <w:spacing w:after="0" w:line="276" w:lineRule="auto"/>
        <w:jc w:val="both"/>
        <w:rPr>
          <w:rFonts w:ascii="Verdana" w:eastAsia="Calibri" w:hAnsi="Verdana" w:cs="Arial"/>
          <w:lang w:val="es-ES"/>
        </w:rPr>
      </w:pPr>
    </w:p>
    <w:p w14:paraId="55D39E2B" w14:textId="77777777" w:rsidR="00240EEF" w:rsidRPr="00223018" w:rsidRDefault="00240EEF" w:rsidP="00240EEF">
      <w:pPr>
        <w:spacing w:after="120" w:line="276" w:lineRule="auto"/>
        <w:ind w:firstLine="709"/>
        <w:jc w:val="both"/>
        <w:rPr>
          <w:rFonts w:ascii="Verdana" w:eastAsia="Aptos" w:hAnsi="Verdana" w:cs="Arial"/>
          <w:lang w:val="es-ES"/>
        </w:rPr>
      </w:pPr>
      <w:r w:rsidRPr="00223018">
        <w:rPr>
          <w:rFonts w:ascii="Verdana" w:eastAsia="Aptos" w:hAnsi="Verdana" w:cs="Arial"/>
          <w:lang w:val="es-ES"/>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3267B25C" w14:textId="77777777" w:rsidR="00240EEF" w:rsidRPr="00223018" w:rsidRDefault="00240EEF" w:rsidP="00240EEF">
      <w:pPr>
        <w:spacing w:after="120" w:line="276" w:lineRule="auto"/>
        <w:ind w:firstLine="708"/>
        <w:jc w:val="both"/>
        <w:rPr>
          <w:rFonts w:ascii="Verdana" w:eastAsia="Calibri" w:hAnsi="Verdana" w:cs="Arial"/>
        </w:rPr>
      </w:pPr>
      <w:r w:rsidRPr="00223018">
        <w:rPr>
          <w:rFonts w:ascii="Verdana" w:eastAsia="Calibri" w:hAnsi="Verdana" w:cs="Arial"/>
          <w:lang w:eastAsia="es-ES_tradnl"/>
        </w:rPr>
        <w:t xml:space="preserve">De acuerdo con lo expuesto, </w:t>
      </w:r>
      <w:r w:rsidRPr="00223018">
        <w:rPr>
          <w:rFonts w:ascii="Verdana" w:eastAsia="Calibri" w:hAnsi="Verdana" w:cs="Arial"/>
          <w:bdr w:val="none" w:sz="0" w:space="0" w:color="auto" w:frame="1"/>
          <w:lang w:eastAsia="es-ES_tradnl"/>
        </w:rPr>
        <w:t xml:space="preserve">los Documentos Tipo adoptados son obligatorios para las Entidades Estatales regidas por el </w:t>
      </w:r>
      <w:r w:rsidRPr="00223018">
        <w:rPr>
          <w:rFonts w:ascii="Verdana" w:eastAsia="Calibri" w:hAnsi="Verdana" w:cs="Arial"/>
          <w:bCs/>
          <w:lang w:val="es-ES_tradnl" w:eastAsia="es-ES_tradnl"/>
        </w:rPr>
        <w:t>EGCAP</w:t>
      </w:r>
      <w:r w:rsidRPr="00223018">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w:t>
      </w:r>
      <w:r w:rsidRPr="00223018">
        <w:rPr>
          <w:rFonts w:ascii="Verdana" w:eastAsia="Calibri" w:hAnsi="Verdana" w:cs="Arial"/>
          <w:bdr w:val="none" w:sz="0" w:space="0" w:color="auto" w:frame="1"/>
          <w:vertAlign w:val="superscript"/>
          <w:lang w:eastAsia="es-ES_tradnl"/>
        </w:rPr>
        <w:footnoteReference w:id="2"/>
      </w:r>
      <w:r w:rsidRPr="00223018">
        <w:rPr>
          <w:rFonts w:ascii="Verdana" w:eastAsia="Calibri" w:hAnsi="Verdana" w:cs="Arial"/>
          <w:bdr w:val="none" w:sz="0" w:space="0" w:color="auto" w:frame="1"/>
          <w:lang w:eastAsia="es-ES_tradnl"/>
        </w:rPr>
        <w:t xml:space="preserve">. </w:t>
      </w:r>
      <w:r w:rsidRPr="00223018">
        <w:rPr>
          <w:rFonts w:ascii="Verdana" w:eastAsia="Calibri" w:hAnsi="Verdana" w:cs="Arial"/>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4F324BFD" w14:textId="77777777" w:rsidR="00240EEF" w:rsidRPr="00223018" w:rsidRDefault="00240EEF" w:rsidP="00240EEF">
      <w:pPr>
        <w:spacing w:after="120" w:line="276" w:lineRule="auto"/>
        <w:ind w:firstLine="709"/>
        <w:jc w:val="both"/>
        <w:rPr>
          <w:rFonts w:ascii="Verdana" w:eastAsia="Calibri" w:hAnsi="Verdana" w:cs="Arial"/>
          <w:lang w:val="es-ES"/>
        </w:rPr>
      </w:pPr>
      <w:r w:rsidRPr="00223018">
        <w:rPr>
          <w:rFonts w:ascii="Verdana" w:eastAsia="Calibri" w:hAnsi="Verdana" w:cs="Arial"/>
          <w:shd w:val="clear" w:color="auto" w:fill="FFFFFF"/>
          <w:lang w:val="es-ES"/>
        </w:rPr>
        <w:lastRenderedPageBreak/>
        <w:t xml:space="preserve">En ese orden, </w:t>
      </w:r>
      <w:r w:rsidRPr="00223018">
        <w:rPr>
          <w:rFonts w:ascii="Verdana" w:eastAsia="Calibri" w:hAnsi="Verdana" w:cs="Arial"/>
          <w:lang w:val="es-ES"/>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5799F736" w14:textId="77777777" w:rsidR="00240EEF" w:rsidRPr="00223018" w:rsidRDefault="00240EEF" w:rsidP="00240EEF">
      <w:pPr>
        <w:spacing w:after="120" w:line="276" w:lineRule="auto"/>
        <w:ind w:firstLine="709"/>
        <w:jc w:val="both"/>
        <w:rPr>
          <w:rFonts w:ascii="Verdana" w:eastAsia="Calibri" w:hAnsi="Verdana" w:cs="Arial"/>
          <w:lang w:val="es-ES_tradnl"/>
        </w:rPr>
      </w:pPr>
      <w:r w:rsidRPr="00223018">
        <w:rPr>
          <w:rFonts w:ascii="Verdana" w:eastAsia="Calibri" w:hAnsi="Verdana" w:cs="Arial"/>
          <w:lang w:val="es-ES"/>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223018">
        <w:rPr>
          <w:rFonts w:ascii="Verdana" w:eastAsia="Calibri" w:hAnsi="Verdana" w:cs="Arial"/>
          <w:vertAlign w:val="superscript"/>
          <w:lang w:val="es-ES"/>
        </w:rPr>
        <w:footnoteReference w:id="3"/>
      </w:r>
      <w:r w:rsidRPr="00223018">
        <w:rPr>
          <w:rFonts w:ascii="Verdana" w:eastAsia="Calibri" w:hAnsi="Verdana" w:cs="Arial"/>
          <w:lang w:val="es-ES"/>
        </w:rPr>
        <w:t>.</w:t>
      </w:r>
    </w:p>
    <w:p w14:paraId="48ADA556" w14:textId="77777777" w:rsidR="00240EEF" w:rsidRPr="00223018" w:rsidRDefault="00240EEF" w:rsidP="00240EEF">
      <w:pPr>
        <w:spacing w:after="120" w:line="276" w:lineRule="auto"/>
        <w:jc w:val="both"/>
        <w:rPr>
          <w:rFonts w:ascii="Verdana" w:eastAsia="Aptos" w:hAnsi="Verdana" w:cs="Arial"/>
          <w:lang w:val="es-ES"/>
        </w:rPr>
      </w:pPr>
      <w:r w:rsidRPr="00223018">
        <w:rPr>
          <w:rFonts w:ascii="Verdana" w:eastAsia="Aptos" w:hAnsi="Verdana" w:cs="Arial"/>
          <w:lang w:val="es-ES"/>
        </w:rPr>
        <w:tab/>
      </w:r>
      <w:bookmarkStart w:id="6" w:name="_Hlk104104535"/>
      <w:r w:rsidRPr="00223018">
        <w:rPr>
          <w:rFonts w:ascii="Verdana" w:eastAsia="Aptos" w:hAnsi="Verdana" w:cs="Arial"/>
          <w:lang w:val="es-ES"/>
        </w:rPr>
        <w:t xml:space="preserve">En conclusión, la definición de si a un Proceso de Contratación le aplican los Documentos Tipo radicará en si el contrato a ejecutar se enmarca dentro de 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6"/>
    </w:p>
    <w:p w14:paraId="48ACC276" w14:textId="77777777" w:rsidR="00240EEF" w:rsidRPr="00223018" w:rsidRDefault="00240EEF" w:rsidP="00240EEF">
      <w:pPr>
        <w:spacing w:after="120" w:line="276" w:lineRule="auto"/>
        <w:ind w:firstLine="708"/>
        <w:jc w:val="both"/>
        <w:rPr>
          <w:rFonts w:ascii="Verdana" w:eastAsia="Aptos" w:hAnsi="Verdana" w:cs="Arial"/>
          <w:lang w:val="es-ES"/>
        </w:rPr>
      </w:pPr>
      <w:r w:rsidRPr="00223018">
        <w:rPr>
          <w:rFonts w:ascii="Verdana" w:eastAsia="Calibri" w:hAnsi="Verdana" w:cs="Arial"/>
          <w:bCs/>
          <w:lang w:val="es-ES_tradnl" w:eastAsia="es-ES_tradnl"/>
        </w:rPr>
        <w:lastRenderedPageBreak/>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 como son las Empresas Sociales del Estado, a las cuales hace referencia en su consulta –, por lo general, sujetas al derecho privado. </w:t>
      </w:r>
    </w:p>
    <w:p w14:paraId="26AD0A20" w14:textId="77777777" w:rsidR="00240EEF" w:rsidRPr="00223018" w:rsidRDefault="00240EEF" w:rsidP="00240EEF">
      <w:pPr>
        <w:spacing w:after="120" w:line="276" w:lineRule="auto"/>
        <w:ind w:firstLine="708"/>
        <w:jc w:val="both"/>
        <w:rPr>
          <w:rFonts w:ascii="Verdana" w:eastAsia="Calibri" w:hAnsi="Verdana" w:cs="Arial"/>
          <w:lang w:val="es-ES" w:eastAsia="es-ES"/>
        </w:rPr>
      </w:pPr>
      <w:proofErr w:type="spellStart"/>
      <w:r w:rsidRPr="49485EED">
        <w:rPr>
          <w:rFonts w:ascii="Verdana" w:eastAsia="Calibri" w:hAnsi="Verdana" w:cs="Arial"/>
          <w:lang w:val="es-ES" w:eastAsia="es-ES"/>
        </w:rPr>
        <w:t>iii</w:t>
      </w:r>
      <w:proofErr w:type="spellEnd"/>
      <w:r w:rsidRPr="49485EED">
        <w:rPr>
          <w:rFonts w:ascii="Verdana" w:eastAsia="Calibri" w:hAnsi="Verdana" w:cs="Arial"/>
          <w:lang w:val="es-ES" w:eastAsia="es-ES"/>
        </w:rPr>
        <w:t xml:space="preserve">) No obstante, este panorama ha variado con la reciente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576A3E9F" w14:textId="232BBC76" w:rsidR="00240EEF" w:rsidRPr="00223018" w:rsidRDefault="00240EEF" w:rsidP="00240EEF">
      <w:pPr>
        <w:spacing w:after="0" w:line="276" w:lineRule="auto"/>
        <w:ind w:firstLine="708"/>
        <w:jc w:val="both"/>
        <w:rPr>
          <w:rFonts w:ascii="Verdana" w:eastAsia="Calibri" w:hAnsi="Verdana" w:cs="Arial"/>
          <w:bCs/>
          <w:lang w:val="es-ES_tradnl" w:eastAsia="es-ES_tradnl"/>
        </w:rPr>
      </w:pPr>
      <w:r w:rsidRPr="00223018">
        <w:rPr>
          <w:rFonts w:ascii="Verdana" w:eastAsia="Calibri" w:hAnsi="Verdana" w:cs="Arial"/>
          <w:bCs/>
          <w:lang w:val="es-ES_tradnl" w:eastAsia="es-ES_tradnl"/>
        </w:rPr>
        <w:t>Entre las medidas adoptadas por la Ley mencionada se destaca el artículo 56. Esta disposición se refiere de manera expresa a los documentos tipo y a su aplicabilidad a sujetos diferentes de las entidades estatales sometidas al Estatuto General de Contratación de la Administración Pública:</w:t>
      </w:r>
    </w:p>
    <w:p w14:paraId="21F1412A" w14:textId="77777777" w:rsidR="00240EEF" w:rsidRPr="00223018" w:rsidRDefault="00240EEF" w:rsidP="00240EEF">
      <w:pPr>
        <w:tabs>
          <w:tab w:val="left" w:pos="0"/>
        </w:tabs>
        <w:spacing w:after="0" w:line="276" w:lineRule="auto"/>
        <w:jc w:val="both"/>
        <w:rPr>
          <w:rFonts w:ascii="Arial" w:eastAsia="Calibri" w:hAnsi="Arial" w:cs="Arial"/>
          <w:bCs/>
          <w:szCs w:val="24"/>
          <w:lang w:val="es-ES_tradnl" w:eastAsia="es-ES_tradnl"/>
        </w:rPr>
      </w:pPr>
    </w:p>
    <w:p w14:paraId="3F5DB536" w14:textId="77777777" w:rsidR="00240EEF" w:rsidRPr="00223018" w:rsidRDefault="00240EEF" w:rsidP="00240EEF">
      <w:pPr>
        <w:tabs>
          <w:tab w:val="left" w:pos="0"/>
        </w:tabs>
        <w:spacing w:after="0" w:line="240" w:lineRule="auto"/>
        <w:ind w:left="709" w:right="709"/>
        <w:jc w:val="both"/>
        <w:rPr>
          <w:rFonts w:ascii="Verdana" w:eastAsia="Times New Roman" w:hAnsi="Verdana" w:cs="Arial"/>
          <w:sz w:val="21"/>
          <w:szCs w:val="21"/>
          <w:lang w:val="es-ES_tradnl" w:eastAsia="es-ES_tradnl"/>
        </w:rPr>
      </w:pPr>
      <w:r w:rsidRPr="00223018">
        <w:rPr>
          <w:rFonts w:ascii="Arial" w:eastAsia="Times New Roman" w:hAnsi="Arial" w:cs="Arial"/>
          <w:sz w:val="21"/>
          <w:szCs w:val="21"/>
          <w:lang w:val="es-ES_tradnl" w:eastAsia="es-ES_tradnl"/>
        </w:rPr>
        <w:t xml:space="preserve">Artículo 56. Aplicación de los documentos tipo a entidades de régimen especial. </w:t>
      </w:r>
      <w:r w:rsidRPr="00223018">
        <w:rPr>
          <w:rFonts w:ascii="Verdana" w:eastAsia="Times New Roman" w:hAnsi="Verdana" w:cs="Arial"/>
          <w:sz w:val="21"/>
          <w:szCs w:val="21"/>
          <w:lang w:val="es-ES_tradnl" w:eastAsia="es-ES_tradnl"/>
        </w:rPr>
        <w:t xml:space="preserve">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08FDA100" w14:textId="77777777" w:rsidR="00240EEF" w:rsidRPr="00223018" w:rsidRDefault="00240EEF" w:rsidP="00240EEF">
      <w:pPr>
        <w:tabs>
          <w:tab w:val="left" w:pos="0"/>
        </w:tabs>
        <w:spacing w:after="0" w:line="240" w:lineRule="auto"/>
        <w:ind w:left="709" w:right="709"/>
        <w:jc w:val="both"/>
        <w:rPr>
          <w:rFonts w:ascii="Verdana" w:eastAsia="Times New Roman" w:hAnsi="Verdana" w:cs="Arial"/>
          <w:sz w:val="21"/>
          <w:szCs w:val="21"/>
          <w:lang w:val="es-ES_tradnl" w:eastAsia="es-ES_tradnl"/>
        </w:rPr>
      </w:pPr>
    </w:p>
    <w:p w14:paraId="05164250" w14:textId="77777777" w:rsidR="00240EEF" w:rsidRPr="00223018" w:rsidRDefault="00240EEF" w:rsidP="00240EEF">
      <w:pPr>
        <w:tabs>
          <w:tab w:val="left" w:pos="0"/>
        </w:tabs>
        <w:spacing w:after="0" w:line="240" w:lineRule="auto"/>
        <w:ind w:left="709" w:right="709"/>
        <w:jc w:val="both"/>
        <w:rPr>
          <w:rFonts w:ascii="Verdana" w:eastAsia="Times New Roman" w:hAnsi="Verdana" w:cs="Arial"/>
          <w:sz w:val="21"/>
          <w:szCs w:val="21"/>
          <w:lang w:val="es-ES_tradnl" w:eastAsia="es-ES_tradnl"/>
        </w:rPr>
      </w:pPr>
      <w:r w:rsidRPr="00223018">
        <w:rPr>
          <w:rFonts w:ascii="Verdana" w:eastAsia="Times New Roman" w:hAnsi="Verdana" w:cs="Arial"/>
          <w:sz w:val="21"/>
          <w:szCs w:val="21"/>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41FAAB36" w14:textId="77777777" w:rsidR="00240EEF" w:rsidRPr="00223018" w:rsidRDefault="00240EEF" w:rsidP="00240EEF">
      <w:pPr>
        <w:tabs>
          <w:tab w:val="left" w:pos="0"/>
        </w:tabs>
        <w:spacing w:after="0" w:line="240" w:lineRule="auto"/>
        <w:ind w:left="709" w:right="709"/>
        <w:jc w:val="both"/>
        <w:rPr>
          <w:rFonts w:ascii="Verdana" w:eastAsia="Times New Roman" w:hAnsi="Verdana" w:cs="Arial"/>
          <w:sz w:val="21"/>
          <w:szCs w:val="21"/>
          <w:lang w:val="es-ES_tradnl" w:eastAsia="es-ES_tradnl"/>
        </w:rPr>
      </w:pPr>
    </w:p>
    <w:p w14:paraId="488720A4" w14:textId="77777777" w:rsidR="00240EEF" w:rsidRPr="00223018" w:rsidRDefault="00240EEF" w:rsidP="00240EEF">
      <w:pPr>
        <w:spacing w:after="0" w:line="240" w:lineRule="auto"/>
        <w:ind w:left="709" w:right="709"/>
        <w:jc w:val="both"/>
        <w:rPr>
          <w:rFonts w:ascii="Verdana" w:eastAsia="Calibri" w:hAnsi="Verdana" w:cs="Arial"/>
          <w:sz w:val="21"/>
          <w:szCs w:val="21"/>
          <w:lang w:val="es-ES" w:eastAsia="es-ES"/>
        </w:rPr>
      </w:pPr>
      <w:r w:rsidRPr="49485EED">
        <w:rPr>
          <w:rFonts w:ascii="Verdana" w:eastAsia="Times New Roman" w:hAnsi="Verdana" w:cs="Arial"/>
          <w:sz w:val="21"/>
          <w:szCs w:val="21"/>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49485EED">
        <w:rPr>
          <w:rFonts w:ascii="Verdana" w:eastAsia="Times New Roman" w:hAnsi="Verdana" w:cs="Arial"/>
          <w:i/>
          <w:iCs/>
          <w:sz w:val="21"/>
          <w:szCs w:val="21"/>
          <w:lang w:val="es-ES" w:eastAsia="es-ES"/>
        </w:rPr>
        <w:t>giro ordinario</w:t>
      </w:r>
      <w:r w:rsidRPr="49485EED">
        <w:rPr>
          <w:rFonts w:ascii="Verdana" w:eastAsia="Times New Roman" w:hAnsi="Verdana" w:cs="Arial"/>
          <w:sz w:val="21"/>
          <w:szCs w:val="21"/>
          <w:lang w:val="es-ES" w:eastAsia="es-ES"/>
        </w:rPr>
        <w:t>. En estos casos, en los manuales de contratación de estas entidades, se fomentará como buena práctica la aplicación de los pliegos tipo.</w:t>
      </w:r>
    </w:p>
    <w:p w14:paraId="02FC0E3F" w14:textId="77777777" w:rsidR="00240EEF" w:rsidRPr="00223018" w:rsidRDefault="00240EEF" w:rsidP="00240EEF">
      <w:pPr>
        <w:tabs>
          <w:tab w:val="left" w:pos="0"/>
        </w:tabs>
        <w:spacing w:after="0" w:line="276" w:lineRule="auto"/>
        <w:jc w:val="both"/>
        <w:rPr>
          <w:rFonts w:ascii="Arial" w:eastAsia="Calibri" w:hAnsi="Arial" w:cs="Arial"/>
          <w:bCs/>
          <w:szCs w:val="24"/>
          <w:lang w:val="es-ES_tradnl" w:eastAsia="es-ES_tradnl"/>
        </w:rPr>
      </w:pPr>
    </w:p>
    <w:p w14:paraId="1ABB321F" w14:textId="5FE9B4DC" w:rsidR="00240EEF" w:rsidRPr="00223018" w:rsidRDefault="00240EEF" w:rsidP="00240EEF">
      <w:pPr>
        <w:tabs>
          <w:tab w:val="left" w:pos="0"/>
        </w:tabs>
        <w:spacing w:after="120" w:line="276" w:lineRule="auto"/>
        <w:jc w:val="both"/>
        <w:rPr>
          <w:rFonts w:ascii="Verdana" w:eastAsia="Calibri" w:hAnsi="Verdana" w:cs="Arial"/>
          <w:bCs/>
          <w:szCs w:val="24"/>
          <w:lang w:val="es-ES_tradnl" w:eastAsia="es-ES_tradnl"/>
        </w:rPr>
      </w:pPr>
      <w:r w:rsidRPr="00223018">
        <w:rPr>
          <w:rFonts w:ascii="Arial" w:eastAsia="Calibri" w:hAnsi="Arial" w:cs="Arial"/>
          <w:bCs/>
          <w:szCs w:val="24"/>
          <w:lang w:val="es-ES_tradnl" w:eastAsia="es-ES_tradnl"/>
        </w:rPr>
        <w:tab/>
      </w:r>
      <w:r w:rsidRPr="00223018">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r w:rsidR="00847393" w:rsidRPr="00223018">
        <w:rPr>
          <w:rFonts w:ascii="Verdana" w:eastAsia="Calibri" w:hAnsi="Verdana" w:cs="Arial"/>
          <w:bCs/>
          <w:szCs w:val="24"/>
          <w:lang w:val="es-ES_tradnl" w:eastAsia="es-ES_tradnl"/>
        </w:rPr>
        <w:t>que,</w:t>
      </w:r>
      <w:r w:rsidRPr="00223018">
        <w:rPr>
          <w:rFonts w:ascii="Verdana" w:eastAsia="Calibri" w:hAnsi="Verdana" w:cs="Arial"/>
          <w:bCs/>
          <w:szCs w:val="24"/>
          <w:lang w:val="es-ES_tradnl" w:eastAsia="es-ES_tradnl"/>
        </w:rPr>
        <w:t xml:space="preserve"> como consecuencia de la entrada en vigor de la disposición en cita, ven alterado su régimen jurídico. Es por esto por lo que una interpretación adecuada de esta disposición, orientada a establecer con precisión el alcance de sus efectos, exige detenerse sobre ciertos aspectos que, a juicio de esta Agencia, resulta indispensable analizar para la comprensión de la norma materia de consulta, los cuales se desarrollan a continuación, y fueron expuestos por esta Entidad </w:t>
      </w:r>
      <w:r w:rsidRPr="00223018">
        <w:rPr>
          <w:rFonts w:ascii="Verdana" w:eastAsia="Times New Roman" w:hAnsi="Verdana" w:cs="Arial"/>
          <w:lang w:eastAsia="es-ES_tradnl"/>
        </w:rPr>
        <w:t>a partir del concepto C-066 del 28 de enero de 2022, cuya tesis se desarrolló y complementó</w:t>
      </w:r>
      <w:r>
        <w:rPr>
          <w:rFonts w:ascii="Verdana" w:eastAsia="Times New Roman" w:hAnsi="Verdana" w:cs="Arial"/>
          <w:lang w:eastAsia="es-ES_tradnl"/>
        </w:rPr>
        <w:t xml:space="preserve">, entre otros, en los siguientes </w:t>
      </w:r>
      <w:r w:rsidRPr="00223018">
        <w:rPr>
          <w:rFonts w:ascii="Verdana" w:eastAsia="Times New Roman" w:hAnsi="Verdana" w:cs="Arial"/>
          <w:lang w:eastAsia="es-ES_tradnl"/>
        </w:rPr>
        <w:t>conceptos C-320 del 20 de mayo de 2022, C-333 del 24 de mayo de 2022, C-404 del 26 de mayo de 2023, C-382 del 27 de mayo de 2022, C-388 del 15 de junio de 2022, C-423 del 5 de julio de 2022, C-435 del 6 de julio de 2023, C-453 del 15 de julio de 2022, C-494 del 26 de julio de 2022, C-483 del 5 de agosto de 2022, C-496 del 3 de agosto de 2022, C-556 del 3 de agosto de 2022, C-532 del 22 de agosto de 2022, C-341 del 27 de mayo de 2022, C-382 del 27 de mayo de 2022, C-449 del 25 de julio de 2022, C-453 del 14 de julio de 2022,  C-488 del 29 de julio de 2022, C-494 del 28 de julio de 2022 y C-501 del 29 de julio de 2022</w:t>
      </w:r>
      <w:r>
        <w:rPr>
          <w:rFonts w:ascii="Verdana" w:eastAsia="Times New Roman" w:hAnsi="Verdana" w:cs="Arial"/>
          <w:lang w:eastAsia="es-ES_tradnl"/>
        </w:rPr>
        <w:t xml:space="preserve">. </w:t>
      </w:r>
    </w:p>
    <w:p w14:paraId="1A7EA1B0" w14:textId="77777777" w:rsidR="00240EEF" w:rsidRPr="00223018" w:rsidRDefault="00240EEF" w:rsidP="00240EEF">
      <w:pPr>
        <w:tabs>
          <w:tab w:val="left" w:pos="0"/>
        </w:tabs>
        <w:spacing w:after="120" w:line="276" w:lineRule="auto"/>
        <w:jc w:val="both"/>
        <w:rPr>
          <w:rFonts w:ascii="Verdana" w:eastAsia="Calibri" w:hAnsi="Verdana" w:cs="Arial"/>
          <w:bCs/>
          <w:lang w:val="es-ES_tradnl" w:eastAsia="es-ES_tradnl"/>
        </w:rPr>
      </w:pPr>
      <w:r w:rsidRPr="00223018">
        <w:rPr>
          <w:rFonts w:ascii="Verdana" w:eastAsia="Calibri" w:hAnsi="Verdana" w:cs="Arial"/>
          <w:bCs/>
          <w:lang w:val="es-ES_tradnl" w:eastAsia="es-ES_tradnl"/>
        </w:rPr>
        <w:tab/>
        <w:t xml:space="preserve">Como se desprende de la frase inicial de la norma citada, es claro que el primer y principal mandato de la norma se encuentra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En ese sentido, el primer inciso de la norma reafirma el deber de las entidades sometidas al EGCAP de aplicar los Documentos Tipo. </w:t>
      </w:r>
    </w:p>
    <w:p w14:paraId="070D9FED" w14:textId="77777777" w:rsidR="00240EEF" w:rsidRPr="00223018" w:rsidRDefault="00240EEF" w:rsidP="00240EEF">
      <w:pPr>
        <w:spacing w:before="120" w:line="276" w:lineRule="auto"/>
        <w:jc w:val="both"/>
        <w:rPr>
          <w:rFonts w:ascii="Verdana" w:eastAsia="Calibri" w:hAnsi="Verdana" w:cs="Arial"/>
          <w:lang w:val="es-ES"/>
        </w:rPr>
      </w:pPr>
      <w:r w:rsidRPr="00223018">
        <w:rPr>
          <w:rFonts w:ascii="Verdana" w:eastAsia="Calibri" w:hAnsi="Verdana" w:cs="Arial"/>
          <w:bCs/>
          <w:lang w:val="es-ES_tradnl" w:eastAsia="es-ES_tradnl"/>
        </w:rPr>
        <w:lastRenderedPageBreak/>
        <w:tab/>
      </w:r>
      <w:r w:rsidRPr="49485EED">
        <w:rPr>
          <w:rFonts w:ascii="Verdana" w:eastAsia="Calibri" w:hAnsi="Verdana" w:cs="Arial"/>
          <w:lang w:val="es-ES"/>
        </w:rPr>
        <w:t xml:space="preserve">De acuerdo con esto, el artículo 56 de la Ley 2195 de 2022 es una norma que complementa al parágrafo 7 del artículo 2 de la Ley 1150 de 2007, modificado por la Ley 2022 de 2020, que establece el mandato de aplicación obligatoria de los documentos tipo para las entidades sometidas al EGCAP. Si bien el texto de la Ley 2022 de 2020 establece con claridad la regla de aplicación obligatoria de los documentos tipo en los Procesos de Contratación adelantados por las entidades estatales regidas por el EGCAP, lo cierto es que sus efectos no eran los mismos en los procesos de selección adelantados por entidades exceptuadas o con regímenes especiales.  </w:t>
      </w:r>
    </w:p>
    <w:p w14:paraId="30BD0969" w14:textId="77777777" w:rsidR="00240EEF" w:rsidRPr="00223018" w:rsidRDefault="00240EEF" w:rsidP="00240EEF">
      <w:pPr>
        <w:spacing w:before="120" w:line="276" w:lineRule="auto"/>
        <w:jc w:val="both"/>
        <w:rPr>
          <w:rFonts w:ascii="Verdana" w:eastAsia="Calibri" w:hAnsi="Verdana" w:cs="Arial"/>
          <w:lang w:val="es-ES"/>
        </w:rPr>
      </w:pPr>
      <w:r w:rsidRPr="00223018">
        <w:rPr>
          <w:rFonts w:ascii="Verdana" w:eastAsia="Calibri" w:hAnsi="Verdana" w:cs="Arial"/>
          <w:bCs/>
          <w:lang w:val="es-ES_tradnl"/>
        </w:rPr>
        <w:tab/>
      </w:r>
      <w:r w:rsidRPr="49485EED">
        <w:rPr>
          <w:rFonts w:ascii="Verdana" w:eastAsia="Calibri" w:hAnsi="Verdana" w:cs="Arial"/>
          <w:lang w:val="es-ES"/>
        </w:rPr>
        <w:t xml:space="preserve">Antes de la expedición del artículo 56 </w:t>
      </w:r>
      <w:proofErr w:type="spellStart"/>
      <w:r w:rsidRPr="49485EED">
        <w:rPr>
          <w:rFonts w:ascii="Verdana" w:eastAsia="Calibri" w:hAnsi="Verdana" w:cs="Arial"/>
          <w:i/>
          <w:iCs/>
          <w:lang w:val="es-ES"/>
        </w:rPr>
        <w:t>ibídem</w:t>
      </w:r>
      <w:proofErr w:type="spellEnd"/>
      <w:r w:rsidRPr="49485EED">
        <w:rPr>
          <w:rFonts w:ascii="Verdana" w:eastAsia="Calibri" w:hAnsi="Verdana" w:cs="Arial"/>
          <w:i/>
          <w:iCs/>
          <w:lang w:val="es-ES"/>
        </w:rPr>
        <w:t>,</w:t>
      </w:r>
      <w:r w:rsidRPr="49485EED">
        <w:rPr>
          <w:rFonts w:ascii="Verdana" w:eastAsia="Calibri" w:hAnsi="Verdana" w:cs="Arial"/>
          <w:lang w:val="es-ES"/>
        </w:rPr>
        <w:t xml:space="preserve"> la Ley 2022 de 2020 ya había establecido el mandato de aplicación obligatoria de los documentos tipo, atribuyendo a esta a Agencia la competencia para expedirlos. Dicha Ley restringe su aplicación en los Procesos de Contratación a través de los que una entidad estatal regida por el EGCAP debe adquirir una obra o servicio, por supuesto siempre que el objeto a contratar, al igual que la modalidad que se requiere emplear, estén cobijados por algún documento tipo vigente. Por el contrario, la aplicación de documentos tipo por parte de entidades con regímenes especiales o de derecho privado era un asunto que escapaba del ámbito de aplicación de lo establecido por la Ley 2022 de 2020, incluso tratándose de obras o servicios para cuya contratación hubieren documentos tipo vigentes, comoquiera que la aplicación de estos solo era procedente cuando el régimen de la entidad contratante fuera el EGCAP, toda vez que el parágrafo 7 del artículo 2 de la Ley 1150 de 2007 solo se refiere a la obligación de aplicar los documentos tipo en los Procesos de Contratación que adelanten las entidades sometidas al EGCAP. </w:t>
      </w:r>
    </w:p>
    <w:p w14:paraId="5F1ED177" w14:textId="77777777" w:rsidR="00240EEF" w:rsidRPr="00223018" w:rsidRDefault="00240EEF" w:rsidP="00240EEF">
      <w:pPr>
        <w:spacing w:before="120" w:line="276" w:lineRule="auto"/>
        <w:jc w:val="both"/>
        <w:rPr>
          <w:rFonts w:ascii="Verdana" w:eastAsia="Calibri" w:hAnsi="Verdana" w:cs="Arial"/>
          <w:lang w:val="es-ES"/>
        </w:rPr>
      </w:pPr>
      <w:r w:rsidRPr="00223018">
        <w:rPr>
          <w:rFonts w:ascii="Verdana" w:eastAsia="Calibri" w:hAnsi="Verdana" w:cs="Arial"/>
          <w:bCs/>
          <w:lang w:val="es-ES_tradnl"/>
        </w:rPr>
        <w:tab/>
      </w:r>
      <w:r w:rsidRPr="49485EED">
        <w:rPr>
          <w:rFonts w:ascii="Verdana" w:eastAsia="Calibri" w:hAnsi="Verdana" w:cs="Arial"/>
          <w:lang w:val="es-ES"/>
        </w:rPr>
        <w:t>Por tanto, la norma, por el hecho de estar dirigida únicamente a las entidades sometidas a la Ley 80 de 1993 y la Ley 1150 de 2007, solo permitía que los documentos tipo tuvieran que aplicarse de manera obligatoria cuando este era el régimen general de la contratación de la entidad que adelantaba el Proceso de Contratación. En estos términos, si bien la Ley 2022 de 2020 no limitó la aplicabilidad de los documentos tipo expedidos por esta Agencia a una modalidad en específico, sí estableció que su implementación debía hacerse en el marco del EGCAP.</w:t>
      </w:r>
    </w:p>
    <w:p w14:paraId="3C56B7A5" w14:textId="77777777" w:rsidR="00240EEF" w:rsidRPr="00223018" w:rsidRDefault="00240EEF" w:rsidP="00240EEF">
      <w:pPr>
        <w:spacing w:before="120" w:line="276" w:lineRule="auto"/>
        <w:jc w:val="both"/>
        <w:rPr>
          <w:rFonts w:ascii="Verdana" w:eastAsia="Calibri" w:hAnsi="Verdana" w:cs="Arial"/>
          <w:lang w:val="es-ES"/>
        </w:rPr>
      </w:pPr>
      <w:r w:rsidRPr="00223018">
        <w:rPr>
          <w:rFonts w:ascii="Arial" w:eastAsia="Calibri" w:hAnsi="Arial" w:cs="Arial"/>
          <w:bCs/>
          <w:lang w:val="es-ES_tradnl"/>
        </w:rPr>
        <w:tab/>
      </w:r>
      <w:r w:rsidRPr="49485EED">
        <w:rPr>
          <w:rFonts w:ascii="Verdana" w:eastAsia="Calibri" w:hAnsi="Verdana" w:cs="Arial"/>
          <w:lang w:val="es-ES"/>
        </w:rPr>
        <w:t xml:space="preserve">En este escenario, el primer inciso del artículo 56 de la Ley 2195 de 2022 surge como una disposición complementaria de la Ley 2022 de 2020, en la medida en que, según se desprende de su texto, de una parte, la norma busca </w:t>
      </w:r>
      <w:r w:rsidRPr="49485EED">
        <w:rPr>
          <w:rFonts w:ascii="Verdana" w:eastAsia="Calibri" w:hAnsi="Verdana" w:cs="Arial"/>
          <w:lang w:val="es-ES"/>
        </w:rPr>
        <w:lastRenderedPageBreak/>
        <w:t xml:space="preserve">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49485EED">
        <w:rPr>
          <w:rFonts w:ascii="Verdana" w:eastAsia="Calibri" w:hAnsi="Verdana" w:cs="Arial"/>
          <w:lang w:val="es-ES"/>
        </w:rPr>
        <w:t>ii</w:t>
      </w:r>
      <w:proofErr w:type="spellEnd"/>
      <w:r w:rsidRPr="49485EED">
        <w:rPr>
          <w:rFonts w:ascii="Verdana" w:eastAsia="Calibri" w:hAnsi="Verdana" w:cs="Arial"/>
          <w:lang w:val="es-ES"/>
        </w:rPr>
        <w:t xml:space="preserve">) patrimonios autónomos o </w:t>
      </w:r>
      <w:proofErr w:type="spellStart"/>
      <w:r w:rsidRPr="49485EED">
        <w:rPr>
          <w:rFonts w:ascii="Verdana" w:eastAsia="Calibri" w:hAnsi="Verdana" w:cs="Arial"/>
          <w:lang w:val="es-ES"/>
        </w:rPr>
        <w:t>iii</w:t>
      </w:r>
      <w:proofErr w:type="spellEnd"/>
      <w:r w:rsidRPr="49485EED">
        <w:rPr>
          <w:rFonts w:ascii="Verdana" w:eastAsia="Calibri" w:hAnsi="Verdana" w:cs="Arial"/>
          <w:lang w:val="es-ES"/>
        </w:rPr>
        <w:t xml:space="preserve">)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      </w:t>
      </w:r>
    </w:p>
    <w:p w14:paraId="65D0009E" w14:textId="77777777" w:rsidR="00240EEF" w:rsidRPr="00223018" w:rsidRDefault="00240EEF" w:rsidP="00240EEF">
      <w:pPr>
        <w:tabs>
          <w:tab w:val="left" w:pos="0"/>
        </w:tabs>
        <w:spacing w:after="120" w:line="276" w:lineRule="auto"/>
        <w:jc w:val="both"/>
        <w:rPr>
          <w:rFonts w:ascii="Verdana" w:eastAsia="Calibri" w:hAnsi="Verdana" w:cs="Arial"/>
          <w:lang w:val="es-ES" w:eastAsia="es-ES"/>
        </w:rPr>
      </w:pPr>
      <w:r w:rsidRPr="00223018">
        <w:rPr>
          <w:rFonts w:ascii="Verdana" w:eastAsia="Calibri" w:hAnsi="Verdana" w:cs="Arial"/>
          <w:bCs/>
          <w:lang w:val="es-ES_tradnl" w:eastAsia="es-ES_tradnl"/>
        </w:rPr>
        <w:tab/>
      </w:r>
      <w:r w:rsidRPr="00223018">
        <w:rPr>
          <w:rFonts w:ascii="Verdana" w:eastAsia="Calibri" w:hAnsi="Verdana" w:cs="Arial"/>
          <w:lang w:val="es-ES" w:eastAsia="es-ES"/>
        </w:rPr>
        <w:t xml:space="preserve"> Sin perjuicio de lo anterior, solo es posible comprender los efectos de lo dispuesto en el artículo 56 de la Ley 2195 de 2020 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77B498C5" w14:textId="77777777" w:rsidR="00240EEF" w:rsidRPr="00223018" w:rsidRDefault="00240EEF" w:rsidP="00240EEF">
      <w:pPr>
        <w:tabs>
          <w:tab w:val="left" w:pos="0"/>
        </w:tabs>
        <w:spacing w:after="120" w:line="276" w:lineRule="auto"/>
        <w:jc w:val="both"/>
        <w:rPr>
          <w:rFonts w:ascii="Verdana" w:eastAsia="Calibri" w:hAnsi="Verdana" w:cs="Arial"/>
          <w:lang w:val="es-ES" w:eastAsia="es-ES"/>
        </w:rPr>
      </w:pPr>
      <w:r w:rsidRPr="00223018">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223018">
        <w:rPr>
          <w:rFonts w:ascii="Verdana" w:eastAsia="Calibri" w:hAnsi="Verdana" w:cs="Arial"/>
          <w:lang w:val="es-ES" w:eastAsia="es-ES"/>
        </w:rPr>
        <w:t>ejusdem</w:t>
      </w:r>
      <w:proofErr w:type="spellEnd"/>
      <w:r w:rsidRPr="00223018">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w:t>
      </w:r>
      <w:r w:rsidRPr="00223018">
        <w:rPr>
          <w:rFonts w:ascii="Verdana" w:eastAsia="Calibri" w:hAnsi="Verdana" w:cs="Arial"/>
          <w:lang w:val="es-ES" w:eastAsia="es-ES"/>
        </w:rPr>
        <w:lastRenderedPageBreak/>
        <w:t xml:space="preserve">así como celebrar el respectivo contrato, implementando los documentos tipo  y aplicando las disposiciones del EGCAP. </w:t>
      </w:r>
    </w:p>
    <w:p w14:paraId="6655A291" w14:textId="77777777" w:rsidR="00240EEF" w:rsidRPr="00223018" w:rsidRDefault="00240EEF" w:rsidP="00240EEF">
      <w:pPr>
        <w:tabs>
          <w:tab w:val="left" w:pos="0"/>
        </w:tabs>
        <w:spacing w:after="0" w:line="276" w:lineRule="auto"/>
        <w:jc w:val="both"/>
        <w:rPr>
          <w:rFonts w:ascii="Verdana" w:eastAsia="Calibri" w:hAnsi="Verdana" w:cs="Arial"/>
          <w:lang w:val="es-ES" w:eastAsia="es-ES"/>
        </w:rPr>
      </w:pPr>
      <w:r w:rsidRPr="00223018">
        <w:rPr>
          <w:rFonts w:ascii="Arial" w:eastAsia="Calibri" w:hAnsi="Arial" w:cs="Arial"/>
          <w:bCs/>
          <w:color w:val="000000"/>
          <w:lang w:val="es-ES_tradnl"/>
        </w:rPr>
        <w:tab/>
      </w:r>
      <w:r w:rsidRPr="00223018">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7E4A8F2E" w14:textId="77777777" w:rsidR="00240EEF" w:rsidRPr="00223018" w:rsidRDefault="00240EEF" w:rsidP="00240EEF">
      <w:pPr>
        <w:tabs>
          <w:tab w:val="left" w:pos="0"/>
        </w:tabs>
        <w:spacing w:after="0" w:line="276" w:lineRule="auto"/>
        <w:jc w:val="both"/>
        <w:rPr>
          <w:rFonts w:ascii="Verdana" w:eastAsia="Calibri" w:hAnsi="Verdana" w:cs="Arial"/>
          <w:lang w:val="es-ES" w:eastAsia="es-ES"/>
        </w:rPr>
      </w:pPr>
    </w:p>
    <w:p w14:paraId="0D63D73E" w14:textId="77777777" w:rsidR="00240EEF" w:rsidRPr="00223018" w:rsidRDefault="00240EEF" w:rsidP="00240EEF">
      <w:pPr>
        <w:tabs>
          <w:tab w:val="left" w:pos="0"/>
        </w:tabs>
        <w:spacing w:after="0"/>
        <w:ind w:left="709" w:right="709"/>
        <w:jc w:val="both"/>
        <w:rPr>
          <w:rFonts w:ascii="Verdana" w:eastAsia="Calibri" w:hAnsi="Verdana" w:cs="Arial"/>
          <w:bCs/>
          <w:color w:val="000000"/>
          <w:sz w:val="21"/>
          <w:szCs w:val="21"/>
          <w:lang w:val="es-ES_tradnl"/>
        </w:rPr>
      </w:pPr>
      <w:r w:rsidRPr="00223018">
        <w:rPr>
          <w:rFonts w:ascii="Verdana" w:eastAsia="Calibri" w:hAnsi="Verdana" w:cs="Arial"/>
          <w:bCs/>
          <w:color w:val="000000"/>
          <w:sz w:val="21"/>
          <w:szCs w:val="21"/>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223018">
        <w:rPr>
          <w:rFonts w:ascii="Verdana" w:eastAsia="Calibri" w:hAnsi="Verdana" w:cs="Arial"/>
          <w:color w:val="000000"/>
          <w:sz w:val="21"/>
          <w:szCs w:val="21"/>
          <w:vertAlign w:val="superscript"/>
        </w:rPr>
        <w:footnoteReference w:id="4"/>
      </w:r>
      <w:r w:rsidRPr="00223018">
        <w:rPr>
          <w:rFonts w:ascii="Verdana" w:eastAsia="Calibri" w:hAnsi="Verdana" w:cs="Arial"/>
          <w:bCs/>
          <w:color w:val="000000"/>
          <w:sz w:val="21"/>
          <w:szCs w:val="21"/>
          <w:lang w:val="es-ES_tradnl"/>
        </w:rPr>
        <w:t xml:space="preserve">. </w:t>
      </w:r>
    </w:p>
    <w:p w14:paraId="4A451EFE" w14:textId="77777777" w:rsidR="00240EEF" w:rsidRPr="00223018" w:rsidRDefault="00240EEF" w:rsidP="00240EEF">
      <w:pPr>
        <w:tabs>
          <w:tab w:val="left" w:pos="0"/>
        </w:tabs>
        <w:spacing w:after="0" w:line="276" w:lineRule="auto"/>
        <w:jc w:val="both"/>
        <w:rPr>
          <w:rFonts w:ascii="Arial" w:eastAsia="Calibri" w:hAnsi="Arial" w:cs="Arial"/>
          <w:bCs/>
          <w:color w:val="000000"/>
          <w:lang w:val="es-ES_tradnl"/>
        </w:rPr>
      </w:pPr>
      <w:r w:rsidRPr="00223018">
        <w:rPr>
          <w:rFonts w:ascii="Arial" w:eastAsia="Calibri" w:hAnsi="Arial" w:cs="Arial"/>
          <w:bCs/>
          <w:color w:val="000000"/>
          <w:lang w:val="es-ES_tradnl"/>
        </w:rPr>
        <w:tab/>
        <w:t xml:space="preserve"> </w:t>
      </w:r>
    </w:p>
    <w:p w14:paraId="58C2DC53" w14:textId="77777777" w:rsidR="00240EEF" w:rsidRPr="00223018" w:rsidRDefault="00240EEF" w:rsidP="00240EEF">
      <w:pPr>
        <w:spacing w:after="120" w:line="276" w:lineRule="auto"/>
        <w:jc w:val="both"/>
        <w:rPr>
          <w:rFonts w:ascii="Verdana" w:eastAsia="Calibri" w:hAnsi="Verdana" w:cs="Arial"/>
          <w:color w:val="000000"/>
          <w:lang w:val="es-ES"/>
        </w:rPr>
      </w:pPr>
      <w:r w:rsidRPr="00223018">
        <w:rPr>
          <w:rFonts w:ascii="Arial" w:eastAsia="Calibri" w:hAnsi="Arial" w:cs="Arial"/>
          <w:bCs/>
          <w:color w:val="000000"/>
          <w:lang w:val="es-ES_tradnl"/>
        </w:rPr>
        <w:tab/>
      </w:r>
      <w:r w:rsidRPr="49485EED">
        <w:rPr>
          <w:rFonts w:ascii="Verdana" w:eastAsia="Calibri" w:hAnsi="Verdana" w:cs="Arial"/>
          <w:color w:val="000000"/>
          <w:lang w:val="es-ES"/>
        </w:rPr>
        <w:t xml:space="preserve">De lo anterior se desprende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w:t>
      </w:r>
      <w:r w:rsidRPr="49485EED">
        <w:rPr>
          <w:rFonts w:ascii="Verdana" w:eastAsia="Calibri" w:hAnsi="Verdana" w:cs="Arial"/>
          <w:color w:val="000000"/>
          <w:lang w:val="es-ES"/>
        </w:rPr>
        <w:lastRenderedPageBreak/>
        <w:t xml:space="preserve">la subcontratación derivada de obras, bienes, obras o servicios, siempre que exista documento tipo en el sector en el que se adelanta la contratación.  </w:t>
      </w:r>
    </w:p>
    <w:p w14:paraId="468B4520" w14:textId="77777777" w:rsidR="00240EEF" w:rsidRPr="00223018" w:rsidRDefault="00240EEF" w:rsidP="00240EEF">
      <w:pPr>
        <w:spacing w:after="120" w:line="276" w:lineRule="auto"/>
        <w:ind w:firstLine="709"/>
        <w:jc w:val="both"/>
        <w:rPr>
          <w:rFonts w:ascii="Verdana" w:eastAsia="Calibri" w:hAnsi="Verdana" w:cs="Arial"/>
          <w:lang w:val="es-ES" w:eastAsia="es-ES"/>
        </w:rPr>
      </w:pPr>
      <w:r w:rsidRPr="00223018">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67E7C8D2" w14:textId="77777777" w:rsidR="00240EEF" w:rsidRPr="00223018" w:rsidRDefault="00240EEF" w:rsidP="00240EEF">
      <w:pPr>
        <w:spacing w:after="120" w:line="276" w:lineRule="auto"/>
        <w:ind w:firstLine="709"/>
        <w:jc w:val="both"/>
        <w:rPr>
          <w:rFonts w:ascii="Verdana" w:eastAsia="Calibri" w:hAnsi="Verdana" w:cs="Arial"/>
          <w:lang w:val="es-ES" w:eastAsia="es-ES"/>
        </w:rPr>
      </w:pPr>
      <w:r w:rsidRPr="00223018">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42100538" w14:textId="77777777" w:rsidR="00240EEF" w:rsidRPr="00223018" w:rsidRDefault="00240EEF" w:rsidP="00240EEF">
      <w:pPr>
        <w:spacing w:after="120" w:line="276" w:lineRule="auto"/>
        <w:jc w:val="both"/>
        <w:rPr>
          <w:rFonts w:ascii="Verdana" w:eastAsia="Calibri" w:hAnsi="Verdana" w:cs="Arial"/>
          <w:lang w:val="es-ES" w:eastAsia="es-ES"/>
        </w:rPr>
      </w:pPr>
      <w:r w:rsidRPr="00223018">
        <w:rPr>
          <w:rFonts w:ascii="Verdana" w:eastAsia="Calibri" w:hAnsi="Verdana" w:cs="Arial"/>
          <w:bCs/>
          <w:lang w:val="es-ES_tradnl" w:eastAsia="es-ES_tradnl"/>
        </w:rPr>
        <w:tab/>
      </w:r>
      <w:r w:rsidRPr="00223018">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7BA50284" w14:textId="77777777" w:rsidR="00240EEF" w:rsidRPr="00223018" w:rsidRDefault="00240EEF" w:rsidP="00240EEF">
      <w:pPr>
        <w:tabs>
          <w:tab w:val="left" w:pos="0"/>
        </w:tabs>
        <w:spacing w:after="120" w:line="276" w:lineRule="auto"/>
        <w:jc w:val="both"/>
        <w:rPr>
          <w:rFonts w:ascii="Verdana" w:eastAsia="Calibri" w:hAnsi="Verdana" w:cs="Arial"/>
          <w:bCs/>
          <w:lang w:val="es-ES_tradnl" w:eastAsia="es-ES_tradnl"/>
        </w:rPr>
      </w:pPr>
      <w:r w:rsidRPr="00223018">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w:t>
      </w:r>
      <w:r w:rsidRPr="00223018">
        <w:rPr>
          <w:rFonts w:ascii="Verdana" w:eastAsia="Calibri" w:hAnsi="Verdana" w:cs="Arial"/>
          <w:bCs/>
          <w:lang w:val="es-ES_tradnl" w:eastAsia="es-ES_tradnl"/>
        </w:rPr>
        <w:lastRenderedPageBreak/>
        <w:t xml:space="preserve">de la Ley 2195 de 2022 supuso una modificación tácita del artículo 2, numeral 4, literal c), de la Ley 1150 de 2007. </w:t>
      </w:r>
    </w:p>
    <w:p w14:paraId="045E859B" w14:textId="77777777" w:rsidR="00240EEF" w:rsidRPr="00223018" w:rsidRDefault="00240EEF" w:rsidP="00240EEF">
      <w:pPr>
        <w:spacing w:after="120" w:line="276" w:lineRule="auto"/>
        <w:jc w:val="both"/>
        <w:rPr>
          <w:rFonts w:ascii="Verdana" w:eastAsia="Calibri" w:hAnsi="Verdana" w:cs="Arial"/>
          <w:lang w:val="es-ES" w:eastAsia="es-ES"/>
        </w:rPr>
      </w:pPr>
      <w:r w:rsidRPr="00223018">
        <w:rPr>
          <w:rFonts w:ascii="Verdana" w:eastAsia="Calibri" w:hAnsi="Verdana" w:cs="Arial"/>
          <w:bCs/>
          <w:lang w:val="es-ES_tradnl" w:eastAsia="es-ES_tradnl"/>
        </w:rPr>
        <w:tab/>
      </w:r>
      <w:r w:rsidRPr="00223018">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p>
    <w:p w14:paraId="39384454" w14:textId="77777777" w:rsidR="00240EEF" w:rsidRPr="00223018" w:rsidRDefault="00240EEF" w:rsidP="00240EEF">
      <w:pPr>
        <w:tabs>
          <w:tab w:val="left" w:pos="0"/>
        </w:tabs>
        <w:spacing w:after="120" w:line="276" w:lineRule="auto"/>
        <w:jc w:val="both"/>
        <w:rPr>
          <w:rFonts w:ascii="Verdana" w:eastAsia="Calibri" w:hAnsi="Verdana" w:cs="Arial"/>
          <w:bCs/>
          <w:lang w:val="es-ES_tradnl" w:eastAsia="es-ES_tradnl"/>
        </w:rPr>
      </w:pPr>
      <w:r w:rsidRPr="00223018">
        <w:rPr>
          <w:rFonts w:ascii="Verdana" w:eastAsia="Calibri" w:hAnsi="Verdana" w:cs="Arial"/>
          <w:bCs/>
          <w:lang w:val="es-ES_tradnl" w:eastAsia="es-ES_tradnl"/>
        </w:rPr>
        <w:tab/>
        <w:t xml:space="preserve">Conforme a lo explicado, de la lectura conjunta de los incisos primero y segundo se desprende que estos introducen un mandato dirigido a que las entidades sometidas al EGCAP apliquen los Documentos Tipo en los contratos o convenios que suscriban con los mencionados sujetos de régimen de derecho privado para la adquisición de bienes, obras y servicios, en los casos en los que el objeto contractual que se pretende contratar esté sometido a algún Documento Tipo, esto </w:t>
      </w:r>
      <w:r w:rsidRPr="00223018">
        <w:rPr>
          <w:rFonts w:ascii="Verdana" w:eastAsia="Times New Roman" w:hAnsi="Verdana" w:cs="Arial"/>
          <w:lang w:eastAsia="es-ES_tradnl"/>
        </w:rPr>
        <w:t xml:space="preserve">implica que si las Entidades Estatales exceptuadas pretenden ser adjudicatarias de estos contratos, deben someterse a un proceso de selección en el que se apliquen Documentos Tipo expedidos por esta Agencia a cargo de la </w:t>
      </w:r>
      <w:r w:rsidRPr="00223018">
        <w:rPr>
          <w:rFonts w:ascii="Verdana" w:eastAsia="Calibri" w:hAnsi="Verdana" w:cs="Arial"/>
          <w:bCs/>
          <w:lang w:val="es-ES_tradnl" w:eastAsia="es-ES_tradnl"/>
        </w:rPr>
        <w:t>entidad sometida al EGCAP.</w:t>
      </w:r>
    </w:p>
    <w:p w14:paraId="3EA22D1F" w14:textId="77777777" w:rsidR="00240EEF" w:rsidRDefault="00240EEF" w:rsidP="00240EEF">
      <w:pPr>
        <w:tabs>
          <w:tab w:val="left" w:pos="0"/>
        </w:tabs>
        <w:spacing w:after="120" w:line="276" w:lineRule="auto"/>
        <w:jc w:val="both"/>
        <w:rPr>
          <w:rFonts w:ascii="Verdana" w:eastAsia="Calibri" w:hAnsi="Verdana" w:cs="Arial"/>
          <w:bCs/>
          <w:lang w:val="es-ES_tradnl" w:eastAsia="es-ES_tradnl"/>
        </w:rPr>
      </w:pPr>
      <w:r w:rsidRPr="00223018">
        <w:rPr>
          <w:rFonts w:ascii="Verdana" w:eastAsia="Times New Roman" w:hAnsi="Verdana" w:cs="Arial"/>
          <w:lang w:eastAsia="es-ES_tradnl"/>
        </w:rPr>
        <w:tab/>
        <w:t xml:space="preserve">De otra parte, </w:t>
      </w:r>
      <w:r w:rsidRPr="00223018">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223018">
        <w:rPr>
          <w:rFonts w:ascii="Verdana" w:eastAsia="Calibri" w:hAnsi="Verdana" w:cs="Arial"/>
          <w:bCs/>
          <w:i/>
          <w:iCs/>
          <w:lang w:val="es-ES_tradnl" w:eastAsia="es-ES_tradnl"/>
        </w:rPr>
        <w:t>giro ordinario</w:t>
      </w:r>
      <w:r w:rsidRPr="00223018">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223018">
        <w:rPr>
          <w:rFonts w:ascii="Verdana" w:eastAsia="Calibri" w:hAnsi="Verdana" w:cs="Arial"/>
          <w:bCs/>
          <w:lang w:val="es-ES_tradnl" w:eastAsia="es-ES_tradnl"/>
        </w:rPr>
        <w:t>ii</w:t>
      </w:r>
      <w:proofErr w:type="spellEnd"/>
      <w:r w:rsidRPr="00223018">
        <w:rPr>
          <w:rFonts w:ascii="Verdana" w:eastAsia="Calibri" w:hAnsi="Verdana" w:cs="Arial"/>
          <w:bCs/>
          <w:lang w:val="es-ES_tradnl" w:eastAsia="es-ES_tradnl"/>
        </w:rPr>
        <w:t xml:space="preserve">) las </w:t>
      </w:r>
      <w:r w:rsidRPr="00223018">
        <w:rPr>
          <w:rFonts w:ascii="Verdana" w:eastAsia="Calibri" w:hAnsi="Verdana" w:cs="Arial"/>
          <w:bCs/>
          <w:i/>
          <w:iCs/>
          <w:lang w:val="es-ES_tradnl" w:eastAsia="es-ES_tradnl"/>
        </w:rPr>
        <w:t>empresas sociales del Estado</w:t>
      </w:r>
      <w:r w:rsidRPr="00223018">
        <w:rPr>
          <w:rFonts w:ascii="Verdana" w:eastAsia="Calibri" w:hAnsi="Verdana" w:cs="Arial"/>
          <w:bCs/>
          <w:lang w:val="es-ES_tradnl" w:eastAsia="es-ES_tradnl"/>
        </w:rPr>
        <w:t xml:space="preserve"> – a la cuales se refiere en u consulta –, </w:t>
      </w:r>
      <w:proofErr w:type="spellStart"/>
      <w:r w:rsidRPr="00223018">
        <w:rPr>
          <w:rFonts w:ascii="Verdana" w:eastAsia="Calibri" w:hAnsi="Verdana" w:cs="Arial"/>
          <w:bCs/>
          <w:lang w:val="es-ES_tradnl" w:eastAsia="es-ES_tradnl"/>
        </w:rPr>
        <w:t>iii</w:t>
      </w:r>
      <w:proofErr w:type="spellEnd"/>
      <w:r w:rsidRPr="00223018">
        <w:rPr>
          <w:rFonts w:ascii="Verdana" w:eastAsia="Calibri" w:hAnsi="Verdana" w:cs="Arial"/>
          <w:bCs/>
          <w:lang w:val="es-ES_tradnl" w:eastAsia="es-ES_tradnl"/>
        </w:rPr>
        <w:t xml:space="preserve">) las sociedades de </w:t>
      </w:r>
      <w:r w:rsidRPr="00223018">
        <w:rPr>
          <w:rFonts w:ascii="Verdana" w:eastAsia="Calibri" w:hAnsi="Verdana" w:cs="Arial"/>
          <w:bCs/>
          <w:lang w:val="es-ES_tradnl" w:eastAsia="es-ES_tradnl"/>
        </w:rPr>
        <w:lastRenderedPageBreak/>
        <w:t xml:space="preserve">economía mixta y </w:t>
      </w:r>
      <w:proofErr w:type="spellStart"/>
      <w:r w:rsidRPr="00223018">
        <w:rPr>
          <w:rFonts w:ascii="Verdana" w:eastAsia="Calibri" w:hAnsi="Verdana" w:cs="Arial"/>
          <w:bCs/>
          <w:lang w:val="es-ES_tradnl" w:eastAsia="es-ES_tradnl"/>
        </w:rPr>
        <w:t>iv</w:t>
      </w:r>
      <w:proofErr w:type="spellEnd"/>
      <w:r w:rsidRPr="00223018">
        <w:rPr>
          <w:rFonts w:ascii="Verdana" w:eastAsia="Calibri" w:hAnsi="Verdana" w:cs="Arial"/>
          <w:bCs/>
          <w:lang w:val="es-ES_tradnl" w:eastAsia="es-ES_tradnl"/>
        </w:rPr>
        <w:t xml:space="preserve">) las empresas industriales y comerciales del Estado, únicamente, en la contratación relacionada con el </w:t>
      </w:r>
      <w:r w:rsidRPr="00223018">
        <w:rPr>
          <w:rFonts w:ascii="Verdana" w:eastAsia="Calibri" w:hAnsi="Verdana" w:cs="Arial"/>
          <w:bCs/>
          <w:i/>
          <w:iCs/>
          <w:lang w:val="es-ES_tradnl" w:eastAsia="es-ES_tradnl"/>
        </w:rPr>
        <w:t>giro ordinario.</w:t>
      </w:r>
      <w:r w:rsidRPr="00223018">
        <w:rPr>
          <w:rFonts w:ascii="Verdana" w:eastAsia="Calibri" w:hAnsi="Verdana" w:cs="Arial"/>
          <w:bCs/>
          <w:lang w:val="es-ES_tradnl" w:eastAsia="es-ES_tradnl"/>
        </w:rPr>
        <w:t xml:space="preserve"> Esto significa que, en la contratación asociada a su </w:t>
      </w:r>
      <w:r w:rsidRPr="00223018">
        <w:rPr>
          <w:rFonts w:ascii="Verdana" w:eastAsia="Calibri" w:hAnsi="Verdana" w:cs="Arial"/>
          <w:bCs/>
          <w:i/>
          <w:iCs/>
          <w:lang w:val="es-ES_tradnl" w:eastAsia="es-ES_tradnl"/>
        </w:rPr>
        <w:t xml:space="preserve">giro ordinario, </w:t>
      </w:r>
      <w:r w:rsidRPr="00223018">
        <w:rPr>
          <w:rFonts w:ascii="Verdana" w:eastAsia="Calibri" w:hAnsi="Verdana" w:cs="Arial"/>
          <w:bCs/>
          <w:lang w:val="es-ES_tradnl" w:eastAsia="es-ES_tradnl"/>
        </w:rPr>
        <w:t>estos tipos de entidades no tendrían que aplicar, de manera obligatoria, los Documentos Tipo, ni tampoco el EGCAP.</w:t>
      </w:r>
      <w:r w:rsidRPr="00223018">
        <w:rPr>
          <w:rFonts w:ascii="Verdana" w:eastAsia="Times New Roman" w:hAnsi="Verdana" w:cs="Arial"/>
          <w:lang w:eastAsia="es-ES_tradnl"/>
        </w:rPr>
        <w:t xml:space="preserve"> Es decir, si Entidades Estatales exceptuadas pretenden ser adjudicatarias de estos contratos, no deben someterse a un proceso de selección en el que se apliquen Documentos Tipo expedidos por esta Agencia. </w:t>
      </w:r>
      <w:r w:rsidRPr="00223018">
        <w:rPr>
          <w:rFonts w:ascii="Verdana" w:eastAsia="Calibri" w:hAnsi="Verdana" w:cs="Arial"/>
          <w:bCs/>
          <w:lang w:val="es-ES_tradnl" w:eastAsia="es-ES_tradnl"/>
        </w:rPr>
        <w:t>En atención a una de sus consultas, debe decirse que, en este caso, la norma se limita a fomentar la implementación de Documentos Tipo a modo de buena práctica contractual, en los casos en los que se estime conveniente.</w:t>
      </w:r>
    </w:p>
    <w:p w14:paraId="727AF8E3" w14:textId="4EE0654D" w:rsidR="002D549F" w:rsidRDefault="002D549F" w:rsidP="002D549F">
      <w:pPr>
        <w:widowControl w:val="0"/>
        <w:autoSpaceDE w:val="0"/>
        <w:autoSpaceDN w:val="0"/>
        <w:spacing w:after="120" w:line="276" w:lineRule="auto"/>
        <w:jc w:val="both"/>
        <w:rPr>
          <w:rFonts w:ascii="Verdana" w:eastAsia="Times New Roman" w:hAnsi="Verdana" w:cs="Arial"/>
          <w:lang w:eastAsia="es-MX"/>
        </w:rPr>
      </w:pPr>
      <w:r>
        <w:rPr>
          <w:rFonts w:ascii="Verdana" w:eastAsia="Calibri" w:hAnsi="Verdana" w:cs="Arial"/>
          <w:bCs/>
          <w:lang w:val="es-ES_tradnl" w:eastAsia="es-ES_tradnl"/>
        </w:rPr>
        <w:t>Por último</w:t>
      </w:r>
      <w:r w:rsidR="00200920">
        <w:rPr>
          <w:rStyle w:val="Refdenotaalpie"/>
          <w:rFonts w:ascii="Verdana" w:eastAsia="Calibri" w:hAnsi="Verdana" w:cs="Arial"/>
          <w:bCs/>
          <w:lang w:val="es-ES_tradnl" w:eastAsia="es-ES_tradnl"/>
        </w:rPr>
        <w:footnoteReference w:id="5"/>
      </w:r>
      <w:r>
        <w:rPr>
          <w:rFonts w:ascii="Verdana" w:eastAsia="Calibri" w:hAnsi="Verdana" w:cs="Arial"/>
          <w:bCs/>
          <w:lang w:val="es-ES_tradnl" w:eastAsia="es-ES_tradnl"/>
        </w:rPr>
        <w:t xml:space="preserve"> es necesario tener en cuenta que, </w:t>
      </w:r>
      <w:r>
        <w:rPr>
          <w:rFonts w:ascii="Verdana" w:eastAsia="Times New Roman" w:hAnsi="Verdana" w:cs="Arial"/>
          <w:color w:val="000000"/>
          <w:lang w:val="es-ES_tradnl" w:eastAsia="es-ES_tradnl"/>
        </w:rPr>
        <w:t xml:space="preserve">conforme a la interpretación de las normas generales del sistema de compras públicas, </w:t>
      </w:r>
      <w:r>
        <w:rPr>
          <w:rFonts w:ascii="Verdana" w:eastAsia="Times New Roman" w:hAnsi="Verdana" w:cs="Arial"/>
          <w:lang w:eastAsia="es-MX"/>
        </w:rPr>
        <w:t>los literales d) y j) del artículo 2.4 de la Ley 1150 de 2007 permiten la selección directa tratándose de la</w:t>
      </w:r>
      <w:r w:rsidRPr="00DB1EA1">
        <w:rPr>
          <w:rFonts w:ascii="Verdana" w:eastAsia="Times New Roman" w:hAnsi="Verdana" w:cs="Arial"/>
          <w:lang w:eastAsia="es-MX"/>
        </w:rPr>
        <w:t xml:space="preserve"> contratación de bienes y servicios en el sector </w:t>
      </w:r>
      <w:r>
        <w:rPr>
          <w:rFonts w:ascii="Verdana" w:eastAsia="Times New Roman" w:hAnsi="Verdana" w:cs="Arial"/>
          <w:lang w:eastAsia="es-MX"/>
        </w:rPr>
        <w:t>d</w:t>
      </w:r>
      <w:r w:rsidRPr="00DB1EA1">
        <w:rPr>
          <w:rFonts w:ascii="Verdana" w:eastAsia="Times New Roman" w:hAnsi="Verdana" w:cs="Arial"/>
          <w:lang w:eastAsia="es-MX"/>
        </w:rPr>
        <w:t xml:space="preserve">efensa y </w:t>
      </w:r>
      <w:r>
        <w:rPr>
          <w:rFonts w:ascii="Verdana" w:eastAsia="Times New Roman" w:hAnsi="Verdana" w:cs="Arial"/>
          <w:lang w:eastAsia="es-MX"/>
        </w:rPr>
        <w:t>d</w:t>
      </w:r>
      <w:r w:rsidRPr="00DB1EA1">
        <w:rPr>
          <w:rFonts w:ascii="Verdana" w:eastAsia="Times New Roman" w:hAnsi="Verdana" w:cs="Arial"/>
          <w:lang w:eastAsia="es-MX"/>
        </w:rPr>
        <w:t>e la Dirección Nacional de Inteligencia (DNI), que necesiten reserva para su adquisición</w:t>
      </w:r>
      <w:r>
        <w:rPr>
          <w:rFonts w:ascii="Verdana" w:eastAsia="Times New Roman" w:hAnsi="Verdana" w:cs="Arial"/>
          <w:lang w:eastAsia="es-MX"/>
        </w:rPr>
        <w:t xml:space="preserve">. Dichas causales se sujetan al cumplimiento de dos (2) requisitos: uno de carácter orgánico y otro de carácter material. Por un lado, los bienes o servicios deben ser adquiridos por entidades del sector defensa o por la </w:t>
      </w:r>
      <w:r w:rsidRPr="00DB1EA1">
        <w:rPr>
          <w:rFonts w:ascii="Verdana" w:eastAsia="Times New Roman" w:hAnsi="Verdana" w:cs="Arial"/>
          <w:lang w:eastAsia="es-MX"/>
        </w:rPr>
        <w:t>Dirección Nacional de Inteligencia</w:t>
      </w:r>
      <w:r>
        <w:rPr>
          <w:rFonts w:ascii="Verdana" w:eastAsia="Times New Roman" w:hAnsi="Verdana" w:cs="Arial"/>
          <w:lang w:eastAsia="es-MX"/>
        </w:rPr>
        <w:t xml:space="preserve"> y, por otro, su adquisición debe ser reservada.</w:t>
      </w:r>
    </w:p>
    <w:p w14:paraId="72AB1A91" w14:textId="77777777" w:rsidR="002D549F" w:rsidRDefault="002D549F" w:rsidP="002D549F">
      <w:pPr>
        <w:spacing w:after="120" w:line="276" w:lineRule="auto"/>
        <w:ind w:firstLine="709"/>
        <w:jc w:val="both"/>
        <w:rPr>
          <w:rFonts w:ascii="Verdana" w:eastAsia="Times New Roman" w:hAnsi="Verdana" w:cs="Arial"/>
          <w:lang w:eastAsia="es-MX"/>
        </w:rPr>
      </w:pPr>
      <w:r>
        <w:rPr>
          <w:rFonts w:ascii="Verdana" w:eastAsia="Times New Roman" w:hAnsi="Verdana" w:cs="Arial"/>
          <w:lang w:eastAsia="es-MX"/>
        </w:rPr>
        <w:t xml:space="preserve">Como indica el artículo </w:t>
      </w:r>
      <w:r w:rsidRPr="002A22D8">
        <w:rPr>
          <w:rFonts w:ascii="Verdana" w:eastAsia="Times New Roman" w:hAnsi="Verdana" w:cs="Arial"/>
          <w:lang w:eastAsia="es-MX"/>
        </w:rPr>
        <w:t>2.2.1.2.1.4.6</w:t>
      </w:r>
      <w:r>
        <w:rPr>
          <w:rFonts w:ascii="Verdana" w:eastAsia="Times New Roman" w:hAnsi="Verdana" w:cs="Arial"/>
          <w:lang w:eastAsia="es-MX"/>
        </w:rPr>
        <w:t xml:space="preserve"> del Decreto 1082 de 2015, “</w:t>
      </w:r>
      <w:r w:rsidRPr="002A22D8">
        <w:rPr>
          <w:rFonts w:ascii="Verdana" w:eastAsia="Times New Roman" w:hAnsi="Verdana" w:cs="Arial"/>
          <w:lang w:eastAsia="es-MX"/>
        </w:rPr>
        <w:t>Las Entidades Estatales no están obligadas a publicar los Documentos del Proceso para adquirir bienes y servicios en el Sector Defensa, la Dirección Nacional de Inteligencia y la Unidad Nacional de Protección que requieren reserva. En estos procesos de contratación la adquisición debe hacerse en condiciones de mercado sin que sea necesario recibir varias ofertas</w:t>
      </w:r>
      <w:r>
        <w:rPr>
          <w:rFonts w:ascii="Verdana" w:eastAsia="Times New Roman" w:hAnsi="Verdana" w:cs="Arial"/>
          <w:lang w:eastAsia="es-MX"/>
        </w:rPr>
        <w:t>”</w:t>
      </w:r>
      <w:r w:rsidRPr="002A22D8">
        <w:rPr>
          <w:rFonts w:ascii="Verdana" w:eastAsia="Times New Roman" w:hAnsi="Verdana" w:cs="Arial"/>
          <w:lang w:eastAsia="es-MX"/>
        </w:rPr>
        <w:t>.</w:t>
      </w:r>
      <w:r>
        <w:rPr>
          <w:rFonts w:ascii="Verdana" w:eastAsia="Times New Roman" w:hAnsi="Verdana" w:cs="Arial"/>
          <w:lang w:eastAsia="es-MX"/>
        </w:rPr>
        <w:t xml:space="preserve"> </w:t>
      </w:r>
      <w:r w:rsidRPr="00DB1EA1">
        <w:rPr>
          <w:rFonts w:ascii="Verdana" w:eastAsia="Times New Roman" w:hAnsi="Verdana" w:cs="Arial"/>
          <w:lang w:eastAsia="es-MX"/>
        </w:rPr>
        <w:t xml:space="preserve">Por tanto, </w:t>
      </w:r>
      <w:r>
        <w:rPr>
          <w:rFonts w:ascii="Verdana" w:eastAsia="Times New Roman" w:hAnsi="Verdana" w:cs="Arial"/>
          <w:lang w:eastAsia="es-MX"/>
        </w:rPr>
        <w:t>si no coexisten los requisitos de carácter orgánico y material en las condiciones que se explican en el presente oficio</w:t>
      </w:r>
      <w:r w:rsidRPr="00DB1EA1">
        <w:rPr>
          <w:rFonts w:ascii="Verdana" w:eastAsia="Times New Roman" w:hAnsi="Verdana" w:cs="Arial"/>
          <w:lang w:eastAsia="es-MX"/>
        </w:rPr>
        <w:t>, deben privilegiarse los procedimientos de selección con pluralidad de oferentes, especialmente, cuando la contratación directa es excepcional y, por tanto, las causales son de interpretación estricta.</w:t>
      </w:r>
    </w:p>
    <w:p w14:paraId="0C893E95" w14:textId="6CC6CED2" w:rsidR="002D549F" w:rsidRPr="00223018" w:rsidRDefault="002D549F" w:rsidP="002D549F">
      <w:pPr>
        <w:tabs>
          <w:tab w:val="left" w:pos="0"/>
        </w:tabs>
        <w:spacing w:after="120" w:line="276" w:lineRule="auto"/>
        <w:jc w:val="both"/>
        <w:rPr>
          <w:rFonts w:ascii="Verdana" w:eastAsia="Times New Roman" w:hAnsi="Verdana" w:cs="Arial"/>
          <w:lang w:eastAsia="es-ES_tradnl"/>
        </w:rPr>
      </w:pPr>
      <w:r w:rsidRPr="0073098F">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Pr>
          <w:rFonts w:ascii="Verdana" w:hAnsi="Verdana" w:cs="Arial"/>
          <w:lang w:eastAsia="es-ES"/>
        </w:rPr>
        <w:t xml:space="preserve"> </w:t>
      </w:r>
      <w:r w:rsidRPr="0073098F">
        <w:rPr>
          <w:rFonts w:ascii="Verdana" w:hAnsi="Verdana" w:cs="Arial"/>
          <w:lang w:eastAsia="es-ES"/>
        </w:rPr>
        <w:t xml:space="preserve">Dentro de </w:t>
      </w:r>
      <w:r w:rsidRPr="0073098F">
        <w:rPr>
          <w:rFonts w:ascii="Verdana" w:hAnsi="Verdana" w:cs="Arial"/>
          <w:lang w:eastAsia="es-ES"/>
        </w:rPr>
        <w:lastRenderedPageBreak/>
        <w:t>este marco,</w:t>
      </w:r>
      <w:r>
        <w:rPr>
          <w:rFonts w:ascii="Verdana" w:hAnsi="Verdana" w:cs="Arial"/>
          <w:lang w:eastAsia="es-ES"/>
        </w:rPr>
        <w:t xml:space="preserve"> previo análisis de la naturaleza jurídica </w:t>
      </w:r>
      <w:r w:rsidRPr="0073098F">
        <w:rPr>
          <w:rFonts w:ascii="Verdana" w:hAnsi="Verdana" w:cs="Arial"/>
          <w:lang w:eastAsia="es-ES"/>
        </w:rPr>
        <w:t xml:space="preserve">la entidad contratante definirá en cada caso concreto </w:t>
      </w:r>
      <w:r>
        <w:rPr>
          <w:rFonts w:ascii="Verdana" w:hAnsi="Verdana" w:cs="Arial"/>
          <w:lang w:eastAsia="es-ES"/>
        </w:rPr>
        <w:t xml:space="preserve">la </w:t>
      </w:r>
      <w:r w:rsidRPr="00963473">
        <w:rPr>
          <w:rFonts w:ascii="Verdana" w:hAnsi="Verdana" w:cs="Arial"/>
          <w:lang w:eastAsia="es-ES"/>
        </w:rPr>
        <w:t xml:space="preserve">modalidad de selección </w:t>
      </w:r>
      <w:r>
        <w:rPr>
          <w:rFonts w:ascii="Verdana" w:hAnsi="Verdana" w:cs="Arial"/>
          <w:lang w:eastAsia="es-ES"/>
        </w:rPr>
        <w:t xml:space="preserve">aplicable </w:t>
      </w:r>
      <w:r w:rsidRPr="00963473">
        <w:rPr>
          <w:rFonts w:ascii="Verdana" w:hAnsi="Verdana" w:cs="Arial"/>
          <w:lang w:eastAsia="es-ES"/>
        </w:rPr>
        <w:t xml:space="preserve">y tipo de contrato para la adquisición </w:t>
      </w:r>
      <w:r>
        <w:rPr>
          <w:rFonts w:ascii="Verdana" w:hAnsi="Verdana" w:cs="Arial"/>
          <w:lang w:eastAsia="es-ES"/>
        </w:rPr>
        <w:t>de los bienes y servicios que requieran</w:t>
      </w:r>
      <w:r w:rsidRPr="0073098F">
        <w:rPr>
          <w:rFonts w:ascii="Verdana" w:hAnsi="Verdana" w:cs="Arial"/>
          <w:lang w:eastAsia="es-ES"/>
        </w:rPr>
        <w:t>.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203BC593" w14:textId="298647CF" w:rsidR="00240EEF" w:rsidRPr="00223018" w:rsidRDefault="00240EEF" w:rsidP="005C666D">
      <w:pPr>
        <w:tabs>
          <w:tab w:val="left" w:pos="0"/>
        </w:tabs>
        <w:spacing w:after="120" w:line="276" w:lineRule="auto"/>
        <w:jc w:val="both"/>
        <w:rPr>
          <w:rFonts w:ascii="Verdana" w:eastAsia="Calibri" w:hAnsi="Verdana" w:cs="Arial"/>
          <w:bCs/>
          <w:color w:val="000000"/>
          <w:lang w:val="es-ES_tradnl" w:eastAsia="es-ES_tradnl"/>
        </w:rPr>
      </w:pPr>
      <w:r w:rsidRPr="00223018">
        <w:rPr>
          <w:rFonts w:ascii="Verdana" w:eastAsia="Calibri" w:hAnsi="Verdana" w:cs="Arial"/>
          <w:bCs/>
          <w:lang w:val="es-ES_tradnl" w:eastAsia="es-ES_tradnl"/>
        </w:rPr>
        <w:tab/>
      </w:r>
      <w:r w:rsidRPr="00223018">
        <w:rPr>
          <w:rFonts w:ascii="Verdana" w:eastAsia="Calibri" w:hAnsi="Verdana" w:cs="Arial"/>
          <w:bCs/>
          <w:color w:val="000000"/>
          <w:lang w:val="es-ES_tradnl" w:eastAsia="es-ES_tradnl"/>
        </w:rPr>
        <w:t xml:space="preserve"> </w:t>
      </w:r>
    </w:p>
    <w:p w14:paraId="30174E5A" w14:textId="77777777" w:rsidR="00240EEF" w:rsidRPr="00223018" w:rsidRDefault="00240EEF" w:rsidP="00240EEF">
      <w:pPr>
        <w:widowControl w:val="0"/>
        <w:autoSpaceDE w:val="0"/>
        <w:autoSpaceDN w:val="0"/>
        <w:spacing w:after="0" w:line="276" w:lineRule="auto"/>
        <w:jc w:val="both"/>
        <w:rPr>
          <w:rFonts w:ascii="Verdana" w:eastAsia="Aptos" w:hAnsi="Verdana" w:cs="Arial"/>
          <w:lang w:val="es-ES"/>
        </w:rPr>
      </w:pPr>
    </w:p>
    <w:p w14:paraId="0925A425" w14:textId="77777777" w:rsidR="00240EEF" w:rsidRPr="00223018" w:rsidRDefault="00240EEF" w:rsidP="00240EEF">
      <w:pPr>
        <w:numPr>
          <w:ilvl w:val="0"/>
          <w:numId w:val="17"/>
        </w:numPr>
        <w:tabs>
          <w:tab w:val="left" w:pos="142"/>
          <w:tab w:val="left" w:pos="284"/>
        </w:tabs>
        <w:spacing w:after="0" w:line="276" w:lineRule="auto"/>
        <w:ind w:left="0" w:firstLine="0"/>
        <w:jc w:val="both"/>
        <w:rPr>
          <w:rFonts w:ascii="Verdana" w:eastAsia="Century Gothic" w:hAnsi="Verdana" w:cs="Century Gothic"/>
          <w:b/>
          <w:bCs/>
        </w:rPr>
      </w:pPr>
      <w:r w:rsidRPr="00223018">
        <w:rPr>
          <w:rFonts w:ascii="Verdana" w:eastAsia="Century Gothic" w:hAnsi="Verdana" w:cs="Century Gothic"/>
          <w:b/>
          <w:bCs/>
        </w:rPr>
        <w:t>Referencias normativas, jurisprudenciales y otras fuentes:</w:t>
      </w:r>
    </w:p>
    <w:p w14:paraId="0416E3EE" w14:textId="77777777" w:rsidR="00240EEF" w:rsidRPr="00223018" w:rsidRDefault="00240EEF" w:rsidP="00240EEF">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0EEF" w:rsidRPr="00223018" w14:paraId="0C4EB9A5" w14:textId="77777777" w:rsidTr="000F3C54">
        <w:trPr>
          <w:trHeight w:val="440"/>
        </w:trPr>
        <w:tc>
          <w:tcPr>
            <w:tcW w:w="8647" w:type="dxa"/>
          </w:tcPr>
          <w:p w14:paraId="7D32D5AF"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Ley 1150 de 2007 - artículo 14.</w:t>
            </w:r>
          </w:p>
          <w:p w14:paraId="223C8B91"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 xml:space="preserve">Ley 2022 de 202 – artículo 1. </w:t>
            </w:r>
          </w:p>
          <w:p w14:paraId="07C31039"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Constitución Política - artículo 209, 267.</w:t>
            </w:r>
          </w:p>
          <w:p w14:paraId="61520650"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Ley 489 de 1998 - artículo 68, 85, 86, 87, 93.</w:t>
            </w:r>
          </w:p>
          <w:p w14:paraId="22C92054"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Ley 80 de 1993 - artículo 2, numeral 1, literal a.</w:t>
            </w:r>
          </w:p>
          <w:p w14:paraId="18E9F442" w14:textId="77777777" w:rsidR="00240EEF" w:rsidRPr="00223018" w:rsidRDefault="00240EEF" w:rsidP="000F3C54">
            <w:pPr>
              <w:widowControl w:val="0"/>
              <w:numPr>
                <w:ilvl w:val="0"/>
                <w:numId w:val="16"/>
              </w:numPr>
              <w:autoSpaceDE w:val="0"/>
              <w:autoSpaceDN w:val="0"/>
              <w:spacing w:line="276" w:lineRule="auto"/>
              <w:ind w:left="714" w:hanging="357"/>
              <w:jc w:val="both"/>
              <w:rPr>
                <w:rFonts w:ascii="Verdana" w:eastAsia="Aptos" w:hAnsi="Verdana" w:cs="Arial"/>
              </w:rPr>
            </w:pPr>
            <w:r w:rsidRPr="00223018">
              <w:rPr>
                <w:rFonts w:ascii="Verdana" w:eastAsia="Aptos" w:hAnsi="Verdana" w:cs="Arial"/>
              </w:rPr>
              <w:t>Ley 2195 de 2022: Artículo 56.</w:t>
            </w:r>
          </w:p>
          <w:p w14:paraId="624C553A"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 xml:space="preserve">Consejo de Estado. Sección Tercera, Sentencia del 19 de agosto de 2004 </w:t>
            </w:r>
            <w:proofErr w:type="spellStart"/>
            <w:r w:rsidRPr="00223018">
              <w:rPr>
                <w:rFonts w:ascii="Verdana" w:eastAsia="Aptos" w:hAnsi="Verdana" w:cs="Arial"/>
              </w:rPr>
              <w:t>Exp</w:t>
            </w:r>
            <w:proofErr w:type="spellEnd"/>
            <w:r w:rsidRPr="00223018">
              <w:rPr>
                <w:rFonts w:ascii="Verdana" w:eastAsia="Aptos" w:hAnsi="Verdana" w:cs="Arial"/>
              </w:rPr>
              <w:t xml:space="preserve">. 12.342, reiterada en sentencia de 6 de febrero de 2006, </w:t>
            </w:r>
            <w:proofErr w:type="spellStart"/>
            <w:r w:rsidRPr="00223018">
              <w:rPr>
                <w:rFonts w:ascii="Verdana" w:eastAsia="Aptos" w:hAnsi="Verdana" w:cs="Arial"/>
              </w:rPr>
              <w:t>Exp</w:t>
            </w:r>
            <w:proofErr w:type="spellEnd"/>
            <w:r w:rsidRPr="00223018">
              <w:rPr>
                <w:rFonts w:ascii="Verdana" w:eastAsia="Aptos" w:hAnsi="Verdana" w:cs="Arial"/>
              </w:rPr>
              <w:t>. 13.414.</w:t>
            </w:r>
          </w:p>
          <w:p w14:paraId="256E7654"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 xml:space="preserve">Consejo de Estado. Sección Tercera. Subsección C. Sentencia del 8 de abril de 2014. Expo. 25.801 C.P. Enrique Gil Botero </w:t>
            </w:r>
          </w:p>
          <w:p w14:paraId="19BE2958"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color w:val="000000"/>
              </w:rPr>
              <w:t xml:space="preserve">Consejo de Estado. Sección Tercera. Subsección B. Sentencia del 12 de octubre de 2011. </w:t>
            </w:r>
            <w:proofErr w:type="spellStart"/>
            <w:r w:rsidRPr="00223018">
              <w:rPr>
                <w:rFonts w:ascii="Verdana" w:eastAsia="Aptos" w:hAnsi="Verdana" w:cs="Arial"/>
                <w:color w:val="000000"/>
              </w:rPr>
              <w:t>Exp</w:t>
            </w:r>
            <w:proofErr w:type="spellEnd"/>
            <w:r w:rsidRPr="00223018">
              <w:rPr>
                <w:rFonts w:ascii="Verdana" w:eastAsia="Aptos" w:hAnsi="Verdana" w:cs="Arial"/>
                <w:color w:val="000000"/>
              </w:rPr>
              <w:t>. No. 20070. C.P. Danilo Rojas Betancourt.</w:t>
            </w:r>
          </w:p>
          <w:p w14:paraId="2F44CA9E"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color w:val="000000"/>
              </w:rPr>
              <w:t xml:space="preserve">Consejo de Estado. Sección Tercera. Subsección A. Sentencia del 3 de marzo de 2021. </w:t>
            </w:r>
            <w:proofErr w:type="spellStart"/>
            <w:r w:rsidRPr="00223018">
              <w:rPr>
                <w:rFonts w:ascii="Verdana" w:eastAsia="Aptos" w:hAnsi="Verdana" w:cs="Arial"/>
                <w:color w:val="000000"/>
              </w:rPr>
              <w:t>Exp</w:t>
            </w:r>
            <w:proofErr w:type="spellEnd"/>
            <w:r w:rsidRPr="00223018">
              <w:rPr>
                <w:rFonts w:ascii="Verdana" w:eastAsia="Aptos" w:hAnsi="Verdana" w:cs="Arial"/>
                <w:color w:val="000000"/>
              </w:rPr>
              <w:t xml:space="preserve">. No. 51373. C.P. José Roberto Sáchica Méndez. </w:t>
            </w:r>
          </w:p>
          <w:p w14:paraId="7D1DEB55"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color w:val="000000"/>
              </w:rPr>
              <w:t xml:space="preserve">Consejo de Estado. Sección Tercera. Subsección A. Sentencia del 24 de junio de 2015. </w:t>
            </w:r>
            <w:proofErr w:type="spellStart"/>
            <w:r w:rsidRPr="00223018">
              <w:rPr>
                <w:rFonts w:ascii="Verdana" w:eastAsia="Aptos" w:hAnsi="Verdana" w:cs="Arial"/>
                <w:color w:val="000000"/>
              </w:rPr>
              <w:t>Exp</w:t>
            </w:r>
            <w:proofErr w:type="spellEnd"/>
            <w:r w:rsidRPr="00223018">
              <w:rPr>
                <w:rFonts w:ascii="Verdana" w:eastAsia="Aptos" w:hAnsi="Verdana" w:cs="Arial"/>
                <w:color w:val="000000"/>
              </w:rPr>
              <w:t>. 40.635. Consejero Ponente: Hernán Andrade Rincón (E).</w:t>
            </w:r>
          </w:p>
          <w:p w14:paraId="7FDA1735"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color w:val="000000"/>
                <w:lang w:val="es-ES"/>
              </w:rPr>
              <w:t xml:space="preserve">Consejo de Estado. Sala de Consulta y Servicio Civil. Concepto del 30 de abril de 2015. Expediente: 2251. Consejero Ponente: Álvaro </w:t>
            </w:r>
            <w:proofErr w:type="spellStart"/>
            <w:r w:rsidRPr="00223018">
              <w:rPr>
                <w:rFonts w:ascii="Verdana" w:eastAsia="Aptos" w:hAnsi="Verdana" w:cs="Arial"/>
                <w:color w:val="000000"/>
                <w:lang w:val="es-ES"/>
              </w:rPr>
              <w:t>Namén</w:t>
            </w:r>
            <w:proofErr w:type="spellEnd"/>
            <w:r w:rsidRPr="00223018">
              <w:rPr>
                <w:rFonts w:ascii="Verdana" w:eastAsia="Aptos" w:hAnsi="Verdana" w:cs="Arial"/>
                <w:color w:val="000000"/>
                <w:lang w:val="es-ES"/>
              </w:rPr>
              <w:t xml:space="preserve"> Vargas.</w:t>
            </w:r>
          </w:p>
          <w:p w14:paraId="6CB94BDB" w14:textId="77777777" w:rsidR="00240EEF" w:rsidRPr="00223018" w:rsidRDefault="00240EEF" w:rsidP="000F3C54">
            <w:pPr>
              <w:widowControl w:val="0"/>
              <w:numPr>
                <w:ilvl w:val="0"/>
                <w:numId w:val="16"/>
              </w:numPr>
              <w:autoSpaceDE w:val="0"/>
              <w:autoSpaceDN w:val="0"/>
              <w:spacing w:line="276" w:lineRule="auto"/>
              <w:contextualSpacing/>
              <w:jc w:val="both"/>
              <w:rPr>
                <w:rFonts w:ascii="Verdana" w:eastAsia="Aptos" w:hAnsi="Verdana" w:cs="Arial"/>
              </w:rPr>
            </w:pPr>
            <w:r w:rsidRPr="00223018">
              <w:rPr>
                <w:rFonts w:ascii="Verdana" w:eastAsia="Aptos" w:hAnsi="Verdana" w:cs="Arial"/>
              </w:rPr>
              <w:t>Sentencia C-382 de 2019, M.P. Alejandro Linares Cantillo</w:t>
            </w:r>
          </w:p>
          <w:p w14:paraId="1B9FF74A" w14:textId="77777777" w:rsidR="00240EEF" w:rsidRPr="00223018" w:rsidRDefault="00240EEF" w:rsidP="000F3C54">
            <w:pPr>
              <w:widowControl w:val="0"/>
              <w:numPr>
                <w:ilvl w:val="0"/>
                <w:numId w:val="16"/>
              </w:numPr>
              <w:autoSpaceDE w:val="0"/>
              <w:autoSpaceDN w:val="0"/>
              <w:spacing w:line="276" w:lineRule="auto"/>
              <w:jc w:val="both"/>
              <w:rPr>
                <w:rFonts w:ascii="Verdana" w:eastAsia="Aptos" w:hAnsi="Verdana" w:cs="Arial"/>
              </w:rPr>
            </w:pPr>
            <w:r w:rsidRPr="00223018">
              <w:rPr>
                <w:rFonts w:ascii="Verdana" w:eastAsia="Aptos" w:hAnsi="Verdana" w:cs="Arial"/>
              </w:rPr>
              <w:t xml:space="preserve">COLOMBIA COMPRA EFICIENTE. “Guía para las Entidades Estatales </w:t>
            </w:r>
            <w:r w:rsidRPr="00223018">
              <w:rPr>
                <w:rFonts w:ascii="Verdana" w:eastAsia="Aptos" w:hAnsi="Verdana" w:cs="Arial"/>
              </w:rPr>
              <w:lastRenderedPageBreak/>
              <w:t xml:space="preserve">con régimen especial de Contratación”. Disponible: Aquí </w:t>
            </w:r>
          </w:p>
          <w:p w14:paraId="62DE868E" w14:textId="77777777" w:rsidR="00240EEF" w:rsidRPr="00223018" w:rsidRDefault="00240EEF" w:rsidP="000F3C54">
            <w:pPr>
              <w:widowControl w:val="0"/>
              <w:numPr>
                <w:ilvl w:val="0"/>
                <w:numId w:val="16"/>
              </w:numPr>
              <w:autoSpaceDE w:val="0"/>
              <w:autoSpaceDN w:val="0"/>
              <w:spacing w:line="276" w:lineRule="auto"/>
              <w:ind w:left="714" w:hanging="357"/>
              <w:jc w:val="both"/>
              <w:rPr>
                <w:rFonts w:ascii="Verdana" w:eastAsia="Aptos" w:hAnsi="Verdana" w:cs="Arial"/>
              </w:rPr>
            </w:pPr>
            <w:r w:rsidRPr="00223018">
              <w:rPr>
                <w:rFonts w:ascii="Verdana" w:eastAsia="Aptos" w:hAnsi="Verdana" w:cs="Arial"/>
                <w:color w:val="000000"/>
              </w:rPr>
              <w:t xml:space="preserve">CONGRESO DE LA REPÚBLICA. Gaceta </w:t>
            </w:r>
            <w:proofErr w:type="spellStart"/>
            <w:r w:rsidRPr="00223018">
              <w:rPr>
                <w:rFonts w:ascii="Verdana" w:eastAsia="Aptos" w:hAnsi="Verdana" w:cs="Arial"/>
                <w:color w:val="000000"/>
              </w:rPr>
              <w:t>Nº</w:t>
            </w:r>
            <w:proofErr w:type="spellEnd"/>
            <w:r w:rsidRPr="00223018">
              <w:rPr>
                <w:rFonts w:ascii="Verdana" w:eastAsia="Aptos" w:hAnsi="Verdana" w:cs="Arial"/>
                <w:color w:val="000000"/>
              </w:rPr>
              <w:t xml:space="preserve"> 1677 del 23 de noviembre de 2021</w:t>
            </w:r>
          </w:p>
          <w:p w14:paraId="0DDCEA07" w14:textId="77777777" w:rsidR="00240EEF" w:rsidRPr="00223018" w:rsidRDefault="00240EEF" w:rsidP="000F3C54">
            <w:pPr>
              <w:widowControl w:val="0"/>
              <w:numPr>
                <w:ilvl w:val="0"/>
                <w:numId w:val="16"/>
              </w:numPr>
              <w:autoSpaceDE w:val="0"/>
              <w:autoSpaceDN w:val="0"/>
              <w:spacing w:line="276" w:lineRule="auto"/>
              <w:ind w:left="714" w:hanging="357"/>
              <w:jc w:val="both"/>
              <w:rPr>
                <w:rFonts w:ascii="Verdana" w:eastAsia="Aptos" w:hAnsi="Verdana" w:cs="Arial"/>
              </w:rPr>
            </w:pPr>
            <w:r w:rsidRPr="00223018">
              <w:rPr>
                <w:rFonts w:ascii="Verdana" w:eastAsia="Aptos" w:hAnsi="Verdana" w:cs="Arial"/>
              </w:rPr>
              <w:t>GUASTINI, Ricardo. La interpretación de los documentos normativos. Trad. Cesar E. Moreno Primera Edición, Centro Iberoamericano de Investigaciones Jurídicas y Sociales: Derecho Global Editores, México, 2018.</w:t>
            </w:r>
          </w:p>
          <w:p w14:paraId="6F0ACC5B" w14:textId="77777777" w:rsidR="00240EEF" w:rsidRPr="00223018" w:rsidRDefault="00240EEF" w:rsidP="000F3C54">
            <w:pPr>
              <w:widowControl w:val="0"/>
              <w:numPr>
                <w:ilvl w:val="0"/>
                <w:numId w:val="16"/>
              </w:numPr>
              <w:autoSpaceDE w:val="0"/>
              <w:autoSpaceDN w:val="0"/>
              <w:spacing w:line="276" w:lineRule="auto"/>
              <w:ind w:left="714" w:hanging="357"/>
              <w:jc w:val="both"/>
              <w:rPr>
                <w:rFonts w:ascii="Verdana" w:eastAsia="Aptos" w:hAnsi="Verdana" w:cs="Arial"/>
              </w:rPr>
            </w:pPr>
            <w:r w:rsidRPr="00223018">
              <w:rPr>
                <w:rFonts w:ascii="Verdana" w:eastAsia="Aptos" w:hAnsi="Verdana" w:cs="Arial"/>
                <w:color w:val="000000"/>
                <w:lang w:val="es-ES"/>
              </w:rPr>
              <w:t xml:space="preserve">GARCÍA DE ENTERRÍA, Eduardo. La lucha contra las inmunidades del poder en el derecho administrativo. 3ª ed. Madrid: </w:t>
            </w:r>
            <w:proofErr w:type="spellStart"/>
            <w:r w:rsidRPr="00223018">
              <w:rPr>
                <w:rFonts w:ascii="Verdana" w:eastAsia="Aptos" w:hAnsi="Verdana" w:cs="Arial"/>
                <w:color w:val="000000"/>
                <w:lang w:val="es-ES"/>
              </w:rPr>
              <w:t>Civitas</w:t>
            </w:r>
            <w:proofErr w:type="spellEnd"/>
            <w:r w:rsidRPr="00223018">
              <w:rPr>
                <w:rFonts w:ascii="Verdana" w:eastAsia="Aptos" w:hAnsi="Verdana" w:cs="Arial"/>
                <w:color w:val="000000"/>
                <w:lang w:val="es-ES"/>
              </w:rPr>
              <w:t>, 1983</w:t>
            </w:r>
          </w:p>
        </w:tc>
      </w:tr>
    </w:tbl>
    <w:p w14:paraId="4334A8B6" w14:textId="77777777" w:rsidR="00240EEF" w:rsidRPr="00223018" w:rsidRDefault="00240EEF" w:rsidP="00240EEF">
      <w:pPr>
        <w:widowControl w:val="0"/>
        <w:autoSpaceDE w:val="0"/>
        <w:autoSpaceDN w:val="0"/>
        <w:spacing w:after="0" w:line="276" w:lineRule="auto"/>
        <w:jc w:val="both"/>
        <w:rPr>
          <w:rFonts w:ascii="Verdana" w:eastAsia="Aptos" w:hAnsi="Verdana" w:cs="Arial"/>
        </w:rPr>
      </w:pPr>
    </w:p>
    <w:p w14:paraId="563929AE" w14:textId="77777777" w:rsidR="00240EEF" w:rsidRPr="00223018" w:rsidRDefault="00240EEF" w:rsidP="00240EEF">
      <w:pPr>
        <w:numPr>
          <w:ilvl w:val="0"/>
          <w:numId w:val="17"/>
        </w:numPr>
        <w:tabs>
          <w:tab w:val="left" w:pos="142"/>
          <w:tab w:val="left" w:pos="284"/>
        </w:tabs>
        <w:spacing w:after="0" w:line="276" w:lineRule="auto"/>
        <w:ind w:left="0" w:firstLine="0"/>
        <w:jc w:val="both"/>
        <w:rPr>
          <w:rFonts w:ascii="Verdana" w:eastAsia="Century Gothic" w:hAnsi="Verdana" w:cs="Century Gothic"/>
          <w:b/>
          <w:bCs/>
        </w:rPr>
      </w:pPr>
      <w:r w:rsidRPr="00223018">
        <w:rPr>
          <w:rFonts w:ascii="Verdana" w:eastAsia="Century Gothic" w:hAnsi="Verdana" w:cs="Century Gothic"/>
          <w:b/>
          <w:bCs/>
        </w:rPr>
        <w:t>Doctrina de la Agencia Nacional de Contratación Pública:</w:t>
      </w:r>
    </w:p>
    <w:p w14:paraId="6A00D0B3" w14:textId="77777777" w:rsidR="00240EEF" w:rsidRPr="00223018" w:rsidRDefault="00240EEF" w:rsidP="00240EEF">
      <w:pPr>
        <w:widowControl w:val="0"/>
        <w:autoSpaceDE w:val="0"/>
        <w:autoSpaceDN w:val="0"/>
        <w:spacing w:after="0" w:line="276" w:lineRule="auto"/>
        <w:jc w:val="both"/>
        <w:rPr>
          <w:rFonts w:ascii="Verdana" w:eastAsia="Aptos" w:hAnsi="Verdana" w:cs="Arial"/>
        </w:rPr>
      </w:pPr>
    </w:p>
    <w:p w14:paraId="0DA4DA35" w14:textId="06722BD9" w:rsidR="00240EEF" w:rsidRPr="00223018" w:rsidRDefault="000400B2" w:rsidP="00240EEF">
      <w:pPr>
        <w:widowControl w:val="0"/>
        <w:autoSpaceDE w:val="0"/>
        <w:autoSpaceDN w:val="0"/>
        <w:spacing w:after="0" w:line="276" w:lineRule="auto"/>
        <w:jc w:val="both"/>
        <w:rPr>
          <w:rFonts w:ascii="Verdana" w:eastAsia="Aptos" w:hAnsi="Verdana" w:cs="Arial"/>
          <w:color w:val="FF0000"/>
          <w:shd w:val="clear" w:color="auto" w:fill="FFFFFF"/>
          <w:lang w:val="es-ES"/>
        </w:rPr>
      </w:pPr>
      <w:r>
        <w:rPr>
          <w:rFonts w:ascii="Verdana" w:eastAsia="Calibri" w:hAnsi="Verdana" w:cs="Arial"/>
          <w:lang w:val="es-ES" w:eastAsia="es-ES_tradnl"/>
        </w:rPr>
        <w:t>L</w:t>
      </w:r>
      <w:r w:rsidR="00240EEF" w:rsidRPr="00223018">
        <w:rPr>
          <w:rFonts w:ascii="Verdana" w:eastAsia="Calibri" w:hAnsi="Verdana" w:cs="Arial"/>
          <w:lang w:val="es-ES" w:eastAsia="es-ES_tradnl"/>
        </w:rPr>
        <w:t xml:space="preserve">a </w:t>
      </w:r>
      <w:r w:rsidR="00240EEF" w:rsidRPr="00223018">
        <w:rPr>
          <w:rFonts w:ascii="Verdana" w:eastAsia="Calibri" w:hAnsi="Verdana" w:cs="Arial"/>
          <w:shd w:val="clear" w:color="auto" w:fill="FFFFFF"/>
          <w:lang w:val="es-ES"/>
        </w:rPr>
        <w:t xml:space="preserve">Agencia Nacional de Contratación Pública − Colombia Compra Eficiente, </w:t>
      </w:r>
      <w:r w:rsidR="00240EEF" w:rsidRPr="00223018">
        <w:rPr>
          <w:rFonts w:ascii="Verdana" w:eastAsia="Times New Roman" w:hAnsi="Verdana" w:cs="Arial"/>
          <w:lang w:val="es-ES_tradnl" w:eastAsia="es-ES_tradnl"/>
        </w:rPr>
        <w:t xml:space="preserve">se ha pronunciado sobre </w:t>
      </w:r>
      <w:r w:rsidR="00240EEF" w:rsidRPr="00223018">
        <w:rPr>
          <w:rFonts w:ascii="Verdana" w:eastAsia="Times New Roman" w:hAnsi="Verdana" w:cs="Arial"/>
          <w:lang w:eastAsia="es-ES_tradnl"/>
        </w:rPr>
        <w:t xml:space="preserve">el alcance del artículo 56 de la Ley 2195 de 2022, específicamente, a partir del concepto C-066 del 28 de enero de 2022, cuya tesis se desarrolló y complementó los conceptos C-320 del 20 de mayo de 2022, C-333 del 24 de mayo de 2022, C-404 del 26 de mayo de 2023, C-382 del 27 de mayo de 2022, C-388 del 15 de junio de 2022, C-423 del 5 de julio de 2022, C-435 del 6 de julio de 2023, C-453 del 15 de julio de 2022, C-494 del 26 de julio de 2022, C-483 del 5 de agosto de 2022, C-496 del 3 de agosto de 2022, C-556 del 3 de agosto de 2022, C-532 del 22 de agosto de 2022, C-341 del 27 de mayo de 2022, C-382 del 27 de mayo de 2022, C-449 del 25 de julio de 2022, C-453 del 14 de julio de 2022,  C-488 del 29 de julio de 2022, C-494 del 28 de julio de 2022 y C-501 del 29 de julio de 2022, entre otros. </w:t>
      </w:r>
      <w:r w:rsidR="00240EEF" w:rsidRPr="00223018">
        <w:rPr>
          <w:rFonts w:ascii="Verdana" w:eastAsia="Aptos" w:hAnsi="Verdana" w:cs="Arial"/>
          <w:shd w:val="clear" w:color="auto" w:fill="FFFFFF"/>
          <w:lang w:val="es-ES"/>
        </w:rPr>
        <w:t>Es</w:t>
      </w:r>
      <w:r w:rsidR="00240EEF" w:rsidRPr="00223018">
        <w:rPr>
          <w:rFonts w:ascii="Verdana" w:eastAsia="Aptos" w:hAnsi="Verdana" w:cs="Times New Roman"/>
        </w:rPr>
        <w:t>tos y otros conceptos se encuentran disponibles para consulta en el Sistema de relatoría de la Agencia, al cual se puede acceder a través del siguiente enlace:</w:t>
      </w:r>
      <w:r w:rsidR="00240EEF" w:rsidRPr="00223018">
        <w:rPr>
          <w:rFonts w:ascii="Verdana" w:eastAsia="Aptos" w:hAnsi="Verdana" w:cs="Arial"/>
          <w:shd w:val="clear" w:color="auto" w:fill="FFFFFF"/>
          <w:lang w:val="es-ES"/>
        </w:rPr>
        <w:t xml:space="preserve"> </w:t>
      </w:r>
      <w:hyperlink r:id="rId14" w:history="1">
        <w:r w:rsidR="00240EEF" w:rsidRPr="00223018">
          <w:rPr>
            <w:rFonts w:ascii="Verdana" w:eastAsia="Aptos" w:hAnsi="Verdana" w:cs="Arial"/>
            <w:color w:val="0000FF"/>
            <w:u w:val="single"/>
            <w:shd w:val="clear" w:color="auto" w:fill="FFFFFF"/>
            <w:lang w:val="es-ES"/>
          </w:rPr>
          <w:t>https://relatoria.colombiacompra.gov.co/busqueda/conceptos</w:t>
        </w:r>
      </w:hyperlink>
      <w:r w:rsidR="00240EEF" w:rsidRPr="00223018">
        <w:rPr>
          <w:rFonts w:ascii="Verdana" w:eastAsia="Aptos" w:hAnsi="Verdana" w:cs="Arial"/>
          <w:color w:val="FF0000"/>
          <w:shd w:val="clear" w:color="auto" w:fill="FFFFFF"/>
          <w:lang w:val="es-ES"/>
        </w:rPr>
        <w:t xml:space="preserve">. </w:t>
      </w:r>
    </w:p>
    <w:p w14:paraId="0853E1AC" w14:textId="77777777" w:rsidR="00240EEF" w:rsidRPr="00223018" w:rsidRDefault="00240EEF" w:rsidP="00240EEF">
      <w:pPr>
        <w:widowControl w:val="0"/>
        <w:autoSpaceDE w:val="0"/>
        <w:autoSpaceDN w:val="0"/>
        <w:spacing w:after="0" w:line="276" w:lineRule="auto"/>
        <w:jc w:val="both"/>
        <w:rPr>
          <w:rFonts w:ascii="Verdana" w:eastAsia="Aptos" w:hAnsi="Verdana" w:cs="Arial"/>
          <w:color w:val="FF0000"/>
          <w:shd w:val="clear" w:color="auto" w:fill="FFFFFF"/>
          <w:lang w:val="es-ES"/>
        </w:rPr>
      </w:pPr>
    </w:p>
    <w:p w14:paraId="150542BA" w14:textId="77777777" w:rsidR="00983DD3" w:rsidRPr="00D126E1" w:rsidRDefault="00240EEF" w:rsidP="00983DD3">
      <w:pPr>
        <w:widowControl w:val="0"/>
        <w:autoSpaceDE w:val="0"/>
        <w:autoSpaceDN w:val="0"/>
        <w:spacing w:after="0" w:line="276" w:lineRule="auto"/>
        <w:jc w:val="both"/>
        <w:rPr>
          <w:rFonts w:ascii="Verdana" w:eastAsia="Times New Roman" w:hAnsi="Verdana" w:cs="Arial"/>
          <w:shd w:val="clear" w:color="auto" w:fill="FFFFFF"/>
          <w:lang w:val="es-ES"/>
        </w:rPr>
      </w:pPr>
      <w:r w:rsidRPr="00223018">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00983DD3" w:rsidRPr="00D126E1">
          <w:rPr>
            <w:rFonts w:ascii="Verdana" w:eastAsia="Calibri" w:hAnsi="Verdana" w:cs="Arial"/>
            <w:color w:val="000000"/>
            <w:u w:val="single"/>
            <w:shd w:val="clear" w:color="auto" w:fill="FFFFFF"/>
          </w:rPr>
          <w:t>https://relatoria.colombiacompra.gov.co/</w:t>
        </w:r>
      </w:hyperlink>
      <w:r w:rsidR="00983DD3" w:rsidRPr="00D126E1">
        <w:rPr>
          <w:rFonts w:ascii="Verdana" w:eastAsia="Calibri" w:hAnsi="Verdana" w:cs="Arial"/>
          <w:color w:val="000000"/>
          <w:shd w:val="clear" w:color="auto" w:fill="FFFFFF"/>
        </w:rPr>
        <w:t> .</w:t>
      </w:r>
    </w:p>
    <w:p w14:paraId="05DD98BD" w14:textId="77777777" w:rsidR="00983DD3" w:rsidRPr="00D126E1" w:rsidRDefault="00983DD3" w:rsidP="00983DD3">
      <w:pPr>
        <w:spacing w:after="0" w:line="240" w:lineRule="auto"/>
        <w:jc w:val="both"/>
        <w:rPr>
          <w:rFonts w:ascii="Verdana" w:eastAsia="Calibri" w:hAnsi="Verdana" w:cs="Arial"/>
          <w:color w:val="000000"/>
          <w:shd w:val="clear" w:color="auto" w:fill="FFFFFF"/>
        </w:rPr>
      </w:pPr>
    </w:p>
    <w:bookmarkEnd w:id="4"/>
    <w:p w14:paraId="213942DC" w14:textId="77777777" w:rsidR="00240EEF" w:rsidRPr="00223018" w:rsidRDefault="00240EEF" w:rsidP="00240EEF">
      <w:pPr>
        <w:shd w:val="clear" w:color="auto" w:fill="FFFFFF"/>
        <w:spacing w:line="240" w:lineRule="auto"/>
        <w:jc w:val="both"/>
        <w:rPr>
          <w:rFonts w:ascii="Verdana" w:eastAsia="Aptos" w:hAnsi="Verdana" w:cs="Times New Roman"/>
          <w:color w:val="212121"/>
        </w:rPr>
      </w:pPr>
      <w:r w:rsidRPr="00223018">
        <w:rPr>
          <w:rFonts w:ascii="Verdana" w:eastAsia="Aptos" w:hAnsi="Verdana" w:cs="Times New Roman"/>
          <w:color w:val="000000"/>
        </w:rPr>
        <w:t>Te informamos que ya se encuentra disponible la </w:t>
      </w:r>
      <w:r w:rsidRPr="00223018">
        <w:rPr>
          <w:rFonts w:ascii="Verdana" w:eastAsia="Aptos" w:hAnsi="Verdana" w:cs="Times New Roman"/>
          <w:b/>
          <w:bCs/>
          <w:color w:val="000000"/>
        </w:rPr>
        <w:t>Cartilla para incentivar y fortalecer el acceso a las compras y contratación pública de los pueblos y comunidades étnicas en Colombia.</w:t>
      </w:r>
      <w:r w:rsidRPr="00223018">
        <w:rPr>
          <w:rFonts w:ascii="Verdana" w:eastAsia="Aptos" w:hAnsi="Verdana" w:cs="Times New Roman"/>
          <w:color w:val="000000"/>
        </w:rPr>
        <w:t xml:space="preserve"> Esta cartilla es una apuesta de la </w:t>
      </w:r>
      <w:r w:rsidRPr="00223018">
        <w:rPr>
          <w:rFonts w:ascii="Verdana" w:eastAsia="Aptos" w:hAnsi="Verdana" w:cs="Times New Roman"/>
          <w:color w:val="000000"/>
        </w:rPr>
        <w:lastRenderedPageBreak/>
        <w:t>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6" w:tooltip="Original URL:&#10;https://www.colombiacompra.gov.co/manuales-guias-y-pliegos-tipo/manuales-y-guias/cartilla-para-incentivar-y-fortalecer-el-acceso-las&#10;&#10;Click to follow link." w:history="1">
        <w:r w:rsidRPr="00223018">
          <w:rPr>
            <w:rFonts w:ascii="Verdana" w:eastAsia="Aptos" w:hAnsi="Verdana" w:cs="Times New Roman"/>
            <w:color w:val="467886"/>
            <w:u w:val="single"/>
          </w:rPr>
          <w:t>Cartilla para incentivar y fortalecer el acceso a las compras y contratación pública de los pueblos y comunidades étnicas en Colombia | Colombia Compra Eficiente | Agencia Nacional de Contratación Pública</w:t>
        </w:r>
      </w:hyperlink>
    </w:p>
    <w:p w14:paraId="2CC6AE3E" w14:textId="77777777" w:rsidR="00240EEF" w:rsidRPr="00223018" w:rsidRDefault="00240EEF" w:rsidP="00240EEF">
      <w:pPr>
        <w:jc w:val="both"/>
        <w:rPr>
          <w:rFonts w:ascii="Verdana" w:eastAsia="Aptos" w:hAnsi="Verdana" w:cs="Times New Roman"/>
          <w:color w:val="212121"/>
        </w:rPr>
      </w:pPr>
      <w:r w:rsidRPr="00223018">
        <w:rPr>
          <w:rFonts w:ascii="Verdana" w:eastAsia="Aptos" w:hAnsi="Verdana" w:cs="Times New Roman"/>
          <w:color w:val="000000"/>
        </w:rPr>
        <w:t>De otra parte, te informamos que, con el objetivo de garantizar un conocimiento adecuado de las </w:t>
      </w:r>
      <w:r w:rsidRPr="00223018">
        <w:rPr>
          <w:rFonts w:ascii="Verdana" w:eastAsia="Aptos" w:hAnsi="Verdana" w:cs="Times New Roman"/>
          <w:b/>
          <w:bCs/>
          <w:color w:val="000000"/>
        </w:rPr>
        <w:t>modificaciones y/o actualizaciones realizadas a los Documentos Tipo</w:t>
      </w:r>
      <w:r w:rsidRPr="00223018">
        <w:rPr>
          <w:rFonts w:ascii="Verdana" w:eastAsia="Aptos" w:hAnsi="Verdana" w:cs="Times New Roman"/>
          <w:color w:val="000000"/>
        </w:rPr>
        <w:t>, hemos programado una serie de </w:t>
      </w:r>
      <w:r w:rsidRPr="00223018">
        <w:rPr>
          <w:rFonts w:ascii="Verdana" w:eastAsia="Aptos" w:hAnsi="Verdana" w:cs="Times New Roman"/>
          <w:b/>
          <w:bCs/>
          <w:color w:val="000000"/>
        </w:rPr>
        <w:t>capacitaciones </w:t>
      </w:r>
      <w:r w:rsidRPr="00223018">
        <w:rPr>
          <w:rFonts w:ascii="Verdana" w:eastAsia="Aptos" w:hAnsi="Verdana" w:cs="Times New Roman"/>
          <w:color w:val="000000"/>
        </w:rPr>
        <w:t>dirigidas a todos los actores involucrados en los procesos de selección. Podrás conocer la programación y realizar tu inscripción a estas capacitaciones a través del siguiente enlace: </w:t>
      </w:r>
      <w:hyperlink r:id="rId17" w:tooltip="Original URL:&#10;https://www.colombiacompra.gov.co/ciudadanos/calendario&#10;&#10;Click to follow link." w:history="1">
        <w:r w:rsidRPr="00223018">
          <w:rPr>
            <w:rFonts w:ascii="Verdana" w:eastAsia="Aptos" w:hAnsi="Verdana" w:cs="Times New Roman"/>
            <w:color w:val="467886"/>
            <w:u w:val="single"/>
          </w:rPr>
          <w:t>Calendario | Colombia Compra Eficiente | Agencia Nacional de Contratación Pública</w:t>
        </w:r>
      </w:hyperlink>
    </w:p>
    <w:p w14:paraId="5D173C77" w14:textId="77777777" w:rsidR="00240EEF" w:rsidRPr="00223018" w:rsidRDefault="00240EEF" w:rsidP="00240EEF">
      <w:pPr>
        <w:spacing w:after="0"/>
        <w:jc w:val="both"/>
        <w:rPr>
          <w:rFonts w:ascii="Verdana" w:eastAsia="Aptos" w:hAnsi="Verdana" w:cs="Times New Roman"/>
          <w:color w:val="212121"/>
        </w:rPr>
      </w:pPr>
      <w:r w:rsidRPr="00223018">
        <w:rPr>
          <w:rFonts w:ascii="Verdana" w:eastAsia="Aptos" w:hAnsi="Verdana" w:cs="Times New Roman"/>
          <w:color w:val="000000"/>
        </w:rPr>
        <w:t>También, te contamos que ya publicamos </w:t>
      </w:r>
      <w:r w:rsidRPr="00223018">
        <w:rPr>
          <w:rFonts w:ascii="Verdana" w:eastAsia="Aptos" w:hAnsi="Verdana" w:cs="Times New Roman"/>
          <w:b/>
          <w:bCs/>
          <w:color w:val="000000"/>
        </w:rPr>
        <w:t>la nueva Guía de Contratación Pública Sostenible y Socialmente Responsable</w:t>
      </w:r>
      <w:r w:rsidRPr="00223018">
        <w:rPr>
          <w:rFonts w:ascii="Verdana" w:eastAsia="Aptos" w:hAnsi="Verdana" w:cs="Times New Roman"/>
          <w:color w:val="000000"/>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8" w:tooltip="Original URL:&#10;https://www.colombiacompra.gov.co/manuales-guias-y-pliegos-tipo/manuales-y-guias/guia-de-contratacion-publica-sostenible-y-socialmente&#10;&#10;Click to follow link." w:history="1">
        <w:r w:rsidRPr="00223018">
          <w:rPr>
            <w:rFonts w:ascii="Verdana" w:eastAsia="Aptos" w:hAnsi="Verdana" w:cs="Times New Roman"/>
            <w:color w:val="467886"/>
            <w:u w:val="single"/>
          </w:rPr>
          <w:t>Guía de Contratación Pública Sostenible y Socialmente Responsable | Colombia Compra Eficiente | Agencia Nacional de Contratación Pública</w:t>
        </w:r>
      </w:hyperlink>
    </w:p>
    <w:p w14:paraId="5F77870E" w14:textId="77777777" w:rsidR="00240EEF" w:rsidRPr="00223018" w:rsidRDefault="00240EEF" w:rsidP="00240EEF">
      <w:pPr>
        <w:widowControl w:val="0"/>
        <w:autoSpaceDE w:val="0"/>
        <w:autoSpaceDN w:val="0"/>
        <w:spacing w:after="0" w:line="276" w:lineRule="auto"/>
        <w:jc w:val="both"/>
        <w:rPr>
          <w:rFonts w:ascii="Verdana" w:eastAsia="Aptos" w:hAnsi="Verdana" w:cs="Arial"/>
          <w:color w:val="FF0000"/>
          <w:shd w:val="clear" w:color="auto" w:fill="FFFFFF"/>
          <w:lang w:val="es-ES"/>
        </w:rPr>
      </w:pPr>
    </w:p>
    <w:p w14:paraId="07851E86" w14:textId="77777777" w:rsidR="00240EEF" w:rsidRPr="00223018" w:rsidRDefault="00240EEF" w:rsidP="00240EEF">
      <w:pPr>
        <w:spacing w:after="0" w:line="240" w:lineRule="auto"/>
        <w:jc w:val="both"/>
        <w:rPr>
          <w:rFonts w:ascii="Verdana" w:eastAsia="Aptos" w:hAnsi="Verdana" w:cs="Times New Roman"/>
        </w:rPr>
      </w:pPr>
      <w:r w:rsidRPr="00223018">
        <w:rPr>
          <w:rFonts w:ascii="Verdana" w:eastAsia="Aptos" w:hAnsi="Verdana" w:cs="Times New Roman"/>
        </w:rPr>
        <w:t>Por último, lo invitamos a seguirnos en las redes sociales en las cuales se difunde información institucional:</w:t>
      </w:r>
    </w:p>
    <w:p w14:paraId="18F0A684" w14:textId="77777777" w:rsidR="00983DD3" w:rsidRPr="00223018" w:rsidRDefault="00983DD3" w:rsidP="00983DD3">
      <w:pPr>
        <w:spacing w:after="0" w:line="240" w:lineRule="auto"/>
        <w:jc w:val="both"/>
        <w:rPr>
          <w:rFonts w:ascii="Verdana" w:eastAsia="Aptos" w:hAnsi="Verdana" w:cs="Times New Roman"/>
        </w:rPr>
      </w:pPr>
    </w:p>
    <w:p w14:paraId="6330D364" w14:textId="77777777" w:rsidR="00983DD3" w:rsidRPr="00223018" w:rsidRDefault="00983DD3" w:rsidP="00983DD3">
      <w:pPr>
        <w:spacing w:after="0" w:line="240" w:lineRule="auto"/>
        <w:jc w:val="both"/>
        <w:rPr>
          <w:rFonts w:ascii="Verdana" w:eastAsia="Aptos" w:hAnsi="Verdana" w:cs="Times New Roman"/>
        </w:rPr>
      </w:pPr>
      <w:r w:rsidRPr="00223018">
        <w:rPr>
          <w:rFonts w:ascii="Verdana" w:eastAsia="Aptos" w:hAnsi="Verdana" w:cs="Times New Roman"/>
        </w:rPr>
        <w:t xml:space="preserve">Twitter: </w:t>
      </w:r>
      <w:r w:rsidRPr="00223018">
        <w:rPr>
          <w:rFonts w:ascii="Verdana" w:eastAsia="Aptos" w:hAnsi="Verdana" w:cs="Times New Roman"/>
          <w:color w:val="156082"/>
          <w:u w:val="single"/>
        </w:rPr>
        <w:t>@colombiacompra</w:t>
      </w:r>
      <w:r w:rsidRPr="00223018">
        <w:rPr>
          <w:rFonts w:ascii="Verdana" w:eastAsia="Aptos" w:hAnsi="Verdana" w:cs="Times New Roman"/>
          <w:color w:val="156082"/>
        </w:rPr>
        <w:t xml:space="preserve"> </w:t>
      </w:r>
    </w:p>
    <w:p w14:paraId="632AA16E" w14:textId="77777777" w:rsidR="00983DD3" w:rsidRPr="00223018" w:rsidRDefault="00983DD3" w:rsidP="00983DD3">
      <w:pPr>
        <w:spacing w:after="0" w:line="240" w:lineRule="auto"/>
        <w:jc w:val="both"/>
        <w:rPr>
          <w:rFonts w:ascii="Verdana" w:eastAsia="Aptos" w:hAnsi="Verdana" w:cs="Times New Roman"/>
        </w:rPr>
      </w:pPr>
      <w:r w:rsidRPr="00223018">
        <w:rPr>
          <w:rFonts w:ascii="Verdana" w:eastAsia="Aptos" w:hAnsi="Verdana" w:cs="Times New Roman"/>
        </w:rPr>
        <w:t xml:space="preserve">Facebook: </w:t>
      </w:r>
      <w:proofErr w:type="spellStart"/>
      <w:r w:rsidRPr="00223018">
        <w:rPr>
          <w:rFonts w:ascii="Verdana" w:eastAsia="Aptos" w:hAnsi="Verdana" w:cs="Times New Roman"/>
          <w:color w:val="156082"/>
          <w:u w:val="single"/>
        </w:rPr>
        <w:t>ColombiaCompraEficiente</w:t>
      </w:r>
      <w:proofErr w:type="spellEnd"/>
    </w:p>
    <w:p w14:paraId="757FEDB2" w14:textId="77777777" w:rsidR="00983DD3" w:rsidRPr="00223018" w:rsidRDefault="00983DD3" w:rsidP="00983DD3">
      <w:pPr>
        <w:spacing w:after="0" w:line="240" w:lineRule="auto"/>
        <w:jc w:val="both"/>
        <w:rPr>
          <w:rFonts w:ascii="Verdana" w:eastAsia="Aptos" w:hAnsi="Verdana" w:cs="Times New Roman"/>
        </w:rPr>
      </w:pPr>
      <w:r w:rsidRPr="00223018">
        <w:rPr>
          <w:rFonts w:ascii="Verdana" w:eastAsia="Aptos" w:hAnsi="Verdana" w:cs="Times New Roman"/>
        </w:rPr>
        <w:t xml:space="preserve">LinkedIn: </w:t>
      </w:r>
      <w:r w:rsidRPr="00223018">
        <w:rPr>
          <w:rFonts w:ascii="Verdana" w:eastAsia="Aptos" w:hAnsi="Verdana" w:cs="Times New Roman"/>
          <w:color w:val="156082"/>
          <w:u w:val="single"/>
        </w:rPr>
        <w:t>Agencia Nacional de Contratación Pública - Colombia Compra Eficiente</w:t>
      </w:r>
      <w:r w:rsidRPr="00223018">
        <w:rPr>
          <w:rFonts w:ascii="Verdana" w:eastAsia="Aptos" w:hAnsi="Verdana" w:cs="Times New Roman"/>
          <w:color w:val="156082"/>
        </w:rPr>
        <w:t xml:space="preserve"> </w:t>
      </w:r>
      <w:r w:rsidRPr="00223018">
        <w:rPr>
          <w:rFonts w:ascii="Verdana" w:eastAsia="Aptos" w:hAnsi="Verdana" w:cs="Times New Roman"/>
        </w:rPr>
        <w:t xml:space="preserve">Instagram: </w:t>
      </w:r>
      <w:r w:rsidRPr="00223018">
        <w:rPr>
          <w:rFonts w:ascii="Verdana" w:eastAsia="Aptos" w:hAnsi="Verdana" w:cs="Times New Roman"/>
          <w:color w:val="156082"/>
          <w:u w:val="single"/>
        </w:rPr>
        <w:t>@colombiacompraeficiente_cce</w:t>
      </w:r>
    </w:p>
    <w:p w14:paraId="47CEC5B7" w14:textId="77777777" w:rsidR="00983DD3" w:rsidRPr="00223018" w:rsidRDefault="00983DD3" w:rsidP="00240EEF">
      <w:pPr>
        <w:widowControl w:val="0"/>
        <w:autoSpaceDE w:val="0"/>
        <w:autoSpaceDN w:val="0"/>
        <w:spacing w:after="0" w:line="276" w:lineRule="auto"/>
        <w:jc w:val="both"/>
        <w:rPr>
          <w:rFonts w:ascii="Verdana" w:eastAsia="Aptos" w:hAnsi="Verdana" w:cs="Arial"/>
          <w:color w:val="FF0000"/>
          <w:shd w:val="clear" w:color="auto" w:fill="FFFFFF"/>
          <w:lang w:val="es-ES"/>
        </w:rPr>
      </w:pPr>
    </w:p>
    <w:p w14:paraId="6283E7A7" w14:textId="77777777" w:rsidR="00983DD3" w:rsidRPr="00223018" w:rsidRDefault="00983DD3" w:rsidP="00240EEF">
      <w:pPr>
        <w:widowControl w:val="0"/>
        <w:autoSpaceDE w:val="0"/>
        <w:autoSpaceDN w:val="0"/>
        <w:spacing w:after="0" w:line="276" w:lineRule="auto"/>
        <w:jc w:val="both"/>
        <w:rPr>
          <w:rFonts w:ascii="Verdana" w:eastAsia="Aptos" w:hAnsi="Verdana" w:cs="Arial"/>
          <w:lang w:val="es-ES_tradnl"/>
        </w:rPr>
      </w:pPr>
      <w:r w:rsidRPr="00223018">
        <w:rPr>
          <w:rFonts w:ascii="Verdana" w:eastAsia="Aptos" w:hAnsi="Verdana" w:cs="Arial"/>
        </w:rPr>
        <w:t xml:space="preserve">Este concepto tiene el alcance previsto en el artículo 28 del Código de Procedimiento Administrativo y de lo Contencioso Administrativo </w:t>
      </w:r>
      <w:r w:rsidRPr="00223018">
        <w:rPr>
          <w:rFonts w:ascii="Verdana" w:eastAsia="Aptos" w:hAnsi="Verdana" w:cs="Arial"/>
          <w:lang w:val="es-ES_tradnl"/>
        </w:rPr>
        <w:t xml:space="preserve">y las expresiones </w:t>
      </w:r>
      <w:r w:rsidR="00240EEF" w:rsidRPr="00223018">
        <w:rPr>
          <w:rFonts w:ascii="Verdana" w:eastAsia="Aptos" w:hAnsi="Verdana" w:cs="Arial"/>
          <w:lang w:val="es-ES_tradnl"/>
        </w:rPr>
        <w:t>aquí utilizadas con mayúscula inicial deben ser entendidas con el significado que les otorga el artículo 2.2.1.1.1.3.1.</w:t>
      </w:r>
      <w:r w:rsidRPr="00223018">
        <w:rPr>
          <w:rFonts w:ascii="Verdana" w:eastAsia="Aptos" w:hAnsi="Verdana" w:cs="Arial"/>
          <w:lang w:val="es-ES_tradnl"/>
        </w:rPr>
        <w:t xml:space="preserve"> del Decreto 1082 de 2015.</w:t>
      </w:r>
    </w:p>
    <w:p w14:paraId="795ADA44" w14:textId="77777777" w:rsidR="00983DD3" w:rsidRPr="00223018" w:rsidRDefault="00983DD3" w:rsidP="00240EEF">
      <w:pPr>
        <w:widowControl w:val="0"/>
        <w:autoSpaceDE w:val="0"/>
        <w:autoSpaceDN w:val="0"/>
        <w:spacing w:after="0" w:line="276" w:lineRule="auto"/>
        <w:jc w:val="both"/>
        <w:rPr>
          <w:rFonts w:ascii="Verdana" w:eastAsia="Aptos" w:hAnsi="Verdana" w:cs="Arial"/>
        </w:rPr>
      </w:pPr>
    </w:p>
    <w:p w14:paraId="2D74526C" w14:textId="77777777" w:rsidR="00983DD3" w:rsidRPr="00223018" w:rsidRDefault="00983DD3" w:rsidP="00240EEF">
      <w:pPr>
        <w:spacing w:after="0" w:line="240" w:lineRule="auto"/>
        <w:jc w:val="both"/>
        <w:textAlignment w:val="baseline"/>
        <w:rPr>
          <w:rFonts w:ascii="Verdana" w:eastAsia="Times New Roman" w:hAnsi="Verdana" w:cs="Segoe UI"/>
          <w:sz w:val="18"/>
          <w:szCs w:val="18"/>
          <w:lang w:eastAsia="es-CO"/>
        </w:rPr>
      </w:pPr>
      <w:r w:rsidRPr="00223018">
        <w:rPr>
          <w:rFonts w:ascii="Verdana" w:eastAsia="Times New Roman" w:hAnsi="Verdana" w:cs="Arial"/>
          <w:lang w:eastAsia="es-CO"/>
        </w:rPr>
        <w:t>Atentamente,</w:t>
      </w:r>
    </w:p>
    <w:p w14:paraId="628ACC7A" w14:textId="77777777" w:rsidR="00240EEF" w:rsidRPr="00223018" w:rsidRDefault="00240EEF" w:rsidP="00240EEF">
      <w:pPr>
        <w:rPr>
          <w:rFonts w:ascii="Aptos" w:eastAsia="Aptos" w:hAnsi="Aptos" w:cs="Times New Roman"/>
        </w:rPr>
      </w:pPr>
    </w:p>
    <w:p w14:paraId="01D35CF5" w14:textId="77777777" w:rsidR="00240EEF" w:rsidRPr="00AF4B77" w:rsidRDefault="00240EEF" w:rsidP="00240EEF"/>
    <w:p w14:paraId="24A1E76A" w14:textId="3ED6D93C" w:rsidR="00983DD3" w:rsidRPr="00D126E1" w:rsidRDefault="00683CDB" w:rsidP="00983DD3">
      <w:pPr>
        <w:tabs>
          <w:tab w:val="left" w:pos="1320"/>
        </w:tabs>
        <w:jc w:val="center"/>
        <w:rPr>
          <w:rFonts w:ascii="Century Gothic" w:eastAsia="Aptos" w:hAnsi="Century Gothic" w:cs="Times New Roman"/>
        </w:rPr>
      </w:pPr>
      <w:bookmarkStart w:id="7" w:name="_Hlk215231186"/>
      <w:r>
        <w:rPr>
          <w:rFonts w:ascii="Century Gothic" w:eastAsia="Aptos" w:hAnsi="Century Gothic" w:cs="Times New Roman"/>
          <w:noProof/>
        </w:rPr>
        <w:drawing>
          <wp:inline distT="0" distB="0" distL="0" distR="0" wp14:anchorId="5358A1C5" wp14:editId="1B7D67FF">
            <wp:extent cx="4386580" cy="1886060"/>
            <wp:effectExtent l="0" t="0" r="0" b="0"/>
            <wp:docPr id="1231661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661072" name="Imagen 1231661072"/>
                    <pic:cNvPicPr/>
                  </pic:nvPicPr>
                  <pic:blipFill>
                    <a:blip r:embed="rId19">
                      <a:extLst>
                        <a:ext uri="{28A0092B-C50C-407E-A947-70E740481C1C}">
                          <a14:useLocalDpi xmlns:a14="http://schemas.microsoft.com/office/drawing/2010/main" val="0"/>
                        </a:ext>
                      </a:extLst>
                    </a:blip>
                    <a:stretch>
                      <a:fillRect/>
                    </a:stretch>
                  </pic:blipFill>
                  <pic:spPr>
                    <a:xfrm>
                      <a:off x="0" y="0"/>
                      <a:ext cx="4389471" cy="188730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1438A" w:rsidRPr="00593A5F" w14:paraId="5314C3AF" w14:textId="77777777" w:rsidTr="00200275">
        <w:trPr>
          <w:trHeight w:val="315"/>
        </w:trPr>
        <w:tc>
          <w:tcPr>
            <w:tcW w:w="893" w:type="dxa"/>
            <w:vAlign w:val="center"/>
            <w:hideMark/>
          </w:tcPr>
          <w:p w14:paraId="7237A121" w14:textId="77777777" w:rsidR="0071438A" w:rsidRPr="003751C7" w:rsidRDefault="0071438A" w:rsidP="0020027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B2D54BD" w14:textId="77777777" w:rsidR="0071438A" w:rsidRPr="007911EE" w:rsidRDefault="0071438A" w:rsidP="00200275">
            <w:pPr>
              <w:contextualSpacing/>
              <w:rPr>
                <w:rFonts w:ascii="Verdana" w:hAnsi="Verdana"/>
                <w:sz w:val="16"/>
                <w:szCs w:val="16"/>
              </w:rPr>
            </w:pPr>
            <w:r>
              <w:rPr>
                <w:rFonts w:ascii="Verdana" w:hAnsi="Verdana"/>
                <w:sz w:val="16"/>
                <w:szCs w:val="16"/>
              </w:rPr>
              <w:t>Karol Andrea Gonzalez Marin</w:t>
            </w:r>
          </w:p>
          <w:p w14:paraId="7518CA46" w14:textId="77777777" w:rsidR="0071438A" w:rsidRPr="007911EE" w:rsidRDefault="0071438A" w:rsidP="00200275">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71438A" w:rsidRPr="00593A5F" w14:paraId="2DD7E3BA" w14:textId="77777777" w:rsidTr="00200275">
        <w:trPr>
          <w:trHeight w:val="330"/>
        </w:trPr>
        <w:tc>
          <w:tcPr>
            <w:tcW w:w="893" w:type="dxa"/>
            <w:vAlign w:val="center"/>
            <w:hideMark/>
          </w:tcPr>
          <w:p w14:paraId="5EA3EBE9" w14:textId="77777777" w:rsidR="0071438A" w:rsidRPr="003751C7" w:rsidRDefault="0071438A" w:rsidP="0020027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19E3398" w14:textId="77777777" w:rsidR="0071438A" w:rsidRDefault="00AC0A97" w:rsidP="00200275">
            <w:pPr>
              <w:spacing w:line="276" w:lineRule="auto"/>
              <w:contextualSpacing/>
              <w:jc w:val="both"/>
              <w:rPr>
                <w:rFonts w:ascii="Verdana" w:hAnsi="Verdana"/>
                <w:sz w:val="16"/>
                <w:szCs w:val="16"/>
              </w:rPr>
            </w:pPr>
            <w:r w:rsidRPr="00AC0A97">
              <w:rPr>
                <w:rFonts w:ascii="Verdana" w:hAnsi="Verdana"/>
                <w:sz w:val="16"/>
                <w:szCs w:val="16"/>
              </w:rPr>
              <w:t xml:space="preserve">Adriana </w:t>
            </w:r>
            <w:proofErr w:type="spellStart"/>
            <w:r w:rsidRPr="00AC0A97">
              <w:rPr>
                <w:rFonts w:ascii="Verdana" w:hAnsi="Verdana"/>
                <w:sz w:val="16"/>
                <w:szCs w:val="16"/>
              </w:rPr>
              <w:t>Katerine</w:t>
            </w:r>
            <w:proofErr w:type="spellEnd"/>
            <w:r w:rsidRPr="00AC0A97">
              <w:rPr>
                <w:rFonts w:ascii="Verdana" w:hAnsi="Verdana"/>
                <w:sz w:val="16"/>
                <w:szCs w:val="16"/>
              </w:rPr>
              <w:t xml:space="preserve"> </w:t>
            </w:r>
            <w:proofErr w:type="spellStart"/>
            <w:r w:rsidRPr="00AC0A97">
              <w:rPr>
                <w:rFonts w:ascii="Verdana" w:hAnsi="Verdana"/>
                <w:sz w:val="16"/>
                <w:szCs w:val="16"/>
              </w:rPr>
              <w:t>Lopez</w:t>
            </w:r>
            <w:proofErr w:type="spellEnd"/>
            <w:r w:rsidRPr="00AC0A97">
              <w:rPr>
                <w:rFonts w:ascii="Verdana" w:hAnsi="Verdana"/>
                <w:sz w:val="16"/>
                <w:szCs w:val="16"/>
              </w:rPr>
              <w:t xml:space="preserve"> </w:t>
            </w:r>
            <w:proofErr w:type="spellStart"/>
            <w:r w:rsidRPr="00AC0A97">
              <w:rPr>
                <w:rFonts w:ascii="Verdana" w:hAnsi="Verdana"/>
                <w:sz w:val="16"/>
                <w:szCs w:val="16"/>
              </w:rPr>
              <w:t>Rodriguez</w:t>
            </w:r>
            <w:proofErr w:type="spellEnd"/>
          </w:p>
          <w:p w14:paraId="3D2E21EA" w14:textId="77777777" w:rsidR="0071438A" w:rsidRPr="007911EE" w:rsidRDefault="0071438A" w:rsidP="00200275">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71438A" w:rsidRPr="00593A5F" w14:paraId="3EF2A090" w14:textId="77777777" w:rsidTr="000F3C54">
        <w:trPr>
          <w:trHeight w:val="70"/>
        </w:trPr>
        <w:tc>
          <w:tcPr>
            <w:tcW w:w="893" w:type="dxa"/>
            <w:vAlign w:val="center"/>
          </w:tcPr>
          <w:p w14:paraId="4E48289E" w14:textId="77777777" w:rsidR="0071438A" w:rsidRPr="003751C7" w:rsidRDefault="0071438A" w:rsidP="00200275">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14B0B44" w14:textId="77777777" w:rsidR="0071438A" w:rsidRPr="00905A2C" w:rsidRDefault="0071438A" w:rsidP="00200275">
            <w:pPr>
              <w:contextualSpacing/>
              <w:rPr>
                <w:rFonts w:ascii="Verdana" w:eastAsia="Calibri" w:hAnsi="Verdana" w:cs="Arial"/>
                <w:sz w:val="16"/>
                <w:szCs w:val="16"/>
                <w:lang w:val="pt-BR" w:eastAsia="es-ES"/>
              </w:rPr>
            </w:pPr>
            <w:r w:rsidRPr="00905A2C">
              <w:rPr>
                <w:rFonts w:ascii="Verdana" w:eastAsia="Calibri" w:hAnsi="Verdana" w:cs="Arial"/>
                <w:sz w:val="16"/>
                <w:szCs w:val="16"/>
                <w:lang w:val="pt-BR" w:eastAsia="es-ES"/>
              </w:rPr>
              <w:t xml:space="preserve">Carolina Quintero </w:t>
            </w:r>
            <w:proofErr w:type="spellStart"/>
            <w:r w:rsidRPr="00905A2C">
              <w:rPr>
                <w:rFonts w:ascii="Verdana" w:eastAsia="Calibri" w:hAnsi="Verdana" w:cs="Arial"/>
                <w:sz w:val="16"/>
                <w:szCs w:val="16"/>
                <w:lang w:val="pt-BR" w:eastAsia="es-ES"/>
              </w:rPr>
              <w:t>Gacharná</w:t>
            </w:r>
            <w:proofErr w:type="spellEnd"/>
          </w:p>
          <w:p w14:paraId="76FC0FAF" w14:textId="77777777" w:rsidR="0071438A" w:rsidRDefault="0071438A" w:rsidP="00200275">
            <w:pPr>
              <w:contextualSpacing/>
              <w:rPr>
                <w:rFonts w:ascii="Verdana" w:hAnsi="Verdana"/>
                <w:sz w:val="16"/>
                <w:szCs w:val="16"/>
              </w:rPr>
            </w:pPr>
            <w:r w:rsidRPr="003222FA">
              <w:rPr>
                <w:rFonts w:ascii="Verdana" w:eastAsia="Calibri" w:hAnsi="Verdana" w:cs="Arial"/>
                <w:sz w:val="16"/>
                <w:szCs w:val="16"/>
                <w:lang w:val="pt-BR" w:eastAsia="es-ES"/>
              </w:rPr>
              <w:t xml:space="preserve">Subdiretora de Gestión Contratual ANCP – CCE </w:t>
            </w:r>
          </w:p>
        </w:tc>
      </w:tr>
    </w:tbl>
    <w:p w14:paraId="7D06950B" w14:textId="77777777" w:rsidR="00983DD3" w:rsidRPr="00F93666" w:rsidRDefault="00983DD3" w:rsidP="00983DD3"/>
    <w:bookmarkEnd w:id="7"/>
    <w:p w14:paraId="0F293BF4" w14:textId="00FA9494" w:rsidR="00127233" w:rsidRPr="00983DD3" w:rsidRDefault="00127233" w:rsidP="00983DD3"/>
    <w:sectPr w:rsidR="00127233" w:rsidRPr="00983DD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A64F54" w14:textId="77777777" w:rsidR="008D4C4A" w:rsidRDefault="008D4C4A" w:rsidP="004A1847">
      <w:pPr>
        <w:spacing w:after="0" w:line="240" w:lineRule="auto"/>
      </w:pPr>
      <w:r>
        <w:separator/>
      </w:r>
    </w:p>
  </w:endnote>
  <w:endnote w:type="continuationSeparator" w:id="0">
    <w:p w14:paraId="354C52F6" w14:textId="77777777" w:rsidR="008D4C4A" w:rsidRDefault="008D4C4A" w:rsidP="004A1847">
      <w:pPr>
        <w:spacing w:after="0" w:line="240" w:lineRule="auto"/>
      </w:pPr>
      <w:r>
        <w:continuationSeparator/>
      </w:r>
    </w:p>
  </w:endnote>
  <w:endnote w:type="continuationNotice" w:id="1">
    <w:p w14:paraId="3C74238C" w14:textId="77777777" w:rsidR="008D4C4A" w:rsidRDefault="008D4C4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6C2A6B"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6C2A6B">
      <w:rPr>
        <w:rFonts w:ascii="Century Gothic" w:eastAsia="Geo" w:hAnsi="Century Gothic" w:cs="Geo"/>
        <w:b/>
        <w:color w:val="000000" w:themeColor="text1"/>
        <w:sz w:val="16"/>
        <w:szCs w:val="16"/>
        <w:lang w:val="pt-PT" w:eastAsia="es-CO"/>
      </w:rPr>
      <w:t xml:space="preserve">Código: </w:t>
    </w:r>
    <w:r w:rsidRPr="006C2A6B">
      <w:rPr>
        <w:rFonts w:ascii="Century Gothic" w:eastAsia="Geo" w:hAnsi="Century Gothic" w:cs="Geo"/>
        <w:color w:val="000000" w:themeColor="text1"/>
        <w:sz w:val="16"/>
        <w:szCs w:val="16"/>
        <w:lang w:val="pt-PT" w:eastAsia="es-CO"/>
      </w:rPr>
      <w:t xml:space="preserve">CCE-REC-FM-17 </w:t>
    </w:r>
    <w:r w:rsidRPr="006C2A6B">
      <w:rPr>
        <w:rFonts w:ascii="Century Gothic" w:eastAsia="Geo" w:hAnsi="Century Gothic" w:cs="Geo"/>
        <w:b/>
        <w:color w:val="000000" w:themeColor="text1"/>
        <w:sz w:val="16"/>
        <w:szCs w:val="16"/>
        <w:lang w:val="pt-PT" w:eastAsia="es-CO"/>
      </w:rPr>
      <w:t>V</w:t>
    </w:r>
    <w:r w:rsidRPr="006C2A6B">
      <w:rPr>
        <w:rFonts w:ascii="Century Gothic" w:eastAsia="Arial Nova" w:hAnsi="Century Gothic" w:cs="Arial Nova"/>
        <w:b/>
        <w:color w:val="000000" w:themeColor="text1"/>
        <w:sz w:val="16"/>
        <w:szCs w:val="16"/>
        <w:lang w:val="pt-PT" w:eastAsia="es-CO"/>
      </w:rPr>
      <w:t xml:space="preserve">: </w:t>
    </w:r>
    <w:r w:rsidRPr="006C2A6B">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BC27AB" w14:textId="77777777" w:rsidR="008D4C4A" w:rsidRDefault="008D4C4A" w:rsidP="004A1847">
      <w:pPr>
        <w:spacing w:after="0" w:line="240" w:lineRule="auto"/>
      </w:pPr>
      <w:r>
        <w:separator/>
      </w:r>
    </w:p>
  </w:footnote>
  <w:footnote w:type="continuationSeparator" w:id="0">
    <w:p w14:paraId="5D026559" w14:textId="77777777" w:rsidR="008D4C4A" w:rsidRDefault="008D4C4A" w:rsidP="004A1847">
      <w:pPr>
        <w:spacing w:after="0" w:line="240" w:lineRule="auto"/>
      </w:pPr>
      <w:r>
        <w:continuationSeparator/>
      </w:r>
    </w:p>
  </w:footnote>
  <w:footnote w:type="continuationNotice" w:id="1">
    <w:p w14:paraId="0178F500" w14:textId="77777777" w:rsidR="008D4C4A" w:rsidRDefault="008D4C4A">
      <w:pPr>
        <w:spacing w:after="0" w:line="240" w:lineRule="auto"/>
      </w:pPr>
    </w:p>
  </w:footnote>
  <w:footnote w:id="2">
    <w:p w14:paraId="2C9E1D50" w14:textId="77777777" w:rsidR="00240EEF" w:rsidRPr="00223018" w:rsidRDefault="00240EEF" w:rsidP="00240EEF">
      <w:pPr>
        <w:pStyle w:val="Textonotapie"/>
        <w:ind w:firstLine="708"/>
        <w:contextualSpacing/>
        <w:jc w:val="both"/>
        <w:rPr>
          <w:rFonts w:ascii="Verdana" w:hAnsi="Verdana" w:cs="Arial"/>
          <w:color w:val="000000"/>
          <w:sz w:val="16"/>
          <w:szCs w:val="16"/>
        </w:rPr>
      </w:pPr>
      <w:r w:rsidRPr="00223018">
        <w:rPr>
          <w:rStyle w:val="Refdenotaalpie"/>
          <w:rFonts w:ascii="Verdana" w:hAnsi="Verdana" w:cs="Arial"/>
          <w:color w:val="000000"/>
          <w:sz w:val="16"/>
          <w:szCs w:val="16"/>
        </w:rPr>
        <w:footnoteRef/>
      </w:r>
      <w:r w:rsidRPr="00223018">
        <w:rPr>
          <w:rFonts w:ascii="Verdana" w:hAnsi="Verdana" w:cs="Arial"/>
          <w:color w:val="000000"/>
          <w:sz w:val="16"/>
          <w:szCs w:val="16"/>
        </w:rPr>
        <w:t xml:space="preserve"> Los Documentos Tipo expedidos por la Agencia Nacional de Contratación Pública – Colombia Compra Eficiente pueden ser consultados en el siguiente enlace: </w:t>
      </w:r>
      <w:hyperlink r:id="rId1" w:history="1">
        <w:r w:rsidRPr="00223018">
          <w:rPr>
            <w:rStyle w:val="Hipervnculo"/>
            <w:rFonts w:ascii="Verdana" w:hAnsi="Verdana" w:cs="Arial"/>
            <w:color w:val="000000"/>
            <w:sz w:val="16"/>
            <w:szCs w:val="16"/>
          </w:rPr>
          <w:t>https://www.colombiacompra.gov.co/documentos-tipo/documentos-tipo</w:t>
        </w:r>
      </w:hyperlink>
      <w:r w:rsidRPr="00223018">
        <w:rPr>
          <w:rFonts w:ascii="Verdana" w:hAnsi="Verdana" w:cs="Arial"/>
          <w:color w:val="000000"/>
          <w:sz w:val="16"/>
          <w:szCs w:val="16"/>
        </w:rPr>
        <w:t xml:space="preserve"> </w:t>
      </w:r>
    </w:p>
  </w:footnote>
  <w:footnote w:id="3">
    <w:p w14:paraId="48D75C4E" w14:textId="77777777" w:rsidR="00240EEF" w:rsidRPr="00223018" w:rsidRDefault="00240EEF" w:rsidP="00240EEF">
      <w:pPr>
        <w:pStyle w:val="Textonotapie"/>
        <w:ind w:firstLine="708"/>
        <w:contextualSpacing/>
        <w:jc w:val="both"/>
        <w:rPr>
          <w:rFonts w:ascii="Verdana" w:hAnsi="Verdana" w:cs="Arial"/>
          <w:color w:val="000000"/>
          <w:sz w:val="16"/>
          <w:szCs w:val="16"/>
        </w:rPr>
      </w:pPr>
      <w:r w:rsidRPr="00223018">
        <w:rPr>
          <w:rStyle w:val="Refdenotaalpie"/>
          <w:rFonts w:ascii="Verdana" w:hAnsi="Verdana" w:cs="Arial"/>
          <w:color w:val="000000"/>
          <w:sz w:val="16"/>
          <w:szCs w:val="16"/>
        </w:rPr>
        <w:footnoteRef/>
      </w:r>
      <w:r w:rsidRPr="00223018">
        <w:rPr>
          <w:rFonts w:ascii="Verdana" w:hAnsi="Verdana" w:cs="Arial"/>
          <w:color w:val="000000"/>
          <w:sz w:val="16"/>
          <w:szCs w:val="16"/>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4">
    <w:p w14:paraId="08FCF8CD" w14:textId="77777777" w:rsidR="00240EEF" w:rsidRPr="00223018" w:rsidRDefault="00240EEF" w:rsidP="00240EEF">
      <w:pPr>
        <w:pStyle w:val="Textonotapie"/>
        <w:ind w:firstLine="709"/>
        <w:jc w:val="both"/>
        <w:rPr>
          <w:rFonts w:ascii="Verdana" w:hAnsi="Verdana" w:cs="Arial"/>
          <w:color w:val="000000"/>
          <w:sz w:val="19"/>
          <w:szCs w:val="19"/>
        </w:rPr>
      </w:pPr>
      <w:r w:rsidRPr="00223018">
        <w:rPr>
          <w:rStyle w:val="Refdenotaalpie"/>
          <w:rFonts w:ascii="Verdana" w:hAnsi="Verdana" w:cs="Arial"/>
          <w:color w:val="000000"/>
          <w:sz w:val="19"/>
          <w:szCs w:val="19"/>
        </w:rPr>
        <w:footnoteRef/>
      </w:r>
      <w:r w:rsidRPr="00223018">
        <w:rPr>
          <w:rFonts w:ascii="Verdana" w:hAnsi="Verdana" w:cs="Arial"/>
          <w:color w:val="000000"/>
          <w:sz w:val="19"/>
          <w:szCs w:val="19"/>
        </w:rPr>
        <w:t xml:space="preserve"> ». CONGRESO DE LA REPÚBLICA. Gaceta </w:t>
      </w:r>
      <w:proofErr w:type="spellStart"/>
      <w:r w:rsidRPr="00223018">
        <w:rPr>
          <w:rFonts w:ascii="Verdana" w:hAnsi="Verdana" w:cs="Arial"/>
          <w:color w:val="000000"/>
          <w:sz w:val="19"/>
          <w:szCs w:val="19"/>
        </w:rPr>
        <w:t>Nº</w:t>
      </w:r>
      <w:proofErr w:type="spellEnd"/>
      <w:r w:rsidRPr="00223018">
        <w:rPr>
          <w:rFonts w:ascii="Verdana" w:hAnsi="Verdana" w:cs="Arial"/>
          <w:color w:val="000000"/>
          <w:sz w:val="19"/>
          <w:szCs w:val="19"/>
        </w:rPr>
        <w:t xml:space="preserve"> 1677 del 23 de noviembre de 2021. Justificación jurídica del Proyecto de Ley No. 226 de 2021 Cámara. p. 15.</w:t>
      </w:r>
      <w:r w:rsidRPr="00223018">
        <w:rPr>
          <w:rFonts w:ascii="Verdana" w:hAnsi="Verdana" w:cs="Arial"/>
          <w:color w:val="000000"/>
          <w:sz w:val="19"/>
          <w:szCs w:val="19"/>
        </w:rPr>
        <w:cr/>
      </w:r>
    </w:p>
  </w:footnote>
  <w:footnote w:id="5">
    <w:p w14:paraId="119B1C75" w14:textId="5F11DEF3" w:rsidR="00200920" w:rsidRDefault="00200920">
      <w:pPr>
        <w:pStyle w:val="Textonotapie"/>
      </w:pPr>
      <w:r>
        <w:rPr>
          <w:rStyle w:val="Refdenotaalpie"/>
        </w:rPr>
        <w:footnoteRef/>
      </w:r>
      <w:r>
        <w:t xml:space="preserve"> Concepto C 1500 del </w:t>
      </w:r>
      <w:r w:rsidR="004C08E2">
        <w:t xml:space="preserve">24 de octubre de 2025, Expedido por la ANCP – CCE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6BC26BE"/>
    <w:multiLevelType w:val="multilevel"/>
    <w:tmpl w:val="E2989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1241985">
    <w:abstractNumId w:val="6"/>
  </w:num>
  <w:num w:numId="2" w16cid:durableId="192042067">
    <w:abstractNumId w:val="2"/>
  </w:num>
  <w:num w:numId="3" w16cid:durableId="345906469">
    <w:abstractNumId w:val="4"/>
  </w:num>
  <w:num w:numId="4" w16cid:durableId="11909924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35261025">
    <w:abstractNumId w:val="2"/>
  </w:num>
  <w:num w:numId="6" w16cid:durableId="1199855703">
    <w:abstractNumId w:val="14"/>
  </w:num>
  <w:num w:numId="7" w16cid:durableId="1962299694">
    <w:abstractNumId w:val="5"/>
  </w:num>
  <w:num w:numId="8" w16cid:durableId="1292173635">
    <w:abstractNumId w:val="13"/>
  </w:num>
  <w:num w:numId="9" w16cid:durableId="284654318">
    <w:abstractNumId w:val="7"/>
  </w:num>
  <w:num w:numId="10" w16cid:durableId="912933621">
    <w:abstractNumId w:val="12"/>
  </w:num>
  <w:num w:numId="11" w16cid:durableId="750732832">
    <w:abstractNumId w:val="8"/>
  </w:num>
  <w:num w:numId="12" w16cid:durableId="1032265263">
    <w:abstractNumId w:val="1"/>
  </w:num>
  <w:num w:numId="13" w16cid:durableId="753549869">
    <w:abstractNumId w:val="3"/>
  </w:num>
  <w:num w:numId="14" w16cid:durableId="1004431711">
    <w:abstractNumId w:val="15"/>
  </w:num>
  <w:num w:numId="15" w16cid:durableId="1552420060">
    <w:abstractNumId w:val="11"/>
  </w:num>
  <w:num w:numId="16" w16cid:durableId="423693183">
    <w:abstractNumId w:val="9"/>
  </w:num>
  <w:num w:numId="17" w16cid:durableId="1486702006">
    <w:abstractNumId w:val="0"/>
  </w:num>
  <w:num w:numId="18" w16cid:durableId="10615575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0B2"/>
    <w:rsid w:val="00046945"/>
    <w:rsid w:val="000477A6"/>
    <w:rsid w:val="00061B2A"/>
    <w:rsid w:val="00075870"/>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00920"/>
    <w:rsid w:val="00201B5B"/>
    <w:rsid w:val="0022400B"/>
    <w:rsid w:val="00240EEF"/>
    <w:rsid w:val="002421BB"/>
    <w:rsid w:val="0025228A"/>
    <w:rsid w:val="0025796E"/>
    <w:rsid w:val="002707A2"/>
    <w:rsid w:val="00294314"/>
    <w:rsid w:val="002951A0"/>
    <w:rsid w:val="002962BC"/>
    <w:rsid w:val="002A093D"/>
    <w:rsid w:val="002A0DD0"/>
    <w:rsid w:val="002A49AC"/>
    <w:rsid w:val="002A64FD"/>
    <w:rsid w:val="002C7A84"/>
    <w:rsid w:val="002D549F"/>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08E2"/>
    <w:rsid w:val="004F21C4"/>
    <w:rsid w:val="004F685F"/>
    <w:rsid w:val="005566E8"/>
    <w:rsid w:val="00574867"/>
    <w:rsid w:val="00591460"/>
    <w:rsid w:val="005A3CE7"/>
    <w:rsid w:val="005A65E0"/>
    <w:rsid w:val="005C3777"/>
    <w:rsid w:val="005C5CDC"/>
    <w:rsid w:val="005C666D"/>
    <w:rsid w:val="005D476C"/>
    <w:rsid w:val="006200BF"/>
    <w:rsid w:val="006219F8"/>
    <w:rsid w:val="00622479"/>
    <w:rsid w:val="006302F7"/>
    <w:rsid w:val="00646B9F"/>
    <w:rsid w:val="00665D70"/>
    <w:rsid w:val="00683CDB"/>
    <w:rsid w:val="006900D9"/>
    <w:rsid w:val="006C2A6B"/>
    <w:rsid w:val="006D766B"/>
    <w:rsid w:val="00706C16"/>
    <w:rsid w:val="0071438A"/>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7393"/>
    <w:rsid w:val="00867F95"/>
    <w:rsid w:val="008843B6"/>
    <w:rsid w:val="00891928"/>
    <w:rsid w:val="008A446D"/>
    <w:rsid w:val="008B25F1"/>
    <w:rsid w:val="008D180B"/>
    <w:rsid w:val="008D4C4A"/>
    <w:rsid w:val="008F0EA7"/>
    <w:rsid w:val="00923EEF"/>
    <w:rsid w:val="009419F9"/>
    <w:rsid w:val="0095685E"/>
    <w:rsid w:val="00961B09"/>
    <w:rsid w:val="00965334"/>
    <w:rsid w:val="0097093E"/>
    <w:rsid w:val="00983DD3"/>
    <w:rsid w:val="009A0DFA"/>
    <w:rsid w:val="009A1C6F"/>
    <w:rsid w:val="009B2D26"/>
    <w:rsid w:val="009C71FA"/>
    <w:rsid w:val="009C72E7"/>
    <w:rsid w:val="009C7F7E"/>
    <w:rsid w:val="009D3058"/>
    <w:rsid w:val="009F3A13"/>
    <w:rsid w:val="00A122D3"/>
    <w:rsid w:val="00A14468"/>
    <w:rsid w:val="00A17F13"/>
    <w:rsid w:val="00A20739"/>
    <w:rsid w:val="00A23AF9"/>
    <w:rsid w:val="00A3052E"/>
    <w:rsid w:val="00A3133D"/>
    <w:rsid w:val="00A33C78"/>
    <w:rsid w:val="00AB0ADB"/>
    <w:rsid w:val="00AB26A9"/>
    <w:rsid w:val="00AC0A97"/>
    <w:rsid w:val="00B00C0E"/>
    <w:rsid w:val="00B01B1A"/>
    <w:rsid w:val="00B0222C"/>
    <w:rsid w:val="00B0381D"/>
    <w:rsid w:val="00B44A47"/>
    <w:rsid w:val="00B4797D"/>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6889"/>
    <w:rsid w:val="00DC39FC"/>
    <w:rsid w:val="00DF5254"/>
    <w:rsid w:val="00E02524"/>
    <w:rsid w:val="00E16408"/>
    <w:rsid w:val="00E20894"/>
    <w:rsid w:val="00E245AB"/>
    <w:rsid w:val="00E2764C"/>
    <w:rsid w:val="00E27F2E"/>
    <w:rsid w:val="00E32216"/>
    <w:rsid w:val="00E457D1"/>
    <w:rsid w:val="00E50AFE"/>
    <w:rsid w:val="00E70B95"/>
    <w:rsid w:val="00E75C92"/>
    <w:rsid w:val="00E771DC"/>
    <w:rsid w:val="00E8772A"/>
    <w:rsid w:val="00E90F6B"/>
    <w:rsid w:val="00E92C27"/>
    <w:rsid w:val="00EA0E3D"/>
    <w:rsid w:val="00EC38A7"/>
    <w:rsid w:val="00EC5579"/>
    <w:rsid w:val="00EE1AA8"/>
    <w:rsid w:val="00F23FEA"/>
    <w:rsid w:val="00F31EDC"/>
    <w:rsid w:val="00F462B3"/>
    <w:rsid w:val="00F5664F"/>
    <w:rsid w:val="00F666C4"/>
    <w:rsid w:val="00F76AFC"/>
    <w:rsid w:val="00FA47C0"/>
    <w:rsid w:val="00FB5DD1"/>
    <w:rsid w:val="00FC2B5D"/>
    <w:rsid w:val="00FF1449"/>
    <w:rsid w:val="00FF7963"/>
    <w:rsid w:val="071B8F93"/>
    <w:rsid w:val="09908A09"/>
    <w:rsid w:val="0E760056"/>
    <w:rsid w:val="0FF4CCA8"/>
    <w:rsid w:val="13CFC91B"/>
    <w:rsid w:val="19A2EC2C"/>
    <w:rsid w:val="2859CA1B"/>
    <w:rsid w:val="32A4F9CF"/>
    <w:rsid w:val="356CEDFD"/>
    <w:rsid w:val="69614A15"/>
    <w:rsid w:val="7BB183BC"/>
    <w:rsid w:val="7E4D2D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983D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83DD3"/>
    <w:pPr>
      <w:spacing w:line="240" w:lineRule="exact"/>
    </w:pPr>
    <w:rPr>
      <w:vertAlign w:val="superscript"/>
    </w:rPr>
  </w:style>
  <w:style w:type="character" w:styleId="Refdecomentario">
    <w:name w:val="annotation reference"/>
    <w:basedOn w:val="Fuentedeprrafopredeter"/>
    <w:uiPriority w:val="99"/>
    <w:semiHidden/>
    <w:unhideWhenUsed/>
    <w:rsid w:val="00E32216"/>
    <w:rPr>
      <w:sz w:val="16"/>
      <w:szCs w:val="16"/>
    </w:rPr>
  </w:style>
  <w:style w:type="paragraph" w:styleId="Textocomentario">
    <w:name w:val="annotation text"/>
    <w:basedOn w:val="Normal"/>
    <w:link w:val="TextocomentarioCar"/>
    <w:uiPriority w:val="99"/>
    <w:semiHidden/>
    <w:unhideWhenUsed/>
    <w:rsid w:val="00E3221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32216"/>
    <w:rPr>
      <w:sz w:val="20"/>
      <w:szCs w:val="20"/>
    </w:rPr>
  </w:style>
  <w:style w:type="paragraph" w:styleId="Asuntodelcomentario">
    <w:name w:val="annotation subject"/>
    <w:basedOn w:val="Textocomentario"/>
    <w:next w:val="Textocomentario"/>
    <w:link w:val="AsuntodelcomentarioCar"/>
    <w:uiPriority w:val="99"/>
    <w:semiHidden/>
    <w:unhideWhenUsed/>
    <w:rsid w:val="00E32216"/>
    <w:rPr>
      <w:b/>
      <w:bCs/>
    </w:rPr>
  </w:style>
  <w:style w:type="character" w:customStyle="1" w:styleId="AsuntodelcomentarioCar">
    <w:name w:val="Asunto del comentario Car"/>
    <w:basedOn w:val="TextocomentarioCar"/>
    <w:link w:val="Asuntodelcomentario"/>
    <w:uiPriority w:val="99"/>
    <w:semiHidden/>
    <w:rsid w:val="00E32216"/>
    <w:rPr>
      <w:b/>
      <w:bCs/>
      <w:sz w:val="20"/>
      <w:szCs w:val="20"/>
    </w:rPr>
  </w:style>
  <w:style w:type="character" w:styleId="Textoennegrita">
    <w:name w:val="Strong"/>
    <w:basedOn w:val="Fuentedeprrafopredeter"/>
    <w:uiPriority w:val="22"/>
    <w:qFormat/>
    <w:rsid w:val="00B4797D"/>
    <w:rPr>
      <w:b/>
      <w:bCs/>
    </w:rPr>
  </w:style>
  <w:style w:type="character" w:customStyle="1" w:styleId="NormalWebCar">
    <w:name w:val="Normal (Web) Car"/>
    <w:link w:val="NormalWeb"/>
    <w:uiPriority w:val="99"/>
    <w:rsid w:val="00B4797D"/>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5250663">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normativa-y-relatoria%2Fdocumentos-tipo&amp;data=05%7C02%7Cventanillaunicaderadicacion%40colombiacompra.gov.co%7C25dabc47950d4ba0fc1008de125c428c%7C7b09041e245149d08cb179d5e3d8c1be%7C0%7C0%7C638968384655076315%7CUnknown%7CTWFpbGZsb3d8eyJFbXB0eU1hcGkiOnRydWUsIlYiOiIwLjAuMDAwMCIsIlAiOiJXaW4zMiIsIkFOIjoiTWFpbCIsIldUIjoyfQ%3D%3D%7C0%7C%7C%7C&amp;sdata=7yIj49%2Fv%2BH9ZsTgj35W%2F4zs4oXsg%2BTa1KB4635MIK4k%3D&amp;reserved=0" TargetMode="External"/><Relationship Id="rId18" Type="http://schemas.openxmlformats.org/officeDocument/2006/relationships/hyperlink" Target="https://nam02.safelinks.protection.outlook.com/?url=https%3A%2F%2Fwww.colombiacompra.gov.co%2Fmanuales-guias-y-pliegos-tipo%2Fmanuales-y-guias%2Fguia-de-contratacion-publica-sostenible-y-socialmente&amp;data=05%7C02%7Ccarlos.castrillon%40colombiacompra.gov.co%7Ceb0fd05604104aa4d3bc08dd4c4ad35e%7C7b09041e245149d08cb179d5e3d8c1be%7C0%7C0%7C638750606445402573%7CUnknown%7CTWFpbGZsb3d8eyJFbXB0eU1hcGkiOnRydWUsIlYiOiIwLjAuMDAwMCIsIlAiOiJXaW4zMiIsIkFOIjoiTWFpbCIsIldUIjoyfQ%3D%3D%7C0%7C%7C%7C&amp;sdata=Qg%2Bj2KODoy3mNrtTOL1WJEfzT5QrAdRT2oEKhAgMsdw%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Yamile.betancourt@agencialogistica.gov.co" TargetMode="External"/><Relationship Id="rId17" Type="http://schemas.openxmlformats.org/officeDocument/2006/relationships/hyperlink" Target="https://nam02.safelinks.protection.outlook.com/?url=https%3A%2F%2Fwww.colombiacompra.gov.co%2Fciudadanos%2Fcalendario&amp;data=05%7C02%7Ccarlos.castrillon%40colombiacompra.gov.co%7Ceb0fd05604104aa4d3bc08dd4c4ad35e%7C7b09041e245149d08cb179d5e3d8c1be%7C0%7C0%7C638750606445381469%7CUnknown%7CTWFpbGZsb3d8eyJFbXB0eU1hcGkiOnRydWUsIlYiOiIwLjAuMDAwMCIsIlAiOiJXaW4zMiIsIkFOIjoiTWFpbCIsIldUIjoyfQ%3D%3D%7C0%7C%7C%7C&amp;sdata=j29N9iGAQKkKYNPvseqiVZ1GlQoAuIdl0ViH4%2FwMNME%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cartilla-para-incentivar-y-fortalecer-el-acceso-las&amp;data=05%7C02%7Ccarlos.castrillon%40colombiacompra.gov.co%7Ceb0fd05604104aa4d3bc08dd4c4ad35e%7C7b09041e245149d08cb179d5e3d8c1be%7C0%7C0%7C638750606445342495%7CUnknown%7CTWFpbGZsb3d8eyJFbXB0eU1hcGkiOnRydWUsIlYiOiIwLjAuMDAwMCIsIlAiOiJXaW4zMiIsIkFOIjoiTWFpbCIsIldUIjoyfQ%3D%3D%7C0%7C%7C%7C&amp;sdata=QjdkVIaLZrDJ7LHxm%2FQR2RWhmxzNwmEPLnWPN%2BV%2F4jE%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9231145D-29DD-447C-8D35-5251C337436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452037D8-AAB2-44A1-8040-90CB8F413407}">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21</Pages>
  <Words>7577</Words>
  <Characters>41674</Characters>
  <Application>Microsoft Office Word</Application>
  <DocSecurity>0</DocSecurity>
  <Lines>347</Lines>
  <Paragraphs>98</Paragraphs>
  <ScaleCrop>false</ScaleCrop>
  <Company/>
  <LinksUpToDate>false</LinksUpToDate>
  <CharactersWithSpaces>49153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2025-12-12T14:22:00Z</dcterms:created>
  <dcterms:modified xsi:type="dcterms:W3CDTF">2025-12-12T14:22:00Z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