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1FEDC6" w14:textId="77777777" w:rsidR="00903BF4" w:rsidRPr="001809FD" w:rsidRDefault="00903BF4" w:rsidP="001809FD">
      <w:pPr>
        <w:snapToGrid w:val="0"/>
        <w:contextualSpacing/>
        <w:jc w:val="both"/>
        <w:rPr>
          <w:rFonts w:ascii="Verdana" w:eastAsia="Calibri" w:hAnsi="Verdana" w:cs="Arial"/>
          <w:b/>
          <w:bCs/>
          <w:lang w:val="es-ES" w:eastAsia="es-ES"/>
        </w:rPr>
      </w:pPr>
      <w:r w:rsidRPr="001809FD">
        <w:rPr>
          <w:rFonts w:ascii="Verdana" w:eastAsia="Calibri" w:hAnsi="Verdana" w:cs="Arial"/>
          <w:b/>
          <w:bCs/>
          <w:lang w:val="es-ES" w:eastAsia="es-ES"/>
        </w:rPr>
        <w:t>LEY DE GARANTÍAS ELECTORALES – Finalidad</w:t>
      </w:r>
    </w:p>
    <w:p w14:paraId="57515E5A" w14:textId="77777777" w:rsidR="001809FD" w:rsidRPr="001809FD" w:rsidRDefault="001809FD" w:rsidP="001809FD">
      <w:pPr>
        <w:snapToGrid w:val="0"/>
        <w:spacing w:after="0" w:line="240" w:lineRule="auto"/>
        <w:contextualSpacing/>
        <w:jc w:val="both"/>
        <w:rPr>
          <w:rFonts w:ascii="Verdana" w:eastAsia="Calibri" w:hAnsi="Verdana" w:cs="Arial"/>
          <w:sz w:val="20"/>
          <w:szCs w:val="20"/>
          <w:lang w:val="es-ES" w:eastAsia="es-ES"/>
        </w:rPr>
      </w:pPr>
    </w:p>
    <w:p w14:paraId="6109C3ED" w14:textId="77777777" w:rsidR="00F87B8E" w:rsidRPr="001809FD" w:rsidRDefault="00F87B8E" w:rsidP="001809FD">
      <w:pPr>
        <w:pStyle w:val="paragraph"/>
        <w:snapToGrid w:val="0"/>
        <w:spacing w:before="0" w:beforeAutospacing="0" w:after="0" w:afterAutospacing="0"/>
        <w:contextualSpacing/>
        <w:jc w:val="both"/>
        <w:textAlignment w:val="baseline"/>
        <w:rPr>
          <w:rFonts w:ascii="Verdana" w:hAnsi="Verdana" w:cs="Arial"/>
          <w:sz w:val="20"/>
          <w:szCs w:val="20"/>
        </w:rPr>
      </w:pPr>
      <w:r w:rsidRPr="001809FD">
        <w:rPr>
          <w:rStyle w:val="normaltextrun"/>
          <w:rFonts w:ascii="Verdana" w:hAnsi="Verdana" w:cs="Arial"/>
          <w:sz w:val="20"/>
          <w:szCs w:val="20"/>
          <w:lang w:val="es-ES"/>
        </w:rPr>
        <w:t xml:space="preserve">[…], </w:t>
      </w:r>
      <w:r w:rsidRPr="001809FD">
        <w:rPr>
          <w:rStyle w:val="normaltextrun"/>
          <w:rFonts w:ascii="Verdana" w:hAnsi="Verdana" w:cs="Arial"/>
          <w:sz w:val="20"/>
          <w:szCs w:val="20"/>
          <w:lang w:val="es-MX"/>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809FD">
        <w:rPr>
          <w:rStyle w:val="eop"/>
          <w:rFonts w:ascii="Verdana" w:hAnsi="Verdana" w:cs="Arial"/>
          <w:sz w:val="20"/>
          <w:szCs w:val="20"/>
        </w:rPr>
        <w:t> </w:t>
      </w:r>
    </w:p>
    <w:p w14:paraId="699700E2" w14:textId="77777777" w:rsidR="00F87B8E" w:rsidRPr="001809FD" w:rsidRDefault="00F87B8E" w:rsidP="001809FD">
      <w:pPr>
        <w:snapToGrid w:val="0"/>
        <w:spacing w:after="0" w:line="240" w:lineRule="auto"/>
        <w:contextualSpacing/>
        <w:jc w:val="both"/>
        <w:rPr>
          <w:rFonts w:ascii="Verdana" w:eastAsia="Calibri" w:hAnsi="Verdana" w:cs="Arial"/>
          <w:sz w:val="20"/>
          <w:szCs w:val="20"/>
          <w:lang w:val="es-ES" w:eastAsia="es-ES"/>
        </w:rPr>
      </w:pPr>
    </w:p>
    <w:p w14:paraId="19741A52" w14:textId="77777777" w:rsidR="00903BF4" w:rsidRPr="001809FD" w:rsidRDefault="00903BF4" w:rsidP="001809FD">
      <w:pPr>
        <w:snapToGrid w:val="0"/>
        <w:contextualSpacing/>
        <w:jc w:val="both"/>
        <w:rPr>
          <w:rFonts w:ascii="Verdana" w:eastAsia="Calibri" w:hAnsi="Verdana" w:cs="Arial"/>
          <w:b/>
          <w:bCs/>
          <w:lang w:val="es-ES" w:eastAsia="es-ES"/>
        </w:rPr>
      </w:pPr>
      <w:r w:rsidRPr="001809FD">
        <w:rPr>
          <w:rFonts w:ascii="Verdana" w:eastAsia="Calibri" w:hAnsi="Verdana" w:cs="Arial"/>
          <w:b/>
          <w:bCs/>
          <w:lang w:val="es-ES" w:eastAsia="es-ES"/>
        </w:rPr>
        <w:t>LEY DE GARANTÍAS ELECTORALES ‒ Restricciones ‒ Contratación ‒ Tipos de elección</w:t>
      </w:r>
    </w:p>
    <w:p w14:paraId="54EAF916" w14:textId="77777777" w:rsidR="001809FD" w:rsidRPr="001809FD" w:rsidRDefault="001809FD" w:rsidP="001809FD">
      <w:pPr>
        <w:snapToGrid w:val="0"/>
        <w:spacing w:after="0" w:line="240" w:lineRule="auto"/>
        <w:contextualSpacing/>
        <w:jc w:val="both"/>
        <w:rPr>
          <w:rFonts w:ascii="Verdana" w:eastAsia="Calibri" w:hAnsi="Verdana" w:cs="Arial"/>
          <w:sz w:val="20"/>
          <w:szCs w:val="20"/>
          <w:lang w:val="es-ES" w:eastAsia="es-ES"/>
        </w:rPr>
      </w:pPr>
    </w:p>
    <w:p w14:paraId="7FB6DDC5" w14:textId="77777777" w:rsidR="00F87B8E" w:rsidRPr="001809FD" w:rsidRDefault="00F87B8E" w:rsidP="001809FD">
      <w:pPr>
        <w:pStyle w:val="paragraph"/>
        <w:snapToGrid w:val="0"/>
        <w:spacing w:before="0" w:beforeAutospacing="0" w:after="0" w:afterAutospacing="0"/>
        <w:contextualSpacing/>
        <w:jc w:val="both"/>
        <w:textAlignment w:val="baseline"/>
        <w:rPr>
          <w:rFonts w:ascii="Verdana" w:hAnsi="Verdana" w:cs="Arial"/>
          <w:sz w:val="20"/>
          <w:szCs w:val="20"/>
        </w:rPr>
      </w:pPr>
      <w:r w:rsidRPr="001809FD">
        <w:rPr>
          <w:rStyle w:val="normaltextrun"/>
          <w:rFonts w:ascii="Verdana" w:hAnsi="Verdana" w:cs="Arial"/>
          <w:sz w:val="20"/>
          <w:szCs w:val="20"/>
          <w:lang w:val="es-ES"/>
        </w:rPr>
        <w:t xml:space="preserve">[…] la Ley 996 de 2005 establece dos (2) tipos de restricciones en materia de contratación, las cuales coinciden parcialmente. </w:t>
      </w:r>
      <w:r w:rsidRPr="001809FD">
        <w:rPr>
          <w:rStyle w:val="normaltextrun"/>
          <w:rFonts w:ascii="Verdana" w:hAnsi="Verdana" w:cs="Arial"/>
          <w:i/>
          <w:iCs/>
          <w:sz w:val="20"/>
          <w:szCs w:val="20"/>
          <w:lang w:val="es-ES"/>
        </w:rPr>
        <w:t>En primer lugar</w:t>
      </w:r>
      <w:r w:rsidRPr="001809FD">
        <w:rPr>
          <w:rStyle w:val="normaltextrun"/>
          <w:rFonts w:ascii="Verdana" w:hAnsi="Verdana" w:cs="Arial"/>
          <w:sz w:val="20"/>
          <w:szCs w:val="20"/>
          <w:lang w:val="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1809FD">
        <w:rPr>
          <w:rStyle w:val="normaltextrun"/>
          <w:rFonts w:ascii="Verdana" w:hAnsi="Verdana" w:cs="Arial"/>
          <w:i/>
          <w:iCs/>
          <w:sz w:val="20"/>
          <w:szCs w:val="20"/>
          <w:lang w:val="es-ES"/>
        </w:rPr>
        <w:t>En segundo lugar</w:t>
      </w:r>
      <w:r w:rsidRPr="001809FD">
        <w:rPr>
          <w:rStyle w:val="normaltextrun"/>
          <w:rFonts w:ascii="Verdana" w:hAnsi="Verdana" w:cs="Arial"/>
          <w:sz w:val="20"/>
          <w:szCs w:val="20"/>
          <w:lang w:val="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sidRPr="001809FD">
        <w:rPr>
          <w:rStyle w:val="eop"/>
          <w:rFonts w:ascii="Verdana" w:hAnsi="Verdana" w:cs="Arial"/>
          <w:sz w:val="20"/>
          <w:szCs w:val="20"/>
        </w:rPr>
        <w:t> </w:t>
      </w:r>
    </w:p>
    <w:p w14:paraId="73222373" w14:textId="77777777" w:rsidR="00F87B8E" w:rsidRPr="001809FD" w:rsidRDefault="00F87B8E" w:rsidP="001809FD">
      <w:pPr>
        <w:snapToGrid w:val="0"/>
        <w:spacing w:after="0" w:line="240" w:lineRule="auto"/>
        <w:contextualSpacing/>
        <w:jc w:val="both"/>
        <w:rPr>
          <w:rFonts w:ascii="Verdana" w:eastAsia="Calibri" w:hAnsi="Verdana" w:cs="Arial"/>
          <w:sz w:val="20"/>
          <w:szCs w:val="20"/>
          <w:lang w:val="es-ES" w:eastAsia="es-ES"/>
        </w:rPr>
      </w:pPr>
    </w:p>
    <w:p w14:paraId="3BFBB9E2" w14:textId="7F879192" w:rsidR="00903BF4" w:rsidRPr="001809FD" w:rsidRDefault="00903BF4" w:rsidP="001809FD">
      <w:pPr>
        <w:snapToGrid w:val="0"/>
        <w:contextualSpacing/>
        <w:jc w:val="both"/>
        <w:rPr>
          <w:rFonts w:ascii="Verdana" w:eastAsia="Calibri" w:hAnsi="Verdana" w:cs="Arial"/>
          <w:b/>
          <w:bCs/>
          <w:lang w:val="es-ES" w:eastAsia="es-ES"/>
        </w:rPr>
      </w:pPr>
      <w:r w:rsidRPr="001809FD">
        <w:rPr>
          <w:rFonts w:ascii="Verdana" w:eastAsia="Calibri" w:hAnsi="Verdana" w:cs="Arial"/>
          <w:b/>
          <w:bCs/>
          <w:lang w:val="es-ES" w:eastAsia="es-ES"/>
        </w:rPr>
        <w:t>LEY DE GARANTÍAS ELECTORALES ‒ Convenio especial de cooperación</w:t>
      </w:r>
    </w:p>
    <w:p w14:paraId="4EBB9148" w14:textId="77777777" w:rsidR="001809FD" w:rsidRPr="001809FD" w:rsidRDefault="001809FD" w:rsidP="001809FD">
      <w:pPr>
        <w:snapToGrid w:val="0"/>
        <w:spacing w:after="0" w:line="240" w:lineRule="auto"/>
        <w:contextualSpacing/>
        <w:jc w:val="both"/>
        <w:rPr>
          <w:rFonts w:ascii="Verdana" w:eastAsia="Calibri" w:hAnsi="Verdana" w:cs="Arial"/>
          <w:sz w:val="20"/>
          <w:szCs w:val="20"/>
          <w:lang w:val="es-ES" w:eastAsia="es-ES"/>
        </w:rPr>
      </w:pPr>
    </w:p>
    <w:p w14:paraId="287F9F7F" w14:textId="447EBEEB" w:rsidR="001809FD" w:rsidRPr="001809FD" w:rsidRDefault="001809FD" w:rsidP="001809FD">
      <w:pPr>
        <w:snapToGrid w:val="0"/>
        <w:spacing w:after="0" w:line="240" w:lineRule="auto"/>
        <w:contextualSpacing/>
        <w:jc w:val="both"/>
        <w:rPr>
          <w:rFonts w:ascii="Verdana" w:eastAsia="Century Gothic" w:hAnsi="Verdana" w:cs="Century Gothic"/>
          <w:sz w:val="20"/>
          <w:szCs w:val="20"/>
        </w:rPr>
      </w:pPr>
      <w:r w:rsidRPr="001809FD">
        <w:rPr>
          <w:rFonts w:ascii="Verdana" w:eastAsia="Calibri" w:hAnsi="Verdana" w:cs="Arial"/>
          <w:color w:val="000000" w:themeColor="text1"/>
          <w:sz w:val="20"/>
          <w:szCs w:val="20"/>
          <w:lang w:val="es-ES"/>
        </w:rPr>
        <w:t xml:space="preserve">[…] </w:t>
      </w:r>
      <w:r w:rsidRPr="001809FD">
        <w:rPr>
          <w:rFonts w:ascii="Verdana" w:eastAsia="Calibri" w:hAnsi="Verdana" w:cs="Arial"/>
          <w:color w:val="000000" w:themeColor="text1"/>
          <w:sz w:val="20"/>
          <w:szCs w:val="20"/>
          <w:lang w:val="es-ES"/>
        </w:rPr>
        <w:t xml:space="preserve">los </w:t>
      </w:r>
      <w:r w:rsidRPr="001809FD">
        <w:rPr>
          <w:rFonts w:ascii="Verdana" w:eastAsia="Century Gothic" w:hAnsi="Verdana" w:cs="Century Gothic"/>
          <w:sz w:val="20"/>
          <w:szCs w:val="20"/>
        </w:rPr>
        <w:t xml:space="preserve">convenios especiales de cooperación para el desarrollo de actividades de ciencia, tecnología e innovación que están prohibidos contratar durante los cuatro (4) meses previos a las elecciones de presidente son aquellos que se celebren de manera directa, es decir, a través de una modalidad de contratación que no implique pluralidad de oferentes. </w:t>
      </w:r>
    </w:p>
    <w:p w14:paraId="2F6DF5E8" w14:textId="43169949" w:rsidR="001809FD" w:rsidRPr="001809FD" w:rsidRDefault="001809FD" w:rsidP="001809FD">
      <w:pPr>
        <w:snapToGrid w:val="0"/>
        <w:spacing w:after="0" w:line="240" w:lineRule="auto"/>
        <w:contextualSpacing/>
        <w:jc w:val="both"/>
        <w:rPr>
          <w:rFonts w:ascii="Verdana" w:eastAsia="Calibri" w:hAnsi="Verdana" w:cs="Arial"/>
          <w:sz w:val="20"/>
          <w:szCs w:val="20"/>
          <w:lang w:val="es-ES" w:eastAsia="es-ES"/>
        </w:rPr>
      </w:pPr>
      <w:r w:rsidRPr="001809FD">
        <w:rPr>
          <w:rFonts w:ascii="Verdana" w:eastAsia="Century Gothic" w:hAnsi="Verdana" w:cs="Century Gothic"/>
          <w:sz w:val="20"/>
          <w:szCs w:val="20"/>
        </w:rPr>
        <w:t xml:space="preserve">Ahora bien, tratándose de elecciones en general se </w:t>
      </w:r>
      <w:r w:rsidRPr="001809FD">
        <w:rPr>
          <w:rFonts w:ascii="Verdana" w:eastAsia="Times New Roman" w:hAnsi="Verdana" w:cs="Arial"/>
          <w:sz w:val="20"/>
          <w:szCs w:val="20"/>
          <w:lang w:val="es-MX" w:eastAsia="es-CO"/>
        </w:rPr>
        <w:t xml:space="preserve">prohíbe a los Alcaldes, Gobernadores, Secretarios, Gerentes y Directores de las entidades del orden municipal, departamental o distrital celebrar </w:t>
      </w:r>
      <w:r w:rsidRPr="001809FD">
        <w:rPr>
          <w:rFonts w:ascii="Verdana" w:eastAsia="Times New Roman" w:hAnsi="Verdana" w:cs="Arial"/>
          <w:i/>
          <w:iCs/>
          <w:sz w:val="20"/>
          <w:szCs w:val="20"/>
          <w:lang w:val="es-MX" w:eastAsia="es-CO"/>
        </w:rPr>
        <w:t>convenios interadministrativos</w:t>
      </w:r>
      <w:r w:rsidRPr="001809FD">
        <w:rPr>
          <w:rFonts w:ascii="Verdana" w:eastAsia="Times New Roman" w:hAnsi="Verdana" w:cs="Arial"/>
          <w:sz w:val="20"/>
          <w:szCs w:val="20"/>
          <w:lang w:val="es-MX" w:eastAsia="es-CO"/>
        </w:rPr>
        <w:t xml:space="preserve"> </w:t>
      </w:r>
      <w:r w:rsidRPr="001809FD">
        <w:rPr>
          <w:rFonts w:ascii="Verdana" w:eastAsia="Times New Roman" w:hAnsi="Verdana" w:cs="Arial"/>
          <w:i/>
          <w:iCs/>
          <w:sz w:val="20"/>
          <w:szCs w:val="20"/>
          <w:lang w:val="es-MX" w:eastAsia="es-CO"/>
        </w:rPr>
        <w:t>para la ejecución de recursos públicos</w:t>
      </w:r>
      <w:r w:rsidRPr="001809FD">
        <w:rPr>
          <w:rFonts w:ascii="Verdana" w:eastAsia="Times New Roman" w:hAnsi="Verdana" w:cs="Arial"/>
          <w:sz w:val="20"/>
          <w:szCs w:val="20"/>
          <w:lang w:val="es-MX" w:eastAsia="es-CO"/>
        </w:rPr>
        <w:t xml:space="preserve">. En este sentido, si una o ambas partes de la relación contractual es una entidad de aquellas descritas, no podrá celebrar tales </w:t>
      </w:r>
      <w:r w:rsidRPr="001809FD">
        <w:rPr>
          <w:rFonts w:ascii="Verdana" w:eastAsia="Times New Roman" w:hAnsi="Verdana" w:cs="Arial"/>
          <w:i/>
          <w:iCs/>
          <w:sz w:val="20"/>
          <w:szCs w:val="20"/>
          <w:lang w:val="es-MX" w:eastAsia="es-CO"/>
        </w:rPr>
        <w:t>convenios</w:t>
      </w:r>
      <w:r w:rsidRPr="001809FD">
        <w:rPr>
          <w:rFonts w:ascii="Verdana" w:eastAsia="Times New Roman" w:hAnsi="Verdana" w:cs="Arial"/>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7189512A" w14:textId="77777777" w:rsidR="00903BF4" w:rsidRDefault="00903BF4" w:rsidP="001C1E14">
      <w:pPr>
        <w:spacing w:after="0"/>
        <w:rPr>
          <w:rFonts w:ascii="Verdana" w:hAnsi="Verdana"/>
          <w:lang w:val="es-ES"/>
        </w:rPr>
      </w:pPr>
    </w:p>
    <w:p w14:paraId="72104E81" w14:textId="69EE2EE1" w:rsidR="001C1E14" w:rsidRPr="00FC6F34" w:rsidRDefault="00903BF4" w:rsidP="001C1E14">
      <w:pPr>
        <w:spacing w:after="0"/>
        <w:rPr>
          <w:rFonts w:ascii="Verdana" w:hAnsi="Verdana"/>
          <w:lang w:val="es-ES"/>
        </w:rPr>
      </w:pPr>
      <w:r>
        <w:rPr>
          <w:rFonts w:ascii="Verdana" w:hAnsi="Verdana"/>
          <w:noProof/>
          <w:lang w:val="en-CO"/>
        </w:rPr>
        <w:lastRenderedPageBreak/>
        <w:drawing>
          <wp:anchor distT="0" distB="0" distL="114300" distR="114300" simplePos="0" relativeHeight="251660288" behindDoc="0" locked="0" layoutInCell="1" allowOverlap="1" wp14:anchorId="30A327BA" wp14:editId="2A763784">
            <wp:simplePos x="0" y="0"/>
            <wp:positionH relativeFrom="column">
              <wp:posOffset>3425333</wp:posOffset>
            </wp:positionH>
            <wp:positionV relativeFrom="page">
              <wp:posOffset>1651000</wp:posOffset>
            </wp:positionV>
            <wp:extent cx="1707515" cy="508000"/>
            <wp:effectExtent l="0" t="0" r="0" b="0"/>
            <wp:wrapSquare wrapText="bothSides"/>
            <wp:docPr id="1917780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780469" name="Picture 1917780469"/>
                    <pic:cNvPicPr/>
                  </pic:nvPicPr>
                  <pic:blipFill>
                    <a:blip r:embed="rId10">
                      <a:extLst>
                        <a:ext uri="{28A0092B-C50C-407E-A947-70E740481C1C}">
                          <a14:useLocalDpi xmlns:a14="http://schemas.microsoft.com/office/drawing/2010/main" val="0"/>
                        </a:ext>
                      </a:extLst>
                    </a:blip>
                    <a:stretch>
                      <a:fillRect/>
                    </a:stretch>
                  </pic:blipFill>
                  <pic:spPr>
                    <a:xfrm>
                      <a:off x="0" y="0"/>
                      <a:ext cx="1707515" cy="508000"/>
                    </a:xfrm>
                    <a:prstGeom prst="rect">
                      <a:avLst/>
                    </a:prstGeom>
                  </pic:spPr>
                </pic:pic>
              </a:graphicData>
            </a:graphic>
            <wp14:sizeRelH relativeFrom="page">
              <wp14:pctWidth>0</wp14:pctWidth>
            </wp14:sizeRelH>
            <wp14:sizeRelV relativeFrom="page">
              <wp14:pctHeight>0</wp14:pctHeight>
            </wp14:sizeRelV>
          </wp:anchor>
        </w:drawing>
      </w:r>
      <w:r w:rsidR="001C1E14" w:rsidRPr="0017378C">
        <w:rPr>
          <w:rFonts w:ascii="Verdana" w:hAnsi="Verdana"/>
          <w:lang w:val="es-ES"/>
        </w:rPr>
        <w:t xml:space="preserve">Bogotá D.C., </w:t>
      </w:r>
      <w:r>
        <w:rPr>
          <w:rFonts w:ascii="Verdana" w:hAnsi="Verdana"/>
          <w:lang w:val="es-ES"/>
        </w:rPr>
        <w:t>23 de Diciembre de 2025</w:t>
      </w:r>
      <w:r w:rsidR="001C1E14" w:rsidRPr="00FC6F34">
        <w:rPr>
          <w:rFonts w:ascii="Verdana" w:hAnsi="Verdana"/>
          <w:lang w:val="es-ES"/>
        </w:rPr>
        <w:tab/>
      </w:r>
    </w:p>
    <w:p w14:paraId="76A09F00" w14:textId="056C132E" w:rsidR="001C1E14" w:rsidRPr="00FC6F34" w:rsidRDefault="001C1E14" w:rsidP="001C1E14">
      <w:pPr>
        <w:spacing w:after="0"/>
        <w:rPr>
          <w:rFonts w:ascii="Verdana" w:hAnsi="Verdana"/>
          <w:lang w:val="es-ES"/>
        </w:rPr>
      </w:pPr>
    </w:p>
    <w:p w14:paraId="0B00B1D3" w14:textId="1D301247" w:rsidR="001C1E14" w:rsidRDefault="001C1E14" w:rsidP="001C1E14">
      <w:pPr>
        <w:spacing w:after="0" w:line="240" w:lineRule="auto"/>
        <w:rPr>
          <w:rFonts w:ascii="Verdana" w:eastAsia="Calibri" w:hAnsi="Verdana" w:cs="Arial"/>
          <w:color w:val="000000" w:themeColor="text1"/>
          <w:lang w:val="es-ES" w:eastAsia="es-ES"/>
        </w:rPr>
      </w:pPr>
      <w:bookmarkStart w:id="0" w:name="_Hlk143780582"/>
      <w:r w:rsidRPr="00FC6F34">
        <w:rPr>
          <w:rFonts w:ascii="Verdana" w:eastAsia="Calibri" w:hAnsi="Verdana" w:cs="Arial"/>
          <w:color w:val="000000" w:themeColor="text1"/>
          <w:lang w:val="es-ES" w:eastAsia="es-ES"/>
        </w:rPr>
        <w:t>Señor</w:t>
      </w:r>
      <w:r w:rsidR="0057647D">
        <w:rPr>
          <w:rFonts w:ascii="Verdana" w:eastAsia="Calibri" w:hAnsi="Verdana" w:cs="Arial"/>
          <w:color w:val="000000" w:themeColor="text1"/>
          <w:lang w:val="es-ES" w:eastAsia="es-ES"/>
        </w:rPr>
        <w:t>a</w:t>
      </w:r>
    </w:p>
    <w:p w14:paraId="607A781A" w14:textId="2CE00D97" w:rsidR="0057647D" w:rsidRDefault="00B55B55" w:rsidP="001C1E14">
      <w:pPr>
        <w:spacing w:after="0" w:line="240" w:lineRule="auto"/>
        <w:rPr>
          <w:rFonts w:ascii="Verdana" w:hAnsi="Verdana"/>
          <w:b/>
          <w:bCs/>
          <w:lang w:val="en-CO"/>
        </w:rPr>
      </w:pPr>
      <w:r>
        <w:rPr>
          <w:rFonts w:ascii="Verdana" w:eastAsia="Calibri" w:hAnsi="Verdana" w:cs="Arial"/>
          <w:b/>
          <w:bCs/>
          <w:noProof/>
          <w:color w:val="000000" w:themeColor="text1"/>
          <w:lang w:val="es-ES" w:eastAsia="es-ES"/>
        </w:rPr>
        <w:drawing>
          <wp:anchor distT="0" distB="0" distL="114300" distR="114300" simplePos="0" relativeHeight="251661312" behindDoc="0" locked="0" layoutInCell="1" allowOverlap="1" wp14:anchorId="2F00C2B5" wp14:editId="143C9EBE">
            <wp:simplePos x="0" y="0"/>
            <wp:positionH relativeFrom="column">
              <wp:posOffset>3425190</wp:posOffset>
            </wp:positionH>
            <wp:positionV relativeFrom="page">
              <wp:posOffset>2159000</wp:posOffset>
            </wp:positionV>
            <wp:extent cx="1776730" cy="532765"/>
            <wp:effectExtent l="0" t="0" r="1270" b="635"/>
            <wp:wrapSquare wrapText="bothSides"/>
            <wp:docPr id="1215525965" name="Picture 2" descr="A close 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525965" name="Picture 2" descr="A close up of a car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776730" cy="532765"/>
                    </a:xfrm>
                    <a:prstGeom prst="rect">
                      <a:avLst/>
                    </a:prstGeom>
                  </pic:spPr>
                </pic:pic>
              </a:graphicData>
            </a:graphic>
            <wp14:sizeRelH relativeFrom="page">
              <wp14:pctWidth>0</wp14:pctWidth>
            </wp14:sizeRelH>
            <wp14:sizeRelV relativeFrom="page">
              <wp14:pctHeight>0</wp14:pctHeight>
            </wp14:sizeRelV>
          </wp:anchor>
        </w:drawing>
      </w:r>
      <w:r w:rsidR="0057647D">
        <w:rPr>
          <w:rFonts w:ascii="Verdana" w:hAnsi="Verdana"/>
          <w:b/>
          <w:bCs/>
          <w:lang w:val="en-CO"/>
        </w:rPr>
        <w:t>Carolina Montealegre</w:t>
      </w:r>
    </w:p>
    <w:p w14:paraId="34B291A4" w14:textId="18C3DC1D" w:rsidR="001C1E14" w:rsidRPr="0057647D" w:rsidRDefault="0057647D" w:rsidP="001C1E14">
      <w:pPr>
        <w:spacing w:after="0" w:line="240" w:lineRule="auto"/>
        <w:rPr>
          <w:rFonts w:ascii="Verdana" w:hAnsi="Verdana"/>
          <w:lang w:val="en-CO"/>
        </w:rPr>
      </w:pPr>
      <w:r w:rsidRPr="0057647D">
        <w:rPr>
          <w:rFonts w:ascii="Verdana" w:hAnsi="Verdana"/>
          <w:lang w:val="en-CO"/>
        </w:rPr>
        <w:t>Minciencias</w:t>
      </w:r>
      <w:r w:rsidR="001C1E14" w:rsidRPr="0057647D">
        <w:rPr>
          <w:rFonts w:ascii="Verdana" w:hAnsi="Verdana"/>
          <w:lang w:val="en-CO"/>
        </w:rPr>
        <w:t xml:space="preserve"> </w:t>
      </w:r>
    </w:p>
    <w:p w14:paraId="418A1DF0" w14:textId="633B56F7" w:rsidR="001C1E14" w:rsidRDefault="0057647D" w:rsidP="001C1E14">
      <w:pPr>
        <w:spacing w:after="0" w:line="240" w:lineRule="auto"/>
        <w:rPr>
          <w:rFonts w:ascii="Verdana" w:hAnsi="Verdana"/>
          <w:lang w:val="en-CO"/>
        </w:rPr>
      </w:pPr>
      <w:hyperlink r:id="rId12" w:history="1">
        <w:r w:rsidRPr="004B57EC">
          <w:rPr>
            <w:rStyle w:val="Hyperlink"/>
            <w:rFonts w:ascii="Verdana" w:hAnsi="Verdana"/>
            <w:lang w:val="en-CO"/>
          </w:rPr>
          <w:t>comontealegre@minciencias.gov.co</w:t>
        </w:r>
      </w:hyperlink>
      <w:r>
        <w:rPr>
          <w:rFonts w:ascii="Verdana" w:hAnsi="Verdana"/>
          <w:lang w:val="en-CO"/>
        </w:rPr>
        <w:t xml:space="preserve"> </w:t>
      </w:r>
    </w:p>
    <w:p w14:paraId="6AAB6676" w14:textId="7428F12A" w:rsidR="001C1E14" w:rsidRPr="00BC4697" w:rsidRDefault="001C1E14" w:rsidP="001C1E14">
      <w:pPr>
        <w:spacing w:after="0" w:line="240" w:lineRule="auto"/>
        <w:rPr>
          <w:rFonts w:ascii="Verdana" w:eastAsia="Calibri" w:hAnsi="Verdana" w:cs="Arial"/>
          <w:color w:val="000000" w:themeColor="text1"/>
          <w:lang w:eastAsia="es-ES"/>
        </w:rPr>
      </w:pPr>
      <w:r w:rsidRPr="00FC6F34">
        <w:rPr>
          <w:rFonts w:ascii="Verdana" w:hAnsi="Verdana"/>
          <w:lang w:val="es-ES"/>
        </w:rPr>
        <w:t>Bogotá D.C.</w:t>
      </w:r>
    </w:p>
    <w:p w14:paraId="4C86BABF" w14:textId="22E75D0E" w:rsidR="001C1E14" w:rsidRPr="00FC6F34" w:rsidRDefault="001C1E14" w:rsidP="001C1E14">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1C1E14" w:rsidRPr="00FC6F34" w14:paraId="78CEFC70" w14:textId="77777777" w:rsidTr="00CF224D">
        <w:trPr>
          <w:trHeight w:val="300"/>
        </w:trPr>
        <w:tc>
          <w:tcPr>
            <w:tcW w:w="2410" w:type="dxa"/>
          </w:tcPr>
          <w:p w14:paraId="67B71138" w14:textId="77777777" w:rsidR="001C1E14" w:rsidRPr="00FC6F34" w:rsidRDefault="001C1E14" w:rsidP="00CF224D">
            <w:pPr>
              <w:ind w:left="-142"/>
              <w:jc w:val="both"/>
              <w:rPr>
                <w:rFonts w:ascii="Verdana" w:eastAsia="Calibri" w:hAnsi="Verdana" w:cs="Arial"/>
                <w:b/>
                <w:bCs/>
                <w:color w:val="000000" w:themeColor="text1"/>
                <w:lang w:val="es-ES" w:eastAsia="es-ES_tradnl"/>
              </w:rPr>
            </w:pPr>
          </w:p>
        </w:tc>
        <w:tc>
          <w:tcPr>
            <w:tcW w:w="6100" w:type="dxa"/>
          </w:tcPr>
          <w:p w14:paraId="751C7765" w14:textId="77777777" w:rsidR="001C1E14" w:rsidRDefault="001C1E14" w:rsidP="00CF224D">
            <w:pPr>
              <w:ind w:left="3"/>
              <w:jc w:val="both"/>
              <w:rPr>
                <w:rFonts w:ascii="Verdana" w:eastAsia="Calibri" w:hAnsi="Verdana" w:cs="Arial"/>
                <w:b/>
                <w:bCs/>
                <w:color w:val="000000" w:themeColor="text1"/>
                <w:lang w:val="es-ES" w:eastAsia="es-ES"/>
              </w:rPr>
            </w:pPr>
          </w:p>
          <w:p w14:paraId="601D46AA" w14:textId="77777777" w:rsidR="001C1E14" w:rsidRPr="00FC6F34" w:rsidRDefault="001C1E14" w:rsidP="00CF224D">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1680</w:t>
            </w:r>
            <w:r w:rsidRPr="00FC6F34">
              <w:rPr>
                <w:rFonts w:ascii="Verdana" w:eastAsia="Calibri" w:hAnsi="Verdana" w:cs="Arial"/>
                <w:b/>
                <w:bCs/>
                <w:color w:val="000000" w:themeColor="text1"/>
                <w:lang w:val="es-ES" w:eastAsia="es-ES"/>
              </w:rPr>
              <w:t xml:space="preserve"> de 2025</w:t>
            </w:r>
          </w:p>
          <w:p w14:paraId="5E2CD407" w14:textId="77777777" w:rsidR="001C1E14" w:rsidRPr="00FC6F34" w:rsidRDefault="001C1E14" w:rsidP="00CF224D">
            <w:pPr>
              <w:ind w:left="3"/>
              <w:jc w:val="both"/>
              <w:rPr>
                <w:rFonts w:ascii="Verdana" w:eastAsia="Calibri" w:hAnsi="Verdana" w:cs="Arial"/>
                <w:b/>
                <w:bCs/>
                <w:color w:val="000000" w:themeColor="text1"/>
                <w:lang w:val="es-ES" w:eastAsia="es-ES"/>
              </w:rPr>
            </w:pPr>
          </w:p>
        </w:tc>
      </w:tr>
      <w:tr w:rsidR="001C1E14" w:rsidRPr="00FC6F34" w14:paraId="5A804086" w14:textId="77777777" w:rsidTr="00CF224D">
        <w:trPr>
          <w:trHeight w:val="300"/>
        </w:trPr>
        <w:tc>
          <w:tcPr>
            <w:tcW w:w="2410" w:type="dxa"/>
          </w:tcPr>
          <w:p w14:paraId="37B7441B" w14:textId="77777777" w:rsidR="001C1E14" w:rsidRPr="00FC6F34" w:rsidRDefault="001C1E14" w:rsidP="00CF224D">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0CBC9D8C" w14:textId="19E96797" w:rsidR="001C1E14" w:rsidRDefault="001C1E14" w:rsidP="00CF224D">
            <w:pPr>
              <w:spacing w:line="276" w:lineRule="auto"/>
              <w:jc w:val="both"/>
              <w:rPr>
                <w:rFonts w:ascii="Verdana" w:eastAsia="Calibri" w:hAnsi="Verdana" w:cs="Arial"/>
                <w:lang w:val="es-ES" w:eastAsia="es-ES"/>
              </w:rPr>
            </w:pPr>
            <w:r w:rsidRPr="00FC6F34">
              <w:rPr>
                <w:rFonts w:ascii="Verdana" w:eastAsia="Calibri" w:hAnsi="Verdana" w:cs="Arial"/>
                <w:lang w:val="es-ES" w:eastAsia="es-ES"/>
              </w:rPr>
              <w:t xml:space="preserve">LEY DE GARANTÍAS ELECTORALES – Finalidad / LEY DE GARANTÍAS ELECTORALES ‒ Restricciones ‒ Contratación ‒ Tipos de elección / </w:t>
            </w:r>
            <w:r w:rsidR="007E5E68" w:rsidRPr="00FC6F34">
              <w:rPr>
                <w:rFonts w:ascii="Verdana" w:eastAsia="Calibri" w:hAnsi="Verdana" w:cs="Arial"/>
                <w:lang w:val="es-ES" w:eastAsia="es-ES"/>
              </w:rPr>
              <w:t>LEY DE GARANTÍAS ELECTORALES</w:t>
            </w:r>
            <w:r w:rsidR="007E5E68">
              <w:rPr>
                <w:rFonts w:ascii="Verdana" w:eastAsia="Calibri" w:hAnsi="Verdana" w:cs="Arial"/>
                <w:lang w:val="es-ES" w:eastAsia="es-ES"/>
              </w:rPr>
              <w:t xml:space="preserve"> </w:t>
            </w:r>
            <w:r w:rsidR="007E5E68" w:rsidRPr="00FC6F34">
              <w:rPr>
                <w:rFonts w:ascii="Verdana" w:eastAsia="Calibri" w:hAnsi="Verdana" w:cs="Arial"/>
                <w:lang w:val="es-ES" w:eastAsia="es-ES"/>
              </w:rPr>
              <w:t>‒</w:t>
            </w:r>
            <w:r w:rsidR="007E5E68">
              <w:rPr>
                <w:rFonts w:ascii="Verdana" w:eastAsia="Calibri" w:hAnsi="Verdana" w:cs="Arial"/>
                <w:lang w:val="es-ES" w:eastAsia="es-ES"/>
              </w:rPr>
              <w:t xml:space="preserve"> Convenio especial de cooperación</w:t>
            </w:r>
          </w:p>
          <w:p w14:paraId="3AF4C041" w14:textId="77777777" w:rsidR="001C1E14" w:rsidRPr="00FC6F34" w:rsidRDefault="001C1E14" w:rsidP="00CF224D">
            <w:pPr>
              <w:spacing w:line="276" w:lineRule="auto"/>
              <w:jc w:val="both"/>
              <w:rPr>
                <w:rFonts w:ascii="Verdana" w:eastAsia="Calibri" w:hAnsi="Verdana" w:cs="Arial"/>
                <w:color w:val="000000" w:themeColor="text1"/>
                <w:lang w:val="es-ES" w:eastAsia="es-ES"/>
              </w:rPr>
            </w:pPr>
          </w:p>
        </w:tc>
      </w:tr>
      <w:tr w:rsidR="001C1E14" w:rsidRPr="00FC6F34" w14:paraId="7265B2D1" w14:textId="77777777" w:rsidTr="00CF224D">
        <w:tc>
          <w:tcPr>
            <w:tcW w:w="2410" w:type="dxa"/>
          </w:tcPr>
          <w:p w14:paraId="05383664" w14:textId="77777777" w:rsidR="001C1E14" w:rsidRPr="00FC6F34" w:rsidRDefault="001C1E14" w:rsidP="00CF224D">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588B4868" w14:textId="77777777" w:rsidR="001C1E14" w:rsidRPr="00FC6F34" w:rsidRDefault="001C1E14" w:rsidP="00CF224D">
            <w:pPr>
              <w:ind w:left="3"/>
              <w:jc w:val="both"/>
              <w:rPr>
                <w:rFonts w:ascii="Verdana" w:hAnsi="Verdana"/>
                <w:color w:val="000000"/>
                <w:lang w:val="es-ES"/>
              </w:rPr>
            </w:pPr>
            <w:r w:rsidRPr="00FC6F34">
              <w:rPr>
                <w:rFonts w:ascii="Verdana" w:eastAsia="Calibri" w:hAnsi="Verdana" w:cs="Arial"/>
                <w:color w:val="000000" w:themeColor="text1"/>
                <w:lang w:val="es-ES" w:eastAsia="es-ES"/>
              </w:rPr>
              <w:t>Respuesta a consulta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con radicado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No. </w:t>
            </w:r>
            <w:r w:rsidRPr="00271E6F">
              <w:rPr>
                <w:rFonts w:ascii="Verdana" w:eastAsia="Calibri" w:hAnsi="Verdana" w:cs="Arial"/>
                <w:color w:val="000000" w:themeColor="text1"/>
                <w:lang w:val="es-ES" w:eastAsia="es-ES"/>
              </w:rPr>
              <w:t>1_2025_11_12_012815</w:t>
            </w:r>
            <w:r>
              <w:rPr>
                <w:rFonts w:ascii="Verdana" w:eastAsia="Calibri" w:hAnsi="Verdana" w:cs="Arial"/>
                <w:color w:val="000000" w:themeColor="text1"/>
                <w:lang w:val="es-ES" w:eastAsia="es-ES"/>
              </w:rPr>
              <w:t xml:space="preserve"> </w:t>
            </w:r>
            <w:r w:rsidRPr="001F35F7">
              <w:rPr>
                <w:rFonts w:ascii="Verdana" w:eastAsia="Calibri" w:hAnsi="Verdana" w:cs="Arial"/>
                <w:color w:val="000000" w:themeColor="text1"/>
                <w:lang w:val="es-ES" w:eastAsia="es-ES"/>
              </w:rPr>
              <w:t>y 1_2025_11_13_012823 (acumuladas)</w:t>
            </w:r>
          </w:p>
        </w:tc>
      </w:tr>
    </w:tbl>
    <w:p w14:paraId="4289F17D" w14:textId="77777777" w:rsidR="001C1E14" w:rsidRPr="00FC6F34" w:rsidRDefault="001C1E14" w:rsidP="001C1E14">
      <w:pPr>
        <w:spacing w:after="0" w:line="276" w:lineRule="auto"/>
        <w:jc w:val="both"/>
        <w:rPr>
          <w:rFonts w:ascii="Verdana" w:eastAsia="Calibri" w:hAnsi="Verdana" w:cs="Arial"/>
          <w:color w:val="000000" w:themeColor="text1"/>
          <w:lang w:val="es-ES" w:eastAsia="es-ES"/>
        </w:rPr>
      </w:pPr>
    </w:p>
    <w:p w14:paraId="41022219" w14:textId="77777777" w:rsidR="001C1E14" w:rsidRPr="00FC6F34" w:rsidRDefault="001C1E14" w:rsidP="001C1E14">
      <w:pPr>
        <w:spacing w:after="0" w:line="276" w:lineRule="auto"/>
        <w:jc w:val="both"/>
        <w:rPr>
          <w:rFonts w:ascii="Verdana" w:eastAsia="Calibri" w:hAnsi="Verdana" w:cs="Arial"/>
          <w:color w:val="000000" w:themeColor="text1"/>
          <w:lang w:val="es-ES" w:eastAsia="es-ES"/>
        </w:rPr>
      </w:pPr>
    </w:p>
    <w:p w14:paraId="09E3032F" w14:textId="17E99B41" w:rsidR="001C1E14" w:rsidRPr="00FC6F34" w:rsidRDefault="001C1E14" w:rsidP="001C1E14">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sidR="0057647D">
        <w:rPr>
          <w:rFonts w:ascii="Verdana" w:eastAsia="Calibri" w:hAnsi="Verdana" w:cs="Arial"/>
          <w:color w:val="000000" w:themeColor="text1"/>
          <w:lang w:val="es-ES" w:eastAsia="es-ES"/>
        </w:rPr>
        <w:t>a</w:t>
      </w:r>
      <w:r w:rsidRPr="00FC6F34">
        <w:rPr>
          <w:rFonts w:ascii="Verdana" w:eastAsia="Calibri" w:hAnsi="Verdana" w:cs="Arial"/>
          <w:color w:val="000000" w:themeColor="text1"/>
          <w:lang w:val="es-ES" w:eastAsia="es-ES"/>
        </w:rPr>
        <w:t xml:space="preserve"> señor</w:t>
      </w:r>
      <w:r w:rsidR="0057647D">
        <w:rPr>
          <w:rFonts w:ascii="Verdana" w:eastAsia="Calibri" w:hAnsi="Verdana" w:cs="Arial"/>
          <w:color w:val="000000" w:themeColor="text1"/>
          <w:lang w:val="es-ES" w:eastAsia="es-ES"/>
        </w:rPr>
        <w:t>a</w:t>
      </w:r>
      <w:r w:rsidRPr="00FC6F34">
        <w:rPr>
          <w:rFonts w:ascii="Verdana" w:eastAsia="Calibri" w:hAnsi="Verdana" w:cs="Arial"/>
          <w:color w:val="000000" w:themeColor="text1"/>
          <w:lang w:val="es-ES" w:eastAsia="es-ES"/>
        </w:rPr>
        <w:t xml:space="preserve"> </w:t>
      </w:r>
      <w:r w:rsidR="0057647D">
        <w:rPr>
          <w:rFonts w:ascii="Verdana" w:eastAsia="Calibri" w:hAnsi="Verdana" w:cs="Arial"/>
          <w:color w:val="000000" w:themeColor="text1"/>
          <w:lang w:val="es-ES" w:eastAsia="es-ES"/>
        </w:rPr>
        <w:t>Montealegre</w:t>
      </w:r>
      <w:r w:rsidRPr="00FC6F34">
        <w:rPr>
          <w:rFonts w:ascii="Verdana" w:eastAsia="Calibri" w:hAnsi="Verdana" w:cs="Arial"/>
          <w:color w:val="000000" w:themeColor="text1"/>
          <w:lang w:val="es-ES" w:eastAsia="es-ES"/>
        </w:rPr>
        <w:t xml:space="preserve">: </w:t>
      </w:r>
    </w:p>
    <w:p w14:paraId="64FDDD57" w14:textId="77777777" w:rsidR="001C1E14" w:rsidRPr="00FC6F34" w:rsidRDefault="001C1E14" w:rsidP="001C1E14">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7A214671" w14:textId="2D8E7939" w:rsidR="001C1E14" w:rsidRPr="00FC6F34" w:rsidRDefault="001C1E14" w:rsidP="001C1E14">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w:t>
      </w:r>
      <w:r w:rsidR="0057647D">
        <w:rPr>
          <w:rFonts w:ascii="Verdana" w:eastAsia="Calibri" w:hAnsi="Verdana" w:cs="Arial"/>
          <w:color w:val="000000" w:themeColor="text1"/>
          <w:lang w:val="es-ES" w:eastAsia="es-ES"/>
        </w:rPr>
        <w:t>3</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noviembre</w:t>
      </w:r>
      <w:r w:rsidRPr="00FC6F34">
        <w:rPr>
          <w:rFonts w:ascii="Verdana" w:eastAsia="Calibri" w:hAnsi="Verdana" w:cs="Arial"/>
          <w:color w:val="000000" w:themeColor="text1"/>
          <w:lang w:val="es-ES" w:eastAsia="es-ES"/>
        </w:rPr>
        <w:t xml:space="preserve"> de 2025, en la cual manifiesta lo siguiente: </w:t>
      </w:r>
    </w:p>
    <w:p w14:paraId="69985635" w14:textId="77777777" w:rsidR="001C1E14" w:rsidRPr="00BF306B" w:rsidRDefault="001C1E14" w:rsidP="001C1E14">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14302485" w14:textId="77777777" w:rsidR="001C1E14" w:rsidRPr="00271E6F" w:rsidRDefault="001C1E14" w:rsidP="001C1E14">
      <w:pPr>
        <w:spacing w:after="0"/>
        <w:ind w:left="709" w:right="709"/>
        <w:jc w:val="both"/>
        <w:rPr>
          <w:rFonts w:ascii="Verdana" w:eastAsia="Century Gothic" w:hAnsi="Verdana" w:cs="Century Gothic"/>
          <w:iCs/>
          <w:color w:val="000000" w:themeColor="text1"/>
          <w:sz w:val="20"/>
          <w:szCs w:val="20"/>
          <w:lang w:val="en-CO"/>
        </w:rPr>
      </w:pPr>
      <w:r w:rsidRPr="00EA6FA4">
        <w:rPr>
          <w:rFonts w:ascii="Verdana" w:eastAsia="Century Gothic" w:hAnsi="Verdana" w:cs="Century Gothic"/>
          <w:iCs/>
          <w:color w:val="000000" w:themeColor="text1"/>
          <w:sz w:val="20"/>
          <w:szCs w:val="20"/>
          <w:lang w:val="es-ES"/>
        </w:rPr>
        <w:t>“</w:t>
      </w:r>
      <w:r>
        <w:rPr>
          <w:rFonts w:ascii="Verdana" w:eastAsia="Century Gothic" w:hAnsi="Verdana" w:cs="Century Gothic"/>
          <w:iCs/>
          <w:color w:val="000000" w:themeColor="text1"/>
          <w:sz w:val="20"/>
          <w:szCs w:val="20"/>
          <w:lang w:val="es-ES"/>
        </w:rPr>
        <w:t xml:space="preserve">[…] </w:t>
      </w:r>
      <w:r w:rsidRPr="00271E6F">
        <w:rPr>
          <w:rFonts w:ascii="Verdana" w:eastAsia="Century Gothic" w:hAnsi="Verdana" w:cs="Century Gothic"/>
          <w:iCs/>
          <w:color w:val="000000" w:themeColor="text1"/>
          <w:sz w:val="20"/>
          <w:szCs w:val="20"/>
          <w:lang w:val="en-CO"/>
        </w:rPr>
        <w:t xml:space="preserve">El convenio surge en cumplimiento de los compromisos adquiridos por el Ministerio de Ciencia, Tecnología e Innovación en el marco de la consulta previa del Plan Nacional de Desarrollo </w:t>
      </w:r>
      <w:r w:rsidRPr="00271E6F">
        <w:rPr>
          <w:rFonts w:ascii="Verdana" w:eastAsia="Century Gothic" w:hAnsi="Verdana" w:cs="Century Gothic"/>
          <w:i/>
          <w:iCs/>
          <w:color w:val="000000" w:themeColor="text1"/>
          <w:sz w:val="20"/>
          <w:szCs w:val="20"/>
          <w:lang w:val="en-CO"/>
        </w:rPr>
        <w:t>“Colombia Potencia Mundial de la Vida”</w:t>
      </w:r>
      <w:r w:rsidRPr="00271E6F">
        <w:rPr>
          <w:rFonts w:ascii="Verdana" w:eastAsia="Century Gothic" w:hAnsi="Verdana" w:cs="Century Gothic"/>
          <w:iCs/>
          <w:color w:val="000000" w:themeColor="text1"/>
          <w:sz w:val="20"/>
          <w:szCs w:val="20"/>
          <w:lang w:val="en-CO"/>
        </w:rPr>
        <w:t xml:space="preserve">, formalizados en el Acuerdo IT3-93. En este contexto, la Mesa Permanente de Concertación (MPC) designó al CRIC como entidad ejecutora de los compromisos relacionados con el reconocimiento y fortalecimiento de los sistemas de conocimiento propio y el diálogo de saberes con la ciencia occidental. </w:t>
      </w:r>
    </w:p>
    <w:p w14:paraId="15F5C00F" w14:textId="77777777" w:rsidR="001C1E14" w:rsidRPr="00271E6F" w:rsidRDefault="001C1E14" w:rsidP="001C1E14">
      <w:pPr>
        <w:spacing w:after="0" w:line="240" w:lineRule="auto"/>
        <w:ind w:left="709" w:right="709"/>
        <w:jc w:val="both"/>
        <w:rPr>
          <w:rFonts w:ascii="Verdana" w:eastAsia="Century Gothic" w:hAnsi="Verdana" w:cs="Century Gothic"/>
          <w:iCs/>
          <w:color w:val="000000" w:themeColor="text1"/>
          <w:sz w:val="20"/>
          <w:szCs w:val="20"/>
          <w:lang w:val="en-CO"/>
        </w:rPr>
      </w:pPr>
      <w:r w:rsidRPr="00271E6F">
        <w:rPr>
          <w:rFonts w:ascii="Verdana" w:eastAsia="Century Gothic" w:hAnsi="Verdana" w:cs="Century Gothic"/>
          <w:iCs/>
          <w:color w:val="000000" w:themeColor="text1"/>
          <w:sz w:val="20"/>
          <w:szCs w:val="20"/>
          <w:lang w:val="en-CO"/>
        </w:rPr>
        <w:t xml:space="preserve">Con la ejecución del convenio se pretende impactar a las diferentes comunidades y territorios indígenas pertenecientes al Consejo Regional Indígena del Cauca – CRIC, es decir su ejecución será de carácter </w:t>
      </w:r>
      <w:r w:rsidRPr="00271E6F">
        <w:rPr>
          <w:rFonts w:ascii="Verdana" w:eastAsia="Century Gothic" w:hAnsi="Verdana" w:cs="Century Gothic"/>
          <w:iCs/>
          <w:color w:val="000000" w:themeColor="text1"/>
          <w:sz w:val="20"/>
          <w:szCs w:val="20"/>
          <w:lang w:val="en-CO"/>
        </w:rPr>
        <w:lastRenderedPageBreak/>
        <w:t xml:space="preserve">territorial y los principales beneficiarios serán, como se indicó los territorios indígenas. </w:t>
      </w:r>
    </w:p>
    <w:p w14:paraId="0FD5CCB4" w14:textId="77777777" w:rsidR="001C1E14" w:rsidRPr="00271E6F" w:rsidRDefault="001C1E14" w:rsidP="001C1E14">
      <w:pPr>
        <w:spacing w:after="0"/>
        <w:ind w:left="709" w:right="709"/>
        <w:jc w:val="both"/>
        <w:rPr>
          <w:rFonts w:ascii="Verdana" w:eastAsia="Century Gothic" w:hAnsi="Verdana" w:cs="Century Gothic"/>
          <w:iCs/>
          <w:color w:val="000000" w:themeColor="text1"/>
          <w:sz w:val="20"/>
          <w:szCs w:val="20"/>
          <w:lang w:val="en-CO"/>
        </w:rPr>
      </w:pPr>
      <w:r w:rsidRPr="00271E6F">
        <w:rPr>
          <w:rFonts w:ascii="Verdana" w:eastAsia="Century Gothic" w:hAnsi="Verdana" w:cs="Century Gothic"/>
          <w:iCs/>
          <w:color w:val="000000" w:themeColor="text1"/>
          <w:sz w:val="20"/>
          <w:szCs w:val="20"/>
        </w:rPr>
        <w:t>[…]</w:t>
      </w:r>
      <w:r>
        <w:rPr>
          <w:rFonts w:ascii="Verdana" w:eastAsia="Century Gothic" w:hAnsi="Verdana" w:cs="Century Gothic"/>
          <w:iCs/>
          <w:color w:val="000000" w:themeColor="text1"/>
          <w:sz w:val="20"/>
          <w:szCs w:val="20"/>
        </w:rPr>
        <w:t xml:space="preserve"> </w:t>
      </w:r>
      <w:r w:rsidRPr="00271E6F">
        <w:rPr>
          <w:rFonts w:ascii="Verdana" w:eastAsia="Century Gothic" w:hAnsi="Verdana" w:cs="Century Gothic"/>
          <w:iCs/>
          <w:color w:val="000000" w:themeColor="text1"/>
          <w:sz w:val="20"/>
          <w:szCs w:val="20"/>
          <w:lang w:val="en-CO"/>
        </w:rPr>
        <w:t xml:space="preserve">La duda radica en determinar si, para efectos de la Ley de Garantías Electorales, debe entenderse que todos estos contratos están cobijados por la restricción del artículo 38, </w:t>
      </w:r>
      <w:r w:rsidRPr="00271E6F">
        <w:rPr>
          <w:rFonts w:ascii="Verdana" w:eastAsia="Century Gothic" w:hAnsi="Verdana" w:cs="Century Gothic"/>
          <w:b/>
          <w:bCs/>
          <w:iCs/>
          <w:color w:val="000000" w:themeColor="text1"/>
          <w:sz w:val="20"/>
          <w:szCs w:val="20"/>
          <w:lang w:val="en-CO"/>
        </w:rPr>
        <w:t>desde 8 de noviembre de 2025</w:t>
      </w:r>
      <w:r w:rsidRPr="00271E6F">
        <w:rPr>
          <w:rFonts w:ascii="Verdana" w:eastAsia="Century Gothic" w:hAnsi="Verdana" w:cs="Century Gothic"/>
          <w:iCs/>
          <w:color w:val="000000" w:themeColor="text1"/>
          <w:sz w:val="20"/>
          <w:szCs w:val="20"/>
          <w:lang w:val="en-CO"/>
        </w:rPr>
        <w:t xml:space="preserve">, o si debe hacerse una diferenciación según la calidad de las partes, que solo cuando Los Gobernadores, Alcaldes Municipales y/o Distritales, Secretarios, Gerentes y directores de Entidades Descentralizadas del orden Municipal, Departamental o Distrital, firmen como parte, operara la veda desde noviembre, y que en los demás casos la restricción aplicable sea la del artículo 33, cuyo periodo inicia en enero de 2026. </w:t>
      </w:r>
    </w:p>
    <w:p w14:paraId="181AD349" w14:textId="77777777" w:rsidR="001C1E14" w:rsidRPr="00271E6F" w:rsidRDefault="001C1E14" w:rsidP="001C1E14">
      <w:pPr>
        <w:spacing w:after="0"/>
        <w:ind w:left="709" w:right="709"/>
        <w:jc w:val="both"/>
        <w:rPr>
          <w:rFonts w:ascii="Verdana" w:eastAsia="Century Gothic" w:hAnsi="Verdana" w:cs="Century Gothic"/>
          <w:iCs/>
          <w:color w:val="000000" w:themeColor="text1"/>
          <w:sz w:val="20"/>
          <w:szCs w:val="20"/>
          <w:lang w:val="en-CO"/>
        </w:rPr>
      </w:pPr>
      <w:r w:rsidRPr="00271E6F">
        <w:rPr>
          <w:rFonts w:ascii="Verdana" w:eastAsia="Century Gothic" w:hAnsi="Verdana" w:cs="Century Gothic"/>
          <w:iCs/>
          <w:color w:val="000000" w:themeColor="text1"/>
          <w:sz w:val="20"/>
          <w:szCs w:val="20"/>
          <w:lang w:val="en-CO"/>
        </w:rPr>
        <w:t xml:space="preserve">Así las cosas, solicitamos a esa entidad se sirva emitir concepto respecto a la interpretación de la Ley 996 de 2005 en relación con la suscripción del </w:t>
      </w:r>
      <w:r w:rsidRPr="00271E6F">
        <w:rPr>
          <w:rFonts w:ascii="Verdana" w:eastAsia="Century Gothic" w:hAnsi="Verdana" w:cs="Century Gothic"/>
          <w:b/>
          <w:bCs/>
          <w:iCs/>
          <w:color w:val="000000" w:themeColor="text1"/>
          <w:sz w:val="20"/>
          <w:szCs w:val="20"/>
          <w:lang w:val="en-CO"/>
        </w:rPr>
        <w:t>Convenio Especial de Cooperación</w:t>
      </w:r>
      <w:r w:rsidRPr="00271E6F">
        <w:rPr>
          <w:rFonts w:ascii="Verdana" w:eastAsia="Century Gothic" w:hAnsi="Verdana" w:cs="Century Gothic"/>
          <w:iCs/>
          <w:color w:val="000000" w:themeColor="text1"/>
          <w:sz w:val="20"/>
          <w:szCs w:val="20"/>
          <w:lang w:val="en-CO"/>
        </w:rPr>
        <w:t>, indicando si procede la aplicación del artículo 38 en el escenario descrito y desde qué fecha deben entenderse vigentes las restricciones, teniendo en cuenta que el calendario electoral de 2026 incluye elecciones legislativas en marzo y elecciones presidenciales en mayo (y eventual segunda vuelta en junio)</w:t>
      </w:r>
      <w:r>
        <w:rPr>
          <w:rFonts w:ascii="Verdana" w:eastAsia="Century Gothic" w:hAnsi="Verdana" w:cs="Century Gothic"/>
          <w:iCs/>
          <w:color w:val="000000" w:themeColor="text1"/>
          <w:sz w:val="20"/>
          <w:szCs w:val="20"/>
          <w:lang w:val="en-CO"/>
        </w:rPr>
        <w:t>”.</w:t>
      </w:r>
    </w:p>
    <w:p w14:paraId="58284C58" w14:textId="77777777" w:rsidR="001C1E14" w:rsidRPr="00FC6F34" w:rsidRDefault="001C1E14" w:rsidP="001C1E14">
      <w:pPr>
        <w:spacing w:after="0" w:line="276" w:lineRule="auto"/>
        <w:ind w:right="709"/>
        <w:jc w:val="both"/>
        <w:rPr>
          <w:rFonts w:ascii="Verdana" w:eastAsia="Calibri" w:hAnsi="Verdana" w:cs="Arial"/>
          <w:lang w:val="es-ES"/>
        </w:rPr>
      </w:pPr>
    </w:p>
    <w:p w14:paraId="1D05A7FC" w14:textId="77777777" w:rsidR="001C1E14" w:rsidRPr="00FC6F34" w:rsidRDefault="001C1E14" w:rsidP="001C1E14">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7D0A241E" w14:textId="77777777" w:rsidR="001C1E14" w:rsidRPr="00FC6F34" w:rsidRDefault="001C1E14" w:rsidP="001C1E14">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9188E3C" w14:textId="77777777" w:rsidR="001C1E14" w:rsidRPr="00FC6F34" w:rsidRDefault="001C1E14" w:rsidP="001C1E14">
      <w:pPr>
        <w:spacing w:after="0" w:line="276" w:lineRule="auto"/>
        <w:ind w:firstLine="709"/>
        <w:jc w:val="both"/>
        <w:rPr>
          <w:rFonts w:ascii="Verdana" w:eastAsia="Calibri" w:hAnsi="Verdana" w:cs="Arial"/>
          <w:color w:val="000000" w:themeColor="text1"/>
          <w:lang w:val="es-ES" w:eastAsia="es-ES"/>
        </w:rPr>
      </w:pPr>
    </w:p>
    <w:p w14:paraId="0E1546AD" w14:textId="77777777" w:rsidR="001C1E14" w:rsidRPr="00FC6F34" w:rsidRDefault="001C1E14" w:rsidP="001C1E14">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61451B22" w14:textId="77777777" w:rsidR="001C1E14" w:rsidRPr="00FC6F34" w:rsidRDefault="001C1E14" w:rsidP="001C1E14">
      <w:pPr>
        <w:tabs>
          <w:tab w:val="left" w:pos="426"/>
        </w:tabs>
        <w:spacing w:after="0" w:line="276" w:lineRule="auto"/>
        <w:jc w:val="both"/>
        <w:rPr>
          <w:rFonts w:ascii="Verdana" w:eastAsia="Century Gothic" w:hAnsi="Verdana" w:cs="Century Gothic"/>
          <w:color w:val="000000" w:themeColor="text1"/>
          <w:lang w:val="es-ES"/>
        </w:rPr>
      </w:pPr>
    </w:p>
    <w:p w14:paraId="332EE1B6" w14:textId="77777777" w:rsidR="001C1E14" w:rsidRPr="00FC6F34" w:rsidRDefault="001C1E14" w:rsidP="001C1E14">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lastRenderedPageBreak/>
        <w:t xml:space="preserve">De acuerdo con el contenido de su solicitud, esta Agencia resolverá el siguiente problema jurídico: </w:t>
      </w:r>
      <w:r>
        <w:rPr>
          <w:rFonts w:ascii="Verdana" w:eastAsia="Century Gothic" w:hAnsi="Verdana" w:cs="Century Gothic"/>
          <w:color w:val="000000" w:themeColor="text1"/>
          <w:lang w:val="es-ES"/>
        </w:rPr>
        <w:t>¿cuál es el alcance de las restricciones de la Ley de Garantías Electorales con respecto a los convenios especiales de cooperación?</w:t>
      </w:r>
    </w:p>
    <w:p w14:paraId="2895CE59" w14:textId="77777777" w:rsidR="001C1E14" w:rsidRPr="00FC6F34" w:rsidRDefault="001C1E14" w:rsidP="001C1E14">
      <w:pPr>
        <w:spacing w:after="0" w:line="276" w:lineRule="auto"/>
        <w:jc w:val="both"/>
        <w:rPr>
          <w:rFonts w:ascii="Verdana" w:eastAsia="Calibri" w:hAnsi="Verdana" w:cs="Arial"/>
          <w:color w:val="000000" w:themeColor="text1"/>
          <w:lang w:val="es-ES"/>
        </w:rPr>
      </w:pPr>
    </w:p>
    <w:p w14:paraId="1619EDE6" w14:textId="77777777" w:rsidR="001C1E14" w:rsidRPr="00FC6F34" w:rsidRDefault="001C1E14" w:rsidP="001C1E14">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7BC8418E" w14:textId="77777777" w:rsidR="001C1E14" w:rsidRPr="00FC6F34" w:rsidRDefault="001C1E14" w:rsidP="001C1E14">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C1E14" w:rsidRPr="00FC6F34" w14:paraId="35BD3295" w14:textId="77777777" w:rsidTr="00CF224D">
        <w:tc>
          <w:tcPr>
            <w:tcW w:w="8828" w:type="dxa"/>
          </w:tcPr>
          <w:p w14:paraId="4C87DCD8" w14:textId="77777777" w:rsidR="001C1E14" w:rsidRDefault="001C1E14" w:rsidP="00CF224D">
            <w:pPr>
              <w:spacing w:after="120" w:line="276" w:lineRule="auto"/>
              <w:jc w:val="both"/>
              <w:rPr>
                <w:rFonts w:ascii="Verdana" w:eastAsia="Calibri" w:hAnsi="Verdana" w:cs="Arial"/>
                <w:color w:val="000000" w:themeColor="text1"/>
                <w:lang w:val="es-ES"/>
              </w:rPr>
            </w:pPr>
            <w:r>
              <w:rPr>
                <w:rFonts w:ascii="Verdana" w:eastAsia="Calibri" w:hAnsi="Verdana"/>
                <w:color w:val="000000" w:themeColor="text1"/>
                <w:lang w:val="es-ES"/>
              </w:rPr>
              <w:t>Respecto al contenido de su consulta esta Agencia manifiesta que</w:t>
            </w:r>
            <w:r w:rsidRPr="008306EF">
              <w:rPr>
                <w:rFonts w:ascii="Verdana" w:eastAsia="Calibri" w:hAnsi="Verdana" w:cs="Arial"/>
                <w:color w:val="000000" w:themeColor="text1"/>
                <w:lang w:val="es-ES"/>
              </w:rPr>
              <w:t>, la Ley 996 de 2005 establece dos (2) tipos de restricciones en materia de contratación, las cuales coinciden parcialmente</w:t>
            </w:r>
            <w:r>
              <w:rPr>
                <w:rFonts w:ascii="Verdana" w:eastAsia="Calibri" w:hAnsi="Verdana" w:cs="Arial"/>
                <w:color w:val="000000" w:themeColor="text1"/>
                <w:lang w:val="es-ES"/>
              </w:rPr>
              <w:t>:</w:t>
            </w:r>
          </w:p>
          <w:p w14:paraId="133038D7" w14:textId="77777777" w:rsidR="001C1E14" w:rsidRDefault="001C1E14" w:rsidP="00CF224D">
            <w:pPr>
              <w:spacing w:after="120" w:line="276" w:lineRule="auto"/>
              <w:ind w:firstLine="709"/>
              <w:jc w:val="both"/>
              <w:rPr>
                <w:rFonts w:ascii="Verdana" w:eastAsia="Calibri" w:hAnsi="Verdana" w:cs="Arial"/>
                <w:color w:val="000000" w:themeColor="text1"/>
                <w:lang w:val="es-ES"/>
              </w:rPr>
            </w:pPr>
            <w:r w:rsidRPr="008306EF">
              <w:rPr>
                <w:rFonts w:ascii="Verdana" w:eastAsia="Calibri" w:hAnsi="Verdana" w:cs="Arial"/>
                <w:color w:val="000000" w:themeColor="text1"/>
                <w:lang w:val="es-ES"/>
              </w:rPr>
              <w:t xml:space="preserve">En primer lugar, </w:t>
            </w:r>
            <w:r>
              <w:rPr>
                <w:rFonts w:ascii="Verdana" w:eastAsia="Calibri" w:hAnsi="Verdana" w:cs="Arial"/>
                <w:color w:val="000000" w:themeColor="text1"/>
                <w:lang w:val="es-ES"/>
              </w:rPr>
              <w:t>se encuentra</w:t>
            </w:r>
            <w:r w:rsidRPr="008306EF">
              <w:rPr>
                <w:rFonts w:ascii="Verdana" w:eastAsia="Calibri" w:hAnsi="Verdana" w:cs="Arial"/>
                <w:color w:val="000000" w:themeColor="text1"/>
                <w:lang w:val="es-ES"/>
              </w:rPr>
              <w:t xml:space="preserve"> la</w:t>
            </w:r>
            <w:r>
              <w:rPr>
                <w:rFonts w:ascii="Verdana" w:eastAsia="Calibri" w:hAnsi="Verdana" w:cs="Arial"/>
                <w:color w:val="000000" w:themeColor="text1"/>
                <w:lang w:val="es-ES"/>
              </w:rPr>
              <w:t xml:space="preserve"> consagrada en</w:t>
            </w:r>
            <w:r w:rsidRPr="008306EF">
              <w:rPr>
                <w:rFonts w:ascii="Verdana" w:eastAsia="Calibri" w:hAnsi="Verdana" w:cs="Arial"/>
                <w:color w:val="000000" w:themeColor="text1"/>
                <w:lang w:val="es-ES"/>
              </w:rPr>
              <w:t xml:space="preserve"> el artículo 33</w:t>
            </w:r>
            <w:r>
              <w:rPr>
                <w:rFonts w:ascii="Verdana" w:eastAsia="Calibri" w:hAnsi="Verdana" w:cs="Arial"/>
                <w:color w:val="000000" w:themeColor="text1"/>
                <w:lang w:val="es-ES"/>
              </w:rPr>
              <w:t>,</w:t>
            </w:r>
            <w:r w:rsidRPr="008306EF">
              <w:rPr>
                <w:rFonts w:ascii="Verdana" w:eastAsia="Calibri" w:hAnsi="Verdana" w:cs="Arial"/>
                <w:color w:val="000000" w:themeColor="text1"/>
                <w:lang w:val="es-ES"/>
              </w:rPr>
              <w:t xml:space="preserve"> que opera solo respecto de las elecciones presidenciales, en virtud de la cual queda proscrita la contratación directa dentro de los cuatro (4) meses anteriores a la celebración de los comicios, salvo las  excepciones</w:t>
            </w:r>
            <w:r>
              <w:rPr>
                <w:rFonts w:ascii="Verdana" w:eastAsia="Calibri" w:hAnsi="Verdana" w:cs="Arial"/>
                <w:color w:val="000000" w:themeColor="text1"/>
                <w:lang w:val="es-ES"/>
              </w:rPr>
              <w:t xml:space="preserve"> contempladas en la misma norma</w:t>
            </w:r>
            <w:r w:rsidRPr="008306EF">
              <w:rPr>
                <w:rFonts w:ascii="Verdana" w:eastAsia="Calibri" w:hAnsi="Verdana" w:cs="Arial"/>
                <w:color w:val="000000" w:themeColor="text1"/>
                <w:lang w:val="es-ES"/>
              </w:rPr>
              <w:t xml:space="preserve">. Sin embargo, si ningún candidato obtiene la mitad más uno de los votos que, de manera secreta y directa, depositen los ciudadanos, se celebrará una nueva votación que tendrá lugar tres </w:t>
            </w:r>
            <w:r>
              <w:rPr>
                <w:rFonts w:ascii="Verdana" w:eastAsia="Calibri" w:hAnsi="Verdana" w:cs="Arial"/>
                <w:color w:val="000000" w:themeColor="text1"/>
                <w:lang w:val="es-ES"/>
              </w:rPr>
              <w:t>(3)</w:t>
            </w:r>
            <w:r w:rsidRPr="008306EF">
              <w:rPr>
                <w:rFonts w:ascii="Verdana" w:eastAsia="Calibri" w:hAnsi="Verdana" w:cs="Arial"/>
                <w:color w:val="000000" w:themeColor="text1"/>
                <w:lang w:val="es-ES"/>
              </w:rPr>
              <w:t xml:space="preserve">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3C0158F0" w14:textId="77777777" w:rsidR="001C1E14" w:rsidRDefault="001C1E14" w:rsidP="00CF224D">
            <w:pPr>
              <w:spacing w:after="120" w:line="276" w:lineRule="auto"/>
              <w:ind w:firstLine="709"/>
              <w:jc w:val="both"/>
              <w:rPr>
                <w:rFonts w:ascii="Verdana" w:eastAsia="Calibri" w:hAnsi="Verdana" w:cs="Arial"/>
                <w:color w:val="000000" w:themeColor="text1"/>
                <w:lang w:val="es-ES"/>
              </w:rPr>
            </w:pPr>
            <w:r w:rsidRPr="008306EF">
              <w:rPr>
                <w:rFonts w:ascii="Verdana" w:eastAsia="Calibri" w:hAnsi="Verdana" w:cs="Arial"/>
                <w:color w:val="000000" w:themeColor="text1"/>
                <w:lang w:val="es-ES"/>
              </w:rPr>
              <w:t>En segundo lugar, también se encuentra la prohibición del parágrafo del artículo 38, l</w:t>
            </w:r>
            <w:r>
              <w:rPr>
                <w:rFonts w:ascii="Verdana" w:eastAsia="Calibri" w:hAnsi="Verdana" w:cs="Arial"/>
                <w:color w:val="000000" w:themeColor="text1"/>
                <w:lang w:val="es-ES"/>
              </w:rPr>
              <w:t>a</w:t>
            </w:r>
            <w:r w:rsidRPr="008306EF">
              <w:rPr>
                <w:rFonts w:ascii="Verdana" w:eastAsia="Calibri" w:hAnsi="Verdana" w:cs="Arial"/>
                <w:color w:val="000000" w:themeColor="text1"/>
                <w:lang w:val="es-ES"/>
              </w:rPr>
              <w:t xml:space="preserve"> cual debe aplicarse respecto de cualquier tipo de contienda electoral, y que </w:t>
            </w:r>
            <w:r>
              <w:rPr>
                <w:rFonts w:ascii="Verdana" w:eastAsia="Times New Roman" w:hAnsi="Verdana" w:cs="Arial"/>
                <w:lang w:val="es-MX" w:eastAsia="es-CO"/>
              </w:rPr>
              <w:t xml:space="preserve">prohíbe a los Alcaldes, Gobernadores, Secretarios, Gerentes y Directores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w:t>
            </w:r>
            <w:r w:rsidRPr="00A51A1D">
              <w:rPr>
                <w:rFonts w:ascii="Verdana" w:eastAsia="Times New Roman" w:hAnsi="Verdana" w:cs="Arial"/>
                <w:i/>
                <w:iCs/>
                <w:lang w:val="es-MX" w:eastAsia="es-CO"/>
              </w:rPr>
              <w:t>para la ejecución de recursos públicos</w:t>
            </w:r>
            <w:r>
              <w:rPr>
                <w:rFonts w:ascii="Verdana" w:eastAsia="Times New Roman" w:hAnsi="Verdana" w:cs="Arial"/>
                <w:lang w:val="es-MX" w:eastAsia="es-CO"/>
              </w:rPr>
              <w:t xml:space="preserve">. </w:t>
            </w:r>
            <w:r>
              <w:rPr>
                <w:rFonts w:ascii="Verdana" w:eastAsia="Calibri" w:hAnsi="Verdana" w:cs="Arial"/>
                <w:color w:val="000000" w:themeColor="text1"/>
                <w:lang w:val="es-ES"/>
              </w:rPr>
              <w:t xml:space="preserve">         </w:t>
            </w:r>
          </w:p>
          <w:p w14:paraId="1ABDB7F2" w14:textId="77777777" w:rsidR="001C1E14" w:rsidRDefault="001C1E14" w:rsidP="00CF224D">
            <w:pPr>
              <w:spacing w:after="120" w:line="276" w:lineRule="auto"/>
              <w:ind w:firstLine="709"/>
              <w:jc w:val="both"/>
              <w:rPr>
                <w:rFonts w:ascii="Verdana" w:eastAsia="Calibri" w:hAnsi="Verdana" w:cs="Arial"/>
                <w:color w:val="000000" w:themeColor="text1"/>
                <w:lang w:val="es-ES"/>
              </w:rPr>
            </w:pPr>
            <w:r w:rsidRPr="008306EF">
              <w:rPr>
                <w:rFonts w:ascii="Verdana" w:eastAsia="Calibri" w:hAnsi="Verdana" w:cs="Arial"/>
                <w:color w:val="000000" w:themeColor="text1"/>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r>
              <w:rPr>
                <w:rFonts w:ascii="Verdana" w:eastAsia="Calibri" w:hAnsi="Verdana" w:cs="Arial"/>
                <w:color w:val="000000" w:themeColor="text1"/>
                <w:lang w:val="es-ES"/>
              </w:rPr>
              <w:t>.</w:t>
            </w:r>
          </w:p>
          <w:p w14:paraId="7B4680B3" w14:textId="77777777" w:rsidR="001C1E14" w:rsidRDefault="001C1E14" w:rsidP="00CF224D">
            <w:pPr>
              <w:spacing w:after="120" w:line="276" w:lineRule="auto"/>
              <w:ind w:firstLine="709"/>
              <w:jc w:val="both"/>
              <w:rPr>
                <w:rFonts w:ascii="Verdana" w:eastAsia="Century Gothic" w:hAnsi="Verdana" w:cs="Century Gothic"/>
              </w:rPr>
            </w:pPr>
            <w:r>
              <w:rPr>
                <w:rFonts w:ascii="Verdana" w:eastAsia="Calibri" w:hAnsi="Verdana" w:cs="Arial"/>
                <w:color w:val="000000" w:themeColor="text1"/>
                <w:lang w:val="es-ES"/>
              </w:rPr>
              <w:t xml:space="preserve">Teniendo en cuenta la explicación precedente, se señala que los </w:t>
            </w:r>
            <w:r w:rsidRPr="00F71F99">
              <w:rPr>
                <w:rFonts w:ascii="Verdana" w:eastAsia="Century Gothic" w:hAnsi="Verdana" w:cs="Century Gothic"/>
              </w:rPr>
              <w:t xml:space="preserve">convenios especiales de cooperación para el desarrollo de actividades de </w:t>
            </w:r>
            <w:r w:rsidRPr="00F71F99">
              <w:rPr>
                <w:rFonts w:ascii="Verdana" w:eastAsia="Century Gothic" w:hAnsi="Verdana" w:cs="Century Gothic"/>
              </w:rPr>
              <w:lastRenderedPageBreak/>
              <w:t>ciencia, tecnología e innovación</w:t>
            </w:r>
            <w:r>
              <w:rPr>
                <w:rFonts w:ascii="Verdana" w:eastAsia="Century Gothic" w:hAnsi="Verdana" w:cs="Century Gothic"/>
              </w:rPr>
              <w:t xml:space="preserve"> que están prohibidos contratar durante los cuatro (4) meses previos a las elecciones de presidente son aquellos que se celebren de manera directa, es decir, a través de una modalidad de contratación que no implique pluralidad de oferentes. </w:t>
            </w:r>
          </w:p>
          <w:p w14:paraId="5AC43F4C" w14:textId="675E6EAD" w:rsidR="001C1E14" w:rsidRPr="00036A04" w:rsidRDefault="001C1E14" w:rsidP="00CF224D">
            <w:pPr>
              <w:spacing w:after="120" w:line="276" w:lineRule="auto"/>
              <w:ind w:firstLine="708"/>
              <w:jc w:val="both"/>
              <w:rPr>
                <w:rFonts w:ascii="Verdana" w:eastAsia="Times New Roman" w:hAnsi="Verdana" w:cs="Arial"/>
                <w:bCs/>
                <w:lang w:val="es-ES" w:eastAsia="es-CO"/>
              </w:rPr>
            </w:pPr>
            <w:r>
              <w:rPr>
                <w:rFonts w:ascii="Verdana" w:eastAsia="Century Gothic" w:hAnsi="Verdana" w:cs="Century Gothic"/>
              </w:rPr>
              <w:t xml:space="preserve">Ahora bien, tratándose de elecciones en general se </w:t>
            </w:r>
            <w:r>
              <w:rPr>
                <w:rFonts w:ascii="Verdana" w:eastAsia="Times New Roman" w:hAnsi="Verdana" w:cs="Arial"/>
                <w:lang w:val="es-MX" w:eastAsia="es-CO"/>
              </w:rPr>
              <w:t xml:space="preserve">prohíbe a los Alcaldes, Gobernadores, Secretarios, Gerentes y Directores de las entidades del orden municipal, departamental o distrital celebrar </w:t>
            </w:r>
            <w:r>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w:t>
            </w:r>
            <w:r w:rsidRPr="00A51A1D">
              <w:rPr>
                <w:rFonts w:ascii="Verdana" w:eastAsia="Times New Roman" w:hAnsi="Verdana" w:cs="Arial"/>
                <w:i/>
                <w:iCs/>
                <w:lang w:val="es-MX" w:eastAsia="es-CO"/>
              </w:rPr>
              <w:t>para la ejecución de recursos públicos</w:t>
            </w:r>
            <w:r>
              <w:rPr>
                <w:rFonts w:ascii="Verdana" w:eastAsia="Times New Roman" w:hAnsi="Verdana" w:cs="Arial"/>
                <w:lang w:val="es-MX" w:eastAsia="es-CO"/>
              </w:rPr>
              <w:t xml:space="preserve">. En este sentido, si una o ambas partes de la relación contractual es una entidad de aquellas descritas, no podrá celebrar tales </w:t>
            </w:r>
            <w:r>
              <w:rPr>
                <w:rFonts w:ascii="Verdana" w:eastAsia="Times New Roman" w:hAnsi="Verdana" w:cs="Arial"/>
                <w:i/>
                <w:iCs/>
                <w:lang w:val="es-MX" w:eastAsia="es-CO"/>
              </w:rPr>
              <w:t>convenios</w:t>
            </w:r>
            <w:r>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r>
              <w:rPr>
                <w:rFonts w:ascii="Verdana" w:eastAsia="Century Gothic" w:hAnsi="Verdana" w:cs="Century Gothic"/>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364A4E27" w14:textId="77777777" w:rsidR="001C1E14" w:rsidRPr="00FC6F34" w:rsidRDefault="001C1E14" w:rsidP="001C1E14">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BA507B5" w14:textId="77777777" w:rsidR="001C1E14" w:rsidRPr="00FC6F34" w:rsidRDefault="001C1E14" w:rsidP="001C1E14">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652586EA" w14:textId="77777777" w:rsidR="001C1E14" w:rsidRPr="00FC6F34" w:rsidRDefault="001C1E14" w:rsidP="001C1E14">
      <w:pPr>
        <w:spacing w:after="0" w:line="276" w:lineRule="auto"/>
        <w:jc w:val="both"/>
        <w:rPr>
          <w:rFonts w:ascii="Verdana" w:eastAsia="Calibri" w:hAnsi="Verdana" w:cs="Arial"/>
          <w:color w:val="000000" w:themeColor="text1"/>
          <w:lang w:val="es-ES"/>
        </w:rPr>
      </w:pPr>
    </w:p>
    <w:p w14:paraId="6BB5A8E1" w14:textId="77777777" w:rsidR="001C1E14" w:rsidRPr="00D71E83" w:rsidRDefault="001C1E14" w:rsidP="001C1E14">
      <w:pPr>
        <w:spacing w:after="0" w:line="276" w:lineRule="auto"/>
        <w:jc w:val="both"/>
        <w:rPr>
          <w:rFonts w:ascii="Verdana" w:eastAsia="Calibri" w:hAnsi="Verdana" w:cs="Arial"/>
          <w:lang w:val="es-ES"/>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Pr>
          <w:rFonts w:ascii="Verdana" w:eastAsia="Calibri" w:hAnsi="Verdana" w:cs="Arial"/>
          <w:lang w:val="es-ES"/>
        </w:rPr>
        <w:t xml:space="preserve"> </w:t>
      </w:r>
      <w:r w:rsidRPr="008306EF">
        <w:rPr>
          <w:rFonts w:ascii="Verdana" w:eastAsia="Times New Roman" w:hAnsi="Verdana" w:cs="Arial"/>
          <w:color w:val="000000" w:themeColor="text1"/>
          <w:szCs w:val="24"/>
          <w:lang w:val="es-ES_tradnl" w:eastAsia="es-ES_tradnl"/>
        </w:rPr>
        <w:t xml:space="preserve">Las actividades de ciencia, tecnología e innovación están previstas en cuatro cuerpos normativos: i) el Decreto Ley 393 de 1991, que prevé dos formas de asociación para que las entidades ejecuten actividades científicas y tecnológicas, proyectos de investigación y creación de tecnologías: a) crear personas jurídicas civiles, comerciales y sin ánimo de lucro y b) celebrar convenios especiales de cooperación; </w:t>
      </w:r>
      <w:proofErr w:type="spellStart"/>
      <w:r w:rsidRPr="008306EF">
        <w:rPr>
          <w:rFonts w:ascii="Verdana" w:eastAsia="Times New Roman" w:hAnsi="Verdana" w:cs="Arial"/>
          <w:color w:val="000000" w:themeColor="text1"/>
          <w:szCs w:val="24"/>
          <w:lang w:val="es-ES_tradnl" w:eastAsia="es-ES_tradnl"/>
        </w:rPr>
        <w:t>ii</w:t>
      </w:r>
      <w:proofErr w:type="spellEnd"/>
      <w:r w:rsidRPr="008306EF">
        <w:rPr>
          <w:rFonts w:ascii="Verdana" w:eastAsia="Times New Roman" w:hAnsi="Verdana" w:cs="Arial"/>
          <w:color w:val="000000" w:themeColor="text1"/>
          <w:szCs w:val="24"/>
          <w:lang w:val="es-ES_tradnl" w:eastAsia="es-ES_tradnl"/>
        </w:rPr>
        <w:t xml:space="preserve">) el Decreto Ley 591 de 1991, que enlista actividades científicas y tecnológicas y, a pesar de que su propósito principal era regular las modalidades específicas de contratos de fomento de esas actividades, con la derogatoria del artículo 7 que señalaba 10 tipos de contratos, actualmente se encuentran vigentes 3: a) contratos de financiamiento, b) contratos de </w:t>
      </w:r>
      <w:r w:rsidRPr="008306EF">
        <w:rPr>
          <w:rFonts w:ascii="Verdana" w:eastAsia="Times New Roman" w:hAnsi="Verdana" w:cs="Arial"/>
          <w:color w:val="000000" w:themeColor="text1"/>
          <w:szCs w:val="24"/>
          <w:lang w:val="es-ES_tradnl" w:eastAsia="es-ES_tradnl"/>
        </w:rPr>
        <w:lastRenderedPageBreak/>
        <w:t xml:space="preserve">administración de proyectos y c) convenios especiales de cooperación; </w:t>
      </w:r>
      <w:proofErr w:type="spellStart"/>
      <w:r w:rsidRPr="008306EF">
        <w:rPr>
          <w:rFonts w:ascii="Verdana" w:eastAsia="Times New Roman" w:hAnsi="Verdana" w:cs="Arial"/>
          <w:color w:val="000000" w:themeColor="text1"/>
          <w:szCs w:val="24"/>
          <w:lang w:val="es-ES_tradnl" w:eastAsia="es-ES_tradnl"/>
        </w:rPr>
        <w:t>iii</w:t>
      </w:r>
      <w:proofErr w:type="spellEnd"/>
      <w:r w:rsidRPr="008306EF">
        <w:rPr>
          <w:rFonts w:ascii="Verdana" w:eastAsia="Times New Roman" w:hAnsi="Verdana" w:cs="Arial"/>
          <w:color w:val="000000" w:themeColor="text1"/>
          <w:szCs w:val="24"/>
          <w:lang w:val="es-ES_tradnl" w:eastAsia="es-ES_tradnl"/>
        </w:rPr>
        <w:t xml:space="preserve">) la Ley 1286 de 2009 y </w:t>
      </w:r>
      <w:proofErr w:type="spellStart"/>
      <w:r w:rsidRPr="008306EF">
        <w:rPr>
          <w:rFonts w:ascii="Verdana" w:eastAsia="Times New Roman" w:hAnsi="Verdana" w:cs="Arial"/>
          <w:color w:val="000000" w:themeColor="text1"/>
          <w:szCs w:val="24"/>
          <w:lang w:val="es-ES_tradnl" w:eastAsia="es-ES_tradnl"/>
        </w:rPr>
        <w:t>iv</w:t>
      </w:r>
      <w:proofErr w:type="spellEnd"/>
      <w:r w:rsidRPr="008306EF">
        <w:rPr>
          <w:rFonts w:ascii="Verdana" w:eastAsia="Times New Roman" w:hAnsi="Verdana" w:cs="Arial"/>
          <w:color w:val="000000" w:themeColor="text1"/>
          <w:szCs w:val="24"/>
          <w:lang w:val="es-ES_tradnl" w:eastAsia="es-ES_tradnl"/>
        </w:rPr>
        <w:t>) el Documento CONPES 3582 de 2009, donde se define cuáles son estas actividades de los actores del Sistema Nacional de Ciencia, Tecnología e Innovación.</w:t>
      </w:r>
    </w:p>
    <w:p w14:paraId="331CB2D4" w14:textId="77777777" w:rsidR="001C1E14" w:rsidRPr="008306EF" w:rsidRDefault="001C1E14" w:rsidP="001C1E14">
      <w:pPr>
        <w:spacing w:after="120" w:line="276" w:lineRule="auto"/>
        <w:ind w:firstLine="708"/>
        <w:jc w:val="both"/>
        <w:rPr>
          <w:rFonts w:ascii="Verdana" w:eastAsia="Times New Roman" w:hAnsi="Verdana" w:cs="Arial"/>
          <w:color w:val="000000" w:themeColor="text1"/>
          <w:szCs w:val="24"/>
          <w:lang w:val="es-ES_tradnl" w:eastAsia="es-ES_tradnl"/>
        </w:rPr>
      </w:pPr>
      <w:r w:rsidRPr="008306EF">
        <w:rPr>
          <w:rFonts w:ascii="Verdana" w:hAnsi="Verdana" w:cs="Arial"/>
          <w:color w:val="000000" w:themeColor="text1"/>
        </w:rPr>
        <w:t>Por lo anterior, las entidades, como responsables de estructurar sus procedimientos de selección, deben definir si el objeto a contratar es de aquellas actividades consideradas de ciencia, tecnología e innovación, y podrán aplicar la modalidad de selección de contratación directa para celebrar alguno de los tipos de contrato previstos en la ley, salvo que el contrato se rija por el derecho privado.</w:t>
      </w:r>
    </w:p>
    <w:p w14:paraId="6F0548DA" w14:textId="77777777" w:rsidR="001C1E14" w:rsidRPr="008306EF" w:rsidRDefault="001C1E14" w:rsidP="001C1E14">
      <w:pPr>
        <w:spacing w:after="120" w:line="276" w:lineRule="auto"/>
        <w:ind w:firstLine="708"/>
        <w:jc w:val="both"/>
        <w:rPr>
          <w:rFonts w:ascii="Verdana" w:eastAsia="Times New Roman" w:hAnsi="Verdana" w:cs="Arial"/>
          <w:color w:val="000000" w:themeColor="text1"/>
          <w:szCs w:val="24"/>
          <w:lang w:val="es-ES_tradnl" w:eastAsia="es-ES_tradnl"/>
        </w:rPr>
      </w:pPr>
      <w:r w:rsidRPr="008306EF">
        <w:rPr>
          <w:rFonts w:ascii="Verdana" w:eastAsia="Times New Roman" w:hAnsi="Verdana" w:cs="Arial"/>
          <w:color w:val="000000" w:themeColor="text1"/>
          <w:szCs w:val="24"/>
          <w:lang w:val="es-ES_tradnl" w:eastAsia="es-ES_tradnl"/>
        </w:rPr>
        <w:t>Así las cosas, para contratar las actividades de ciencia, tecnología e innovación las normas establecen tipos de contrato cuya aplicación depende de las características del objeto que se ejecutará. También es necesario tener en cuenta que la Ley 1150 de 2007, en el artículo 2, numeral 4, literal e), señala como causal de contratación directa “Los contratos para el desarrollo de actividades científicas y tecnológicas”.</w:t>
      </w:r>
      <w:r w:rsidRPr="008306EF">
        <w:rPr>
          <w:rFonts w:ascii="Verdana" w:eastAsia="Calibri" w:hAnsi="Verdana" w:cs="Arial"/>
          <w:color w:val="000000" w:themeColor="text1"/>
          <w:szCs w:val="24"/>
          <w:lang w:val="es-ES_tradnl" w:eastAsia="es-ES_tradnl"/>
        </w:rPr>
        <w:t xml:space="preserve"> </w:t>
      </w:r>
    </w:p>
    <w:p w14:paraId="38C8CB3B" w14:textId="77777777" w:rsidR="001C1E14" w:rsidRPr="008306EF" w:rsidRDefault="001C1E14" w:rsidP="001C1E14">
      <w:pPr>
        <w:spacing w:after="120" w:line="276" w:lineRule="auto"/>
        <w:ind w:firstLine="708"/>
        <w:jc w:val="both"/>
        <w:rPr>
          <w:rFonts w:ascii="Verdana" w:eastAsia="Calibri" w:hAnsi="Verdana" w:cs="Arial"/>
          <w:color w:val="000000" w:themeColor="text1"/>
          <w:szCs w:val="24"/>
          <w:lang w:val="es-ES_tradnl" w:eastAsia="es-ES_tradnl"/>
        </w:rPr>
      </w:pPr>
      <w:r w:rsidRPr="008306EF">
        <w:rPr>
          <w:rFonts w:ascii="Verdana" w:eastAsia="Calibri" w:hAnsi="Verdana" w:cs="Arial"/>
          <w:color w:val="000000" w:themeColor="text1"/>
          <w:szCs w:val="24"/>
          <w:lang w:val="es-ES_tradnl" w:eastAsia="es-ES_tradnl"/>
        </w:rPr>
        <w:t xml:space="preserve">Por su parte, la Agencia Nacional de Contratación Pública ‒ Colombia Compra Eficiente, teniendo en cuenta las normas mencionadas, expidió la Circular Externa Única, que además de derogar las Circulares Externas anteriores, en el numeral 15.1, establece que para que proceda la modalidad de </w:t>
      </w:r>
      <w:r w:rsidRPr="008306EF">
        <w:rPr>
          <w:rFonts w:ascii="Verdana" w:eastAsia="Calibri" w:hAnsi="Verdana" w:cs="Arial"/>
          <w:i/>
          <w:iCs/>
          <w:color w:val="000000" w:themeColor="text1"/>
          <w:szCs w:val="24"/>
          <w:lang w:val="es-ES_tradnl" w:eastAsia="es-ES_tradnl"/>
        </w:rPr>
        <w:t>contratación directa</w:t>
      </w:r>
      <w:r w:rsidRPr="008306EF">
        <w:rPr>
          <w:rFonts w:ascii="Verdana" w:eastAsia="Calibri" w:hAnsi="Verdana" w:cs="Arial"/>
          <w:color w:val="000000" w:themeColor="text1"/>
          <w:szCs w:val="24"/>
          <w:lang w:val="es-ES_tradnl" w:eastAsia="es-ES_tradnl"/>
        </w:rPr>
        <w:t xml:space="preserve"> es necesario que la Entidad Estatal, conforme a su necesidad, ejecute actividades de ciencia, tecnología e innovación por medio de la celebración de </w:t>
      </w:r>
      <w:r w:rsidRPr="008306EF">
        <w:rPr>
          <w:rFonts w:ascii="Verdana" w:eastAsia="Calibri" w:hAnsi="Verdana" w:cs="Arial"/>
          <w:i/>
          <w:iCs/>
          <w:color w:val="000000" w:themeColor="text1"/>
          <w:szCs w:val="24"/>
          <w:lang w:val="es-ES_tradnl" w:eastAsia="es-ES_tradnl"/>
        </w:rPr>
        <w:t>convenios especiales de cooperación, contratos de financiamiento y contratos de Administración de Proyectos.</w:t>
      </w:r>
    </w:p>
    <w:p w14:paraId="0A296FFA" w14:textId="77777777" w:rsidR="001C1E14" w:rsidRPr="008306EF" w:rsidRDefault="001C1E14" w:rsidP="001C1E14">
      <w:pPr>
        <w:spacing w:after="120" w:line="276" w:lineRule="auto"/>
        <w:ind w:firstLine="708"/>
        <w:jc w:val="both"/>
        <w:rPr>
          <w:rFonts w:ascii="Verdana" w:eastAsia="Calibri" w:hAnsi="Verdana" w:cs="Arial"/>
          <w:color w:val="000000" w:themeColor="text1"/>
          <w:szCs w:val="24"/>
          <w:lang w:val="es-ES_tradnl" w:eastAsia="es-ES_tradnl"/>
        </w:rPr>
      </w:pPr>
      <w:r w:rsidRPr="008306EF">
        <w:rPr>
          <w:rFonts w:ascii="Verdana" w:eastAsia="Times New Roman" w:hAnsi="Verdana" w:cs="Arial"/>
          <w:color w:val="000000" w:themeColor="text1"/>
          <w:szCs w:val="24"/>
          <w:lang w:val="es-ES_tradnl" w:eastAsia="es-ES_tradnl"/>
        </w:rPr>
        <w:t>De esta forma, las Entidades, como responsables de estructurar sus procedimientos de selección, deben definir si el objeto a contratar es de aquellas actividades consideradas de ciencia, tecnología e innovación, y podrán aplicar la modalidad de selección de contratación directa para celebrar alguno de los tipos de contrato previstos en la ley, salvo que el contrato se rija por el derecho privado.</w:t>
      </w:r>
    </w:p>
    <w:p w14:paraId="72B97F9E" w14:textId="77777777" w:rsidR="001C1E14" w:rsidRDefault="001C1E14" w:rsidP="001C1E14">
      <w:pPr>
        <w:spacing w:after="0" w:line="276" w:lineRule="auto"/>
        <w:ind w:firstLine="708"/>
        <w:jc w:val="both"/>
        <w:rPr>
          <w:rFonts w:ascii="Verdana" w:eastAsia="Calibri" w:hAnsi="Verdana" w:cs="Arial"/>
          <w:color w:val="000000" w:themeColor="text1"/>
          <w:szCs w:val="24"/>
          <w:lang w:val="es-ES_tradnl" w:eastAsia="es-ES_tradnl"/>
        </w:rPr>
      </w:pPr>
      <w:r w:rsidRPr="008306EF">
        <w:rPr>
          <w:rFonts w:ascii="Verdana" w:eastAsia="Calibri" w:hAnsi="Verdana" w:cs="Arial"/>
          <w:color w:val="000000" w:themeColor="text1"/>
          <w:szCs w:val="24"/>
          <w:lang w:val="es-ES_tradnl" w:eastAsia="es-ES_tradnl"/>
        </w:rPr>
        <w:t xml:space="preserve">En todo caso, se resalta, el régimen de las actividades de ciencia, tecnología e innovación se define a partir de las normas citadas; pero le corresponde al Ministerio de Ciencia, Tecnología e Innovación, como autoridad </w:t>
      </w:r>
      <w:r w:rsidRPr="008306EF">
        <w:rPr>
          <w:rFonts w:ascii="Verdana" w:eastAsia="Calibri" w:hAnsi="Verdana" w:cs="Arial"/>
          <w:color w:val="000000" w:themeColor="text1"/>
          <w:szCs w:val="24"/>
          <w:lang w:val="es-ES_tradnl" w:eastAsia="es-ES_tradnl"/>
        </w:rPr>
        <w:lastRenderedPageBreak/>
        <w:t>competente, catalogar las actividades cuando las Entidades presenten dudas respecto de un objeto contractual que pretendan satisfacer</w:t>
      </w:r>
      <w:r w:rsidRPr="008306EF">
        <w:rPr>
          <w:rFonts w:ascii="Verdana" w:eastAsia="Calibri" w:hAnsi="Verdana" w:cs="Arial"/>
          <w:szCs w:val="24"/>
          <w:vertAlign w:val="superscript"/>
          <w:lang w:eastAsia="es-ES_tradnl"/>
        </w:rPr>
        <w:footnoteReference w:id="2"/>
      </w:r>
      <w:r w:rsidRPr="008306EF">
        <w:rPr>
          <w:rFonts w:ascii="Verdana" w:eastAsia="Calibri" w:hAnsi="Verdana" w:cs="Arial"/>
          <w:color w:val="000000" w:themeColor="text1"/>
          <w:szCs w:val="24"/>
          <w:lang w:val="es-ES_tradnl" w:eastAsia="es-ES_tradnl"/>
        </w:rPr>
        <w:t xml:space="preserve">. </w:t>
      </w:r>
    </w:p>
    <w:p w14:paraId="5161BA45" w14:textId="77777777" w:rsidR="001C1E14" w:rsidRDefault="001C1E14" w:rsidP="001C1E14">
      <w:pPr>
        <w:spacing w:after="0" w:line="276" w:lineRule="auto"/>
        <w:ind w:firstLine="708"/>
        <w:jc w:val="both"/>
        <w:rPr>
          <w:rFonts w:ascii="Verdana" w:eastAsia="Calibri" w:hAnsi="Verdana" w:cs="Arial"/>
          <w:color w:val="000000" w:themeColor="text1"/>
          <w:szCs w:val="24"/>
          <w:lang w:val="es-ES_tradnl" w:eastAsia="es-ES_tradnl"/>
        </w:rPr>
      </w:pPr>
    </w:p>
    <w:p w14:paraId="2D33DC3C" w14:textId="77777777" w:rsidR="001C1E14" w:rsidRPr="002F297B" w:rsidRDefault="001C1E14" w:rsidP="001C1E14">
      <w:pPr>
        <w:tabs>
          <w:tab w:val="left" w:pos="426"/>
        </w:tabs>
        <w:spacing w:after="120" w:line="276" w:lineRule="auto"/>
        <w:jc w:val="both"/>
        <w:rPr>
          <w:rFonts w:ascii="Verdana" w:eastAsia="Times New Roman" w:hAnsi="Verdana" w:cs="Arial"/>
          <w:lang w:val="es-ES" w:eastAsia="es-CO"/>
        </w:rPr>
      </w:pPr>
      <w:proofErr w:type="spellStart"/>
      <w:r>
        <w:rPr>
          <w:rFonts w:ascii="Verdana" w:eastAsia="Calibri" w:hAnsi="Verdana" w:cs="Arial"/>
          <w:bCs/>
        </w:rPr>
        <w:t>ii</w:t>
      </w:r>
      <w:proofErr w:type="spellEnd"/>
      <w:r>
        <w:rPr>
          <w:rFonts w:ascii="Verdana" w:eastAsia="Calibri" w:hAnsi="Verdana" w:cs="Arial"/>
          <w:bC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Pr>
          <w:rFonts w:ascii="Verdana" w:eastAsia="Times New Roman" w:hAnsi="Verdana" w:cs="Arial"/>
          <w:lang w:val="es-ES" w:eastAsia="es-CO"/>
        </w:rPr>
        <w:t>L</w:t>
      </w:r>
      <w:r w:rsidRPr="00FC6F34">
        <w:rPr>
          <w:rFonts w:ascii="Verdana" w:eastAsia="Times New Roman" w:hAnsi="Verdana" w:cs="Arial"/>
          <w:lang w:val="es-ES" w:eastAsia="es-CO"/>
        </w:rPr>
        <w:t xml:space="preserve">a Ley 996 de 2005, conocida como “Ley de Garantías Electorales”, </w:t>
      </w:r>
      <w:r>
        <w:rPr>
          <w:rFonts w:ascii="Verdana" w:eastAsia="Times New Roman" w:hAnsi="Verdana" w:cs="Arial"/>
          <w:lang w:val="es-ES" w:eastAsia="es-CO"/>
        </w:rPr>
        <w:t>hace parte de</w:t>
      </w:r>
      <w:r w:rsidRPr="00FC6F34">
        <w:rPr>
          <w:rFonts w:ascii="Verdana" w:eastAsia="Times New Roman" w:hAnsi="Verdana" w:cs="Arial"/>
          <w:lang w:val="es-ES" w:eastAsia="es-CO"/>
        </w:rPr>
        <w:t>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3994A43E" w14:textId="77777777" w:rsidR="001C1E14" w:rsidRPr="00FC6F34" w:rsidRDefault="001C1E14" w:rsidP="001C1E14">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166DAC14" w14:textId="77777777" w:rsidR="001C1E14" w:rsidRPr="00FC6F34" w:rsidRDefault="001C1E14" w:rsidP="001C1E14">
      <w:pPr>
        <w:spacing w:after="0" w:line="276" w:lineRule="auto"/>
        <w:ind w:right="709"/>
        <w:jc w:val="both"/>
        <w:rPr>
          <w:rFonts w:ascii="Verdana" w:eastAsia="Times New Roman" w:hAnsi="Verdana" w:cs="Arial"/>
          <w:lang w:val="es-ES" w:eastAsia="es-CO"/>
        </w:rPr>
      </w:pPr>
    </w:p>
    <w:p w14:paraId="086F2EAC" w14:textId="77777777" w:rsidR="001C1E14" w:rsidRPr="00FC6F34" w:rsidRDefault="001C1E14" w:rsidP="001C1E1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2C5E20D3" w14:textId="77777777" w:rsidR="001C1E14" w:rsidRPr="00FC6F34" w:rsidRDefault="001C1E14" w:rsidP="001C1E1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321E1C2A" w14:textId="77777777" w:rsidR="001C1E14" w:rsidRPr="00FC6F34" w:rsidRDefault="001C1E14" w:rsidP="001C1E1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482B451C" w14:textId="77777777" w:rsidR="001C1E14" w:rsidRPr="00FC6F34" w:rsidRDefault="001C1E14" w:rsidP="001C1E14">
      <w:pPr>
        <w:spacing w:after="0" w:line="276" w:lineRule="auto"/>
        <w:ind w:firstLine="709"/>
        <w:jc w:val="both"/>
        <w:rPr>
          <w:rFonts w:ascii="Verdana" w:eastAsia="Times New Roman" w:hAnsi="Verdana" w:cs="Arial"/>
          <w:lang w:val="es-ES" w:eastAsia="es-CO"/>
        </w:rPr>
      </w:pPr>
    </w:p>
    <w:p w14:paraId="3F071272" w14:textId="77777777" w:rsidR="001C1E14" w:rsidRPr="00FC6F34" w:rsidRDefault="001C1E14" w:rsidP="001C1E14">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lastRenderedPageBreak/>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0D5B8000" w14:textId="77777777" w:rsidR="001C1E14" w:rsidRPr="00FC6F34" w:rsidRDefault="001C1E14" w:rsidP="001C1E14">
      <w:pPr>
        <w:spacing w:after="0" w:line="276" w:lineRule="auto"/>
        <w:ind w:firstLine="709"/>
        <w:jc w:val="both"/>
        <w:rPr>
          <w:rFonts w:ascii="Verdana" w:eastAsia="Times New Roman" w:hAnsi="Verdana" w:cs="Arial"/>
          <w:lang w:val="es-ES" w:eastAsia="es-CO"/>
        </w:rPr>
      </w:pPr>
    </w:p>
    <w:p w14:paraId="0A4A38A6" w14:textId="77777777" w:rsidR="001C1E14" w:rsidRPr="00FC6F34" w:rsidRDefault="001C1E14" w:rsidP="001C1E14">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C6BF811" w14:textId="77777777" w:rsidR="001C1E14" w:rsidRPr="00FC6F34" w:rsidRDefault="001C1E14" w:rsidP="001C1E14">
      <w:pPr>
        <w:spacing w:after="0" w:line="240" w:lineRule="auto"/>
        <w:ind w:right="709"/>
        <w:jc w:val="both"/>
        <w:rPr>
          <w:rFonts w:ascii="Verdana" w:eastAsia="Times New Roman" w:hAnsi="Verdana" w:cs="Arial"/>
          <w:lang w:val="es-ES" w:eastAsia="es-CO"/>
        </w:rPr>
      </w:pPr>
    </w:p>
    <w:p w14:paraId="3518941F" w14:textId="77777777" w:rsidR="001C1E14" w:rsidRPr="00FC6F34" w:rsidRDefault="001C1E14" w:rsidP="001C1E14">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0AF72AFA" w14:textId="77777777" w:rsidR="001C1E14" w:rsidRPr="00FC6F34" w:rsidRDefault="001C1E14" w:rsidP="001C1E14">
      <w:pPr>
        <w:spacing w:after="0" w:line="276" w:lineRule="auto"/>
        <w:jc w:val="both"/>
        <w:rPr>
          <w:rFonts w:ascii="Verdana" w:eastAsia="Calibri" w:hAnsi="Verdana" w:cs="Arial"/>
          <w:bCs/>
          <w:lang w:val="es-ES"/>
        </w:rPr>
      </w:pPr>
    </w:p>
    <w:p w14:paraId="473877C3" w14:textId="77777777" w:rsidR="001C1E14" w:rsidRPr="00FC6F34" w:rsidRDefault="001C1E14" w:rsidP="001C1E14">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w:t>
      </w:r>
      <w:r w:rsidRPr="00FC6F34">
        <w:rPr>
          <w:rFonts w:ascii="Verdana" w:eastAsia="Arial" w:hAnsi="Verdana" w:cs="Arial"/>
          <w:lang w:val="es-ES" w:eastAsia="es-ES" w:bidi="es-ES"/>
        </w:rPr>
        <w:lastRenderedPageBreak/>
        <w:t xml:space="preserve">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5C573D7E" w14:textId="77777777" w:rsidR="001C1E14" w:rsidRPr="00FC6F34" w:rsidRDefault="001C1E14" w:rsidP="001C1E14">
      <w:pPr>
        <w:spacing w:after="0" w:line="276" w:lineRule="auto"/>
        <w:ind w:firstLine="709"/>
        <w:jc w:val="both"/>
        <w:rPr>
          <w:rFonts w:ascii="Verdana" w:eastAsia="Arial" w:hAnsi="Verdana" w:cs="Arial"/>
          <w:lang w:val="es-ES" w:eastAsia="es-ES" w:bidi="es-ES"/>
        </w:rPr>
      </w:pPr>
    </w:p>
    <w:p w14:paraId="19DEF9D2" w14:textId="77777777" w:rsidR="001C1E14" w:rsidRPr="00FC6F34" w:rsidRDefault="001C1E14" w:rsidP="001C1E14">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r>
        <w:rPr>
          <w:rFonts w:ascii="Verdana" w:eastAsia="Arial" w:hAnsi="Verdana" w:cs="Arial"/>
          <w:lang w:val="es-ES" w:eastAsia="es-ES" w:bidi="es-ES"/>
        </w:rPr>
        <w:t>i</w:t>
      </w:r>
      <w:proofErr w:type="spellEnd"/>
      <w:r w:rsidRPr="00FC6F34">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1A22A81C" w14:textId="77777777" w:rsidR="001C1E14" w:rsidRPr="00FC6F34" w:rsidRDefault="001C1E14" w:rsidP="001C1E14">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3E980434" w14:textId="77777777" w:rsidR="001C1E14" w:rsidRPr="00FC6F34" w:rsidRDefault="001C1E14" w:rsidP="001C1E14">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de la Ley 996 de 2005 prevé una restricción</w:t>
      </w:r>
      <w:r>
        <w:rPr>
          <w:rFonts w:ascii="Verdana" w:eastAsia="Calibri" w:hAnsi="Verdana" w:cs="Arial"/>
          <w:lang w:val="es-ES"/>
        </w:rPr>
        <w:t xml:space="preserve"> </w:t>
      </w:r>
      <w:r w:rsidRPr="00FC6F34">
        <w:rPr>
          <w:rFonts w:ascii="Verdana" w:eastAsia="Calibri" w:hAnsi="Verdana" w:cs="Arial"/>
          <w:lang w:val="es-ES"/>
        </w:rPr>
        <w:t xml:space="preserve">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w:t>
      </w:r>
      <w:r>
        <w:rPr>
          <w:rFonts w:ascii="Verdana" w:eastAsia="Calibri" w:hAnsi="Verdana" w:cs="Arial"/>
          <w:lang w:val="es-ES"/>
        </w:rPr>
        <w:t xml:space="preserve">de manera expresa </w:t>
      </w:r>
      <w:r w:rsidRPr="00FC6F34">
        <w:rPr>
          <w:rFonts w:ascii="Verdana" w:eastAsia="Calibri" w:hAnsi="Verdana" w:cs="Arial"/>
          <w:lang w:val="es-ES"/>
        </w:rPr>
        <w:t>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68E6040C" w14:textId="77777777" w:rsidR="001C1E14" w:rsidRPr="00FC6F34" w:rsidRDefault="001C1E14" w:rsidP="001C1E1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señala:</w:t>
      </w:r>
    </w:p>
    <w:p w14:paraId="5B36334C" w14:textId="77777777" w:rsidR="001C1E14" w:rsidRPr="00FC6F34" w:rsidRDefault="001C1E14" w:rsidP="001C1E14">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95ADCE0" w14:textId="77777777" w:rsidR="001C1E14" w:rsidRPr="00FC6F34" w:rsidRDefault="001C1E14" w:rsidP="001C1E14">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3DD8574A" w14:textId="77777777" w:rsidR="001C1E14" w:rsidRPr="00FC6F34" w:rsidRDefault="001C1E14" w:rsidP="001C1E14">
      <w:pPr>
        <w:widowControl w:val="0"/>
        <w:autoSpaceDE w:val="0"/>
        <w:autoSpaceDN w:val="0"/>
        <w:spacing w:after="0" w:line="276" w:lineRule="auto"/>
        <w:contextualSpacing/>
        <w:rPr>
          <w:rFonts w:ascii="Verdana" w:eastAsia="Arial" w:hAnsi="Verdana" w:cs="Arial"/>
          <w:lang w:val="es-ES" w:eastAsia="es-ES" w:bidi="es-ES"/>
        </w:rPr>
      </w:pPr>
    </w:p>
    <w:p w14:paraId="2F998A86" w14:textId="77777777" w:rsidR="001C1E14" w:rsidRPr="00FC6F34" w:rsidRDefault="001C1E14" w:rsidP="001C1E1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w:t>
      </w:r>
      <w:r>
        <w:rPr>
          <w:rFonts w:ascii="Verdana" w:eastAsia="Arial" w:hAnsi="Verdana" w:cs="Arial"/>
          <w:lang w:val="es-ES" w:eastAsia="es-ES" w:bidi="es-ES"/>
        </w:rPr>
        <w:t xml:space="preserve">por parte de cualquier ente público </w:t>
      </w:r>
      <w:r w:rsidRPr="00FC6F34">
        <w:rPr>
          <w:rFonts w:ascii="Verdana" w:eastAsia="Arial" w:hAnsi="Verdana" w:cs="Arial"/>
          <w:lang w:val="es-ES" w:eastAsia="es-ES" w:bidi="es-ES"/>
        </w:rPr>
        <w:t xml:space="preserve">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xml:space="preserve">, también se encuentra la prohibición del parágrafo del artículo 38, el cual debe aplicarse </w:t>
      </w:r>
      <w:r w:rsidRPr="00FC6F34">
        <w:rPr>
          <w:rFonts w:ascii="Verdana" w:eastAsia="Arial" w:hAnsi="Verdana" w:cs="Arial"/>
          <w:lang w:val="es-ES" w:eastAsia="es-ES" w:bidi="es-ES"/>
        </w:rPr>
        <w:lastRenderedPageBreak/>
        <w:t xml:space="preserve">respecto de cualquier tipo de contienda electoral, y que prohíbe la celebración de convenios interadministrativos que impliquen la ejecución de recursos públicos </w:t>
      </w:r>
      <w:r>
        <w:rPr>
          <w:rFonts w:ascii="Verdana" w:eastAsia="Arial" w:hAnsi="Verdana" w:cs="Arial"/>
          <w:lang w:val="es-ES" w:eastAsia="es-ES" w:bidi="es-ES"/>
        </w:rPr>
        <w:t xml:space="preserve">por parte de los sujetos allí establecidos </w:t>
      </w:r>
      <w:r w:rsidRPr="00FC6F34">
        <w:rPr>
          <w:rFonts w:ascii="Verdana" w:eastAsia="Arial" w:hAnsi="Verdana" w:cs="Arial"/>
          <w:lang w:val="es-ES" w:eastAsia="es-ES" w:bidi="es-ES"/>
        </w:rPr>
        <w:t>dentro de los cuatro (4) meses anteriores a la respectiva jornada de votaciones.</w:t>
      </w:r>
    </w:p>
    <w:p w14:paraId="30640BF3" w14:textId="77777777" w:rsidR="001C1E14" w:rsidRPr="00FC6F34" w:rsidRDefault="001C1E14" w:rsidP="001C1E1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w:t>
      </w:r>
      <w:r>
        <w:rPr>
          <w:rFonts w:ascii="Verdana" w:eastAsia="Arial" w:hAnsi="Verdana" w:cs="Arial"/>
          <w:lang w:val="es-ES" w:eastAsia="es-ES" w:bidi="es-ES"/>
        </w:rPr>
        <w:t xml:space="preserve">los sujetos allí mencionados </w:t>
      </w:r>
      <w:r w:rsidRPr="00FC6F34">
        <w:rPr>
          <w:rFonts w:ascii="Verdana" w:eastAsia="Arial" w:hAnsi="Verdana" w:cs="Arial"/>
          <w:lang w:val="es-ES" w:eastAsia="es-ES" w:bidi="es-ES"/>
        </w:rPr>
        <w:t>sólo deben aplicar las restricciones contenidas en el parágrafo del artículo 38.</w:t>
      </w:r>
    </w:p>
    <w:p w14:paraId="092B37E1" w14:textId="77777777" w:rsidR="001C1E14" w:rsidRPr="00FC6F34" w:rsidRDefault="001C1E14" w:rsidP="001C1E14">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A0B7AF8" w14:textId="77777777" w:rsidR="001C1E14" w:rsidRPr="00FC6F34" w:rsidRDefault="001C1E14" w:rsidP="001C1E14">
      <w:pPr>
        <w:spacing w:after="0" w:line="276" w:lineRule="auto"/>
        <w:ind w:firstLine="709"/>
        <w:jc w:val="both"/>
        <w:rPr>
          <w:rFonts w:ascii="Verdana" w:eastAsia="Arial" w:hAnsi="Verdana" w:cs="Arial"/>
          <w:lang w:val="es-ES" w:eastAsia="es-ES" w:bidi="es-ES"/>
        </w:rPr>
      </w:pPr>
    </w:p>
    <w:p w14:paraId="057959D5" w14:textId="77777777" w:rsidR="001C1E14" w:rsidRPr="00FC6F34" w:rsidRDefault="001C1E14" w:rsidP="001C1E14">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w:t>
      </w:r>
      <w:r>
        <w:rPr>
          <w:rFonts w:ascii="Verdana" w:eastAsia="Calibri" w:hAnsi="Verdana" w:cs="Arial"/>
          <w:lang w:val="es-ES"/>
        </w:rPr>
        <w:t>v</w:t>
      </w:r>
      <w:proofErr w:type="spellEnd"/>
      <w:r w:rsidRPr="00FC6F34">
        <w:rPr>
          <w:rFonts w:ascii="Verdana" w:eastAsia="Calibri" w:hAnsi="Verdana" w:cs="Arial"/>
          <w:lang w:val="es-ES"/>
        </w:rPr>
        <w:t xml:space="preserve">) </w:t>
      </w:r>
      <w:r w:rsidRPr="00FC6F34">
        <w:rPr>
          <w:rFonts w:ascii="Verdana" w:eastAsia="Times New Roman" w:hAnsi="Verdana" w:cs="Arial"/>
          <w:lang w:val="es-ES"/>
        </w:rPr>
        <w:t xml:space="preserve">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w:t>
      </w:r>
      <w:r w:rsidRPr="00FC6F34">
        <w:rPr>
          <w:rFonts w:ascii="Verdana" w:eastAsia="Calibri" w:hAnsi="Verdana" w:cs="Arial"/>
          <w:lang w:val="es-ES" w:eastAsia="es-ES" w:bidi="es-ES"/>
        </w:rPr>
        <w:t xml:space="preserve">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artículo 33 de la Ley 996 de 2005</w:t>
      </w:r>
      <w:r>
        <w:rPr>
          <w:rFonts w:ascii="Verdana" w:eastAsia="Times New Roman" w:hAnsi="Verdana" w:cs="Arial"/>
          <w:lang w:val="es-ES"/>
        </w:rPr>
        <w:t xml:space="preserve"> </w:t>
      </w:r>
      <w:r w:rsidRPr="00FC6F34">
        <w:rPr>
          <w:rFonts w:ascii="Verdana" w:eastAsia="Times New Roman" w:hAnsi="Verdana" w:cs="Arial"/>
          <w:lang w:val="es-ES"/>
        </w:rPr>
        <w:t xml:space="preserve">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Pr>
          <w:rFonts w:ascii="Verdana" w:eastAsia="Times New Roman" w:hAnsi="Verdana" w:cs="Arial"/>
          <w:lang w:val="es-ES"/>
        </w:rPr>
        <w:t xml:space="preserve">. </w:t>
      </w:r>
      <w:r>
        <w:rPr>
          <w:rFonts w:ascii="Verdana" w:eastAsia="Calibri" w:hAnsi="Verdana" w:cs="Arial"/>
          <w:lang w:val="es-ES"/>
        </w:rPr>
        <w:t>Sobre</w:t>
      </w:r>
      <w:r w:rsidRPr="00FC6F34">
        <w:rPr>
          <w:rFonts w:ascii="Verdana" w:eastAsia="Times New Roman" w:hAnsi="Verdana" w:cs="Arial"/>
          <w:lang w:val="es-ES" w:eastAsia="es-CO"/>
        </w:rPr>
        <w:t xml:space="preserve"> esta restricción, la Sala de Consulta y Servicio Civil del Consejo de Estado ha considerado que:</w:t>
      </w:r>
    </w:p>
    <w:p w14:paraId="1B77FCC6" w14:textId="77777777" w:rsidR="001C1E14" w:rsidRPr="00FC6F34" w:rsidRDefault="001C1E14" w:rsidP="001C1E14">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w:t>
      </w:r>
      <w:r w:rsidRPr="00FC6F34">
        <w:rPr>
          <w:rFonts w:ascii="Verdana" w:eastAsia="Calibri" w:hAnsi="Verdana" w:cs="Arial"/>
          <w:sz w:val="20"/>
          <w:szCs w:val="20"/>
          <w:lang w:val="es-ES"/>
        </w:rPr>
        <w:lastRenderedPageBreak/>
        <w:t>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6528FAD7" w14:textId="77777777" w:rsidR="001C1E14" w:rsidRPr="00FC6F34" w:rsidRDefault="001C1E14" w:rsidP="001C1E14">
      <w:pPr>
        <w:shd w:val="clear" w:color="auto" w:fill="FFFFFF" w:themeFill="background1"/>
        <w:spacing w:after="0" w:line="276" w:lineRule="auto"/>
        <w:ind w:firstLine="709"/>
        <w:jc w:val="both"/>
        <w:rPr>
          <w:rFonts w:ascii="Verdana" w:eastAsia="Times New Roman" w:hAnsi="Verdana" w:cs="Arial"/>
          <w:lang w:val="es-ES" w:eastAsia="x-none"/>
        </w:rPr>
      </w:pPr>
    </w:p>
    <w:p w14:paraId="702BEBCF" w14:textId="77777777" w:rsidR="001C1E14" w:rsidRPr="00FC6F34" w:rsidRDefault="001C1E14" w:rsidP="001C1E14">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561896">
        <w:rPr>
          <w:rFonts w:ascii="Verdana" w:eastAsia="Times New Roman" w:hAnsi="Verdana" w:cs="Arial"/>
          <w:i/>
          <w:iCs/>
          <w:lang w:val="es-ES" w:eastAsia="x-none"/>
        </w:rPr>
        <w:t>cualquier</w:t>
      </w:r>
      <w:r w:rsidRPr="00FC6F34">
        <w:rPr>
          <w:rFonts w:ascii="Verdana" w:eastAsia="Times New Roman" w:hAnsi="Verdana" w:cs="Arial"/>
          <w:lang w:val="es-ES" w:eastAsia="x-none"/>
        </w:rPr>
        <w:t xml:space="preserve">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60025F01" w14:textId="77777777" w:rsidR="001C1E14" w:rsidRPr="00FC6F34" w:rsidRDefault="001C1E14" w:rsidP="001C1E14">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56039E7A" w14:textId="77777777" w:rsidR="001C1E14" w:rsidRPr="00FC6F34" w:rsidRDefault="001C1E14" w:rsidP="001C1E14">
      <w:pPr>
        <w:spacing w:after="0" w:line="276" w:lineRule="auto"/>
        <w:ind w:firstLine="708"/>
        <w:jc w:val="both"/>
        <w:rPr>
          <w:rFonts w:ascii="Verdana" w:eastAsia="Times New Roman" w:hAnsi="Verdana" w:cs="Arial"/>
          <w:lang w:val="es-ES"/>
        </w:rPr>
      </w:pPr>
      <w:r w:rsidRPr="003A34B7">
        <w:rPr>
          <w:rFonts w:ascii="Verdana" w:eastAsia="Times New Roman" w:hAnsi="Verdana" w:cs="Arial"/>
          <w:lang w:val="es-ES"/>
        </w:rPr>
        <w:lastRenderedPageBreak/>
        <w:t xml:space="preserve">De lo anterior se desprende que la restricción aplica, sin perjuicio de las excepciones establecidas en la misma ley, para celebrar </w:t>
      </w:r>
      <w:r w:rsidRPr="003A34B7">
        <w:rPr>
          <w:rFonts w:ascii="Verdana" w:eastAsia="Times New Roman" w:hAnsi="Verdana" w:cs="Arial"/>
          <w:i/>
          <w:iCs/>
          <w:lang w:val="es-ES"/>
        </w:rPr>
        <w:t>cualquier contrato o convenio de forma directa</w:t>
      </w:r>
      <w:r w:rsidRPr="003A34B7">
        <w:rPr>
          <w:rFonts w:ascii="Verdana" w:eastAsia="Times New Roman" w:hAnsi="Verdana" w:cs="Arial"/>
          <w:lang w:val="es-ES"/>
        </w:rPr>
        <w:t>, esto es, sin que exista un proceso abierto y competitivo. En</w:t>
      </w:r>
      <w:r>
        <w:rPr>
          <w:rFonts w:ascii="Verdana" w:eastAsia="Times New Roman" w:hAnsi="Verdana" w:cs="Arial"/>
          <w:lang w:val="es-ES"/>
        </w:rPr>
        <w:t xml:space="preserve"> contraste, n</w:t>
      </w:r>
      <w:r w:rsidRPr="00FC6F34">
        <w:rPr>
          <w:rFonts w:ascii="Verdana" w:eastAsia="Times New Roman" w:hAnsi="Verdana" w:cs="Arial"/>
          <w:lang w:val="es-ES"/>
        </w:rPr>
        <w:t>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3E3847C" w14:textId="77777777" w:rsidR="001C1E14" w:rsidRPr="00FC6F34" w:rsidRDefault="001C1E14" w:rsidP="001C1E14">
      <w:pPr>
        <w:spacing w:after="0" w:line="276" w:lineRule="auto"/>
        <w:ind w:firstLine="708"/>
        <w:jc w:val="both"/>
        <w:rPr>
          <w:rFonts w:ascii="Verdana" w:eastAsia="Times New Roman" w:hAnsi="Verdana" w:cs="Arial"/>
          <w:lang w:val="es-ES"/>
        </w:rPr>
      </w:pPr>
    </w:p>
    <w:p w14:paraId="2A5E84E8" w14:textId="77777777" w:rsidR="001C1E14" w:rsidRPr="00FC6F34" w:rsidRDefault="001C1E14" w:rsidP="001C1E14">
      <w:pPr>
        <w:spacing w:after="0" w:line="276" w:lineRule="auto"/>
        <w:jc w:val="both"/>
        <w:rPr>
          <w:rFonts w:ascii="Verdana" w:eastAsia="Times New Roman" w:hAnsi="Verdana" w:cs="Arial"/>
          <w:lang w:val="es-ES"/>
        </w:rPr>
      </w:pPr>
      <w:r w:rsidRPr="00FC6F34">
        <w:rPr>
          <w:rFonts w:ascii="Verdana" w:eastAsia="Times New Roman" w:hAnsi="Verdana" w:cs="Arial"/>
          <w:bCs/>
          <w:lang w:val="es-ES" w:eastAsia="es-CO"/>
        </w:rPr>
        <w:t xml:space="preserve">v)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071D756D" w14:textId="77777777" w:rsidR="001C1E14" w:rsidRPr="00FC6F34" w:rsidRDefault="001C1E14" w:rsidP="001C1E14">
      <w:pPr>
        <w:spacing w:after="0" w:line="276" w:lineRule="auto"/>
        <w:ind w:firstLine="708"/>
        <w:jc w:val="both"/>
        <w:rPr>
          <w:rFonts w:ascii="Verdana" w:eastAsia="Times New Roman" w:hAnsi="Verdana" w:cs="Arial"/>
          <w:lang w:val="es-ES"/>
        </w:rPr>
      </w:pPr>
    </w:p>
    <w:p w14:paraId="102E9278" w14:textId="77777777" w:rsidR="001C1E14" w:rsidRPr="00FC6F34" w:rsidRDefault="001C1E14" w:rsidP="001C1E14">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FootnoteReferenc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65B5BE16" w14:textId="77777777" w:rsidR="001C1E14" w:rsidRPr="00FC6F34" w:rsidRDefault="001C1E14" w:rsidP="001C1E14">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Pr>
          <w:rFonts w:ascii="Verdana" w:hAnsi="Verdana" w:cs="Arial"/>
          <w:bCs/>
          <w:lang w:val="es-ES" w:eastAsia="x-none"/>
        </w:rPr>
        <w:t>T</w:t>
      </w:r>
      <w:r w:rsidRPr="00FC6F34">
        <w:rPr>
          <w:rFonts w:ascii="Verdana" w:hAnsi="Verdana" w:cs="Arial"/>
          <w:bCs/>
          <w:lang w:val="es-ES" w:eastAsia="x-none"/>
        </w:rPr>
        <w:t>al como lo ha sostenido el Consejo de Estado, el vocablo “todos” utilizado por</w:t>
      </w:r>
      <w:r>
        <w:rPr>
          <w:rFonts w:ascii="Verdana" w:hAnsi="Verdana" w:cs="Arial"/>
          <w:bCs/>
          <w:lang w:val="es-ES" w:eastAsia="x-none"/>
        </w:rPr>
        <w:t xml:space="preserve"> </w:t>
      </w:r>
      <w:r w:rsidRPr="00FC6F34">
        <w:rPr>
          <w:rFonts w:ascii="Verdana" w:hAnsi="Verdana" w:cs="Arial"/>
          <w:bCs/>
          <w:lang w:val="es-ES" w:eastAsia="x-none"/>
        </w:rPr>
        <w:t>el legislador comprende</w:t>
      </w:r>
      <w:r w:rsidRPr="00FC6F34">
        <w:rPr>
          <w:rFonts w:ascii="Verdana" w:hAnsi="Verdana"/>
          <w:lang w:val="es-ES"/>
        </w:rPr>
        <w:t xml:space="preserve"> </w:t>
      </w:r>
      <w:r w:rsidRPr="00FC6F34">
        <w:rPr>
          <w:rFonts w:ascii="Verdana" w:hAnsi="Verdana" w:cs="Arial"/>
          <w:bCs/>
          <w:lang w:val="es-ES" w:eastAsia="x-none"/>
        </w:rPr>
        <w:t xml:space="preserve">a la </w:t>
      </w:r>
      <w:r w:rsidRPr="00561896">
        <w:rPr>
          <w:rFonts w:ascii="Verdana" w:hAnsi="Verdana" w:cs="Arial"/>
          <w:bCs/>
          <w:i/>
          <w:iCs/>
          <w:lang w:val="es-ES" w:eastAsia="x-none"/>
        </w:rPr>
        <w:t>totalidad</w:t>
      </w:r>
      <w:r w:rsidRPr="00FC6F34">
        <w:rPr>
          <w:rFonts w:ascii="Verdana" w:hAnsi="Verdana" w:cs="Arial"/>
          <w:bCs/>
          <w:lang w:val="es-ES" w:eastAsia="x-none"/>
        </w:rPr>
        <w:t xml:space="preserve">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FootnoteReferenc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084A508D" w14:textId="77777777" w:rsidR="001C1E14" w:rsidRPr="00FC6F34" w:rsidRDefault="001C1E14" w:rsidP="001C1E14">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lastRenderedPageBreak/>
        <w:t>Por lo tanto, la restricción del artículo 33 prevista en la Ley 996 de 2005</w:t>
      </w:r>
      <w:r>
        <w:rPr>
          <w:rFonts w:ascii="Verdana" w:eastAsia="Arial" w:hAnsi="Verdana" w:cs="Arial"/>
          <w:color w:val="000000" w:themeColor="text1"/>
          <w:lang w:val="es-ES"/>
        </w:rPr>
        <w:t xml:space="preserve"> </w:t>
      </w:r>
      <w:r w:rsidRPr="00FC6F34">
        <w:rPr>
          <w:rFonts w:ascii="Verdana" w:eastAsia="Arial" w:hAnsi="Verdana" w:cs="Arial"/>
          <w:color w:val="000000" w:themeColor="text1"/>
          <w:lang w:val="es-ES"/>
        </w:rPr>
        <w:t xml:space="preserve">cobija a cualquier ente público </w:t>
      </w:r>
      <w:r>
        <w:rPr>
          <w:rFonts w:ascii="Verdana" w:eastAsia="Arial" w:hAnsi="Verdana" w:cs="Arial"/>
          <w:color w:val="000000" w:themeColor="text1"/>
          <w:lang w:val="es-ES"/>
        </w:rPr>
        <w:t xml:space="preserve">que pretenda celebrar contratos de manera directa, independientemente de la naturaleza de la contraparte con quien los suscriba. Lo anterior incluye a aquellos entes públicos de </w:t>
      </w:r>
      <w:r w:rsidRPr="00FC6F34">
        <w:rPr>
          <w:rFonts w:ascii="Verdana" w:eastAsia="Arial" w:hAnsi="Verdana" w:cs="Arial"/>
          <w:color w:val="000000" w:themeColor="text1"/>
          <w:lang w:val="es-ES"/>
        </w:rPr>
        <w:t>régimen especial</w:t>
      </w:r>
      <w:r>
        <w:rPr>
          <w:rFonts w:ascii="Verdana" w:eastAsia="Arial" w:hAnsi="Verdana" w:cs="Arial"/>
          <w:color w:val="000000" w:themeColor="text1"/>
          <w:lang w:val="es-ES"/>
        </w:rPr>
        <w:t xml:space="preserve">, </w:t>
      </w:r>
      <w:r w:rsidRPr="00FC6F34">
        <w:rPr>
          <w:rFonts w:ascii="Verdana" w:eastAsia="Arial" w:hAnsi="Verdana" w:cs="Arial"/>
          <w:color w:val="000000" w:themeColor="text1"/>
          <w:lang w:val="es-ES"/>
        </w:rPr>
        <w:t>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2600DCAF" w14:textId="77777777" w:rsidR="001C1E14" w:rsidRPr="00FC6F34" w:rsidRDefault="001C1E14" w:rsidP="001C1E14">
      <w:pPr>
        <w:spacing w:before="120" w:line="276" w:lineRule="auto"/>
        <w:ind w:firstLine="709"/>
        <w:jc w:val="both"/>
        <w:rPr>
          <w:rFonts w:ascii="Verdana" w:hAnsi="Verdana" w:cs="Arial"/>
          <w:bCs/>
          <w:color w:val="000000" w:themeColor="text1"/>
          <w:lang w:val="es-ES"/>
        </w:rPr>
      </w:pPr>
      <w:r>
        <w:rPr>
          <w:rFonts w:ascii="Verdana" w:eastAsia="Arial" w:hAnsi="Verdana" w:cs="Arial"/>
          <w:bCs/>
          <w:color w:val="000000" w:themeColor="text1"/>
          <w:lang w:val="es-ES"/>
        </w:rPr>
        <w:t xml:space="preserve">Por lo anterior, </w:t>
      </w:r>
      <w:r w:rsidRPr="00FC6F34">
        <w:rPr>
          <w:rFonts w:ascii="Verdana" w:eastAsia="Arial" w:hAnsi="Verdana" w:cs="Arial"/>
          <w:bCs/>
          <w:color w:val="000000" w:themeColor="text1"/>
          <w:lang w:val="es-ES"/>
        </w:rPr>
        <w:t xml:space="preserve">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0A1EE68A" w14:textId="77777777" w:rsidR="001C1E14" w:rsidRPr="00FC6F34" w:rsidRDefault="001C1E14" w:rsidP="001C1E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1</w:t>
      </w:r>
      <w:r w:rsidRPr="00FC6F34">
        <w:rPr>
          <w:rFonts w:ascii="Verdana" w:hAnsi="Verdana" w:cs="Arial"/>
          <w:bCs/>
          <w:color w:val="000000" w:themeColor="text1"/>
          <w:lang w:val="es-ES"/>
        </w:rPr>
        <w:t>) La contratación referente a la defensa y seguridad del Estado;</w:t>
      </w:r>
    </w:p>
    <w:p w14:paraId="5E7F021D" w14:textId="77777777" w:rsidR="001C1E14" w:rsidRPr="00FC6F34" w:rsidRDefault="001C1E14" w:rsidP="001C1E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49810566" w14:textId="77777777" w:rsidR="001C1E14" w:rsidRPr="00FC6F34" w:rsidRDefault="001C1E14" w:rsidP="001C1E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75B90559" w14:textId="77777777" w:rsidR="001C1E14" w:rsidRPr="00FC6F34" w:rsidRDefault="001C1E14" w:rsidP="001C1E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560F2BBB" w14:textId="77777777" w:rsidR="001C1E14" w:rsidRPr="00FC6F34" w:rsidRDefault="001C1E14" w:rsidP="001C1E1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1F0D7D47" w14:textId="77777777" w:rsidR="001C1E14" w:rsidRPr="00FC6F34" w:rsidRDefault="001C1E14" w:rsidP="001C1E14">
      <w:pPr>
        <w:spacing w:before="240" w:line="276" w:lineRule="auto"/>
        <w:ind w:firstLine="708"/>
        <w:jc w:val="both"/>
        <w:rPr>
          <w:rFonts w:ascii="Verdana" w:hAnsi="Verdana" w:cs="Arial"/>
          <w:lang w:val="es-ES" w:eastAsia="x-none"/>
        </w:rPr>
      </w:pPr>
      <w:r w:rsidRPr="00FC6F34">
        <w:rPr>
          <w:rFonts w:ascii="Verdana" w:hAnsi="Verdana" w:cs="Arial"/>
          <w:lang w:val="es-ES" w:eastAsia="x-none"/>
        </w:rPr>
        <w:t xml:space="preserve">Como lo anotó la Corte Constitucional, en Sentencia C-1153 de noviembre 11 de 2005, “si bien la limitación garantiza la igualdad de condiciones, también es necesario que tal limitación que pretende la igualdad no termine yendo en </w:t>
      </w:r>
      <w:r w:rsidRPr="00FC6F34">
        <w:rPr>
          <w:rFonts w:ascii="Verdana" w:hAnsi="Verdana" w:cs="Arial"/>
          <w:lang w:val="es-ES" w:eastAsia="x-none"/>
        </w:rPr>
        <w:lastRenderedPageBreak/>
        <w:t>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8"/>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38BC630" w14:textId="77777777" w:rsidR="001C1E14" w:rsidRPr="00153204" w:rsidRDefault="001C1E14" w:rsidP="001C1E14">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r w:rsidRPr="00153204">
        <w:rPr>
          <w:rFonts w:ascii="Verdana" w:hAnsi="Verdana" w:cs="Arial"/>
          <w:color w:val="000000" w:themeColor="text1"/>
          <w:lang w:val="es-ES"/>
        </w:rPr>
        <w:t xml:space="preserve">“[…] </w:t>
      </w:r>
      <w:r w:rsidRPr="00153204">
        <w:rPr>
          <w:rFonts w:ascii="Verdana" w:hAnsi="Verdana" w:cs="Arial"/>
          <w:i/>
          <w:color w:val="000000" w:themeColor="text1"/>
          <w:lang w:val="es-ES"/>
        </w:rPr>
        <w:t xml:space="preserve">Las excepciones aplicables a la restricción de contratación pública </w:t>
      </w:r>
      <w:r w:rsidRPr="00153204">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153204">
        <w:rPr>
          <w:rFonts w:ascii="Verdana" w:hAnsi="Verdana" w:cs="Arial"/>
          <w:color w:val="000000" w:themeColor="text1"/>
          <w:shd w:val="clear" w:color="auto" w:fill="FFFFFF"/>
          <w:vertAlign w:val="superscript"/>
          <w:lang w:val="es-ES"/>
        </w:rPr>
        <w:footnoteReference w:id="19"/>
      </w:r>
      <w:r w:rsidRPr="00153204">
        <w:rPr>
          <w:rFonts w:ascii="Verdana" w:hAnsi="Verdana" w:cs="Arial"/>
          <w:color w:val="000000" w:themeColor="text1"/>
          <w:shd w:val="clear" w:color="auto" w:fill="FFFFFF"/>
          <w:lang w:val="es-ES"/>
        </w:rPr>
        <w:t>.</w:t>
      </w:r>
    </w:p>
    <w:p w14:paraId="043EFE87" w14:textId="77777777" w:rsidR="001C1E14" w:rsidRPr="00FC6F34" w:rsidRDefault="001C1E14" w:rsidP="001C1E14">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Lo anterior implica que las excepciones al artículo 33 en comento deben interpretarse y aplicarse de manera </w:t>
      </w:r>
      <w:r w:rsidRPr="002D4C10">
        <w:rPr>
          <w:rFonts w:ascii="Verdana" w:hAnsi="Verdana" w:cs="Arial"/>
          <w:bCs/>
          <w:i/>
          <w:iCs/>
          <w:color w:val="000000" w:themeColor="text1"/>
          <w:lang w:val="es-ES"/>
        </w:rPr>
        <w:t>estricta</w:t>
      </w:r>
      <w:r w:rsidRPr="00FC6F34">
        <w:rPr>
          <w:rFonts w:ascii="Verdana" w:hAnsi="Verdana" w:cs="Arial"/>
          <w:bCs/>
          <w:color w:val="000000" w:themeColor="text1"/>
          <w:lang w:val="es-ES"/>
        </w:rPr>
        <w:t>.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7FB72169" w14:textId="77777777" w:rsidR="001C1E14" w:rsidRDefault="001C1E14" w:rsidP="001C1E14">
      <w:pPr>
        <w:spacing w:before="240" w:line="276" w:lineRule="auto"/>
        <w:jc w:val="both"/>
        <w:rPr>
          <w:rFonts w:ascii="Verdana" w:hAnsi="Verdana" w:cs="Arial"/>
          <w:lang w:val="es-ES"/>
        </w:rPr>
      </w:pPr>
      <w:r>
        <w:rPr>
          <w:rFonts w:ascii="Verdana" w:eastAsia="Arial" w:hAnsi="Verdana" w:cs="Arial"/>
          <w:bCs/>
          <w:color w:val="000000" w:themeColor="text1"/>
          <w:lang w:val="es-ES"/>
        </w:rPr>
        <w:t xml:space="preserve">vi) Por otro lado,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 xml:space="preserve">de la Ley 996 de 2005 dispone que “los Gobernadores, Alcaldes Municipales y/o Distritales, Secretarios, Gerentes y directores de Entidades Descentralizadas del orden Municipal, Departamental o Distrital, dentro de los cuatro (4) meses anteriores a las elecciones, no podrán celebrar </w:t>
      </w:r>
      <w:r w:rsidRPr="002D4C10">
        <w:rPr>
          <w:rFonts w:ascii="Verdana" w:eastAsia="Calibri" w:hAnsi="Verdana" w:cs="Arial"/>
          <w:bCs/>
          <w:i/>
          <w:iCs/>
          <w:lang w:val="es-ES"/>
        </w:rPr>
        <w:t>convenios interadministrativos</w:t>
      </w:r>
      <w:r w:rsidRPr="00FC6F34">
        <w:rPr>
          <w:rFonts w:ascii="Verdana" w:eastAsia="Calibri" w:hAnsi="Verdana" w:cs="Arial"/>
          <w:bCs/>
          <w:lang w:val="es-ES"/>
        </w:rPr>
        <w:t xml:space="preserve"> para la ejecución de recursos públicos”.</w:t>
      </w:r>
      <w:r w:rsidRPr="00FC6F34">
        <w:rPr>
          <w:rFonts w:ascii="Verdana" w:hAnsi="Verdana" w:cs="Arial"/>
          <w:bCs/>
          <w:iCs/>
          <w:lang w:val="es-ES" w:eastAsia="x-none"/>
        </w:rPr>
        <w:t xml:space="preserve"> Los convenios interadministrativos que se restringen en el parágrafo del artículo 38 de la Ley 996 de 2005, son </w:t>
      </w:r>
      <w:r w:rsidRPr="00FC6F34">
        <w:rPr>
          <w:rFonts w:ascii="Verdana" w:hAnsi="Verdana" w:cs="Arial"/>
          <w:bCs/>
          <w:iCs/>
          <w:lang w:val="es-ES" w:eastAsia="x-none"/>
        </w:rPr>
        <w:lastRenderedPageBreak/>
        <w:t>únicamente aquellos en que se dispone la ejecución de recursos públicos, para evitar que mediante la suscripción de estos se comprometa el erario con fines políticos o partidistas</w:t>
      </w:r>
      <w:r w:rsidRPr="00FC6F34">
        <w:rPr>
          <w:rStyle w:val="FootnoteReference"/>
          <w:rFonts w:ascii="Verdana" w:hAnsi="Verdana" w:cs="Arial"/>
          <w:bCs/>
          <w:iCs/>
          <w:lang w:val="es-ES" w:eastAsia="x-none"/>
        </w:rPr>
        <w:footnoteReference w:id="20"/>
      </w:r>
      <w:r w:rsidRPr="00FC6F34">
        <w:rPr>
          <w:rFonts w:ascii="Verdana" w:hAnsi="Verdana" w:cs="Arial"/>
          <w:bCs/>
          <w:iCs/>
          <w:lang w:val="es-ES" w:eastAsia="x-none"/>
        </w:rPr>
        <w:t>.</w:t>
      </w:r>
      <w:r w:rsidRPr="00FC6F34">
        <w:rPr>
          <w:rFonts w:ascii="Verdana" w:hAnsi="Verdana" w:cs="Arial"/>
          <w:lang w:val="es-ES"/>
        </w:rPr>
        <w:t xml:space="preserve"> </w:t>
      </w:r>
      <w:bookmarkStart w:id="3" w:name="_Hlk78820161"/>
    </w:p>
    <w:p w14:paraId="2F89A4F8" w14:textId="77777777" w:rsidR="001C1E14" w:rsidRDefault="001C1E14" w:rsidP="001C1E14">
      <w:pPr>
        <w:spacing w:before="120" w:after="120" w:line="276" w:lineRule="auto"/>
        <w:ind w:firstLine="708"/>
        <w:jc w:val="both"/>
        <w:rPr>
          <w:rFonts w:ascii="Verdana" w:hAnsi="Verdana" w:cs="Arial"/>
          <w:lang w:val="es-ES"/>
        </w:rPr>
      </w:pPr>
      <w:r w:rsidRPr="00FC6F34">
        <w:rPr>
          <w:rFonts w:ascii="Verdana" w:hAnsi="Verdana" w:cs="Arial"/>
          <w:lang w:val="es-ES"/>
        </w:rPr>
        <w:t>Aunque la ley no definió ni desarrolló</w:t>
      </w:r>
      <w:r>
        <w:rPr>
          <w:rFonts w:ascii="Verdana" w:hAnsi="Verdana" w:cs="Arial"/>
          <w:lang w:val="es-ES"/>
        </w:rPr>
        <w:t xml:space="preserve"> </w:t>
      </w:r>
      <w:r w:rsidRPr="00FC6F34">
        <w:rPr>
          <w:rFonts w:ascii="Verdana" w:eastAsia="Calibri" w:hAnsi="Verdana" w:cs="Arial"/>
          <w:bCs/>
          <w:lang w:val="es-ES"/>
        </w:rPr>
        <w:t>la tipología de convenios interadministrativos</w:t>
      </w:r>
      <w:r w:rsidRPr="00FC6F34">
        <w:rPr>
          <w:rFonts w:ascii="Verdana" w:hAnsi="Verdana" w:cs="Arial"/>
          <w:lang w:val="es-ES"/>
        </w:rPr>
        <w:t xml:space="preserve">, el Decreto 1082 de 2015 califica a los convenios o contratos interadministrativos como aquella contratación </w:t>
      </w:r>
      <w:r w:rsidRPr="003A34B7">
        <w:rPr>
          <w:rFonts w:ascii="Verdana" w:hAnsi="Verdana" w:cs="Arial"/>
          <w:i/>
          <w:iCs/>
          <w:lang w:val="es-ES"/>
        </w:rPr>
        <w:t>entre entidades estatales</w:t>
      </w:r>
      <w:r w:rsidRPr="00FC6F34">
        <w:rPr>
          <w:rStyle w:val="FootnoteReference"/>
          <w:rFonts w:ascii="Verdana" w:hAnsi="Verdana" w:cs="Arial"/>
          <w:lang w:val="es-ES"/>
        </w:rPr>
        <w:footnoteReference w:id="21"/>
      </w:r>
      <w:r w:rsidRPr="00FC6F34">
        <w:rPr>
          <w:rFonts w:ascii="Verdana" w:hAnsi="Verdana" w:cs="Arial"/>
          <w:lang w:val="es-ES"/>
        </w:rPr>
        <w:t xml:space="preserve">. De acuerdo con lo anterior, el convenio interadministrativo es el acuerdo donde concurre la voluntad de </w:t>
      </w:r>
      <w:r w:rsidRPr="003A34B7">
        <w:rPr>
          <w:rFonts w:ascii="Verdana" w:hAnsi="Verdana" w:cs="Arial"/>
          <w:i/>
          <w:iCs/>
          <w:lang w:val="es-ES"/>
        </w:rPr>
        <w:t>dos o más personas jurídicas de derecho público</w:t>
      </w:r>
      <w:r w:rsidRPr="00FC6F34">
        <w:rPr>
          <w:rFonts w:ascii="Verdana" w:hAnsi="Verdana" w:cs="Arial"/>
          <w:lang w:val="es-ES"/>
        </w:rPr>
        <w:t xml:space="preserve"> con la finalidad de cumplir, en el marco de sus objetivos misionales y sus competencias, con los fines del Estado. Es decir, los convenios interadministrativos están determinados por un criterio orgánico, pues es necesario que los extremos de la relación contractual sean </w:t>
      </w:r>
      <w:r>
        <w:rPr>
          <w:rFonts w:ascii="Verdana" w:hAnsi="Verdana" w:cs="Arial"/>
          <w:lang w:val="es-ES"/>
        </w:rPr>
        <w:t>E</w:t>
      </w:r>
      <w:r w:rsidRPr="00FC6F34">
        <w:rPr>
          <w:rFonts w:ascii="Verdana" w:hAnsi="Verdana" w:cs="Arial"/>
          <w:lang w:val="es-ES"/>
        </w:rPr>
        <w:t>ntidades</w:t>
      </w:r>
      <w:r w:rsidRPr="00FC6F34">
        <w:rPr>
          <w:rFonts w:ascii="Verdana" w:hAnsi="Verdana" w:cs="Arial"/>
          <w:spacing w:val="-6"/>
          <w:lang w:val="es-ES"/>
        </w:rPr>
        <w:t xml:space="preserve"> </w:t>
      </w:r>
      <w:r>
        <w:rPr>
          <w:rFonts w:ascii="Verdana" w:hAnsi="Verdana" w:cs="Arial"/>
          <w:lang w:val="es-ES"/>
        </w:rPr>
        <w:t>E</w:t>
      </w:r>
      <w:r w:rsidRPr="00FC6F34">
        <w:rPr>
          <w:rFonts w:ascii="Verdana" w:hAnsi="Verdana" w:cs="Arial"/>
          <w:lang w:val="es-ES"/>
        </w:rPr>
        <w:t>statales.</w:t>
      </w:r>
      <w:bookmarkStart w:id="4" w:name="_Hlk78820654"/>
      <w:bookmarkEnd w:id="3"/>
    </w:p>
    <w:p w14:paraId="4E8A8041" w14:textId="77777777" w:rsidR="001C1E14" w:rsidRPr="000A1100" w:rsidRDefault="001C1E14" w:rsidP="001C1E14">
      <w:pPr>
        <w:spacing w:before="120" w:after="120" w:line="276" w:lineRule="auto"/>
        <w:ind w:firstLine="708"/>
        <w:jc w:val="both"/>
        <w:rPr>
          <w:rFonts w:ascii="Verdana" w:hAnsi="Verdana" w:cs="Arial"/>
          <w:lang w:val="es-ES"/>
        </w:rPr>
      </w:pPr>
      <w:r w:rsidRPr="00FC6F34">
        <w:rPr>
          <w:rFonts w:ascii="Verdana" w:hAnsi="Verdana" w:cs="Arial"/>
          <w:lang w:val="es-ES"/>
        </w:rPr>
        <w:t xml:space="preserve">Si bien los convenios interadministrativos están previstos en la Ley 80 de 1993, en la Ley 1150 de 2007 y en el Decreto en el 1082 de 2015, no quiere decir que solo puedan celebrarse entre </w:t>
      </w:r>
      <w:r>
        <w:rPr>
          <w:rFonts w:ascii="Verdana" w:hAnsi="Verdana" w:cs="Arial"/>
          <w:lang w:val="es-ES"/>
        </w:rPr>
        <w:t>E</w:t>
      </w:r>
      <w:r w:rsidRPr="00FC6F34">
        <w:rPr>
          <w:rFonts w:ascii="Verdana" w:hAnsi="Verdana" w:cs="Arial"/>
          <w:lang w:val="es-ES"/>
        </w:rPr>
        <w:t xml:space="preserve">ntidades </w:t>
      </w:r>
      <w:r>
        <w:rPr>
          <w:rFonts w:ascii="Verdana" w:hAnsi="Verdana" w:cs="Arial"/>
          <w:lang w:val="es-ES"/>
        </w:rPr>
        <w:t>E</w:t>
      </w:r>
      <w:r w:rsidRPr="00FC6F34">
        <w:rPr>
          <w:rFonts w:ascii="Verdana" w:hAnsi="Verdana" w:cs="Arial"/>
          <w:lang w:val="es-ES"/>
        </w:rPr>
        <w:t xml:space="preserve">statales que apliquen el régimen de contratación allí previsto, pues una </w:t>
      </w:r>
      <w:r>
        <w:rPr>
          <w:rFonts w:ascii="Verdana" w:hAnsi="Verdana" w:cs="Arial"/>
          <w:lang w:val="es-ES"/>
        </w:rPr>
        <w:t>E</w:t>
      </w:r>
      <w:r w:rsidRPr="00FC6F34">
        <w:rPr>
          <w:rFonts w:ascii="Verdana" w:hAnsi="Verdana" w:cs="Arial"/>
          <w:lang w:val="es-ES"/>
        </w:rPr>
        <w:t xml:space="preserve">ntidad </w:t>
      </w:r>
      <w:r>
        <w:rPr>
          <w:rFonts w:ascii="Verdana" w:hAnsi="Verdana" w:cs="Arial"/>
          <w:lang w:val="es-ES"/>
        </w:rPr>
        <w:t>E</w:t>
      </w:r>
      <w:r w:rsidRPr="00FC6F34">
        <w:rPr>
          <w:rFonts w:ascii="Verdana" w:hAnsi="Verdana" w:cs="Arial"/>
          <w:lang w:val="es-ES"/>
        </w:rPr>
        <w:t xml:space="preserve">statal sometida a la Ley 80 de 1993 </w:t>
      </w:r>
      <w:r>
        <w:rPr>
          <w:rFonts w:ascii="Verdana" w:hAnsi="Verdana" w:cs="Arial"/>
          <w:lang w:val="es-ES"/>
        </w:rPr>
        <w:t xml:space="preserve">puede </w:t>
      </w:r>
      <w:r w:rsidRPr="00FC6F34">
        <w:rPr>
          <w:rFonts w:ascii="Verdana" w:hAnsi="Verdana" w:cs="Arial"/>
          <w:lang w:val="es-ES"/>
        </w:rPr>
        <w:t>celebrar esta clase de convenios con una de régimen especial y no por ello dejará de ser un convenio interadministrativo.</w:t>
      </w:r>
      <w:bookmarkEnd w:id="4"/>
      <w:r>
        <w:rPr>
          <w:rFonts w:ascii="Verdana" w:hAnsi="Verdana" w:cs="Arial"/>
          <w:lang w:val="es-ES"/>
        </w:rPr>
        <w:t xml:space="preserve"> </w:t>
      </w:r>
      <w:r w:rsidRPr="00FC6F34">
        <w:rPr>
          <w:rFonts w:ascii="Verdana" w:hAnsi="Verdana" w:cs="Arial"/>
          <w:lang w:val="es-ES"/>
        </w:rPr>
        <w:t xml:space="preserve">Teniendo en cuenta lo anterior, se reitera que los convenios interadministrativos </w:t>
      </w:r>
      <w:r>
        <w:rPr>
          <w:rFonts w:ascii="Verdana" w:hAnsi="Verdana" w:cs="Arial"/>
          <w:lang w:val="es-ES"/>
        </w:rPr>
        <w:t xml:space="preserve">están definidos por </w:t>
      </w:r>
      <w:r w:rsidRPr="00FC6F34">
        <w:rPr>
          <w:rFonts w:ascii="Verdana" w:hAnsi="Verdana" w:cs="Arial"/>
          <w:lang w:val="es-ES"/>
        </w:rPr>
        <w:t xml:space="preserve">la naturaleza de las partes, de manera que </w:t>
      </w:r>
      <w:r>
        <w:rPr>
          <w:rFonts w:ascii="Verdana" w:hAnsi="Verdana" w:cs="Arial"/>
          <w:lang w:val="es-ES"/>
        </w:rPr>
        <w:t xml:space="preserve">se identifican </w:t>
      </w:r>
      <w:r w:rsidRPr="00FC6F34">
        <w:rPr>
          <w:rFonts w:ascii="Verdana" w:hAnsi="Verdana" w:cs="Arial"/>
          <w:lang w:val="es-ES"/>
        </w:rPr>
        <w:t>por un criterio orgánico</w:t>
      </w:r>
      <w:r>
        <w:rPr>
          <w:rFonts w:ascii="Verdana" w:hAnsi="Verdana" w:cs="Arial"/>
          <w:lang w:val="es-ES"/>
        </w:rPr>
        <w:t xml:space="preserve"> y </w:t>
      </w:r>
      <w:r w:rsidRPr="00FC6F34">
        <w:rPr>
          <w:rFonts w:ascii="Verdana" w:hAnsi="Verdana" w:cs="Arial"/>
          <w:lang w:val="es-ES"/>
        </w:rPr>
        <w:t xml:space="preserve">serán aquellos celebrados entre entidades estatales. </w:t>
      </w:r>
    </w:p>
    <w:p w14:paraId="3267265D" w14:textId="77777777" w:rsidR="001C1E14" w:rsidRDefault="001C1E14" w:rsidP="001C1E14">
      <w:pPr>
        <w:spacing w:before="120" w:after="0" w:line="276" w:lineRule="auto"/>
        <w:ind w:firstLine="708"/>
        <w:jc w:val="both"/>
        <w:rPr>
          <w:rFonts w:ascii="Verdana" w:eastAsia="Times New Roman" w:hAnsi="Verdana" w:cs="Arial"/>
          <w:lang w:val="es-MX" w:eastAsia="es-CO"/>
        </w:rPr>
      </w:pPr>
      <w:r>
        <w:rPr>
          <w:rFonts w:ascii="Verdana" w:eastAsia="Calibri" w:hAnsi="Verdana" w:cs="Arial"/>
          <w:bCs/>
          <w:lang w:val="es-ES"/>
        </w:rPr>
        <w:t xml:space="preserve">En consecuencia, </w:t>
      </w:r>
      <w:r w:rsidRPr="00FC6F34">
        <w:rPr>
          <w:rFonts w:ascii="Verdana" w:hAnsi="Verdana" w:cs="Arial"/>
          <w:bCs/>
          <w:lang w:val="es-ES" w:eastAsia="es-CO"/>
        </w:rPr>
        <w:t xml:space="preserve">el parágrafo del artículo 38 de la Ley 996 de 2005 prohíbe </w:t>
      </w:r>
      <w:r>
        <w:rPr>
          <w:rFonts w:ascii="Verdana" w:hAnsi="Verdana" w:cs="Arial"/>
          <w:bCs/>
          <w:lang w:val="es-ES" w:eastAsia="es-CO"/>
        </w:rPr>
        <w:t xml:space="preserve">específicamente </w:t>
      </w:r>
      <w:r w:rsidRPr="00FC6F34">
        <w:rPr>
          <w:rFonts w:ascii="Verdana" w:hAnsi="Verdana" w:cs="Arial"/>
          <w:bCs/>
          <w:lang w:val="es-ES" w:eastAsia="es-CO"/>
        </w:rPr>
        <w:t xml:space="preserve">a los </w:t>
      </w:r>
      <w:r w:rsidRPr="00EF61FB">
        <w:rPr>
          <w:rFonts w:ascii="Verdana" w:hAnsi="Verdana" w:cs="Arial"/>
          <w:bCs/>
          <w:i/>
          <w:iCs/>
          <w:lang w:val="es-ES" w:eastAsia="es-CO"/>
        </w:rPr>
        <w:t>alcaldes, gobernadores, secretarios, gerentes y directores de las entidades del orden municipal, departamental o distrital</w:t>
      </w:r>
      <w:r w:rsidRPr="00FC6F34">
        <w:rPr>
          <w:rFonts w:ascii="Verdana" w:hAnsi="Verdana" w:cs="Arial"/>
          <w:bCs/>
          <w:lang w:val="es-ES" w:eastAsia="es-CO"/>
        </w:rPr>
        <w:t xml:space="preserve"> celebrar convenios interadministrativos para la ejecución de recursos públicos. En este sentido, </w:t>
      </w:r>
      <w:r w:rsidRPr="00667CD6">
        <w:rPr>
          <w:rFonts w:ascii="Verdana" w:eastAsia="Times New Roman" w:hAnsi="Verdana" w:cs="Arial"/>
          <w:lang w:val="es-MX" w:eastAsia="es-CO"/>
        </w:rPr>
        <w:t xml:space="preserve">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w:t>
      </w:r>
      <w:r w:rsidRPr="00667CD6">
        <w:rPr>
          <w:rFonts w:ascii="Verdana" w:eastAsia="Times New Roman" w:hAnsi="Verdana" w:cs="Arial"/>
          <w:lang w:val="es-MX" w:eastAsia="es-CO"/>
        </w:rPr>
        <w:lastRenderedPageBreak/>
        <w:t xml:space="preserve">disposición hace referencia a dicha tipología contractual sin que el legislador hubiere contemplado un efecto extensivo a otra tipología. </w:t>
      </w:r>
    </w:p>
    <w:p w14:paraId="3A379514" w14:textId="77777777" w:rsidR="001C1E14" w:rsidRPr="00667CD6" w:rsidRDefault="001C1E14" w:rsidP="001C1E1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015EEB33" w14:textId="77777777" w:rsidR="001C1E14" w:rsidRPr="00FB0D09" w:rsidRDefault="001C1E14" w:rsidP="001C1E1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3171A938" w14:textId="77777777" w:rsidR="001C1E14" w:rsidRPr="00FB337F" w:rsidRDefault="001C1E14" w:rsidP="001C1E14">
      <w:pPr>
        <w:spacing w:after="0" w:line="276" w:lineRule="auto"/>
        <w:ind w:firstLine="708"/>
        <w:jc w:val="both"/>
        <w:rPr>
          <w:rFonts w:ascii="Verdana" w:eastAsia="Calibri" w:hAnsi="Verdana" w:cs="Arial"/>
          <w:bCs/>
          <w:lang w:val="es-ES"/>
        </w:rPr>
      </w:pPr>
    </w:p>
    <w:p w14:paraId="70758AD4" w14:textId="77777777" w:rsidR="001C1E14" w:rsidRPr="00E21839" w:rsidRDefault="001C1E14" w:rsidP="001C1E14">
      <w:pPr>
        <w:spacing w:after="120" w:line="276" w:lineRule="auto"/>
        <w:jc w:val="both"/>
        <w:rPr>
          <w:rFonts w:ascii="Verdana" w:eastAsia="Arial" w:hAnsi="Verdana" w:cs="Arial"/>
          <w:color w:val="000000" w:themeColor="text1"/>
        </w:rPr>
      </w:pPr>
      <w:proofErr w:type="spellStart"/>
      <w:r>
        <w:rPr>
          <w:rFonts w:ascii="Verdana" w:eastAsia="Arial" w:hAnsi="Verdana" w:cs="Arial"/>
          <w:bCs/>
          <w:color w:val="000000" w:themeColor="text1"/>
          <w:lang w:val="es-ES"/>
        </w:rPr>
        <w:t>iv</w:t>
      </w:r>
      <w:proofErr w:type="spellEnd"/>
      <w:r>
        <w:rPr>
          <w:rFonts w:ascii="Verdana" w:eastAsia="Arial" w:hAnsi="Verdana" w:cs="Arial"/>
          <w:bCs/>
          <w:color w:val="000000" w:themeColor="text1"/>
          <w:lang w:val="es-ES"/>
        </w:rPr>
        <w:t xml:space="preserve">) </w:t>
      </w:r>
      <w:r>
        <w:rPr>
          <w:rFonts w:ascii="Verdana" w:eastAsia="Arial" w:hAnsi="Verdana" w:cs="Arial"/>
          <w:color w:val="000000" w:themeColor="text1"/>
        </w:rPr>
        <w:t xml:space="preserve">De lo anterior se evidencia que los contratos o convenios que pretenda celebrar de manera directa </w:t>
      </w:r>
      <w:r w:rsidRPr="00812489">
        <w:rPr>
          <w:rFonts w:ascii="Verdana" w:eastAsia="Arial" w:hAnsi="Verdana" w:cs="Arial"/>
          <w:i/>
          <w:iCs/>
          <w:color w:val="000000" w:themeColor="text1"/>
        </w:rPr>
        <w:t>cualquier</w:t>
      </w:r>
      <w:r>
        <w:rPr>
          <w:rFonts w:ascii="Verdana" w:eastAsia="Arial" w:hAnsi="Verdana" w:cs="Arial"/>
          <w:color w:val="000000" w:themeColor="text1"/>
        </w:rPr>
        <w:t xml:space="preserve"> ente público, y que no impliquen convocatorias públicas o la posibilidad de pluralidad de oferentes, estarán sujetos a la prohibición del artículo 33 de la Ley 996 de 2005</w:t>
      </w:r>
      <w:r w:rsidRPr="00EF0EAC">
        <w:rPr>
          <w:rFonts w:ascii="Verdana" w:eastAsia="Arial" w:hAnsi="Verdana" w:cs="Arial"/>
          <w:color w:val="000000" w:themeColor="text1"/>
        </w:rPr>
        <w:t xml:space="preserve">. </w:t>
      </w:r>
      <w:r w:rsidRPr="00EF0EAC">
        <w:rPr>
          <w:rFonts w:ascii="Verdana" w:eastAsia="Times New Roman" w:hAnsi="Verdana" w:cs="Arial"/>
          <w:lang w:val="es-ES"/>
        </w:rPr>
        <w:t>Por tanto, el alcance material de la prohibición del artículo 33 prohíbe a cualquier ente público celebrar convenios especiales de cooperación de manera directa.</w:t>
      </w:r>
      <w:r>
        <w:rPr>
          <w:rFonts w:ascii="Verdana" w:eastAsia="Arial" w:hAnsi="Verdana" w:cs="Arial"/>
          <w:color w:val="000000" w:themeColor="text1"/>
        </w:rPr>
        <w:t xml:space="preserve">En cualquier caso, </w:t>
      </w:r>
      <w:r>
        <w:rPr>
          <w:rFonts w:ascii="Verdana" w:eastAsia="Arial" w:hAnsi="Verdana" w:cs="Arial"/>
          <w:bCs/>
          <w:color w:val="000000" w:themeColor="text1"/>
          <w:lang w:val="es-ES"/>
        </w:rPr>
        <w:t xml:space="preserve">será pertinente analizar si se configura alguna de las excepciones a la restricción del artículo 33. De ser así, la entidad podrá llevar a cabo la contratación directa, a pesar de que haya iniciado el periodo de garantías electorales correspondiente al artículo 33 de la Ley 996 de 2005. </w:t>
      </w:r>
    </w:p>
    <w:p w14:paraId="685BE947" w14:textId="77777777" w:rsidR="001C1E14" w:rsidRPr="00B61AEE" w:rsidRDefault="001C1E14" w:rsidP="001C1E14">
      <w:pPr>
        <w:spacing w:before="120" w:after="120" w:line="276" w:lineRule="auto"/>
        <w:ind w:firstLine="708"/>
        <w:jc w:val="both"/>
        <w:rPr>
          <w:rFonts w:ascii="Verdana" w:eastAsia="Times New Roman" w:hAnsi="Verdana" w:cs="Arial"/>
          <w:lang w:val="es-MX" w:eastAsia="es-CO"/>
        </w:rPr>
      </w:pPr>
      <w:r>
        <w:rPr>
          <w:rFonts w:ascii="Verdana" w:eastAsia="Arial" w:hAnsi="Verdana" w:cs="Arial"/>
          <w:bCs/>
          <w:color w:val="000000" w:themeColor="text1"/>
          <w:lang w:val="es-ES"/>
        </w:rPr>
        <w:tab/>
        <w:t xml:space="preserve">Adicionalmente, 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la contratación restringida es la que lleven a cabo “</w:t>
      </w:r>
      <w:r w:rsidRPr="000C77A8">
        <w:rPr>
          <w:rFonts w:ascii="Verdana" w:eastAsia="Arial" w:hAnsi="Verdana" w:cs="Arial"/>
          <w:bCs/>
          <w:color w:val="000000" w:themeColor="text1"/>
        </w:rPr>
        <w:t>Alcaldes, Gobernadores, Secretarios, Gerentes y Directores de las entidades del orden municipal, departamental o distrital</w:t>
      </w:r>
      <w:r>
        <w:rPr>
          <w:rFonts w:ascii="Verdana" w:eastAsia="Arial" w:hAnsi="Verdana" w:cs="Arial"/>
          <w:bCs/>
          <w:color w:val="000000" w:themeColor="text1"/>
        </w:rPr>
        <w:t xml:space="preserve">”. Por otra parte, es necesario </w:t>
      </w:r>
      <w:r>
        <w:rPr>
          <w:rFonts w:ascii="Verdana" w:eastAsia="Arial" w:hAnsi="Verdana" w:cs="Arial"/>
          <w:bCs/>
          <w:color w:val="000000" w:themeColor="text1"/>
          <w:lang w:val="es-ES"/>
        </w:rPr>
        <w:t xml:space="preserve">verificar si lo que pretende adelantar es un convenio interadministrativo que involucre la ejecución de recursos públicos. </w:t>
      </w:r>
      <w:r w:rsidRPr="00FC6F34">
        <w:rPr>
          <w:rFonts w:ascii="Verdana" w:hAnsi="Verdana" w:cs="Arial"/>
          <w:bCs/>
          <w:lang w:val="es-ES" w:eastAsia="es-CO"/>
        </w:rPr>
        <w:t xml:space="preserve">En este sentido, </w:t>
      </w:r>
      <w:r w:rsidRPr="00667CD6">
        <w:rPr>
          <w:rFonts w:ascii="Verdana" w:eastAsia="Times New Roman" w:hAnsi="Verdana" w:cs="Arial"/>
          <w:lang w:val="es-MX" w:eastAsia="es-CO"/>
        </w:rPr>
        <w:t>si una o ambas partes de la relación contractual es una entidad de aquellas descritas en</w:t>
      </w:r>
      <w:r>
        <w:rPr>
          <w:rFonts w:ascii="Verdana" w:eastAsia="Times New Roman" w:hAnsi="Verdana" w:cs="Arial"/>
          <w:lang w:val="es-MX" w:eastAsia="es-CO"/>
        </w:rPr>
        <w:t xml:space="preserve"> la norma</w:t>
      </w:r>
      <w:r w:rsidRPr="00667CD6">
        <w:rPr>
          <w:rFonts w:ascii="Verdana" w:eastAsia="Times New Roman" w:hAnsi="Verdana" w:cs="Arial"/>
          <w:lang w:val="es-MX" w:eastAsia="es-CO"/>
        </w:rPr>
        <w:t xml:space="preserve">, no podrá </w:t>
      </w:r>
      <w:r w:rsidRPr="00667CD6">
        <w:rPr>
          <w:rFonts w:ascii="Verdana" w:eastAsia="Times New Roman" w:hAnsi="Verdana" w:cs="Arial"/>
          <w:lang w:val="es-MX" w:eastAsia="es-CO"/>
        </w:rPr>
        <w:lastRenderedPageBreak/>
        <w:t xml:space="preserve">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r>
        <w:rPr>
          <w:rFonts w:ascii="Verdana" w:eastAsia="Arial" w:hAnsi="Verdana" w:cs="Arial"/>
          <w:bCs/>
          <w:color w:val="000000" w:themeColor="text1"/>
          <w:lang w:val="es-ES"/>
        </w:rPr>
        <w:t xml:space="preserve">Cuando este sea el caso, operará la restricción señalada en el parágrafo y dichas entidades tendrán prohibido llevar a cabo la contratación en los cuatro meses anteriores a </w:t>
      </w:r>
      <w:r w:rsidRPr="00DF46A6">
        <w:rPr>
          <w:rFonts w:ascii="Verdana" w:eastAsia="Arial" w:hAnsi="Verdana" w:cs="Arial"/>
          <w:bCs/>
          <w:i/>
          <w:iCs/>
          <w:color w:val="000000" w:themeColor="text1"/>
          <w:lang w:val="es-ES"/>
        </w:rPr>
        <w:t>cualquier contienda electoral</w:t>
      </w:r>
      <w:r>
        <w:rPr>
          <w:rFonts w:ascii="Verdana" w:eastAsia="Arial" w:hAnsi="Verdana" w:cs="Arial"/>
          <w:bCs/>
          <w:color w:val="000000" w:themeColor="text1"/>
          <w:lang w:val="es-ES"/>
        </w:rPr>
        <w:t xml:space="preserve">. Es importante resaltar que para esta prohibición la norma no contempló ninguna excepción. </w:t>
      </w:r>
    </w:p>
    <w:p w14:paraId="29112D93" w14:textId="77777777" w:rsidR="001C1E14" w:rsidRPr="00667CD6" w:rsidRDefault="001C1E14" w:rsidP="001C1E14">
      <w:pPr>
        <w:spacing w:after="120" w:line="276" w:lineRule="auto"/>
        <w:ind w:firstLine="708"/>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30E1FA5" w14:textId="77777777" w:rsidR="001C1E14" w:rsidRPr="00667CD6" w:rsidRDefault="001C1E14" w:rsidP="001C1E14">
      <w:pPr>
        <w:spacing w:after="0" w:line="276" w:lineRule="auto"/>
        <w:ind w:firstLine="708"/>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FE0BC1C" w14:textId="77777777" w:rsidR="001C1E14" w:rsidRPr="00FC6F34" w:rsidRDefault="001C1E14" w:rsidP="001C1E14">
      <w:pPr>
        <w:spacing w:after="0" w:line="276" w:lineRule="auto"/>
        <w:ind w:firstLine="708"/>
        <w:jc w:val="both"/>
        <w:rPr>
          <w:rFonts w:ascii="Verdana" w:eastAsia="Calibri" w:hAnsi="Verdana" w:cs="Arial"/>
          <w:lang w:val="es-ES"/>
        </w:rPr>
      </w:pPr>
    </w:p>
    <w:bookmarkEnd w:id="1"/>
    <w:bookmarkEnd w:id="2"/>
    <w:p w14:paraId="0B9D365F" w14:textId="77777777" w:rsidR="001C1E14" w:rsidRPr="00FC6F34" w:rsidRDefault="001C1E14" w:rsidP="001C1E14">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293B96D5" w14:textId="77777777" w:rsidR="001C1E14" w:rsidRPr="00FC6F34" w:rsidRDefault="001C1E14" w:rsidP="001C1E14">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C1E14" w:rsidRPr="00FC6F34" w14:paraId="5103920E" w14:textId="77777777" w:rsidTr="00CF224D">
        <w:trPr>
          <w:trHeight w:val="870"/>
        </w:trPr>
        <w:tc>
          <w:tcPr>
            <w:tcW w:w="8647" w:type="dxa"/>
          </w:tcPr>
          <w:p w14:paraId="6E162552" w14:textId="77777777" w:rsidR="001C1E14" w:rsidRPr="00667CD6" w:rsidRDefault="001C1E14" w:rsidP="00CF224D">
            <w:pPr>
              <w:widowControl w:val="0"/>
              <w:numPr>
                <w:ilvl w:val="0"/>
                <w:numId w:val="16"/>
              </w:numPr>
              <w:autoSpaceDE w:val="0"/>
              <w:autoSpaceDN w:val="0"/>
              <w:spacing w:before="120" w:after="120" w:line="276" w:lineRule="auto"/>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p>
          <w:p w14:paraId="62A2A09D" w14:textId="77777777" w:rsidR="001C1E14" w:rsidRPr="00667CD6" w:rsidRDefault="001C1E14" w:rsidP="00CF224D">
            <w:pPr>
              <w:widowControl w:val="0"/>
              <w:numPr>
                <w:ilvl w:val="0"/>
                <w:numId w:val="16"/>
              </w:numPr>
              <w:autoSpaceDE w:val="0"/>
              <w:autoSpaceDN w:val="0"/>
              <w:spacing w:after="120" w:line="276" w:lineRule="auto"/>
              <w:jc w:val="both"/>
              <w:rPr>
                <w:rFonts w:ascii="Verdana" w:eastAsia="Arial MT" w:hAnsi="Verdana" w:cs="Arial"/>
                <w:lang w:val="es-ES" w:eastAsia="es-ES" w:bidi="es-ES"/>
              </w:rPr>
            </w:pPr>
            <w:r w:rsidRPr="00667CD6">
              <w:rPr>
                <w:rFonts w:ascii="Verdana" w:eastAsia="Arial MT" w:hAnsi="Verdana" w:cs="Arial"/>
                <w:bCs/>
                <w:lang w:val="es-ES" w:eastAsia="es-ES" w:bidi="es-ES"/>
              </w:rPr>
              <w:t>Ley 996 de 2005, artículos 33 y 38.</w:t>
            </w:r>
          </w:p>
          <w:p w14:paraId="13F8A18C" w14:textId="77777777" w:rsidR="001C1E14" w:rsidRPr="00667CD6" w:rsidRDefault="001C1E14" w:rsidP="00CF224D">
            <w:pPr>
              <w:widowControl w:val="0"/>
              <w:numPr>
                <w:ilvl w:val="0"/>
                <w:numId w:val="16"/>
              </w:numPr>
              <w:autoSpaceDE w:val="0"/>
              <w:autoSpaceDN w:val="0"/>
              <w:spacing w:after="120" w:line="276" w:lineRule="auto"/>
              <w:jc w:val="both"/>
              <w:rPr>
                <w:rFonts w:ascii="Verdana" w:eastAsia="Arial MT" w:hAnsi="Verdana" w:cs="Arial"/>
                <w:lang w:val="es-ES" w:eastAsia="es-ES" w:bidi="es-ES"/>
              </w:rPr>
            </w:pPr>
            <w:r w:rsidRPr="00667CD6">
              <w:rPr>
                <w:rFonts w:ascii="Verdana" w:hAnsi="Verdana" w:cs="Arial"/>
                <w:bCs/>
                <w:color w:val="000000" w:themeColor="text1"/>
                <w:lang w:val="es-ES"/>
              </w:rPr>
              <w:t>Decreto 1068 de 2015, artículo 2.2.1.1.1.</w:t>
            </w:r>
          </w:p>
          <w:p w14:paraId="445A2AA9" w14:textId="77777777" w:rsidR="001C1E14" w:rsidRPr="00C71E4F" w:rsidRDefault="001C1E14" w:rsidP="00CF224D">
            <w:pPr>
              <w:widowControl w:val="0"/>
              <w:numPr>
                <w:ilvl w:val="0"/>
                <w:numId w:val="16"/>
              </w:numPr>
              <w:autoSpaceDE w:val="0"/>
              <w:autoSpaceDN w:val="0"/>
              <w:spacing w:after="120" w:line="276" w:lineRule="auto"/>
              <w:jc w:val="both"/>
              <w:rPr>
                <w:rFonts w:ascii="Verdana" w:hAnsi="Verdana" w:cs="Arial"/>
                <w:lang w:val="es-ES"/>
              </w:rPr>
            </w:pPr>
            <w:r w:rsidRPr="00C71E4F">
              <w:rPr>
                <w:rFonts w:ascii="Verdana" w:hAnsi="Verdana" w:cs="Arial"/>
                <w:lang w:val="pt-BR"/>
              </w:rPr>
              <w:t xml:space="preserve">Corte Constitucional. Sentencia C-671 de 2015. M.P. Alberto Rojas </w:t>
            </w:r>
            <w:r w:rsidRPr="00C71E4F">
              <w:rPr>
                <w:rFonts w:ascii="Verdana" w:hAnsi="Verdana" w:cs="Arial"/>
                <w:lang w:val="pt-BR"/>
              </w:rPr>
              <w:lastRenderedPageBreak/>
              <w:t>Ríos.</w:t>
            </w:r>
          </w:p>
          <w:p w14:paraId="52237514" w14:textId="77777777" w:rsidR="001C1E14" w:rsidRPr="00667CD6" w:rsidRDefault="001C1E14" w:rsidP="00CF224D">
            <w:pPr>
              <w:widowControl w:val="0"/>
              <w:numPr>
                <w:ilvl w:val="0"/>
                <w:numId w:val="16"/>
              </w:numPr>
              <w:autoSpaceDE w:val="0"/>
              <w:autoSpaceDN w:val="0"/>
              <w:spacing w:after="120" w:line="276" w:lineRule="auto"/>
              <w:jc w:val="both"/>
              <w:rPr>
                <w:rFonts w:ascii="Verdana" w:hAnsi="Verdana" w:cs="Arial"/>
                <w:lang w:val="es-ES"/>
              </w:rPr>
            </w:pPr>
            <w:r w:rsidRPr="00667CD6">
              <w:rPr>
                <w:rFonts w:ascii="Verdana" w:hAnsi="Verdana" w:cs="Arial"/>
                <w:lang w:val="es-ES"/>
              </w:rPr>
              <w:t xml:space="preserve">Consejo de Estado, Sección Primera. Sentencia de 3 de marzo de 2005, </w:t>
            </w:r>
            <w:proofErr w:type="spellStart"/>
            <w:r w:rsidRPr="00667CD6">
              <w:rPr>
                <w:rFonts w:ascii="Verdana" w:hAnsi="Verdana" w:cs="Arial"/>
                <w:lang w:val="es-ES"/>
              </w:rPr>
              <w:t>Exp</w:t>
            </w:r>
            <w:proofErr w:type="spellEnd"/>
            <w:r w:rsidRPr="00667CD6">
              <w:rPr>
                <w:rFonts w:ascii="Verdana" w:hAnsi="Verdana" w:cs="Arial"/>
                <w:lang w:val="es-ES"/>
              </w:rPr>
              <w:t xml:space="preserve">. 2004-00823-01(PI). </w:t>
            </w:r>
          </w:p>
          <w:p w14:paraId="354F5862" w14:textId="77777777" w:rsidR="001C1E14" w:rsidRPr="00C71E4F" w:rsidRDefault="001C1E14" w:rsidP="00CF224D">
            <w:pPr>
              <w:numPr>
                <w:ilvl w:val="0"/>
                <w:numId w:val="16"/>
              </w:numPr>
              <w:spacing w:before="120" w:after="120" w:line="276" w:lineRule="auto"/>
              <w:jc w:val="both"/>
              <w:rPr>
                <w:rFonts w:ascii="Verdana" w:hAnsi="Verdana" w:cs="Arial"/>
                <w:lang w:val="es-ES"/>
              </w:rPr>
            </w:pPr>
            <w:r w:rsidRPr="00C71E4F">
              <w:rPr>
                <w:rFonts w:ascii="Verdana" w:hAnsi="Verdana" w:cs="Arial"/>
              </w:rPr>
              <w:t>Consejo de Estado. Sala de Consulta y Servicio Civil. Concepto del 15 de noviembre de 2007. Expediente número 1863. Consejero Ponente: Luis Fernando Álvarez Jaramillo</w:t>
            </w:r>
          </w:p>
          <w:p w14:paraId="3FFE7275" w14:textId="77777777" w:rsidR="001C1E14" w:rsidRPr="00667CD6" w:rsidRDefault="001C1E14" w:rsidP="00CF224D">
            <w:pPr>
              <w:widowControl w:val="0"/>
              <w:numPr>
                <w:ilvl w:val="0"/>
                <w:numId w:val="16"/>
              </w:numPr>
              <w:autoSpaceDE w:val="0"/>
              <w:autoSpaceDN w:val="0"/>
              <w:spacing w:after="120" w:line="276" w:lineRule="auto"/>
              <w:jc w:val="both"/>
              <w:rPr>
                <w:rFonts w:ascii="Verdana" w:hAnsi="Verdana" w:cs="Arial"/>
                <w:lang w:val="es-ES"/>
              </w:rPr>
            </w:pPr>
            <w:r w:rsidRPr="00667CD6">
              <w:rPr>
                <w:rFonts w:ascii="Verdana" w:hAnsi="Verdana" w:cs="Arial"/>
                <w:lang w:val="es-ES"/>
              </w:rPr>
              <w:t xml:space="preserve">Consejo de Estado, Sala de Consulta y Servicio Civil, Concepto de fecha 24 de julio de 2013, Rad. 2166, C. P. Álvaro Namén Vargas. </w:t>
            </w:r>
          </w:p>
          <w:p w14:paraId="1F79B797" w14:textId="77777777" w:rsidR="001C1E14" w:rsidRPr="00C71E4F" w:rsidRDefault="001C1E14" w:rsidP="00CF224D">
            <w:pPr>
              <w:numPr>
                <w:ilvl w:val="0"/>
                <w:numId w:val="16"/>
              </w:numPr>
              <w:spacing w:before="120" w:after="120" w:line="276" w:lineRule="auto"/>
              <w:jc w:val="both"/>
              <w:rPr>
                <w:rFonts w:ascii="Verdana" w:hAnsi="Verdana" w:cs="Arial"/>
                <w:lang w:val="es-ES"/>
              </w:rPr>
            </w:pPr>
            <w:r w:rsidRPr="00C71E4F">
              <w:rPr>
                <w:rFonts w:ascii="Verdana" w:hAnsi="Verdana" w:cs="Arial"/>
              </w:rPr>
              <w:t xml:space="preserve">Consejo de Estado. Sala de Consulta y Servicio Civil. Concepto del 2 de septiembre de 2013 Radicado No: 2168. CP: </w:t>
            </w:r>
            <w:proofErr w:type="spellStart"/>
            <w:r w:rsidRPr="00C71E4F">
              <w:rPr>
                <w:rFonts w:ascii="Verdana" w:hAnsi="Verdana" w:cs="Arial"/>
              </w:rPr>
              <w:t>Alvaro</w:t>
            </w:r>
            <w:proofErr w:type="spellEnd"/>
            <w:r w:rsidRPr="00C71E4F">
              <w:rPr>
                <w:rFonts w:ascii="Verdana" w:hAnsi="Verdana" w:cs="Arial"/>
              </w:rPr>
              <w:t xml:space="preserve"> Namén Vargas.</w:t>
            </w:r>
          </w:p>
          <w:p w14:paraId="1B84E177" w14:textId="77777777" w:rsidR="001C1E14" w:rsidRPr="00667CD6" w:rsidRDefault="001C1E14" w:rsidP="00CF224D">
            <w:pPr>
              <w:numPr>
                <w:ilvl w:val="0"/>
                <w:numId w:val="16"/>
              </w:numPr>
              <w:spacing w:before="120" w:after="120" w:line="276" w:lineRule="auto"/>
              <w:jc w:val="both"/>
              <w:rPr>
                <w:rFonts w:ascii="Verdana" w:hAnsi="Verdana" w:cs="Arial"/>
                <w:lang w:val="es-ES"/>
              </w:rPr>
            </w:pPr>
            <w:r w:rsidRPr="00667CD6">
              <w:rPr>
                <w:rFonts w:ascii="Verdana" w:hAnsi="Verdana" w:cs="Arial"/>
                <w:lang w:val="es-ES"/>
              </w:rPr>
              <w:t>Consejo de Estado. Sala de Consulta y Servicio Civil. Concepto del 17 de febrero de 2015. C.P. William Zambrano Cetina. Radicación No. 11001-03-06-000-2015-00164-00(2269).</w:t>
            </w:r>
          </w:p>
          <w:p w14:paraId="53CA6241" w14:textId="77777777" w:rsidR="001C1E14" w:rsidRPr="00667CD6" w:rsidRDefault="001C1E14" w:rsidP="00CF224D">
            <w:pPr>
              <w:numPr>
                <w:ilvl w:val="0"/>
                <w:numId w:val="16"/>
              </w:numPr>
              <w:spacing w:before="120" w:after="120" w:line="276" w:lineRule="auto"/>
              <w:jc w:val="both"/>
              <w:rPr>
                <w:rFonts w:ascii="Verdana" w:hAnsi="Verdana" w:cs="Arial"/>
                <w:lang w:val="es-ES"/>
              </w:rPr>
            </w:pPr>
            <w:r w:rsidRPr="00667CD6">
              <w:rPr>
                <w:rFonts w:ascii="Verdana" w:hAnsi="Verdana" w:cs="Arial"/>
                <w:lang w:val="es-ES"/>
              </w:rPr>
              <w:t>Consejo de Estado, Sala de Consulta y Servicio Civil, Concepto de fecha 8 de mayo de 2018, No. 2382. C. P. Álvaro Namén Vargas.</w:t>
            </w:r>
          </w:p>
          <w:p w14:paraId="16283128" w14:textId="77777777" w:rsidR="001C1E14" w:rsidRPr="008D30C0" w:rsidRDefault="001C1E14" w:rsidP="00CF224D">
            <w:pPr>
              <w:widowControl w:val="0"/>
              <w:numPr>
                <w:ilvl w:val="0"/>
                <w:numId w:val="16"/>
              </w:numPr>
              <w:autoSpaceDE w:val="0"/>
              <w:autoSpaceDN w:val="0"/>
              <w:spacing w:after="120" w:line="276" w:lineRule="auto"/>
              <w:jc w:val="both"/>
              <w:rPr>
                <w:rFonts w:ascii="Verdana" w:hAnsi="Verdana" w:cs="Arial"/>
                <w:lang w:val="es-ES"/>
              </w:rPr>
            </w:pPr>
            <w:proofErr w:type="spellStart"/>
            <w:r w:rsidRPr="00667CD6">
              <w:rPr>
                <w:rFonts w:ascii="Verdana" w:hAnsi="Verdana" w:cs="Arial"/>
                <w:lang w:val="pt-BR"/>
              </w:rPr>
              <w:t>Consejo</w:t>
            </w:r>
            <w:proofErr w:type="spellEnd"/>
            <w:r w:rsidRPr="00667CD6">
              <w:rPr>
                <w:rFonts w:ascii="Verdana" w:hAnsi="Verdana" w:cs="Arial"/>
                <w:lang w:val="pt-BR"/>
              </w:rPr>
              <w:t xml:space="preserve"> de Estado, </w:t>
            </w:r>
            <w:proofErr w:type="spellStart"/>
            <w:r w:rsidRPr="00667CD6">
              <w:rPr>
                <w:rFonts w:ascii="Verdana" w:hAnsi="Verdana" w:cs="Arial"/>
                <w:lang w:val="pt-BR"/>
              </w:rPr>
              <w:t>Sección</w:t>
            </w:r>
            <w:proofErr w:type="spellEnd"/>
            <w:r w:rsidRPr="00667CD6">
              <w:rPr>
                <w:rFonts w:ascii="Verdana" w:hAnsi="Verdana" w:cs="Arial"/>
                <w:lang w:val="pt-BR"/>
              </w:rPr>
              <w:t xml:space="preserve"> Tercera. Auto </w:t>
            </w:r>
            <w:proofErr w:type="spellStart"/>
            <w:r w:rsidRPr="00667CD6">
              <w:rPr>
                <w:rFonts w:ascii="Verdana" w:hAnsi="Verdana" w:cs="Arial"/>
                <w:lang w:val="pt-BR"/>
              </w:rPr>
              <w:t>del</w:t>
            </w:r>
            <w:proofErr w:type="spellEnd"/>
            <w:r w:rsidRPr="00667CD6">
              <w:rPr>
                <w:rFonts w:ascii="Verdana" w:hAnsi="Verdana" w:cs="Arial"/>
                <w:lang w:val="pt-BR"/>
              </w:rPr>
              <w:t xml:space="preserve"> 4 de </w:t>
            </w:r>
            <w:proofErr w:type="spellStart"/>
            <w:r w:rsidRPr="00667CD6">
              <w:rPr>
                <w:rFonts w:ascii="Verdana" w:hAnsi="Verdana" w:cs="Arial"/>
                <w:lang w:val="pt-BR"/>
              </w:rPr>
              <w:t>octubre</w:t>
            </w:r>
            <w:proofErr w:type="spellEnd"/>
            <w:r w:rsidRPr="00667CD6">
              <w:rPr>
                <w:rFonts w:ascii="Verdana" w:hAnsi="Verdana" w:cs="Arial"/>
                <w:lang w:val="pt-BR"/>
              </w:rPr>
              <w:t xml:space="preserve"> de 2024. Exp. 70.313. C.P: Fredy Ibarra Martínez.</w:t>
            </w:r>
          </w:p>
          <w:p w14:paraId="1EF28155" w14:textId="77777777" w:rsidR="001C1E14" w:rsidRDefault="001C1E14" w:rsidP="00CF224D">
            <w:pPr>
              <w:widowControl w:val="0"/>
              <w:numPr>
                <w:ilvl w:val="0"/>
                <w:numId w:val="16"/>
              </w:numPr>
              <w:autoSpaceDE w:val="0"/>
              <w:autoSpaceDN w:val="0"/>
              <w:spacing w:after="120" w:line="276" w:lineRule="auto"/>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58585D63" w14:textId="77777777" w:rsidR="001C1E14" w:rsidRPr="000A779C" w:rsidRDefault="001C1E14" w:rsidP="00CF224D">
            <w:pPr>
              <w:pStyle w:val="ListParagraph"/>
              <w:numPr>
                <w:ilvl w:val="0"/>
                <w:numId w:val="16"/>
              </w:numPr>
              <w:spacing w:before="120" w:after="120" w:line="276" w:lineRule="auto"/>
              <w:contextualSpacing w:val="0"/>
              <w:jc w:val="both"/>
              <w:rPr>
                <w:rFonts w:ascii="Verdana" w:hAnsi="Verdana" w:cs="Arial"/>
              </w:rPr>
            </w:pPr>
            <w:r w:rsidRPr="00F7748B">
              <w:rPr>
                <w:rFonts w:ascii="Verdana" w:hAnsi="Verdana" w:cs="Arial"/>
              </w:rPr>
              <w:t xml:space="preserve">Circular Externa No. 006 de 2025 </w:t>
            </w:r>
            <w:hyperlink r:id="rId13" w:history="1">
              <w:r w:rsidRPr="00F7748B">
                <w:rPr>
                  <w:rFonts w:ascii="Verdana" w:hAnsi="Verdana" w:cs="Arial"/>
                  <w:color w:val="0000FF"/>
                  <w:u w:val="single"/>
                </w:rPr>
                <w:t>https://www.colombiacompra.gov.co/archivos/circular/circular-externa-006-de-2025</w:t>
              </w:r>
            </w:hyperlink>
          </w:p>
        </w:tc>
      </w:tr>
    </w:tbl>
    <w:p w14:paraId="1106FCEE" w14:textId="77777777" w:rsidR="001C1E14" w:rsidRPr="00FC6F34" w:rsidRDefault="001C1E14" w:rsidP="001C1E14">
      <w:pPr>
        <w:widowControl w:val="0"/>
        <w:autoSpaceDE w:val="0"/>
        <w:autoSpaceDN w:val="0"/>
        <w:spacing w:after="0" w:line="276" w:lineRule="auto"/>
        <w:jc w:val="both"/>
        <w:rPr>
          <w:rFonts w:ascii="Verdana" w:hAnsi="Verdana" w:cs="Arial"/>
          <w:color w:val="000000" w:themeColor="text1"/>
          <w:lang w:val="es-ES"/>
        </w:rPr>
      </w:pPr>
    </w:p>
    <w:p w14:paraId="5421E1C5" w14:textId="77777777" w:rsidR="001C1E14" w:rsidRPr="00FC6F34" w:rsidRDefault="001C1E14" w:rsidP="001C1E14">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32DF1BF5" w14:textId="77777777" w:rsidR="001C1E14" w:rsidRPr="00FC6F34" w:rsidRDefault="001C1E14" w:rsidP="001C1E14">
      <w:pPr>
        <w:widowControl w:val="0"/>
        <w:autoSpaceDE w:val="0"/>
        <w:autoSpaceDN w:val="0"/>
        <w:spacing w:after="0" w:line="276" w:lineRule="auto"/>
        <w:jc w:val="both"/>
        <w:rPr>
          <w:rFonts w:ascii="Verdana" w:hAnsi="Verdana" w:cs="Arial"/>
          <w:color w:val="000000" w:themeColor="text1"/>
          <w:lang w:val="es-ES"/>
        </w:rPr>
      </w:pPr>
    </w:p>
    <w:p w14:paraId="3440543B" w14:textId="77777777" w:rsidR="001C1E14" w:rsidRDefault="001C1E14" w:rsidP="001C1E14">
      <w:pPr>
        <w:spacing w:after="120"/>
        <w:jc w:val="both"/>
        <w:rPr>
          <w:rFonts w:ascii="Verdana" w:hAnsi="Verdana" w:cs="Arial"/>
          <w:color w:val="000000" w:themeColor="text1"/>
          <w:shd w:val="clear" w:color="auto" w:fill="FFFFFF"/>
          <w:lang w:val="es-ES"/>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w:t>
      </w:r>
      <w:r w:rsidRPr="00FC6F34">
        <w:rPr>
          <w:rFonts w:ascii="Verdana" w:hAnsi="Verdana" w:cs="Arial"/>
          <w:shd w:val="clear" w:color="auto" w:fill="FFFFFF"/>
          <w:lang w:val="es-ES"/>
        </w:rPr>
        <w:lastRenderedPageBreak/>
        <w:t>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w:t>
      </w:r>
      <w:r>
        <w:rPr>
          <w:rFonts w:ascii="Verdana" w:hAnsi="Verdana" w:cs="Arial"/>
          <w:shd w:val="clear" w:color="auto" w:fill="FFFFFF"/>
          <w:lang w:val="es-ES"/>
        </w:rPr>
        <w:t xml:space="preserve">, </w:t>
      </w:r>
      <w:r w:rsidRPr="00FC6F34">
        <w:rPr>
          <w:rFonts w:ascii="Verdana" w:hAnsi="Verdana" w:cs="Arial"/>
          <w:shd w:val="clear" w:color="auto" w:fill="FFFFFF"/>
          <w:lang w:val="es-ES"/>
        </w:rPr>
        <w:t>C-273-A de 2025</w:t>
      </w:r>
      <w:r>
        <w:rPr>
          <w:rFonts w:ascii="Verdana" w:hAnsi="Verdana" w:cs="Arial"/>
          <w:shd w:val="clear" w:color="auto" w:fill="FFFFFF"/>
          <w:lang w:val="es-ES"/>
        </w:rPr>
        <w:t xml:space="preserve">, y </w:t>
      </w:r>
      <w:r w:rsidRPr="007A2FD2">
        <w:rPr>
          <w:rFonts w:ascii="Verdana" w:eastAsia="Calibri" w:hAnsi="Verdana" w:cs="Arial"/>
          <w:lang w:val="es-ES" w:eastAsia="es-ES"/>
        </w:rPr>
        <w:t>C-1587 del 09 de diciembre de 2025,</w:t>
      </w:r>
      <w:r>
        <w:rPr>
          <w:rFonts w:ascii="Verdana" w:eastAsia="Calibri" w:hAnsi="Verdana" w:cs="Arial"/>
          <w:b/>
          <w:bCs/>
          <w:lang w:val="es-ES" w:eastAsia="es-ES"/>
        </w:rPr>
        <w:t xml:space="preserve"> </w:t>
      </w:r>
      <w:r>
        <w:rPr>
          <w:rFonts w:ascii="Verdana" w:hAnsi="Verdana" w:cs="Arial"/>
          <w:shd w:val="clear" w:color="auto" w:fill="FFFFFF"/>
          <w:lang w:val="es-ES"/>
        </w:rPr>
        <w:t xml:space="preserve">entre otros.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4"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22EC2730" w14:textId="77777777" w:rsidR="001C1E14" w:rsidRPr="008306EF" w:rsidRDefault="001C1E14" w:rsidP="001C1E14">
      <w:pPr>
        <w:spacing w:after="0" w:line="276" w:lineRule="auto"/>
        <w:jc w:val="both"/>
        <w:rPr>
          <w:rFonts w:ascii="Verdana" w:hAnsi="Verdana"/>
        </w:rPr>
      </w:pPr>
      <w:r w:rsidRPr="008306EF">
        <w:rPr>
          <w:rFonts w:ascii="Verdana" w:hAnsi="Verdana"/>
        </w:rPr>
        <w:t xml:space="preserve">Por último, lo invitamos a seguirnos en las redes sociales en las cuales se difunde información institucional: </w:t>
      </w:r>
    </w:p>
    <w:p w14:paraId="58A8286A" w14:textId="77777777" w:rsidR="001C1E14" w:rsidRPr="008306EF" w:rsidRDefault="001C1E14" w:rsidP="001C1E14">
      <w:pPr>
        <w:spacing w:after="0" w:line="276" w:lineRule="auto"/>
        <w:jc w:val="both"/>
        <w:rPr>
          <w:rFonts w:ascii="Verdana" w:hAnsi="Verdana"/>
        </w:rPr>
      </w:pPr>
    </w:p>
    <w:p w14:paraId="46234B64" w14:textId="77777777" w:rsidR="001C1E14" w:rsidRPr="008306EF" w:rsidRDefault="001C1E14" w:rsidP="001C1E14">
      <w:pPr>
        <w:spacing w:after="0" w:line="276" w:lineRule="auto"/>
        <w:jc w:val="both"/>
        <w:rPr>
          <w:rFonts w:ascii="Verdana" w:hAnsi="Verdana"/>
        </w:rPr>
      </w:pPr>
      <w:r w:rsidRPr="008306EF">
        <w:rPr>
          <w:rFonts w:ascii="Verdana" w:hAnsi="Verdana"/>
        </w:rPr>
        <w:t xml:space="preserve">Twitter: </w:t>
      </w:r>
      <w:r w:rsidRPr="00A90B49">
        <w:rPr>
          <w:rStyle w:val="Hyperlink"/>
          <w:rFonts w:ascii="Verdana" w:hAnsi="Verdana"/>
          <w:color w:val="1F45F6"/>
        </w:rPr>
        <w:t>@colombiacompra</w:t>
      </w:r>
      <w:r w:rsidRPr="00A90B49">
        <w:rPr>
          <w:rFonts w:ascii="Verdana" w:hAnsi="Verdana"/>
          <w:color w:val="1F45F6"/>
        </w:rPr>
        <w:t xml:space="preserve"> </w:t>
      </w:r>
    </w:p>
    <w:p w14:paraId="53100FD9" w14:textId="77777777" w:rsidR="001C1E14" w:rsidRPr="008306EF" w:rsidRDefault="001C1E14" w:rsidP="001C1E14">
      <w:pPr>
        <w:spacing w:after="0" w:line="276" w:lineRule="auto"/>
        <w:jc w:val="both"/>
        <w:rPr>
          <w:rFonts w:ascii="Verdana" w:hAnsi="Verdana"/>
        </w:rPr>
      </w:pPr>
      <w:r w:rsidRPr="008306EF">
        <w:rPr>
          <w:rFonts w:ascii="Verdana" w:hAnsi="Verdana"/>
        </w:rPr>
        <w:t xml:space="preserve">Facebook: </w:t>
      </w:r>
      <w:proofErr w:type="spellStart"/>
      <w:r w:rsidRPr="00A90B49">
        <w:rPr>
          <w:rStyle w:val="Hyperlink"/>
          <w:rFonts w:ascii="Verdana" w:hAnsi="Verdana"/>
          <w:color w:val="1F45F6"/>
        </w:rPr>
        <w:t>ColombiaCompraEficiente</w:t>
      </w:r>
      <w:proofErr w:type="spellEnd"/>
    </w:p>
    <w:p w14:paraId="07FE57CF" w14:textId="76C9CE05" w:rsidR="00A90B49" w:rsidRPr="00A90B49" w:rsidRDefault="001C1E14" w:rsidP="001C1E14">
      <w:pPr>
        <w:spacing w:after="0" w:line="276" w:lineRule="auto"/>
        <w:jc w:val="both"/>
        <w:rPr>
          <w:rFonts w:ascii="Verdana" w:hAnsi="Verdana" w:cs="Arial"/>
          <w:color w:val="0000FF"/>
          <w:shd w:val="clear" w:color="auto" w:fill="FFFFFF"/>
          <w:lang w:val="es-ES"/>
        </w:rPr>
      </w:pPr>
      <w:r w:rsidRPr="0031307F">
        <w:rPr>
          <w:rFonts w:ascii="Verdana" w:hAnsi="Verdana"/>
        </w:rPr>
        <w:t xml:space="preserve">LinkedIn: </w:t>
      </w:r>
      <w:r w:rsidRPr="00A90B49">
        <w:rPr>
          <w:rStyle w:val="Hyperlink"/>
          <w:rFonts w:ascii="Verdana" w:hAnsi="Verdana"/>
          <w:color w:val="1F45F6"/>
        </w:rPr>
        <w:t>Agencia Nacional de Contratación Pública - Colombia Compra Eficiente</w:t>
      </w:r>
      <w:r w:rsidRPr="008306EF">
        <w:rPr>
          <w:rFonts w:ascii="Verdana" w:hAnsi="Verdana"/>
          <w:color w:val="4472C4" w:themeColor="accent1"/>
        </w:rPr>
        <w:t xml:space="preserve"> </w:t>
      </w:r>
      <w:r w:rsidRPr="008306EF">
        <w:rPr>
          <w:rFonts w:ascii="Verdana" w:hAnsi="Verdana"/>
        </w:rPr>
        <w:t xml:space="preserve">Instagram: </w:t>
      </w:r>
      <w:r w:rsidRPr="00A90B49">
        <w:rPr>
          <w:rFonts w:ascii="Verdana" w:hAnsi="Verdana" w:cs="Arial"/>
          <w:color w:val="0000FF"/>
          <w:shd w:val="clear" w:color="auto" w:fill="FFFFFF"/>
          <w:lang w:val="es-ES"/>
        </w:rPr>
        <w:t>@colombiacompraeficiente_cce</w:t>
      </w:r>
    </w:p>
    <w:p w14:paraId="79A38C65" w14:textId="77777777" w:rsidR="001C1E14" w:rsidRPr="00982071" w:rsidRDefault="001C1E14" w:rsidP="001C1E14">
      <w:pPr>
        <w:spacing w:after="0"/>
        <w:jc w:val="both"/>
        <w:rPr>
          <w:rFonts w:ascii="Arial" w:eastAsia="Calibri" w:hAnsi="Arial" w:cs="Arial"/>
          <w:b/>
          <w:bCs/>
          <w:color w:val="000000" w:themeColor="text1"/>
          <w:lang w:val="es-ES_tradnl"/>
        </w:rPr>
      </w:pPr>
    </w:p>
    <w:p w14:paraId="124DFF0C" w14:textId="77777777" w:rsidR="001C1E14" w:rsidRPr="00FC6F34" w:rsidRDefault="001C1E14" w:rsidP="001C1E14">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53E28AE" w14:textId="77777777" w:rsidR="001C1E14" w:rsidRPr="00FC6F34" w:rsidRDefault="001C1E14" w:rsidP="001C1E14">
      <w:pPr>
        <w:widowControl w:val="0"/>
        <w:autoSpaceDE w:val="0"/>
        <w:autoSpaceDN w:val="0"/>
        <w:spacing w:after="0" w:line="276" w:lineRule="auto"/>
        <w:jc w:val="both"/>
        <w:rPr>
          <w:rFonts w:ascii="Verdana" w:hAnsi="Verdana" w:cs="Arial"/>
          <w:lang w:val="es-ES"/>
        </w:rPr>
      </w:pPr>
    </w:p>
    <w:p w14:paraId="4CAB7353" w14:textId="6109F90F" w:rsidR="001C1E14" w:rsidRPr="00FC6F34" w:rsidRDefault="001C1E14" w:rsidP="001C1E14">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6874285E" w14:textId="7A1AAA11" w:rsidR="001C1E14" w:rsidRPr="00FC6F34" w:rsidRDefault="00B55B55" w:rsidP="001C1E14">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7AD1102B" wp14:editId="299DAB8F">
            <wp:simplePos x="0" y="0"/>
            <wp:positionH relativeFrom="column">
              <wp:posOffset>1275736</wp:posOffset>
            </wp:positionH>
            <wp:positionV relativeFrom="paragraph">
              <wp:posOffset>61595</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p w14:paraId="4B3D8998" w14:textId="1807B0E9" w:rsidR="001C1E14" w:rsidRPr="00FC6F34" w:rsidRDefault="001C1E14" w:rsidP="001C1E14">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C1E14" w:rsidRPr="00FC6F34" w14:paraId="148FC30A" w14:textId="77777777" w:rsidTr="00CF224D">
        <w:trPr>
          <w:trHeight w:val="315"/>
        </w:trPr>
        <w:tc>
          <w:tcPr>
            <w:tcW w:w="893" w:type="dxa"/>
            <w:vAlign w:val="center"/>
            <w:hideMark/>
          </w:tcPr>
          <w:p w14:paraId="12D47832" w14:textId="77777777" w:rsidR="001C1E14" w:rsidRPr="00FC6F34" w:rsidRDefault="001C1E14" w:rsidP="00CF224D">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C13BFD2" w14:textId="5FF90E2E" w:rsidR="001C1E14" w:rsidRPr="00FC6F34" w:rsidRDefault="001C1E14" w:rsidP="00CF224D">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1CB2DB32" w14:textId="77777777" w:rsidR="001C1E14" w:rsidRPr="00FC6F34" w:rsidRDefault="001C1E14" w:rsidP="00CF224D">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1C1E14" w:rsidRPr="00FC6F34" w14:paraId="5ACD7C65" w14:textId="77777777" w:rsidTr="00CF224D">
        <w:trPr>
          <w:trHeight w:val="330"/>
        </w:trPr>
        <w:tc>
          <w:tcPr>
            <w:tcW w:w="893" w:type="dxa"/>
            <w:vAlign w:val="center"/>
            <w:hideMark/>
          </w:tcPr>
          <w:p w14:paraId="6A3A211C" w14:textId="77777777" w:rsidR="001C1E14" w:rsidRPr="00FC6F34" w:rsidRDefault="001C1E14" w:rsidP="00CF224D">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151E24" w14:textId="792D1B50" w:rsidR="001C1E14" w:rsidRPr="00FC6F34" w:rsidRDefault="001C1E14" w:rsidP="00CF224D">
            <w:pPr>
              <w:spacing w:line="276" w:lineRule="auto"/>
              <w:contextualSpacing/>
              <w:textAlignment w:val="baseline"/>
              <w:rPr>
                <w:rFonts w:ascii="Verdana" w:eastAsia="Times New Roman" w:hAnsi="Verdana" w:cs="Arial"/>
                <w:sz w:val="16"/>
                <w:szCs w:val="16"/>
                <w:lang w:val="es-ES" w:eastAsia="es-ES_tradnl"/>
              </w:rPr>
            </w:pPr>
            <w:r w:rsidRPr="00FC6F34">
              <w:rPr>
                <w:rFonts w:ascii="Verdana" w:eastAsia="Times New Roman" w:hAnsi="Verdana" w:cs="Arial"/>
                <w:sz w:val="16"/>
                <w:szCs w:val="16"/>
                <w:lang w:val="es-ES" w:eastAsia="es-ES_tradnl"/>
              </w:rPr>
              <w:t>Alejandro Sarmiento Cantillo</w:t>
            </w:r>
          </w:p>
          <w:p w14:paraId="6C32254A" w14:textId="77777777" w:rsidR="001C1E14" w:rsidRPr="00FC6F34" w:rsidRDefault="001C1E14" w:rsidP="00CF224D">
            <w:pPr>
              <w:pStyle w:val="paragraph"/>
              <w:spacing w:before="0" w:beforeAutospacing="0" w:after="0" w:afterAutospacing="0"/>
              <w:contextualSpacing/>
              <w:textAlignment w:val="baseline"/>
              <w:rPr>
                <w:rFonts w:ascii="Verdana" w:hAnsi="Verdana" w:cs="Segoe UI"/>
                <w:sz w:val="16"/>
                <w:szCs w:val="16"/>
                <w:lang w:val="es-ES"/>
              </w:rPr>
            </w:pPr>
            <w:r w:rsidRPr="00FC6F34">
              <w:rPr>
                <w:rFonts w:ascii="Verdana" w:hAnsi="Verdana" w:cs="Arial"/>
                <w:sz w:val="16"/>
                <w:szCs w:val="16"/>
                <w:lang w:val="es-ES"/>
              </w:rPr>
              <w:t xml:space="preserve">Gestor T1 – 15 </w:t>
            </w:r>
            <w:r w:rsidRPr="00FC6F34">
              <w:rPr>
                <w:rStyle w:val="normaltextrun"/>
                <w:rFonts w:ascii="Verdana" w:hAnsi="Verdana" w:cs="Arial"/>
                <w:sz w:val="16"/>
                <w:szCs w:val="16"/>
                <w:lang w:val="es-ES"/>
              </w:rPr>
              <w:t>de la Subdirección de Gestión Contractual</w:t>
            </w:r>
            <w:r w:rsidRPr="00FC6F34">
              <w:rPr>
                <w:rStyle w:val="eop"/>
                <w:rFonts w:ascii="Verdana" w:hAnsi="Verdana" w:cs="Arial"/>
                <w:sz w:val="16"/>
                <w:szCs w:val="16"/>
                <w:lang w:val="es-ES"/>
              </w:rPr>
              <w:t> </w:t>
            </w:r>
          </w:p>
        </w:tc>
      </w:tr>
      <w:tr w:rsidR="001C1E14" w:rsidRPr="00FC6F34" w14:paraId="0AEA554D" w14:textId="77777777" w:rsidTr="00CF224D">
        <w:trPr>
          <w:trHeight w:val="300"/>
        </w:trPr>
        <w:tc>
          <w:tcPr>
            <w:tcW w:w="893" w:type="dxa"/>
            <w:vAlign w:val="center"/>
          </w:tcPr>
          <w:p w14:paraId="182A19EB" w14:textId="77777777" w:rsidR="001C1E14" w:rsidRPr="00FC6F34" w:rsidRDefault="001C1E14" w:rsidP="00CF224D">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230FD14" w14:textId="77777777" w:rsidR="001C1E14" w:rsidRPr="00FC6F34" w:rsidRDefault="001C1E14" w:rsidP="00CF224D">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4C699E4A" w14:textId="77777777" w:rsidR="001C1E14" w:rsidRPr="00FC6F34" w:rsidRDefault="001C1E14" w:rsidP="00CF224D">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bookmarkEnd w:id="0"/>
    </w:tbl>
    <w:p w14:paraId="0F293BF4" w14:textId="62A97539" w:rsidR="00127233" w:rsidRPr="006219A9" w:rsidRDefault="00127233" w:rsidP="006219A9"/>
    <w:sectPr w:rsidR="00127233" w:rsidRPr="006219A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5F2997" w14:textId="77777777" w:rsidR="00275966" w:rsidRDefault="00275966" w:rsidP="004A1847">
      <w:pPr>
        <w:spacing w:after="0" w:line="240" w:lineRule="auto"/>
      </w:pPr>
      <w:r>
        <w:separator/>
      </w:r>
    </w:p>
  </w:endnote>
  <w:endnote w:type="continuationSeparator" w:id="0">
    <w:p w14:paraId="3226BAC2" w14:textId="77777777" w:rsidR="00275966" w:rsidRDefault="00275966" w:rsidP="004A1847">
      <w:pPr>
        <w:spacing w:after="0" w:line="240" w:lineRule="auto"/>
      </w:pPr>
      <w:r>
        <w:continuationSeparator/>
      </w:r>
    </w:p>
  </w:endnote>
  <w:endnote w:type="continuationNotice" w:id="1">
    <w:p w14:paraId="6E44100C" w14:textId="77777777" w:rsidR="00275966" w:rsidRDefault="002759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Aria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DF04B5" w14:textId="77777777" w:rsidR="00275966" w:rsidRDefault="00275966" w:rsidP="004A1847">
      <w:pPr>
        <w:spacing w:after="0" w:line="240" w:lineRule="auto"/>
      </w:pPr>
      <w:r>
        <w:separator/>
      </w:r>
    </w:p>
  </w:footnote>
  <w:footnote w:type="continuationSeparator" w:id="0">
    <w:p w14:paraId="547E5A69" w14:textId="77777777" w:rsidR="00275966" w:rsidRDefault="00275966" w:rsidP="004A1847">
      <w:pPr>
        <w:spacing w:after="0" w:line="240" w:lineRule="auto"/>
      </w:pPr>
      <w:r>
        <w:continuationSeparator/>
      </w:r>
    </w:p>
  </w:footnote>
  <w:footnote w:type="continuationNotice" w:id="1">
    <w:p w14:paraId="77CC868D" w14:textId="77777777" w:rsidR="00275966" w:rsidRDefault="00275966">
      <w:pPr>
        <w:spacing w:after="0" w:line="240" w:lineRule="auto"/>
      </w:pPr>
    </w:p>
  </w:footnote>
  <w:footnote w:id="2">
    <w:p w14:paraId="7B428C0A" w14:textId="77777777" w:rsidR="001C1E14" w:rsidRPr="008D5D37" w:rsidRDefault="001C1E14" w:rsidP="001C1E14">
      <w:pPr>
        <w:pStyle w:val="FootnoteText"/>
        <w:ind w:firstLine="709"/>
        <w:jc w:val="both"/>
        <w:rPr>
          <w:rFonts w:ascii="Arial" w:hAnsi="Arial" w:cs="Arial"/>
          <w:color w:val="000000" w:themeColor="text1"/>
          <w:sz w:val="14"/>
          <w:szCs w:val="14"/>
        </w:rPr>
      </w:pPr>
      <w:r w:rsidRPr="008D5D37">
        <w:rPr>
          <w:rStyle w:val="FootnoteReference"/>
          <w:rFonts w:ascii="Arial" w:hAnsi="Arial" w:cs="Arial"/>
          <w:sz w:val="14"/>
          <w:szCs w:val="14"/>
        </w:rPr>
        <w:footnoteRef/>
      </w:r>
      <w:r w:rsidRPr="008D5D37">
        <w:rPr>
          <w:rFonts w:ascii="Arial" w:hAnsi="Arial" w:cs="Arial"/>
          <w:color w:val="000000" w:themeColor="text1"/>
          <w:sz w:val="14"/>
          <w:szCs w:val="14"/>
        </w:rPr>
        <w:t xml:space="preserve"> Colombia Compra Eficiente, Circular Externa Única: “De conformidad con lo dispuesto en el artículo 33 de la Ley 1286 de 2009, las actividades, contratos y convenios que tengan por objeto la realización de actividades definidas como de ciencia, tecnología e innovación, que celebren las Entidades Estatales, continuarán rigiéndose por las normas especiales que les sean aplicables.</w:t>
      </w:r>
    </w:p>
    <w:p w14:paraId="430358B0" w14:textId="77777777" w:rsidR="001C1E14" w:rsidRPr="008D5D37" w:rsidRDefault="001C1E14" w:rsidP="001C1E14">
      <w:pPr>
        <w:pStyle w:val="FootnoteText"/>
        <w:ind w:firstLine="709"/>
        <w:jc w:val="both"/>
        <w:rPr>
          <w:rFonts w:ascii="Arial" w:hAnsi="Arial" w:cs="Arial"/>
          <w:color w:val="000000" w:themeColor="text1"/>
          <w:sz w:val="14"/>
          <w:szCs w:val="14"/>
        </w:rPr>
      </w:pPr>
      <w:r w:rsidRPr="008D5D37">
        <w:rPr>
          <w:rFonts w:ascii="Arial" w:hAnsi="Arial" w:cs="Arial"/>
          <w:color w:val="000000" w:themeColor="text1"/>
          <w:sz w:val="14"/>
          <w:szCs w:val="14"/>
        </w:rPr>
        <w:t>“El Documento CONPES 4069 de 2021, donde se define cuáles son estas actividades de los actores del Sistema Nacional de Ciencia, Tecnología e Innovación.</w:t>
      </w:r>
    </w:p>
    <w:p w14:paraId="726E37EB" w14:textId="77777777" w:rsidR="001C1E14" w:rsidRPr="008D5D37" w:rsidRDefault="001C1E14" w:rsidP="001C1E14">
      <w:pPr>
        <w:pStyle w:val="FootnoteText"/>
        <w:ind w:firstLine="709"/>
        <w:jc w:val="both"/>
        <w:rPr>
          <w:rFonts w:ascii="Arial" w:hAnsi="Arial" w:cs="Arial"/>
          <w:color w:val="000000" w:themeColor="text1"/>
          <w:sz w:val="14"/>
          <w:szCs w:val="14"/>
        </w:rPr>
      </w:pPr>
      <w:r w:rsidRPr="008D5D37">
        <w:rPr>
          <w:rFonts w:ascii="Arial" w:hAnsi="Arial" w:cs="Arial"/>
          <w:color w:val="000000" w:themeColor="text1"/>
          <w:sz w:val="14"/>
          <w:szCs w:val="14"/>
        </w:rPr>
        <w:t>“En caso de que las Entidades Estatales no tengan certeza sobre la catalogación de las actividades científicas, tecnológicas y de innovación, deben acudir al Ministerio de Ciencia, Tecnología e Innovación, autoridad competente en la materia.”</w:t>
      </w:r>
    </w:p>
  </w:footnote>
  <w:footnote w:id="3">
    <w:p w14:paraId="0964265D" w14:textId="77777777" w:rsidR="001C1E14" w:rsidRPr="000A779C" w:rsidRDefault="001C1E14" w:rsidP="001C1E14">
      <w:pPr>
        <w:pStyle w:val="FootnoteText"/>
        <w:ind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Gaceta del Congreso de la República No. 71 del 2005.</w:t>
      </w:r>
    </w:p>
  </w:footnote>
  <w:footnote w:id="4">
    <w:p w14:paraId="62207827" w14:textId="77777777" w:rsidR="001C1E14" w:rsidRPr="000A779C" w:rsidRDefault="001C1E14" w:rsidP="001C1E14">
      <w:pPr>
        <w:pStyle w:val="FootnoteText"/>
        <w:ind w:firstLine="709"/>
        <w:contextualSpacing/>
        <w:jc w:val="both"/>
        <w:rPr>
          <w:rFonts w:ascii="Verdana" w:hAnsi="Verdana" w:cs="Arial"/>
          <w:sz w:val="16"/>
          <w:szCs w:val="16"/>
          <w:lang w:val="pt-BR"/>
        </w:rPr>
      </w:pPr>
      <w:r w:rsidRPr="000A779C">
        <w:rPr>
          <w:rStyle w:val="FootnoteReference"/>
          <w:rFonts w:ascii="Verdana" w:hAnsi="Verdana" w:cs="Arial"/>
          <w:sz w:val="16"/>
          <w:szCs w:val="16"/>
        </w:rPr>
        <w:footnoteRef/>
      </w:r>
      <w:r w:rsidRPr="000A779C">
        <w:rPr>
          <w:rFonts w:ascii="Verdana" w:hAnsi="Verdana" w:cs="Arial"/>
          <w:sz w:val="16"/>
          <w:szCs w:val="16"/>
          <w:lang w:val="pt-BR"/>
        </w:rPr>
        <w:t xml:space="preserve"> Corte Constitucional, Sentencia C- 1153 de 2005, M.P. Marco Gerardo Monroy Cabra.</w:t>
      </w:r>
    </w:p>
  </w:footnote>
  <w:footnote w:id="5">
    <w:p w14:paraId="12AE5D1E" w14:textId="77777777" w:rsidR="001C1E14" w:rsidRPr="000A779C" w:rsidRDefault="001C1E14" w:rsidP="001C1E14">
      <w:pPr>
        <w:pStyle w:val="FootnoteText"/>
        <w:ind w:firstLine="709"/>
        <w:contextualSpacing/>
        <w:jc w:val="both"/>
        <w:rPr>
          <w:rFonts w:ascii="Verdana" w:hAnsi="Verdana" w:cs="Arial"/>
          <w:sz w:val="16"/>
          <w:szCs w:val="16"/>
          <w:lang w:val="pt-BR"/>
        </w:rPr>
      </w:pPr>
      <w:r w:rsidRPr="000A779C">
        <w:rPr>
          <w:rStyle w:val="FootnoteReference"/>
          <w:rFonts w:ascii="Verdana" w:hAnsi="Verdana" w:cs="Arial"/>
          <w:sz w:val="16"/>
          <w:szCs w:val="16"/>
        </w:rPr>
        <w:footnoteRef/>
      </w:r>
      <w:r w:rsidRPr="000A779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4636FF6C" w14:textId="77777777" w:rsidR="001C1E14" w:rsidRPr="000A779C" w:rsidRDefault="001C1E14" w:rsidP="001C1E14">
      <w:pPr>
        <w:pStyle w:val="FootnoteText"/>
        <w:ind w:firstLine="709"/>
        <w:contextualSpacing/>
        <w:jc w:val="both"/>
        <w:rPr>
          <w:rFonts w:ascii="Verdana" w:hAnsi="Verdana" w:cs="Arial"/>
          <w:sz w:val="16"/>
          <w:szCs w:val="16"/>
          <w:lang w:val="es-CO"/>
        </w:rPr>
      </w:pPr>
      <w:r w:rsidRPr="000A779C">
        <w:rPr>
          <w:rStyle w:val="FootnoteReference"/>
          <w:rFonts w:ascii="Verdana" w:hAnsi="Verdana" w:cs="Arial"/>
          <w:sz w:val="16"/>
          <w:szCs w:val="16"/>
        </w:rPr>
        <w:footnoteRef/>
      </w:r>
      <w:r w:rsidRPr="000A779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6F19C90" w14:textId="77777777" w:rsidR="001C1E14" w:rsidRPr="000A779C" w:rsidRDefault="001C1E14" w:rsidP="001C1E14">
      <w:pPr>
        <w:pStyle w:val="FootnoteText"/>
        <w:ind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Consejo de Estado, Sala de Consulta y Servicio Civil de fecha 24 de julio de 2013, Rad. 2166, C. P. Álvaro Namén Vargas.  </w:t>
      </w:r>
    </w:p>
  </w:footnote>
  <w:footnote w:id="8">
    <w:p w14:paraId="3E102158" w14:textId="77777777" w:rsidR="001C1E14" w:rsidRPr="000A779C" w:rsidRDefault="001C1E14" w:rsidP="001C1E14">
      <w:pPr>
        <w:spacing w:after="0" w:line="240" w:lineRule="auto"/>
        <w:ind w:firstLine="709"/>
        <w:contextualSpacing/>
        <w:jc w:val="both"/>
        <w:rPr>
          <w:rFonts w:ascii="Verdana" w:eastAsia="Times New Roman"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eastAsia="Calibri" w:hAnsi="Verdana" w:cs="Arial"/>
          <w:color w:val="000000"/>
          <w:sz w:val="16"/>
          <w:szCs w:val="16"/>
        </w:rPr>
        <w:t>“</w:t>
      </w:r>
      <w:r w:rsidRPr="000A779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0BDC0F6E" w14:textId="77777777" w:rsidR="001C1E14" w:rsidRPr="000A779C" w:rsidRDefault="001C1E14" w:rsidP="001C1E14">
      <w:pPr>
        <w:spacing w:after="0" w:line="240" w:lineRule="auto"/>
        <w:ind w:firstLine="709"/>
        <w:contextualSpacing/>
        <w:jc w:val="both"/>
        <w:rPr>
          <w:rFonts w:ascii="Verdana" w:eastAsia="Times New Roman" w:hAnsi="Verdana" w:cs="Arial"/>
          <w:sz w:val="16"/>
          <w:szCs w:val="16"/>
        </w:rPr>
      </w:pPr>
      <w:r w:rsidRPr="000A779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0A779C">
        <w:rPr>
          <w:rFonts w:ascii="Verdana" w:eastAsia="Calibri" w:hAnsi="Verdana" w:cs="Arial"/>
          <w:color w:val="000000"/>
          <w:sz w:val="16"/>
          <w:szCs w:val="16"/>
        </w:rPr>
        <w:t>”</w:t>
      </w:r>
      <w:r w:rsidRPr="000A779C">
        <w:rPr>
          <w:rFonts w:ascii="Verdana" w:eastAsia="Times New Roman" w:hAnsi="Verdana" w:cs="Arial"/>
          <w:sz w:val="16"/>
          <w:szCs w:val="16"/>
        </w:rPr>
        <w:t>.</w:t>
      </w:r>
    </w:p>
  </w:footnote>
  <w:footnote w:id="9">
    <w:p w14:paraId="14489600" w14:textId="77777777" w:rsidR="001C1E14" w:rsidRPr="000A779C" w:rsidRDefault="001C1E14" w:rsidP="001C1E14">
      <w:pPr>
        <w:pStyle w:val="NormalWeb"/>
        <w:spacing w:before="0" w:beforeAutospacing="0" w:after="0" w:afterAutospacing="0"/>
        <w:ind w:firstLine="709"/>
        <w:contextualSpacing/>
        <w:jc w:val="both"/>
        <w:rPr>
          <w:rFonts w:ascii="Verdana" w:hAnsi="Verdana" w:cs="Arial"/>
          <w:sz w:val="16"/>
          <w:szCs w:val="16"/>
          <w:lang w:val="es-MX"/>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eastAsia="Calibri" w:hAnsi="Verdana" w:cs="Arial"/>
          <w:color w:val="000000"/>
          <w:sz w:val="16"/>
          <w:szCs w:val="16"/>
        </w:rPr>
        <w:t>“</w:t>
      </w:r>
      <w:r w:rsidRPr="000A779C">
        <w:rPr>
          <w:rFonts w:ascii="Verdana" w:hAnsi="Verdana" w:cs="Arial"/>
          <w:sz w:val="16"/>
          <w:szCs w:val="16"/>
          <w:lang w:val="es-MX"/>
        </w:rPr>
        <w:t>Artículo 38. Prohibiciones para los servidores públicos. A los empleados del Estado les está prohibido: […]</w:t>
      </w:r>
    </w:p>
    <w:p w14:paraId="3FAF49D4" w14:textId="77777777" w:rsidR="001C1E14" w:rsidRPr="000A779C" w:rsidRDefault="001C1E14" w:rsidP="001C1E14">
      <w:pPr>
        <w:pStyle w:val="NormalWeb"/>
        <w:spacing w:before="0" w:beforeAutospacing="0" w:after="0" w:afterAutospacing="0"/>
        <w:ind w:firstLine="709"/>
        <w:contextualSpacing/>
        <w:jc w:val="both"/>
        <w:rPr>
          <w:rFonts w:ascii="Verdana" w:hAnsi="Verdana" w:cs="Arial"/>
          <w:sz w:val="16"/>
          <w:szCs w:val="16"/>
          <w:lang w:val="es-MX"/>
        </w:rPr>
      </w:pPr>
      <w:r w:rsidRPr="000A779C">
        <w:rPr>
          <w:rStyle w:val="baj"/>
          <w:rFonts w:ascii="Verdana" w:hAnsi="Verdana" w:cs="Arial"/>
          <w:sz w:val="16"/>
          <w:szCs w:val="16"/>
          <w:lang w:val="es-MX"/>
        </w:rPr>
        <w:t>Parágrafo.</w:t>
      </w:r>
      <w:r w:rsidRPr="000A779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A779C">
        <w:rPr>
          <w:rFonts w:ascii="Verdana" w:eastAsia="Calibri" w:hAnsi="Verdana" w:cs="Arial"/>
          <w:color w:val="000000"/>
          <w:sz w:val="16"/>
          <w:szCs w:val="16"/>
        </w:rPr>
        <w:t>”</w:t>
      </w:r>
      <w:r w:rsidRPr="000A779C">
        <w:rPr>
          <w:rFonts w:ascii="Verdana" w:hAnsi="Verdana" w:cs="Arial"/>
          <w:sz w:val="16"/>
          <w:szCs w:val="16"/>
          <w:lang w:val="es-MX"/>
        </w:rPr>
        <w:t>.</w:t>
      </w:r>
    </w:p>
  </w:footnote>
  <w:footnote w:id="10">
    <w:p w14:paraId="42B01CF6" w14:textId="77777777" w:rsidR="001C1E14" w:rsidRPr="000A779C" w:rsidRDefault="001C1E14" w:rsidP="001C1E14">
      <w:pPr>
        <w:spacing w:after="0" w:line="240" w:lineRule="auto"/>
        <w:ind w:left="100" w:right="244" w:firstLine="709"/>
        <w:contextualSpacing/>
        <w:jc w:val="both"/>
        <w:rPr>
          <w:rFonts w:ascii="Verdana" w:hAnsi="Verdana" w:cs="Arial"/>
          <w:sz w:val="16"/>
          <w:szCs w:val="16"/>
          <w:lang w:val="es-ES"/>
        </w:rPr>
      </w:pPr>
      <w:r w:rsidRPr="000A779C">
        <w:rPr>
          <w:rStyle w:val="FootnoteReference"/>
          <w:rFonts w:ascii="Verdana" w:hAnsi="Verdana" w:cs="Arial"/>
          <w:sz w:val="16"/>
          <w:szCs w:val="16"/>
        </w:rPr>
        <w:footnoteRef/>
      </w:r>
      <w:r w:rsidRPr="000A779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7953E620" w14:textId="77777777" w:rsidR="001C1E14" w:rsidRPr="000A779C" w:rsidRDefault="001C1E14" w:rsidP="001C1E14">
      <w:pPr>
        <w:pStyle w:val="FootnoteText"/>
        <w:ind w:right="51"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hAnsi="Verdana" w:cs="Arial"/>
          <w:sz w:val="16"/>
          <w:szCs w:val="16"/>
          <w:lang w:val="es-ES"/>
        </w:rPr>
        <w:t xml:space="preserve">[26] </w:t>
      </w:r>
      <w:r w:rsidRPr="000A779C">
        <w:rPr>
          <w:rFonts w:ascii="Verdana" w:hAnsi="Verdana" w:cs="Arial"/>
          <w:sz w:val="16"/>
          <w:szCs w:val="16"/>
        </w:rPr>
        <w:t>Al respecto ver el concepto 1712 de 2 de febrero de 2006. Consejo de Estado Sala de Consulta y Servicio Civil”.</w:t>
      </w:r>
    </w:p>
  </w:footnote>
  <w:footnote w:id="12">
    <w:p w14:paraId="22B054E2" w14:textId="77777777" w:rsidR="001C1E14" w:rsidRPr="000A779C" w:rsidRDefault="001C1E14" w:rsidP="001C1E14">
      <w:pPr>
        <w:pStyle w:val="FootnoteText"/>
        <w:ind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61B5344C" w14:textId="77777777" w:rsidR="001C1E14" w:rsidRPr="000A779C" w:rsidRDefault="001C1E14" w:rsidP="001C1E14">
      <w:pPr>
        <w:pStyle w:val="FootnoteText"/>
        <w:ind w:firstLine="709"/>
        <w:contextualSpacing/>
        <w:jc w:val="both"/>
        <w:rPr>
          <w:rFonts w:ascii="Verdana" w:hAnsi="Verdana" w:cs="Arial"/>
          <w:sz w:val="16"/>
          <w:szCs w:val="16"/>
          <w:lang w:val="es-ES"/>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hAnsi="Verdana" w:cs="Arial"/>
          <w:sz w:val="16"/>
          <w:szCs w:val="16"/>
          <w:lang w:val="es-ES"/>
        </w:rPr>
        <w:t xml:space="preserve">Artículo 2. </w:t>
      </w:r>
    </w:p>
  </w:footnote>
  <w:footnote w:id="14">
    <w:p w14:paraId="7FA42B69" w14:textId="77777777" w:rsidR="001C1E14" w:rsidRPr="000A779C" w:rsidRDefault="001C1E14" w:rsidP="001C1E14">
      <w:pPr>
        <w:pStyle w:val="FootnoteText"/>
        <w:ind w:firstLine="709"/>
        <w:contextualSpacing/>
        <w:jc w:val="both"/>
        <w:rPr>
          <w:rFonts w:ascii="Verdana" w:hAnsi="Verdana" w:cs="Arial"/>
          <w:sz w:val="16"/>
          <w:szCs w:val="16"/>
          <w:lang w:val="es-ES"/>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hAnsi="Verdana" w:cs="Arial"/>
          <w:i/>
          <w:sz w:val="16"/>
          <w:szCs w:val="16"/>
          <w:lang w:val="es-ES"/>
        </w:rPr>
        <w:t>Ídem</w:t>
      </w:r>
      <w:r w:rsidRPr="000A779C">
        <w:rPr>
          <w:rFonts w:ascii="Verdana" w:hAnsi="Verdana" w:cs="Arial"/>
          <w:sz w:val="16"/>
          <w:szCs w:val="16"/>
          <w:lang w:val="es-ES"/>
        </w:rPr>
        <w:t>.</w:t>
      </w:r>
    </w:p>
  </w:footnote>
  <w:footnote w:id="15">
    <w:p w14:paraId="5822593F" w14:textId="77777777" w:rsidR="001C1E14" w:rsidRPr="000A779C" w:rsidRDefault="001C1E14" w:rsidP="001C1E14">
      <w:pPr>
        <w:pStyle w:val="FootnoteText"/>
        <w:ind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Consejo de Estado. Sala de Consulta y Servicio Civil. Concepto del 08 de mayo de 2018. Exp. 2.382. C.P. Álvaro Namén Vargas.</w:t>
      </w:r>
    </w:p>
  </w:footnote>
  <w:footnote w:id="16">
    <w:p w14:paraId="38C6BAB3" w14:textId="77777777" w:rsidR="001C1E14" w:rsidRPr="000A779C" w:rsidRDefault="001C1E14" w:rsidP="001C1E14">
      <w:pPr>
        <w:pStyle w:val="FootnoteText"/>
        <w:ind w:firstLine="708"/>
        <w:contextualSpacing/>
        <w:jc w:val="both"/>
        <w:rPr>
          <w:rFonts w:ascii="Verdana" w:hAnsi="Verdana"/>
          <w:sz w:val="16"/>
          <w:szCs w:val="16"/>
          <w:lang w:val="es-ES"/>
        </w:rPr>
      </w:pPr>
      <w:r w:rsidRPr="000A779C">
        <w:rPr>
          <w:rStyle w:val="FootnoteReference"/>
          <w:rFonts w:ascii="Verdana" w:hAnsi="Verdana"/>
          <w:sz w:val="16"/>
          <w:szCs w:val="16"/>
        </w:rPr>
        <w:footnoteRef/>
      </w:r>
      <w:r w:rsidRPr="000A779C">
        <w:rPr>
          <w:rFonts w:ascii="Verdana" w:hAnsi="Verdana"/>
          <w:sz w:val="16"/>
          <w:szCs w:val="16"/>
        </w:rPr>
        <w:t xml:space="preserve"> </w:t>
      </w:r>
      <w:r w:rsidRPr="000A779C">
        <w:rPr>
          <w:rFonts w:ascii="Verdana" w:eastAsia="Calibri" w:hAnsi="Verdana" w:cs="Arial"/>
          <w:sz w:val="16"/>
          <w:szCs w:val="16"/>
          <w:lang w:val="es-ES"/>
        </w:rPr>
        <w:t xml:space="preserve">Consejo de Estado, Sala de Consulta y Servicio Civil, Concepto de fecha 8 de mayo de 2018, No. </w:t>
      </w:r>
      <w:r w:rsidRPr="000A779C">
        <w:rPr>
          <w:rFonts w:ascii="Verdana" w:hAnsi="Verdana"/>
          <w:sz w:val="16"/>
          <w:szCs w:val="16"/>
          <w:lang w:val="es-CO"/>
        </w:rPr>
        <w:t>2382.</w:t>
      </w:r>
      <w:r w:rsidRPr="000A779C">
        <w:rPr>
          <w:rFonts w:ascii="Verdana" w:hAnsi="Verdana"/>
          <w:sz w:val="16"/>
          <w:szCs w:val="16"/>
        </w:rPr>
        <w:t xml:space="preserve"> </w:t>
      </w:r>
      <w:r w:rsidRPr="000A779C">
        <w:rPr>
          <w:rFonts w:ascii="Verdana" w:hAnsi="Verdana"/>
          <w:sz w:val="16"/>
          <w:szCs w:val="16"/>
          <w:lang w:val="es-CO"/>
        </w:rPr>
        <w:t>C. P. Álvaro Namén Vargas.</w:t>
      </w:r>
    </w:p>
  </w:footnote>
  <w:footnote w:id="17">
    <w:p w14:paraId="3AF545AF" w14:textId="77777777" w:rsidR="001C1E14" w:rsidRPr="000A779C" w:rsidRDefault="001C1E14" w:rsidP="001C1E14">
      <w:pPr>
        <w:spacing w:after="0" w:line="240" w:lineRule="auto"/>
        <w:ind w:firstLine="709"/>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6E7F308D" w14:textId="77777777" w:rsidR="001C1E14" w:rsidRPr="000A779C" w:rsidRDefault="001C1E14" w:rsidP="001C1E14">
      <w:pPr>
        <w:pStyle w:val="FootnoteText"/>
        <w:ind w:firstLine="708"/>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CORTE CONSTITUCIONAL. Sentencia C-1153 de 2005 M.P. Marco Gerardo Monroy Cabra. </w:t>
      </w:r>
    </w:p>
  </w:footnote>
  <w:footnote w:id="19">
    <w:p w14:paraId="2076733B" w14:textId="77777777" w:rsidR="001C1E14" w:rsidRPr="000A779C" w:rsidRDefault="001C1E14" w:rsidP="001C1E14">
      <w:pPr>
        <w:pStyle w:val="FootnoteText"/>
        <w:ind w:firstLine="708"/>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0">
    <w:p w14:paraId="7B2F6862" w14:textId="77777777" w:rsidR="001C1E14" w:rsidRPr="000A779C" w:rsidRDefault="001C1E14" w:rsidP="001C1E14">
      <w:pPr>
        <w:pStyle w:val="FootnoteText"/>
        <w:ind w:firstLine="709"/>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footnote>
  <w:footnote w:id="21">
    <w:p w14:paraId="64C48284" w14:textId="77777777" w:rsidR="001C1E14" w:rsidRPr="000A779C" w:rsidRDefault="001C1E14" w:rsidP="001C1E14">
      <w:pPr>
        <w:spacing w:after="0" w:line="240" w:lineRule="auto"/>
        <w:ind w:firstLine="709"/>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61CFF92A" w14:textId="77777777" w:rsidR="001C1E14" w:rsidRPr="000A779C" w:rsidRDefault="001C1E14" w:rsidP="001C1E14">
      <w:pPr>
        <w:spacing w:after="0" w:line="240" w:lineRule="auto"/>
        <w:ind w:firstLine="709"/>
        <w:contextualSpacing/>
        <w:jc w:val="both"/>
        <w:rPr>
          <w:rFonts w:ascii="Verdana" w:hAnsi="Verdana" w:cs="Arial"/>
          <w:color w:val="000000" w:themeColor="text1"/>
          <w:sz w:val="16"/>
          <w:szCs w:val="16"/>
        </w:rPr>
      </w:pPr>
      <w:r w:rsidRPr="000A779C">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0A779C">
        <w:rPr>
          <w:rFonts w:ascii="Verdana" w:hAnsi="Verdana" w:cs="Arial"/>
          <w:color w:val="000000" w:themeColor="text1"/>
          <w:spacing w:val="-1"/>
          <w:sz w:val="16"/>
          <w:szCs w:val="16"/>
        </w:rPr>
        <w:t xml:space="preserve"> </w:t>
      </w:r>
      <w:r w:rsidRPr="000A779C">
        <w:rPr>
          <w:rFonts w:ascii="Verdana" w:hAnsi="Verdana" w:cs="Arial"/>
          <w:color w:val="000000" w:themeColor="text1"/>
          <w:sz w:val="16"/>
          <w:szCs w:val="16"/>
        </w:rPr>
        <w:t>Estatales».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7" type="#_x0000_t75" style="width:12.2pt;height:12.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6B81"/>
    <w:rsid w:val="00082362"/>
    <w:rsid w:val="000A683E"/>
    <w:rsid w:val="000B19B9"/>
    <w:rsid w:val="000D0334"/>
    <w:rsid w:val="000D5DA7"/>
    <w:rsid w:val="000F6486"/>
    <w:rsid w:val="00116940"/>
    <w:rsid w:val="00125105"/>
    <w:rsid w:val="00127233"/>
    <w:rsid w:val="0015699B"/>
    <w:rsid w:val="001809FD"/>
    <w:rsid w:val="001A33BF"/>
    <w:rsid w:val="001C1E14"/>
    <w:rsid w:val="001E4177"/>
    <w:rsid w:val="001F0B24"/>
    <w:rsid w:val="001F7DC6"/>
    <w:rsid w:val="0022400B"/>
    <w:rsid w:val="002421BB"/>
    <w:rsid w:val="0025796E"/>
    <w:rsid w:val="002707A2"/>
    <w:rsid w:val="00275966"/>
    <w:rsid w:val="002951A0"/>
    <w:rsid w:val="002962BC"/>
    <w:rsid w:val="002A093D"/>
    <w:rsid w:val="002A0DD0"/>
    <w:rsid w:val="002A49AC"/>
    <w:rsid w:val="002A64FD"/>
    <w:rsid w:val="002B2221"/>
    <w:rsid w:val="002C7A84"/>
    <w:rsid w:val="002E2BF8"/>
    <w:rsid w:val="002E4FD9"/>
    <w:rsid w:val="0030657A"/>
    <w:rsid w:val="00322A85"/>
    <w:rsid w:val="00324168"/>
    <w:rsid w:val="00330834"/>
    <w:rsid w:val="003448F4"/>
    <w:rsid w:val="00374F5E"/>
    <w:rsid w:val="00377E3E"/>
    <w:rsid w:val="003A779E"/>
    <w:rsid w:val="003C564F"/>
    <w:rsid w:val="003D0F4D"/>
    <w:rsid w:val="003D3888"/>
    <w:rsid w:val="003D5B0D"/>
    <w:rsid w:val="003E0499"/>
    <w:rsid w:val="003E4F80"/>
    <w:rsid w:val="003E6439"/>
    <w:rsid w:val="003F3941"/>
    <w:rsid w:val="00406575"/>
    <w:rsid w:val="00414C74"/>
    <w:rsid w:val="0042722E"/>
    <w:rsid w:val="0043676C"/>
    <w:rsid w:val="0044528D"/>
    <w:rsid w:val="00466E39"/>
    <w:rsid w:val="004A1847"/>
    <w:rsid w:val="004A305D"/>
    <w:rsid w:val="004F16AA"/>
    <w:rsid w:val="004F21C4"/>
    <w:rsid w:val="004F685F"/>
    <w:rsid w:val="005566E8"/>
    <w:rsid w:val="00574867"/>
    <w:rsid w:val="0057647D"/>
    <w:rsid w:val="00591460"/>
    <w:rsid w:val="005A65E0"/>
    <w:rsid w:val="005C3777"/>
    <w:rsid w:val="005C5CDC"/>
    <w:rsid w:val="005D098E"/>
    <w:rsid w:val="005D476C"/>
    <w:rsid w:val="006200BF"/>
    <w:rsid w:val="006219A9"/>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7E5E68"/>
    <w:rsid w:val="00806F5F"/>
    <w:rsid w:val="00820278"/>
    <w:rsid w:val="008258C9"/>
    <w:rsid w:val="00844AE9"/>
    <w:rsid w:val="00867F95"/>
    <w:rsid w:val="008843B6"/>
    <w:rsid w:val="00891928"/>
    <w:rsid w:val="008A446D"/>
    <w:rsid w:val="008B25F1"/>
    <w:rsid w:val="008D180B"/>
    <w:rsid w:val="008F0EA7"/>
    <w:rsid w:val="00903BF4"/>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47C7"/>
    <w:rsid w:val="00A90B49"/>
    <w:rsid w:val="00AB0ADB"/>
    <w:rsid w:val="00B00C0E"/>
    <w:rsid w:val="00B01B1A"/>
    <w:rsid w:val="00B0381D"/>
    <w:rsid w:val="00B44A47"/>
    <w:rsid w:val="00B55B55"/>
    <w:rsid w:val="00B72CD3"/>
    <w:rsid w:val="00B72FFF"/>
    <w:rsid w:val="00BC3D36"/>
    <w:rsid w:val="00BD54A6"/>
    <w:rsid w:val="00BD7F72"/>
    <w:rsid w:val="00BE0A81"/>
    <w:rsid w:val="00BF7425"/>
    <w:rsid w:val="00C04FB3"/>
    <w:rsid w:val="00C11D8B"/>
    <w:rsid w:val="00C15139"/>
    <w:rsid w:val="00C330EB"/>
    <w:rsid w:val="00C50D69"/>
    <w:rsid w:val="00C5365C"/>
    <w:rsid w:val="00C65564"/>
    <w:rsid w:val="00C754BE"/>
    <w:rsid w:val="00C76B1C"/>
    <w:rsid w:val="00C925AC"/>
    <w:rsid w:val="00CA2DBE"/>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5760D"/>
    <w:rsid w:val="00F666C4"/>
    <w:rsid w:val="00F76AFC"/>
    <w:rsid w:val="00F87B8E"/>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1C1E14"/>
    <w:pPr>
      <w:spacing w:line="240" w:lineRule="exact"/>
    </w:pPr>
    <w:rPr>
      <w:vertAlign w:val="superscript"/>
    </w:rPr>
  </w:style>
  <w:style w:type="character" w:customStyle="1" w:styleId="baj">
    <w:name w:val="b_aj"/>
    <w:basedOn w:val="DefaultParagraphFont"/>
    <w:rsid w:val="001C1E14"/>
  </w:style>
  <w:style w:type="character" w:customStyle="1" w:styleId="NormalWebChar">
    <w:name w:val="Normal (Web) Char"/>
    <w:link w:val="NormalWeb"/>
    <w:uiPriority w:val="99"/>
    <w:locked/>
    <w:rsid w:val="001C1E14"/>
    <w:rPr>
      <w:rFonts w:ascii="Times New Roman" w:eastAsia="Times New Roman" w:hAnsi="Times New Roman" w:cs="Times New Roman"/>
      <w:sz w:val="24"/>
      <w:szCs w:val="24"/>
      <w:lang w:eastAsia="es-CO"/>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1C1E1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circular/circular-externa-006-de-2025"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omontealegre@minciencias.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20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1217AEF3-5E73-42E8-9482-E66992ECD69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20</Pages>
  <Words>6592</Words>
  <Characters>37578</Characters>
  <Application>Microsoft Office Word</Application>
  <DocSecurity>0</DocSecurity>
  <Lines>313</Lines>
  <Paragraphs>88</Paragraphs>
  <ScaleCrop>false</ScaleCrop>
  <Company/>
  <LinksUpToDate>false</LinksUpToDate>
  <CharactersWithSpaces>44082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6</cp:revision>
  <cp:lastPrinted>2023-01-10T21:18:00Z</cp:lastPrinted>
  <dcterms:created xsi:type="dcterms:W3CDTF">2025-12-31T16:41:00Z</dcterms:created>
  <dcterms:modified xsi:type="dcterms:W3CDTF">2025-12-31T16:53:00Z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