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8A082A" w14:textId="432DE685" w:rsidR="00B00858" w:rsidRPr="00B00858" w:rsidRDefault="00282EAD" w:rsidP="00B00858">
      <w:pPr>
        <w:spacing w:line="240" w:lineRule="auto"/>
        <w:contextualSpacing/>
        <w:jc w:val="both"/>
        <w:rPr>
          <w:rFonts w:ascii="Verdana" w:hAnsi="Verdana"/>
          <w:b/>
          <w:bCs/>
          <w:lang w:val="es-ES"/>
        </w:rPr>
      </w:pPr>
      <w:bookmarkStart w:id="0" w:name="_Hlk186494164"/>
      <w:r>
        <w:rPr>
          <w:rFonts w:ascii="Verdana" w:eastAsia="Calibri" w:hAnsi="Verdana"/>
          <w:b/>
          <w:bCs/>
          <w:color w:val="000000" w:themeColor="text1"/>
          <w:lang w:val="es-ES"/>
        </w:rPr>
        <w:t xml:space="preserve">CONTRATOS ESTATALES MIXTOS </w:t>
      </w:r>
      <w:r w:rsidRPr="00B00858">
        <w:rPr>
          <w:rFonts w:ascii="Verdana" w:hAnsi="Verdana"/>
          <w:b/>
          <w:bCs/>
          <w:lang w:val="es-ES"/>
        </w:rPr>
        <w:t xml:space="preserve">– </w:t>
      </w:r>
      <w:r w:rsidR="00B00858" w:rsidRPr="00B00858">
        <w:rPr>
          <w:rFonts w:ascii="Verdana" w:hAnsi="Verdana"/>
          <w:b/>
          <w:bCs/>
          <w:lang w:val="es-ES"/>
        </w:rPr>
        <w:t>Régimen contractual – Uniones de contratos – Diferencias</w:t>
      </w:r>
      <w:r w:rsidR="00B00858" w:rsidRPr="00AE6E67">
        <w:rPr>
          <w:rFonts w:ascii="Verdana" w:hAnsi="Verdana"/>
          <w:lang w:val="es-ES"/>
        </w:rPr>
        <w:t xml:space="preserve"> </w:t>
      </w:r>
    </w:p>
    <w:p w14:paraId="00D8C265" w14:textId="77777777" w:rsidR="00282EAD" w:rsidRDefault="00282EAD" w:rsidP="00282EAD">
      <w:pPr>
        <w:spacing w:line="240" w:lineRule="auto"/>
        <w:contextualSpacing/>
        <w:rPr>
          <w:rFonts w:ascii="Verdana" w:eastAsia="Arial" w:hAnsi="Verdana"/>
          <w:b/>
          <w:bCs/>
          <w:lang w:val="es-ES" w:eastAsia="es-ES_tradnl"/>
        </w:rPr>
      </w:pPr>
    </w:p>
    <w:p w14:paraId="44B37813" w14:textId="0B2BE8E1" w:rsidR="00282EAD" w:rsidRPr="00D65AFF" w:rsidRDefault="00D65AFF" w:rsidP="00D65AFF">
      <w:pPr>
        <w:tabs>
          <w:tab w:val="left" w:pos="142"/>
          <w:tab w:val="left" w:pos="426"/>
        </w:tabs>
        <w:spacing w:line="240" w:lineRule="auto"/>
        <w:contextualSpacing/>
        <w:jc w:val="both"/>
        <w:rPr>
          <w:rFonts w:ascii="Verdana" w:hAnsi="Verdana"/>
          <w:sz w:val="20"/>
          <w:szCs w:val="20"/>
          <w:lang w:val="es-ES"/>
        </w:rPr>
      </w:pPr>
      <w:r w:rsidRPr="00D65AFF">
        <w:rPr>
          <w:rFonts w:ascii="Verdana" w:hAnsi="Verdana"/>
          <w:sz w:val="20"/>
          <w:szCs w:val="20"/>
          <w:lang w:val="es-ES"/>
        </w:rPr>
        <w:t>En este contexto, es importante diferenciar los “contratos mixtos” de las “uniones de contratos”. En el contrato mixto existe un solo acuerdo con elementos de diversos tipos de contrato, mientras que en las uniones de contrato cada uno de ellos mantiene su régimen y autonomía. Para esta distinción corresponde identificar la causa del contrato, es decir, el móvil para celebrarlo: si existe unidad causal corresponde a un “contrato mixto”; de lo contrario, es una “unión de contratos</w:t>
      </w:r>
      <w:proofErr w:type="gramStart"/>
      <w:r w:rsidRPr="00D65AFF">
        <w:rPr>
          <w:rFonts w:ascii="Verdana" w:hAnsi="Verdana"/>
          <w:sz w:val="20"/>
          <w:szCs w:val="20"/>
          <w:lang w:val="es-ES"/>
        </w:rPr>
        <w:t>” .</w:t>
      </w:r>
      <w:proofErr w:type="gramEnd"/>
    </w:p>
    <w:p w14:paraId="3E6DBFC8" w14:textId="77777777" w:rsidR="00D65AFF" w:rsidRDefault="00D65AFF" w:rsidP="00282EAD">
      <w:pPr>
        <w:spacing w:line="240" w:lineRule="auto"/>
        <w:contextualSpacing/>
        <w:rPr>
          <w:rFonts w:ascii="Verdana" w:hAnsi="Verdana"/>
          <w:b/>
          <w:bCs/>
          <w:lang w:val="es-ES"/>
        </w:rPr>
      </w:pPr>
    </w:p>
    <w:p w14:paraId="34123790" w14:textId="77777777" w:rsidR="00282EAD" w:rsidRDefault="00282EAD" w:rsidP="00282EAD">
      <w:pPr>
        <w:spacing w:line="240" w:lineRule="auto"/>
        <w:contextualSpacing/>
        <w:rPr>
          <w:rFonts w:ascii="Verdana" w:eastAsia="Calibri" w:hAnsi="Verdana"/>
          <w:b/>
          <w:bCs/>
          <w:color w:val="000000" w:themeColor="text1"/>
          <w:lang w:val="es-ES"/>
        </w:rPr>
      </w:pPr>
      <w:r>
        <w:rPr>
          <w:rFonts w:ascii="Verdana" w:eastAsia="Calibri" w:hAnsi="Verdana"/>
          <w:b/>
          <w:bCs/>
          <w:color w:val="000000" w:themeColor="text1"/>
          <w:lang w:val="es-ES"/>
        </w:rPr>
        <w:t xml:space="preserve">CONTRATOS ESTATALES MIXTOS – Método de absorción </w:t>
      </w:r>
    </w:p>
    <w:p w14:paraId="39EA4DCE" w14:textId="77777777" w:rsidR="00282EAD" w:rsidRDefault="00282EAD" w:rsidP="00282EAD">
      <w:pPr>
        <w:spacing w:line="240" w:lineRule="auto"/>
        <w:contextualSpacing/>
        <w:rPr>
          <w:rFonts w:ascii="Verdana" w:eastAsia="Calibri" w:hAnsi="Verdana"/>
          <w:b/>
          <w:bCs/>
          <w:color w:val="000000" w:themeColor="text1"/>
          <w:lang w:val="es-ES"/>
        </w:rPr>
      </w:pPr>
    </w:p>
    <w:p w14:paraId="6CB79E0B" w14:textId="77777777" w:rsidR="00282EAD" w:rsidRDefault="00282EAD" w:rsidP="00282EAD">
      <w:pPr>
        <w:spacing w:line="240" w:lineRule="auto"/>
        <w:contextualSpacing/>
        <w:jc w:val="both"/>
        <w:rPr>
          <w:rFonts w:ascii="Verdana" w:eastAsia="Calibri" w:hAnsi="Verdana"/>
          <w:color w:val="000000" w:themeColor="text1"/>
          <w:sz w:val="20"/>
          <w:szCs w:val="20"/>
          <w:lang w:val="es-ES"/>
        </w:rPr>
      </w:pPr>
      <w:r>
        <w:rPr>
          <w:rFonts w:ascii="Verdana" w:eastAsia="Calibri" w:hAnsi="Verdana"/>
          <w:color w:val="000000" w:themeColor="text1"/>
          <w:sz w:val="20"/>
          <w:szCs w:val="20"/>
          <w:lang w:val="es-ES"/>
        </w:rPr>
        <w:t xml:space="preserve">De acuerdo con la jurisprudencia de la Sala de Casación Civil de la Corte Suprema de Justicia, un sector de la doctrina explica que el régimen contractual de los </w:t>
      </w:r>
      <w:r>
        <w:rPr>
          <w:rFonts w:ascii="Verdana" w:eastAsia="Calibri" w:hAnsi="Verdana"/>
          <w:i/>
          <w:iCs/>
          <w:color w:val="000000" w:themeColor="text1"/>
          <w:sz w:val="20"/>
          <w:szCs w:val="20"/>
          <w:lang w:val="es-ES"/>
        </w:rPr>
        <w:t>contratos mixtos</w:t>
      </w:r>
      <w:r>
        <w:rPr>
          <w:rFonts w:ascii="Verdana" w:eastAsia="Calibri" w:hAnsi="Verdana"/>
          <w:color w:val="000000" w:themeColor="text1"/>
          <w:sz w:val="20"/>
          <w:szCs w:val="20"/>
          <w:lang w:val="es-ES"/>
        </w:rPr>
        <w:t xml:space="preserve"> se ha determinado por el método de absorción. Conforme a este criterio, debe identificarse el objeto principal de la prestación para aplicar el régimen del contrato típico al que pertenece, es decir, las reglas que disciplinan el acuerdo en su conjunto se someten al contrato nominado del objeto principal. Por ello, “en el contrato mixto habría siempre un elemento prevalente que absorbe los elementos secundarios; esta circunstancia permitiría regular el contrato entero con las normas del contrato nominado correspondiente, el que estaría dotado de una fuerza de expansión respecto de las figuras contractuales que estén provistas de una función económica análoga […]</w:t>
      </w:r>
    </w:p>
    <w:p w14:paraId="5B36ED67" w14:textId="77777777" w:rsidR="00282EAD" w:rsidRDefault="00282EAD" w:rsidP="00282EAD">
      <w:pPr>
        <w:spacing w:line="240" w:lineRule="auto"/>
        <w:contextualSpacing/>
        <w:rPr>
          <w:rFonts w:ascii="Verdana" w:eastAsia="Calibri" w:hAnsi="Verdana"/>
          <w:b/>
          <w:bCs/>
          <w:color w:val="000000" w:themeColor="text1"/>
          <w:lang w:val="es-ES"/>
        </w:rPr>
      </w:pPr>
    </w:p>
    <w:p w14:paraId="653E675A" w14:textId="07F893F4" w:rsidR="00282EAD" w:rsidRDefault="00282EAD" w:rsidP="00282EAD">
      <w:pPr>
        <w:spacing w:line="240" w:lineRule="auto"/>
        <w:contextualSpacing/>
        <w:rPr>
          <w:rFonts w:ascii="Verdana" w:eastAsia="Arial" w:hAnsi="Verdana"/>
          <w:b/>
          <w:bCs/>
          <w:lang w:val="es-ES" w:eastAsia="es-ES_tradnl"/>
        </w:rPr>
      </w:pPr>
      <w:r>
        <w:rPr>
          <w:rFonts w:ascii="Verdana" w:eastAsia="Arial" w:hAnsi="Verdana"/>
          <w:b/>
          <w:bCs/>
          <w:lang w:val="es-ES" w:eastAsia="es-ES_tradnl"/>
        </w:rPr>
        <w:t>CONTRATOS ATIPICOS –</w:t>
      </w:r>
      <w:r w:rsidR="005B57B5">
        <w:rPr>
          <w:rFonts w:ascii="Verdana" w:eastAsia="Arial" w:hAnsi="Verdana"/>
          <w:b/>
          <w:bCs/>
          <w:lang w:val="es-ES" w:eastAsia="es-ES_tradnl"/>
        </w:rPr>
        <w:t xml:space="preserve"> </w:t>
      </w:r>
      <w:r w:rsidR="005B57B5" w:rsidRPr="005B57B5">
        <w:rPr>
          <w:rFonts w:ascii="Verdana" w:eastAsia="Arial" w:hAnsi="Verdana"/>
          <w:b/>
          <w:bCs/>
          <w:lang w:val="es-ES" w:eastAsia="es-ES_tradnl"/>
        </w:rPr>
        <w:t>Definición – Entidades sometidas – EGCAP</w:t>
      </w:r>
    </w:p>
    <w:p w14:paraId="260FC6DB" w14:textId="77777777" w:rsidR="00282EAD" w:rsidRDefault="00282EAD" w:rsidP="00282EAD">
      <w:pPr>
        <w:spacing w:line="240" w:lineRule="auto"/>
        <w:contextualSpacing/>
        <w:jc w:val="both"/>
        <w:rPr>
          <w:rFonts w:ascii="Verdana" w:eastAsia="Arial" w:hAnsi="Verdana"/>
          <w:b/>
          <w:bCs/>
          <w:sz w:val="20"/>
          <w:szCs w:val="20"/>
          <w:lang w:val="es-ES" w:eastAsia="es-ES_tradnl"/>
        </w:rPr>
      </w:pPr>
    </w:p>
    <w:p w14:paraId="0A0893C2" w14:textId="0EB7CE18" w:rsidR="005B57B5" w:rsidRDefault="005B57B5" w:rsidP="005B57B5">
      <w:pPr>
        <w:widowControl w:val="0"/>
        <w:autoSpaceDE w:val="0"/>
        <w:autoSpaceDN w:val="0"/>
        <w:spacing w:after="0" w:line="240" w:lineRule="auto"/>
        <w:jc w:val="both"/>
        <w:rPr>
          <w:rFonts w:ascii="Verdana" w:eastAsia="Arial" w:hAnsi="Verdana" w:cs="Arial"/>
          <w:color w:val="000000" w:themeColor="text1"/>
          <w:sz w:val="20"/>
          <w:szCs w:val="20"/>
          <w:lang w:val="es-ES" w:eastAsia="es-ES_tradnl"/>
        </w:rPr>
      </w:pPr>
      <w:r w:rsidRPr="005B57B5">
        <w:rPr>
          <w:rFonts w:ascii="Verdana" w:hAnsi="Verdana"/>
          <w:sz w:val="20"/>
          <w:szCs w:val="20"/>
          <w:lang w:val="es-ES"/>
        </w:rPr>
        <w:t>Los contratos atípicos se caracterizan por ser contratos en los cuales su causa o función socioeconómica no corresponde a ninguno de los contratos tipificados por la ley.</w:t>
      </w:r>
    </w:p>
    <w:p w14:paraId="0F349A70" w14:textId="77777777" w:rsidR="005B57B5" w:rsidRDefault="005B57B5" w:rsidP="005B57B5">
      <w:pPr>
        <w:widowControl w:val="0"/>
        <w:autoSpaceDE w:val="0"/>
        <w:autoSpaceDN w:val="0"/>
        <w:spacing w:after="0" w:line="240" w:lineRule="auto"/>
        <w:jc w:val="both"/>
        <w:rPr>
          <w:rFonts w:ascii="Verdana" w:eastAsia="Arial" w:hAnsi="Verdana" w:cs="Arial"/>
          <w:color w:val="000000" w:themeColor="text1"/>
          <w:sz w:val="20"/>
          <w:szCs w:val="20"/>
          <w:lang w:val="es-ES" w:eastAsia="es-ES_tradnl"/>
        </w:rPr>
      </w:pPr>
    </w:p>
    <w:p w14:paraId="51583581" w14:textId="680D1960" w:rsidR="005B57B5" w:rsidRDefault="005B57B5" w:rsidP="005B57B5">
      <w:pPr>
        <w:widowControl w:val="0"/>
        <w:autoSpaceDE w:val="0"/>
        <w:autoSpaceDN w:val="0"/>
        <w:spacing w:after="0" w:line="240" w:lineRule="auto"/>
        <w:jc w:val="both"/>
        <w:rPr>
          <w:rFonts w:ascii="Verdana" w:eastAsia="Arial" w:hAnsi="Verdana" w:cs="Arial"/>
          <w:color w:val="000000" w:themeColor="text1"/>
          <w:sz w:val="20"/>
          <w:szCs w:val="20"/>
          <w:lang w:val="es-ES" w:eastAsia="es-ES_tradnl"/>
        </w:rPr>
      </w:pPr>
      <w:r w:rsidRPr="005B57B5">
        <w:rPr>
          <w:rFonts w:ascii="Verdana" w:hAnsi="Verdana"/>
          <w:sz w:val="20"/>
          <w:szCs w:val="20"/>
          <w:lang w:val="es-ES"/>
        </w:rPr>
        <w:t>Tanto la jurisprudencia como la doctrina de derecho administrativo aceptan la presencia de contratos administrativos atípicos. En efecto, el Consejo de Estado, ha señalado que: “Como tampoco corresponde el negocio jurídico celebrado por las partes a ninguno otro de los tipificados en el Decreto Ley 222 de 1983, no obstante, lo cual, subsiste su naturaleza vinculante como acuerdo de voluntades creador de obligaciones a cargo de los cocontratantes y regido por las cláusulas pactadas por éstos”.</w:t>
      </w:r>
    </w:p>
    <w:p w14:paraId="78A8819E" w14:textId="77777777" w:rsidR="00643E4F" w:rsidRDefault="00643E4F" w:rsidP="005B57B5">
      <w:pPr>
        <w:widowControl w:val="0"/>
        <w:autoSpaceDE w:val="0"/>
        <w:autoSpaceDN w:val="0"/>
        <w:spacing w:after="0" w:line="240" w:lineRule="auto"/>
        <w:jc w:val="both"/>
        <w:rPr>
          <w:rFonts w:ascii="Verdana" w:eastAsia="Arial" w:hAnsi="Verdana" w:cs="Arial"/>
          <w:color w:val="000000" w:themeColor="text1"/>
          <w:sz w:val="20"/>
          <w:szCs w:val="20"/>
          <w:lang w:val="es-ES" w:eastAsia="es-ES_tradnl"/>
        </w:rPr>
      </w:pPr>
    </w:p>
    <w:p w14:paraId="2E4B29BF" w14:textId="30B3B160" w:rsidR="00282EAD" w:rsidRPr="005B57B5" w:rsidRDefault="005B57B5" w:rsidP="005B57B5">
      <w:pPr>
        <w:widowControl w:val="0"/>
        <w:autoSpaceDE w:val="0"/>
        <w:autoSpaceDN w:val="0"/>
        <w:spacing w:after="0" w:line="240" w:lineRule="auto"/>
        <w:jc w:val="both"/>
        <w:rPr>
          <w:rFonts w:ascii="Verdana" w:eastAsia="Arial" w:hAnsi="Verdana" w:cs="Arial"/>
          <w:color w:val="000000" w:themeColor="text1"/>
          <w:sz w:val="20"/>
          <w:szCs w:val="20"/>
          <w:lang w:val="es-ES" w:eastAsia="es-ES_tradnl"/>
        </w:rPr>
      </w:pPr>
      <w:r w:rsidRPr="005B57B5">
        <w:rPr>
          <w:rFonts w:ascii="Verdana" w:hAnsi="Verdana"/>
          <w:sz w:val="20"/>
          <w:szCs w:val="20"/>
          <w:lang w:val="es-ES"/>
        </w:rPr>
        <w:t xml:space="preserve">Tratándose de contratos atípicos estatales y su contenido, estos son admisibles en nuestro ordenamiento jurídico, siempre y cuando se encuentren dentro del orden público, no tengan </w:t>
      </w:r>
      <w:proofErr w:type="gramStart"/>
      <w:r w:rsidRPr="005B57B5">
        <w:rPr>
          <w:rFonts w:ascii="Verdana" w:hAnsi="Verdana"/>
          <w:sz w:val="20"/>
          <w:szCs w:val="20"/>
          <w:lang w:val="es-ES"/>
        </w:rPr>
        <w:t>objeto ilícito o causa ilícita</w:t>
      </w:r>
      <w:proofErr w:type="gramEnd"/>
      <w:r w:rsidRPr="005B57B5">
        <w:rPr>
          <w:rFonts w:ascii="Verdana" w:hAnsi="Verdana"/>
          <w:sz w:val="20"/>
          <w:szCs w:val="20"/>
          <w:lang w:val="es-ES"/>
        </w:rPr>
        <w:t>, no estén presentes vicios del consentimiento y que, en aquellos casos que se exigen formalidades, se cumplan para el nacimiento del contrato.</w:t>
      </w:r>
    </w:p>
    <w:p w14:paraId="26A250AA" w14:textId="77777777" w:rsidR="005B57B5" w:rsidRDefault="005B57B5" w:rsidP="005B57B5">
      <w:pPr>
        <w:spacing w:line="240" w:lineRule="auto"/>
        <w:contextualSpacing/>
        <w:rPr>
          <w:rFonts w:ascii="Verdana" w:eastAsia="Arial" w:hAnsi="Verdana"/>
          <w:b/>
          <w:bCs/>
          <w:lang w:val="es-ES" w:eastAsia="es-ES_tradnl"/>
        </w:rPr>
      </w:pPr>
    </w:p>
    <w:p w14:paraId="148D6233" w14:textId="72768AB2" w:rsidR="00282EAD" w:rsidRPr="00643E4F" w:rsidRDefault="00282EAD" w:rsidP="00282EAD">
      <w:pPr>
        <w:spacing w:line="240" w:lineRule="auto"/>
        <w:contextualSpacing/>
        <w:rPr>
          <w:rFonts w:ascii="Verdana" w:eastAsia="Arial" w:hAnsi="Verdana"/>
          <w:b/>
          <w:bCs/>
          <w:lang w:val="es-ES" w:eastAsia="es-ES_tradnl"/>
        </w:rPr>
      </w:pPr>
      <w:r>
        <w:rPr>
          <w:rFonts w:ascii="Verdana" w:eastAsia="Arial" w:hAnsi="Verdana"/>
          <w:b/>
          <w:bCs/>
          <w:lang w:val="es-ES" w:eastAsia="es-ES_tradnl"/>
        </w:rPr>
        <w:t xml:space="preserve">CONTRATOS ATIPICOS </w:t>
      </w:r>
      <w:r w:rsidR="00643E4F" w:rsidRPr="00643E4F">
        <w:rPr>
          <w:rFonts w:ascii="Verdana" w:eastAsia="Arial" w:hAnsi="Verdana"/>
          <w:b/>
          <w:bCs/>
          <w:lang w:val="es-ES" w:eastAsia="es-ES_tradnl"/>
        </w:rPr>
        <w:t>– Elementos – Autonomía de la voluntad</w:t>
      </w:r>
    </w:p>
    <w:p w14:paraId="0EFD01E4" w14:textId="77777777" w:rsidR="00282EAD" w:rsidRDefault="00282EAD" w:rsidP="00282EAD">
      <w:pPr>
        <w:spacing w:line="240" w:lineRule="auto"/>
        <w:contextualSpacing/>
        <w:rPr>
          <w:rFonts w:ascii="Verdana" w:eastAsia="Arial" w:hAnsi="Verdana"/>
          <w:b/>
          <w:bCs/>
          <w:lang w:val="es-ES" w:eastAsia="es-ES_tradnl"/>
        </w:rPr>
      </w:pPr>
    </w:p>
    <w:p w14:paraId="694DF4D3" w14:textId="54CB5B62" w:rsidR="00643E4F" w:rsidRPr="00014D1E" w:rsidRDefault="00643E4F" w:rsidP="00014D1E">
      <w:pPr>
        <w:tabs>
          <w:tab w:val="left" w:pos="142"/>
          <w:tab w:val="left" w:pos="426"/>
        </w:tabs>
        <w:spacing w:after="0" w:line="240" w:lineRule="auto"/>
        <w:jc w:val="both"/>
        <w:rPr>
          <w:rFonts w:ascii="Verdana" w:eastAsia="Calibri" w:hAnsi="Verdana" w:cs="Arial"/>
          <w:b/>
          <w:sz w:val="20"/>
          <w:szCs w:val="20"/>
          <w:lang w:val="es-ES"/>
        </w:rPr>
      </w:pPr>
      <w:r w:rsidRPr="00014D1E">
        <w:rPr>
          <w:rFonts w:ascii="Verdana" w:hAnsi="Verdana"/>
          <w:sz w:val="20"/>
          <w:szCs w:val="20"/>
          <w:lang w:val="es-ES"/>
        </w:rPr>
        <w:t xml:space="preserve">Conforme lo expuesto, la Ley 80 de 1993 facultó a las Entidades Estatales para que, en aplicación del principio de autonomía de la voluntad, determinen el tipo de contrato que </w:t>
      </w:r>
      <w:r w:rsidRPr="00014D1E">
        <w:rPr>
          <w:rFonts w:ascii="Verdana" w:hAnsi="Verdana"/>
          <w:sz w:val="20"/>
          <w:szCs w:val="20"/>
          <w:lang w:val="es-ES"/>
        </w:rPr>
        <w:lastRenderedPageBreak/>
        <w:t xml:space="preserve">mejor se ajuste al interés general y a la satisfacción de su necesidad, por lo que pueden pactar en sus contratos las cláusulas necesarias para ese fin. En el marco de su autonomía, las partes dotan al contrato de aquellos elementos esenciales que confluyen bien sea de tomar elementos propios de otras figuras o de elementos originales para crear una relación jurídica propia que difiere de las demás. </w:t>
      </w:r>
    </w:p>
    <w:p w14:paraId="6EB63225" w14:textId="77777777" w:rsidR="00643E4F" w:rsidRPr="00014D1E" w:rsidRDefault="00643E4F" w:rsidP="00014D1E">
      <w:pPr>
        <w:tabs>
          <w:tab w:val="left" w:pos="142"/>
          <w:tab w:val="left" w:pos="426"/>
        </w:tabs>
        <w:spacing w:after="0" w:line="240" w:lineRule="auto"/>
        <w:jc w:val="both"/>
        <w:rPr>
          <w:rFonts w:ascii="Verdana" w:hAnsi="Verdana"/>
          <w:sz w:val="20"/>
          <w:szCs w:val="20"/>
          <w:lang w:val="es-ES"/>
        </w:rPr>
      </w:pPr>
    </w:p>
    <w:p w14:paraId="5EAE9A12" w14:textId="2581B666" w:rsidR="00643E4F" w:rsidRDefault="00643E4F" w:rsidP="00014D1E">
      <w:pPr>
        <w:tabs>
          <w:tab w:val="left" w:pos="142"/>
          <w:tab w:val="left" w:pos="426"/>
        </w:tabs>
        <w:spacing w:after="0" w:line="240" w:lineRule="auto"/>
        <w:jc w:val="both"/>
        <w:rPr>
          <w:rFonts w:ascii="Verdana" w:hAnsi="Verdana"/>
          <w:sz w:val="20"/>
          <w:szCs w:val="20"/>
          <w:lang w:val="es-ES"/>
        </w:rPr>
      </w:pPr>
      <w:r w:rsidRPr="00014D1E">
        <w:rPr>
          <w:rFonts w:ascii="Verdana" w:hAnsi="Verdana"/>
          <w:sz w:val="20"/>
          <w:szCs w:val="20"/>
          <w:lang w:val="es-ES"/>
        </w:rPr>
        <w:tab/>
        <w:t xml:space="preserve">A juicio de la Agencia, si bien las partes pueden acordar aquellos elementos integran el contrato atípico, de acuerdo con la autonomía de la voluntad reconocida en el ordenamiento jurídico, es importante tener en cuenta los siguientes aspectos:  i) La observancia de las normas imperativas contenidas en el EGCAP, como son las reglas de formación, celebración y contenido obligatorio de los contratos estatales; </w:t>
      </w:r>
      <w:proofErr w:type="spellStart"/>
      <w:r w:rsidRPr="00014D1E">
        <w:rPr>
          <w:rFonts w:ascii="Verdana" w:hAnsi="Verdana"/>
          <w:sz w:val="20"/>
          <w:szCs w:val="20"/>
          <w:lang w:val="es-ES"/>
        </w:rPr>
        <w:t>ii</w:t>
      </w:r>
      <w:proofErr w:type="spellEnd"/>
      <w:r w:rsidRPr="00014D1E">
        <w:rPr>
          <w:rFonts w:ascii="Verdana" w:hAnsi="Verdana"/>
          <w:sz w:val="20"/>
          <w:szCs w:val="20"/>
          <w:lang w:val="es-ES"/>
        </w:rPr>
        <w:t xml:space="preserve">) los límites impuestos por el orden público; </w:t>
      </w:r>
      <w:proofErr w:type="spellStart"/>
      <w:r w:rsidRPr="00014D1E">
        <w:rPr>
          <w:rFonts w:ascii="Verdana" w:hAnsi="Verdana"/>
          <w:sz w:val="20"/>
          <w:szCs w:val="20"/>
          <w:lang w:val="es-ES"/>
        </w:rPr>
        <w:t>iii</w:t>
      </w:r>
      <w:proofErr w:type="spellEnd"/>
      <w:r w:rsidRPr="00014D1E">
        <w:rPr>
          <w:rFonts w:ascii="Verdana" w:hAnsi="Verdana"/>
          <w:sz w:val="20"/>
          <w:szCs w:val="20"/>
          <w:lang w:val="es-ES"/>
        </w:rPr>
        <w:t xml:space="preserve">) en aquellos casos en los que se encuentren vacíos en el contrato o se requiera interpretar aspectos de aquel se deberá tener en cuenta que el EGCAP opera de forma supletiva frente al silencio de las partes; </w:t>
      </w:r>
      <w:proofErr w:type="spellStart"/>
      <w:r w:rsidRPr="00014D1E">
        <w:rPr>
          <w:rFonts w:ascii="Verdana" w:hAnsi="Verdana"/>
          <w:sz w:val="20"/>
          <w:szCs w:val="20"/>
          <w:lang w:val="es-ES"/>
        </w:rPr>
        <w:t>iv</w:t>
      </w:r>
      <w:proofErr w:type="spellEnd"/>
      <w:r w:rsidRPr="00014D1E">
        <w:rPr>
          <w:rFonts w:ascii="Verdana" w:hAnsi="Verdana"/>
          <w:sz w:val="20"/>
          <w:szCs w:val="20"/>
          <w:lang w:val="es-ES"/>
        </w:rPr>
        <w:t>) las normas generales sobre contratos contenidas en las normas de derecho privado de conformidad con el artículo 13 de la Ley 80 de 1993; y v) la aplicación de los principios generales de derecho y de la administración pública.</w:t>
      </w:r>
    </w:p>
    <w:p w14:paraId="5D6962A0" w14:textId="77777777" w:rsidR="00014D1E" w:rsidRDefault="00014D1E" w:rsidP="00282EAD">
      <w:pPr>
        <w:contextualSpacing/>
        <w:rPr>
          <w:rFonts w:ascii="Verdana" w:eastAsia="Arial" w:hAnsi="Verdana"/>
          <w:b/>
          <w:bCs/>
          <w:lang w:val="es-ES" w:eastAsia="es-ES_tradnl"/>
        </w:rPr>
      </w:pPr>
    </w:p>
    <w:p w14:paraId="7806A2BD" w14:textId="77777777" w:rsidR="00282EAD" w:rsidRDefault="00282EAD" w:rsidP="00282EAD">
      <w:pPr>
        <w:spacing w:line="240" w:lineRule="auto"/>
        <w:contextualSpacing/>
        <w:rPr>
          <w:rFonts w:ascii="Verdana" w:eastAsia="Arial" w:hAnsi="Verdana"/>
          <w:b/>
          <w:bCs/>
          <w:lang w:val="es-ES" w:eastAsia="es-ES_tradnl"/>
        </w:rPr>
      </w:pPr>
    </w:p>
    <w:p w14:paraId="319E242C" w14:textId="77777777" w:rsidR="00282EAD" w:rsidRDefault="00282EAD" w:rsidP="00282EAD">
      <w:pPr>
        <w:spacing w:after="0" w:line="276" w:lineRule="auto"/>
        <w:rPr>
          <w:rFonts w:ascii="Verdana" w:eastAsia="Geomanist Light" w:hAnsi="Verdana" w:cs="Arial"/>
          <w:color w:val="000000" w:themeColor="text1"/>
          <w:lang w:val="es-ES"/>
        </w:rPr>
      </w:pPr>
    </w:p>
    <w:p w14:paraId="1ADE7B09" w14:textId="77777777" w:rsidR="00282EAD" w:rsidRDefault="00282EAD" w:rsidP="00282EAD">
      <w:pPr>
        <w:spacing w:after="0" w:line="276" w:lineRule="auto"/>
        <w:rPr>
          <w:rFonts w:ascii="Verdana" w:eastAsia="Geomanist Light" w:hAnsi="Verdana" w:cs="Arial"/>
          <w:color w:val="000000" w:themeColor="text1"/>
          <w:lang w:val="es-ES"/>
        </w:rPr>
      </w:pPr>
    </w:p>
    <w:p w14:paraId="6422D3F2" w14:textId="77777777" w:rsidR="00282EAD" w:rsidRDefault="00282EAD" w:rsidP="00282EAD">
      <w:pPr>
        <w:spacing w:after="0" w:line="276" w:lineRule="auto"/>
        <w:rPr>
          <w:rFonts w:ascii="Verdana" w:eastAsia="Geomanist Light" w:hAnsi="Verdana" w:cs="Arial"/>
          <w:color w:val="000000" w:themeColor="text1"/>
          <w:lang w:val="es-ES"/>
        </w:rPr>
      </w:pPr>
    </w:p>
    <w:p w14:paraId="2729D64A" w14:textId="77777777" w:rsidR="00282EAD" w:rsidRDefault="00282EAD" w:rsidP="00282EAD">
      <w:pPr>
        <w:spacing w:after="0" w:line="276" w:lineRule="auto"/>
        <w:rPr>
          <w:rFonts w:ascii="Verdana" w:eastAsia="Geomanist Light" w:hAnsi="Verdana" w:cs="Arial"/>
          <w:color w:val="000000" w:themeColor="text1"/>
          <w:lang w:val="es-ES"/>
        </w:rPr>
      </w:pPr>
    </w:p>
    <w:p w14:paraId="0B0E9387" w14:textId="77777777" w:rsidR="00282EAD" w:rsidRDefault="00282EAD" w:rsidP="00282EAD">
      <w:pPr>
        <w:spacing w:after="0" w:line="276" w:lineRule="auto"/>
        <w:rPr>
          <w:rFonts w:ascii="Verdana" w:eastAsia="Geomanist Light" w:hAnsi="Verdana" w:cs="Arial"/>
          <w:color w:val="000000" w:themeColor="text1"/>
          <w:lang w:val="es-ES"/>
        </w:rPr>
      </w:pPr>
    </w:p>
    <w:p w14:paraId="493E4FD3" w14:textId="77777777" w:rsidR="00282EAD" w:rsidRDefault="00282EAD" w:rsidP="00282EAD">
      <w:pPr>
        <w:spacing w:after="0" w:line="276" w:lineRule="auto"/>
        <w:rPr>
          <w:rFonts w:ascii="Verdana" w:eastAsia="Geomanist Light" w:hAnsi="Verdana" w:cs="Arial"/>
          <w:color w:val="000000" w:themeColor="text1"/>
          <w:lang w:val="es-ES"/>
        </w:rPr>
      </w:pPr>
    </w:p>
    <w:p w14:paraId="76892AD0" w14:textId="77777777" w:rsidR="00282EAD" w:rsidRDefault="00282EAD" w:rsidP="00282EAD">
      <w:pPr>
        <w:spacing w:after="0" w:line="276" w:lineRule="auto"/>
        <w:rPr>
          <w:rFonts w:ascii="Verdana" w:eastAsia="Geomanist Light" w:hAnsi="Verdana" w:cs="Arial"/>
          <w:color w:val="000000" w:themeColor="text1"/>
          <w:lang w:val="es-ES"/>
        </w:rPr>
      </w:pPr>
    </w:p>
    <w:p w14:paraId="073C739D" w14:textId="77777777" w:rsidR="00282EAD" w:rsidRDefault="00282EAD" w:rsidP="00282EAD">
      <w:pPr>
        <w:spacing w:after="0" w:line="276" w:lineRule="auto"/>
        <w:rPr>
          <w:rFonts w:ascii="Verdana" w:eastAsia="Geomanist Light" w:hAnsi="Verdana" w:cs="Arial"/>
          <w:color w:val="000000" w:themeColor="text1"/>
          <w:lang w:val="es-ES"/>
        </w:rPr>
      </w:pPr>
    </w:p>
    <w:p w14:paraId="352BFFDD" w14:textId="77777777" w:rsidR="00282EAD" w:rsidRDefault="00282EAD" w:rsidP="00282EAD">
      <w:pPr>
        <w:spacing w:after="0" w:line="276" w:lineRule="auto"/>
        <w:rPr>
          <w:rFonts w:ascii="Verdana" w:eastAsia="Geomanist Light" w:hAnsi="Verdana" w:cs="Arial"/>
          <w:color w:val="000000" w:themeColor="text1"/>
          <w:lang w:val="es-ES"/>
        </w:rPr>
      </w:pPr>
    </w:p>
    <w:p w14:paraId="7403931B" w14:textId="77777777" w:rsidR="00282EAD" w:rsidRDefault="00282EAD" w:rsidP="00282EAD">
      <w:pPr>
        <w:spacing w:after="0" w:line="276" w:lineRule="auto"/>
        <w:rPr>
          <w:rFonts w:ascii="Verdana" w:eastAsia="Geomanist Light" w:hAnsi="Verdana" w:cs="Arial"/>
          <w:color w:val="000000" w:themeColor="text1"/>
          <w:lang w:val="es-ES"/>
        </w:rPr>
      </w:pPr>
    </w:p>
    <w:p w14:paraId="482F5A22" w14:textId="77777777" w:rsidR="00282EAD" w:rsidRDefault="00282EAD" w:rsidP="00282EAD">
      <w:pPr>
        <w:spacing w:after="0" w:line="276" w:lineRule="auto"/>
        <w:rPr>
          <w:rFonts w:ascii="Verdana" w:eastAsia="Geomanist Light" w:hAnsi="Verdana" w:cs="Arial"/>
          <w:color w:val="000000" w:themeColor="text1"/>
          <w:lang w:val="es-ES"/>
        </w:rPr>
      </w:pPr>
    </w:p>
    <w:p w14:paraId="5BA1B6C5" w14:textId="77777777" w:rsidR="00282EAD" w:rsidRDefault="00282EAD" w:rsidP="00282EAD">
      <w:pPr>
        <w:spacing w:after="0" w:line="276" w:lineRule="auto"/>
        <w:rPr>
          <w:rFonts w:ascii="Verdana" w:eastAsia="Geomanist Light" w:hAnsi="Verdana" w:cs="Arial"/>
          <w:color w:val="000000" w:themeColor="text1"/>
          <w:lang w:val="es-ES"/>
        </w:rPr>
      </w:pPr>
    </w:p>
    <w:p w14:paraId="20424A8B" w14:textId="77777777" w:rsidR="005A5D74" w:rsidRDefault="005A5D74" w:rsidP="00282EAD">
      <w:pPr>
        <w:spacing w:after="0" w:line="276" w:lineRule="auto"/>
        <w:rPr>
          <w:rFonts w:ascii="Verdana" w:eastAsia="Geomanist Light" w:hAnsi="Verdana" w:cs="Arial"/>
          <w:color w:val="000000" w:themeColor="text1"/>
          <w:lang w:val="es-ES"/>
        </w:rPr>
      </w:pPr>
    </w:p>
    <w:p w14:paraId="6AD62A1A" w14:textId="77777777" w:rsidR="005A5D74" w:rsidRDefault="005A5D74" w:rsidP="00282EAD">
      <w:pPr>
        <w:spacing w:after="0" w:line="276" w:lineRule="auto"/>
        <w:rPr>
          <w:rFonts w:ascii="Verdana" w:eastAsia="Geomanist Light" w:hAnsi="Verdana" w:cs="Arial"/>
          <w:color w:val="000000" w:themeColor="text1"/>
          <w:lang w:val="es-ES"/>
        </w:rPr>
      </w:pPr>
    </w:p>
    <w:p w14:paraId="4453A0F3" w14:textId="77777777" w:rsidR="005A5D74" w:rsidRDefault="005A5D74" w:rsidP="00282EAD">
      <w:pPr>
        <w:spacing w:after="0" w:line="276" w:lineRule="auto"/>
        <w:rPr>
          <w:rFonts w:ascii="Verdana" w:eastAsia="Geomanist Light" w:hAnsi="Verdana" w:cs="Arial"/>
          <w:color w:val="000000" w:themeColor="text1"/>
          <w:lang w:val="es-ES"/>
        </w:rPr>
      </w:pPr>
    </w:p>
    <w:p w14:paraId="65ED9D66" w14:textId="77777777" w:rsidR="00282EAD" w:rsidRDefault="00282EAD" w:rsidP="00282EAD">
      <w:pPr>
        <w:spacing w:after="0" w:line="276" w:lineRule="auto"/>
        <w:rPr>
          <w:rFonts w:ascii="Verdana" w:eastAsia="Geomanist Light" w:hAnsi="Verdana" w:cs="Arial"/>
          <w:color w:val="000000" w:themeColor="text1"/>
          <w:lang w:val="es-ES"/>
        </w:rPr>
      </w:pPr>
    </w:p>
    <w:p w14:paraId="01E3DFAE" w14:textId="77777777" w:rsidR="00C641CD" w:rsidRDefault="00C641CD" w:rsidP="00282EAD">
      <w:pPr>
        <w:spacing w:after="0" w:line="276" w:lineRule="auto"/>
        <w:rPr>
          <w:rFonts w:ascii="Verdana" w:eastAsia="Geomanist Light" w:hAnsi="Verdana" w:cs="Arial"/>
          <w:color w:val="000000" w:themeColor="text1"/>
          <w:lang w:val="es-ES"/>
        </w:rPr>
      </w:pPr>
    </w:p>
    <w:p w14:paraId="67BC393B" w14:textId="77777777" w:rsidR="00282EAD" w:rsidRDefault="00282EAD" w:rsidP="00282EAD">
      <w:pPr>
        <w:spacing w:after="0" w:line="276" w:lineRule="auto"/>
        <w:rPr>
          <w:rFonts w:ascii="Verdana" w:eastAsia="Geomanist Light" w:hAnsi="Verdana" w:cs="Arial"/>
          <w:color w:val="000000" w:themeColor="text1"/>
          <w:lang w:val="es-ES"/>
        </w:rPr>
      </w:pPr>
    </w:p>
    <w:p w14:paraId="3AEC6AD8" w14:textId="77777777" w:rsidR="00282EAD" w:rsidRDefault="00282EAD" w:rsidP="00282EAD">
      <w:pPr>
        <w:spacing w:after="0" w:line="276" w:lineRule="auto"/>
        <w:rPr>
          <w:rFonts w:ascii="Verdana" w:eastAsia="Geomanist Light" w:hAnsi="Verdana" w:cs="Arial"/>
          <w:color w:val="000000" w:themeColor="text1"/>
          <w:lang w:val="es-ES"/>
        </w:rPr>
      </w:pPr>
    </w:p>
    <w:p w14:paraId="1ACBB537" w14:textId="77777777" w:rsidR="00282EAD" w:rsidRDefault="00282EAD" w:rsidP="00282EAD">
      <w:pPr>
        <w:spacing w:after="0" w:line="276" w:lineRule="auto"/>
        <w:rPr>
          <w:rFonts w:ascii="Verdana" w:eastAsia="Geomanist Light" w:hAnsi="Verdana" w:cs="Arial"/>
          <w:color w:val="000000" w:themeColor="text1"/>
          <w:lang w:val="es-ES"/>
        </w:rPr>
      </w:pPr>
    </w:p>
    <w:p w14:paraId="13F3C32B" w14:textId="77777777" w:rsidR="00282EAD" w:rsidRDefault="00282EAD" w:rsidP="00282EAD">
      <w:pPr>
        <w:spacing w:after="0" w:line="276" w:lineRule="auto"/>
        <w:rPr>
          <w:rFonts w:ascii="Verdana" w:eastAsia="Geomanist Light" w:hAnsi="Verdana" w:cs="Arial"/>
          <w:color w:val="000000" w:themeColor="text1"/>
          <w:lang w:val="es-ES"/>
        </w:rPr>
      </w:pPr>
    </w:p>
    <w:p w14:paraId="231267EB" w14:textId="6EA0D730" w:rsidR="00AE6E67" w:rsidRPr="00AE6E67" w:rsidRDefault="00AE6E67" w:rsidP="00AE6E67">
      <w:pPr>
        <w:spacing w:after="0" w:line="240" w:lineRule="auto"/>
        <w:rPr>
          <w:rFonts w:ascii="Verdana" w:eastAsia="Geomanist Light" w:hAnsi="Verdana" w:cs="Arial"/>
          <w:color w:val="201F1E"/>
        </w:rPr>
      </w:pPr>
      <w:r w:rsidRPr="00AE6E67">
        <w:rPr>
          <w:rFonts w:ascii="Verdana" w:eastAsia="Geomanist Light" w:hAnsi="Verdana" w:cs="Arial"/>
          <w:color w:val="000000" w:themeColor="text1"/>
        </w:rPr>
        <w:lastRenderedPageBreak/>
        <w:t>Bogotá D.C., </w:t>
      </w:r>
      <w:r w:rsidR="004831EF">
        <w:rPr>
          <w:rFonts w:ascii="Verdana" w:eastAsia="Geomanist Light" w:hAnsi="Verdana" w:cs="Arial"/>
          <w:color w:val="201F1E"/>
        </w:rPr>
        <w:t>19 de diciembre de 2025</w:t>
      </w:r>
    </w:p>
    <w:p w14:paraId="14295939" w14:textId="77777777" w:rsidR="00AE6E67" w:rsidRPr="00AE6E67" w:rsidRDefault="00AE6E67" w:rsidP="00AE6E67">
      <w:pPr>
        <w:spacing w:after="0" w:line="240" w:lineRule="auto"/>
        <w:jc w:val="both"/>
        <w:rPr>
          <w:rFonts w:ascii="Verdana" w:eastAsia="Calibri" w:hAnsi="Verdana" w:cs="Arial"/>
          <w:color w:val="000000"/>
        </w:rPr>
      </w:pPr>
    </w:p>
    <w:p w14:paraId="115091B0" w14:textId="16D21AE8" w:rsidR="00AE6E67" w:rsidRPr="00AE6E67" w:rsidRDefault="004831EF" w:rsidP="004831EF">
      <w:pPr>
        <w:spacing w:after="0" w:line="240" w:lineRule="auto"/>
        <w:jc w:val="right"/>
        <w:rPr>
          <w:rFonts w:ascii="Verdana" w:eastAsia="Calibri" w:hAnsi="Verdana" w:cs="Arial"/>
          <w:color w:val="000000"/>
        </w:rPr>
      </w:pPr>
      <w:r w:rsidRPr="004831EF">
        <w:rPr>
          <w:rFonts w:ascii="Verdana" w:eastAsia="Calibri" w:hAnsi="Verdana" w:cs="Arial"/>
          <w:noProof/>
          <w:color w:val="000000"/>
        </w:rPr>
        <w:drawing>
          <wp:inline distT="0" distB="0" distL="0" distR="0" wp14:anchorId="67CEF8D6" wp14:editId="5D54F4B6">
            <wp:extent cx="2994660" cy="937260"/>
            <wp:effectExtent l="0" t="0" r="0" b="0"/>
            <wp:docPr id="986717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994660" cy="937260"/>
                    </a:xfrm>
                    <a:prstGeom prst="rect">
                      <a:avLst/>
                    </a:prstGeom>
                    <a:noFill/>
                    <a:ln>
                      <a:noFill/>
                    </a:ln>
                  </pic:spPr>
                </pic:pic>
              </a:graphicData>
            </a:graphic>
          </wp:inline>
        </w:drawing>
      </w:r>
    </w:p>
    <w:p w14:paraId="5AF1C655" w14:textId="77777777" w:rsidR="00AE6E67" w:rsidRPr="00AE6E67" w:rsidRDefault="00AE6E67" w:rsidP="00AE6E67">
      <w:pPr>
        <w:spacing w:after="0" w:line="240" w:lineRule="auto"/>
        <w:jc w:val="both"/>
        <w:rPr>
          <w:rFonts w:ascii="Verdana" w:eastAsia="Calibri" w:hAnsi="Verdana" w:cs="Arial"/>
          <w:lang w:eastAsia="es-ES"/>
        </w:rPr>
      </w:pPr>
      <w:r w:rsidRPr="00AE6E67">
        <w:rPr>
          <w:rFonts w:ascii="Verdana" w:eastAsia="Calibri" w:hAnsi="Verdana" w:cs="Arial"/>
          <w:lang w:eastAsia="es-ES"/>
        </w:rPr>
        <w:t>Señora</w:t>
      </w:r>
    </w:p>
    <w:p w14:paraId="085289F7" w14:textId="77777777" w:rsidR="00AE6E67" w:rsidRPr="00AE6E67" w:rsidRDefault="00AE6E67" w:rsidP="00AE6E67">
      <w:pPr>
        <w:spacing w:after="0" w:line="240" w:lineRule="auto"/>
        <w:rPr>
          <w:rFonts w:ascii="Verdana" w:eastAsia="Calibri" w:hAnsi="Verdana" w:cs="Arial"/>
          <w:b/>
          <w:lang w:eastAsia="es-ES"/>
        </w:rPr>
      </w:pPr>
      <w:r w:rsidRPr="00AE6E67">
        <w:rPr>
          <w:rFonts w:ascii="Verdana" w:eastAsia="Calibri" w:hAnsi="Verdana" w:cs="Arial"/>
          <w:b/>
          <w:lang w:eastAsia="es-ES"/>
        </w:rPr>
        <w:t>Yuliana Andrea Machado Escobar</w:t>
      </w:r>
    </w:p>
    <w:p w14:paraId="61838F76" w14:textId="77777777" w:rsidR="00AE6E67" w:rsidRPr="00AE6E67" w:rsidRDefault="00AE6E67" w:rsidP="00AE6E67">
      <w:pPr>
        <w:spacing w:after="0" w:line="240" w:lineRule="auto"/>
        <w:rPr>
          <w:rFonts w:ascii="Verdana" w:hAnsi="Verdana"/>
        </w:rPr>
      </w:pPr>
      <w:hyperlink r:id="rId12" w:history="1"/>
      <w:hyperlink r:id="rId13" w:history="1">
        <w:r w:rsidRPr="00AE6E67">
          <w:rPr>
            <w:rFonts w:ascii="Verdana" w:hAnsi="Verdana"/>
            <w:color w:val="0563C1" w:themeColor="hyperlink"/>
            <w:u w:val="single"/>
          </w:rPr>
          <w:t>andreamachadoe@gmail.com</w:t>
        </w:r>
      </w:hyperlink>
      <w:r w:rsidRPr="00AE6E67">
        <w:rPr>
          <w:rFonts w:ascii="Verdana" w:hAnsi="Verdana"/>
        </w:rPr>
        <w:t xml:space="preserve"> </w:t>
      </w:r>
    </w:p>
    <w:p w14:paraId="0F238DB1" w14:textId="77777777" w:rsidR="00AE6E67" w:rsidRPr="00AE6E67" w:rsidRDefault="00AE6E67" w:rsidP="00AE6E67">
      <w:pPr>
        <w:spacing w:after="0" w:line="240" w:lineRule="auto"/>
        <w:rPr>
          <w:rFonts w:ascii="Verdana" w:hAnsi="Verdana"/>
        </w:rPr>
      </w:pPr>
      <w:r w:rsidRPr="00AE6E67">
        <w:rPr>
          <w:rFonts w:ascii="Verdana" w:hAnsi="Verdana"/>
        </w:rPr>
        <w:t xml:space="preserve">Medellín, Antioquia </w:t>
      </w:r>
    </w:p>
    <w:p w14:paraId="61FF8163" w14:textId="77777777" w:rsidR="00AE6E67" w:rsidRPr="00AE6E67" w:rsidRDefault="00AE6E67" w:rsidP="00AE6E67">
      <w:pPr>
        <w:spacing w:after="0" w:line="240" w:lineRule="auto"/>
        <w:rPr>
          <w:rFonts w:ascii="Verdana" w:eastAsia="Calibri" w:hAnsi="Verdana" w:cs="Arial"/>
          <w:lang w:eastAsia="es-ES"/>
        </w:rPr>
      </w:pPr>
    </w:p>
    <w:p w14:paraId="221394C0" w14:textId="77777777" w:rsidR="00AE6E67" w:rsidRPr="00AE6E67" w:rsidRDefault="00AE6E67" w:rsidP="00AE6E67">
      <w:pPr>
        <w:spacing w:after="0" w:line="240" w:lineRule="auto"/>
        <w:rPr>
          <w:rFonts w:ascii="Verdana" w:eastAsia="Calibri" w:hAnsi="Verdana" w:cs="Arial"/>
          <w:b/>
          <w:bCs/>
          <w:color w:val="000000"/>
          <w:lang w:eastAsia="es-ES_tradnl"/>
        </w:rPr>
      </w:pPr>
    </w:p>
    <w:p w14:paraId="643E3ECC" w14:textId="77777777" w:rsidR="00AE6E67" w:rsidRPr="00AE6E67" w:rsidRDefault="00AE6E67" w:rsidP="00AE6E67">
      <w:pPr>
        <w:spacing w:after="0" w:line="240" w:lineRule="auto"/>
        <w:jc w:val="center"/>
        <w:rPr>
          <w:rFonts w:ascii="Verdana" w:eastAsia="Calibri" w:hAnsi="Verdana" w:cs="Arial"/>
          <w:b/>
          <w:bCs/>
          <w:lang w:eastAsia="es-ES"/>
        </w:rPr>
      </w:pPr>
      <w:r w:rsidRPr="00AE6E67">
        <w:rPr>
          <w:rFonts w:ascii="Verdana" w:eastAsia="Calibri" w:hAnsi="Verdana" w:cs="Arial"/>
          <w:b/>
          <w:bCs/>
          <w:lang w:eastAsia="es-ES"/>
        </w:rPr>
        <w:t>Concepto C – 1682 de 2025</w:t>
      </w:r>
    </w:p>
    <w:p w14:paraId="42FC0907" w14:textId="77777777" w:rsidR="00AE6E67" w:rsidRPr="00AE6E67" w:rsidRDefault="00AE6E67" w:rsidP="00AE6E67">
      <w:pPr>
        <w:spacing w:after="0" w:line="240"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E6E67" w:rsidRPr="00AE6E67" w14:paraId="27C0B8BD" w14:textId="77777777" w:rsidTr="00DD5BED">
        <w:trPr>
          <w:trHeight w:val="884"/>
        </w:trPr>
        <w:tc>
          <w:tcPr>
            <w:tcW w:w="2689" w:type="dxa"/>
            <w:hideMark/>
          </w:tcPr>
          <w:p w14:paraId="59F3211E" w14:textId="77777777" w:rsidR="00AE6E67" w:rsidRPr="00AE6E67" w:rsidRDefault="00AE6E67" w:rsidP="00AE6E67">
            <w:pPr>
              <w:jc w:val="both"/>
              <w:rPr>
                <w:rFonts w:ascii="Verdana" w:eastAsia="Calibri" w:hAnsi="Verdana" w:cs="Arial"/>
                <w:color w:val="000000"/>
                <w:lang w:eastAsia="es-ES_tradnl"/>
              </w:rPr>
            </w:pPr>
            <w:r w:rsidRPr="00AE6E67">
              <w:rPr>
                <w:rFonts w:ascii="Verdana" w:eastAsia="Calibri" w:hAnsi="Verdana" w:cs="Arial"/>
                <w:b/>
                <w:color w:val="000000"/>
                <w:lang w:eastAsia="es-ES_tradnl"/>
              </w:rPr>
              <w:t>Temas:</w:t>
            </w:r>
            <w:r w:rsidRPr="00AE6E67">
              <w:rPr>
                <w:rFonts w:ascii="Verdana" w:eastAsia="Calibri" w:hAnsi="Verdana" w:cs="Arial"/>
                <w:color w:val="000000"/>
                <w:lang w:eastAsia="es-ES_tradnl"/>
              </w:rPr>
              <w:t xml:space="preserve">                   </w:t>
            </w:r>
          </w:p>
        </w:tc>
        <w:tc>
          <w:tcPr>
            <w:tcW w:w="6100" w:type="dxa"/>
          </w:tcPr>
          <w:p w14:paraId="5F4A51FD" w14:textId="77777777" w:rsidR="00AE6E67" w:rsidRPr="00AE6E67" w:rsidRDefault="00AE6E67" w:rsidP="00AE6E67">
            <w:pPr>
              <w:jc w:val="both"/>
              <w:rPr>
                <w:rFonts w:ascii="Verdana" w:eastAsia="Arial" w:hAnsi="Verdana"/>
                <w:lang w:val="es-ES" w:eastAsia="es-ES_tradnl"/>
              </w:rPr>
            </w:pPr>
            <w:r w:rsidRPr="00AE6E67">
              <w:rPr>
                <w:rFonts w:ascii="Verdana" w:eastAsia="Calibri" w:hAnsi="Verdana"/>
                <w:color w:val="000000" w:themeColor="text1"/>
                <w:lang w:val="es-ES"/>
              </w:rPr>
              <w:t xml:space="preserve">CONTRATOS ESTATALES MIXTOS </w:t>
            </w:r>
            <w:r w:rsidRPr="00AE6E67">
              <w:rPr>
                <w:rFonts w:ascii="Verdana" w:hAnsi="Verdana"/>
                <w:lang w:val="es-ES"/>
              </w:rPr>
              <w:t xml:space="preserve">– Régimen contractual – Uniones de contratos – Diferencias / </w:t>
            </w:r>
            <w:r w:rsidRPr="00AE6E67">
              <w:rPr>
                <w:rFonts w:ascii="Verdana" w:eastAsia="Calibri" w:hAnsi="Verdana"/>
                <w:color w:val="000000" w:themeColor="text1"/>
                <w:lang w:val="es-ES"/>
              </w:rPr>
              <w:t xml:space="preserve">CONTRATOS ESTATALES MIXTOS – Método de absorción / </w:t>
            </w:r>
            <w:r w:rsidRPr="00AE6E67">
              <w:rPr>
                <w:rFonts w:ascii="Verdana" w:eastAsia="Arial" w:hAnsi="Verdana"/>
                <w:lang w:val="es-ES" w:eastAsia="es-ES_tradnl"/>
              </w:rPr>
              <w:t>CONTRATOS ATIPICOS – Definición – Entidades sometidas – EGCAP / CONTRATOS ATIPICOS – Elementos – Autonomía de la voluntad</w:t>
            </w:r>
            <w:r w:rsidRPr="00AE6E67">
              <w:rPr>
                <w:rFonts w:ascii="Verdana" w:eastAsia="Times New Roman" w:hAnsi="Verdana"/>
                <w:lang w:val="es-ES_tradnl" w:eastAsia="es-ES_tradnl"/>
              </w:rPr>
              <w:t xml:space="preserve"> </w:t>
            </w:r>
          </w:p>
          <w:p w14:paraId="41384BCC" w14:textId="77777777" w:rsidR="00AE6E67" w:rsidRPr="00AE6E67" w:rsidRDefault="00AE6E67" w:rsidP="00AE6E67">
            <w:pPr>
              <w:jc w:val="both"/>
              <w:rPr>
                <w:rFonts w:ascii="Verdana" w:eastAsia="Calibri" w:hAnsi="Verdana" w:cs="Arial"/>
                <w:lang w:eastAsia="es-ES"/>
              </w:rPr>
            </w:pPr>
          </w:p>
        </w:tc>
      </w:tr>
      <w:tr w:rsidR="00AE6E67" w:rsidRPr="00AE6E67" w14:paraId="4BA10FA8" w14:textId="77777777" w:rsidTr="00DD5BED">
        <w:tc>
          <w:tcPr>
            <w:tcW w:w="2689" w:type="dxa"/>
            <w:hideMark/>
          </w:tcPr>
          <w:p w14:paraId="277BE628" w14:textId="77777777" w:rsidR="00AE6E67" w:rsidRPr="00AE6E67" w:rsidRDefault="00AE6E67" w:rsidP="00AE6E67">
            <w:pPr>
              <w:jc w:val="both"/>
              <w:rPr>
                <w:rFonts w:ascii="Verdana" w:eastAsia="Calibri" w:hAnsi="Verdana" w:cs="Arial"/>
                <w:b/>
                <w:lang w:eastAsia="es-ES_tradnl"/>
              </w:rPr>
            </w:pPr>
            <w:r w:rsidRPr="00AE6E67">
              <w:rPr>
                <w:rFonts w:ascii="Verdana" w:eastAsia="Calibri" w:hAnsi="Verdana" w:cs="Arial"/>
                <w:b/>
                <w:lang w:eastAsia="es-ES_tradnl"/>
              </w:rPr>
              <w:t>Radicación:</w:t>
            </w:r>
            <w:r w:rsidRPr="00AE6E67">
              <w:rPr>
                <w:rFonts w:ascii="Verdana" w:eastAsia="Calibri" w:hAnsi="Verdana" w:cs="Arial"/>
                <w:lang w:eastAsia="es-ES_tradnl"/>
              </w:rPr>
              <w:t xml:space="preserve">               </w:t>
            </w:r>
          </w:p>
        </w:tc>
        <w:tc>
          <w:tcPr>
            <w:tcW w:w="6100" w:type="dxa"/>
            <w:hideMark/>
          </w:tcPr>
          <w:p w14:paraId="5739488C" w14:textId="77777777" w:rsidR="00AE6E67" w:rsidRPr="00AE6E67" w:rsidRDefault="00AE6E67" w:rsidP="00AE6E67">
            <w:pPr>
              <w:jc w:val="both"/>
              <w:rPr>
                <w:rFonts w:ascii="Verdana" w:eastAsia="Calibri" w:hAnsi="Verdana" w:cs="Arial"/>
                <w:lang w:eastAsia="es-ES_tradnl"/>
              </w:rPr>
            </w:pPr>
            <w:r w:rsidRPr="00AE6E67">
              <w:rPr>
                <w:rFonts w:ascii="Verdana" w:eastAsia="Calibri" w:hAnsi="Verdana" w:cs="Arial"/>
                <w:lang w:eastAsia="es-ES_tradnl"/>
              </w:rPr>
              <w:t>Respuesta a la consulta con radicado No. 1_2025_11_13_012827</w:t>
            </w:r>
          </w:p>
        </w:tc>
      </w:tr>
    </w:tbl>
    <w:p w14:paraId="7CE26FFA" w14:textId="77777777" w:rsidR="00AE6E67" w:rsidRPr="00AE6E67" w:rsidRDefault="00AE6E67" w:rsidP="00AE6E67">
      <w:pPr>
        <w:spacing w:after="0" w:line="240" w:lineRule="auto"/>
        <w:jc w:val="both"/>
        <w:rPr>
          <w:rFonts w:ascii="Verdana" w:eastAsia="Calibri" w:hAnsi="Verdana" w:cs="Arial"/>
          <w:color w:val="000000"/>
          <w:lang w:eastAsia="es-ES_tradnl"/>
        </w:rPr>
      </w:pPr>
    </w:p>
    <w:p w14:paraId="15EEC2C2" w14:textId="77777777" w:rsidR="00AE6E67" w:rsidRPr="00AE6E67" w:rsidRDefault="00AE6E67" w:rsidP="00AE6E67">
      <w:pPr>
        <w:spacing w:after="0" w:line="240" w:lineRule="auto"/>
        <w:jc w:val="both"/>
        <w:rPr>
          <w:rFonts w:ascii="Verdana" w:eastAsia="Calibri" w:hAnsi="Verdana" w:cs="Arial"/>
          <w:color w:val="000000"/>
          <w:lang w:eastAsia="es-ES_tradnl"/>
        </w:rPr>
      </w:pPr>
    </w:p>
    <w:p w14:paraId="03B2468D" w14:textId="77777777" w:rsidR="00AE6E67" w:rsidRPr="00AE6E67" w:rsidRDefault="00AE6E67" w:rsidP="00AE6E67">
      <w:pPr>
        <w:spacing w:after="0" w:line="276" w:lineRule="auto"/>
        <w:jc w:val="both"/>
        <w:rPr>
          <w:rFonts w:ascii="Verdana" w:eastAsia="Calibri" w:hAnsi="Verdana" w:cs="Arial"/>
          <w:lang w:eastAsia="es-ES"/>
        </w:rPr>
      </w:pPr>
      <w:r w:rsidRPr="00AE6E67">
        <w:rPr>
          <w:rFonts w:ascii="Verdana" w:eastAsia="Calibri" w:hAnsi="Verdana" w:cs="Arial"/>
          <w:lang w:eastAsia="es-ES"/>
        </w:rPr>
        <w:t xml:space="preserve">Estimada señora Machado: </w:t>
      </w:r>
    </w:p>
    <w:p w14:paraId="694939EE" w14:textId="77777777" w:rsidR="00AE6E67" w:rsidRPr="00AE6E67" w:rsidRDefault="00AE6E67" w:rsidP="00AE6E67">
      <w:pPr>
        <w:tabs>
          <w:tab w:val="left" w:pos="3768"/>
        </w:tabs>
        <w:spacing w:after="0" w:line="276" w:lineRule="auto"/>
        <w:jc w:val="both"/>
        <w:rPr>
          <w:rFonts w:ascii="Verdana" w:eastAsia="Calibri" w:hAnsi="Verdana" w:cs="Arial"/>
          <w:color w:val="000000" w:themeColor="text1"/>
          <w:lang w:eastAsia="es-ES"/>
        </w:rPr>
      </w:pPr>
      <w:r w:rsidRPr="00AE6E67">
        <w:rPr>
          <w:rFonts w:ascii="Verdana" w:eastAsia="Calibri" w:hAnsi="Verdana" w:cs="Arial"/>
          <w:color w:val="000000" w:themeColor="text1"/>
          <w:lang w:eastAsia="es-ES"/>
        </w:rPr>
        <w:tab/>
      </w:r>
    </w:p>
    <w:p w14:paraId="39404DD5" w14:textId="77777777" w:rsidR="00AE6E67" w:rsidRPr="00AE6E67" w:rsidRDefault="00AE6E67" w:rsidP="00AE6E67">
      <w:pPr>
        <w:spacing w:after="0" w:line="276" w:lineRule="auto"/>
        <w:jc w:val="both"/>
        <w:rPr>
          <w:rFonts w:ascii="Verdana" w:eastAsia="Calibri" w:hAnsi="Verdana" w:cs="Arial"/>
          <w:i/>
          <w:iCs/>
          <w:lang w:eastAsia="es-ES"/>
        </w:rPr>
      </w:pPr>
      <w:r w:rsidRPr="00AE6E67">
        <w:rPr>
          <w:rFonts w:ascii="Verdana" w:eastAsia="Calibri" w:hAnsi="Verdana" w:cs="Arial"/>
          <w:color w:val="000000" w:themeColor="text1"/>
          <w:lang w:eastAsia="es-ES"/>
        </w:rPr>
        <w:t>En ejercicio de la competencia otorgada por los artículos 3, numeral 5º, y 11, numeral 8º, del Decreto Ley 4170 de 2011,</w:t>
      </w:r>
      <w:r w:rsidRPr="00AE6E67">
        <w:rPr>
          <w:rFonts w:ascii="Verdana" w:eastAsia="Arial MT" w:hAnsi="Verdana" w:cs="Arial MT"/>
          <w:lang w:eastAsia="es-ES"/>
        </w:rPr>
        <w:t xml:space="preserve"> </w:t>
      </w:r>
      <w:r w:rsidRPr="00AE6E67">
        <w:rPr>
          <w:rFonts w:ascii="Verdana" w:hAnsi="Verdana" w:cs="Arial"/>
          <w:lang w:val="es-ES_tradnl"/>
        </w:rPr>
        <w:t>así como lo establecido en</w:t>
      </w:r>
      <w:r w:rsidRPr="00AE6E67">
        <w:rPr>
          <w:rFonts w:ascii="Verdana" w:hAnsi="Verdana" w:cs="Arial"/>
        </w:rPr>
        <w:t xml:space="preserve"> la Resolución 469 de 2025 expedida por esta Entidad, </w:t>
      </w:r>
      <w:r w:rsidRPr="00AE6E67">
        <w:rPr>
          <w:rFonts w:ascii="Verdana" w:eastAsia="Calibri" w:hAnsi="Verdana" w:cs="Arial"/>
          <w:color w:val="000000" w:themeColor="text1"/>
          <w:lang w:eastAsia="es-ES"/>
        </w:rPr>
        <w:t>la Agencia Nacional de Contratación Pública – Colombia Compra Eficiente responde su solicitud de concepto del 13 de noviembre de 2025,</w:t>
      </w:r>
      <w:r w:rsidRPr="00AE6E67">
        <w:rPr>
          <w:rFonts w:ascii="Verdana" w:eastAsia="Calibri" w:hAnsi="Verdana" w:cs="Arial"/>
          <w:lang w:eastAsia="es-ES"/>
        </w:rPr>
        <w:t xml:space="preserve"> en la cual consulta sobre lo siguiente:</w:t>
      </w:r>
      <w:r w:rsidRPr="00AE6E67">
        <w:rPr>
          <w:rFonts w:ascii="Verdana" w:eastAsia="Calibri" w:hAnsi="Verdana" w:cs="Arial"/>
          <w:i/>
          <w:iCs/>
          <w:lang w:eastAsia="es-ES"/>
        </w:rPr>
        <w:t xml:space="preserve"> </w:t>
      </w:r>
      <w:bookmarkStart w:id="1" w:name="_Hlk95313578"/>
    </w:p>
    <w:p w14:paraId="72F6AD35" w14:textId="77777777" w:rsidR="00AE6E67" w:rsidRPr="00AE6E67" w:rsidRDefault="00AE6E67" w:rsidP="00AE6E67">
      <w:pPr>
        <w:spacing w:after="0" w:line="276" w:lineRule="auto"/>
        <w:jc w:val="both"/>
        <w:rPr>
          <w:rFonts w:ascii="Verdana" w:eastAsia="Calibri" w:hAnsi="Verdana" w:cs="Arial"/>
          <w:i/>
          <w:iCs/>
          <w:lang w:eastAsia="es-ES"/>
        </w:rPr>
      </w:pPr>
    </w:p>
    <w:p w14:paraId="7C5FB95F" w14:textId="77777777" w:rsidR="00AE6E67" w:rsidRPr="00AE6E67" w:rsidRDefault="00AE6E67" w:rsidP="00AE6E67">
      <w:pPr>
        <w:spacing w:after="0" w:line="240" w:lineRule="auto"/>
        <w:ind w:left="709" w:right="709"/>
        <w:jc w:val="both"/>
        <w:rPr>
          <w:rFonts w:ascii="Verdana" w:eastAsia="Arial" w:hAnsi="Verdana" w:cs="Arial"/>
          <w:i/>
          <w:color w:val="000000"/>
          <w:sz w:val="20"/>
          <w:szCs w:val="20"/>
        </w:rPr>
      </w:pPr>
      <w:r w:rsidRPr="00AE6E67">
        <w:rPr>
          <w:rFonts w:ascii="Verdana" w:eastAsia="Arial" w:hAnsi="Verdana" w:cs="Arial"/>
          <w:i/>
          <w:color w:val="000000"/>
          <w:sz w:val="20"/>
          <w:szCs w:val="20"/>
        </w:rPr>
        <w:t>“</w:t>
      </w:r>
      <w:bookmarkEnd w:id="1"/>
      <w:r w:rsidRPr="00AE6E67">
        <w:rPr>
          <w:rFonts w:ascii="Verdana" w:eastAsia="Arial" w:hAnsi="Verdana" w:cs="Arial"/>
          <w:i/>
          <w:color w:val="000000"/>
          <w:sz w:val="20"/>
          <w:szCs w:val="20"/>
        </w:rPr>
        <w:t>Se contempla la suscripción de un contrato que incluye prestaciones de compra de elementos audiovisuales (</w:t>
      </w:r>
      <w:proofErr w:type="spellStart"/>
      <w:r w:rsidRPr="00AE6E67">
        <w:rPr>
          <w:rFonts w:ascii="Verdana" w:eastAsia="Arial" w:hAnsi="Verdana" w:cs="Arial"/>
          <w:i/>
          <w:color w:val="000000"/>
          <w:sz w:val="20"/>
          <w:szCs w:val="20"/>
        </w:rPr>
        <w:t>ej</w:t>
      </w:r>
      <w:proofErr w:type="spellEnd"/>
      <w:r w:rsidRPr="00AE6E67">
        <w:rPr>
          <w:rFonts w:ascii="Verdana" w:eastAsia="Arial" w:hAnsi="Verdana" w:cs="Arial"/>
          <w:i/>
          <w:color w:val="000000"/>
          <w:sz w:val="20"/>
          <w:szCs w:val="20"/>
        </w:rPr>
        <w:t xml:space="preserve">: televisores y </w:t>
      </w:r>
      <w:proofErr w:type="spellStart"/>
      <w:r w:rsidRPr="00AE6E67">
        <w:rPr>
          <w:rFonts w:ascii="Verdana" w:eastAsia="Arial" w:hAnsi="Verdana" w:cs="Arial"/>
          <w:i/>
          <w:color w:val="000000"/>
          <w:sz w:val="20"/>
          <w:szCs w:val="20"/>
        </w:rPr>
        <w:t>videobeam</w:t>
      </w:r>
      <w:proofErr w:type="spellEnd"/>
      <w:r w:rsidRPr="00AE6E67">
        <w:rPr>
          <w:rFonts w:ascii="Verdana" w:eastAsia="Arial" w:hAnsi="Verdana" w:cs="Arial"/>
          <w:i/>
          <w:color w:val="000000"/>
          <w:sz w:val="20"/>
          <w:szCs w:val="20"/>
        </w:rPr>
        <w:t xml:space="preserve">), compra de los respectivos soportes y la instalación de estos últimos (los soportes) a la infraestructura. Se precisa que el valor de los equipos tecnológicos y audiovisuales y sus respectivos </w:t>
      </w:r>
      <w:proofErr w:type="gramStart"/>
      <w:r w:rsidRPr="00AE6E67">
        <w:rPr>
          <w:rFonts w:ascii="Verdana" w:eastAsia="Arial" w:hAnsi="Verdana" w:cs="Arial"/>
          <w:i/>
          <w:color w:val="000000"/>
          <w:sz w:val="20"/>
          <w:szCs w:val="20"/>
        </w:rPr>
        <w:t>soportes,</w:t>
      </w:r>
      <w:proofErr w:type="gramEnd"/>
      <w:r w:rsidRPr="00AE6E67">
        <w:rPr>
          <w:rFonts w:ascii="Verdana" w:eastAsia="Arial" w:hAnsi="Verdana" w:cs="Arial"/>
          <w:i/>
          <w:color w:val="000000"/>
          <w:sz w:val="20"/>
          <w:szCs w:val="20"/>
        </w:rPr>
        <w:t xml:space="preserve"> es sustancialmente superior al de la instalación, siendo el valor de la instalación una suma irrisoria (2%), </w:t>
      </w:r>
      <w:r w:rsidRPr="00AE6E67">
        <w:rPr>
          <w:rFonts w:ascii="Verdana" w:eastAsia="Arial" w:hAnsi="Verdana" w:cs="Arial"/>
          <w:i/>
          <w:color w:val="000000"/>
          <w:sz w:val="20"/>
          <w:szCs w:val="20"/>
        </w:rPr>
        <w:lastRenderedPageBreak/>
        <w:t>comparada con el costo de los elementos a comprar. En ese sentido, se solicita su concepto respecto: 1. Cuál sería la tipología contractual más adecuada para este tipo de contratación. 2. Es posible realizar dos contratos, uno de suministro y otro de instalación. 3.Debería la entidad, realizar un solo contrato con prestaciones mixtas, pero en este caso, cual debería ser su manejo jurídico, en cuanto a la tipología, debería separarse el presupuesto para la compra y el de instalación, a efectos de definir el valor del IVA, contribución especial?”</w:t>
      </w:r>
    </w:p>
    <w:p w14:paraId="7F5759BC" w14:textId="77777777" w:rsidR="00AE6E67" w:rsidRPr="00AE6E67" w:rsidRDefault="00AE6E67" w:rsidP="00AE6E67">
      <w:pPr>
        <w:spacing w:after="0" w:line="240" w:lineRule="auto"/>
        <w:ind w:left="709" w:right="709"/>
        <w:jc w:val="both"/>
      </w:pPr>
    </w:p>
    <w:p w14:paraId="551A749C" w14:textId="77777777" w:rsidR="00AE6E67" w:rsidRPr="00AE6E67" w:rsidRDefault="00AE6E67" w:rsidP="00AE6E67">
      <w:pPr>
        <w:spacing w:after="120" w:line="276" w:lineRule="auto"/>
        <w:ind w:firstLine="709"/>
        <w:jc w:val="both"/>
        <w:rPr>
          <w:rFonts w:ascii="Verdana" w:eastAsia="Calibri" w:hAnsi="Verdana" w:cs="Arial"/>
          <w:color w:val="000000"/>
          <w:lang w:eastAsia="es-ES"/>
        </w:rPr>
      </w:pPr>
      <w:r w:rsidRPr="00AE6E67">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AE6E67">
        <w:rPr>
          <w:rFonts w:ascii="Verdana" w:eastAsia="Calibri" w:hAnsi="Verdana" w:cs="Arial"/>
          <w:color w:val="000000"/>
          <w:szCs w:val="24"/>
          <w:lang w:eastAsia="es-ES_tradnl"/>
        </w:rPr>
        <w:tab/>
      </w:r>
    </w:p>
    <w:p w14:paraId="72F8737D" w14:textId="77777777" w:rsidR="00AE6E67" w:rsidRPr="00AE6E67" w:rsidRDefault="00AE6E67" w:rsidP="00AE6E67">
      <w:pPr>
        <w:spacing w:after="0" w:line="276" w:lineRule="auto"/>
        <w:ind w:firstLine="709"/>
        <w:jc w:val="both"/>
        <w:rPr>
          <w:rFonts w:ascii="Verdana" w:eastAsia="Calibri" w:hAnsi="Verdana" w:cs="Arial"/>
          <w:color w:val="000000"/>
          <w:lang w:eastAsia="es-ES"/>
        </w:rPr>
      </w:pPr>
      <w:r w:rsidRPr="00AE6E67">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AE6E67">
        <w:rPr>
          <w:rFonts w:ascii="Verdana" w:eastAsia="Calibri" w:hAnsi="Verdana" w:cs="Arial"/>
          <w:color w:val="7030A0"/>
          <w:lang w:eastAsia="es-ES"/>
        </w:rPr>
        <w:t xml:space="preserve"> </w:t>
      </w:r>
      <w:r w:rsidRPr="00AE6E67">
        <w:rPr>
          <w:rFonts w:ascii="Verdana" w:eastAsia="Calibri" w:hAnsi="Verdana" w:cs="Arial"/>
          <w:color w:val="000000"/>
          <w:lang w:eastAsia="es-ES"/>
        </w:rPr>
        <w:t>problemas</w:t>
      </w:r>
      <w:r w:rsidRPr="00AE6E67">
        <w:rPr>
          <w:rFonts w:ascii="Verdana" w:eastAsia="Calibri" w:hAnsi="Verdana" w:cs="Arial"/>
          <w:color w:val="7030A0"/>
          <w:lang w:eastAsia="es-ES"/>
        </w:rPr>
        <w:t xml:space="preserve"> </w:t>
      </w:r>
      <w:r w:rsidRPr="00AE6E67">
        <w:rPr>
          <w:rFonts w:ascii="Verdana" w:eastAsia="Calibri" w:hAnsi="Verdana" w:cs="Arial"/>
          <w:color w:val="000000"/>
          <w:lang w:eastAsia="es-ES"/>
        </w:rPr>
        <w:t>jurídicos</w:t>
      </w:r>
      <w:r w:rsidRPr="00AE6E67">
        <w:rPr>
          <w:rFonts w:ascii="Verdana" w:eastAsia="Calibri" w:hAnsi="Verdana" w:cs="Arial"/>
          <w:color w:val="7030A0"/>
          <w:lang w:eastAsia="es-ES"/>
        </w:rPr>
        <w:t xml:space="preserve"> </w:t>
      </w:r>
      <w:r w:rsidRPr="00AE6E67">
        <w:rPr>
          <w:rFonts w:ascii="Verdana" w:eastAsia="Calibri" w:hAnsi="Verdana" w:cs="Arial"/>
          <w:color w:val="000000"/>
          <w:lang w:eastAsia="es-ES"/>
        </w:rPr>
        <w:t xml:space="preserve">de su consulta. </w:t>
      </w:r>
    </w:p>
    <w:p w14:paraId="4073750D" w14:textId="77777777" w:rsidR="00AE6E67" w:rsidRPr="00AE6E67" w:rsidRDefault="00AE6E67" w:rsidP="00AE6E67">
      <w:pPr>
        <w:spacing w:after="0" w:line="276" w:lineRule="auto"/>
        <w:ind w:firstLine="709"/>
        <w:jc w:val="both"/>
        <w:rPr>
          <w:rFonts w:ascii="Verdana" w:eastAsia="Calibri" w:hAnsi="Verdana" w:cs="Arial"/>
          <w:color w:val="000000"/>
          <w:lang w:eastAsia="es-ES"/>
        </w:rPr>
      </w:pPr>
    </w:p>
    <w:p w14:paraId="285E4A44" w14:textId="77777777" w:rsidR="00AE6E67" w:rsidRPr="00AE6E67" w:rsidRDefault="00AE6E67" w:rsidP="00AE6E67">
      <w:pPr>
        <w:numPr>
          <w:ilvl w:val="0"/>
          <w:numId w:val="37"/>
        </w:numPr>
        <w:tabs>
          <w:tab w:val="left" w:pos="142"/>
          <w:tab w:val="left" w:pos="284"/>
        </w:tabs>
        <w:spacing w:after="0" w:line="276" w:lineRule="auto"/>
        <w:jc w:val="both"/>
        <w:rPr>
          <w:rFonts w:ascii="Verdana" w:eastAsia="Century Gothic" w:hAnsi="Verdana" w:cs="Century Gothic"/>
          <w:b/>
          <w:bCs/>
        </w:rPr>
      </w:pPr>
      <w:r w:rsidRPr="00AE6E67">
        <w:rPr>
          <w:rFonts w:ascii="Verdana" w:eastAsia="Century Gothic" w:hAnsi="Verdana" w:cs="Century Gothic"/>
          <w:b/>
          <w:bCs/>
        </w:rPr>
        <w:t>Problemas planteados:</w:t>
      </w:r>
    </w:p>
    <w:p w14:paraId="4453E4AD" w14:textId="77777777" w:rsidR="00AE6E67" w:rsidRPr="00AE6E67" w:rsidRDefault="00AE6E67" w:rsidP="00AE6E67">
      <w:pPr>
        <w:tabs>
          <w:tab w:val="left" w:pos="426"/>
        </w:tabs>
        <w:spacing w:after="0" w:line="276" w:lineRule="auto"/>
        <w:jc w:val="both"/>
        <w:rPr>
          <w:rFonts w:ascii="Verdana" w:eastAsia="Century Gothic" w:hAnsi="Verdana" w:cs="Century Gothic"/>
        </w:rPr>
      </w:pPr>
    </w:p>
    <w:p w14:paraId="61788FBF" w14:textId="77777777" w:rsidR="00AE6E67" w:rsidRPr="00AE6E67" w:rsidRDefault="00AE6E67" w:rsidP="00AE6E67">
      <w:pPr>
        <w:spacing w:after="0" w:line="276" w:lineRule="auto"/>
        <w:jc w:val="both"/>
        <w:rPr>
          <w:rFonts w:ascii="Verdana" w:eastAsia="Century Gothic" w:hAnsi="Verdana" w:cs="Century Gothic"/>
          <w:color w:val="7030A0"/>
          <w:lang w:val="es-ES"/>
        </w:rPr>
      </w:pPr>
      <w:r w:rsidRPr="00AE6E67">
        <w:rPr>
          <w:rFonts w:ascii="Verdana" w:eastAsia="Century Gothic" w:hAnsi="Verdana" w:cs="Century Gothic"/>
        </w:rPr>
        <w:t xml:space="preserve">De acuerdo con el contenido de su solicitud, esta Agencia resolverá el siguiente problema jurídico: </w:t>
      </w:r>
      <w:r w:rsidRPr="00AE6E67">
        <w:rPr>
          <w:rFonts w:ascii="Verdana" w:eastAsia="Century Gothic" w:hAnsi="Verdana" w:cs="Century Gothic"/>
          <w:lang w:val="es-ES"/>
        </w:rPr>
        <w:t xml:space="preserve">¿Es posible que las Entidades Estatales estipulen </w:t>
      </w:r>
      <w:r w:rsidRPr="00AE6E67">
        <w:rPr>
          <w:rFonts w:ascii="Verdana" w:hAnsi="Verdana" w:cs="Arial"/>
          <w:lang w:val="es-ES" w:eastAsia="es-ES_tradnl"/>
        </w:rPr>
        <w:t>“objetos simultáneos”, “pluralidad de objetos” o “prestaciones mixtas” en un proceso de contratación</w:t>
      </w:r>
      <w:r w:rsidRPr="00AE6E67">
        <w:rPr>
          <w:rFonts w:ascii="Verdana" w:eastAsia="Century Gothic" w:hAnsi="Verdana" w:cs="Century Gothic"/>
          <w:lang w:val="es-ES"/>
        </w:rPr>
        <w:t>?</w:t>
      </w:r>
    </w:p>
    <w:p w14:paraId="692F767D" w14:textId="77777777" w:rsidR="00AE6E67" w:rsidRPr="00AE6E67" w:rsidRDefault="00AE6E67" w:rsidP="00AE6E67">
      <w:pPr>
        <w:spacing w:after="0" w:line="276" w:lineRule="auto"/>
        <w:jc w:val="both"/>
        <w:rPr>
          <w:rFonts w:ascii="Verdana" w:eastAsia="Calibri" w:hAnsi="Verdana" w:cs="Arial"/>
          <w:color w:val="7030A0"/>
        </w:rPr>
      </w:pPr>
    </w:p>
    <w:p w14:paraId="5CE18D06" w14:textId="77777777" w:rsidR="00AE6E67" w:rsidRPr="00AE6E67" w:rsidRDefault="00AE6E67" w:rsidP="00AE6E67">
      <w:pPr>
        <w:numPr>
          <w:ilvl w:val="0"/>
          <w:numId w:val="37"/>
        </w:numPr>
        <w:tabs>
          <w:tab w:val="left" w:pos="142"/>
          <w:tab w:val="left" w:pos="284"/>
        </w:tabs>
        <w:spacing w:after="0" w:line="276" w:lineRule="auto"/>
        <w:jc w:val="both"/>
        <w:rPr>
          <w:rFonts w:ascii="Verdana" w:eastAsia="Century Gothic" w:hAnsi="Verdana" w:cs="Century Gothic"/>
          <w:b/>
          <w:bCs/>
        </w:rPr>
      </w:pPr>
      <w:r w:rsidRPr="00AE6E67">
        <w:rPr>
          <w:rFonts w:ascii="Verdana" w:eastAsia="Century Gothic" w:hAnsi="Verdana" w:cs="Century Gothic"/>
          <w:b/>
          <w:bCs/>
        </w:rPr>
        <w:t>Respuestas:</w:t>
      </w:r>
    </w:p>
    <w:p w14:paraId="53EC036F" w14:textId="77777777" w:rsidR="00AE6E67" w:rsidRPr="00AE6E67" w:rsidRDefault="00AE6E67" w:rsidP="00AE6E67">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E6E67" w:rsidRPr="00AE6E67" w14:paraId="7CA580BD" w14:textId="77777777" w:rsidTr="00DD5BED">
        <w:trPr>
          <w:jc w:val="center"/>
        </w:trPr>
        <w:tc>
          <w:tcPr>
            <w:tcW w:w="8828" w:type="dxa"/>
            <w:tcBorders>
              <w:top w:val="dotted" w:sz="4" w:space="0" w:color="auto"/>
              <w:left w:val="dotted" w:sz="4" w:space="0" w:color="auto"/>
              <w:bottom w:val="dotted" w:sz="4" w:space="0" w:color="auto"/>
              <w:right w:val="dotted" w:sz="4" w:space="0" w:color="auto"/>
            </w:tcBorders>
            <w:hideMark/>
          </w:tcPr>
          <w:p w14:paraId="204C9484" w14:textId="77777777" w:rsidR="00AE6E67" w:rsidRPr="00AE6E67" w:rsidRDefault="00AE6E67" w:rsidP="00AE6E67">
            <w:pPr>
              <w:spacing w:before="120" w:after="120" w:line="276" w:lineRule="auto"/>
              <w:jc w:val="both"/>
              <w:rPr>
                <w:rFonts w:ascii="Verdana" w:hAnsi="Verdana"/>
                <w:lang w:val="es-ES"/>
              </w:rPr>
            </w:pPr>
            <w:bookmarkStart w:id="2" w:name="_Hlk171694685"/>
            <w:r w:rsidRPr="00AE6E67">
              <w:rPr>
                <w:rFonts w:ascii="Verdana" w:hAnsi="Verdana"/>
                <w:lang w:val="es-ES"/>
              </w:rPr>
              <w:lastRenderedPageBreak/>
              <w:t xml:space="preserve">La Ley 80 de 1993 facultó a las Entidades Estatales para que, en aplicación del principio de autonomía de la voluntad, determinen el tipo de contrato que mejor se ajuste al interés general y a la satisfacción de su necesidad, por lo que pueden pactar en sus contratos las cláusulas necesarias para ese fin. En consecuencia, </w:t>
            </w:r>
            <w:r w:rsidRPr="00AE6E67">
              <w:rPr>
                <w:rFonts w:ascii="Verdana" w:eastAsia="Calibri" w:hAnsi="Verdana"/>
                <w:color w:val="000000" w:themeColor="text1"/>
                <w:lang w:val="es-ES"/>
              </w:rPr>
              <w:t>es posible que las entidades celebren contratos</w:t>
            </w:r>
            <w:r w:rsidRPr="00AE6E67">
              <w:rPr>
                <w:rFonts w:ascii="Verdana" w:eastAsia="Calibri" w:hAnsi="Verdana"/>
                <w:i/>
                <w:iCs/>
                <w:color w:val="000000" w:themeColor="text1"/>
                <w:lang w:val="es-ES"/>
              </w:rPr>
              <w:t xml:space="preserve"> </w:t>
            </w:r>
            <w:r w:rsidRPr="00AE6E67">
              <w:rPr>
                <w:rFonts w:ascii="Verdana" w:eastAsia="Calibri" w:hAnsi="Verdana"/>
                <w:color w:val="000000" w:themeColor="text1"/>
                <w:lang w:val="es-ES"/>
              </w:rPr>
              <w:t>que incluyan prestaciones correspondientes a varios tipos o clases de negocios jurídicos, y que tengan la naturaleza de contratos atípicos o innominados.</w:t>
            </w:r>
          </w:p>
          <w:p w14:paraId="34EA419A" w14:textId="77777777" w:rsidR="00AE6E67" w:rsidRPr="00AE6E67" w:rsidRDefault="00AE6E67" w:rsidP="00AE6E67">
            <w:pPr>
              <w:spacing w:before="120" w:after="120" w:line="276" w:lineRule="auto"/>
              <w:ind w:firstLine="709"/>
              <w:jc w:val="both"/>
              <w:rPr>
                <w:rFonts w:ascii="Verdana" w:eastAsia="Calibri" w:hAnsi="Verdana" w:cs="Arial"/>
                <w:lang w:val="es-ES"/>
              </w:rPr>
            </w:pPr>
            <w:r w:rsidRPr="00AE6E67">
              <w:rPr>
                <w:rFonts w:ascii="Verdana" w:eastAsia="Calibri" w:hAnsi="Verdana"/>
                <w:color w:val="000000" w:themeColor="text1"/>
                <w:lang w:val="es-ES"/>
              </w:rPr>
              <w:t xml:space="preserve">De esta manera, como una forma de contratación atípica, los </w:t>
            </w:r>
            <w:r w:rsidRPr="00AE6E67">
              <w:rPr>
                <w:rFonts w:ascii="Verdana" w:eastAsia="Calibri" w:hAnsi="Verdana"/>
                <w:i/>
                <w:iCs/>
                <w:color w:val="000000" w:themeColor="text1"/>
                <w:lang w:val="es-ES"/>
              </w:rPr>
              <w:t>contratos mixtos</w:t>
            </w:r>
            <w:r w:rsidRPr="00AE6E67">
              <w:rPr>
                <w:rFonts w:ascii="Verdana" w:eastAsia="Calibri" w:hAnsi="Verdana"/>
                <w:color w:val="000000" w:themeColor="text1"/>
                <w:lang w:val="es-ES"/>
              </w:rPr>
              <w:t xml:space="preserve"> se caracterizan por acumular prestaciones de varios contratos nominados para satisfacer una necesidad común. Al respecto, la Sala de Consulta y Servicio Civil del Consejo de Estado ha señalado que es posible que las entidades celebren contratos mixtos que contengan prestaciones correspondientes a varias tipologías contractuales, y en los cuales existe un solo contrato que contiene una prestación principal y unas accesorias que guardan relación directa con la principal.</w:t>
            </w:r>
            <w:r w:rsidRPr="00AE6E67">
              <w:rPr>
                <w:rFonts w:ascii="Verdana" w:hAnsi="Verdana" w:cs="Arial"/>
                <w:lang w:val="es-ES" w:eastAsia="es-ES_tradnl"/>
              </w:rPr>
              <w:t xml:space="preserve"> Frente a estos, el Consejo de Estado dispuso que, ante la ausencia y vacío legislativo, se deberá utilizar como criterio de interpretación que ayude a dilucidar esta situación el de atender al carácter de la prestación principal. Este permitirá determinar </w:t>
            </w:r>
            <w:r w:rsidRPr="00AE6E67">
              <w:rPr>
                <w:rFonts w:ascii="Verdana" w:eastAsia="Calibri" w:hAnsi="Verdana" w:cs="Arial"/>
                <w:lang w:val="es-ES"/>
              </w:rPr>
              <w:t>el “objeto principal”, por ejemplo, considerando la prestación que represente un mayor valor, previa justificación en los Documentos del Proceso.</w:t>
            </w:r>
          </w:p>
          <w:p w14:paraId="19E38CE3" w14:textId="77777777" w:rsidR="00AE6E67" w:rsidRPr="00AE6E67" w:rsidRDefault="00AE6E67" w:rsidP="00AE6E67">
            <w:pPr>
              <w:spacing w:before="120" w:after="120" w:line="276" w:lineRule="auto"/>
              <w:ind w:firstLine="708"/>
              <w:jc w:val="both"/>
              <w:rPr>
                <w:rFonts w:ascii="Verdana" w:hAnsi="Verdana" w:cs="Arial"/>
                <w:lang w:val="es-ES" w:eastAsia="es-ES_tradnl"/>
              </w:rPr>
            </w:pPr>
            <w:r w:rsidRPr="00AE6E67">
              <w:rPr>
                <w:rFonts w:ascii="Verdana" w:hAnsi="Verdana" w:cs="Arial"/>
                <w:lang w:val="es-ES" w:eastAsia="es-ES_tradnl"/>
              </w:rPr>
              <w:t>La posibilidad de celebrar “contratos mixtos” o pactar “pluralidad de objetos” tiene un límite claro relacionado con la conexidad o vinculación entre las actividades o prestaciones. Al respecto, el Consejo de Estado señala que un elemento esencial será que las prestaciones mixtas se encuentren directamente vinculadas entre sí, de tal manera que mantengan relaciones de complemento y que permitan predicar su tratamiento solo como una unidad funcional dirigida a la satisfacción de la necesidad de la entidad. Además, en estos casos las entidades deberán adoptar las medidas necesarias en los documentos del proceso que garanticen el respeto del principio de selección objetiva.</w:t>
            </w:r>
          </w:p>
          <w:p w14:paraId="49A08F12" w14:textId="77777777" w:rsidR="00AE6E67" w:rsidRPr="00AE6E67" w:rsidRDefault="00AE6E67" w:rsidP="00AE6E67">
            <w:pPr>
              <w:spacing w:after="120" w:line="276" w:lineRule="auto"/>
              <w:ind w:firstLine="708"/>
              <w:jc w:val="both"/>
              <w:rPr>
                <w:rFonts w:ascii="Verdana" w:hAnsi="Verdana" w:cs="Arial"/>
                <w:lang w:val="es-ES" w:eastAsia="es-ES_tradnl"/>
              </w:rPr>
            </w:pPr>
            <w:r w:rsidRPr="00AE6E67">
              <w:rPr>
                <w:rFonts w:ascii="Verdana" w:hAnsi="Verdana" w:cs="Arial"/>
                <w:lang w:val="es-ES" w:eastAsia="es-ES_tradnl"/>
              </w:rPr>
              <w:t xml:space="preserve">De conformidad con lo expuesto, cuando las entidades pretendan pactar contratos mixtos o pluralidad de objetos deberán tener en cuenta el criterio de conexidad entre las prestaciones, así como adoptar las medidas necesarias </w:t>
            </w:r>
            <w:r w:rsidRPr="00AE6E67">
              <w:rPr>
                <w:rFonts w:ascii="Verdana" w:hAnsi="Verdana" w:cs="Arial"/>
                <w:lang w:val="es-ES" w:eastAsia="es-ES_tradnl"/>
              </w:rPr>
              <w:lastRenderedPageBreak/>
              <w:t>en los documentos del proceso que garanticen el respeto del principio de selección objetiva.</w:t>
            </w:r>
          </w:p>
          <w:p w14:paraId="2F9D7EA1"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val="es-ES"/>
              </w:rPr>
              <w:t xml:space="preserve">En este orden de ideas, </w:t>
            </w:r>
            <w:r w:rsidRPr="00AE6E67">
              <w:rPr>
                <w:rFonts w:ascii="Verdana" w:hAnsi="Verdana" w:cs="Arial"/>
                <w:lang w:eastAsia="es-ES_tradnl"/>
              </w:rPr>
              <w:t xml:space="preserve">para establecer el régimen aplicable a los contratos mixtos o con pluralidad de objetos, la entidad estatal debe analizar las circunstancias particulares de cada caso y considerar los criterios fijados que permitan identificar la prestación principal, la finalidad de las partes y la relación de conexidad de las prestaciones.  </w:t>
            </w:r>
          </w:p>
          <w:p w14:paraId="480FBF34" w14:textId="77777777" w:rsidR="00AE6E67" w:rsidRPr="00AE6E67" w:rsidRDefault="00AE6E67" w:rsidP="00AE6E67">
            <w:pPr>
              <w:spacing w:after="120" w:line="276" w:lineRule="auto"/>
              <w:ind w:firstLine="709"/>
              <w:jc w:val="both"/>
              <w:rPr>
                <w:rFonts w:ascii="Verdana" w:hAnsi="Verdana" w:cs="Arial"/>
                <w:lang w:val="es-ES_tradnl"/>
              </w:rPr>
            </w:pPr>
            <w:r w:rsidRPr="00AE6E67">
              <w:rPr>
                <w:rFonts w:ascii="Verdana" w:hAnsi="Verdana" w:cs="Arial"/>
                <w:lang w:eastAsia="es-ES_tradnl"/>
              </w:rPr>
              <w:t>Atendiendo a lo señalado por l</w:t>
            </w:r>
            <w:r w:rsidRPr="00AE6E67">
              <w:rPr>
                <w:rFonts w:ascii="Verdana" w:hAnsi="Verdana" w:cs="Arial"/>
                <w:lang w:val="es-ES_tradnl"/>
              </w:rPr>
              <w:t>a Sala de Consulta y Servicio Civil del Consejo de Estado,</w:t>
            </w:r>
            <w:r w:rsidRPr="00AE6E67">
              <w:rPr>
                <w:rFonts w:ascii="Verdana" w:eastAsia="Calibri" w:hAnsi="Verdana"/>
                <w:color w:val="000000" w:themeColor="text1"/>
              </w:rPr>
              <w:t xml:space="preserve"> adhiriéndose al método de absorción para efectos de integrar el régimen jurídico aplicable,</w:t>
            </w:r>
            <w:r w:rsidRPr="00AE6E67">
              <w:rPr>
                <w:rFonts w:ascii="Verdana" w:hAnsi="Verdana" w:cs="Arial"/>
                <w:lang w:val="es-ES_tradnl"/>
              </w:rPr>
              <w:t xml:space="preserve"> se considera que en el caso referido es fundamental determinar la prestación principal para establecer dicho </w:t>
            </w:r>
            <w:r w:rsidRPr="00AE6E67">
              <w:rPr>
                <w:rFonts w:ascii="Verdana" w:hAnsi="Verdana" w:cs="Arial"/>
                <w:lang w:eastAsia="es-ES_tradnl"/>
              </w:rPr>
              <w:t>régimen</w:t>
            </w:r>
            <w:r w:rsidRPr="00AE6E67">
              <w:rPr>
                <w:rFonts w:ascii="Verdana" w:hAnsi="Verdana" w:cs="Arial"/>
                <w:lang w:val="es-ES_tradnl"/>
              </w:rPr>
              <w:t xml:space="preserve">, </w:t>
            </w:r>
            <w:r w:rsidRPr="00AE6E67">
              <w:rPr>
                <w:rFonts w:ascii="Verdana" w:hAnsi="Verdana" w:cs="Arial"/>
                <w:lang w:eastAsia="es-ES_tradnl"/>
              </w:rPr>
              <w:t xml:space="preserve">teniendo en cuenta que la tipología contractual </w:t>
            </w:r>
            <w:r w:rsidRPr="00AE6E67">
              <w:rPr>
                <w:rFonts w:ascii="Verdana" w:hAnsi="Verdana" w:cs="Arial"/>
                <w:lang w:val="es-ES" w:eastAsia="es-ES_tradnl"/>
              </w:rPr>
              <w:t xml:space="preserve">es importante para definir aspectos como la modalidad de selección que debe utilizar la entidad, los requisitos habilitantes o ponderables que deben incorporar en el pliego de condiciones para la selección objetiva de la mejor oferta y los tributos que se causen.   </w:t>
            </w:r>
          </w:p>
          <w:p w14:paraId="1F270A21"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 xml:space="preserve">Para tales efectos, la entidad estatal podría determinar </w:t>
            </w:r>
            <w:r w:rsidRPr="00AE6E67">
              <w:rPr>
                <w:rFonts w:ascii="Verdana" w:eastAsia="Calibri" w:hAnsi="Verdana" w:cs="Arial"/>
                <w:color w:val="000000" w:themeColor="text1"/>
                <w:lang w:val="es-ES_tradnl"/>
              </w:rPr>
              <w:t>el régimen del contrato típico al que pertenece</w:t>
            </w:r>
            <w:r w:rsidRPr="00AE6E67">
              <w:rPr>
                <w:rFonts w:ascii="Verdana"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los elementos. </w:t>
            </w:r>
          </w:p>
          <w:p w14:paraId="37BC5E78"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de instalación supera significativamente, más del 50 % del presupuesto, o si dichas actividades constituyen la esencia del negocio jurídico, o confluyen ambos criterios, podría concluirse que se trata de un contrato de obra y no de un simple contrato de suministro. </w:t>
            </w:r>
          </w:p>
          <w:p w14:paraId="5080EA33"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 xml:space="preserve">En contraste, si las labores de instalación son secundarias o accesorias, en su valor económico o en su complejidad técnica, y el elemento central del </w:t>
            </w:r>
            <w:r w:rsidRPr="00AE6E67">
              <w:rPr>
                <w:rFonts w:ascii="Verdana" w:hAnsi="Verdana" w:cs="Arial"/>
                <w:lang w:eastAsia="es-ES_tradnl"/>
              </w:rPr>
              <w:lastRenderedPageBreak/>
              <w:t>negocio jurídico es la entrega de los bienes muebles, la naturaleza del contrato correspondería a la de suministro. Esto podría suceder cuando la instalación se limita a ajustes menores, sin afectar la estructura o funcionamiento del inmueble.</w:t>
            </w:r>
          </w:p>
        </w:tc>
      </w:tr>
    </w:tbl>
    <w:p w14:paraId="7448C72C" w14:textId="77777777" w:rsidR="00AE6E67" w:rsidRPr="00AE6E67" w:rsidRDefault="00AE6E67" w:rsidP="00AE6E67">
      <w:pPr>
        <w:tabs>
          <w:tab w:val="left" w:pos="142"/>
          <w:tab w:val="left" w:pos="284"/>
        </w:tabs>
        <w:spacing w:after="0" w:line="276" w:lineRule="auto"/>
        <w:jc w:val="both"/>
        <w:rPr>
          <w:rFonts w:ascii="Verdana" w:eastAsia="Century Gothic" w:hAnsi="Verdana" w:cs="Century Gothic"/>
          <w:b/>
          <w:bCs/>
        </w:rPr>
      </w:pPr>
    </w:p>
    <w:bookmarkEnd w:id="2"/>
    <w:p w14:paraId="270DCE35" w14:textId="77777777" w:rsidR="00AE6E67" w:rsidRPr="00AE6E67" w:rsidRDefault="00AE6E67" w:rsidP="00AE6E67">
      <w:pPr>
        <w:numPr>
          <w:ilvl w:val="0"/>
          <w:numId w:val="37"/>
        </w:numPr>
        <w:tabs>
          <w:tab w:val="left" w:pos="142"/>
          <w:tab w:val="left" w:pos="284"/>
        </w:tabs>
        <w:spacing w:after="0" w:line="276" w:lineRule="auto"/>
        <w:jc w:val="both"/>
        <w:rPr>
          <w:rFonts w:ascii="Verdana" w:eastAsia="Century Gothic" w:hAnsi="Verdana" w:cs="Century Gothic"/>
          <w:b/>
          <w:bCs/>
        </w:rPr>
      </w:pPr>
      <w:r w:rsidRPr="00AE6E67">
        <w:rPr>
          <w:rFonts w:ascii="Verdana" w:eastAsia="Century Gothic" w:hAnsi="Verdana" w:cs="Century Gothic"/>
          <w:b/>
          <w:bCs/>
        </w:rPr>
        <w:t>Razones de las respuestas:</w:t>
      </w:r>
    </w:p>
    <w:p w14:paraId="57AC9E65" w14:textId="77777777" w:rsidR="00AE6E67" w:rsidRPr="00AE6E67" w:rsidRDefault="00AE6E67" w:rsidP="00AE6E67">
      <w:pPr>
        <w:spacing w:after="0" w:line="276" w:lineRule="auto"/>
        <w:jc w:val="both"/>
        <w:rPr>
          <w:rFonts w:ascii="Verdana" w:eastAsia="Calibri" w:hAnsi="Verdana" w:cs="Arial"/>
          <w:color w:val="7030A0"/>
        </w:rPr>
      </w:pPr>
    </w:p>
    <w:p w14:paraId="14456C0D" w14:textId="77777777" w:rsidR="00AE6E67" w:rsidRPr="00AE6E67" w:rsidRDefault="00AE6E67" w:rsidP="00AE6E67">
      <w:pPr>
        <w:spacing w:after="0" w:line="276" w:lineRule="auto"/>
        <w:jc w:val="both"/>
        <w:rPr>
          <w:rFonts w:ascii="Verdana" w:eastAsia="Calibri" w:hAnsi="Verdana" w:cs="Arial"/>
        </w:rPr>
      </w:pPr>
      <w:r w:rsidRPr="00AE6E67">
        <w:rPr>
          <w:rFonts w:ascii="Verdana" w:eastAsia="Calibri" w:hAnsi="Verdana" w:cs="Arial"/>
        </w:rPr>
        <w:t>Lo anterior se sustenta en las siguientes consideraciones:</w:t>
      </w:r>
    </w:p>
    <w:p w14:paraId="464EDCA7" w14:textId="77777777" w:rsidR="00AE6E67" w:rsidRPr="00AE6E67" w:rsidRDefault="00AE6E67" w:rsidP="00AE6E67">
      <w:pPr>
        <w:spacing w:after="0" w:line="276" w:lineRule="auto"/>
        <w:jc w:val="both"/>
        <w:rPr>
          <w:rFonts w:ascii="Verdana" w:eastAsia="Calibri" w:hAnsi="Verdana" w:cs="Arial"/>
        </w:rPr>
      </w:pPr>
    </w:p>
    <w:p w14:paraId="5A73D9C5" w14:textId="77777777" w:rsidR="00AE6E67" w:rsidRPr="00AE6E67" w:rsidRDefault="00AE6E67" w:rsidP="00AE6E67">
      <w:pPr>
        <w:widowControl w:val="0"/>
        <w:autoSpaceDE w:val="0"/>
        <w:autoSpaceDN w:val="0"/>
        <w:spacing w:after="120" w:line="276" w:lineRule="auto"/>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i. El contrato es un “acto jurídico voluntario, una declaración de voluntad, que tiene por objeto establecer una relación jurídica entre dos personas, obligando a la una para con otra a determinada prestación”</w:t>
      </w:r>
      <w:r w:rsidRPr="00AE6E67">
        <w:rPr>
          <w:rFonts w:ascii="Verdana" w:eastAsia="Arial" w:hAnsi="Verdana" w:cs="Arial"/>
          <w:color w:val="000000" w:themeColor="text1"/>
          <w:vertAlign w:val="superscript"/>
          <w:lang w:val="es-ES" w:eastAsia="es-ES_tradnl"/>
        </w:rPr>
        <w:footnoteReference w:id="2"/>
      </w:r>
      <w:r w:rsidRPr="00AE6E67">
        <w:rPr>
          <w:rFonts w:ascii="Verdana" w:eastAsia="Arial" w:hAnsi="Verdana" w:cs="Arial"/>
          <w:color w:val="000000" w:themeColor="text1"/>
          <w:lang w:val="es-ES" w:eastAsia="es-ES_tradnl"/>
        </w:rPr>
        <w:t>. Se trata de un negocio jurídico en el sentido de que es el resultado de un acto dispositivo o de autorregulación de intereses de dos o más sujetos con efectos jurídicos para crear, modificar o extinguir relaciones jurídicas</w:t>
      </w:r>
      <w:r w:rsidRPr="00AE6E67">
        <w:rPr>
          <w:rFonts w:ascii="Verdana" w:eastAsia="Arial" w:hAnsi="Verdana" w:cs="Arial"/>
          <w:color w:val="000000" w:themeColor="text1"/>
          <w:vertAlign w:val="superscript"/>
          <w:lang w:val="es-ES" w:eastAsia="es-ES_tradnl"/>
        </w:rPr>
        <w:footnoteReference w:id="3"/>
      </w:r>
      <w:r w:rsidRPr="00AE6E67">
        <w:rPr>
          <w:rFonts w:ascii="Verdana" w:eastAsia="Arial" w:hAnsi="Verdana" w:cs="Arial"/>
          <w:color w:val="000000" w:themeColor="text1"/>
          <w:lang w:val="es-ES" w:eastAsia="es-ES_tradnl"/>
        </w:rPr>
        <w:t xml:space="preserve">. </w:t>
      </w:r>
    </w:p>
    <w:p w14:paraId="29763202" w14:textId="77777777" w:rsidR="00AE6E67" w:rsidRPr="00AE6E67" w:rsidRDefault="00AE6E67" w:rsidP="00AE6E67">
      <w:pPr>
        <w:widowControl w:val="0"/>
        <w:autoSpaceDE w:val="0"/>
        <w:autoSpaceDN w:val="0"/>
        <w:spacing w:after="120" w:line="276" w:lineRule="auto"/>
        <w:ind w:firstLine="708"/>
        <w:jc w:val="both"/>
        <w:rPr>
          <w:rFonts w:ascii="Verdana" w:eastAsia="Arial" w:hAnsi="Verdana" w:cs="Arial"/>
          <w:color w:val="000000" w:themeColor="text1"/>
          <w:lang w:val="es-ES" w:eastAsia="es-ES"/>
        </w:rPr>
      </w:pPr>
      <w:r w:rsidRPr="00AE6E67">
        <w:rPr>
          <w:rFonts w:ascii="Verdana" w:eastAsia="Arial" w:hAnsi="Verdana" w:cs="Arial"/>
          <w:color w:val="000000" w:themeColor="text1"/>
          <w:lang w:val="es-ES" w:eastAsia="es-ES"/>
        </w:rPr>
        <w:t>En efecto, el artículo 1495 del Código Civil establece que el “[c]</w:t>
      </w:r>
      <w:proofErr w:type="spellStart"/>
      <w:r w:rsidRPr="00AE6E67">
        <w:rPr>
          <w:rFonts w:ascii="Verdana" w:eastAsia="Arial" w:hAnsi="Verdana" w:cs="Arial"/>
          <w:color w:val="000000" w:themeColor="text1"/>
          <w:lang w:val="es-ES" w:eastAsia="es-ES"/>
        </w:rPr>
        <w:t>ontrato</w:t>
      </w:r>
      <w:proofErr w:type="spellEnd"/>
      <w:r w:rsidRPr="00AE6E67">
        <w:rPr>
          <w:rFonts w:ascii="Verdana" w:eastAsia="Arial" w:hAnsi="Verdana" w:cs="Arial"/>
          <w:color w:val="000000" w:themeColor="text1"/>
          <w:lang w:val="es-ES" w:eastAsia="es-ES"/>
        </w:rPr>
        <w:t xml:space="preserve"> o convención es un acto por el cual una parte se obliga para con otra a dar, hacer, o no alguna cosa. Cada parte puede ser de una o muchas personas”. A su turno, el Código de Comercio establece en el artículo 864 que “[e]l contrato es un acuerdo de dos o más partes para constituir, regular o extinguir entre ellas una relación jurídica patrimonial”.</w:t>
      </w:r>
    </w:p>
    <w:p w14:paraId="36694F98" w14:textId="77777777" w:rsidR="00AE6E67" w:rsidRPr="00AE6E67" w:rsidRDefault="00AE6E67" w:rsidP="00AE6E67">
      <w:pPr>
        <w:widowControl w:val="0"/>
        <w:autoSpaceDE w:val="0"/>
        <w:autoSpaceDN w:val="0"/>
        <w:spacing w:after="120" w:line="276" w:lineRule="auto"/>
        <w:ind w:firstLine="708"/>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 xml:space="preserve">Por su parte, el artículo 1º de la Ley 80 de 1993 –Estatuto General de Contratación de la Administración Pública, en adelante EGCAP–, determina que su objetivo es disponer de reglas y principios que rigen los contratos de las Entidades Estatales. En ese sentido, el artículo 32 </w:t>
      </w:r>
      <w:r w:rsidRPr="00AE6E67">
        <w:rPr>
          <w:rFonts w:ascii="Verdana" w:eastAsia="Arial" w:hAnsi="Verdana" w:cs="Arial"/>
          <w:i/>
          <w:iCs/>
          <w:color w:val="000000" w:themeColor="text1"/>
          <w:lang w:val="es-ES" w:eastAsia="es-ES_tradnl"/>
        </w:rPr>
        <w:t>ibidem</w:t>
      </w:r>
      <w:r w:rsidRPr="00AE6E67">
        <w:rPr>
          <w:rFonts w:ascii="Verdana" w:eastAsia="Arial" w:hAnsi="Verdana" w:cs="Arial"/>
          <w:color w:val="000000" w:themeColor="text1"/>
          <w:lang w:val="es-ES" w:eastAsia="es-ES_tradnl"/>
        </w:rPr>
        <w:t xml:space="preserve"> define los contratos estatales como “todos los actos jurídicos, generadores de obligaciones que celebren las entidades a que se refiere este estatuto [art. 2], previstos en el derecho privado o en disposiciones especiales, o derivados del ejercicio de la </w:t>
      </w:r>
      <w:r w:rsidRPr="00AE6E67">
        <w:rPr>
          <w:rFonts w:ascii="Verdana" w:eastAsia="Arial" w:hAnsi="Verdana" w:cs="Arial"/>
          <w:color w:val="000000" w:themeColor="text1"/>
          <w:lang w:val="es-ES" w:eastAsia="es-ES_tradnl"/>
        </w:rPr>
        <w:lastRenderedPageBreak/>
        <w:t xml:space="preserve">autonomía de la voluntad”. </w:t>
      </w:r>
    </w:p>
    <w:p w14:paraId="011F3E08" w14:textId="77777777" w:rsidR="00AE6E67" w:rsidRPr="00AE6E67" w:rsidRDefault="00AE6E67" w:rsidP="00AE6E67">
      <w:pPr>
        <w:widowControl w:val="0"/>
        <w:autoSpaceDE w:val="0"/>
        <w:autoSpaceDN w:val="0"/>
        <w:spacing w:after="0" w:line="276" w:lineRule="auto"/>
        <w:ind w:firstLine="709"/>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 xml:space="preserve">De acuerdo con lo anterior, </w:t>
      </w:r>
      <w:bookmarkStart w:id="3" w:name="_Hlk150759794"/>
      <w:r w:rsidRPr="00AE6E67">
        <w:rPr>
          <w:rFonts w:ascii="Verdana" w:eastAsia="Arial" w:hAnsi="Verdana" w:cs="Arial"/>
          <w:color w:val="000000" w:themeColor="text1"/>
          <w:lang w:val="es-ES" w:eastAsia="es-ES_tradnl"/>
        </w:rPr>
        <w:t>para la definición de contrato estatal basta con que una de las entidades que enumera el artículo 2º de la Ley 80 de 1993</w:t>
      </w:r>
      <w:r w:rsidRPr="00AE6E67">
        <w:rPr>
          <w:rFonts w:ascii="Verdana" w:eastAsia="Arial" w:hAnsi="Verdana" w:cs="Arial"/>
          <w:color w:val="000000" w:themeColor="text1"/>
          <w:vertAlign w:val="superscript"/>
          <w:lang w:val="es-ES" w:eastAsia="es-ES_tradnl"/>
        </w:rPr>
        <w:footnoteReference w:id="4"/>
      </w:r>
      <w:r w:rsidRPr="00AE6E67">
        <w:rPr>
          <w:rFonts w:ascii="Verdana" w:eastAsia="Arial" w:hAnsi="Verdana" w:cs="Arial"/>
          <w:color w:val="000000" w:themeColor="text1"/>
          <w:lang w:val="es-ES" w:eastAsia="es-ES_tradnl"/>
        </w:rPr>
        <w:t xml:space="preserve"> sea una de las partes, sin importar el extremo de la relación jurídico negocial que</w:t>
      </w:r>
      <w:r w:rsidRPr="00AE6E67">
        <w:rPr>
          <w:rFonts w:ascii="Verdana" w:eastAsia="Arial" w:hAnsi="Verdana" w:cs="Arial"/>
          <w:color w:val="000000" w:themeColor="text1"/>
          <w:spacing w:val="-14"/>
          <w:lang w:val="es-ES" w:eastAsia="es-ES_tradnl"/>
        </w:rPr>
        <w:t xml:space="preserve"> </w:t>
      </w:r>
      <w:r w:rsidRPr="00AE6E67">
        <w:rPr>
          <w:rFonts w:ascii="Verdana" w:eastAsia="Arial" w:hAnsi="Verdana" w:cs="Arial"/>
          <w:color w:val="000000" w:themeColor="text1"/>
          <w:lang w:val="es-ES" w:eastAsia="es-ES_tradnl"/>
        </w:rPr>
        <w:t>asuma. Al respecto, el Consejo de Estado ha sostenido que el criterio definitorio de un contrato estatal es que haya sido celebrado por una Entidad Estatal</w:t>
      </w:r>
      <w:bookmarkEnd w:id="3"/>
      <w:r w:rsidRPr="00AE6E67">
        <w:rPr>
          <w:rFonts w:ascii="Verdana" w:eastAsia="Arial" w:hAnsi="Verdana" w:cs="Arial"/>
          <w:color w:val="000000" w:themeColor="text1"/>
          <w:lang w:val="es-ES" w:eastAsia="es-ES_tradnl"/>
        </w:rPr>
        <w:t>:</w:t>
      </w:r>
    </w:p>
    <w:p w14:paraId="269B7B25" w14:textId="77777777" w:rsidR="00AE6E67" w:rsidRPr="00AE6E67" w:rsidRDefault="00AE6E67" w:rsidP="00AE6E67">
      <w:pPr>
        <w:widowControl w:val="0"/>
        <w:autoSpaceDE w:val="0"/>
        <w:autoSpaceDN w:val="0"/>
        <w:spacing w:line="276" w:lineRule="auto"/>
        <w:ind w:firstLine="261"/>
        <w:contextualSpacing/>
        <w:jc w:val="both"/>
        <w:rPr>
          <w:rFonts w:ascii="Verdana" w:eastAsia="Arial" w:hAnsi="Verdana" w:cs="Arial"/>
          <w:color w:val="000000" w:themeColor="text1"/>
          <w:lang w:val="es-ES" w:eastAsia="es-ES_tradnl"/>
        </w:rPr>
      </w:pPr>
    </w:p>
    <w:p w14:paraId="35D003CC" w14:textId="77777777" w:rsidR="00AE6E67" w:rsidRPr="00AE6E67" w:rsidRDefault="00AE6E67" w:rsidP="00AE6E67">
      <w:pPr>
        <w:widowControl w:val="0"/>
        <w:tabs>
          <w:tab w:val="left" w:pos="7797"/>
        </w:tabs>
        <w:autoSpaceDE w:val="0"/>
        <w:autoSpaceDN w:val="0"/>
        <w:spacing w:after="0" w:line="240" w:lineRule="auto"/>
        <w:ind w:left="709" w:right="709"/>
        <w:contextualSpacing/>
        <w:jc w:val="both"/>
        <w:rPr>
          <w:rFonts w:ascii="Verdana" w:eastAsia="Arial" w:hAnsi="Verdana" w:cs="Arial"/>
          <w:color w:val="000000" w:themeColor="text1"/>
          <w:sz w:val="20"/>
          <w:szCs w:val="20"/>
          <w:lang w:val="es-ES" w:eastAsia="es-ES_tradnl"/>
        </w:rPr>
      </w:pPr>
      <w:r w:rsidRPr="00AE6E67">
        <w:rPr>
          <w:rFonts w:ascii="Verdana" w:eastAsia="Arial" w:hAnsi="Verdana" w:cs="Arial"/>
          <w:color w:val="000000" w:themeColor="text1"/>
          <w:sz w:val="20"/>
          <w:szCs w:val="20"/>
          <w:lang w:val="es-ES" w:eastAsia="es-ES_tradnl"/>
        </w:rPr>
        <w:t>“Nótese cómo, elemento esencial para calificar de estatal un contrato, es que haya sido celebrado por una entidad estatal, es decir, una entidad pública con capacidad legal para celebrarlo. Dicho de otro modo, no existen contratos estatales celebrados entre particulares, ni siquiera cuando éstos han sido habilitados legalmente para el ejercicio de funciones</w:t>
      </w:r>
      <w:r w:rsidRPr="00AE6E67">
        <w:rPr>
          <w:rFonts w:ascii="Verdana" w:eastAsia="Arial" w:hAnsi="Verdana" w:cs="Arial"/>
          <w:color w:val="000000" w:themeColor="text1"/>
          <w:spacing w:val="-4"/>
          <w:sz w:val="20"/>
          <w:szCs w:val="20"/>
          <w:lang w:val="es-ES" w:eastAsia="es-ES_tradnl"/>
        </w:rPr>
        <w:t xml:space="preserve"> </w:t>
      </w:r>
      <w:r w:rsidRPr="00AE6E67">
        <w:rPr>
          <w:rFonts w:ascii="Verdana" w:eastAsia="Arial" w:hAnsi="Verdana" w:cs="Arial"/>
          <w:color w:val="000000" w:themeColor="text1"/>
          <w:sz w:val="20"/>
          <w:szCs w:val="20"/>
          <w:lang w:val="es-ES" w:eastAsia="es-ES_tradnl"/>
        </w:rPr>
        <w:t>públicas”</w:t>
      </w:r>
      <w:r w:rsidRPr="00AE6E67">
        <w:rPr>
          <w:rFonts w:ascii="Verdana" w:eastAsia="Arial" w:hAnsi="Verdana" w:cs="Arial"/>
          <w:color w:val="000000" w:themeColor="text1"/>
          <w:sz w:val="20"/>
          <w:szCs w:val="20"/>
          <w:vertAlign w:val="superscript"/>
          <w:lang w:val="es-ES" w:eastAsia="es-ES_tradnl"/>
        </w:rPr>
        <w:footnoteReference w:id="5"/>
      </w:r>
      <w:r w:rsidRPr="00AE6E67">
        <w:rPr>
          <w:rFonts w:ascii="Verdana" w:eastAsia="Arial" w:hAnsi="Verdana" w:cs="Arial"/>
          <w:color w:val="000000" w:themeColor="text1"/>
          <w:sz w:val="20"/>
          <w:szCs w:val="20"/>
          <w:lang w:val="es-ES" w:eastAsia="es-ES_tradnl"/>
        </w:rPr>
        <w:t>.</w:t>
      </w:r>
    </w:p>
    <w:p w14:paraId="082E87C9" w14:textId="77777777" w:rsidR="00AE6E67" w:rsidRPr="00AE6E67" w:rsidRDefault="00AE6E67" w:rsidP="00AE6E67">
      <w:pPr>
        <w:widowControl w:val="0"/>
        <w:autoSpaceDE w:val="0"/>
        <w:autoSpaceDN w:val="0"/>
        <w:spacing w:line="276" w:lineRule="auto"/>
        <w:contextualSpacing/>
        <w:jc w:val="both"/>
        <w:rPr>
          <w:rFonts w:ascii="Verdana" w:eastAsia="Arial" w:hAnsi="Verdana" w:cs="Arial"/>
          <w:color w:val="000000" w:themeColor="text1"/>
          <w:lang w:val="es-ES" w:eastAsia="es-ES_tradnl"/>
        </w:rPr>
      </w:pPr>
    </w:p>
    <w:p w14:paraId="7C1BDD91" w14:textId="77777777" w:rsidR="00AE6E67" w:rsidRPr="00AE6E67" w:rsidRDefault="00AE6E67" w:rsidP="00AE6E67">
      <w:pPr>
        <w:spacing w:after="120" w:line="276" w:lineRule="auto"/>
        <w:ind w:firstLine="709"/>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Así pues, el contrato estatal es el acto jurídico creador de obligaciones en cuya celebración concurre una Entidad Estatal, independientemente de que se trate de contratos previstos o tipificados en el derecho privado, en disposiciones especiales o que sencillamente resulten del ejercicio de la autonomía de la voluntad, como sucede con los que se clasifican como atípicos e innominados –artículo 32 de la Ley 80–.</w:t>
      </w:r>
    </w:p>
    <w:p w14:paraId="541002AE" w14:textId="77777777" w:rsidR="00AE6E67" w:rsidRPr="00AE6E67" w:rsidRDefault="00AE6E67" w:rsidP="00AE6E67">
      <w:pPr>
        <w:spacing w:before="120" w:after="120" w:line="276" w:lineRule="auto"/>
        <w:ind w:firstLine="709"/>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 xml:space="preserve">Los artículos 13 y 40 de la Ley 80 de 1993 integran al derecho contractual estatal el derecho comercial y civil. Según estas normas, los contratos que celebren las Entidades Estatales se regirán por las disposiciones comerciales y civiles pertinentes, salvo en las materias particularmente reguladas por el EGCAP. Lo anterior permite concluir que “mediante la Ley 80, se pretendió que </w:t>
      </w:r>
      <w:r w:rsidRPr="00AE6E67">
        <w:rPr>
          <w:rFonts w:ascii="Verdana" w:eastAsia="Arial" w:hAnsi="Verdana" w:cs="Arial"/>
          <w:color w:val="000000" w:themeColor="text1"/>
          <w:lang w:val="es-ES" w:eastAsia="es-ES_tradnl"/>
        </w:rPr>
        <w:lastRenderedPageBreak/>
        <w:t>la actividad contractual del Estado quedará</w:t>
      </w:r>
      <w:r w:rsidRPr="00AE6E67">
        <w:rPr>
          <w:rFonts w:ascii="Verdana" w:eastAsia="Arial" w:hAnsi="Verdana" w:cs="Arial"/>
          <w:lang w:val="es-ES" w:eastAsia="es-ES_tradnl"/>
        </w:rPr>
        <w:t xml:space="preserve"> </w:t>
      </w:r>
      <w:r w:rsidRPr="00AE6E67">
        <w:rPr>
          <w:rFonts w:ascii="Verdana" w:eastAsia="Arial" w:hAnsi="Verdana" w:cs="Arial"/>
          <w:color w:val="000000" w:themeColor="text1"/>
          <w:lang w:val="es-ES" w:eastAsia="es-ES_tradnl"/>
        </w:rPr>
        <w:t>bajo la égida del contrato estatal, caracterizado por tener un régimen jurídico mixto, integrado por normas de derecho público y derecho privado”</w:t>
      </w:r>
      <w:r w:rsidRPr="00AE6E67">
        <w:rPr>
          <w:rFonts w:ascii="Verdana" w:eastAsia="Arial" w:hAnsi="Verdana" w:cs="Arial"/>
          <w:color w:val="000000" w:themeColor="text1"/>
          <w:vertAlign w:val="superscript"/>
          <w:lang w:val="es-ES" w:eastAsia="es-ES_tradnl"/>
        </w:rPr>
        <w:footnoteReference w:id="6"/>
      </w:r>
      <w:r w:rsidRPr="00AE6E67">
        <w:rPr>
          <w:rFonts w:ascii="Verdana" w:eastAsia="Arial" w:hAnsi="Verdana" w:cs="Arial"/>
          <w:color w:val="000000" w:themeColor="text1"/>
          <w:lang w:val="es-ES" w:eastAsia="es-ES_tradnl"/>
        </w:rPr>
        <w:t xml:space="preserve">. </w:t>
      </w:r>
    </w:p>
    <w:p w14:paraId="0543A28F" w14:textId="77777777" w:rsidR="00AE6E67" w:rsidRPr="00AE6E67" w:rsidRDefault="00AE6E67" w:rsidP="00AE6E67">
      <w:pPr>
        <w:spacing w:before="120" w:after="0" w:line="276" w:lineRule="auto"/>
        <w:ind w:firstLine="709"/>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En armonía con lo anterior, la Sala de Consulta y Servicio Civil del Consejo de Estado expresó que:</w:t>
      </w:r>
    </w:p>
    <w:p w14:paraId="0EBFF728" w14:textId="77777777" w:rsidR="00AE6E67" w:rsidRPr="00AE6E67" w:rsidRDefault="00AE6E67" w:rsidP="00AE6E67">
      <w:pPr>
        <w:spacing w:after="0" w:line="276" w:lineRule="auto"/>
        <w:ind w:firstLine="709"/>
        <w:jc w:val="both"/>
        <w:rPr>
          <w:rFonts w:ascii="Verdana" w:eastAsia="Arial" w:hAnsi="Verdana" w:cs="Arial"/>
          <w:color w:val="000000" w:themeColor="text1"/>
          <w:lang w:val="es-ES" w:eastAsia="es-ES_tradnl"/>
        </w:rPr>
      </w:pPr>
    </w:p>
    <w:p w14:paraId="75797DA3" w14:textId="77777777" w:rsidR="00AE6E67" w:rsidRPr="00AE6E67" w:rsidRDefault="00AE6E67" w:rsidP="00AE6E67">
      <w:pPr>
        <w:widowControl w:val="0"/>
        <w:autoSpaceDE w:val="0"/>
        <w:autoSpaceDN w:val="0"/>
        <w:spacing w:after="0" w:line="240" w:lineRule="auto"/>
        <w:ind w:left="709" w:right="709"/>
        <w:contextualSpacing/>
        <w:jc w:val="both"/>
        <w:rPr>
          <w:rFonts w:ascii="Verdana" w:eastAsia="Arial" w:hAnsi="Verdana" w:cs="Arial"/>
          <w:b/>
          <w:color w:val="000000" w:themeColor="text1"/>
          <w:sz w:val="20"/>
          <w:szCs w:val="20"/>
          <w:lang w:val="es-ES" w:eastAsia="es-ES_tradnl"/>
        </w:rPr>
      </w:pPr>
      <w:r w:rsidRPr="00AE6E67">
        <w:rPr>
          <w:rFonts w:ascii="Verdana" w:eastAsia="Arial" w:hAnsi="Verdana" w:cs="Arial"/>
          <w:color w:val="000000" w:themeColor="text1"/>
          <w:sz w:val="20"/>
          <w:szCs w:val="20"/>
          <w:lang w:val="es-ES" w:eastAsia="es-ES_tradnl"/>
        </w:rPr>
        <w:t>“[…] las entidades estatales dentro del ámbito de aplicación del Estatuto General de Contratación de la Administración Púbica, cuando celebren contratos deben cumplir las disposiciones del derecho privado (comerciales y civiles) que resulten aplicables, excepto en aquellas materias expresamente reguladas por el citado Estatuto y las normas que lo modifiquen o adicionen, verbigracia, los mecanismos de selección, los principios de transparencia, economía y responsabilidad, el deber de selección objetiva, las inhabilidades e incompatibilidades para contratar, los requisitos de perfeccionamiento y ejecución del contrato, el equilibrio económico y financiero del contrato, las cláusulas excepcionales (interpretación, modificación y terminación  unilaterales, caducidad, reversión y sometimiento de a las leyes nacionales), la imposición y efectividad de las multas y cláusula penal una vez pactadas, las garantías del contrato, las nulidades específicas del contrato estatal, el silencio administrativo positivo, la liquidación del contrato, entre otras”</w:t>
      </w:r>
      <w:r w:rsidRPr="00AE6E67">
        <w:rPr>
          <w:rFonts w:ascii="Verdana" w:eastAsia="Arial" w:hAnsi="Verdana" w:cs="Arial"/>
          <w:color w:val="000000" w:themeColor="text1"/>
          <w:sz w:val="20"/>
          <w:szCs w:val="20"/>
          <w:vertAlign w:val="superscript"/>
          <w:lang w:val="es-ES" w:eastAsia="es-ES_tradnl"/>
        </w:rPr>
        <w:footnoteReference w:id="7"/>
      </w:r>
      <w:r w:rsidRPr="00AE6E67">
        <w:rPr>
          <w:rFonts w:ascii="Verdana" w:eastAsia="Arial" w:hAnsi="Verdana" w:cs="Arial"/>
          <w:color w:val="000000" w:themeColor="text1"/>
          <w:sz w:val="20"/>
          <w:szCs w:val="20"/>
          <w:lang w:val="es-ES" w:eastAsia="es-ES_tradnl"/>
        </w:rPr>
        <w:t>.</w:t>
      </w:r>
      <w:r w:rsidRPr="00AE6E67">
        <w:rPr>
          <w:rFonts w:ascii="Verdana" w:eastAsia="Arial" w:hAnsi="Verdana" w:cs="Arial"/>
          <w:b/>
          <w:color w:val="000000" w:themeColor="text1"/>
          <w:sz w:val="20"/>
          <w:szCs w:val="20"/>
          <w:lang w:val="es-ES" w:eastAsia="es-ES_tradnl"/>
        </w:rPr>
        <w:t xml:space="preserve"> </w:t>
      </w:r>
    </w:p>
    <w:p w14:paraId="50D5DAB0" w14:textId="77777777" w:rsidR="00AE6E67" w:rsidRPr="00AE6E67" w:rsidRDefault="00AE6E67" w:rsidP="00AE6E67">
      <w:pPr>
        <w:spacing w:after="0" w:line="276" w:lineRule="auto"/>
        <w:ind w:firstLine="709"/>
        <w:jc w:val="both"/>
        <w:rPr>
          <w:rFonts w:ascii="Verdana" w:eastAsia="Times New Roman" w:hAnsi="Verdana" w:cs="Arial"/>
          <w:color w:val="000000" w:themeColor="text1"/>
          <w:lang w:val="es-ES" w:eastAsia="es-ES_tradnl"/>
        </w:rPr>
      </w:pPr>
      <w:bookmarkStart w:id="4" w:name="_Hlk121750642"/>
    </w:p>
    <w:p w14:paraId="3733712C" w14:textId="77777777" w:rsidR="00AE6E67" w:rsidRPr="00AE6E67" w:rsidRDefault="00AE6E67" w:rsidP="00AE6E67">
      <w:pPr>
        <w:spacing w:after="120" w:line="276" w:lineRule="auto"/>
        <w:ind w:firstLine="709"/>
        <w:jc w:val="both"/>
        <w:rPr>
          <w:rFonts w:ascii="Verdana" w:eastAsia="Calibri" w:hAnsi="Verdana" w:cs="Arial"/>
          <w:lang w:val="es-ES" w:eastAsia="es-ES_tradnl"/>
        </w:rPr>
      </w:pPr>
      <w:r w:rsidRPr="00AE6E67">
        <w:rPr>
          <w:rFonts w:ascii="Verdana" w:eastAsia="Times New Roman" w:hAnsi="Verdana" w:cs="Arial"/>
          <w:color w:val="000000" w:themeColor="text1"/>
          <w:lang w:val="es-ES" w:eastAsia="es-ES_tradnl"/>
        </w:rPr>
        <w:t xml:space="preserve">Como consecuencia de lo expuesto, las </w:t>
      </w:r>
      <w:r w:rsidRPr="00AE6E67">
        <w:rPr>
          <w:rFonts w:ascii="Verdana" w:eastAsia="Calibri" w:hAnsi="Verdana" w:cs="Arial"/>
          <w:lang w:val="es-ES" w:eastAsia="es-ES_tradnl"/>
        </w:rPr>
        <w:t xml:space="preserve">Entidades Estatales regidas por el EGCAP están habilitadas para celebrar los contratos que suelen celebrar los particulares entre sí en ejercicio de la autonomía de la voluntad privada. De esta manera, puede ocurrir que dentro de la gestión ordinaria de sus competencias las entidades tengan necesidades que deban ser satisfechas a través de contratos como el de arrendamiento, comodato o administración, en los que, además de las disposiciones del EGCAP, deberán aplicar normas de derecho privado, lo que de ninguna manera desvirtúa la calidad de estatal de dichos contratos. </w:t>
      </w:r>
    </w:p>
    <w:bookmarkEnd w:id="4"/>
    <w:p w14:paraId="4B8979A7" w14:textId="77777777" w:rsidR="00AE6E67" w:rsidRPr="00AE6E67" w:rsidRDefault="00AE6E67" w:rsidP="00AE6E67">
      <w:pPr>
        <w:widowControl w:val="0"/>
        <w:autoSpaceDE w:val="0"/>
        <w:autoSpaceDN w:val="0"/>
        <w:spacing w:after="120" w:line="276" w:lineRule="auto"/>
        <w:ind w:firstLine="607"/>
        <w:jc w:val="both"/>
        <w:rPr>
          <w:rFonts w:ascii="Verdana" w:eastAsia="Arial" w:hAnsi="Verdana" w:cs="Arial"/>
          <w:color w:val="000000" w:themeColor="text1"/>
          <w:lang w:val="es-ES" w:eastAsia="es-ES_tradnl"/>
        </w:rPr>
      </w:pPr>
      <w:r w:rsidRPr="00AE6E67">
        <w:rPr>
          <w:rFonts w:ascii="Verdana" w:eastAsia="Arial" w:hAnsi="Verdana" w:cs="Arial"/>
          <w:color w:val="000000" w:themeColor="text1"/>
          <w:lang w:val="es-ES" w:eastAsia="es-ES_tradnl"/>
        </w:rPr>
        <w:t>En suma, el contrato estatal es un acuerdo de voluntades celebrado por una Entidad Estatal con un particular u otra entidad que genera, extingue o modifica obligaciones para quienes lo</w:t>
      </w:r>
      <w:r w:rsidRPr="00AE6E67">
        <w:rPr>
          <w:rFonts w:ascii="Verdana" w:eastAsia="Arial" w:hAnsi="Verdana" w:cs="Arial"/>
          <w:color w:val="000000" w:themeColor="text1"/>
          <w:spacing w:val="-5"/>
          <w:lang w:val="es-ES" w:eastAsia="es-ES_tradnl"/>
        </w:rPr>
        <w:t xml:space="preserve"> </w:t>
      </w:r>
      <w:r w:rsidRPr="00AE6E67">
        <w:rPr>
          <w:rFonts w:ascii="Verdana" w:eastAsia="Arial" w:hAnsi="Verdana" w:cs="Arial"/>
          <w:color w:val="000000" w:themeColor="text1"/>
          <w:lang w:val="es-ES" w:eastAsia="es-ES_tradnl"/>
        </w:rPr>
        <w:t xml:space="preserve">suscriben, regida por un derecho mixto, en los términos explicados. </w:t>
      </w:r>
    </w:p>
    <w:p w14:paraId="740CDF3F" w14:textId="77777777" w:rsidR="00AE6E67" w:rsidRPr="00AE6E67" w:rsidRDefault="00AE6E67" w:rsidP="00AE6E67">
      <w:pPr>
        <w:widowControl w:val="0"/>
        <w:autoSpaceDE w:val="0"/>
        <w:autoSpaceDN w:val="0"/>
        <w:spacing w:after="120" w:line="276" w:lineRule="auto"/>
        <w:jc w:val="both"/>
        <w:rPr>
          <w:rFonts w:ascii="Verdana" w:eastAsia="Arial" w:hAnsi="Verdana" w:cs="Arial"/>
          <w:color w:val="000000" w:themeColor="text1"/>
          <w:lang w:val="es-ES" w:eastAsia="es-ES_tradnl"/>
        </w:rPr>
      </w:pPr>
      <w:proofErr w:type="spellStart"/>
      <w:r w:rsidRPr="00AE6E67">
        <w:rPr>
          <w:rFonts w:ascii="Verdana" w:eastAsia="Arial" w:hAnsi="Verdana" w:cs="Arial"/>
          <w:color w:val="000000" w:themeColor="text1"/>
          <w:lang w:val="es-ES" w:eastAsia="es-ES_tradnl"/>
        </w:rPr>
        <w:lastRenderedPageBreak/>
        <w:t>ii</w:t>
      </w:r>
      <w:proofErr w:type="spellEnd"/>
      <w:r w:rsidRPr="00AE6E67">
        <w:rPr>
          <w:rFonts w:ascii="Verdana" w:eastAsia="Arial" w:hAnsi="Verdana" w:cs="Arial"/>
          <w:color w:val="000000" w:themeColor="text1"/>
          <w:lang w:val="es-ES" w:eastAsia="es-ES_tradnl"/>
        </w:rPr>
        <w:t xml:space="preserve">. </w:t>
      </w:r>
      <w:r w:rsidRPr="00AE6E67">
        <w:rPr>
          <w:rFonts w:ascii="Verdana" w:hAnsi="Verdana"/>
          <w:lang w:val="es-ES"/>
        </w:rPr>
        <w:t xml:space="preserve">Por otra parte, resulta importante mencionar que los contratos estatales, al igual que los que se celebran en el derecho privado, pueden clasificarse en contratos típicos y contratos atípicos. </w:t>
      </w:r>
      <w:bookmarkStart w:id="5" w:name="_Hlk217241144"/>
      <w:r w:rsidRPr="00AE6E67">
        <w:rPr>
          <w:rFonts w:ascii="Verdana" w:hAnsi="Verdana"/>
          <w:lang w:val="es-ES"/>
        </w:rPr>
        <w:t>Los contratos atípicos se caracterizan por ser contratos en los cuales su causa o función socioeconómica no corresponde a ninguno de los contratos tipificados por la ley</w:t>
      </w:r>
      <w:r w:rsidRPr="00AE6E67">
        <w:rPr>
          <w:rFonts w:ascii="Verdana" w:hAnsi="Verdana"/>
          <w:vertAlign w:val="superscript"/>
          <w:lang w:val="es-ES"/>
        </w:rPr>
        <w:footnoteReference w:id="8"/>
      </w:r>
      <w:r w:rsidRPr="00AE6E67">
        <w:rPr>
          <w:rFonts w:ascii="Verdana" w:hAnsi="Verdana"/>
          <w:lang w:val="es-ES"/>
        </w:rPr>
        <w:t>.</w:t>
      </w:r>
    </w:p>
    <w:p w14:paraId="2CDD5D16" w14:textId="77777777" w:rsidR="00AE6E67" w:rsidRPr="00AE6E67" w:rsidRDefault="00AE6E67" w:rsidP="00AE6E67">
      <w:pPr>
        <w:tabs>
          <w:tab w:val="left" w:pos="142"/>
          <w:tab w:val="left" w:pos="426"/>
        </w:tabs>
        <w:spacing w:after="120" w:line="276" w:lineRule="auto"/>
        <w:jc w:val="both"/>
        <w:rPr>
          <w:rFonts w:ascii="Verdana" w:hAnsi="Verdana"/>
          <w:lang w:val="es-ES"/>
        </w:rPr>
      </w:pPr>
      <w:r w:rsidRPr="00AE6E67">
        <w:rPr>
          <w:rFonts w:ascii="Verdana" w:hAnsi="Verdana"/>
          <w:lang w:val="es-ES"/>
        </w:rPr>
        <w:tab/>
      </w:r>
      <w:r w:rsidRPr="00AE6E67">
        <w:rPr>
          <w:rFonts w:ascii="Verdana" w:hAnsi="Verdana"/>
          <w:lang w:val="es-ES"/>
        </w:rPr>
        <w:tab/>
      </w:r>
      <w:r w:rsidRPr="00AE6E67">
        <w:rPr>
          <w:rFonts w:ascii="Verdana" w:hAnsi="Verdana"/>
          <w:lang w:val="es-ES"/>
        </w:rPr>
        <w:tab/>
        <w:t>Tanto la jurisprudencia como la doctrina de derecho administrativo aceptan la presencia de contratos administrativos atípicos. En efecto, el Consejo de Estado, ha señalado que: “Como tampoco corresponde el negocio jurídico celebrado por las partes a ninguno otro de los tipificados en el Decreto Ley 222 de 1983, no obstante, lo cual, subsiste su naturaleza vinculante como acuerdo de voluntades creador de obligaciones a cargo de los cocontratantes y regido por las cláusulas pactadas por éstos”</w:t>
      </w:r>
      <w:r w:rsidRPr="00AE6E67">
        <w:rPr>
          <w:rFonts w:ascii="Verdana" w:hAnsi="Verdana"/>
          <w:vertAlign w:val="superscript"/>
          <w:lang w:val="es-ES"/>
        </w:rPr>
        <w:footnoteReference w:id="9"/>
      </w:r>
      <w:r w:rsidRPr="00AE6E67">
        <w:rPr>
          <w:rFonts w:ascii="Verdana" w:hAnsi="Verdana"/>
          <w:lang w:val="es-ES"/>
        </w:rPr>
        <w:t>.</w:t>
      </w:r>
    </w:p>
    <w:p w14:paraId="4348EFBB" w14:textId="77777777" w:rsidR="00AE6E67" w:rsidRPr="00AE6E67" w:rsidRDefault="00AE6E67" w:rsidP="00AE6E67">
      <w:pPr>
        <w:tabs>
          <w:tab w:val="left" w:pos="142"/>
          <w:tab w:val="left" w:pos="426"/>
        </w:tabs>
        <w:spacing w:after="120" w:line="276" w:lineRule="auto"/>
        <w:jc w:val="both"/>
        <w:rPr>
          <w:rFonts w:ascii="Verdana" w:hAnsi="Verdana"/>
          <w:lang w:val="es-ES"/>
        </w:rPr>
      </w:pPr>
      <w:r w:rsidRPr="00AE6E67">
        <w:rPr>
          <w:rFonts w:ascii="Verdana" w:hAnsi="Verdana"/>
          <w:lang w:val="es-ES"/>
        </w:rPr>
        <w:tab/>
      </w:r>
      <w:r w:rsidRPr="00AE6E67">
        <w:rPr>
          <w:rFonts w:ascii="Verdana" w:hAnsi="Verdana"/>
          <w:lang w:val="es-ES"/>
        </w:rPr>
        <w:tab/>
      </w:r>
      <w:r w:rsidRPr="00AE6E67">
        <w:rPr>
          <w:rFonts w:ascii="Verdana" w:hAnsi="Verdana"/>
          <w:lang w:val="es-ES"/>
        </w:rPr>
        <w:tab/>
        <w:t xml:space="preserve">Tratándose de contratos atípicos estatales y su contenido, estos son admisibles en nuestro ordenamiento jurídico, siempre y cuando se encuentren dentro del orden público, no tengan </w:t>
      </w:r>
      <w:proofErr w:type="gramStart"/>
      <w:r w:rsidRPr="00AE6E67">
        <w:rPr>
          <w:rFonts w:ascii="Verdana" w:hAnsi="Verdana"/>
          <w:lang w:val="es-ES"/>
        </w:rPr>
        <w:t>objeto ilícito o causa ilícita</w:t>
      </w:r>
      <w:proofErr w:type="gramEnd"/>
      <w:r w:rsidRPr="00AE6E67">
        <w:rPr>
          <w:rFonts w:ascii="Verdana" w:hAnsi="Verdana"/>
          <w:lang w:val="es-ES"/>
        </w:rPr>
        <w:t xml:space="preserve">, no estén presentes vicios del consentimiento y que, en aquellos casos que se exigen formalidades, se cumplan para el nacimiento del contrato. </w:t>
      </w:r>
      <w:bookmarkEnd w:id="5"/>
      <w:r w:rsidRPr="00AE6E67">
        <w:rPr>
          <w:rFonts w:ascii="Verdana" w:hAnsi="Verdana"/>
          <w:lang w:val="es-ES"/>
        </w:rPr>
        <w:t xml:space="preserve">Dado que se trata de contratos de que celebra la Administración, además de cumplir con los anteriores requisitos, el contrato debe constar por escrito. </w:t>
      </w:r>
    </w:p>
    <w:p w14:paraId="6021B17F" w14:textId="77777777" w:rsidR="00AE6E67" w:rsidRPr="00AE6E67" w:rsidRDefault="00AE6E67" w:rsidP="00AE6E67">
      <w:pPr>
        <w:tabs>
          <w:tab w:val="left" w:pos="142"/>
          <w:tab w:val="left" w:pos="426"/>
        </w:tabs>
        <w:spacing w:after="0" w:line="276" w:lineRule="auto"/>
        <w:jc w:val="both"/>
        <w:rPr>
          <w:rFonts w:ascii="Verdana" w:hAnsi="Verdana"/>
          <w:lang w:val="es-ES"/>
        </w:rPr>
      </w:pPr>
      <w:r w:rsidRPr="00AE6E67">
        <w:rPr>
          <w:rFonts w:ascii="Verdana" w:hAnsi="Verdana"/>
          <w:lang w:val="es-ES"/>
        </w:rPr>
        <w:tab/>
      </w:r>
      <w:r w:rsidRPr="00AE6E67">
        <w:rPr>
          <w:rFonts w:ascii="Verdana" w:hAnsi="Verdana"/>
          <w:lang w:val="es-ES"/>
        </w:rPr>
        <w:tab/>
      </w:r>
      <w:r w:rsidRPr="00AE6E67">
        <w:rPr>
          <w:rFonts w:ascii="Verdana" w:hAnsi="Verdana"/>
          <w:lang w:val="es-ES"/>
        </w:rPr>
        <w:tab/>
      </w:r>
      <w:bookmarkStart w:id="6" w:name="_Hlk217241288"/>
      <w:r w:rsidRPr="00AE6E67">
        <w:rPr>
          <w:rFonts w:ascii="Verdana" w:hAnsi="Verdana"/>
          <w:lang w:val="es-ES"/>
        </w:rPr>
        <w:t>Conforme lo expuesto, la Ley 80 de 1993 facultó a las Entidades Estatales para que, en aplicación del principio de autonomía de la voluntad, determinen el tipo de contrato que mejor se ajuste al interés general y a la satisfacción de su necesidad, por lo que pueden pactar en sus contratos las cláusulas necesarias para ese fin. En el marco de su autonomía, las partes dotan al contrato de aquellos elementos esenciales que confluyen bien sea de tomar elementos propios de otras figuras o de elementos originales para crear una relación jurídica propia que difiere de las demás. Al respecto, el Consejo de Estado ha manifestado:</w:t>
      </w:r>
    </w:p>
    <w:p w14:paraId="07A349CE" w14:textId="77777777" w:rsidR="00AE6E67" w:rsidRPr="00AE6E67" w:rsidRDefault="00AE6E67" w:rsidP="00AE6E67">
      <w:pPr>
        <w:tabs>
          <w:tab w:val="left" w:pos="142"/>
          <w:tab w:val="left" w:pos="426"/>
        </w:tabs>
        <w:spacing w:after="0" w:line="276" w:lineRule="auto"/>
        <w:jc w:val="both"/>
        <w:rPr>
          <w:rFonts w:ascii="Verdana" w:hAnsi="Verdana"/>
          <w:lang w:val="es-ES"/>
        </w:rPr>
      </w:pPr>
    </w:p>
    <w:p w14:paraId="1E531032" w14:textId="77777777" w:rsidR="00AE6E67" w:rsidRPr="00AE6E67" w:rsidRDefault="00AE6E67" w:rsidP="00AE6E67">
      <w:pPr>
        <w:tabs>
          <w:tab w:val="left" w:pos="142"/>
          <w:tab w:val="left" w:pos="426"/>
        </w:tabs>
        <w:spacing w:after="0" w:line="240" w:lineRule="auto"/>
        <w:ind w:left="709" w:right="709"/>
        <w:contextualSpacing/>
        <w:jc w:val="both"/>
        <w:rPr>
          <w:rFonts w:ascii="Verdana" w:eastAsia="Calibri" w:hAnsi="Verdana" w:cs="Arial"/>
          <w:b/>
          <w:sz w:val="20"/>
          <w:szCs w:val="20"/>
          <w:lang w:val="es-ES"/>
        </w:rPr>
      </w:pPr>
      <w:r w:rsidRPr="00AE6E67">
        <w:rPr>
          <w:rFonts w:ascii="Verdana" w:hAnsi="Verdana"/>
          <w:sz w:val="20"/>
          <w:szCs w:val="20"/>
          <w:lang w:val="es-ES"/>
        </w:rPr>
        <w:t xml:space="preserve">“Así las cosas, puede decirse que lo esencial en un acuerdo de voluntades, es aquello sin lo cual ese acuerdo deja de serlo para mutar en otro diferente o simplemente para extinguirse. En otras palabras, si llegaren a desaparecer elementos esenciales durante la ejecución de un contrato, la </w:t>
      </w:r>
      <w:r w:rsidRPr="00AE6E67">
        <w:rPr>
          <w:rFonts w:ascii="Verdana" w:hAnsi="Verdana"/>
          <w:sz w:val="20"/>
          <w:szCs w:val="20"/>
          <w:lang w:val="es-ES"/>
        </w:rPr>
        <w:lastRenderedPageBreak/>
        <w:t>consecuencia lógica sería su terminación, o la necesidad de suscribir otro que regule la nueva situación fáctica que se presenta, precisamente por el desaparecimiento del elemento esencial que determinaba la existencia del contrato anterior”.</w:t>
      </w:r>
      <w:r w:rsidRPr="00AE6E67">
        <w:rPr>
          <w:rFonts w:ascii="Verdana" w:hAnsi="Verdana"/>
          <w:sz w:val="20"/>
          <w:szCs w:val="20"/>
          <w:vertAlign w:val="superscript"/>
          <w:lang w:val="es-ES"/>
        </w:rPr>
        <w:footnoteReference w:id="10"/>
      </w:r>
    </w:p>
    <w:p w14:paraId="73A11604" w14:textId="77777777" w:rsidR="00AE6E67" w:rsidRPr="00AE6E67" w:rsidRDefault="00AE6E67" w:rsidP="00AE6E67">
      <w:pPr>
        <w:tabs>
          <w:tab w:val="left" w:pos="142"/>
          <w:tab w:val="left" w:pos="426"/>
        </w:tabs>
        <w:spacing w:after="0" w:line="276" w:lineRule="auto"/>
        <w:jc w:val="both"/>
        <w:rPr>
          <w:rFonts w:ascii="Verdana" w:hAnsi="Verdana"/>
          <w:lang w:val="es-ES"/>
        </w:rPr>
      </w:pPr>
    </w:p>
    <w:p w14:paraId="05D69F14" w14:textId="77777777" w:rsidR="00AE6E67" w:rsidRPr="00AE6E67" w:rsidRDefault="00AE6E67" w:rsidP="00AE6E67">
      <w:pPr>
        <w:tabs>
          <w:tab w:val="left" w:pos="142"/>
          <w:tab w:val="left" w:pos="426"/>
        </w:tabs>
        <w:spacing w:after="120" w:line="276" w:lineRule="auto"/>
        <w:jc w:val="both"/>
        <w:rPr>
          <w:rFonts w:ascii="Verdana" w:hAnsi="Verdana"/>
          <w:lang w:val="es-ES"/>
        </w:rPr>
      </w:pPr>
      <w:r w:rsidRPr="00AE6E67">
        <w:rPr>
          <w:rFonts w:ascii="Verdana" w:hAnsi="Verdana"/>
          <w:lang w:val="es-ES"/>
        </w:rPr>
        <w:tab/>
      </w:r>
      <w:r w:rsidRPr="00AE6E67">
        <w:rPr>
          <w:rFonts w:ascii="Verdana" w:hAnsi="Verdana"/>
          <w:lang w:val="es-ES"/>
        </w:rPr>
        <w:tab/>
      </w:r>
      <w:r w:rsidRPr="00AE6E67">
        <w:rPr>
          <w:rFonts w:ascii="Verdana" w:hAnsi="Verdana"/>
          <w:lang w:val="es-ES"/>
        </w:rPr>
        <w:tab/>
        <w:t xml:space="preserve">A juicio de la Agencia, si bien las partes pueden acordar aquellos elementos integran el contrato atípico, de acuerdo con la autonomía de la voluntad reconocida en el ordenamiento jurídico, es importante tener en cuenta los siguientes aspectos:  i) La observancia de las normas imperativas contenidas en el EGCAP, como son las reglas de formación, celebración y contenido obligatorio de los contratos estatales; </w:t>
      </w:r>
      <w:proofErr w:type="spellStart"/>
      <w:r w:rsidRPr="00AE6E67">
        <w:rPr>
          <w:rFonts w:ascii="Verdana" w:hAnsi="Verdana"/>
          <w:lang w:val="es-ES"/>
        </w:rPr>
        <w:t>ii</w:t>
      </w:r>
      <w:proofErr w:type="spellEnd"/>
      <w:r w:rsidRPr="00AE6E67">
        <w:rPr>
          <w:rFonts w:ascii="Verdana" w:hAnsi="Verdana"/>
          <w:lang w:val="es-ES"/>
        </w:rPr>
        <w:t xml:space="preserve">) los límites impuestos por el orden público; </w:t>
      </w:r>
      <w:proofErr w:type="spellStart"/>
      <w:r w:rsidRPr="00AE6E67">
        <w:rPr>
          <w:rFonts w:ascii="Verdana" w:hAnsi="Verdana"/>
          <w:lang w:val="es-ES"/>
        </w:rPr>
        <w:t>iii</w:t>
      </w:r>
      <w:proofErr w:type="spellEnd"/>
      <w:r w:rsidRPr="00AE6E67">
        <w:rPr>
          <w:rFonts w:ascii="Verdana" w:hAnsi="Verdana"/>
          <w:lang w:val="es-ES"/>
        </w:rPr>
        <w:t xml:space="preserve">) en aquellos casos en los que se encuentren vacíos en el contrato o se requiera interpretar aspectos de aquel se deberá tener en cuenta que el EGCAP opera de forma supletiva frente al silencio de las partes; </w:t>
      </w:r>
      <w:proofErr w:type="spellStart"/>
      <w:r w:rsidRPr="00AE6E67">
        <w:rPr>
          <w:rFonts w:ascii="Verdana" w:hAnsi="Verdana"/>
          <w:lang w:val="es-ES"/>
        </w:rPr>
        <w:t>iv</w:t>
      </w:r>
      <w:proofErr w:type="spellEnd"/>
      <w:r w:rsidRPr="00AE6E67">
        <w:rPr>
          <w:rFonts w:ascii="Verdana" w:hAnsi="Verdana"/>
          <w:lang w:val="es-ES"/>
        </w:rPr>
        <w:t>) las normas generales sobre contratos contenidas en las normas de derecho privado de conformidad con el artículo 13 de la Ley 80 de 1993; y v) la aplicación de los principios generales de derecho y de la administración pública.</w:t>
      </w:r>
    </w:p>
    <w:bookmarkEnd w:id="6"/>
    <w:p w14:paraId="15A16D0D" w14:textId="77777777" w:rsidR="00AE6E67" w:rsidRPr="00AE6E67" w:rsidRDefault="00AE6E67" w:rsidP="00AE6E67">
      <w:pPr>
        <w:spacing w:after="120" w:line="276" w:lineRule="auto"/>
        <w:ind w:firstLine="708"/>
        <w:jc w:val="both"/>
        <w:rPr>
          <w:rFonts w:ascii="Verdana" w:eastAsia="Calibri" w:hAnsi="Verdana"/>
          <w:color w:val="000000" w:themeColor="text1"/>
          <w:lang w:val="es-ES"/>
        </w:rPr>
      </w:pPr>
      <w:r w:rsidRPr="00AE6E67">
        <w:rPr>
          <w:rFonts w:ascii="Verdana" w:eastAsia="Calibri" w:hAnsi="Verdana"/>
          <w:color w:val="000000" w:themeColor="text1"/>
          <w:lang w:val="es-ES"/>
        </w:rPr>
        <w:t xml:space="preserve">Dado que el artículo 32 de la Ley 80 de 1993 define los contratos estatales como “todos los actos jurídicos generadores de obligaciones que celebren las entidades a que se refiere el presente estatuto, previstos en el derecho privado o en disposiciones especiales, o derivados del ejercicio de la autonomía de la voluntad”. Bajo esta definición, es posible que las Entidades Estatales celebren </w:t>
      </w:r>
      <w:r w:rsidRPr="00AE6E67">
        <w:rPr>
          <w:rFonts w:ascii="Verdana" w:eastAsia="Calibri" w:hAnsi="Verdana"/>
          <w:i/>
          <w:iCs/>
          <w:color w:val="000000" w:themeColor="text1"/>
          <w:lang w:val="es-ES"/>
        </w:rPr>
        <w:t>contratos mixtos</w:t>
      </w:r>
      <w:r w:rsidRPr="00AE6E67">
        <w:rPr>
          <w:rFonts w:ascii="Verdana" w:eastAsia="Calibri" w:hAnsi="Verdana"/>
          <w:color w:val="000000" w:themeColor="text1"/>
          <w:lang w:val="es-ES"/>
        </w:rPr>
        <w:t xml:space="preserve"> que incluyan prestaciones correspondientes a varios tipos o clases de contratos, que no se encuentran relacionados con otros contratos típicos o atípicos, nominados o innominados a los que se refieren los artículos 32 y 40 de la Ley 80 de 1993. </w:t>
      </w:r>
      <w:bookmarkStart w:id="7" w:name="_Hlk81430928"/>
    </w:p>
    <w:p w14:paraId="6CE15AB2" w14:textId="77777777" w:rsidR="00AE6E67" w:rsidRPr="00AE6E67" w:rsidRDefault="00AE6E67" w:rsidP="00AE6E67">
      <w:pPr>
        <w:spacing w:after="120" w:line="276" w:lineRule="auto"/>
        <w:ind w:firstLine="708"/>
        <w:jc w:val="both"/>
        <w:rPr>
          <w:rFonts w:ascii="Verdana" w:eastAsia="Calibri" w:hAnsi="Verdana"/>
          <w:color w:val="000000" w:themeColor="text1"/>
          <w:lang w:val="es-ES"/>
        </w:rPr>
      </w:pPr>
      <w:r w:rsidRPr="00AE6E67">
        <w:rPr>
          <w:rFonts w:ascii="Verdana" w:eastAsia="Calibri" w:hAnsi="Verdana"/>
          <w:color w:val="000000" w:themeColor="text1"/>
          <w:lang w:val="es-ES"/>
        </w:rPr>
        <w:t>De esta manera, como una forma de contratación atípica, los contratos mixtos se caracterizan por acumular prestaciones de varios contratos nominados para satisfacer una necesidad común, es decir, “Su finalidad económica es única y condensa el propósito perseguido por los contratantes. Las diversas prestaciones, aunque corresponden a diversos contratos típicos, se subordinan a esa finalidad e intención de las partes</w:t>
      </w:r>
      <w:bookmarkEnd w:id="7"/>
      <w:r w:rsidRPr="00AE6E67">
        <w:rPr>
          <w:rFonts w:ascii="Verdana" w:eastAsia="Calibri" w:hAnsi="Verdana"/>
          <w:color w:val="000000" w:themeColor="text1"/>
          <w:lang w:val="es-ES"/>
        </w:rPr>
        <w:t>”</w:t>
      </w:r>
      <w:r w:rsidRPr="00AE6E67">
        <w:rPr>
          <w:rFonts w:ascii="Verdana" w:eastAsia="Calibri" w:hAnsi="Verdana"/>
          <w:color w:val="000000" w:themeColor="text1"/>
          <w:vertAlign w:val="superscript"/>
          <w:lang w:val="es-ES"/>
        </w:rPr>
        <w:footnoteReference w:id="11"/>
      </w:r>
      <w:r w:rsidRPr="00AE6E67">
        <w:rPr>
          <w:rFonts w:ascii="Verdana" w:eastAsia="Calibri" w:hAnsi="Verdana"/>
          <w:color w:val="000000" w:themeColor="text1"/>
          <w:lang w:val="es-ES"/>
        </w:rPr>
        <w:t xml:space="preserve">. Los ejemplos comunes de estos </w:t>
      </w:r>
      <w:r w:rsidRPr="00AE6E67">
        <w:rPr>
          <w:rFonts w:ascii="Verdana" w:eastAsia="Calibri" w:hAnsi="Verdana"/>
          <w:color w:val="000000" w:themeColor="text1"/>
          <w:lang w:val="es-ES"/>
        </w:rPr>
        <w:lastRenderedPageBreak/>
        <w:t xml:space="preserve">contratos son el diseño y construcción de obras, el suministro y la instalación de equipos, la compra de repuestos y la reparación de bienes, entre otros. </w:t>
      </w:r>
    </w:p>
    <w:p w14:paraId="1C6149BD" w14:textId="77777777" w:rsidR="00AE6E67" w:rsidRPr="00AE6E67" w:rsidRDefault="00AE6E67" w:rsidP="00AE6E67">
      <w:pPr>
        <w:spacing w:after="120" w:line="276" w:lineRule="auto"/>
        <w:ind w:firstLine="708"/>
        <w:jc w:val="both"/>
        <w:rPr>
          <w:rFonts w:ascii="Verdana" w:eastAsia="Calibri" w:hAnsi="Verdana"/>
          <w:color w:val="000000" w:themeColor="text1"/>
          <w:lang w:val="es-ES"/>
        </w:rPr>
      </w:pPr>
      <w:r w:rsidRPr="00AE6E67">
        <w:rPr>
          <w:rFonts w:ascii="Verdana" w:eastAsia="Calibri" w:hAnsi="Verdana"/>
          <w:color w:val="000000" w:themeColor="text1"/>
          <w:lang w:val="es-ES"/>
        </w:rPr>
        <w:t xml:space="preserve">En este contexto, es importante diferenciar los “contratos mixtos” de las “uniones de contratos”. En el </w:t>
      </w:r>
      <w:r w:rsidRPr="00AE6E67">
        <w:rPr>
          <w:rFonts w:ascii="Verdana" w:eastAsia="Calibri" w:hAnsi="Verdana"/>
          <w:i/>
          <w:iCs/>
          <w:color w:val="000000" w:themeColor="text1"/>
          <w:lang w:val="es-ES"/>
        </w:rPr>
        <w:t>contrato mixto</w:t>
      </w:r>
      <w:r w:rsidRPr="00AE6E67">
        <w:rPr>
          <w:rFonts w:ascii="Verdana" w:eastAsia="Calibri" w:hAnsi="Verdana"/>
          <w:color w:val="000000" w:themeColor="text1"/>
          <w:lang w:val="es-ES"/>
        </w:rPr>
        <w:t xml:space="preserve"> existe un solo acuerdo con elementos de diversos tipos de contrato, mientras que en las </w:t>
      </w:r>
      <w:r w:rsidRPr="00AE6E67">
        <w:rPr>
          <w:rFonts w:ascii="Verdana" w:eastAsia="Calibri" w:hAnsi="Verdana"/>
          <w:i/>
          <w:iCs/>
          <w:color w:val="000000" w:themeColor="text1"/>
          <w:lang w:val="es-ES"/>
        </w:rPr>
        <w:t>uniones de contrato</w:t>
      </w:r>
      <w:r w:rsidRPr="00AE6E67">
        <w:rPr>
          <w:rFonts w:ascii="Verdana" w:eastAsia="Calibri" w:hAnsi="Verdana"/>
          <w:color w:val="000000" w:themeColor="text1"/>
          <w:lang w:val="es-ES"/>
        </w:rPr>
        <w:t xml:space="preserve"> cada uno de ellos mantiene su régimen y autonomía. Para esta distinción corresponde identificar la causa del contrato, es decir, el móvil para celebrarlo: si existe unidad causal corresponde a un “contrato mixto”; de lo contrario, es una “unión de contratos”</w:t>
      </w:r>
      <w:r w:rsidRPr="00AE6E67">
        <w:rPr>
          <w:rFonts w:ascii="Verdana" w:eastAsia="Calibri" w:hAnsi="Verdana"/>
          <w:color w:val="000000" w:themeColor="text1"/>
          <w:vertAlign w:val="superscript"/>
          <w:lang w:val="es-ES"/>
        </w:rPr>
        <w:footnoteReference w:id="12"/>
      </w:r>
      <w:r w:rsidRPr="00AE6E67">
        <w:rPr>
          <w:rFonts w:ascii="Verdana" w:eastAsia="Calibri" w:hAnsi="Verdana"/>
          <w:color w:val="000000" w:themeColor="text1"/>
          <w:lang w:val="es-ES"/>
        </w:rPr>
        <w:t xml:space="preserve">. </w:t>
      </w:r>
    </w:p>
    <w:p w14:paraId="5B56A0DD" w14:textId="77777777" w:rsidR="00AE6E67" w:rsidRPr="00AE6E67" w:rsidRDefault="00AE6E67" w:rsidP="00AE6E67">
      <w:pPr>
        <w:spacing w:after="120" w:line="276" w:lineRule="auto"/>
        <w:ind w:firstLine="708"/>
        <w:jc w:val="both"/>
        <w:rPr>
          <w:rFonts w:ascii="Verdana" w:eastAsia="Calibri" w:hAnsi="Verdana"/>
          <w:color w:val="000000" w:themeColor="text1"/>
          <w:lang w:val="es-ES"/>
        </w:rPr>
      </w:pPr>
      <w:r w:rsidRPr="00AE6E67">
        <w:rPr>
          <w:rFonts w:ascii="Verdana" w:eastAsia="Calibri" w:hAnsi="Verdana"/>
          <w:color w:val="000000" w:themeColor="text1"/>
          <w:lang w:val="es-ES"/>
        </w:rPr>
        <w:t xml:space="preserve">De acuerdo con la jurisprudencia de la Sala de Casación Civil de la Corte Suprema de Justicia, un sector de la doctrina explica que el régimen contractual de los </w:t>
      </w:r>
      <w:r w:rsidRPr="00AE6E67">
        <w:rPr>
          <w:rFonts w:ascii="Verdana" w:eastAsia="Calibri" w:hAnsi="Verdana"/>
          <w:i/>
          <w:iCs/>
          <w:color w:val="000000" w:themeColor="text1"/>
          <w:lang w:val="es-ES"/>
        </w:rPr>
        <w:t>contratos mixtos</w:t>
      </w:r>
      <w:r w:rsidRPr="00AE6E67">
        <w:rPr>
          <w:rFonts w:ascii="Verdana" w:eastAsia="Calibri" w:hAnsi="Verdana"/>
          <w:color w:val="000000" w:themeColor="text1"/>
          <w:lang w:val="es-ES"/>
        </w:rPr>
        <w:t xml:space="preserve"> se ha determinado por el método de absorción. Conforme a este criterio, debe identificarse el objeto principal de la prestación para aplicar el régimen del contrato típico al que pertenece, es decir, las reglas que disciplinan el acuerdo en su conjunto se someten al contrato nominado del objeto principal. Por ello, “en el contrato mixto habría siempre un elemento prevalente que absorbe los elementos secundarios; esta circunstancia permitiría regular el contrato entero con las normas del contrato nominado correspondiente, el que estaría dotado de una fuerza de expansión respecto de las figuras contractuales que estén provistas de una función económica análoga”</w:t>
      </w:r>
      <w:r w:rsidRPr="00AE6E67">
        <w:rPr>
          <w:rFonts w:ascii="Verdana" w:eastAsia="Calibri" w:hAnsi="Verdana"/>
          <w:color w:val="000000" w:themeColor="text1"/>
          <w:vertAlign w:val="superscript"/>
          <w:lang w:val="es-ES"/>
        </w:rPr>
        <w:footnoteReference w:id="13"/>
      </w:r>
      <w:r w:rsidRPr="00AE6E67">
        <w:rPr>
          <w:rFonts w:ascii="Verdana" w:eastAsia="Calibri" w:hAnsi="Verdana"/>
          <w:color w:val="000000" w:themeColor="text1"/>
          <w:lang w:val="es-ES"/>
        </w:rPr>
        <w:t xml:space="preserve">. </w:t>
      </w:r>
    </w:p>
    <w:p w14:paraId="256629E2" w14:textId="77777777" w:rsidR="00AE6E67" w:rsidRPr="00AE6E67" w:rsidRDefault="00AE6E67" w:rsidP="00AE6E67">
      <w:pPr>
        <w:spacing w:after="120" w:line="276" w:lineRule="auto"/>
        <w:ind w:firstLine="708"/>
        <w:jc w:val="both"/>
        <w:rPr>
          <w:rFonts w:ascii="Verdana" w:eastAsia="Calibri" w:hAnsi="Verdana"/>
          <w:color w:val="000000" w:themeColor="text1"/>
          <w:lang w:val="es-ES"/>
        </w:rPr>
      </w:pPr>
      <w:r w:rsidRPr="00AE6E67">
        <w:rPr>
          <w:rFonts w:ascii="Verdana" w:eastAsia="Calibri" w:hAnsi="Verdana"/>
          <w:color w:val="000000" w:themeColor="text1"/>
          <w:lang w:val="es-ES"/>
        </w:rPr>
        <w:t xml:space="preserve">La jurisprudencia citada también explica los métodos de analogía y combinación. El primero alude a que el contrato atípico se rige por las normas que disciplinan la figura contractual típica más parecida. El segundo, por su parte, considera que, si un contrato comprende prestaciones de diferentes tipologías, deben aplicarse las normas correspondientes a cada figura. Para la </w:t>
      </w:r>
      <w:r w:rsidRPr="00AE6E67">
        <w:rPr>
          <w:rFonts w:ascii="Verdana" w:eastAsia="Calibri" w:hAnsi="Verdana"/>
          <w:color w:val="000000" w:themeColor="text1"/>
          <w:lang w:val="es-ES"/>
        </w:rPr>
        <w:lastRenderedPageBreak/>
        <w:t>Corte Suprema de Justicia, los criterios de absorción y combinación se reducen a la analogía</w:t>
      </w:r>
      <w:r w:rsidRPr="00AE6E67">
        <w:rPr>
          <w:rFonts w:ascii="Verdana" w:eastAsia="Calibri" w:hAnsi="Verdana"/>
          <w:color w:val="000000" w:themeColor="text1"/>
          <w:vertAlign w:val="superscript"/>
          <w:lang w:val="es-ES"/>
        </w:rPr>
        <w:footnoteReference w:id="14"/>
      </w:r>
      <w:r w:rsidRPr="00AE6E67">
        <w:rPr>
          <w:rFonts w:ascii="Verdana" w:eastAsia="Calibri" w:hAnsi="Verdana"/>
          <w:color w:val="000000" w:themeColor="text1"/>
          <w:lang w:val="es-ES"/>
        </w:rPr>
        <w:t>. En todo caso, la doctrina advierte que:</w:t>
      </w:r>
    </w:p>
    <w:p w14:paraId="5B6196A5" w14:textId="77777777" w:rsidR="00AE6E67" w:rsidRPr="00AE6E67" w:rsidRDefault="00AE6E67" w:rsidP="00AE6E67">
      <w:pPr>
        <w:spacing w:after="0" w:line="276" w:lineRule="auto"/>
        <w:ind w:firstLine="708"/>
        <w:jc w:val="both"/>
        <w:rPr>
          <w:rFonts w:ascii="Verdana" w:eastAsia="Calibri" w:hAnsi="Verdana"/>
          <w:color w:val="000000" w:themeColor="text1"/>
          <w:lang w:val="es-ES"/>
        </w:rPr>
      </w:pPr>
    </w:p>
    <w:p w14:paraId="49DD2616" w14:textId="77777777" w:rsidR="00AE6E67" w:rsidRPr="00AE6E67" w:rsidRDefault="00AE6E67" w:rsidP="00AE6E67">
      <w:pPr>
        <w:spacing w:after="0" w:line="240" w:lineRule="auto"/>
        <w:ind w:left="709" w:right="709"/>
        <w:jc w:val="both"/>
        <w:rPr>
          <w:rFonts w:ascii="Verdana" w:eastAsia="Calibri" w:hAnsi="Verdana"/>
          <w:color w:val="000000" w:themeColor="text1"/>
          <w:sz w:val="20"/>
          <w:szCs w:val="20"/>
          <w:lang w:val="es-ES"/>
        </w:rPr>
      </w:pPr>
      <w:r w:rsidRPr="00AE6E67">
        <w:rPr>
          <w:rFonts w:ascii="Verdana" w:eastAsia="Calibri" w:hAnsi="Verdana"/>
          <w:color w:val="000000" w:themeColor="text1"/>
          <w:sz w:val="20"/>
          <w:szCs w:val="20"/>
          <w:lang w:val="es-ES"/>
        </w:rPr>
        <w:t>[...] “la afinidad con otros tipos no excluye una relevancia original y autónoma del contrato”. Por tanto, se hace necesario auscultar también el interés y la intención de las partes en el contrato atípico.</w:t>
      </w:r>
      <w:r w:rsidRPr="00AE6E67">
        <w:rPr>
          <w:rFonts w:ascii="Verdana" w:hAnsi="Verdana"/>
          <w:sz w:val="20"/>
          <w:szCs w:val="20"/>
          <w:lang w:val="es-ES"/>
        </w:rPr>
        <w:t xml:space="preserve"> </w:t>
      </w:r>
      <w:r w:rsidRPr="00AE6E67">
        <w:rPr>
          <w:rFonts w:ascii="Verdana" w:eastAsia="Calibri" w:hAnsi="Verdana"/>
          <w:color w:val="000000" w:themeColor="text1"/>
          <w:sz w:val="20"/>
          <w:szCs w:val="20"/>
          <w:lang w:val="es-ES"/>
        </w:rPr>
        <w:t>En últimas es la autonomía negocial la que da origen a los contratos innominados. La creación de un nuevo tipo contractual no es sino una adecuación progresiva del fenómeno de la autonomía negocial a los intereses específicos de los sujetos. La creación de un nuevo tipo contractual no es sino la adecuación progresiva del fenómeno de la autonomía negocial a los intereses específicos de los sujetos</w:t>
      </w:r>
      <w:r w:rsidRPr="00AE6E67">
        <w:rPr>
          <w:rFonts w:ascii="Verdana" w:eastAsia="Calibri" w:hAnsi="Verdana"/>
          <w:color w:val="000000" w:themeColor="text1"/>
          <w:sz w:val="20"/>
          <w:szCs w:val="20"/>
          <w:vertAlign w:val="superscript"/>
          <w:lang w:val="es-ES"/>
        </w:rPr>
        <w:footnoteReference w:id="15"/>
      </w:r>
      <w:r w:rsidRPr="00AE6E67">
        <w:rPr>
          <w:rFonts w:ascii="Verdana" w:eastAsia="Calibri" w:hAnsi="Verdana"/>
          <w:color w:val="000000" w:themeColor="text1"/>
          <w:sz w:val="20"/>
          <w:szCs w:val="20"/>
          <w:lang w:val="es-ES"/>
        </w:rPr>
        <w:t>.</w:t>
      </w:r>
    </w:p>
    <w:p w14:paraId="440AF448" w14:textId="77777777" w:rsidR="00AE6E67" w:rsidRPr="00AE6E67" w:rsidRDefault="00AE6E67" w:rsidP="00AE6E67">
      <w:pPr>
        <w:spacing w:after="0" w:line="240" w:lineRule="auto"/>
        <w:ind w:left="709" w:right="709"/>
        <w:jc w:val="both"/>
        <w:rPr>
          <w:rFonts w:ascii="Verdana" w:eastAsia="Calibri" w:hAnsi="Verdana"/>
          <w:color w:val="000000" w:themeColor="text1"/>
          <w:sz w:val="20"/>
          <w:szCs w:val="20"/>
          <w:lang w:val="es-ES"/>
        </w:rPr>
      </w:pPr>
    </w:p>
    <w:p w14:paraId="734A4346" w14:textId="77777777" w:rsidR="00AE6E67" w:rsidRPr="00AE6E67" w:rsidRDefault="00AE6E67" w:rsidP="00AE6E67">
      <w:pPr>
        <w:spacing w:after="0" w:line="276" w:lineRule="auto"/>
        <w:ind w:firstLine="708"/>
        <w:jc w:val="both"/>
        <w:rPr>
          <w:rFonts w:ascii="Verdana" w:eastAsia="Calibri" w:hAnsi="Verdana"/>
          <w:color w:val="000000" w:themeColor="text1"/>
          <w:lang w:val="es-ES"/>
        </w:rPr>
      </w:pPr>
      <w:r w:rsidRPr="00AE6E67">
        <w:rPr>
          <w:rFonts w:ascii="Verdana" w:eastAsia="Calibri" w:hAnsi="Verdana"/>
          <w:color w:val="000000" w:themeColor="text1"/>
          <w:lang w:val="es-ES"/>
        </w:rPr>
        <w:t xml:space="preserve">Por su parte, la Sala de Consulta y Servicio Civil del Consejo de Estado explica que es posible la existencia de </w:t>
      </w:r>
      <w:r w:rsidRPr="00AE6E67">
        <w:rPr>
          <w:rFonts w:ascii="Verdana" w:eastAsia="Calibri" w:hAnsi="Verdana"/>
          <w:i/>
          <w:iCs/>
          <w:color w:val="000000" w:themeColor="text1"/>
          <w:lang w:val="es-ES"/>
        </w:rPr>
        <w:t>contratos mixtos</w:t>
      </w:r>
      <w:r w:rsidRPr="00AE6E67">
        <w:rPr>
          <w:rFonts w:ascii="Verdana" w:eastAsia="Calibri" w:hAnsi="Verdana"/>
          <w:color w:val="000000" w:themeColor="text1"/>
          <w:lang w:val="es-ES"/>
        </w:rPr>
        <w:t xml:space="preserve"> que contengan prestaciones correspondientes a varias tipologías contractuales, y en los cuales existe un solo contrato que contiene una prestación principal y unas accesorias que guardan relación directa con la principal. En estos casos, adhiriéndose al método de absorción para efectos de integrar el régimen jurídico aplicable, considera que:</w:t>
      </w:r>
    </w:p>
    <w:p w14:paraId="0303BB76" w14:textId="77777777" w:rsidR="00AE6E67" w:rsidRPr="00AE6E67" w:rsidRDefault="00AE6E67" w:rsidP="00AE6E67">
      <w:pPr>
        <w:spacing w:after="0" w:line="276" w:lineRule="auto"/>
        <w:ind w:firstLine="708"/>
        <w:jc w:val="both"/>
        <w:rPr>
          <w:rFonts w:ascii="Verdana" w:eastAsia="Calibri" w:hAnsi="Verdana"/>
          <w:color w:val="000000" w:themeColor="text1"/>
          <w:lang w:val="es-ES"/>
        </w:rPr>
      </w:pPr>
    </w:p>
    <w:p w14:paraId="413B480D" w14:textId="77777777" w:rsidR="00AE6E67" w:rsidRPr="00AE6E67" w:rsidRDefault="00AE6E67" w:rsidP="00AE6E67">
      <w:pPr>
        <w:spacing w:after="0" w:line="240" w:lineRule="auto"/>
        <w:ind w:left="709" w:right="709"/>
        <w:jc w:val="both"/>
        <w:rPr>
          <w:rFonts w:ascii="Verdana" w:eastAsia="Calibri" w:hAnsi="Verdana"/>
          <w:color w:val="000000" w:themeColor="text1"/>
          <w:sz w:val="20"/>
          <w:szCs w:val="20"/>
          <w:lang w:val="es-ES"/>
        </w:rPr>
      </w:pPr>
      <w:r w:rsidRPr="00AE6E67">
        <w:rPr>
          <w:rFonts w:ascii="Verdana" w:eastAsia="Calibri" w:hAnsi="Verdana"/>
          <w:color w:val="000000" w:themeColor="text1"/>
          <w:sz w:val="20"/>
          <w:szCs w:val="20"/>
          <w:lang w:val="es-ES"/>
        </w:rPr>
        <w:t>“Ante la ausencia y vacío legislativo, para la Sala un criterio de interpretación que ayude a dilucidar esta situación será el de atender al carácter de la prestación principal. El objeto principal, a su vez, podría determinarse en función de cuál es la prestación que tenga el mayor de los valores estimados. Se trata de una regla general que debe centrase en definir el fin buscado por la administración en los términos del artículo 3° de la Ley 80 de 1993”</w:t>
      </w:r>
      <w:r w:rsidRPr="00AE6E67">
        <w:rPr>
          <w:rFonts w:ascii="Verdana" w:eastAsia="Calibri" w:hAnsi="Verdana"/>
          <w:color w:val="000000" w:themeColor="text1"/>
          <w:sz w:val="20"/>
          <w:szCs w:val="20"/>
          <w:vertAlign w:val="superscript"/>
          <w:lang w:val="es-ES"/>
        </w:rPr>
        <w:footnoteReference w:id="16"/>
      </w:r>
      <w:r w:rsidRPr="00AE6E67">
        <w:rPr>
          <w:rFonts w:ascii="Verdana" w:eastAsia="Calibri" w:hAnsi="Verdana"/>
          <w:color w:val="000000" w:themeColor="text1"/>
          <w:sz w:val="20"/>
          <w:szCs w:val="20"/>
          <w:lang w:val="es-ES"/>
        </w:rPr>
        <w:t>.</w:t>
      </w:r>
    </w:p>
    <w:p w14:paraId="1A47FEAF" w14:textId="77777777" w:rsidR="00AE6E67" w:rsidRPr="00AE6E67" w:rsidRDefault="00AE6E67" w:rsidP="00AE6E67">
      <w:pPr>
        <w:spacing w:after="0" w:line="240" w:lineRule="auto"/>
        <w:ind w:left="709" w:right="709"/>
        <w:jc w:val="both"/>
        <w:rPr>
          <w:rFonts w:ascii="Verdana" w:eastAsia="Calibri" w:hAnsi="Verdana"/>
          <w:color w:val="000000" w:themeColor="text1"/>
          <w:sz w:val="20"/>
          <w:szCs w:val="20"/>
          <w:lang w:val="es-ES"/>
        </w:rPr>
      </w:pPr>
    </w:p>
    <w:p w14:paraId="57022F87" w14:textId="77777777" w:rsidR="00AE6E67" w:rsidRPr="00AE6E67" w:rsidRDefault="00AE6E67" w:rsidP="00AE6E67">
      <w:pPr>
        <w:spacing w:after="120" w:line="276" w:lineRule="auto"/>
        <w:ind w:firstLine="708"/>
        <w:jc w:val="both"/>
        <w:rPr>
          <w:rFonts w:ascii="Verdana" w:hAnsi="Verdana" w:cs="Arial"/>
          <w:lang w:val="es-ES" w:eastAsia="es-ES_tradnl"/>
        </w:rPr>
      </w:pPr>
      <w:r w:rsidRPr="00AE6E67">
        <w:rPr>
          <w:rFonts w:ascii="Verdana" w:hAnsi="Verdana" w:cs="Arial"/>
          <w:lang w:val="es-ES" w:eastAsia="es-ES_tradnl"/>
        </w:rPr>
        <w:t xml:space="preserve">Es importante mencionar que sobre este asunto existen vacíos legales, pues el único supuesto regulado frente a estos contratos correspondía a la posibilidad de iniciar un proceso cuyo objeto incorporara tanto el diseño como como la construcción de la obra, caso en el cual se consideraba que debía </w:t>
      </w:r>
      <w:r w:rsidRPr="00AE6E67">
        <w:rPr>
          <w:rFonts w:ascii="Verdana" w:hAnsi="Verdana" w:cs="Arial"/>
          <w:lang w:val="es-ES" w:eastAsia="es-ES_tradnl"/>
        </w:rPr>
        <w:lastRenderedPageBreak/>
        <w:t>realizarse una licitación o selección abreviada</w:t>
      </w:r>
      <w:r w:rsidRPr="00AE6E67">
        <w:rPr>
          <w:rFonts w:ascii="Verdana" w:hAnsi="Verdana" w:cs="Arial"/>
          <w:vertAlign w:val="superscript"/>
          <w:lang w:val="es-ES" w:eastAsia="es-ES_tradnl"/>
        </w:rPr>
        <w:footnoteReference w:id="17"/>
      </w:r>
      <w:r w:rsidRPr="00AE6E67">
        <w:rPr>
          <w:rFonts w:ascii="Verdana" w:hAnsi="Verdana" w:cs="Arial"/>
          <w:lang w:val="es-ES" w:eastAsia="es-ES_tradnl"/>
        </w:rPr>
        <w:t>. En este caso, se priorizaba el proceso utilizado para la contratación de obra, al parecer atendiendo al carácter de la prestación principal.</w:t>
      </w:r>
    </w:p>
    <w:p w14:paraId="09E6317A" w14:textId="77777777" w:rsidR="00AE6E67" w:rsidRPr="00AE6E67" w:rsidRDefault="00AE6E67" w:rsidP="00AE6E67">
      <w:pPr>
        <w:spacing w:before="120" w:after="120" w:line="276" w:lineRule="auto"/>
        <w:ind w:firstLine="708"/>
        <w:jc w:val="both"/>
        <w:rPr>
          <w:rFonts w:ascii="Verdana" w:hAnsi="Verdana" w:cs="Arial"/>
          <w:lang w:val="es-ES" w:eastAsia="es-ES_tradnl"/>
        </w:rPr>
      </w:pPr>
      <w:r w:rsidRPr="00AE6E67">
        <w:rPr>
          <w:rFonts w:ascii="Verdana" w:hAnsi="Verdana" w:cs="Arial"/>
          <w:lang w:val="es-ES" w:eastAsia="es-ES_tradnl"/>
        </w:rPr>
        <w:t>A pesar de lo anterior, la práctica contractual de las entidades muestra que celebran este tipo de negocios jurídicos, por ejemplo, para el suministro de equipos que involucren prestaciones adicionales para su instalación, o que incluyan servicios de mantenimiento y de capacitación para su entrega y puesta en funcionamiento. En estos casos, las entidades no celebran un contrato de compraventa y otro de suministro de bienes muebles, o un contrato de obra y otro de prestación de servicios, sino que realizan un solo negocio jurídico que cuenta con una prestación principal y unas accesorias relacionadas.</w:t>
      </w:r>
    </w:p>
    <w:p w14:paraId="5F04CA38" w14:textId="77777777" w:rsidR="00AE6E67" w:rsidRPr="00AE6E67" w:rsidRDefault="00AE6E67" w:rsidP="00AE6E67">
      <w:pPr>
        <w:spacing w:before="120" w:after="0" w:line="276" w:lineRule="auto"/>
        <w:ind w:firstLine="708"/>
        <w:jc w:val="both"/>
        <w:rPr>
          <w:rFonts w:ascii="Verdana" w:eastAsia="Calibri" w:hAnsi="Verdana" w:cs="Arial"/>
          <w:lang w:val="es-ES"/>
        </w:rPr>
      </w:pPr>
      <w:r w:rsidRPr="00AE6E67">
        <w:rPr>
          <w:rFonts w:ascii="Verdana" w:hAnsi="Verdana" w:cs="Arial"/>
          <w:lang w:val="es-ES" w:eastAsia="es-ES_tradnl"/>
        </w:rPr>
        <w:t xml:space="preserve">En este contexto, el análisis de la normativa aplicable dada la multiplicidad de prestaciones es importante para determinar aspectos como la modalidad de selección que debe utilizar la entidad, la eventual exigencia del Registro Único de Proponentes (RUP), y los requisitos habilitantes o ponderables que deben incorporar en el pliego de condiciones para la selección objetiva de la mejor oferta. En línea con lo señalado por el Consejo de Estado, ante la ausencia y vacío legislativo, se deberá utilizar como criterio de interpretación que ayude a dilucidar esta situación el de atender al carácter de la prestación principal. Bajo este criterio, será posible determinar </w:t>
      </w:r>
      <w:r w:rsidRPr="00AE6E67">
        <w:rPr>
          <w:rFonts w:ascii="Verdana" w:eastAsia="Calibri" w:hAnsi="Verdana" w:cs="Arial"/>
          <w:lang w:val="es-ES"/>
        </w:rPr>
        <w:t>el “objeto principal”, por ejemplo considerando la prestación que represente un mayor valor, previa justificación en los Documentos del Proceso.</w:t>
      </w:r>
    </w:p>
    <w:p w14:paraId="55CEA953" w14:textId="77777777" w:rsidR="00AE6E67" w:rsidRPr="00AE6E67" w:rsidRDefault="00AE6E67" w:rsidP="00AE6E67">
      <w:pPr>
        <w:spacing w:before="120" w:after="0" w:line="276" w:lineRule="auto"/>
        <w:jc w:val="both"/>
        <w:rPr>
          <w:rFonts w:ascii="Verdana" w:eastAsia="Calibri" w:hAnsi="Verdana" w:cs="Arial"/>
          <w:lang w:val="es-ES"/>
        </w:rPr>
      </w:pPr>
      <w:proofErr w:type="spellStart"/>
      <w:r w:rsidRPr="00AE6E67">
        <w:rPr>
          <w:rFonts w:ascii="Verdana" w:eastAsia="Calibri" w:hAnsi="Verdana" w:cs="Arial"/>
          <w:lang w:val="es-ES"/>
        </w:rPr>
        <w:t>iii</w:t>
      </w:r>
      <w:proofErr w:type="spellEnd"/>
      <w:r w:rsidRPr="00AE6E67">
        <w:rPr>
          <w:rFonts w:ascii="Verdana" w:eastAsia="Calibri" w:hAnsi="Verdana" w:cs="Arial"/>
          <w:lang w:val="es-ES"/>
        </w:rPr>
        <w:t>. Adicional a los contratos que incluyen diversas prestaciones que corresponden a tipologías contractuales distintas, el Consejo de Estado se ha referido también a los contratos estatales que abarcan más de una prestación como parte de un mismo objeto contractual</w:t>
      </w:r>
      <w:r w:rsidRPr="00AE6E67">
        <w:rPr>
          <w:rFonts w:ascii="Verdana" w:eastAsia="Calibri" w:hAnsi="Verdana" w:cs="Arial"/>
          <w:vertAlign w:val="superscript"/>
          <w:lang w:val="es-ES"/>
        </w:rPr>
        <w:footnoteReference w:id="18"/>
      </w:r>
      <w:r w:rsidRPr="00AE6E67">
        <w:rPr>
          <w:rFonts w:ascii="Verdana" w:eastAsia="Calibri" w:hAnsi="Verdana" w:cs="Arial"/>
          <w:lang w:val="es-ES"/>
        </w:rPr>
        <w:t xml:space="preserve">. En estos supuestos, el objeto puede incluir diversas actividades que se contraten mediante una misma tipología, como es el caso de </w:t>
      </w:r>
      <w:r w:rsidRPr="00AE6E67">
        <w:rPr>
          <w:rFonts w:ascii="Verdana" w:eastAsia="Calibri" w:hAnsi="Verdana" w:cs="Arial"/>
          <w:lang w:val="es-ES"/>
        </w:rPr>
        <w:lastRenderedPageBreak/>
        <w:t xml:space="preserve">la contratación de dos prestaciones distintas que correspondan a un mismo negocio jurídico de obra pública. </w:t>
      </w:r>
    </w:p>
    <w:p w14:paraId="7442ACF7" w14:textId="77777777" w:rsidR="00AE6E67" w:rsidRPr="00AE6E67" w:rsidRDefault="00AE6E67" w:rsidP="00AE6E67">
      <w:pPr>
        <w:spacing w:before="120" w:after="0" w:line="276" w:lineRule="auto"/>
        <w:jc w:val="both"/>
        <w:rPr>
          <w:rFonts w:ascii="Verdana" w:hAnsi="Verdana" w:cs="Arial"/>
          <w:lang w:val="es-ES" w:eastAsia="es-ES_tradnl"/>
        </w:rPr>
      </w:pPr>
      <w:r w:rsidRPr="00AE6E67">
        <w:rPr>
          <w:rFonts w:ascii="Verdana" w:eastAsia="Calibri" w:hAnsi="Verdana" w:cs="Arial"/>
          <w:lang w:val="es-ES"/>
        </w:rPr>
        <w:tab/>
        <w:t xml:space="preserve">Sobre este asunto, el Consejo de Estado señaló que rige </w:t>
      </w:r>
      <w:r w:rsidRPr="00AE6E67">
        <w:rPr>
          <w:rFonts w:ascii="Verdana" w:hAnsi="Verdana" w:cs="Arial"/>
          <w:lang w:val="es-ES" w:eastAsia="es-ES_tradnl"/>
        </w:rPr>
        <w:t>el principio de autonomía de la voluntad de las partes, en virtud del cual las Entidades Estatales tienen libertad para determinar el contenido y las estipulaciones del contrato en el marco de las disposiciones previstas en el EGCAP, y en aquellas civiles y comerciales que correspondan. En virtud de lo anterior:</w:t>
      </w:r>
    </w:p>
    <w:p w14:paraId="3CF27B70" w14:textId="77777777" w:rsidR="00AE6E67" w:rsidRPr="00AE6E67" w:rsidRDefault="00AE6E67" w:rsidP="00AE6E67">
      <w:pPr>
        <w:spacing w:after="0" w:line="276" w:lineRule="auto"/>
        <w:jc w:val="both"/>
        <w:rPr>
          <w:rFonts w:ascii="Verdana" w:eastAsia="Calibri" w:hAnsi="Verdana" w:cs="Arial"/>
          <w:lang w:val="es-ES"/>
        </w:rPr>
      </w:pPr>
    </w:p>
    <w:p w14:paraId="3D764D55"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 existe libertad en la determinación de la tipología y </w:t>
      </w:r>
      <w:r w:rsidRPr="00AE6E67">
        <w:rPr>
          <w:rFonts w:ascii="Verdana" w:hAnsi="Verdana" w:cs="Arial"/>
          <w:i/>
          <w:iCs/>
          <w:sz w:val="20"/>
          <w:szCs w:val="20"/>
          <w:lang w:val="es-ES" w:eastAsia="es-ES_tradnl"/>
        </w:rPr>
        <w:t>el objeto contractual</w:t>
      </w:r>
      <w:r w:rsidRPr="00AE6E67">
        <w:rPr>
          <w:rFonts w:ascii="Verdana" w:hAnsi="Verdana" w:cs="Arial"/>
          <w:sz w:val="20"/>
          <w:szCs w:val="20"/>
          <w:lang w:val="es-ES" w:eastAsia="es-ES_tradnl"/>
        </w:rPr>
        <w:t xml:space="preserve">, porque, según lo contempla el </w:t>
      </w:r>
      <w:proofErr w:type="spellStart"/>
      <w:r w:rsidRPr="00AE6E67">
        <w:rPr>
          <w:rFonts w:ascii="Verdana" w:hAnsi="Verdana" w:cs="Arial"/>
          <w:sz w:val="20"/>
          <w:szCs w:val="20"/>
          <w:lang w:val="es-ES" w:eastAsia="es-ES_tradnl"/>
        </w:rPr>
        <w:t>artículo</w:t>
      </w:r>
      <w:proofErr w:type="spellEnd"/>
      <w:r w:rsidRPr="00AE6E67">
        <w:rPr>
          <w:rFonts w:ascii="Verdana" w:hAnsi="Verdana" w:cs="Arial"/>
          <w:sz w:val="20"/>
          <w:szCs w:val="20"/>
          <w:lang w:val="es-ES" w:eastAsia="es-ES_tradnl"/>
        </w:rPr>
        <w:t xml:space="preserve"> 40 (inciso tercero) de la ley 80 de 1993, las partes pueden incluir “... las modalidades, condiciones y en general, las cláusulas o estipulaciones que consideren necesarias y convenientes, siempre que no sean contrarias a la Constitución, la ley, el orden </w:t>
      </w:r>
      <w:proofErr w:type="spellStart"/>
      <w:r w:rsidRPr="00AE6E67">
        <w:rPr>
          <w:rFonts w:ascii="Verdana" w:hAnsi="Verdana" w:cs="Arial"/>
          <w:sz w:val="20"/>
          <w:szCs w:val="20"/>
          <w:lang w:val="es-ES" w:eastAsia="es-ES_tradnl"/>
        </w:rPr>
        <w:t>público</w:t>
      </w:r>
      <w:proofErr w:type="spellEnd"/>
      <w:r w:rsidRPr="00AE6E67">
        <w:rPr>
          <w:rFonts w:ascii="Verdana" w:hAnsi="Verdana" w:cs="Arial"/>
          <w:sz w:val="20"/>
          <w:szCs w:val="20"/>
          <w:lang w:val="es-ES" w:eastAsia="es-ES_tradnl"/>
        </w:rPr>
        <w:t xml:space="preserve"> y a los principios y finalidades de esta ley y a los de la buena administración</w:t>
      </w:r>
    </w:p>
    <w:p w14:paraId="7E8180F4"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 </w:t>
      </w:r>
    </w:p>
    <w:p w14:paraId="493D10FE"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El principio de la </w:t>
      </w:r>
      <w:proofErr w:type="spellStart"/>
      <w:r w:rsidRPr="00AE6E67">
        <w:rPr>
          <w:rFonts w:ascii="Verdana" w:hAnsi="Verdana" w:cs="Arial"/>
          <w:sz w:val="20"/>
          <w:szCs w:val="20"/>
          <w:lang w:val="es-ES" w:eastAsia="es-ES_tradnl"/>
        </w:rPr>
        <w:t>autonomía</w:t>
      </w:r>
      <w:proofErr w:type="spellEnd"/>
      <w:r w:rsidRPr="00AE6E67">
        <w:rPr>
          <w:rFonts w:ascii="Verdana" w:hAnsi="Verdana" w:cs="Arial"/>
          <w:sz w:val="20"/>
          <w:szCs w:val="20"/>
          <w:lang w:val="es-ES" w:eastAsia="es-ES_tradnl"/>
        </w:rPr>
        <w:t xml:space="preserve"> de la voluntad conlleva un reconocimiento de autodeterminación por parte de los sujetos contratantes, a los cuales se reconoce capacidad para regular aquellos intereses que les son propios […]” </w:t>
      </w:r>
    </w:p>
    <w:p w14:paraId="46C1BFF5" w14:textId="77777777" w:rsidR="00AE6E67" w:rsidRPr="00AE6E67" w:rsidRDefault="00AE6E67" w:rsidP="00AE6E67">
      <w:pPr>
        <w:spacing w:after="0" w:line="276" w:lineRule="auto"/>
        <w:jc w:val="both"/>
        <w:rPr>
          <w:rFonts w:ascii="Verdana" w:hAnsi="Verdana" w:cs="Arial"/>
          <w:lang w:val="es-ES" w:eastAsia="es-ES_tradnl"/>
        </w:rPr>
      </w:pPr>
    </w:p>
    <w:p w14:paraId="11EDF21F" w14:textId="77777777" w:rsidR="00AE6E67" w:rsidRPr="00AE6E67" w:rsidRDefault="00AE6E67" w:rsidP="00AE6E67">
      <w:pPr>
        <w:spacing w:after="0" w:line="276" w:lineRule="auto"/>
        <w:jc w:val="both"/>
        <w:rPr>
          <w:rFonts w:ascii="Verdana" w:hAnsi="Verdana" w:cs="Arial"/>
          <w:lang w:val="es-ES" w:eastAsia="es-ES_tradnl"/>
        </w:rPr>
      </w:pPr>
      <w:r w:rsidRPr="00AE6E67">
        <w:rPr>
          <w:rFonts w:ascii="Verdana" w:hAnsi="Verdana" w:cs="Arial"/>
          <w:lang w:val="es-ES" w:eastAsia="es-ES_tradnl"/>
        </w:rPr>
        <w:tab/>
        <w:t>Sin embargo, el ejercicio de dicha autonomía para determinar tanto la tipología como el objeto contractual no es ilimitado. En efecto, la actuación de las entidades deberá estar siempre enmarcada por el principio de legalidad, el cual impone los siguientes parámetros en materia de contratación estatal:</w:t>
      </w:r>
    </w:p>
    <w:p w14:paraId="706E5A1D" w14:textId="77777777" w:rsidR="00AE6E67" w:rsidRPr="00AE6E67" w:rsidRDefault="00AE6E67" w:rsidP="00AE6E67">
      <w:pPr>
        <w:spacing w:after="0" w:line="276" w:lineRule="auto"/>
        <w:jc w:val="both"/>
        <w:rPr>
          <w:rFonts w:ascii="Verdana" w:hAnsi="Verdana" w:cs="Arial"/>
          <w:lang w:val="es-ES" w:eastAsia="es-ES_tradnl"/>
        </w:rPr>
      </w:pPr>
    </w:p>
    <w:p w14:paraId="5483F5FB"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“a. El principio de la </w:t>
      </w:r>
      <w:proofErr w:type="spellStart"/>
      <w:r w:rsidRPr="00AE6E67">
        <w:rPr>
          <w:rFonts w:ascii="Verdana" w:hAnsi="Verdana" w:cs="Arial"/>
          <w:sz w:val="20"/>
          <w:szCs w:val="20"/>
          <w:lang w:val="es-ES" w:eastAsia="es-ES_tradnl"/>
        </w:rPr>
        <w:t>autonomía</w:t>
      </w:r>
      <w:proofErr w:type="spellEnd"/>
      <w:r w:rsidRPr="00AE6E67">
        <w:rPr>
          <w:rFonts w:ascii="Verdana" w:hAnsi="Verdana" w:cs="Arial"/>
          <w:sz w:val="20"/>
          <w:szCs w:val="20"/>
          <w:lang w:val="es-ES" w:eastAsia="es-ES_tradnl"/>
        </w:rPr>
        <w:t xml:space="preserve"> de la voluntad rige en la </w:t>
      </w:r>
      <w:proofErr w:type="spellStart"/>
      <w:r w:rsidRPr="00AE6E67">
        <w:rPr>
          <w:rFonts w:ascii="Verdana" w:hAnsi="Verdana" w:cs="Arial"/>
          <w:sz w:val="20"/>
          <w:szCs w:val="20"/>
          <w:lang w:val="es-ES" w:eastAsia="es-ES_tradnl"/>
        </w:rPr>
        <w:t>contratación</w:t>
      </w:r>
      <w:proofErr w:type="spellEnd"/>
      <w:r w:rsidRPr="00AE6E67">
        <w:rPr>
          <w:rFonts w:ascii="Verdana" w:hAnsi="Verdana" w:cs="Arial"/>
          <w:sz w:val="20"/>
          <w:szCs w:val="20"/>
          <w:lang w:val="es-ES" w:eastAsia="es-ES_tradnl"/>
        </w:rPr>
        <w:t xml:space="preserve"> Estatal, en virtud </w:t>
      </w:r>
      <w:proofErr w:type="gramStart"/>
      <w:r w:rsidRPr="00AE6E67">
        <w:rPr>
          <w:rFonts w:ascii="Verdana" w:hAnsi="Verdana" w:cs="Arial"/>
          <w:sz w:val="20"/>
          <w:szCs w:val="20"/>
          <w:lang w:val="es-ES" w:eastAsia="es-ES_tradnl"/>
        </w:rPr>
        <w:t>del mismo</w:t>
      </w:r>
      <w:proofErr w:type="gramEnd"/>
      <w:r w:rsidRPr="00AE6E67">
        <w:rPr>
          <w:rFonts w:ascii="Verdana" w:hAnsi="Verdana" w:cs="Arial"/>
          <w:sz w:val="20"/>
          <w:szCs w:val="20"/>
          <w:lang w:val="es-ES" w:eastAsia="es-ES_tradnl"/>
        </w:rPr>
        <w:t xml:space="preserve"> los contratos celebrados crean obligaciones entre las partes. </w:t>
      </w:r>
    </w:p>
    <w:p w14:paraId="65808A4E"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b/>
          <w:bCs/>
          <w:sz w:val="20"/>
          <w:szCs w:val="20"/>
          <w:lang w:val="es-ES" w:eastAsia="es-ES_tradnl"/>
        </w:rPr>
        <w:t xml:space="preserve">b. Las obligaciones que pueden llegar a pactarse en un negocio jurídico estatal no se circunscriben a las consignadas en el estatuto de </w:t>
      </w:r>
      <w:proofErr w:type="spellStart"/>
      <w:r w:rsidRPr="00AE6E67">
        <w:rPr>
          <w:rFonts w:ascii="Verdana" w:hAnsi="Verdana" w:cs="Arial"/>
          <w:b/>
          <w:bCs/>
          <w:sz w:val="20"/>
          <w:szCs w:val="20"/>
          <w:lang w:val="es-ES" w:eastAsia="es-ES_tradnl"/>
        </w:rPr>
        <w:t>contratación</w:t>
      </w:r>
      <w:proofErr w:type="spellEnd"/>
      <w:r w:rsidRPr="00AE6E67">
        <w:rPr>
          <w:rFonts w:ascii="Verdana" w:hAnsi="Verdana" w:cs="Arial"/>
          <w:b/>
          <w:bCs/>
          <w:sz w:val="20"/>
          <w:szCs w:val="20"/>
          <w:lang w:val="es-ES" w:eastAsia="es-ES_tradnl"/>
        </w:rPr>
        <w:t xml:space="preserve"> estatal, en las normas civiles o comerciales, sino que pueden obedecer al libre querer de las partes</w:t>
      </w:r>
      <w:r w:rsidRPr="00AE6E67">
        <w:rPr>
          <w:rFonts w:ascii="Verdana" w:hAnsi="Verdana" w:cs="Arial"/>
          <w:sz w:val="20"/>
          <w:szCs w:val="20"/>
          <w:lang w:val="es-ES" w:eastAsia="es-ES_tradnl"/>
        </w:rPr>
        <w:t xml:space="preserve">. </w:t>
      </w:r>
    </w:p>
    <w:p w14:paraId="0F46B04D"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c. </w:t>
      </w:r>
      <w:proofErr w:type="spellStart"/>
      <w:r w:rsidRPr="00AE6E67">
        <w:rPr>
          <w:rFonts w:ascii="Verdana" w:hAnsi="Verdana" w:cs="Arial"/>
          <w:sz w:val="20"/>
          <w:szCs w:val="20"/>
          <w:lang w:val="es-ES" w:eastAsia="es-ES_tradnl"/>
        </w:rPr>
        <w:t>Aún</w:t>
      </w:r>
      <w:proofErr w:type="spellEnd"/>
      <w:r w:rsidRPr="00AE6E67">
        <w:rPr>
          <w:rFonts w:ascii="Verdana" w:hAnsi="Verdana" w:cs="Arial"/>
          <w:sz w:val="20"/>
          <w:szCs w:val="20"/>
          <w:lang w:val="es-ES" w:eastAsia="es-ES_tradnl"/>
        </w:rPr>
        <w:t xml:space="preserve"> cuando se reconozca libertad en la determinación de las obligaciones, tratándose de contratos administrativos, estos siempre deben responder a la satisfacción de intereses generales, respetar el patrimonio </w:t>
      </w:r>
      <w:proofErr w:type="spellStart"/>
      <w:r w:rsidRPr="00AE6E67">
        <w:rPr>
          <w:rFonts w:ascii="Verdana" w:hAnsi="Verdana" w:cs="Arial"/>
          <w:sz w:val="20"/>
          <w:szCs w:val="20"/>
          <w:lang w:val="es-ES" w:eastAsia="es-ES_tradnl"/>
        </w:rPr>
        <w:t>público</w:t>
      </w:r>
      <w:proofErr w:type="spellEnd"/>
      <w:r w:rsidRPr="00AE6E67">
        <w:rPr>
          <w:rFonts w:ascii="Verdana" w:hAnsi="Verdana" w:cs="Arial"/>
          <w:sz w:val="20"/>
          <w:szCs w:val="20"/>
          <w:lang w:val="es-ES" w:eastAsia="es-ES_tradnl"/>
        </w:rPr>
        <w:t xml:space="preserve"> y ser acordes con el derecho colectivo a la moralidad administrativa. Esta circunstancia pone de presente que la libertad negocial reconocida a las autoridades administrativas no es equivalente a aquella reconocida a los particulares y por ello siempre está sometida a principios de derecho </w:t>
      </w:r>
      <w:proofErr w:type="spellStart"/>
      <w:r w:rsidRPr="00AE6E67">
        <w:rPr>
          <w:rFonts w:ascii="Verdana" w:hAnsi="Verdana" w:cs="Arial"/>
          <w:sz w:val="20"/>
          <w:szCs w:val="20"/>
          <w:lang w:val="es-ES" w:eastAsia="es-ES_tradnl"/>
        </w:rPr>
        <w:t>público</w:t>
      </w:r>
      <w:proofErr w:type="spellEnd"/>
      <w:r w:rsidRPr="00AE6E67">
        <w:rPr>
          <w:rFonts w:ascii="Verdana" w:hAnsi="Verdana" w:cs="Arial"/>
          <w:sz w:val="20"/>
          <w:szCs w:val="20"/>
          <w:lang w:val="es-ES" w:eastAsia="es-ES_tradnl"/>
        </w:rPr>
        <w:t xml:space="preserve">. </w:t>
      </w:r>
    </w:p>
    <w:p w14:paraId="25E624E9"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lastRenderedPageBreak/>
        <w:t xml:space="preserve">d. El Estatuto General de </w:t>
      </w:r>
      <w:proofErr w:type="spellStart"/>
      <w:r w:rsidRPr="00AE6E67">
        <w:rPr>
          <w:rFonts w:ascii="Verdana" w:hAnsi="Verdana" w:cs="Arial"/>
          <w:sz w:val="20"/>
          <w:szCs w:val="20"/>
          <w:lang w:val="es-ES" w:eastAsia="es-ES_tradnl"/>
        </w:rPr>
        <w:t>Contratación</w:t>
      </w:r>
      <w:proofErr w:type="spellEnd"/>
      <w:r w:rsidRPr="00AE6E67">
        <w:rPr>
          <w:rFonts w:ascii="Verdana" w:hAnsi="Verdana" w:cs="Arial"/>
          <w:sz w:val="20"/>
          <w:szCs w:val="20"/>
          <w:lang w:val="es-ES" w:eastAsia="es-ES_tradnl"/>
        </w:rPr>
        <w:t xml:space="preserve"> Estatal, (sic) reconoce el poder a las partes de estipular obligaciones que den contenido a negocios jurídicos que no son nominados o </w:t>
      </w:r>
      <w:proofErr w:type="spellStart"/>
      <w:r w:rsidRPr="00AE6E67">
        <w:rPr>
          <w:rFonts w:ascii="Verdana" w:hAnsi="Verdana" w:cs="Arial"/>
          <w:sz w:val="20"/>
          <w:szCs w:val="20"/>
          <w:lang w:val="es-ES" w:eastAsia="es-ES_tradnl"/>
        </w:rPr>
        <w:t>típicos</w:t>
      </w:r>
      <w:proofErr w:type="spellEnd"/>
      <w:r w:rsidRPr="00AE6E67">
        <w:rPr>
          <w:rFonts w:ascii="Verdana" w:hAnsi="Verdana" w:cs="Arial"/>
          <w:sz w:val="20"/>
          <w:szCs w:val="20"/>
          <w:lang w:val="es-ES" w:eastAsia="es-ES_tradnl"/>
        </w:rPr>
        <w:t xml:space="preserve">, posibilidad enmarcada obviamente dentro de las necesidades del servicio, sin que ello implique un desconocimiento de las limitaciones que puedan llegar a desprenderse del ordenamiento </w:t>
      </w:r>
      <w:proofErr w:type="spellStart"/>
      <w:r w:rsidRPr="00AE6E67">
        <w:rPr>
          <w:rFonts w:ascii="Verdana" w:hAnsi="Verdana" w:cs="Arial"/>
          <w:sz w:val="20"/>
          <w:szCs w:val="20"/>
          <w:lang w:val="es-ES" w:eastAsia="es-ES_tradnl"/>
        </w:rPr>
        <w:t>jurídico</w:t>
      </w:r>
      <w:proofErr w:type="spellEnd"/>
      <w:r w:rsidRPr="00AE6E67">
        <w:rPr>
          <w:rFonts w:ascii="Verdana" w:hAnsi="Verdana" w:cs="Arial"/>
          <w:sz w:val="20"/>
          <w:szCs w:val="20"/>
          <w:lang w:val="es-ES" w:eastAsia="es-ES_tradnl"/>
        </w:rPr>
        <w:t xml:space="preserve"> […]</w:t>
      </w:r>
      <w:r w:rsidRPr="00AE6E67">
        <w:rPr>
          <w:rFonts w:ascii="Verdana" w:hAnsi="Verdana" w:cs="Arial"/>
          <w:sz w:val="20"/>
          <w:szCs w:val="20"/>
          <w:vertAlign w:val="superscript"/>
          <w:lang w:val="es-ES" w:eastAsia="es-ES_tradnl"/>
        </w:rPr>
        <w:footnoteReference w:id="19"/>
      </w:r>
      <w:r w:rsidRPr="00AE6E67">
        <w:rPr>
          <w:rFonts w:ascii="Verdana" w:hAnsi="Verdana" w:cs="Arial"/>
          <w:sz w:val="20"/>
          <w:szCs w:val="20"/>
          <w:lang w:val="es-ES" w:eastAsia="es-ES_tradnl"/>
        </w:rPr>
        <w:t>”.</w:t>
      </w:r>
    </w:p>
    <w:p w14:paraId="0922B532" w14:textId="77777777" w:rsidR="00AE6E67" w:rsidRPr="00AE6E67" w:rsidRDefault="00AE6E67" w:rsidP="00AE6E67">
      <w:pPr>
        <w:spacing w:after="0" w:line="240" w:lineRule="auto"/>
        <w:ind w:left="709" w:right="709"/>
        <w:jc w:val="both"/>
        <w:rPr>
          <w:rFonts w:ascii="Verdana" w:hAnsi="Verdana" w:cs="Arial"/>
          <w:sz w:val="21"/>
          <w:szCs w:val="21"/>
          <w:lang w:val="es-ES" w:eastAsia="es-ES_tradnl"/>
        </w:rPr>
      </w:pPr>
    </w:p>
    <w:p w14:paraId="138DFBA2" w14:textId="77777777" w:rsidR="00AE6E67" w:rsidRPr="00AE6E67" w:rsidRDefault="00AE6E67" w:rsidP="00AE6E67">
      <w:pPr>
        <w:spacing w:after="120" w:line="276" w:lineRule="auto"/>
        <w:ind w:firstLine="708"/>
        <w:jc w:val="both"/>
        <w:rPr>
          <w:rFonts w:ascii="Verdana" w:hAnsi="Verdana" w:cs="Arial"/>
          <w:lang w:val="es-ES" w:eastAsia="es-ES_tradnl"/>
        </w:rPr>
      </w:pPr>
      <w:r w:rsidRPr="00AE6E67">
        <w:rPr>
          <w:rFonts w:ascii="Verdana" w:hAnsi="Verdana" w:cs="Arial"/>
          <w:lang w:val="es-ES" w:eastAsia="es-ES_tradnl"/>
        </w:rPr>
        <w:t xml:space="preserve">Adicionalmente, el ordenamiento jurídico no dispuso alguna prohibición o límite que impida a las entidades pactar “objetos simultáneos”, “pluralidad de objetos” o “prestaciones mixtas”. Por el contrario, el principio de la autonomía de la voluntad permite que las Entidades Estatales tengan libertad para pactar el objeto del contrato, sus cláusulas y las obligaciones de las partes. En consecuencia, las entidades podrían establecer libremente la contratación de dos actividades como parte de un solo objeto contractual, según las necesidades que requieran satisfacer dentro del marco constitucional y legal. </w:t>
      </w:r>
    </w:p>
    <w:p w14:paraId="48FB3FBB" w14:textId="77777777" w:rsidR="00AE6E67" w:rsidRPr="00AE6E67" w:rsidRDefault="00AE6E67" w:rsidP="00AE6E67">
      <w:pPr>
        <w:spacing w:after="120" w:line="276" w:lineRule="auto"/>
        <w:jc w:val="both"/>
        <w:rPr>
          <w:rFonts w:ascii="Verdana" w:hAnsi="Verdana" w:cs="Arial"/>
          <w:lang w:val="es-ES" w:eastAsia="es-ES_tradnl"/>
        </w:rPr>
      </w:pPr>
      <w:proofErr w:type="spellStart"/>
      <w:r w:rsidRPr="00AE6E67">
        <w:rPr>
          <w:rFonts w:ascii="Verdana" w:hAnsi="Verdana" w:cs="Arial"/>
          <w:lang w:val="es-ES" w:eastAsia="es-ES_tradnl"/>
        </w:rPr>
        <w:t>iv</w:t>
      </w:r>
      <w:proofErr w:type="spellEnd"/>
      <w:r w:rsidRPr="00AE6E67">
        <w:rPr>
          <w:rFonts w:ascii="Verdana" w:hAnsi="Verdana" w:cs="Arial"/>
          <w:lang w:val="es-ES" w:eastAsia="es-ES_tradnl"/>
        </w:rPr>
        <w:t xml:space="preserve">. Al margen de lo expuesto, la posibilidad de celebrar “contratos mixtos” o pactar “pluralidad de objetos” tiene un límite claro relacionado con la conexidad o vinculación entre las actividades o prestaciones. Al respecto el Consejo de Estado señaló que: </w:t>
      </w:r>
    </w:p>
    <w:p w14:paraId="69C8C684"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 Como elemento esencial para permitir la existencia de prestaciones mixtas en un mismo contrato y por lo tanto, la existencia de un contrato mixto es necesario que las prestaciones correspondientes que pretendan fusionarse </w:t>
      </w:r>
      <w:r w:rsidRPr="00AE6E67">
        <w:rPr>
          <w:rFonts w:ascii="Verdana" w:hAnsi="Verdana" w:cs="Arial"/>
          <w:b/>
          <w:bCs/>
          <w:sz w:val="20"/>
          <w:szCs w:val="20"/>
          <w:lang w:val="es-ES" w:eastAsia="es-ES_tradnl"/>
        </w:rPr>
        <w:t>se encuentren directamente vinculadas entre sí, de tal manera que mantengan relaciones de complemento y que permitan predicar su tratamiento solo como una unidad funcional dirigida a la satisfacción de la necesidad de la entidad</w:t>
      </w:r>
      <w:r w:rsidRPr="00AE6E67">
        <w:rPr>
          <w:rFonts w:ascii="Verdana" w:hAnsi="Verdana" w:cs="Arial"/>
          <w:sz w:val="20"/>
          <w:szCs w:val="20"/>
          <w:lang w:val="es-ES" w:eastAsia="es-ES_tradnl"/>
        </w:rPr>
        <w:t xml:space="preserve">. No sería procedente incorporar en un solo contrato prestaciones que conservan su autonomía y no se encuentran directamente vinculadas con las otras prestaciones. Ahora bien, la doctrina se ha referido a los contratos atípicos y los ha clasificado en dos categorías: los contratos que no tienen tipicidad legal pero si tienen tipicidad social, y por otra, aquellos contratos que no tienen tipicidad legal ni social. Dentro de los contratos atípicos con tipicidad social, se consideran incluidos los contratos mixtos, que en virtud del principio de la autonomía de la voluntad los particulares pueden crear nuevas figuras contractuales, en donde se conjugan los elementos de diversos contratos típicos en un solo contrato el cual tomará la denominación de contrato mixto. Por otra parte, en los contratos que no tienen tipicidad legal ni social, se encuentran las uniones de contratos. (…) </w:t>
      </w:r>
      <w:r w:rsidRPr="00AE6E67">
        <w:rPr>
          <w:rFonts w:ascii="Verdana" w:hAnsi="Verdana" w:cs="Arial"/>
          <w:sz w:val="20"/>
          <w:szCs w:val="20"/>
          <w:lang w:val="es-ES" w:eastAsia="es-ES_tradnl"/>
        </w:rPr>
        <w:lastRenderedPageBreak/>
        <w:t>Es importante diferenciar los contratos mixtos de las uniones de contratos, ya que en el contrato mixto existe un solo contrato, con elementos de diversos contratos, mientras que en las uniones de contrato cada contrato mantiene su régimen y autonomía. Este elemento de distinción, según esta doctrina, corresponde a identificar la causa del contrato, es decir, el móvil que tiene la administración para celebrar el contrato. Si hay unidad de causa corresponderá a un contrato mixto, si hay diversidad de causas, estaremos frente a una unión de contratos […]</w:t>
      </w:r>
      <w:r w:rsidRPr="00AE6E67">
        <w:rPr>
          <w:rFonts w:ascii="Verdana" w:hAnsi="Verdana" w:cs="Arial"/>
          <w:sz w:val="20"/>
          <w:szCs w:val="20"/>
          <w:vertAlign w:val="superscript"/>
          <w:lang w:val="es-ES" w:eastAsia="es-ES_tradnl"/>
        </w:rPr>
        <w:footnoteReference w:id="20"/>
      </w:r>
      <w:r w:rsidRPr="00AE6E67">
        <w:rPr>
          <w:rFonts w:ascii="Verdana" w:hAnsi="Verdana" w:cs="Arial"/>
          <w:sz w:val="20"/>
          <w:szCs w:val="20"/>
          <w:lang w:val="es-ES" w:eastAsia="es-ES_tradnl"/>
        </w:rPr>
        <w:t>”. [Énfasis propio]</w:t>
      </w:r>
    </w:p>
    <w:p w14:paraId="5674B122" w14:textId="77777777" w:rsidR="00AE6E67" w:rsidRPr="00AE6E67" w:rsidRDefault="00AE6E67" w:rsidP="00AE6E67">
      <w:pPr>
        <w:spacing w:after="0" w:line="276" w:lineRule="auto"/>
        <w:jc w:val="both"/>
        <w:rPr>
          <w:rFonts w:ascii="Verdana" w:hAnsi="Verdana" w:cs="Arial"/>
          <w:lang w:val="es-ES" w:eastAsia="es-ES_tradnl"/>
        </w:rPr>
      </w:pPr>
    </w:p>
    <w:p w14:paraId="55BC56DE" w14:textId="77777777" w:rsidR="00AE6E67" w:rsidRPr="00AE6E67" w:rsidRDefault="00AE6E67" w:rsidP="00AE6E67">
      <w:pPr>
        <w:spacing w:after="0" w:line="276" w:lineRule="auto"/>
        <w:ind w:firstLine="708"/>
        <w:jc w:val="both"/>
        <w:rPr>
          <w:rFonts w:ascii="Verdana" w:hAnsi="Verdana" w:cs="Arial"/>
          <w:lang w:val="es-ES" w:eastAsia="es-ES_tradnl"/>
        </w:rPr>
      </w:pPr>
      <w:r w:rsidRPr="00AE6E67">
        <w:rPr>
          <w:rFonts w:ascii="Verdana" w:hAnsi="Verdana" w:cs="Arial"/>
          <w:lang w:val="es-ES" w:eastAsia="es-ES_tradnl"/>
        </w:rPr>
        <w:t xml:space="preserve">La doctrina también ha resaltado la importancia del criterio de conexidad cuando las entidades pacten pluralidad de objetos o prestaciones mixtas, en los siguientes términos: </w:t>
      </w:r>
    </w:p>
    <w:p w14:paraId="355D639B" w14:textId="77777777" w:rsidR="00AE6E67" w:rsidRPr="00AE6E67" w:rsidRDefault="00AE6E67" w:rsidP="00AE6E67">
      <w:pPr>
        <w:spacing w:after="0" w:line="276" w:lineRule="auto"/>
        <w:ind w:firstLine="708"/>
        <w:jc w:val="both"/>
        <w:rPr>
          <w:rFonts w:ascii="Verdana" w:hAnsi="Verdana" w:cs="Arial"/>
          <w:lang w:val="es-ES" w:eastAsia="es-ES_tradnl"/>
        </w:rPr>
      </w:pPr>
    </w:p>
    <w:p w14:paraId="5AC30CCB"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“Es posible que la necesidad del servicio que lleva a la administración a iniciar el proceso precontractual contemple prestaciones mixtas a cargo del concurrente, que puedan tipificar diferentes tipos de contratos.</w:t>
      </w:r>
    </w:p>
    <w:p w14:paraId="07CEBFA3"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 </w:t>
      </w:r>
    </w:p>
    <w:p w14:paraId="219A754E"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El objeto de un proceso de </w:t>
      </w:r>
      <w:proofErr w:type="spellStart"/>
      <w:r w:rsidRPr="00AE6E67">
        <w:rPr>
          <w:rFonts w:ascii="Verdana" w:hAnsi="Verdana" w:cs="Arial"/>
          <w:sz w:val="20"/>
          <w:szCs w:val="20"/>
          <w:lang w:val="es-ES" w:eastAsia="es-ES_tradnl"/>
        </w:rPr>
        <w:t>selección</w:t>
      </w:r>
      <w:proofErr w:type="spellEnd"/>
      <w:r w:rsidRPr="00AE6E67">
        <w:rPr>
          <w:rFonts w:ascii="Verdana" w:hAnsi="Verdana" w:cs="Arial"/>
          <w:sz w:val="20"/>
          <w:szCs w:val="20"/>
          <w:lang w:val="es-ES" w:eastAsia="es-ES_tradnl"/>
        </w:rPr>
        <w:t xml:space="preserve"> puede corresponder al suministro de equipos de alta tecnología, con la instalación y construcción de obras para el efecto, y prestaciones de servicio de mantenimiento de los bienes, soporte sobre la infraestructura informática y capacitación a los funcionarios de la entidad. Los contratos ‘</w:t>
      </w:r>
      <w:r w:rsidRPr="00AE6E67">
        <w:rPr>
          <w:rFonts w:ascii="Verdana" w:hAnsi="Verdana" w:cs="Arial"/>
          <w:i/>
          <w:iCs/>
          <w:sz w:val="20"/>
          <w:szCs w:val="20"/>
          <w:lang w:val="es-ES" w:eastAsia="es-ES_tradnl"/>
        </w:rPr>
        <w:t xml:space="preserve">llave en mano’ </w:t>
      </w:r>
      <w:r w:rsidRPr="00AE6E67">
        <w:rPr>
          <w:rFonts w:ascii="Verdana" w:hAnsi="Verdana" w:cs="Arial"/>
          <w:sz w:val="20"/>
          <w:szCs w:val="20"/>
          <w:lang w:val="es-ES" w:eastAsia="es-ES_tradnl"/>
        </w:rPr>
        <w:t xml:space="preserve">donde se pacta un resultado, para entregar el objeto contratado en pleno funcionamiento, pueden incorporar prestaciones de suministro de bienes, construcción de obras y prestación de servicios. </w:t>
      </w:r>
    </w:p>
    <w:p w14:paraId="3D9307CE"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p>
    <w:p w14:paraId="4C9F34D7" w14:textId="77777777" w:rsidR="00AE6E67" w:rsidRPr="00AE6E67" w:rsidRDefault="00AE6E67" w:rsidP="00AE6E67">
      <w:pPr>
        <w:spacing w:after="0" w:line="240" w:lineRule="auto"/>
        <w:ind w:left="709" w:right="709"/>
        <w:jc w:val="both"/>
        <w:rPr>
          <w:rFonts w:ascii="Verdana" w:hAnsi="Verdana" w:cs="Arial"/>
          <w:sz w:val="20"/>
          <w:szCs w:val="20"/>
          <w:lang w:val="es-ES" w:eastAsia="es-ES_tradnl"/>
        </w:rPr>
      </w:pPr>
      <w:r w:rsidRPr="00AE6E67">
        <w:rPr>
          <w:rFonts w:ascii="Verdana" w:hAnsi="Verdana" w:cs="Arial"/>
          <w:sz w:val="20"/>
          <w:szCs w:val="20"/>
          <w:lang w:val="es-ES" w:eastAsia="es-ES_tradnl"/>
        </w:rPr>
        <w:t xml:space="preserve">Estos procesos de </w:t>
      </w:r>
      <w:proofErr w:type="spellStart"/>
      <w:r w:rsidRPr="00AE6E67">
        <w:rPr>
          <w:rFonts w:ascii="Verdana" w:hAnsi="Verdana" w:cs="Arial"/>
          <w:sz w:val="20"/>
          <w:szCs w:val="20"/>
          <w:lang w:val="es-ES" w:eastAsia="es-ES_tradnl"/>
        </w:rPr>
        <w:t>selección</w:t>
      </w:r>
      <w:proofErr w:type="spellEnd"/>
      <w:r w:rsidRPr="00AE6E67">
        <w:rPr>
          <w:rFonts w:ascii="Verdana" w:hAnsi="Verdana" w:cs="Arial"/>
          <w:sz w:val="20"/>
          <w:szCs w:val="20"/>
          <w:lang w:val="es-ES" w:eastAsia="es-ES_tradnl"/>
        </w:rPr>
        <w:t xml:space="preserve"> podrán adelantarse con pluralidad de objetos, </w:t>
      </w:r>
      <w:r w:rsidRPr="00AE6E67">
        <w:rPr>
          <w:rFonts w:ascii="Verdana" w:hAnsi="Verdana" w:cs="Arial"/>
          <w:b/>
          <w:bCs/>
          <w:sz w:val="20"/>
          <w:szCs w:val="20"/>
          <w:lang w:val="es-ES" w:eastAsia="es-ES_tradnl"/>
        </w:rPr>
        <w:t>siempre y cuando las prestaciones se encuentren directamente vinculadas entre sí, resulten complementarias o deban ser tratadas como inescindibles o en forma integral</w:t>
      </w:r>
      <w:r w:rsidRPr="00AE6E67">
        <w:rPr>
          <w:rFonts w:ascii="Verdana" w:hAnsi="Verdana" w:cs="Arial"/>
          <w:sz w:val="20"/>
          <w:szCs w:val="20"/>
          <w:lang w:val="es-ES" w:eastAsia="es-ES_tradnl"/>
        </w:rPr>
        <w:t xml:space="preserve"> [...]</w:t>
      </w:r>
      <w:r w:rsidRPr="00AE6E67">
        <w:rPr>
          <w:rFonts w:ascii="Verdana" w:hAnsi="Verdana" w:cs="Arial"/>
          <w:sz w:val="20"/>
          <w:szCs w:val="20"/>
          <w:vertAlign w:val="superscript"/>
          <w:lang w:val="es-ES" w:eastAsia="es-ES_tradnl"/>
        </w:rPr>
        <w:footnoteReference w:id="21"/>
      </w:r>
      <w:r w:rsidRPr="00AE6E67">
        <w:rPr>
          <w:rFonts w:ascii="Verdana" w:hAnsi="Verdana" w:cs="Arial"/>
          <w:sz w:val="20"/>
          <w:szCs w:val="20"/>
          <w:lang w:val="es-ES" w:eastAsia="es-ES_tradnl"/>
        </w:rPr>
        <w:t>. [Énfasis propio]</w:t>
      </w:r>
    </w:p>
    <w:p w14:paraId="12BAEF21" w14:textId="77777777" w:rsidR="00AE6E67" w:rsidRPr="00AE6E67" w:rsidRDefault="00AE6E67" w:rsidP="00AE6E67">
      <w:pPr>
        <w:spacing w:after="0" w:line="276" w:lineRule="auto"/>
        <w:jc w:val="both"/>
        <w:rPr>
          <w:rFonts w:ascii="Verdana" w:hAnsi="Verdana" w:cs="Arial"/>
          <w:lang w:val="es-ES" w:eastAsia="es-ES_tradnl"/>
        </w:rPr>
      </w:pPr>
    </w:p>
    <w:p w14:paraId="2874825B" w14:textId="77777777" w:rsidR="00AE6E67" w:rsidRPr="00AE6E67" w:rsidRDefault="00AE6E67" w:rsidP="00AE6E67">
      <w:pPr>
        <w:spacing w:after="120" w:line="276" w:lineRule="auto"/>
        <w:ind w:firstLine="709"/>
        <w:jc w:val="both"/>
        <w:rPr>
          <w:rFonts w:ascii="Verdana" w:hAnsi="Verdana" w:cs="Arial"/>
          <w:lang w:val="es-ES" w:eastAsia="es-ES_tradnl"/>
        </w:rPr>
      </w:pPr>
      <w:r w:rsidRPr="00AE6E67">
        <w:rPr>
          <w:rFonts w:ascii="Verdana" w:hAnsi="Verdana" w:cs="Arial"/>
          <w:lang w:val="es-ES" w:eastAsia="es-ES_tradnl"/>
        </w:rPr>
        <w:t>De conformidad con lo expuesto, cuando las entidades pretendan pactar contratos mixtos o pluralidad de objetos deberán tener en cuenta el criterio de conexidad entre las prestaciones, así como adoptar las medidas necesarias en los documentos del proceso que garanticen el respeto del principio de selección objetiva.</w:t>
      </w:r>
    </w:p>
    <w:p w14:paraId="18B9ADD6"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val="es-ES"/>
        </w:rPr>
        <w:lastRenderedPageBreak/>
        <w:t xml:space="preserve">En este orden de ideas, </w:t>
      </w:r>
      <w:r w:rsidRPr="00AE6E67">
        <w:rPr>
          <w:rFonts w:ascii="Verdana" w:hAnsi="Verdana" w:cs="Arial"/>
          <w:lang w:eastAsia="es-ES_tradnl"/>
        </w:rPr>
        <w:t xml:space="preserve">para establecer el régimen aplicable a los contratos mixtos o con pluralidad de objetos, la entidad estatal debe analizar las circunstancias particulares de cada caso y considerar los criterios fijados que permitan identificar la prestación principal, la finalidad de las partes y la relación de conexidad de las prestaciones.  </w:t>
      </w:r>
    </w:p>
    <w:p w14:paraId="264E96E0" w14:textId="77777777" w:rsidR="00AE6E67" w:rsidRPr="00AE6E67" w:rsidRDefault="00AE6E67" w:rsidP="00AE6E67">
      <w:pPr>
        <w:spacing w:after="120" w:line="276" w:lineRule="auto"/>
        <w:ind w:firstLine="709"/>
        <w:jc w:val="both"/>
        <w:rPr>
          <w:rFonts w:ascii="Verdana" w:hAnsi="Verdana" w:cs="Arial"/>
          <w:lang w:val="es-ES_tradnl"/>
        </w:rPr>
      </w:pPr>
      <w:r w:rsidRPr="00AE6E67">
        <w:rPr>
          <w:rFonts w:ascii="Verdana" w:hAnsi="Verdana" w:cs="Arial"/>
          <w:lang w:eastAsia="es-ES_tradnl"/>
        </w:rPr>
        <w:t>Atendiendo a lo señalado por l</w:t>
      </w:r>
      <w:r w:rsidRPr="00AE6E67">
        <w:rPr>
          <w:rFonts w:ascii="Verdana" w:hAnsi="Verdana" w:cs="Arial"/>
          <w:lang w:val="es-ES_tradnl"/>
        </w:rPr>
        <w:t>a Sala de Consulta y Servicio Civil del Consejo de Estado,</w:t>
      </w:r>
      <w:r w:rsidRPr="00AE6E67">
        <w:rPr>
          <w:rFonts w:ascii="Verdana" w:eastAsia="Calibri" w:hAnsi="Verdana"/>
          <w:color w:val="000000" w:themeColor="text1"/>
        </w:rPr>
        <w:t xml:space="preserve"> adhiriéndose al método de absorción para efectos de integrar el régimen jurídico aplicable,</w:t>
      </w:r>
      <w:r w:rsidRPr="00AE6E67">
        <w:rPr>
          <w:rFonts w:ascii="Verdana" w:hAnsi="Verdana" w:cs="Arial"/>
          <w:lang w:val="es-ES_tradnl"/>
        </w:rPr>
        <w:t xml:space="preserve"> se considera que en el caso referido es fundamental determinar la prestación principal para establecer dicho </w:t>
      </w:r>
      <w:r w:rsidRPr="00AE6E67">
        <w:rPr>
          <w:rFonts w:ascii="Verdana" w:hAnsi="Verdana" w:cs="Arial"/>
          <w:lang w:eastAsia="es-ES_tradnl"/>
        </w:rPr>
        <w:t>régimen</w:t>
      </w:r>
      <w:r w:rsidRPr="00AE6E67">
        <w:rPr>
          <w:rFonts w:ascii="Verdana" w:hAnsi="Verdana" w:cs="Arial"/>
          <w:lang w:val="es-ES_tradnl"/>
        </w:rPr>
        <w:t xml:space="preserve">, </w:t>
      </w:r>
      <w:r w:rsidRPr="00AE6E67">
        <w:rPr>
          <w:rFonts w:ascii="Verdana" w:hAnsi="Verdana" w:cs="Arial"/>
          <w:lang w:eastAsia="es-ES_tradnl"/>
        </w:rPr>
        <w:t xml:space="preserve">teniendo en cuenta que la tipología contractual </w:t>
      </w:r>
      <w:r w:rsidRPr="00AE6E67">
        <w:rPr>
          <w:rFonts w:ascii="Verdana" w:hAnsi="Verdana" w:cs="Arial"/>
          <w:lang w:val="es-ES" w:eastAsia="es-ES_tradnl"/>
        </w:rPr>
        <w:t xml:space="preserve">es importante para definir aspectos como la modalidad de selección que debe utilizar la entidad, los requisitos habilitantes o ponderables que deben incorporar en el pliego de condiciones para la selección objetiva de la mejor oferta y los tributos que se causen.   </w:t>
      </w:r>
    </w:p>
    <w:p w14:paraId="2FFEE8B1"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 xml:space="preserve">Para tales efectos, la entidad estatal podría determinar </w:t>
      </w:r>
      <w:r w:rsidRPr="00AE6E67">
        <w:rPr>
          <w:rFonts w:ascii="Verdana" w:eastAsia="Calibri" w:hAnsi="Verdana" w:cs="Arial"/>
          <w:color w:val="000000" w:themeColor="text1"/>
          <w:lang w:val="es-ES_tradnl"/>
        </w:rPr>
        <w:t>el régimen del contrato típico al que pertenece</w:t>
      </w:r>
      <w:r w:rsidRPr="00AE6E67">
        <w:rPr>
          <w:rFonts w:ascii="Verdana" w:hAnsi="Verdana" w:cs="Arial"/>
          <w:lang w:eastAsia="es-ES_tradnl"/>
        </w:rPr>
        <w:t xml:space="preserve"> atendiendo a cuál de las obligaciones - suministro o instalación -, absorbe a la otra, bien sea por su relevancia funcional o por su peso económico. Así, para establecer si un contrato debe ser considerado de obra, la entidad debe verificar si la obligación predominante consiste en la ejecución de actividades materiales que intervengan el bien inmueble al que se incorporara los elementos. </w:t>
      </w:r>
    </w:p>
    <w:p w14:paraId="6131958E"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 xml:space="preserve">En esta línea, uno de los criterios que podrían ser utilizados consiste en identificar el porcentaje del presupuesto destinado a las actividades de instalación e intervención del inmueble respecto del valor total del contrato. Otro criterio también está relacionado con la complejidad técnica y física de las labores de instalación. De esta manera, si por ejemplo, el valor de las actividades de instalación supera significativamente, más del 50 % del presupuesto, o si dichas actividades constituyen la esencia del negocio jurídico, o confluyen ambos criterios, podría concluirse que se trata de un contrato de obra y no de un simple contrato de suministro. </w:t>
      </w:r>
    </w:p>
    <w:p w14:paraId="46435ED3"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En contraste, si las labores de instalación son secundarias o accesorias, en su valor económico o en su complejidad técnica, y el elemento central del negocio jurídico es la entrega de los bienes muebles, la naturaleza del contrato correspondería a la de suministro. Esto podría suceder cuando la instalación se limita a ajustes menores, sin afectar la estructura o funcionamiento del inmueble.</w:t>
      </w:r>
    </w:p>
    <w:p w14:paraId="21999042"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lastRenderedPageBreak/>
        <w:t>En este análisis, es de especial relevancia que la entidad estatal analice escenarios en los cuales, aunque el valor de los bienes objeto de suministro supere el de las actividades de instalación, el alcance de las obras necesarias para adecuar o intervenir el inmueble es tan significativo que la esencia del contrato deja de ser la provisión de los bienes y pasa a ser la ejecución de la obra misma. A modo de ilustración, si la instalación de equipos exige intervenciones intramurales que afecten paredes, redes eléctricas, sistemas hidráulicos o elementos estructurales del inmueble, podría sostenerse que la naturaleza del contrato es la de obra, ya que la actividad principal consiste en transformar y adecuar el inmueble para permitir el funcionamiento adecuado de los bienes instalados. En estos casos, el criterio determinante no es únicamente el componente presupuestal, sino la finalidad del contrato y el grado de intervención en el inmueble.</w:t>
      </w:r>
    </w:p>
    <w:p w14:paraId="1B3FF205" w14:textId="77777777" w:rsidR="00AE6E67" w:rsidRPr="00AE6E67" w:rsidRDefault="00AE6E67" w:rsidP="00AE6E67">
      <w:pPr>
        <w:spacing w:after="120" w:line="276" w:lineRule="auto"/>
        <w:ind w:firstLine="709"/>
        <w:jc w:val="both"/>
        <w:rPr>
          <w:rFonts w:ascii="Verdana" w:hAnsi="Verdana" w:cs="Arial"/>
          <w:lang w:eastAsia="es-ES_tradnl"/>
        </w:rPr>
      </w:pPr>
      <w:r w:rsidRPr="00AE6E67">
        <w:rPr>
          <w:rFonts w:ascii="Verdana" w:hAnsi="Verdana" w:cs="Arial"/>
          <w:lang w:eastAsia="es-ES_tradnl"/>
        </w:rPr>
        <w:t>En este contexto, a juicio de esta Agencia, es importante que la entidad realice una valoración integral de las actividades y obligaciones del contrato teniendo en cuenta los distintos criterios expuestos para determinar el régimen aplicable al contrato. En todo caso, la aplicación de los criterios para calificar el contrato no puede utilizarse con el fin de evitar las cargas tributarias que correspondan por ley, teniendo en cuenta que algunas tipologías contractuales generan obligaciones específicas en materia de impuestos u otros gravámenes. Es decir, la aplicación de estos criterios no puede ser alterada para evitar las cargas tributarias asociadas a un contrato de obra, presentándolo como un contrato de suministro cuando, en realidad, la prestación predominante evidencia que su verdadera naturaleza es la de un contrato de obra.</w:t>
      </w:r>
    </w:p>
    <w:p w14:paraId="7F346C93" w14:textId="77777777" w:rsidR="00AE6E67" w:rsidRPr="00AE6E67" w:rsidRDefault="00AE6E67" w:rsidP="00AE6E67">
      <w:pPr>
        <w:spacing w:after="120" w:line="276" w:lineRule="auto"/>
        <w:ind w:firstLine="709"/>
        <w:jc w:val="both"/>
        <w:rPr>
          <w:rFonts w:ascii="Verdana" w:eastAsia="Calibri" w:hAnsi="Verdana" w:cs="Arial"/>
          <w:bCs/>
          <w:color w:val="000000" w:themeColor="text1"/>
        </w:rPr>
      </w:pPr>
      <w:r w:rsidRPr="00AE6E67">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en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9363D8A" w14:textId="77777777" w:rsidR="00AE6E67" w:rsidRPr="00AE6E67" w:rsidRDefault="00AE6E67" w:rsidP="00AE6E67">
      <w:pPr>
        <w:spacing w:after="120" w:line="276" w:lineRule="auto"/>
        <w:ind w:firstLine="708"/>
        <w:jc w:val="both"/>
        <w:rPr>
          <w:rFonts w:ascii="Verdana" w:eastAsia="Calibri" w:hAnsi="Verdana" w:cs="Arial"/>
          <w:bCs/>
          <w:color w:val="000000" w:themeColor="text1"/>
        </w:rPr>
      </w:pPr>
      <w:r w:rsidRPr="00AE6E67">
        <w:rPr>
          <w:rFonts w:ascii="Verdana" w:eastAsia="Calibri" w:hAnsi="Verdana" w:cs="Arial"/>
          <w:bCs/>
          <w:color w:val="000000" w:themeColor="text1"/>
        </w:rPr>
        <w:lastRenderedPageBreak/>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0E38D9B" w14:textId="77777777" w:rsidR="00AE6E67" w:rsidRPr="00AE6E67" w:rsidRDefault="00AE6E67" w:rsidP="00AE6E67">
      <w:pPr>
        <w:widowControl w:val="0"/>
        <w:autoSpaceDE w:val="0"/>
        <w:autoSpaceDN w:val="0"/>
        <w:spacing w:after="0" w:line="276" w:lineRule="auto"/>
        <w:ind w:firstLine="709"/>
        <w:jc w:val="both"/>
        <w:rPr>
          <w:rFonts w:ascii="Verdana" w:eastAsia="Arial" w:hAnsi="Verdana" w:cs="Arial"/>
          <w:lang w:val="es-ES"/>
        </w:rPr>
      </w:pPr>
    </w:p>
    <w:p w14:paraId="44BC4F2C" w14:textId="77777777" w:rsidR="00AE6E67" w:rsidRPr="00AE6E67" w:rsidRDefault="00AE6E67" w:rsidP="00AE6E67">
      <w:pPr>
        <w:numPr>
          <w:ilvl w:val="0"/>
          <w:numId w:val="37"/>
        </w:numPr>
        <w:tabs>
          <w:tab w:val="left" w:pos="142"/>
          <w:tab w:val="left" w:pos="284"/>
        </w:tabs>
        <w:spacing w:after="0" w:line="276" w:lineRule="auto"/>
        <w:jc w:val="both"/>
        <w:rPr>
          <w:rFonts w:ascii="Verdana" w:eastAsia="Century Gothic" w:hAnsi="Verdana" w:cs="Century Gothic"/>
          <w:b/>
          <w:bCs/>
        </w:rPr>
      </w:pPr>
      <w:r w:rsidRPr="00AE6E67">
        <w:rPr>
          <w:rFonts w:ascii="Verdana" w:eastAsia="Century Gothic" w:hAnsi="Verdana" w:cs="Century Gothic"/>
          <w:b/>
          <w:bCs/>
        </w:rPr>
        <w:t>Referencias normativas y jurisprudenciales:</w:t>
      </w:r>
    </w:p>
    <w:p w14:paraId="073618FD" w14:textId="77777777" w:rsidR="00AE6E67" w:rsidRPr="00AE6E67" w:rsidRDefault="00AE6E67" w:rsidP="00AE6E67">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AE6E67" w:rsidRPr="00AE6E67" w14:paraId="05EA30EF" w14:textId="77777777" w:rsidTr="00DD5BED">
        <w:trPr>
          <w:trHeight w:val="410"/>
          <w:jc w:val="center"/>
        </w:trPr>
        <w:tc>
          <w:tcPr>
            <w:tcW w:w="8647" w:type="dxa"/>
            <w:tcBorders>
              <w:top w:val="dotted" w:sz="4" w:space="0" w:color="auto"/>
              <w:left w:val="dotted" w:sz="4" w:space="0" w:color="auto"/>
              <w:bottom w:val="dotted" w:sz="4" w:space="0" w:color="auto"/>
              <w:right w:val="dotted" w:sz="4" w:space="0" w:color="auto"/>
            </w:tcBorders>
            <w:hideMark/>
          </w:tcPr>
          <w:p w14:paraId="416958C2"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 xml:space="preserve">Ley 80 de 1993, artículos 1, 2, 13, 25, 32, 40. </w:t>
            </w:r>
          </w:p>
          <w:p w14:paraId="017EE2D2"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 xml:space="preserve">Código Civil, artículo 1495. </w:t>
            </w:r>
          </w:p>
          <w:p w14:paraId="7BD04BAE"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Código de Comercio, artículo 864.</w:t>
            </w:r>
          </w:p>
          <w:p w14:paraId="00F457AA"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Consejo de Estado, Sección Tercera en Sentencia del 21 de abril de 2005 radicado No 14651 C.P. Ramiro Saavedra Becerra</w:t>
            </w:r>
          </w:p>
          <w:p w14:paraId="38D3C0BE"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Consejo de Estado, Sala de Consulta y Servicio Civil, sentencia de 12 de marzo de 2009, C.P. Gustavo Aponte Santos, radicado No 1942</w:t>
            </w:r>
          </w:p>
          <w:p w14:paraId="2E960467"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Consejo de Estado, Sala de Consulta y Servicio Civil. Concepto de 15 de mayo de 2018, Rad. 2335.</w:t>
            </w:r>
          </w:p>
          <w:p w14:paraId="4C33BE61"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Consejo de Estado. Sala de Consulta y Servicio Civil. Concepto del 5 de septiembre de 2018. Rad. 2.386. C.P. Edgar González López.</w:t>
            </w:r>
          </w:p>
          <w:p w14:paraId="781B7CB5"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Consejo de Estado. Sala de lo Contencioso Administrativo. Sentencia del nueve (9) de marzo de dos mil dieciséis (2016). Rad. 11001-03-26-000-2009-00009-00(36312). Consejero ponente: Carlos Alberto Zambrano Barrera.</w:t>
            </w:r>
          </w:p>
          <w:p w14:paraId="518C140E" w14:textId="77777777" w:rsidR="00AE6E67" w:rsidRPr="00AE6E67" w:rsidRDefault="00AE6E67" w:rsidP="00AE6E67">
            <w:pPr>
              <w:numPr>
                <w:ilvl w:val="0"/>
                <w:numId w:val="38"/>
              </w:numPr>
              <w:spacing w:line="276" w:lineRule="auto"/>
              <w:contextualSpacing/>
              <w:jc w:val="both"/>
              <w:rPr>
                <w:rFonts w:ascii="Verdana" w:hAnsi="Verdana" w:cs="Arial"/>
                <w:lang w:val="es-ES"/>
              </w:rPr>
            </w:pPr>
            <w:r w:rsidRPr="00AE6E67">
              <w:rPr>
                <w:rFonts w:ascii="Verdana" w:hAnsi="Verdana" w:cs="Arial"/>
                <w:lang w:val="es-ES"/>
              </w:rPr>
              <w:t>Corte Suprema de Justicia. Sala de Casación Civil. Sentencia del 5 de diciembre de 1956. M.P. Pablo Emilio Manotas.</w:t>
            </w:r>
          </w:p>
        </w:tc>
      </w:tr>
    </w:tbl>
    <w:p w14:paraId="0463FE1F" w14:textId="77777777" w:rsidR="00AE6E67" w:rsidRPr="00AE6E67" w:rsidRDefault="00AE6E67" w:rsidP="00AE6E67">
      <w:pPr>
        <w:widowControl w:val="0"/>
        <w:autoSpaceDE w:val="0"/>
        <w:autoSpaceDN w:val="0"/>
        <w:spacing w:after="0" w:line="276" w:lineRule="auto"/>
        <w:jc w:val="both"/>
        <w:rPr>
          <w:rFonts w:ascii="Verdana" w:hAnsi="Verdana" w:cs="Arial"/>
        </w:rPr>
      </w:pPr>
    </w:p>
    <w:p w14:paraId="0B188EB5" w14:textId="77777777" w:rsidR="00AE6E67" w:rsidRPr="00AE6E67" w:rsidRDefault="00AE6E67" w:rsidP="00AE6E67">
      <w:pPr>
        <w:numPr>
          <w:ilvl w:val="0"/>
          <w:numId w:val="37"/>
        </w:numPr>
        <w:tabs>
          <w:tab w:val="left" w:pos="142"/>
          <w:tab w:val="left" w:pos="284"/>
        </w:tabs>
        <w:spacing w:after="0" w:line="276" w:lineRule="auto"/>
        <w:jc w:val="both"/>
        <w:rPr>
          <w:rFonts w:ascii="Verdana" w:eastAsia="Century Gothic" w:hAnsi="Verdana" w:cs="Century Gothic"/>
          <w:b/>
          <w:bCs/>
        </w:rPr>
      </w:pPr>
      <w:r w:rsidRPr="00AE6E67">
        <w:rPr>
          <w:rFonts w:ascii="Verdana" w:eastAsia="Century Gothic" w:hAnsi="Verdana" w:cs="Century Gothic"/>
          <w:b/>
          <w:bCs/>
        </w:rPr>
        <w:t>Doctrina de la Agencia Nacional de Contratación Pública:</w:t>
      </w:r>
    </w:p>
    <w:p w14:paraId="48276602" w14:textId="77777777" w:rsidR="00AE6E67" w:rsidRPr="00AE6E67" w:rsidRDefault="00AE6E67" w:rsidP="00AE6E67">
      <w:pPr>
        <w:widowControl w:val="0"/>
        <w:autoSpaceDE w:val="0"/>
        <w:autoSpaceDN w:val="0"/>
        <w:spacing w:after="0" w:line="276" w:lineRule="auto"/>
        <w:jc w:val="both"/>
        <w:rPr>
          <w:rFonts w:ascii="Verdana" w:hAnsi="Verdana" w:cs="Arial"/>
        </w:rPr>
      </w:pPr>
    </w:p>
    <w:p w14:paraId="2A8133AB" w14:textId="77777777" w:rsidR="00AE6E67" w:rsidRPr="00AE6E67" w:rsidRDefault="00AE6E67" w:rsidP="00AE6E67">
      <w:pPr>
        <w:widowControl w:val="0"/>
        <w:autoSpaceDE w:val="0"/>
        <w:autoSpaceDN w:val="0"/>
        <w:spacing w:after="0" w:line="276" w:lineRule="auto"/>
        <w:jc w:val="both"/>
        <w:rPr>
          <w:rFonts w:ascii="Verdana" w:hAnsi="Verdana" w:cs="Arial"/>
          <w:shd w:val="clear" w:color="auto" w:fill="FFFFFF"/>
        </w:rPr>
      </w:pPr>
      <w:r w:rsidRPr="00AE6E67">
        <w:rPr>
          <w:rFonts w:ascii="Verdana" w:hAnsi="Verdana" w:cs="Arial"/>
          <w:color w:val="000000" w:themeColor="text1"/>
          <w:shd w:val="clear" w:color="auto" w:fill="FFFFFF"/>
          <w:lang w:val="es-ES"/>
        </w:rPr>
        <w:t>La Agencia Nacional de Contratación Pública – Colombia Compra Eficiente se ha referido</w:t>
      </w:r>
      <w:r w:rsidRPr="00AE6E67">
        <w:rPr>
          <w:rFonts w:ascii="Verdana" w:eastAsia="Calibri" w:hAnsi="Verdana" w:cs="Arial"/>
          <w:lang w:val="es-ES" w:eastAsia="es-ES_tradnl"/>
        </w:rPr>
        <w:t xml:space="preserve"> a los contratos Mixtos y objetos sociales con prestaciones mixtas en los conceptos </w:t>
      </w:r>
      <w:r w:rsidRPr="00AE6E67">
        <w:rPr>
          <w:rFonts w:ascii="Verdana" w:eastAsia="Calibri" w:hAnsi="Verdana"/>
          <w:bCs/>
          <w:lang w:val="es-ES"/>
        </w:rPr>
        <w:t xml:space="preserve">con radicados 2201913000009572 y 2201913000009588 del 24 de diciembre de 2019, C-694 del 29 de diciembre de 2021, C-440 del 2 de </w:t>
      </w:r>
      <w:r w:rsidRPr="00AE6E67">
        <w:rPr>
          <w:rFonts w:ascii="Verdana" w:eastAsia="Calibri" w:hAnsi="Verdana"/>
          <w:bCs/>
          <w:lang w:val="es-ES"/>
        </w:rPr>
        <w:lastRenderedPageBreak/>
        <w:t xml:space="preserve">septiembre de 2021, </w:t>
      </w:r>
      <w:r w:rsidRPr="00AE6E67">
        <w:rPr>
          <w:rFonts w:ascii="Verdana" w:hAnsi="Verdana"/>
          <w:lang w:val="es-ES"/>
        </w:rPr>
        <w:t>C–933 de 2022</w:t>
      </w:r>
      <w:r w:rsidRPr="00AE6E67">
        <w:rPr>
          <w:rFonts w:ascii="Verdana" w:hAnsi="Verdana" w:cs="Arial"/>
          <w:color w:val="000000" w:themeColor="text1"/>
          <w:shd w:val="clear" w:color="auto" w:fill="FFFFFF"/>
          <w:lang w:val="es-ES"/>
        </w:rPr>
        <w:t>, C</w:t>
      </w:r>
      <w:r w:rsidRPr="00AE6E67">
        <w:rPr>
          <w:rFonts w:ascii="Verdana" w:hAnsi="Verdana"/>
          <w:lang w:val="es-ES"/>
        </w:rPr>
        <w:t>–</w:t>
      </w:r>
      <w:r w:rsidRPr="00AE6E67">
        <w:rPr>
          <w:rFonts w:ascii="Verdana" w:hAnsi="Verdana" w:cs="Arial"/>
          <w:color w:val="000000" w:themeColor="text1"/>
          <w:shd w:val="clear" w:color="auto" w:fill="FFFFFF"/>
          <w:lang w:val="es-ES"/>
        </w:rPr>
        <w:t>484 del 09 de octubre de 2024, C-864 del 11 de agosto de 2025 y C-1580 del 4 de diciembre de 2025.</w:t>
      </w:r>
      <w:r w:rsidRPr="00AE6E67">
        <w:rPr>
          <w:rFonts w:ascii="Verdana" w:hAnsi="Verdana" w:cs="Arial"/>
          <w:shd w:val="clear" w:color="auto" w:fill="FFFFFF"/>
          <w:lang w:val="es-ES"/>
        </w:rPr>
        <w:t xml:space="preserve"> </w:t>
      </w:r>
      <w:r w:rsidRPr="00AE6E67">
        <w:rPr>
          <w:rFonts w:ascii="Verdana" w:hAnsi="Verdana" w:cs="Arial"/>
          <w:shd w:val="clear" w:color="auto" w:fill="FFFFFF"/>
        </w:rPr>
        <w:t>Es</w:t>
      </w:r>
      <w:r w:rsidRPr="00AE6E67">
        <w:rPr>
          <w:rFonts w:ascii="Verdana" w:hAnsi="Verdana"/>
        </w:rPr>
        <w:t>te y otros conceptos se encuentran disponibles para consulta en el Sistema de relatoría de la Agencia, al cual se puede acceder a través del siguiente enlace:</w:t>
      </w:r>
      <w:r w:rsidRPr="00AE6E67">
        <w:rPr>
          <w:rFonts w:ascii="Verdana" w:hAnsi="Verdana" w:cs="Arial"/>
          <w:shd w:val="clear" w:color="auto" w:fill="FFFFFF"/>
        </w:rPr>
        <w:t xml:space="preserve"> </w:t>
      </w:r>
      <w:hyperlink r:id="rId14" w:history="1">
        <w:r w:rsidRPr="00AE6E67">
          <w:rPr>
            <w:rFonts w:ascii="Verdana" w:hAnsi="Verdana" w:cs="Arial"/>
            <w:color w:val="0563C1" w:themeColor="hyperlink"/>
            <w:u w:val="single"/>
            <w:shd w:val="clear" w:color="auto" w:fill="FFFFFF"/>
          </w:rPr>
          <w:t>https://relatoria.colombiacompra.gov.co/</w:t>
        </w:r>
      </w:hyperlink>
      <w:r w:rsidRPr="00AE6E67">
        <w:rPr>
          <w:rFonts w:ascii="Verdana" w:hAnsi="Verdana" w:cs="Arial"/>
          <w:shd w:val="clear" w:color="auto" w:fill="FFFFFF"/>
        </w:rPr>
        <w:t xml:space="preserve"> </w:t>
      </w:r>
    </w:p>
    <w:p w14:paraId="39A7F1E6" w14:textId="77777777" w:rsidR="00AE6E67" w:rsidRPr="00AE6E67" w:rsidRDefault="00AE6E67" w:rsidP="00AE6E67">
      <w:pPr>
        <w:widowControl w:val="0"/>
        <w:autoSpaceDE w:val="0"/>
        <w:autoSpaceDN w:val="0"/>
        <w:spacing w:after="0" w:line="276" w:lineRule="auto"/>
        <w:jc w:val="both"/>
        <w:rPr>
          <w:rFonts w:ascii="Verdana" w:hAnsi="Verdana" w:cs="Arial"/>
          <w:shd w:val="clear" w:color="auto" w:fill="FFFFFF"/>
        </w:rPr>
      </w:pPr>
    </w:p>
    <w:p w14:paraId="7AF7E908" w14:textId="77777777" w:rsidR="00AE6E67" w:rsidRPr="00AE6E67" w:rsidRDefault="00AE6E67" w:rsidP="00AE6E67">
      <w:pPr>
        <w:shd w:val="clear" w:color="auto" w:fill="FFFFFF"/>
        <w:spacing w:after="0" w:line="276" w:lineRule="auto"/>
        <w:jc w:val="both"/>
        <w:rPr>
          <w:rFonts w:ascii="Verdana" w:hAnsi="Verdana" w:cs="Times New Roman"/>
          <w:color w:val="467886"/>
          <w:u w:val="single"/>
        </w:rPr>
      </w:pPr>
      <w:r w:rsidRPr="00AE6E67">
        <w:rPr>
          <w:rFonts w:ascii="Verdana" w:eastAsia="Calibri" w:hAnsi="Verdana" w:cs="Times New Roman"/>
          <w:color w:val="000000"/>
        </w:rPr>
        <w:t>Te informamos que ya se encuentra disponible la </w:t>
      </w:r>
      <w:r w:rsidRPr="00AE6E67">
        <w:rPr>
          <w:rFonts w:ascii="Verdana" w:eastAsia="Calibri" w:hAnsi="Verdana" w:cs="Times New Roman"/>
          <w:b/>
          <w:bCs/>
          <w:color w:val="000000"/>
        </w:rPr>
        <w:t>Guía de lineamientos de transparencia y selección objetiva para el departamento de La Guajira – Objetivo sexto constitucional de la Sentencia T-302 del 2017. </w:t>
      </w:r>
      <w:r w:rsidRPr="00AE6E67">
        <w:rPr>
          <w:rFonts w:ascii="Verdana" w:eastAsia="Calibri" w:hAnsi="Verdana" w:cs="Times New Roman"/>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E6E67">
        <w:rPr>
          <w:rFonts w:ascii="Verdana" w:eastAsia="Calibri" w:hAnsi="Verdana" w:cs="Times New Roman"/>
          <w:color w:val="000000"/>
        </w:rPr>
        <w:t>Wayúu</w:t>
      </w:r>
      <w:proofErr w:type="spellEnd"/>
      <w:r w:rsidRPr="00AE6E67">
        <w:rPr>
          <w:rFonts w:ascii="Verdana" w:eastAsia="Calibri" w:hAnsi="Verdana" w:cs="Times New Roman"/>
          <w:color w:val="000000"/>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sidRPr="00AE6E67">
          <w:rPr>
            <w:rFonts w:ascii="Verdana" w:eastAsia="Calibri" w:hAnsi="Verdana" w:cs="Times New Roman"/>
            <w:color w:val="0563C1" w:themeColor="hyperlink"/>
            <w:u w:val="single"/>
          </w:rPr>
          <w:t>Guía de lineamientos de transparencia y selección objetiva para el departamento de La Guajira – Objetivo sexto constitucional de la Sentencia T-302 del 2017</w:t>
        </w:r>
      </w:hyperlink>
      <w:r w:rsidRPr="00AE6E67">
        <w:rPr>
          <w:rFonts w:ascii="Verdana" w:eastAsia="Calibri" w:hAnsi="Verdana" w:cs="Times New Roman"/>
          <w:color w:val="000000"/>
          <w:u w:val="single"/>
        </w:rPr>
        <w:t>.</w:t>
      </w:r>
    </w:p>
    <w:p w14:paraId="13B3C801" w14:textId="77777777" w:rsidR="00AE6E67" w:rsidRPr="00AE6E67" w:rsidRDefault="00AE6E67" w:rsidP="00AE6E67">
      <w:pPr>
        <w:widowControl w:val="0"/>
        <w:autoSpaceDE w:val="0"/>
        <w:autoSpaceDN w:val="0"/>
        <w:spacing w:after="0" w:line="276" w:lineRule="auto"/>
        <w:jc w:val="both"/>
        <w:rPr>
          <w:rFonts w:ascii="Verdana" w:eastAsia="Calibri" w:hAnsi="Verdana" w:cs="Arial"/>
          <w:color w:val="000000" w:themeColor="text1"/>
          <w:shd w:val="clear" w:color="auto" w:fill="FFFFFF"/>
          <w:lang w:val="es-ES_tradnl"/>
        </w:rPr>
      </w:pPr>
      <w:r w:rsidRPr="00AE6E67">
        <w:rPr>
          <w:rFonts w:ascii="Verdana" w:eastAsia="Calibri" w:hAnsi="Verdana" w:cs="Arial"/>
          <w:color w:val="000000" w:themeColor="text1"/>
          <w:shd w:val="clear" w:color="auto" w:fill="FFFFFF"/>
          <w:lang w:val="es-ES_tradnl"/>
        </w:rPr>
        <w:t xml:space="preserve"> </w:t>
      </w:r>
    </w:p>
    <w:p w14:paraId="730C77A5" w14:textId="77777777" w:rsidR="00AE6E67" w:rsidRPr="00AE6E67" w:rsidRDefault="00AE6E67" w:rsidP="00AE6E67">
      <w:pPr>
        <w:spacing w:after="0" w:line="254" w:lineRule="auto"/>
        <w:jc w:val="both"/>
        <w:rPr>
          <w:rFonts w:ascii="Verdana" w:eastAsia="Calibri" w:hAnsi="Verdana"/>
        </w:rPr>
      </w:pPr>
      <w:r w:rsidRPr="00AE6E67">
        <w:rPr>
          <w:rFonts w:ascii="Verdana" w:eastAsia="Calibri" w:hAnsi="Verdana" w:cs="Times New Roman"/>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4056F85E" w14:textId="77777777" w:rsidR="00AE6E67" w:rsidRPr="00AE6E67" w:rsidRDefault="00AE6E67" w:rsidP="00AE6E67">
      <w:pPr>
        <w:spacing w:after="0" w:line="254" w:lineRule="auto"/>
        <w:jc w:val="both"/>
        <w:rPr>
          <w:rFonts w:ascii="Verdana" w:eastAsia="Calibri" w:hAnsi="Verdana" w:cs="Times New Roman"/>
        </w:rPr>
      </w:pPr>
    </w:p>
    <w:p w14:paraId="6382F8B3" w14:textId="77777777" w:rsidR="00AE6E67" w:rsidRPr="00AE6E67" w:rsidRDefault="00AE6E67" w:rsidP="00AE6E67">
      <w:pPr>
        <w:numPr>
          <w:ilvl w:val="0"/>
          <w:numId w:val="36"/>
        </w:numPr>
        <w:spacing w:after="0" w:line="240" w:lineRule="auto"/>
        <w:contextualSpacing/>
        <w:jc w:val="both"/>
        <w:rPr>
          <w:rFonts w:ascii="Verdana" w:eastAsia="Verdana" w:hAnsi="Verdana" w:cs="Verdana"/>
          <w:color w:val="4472C4" w:themeColor="accent1"/>
          <w:u w:val="single"/>
          <w:lang w:val="es-MX"/>
        </w:rPr>
      </w:pPr>
      <w:r w:rsidRPr="00AE6E67">
        <w:rPr>
          <w:rFonts w:ascii="Verdana" w:eastAsia="Verdana" w:hAnsi="Verdana" w:cs="Verdana"/>
          <w:lang w:val="es-MX"/>
        </w:rPr>
        <w:t xml:space="preserve">Línea nacional gratuita o servicio a la ciudadanía (Mesa de servicio): </w:t>
      </w:r>
      <w:r w:rsidRPr="00AE6E67">
        <w:rPr>
          <w:rFonts w:ascii="Verdana" w:eastAsia="Calibri" w:hAnsi="Verdana" w:cs="Times New Roman"/>
          <w:color w:val="0000FF"/>
          <w:u w:val="single"/>
          <w:lang w:val="es-ES"/>
        </w:rPr>
        <w:t>01800 0520808</w:t>
      </w:r>
    </w:p>
    <w:p w14:paraId="328BE0F7" w14:textId="77777777" w:rsidR="00AE6E67" w:rsidRPr="00AE6E67" w:rsidRDefault="00AE6E67" w:rsidP="00AE6E67">
      <w:pPr>
        <w:numPr>
          <w:ilvl w:val="0"/>
          <w:numId w:val="36"/>
        </w:numPr>
        <w:spacing w:after="0" w:line="254" w:lineRule="auto"/>
        <w:contextualSpacing/>
        <w:rPr>
          <w:rFonts w:ascii="Verdana" w:eastAsia="Verdana" w:hAnsi="Verdana" w:cs="Verdana"/>
          <w:color w:val="4472C4" w:themeColor="accent1"/>
          <w:u w:val="single"/>
          <w:lang w:val="es-MX"/>
        </w:rPr>
      </w:pPr>
      <w:r w:rsidRPr="00AE6E67">
        <w:rPr>
          <w:rFonts w:ascii="Verdana" w:eastAsia="Verdana" w:hAnsi="Verdana" w:cs="Verdana"/>
          <w:lang w:val="es-MX"/>
        </w:rPr>
        <w:t>Línea en Bogotá (Mesa de servicio</w:t>
      </w:r>
      <w:proofErr w:type="gramStart"/>
      <w:r w:rsidRPr="00AE6E67">
        <w:rPr>
          <w:rFonts w:ascii="Verdana" w:eastAsia="Verdana" w:hAnsi="Verdana" w:cs="Verdana"/>
          <w:lang w:val="es-MX"/>
        </w:rPr>
        <w:t>):</w:t>
      </w:r>
      <w:r w:rsidRPr="00AE6E67">
        <w:rPr>
          <w:rFonts w:ascii="Verdana" w:eastAsia="Calibri" w:hAnsi="Verdana" w:cs="Times New Roman"/>
          <w:color w:val="0000FF"/>
          <w:u w:val="single"/>
          <w:lang w:val="es-ES"/>
        </w:rPr>
        <w:t>+</w:t>
      </w:r>
      <w:proofErr w:type="gramEnd"/>
      <w:r w:rsidRPr="00AE6E67">
        <w:rPr>
          <w:rFonts w:ascii="Verdana" w:eastAsia="Calibri" w:hAnsi="Verdana" w:cs="Times New Roman"/>
          <w:color w:val="0000FF"/>
          <w:u w:val="single"/>
          <w:lang w:val="es-ES"/>
        </w:rPr>
        <w:t>57 601 7456788</w:t>
      </w:r>
    </w:p>
    <w:p w14:paraId="3B4239D3" w14:textId="77777777" w:rsidR="00AE6E67" w:rsidRPr="00AE6E67" w:rsidRDefault="00AE6E67" w:rsidP="00AE6E67">
      <w:pPr>
        <w:numPr>
          <w:ilvl w:val="0"/>
          <w:numId w:val="36"/>
        </w:numPr>
        <w:spacing w:after="0" w:line="254" w:lineRule="auto"/>
        <w:contextualSpacing/>
        <w:rPr>
          <w:rFonts w:ascii="Verdana" w:eastAsia="Verdana" w:hAnsi="Verdana" w:cs="Verdana"/>
          <w:color w:val="0000FF"/>
          <w:u w:val="single"/>
          <w:lang w:val="es-MX"/>
        </w:rPr>
      </w:pPr>
      <w:r w:rsidRPr="00AE6E67">
        <w:rPr>
          <w:rFonts w:ascii="Verdana" w:eastAsia="Verdana" w:hAnsi="Verdana" w:cs="Verdana"/>
          <w:lang w:val="es-MX"/>
        </w:rPr>
        <w:t xml:space="preserve">Correo de radicación de correspondencia: </w:t>
      </w:r>
      <w:hyperlink r:id="rId16" w:history="1">
        <w:r w:rsidRPr="00AE6E67">
          <w:rPr>
            <w:rFonts w:ascii="Verdana" w:eastAsia="Verdana" w:hAnsi="Verdana" w:cs="Verdana"/>
            <w:color w:val="0563C1" w:themeColor="hyperlink"/>
            <w:u w:val="single"/>
            <w:lang w:val="es-MX"/>
          </w:rPr>
          <w:t>ventanilladeradicacion@colombiacompra.gov.co</w:t>
        </w:r>
      </w:hyperlink>
    </w:p>
    <w:p w14:paraId="76B1222D" w14:textId="77777777" w:rsidR="00AE6E67" w:rsidRPr="00AE6E67" w:rsidRDefault="00AE6E67" w:rsidP="00AE6E67">
      <w:pPr>
        <w:numPr>
          <w:ilvl w:val="0"/>
          <w:numId w:val="36"/>
        </w:numPr>
        <w:spacing w:after="0" w:line="254" w:lineRule="auto"/>
        <w:contextualSpacing/>
        <w:rPr>
          <w:rFonts w:ascii="Verdana" w:eastAsia="Verdana" w:hAnsi="Verdana" w:cs="Verdana"/>
          <w:color w:val="0000FF"/>
          <w:u w:val="single"/>
          <w:lang w:val="es-MX"/>
        </w:rPr>
      </w:pPr>
      <w:r w:rsidRPr="00AE6E67">
        <w:rPr>
          <w:rFonts w:ascii="Verdana" w:eastAsia="Verdana" w:hAnsi="Verdana" w:cs="Verdana"/>
          <w:lang w:val="es-ES"/>
        </w:rPr>
        <w:t xml:space="preserve">Formulario web para PQRSD: </w:t>
      </w:r>
      <w:hyperlink r:id="rId17" w:history="1">
        <w:r w:rsidRPr="00AE6E67">
          <w:rPr>
            <w:rFonts w:ascii="Verdana" w:eastAsia="Verdana" w:hAnsi="Verdana" w:cs="Verdana"/>
            <w:color w:val="0563C1" w:themeColor="hyperlink"/>
            <w:u w:val="single"/>
            <w:lang w:val="es-MX"/>
          </w:rPr>
          <w:t>https://www.colombiacompra.gov.co/pqrsd/informacion-importante-antes-de-formular-una-pqrsd</w:t>
        </w:r>
      </w:hyperlink>
    </w:p>
    <w:p w14:paraId="0478FFFA" w14:textId="77777777" w:rsidR="00AE6E67" w:rsidRPr="00AE6E67" w:rsidRDefault="00AE6E67" w:rsidP="00AE6E67">
      <w:pPr>
        <w:spacing w:after="0" w:line="240" w:lineRule="auto"/>
        <w:ind w:left="720"/>
        <w:jc w:val="both"/>
        <w:rPr>
          <w:rFonts w:ascii="Verdana" w:hAnsi="Verdana"/>
        </w:rPr>
      </w:pPr>
    </w:p>
    <w:p w14:paraId="3100D564" w14:textId="77777777" w:rsidR="00AE6E67" w:rsidRPr="00AE6E67" w:rsidRDefault="00AE6E67" w:rsidP="00AE6E67">
      <w:pPr>
        <w:spacing w:after="0" w:line="240" w:lineRule="auto"/>
        <w:rPr>
          <w:rFonts w:ascii="Verdana" w:eastAsia="Calibri" w:hAnsi="Verdana" w:cs="Times New Roman"/>
        </w:rPr>
      </w:pPr>
      <w:r w:rsidRPr="00AE6E67">
        <w:rPr>
          <w:rFonts w:ascii="Verdana" w:eastAsia="Calibri" w:hAnsi="Verdana" w:cs="Times New Roman"/>
        </w:rPr>
        <w:t xml:space="preserve">Evalúa el servicio que ofrece la Agencia por el canal de atención de PQRSD en el siguiente </w:t>
      </w:r>
      <w:proofErr w:type="gramStart"/>
      <w:r w:rsidRPr="00AE6E67">
        <w:rPr>
          <w:rFonts w:ascii="Verdana" w:eastAsia="Calibri" w:hAnsi="Verdana" w:cs="Times New Roman"/>
        </w:rPr>
        <w:t>enlace :</w:t>
      </w:r>
      <w:proofErr w:type="gramEnd"/>
      <w:hyperlink r:id="rId18" w:tgtFrame="_blank" w:tooltip="https://forms.office.com/r/pphywvs2sz" w:history="1">
        <w:r w:rsidRPr="00AE6E67">
          <w:rPr>
            <w:rFonts w:ascii="Verdana" w:eastAsia="Calibri" w:hAnsi="Verdana" w:cs="Times New Roman"/>
            <w:color w:val="0563C1" w:themeColor="hyperlink"/>
            <w:u w:val="single"/>
          </w:rPr>
          <w:t>https://forms.office.com/r/pPHyWVs2SZ</w:t>
        </w:r>
      </w:hyperlink>
      <w:r w:rsidRPr="00AE6E67">
        <w:rPr>
          <w:rFonts w:ascii="Verdana" w:eastAsia="Calibri" w:hAnsi="Verdana" w:cs="Times New Roman"/>
        </w:rPr>
        <w:t xml:space="preserve"> .¡Ayúdanos a mejorar porque el compromiso es de todos!</w:t>
      </w:r>
    </w:p>
    <w:p w14:paraId="08072051" w14:textId="77777777" w:rsidR="00AE6E67" w:rsidRPr="00AE6E67" w:rsidRDefault="00AE6E67" w:rsidP="00AE6E67">
      <w:pPr>
        <w:spacing w:after="0" w:line="240" w:lineRule="auto"/>
        <w:rPr>
          <w:rFonts w:ascii="Verdana" w:eastAsia="Calibri" w:hAnsi="Verdana" w:cs="Times New Roman"/>
        </w:rPr>
      </w:pPr>
    </w:p>
    <w:p w14:paraId="146F85BE" w14:textId="77777777" w:rsidR="00AE6E67" w:rsidRPr="00AE6E67" w:rsidRDefault="00AE6E67" w:rsidP="00AE6E67">
      <w:pPr>
        <w:spacing w:after="0" w:line="240" w:lineRule="auto"/>
        <w:jc w:val="both"/>
        <w:rPr>
          <w:rFonts w:ascii="Verdana" w:eastAsia="Calibri" w:hAnsi="Verdana" w:cs="Times New Roman"/>
        </w:rPr>
      </w:pPr>
      <w:r w:rsidRPr="00AE6E67">
        <w:rPr>
          <w:rFonts w:ascii="Verdana" w:eastAsia="Calibri" w:hAnsi="Verdana" w:cs="Times New Roman"/>
        </w:rPr>
        <w:lastRenderedPageBreak/>
        <w:t xml:space="preserve">Por último, lo invitamos a seguirnos en las redes sociales en las cuales se difunde información institucional: </w:t>
      </w:r>
    </w:p>
    <w:p w14:paraId="156A73FC" w14:textId="77777777" w:rsidR="00AE6E67" w:rsidRPr="00AE6E67" w:rsidRDefault="00AE6E67" w:rsidP="00AE6E67">
      <w:pPr>
        <w:spacing w:after="0" w:line="240" w:lineRule="auto"/>
        <w:jc w:val="both"/>
        <w:rPr>
          <w:rFonts w:ascii="Verdana" w:eastAsia="Calibri" w:hAnsi="Verdana" w:cs="Times New Roman"/>
        </w:rPr>
      </w:pPr>
    </w:p>
    <w:p w14:paraId="2FF05999" w14:textId="77777777" w:rsidR="00AE6E67" w:rsidRPr="00AE6E67" w:rsidRDefault="00AE6E67" w:rsidP="00AE6E67">
      <w:pPr>
        <w:spacing w:after="0" w:line="240" w:lineRule="auto"/>
        <w:jc w:val="both"/>
        <w:rPr>
          <w:rFonts w:ascii="Verdana" w:eastAsia="Calibri" w:hAnsi="Verdana" w:cs="Times New Roman"/>
        </w:rPr>
      </w:pPr>
      <w:r w:rsidRPr="00AE6E67">
        <w:rPr>
          <w:rFonts w:ascii="Verdana" w:eastAsia="Calibri" w:hAnsi="Verdana" w:cs="Times New Roman"/>
        </w:rPr>
        <w:t xml:space="preserve">Twitter: </w:t>
      </w:r>
      <w:r w:rsidRPr="00AE6E67">
        <w:rPr>
          <w:rFonts w:ascii="Verdana" w:eastAsia="Calibri" w:hAnsi="Verdana" w:cs="Times New Roman"/>
          <w:color w:val="0000FF"/>
          <w:u w:val="single"/>
        </w:rPr>
        <w:t>@colombiacompra</w:t>
      </w:r>
      <w:r w:rsidRPr="00AE6E67">
        <w:rPr>
          <w:rFonts w:ascii="Verdana" w:eastAsia="Calibri" w:hAnsi="Verdana" w:cs="Times New Roman"/>
        </w:rPr>
        <w:t xml:space="preserve"> </w:t>
      </w:r>
    </w:p>
    <w:p w14:paraId="32AA0E43" w14:textId="77777777" w:rsidR="00AE6E67" w:rsidRPr="00AE6E67" w:rsidRDefault="00AE6E67" w:rsidP="00AE6E67">
      <w:pPr>
        <w:spacing w:after="0" w:line="240" w:lineRule="auto"/>
        <w:jc w:val="both"/>
        <w:rPr>
          <w:rFonts w:ascii="Verdana" w:eastAsia="Calibri" w:hAnsi="Verdana" w:cs="Times New Roman"/>
        </w:rPr>
      </w:pPr>
      <w:r w:rsidRPr="00AE6E67">
        <w:rPr>
          <w:rFonts w:ascii="Verdana" w:eastAsia="Calibri" w:hAnsi="Verdana" w:cs="Times New Roman"/>
        </w:rPr>
        <w:t xml:space="preserve">Facebook: </w:t>
      </w:r>
      <w:proofErr w:type="spellStart"/>
      <w:r w:rsidRPr="00AE6E67">
        <w:rPr>
          <w:rFonts w:ascii="Verdana" w:eastAsia="Calibri" w:hAnsi="Verdana" w:cs="Times New Roman"/>
          <w:color w:val="0000FF"/>
          <w:u w:val="single"/>
        </w:rPr>
        <w:t>ColombiaCompraEficiente</w:t>
      </w:r>
      <w:proofErr w:type="spellEnd"/>
    </w:p>
    <w:p w14:paraId="40F1E559" w14:textId="77777777" w:rsidR="00AE6E67" w:rsidRPr="00AE6E67" w:rsidRDefault="00AE6E67" w:rsidP="00AE6E67">
      <w:pPr>
        <w:spacing w:after="0" w:line="240" w:lineRule="auto"/>
        <w:jc w:val="both"/>
        <w:rPr>
          <w:rFonts w:ascii="Verdana" w:eastAsia="Calibri" w:hAnsi="Verdana" w:cs="Times New Roman"/>
        </w:rPr>
      </w:pPr>
      <w:r w:rsidRPr="00AE6E67">
        <w:rPr>
          <w:rFonts w:ascii="Verdana" w:eastAsia="Calibri" w:hAnsi="Verdana" w:cs="Times New Roman"/>
        </w:rPr>
        <w:t xml:space="preserve">LinkedIn: </w:t>
      </w:r>
      <w:r w:rsidRPr="00AE6E67">
        <w:rPr>
          <w:rFonts w:ascii="Verdana" w:eastAsia="Calibri" w:hAnsi="Verdana" w:cs="Times New Roman"/>
          <w:color w:val="0000FF"/>
          <w:u w:val="single"/>
        </w:rPr>
        <w:t>Agencia Nacional de Contratación Pública - Colombia Compra Eficiente</w:t>
      </w:r>
      <w:r w:rsidRPr="00AE6E67">
        <w:rPr>
          <w:rFonts w:ascii="Verdana" w:eastAsia="Calibri" w:hAnsi="Verdana" w:cs="Times New Roman"/>
        </w:rPr>
        <w:t xml:space="preserve"> Instagram: </w:t>
      </w:r>
      <w:r w:rsidRPr="00AE6E67">
        <w:rPr>
          <w:rFonts w:ascii="Verdana" w:eastAsia="Calibri" w:hAnsi="Verdana" w:cs="Times New Roman"/>
          <w:color w:val="0000FF"/>
          <w:u w:val="single"/>
        </w:rPr>
        <w:t>@colombiacompraeficiente_cce</w:t>
      </w:r>
    </w:p>
    <w:p w14:paraId="1AF86C57" w14:textId="77777777" w:rsidR="00AE6E67" w:rsidRPr="00AE6E67" w:rsidRDefault="00AE6E67" w:rsidP="00AE6E67">
      <w:pPr>
        <w:widowControl w:val="0"/>
        <w:autoSpaceDE w:val="0"/>
        <w:autoSpaceDN w:val="0"/>
        <w:spacing w:after="120" w:line="276" w:lineRule="auto"/>
        <w:jc w:val="both"/>
        <w:rPr>
          <w:rFonts w:ascii="Verdana" w:eastAsia="Calibri" w:hAnsi="Verdana" w:cs="Arial"/>
          <w:color w:val="FF0000"/>
          <w:shd w:val="clear" w:color="auto" w:fill="FFFFFF"/>
          <w:lang w:val="es-ES_tradnl"/>
        </w:rPr>
      </w:pPr>
      <w:r w:rsidRPr="00AE6E67">
        <w:rPr>
          <w:rFonts w:ascii="Verdana" w:eastAsia="Calibri" w:hAnsi="Verdana" w:cs="Arial"/>
          <w:color w:val="FF0000"/>
          <w:shd w:val="clear" w:color="auto" w:fill="FFFFFF"/>
          <w:lang w:val="es-ES_tradnl"/>
        </w:rPr>
        <w:t xml:space="preserve">        </w:t>
      </w:r>
    </w:p>
    <w:p w14:paraId="4760F363" w14:textId="77777777" w:rsidR="00AE6E67" w:rsidRPr="00AE6E67" w:rsidRDefault="00AE6E67" w:rsidP="00AE6E67">
      <w:pPr>
        <w:widowControl w:val="0"/>
        <w:autoSpaceDE w:val="0"/>
        <w:autoSpaceDN w:val="0"/>
        <w:spacing w:after="0" w:line="276" w:lineRule="auto"/>
        <w:jc w:val="both"/>
        <w:rPr>
          <w:rFonts w:ascii="Verdana" w:eastAsia="Calibri" w:hAnsi="Verdana" w:cs="Arial"/>
          <w:lang w:val="es-ES_tradnl"/>
        </w:rPr>
      </w:pPr>
      <w:r w:rsidRPr="00AE6E67">
        <w:rPr>
          <w:rFonts w:ascii="Verdana" w:eastAsia="Calibri"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6D65F621" w14:textId="77777777" w:rsidR="00AE6E67" w:rsidRPr="00AE6E67" w:rsidRDefault="00AE6E67" w:rsidP="00AE6E67">
      <w:pPr>
        <w:widowControl w:val="0"/>
        <w:autoSpaceDE w:val="0"/>
        <w:autoSpaceDN w:val="0"/>
        <w:spacing w:after="0" w:line="276" w:lineRule="auto"/>
        <w:jc w:val="both"/>
        <w:rPr>
          <w:rFonts w:ascii="Verdana" w:eastAsia="Calibri" w:hAnsi="Verdana" w:cs="Arial"/>
          <w:lang w:val="es-ES_tradnl"/>
        </w:rPr>
      </w:pPr>
    </w:p>
    <w:p w14:paraId="7BA02FAB" w14:textId="77777777" w:rsidR="00AE6E67" w:rsidRPr="00AE6E67" w:rsidRDefault="00AE6E67" w:rsidP="00AE6E67">
      <w:pPr>
        <w:spacing w:after="0" w:line="240" w:lineRule="auto"/>
        <w:rPr>
          <w:rFonts w:ascii="Verdana" w:eastAsia="Calibri" w:hAnsi="Verdana" w:cs="Arial"/>
          <w:lang w:val="es-ES_tradnl" w:eastAsia="es-CO"/>
        </w:rPr>
      </w:pPr>
      <w:r w:rsidRPr="00AE6E67">
        <w:rPr>
          <w:rFonts w:ascii="Verdana" w:eastAsia="Times New Roman" w:hAnsi="Verdana" w:cs="Arial"/>
          <w:lang w:val="es-ES_tradnl" w:eastAsia="es-CO"/>
        </w:rPr>
        <w:t>Atentamente,</w:t>
      </w:r>
      <w:r w:rsidRPr="00AE6E67">
        <w:rPr>
          <w:rFonts w:ascii="Verdana" w:eastAsia="Calibri" w:hAnsi="Verdana" w:cs="Arial"/>
          <w:lang w:val="es-ES_tradnl" w:eastAsia="es-CO"/>
        </w:rPr>
        <w:t xml:space="preserve"> </w:t>
      </w:r>
    </w:p>
    <w:p w14:paraId="4B51B1AD" w14:textId="49833DE0" w:rsidR="00AE6E67" w:rsidRPr="00AE6E67" w:rsidRDefault="00596390" w:rsidP="00AE6E67">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4AE9909E" wp14:editId="7D5DD9DB">
            <wp:extent cx="3771900" cy="1318260"/>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9"/>
                    <a:stretch>
                      <a:fillRect/>
                    </a:stretch>
                  </pic:blipFill>
                  <pic:spPr>
                    <a:xfrm>
                      <a:off x="0" y="0"/>
                      <a:ext cx="3772426" cy="1318444"/>
                    </a:xfrm>
                    <a:prstGeom prst="rect">
                      <a:avLst/>
                    </a:prstGeom>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AE6E67" w:rsidRPr="00AE6E67" w14:paraId="4A87E88B" w14:textId="77777777" w:rsidTr="00DD5BED">
        <w:trPr>
          <w:trHeight w:val="315"/>
        </w:trPr>
        <w:tc>
          <w:tcPr>
            <w:tcW w:w="893" w:type="dxa"/>
            <w:vAlign w:val="center"/>
            <w:hideMark/>
          </w:tcPr>
          <w:p w14:paraId="181A0BBF" w14:textId="77777777" w:rsidR="00AE6E67" w:rsidRPr="00AE6E67" w:rsidRDefault="00AE6E67" w:rsidP="00AE6E67">
            <w:pPr>
              <w:spacing w:after="255" w:line="254" w:lineRule="auto"/>
              <w:contextualSpacing/>
              <w:rPr>
                <w:rFonts w:ascii="Verdana" w:hAnsi="Verdana"/>
                <w:sz w:val="16"/>
                <w:szCs w:val="16"/>
                <w:lang w:eastAsia="es-ES"/>
              </w:rPr>
            </w:pPr>
            <w:r w:rsidRPr="00AE6E67">
              <w:rPr>
                <w:rFonts w:ascii="Verdana"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A416652" w14:textId="77777777" w:rsidR="00AE6E67" w:rsidRPr="00AE6E67" w:rsidRDefault="00AE6E67" w:rsidP="00AE6E67">
            <w:pPr>
              <w:spacing w:after="255" w:line="254" w:lineRule="auto"/>
              <w:contextualSpacing/>
              <w:rPr>
                <w:rFonts w:ascii="Verdana" w:hAnsi="Verdana"/>
                <w:sz w:val="16"/>
                <w:szCs w:val="16"/>
              </w:rPr>
            </w:pPr>
            <w:r w:rsidRPr="00AE6E67">
              <w:rPr>
                <w:rFonts w:ascii="Verdana" w:hAnsi="Verdana"/>
                <w:sz w:val="16"/>
                <w:szCs w:val="16"/>
              </w:rPr>
              <w:t>Tatiana Baquero Iguarán</w:t>
            </w:r>
          </w:p>
          <w:p w14:paraId="79FF19A6" w14:textId="77777777" w:rsidR="00AE6E67" w:rsidRPr="00AE6E67" w:rsidRDefault="00AE6E67" w:rsidP="00AE6E67">
            <w:pPr>
              <w:spacing w:after="255" w:line="254" w:lineRule="auto"/>
              <w:contextualSpacing/>
              <w:rPr>
                <w:rFonts w:ascii="Verdana" w:hAnsi="Verdana"/>
                <w:sz w:val="16"/>
                <w:szCs w:val="16"/>
              </w:rPr>
            </w:pPr>
            <w:r w:rsidRPr="00AE6E67">
              <w:rPr>
                <w:rFonts w:ascii="Verdana" w:hAnsi="Verdana"/>
                <w:sz w:val="16"/>
                <w:szCs w:val="16"/>
              </w:rPr>
              <w:t>Contratista de la Subdirección de Gestión Contractual</w:t>
            </w:r>
          </w:p>
        </w:tc>
      </w:tr>
      <w:tr w:rsidR="00AE6E67" w:rsidRPr="00AE6E67" w14:paraId="5A422179" w14:textId="77777777" w:rsidTr="00DD5BED">
        <w:trPr>
          <w:trHeight w:val="330"/>
        </w:trPr>
        <w:tc>
          <w:tcPr>
            <w:tcW w:w="893" w:type="dxa"/>
            <w:vAlign w:val="center"/>
            <w:hideMark/>
          </w:tcPr>
          <w:p w14:paraId="5AF1046C" w14:textId="77777777" w:rsidR="00AE6E67" w:rsidRPr="00AE6E67" w:rsidRDefault="00AE6E67" w:rsidP="00AE6E67">
            <w:pPr>
              <w:spacing w:after="255" w:line="254" w:lineRule="auto"/>
              <w:contextualSpacing/>
              <w:rPr>
                <w:rFonts w:ascii="Verdana" w:hAnsi="Verdana"/>
                <w:sz w:val="16"/>
                <w:szCs w:val="16"/>
                <w:lang w:eastAsia="es-ES"/>
              </w:rPr>
            </w:pPr>
            <w:r w:rsidRPr="00AE6E67">
              <w:rPr>
                <w:rFonts w:ascii="Verdana"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B437A99" w14:textId="77777777" w:rsidR="00AE6E67" w:rsidRPr="00AE6E67" w:rsidRDefault="00AE6E67" w:rsidP="00AE6E67">
            <w:pPr>
              <w:spacing w:line="254" w:lineRule="auto"/>
              <w:contextualSpacing/>
              <w:textAlignment w:val="baseline"/>
              <w:rPr>
                <w:rFonts w:ascii="Verdana" w:hAnsi="Verdana"/>
                <w:sz w:val="16"/>
                <w:szCs w:val="16"/>
                <w:lang w:eastAsia="es-ES_tradnl"/>
              </w:rPr>
            </w:pPr>
            <w:r w:rsidRPr="00AE6E67">
              <w:rPr>
                <w:rFonts w:ascii="Verdana" w:hAnsi="Verdana"/>
                <w:sz w:val="16"/>
                <w:szCs w:val="16"/>
                <w:lang w:eastAsia="es-ES_tradnl"/>
              </w:rPr>
              <w:t>Alejandro Sarmiento Cantillo</w:t>
            </w:r>
          </w:p>
          <w:p w14:paraId="16C337D8" w14:textId="77777777" w:rsidR="00AE6E67" w:rsidRPr="00AE6E67" w:rsidRDefault="00AE6E67" w:rsidP="00AE6E67">
            <w:pPr>
              <w:spacing w:after="255" w:line="254" w:lineRule="auto"/>
              <w:contextualSpacing/>
              <w:textAlignment w:val="baseline"/>
              <w:rPr>
                <w:rFonts w:ascii="Verdana" w:hAnsi="Verdana" w:cs="Segoe UI"/>
                <w:sz w:val="16"/>
                <w:szCs w:val="16"/>
                <w:lang w:eastAsia="es-ES_tradnl"/>
              </w:rPr>
            </w:pPr>
            <w:r w:rsidRPr="00AE6E67">
              <w:rPr>
                <w:rFonts w:ascii="Verdana" w:hAnsi="Verdana"/>
                <w:sz w:val="16"/>
                <w:szCs w:val="16"/>
                <w:lang w:eastAsia="es-ES_tradnl"/>
              </w:rPr>
              <w:t>Gestor T1 ‒ 15 de la Subdirección de Gestión Contractual </w:t>
            </w:r>
          </w:p>
        </w:tc>
      </w:tr>
      <w:tr w:rsidR="00AE6E67" w:rsidRPr="00AE6E67" w14:paraId="42DCC160" w14:textId="77777777" w:rsidTr="00DD5BED">
        <w:trPr>
          <w:trHeight w:val="300"/>
        </w:trPr>
        <w:tc>
          <w:tcPr>
            <w:tcW w:w="893" w:type="dxa"/>
            <w:vAlign w:val="center"/>
            <w:hideMark/>
          </w:tcPr>
          <w:p w14:paraId="360B0E27" w14:textId="77777777" w:rsidR="00AE6E67" w:rsidRPr="00AE6E67" w:rsidRDefault="00AE6E67" w:rsidP="00AE6E67">
            <w:pPr>
              <w:spacing w:after="255" w:line="254" w:lineRule="auto"/>
              <w:contextualSpacing/>
              <w:rPr>
                <w:rFonts w:ascii="Verdana" w:hAnsi="Verdana"/>
                <w:sz w:val="16"/>
                <w:szCs w:val="16"/>
                <w:lang w:eastAsia="es-ES"/>
              </w:rPr>
            </w:pPr>
            <w:r w:rsidRPr="00AE6E67">
              <w:rPr>
                <w:rFonts w:ascii="Verdana"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12AB6EC" w14:textId="77777777" w:rsidR="00AE6E67" w:rsidRPr="00AE6E67" w:rsidRDefault="00AE6E67" w:rsidP="00AE6E67">
            <w:pPr>
              <w:spacing w:after="255" w:line="254" w:lineRule="auto"/>
              <w:contextualSpacing/>
              <w:rPr>
                <w:rFonts w:ascii="Verdana" w:hAnsi="Verdana"/>
                <w:sz w:val="16"/>
                <w:szCs w:val="16"/>
                <w:lang w:val="pt-BR" w:eastAsia="es-ES"/>
              </w:rPr>
            </w:pPr>
            <w:r w:rsidRPr="00AE6E67">
              <w:rPr>
                <w:rFonts w:ascii="Verdana" w:hAnsi="Verdana"/>
                <w:sz w:val="16"/>
                <w:szCs w:val="16"/>
                <w:lang w:val="pt-BR" w:eastAsia="es-ES"/>
              </w:rPr>
              <w:t xml:space="preserve">Carolina Quintero </w:t>
            </w:r>
            <w:proofErr w:type="spellStart"/>
            <w:r w:rsidRPr="00AE6E67">
              <w:rPr>
                <w:rFonts w:ascii="Verdana" w:hAnsi="Verdana"/>
                <w:sz w:val="16"/>
                <w:szCs w:val="16"/>
                <w:lang w:val="pt-BR" w:eastAsia="es-ES"/>
              </w:rPr>
              <w:t>Gacharná</w:t>
            </w:r>
            <w:proofErr w:type="spellEnd"/>
          </w:p>
          <w:p w14:paraId="3EB863E3" w14:textId="77777777" w:rsidR="00AE6E67" w:rsidRPr="00AE6E67" w:rsidRDefault="00AE6E67" w:rsidP="00AE6E67">
            <w:pPr>
              <w:spacing w:after="255" w:line="254" w:lineRule="auto"/>
              <w:contextualSpacing/>
              <w:rPr>
                <w:rFonts w:ascii="Verdana" w:hAnsi="Verdana"/>
                <w:sz w:val="16"/>
                <w:szCs w:val="16"/>
                <w:lang w:val="pt-BR" w:eastAsia="es-ES"/>
              </w:rPr>
            </w:pPr>
            <w:r w:rsidRPr="00AE6E67">
              <w:rPr>
                <w:rFonts w:ascii="Verdana" w:hAnsi="Verdana"/>
                <w:sz w:val="16"/>
                <w:szCs w:val="16"/>
                <w:lang w:eastAsia="es-ES"/>
              </w:rPr>
              <w:t>Subdirectora</w:t>
            </w:r>
            <w:r w:rsidRPr="00AE6E67">
              <w:rPr>
                <w:rFonts w:ascii="Verdana" w:hAnsi="Verdana"/>
                <w:sz w:val="16"/>
                <w:szCs w:val="16"/>
                <w:lang w:val="pt-BR" w:eastAsia="es-ES"/>
              </w:rPr>
              <w:t xml:space="preserve"> de Gestión Contratual ANCP – CCE</w:t>
            </w:r>
          </w:p>
        </w:tc>
      </w:tr>
    </w:tbl>
    <w:p w14:paraId="29F34569" w14:textId="77777777" w:rsidR="00AE6E67" w:rsidRPr="00AE6E67" w:rsidRDefault="00AE6E67" w:rsidP="00AE6E67"/>
    <w:p w14:paraId="09930757" w14:textId="77777777" w:rsidR="00282EAD" w:rsidRDefault="00282EAD" w:rsidP="00282EAD">
      <w:pPr>
        <w:spacing w:after="0" w:line="276" w:lineRule="auto"/>
        <w:rPr>
          <w:rFonts w:ascii="Verdana" w:eastAsia="Geomanist Light" w:hAnsi="Verdana" w:cs="Arial"/>
          <w:color w:val="000000" w:themeColor="text1"/>
          <w:lang w:val="es-ES"/>
        </w:rPr>
      </w:pPr>
    </w:p>
    <w:p w14:paraId="688D495A" w14:textId="77777777" w:rsidR="00282EAD" w:rsidRDefault="00282EAD" w:rsidP="00282EAD">
      <w:pPr>
        <w:spacing w:after="0" w:line="276" w:lineRule="auto"/>
        <w:rPr>
          <w:rFonts w:ascii="Verdana" w:eastAsia="Geomanist Light" w:hAnsi="Verdana" w:cs="Arial"/>
          <w:color w:val="000000" w:themeColor="text1"/>
          <w:lang w:val="es-ES"/>
        </w:rPr>
      </w:pPr>
    </w:p>
    <w:p w14:paraId="25E17A61" w14:textId="77777777" w:rsidR="00282EAD" w:rsidRDefault="00282EAD" w:rsidP="00291670">
      <w:pPr>
        <w:spacing w:after="0" w:line="240" w:lineRule="auto"/>
        <w:rPr>
          <w:rFonts w:ascii="Verdana" w:eastAsia="Geomanist Light" w:hAnsi="Verdana" w:cs="Arial"/>
          <w:color w:val="000000" w:themeColor="text1"/>
          <w:lang w:val="es-ES"/>
        </w:rPr>
      </w:pPr>
    </w:p>
    <w:p w14:paraId="0DB68CFF" w14:textId="77777777" w:rsidR="00282EAD" w:rsidRDefault="00282EAD" w:rsidP="00291670">
      <w:pPr>
        <w:spacing w:after="0" w:line="240" w:lineRule="auto"/>
        <w:rPr>
          <w:rFonts w:ascii="Verdana" w:eastAsia="Geomanist Light" w:hAnsi="Verdana" w:cs="Arial"/>
          <w:color w:val="000000" w:themeColor="text1"/>
          <w:lang w:val="es-ES"/>
        </w:rPr>
      </w:pPr>
    </w:p>
    <w:p w14:paraId="0995E14B" w14:textId="77777777" w:rsidR="00282EAD" w:rsidRDefault="00282EAD" w:rsidP="00291670">
      <w:pPr>
        <w:spacing w:after="0" w:line="240" w:lineRule="auto"/>
        <w:rPr>
          <w:rFonts w:ascii="Verdana" w:eastAsia="Geomanist Light" w:hAnsi="Verdana" w:cs="Arial"/>
          <w:color w:val="000000" w:themeColor="text1"/>
          <w:lang w:val="es-ES"/>
        </w:rPr>
      </w:pPr>
    </w:p>
    <w:p w14:paraId="0BC88505" w14:textId="77777777" w:rsidR="00282EAD" w:rsidRDefault="00282EAD" w:rsidP="00291670">
      <w:pPr>
        <w:spacing w:after="0" w:line="240" w:lineRule="auto"/>
        <w:rPr>
          <w:rFonts w:ascii="Verdana" w:eastAsia="Geomanist Light" w:hAnsi="Verdana" w:cs="Arial"/>
          <w:color w:val="000000" w:themeColor="text1"/>
          <w:lang w:val="es-ES"/>
        </w:rPr>
      </w:pPr>
    </w:p>
    <w:p w14:paraId="72133569" w14:textId="77777777" w:rsidR="00282EAD" w:rsidRDefault="00282EAD" w:rsidP="00291670">
      <w:pPr>
        <w:spacing w:after="0" w:line="240" w:lineRule="auto"/>
        <w:rPr>
          <w:rFonts w:ascii="Verdana" w:eastAsia="Geomanist Light" w:hAnsi="Verdana" w:cs="Arial"/>
          <w:color w:val="000000" w:themeColor="text1"/>
          <w:lang w:val="es-ES"/>
        </w:rPr>
      </w:pPr>
    </w:p>
    <w:p w14:paraId="7EEADC37" w14:textId="77777777" w:rsidR="00282EAD" w:rsidRDefault="00282EAD" w:rsidP="00291670">
      <w:pPr>
        <w:spacing w:after="0" w:line="240" w:lineRule="auto"/>
        <w:rPr>
          <w:rFonts w:ascii="Verdana" w:eastAsia="Geomanist Light" w:hAnsi="Verdana" w:cs="Arial"/>
          <w:color w:val="000000" w:themeColor="text1"/>
          <w:lang w:val="es-ES"/>
        </w:rPr>
      </w:pPr>
    </w:p>
    <w:p w14:paraId="488736C0" w14:textId="77777777" w:rsidR="00282EAD" w:rsidRDefault="00282EAD" w:rsidP="00291670">
      <w:pPr>
        <w:spacing w:after="0" w:line="240" w:lineRule="auto"/>
        <w:rPr>
          <w:rFonts w:ascii="Verdana" w:eastAsia="Geomanist Light" w:hAnsi="Verdana" w:cs="Arial"/>
          <w:color w:val="000000" w:themeColor="text1"/>
          <w:lang w:val="es-ES"/>
        </w:rPr>
      </w:pPr>
    </w:p>
    <w:p w14:paraId="337F5713" w14:textId="77777777" w:rsidR="00282EAD" w:rsidRDefault="00282EAD" w:rsidP="00291670">
      <w:pPr>
        <w:spacing w:after="0" w:line="240" w:lineRule="auto"/>
        <w:rPr>
          <w:rFonts w:ascii="Verdana" w:eastAsia="Geomanist Light" w:hAnsi="Verdana" w:cs="Arial"/>
          <w:color w:val="000000" w:themeColor="text1"/>
          <w:lang w:val="es-ES"/>
        </w:rPr>
      </w:pPr>
    </w:p>
    <w:bookmarkEnd w:id="0"/>
    <w:p w14:paraId="3B886336" w14:textId="77777777" w:rsidR="00282EAD" w:rsidRDefault="00282EAD" w:rsidP="00291670">
      <w:pPr>
        <w:spacing w:after="0" w:line="240" w:lineRule="auto"/>
        <w:rPr>
          <w:rFonts w:ascii="Verdana" w:eastAsia="Geomanist Light" w:hAnsi="Verdana" w:cs="Arial"/>
          <w:color w:val="000000" w:themeColor="text1"/>
        </w:rPr>
      </w:pPr>
    </w:p>
    <w:sectPr w:rsidR="00282EAD" w:rsidSect="00C44B4C">
      <w:headerReference w:type="default" r:id="rId20"/>
      <w:footerReference w:type="default" r:id="rId21"/>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F70DF0F" w14:textId="77777777" w:rsidR="008F4858" w:rsidRPr="009B7987" w:rsidRDefault="008F4858" w:rsidP="00B30448">
      <w:pPr>
        <w:spacing w:after="0" w:line="240" w:lineRule="auto"/>
      </w:pPr>
      <w:r w:rsidRPr="009B7987">
        <w:separator/>
      </w:r>
    </w:p>
  </w:endnote>
  <w:endnote w:type="continuationSeparator" w:id="0">
    <w:p w14:paraId="76C4E400" w14:textId="77777777" w:rsidR="008F4858" w:rsidRPr="009B7987" w:rsidRDefault="008F4858" w:rsidP="00B30448">
      <w:pPr>
        <w:spacing w:after="0" w:line="240" w:lineRule="auto"/>
      </w:pPr>
      <w:r w:rsidRPr="009B7987">
        <w:continuationSeparator/>
      </w:r>
    </w:p>
  </w:endnote>
  <w:endnote w:type="continuationNotice" w:id="1">
    <w:p w14:paraId="1473CF54" w14:textId="77777777" w:rsidR="008F4858" w:rsidRPr="009B7987" w:rsidRDefault="008F485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9C0E4" w14:textId="77777777" w:rsidR="00A81E50" w:rsidRPr="009B7987" w:rsidRDefault="00A81E50" w:rsidP="00A81E50">
    <w:pPr>
      <w:pBdr>
        <w:top w:val="single" w:sz="4" w:space="1" w:color="auto"/>
      </w:pBdr>
      <w:spacing w:after="0"/>
      <w:rPr>
        <w:rFonts w:ascii="Verdana" w:hAnsi="Verdana"/>
        <w:b/>
        <w:bCs/>
        <w:sz w:val="20"/>
        <w:szCs w:val="20"/>
      </w:rPr>
    </w:pPr>
    <w:r w:rsidRPr="009B7987">
      <w:rPr>
        <w:rFonts w:ascii="Verdana" w:hAnsi="Verdana"/>
        <w:b/>
        <w:bCs/>
        <w:sz w:val="20"/>
        <w:szCs w:val="20"/>
      </w:rPr>
      <w:t xml:space="preserve">Agencia Nacional de Contratación Pública                                              </w:t>
    </w:r>
    <w:r w:rsidRPr="009B7987">
      <w:rPr>
        <w:rFonts w:ascii="Verdana" w:eastAsiaTheme="majorEastAsia" w:hAnsi="Verdana" w:cstheme="majorBidi"/>
        <w:b/>
        <w:bCs/>
        <w:sz w:val="16"/>
        <w:szCs w:val="16"/>
      </w:rPr>
      <w:t xml:space="preserve">pág. </w:t>
    </w:r>
    <w:r w:rsidRPr="009B7987">
      <w:rPr>
        <w:rFonts w:ascii="Verdana" w:eastAsiaTheme="minorEastAsia" w:hAnsi="Verdana"/>
        <w:b/>
        <w:bCs/>
        <w:sz w:val="16"/>
        <w:szCs w:val="16"/>
      </w:rPr>
      <w:fldChar w:fldCharType="begin"/>
    </w:r>
    <w:r w:rsidRPr="009B7987">
      <w:rPr>
        <w:rFonts w:ascii="Verdana" w:hAnsi="Verdana"/>
        <w:b/>
        <w:bCs/>
        <w:sz w:val="16"/>
        <w:szCs w:val="16"/>
      </w:rPr>
      <w:instrText>PAGE    \* MERGEFORMAT</w:instrText>
    </w:r>
    <w:r w:rsidRPr="009B7987">
      <w:rPr>
        <w:rFonts w:ascii="Verdana" w:eastAsiaTheme="minorEastAsia" w:hAnsi="Verdana"/>
        <w:b/>
        <w:bCs/>
        <w:sz w:val="16"/>
        <w:szCs w:val="16"/>
      </w:rPr>
      <w:fldChar w:fldCharType="separate"/>
    </w:r>
    <w:r w:rsidRPr="009B7987">
      <w:rPr>
        <w:rFonts w:ascii="Verdana" w:eastAsiaTheme="minorEastAsia" w:hAnsi="Verdana"/>
        <w:b/>
        <w:bCs/>
        <w:sz w:val="16"/>
        <w:szCs w:val="16"/>
      </w:rPr>
      <w:t>1</w:t>
    </w:r>
    <w:r w:rsidRPr="009B7987">
      <w:rPr>
        <w:rFonts w:ascii="Verdana" w:eastAsiaTheme="majorEastAsia" w:hAnsi="Verdana" w:cstheme="majorBidi"/>
        <w:b/>
        <w:bCs/>
        <w:sz w:val="16"/>
        <w:szCs w:val="16"/>
      </w:rPr>
      <w:fldChar w:fldCharType="end"/>
    </w:r>
    <w:r w:rsidRPr="009B7987">
      <w:rPr>
        <w:rFonts w:ascii="Verdana" w:hAnsi="Verdana"/>
        <w:b/>
        <w:bCs/>
        <w:sz w:val="20"/>
        <w:szCs w:val="20"/>
      </w:rPr>
      <w:t xml:space="preserve">              Colombia Compra Eficiente                                                            </w:t>
    </w:r>
  </w:p>
  <w:p w14:paraId="4FC9CAA9"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Dirección: Carrera 7 # 26 – 20 - Bogotá, Colombia</w:t>
    </w:r>
  </w:p>
  <w:p w14:paraId="0B709B73" w14:textId="77777777" w:rsidR="00A81E50" w:rsidRPr="009B7987" w:rsidRDefault="00A81E50" w:rsidP="00A81E50">
    <w:pPr>
      <w:spacing w:after="0"/>
      <w:jc w:val="both"/>
      <w:rPr>
        <w:rFonts w:ascii="Verdana" w:hAnsi="Verdana"/>
        <w:sz w:val="18"/>
        <w:szCs w:val="18"/>
      </w:rPr>
    </w:pPr>
    <w:r w:rsidRPr="009B7987">
      <w:rPr>
        <w:rFonts w:ascii="Verdana" w:hAnsi="Verdana"/>
        <w:sz w:val="18"/>
        <w:szCs w:val="18"/>
      </w:rPr>
      <w:t>Mesa de servicio: (+57) 601 7456788</w:t>
    </w:r>
  </w:p>
  <w:p w14:paraId="224AB27F" w14:textId="77777777" w:rsidR="00DD7A2C" w:rsidRPr="009B7987" w:rsidRDefault="00A81E50" w:rsidP="00C00976">
    <w:pPr>
      <w:pBdr>
        <w:top w:val="nil"/>
        <w:left w:val="nil"/>
        <w:bottom w:val="nil"/>
        <w:right w:val="nil"/>
        <w:between w:val="nil"/>
      </w:pBdr>
      <w:tabs>
        <w:tab w:val="center" w:pos="4419"/>
        <w:tab w:val="right" w:pos="8838"/>
        <w:tab w:val="center" w:pos="5400"/>
      </w:tabs>
      <w:spacing w:after="0"/>
      <w:rPr>
        <w:rFonts w:ascii="Verdana" w:hAnsi="Verdana"/>
        <w:sz w:val="20"/>
        <w:szCs w:val="20"/>
      </w:rPr>
    </w:pPr>
    <w:r w:rsidRPr="009B7987">
      <w:rPr>
        <w:rFonts w:ascii="Verdana" w:hAnsi="Verdana"/>
        <w:sz w:val="18"/>
        <w:szCs w:val="18"/>
      </w:rPr>
      <w:t>Atención al ciudadano: (+57) 601 7956600</w:t>
    </w:r>
    <w:r w:rsidRPr="009B7987">
      <w:rPr>
        <w:rFonts w:ascii="Verdana" w:hAnsi="Verdana"/>
        <w:sz w:val="20"/>
        <w:szCs w:val="20"/>
      </w:rPr>
      <w:t xml:space="preserve">         </w:t>
    </w:r>
  </w:p>
  <w:p w14:paraId="2B8DBB2A" w14:textId="26AE77D2" w:rsidR="00A81E50" w:rsidRPr="009B7987" w:rsidRDefault="00A81E50" w:rsidP="00DD7A2C">
    <w:pPr>
      <w:pBdr>
        <w:top w:val="nil"/>
        <w:left w:val="nil"/>
        <w:bottom w:val="nil"/>
        <w:right w:val="nil"/>
        <w:between w:val="nil"/>
      </w:pBdr>
      <w:tabs>
        <w:tab w:val="center" w:pos="4419"/>
        <w:tab w:val="right" w:pos="8838"/>
        <w:tab w:val="center" w:pos="5400"/>
      </w:tabs>
      <w:spacing w:after="0"/>
      <w:jc w:val="right"/>
    </w:pPr>
    <w:r w:rsidRPr="009B7987">
      <w:rPr>
        <w:rFonts w:ascii="Verdana" w:hAnsi="Verdana"/>
        <w:sz w:val="20"/>
        <w:szCs w:val="20"/>
      </w:rPr>
      <w:t xml:space="preserve"> </w:t>
    </w:r>
    <w:r w:rsidRPr="009B7987">
      <w:rPr>
        <w:rFonts w:ascii="Verdana" w:eastAsia="Geo" w:hAnsi="Verdana" w:cs="Geo"/>
        <w:bCs/>
        <w:color w:val="000000"/>
        <w:sz w:val="16"/>
        <w:szCs w:val="16"/>
        <w:lang w:eastAsia="es-CO"/>
      </w:rPr>
      <w:t>Código: CCE-REC-FM-13 Versión</w:t>
    </w:r>
    <w:r w:rsidRPr="009B7987">
      <w:rPr>
        <w:rFonts w:ascii="Verdana" w:eastAsia="Arial Nova" w:hAnsi="Verdana" w:cs="Arial Nova"/>
        <w:bCs/>
        <w:color w:val="000000"/>
        <w:sz w:val="16"/>
        <w:szCs w:val="16"/>
        <w:lang w:eastAsia="es-CO"/>
      </w:rPr>
      <w:t>:</w:t>
    </w:r>
    <w:r w:rsidRPr="009B7987">
      <w:rPr>
        <w:rFonts w:ascii="Verdana" w:eastAsia="Arial Nova" w:hAnsi="Verdana" w:cs="Arial Nova"/>
        <w:b/>
        <w:color w:val="000000"/>
        <w:sz w:val="16"/>
        <w:szCs w:val="16"/>
        <w:lang w:eastAsia="es-CO"/>
      </w:rPr>
      <w:t xml:space="preserve"> </w:t>
    </w:r>
    <w:r w:rsidRPr="009B7987">
      <w:rPr>
        <w:rFonts w:ascii="Verdana" w:eastAsia="Geo" w:hAnsi="Verdana" w:cs="Geo"/>
        <w:sz w:val="16"/>
        <w:szCs w:val="16"/>
        <w:lang w:eastAsia="es-CO"/>
      </w:rPr>
      <w:t>01 Fecha:15-06-2023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96FAE" w14:textId="77777777" w:rsidR="008F4858" w:rsidRPr="009B7987" w:rsidRDefault="008F4858" w:rsidP="00B30448">
      <w:pPr>
        <w:spacing w:after="0" w:line="240" w:lineRule="auto"/>
      </w:pPr>
      <w:r w:rsidRPr="009B7987">
        <w:separator/>
      </w:r>
    </w:p>
  </w:footnote>
  <w:footnote w:type="continuationSeparator" w:id="0">
    <w:p w14:paraId="10D4E013" w14:textId="77777777" w:rsidR="008F4858" w:rsidRPr="009B7987" w:rsidRDefault="008F4858" w:rsidP="00B30448">
      <w:pPr>
        <w:spacing w:after="0" w:line="240" w:lineRule="auto"/>
      </w:pPr>
      <w:r w:rsidRPr="009B7987">
        <w:continuationSeparator/>
      </w:r>
    </w:p>
  </w:footnote>
  <w:footnote w:type="continuationNotice" w:id="1">
    <w:p w14:paraId="3EEA9876" w14:textId="77777777" w:rsidR="008F4858" w:rsidRPr="009B7987" w:rsidRDefault="008F4858">
      <w:pPr>
        <w:spacing w:after="0" w:line="240" w:lineRule="auto"/>
      </w:pPr>
    </w:p>
  </w:footnote>
  <w:footnote w:id="2">
    <w:p w14:paraId="4E110D60" w14:textId="77777777" w:rsidR="00AE6E67" w:rsidRDefault="00AE6E67" w:rsidP="00AE6E67">
      <w:pPr>
        <w:pStyle w:val="Textonotapie"/>
        <w:ind w:firstLine="708"/>
        <w:jc w:val="both"/>
        <w:rPr>
          <w:rFonts w:ascii="Verdana" w:hAnsi="Verdana" w:cs="Arial"/>
          <w:sz w:val="15"/>
          <w:szCs w:val="15"/>
          <w:lang w:val="es-CO"/>
        </w:rPr>
      </w:pPr>
      <w:r>
        <w:rPr>
          <w:rStyle w:val="Refdenotaalpie"/>
          <w:rFonts w:ascii="Verdana" w:hAnsi="Verdana" w:cs="Arial"/>
          <w:sz w:val="15"/>
          <w:szCs w:val="15"/>
        </w:rPr>
        <w:footnoteRef/>
      </w:r>
      <w:r>
        <w:rPr>
          <w:rFonts w:ascii="Verdana" w:hAnsi="Verdana" w:cs="Arial"/>
          <w:sz w:val="15"/>
          <w:szCs w:val="15"/>
        </w:rPr>
        <w:t xml:space="preserve"> </w:t>
      </w:r>
      <w:r>
        <w:rPr>
          <w:rFonts w:ascii="Verdana" w:hAnsi="Verdana" w:cs="Arial"/>
          <w:sz w:val="15"/>
          <w:szCs w:val="15"/>
          <w:lang w:val="es-CO"/>
        </w:rPr>
        <w:t xml:space="preserve">CLARO SOLAR, Luis. Explicaciones de derecho civil chileno y comparado. Tomo Décimo – Obligaciones y contratos 1. Santiago de Chile, Nascimiento, 1936. </w:t>
      </w:r>
    </w:p>
  </w:footnote>
  <w:footnote w:id="3">
    <w:p w14:paraId="7F3AF0D7" w14:textId="77777777" w:rsidR="00AE6E67" w:rsidRDefault="00AE6E67" w:rsidP="00AE6E67">
      <w:pPr>
        <w:pStyle w:val="Textoindependiente"/>
        <w:ind w:firstLine="708"/>
        <w:contextualSpacing/>
        <w:jc w:val="both"/>
        <w:rPr>
          <w:rFonts w:ascii="Verdana" w:hAnsi="Verdana" w:cs="Arial"/>
          <w:sz w:val="15"/>
          <w:szCs w:val="15"/>
        </w:rPr>
      </w:pPr>
      <w:r>
        <w:rPr>
          <w:rStyle w:val="Refdenotaalpie"/>
          <w:rFonts w:ascii="Verdana" w:hAnsi="Verdana" w:cs="Arial"/>
          <w:sz w:val="15"/>
          <w:szCs w:val="15"/>
        </w:rPr>
        <w:footnoteRef/>
      </w:r>
      <w:r>
        <w:rPr>
          <w:rFonts w:ascii="Verdana" w:hAnsi="Verdana" w:cs="Arial"/>
          <w:sz w:val="15"/>
          <w:szCs w:val="15"/>
        </w:rPr>
        <w:t xml:space="preserve"> “[...]el negocio jurídico es un acto de autonomía privada jurídicamente relevante; acto de autorregulación de los propios intereses: la ley no delimita totalmente su contenido, señala orientaciones y límites a la actividad dispositiva, indaga sobre su observancia y, no hallando reparo que formular, interpreta el comportamiento, lo ubica dentro del marco de circunstancias en que se realizó y, una vez encasillado dentro de uno de los tipos socialmente reconocidos, le asigna los efectos que mejor correspondan a la determinación particular así alindada y calificada”. (HINESTROSA, Fernando, Tratado de las Obligaciones II De las fuentes de las obligaciones: </w:t>
      </w:r>
      <w:r>
        <w:rPr>
          <w:rFonts w:ascii="Verdana" w:hAnsi="Verdana" w:cs="Arial"/>
          <w:i/>
          <w:sz w:val="15"/>
          <w:szCs w:val="15"/>
        </w:rPr>
        <w:t>El Negocio Jurídico</w:t>
      </w:r>
      <w:r>
        <w:rPr>
          <w:rFonts w:ascii="Verdana" w:hAnsi="Verdana" w:cs="Arial"/>
          <w:sz w:val="15"/>
          <w:szCs w:val="15"/>
        </w:rPr>
        <w:t>, Volumen I, Universidad Externado de Colombia, Bogotá, 2015, pág. 107).</w:t>
      </w:r>
    </w:p>
  </w:footnote>
  <w:footnote w:id="4">
    <w:p w14:paraId="13366790" w14:textId="77777777" w:rsidR="00AE6E67" w:rsidRDefault="00AE6E67" w:rsidP="00AE6E67">
      <w:pPr>
        <w:pStyle w:val="Textoindependiente"/>
        <w:ind w:firstLine="708"/>
        <w:contextualSpacing/>
        <w:jc w:val="both"/>
        <w:rPr>
          <w:rFonts w:ascii="Verdana" w:hAnsi="Verdana" w:cs="Arial"/>
          <w:sz w:val="15"/>
          <w:szCs w:val="15"/>
        </w:rPr>
      </w:pPr>
      <w:r>
        <w:rPr>
          <w:rStyle w:val="Refdenotaalpie"/>
          <w:rFonts w:ascii="Verdana" w:hAnsi="Verdana" w:cs="Arial"/>
          <w:sz w:val="15"/>
          <w:szCs w:val="15"/>
        </w:rPr>
        <w:footnoteRef/>
      </w:r>
      <w:r>
        <w:rPr>
          <w:rFonts w:ascii="Verdana" w:hAnsi="Verdana" w:cs="Arial"/>
          <w:sz w:val="15"/>
          <w:szCs w:val="15"/>
        </w:rPr>
        <w:t xml:space="preserve"> </w:t>
      </w:r>
      <w:r>
        <w:rPr>
          <w:rFonts w:ascii="Verdana" w:hAnsi="Verdana" w:cs="Arial"/>
          <w:sz w:val="15"/>
          <w:szCs w:val="15"/>
          <w:lang w:val="es-ES_tradnl"/>
        </w:rPr>
        <w:t xml:space="preserve">El artículo 2º define, para los efectos del ámbito de sujeción del estatuto, que se denominan entidades estatales: a) </w:t>
      </w:r>
      <w:r>
        <w:rPr>
          <w:rFonts w:ascii="Verdana" w:hAnsi="Verdana" w:cs="Arial"/>
          <w:sz w:val="15"/>
          <w:szCs w:val="15"/>
        </w:rPr>
        <w:t>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p>
  </w:footnote>
  <w:footnote w:id="5">
    <w:p w14:paraId="292FB1BE" w14:textId="77777777" w:rsidR="00AE6E67" w:rsidRDefault="00AE6E67" w:rsidP="00AE6E67">
      <w:pPr>
        <w:pStyle w:val="Textonotapie"/>
        <w:ind w:firstLine="720"/>
        <w:jc w:val="both"/>
        <w:rPr>
          <w:rFonts w:ascii="Verdana" w:hAnsi="Verdana" w:cs="Arial"/>
          <w:sz w:val="15"/>
          <w:szCs w:val="15"/>
        </w:rPr>
      </w:pPr>
      <w:r>
        <w:rPr>
          <w:rStyle w:val="Refdenotaalpie"/>
          <w:rFonts w:ascii="Verdana" w:hAnsi="Verdana" w:cs="Arial"/>
          <w:sz w:val="15"/>
          <w:szCs w:val="15"/>
        </w:rPr>
        <w:footnoteRef/>
      </w:r>
      <w:r>
        <w:rPr>
          <w:rFonts w:ascii="Verdana" w:hAnsi="Verdana" w:cs="Arial"/>
          <w:sz w:val="15"/>
          <w:szCs w:val="15"/>
        </w:rPr>
        <w:t xml:space="preserve"> Consejo de Estado. Sección Tercera. Sentencia del 4 de abril de 2002, M.P. Alier E. Hernández Enríquez. Rad. 1999-0290-01 (17.244).</w:t>
      </w:r>
    </w:p>
  </w:footnote>
  <w:footnote w:id="6">
    <w:p w14:paraId="25C282DE" w14:textId="77777777" w:rsidR="00AE6E67" w:rsidRDefault="00AE6E67" w:rsidP="00AE6E67">
      <w:pPr>
        <w:spacing w:line="240" w:lineRule="auto"/>
        <w:ind w:firstLine="707"/>
        <w:contextualSpacing/>
        <w:jc w:val="both"/>
        <w:rPr>
          <w:rFonts w:ascii="Verdana" w:hAnsi="Verdana" w:cs="Arial"/>
          <w:sz w:val="15"/>
          <w:szCs w:val="15"/>
        </w:rPr>
      </w:pPr>
      <w:r>
        <w:rPr>
          <w:rStyle w:val="Refdenotaalpie"/>
          <w:rFonts w:ascii="Verdana" w:hAnsi="Verdana" w:cs="Arial"/>
          <w:sz w:val="15"/>
          <w:szCs w:val="15"/>
        </w:rPr>
        <w:footnoteRef/>
      </w:r>
      <w:r>
        <w:rPr>
          <w:rFonts w:ascii="Verdana" w:hAnsi="Verdana" w:cs="Arial"/>
          <w:sz w:val="15"/>
          <w:szCs w:val="15"/>
        </w:rPr>
        <w:t xml:space="preserve"> Consejo de Estado. Sección Tercera. Sentencia de 23 de septiembre de 1997. Rad. S-701.</w:t>
      </w:r>
    </w:p>
  </w:footnote>
  <w:footnote w:id="7">
    <w:p w14:paraId="32234502" w14:textId="77777777" w:rsidR="00AE6E67" w:rsidRDefault="00AE6E67" w:rsidP="00AE6E67">
      <w:pPr>
        <w:spacing w:line="240" w:lineRule="auto"/>
        <w:ind w:firstLine="707"/>
        <w:contextualSpacing/>
        <w:jc w:val="both"/>
        <w:rPr>
          <w:rFonts w:ascii="Verdana" w:hAnsi="Verdana" w:cs="Arial"/>
          <w:sz w:val="15"/>
          <w:szCs w:val="15"/>
        </w:rPr>
      </w:pPr>
      <w:r>
        <w:rPr>
          <w:rStyle w:val="Refdenotaalpie"/>
          <w:rFonts w:ascii="Verdana" w:hAnsi="Verdana" w:cs="Arial"/>
          <w:sz w:val="15"/>
          <w:szCs w:val="15"/>
        </w:rPr>
        <w:footnoteRef/>
      </w:r>
      <w:r>
        <w:rPr>
          <w:rFonts w:ascii="Verdana" w:hAnsi="Verdana" w:cs="Arial"/>
          <w:sz w:val="15"/>
          <w:szCs w:val="15"/>
        </w:rPr>
        <w:t xml:space="preserve"> Consejo de Estado. Sala de Consulta y Servicio Civil. Concepto de 15 de mayo de 2018. Rad. 2335.</w:t>
      </w:r>
    </w:p>
  </w:footnote>
  <w:footnote w:id="8">
    <w:p w14:paraId="0E1B26B6" w14:textId="77777777" w:rsidR="00AE6E67" w:rsidRDefault="00AE6E67" w:rsidP="00AE6E67">
      <w:pPr>
        <w:pStyle w:val="Textonotapie"/>
        <w:ind w:firstLine="707"/>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w:t>
      </w:r>
      <w:proofErr w:type="spellStart"/>
      <w:r>
        <w:rPr>
          <w:rFonts w:ascii="Verdana" w:hAnsi="Verdana"/>
          <w:sz w:val="15"/>
          <w:szCs w:val="15"/>
        </w:rPr>
        <w:t>Messineo</w:t>
      </w:r>
      <w:proofErr w:type="spellEnd"/>
      <w:r>
        <w:rPr>
          <w:rFonts w:ascii="Verdana" w:hAnsi="Verdana"/>
          <w:sz w:val="15"/>
          <w:szCs w:val="15"/>
        </w:rPr>
        <w:t xml:space="preserve"> Ob. Cit. Pág. 394</w:t>
      </w:r>
    </w:p>
  </w:footnote>
  <w:footnote w:id="9">
    <w:p w14:paraId="42A8C472" w14:textId="77777777" w:rsidR="00AE6E67" w:rsidRDefault="00AE6E67" w:rsidP="00AE6E67">
      <w:pPr>
        <w:pStyle w:val="Textonotapie"/>
        <w:ind w:firstLine="707"/>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Consejo de Estado. Sección Tercera. Sentencia del 21 de abril de 2005. Rad. No 14651. C.P. Ramiro Saavedra Becerra</w:t>
      </w:r>
    </w:p>
  </w:footnote>
  <w:footnote w:id="10">
    <w:p w14:paraId="5F852952" w14:textId="77777777" w:rsidR="00AE6E67" w:rsidRDefault="00AE6E67" w:rsidP="00AE6E67">
      <w:pPr>
        <w:pStyle w:val="Textonotapie"/>
        <w:ind w:firstLine="707"/>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Consejo de Estado. Sala de Consulta y Servicio Civil. Sentencia de 12 de marzo de 2009. C.P. Gustavo Aponte Santos. Rad. 1942.</w:t>
      </w:r>
    </w:p>
  </w:footnote>
  <w:footnote w:id="11">
    <w:p w14:paraId="128F1BD0" w14:textId="77777777" w:rsidR="00AE6E67" w:rsidRDefault="00AE6E67" w:rsidP="00AE6E67">
      <w:pPr>
        <w:pStyle w:val="Textonotapie"/>
        <w:ind w:firstLine="708"/>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SUÁREZ BELTRÁN, Gonzalo. Estudios de derecho público contractual: Bogotá: Legis, 2014. p. 238. Al respecto, la doctrina considera que “Esta clase de contratos está constituida por aquellas figuras cuyos elementos son conocidos (elementos legales); dispuestos, sin embargo, en combinaciones diferentes a las que se pueden apreciar en los contratos típicos y que, además, han sido tomadas de más de un tipo de contrato. Estos elementos pueden encontrarse en una relación de coordinación o de subordinación” (Cfr. ARRUBLA PAUCAR, Jaime Alberto. Contratos mercantiles: contratos atípicos. Octava edición. Bogotá: Legis, 2015. p. 36). </w:t>
      </w:r>
    </w:p>
  </w:footnote>
  <w:footnote w:id="12">
    <w:p w14:paraId="172AB90E" w14:textId="77777777" w:rsidR="00AE6E67" w:rsidRDefault="00AE6E67" w:rsidP="00AE6E67">
      <w:pPr>
        <w:pStyle w:val="Textonotapie"/>
        <w:ind w:firstLine="709"/>
        <w:jc w:val="both"/>
        <w:rPr>
          <w:rFonts w:ascii="Verdana" w:hAnsi="Verdana"/>
          <w:color w:val="000000" w:themeColor="text1"/>
          <w:sz w:val="15"/>
          <w:szCs w:val="15"/>
        </w:rPr>
      </w:pPr>
      <w:r>
        <w:rPr>
          <w:rStyle w:val="Refdenotaalpie"/>
          <w:rFonts w:ascii="Verdana" w:hAnsi="Verdana"/>
          <w:sz w:val="15"/>
          <w:szCs w:val="15"/>
        </w:rPr>
        <w:footnoteRef/>
      </w:r>
      <w:r>
        <w:rPr>
          <w:rFonts w:ascii="Verdana" w:hAnsi="Verdana" w:cs="Arial"/>
          <w:sz w:val="15"/>
          <w:szCs w:val="15"/>
        </w:rPr>
        <w:t>Consejo de Estado</w:t>
      </w:r>
      <w:r>
        <w:rPr>
          <w:rFonts w:ascii="Verdana" w:hAnsi="Verdana"/>
          <w:color w:val="000000" w:themeColor="text1"/>
          <w:sz w:val="15"/>
          <w:szCs w:val="15"/>
        </w:rPr>
        <w:t>. Sala de Consulta y Servicio Civil. Concepto del 5 de septiembre de 2018. Rad. 2.386. C.P. Edgar González López.</w:t>
      </w:r>
    </w:p>
  </w:footnote>
  <w:footnote w:id="13">
    <w:p w14:paraId="5D0A144B" w14:textId="77777777" w:rsidR="00AE6E67" w:rsidRDefault="00AE6E67" w:rsidP="00AE6E67">
      <w:pPr>
        <w:pStyle w:val="Textonotapie"/>
        <w:ind w:firstLine="708"/>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Corte Suprema de Justicia. Sala de Casación Civil. Sentencia del 5 de diciembre de 1956. M.P. Pablo Emilio Manotas. Decisión publicada en el Gaceta Judicial LXXXIV, No. 2177-2180. p. 317. Este criterio se adoptó explícitamente en el derogado artículo 3.3.1.1 del Decreto 734 de 2012. Concretamente, el inciso cuarto disponía que ““En el caso de que el objeto contractual incluya los servicios de consultoría y otras obligaciones principales, como por ejemplo en el caso de ejecución de proyectos que incluyen diseño y construcción de la obra, la escogencia del contratista deberá adelantarse mediante licitación pública y selección abreviada, según corresponda de conformidad con lo señalado en la ley y en el presente decreto, sin perjuicio de lo previsto para la mínima cuantía. En todo caso, el equipo de profesionales y expertos propuestos deberá ser aprobado por la entidad”.</w:t>
      </w:r>
    </w:p>
  </w:footnote>
  <w:footnote w:id="14">
    <w:p w14:paraId="66B962A7" w14:textId="77777777" w:rsidR="00AE6E67" w:rsidRDefault="00AE6E67" w:rsidP="00AE6E67">
      <w:pPr>
        <w:pStyle w:val="Textonotapie"/>
        <w:ind w:firstLine="708"/>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Por ello, explica que “[…] todos estos criterios de interpretación no son, en último análisis más que especificaciones del principio de la analogía, inspiradas en las peculiaridades de cada materia. De aquí, también, que el criterio de interpretación más serio, respecto del contrato innominado mixto, es, además de la aplicación directa de las reglas generales sobre los contratos, el de la aplicación analógica de las singulares relativas al contrato nominado dado, que se manifiesten como las más adecuadas al contrato mixto que se debe interpretar, y si éstas no existen, entonces recurrir a las de la analogía iuris” (</w:t>
      </w:r>
      <w:r>
        <w:rPr>
          <w:rFonts w:ascii="Verdana" w:hAnsi="Verdana"/>
          <w:i/>
          <w:iCs/>
          <w:sz w:val="15"/>
          <w:szCs w:val="15"/>
        </w:rPr>
        <w:t>ibidem</w:t>
      </w:r>
      <w:r>
        <w:rPr>
          <w:rFonts w:ascii="Verdana" w:hAnsi="Verdana"/>
          <w:sz w:val="15"/>
          <w:szCs w:val="15"/>
        </w:rPr>
        <w:t>).</w:t>
      </w:r>
    </w:p>
  </w:footnote>
  <w:footnote w:id="15">
    <w:p w14:paraId="710A7F99" w14:textId="77777777" w:rsidR="00AE6E67" w:rsidRDefault="00AE6E67" w:rsidP="00AE6E67">
      <w:pPr>
        <w:pStyle w:val="Textonotapie"/>
        <w:ind w:firstLine="708"/>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RENGIFO GARCÍA, Ernesto. Interpretación del contrato atípico a la luz de la jurisprudencia colombiana. En: Los contratos en el derecho privado. Bogotá: Legis – Universidad del Rosario, 2009. p. 48. </w:t>
      </w:r>
    </w:p>
  </w:footnote>
  <w:footnote w:id="16">
    <w:p w14:paraId="3ACE161B" w14:textId="77777777" w:rsidR="00AE6E67" w:rsidRDefault="00AE6E67" w:rsidP="00AE6E67">
      <w:pPr>
        <w:pStyle w:val="Textonotapie"/>
        <w:ind w:firstLine="708"/>
        <w:jc w:val="both"/>
        <w:rPr>
          <w:rFonts w:ascii="Verdana" w:hAnsi="Verdana"/>
          <w:color w:val="000000" w:themeColor="text1"/>
          <w:sz w:val="15"/>
          <w:szCs w:val="15"/>
        </w:rPr>
      </w:pPr>
      <w:r>
        <w:rPr>
          <w:rStyle w:val="Refdenotaalpie"/>
          <w:rFonts w:ascii="Verdana" w:hAnsi="Verdana"/>
          <w:sz w:val="15"/>
          <w:szCs w:val="15"/>
        </w:rPr>
        <w:footnoteRef/>
      </w:r>
      <w:r>
        <w:rPr>
          <w:rFonts w:ascii="Verdana" w:hAnsi="Verdana"/>
          <w:sz w:val="15"/>
          <w:szCs w:val="15"/>
        </w:rPr>
        <w:t xml:space="preserve"> </w:t>
      </w:r>
      <w:r>
        <w:rPr>
          <w:rFonts w:ascii="Verdana" w:hAnsi="Verdana"/>
          <w:color w:val="000000" w:themeColor="text1"/>
          <w:sz w:val="15"/>
          <w:szCs w:val="15"/>
        </w:rPr>
        <w:t>Consejo de Estado. Sala de Consulta y Servicio Civil. Concepto del 5 de septiembre de 2018. Rad. 2.386. C.P. Edgar González López.</w:t>
      </w:r>
    </w:p>
  </w:footnote>
  <w:footnote w:id="17">
    <w:p w14:paraId="0F32D7AA" w14:textId="77777777" w:rsidR="00AE6E67" w:rsidRPr="00282EAD" w:rsidRDefault="00AE6E67" w:rsidP="00AE6E67">
      <w:pPr>
        <w:pStyle w:val="Textonotapie"/>
        <w:ind w:firstLine="708"/>
        <w:jc w:val="both"/>
        <w:rPr>
          <w:rFonts w:ascii="Verdana" w:hAnsi="Verdana"/>
          <w:sz w:val="15"/>
          <w:szCs w:val="15"/>
          <w:lang w:val="es-CO"/>
        </w:rPr>
      </w:pPr>
      <w:r w:rsidRPr="00282EAD">
        <w:rPr>
          <w:rStyle w:val="Refdenotaalpie"/>
          <w:rFonts w:ascii="Verdana" w:hAnsi="Verdana"/>
          <w:sz w:val="15"/>
          <w:szCs w:val="15"/>
          <w:lang w:val="es-CO"/>
        </w:rPr>
        <w:footnoteRef/>
      </w:r>
      <w:r w:rsidRPr="00282EAD">
        <w:rPr>
          <w:rFonts w:ascii="Verdana" w:hAnsi="Verdana"/>
          <w:sz w:val="15"/>
          <w:szCs w:val="15"/>
          <w:lang w:val="es-CO"/>
        </w:rPr>
        <w:t xml:space="preserve"> El parágrafo 4 del artículo 3 del Decreto 2474 de 2008, señalaba “Parágrafo 4°. En el caso de contratos en los que se involucre diseño y construcción, la entidad deberá́ poner a disposición de los oferentes </w:t>
      </w:r>
      <w:proofErr w:type="spellStart"/>
      <w:r w:rsidRPr="00282EAD">
        <w:rPr>
          <w:rFonts w:ascii="Verdana" w:hAnsi="Verdana"/>
          <w:sz w:val="15"/>
          <w:szCs w:val="15"/>
          <w:lang w:val="es-CO"/>
        </w:rPr>
        <w:t>además</w:t>
      </w:r>
      <w:proofErr w:type="spellEnd"/>
      <w:r w:rsidRPr="00282EAD">
        <w:rPr>
          <w:rFonts w:ascii="Verdana" w:hAnsi="Verdana"/>
          <w:sz w:val="15"/>
          <w:szCs w:val="15"/>
          <w:lang w:val="es-CO"/>
        </w:rPr>
        <w:t xml:space="preserve"> de los elementos </w:t>
      </w:r>
      <w:proofErr w:type="spellStart"/>
      <w:r w:rsidRPr="00282EAD">
        <w:rPr>
          <w:rFonts w:ascii="Verdana" w:hAnsi="Verdana"/>
          <w:sz w:val="15"/>
          <w:szCs w:val="15"/>
          <w:lang w:val="es-CO"/>
        </w:rPr>
        <w:t>mínimos</w:t>
      </w:r>
      <w:proofErr w:type="spellEnd"/>
      <w:r w:rsidRPr="00282EAD">
        <w:rPr>
          <w:rFonts w:ascii="Verdana" w:hAnsi="Verdana"/>
          <w:sz w:val="15"/>
          <w:szCs w:val="15"/>
          <w:lang w:val="es-CO"/>
        </w:rPr>
        <w:t xml:space="preserve"> a los que hace referencia el presente artículo, todos los documentos técnicos disponibles para el desarrollo del proyecto”. De forma similar, el artículo 54 de dicha norma dispuso que “[…] i el objeto contractual involucra servicios de </w:t>
      </w:r>
      <w:proofErr w:type="spellStart"/>
      <w:r w:rsidRPr="00282EAD">
        <w:rPr>
          <w:rFonts w:ascii="Verdana" w:hAnsi="Verdana"/>
          <w:sz w:val="15"/>
          <w:szCs w:val="15"/>
          <w:lang w:val="es-CO"/>
        </w:rPr>
        <w:t>consultoría</w:t>
      </w:r>
      <w:proofErr w:type="spellEnd"/>
      <w:r w:rsidRPr="00282EAD">
        <w:rPr>
          <w:rFonts w:ascii="Verdana" w:hAnsi="Verdana"/>
          <w:sz w:val="15"/>
          <w:szCs w:val="15"/>
          <w:lang w:val="es-CO"/>
        </w:rPr>
        <w:t xml:space="preserve"> y otras obligaciones principales, como por ejemplo en el caso de ejecución de proyectos que incluyen </w:t>
      </w:r>
      <w:proofErr w:type="spellStart"/>
      <w:r w:rsidRPr="00282EAD">
        <w:rPr>
          <w:rFonts w:ascii="Verdana" w:hAnsi="Verdana"/>
          <w:sz w:val="15"/>
          <w:szCs w:val="15"/>
          <w:lang w:val="es-CO"/>
        </w:rPr>
        <w:t>diseño</w:t>
      </w:r>
      <w:proofErr w:type="spellEnd"/>
      <w:r w:rsidRPr="00282EAD">
        <w:rPr>
          <w:rFonts w:ascii="Verdana" w:hAnsi="Verdana"/>
          <w:sz w:val="15"/>
          <w:szCs w:val="15"/>
          <w:lang w:val="es-CO"/>
        </w:rPr>
        <w:t xml:space="preserve"> y construcción de la obra, la escogencia del contratista deberá́ adelantarse mediante </w:t>
      </w:r>
      <w:proofErr w:type="spellStart"/>
      <w:r w:rsidRPr="00282EAD">
        <w:rPr>
          <w:rFonts w:ascii="Verdana" w:hAnsi="Verdana"/>
          <w:sz w:val="15"/>
          <w:szCs w:val="15"/>
          <w:lang w:val="es-CO"/>
        </w:rPr>
        <w:t>licitación</w:t>
      </w:r>
      <w:proofErr w:type="spellEnd"/>
      <w:r w:rsidRPr="00282EAD">
        <w:rPr>
          <w:rFonts w:ascii="Verdana" w:hAnsi="Verdana"/>
          <w:sz w:val="15"/>
          <w:szCs w:val="15"/>
          <w:lang w:val="es-CO"/>
        </w:rPr>
        <w:t xml:space="preserve"> </w:t>
      </w:r>
      <w:proofErr w:type="spellStart"/>
      <w:r w:rsidRPr="00282EAD">
        <w:rPr>
          <w:rFonts w:ascii="Verdana" w:hAnsi="Verdana"/>
          <w:sz w:val="15"/>
          <w:szCs w:val="15"/>
          <w:lang w:val="es-CO"/>
        </w:rPr>
        <w:t>pública</w:t>
      </w:r>
      <w:proofErr w:type="spellEnd"/>
      <w:r w:rsidRPr="00282EAD">
        <w:rPr>
          <w:rFonts w:ascii="Verdana" w:hAnsi="Verdana"/>
          <w:sz w:val="15"/>
          <w:szCs w:val="15"/>
          <w:lang w:val="es-CO"/>
        </w:rPr>
        <w:t xml:space="preserve">, selección abreviada o contratación directa, según corresponda de conformidad con lo </w:t>
      </w:r>
      <w:proofErr w:type="spellStart"/>
      <w:r w:rsidRPr="00282EAD">
        <w:rPr>
          <w:rFonts w:ascii="Verdana" w:hAnsi="Verdana"/>
          <w:sz w:val="15"/>
          <w:szCs w:val="15"/>
          <w:lang w:val="es-CO"/>
        </w:rPr>
        <w:t>señalado</w:t>
      </w:r>
      <w:proofErr w:type="spellEnd"/>
      <w:r w:rsidRPr="00282EAD">
        <w:rPr>
          <w:rFonts w:ascii="Verdana" w:hAnsi="Verdana"/>
          <w:sz w:val="15"/>
          <w:szCs w:val="15"/>
          <w:lang w:val="es-CO"/>
        </w:rPr>
        <w:t xml:space="preserve"> en la ley y en el presente decreto”</w:t>
      </w:r>
    </w:p>
  </w:footnote>
  <w:footnote w:id="18">
    <w:p w14:paraId="2C883DAC" w14:textId="77777777" w:rsidR="00AE6E67" w:rsidRDefault="00AE6E67" w:rsidP="00AE6E67">
      <w:pPr>
        <w:pStyle w:val="Textonotapie"/>
        <w:ind w:firstLine="708"/>
        <w:jc w:val="both"/>
        <w:rPr>
          <w:rFonts w:ascii="Verdana" w:hAnsi="Verdana"/>
          <w:sz w:val="15"/>
          <w:szCs w:val="15"/>
        </w:rPr>
      </w:pPr>
      <w:r w:rsidRPr="00282EAD">
        <w:rPr>
          <w:rStyle w:val="Refdenotaalpie"/>
          <w:rFonts w:ascii="Verdana" w:hAnsi="Verdana"/>
          <w:sz w:val="15"/>
          <w:szCs w:val="15"/>
          <w:lang w:val="es-CO"/>
        </w:rPr>
        <w:footnoteRef/>
      </w:r>
      <w:r w:rsidRPr="00282EAD">
        <w:rPr>
          <w:rFonts w:ascii="Verdana" w:hAnsi="Verdana"/>
          <w:sz w:val="15"/>
          <w:szCs w:val="15"/>
          <w:lang w:val="es-CO"/>
        </w:rPr>
        <w:t xml:space="preserve"> Consejo de Estado. Sala de lo Contencioso Administrativo. Sentencia del nueve (9) de marzo de dos mil </w:t>
      </w:r>
      <w:proofErr w:type="spellStart"/>
      <w:r w:rsidRPr="00282EAD">
        <w:rPr>
          <w:rFonts w:ascii="Verdana" w:hAnsi="Verdana"/>
          <w:sz w:val="15"/>
          <w:szCs w:val="15"/>
          <w:lang w:val="es-CO"/>
        </w:rPr>
        <w:t>dieciséis</w:t>
      </w:r>
      <w:proofErr w:type="spellEnd"/>
      <w:r w:rsidRPr="00282EAD">
        <w:rPr>
          <w:rFonts w:ascii="Verdana" w:hAnsi="Verdana"/>
          <w:sz w:val="15"/>
          <w:szCs w:val="15"/>
          <w:lang w:val="es-CO"/>
        </w:rPr>
        <w:t xml:space="preserve"> (2016). Rad. 11001-03-26-000-2009-00009-00(</w:t>
      </w:r>
      <w:proofErr w:type="gramStart"/>
      <w:r w:rsidRPr="00282EAD">
        <w:rPr>
          <w:rFonts w:ascii="Verdana" w:hAnsi="Verdana"/>
          <w:sz w:val="15"/>
          <w:szCs w:val="15"/>
          <w:lang w:val="es-CO"/>
        </w:rPr>
        <w:t>36312)A.</w:t>
      </w:r>
      <w:proofErr w:type="gramEnd"/>
      <w:r w:rsidRPr="00282EAD">
        <w:rPr>
          <w:rFonts w:ascii="Verdana" w:hAnsi="Verdana"/>
          <w:sz w:val="15"/>
          <w:szCs w:val="15"/>
          <w:lang w:val="es-CO"/>
        </w:rPr>
        <w:t xml:space="preserve"> </w:t>
      </w:r>
      <w:proofErr w:type="gramStart"/>
      <w:r w:rsidRPr="00282EAD">
        <w:rPr>
          <w:rFonts w:ascii="Verdana" w:hAnsi="Verdana"/>
          <w:sz w:val="15"/>
          <w:szCs w:val="15"/>
          <w:lang w:val="es-CO"/>
        </w:rPr>
        <w:t>Consejero</w:t>
      </w:r>
      <w:proofErr w:type="gramEnd"/>
      <w:r w:rsidRPr="00282EAD">
        <w:rPr>
          <w:rFonts w:ascii="Verdana" w:hAnsi="Verdana"/>
          <w:sz w:val="15"/>
          <w:szCs w:val="15"/>
          <w:lang w:val="es-CO"/>
        </w:rPr>
        <w:t xml:space="preserve"> ponente: Carlos Alberto Zambrano Barrera.</w:t>
      </w:r>
    </w:p>
  </w:footnote>
  <w:footnote w:id="19">
    <w:p w14:paraId="01B2A9B5" w14:textId="77777777" w:rsidR="00AE6E67" w:rsidRDefault="00AE6E67" w:rsidP="00AE6E67">
      <w:pPr>
        <w:pStyle w:val="Textonotapie"/>
        <w:ind w:firstLine="708"/>
        <w:jc w:val="both"/>
        <w:rPr>
          <w:rFonts w:ascii="Verdana" w:hAnsi="Verdana"/>
          <w:sz w:val="15"/>
          <w:szCs w:val="15"/>
          <w:lang w:val="es-ES"/>
        </w:rPr>
      </w:pPr>
      <w:r>
        <w:rPr>
          <w:rStyle w:val="Refdenotaalpie"/>
          <w:rFonts w:ascii="Verdana" w:hAnsi="Verdana"/>
          <w:sz w:val="15"/>
          <w:szCs w:val="15"/>
        </w:rPr>
        <w:footnoteRef/>
      </w:r>
      <w:r>
        <w:rPr>
          <w:rFonts w:ascii="Verdana" w:hAnsi="Verdana"/>
          <w:sz w:val="15"/>
          <w:szCs w:val="15"/>
        </w:rPr>
        <w:t xml:space="preserve"> Consejo de Estado. Sala de lo Contencioso Administrativo. Sentencia del nueve (9) de marzo de dos mil </w:t>
      </w:r>
      <w:proofErr w:type="spellStart"/>
      <w:r>
        <w:rPr>
          <w:rFonts w:ascii="Verdana" w:hAnsi="Verdana"/>
          <w:sz w:val="15"/>
          <w:szCs w:val="15"/>
        </w:rPr>
        <w:t>dieciséis</w:t>
      </w:r>
      <w:proofErr w:type="spellEnd"/>
      <w:r>
        <w:rPr>
          <w:rFonts w:ascii="Verdana" w:hAnsi="Verdana"/>
          <w:sz w:val="15"/>
          <w:szCs w:val="15"/>
        </w:rPr>
        <w:t xml:space="preserve"> (2016). Rad. 11001-03-26-000-2009-00009-00(</w:t>
      </w:r>
      <w:proofErr w:type="gramStart"/>
      <w:r>
        <w:rPr>
          <w:rFonts w:ascii="Verdana" w:hAnsi="Verdana"/>
          <w:sz w:val="15"/>
          <w:szCs w:val="15"/>
        </w:rPr>
        <w:t>36312)A.</w:t>
      </w:r>
      <w:proofErr w:type="gramEnd"/>
      <w:r>
        <w:rPr>
          <w:rFonts w:ascii="Verdana" w:hAnsi="Verdana"/>
          <w:sz w:val="15"/>
          <w:szCs w:val="15"/>
        </w:rPr>
        <w:t xml:space="preserve"> </w:t>
      </w:r>
      <w:proofErr w:type="gramStart"/>
      <w:r>
        <w:rPr>
          <w:rFonts w:ascii="Verdana" w:hAnsi="Verdana"/>
          <w:sz w:val="15"/>
          <w:szCs w:val="15"/>
        </w:rPr>
        <w:t>Consejero</w:t>
      </w:r>
      <w:proofErr w:type="gramEnd"/>
      <w:r>
        <w:rPr>
          <w:rFonts w:ascii="Verdana" w:hAnsi="Verdana"/>
          <w:sz w:val="15"/>
          <w:szCs w:val="15"/>
        </w:rPr>
        <w:t xml:space="preserve"> ponente: Carlos Alberto Zambrano Barrera.</w:t>
      </w:r>
    </w:p>
  </w:footnote>
  <w:footnote w:id="20">
    <w:p w14:paraId="3E253D66" w14:textId="77777777" w:rsidR="00AE6E67" w:rsidRDefault="00AE6E67" w:rsidP="00AE6E67">
      <w:pPr>
        <w:pStyle w:val="Textonotapie"/>
        <w:ind w:firstLine="708"/>
        <w:jc w:val="both"/>
        <w:rPr>
          <w:rFonts w:ascii="Verdana" w:hAnsi="Verdana"/>
          <w:sz w:val="15"/>
          <w:szCs w:val="15"/>
          <w:lang w:val="es-ES"/>
        </w:rPr>
      </w:pPr>
      <w:r>
        <w:rPr>
          <w:rStyle w:val="Refdenotaalpie"/>
          <w:rFonts w:ascii="Verdana" w:hAnsi="Verdana"/>
          <w:sz w:val="15"/>
          <w:szCs w:val="15"/>
        </w:rPr>
        <w:footnoteRef/>
      </w:r>
      <w:r>
        <w:rPr>
          <w:rFonts w:ascii="Verdana" w:hAnsi="Verdana"/>
          <w:sz w:val="15"/>
          <w:szCs w:val="15"/>
        </w:rPr>
        <w:t xml:space="preserve"> </w:t>
      </w:r>
      <w:r>
        <w:rPr>
          <w:rFonts w:ascii="Verdana" w:hAnsi="Verdana"/>
          <w:sz w:val="15"/>
          <w:szCs w:val="15"/>
          <w:lang w:val="es-CO"/>
        </w:rPr>
        <w:t xml:space="preserve">Consejo de Estado. Sala de Consulta y Servicio Civil. </w:t>
      </w:r>
      <w:r>
        <w:rPr>
          <w:rFonts w:ascii="Verdana" w:hAnsi="Verdana"/>
          <w:sz w:val="15"/>
          <w:szCs w:val="15"/>
        </w:rPr>
        <w:t xml:space="preserve">Cinco (5) de septiembre de dos mil dieciocho (2018). </w:t>
      </w:r>
      <w:r>
        <w:rPr>
          <w:rFonts w:ascii="Verdana" w:hAnsi="Verdana"/>
          <w:sz w:val="15"/>
          <w:szCs w:val="15"/>
          <w:lang w:val="es-CO"/>
        </w:rPr>
        <w:t>Rad: 11001-03-06-000-2018-00124-00(2386). C.P: Édgar González López</w:t>
      </w:r>
    </w:p>
  </w:footnote>
  <w:footnote w:id="21">
    <w:p w14:paraId="35B1582F" w14:textId="77777777" w:rsidR="00AE6E67" w:rsidRDefault="00AE6E67" w:rsidP="00AE6E67">
      <w:pPr>
        <w:pStyle w:val="Textonotapie"/>
        <w:ind w:firstLine="708"/>
        <w:jc w:val="both"/>
        <w:rPr>
          <w:rFonts w:ascii="Verdana" w:hAnsi="Verdana"/>
          <w:sz w:val="15"/>
          <w:szCs w:val="15"/>
        </w:rPr>
      </w:pPr>
      <w:r>
        <w:rPr>
          <w:rStyle w:val="Refdenotaalpie"/>
          <w:rFonts w:ascii="Verdana" w:hAnsi="Verdana"/>
          <w:sz w:val="15"/>
          <w:szCs w:val="15"/>
        </w:rPr>
        <w:footnoteRef/>
      </w:r>
      <w:r>
        <w:rPr>
          <w:rFonts w:ascii="Verdana" w:hAnsi="Verdana"/>
          <w:sz w:val="15"/>
          <w:szCs w:val="15"/>
        </w:rPr>
        <w:t xml:space="preserve"> GONZÁLEZ LÓPEZ, Edgar: “El Pliego de Condiciones en la </w:t>
      </w:r>
      <w:proofErr w:type="spellStart"/>
      <w:r>
        <w:rPr>
          <w:rFonts w:ascii="Verdana" w:hAnsi="Verdana"/>
          <w:sz w:val="15"/>
          <w:szCs w:val="15"/>
        </w:rPr>
        <w:t>Contratación</w:t>
      </w:r>
      <w:proofErr w:type="spellEnd"/>
      <w:r>
        <w:rPr>
          <w:rFonts w:ascii="Verdana" w:hAnsi="Verdana"/>
          <w:sz w:val="15"/>
          <w:szCs w:val="15"/>
        </w:rPr>
        <w:t xml:space="preserve"> Estatal”, Universidad Externado de Colombia, 2010, </w:t>
      </w:r>
      <w:proofErr w:type="spellStart"/>
      <w:r>
        <w:rPr>
          <w:rFonts w:ascii="Verdana" w:hAnsi="Verdana"/>
          <w:sz w:val="15"/>
          <w:szCs w:val="15"/>
        </w:rPr>
        <w:t>pág</w:t>
      </w:r>
      <w:proofErr w:type="spellEnd"/>
      <w:r>
        <w:rPr>
          <w:rFonts w:ascii="Verdana" w:hAnsi="Verdana"/>
          <w:sz w:val="15"/>
          <w:szCs w:val="15"/>
        </w:rPr>
        <w:t xml:space="preserve">. 211. Citado en: Consejo de Estado. Sala de lo Contencioso Administrativo. Sentencia del nueve (9) de marzo de dos mil </w:t>
      </w:r>
      <w:proofErr w:type="spellStart"/>
      <w:r>
        <w:rPr>
          <w:rFonts w:ascii="Verdana" w:hAnsi="Verdana"/>
          <w:sz w:val="15"/>
          <w:szCs w:val="15"/>
        </w:rPr>
        <w:t>dieciséis</w:t>
      </w:r>
      <w:proofErr w:type="spellEnd"/>
      <w:r>
        <w:rPr>
          <w:rFonts w:ascii="Verdana" w:hAnsi="Verdana"/>
          <w:sz w:val="15"/>
          <w:szCs w:val="15"/>
        </w:rPr>
        <w:t xml:space="preserve"> (2016). Rad. 11001-03-26-000-2009-00009-00(</w:t>
      </w:r>
      <w:proofErr w:type="gramStart"/>
      <w:r>
        <w:rPr>
          <w:rFonts w:ascii="Verdana" w:hAnsi="Verdana"/>
          <w:sz w:val="15"/>
          <w:szCs w:val="15"/>
        </w:rPr>
        <w:t>36312)A.</w:t>
      </w:r>
      <w:proofErr w:type="gramEnd"/>
      <w:r>
        <w:rPr>
          <w:rFonts w:ascii="Verdana" w:hAnsi="Verdana"/>
          <w:sz w:val="15"/>
          <w:szCs w:val="15"/>
        </w:rPr>
        <w:t xml:space="preserve"> </w:t>
      </w:r>
      <w:proofErr w:type="gramStart"/>
      <w:r>
        <w:rPr>
          <w:rFonts w:ascii="Verdana" w:hAnsi="Verdana"/>
          <w:sz w:val="15"/>
          <w:szCs w:val="15"/>
        </w:rPr>
        <w:t>Consejero</w:t>
      </w:r>
      <w:proofErr w:type="gramEnd"/>
      <w:r>
        <w:rPr>
          <w:rFonts w:ascii="Verdana" w:hAnsi="Verdana"/>
          <w:sz w:val="15"/>
          <w:szCs w:val="15"/>
        </w:rPr>
        <w:t xml:space="preserve"> ponente: Carlos Alberto Zambrano Barrera.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149BFF" w14:textId="77777777" w:rsidR="00006F59" w:rsidRPr="009B7987" w:rsidRDefault="00006F59" w:rsidP="00006F59">
    <w:pPr>
      <w:pStyle w:val="Encabezado"/>
    </w:pPr>
    <w:r w:rsidRPr="009B7987">
      <w:rPr>
        <w:rFonts w:ascii="Geomanist Bold" w:hAnsi="Geomanist Bold"/>
        <w:b/>
        <w:bCs/>
        <w:noProof/>
        <w:color w:val="002060"/>
        <w:sz w:val="24"/>
        <w:szCs w:val="24"/>
      </w:rPr>
      <w:drawing>
        <wp:anchor distT="0" distB="0" distL="114300" distR="114300" simplePos="0" relativeHeight="251658241" behindDoc="1" locked="0" layoutInCell="1" allowOverlap="1" wp14:anchorId="4812B632" wp14:editId="2E35C64A">
          <wp:simplePos x="0" y="0"/>
          <wp:positionH relativeFrom="margin">
            <wp:align>center</wp:align>
          </wp:positionH>
          <wp:positionV relativeFrom="paragraph">
            <wp:posOffset>-250190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Pr="009B7987">
      <w:rPr>
        <w:rFonts w:ascii="Geomanist Bold" w:hAnsi="Geomanist Bold"/>
        <w:b/>
        <w:bCs/>
        <w:noProof/>
        <w:color w:val="002060"/>
        <w:sz w:val="24"/>
        <w:szCs w:val="24"/>
      </w:rPr>
      <w:drawing>
        <wp:anchor distT="0" distB="0" distL="114300" distR="114300" simplePos="0" relativeHeight="251658240" behindDoc="0" locked="0" layoutInCell="1" allowOverlap="1" wp14:anchorId="292DC36A" wp14:editId="6004C65E">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4B171C2" w14:textId="77777777" w:rsidR="00006F59" w:rsidRPr="009B7987" w:rsidRDefault="00006F59" w:rsidP="00006F59">
    <w:pPr>
      <w:pStyle w:val="Encabezado"/>
      <w:jc w:val="center"/>
    </w:pPr>
  </w:p>
  <w:p w14:paraId="1665FD71" w14:textId="77777777" w:rsidR="00006F59" w:rsidRPr="009B7987" w:rsidRDefault="00006F59" w:rsidP="00006F59">
    <w:pPr>
      <w:pStyle w:val="Encabezado"/>
    </w:pPr>
  </w:p>
  <w:p w14:paraId="61B882FC" w14:textId="77777777" w:rsidR="00006F59" w:rsidRPr="009B7987" w:rsidRDefault="00006F59" w:rsidP="00006F59">
    <w:pPr>
      <w:spacing w:after="0"/>
      <w:rPr>
        <w:rFonts w:ascii="Verdana" w:hAnsi="Verdana"/>
        <w:b/>
        <w:bCs/>
        <w:sz w:val="24"/>
        <w:szCs w:val="24"/>
      </w:rPr>
    </w:pPr>
  </w:p>
  <w:p w14:paraId="701A9D55" w14:textId="29EB49FC" w:rsidR="00006F59" w:rsidRPr="009B7987" w:rsidRDefault="00006F59" w:rsidP="001918F1">
    <w:pPr>
      <w:tabs>
        <w:tab w:val="left" w:pos="6217"/>
      </w:tabs>
      <w:spacing w:after="0"/>
      <w:rPr>
        <w:rFonts w:ascii="Verdana" w:hAnsi="Verdana"/>
        <w:b/>
        <w:bCs/>
        <w:sz w:val="24"/>
        <w:szCs w:val="24"/>
      </w:rPr>
    </w:pPr>
    <w:r w:rsidRPr="009B7987">
      <w:rPr>
        <w:rFonts w:ascii="Verdana" w:hAnsi="Verdana"/>
        <w:b/>
        <w:bCs/>
        <w:sz w:val="24"/>
        <w:szCs w:val="24"/>
      </w:rPr>
      <w:t>FORMATO PQRSD</w:t>
    </w:r>
  </w:p>
  <w:p w14:paraId="68E0C024" w14:textId="62811F13" w:rsidR="00B30448" w:rsidRPr="009B7987" w:rsidRDefault="00B30448" w:rsidP="00006F59">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 w15:restartNumberingAfterBreak="0">
    <w:nsid w:val="05E83FFA"/>
    <w:multiLevelType w:val="hybridMultilevel"/>
    <w:tmpl w:val="8EF612C4"/>
    <w:lvl w:ilvl="0" w:tplc="DCA0A69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3" w15:restartNumberingAfterBreak="0">
    <w:nsid w:val="0801457A"/>
    <w:multiLevelType w:val="hybridMultilevel"/>
    <w:tmpl w:val="38A20F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F555BB5"/>
    <w:multiLevelType w:val="multilevel"/>
    <w:tmpl w:val="5868EEA8"/>
    <w:lvl w:ilvl="0">
      <w:start w:val="1"/>
      <w:numFmt w:val="decimal"/>
      <w:lvlText w:val="%1."/>
      <w:lvlJc w:val="left"/>
      <w:pPr>
        <w:ind w:left="46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820" w:hanging="720"/>
      </w:pPr>
      <w:rPr>
        <w:rFonts w:ascii="Arial" w:eastAsia="Arial" w:hAnsi="Arial" w:cs="Arial" w:hint="default"/>
        <w:b/>
        <w:bCs/>
        <w:color w:val="4E4D4D"/>
        <w:spacing w:val="-4"/>
        <w:w w:val="100"/>
        <w:sz w:val="22"/>
        <w:szCs w:val="22"/>
        <w:lang w:val="es-ES" w:eastAsia="en-US" w:bidi="ar-SA"/>
      </w:rPr>
    </w:lvl>
    <w:lvl w:ilvl="2">
      <w:start w:val="1"/>
      <w:numFmt w:val="decimal"/>
      <w:lvlText w:val="%3."/>
      <w:lvlJc w:val="left"/>
      <w:pPr>
        <w:ind w:left="1192" w:hanging="243"/>
      </w:pPr>
      <w:rPr>
        <w:rFonts w:ascii="Verdana" w:eastAsia="Arial" w:hAnsi="Verdana" w:cs="Arial" w:hint="default"/>
        <w:color w:val="auto"/>
        <w:spacing w:val="-1"/>
        <w:w w:val="100"/>
        <w:sz w:val="20"/>
        <w:szCs w:val="20"/>
        <w:lang w:val="es-ES" w:eastAsia="en-US" w:bidi="ar-SA"/>
      </w:rPr>
    </w:lvl>
    <w:lvl w:ilvl="3">
      <w:numFmt w:val="bullet"/>
      <w:lvlText w:val="•"/>
      <w:lvlJc w:val="left"/>
      <w:pPr>
        <w:ind w:left="2192" w:hanging="243"/>
      </w:pPr>
      <w:rPr>
        <w:rFonts w:hint="default"/>
        <w:lang w:val="es-ES" w:eastAsia="en-US" w:bidi="ar-SA"/>
      </w:rPr>
    </w:lvl>
    <w:lvl w:ilvl="4">
      <w:numFmt w:val="bullet"/>
      <w:lvlText w:val="•"/>
      <w:lvlJc w:val="left"/>
      <w:pPr>
        <w:ind w:left="3185" w:hanging="243"/>
      </w:pPr>
      <w:rPr>
        <w:rFonts w:hint="default"/>
        <w:lang w:val="es-ES" w:eastAsia="en-US" w:bidi="ar-SA"/>
      </w:rPr>
    </w:lvl>
    <w:lvl w:ilvl="5">
      <w:numFmt w:val="bullet"/>
      <w:lvlText w:val="•"/>
      <w:lvlJc w:val="left"/>
      <w:pPr>
        <w:ind w:left="4177" w:hanging="243"/>
      </w:pPr>
      <w:rPr>
        <w:rFonts w:hint="default"/>
        <w:lang w:val="es-ES" w:eastAsia="en-US" w:bidi="ar-SA"/>
      </w:rPr>
    </w:lvl>
    <w:lvl w:ilvl="6">
      <w:numFmt w:val="bullet"/>
      <w:lvlText w:val="•"/>
      <w:lvlJc w:val="left"/>
      <w:pPr>
        <w:ind w:left="5170" w:hanging="243"/>
      </w:pPr>
      <w:rPr>
        <w:rFonts w:hint="default"/>
        <w:lang w:val="es-ES" w:eastAsia="en-US" w:bidi="ar-SA"/>
      </w:rPr>
    </w:lvl>
    <w:lvl w:ilvl="7">
      <w:numFmt w:val="bullet"/>
      <w:lvlText w:val="•"/>
      <w:lvlJc w:val="left"/>
      <w:pPr>
        <w:ind w:left="6162" w:hanging="243"/>
      </w:pPr>
      <w:rPr>
        <w:rFonts w:hint="default"/>
        <w:lang w:val="es-ES" w:eastAsia="en-US" w:bidi="ar-SA"/>
      </w:rPr>
    </w:lvl>
    <w:lvl w:ilvl="8">
      <w:numFmt w:val="bullet"/>
      <w:lvlText w:val="•"/>
      <w:lvlJc w:val="left"/>
      <w:pPr>
        <w:ind w:left="7155" w:hanging="243"/>
      </w:pPr>
      <w:rPr>
        <w:rFonts w:hint="default"/>
        <w:lang w:val="es-ES" w:eastAsia="en-US" w:bidi="ar-SA"/>
      </w:rPr>
    </w:lvl>
  </w:abstractNum>
  <w:abstractNum w:abstractNumId="5" w15:restartNumberingAfterBreak="0">
    <w:nsid w:val="17AF3BD1"/>
    <w:multiLevelType w:val="hybridMultilevel"/>
    <w:tmpl w:val="13F4E45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C23291E"/>
    <w:multiLevelType w:val="hybridMultilevel"/>
    <w:tmpl w:val="352C3E0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7" w15:restartNumberingAfterBreak="0">
    <w:nsid w:val="239D63F5"/>
    <w:multiLevelType w:val="hybridMultilevel"/>
    <w:tmpl w:val="F538EEB4"/>
    <w:lvl w:ilvl="0" w:tplc="DB68C6FA">
      <w:numFmt w:val="bullet"/>
      <w:lvlText w:val="-"/>
      <w:lvlJc w:val="left"/>
      <w:pPr>
        <w:ind w:left="1069" w:hanging="360"/>
      </w:pPr>
      <w:rPr>
        <w:rFonts w:ascii="Verdana" w:eastAsia="Calibri" w:hAnsi="Verdana"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8" w15:restartNumberingAfterBreak="0">
    <w:nsid w:val="2BC96B99"/>
    <w:multiLevelType w:val="multilevel"/>
    <w:tmpl w:val="2F16E6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2143A1"/>
    <w:multiLevelType w:val="hybridMultilevel"/>
    <w:tmpl w:val="4EB84EEC"/>
    <w:lvl w:ilvl="0" w:tplc="5E185100">
      <w:start w:val="1"/>
      <w:numFmt w:val="lowerRoman"/>
      <w:lvlText w:val="%1)"/>
      <w:lvlJc w:val="left"/>
      <w:pPr>
        <w:ind w:left="2136" w:hanging="72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0" w15:restartNumberingAfterBreak="0">
    <w:nsid w:val="2F2F4AAF"/>
    <w:multiLevelType w:val="hybridMultilevel"/>
    <w:tmpl w:val="8780C6F4"/>
    <w:lvl w:ilvl="0" w:tplc="5594678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3" w15:restartNumberingAfterBreak="0">
    <w:nsid w:val="3835108C"/>
    <w:multiLevelType w:val="hybridMultilevel"/>
    <w:tmpl w:val="46D6164A"/>
    <w:lvl w:ilvl="0" w:tplc="9ADA0392">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4" w15:restartNumberingAfterBreak="0">
    <w:nsid w:val="388E5AE1"/>
    <w:multiLevelType w:val="hybridMultilevel"/>
    <w:tmpl w:val="1B62FAF4"/>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39CD3660"/>
    <w:multiLevelType w:val="hybridMultilevel"/>
    <w:tmpl w:val="DCEE24D0"/>
    <w:lvl w:ilvl="0" w:tplc="7D9E7E62">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D5D596E"/>
    <w:multiLevelType w:val="hybridMultilevel"/>
    <w:tmpl w:val="88DE2ABC"/>
    <w:lvl w:ilvl="0" w:tplc="ECF04718">
      <w:start w:val="1"/>
      <w:numFmt w:val="lowerRoman"/>
      <w:lvlText w:val="%1)"/>
      <w:lvlJc w:val="left"/>
      <w:pPr>
        <w:ind w:left="1429" w:hanging="720"/>
      </w:pPr>
      <w:rPr>
        <w:rFonts w:ascii="Verdana" w:eastAsia="Calibri" w:hAnsi="Verdana" w:cs="Arial"/>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15:restartNumberingAfterBreak="0">
    <w:nsid w:val="418679D0"/>
    <w:multiLevelType w:val="hybridMultilevel"/>
    <w:tmpl w:val="F2F430A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19" w15:restartNumberingAfterBreak="0">
    <w:nsid w:val="475C5A77"/>
    <w:multiLevelType w:val="hybridMultilevel"/>
    <w:tmpl w:val="F5321E2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0" w15:restartNumberingAfterBreak="0">
    <w:nsid w:val="4D0E478B"/>
    <w:multiLevelType w:val="hybridMultilevel"/>
    <w:tmpl w:val="869EF6D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B3B25D2"/>
    <w:multiLevelType w:val="multilevel"/>
    <w:tmpl w:val="57FA6DF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4" w15:restartNumberingAfterBreak="0">
    <w:nsid w:val="5B5505CE"/>
    <w:multiLevelType w:val="multilevel"/>
    <w:tmpl w:val="CEA8B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03F1D1B"/>
    <w:multiLevelType w:val="hybridMultilevel"/>
    <w:tmpl w:val="D012F2B4"/>
    <w:lvl w:ilvl="0" w:tplc="88466D34">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20101A4"/>
    <w:multiLevelType w:val="hybridMultilevel"/>
    <w:tmpl w:val="717C38BE"/>
    <w:lvl w:ilvl="0" w:tplc="FFFFFFFF">
      <w:start w:val="1"/>
      <w:numFmt w:val="lowerRoman"/>
      <w:lvlText w:val="%1)"/>
      <w:lvlJc w:val="left"/>
      <w:pPr>
        <w:ind w:left="1429" w:hanging="720"/>
      </w:pPr>
      <w:rPr>
        <w:rFonts w:ascii="Verdana" w:eastAsia="Calibri" w:hAnsi="Verdana" w:cs="Arial"/>
      </w:rPr>
    </w:lvl>
    <w:lvl w:ilvl="1" w:tplc="FFFFFFFF" w:tentative="1">
      <w:start w:val="1"/>
      <w:numFmt w:val="lowerLetter"/>
      <w:lvlText w:val="%2."/>
      <w:lvlJc w:val="left"/>
      <w:pPr>
        <w:ind w:left="1789" w:hanging="360"/>
      </w:pPr>
    </w:lvl>
    <w:lvl w:ilvl="2" w:tplc="FFFFFFFF" w:tentative="1">
      <w:start w:val="1"/>
      <w:numFmt w:val="lowerRoman"/>
      <w:lvlText w:val="%3."/>
      <w:lvlJc w:val="right"/>
      <w:pPr>
        <w:ind w:left="2509" w:hanging="180"/>
      </w:pPr>
    </w:lvl>
    <w:lvl w:ilvl="3" w:tplc="FFFFFFFF" w:tentative="1">
      <w:start w:val="1"/>
      <w:numFmt w:val="decimal"/>
      <w:lvlText w:val="%4."/>
      <w:lvlJc w:val="left"/>
      <w:pPr>
        <w:ind w:left="3229" w:hanging="360"/>
      </w:pPr>
    </w:lvl>
    <w:lvl w:ilvl="4" w:tplc="FFFFFFFF" w:tentative="1">
      <w:start w:val="1"/>
      <w:numFmt w:val="lowerLetter"/>
      <w:lvlText w:val="%5."/>
      <w:lvlJc w:val="left"/>
      <w:pPr>
        <w:ind w:left="3949" w:hanging="360"/>
      </w:pPr>
    </w:lvl>
    <w:lvl w:ilvl="5" w:tplc="FFFFFFFF" w:tentative="1">
      <w:start w:val="1"/>
      <w:numFmt w:val="lowerRoman"/>
      <w:lvlText w:val="%6."/>
      <w:lvlJc w:val="right"/>
      <w:pPr>
        <w:ind w:left="4669" w:hanging="180"/>
      </w:pPr>
    </w:lvl>
    <w:lvl w:ilvl="6" w:tplc="FFFFFFFF" w:tentative="1">
      <w:start w:val="1"/>
      <w:numFmt w:val="decimal"/>
      <w:lvlText w:val="%7."/>
      <w:lvlJc w:val="left"/>
      <w:pPr>
        <w:ind w:left="5389" w:hanging="360"/>
      </w:pPr>
    </w:lvl>
    <w:lvl w:ilvl="7" w:tplc="FFFFFFFF" w:tentative="1">
      <w:start w:val="1"/>
      <w:numFmt w:val="lowerLetter"/>
      <w:lvlText w:val="%8."/>
      <w:lvlJc w:val="left"/>
      <w:pPr>
        <w:ind w:left="6109" w:hanging="360"/>
      </w:pPr>
    </w:lvl>
    <w:lvl w:ilvl="8" w:tplc="FFFFFFFF" w:tentative="1">
      <w:start w:val="1"/>
      <w:numFmt w:val="lowerRoman"/>
      <w:lvlText w:val="%9."/>
      <w:lvlJc w:val="right"/>
      <w:pPr>
        <w:ind w:left="6829" w:hanging="180"/>
      </w:pPr>
    </w:lvl>
  </w:abstractNum>
  <w:abstractNum w:abstractNumId="28"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9" w15:restartNumberingAfterBreak="0">
    <w:nsid w:val="661C105F"/>
    <w:multiLevelType w:val="hybridMultilevel"/>
    <w:tmpl w:val="FF7611B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700542C4"/>
    <w:multiLevelType w:val="hybridMultilevel"/>
    <w:tmpl w:val="232828B0"/>
    <w:lvl w:ilvl="0" w:tplc="FFFFFFFF">
      <w:start w:val="1"/>
      <w:numFmt w:val="decimal"/>
      <w:lvlText w:val="%1."/>
      <w:lvlJc w:val="left"/>
      <w:pPr>
        <w:ind w:left="2061" w:hanging="360"/>
      </w:p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 w15:restartNumberingAfterBreak="0">
    <w:nsid w:val="70D60AF4"/>
    <w:multiLevelType w:val="hybridMultilevel"/>
    <w:tmpl w:val="623869D6"/>
    <w:lvl w:ilvl="0" w:tplc="1E18C336">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2" w15:restartNumberingAfterBreak="0">
    <w:nsid w:val="77681820"/>
    <w:multiLevelType w:val="hybridMultilevel"/>
    <w:tmpl w:val="978A042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3" w15:restartNumberingAfterBreak="0">
    <w:nsid w:val="7B7F0FB5"/>
    <w:multiLevelType w:val="hybridMultilevel"/>
    <w:tmpl w:val="3586D1F0"/>
    <w:lvl w:ilvl="0" w:tplc="15C0C8A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7C190BA4"/>
    <w:multiLevelType w:val="hybridMultilevel"/>
    <w:tmpl w:val="D1FEAF26"/>
    <w:lvl w:ilvl="0" w:tplc="D5B89D1A">
      <w:start w:val="1"/>
      <w:numFmt w:val="decimal"/>
      <w:lvlText w:val="%1."/>
      <w:lvlJc w:val="left"/>
      <w:pPr>
        <w:ind w:left="1028" w:hanging="221"/>
      </w:pPr>
      <w:rPr>
        <w:rFonts w:ascii="Arial" w:eastAsia="Arial" w:hAnsi="Arial" w:cs="Arial" w:hint="default"/>
        <w:color w:val="auto"/>
        <w:spacing w:val="-2"/>
        <w:w w:val="100"/>
        <w:sz w:val="20"/>
        <w:szCs w:val="20"/>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abstractNum w:abstractNumId="35" w15:restartNumberingAfterBreak="0">
    <w:nsid w:val="7DD23916"/>
    <w:multiLevelType w:val="multilevel"/>
    <w:tmpl w:val="89F2A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330140246">
    <w:abstractNumId w:val="0"/>
  </w:num>
  <w:num w:numId="2" w16cid:durableId="1492209491">
    <w:abstractNumId w:val="12"/>
  </w:num>
  <w:num w:numId="3" w16cid:durableId="679089576">
    <w:abstractNumId w:val="16"/>
  </w:num>
  <w:num w:numId="4" w16cid:durableId="893472101">
    <w:abstractNumId w:val="7"/>
  </w:num>
  <w:num w:numId="5" w16cid:durableId="1982299905">
    <w:abstractNumId w:val="35"/>
  </w:num>
  <w:num w:numId="6" w16cid:durableId="130758360">
    <w:abstractNumId w:val="19"/>
  </w:num>
  <w:num w:numId="7" w16cid:durableId="262541512">
    <w:abstractNumId w:val="32"/>
  </w:num>
  <w:num w:numId="8" w16cid:durableId="1947226218">
    <w:abstractNumId w:val="15"/>
  </w:num>
  <w:num w:numId="9" w16cid:durableId="1180706126">
    <w:abstractNumId w:val="18"/>
  </w:num>
  <w:num w:numId="10" w16cid:durableId="2097506960">
    <w:abstractNumId w:val="26"/>
  </w:num>
  <w:num w:numId="11" w16cid:durableId="1977490869">
    <w:abstractNumId w:val="22"/>
  </w:num>
  <w:num w:numId="12" w16cid:durableId="158663248">
    <w:abstractNumId w:val="21"/>
  </w:num>
  <w:num w:numId="13" w16cid:durableId="2024085788">
    <w:abstractNumId w:val="2"/>
  </w:num>
  <w:num w:numId="14" w16cid:durableId="1885099950">
    <w:abstractNumId w:val="14"/>
  </w:num>
  <w:num w:numId="15" w16cid:durableId="32047459">
    <w:abstractNumId w:val="9"/>
  </w:num>
  <w:num w:numId="16" w16cid:durableId="1192261824">
    <w:abstractNumId w:val="10"/>
  </w:num>
  <w:num w:numId="17" w16cid:durableId="375933272">
    <w:abstractNumId w:val="17"/>
  </w:num>
  <w:num w:numId="18" w16cid:durableId="610939998">
    <w:abstractNumId w:val="27"/>
  </w:num>
  <w:num w:numId="19" w16cid:durableId="1910656144">
    <w:abstractNumId w:val="3"/>
  </w:num>
  <w:num w:numId="20" w16cid:durableId="947545103">
    <w:abstractNumId w:val="13"/>
  </w:num>
  <w:num w:numId="21" w16cid:durableId="1851335222">
    <w:abstractNumId w:val="34"/>
  </w:num>
  <w:num w:numId="22" w16cid:durableId="578707994">
    <w:abstractNumId w:val="4"/>
  </w:num>
  <w:num w:numId="23" w16cid:durableId="876742304">
    <w:abstractNumId w:val="11"/>
  </w:num>
  <w:num w:numId="24" w16cid:durableId="1994095851">
    <w:abstractNumId w:val="5"/>
  </w:num>
  <w:num w:numId="25" w16cid:durableId="1567109325">
    <w:abstractNumId w:val="29"/>
  </w:num>
  <w:num w:numId="26" w16cid:durableId="1116487847">
    <w:abstractNumId w:val="20"/>
  </w:num>
  <w:num w:numId="27" w16cid:durableId="611326471">
    <w:abstractNumId w:val="30"/>
    <w:lvlOverride w:ilvl="0">
      <w:startOverride w:val="1"/>
    </w:lvlOverride>
    <w:lvlOverride w:ilvl="1"/>
    <w:lvlOverride w:ilvl="2"/>
    <w:lvlOverride w:ilvl="3"/>
    <w:lvlOverride w:ilvl="4"/>
    <w:lvlOverride w:ilvl="5"/>
    <w:lvlOverride w:ilvl="6"/>
    <w:lvlOverride w:ilvl="7"/>
    <w:lvlOverride w:ilvl="8"/>
  </w:num>
  <w:num w:numId="28" w16cid:durableId="883785195">
    <w:abstractNumId w:val="1"/>
  </w:num>
  <w:num w:numId="29" w16cid:durableId="2116288898">
    <w:abstractNumId w:val="33"/>
  </w:num>
  <w:num w:numId="30" w16cid:durableId="363991975">
    <w:abstractNumId w:val="31"/>
  </w:num>
  <w:num w:numId="31" w16cid:durableId="1509440290">
    <w:abstractNumId w:val="25"/>
  </w:num>
  <w:num w:numId="32" w16cid:durableId="1601723362">
    <w:abstractNumId w:val="6"/>
  </w:num>
  <w:num w:numId="33" w16cid:durableId="431320769">
    <w:abstractNumId w:val="8"/>
  </w:num>
  <w:num w:numId="34" w16cid:durableId="59640200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332217889">
    <w:abstractNumId w:val="24"/>
  </w:num>
  <w:num w:numId="36" w16cid:durableId="390349800">
    <w:abstractNumId w:val="28"/>
  </w:num>
  <w:num w:numId="37" w16cid:durableId="100644711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46952079">
    <w:abstractNumId w:val="6"/>
  </w:num>
  <w:num w:numId="39" w16cid:durableId="2111657886">
    <w:abstractNumId w:val="16"/>
  </w:num>
  <w:num w:numId="40" w16cid:durableId="203037600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0448"/>
    <w:rsid w:val="00001B12"/>
    <w:rsid w:val="00001B99"/>
    <w:rsid w:val="00001E39"/>
    <w:rsid w:val="00002920"/>
    <w:rsid w:val="00002D55"/>
    <w:rsid w:val="0000399A"/>
    <w:rsid w:val="00005225"/>
    <w:rsid w:val="000054DB"/>
    <w:rsid w:val="0000587D"/>
    <w:rsid w:val="000059AE"/>
    <w:rsid w:val="00005BB0"/>
    <w:rsid w:val="00006F59"/>
    <w:rsid w:val="00007086"/>
    <w:rsid w:val="00007382"/>
    <w:rsid w:val="00007576"/>
    <w:rsid w:val="000079B8"/>
    <w:rsid w:val="0001025F"/>
    <w:rsid w:val="0001155E"/>
    <w:rsid w:val="00011613"/>
    <w:rsid w:val="00011D3C"/>
    <w:rsid w:val="0001222D"/>
    <w:rsid w:val="00012679"/>
    <w:rsid w:val="00012EDA"/>
    <w:rsid w:val="00013B3F"/>
    <w:rsid w:val="00014981"/>
    <w:rsid w:val="00014B0D"/>
    <w:rsid w:val="00014D1E"/>
    <w:rsid w:val="00016280"/>
    <w:rsid w:val="0001672C"/>
    <w:rsid w:val="00016F04"/>
    <w:rsid w:val="00017870"/>
    <w:rsid w:val="0002029B"/>
    <w:rsid w:val="00021068"/>
    <w:rsid w:val="00021595"/>
    <w:rsid w:val="000219D1"/>
    <w:rsid w:val="00021C3A"/>
    <w:rsid w:val="0002202D"/>
    <w:rsid w:val="00022C23"/>
    <w:rsid w:val="00023DF7"/>
    <w:rsid w:val="000267DD"/>
    <w:rsid w:val="000273EA"/>
    <w:rsid w:val="00027B63"/>
    <w:rsid w:val="00027CA9"/>
    <w:rsid w:val="00030B3D"/>
    <w:rsid w:val="00030BC5"/>
    <w:rsid w:val="00030BFB"/>
    <w:rsid w:val="00031DA1"/>
    <w:rsid w:val="00031EAF"/>
    <w:rsid w:val="0003209C"/>
    <w:rsid w:val="00033390"/>
    <w:rsid w:val="0003424A"/>
    <w:rsid w:val="000361EA"/>
    <w:rsid w:val="000369C0"/>
    <w:rsid w:val="0003731A"/>
    <w:rsid w:val="00037A8B"/>
    <w:rsid w:val="00040372"/>
    <w:rsid w:val="000408AD"/>
    <w:rsid w:val="00041469"/>
    <w:rsid w:val="000414AA"/>
    <w:rsid w:val="0004180C"/>
    <w:rsid w:val="000419D7"/>
    <w:rsid w:val="00042DD7"/>
    <w:rsid w:val="00043EE5"/>
    <w:rsid w:val="000442CC"/>
    <w:rsid w:val="000442DE"/>
    <w:rsid w:val="00044B24"/>
    <w:rsid w:val="0004508D"/>
    <w:rsid w:val="00045B37"/>
    <w:rsid w:val="0004709D"/>
    <w:rsid w:val="000504AA"/>
    <w:rsid w:val="0005086B"/>
    <w:rsid w:val="00050C95"/>
    <w:rsid w:val="00050CAD"/>
    <w:rsid w:val="0005142D"/>
    <w:rsid w:val="00051A3C"/>
    <w:rsid w:val="00051BE4"/>
    <w:rsid w:val="00051E96"/>
    <w:rsid w:val="000526A8"/>
    <w:rsid w:val="00052EF1"/>
    <w:rsid w:val="0005420B"/>
    <w:rsid w:val="000551CB"/>
    <w:rsid w:val="0005620B"/>
    <w:rsid w:val="00057392"/>
    <w:rsid w:val="000577A2"/>
    <w:rsid w:val="000577D3"/>
    <w:rsid w:val="00057963"/>
    <w:rsid w:val="000579AB"/>
    <w:rsid w:val="00060AE4"/>
    <w:rsid w:val="000622B9"/>
    <w:rsid w:val="000631E9"/>
    <w:rsid w:val="00063B4B"/>
    <w:rsid w:val="00064721"/>
    <w:rsid w:val="00064D60"/>
    <w:rsid w:val="00064E9F"/>
    <w:rsid w:val="00065973"/>
    <w:rsid w:val="00065C6D"/>
    <w:rsid w:val="000665D3"/>
    <w:rsid w:val="00066646"/>
    <w:rsid w:val="00066C7A"/>
    <w:rsid w:val="00066CF1"/>
    <w:rsid w:val="0007144A"/>
    <w:rsid w:val="000716AB"/>
    <w:rsid w:val="00071AB8"/>
    <w:rsid w:val="0007243A"/>
    <w:rsid w:val="0007288A"/>
    <w:rsid w:val="000756F1"/>
    <w:rsid w:val="000762C0"/>
    <w:rsid w:val="00076737"/>
    <w:rsid w:val="00076C2B"/>
    <w:rsid w:val="00076C73"/>
    <w:rsid w:val="00076F81"/>
    <w:rsid w:val="000772B1"/>
    <w:rsid w:val="000779DE"/>
    <w:rsid w:val="000800B6"/>
    <w:rsid w:val="00081B03"/>
    <w:rsid w:val="00083AEF"/>
    <w:rsid w:val="000847A0"/>
    <w:rsid w:val="00084BFD"/>
    <w:rsid w:val="00087073"/>
    <w:rsid w:val="0008739A"/>
    <w:rsid w:val="000875BD"/>
    <w:rsid w:val="000878E7"/>
    <w:rsid w:val="00087A3B"/>
    <w:rsid w:val="00087C01"/>
    <w:rsid w:val="000903E4"/>
    <w:rsid w:val="000906E3"/>
    <w:rsid w:val="00091D73"/>
    <w:rsid w:val="000933B5"/>
    <w:rsid w:val="000933BC"/>
    <w:rsid w:val="00093544"/>
    <w:rsid w:val="00093D95"/>
    <w:rsid w:val="00094663"/>
    <w:rsid w:val="00095410"/>
    <w:rsid w:val="00095E48"/>
    <w:rsid w:val="00096637"/>
    <w:rsid w:val="0009726B"/>
    <w:rsid w:val="00097285"/>
    <w:rsid w:val="000975EA"/>
    <w:rsid w:val="000A021A"/>
    <w:rsid w:val="000A0ACF"/>
    <w:rsid w:val="000A1828"/>
    <w:rsid w:val="000A1D06"/>
    <w:rsid w:val="000A1F38"/>
    <w:rsid w:val="000A2030"/>
    <w:rsid w:val="000A301A"/>
    <w:rsid w:val="000A37F5"/>
    <w:rsid w:val="000A413A"/>
    <w:rsid w:val="000A4F1E"/>
    <w:rsid w:val="000A5881"/>
    <w:rsid w:val="000A66A1"/>
    <w:rsid w:val="000A69FB"/>
    <w:rsid w:val="000B1087"/>
    <w:rsid w:val="000B199A"/>
    <w:rsid w:val="000B1FF7"/>
    <w:rsid w:val="000B2529"/>
    <w:rsid w:val="000B2B7C"/>
    <w:rsid w:val="000B377E"/>
    <w:rsid w:val="000B381D"/>
    <w:rsid w:val="000B3DD4"/>
    <w:rsid w:val="000B4024"/>
    <w:rsid w:val="000B44BA"/>
    <w:rsid w:val="000B4C9C"/>
    <w:rsid w:val="000B5311"/>
    <w:rsid w:val="000B5313"/>
    <w:rsid w:val="000B5C65"/>
    <w:rsid w:val="000B5F1D"/>
    <w:rsid w:val="000B6BE9"/>
    <w:rsid w:val="000C02AD"/>
    <w:rsid w:val="000C060A"/>
    <w:rsid w:val="000C07B0"/>
    <w:rsid w:val="000C09DF"/>
    <w:rsid w:val="000C0AA8"/>
    <w:rsid w:val="000C18BD"/>
    <w:rsid w:val="000C1FC8"/>
    <w:rsid w:val="000C36E1"/>
    <w:rsid w:val="000C42A9"/>
    <w:rsid w:val="000C42C6"/>
    <w:rsid w:val="000C4874"/>
    <w:rsid w:val="000C50D6"/>
    <w:rsid w:val="000C557B"/>
    <w:rsid w:val="000C5A85"/>
    <w:rsid w:val="000C5F29"/>
    <w:rsid w:val="000C5F48"/>
    <w:rsid w:val="000C66BF"/>
    <w:rsid w:val="000C7B0A"/>
    <w:rsid w:val="000C7D5F"/>
    <w:rsid w:val="000C7FF8"/>
    <w:rsid w:val="000D0372"/>
    <w:rsid w:val="000D0ADE"/>
    <w:rsid w:val="000D16F5"/>
    <w:rsid w:val="000D1A8F"/>
    <w:rsid w:val="000D2914"/>
    <w:rsid w:val="000D2E60"/>
    <w:rsid w:val="000D2F50"/>
    <w:rsid w:val="000D3275"/>
    <w:rsid w:val="000D3A1B"/>
    <w:rsid w:val="000D3B86"/>
    <w:rsid w:val="000D4E64"/>
    <w:rsid w:val="000D5008"/>
    <w:rsid w:val="000D570C"/>
    <w:rsid w:val="000D5A0F"/>
    <w:rsid w:val="000D5B1E"/>
    <w:rsid w:val="000D5D9B"/>
    <w:rsid w:val="000D5E3F"/>
    <w:rsid w:val="000D6532"/>
    <w:rsid w:val="000D6E33"/>
    <w:rsid w:val="000D7976"/>
    <w:rsid w:val="000E0622"/>
    <w:rsid w:val="000E07AA"/>
    <w:rsid w:val="000E1D6F"/>
    <w:rsid w:val="000E2A37"/>
    <w:rsid w:val="000E2D0D"/>
    <w:rsid w:val="000E3381"/>
    <w:rsid w:val="000E3744"/>
    <w:rsid w:val="000E3CD9"/>
    <w:rsid w:val="000E481D"/>
    <w:rsid w:val="000E4DBF"/>
    <w:rsid w:val="000E4DF2"/>
    <w:rsid w:val="000E5844"/>
    <w:rsid w:val="000E7349"/>
    <w:rsid w:val="000E762D"/>
    <w:rsid w:val="000E77CC"/>
    <w:rsid w:val="000F0144"/>
    <w:rsid w:val="000F0807"/>
    <w:rsid w:val="000F080D"/>
    <w:rsid w:val="000F0B3C"/>
    <w:rsid w:val="000F13D5"/>
    <w:rsid w:val="000F175F"/>
    <w:rsid w:val="000F1AD8"/>
    <w:rsid w:val="000F2F4C"/>
    <w:rsid w:val="000F38D9"/>
    <w:rsid w:val="000F3CED"/>
    <w:rsid w:val="000F414C"/>
    <w:rsid w:val="000F64FC"/>
    <w:rsid w:val="000F696E"/>
    <w:rsid w:val="000F6C10"/>
    <w:rsid w:val="000F718E"/>
    <w:rsid w:val="001001F2"/>
    <w:rsid w:val="00100207"/>
    <w:rsid w:val="001003C6"/>
    <w:rsid w:val="00100682"/>
    <w:rsid w:val="001010D3"/>
    <w:rsid w:val="0010144A"/>
    <w:rsid w:val="00101C11"/>
    <w:rsid w:val="00102F4F"/>
    <w:rsid w:val="001034DD"/>
    <w:rsid w:val="00104425"/>
    <w:rsid w:val="00104B4C"/>
    <w:rsid w:val="00105135"/>
    <w:rsid w:val="001055A2"/>
    <w:rsid w:val="0010682A"/>
    <w:rsid w:val="00106C4C"/>
    <w:rsid w:val="00107DEF"/>
    <w:rsid w:val="0011037E"/>
    <w:rsid w:val="00110404"/>
    <w:rsid w:val="001109E8"/>
    <w:rsid w:val="00110BA5"/>
    <w:rsid w:val="00110F73"/>
    <w:rsid w:val="00111E35"/>
    <w:rsid w:val="001128B4"/>
    <w:rsid w:val="00112EBD"/>
    <w:rsid w:val="001132C2"/>
    <w:rsid w:val="0011382D"/>
    <w:rsid w:val="00113AF2"/>
    <w:rsid w:val="00113C17"/>
    <w:rsid w:val="00113FDD"/>
    <w:rsid w:val="00114051"/>
    <w:rsid w:val="00114973"/>
    <w:rsid w:val="00114CFF"/>
    <w:rsid w:val="00114FDF"/>
    <w:rsid w:val="00115C47"/>
    <w:rsid w:val="0011650B"/>
    <w:rsid w:val="00116616"/>
    <w:rsid w:val="00116FC5"/>
    <w:rsid w:val="00117163"/>
    <w:rsid w:val="00117BBD"/>
    <w:rsid w:val="001202DF"/>
    <w:rsid w:val="00120F1B"/>
    <w:rsid w:val="001213E7"/>
    <w:rsid w:val="001224BA"/>
    <w:rsid w:val="001238BC"/>
    <w:rsid w:val="00124518"/>
    <w:rsid w:val="001248AB"/>
    <w:rsid w:val="00124981"/>
    <w:rsid w:val="00124B2E"/>
    <w:rsid w:val="001256A1"/>
    <w:rsid w:val="00125D81"/>
    <w:rsid w:val="00126301"/>
    <w:rsid w:val="0012661F"/>
    <w:rsid w:val="00126966"/>
    <w:rsid w:val="001269B0"/>
    <w:rsid w:val="00126B24"/>
    <w:rsid w:val="00127234"/>
    <w:rsid w:val="001276C4"/>
    <w:rsid w:val="00127C04"/>
    <w:rsid w:val="00127C68"/>
    <w:rsid w:val="00127D5B"/>
    <w:rsid w:val="00131373"/>
    <w:rsid w:val="001314A0"/>
    <w:rsid w:val="00131A1F"/>
    <w:rsid w:val="00131A66"/>
    <w:rsid w:val="00131F9C"/>
    <w:rsid w:val="00132336"/>
    <w:rsid w:val="00132425"/>
    <w:rsid w:val="0013280A"/>
    <w:rsid w:val="0013343F"/>
    <w:rsid w:val="001344F9"/>
    <w:rsid w:val="00134F37"/>
    <w:rsid w:val="00135F76"/>
    <w:rsid w:val="001360E9"/>
    <w:rsid w:val="001360F4"/>
    <w:rsid w:val="001363C7"/>
    <w:rsid w:val="00136A27"/>
    <w:rsid w:val="00136E87"/>
    <w:rsid w:val="00140793"/>
    <w:rsid w:val="0014203B"/>
    <w:rsid w:val="001422BD"/>
    <w:rsid w:val="0014286D"/>
    <w:rsid w:val="00143B8E"/>
    <w:rsid w:val="00143CD6"/>
    <w:rsid w:val="00143F21"/>
    <w:rsid w:val="0014420C"/>
    <w:rsid w:val="001446C3"/>
    <w:rsid w:val="00144AA2"/>
    <w:rsid w:val="001461A7"/>
    <w:rsid w:val="00146946"/>
    <w:rsid w:val="00146E7C"/>
    <w:rsid w:val="00147F8C"/>
    <w:rsid w:val="00150492"/>
    <w:rsid w:val="001513CE"/>
    <w:rsid w:val="00151465"/>
    <w:rsid w:val="00151AD8"/>
    <w:rsid w:val="00151E77"/>
    <w:rsid w:val="00152B1C"/>
    <w:rsid w:val="00153287"/>
    <w:rsid w:val="001533E6"/>
    <w:rsid w:val="001538BE"/>
    <w:rsid w:val="00153C33"/>
    <w:rsid w:val="00155198"/>
    <w:rsid w:val="00155A26"/>
    <w:rsid w:val="00155EF1"/>
    <w:rsid w:val="00156192"/>
    <w:rsid w:val="00156E57"/>
    <w:rsid w:val="0015710D"/>
    <w:rsid w:val="00157338"/>
    <w:rsid w:val="00157CE5"/>
    <w:rsid w:val="00157DEB"/>
    <w:rsid w:val="001610BC"/>
    <w:rsid w:val="00161847"/>
    <w:rsid w:val="00161E13"/>
    <w:rsid w:val="001629D8"/>
    <w:rsid w:val="00162B2A"/>
    <w:rsid w:val="00162B8D"/>
    <w:rsid w:val="00162F9F"/>
    <w:rsid w:val="00164803"/>
    <w:rsid w:val="00164AE0"/>
    <w:rsid w:val="00165BF5"/>
    <w:rsid w:val="00165DC6"/>
    <w:rsid w:val="00165F2E"/>
    <w:rsid w:val="0016646A"/>
    <w:rsid w:val="0016793B"/>
    <w:rsid w:val="00167C43"/>
    <w:rsid w:val="001706C9"/>
    <w:rsid w:val="001708AA"/>
    <w:rsid w:val="0017120C"/>
    <w:rsid w:val="0017150D"/>
    <w:rsid w:val="001727D7"/>
    <w:rsid w:val="00172834"/>
    <w:rsid w:val="00172C96"/>
    <w:rsid w:val="00172DDC"/>
    <w:rsid w:val="00172F3A"/>
    <w:rsid w:val="00173477"/>
    <w:rsid w:val="0017414F"/>
    <w:rsid w:val="0017432C"/>
    <w:rsid w:val="00174636"/>
    <w:rsid w:val="00174735"/>
    <w:rsid w:val="0017481D"/>
    <w:rsid w:val="00174B1B"/>
    <w:rsid w:val="00174BD8"/>
    <w:rsid w:val="00174D51"/>
    <w:rsid w:val="001750BC"/>
    <w:rsid w:val="001757B3"/>
    <w:rsid w:val="001765BB"/>
    <w:rsid w:val="0017667E"/>
    <w:rsid w:val="001766D3"/>
    <w:rsid w:val="00176AE8"/>
    <w:rsid w:val="00176E76"/>
    <w:rsid w:val="00177570"/>
    <w:rsid w:val="00177E95"/>
    <w:rsid w:val="0018007F"/>
    <w:rsid w:val="001811FC"/>
    <w:rsid w:val="001821FA"/>
    <w:rsid w:val="00182338"/>
    <w:rsid w:val="00182348"/>
    <w:rsid w:val="001839D5"/>
    <w:rsid w:val="00183F50"/>
    <w:rsid w:val="0018402A"/>
    <w:rsid w:val="00184BD9"/>
    <w:rsid w:val="00184ED6"/>
    <w:rsid w:val="00184F13"/>
    <w:rsid w:val="00184FD9"/>
    <w:rsid w:val="00185361"/>
    <w:rsid w:val="00186037"/>
    <w:rsid w:val="00186AE4"/>
    <w:rsid w:val="00186D14"/>
    <w:rsid w:val="001876D8"/>
    <w:rsid w:val="00190325"/>
    <w:rsid w:val="00190391"/>
    <w:rsid w:val="0019151E"/>
    <w:rsid w:val="00191593"/>
    <w:rsid w:val="001918F1"/>
    <w:rsid w:val="0019196E"/>
    <w:rsid w:val="00191FF5"/>
    <w:rsid w:val="001926D7"/>
    <w:rsid w:val="00192CCE"/>
    <w:rsid w:val="0019385B"/>
    <w:rsid w:val="00193F1C"/>
    <w:rsid w:val="001948F5"/>
    <w:rsid w:val="00194958"/>
    <w:rsid w:val="00196359"/>
    <w:rsid w:val="00196D8D"/>
    <w:rsid w:val="00196E44"/>
    <w:rsid w:val="00197205"/>
    <w:rsid w:val="00197632"/>
    <w:rsid w:val="0019793F"/>
    <w:rsid w:val="00197A9D"/>
    <w:rsid w:val="001A08E7"/>
    <w:rsid w:val="001A17D7"/>
    <w:rsid w:val="001A1846"/>
    <w:rsid w:val="001A1A67"/>
    <w:rsid w:val="001A1FDD"/>
    <w:rsid w:val="001A2D8F"/>
    <w:rsid w:val="001A393B"/>
    <w:rsid w:val="001A3963"/>
    <w:rsid w:val="001A3D89"/>
    <w:rsid w:val="001A3E0A"/>
    <w:rsid w:val="001A5458"/>
    <w:rsid w:val="001A545B"/>
    <w:rsid w:val="001A54DA"/>
    <w:rsid w:val="001A5E69"/>
    <w:rsid w:val="001A6861"/>
    <w:rsid w:val="001A6FEC"/>
    <w:rsid w:val="001A78AA"/>
    <w:rsid w:val="001B08B5"/>
    <w:rsid w:val="001B143B"/>
    <w:rsid w:val="001B1532"/>
    <w:rsid w:val="001B15D3"/>
    <w:rsid w:val="001B1777"/>
    <w:rsid w:val="001B19C5"/>
    <w:rsid w:val="001B1B6D"/>
    <w:rsid w:val="001B1C93"/>
    <w:rsid w:val="001B21CA"/>
    <w:rsid w:val="001B28D5"/>
    <w:rsid w:val="001B28E4"/>
    <w:rsid w:val="001B35D4"/>
    <w:rsid w:val="001B4446"/>
    <w:rsid w:val="001B5A00"/>
    <w:rsid w:val="001B5F59"/>
    <w:rsid w:val="001B63A7"/>
    <w:rsid w:val="001B6810"/>
    <w:rsid w:val="001B6E89"/>
    <w:rsid w:val="001B791C"/>
    <w:rsid w:val="001B7D70"/>
    <w:rsid w:val="001C0125"/>
    <w:rsid w:val="001C1074"/>
    <w:rsid w:val="001C21C8"/>
    <w:rsid w:val="001C25F5"/>
    <w:rsid w:val="001C34D0"/>
    <w:rsid w:val="001C4249"/>
    <w:rsid w:val="001C46E3"/>
    <w:rsid w:val="001C4F27"/>
    <w:rsid w:val="001C6573"/>
    <w:rsid w:val="001C7D03"/>
    <w:rsid w:val="001D00BE"/>
    <w:rsid w:val="001D079B"/>
    <w:rsid w:val="001D0D32"/>
    <w:rsid w:val="001D17C9"/>
    <w:rsid w:val="001D1AB9"/>
    <w:rsid w:val="001D1F20"/>
    <w:rsid w:val="001D3795"/>
    <w:rsid w:val="001D38B1"/>
    <w:rsid w:val="001D392C"/>
    <w:rsid w:val="001D3E7C"/>
    <w:rsid w:val="001D4006"/>
    <w:rsid w:val="001D54BD"/>
    <w:rsid w:val="001D5C72"/>
    <w:rsid w:val="001D626E"/>
    <w:rsid w:val="001D6F5D"/>
    <w:rsid w:val="001D733B"/>
    <w:rsid w:val="001D73CF"/>
    <w:rsid w:val="001D7E8C"/>
    <w:rsid w:val="001E0902"/>
    <w:rsid w:val="001E1801"/>
    <w:rsid w:val="001E1B8B"/>
    <w:rsid w:val="001E1C73"/>
    <w:rsid w:val="001E1E05"/>
    <w:rsid w:val="001E2254"/>
    <w:rsid w:val="001E22D2"/>
    <w:rsid w:val="001E2343"/>
    <w:rsid w:val="001E3A17"/>
    <w:rsid w:val="001E3FCB"/>
    <w:rsid w:val="001E50C0"/>
    <w:rsid w:val="001E52DF"/>
    <w:rsid w:val="001E5500"/>
    <w:rsid w:val="001E6BCB"/>
    <w:rsid w:val="001E783B"/>
    <w:rsid w:val="001E7FBC"/>
    <w:rsid w:val="001F0822"/>
    <w:rsid w:val="001F08CB"/>
    <w:rsid w:val="001F105B"/>
    <w:rsid w:val="001F15F6"/>
    <w:rsid w:val="001F179C"/>
    <w:rsid w:val="001F24B7"/>
    <w:rsid w:val="001F2649"/>
    <w:rsid w:val="001F2E4E"/>
    <w:rsid w:val="001F3496"/>
    <w:rsid w:val="001F41CA"/>
    <w:rsid w:val="001F4355"/>
    <w:rsid w:val="001F4819"/>
    <w:rsid w:val="001F48BD"/>
    <w:rsid w:val="001F4B69"/>
    <w:rsid w:val="001F5034"/>
    <w:rsid w:val="001F61DE"/>
    <w:rsid w:val="001F63AA"/>
    <w:rsid w:val="001F69C8"/>
    <w:rsid w:val="001F7054"/>
    <w:rsid w:val="001F71FD"/>
    <w:rsid w:val="001F77E5"/>
    <w:rsid w:val="001F7DB7"/>
    <w:rsid w:val="002000AA"/>
    <w:rsid w:val="002009B7"/>
    <w:rsid w:val="00201502"/>
    <w:rsid w:val="0020302A"/>
    <w:rsid w:val="002032A0"/>
    <w:rsid w:val="00203532"/>
    <w:rsid w:val="00203AE0"/>
    <w:rsid w:val="00204106"/>
    <w:rsid w:val="00204109"/>
    <w:rsid w:val="0020503A"/>
    <w:rsid w:val="00205041"/>
    <w:rsid w:val="0020524C"/>
    <w:rsid w:val="002059E3"/>
    <w:rsid w:val="002100FF"/>
    <w:rsid w:val="00210543"/>
    <w:rsid w:val="00210B9B"/>
    <w:rsid w:val="002118D1"/>
    <w:rsid w:val="00211DCE"/>
    <w:rsid w:val="00212390"/>
    <w:rsid w:val="00212897"/>
    <w:rsid w:val="0021386A"/>
    <w:rsid w:val="00213C44"/>
    <w:rsid w:val="002147EE"/>
    <w:rsid w:val="00214D99"/>
    <w:rsid w:val="00215516"/>
    <w:rsid w:val="002158DC"/>
    <w:rsid w:val="002159D5"/>
    <w:rsid w:val="00215B4B"/>
    <w:rsid w:val="00215B64"/>
    <w:rsid w:val="00215C05"/>
    <w:rsid w:val="002161E3"/>
    <w:rsid w:val="00216DF5"/>
    <w:rsid w:val="00216EFA"/>
    <w:rsid w:val="0021798E"/>
    <w:rsid w:val="00217CA1"/>
    <w:rsid w:val="00217DEE"/>
    <w:rsid w:val="002203BF"/>
    <w:rsid w:val="00220C4C"/>
    <w:rsid w:val="00220E0F"/>
    <w:rsid w:val="00220E95"/>
    <w:rsid w:val="002217FE"/>
    <w:rsid w:val="0022180C"/>
    <w:rsid w:val="00221C72"/>
    <w:rsid w:val="002223E1"/>
    <w:rsid w:val="002225AB"/>
    <w:rsid w:val="00222955"/>
    <w:rsid w:val="002231B0"/>
    <w:rsid w:val="002250D1"/>
    <w:rsid w:val="002267D2"/>
    <w:rsid w:val="00227D33"/>
    <w:rsid w:val="00230839"/>
    <w:rsid w:val="00230EE8"/>
    <w:rsid w:val="00231179"/>
    <w:rsid w:val="00231ADB"/>
    <w:rsid w:val="00232178"/>
    <w:rsid w:val="00232248"/>
    <w:rsid w:val="00232D12"/>
    <w:rsid w:val="00233236"/>
    <w:rsid w:val="00233616"/>
    <w:rsid w:val="00233975"/>
    <w:rsid w:val="00233B8C"/>
    <w:rsid w:val="002353E3"/>
    <w:rsid w:val="00235CC0"/>
    <w:rsid w:val="00235F30"/>
    <w:rsid w:val="00236287"/>
    <w:rsid w:val="002363FF"/>
    <w:rsid w:val="00236D10"/>
    <w:rsid w:val="002407CE"/>
    <w:rsid w:val="00242325"/>
    <w:rsid w:val="00243A38"/>
    <w:rsid w:val="002441FF"/>
    <w:rsid w:val="0024474F"/>
    <w:rsid w:val="00244761"/>
    <w:rsid w:val="002450F2"/>
    <w:rsid w:val="00245B7F"/>
    <w:rsid w:val="002469C2"/>
    <w:rsid w:val="00247BDE"/>
    <w:rsid w:val="00247DE2"/>
    <w:rsid w:val="00247E6C"/>
    <w:rsid w:val="002505DE"/>
    <w:rsid w:val="002514FA"/>
    <w:rsid w:val="00251DAF"/>
    <w:rsid w:val="00252503"/>
    <w:rsid w:val="002529A0"/>
    <w:rsid w:val="00252ED7"/>
    <w:rsid w:val="0025393C"/>
    <w:rsid w:val="002549E7"/>
    <w:rsid w:val="00254A7A"/>
    <w:rsid w:val="00254EA4"/>
    <w:rsid w:val="0025509C"/>
    <w:rsid w:val="002552F8"/>
    <w:rsid w:val="0025575F"/>
    <w:rsid w:val="0025695E"/>
    <w:rsid w:val="002571E3"/>
    <w:rsid w:val="002573DA"/>
    <w:rsid w:val="00260496"/>
    <w:rsid w:val="00260542"/>
    <w:rsid w:val="00260BAD"/>
    <w:rsid w:val="0026224C"/>
    <w:rsid w:val="002624B6"/>
    <w:rsid w:val="002635FD"/>
    <w:rsid w:val="00264C7C"/>
    <w:rsid w:val="0026650F"/>
    <w:rsid w:val="00266DC3"/>
    <w:rsid w:val="00267736"/>
    <w:rsid w:val="0027029D"/>
    <w:rsid w:val="00270443"/>
    <w:rsid w:val="00270EE2"/>
    <w:rsid w:val="0027138C"/>
    <w:rsid w:val="0027165A"/>
    <w:rsid w:val="00272787"/>
    <w:rsid w:val="00272826"/>
    <w:rsid w:val="00272A7B"/>
    <w:rsid w:val="00272C44"/>
    <w:rsid w:val="00272F05"/>
    <w:rsid w:val="00273527"/>
    <w:rsid w:val="00273F6B"/>
    <w:rsid w:val="002747EF"/>
    <w:rsid w:val="00274B06"/>
    <w:rsid w:val="002751D6"/>
    <w:rsid w:val="002754D3"/>
    <w:rsid w:val="00275F9A"/>
    <w:rsid w:val="00276261"/>
    <w:rsid w:val="00276944"/>
    <w:rsid w:val="00276964"/>
    <w:rsid w:val="002769AE"/>
    <w:rsid w:val="00276CA7"/>
    <w:rsid w:val="0028032E"/>
    <w:rsid w:val="0028146C"/>
    <w:rsid w:val="002816DD"/>
    <w:rsid w:val="002817A6"/>
    <w:rsid w:val="002821E8"/>
    <w:rsid w:val="00282EAD"/>
    <w:rsid w:val="00282F1D"/>
    <w:rsid w:val="00283215"/>
    <w:rsid w:val="002833F3"/>
    <w:rsid w:val="0028391C"/>
    <w:rsid w:val="00284203"/>
    <w:rsid w:val="00284719"/>
    <w:rsid w:val="00285007"/>
    <w:rsid w:val="00285237"/>
    <w:rsid w:val="00285E3F"/>
    <w:rsid w:val="0028610D"/>
    <w:rsid w:val="002862CC"/>
    <w:rsid w:val="00286BFE"/>
    <w:rsid w:val="00286C81"/>
    <w:rsid w:val="0028703E"/>
    <w:rsid w:val="0028709F"/>
    <w:rsid w:val="0028717B"/>
    <w:rsid w:val="00287524"/>
    <w:rsid w:val="00290119"/>
    <w:rsid w:val="0029040D"/>
    <w:rsid w:val="002908F8"/>
    <w:rsid w:val="00290A53"/>
    <w:rsid w:val="00290B64"/>
    <w:rsid w:val="00291670"/>
    <w:rsid w:val="00291CB7"/>
    <w:rsid w:val="0029280F"/>
    <w:rsid w:val="00292E91"/>
    <w:rsid w:val="002930AD"/>
    <w:rsid w:val="00293254"/>
    <w:rsid w:val="00295002"/>
    <w:rsid w:val="0029568E"/>
    <w:rsid w:val="00295E8C"/>
    <w:rsid w:val="002971C7"/>
    <w:rsid w:val="002971F2"/>
    <w:rsid w:val="00297785"/>
    <w:rsid w:val="00297CAE"/>
    <w:rsid w:val="00297E05"/>
    <w:rsid w:val="002A0444"/>
    <w:rsid w:val="002A0F8D"/>
    <w:rsid w:val="002A1311"/>
    <w:rsid w:val="002A1377"/>
    <w:rsid w:val="002A211A"/>
    <w:rsid w:val="002A222A"/>
    <w:rsid w:val="002A264B"/>
    <w:rsid w:val="002A4A82"/>
    <w:rsid w:val="002A4B33"/>
    <w:rsid w:val="002A4C00"/>
    <w:rsid w:val="002A5311"/>
    <w:rsid w:val="002A5863"/>
    <w:rsid w:val="002A6E9B"/>
    <w:rsid w:val="002A6FBB"/>
    <w:rsid w:val="002B05D1"/>
    <w:rsid w:val="002B1933"/>
    <w:rsid w:val="002B20BD"/>
    <w:rsid w:val="002B2611"/>
    <w:rsid w:val="002B27D8"/>
    <w:rsid w:val="002B35B9"/>
    <w:rsid w:val="002B38D2"/>
    <w:rsid w:val="002B3A46"/>
    <w:rsid w:val="002B3F1C"/>
    <w:rsid w:val="002B401B"/>
    <w:rsid w:val="002B4ED9"/>
    <w:rsid w:val="002B4EF4"/>
    <w:rsid w:val="002B51BB"/>
    <w:rsid w:val="002B58C5"/>
    <w:rsid w:val="002B6CA2"/>
    <w:rsid w:val="002B6E44"/>
    <w:rsid w:val="002B6E8A"/>
    <w:rsid w:val="002B726F"/>
    <w:rsid w:val="002B744E"/>
    <w:rsid w:val="002B7909"/>
    <w:rsid w:val="002C000B"/>
    <w:rsid w:val="002C016F"/>
    <w:rsid w:val="002C09A8"/>
    <w:rsid w:val="002C103C"/>
    <w:rsid w:val="002C1109"/>
    <w:rsid w:val="002C12C7"/>
    <w:rsid w:val="002C1E93"/>
    <w:rsid w:val="002C29EB"/>
    <w:rsid w:val="002C30F0"/>
    <w:rsid w:val="002C3303"/>
    <w:rsid w:val="002C401A"/>
    <w:rsid w:val="002C479B"/>
    <w:rsid w:val="002C4EC8"/>
    <w:rsid w:val="002C532B"/>
    <w:rsid w:val="002C6AF5"/>
    <w:rsid w:val="002C6D15"/>
    <w:rsid w:val="002C72F4"/>
    <w:rsid w:val="002C7E5B"/>
    <w:rsid w:val="002D0907"/>
    <w:rsid w:val="002D0E9E"/>
    <w:rsid w:val="002D1381"/>
    <w:rsid w:val="002D2D68"/>
    <w:rsid w:val="002D2F69"/>
    <w:rsid w:val="002D3016"/>
    <w:rsid w:val="002D3067"/>
    <w:rsid w:val="002D38D9"/>
    <w:rsid w:val="002D3CE3"/>
    <w:rsid w:val="002D4298"/>
    <w:rsid w:val="002D47E8"/>
    <w:rsid w:val="002D4FCC"/>
    <w:rsid w:val="002D571C"/>
    <w:rsid w:val="002D5FD5"/>
    <w:rsid w:val="002D68F4"/>
    <w:rsid w:val="002D7395"/>
    <w:rsid w:val="002D7417"/>
    <w:rsid w:val="002D782B"/>
    <w:rsid w:val="002E0D9C"/>
    <w:rsid w:val="002E1247"/>
    <w:rsid w:val="002E26E8"/>
    <w:rsid w:val="002E33FF"/>
    <w:rsid w:val="002E3DD8"/>
    <w:rsid w:val="002E3ED8"/>
    <w:rsid w:val="002E5A01"/>
    <w:rsid w:val="002E5EA3"/>
    <w:rsid w:val="002E717C"/>
    <w:rsid w:val="002E7533"/>
    <w:rsid w:val="002E7A61"/>
    <w:rsid w:val="002F00B8"/>
    <w:rsid w:val="002F0106"/>
    <w:rsid w:val="002F03C8"/>
    <w:rsid w:val="002F188D"/>
    <w:rsid w:val="002F18A5"/>
    <w:rsid w:val="002F26F3"/>
    <w:rsid w:val="002F317F"/>
    <w:rsid w:val="002F51A2"/>
    <w:rsid w:val="002F5BA8"/>
    <w:rsid w:val="002F5E95"/>
    <w:rsid w:val="002F5F68"/>
    <w:rsid w:val="002F63CA"/>
    <w:rsid w:val="002F67B4"/>
    <w:rsid w:val="002F6F73"/>
    <w:rsid w:val="002F7AA9"/>
    <w:rsid w:val="003004E3"/>
    <w:rsid w:val="00300FF1"/>
    <w:rsid w:val="00301C0D"/>
    <w:rsid w:val="00301D7B"/>
    <w:rsid w:val="00301E19"/>
    <w:rsid w:val="003023DE"/>
    <w:rsid w:val="00303DC4"/>
    <w:rsid w:val="00304676"/>
    <w:rsid w:val="003051A7"/>
    <w:rsid w:val="00306BE7"/>
    <w:rsid w:val="003110A2"/>
    <w:rsid w:val="00311655"/>
    <w:rsid w:val="00311B66"/>
    <w:rsid w:val="00311F29"/>
    <w:rsid w:val="00312518"/>
    <w:rsid w:val="00314036"/>
    <w:rsid w:val="00314347"/>
    <w:rsid w:val="00314C4F"/>
    <w:rsid w:val="00314FAF"/>
    <w:rsid w:val="003162A5"/>
    <w:rsid w:val="00316591"/>
    <w:rsid w:val="00320553"/>
    <w:rsid w:val="00320C6D"/>
    <w:rsid w:val="003213A8"/>
    <w:rsid w:val="00321FA8"/>
    <w:rsid w:val="00321FFD"/>
    <w:rsid w:val="003225AD"/>
    <w:rsid w:val="00322A74"/>
    <w:rsid w:val="00322E18"/>
    <w:rsid w:val="00322F43"/>
    <w:rsid w:val="00323BBB"/>
    <w:rsid w:val="00323C3D"/>
    <w:rsid w:val="00323D1D"/>
    <w:rsid w:val="00323F8A"/>
    <w:rsid w:val="00324752"/>
    <w:rsid w:val="00324D73"/>
    <w:rsid w:val="00325575"/>
    <w:rsid w:val="00326011"/>
    <w:rsid w:val="0032643D"/>
    <w:rsid w:val="003268D0"/>
    <w:rsid w:val="00326D02"/>
    <w:rsid w:val="00327069"/>
    <w:rsid w:val="00327812"/>
    <w:rsid w:val="00327AFB"/>
    <w:rsid w:val="00327BAD"/>
    <w:rsid w:val="00327BAF"/>
    <w:rsid w:val="00327D10"/>
    <w:rsid w:val="00331894"/>
    <w:rsid w:val="00332CB8"/>
    <w:rsid w:val="00333428"/>
    <w:rsid w:val="003350B6"/>
    <w:rsid w:val="0033595E"/>
    <w:rsid w:val="0033601B"/>
    <w:rsid w:val="003364B6"/>
    <w:rsid w:val="0033764C"/>
    <w:rsid w:val="00337DF3"/>
    <w:rsid w:val="00337F8E"/>
    <w:rsid w:val="00340039"/>
    <w:rsid w:val="003400D3"/>
    <w:rsid w:val="0034024F"/>
    <w:rsid w:val="00340A77"/>
    <w:rsid w:val="00340D39"/>
    <w:rsid w:val="00340DFB"/>
    <w:rsid w:val="00341941"/>
    <w:rsid w:val="0034207A"/>
    <w:rsid w:val="0034278F"/>
    <w:rsid w:val="0034281F"/>
    <w:rsid w:val="00343B47"/>
    <w:rsid w:val="0034404F"/>
    <w:rsid w:val="00344ACC"/>
    <w:rsid w:val="00345CE6"/>
    <w:rsid w:val="00345F01"/>
    <w:rsid w:val="0034654F"/>
    <w:rsid w:val="00346B28"/>
    <w:rsid w:val="00347685"/>
    <w:rsid w:val="003509A5"/>
    <w:rsid w:val="003515FD"/>
    <w:rsid w:val="0035178C"/>
    <w:rsid w:val="003518A4"/>
    <w:rsid w:val="00351E21"/>
    <w:rsid w:val="00352327"/>
    <w:rsid w:val="003526A9"/>
    <w:rsid w:val="00354062"/>
    <w:rsid w:val="00354405"/>
    <w:rsid w:val="00354AED"/>
    <w:rsid w:val="00355A76"/>
    <w:rsid w:val="00355DEC"/>
    <w:rsid w:val="0035635F"/>
    <w:rsid w:val="00356BF0"/>
    <w:rsid w:val="00356E0F"/>
    <w:rsid w:val="0035700C"/>
    <w:rsid w:val="003575A9"/>
    <w:rsid w:val="0036027B"/>
    <w:rsid w:val="003607EE"/>
    <w:rsid w:val="00360BC8"/>
    <w:rsid w:val="00360E35"/>
    <w:rsid w:val="00361106"/>
    <w:rsid w:val="003617AE"/>
    <w:rsid w:val="0036215C"/>
    <w:rsid w:val="003630F7"/>
    <w:rsid w:val="0036332B"/>
    <w:rsid w:val="00363589"/>
    <w:rsid w:val="00363636"/>
    <w:rsid w:val="003651AC"/>
    <w:rsid w:val="003653AA"/>
    <w:rsid w:val="00366120"/>
    <w:rsid w:val="003661FF"/>
    <w:rsid w:val="003665A5"/>
    <w:rsid w:val="00366A0C"/>
    <w:rsid w:val="00367238"/>
    <w:rsid w:val="00367462"/>
    <w:rsid w:val="003677D5"/>
    <w:rsid w:val="0037034B"/>
    <w:rsid w:val="00370507"/>
    <w:rsid w:val="00370682"/>
    <w:rsid w:val="00370F0B"/>
    <w:rsid w:val="003718D8"/>
    <w:rsid w:val="00372A01"/>
    <w:rsid w:val="003733DF"/>
    <w:rsid w:val="00373865"/>
    <w:rsid w:val="003739DA"/>
    <w:rsid w:val="00373CE8"/>
    <w:rsid w:val="00374DB0"/>
    <w:rsid w:val="00374F6C"/>
    <w:rsid w:val="003751C7"/>
    <w:rsid w:val="00375C84"/>
    <w:rsid w:val="00376524"/>
    <w:rsid w:val="00376E3B"/>
    <w:rsid w:val="003776FE"/>
    <w:rsid w:val="00377A56"/>
    <w:rsid w:val="00380424"/>
    <w:rsid w:val="00380868"/>
    <w:rsid w:val="00380B9B"/>
    <w:rsid w:val="003818B3"/>
    <w:rsid w:val="003819F5"/>
    <w:rsid w:val="00381A52"/>
    <w:rsid w:val="00381B57"/>
    <w:rsid w:val="00381D47"/>
    <w:rsid w:val="003821CC"/>
    <w:rsid w:val="00382210"/>
    <w:rsid w:val="003835F0"/>
    <w:rsid w:val="00383CC1"/>
    <w:rsid w:val="003853B1"/>
    <w:rsid w:val="003853ED"/>
    <w:rsid w:val="0038628F"/>
    <w:rsid w:val="00386421"/>
    <w:rsid w:val="0038704C"/>
    <w:rsid w:val="003874D7"/>
    <w:rsid w:val="00387AA1"/>
    <w:rsid w:val="0039082A"/>
    <w:rsid w:val="0039101F"/>
    <w:rsid w:val="00391B87"/>
    <w:rsid w:val="00392EDB"/>
    <w:rsid w:val="00392FAE"/>
    <w:rsid w:val="003931AA"/>
    <w:rsid w:val="00393EEE"/>
    <w:rsid w:val="003941C0"/>
    <w:rsid w:val="00394D45"/>
    <w:rsid w:val="00395132"/>
    <w:rsid w:val="00395D99"/>
    <w:rsid w:val="003968DF"/>
    <w:rsid w:val="003976C3"/>
    <w:rsid w:val="00397A03"/>
    <w:rsid w:val="00397A64"/>
    <w:rsid w:val="003A099A"/>
    <w:rsid w:val="003A1372"/>
    <w:rsid w:val="003A1D46"/>
    <w:rsid w:val="003A1E38"/>
    <w:rsid w:val="003A2447"/>
    <w:rsid w:val="003A2B82"/>
    <w:rsid w:val="003A36D3"/>
    <w:rsid w:val="003A3927"/>
    <w:rsid w:val="003A3D2E"/>
    <w:rsid w:val="003A3FF7"/>
    <w:rsid w:val="003A43D1"/>
    <w:rsid w:val="003A6A51"/>
    <w:rsid w:val="003A6E29"/>
    <w:rsid w:val="003A7FEA"/>
    <w:rsid w:val="003B0BDB"/>
    <w:rsid w:val="003B0E88"/>
    <w:rsid w:val="003B106E"/>
    <w:rsid w:val="003B153F"/>
    <w:rsid w:val="003B17B0"/>
    <w:rsid w:val="003B1844"/>
    <w:rsid w:val="003B1A5C"/>
    <w:rsid w:val="003B211E"/>
    <w:rsid w:val="003B24EA"/>
    <w:rsid w:val="003B2DA7"/>
    <w:rsid w:val="003B3AB7"/>
    <w:rsid w:val="003B3ABC"/>
    <w:rsid w:val="003B3CDD"/>
    <w:rsid w:val="003B3CFF"/>
    <w:rsid w:val="003B3D8E"/>
    <w:rsid w:val="003B3FED"/>
    <w:rsid w:val="003B3FF1"/>
    <w:rsid w:val="003B4217"/>
    <w:rsid w:val="003B59A1"/>
    <w:rsid w:val="003B6D11"/>
    <w:rsid w:val="003B74F1"/>
    <w:rsid w:val="003B7541"/>
    <w:rsid w:val="003B7966"/>
    <w:rsid w:val="003B7F07"/>
    <w:rsid w:val="003B7FCE"/>
    <w:rsid w:val="003C0600"/>
    <w:rsid w:val="003C0C21"/>
    <w:rsid w:val="003C0F87"/>
    <w:rsid w:val="003C141E"/>
    <w:rsid w:val="003C17C5"/>
    <w:rsid w:val="003C1B83"/>
    <w:rsid w:val="003C2008"/>
    <w:rsid w:val="003C210E"/>
    <w:rsid w:val="003C21B3"/>
    <w:rsid w:val="003C30AD"/>
    <w:rsid w:val="003C3503"/>
    <w:rsid w:val="003C3B99"/>
    <w:rsid w:val="003C40DE"/>
    <w:rsid w:val="003C4851"/>
    <w:rsid w:val="003C4C96"/>
    <w:rsid w:val="003C55E0"/>
    <w:rsid w:val="003C5E39"/>
    <w:rsid w:val="003C683A"/>
    <w:rsid w:val="003D0079"/>
    <w:rsid w:val="003D017D"/>
    <w:rsid w:val="003D04D6"/>
    <w:rsid w:val="003D10EC"/>
    <w:rsid w:val="003D28A0"/>
    <w:rsid w:val="003D28DE"/>
    <w:rsid w:val="003D29B9"/>
    <w:rsid w:val="003D3500"/>
    <w:rsid w:val="003D37B6"/>
    <w:rsid w:val="003D3C68"/>
    <w:rsid w:val="003D450D"/>
    <w:rsid w:val="003D4D72"/>
    <w:rsid w:val="003D503A"/>
    <w:rsid w:val="003D6505"/>
    <w:rsid w:val="003D71A6"/>
    <w:rsid w:val="003D7709"/>
    <w:rsid w:val="003E004C"/>
    <w:rsid w:val="003E0294"/>
    <w:rsid w:val="003E0BAF"/>
    <w:rsid w:val="003E0E25"/>
    <w:rsid w:val="003E1409"/>
    <w:rsid w:val="003E16F2"/>
    <w:rsid w:val="003E2195"/>
    <w:rsid w:val="003E2D0F"/>
    <w:rsid w:val="003E36A5"/>
    <w:rsid w:val="003E4A52"/>
    <w:rsid w:val="003E5CBA"/>
    <w:rsid w:val="003E78A9"/>
    <w:rsid w:val="003E7912"/>
    <w:rsid w:val="003E7CA1"/>
    <w:rsid w:val="003F04E6"/>
    <w:rsid w:val="003F2CDD"/>
    <w:rsid w:val="003F430F"/>
    <w:rsid w:val="003F45D7"/>
    <w:rsid w:val="003F5660"/>
    <w:rsid w:val="003F5717"/>
    <w:rsid w:val="003F5A39"/>
    <w:rsid w:val="003F5B56"/>
    <w:rsid w:val="003F5B9F"/>
    <w:rsid w:val="003F5C1A"/>
    <w:rsid w:val="003F6A6A"/>
    <w:rsid w:val="003F738D"/>
    <w:rsid w:val="003F7554"/>
    <w:rsid w:val="003F7845"/>
    <w:rsid w:val="003F7FA1"/>
    <w:rsid w:val="003F7FA4"/>
    <w:rsid w:val="00400003"/>
    <w:rsid w:val="004006EA"/>
    <w:rsid w:val="004008DE"/>
    <w:rsid w:val="00400B4E"/>
    <w:rsid w:val="0040130D"/>
    <w:rsid w:val="00402967"/>
    <w:rsid w:val="00402E56"/>
    <w:rsid w:val="00403634"/>
    <w:rsid w:val="00403A99"/>
    <w:rsid w:val="00404592"/>
    <w:rsid w:val="00404B58"/>
    <w:rsid w:val="0040544F"/>
    <w:rsid w:val="00405537"/>
    <w:rsid w:val="0040625C"/>
    <w:rsid w:val="004069D2"/>
    <w:rsid w:val="004076FF"/>
    <w:rsid w:val="004109CC"/>
    <w:rsid w:val="00411B17"/>
    <w:rsid w:val="00411FFF"/>
    <w:rsid w:val="0041222D"/>
    <w:rsid w:val="004124F2"/>
    <w:rsid w:val="00412E6F"/>
    <w:rsid w:val="004134BE"/>
    <w:rsid w:val="00413A61"/>
    <w:rsid w:val="00413C5C"/>
    <w:rsid w:val="0041413F"/>
    <w:rsid w:val="0041567A"/>
    <w:rsid w:val="00415BAB"/>
    <w:rsid w:val="00415BCF"/>
    <w:rsid w:val="00416297"/>
    <w:rsid w:val="00417083"/>
    <w:rsid w:val="00417E36"/>
    <w:rsid w:val="0042057C"/>
    <w:rsid w:val="00420BDF"/>
    <w:rsid w:val="00421608"/>
    <w:rsid w:val="0042188F"/>
    <w:rsid w:val="004218E5"/>
    <w:rsid w:val="00421C23"/>
    <w:rsid w:val="0042261E"/>
    <w:rsid w:val="00422749"/>
    <w:rsid w:val="004228F2"/>
    <w:rsid w:val="004233DC"/>
    <w:rsid w:val="00424888"/>
    <w:rsid w:val="004255D9"/>
    <w:rsid w:val="00425763"/>
    <w:rsid w:val="00425C3C"/>
    <w:rsid w:val="00427D1B"/>
    <w:rsid w:val="00427E40"/>
    <w:rsid w:val="004306AB"/>
    <w:rsid w:val="0043159D"/>
    <w:rsid w:val="0043171D"/>
    <w:rsid w:val="00432B10"/>
    <w:rsid w:val="00432F78"/>
    <w:rsid w:val="004334A2"/>
    <w:rsid w:val="004335BC"/>
    <w:rsid w:val="004339E6"/>
    <w:rsid w:val="00434723"/>
    <w:rsid w:val="00434729"/>
    <w:rsid w:val="0043617B"/>
    <w:rsid w:val="00437D17"/>
    <w:rsid w:val="00437D2F"/>
    <w:rsid w:val="0044046D"/>
    <w:rsid w:val="004410D3"/>
    <w:rsid w:val="00441A5B"/>
    <w:rsid w:val="00441DAF"/>
    <w:rsid w:val="0044270D"/>
    <w:rsid w:val="00442E8C"/>
    <w:rsid w:val="0044312A"/>
    <w:rsid w:val="00443310"/>
    <w:rsid w:val="004435D5"/>
    <w:rsid w:val="00443A34"/>
    <w:rsid w:val="00443D38"/>
    <w:rsid w:val="00443EFC"/>
    <w:rsid w:val="00444140"/>
    <w:rsid w:val="00444BF5"/>
    <w:rsid w:val="00444F43"/>
    <w:rsid w:val="00447B4D"/>
    <w:rsid w:val="00447C0A"/>
    <w:rsid w:val="00447C23"/>
    <w:rsid w:val="00450744"/>
    <w:rsid w:val="00450BE7"/>
    <w:rsid w:val="00450FE8"/>
    <w:rsid w:val="004518D0"/>
    <w:rsid w:val="0045213A"/>
    <w:rsid w:val="0045230E"/>
    <w:rsid w:val="004528FA"/>
    <w:rsid w:val="00452D67"/>
    <w:rsid w:val="00452E53"/>
    <w:rsid w:val="0045418C"/>
    <w:rsid w:val="004542C6"/>
    <w:rsid w:val="00454EDC"/>
    <w:rsid w:val="00455B00"/>
    <w:rsid w:val="00455B97"/>
    <w:rsid w:val="00456635"/>
    <w:rsid w:val="00456BFD"/>
    <w:rsid w:val="004575D5"/>
    <w:rsid w:val="00457657"/>
    <w:rsid w:val="004600BF"/>
    <w:rsid w:val="004607D0"/>
    <w:rsid w:val="00460CE3"/>
    <w:rsid w:val="00460F25"/>
    <w:rsid w:val="004612A4"/>
    <w:rsid w:val="0046153C"/>
    <w:rsid w:val="004624D2"/>
    <w:rsid w:val="004625C8"/>
    <w:rsid w:val="004626A2"/>
    <w:rsid w:val="00462DCE"/>
    <w:rsid w:val="0046442A"/>
    <w:rsid w:val="00464BF1"/>
    <w:rsid w:val="00464DA5"/>
    <w:rsid w:val="00465D73"/>
    <w:rsid w:val="00466078"/>
    <w:rsid w:val="0046626B"/>
    <w:rsid w:val="004676E4"/>
    <w:rsid w:val="00467AFF"/>
    <w:rsid w:val="00470183"/>
    <w:rsid w:val="004708C9"/>
    <w:rsid w:val="00470C48"/>
    <w:rsid w:val="0047139F"/>
    <w:rsid w:val="00471429"/>
    <w:rsid w:val="004722B1"/>
    <w:rsid w:val="004733B7"/>
    <w:rsid w:val="0047388C"/>
    <w:rsid w:val="00473A47"/>
    <w:rsid w:val="00473A4F"/>
    <w:rsid w:val="00473C0A"/>
    <w:rsid w:val="00473EEF"/>
    <w:rsid w:val="00474415"/>
    <w:rsid w:val="00474BC1"/>
    <w:rsid w:val="004763EC"/>
    <w:rsid w:val="0047722F"/>
    <w:rsid w:val="00477459"/>
    <w:rsid w:val="00477CC9"/>
    <w:rsid w:val="0048026E"/>
    <w:rsid w:val="00480303"/>
    <w:rsid w:val="004807A9"/>
    <w:rsid w:val="00480A8A"/>
    <w:rsid w:val="00480F76"/>
    <w:rsid w:val="004810A5"/>
    <w:rsid w:val="004810E0"/>
    <w:rsid w:val="00481318"/>
    <w:rsid w:val="00481363"/>
    <w:rsid w:val="004813EE"/>
    <w:rsid w:val="00481835"/>
    <w:rsid w:val="00482CDC"/>
    <w:rsid w:val="00482FB0"/>
    <w:rsid w:val="004831EF"/>
    <w:rsid w:val="00483B03"/>
    <w:rsid w:val="0048444C"/>
    <w:rsid w:val="00484EF6"/>
    <w:rsid w:val="00485058"/>
    <w:rsid w:val="00485702"/>
    <w:rsid w:val="004867EC"/>
    <w:rsid w:val="00486A37"/>
    <w:rsid w:val="00486BB5"/>
    <w:rsid w:val="00487662"/>
    <w:rsid w:val="004876C6"/>
    <w:rsid w:val="00487D7B"/>
    <w:rsid w:val="00487F9E"/>
    <w:rsid w:val="00490A79"/>
    <w:rsid w:val="00490F7A"/>
    <w:rsid w:val="00490FD5"/>
    <w:rsid w:val="00491241"/>
    <w:rsid w:val="00491813"/>
    <w:rsid w:val="00493278"/>
    <w:rsid w:val="00493855"/>
    <w:rsid w:val="004951D8"/>
    <w:rsid w:val="004952C1"/>
    <w:rsid w:val="00496BAD"/>
    <w:rsid w:val="00497575"/>
    <w:rsid w:val="004A006F"/>
    <w:rsid w:val="004A078B"/>
    <w:rsid w:val="004A12C0"/>
    <w:rsid w:val="004A169A"/>
    <w:rsid w:val="004A180B"/>
    <w:rsid w:val="004A18C9"/>
    <w:rsid w:val="004A191A"/>
    <w:rsid w:val="004A1A70"/>
    <w:rsid w:val="004A4027"/>
    <w:rsid w:val="004A419E"/>
    <w:rsid w:val="004A4688"/>
    <w:rsid w:val="004A6463"/>
    <w:rsid w:val="004A6B58"/>
    <w:rsid w:val="004A6BA2"/>
    <w:rsid w:val="004B06C3"/>
    <w:rsid w:val="004B0917"/>
    <w:rsid w:val="004B0B09"/>
    <w:rsid w:val="004B140F"/>
    <w:rsid w:val="004B14EB"/>
    <w:rsid w:val="004B21CF"/>
    <w:rsid w:val="004B2DE3"/>
    <w:rsid w:val="004B3FEA"/>
    <w:rsid w:val="004B4E68"/>
    <w:rsid w:val="004B53F1"/>
    <w:rsid w:val="004B5D6E"/>
    <w:rsid w:val="004B60BA"/>
    <w:rsid w:val="004B6946"/>
    <w:rsid w:val="004B6D89"/>
    <w:rsid w:val="004B6E81"/>
    <w:rsid w:val="004C0FFE"/>
    <w:rsid w:val="004C136D"/>
    <w:rsid w:val="004C1619"/>
    <w:rsid w:val="004C177F"/>
    <w:rsid w:val="004C19E4"/>
    <w:rsid w:val="004C1B59"/>
    <w:rsid w:val="004C2776"/>
    <w:rsid w:val="004C3C25"/>
    <w:rsid w:val="004C3CBC"/>
    <w:rsid w:val="004C3EEA"/>
    <w:rsid w:val="004C4EA2"/>
    <w:rsid w:val="004C5846"/>
    <w:rsid w:val="004C596B"/>
    <w:rsid w:val="004C5E41"/>
    <w:rsid w:val="004C60E7"/>
    <w:rsid w:val="004C664D"/>
    <w:rsid w:val="004C6E0B"/>
    <w:rsid w:val="004C7BDE"/>
    <w:rsid w:val="004D0090"/>
    <w:rsid w:val="004D020F"/>
    <w:rsid w:val="004D03D1"/>
    <w:rsid w:val="004D10B0"/>
    <w:rsid w:val="004D11AF"/>
    <w:rsid w:val="004D2E58"/>
    <w:rsid w:val="004D37D9"/>
    <w:rsid w:val="004D41A2"/>
    <w:rsid w:val="004D4E55"/>
    <w:rsid w:val="004D4F27"/>
    <w:rsid w:val="004D502C"/>
    <w:rsid w:val="004D5FB2"/>
    <w:rsid w:val="004D60A3"/>
    <w:rsid w:val="004D6DC3"/>
    <w:rsid w:val="004D71CA"/>
    <w:rsid w:val="004E016A"/>
    <w:rsid w:val="004E0461"/>
    <w:rsid w:val="004E1CC8"/>
    <w:rsid w:val="004E29B1"/>
    <w:rsid w:val="004E3F87"/>
    <w:rsid w:val="004E461B"/>
    <w:rsid w:val="004E477D"/>
    <w:rsid w:val="004E5890"/>
    <w:rsid w:val="004E79EF"/>
    <w:rsid w:val="004E7B33"/>
    <w:rsid w:val="004F0368"/>
    <w:rsid w:val="004F0D19"/>
    <w:rsid w:val="004F121B"/>
    <w:rsid w:val="004F140F"/>
    <w:rsid w:val="004F185F"/>
    <w:rsid w:val="004F2811"/>
    <w:rsid w:val="004F3326"/>
    <w:rsid w:val="004F51F8"/>
    <w:rsid w:val="004F590E"/>
    <w:rsid w:val="004F5966"/>
    <w:rsid w:val="004F5E69"/>
    <w:rsid w:val="004F6026"/>
    <w:rsid w:val="004F60F4"/>
    <w:rsid w:val="004F62E8"/>
    <w:rsid w:val="004F67C3"/>
    <w:rsid w:val="004F6C17"/>
    <w:rsid w:val="004F7390"/>
    <w:rsid w:val="004F78F8"/>
    <w:rsid w:val="005001A5"/>
    <w:rsid w:val="00500CCD"/>
    <w:rsid w:val="005019AA"/>
    <w:rsid w:val="00502008"/>
    <w:rsid w:val="005032E9"/>
    <w:rsid w:val="00503C3B"/>
    <w:rsid w:val="00503CE7"/>
    <w:rsid w:val="005040C9"/>
    <w:rsid w:val="005042DB"/>
    <w:rsid w:val="0050458E"/>
    <w:rsid w:val="00505928"/>
    <w:rsid w:val="00505CD6"/>
    <w:rsid w:val="005069B2"/>
    <w:rsid w:val="0050741A"/>
    <w:rsid w:val="00510452"/>
    <w:rsid w:val="005107BD"/>
    <w:rsid w:val="005108EC"/>
    <w:rsid w:val="00511F8F"/>
    <w:rsid w:val="0051215A"/>
    <w:rsid w:val="00512A7E"/>
    <w:rsid w:val="00513291"/>
    <w:rsid w:val="00513C86"/>
    <w:rsid w:val="00513EA4"/>
    <w:rsid w:val="005144C9"/>
    <w:rsid w:val="005147DA"/>
    <w:rsid w:val="00514FBF"/>
    <w:rsid w:val="00514FCB"/>
    <w:rsid w:val="005153AC"/>
    <w:rsid w:val="005153C3"/>
    <w:rsid w:val="00515745"/>
    <w:rsid w:val="00515862"/>
    <w:rsid w:val="005165FE"/>
    <w:rsid w:val="0051690E"/>
    <w:rsid w:val="00516942"/>
    <w:rsid w:val="00516DC0"/>
    <w:rsid w:val="00516DC5"/>
    <w:rsid w:val="00520BBA"/>
    <w:rsid w:val="005225AC"/>
    <w:rsid w:val="005226FA"/>
    <w:rsid w:val="005233F3"/>
    <w:rsid w:val="0052365C"/>
    <w:rsid w:val="005245D2"/>
    <w:rsid w:val="0052488B"/>
    <w:rsid w:val="00524C98"/>
    <w:rsid w:val="00524C9C"/>
    <w:rsid w:val="00524EDD"/>
    <w:rsid w:val="00524FEB"/>
    <w:rsid w:val="00525B59"/>
    <w:rsid w:val="005269C4"/>
    <w:rsid w:val="00526A20"/>
    <w:rsid w:val="00531966"/>
    <w:rsid w:val="00532472"/>
    <w:rsid w:val="005325C9"/>
    <w:rsid w:val="005329DA"/>
    <w:rsid w:val="0053322F"/>
    <w:rsid w:val="00533BC1"/>
    <w:rsid w:val="00533DBF"/>
    <w:rsid w:val="00534940"/>
    <w:rsid w:val="00535673"/>
    <w:rsid w:val="00535784"/>
    <w:rsid w:val="00535D6B"/>
    <w:rsid w:val="00536442"/>
    <w:rsid w:val="00536AE0"/>
    <w:rsid w:val="005374FE"/>
    <w:rsid w:val="005378BC"/>
    <w:rsid w:val="0054053D"/>
    <w:rsid w:val="0054126C"/>
    <w:rsid w:val="00541368"/>
    <w:rsid w:val="005415DD"/>
    <w:rsid w:val="00541D12"/>
    <w:rsid w:val="005423F3"/>
    <w:rsid w:val="005426DB"/>
    <w:rsid w:val="005442F1"/>
    <w:rsid w:val="0054446E"/>
    <w:rsid w:val="005449DD"/>
    <w:rsid w:val="00544A24"/>
    <w:rsid w:val="0054583C"/>
    <w:rsid w:val="00546227"/>
    <w:rsid w:val="005468E2"/>
    <w:rsid w:val="00546D83"/>
    <w:rsid w:val="00550113"/>
    <w:rsid w:val="0055019B"/>
    <w:rsid w:val="005504BE"/>
    <w:rsid w:val="0055082B"/>
    <w:rsid w:val="0055093A"/>
    <w:rsid w:val="00550F00"/>
    <w:rsid w:val="00551BC9"/>
    <w:rsid w:val="00551BDF"/>
    <w:rsid w:val="00551ED7"/>
    <w:rsid w:val="0055211C"/>
    <w:rsid w:val="0055263A"/>
    <w:rsid w:val="005526EE"/>
    <w:rsid w:val="00552B57"/>
    <w:rsid w:val="00552E53"/>
    <w:rsid w:val="00553E34"/>
    <w:rsid w:val="005547B7"/>
    <w:rsid w:val="005551E9"/>
    <w:rsid w:val="0055680D"/>
    <w:rsid w:val="00557670"/>
    <w:rsid w:val="00557C2D"/>
    <w:rsid w:val="00560094"/>
    <w:rsid w:val="00560C62"/>
    <w:rsid w:val="00560F4A"/>
    <w:rsid w:val="00562A61"/>
    <w:rsid w:val="00562E78"/>
    <w:rsid w:val="005638A2"/>
    <w:rsid w:val="00564E45"/>
    <w:rsid w:val="005652D5"/>
    <w:rsid w:val="00565E52"/>
    <w:rsid w:val="00567227"/>
    <w:rsid w:val="00567CD0"/>
    <w:rsid w:val="00570C7B"/>
    <w:rsid w:val="00571C77"/>
    <w:rsid w:val="0057273D"/>
    <w:rsid w:val="00572D5B"/>
    <w:rsid w:val="00574614"/>
    <w:rsid w:val="00574A70"/>
    <w:rsid w:val="00574D35"/>
    <w:rsid w:val="00574F5B"/>
    <w:rsid w:val="00575C75"/>
    <w:rsid w:val="005762CA"/>
    <w:rsid w:val="005770CF"/>
    <w:rsid w:val="00577904"/>
    <w:rsid w:val="00577922"/>
    <w:rsid w:val="00577AC3"/>
    <w:rsid w:val="00580577"/>
    <w:rsid w:val="005815A8"/>
    <w:rsid w:val="005818BD"/>
    <w:rsid w:val="00581915"/>
    <w:rsid w:val="0058307E"/>
    <w:rsid w:val="00583431"/>
    <w:rsid w:val="005846C0"/>
    <w:rsid w:val="00584D04"/>
    <w:rsid w:val="005853F5"/>
    <w:rsid w:val="0058567E"/>
    <w:rsid w:val="00585DE1"/>
    <w:rsid w:val="0058659E"/>
    <w:rsid w:val="00586613"/>
    <w:rsid w:val="005869EE"/>
    <w:rsid w:val="005872B7"/>
    <w:rsid w:val="005872DD"/>
    <w:rsid w:val="00587CF2"/>
    <w:rsid w:val="00587D3A"/>
    <w:rsid w:val="00590346"/>
    <w:rsid w:val="00590BA2"/>
    <w:rsid w:val="00590CA7"/>
    <w:rsid w:val="00590E93"/>
    <w:rsid w:val="005915E1"/>
    <w:rsid w:val="00591C75"/>
    <w:rsid w:val="00592D10"/>
    <w:rsid w:val="0059388B"/>
    <w:rsid w:val="00593A5F"/>
    <w:rsid w:val="0059404E"/>
    <w:rsid w:val="00594269"/>
    <w:rsid w:val="00595539"/>
    <w:rsid w:val="00596390"/>
    <w:rsid w:val="00596CF5"/>
    <w:rsid w:val="00597108"/>
    <w:rsid w:val="005976DB"/>
    <w:rsid w:val="005A2126"/>
    <w:rsid w:val="005A3E82"/>
    <w:rsid w:val="005A4287"/>
    <w:rsid w:val="005A482E"/>
    <w:rsid w:val="005A4DB0"/>
    <w:rsid w:val="005A5095"/>
    <w:rsid w:val="005A5597"/>
    <w:rsid w:val="005A57BF"/>
    <w:rsid w:val="005A5D74"/>
    <w:rsid w:val="005A6AC2"/>
    <w:rsid w:val="005A7A65"/>
    <w:rsid w:val="005A7B26"/>
    <w:rsid w:val="005A7B8E"/>
    <w:rsid w:val="005B012B"/>
    <w:rsid w:val="005B0C87"/>
    <w:rsid w:val="005B0FE9"/>
    <w:rsid w:val="005B2195"/>
    <w:rsid w:val="005B26C7"/>
    <w:rsid w:val="005B2D65"/>
    <w:rsid w:val="005B3877"/>
    <w:rsid w:val="005B3AC8"/>
    <w:rsid w:val="005B3CC1"/>
    <w:rsid w:val="005B4002"/>
    <w:rsid w:val="005B45AB"/>
    <w:rsid w:val="005B4D8F"/>
    <w:rsid w:val="005B57B5"/>
    <w:rsid w:val="005B6551"/>
    <w:rsid w:val="005B71A8"/>
    <w:rsid w:val="005B744B"/>
    <w:rsid w:val="005C0377"/>
    <w:rsid w:val="005C066B"/>
    <w:rsid w:val="005C0A6F"/>
    <w:rsid w:val="005C0FA7"/>
    <w:rsid w:val="005C155F"/>
    <w:rsid w:val="005C1C0E"/>
    <w:rsid w:val="005C36E2"/>
    <w:rsid w:val="005C3E9E"/>
    <w:rsid w:val="005C400C"/>
    <w:rsid w:val="005C410C"/>
    <w:rsid w:val="005C4BF1"/>
    <w:rsid w:val="005C4BF2"/>
    <w:rsid w:val="005C52D4"/>
    <w:rsid w:val="005C5BED"/>
    <w:rsid w:val="005C5D86"/>
    <w:rsid w:val="005C6167"/>
    <w:rsid w:val="005C6ADB"/>
    <w:rsid w:val="005C6EE2"/>
    <w:rsid w:val="005C7A07"/>
    <w:rsid w:val="005C7DDC"/>
    <w:rsid w:val="005C7F7C"/>
    <w:rsid w:val="005D0BAD"/>
    <w:rsid w:val="005D0C0A"/>
    <w:rsid w:val="005D107D"/>
    <w:rsid w:val="005D123A"/>
    <w:rsid w:val="005D2506"/>
    <w:rsid w:val="005D2BB5"/>
    <w:rsid w:val="005D3677"/>
    <w:rsid w:val="005D4E4C"/>
    <w:rsid w:val="005D5B5E"/>
    <w:rsid w:val="005D5C85"/>
    <w:rsid w:val="005D5CA0"/>
    <w:rsid w:val="005D69AB"/>
    <w:rsid w:val="005D72FC"/>
    <w:rsid w:val="005D7DFC"/>
    <w:rsid w:val="005E035A"/>
    <w:rsid w:val="005E0464"/>
    <w:rsid w:val="005E0681"/>
    <w:rsid w:val="005E11CE"/>
    <w:rsid w:val="005E1218"/>
    <w:rsid w:val="005E18EC"/>
    <w:rsid w:val="005E1A55"/>
    <w:rsid w:val="005E1B6B"/>
    <w:rsid w:val="005E1F61"/>
    <w:rsid w:val="005E2281"/>
    <w:rsid w:val="005E236C"/>
    <w:rsid w:val="005E2D9E"/>
    <w:rsid w:val="005E2FAE"/>
    <w:rsid w:val="005E32C9"/>
    <w:rsid w:val="005E351B"/>
    <w:rsid w:val="005E38A8"/>
    <w:rsid w:val="005E39F9"/>
    <w:rsid w:val="005E3D9B"/>
    <w:rsid w:val="005E4828"/>
    <w:rsid w:val="005E4887"/>
    <w:rsid w:val="005E5016"/>
    <w:rsid w:val="005E5231"/>
    <w:rsid w:val="005E55BB"/>
    <w:rsid w:val="005E5D11"/>
    <w:rsid w:val="005E667C"/>
    <w:rsid w:val="005E6A1D"/>
    <w:rsid w:val="005E6F12"/>
    <w:rsid w:val="005E733E"/>
    <w:rsid w:val="005E7428"/>
    <w:rsid w:val="005F0694"/>
    <w:rsid w:val="005F06E1"/>
    <w:rsid w:val="005F077C"/>
    <w:rsid w:val="005F0B88"/>
    <w:rsid w:val="005F1735"/>
    <w:rsid w:val="005F187E"/>
    <w:rsid w:val="005F252A"/>
    <w:rsid w:val="005F28DC"/>
    <w:rsid w:val="005F3CE8"/>
    <w:rsid w:val="005F4F41"/>
    <w:rsid w:val="005F566D"/>
    <w:rsid w:val="005F5A85"/>
    <w:rsid w:val="005F648F"/>
    <w:rsid w:val="005F68C3"/>
    <w:rsid w:val="005F79CF"/>
    <w:rsid w:val="005F7D87"/>
    <w:rsid w:val="00601794"/>
    <w:rsid w:val="00601E94"/>
    <w:rsid w:val="006021B1"/>
    <w:rsid w:val="006037C5"/>
    <w:rsid w:val="006040CE"/>
    <w:rsid w:val="0060467D"/>
    <w:rsid w:val="00604DF3"/>
    <w:rsid w:val="0060585E"/>
    <w:rsid w:val="00605B9D"/>
    <w:rsid w:val="00606213"/>
    <w:rsid w:val="00606B57"/>
    <w:rsid w:val="00606B85"/>
    <w:rsid w:val="00607390"/>
    <w:rsid w:val="006076D8"/>
    <w:rsid w:val="00607E6D"/>
    <w:rsid w:val="006101CD"/>
    <w:rsid w:val="0061061D"/>
    <w:rsid w:val="00611816"/>
    <w:rsid w:val="00611A3B"/>
    <w:rsid w:val="006120CA"/>
    <w:rsid w:val="00612389"/>
    <w:rsid w:val="00612570"/>
    <w:rsid w:val="006127BD"/>
    <w:rsid w:val="00612871"/>
    <w:rsid w:val="00612929"/>
    <w:rsid w:val="00612A44"/>
    <w:rsid w:val="00612A8E"/>
    <w:rsid w:val="00613098"/>
    <w:rsid w:val="006134D9"/>
    <w:rsid w:val="006135DA"/>
    <w:rsid w:val="00613BDC"/>
    <w:rsid w:val="00614921"/>
    <w:rsid w:val="00615564"/>
    <w:rsid w:val="006155E2"/>
    <w:rsid w:val="00615F26"/>
    <w:rsid w:val="00616CCC"/>
    <w:rsid w:val="00617A81"/>
    <w:rsid w:val="00617C11"/>
    <w:rsid w:val="00617DEC"/>
    <w:rsid w:val="00620573"/>
    <w:rsid w:val="00620579"/>
    <w:rsid w:val="006208AA"/>
    <w:rsid w:val="0062128D"/>
    <w:rsid w:val="00621C96"/>
    <w:rsid w:val="0062228D"/>
    <w:rsid w:val="006224D1"/>
    <w:rsid w:val="0062258F"/>
    <w:rsid w:val="00622732"/>
    <w:rsid w:val="00622E6D"/>
    <w:rsid w:val="00623BC7"/>
    <w:rsid w:val="00623E70"/>
    <w:rsid w:val="006241D0"/>
    <w:rsid w:val="00624425"/>
    <w:rsid w:val="00624665"/>
    <w:rsid w:val="00625434"/>
    <w:rsid w:val="0062576B"/>
    <w:rsid w:val="00625C5F"/>
    <w:rsid w:val="00626032"/>
    <w:rsid w:val="00627643"/>
    <w:rsid w:val="00627788"/>
    <w:rsid w:val="006300CD"/>
    <w:rsid w:val="0063017E"/>
    <w:rsid w:val="00630723"/>
    <w:rsid w:val="00630EAE"/>
    <w:rsid w:val="006312D0"/>
    <w:rsid w:val="00631866"/>
    <w:rsid w:val="006318A4"/>
    <w:rsid w:val="00631A11"/>
    <w:rsid w:val="00631D4F"/>
    <w:rsid w:val="006321B6"/>
    <w:rsid w:val="006327C6"/>
    <w:rsid w:val="00633496"/>
    <w:rsid w:val="006338D2"/>
    <w:rsid w:val="00633F92"/>
    <w:rsid w:val="0063435E"/>
    <w:rsid w:val="00634CB2"/>
    <w:rsid w:val="006357E2"/>
    <w:rsid w:val="00635FD8"/>
    <w:rsid w:val="006364C2"/>
    <w:rsid w:val="00636651"/>
    <w:rsid w:val="006368E4"/>
    <w:rsid w:val="00636F7B"/>
    <w:rsid w:val="00640140"/>
    <w:rsid w:val="0064019C"/>
    <w:rsid w:val="00640288"/>
    <w:rsid w:val="006405AC"/>
    <w:rsid w:val="0064099D"/>
    <w:rsid w:val="006412CD"/>
    <w:rsid w:val="006413D8"/>
    <w:rsid w:val="00641610"/>
    <w:rsid w:val="00641B7B"/>
    <w:rsid w:val="00641C55"/>
    <w:rsid w:val="00642405"/>
    <w:rsid w:val="00642645"/>
    <w:rsid w:val="006437E8"/>
    <w:rsid w:val="006438E0"/>
    <w:rsid w:val="00643E4F"/>
    <w:rsid w:val="00644BED"/>
    <w:rsid w:val="006455CB"/>
    <w:rsid w:val="00646FD5"/>
    <w:rsid w:val="006471DC"/>
    <w:rsid w:val="006472F8"/>
    <w:rsid w:val="00647680"/>
    <w:rsid w:val="00647743"/>
    <w:rsid w:val="006510C0"/>
    <w:rsid w:val="00651DA0"/>
    <w:rsid w:val="00652092"/>
    <w:rsid w:val="00652472"/>
    <w:rsid w:val="00652F31"/>
    <w:rsid w:val="006535E5"/>
    <w:rsid w:val="0065394E"/>
    <w:rsid w:val="00653B38"/>
    <w:rsid w:val="00654D37"/>
    <w:rsid w:val="00656385"/>
    <w:rsid w:val="00656F19"/>
    <w:rsid w:val="00657BB7"/>
    <w:rsid w:val="00660299"/>
    <w:rsid w:val="00660552"/>
    <w:rsid w:val="0066090C"/>
    <w:rsid w:val="00660DBE"/>
    <w:rsid w:val="00661113"/>
    <w:rsid w:val="0066127D"/>
    <w:rsid w:val="00661AB0"/>
    <w:rsid w:val="006623A4"/>
    <w:rsid w:val="006627B5"/>
    <w:rsid w:val="00662E8E"/>
    <w:rsid w:val="0066351C"/>
    <w:rsid w:val="006635BF"/>
    <w:rsid w:val="00664498"/>
    <w:rsid w:val="00664693"/>
    <w:rsid w:val="00664DC0"/>
    <w:rsid w:val="006651CC"/>
    <w:rsid w:val="0066582B"/>
    <w:rsid w:val="006658DA"/>
    <w:rsid w:val="00665CA1"/>
    <w:rsid w:val="00667421"/>
    <w:rsid w:val="0066780E"/>
    <w:rsid w:val="00667A31"/>
    <w:rsid w:val="00670702"/>
    <w:rsid w:val="006708EB"/>
    <w:rsid w:val="0067147C"/>
    <w:rsid w:val="00671A65"/>
    <w:rsid w:val="00672895"/>
    <w:rsid w:val="00672A8A"/>
    <w:rsid w:val="00673524"/>
    <w:rsid w:val="00673F50"/>
    <w:rsid w:val="00674EEA"/>
    <w:rsid w:val="0067549D"/>
    <w:rsid w:val="006759B0"/>
    <w:rsid w:val="00677012"/>
    <w:rsid w:val="006771EA"/>
    <w:rsid w:val="00677CBF"/>
    <w:rsid w:val="00680407"/>
    <w:rsid w:val="00680D0E"/>
    <w:rsid w:val="00680F00"/>
    <w:rsid w:val="006821FD"/>
    <w:rsid w:val="006825A6"/>
    <w:rsid w:val="006825B4"/>
    <w:rsid w:val="006829BA"/>
    <w:rsid w:val="00682AF2"/>
    <w:rsid w:val="00682E8A"/>
    <w:rsid w:val="00682FB7"/>
    <w:rsid w:val="006837DE"/>
    <w:rsid w:val="00683CE0"/>
    <w:rsid w:val="0068537F"/>
    <w:rsid w:val="00686104"/>
    <w:rsid w:val="00686334"/>
    <w:rsid w:val="00686C3A"/>
    <w:rsid w:val="00686EEB"/>
    <w:rsid w:val="00687628"/>
    <w:rsid w:val="00687CFE"/>
    <w:rsid w:val="0069035A"/>
    <w:rsid w:val="00690EB8"/>
    <w:rsid w:val="0069109D"/>
    <w:rsid w:val="006915E5"/>
    <w:rsid w:val="00692401"/>
    <w:rsid w:val="00693B7A"/>
    <w:rsid w:val="006941CC"/>
    <w:rsid w:val="006942BA"/>
    <w:rsid w:val="006945D4"/>
    <w:rsid w:val="00694EC0"/>
    <w:rsid w:val="00695852"/>
    <w:rsid w:val="00695F56"/>
    <w:rsid w:val="0069758B"/>
    <w:rsid w:val="00697F88"/>
    <w:rsid w:val="006A0A70"/>
    <w:rsid w:val="006A0B6C"/>
    <w:rsid w:val="006A1692"/>
    <w:rsid w:val="006A16E1"/>
    <w:rsid w:val="006A179F"/>
    <w:rsid w:val="006A188D"/>
    <w:rsid w:val="006A26B6"/>
    <w:rsid w:val="006A3293"/>
    <w:rsid w:val="006A36DF"/>
    <w:rsid w:val="006A3C8A"/>
    <w:rsid w:val="006A3D94"/>
    <w:rsid w:val="006A3E61"/>
    <w:rsid w:val="006A5213"/>
    <w:rsid w:val="006A5866"/>
    <w:rsid w:val="006A6003"/>
    <w:rsid w:val="006A6737"/>
    <w:rsid w:val="006A7AAD"/>
    <w:rsid w:val="006B0AE6"/>
    <w:rsid w:val="006B1E08"/>
    <w:rsid w:val="006B2099"/>
    <w:rsid w:val="006B26B1"/>
    <w:rsid w:val="006B2E45"/>
    <w:rsid w:val="006B341B"/>
    <w:rsid w:val="006B3875"/>
    <w:rsid w:val="006B425B"/>
    <w:rsid w:val="006B545C"/>
    <w:rsid w:val="006B5AC8"/>
    <w:rsid w:val="006B5D32"/>
    <w:rsid w:val="006B758B"/>
    <w:rsid w:val="006B7BF8"/>
    <w:rsid w:val="006C0E54"/>
    <w:rsid w:val="006C0F11"/>
    <w:rsid w:val="006C23E1"/>
    <w:rsid w:val="006C25D5"/>
    <w:rsid w:val="006C25F9"/>
    <w:rsid w:val="006C262B"/>
    <w:rsid w:val="006C2866"/>
    <w:rsid w:val="006C2AEE"/>
    <w:rsid w:val="006C31C6"/>
    <w:rsid w:val="006C3A2D"/>
    <w:rsid w:val="006C4666"/>
    <w:rsid w:val="006C49BF"/>
    <w:rsid w:val="006C63D7"/>
    <w:rsid w:val="006C6894"/>
    <w:rsid w:val="006C69D9"/>
    <w:rsid w:val="006C7535"/>
    <w:rsid w:val="006C76A6"/>
    <w:rsid w:val="006C796D"/>
    <w:rsid w:val="006D0525"/>
    <w:rsid w:val="006D08DC"/>
    <w:rsid w:val="006D09D1"/>
    <w:rsid w:val="006D23FF"/>
    <w:rsid w:val="006D2F09"/>
    <w:rsid w:val="006D2FD2"/>
    <w:rsid w:val="006D33E6"/>
    <w:rsid w:val="006D3783"/>
    <w:rsid w:val="006D3DC0"/>
    <w:rsid w:val="006D40C4"/>
    <w:rsid w:val="006D4162"/>
    <w:rsid w:val="006D453E"/>
    <w:rsid w:val="006D4BA8"/>
    <w:rsid w:val="006D5303"/>
    <w:rsid w:val="006D5E84"/>
    <w:rsid w:val="006D7A4C"/>
    <w:rsid w:val="006D7C99"/>
    <w:rsid w:val="006E0443"/>
    <w:rsid w:val="006E0C50"/>
    <w:rsid w:val="006E0DCF"/>
    <w:rsid w:val="006E14D6"/>
    <w:rsid w:val="006E1647"/>
    <w:rsid w:val="006E1BA2"/>
    <w:rsid w:val="006E2298"/>
    <w:rsid w:val="006E2F3A"/>
    <w:rsid w:val="006E310A"/>
    <w:rsid w:val="006E3C3E"/>
    <w:rsid w:val="006E3FBD"/>
    <w:rsid w:val="006E40C7"/>
    <w:rsid w:val="006E429F"/>
    <w:rsid w:val="006E47E0"/>
    <w:rsid w:val="006E50AE"/>
    <w:rsid w:val="006E50E4"/>
    <w:rsid w:val="006E6F30"/>
    <w:rsid w:val="006E6FE9"/>
    <w:rsid w:val="006E7082"/>
    <w:rsid w:val="006E709F"/>
    <w:rsid w:val="006E7F73"/>
    <w:rsid w:val="006F030F"/>
    <w:rsid w:val="006F193C"/>
    <w:rsid w:val="006F1B58"/>
    <w:rsid w:val="006F27DC"/>
    <w:rsid w:val="006F2B89"/>
    <w:rsid w:val="006F36F1"/>
    <w:rsid w:val="006F3B81"/>
    <w:rsid w:val="006F4A0F"/>
    <w:rsid w:val="006F4D59"/>
    <w:rsid w:val="006F4F79"/>
    <w:rsid w:val="006F4F80"/>
    <w:rsid w:val="006F5532"/>
    <w:rsid w:val="006F5ADA"/>
    <w:rsid w:val="006F62CC"/>
    <w:rsid w:val="006F644B"/>
    <w:rsid w:val="006F66C1"/>
    <w:rsid w:val="006F681D"/>
    <w:rsid w:val="006F731E"/>
    <w:rsid w:val="006F78E9"/>
    <w:rsid w:val="0070235F"/>
    <w:rsid w:val="00702BC3"/>
    <w:rsid w:val="00702EA5"/>
    <w:rsid w:val="00702FF3"/>
    <w:rsid w:val="007032AC"/>
    <w:rsid w:val="00703496"/>
    <w:rsid w:val="007036FE"/>
    <w:rsid w:val="00703AB1"/>
    <w:rsid w:val="00704614"/>
    <w:rsid w:val="00704C5F"/>
    <w:rsid w:val="00704DEB"/>
    <w:rsid w:val="00704FA9"/>
    <w:rsid w:val="00705623"/>
    <w:rsid w:val="00705B37"/>
    <w:rsid w:val="00706460"/>
    <w:rsid w:val="0070658A"/>
    <w:rsid w:val="00706B65"/>
    <w:rsid w:val="007071AF"/>
    <w:rsid w:val="00707C1A"/>
    <w:rsid w:val="00710023"/>
    <w:rsid w:val="00710207"/>
    <w:rsid w:val="0071023D"/>
    <w:rsid w:val="007103CD"/>
    <w:rsid w:val="007104CB"/>
    <w:rsid w:val="00710530"/>
    <w:rsid w:val="007107BD"/>
    <w:rsid w:val="00711E77"/>
    <w:rsid w:val="00712912"/>
    <w:rsid w:val="00713AAC"/>
    <w:rsid w:val="007141DC"/>
    <w:rsid w:val="00714B04"/>
    <w:rsid w:val="00714F75"/>
    <w:rsid w:val="007155CE"/>
    <w:rsid w:val="007168A0"/>
    <w:rsid w:val="00716BC6"/>
    <w:rsid w:val="00716C95"/>
    <w:rsid w:val="00717762"/>
    <w:rsid w:val="00717F1A"/>
    <w:rsid w:val="007204DA"/>
    <w:rsid w:val="00721A63"/>
    <w:rsid w:val="00721DED"/>
    <w:rsid w:val="00721FF9"/>
    <w:rsid w:val="0072229E"/>
    <w:rsid w:val="00722F53"/>
    <w:rsid w:val="0072337E"/>
    <w:rsid w:val="00723696"/>
    <w:rsid w:val="0072442F"/>
    <w:rsid w:val="00725189"/>
    <w:rsid w:val="0072541E"/>
    <w:rsid w:val="00725735"/>
    <w:rsid w:val="0072630D"/>
    <w:rsid w:val="00726A2A"/>
    <w:rsid w:val="00726CD3"/>
    <w:rsid w:val="007271E9"/>
    <w:rsid w:val="007273BC"/>
    <w:rsid w:val="007275FD"/>
    <w:rsid w:val="007276E5"/>
    <w:rsid w:val="00730943"/>
    <w:rsid w:val="00731D5E"/>
    <w:rsid w:val="00732492"/>
    <w:rsid w:val="00733E5A"/>
    <w:rsid w:val="00733F25"/>
    <w:rsid w:val="00736395"/>
    <w:rsid w:val="00736459"/>
    <w:rsid w:val="0073685F"/>
    <w:rsid w:val="00737821"/>
    <w:rsid w:val="0074058F"/>
    <w:rsid w:val="00740E86"/>
    <w:rsid w:val="00741175"/>
    <w:rsid w:val="007419FB"/>
    <w:rsid w:val="00741F36"/>
    <w:rsid w:val="00742606"/>
    <w:rsid w:val="007441FF"/>
    <w:rsid w:val="00744EE8"/>
    <w:rsid w:val="00744F42"/>
    <w:rsid w:val="007459F5"/>
    <w:rsid w:val="00746713"/>
    <w:rsid w:val="007467E4"/>
    <w:rsid w:val="00746B08"/>
    <w:rsid w:val="00747569"/>
    <w:rsid w:val="00750238"/>
    <w:rsid w:val="0075023C"/>
    <w:rsid w:val="007518E3"/>
    <w:rsid w:val="007518E9"/>
    <w:rsid w:val="00752247"/>
    <w:rsid w:val="007523E7"/>
    <w:rsid w:val="007524C4"/>
    <w:rsid w:val="007531CA"/>
    <w:rsid w:val="00754252"/>
    <w:rsid w:val="007549AE"/>
    <w:rsid w:val="007577B1"/>
    <w:rsid w:val="00757CB3"/>
    <w:rsid w:val="00757D87"/>
    <w:rsid w:val="00760EED"/>
    <w:rsid w:val="0076109F"/>
    <w:rsid w:val="00761399"/>
    <w:rsid w:val="00761615"/>
    <w:rsid w:val="007616DA"/>
    <w:rsid w:val="007619CE"/>
    <w:rsid w:val="00761F4F"/>
    <w:rsid w:val="007620DC"/>
    <w:rsid w:val="00762102"/>
    <w:rsid w:val="0076255D"/>
    <w:rsid w:val="007625F6"/>
    <w:rsid w:val="00762B8B"/>
    <w:rsid w:val="0076325B"/>
    <w:rsid w:val="00764533"/>
    <w:rsid w:val="00764AF9"/>
    <w:rsid w:val="007650AD"/>
    <w:rsid w:val="007658DC"/>
    <w:rsid w:val="00765D18"/>
    <w:rsid w:val="0076640B"/>
    <w:rsid w:val="007673DE"/>
    <w:rsid w:val="00770C54"/>
    <w:rsid w:val="00771344"/>
    <w:rsid w:val="0077213A"/>
    <w:rsid w:val="00772613"/>
    <w:rsid w:val="00772B41"/>
    <w:rsid w:val="00772CED"/>
    <w:rsid w:val="00772E13"/>
    <w:rsid w:val="00773EA1"/>
    <w:rsid w:val="00775215"/>
    <w:rsid w:val="00775748"/>
    <w:rsid w:val="00776ACC"/>
    <w:rsid w:val="00777AE2"/>
    <w:rsid w:val="00777C71"/>
    <w:rsid w:val="00777D6B"/>
    <w:rsid w:val="00777F20"/>
    <w:rsid w:val="0078080B"/>
    <w:rsid w:val="00781148"/>
    <w:rsid w:val="0078120F"/>
    <w:rsid w:val="00781F98"/>
    <w:rsid w:val="0078265B"/>
    <w:rsid w:val="00782AFE"/>
    <w:rsid w:val="00782E10"/>
    <w:rsid w:val="00784318"/>
    <w:rsid w:val="00784926"/>
    <w:rsid w:val="00784DB8"/>
    <w:rsid w:val="00784FDD"/>
    <w:rsid w:val="0078508F"/>
    <w:rsid w:val="00786448"/>
    <w:rsid w:val="007875D7"/>
    <w:rsid w:val="00787782"/>
    <w:rsid w:val="0079015D"/>
    <w:rsid w:val="007906B2"/>
    <w:rsid w:val="0079134E"/>
    <w:rsid w:val="007925F0"/>
    <w:rsid w:val="0079278E"/>
    <w:rsid w:val="00792DCA"/>
    <w:rsid w:val="00792E3C"/>
    <w:rsid w:val="007930C1"/>
    <w:rsid w:val="0079315D"/>
    <w:rsid w:val="00793B45"/>
    <w:rsid w:val="0079477A"/>
    <w:rsid w:val="00795706"/>
    <w:rsid w:val="007960E3"/>
    <w:rsid w:val="00796D3A"/>
    <w:rsid w:val="00796F7C"/>
    <w:rsid w:val="00797131"/>
    <w:rsid w:val="00797254"/>
    <w:rsid w:val="00797430"/>
    <w:rsid w:val="00797AF4"/>
    <w:rsid w:val="007A0F8D"/>
    <w:rsid w:val="007A1078"/>
    <w:rsid w:val="007A180A"/>
    <w:rsid w:val="007A2304"/>
    <w:rsid w:val="007A257D"/>
    <w:rsid w:val="007A2CB0"/>
    <w:rsid w:val="007A343D"/>
    <w:rsid w:val="007A38CE"/>
    <w:rsid w:val="007A3F1C"/>
    <w:rsid w:val="007A46E6"/>
    <w:rsid w:val="007A48D8"/>
    <w:rsid w:val="007A5ACE"/>
    <w:rsid w:val="007A5C5C"/>
    <w:rsid w:val="007A6528"/>
    <w:rsid w:val="007A7B48"/>
    <w:rsid w:val="007A7FD7"/>
    <w:rsid w:val="007B1565"/>
    <w:rsid w:val="007B18C6"/>
    <w:rsid w:val="007B20C2"/>
    <w:rsid w:val="007B25D5"/>
    <w:rsid w:val="007B27E4"/>
    <w:rsid w:val="007B2910"/>
    <w:rsid w:val="007B301D"/>
    <w:rsid w:val="007B3264"/>
    <w:rsid w:val="007B35F6"/>
    <w:rsid w:val="007B3F87"/>
    <w:rsid w:val="007B404F"/>
    <w:rsid w:val="007B44A6"/>
    <w:rsid w:val="007B494E"/>
    <w:rsid w:val="007B4C5E"/>
    <w:rsid w:val="007B4D1F"/>
    <w:rsid w:val="007B7462"/>
    <w:rsid w:val="007B770B"/>
    <w:rsid w:val="007B7B52"/>
    <w:rsid w:val="007C02A3"/>
    <w:rsid w:val="007C0C55"/>
    <w:rsid w:val="007C1507"/>
    <w:rsid w:val="007C2F60"/>
    <w:rsid w:val="007C3757"/>
    <w:rsid w:val="007C4D8D"/>
    <w:rsid w:val="007C5144"/>
    <w:rsid w:val="007C5613"/>
    <w:rsid w:val="007C6138"/>
    <w:rsid w:val="007C6153"/>
    <w:rsid w:val="007C6849"/>
    <w:rsid w:val="007C6BC6"/>
    <w:rsid w:val="007C6C12"/>
    <w:rsid w:val="007C73B2"/>
    <w:rsid w:val="007D0435"/>
    <w:rsid w:val="007D0D3E"/>
    <w:rsid w:val="007D116E"/>
    <w:rsid w:val="007D1B24"/>
    <w:rsid w:val="007D267F"/>
    <w:rsid w:val="007D3341"/>
    <w:rsid w:val="007D3A3E"/>
    <w:rsid w:val="007D400A"/>
    <w:rsid w:val="007D4B0E"/>
    <w:rsid w:val="007D4DD2"/>
    <w:rsid w:val="007D5D0F"/>
    <w:rsid w:val="007D6342"/>
    <w:rsid w:val="007D6EA8"/>
    <w:rsid w:val="007D7AF1"/>
    <w:rsid w:val="007D7B3C"/>
    <w:rsid w:val="007E05DB"/>
    <w:rsid w:val="007E1247"/>
    <w:rsid w:val="007E1A44"/>
    <w:rsid w:val="007E2419"/>
    <w:rsid w:val="007E3FF5"/>
    <w:rsid w:val="007E4219"/>
    <w:rsid w:val="007E560D"/>
    <w:rsid w:val="007E577E"/>
    <w:rsid w:val="007E635E"/>
    <w:rsid w:val="007E6A9C"/>
    <w:rsid w:val="007E6C0C"/>
    <w:rsid w:val="007E7300"/>
    <w:rsid w:val="007E767B"/>
    <w:rsid w:val="007E7B54"/>
    <w:rsid w:val="007F005B"/>
    <w:rsid w:val="007F038C"/>
    <w:rsid w:val="007F0428"/>
    <w:rsid w:val="007F0F24"/>
    <w:rsid w:val="007F1755"/>
    <w:rsid w:val="007F222B"/>
    <w:rsid w:val="007F2CBC"/>
    <w:rsid w:val="007F3092"/>
    <w:rsid w:val="007F30F9"/>
    <w:rsid w:val="007F39B8"/>
    <w:rsid w:val="007F3C03"/>
    <w:rsid w:val="007F3E3F"/>
    <w:rsid w:val="007F45DF"/>
    <w:rsid w:val="007F4A6F"/>
    <w:rsid w:val="007F4FBC"/>
    <w:rsid w:val="007F5975"/>
    <w:rsid w:val="007F5AB9"/>
    <w:rsid w:val="007F6497"/>
    <w:rsid w:val="007F6836"/>
    <w:rsid w:val="007F7DF2"/>
    <w:rsid w:val="008005E6"/>
    <w:rsid w:val="0080073E"/>
    <w:rsid w:val="00800A35"/>
    <w:rsid w:val="00800D91"/>
    <w:rsid w:val="008015F2"/>
    <w:rsid w:val="00801A0E"/>
    <w:rsid w:val="00803362"/>
    <w:rsid w:val="00803C65"/>
    <w:rsid w:val="00804BC0"/>
    <w:rsid w:val="00804E3C"/>
    <w:rsid w:val="00804E4C"/>
    <w:rsid w:val="0080662C"/>
    <w:rsid w:val="008070B2"/>
    <w:rsid w:val="00807D79"/>
    <w:rsid w:val="00810102"/>
    <w:rsid w:val="008102BC"/>
    <w:rsid w:val="008116F3"/>
    <w:rsid w:val="008117C4"/>
    <w:rsid w:val="0081222E"/>
    <w:rsid w:val="00812461"/>
    <w:rsid w:val="008127E0"/>
    <w:rsid w:val="00812810"/>
    <w:rsid w:val="00812D4B"/>
    <w:rsid w:val="0081398E"/>
    <w:rsid w:val="00813F02"/>
    <w:rsid w:val="008149D8"/>
    <w:rsid w:val="00815714"/>
    <w:rsid w:val="00815A2A"/>
    <w:rsid w:val="00817161"/>
    <w:rsid w:val="0081724D"/>
    <w:rsid w:val="0081788A"/>
    <w:rsid w:val="00817927"/>
    <w:rsid w:val="00817CFC"/>
    <w:rsid w:val="00817E82"/>
    <w:rsid w:val="00820A3F"/>
    <w:rsid w:val="00821D81"/>
    <w:rsid w:val="00822A52"/>
    <w:rsid w:val="00823654"/>
    <w:rsid w:val="008237F3"/>
    <w:rsid w:val="00823A90"/>
    <w:rsid w:val="008247C9"/>
    <w:rsid w:val="00825C68"/>
    <w:rsid w:val="0082757E"/>
    <w:rsid w:val="0082769C"/>
    <w:rsid w:val="00827B6C"/>
    <w:rsid w:val="00827D77"/>
    <w:rsid w:val="00830259"/>
    <w:rsid w:val="00830561"/>
    <w:rsid w:val="00831115"/>
    <w:rsid w:val="0083249C"/>
    <w:rsid w:val="00832D42"/>
    <w:rsid w:val="008333A9"/>
    <w:rsid w:val="00833419"/>
    <w:rsid w:val="008342A5"/>
    <w:rsid w:val="00834B7C"/>
    <w:rsid w:val="00834BE2"/>
    <w:rsid w:val="00834EA4"/>
    <w:rsid w:val="00835049"/>
    <w:rsid w:val="00835248"/>
    <w:rsid w:val="008354B9"/>
    <w:rsid w:val="00835DCB"/>
    <w:rsid w:val="00836090"/>
    <w:rsid w:val="00836921"/>
    <w:rsid w:val="00837237"/>
    <w:rsid w:val="008376C0"/>
    <w:rsid w:val="00837E7E"/>
    <w:rsid w:val="0084035D"/>
    <w:rsid w:val="008405F6"/>
    <w:rsid w:val="008405F9"/>
    <w:rsid w:val="0084060B"/>
    <w:rsid w:val="0084139B"/>
    <w:rsid w:val="0084143B"/>
    <w:rsid w:val="008417D4"/>
    <w:rsid w:val="00842547"/>
    <w:rsid w:val="00842610"/>
    <w:rsid w:val="008427D3"/>
    <w:rsid w:val="008429CF"/>
    <w:rsid w:val="008431FD"/>
    <w:rsid w:val="0084324C"/>
    <w:rsid w:val="0084389E"/>
    <w:rsid w:val="00843B9B"/>
    <w:rsid w:val="008451F8"/>
    <w:rsid w:val="008457D2"/>
    <w:rsid w:val="00846212"/>
    <w:rsid w:val="008468E0"/>
    <w:rsid w:val="0084767E"/>
    <w:rsid w:val="0084790F"/>
    <w:rsid w:val="00847BE7"/>
    <w:rsid w:val="00847D23"/>
    <w:rsid w:val="00850EAB"/>
    <w:rsid w:val="00851C80"/>
    <w:rsid w:val="00851D70"/>
    <w:rsid w:val="008529B3"/>
    <w:rsid w:val="00852ADD"/>
    <w:rsid w:val="0085368F"/>
    <w:rsid w:val="00853883"/>
    <w:rsid w:val="00853EB9"/>
    <w:rsid w:val="00854CF7"/>
    <w:rsid w:val="00854DA7"/>
    <w:rsid w:val="008557A0"/>
    <w:rsid w:val="00856607"/>
    <w:rsid w:val="008604A8"/>
    <w:rsid w:val="00860ADD"/>
    <w:rsid w:val="008616A2"/>
    <w:rsid w:val="00861C6C"/>
    <w:rsid w:val="008636AC"/>
    <w:rsid w:val="00863862"/>
    <w:rsid w:val="00863AAD"/>
    <w:rsid w:val="00864644"/>
    <w:rsid w:val="008658DE"/>
    <w:rsid w:val="00866296"/>
    <w:rsid w:val="008665C7"/>
    <w:rsid w:val="008707A3"/>
    <w:rsid w:val="00870A36"/>
    <w:rsid w:val="008711AE"/>
    <w:rsid w:val="00871A36"/>
    <w:rsid w:val="00872DF4"/>
    <w:rsid w:val="00872F21"/>
    <w:rsid w:val="00873736"/>
    <w:rsid w:val="0087378E"/>
    <w:rsid w:val="008737DF"/>
    <w:rsid w:val="008755E7"/>
    <w:rsid w:val="00875A46"/>
    <w:rsid w:val="00875E16"/>
    <w:rsid w:val="00876380"/>
    <w:rsid w:val="00877D03"/>
    <w:rsid w:val="00877E96"/>
    <w:rsid w:val="0088023D"/>
    <w:rsid w:val="008803CE"/>
    <w:rsid w:val="008816E6"/>
    <w:rsid w:val="00882077"/>
    <w:rsid w:val="008820D9"/>
    <w:rsid w:val="00883613"/>
    <w:rsid w:val="00883894"/>
    <w:rsid w:val="0088557F"/>
    <w:rsid w:val="00886393"/>
    <w:rsid w:val="00886579"/>
    <w:rsid w:val="00886F19"/>
    <w:rsid w:val="00887865"/>
    <w:rsid w:val="00887B37"/>
    <w:rsid w:val="00890598"/>
    <w:rsid w:val="0089065A"/>
    <w:rsid w:val="00890DEB"/>
    <w:rsid w:val="0089177A"/>
    <w:rsid w:val="00891D7A"/>
    <w:rsid w:val="00891DFC"/>
    <w:rsid w:val="00892B98"/>
    <w:rsid w:val="008945D2"/>
    <w:rsid w:val="008949A3"/>
    <w:rsid w:val="008959FC"/>
    <w:rsid w:val="0089605E"/>
    <w:rsid w:val="00896668"/>
    <w:rsid w:val="00896E9A"/>
    <w:rsid w:val="008A0CCC"/>
    <w:rsid w:val="008A1D0E"/>
    <w:rsid w:val="008A25EA"/>
    <w:rsid w:val="008A276E"/>
    <w:rsid w:val="008A31C7"/>
    <w:rsid w:val="008A3215"/>
    <w:rsid w:val="008A3630"/>
    <w:rsid w:val="008A3946"/>
    <w:rsid w:val="008A3E8B"/>
    <w:rsid w:val="008A47BE"/>
    <w:rsid w:val="008A4AEC"/>
    <w:rsid w:val="008A5609"/>
    <w:rsid w:val="008A5697"/>
    <w:rsid w:val="008A6DD5"/>
    <w:rsid w:val="008A6DF0"/>
    <w:rsid w:val="008A6FA0"/>
    <w:rsid w:val="008B05E6"/>
    <w:rsid w:val="008B105C"/>
    <w:rsid w:val="008B15CE"/>
    <w:rsid w:val="008B1C8F"/>
    <w:rsid w:val="008B21F8"/>
    <w:rsid w:val="008B2570"/>
    <w:rsid w:val="008B2B19"/>
    <w:rsid w:val="008B2F40"/>
    <w:rsid w:val="008B2FCD"/>
    <w:rsid w:val="008B2FED"/>
    <w:rsid w:val="008B3627"/>
    <w:rsid w:val="008B3EAD"/>
    <w:rsid w:val="008B49B6"/>
    <w:rsid w:val="008B56A0"/>
    <w:rsid w:val="008B5AA1"/>
    <w:rsid w:val="008B5E61"/>
    <w:rsid w:val="008B64CE"/>
    <w:rsid w:val="008B68B4"/>
    <w:rsid w:val="008B756F"/>
    <w:rsid w:val="008B7914"/>
    <w:rsid w:val="008C0BF4"/>
    <w:rsid w:val="008C0D0C"/>
    <w:rsid w:val="008C127A"/>
    <w:rsid w:val="008C18BD"/>
    <w:rsid w:val="008C1932"/>
    <w:rsid w:val="008C1CC8"/>
    <w:rsid w:val="008C2C7F"/>
    <w:rsid w:val="008C2F0D"/>
    <w:rsid w:val="008C364D"/>
    <w:rsid w:val="008C3CDD"/>
    <w:rsid w:val="008C41C2"/>
    <w:rsid w:val="008C500C"/>
    <w:rsid w:val="008C5D2A"/>
    <w:rsid w:val="008C6754"/>
    <w:rsid w:val="008C6C16"/>
    <w:rsid w:val="008C74FB"/>
    <w:rsid w:val="008C7AF4"/>
    <w:rsid w:val="008C7D00"/>
    <w:rsid w:val="008C7DA4"/>
    <w:rsid w:val="008C7F6E"/>
    <w:rsid w:val="008D0210"/>
    <w:rsid w:val="008D033E"/>
    <w:rsid w:val="008D0851"/>
    <w:rsid w:val="008D0DEF"/>
    <w:rsid w:val="008D0FCD"/>
    <w:rsid w:val="008D1074"/>
    <w:rsid w:val="008D1079"/>
    <w:rsid w:val="008D2643"/>
    <w:rsid w:val="008D280F"/>
    <w:rsid w:val="008D318B"/>
    <w:rsid w:val="008D3994"/>
    <w:rsid w:val="008D3C3D"/>
    <w:rsid w:val="008D478E"/>
    <w:rsid w:val="008D4DB6"/>
    <w:rsid w:val="008D534E"/>
    <w:rsid w:val="008D619B"/>
    <w:rsid w:val="008D6E81"/>
    <w:rsid w:val="008D7739"/>
    <w:rsid w:val="008D7A64"/>
    <w:rsid w:val="008D7A92"/>
    <w:rsid w:val="008E0302"/>
    <w:rsid w:val="008E03F3"/>
    <w:rsid w:val="008E1267"/>
    <w:rsid w:val="008E19FD"/>
    <w:rsid w:val="008E22F8"/>
    <w:rsid w:val="008E25EC"/>
    <w:rsid w:val="008E39D8"/>
    <w:rsid w:val="008E5D73"/>
    <w:rsid w:val="008E606F"/>
    <w:rsid w:val="008E6AD9"/>
    <w:rsid w:val="008F022A"/>
    <w:rsid w:val="008F06FD"/>
    <w:rsid w:val="008F1172"/>
    <w:rsid w:val="008F27E3"/>
    <w:rsid w:val="008F3485"/>
    <w:rsid w:val="008F3AC3"/>
    <w:rsid w:val="008F42C1"/>
    <w:rsid w:val="008F4858"/>
    <w:rsid w:val="008F51FF"/>
    <w:rsid w:val="008F52FC"/>
    <w:rsid w:val="008F5DEF"/>
    <w:rsid w:val="008F61F2"/>
    <w:rsid w:val="008F636D"/>
    <w:rsid w:val="008F79C0"/>
    <w:rsid w:val="008F7C0A"/>
    <w:rsid w:val="00901DBB"/>
    <w:rsid w:val="009026CB"/>
    <w:rsid w:val="00902876"/>
    <w:rsid w:val="00902B63"/>
    <w:rsid w:val="009036E9"/>
    <w:rsid w:val="009038F6"/>
    <w:rsid w:val="00903FB2"/>
    <w:rsid w:val="00904038"/>
    <w:rsid w:val="009041AF"/>
    <w:rsid w:val="009042AA"/>
    <w:rsid w:val="009049AB"/>
    <w:rsid w:val="009050B7"/>
    <w:rsid w:val="0090510D"/>
    <w:rsid w:val="00905130"/>
    <w:rsid w:val="009053BD"/>
    <w:rsid w:val="00905728"/>
    <w:rsid w:val="009061B8"/>
    <w:rsid w:val="009064BF"/>
    <w:rsid w:val="009069B8"/>
    <w:rsid w:val="009130CC"/>
    <w:rsid w:val="009133EC"/>
    <w:rsid w:val="00913AF7"/>
    <w:rsid w:val="00913B37"/>
    <w:rsid w:val="00914683"/>
    <w:rsid w:val="00914861"/>
    <w:rsid w:val="009148D8"/>
    <w:rsid w:val="00914993"/>
    <w:rsid w:val="00914B5F"/>
    <w:rsid w:val="00914E71"/>
    <w:rsid w:val="0091504C"/>
    <w:rsid w:val="00915897"/>
    <w:rsid w:val="00915B44"/>
    <w:rsid w:val="00915CD5"/>
    <w:rsid w:val="00916093"/>
    <w:rsid w:val="009160E3"/>
    <w:rsid w:val="0091639C"/>
    <w:rsid w:val="00916E99"/>
    <w:rsid w:val="0092002E"/>
    <w:rsid w:val="0092050A"/>
    <w:rsid w:val="00920EC6"/>
    <w:rsid w:val="0092101E"/>
    <w:rsid w:val="0092383B"/>
    <w:rsid w:val="00923A97"/>
    <w:rsid w:val="00923DCE"/>
    <w:rsid w:val="00924119"/>
    <w:rsid w:val="009243F2"/>
    <w:rsid w:val="00925120"/>
    <w:rsid w:val="009255FA"/>
    <w:rsid w:val="009262E4"/>
    <w:rsid w:val="009266D2"/>
    <w:rsid w:val="00927D4E"/>
    <w:rsid w:val="00927E9F"/>
    <w:rsid w:val="00927F89"/>
    <w:rsid w:val="00930AC2"/>
    <w:rsid w:val="00930D2A"/>
    <w:rsid w:val="009312BF"/>
    <w:rsid w:val="00931680"/>
    <w:rsid w:val="00931B84"/>
    <w:rsid w:val="009322B2"/>
    <w:rsid w:val="009328DA"/>
    <w:rsid w:val="00932E7E"/>
    <w:rsid w:val="0093442D"/>
    <w:rsid w:val="00934CD2"/>
    <w:rsid w:val="00935A35"/>
    <w:rsid w:val="0093604F"/>
    <w:rsid w:val="009375E5"/>
    <w:rsid w:val="0093768E"/>
    <w:rsid w:val="00937BC5"/>
    <w:rsid w:val="00937D30"/>
    <w:rsid w:val="00941848"/>
    <w:rsid w:val="0094337A"/>
    <w:rsid w:val="009437F2"/>
    <w:rsid w:val="009442E8"/>
    <w:rsid w:val="00944BA7"/>
    <w:rsid w:val="00944D63"/>
    <w:rsid w:val="0094636D"/>
    <w:rsid w:val="0094644D"/>
    <w:rsid w:val="00947222"/>
    <w:rsid w:val="0094759C"/>
    <w:rsid w:val="009503FE"/>
    <w:rsid w:val="00950448"/>
    <w:rsid w:val="009506AA"/>
    <w:rsid w:val="009507D4"/>
    <w:rsid w:val="00950ACD"/>
    <w:rsid w:val="00950E37"/>
    <w:rsid w:val="00951666"/>
    <w:rsid w:val="0095182F"/>
    <w:rsid w:val="00952524"/>
    <w:rsid w:val="0095270E"/>
    <w:rsid w:val="0095278F"/>
    <w:rsid w:val="009537A4"/>
    <w:rsid w:val="00953D2D"/>
    <w:rsid w:val="00953EAF"/>
    <w:rsid w:val="0095426C"/>
    <w:rsid w:val="00954900"/>
    <w:rsid w:val="00955EE9"/>
    <w:rsid w:val="009562AE"/>
    <w:rsid w:val="0095654A"/>
    <w:rsid w:val="00956BF5"/>
    <w:rsid w:val="009570CF"/>
    <w:rsid w:val="009571C2"/>
    <w:rsid w:val="009575C3"/>
    <w:rsid w:val="0095770C"/>
    <w:rsid w:val="009579AF"/>
    <w:rsid w:val="00957CC8"/>
    <w:rsid w:val="00957EE7"/>
    <w:rsid w:val="0096086A"/>
    <w:rsid w:val="00961453"/>
    <w:rsid w:val="009616D4"/>
    <w:rsid w:val="0096182D"/>
    <w:rsid w:val="00962150"/>
    <w:rsid w:val="00962CCD"/>
    <w:rsid w:val="00964166"/>
    <w:rsid w:val="009645AD"/>
    <w:rsid w:val="0096475C"/>
    <w:rsid w:val="0096546E"/>
    <w:rsid w:val="0096562A"/>
    <w:rsid w:val="00965865"/>
    <w:rsid w:val="00966096"/>
    <w:rsid w:val="00966A13"/>
    <w:rsid w:val="00967473"/>
    <w:rsid w:val="00967730"/>
    <w:rsid w:val="00970D56"/>
    <w:rsid w:val="00970E50"/>
    <w:rsid w:val="00971074"/>
    <w:rsid w:val="009725B2"/>
    <w:rsid w:val="009747AA"/>
    <w:rsid w:val="00974AD1"/>
    <w:rsid w:val="00974B99"/>
    <w:rsid w:val="00974BCB"/>
    <w:rsid w:val="0097529C"/>
    <w:rsid w:val="00975361"/>
    <w:rsid w:val="009758CD"/>
    <w:rsid w:val="00975AEF"/>
    <w:rsid w:val="00975BF2"/>
    <w:rsid w:val="0097616C"/>
    <w:rsid w:val="009763E4"/>
    <w:rsid w:val="0097649D"/>
    <w:rsid w:val="0097654D"/>
    <w:rsid w:val="009766B7"/>
    <w:rsid w:val="00977C23"/>
    <w:rsid w:val="00980A22"/>
    <w:rsid w:val="00980D85"/>
    <w:rsid w:val="00981E09"/>
    <w:rsid w:val="00983094"/>
    <w:rsid w:val="00983599"/>
    <w:rsid w:val="009843DE"/>
    <w:rsid w:val="0098544F"/>
    <w:rsid w:val="00985B04"/>
    <w:rsid w:val="0098661B"/>
    <w:rsid w:val="00986A6D"/>
    <w:rsid w:val="00986BEF"/>
    <w:rsid w:val="00986E8F"/>
    <w:rsid w:val="00987298"/>
    <w:rsid w:val="00987B34"/>
    <w:rsid w:val="00987C73"/>
    <w:rsid w:val="00990769"/>
    <w:rsid w:val="00991DF8"/>
    <w:rsid w:val="00992499"/>
    <w:rsid w:val="00992986"/>
    <w:rsid w:val="009936E2"/>
    <w:rsid w:val="00994B55"/>
    <w:rsid w:val="009958FF"/>
    <w:rsid w:val="00995D86"/>
    <w:rsid w:val="00995FB2"/>
    <w:rsid w:val="0099781E"/>
    <w:rsid w:val="00997A68"/>
    <w:rsid w:val="009A0071"/>
    <w:rsid w:val="009A00EA"/>
    <w:rsid w:val="009A0587"/>
    <w:rsid w:val="009A0DA2"/>
    <w:rsid w:val="009A1CC7"/>
    <w:rsid w:val="009A1F6B"/>
    <w:rsid w:val="009A2616"/>
    <w:rsid w:val="009A2C4C"/>
    <w:rsid w:val="009A2DD8"/>
    <w:rsid w:val="009A30DE"/>
    <w:rsid w:val="009A3D29"/>
    <w:rsid w:val="009A509F"/>
    <w:rsid w:val="009A5453"/>
    <w:rsid w:val="009A5FAD"/>
    <w:rsid w:val="009A6A7B"/>
    <w:rsid w:val="009A748F"/>
    <w:rsid w:val="009A7532"/>
    <w:rsid w:val="009A7883"/>
    <w:rsid w:val="009B0596"/>
    <w:rsid w:val="009B0999"/>
    <w:rsid w:val="009B1CAA"/>
    <w:rsid w:val="009B1D50"/>
    <w:rsid w:val="009B237F"/>
    <w:rsid w:val="009B2760"/>
    <w:rsid w:val="009B308D"/>
    <w:rsid w:val="009B38D5"/>
    <w:rsid w:val="009B3B62"/>
    <w:rsid w:val="009B3C8D"/>
    <w:rsid w:val="009B4E85"/>
    <w:rsid w:val="009B4FFB"/>
    <w:rsid w:val="009B53C7"/>
    <w:rsid w:val="009B7489"/>
    <w:rsid w:val="009B7987"/>
    <w:rsid w:val="009B7B0A"/>
    <w:rsid w:val="009C07C9"/>
    <w:rsid w:val="009C08D7"/>
    <w:rsid w:val="009C0DC5"/>
    <w:rsid w:val="009C1866"/>
    <w:rsid w:val="009C1FDE"/>
    <w:rsid w:val="009C23FE"/>
    <w:rsid w:val="009C24C8"/>
    <w:rsid w:val="009C375C"/>
    <w:rsid w:val="009C43FC"/>
    <w:rsid w:val="009C4E0D"/>
    <w:rsid w:val="009C4F1B"/>
    <w:rsid w:val="009C503B"/>
    <w:rsid w:val="009C5793"/>
    <w:rsid w:val="009C5816"/>
    <w:rsid w:val="009C61EA"/>
    <w:rsid w:val="009C63EC"/>
    <w:rsid w:val="009C7DAC"/>
    <w:rsid w:val="009D077D"/>
    <w:rsid w:val="009D0883"/>
    <w:rsid w:val="009D08A6"/>
    <w:rsid w:val="009D1915"/>
    <w:rsid w:val="009D1B69"/>
    <w:rsid w:val="009D1EB3"/>
    <w:rsid w:val="009D25DE"/>
    <w:rsid w:val="009D2ABF"/>
    <w:rsid w:val="009D3AD2"/>
    <w:rsid w:val="009D3E06"/>
    <w:rsid w:val="009D5843"/>
    <w:rsid w:val="009D638D"/>
    <w:rsid w:val="009D6393"/>
    <w:rsid w:val="009D6B6C"/>
    <w:rsid w:val="009E0885"/>
    <w:rsid w:val="009E0A6F"/>
    <w:rsid w:val="009E0B57"/>
    <w:rsid w:val="009E1CC8"/>
    <w:rsid w:val="009E2827"/>
    <w:rsid w:val="009E2863"/>
    <w:rsid w:val="009E30D2"/>
    <w:rsid w:val="009E39ED"/>
    <w:rsid w:val="009E4885"/>
    <w:rsid w:val="009E508B"/>
    <w:rsid w:val="009E5FBE"/>
    <w:rsid w:val="009E6A00"/>
    <w:rsid w:val="009F0086"/>
    <w:rsid w:val="009F03AB"/>
    <w:rsid w:val="009F0619"/>
    <w:rsid w:val="009F068A"/>
    <w:rsid w:val="009F08C5"/>
    <w:rsid w:val="009F0A85"/>
    <w:rsid w:val="009F0D6A"/>
    <w:rsid w:val="009F1260"/>
    <w:rsid w:val="009F15CA"/>
    <w:rsid w:val="009F1B71"/>
    <w:rsid w:val="009F220A"/>
    <w:rsid w:val="009F36D6"/>
    <w:rsid w:val="009F6575"/>
    <w:rsid w:val="009F7ADC"/>
    <w:rsid w:val="00A0002A"/>
    <w:rsid w:val="00A0236D"/>
    <w:rsid w:val="00A02985"/>
    <w:rsid w:val="00A02B2B"/>
    <w:rsid w:val="00A02E10"/>
    <w:rsid w:val="00A02FA8"/>
    <w:rsid w:val="00A03F1A"/>
    <w:rsid w:val="00A03F74"/>
    <w:rsid w:val="00A03F88"/>
    <w:rsid w:val="00A046BF"/>
    <w:rsid w:val="00A05312"/>
    <w:rsid w:val="00A05B25"/>
    <w:rsid w:val="00A05C04"/>
    <w:rsid w:val="00A05EC0"/>
    <w:rsid w:val="00A06254"/>
    <w:rsid w:val="00A06842"/>
    <w:rsid w:val="00A07459"/>
    <w:rsid w:val="00A07D78"/>
    <w:rsid w:val="00A07DB6"/>
    <w:rsid w:val="00A10972"/>
    <w:rsid w:val="00A11406"/>
    <w:rsid w:val="00A11A5E"/>
    <w:rsid w:val="00A13205"/>
    <w:rsid w:val="00A132A1"/>
    <w:rsid w:val="00A13422"/>
    <w:rsid w:val="00A14D26"/>
    <w:rsid w:val="00A15132"/>
    <w:rsid w:val="00A1554D"/>
    <w:rsid w:val="00A15792"/>
    <w:rsid w:val="00A158E3"/>
    <w:rsid w:val="00A1591A"/>
    <w:rsid w:val="00A172E0"/>
    <w:rsid w:val="00A17527"/>
    <w:rsid w:val="00A211C5"/>
    <w:rsid w:val="00A221A3"/>
    <w:rsid w:val="00A223D5"/>
    <w:rsid w:val="00A235E4"/>
    <w:rsid w:val="00A23F41"/>
    <w:rsid w:val="00A25547"/>
    <w:rsid w:val="00A255D4"/>
    <w:rsid w:val="00A25F76"/>
    <w:rsid w:val="00A3003E"/>
    <w:rsid w:val="00A31E14"/>
    <w:rsid w:val="00A3325E"/>
    <w:rsid w:val="00A34276"/>
    <w:rsid w:val="00A34524"/>
    <w:rsid w:val="00A345B6"/>
    <w:rsid w:val="00A3502D"/>
    <w:rsid w:val="00A357A4"/>
    <w:rsid w:val="00A35AF5"/>
    <w:rsid w:val="00A35CDF"/>
    <w:rsid w:val="00A36453"/>
    <w:rsid w:val="00A36B05"/>
    <w:rsid w:val="00A37970"/>
    <w:rsid w:val="00A37A68"/>
    <w:rsid w:val="00A37B0C"/>
    <w:rsid w:val="00A37CE6"/>
    <w:rsid w:val="00A37D1C"/>
    <w:rsid w:val="00A37E4D"/>
    <w:rsid w:val="00A37FFE"/>
    <w:rsid w:val="00A404BE"/>
    <w:rsid w:val="00A40ECF"/>
    <w:rsid w:val="00A411C9"/>
    <w:rsid w:val="00A41FEF"/>
    <w:rsid w:val="00A42476"/>
    <w:rsid w:val="00A433CA"/>
    <w:rsid w:val="00A43A1A"/>
    <w:rsid w:val="00A43D48"/>
    <w:rsid w:val="00A43F3C"/>
    <w:rsid w:val="00A447A5"/>
    <w:rsid w:val="00A44ACD"/>
    <w:rsid w:val="00A45B83"/>
    <w:rsid w:val="00A4646E"/>
    <w:rsid w:val="00A468FD"/>
    <w:rsid w:val="00A46921"/>
    <w:rsid w:val="00A47249"/>
    <w:rsid w:val="00A47E3B"/>
    <w:rsid w:val="00A501C7"/>
    <w:rsid w:val="00A5058A"/>
    <w:rsid w:val="00A50905"/>
    <w:rsid w:val="00A513FD"/>
    <w:rsid w:val="00A517D0"/>
    <w:rsid w:val="00A5254B"/>
    <w:rsid w:val="00A52BC1"/>
    <w:rsid w:val="00A52D47"/>
    <w:rsid w:val="00A5347F"/>
    <w:rsid w:val="00A534A0"/>
    <w:rsid w:val="00A537EA"/>
    <w:rsid w:val="00A539AD"/>
    <w:rsid w:val="00A53E3E"/>
    <w:rsid w:val="00A540B2"/>
    <w:rsid w:val="00A5414D"/>
    <w:rsid w:val="00A54A3E"/>
    <w:rsid w:val="00A553C0"/>
    <w:rsid w:val="00A556B7"/>
    <w:rsid w:val="00A564A6"/>
    <w:rsid w:val="00A56819"/>
    <w:rsid w:val="00A568AC"/>
    <w:rsid w:val="00A57B07"/>
    <w:rsid w:val="00A6025F"/>
    <w:rsid w:val="00A60E9C"/>
    <w:rsid w:val="00A61196"/>
    <w:rsid w:val="00A6131E"/>
    <w:rsid w:val="00A616AF"/>
    <w:rsid w:val="00A61879"/>
    <w:rsid w:val="00A628B4"/>
    <w:rsid w:val="00A6295C"/>
    <w:rsid w:val="00A62E6A"/>
    <w:rsid w:val="00A63E4E"/>
    <w:rsid w:val="00A6444F"/>
    <w:rsid w:val="00A652FF"/>
    <w:rsid w:val="00A65A0D"/>
    <w:rsid w:val="00A65C27"/>
    <w:rsid w:val="00A65F3C"/>
    <w:rsid w:val="00A661FD"/>
    <w:rsid w:val="00A66FB3"/>
    <w:rsid w:val="00A67DF5"/>
    <w:rsid w:val="00A709A3"/>
    <w:rsid w:val="00A71216"/>
    <w:rsid w:val="00A714A3"/>
    <w:rsid w:val="00A71B8B"/>
    <w:rsid w:val="00A74456"/>
    <w:rsid w:val="00A75089"/>
    <w:rsid w:val="00A75EDC"/>
    <w:rsid w:val="00A80404"/>
    <w:rsid w:val="00A80548"/>
    <w:rsid w:val="00A8085F"/>
    <w:rsid w:val="00A80A3D"/>
    <w:rsid w:val="00A817A8"/>
    <w:rsid w:val="00A81E50"/>
    <w:rsid w:val="00A81F1C"/>
    <w:rsid w:val="00A82241"/>
    <w:rsid w:val="00A82602"/>
    <w:rsid w:val="00A82DA0"/>
    <w:rsid w:val="00A83E49"/>
    <w:rsid w:val="00A8401C"/>
    <w:rsid w:val="00A8415A"/>
    <w:rsid w:val="00A841A6"/>
    <w:rsid w:val="00A84221"/>
    <w:rsid w:val="00A843CA"/>
    <w:rsid w:val="00A84B7A"/>
    <w:rsid w:val="00A85063"/>
    <w:rsid w:val="00A85367"/>
    <w:rsid w:val="00A86359"/>
    <w:rsid w:val="00A865DC"/>
    <w:rsid w:val="00A86FBC"/>
    <w:rsid w:val="00A879C5"/>
    <w:rsid w:val="00A902AD"/>
    <w:rsid w:val="00A90302"/>
    <w:rsid w:val="00A9099E"/>
    <w:rsid w:val="00A91FB7"/>
    <w:rsid w:val="00A9298F"/>
    <w:rsid w:val="00A9301E"/>
    <w:rsid w:val="00A93E3A"/>
    <w:rsid w:val="00A95186"/>
    <w:rsid w:val="00A951AD"/>
    <w:rsid w:val="00A961BD"/>
    <w:rsid w:val="00A9652F"/>
    <w:rsid w:val="00A973B1"/>
    <w:rsid w:val="00AA027E"/>
    <w:rsid w:val="00AA1224"/>
    <w:rsid w:val="00AA14F2"/>
    <w:rsid w:val="00AA180B"/>
    <w:rsid w:val="00AA1D43"/>
    <w:rsid w:val="00AA2358"/>
    <w:rsid w:val="00AA2469"/>
    <w:rsid w:val="00AA2CD7"/>
    <w:rsid w:val="00AA2F52"/>
    <w:rsid w:val="00AA2FA4"/>
    <w:rsid w:val="00AA3301"/>
    <w:rsid w:val="00AA3360"/>
    <w:rsid w:val="00AA386B"/>
    <w:rsid w:val="00AA4C2E"/>
    <w:rsid w:val="00AA6384"/>
    <w:rsid w:val="00AA6615"/>
    <w:rsid w:val="00AA6B93"/>
    <w:rsid w:val="00AA7A06"/>
    <w:rsid w:val="00AA7A7F"/>
    <w:rsid w:val="00AA7F56"/>
    <w:rsid w:val="00AB17AE"/>
    <w:rsid w:val="00AB1984"/>
    <w:rsid w:val="00AB1CBB"/>
    <w:rsid w:val="00AB215B"/>
    <w:rsid w:val="00AB266D"/>
    <w:rsid w:val="00AB2E7D"/>
    <w:rsid w:val="00AB3146"/>
    <w:rsid w:val="00AB333E"/>
    <w:rsid w:val="00AB37DB"/>
    <w:rsid w:val="00AB3ECC"/>
    <w:rsid w:val="00AB54B5"/>
    <w:rsid w:val="00AB5A73"/>
    <w:rsid w:val="00AB5F48"/>
    <w:rsid w:val="00AB7156"/>
    <w:rsid w:val="00AB716D"/>
    <w:rsid w:val="00AB72BB"/>
    <w:rsid w:val="00AB7472"/>
    <w:rsid w:val="00AB7BF3"/>
    <w:rsid w:val="00AC09D5"/>
    <w:rsid w:val="00AC0C0D"/>
    <w:rsid w:val="00AC0D8E"/>
    <w:rsid w:val="00AC175B"/>
    <w:rsid w:val="00AC1AA3"/>
    <w:rsid w:val="00AC1F8E"/>
    <w:rsid w:val="00AC22C1"/>
    <w:rsid w:val="00AC275A"/>
    <w:rsid w:val="00AC374B"/>
    <w:rsid w:val="00AC3798"/>
    <w:rsid w:val="00AC3ED5"/>
    <w:rsid w:val="00AC3FBA"/>
    <w:rsid w:val="00AC4CB3"/>
    <w:rsid w:val="00AC4D7C"/>
    <w:rsid w:val="00AC53B0"/>
    <w:rsid w:val="00AC6EF2"/>
    <w:rsid w:val="00AC71A6"/>
    <w:rsid w:val="00AC742F"/>
    <w:rsid w:val="00AC7664"/>
    <w:rsid w:val="00AC774F"/>
    <w:rsid w:val="00AC780D"/>
    <w:rsid w:val="00AC787B"/>
    <w:rsid w:val="00AC78A0"/>
    <w:rsid w:val="00AC7956"/>
    <w:rsid w:val="00AC7E18"/>
    <w:rsid w:val="00AD1B79"/>
    <w:rsid w:val="00AD3208"/>
    <w:rsid w:val="00AD3C00"/>
    <w:rsid w:val="00AD50F8"/>
    <w:rsid w:val="00AD719F"/>
    <w:rsid w:val="00AD7447"/>
    <w:rsid w:val="00AD752A"/>
    <w:rsid w:val="00AD7D36"/>
    <w:rsid w:val="00AE0A0E"/>
    <w:rsid w:val="00AE0DED"/>
    <w:rsid w:val="00AE1D05"/>
    <w:rsid w:val="00AE2780"/>
    <w:rsid w:val="00AE284A"/>
    <w:rsid w:val="00AE307E"/>
    <w:rsid w:val="00AE3450"/>
    <w:rsid w:val="00AE392E"/>
    <w:rsid w:val="00AE3BA4"/>
    <w:rsid w:val="00AE3E11"/>
    <w:rsid w:val="00AE40B3"/>
    <w:rsid w:val="00AE4A54"/>
    <w:rsid w:val="00AE4BAB"/>
    <w:rsid w:val="00AE4BDC"/>
    <w:rsid w:val="00AE4CFD"/>
    <w:rsid w:val="00AE4EA6"/>
    <w:rsid w:val="00AE51FF"/>
    <w:rsid w:val="00AE55AD"/>
    <w:rsid w:val="00AE5D8F"/>
    <w:rsid w:val="00AE67D5"/>
    <w:rsid w:val="00AE6E67"/>
    <w:rsid w:val="00AE78ED"/>
    <w:rsid w:val="00AE7AC2"/>
    <w:rsid w:val="00AE7EC9"/>
    <w:rsid w:val="00AF1117"/>
    <w:rsid w:val="00AF1555"/>
    <w:rsid w:val="00AF174E"/>
    <w:rsid w:val="00AF18BA"/>
    <w:rsid w:val="00AF1CA5"/>
    <w:rsid w:val="00AF228C"/>
    <w:rsid w:val="00AF2DB9"/>
    <w:rsid w:val="00AF3928"/>
    <w:rsid w:val="00AF3B55"/>
    <w:rsid w:val="00AF3D62"/>
    <w:rsid w:val="00AF4146"/>
    <w:rsid w:val="00AF56FE"/>
    <w:rsid w:val="00AF62A7"/>
    <w:rsid w:val="00AF6AC5"/>
    <w:rsid w:val="00AF7809"/>
    <w:rsid w:val="00AF7922"/>
    <w:rsid w:val="00AF7CA7"/>
    <w:rsid w:val="00AF7DEB"/>
    <w:rsid w:val="00AF7F7B"/>
    <w:rsid w:val="00B00858"/>
    <w:rsid w:val="00B00BDE"/>
    <w:rsid w:val="00B0104B"/>
    <w:rsid w:val="00B021E0"/>
    <w:rsid w:val="00B03A30"/>
    <w:rsid w:val="00B03A35"/>
    <w:rsid w:val="00B04F99"/>
    <w:rsid w:val="00B054F6"/>
    <w:rsid w:val="00B057B6"/>
    <w:rsid w:val="00B05A7C"/>
    <w:rsid w:val="00B06361"/>
    <w:rsid w:val="00B0651D"/>
    <w:rsid w:val="00B06955"/>
    <w:rsid w:val="00B07BEA"/>
    <w:rsid w:val="00B07F41"/>
    <w:rsid w:val="00B102F9"/>
    <w:rsid w:val="00B11C80"/>
    <w:rsid w:val="00B11F33"/>
    <w:rsid w:val="00B12152"/>
    <w:rsid w:val="00B12DCA"/>
    <w:rsid w:val="00B13ECB"/>
    <w:rsid w:val="00B150AA"/>
    <w:rsid w:val="00B1524F"/>
    <w:rsid w:val="00B15A54"/>
    <w:rsid w:val="00B15ECF"/>
    <w:rsid w:val="00B16081"/>
    <w:rsid w:val="00B169CD"/>
    <w:rsid w:val="00B16C0A"/>
    <w:rsid w:val="00B17F60"/>
    <w:rsid w:val="00B2039A"/>
    <w:rsid w:val="00B20AC8"/>
    <w:rsid w:val="00B215D5"/>
    <w:rsid w:val="00B21D55"/>
    <w:rsid w:val="00B225CB"/>
    <w:rsid w:val="00B22870"/>
    <w:rsid w:val="00B22A22"/>
    <w:rsid w:val="00B22AA6"/>
    <w:rsid w:val="00B237C4"/>
    <w:rsid w:val="00B23D1A"/>
    <w:rsid w:val="00B23F4C"/>
    <w:rsid w:val="00B24233"/>
    <w:rsid w:val="00B246DD"/>
    <w:rsid w:val="00B248D8"/>
    <w:rsid w:val="00B24BA7"/>
    <w:rsid w:val="00B25A6F"/>
    <w:rsid w:val="00B25CD9"/>
    <w:rsid w:val="00B25E8C"/>
    <w:rsid w:val="00B268D0"/>
    <w:rsid w:val="00B269D3"/>
    <w:rsid w:val="00B27886"/>
    <w:rsid w:val="00B27F44"/>
    <w:rsid w:val="00B301ED"/>
    <w:rsid w:val="00B30448"/>
    <w:rsid w:val="00B3048B"/>
    <w:rsid w:val="00B30C49"/>
    <w:rsid w:val="00B30D75"/>
    <w:rsid w:val="00B30DAD"/>
    <w:rsid w:val="00B31315"/>
    <w:rsid w:val="00B3260E"/>
    <w:rsid w:val="00B32C4B"/>
    <w:rsid w:val="00B3407E"/>
    <w:rsid w:val="00B34C84"/>
    <w:rsid w:val="00B34D6A"/>
    <w:rsid w:val="00B35021"/>
    <w:rsid w:val="00B35749"/>
    <w:rsid w:val="00B35EF5"/>
    <w:rsid w:val="00B3677F"/>
    <w:rsid w:val="00B36872"/>
    <w:rsid w:val="00B3704D"/>
    <w:rsid w:val="00B37071"/>
    <w:rsid w:val="00B376FB"/>
    <w:rsid w:val="00B40162"/>
    <w:rsid w:val="00B4054D"/>
    <w:rsid w:val="00B40903"/>
    <w:rsid w:val="00B40FDB"/>
    <w:rsid w:val="00B41C6D"/>
    <w:rsid w:val="00B420B2"/>
    <w:rsid w:val="00B42800"/>
    <w:rsid w:val="00B42832"/>
    <w:rsid w:val="00B42863"/>
    <w:rsid w:val="00B430F6"/>
    <w:rsid w:val="00B43511"/>
    <w:rsid w:val="00B43CE6"/>
    <w:rsid w:val="00B45528"/>
    <w:rsid w:val="00B46212"/>
    <w:rsid w:val="00B46B6E"/>
    <w:rsid w:val="00B478FA"/>
    <w:rsid w:val="00B50156"/>
    <w:rsid w:val="00B501E8"/>
    <w:rsid w:val="00B502A3"/>
    <w:rsid w:val="00B506D4"/>
    <w:rsid w:val="00B507AA"/>
    <w:rsid w:val="00B50953"/>
    <w:rsid w:val="00B509AE"/>
    <w:rsid w:val="00B50E13"/>
    <w:rsid w:val="00B51581"/>
    <w:rsid w:val="00B518AD"/>
    <w:rsid w:val="00B51BB6"/>
    <w:rsid w:val="00B52056"/>
    <w:rsid w:val="00B52B0E"/>
    <w:rsid w:val="00B52D81"/>
    <w:rsid w:val="00B5355B"/>
    <w:rsid w:val="00B5402E"/>
    <w:rsid w:val="00B540E8"/>
    <w:rsid w:val="00B54681"/>
    <w:rsid w:val="00B55852"/>
    <w:rsid w:val="00B560A9"/>
    <w:rsid w:val="00B56866"/>
    <w:rsid w:val="00B56CC4"/>
    <w:rsid w:val="00B57177"/>
    <w:rsid w:val="00B604BB"/>
    <w:rsid w:val="00B6062A"/>
    <w:rsid w:val="00B60A96"/>
    <w:rsid w:val="00B60DD7"/>
    <w:rsid w:val="00B60EB6"/>
    <w:rsid w:val="00B60EE5"/>
    <w:rsid w:val="00B616A5"/>
    <w:rsid w:val="00B628BE"/>
    <w:rsid w:val="00B62B67"/>
    <w:rsid w:val="00B637FB"/>
    <w:rsid w:val="00B6386F"/>
    <w:rsid w:val="00B65295"/>
    <w:rsid w:val="00B65D9B"/>
    <w:rsid w:val="00B66E51"/>
    <w:rsid w:val="00B66E68"/>
    <w:rsid w:val="00B67346"/>
    <w:rsid w:val="00B6793A"/>
    <w:rsid w:val="00B67AC3"/>
    <w:rsid w:val="00B70658"/>
    <w:rsid w:val="00B70880"/>
    <w:rsid w:val="00B71422"/>
    <w:rsid w:val="00B71486"/>
    <w:rsid w:val="00B71607"/>
    <w:rsid w:val="00B71EF7"/>
    <w:rsid w:val="00B72361"/>
    <w:rsid w:val="00B74AB0"/>
    <w:rsid w:val="00B75345"/>
    <w:rsid w:val="00B76327"/>
    <w:rsid w:val="00B76400"/>
    <w:rsid w:val="00B76C94"/>
    <w:rsid w:val="00B76D4E"/>
    <w:rsid w:val="00B76D6E"/>
    <w:rsid w:val="00B771A8"/>
    <w:rsid w:val="00B771AA"/>
    <w:rsid w:val="00B772D0"/>
    <w:rsid w:val="00B80A99"/>
    <w:rsid w:val="00B80C8A"/>
    <w:rsid w:val="00B80F4E"/>
    <w:rsid w:val="00B814CF"/>
    <w:rsid w:val="00B81A33"/>
    <w:rsid w:val="00B8256C"/>
    <w:rsid w:val="00B82B2D"/>
    <w:rsid w:val="00B83117"/>
    <w:rsid w:val="00B8319C"/>
    <w:rsid w:val="00B83F77"/>
    <w:rsid w:val="00B90351"/>
    <w:rsid w:val="00B906F2"/>
    <w:rsid w:val="00B90D9B"/>
    <w:rsid w:val="00B91259"/>
    <w:rsid w:val="00B91B81"/>
    <w:rsid w:val="00B91FF0"/>
    <w:rsid w:val="00B926A8"/>
    <w:rsid w:val="00B92FFF"/>
    <w:rsid w:val="00B93325"/>
    <w:rsid w:val="00B93538"/>
    <w:rsid w:val="00B936F8"/>
    <w:rsid w:val="00B939D6"/>
    <w:rsid w:val="00B9456E"/>
    <w:rsid w:val="00B946F9"/>
    <w:rsid w:val="00B9492E"/>
    <w:rsid w:val="00B960DB"/>
    <w:rsid w:val="00B96799"/>
    <w:rsid w:val="00B96DE5"/>
    <w:rsid w:val="00B97A76"/>
    <w:rsid w:val="00BA0166"/>
    <w:rsid w:val="00BA02B6"/>
    <w:rsid w:val="00BA0584"/>
    <w:rsid w:val="00BA0755"/>
    <w:rsid w:val="00BA1E9D"/>
    <w:rsid w:val="00BA249D"/>
    <w:rsid w:val="00BA3C66"/>
    <w:rsid w:val="00BA4D00"/>
    <w:rsid w:val="00BA4F9B"/>
    <w:rsid w:val="00BA5665"/>
    <w:rsid w:val="00BA6825"/>
    <w:rsid w:val="00BA72D9"/>
    <w:rsid w:val="00BB0A80"/>
    <w:rsid w:val="00BB0AB5"/>
    <w:rsid w:val="00BB195B"/>
    <w:rsid w:val="00BB1BBA"/>
    <w:rsid w:val="00BB204A"/>
    <w:rsid w:val="00BB2BD1"/>
    <w:rsid w:val="00BB31DF"/>
    <w:rsid w:val="00BB33E9"/>
    <w:rsid w:val="00BB34B7"/>
    <w:rsid w:val="00BB3BE4"/>
    <w:rsid w:val="00BB44DB"/>
    <w:rsid w:val="00BB57D3"/>
    <w:rsid w:val="00BB58EE"/>
    <w:rsid w:val="00BB64EC"/>
    <w:rsid w:val="00BB6D36"/>
    <w:rsid w:val="00BB726C"/>
    <w:rsid w:val="00BB7589"/>
    <w:rsid w:val="00BB7668"/>
    <w:rsid w:val="00BB7E42"/>
    <w:rsid w:val="00BC077E"/>
    <w:rsid w:val="00BC0DE5"/>
    <w:rsid w:val="00BC0E57"/>
    <w:rsid w:val="00BC0F15"/>
    <w:rsid w:val="00BC148E"/>
    <w:rsid w:val="00BC1F5F"/>
    <w:rsid w:val="00BC21BE"/>
    <w:rsid w:val="00BC2465"/>
    <w:rsid w:val="00BC3E36"/>
    <w:rsid w:val="00BC421F"/>
    <w:rsid w:val="00BC4B2D"/>
    <w:rsid w:val="00BC4CE8"/>
    <w:rsid w:val="00BC4D54"/>
    <w:rsid w:val="00BC5BDF"/>
    <w:rsid w:val="00BC6E2F"/>
    <w:rsid w:val="00BC6EAF"/>
    <w:rsid w:val="00BC728A"/>
    <w:rsid w:val="00BC7632"/>
    <w:rsid w:val="00BC77A4"/>
    <w:rsid w:val="00BC7C9E"/>
    <w:rsid w:val="00BD1E79"/>
    <w:rsid w:val="00BD236D"/>
    <w:rsid w:val="00BD23A5"/>
    <w:rsid w:val="00BD2937"/>
    <w:rsid w:val="00BD2AFC"/>
    <w:rsid w:val="00BD2CD4"/>
    <w:rsid w:val="00BD3143"/>
    <w:rsid w:val="00BD330C"/>
    <w:rsid w:val="00BD359B"/>
    <w:rsid w:val="00BD3663"/>
    <w:rsid w:val="00BD367F"/>
    <w:rsid w:val="00BD46DF"/>
    <w:rsid w:val="00BD4871"/>
    <w:rsid w:val="00BD48A9"/>
    <w:rsid w:val="00BD4B47"/>
    <w:rsid w:val="00BD5712"/>
    <w:rsid w:val="00BD581A"/>
    <w:rsid w:val="00BD5C02"/>
    <w:rsid w:val="00BD658C"/>
    <w:rsid w:val="00BD678A"/>
    <w:rsid w:val="00BD6819"/>
    <w:rsid w:val="00BD7EC6"/>
    <w:rsid w:val="00BE063A"/>
    <w:rsid w:val="00BE0FF2"/>
    <w:rsid w:val="00BE1345"/>
    <w:rsid w:val="00BE18BC"/>
    <w:rsid w:val="00BE2147"/>
    <w:rsid w:val="00BE239E"/>
    <w:rsid w:val="00BE3B83"/>
    <w:rsid w:val="00BE3C67"/>
    <w:rsid w:val="00BE3CF7"/>
    <w:rsid w:val="00BE42FC"/>
    <w:rsid w:val="00BE6085"/>
    <w:rsid w:val="00BE63FB"/>
    <w:rsid w:val="00BE66FC"/>
    <w:rsid w:val="00BE6F25"/>
    <w:rsid w:val="00BE73FA"/>
    <w:rsid w:val="00BF00D1"/>
    <w:rsid w:val="00BF0353"/>
    <w:rsid w:val="00BF090A"/>
    <w:rsid w:val="00BF0918"/>
    <w:rsid w:val="00BF2001"/>
    <w:rsid w:val="00BF2575"/>
    <w:rsid w:val="00BF31A0"/>
    <w:rsid w:val="00BF323A"/>
    <w:rsid w:val="00BF36C0"/>
    <w:rsid w:val="00BF3F0A"/>
    <w:rsid w:val="00BF4E35"/>
    <w:rsid w:val="00BF5FB3"/>
    <w:rsid w:val="00BF6F82"/>
    <w:rsid w:val="00BF7B9B"/>
    <w:rsid w:val="00C001B9"/>
    <w:rsid w:val="00C0083F"/>
    <w:rsid w:val="00C00976"/>
    <w:rsid w:val="00C020CD"/>
    <w:rsid w:val="00C02715"/>
    <w:rsid w:val="00C02DDE"/>
    <w:rsid w:val="00C0362D"/>
    <w:rsid w:val="00C0367B"/>
    <w:rsid w:val="00C04E51"/>
    <w:rsid w:val="00C05074"/>
    <w:rsid w:val="00C05472"/>
    <w:rsid w:val="00C05AF9"/>
    <w:rsid w:val="00C0606E"/>
    <w:rsid w:val="00C060A3"/>
    <w:rsid w:val="00C060B0"/>
    <w:rsid w:val="00C06D2C"/>
    <w:rsid w:val="00C072F0"/>
    <w:rsid w:val="00C07344"/>
    <w:rsid w:val="00C079A3"/>
    <w:rsid w:val="00C07C1F"/>
    <w:rsid w:val="00C07C79"/>
    <w:rsid w:val="00C11A79"/>
    <w:rsid w:val="00C1211E"/>
    <w:rsid w:val="00C12F80"/>
    <w:rsid w:val="00C13607"/>
    <w:rsid w:val="00C137B1"/>
    <w:rsid w:val="00C13811"/>
    <w:rsid w:val="00C13B43"/>
    <w:rsid w:val="00C15E81"/>
    <w:rsid w:val="00C174C9"/>
    <w:rsid w:val="00C17B6E"/>
    <w:rsid w:val="00C200BA"/>
    <w:rsid w:val="00C20748"/>
    <w:rsid w:val="00C20754"/>
    <w:rsid w:val="00C21378"/>
    <w:rsid w:val="00C220A5"/>
    <w:rsid w:val="00C22307"/>
    <w:rsid w:val="00C2299F"/>
    <w:rsid w:val="00C22BB2"/>
    <w:rsid w:val="00C22EAF"/>
    <w:rsid w:val="00C23150"/>
    <w:rsid w:val="00C24580"/>
    <w:rsid w:val="00C24908"/>
    <w:rsid w:val="00C250E8"/>
    <w:rsid w:val="00C25150"/>
    <w:rsid w:val="00C2515F"/>
    <w:rsid w:val="00C25B30"/>
    <w:rsid w:val="00C25DCF"/>
    <w:rsid w:val="00C26AEA"/>
    <w:rsid w:val="00C276EC"/>
    <w:rsid w:val="00C27C0A"/>
    <w:rsid w:val="00C305D9"/>
    <w:rsid w:val="00C31AD4"/>
    <w:rsid w:val="00C31C63"/>
    <w:rsid w:val="00C31C8C"/>
    <w:rsid w:val="00C31CD9"/>
    <w:rsid w:val="00C32481"/>
    <w:rsid w:val="00C32B39"/>
    <w:rsid w:val="00C32BCB"/>
    <w:rsid w:val="00C3394C"/>
    <w:rsid w:val="00C34581"/>
    <w:rsid w:val="00C34AD7"/>
    <w:rsid w:val="00C3516D"/>
    <w:rsid w:val="00C351E4"/>
    <w:rsid w:val="00C353D8"/>
    <w:rsid w:val="00C361A6"/>
    <w:rsid w:val="00C365C5"/>
    <w:rsid w:val="00C3670F"/>
    <w:rsid w:val="00C36E1A"/>
    <w:rsid w:val="00C371DF"/>
    <w:rsid w:val="00C37818"/>
    <w:rsid w:val="00C37C94"/>
    <w:rsid w:val="00C37EFC"/>
    <w:rsid w:val="00C37FF9"/>
    <w:rsid w:val="00C40126"/>
    <w:rsid w:val="00C4055E"/>
    <w:rsid w:val="00C41099"/>
    <w:rsid w:val="00C41425"/>
    <w:rsid w:val="00C41B4A"/>
    <w:rsid w:val="00C4213A"/>
    <w:rsid w:val="00C42C11"/>
    <w:rsid w:val="00C43344"/>
    <w:rsid w:val="00C43ADB"/>
    <w:rsid w:val="00C44949"/>
    <w:rsid w:val="00C44A87"/>
    <w:rsid w:val="00C44B4C"/>
    <w:rsid w:val="00C450E3"/>
    <w:rsid w:val="00C456CC"/>
    <w:rsid w:val="00C45830"/>
    <w:rsid w:val="00C45C56"/>
    <w:rsid w:val="00C45CCD"/>
    <w:rsid w:val="00C46734"/>
    <w:rsid w:val="00C50112"/>
    <w:rsid w:val="00C5105D"/>
    <w:rsid w:val="00C511F0"/>
    <w:rsid w:val="00C513C7"/>
    <w:rsid w:val="00C51639"/>
    <w:rsid w:val="00C53220"/>
    <w:rsid w:val="00C533A0"/>
    <w:rsid w:val="00C537E7"/>
    <w:rsid w:val="00C53AFE"/>
    <w:rsid w:val="00C53E9D"/>
    <w:rsid w:val="00C5426B"/>
    <w:rsid w:val="00C54C18"/>
    <w:rsid w:val="00C573DA"/>
    <w:rsid w:val="00C5772E"/>
    <w:rsid w:val="00C5781B"/>
    <w:rsid w:val="00C61117"/>
    <w:rsid w:val="00C616B4"/>
    <w:rsid w:val="00C621A7"/>
    <w:rsid w:val="00C62AA0"/>
    <w:rsid w:val="00C62BF2"/>
    <w:rsid w:val="00C62D1B"/>
    <w:rsid w:val="00C638A6"/>
    <w:rsid w:val="00C63FB9"/>
    <w:rsid w:val="00C641CD"/>
    <w:rsid w:val="00C64266"/>
    <w:rsid w:val="00C647DF"/>
    <w:rsid w:val="00C64F8E"/>
    <w:rsid w:val="00C65383"/>
    <w:rsid w:val="00C66306"/>
    <w:rsid w:val="00C66CE8"/>
    <w:rsid w:val="00C70074"/>
    <w:rsid w:val="00C70D51"/>
    <w:rsid w:val="00C70DF4"/>
    <w:rsid w:val="00C71252"/>
    <w:rsid w:val="00C7277F"/>
    <w:rsid w:val="00C73C07"/>
    <w:rsid w:val="00C74930"/>
    <w:rsid w:val="00C74B47"/>
    <w:rsid w:val="00C74D80"/>
    <w:rsid w:val="00C754BD"/>
    <w:rsid w:val="00C75D3A"/>
    <w:rsid w:val="00C75E10"/>
    <w:rsid w:val="00C769A9"/>
    <w:rsid w:val="00C774C9"/>
    <w:rsid w:val="00C77F1B"/>
    <w:rsid w:val="00C80987"/>
    <w:rsid w:val="00C80A3F"/>
    <w:rsid w:val="00C8180E"/>
    <w:rsid w:val="00C818A9"/>
    <w:rsid w:val="00C82436"/>
    <w:rsid w:val="00C82933"/>
    <w:rsid w:val="00C82BE2"/>
    <w:rsid w:val="00C833CC"/>
    <w:rsid w:val="00C84BBF"/>
    <w:rsid w:val="00C84BE9"/>
    <w:rsid w:val="00C85D38"/>
    <w:rsid w:val="00C85DEF"/>
    <w:rsid w:val="00C85E40"/>
    <w:rsid w:val="00C86D76"/>
    <w:rsid w:val="00C87A64"/>
    <w:rsid w:val="00C910F8"/>
    <w:rsid w:val="00C91106"/>
    <w:rsid w:val="00C9117B"/>
    <w:rsid w:val="00C91D19"/>
    <w:rsid w:val="00C93B58"/>
    <w:rsid w:val="00C93C2F"/>
    <w:rsid w:val="00C9437C"/>
    <w:rsid w:val="00C946E4"/>
    <w:rsid w:val="00C946FF"/>
    <w:rsid w:val="00C94A14"/>
    <w:rsid w:val="00C94CDA"/>
    <w:rsid w:val="00C95BED"/>
    <w:rsid w:val="00C96725"/>
    <w:rsid w:val="00C97A66"/>
    <w:rsid w:val="00CA007B"/>
    <w:rsid w:val="00CA01BB"/>
    <w:rsid w:val="00CA0AA4"/>
    <w:rsid w:val="00CA15B0"/>
    <w:rsid w:val="00CA1C71"/>
    <w:rsid w:val="00CA1D4C"/>
    <w:rsid w:val="00CA1D50"/>
    <w:rsid w:val="00CA1DAB"/>
    <w:rsid w:val="00CA20E0"/>
    <w:rsid w:val="00CA2598"/>
    <w:rsid w:val="00CA3347"/>
    <w:rsid w:val="00CA523D"/>
    <w:rsid w:val="00CA5DA9"/>
    <w:rsid w:val="00CA6E3E"/>
    <w:rsid w:val="00CA6FDA"/>
    <w:rsid w:val="00CA77CF"/>
    <w:rsid w:val="00CA7B58"/>
    <w:rsid w:val="00CB0836"/>
    <w:rsid w:val="00CB0CB9"/>
    <w:rsid w:val="00CB1413"/>
    <w:rsid w:val="00CB18D4"/>
    <w:rsid w:val="00CB2518"/>
    <w:rsid w:val="00CB3920"/>
    <w:rsid w:val="00CB49CB"/>
    <w:rsid w:val="00CB4C4C"/>
    <w:rsid w:val="00CB6413"/>
    <w:rsid w:val="00CB696F"/>
    <w:rsid w:val="00CB6A00"/>
    <w:rsid w:val="00CB7097"/>
    <w:rsid w:val="00CB77F4"/>
    <w:rsid w:val="00CB780D"/>
    <w:rsid w:val="00CC0F1C"/>
    <w:rsid w:val="00CC1983"/>
    <w:rsid w:val="00CC259D"/>
    <w:rsid w:val="00CC299A"/>
    <w:rsid w:val="00CC3039"/>
    <w:rsid w:val="00CC32B7"/>
    <w:rsid w:val="00CC36DE"/>
    <w:rsid w:val="00CC4498"/>
    <w:rsid w:val="00CC4ACB"/>
    <w:rsid w:val="00CC4D38"/>
    <w:rsid w:val="00CC4F99"/>
    <w:rsid w:val="00CC5CDC"/>
    <w:rsid w:val="00CC5FC3"/>
    <w:rsid w:val="00CC6369"/>
    <w:rsid w:val="00CC6576"/>
    <w:rsid w:val="00CC65D6"/>
    <w:rsid w:val="00CC69E2"/>
    <w:rsid w:val="00CC73F3"/>
    <w:rsid w:val="00CC7B85"/>
    <w:rsid w:val="00CD081C"/>
    <w:rsid w:val="00CD14DA"/>
    <w:rsid w:val="00CD1B5A"/>
    <w:rsid w:val="00CD1E9C"/>
    <w:rsid w:val="00CD2777"/>
    <w:rsid w:val="00CD27DB"/>
    <w:rsid w:val="00CD2AB5"/>
    <w:rsid w:val="00CD2E70"/>
    <w:rsid w:val="00CD386B"/>
    <w:rsid w:val="00CD3D06"/>
    <w:rsid w:val="00CD4A09"/>
    <w:rsid w:val="00CD4C67"/>
    <w:rsid w:val="00CD4C7B"/>
    <w:rsid w:val="00CD5397"/>
    <w:rsid w:val="00CD5E93"/>
    <w:rsid w:val="00CE0C7A"/>
    <w:rsid w:val="00CE15AE"/>
    <w:rsid w:val="00CE1CFC"/>
    <w:rsid w:val="00CE235A"/>
    <w:rsid w:val="00CE37A3"/>
    <w:rsid w:val="00CE3814"/>
    <w:rsid w:val="00CE4AC7"/>
    <w:rsid w:val="00CE56B7"/>
    <w:rsid w:val="00CE6660"/>
    <w:rsid w:val="00CE6855"/>
    <w:rsid w:val="00CE6B6F"/>
    <w:rsid w:val="00CE7033"/>
    <w:rsid w:val="00CE7075"/>
    <w:rsid w:val="00CE770A"/>
    <w:rsid w:val="00CF02A6"/>
    <w:rsid w:val="00CF05A6"/>
    <w:rsid w:val="00CF06CF"/>
    <w:rsid w:val="00CF101C"/>
    <w:rsid w:val="00CF15C5"/>
    <w:rsid w:val="00CF2DC1"/>
    <w:rsid w:val="00CF2EE2"/>
    <w:rsid w:val="00CF3948"/>
    <w:rsid w:val="00CF3ACF"/>
    <w:rsid w:val="00CF441D"/>
    <w:rsid w:val="00CF4FCF"/>
    <w:rsid w:val="00CF4FDC"/>
    <w:rsid w:val="00CF53F2"/>
    <w:rsid w:val="00CF56AF"/>
    <w:rsid w:val="00CF5BE0"/>
    <w:rsid w:val="00CF5BF1"/>
    <w:rsid w:val="00CF6001"/>
    <w:rsid w:val="00CF6120"/>
    <w:rsid w:val="00CF61CB"/>
    <w:rsid w:val="00CF666F"/>
    <w:rsid w:val="00CF686F"/>
    <w:rsid w:val="00CF6CA7"/>
    <w:rsid w:val="00CF6E7D"/>
    <w:rsid w:val="00D00175"/>
    <w:rsid w:val="00D00223"/>
    <w:rsid w:val="00D0045E"/>
    <w:rsid w:val="00D007F4"/>
    <w:rsid w:val="00D008D8"/>
    <w:rsid w:val="00D00DBF"/>
    <w:rsid w:val="00D0149B"/>
    <w:rsid w:val="00D01F5D"/>
    <w:rsid w:val="00D01FA9"/>
    <w:rsid w:val="00D03DBE"/>
    <w:rsid w:val="00D03EED"/>
    <w:rsid w:val="00D040EC"/>
    <w:rsid w:val="00D0597D"/>
    <w:rsid w:val="00D06274"/>
    <w:rsid w:val="00D066D8"/>
    <w:rsid w:val="00D07FB9"/>
    <w:rsid w:val="00D11949"/>
    <w:rsid w:val="00D11A69"/>
    <w:rsid w:val="00D12C98"/>
    <w:rsid w:val="00D12FFC"/>
    <w:rsid w:val="00D13CA3"/>
    <w:rsid w:val="00D1484F"/>
    <w:rsid w:val="00D14BA0"/>
    <w:rsid w:val="00D14D7B"/>
    <w:rsid w:val="00D1516D"/>
    <w:rsid w:val="00D158B0"/>
    <w:rsid w:val="00D1707A"/>
    <w:rsid w:val="00D17CC2"/>
    <w:rsid w:val="00D20EED"/>
    <w:rsid w:val="00D21435"/>
    <w:rsid w:val="00D2242C"/>
    <w:rsid w:val="00D224FA"/>
    <w:rsid w:val="00D23033"/>
    <w:rsid w:val="00D2402F"/>
    <w:rsid w:val="00D245C2"/>
    <w:rsid w:val="00D2464E"/>
    <w:rsid w:val="00D25660"/>
    <w:rsid w:val="00D2569B"/>
    <w:rsid w:val="00D258EB"/>
    <w:rsid w:val="00D25AEB"/>
    <w:rsid w:val="00D271CD"/>
    <w:rsid w:val="00D278A0"/>
    <w:rsid w:val="00D3064E"/>
    <w:rsid w:val="00D30E00"/>
    <w:rsid w:val="00D315CC"/>
    <w:rsid w:val="00D31DDA"/>
    <w:rsid w:val="00D32067"/>
    <w:rsid w:val="00D327A3"/>
    <w:rsid w:val="00D34C82"/>
    <w:rsid w:val="00D36550"/>
    <w:rsid w:val="00D379EC"/>
    <w:rsid w:val="00D37C94"/>
    <w:rsid w:val="00D40D88"/>
    <w:rsid w:val="00D41E42"/>
    <w:rsid w:val="00D41F6B"/>
    <w:rsid w:val="00D42380"/>
    <w:rsid w:val="00D42C9B"/>
    <w:rsid w:val="00D4348D"/>
    <w:rsid w:val="00D436D7"/>
    <w:rsid w:val="00D44E42"/>
    <w:rsid w:val="00D44FC3"/>
    <w:rsid w:val="00D450E2"/>
    <w:rsid w:val="00D453D7"/>
    <w:rsid w:val="00D4552D"/>
    <w:rsid w:val="00D45DE4"/>
    <w:rsid w:val="00D462D6"/>
    <w:rsid w:val="00D474AB"/>
    <w:rsid w:val="00D4754E"/>
    <w:rsid w:val="00D50460"/>
    <w:rsid w:val="00D50961"/>
    <w:rsid w:val="00D50A02"/>
    <w:rsid w:val="00D512A1"/>
    <w:rsid w:val="00D518D6"/>
    <w:rsid w:val="00D52AB4"/>
    <w:rsid w:val="00D52F26"/>
    <w:rsid w:val="00D531F5"/>
    <w:rsid w:val="00D538C1"/>
    <w:rsid w:val="00D538D5"/>
    <w:rsid w:val="00D53B5C"/>
    <w:rsid w:val="00D54640"/>
    <w:rsid w:val="00D55455"/>
    <w:rsid w:val="00D559B5"/>
    <w:rsid w:val="00D56420"/>
    <w:rsid w:val="00D5658A"/>
    <w:rsid w:val="00D56A94"/>
    <w:rsid w:val="00D56C0C"/>
    <w:rsid w:val="00D56F9E"/>
    <w:rsid w:val="00D570B4"/>
    <w:rsid w:val="00D5798B"/>
    <w:rsid w:val="00D60736"/>
    <w:rsid w:val="00D6170E"/>
    <w:rsid w:val="00D61972"/>
    <w:rsid w:val="00D61B58"/>
    <w:rsid w:val="00D6307D"/>
    <w:rsid w:val="00D6362B"/>
    <w:rsid w:val="00D63632"/>
    <w:rsid w:val="00D63732"/>
    <w:rsid w:val="00D63925"/>
    <w:rsid w:val="00D6405D"/>
    <w:rsid w:val="00D6568E"/>
    <w:rsid w:val="00D65893"/>
    <w:rsid w:val="00D658EC"/>
    <w:rsid w:val="00D65AFF"/>
    <w:rsid w:val="00D65B42"/>
    <w:rsid w:val="00D6684E"/>
    <w:rsid w:val="00D6742A"/>
    <w:rsid w:val="00D67B9B"/>
    <w:rsid w:val="00D71733"/>
    <w:rsid w:val="00D718AC"/>
    <w:rsid w:val="00D719A3"/>
    <w:rsid w:val="00D71E7A"/>
    <w:rsid w:val="00D729C3"/>
    <w:rsid w:val="00D72DE7"/>
    <w:rsid w:val="00D7302F"/>
    <w:rsid w:val="00D73BB2"/>
    <w:rsid w:val="00D74575"/>
    <w:rsid w:val="00D74D14"/>
    <w:rsid w:val="00D74F3B"/>
    <w:rsid w:val="00D752E7"/>
    <w:rsid w:val="00D7574B"/>
    <w:rsid w:val="00D75843"/>
    <w:rsid w:val="00D75E82"/>
    <w:rsid w:val="00D76270"/>
    <w:rsid w:val="00D767C6"/>
    <w:rsid w:val="00D769C5"/>
    <w:rsid w:val="00D76E76"/>
    <w:rsid w:val="00D77891"/>
    <w:rsid w:val="00D77B63"/>
    <w:rsid w:val="00D80631"/>
    <w:rsid w:val="00D818EC"/>
    <w:rsid w:val="00D81A20"/>
    <w:rsid w:val="00D81F55"/>
    <w:rsid w:val="00D8321A"/>
    <w:rsid w:val="00D83F57"/>
    <w:rsid w:val="00D84A86"/>
    <w:rsid w:val="00D85152"/>
    <w:rsid w:val="00D85F2C"/>
    <w:rsid w:val="00D861BD"/>
    <w:rsid w:val="00D86D55"/>
    <w:rsid w:val="00D8789C"/>
    <w:rsid w:val="00D8789D"/>
    <w:rsid w:val="00D87B3F"/>
    <w:rsid w:val="00D9003D"/>
    <w:rsid w:val="00D90558"/>
    <w:rsid w:val="00D9082F"/>
    <w:rsid w:val="00D90C79"/>
    <w:rsid w:val="00D914EB"/>
    <w:rsid w:val="00D91B36"/>
    <w:rsid w:val="00D9305B"/>
    <w:rsid w:val="00D94085"/>
    <w:rsid w:val="00D944D2"/>
    <w:rsid w:val="00D949A0"/>
    <w:rsid w:val="00D96D4F"/>
    <w:rsid w:val="00DA1806"/>
    <w:rsid w:val="00DA1BD1"/>
    <w:rsid w:val="00DA212B"/>
    <w:rsid w:val="00DA3A76"/>
    <w:rsid w:val="00DA5048"/>
    <w:rsid w:val="00DA5713"/>
    <w:rsid w:val="00DA5EB9"/>
    <w:rsid w:val="00DA63DC"/>
    <w:rsid w:val="00DA6856"/>
    <w:rsid w:val="00DA6D6D"/>
    <w:rsid w:val="00DA71F7"/>
    <w:rsid w:val="00DA73C1"/>
    <w:rsid w:val="00DA7457"/>
    <w:rsid w:val="00DA770D"/>
    <w:rsid w:val="00DA77A8"/>
    <w:rsid w:val="00DA7851"/>
    <w:rsid w:val="00DA7DC1"/>
    <w:rsid w:val="00DB00EE"/>
    <w:rsid w:val="00DB0132"/>
    <w:rsid w:val="00DB2754"/>
    <w:rsid w:val="00DB2D88"/>
    <w:rsid w:val="00DB3687"/>
    <w:rsid w:val="00DB38D1"/>
    <w:rsid w:val="00DB41CB"/>
    <w:rsid w:val="00DB5114"/>
    <w:rsid w:val="00DB681B"/>
    <w:rsid w:val="00DB7E24"/>
    <w:rsid w:val="00DC0445"/>
    <w:rsid w:val="00DC115F"/>
    <w:rsid w:val="00DC19CF"/>
    <w:rsid w:val="00DC2082"/>
    <w:rsid w:val="00DC225F"/>
    <w:rsid w:val="00DC2883"/>
    <w:rsid w:val="00DC2C2D"/>
    <w:rsid w:val="00DC2C48"/>
    <w:rsid w:val="00DC46B5"/>
    <w:rsid w:val="00DC4B28"/>
    <w:rsid w:val="00DC4B5D"/>
    <w:rsid w:val="00DC525E"/>
    <w:rsid w:val="00DC535C"/>
    <w:rsid w:val="00DC5DCB"/>
    <w:rsid w:val="00DC6C0D"/>
    <w:rsid w:val="00DC75E7"/>
    <w:rsid w:val="00DD074A"/>
    <w:rsid w:val="00DD0D70"/>
    <w:rsid w:val="00DD1941"/>
    <w:rsid w:val="00DD26A5"/>
    <w:rsid w:val="00DD2812"/>
    <w:rsid w:val="00DD34F2"/>
    <w:rsid w:val="00DD3C6B"/>
    <w:rsid w:val="00DD54ED"/>
    <w:rsid w:val="00DD63BD"/>
    <w:rsid w:val="00DD697F"/>
    <w:rsid w:val="00DD699C"/>
    <w:rsid w:val="00DD739F"/>
    <w:rsid w:val="00DD7631"/>
    <w:rsid w:val="00DD7762"/>
    <w:rsid w:val="00DD781E"/>
    <w:rsid w:val="00DD7A2C"/>
    <w:rsid w:val="00DD7F63"/>
    <w:rsid w:val="00DE0A1B"/>
    <w:rsid w:val="00DE1238"/>
    <w:rsid w:val="00DE1966"/>
    <w:rsid w:val="00DE1FFE"/>
    <w:rsid w:val="00DE2F9E"/>
    <w:rsid w:val="00DE31B1"/>
    <w:rsid w:val="00DE32E7"/>
    <w:rsid w:val="00DE3374"/>
    <w:rsid w:val="00DE3BB8"/>
    <w:rsid w:val="00DE40EB"/>
    <w:rsid w:val="00DE5117"/>
    <w:rsid w:val="00DE51F6"/>
    <w:rsid w:val="00DE5648"/>
    <w:rsid w:val="00DE5653"/>
    <w:rsid w:val="00DE568A"/>
    <w:rsid w:val="00DE56B7"/>
    <w:rsid w:val="00DE595E"/>
    <w:rsid w:val="00DE5CD9"/>
    <w:rsid w:val="00DE6A70"/>
    <w:rsid w:val="00DE70B5"/>
    <w:rsid w:val="00DE7113"/>
    <w:rsid w:val="00DF00F9"/>
    <w:rsid w:val="00DF0576"/>
    <w:rsid w:val="00DF13A0"/>
    <w:rsid w:val="00DF1981"/>
    <w:rsid w:val="00DF1D07"/>
    <w:rsid w:val="00DF1E89"/>
    <w:rsid w:val="00DF2144"/>
    <w:rsid w:val="00DF24D9"/>
    <w:rsid w:val="00DF2EA5"/>
    <w:rsid w:val="00DF310B"/>
    <w:rsid w:val="00DF3E47"/>
    <w:rsid w:val="00DF56E8"/>
    <w:rsid w:val="00DF5C01"/>
    <w:rsid w:val="00DF6655"/>
    <w:rsid w:val="00DF6EB6"/>
    <w:rsid w:val="00DF7133"/>
    <w:rsid w:val="00DF722A"/>
    <w:rsid w:val="00DF764C"/>
    <w:rsid w:val="00DF7FBF"/>
    <w:rsid w:val="00E00108"/>
    <w:rsid w:val="00E00BB4"/>
    <w:rsid w:val="00E00CAA"/>
    <w:rsid w:val="00E01441"/>
    <w:rsid w:val="00E01682"/>
    <w:rsid w:val="00E01D4A"/>
    <w:rsid w:val="00E02F4B"/>
    <w:rsid w:val="00E03D04"/>
    <w:rsid w:val="00E04332"/>
    <w:rsid w:val="00E043BB"/>
    <w:rsid w:val="00E047A0"/>
    <w:rsid w:val="00E04ECF"/>
    <w:rsid w:val="00E0502A"/>
    <w:rsid w:val="00E0584C"/>
    <w:rsid w:val="00E05902"/>
    <w:rsid w:val="00E067C4"/>
    <w:rsid w:val="00E06A36"/>
    <w:rsid w:val="00E074C9"/>
    <w:rsid w:val="00E07EAD"/>
    <w:rsid w:val="00E1198B"/>
    <w:rsid w:val="00E125FB"/>
    <w:rsid w:val="00E126B2"/>
    <w:rsid w:val="00E127E3"/>
    <w:rsid w:val="00E13E8F"/>
    <w:rsid w:val="00E14818"/>
    <w:rsid w:val="00E148E8"/>
    <w:rsid w:val="00E1610C"/>
    <w:rsid w:val="00E162BD"/>
    <w:rsid w:val="00E16660"/>
    <w:rsid w:val="00E16C78"/>
    <w:rsid w:val="00E16D73"/>
    <w:rsid w:val="00E17296"/>
    <w:rsid w:val="00E17833"/>
    <w:rsid w:val="00E17981"/>
    <w:rsid w:val="00E17CD2"/>
    <w:rsid w:val="00E17E36"/>
    <w:rsid w:val="00E201F2"/>
    <w:rsid w:val="00E206D8"/>
    <w:rsid w:val="00E20A87"/>
    <w:rsid w:val="00E2113A"/>
    <w:rsid w:val="00E21C65"/>
    <w:rsid w:val="00E2307E"/>
    <w:rsid w:val="00E2352B"/>
    <w:rsid w:val="00E23E84"/>
    <w:rsid w:val="00E23F9B"/>
    <w:rsid w:val="00E24D23"/>
    <w:rsid w:val="00E26285"/>
    <w:rsid w:val="00E26649"/>
    <w:rsid w:val="00E2703D"/>
    <w:rsid w:val="00E271F9"/>
    <w:rsid w:val="00E27F0A"/>
    <w:rsid w:val="00E30712"/>
    <w:rsid w:val="00E309B0"/>
    <w:rsid w:val="00E30E67"/>
    <w:rsid w:val="00E32143"/>
    <w:rsid w:val="00E325F3"/>
    <w:rsid w:val="00E326E9"/>
    <w:rsid w:val="00E32B61"/>
    <w:rsid w:val="00E33106"/>
    <w:rsid w:val="00E345C2"/>
    <w:rsid w:val="00E34D99"/>
    <w:rsid w:val="00E352C3"/>
    <w:rsid w:val="00E35476"/>
    <w:rsid w:val="00E355C0"/>
    <w:rsid w:val="00E359A5"/>
    <w:rsid w:val="00E35C28"/>
    <w:rsid w:val="00E372F7"/>
    <w:rsid w:val="00E37431"/>
    <w:rsid w:val="00E37DC0"/>
    <w:rsid w:val="00E37E0A"/>
    <w:rsid w:val="00E37EC6"/>
    <w:rsid w:val="00E40432"/>
    <w:rsid w:val="00E40850"/>
    <w:rsid w:val="00E40D52"/>
    <w:rsid w:val="00E41187"/>
    <w:rsid w:val="00E411B3"/>
    <w:rsid w:val="00E41585"/>
    <w:rsid w:val="00E41F94"/>
    <w:rsid w:val="00E421ED"/>
    <w:rsid w:val="00E4220D"/>
    <w:rsid w:val="00E4231E"/>
    <w:rsid w:val="00E4279A"/>
    <w:rsid w:val="00E429ED"/>
    <w:rsid w:val="00E43894"/>
    <w:rsid w:val="00E44AC7"/>
    <w:rsid w:val="00E4565D"/>
    <w:rsid w:val="00E45B2D"/>
    <w:rsid w:val="00E468F2"/>
    <w:rsid w:val="00E47A20"/>
    <w:rsid w:val="00E5084C"/>
    <w:rsid w:val="00E50871"/>
    <w:rsid w:val="00E50AD9"/>
    <w:rsid w:val="00E50B4C"/>
    <w:rsid w:val="00E512FE"/>
    <w:rsid w:val="00E52063"/>
    <w:rsid w:val="00E528BE"/>
    <w:rsid w:val="00E53533"/>
    <w:rsid w:val="00E537ED"/>
    <w:rsid w:val="00E5384D"/>
    <w:rsid w:val="00E53F2E"/>
    <w:rsid w:val="00E54004"/>
    <w:rsid w:val="00E546C9"/>
    <w:rsid w:val="00E54BB9"/>
    <w:rsid w:val="00E54D3F"/>
    <w:rsid w:val="00E55F1F"/>
    <w:rsid w:val="00E56735"/>
    <w:rsid w:val="00E56866"/>
    <w:rsid w:val="00E56904"/>
    <w:rsid w:val="00E57DFD"/>
    <w:rsid w:val="00E60423"/>
    <w:rsid w:val="00E60545"/>
    <w:rsid w:val="00E607E5"/>
    <w:rsid w:val="00E60A16"/>
    <w:rsid w:val="00E610CB"/>
    <w:rsid w:val="00E6125B"/>
    <w:rsid w:val="00E6170A"/>
    <w:rsid w:val="00E62617"/>
    <w:rsid w:val="00E62816"/>
    <w:rsid w:val="00E62ADF"/>
    <w:rsid w:val="00E62FA7"/>
    <w:rsid w:val="00E637A3"/>
    <w:rsid w:val="00E659FD"/>
    <w:rsid w:val="00E65B0C"/>
    <w:rsid w:val="00E66B16"/>
    <w:rsid w:val="00E66BA2"/>
    <w:rsid w:val="00E677DB"/>
    <w:rsid w:val="00E700F8"/>
    <w:rsid w:val="00E71C2D"/>
    <w:rsid w:val="00E7266C"/>
    <w:rsid w:val="00E72BB6"/>
    <w:rsid w:val="00E72CD0"/>
    <w:rsid w:val="00E730AC"/>
    <w:rsid w:val="00E7310C"/>
    <w:rsid w:val="00E733ED"/>
    <w:rsid w:val="00E734CE"/>
    <w:rsid w:val="00E73D33"/>
    <w:rsid w:val="00E750CB"/>
    <w:rsid w:val="00E778DC"/>
    <w:rsid w:val="00E80336"/>
    <w:rsid w:val="00E80D00"/>
    <w:rsid w:val="00E815CE"/>
    <w:rsid w:val="00E81611"/>
    <w:rsid w:val="00E81800"/>
    <w:rsid w:val="00E81863"/>
    <w:rsid w:val="00E81C42"/>
    <w:rsid w:val="00E81C5C"/>
    <w:rsid w:val="00E81FDB"/>
    <w:rsid w:val="00E82064"/>
    <w:rsid w:val="00E82B6E"/>
    <w:rsid w:val="00E82DC6"/>
    <w:rsid w:val="00E8347E"/>
    <w:rsid w:val="00E835C5"/>
    <w:rsid w:val="00E83ACD"/>
    <w:rsid w:val="00E83CF9"/>
    <w:rsid w:val="00E83D4B"/>
    <w:rsid w:val="00E848F0"/>
    <w:rsid w:val="00E84D1C"/>
    <w:rsid w:val="00E84D9C"/>
    <w:rsid w:val="00E85069"/>
    <w:rsid w:val="00E8628F"/>
    <w:rsid w:val="00E86888"/>
    <w:rsid w:val="00E9230F"/>
    <w:rsid w:val="00E92C96"/>
    <w:rsid w:val="00E942B8"/>
    <w:rsid w:val="00E944ED"/>
    <w:rsid w:val="00E945AF"/>
    <w:rsid w:val="00E94A0B"/>
    <w:rsid w:val="00E94A2C"/>
    <w:rsid w:val="00E9544C"/>
    <w:rsid w:val="00E95799"/>
    <w:rsid w:val="00E95D0B"/>
    <w:rsid w:val="00E95D93"/>
    <w:rsid w:val="00E9683D"/>
    <w:rsid w:val="00E970B7"/>
    <w:rsid w:val="00E97AD1"/>
    <w:rsid w:val="00E97D95"/>
    <w:rsid w:val="00EA0035"/>
    <w:rsid w:val="00EA010D"/>
    <w:rsid w:val="00EA04C5"/>
    <w:rsid w:val="00EA0507"/>
    <w:rsid w:val="00EA0BB5"/>
    <w:rsid w:val="00EA1A8A"/>
    <w:rsid w:val="00EA21FA"/>
    <w:rsid w:val="00EA25EB"/>
    <w:rsid w:val="00EA26D5"/>
    <w:rsid w:val="00EA2775"/>
    <w:rsid w:val="00EA305D"/>
    <w:rsid w:val="00EA3106"/>
    <w:rsid w:val="00EA3874"/>
    <w:rsid w:val="00EA5AB6"/>
    <w:rsid w:val="00EA5FB0"/>
    <w:rsid w:val="00EA612E"/>
    <w:rsid w:val="00EA7522"/>
    <w:rsid w:val="00EA761C"/>
    <w:rsid w:val="00EA7D7F"/>
    <w:rsid w:val="00EA7E73"/>
    <w:rsid w:val="00EB0810"/>
    <w:rsid w:val="00EB0B5F"/>
    <w:rsid w:val="00EB100A"/>
    <w:rsid w:val="00EB1B7C"/>
    <w:rsid w:val="00EB1CF7"/>
    <w:rsid w:val="00EB25C2"/>
    <w:rsid w:val="00EB26A5"/>
    <w:rsid w:val="00EB2B6F"/>
    <w:rsid w:val="00EB2CAD"/>
    <w:rsid w:val="00EB2FA2"/>
    <w:rsid w:val="00EB3272"/>
    <w:rsid w:val="00EB37B2"/>
    <w:rsid w:val="00EB3FF9"/>
    <w:rsid w:val="00EB4044"/>
    <w:rsid w:val="00EB516F"/>
    <w:rsid w:val="00EB5F0B"/>
    <w:rsid w:val="00EB7352"/>
    <w:rsid w:val="00EB769A"/>
    <w:rsid w:val="00EC11E4"/>
    <w:rsid w:val="00EC14E1"/>
    <w:rsid w:val="00EC19F3"/>
    <w:rsid w:val="00EC2A3F"/>
    <w:rsid w:val="00EC2E64"/>
    <w:rsid w:val="00EC3A35"/>
    <w:rsid w:val="00EC3C52"/>
    <w:rsid w:val="00EC3E5B"/>
    <w:rsid w:val="00EC3E69"/>
    <w:rsid w:val="00EC41A7"/>
    <w:rsid w:val="00EC4257"/>
    <w:rsid w:val="00EC5554"/>
    <w:rsid w:val="00EC572B"/>
    <w:rsid w:val="00EC5B8E"/>
    <w:rsid w:val="00EC7356"/>
    <w:rsid w:val="00EC75F6"/>
    <w:rsid w:val="00ED0065"/>
    <w:rsid w:val="00ED02D1"/>
    <w:rsid w:val="00ED17B5"/>
    <w:rsid w:val="00ED1BA0"/>
    <w:rsid w:val="00ED1D2D"/>
    <w:rsid w:val="00ED353D"/>
    <w:rsid w:val="00ED588C"/>
    <w:rsid w:val="00ED6E7A"/>
    <w:rsid w:val="00ED6EA1"/>
    <w:rsid w:val="00ED7A7F"/>
    <w:rsid w:val="00EE060B"/>
    <w:rsid w:val="00EE07AC"/>
    <w:rsid w:val="00EE0891"/>
    <w:rsid w:val="00EE1062"/>
    <w:rsid w:val="00EE17F2"/>
    <w:rsid w:val="00EE188A"/>
    <w:rsid w:val="00EE1B01"/>
    <w:rsid w:val="00EE1C62"/>
    <w:rsid w:val="00EE1DB8"/>
    <w:rsid w:val="00EE2746"/>
    <w:rsid w:val="00EE322F"/>
    <w:rsid w:val="00EE3256"/>
    <w:rsid w:val="00EE4397"/>
    <w:rsid w:val="00EE4759"/>
    <w:rsid w:val="00EE4C20"/>
    <w:rsid w:val="00EE4F2D"/>
    <w:rsid w:val="00EE524C"/>
    <w:rsid w:val="00EE6755"/>
    <w:rsid w:val="00EE6832"/>
    <w:rsid w:val="00EE78D6"/>
    <w:rsid w:val="00EF03DC"/>
    <w:rsid w:val="00EF0437"/>
    <w:rsid w:val="00EF0BFE"/>
    <w:rsid w:val="00EF1580"/>
    <w:rsid w:val="00EF1A16"/>
    <w:rsid w:val="00EF1DE8"/>
    <w:rsid w:val="00EF2AC7"/>
    <w:rsid w:val="00EF3397"/>
    <w:rsid w:val="00EF3722"/>
    <w:rsid w:val="00EF40BF"/>
    <w:rsid w:val="00EF4557"/>
    <w:rsid w:val="00EF493F"/>
    <w:rsid w:val="00EF5947"/>
    <w:rsid w:val="00EF5E22"/>
    <w:rsid w:val="00EF60AA"/>
    <w:rsid w:val="00EF60CA"/>
    <w:rsid w:val="00EF63C1"/>
    <w:rsid w:val="00EF6557"/>
    <w:rsid w:val="00EF69B7"/>
    <w:rsid w:val="00EF6C2B"/>
    <w:rsid w:val="00F00059"/>
    <w:rsid w:val="00F008BD"/>
    <w:rsid w:val="00F021A9"/>
    <w:rsid w:val="00F02C54"/>
    <w:rsid w:val="00F02CD0"/>
    <w:rsid w:val="00F02D03"/>
    <w:rsid w:val="00F035DB"/>
    <w:rsid w:val="00F0448C"/>
    <w:rsid w:val="00F0553C"/>
    <w:rsid w:val="00F06BA7"/>
    <w:rsid w:val="00F06C50"/>
    <w:rsid w:val="00F071BA"/>
    <w:rsid w:val="00F1284F"/>
    <w:rsid w:val="00F136A4"/>
    <w:rsid w:val="00F1377B"/>
    <w:rsid w:val="00F13C5E"/>
    <w:rsid w:val="00F14108"/>
    <w:rsid w:val="00F148D5"/>
    <w:rsid w:val="00F1601A"/>
    <w:rsid w:val="00F160BF"/>
    <w:rsid w:val="00F16173"/>
    <w:rsid w:val="00F1675C"/>
    <w:rsid w:val="00F16A3C"/>
    <w:rsid w:val="00F17428"/>
    <w:rsid w:val="00F1765A"/>
    <w:rsid w:val="00F20046"/>
    <w:rsid w:val="00F20CC1"/>
    <w:rsid w:val="00F20D22"/>
    <w:rsid w:val="00F21A58"/>
    <w:rsid w:val="00F2302A"/>
    <w:rsid w:val="00F23048"/>
    <w:rsid w:val="00F239CD"/>
    <w:rsid w:val="00F23DCC"/>
    <w:rsid w:val="00F24294"/>
    <w:rsid w:val="00F2477C"/>
    <w:rsid w:val="00F24E5D"/>
    <w:rsid w:val="00F24EBB"/>
    <w:rsid w:val="00F27696"/>
    <w:rsid w:val="00F2777F"/>
    <w:rsid w:val="00F27F06"/>
    <w:rsid w:val="00F314E8"/>
    <w:rsid w:val="00F316A2"/>
    <w:rsid w:val="00F323A2"/>
    <w:rsid w:val="00F323BF"/>
    <w:rsid w:val="00F332D4"/>
    <w:rsid w:val="00F33B57"/>
    <w:rsid w:val="00F33CA8"/>
    <w:rsid w:val="00F33D5C"/>
    <w:rsid w:val="00F356D6"/>
    <w:rsid w:val="00F372DB"/>
    <w:rsid w:val="00F3785D"/>
    <w:rsid w:val="00F378BE"/>
    <w:rsid w:val="00F37D37"/>
    <w:rsid w:val="00F400E3"/>
    <w:rsid w:val="00F4021A"/>
    <w:rsid w:val="00F40876"/>
    <w:rsid w:val="00F4363B"/>
    <w:rsid w:val="00F44642"/>
    <w:rsid w:val="00F454A2"/>
    <w:rsid w:val="00F45E89"/>
    <w:rsid w:val="00F47845"/>
    <w:rsid w:val="00F47B6C"/>
    <w:rsid w:val="00F50039"/>
    <w:rsid w:val="00F50675"/>
    <w:rsid w:val="00F5071D"/>
    <w:rsid w:val="00F50901"/>
    <w:rsid w:val="00F50BD6"/>
    <w:rsid w:val="00F50E16"/>
    <w:rsid w:val="00F513B2"/>
    <w:rsid w:val="00F51520"/>
    <w:rsid w:val="00F52140"/>
    <w:rsid w:val="00F521E4"/>
    <w:rsid w:val="00F52CCE"/>
    <w:rsid w:val="00F53151"/>
    <w:rsid w:val="00F535A9"/>
    <w:rsid w:val="00F53F92"/>
    <w:rsid w:val="00F5480F"/>
    <w:rsid w:val="00F54AA5"/>
    <w:rsid w:val="00F552F7"/>
    <w:rsid w:val="00F553A7"/>
    <w:rsid w:val="00F554EB"/>
    <w:rsid w:val="00F555B7"/>
    <w:rsid w:val="00F5562D"/>
    <w:rsid w:val="00F55BC7"/>
    <w:rsid w:val="00F566EA"/>
    <w:rsid w:val="00F567A4"/>
    <w:rsid w:val="00F5715A"/>
    <w:rsid w:val="00F578EB"/>
    <w:rsid w:val="00F605BE"/>
    <w:rsid w:val="00F60AF6"/>
    <w:rsid w:val="00F60DDC"/>
    <w:rsid w:val="00F610A9"/>
    <w:rsid w:val="00F617BE"/>
    <w:rsid w:val="00F61C7A"/>
    <w:rsid w:val="00F625F7"/>
    <w:rsid w:val="00F64702"/>
    <w:rsid w:val="00F64D5A"/>
    <w:rsid w:val="00F65399"/>
    <w:rsid w:val="00F65B68"/>
    <w:rsid w:val="00F65C22"/>
    <w:rsid w:val="00F65EC9"/>
    <w:rsid w:val="00F66CB1"/>
    <w:rsid w:val="00F672BD"/>
    <w:rsid w:val="00F67E15"/>
    <w:rsid w:val="00F67FCA"/>
    <w:rsid w:val="00F70815"/>
    <w:rsid w:val="00F709F4"/>
    <w:rsid w:val="00F71019"/>
    <w:rsid w:val="00F710A9"/>
    <w:rsid w:val="00F7284D"/>
    <w:rsid w:val="00F72CFE"/>
    <w:rsid w:val="00F72FB0"/>
    <w:rsid w:val="00F73423"/>
    <w:rsid w:val="00F7365E"/>
    <w:rsid w:val="00F737A4"/>
    <w:rsid w:val="00F73950"/>
    <w:rsid w:val="00F75481"/>
    <w:rsid w:val="00F76664"/>
    <w:rsid w:val="00F76A4C"/>
    <w:rsid w:val="00F76AB3"/>
    <w:rsid w:val="00F76E8F"/>
    <w:rsid w:val="00F77196"/>
    <w:rsid w:val="00F816A4"/>
    <w:rsid w:val="00F81AE9"/>
    <w:rsid w:val="00F82C78"/>
    <w:rsid w:val="00F82E2E"/>
    <w:rsid w:val="00F83186"/>
    <w:rsid w:val="00F83601"/>
    <w:rsid w:val="00F837E6"/>
    <w:rsid w:val="00F8389A"/>
    <w:rsid w:val="00F83AE9"/>
    <w:rsid w:val="00F83EC8"/>
    <w:rsid w:val="00F843D4"/>
    <w:rsid w:val="00F84A40"/>
    <w:rsid w:val="00F84B50"/>
    <w:rsid w:val="00F84DBD"/>
    <w:rsid w:val="00F8516E"/>
    <w:rsid w:val="00F852E5"/>
    <w:rsid w:val="00F85C0D"/>
    <w:rsid w:val="00F86741"/>
    <w:rsid w:val="00F86796"/>
    <w:rsid w:val="00F87C3F"/>
    <w:rsid w:val="00F87C5B"/>
    <w:rsid w:val="00F87FEA"/>
    <w:rsid w:val="00F9017F"/>
    <w:rsid w:val="00F90613"/>
    <w:rsid w:val="00F906F4"/>
    <w:rsid w:val="00F915F3"/>
    <w:rsid w:val="00F91800"/>
    <w:rsid w:val="00F91853"/>
    <w:rsid w:val="00F91987"/>
    <w:rsid w:val="00F9208E"/>
    <w:rsid w:val="00F92571"/>
    <w:rsid w:val="00F93B2F"/>
    <w:rsid w:val="00F93CAE"/>
    <w:rsid w:val="00F954E4"/>
    <w:rsid w:val="00F95CCE"/>
    <w:rsid w:val="00F9692D"/>
    <w:rsid w:val="00F978BE"/>
    <w:rsid w:val="00F97D7B"/>
    <w:rsid w:val="00FA0013"/>
    <w:rsid w:val="00FA0154"/>
    <w:rsid w:val="00FA0288"/>
    <w:rsid w:val="00FA0C62"/>
    <w:rsid w:val="00FA0F71"/>
    <w:rsid w:val="00FA23E2"/>
    <w:rsid w:val="00FA26BC"/>
    <w:rsid w:val="00FA3A97"/>
    <w:rsid w:val="00FA3AEA"/>
    <w:rsid w:val="00FA4219"/>
    <w:rsid w:val="00FA48C7"/>
    <w:rsid w:val="00FA54FF"/>
    <w:rsid w:val="00FA5570"/>
    <w:rsid w:val="00FA59E0"/>
    <w:rsid w:val="00FA5C0B"/>
    <w:rsid w:val="00FA70F5"/>
    <w:rsid w:val="00FA7902"/>
    <w:rsid w:val="00FB005D"/>
    <w:rsid w:val="00FB183E"/>
    <w:rsid w:val="00FB1CD3"/>
    <w:rsid w:val="00FB1D54"/>
    <w:rsid w:val="00FB3363"/>
    <w:rsid w:val="00FB4048"/>
    <w:rsid w:val="00FB446E"/>
    <w:rsid w:val="00FB4629"/>
    <w:rsid w:val="00FB577F"/>
    <w:rsid w:val="00FB5E5D"/>
    <w:rsid w:val="00FB5FC4"/>
    <w:rsid w:val="00FB6A07"/>
    <w:rsid w:val="00FB6FB1"/>
    <w:rsid w:val="00FB739E"/>
    <w:rsid w:val="00FB7460"/>
    <w:rsid w:val="00FB7747"/>
    <w:rsid w:val="00FB7A10"/>
    <w:rsid w:val="00FC0F81"/>
    <w:rsid w:val="00FC3798"/>
    <w:rsid w:val="00FC59AF"/>
    <w:rsid w:val="00FC5C43"/>
    <w:rsid w:val="00FC5F72"/>
    <w:rsid w:val="00FC62B5"/>
    <w:rsid w:val="00FC6B34"/>
    <w:rsid w:val="00FC6D4E"/>
    <w:rsid w:val="00FC7073"/>
    <w:rsid w:val="00FC736F"/>
    <w:rsid w:val="00FD0CDB"/>
    <w:rsid w:val="00FD1FA7"/>
    <w:rsid w:val="00FD2D42"/>
    <w:rsid w:val="00FD30B5"/>
    <w:rsid w:val="00FD3453"/>
    <w:rsid w:val="00FD39CF"/>
    <w:rsid w:val="00FD4B7B"/>
    <w:rsid w:val="00FD4D84"/>
    <w:rsid w:val="00FD5468"/>
    <w:rsid w:val="00FD58F5"/>
    <w:rsid w:val="00FD6287"/>
    <w:rsid w:val="00FD754C"/>
    <w:rsid w:val="00FD783C"/>
    <w:rsid w:val="00FE0DAE"/>
    <w:rsid w:val="00FE1370"/>
    <w:rsid w:val="00FE1510"/>
    <w:rsid w:val="00FE2121"/>
    <w:rsid w:val="00FE254A"/>
    <w:rsid w:val="00FE321B"/>
    <w:rsid w:val="00FE3D07"/>
    <w:rsid w:val="00FE4411"/>
    <w:rsid w:val="00FE4B6F"/>
    <w:rsid w:val="00FE627E"/>
    <w:rsid w:val="00FE6818"/>
    <w:rsid w:val="00FE6BFB"/>
    <w:rsid w:val="00FF0C90"/>
    <w:rsid w:val="00FF0CF5"/>
    <w:rsid w:val="00FF0D6F"/>
    <w:rsid w:val="00FF0E9E"/>
    <w:rsid w:val="00FF1103"/>
    <w:rsid w:val="00FF1712"/>
    <w:rsid w:val="00FF213D"/>
    <w:rsid w:val="00FF251D"/>
    <w:rsid w:val="00FF37DC"/>
    <w:rsid w:val="00FF37F2"/>
    <w:rsid w:val="00FF43D9"/>
    <w:rsid w:val="00FF5B3C"/>
    <w:rsid w:val="00FF69C8"/>
    <w:rsid w:val="00FF6D3D"/>
    <w:rsid w:val="00FF7866"/>
    <w:rsid w:val="024D7E2C"/>
    <w:rsid w:val="0D2EB883"/>
    <w:rsid w:val="0D8163B6"/>
    <w:rsid w:val="1BB32F19"/>
    <w:rsid w:val="1F2C3AF5"/>
    <w:rsid w:val="1FF4886A"/>
    <w:rsid w:val="22D2584A"/>
    <w:rsid w:val="28751A95"/>
    <w:rsid w:val="29FA8189"/>
    <w:rsid w:val="2C00A012"/>
    <w:rsid w:val="389994B3"/>
    <w:rsid w:val="3B30A011"/>
    <w:rsid w:val="3B93C128"/>
    <w:rsid w:val="3CFBE104"/>
    <w:rsid w:val="467F9A7B"/>
    <w:rsid w:val="510454D8"/>
    <w:rsid w:val="5395A1E2"/>
    <w:rsid w:val="5D8505AD"/>
    <w:rsid w:val="6F81B597"/>
    <w:rsid w:val="71443FBB"/>
    <w:rsid w:val="7563E76A"/>
    <w:rsid w:val="79A6159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127A6B"/>
  <w15:docId w15:val="{9003D52C-EAFF-4023-919F-C462EC874B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57B5"/>
  </w:style>
  <w:style w:type="paragraph" w:styleId="Ttulo1">
    <w:name w:val="heading 1"/>
    <w:basedOn w:val="Normal"/>
    <w:link w:val="Ttulo1Car"/>
    <w:uiPriority w:val="9"/>
    <w:qFormat/>
    <w:rsid w:val="00CD2E7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_tradnl"/>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E84D1C"/>
    <w:pPr>
      <w:spacing w:after="0" w:line="240" w:lineRule="auto"/>
      <w:ind w:left="720"/>
      <w:contextualSpacing/>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E84D1C"/>
    <w:rPr>
      <w:sz w:val="24"/>
      <w:lang w:val="es-MX"/>
    </w:rPr>
  </w:style>
  <w:style w:type="character" w:customStyle="1" w:styleId="Ttulo1Car">
    <w:name w:val="Título 1 Car"/>
    <w:basedOn w:val="Fuentedeprrafopredeter"/>
    <w:link w:val="Ttulo1"/>
    <w:uiPriority w:val="9"/>
    <w:rsid w:val="00CD2E70"/>
    <w:rPr>
      <w:rFonts w:ascii="Times New Roman" w:eastAsia="Times New Roman" w:hAnsi="Times New Roman" w:cs="Times New Roman"/>
      <w:b/>
      <w:bCs/>
      <w:kern w:val="36"/>
      <w:sz w:val="48"/>
      <w:szCs w:val="48"/>
      <w:lang w:eastAsia="es-ES_tradnl"/>
    </w:rPr>
  </w:style>
  <w:style w:type="paragraph" w:customStyle="1" w:styleId="paragraph">
    <w:name w:val="paragraph"/>
    <w:basedOn w:val="Normal"/>
    <w:rsid w:val="00CD2E70"/>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superscript">
    <w:name w:val="superscript"/>
    <w:basedOn w:val="Fuentedeprrafopredeter"/>
    <w:rsid w:val="003651AC"/>
  </w:style>
  <w:style w:type="paragraph" w:styleId="NormalWeb">
    <w:name w:val="Normal (Web)"/>
    <w:basedOn w:val="Normal"/>
    <w:uiPriority w:val="99"/>
    <w:unhideWhenUsed/>
    <w:rsid w:val="00FB5FC4"/>
    <w:rPr>
      <w:rFonts w:ascii="Times New Roman" w:hAnsi="Times New Roman" w:cs="Times New Roman"/>
      <w:sz w:val="24"/>
      <w:szCs w:val="24"/>
    </w:rPr>
  </w:style>
  <w:style w:type="character" w:customStyle="1" w:styleId="Hipervnculo1">
    <w:name w:val="Hipervínculo1"/>
    <w:basedOn w:val="Fuentedeprrafopredeter"/>
    <w:uiPriority w:val="99"/>
    <w:unhideWhenUsed/>
    <w:rsid w:val="00FB5FC4"/>
    <w:rPr>
      <w:color w:val="F2F2F2"/>
      <w:u w:val="single"/>
    </w:rPr>
  </w:style>
  <w:style w:type="character" w:styleId="Textoennegrita">
    <w:name w:val="Strong"/>
    <w:basedOn w:val="Fuentedeprrafopredeter"/>
    <w:uiPriority w:val="22"/>
    <w:qFormat/>
    <w:rsid w:val="00FB5FC4"/>
    <w:rPr>
      <w:b/>
      <w:bCs/>
    </w:rPr>
  </w:style>
  <w:style w:type="character" w:styleId="nfasis">
    <w:name w:val="Emphasis"/>
    <w:basedOn w:val="Fuentedeprrafopredeter"/>
    <w:uiPriority w:val="20"/>
    <w:qFormat/>
    <w:rsid w:val="00FB5FC4"/>
    <w:rPr>
      <w:i/>
      <w:iCs/>
    </w:rPr>
  </w:style>
  <w:style w:type="paragraph" w:customStyle="1" w:styleId="Textoindependiente21">
    <w:name w:val="Texto independiente 21"/>
    <w:basedOn w:val="Normal"/>
    <w:rsid w:val="007A6528"/>
    <w:pPr>
      <w:overflowPunct w:val="0"/>
      <w:autoSpaceDE w:val="0"/>
      <w:autoSpaceDN w:val="0"/>
      <w:adjustRightInd w:val="0"/>
      <w:spacing w:after="0" w:line="360" w:lineRule="auto"/>
      <w:ind w:firstLine="710"/>
      <w:jc w:val="both"/>
      <w:textAlignment w:val="baseline"/>
    </w:pPr>
    <w:rPr>
      <w:rFonts w:ascii="Arial" w:eastAsia="Times New Roman" w:hAnsi="Arial" w:cs="Times New Roman"/>
      <w:sz w:val="24"/>
      <w:szCs w:val="20"/>
      <w:lang w:eastAsia="es-ES"/>
    </w:rPr>
  </w:style>
  <w:style w:type="paragraph" w:styleId="Textoindependiente">
    <w:name w:val="Body Text"/>
    <w:basedOn w:val="Normal"/>
    <w:link w:val="TextoindependienteCar"/>
    <w:uiPriority w:val="99"/>
    <w:unhideWhenUsed/>
    <w:rsid w:val="00002D5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extoindependienteCar">
    <w:name w:val="Texto independiente Car"/>
    <w:basedOn w:val="Fuentedeprrafopredeter"/>
    <w:link w:val="Textoindependiente"/>
    <w:uiPriority w:val="99"/>
    <w:rsid w:val="00002D55"/>
    <w:rPr>
      <w:rFonts w:ascii="Times New Roman" w:eastAsia="Times New Roman" w:hAnsi="Times New Roman" w:cs="Times New Roman"/>
      <w:sz w:val="24"/>
      <w:szCs w:val="24"/>
      <w:lang w:eastAsia="es-CO"/>
    </w:rPr>
  </w:style>
  <w:style w:type="character" w:customStyle="1" w:styleId="FontStyle23">
    <w:name w:val="Font Style23"/>
    <w:basedOn w:val="Fuentedeprrafopredeter"/>
    <w:rsid w:val="0081788A"/>
    <w:rPr>
      <w:rFonts w:ascii="Times New Roman" w:hAnsi="Times New Roman" w:cs="Times New Roman" w:hint="default"/>
      <w:sz w:val="20"/>
      <w:szCs w:val="20"/>
    </w:rPr>
  </w:style>
  <w:style w:type="character" w:customStyle="1" w:styleId="baj">
    <w:name w:val="b_aj"/>
    <w:basedOn w:val="Fuentedeprrafopredeter"/>
    <w:rsid w:val="00B43CE6"/>
  </w:style>
  <w:style w:type="character" w:customStyle="1" w:styleId="author-name">
    <w:name w:val="author-name"/>
    <w:basedOn w:val="Fuentedeprrafopredeter"/>
    <w:rsid w:val="00CA01BB"/>
  </w:style>
  <w:style w:type="table" w:customStyle="1" w:styleId="Tablaconcuadrcula11">
    <w:name w:val="Tabla con cuadrícula11"/>
    <w:basedOn w:val="Tablanormal"/>
    <w:next w:val="Tablaconcuadrcula"/>
    <w:uiPriority w:val="39"/>
    <w:qFormat/>
    <w:rsid w:val="00D007F4"/>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134882">
      <w:bodyDiv w:val="1"/>
      <w:marLeft w:val="0"/>
      <w:marRight w:val="0"/>
      <w:marTop w:val="0"/>
      <w:marBottom w:val="0"/>
      <w:divBdr>
        <w:top w:val="none" w:sz="0" w:space="0" w:color="auto"/>
        <w:left w:val="none" w:sz="0" w:space="0" w:color="auto"/>
        <w:bottom w:val="none" w:sz="0" w:space="0" w:color="auto"/>
        <w:right w:val="none" w:sz="0" w:space="0" w:color="auto"/>
      </w:divBdr>
    </w:div>
    <w:div w:id="46149373">
      <w:bodyDiv w:val="1"/>
      <w:marLeft w:val="0"/>
      <w:marRight w:val="0"/>
      <w:marTop w:val="0"/>
      <w:marBottom w:val="0"/>
      <w:divBdr>
        <w:top w:val="none" w:sz="0" w:space="0" w:color="auto"/>
        <w:left w:val="none" w:sz="0" w:space="0" w:color="auto"/>
        <w:bottom w:val="none" w:sz="0" w:space="0" w:color="auto"/>
        <w:right w:val="none" w:sz="0" w:space="0" w:color="auto"/>
      </w:divBdr>
    </w:div>
    <w:div w:id="107549441">
      <w:bodyDiv w:val="1"/>
      <w:marLeft w:val="0"/>
      <w:marRight w:val="0"/>
      <w:marTop w:val="0"/>
      <w:marBottom w:val="0"/>
      <w:divBdr>
        <w:top w:val="none" w:sz="0" w:space="0" w:color="auto"/>
        <w:left w:val="none" w:sz="0" w:space="0" w:color="auto"/>
        <w:bottom w:val="none" w:sz="0" w:space="0" w:color="auto"/>
        <w:right w:val="none" w:sz="0" w:space="0" w:color="auto"/>
      </w:divBdr>
    </w:div>
    <w:div w:id="112671991">
      <w:bodyDiv w:val="1"/>
      <w:marLeft w:val="0"/>
      <w:marRight w:val="0"/>
      <w:marTop w:val="0"/>
      <w:marBottom w:val="0"/>
      <w:divBdr>
        <w:top w:val="none" w:sz="0" w:space="0" w:color="auto"/>
        <w:left w:val="none" w:sz="0" w:space="0" w:color="auto"/>
        <w:bottom w:val="none" w:sz="0" w:space="0" w:color="auto"/>
        <w:right w:val="none" w:sz="0" w:space="0" w:color="auto"/>
      </w:divBdr>
    </w:div>
    <w:div w:id="125584597">
      <w:bodyDiv w:val="1"/>
      <w:marLeft w:val="0"/>
      <w:marRight w:val="0"/>
      <w:marTop w:val="0"/>
      <w:marBottom w:val="0"/>
      <w:divBdr>
        <w:top w:val="none" w:sz="0" w:space="0" w:color="auto"/>
        <w:left w:val="none" w:sz="0" w:space="0" w:color="auto"/>
        <w:bottom w:val="none" w:sz="0" w:space="0" w:color="auto"/>
        <w:right w:val="none" w:sz="0" w:space="0" w:color="auto"/>
      </w:divBdr>
    </w:div>
    <w:div w:id="139424028">
      <w:bodyDiv w:val="1"/>
      <w:marLeft w:val="0"/>
      <w:marRight w:val="0"/>
      <w:marTop w:val="0"/>
      <w:marBottom w:val="0"/>
      <w:divBdr>
        <w:top w:val="none" w:sz="0" w:space="0" w:color="auto"/>
        <w:left w:val="none" w:sz="0" w:space="0" w:color="auto"/>
        <w:bottom w:val="none" w:sz="0" w:space="0" w:color="auto"/>
        <w:right w:val="none" w:sz="0" w:space="0" w:color="auto"/>
      </w:divBdr>
      <w:divsChild>
        <w:div w:id="1821341347">
          <w:marLeft w:val="0"/>
          <w:marRight w:val="0"/>
          <w:marTop w:val="0"/>
          <w:marBottom w:val="0"/>
          <w:divBdr>
            <w:top w:val="none" w:sz="0" w:space="0" w:color="auto"/>
            <w:left w:val="none" w:sz="0" w:space="0" w:color="auto"/>
            <w:bottom w:val="none" w:sz="0" w:space="0" w:color="auto"/>
            <w:right w:val="none" w:sz="0" w:space="0" w:color="auto"/>
          </w:divBdr>
          <w:divsChild>
            <w:div w:id="91904659">
              <w:marLeft w:val="0"/>
              <w:marRight w:val="0"/>
              <w:marTop w:val="0"/>
              <w:marBottom w:val="0"/>
              <w:divBdr>
                <w:top w:val="none" w:sz="0" w:space="0" w:color="auto"/>
                <w:left w:val="none" w:sz="0" w:space="0" w:color="auto"/>
                <w:bottom w:val="none" w:sz="0" w:space="0" w:color="auto"/>
                <w:right w:val="none" w:sz="0" w:space="0" w:color="auto"/>
              </w:divBdr>
              <w:divsChild>
                <w:div w:id="205610424">
                  <w:marLeft w:val="0"/>
                  <w:marRight w:val="0"/>
                  <w:marTop w:val="0"/>
                  <w:marBottom w:val="0"/>
                  <w:divBdr>
                    <w:top w:val="none" w:sz="0" w:space="0" w:color="auto"/>
                    <w:left w:val="none" w:sz="0" w:space="0" w:color="auto"/>
                    <w:bottom w:val="none" w:sz="0" w:space="0" w:color="auto"/>
                    <w:right w:val="none" w:sz="0" w:space="0" w:color="auto"/>
                  </w:divBdr>
                  <w:divsChild>
                    <w:div w:id="744687126">
                      <w:marLeft w:val="0"/>
                      <w:marRight w:val="0"/>
                      <w:marTop w:val="0"/>
                      <w:marBottom w:val="0"/>
                      <w:divBdr>
                        <w:top w:val="none" w:sz="0" w:space="0" w:color="auto"/>
                        <w:left w:val="none" w:sz="0" w:space="0" w:color="auto"/>
                        <w:bottom w:val="none" w:sz="0" w:space="0" w:color="auto"/>
                        <w:right w:val="none" w:sz="0" w:space="0" w:color="auto"/>
                      </w:divBdr>
                      <w:divsChild>
                        <w:div w:id="658389621">
                          <w:marLeft w:val="0"/>
                          <w:marRight w:val="0"/>
                          <w:marTop w:val="0"/>
                          <w:marBottom w:val="0"/>
                          <w:divBdr>
                            <w:top w:val="none" w:sz="0" w:space="0" w:color="auto"/>
                            <w:left w:val="none" w:sz="0" w:space="0" w:color="auto"/>
                            <w:bottom w:val="none" w:sz="0" w:space="0" w:color="auto"/>
                            <w:right w:val="none" w:sz="0" w:space="0" w:color="auto"/>
                          </w:divBdr>
                          <w:divsChild>
                            <w:div w:id="49117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047657">
      <w:bodyDiv w:val="1"/>
      <w:marLeft w:val="0"/>
      <w:marRight w:val="0"/>
      <w:marTop w:val="0"/>
      <w:marBottom w:val="0"/>
      <w:divBdr>
        <w:top w:val="none" w:sz="0" w:space="0" w:color="auto"/>
        <w:left w:val="none" w:sz="0" w:space="0" w:color="auto"/>
        <w:bottom w:val="none" w:sz="0" w:space="0" w:color="auto"/>
        <w:right w:val="none" w:sz="0" w:space="0" w:color="auto"/>
      </w:divBdr>
    </w:div>
    <w:div w:id="182283863">
      <w:bodyDiv w:val="1"/>
      <w:marLeft w:val="0"/>
      <w:marRight w:val="0"/>
      <w:marTop w:val="0"/>
      <w:marBottom w:val="0"/>
      <w:divBdr>
        <w:top w:val="none" w:sz="0" w:space="0" w:color="auto"/>
        <w:left w:val="none" w:sz="0" w:space="0" w:color="auto"/>
        <w:bottom w:val="none" w:sz="0" w:space="0" w:color="auto"/>
        <w:right w:val="none" w:sz="0" w:space="0" w:color="auto"/>
      </w:divBdr>
    </w:div>
    <w:div w:id="192960455">
      <w:bodyDiv w:val="1"/>
      <w:marLeft w:val="0"/>
      <w:marRight w:val="0"/>
      <w:marTop w:val="0"/>
      <w:marBottom w:val="0"/>
      <w:divBdr>
        <w:top w:val="none" w:sz="0" w:space="0" w:color="auto"/>
        <w:left w:val="none" w:sz="0" w:space="0" w:color="auto"/>
        <w:bottom w:val="none" w:sz="0" w:space="0" w:color="auto"/>
        <w:right w:val="none" w:sz="0" w:space="0" w:color="auto"/>
      </w:divBdr>
    </w:div>
    <w:div w:id="271516540">
      <w:bodyDiv w:val="1"/>
      <w:marLeft w:val="0"/>
      <w:marRight w:val="0"/>
      <w:marTop w:val="0"/>
      <w:marBottom w:val="0"/>
      <w:divBdr>
        <w:top w:val="none" w:sz="0" w:space="0" w:color="auto"/>
        <w:left w:val="none" w:sz="0" w:space="0" w:color="auto"/>
        <w:bottom w:val="none" w:sz="0" w:space="0" w:color="auto"/>
        <w:right w:val="none" w:sz="0" w:space="0" w:color="auto"/>
      </w:divBdr>
    </w:div>
    <w:div w:id="277950301">
      <w:bodyDiv w:val="1"/>
      <w:marLeft w:val="0"/>
      <w:marRight w:val="0"/>
      <w:marTop w:val="0"/>
      <w:marBottom w:val="0"/>
      <w:divBdr>
        <w:top w:val="none" w:sz="0" w:space="0" w:color="auto"/>
        <w:left w:val="none" w:sz="0" w:space="0" w:color="auto"/>
        <w:bottom w:val="none" w:sz="0" w:space="0" w:color="auto"/>
        <w:right w:val="none" w:sz="0" w:space="0" w:color="auto"/>
      </w:divBdr>
    </w:div>
    <w:div w:id="283849664">
      <w:bodyDiv w:val="1"/>
      <w:marLeft w:val="0"/>
      <w:marRight w:val="0"/>
      <w:marTop w:val="0"/>
      <w:marBottom w:val="0"/>
      <w:divBdr>
        <w:top w:val="none" w:sz="0" w:space="0" w:color="auto"/>
        <w:left w:val="none" w:sz="0" w:space="0" w:color="auto"/>
        <w:bottom w:val="none" w:sz="0" w:space="0" w:color="auto"/>
        <w:right w:val="none" w:sz="0" w:space="0" w:color="auto"/>
      </w:divBdr>
    </w:div>
    <w:div w:id="302009774">
      <w:bodyDiv w:val="1"/>
      <w:marLeft w:val="0"/>
      <w:marRight w:val="0"/>
      <w:marTop w:val="0"/>
      <w:marBottom w:val="0"/>
      <w:divBdr>
        <w:top w:val="none" w:sz="0" w:space="0" w:color="auto"/>
        <w:left w:val="none" w:sz="0" w:space="0" w:color="auto"/>
        <w:bottom w:val="none" w:sz="0" w:space="0" w:color="auto"/>
        <w:right w:val="none" w:sz="0" w:space="0" w:color="auto"/>
      </w:divBdr>
    </w:div>
    <w:div w:id="311446626">
      <w:bodyDiv w:val="1"/>
      <w:marLeft w:val="0"/>
      <w:marRight w:val="0"/>
      <w:marTop w:val="0"/>
      <w:marBottom w:val="0"/>
      <w:divBdr>
        <w:top w:val="none" w:sz="0" w:space="0" w:color="auto"/>
        <w:left w:val="none" w:sz="0" w:space="0" w:color="auto"/>
        <w:bottom w:val="none" w:sz="0" w:space="0" w:color="auto"/>
        <w:right w:val="none" w:sz="0" w:space="0" w:color="auto"/>
      </w:divBdr>
    </w:div>
    <w:div w:id="329917147">
      <w:bodyDiv w:val="1"/>
      <w:marLeft w:val="0"/>
      <w:marRight w:val="0"/>
      <w:marTop w:val="0"/>
      <w:marBottom w:val="0"/>
      <w:divBdr>
        <w:top w:val="none" w:sz="0" w:space="0" w:color="auto"/>
        <w:left w:val="none" w:sz="0" w:space="0" w:color="auto"/>
        <w:bottom w:val="none" w:sz="0" w:space="0" w:color="auto"/>
        <w:right w:val="none" w:sz="0" w:space="0" w:color="auto"/>
      </w:divBdr>
    </w:div>
    <w:div w:id="334461891">
      <w:bodyDiv w:val="1"/>
      <w:marLeft w:val="0"/>
      <w:marRight w:val="0"/>
      <w:marTop w:val="0"/>
      <w:marBottom w:val="0"/>
      <w:divBdr>
        <w:top w:val="none" w:sz="0" w:space="0" w:color="auto"/>
        <w:left w:val="none" w:sz="0" w:space="0" w:color="auto"/>
        <w:bottom w:val="none" w:sz="0" w:space="0" w:color="auto"/>
        <w:right w:val="none" w:sz="0" w:space="0" w:color="auto"/>
      </w:divBdr>
    </w:div>
    <w:div w:id="337804836">
      <w:bodyDiv w:val="1"/>
      <w:marLeft w:val="0"/>
      <w:marRight w:val="0"/>
      <w:marTop w:val="0"/>
      <w:marBottom w:val="0"/>
      <w:divBdr>
        <w:top w:val="none" w:sz="0" w:space="0" w:color="auto"/>
        <w:left w:val="none" w:sz="0" w:space="0" w:color="auto"/>
        <w:bottom w:val="none" w:sz="0" w:space="0" w:color="auto"/>
        <w:right w:val="none" w:sz="0" w:space="0" w:color="auto"/>
      </w:divBdr>
    </w:div>
    <w:div w:id="374045247">
      <w:bodyDiv w:val="1"/>
      <w:marLeft w:val="0"/>
      <w:marRight w:val="0"/>
      <w:marTop w:val="0"/>
      <w:marBottom w:val="0"/>
      <w:divBdr>
        <w:top w:val="none" w:sz="0" w:space="0" w:color="auto"/>
        <w:left w:val="none" w:sz="0" w:space="0" w:color="auto"/>
        <w:bottom w:val="none" w:sz="0" w:space="0" w:color="auto"/>
        <w:right w:val="none" w:sz="0" w:space="0" w:color="auto"/>
      </w:divBdr>
      <w:divsChild>
        <w:div w:id="506864930">
          <w:marLeft w:val="0"/>
          <w:marRight w:val="0"/>
          <w:marTop w:val="0"/>
          <w:marBottom w:val="160"/>
          <w:divBdr>
            <w:top w:val="none" w:sz="0" w:space="0" w:color="auto"/>
            <w:left w:val="none" w:sz="0" w:space="0" w:color="auto"/>
            <w:bottom w:val="none" w:sz="0" w:space="0" w:color="auto"/>
            <w:right w:val="none" w:sz="0" w:space="0" w:color="auto"/>
          </w:divBdr>
        </w:div>
        <w:div w:id="563570546">
          <w:marLeft w:val="0"/>
          <w:marRight w:val="0"/>
          <w:marTop w:val="0"/>
          <w:marBottom w:val="160"/>
          <w:divBdr>
            <w:top w:val="none" w:sz="0" w:space="0" w:color="auto"/>
            <w:left w:val="none" w:sz="0" w:space="0" w:color="auto"/>
            <w:bottom w:val="none" w:sz="0" w:space="0" w:color="auto"/>
            <w:right w:val="none" w:sz="0" w:space="0" w:color="auto"/>
          </w:divBdr>
        </w:div>
        <w:div w:id="773287731">
          <w:marLeft w:val="0"/>
          <w:marRight w:val="0"/>
          <w:marTop w:val="0"/>
          <w:marBottom w:val="160"/>
          <w:divBdr>
            <w:top w:val="none" w:sz="0" w:space="0" w:color="auto"/>
            <w:left w:val="none" w:sz="0" w:space="0" w:color="auto"/>
            <w:bottom w:val="none" w:sz="0" w:space="0" w:color="auto"/>
            <w:right w:val="none" w:sz="0" w:space="0" w:color="auto"/>
          </w:divBdr>
        </w:div>
      </w:divsChild>
    </w:div>
    <w:div w:id="432018390">
      <w:bodyDiv w:val="1"/>
      <w:marLeft w:val="0"/>
      <w:marRight w:val="0"/>
      <w:marTop w:val="0"/>
      <w:marBottom w:val="0"/>
      <w:divBdr>
        <w:top w:val="none" w:sz="0" w:space="0" w:color="auto"/>
        <w:left w:val="none" w:sz="0" w:space="0" w:color="auto"/>
        <w:bottom w:val="none" w:sz="0" w:space="0" w:color="auto"/>
        <w:right w:val="none" w:sz="0" w:space="0" w:color="auto"/>
      </w:divBdr>
    </w:div>
    <w:div w:id="438305584">
      <w:bodyDiv w:val="1"/>
      <w:marLeft w:val="0"/>
      <w:marRight w:val="0"/>
      <w:marTop w:val="0"/>
      <w:marBottom w:val="0"/>
      <w:divBdr>
        <w:top w:val="none" w:sz="0" w:space="0" w:color="auto"/>
        <w:left w:val="none" w:sz="0" w:space="0" w:color="auto"/>
        <w:bottom w:val="none" w:sz="0" w:space="0" w:color="auto"/>
        <w:right w:val="none" w:sz="0" w:space="0" w:color="auto"/>
      </w:divBdr>
    </w:div>
    <w:div w:id="493691612">
      <w:bodyDiv w:val="1"/>
      <w:marLeft w:val="0"/>
      <w:marRight w:val="0"/>
      <w:marTop w:val="0"/>
      <w:marBottom w:val="0"/>
      <w:divBdr>
        <w:top w:val="none" w:sz="0" w:space="0" w:color="auto"/>
        <w:left w:val="none" w:sz="0" w:space="0" w:color="auto"/>
        <w:bottom w:val="none" w:sz="0" w:space="0" w:color="auto"/>
        <w:right w:val="none" w:sz="0" w:space="0" w:color="auto"/>
      </w:divBdr>
    </w:div>
    <w:div w:id="497113796">
      <w:bodyDiv w:val="1"/>
      <w:marLeft w:val="0"/>
      <w:marRight w:val="0"/>
      <w:marTop w:val="0"/>
      <w:marBottom w:val="0"/>
      <w:divBdr>
        <w:top w:val="none" w:sz="0" w:space="0" w:color="auto"/>
        <w:left w:val="none" w:sz="0" w:space="0" w:color="auto"/>
        <w:bottom w:val="none" w:sz="0" w:space="0" w:color="auto"/>
        <w:right w:val="none" w:sz="0" w:space="0" w:color="auto"/>
      </w:divBdr>
      <w:divsChild>
        <w:div w:id="932205885">
          <w:marLeft w:val="0"/>
          <w:marRight w:val="0"/>
          <w:marTop w:val="0"/>
          <w:marBottom w:val="0"/>
          <w:divBdr>
            <w:top w:val="none" w:sz="0" w:space="0" w:color="auto"/>
            <w:left w:val="none" w:sz="0" w:space="0" w:color="auto"/>
            <w:bottom w:val="none" w:sz="0" w:space="0" w:color="auto"/>
            <w:right w:val="none" w:sz="0" w:space="0" w:color="auto"/>
          </w:divBdr>
          <w:divsChild>
            <w:div w:id="396978682">
              <w:marLeft w:val="0"/>
              <w:marRight w:val="0"/>
              <w:marTop w:val="0"/>
              <w:marBottom w:val="0"/>
              <w:divBdr>
                <w:top w:val="none" w:sz="0" w:space="0" w:color="auto"/>
                <w:left w:val="none" w:sz="0" w:space="0" w:color="auto"/>
                <w:bottom w:val="none" w:sz="0" w:space="0" w:color="auto"/>
                <w:right w:val="none" w:sz="0" w:space="0" w:color="auto"/>
              </w:divBdr>
              <w:divsChild>
                <w:div w:id="1886520651">
                  <w:marLeft w:val="0"/>
                  <w:marRight w:val="0"/>
                  <w:marTop w:val="0"/>
                  <w:marBottom w:val="0"/>
                  <w:divBdr>
                    <w:top w:val="none" w:sz="0" w:space="0" w:color="auto"/>
                    <w:left w:val="none" w:sz="0" w:space="0" w:color="auto"/>
                    <w:bottom w:val="none" w:sz="0" w:space="0" w:color="auto"/>
                    <w:right w:val="none" w:sz="0" w:space="0" w:color="auto"/>
                  </w:divBdr>
                  <w:divsChild>
                    <w:div w:id="1561600205">
                      <w:marLeft w:val="0"/>
                      <w:marRight w:val="0"/>
                      <w:marTop w:val="0"/>
                      <w:marBottom w:val="0"/>
                      <w:divBdr>
                        <w:top w:val="none" w:sz="0" w:space="0" w:color="auto"/>
                        <w:left w:val="none" w:sz="0" w:space="0" w:color="auto"/>
                        <w:bottom w:val="none" w:sz="0" w:space="0" w:color="auto"/>
                        <w:right w:val="none" w:sz="0" w:space="0" w:color="auto"/>
                      </w:divBdr>
                      <w:divsChild>
                        <w:div w:id="312949149">
                          <w:marLeft w:val="0"/>
                          <w:marRight w:val="0"/>
                          <w:marTop w:val="0"/>
                          <w:marBottom w:val="0"/>
                          <w:divBdr>
                            <w:top w:val="none" w:sz="0" w:space="0" w:color="auto"/>
                            <w:left w:val="none" w:sz="0" w:space="0" w:color="auto"/>
                            <w:bottom w:val="none" w:sz="0" w:space="0" w:color="auto"/>
                            <w:right w:val="none" w:sz="0" w:space="0" w:color="auto"/>
                          </w:divBdr>
                          <w:divsChild>
                            <w:div w:id="1128743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69076646">
      <w:bodyDiv w:val="1"/>
      <w:marLeft w:val="0"/>
      <w:marRight w:val="0"/>
      <w:marTop w:val="0"/>
      <w:marBottom w:val="0"/>
      <w:divBdr>
        <w:top w:val="none" w:sz="0" w:space="0" w:color="auto"/>
        <w:left w:val="none" w:sz="0" w:space="0" w:color="auto"/>
        <w:bottom w:val="none" w:sz="0" w:space="0" w:color="auto"/>
        <w:right w:val="none" w:sz="0" w:space="0" w:color="auto"/>
      </w:divBdr>
    </w:div>
    <w:div w:id="588775434">
      <w:bodyDiv w:val="1"/>
      <w:marLeft w:val="0"/>
      <w:marRight w:val="0"/>
      <w:marTop w:val="0"/>
      <w:marBottom w:val="0"/>
      <w:divBdr>
        <w:top w:val="none" w:sz="0" w:space="0" w:color="auto"/>
        <w:left w:val="none" w:sz="0" w:space="0" w:color="auto"/>
        <w:bottom w:val="none" w:sz="0" w:space="0" w:color="auto"/>
        <w:right w:val="none" w:sz="0" w:space="0" w:color="auto"/>
      </w:divBdr>
      <w:divsChild>
        <w:div w:id="686953851">
          <w:marLeft w:val="0"/>
          <w:marRight w:val="0"/>
          <w:marTop w:val="0"/>
          <w:marBottom w:val="0"/>
          <w:divBdr>
            <w:top w:val="none" w:sz="0" w:space="0" w:color="auto"/>
            <w:left w:val="none" w:sz="0" w:space="0" w:color="auto"/>
            <w:bottom w:val="none" w:sz="0" w:space="0" w:color="auto"/>
            <w:right w:val="none" w:sz="0" w:space="0" w:color="auto"/>
          </w:divBdr>
          <w:divsChild>
            <w:div w:id="172259401">
              <w:marLeft w:val="0"/>
              <w:marRight w:val="0"/>
              <w:marTop w:val="0"/>
              <w:marBottom w:val="0"/>
              <w:divBdr>
                <w:top w:val="none" w:sz="0" w:space="0" w:color="auto"/>
                <w:left w:val="none" w:sz="0" w:space="0" w:color="auto"/>
                <w:bottom w:val="none" w:sz="0" w:space="0" w:color="auto"/>
                <w:right w:val="none" w:sz="0" w:space="0" w:color="auto"/>
              </w:divBdr>
              <w:divsChild>
                <w:div w:id="2105608189">
                  <w:marLeft w:val="0"/>
                  <w:marRight w:val="0"/>
                  <w:marTop w:val="0"/>
                  <w:marBottom w:val="0"/>
                  <w:divBdr>
                    <w:top w:val="none" w:sz="0" w:space="0" w:color="auto"/>
                    <w:left w:val="none" w:sz="0" w:space="0" w:color="auto"/>
                    <w:bottom w:val="none" w:sz="0" w:space="0" w:color="auto"/>
                    <w:right w:val="none" w:sz="0" w:space="0" w:color="auto"/>
                  </w:divBdr>
                  <w:divsChild>
                    <w:div w:id="1691952384">
                      <w:marLeft w:val="0"/>
                      <w:marRight w:val="0"/>
                      <w:marTop w:val="0"/>
                      <w:marBottom w:val="0"/>
                      <w:divBdr>
                        <w:top w:val="none" w:sz="0" w:space="0" w:color="auto"/>
                        <w:left w:val="none" w:sz="0" w:space="0" w:color="auto"/>
                        <w:bottom w:val="none" w:sz="0" w:space="0" w:color="auto"/>
                        <w:right w:val="none" w:sz="0" w:space="0" w:color="auto"/>
                      </w:divBdr>
                      <w:divsChild>
                        <w:div w:id="1490360998">
                          <w:marLeft w:val="0"/>
                          <w:marRight w:val="0"/>
                          <w:marTop w:val="0"/>
                          <w:marBottom w:val="0"/>
                          <w:divBdr>
                            <w:top w:val="none" w:sz="0" w:space="0" w:color="auto"/>
                            <w:left w:val="none" w:sz="0" w:space="0" w:color="auto"/>
                            <w:bottom w:val="none" w:sz="0" w:space="0" w:color="auto"/>
                            <w:right w:val="none" w:sz="0" w:space="0" w:color="auto"/>
                          </w:divBdr>
                          <w:divsChild>
                            <w:div w:id="626544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3080197">
      <w:bodyDiv w:val="1"/>
      <w:marLeft w:val="0"/>
      <w:marRight w:val="0"/>
      <w:marTop w:val="0"/>
      <w:marBottom w:val="0"/>
      <w:divBdr>
        <w:top w:val="none" w:sz="0" w:space="0" w:color="auto"/>
        <w:left w:val="none" w:sz="0" w:space="0" w:color="auto"/>
        <w:bottom w:val="none" w:sz="0" w:space="0" w:color="auto"/>
        <w:right w:val="none" w:sz="0" w:space="0" w:color="auto"/>
      </w:divBdr>
    </w:div>
    <w:div w:id="696200587">
      <w:bodyDiv w:val="1"/>
      <w:marLeft w:val="0"/>
      <w:marRight w:val="0"/>
      <w:marTop w:val="0"/>
      <w:marBottom w:val="0"/>
      <w:divBdr>
        <w:top w:val="none" w:sz="0" w:space="0" w:color="auto"/>
        <w:left w:val="none" w:sz="0" w:space="0" w:color="auto"/>
        <w:bottom w:val="none" w:sz="0" w:space="0" w:color="auto"/>
        <w:right w:val="none" w:sz="0" w:space="0" w:color="auto"/>
      </w:divBdr>
    </w:div>
    <w:div w:id="719481719">
      <w:bodyDiv w:val="1"/>
      <w:marLeft w:val="0"/>
      <w:marRight w:val="0"/>
      <w:marTop w:val="0"/>
      <w:marBottom w:val="0"/>
      <w:divBdr>
        <w:top w:val="none" w:sz="0" w:space="0" w:color="auto"/>
        <w:left w:val="none" w:sz="0" w:space="0" w:color="auto"/>
        <w:bottom w:val="none" w:sz="0" w:space="0" w:color="auto"/>
        <w:right w:val="none" w:sz="0" w:space="0" w:color="auto"/>
      </w:divBdr>
    </w:div>
    <w:div w:id="723599209">
      <w:bodyDiv w:val="1"/>
      <w:marLeft w:val="0"/>
      <w:marRight w:val="0"/>
      <w:marTop w:val="0"/>
      <w:marBottom w:val="0"/>
      <w:divBdr>
        <w:top w:val="none" w:sz="0" w:space="0" w:color="auto"/>
        <w:left w:val="none" w:sz="0" w:space="0" w:color="auto"/>
        <w:bottom w:val="none" w:sz="0" w:space="0" w:color="auto"/>
        <w:right w:val="none" w:sz="0" w:space="0" w:color="auto"/>
      </w:divBdr>
    </w:div>
    <w:div w:id="745341291">
      <w:bodyDiv w:val="1"/>
      <w:marLeft w:val="0"/>
      <w:marRight w:val="0"/>
      <w:marTop w:val="0"/>
      <w:marBottom w:val="0"/>
      <w:divBdr>
        <w:top w:val="none" w:sz="0" w:space="0" w:color="auto"/>
        <w:left w:val="none" w:sz="0" w:space="0" w:color="auto"/>
        <w:bottom w:val="none" w:sz="0" w:space="0" w:color="auto"/>
        <w:right w:val="none" w:sz="0" w:space="0" w:color="auto"/>
      </w:divBdr>
    </w:div>
    <w:div w:id="784926870">
      <w:bodyDiv w:val="1"/>
      <w:marLeft w:val="0"/>
      <w:marRight w:val="0"/>
      <w:marTop w:val="0"/>
      <w:marBottom w:val="0"/>
      <w:divBdr>
        <w:top w:val="none" w:sz="0" w:space="0" w:color="auto"/>
        <w:left w:val="none" w:sz="0" w:space="0" w:color="auto"/>
        <w:bottom w:val="none" w:sz="0" w:space="0" w:color="auto"/>
        <w:right w:val="none" w:sz="0" w:space="0" w:color="auto"/>
      </w:divBdr>
    </w:div>
    <w:div w:id="850341528">
      <w:bodyDiv w:val="1"/>
      <w:marLeft w:val="0"/>
      <w:marRight w:val="0"/>
      <w:marTop w:val="0"/>
      <w:marBottom w:val="0"/>
      <w:divBdr>
        <w:top w:val="none" w:sz="0" w:space="0" w:color="auto"/>
        <w:left w:val="none" w:sz="0" w:space="0" w:color="auto"/>
        <w:bottom w:val="none" w:sz="0" w:space="0" w:color="auto"/>
        <w:right w:val="none" w:sz="0" w:space="0" w:color="auto"/>
      </w:divBdr>
    </w:div>
    <w:div w:id="905454849">
      <w:bodyDiv w:val="1"/>
      <w:marLeft w:val="0"/>
      <w:marRight w:val="0"/>
      <w:marTop w:val="0"/>
      <w:marBottom w:val="0"/>
      <w:divBdr>
        <w:top w:val="none" w:sz="0" w:space="0" w:color="auto"/>
        <w:left w:val="none" w:sz="0" w:space="0" w:color="auto"/>
        <w:bottom w:val="none" w:sz="0" w:space="0" w:color="auto"/>
        <w:right w:val="none" w:sz="0" w:space="0" w:color="auto"/>
      </w:divBdr>
      <w:divsChild>
        <w:div w:id="591283175">
          <w:marLeft w:val="0"/>
          <w:marRight w:val="0"/>
          <w:marTop w:val="0"/>
          <w:marBottom w:val="160"/>
          <w:divBdr>
            <w:top w:val="none" w:sz="0" w:space="0" w:color="auto"/>
            <w:left w:val="none" w:sz="0" w:space="0" w:color="auto"/>
            <w:bottom w:val="none" w:sz="0" w:space="0" w:color="auto"/>
            <w:right w:val="none" w:sz="0" w:space="0" w:color="auto"/>
          </w:divBdr>
        </w:div>
        <w:div w:id="2145074026">
          <w:marLeft w:val="0"/>
          <w:marRight w:val="0"/>
          <w:marTop w:val="0"/>
          <w:marBottom w:val="160"/>
          <w:divBdr>
            <w:top w:val="none" w:sz="0" w:space="0" w:color="auto"/>
            <w:left w:val="none" w:sz="0" w:space="0" w:color="auto"/>
            <w:bottom w:val="none" w:sz="0" w:space="0" w:color="auto"/>
            <w:right w:val="none" w:sz="0" w:space="0" w:color="auto"/>
          </w:divBdr>
        </w:div>
        <w:div w:id="1578511561">
          <w:marLeft w:val="0"/>
          <w:marRight w:val="0"/>
          <w:marTop w:val="0"/>
          <w:marBottom w:val="160"/>
          <w:divBdr>
            <w:top w:val="none" w:sz="0" w:space="0" w:color="auto"/>
            <w:left w:val="none" w:sz="0" w:space="0" w:color="auto"/>
            <w:bottom w:val="none" w:sz="0" w:space="0" w:color="auto"/>
            <w:right w:val="none" w:sz="0" w:space="0" w:color="auto"/>
          </w:divBdr>
        </w:div>
      </w:divsChild>
    </w:div>
    <w:div w:id="935362018">
      <w:bodyDiv w:val="1"/>
      <w:marLeft w:val="0"/>
      <w:marRight w:val="0"/>
      <w:marTop w:val="0"/>
      <w:marBottom w:val="0"/>
      <w:divBdr>
        <w:top w:val="none" w:sz="0" w:space="0" w:color="auto"/>
        <w:left w:val="none" w:sz="0" w:space="0" w:color="auto"/>
        <w:bottom w:val="none" w:sz="0" w:space="0" w:color="auto"/>
        <w:right w:val="none" w:sz="0" w:space="0" w:color="auto"/>
      </w:divBdr>
    </w:div>
    <w:div w:id="951672208">
      <w:bodyDiv w:val="1"/>
      <w:marLeft w:val="0"/>
      <w:marRight w:val="0"/>
      <w:marTop w:val="0"/>
      <w:marBottom w:val="0"/>
      <w:divBdr>
        <w:top w:val="none" w:sz="0" w:space="0" w:color="auto"/>
        <w:left w:val="none" w:sz="0" w:space="0" w:color="auto"/>
        <w:bottom w:val="none" w:sz="0" w:space="0" w:color="auto"/>
        <w:right w:val="none" w:sz="0" w:space="0" w:color="auto"/>
      </w:divBdr>
    </w:div>
    <w:div w:id="1015158801">
      <w:bodyDiv w:val="1"/>
      <w:marLeft w:val="0"/>
      <w:marRight w:val="0"/>
      <w:marTop w:val="0"/>
      <w:marBottom w:val="0"/>
      <w:divBdr>
        <w:top w:val="none" w:sz="0" w:space="0" w:color="auto"/>
        <w:left w:val="none" w:sz="0" w:space="0" w:color="auto"/>
        <w:bottom w:val="none" w:sz="0" w:space="0" w:color="auto"/>
        <w:right w:val="none" w:sz="0" w:space="0" w:color="auto"/>
      </w:divBdr>
    </w:div>
    <w:div w:id="1067846211">
      <w:bodyDiv w:val="1"/>
      <w:marLeft w:val="0"/>
      <w:marRight w:val="0"/>
      <w:marTop w:val="0"/>
      <w:marBottom w:val="0"/>
      <w:divBdr>
        <w:top w:val="none" w:sz="0" w:space="0" w:color="auto"/>
        <w:left w:val="none" w:sz="0" w:space="0" w:color="auto"/>
        <w:bottom w:val="none" w:sz="0" w:space="0" w:color="auto"/>
        <w:right w:val="none" w:sz="0" w:space="0" w:color="auto"/>
      </w:divBdr>
    </w:div>
    <w:div w:id="1072897937">
      <w:bodyDiv w:val="1"/>
      <w:marLeft w:val="0"/>
      <w:marRight w:val="0"/>
      <w:marTop w:val="0"/>
      <w:marBottom w:val="0"/>
      <w:divBdr>
        <w:top w:val="none" w:sz="0" w:space="0" w:color="auto"/>
        <w:left w:val="none" w:sz="0" w:space="0" w:color="auto"/>
        <w:bottom w:val="none" w:sz="0" w:space="0" w:color="auto"/>
        <w:right w:val="none" w:sz="0" w:space="0" w:color="auto"/>
      </w:divBdr>
    </w:div>
    <w:div w:id="1090585167">
      <w:bodyDiv w:val="1"/>
      <w:marLeft w:val="0"/>
      <w:marRight w:val="0"/>
      <w:marTop w:val="0"/>
      <w:marBottom w:val="0"/>
      <w:divBdr>
        <w:top w:val="none" w:sz="0" w:space="0" w:color="auto"/>
        <w:left w:val="none" w:sz="0" w:space="0" w:color="auto"/>
        <w:bottom w:val="none" w:sz="0" w:space="0" w:color="auto"/>
        <w:right w:val="none" w:sz="0" w:space="0" w:color="auto"/>
      </w:divBdr>
    </w:div>
    <w:div w:id="1107236897">
      <w:bodyDiv w:val="1"/>
      <w:marLeft w:val="0"/>
      <w:marRight w:val="0"/>
      <w:marTop w:val="0"/>
      <w:marBottom w:val="0"/>
      <w:divBdr>
        <w:top w:val="none" w:sz="0" w:space="0" w:color="auto"/>
        <w:left w:val="none" w:sz="0" w:space="0" w:color="auto"/>
        <w:bottom w:val="none" w:sz="0" w:space="0" w:color="auto"/>
        <w:right w:val="none" w:sz="0" w:space="0" w:color="auto"/>
      </w:divBdr>
      <w:divsChild>
        <w:div w:id="477647396">
          <w:marLeft w:val="0"/>
          <w:marRight w:val="0"/>
          <w:marTop w:val="0"/>
          <w:marBottom w:val="0"/>
          <w:divBdr>
            <w:top w:val="none" w:sz="0" w:space="0" w:color="auto"/>
            <w:left w:val="none" w:sz="0" w:space="0" w:color="auto"/>
            <w:bottom w:val="none" w:sz="0" w:space="0" w:color="auto"/>
            <w:right w:val="none" w:sz="0" w:space="0" w:color="auto"/>
          </w:divBdr>
          <w:divsChild>
            <w:div w:id="796800405">
              <w:marLeft w:val="0"/>
              <w:marRight w:val="0"/>
              <w:marTop w:val="0"/>
              <w:marBottom w:val="0"/>
              <w:divBdr>
                <w:top w:val="none" w:sz="0" w:space="0" w:color="auto"/>
                <w:left w:val="none" w:sz="0" w:space="0" w:color="auto"/>
                <w:bottom w:val="none" w:sz="0" w:space="0" w:color="auto"/>
                <w:right w:val="none" w:sz="0" w:space="0" w:color="auto"/>
              </w:divBdr>
              <w:divsChild>
                <w:div w:id="969165727">
                  <w:marLeft w:val="0"/>
                  <w:marRight w:val="0"/>
                  <w:marTop w:val="0"/>
                  <w:marBottom w:val="0"/>
                  <w:divBdr>
                    <w:top w:val="none" w:sz="0" w:space="0" w:color="auto"/>
                    <w:left w:val="none" w:sz="0" w:space="0" w:color="auto"/>
                    <w:bottom w:val="none" w:sz="0" w:space="0" w:color="auto"/>
                    <w:right w:val="none" w:sz="0" w:space="0" w:color="auto"/>
                  </w:divBdr>
                  <w:divsChild>
                    <w:div w:id="324626554">
                      <w:marLeft w:val="0"/>
                      <w:marRight w:val="0"/>
                      <w:marTop w:val="0"/>
                      <w:marBottom w:val="0"/>
                      <w:divBdr>
                        <w:top w:val="none" w:sz="0" w:space="0" w:color="auto"/>
                        <w:left w:val="none" w:sz="0" w:space="0" w:color="auto"/>
                        <w:bottom w:val="none" w:sz="0" w:space="0" w:color="auto"/>
                        <w:right w:val="none" w:sz="0" w:space="0" w:color="auto"/>
                      </w:divBdr>
                      <w:divsChild>
                        <w:div w:id="1435707499">
                          <w:marLeft w:val="0"/>
                          <w:marRight w:val="0"/>
                          <w:marTop w:val="0"/>
                          <w:marBottom w:val="0"/>
                          <w:divBdr>
                            <w:top w:val="none" w:sz="0" w:space="0" w:color="auto"/>
                            <w:left w:val="none" w:sz="0" w:space="0" w:color="auto"/>
                            <w:bottom w:val="none" w:sz="0" w:space="0" w:color="auto"/>
                            <w:right w:val="none" w:sz="0" w:space="0" w:color="auto"/>
                          </w:divBdr>
                          <w:divsChild>
                            <w:div w:id="330301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53371148">
      <w:bodyDiv w:val="1"/>
      <w:marLeft w:val="0"/>
      <w:marRight w:val="0"/>
      <w:marTop w:val="0"/>
      <w:marBottom w:val="0"/>
      <w:divBdr>
        <w:top w:val="none" w:sz="0" w:space="0" w:color="auto"/>
        <w:left w:val="none" w:sz="0" w:space="0" w:color="auto"/>
        <w:bottom w:val="none" w:sz="0" w:space="0" w:color="auto"/>
        <w:right w:val="none" w:sz="0" w:space="0" w:color="auto"/>
      </w:divBdr>
      <w:divsChild>
        <w:div w:id="578834935">
          <w:marLeft w:val="0"/>
          <w:marRight w:val="0"/>
          <w:marTop w:val="0"/>
          <w:marBottom w:val="160"/>
          <w:divBdr>
            <w:top w:val="none" w:sz="0" w:space="0" w:color="auto"/>
            <w:left w:val="none" w:sz="0" w:space="0" w:color="auto"/>
            <w:bottom w:val="none" w:sz="0" w:space="0" w:color="auto"/>
            <w:right w:val="none" w:sz="0" w:space="0" w:color="auto"/>
          </w:divBdr>
        </w:div>
        <w:div w:id="86193346">
          <w:marLeft w:val="0"/>
          <w:marRight w:val="0"/>
          <w:marTop w:val="0"/>
          <w:marBottom w:val="160"/>
          <w:divBdr>
            <w:top w:val="none" w:sz="0" w:space="0" w:color="auto"/>
            <w:left w:val="none" w:sz="0" w:space="0" w:color="auto"/>
            <w:bottom w:val="none" w:sz="0" w:space="0" w:color="auto"/>
            <w:right w:val="none" w:sz="0" w:space="0" w:color="auto"/>
          </w:divBdr>
        </w:div>
        <w:div w:id="185557124">
          <w:marLeft w:val="0"/>
          <w:marRight w:val="0"/>
          <w:marTop w:val="0"/>
          <w:marBottom w:val="160"/>
          <w:divBdr>
            <w:top w:val="none" w:sz="0" w:space="0" w:color="auto"/>
            <w:left w:val="none" w:sz="0" w:space="0" w:color="auto"/>
            <w:bottom w:val="none" w:sz="0" w:space="0" w:color="auto"/>
            <w:right w:val="none" w:sz="0" w:space="0" w:color="auto"/>
          </w:divBdr>
        </w:div>
      </w:divsChild>
    </w:div>
    <w:div w:id="1165128992">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243177627">
      <w:bodyDiv w:val="1"/>
      <w:marLeft w:val="0"/>
      <w:marRight w:val="0"/>
      <w:marTop w:val="0"/>
      <w:marBottom w:val="0"/>
      <w:divBdr>
        <w:top w:val="none" w:sz="0" w:space="0" w:color="auto"/>
        <w:left w:val="none" w:sz="0" w:space="0" w:color="auto"/>
        <w:bottom w:val="none" w:sz="0" w:space="0" w:color="auto"/>
        <w:right w:val="none" w:sz="0" w:space="0" w:color="auto"/>
      </w:divBdr>
    </w:div>
    <w:div w:id="1320504720">
      <w:bodyDiv w:val="1"/>
      <w:marLeft w:val="0"/>
      <w:marRight w:val="0"/>
      <w:marTop w:val="0"/>
      <w:marBottom w:val="0"/>
      <w:divBdr>
        <w:top w:val="none" w:sz="0" w:space="0" w:color="auto"/>
        <w:left w:val="none" w:sz="0" w:space="0" w:color="auto"/>
        <w:bottom w:val="none" w:sz="0" w:space="0" w:color="auto"/>
        <w:right w:val="none" w:sz="0" w:space="0" w:color="auto"/>
      </w:divBdr>
    </w:div>
    <w:div w:id="1347245505">
      <w:bodyDiv w:val="1"/>
      <w:marLeft w:val="0"/>
      <w:marRight w:val="0"/>
      <w:marTop w:val="0"/>
      <w:marBottom w:val="0"/>
      <w:divBdr>
        <w:top w:val="none" w:sz="0" w:space="0" w:color="auto"/>
        <w:left w:val="none" w:sz="0" w:space="0" w:color="auto"/>
        <w:bottom w:val="none" w:sz="0" w:space="0" w:color="auto"/>
        <w:right w:val="none" w:sz="0" w:space="0" w:color="auto"/>
      </w:divBdr>
    </w:div>
    <w:div w:id="1350988023">
      <w:bodyDiv w:val="1"/>
      <w:marLeft w:val="0"/>
      <w:marRight w:val="0"/>
      <w:marTop w:val="0"/>
      <w:marBottom w:val="0"/>
      <w:divBdr>
        <w:top w:val="none" w:sz="0" w:space="0" w:color="auto"/>
        <w:left w:val="none" w:sz="0" w:space="0" w:color="auto"/>
        <w:bottom w:val="none" w:sz="0" w:space="0" w:color="auto"/>
        <w:right w:val="none" w:sz="0" w:space="0" w:color="auto"/>
      </w:divBdr>
    </w:div>
    <w:div w:id="1391033297">
      <w:bodyDiv w:val="1"/>
      <w:marLeft w:val="0"/>
      <w:marRight w:val="0"/>
      <w:marTop w:val="0"/>
      <w:marBottom w:val="0"/>
      <w:divBdr>
        <w:top w:val="none" w:sz="0" w:space="0" w:color="auto"/>
        <w:left w:val="none" w:sz="0" w:space="0" w:color="auto"/>
        <w:bottom w:val="none" w:sz="0" w:space="0" w:color="auto"/>
        <w:right w:val="none" w:sz="0" w:space="0" w:color="auto"/>
      </w:divBdr>
      <w:divsChild>
        <w:div w:id="1302231751">
          <w:marLeft w:val="0"/>
          <w:marRight w:val="0"/>
          <w:marTop w:val="0"/>
          <w:marBottom w:val="0"/>
          <w:divBdr>
            <w:top w:val="none" w:sz="0" w:space="0" w:color="auto"/>
            <w:left w:val="none" w:sz="0" w:space="0" w:color="auto"/>
            <w:bottom w:val="none" w:sz="0" w:space="0" w:color="auto"/>
            <w:right w:val="none" w:sz="0" w:space="0" w:color="auto"/>
          </w:divBdr>
          <w:divsChild>
            <w:div w:id="1910311305">
              <w:marLeft w:val="0"/>
              <w:marRight w:val="0"/>
              <w:marTop w:val="0"/>
              <w:marBottom w:val="0"/>
              <w:divBdr>
                <w:top w:val="none" w:sz="0" w:space="0" w:color="auto"/>
                <w:left w:val="none" w:sz="0" w:space="0" w:color="auto"/>
                <w:bottom w:val="none" w:sz="0" w:space="0" w:color="auto"/>
                <w:right w:val="none" w:sz="0" w:space="0" w:color="auto"/>
              </w:divBdr>
              <w:divsChild>
                <w:div w:id="245462431">
                  <w:marLeft w:val="0"/>
                  <w:marRight w:val="0"/>
                  <w:marTop w:val="0"/>
                  <w:marBottom w:val="0"/>
                  <w:divBdr>
                    <w:top w:val="none" w:sz="0" w:space="0" w:color="auto"/>
                    <w:left w:val="none" w:sz="0" w:space="0" w:color="auto"/>
                    <w:bottom w:val="none" w:sz="0" w:space="0" w:color="auto"/>
                    <w:right w:val="none" w:sz="0" w:space="0" w:color="auto"/>
                  </w:divBdr>
                  <w:divsChild>
                    <w:div w:id="1029255869">
                      <w:marLeft w:val="0"/>
                      <w:marRight w:val="0"/>
                      <w:marTop w:val="0"/>
                      <w:marBottom w:val="0"/>
                      <w:divBdr>
                        <w:top w:val="none" w:sz="0" w:space="0" w:color="auto"/>
                        <w:left w:val="none" w:sz="0" w:space="0" w:color="auto"/>
                        <w:bottom w:val="none" w:sz="0" w:space="0" w:color="auto"/>
                        <w:right w:val="none" w:sz="0" w:space="0" w:color="auto"/>
                      </w:divBdr>
                      <w:divsChild>
                        <w:div w:id="613244225">
                          <w:marLeft w:val="0"/>
                          <w:marRight w:val="0"/>
                          <w:marTop w:val="0"/>
                          <w:marBottom w:val="0"/>
                          <w:divBdr>
                            <w:top w:val="none" w:sz="0" w:space="0" w:color="auto"/>
                            <w:left w:val="none" w:sz="0" w:space="0" w:color="auto"/>
                            <w:bottom w:val="none" w:sz="0" w:space="0" w:color="auto"/>
                            <w:right w:val="none" w:sz="0" w:space="0" w:color="auto"/>
                          </w:divBdr>
                          <w:divsChild>
                            <w:div w:id="582883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247560">
      <w:bodyDiv w:val="1"/>
      <w:marLeft w:val="0"/>
      <w:marRight w:val="0"/>
      <w:marTop w:val="0"/>
      <w:marBottom w:val="0"/>
      <w:divBdr>
        <w:top w:val="none" w:sz="0" w:space="0" w:color="auto"/>
        <w:left w:val="none" w:sz="0" w:space="0" w:color="auto"/>
        <w:bottom w:val="none" w:sz="0" w:space="0" w:color="auto"/>
        <w:right w:val="none" w:sz="0" w:space="0" w:color="auto"/>
      </w:divBdr>
    </w:div>
    <w:div w:id="1448115632">
      <w:bodyDiv w:val="1"/>
      <w:marLeft w:val="0"/>
      <w:marRight w:val="0"/>
      <w:marTop w:val="0"/>
      <w:marBottom w:val="0"/>
      <w:divBdr>
        <w:top w:val="none" w:sz="0" w:space="0" w:color="auto"/>
        <w:left w:val="none" w:sz="0" w:space="0" w:color="auto"/>
        <w:bottom w:val="none" w:sz="0" w:space="0" w:color="auto"/>
        <w:right w:val="none" w:sz="0" w:space="0" w:color="auto"/>
      </w:divBdr>
    </w:div>
    <w:div w:id="1475366781">
      <w:bodyDiv w:val="1"/>
      <w:marLeft w:val="0"/>
      <w:marRight w:val="0"/>
      <w:marTop w:val="0"/>
      <w:marBottom w:val="0"/>
      <w:divBdr>
        <w:top w:val="none" w:sz="0" w:space="0" w:color="auto"/>
        <w:left w:val="none" w:sz="0" w:space="0" w:color="auto"/>
        <w:bottom w:val="none" w:sz="0" w:space="0" w:color="auto"/>
        <w:right w:val="none" w:sz="0" w:space="0" w:color="auto"/>
      </w:divBdr>
    </w:div>
    <w:div w:id="1498619727">
      <w:bodyDiv w:val="1"/>
      <w:marLeft w:val="0"/>
      <w:marRight w:val="0"/>
      <w:marTop w:val="0"/>
      <w:marBottom w:val="0"/>
      <w:divBdr>
        <w:top w:val="none" w:sz="0" w:space="0" w:color="auto"/>
        <w:left w:val="none" w:sz="0" w:space="0" w:color="auto"/>
        <w:bottom w:val="none" w:sz="0" w:space="0" w:color="auto"/>
        <w:right w:val="none" w:sz="0" w:space="0" w:color="auto"/>
      </w:divBdr>
      <w:divsChild>
        <w:div w:id="797839195">
          <w:marLeft w:val="0"/>
          <w:marRight w:val="0"/>
          <w:marTop w:val="0"/>
          <w:marBottom w:val="160"/>
          <w:divBdr>
            <w:top w:val="none" w:sz="0" w:space="0" w:color="auto"/>
            <w:left w:val="none" w:sz="0" w:space="0" w:color="auto"/>
            <w:bottom w:val="none" w:sz="0" w:space="0" w:color="auto"/>
            <w:right w:val="none" w:sz="0" w:space="0" w:color="auto"/>
          </w:divBdr>
        </w:div>
        <w:div w:id="560681091">
          <w:marLeft w:val="0"/>
          <w:marRight w:val="0"/>
          <w:marTop w:val="0"/>
          <w:marBottom w:val="160"/>
          <w:divBdr>
            <w:top w:val="none" w:sz="0" w:space="0" w:color="auto"/>
            <w:left w:val="none" w:sz="0" w:space="0" w:color="auto"/>
            <w:bottom w:val="none" w:sz="0" w:space="0" w:color="auto"/>
            <w:right w:val="none" w:sz="0" w:space="0" w:color="auto"/>
          </w:divBdr>
        </w:div>
        <w:div w:id="1153833297">
          <w:marLeft w:val="0"/>
          <w:marRight w:val="0"/>
          <w:marTop w:val="0"/>
          <w:marBottom w:val="160"/>
          <w:divBdr>
            <w:top w:val="none" w:sz="0" w:space="0" w:color="auto"/>
            <w:left w:val="none" w:sz="0" w:space="0" w:color="auto"/>
            <w:bottom w:val="none" w:sz="0" w:space="0" w:color="auto"/>
            <w:right w:val="none" w:sz="0" w:space="0" w:color="auto"/>
          </w:divBdr>
        </w:div>
      </w:divsChild>
    </w:div>
    <w:div w:id="1505320125">
      <w:bodyDiv w:val="1"/>
      <w:marLeft w:val="0"/>
      <w:marRight w:val="0"/>
      <w:marTop w:val="0"/>
      <w:marBottom w:val="0"/>
      <w:divBdr>
        <w:top w:val="none" w:sz="0" w:space="0" w:color="auto"/>
        <w:left w:val="none" w:sz="0" w:space="0" w:color="auto"/>
        <w:bottom w:val="none" w:sz="0" w:space="0" w:color="auto"/>
        <w:right w:val="none" w:sz="0" w:space="0" w:color="auto"/>
      </w:divBdr>
    </w:div>
    <w:div w:id="1541283808">
      <w:bodyDiv w:val="1"/>
      <w:marLeft w:val="0"/>
      <w:marRight w:val="0"/>
      <w:marTop w:val="0"/>
      <w:marBottom w:val="0"/>
      <w:divBdr>
        <w:top w:val="none" w:sz="0" w:space="0" w:color="auto"/>
        <w:left w:val="none" w:sz="0" w:space="0" w:color="auto"/>
        <w:bottom w:val="none" w:sz="0" w:space="0" w:color="auto"/>
        <w:right w:val="none" w:sz="0" w:space="0" w:color="auto"/>
      </w:divBdr>
    </w:div>
    <w:div w:id="1555891875">
      <w:bodyDiv w:val="1"/>
      <w:marLeft w:val="0"/>
      <w:marRight w:val="0"/>
      <w:marTop w:val="0"/>
      <w:marBottom w:val="0"/>
      <w:divBdr>
        <w:top w:val="none" w:sz="0" w:space="0" w:color="auto"/>
        <w:left w:val="none" w:sz="0" w:space="0" w:color="auto"/>
        <w:bottom w:val="none" w:sz="0" w:space="0" w:color="auto"/>
        <w:right w:val="none" w:sz="0" w:space="0" w:color="auto"/>
      </w:divBdr>
    </w:div>
    <w:div w:id="1562521597">
      <w:bodyDiv w:val="1"/>
      <w:marLeft w:val="0"/>
      <w:marRight w:val="0"/>
      <w:marTop w:val="0"/>
      <w:marBottom w:val="0"/>
      <w:divBdr>
        <w:top w:val="none" w:sz="0" w:space="0" w:color="auto"/>
        <w:left w:val="none" w:sz="0" w:space="0" w:color="auto"/>
        <w:bottom w:val="none" w:sz="0" w:space="0" w:color="auto"/>
        <w:right w:val="none" w:sz="0" w:space="0" w:color="auto"/>
      </w:divBdr>
    </w:div>
    <w:div w:id="1568610026">
      <w:bodyDiv w:val="1"/>
      <w:marLeft w:val="0"/>
      <w:marRight w:val="0"/>
      <w:marTop w:val="0"/>
      <w:marBottom w:val="0"/>
      <w:divBdr>
        <w:top w:val="none" w:sz="0" w:space="0" w:color="auto"/>
        <w:left w:val="none" w:sz="0" w:space="0" w:color="auto"/>
        <w:bottom w:val="none" w:sz="0" w:space="0" w:color="auto"/>
        <w:right w:val="none" w:sz="0" w:space="0" w:color="auto"/>
      </w:divBdr>
    </w:div>
    <w:div w:id="1606376211">
      <w:bodyDiv w:val="1"/>
      <w:marLeft w:val="0"/>
      <w:marRight w:val="0"/>
      <w:marTop w:val="0"/>
      <w:marBottom w:val="0"/>
      <w:divBdr>
        <w:top w:val="none" w:sz="0" w:space="0" w:color="auto"/>
        <w:left w:val="none" w:sz="0" w:space="0" w:color="auto"/>
        <w:bottom w:val="none" w:sz="0" w:space="0" w:color="auto"/>
        <w:right w:val="none" w:sz="0" w:space="0" w:color="auto"/>
      </w:divBdr>
      <w:divsChild>
        <w:div w:id="729840230">
          <w:marLeft w:val="0"/>
          <w:marRight w:val="0"/>
          <w:marTop w:val="0"/>
          <w:marBottom w:val="160"/>
          <w:divBdr>
            <w:top w:val="none" w:sz="0" w:space="0" w:color="auto"/>
            <w:left w:val="none" w:sz="0" w:space="0" w:color="auto"/>
            <w:bottom w:val="none" w:sz="0" w:space="0" w:color="auto"/>
            <w:right w:val="none" w:sz="0" w:space="0" w:color="auto"/>
          </w:divBdr>
        </w:div>
        <w:div w:id="1459761652">
          <w:marLeft w:val="0"/>
          <w:marRight w:val="0"/>
          <w:marTop w:val="0"/>
          <w:marBottom w:val="160"/>
          <w:divBdr>
            <w:top w:val="none" w:sz="0" w:space="0" w:color="auto"/>
            <w:left w:val="none" w:sz="0" w:space="0" w:color="auto"/>
            <w:bottom w:val="none" w:sz="0" w:space="0" w:color="auto"/>
            <w:right w:val="none" w:sz="0" w:space="0" w:color="auto"/>
          </w:divBdr>
        </w:div>
        <w:div w:id="2021463511">
          <w:marLeft w:val="0"/>
          <w:marRight w:val="0"/>
          <w:marTop w:val="0"/>
          <w:marBottom w:val="160"/>
          <w:divBdr>
            <w:top w:val="none" w:sz="0" w:space="0" w:color="auto"/>
            <w:left w:val="none" w:sz="0" w:space="0" w:color="auto"/>
            <w:bottom w:val="none" w:sz="0" w:space="0" w:color="auto"/>
            <w:right w:val="none" w:sz="0" w:space="0" w:color="auto"/>
          </w:divBdr>
        </w:div>
      </w:divsChild>
    </w:div>
    <w:div w:id="1607687474">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 w:id="1626696393">
      <w:bodyDiv w:val="1"/>
      <w:marLeft w:val="0"/>
      <w:marRight w:val="0"/>
      <w:marTop w:val="0"/>
      <w:marBottom w:val="0"/>
      <w:divBdr>
        <w:top w:val="none" w:sz="0" w:space="0" w:color="auto"/>
        <w:left w:val="none" w:sz="0" w:space="0" w:color="auto"/>
        <w:bottom w:val="none" w:sz="0" w:space="0" w:color="auto"/>
        <w:right w:val="none" w:sz="0" w:space="0" w:color="auto"/>
      </w:divBdr>
    </w:div>
    <w:div w:id="1641811474">
      <w:bodyDiv w:val="1"/>
      <w:marLeft w:val="0"/>
      <w:marRight w:val="0"/>
      <w:marTop w:val="0"/>
      <w:marBottom w:val="0"/>
      <w:divBdr>
        <w:top w:val="none" w:sz="0" w:space="0" w:color="auto"/>
        <w:left w:val="none" w:sz="0" w:space="0" w:color="auto"/>
        <w:bottom w:val="none" w:sz="0" w:space="0" w:color="auto"/>
        <w:right w:val="none" w:sz="0" w:space="0" w:color="auto"/>
      </w:divBdr>
    </w:div>
    <w:div w:id="1647588101">
      <w:bodyDiv w:val="1"/>
      <w:marLeft w:val="0"/>
      <w:marRight w:val="0"/>
      <w:marTop w:val="0"/>
      <w:marBottom w:val="0"/>
      <w:divBdr>
        <w:top w:val="none" w:sz="0" w:space="0" w:color="auto"/>
        <w:left w:val="none" w:sz="0" w:space="0" w:color="auto"/>
        <w:bottom w:val="none" w:sz="0" w:space="0" w:color="auto"/>
        <w:right w:val="none" w:sz="0" w:space="0" w:color="auto"/>
      </w:divBdr>
    </w:div>
    <w:div w:id="1669096844">
      <w:bodyDiv w:val="1"/>
      <w:marLeft w:val="0"/>
      <w:marRight w:val="0"/>
      <w:marTop w:val="0"/>
      <w:marBottom w:val="0"/>
      <w:divBdr>
        <w:top w:val="none" w:sz="0" w:space="0" w:color="auto"/>
        <w:left w:val="none" w:sz="0" w:space="0" w:color="auto"/>
        <w:bottom w:val="none" w:sz="0" w:space="0" w:color="auto"/>
        <w:right w:val="none" w:sz="0" w:space="0" w:color="auto"/>
      </w:divBdr>
      <w:divsChild>
        <w:div w:id="518936356">
          <w:marLeft w:val="0"/>
          <w:marRight w:val="0"/>
          <w:marTop w:val="0"/>
          <w:marBottom w:val="160"/>
          <w:divBdr>
            <w:top w:val="none" w:sz="0" w:space="0" w:color="auto"/>
            <w:left w:val="none" w:sz="0" w:space="0" w:color="auto"/>
            <w:bottom w:val="none" w:sz="0" w:space="0" w:color="auto"/>
            <w:right w:val="none" w:sz="0" w:space="0" w:color="auto"/>
          </w:divBdr>
        </w:div>
        <w:div w:id="528104072">
          <w:marLeft w:val="0"/>
          <w:marRight w:val="0"/>
          <w:marTop w:val="0"/>
          <w:marBottom w:val="160"/>
          <w:divBdr>
            <w:top w:val="none" w:sz="0" w:space="0" w:color="auto"/>
            <w:left w:val="none" w:sz="0" w:space="0" w:color="auto"/>
            <w:bottom w:val="none" w:sz="0" w:space="0" w:color="auto"/>
            <w:right w:val="none" w:sz="0" w:space="0" w:color="auto"/>
          </w:divBdr>
        </w:div>
        <w:div w:id="273513336">
          <w:marLeft w:val="0"/>
          <w:marRight w:val="0"/>
          <w:marTop w:val="0"/>
          <w:marBottom w:val="160"/>
          <w:divBdr>
            <w:top w:val="none" w:sz="0" w:space="0" w:color="auto"/>
            <w:left w:val="none" w:sz="0" w:space="0" w:color="auto"/>
            <w:bottom w:val="none" w:sz="0" w:space="0" w:color="auto"/>
            <w:right w:val="none" w:sz="0" w:space="0" w:color="auto"/>
          </w:divBdr>
        </w:div>
      </w:divsChild>
    </w:div>
    <w:div w:id="1695689083">
      <w:bodyDiv w:val="1"/>
      <w:marLeft w:val="0"/>
      <w:marRight w:val="0"/>
      <w:marTop w:val="0"/>
      <w:marBottom w:val="0"/>
      <w:divBdr>
        <w:top w:val="none" w:sz="0" w:space="0" w:color="auto"/>
        <w:left w:val="none" w:sz="0" w:space="0" w:color="auto"/>
        <w:bottom w:val="none" w:sz="0" w:space="0" w:color="auto"/>
        <w:right w:val="none" w:sz="0" w:space="0" w:color="auto"/>
      </w:divBdr>
    </w:div>
    <w:div w:id="1761637096">
      <w:bodyDiv w:val="1"/>
      <w:marLeft w:val="0"/>
      <w:marRight w:val="0"/>
      <w:marTop w:val="0"/>
      <w:marBottom w:val="0"/>
      <w:divBdr>
        <w:top w:val="none" w:sz="0" w:space="0" w:color="auto"/>
        <w:left w:val="none" w:sz="0" w:space="0" w:color="auto"/>
        <w:bottom w:val="none" w:sz="0" w:space="0" w:color="auto"/>
        <w:right w:val="none" w:sz="0" w:space="0" w:color="auto"/>
      </w:divBdr>
      <w:divsChild>
        <w:div w:id="423385161">
          <w:marLeft w:val="0"/>
          <w:marRight w:val="0"/>
          <w:marTop w:val="0"/>
          <w:marBottom w:val="160"/>
          <w:divBdr>
            <w:top w:val="none" w:sz="0" w:space="0" w:color="auto"/>
            <w:left w:val="none" w:sz="0" w:space="0" w:color="auto"/>
            <w:bottom w:val="none" w:sz="0" w:space="0" w:color="auto"/>
            <w:right w:val="none" w:sz="0" w:space="0" w:color="auto"/>
          </w:divBdr>
        </w:div>
        <w:div w:id="2126801678">
          <w:marLeft w:val="0"/>
          <w:marRight w:val="0"/>
          <w:marTop w:val="0"/>
          <w:marBottom w:val="160"/>
          <w:divBdr>
            <w:top w:val="none" w:sz="0" w:space="0" w:color="auto"/>
            <w:left w:val="none" w:sz="0" w:space="0" w:color="auto"/>
            <w:bottom w:val="none" w:sz="0" w:space="0" w:color="auto"/>
            <w:right w:val="none" w:sz="0" w:space="0" w:color="auto"/>
          </w:divBdr>
        </w:div>
        <w:div w:id="827133892">
          <w:marLeft w:val="0"/>
          <w:marRight w:val="0"/>
          <w:marTop w:val="0"/>
          <w:marBottom w:val="160"/>
          <w:divBdr>
            <w:top w:val="none" w:sz="0" w:space="0" w:color="auto"/>
            <w:left w:val="none" w:sz="0" w:space="0" w:color="auto"/>
            <w:bottom w:val="none" w:sz="0" w:space="0" w:color="auto"/>
            <w:right w:val="none" w:sz="0" w:space="0" w:color="auto"/>
          </w:divBdr>
        </w:div>
      </w:divsChild>
    </w:div>
    <w:div w:id="1799494866">
      <w:bodyDiv w:val="1"/>
      <w:marLeft w:val="0"/>
      <w:marRight w:val="0"/>
      <w:marTop w:val="0"/>
      <w:marBottom w:val="0"/>
      <w:divBdr>
        <w:top w:val="none" w:sz="0" w:space="0" w:color="auto"/>
        <w:left w:val="none" w:sz="0" w:space="0" w:color="auto"/>
        <w:bottom w:val="none" w:sz="0" w:space="0" w:color="auto"/>
        <w:right w:val="none" w:sz="0" w:space="0" w:color="auto"/>
      </w:divBdr>
    </w:div>
    <w:div w:id="1806041921">
      <w:bodyDiv w:val="1"/>
      <w:marLeft w:val="0"/>
      <w:marRight w:val="0"/>
      <w:marTop w:val="0"/>
      <w:marBottom w:val="0"/>
      <w:divBdr>
        <w:top w:val="none" w:sz="0" w:space="0" w:color="auto"/>
        <w:left w:val="none" w:sz="0" w:space="0" w:color="auto"/>
        <w:bottom w:val="none" w:sz="0" w:space="0" w:color="auto"/>
        <w:right w:val="none" w:sz="0" w:space="0" w:color="auto"/>
      </w:divBdr>
    </w:div>
    <w:div w:id="1806653743">
      <w:bodyDiv w:val="1"/>
      <w:marLeft w:val="0"/>
      <w:marRight w:val="0"/>
      <w:marTop w:val="0"/>
      <w:marBottom w:val="0"/>
      <w:divBdr>
        <w:top w:val="none" w:sz="0" w:space="0" w:color="auto"/>
        <w:left w:val="none" w:sz="0" w:space="0" w:color="auto"/>
        <w:bottom w:val="none" w:sz="0" w:space="0" w:color="auto"/>
        <w:right w:val="none" w:sz="0" w:space="0" w:color="auto"/>
      </w:divBdr>
    </w:div>
    <w:div w:id="1831869620">
      <w:bodyDiv w:val="1"/>
      <w:marLeft w:val="0"/>
      <w:marRight w:val="0"/>
      <w:marTop w:val="0"/>
      <w:marBottom w:val="0"/>
      <w:divBdr>
        <w:top w:val="none" w:sz="0" w:space="0" w:color="auto"/>
        <w:left w:val="none" w:sz="0" w:space="0" w:color="auto"/>
        <w:bottom w:val="none" w:sz="0" w:space="0" w:color="auto"/>
        <w:right w:val="none" w:sz="0" w:space="0" w:color="auto"/>
      </w:divBdr>
    </w:div>
    <w:div w:id="1834879058">
      <w:bodyDiv w:val="1"/>
      <w:marLeft w:val="0"/>
      <w:marRight w:val="0"/>
      <w:marTop w:val="0"/>
      <w:marBottom w:val="0"/>
      <w:divBdr>
        <w:top w:val="none" w:sz="0" w:space="0" w:color="auto"/>
        <w:left w:val="none" w:sz="0" w:space="0" w:color="auto"/>
        <w:bottom w:val="none" w:sz="0" w:space="0" w:color="auto"/>
        <w:right w:val="none" w:sz="0" w:space="0" w:color="auto"/>
      </w:divBdr>
    </w:div>
    <w:div w:id="1838374371">
      <w:bodyDiv w:val="1"/>
      <w:marLeft w:val="0"/>
      <w:marRight w:val="0"/>
      <w:marTop w:val="0"/>
      <w:marBottom w:val="0"/>
      <w:divBdr>
        <w:top w:val="none" w:sz="0" w:space="0" w:color="auto"/>
        <w:left w:val="none" w:sz="0" w:space="0" w:color="auto"/>
        <w:bottom w:val="none" w:sz="0" w:space="0" w:color="auto"/>
        <w:right w:val="none" w:sz="0" w:space="0" w:color="auto"/>
      </w:divBdr>
    </w:div>
    <w:div w:id="1843085015">
      <w:bodyDiv w:val="1"/>
      <w:marLeft w:val="0"/>
      <w:marRight w:val="0"/>
      <w:marTop w:val="0"/>
      <w:marBottom w:val="0"/>
      <w:divBdr>
        <w:top w:val="none" w:sz="0" w:space="0" w:color="auto"/>
        <w:left w:val="none" w:sz="0" w:space="0" w:color="auto"/>
        <w:bottom w:val="none" w:sz="0" w:space="0" w:color="auto"/>
        <w:right w:val="none" w:sz="0" w:space="0" w:color="auto"/>
      </w:divBdr>
    </w:div>
    <w:div w:id="1951625272">
      <w:bodyDiv w:val="1"/>
      <w:marLeft w:val="0"/>
      <w:marRight w:val="0"/>
      <w:marTop w:val="0"/>
      <w:marBottom w:val="0"/>
      <w:divBdr>
        <w:top w:val="none" w:sz="0" w:space="0" w:color="auto"/>
        <w:left w:val="none" w:sz="0" w:space="0" w:color="auto"/>
        <w:bottom w:val="none" w:sz="0" w:space="0" w:color="auto"/>
        <w:right w:val="none" w:sz="0" w:space="0" w:color="auto"/>
      </w:divBdr>
    </w:div>
    <w:div w:id="1958440709">
      <w:bodyDiv w:val="1"/>
      <w:marLeft w:val="0"/>
      <w:marRight w:val="0"/>
      <w:marTop w:val="0"/>
      <w:marBottom w:val="0"/>
      <w:divBdr>
        <w:top w:val="none" w:sz="0" w:space="0" w:color="auto"/>
        <w:left w:val="none" w:sz="0" w:space="0" w:color="auto"/>
        <w:bottom w:val="none" w:sz="0" w:space="0" w:color="auto"/>
        <w:right w:val="none" w:sz="0" w:space="0" w:color="auto"/>
      </w:divBdr>
    </w:div>
    <w:div w:id="2021278799">
      <w:bodyDiv w:val="1"/>
      <w:marLeft w:val="0"/>
      <w:marRight w:val="0"/>
      <w:marTop w:val="0"/>
      <w:marBottom w:val="0"/>
      <w:divBdr>
        <w:top w:val="none" w:sz="0" w:space="0" w:color="auto"/>
        <w:left w:val="none" w:sz="0" w:space="0" w:color="auto"/>
        <w:bottom w:val="none" w:sz="0" w:space="0" w:color="auto"/>
        <w:right w:val="none" w:sz="0" w:space="0" w:color="auto"/>
      </w:divBdr>
    </w:div>
    <w:div w:id="2077781944">
      <w:bodyDiv w:val="1"/>
      <w:marLeft w:val="0"/>
      <w:marRight w:val="0"/>
      <w:marTop w:val="0"/>
      <w:marBottom w:val="0"/>
      <w:divBdr>
        <w:top w:val="none" w:sz="0" w:space="0" w:color="auto"/>
        <w:left w:val="none" w:sz="0" w:space="0" w:color="auto"/>
        <w:bottom w:val="none" w:sz="0" w:space="0" w:color="auto"/>
        <w:right w:val="none" w:sz="0" w:space="0" w:color="auto"/>
      </w:divBdr>
    </w:div>
    <w:div w:id="2110271813">
      <w:bodyDiv w:val="1"/>
      <w:marLeft w:val="0"/>
      <w:marRight w:val="0"/>
      <w:marTop w:val="0"/>
      <w:marBottom w:val="0"/>
      <w:divBdr>
        <w:top w:val="none" w:sz="0" w:space="0" w:color="auto"/>
        <w:left w:val="none" w:sz="0" w:space="0" w:color="auto"/>
        <w:bottom w:val="none" w:sz="0" w:space="0" w:color="auto"/>
        <w:right w:val="none" w:sz="0" w:space="0" w:color="auto"/>
      </w:divBdr>
    </w:div>
    <w:div w:id="2115590451">
      <w:bodyDiv w:val="1"/>
      <w:marLeft w:val="0"/>
      <w:marRight w:val="0"/>
      <w:marTop w:val="0"/>
      <w:marBottom w:val="0"/>
      <w:divBdr>
        <w:top w:val="none" w:sz="0" w:space="0" w:color="auto"/>
        <w:left w:val="none" w:sz="0" w:space="0" w:color="auto"/>
        <w:bottom w:val="none" w:sz="0" w:space="0" w:color="auto"/>
        <w:right w:val="none" w:sz="0" w:space="0" w:color="auto"/>
      </w:divBdr>
      <w:divsChild>
        <w:div w:id="428045146">
          <w:marLeft w:val="0"/>
          <w:marRight w:val="0"/>
          <w:marTop w:val="0"/>
          <w:marBottom w:val="0"/>
          <w:divBdr>
            <w:top w:val="none" w:sz="0" w:space="0" w:color="auto"/>
            <w:left w:val="none" w:sz="0" w:space="0" w:color="auto"/>
            <w:bottom w:val="none" w:sz="0" w:space="0" w:color="auto"/>
            <w:right w:val="none" w:sz="0" w:space="0" w:color="auto"/>
          </w:divBdr>
          <w:divsChild>
            <w:div w:id="1917788406">
              <w:marLeft w:val="0"/>
              <w:marRight w:val="0"/>
              <w:marTop w:val="0"/>
              <w:marBottom w:val="0"/>
              <w:divBdr>
                <w:top w:val="none" w:sz="0" w:space="0" w:color="auto"/>
                <w:left w:val="none" w:sz="0" w:space="0" w:color="auto"/>
                <w:bottom w:val="none" w:sz="0" w:space="0" w:color="auto"/>
                <w:right w:val="none" w:sz="0" w:space="0" w:color="auto"/>
              </w:divBdr>
              <w:divsChild>
                <w:div w:id="109321855">
                  <w:marLeft w:val="0"/>
                  <w:marRight w:val="0"/>
                  <w:marTop w:val="0"/>
                  <w:marBottom w:val="0"/>
                  <w:divBdr>
                    <w:top w:val="none" w:sz="0" w:space="0" w:color="auto"/>
                    <w:left w:val="none" w:sz="0" w:space="0" w:color="auto"/>
                    <w:bottom w:val="none" w:sz="0" w:space="0" w:color="auto"/>
                    <w:right w:val="none" w:sz="0" w:space="0" w:color="auto"/>
                  </w:divBdr>
                  <w:divsChild>
                    <w:div w:id="824205549">
                      <w:marLeft w:val="0"/>
                      <w:marRight w:val="0"/>
                      <w:marTop w:val="0"/>
                      <w:marBottom w:val="0"/>
                      <w:divBdr>
                        <w:top w:val="none" w:sz="0" w:space="0" w:color="auto"/>
                        <w:left w:val="none" w:sz="0" w:space="0" w:color="auto"/>
                        <w:bottom w:val="none" w:sz="0" w:space="0" w:color="auto"/>
                        <w:right w:val="none" w:sz="0" w:space="0" w:color="auto"/>
                      </w:divBdr>
                      <w:divsChild>
                        <w:div w:id="1492217882">
                          <w:marLeft w:val="0"/>
                          <w:marRight w:val="0"/>
                          <w:marTop w:val="0"/>
                          <w:marBottom w:val="0"/>
                          <w:divBdr>
                            <w:top w:val="none" w:sz="0" w:space="0" w:color="auto"/>
                            <w:left w:val="none" w:sz="0" w:space="0" w:color="auto"/>
                            <w:bottom w:val="none" w:sz="0" w:space="0" w:color="auto"/>
                            <w:right w:val="none" w:sz="0" w:space="0" w:color="auto"/>
                          </w:divBdr>
                          <w:divsChild>
                            <w:div w:id="167556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82362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dreamachadoe@gmail.com" TargetMode="External"/><Relationship Id="rId18" Type="http://schemas.openxmlformats.org/officeDocument/2006/relationships/hyperlink" Target="https://forms.office.com/r/pPHyWVs2SZ" TargetMode="Externa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mailto:joserami144@gmail.com" TargetMode="External"/><Relationship Id="rId17" Type="http://schemas.openxmlformats.org/officeDocument/2006/relationships/hyperlink" Target="https://www.colombiacompra.gov.co/pqrsd/informacion-importante-antes-de-formular-una-pqrsd" TargetMode="External"/><Relationship Id="rId2" Type="http://schemas.openxmlformats.org/officeDocument/2006/relationships/customXml" Target="../customXml/item2.xml"/><Relationship Id="rId16" Type="http://schemas.openxmlformats.org/officeDocument/2006/relationships/hyperlink" Target="mailto:ventanilladeradicacion@colombiacompra.gov.c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23"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image" Target="media/image3.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SharedWithUsers xmlns="a6cb9e4b-f1d1-4245-83ec-6cad768d538a">
      <UserInfo>
        <DisplayName>Alejandro Sarmiento</DisplayName>
        <AccountId>129</AccountId>
        <AccountType/>
      </UserInfo>
    </SharedWithUser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1C9998B-E8AE-441C-94D7-15CBACD3C2F4}"/>
</file>

<file path=customXml/itemProps2.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customXml/itemProps4.xml><?xml version="1.0" encoding="utf-8"?>
<ds:datastoreItem xmlns:ds="http://schemas.openxmlformats.org/officeDocument/2006/customXml" ds:itemID="{B524EFD2-6506-4654-A0AC-DEF36450FF5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22</Pages>
  <Words>7183</Words>
  <Characters>39508</Characters>
  <Application>Microsoft Office Word</Application>
  <DocSecurity>0</DocSecurity>
  <Lines>329</Lines>
  <Paragraphs>93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46598</CharactersWithSpaces>
  <SharedDoc>false</SharedDoc>
  <HLinks>
    <vt:vector size="48" baseType="variant">
      <vt:variant>
        <vt:i4>5439494</vt:i4>
      </vt:variant>
      <vt:variant>
        <vt:i4>15</vt:i4>
      </vt:variant>
      <vt:variant>
        <vt:i4>0</vt:i4>
      </vt:variant>
      <vt:variant>
        <vt:i4>5</vt:i4>
      </vt:variant>
      <vt:variant>
        <vt:lpwstr>https://www.colombiacompra.gov.co/sala-de-prensa/boletin-digital</vt:lpwstr>
      </vt:variant>
      <vt:variant>
        <vt:lpwstr/>
      </vt:variant>
      <vt:variant>
        <vt:i4>7471218</vt:i4>
      </vt:variant>
      <vt:variant>
        <vt:i4>12</vt:i4>
      </vt:variant>
      <vt:variant>
        <vt:i4>0</vt:i4>
      </vt:variant>
      <vt:variant>
        <vt:i4>5</vt:i4>
      </vt:variant>
      <vt:variant>
        <vt:lpwstr>https://relatoria.colombiacompra.gov.co/busqueda/conceptos</vt:lpwstr>
      </vt:variant>
      <vt:variant>
        <vt:lpwstr/>
      </vt:variant>
      <vt:variant>
        <vt:i4>5111895</vt:i4>
      </vt:variant>
      <vt:variant>
        <vt:i4>9</vt:i4>
      </vt:variant>
      <vt:variant>
        <vt:i4>0</vt:i4>
      </vt:variant>
      <vt:variant>
        <vt:i4>5</vt:i4>
      </vt:variant>
      <vt:variant>
        <vt:lpwstr>https://www.colombiacompra.gov.co/manuales-guias-y-pliegos-tipo/manuales-y-guias</vt:lpwstr>
      </vt:variant>
      <vt:variant>
        <vt:lpwstr/>
      </vt:variant>
      <vt:variant>
        <vt:i4>3801145</vt:i4>
      </vt:variant>
      <vt:variant>
        <vt:i4>6</vt:i4>
      </vt:variant>
      <vt:variant>
        <vt:i4>0</vt:i4>
      </vt:variant>
      <vt:variant>
        <vt:i4>5</vt:i4>
      </vt:variant>
      <vt:variant>
        <vt:lpwstr>https://relatoria.colombiacompra.gov.co/providencias-consejo-de-estado/</vt:lpwstr>
      </vt:variant>
      <vt:variant>
        <vt:lpwstr/>
      </vt:variant>
      <vt:variant>
        <vt:i4>3145787</vt:i4>
      </vt:variant>
      <vt:variant>
        <vt:i4>3</vt:i4>
      </vt:variant>
      <vt:variant>
        <vt:i4>0</vt:i4>
      </vt:variant>
      <vt:variant>
        <vt:i4>5</vt:i4>
      </vt:variant>
      <vt:variant>
        <vt:lpwstr>https://www.colombiacompra.gov.co/content/04-documentos-tipo-de-licitacion-de-obra-publica-para-proyectos-de-infraestructura-social</vt:lpwstr>
      </vt:variant>
      <vt:variant>
        <vt:lpwstr/>
      </vt:variant>
      <vt:variant>
        <vt:i4>7208987</vt:i4>
      </vt:variant>
      <vt:variant>
        <vt:i4>0</vt:i4>
      </vt:variant>
      <vt:variant>
        <vt:i4>0</vt:i4>
      </vt:variant>
      <vt:variant>
        <vt:i4>5</vt:i4>
      </vt:variant>
      <vt:variant>
        <vt:lpwstr>https://www.colombiacompra.gov.co/sites/cce_public/files/cce_circulares/circular_externa_unica_version_3_vf49.pdf</vt:lpwstr>
      </vt:variant>
      <vt:variant>
        <vt:lpwstr/>
      </vt:variant>
      <vt:variant>
        <vt:i4>6619182</vt:i4>
      </vt:variant>
      <vt:variant>
        <vt:i4>3</vt:i4>
      </vt:variant>
      <vt:variant>
        <vt:i4>0</vt:i4>
      </vt:variant>
      <vt:variant>
        <vt:i4>5</vt:i4>
      </vt:variant>
      <vt:variant>
        <vt:lpwstr>https://www.culturarecreacionydeporte.gov.co/es/bogotanitos/bogodatos/las-plazas-de-mercado-de-bogota</vt:lpwstr>
      </vt:variant>
      <vt:variant>
        <vt:lpwstr>:~:text=Muchos%20tienen%20diferentes%20conceptos%20sobre,en%20un%20sitio%20abierto%20o</vt:lpwstr>
      </vt:variant>
      <vt:variant>
        <vt:i4>2883621</vt:i4>
      </vt:variant>
      <vt:variant>
        <vt:i4>0</vt:i4>
      </vt:variant>
      <vt:variant>
        <vt:i4>0</vt:i4>
      </vt:variant>
      <vt:variant>
        <vt:i4>5</vt:i4>
      </vt:variant>
      <vt:variant>
        <vt:lpwstr>https://www.colombiacompra.gov.co/content/03-documentos-tipo-transversales-de-licitacion-de-obra-publica-de-infraestructura-social-con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ANCP-SGC</dc:creator>
  <cp:keywords/>
  <dc:description/>
  <cp:lastModifiedBy>ANCP - CCE </cp:lastModifiedBy>
  <cp:revision>12</cp:revision>
  <dcterms:created xsi:type="dcterms:W3CDTF">2025-12-22T01:14:00Z</dcterms:created>
  <dcterms:modified xsi:type="dcterms:W3CDTF">2025-12-22T01:31:00Z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