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A3892" w14:textId="2518F91B" w:rsidR="00442133" w:rsidRPr="00442133" w:rsidRDefault="00442133" w:rsidP="00442133">
      <w:pPr>
        <w:spacing w:after="0" w:line="240" w:lineRule="auto"/>
        <w:jc w:val="both"/>
        <w:rPr>
          <w:rFonts w:ascii="Verdana" w:eastAsia="Calibri" w:hAnsi="Verdana" w:cs="Arial"/>
          <w:b/>
          <w:lang w:val="es-ES_tradnl" w:eastAsia="es-ES_tradnl"/>
        </w:rPr>
      </w:pPr>
      <w:r w:rsidRPr="00442133">
        <w:rPr>
          <w:rFonts w:ascii="Verdana" w:eastAsia="Calibri" w:hAnsi="Verdana" w:cs="Arial"/>
          <w:b/>
          <w:lang w:val="es-ES_tradnl" w:eastAsia="es-ES_tradnl"/>
        </w:rPr>
        <w:t>SOCIEDADES NUEVAS ‒ Experiencia ‒ Inferior a tres a</w:t>
      </w:r>
      <w:r w:rsidRPr="00442133">
        <w:rPr>
          <w:rFonts w:ascii="Verdana" w:eastAsia="Calibri" w:hAnsi="Verdana" w:cs="Century Gothic"/>
          <w:b/>
          <w:lang w:val="es-ES_tradnl" w:eastAsia="es-ES_tradnl"/>
        </w:rPr>
        <w:t>ñ</w:t>
      </w:r>
      <w:r w:rsidRPr="00442133">
        <w:rPr>
          <w:rFonts w:ascii="Verdana" w:eastAsia="Calibri" w:hAnsi="Verdana" w:cs="Arial"/>
          <w:b/>
          <w:lang w:val="es-ES_tradnl" w:eastAsia="es-ES_tradnl"/>
        </w:rPr>
        <w:t>os ‒ Requisitos habilitantes</w:t>
      </w:r>
    </w:p>
    <w:p w14:paraId="45B53225" w14:textId="77777777" w:rsidR="00442133" w:rsidRDefault="00442133" w:rsidP="00442133">
      <w:pPr>
        <w:spacing w:after="0" w:line="240" w:lineRule="auto"/>
        <w:jc w:val="both"/>
        <w:rPr>
          <w:rFonts w:ascii="Verdana" w:eastAsia="Calibri" w:hAnsi="Verdana" w:cs="Arial"/>
          <w:bCs/>
          <w:lang w:val="es-ES_tradnl" w:eastAsia="es-ES_tradnl"/>
        </w:rPr>
      </w:pPr>
    </w:p>
    <w:p w14:paraId="7CE3D874" w14:textId="64BC319D" w:rsidR="00442133" w:rsidRDefault="00442133" w:rsidP="00442133">
      <w:pPr>
        <w:spacing w:after="0" w:line="240" w:lineRule="auto"/>
        <w:jc w:val="both"/>
        <w:rPr>
          <w:rFonts w:ascii="Verdana" w:eastAsia="Calibri" w:hAnsi="Verdana" w:cs="Arial"/>
          <w:kern w:val="2"/>
          <w:lang w:val="es-ES"/>
          <w14:ligatures w14:val="standardContextual"/>
        </w:rPr>
      </w:pPr>
      <w:r w:rsidRPr="38FACAB2">
        <w:rPr>
          <w:rFonts w:ascii="Verdana" w:eastAsia="Calibri" w:hAnsi="Verdana" w:cs="Arial"/>
          <w:kern w:val="2"/>
          <w:lang w:val="es-ES"/>
          <w14:ligatures w14:val="standardContextual"/>
        </w:rPr>
        <w:t>La Ley 1150 de 2007, en el artículo 5, establece los requisitos habilitantes para participar en un procedimiento contractual, dentro de los cuales se destaca la experiencia</w:t>
      </w:r>
      <w:r>
        <w:rPr>
          <w:rFonts w:ascii="Verdana" w:eastAsia="Calibri" w:hAnsi="Verdana" w:cs="Arial"/>
          <w:kern w:val="2"/>
          <w:lang w:val="es-ES"/>
          <w14:ligatures w14:val="standardContextual"/>
        </w:rPr>
        <w:t xml:space="preserve">. Su </w:t>
      </w:r>
      <w:r w:rsidRPr="38FACAB2">
        <w:rPr>
          <w:rFonts w:ascii="Verdana" w:eastAsia="Calibri" w:hAnsi="Verdana" w:cs="Arial"/>
          <w:kern w:val="2"/>
          <w:lang w:val="es-ES"/>
          <w14:ligatures w14:val="standardContextual"/>
        </w:rPr>
        <w:t xml:space="preserve">propósito es que las entidades fijen unos requisitos mínimos que debe tener y acreditar el proponente, para que la entidad pueda verificar su aptitud para participar en el procedimiento de contratación y, si se le adjudica, ejecutar el contrato estatal. En ese sentido, la entidad, como responsable de la estructuración de su procedimiento de contratación, es autónoma para requerir la experiencia necesaria para </w:t>
      </w:r>
      <w:r>
        <w:rPr>
          <w:rFonts w:ascii="Verdana" w:eastAsia="Calibri" w:hAnsi="Verdana" w:cs="Arial"/>
          <w:kern w:val="2"/>
          <w:lang w:val="es-ES"/>
          <w14:ligatures w14:val="standardContextual"/>
        </w:rPr>
        <w:t xml:space="preserve">ejecutar </w:t>
      </w:r>
      <w:r w:rsidRPr="38FACAB2">
        <w:rPr>
          <w:rFonts w:ascii="Verdana" w:eastAsia="Calibri" w:hAnsi="Verdana" w:cs="Arial"/>
          <w:kern w:val="2"/>
          <w:lang w:val="es-ES"/>
          <w14:ligatures w14:val="standardContextual"/>
        </w:rPr>
        <w:t>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p>
    <w:p w14:paraId="1DFF4F1B" w14:textId="77777777" w:rsidR="00442133" w:rsidRDefault="00442133" w:rsidP="00442133">
      <w:pPr>
        <w:spacing w:after="0" w:line="240" w:lineRule="auto"/>
        <w:jc w:val="both"/>
        <w:rPr>
          <w:rFonts w:ascii="Verdana" w:eastAsia="Calibri" w:hAnsi="Verdana" w:cs="Arial"/>
          <w:kern w:val="2"/>
          <w:lang w:val="es-ES"/>
          <w14:ligatures w14:val="standardContextual"/>
        </w:rPr>
      </w:pPr>
    </w:p>
    <w:p w14:paraId="5C09EC1E" w14:textId="22C83213" w:rsidR="00442133" w:rsidRDefault="00442133" w:rsidP="00442133">
      <w:pPr>
        <w:spacing w:after="120" w:line="240" w:lineRule="auto"/>
        <w:jc w:val="both"/>
        <w:rPr>
          <w:rFonts w:ascii="Verdana" w:eastAsia="Calibri" w:hAnsi="Verdana" w:cs="Arial"/>
          <w:kern w:val="2"/>
          <w:lang w:val="es-ES_tradnl"/>
          <w14:ligatures w14:val="standardContextual"/>
        </w:rPr>
      </w:pPr>
      <w:r w:rsidRPr="002A000A">
        <w:rPr>
          <w:rFonts w:ascii="Verdana" w:eastAsia="Calibri" w:hAnsi="Verdana" w:cs="Arial"/>
          <w:kern w:val="2"/>
          <w:lang w:val="es-ES_tradnl"/>
          <w14:ligatures w14:val="standardContextual"/>
        </w:rPr>
        <w:t xml:space="preserve">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6186A82B" w14:textId="310483D3" w:rsidR="00442133" w:rsidRPr="00442133" w:rsidRDefault="00442133" w:rsidP="00442133">
      <w:pPr>
        <w:spacing w:after="120" w:line="240" w:lineRule="auto"/>
        <w:jc w:val="both"/>
        <w:rPr>
          <w:rFonts w:ascii="Verdana" w:eastAsia="Calibri" w:hAnsi="Verdana" w:cs="Arial"/>
          <w:b/>
          <w:kern w:val="2"/>
          <w:lang w:val="es-ES_tradnl"/>
          <w14:ligatures w14:val="standardContextual"/>
        </w:rPr>
      </w:pPr>
      <w:r w:rsidRPr="00442133">
        <w:rPr>
          <w:rFonts w:ascii="Verdana" w:eastAsia="Calibri" w:hAnsi="Verdana" w:cs="Arial"/>
          <w:b/>
          <w:lang w:val="es-ES_tradnl" w:eastAsia="es-ES_tradnl"/>
        </w:rPr>
        <w:t>EXPERIENCIA ‒ Conservaci</w:t>
      </w:r>
      <w:r w:rsidRPr="00442133">
        <w:rPr>
          <w:rFonts w:ascii="Verdana" w:eastAsia="Calibri" w:hAnsi="Verdana" w:cs="Century Gothic"/>
          <w:b/>
          <w:lang w:val="es-ES_tradnl" w:eastAsia="es-ES_tradnl"/>
        </w:rPr>
        <w:t>ó</w:t>
      </w:r>
      <w:r w:rsidRPr="00442133">
        <w:rPr>
          <w:rFonts w:ascii="Verdana" w:eastAsia="Calibri" w:hAnsi="Verdana" w:cs="Arial"/>
          <w:b/>
          <w:lang w:val="es-ES_tradnl" w:eastAsia="es-ES_tradnl"/>
        </w:rPr>
        <w:t xml:space="preserve">n ‒ Renovación RUP / EXPERIENCIA </w:t>
      </w:r>
      <w:r w:rsidRPr="00442133">
        <w:rPr>
          <w:rFonts w:ascii="Verdana" w:eastAsia="Calibri" w:hAnsi="Verdana" w:cs="Century Gothic"/>
          <w:b/>
          <w:lang w:val="es-ES_tradnl" w:eastAsia="es-ES_tradnl"/>
        </w:rPr>
        <w:t>−</w:t>
      </w:r>
      <w:r w:rsidRPr="00442133">
        <w:rPr>
          <w:rFonts w:ascii="Verdana" w:eastAsia="Calibri" w:hAnsi="Verdana" w:cs="Arial"/>
          <w:b/>
          <w:lang w:val="es-ES_tradnl" w:eastAsia="es-ES_tradnl"/>
        </w:rPr>
        <w:t xml:space="preserve"> Sociedades </w:t>
      </w:r>
      <w:r w:rsidRPr="00442133">
        <w:rPr>
          <w:rFonts w:ascii="Verdana" w:eastAsia="Calibri" w:hAnsi="Verdana" w:cs="Century Gothic"/>
          <w:b/>
          <w:lang w:val="es-ES_tradnl" w:eastAsia="es-ES_tradnl"/>
        </w:rPr>
        <w:t>–</w:t>
      </w:r>
      <w:r w:rsidRPr="00442133">
        <w:rPr>
          <w:rFonts w:ascii="Verdana" w:eastAsia="Calibri" w:hAnsi="Verdana" w:cs="Arial"/>
          <w:b/>
          <w:lang w:val="es-ES_tradnl" w:eastAsia="es-ES_tradnl"/>
        </w:rPr>
        <w:t xml:space="preserve"> Menor a 3 a</w:t>
      </w:r>
      <w:r w:rsidRPr="00442133">
        <w:rPr>
          <w:rFonts w:ascii="Verdana" w:eastAsia="Calibri" w:hAnsi="Verdana" w:cs="Century Gothic"/>
          <w:b/>
          <w:lang w:val="es-ES_tradnl" w:eastAsia="es-ES_tradnl"/>
        </w:rPr>
        <w:t>ñ</w:t>
      </w:r>
      <w:r w:rsidRPr="00442133">
        <w:rPr>
          <w:rFonts w:ascii="Verdana" w:eastAsia="Calibri" w:hAnsi="Verdana" w:cs="Arial"/>
          <w:b/>
          <w:lang w:val="es-ES_tradnl" w:eastAsia="es-ES_tradnl"/>
        </w:rPr>
        <w:t>os de constituci</w:t>
      </w:r>
      <w:r w:rsidRPr="00442133">
        <w:rPr>
          <w:rFonts w:ascii="Verdana" w:eastAsia="Calibri" w:hAnsi="Verdana" w:cs="Century Gothic"/>
          <w:b/>
          <w:lang w:val="es-ES_tradnl" w:eastAsia="es-ES_tradnl"/>
        </w:rPr>
        <w:t>ó</w:t>
      </w:r>
      <w:r w:rsidRPr="00442133">
        <w:rPr>
          <w:rFonts w:ascii="Verdana" w:eastAsia="Calibri" w:hAnsi="Verdana" w:cs="Arial"/>
          <w:b/>
          <w:lang w:val="es-ES_tradnl" w:eastAsia="es-ES_tradnl"/>
        </w:rPr>
        <w:t>n</w:t>
      </w:r>
    </w:p>
    <w:p w14:paraId="025D9AD7" w14:textId="77777777" w:rsidR="00442133" w:rsidRPr="00442133" w:rsidRDefault="00442133" w:rsidP="00442133">
      <w:pPr>
        <w:spacing w:after="0" w:line="240" w:lineRule="auto"/>
        <w:jc w:val="both"/>
        <w:rPr>
          <w:rFonts w:ascii="Verdana" w:eastAsia="Calibri" w:hAnsi="Verdana" w:cs="Arial"/>
          <w:kern w:val="2"/>
          <w:lang w:val="es-ES_tradnl"/>
          <w14:ligatures w14:val="standardContextual"/>
        </w:rPr>
      </w:pPr>
    </w:p>
    <w:p w14:paraId="67D0B1E1" w14:textId="18686C90" w:rsidR="00442133" w:rsidRDefault="00442133" w:rsidP="00442133">
      <w:pPr>
        <w:spacing w:after="0" w:line="240" w:lineRule="auto"/>
        <w:jc w:val="both"/>
        <w:rPr>
          <w:rFonts w:ascii="Verdana" w:eastAsia="Calibri" w:hAnsi="Verdana" w:cs="Arial"/>
          <w:kern w:val="2"/>
          <w:lang w:val="es-ES"/>
          <w14:ligatures w14:val="standardContextual"/>
        </w:rPr>
      </w:pPr>
      <w:r>
        <w:rPr>
          <w:rFonts w:ascii="Verdana" w:eastAsia="Calibri" w:hAnsi="Verdana" w:cs="Arial"/>
        </w:rPr>
        <w:t>Ahora bien, en torno a su consulta, e</w:t>
      </w:r>
      <w:r w:rsidRPr="00FD2C16">
        <w:rPr>
          <w:rFonts w:ascii="Verdana" w:eastAsia="Calibri" w:hAnsi="Verdana" w:cs="Arial"/>
        </w:rPr>
        <w:t xml:space="preserve">n los procesos de régimen privado que involucran recursos públicos y en los que no se exige la inscripción en el RUP, la </w:t>
      </w:r>
      <w:r>
        <w:rPr>
          <w:rFonts w:ascii="Verdana" w:eastAsia="Calibri" w:hAnsi="Verdana" w:cs="Arial"/>
        </w:rPr>
        <w:t>Agencia</w:t>
      </w:r>
      <w:r w:rsidRPr="00FD2C16">
        <w:rPr>
          <w:rFonts w:ascii="Verdana" w:eastAsia="Calibri" w:hAnsi="Verdana" w:cs="Arial"/>
        </w:rPr>
        <w:t xml:space="preserve"> recomienda utilizar medios de verificación que garanticen la observancia de la regla de conservación anterior, evitando imponer cargas excesivas a los oferentes. En ese marco, puede emplearse la certificación del representante legal y del revisor fiscal</w:t>
      </w:r>
      <w:r>
        <w:rPr>
          <w:rFonts w:ascii="Verdana" w:eastAsia="Calibri" w:hAnsi="Verdana" w:cs="Arial"/>
        </w:rPr>
        <w:t xml:space="preserve">, </w:t>
      </w:r>
      <w:r w:rsidRPr="00FD2C16">
        <w:rPr>
          <w:rFonts w:ascii="Verdana" w:eastAsia="Calibri" w:hAnsi="Verdana" w:cs="Arial"/>
        </w:rPr>
        <w:t>cuando corresponda</w:t>
      </w:r>
      <w:r>
        <w:rPr>
          <w:rFonts w:ascii="Verdana" w:eastAsia="Calibri" w:hAnsi="Verdana" w:cs="Arial"/>
        </w:rPr>
        <w:t xml:space="preserve">, </w:t>
      </w:r>
      <w:r w:rsidRPr="00FD2C16">
        <w:rPr>
          <w:rFonts w:ascii="Verdana" w:eastAsia="Calibri" w:hAnsi="Verdana" w:cs="Arial"/>
        </w:rPr>
        <w:t>acompañada de soportes</w:t>
      </w:r>
      <w:r>
        <w:rPr>
          <w:rFonts w:ascii="Verdana" w:eastAsia="Calibri" w:hAnsi="Verdana" w:cs="Arial"/>
        </w:rPr>
        <w:t xml:space="preserve"> a los que haya lugar</w:t>
      </w:r>
      <w:r w:rsidRPr="00FD2C16">
        <w:rPr>
          <w:rFonts w:ascii="Verdana" w:eastAsia="Calibri" w:hAnsi="Verdana" w:cs="Arial"/>
        </w:rPr>
        <w:t>, siempre que dichos documentos resulten idóneos, suficientes y proporcionales para acreditar las condiciones habilitantes del proponente</w:t>
      </w:r>
      <w:r>
        <w:rPr>
          <w:rFonts w:ascii="Verdana" w:eastAsia="Calibri" w:hAnsi="Verdana" w:cs="Arial"/>
        </w:rPr>
        <w:t xml:space="preserve"> y que salvaguarden los principios de la función administrativa y la gestión fiscal</w:t>
      </w:r>
      <w:r w:rsidRPr="00FD2C16">
        <w:rPr>
          <w:rFonts w:ascii="Verdana" w:eastAsia="Calibri" w:hAnsi="Verdana" w:cs="Arial"/>
        </w:rPr>
        <w:t>.</w:t>
      </w:r>
    </w:p>
    <w:p w14:paraId="0D37B61C" w14:textId="77777777" w:rsidR="00442133" w:rsidRDefault="00442133" w:rsidP="00442133">
      <w:pPr>
        <w:spacing w:after="0" w:line="240" w:lineRule="auto"/>
        <w:jc w:val="both"/>
        <w:rPr>
          <w:rFonts w:ascii="Verdana" w:eastAsia="Geomanist Light" w:hAnsi="Verdana" w:cs="Arial"/>
          <w:lang w:val="es-MX"/>
        </w:rPr>
      </w:pPr>
    </w:p>
    <w:p w14:paraId="2AF569AC" w14:textId="77777777" w:rsidR="00442133" w:rsidRDefault="00442133" w:rsidP="00952B93">
      <w:pPr>
        <w:spacing w:after="0" w:line="240" w:lineRule="auto"/>
        <w:rPr>
          <w:rFonts w:ascii="Verdana" w:eastAsia="Geomanist Light" w:hAnsi="Verdana" w:cs="Arial"/>
          <w:lang w:val="es-MX"/>
        </w:rPr>
      </w:pPr>
    </w:p>
    <w:p w14:paraId="69D1DCD0" w14:textId="3DA163CE" w:rsidR="00952B93" w:rsidRPr="00EA7EA8" w:rsidRDefault="00952B93" w:rsidP="00952B93">
      <w:pPr>
        <w:spacing w:after="0" w:line="240" w:lineRule="auto"/>
        <w:rPr>
          <w:rFonts w:ascii="Verdana" w:eastAsia="Geomanist Light" w:hAnsi="Verdana" w:cs="Arial"/>
          <w:lang w:val="es-MX"/>
        </w:rPr>
      </w:pPr>
      <w:r w:rsidRPr="00EA7EA8">
        <w:rPr>
          <w:rFonts w:ascii="Verdana" w:eastAsia="Geomanist Light" w:hAnsi="Verdana" w:cs="Arial"/>
          <w:lang w:val="es-MX"/>
        </w:rPr>
        <w:lastRenderedPageBreak/>
        <w:t>Bogotá D.C., </w:t>
      </w:r>
      <w:r w:rsidR="00442133">
        <w:rPr>
          <w:rFonts w:ascii="Verdana" w:eastAsia="Geomanist Light" w:hAnsi="Verdana" w:cs="Arial"/>
          <w:lang w:val="es-MX"/>
        </w:rPr>
        <w:t>16</w:t>
      </w:r>
      <w:r w:rsidRPr="00EA7EA8">
        <w:rPr>
          <w:rFonts w:ascii="Verdana" w:eastAsia="Geomanist Light" w:hAnsi="Verdana" w:cs="Arial"/>
          <w:lang w:val="es-MX"/>
        </w:rPr>
        <w:t xml:space="preserve"> de </w:t>
      </w:r>
      <w:r w:rsidR="00442133">
        <w:rPr>
          <w:rFonts w:ascii="Verdana" w:eastAsia="Geomanist Light" w:hAnsi="Verdana" w:cs="Arial"/>
          <w:lang w:val="es-MX"/>
        </w:rPr>
        <w:t>diciembre</w:t>
      </w:r>
      <w:r w:rsidRPr="00EA7EA8">
        <w:rPr>
          <w:rFonts w:ascii="Verdana" w:eastAsia="Geomanist Light" w:hAnsi="Verdana" w:cs="Arial"/>
          <w:lang w:val="es-MX"/>
        </w:rPr>
        <w:t xml:space="preserve"> de </w:t>
      </w:r>
      <w:r w:rsidR="00442133">
        <w:rPr>
          <w:rFonts w:ascii="Verdana" w:eastAsia="Geomanist Light" w:hAnsi="Verdana" w:cs="Arial"/>
          <w:lang w:val="es-MX"/>
        </w:rPr>
        <w:t>2025</w:t>
      </w:r>
    </w:p>
    <w:p w14:paraId="3310FDD7" w14:textId="44F9D2A6" w:rsidR="00952B93" w:rsidRPr="00EA7EA8" w:rsidRDefault="00DB5631" w:rsidP="00DB5631">
      <w:pPr>
        <w:spacing w:after="0" w:line="240" w:lineRule="auto"/>
        <w:ind w:left="4956"/>
        <w:jc w:val="both"/>
        <w:rPr>
          <w:rFonts w:ascii="Verdana" w:eastAsia="Calibri" w:hAnsi="Verdana" w:cs="Arial"/>
          <w:lang w:val="es-ES"/>
        </w:rPr>
      </w:pPr>
      <w:r w:rsidRPr="00DB5631">
        <w:rPr>
          <w:rFonts w:ascii="Verdana" w:eastAsia="Calibri" w:hAnsi="Verdana" w:cs="Arial"/>
          <w:lang w:val="es-ES"/>
        </w:rPr>
        <w:drawing>
          <wp:inline distT="0" distB="0" distL="0" distR="0" wp14:anchorId="3F12FD1A" wp14:editId="76885100">
            <wp:extent cx="3085202" cy="1066800"/>
            <wp:effectExtent l="0" t="0" r="1270" b="0"/>
            <wp:docPr id="3926287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628720" name=""/>
                    <pic:cNvPicPr/>
                  </pic:nvPicPr>
                  <pic:blipFill>
                    <a:blip r:embed="rId11"/>
                    <a:stretch>
                      <a:fillRect/>
                    </a:stretch>
                  </pic:blipFill>
                  <pic:spPr>
                    <a:xfrm>
                      <a:off x="0" y="0"/>
                      <a:ext cx="3089550" cy="1068303"/>
                    </a:xfrm>
                    <a:prstGeom prst="rect">
                      <a:avLst/>
                    </a:prstGeom>
                  </pic:spPr>
                </pic:pic>
              </a:graphicData>
            </a:graphic>
          </wp:inline>
        </w:drawing>
      </w:r>
    </w:p>
    <w:p w14:paraId="2DE6F8A0" w14:textId="77777777" w:rsidR="00952B93" w:rsidRPr="00EA7EA8" w:rsidRDefault="00952B93" w:rsidP="00952B93">
      <w:pPr>
        <w:spacing w:after="0" w:line="240" w:lineRule="auto"/>
        <w:jc w:val="both"/>
        <w:rPr>
          <w:rFonts w:ascii="Verdana" w:eastAsia="Calibri" w:hAnsi="Verdana" w:cs="Arial"/>
          <w:lang w:val="es-ES" w:eastAsia="es-ES"/>
        </w:rPr>
      </w:pPr>
      <w:r w:rsidRPr="00EA7EA8">
        <w:rPr>
          <w:rFonts w:ascii="Verdana" w:eastAsia="Calibri" w:hAnsi="Verdana" w:cs="Arial"/>
          <w:lang w:val="es-ES" w:eastAsia="es-ES"/>
        </w:rPr>
        <w:t>Señor(a)</w:t>
      </w:r>
    </w:p>
    <w:p w14:paraId="10DCCB99" w14:textId="77777777" w:rsidR="00952B93" w:rsidRPr="003D7D05" w:rsidRDefault="00952B93" w:rsidP="00952B93">
      <w:pPr>
        <w:spacing w:after="0" w:line="240" w:lineRule="auto"/>
        <w:rPr>
          <w:rFonts w:ascii="Verdana" w:eastAsia="Calibri" w:hAnsi="Verdana" w:cs="Arial"/>
          <w:b/>
          <w:lang w:val="pt-PT" w:eastAsia="es-ES_tradnl"/>
        </w:rPr>
      </w:pPr>
      <w:r w:rsidRPr="003D7D05">
        <w:rPr>
          <w:rFonts w:ascii="Verdana" w:eastAsia="Calibri" w:hAnsi="Verdana" w:cs="Arial"/>
          <w:b/>
          <w:lang w:val="pt-PT" w:eastAsia="es-ES_tradnl"/>
        </w:rPr>
        <w:t>Eliana Bolena Obando Viva</w:t>
      </w:r>
      <w:r>
        <w:rPr>
          <w:rFonts w:ascii="Verdana" w:eastAsia="Calibri" w:hAnsi="Verdana" w:cs="Arial"/>
          <w:b/>
          <w:lang w:val="pt-PT" w:eastAsia="es-ES_tradnl"/>
        </w:rPr>
        <w:t>s</w:t>
      </w:r>
    </w:p>
    <w:p w14:paraId="017B6C46" w14:textId="77777777" w:rsidR="00952B93" w:rsidRPr="003D7D05" w:rsidRDefault="00952B93" w:rsidP="00952B93">
      <w:pPr>
        <w:spacing w:after="0" w:line="240" w:lineRule="auto"/>
        <w:rPr>
          <w:rFonts w:ascii="Verdana" w:eastAsia="Calibri" w:hAnsi="Verdana" w:cs="Arial"/>
          <w:u w:val="single"/>
          <w:lang w:val="pt-PT" w:eastAsia="es-ES"/>
        </w:rPr>
      </w:pPr>
      <w:hyperlink r:id="rId12" w:history="1">
        <w:r w:rsidRPr="00E54AC4">
          <w:rPr>
            <w:rStyle w:val="Hipervnculo"/>
            <w:rFonts w:ascii="Verdana" w:eastAsia="Calibri" w:hAnsi="Verdana" w:cs="Arial"/>
            <w:lang w:val="pt-PT" w:eastAsia="es-ES"/>
          </w:rPr>
          <w:t>administrativo@kiel.com.co</w:t>
        </w:r>
      </w:hyperlink>
      <w:r>
        <w:rPr>
          <w:rFonts w:ascii="Verdana" w:eastAsia="Calibri" w:hAnsi="Verdana" w:cs="Arial"/>
          <w:u w:val="single"/>
          <w:lang w:val="pt-PT" w:eastAsia="es-ES"/>
        </w:rPr>
        <w:t xml:space="preserve">; </w:t>
      </w:r>
    </w:p>
    <w:p w14:paraId="76F57C0A" w14:textId="77777777" w:rsidR="00952B93" w:rsidRPr="003D7D05" w:rsidRDefault="00952B93" w:rsidP="00952B93">
      <w:pPr>
        <w:spacing w:after="0" w:line="240" w:lineRule="auto"/>
        <w:rPr>
          <w:rFonts w:ascii="Verdana" w:eastAsia="Calibri" w:hAnsi="Verdana" w:cs="Arial"/>
          <w:b/>
          <w:bCs/>
          <w:lang w:val="pt-PT" w:eastAsia="es-ES"/>
        </w:rPr>
      </w:pPr>
      <w:r>
        <w:rPr>
          <w:rFonts w:ascii="Verdana" w:eastAsia="Calibri" w:hAnsi="Verdana" w:cs="Arial"/>
          <w:lang w:val="pt-PT" w:eastAsia="es-ES"/>
        </w:rPr>
        <w:t>Palmira</w:t>
      </w:r>
      <w:r w:rsidRPr="003D7D05">
        <w:rPr>
          <w:rFonts w:ascii="Verdana" w:eastAsia="Calibri" w:hAnsi="Verdana" w:cs="Arial"/>
          <w:lang w:val="pt-PT" w:eastAsia="es-ES"/>
        </w:rPr>
        <w:t xml:space="preserve">, </w:t>
      </w:r>
      <w:r>
        <w:rPr>
          <w:rFonts w:ascii="Verdana" w:eastAsia="Calibri" w:hAnsi="Verdana" w:cs="Arial"/>
          <w:lang w:val="pt-PT" w:eastAsia="es-ES"/>
        </w:rPr>
        <w:t>Valle del Cauca</w:t>
      </w:r>
    </w:p>
    <w:p w14:paraId="42A477D5" w14:textId="77777777" w:rsidR="00952B93" w:rsidRPr="003D7D05" w:rsidRDefault="00952B93" w:rsidP="00952B93">
      <w:pPr>
        <w:spacing w:after="0" w:line="240" w:lineRule="auto"/>
        <w:rPr>
          <w:rFonts w:ascii="Verdana" w:eastAsia="Calibri" w:hAnsi="Verdana" w:cs="Arial"/>
          <w:b/>
          <w:bCs/>
          <w:lang w:val="pt-PT" w:eastAsia="es-ES_tradnl"/>
        </w:rPr>
      </w:pPr>
    </w:p>
    <w:p w14:paraId="3A95F07C" w14:textId="77777777" w:rsidR="00952B93" w:rsidRPr="003D7D05" w:rsidRDefault="00952B93" w:rsidP="00952B93">
      <w:pPr>
        <w:spacing w:after="0" w:line="240" w:lineRule="auto"/>
        <w:rPr>
          <w:rFonts w:ascii="Verdana" w:eastAsia="Calibri" w:hAnsi="Verdana" w:cs="Arial"/>
          <w:b/>
          <w:bCs/>
          <w:lang w:val="pt-PT" w:eastAsia="es-ES_tradnl"/>
        </w:rPr>
      </w:pPr>
    </w:p>
    <w:tbl>
      <w:tblPr>
        <w:tblStyle w:val="Tablaconcuadrcula"/>
        <w:tblW w:w="8789" w:type="dxa"/>
        <w:tblCellMar>
          <w:left w:w="0" w:type="dxa"/>
          <w:right w:w="0" w:type="dxa"/>
        </w:tblCellMar>
        <w:tblLook w:val="04A0" w:firstRow="1" w:lastRow="0" w:firstColumn="1" w:lastColumn="0" w:noHBand="0" w:noVBand="1"/>
      </w:tblPr>
      <w:tblGrid>
        <w:gridCol w:w="2689"/>
        <w:gridCol w:w="6100"/>
      </w:tblGrid>
      <w:tr w:rsidR="00952B93" w:rsidRPr="00EA7EA8" w14:paraId="41F058ED" w14:textId="77777777" w:rsidTr="007D411D">
        <w:trPr>
          <w:trHeight w:val="300"/>
        </w:trPr>
        <w:tc>
          <w:tcPr>
            <w:tcW w:w="2689" w:type="dxa"/>
          </w:tcPr>
          <w:p w14:paraId="2537912D" w14:textId="77777777" w:rsidR="00952B93" w:rsidRPr="003D7D05" w:rsidRDefault="00952B93" w:rsidP="007D411D">
            <w:pPr>
              <w:jc w:val="both"/>
              <w:rPr>
                <w:rFonts w:ascii="Verdana" w:eastAsia="Calibri" w:hAnsi="Verdana" w:cs="Arial"/>
                <w:b/>
                <w:bCs/>
                <w:lang w:val="pt-PT" w:eastAsia="es-ES_tradnl"/>
              </w:rPr>
            </w:pPr>
          </w:p>
        </w:tc>
        <w:tc>
          <w:tcPr>
            <w:tcW w:w="6100" w:type="dxa"/>
          </w:tcPr>
          <w:p w14:paraId="5FC933CD" w14:textId="77777777" w:rsidR="00952B93" w:rsidRDefault="00952B93" w:rsidP="007D411D">
            <w:pPr>
              <w:jc w:val="both"/>
              <w:rPr>
                <w:rFonts w:ascii="Verdana" w:eastAsia="Calibri" w:hAnsi="Verdana" w:cs="Arial"/>
                <w:b/>
                <w:bCs/>
                <w:lang w:val="es-ES" w:eastAsia="es-ES"/>
              </w:rPr>
            </w:pPr>
            <w:r w:rsidRPr="00EA7EA8">
              <w:rPr>
                <w:rFonts w:ascii="Verdana" w:eastAsia="Calibri" w:hAnsi="Verdana" w:cs="Arial"/>
                <w:b/>
                <w:bCs/>
                <w:lang w:val="es-ES" w:eastAsia="es-ES"/>
              </w:rPr>
              <w:t xml:space="preserve">Concepto </w:t>
            </w:r>
            <w:r w:rsidRPr="003D7D05">
              <w:rPr>
                <w:rFonts w:ascii="Verdana" w:eastAsia="Calibri" w:hAnsi="Verdana" w:cs="Arial"/>
                <w:b/>
                <w:bCs/>
                <w:lang w:val="es-ES" w:eastAsia="es-ES"/>
              </w:rPr>
              <w:t>C-1683</w:t>
            </w:r>
            <w:r>
              <w:rPr>
                <w:rFonts w:ascii="Verdana" w:eastAsia="Calibri" w:hAnsi="Verdana" w:cs="Arial"/>
                <w:b/>
                <w:bCs/>
                <w:lang w:val="es-ES" w:eastAsia="es-ES"/>
              </w:rPr>
              <w:t xml:space="preserve"> </w:t>
            </w:r>
            <w:r w:rsidRPr="00EA7EA8">
              <w:rPr>
                <w:rFonts w:ascii="Verdana" w:eastAsia="Calibri" w:hAnsi="Verdana" w:cs="Arial"/>
                <w:b/>
                <w:bCs/>
                <w:lang w:val="es-ES" w:eastAsia="es-ES"/>
              </w:rPr>
              <w:t>de 202</w:t>
            </w:r>
            <w:r>
              <w:rPr>
                <w:rFonts w:ascii="Verdana" w:eastAsia="Calibri" w:hAnsi="Verdana" w:cs="Arial"/>
                <w:b/>
                <w:bCs/>
                <w:lang w:val="es-ES" w:eastAsia="es-ES"/>
              </w:rPr>
              <w:t>5</w:t>
            </w:r>
          </w:p>
          <w:p w14:paraId="44D5321D" w14:textId="77777777" w:rsidR="00952B93" w:rsidRPr="00EA7EA8" w:rsidRDefault="00952B93" w:rsidP="007D411D">
            <w:pPr>
              <w:jc w:val="both"/>
              <w:rPr>
                <w:rFonts w:ascii="Verdana" w:eastAsia="Calibri" w:hAnsi="Verdana" w:cs="Arial"/>
                <w:b/>
                <w:bCs/>
                <w:lang w:val="es-ES" w:eastAsia="es-ES"/>
              </w:rPr>
            </w:pPr>
          </w:p>
        </w:tc>
      </w:tr>
      <w:tr w:rsidR="00952B93" w:rsidRPr="00EA7EA8" w14:paraId="35D3A61A" w14:textId="77777777" w:rsidTr="007D411D">
        <w:trPr>
          <w:trHeight w:val="884"/>
        </w:trPr>
        <w:tc>
          <w:tcPr>
            <w:tcW w:w="2689" w:type="dxa"/>
          </w:tcPr>
          <w:p w14:paraId="3C90667F" w14:textId="77777777" w:rsidR="00952B93" w:rsidRPr="00EA7EA8" w:rsidRDefault="00952B93" w:rsidP="007D411D">
            <w:pPr>
              <w:jc w:val="both"/>
              <w:rPr>
                <w:rFonts w:ascii="Verdana" w:eastAsia="Calibri" w:hAnsi="Verdana" w:cs="Arial"/>
                <w:lang w:val="es-ES_tradnl" w:eastAsia="es-ES_tradnl"/>
              </w:rPr>
            </w:pPr>
            <w:r w:rsidRPr="00EA7EA8">
              <w:rPr>
                <w:rFonts w:ascii="Verdana" w:eastAsia="Calibri" w:hAnsi="Verdana" w:cs="Arial"/>
                <w:b/>
                <w:lang w:val="es-ES_tradnl" w:eastAsia="es-ES_tradnl"/>
              </w:rPr>
              <w:t>Temas:</w:t>
            </w:r>
            <w:r w:rsidRPr="00EA7EA8">
              <w:rPr>
                <w:rFonts w:ascii="Verdana" w:eastAsia="Calibri" w:hAnsi="Verdana" w:cs="Arial"/>
                <w:lang w:val="es-ES_tradnl" w:eastAsia="es-ES_tradnl"/>
              </w:rPr>
              <w:t xml:space="preserve">                   </w:t>
            </w:r>
          </w:p>
        </w:tc>
        <w:tc>
          <w:tcPr>
            <w:tcW w:w="6100" w:type="dxa"/>
          </w:tcPr>
          <w:p w14:paraId="0AB8ED48" w14:textId="77777777" w:rsidR="00952B93" w:rsidRDefault="00952B93" w:rsidP="007D411D">
            <w:pPr>
              <w:spacing w:line="276" w:lineRule="auto"/>
              <w:jc w:val="both"/>
              <w:rPr>
                <w:rFonts w:ascii="Verdana" w:eastAsia="Calibri" w:hAnsi="Verdana" w:cs="Arial"/>
                <w:bCs/>
                <w:lang w:val="es-ES_tradnl" w:eastAsia="es-ES_tradnl"/>
              </w:rPr>
            </w:pPr>
            <w:r w:rsidRPr="00FE10F1">
              <w:rPr>
                <w:rFonts w:ascii="Verdana" w:eastAsia="Calibri" w:hAnsi="Verdana" w:cs="Arial"/>
                <w:bCs/>
                <w:lang w:val="es-ES_tradnl" w:eastAsia="es-ES_tradnl"/>
              </w:rPr>
              <w:t>SOCIEDADES NUEVAS ‒ Experiencia ‒ Inferior a tres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os ‒ Requisitos habilitantes / EXPERIENCIA ‒ Conservaci</w:t>
            </w:r>
            <w:r w:rsidRPr="00FE10F1">
              <w:rPr>
                <w:rFonts w:ascii="Verdana" w:eastAsia="Calibri" w:hAnsi="Verdana" w:cs="Century Gothic"/>
                <w:bCs/>
                <w:lang w:val="es-ES_tradnl" w:eastAsia="es-ES_tradnl"/>
              </w:rPr>
              <w:t>ó</w:t>
            </w:r>
            <w:r w:rsidRPr="00FE10F1">
              <w:rPr>
                <w:rFonts w:ascii="Verdana" w:eastAsia="Calibri" w:hAnsi="Verdana" w:cs="Arial"/>
                <w:bCs/>
                <w:lang w:val="es-ES_tradnl" w:eastAsia="es-ES_tradnl"/>
              </w:rPr>
              <w:t>n</w:t>
            </w:r>
            <w:r>
              <w:rPr>
                <w:rFonts w:ascii="Verdana" w:eastAsia="Calibri" w:hAnsi="Verdana" w:cs="Arial"/>
                <w:bCs/>
                <w:lang w:val="es-ES_tradnl" w:eastAsia="es-ES_tradnl"/>
              </w:rPr>
              <w:t xml:space="preserve"> </w:t>
            </w:r>
            <w:r w:rsidRPr="00FE10F1">
              <w:rPr>
                <w:rFonts w:ascii="Verdana" w:eastAsia="Calibri" w:hAnsi="Verdana" w:cs="Arial"/>
                <w:bCs/>
                <w:lang w:val="es-ES_tradnl" w:eastAsia="es-ES_tradnl"/>
              </w:rPr>
              <w:t>‒</w:t>
            </w:r>
            <w:r>
              <w:rPr>
                <w:rFonts w:ascii="Verdana" w:eastAsia="Calibri" w:hAnsi="Verdana" w:cs="Arial"/>
                <w:bCs/>
                <w:lang w:val="es-ES_tradnl" w:eastAsia="es-ES_tradnl"/>
              </w:rPr>
              <w:t xml:space="preserve"> Renovación RUP</w:t>
            </w:r>
            <w:r w:rsidRPr="00FE10F1">
              <w:rPr>
                <w:rFonts w:ascii="Verdana" w:eastAsia="Calibri" w:hAnsi="Verdana" w:cs="Arial"/>
                <w:bCs/>
                <w:lang w:val="es-ES_tradnl" w:eastAsia="es-ES_tradnl"/>
              </w:rPr>
              <w:t xml:space="preserve"> / EXPERIENCIA </w:t>
            </w:r>
            <w:r w:rsidRPr="00FE10F1">
              <w:rPr>
                <w:rFonts w:ascii="Verdana" w:eastAsia="Calibri" w:hAnsi="Verdana" w:cs="Century Gothic"/>
                <w:bCs/>
                <w:lang w:val="es-ES_tradnl" w:eastAsia="es-ES_tradnl"/>
              </w:rPr>
              <w:t>−</w:t>
            </w:r>
            <w:r w:rsidRPr="00FE10F1">
              <w:rPr>
                <w:rFonts w:ascii="Verdana" w:eastAsia="Calibri" w:hAnsi="Verdana" w:cs="Arial"/>
                <w:bCs/>
                <w:lang w:val="es-ES_tradnl" w:eastAsia="es-ES_tradnl"/>
              </w:rPr>
              <w:t xml:space="preserve"> Sociedades </w:t>
            </w:r>
            <w:r w:rsidRPr="00FE10F1">
              <w:rPr>
                <w:rFonts w:ascii="Verdana" w:eastAsia="Calibri" w:hAnsi="Verdana" w:cs="Century Gothic"/>
                <w:bCs/>
                <w:lang w:val="es-ES_tradnl" w:eastAsia="es-ES_tradnl"/>
              </w:rPr>
              <w:t>–</w:t>
            </w:r>
            <w:r w:rsidRPr="00FE10F1">
              <w:rPr>
                <w:rFonts w:ascii="Verdana" w:eastAsia="Calibri" w:hAnsi="Verdana" w:cs="Arial"/>
                <w:bCs/>
                <w:lang w:val="es-ES_tradnl" w:eastAsia="es-ES_tradnl"/>
              </w:rPr>
              <w:t xml:space="preserve"> Menor a 3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os de constituci</w:t>
            </w:r>
            <w:r w:rsidRPr="00FE10F1">
              <w:rPr>
                <w:rFonts w:ascii="Verdana" w:eastAsia="Calibri" w:hAnsi="Verdana" w:cs="Century Gothic"/>
                <w:bCs/>
                <w:lang w:val="es-ES_tradnl" w:eastAsia="es-ES_tradnl"/>
              </w:rPr>
              <w:t>ó</w:t>
            </w:r>
            <w:r w:rsidRPr="00FE10F1">
              <w:rPr>
                <w:rFonts w:ascii="Verdana" w:eastAsia="Calibri" w:hAnsi="Verdana" w:cs="Arial"/>
                <w:bCs/>
                <w:lang w:val="es-ES_tradnl" w:eastAsia="es-ES_tradnl"/>
              </w:rPr>
              <w:t xml:space="preserve">n </w:t>
            </w:r>
          </w:p>
          <w:p w14:paraId="7373A025" w14:textId="77777777" w:rsidR="00952B93" w:rsidRPr="00EA7EA8" w:rsidRDefault="00952B93" w:rsidP="007D411D">
            <w:pPr>
              <w:spacing w:line="276" w:lineRule="auto"/>
              <w:jc w:val="both"/>
              <w:rPr>
                <w:rFonts w:ascii="Verdana" w:eastAsia="Calibri" w:hAnsi="Verdana" w:cs="Arial"/>
                <w:lang w:val="es-ES" w:eastAsia="es-ES"/>
              </w:rPr>
            </w:pPr>
          </w:p>
        </w:tc>
      </w:tr>
      <w:tr w:rsidR="00952B93" w:rsidRPr="00EA7EA8" w14:paraId="709EB8B5" w14:textId="77777777" w:rsidTr="007D411D">
        <w:tc>
          <w:tcPr>
            <w:tcW w:w="2689" w:type="dxa"/>
          </w:tcPr>
          <w:p w14:paraId="1397F443" w14:textId="77777777" w:rsidR="00952B93" w:rsidRPr="00EA7EA8" w:rsidRDefault="00952B93" w:rsidP="007D411D">
            <w:pPr>
              <w:jc w:val="both"/>
              <w:rPr>
                <w:rFonts w:ascii="Verdana" w:eastAsia="Calibri" w:hAnsi="Verdana" w:cs="Arial"/>
                <w:b/>
                <w:lang w:val="es-ES_tradnl" w:eastAsia="es-ES_tradnl"/>
              </w:rPr>
            </w:pPr>
            <w:r w:rsidRPr="00EA7EA8">
              <w:rPr>
                <w:rFonts w:ascii="Verdana" w:eastAsia="Calibri" w:hAnsi="Verdana" w:cs="Arial"/>
                <w:b/>
                <w:lang w:val="es-ES_tradnl" w:eastAsia="es-ES_tradnl"/>
              </w:rPr>
              <w:t>Radicación:</w:t>
            </w:r>
            <w:r w:rsidRPr="00EA7EA8">
              <w:rPr>
                <w:rFonts w:ascii="Verdana" w:eastAsia="Calibri" w:hAnsi="Verdana" w:cs="Arial"/>
                <w:lang w:val="es-ES_tradnl" w:eastAsia="es-ES_tradnl"/>
              </w:rPr>
              <w:t xml:space="preserve">               </w:t>
            </w:r>
          </w:p>
        </w:tc>
        <w:tc>
          <w:tcPr>
            <w:tcW w:w="6100" w:type="dxa"/>
          </w:tcPr>
          <w:p w14:paraId="47826663" w14:textId="77777777" w:rsidR="00952B93" w:rsidRPr="00CD19DC" w:rsidRDefault="00952B93" w:rsidP="007D411D">
            <w:pPr>
              <w:jc w:val="both"/>
              <w:rPr>
                <w:rFonts w:ascii="Verdana" w:eastAsia="Calibri" w:hAnsi="Verdana" w:cs="Arial"/>
                <w:lang w:val="es-ES" w:eastAsia="es-ES"/>
              </w:rPr>
            </w:pPr>
            <w:r w:rsidRPr="0F227850">
              <w:rPr>
                <w:rFonts w:ascii="Verdana" w:eastAsia="Calibri" w:hAnsi="Verdana" w:cs="Arial"/>
                <w:lang w:val="es-ES" w:eastAsia="es-ES"/>
              </w:rPr>
              <w:t>Respuesta a consulta con radicado No. 1_</w:t>
            </w:r>
            <w:r>
              <w:t xml:space="preserve"> </w:t>
            </w:r>
            <w:r w:rsidRPr="003D7D05">
              <w:rPr>
                <w:rFonts w:ascii="Verdana" w:eastAsia="Calibri" w:hAnsi="Verdana" w:cs="Arial"/>
                <w:lang w:val="es-ES" w:eastAsia="es-ES"/>
              </w:rPr>
              <w:t>1_2025_11_13_012847</w:t>
            </w:r>
          </w:p>
        </w:tc>
      </w:tr>
    </w:tbl>
    <w:p w14:paraId="1420E24E" w14:textId="77777777" w:rsidR="00952B93" w:rsidRPr="00EA7EA8" w:rsidRDefault="00952B93" w:rsidP="00952B93">
      <w:pPr>
        <w:spacing w:after="0" w:line="240" w:lineRule="auto"/>
        <w:jc w:val="both"/>
        <w:rPr>
          <w:rFonts w:ascii="Verdana" w:eastAsia="Calibri" w:hAnsi="Verdana" w:cs="Arial"/>
          <w:lang w:val="es-ES" w:eastAsia="es-ES"/>
        </w:rPr>
      </w:pPr>
    </w:p>
    <w:p w14:paraId="4C968933" w14:textId="77777777" w:rsidR="00952B93" w:rsidRPr="00EA7EA8" w:rsidRDefault="00952B93" w:rsidP="00952B93">
      <w:pPr>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Estimad</w:t>
      </w:r>
      <w:r>
        <w:rPr>
          <w:rFonts w:ascii="Verdana" w:eastAsia="Calibri" w:hAnsi="Verdana" w:cs="Arial"/>
          <w:lang w:val="es-ES" w:eastAsia="es-ES"/>
        </w:rPr>
        <w:t>a</w:t>
      </w:r>
      <w:r w:rsidRPr="00EA7EA8">
        <w:rPr>
          <w:rFonts w:ascii="Verdana" w:eastAsia="Calibri" w:hAnsi="Verdana" w:cs="Arial"/>
          <w:lang w:val="es-ES" w:eastAsia="es-ES"/>
        </w:rPr>
        <w:t xml:space="preserve"> señor</w:t>
      </w:r>
      <w:r>
        <w:rPr>
          <w:rFonts w:ascii="Verdana" w:eastAsia="Calibri" w:hAnsi="Verdana" w:cs="Arial"/>
          <w:lang w:val="es-ES" w:eastAsia="es-ES"/>
        </w:rPr>
        <w:t>a</w:t>
      </w:r>
      <w:r w:rsidRPr="00EA7EA8">
        <w:rPr>
          <w:rFonts w:ascii="Verdana" w:eastAsia="Calibri" w:hAnsi="Verdana" w:cs="Arial"/>
          <w:lang w:val="es-ES" w:eastAsia="es-ES"/>
        </w:rPr>
        <w:t xml:space="preserve"> </w:t>
      </w:r>
      <w:r>
        <w:rPr>
          <w:rFonts w:ascii="Verdana" w:eastAsia="Calibri" w:hAnsi="Verdana" w:cs="Arial"/>
          <w:lang w:val="es-ES" w:eastAsia="es-ES"/>
        </w:rPr>
        <w:t>Bolena</w:t>
      </w:r>
      <w:r w:rsidRPr="00EA7EA8">
        <w:rPr>
          <w:rFonts w:ascii="Verdana" w:eastAsia="Calibri" w:hAnsi="Verdana" w:cs="Arial"/>
          <w:lang w:val="es-ES" w:eastAsia="es-ES"/>
        </w:rPr>
        <w:t xml:space="preserve">: </w:t>
      </w:r>
    </w:p>
    <w:p w14:paraId="461A5294" w14:textId="77777777" w:rsidR="00952B93" w:rsidRPr="00EA7EA8" w:rsidRDefault="00952B93" w:rsidP="00952B93">
      <w:pPr>
        <w:tabs>
          <w:tab w:val="left" w:pos="3768"/>
        </w:tabs>
        <w:spacing w:after="0" w:line="276" w:lineRule="auto"/>
        <w:jc w:val="both"/>
        <w:rPr>
          <w:rFonts w:ascii="Verdana" w:eastAsia="Calibri" w:hAnsi="Verdana" w:cs="Arial"/>
          <w:lang w:val="es-ES" w:eastAsia="es-ES"/>
        </w:rPr>
      </w:pPr>
      <w:r w:rsidRPr="00EA7EA8">
        <w:rPr>
          <w:rFonts w:ascii="Verdana" w:eastAsia="Calibri" w:hAnsi="Verdana" w:cs="Arial"/>
          <w:lang w:val="es-ES" w:eastAsia="es-ES"/>
        </w:rPr>
        <w:tab/>
      </w:r>
    </w:p>
    <w:p w14:paraId="7ADEC490" w14:textId="77777777" w:rsidR="00952B93" w:rsidRPr="00EA7EA8" w:rsidRDefault="00952B93" w:rsidP="00952B93">
      <w:pPr>
        <w:spacing w:after="0" w:line="276" w:lineRule="auto"/>
        <w:jc w:val="both"/>
        <w:rPr>
          <w:rFonts w:ascii="Verdana" w:eastAsia="Calibri" w:hAnsi="Verdana" w:cs="Arial"/>
          <w:lang w:val="es-ES" w:eastAsia="es-ES"/>
        </w:rPr>
      </w:pPr>
      <w:r w:rsidRPr="00BC3A80">
        <w:rPr>
          <w:rFonts w:ascii="Verdana" w:hAnsi="Verdana" w:cs="Arial"/>
          <w:color w:val="000000" w:themeColor="text1"/>
          <w:lang w:val="es-ES_tradnl" w:eastAsia="es-ES"/>
        </w:rPr>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w:t>
      </w:r>
      <w:r w:rsidRPr="00EA7EA8">
        <w:rPr>
          <w:rFonts w:ascii="Verdana" w:hAnsi="Verdana" w:cs="Arial"/>
        </w:rPr>
        <w:t xml:space="preserve">, </w:t>
      </w:r>
      <w:r w:rsidRPr="00EA7EA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13 </w:t>
      </w:r>
      <w:r w:rsidRPr="00EA7EA8">
        <w:rPr>
          <w:rFonts w:ascii="Verdana" w:eastAsia="Calibri" w:hAnsi="Verdana" w:cs="Arial"/>
          <w:lang w:val="es-ES" w:eastAsia="es-ES"/>
        </w:rPr>
        <w:t xml:space="preserve">de </w:t>
      </w:r>
      <w:r>
        <w:rPr>
          <w:rFonts w:ascii="Verdana" w:eastAsia="Calibri" w:hAnsi="Verdana" w:cs="Arial"/>
          <w:lang w:val="es-ES" w:eastAsia="es-ES"/>
        </w:rPr>
        <w:t>noviembre</w:t>
      </w:r>
      <w:r w:rsidRPr="00EA7EA8">
        <w:rPr>
          <w:rFonts w:ascii="Verdana" w:eastAsia="Calibri" w:hAnsi="Verdana" w:cs="Arial"/>
          <w:lang w:val="es-ES" w:eastAsia="es-ES"/>
        </w:rPr>
        <w:t xml:space="preserve"> de 2025, en la cual manifiesta lo siguiente: </w:t>
      </w:r>
    </w:p>
    <w:p w14:paraId="4F27CF7C" w14:textId="77777777" w:rsidR="00952B93" w:rsidRPr="00EA7EA8" w:rsidRDefault="00952B93" w:rsidP="00952B93">
      <w:pPr>
        <w:pStyle w:val="Prrafodelista"/>
        <w:tabs>
          <w:tab w:val="left" w:pos="142"/>
          <w:tab w:val="left" w:pos="284"/>
        </w:tabs>
        <w:spacing w:after="0" w:line="276" w:lineRule="auto"/>
        <w:ind w:left="0"/>
        <w:jc w:val="both"/>
        <w:rPr>
          <w:rFonts w:ascii="Verdana" w:eastAsia="Century Gothic" w:hAnsi="Verdana" w:cs="Century Gothic"/>
          <w:b/>
          <w:bCs/>
        </w:rPr>
      </w:pPr>
    </w:p>
    <w:p w14:paraId="454F9599" w14:textId="77777777" w:rsidR="00952B93" w:rsidRPr="003D7D05" w:rsidRDefault="00952B93" w:rsidP="00952B93">
      <w:pPr>
        <w:pStyle w:val="Prrafodelista"/>
        <w:tabs>
          <w:tab w:val="left" w:pos="142"/>
          <w:tab w:val="left" w:pos="284"/>
        </w:tabs>
        <w:spacing w:line="276" w:lineRule="auto"/>
        <w:jc w:val="both"/>
        <w:rPr>
          <w:rFonts w:ascii="Verdana" w:eastAsia="Century Gothic" w:hAnsi="Verdana" w:cs="Century Gothic"/>
          <w:sz w:val="20"/>
          <w:szCs w:val="20"/>
          <w:lang w:val="es-CO"/>
        </w:rPr>
      </w:pPr>
      <w:r>
        <w:rPr>
          <w:rFonts w:ascii="Verdana" w:eastAsia="Century Gothic" w:hAnsi="Verdana" w:cs="Century Gothic"/>
          <w:sz w:val="20"/>
          <w:szCs w:val="20"/>
          <w:lang w:val="es-CO"/>
        </w:rPr>
        <w:t xml:space="preserve">“[…] </w:t>
      </w:r>
      <w:r w:rsidRPr="003D7D05">
        <w:rPr>
          <w:rFonts w:ascii="Verdana" w:eastAsia="Century Gothic" w:hAnsi="Verdana" w:cs="Century Gothic"/>
          <w:sz w:val="20"/>
          <w:szCs w:val="20"/>
          <w:lang w:val="es-CO"/>
        </w:rPr>
        <w:t>¿Confirma la ANCP</w:t>
      </w:r>
      <w:r w:rsidRPr="003D7D05">
        <w:rPr>
          <w:rFonts w:ascii="Verdana" w:eastAsia="Century Gothic" w:hAnsi="Verdana" w:cs="Century Gothic"/>
          <w:sz w:val="20"/>
          <w:szCs w:val="20"/>
          <w:lang w:val="es-CO"/>
        </w:rPr>
        <w:noBreakHyphen/>
        <w:t xml:space="preserve">CCE que, conforme a su doctrina, si la sociedad registró dentro de los tres (3) primeros años la experiencia de sus socios en el RUP y este ha sido renovado sin cesar sus efectos, la sociedad puede continuar utilizando dicha experiencia incluso después de cumplir tres (3) años? </w:t>
      </w:r>
    </w:p>
    <w:p w14:paraId="192AE859" w14:textId="77777777" w:rsidR="00952B93" w:rsidRPr="003D7D05" w:rsidRDefault="00952B93" w:rsidP="00952B93">
      <w:pPr>
        <w:pStyle w:val="Prrafodelista"/>
        <w:tabs>
          <w:tab w:val="left" w:pos="142"/>
          <w:tab w:val="left" w:pos="284"/>
        </w:tabs>
        <w:spacing w:line="276" w:lineRule="auto"/>
        <w:jc w:val="both"/>
        <w:rPr>
          <w:rFonts w:ascii="Verdana" w:eastAsia="Century Gothic" w:hAnsi="Verdana" w:cs="Century Gothic"/>
          <w:sz w:val="20"/>
          <w:szCs w:val="20"/>
          <w:lang w:val="es-CO"/>
        </w:rPr>
      </w:pPr>
      <w:r w:rsidRPr="003D7D05">
        <w:rPr>
          <w:rFonts w:ascii="Verdana" w:eastAsia="Century Gothic" w:hAnsi="Verdana" w:cs="Century Gothic"/>
          <w:sz w:val="20"/>
          <w:szCs w:val="20"/>
          <w:lang w:val="es-CO"/>
        </w:rPr>
        <w:t>Para procesos de régimen privado con recursos públicos en los que no se exige RUP, ¿qué medio de verificación recomienda la ANCP</w:t>
      </w:r>
      <w:r w:rsidRPr="003D7D05">
        <w:rPr>
          <w:rFonts w:ascii="Verdana" w:eastAsia="Century Gothic" w:hAnsi="Verdana" w:cs="Century Gothic"/>
          <w:sz w:val="20"/>
          <w:szCs w:val="20"/>
          <w:lang w:val="es-CO"/>
        </w:rPr>
        <w:noBreakHyphen/>
        <w:t xml:space="preserve">CCE para respetar la regla de conservación anterior, sin imponer cargas desproporcionadas (p. ej., </w:t>
      </w:r>
      <w:r w:rsidRPr="003D7D05">
        <w:rPr>
          <w:rFonts w:ascii="Verdana" w:eastAsia="Century Gothic" w:hAnsi="Verdana" w:cs="Century Gothic"/>
          <w:sz w:val="20"/>
          <w:szCs w:val="20"/>
          <w:lang w:val="es-CO"/>
        </w:rPr>
        <w:lastRenderedPageBreak/>
        <w:t xml:space="preserve">certificación del representante legal y revisor fiscal, acompañada de soportes internos verificables)? </w:t>
      </w:r>
    </w:p>
    <w:p w14:paraId="1E20690A" w14:textId="77777777" w:rsidR="00952B93" w:rsidRDefault="00952B93" w:rsidP="00952B93">
      <w:pPr>
        <w:pStyle w:val="Prrafodelista"/>
        <w:tabs>
          <w:tab w:val="left" w:pos="142"/>
          <w:tab w:val="left" w:pos="284"/>
        </w:tabs>
        <w:spacing w:line="276" w:lineRule="auto"/>
        <w:jc w:val="both"/>
        <w:rPr>
          <w:rFonts w:ascii="Verdana" w:eastAsia="Century Gothic" w:hAnsi="Verdana" w:cs="Century Gothic"/>
          <w:sz w:val="20"/>
          <w:szCs w:val="20"/>
          <w:lang w:val="es-CO"/>
        </w:rPr>
      </w:pPr>
      <w:r w:rsidRPr="003D7D05">
        <w:rPr>
          <w:rFonts w:ascii="Verdana" w:eastAsia="Century Gothic" w:hAnsi="Verdana" w:cs="Century Gothic"/>
          <w:sz w:val="20"/>
          <w:szCs w:val="20"/>
          <w:lang w:val="es-CO"/>
        </w:rPr>
        <w:t xml:space="preserve">¿Cuáles son los límites que deben observarse en estos casos (p. ej., pérdida de la calidad de socio/accionista, cesación de efectos del RUP, correspondencia entre el objeto del contrato y la experiencia aportada)? </w:t>
      </w:r>
      <w:r>
        <w:rPr>
          <w:rFonts w:ascii="Verdana" w:eastAsia="Century Gothic" w:hAnsi="Verdana" w:cs="Century Gothic"/>
          <w:sz w:val="20"/>
          <w:szCs w:val="20"/>
          <w:lang w:val="es-CO"/>
        </w:rPr>
        <w:t xml:space="preserve"> </w:t>
      </w:r>
    </w:p>
    <w:p w14:paraId="35CD5CFA" w14:textId="5C6A5BC7" w:rsidR="00AB4CEF" w:rsidRDefault="00952B93" w:rsidP="00952B93">
      <w:pPr>
        <w:spacing w:after="0" w:line="240" w:lineRule="auto"/>
        <w:ind w:left="709" w:right="709"/>
        <w:jc w:val="both"/>
        <w:rPr>
          <w:rFonts w:ascii="Verdana" w:eastAsia="Century Gothic" w:hAnsi="Verdana" w:cs="Century Gothic"/>
          <w:sz w:val="20"/>
          <w:szCs w:val="20"/>
        </w:rPr>
      </w:pPr>
      <w:r w:rsidRPr="003D7D05">
        <w:rPr>
          <w:rFonts w:ascii="Verdana" w:eastAsia="Century Gothic" w:hAnsi="Verdana" w:cs="Century Gothic"/>
          <w:sz w:val="20"/>
          <w:szCs w:val="20"/>
        </w:rPr>
        <w:t>¿Existen otros conceptos o lineamientos que amplíen esta interpretación y que deban considerarse al diseñar los pliegos en régimen privado con recursos públicos?</w:t>
      </w:r>
    </w:p>
    <w:p w14:paraId="25A87FB9" w14:textId="77777777" w:rsidR="00952B93" w:rsidRPr="00245F51" w:rsidRDefault="00952B93" w:rsidP="00952B93">
      <w:pPr>
        <w:spacing w:after="0" w:line="240" w:lineRule="auto"/>
        <w:ind w:left="709" w:right="709"/>
        <w:jc w:val="both"/>
        <w:rPr>
          <w:rFonts w:ascii="Verdana" w:eastAsia="Calibri" w:hAnsi="Verdana" w:cs="Arial"/>
          <w:sz w:val="20"/>
          <w:szCs w:val="20"/>
          <w:lang w:eastAsia="es-ES"/>
        </w:rPr>
      </w:pPr>
    </w:p>
    <w:p w14:paraId="2274B7F1" w14:textId="77777777" w:rsidR="00AB4CEF" w:rsidRPr="00073A28" w:rsidRDefault="00AB4CEF" w:rsidP="00AB4CEF">
      <w:pPr>
        <w:spacing w:after="120" w:line="276" w:lineRule="auto"/>
        <w:ind w:firstLine="709"/>
        <w:jc w:val="both"/>
        <w:rPr>
          <w:rFonts w:ascii="Verdana" w:eastAsia="Calibri" w:hAnsi="Verdana" w:cs="Arial"/>
          <w:lang w:eastAsia="es-ES_tradnl"/>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A28">
        <w:rPr>
          <w:rFonts w:ascii="Verdana" w:eastAsia="Calibri" w:hAnsi="Verdana" w:cs="Arial"/>
          <w:lang w:eastAsia="es-ES_tradnl"/>
        </w:rPr>
        <w:tab/>
      </w:r>
    </w:p>
    <w:p w14:paraId="72C15936" w14:textId="77777777" w:rsidR="00AB4CEF" w:rsidRPr="00073A28" w:rsidRDefault="00AB4CEF" w:rsidP="00AB4CEF">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E886373" w14:textId="77777777" w:rsidR="00AB4CEF" w:rsidRPr="00073A28" w:rsidRDefault="00AB4CEF" w:rsidP="00AB4CEF">
      <w:pPr>
        <w:spacing w:after="0" w:line="276" w:lineRule="auto"/>
        <w:ind w:firstLine="709"/>
        <w:jc w:val="both"/>
        <w:rPr>
          <w:rFonts w:ascii="Verdana" w:eastAsia="Calibri" w:hAnsi="Verdana" w:cs="Arial"/>
          <w:lang w:eastAsia="es-ES"/>
        </w:rPr>
      </w:pPr>
    </w:p>
    <w:p w14:paraId="515C3647" w14:textId="77777777" w:rsidR="00AB4CEF" w:rsidRPr="00073A28" w:rsidRDefault="00AB4CEF" w:rsidP="00AB4C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599B133D" w14:textId="77777777" w:rsidR="00AB4CEF" w:rsidRPr="00073A28" w:rsidRDefault="00AB4CEF" w:rsidP="00AB4CEF">
      <w:pPr>
        <w:tabs>
          <w:tab w:val="left" w:pos="426"/>
        </w:tabs>
        <w:spacing w:after="0" w:line="276" w:lineRule="auto"/>
        <w:jc w:val="both"/>
        <w:rPr>
          <w:rFonts w:ascii="Verdana" w:eastAsia="Century Gothic" w:hAnsi="Verdana" w:cs="Century Gothic"/>
        </w:rPr>
      </w:pPr>
    </w:p>
    <w:p w14:paraId="3EF5D2A1" w14:textId="339D4661" w:rsidR="00AB4CEF" w:rsidRPr="00073A28" w:rsidRDefault="00AB4CEF" w:rsidP="00AB4CEF">
      <w:pPr>
        <w:spacing w:after="0" w:line="276" w:lineRule="auto"/>
        <w:jc w:val="both"/>
        <w:rPr>
          <w:rFonts w:ascii="Verdana" w:eastAsia="Century Gothic" w:hAnsi="Verdana" w:cs="Century Gothic"/>
        </w:rPr>
      </w:pPr>
      <w:r w:rsidRPr="00073A28">
        <w:rPr>
          <w:rFonts w:ascii="Verdana" w:eastAsia="Century Gothic" w:hAnsi="Verdana" w:cs="Century Gothic"/>
        </w:rPr>
        <w:t xml:space="preserve">De acuerdo con el contenido de su solicitud, esta Agencia resolverá el siguiente problema jurídico: </w:t>
      </w:r>
      <w:r w:rsidRPr="008D7ADE">
        <w:rPr>
          <w:rFonts w:ascii="Verdana" w:eastAsia="Century Gothic" w:hAnsi="Verdana" w:cs="Century Gothic"/>
        </w:rPr>
        <w:t>¿</w:t>
      </w:r>
      <w:r w:rsidRPr="00EF2BDB">
        <w:rPr>
          <w:rFonts w:ascii="Verdana" w:eastAsia="Century Gothic" w:hAnsi="Verdana" w:cs="Century Gothic"/>
        </w:rPr>
        <w:t xml:space="preserve">Cuál es el alcance de la excepción prevista en el artículo 2.2.1.1.1.5.2, numeral 2.5 del Decreto 1082 de 2015, en relación con la posibilidad de que una sociedad con menos de tres (3) años de constitución acredite contratos ejecutados por sus socios después de su creación, y cuáles son los límites de dicha prerrogativa para no desnaturalizar el carácter </w:t>
      </w:r>
      <w:r w:rsidRPr="00EF2BDB">
        <w:rPr>
          <w:rFonts w:ascii="Verdana" w:eastAsia="Century Gothic" w:hAnsi="Verdana" w:cs="Century Gothic"/>
        </w:rPr>
        <w:lastRenderedPageBreak/>
        <w:t>personalísimo de la experiencia ni afectar el principio de igualdad en la contratación estatal?</w:t>
      </w:r>
    </w:p>
    <w:p w14:paraId="301FA1A1" w14:textId="77777777" w:rsidR="00537A1F" w:rsidRPr="00073A28" w:rsidRDefault="00537A1F" w:rsidP="00537A1F">
      <w:pPr>
        <w:spacing w:after="0" w:line="276" w:lineRule="auto"/>
        <w:jc w:val="both"/>
        <w:rPr>
          <w:rFonts w:ascii="Verdana" w:eastAsia="Century Gothic" w:hAnsi="Verdana" w:cs="Century Gothic"/>
        </w:rPr>
      </w:pPr>
    </w:p>
    <w:p w14:paraId="779E3C75" w14:textId="77777777" w:rsidR="00AB4CEF" w:rsidRPr="00073A28" w:rsidRDefault="00AB4CEF" w:rsidP="00AB4C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0C8249C5" w14:textId="77777777" w:rsidR="00AB4CEF" w:rsidRPr="00073A28" w:rsidRDefault="00AB4CEF" w:rsidP="00AB4CE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B4CEF" w:rsidRPr="00073A28" w14:paraId="6C8DFB99" w14:textId="77777777" w:rsidTr="009E0ECF">
        <w:tc>
          <w:tcPr>
            <w:tcW w:w="8828" w:type="dxa"/>
          </w:tcPr>
          <w:p w14:paraId="7D54C861" w14:textId="48205469" w:rsidR="00AB4CEF" w:rsidRPr="002A000A" w:rsidRDefault="00AB4CEF" w:rsidP="009E0ECF">
            <w:pPr>
              <w:snapToGrid w:val="0"/>
              <w:spacing w:after="120" w:line="276" w:lineRule="auto"/>
              <w:jc w:val="both"/>
              <w:rPr>
                <w:rFonts w:ascii="Verdana" w:eastAsia="Calibri" w:hAnsi="Verdana" w:cs="Arial"/>
                <w:lang w:val="es-ES_tradnl"/>
              </w:rPr>
            </w:pPr>
            <w:r w:rsidRPr="002A000A">
              <w:rPr>
                <w:rFonts w:ascii="Verdana" w:eastAsia="Calibri" w:hAnsi="Verdana" w:cs="Arial"/>
                <w:lang w:val="es-ES_tradnl"/>
              </w:rPr>
              <w:t xml:space="preserve">El numeral 2.5 del artículo 2.2.1.1.1.5.2 del Decreto 1082 de 2015 indica de forma clara que una sociedad con menos de tres (3) años de constituida puede aportar la experiencia de sus accionistas, socios o constituyentes. Esta prerrogativa, que puede entenderse como una medida de fomento a la participación de pequeños oferentes en la contratación estatal, permite que las sociedades relativamente nuevas ─con menos de </w:t>
            </w:r>
            <w:r w:rsidR="00D147DC">
              <w:rPr>
                <w:rFonts w:ascii="Verdana" w:eastAsia="Calibri" w:hAnsi="Verdana" w:cs="Arial"/>
                <w:lang w:val="es-ES_tradnl"/>
              </w:rPr>
              <w:t>tres (</w:t>
            </w:r>
            <w:r w:rsidRPr="002A000A">
              <w:rPr>
                <w:rFonts w:ascii="Verdana" w:eastAsia="Calibri" w:hAnsi="Verdana" w:cs="Arial"/>
                <w:lang w:val="es-ES_tradnl"/>
              </w:rPr>
              <w:t>3</w:t>
            </w:r>
            <w:r w:rsidR="00D147DC">
              <w:rPr>
                <w:rFonts w:ascii="Verdana" w:eastAsia="Calibri" w:hAnsi="Verdana" w:cs="Arial"/>
                <w:lang w:val="es-ES_tradnl"/>
              </w:rPr>
              <w:t>)</w:t>
            </w:r>
            <w:r w:rsidRPr="002A000A">
              <w:rPr>
                <w:rFonts w:ascii="Verdana" w:eastAsia="Calibri" w:hAnsi="Verdana" w:cs="Arial"/>
                <w:lang w:val="es-ES_tradnl"/>
              </w:rPr>
              <w:t xml:space="preserve"> años de constitución─ puedan acreditar como experiencia en el RUP la de sus accionistas, socios o constituyentes. </w:t>
            </w:r>
          </w:p>
          <w:p w14:paraId="38982BD2" w14:textId="6DCEDA2B" w:rsidR="00AB4CEF" w:rsidRPr="002A000A" w:rsidRDefault="00AB4CEF" w:rsidP="009E0ECF">
            <w:pPr>
              <w:snapToGrid w:val="0"/>
              <w:spacing w:after="120" w:line="276" w:lineRule="auto"/>
              <w:ind w:firstLine="709"/>
              <w:jc w:val="both"/>
              <w:rPr>
                <w:rFonts w:ascii="Verdana" w:eastAsia="Calibri" w:hAnsi="Verdana" w:cs="Arial"/>
                <w:lang w:val="es-ES"/>
              </w:rPr>
            </w:pPr>
            <w:r w:rsidRPr="38FACAB2">
              <w:rPr>
                <w:rFonts w:ascii="Verdana" w:eastAsia="Calibri" w:hAnsi="Verdana" w:cs="Arial"/>
                <w:lang w:val="es-ES"/>
              </w:rPr>
              <w:t xml:space="preserve">De conformidad con lo expuesto, esta Agencia considera que, si la persona jurídica con menos de tres </w:t>
            </w:r>
            <w:r w:rsidR="001A2DAF">
              <w:rPr>
                <w:rFonts w:ascii="Verdana" w:eastAsia="Calibri" w:hAnsi="Verdana" w:cs="Arial"/>
                <w:lang w:val="es-ES"/>
              </w:rPr>
              <w:t>(3)</w:t>
            </w:r>
            <w:r w:rsidRPr="38FACAB2">
              <w:rPr>
                <w:rFonts w:ascii="Verdana" w:eastAsia="Calibri" w:hAnsi="Verdana" w:cs="Arial"/>
                <w:lang w:val="es-ES"/>
              </w:rPr>
              <w:t xml:space="preserve"> años de constituida registra la experiencia de sus socios en el RUP, y este es renovado constantemente de forma oportuna, una vez transcurridos estos tres </w:t>
            </w:r>
            <w:r w:rsidR="00D66B71">
              <w:rPr>
                <w:rFonts w:ascii="Verdana" w:eastAsia="Calibri" w:hAnsi="Verdana" w:cs="Arial"/>
                <w:lang w:val="es-ES"/>
              </w:rPr>
              <w:t>(3)</w:t>
            </w:r>
            <w:r w:rsidRPr="38FACAB2">
              <w:rPr>
                <w:rFonts w:ascii="Verdana" w:eastAsia="Calibri" w:hAnsi="Verdana" w:cs="Arial"/>
                <w:lang w:val="es-ES"/>
              </w:rPr>
              <w:t xml:space="preserve"> años, el proponente podrá seguir acreditando la experiencia inscrita de los socios mientras no cesen los efectos del RUP. Por el contrario, si no se renueva oportunamente y la persona jurídica supera los tres </w:t>
            </w:r>
            <w:r w:rsidR="00D66B71">
              <w:rPr>
                <w:rFonts w:ascii="Verdana" w:eastAsia="Calibri" w:hAnsi="Verdana" w:cs="Arial"/>
                <w:lang w:val="es-ES"/>
              </w:rPr>
              <w:t>(3)</w:t>
            </w:r>
            <w:r w:rsidR="00D66B71" w:rsidRPr="38FACAB2">
              <w:rPr>
                <w:rFonts w:ascii="Verdana" w:eastAsia="Calibri" w:hAnsi="Verdana" w:cs="Arial"/>
                <w:lang w:val="es-ES"/>
              </w:rPr>
              <w:t xml:space="preserve"> </w:t>
            </w:r>
            <w:r w:rsidRPr="38FACAB2">
              <w:rPr>
                <w:rFonts w:ascii="Verdana" w:eastAsia="Calibri" w:hAnsi="Verdana" w:cs="Arial"/>
                <w:lang w:val="es-ES"/>
              </w:rPr>
              <w:t>años de constituida, la experiencia que registró de sus socios no puede ser inscrita nuevamente, puesto que el RUP habría cesado en sus efectos y la cámara de comercio tendría que hacer nuevamente la verificación documental de la información presentada al momento de inscribirse en el registro.</w:t>
            </w:r>
          </w:p>
          <w:p w14:paraId="624C587F" w14:textId="77777777" w:rsidR="00AB4CEF" w:rsidRDefault="00AB4CEF" w:rsidP="00FD4928">
            <w:pPr>
              <w:snapToGrid w:val="0"/>
              <w:spacing w:line="276" w:lineRule="auto"/>
              <w:ind w:firstLine="709"/>
              <w:jc w:val="both"/>
              <w:rPr>
                <w:rFonts w:ascii="Verdana" w:eastAsia="Calibri" w:hAnsi="Verdana" w:cs="Arial"/>
              </w:rPr>
            </w:pPr>
            <w:r w:rsidRPr="00E06F3A">
              <w:rPr>
                <w:rFonts w:ascii="Verdana" w:eastAsia="Calibri" w:hAnsi="Verdana" w:cs="Arial"/>
              </w:rPr>
              <w:t>En consecuencia, la norma no limita la transferencia de experiencia únicamente a los contratos ejecutados con anterioridad a la constitución de la sociedad. Lo relevante es que, al momento de la inscripción en el Registro Único de Proponentes (RUP), el socio, accionista o constituyente ostente formalmente dicha calidad dentro de la persona jurídica beneficiaria, y que la experiencia a transferir le pertenezca legítimamente, según su propio historial contractual.</w:t>
            </w:r>
          </w:p>
          <w:p w14:paraId="6B81C5CB" w14:textId="1FCA72B3" w:rsidR="00FD2C16" w:rsidRPr="00073A28" w:rsidRDefault="00FD2C16" w:rsidP="00FD4928">
            <w:pPr>
              <w:snapToGrid w:val="0"/>
              <w:spacing w:line="276" w:lineRule="auto"/>
              <w:ind w:firstLine="709"/>
              <w:jc w:val="both"/>
              <w:rPr>
                <w:rFonts w:ascii="Verdana" w:eastAsia="Calibri" w:hAnsi="Verdana" w:cs="Arial"/>
              </w:rPr>
            </w:pPr>
            <w:r>
              <w:rPr>
                <w:rFonts w:ascii="Verdana" w:eastAsia="Calibri" w:hAnsi="Verdana" w:cs="Arial"/>
              </w:rPr>
              <w:t>Ahora bien, en torno a su consulta, e</w:t>
            </w:r>
            <w:r w:rsidRPr="00FD2C16">
              <w:rPr>
                <w:rFonts w:ascii="Verdana" w:eastAsia="Calibri" w:hAnsi="Verdana" w:cs="Arial"/>
              </w:rPr>
              <w:t xml:space="preserve">n los procesos de régimen privado que involucran recursos públicos y en los que no se exige la inscripción en el RUP, la </w:t>
            </w:r>
            <w:r>
              <w:rPr>
                <w:rFonts w:ascii="Verdana" w:eastAsia="Calibri" w:hAnsi="Verdana" w:cs="Arial"/>
              </w:rPr>
              <w:t>Agencia</w:t>
            </w:r>
            <w:r w:rsidRPr="00FD2C16">
              <w:rPr>
                <w:rFonts w:ascii="Verdana" w:eastAsia="Calibri" w:hAnsi="Verdana" w:cs="Arial"/>
              </w:rPr>
              <w:t xml:space="preserve"> recomienda utilizar medios de verificación que garanticen la observancia de la regla de conservación anterior, evitando imponer cargas </w:t>
            </w:r>
            <w:r w:rsidRPr="00FD2C16">
              <w:rPr>
                <w:rFonts w:ascii="Verdana" w:eastAsia="Calibri" w:hAnsi="Verdana" w:cs="Arial"/>
              </w:rPr>
              <w:lastRenderedPageBreak/>
              <w:t>excesivas a los oferentes. En ese marco, puede emplearse la certificación del representante legal y del revisor fiscal</w:t>
            </w:r>
            <w:r>
              <w:rPr>
                <w:rFonts w:ascii="Verdana" w:eastAsia="Calibri" w:hAnsi="Verdana" w:cs="Arial"/>
              </w:rPr>
              <w:t xml:space="preserve">, </w:t>
            </w:r>
            <w:r w:rsidRPr="00FD2C16">
              <w:rPr>
                <w:rFonts w:ascii="Verdana" w:eastAsia="Calibri" w:hAnsi="Verdana" w:cs="Arial"/>
              </w:rPr>
              <w:t>cuando corresponda</w:t>
            </w:r>
            <w:r>
              <w:rPr>
                <w:rFonts w:ascii="Verdana" w:eastAsia="Calibri" w:hAnsi="Verdana" w:cs="Arial"/>
              </w:rPr>
              <w:t xml:space="preserve">, </w:t>
            </w:r>
            <w:r w:rsidRPr="00FD2C16">
              <w:rPr>
                <w:rFonts w:ascii="Verdana" w:eastAsia="Calibri" w:hAnsi="Verdana" w:cs="Arial"/>
              </w:rPr>
              <w:t>acompañada de soportes</w:t>
            </w:r>
            <w:r>
              <w:rPr>
                <w:rFonts w:ascii="Verdana" w:eastAsia="Calibri" w:hAnsi="Verdana" w:cs="Arial"/>
              </w:rPr>
              <w:t xml:space="preserve"> a los que haya lugar</w:t>
            </w:r>
            <w:r w:rsidRPr="00FD2C16">
              <w:rPr>
                <w:rFonts w:ascii="Verdana" w:eastAsia="Calibri" w:hAnsi="Verdana" w:cs="Arial"/>
              </w:rPr>
              <w:t>, siempre que dichos documentos resulten idóneos, suficientes y proporcionales para acreditar las condiciones habilitantes del proponente</w:t>
            </w:r>
            <w:r>
              <w:rPr>
                <w:rFonts w:ascii="Verdana" w:eastAsia="Calibri" w:hAnsi="Verdana" w:cs="Arial"/>
              </w:rPr>
              <w:t xml:space="preserve"> y que salvaguarden los principios de la función administrativa y la gestión fiscal</w:t>
            </w:r>
            <w:r w:rsidRPr="00FD2C16">
              <w:rPr>
                <w:rFonts w:ascii="Verdana" w:eastAsia="Calibri" w:hAnsi="Verdana" w:cs="Arial"/>
              </w:rPr>
              <w:t>.</w:t>
            </w:r>
          </w:p>
        </w:tc>
      </w:tr>
    </w:tbl>
    <w:p w14:paraId="1C6BFC95" w14:textId="77777777" w:rsidR="00AB4CEF" w:rsidRPr="00073A28" w:rsidRDefault="00AB4CEF" w:rsidP="00AB4CEF">
      <w:pPr>
        <w:tabs>
          <w:tab w:val="left" w:pos="142"/>
          <w:tab w:val="left" w:pos="284"/>
        </w:tabs>
        <w:spacing w:after="0" w:line="276" w:lineRule="auto"/>
        <w:jc w:val="both"/>
        <w:rPr>
          <w:rFonts w:ascii="Verdana" w:eastAsia="Century Gothic" w:hAnsi="Verdana" w:cs="Century Gothic"/>
          <w:b/>
          <w:bCs/>
        </w:rPr>
      </w:pPr>
    </w:p>
    <w:p w14:paraId="75C5AA74" w14:textId="77777777" w:rsidR="00AB4CEF" w:rsidRPr="00073A28" w:rsidRDefault="00AB4CEF" w:rsidP="00AB4CE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3B292B89" w14:textId="77777777" w:rsidR="00AB4CEF" w:rsidRPr="00073A28" w:rsidRDefault="00AB4CEF" w:rsidP="00AB4CEF">
      <w:pPr>
        <w:spacing w:after="0" w:line="276" w:lineRule="auto"/>
        <w:jc w:val="both"/>
        <w:rPr>
          <w:rFonts w:ascii="Verdana" w:eastAsia="Calibri" w:hAnsi="Verdana" w:cs="Arial"/>
        </w:rPr>
      </w:pPr>
    </w:p>
    <w:p w14:paraId="3578094D" w14:textId="77777777" w:rsidR="00AB4CEF" w:rsidRPr="00073A28" w:rsidRDefault="00AB4CEF" w:rsidP="00AB4CEF">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5909A357" w14:textId="77777777" w:rsidR="00AB4CEF" w:rsidRPr="00073A28" w:rsidRDefault="00AB4CEF" w:rsidP="00AB4CEF">
      <w:pPr>
        <w:spacing w:after="0" w:line="276" w:lineRule="auto"/>
        <w:jc w:val="both"/>
        <w:rPr>
          <w:rFonts w:ascii="Verdana" w:eastAsia="Calibri" w:hAnsi="Verdana" w:cs="Arial"/>
        </w:rPr>
      </w:pPr>
    </w:p>
    <w:p w14:paraId="61CC2EAC" w14:textId="724788BE" w:rsidR="00AB4CEF" w:rsidRPr="002A000A" w:rsidRDefault="00AB4CEF" w:rsidP="00AB4CEF">
      <w:pPr>
        <w:snapToGrid w:val="0"/>
        <w:spacing w:after="0" w:line="276" w:lineRule="auto"/>
        <w:contextualSpacing/>
        <w:jc w:val="both"/>
        <w:rPr>
          <w:rFonts w:ascii="Verdana" w:eastAsia="Calibri" w:hAnsi="Verdana" w:cs="Arial"/>
          <w:lang w:val="es-ES"/>
        </w:rPr>
      </w:pPr>
      <w:r w:rsidRPr="38FACAB2">
        <w:rPr>
          <w:rFonts w:ascii="Verdana" w:eastAsia="Calibri" w:hAnsi="Verdana" w:cs="Arial"/>
          <w:kern w:val="2"/>
          <w:lang w:val="es-ES"/>
          <w14:ligatures w14:val="standardContextual"/>
        </w:rPr>
        <w:t>La Ley 1150 de 2007, en el artículo 5, establece los requisitos habilitantes para participar en un procedimiento contractual, dentro de los cuales se destaca la experiencia</w:t>
      </w:r>
      <w:r w:rsidR="007D6543">
        <w:rPr>
          <w:rFonts w:ascii="Verdana" w:eastAsia="Calibri" w:hAnsi="Verdana" w:cs="Arial"/>
          <w:kern w:val="2"/>
          <w:lang w:val="es-ES"/>
          <w14:ligatures w14:val="standardContextual"/>
        </w:rPr>
        <w:t xml:space="preserve">. Su </w:t>
      </w:r>
      <w:r w:rsidRPr="38FACAB2">
        <w:rPr>
          <w:rFonts w:ascii="Verdana" w:eastAsia="Calibri" w:hAnsi="Verdana" w:cs="Arial"/>
          <w:kern w:val="2"/>
          <w:lang w:val="es-ES"/>
          <w14:ligatures w14:val="standardContextual"/>
        </w:rPr>
        <w:t>propósito es que las entidades fijen unos requisitos mínimos que debe tener y acreditar el proponente, para que la entidad pueda verificar su aptitud para participar en el procedimiento de contratación y, si se le adjudica, ejecutar el contrato estatal</w:t>
      </w:r>
      <w:r w:rsidRPr="38FACAB2">
        <w:rPr>
          <w:rFonts w:ascii="Aptos" w:eastAsia="Aptos" w:hAnsi="Aptos" w:cs="Times New Roman"/>
          <w:kern w:val="2"/>
          <w:sz w:val="24"/>
          <w:szCs w:val="24"/>
          <w:vertAlign w:val="superscript"/>
          <w:lang w:val="es-ES"/>
          <w14:ligatures w14:val="standardContextual"/>
        </w:rPr>
        <w:footnoteReference w:id="2"/>
      </w:r>
      <w:r w:rsidRPr="38FACAB2">
        <w:rPr>
          <w:rFonts w:ascii="Verdana" w:eastAsia="Calibri" w:hAnsi="Verdana" w:cs="Arial"/>
          <w:kern w:val="2"/>
          <w:lang w:val="es-ES"/>
          <w14:ligatures w14:val="standardContextual"/>
        </w:rPr>
        <w:t xml:space="preserve">. En ese sentido, la entidad, como responsable de la estructuración de su procedimiento de contratación, es autónoma para requerir la experiencia necesaria para </w:t>
      </w:r>
      <w:r w:rsidR="007D6543">
        <w:rPr>
          <w:rFonts w:ascii="Verdana" w:eastAsia="Calibri" w:hAnsi="Verdana" w:cs="Arial"/>
          <w:kern w:val="2"/>
          <w:lang w:val="es-ES"/>
          <w14:ligatures w14:val="standardContextual"/>
        </w:rPr>
        <w:t xml:space="preserve">ejecutar </w:t>
      </w:r>
      <w:r w:rsidRPr="38FACAB2">
        <w:rPr>
          <w:rFonts w:ascii="Verdana" w:eastAsia="Calibri" w:hAnsi="Verdana" w:cs="Arial"/>
          <w:kern w:val="2"/>
          <w:lang w:val="es-ES"/>
          <w14:ligatures w14:val="standardContextual"/>
        </w:rPr>
        <w:t>el objeto contractual que se pretende satisfacer con el procedimiento, para lo cual, de acuerdo con el artículo 2.2.1.1.1.6.2. del Decreto 1082 de 2015, debe tener en cuenta el estudio del sector y sus componentes, como la identificación de riesgos, así como el mercado y precio del bien, obra o servicio a contratar</w:t>
      </w:r>
      <w:r w:rsidRPr="38FACAB2">
        <w:rPr>
          <w:rFonts w:ascii="Aptos" w:eastAsia="Aptos" w:hAnsi="Aptos" w:cs="Times New Roman"/>
          <w:kern w:val="2"/>
          <w:sz w:val="24"/>
          <w:szCs w:val="24"/>
          <w:vertAlign w:val="superscript"/>
          <w:lang w:val="es-ES"/>
          <w14:ligatures w14:val="standardContextual"/>
        </w:rPr>
        <w:footnoteReference w:id="3"/>
      </w:r>
      <w:r w:rsidRPr="38FACAB2">
        <w:rPr>
          <w:rFonts w:ascii="Verdana" w:eastAsia="Calibri" w:hAnsi="Verdana" w:cs="Arial"/>
          <w:kern w:val="2"/>
          <w:lang w:val="es-ES"/>
          <w14:ligatures w14:val="standardContextual"/>
        </w:rPr>
        <w:t>.</w:t>
      </w:r>
    </w:p>
    <w:p w14:paraId="7127762A" w14:textId="77777777" w:rsidR="00AB4CEF" w:rsidRPr="002A000A" w:rsidRDefault="00AB4CEF" w:rsidP="00AB4CEF">
      <w:pPr>
        <w:snapToGrid w:val="0"/>
        <w:spacing w:before="120" w:after="120" w:line="276" w:lineRule="auto"/>
        <w:ind w:firstLine="709"/>
        <w:jc w:val="both"/>
        <w:rPr>
          <w:rFonts w:ascii="Verdana" w:eastAsia="Calibri" w:hAnsi="Verdana" w:cs="Arial"/>
          <w:lang w:val="es-ES_tradnl"/>
        </w:rPr>
      </w:pPr>
      <w:r w:rsidRPr="002A000A">
        <w:rPr>
          <w:rFonts w:ascii="Verdana" w:eastAsia="Calibri" w:hAnsi="Verdana" w:cs="Arial"/>
          <w:kern w:val="2"/>
          <w:lang w:val="es-ES_tradnl"/>
          <w14:ligatures w14:val="standardContextual"/>
        </w:rPr>
        <w:lastRenderedPageBreak/>
        <w:t>La experiencia que se deriva de los contratos que el proponente ha celebrado y ejecutado con diferentes contratantes, sin importar la naturaleza de estos, se verifica con el Registro Único de Proponentes –RUP–</w:t>
      </w:r>
      <w:r w:rsidRPr="002A000A">
        <w:rPr>
          <w:rFonts w:ascii="Verdana" w:eastAsia="Aptos" w:hAnsi="Verdana" w:cs="Times New Roman"/>
          <w:kern w:val="2"/>
          <w:vertAlign w:val="superscript"/>
          <w:lang w:val="es-ES_tradnl"/>
          <w14:ligatures w14:val="standardContextual"/>
        </w:rPr>
        <w:footnoteReference w:id="4"/>
      </w:r>
      <w:r w:rsidRPr="002A000A">
        <w:rPr>
          <w:rFonts w:ascii="Verdana" w:eastAsia="Calibri" w:hAnsi="Verdana" w:cs="Arial"/>
          <w:kern w:val="2"/>
          <w:lang w:val="es-ES_tradnl"/>
          <w14:ligatures w14:val="standardContextual"/>
        </w:rPr>
        <w:t>, cuando este certificado sea exigible de acuerdo con la ley. En el RUP constan los requisitos habilitantes que se evalúan exclusivamente con este documento, que es su plena prueba, sin que la entidad o el proponente puedan solicitar o aportar otra documentación</w:t>
      </w:r>
      <w:r w:rsidRPr="002A000A">
        <w:rPr>
          <w:rFonts w:ascii="Verdana" w:eastAsia="Aptos" w:hAnsi="Verdana" w:cs="Times New Roman"/>
          <w:kern w:val="2"/>
          <w:vertAlign w:val="superscript"/>
          <w:lang w:val="es-ES_tradnl"/>
          <w14:ligatures w14:val="standardContextual"/>
        </w:rPr>
        <w:footnoteReference w:id="5"/>
      </w:r>
      <w:r w:rsidRPr="002A000A">
        <w:rPr>
          <w:rFonts w:ascii="Verdana" w:eastAsia="Calibri" w:hAnsi="Verdana" w:cs="Arial"/>
          <w:kern w:val="2"/>
          <w:lang w:val="es-ES_tradnl"/>
          <w14:ligatures w14:val="standardContextual"/>
        </w:rPr>
        <w:t>.</w:t>
      </w:r>
    </w:p>
    <w:p w14:paraId="11ED28DD" w14:textId="77777777" w:rsidR="00AB4CEF" w:rsidRPr="002A000A" w:rsidRDefault="00AB4CEF" w:rsidP="00AB4CEF">
      <w:pPr>
        <w:spacing w:after="120" w:line="276" w:lineRule="auto"/>
        <w:ind w:firstLine="709"/>
        <w:jc w:val="both"/>
        <w:rPr>
          <w:rFonts w:ascii="Verdana" w:eastAsia="Calibri" w:hAnsi="Verdana" w:cs="Arial"/>
          <w:kern w:val="2"/>
          <w:lang w:val="es-ES_tradnl"/>
          <w14:ligatures w14:val="standardContextual"/>
        </w:rPr>
      </w:pPr>
      <w:r w:rsidRPr="002A000A">
        <w:rPr>
          <w:rFonts w:ascii="Verdana" w:eastAsia="Calibri" w:hAnsi="Verdana" w:cs="Arial"/>
          <w:kern w:val="2"/>
          <w:lang w:val="es-ES_tradnl"/>
          <w14:ligatures w14:val="standardContextual"/>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2A000A">
        <w:rPr>
          <w:rFonts w:ascii="Verdana" w:eastAsia="Aptos" w:hAnsi="Verdana" w:cs="Times New Roman"/>
          <w:kern w:val="2"/>
          <w:vertAlign w:val="superscript"/>
          <w:lang w:val="es-ES_tradnl"/>
          <w14:ligatures w14:val="standardContextual"/>
        </w:rPr>
        <w:footnoteReference w:id="6"/>
      </w:r>
      <w:r w:rsidRPr="002A000A">
        <w:rPr>
          <w:rFonts w:ascii="Verdana" w:eastAsia="Calibri" w:hAnsi="Verdana" w:cs="Arial"/>
          <w:kern w:val="2"/>
          <w:lang w:val="es-ES_tradnl"/>
          <w14:ligatures w14:val="standardContextual"/>
        </w:rPr>
        <w:t xml:space="preserve">. De esta manera, con el RUP se verifica que </w:t>
      </w:r>
      <w:r w:rsidRPr="002A000A">
        <w:rPr>
          <w:rFonts w:ascii="Verdana" w:eastAsia="Calibri" w:hAnsi="Verdana" w:cs="Arial"/>
          <w:kern w:val="2"/>
          <w:lang w:val="es-ES_tradnl"/>
          <w14:ligatures w14:val="standardContextual"/>
        </w:rPr>
        <w:lastRenderedPageBreak/>
        <w:t xml:space="preserve">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524566A6" w14:textId="77777777" w:rsidR="00AB4CEF" w:rsidRPr="002A000A" w:rsidRDefault="00AB4CEF" w:rsidP="00AB4CEF">
      <w:pPr>
        <w:spacing w:before="120" w:after="0" w:line="276" w:lineRule="auto"/>
        <w:ind w:firstLine="709"/>
        <w:jc w:val="both"/>
        <w:rPr>
          <w:rFonts w:ascii="Verdana" w:eastAsia="Calibri" w:hAnsi="Verdana" w:cs="Arial"/>
          <w:lang w:val="es-ES"/>
        </w:rPr>
      </w:pPr>
      <w:r w:rsidRPr="38FACAB2">
        <w:rPr>
          <w:rFonts w:ascii="Verdana" w:eastAsia="Calibri" w:hAnsi="Verdana" w:cs="Arial"/>
          <w:lang w:val="es-ES"/>
        </w:rPr>
        <w:t>Esta Agencia puso a disposición de los interesados el “Manual para determinar y verificar los requisitos habilitantes en los Procesos de Contratación”</w:t>
      </w:r>
      <w:r w:rsidRPr="38FACAB2">
        <w:rPr>
          <w:rFonts w:ascii="Verdana" w:eastAsia="Calibri" w:hAnsi="Verdana" w:cs="Arial"/>
          <w:vertAlign w:val="superscript"/>
          <w:lang w:val="es-ES"/>
        </w:rPr>
        <w:footnoteReference w:id="7"/>
      </w:r>
      <w:r w:rsidRPr="38FACAB2">
        <w:rPr>
          <w:rFonts w:ascii="Verdana" w:eastAsia="Calibri" w:hAnsi="Verdana" w:cs="Arial"/>
          <w:lang w:val="es-ES"/>
        </w:rPr>
        <w:t xml:space="preserve">, en el que se establecen las definiciones de cada requisito habilitante y se dan lineamientos orientadores sobre lo que las entidades deben y pueden hacer para configurarlos. En particular, sobre el requisito habilitante de experiencia, el Manual se centra en una de sus cualidades, y es que, es </w:t>
      </w:r>
      <w:r w:rsidRPr="38FACAB2">
        <w:rPr>
          <w:rFonts w:ascii="Verdana" w:eastAsia="Calibri" w:hAnsi="Verdana" w:cs="Arial"/>
          <w:i/>
          <w:iCs/>
          <w:lang w:val="es-ES"/>
        </w:rPr>
        <w:t>personal</w:t>
      </w:r>
      <w:r w:rsidRPr="38FACAB2">
        <w:rPr>
          <w:rFonts w:ascii="Verdana" w:eastAsia="Calibri" w:hAnsi="Verdana" w:cs="Arial"/>
          <w:lang w:val="es-ES"/>
        </w:rPr>
        <w:t xml:space="preserve">; lo que significa que quien tiene la experiencia lo hace </w:t>
      </w:r>
      <w:proofErr w:type="gramStart"/>
      <w:r w:rsidRPr="38FACAB2">
        <w:rPr>
          <w:rFonts w:ascii="Verdana" w:eastAsia="Calibri" w:hAnsi="Verdana" w:cs="Arial"/>
          <w:lang w:val="es-ES"/>
        </w:rPr>
        <w:t>en razón de</w:t>
      </w:r>
      <w:proofErr w:type="gramEnd"/>
      <w:r w:rsidRPr="38FACAB2">
        <w:rPr>
          <w:rFonts w:ascii="Verdana" w:eastAsia="Calibri" w:hAnsi="Verdana" w:cs="Arial"/>
          <w:lang w:val="es-ES"/>
        </w:rPr>
        <w:t xml:space="preserve"> su participación, con anterioridad, en actividades que le permitieron conocer cómo ejecutar el objeto contractual que la entidad pretende satisfacer mediante el Proceso de Contratación.</w:t>
      </w:r>
    </w:p>
    <w:p w14:paraId="4B7FC944" w14:textId="77777777" w:rsidR="00AB4CEF" w:rsidRPr="002A000A" w:rsidRDefault="00AB4CEF" w:rsidP="00AB4CEF">
      <w:pPr>
        <w:spacing w:before="120" w:after="120" w:line="276" w:lineRule="auto"/>
        <w:ind w:firstLine="708"/>
        <w:jc w:val="both"/>
        <w:rPr>
          <w:rFonts w:ascii="Verdana" w:eastAsia="Calibri" w:hAnsi="Verdana" w:cs="Arial"/>
          <w:lang w:val="es-ES_tradnl"/>
        </w:rPr>
      </w:pPr>
      <w:r w:rsidRPr="002A000A">
        <w:rPr>
          <w:rFonts w:ascii="Verdana" w:eastAsia="Calibri" w:hAnsi="Verdana" w:cs="Arial"/>
          <w:lang w:val="es-ES_tradnl"/>
        </w:rPr>
        <w:t xml:space="preserve">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 </w:t>
      </w:r>
    </w:p>
    <w:p w14:paraId="0059232D" w14:textId="77777777" w:rsidR="00AB4CEF" w:rsidRPr="002A000A" w:rsidRDefault="00AB4CEF" w:rsidP="00AB4CEF">
      <w:pPr>
        <w:tabs>
          <w:tab w:val="left" w:pos="709"/>
        </w:tabs>
        <w:spacing w:after="120" w:line="276" w:lineRule="auto"/>
        <w:jc w:val="both"/>
        <w:rPr>
          <w:rFonts w:ascii="Verdana" w:eastAsia="Calibri" w:hAnsi="Verdana" w:cs="Arial"/>
          <w:color w:val="000000"/>
          <w:shd w:val="clear" w:color="auto" w:fill="FFFFFF"/>
          <w:lang w:val="es-ES"/>
        </w:rPr>
      </w:pPr>
      <w:r w:rsidRPr="002A000A">
        <w:rPr>
          <w:rFonts w:ascii="Arial" w:eastAsia="Calibri" w:hAnsi="Arial" w:cs="Arial"/>
          <w:color w:val="000000"/>
          <w:shd w:val="clear" w:color="auto" w:fill="FFFFFF"/>
          <w:lang w:val="es-ES_tradnl"/>
        </w:rPr>
        <w:tab/>
      </w:r>
      <w:r w:rsidRPr="38FACAB2">
        <w:rPr>
          <w:rFonts w:ascii="Verdana" w:eastAsia="Calibri" w:hAnsi="Verdana" w:cs="Arial"/>
          <w:color w:val="000000"/>
          <w:shd w:val="clear" w:color="auto" w:fill="FFFFFF"/>
          <w:lang w:val="es-ES"/>
        </w:rPr>
        <w:t xml:space="preserve">En ese orden, se tiene que el artículo 6 de la Ley 1150 de 2007 señala que todas las personas naturales o jurídicas, nacionales o extranjeras, domiciliadas o con sucursal en Colombia que aspiren a celebrar contratos con las entidades, como se indicó en líneas anteriores, deberán estar inscritas en el RUP. En este registro constará la información relacionada con la experiencia, capacidad jurídica, financiera y de organización del proponente y su clasificación. De esta forma, </w:t>
      </w:r>
      <w:r w:rsidRPr="38FACAB2">
        <w:rPr>
          <w:rFonts w:ascii="Verdana" w:eastAsia="Times New Roman" w:hAnsi="Verdana" w:cs="Arial"/>
          <w:lang w:val="es-ES" w:eastAsia="es-ES"/>
        </w:rPr>
        <w:t xml:space="preserve">el numeral 2.5 del artículo 2.2.1.1.1.5.2 del Decreto 1082 de 2015, 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w:t>
      </w:r>
      <w:r w:rsidRPr="38FACAB2">
        <w:rPr>
          <w:rFonts w:ascii="Verdana" w:eastAsia="Times New Roman" w:hAnsi="Verdana" w:cs="Arial"/>
          <w:lang w:val="es-ES" w:eastAsia="es-ES"/>
        </w:rPr>
        <w:lastRenderedPageBreak/>
        <w:t>ejecutados o copias de los contratos cuando el interesado no puede obtener tal certificado</w:t>
      </w:r>
      <w:r w:rsidRPr="38FACAB2">
        <w:rPr>
          <w:rFonts w:ascii="Verdana" w:eastAsia="Calibri" w:hAnsi="Verdana" w:cs="Arial"/>
          <w:vertAlign w:val="superscript"/>
          <w:lang w:val="es-ES" w:eastAsia="es-ES"/>
        </w:rPr>
        <w:footnoteReference w:id="8"/>
      </w:r>
      <w:r w:rsidRPr="38FACAB2">
        <w:rPr>
          <w:rFonts w:ascii="Verdana" w:eastAsia="Times New Roman" w:hAnsi="Verdana" w:cs="Arial"/>
          <w:lang w:val="es-ES" w:eastAsia="es-ES"/>
        </w:rPr>
        <w:t xml:space="preserve">. </w:t>
      </w:r>
    </w:p>
    <w:p w14:paraId="76A73748" w14:textId="77777777" w:rsidR="00AB4CEF" w:rsidRPr="002A000A" w:rsidRDefault="00AB4CEF" w:rsidP="00AB4CEF">
      <w:pPr>
        <w:spacing w:before="120" w:after="120" w:line="276" w:lineRule="auto"/>
        <w:ind w:firstLine="708"/>
        <w:jc w:val="both"/>
        <w:rPr>
          <w:rFonts w:ascii="Verdana" w:eastAsia="Times New Roman" w:hAnsi="Verdana" w:cs="Arial"/>
          <w:lang w:val="es-ES" w:eastAsia="es-ES"/>
        </w:rPr>
      </w:pPr>
      <w:r w:rsidRPr="1508AF59">
        <w:rPr>
          <w:rFonts w:ascii="Verdana" w:eastAsia="Times New Roman" w:hAnsi="Verdana" w:cs="Arial"/>
          <w:lang w:val="es-ES" w:eastAsia="es-ES"/>
        </w:rPr>
        <w:t xml:space="preserve">Por ello, el interesado debe indicar en cada certificado, o en cada copia de los contratos, los bienes, obras y servicios a los cuales corresponde la experiencia que pretende acreditar, identificándolos con el Clasificador de Bienes y Servicios, en el tercer nivel. Sin embargo, es menester destacar que la parte final del numeral 2.5 del referido artículo indica que </w:t>
      </w:r>
      <w:r w:rsidRPr="1508AF59">
        <w:rPr>
          <w:rFonts w:ascii="Verdana" w:eastAsia="Calibri" w:hAnsi="Verdana" w:cs="Arial"/>
          <w:lang w:val="es-ES" w:eastAsia="es-ES"/>
        </w:rPr>
        <w:t>“</w:t>
      </w:r>
      <w:r w:rsidRPr="1508AF59">
        <w:rPr>
          <w:rFonts w:ascii="Verdana" w:eastAsia="Times New Roman" w:hAnsi="Verdana" w:cs="Arial"/>
          <w:lang w:val="es-ES" w:eastAsia="es-ES"/>
        </w:rPr>
        <w:t>[s]i la constitución del interesado es menor a tres (3) años, puede acreditar la experiencia de sus accionistas, socios o constituyentes</w:t>
      </w:r>
      <w:r w:rsidRPr="1508AF59">
        <w:rPr>
          <w:rFonts w:ascii="Verdana" w:eastAsia="Calibri" w:hAnsi="Verdana" w:cs="Arial"/>
          <w:lang w:val="es-ES" w:eastAsia="es-ES"/>
        </w:rPr>
        <w:t>”</w:t>
      </w:r>
      <w:r w:rsidRPr="1508AF59">
        <w:rPr>
          <w:rFonts w:ascii="Verdana" w:eastAsia="Times New Roman" w:hAnsi="Verdana" w:cs="Arial"/>
          <w:lang w:val="es-ES" w:eastAsia="es-ES"/>
        </w:rPr>
        <w:t>.</w:t>
      </w:r>
    </w:p>
    <w:p w14:paraId="0800BF5F" w14:textId="77777777" w:rsidR="00AB4CEF" w:rsidRPr="002A000A" w:rsidRDefault="00AB4CEF" w:rsidP="00AB4CEF">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1FBA44E7" w14:textId="77777777" w:rsidR="00AB4CEF" w:rsidRPr="002A000A" w:rsidRDefault="00AB4CEF" w:rsidP="00AB4CEF">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 xml:space="preserve">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w:t>
      </w:r>
      <w:r w:rsidRPr="38FACAB2">
        <w:rPr>
          <w:rFonts w:ascii="Verdana" w:eastAsia="Calibri" w:hAnsi="Verdana" w:cs="Arial"/>
          <w:color w:val="000000"/>
          <w:shd w:val="clear" w:color="auto" w:fill="FFFFFF"/>
          <w:lang w:val="es-ES"/>
        </w:rPr>
        <w:lastRenderedPageBreak/>
        <w:t>habilitantes o puntuables que establezcan las Entidades Estatales en sus Procesos de Contratación, y de esta forma promover el desarrollo de la empresa y la pluralidad de oferentes en la contratación pública.</w:t>
      </w:r>
    </w:p>
    <w:p w14:paraId="47F21DE5" w14:textId="77777777" w:rsidR="00AB4CEF" w:rsidRPr="002A000A" w:rsidRDefault="00AB4CEF" w:rsidP="00AB4C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Este aspecto ofrece meridiana claridad en cuanto a su aplicación, pero el interrogante que ha generado la norma es el siguiente: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Estos interrogantes han sido planteados a la Subdirección de Gestión Contractual de esta Agencia y se han desarrollado en torno a dos posiciones que se plantean a continuación: </w:t>
      </w:r>
    </w:p>
    <w:p w14:paraId="2E71BB13" w14:textId="77777777" w:rsidR="00AB4CEF" w:rsidRPr="002A000A" w:rsidRDefault="00AB4CEF" w:rsidP="00AB4CEF">
      <w:pPr>
        <w:spacing w:after="0" w:line="276" w:lineRule="auto"/>
        <w:ind w:firstLine="708"/>
        <w:contextualSpacing/>
        <w:jc w:val="both"/>
        <w:rPr>
          <w:rFonts w:ascii="Verdana" w:eastAsia="Times New Roman" w:hAnsi="Verdana" w:cs="Arial"/>
          <w:lang w:val="es-ES" w:eastAsia="es-ES"/>
        </w:rPr>
      </w:pPr>
      <w:r w:rsidRPr="38FACAB2">
        <w:rPr>
          <w:rFonts w:ascii="Verdana" w:eastAsia="Times New Roman" w:hAnsi="Verdana" w:cs="Arial"/>
          <w:lang w:val="es-ES" w:eastAsia="es-ES"/>
        </w:rPr>
        <w:t xml:space="preserve">Para esta Agencia, </w:t>
      </w:r>
      <w:bookmarkStart w:id="0" w:name="_Hlk67498604"/>
      <w:r w:rsidRPr="38FACAB2">
        <w:rPr>
          <w:rFonts w:ascii="Verdana" w:eastAsia="Times New Roman" w:hAnsi="Verdana" w:cs="Arial"/>
          <w:lang w:val="es-ES" w:eastAsia="es-ES"/>
        </w:rPr>
        <w:t xml:space="preserve">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w:t>
      </w:r>
      <w:bookmarkEnd w:id="0"/>
      <w:r w:rsidRPr="38FACAB2">
        <w:rPr>
          <w:rFonts w:ascii="Verdana" w:eastAsia="Times New Roman" w:hAnsi="Verdana" w:cs="Arial"/>
          <w:lang w:val="es-ES" w:eastAsia="es-ES"/>
        </w:rPr>
        <w:t xml:space="preserve">Lo anterior, tiene fundamento en la Circular Única de la Superintendencia de Industria y Comercio, cuyo numeral 4.2 del capítulo cuarto del título VIII, sobre el procedimiento para llevar el Registro Único de Proponentes, dispone lo siguiente:  </w:t>
      </w:r>
    </w:p>
    <w:p w14:paraId="5C229C6C" w14:textId="77777777" w:rsidR="00AB4CEF" w:rsidRPr="002A000A" w:rsidRDefault="00AB4CEF" w:rsidP="00AB4CEF">
      <w:pPr>
        <w:spacing w:after="0" w:line="276" w:lineRule="auto"/>
        <w:ind w:firstLine="708"/>
        <w:contextualSpacing/>
        <w:jc w:val="both"/>
        <w:rPr>
          <w:rFonts w:ascii="Verdana" w:eastAsia="Times New Roman" w:hAnsi="Verdana" w:cs="Arial"/>
          <w:lang w:val="es-ES_tradnl" w:eastAsia="es-ES_tradnl"/>
        </w:rPr>
      </w:pPr>
    </w:p>
    <w:p w14:paraId="36D7B0E1" w14:textId="77777777" w:rsidR="00AB4CEF" w:rsidRPr="00FD4928" w:rsidRDefault="00AB4CEF" w:rsidP="00AB4CEF">
      <w:pPr>
        <w:spacing w:after="0" w:line="240" w:lineRule="auto"/>
        <w:ind w:left="709" w:right="709"/>
        <w:contextualSpacing/>
        <w:jc w:val="both"/>
        <w:rPr>
          <w:rFonts w:ascii="Verdana" w:eastAsia="Times New Roman" w:hAnsi="Verdana" w:cs="Arial"/>
          <w:sz w:val="20"/>
          <w:szCs w:val="20"/>
          <w:lang w:val="es-ES_tradnl" w:eastAsia="es-ES_tradnl"/>
        </w:rPr>
      </w:pPr>
      <w:r w:rsidRPr="00FD4928">
        <w:rPr>
          <w:rFonts w:ascii="Verdana" w:eastAsia="Times New Roman" w:hAnsi="Verdana" w:cs="Arial"/>
          <w:sz w:val="20"/>
          <w:szCs w:val="20"/>
          <w:lang w:val="es-ES_tradnl"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0BA972D2" w14:textId="77777777" w:rsidR="00AB4CEF" w:rsidRPr="002A000A" w:rsidRDefault="00AB4CEF" w:rsidP="00AB4CEF">
      <w:pPr>
        <w:spacing w:after="0" w:line="276" w:lineRule="auto"/>
        <w:ind w:left="709" w:right="709"/>
        <w:contextualSpacing/>
        <w:jc w:val="both"/>
        <w:rPr>
          <w:rFonts w:ascii="Verdana" w:eastAsia="Times New Roman" w:hAnsi="Verdana" w:cs="Arial"/>
          <w:lang w:val="es-ES_tradnl" w:eastAsia="es-ES_tradnl"/>
        </w:rPr>
      </w:pPr>
    </w:p>
    <w:p w14:paraId="7EA695E9" w14:textId="77777777" w:rsidR="00AB4CEF" w:rsidRPr="002A000A" w:rsidRDefault="00AB4CEF" w:rsidP="00AB4CEF">
      <w:pPr>
        <w:spacing w:after="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Así las cosas, con el fin de incentivar la participación continua y constante de los proponentes, las Entidades Estatales, en sus Procesos de Contratación, aceptarán como válida la experiencia de los socios, accionistas o constituyentes incluso después de cumplidos los tres (3) años de constitución de la sociedad, siempre y cuando se renueve constantemente el RUP, pues esta interpretación permite incentivar la creación de empresa y generar una mayor participación de </w:t>
      </w:r>
      <w:r w:rsidRPr="002A000A">
        <w:rPr>
          <w:rFonts w:ascii="Verdana" w:eastAsia="Times New Roman" w:hAnsi="Verdana" w:cs="Arial"/>
          <w:lang w:val="es-ES_tradnl" w:eastAsia="es-ES_tradnl"/>
        </w:rPr>
        <w:lastRenderedPageBreak/>
        <w:t xml:space="preserve">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 </w:t>
      </w:r>
    </w:p>
    <w:p w14:paraId="57D2119D" w14:textId="77777777" w:rsidR="00AB4CEF" w:rsidRPr="002A000A" w:rsidRDefault="00AB4CEF" w:rsidP="00AB4CEF">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30FAAB8C" w14:textId="77777777" w:rsidR="00AB4CEF" w:rsidRPr="002A000A" w:rsidRDefault="00AB4CEF" w:rsidP="00AB4CEF">
      <w:pPr>
        <w:spacing w:before="120" w:after="0" w:line="276" w:lineRule="auto"/>
        <w:ind w:firstLine="709"/>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Por tanto, en atención al principio general de interpretación según el cual donde el legislador no distingue no le es dado hacerlo al intérprete, el hecho de que una sociedad con menos de tres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1B93E8D6" w14:textId="77777777" w:rsidR="00AB4CEF" w:rsidRPr="002A000A" w:rsidRDefault="00AB4CEF" w:rsidP="00AB4CEF">
      <w:pPr>
        <w:spacing w:before="120" w:after="120" w:line="276" w:lineRule="auto"/>
        <w:ind w:firstLine="709"/>
        <w:jc w:val="both"/>
        <w:rPr>
          <w:rFonts w:ascii="Verdana" w:eastAsia="Times New Roman" w:hAnsi="Verdana" w:cs="Arial"/>
          <w:lang w:val="es-ES" w:eastAsia="es-ES"/>
        </w:rPr>
      </w:pPr>
      <w:r w:rsidRPr="38FACAB2">
        <w:rPr>
          <w:rFonts w:ascii="Verdana" w:eastAsia="Calibri" w:hAnsi="Verdana" w:cs="Arial"/>
          <w:color w:val="000000"/>
          <w:shd w:val="clear" w:color="auto" w:fill="FFFFFF"/>
          <w:lang w:val="es-ES"/>
        </w:rPr>
        <w:t xml:space="preserve">Ahora bien, debe aclararse que </w:t>
      </w:r>
      <w:r w:rsidRPr="38FACAB2">
        <w:rPr>
          <w:rFonts w:ascii="Verdana" w:eastAsia="Times New Roman" w:hAnsi="Verdana" w:cs="Arial"/>
          <w:lang w:val="es-ES" w:eastAsia="es-ES"/>
        </w:rPr>
        <w:t xml:space="preserve">el Decreto 1082 de 2015 solo permite que una sociedad acredite la experiencia de quienes tienen la calidad de accionistas, socios o constituyentes </w:t>
      </w:r>
      <w:r w:rsidRPr="38FACAB2">
        <w:rPr>
          <w:rFonts w:ascii="Verdana" w:eastAsia="Calibri" w:hAnsi="Verdana" w:cs="Arial"/>
          <w:lang w:val="es-ES"/>
        </w:rPr>
        <w:t>cuando tiene menos de tres (3) años de constitución</w:t>
      </w:r>
      <w:r w:rsidRPr="38FACAB2">
        <w:rPr>
          <w:rFonts w:ascii="Verdana" w:eastAsia="Times New Roman" w:hAnsi="Verdana" w:cs="Arial"/>
          <w:lang w:val="es-ES" w:eastAsia="es-ES"/>
        </w:rPr>
        <w:t>. De esta forma, en caso de que la sociedad haya superado el referido término de haberse constituido, no podrá acreditar la experiencia obtenida por un nuevo socio o accionista, con el fin de beneficiarse de la prerrogativa señalada en el numeral 2.5 del artículo 2.2.1.1.1.5.2 del citado decreto.</w:t>
      </w:r>
    </w:p>
    <w:p w14:paraId="14581E74" w14:textId="77777777" w:rsidR="00AB4CEF" w:rsidRPr="002A000A" w:rsidRDefault="00AB4CEF" w:rsidP="00AB4CEF">
      <w:pPr>
        <w:shd w:val="clear" w:color="auto" w:fill="FFFFFF" w:themeFill="background1"/>
        <w:snapToGrid w:val="0"/>
        <w:spacing w:after="120" w:line="276" w:lineRule="auto"/>
        <w:ind w:firstLine="709"/>
        <w:jc w:val="both"/>
        <w:rPr>
          <w:rFonts w:ascii="Verdana" w:eastAsia="Times New Roman" w:hAnsi="Verdana" w:cs="Arial"/>
          <w:lang w:val="es-ES" w:eastAsia="es-ES"/>
        </w:rPr>
      </w:pPr>
      <w:r w:rsidRPr="38FACAB2">
        <w:rPr>
          <w:rFonts w:ascii="Verdana" w:eastAsia="Times New Roman" w:hAnsi="Verdana" w:cs="Arial"/>
          <w:lang w:val="es-ES" w:eastAsia="es-ES"/>
        </w:rPr>
        <w:t xml:space="preserve">En este sentido, la experiencia transferida de los accionistas, socios o constituyentes a la persona jurídica que tiene menos de tres (3) años de constitución solo puede verificarse con el registro, sin que sea posible para la entidad contratante solicitar documentos adicionales a los oferentes. Ahora bien, si la persona jurídica con menos de tres (3) años de constituida registra la experiencia de sus socios en el RUP, y este es renovado constantemente de forma oportuna, puede continuar utilizando la experiencia inscrita mientras no </w:t>
      </w:r>
      <w:r w:rsidRPr="38FACAB2">
        <w:rPr>
          <w:rFonts w:ascii="Verdana" w:eastAsia="Times New Roman" w:hAnsi="Verdana" w:cs="Arial"/>
          <w:lang w:val="es-ES" w:eastAsia="es-ES"/>
        </w:rPr>
        <w:lastRenderedPageBreak/>
        <w:t xml:space="preserve">cesen los efectos del RUP, incluso después de transcurridos los tres (3) años. Por el contrario, si no se renueva y la persona jurídica supera los tres (3)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045BEC9E" w14:textId="77777777" w:rsidR="00AB4CEF" w:rsidRPr="002A000A" w:rsidRDefault="00AB4CEF" w:rsidP="00AB4CEF">
      <w:pPr>
        <w:snapToGrid w:val="0"/>
        <w:spacing w:after="120" w:line="276" w:lineRule="auto"/>
        <w:ind w:firstLine="709"/>
        <w:jc w:val="both"/>
        <w:rPr>
          <w:rFonts w:ascii="Verdana" w:eastAsia="Calibri" w:hAnsi="Verdana" w:cs="Arial"/>
          <w:lang w:val="es-ES"/>
        </w:rPr>
      </w:pPr>
      <w:r w:rsidRPr="38FACAB2">
        <w:rPr>
          <w:rFonts w:ascii="Verdana" w:eastAsia="Calibri" w:hAnsi="Verdana" w:cs="Arial"/>
          <w:color w:val="000000"/>
          <w:kern w:val="2"/>
          <w:lang w:val="es-ES"/>
          <w14:ligatures w14:val="standardContextual"/>
        </w:rPr>
        <w:t>Finalmente, es importante precisar que, d</w:t>
      </w:r>
      <w:r w:rsidRPr="38FACAB2">
        <w:rPr>
          <w:rFonts w:ascii="Verdana" w:eastAsia="Calibri" w:hAnsi="Verdana" w:cs="Arial"/>
          <w:kern w:val="2"/>
          <w:lang w:val="es-ES"/>
          <w14:ligatures w14:val="standardContextual"/>
        </w:rPr>
        <w:t xml:space="preserve">e acuerdo con el numeral 1 del artículo 5 de la Ley 1150 de 2007, la capacidad jurídica es </w:t>
      </w:r>
      <w:r w:rsidRPr="38FACAB2">
        <w:rPr>
          <w:rFonts w:ascii="Verdana" w:eastAsia="Aptos" w:hAnsi="Verdana" w:cs="Arial"/>
          <w:color w:val="000000"/>
          <w:kern w:val="2"/>
          <w:lang w:val="es-ES"/>
          <w14:ligatures w14:val="standardContextual"/>
        </w:rPr>
        <w:t>uno de los presupuestos para celebrar un contrato estatal. Según el Código Civil, esta se refiere a la facultad que la ley le confiere a la persona para ejercer derechos y contraer obligaciones</w:t>
      </w:r>
      <w:r w:rsidRPr="38FACAB2">
        <w:rPr>
          <w:rFonts w:ascii="Verdana" w:eastAsia="Aptos" w:hAnsi="Verdana" w:cs="Arial"/>
          <w:color w:val="000000"/>
          <w:kern w:val="2"/>
          <w:vertAlign w:val="superscript"/>
          <w:lang w:val="es-ES"/>
          <w14:ligatures w14:val="standardContextual"/>
        </w:rPr>
        <w:footnoteReference w:id="9"/>
      </w:r>
      <w:r w:rsidRPr="38FACAB2">
        <w:rPr>
          <w:rFonts w:ascii="Verdana" w:eastAsia="Aptos" w:hAnsi="Verdana" w:cs="Arial"/>
          <w:color w:val="000000"/>
          <w:kern w:val="2"/>
          <w:lang w:val="es-ES"/>
          <w14:ligatures w14:val="standardContextual"/>
        </w:rPr>
        <w:t>. De esta manera, todas las personas naturales mayores de edad son capaces, con excepción de aquellas que la ley expresamente excluye de tal presunción, tal como lo disponen los artículos 1502, 1503 y 1504. Por su parte, la capacidad de las personas jurídicas se circunscribe a lo expresado en su objeto social y a su forma de creación</w:t>
      </w:r>
      <w:r w:rsidRPr="38FACAB2">
        <w:rPr>
          <w:rFonts w:ascii="Verdana" w:eastAsia="Aptos" w:hAnsi="Verdana" w:cs="Arial"/>
          <w:color w:val="000000"/>
          <w:kern w:val="2"/>
          <w:vertAlign w:val="superscript"/>
          <w:lang w:val="es-ES"/>
          <w14:ligatures w14:val="standardContextual"/>
        </w:rPr>
        <w:footnoteReference w:id="10"/>
      </w:r>
      <w:r w:rsidRPr="38FACAB2">
        <w:rPr>
          <w:rFonts w:ascii="Verdana" w:eastAsia="Aptos" w:hAnsi="Verdana" w:cs="Arial"/>
          <w:color w:val="000000"/>
          <w:kern w:val="2"/>
          <w:lang w:val="es-ES"/>
          <w14:ligatures w14:val="standardContextual"/>
        </w:rPr>
        <w:t xml:space="preserve">. </w:t>
      </w:r>
    </w:p>
    <w:p w14:paraId="55911C80" w14:textId="77777777" w:rsidR="00AB4CEF" w:rsidRPr="002A000A" w:rsidRDefault="00AB4CEF" w:rsidP="00AB4CEF">
      <w:pPr>
        <w:snapToGrid w:val="0"/>
        <w:spacing w:after="120" w:line="276" w:lineRule="auto"/>
        <w:ind w:firstLine="708"/>
        <w:jc w:val="both"/>
        <w:rPr>
          <w:rFonts w:ascii="Verdana" w:eastAsia="Aptos" w:hAnsi="Verdana" w:cs="Times New Roman"/>
          <w:kern w:val="2"/>
          <w:lang w:val="es-ES"/>
          <w14:ligatures w14:val="standardContextual"/>
        </w:rPr>
      </w:pPr>
      <w:r w:rsidRPr="38FACAB2">
        <w:rPr>
          <w:rFonts w:ascii="Verdana" w:eastAsia="Aptos" w:hAnsi="Verdana" w:cs="Times New Roman"/>
          <w:color w:val="000000"/>
          <w:kern w:val="2"/>
          <w:lang w:val="es-ES"/>
          <w14:ligatures w14:val="standardContextual"/>
        </w:rPr>
        <w:t>En materia de contratación estatal, el artículo 6 de la Ley 80 de 1993 señala que “[p]</w:t>
      </w:r>
      <w:proofErr w:type="spellStart"/>
      <w:r w:rsidRPr="38FACAB2">
        <w:rPr>
          <w:rFonts w:ascii="Verdana" w:eastAsia="Aptos" w:hAnsi="Verdana" w:cs="Times New Roman"/>
          <w:color w:val="000000"/>
          <w:kern w:val="2"/>
          <w:lang w:val="es-ES"/>
          <w14:ligatures w14:val="standardContextual"/>
        </w:rPr>
        <w:t>ueden</w:t>
      </w:r>
      <w:proofErr w:type="spellEnd"/>
      <w:r w:rsidRPr="38FACAB2">
        <w:rPr>
          <w:rFonts w:ascii="Verdana" w:eastAsia="Aptos" w:hAnsi="Verdana" w:cs="Times New Roman"/>
          <w:color w:val="000000"/>
          <w:kern w:val="2"/>
          <w:lang w:val="es-ES"/>
          <w14:ligatures w14:val="standardContextual"/>
        </w:rPr>
        <w:t xml:space="preserve"> celebrar contratos con las entidades estatales las personas consideradas legalmente capaces en las disposiciones vigentes.” En consecuencia, pueden celebrar contratos estatales las personas naturales mayores de edad, las personas jurídicas que tengan dentro de su objeto social actividades relacionadas con el objeto a contratar, así como los consorcios y uniones temporales.</w:t>
      </w:r>
      <w:r w:rsidRPr="38FACAB2">
        <w:rPr>
          <w:rFonts w:ascii="Verdana" w:eastAsia="Aptos" w:hAnsi="Verdana" w:cs="Times New Roman"/>
          <w:kern w:val="2"/>
          <w:lang w:val="es-ES"/>
          <w14:ligatures w14:val="standardContextual"/>
        </w:rPr>
        <w:t xml:space="preserve"> </w:t>
      </w:r>
      <w:r w:rsidRPr="38FACAB2">
        <w:rPr>
          <w:rFonts w:ascii="Verdana" w:eastAsia="Aptos" w:hAnsi="Verdana" w:cs="Times New Roman"/>
          <w:color w:val="000000"/>
          <w:kern w:val="2"/>
          <w:lang w:val="es-ES"/>
          <w14:ligatures w14:val="standardContextual"/>
        </w:rPr>
        <w:t>La capacidad jurídica deberá además considerar lo dispuesto en el artículo 8 de la Ley 80 de 1993</w:t>
      </w:r>
      <w:r w:rsidRPr="38FACAB2">
        <w:rPr>
          <w:rFonts w:ascii="Verdana" w:eastAsia="Aptos" w:hAnsi="Verdana" w:cs="Times New Roman"/>
          <w:color w:val="000000"/>
          <w:kern w:val="2"/>
          <w:vertAlign w:val="superscript"/>
          <w:lang w:val="es-ES"/>
          <w14:ligatures w14:val="standardContextual"/>
        </w:rPr>
        <w:footnoteReference w:id="11"/>
      </w:r>
      <w:r w:rsidRPr="38FACAB2">
        <w:rPr>
          <w:rFonts w:ascii="Verdana" w:eastAsia="Aptos" w:hAnsi="Verdana" w:cs="Times New Roman"/>
          <w:color w:val="000000"/>
          <w:kern w:val="2"/>
          <w:lang w:val="es-ES"/>
          <w14:ligatures w14:val="standardContextual"/>
        </w:rPr>
        <w:t xml:space="preserve">, que señala el régimen de inhabilidades e incompatibilidades como prohibiciones legales a determinadas personas para celebrar contratos con entidades públicas. </w:t>
      </w:r>
    </w:p>
    <w:p w14:paraId="3AFF2FB2" w14:textId="77777777" w:rsidR="00AB4CEF" w:rsidRDefault="00AB4CEF" w:rsidP="00AB4CEF">
      <w:pPr>
        <w:snapToGrid w:val="0"/>
        <w:spacing w:after="120" w:line="276" w:lineRule="auto"/>
        <w:ind w:firstLine="708"/>
        <w:jc w:val="both"/>
        <w:rPr>
          <w:rFonts w:ascii="Verdana" w:eastAsia="Times New Roman" w:hAnsi="Verdana" w:cs="Times New Roman"/>
          <w:color w:val="000000" w:themeColor="text1"/>
          <w:lang w:val="es-ES" w:eastAsia="es-CO"/>
        </w:rPr>
      </w:pPr>
      <w:r w:rsidRPr="38FACAB2">
        <w:rPr>
          <w:rFonts w:ascii="Verdana" w:eastAsia="Times New Roman" w:hAnsi="Verdana" w:cs="Times New Roman"/>
          <w:color w:val="000000" w:themeColor="text1"/>
          <w:lang w:val="es-ES" w:eastAsia="es-CO"/>
        </w:rPr>
        <w:lastRenderedPageBreak/>
        <w:t xml:space="preserve">De esta manera, para que una persona natural o jurídica pueda celebrar contratos con una entidad estatal es necesario, en primer lugar, una condición natural que corresponde a que exista y, en segundo lugar, que tenga capacidad de ejercicio, es decir, la aptitud para ejercer por sí misma sus derechos y obligaciones, sin que se encuentre incursa en alguna inhabilidad o incompatibilidad establecida en el Estatuto General de Contratación de la Administración Pública –EGCAP–. </w:t>
      </w:r>
    </w:p>
    <w:p w14:paraId="6AD5874B" w14:textId="77777777" w:rsidR="00AB4CEF" w:rsidRDefault="00AB4CEF" w:rsidP="00FD4928">
      <w:pPr>
        <w:snapToGrid w:val="0"/>
        <w:spacing w:after="0" w:line="276" w:lineRule="auto"/>
        <w:ind w:firstLine="708"/>
        <w:jc w:val="both"/>
        <w:rPr>
          <w:rFonts w:ascii="Verdana" w:eastAsia="Calibri" w:hAnsi="Verdana" w:cs="Arial"/>
        </w:rPr>
      </w:pPr>
      <w:r w:rsidRPr="00E06F3A">
        <w:rPr>
          <w:rFonts w:ascii="Verdana" w:eastAsia="Calibri" w:hAnsi="Verdana" w:cs="Arial"/>
        </w:rPr>
        <w:t>En consecuencia, la norma no limita la transferencia de experiencia únicamente a los contratos ejecutados con anterioridad a la constitución de la sociedad. Lo relevante es que, al momento de la inscripción en el Registro Único de Proponentes (RUP), el socio, accionista o constituyente ostente formalmente dicha calidad dentro de la persona jurídica beneficiaria, y que la experiencia a transferir le pertenezca legítimamente, según su propio historial contractual.</w:t>
      </w:r>
    </w:p>
    <w:p w14:paraId="1CB43AF7" w14:textId="77777777" w:rsidR="00AB4CEF" w:rsidRPr="002F2341" w:rsidRDefault="00AB4CEF" w:rsidP="00FD4928">
      <w:pPr>
        <w:snapToGrid w:val="0"/>
        <w:spacing w:after="0" w:line="276" w:lineRule="auto"/>
        <w:ind w:firstLine="708"/>
        <w:jc w:val="both"/>
        <w:rPr>
          <w:rFonts w:ascii="Verdana" w:eastAsia="Times New Roman" w:hAnsi="Verdana" w:cs="Times New Roman"/>
          <w:color w:val="000000"/>
          <w:lang w:val="es-ES" w:eastAsia="es-CO"/>
        </w:rPr>
      </w:pPr>
    </w:p>
    <w:p w14:paraId="4946CCCD" w14:textId="77777777" w:rsidR="00AB4CEF" w:rsidRPr="002A000A" w:rsidRDefault="00AB4CEF" w:rsidP="00FD4928">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t>4.Referencias normativas, jurisprudenciales y otras fuentes:</w:t>
      </w:r>
    </w:p>
    <w:p w14:paraId="3C2BC1B8"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B4CEF" w:rsidRPr="002A000A" w14:paraId="6B9D197C" w14:textId="77777777" w:rsidTr="009E0ECF">
        <w:trPr>
          <w:trHeight w:val="870"/>
        </w:trPr>
        <w:tc>
          <w:tcPr>
            <w:tcW w:w="8647" w:type="dxa"/>
          </w:tcPr>
          <w:p w14:paraId="75B3833C"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Código de Comercio, artículos 10, 20, 21, 26, 33 y 37.</w:t>
            </w:r>
          </w:p>
          <w:p w14:paraId="66C59368" w14:textId="77777777" w:rsidR="008874B8" w:rsidRPr="008874B8" w:rsidRDefault="008874B8" w:rsidP="008874B8">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8874B8">
              <w:rPr>
                <w:rFonts w:ascii="Verdana" w:eastAsia="Aptos" w:hAnsi="Verdana" w:cs="Arial"/>
                <w:lang w:val="es-ES_tradnl"/>
              </w:rPr>
              <w:t>Ley 80 de 1993, artículos 6 y 8.</w:t>
            </w:r>
          </w:p>
          <w:p w14:paraId="02BE9B5F"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Ley 1150 de 2007, artículos 5 y 6.</w:t>
            </w:r>
          </w:p>
          <w:p w14:paraId="79D9B294"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Decreto 1082 de 2015, artículos </w:t>
            </w:r>
            <w:r w:rsidRPr="002A000A">
              <w:rPr>
                <w:rFonts w:ascii="Verdana" w:eastAsia="Times New Roman" w:hAnsi="Verdana" w:cs="Arial"/>
                <w:lang w:val="es-ES_tradnl" w:eastAsia="es-ES_tradnl"/>
              </w:rPr>
              <w:t xml:space="preserve">2.2.1.1.1.5.2, </w:t>
            </w:r>
            <w:r w:rsidRPr="002A000A">
              <w:rPr>
                <w:rFonts w:ascii="Verdana" w:eastAsia="Aptos" w:hAnsi="Verdana" w:cs="Arial"/>
                <w:lang w:val="es-ES_tradnl"/>
              </w:rPr>
              <w:t>2.2.1.1.1.6.2 y 2.2.1.1.1.5.3.</w:t>
            </w:r>
          </w:p>
          <w:p w14:paraId="2FA4DCD7"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 xml:space="preserve">Manual para determinar y verificar los requisitos habilitantes en los Procesos de Contratación. Disponible en: </w:t>
            </w:r>
            <w:hyperlink r:id="rId13" w:history="1">
              <w:r w:rsidRPr="002A000A">
                <w:rPr>
                  <w:rFonts w:ascii="Verdana" w:eastAsia="Aptos" w:hAnsi="Verdana" w:cs="Arial"/>
                  <w:color w:val="0000FF"/>
                  <w:u w:val="single"/>
                  <w:lang w:val="es-ES_tradnl"/>
                </w:rPr>
                <w:t>https://www.colombiacompra.gov.co/archivos/manual/manual-para-determinar-y-verificar-los-requisitos-habilitantes-en-los-procesos-de-contratacion</w:t>
              </w:r>
            </w:hyperlink>
            <w:r w:rsidRPr="002A000A">
              <w:rPr>
                <w:rFonts w:ascii="Verdana" w:eastAsia="Aptos" w:hAnsi="Verdana" w:cs="Arial"/>
                <w:lang w:val="es-ES_tradnl"/>
              </w:rPr>
              <w:t xml:space="preserve">. </w:t>
            </w:r>
          </w:p>
          <w:p w14:paraId="62B8EE5C" w14:textId="77777777" w:rsidR="00AB4CEF" w:rsidRPr="002A000A" w:rsidRDefault="00AB4CEF" w:rsidP="009E0ECF">
            <w:pPr>
              <w:widowControl w:val="0"/>
              <w:numPr>
                <w:ilvl w:val="0"/>
                <w:numId w:val="17"/>
              </w:numPr>
              <w:autoSpaceDE w:val="0"/>
              <w:autoSpaceDN w:val="0"/>
              <w:snapToGrid w:val="0"/>
              <w:spacing w:line="276" w:lineRule="auto"/>
              <w:ind w:left="714" w:hanging="357"/>
              <w:jc w:val="both"/>
              <w:rPr>
                <w:rFonts w:ascii="Verdana" w:eastAsia="Aptos" w:hAnsi="Verdana" w:cs="Arial"/>
                <w:lang w:val="es-ES_tradnl"/>
              </w:rPr>
            </w:pPr>
            <w:r w:rsidRPr="002A000A">
              <w:rPr>
                <w:rFonts w:ascii="Verdana" w:eastAsia="Aptos" w:hAnsi="Verdana" w:cs="Arial"/>
                <w:lang w:val="es-ES_tradnl"/>
              </w:rPr>
              <w:t>Circular Única de la Superintendencia de Industria y Comercio.</w:t>
            </w:r>
          </w:p>
        </w:tc>
      </w:tr>
    </w:tbl>
    <w:p w14:paraId="04E790A1" w14:textId="77777777" w:rsidR="00AB4CEF" w:rsidRDefault="00AB4CEF" w:rsidP="00AB4CEF">
      <w:pPr>
        <w:widowControl w:val="0"/>
        <w:autoSpaceDE w:val="0"/>
        <w:autoSpaceDN w:val="0"/>
        <w:spacing w:after="0" w:line="276" w:lineRule="auto"/>
        <w:jc w:val="both"/>
        <w:rPr>
          <w:rFonts w:ascii="Verdana" w:eastAsia="Aptos" w:hAnsi="Verdana" w:cs="Arial"/>
          <w:lang w:val="es-ES_tradnl"/>
        </w:rPr>
      </w:pPr>
    </w:p>
    <w:p w14:paraId="42A4173A"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p w14:paraId="2C1BE264" w14:textId="77777777" w:rsidR="00AB4CEF" w:rsidRPr="002A000A" w:rsidRDefault="00AB4CEF" w:rsidP="00FD4928">
      <w:pPr>
        <w:widowControl w:val="0"/>
        <w:autoSpaceDE w:val="0"/>
        <w:autoSpaceDN w:val="0"/>
        <w:spacing w:after="0" w:line="276" w:lineRule="auto"/>
        <w:outlineLvl w:val="0"/>
        <w:rPr>
          <w:rFonts w:ascii="Verdana" w:eastAsia="Arial" w:hAnsi="Verdana" w:cs="Arial"/>
          <w:b/>
          <w:bCs/>
          <w:lang w:val="es-ES_tradnl"/>
        </w:rPr>
      </w:pPr>
      <w:r w:rsidRPr="002A000A">
        <w:rPr>
          <w:rFonts w:ascii="Verdana" w:eastAsia="Arial" w:hAnsi="Verdana" w:cs="Arial"/>
          <w:b/>
          <w:bCs/>
          <w:lang w:val="es-ES_tradnl"/>
        </w:rPr>
        <w:t>5. Doctrina de la Agencia Nacional de Contratación Pública:</w:t>
      </w:r>
    </w:p>
    <w:p w14:paraId="44C8D365" w14:textId="77777777" w:rsidR="00AB4CEF" w:rsidRPr="002A000A" w:rsidRDefault="00AB4CEF" w:rsidP="00AB4CEF">
      <w:pPr>
        <w:widowControl w:val="0"/>
        <w:autoSpaceDE w:val="0"/>
        <w:autoSpaceDN w:val="0"/>
        <w:spacing w:after="0" w:line="276" w:lineRule="auto"/>
        <w:jc w:val="both"/>
        <w:rPr>
          <w:rFonts w:ascii="Verdana" w:eastAsia="Aptos" w:hAnsi="Verdana" w:cs="Arial"/>
          <w:lang w:val="es-ES_tradnl"/>
        </w:rPr>
      </w:pPr>
    </w:p>
    <w:p w14:paraId="6762A4F4" w14:textId="542A6890" w:rsidR="00AB4CEF" w:rsidRPr="002A000A" w:rsidRDefault="00AB4CEF" w:rsidP="00AB4CEF">
      <w:pPr>
        <w:widowControl w:val="0"/>
        <w:autoSpaceDE w:val="0"/>
        <w:autoSpaceDN w:val="0"/>
        <w:spacing w:after="0" w:line="276" w:lineRule="auto"/>
        <w:jc w:val="both"/>
        <w:rPr>
          <w:rFonts w:ascii="Verdana" w:eastAsia="Times New Roman" w:hAnsi="Verdana" w:cs="Arial"/>
          <w:shd w:val="clear" w:color="auto" w:fill="FFFFFF"/>
          <w:lang w:val="es-ES"/>
        </w:rPr>
      </w:pPr>
      <w:r w:rsidRPr="38FACAB2">
        <w:rPr>
          <w:rFonts w:ascii="Verdana" w:eastAsia="Calibri" w:hAnsi="Verdana" w:cs="Arial"/>
          <w:color w:val="000000"/>
          <w:kern w:val="2"/>
          <w:lang w:val="es-ES"/>
          <w14:ligatures w14:val="standardContextual"/>
        </w:rPr>
        <w:t>La Agencia Nacional de Contratación Pública ‒ Colombia Compra Eficiente,</w:t>
      </w:r>
      <w:r>
        <w:rPr>
          <w:rFonts w:ascii="Verdana" w:eastAsia="Calibri" w:hAnsi="Verdana" w:cs="Arial"/>
          <w:color w:val="000000"/>
          <w:kern w:val="2"/>
          <w:lang w:val="es-ES"/>
          <w14:ligatures w14:val="standardContextual"/>
        </w:rPr>
        <w:t xml:space="preserve"> se ha pronunciado </w:t>
      </w:r>
      <w:r w:rsidRPr="38FACAB2">
        <w:rPr>
          <w:rFonts w:ascii="Verdana" w:eastAsia="Calibri" w:hAnsi="Verdana" w:cs="Arial"/>
          <w:color w:val="000000"/>
          <w:kern w:val="2"/>
          <w:lang w:val="es-ES"/>
          <w14:ligatures w14:val="standardContextual"/>
        </w:rPr>
        <w:t>la acreditación de la experiencia de los socios por una sociedad nueva con menos de 3 años de constitución</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 xml:space="preserve">en los conceptos C-025 del 16 de marzo de 2020, C-051 del 2 de marzo de 2020, C-165 del 1 de abril de 2020, C-233 del 16 de abril de 2020, C-407 de 12 de junio de 2020, C-398 de 30 de </w:t>
      </w:r>
      <w:r w:rsidRPr="38FACAB2">
        <w:rPr>
          <w:rFonts w:ascii="Verdana" w:eastAsia="Calibri" w:hAnsi="Verdana" w:cs="Arial"/>
          <w:color w:val="000000"/>
          <w:kern w:val="2"/>
          <w:lang w:val="es-ES"/>
          <w14:ligatures w14:val="standardContextual"/>
        </w:rPr>
        <w:lastRenderedPageBreak/>
        <w:t>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C-204 del 26 de marzo de 2025</w:t>
      </w:r>
      <w:r>
        <w:rPr>
          <w:rFonts w:ascii="Verdana" w:eastAsia="Calibri" w:hAnsi="Verdana" w:cs="Arial"/>
          <w:color w:val="000000"/>
          <w:kern w:val="2"/>
          <w:lang w:val="es-ES"/>
          <w14:ligatures w14:val="standardContextual"/>
        </w:rPr>
        <w:t xml:space="preserve"> y C-830 de 2025</w:t>
      </w:r>
    </w:p>
    <w:p w14:paraId="4E5F079F" w14:textId="77777777" w:rsidR="00AB4CEF" w:rsidRPr="002A000A" w:rsidRDefault="00AB4CEF" w:rsidP="00AB4CEF">
      <w:pPr>
        <w:widowControl w:val="0"/>
        <w:autoSpaceDE w:val="0"/>
        <w:autoSpaceDN w:val="0"/>
        <w:spacing w:after="0" w:line="276" w:lineRule="auto"/>
        <w:jc w:val="both"/>
        <w:rPr>
          <w:rFonts w:ascii="Verdana" w:eastAsia="Times New Roman" w:hAnsi="Verdana" w:cs="Arial"/>
          <w:shd w:val="clear" w:color="auto" w:fill="FFFFFF"/>
          <w:lang w:val="es-ES_tradnl"/>
        </w:rPr>
      </w:pPr>
    </w:p>
    <w:p w14:paraId="2EB43694" w14:textId="17FFD369" w:rsidR="00AB4CEF" w:rsidRPr="002A000A" w:rsidRDefault="00AB4CEF" w:rsidP="00AB4CEF">
      <w:pPr>
        <w:widowControl w:val="0"/>
        <w:autoSpaceDE w:val="0"/>
        <w:autoSpaceDN w:val="0"/>
        <w:spacing w:after="0" w:line="276" w:lineRule="auto"/>
        <w:jc w:val="both"/>
        <w:rPr>
          <w:rFonts w:ascii="Verdana" w:eastAsia="Calibri" w:hAnsi="Verdana" w:cs="Arial"/>
          <w:shd w:val="clear" w:color="auto" w:fill="FFFFFF"/>
          <w:lang w:val="es-ES"/>
        </w:rPr>
      </w:pPr>
      <w:r w:rsidRPr="38FACAB2">
        <w:rPr>
          <w:rFonts w:ascii="Verdana" w:eastAsia="Times New Roman" w:hAnsi="Verdana" w:cs="Arial"/>
          <w:shd w:val="clear" w:color="auto" w:fill="FFFFFF"/>
          <w:lang w:val="es-ES"/>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4" w:tgtFrame="_blank" w:tooltip="Dirección URL original: https://relatoria.colombiacompra.gov.co/. Haga clic o pulse si confía en este vínculo." w:history="1">
        <w:r w:rsidRPr="38FACAB2">
          <w:rPr>
            <w:rFonts w:ascii="Verdana" w:eastAsia="Times New Roman" w:hAnsi="Verdana" w:cs="Arial"/>
            <w:shd w:val="clear" w:color="auto" w:fill="FFFFFF"/>
            <w:lang w:val="es-ES"/>
          </w:rPr>
          <w:t>https://relatoria.colombiacompra.gov.co/</w:t>
        </w:r>
      </w:hyperlink>
      <w:r w:rsidR="008874B8">
        <w:rPr>
          <w:rFonts w:ascii="Verdana" w:eastAsia="Times New Roman" w:hAnsi="Verdana" w:cs="Arial"/>
          <w:shd w:val="clear" w:color="auto" w:fill="FFFFFF"/>
          <w:lang w:val="es-ES"/>
        </w:rPr>
        <w:t xml:space="preserve"> </w:t>
      </w:r>
    </w:p>
    <w:p w14:paraId="529EA11C" w14:textId="77777777" w:rsidR="00AB4CEF" w:rsidRPr="00073A28" w:rsidRDefault="00AB4CEF" w:rsidP="00AB4CEF">
      <w:pPr>
        <w:widowControl w:val="0"/>
        <w:autoSpaceDE w:val="0"/>
        <w:autoSpaceDN w:val="0"/>
        <w:spacing w:after="0" w:line="276" w:lineRule="auto"/>
        <w:jc w:val="both"/>
        <w:rPr>
          <w:rFonts w:ascii="Verdana" w:hAnsi="Verdana" w:cs="Arial"/>
          <w:color w:val="000000" w:themeColor="text1"/>
          <w:shd w:val="clear" w:color="auto" w:fill="FFFFFF"/>
        </w:rPr>
      </w:pPr>
    </w:p>
    <w:p w14:paraId="0DF37B60" w14:textId="77777777" w:rsidR="00FB6B94" w:rsidRPr="00BC3A80" w:rsidRDefault="00FB6B94" w:rsidP="00FB6B94">
      <w:pPr>
        <w:shd w:val="clear" w:color="auto" w:fill="FFFFFF"/>
        <w:spacing w:after="0" w:line="276" w:lineRule="auto"/>
        <w:jc w:val="both"/>
        <w:rPr>
          <w:rFonts w:ascii="Verdana"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C3A80">
        <w:rPr>
          <w:rFonts w:ascii="Verdana" w:hAnsi="Verdana"/>
          <w:color w:val="000000"/>
        </w:rPr>
        <w:t>Wayúu</w:t>
      </w:r>
      <w:proofErr w:type="spellEnd"/>
      <w:r w:rsidRPr="00BC3A80">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50D0C92C" w14:textId="77777777" w:rsidR="00FB6B94" w:rsidRPr="00BC3A80" w:rsidRDefault="00FB6B94" w:rsidP="00FB6B94">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74C278C5" w14:textId="77777777" w:rsidR="00FB6B94" w:rsidRPr="00BC3A80" w:rsidRDefault="00FB6B94" w:rsidP="00FB6B94">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3A00AF6" w14:textId="77777777" w:rsidR="00FB6B94" w:rsidRPr="00BC3A80" w:rsidRDefault="00FB6B94" w:rsidP="00FB6B94">
      <w:pPr>
        <w:spacing w:after="0" w:line="276" w:lineRule="auto"/>
        <w:jc w:val="both"/>
        <w:rPr>
          <w:rFonts w:ascii="Verdana" w:hAnsi="Verdana"/>
        </w:rPr>
      </w:pPr>
    </w:p>
    <w:p w14:paraId="0DD160B4" w14:textId="77777777" w:rsidR="00FB6B94" w:rsidRPr="00BC3A80" w:rsidRDefault="00FB6B94" w:rsidP="00FB6B94">
      <w:pPr>
        <w:numPr>
          <w:ilvl w:val="0"/>
          <w:numId w:val="15"/>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34778AFF" w14:textId="77777777" w:rsidR="00FB6B94" w:rsidRPr="00BC3A80" w:rsidRDefault="00FB6B94" w:rsidP="00FB6B94">
      <w:pPr>
        <w:numPr>
          <w:ilvl w:val="0"/>
          <w:numId w:val="15"/>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lastRenderedPageBreak/>
        <w:t>Línea en Bogotá (Mesa de servicio</w:t>
      </w:r>
      <w:proofErr w:type="gramStart"/>
      <w:r w:rsidRPr="00BC3A80">
        <w:rPr>
          <w:rFonts w:ascii="Verdana" w:eastAsia="Verdana" w:hAnsi="Verdana" w:cs="Verdana"/>
          <w:lang w:val="es-MX"/>
        </w:rPr>
        <w:t>):</w:t>
      </w:r>
      <w:r w:rsidRPr="00BC3A80">
        <w:rPr>
          <w:rFonts w:ascii="Verdana" w:hAnsi="Verdana"/>
          <w:color w:val="0000FF"/>
          <w:u w:val="single"/>
          <w:lang w:val="es-ES"/>
        </w:rPr>
        <w:t>+</w:t>
      </w:r>
      <w:proofErr w:type="gramEnd"/>
      <w:r w:rsidRPr="00BC3A80">
        <w:rPr>
          <w:rFonts w:ascii="Verdana" w:hAnsi="Verdana"/>
          <w:color w:val="0000FF"/>
          <w:u w:val="single"/>
          <w:lang w:val="es-ES"/>
        </w:rPr>
        <w:t>57 601 7456788</w:t>
      </w:r>
    </w:p>
    <w:p w14:paraId="691C158D" w14:textId="77777777" w:rsidR="00FB6B94" w:rsidRPr="00BC3A80" w:rsidRDefault="00FB6B94" w:rsidP="00FB6B94">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6" w:history="1">
        <w:r w:rsidRPr="00BC3A80">
          <w:rPr>
            <w:rFonts w:ascii="Verdana" w:eastAsia="Verdana" w:hAnsi="Verdana" w:cs="Verdana"/>
            <w:color w:val="0000FF"/>
            <w:u w:val="single"/>
            <w:lang w:val="es-MX"/>
          </w:rPr>
          <w:t>ventanilladeradicacion@colombiacompra.gov.co</w:t>
        </w:r>
      </w:hyperlink>
    </w:p>
    <w:p w14:paraId="7573B5E9" w14:textId="77777777" w:rsidR="00FB6B94" w:rsidRPr="00BC3A80" w:rsidRDefault="00FB6B94" w:rsidP="00FB6B94">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7" w:history="1">
        <w:r w:rsidRPr="00BC3A80">
          <w:rPr>
            <w:rFonts w:ascii="Verdana" w:eastAsia="Verdana" w:hAnsi="Verdana" w:cs="Verdana"/>
            <w:color w:val="0000FF"/>
            <w:u w:val="single"/>
            <w:lang w:val="es-MX"/>
          </w:rPr>
          <w:t>https://www.colombiacompra.gov.co/pqrsd/informacion-importante-antes-de-formular-una-pqrsd</w:t>
        </w:r>
      </w:hyperlink>
    </w:p>
    <w:p w14:paraId="731696DD" w14:textId="77777777" w:rsidR="00FB6B94" w:rsidRPr="00BC3A80" w:rsidRDefault="00FB6B94" w:rsidP="00FB6B94">
      <w:pPr>
        <w:spacing w:after="0" w:line="276" w:lineRule="auto"/>
        <w:ind w:left="720"/>
        <w:jc w:val="both"/>
        <w:rPr>
          <w:rFonts w:ascii="Verdana" w:hAnsi="Verdana"/>
        </w:rPr>
      </w:pPr>
    </w:p>
    <w:p w14:paraId="44A699CA" w14:textId="77777777" w:rsidR="00FB6B94" w:rsidRPr="00BC3A80" w:rsidRDefault="00FB6B94" w:rsidP="00FB6B94">
      <w:pPr>
        <w:spacing w:after="0" w:line="276" w:lineRule="auto"/>
        <w:rPr>
          <w:rFonts w:ascii="Verdana" w:hAnsi="Verdana"/>
        </w:rPr>
      </w:pPr>
      <w:r w:rsidRPr="00BC3A80">
        <w:rPr>
          <w:rFonts w:ascii="Verdana" w:hAnsi="Verdana"/>
        </w:rPr>
        <w:t xml:space="preserve">Evalúa el servicio que ofrece la Agencia por el canal de atención de PQRSD en el siguiente </w:t>
      </w:r>
      <w:proofErr w:type="gramStart"/>
      <w:r w:rsidRPr="00BC3A80">
        <w:rPr>
          <w:rFonts w:ascii="Verdana" w:hAnsi="Verdana"/>
        </w:rPr>
        <w:t>enlace :</w:t>
      </w:r>
      <w:proofErr w:type="gramEnd"/>
      <w:hyperlink r:id="rId18"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4666BDD0" w14:textId="77777777" w:rsidR="00FB6B94" w:rsidRPr="00BC3A80" w:rsidRDefault="00FB6B94" w:rsidP="00FB6B94">
      <w:pPr>
        <w:spacing w:after="0" w:line="276" w:lineRule="auto"/>
        <w:rPr>
          <w:rFonts w:ascii="Verdana" w:hAnsi="Verdana"/>
        </w:rPr>
      </w:pPr>
    </w:p>
    <w:p w14:paraId="6E8CAFD3" w14:textId="77777777" w:rsidR="00FB6B94" w:rsidRPr="00BC3A80" w:rsidRDefault="00FB6B94" w:rsidP="00FB6B94">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264214A2" w14:textId="77777777" w:rsidR="00FB6B94" w:rsidRPr="00BC3A80" w:rsidRDefault="00FB6B94" w:rsidP="00FB6B94">
      <w:pPr>
        <w:spacing w:after="0" w:line="276" w:lineRule="auto"/>
        <w:jc w:val="both"/>
        <w:rPr>
          <w:rFonts w:ascii="Verdana" w:hAnsi="Verdana"/>
        </w:rPr>
      </w:pPr>
    </w:p>
    <w:p w14:paraId="501E62BE" w14:textId="77777777" w:rsidR="00FB6B94" w:rsidRPr="00BC3A80" w:rsidRDefault="00FB6B94" w:rsidP="00FB6B94">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38BEEF56" w14:textId="77777777" w:rsidR="00FB6B94" w:rsidRPr="00BC3A80" w:rsidRDefault="00FB6B94" w:rsidP="00FB6B94">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0FF087B1" w14:textId="77777777" w:rsidR="00FB6B94" w:rsidRPr="00BC3A80" w:rsidRDefault="00FB6B94" w:rsidP="00FB6B94">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199255CA" w14:textId="77777777" w:rsidR="00FB6B94" w:rsidRPr="00BC3A80" w:rsidRDefault="00FB6B94" w:rsidP="00FB6B94">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1DF1DA9C" w14:textId="77777777" w:rsidR="00FB6B94" w:rsidRPr="00BC3A80" w:rsidRDefault="00FB6B94" w:rsidP="00FB6B94">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25C5D4C" w14:textId="77777777" w:rsidR="00FB6B94" w:rsidRPr="00BC3A80" w:rsidRDefault="00FB6B94" w:rsidP="00FB6B94">
      <w:pPr>
        <w:widowControl w:val="0"/>
        <w:autoSpaceDE w:val="0"/>
        <w:autoSpaceDN w:val="0"/>
        <w:spacing w:after="0" w:line="276" w:lineRule="auto"/>
        <w:jc w:val="both"/>
        <w:rPr>
          <w:rFonts w:ascii="Verdana" w:hAnsi="Verdana" w:cs="Arial"/>
          <w:lang w:val="es-ES_tradnl"/>
        </w:rPr>
      </w:pPr>
    </w:p>
    <w:p w14:paraId="0C742985" w14:textId="77777777" w:rsidR="00FB6B94" w:rsidRDefault="00FB6B94" w:rsidP="00FB6B94">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p>
    <w:p w14:paraId="5F697EEC" w14:textId="77777777" w:rsidR="00FB6B94" w:rsidRPr="00116940" w:rsidRDefault="00FB6B94" w:rsidP="00FB6B94">
      <w:pPr>
        <w:spacing w:after="0" w:line="240" w:lineRule="auto"/>
        <w:jc w:val="both"/>
        <w:rPr>
          <w:rFonts w:ascii="Verdana" w:hAnsi="Verdana"/>
        </w:rPr>
      </w:pPr>
    </w:p>
    <w:p w14:paraId="6D3718FF" w14:textId="7FB89447" w:rsidR="00FB6B94" w:rsidRDefault="00442133" w:rsidP="00FB6B94">
      <w:pPr>
        <w:spacing w:after="0" w:line="240" w:lineRule="auto"/>
        <w:jc w:val="center"/>
      </w:pPr>
      <w:r w:rsidRPr="002C3AD6">
        <w:rPr>
          <w:rFonts w:ascii="Century Gothic" w:hAnsi="Century Gothic"/>
          <w:noProof/>
        </w:rPr>
        <w:drawing>
          <wp:inline distT="0" distB="0" distL="0" distR="0" wp14:anchorId="671D5C9B" wp14:editId="6C76870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FB6B94" w:rsidRPr="00E3533A" w14:paraId="281641A2" w14:textId="77777777" w:rsidTr="007D411D">
        <w:trPr>
          <w:trHeight w:val="315"/>
        </w:trPr>
        <w:tc>
          <w:tcPr>
            <w:tcW w:w="893" w:type="dxa"/>
            <w:vAlign w:val="center"/>
            <w:hideMark/>
          </w:tcPr>
          <w:p w14:paraId="75C6D2BD" w14:textId="77777777" w:rsidR="00FB6B94" w:rsidRPr="00E3533A" w:rsidRDefault="00FB6B94" w:rsidP="007D411D">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78F9046" w14:textId="77777777" w:rsidR="00FB6B94" w:rsidRPr="00E3533A" w:rsidRDefault="00FB6B94" w:rsidP="007D411D">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099EB1C3" w14:textId="77777777" w:rsidR="00FB6B94" w:rsidRPr="00E3533A" w:rsidRDefault="00FB6B94" w:rsidP="007D411D">
            <w:pPr>
              <w:contextualSpacing/>
              <w:rPr>
                <w:rFonts w:ascii="Verdana" w:eastAsia="Arial" w:hAnsi="Verdana" w:cs="Arial"/>
                <w:sz w:val="16"/>
                <w:szCs w:val="16"/>
              </w:rPr>
            </w:pPr>
            <w:r>
              <w:rPr>
                <w:rFonts w:ascii="Verdana" w:eastAsia="Calibri" w:hAnsi="Verdana" w:cs="Times New Roman"/>
                <w:sz w:val="16"/>
                <w:szCs w:val="16"/>
              </w:rPr>
              <w:t xml:space="preserve">Contratista </w:t>
            </w:r>
            <w:r w:rsidRPr="00E3533A">
              <w:rPr>
                <w:rFonts w:ascii="Verdana" w:eastAsia="Calibri" w:hAnsi="Verdana" w:cs="Times New Roman"/>
                <w:sz w:val="16"/>
                <w:szCs w:val="16"/>
              </w:rPr>
              <w:t>de la Subdirección de Gestión Contractual</w:t>
            </w:r>
          </w:p>
        </w:tc>
      </w:tr>
      <w:tr w:rsidR="00FB6B94" w:rsidRPr="00E3533A" w14:paraId="15E612CA" w14:textId="77777777" w:rsidTr="007D411D">
        <w:trPr>
          <w:trHeight w:val="330"/>
        </w:trPr>
        <w:tc>
          <w:tcPr>
            <w:tcW w:w="893" w:type="dxa"/>
            <w:vAlign w:val="center"/>
            <w:hideMark/>
          </w:tcPr>
          <w:p w14:paraId="78E0BBBD" w14:textId="77777777" w:rsidR="00FB6B94" w:rsidRPr="00E3533A" w:rsidRDefault="00FB6B94" w:rsidP="007D411D">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8F4455" w14:textId="08D32100" w:rsidR="00FB6B94" w:rsidRPr="002B5C7D" w:rsidRDefault="00FB6B94" w:rsidP="007D411D">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Vázquez</w:t>
            </w:r>
          </w:p>
          <w:p w14:paraId="733D68B0" w14:textId="77777777" w:rsidR="00FB6B94" w:rsidRPr="00E3533A" w:rsidRDefault="00FB6B94" w:rsidP="007D411D">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FB6B94" w:rsidRPr="00E3533A" w14:paraId="376A6C55" w14:textId="77777777" w:rsidTr="007D411D">
        <w:trPr>
          <w:trHeight w:val="300"/>
        </w:trPr>
        <w:tc>
          <w:tcPr>
            <w:tcW w:w="893" w:type="dxa"/>
            <w:vAlign w:val="center"/>
          </w:tcPr>
          <w:p w14:paraId="366B83C2" w14:textId="77777777" w:rsidR="00FB6B94" w:rsidRPr="00E3533A" w:rsidRDefault="00FB6B94" w:rsidP="007D411D">
            <w:pPr>
              <w:contextualSpacing/>
              <w:rPr>
                <w:rFonts w:ascii="Verdana" w:hAnsi="Verdana" w:cs="Arial"/>
                <w:sz w:val="16"/>
                <w:szCs w:val="16"/>
                <w:lang w:eastAsia="es-ES"/>
              </w:rPr>
            </w:pPr>
            <w:r w:rsidRPr="00E3533A">
              <w:rPr>
                <w:rFonts w:ascii="Verdana" w:hAnsi="Verdana" w:cs="Arial"/>
                <w:sz w:val="16"/>
                <w:szCs w:val="16"/>
                <w:lang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5AA820A" w14:textId="77777777" w:rsidR="00FB6B94" w:rsidRPr="00E3533A" w:rsidRDefault="00FB6B94" w:rsidP="007D411D">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094BAE4D" w14:textId="77777777" w:rsidR="00FB6B94" w:rsidRPr="00E3533A" w:rsidRDefault="00FB6B94" w:rsidP="007D411D">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0F293BF4" w14:textId="402EF7AC" w:rsidR="00127233" w:rsidRPr="00AB4CEF" w:rsidRDefault="00127233" w:rsidP="00FB6B94"/>
    <w:sectPr w:rsidR="00127233" w:rsidRPr="00AB4CEF"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565F0" w14:textId="77777777" w:rsidR="00117EC8" w:rsidRDefault="00117EC8" w:rsidP="004A1847">
      <w:pPr>
        <w:spacing w:after="0" w:line="240" w:lineRule="auto"/>
      </w:pPr>
      <w:r>
        <w:separator/>
      </w:r>
    </w:p>
  </w:endnote>
  <w:endnote w:type="continuationSeparator" w:id="0">
    <w:p w14:paraId="63B39066" w14:textId="77777777" w:rsidR="00117EC8" w:rsidRDefault="00117EC8" w:rsidP="004A1847">
      <w:pPr>
        <w:spacing w:after="0" w:line="240" w:lineRule="auto"/>
      </w:pPr>
      <w:r>
        <w:continuationSeparator/>
      </w:r>
    </w:p>
  </w:endnote>
  <w:endnote w:type="continuationNotice" w:id="1">
    <w:p w14:paraId="6B2FA7D1" w14:textId="77777777" w:rsidR="00117EC8" w:rsidRDefault="00117E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952B93"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952B93">
      <w:rPr>
        <w:rFonts w:ascii="Century Gothic" w:eastAsia="Geo" w:hAnsi="Century Gothic" w:cs="Geo"/>
        <w:b/>
        <w:bCs/>
        <w:color w:val="000000" w:themeColor="text1"/>
        <w:sz w:val="16"/>
        <w:szCs w:val="16"/>
        <w:lang w:val="pt-PT" w:eastAsia="es-CO"/>
      </w:rPr>
      <w:t xml:space="preserve">Código: </w:t>
    </w:r>
    <w:r w:rsidRPr="00952B93">
      <w:rPr>
        <w:rFonts w:ascii="Century Gothic" w:eastAsia="Geo" w:hAnsi="Century Gothic" w:cs="Geo"/>
        <w:color w:val="000000" w:themeColor="text1"/>
        <w:sz w:val="16"/>
        <w:szCs w:val="16"/>
        <w:lang w:val="pt-PT" w:eastAsia="es-CO"/>
      </w:rPr>
      <w:t xml:space="preserve">CCE-REC-FM-17 </w:t>
    </w:r>
    <w:r w:rsidRPr="00952B93">
      <w:rPr>
        <w:rFonts w:ascii="Century Gothic" w:eastAsia="Geo" w:hAnsi="Century Gothic" w:cs="Geo"/>
        <w:b/>
        <w:bCs/>
        <w:color w:val="000000" w:themeColor="text1"/>
        <w:sz w:val="16"/>
        <w:szCs w:val="16"/>
        <w:lang w:val="pt-PT" w:eastAsia="es-CO"/>
      </w:rPr>
      <w:t>V</w:t>
    </w:r>
    <w:r w:rsidRPr="00952B93">
      <w:rPr>
        <w:rFonts w:ascii="Century Gothic" w:eastAsia="Arial Nova" w:hAnsi="Century Gothic" w:cs="Arial Nova"/>
        <w:b/>
        <w:bCs/>
        <w:color w:val="000000" w:themeColor="text1"/>
        <w:sz w:val="16"/>
        <w:szCs w:val="16"/>
        <w:lang w:val="pt-PT" w:eastAsia="es-CO"/>
      </w:rPr>
      <w:t xml:space="preserve">: </w:t>
    </w:r>
    <w:r w:rsidRPr="00952B93">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AFAC2" w14:textId="77777777" w:rsidR="00117EC8" w:rsidRDefault="00117EC8" w:rsidP="004A1847">
      <w:pPr>
        <w:spacing w:after="0" w:line="240" w:lineRule="auto"/>
      </w:pPr>
      <w:r>
        <w:separator/>
      </w:r>
    </w:p>
  </w:footnote>
  <w:footnote w:type="continuationSeparator" w:id="0">
    <w:p w14:paraId="2A1EF1AD" w14:textId="77777777" w:rsidR="00117EC8" w:rsidRDefault="00117EC8" w:rsidP="004A1847">
      <w:pPr>
        <w:spacing w:after="0" w:line="240" w:lineRule="auto"/>
      </w:pPr>
      <w:r>
        <w:continuationSeparator/>
      </w:r>
    </w:p>
  </w:footnote>
  <w:footnote w:type="continuationNotice" w:id="1">
    <w:p w14:paraId="6EF1059D" w14:textId="77777777" w:rsidR="00117EC8" w:rsidRDefault="00117EC8">
      <w:pPr>
        <w:spacing w:after="0" w:line="240" w:lineRule="auto"/>
      </w:pPr>
    </w:p>
  </w:footnote>
  <w:footnote w:id="2">
    <w:p w14:paraId="6F47E990"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34D81972"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3">
    <w:p w14:paraId="6155060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4">
    <w:p w14:paraId="15D6002F"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4DD1CE49"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04E39DB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w:t>
      </w:r>
    </w:p>
  </w:footnote>
  <w:footnote w:id="5">
    <w:p w14:paraId="2B271F9F"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6F4E6F0"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w:t>
      </w:r>
    </w:p>
    <w:p w14:paraId="4C4C464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2531CBE5"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6">
    <w:p w14:paraId="0267D475" w14:textId="77777777" w:rsidR="00AB4CEF" w:rsidRPr="00595F31" w:rsidRDefault="00AB4CEF" w:rsidP="00AB4CEF">
      <w:pPr>
        <w:pStyle w:val="Textonotapie"/>
        <w:snapToGrid w:val="0"/>
        <w:ind w:firstLine="709"/>
        <w:jc w:val="both"/>
        <w:rPr>
          <w:rFonts w:ascii="Verdana" w:hAnsi="Verdana" w:cs="Arial"/>
          <w:sz w:val="16"/>
          <w:szCs w:val="16"/>
        </w:rPr>
      </w:pPr>
    </w:p>
    <w:p w14:paraId="644E2BD2" w14:textId="77777777" w:rsidR="00AB4CEF" w:rsidRPr="00595F31" w:rsidRDefault="00AB4CEF" w:rsidP="00AB4CEF">
      <w:pPr>
        <w:pStyle w:val="Textonotapie"/>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5F414A6"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 Si es una persona natural:</w:t>
      </w:r>
    </w:p>
    <w:p w14:paraId="1FC8EA5D"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1.1. Bienes, obras y servicios que ofrecerá a las Entidades Estatales, identificados con el Clasificador de Bienes y Servicios en el tercer nivel.</w:t>
      </w:r>
    </w:p>
    <w:p w14:paraId="79D3C541" w14:textId="77777777" w:rsidR="00AB4CEF" w:rsidRPr="00595F31" w:rsidRDefault="00AB4CEF" w:rsidP="00AB4CEF">
      <w:pPr>
        <w:pStyle w:val="Textonotapie"/>
        <w:snapToGrid w:val="0"/>
        <w:ind w:firstLine="709"/>
        <w:jc w:val="both"/>
        <w:rPr>
          <w:rFonts w:ascii="Verdana" w:hAnsi="Verdana" w:cs="Arial"/>
          <w:sz w:val="16"/>
          <w:szCs w:val="16"/>
        </w:rPr>
      </w:pPr>
      <w:r w:rsidRPr="00595F31">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4C4335CA" w14:textId="77777777" w:rsidR="00AB4CEF" w:rsidRPr="00595F31" w:rsidRDefault="00AB4CEF" w:rsidP="00AB4CEF">
      <w:pPr>
        <w:pStyle w:val="Textonotapie"/>
        <w:snapToGrid w:val="0"/>
        <w:ind w:firstLine="709"/>
        <w:jc w:val="both"/>
        <w:rPr>
          <w:rFonts w:ascii="Verdana" w:hAnsi="Verdana" w:cs="Arial"/>
          <w:sz w:val="16"/>
          <w:szCs w:val="16"/>
          <w:lang w:val="es-ES"/>
        </w:rPr>
      </w:pPr>
    </w:p>
  </w:footnote>
  <w:footnote w:id="7">
    <w:p w14:paraId="497364DE" w14:textId="77777777" w:rsidR="00AB4CEF" w:rsidRPr="00595F31" w:rsidRDefault="00AB4CEF" w:rsidP="00AB4CEF">
      <w:pPr>
        <w:pStyle w:val="Textonotapie"/>
        <w:snapToGrid w:val="0"/>
        <w:ind w:firstLine="709"/>
        <w:jc w:val="both"/>
        <w:rPr>
          <w:rFonts w:ascii="Verdana" w:hAnsi="Verdana"/>
          <w:sz w:val="16"/>
          <w:szCs w:val="16"/>
          <w:lang w:val="es-CO"/>
        </w:rPr>
      </w:pPr>
      <w:r w:rsidRPr="00595F31">
        <w:rPr>
          <w:rStyle w:val="Refdenotaalpie"/>
          <w:rFonts w:ascii="Verdana" w:hAnsi="Verdana"/>
          <w:sz w:val="16"/>
          <w:szCs w:val="16"/>
        </w:rPr>
        <w:footnoteRef/>
      </w:r>
      <w:r w:rsidRPr="00595F31">
        <w:rPr>
          <w:rFonts w:ascii="Verdana" w:hAnsi="Verdana"/>
          <w:sz w:val="16"/>
          <w:szCs w:val="16"/>
        </w:rPr>
        <w:t xml:space="preserve"> Disponible en el siguiente enlace: </w:t>
      </w:r>
      <w:hyperlink r:id="rId1" w:history="1">
        <w:r w:rsidRPr="00595F31">
          <w:rPr>
            <w:rStyle w:val="Hipervnculo"/>
            <w:rFonts w:ascii="Verdana" w:hAnsi="Verdana"/>
            <w:sz w:val="16"/>
            <w:szCs w:val="16"/>
          </w:rPr>
          <w:t>https://colombiacompra.gov.co/manuales-guias-y-pliegos-tipo/manuales-y-guias/manual-para-determinar-y-verificar-los-requisitos</w:t>
        </w:r>
      </w:hyperlink>
      <w:r w:rsidRPr="00595F31">
        <w:rPr>
          <w:rFonts w:ascii="Verdana" w:hAnsi="Verdana"/>
          <w:sz w:val="16"/>
          <w:szCs w:val="16"/>
        </w:rPr>
        <w:t xml:space="preserve">  </w:t>
      </w:r>
    </w:p>
  </w:footnote>
  <w:footnote w:id="8">
    <w:p w14:paraId="6AF1745C" w14:textId="77777777" w:rsidR="00AB4CEF" w:rsidRPr="00595F31" w:rsidRDefault="00AB4CEF" w:rsidP="00AB4CEF">
      <w:pPr>
        <w:pStyle w:val="Car1"/>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4C09D3D9" w14:textId="77777777" w:rsidR="00AB4CEF" w:rsidRPr="00595F31" w:rsidRDefault="00AB4CEF" w:rsidP="00AB4CEF">
      <w:pPr>
        <w:pStyle w:val="Car1"/>
        <w:snapToGrid w:val="0"/>
        <w:ind w:firstLine="709"/>
        <w:jc w:val="both"/>
        <w:rPr>
          <w:rFonts w:ascii="Verdana" w:hAnsi="Verdana" w:cs="Arial"/>
          <w:sz w:val="16"/>
          <w:szCs w:val="16"/>
        </w:rPr>
      </w:pPr>
      <w:r w:rsidRPr="00595F31">
        <w:rPr>
          <w:rFonts w:ascii="Verdana" w:hAnsi="Verdana" w:cs="Arial"/>
          <w:sz w:val="16"/>
          <w:szCs w:val="16"/>
        </w:rPr>
        <w:t>[…]</w:t>
      </w:r>
    </w:p>
    <w:p w14:paraId="3011115C" w14:textId="77777777" w:rsidR="00AB4CEF" w:rsidRPr="00595F31" w:rsidRDefault="00AB4CEF" w:rsidP="00AB4CEF">
      <w:pPr>
        <w:pStyle w:val="Car1"/>
        <w:snapToGrid w:val="0"/>
        <w:ind w:firstLine="709"/>
        <w:jc w:val="both"/>
        <w:rPr>
          <w:rFonts w:ascii="Verdana" w:hAnsi="Verdana" w:cs="Arial"/>
          <w:sz w:val="16"/>
          <w:szCs w:val="16"/>
          <w:lang w:val="es-CO"/>
        </w:rPr>
      </w:pPr>
      <w:r w:rsidRPr="00595F31">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95F31">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595F31">
        <w:rPr>
          <w:rFonts w:ascii="Verdana" w:hAnsi="Verdana" w:cs="Arial"/>
          <w:sz w:val="16"/>
          <w:szCs w:val="16"/>
        </w:rPr>
        <w:t>”.</w:t>
      </w:r>
    </w:p>
  </w:footnote>
  <w:footnote w:id="9">
    <w:p w14:paraId="19D3D4FC" w14:textId="77777777" w:rsidR="00AB4CEF" w:rsidRPr="00595F31" w:rsidRDefault="00AB4CEF" w:rsidP="00AB4CEF">
      <w:pPr>
        <w:pStyle w:val="Textonotapie"/>
        <w:snapToGrid w:val="0"/>
        <w:ind w:firstLine="709"/>
        <w:jc w:val="both"/>
        <w:rPr>
          <w:rFonts w:ascii="Verdana" w:hAnsi="Verdana" w:cs="Arial"/>
          <w:color w:val="000000"/>
          <w:sz w:val="16"/>
          <w:szCs w:val="16"/>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“En nuestro régimen legal, la capacidad es la aptitud que se tiene para ser sujeto de relaciones jurídicas, es decir, para realizar sin el ministerio de otra persona, actos con efectos válidos en la esfera del derecho, y si bien esa habilitación se vincula con la noción de persona, hasta el punto que toda persona, en principio, es capaz, salvo lo que en contrario disponga la ley, no es requisito necesario ser persona para disponer de capacidad jurídica”. (Corte Constitucional, sentencia C-414 de 1994, M.P. Antonio Barrera</w:t>
      </w:r>
      <w:r w:rsidRPr="00595F31">
        <w:rPr>
          <w:rFonts w:ascii="Verdana" w:hAnsi="Verdana" w:cs="Arial"/>
          <w:color w:val="000000"/>
          <w:spacing w:val="-20"/>
          <w:sz w:val="16"/>
          <w:szCs w:val="16"/>
        </w:rPr>
        <w:t xml:space="preserve"> </w:t>
      </w:r>
      <w:r w:rsidRPr="00595F31">
        <w:rPr>
          <w:rFonts w:ascii="Verdana" w:hAnsi="Verdana" w:cs="Arial"/>
          <w:color w:val="000000"/>
          <w:sz w:val="16"/>
          <w:szCs w:val="16"/>
        </w:rPr>
        <w:t>Carbonell).</w:t>
      </w:r>
    </w:p>
    <w:p w14:paraId="6E9E83DD" w14:textId="77777777" w:rsidR="00AB4CEF" w:rsidRPr="00595F31" w:rsidRDefault="00AB4CEF" w:rsidP="00AB4CEF">
      <w:pPr>
        <w:pStyle w:val="Textonotapie"/>
        <w:snapToGrid w:val="0"/>
        <w:ind w:firstLine="709"/>
        <w:jc w:val="both"/>
        <w:rPr>
          <w:rFonts w:ascii="Verdana" w:hAnsi="Verdana" w:cs="Arial"/>
          <w:color w:val="000000"/>
          <w:sz w:val="16"/>
          <w:szCs w:val="16"/>
        </w:rPr>
      </w:pPr>
    </w:p>
  </w:footnote>
  <w:footnote w:id="10">
    <w:p w14:paraId="52359797" w14:textId="77777777" w:rsidR="00AB4CEF" w:rsidRPr="00595F31" w:rsidRDefault="00AB4CEF" w:rsidP="00AB4CEF">
      <w:pPr>
        <w:pStyle w:val="Textonotapie"/>
        <w:snapToGrid w:val="0"/>
        <w:ind w:firstLine="709"/>
        <w:jc w:val="both"/>
        <w:rPr>
          <w:rFonts w:ascii="Verdana" w:hAnsi="Verdana" w:cs="Arial"/>
          <w:color w:val="000000"/>
          <w:sz w:val="16"/>
          <w:szCs w:val="16"/>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EXPOSITO VÉLEZ, Juan Carlos. Forma y contenido del contrato estatal. Universidad Externado de Colombia, Bogotá, 2013, 1ra Ed., p.112.</w:t>
      </w:r>
    </w:p>
    <w:p w14:paraId="6D0561AE" w14:textId="77777777" w:rsidR="00AB4CEF" w:rsidRPr="00595F31" w:rsidRDefault="00AB4CEF" w:rsidP="00AB4CEF">
      <w:pPr>
        <w:pStyle w:val="Textonotapie"/>
        <w:snapToGrid w:val="0"/>
        <w:ind w:firstLine="709"/>
        <w:jc w:val="both"/>
        <w:rPr>
          <w:rFonts w:ascii="Verdana" w:hAnsi="Verdana" w:cs="Arial"/>
          <w:color w:val="000000"/>
          <w:sz w:val="16"/>
          <w:szCs w:val="16"/>
          <w:lang w:val="es-CO"/>
        </w:rPr>
      </w:pPr>
    </w:p>
  </w:footnote>
  <w:footnote w:id="11">
    <w:p w14:paraId="02814AA6" w14:textId="77777777" w:rsidR="00AB4CEF" w:rsidRPr="00595F31" w:rsidRDefault="00AB4CEF" w:rsidP="00AB4CEF">
      <w:pPr>
        <w:pStyle w:val="Textonotapie"/>
        <w:snapToGrid w:val="0"/>
        <w:ind w:firstLine="709"/>
        <w:jc w:val="both"/>
        <w:rPr>
          <w:rFonts w:ascii="Verdana" w:hAnsi="Verdana" w:cs="Arial"/>
          <w:color w:val="000000"/>
          <w:sz w:val="16"/>
          <w:szCs w:val="16"/>
          <w:lang w:val="es-CO"/>
        </w:rPr>
      </w:pPr>
      <w:r w:rsidRPr="00595F31">
        <w:rPr>
          <w:rStyle w:val="Refdenotaalpie"/>
          <w:rFonts w:ascii="Verdana" w:hAnsi="Verdana" w:cs="Arial"/>
          <w:color w:val="000000"/>
          <w:sz w:val="16"/>
          <w:szCs w:val="16"/>
        </w:rPr>
        <w:footnoteRef/>
      </w:r>
      <w:r w:rsidRPr="00595F31">
        <w:rPr>
          <w:rFonts w:ascii="Verdana" w:hAnsi="Verdana" w:cs="Arial"/>
          <w:color w:val="000000"/>
          <w:sz w:val="16"/>
          <w:szCs w:val="16"/>
        </w:rPr>
        <w:t xml:space="preserve"> Sobre el particular ver: </w:t>
      </w:r>
      <w:r w:rsidRPr="00595F31">
        <w:rPr>
          <w:rFonts w:ascii="Verdana" w:hAnsi="Verdana" w:cs="Arial"/>
          <w:color w:val="000000"/>
          <w:sz w:val="16"/>
          <w:szCs w:val="16"/>
          <w:lang w:val="es-CO"/>
        </w:rPr>
        <w:t xml:space="preserve">Consejo de Estado. Sección Tercera. Sentencia del 10 de agosto de 2016. Exp. 34369. C.P. Hernán Andrade Rincón; y Sentencia del 8 de febrero de 2012. Exp. 34369A. C.P. Ruth Stella Correa Palacio.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62B"/>
    <w:rsid w:val="00015B89"/>
    <w:rsid w:val="00016F78"/>
    <w:rsid w:val="00024485"/>
    <w:rsid w:val="00046945"/>
    <w:rsid w:val="00061B2A"/>
    <w:rsid w:val="00082362"/>
    <w:rsid w:val="00092D97"/>
    <w:rsid w:val="000A683E"/>
    <w:rsid w:val="000B19B9"/>
    <w:rsid w:val="000D0334"/>
    <w:rsid w:val="000D5DA7"/>
    <w:rsid w:val="000F6486"/>
    <w:rsid w:val="00116940"/>
    <w:rsid w:val="00116DDA"/>
    <w:rsid w:val="00117EC8"/>
    <w:rsid w:val="00125105"/>
    <w:rsid w:val="00127233"/>
    <w:rsid w:val="0014487C"/>
    <w:rsid w:val="0015699B"/>
    <w:rsid w:val="001A2DAF"/>
    <w:rsid w:val="001A33BF"/>
    <w:rsid w:val="001E4177"/>
    <w:rsid w:val="001F0B24"/>
    <w:rsid w:val="001F7DC6"/>
    <w:rsid w:val="00204E4A"/>
    <w:rsid w:val="0022400B"/>
    <w:rsid w:val="002421BB"/>
    <w:rsid w:val="00255DEA"/>
    <w:rsid w:val="0025796E"/>
    <w:rsid w:val="002707A2"/>
    <w:rsid w:val="002951A0"/>
    <w:rsid w:val="002962BC"/>
    <w:rsid w:val="002A093D"/>
    <w:rsid w:val="002A0DD0"/>
    <w:rsid w:val="002A118B"/>
    <w:rsid w:val="002A49AC"/>
    <w:rsid w:val="002A64FD"/>
    <w:rsid w:val="002B0B5B"/>
    <w:rsid w:val="002B1E73"/>
    <w:rsid w:val="002C7A84"/>
    <w:rsid w:val="002E2BF8"/>
    <w:rsid w:val="002E4FD9"/>
    <w:rsid w:val="002F494C"/>
    <w:rsid w:val="002F6CBA"/>
    <w:rsid w:val="0030657A"/>
    <w:rsid w:val="00322A85"/>
    <w:rsid w:val="00324168"/>
    <w:rsid w:val="00330834"/>
    <w:rsid w:val="003448F4"/>
    <w:rsid w:val="00355346"/>
    <w:rsid w:val="00374F5E"/>
    <w:rsid w:val="00377E3E"/>
    <w:rsid w:val="003A779E"/>
    <w:rsid w:val="003D0F4D"/>
    <w:rsid w:val="003D5B0D"/>
    <w:rsid w:val="003E0499"/>
    <w:rsid w:val="003E4F80"/>
    <w:rsid w:val="003E6439"/>
    <w:rsid w:val="003F3941"/>
    <w:rsid w:val="00406575"/>
    <w:rsid w:val="004146A3"/>
    <w:rsid w:val="00414C74"/>
    <w:rsid w:val="0042722E"/>
    <w:rsid w:val="00442133"/>
    <w:rsid w:val="0044528D"/>
    <w:rsid w:val="00464E2F"/>
    <w:rsid w:val="00466E39"/>
    <w:rsid w:val="004A1847"/>
    <w:rsid w:val="004A305D"/>
    <w:rsid w:val="004F21C4"/>
    <w:rsid w:val="004F685F"/>
    <w:rsid w:val="00537A1F"/>
    <w:rsid w:val="005566E8"/>
    <w:rsid w:val="00574867"/>
    <w:rsid w:val="00591460"/>
    <w:rsid w:val="005A65E0"/>
    <w:rsid w:val="005C3777"/>
    <w:rsid w:val="005C5CDC"/>
    <w:rsid w:val="005C68C4"/>
    <w:rsid w:val="005D476C"/>
    <w:rsid w:val="005F6874"/>
    <w:rsid w:val="006200BF"/>
    <w:rsid w:val="006219F8"/>
    <w:rsid w:val="006302F7"/>
    <w:rsid w:val="00646B9F"/>
    <w:rsid w:val="0066197B"/>
    <w:rsid w:val="00665D70"/>
    <w:rsid w:val="006900D9"/>
    <w:rsid w:val="00706C16"/>
    <w:rsid w:val="007340C3"/>
    <w:rsid w:val="00741A4E"/>
    <w:rsid w:val="007461CE"/>
    <w:rsid w:val="0075235A"/>
    <w:rsid w:val="00756841"/>
    <w:rsid w:val="007649AB"/>
    <w:rsid w:val="00771D0C"/>
    <w:rsid w:val="007833AC"/>
    <w:rsid w:val="007B268C"/>
    <w:rsid w:val="007B7171"/>
    <w:rsid w:val="007C0C0F"/>
    <w:rsid w:val="007C3DC2"/>
    <w:rsid w:val="007D6543"/>
    <w:rsid w:val="007E5497"/>
    <w:rsid w:val="00806F5F"/>
    <w:rsid w:val="00820278"/>
    <w:rsid w:val="008258C9"/>
    <w:rsid w:val="00844AE9"/>
    <w:rsid w:val="0086629D"/>
    <w:rsid w:val="00867F95"/>
    <w:rsid w:val="008843B6"/>
    <w:rsid w:val="008874B8"/>
    <w:rsid w:val="00891928"/>
    <w:rsid w:val="008A446D"/>
    <w:rsid w:val="008B25F1"/>
    <w:rsid w:val="008D180B"/>
    <w:rsid w:val="008D381C"/>
    <w:rsid w:val="008F0EA7"/>
    <w:rsid w:val="00923EEF"/>
    <w:rsid w:val="009267A7"/>
    <w:rsid w:val="009419F9"/>
    <w:rsid w:val="00952B93"/>
    <w:rsid w:val="0095685E"/>
    <w:rsid w:val="00961B09"/>
    <w:rsid w:val="00965334"/>
    <w:rsid w:val="0097093E"/>
    <w:rsid w:val="009A0DFA"/>
    <w:rsid w:val="009A1C6F"/>
    <w:rsid w:val="009B2D26"/>
    <w:rsid w:val="009C71FA"/>
    <w:rsid w:val="009C72E7"/>
    <w:rsid w:val="009C7F7E"/>
    <w:rsid w:val="009D3058"/>
    <w:rsid w:val="009F3A13"/>
    <w:rsid w:val="00A1021C"/>
    <w:rsid w:val="00A122D3"/>
    <w:rsid w:val="00A14468"/>
    <w:rsid w:val="00A17F13"/>
    <w:rsid w:val="00A20739"/>
    <w:rsid w:val="00A23AF9"/>
    <w:rsid w:val="00A33C78"/>
    <w:rsid w:val="00A8428C"/>
    <w:rsid w:val="00A960C0"/>
    <w:rsid w:val="00AB0ADB"/>
    <w:rsid w:val="00AB4CEF"/>
    <w:rsid w:val="00AC25C4"/>
    <w:rsid w:val="00AC33C0"/>
    <w:rsid w:val="00B00C0E"/>
    <w:rsid w:val="00B01B1A"/>
    <w:rsid w:val="00B0381D"/>
    <w:rsid w:val="00B3657B"/>
    <w:rsid w:val="00B437F9"/>
    <w:rsid w:val="00B44A47"/>
    <w:rsid w:val="00B50597"/>
    <w:rsid w:val="00B72CD3"/>
    <w:rsid w:val="00B72FFF"/>
    <w:rsid w:val="00B93175"/>
    <w:rsid w:val="00BC3D36"/>
    <w:rsid w:val="00BD54A6"/>
    <w:rsid w:val="00BD7F72"/>
    <w:rsid w:val="00BF7425"/>
    <w:rsid w:val="00C04FB3"/>
    <w:rsid w:val="00C11D8B"/>
    <w:rsid w:val="00C15139"/>
    <w:rsid w:val="00C330EB"/>
    <w:rsid w:val="00C50D69"/>
    <w:rsid w:val="00C5365C"/>
    <w:rsid w:val="00C754BE"/>
    <w:rsid w:val="00C76B1C"/>
    <w:rsid w:val="00C925AC"/>
    <w:rsid w:val="00CA62CB"/>
    <w:rsid w:val="00CB34FE"/>
    <w:rsid w:val="00CB6357"/>
    <w:rsid w:val="00CC1B26"/>
    <w:rsid w:val="00CE05C9"/>
    <w:rsid w:val="00D147DC"/>
    <w:rsid w:val="00D361FD"/>
    <w:rsid w:val="00D423A2"/>
    <w:rsid w:val="00D44E26"/>
    <w:rsid w:val="00D520D8"/>
    <w:rsid w:val="00D63AC2"/>
    <w:rsid w:val="00D66B71"/>
    <w:rsid w:val="00D7383B"/>
    <w:rsid w:val="00D7788A"/>
    <w:rsid w:val="00DA231B"/>
    <w:rsid w:val="00DA4E91"/>
    <w:rsid w:val="00DB5631"/>
    <w:rsid w:val="00DC39FC"/>
    <w:rsid w:val="00DD573C"/>
    <w:rsid w:val="00DF5254"/>
    <w:rsid w:val="00E02524"/>
    <w:rsid w:val="00E16408"/>
    <w:rsid w:val="00E20894"/>
    <w:rsid w:val="00E245AB"/>
    <w:rsid w:val="00E2764C"/>
    <w:rsid w:val="00E27F2E"/>
    <w:rsid w:val="00E50AFE"/>
    <w:rsid w:val="00E62555"/>
    <w:rsid w:val="00E75C92"/>
    <w:rsid w:val="00E771DC"/>
    <w:rsid w:val="00E8772A"/>
    <w:rsid w:val="00E90F6B"/>
    <w:rsid w:val="00E92C27"/>
    <w:rsid w:val="00EA0E3D"/>
    <w:rsid w:val="00EC16A5"/>
    <w:rsid w:val="00EC38A7"/>
    <w:rsid w:val="00EE1AA8"/>
    <w:rsid w:val="00EE3C3D"/>
    <w:rsid w:val="00F23FEA"/>
    <w:rsid w:val="00F31EDC"/>
    <w:rsid w:val="00F462B3"/>
    <w:rsid w:val="00F5664F"/>
    <w:rsid w:val="00F666C4"/>
    <w:rsid w:val="00F76AFC"/>
    <w:rsid w:val="00FA47C0"/>
    <w:rsid w:val="00FB5DD1"/>
    <w:rsid w:val="00FB6B94"/>
    <w:rsid w:val="00FC2B5D"/>
    <w:rsid w:val="00FD2C16"/>
    <w:rsid w:val="00FD4928"/>
    <w:rsid w:val="00FF1449"/>
    <w:rsid w:val="00FF4088"/>
    <w:rsid w:val="00FF7963"/>
    <w:rsid w:val="09908A09"/>
    <w:rsid w:val="13CFC91B"/>
    <w:rsid w:val="1508AF59"/>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B4CE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4CEF"/>
    <w:rPr>
      <w:rFonts w:ascii="Geomanist Light" w:hAnsi="Geomanist Light"/>
      <w:lang w:val="es-ES"/>
    </w:rPr>
  </w:style>
  <w:style w:type="paragraph" w:customStyle="1" w:styleId="Car1">
    <w:name w:val="Car1"/>
    <w:basedOn w:val="Normal"/>
    <w:next w:val="Textonotapie"/>
    <w:uiPriority w:val="99"/>
    <w:unhideWhenUsed/>
    <w:qFormat/>
    <w:rsid w:val="00AB4CEF"/>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administrativo@kiel.com.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BB4D07-94B4-4711-9E8B-0A992800F4D6}">
  <ds:schemaRefs>
    <ds:schemaRef ds:uri="http://schemas.openxmlformats.org/officeDocument/2006/bibliography"/>
  </ds:schemaRefs>
</ds:datastoreItem>
</file>

<file path=customXml/itemProps2.xml><?xml version="1.0" encoding="utf-8"?>
<ds:datastoreItem xmlns:ds="http://schemas.openxmlformats.org/officeDocument/2006/customXml" ds:itemID="{64596B40-E136-43A4-AC7D-561BCCC161CE}"/>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15</Pages>
  <Words>4566</Words>
  <Characters>24797</Characters>
  <Application>Microsoft Office Word</Application>
  <DocSecurity>0</DocSecurity>
  <Lines>486</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29256</CharactersWithSpaces>
  <SharedDoc>false</SharedDoc>
  <HLinks>
    <vt:vector size="30"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2162739</vt:i4>
      </vt:variant>
      <vt:variant>
        <vt:i4>6</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3997769</vt:i4>
      </vt:variant>
      <vt:variant>
        <vt:i4>0</vt:i4>
      </vt:variant>
      <vt:variant>
        <vt:i4>0</vt:i4>
      </vt:variant>
      <vt:variant>
        <vt:i4>5</vt:i4>
      </vt:variant>
      <vt:variant>
        <vt:lpwstr>mailto:Gerencia.eficacia@gmail.com</vt:lpwstr>
      </vt:variant>
      <vt:variant>
        <vt:lpwstr/>
      </vt:variant>
      <vt:variant>
        <vt:i4>3997735</vt:i4>
      </vt:variant>
      <vt:variant>
        <vt:i4>0</vt:i4>
      </vt:variant>
      <vt:variant>
        <vt:i4>0</vt:i4>
      </vt:variant>
      <vt:variant>
        <vt:i4>5</vt:i4>
      </vt:variant>
      <vt:variant>
        <vt:lpwstr>https://colombiacompra.gov.co/manuales-guias-y-pliegos-tipo/manuales-y-guias/manual-para-determinar-y-verificar-los-requisitos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2025-12-21T23:08:00Z</dcterms:created>
  <dcterms:modified xsi:type="dcterms:W3CDTF">2025-12-23T16:06:00Z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