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85FE9" w14:textId="77777777" w:rsidR="00DC1FEB" w:rsidRPr="008211E7" w:rsidRDefault="00DC1FEB" w:rsidP="00DC1FEB">
      <w:pPr>
        <w:spacing w:after="0" w:line="240" w:lineRule="auto"/>
        <w:jc w:val="both"/>
        <w:rPr>
          <w:rFonts w:ascii="Verdana" w:eastAsia="Calibri" w:hAnsi="Verdana" w:cs="Arial"/>
          <w:b/>
          <w:color w:val="000000" w:themeColor="text1"/>
          <w:sz w:val="20"/>
          <w:szCs w:val="20"/>
          <w:lang w:val="es-ES_tradnl"/>
        </w:rPr>
      </w:pPr>
    </w:p>
    <w:p w14:paraId="738420E5" w14:textId="77777777" w:rsidR="00DC1FEB" w:rsidRPr="008211E7" w:rsidRDefault="00DC1FEB" w:rsidP="00DC1FEB">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Definición – Objetivo </w:t>
      </w:r>
    </w:p>
    <w:p w14:paraId="2EEED453" w14:textId="77777777" w:rsidR="00DC1FEB" w:rsidRPr="008211E7" w:rsidRDefault="00DC1FEB" w:rsidP="00DC1FEB">
      <w:pPr>
        <w:spacing w:after="0" w:line="240" w:lineRule="auto"/>
        <w:jc w:val="both"/>
        <w:rPr>
          <w:rFonts w:ascii="Verdana" w:hAnsi="Verdana" w:cs="Arial"/>
          <w:b/>
          <w:sz w:val="20"/>
          <w:szCs w:val="20"/>
          <w:lang w:val="es-ES_tradnl" w:eastAsia="es-ES"/>
        </w:rPr>
      </w:pPr>
    </w:p>
    <w:p w14:paraId="1B54339F" w14:textId="77777777" w:rsidR="00DC1FEB" w:rsidRPr="008211E7" w:rsidRDefault="00DC1FEB" w:rsidP="00DC1FEB">
      <w:pPr>
        <w:spacing w:after="0" w:line="240" w:lineRule="auto"/>
        <w:jc w:val="both"/>
        <w:rPr>
          <w:rFonts w:ascii="Verdana" w:hAnsi="Verdana" w:cs="Arial"/>
          <w:sz w:val="20"/>
          <w:szCs w:val="20"/>
          <w:lang w:val="es-ES_tradnl"/>
        </w:rPr>
      </w:pPr>
      <w:r w:rsidRPr="008211E7">
        <w:rPr>
          <w:rFonts w:ascii="Verdana" w:hAnsi="Verdana" w:cs="Arial"/>
          <w:sz w:val="20"/>
          <w:szCs w:val="20"/>
          <w:lang w:val="es-ES_tradnl"/>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8211E7">
        <w:rPr>
          <w:rFonts w:ascii="Verdana" w:hAnsi="Verdana" w:cs="Arial"/>
          <w:i/>
          <w:iCs/>
          <w:sz w:val="20"/>
          <w:szCs w:val="20"/>
          <w:lang w:val="es-ES_tradnl"/>
        </w:rPr>
        <w:t>liquidar</w:t>
      </w:r>
      <w:r w:rsidRPr="008211E7">
        <w:rPr>
          <w:rFonts w:ascii="Verdana" w:hAnsi="Verdana" w:cs="Arial"/>
          <w:sz w:val="20"/>
          <w:szCs w:val="20"/>
          <w:lang w:val="es-ES_tradnl"/>
        </w:rPr>
        <w:t xml:space="preserve"> supone un ajuste en relación con las cuentas y el estado de cumplimiento del contrato estatal y, por otro, que la </w:t>
      </w:r>
      <w:r w:rsidRPr="008211E7">
        <w:rPr>
          <w:rFonts w:ascii="Verdana" w:hAnsi="Verdana" w:cs="Arial"/>
          <w:i/>
          <w:iCs/>
          <w:sz w:val="20"/>
          <w:szCs w:val="20"/>
          <w:lang w:val="es-ES_tradnl"/>
        </w:rPr>
        <w:t>liquidación</w:t>
      </w:r>
      <w:r w:rsidRPr="008211E7">
        <w:rPr>
          <w:rFonts w:ascii="Verdana" w:hAnsi="Verdana" w:cs="Arial"/>
          <w:sz w:val="20"/>
          <w:szCs w:val="20"/>
          <w:lang w:val="es-ES_tradnl"/>
        </w:rPr>
        <w:t xml:space="preserve"> debe incluir el análisis de las condiciones de calidad y oportunidad en la entrega de los bienes, obras o servicios, así como el balance económico y el comportamiento financiero del negocio.</w:t>
      </w:r>
    </w:p>
    <w:p w14:paraId="084D0879" w14:textId="77777777" w:rsidR="00DC1FEB" w:rsidRPr="008211E7" w:rsidRDefault="00DC1FEB" w:rsidP="00DC1FEB">
      <w:pPr>
        <w:spacing w:after="0" w:line="240" w:lineRule="auto"/>
        <w:jc w:val="both"/>
        <w:rPr>
          <w:rFonts w:ascii="Verdana" w:hAnsi="Verdana" w:cs="Arial"/>
          <w:sz w:val="20"/>
          <w:szCs w:val="20"/>
          <w:lang w:val="es-ES_tradnl" w:eastAsia="es-ES"/>
        </w:rPr>
      </w:pPr>
    </w:p>
    <w:p w14:paraId="0E4AB5CB" w14:textId="77777777" w:rsidR="00DC1FEB" w:rsidRPr="008211E7" w:rsidRDefault="00DC1FEB" w:rsidP="00DC1FEB">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Normativa </w:t>
      </w:r>
    </w:p>
    <w:p w14:paraId="632CEA2F" w14:textId="77777777" w:rsidR="00DC1FEB" w:rsidRPr="008211E7" w:rsidRDefault="00DC1FEB" w:rsidP="00DC1FEB">
      <w:pPr>
        <w:spacing w:after="0" w:line="240" w:lineRule="auto"/>
        <w:jc w:val="both"/>
        <w:rPr>
          <w:rFonts w:ascii="Verdana" w:hAnsi="Verdana" w:cs="Arial"/>
          <w:sz w:val="20"/>
          <w:szCs w:val="20"/>
          <w:lang w:val="es-ES_tradnl" w:eastAsia="es-ES"/>
        </w:rPr>
      </w:pPr>
    </w:p>
    <w:p w14:paraId="4D210B2E" w14:textId="77777777" w:rsidR="00DC1FEB" w:rsidRPr="008211E7" w:rsidRDefault="00DC1FEB" w:rsidP="00DC1FEB">
      <w:pPr>
        <w:spacing w:after="0" w:line="240" w:lineRule="auto"/>
        <w:jc w:val="both"/>
        <w:rPr>
          <w:rFonts w:ascii="Verdana" w:hAnsi="Verdana" w:cs="Arial"/>
          <w:sz w:val="20"/>
          <w:szCs w:val="20"/>
          <w:lang w:val="es-ES_tradnl" w:eastAsia="es-ES"/>
        </w:rPr>
      </w:pPr>
      <w:r w:rsidRPr="008211E7">
        <w:rPr>
          <w:rFonts w:ascii="Verdana" w:hAnsi="Verdana" w:cs="Arial"/>
          <w:sz w:val="20"/>
          <w:szCs w:val="20"/>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w:t>
      </w:r>
      <w:r>
        <w:rPr>
          <w:rFonts w:ascii="Verdana" w:hAnsi="Verdana" w:cs="Arial"/>
          <w:sz w:val="20"/>
          <w:szCs w:val="20"/>
          <w:lang w:val="es-ES_tradnl" w:eastAsia="es-ES"/>
        </w:rPr>
        <w:t>“</w:t>
      </w:r>
      <w:r w:rsidRPr="008211E7">
        <w:rPr>
          <w:rFonts w:ascii="Verdana" w:hAnsi="Verdana" w:cs="Arial"/>
          <w:sz w:val="20"/>
          <w:szCs w:val="20"/>
          <w:lang w:val="es-ES_tradnl" w:eastAsia="es-ES"/>
        </w:rPr>
        <w:t>serán objeto de liquidación</w:t>
      </w:r>
      <w:r>
        <w:rPr>
          <w:rFonts w:ascii="Verdana" w:hAnsi="Verdana" w:cs="Arial"/>
          <w:sz w:val="20"/>
          <w:szCs w:val="20"/>
          <w:lang w:val="es-ES_tradnl" w:eastAsia="es-ES"/>
        </w:rPr>
        <w:t>”</w:t>
      </w:r>
      <w:r w:rsidRPr="008211E7">
        <w:rPr>
          <w:rFonts w:ascii="Verdana" w:hAnsi="Verdana" w:cs="Arial"/>
          <w:sz w:val="20"/>
          <w:szCs w:val="20"/>
          <w:lang w:val="es-ES_tradnl" w:eastAsia="es-ES"/>
        </w:rPr>
        <w:t>.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07B6B217" w14:textId="77777777" w:rsidR="00DC1FEB" w:rsidRPr="008211E7" w:rsidRDefault="00DC1FEB" w:rsidP="00DC1FEB">
      <w:pPr>
        <w:spacing w:after="0" w:line="240" w:lineRule="auto"/>
        <w:jc w:val="both"/>
        <w:rPr>
          <w:rFonts w:ascii="Verdana" w:hAnsi="Verdana" w:cs="Arial"/>
          <w:b/>
          <w:sz w:val="20"/>
          <w:szCs w:val="20"/>
          <w:lang w:val="es-ES_tradnl" w:eastAsia="es-ES"/>
        </w:rPr>
      </w:pPr>
    </w:p>
    <w:p w14:paraId="06DACFAF" w14:textId="77777777" w:rsidR="00DC1FEB" w:rsidRPr="008211E7" w:rsidRDefault="00DC1FEB" w:rsidP="00DC1FEB">
      <w:pPr>
        <w:spacing w:after="0" w:line="240" w:lineRule="auto"/>
        <w:jc w:val="both"/>
        <w:rPr>
          <w:rFonts w:ascii="Verdana" w:hAnsi="Verdana" w:cs="Arial"/>
          <w:b/>
          <w:lang w:val="es-ES_tradnl" w:eastAsia="es-ES"/>
        </w:rPr>
      </w:pPr>
      <w:r w:rsidRPr="008211E7">
        <w:rPr>
          <w:rFonts w:ascii="Verdana" w:hAnsi="Verdana" w:cs="Arial"/>
          <w:b/>
          <w:lang w:val="es-ES_tradnl" w:eastAsia="es-ES"/>
        </w:rPr>
        <w:t>LIQUIDACIÓN DEL CONTRATO – Tipos – Bilateral – Unilateral – Judicial</w:t>
      </w:r>
    </w:p>
    <w:p w14:paraId="135E3050" w14:textId="77777777" w:rsidR="00DC1FEB" w:rsidRPr="008211E7" w:rsidRDefault="00DC1FEB" w:rsidP="00DC1FEB">
      <w:pPr>
        <w:spacing w:after="0" w:line="240" w:lineRule="auto"/>
        <w:jc w:val="both"/>
        <w:rPr>
          <w:rFonts w:ascii="Verdana" w:hAnsi="Verdana" w:cs="Arial"/>
          <w:b/>
          <w:sz w:val="20"/>
          <w:szCs w:val="20"/>
          <w:lang w:val="es-ES_tradnl" w:eastAsia="es-ES"/>
        </w:rPr>
      </w:pPr>
    </w:p>
    <w:p w14:paraId="1F702855" w14:textId="77777777" w:rsidR="00DC1FEB" w:rsidRPr="008211E7" w:rsidRDefault="00DC1FEB" w:rsidP="00DC1FEB">
      <w:pPr>
        <w:spacing w:after="0" w:line="240" w:lineRule="auto"/>
        <w:jc w:val="both"/>
        <w:rPr>
          <w:rFonts w:ascii="Verdana" w:hAnsi="Verdana" w:cs="Arial"/>
          <w:sz w:val="20"/>
          <w:szCs w:val="20"/>
          <w:lang w:val="es-ES_tradnl" w:eastAsia="es-ES"/>
        </w:rPr>
      </w:pPr>
      <w:r w:rsidRPr="008211E7">
        <w:rPr>
          <w:rFonts w:ascii="Verdana" w:hAnsi="Verdana" w:cs="Arial"/>
          <w:sz w:val="20"/>
          <w:szCs w:val="20"/>
          <w:lang w:val="es-ES_tradnl" w:eastAsia="es-ES"/>
        </w:rPr>
        <w:t xml:space="preserve">En suma, de acuerdo con el artículo 11 de la Ley 1150 de 2007, existen tres tipos de liquidación: i) bilateral, </w:t>
      </w:r>
      <w:proofErr w:type="spellStart"/>
      <w:r w:rsidRPr="008211E7">
        <w:rPr>
          <w:rFonts w:ascii="Verdana" w:hAnsi="Verdana" w:cs="Arial"/>
          <w:sz w:val="20"/>
          <w:szCs w:val="20"/>
          <w:lang w:val="es-ES_tradnl" w:eastAsia="es-ES"/>
        </w:rPr>
        <w:t>ii</w:t>
      </w:r>
      <w:proofErr w:type="spellEnd"/>
      <w:r w:rsidRPr="008211E7">
        <w:rPr>
          <w:rFonts w:ascii="Verdana" w:hAnsi="Verdana" w:cs="Arial"/>
          <w:sz w:val="20"/>
          <w:szCs w:val="20"/>
          <w:lang w:val="es-ES_tradnl" w:eastAsia="es-ES"/>
        </w:rPr>
        <w:t xml:space="preserve">) unilateral y </w:t>
      </w:r>
      <w:proofErr w:type="spellStart"/>
      <w:r w:rsidRPr="008211E7">
        <w:rPr>
          <w:rFonts w:ascii="Verdana" w:hAnsi="Verdana" w:cs="Arial"/>
          <w:sz w:val="20"/>
          <w:szCs w:val="20"/>
          <w:lang w:val="es-ES_tradnl" w:eastAsia="es-ES"/>
        </w:rPr>
        <w:t>iii</w:t>
      </w:r>
      <w:proofErr w:type="spellEnd"/>
      <w:r w:rsidRPr="008211E7">
        <w:rPr>
          <w:rFonts w:ascii="Verdana" w:hAnsi="Verdana" w:cs="Arial"/>
          <w:sz w:val="20"/>
          <w:szCs w:val="20"/>
          <w:lang w:val="es-ES_tradnl" w:eastAsia="es-ES"/>
        </w:rPr>
        <w:t>) judicial. En términos generales, la primera, que puede ser total o parcial, debe hacerse en el término que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2 años contados a partir de los dos meses establecidos en la Ley para realizar la liquidación unilateral.</w:t>
      </w:r>
    </w:p>
    <w:p w14:paraId="2CC8125B" w14:textId="77777777" w:rsidR="00DC1FEB" w:rsidRPr="004A23CD" w:rsidRDefault="00DC1FEB" w:rsidP="00DC1FEB">
      <w:pPr>
        <w:spacing w:after="0" w:line="240" w:lineRule="auto"/>
        <w:jc w:val="both"/>
        <w:rPr>
          <w:rFonts w:ascii="Verdana" w:eastAsia="Calibri" w:hAnsi="Verdana" w:cs="Arial"/>
          <w:b/>
          <w:sz w:val="20"/>
          <w:szCs w:val="20"/>
        </w:rPr>
      </w:pPr>
    </w:p>
    <w:p w14:paraId="1274FFDC" w14:textId="77777777" w:rsidR="00DC1FEB" w:rsidRPr="004A23CD" w:rsidRDefault="00DC1FEB" w:rsidP="00DC1FEB">
      <w:pPr>
        <w:tabs>
          <w:tab w:val="left" w:pos="3374"/>
        </w:tabs>
        <w:spacing w:after="0" w:line="240" w:lineRule="auto"/>
        <w:jc w:val="both"/>
        <w:rPr>
          <w:rFonts w:ascii="Verdana" w:eastAsia="Calibri" w:hAnsi="Verdana" w:cs="Arial"/>
          <w:b/>
          <w:bCs/>
        </w:rPr>
      </w:pPr>
      <w:r w:rsidRPr="004A23CD">
        <w:rPr>
          <w:rFonts w:ascii="Verdana" w:eastAsia="Calibri" w:hAnsi="Verdana" w:cs="Arial"/>
          <w:b/>
          <w:bCs/>
        </w:rPr>
        <w:t xml:space="preserve">EJECUCIÓN DEL CONTRATO ‒ Contrato estatal – Cierre del expediente contractual – Acto de trámite – Constancia </w:t>
      </w:r>
    </w:p>
    <w:p w14:paraId="2D884362" w14:textId="77777777" w:rsidR="00DC1FEB" w:rsidRPr="004A23CD" w:rsidRDefault="00DC1FEB" w:rsidP="00DC1FEB">
      <w:pPr>
        <w:tabs>
          <w:tab w:val="left" w:pos="3374"/>
        </w:tabs>
        <w:spacing w:after="0" w:line="240" w:lineRule="auto"/>
        <w:jc w:val="both"/>
        <w:rPr>
          <w:rFonts w:ascii="Verdana" w:eastAsia="Calibri" w:hAnsi="Verdana" w:cs="Arial"/>
          <w:b/>
          <w:bCs/>
          <w:sz w:val="20"/>
          <w:szCs w:val="20"/>
        </w:rPr>
      </w:pPr>
    </w:p>
    <w:p w14:paraId="5F8DE3BC" w14:textId="77777777" w:rsidR="00DC1FEB" w:rsidRPr="004A23CD" w:rsidRDefault="00DC1FEB" w:rsidP="00DC1FEB">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 xml:space="preserve">De acuerdo con el artículo 2.2.1.1.2.4.3 del Decreto 1082 de 2015, </w:t>
      </w:r>
      <w:r w:rsidRPr="004A23CD">
        <w:rPr>
          <w:rFonts w:ascii="Verdana" w:eastAsia="Calibri" w:hAnsi="Verdana" w:cs="Arial"/>
          <w:i/>
          <w:iCs/>
          <w:sz w:val="20"/>
          <w:szCs w:val="20"/>
        </w:rPr>
        <w:t>el cierre del expediente</w:t>
      </w:r>
      <w:r w:rsidRPr="004A23CD">
        <w:rPr>
          <w:rFonts w:ascii="Verdana" w:eastAsia="Calibri" w:hAnsi="Verdana" w:cs="Arial"/>
          <w:sz w:val="20"/>
          <w:szCs w:val="20"/>
        </w:rPr>
        <w:t xml:space="preserve"> es un acto de trámite que realiza la entidad estatal cuando han vencido, por un lado, las garantías de calidad, estabilidad y mantenimiento, o por el otro, cuando se establecieron condiciones de disposición final o recuperación ambiental de las obras o </w:t>
      </w:r>
      <w:r w:rsidRPr="004A23CD">
        <w:rPr>
          <w:rFonts w:ascii="Verdana" w:eastAsia="Calibri" w:hAnsi="Verdana" w:cs="Arial"/>
          <w:sz w:val="20"/>
          <w:szCs w:val="20"/>
        </w:rPr>
        <w:lastRenderedPageBreak/>
        <w:t>bienes. Se trata de una constancia administrativa que culmina las actuaciones contractuales.</w:t>
      </w:r>
    </w:p>
    <w:p w14:paraId="61669B08" w14:textId="77777777" w:rsidR="00DC1FEB" w:rsidRPr="004A23CD" w:rsidRDefault="00DC1FEB" w:rsidP="00DC1FEB">
      <w:pPr>
        <w:tabs>
          <w:tab w:val="left" w:pos="3374"/>
        </w:tabs>
        <w:spacing w:after="0" w:line="240" w:lineRule="auto"/>
        <w:jc w:val="both"/>
        <w:rPr>
          <w:rFonts w:ascii="Verdana" w:eastAsia="Calibri" w:hAnsi="Verdana" w:cs="Arial"/>
          <w:sz w:val="20"/>
          <w:szCs w:val="20"/>
        </w:rPr>
      </w:pPr>
    </w:p>
    <w:p w14:paraId="385665C9" w14:textId="77777777" w:rsidR="00DC1FEB" w:rsidRPr="004A23CD" w:rsidRDefault="00DC1FEB" w:rsidP="00DC1FEB">
      <w:pPr>
        <w:tabs>
          <w:tab w:val="left" w:pos="3374"/>
        </w:tabs>
        <w:spacing w:after="0" w:line="240" w:lineRule="auto"/>
        <w:rPr>
          <w:rFonts w:ascii="Verdana" w:eastAsia="Calibri" w:hAnsi="Verdana" w:cs="Arial"/>
          <w:b/>
          <w:bCs/>
        </w:rPr>
      </w:pPr>
      <w:r w:rsidRPr="004A23CD">
        <w:rPr>
          <w:rFonts w:ascii="Verdana" w:eastAsia="Calibri" w:hAnsi="Verdana" w:cs="Arial"/>
          <w:b/>
          <w:bCs/>
        </w:rPr>
        <w:t>CIERRE DEL EXPEDIENTE CONTRACTUAL –  Requisitos – Procedencia</w:t>
      </w:r>
    </w:p>
    <w:p w14:paraId="658BAEBA" w14:textId="77777777" w:rsidR="00DC1FEB" w:rsidRPr="004A23CD" w:rsidRDefault="00DC1FEB" w:rsidP="00DC1FEB">
      <w:pPr>
        <w:tabs>
          <w:tab w:val="left" w:pos="3374"/>
        </w:tabs>
        <w:spacing w:after="0" w:line="240" w:lineRule="auto"/>
        <w:rPr>
          <w:rFonts w:ascii="Verdana" w:eastAsia="Calibri" w:hAnsi="Verdana" w:cs="Arial"/>
          <w:b/>
          <w:bCs/>
          <w:sz w:val="20"/>
          <w:szCs w:val="20"/>
        </w:rPr>
      </w:pPr>
    </w:p>
    <w:p w14:paraId="3ABB0630" w14:textId="77777777" w:rsidR="00DC1FEB" w:rsidRPr="004A23CD" w:rsidRDefault="00DC1FEB" w:rsidP="00DC1FEB">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En consecuencia, lo que resulta relevante para determinar si a la entidad le asiste o no el deber de hacer el cierre del expediente contractual, de acuerdo con la norma citada, consiste en determinar si se exigieron o no garantías de calidad, estabilidad o mantenimiento, o si la entidad estableció condiciones de disposición final o recuperación de las obras o bienes objeto del contrato. De no ser así, no es obligatorio que la entidad haga un cierre del expediente contractual.</w:t>
      </w:r>
    </w:p>
    <w:p w14:paraId="33E93981" w14:textId="77777777" w:rsidR="00DC1FEB" w:rsidRPr="004A23CD" w:rsidRDefault="00DC1FEB" w:rsidP="00DC1FEB">
      <w:pPr>
        <w:tabs>
          <w:tab w:val="left" w:pos="3374"/>
        </w:tabs>
        <w:spacing w:after="0" w:line="240" w:lineRule="auto"/>
        <w:jc w:val="both"/>
        <w:rPr>
          <w:rFonts w:ascii="Verdana" w:eastAsia="Calibri" w:hAnsi="Verdana" w:cs="Arial"/>
          <w:sz w:val="20"/>
          <w:szCs w:val="20"/>
        </w:rPr>
      </w:pPr>
    </w:p>
    <w:p w14:paraId="154FCA14" w14:textId="77777777" w:rsidR="00DC1FEB" w:rsidRPr="004A23CD" w:rsidRDefault="00DC1FEB" w:rsidP="00DC1FEB">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 xml:space="preserve">La norma, como se dijo previamente, establece que el cierre del expediente debe llevarse a cabo únicamente en dos eventos: i) cuando la administración establece condiciones de disposición final o recuperación ambiental de las obras o bienes; o </w:t>
      </w:r>
      <w:proofErr w:type="spellStart"/>
      <w:r w:rsidRPr="004A23CD">
        <w:rPr>
          <w:rFonts w:ascii="Verdana" w:eastAsia="Calibri" w:hAnsi="Verdana" w:cs="Arial"/>
          <w:sz w:val="20"/>
          <w:szCs w:val="20"/>
        </w:rPr>
        <w:t>ii</w:t>
      </w:r>
      <w:proofErr w:type="spellEnd"/>
      <w:r w:rsidRPr="004A23CD">
        <w:rPr>
          <w:rFonts w:ascii="Verdana" w:eastAsia="Calibri" w:hAnsi="Verdana" w:cs="Arial"/>
          <w:sz w:val="20"/>
          <w:szCs w:val="20"/>
        </w:rPr>
        <w:t>) una vez vencidos los términos de las garantías de calidad, estabilidad y mantenimiento. En consecuencia, resulta irrelevante que el contrato tenga garantías diferentes a las previstas en el artículo 2.2.1.1.2.4.3 del Decreto 1082 de 2015, así las mismas se encuentren vigentes, pues, se insiste, la entidad únicamente deberá hacer el cierre del expediente cuando se vencen los términos de las garantías referidas en el mencionado artículo 2.2.1.1.2.4.3.</w:t>
      </w:r>
    </w:p>
    <w:p w14:paraId="31082E4B" w14:textId="77777777" w:rsidR="00DC1FEB" w:rsidRPr="004A23CD" w:rsidRDefault="00DC1FEB" w:rsidP="00DC1FEB">
      <w:pPr>
        <w:tabs>
          <w:tab w:val="left" w:pos="3374"/>
        </w:tabs>
        <w:spacing w:after="0" w:line="240" w:lineRule="auto"/>
        <w:rPr>
          <w:rFonts w:ascii="Verdana" w:eastAsia="Calibri" w:hAnsi="Verdana" w:cs="Arial"/>
          <w:sz w:val="20"/>
          <w:szCs w:val="20"/>
        </w:rPr>
      </w:pPr>
    </w:p>
    <w:p w14:paraId="21E4C299" w14:textId="77777777" w:rsidR="00DC1FEB" w:rsidRPr="004A23CD" w:rsidRDefault="00DC1FEB" w:rsidP="00DC1FEB">
      <w:pPr>
        <w:tabs>
          <w:tab w:val="left" w:pos="3374"/>
        </w:tabs>
        <w:spacing w:after="0" w:line="240" w:lineRule="auto"/>
        <w:jc w:val="both"/>
        <w:rPr>
          <w:rFonts w:ascii="Verdana" w:eastAsia="Calibri" w:hAnsi="Verdana" w:cs="Arial"/>
          <w:b/>
          <w:bCs/>
        </w:rPr>
      </w:pPr>
      <w:r w:rsidRPr="004A23CD">
        <w:rPr>
          <w:rFonts w:ascii="Verdana" w:eastAsia="Calibri" w:hAnsi="Verdana" w:cs="Arial"/>
          <w:b/>
          <w:bCs/>
        </w:rPr>
        <w:t>CIERRE DEL EXPEDIENTE CONTRACTUAL – Obligatoriedad – Liquidación – Garantías – Buena práctica contractual</w:t>
      </w:r>
    </w:p>
    <w:p w14:paraId="600A28C5" w14:textId="77777777" w:rsidR="00DC1FEB" w:rsidRPr="004A23CD" w:rsidRDefault="00DC1FEB" w:rsidP="00DC1FEB">
      <w:pPr>
        <w:tabs>
          <w:tab w:val="left" w:pos="3374"/>
        </w:tabs>
        <w:spacing w:after="0" w:line="240" w:lineRule="auto"/>
        <w:rPr>
          <w:rFonts w:ascii="Verdana" w:eastAsia="Calibri" w:hAnsi="Verdana" w:cs="Arial"/>
          <w:sz w:val="20"/>
          <w:szCs w:val="20"/>
        </w:rPr>
      </w:pPr>
    </w:p>
    <w:p w14:paraId="00CAE875" w14:textId="77777777" w:rsidR="00DC1FEB" w:rsidRPr="004A23CD" w:rsidRDefault="00DC1FEB" w:rsidP="00DC1FEB">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De acuerdo con el artículo 2.2.1.1.2.4.3 del Decreto 1082 de 2015, y reiterando la postura de unificación acogida por esta Agencia en el Concepto CU–028 de 2020</w:t>
      </w:r>
      <w:r w:rsidRPr="004A23CD">
        <w:rPr>
          <w:rFonts w:ascii="Verdana" w:hAnsi="Verdana" w:cs="Arial"/>
          <w:sz w:val="20"/>
          <w:szCs w:val="20"/>
        </w:rPr>
        <w:t xml:space="preserve">, </w:t>
      </w:r>
      <w:r w:rsidRPr="004A23CD">
        <w:rPr>
          <w:rFonts w:ascii="Verdana" w:eastAsia="Calibri" w:hAnsi="Verdana" w:cs="Arial"/>
          <w:sz w:val="20"/>
          <w:szCs w:val="20"/>
        </w:rPr>
        <w:t xml:space="preserve">el cierre del expediente del proceso de contratación es un acto de trámite obligatorio en los contratos estatales en los que se hayan pactado garantías de calidad, estabilidad o mantenimiento, o cuando la entidad establezca condiciones de disposición final o recuperación ambiental de las obras o bienes contratados. Una vez cumplidas tales condiciones se deberá realizar el acto de trámite correspondiente, dejando constancia del cierre del expediente contractual. </w:t>
      </w:r>
    </w:p>
    <w:p w14:paraId="034490A6" w14:textId="77777777" w:rsidR="00DC1FEB" w:rsidRPr="004A23CD" w:rsidRDefault="00DC1FEB" w:rsidP="00DC1FEB">
      <w:pPr>
        <w:tabs>
          <w:tab w:val="left" w:pos="3374"/>
        </w:tabs>
        <w:spacing w:after="0" w:line="240" w:lineRule="auto"/>
        <w:jc w:val="both"/>
        <w:rPr>
          <w:rFonts w:ascii="Verdana" w:eastAsia="Calibri" w:hAnsi="Verdana" w:cs="Arial"/>
          <w:sz w:val="20"/>
          <w:szCs w:val="20"/>
        </w:rPr>
      </w:pPr>
    </w:p>
    <w:p w14:paraId="786DCFFF" w14:textId="77777777" w:rsidR="00DC1FEB" w:rsidRPr="004A23CD" w:rsidRDefault="00DC1FEB" w:rsidP="00DC1FEB">
      <w:pPr>
        <w:tabs>
          <w:tab w:val="left" w:pos="3374"/>
        </w:tabs>
        <w:spacing w:after="0" w:line="240" w:lineRule="auto"/>
        <w:jc w:val="both"/>
        <w:rPr>
          <w:rFonts w:ascii="Verdana" w:eastAsia="Calibri" w:hAnsi="Verdana" w:cs="Arial"/>
          <w:sz w:val="20"/>
          <w:szCs w:val="20"/>
        </w:rPr>
      </w:pPr>
      <w:r w:rsidRPr="004A23CD">
        <w:rPr>
          <w:rFonts w:ascii="Verdana" w:eastAsia="Calibri" w:hAnsi="Verdana" w:cs="Arial"/>
          <w:sz w:val="20"/>
          <w:szCs w:val="20"/>
        </w:rPr>
        <w:t>Cabe resaltar que, el deber cerrar el expediente cuando vencen las garantías, procede de manera obligatoria, únicamente cuando se vencen las garantías aludidas por el artículo 2.2.1.1.2.4.3 del Decreto 1082 de 2015, esto es, las de calidad, estabilidad y mantenimiento. Sin embargo, si una vez vencidas estas siguen vigentes otras garantías como, por ejemplo, la de pago de salarios y prestaciones sociales, nada obsta para que la entidad proceda a realizar el cierre dejando constancia de este hecho, como una buena práctica contractual. Lo anterior, sin perjuicio que, como se señaló en las consideraciones, la constancia del cierre del expediente también es posible realizarla en eventos distintos a los establecidos en el artículo 2.2.1.1.2.4.3 del Decreto 1082 de 2015, pese a que no sea obligatoria.</w:t>
      </w:r>
    </w:p>
    <w:p w14:paraId="12E7D237" w14:textId="77777777" w:rsidR="00DC1FEB" w:rsidRDefault="00DC1FEB" w:rsidP="00DC1FEB">
      <w:pPr>
        <w:tabs>
          <w:tab w:val="left" w:pos="426"/>
        </w:tabs>
        <w:spacing w:after="0" w:line="240" w:lineRule="auto"/>
        <w:contextualSpacing/>
        <w:jc w:val="both"/>
        <w:rPr>
          <w:rFonts w:ascii="Verdana" w:eastAsia="Calibri" w:hAnsi="Verdana" w:cs="Arial"/>
          <w:noProof/>
          <w:sz w:val="20"/>
          <w:szCs w:val="20"/>
          <w:lang w:val="es-ES_tradnl"/>
        </w:rPr>
      </w:pPr>
      <w:r w:rsidRPr="00264984">
        <w:rPr>
          <w:rFonts w:ascii="Verdana" w:hAnsi="Verdana" w:cs="Arial"/>
          <w:bCs/>
          <w:color w:val="000000" w:themeColor="text1"/>
          <w:sz w:val="20"/>
          <w:szCs w:val="20"/>
          <w:lang w:val="es-ES"/>
        </w:rPr>
        <w:t xml:space="preserve"> </w:t>
      </w:r>
      <w:r w:rsidRPr="00FD1291">
        <w:rPr>
          <w:rFonts w:ascii="Verdana" w:hAnsi="Verdana" w:cs="Arial"/>
          <w:color w:val="000000" w:themeColor="text1"/>
          <w:sz w:val="20"/>
          <w:szCs w:val="20"/>
          <w:lang w:val="es-ES"/>
        </w:rPr>
        <w:t xml:space="preserve">  </w:t>
      </w:r>
      <w:r w:rsidRPr="00CC1214">
        <w:rPr>
          <w:rFonts w:ascii="Verdana" w:eastAsia="Calibri" w:hAnsi="Verdana" w:cs="Arial"/>
          <w:noProof/>
          <w:sz w:val="20"/>
          <w:szCs w:val="20"/>
          <w:lang w:val="es-ES_tradnl"/>
        </w:rPr>
        <w:t xml:space="preserve"> </w:t>
      </w:r>
      <w:r w:rsidRPr="009673B4">
        <w:rPr>
          <w:rFonts w:ascii="Verdana" w:eastAsia="Calibri" w:hAnsi="Verdana" w:cs="Arial"/>
          <w:noProof/>
          <w:sz w:val="20"/>
          <w:szCs w:val="20"/>
          <w:lang w:val="es-ES_tradnl"/>
        </w:rPr>
        <w:t xml:space="preserve">  </w:t>
      </w:r>
      <w:r w:rsidRPr="00782519">
        <w:rPr>
          <w:rFonts w:ascii="Verdana" w:eastAsia="Calibri" w:hAnsi="Verdana" w:cs="Arial"/>
          <w:noProof/>
          <w:sz w:val="20"/>
          <w:szCs w:val="20"/>
          <w:lang w:val="es-ES_tradnl"/>
        </w:rPr>
        <w:t xml:space="preserve"> </w:t>
      </w:r>
    </w:p>
    <w:p w14:paraId="3B70B373" w14:textId="77777777" w:rsidR="00DC1FEB" w:rsidRDefault="00DC1FEB" w:rsidP="00DC1FEB">
      <w:pPr>
        <w:tabs>
          <w:tab w:val="left" w:pos="426"/>
        </w:tabs>
        <w:spacing w:after="0" w:line="240" w:lineRule="auto"/>
        <w:contextualSpacing/>
        <w:jc w:val="both"/>
        <w:rPr>
          <w:rFonts w:ascii="Verdana" w:eastAsia="Calibri" w:hAnsi="Verdana" w:cs="Arial"/>
          <w:noProof/>
          <w:sz w:val="20"/>
          <w:szCs w:val="20"/>
          <w:lang w:val="es-ES_tradnl"/>
        </w:rPr>
      </w:pPr>
    </w:p>
    <w:p w14:paraId="3C9109FB" w14:textId="6278480B" w:rsidR="00473FDA" w:rsidRPr="00DC1FEB" w:rsidRDefault="00473FDA" w:rsidP="00DC1FEB">
      <w:pPr>
        <w:tabs>
          <w:tab w:val="left" w:pos="426"/>
        </w:tabs>
        <w:spacing w:after="0" w:line="240" w:lineRule="auto"/>
        <w:contextualSpacing/>
        <w:jc w:val="both"/>
        <w:rPr>
          <w:rFonts w:ascii="Verdana" w:eastAsia="Calibri" w:hAnsi="Verdana" w:cs="Arial"/>
          <w:noProof/>
          <w:sz w:val="20"/>
          <w:szCs w:val="20"/>
          <w:lang w:val="es-ES_tradnl"/>
        </w:rPr>
      </w:pPr>
      <w:r w:rsidRPr="00593A5F">
        <w:rPr>
          <w:rFonts w:ascii="Verdana" w:eastAsia="Geomanist Light" w:hAnsi="Verdana" w:cs="Arial"/>
          <w:color w:val="000000" w:themeColor="text1"/>
          <w:lang w:val="es-MX"/>
        </w:rPr>
        <w:lastRenderedPageBreak/>
        <w:t>Bogotá D.C., </w:t>
      </w:r>
      <w:r w:rsidR="005A6C6F" w:rsidRPr="005A6C6F">
        <w:rPr>
          <w:rFonts w:ascii="Verdana" w:eastAsia="Geomanist Light" w:hAnsi="Verdana" w:cs="Arial"/>
          <w:color w:val="000000" w:themeColor="text1"/>
          <w:lang w:val="es-MX"/>
        </w:rPr>
        <w:t>01 de Diciembre de 2025</w:t>
      </w:r>
    </w:p>
    <w:p w14:paraId="2338B98D" w14:textId="77777777" w:rsidR="00473FDA" w:rsidRDefault="00473FDA" w:rsidP="00473FDA">
      <w:pPr>
        <w:spacing w:after="0" w:line="240" w:lineRule="auto"/>
        <w:jc w:val="both"/>
        <w:rPr>
          <w:rFonts w:ascii="Verdana" w:eastAsia="Calibri" w:hAnsi="Verdana" w:cs="Arial"/>
          <w:color w:val="000000"/>
          <w:lang w:val="es-ES"/>
        </w:rPr>
      </w:pPr>
    </w:p>
    <w:p w14:paraId="3942E536" w14:textId="4FB9E5EB" w:rsidR="005A6C6F" w:rsidRDefault="005A6C6F" w:rsidP="005A6C6F">
      <w:pPr>
        <w:spacing w:after="0" w:line="240" w:lineRule="auto"/>
        <w:jc w:val="right"/>
        <w:rPr>
          <w:rFonts w:ascii="Verdana" w:eastAsia="Calibri" w:hAnsi="Verdana" w:cs="Arial"/>
          <w:color w:val="000000"/>
          <w:lang w:val="es-ES"/>
        </w:rPr>
      </w:pPr>
      <w:r w:rsidRPr="005A6C6F">
        <w:rPr>
          <w:rFonts w:ascii="Verdana" w:eastAsia="Calibri" w:hAnsi="Verdana" w:cs="Arial"/>
          <w:noProof/>
          <w:color w:val="000000"/>
          <w:lang w:val="es-ES"/>
        </w:rPr>
        <w:drawing>
          <wp:inline distT="0" distB="0" distL="0" distR="0" wp14:anchorId="29B635D9" wp14:editId="4E3C98A1">
            <wp:extent cx="3238500" cy="901700"/>
            <wp:effectExtent l="0" t="0" r="0" b="0"/>
            <wp:docPr id="5333937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393710" name=""/>
                    <pic:cNvPicPr/>
                  </pic:nvPicPr>
                  <pic:blipFill>
                    <a:blip r:embed="rId10"/>
                    <a:stretch>
                      <a:fillRect/>
                    </a:stretch>
                  </pic:blipFill>
                  <pic:spPr>
                    <a:xfrm>
                      <a:off x="0" y="0"/>
                      <a:ext cx="3238500" cy="901700"/>
                    </a:xfrm>
                    <a:prstGeom prst="rect">
                      <a:avLst/>
                    </a:prstGeom>
                  </pic:spPr>
                </pic:pic>
              </a:graphicData>
            </a:graphic>
          </wp:inline>
        </w:drawing>
      </w:r>
    </w:p>
    <w:p w14:paraId="5233281E" w14:textId="77777777" w:rsidR="00473FDA" w:rsidRPr="00593A5F" w:rsidRDefault="00473FDA" w:rsidP="00473FDA">
      <w:pPr>
        <w:spacing w:after="0" w:line="240" w:lineRule="auto"/>
        <w:jc w:val="both"/>
        <w:rPr>
          <w:rFonts w:ascii="Verdana" w:eastAsia="Calibri" w:hAnsi="Verdana" w:cs="Arial"/>
          <w:color w:val="000000"/>
          <w:lang w:val="es-ES"/>
        </w:rPr>
      </w:pPr>
    </w:p>
    <w:p w14:paraId="0F96F532" w14:textId="77777777" w:rsidR="00473FDA" w:rsidRPr="00B96799" w:rsidRDefault="00473FDA" w:rsidP="00473FD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D494107" w14:textId="77777777" w:rsidR="00473FDA" w:rsidRPr="00CE7FE5" w:rsidRDefault="00473FDA" w:rsidP="00473FDA">
      <w:pPr>
        <w:spacing w:after="0" w:line="240" w:lineRule="auto"/>
        <w:rPr>
          <w:rFonts w:ascii="Verdana" w:eastAsia="Calibri" w:hAnsi="Verdana" w:cs="Arial"/>
          <w:b/>
          <w:lang w:val="es-ES_tradnl" w:eastAsia="es-ES_tradnl"/>
        </w:rPr>
      </w:pPr>
      <w:r w:rsidRPr="00CE7FE5">
        <w:rPr>
          <w:rFonts w:ascii="Verdana" w:eastAsia="Calibri" w:hAnsi="Verdana" w:cs="Arial"/>
          <w:b/>
          <w:lang w:val="es-ES_tradnl" w:eastAsia="es-ES_tradnl"/>
        </w:rPr>
        <w:t>Elvis Arturo</w:t>
      </w:r>
      <w:r>
        <w:rPr>
          <w:rFonts w:ascii="Verdana" w:eastAsia="Calibri" w:hAnsi="Verdana" w:cs="Arial"/>
          <w:b/>
          <w:lang w:val="es-ES_tradnl" w:eastAsia="es-ES_tradnl"/>
        </w:rPr>
        <w:t xml:space="preserve"> </w:t>
      </w:r>
      <w:r w:rsidRPr="00CE7FE5">
        <w:rPr>
          <w:rFonts w:ascii="Verdana" w:eastAsia="Calibri" w:hAnsi="Verdana" w:cs="Arial"/>
          <w:b/>
          <w:lang w:val="es-ES_tradnl" w:eastAsia="es-ES_tradnl"/>
        </w:rPr>
        <w:t>Tello</w:t>
      </w:r>
    </w:p>
    <w:p w14:paraId="6E50766B" w14:textId="77777777" w:rsidR="00473FDA" w:rsidRPr="00CE7FE5" w:rsidRDefault="00473FDA" w:rsidP="00473FDA">
      <w:pPr>
        <w:spacing w:after="0" w:line="240" w:lineRule="auto"/>
        <w:rPr>
          <w:rFonts w:ascii="Verdana" w:eastAsia="Calibri" w:hAnsi="Verdana" w:cs="Arial"/>
          <w:bCs/>
          <w:lang w:val="es-ES_tradnl" w:eastAsia="es-ES_tradnl"/>
        </w:rPr>
      </w:pPr>
      <w:hyperlink r:id="rId11" w:history="1">
        <w:r w:rsidRPr="00CE7FE5">
          <w:rPr>
            <w:rStyle w:val="Hipervnculo"/>
            <w:rFonts w:ascii="Verdana" w:eastAsia="Calibri" w:hAnsi="Verdana" w:cs="Arial"/>
            <w:bCs/>
            <w:lang w:val="es-ES_tradnl" w:eastAsia="es-ES_tradnl"/>
          </w:rPr>
          <w:t>elviistello@gmail.com</w:t>
        </w:r>
      </w:hyperlink>
    </w:p>
    <w:p w14:paraId="1FDBCEA6" w14:textId="77777777" w:rsidR="00473FDA" w:rsidRDefault="00473FDA" w:rsidP="00473FDA">
      <w:pPr>
        <w:spacing w:after="0" w:line="240" w:lineRule="auto"/>
        <w:rPr>
          <w:rFonts w:ascii="Verdana" w:eastAsia="Calibri" w:hAnsi="Verdana" w:cs="Arial"/>
          <w:lang w:val="es-ES" w:eastAsia="es-ES"/>
        </w:rPr>
      </w:pPr>
      <w:r>
        <w:rPr>
          <w:rFonts w:ascii="Verdana" w:eastAsia="Geomanist Light" w:hAnsi="Verdana" w:cs="Arial"/>
          <w:color w:val="000000" w:themeColor="text1"/>
          <w:lang w:val="es-MX"/>
        </w:rPr>
        <w:t>Santiago de Cali,</w:t>
      </w:r>
      <w:r w:rsidRPr="00472E41">
        <w:rPr>
          <w:rFonts w:ascii="Verdana" w:eastAsia="Geomanist Light" w:hAnsi="Verdana" w:cs="Arial"/>
          <w:color w:val="000000" w:themeColor="text1"/>
          <w:lang w:val="es-MX"/>
        </w:rPr>
        <w:t xml:space="preserve"> </w:t>
      </w:r>
      <w:r>
        <w:rPr>
          <w:rFonts w:ascii="Verdana" w:eastAsia="Geomanist Light" w:hAnsi="Verdana" w:cs="Arial"/>
          <w:color w:val="000000" w:themeColor="text1"/>
          <w:lang w:val="es-MX"/>
        </w:rPr>
        <w:t>Valle del Cauca</w:t>
      </w:r>
      <w:r>
        <w:rPr>
          <w:rFonts w:ascii="Verdana" w:eastAsia="Calibri" w:hAnsi="Verdana" w:cs="Arial"/>
          <w:lang w:val="es-ES" w:eastAsia="es-ES"/>
        </w:rPr>
        <w:t xml:space="preserve"> </w:t>
      </w:r>
    </w:p>
    <w:p w14:paraId="4E937FCF" w14:textId="77777777" w:rsidR="00473FDA" w:rsidRPr="00593A5F" w:rsidRDefault="00473FDA" w:rsidP="00473FDA">
      <w:pPr>
        <w:spacing w:after="0" w:line="240" w:lineRule="auto"/>
        <w:rPr>
          <w:rFonts w:ascii="Verdana" w:eastAsia="Calibri" w:hAnsi="Verdana" w:cs="Arial"/>
          <w:b/>
          <w:bCs/>
          <w:color w:val="000000"/>
          <w:lang w:val="es-ES_tradnl" w:eastAsia="es-ES_tradnl"/>
        </w:rPr>
      </w:pPr>
    </w:p>
    <w:p w14:paraId="0B9B094F" w14:textId="77777777" w:rsidR="00473FDA" w:rsidRPr="00593A5F" w:rsidRDefault="00473FDA" w:rsidP="00473FD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73FDA" w:rsidRPr="00593A5F" w14:paraId="0FF47978" w14:textId="77777777" w:rsidTr="007E0511">
        <w:trPr>
          <w:trHeight w:val="884"/>
        </w:trPr>
        <w:tc>
          <w:tcPr>
            <w:tcW w:w="2689" w:type="dxa"/>
          </w:tcPr>
          <w:p w14:paraId="55C0DEC2" w14:textId="77777777" w:rsidR="00473FDA" w:rsidRPr="00C00976" w:rsidRDefault="00473FDA" w:rsidP="007E0511">
            <w:pPr>
              <w:jc w:val="both"/>
              <w:rPr>
                <w:rFonts w:ascii="Verdana" w:eastAsia="Calibri" w:hAnsi="Verdana" w:cs="Arial"/>
                <w:b/>
                <w:bCs/>
                <w:color w:val="7030A0"/>
                <w:lang w:val="es-ES_tradnl" w:eastAsia="es-ES_tradnl"/>
              </w:rPr>
            </w:pPr>
          </w:p>
        </w:tc>
        <w:tc>
          <w:tcPr>
            <w:tcW w:w="6100" w:type="dxa"/>
          </w:tcPr>
          <w:p w14:paraId="632EA81E" w14:textId="77777777" w:rsidR="00473FDA" w:rsidRPr="00C00976" w:rsidRDefault="00473FDA" w:rsidP="007E0511">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1685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473FDA" w:rsidRPr="00593A5F" w14:paraId="3338F3C5" w14:textId="77777777" w:rsidTr="007E0511">
        <w:trPr>
          <w:trHeight w:val="884"/>
        </w:trPr>
        <w:tc>
          <w:tcPr>
            <w:tcW w:w="2689" w:type="dxa"/>
          </w:tcPr>
          <w:p w14:paraId="30E499A8" w14:textId="77777777" w:rsidR="00473FDA" w:rsidRPr="00593A5F" w:rsidRDefault="00473FDA" w:rsidP="007E051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CE78A30" w14:textId="77777777" w:rsidR="00473FDA" w:rsidRPr="00A11406" w:rsidRDefault="00473FDA" w:rsidP="007E0511">
            <w:pPr>
              <w:spacing w:line="276" w:lineRule="auto"/>
              <w:jc w:val="both"/>
              <w:rPr>
                <w:rFonts w:ascii="Verdana" w:eastAsia="Calibri" w:hAnsi="Verdana" w:cs="Arial"/>
                <w:lang w:val="es-ES" w:eastAsia="es-ES"/>
              </w:rPr>
            </w:pPr>
            <w:r w:rsidRPr="00AB1FEA">
              <w:rPr>
                <w:rFonts w:ascii="Verdana" w:eastAsia="Calibri" w:hAnsi="Verdana" w:cs="Arial"/>
                <w:lang w:val="es-ES" w:eastAsia="es-ES"/>
              </w:rPr>
              <w:t>LIQUIDACIÓN DEL CONTRATO – Definición – Objetivo / LIQUIDACIÓN DEL CONTRATO – Normativa / LIQUIDACIÓN DEL CONTRATO – Tipos – Bilateral – Unilateral – Judicial</w:t>
            </w:r>
            <w:r>
              <w:rPr>
                <w:rFonts w:ascii="Verdana" w:eastAsia="Calibri" w:hAnsi="Verdana" w:cs="Arial"/>
                <w:lang w:val="es-ES" w:eastAsia="es-ES"/>
              </w:rPr>
              <w:t xml:space="preserve"> / </w:t>
            </w:r>
            <w:r w:rsidRPr="004A23CD">
              <w:rPr>
                <w:rFonts w:ascii="Verdana" w:eastAsia="Calibri" w:hAnsi="Verdana" w:cs="Arial"/>
                <w:lang w:val="es-ES" w:eastAsia="es-ES"/>
              </w:rPr>
              <w:t>EJECUCIÓN DEL CONTRATO ‒ Contrato estatal – Cierre del expediente contractual – Acto de trámite – Constancia / CIERRE DEL EXPEDIENTE CONTRACTUAL – Requisitos – Procedencia / CIERRE DEL EXPEDIENTE CONTRACTUAL – Obligatoriedad – Liquidación – Garantías – Buena práctica contractual</w:t>
            </w:r>
            <w:r w:rsidRPr="00D9782E">
              <w:rPr>
                <w:rFonts w:ascii="Verdana" w:eastAsia="Calibri" w:hAnsi="Verdana" w:cs="Arial"/>
                <w:lang w:val="es-ES" w:eastAsia="es-ES"/>
              </w:rPr>
              <w:t xml:space="preserve"> </w:t>
            </w: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9AD2A34" w14:textId="77777777" w:rsidR="00473FDA" w:rsidRPr="00593A5F" w:rsidRDefault="00473FDA" w:rsidP="007E0511">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473FDA" w:rsidRPr="008E6AD9" w14:paraId="788B5888" w14:textId="77777777" w:rsidTr="007E0511">
        <w:tc>
          <w:tcPr>
            <w:tcW w:w="2689" w:type="dxa"/>
          </w:tcPr>
          <w:p w14:paraId="2AEC8F1B" w14:textId="77777777" w:rsidR="00473FDA" w:rsidRPr="008E6AD9" w:rsidRDefault="00473FDA" w:rsidP="007E051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03ABDAC" w14:textId="77777777" w:rsidR="00473FDA" w:rsidRPr="008E6AD9" w:rsidRDefault="00473FDA" w:rsidP="007E0511">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4A1DD4">
              <w:rPr>
                <w:rFonts w:ascii="Verdana" w:eastAsia="Calibri" w:hAnsi="Verdana" w:cs="Arial"/>
                <w:lang w:val="es-ES_tradnl" w:eastAsia="es-ES_tradnl"/>
              </w:rPr>
              <w:t>1_2025_11_13_012860</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4D04C93" w14:textId="77777777" w:rsidR="00473FDA" w:rsidRPr="00593A5F" w:rsidRDefault="00473FDA" w:rsidP="00473FDA">
      <w:pPr>
        <w:spacing w:after="0" w:line="240" w:lineRule="auto"/>
        <w:jc w:val="both"/>
        <w:rPr>
          <w:rFonts w:ascii="Verdana" w:eastAsia="Calibri" w:hAnsi="Verdana" w:cs="Arial"/>
          <w:color w:val="000000"/>
          <w:lang w:val="es-ES_tradnl" w:eastAsia="es-ES_tradnl"/>
        </w:rPr>
      </w:pPr>
    </w:p>
    <w:p w14:paraId="16165DED" w14:textId="77777777" w:rsidR="00473FDA" w:rsidRPr="00593A5F" w:rsidRDefault="00473FDA" w:rsidP="00473FDA">
      <w:pPr>
        <w:spacing w:after="0" w:line="240" w:lineRule="auto"/>
        <w:jc w:val="both"/>
        <w:rPr>
          <w:rFonts w:ascii="Verdana" w:eastAsia="Calibri" w:hAnsi="Verdana" w:cs="Arial"/>
          <w:color w:val="000000"/>
          <w:lang w:val="es-ES_tradnl" w:eastAsia="es-ES_tradnl"/>
        </w:rPr>
      </w:pPr>
    </w:p>
    <w:p w14:paraId="731DFB40" w14:textId="77777777" w:rsidR="00473FDA" w:rsidRPr="008E6AD9" w:rsidRDefault="00473FDA" w:rsidP="00473FD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 Tello</w:t>
      </w:r>
      <w:r w:rsidRPr="008E6AD9">
        <w:rPr>
          <w:rFonts w:ascii="Verdana" w:eastAsia="Calibri" w:hAnsi="Verdana" w:cs="Arial"/>
          <w:lang w:val="es-ES" w:eastAsia="es-ES"/>
        </w:rPr>
        <w:t xml:space="preserve">: </w:t>
      </w:r>
    </w:p>
    <w:p w14:paraId="603CC241" w14:textId="77777777" w:rsidR="00473FDA" w:rsidRDefault="00473FDA" w:rsidP="00473FD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9989A66" w14:textId="561E4A87" w:rsidR="00473FDA" w:rsidRPr="00C438BF" w:rsidRDefault="00473FDA" w:rsidP="00C438BF">
      <w:pPr>
        <w:spacing w:after="120" w:line="276" w:lineRule="auto"/>
        <w:jc w:val="both"/>
        <w:rPr>
          <w:rFonts w:ascii="Verdana" w:eastAsia="Century Gothic" w:hAnsi="Verdana" w:cs="Century Gothic"/>
          <w:i/>
          <w:lang w:val="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lastRenderedPageBreak/>
        <w:t xml:space="preserve">consulta de </w:t>
      </w:r>
      <w:r w:rsidRPr="008E6AD9">
        <w:rPr>
          <w:rFonts w:ascii="Verdana" w:eastAsia="Calibri" w:hAnsi="Verdana" w:cs="Arial"/>
          <w:lang w:val="es-ES" w:eastAsia="es-ES"/>
        </w:rPr>
        <w:t>fecha</w:t>
      </w:r>
      <w:r>
        <w:rPr>
          <w:rFonts w:ascii="Verdana" w:eastAsia="Calibri" w:hAnsi="Verdana" w:cs="Arial"/>
          <w:lang w:val="es-ES" w:eastAsia="es-ES"/>
        </w:rPr>
        <w:t xml:space="preserve"> 13 de noviembre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solicita un:</w:t>
      </w:r>
      <w:r w:rsidRPr="008E6AD9">
        <w:rPr>
          <w:rFonts w:ascii="Verdana" w:eastAsia="Calibri" w:hAnsi="Verdana" w:cs="Arial"/>
          <w:lang w:val="es-ES" w:eastAsia="es-ES"/>
        </w:rPr>
        <w:t xml:space="preserve"> </w:t>
      </w:r>
      <w:bookmarkStart w:id="0" w:name="_Hlk95313578"/>
      <w:r w:rsidRPr="00C438BF">
        <w:rPr>
          <w:rFonts w:ascii="Verdana" w:eastAsia="Century Gothic" w:hAnsi="Verdana" w:cs="Century Gothic"/>
          <w:i/>
          <w:lang w:val="es-ES"/>
        </w:rPr>
        <w:t>“</w:t>
      </w:r>
      <w:bookmarkEnd w:id="0"/>
      <w:r w:rsidRPr="00C438BF">
        <w:rPr>
          <w:rFonts w:ascii="Verdana" w:eastAsia="Century Gothic" w:hAnsi="Verdana" w:cs="Century Gothic"/>
          <w:i/>
          <w:lang w:val="es-ES"/>
        </w:rPr>
        <w:t xml:space="preserve">[…] Concepto Jurídico de los Contratos que perdieron Competencia para Liquidar y que documento se debe realizar para el cierre del Contrato”. </w:t>
      </w:r>
    </w:p>
    <w:p w14:paraId="1E79F2E0" w14:textId="77777777" w:rsidR="00473FDA" w:rsidRPr="00A652FF" w:rsidRDefault="00473FDA" w:rsidP="00473FD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7674DB9" w14:textId="77777777" w:rsidR="00473FDA" w:rsidRDefault="00473FDA" w:rsidP="00473FD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11D7D95" w14:textId="77777777" w:rsidR="00473FDA" w:rsidRPr="00593A5F" w:rsidRDefault="00473FDA" w:rsidP="00473FDA">
      <w:pPr>
        <w:spacing w:after="0" w:line="276" w:lineRule="auto"/>
        <w:ind w:firstLine="709"/>
        <w:jc w:val="both"/>
        <w:rPr>
          <w:rFonts w:ascii="Verdana" w:eastAsia="Calibri" w:hAnsi="Verdana" w:cs="Arial"/>
          <w:color w:val="000000"/>
          <w:lang w:val="es-ES" w:eastAsia="es-ES"/>
        </w:rPr>
      </w:pPr>
    </w:p>
    <w:p w14:paraId="4367B2FE" w14:textId="77777777" w:rsidR="00473FDA" w:rsidRPr="00593A5F" w:rsidRDefault="00473FDA" w:rsidP="00473FD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C4A8965" w14:textId="77777777" w:rsidR="00473FDA" w:rsidRPr="00593A5F" w:rsidRDefault="00473FDA" w:rsidP="00473FDA">
      <w:pPr>
        <w:tabs>
          <w:tab w:val="left" w:pos="426"/>
        </w:tabs>
        <w:spacing w:after="0" w:line="276" w:lineRule="auto"/>
        <w:jc w:val="both"/>
        <w:rPr>
          <w:rFonts w:ascii="Verdana" w:eastAsia="Century Gothic" w:hAnsi="Verdana" w:cs="Century Gothic"/>
          <w:lang w:val="es-ES"/>
        </w:rPr>
      </w:pPr>
    </w:p>
    <w:p w14:paraId="5285E0B3" w14:textId="77777777" w:rsidR="00473FDA" w:rsidRPr="00593A5F" w:rsidRDefault="00473FDA" w:rsidP="00473FDA">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w:t>
      </w:r>
      <w:r>
        <w:rPr>
          <w:rFonts w:ascii="Verdana" w:eastAsia="Century Gothic" w:hAnsi="Verdana" w:cs="Century Gothic"/>
        </w:rPr>
        <w:t xml:space="preserve"> ¿el cierre del expediente del proceso de contratación está condicionado por la liquidación oportuna de los contratos estatales?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750A1A5A" w14:textId="77777777" w:rsidR="00473FDA" w:rsidRPr="004B140F" w:rsidRDefault="00473FDA" w:rsidP="00473FDA">
      <w:pPr>
        <w:spacing w:after="0" w:line="276" w:lineRule="auto"/>
        <w:jc w:val="both"/>
        <w:rPr>
          <w:rFonts w:ascii="Verdana" w:eastAsia="Calibri" w:hAnsi="Verdana" w:cs="Arial"/>
          <w:color w:val="7030A0"/>
        </w:rPr>
      </w:pPr>
    </w:p>
    <w:p w14:paraId="1FA1DB0B" w14:textId="77777777" w:rsidR="00473FDA" w:rsidRPr="00593A5F" w:rsidRDefault="00473FDA" w:rsidP="00473F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F5D0180" w14:textId="77777777" w:rsidR="00473FDA" w:rsidRPr="00593A5F" w:rsidRDefault="00473FDA" w:rsidP="00473FD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73FDA" w:rsidRPr="00593A5F" w14:paraId="662FC5BA" w14:textId="77777777">
        <w:trPr>
          <w:jc w:val="center"/>
        </w:trPr>
        <w:tc>
          <w:tcPr>
            <w:tcW w:w="8828" w:type="dxa"/>
          </w:tcPr>
          <w:p w14:paraId="4E0F506F" w14:textId="77777777" w:rsidR="00473FDA" w:rsidRPr="00460F02" w:rsidRDefault="00473FDA" w:rsidP="007E0511">
            <w:pPr>
              <w:spacing w:after="120" w:line="276" w:lineRule="auto"/>
              <w:jc w:val="both"/>
              <w:rPr>
                <w:rFonts w:ascii="Verdana" w:eastAsia="Calibri" w:hAnsi="Verdana" w:cs="Arial"/>
                <w:lang w:val="es-ES"/>
              </w:rPr>
            </w:pPr>
            <w:bookmarkStart w:id="1" w:name="_Hlk171694685"/>
            <w:r>
              <w:rPr>
                <w:rFonts w:ascii="Verdana" w:eastAsia="Calibri" w:hAnsi="Verdana" w:cs="Times New Roman"/>
                <w:iCs/>
                <w:lang w:val="es-ES"/>
              </w:rPr>
              <w:t xml:space="preserve">Conforme a la interpretación general de las normas del sistema de compras públicas, </w:t>
            </w:r>
            <w:r w:rsidRPr="00851576">
              <w:rPr>
                <w:rFonts w:ascii="Verdana" w:eastAsia="Calibri" w:hAnsi="Verdana" w:cs="Arial"/>
                <w:color w:val="000000"/>
                <w:lang w:val="es-ES" w:eastAsia="es-ES"/>
              </w:rPr>
              <w:t xml:space="preserve">dentro de los límites previstos en el </w:t>
            </w:r>
            <w:r>
              <w:rPr>
                <w:rFonts w:ascii="Verdana" w:eastAsia="Calibri" w:hAnsi="Verdana" w:cs="Arial"/>
                <w:color w:val="000000"/>
                <w:lang w:val="es-ES" w:eastAsia="es-ES"/>
              </w:rPr>
              <w:t xml:space="preserve">literal j) del </w:t>
            </w:r>
            <w:r w:rsidRPr="00851576">
              <w:rPr>
                <w:rFonts w:ascii="Verdana" w:eastAsia="Calibri" w:hAnsi="Verdana" w:cs="Arial"/>
                <w:color w:val="000000"/>
                <w:lang w:val="es-ES" w:eastAsia="es-ES"/>
              </w:rPr>
              <w:t>artículo 164</w:t>
            </w:r>
            <w:r>
              <w:rPr>
                <w:rFonts w:ascii="Verdana" w:eastAsia="Calibri" w:hAnsi="Verdana" w:cs="Arial"/>
                <w:color w:val="000000"/>
                <w:lang w:val="es-ES" w:eastAsia="es-ES"/>
              </w:rPr>
              <w:t>.2</w:t>
            </w:r>
            <w:r w:rsidRPr="00851576">
              <w:rPr>
                <w:rFonts w:ascii="Verdana" w:eastAsia="Calibri" w:hAnsi="Verdana" w:cs="Arial"/>
                <w:color w:val="000000"/>
                <w:lang w:val="es-ES" w:eastAsia="es-ES"/>
              </w:rPr>
              <w:t xml:space="preserve"> de la Ley 1437 de 2011</w:t>
            </w:r>
            <w:r>
              <w:rPr>
                <w:rFonts w:ascii="Verdana" w:eastAsia="Calibri" w:hAnsi="Verdana" w:cs="Arial"/>
                <w:color w:val="000000"/>
                <w:lang w:val="es-ES" w:eastAsia="es-ES"/>
              </w:rPr>
              <w:t xml:space="preserve">, es posible liquidar bilateral o unilateralmente siempre que no haya caducado medio de control de controversias contractuales. Lo anterior, aunque haya pasado el término previsto en los documentos del proceso o el supletivo de cuatro (4) meses –tratándose de la liquidación </w:t>
            </w:r>
            <w:r>
              <w:rPr>
                <w:rFonts w:ascii="Verdana" w:eastAsia="Calibri" w:hAnsi="Verdana" w:cs="Arial"/>
                <w:color w:val="000000"/>
                <w:lang w:val="es-ES" w:eastAsia="es-ES"/>
              </w:rPr>
              <w:lastRenderedPageBreak/>
              <w:t>bilateral–, así como el plazo de dos (2) meses –tratándose de la liquidación unilateral–. Cualquier liquidación efectuada después de la caducidad del medio de control implica la pérdida de competencia temporal, por lo que está viciada de nulidad.</w:t>
            </w:r>
          </w:p>
          <w:p w14:paraId="3C8D905C" w14:textId="77777777" w:rsidR="00473FDA" w:rsidRPr="00460F02" w:rsidRDefault="00473FDA" w:rsidP="007E0511">
            <w:pPr>
              <w:spacing w:line="276" w:lineRule="auto"/>
              <w:ind w:firstLine="708"/>
              <w:jc w:val="both"/>
              <w:rPr>
                <w:rFonts w:ascii="Verdana" w:eastAsia="Calibri" w:hAnsi="Verdana" w:cs="Arial"/>
                <w:lang w:val="es-ES"/>
              </w:rPr>
            </w:pPr>
            <w:r>
              <w:rPr>
                <w:rFonts w:ascii="Verdana" w:eastAsia="Calibri" w:hAnsi="Verdana" w:cs="Arial"/>
                <w:lang w:val="es-ES"/>
              </w:rPr>
              <w:t xml:space="preserve">En todo caso, de conformidad con el artículo </w:t>
            </w:r>
            <w:r w:rsidRPr="004A403F">
              <w:rPr>
                <w:rFonts w:ascii="Verdana" w:eastAsia="Calibri" w:hAnsi="Verdana" w:cs="Arial"/>
                <w:lang w:val="es-ES"/>
              </w:rPr>
              <w:t>2.2.1.1.2.4.3</w:t>
            </w:r>
            <w:r>
              <w:rPr>
                <w:rFonts w:ascii="Verdana" w:eastAsia="Calibri" w:hAnsi="Verdana" w:cs="Arial"/>
                <w:lang w:val="es-ES"/>
              </w:rPr>
              <w:t xml:space="preserve"> del Decreto 1082 de 2015, </w:t>
            </w:r>
            <w:r w:rsidRPr="009A60F7">
              <w:rPr>
                <w:rFonts w:ascii="Verdana" w:hAnsi="Verdana" w:cs="Arial"/>
              </w:rPr>
              <w:t>el cierre del expediente del proceso de contratación es obligatorio cuando el contrato estatal exige las garantías de calidad, estabilidad o mantenimiento, o cuando la entidad establezca condiciones de disposición final o recuperación ambiental de las obras o bienes contratados. Una vez cumplidas tales condiciones surge el deber de dejar constancia del correspondiente acto de cierre del expediente contractual, ya sea que el contrato se hubiere liquidado o no.</w:t>
            </w:r>
          </w:p>
          <w:p w14:paraId="1DE7F1B1" w14:textId="77777777" w:rsidR="00473FDA" w:rsidRPr="001A09C8" w:rsidRDefault="00473FDA" w:rsidP="007E0511">
            <w:pPr>
              <w:spacing w:before="120"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p>
        </w:tc>
      </w:tr>
    </w:tbl>
    <w:p w14:paraId="51C153C6" w14:textId="77777777" w:rsidR="00473FDA" w:rsidRPr="00593A5F" w:rsidRDefault="00473FDA" w:rsidP="00473FDA">
      <w:pPr>
        <w:tabs>
          <w:tab w:val="left" w:pos="142"/>
          <w:tab w:val="left" w:pos="284"/>
        </w:tabs>
        <w:spacing w:after="0" w:line="276" w:lineRule="auto"/>
        <w:jc w:val="both"/>
        <w:rPr>
          <w:rFonts w:ascii="Verdana" w:eastAsia="Century Gothic" w:hAnsi="Verdana" w:cs="Century Gothic"/>
          <w:b/>
          <w:bCs/>
          <w:lang w:val="es-ES"/>
        </w:rPr>
      </w:pPr>
    </w:p>
    <w:bookmarkEnd w:id="1"/>
    <w:p w14:paraId="00B7BFA8" w14:textId="77777777" w:rsidR="00473FDA" w:rsidRPr="00593A5F" w:rsidRDefault="00473FDA" w:rsidP="00473F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44032A6" w14:textId="77777777" w:rsidR="00473FDA" w:rsidRPr="00593A5F" w:rsidRDefault="00473FDA" w:rsidP="00473FDA">
      <w:pPr>
        <w:spacing w:after="0" w:line="276" w:lineRule="auto"/>
        <w:jc w:val="both"/>
        <w:rPr>
          <w:rFonts w:ascii="Verdana" w:eastAsia="Calibri" w:hAnsi="Verdana" w:cs="Arial"/>
          <w:color w:val="7030A0"/>
          <w:lang w:val="es-ES"/>
        </w:rPr>
      </w:pPr>
    </w:p>
    <w:p w14:paraId="4DE3E0FF" w14:textId="77777777" w:rsidR="00473FDA" w:rsidRDefault="00473FDA" w:rsidP="00473FD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A3B820C" w14:textId="77777777" w:rsidR="00473FDA" w:rsidRPr="00415608" w:rsidRDefault="00473FDA" w:rsidP="00473FDA">
      <w:pPr>
        <w:spacing w:after="0" w:line="276" w:lineRule="auto"/>
        <w:jc w:val="both"/>
        <w:rPr>
          <w:rFonts w:ascii="Verdana" w:eastAsia="Calibri" w:hAnsi="Verdana" w:cs="Arial"/>
          <w:lang w:val="es-ES"/>
        </w:rPr>
      </w:pPr>
    </w:p>
    <w:p w14:paraId="17F8DBB5" w14:textId="77777777" w:rsidR="00473FDA" w:rsidRPr="00FB5FC4" w:rsidRDefault="00473FDA" w:rsidP="00473FDA">
      <w:pPr>
        <w:spacing w:after="0" w:line="276" w:lineRule="auto"/>
        <w:jc w:val="both"/>
        <w:rPr>
          <w:rFonts w:ascii="Verdana" w:eastAsia="Calibri" w:hAnsi="Verdana" w:cs="Arial"/>
          <w:color w:val="000000"/>
          <w:lang w:val="es-ES_tradnl"/>
        </w:rPr>
      </w:pPr>
      <w:r>
        <w:rPr>
          <w:rFonts w:ascii="Verdana" w:eastAsia="Calibri" w:hAnsi="Verdana" w:cs="Arial"/>
          <w:color w:val="000000"/>
          <w:lang w:val="es-ES_tradnl"/>
        </w:rPr>
        <w:t xml:space="preserve">i. </w:t>
      </w:r>
      <w:r w:rsidRPr="00FB5FC4">
        <w:rPr>
          <w:rFonts w:ascii="Verdana" w:eastAsia="Calibri" w:hAnsi="Verdana" w:cs="Arial"/>
          <w:color w:val="000000"/>
          <w:lang w:val="es-ES_tradnl"/>
        </w:rPr>
        <w:t>La liquidación es el momento en el cual, una vez concluido el contrato estatal, las partes cruzan cuentas respecto de sus obligaciones</w:t>
      </w:r>
      <w:r>
        <w:rPr>
          <w:rFonts w:ascii="Verdana" w:eastAsia="Calibri" w:hAnsi="Verdana" w:cs="Arial"/>
          <w:color w:val="000000"/>
          <w:lang w:val="es-ES_tradnl"/>
        </w:rPr>
        <w:t>.</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P</w:t>
      </w:r>
      <w:r w:rsidRPr="00FB5FC4">
        <w:rPr>
          <w:rFonts w:ascii="Verdana" w:eastAsia="Calibri" w:hAnsi="Verdana" w:cs="Arial"/>
          <w:color w:val="000000"/>
          <w:lang w:val="es-ES_tradnl"/>
        </w:rPr>
        <w:t xml:space="preserve">or tanto, su objetivo es determinar si pueden declararse a paz y salvo mutuo o si, por el contrario, existen aún obligaciones por cumplir, para acordar la forma en que deben ser </w:t>
      </w:r>
      <w:r>
        <w:rPr>
          <w:rFonts w:ascii="Verdana" w:eastAsia="Calibri" w:hAnsi="Verdana" w:cs="Arial"/>
          <w:color w:val="000000"/>
          <w:lang w:val="es-ES_tradnl"/>
        </w:rPr>
        <w:t>finalizadas</w:t>
      </w:r>
      <w:r w:rsidRPr="00FB5FC4">
        <w:rPr>
          <w:rFonts w:ascii="Verdana" w:eastAsia="Calibri" w:hAnsi="Verdana" w:cs="Arial"/>
          <w:color w:val="000000"/>
          <w:vertAlign w:val="superscript"/>
          <w:lang w:val="es-ES_tradnl"/>
        </w:rPr>
        <w:footnoteReference w:id="2"/>
      </w:r>
      <w:r w:rsidRPr="00FB5FC4">
        <w:rPr>
          <w:rFonts w:ascii="Verdana" w:eastAsia="Calibri" w:hAnsi="Verdana" w:cs="Arial"/>
          <w:color w:val="000000"/>
          <w:lang w:val="es-ES_tradnl"/>
        </w:rPr>
        <w:t>. En armonía con lo anterior, la doctrina ha definido la liquidación de la siguiente manera:</w:t>
      </w:r>
    </w:p>
    <w:p w14:paraId="41115DF6" w14:textId="77777777" w:rsidR="00473FDA" w:rsidRPr="00FB5FC4" w:rsidRDefault="00473FDA" w:rsidP="00473FDA">
      <w:pPr>
        <w:spacing w:after="0" w:line="276" w:lineRule="auto"/>
        <w:jc w:val="both"/>
        <w:rPr>
          <w:rFonts w:ascii="Verdana" w:eastAsia="Calibri" w:hAnsi="Verdana" w:cs="Arial"/>
          <w:color w:val="000000"/>
          <w:lang w:val="es-ES_tradnl"/>
        </w:rPr>
      </w:pPr>
    </w:p>
    <w:p w14:paraId="524E6A7A" w14:textId="77777777" w:rsidR="00473FDA" w:rsidRPr="00A71E32" w:rsidRDefault="00473FDA" w:rsidP="00473FDA">
      <w:pPr>
        <w:spacing w:after="0" w:line="240" w:lineRule="auto"/>
        <w:ind w:left="709" w:right="758"/>
        <w:jc w:val="both"/>
        <w:rPr>
          <w:rFonts w:ascii="Verdana" w:eastAsia="Calibri" w:hAnsi="Verdana" w:cs="Arial"/>
          <w:sz w:val="20"/>
          <w:szCs w:val="20"/>
          <w:lang w:val="es-MX"/>
        </w:rPr>
      </w:pPr>
      <w:r w:rsidRPr="00A71E32">
        <w:rPr>
          <w:rFonts w:ascii="Verdana" w:eastAsia="Calibri" w:hAnsi="Verdana" w:cs="Arial"/>
          <w:i/>
          <w:iCs/>
          <w:color w:val="000000"/>
          <w:sz w:val="20"/>
          <w:szCs w:val="20"/>
          <w:lang w:val="es-ES_tradnl"/>
        </w:rPr>
        <w:t>“</w:t>
      </w:r>
      <w:r w:rsidRPr="00A71E32">
        <w:rPr>
          <w:rFonts w:ascii="Verdana" w:eastAsia="Calibri" w:hAnsi="Verdana" w:cs="Arial"/>
          <w:sz w:val="20"/>
          <w:szCs w:val="20"/>
          <w:lang w:val="es-MX"/>
        </w:rPr>
        <w:t>[…]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A71E32">
        <w:rPr>
          <w:rFonts w:ascii="Verdana" w:eastAsia="Calibri" w:hAnsi="Verdana" w:cs="Arial"/>
          <w:sz w:val="20"/>
          <w:szCs w:val="20"/>
          <w:vertAlign w:val="superscript"/>
          <w:lang w:val="es-MX"/>
        </w:rPr>
        <w:footnoteReference w:id="3"/>
      </w:r>
      <w:r w:rsidRPr="00A71E32">
        <w:rPr>
          <w:rFonts w:ascii="Verdana" w:eastAsia="Calibri" w:hAnsi="Verdana" w:cs="Arial"/>
          <w:sz w:val="20"/>
          <w:szCs w:val="20"/>
          <w:lang w:val="es-MX"/>
        </w:rPr>
        <w:t>.</w:t>
      </w:r>
    </w:p>
    <w:p w14:paraId="2557A86F" w14:textId="77777777" w:rsidR="00473FDA" w:rsidRPr="00FB5FC4" w:rsidRDefault="00473FDA" w:rsidP="00473FDA">
      <w:pPr>
        <w:spacing w:after="0" w:line="276" w:lineRule="auto"/>
        <w:jc w:val="both"/>
        <w:rPr>
          <w:rFonts w:ascii="Verdana" w:eastAsia="Calibri" w:hAnsi="Verdana" w:cs="Arial"/>
          <w:color w:val="000000"/>
          <w:lang w:val="es-ES_tradnl"/>
        </w:rPr>
      </w:pPr>
    </w:p>
    <w:p w14:paraId="2EE56332" w14:textId="77777777" w:rsidR="00473FDA" w:rsidRPr="00FB5FC4" w:rsidRDefault="00473FDA" w:rsidP="00473FDA">
      <w:pPr>
        <w:spacing w:after="120" w:line="276" w:lineRule="auto"/>
        <w:ind w:firstLine="709"/>
        <w:jc w:val="both"/>
        <w:rPr>
          <w:rFonts w:ascii="Verdana" w:eastAsia="Times New Roman" w:hAnsi="Verdana" w:cs="Arial"/>
          <w:color w:val="000000"/>
          <w:sz w:val="21"/>
          <w:szCs w:val="21"/>
          <w:lang w:val="es-ES_tradnl" w:eastAsia="es-ES_tradnl"/>
        </w:rPr>
      </w:pP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egún la jurisprudencia, la liquidación es el ajuste de cuentas donde las partes hacen un balance económico, técnico y jurídico del cumplimiento de las obligaciones que tienen a su cargo. Así lo manifestó el Consejo de Estado en la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entencia del 20 de octubre de 2014, en la que consideró, por un lado, que </w:t>
      </w:r>
      <w:r w:rsidRPr="00FB5FC4">
        <w:rPr>
          <w:rFonts w:ascii="Verdana" w:eastAsia="Times New Roman" w:hAnsi="Verdana" w:cs="Arial"/>
          <w:i/>
          <w:iCs/>
          <w:color w:val="000000"/>
          <w:szCs w:val="24"/>
          <w:lang w:val="es-ES_tradnl" w:eastAsia="es-ES_tradnl"/>
        </w:rPr>
        <w:t>liquidar</w:t>
      </w:r>
      <w:r w:rsidRPr="00FB5FC4">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FB5FC4">
        <w:rPr>
          <w:rFonts w:ascii="Verdana" w:eastAsia="Times New Roman" w:hAnsi="Verdana" w:cs="Arial"/>
          <w:i/>
          <w:iCs/>
          <w:color w:val="000000"/>
          <w:szCs w:val="24"/>
          <w:lang w:val="es-ES_tradnl" w:eastAsia="es-ES_tradnl"/>
        </w:rPr>
        <w:t>liquidación</w:t>
      </w:r>
      <w:r w:rsidRPr="00FB5FC4">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FB5FC4">
        <w:rPr>
          <w:rFonts w:ascii="Verdana" w:eastAsia="Times New Roman" w:hAnsi="Verdana" w:cs="Arial"/>
          <w:color w:val="000000"/>
          <w:szCs w:val="24"/>
          <w:vertAlign w:val="superscript"/>
          <w:lang w:val="es-ES_tradnl" w:eastAsia="es-ES_tradnl"/>
        </w:rPr>
        <w:footnoteReference w:id="4"/>
      </w:r>
      <w:r w:rsidRPr="00FB5FC4">
        <w:rPr>
          <w:rFonts w:ascii="Verdana" w:eastAsia="Times New Roman" w:hAnsi="Verdana" w:cs="Arial"/>
          <w:color w:val="000000"/>
          <w:szCs w:val="24"/>
          <w:lang w:val="es-ES_tradnl" w:eastAsia="es-ES_tradnl"/>
        </w:rPr>
        <w:t xml:space="preserve">. </w:t>
      </w:r>
    </w:p>
    <w:p w14:paraId="311B49D6" w14:textId="77777777" w:rsidR="00473FDA" w:rsidRPr="00FB5FC4" w:rsidRDefault="00473FDA" w:rsidP="00473FDA">
      <w:pPr>
        <w:spacing w:after="0" w:line="276" w:lineRule="auto"/>
        <w:ind w:firstLine="709"/>
        <w:jc w:val="both"/>
        <w:rPr>
          <w:rFonts w:ascii="Verdana" w:eastAsia="Calibri" w:hAnsi="Verdana" w:cs="Arial"/>
          <w:color w:val="000000"/>
          <w:lang w:val="es-ES_tradnl"/>
        </w:rPr>
      </w:pPr>
      <w:r w:rsidRPr="00570C1A">
        <w:rPr>
          <w:rFonts w:ascii="Verdana" w:eastAsia="Calibri" w:hAnsi="Verdana" w:cs="Arial"/>
          <w:i/>
          <w:iCs/>
          <w:color w:val="000000"/>
          <w:lang w:val="es-ES_tradnl"/>
        </w:rPr>
        <w:lastRenderedPageBreak/>
        <w:t>Para las entidades sometidas al EGCAP</w:t>
      </w:r>
      <w:r>
        <w:rPr>
          <w:rFonts w:ascii="Verdana" w:eastAsia="Calibri" w:hAnsi="Verdana" w:cs="Arial"/>
          <w:color w:val="000000"/>
          <w:lang w:val="es-ES_tradnl"/>
        </w:rPr>
        <w:t>, l</w:t>
      </w:r>
      <w:r w:rsidRPr="00FB5FC4">
        <w:rPr>
          <w:rFonts w:ascii="Verdana" w:eastAsia="Calibri" w:hAnsi="Verdana" w:cs="Arial"/>
          <w:color w:val="000000"/>
          <w:lang w:val="es-ES_tradnl"/>
        </w:rPr>
        <w:t xml:space="preserve">as disposiciones legales que regulan la etapa de liquidación de los contratos estatales son el artículo 60 de la Ley 80 de 1993, modificado por el artículo 217 del Decreto </w:t>
      </w:r>
      <w:r>
        <w:rPr>
          <w:rFonts w:ascii="Verdana" w:eastAsia="Calibri" w:hAnsi="Verdana" w:cs="Arial"/>
          <w:color w:val="000000"/>
          <w:lang w:val="es-ES_tradnl"/>
        </w:rPr>
        <w:t xml:space="preserve">Ley </w:t>
      </w:r>
      <w:r w:rsidRPr="00FB5FC4">
        <w:rPr>
          <w:rFonts w:ascii="Verdana" w:eastAsia="Calibri" w:hAnsi="Verdana" w:cs="Arial"/>
          <w:color w:val="000000"/>
          <w:lang w:val="es-ES_tradnl"/>
        </w:rPr>
        <w:t>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7EEC53F5" w14:textId="77777777" w:rsidR="00473FDA" w:rsidRPr="00D71733" w:rsidRDefault="00473FDA" w:rsidP="00473FDA">
      <w:pPr>
        <w:spacing w:after="0" w:line="276" w:lineRule="auto"/>
        <w:ind w:firstLine="708"/>
        <w:jc w:val="both"/>
        <w:rPr>
          <w:rFonts w:ascii="Verdana" w:eastAsia="Calibri" w:hAnsi="Verdana" w:cs="Arial"/>
          <w:lang w:val="es-ES"/>
        </w:rPr>
      </w:pPr>
    </w:p>
    <w:p w14:paraId="4B5DC734" w14:textId="77777777" w:rsidR="00473FDA" w:rsidRPr="00A71E32" w:rsidRDefault="00473FDA" w:rsidP="00473FDA">
      <w:pPr>
        <w:spacing w:after="0" w:line="240" w:lineRule="auto"/>
        <w:ind w:left="709" w:right="758"/>
        <w:jc w:val="both"/>
        <w:rPr>
          <w:rFonts w:ascii="Verdana" w:eastAsia="Calibri" w:hAnsi="Verdana" w:cs="Arial"/>
          <w:sz w:val="20"/>
          <w:szCs w:val="20"/>
          <w:lang w:val="es-MX"/>
        </w:rPr>
      </w:pPr>
      <w:r w:rsidRPr="00A71E32">
        <w:rPr>
          <w:rFonts w:ascii="Verdana" w:eastAsia="Calibri" w:hAnsi="Verdana" w:cs="Arial"/>
          <w:sz w:val="20"/>
          <w:szCs w:val="20"/>
          <w:lang w:val="es-ES"/>
        </w:rPr>
        <w:t>“</w:t>
      </w:r>
      <w:r w:rsidRPr="00A71E32">
        <w:rPr>
          <w:rFonts w:ascii="Verdana" w:eastAsia="Calibri" w:hAnsi="Verdana" w:cs="Arial"/>
          <w:sz w:val="20"/>
          <w:szCs w:val="20"/>
          <w:lang w:val="es-MX"/>
        </w:rPr>
        <w:t xml:space="preserve">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w:t>
      </w:r>
      <w:r>
        <w:rPr>
          <w:rFonts w:ascii="Verdana" w:eastAsia="Calibri" w:hAnsi="Verdana" w:cs="Arial"/>
          <w:sz w:val="20"/>
          <w:szCs w:val="20"/>
          <w:lang w:val="es-MX"/>
        </w:rPr>
        <w:t>‘</w:t>
      </w:r>
      <w:r w:rsidRPr="00A71E32">
        <w:rPr>
          <w:rFonts w:ascii="Verdana" w:eastAsia="Calibri" w:hAnsi="Verdana" w:cs="Arial"/>
          <w:sz w:val="20"/>
          <w:szCs w:val="20"/>
          <w:lang w:val="es-MX"/>
        </w:rPr>
        <w:t>los acuerdos, conciliaciones y transacciones a que llegaren las partes para poner fin a las divergencias presentadas y poder declararse a paz y salvo</w:t>
      </w:r>
      <w:r>
        <w:rPr>
          <w:rFonts w:ascii="Verdana" w:eastAsia="Calibri" w:hAnsi="Verdana" w:cs="Arial"/>
          <w:sz w:val="20"/>
          <w:szCs w:val="20"/>
          <w:lang w:val="es-MX"/>
        </w:rPr>
        <w:t>’</w:t>
      </w:r>
      <w:r w:rsidRPr="00A71E32">
        <w:rPr>
          <w:rFonts w:ascii="Verdana" w:eastAsia="Calibri" w:hAnsi="Verdana" w:cs="Arial"/>
          <w:sz w:val="20"/>
          <w:szCs w:val="20"/>
          <w:lang w:val="es-MX"/>
        </w:rPr>
        <w:t>”</w:t>
      </w:r>
      <w:r w:rsidRPr="00A71E32">
        <w:rPr>
          <w:rFonts w:ascii="Verdana" w:eastAsia="Calibri" w:hAnsi="Verdana" w:cs="Arial"/>
          <w:sz w:val="20"/>
          <w:szCs w:val="20"/>
          <w:vertAlign w:val="superscript"/>
          <w:lang w:val="es-MX"/>
        </w:rPr>
        <w:footnoteReference w:id="5"/>
      </w:r>
      <w:r w:rsidRPr="00A71E32">
        <w:rPr>
          <w:rFonts w:ascii="Verdana" w:eastAsia="Calibri" w:hAnsi="Verdana" w:cs="Arial"/>
          <w:sz w:val="20"/>
          <w:szCs w:val="20"/>
          <w:lang w:val="es-MX"/>
        </w:rPr>
        <w:t>.</w:t>
      </w:r>
    </w:p>
    <w:p w14:paraId="67AFF0A0" w14:textId="77777777" w:rsidR="00473FDA" w:rsidRPr="00D71733" w:rsidRDefault="00473FDA" w:rsidP="00473FDA">
      <w:pPr>
        <w:spacing w:after="0" w:line="276" w:lineRule="auto"/>
        <w:ind w:left="709" w:right="758"/>
        <w:jc w:val="both"/>
        <w:rPr>
          <w:rFonts w:ascii="Verdana" w:eastAsia="Calibri" w:hAnsi="Verdana" w:cs="Arial"/>
          <w:lang w:val="es-ES"/>
        </w:rPr>
      </w:pPr>
    </w:p>
    <w:p w14:paraId="63AF290D" w14:textId="77777777" w:rsidR="00473FDA" w:rsidRPr="00FB5FC4" w:rsidRDefault="00473FDA" w:rsidP="00473FDA">
      <w:pPr>
        <w:spacing w:after="120" w:line="276" w:lineRule="auto"/>
        <w:ind w:firstLine="708"/>
        <w:jc w:val="both"/>
        <w:rPr>
          <w:rFonts w:ascii="Verdana" w:eastAsia="Calibri" w:hAnsi="Verdana" w:cs="Arial"/>
          <w:color w:val="000000"/>
          <w:lang w:val="es-ES_tradnl"/>
        </w:rPr>
      </w:pPr>
      <w:r w:rsidRPr="00FB5FC4">
        <w:rPr>
          <w:rFonts w:ascii="Verdana" w:eastAsia="Calibri" w:hAnsi="Verdana" w:cs="Arial"/>
          <w:color w:val="000000"/>
          <w:lang w:val="es-ES_tradnl"/>
        </w:rPr>
        <w:t>Así las cosas, de acuerdo con el artículo 60 de la Ley 80 de 1993, los contratos de tracto sucesivo, aquellos cuyo cumplimiento o ejecución se prolongue en el tiempo y los demás que lo requieran “</w:t>
      </w:r>
      <w:r w:rsidRPr="00D71733">
        <w:rPr>
          <w:rFonts w:ascii="Verdana" w:eastAsia="Calibri" w:hAnsi="Verdana" w:cs="Arial"/>
          <w:color w:val="000000"/>
          <w:lang w:val="es-ES_tradnl"/>
        </w:rPr>
        <w:t>serán objeto de liquidación</w:t>
      </w:r>
      <w:r w:rsidRPr="00FB5FC4">
        <w:rPr>
          <w:rFonts w:ascii="Verdana" w:eastAsia="Calibri" w:hAnsi="Verdana" w:cs="Arial"/>
          <w:color w:val="000000"/>
          <w:lang w:val="es-ES_tradnl"/>
        </w:rPr>
        <w:t>”.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FB5FC4">
        <w:rPr>
          <w:rFonts w:ascii="Verdana" w:eastAsia="Calibri" w:hAnsi="Verdana" w:cs="Arial"/>
          <w:color w:val="000000"/>
          <w:vertAlign w:val="superscript"/>
          <w:lang w:val="es-ES_tradnl"/>
        </w:rPr>
        <w:footnoteReference w:id="6"/>
      </w:r>
      <w:r w:rsidRPr="00FB5FC4">
        <w:rPr>
          <w:rFonts w:ascii="Verdana" w:eastAsia="Calibri" w:hAnsi="Verdana" w:cs="Arial"/>
          <w:color w:val="000000"/>
          <w:lang w:val="es-ES_tradnl"/>
        </w:rPr>
        <w:t xml:space="preserve">, así como la probabilidad de que puedan surgir diferencias durante la ejecución del contrato; sin perjuicio de que, como se indicó, todos los contratos estatales de </w:t>
      </w:r>
      <w:r w:rsidRPr="00FB5FC4">
        <w:rPr>
          <w:rFonts w:ascii="Verdana" w:eastAsia="Calibri" w:hAnsi="Verdana" w:cs="Arial"/>
          <w:i/>
          <w:iCs/>
          <w:color w:val="000000"/>
          <w:lang w:val="es-ES_tradnl"/>
        </w:rPr>
        <w:t>tracto sucesivo</w:t>
      </w:r>
      <w:r w:rsidRPr="00FB5FC4">
        <w:rPr>
          <w:rFonts w:ascii="Verdana" w:eastAsia="Calibri" w:hAnsi="Verdana" w:cs="Arial"/>
          <w:color w:val="000000"/>
          <w:lang w:val="es-ES_tradnl"/>
        </w:rPr>
        <w:t xml:space="preserve"> o aquellos cuya ejecución se prolongue en el tiempo siempre deban liquidarse, convirtiéndose </w:t>
      </w:r>
      <w:r w:rsidRPr="00FB5FC4">
        <w:rPr>
          <w:rFonts w:ascii="Verdana" w:eastAsia="Calibri" w:hAnsi="Verdana" w:cs="Arial"/>
          <w:color w:val="000000"/>
          <w:lang w:val="es-ES_tradnl"/>
        </w:rPr>
        <w:lastRenderedPageBreak/>
        <w:t>en estos contratos en una cláusula de la naturaleza, conforme a la clasificación prevista en el Código Civil.</w:t>
      </w:r>
    </w:p>
    <w:p w14:paraId="51C6CC63" w14:textId="77777777" w:rsidR="00473FDA" w:rsidRPr="00FB5FC4" w:rsidRDefault="00473FDA" w:rsidP="00473FDA">
      <w:pPr>
        <w:spacing w:after="120" w:line="276" w:lineRule="auto"/>
        <w:ind w:firstLine="708"/>
        <w:jc w:val="both"/>
        <w:rPr>
          <w:rFonts w:ascii="Verdana" w:eastAsia="Calibri" w:hAnsi="Verdana" w:cs="Arial"/>
          <w:color w:val="000000"/>
          <w:lang w:val="es-ES"/>
        </w:rPr>
      </w:pPr>
      <w:r w:rsidRPr="3840FB1E">
        <w:rPr>
          <w:rFonts w:ascii="Verdana" w:eastAsia="Calibri" w:hAnsi="Verdana" w:cs="Arial"/>
          <w:color w:val="000000"/>
          <w:lang w:val="es-ES"/>
        </w:rPr>
        <w:t>Por su parte, el artículo 11 de la Ley 1150 de 2007 contiene las reglas de tipo procedimental para liquidar los contratos estatales, las cuales se pasan a explicar</w:t>
      </w:r>
      <w:r w:rsidRPr="3840FB1E">
        <w:rPr>
          <w:rFonts w:ascii="Verdana" w:eastAsia="Calibri" w:hAnsi="Verdana" w:cs="Arial"/>
          <w:color w:val="000000"/>
          <w:vertAlign w:val="superscript"/>
          <w:lang w:val="es-ES"/>
        </w:rPr>
        <w:footnoteReference w:id="7"/>
      </w:r>
      <w:r w:rsidRPr="3840FB1E">
        <w:rPr>
          <w:rFonts w:ascii="Verdana" w:eastAsia="Calibri" w:hAnsi="Verdana" w:cs="Arial"/>
          <w:color w:val="000000"/>
          <w:lang w:val="es-ES"/>
        </w:rPr>
        <w:t xml:space="preserve">.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3840FB1E">
        <w:rPr>
          <w:rFonts w:ascii="Verdana" w:eastAsia="Calibri" w:hAnsi="Verdana" w:cs="Arial"/>
          <w:color w:val="000000"/>
          <w:lang w:val="es-ES"/>
        </w:rPr>
        <w:t>ii</w:t>
      </w:r>
      <w:proofErr w:type="spellEnd"/>
      <w:r w:rsidRPr="3840FB1E">
        <w:rPr>
          <w:rFonts w:ascii="Verdana" w:eastAsia="Calibri" w:hAnsi="Verdana" w:cs="Arial"/>
          <w:color w:val="000000"/>
          <w:lang w:val="es-ES"/>
        </w:rPr>
        <w:t xml:space="preserve">) la expedición del acto administrativo que ordene la terminación del contrato; o, </w:t>
      </w:r>
      <w:proofErr w:type="spellStart"/>
      <w:r w:rsidRPr="3840FB1E">
        <w:rPr>
          <w:rFonts w:ascii="Verdana" w:eastAsia="Calibri" w:hAnsi="Verdana" w:cs="Arial"/>
          <w:color w:val="000000"/>
          <w:lang w:val="es-ES"/>
        </w:rPr>
        <w:t>iii</w:t>
      </w:r>
      <w:proofErr w:type="spellEnd"/>
      <w:r w:rsidRPr="3840FB1E">
        <w:rPr>
          <w:rFonts w:ascii="Verdana" w:eastAsia="Calibri" w:hAnsi="Verdana" w:cs="Arial"/>
          <w:color w:val="000000"/>
          <w:lang w:val="es-ES"/>
        </w:rPr>
        <w:t>) la fecha del acuerdo que disponga la terminación del contrato.</w:t>
      </w:r>
    </w:p>
    <w:p w14:paraId="529BC4AF" w14:textId="77777777" w:rsidR="00473FDA" w:rsidRPr="004B5D6E" w:rsidRDefault="00473FDA" w:rsidP="00473FDA">
      <w:pPr>
        <w:spacing w:after="120" w:line="276" w:lineRule="auto"/>
        <w:ind w:firstLine="709"/>
        <w:jc w:val="both"/>
        <w:rPr>
          <w:rFonts w:ascii="Verdana" w:eastAsia="Times New Roman" w:hAnsi="Verdana" w:cs="Arial"/>
          <w:lang w:val="es-ES_tradnl" w:eastAsia="es-ES_tradnl"/>
        </w:rPr>
      </w:pPr>
      <w:r w:rsidRPr="00FB5FC4">
        <w:rPr>
          <w:rFonts w:ascii="Verdana" w:eastAsia="Times New Roman" w:hAnsi="Verdana" w:cs="Arial"/>
          <w:szCs w:val="24"/>
          <w:lang w:val="es-ES_tradnl" w:eastAsia="es-ES_tradnl"/>
        </w:rPr>
        <w:t xml:space="preserve">El </w:t>
      </w:r>
      <w:r w:rsidRPr="004B5D6E">
        <w:rPr>
          <w:rFonts w:ascii="Verdana" w:eastAsia="Times New Roman" w:hAnsi="Verdana" w:cs="Arial"/>
          <w:szCs w:val="24"/>
          <w:lang w:val="es-ES_tradnl" w:eastAsia="es-ES_tradnl"/>
        </w:rPr>
        <w:t>artículo 11 de la Ley 1150 de 2007 señala que la liquidación de mutuo acuerdo deberá realizar dentro del plazo previsto en “</w:t>
      </w:r>
      <w:r w:rsidRPr="004B5D6E">
        <w:rPr>
          <w:rFonts w:ascii="Verdana" w:eastAsia="Times New Roman" w:hAnsi="Verdana" w:cs="Arial"/>
          <w:lang w:val="es-ES_tradnl" w:eastAsia="es-ES_tradnl"/>
        </w:rPr>
        <w:t>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w:t>
      </w:r>
      <w:r w:rsidRPr="004B5D6E">
        <w:rPr>
          <w:rFonts w:ascii="Verdana" w:eastAsia="Times New Roman" w:hAnsi="Verdana" w:cs="Arial"/>
          <w:szCs w:val="24"/>
          <w:lang w:val="es-ES_tradnl" w:eastAsia="es-ES_tradnl"/>
        </w:rPr>
        <w:t>materializa los principios de planeación contractual y de trasparencia, comoquiera que su adecuada formulación permite o garantiza la selección objetiva del contratista de acuerdo con los parámetros de calificación correspondientes para cada tipo de procedimiento [y que</w:t>
      </w:r>
      <w:r w:rsidRPr="004B5D6E">
        <w:rPr>
          <w:rFonts w:ascii="Verdana" w:eastAsia="Times New Roman" w:hAnsi="Verdana" w:cs="Arial"/>
          <w:lang w:val="es-ES_tradnl" w:eastAsia="es-ES_tradnl"/>
        </w:rPr>
        <w:t xml:space="preserve">] constituye la ley tanto del procedimiento administrativo </w:t>
      </w:r>
      <w:r w:rsidRPr="004B5D6E">
        <w:rPr>
          <w:rFonts w:ascii="Verdana" w:eastAsia="Times New Roman" w:hAnsi="Verdana" w:cs="Arial"/>
          <w:lang w:val="es-ES_tradnl" w:eastAsia="es-ES_tradnl"/>
        </w:rPr>
        <w:lastRenderedPageBreak/>
        <w:t>de selección del contratista, como del contrato a</w:t>
      </w:r>
      <w:r w:rsidRPr="004B5D6E">
        <w:rPr>
          <w:rFonts w:ascii="Verdana" w:eastAsia="Times New Roman" w:hAnsi="Verdana" w:cs="Arial"/>
          <w:spacing w:val="-7"/>
          <w:lang w:val="es-ES_tradnl" w:eastAsia="es-ES_tradnl"/>
        </w:rPr>
        <w:t xml:space="preserve"> </w:t>
      </w:r>
      <w:r w:rsidRPr="004B5D6E">
        <w:rPr>
          <w:rFonts w:ascii="Verdana" w:eastAsia="Times New Roman" w:hAnsi="Verdana" w:cs="Arial"/>
          <w:lang w:val="es-ES_tradnl" w:eastAsia="es-ES_tradnl"/>
        </w:rPr>
        <w:t>celebrar”</w:t>
      </w:r>
      <w:r w:rsidRPr="004B5D6E">
        <w:rPr>
          <w:rFonts w:ascii="Verdana" w:eastAsia="Times New Roman" w:hAnsi="Verdana" w:cs="Arial"/>
          <w:vertAlign w:val="superscript"/>
          <w:lang w:val="es-ES_tradnl" w:eastAsia="es-ES_tradnl"/>
        </w:rPr>
        <w:footnoteReference w:id="8"/>
      </w:r>
      <w:r w:rsidRPr="004B5D6E">
        <w:rPr>
          <w:rFonts w:ascii="Verdana" w:eastAsia="Times New Roman" w:hAnsi="Verdana" w:cs="Arial"/>
          <w:lang w:val="es-ES_tradnl" w:eastAsia="es-ES_tradnl"/>
        </w:rPr>
        <w:t>. A partir de tales características debe determinarse la equivalencia de un documento con un pliego de condiciones, la cual se puede ejemplificar claramente con la invitación a participar en los procesos de mínima cuantía</w:t>
      </w:r>
      <w:r w:rsidRPr="004B5D6E">
        <w:rPr>
          <w:rFonts w:ascii="Verdana" w:eastAsia="Times New Roman" w:hAnsi="Verdana" w:cs="Arial"/>
          <w:vertAlign w:val="superscript"/>
          <w:lang w:val="es-ES_tradnl" w:eastAsia="es-ES_tradnl"/>
        </w:rPr>
        <w:footnoteReference w:id="9"/>
      </w:r>
      <w:r w:rsidRPr="004B5D6E">
        <w:rPr>
          <w:rFonts w:ascii="Verdana" w:eastAsia="Times New Roman" w:hAnsi="Verdana" w:cs="Arial"/>
          <w:lang w:val="es-ES_tradnl" w:eastAsia="es-ES_tradnl"/>
        </w:rPr>
        <w:t xml:space="preserve">, documento dentro del cual la entidad contratante debe fijar las reglas aplicables al procedimiento de selección, cumpliendo con la función del pliego de condiciones. En tal sentido, es un documento “equivalente” del mismo en los términos del artículo 11 </w:t>
      </w:r>
      <w:r w:rsidRPr="00A71E32">
        <w:rPr>
          <w:rFonts w:ascii="Verdana" w:eastAsia="Times New Roman" w:hAnsi="Verdana" w:cs="Arial"/>
          <w:i/>
          <w:iCs/>
          <w:lang w:val="es-ES_tradnl" w:eastAsia="es-ES_tradnl"/>
        </w:rPr>
        <w:t>ibidem</w:t>
      </w:r>
      <w:r w:rsidRPr="004B5D6E">
        <w:rPr>
          <w:rFonts w:ascii="Verdana" w:eastAsia="Times New Roman" w:hAnsi="Verdana" w:cs="Arial"/>
          <w:lang w:val="es-ES_tradnl" w:eastAsia="es-ES_tradnl"/>
        </w:rPr>
        <w:t xml:space="preserve">, dentro del cual es viable establecer el plazo para la liquidación de mutuo acuerdo. </w:t>
      </w:r>
    </w:p>
    <w:p w14:paraId="3CD55BCB" w14:textId="77777777" w:rsidR="00473FDA" w:rsidRPr="00FB5FC4" w:rsidRDefault="00473FDA" w:rsidP="00473FDA">
      <w:pPr>
        <w:spacing w:after="120" w:line="276" w:lineRule="auto"/>
        <w:ind w:firstLine="709"/>
        <w:jc w:val="both"/>
        <w:rPr>
          <w:rFonts w:ascii="Verdana" w:eastAsia="Times New Roman" w:hAnsi="Verdana" w:cs="Arial"/>
          <w:lang w:val="es-ES_tradnl" w:eastAsia="es-ES_tradnl"/>
        </w:rPr>
      </w:pPr>
      <w:r w:rsidRPr="00FB5FC4">
        <w:rPr>
          <w:rFonts w:ascii="Verdana" w:eastAsia="Times New Roman" w:hAnsi="Verdana" w:cs="Arial"/>
          <w:lang w:val="es-ES_tradnl" w:eastAsia="es-ES_tradnl"/>
        </w:rPr>
        <w:t>De otra parte, cuando el artículo 11 de la Ley 1150 de 2007 hace referencia al término que “</w:t>
      </w:r>
      <w:r w:rsidRPr="004B5D6E">
        <w:rPr>
          <w:rFonts w:ascii="Verdana" w:eastAsia="Times New Roman" w:hAnsi="Verdana" w:cs="Arial"/>
          <w:lang w:val="es-ES_tradnl" w:eastAsia="es-ES_tradnl"/>
        </w:rPr>
        <w:t>acuerden las partes</w:t>
      </w:r>
      <w:r w:rsidRPr="00FB5FC4">
        <w:rPr>
          <w:rFonts w:ascii="Verdana" w:eastAsia="Times New Roman" w:hAnsi="Verdana" w:cs="Arial"/>
          <w:lang w:val="es-ES_tradnl" w:eastAsia="es-ES_tradnl"/>
        </w:rPr>
        <w:t xml:space="preserve">”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w:t>
      </w:r>
      <w:r>
        <w:rPr>
          <w:rFonts w:ascii="Verdana" w:eastAsia="Times New Roman" w:hAnsi="Verdana" w:cs="Arial"/>
          <w:lang w:val="es-ES_tradnl" w:eastAsia="es-ES_tradnl"/>
        </w:rPr>
        <w:t>implica</w:t>
      </w:r>
      <w:r w:rsidRPr="00FB5FC4">
        <w:rPr>
          <w:rFonts w:ascii="Verdana" w:eastAsia="Times New Roman" w:hAnsi="Verdana" w:cs="Arial"/>
          <w:lang w:val="es-ES_tradnl" w:eastAsia="es-ES_tradnl"/>
        </w:rPr>
        <w:t xml:space="preserve"> una modificación del contrato. Por tal razón, su celebración debe cumplir con los requisitos del negocio jurídico, ameritando la concurrencia de capacidad jurídica de los agentes, un consentimiento libre de vicios, un objeto y causa lícita, así como la </w:t>
      </w:r>
      <w:r>
        <w:rPr>
          <w:rFonts w:ascii="Verdana" w:eastAsia="Times New Roman" w:hAnsi="Verdana" w:cs="Arial"/>
          <w:lang w:val="es-ES_tradnl" w:eastAsia="es-ES_tradnl"/>
        </w:rPr>
        <w:t>formalidad escrita</w:t>
      </w:r>
      <w:r w:rsidRPr="00FB5FC4">
        <w:rPr>
          <w:rFonts w:ascii="Verdana" w:eastAsia="Times New Roman" w:hAnsi="Verdana" w:cs="Arial"/>
          <w:lang w:val="es-ES_tradnl" w:eastAsia="es-ES_tradnl"/>
        </w:rPr>
        <w:t xml:space="preserve"> requerida en materia de contratación estatal</w:t>
      </w:r>
      <w:r w:rsidRPr="00FB5FC4">
        <w:rPr>
          <w:rFonts w:ascii="Verdana" w:eastAsia="Times New Roman" w:hAnsi="Verdana" w:cs="Arial"/>
          <w:vertAlign w:val="superscript"/>
          <w:lang w:val="es-ES_tradnl" w:eastAsia="es-ES_tradnl"/>
        </w:rPr>
        <w:footnoteReference w:id="10"/>
      </w:r>
      <w:r w:rsidRPr="00FB5FC4">
        <w:rPr>
          <w:rFonts w:ascii="Verdana" w:eastAsia="Times New Roman" w:hAnsi="Verdana" w:cs="Arial"/>
          <w:lang w:val="es-ES_tradnl" w:eastAsia="es-ES_tradnl"/>
        </w:rPr>
        <w:t xml:space="preserve">. </w:t>
      </w:r>
    </w:p>
    <w:p w14:paraId="602F5C00" w14:textId="77777777" w:rsidR="00473FDA" w:rsidRPr="00FB5FC4" w:rsidRDefault="00473FDA" w:rsidP="00473FDA">
      <w:pPr>
        <w:spacing w:after="120" w:line="276" w:lineRule="auto"/>
        <w:ind w:firstLine="709"/>
        <w:jc w:val="both"/>
        <w:rPr>
          <w:rFonts w:ascii="Verdana" w:eastAsia="Calibri" w:hAnsi="Verdana" w:cs="Arial"/>
          <w:lang w:val="es-ES_tradnl"/>
        </w:rPr>
      </w:pPr>
      <w:r w:rsidRPr="00FB5FC4">
        <w:rPr>
          <w:rFonts w:ascii="Verdana" w:eastAsia="Calibri" w:hAnsi="Verdana" w:cs="Arial"/>
          <w:lang w:val="es-ES_tradnl"/>
        </w:rPr>
        <w:lastRenderedPageBreak/>
        <w:t>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FB5FC4">
        <w:rPr>
          <w:rFonts w:ascii="Verdana" w:eastAsia="Calibri" w:hAnsi="Verdana" w:cs="Arial"/>
          <w:vertAlign w:val="superscript"/>
          <w:lang w:val="es-ES_tradnl"/>
        </w:rPr>
        <w:footnoteReference w:id="11"/>
      </w:r>
      <w:r w:rsidRPr="00FB5FC4">
        <w:rPr>
          <w:rFonts w:ascii="Verdana" w:eastAsia="Calibri" w:hAnsi="Verdana" w:cs="Arial"/>
          <w:lang w:val="es-ES_tradnl"/>
        </w:rPr>
        <w:t>, lo cual implica que las mismas se desarrollen en procura de la economía y la celeridad</w:t>
      </w:r>
      <w:r w:rsidRPr="00FB5FC4">
        <w:rPr>
          <w:rFonts w:ascii="Verdana" w:eastAsia="Calibri" w:hAnsi="Verdana" w:cs="Arial"/>
          <w:vertAlign w:val="superscript"/>
          <w:lang w:val="es-ES_tradnl"/>
        </w:rPr>
        <w:footnoteReference w:id="12"/>
      </w:r>
      <w:r w:rsidRPr="00FB5FC4">
        <w:rPr>
          <w:rFonts w:ascii="Verdana" w:eastAsia="Calibri" w:hAnsi="Verdana" w:cs="Arial"/>
          <w:lang w:val="es-ES_tradnl"/>
        </w:rPr>
        <w:t>. Esto significa que, en ejercicio de la facultad que les asiste para fijar el plazo para la liquidación bilateral, las partes deben actuar en garantía de estos principios, por lo que el término que se acuerde debe fija</w:t>
      </w:r>
      <w:r>
        <w:rPr>
          <w:rFonts w:ascii="Verdana" w:eastAsia="Calibri" w:hAnsi="Verdana" w:cs="Arial"/>
          <w:lang w:val="es-ES_tradnl"/>
        </w:rPr>
        <w:t>rse</w:t>
      </w:r>
      <w:r w:rsidRPr="00FB5FC4">
        <w:rPr>
          <w:rFonts w:ascii="Verdana" w:eastAsia="Calibri" w:hAnsi="Verdana" w:cs="Arial"/>
          <w:lang w:val="es-ES_tradnl"/>
        </w:rPr>
        <w:t xml:space="preserve"> de manera razonable.</w:t>
      </w:r>
    </w:p>
    <w:p w14:paraId="13E9635D" w14:textId="77777777" w:rsidR="00473FDA" w:rsidRPr="00FB5FC4" w:rsidRDefault="00473FDA" w:rsidP="00473FDA">
      <w:pPr>
        <w:spacing w:after="120" w:line="276" w:lineRule="auto"/>
        <w:ind w:firstLine="709"/>
        <w:jc w:val="both"/>
        <w:rPr>
          <w:rFonts w:ascii="Verdana" w:eastAsia="Calibri" w:hAnsi="Verdana" w:cs="Arial"/>
          <w:color w:val="000000"/>
          <w:lang w:val="es-ES_tradnl"/>
        </w:rPr>
      </w:pPr>
      <w:r w:rsidRPr="00FB5FC4">
        <w:rPr>
          <w:rFonts w:ascii="Verdana" w:eastAsia="Calibri" w:hAnsi="Verdana" w:cs="Arial"/>
          <w:color w:val="000000"/>
          <w:lang w:val="es-ES_tradn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FB5FC4">
        <w:rPr>
          <w:rFonts w:ascii="Verdana" w:eastAsia="Calibri" w:hAnsi="Verdana" w:cs="Arial"/>
          <w:color w:val="000000"/>
          <w:vertAlign w:val="superscript"/>
          <w:lang w:val="es-ES_tradnl"/>
        </w:rPr>
        <w:footnoteReference w:id="13"/>
      </w:r>
      <w:r w:rsidRPr="00FB5FC4">
        <w:rPr>
          <w:rFonts w:ascii="Verdana" w:eastAsia="Calibri" w:hAnsi="Verdana" w:cs="Arial"/>
          <w:color w:val="000000"/>
          <w:lang w:val="es-ES_tradnl"/>
        </w:rPr>
        <w:t xml:space="preserve">, de manera que el contrato pueda ser liquidado bilateralmente, bien sea en el plazo previsto en el pliego de condiciones, el acordado por las partes, o el supletivo de cuatro meses señalado en la ley, según </w:t>
      </w:r>
      <w:r w:rsidRPr="00FB5FC4">
        <w:rPr>
          <w:rFonts w:ascii="Verdana" w:eastAsia="Calibri" w:hAnsi="Verdana" w:cs="Arial"/>
          <w:color w:val="000000"/>
          <w:lang w:val="es-ES_tradnl"/>
        </w:rPr>
        <w:lastRenderedPageBreak/>
        <w:t>corresponda. Esta liquidación bilateral puede ser total o parcial</w:t>
      </w:r>
      <w:r w:rsidRPr="00FB5FC4">
        <w:rPr>
          <w:rFonts w:ascii="Verdana" w:eastAsia="Calibri" w:hAnsi="Verdana" w:cs="Arial"/>
          <w:iCs/>
          <w:color w:val="000000"/>
          <w:vertAlign w:val="superscript"/>
          <w:lang w:val="es-ES_tradnl"/>
        </w:rPr>
        <w:footnoteReference w:id="14"/>
      </w:r>
      <w:r w:rsidRPr="00FB5FC4">
        <w:rPr>
          <w:rFonts w:ascii="Verdana" w:eastAsia="Calibri" w:hAnsi="Verdana" w:cs="Arial"/>
          <w:color w:val="000000"/>
          <w:lang w:val="es-ES_tradnl"/>
        </w:rPr>
        <w:t xml:space="preserve">, y </w:t>
      </w:r>
      <w:r w:rsidRPr="00FB5FC4">
        <w:rPr>
          <w:rFonts w:ascii="Verdana" w:eastAsia="Calibri" w:hAnsi="Verdana" w:cs="Arial"/>
          <w:iCs/>
          <w:color w:val="000000"/>
          <w:lang w:val="es-ES_tradnl"/>
        </w:rPr>
        <w:t>el documento que la contiene presta mérito ejecutivo, siempre que se satisfagan los elementos para considerarlo como tal</w:t>
      </w:r>
      <w:r w:rsidRPr="00FB5FC4">
        <w:rPr>
          <w:rFonts w:ascii="Verdana" w:eastAsia="Calibri" w:hAnsi="Verdana" w:cs="Arial"/>
          <w:color w:val="000000"/>
          <w:lang w:val="es-ES_tradnl"/>
        </w:rPr>
        <w:t>.</w:t>
      </w:r>
    </w:p>
    <w:p w14:paraId="7B95A7D2" w14:textId="77777777" w:rsidR="00473FDA" w:rsidRPr="00FB5FC4" w:rsidRDefault="00473FDA" w:rsidP="00473FDA">
      <w:pPr>
        <w:spacing w:after="0" w:line="276" w:lineRule="auto"/>
        <w:ind w:firstLine="705"/>
        <w:jc w:val="both"/>
        <w:rPr>
          <w:rFonts w:ascii="Verdana" w:eastAsia="Times New Roman" w:hAnsi="Verdana" w:cs="Arial"/>
          <w:color w:val="000000"/>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Si no es posible efectuar la liquidación de manera bilateral, el ordenamiento jurídico prevé una facultad, de carácter subsidiario, para que la Entidad Estatal realice la liquidación unilateralmente. En relación con este aspecto, la </w:t>
      </w:r>
      <w:r w:rsidRPr="00FB5FC4">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FB5FC4">
        <w:rPr>
          <w:rFonts w:ascii="Verdana" w:eastAsia="Times New Roman" w:hAnsi="Verdana" w:cs="Arial"/>
          <w:color w:val="000000"/>
          <w:bdr w:val="none" w:sz="0" w:space="0" w:color="auto" w:frame="1"/>
          <w:shd w:val="clear" w:color="auto" w:fill="FFFFFF"/>
          <w:lang w:val="es-ES" w:eastAsia="es-ES_tradnl"/>
        </w:rPr>
        <w:t>Consejo de Estado</w:t>
      </w:r>
      <w:r w:rsidRPr="00FB5FC4">
        <w:rPr>
          <w:rFonts w:ascii="Verdana" w:eastAsia="Times New Roman" w:hAnsi="Verdana" w:cs="Arial"/>
          <w:color w:val="000000"/>
          <w:bdr w:val="none" w:sz="0" w:space="0" w:color="auto" w:frame="1"/>
          <w:shd w:val="clear" w:color="auto" w:fill="FFFFFF"/>
          <w:lang w:val="es-MX" w:eastAsia="es-ES_tradnl"/>
        </w:rPr>
        <w:t>, en concepto del 28 de junio de 2016, manifestó que:  </w:t>
      </w:r>
    </w:p>
    <w:p w14:paraId="3754169B" w14:textId="77777777" w:rsidR="00473FDA" w:rsidRPr="00FB5FC4" w:rsidRDefault="00473FDA" w:rsidP="00473FDA">
      <w:pPr>
        <w:spacing w:after="0" w:line="276" w:lineRule="auto"/>
        <w:ind w:left="705" w:right="750"/>
        <w:jc w:val="both"/>
        <w:rPr>
          <w:rFonts w:ascii="Verdana" w:eastAsia="Times New Roman" w:hAnsi="Verdana" w:cs="Arial"/>
          <w:color w:val="000000"/>
          <w:lang w:eastAsia="es-ES_tradnl"/>
        </w:rPr>
      </w:pPr>
    </w:p>
    <w:p w14:paraId="2FF400C4" w14:textId="77777777" w:rsidR="00473FDA" w:rsidRPr="00A71E32" w:rsidRDefault="00473FDA" w:rsidP="00473FDA">
      <w:pPr>
        <w:spacing w:after="0" w:line="240" w:lineRule="auto"/>
        <w:ind w:left="705" w:right="750"/>
        <w:jc w:val="both"/>
        <w:rPr>
          <w:rFonts w:ascii="Verdana" w:eastAsia="Times New Roman" w:hAnsi="Verdana" w:cs="Arial"/>
          <w:color w:val="000000"/>
          <w:sz w:val="20"/>
          <w:szCs w:val="20"/>
          <w:lang w:eastAsia="es-ES_tradnl"/>
        </w:rPr>
      </w:pPr>
      <w:r w:rsidRPr="00A71E32">
        <w:rPr>
          <w:rFonts w:ascii="Verdana" w:eastAsia="Times New Roman" w:hAnsi="Verdana" w:cs="Arial"/>
          <w:i/>
          <w:iCs/>
          <w:sz w:val="20"/>
          <w:szCs w:val="20"/>
          <w:lang w:val="es-ES_tradnl" w:eastAsia="es-ES_tradnl"/>
        </w:rPr>
        <w:t>“</w:t>
      </w:r>
      <w:r w:rsidRPr="00A71E32">
        <w:rPr>
          <w:rFonts w:ascii="Verdana" w:eastAsia="Calibri" w:hAnsi="Verdana" w:cs="Arial"/>
          <w:color w:val="000000"/>
          <w:sz w:val="20"/>
          <w:szCs w:val="20"/>
          <w:lang w:val="es-ES" w:eastAsia="es-ES_tradnl"/>
        </w:rPr>
        <w:t>[</w:t>
      </w:r>
      <w:r w:rsidRPr="00A71E32">
        <w:rPr>
          <w:rFonts w:ascii="Verdana" w:eastAsia="Times New Roman" w:hAnsi="Verdana" w:cs="Arial"/>
          <w:color w:val="000000"/>
          <w:sz w:val="20"/>
          <w:szCs w:val="20"/>
          <w:bdr w:val="none" w:sz="0" w:space="0" w:color="auto" w:frame="1"/>
          <w:shd w:val="clear" w:color="auto" w:fill="FFFFFF"/>
          <w:lang w:eastAsia="es-ES_tradnl"/>
        </w:rPr>
        <w:t xml:space="preserve">…] </w:t>
      </w:r>
      <w:r w:rsidRPr="00A71E32">
        <w:rPr>
          <w:rFonts w:ascii="Verdana" w:eastAsia="Times New Roman" w:hAnsi="Verdana" w:cs="Arial"/>
          <w:color w:val="000000"/>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A71E32">
        <w:rPr>
          <w:rFonts w:ascii="Verdana" w:eastAsia="Times New Roman" w:hAnsi="Verdana" w:cs="Arial"/>
          <w:color w:val="000000"/>
          <w:sz w:val="20"/>
          <w:szCs w:val="20"/>
          <w:bdr w:val="none" w:sz="0" w:space="0" w:color="auto" w:frame="1"/>
          <w:shd w:val="clear" w:color="auto" w:fill="FFFFFF"/>
          <w:vertAlign w:val="superscript"/>
          <w:lang w:val="es-MX" w:eastAsia="es-ES_tradnl"/>
        </w:rPr>
        <w:footnoteReference w:id="15"/>
      </w:r>
      <w:r w:rsidRPr="00A71E32">
        <w:rPr>
          <w:rFonts w:ascii="Verdana" w:eastAsia="Times New Roman" w:hAnsi="Verdana" w:cs="Arial"/>
          <w:color w:val="000000"/>
          <w:sz w:val="20"/>
          <w:szCs w:val="20"/>
          <w:bdr w:val="none" w:sz="0" w:space="0" w:color="auto" w:frame="1"/>
          <w:shd w:val="clear" w:color="auto" w:fill="FFFFFF"/>
          <w:lang w:val="es-ES" w:eastAsia="es-ES_tradnl"/>
        </w:rPr>
        <w:t>. </w:t>
      </w:r>
      <w:r w:rsidRPr="00A71E32">
        <w:rPr>
          <w:rFonts w:ascii="Verdana" w:eastAsia="Times New Roman" w:hAnsi="Verdana" w:cs="Arial"/>
          <w:color w:val="000000"/>
          <w:sz w:val="20"/>
          <w:szCs w:val="20"/>
          <w:bdr w:val="none" w:sz="0" w:space="0" w:color="auto" w:frame="1"/>
          <w:shd w:val="clear" w:color="auto" w:fill="FFFFFF"/>
          <w:lang w:eastAsia="es-ES_tradnl"/>
        </w:rPr>
        <w:t>  </w:t>
      </w:r>
    </w:p>
    <w:p w14:paraId="3ECE2B7B" w14:textId="77777777" w:rsidR="00473FDA" w:rsidRPr="00FB5FC4" w:rsidRDefault="00473FDA" w:rsidP="00473FDA">
      <w:pPr>
        <w:spacing w:after="0" w:line="276" w:lineRule="auto"/>
        <w:ind w:left="705" w:right="750"/>
        <w:jc w:val="both"/>
        <w:rPr>
          <w:rFonts w:ascii="Verdana" w:eastAsia="Times New Roman" w:hAnsi="Verdana" w:cs="Arial"/>
          <w:color w:val="000000"/>
          <w:lang w:eastAsia="es-ES_tradnl"/>
        </w:rPr>
      </w:pPr>
    </w:p>
    <w:p w14:paraId="0666E414" w14:textId="77777777" w:rsidR="00473FDA" w:rsidRPr="00FB5FC4" w:rsidRDefault="00473FDA" w:rsidP="00473FDA">
      <w:pPr>
        <w:spacing w:after="120" w:line="276" w:lineRule="auto"/>
        <w:ind w:firstLine="705"/>
        <w:jc w:val="both"/>
        <w:rPr>
          <w:rFonts w:ascii="Verdana" w:eastAsia="Times New Roman" w:hAnsi="Verdana" w:cs="Arial"/>
          <w:color w:val="000000"/>
          <w:lang w:eastAsia="es-ES_tradnl"/>
        </w:rPr>
      </w:pPr>
      <w:bookmarkStart w:id="9" w:name="_Hlk141851266"/>
      <w:r w:rsidRPr="00FB5FC4">
        <w:rPr>
          <w:rFonts w:ascii="Verdana" w:eastAsia="Times New Roman" w:hAnsi="Verdana" w:cs="Arial"/>
          <w:color w:val="000000"/>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3448974D" w14:textId="77777777" w:rsidR="00473FDA" w:rsidRPr="00FB5FC4" w:rsidRDefault="00473FDA" w:rsidP="00473FDA">
      <w:pPr>
        <w:spacing w:after="0" w:line="276" w:lineRule="auto"/>
        <w:ind w:firstLine="705"/>
        <w:jc w:val="both"/>
        <w:rPr>
          <w:rFonts w:ascii="Verdana" w:eastAsia="Times New Roman" w:hAnsi="Verdana" w:cs="Arial"/>
          <w:color w:val="000000"/>
          <w:bdr w:val="none" w:sz="0" w:space="0" w:color="auto" w:frame="1"/>
          <w:shd w:val="clear" w:color="auto" w:fill="FFFFFF"/>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w:t>
      </w:r>
      <w:r w:rsidRPr="00FB5FC4">
        <w:rPr>
          <w:rFonts w:ascii="Verdana" w:eastAsia="Times New Roman" w:hAnsi="Verdana" w:cs="Arial"/>
          <w:color w:val="000000"/>
          <w:bdr w:val="none" w:sz="0" w:space="0" w:color="auto" w:frame="1"/>
          <w:shd w:val="clear" w:color="auto" w:fill="FFFFFF"/>
          <w:lang w:val="es-ES" w:eastAsia="es-ES_tradnl"/>
        </w:rPr>
        <w:lastRenderedPageBreak/>
        <w:t xml:space="preserve">el interesado. </w:t>
      </w:r>
      <w:bookmarkEnd w:id="9"/>
      <w:r w:rsidRPr="00FB5FC4">
        <w:rPr>
          <w:rFonts w:ascii="Verdana" w:eastAsia="Times New Roman" w:hAnsi="Verdana" w:cs="Arial"/>
          <w:color w:val="000000"/>
          <w:bdr w:val="none" w:sz="0" w:space="0" w:color="auto" w:frame="1"/>
          <w:shd w:val="clear" w:color="auto" w:fill="FFFFFF"/>
          <w:lang w:val="es-ES" w:eastAsia="es-ES_tradnl"/>
        </w:rPr>
        <w:t xml:space="preserve">En este sentido, en decisión de unificación de la </w:t>
      </w:r>
      <w:r w:rsidRPr="00FB5FC4">
        <w:rPr>
          <w:rFonts w:ascii="Verdana" w:eastAsia="Times New Roman" w:hAnsi="Verdana" w:cs="Arial"/>
          <w:color w:val="000000"/>
          <w:bdr w:val="none" w:sz="0" w:space="0" w:color="auto" w:frame="1"/>
          <w:shd w:val="clear" w:color="auto" w:fill="FFFFFF"/>
          <w:lang w:val="es-MX" w:eastAsia="es-ES_tradnl"/>
        </w:rPr>
        <w:t>Sección Tercera</w:t>
      </w:r>
      <w:r w:rsidRPr="00FB5FC4">
        <w:rPr>
          <w:rFonts w:ascii="Verdana" w:eastAsia="Times New Roman" w:hAnsi="Verdana" w:cs="Arial"/>
          <w:color w:val="000000"/>
          <w:bdr w:val="none" w:sz="0" w:space="0" w:color="auto" w:frame="1"/>
          <w:shd w:val="clear" w:color="auto" w:fill="FFFFFF"/>
          <w:lang w:val="es-ES" w:eastAsia="es-ES_tradnl"/>
        </w:rPr>
        <w:t xml:space="preserve"> del Consejo de Estado del</w:t>
      </w:r>
      <w:r w:rsidRPr="00FB5FC4">
        <w:rPr>
          <w:rFonts w:ascii="Verdana" w:eastAsia="Times New Roman" w:hAnsi="Verdana" w:cs="Arial"/>
          <w:color w:val="000000"/>
          <w:bdr w:val="none" w:sz="0" w:space="0" w:color="auto" w:frame="1"/>
          <w:shd w:val="clear" w:color="auto" w:fill="FFFFFF"/>
          <w:lang w:val="es-MX" w:eastAsia="es-ES_tradnl"/>
        </w:rPr>
        <w:t> </w:t>
      </w:r>
      <w:r w:rsidRPr="00FB5FC4">
        <w:rPr>
          <w:rFonts w:ascii="Verdana" w:eastAsia="Times New Roman" w:hAnsi="Verdana" w:cs="Arial"/>
          <w:color w:val="000000"/>
          <w:bdr w:val="none" w:sz="0" w:space="0" w:color="auto" w:frame="1"/>
          <w:shd w:val="clear" w:color="auto" w:fill="FFFFFF"/>
          <w:lang w:eastAsia="es-ES_tradnl"/>
        </w:rPr>
        <w:t>1 de agosto de 2019, se expresó: </w:t>
      </w:r>
    </w:p>
    <w:p w14:paraId="5FE13C1D" w14:textId="77777777" w:rsidR="00473FDA" w:rsidRPr="00FB5FC4" w:rsidRDefault="00473FDA" w:rsidP="00473FDA">
      <w:pPr>
        <w:spacing w:after="0" w:line="276" w:lineRule="auto"/>
        <w:ind w:firstLine="705"/>
        <w:jc w:val="both"/>
        <w:rPr>
          <w:rFonts w:ascii="Verdana" w:eastAsia="Times New Roman" w:hAnsi="Verdana" w:cs="Arial"/>
          <w:color w:val="000000"/>
          <w:lang w:eastAsia="es-ES_tradnl"/>
        </w:rPr>
      </w:pPr>
    </w:p>
    <w:p w14:paraId="5ECC07E3" w14:textId="77777777" w:rsidR="00473FDA" w:rsidRPr="00A71E32" w:rsidRDefault="00473FDA" w:rsidP="00473FDA">
      <w:pPr>
        <w:spacing w:after="0" w:line="240" w:lineRule="auto"/>
        <w:ind w:left="705" w:right="750"/>
        <w:jc w:val="both"/>
        <w:rPr>
          <w:rFonts w:ascii="Verdana" w:eastAsia="Times New Roman" w:hAnsi="Verdana" w:cs="Arial"/>
          <w:color w:val="000000"/>
          <w:sz w:val="20"/>
          <w:szCs w:val="20"/>
          <w:lang w:eastAsia="es-ES_tradnl"/>
        </w:rPr>
      </w:pP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A71E32">
        <w:rPr>
          <w:rFonts w:ascii="Verdana" w:eastAsia="Times New Roman" w:hAnsi="Verdana" w:cs="Arial"/>
          <w:color w:val="000000"/>
          <w:sz w:val="20"/>
          <w:szCs w:val="20"/>
          <w:bdr w:val="none" w:sz="0" w:space="0" w:color="auto" w:frame="1"/>
          <w:shd w:val="clear" w:color="auto" w:fill="FFFFFF"/>
          <w:lang w:val="es-ES" w:eastAsia="es-ES_tradnl"/>
        </w:rPr>
        <w:t>liquidatorio</w:t>
      </w:r>
      <w:proofErr w:type="spellEnd"/>
      <w:r w:rsidRPr="00A71E32">
        <w:rPr>
          <w:rFonts w:ascii="Verdana" w:eastAsia="Times New Roman" w:hAnsi="Verdana" w:cs="Arial"/>
          <w:color w:val="000000"/>
          <w:sz w:val="20"/>
          <w:szCs w:val="20"/>
          <w:bdr w:val="none" w:sz="0" w:space="0" w:color="auto" w:frame="1"/>
          <w:shd w:val="clear" w:color="auto" w:fill="FFFFFF"/>
          <w:lang w:val="es-ES" w:eastAsia="es-ES_tradnl"/>
        </w:rPr>
        <w:t> se logre dentro del lapso de dos años contados a partir del vencimiento del término legalmente conocido para la liquidación unilateral, pues ese es el lapso que el ordenamiento ha fijado para el ejercicio oportuno de la acción</w:t>
      </w: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vertAlign w:val="superscript"/>
          <w:lang w:eastAsia="es-ES_tradnl"/>
        </w:rPr>
        <w:t xml:space="preserve"> </w:t>
      </w:r>
      <w:r w:rsidRPr="00A71E32">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6"/>
      </w: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lang w:val="es-ES" w:eastAsia="es-ES_tradnl"/>
        </w:rPr>
        <w:t> </w:t>
      </w:r>
    </w:p>
    <w:p w14:paraId="54578A1F" w14:textId="77777777" w:rsidR="00473FDA" w:rsidRPr="00FB5FC4" w:rsidRDefault="00473FDA" w:rsidP="00473FDA">
      <w:pPr>
        <w:spacing w:after="0" w:line="276" w:lineRule="auto"/>
        <w:ind w:firstLine="708"/>
        <w:jc w:val="both"/>
        <w:rPr>
          <w:rFonts w:ascii="Verdana" w:eastAsia="Times New Roman" w:hAnsi="Verdana" w:cs="Arial"/>
          <w:color w:val="000000"/>
          <w:lang w:eastAsia="es-ES_tradnl"/>
        </w:rPr>
      </w:pPr>
    </w:p>
    <w:p w14:paraId="3D5AAE5D" w14:textId="77777777" w:rsidR="00473FDA" w:rsidRDefault="00473FDA" w:rsidP="00473FDA">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r>
      <w:r w:rsidRPr="00FB5FC4">
        <w:rPr>
          <w:rFonts w:ascii="Verdana" w:eastAsia="Times New Roman" w:hAnsi="Verdana" w:cs="Arial"/>
          <w:color w:val="000000"/>
          <w:bdr w:val="none" w:sz="0" w:space="0" w:color="auto" w:frame="1"/>
          <w:shd w:val="clear" w:color="auto" w:fill="FFFFFF"/>
          <w:lang w:eastAsia="es-ES_tradnl"/>
        </w:rPr>
        <w:t>A su turno</w:t>
      </w:r>
      <w:r>
        <w:rPr>
          <w:rFonts w:ascii="Verdana" w:eastAsia="Times New Roman" w:hAnsi="Verdana" w:cs="Arial"/>
          <w:color w:val="000000"/>
          <w:bdr w:val="none" w:sz="0" w:space="0" w:color="auto" w:frame="1"/>
          <w:shd w:val="clear" w:color="auto" w:fill="FFFFFF"/>
          <w:lang w:eastAsia="es-ES_tradnl"/>
        </w:rPr>
        <w:t xml:space="preserve">, la liquidación judicial hace parte de una de las pretensiones que admite el medio de control de controversias contractuales. Al respecto, el artículo 141 de la Ley 1437 de 2011 dispone que “[…] </w:t>
      </w:r>
      <w:r w:rsidRPr="00F915F3">
        <w:rPr>
          <w:rFonts w:ascii="Verdana" w:eastAsia="Times New Roman" w:hAnsi="Verdana" w:cs="Arial"/>
          <w:color w:val="000000"/>
          <w:bdr w:val="none" w:sz="0" w:space="0" w:color="auto" w:frame="1"/>
          <w:shd w:val="clear" w:color="auto" w:fill="FFFFFF"/>
          <w:lang w:eastAsia="es-ES_tradnl"/>
        </w:rPr>
        <w:t xml:space="preserve">el interesado podrá </w:t>
      </w:r>
      <w:bookmarkStart w:id="10" w:name="_Hlk172560769"/>
      <w:r w:rsidRPr="00F915F3">
        <w:rPr>
          <w:rFonts w:ascii="Verdana" w:eastAsia="Times New Roman" w:hAnsi="Verdana" w:cs="Arial"/>
          <w:color w:val="000000"/>
          <w:bdr w:val="none" w:sz="0" w:space="0" w:color="auto" w:frame="1"/>
          <w:shd w:val="clear" w:color="auto" w:fill="FFFFFF"/>
          <w:lang w:eastAsia="es-ES_tradnl"/>
        </w:rPr>
        <w:t>solicitar la liquidación judicial</w:t>
      </w:r>
      <w:bookmarkEnd w:id="10"/>
      <w:r w:rsidRPr="00F915F3">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w:t>
      </w:r>
      <w:r>
        <w:rPr>
          <w:rFonts w:ascii="Verdana" w:eastAsia="Times New Roman" w:hAnsi="Verdana" w:cs="Arial"/>
          <w:color w:val="000000"/>
          <w:bdr w:val="none" w:sz="0" w:space="0" w:color="auto" w:frame="1"/>
          <w:shd w:val="clear" w:color="auto" w:fill="FFFFFF"/>
          <w:lang w:eastAsia="es-ES_tradnl"/>
        </w:rPr>
        <w:t>”</w:t>
      </w:r>
      <w:r w:rsidRPr="00F915F3">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Bajo esta perspectiva, para la entidad cesa la facultad de liquidar bilateral o unilateralmente, ya que el tema pasa de la administración a la jurisdicción.</w:t>
      </w:r>
    </w:p>
    <w:p w14:paraId="5ADFFD3A" w14:textId="77777777" w:rsidR="00473FDA" w:rsidRDefault="00473FDA" w:rsidP="00473FDA">
      <w:pPr>
        <w:tabs>
          <w:tab w:val="left" w:pos="709"/>
        </w:tabs>
        <w:spacing w:after="120" w:line="276" w:lineRule="auto"/>
        <w:jc w:val="both"/>
        <w:rPr>
          <w:rFonts w:ascii="Verdana" w:eastAsia="Times New Roman" w:hAnsi="Verdana" w:cs="Arial"/>
          <w:color w:val="000000"/>
          <w:bdr w:val="none" w:sz="0" w:space="0" w:color="auto" w:frame="1"/>
          <w:shd w:val="clear" w:color="auto" w:fill="FFFFFF"/>
          <w:lang w:val="es-ES" w:eastAsia="es-ES"/>
        </w:rPr>
      </w:pPr>
      <w:r>
        <w:rPr>
          <w:rFonts w:ascii="Verdana" w:eastAsia="Times New Roman" w:hAnsi="Verdana" w:cs="Arial"/>
          <w:color w:val="000000"/>
          <w:bdr w:val="none" w:sz="0" w:space="0" w:color="auto" w:frame="1"/>
          <w:shd w:val="clear" w:color="auto" w:fill="FFFFFF"/>
          <w:lang w:eastAsia="es-ES_tradnl"/>
        </w:rPr>
        <w:tab/>
      </w:r>
      <w:r w:rsidRPr="3840FB1E">
        <w:rPr>
          <w:rFonts w:ascii="Verdana" w:eastAsia="Times New Roman" w:hAnsi="Verdana" w:cs="Arial"/>
          <w:color w:val="000000"/>
          <w:bdr w:val="none" w:sz="0" w:space="0" w:color="auto" w:frame="1"/>
          <w:shd w:val="clear" w:color="auto" w:fill="FFFFFF"/>
          <w:lang w:val="es-ES" w:eastAsia="es-ES"/>
        </w:rPr>
        <w:t xml:space="preserve">En suma, de acuerdo con el artículo 11 de la Ley 1150 de 2007, existen tres (3) tipos de liquidación: i) bilateral, </w:t>
      </w:r>
      <w:proofErr w:type="spellStart"/>
      <w:r w:rsidRPr="3840FB1E">
        <w:rPr>
          <w:rFonts w:ascii="Verdana" w:eastAsia="Times New Roman" w:hAnsi="Verdana" w:cs="Arial"/>
          <w:color w:val="000000"/>
          <w:bdr w:val="none" w:sz="0" w:space="0" w:color="auto" w:frame="1"/>
          <w:shd w:val="clear" w:color="auto" w:fill="FFFFFF"/>
          <w:lang w:val="es-ES" w:eastAsia="es-ES"/>
        </w:rPr>
        <w:t>ii</w:t>
      </w:r>
      <w:proofErr w:type="spellEnd"/>
      <w:r w:rsidRPr="3840FB1E">
        <w:rPr>
          <w:rFonts w:ascii="Verdana" w:eastAsia="Times New Roman" w:hAnsi="Verdana" w:cs="Arial"/>
          <w:color w:val="000000"/>
          <w:bdr w:val="none" w:sz="0" w:space="0" w:color="auto" w:frame="1"/>
          <w:shd w:val="clear" w:color="auto" w:fill="FFFFFF"/>
          <w:lang w:val="es-ES" w:eastAsia="es-ES"/>
        </w:rPr>
        <w:t xml:space="preserve">) unilateral y </w:t>
      </w:r>
      <w:proofErr w:type="spellStart"/>
      <w:r w:rsidRPr="3840FB1E">
        <w:rPr>
          <w:rFonts w:ascii="Verdana" w:eastAsia="Times New Roman" w:hAnsi="Verdana" w:cs="Arial"/>
          <w:color w:val="000000"/>
          <w:bdr w:val="none" w:sz="0" w:space="0" w:color="auto" w:frame="1"/>
          <w:shd w:val="clear" w:color="auto" w:fill="FFFFFF"/>
          <w:lang w:val="es-ES" w:eastAsia="es-ES"/>
        </w:rPr>
        <w:t>iii</w:t>
      </w:r>
      <w:proofErr w:type="spellEnd"/>
      <w:r w:rsidRPr="3840FB1E">
        <w:rPr>
          <w:rFonts w:ascii="Verdana" w:eastAsia="Times New Roman" w:hAnsi="Verdana" w:cs="Arial"/>
          <w:color w:val="000000"/>
          <w:bdr w:val="none" w:sz="0" w:space="0" w:color="auto" w:frame="1"/>
          <w:shd w:val="clear" w:color="auto" w:fill="FFFFFF"/>
          <w:lang w:val="es-ES" w:eastAsia="es-ES"/>
        </w:rPr>
        <w:t xml:space="preserve">)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w:t>
      </w:r>
      <w:r w:rsidRPr="3840FB1E">
        <w:rPr>
          <w:rFonts w:ascii="Verdana" w:eastAsia="Times New Roman" w:hAnsi="Verdana" w:cs="Arial"/>
          <w:color w:val="000000"/>
          <w:bdr w:val="none" w:sz="0" w:space="0" w:color="auto" w:frame="1"/>
          <w:shd w:val="clear" w:color="auto" w:fill="FFFFFF"/>
          <w:lang w:val="es-ES" w:eastAsia="es-ES"/>
        </w:rPr>
        <w:lastRenderedPageBreak/>
        <w:t>dos (2) años contados a partir de los dos meses establecidos en la Ley para realizar la liquidación unilateral.</w:t>
      </w:r>
    </w:p>
    <w:p w14:paraId="5E0272EF" w14:textId="77777777" w:rsidR="00473FDA" w:rsidRPr="00882C9A" w:rsidRDefault="00473FDA" w:rsidP="00473FDA">
      <w:pPr>
        <w:spacing w:after="0" w:line="276" w:lineRule="auto"/>
        <w:ind w:firstLine="708"/>
        <w:jc w:val="both"/>
        <w:rPr>
          <w:rFonts w:ascii="Verdana" w:eastAsia="Times New Roman" w:hAnsi="Verdana" w:cs="Arial"/>
          <w:color w:val="000000" w:themeColor="text1"/>
          <w:lang w:eastAsia="es-CO"/>
        </w:rPr>
      </w:pPr>
      <w:r w:rsidRPr="00882C9A">
        <w:rPr>
          <w:rFonts w:ascii="Verdana" w:eastAsia="Times New Roman" w:hAnsi="Verdana" w:cs="Arial"/>
          <w:color w:val="000000" w:themeColor="text1"/>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1F002500" w14:textId="77777777" w:rsidR="00473FDA" w:rsidRPr="00882C9A" w:rsidRDefault="00473FDA" w:rsidP="00473FDA">
      <w:pPr>
        <w:spacing w:after="0" w:line="276" w:lineRule="auto"/>
        <w:jc w:val="both"/>
        <w:rPr>
          <w:rFonts w:ascii="Verdana" w:eastAsia="Times New Roman" w:hAnsi="Verdana" w:cs="Arial"/>
          <w:color w:val="000000" w:themeColor="text1"/>
          <w:lang w:eastAsia="es-CO"/>
        </w:rPr>
      </w:pPr>
    </w:p>
    <w:p w14:paraId="6398333C" w14:textId="77777777" w:rsidR="00473FDA" w:rsidRPr="00882C9A" w:rsidRDefault="00473FDA" w:rsidP="00473FDA">
      <w:pPr>
        <w:spacing w:after="0" w:line="240" w:lineRule="auto"/>
        <w:ind w:left="709" w:right="709"/>
        <w:jc w:val="both"/>
        <w:rPr>
          <w:rFonts w:ascii="Verdana" w:eastAsia="Times New Roman" w:hAnsi="Verdana" w:cs="Arial"/>
          <w:color w:val="000000" w:themeColor="text1"/>
          <w:sz w:val="20"/>
          <w:szCs w:val="20"/>
          <w:lang w:eastAsia="es-CO"/>
        </w:rPr>
      </w:pPr>
      <w:r w:rsidRPr="00882C9A">
        <w:rPr>
          <w:rFonts w:ascii="Verdana" w:eastAsia="Times New Roman" w:hAnsi="Verdana" w:cs="Arial"/>
          <w:color w:val="000000" w:themeColor="text1"/>
          <w:sz w:val="20"/>
          <w:szCs w:val="20"/>
          <w:lang w:eastAsia="es-CO"/>
        </w:rPr>
        <w:t>“Suele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882C9A">
        <w:rPr>
          <w:rStyle w:val="Refdenotaalpie"/>
          <w:rFonts w:ascii="Verdana" w:eastAsia="Times New Roman" w:hAnsi="Verdana" w:cs="Arial"/>
          <w:color w:val="000000" w:themeColor="text1"/>
          <w:sz w:val="20"/>
          <w:szCs w:val="20"/>
          <w:lang w:eastAsia="es-CO"/>
        </w:rPr>
        <w:footnoteReference w:id="17"/>
      </w:r>
      <w:r w:rsidRPr="00882C9A">
        <w:rPr>
          <w:rFonts w:ascii="Verdana" w:eastAsia="Times New Roman" w:hAnsi="Verdana" w:cs="Arial"/>
          <w:color w:val="000000" w:themeColor="text1"/>
          <w:sz w:val="20"/>
          <w:szCs w:val="20"/>
          <w:lang w:eastAsia="es-CO"/>
        </w:rPr>
        <w:t xml:space="preserve">.   </w:t>
      </w:r>
    </w:p>
    <w:p w14:paraId="60F27483" w14:textId="77777777" w:rsidR="00473FDA" w:rsidRPr="00882C9A" w:rsidRDefault="00473FDA" w:rsidP="00473FDA">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06CBF1F" w14:textId="77777777" w:rsidR="00473FDA" w:rsidRDefault="00473FDA" w:rsidP="00473FDA">
      <w:pPr>
        <w:tabs>
          <w:tab w:val="left" w:pos="709"/>
        </w:tabs>
        <w:spacing w:after="0" w:line="276" w:lineRule="auto"/>
        <w:jc w:val="both"/>
        <w:rPr>
          <w:rFonts w:ascii="Verdana" w:eastAsia="Calibri" w:hAnsi="Verdana" w:cs="Arial"/>
          <w:color w:val="000000"/>
          <w:lang w:val="es-ES" w:eastAsia="es-ES"/>
        </w:rPr>
      </w:pPr>
      <w:r>
        <w:rPr>
          <w:rFonts w:ascii="Verdana" w:eastAsia="Times New Roman" w:hAnsi="Verdana" w:cs="Arial"/>
          <w:color w:val="000000"/>
          <w:bdr w:val="none" w:sz="0" w:space="0" w:color="auto" w:frame="1"/>
          <w:shd w:val="clear" w:color="auto" w:fill="FFFFFF"/>
          <w:lang w:eastAsia="es-ES_tradnl"/>
        </w:rPr>
        <w:tab/>
      </w:r>
      <w:r>
        <w:rPr>
          <w:rFonts w:ascii="Verdana" w:eastAsia="Calibri" w:hAnsi="Verdana" w:cs="Arial"/>
          <w:color w:val="000000"/>
          <w:lang w:val="es-ES" w:eastAsia="es-ES"/>
        </w:rPr>
        <w:t xml:space="preserve">En consecuencia, </w:t>
      </w:r>
      <w:r w:rsidRPr="00851576">
        <w:rPr>
          <w:rFonts w:ascii="Verdana" w:eastAsia="Calibri" w:hAnsi="Verdana" w:cs="Arial"/>
          <w:color w:val="000000"/>
          <w:lang w:val="es-ES" w:eastAsia="es-ES"/>
        </w:rPr>
        <w:t xml:space="preserve">dentro de los límites previstos en el </w:t>
      </w:r>
      <w:r>
        <w:rPr>
          <w:rFonts w:ascii="Verdana" w:eastAsia="Calibri" w:hAnsi="Verdana" w:cs="Arial"/>
          <w:color w:val="000000"/>
          <w:lang w:val="es-ES" w:eastAsia="es-ES"/>
        </w:rPr>
        <w:t xml:space="preserve">literal j) del </w:t>
      </w:r>
      <w:r w:rsidRPr="00851576">
        <w:rPr>
          <w:rFonts w:ascii="Verdana" w:eastAsia="Calibri" w:hAnsi="Verdana" w:cs="Arial"/>
          <w:color w:val="000000"/>
          <w:lang w:val="es-ES" w:eastAsia="es-ES"/>
        </w:rPr>
        <w:t>artículo 164</w:t>
      </w:r>
      <w:r>
        <w:rPr>
          <w:rFonts w:ascii="Verdana" w:eastAsia="Calibri" w:hAnsi="Verdana" w:cs="Arial"/>
          <w:color w:val="000000"/>
          <w:lang w:val="es-ES" w:eastAsia="es-ES"/>
        </w:rPr>
        <w:t>.2</w:t>
      </w:r>
      <w:r w:rsidRPr="00851576">
        <w:rPr>
          <w:rFonts w:ascii="Verdana" w:eastAsia="Calibri" w:hAnsi="Verdana" w:cs="Arial"/>
          <w:color w:val="000000"/>
          <w:lang w:val="es-ES" w:eastAsia="es-ES"/>
        </w:rPr>
        <w:t xml:space="preserve"> de la Ley 1437 de 2011</w:t>
      </w:r>
      <w:r>
        <w:rPr>
          <w:rFonts w:ascii="Verdana" w:eastAsia="Calibri" w:hAnsi="Verdana" w:cs="Arial"/>
          <w:color w:val="000000"/>
          <w:lang w:val="es-ES" w:eastAsia="es-ES"/>
        </w:rPr>
        <w:t xml:space="preserve">,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p>
    <w:p w14:paraId="76ECF9ED" w14:textId="77777777" w:rsidR="00473FDA" w:rsidRDefault="00473FDA" w:rsidP="00473FDA">
      <w:pPr>
        <w:tabs>
          <w:tab w:val="left" w:pos="709"/>
        </w:tabs>
        <w:spacing w:after="0" w:line="276" w:lineRule="auto"/>
        <w:jc w:val="both"/>
        <w:rPr>
          <w:rFonts w:ascii="Verdana" w:eastAsia="Calibri" w:hAnsi="Verdana" w:cs="Arial"/>
          <w:color w:val="000000"/>
          <w:lang w:val="es-ES" w:eastAsia="es-ES"/>
        </w:rPr>
      </w:pPr>
    </w:p>
    <w:p w14:paraId="7C3CE7FD" w14:textId="77777777" w:rsidR="00473FDA" w:rsidRPr="001D6F6E" w:rsidRDefault="00473FDA" w:rsidP="00473FDA">
      <w:pPr>
        <w:spacing w:after="0" w:line="276" w:lineRule="auto"/>
        <w:jc w:val="both"/>
        <w:rPr>
          <w:rFonts w:ascii="Verdana" w:hAnsi="Verdana" w:cs="Arial"/>
        </w:rPr>
      </w:pPr>
      <w:proofErr w:type="spellStart"/>
      <w:r>
        <w:rPr>
          <w:rFonts w:ascii="Verdana" w:eastAsia="Calibri" w:hAnsi="Verdana" w:cs="Arial"/>
          <w:color w:val="000000"/>
          <w:lang w:val="es-ES" w:eastAsia="es-ES"/>
        </w:rPr>
        <w:t>ii</w:t>
      </w:r>
      <w:proofErr w:type="spellEnd"/>
      <w:r>
        <w:rPr>
          <w:rFonts w:ascii="Verdana" w:eastAsia="Calibri" w:hAnsi="Verdana" w:cs="Arial"/>
          <w:color w:val="000000"/>
          <w:lang w:val="es-ES" w:eastAsia="es-ES"/>
        </w:rPr>
        <w:t xml:space="preserve">. </w:t>
      </w:r>
      <w:r w:rsidRPr="001D6F6E">
        <w:rPr>
          <w:rFonts w:ascii="Verdana" w:eastAsia="Calibri" w:hAnsi="Verdana" w:cs="Arial"/>
          <w:color w:val="000000"/>
          <w:lang w:val="es-ES" w:eastAsia="es-ES"/>
        </w:rPr>
        <w:t xml:space="preserve">En todo caso, el artículo 2.2.1.1.2.4.3 del Decreto 1082 de 2015 establece la obligación constancia del cierre del proceso de contratación. Éste corresponde a un </w:t>
      </w:r>
      <w:r w:rsidRPr="004F612A">
        <w:rPr>
          <w:rFonts w:ascii="Verdana" w:hAnsi="Verdana" w:cs="Arial"/>
          <w:i/>
          <w:iCs/>
        </w:rPr>
        <w:t>acto de trámite</w:t>
      </w:r>
      <w:r w:rsidRPr="001D6F6E">
        <w:rPr>
          <w:rFonts w:ascii="Verdana" w:hAnsi="Verdana" w:cs="Arial"/>
        </w:rPr>
        <w:t xml:space="preserv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w:t>
      </w:r>
      <w:r w:rsidRPr="001D6F6E">
        <w:rPr>
          <w:rStyle w:val="Refdenotaalpie"/>
          <w:rFonts w:ascii="Verdana" w:hAnsi="Verdana" w:cs="Arial"/>
        </w:rPr>
        <w:footnoteReference w:id="18"/>
      </w:r>
      <w:r w:rsidRPr="001D6F6E">
        <w:rPr>
          <w:rFonts w:ascii="Verdana" w:hAnsi="Verdana" w:cs="Arial"/>
        </w:rPr>
        <w:t>. Al negar una demanda de nulidad interpuesta contra dicha norma</w:t>
      </w:r>
      <w:r w:rsidRPr="001D6F6E">
        <w:rPr>
          <w:rStyle w:val="Refdenotaalpie"/>
          <w:rFonts w:ascii="Verdana" w:hAnsi="Verdana" w:cs="Arial"/>
        </w:rPr>
        <w:footnoteReference w:id="19"/>
      </w:r>
      <w:r w:rsidRPr="001D6F6E">
        <w:rPr>
          <w:rFonts w:ascii="Verdana" w:hAnsi="Verdana" w:cs="Arial"/>
        </w:rPr>
        <w:t xml:space="preserve">, la Sección Tercera del Consejo de Estado resaltó que </w:t>
      </w:r>
      <w:r>
        <w:rPr>
          <w:rFonts w:ascii="Verdana" w:hAnsi="Verdana" w:cs="Arial"/>
        </w:rPr>
        <w:t>“</w:t>
      </w:r>
      <w:r w:rsidRPr="001D6F6E">
        <w:rPr>
          <w:rFonts w:ascii="Verdana" w:hAnsi="Verdana" w:cs="Arial"/>
        </w:rPr>
        <w:t xml:space="preserve">una norma como la demandada, que impone el deber de dejar constancia del cierre de un expediente contractual, constituye una disposición de correcta y debida organización y administración de una carpeta de la Entidad pública en la esfera </w:t>
      </w:r>
      <w:proofErr w:type="spellStart"/>
      <w:r w:rsidRPr="001D6F6E">
        <w:rPr>
          <w:rFonts w:ascii="Verdana" w:hAnsi="Verdana" w:cs="Arial"/>
        </w:rPr>
        <w:t>intraorgánica</w:t>
      </w:r>
      <w:proofErr w:type="spellEnd"/>
      <w:r w:rsidRPr="001D6F6E">
        <w:rPr>
          <w:rFonts w:ascii="Verdana" w:hAnsi="Verdana" w:cs="Arial"/>
        </w:rPr>
        <w:t xml:space="preserve"> –pues opera al interior de la Administración, sin imponer obligaciones o cargas a particulares o contratistas–</w:t>
      </w:r>
      <w:r>
        <w:rPr>
          <w:rFonts w:ascii="Verdana" w:hAnsi="Verdana" w:cs="Arial"/>
        </w:rPr>
        <w:t>”</w:t>
      </w:r>
      <w:r w:rsidRPr="001D6F6E">
        <w:rPr>
          <w:rStyle w:val="Refdenotaalpie"/>
          <w:rFonts w:ascii="Verdana" w:hAnsi="Verdana" w:cs="Arial"/>
        </w:rPr>
        <w:footnoteReference w:id="20"/>
      </w:r>
      <w:r w:rsidRPr="001D6F6E">
        <w:rPr>
          <w:rFonts w:ascii="Verdana" w:hAnsi="Verdana" w:cs="Arial"/>
        </w:rPr>
        <w:t>. La norma objeto de análisis dispone lo siguiente:</w:t>
      </w:r>
    </w:p>
    <w:p w14:paraId="479CCE85" w14:textId="77777777" w:rsidR="00473FDA" w:rsidRPr="001D6F6E" w:rsidRDefault="00473FDA" w:rsidP="00473FDA">
      <w:pPr>
        <w:spacing w:after="0" w:line="276" w:lineRule="auto"/>
        <w:jc w:val="both"/>
        <w:rPr>
          <w:rFonts w:ascii="Verdana" w:hAnsi="Verdana" w:cs="Arial"/>
        </w:rPr>
      </w:pPr>
    </w:p>
    <w:p w14:paraId="65AB96A9" w14:textId="77777777" w:rsidR="00473FDA" w:rsidRPr="001D6F6E" w:rsidRDefault="00473FDA" w:rsidP="00473FDA">
      <w:pPr>
        <w:spacing w:after="0" w:line="240" w:lineRule="auto"/>
        <w:ind w:left="709" w:right="709"/>
        <w:jc w:val="both"/>
        <w:rPr>
          <w:rFonts w:ascii="Verdana" w:hAnsi="Verdana" w:cs="Arial"/>
          <w:sz w:val="20"/>
          <w:szCs w:val="20"/>
        </w:rPr>
      </w:pPr>
      <w:r w:rsidRPr="001D6F6E">
        <w:rPr>
          <w:rFonts w:ascii="Verdana" w:hAnsi="Verdana" w:cs="Arial"/>
          <w:sz w:val="20"/>
          <w:szCs w:val="20"/>
        </w:rPr>
        <w:t>“Artículo 2.2.1.1.2.4.3. Obligaciones posteriores a la liquidación. Vencidos los términos de las garantías de calidad, estabilidad y mantenimiento, o las condiciones de disposición final o recuperación ambiental de las obras o bienes, la Entidad Estatal debe dejar constancia del cierre del expediente del Proceso de Contratación”.</w:t>
      </w:r>
    </w:p>
    <w:p w14:paraId="02BFC324" w14:textId="77777777" w:rsidR="00473FDA" w:rsidRPr="001D6F6E" w:rsidRDefault="00473FDA" w:rsidP="00473FDA">
      <w:pPr>
        <w:spacing w:after="0" w:line="276" w:lineRule="auto"/>
        <w:ind w:firstLine="567"/>
        <w:jc w:val="both"/>
        <w:rPr>
          <w:rFonts w:ascii="Verdana" w:hAnsi="Verdana" w:cs="Arial"/>
        </w:rPr>
      </w:pPr>
    </w:p>
    <w:p w14:paraId="11ADE538" w14:textId="77777777" w:rsidR="00473FDA" w:rsidRPr="001D6F6E" w:rsidRDefault="00473FDA" w:rsidP="00473FDA">
      <w:pPr>
        <w:spacing w:after="120" w:line="276" w:lineRule="auto"/>
        <w:ind w:firstLine="708"/>
        <w:jc w:val="both"/>
        <w:rPr>
          <w:rFonts w:ascii="Verdana" w:hAnsi="Verdana" w:cs="Arial"/>
        </w:rPr>
      </w:pPr>
      <w:r w:rsidRPr="001D6F6E">
        <w:rPr>
          <w:rFonts w:ascii="Verdana" w:hAnsi="Verdana" w:cs="Arial"/>
        </w:rPr>
        <w:t xml:space="preserve">La norma transcrita no hace referencia a las modalidades de selección de contratistas. De forma general y abstracta establece las </w:t>
      </w:r>
      <w:r>
        <w:rPr>
          <w:rFonts w:ascii="Verdana" w:hAnsi="Verdana" w:cs="Arial"/>
        </w:rPr>
        <w:t>“</w:t>
      </w:r>
      <w:r w:rsidRPr="001D6F6E">
        <w:rPr>
          <w:rFonts w:ascii="Verdana" w:hAnsi="Verdana" w:cs="Arial"/>
        </w:rPr>
        <w:t>obligaciones posteriores a la liquidación</w:t>
      </w:r>
      <w:r>
        <w:rPr>
          <w:rFonts w:ascii="Verdana" w:hAnsi="Verdana" w:cs="Arial"/>
        </w:rPr>
        <w:t>”</w:t>
      </w:r>
      <w:r w:rsidRPr="001D6F6E">
        <w:rPr>
          <w:rFonts w:ascii="Verdana" w:hAnsi="Verdana" w:cs="Arial"/>
        </w:rPr>
        <w:t xml:space="preserve">, dentro del Título 1, sobre contratación estatal, </w:t>
      </w:r>
      <w:r w:rsidRPr="001D6F6E">
        <w:rPr>
          <w:rFonts w:ascii="Verdana" w:hAnsi="Verdana" w:cs="Arial"/>
        </w:rPr>
        <w:lastRenderedPageBreak/>
        <w:t>Capítulo 1, relacionado con el Sistema de Compras y Contratación Pública, Sección 2, relativa a la Estructura y Documentos del Proceso de Contratación, Subsección 4, que regula únicamente lo atinente a la ejecución del contrato.</w:t>
      </w:r>
    </w:p>
    <w:p w14:paraId="573F3E1B" w14:textId="77777777" w:rsidR="00473FDA" w:rsidRPr="001D6F6E" w:rsidRDefault="00473FDA" w:rsidP="00473FDA">
      <w:pPr>
        <w:spacing w:after="120" w:line="276" w:lineRule="auto"/>
        <w:ind w:firstLine="708"/>
        <w:jc w:val="both"/>
        <w:rPr>
          <w:rFonts w:ascii="Verdana" w:hAnsi="Verdana" w:cs="Arial"/>
        </w:rPr>
      </w:pPr>
      <w:r w:rsidRPr="001D6F6E">
        <w:rPr>
          <w:rFonts w:ascii="Verdana" w:hAnsi="Verdana" w:cs="Arial"/>
        </w:rPr>
        <w:t xml:space="preserve">Es cierto que la disposición se refiere genéricamente al </w:t>
      </w:r>
      <w:r>
        <w:rPr>
          <w:rFonts w:ascii="Verdana" w:hAnsi="Verdana" w:cs="Arial"/>
        </w:rPr>
        <w:t>“</w:t>
      </w:r>
      <w:r w:rsidRPr="001D6F6E">
        <w:rPr>
          <w:rFonts w:ascii="Verdana" w:hAnsi="Verdana" w:cs="Arial"/>
        </w:rPr>
        <w:t>debe dejar constancia del cierre del expediente del Proceso de Contratación Proceso de Contratación</w:t>
      </w:r>
      <w:r>
        <w:rPr>
          <w:rFonts w:ascii="Verdana" w:hAnsi="Verdana" w:cs="Arial"/>
        </w:rPr>
        <w:t>”</w:t>
      </w:r>
      <w:r w:rsidRPr="001D6F6E">
        <w:rPr>
          <w:rFonts w:ascii="Verdana" w:hAnsi="Verdana" w:cs="Arial"/>
        </w:rPr>
        <w:t xml:space="preserve">. Sin embargo, también lo es que, según las definiciones contenidas en el artículo 2.2.1.1.1.3.1 del Decreto 1082 de 2015, el Proceso de Contratación es el </w:t>
      </w:r>
      <w:r>
        <w:rPr>
          <w:rFonts w:ascii="Verdana" w:hAnsi="Verdana" w:cs="Arial"/>
        </w:rPr>
        <w:t>“</w:t>
      </w:r>
      <w:r w:rsidRPr="001D6F6E">
        <w:rPr>
          <w:rFonts w:ascii="Verdana" w:hAnsi="Verdana" w:cs="Arial"/>
        </w:rPr>
        <w:t>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r>
        <w:rPr>
          <w:rFonts w:ascii="Verdana" w:hAnsi="Verdana" w:cs="Arial"/>
        </w:rPr>
        <w:t>”</w:t>
      </w:r>
      <w:r w:rsidRPr="001D6F6E">
        <w:rPr>
          <w:rFonts w:ascii="Verdana" w:hAnsi="Verdana" w:cs="Arial"/>
        </w:rPr>
        <w:t>. Nótese que el enunciado tampoco hace referencia a las modalidades de selección de contratistas en que resulta aplicable. Incluso, se menciona la fase de planeación contractual, etapa relevante en todas las modalidades de selección. Del ámbito de aplicación del artículo referido tampoco es posible concluir que el deber de cerrar el expediente se circunscriba a alguna modalidad o tipología contractual concreta.</w:t>
      </w:r>
    </w:p>
    <w:p w14:paraId="303E7B75" w14:textId="77777777" w:rsidR="00473FDA" w:rsidRPr="001D6F6E" w:rsidRDefault="00473FDA" w:rsidP="00473FDA">
      <w:pPr>
        <w:spacing w:after="120" w:line="276" w:lineRule="auto"/>
        <w:ind w:firstLine="708"/>
        <w:jc w:val="both"/>
        <w:rPr>
          <w:rFonts w:ascii="Verdana" w:hAnsi="Verdana" w:cs="Arial"/>
        </w:rPr>
      </w:pPr>
      <w:r w:rsidRPr="001D6F6E">
        <w:rPr>
          <w:rFonts w:ascii="Verdana" w:hAnsi="Verdana" w:cs="Arial"/>
        </w:rPr>
        <w:t>En consecuencia, lo que resulta relevante para determinar si a la entidad le asiste o no el deber de hacer el cierre del expediente contractual, de acuerdo con la norma citada, consiste en determinar si se exigieron o no garantías de calidad, estabilidad o mantenimiento, o si la entidad estableció condiciones de disposición final o recuperación de las obras o bienes objeto del contrato. De no ser así, no es obligatorio que la entidad haga un cierre del expediente contractual.</w:t>
      </w:r>
    </w:p>
    <w:p w14:paraId="681315B0" w14:textId="77777777" w:rsidR="00473FDA" w:rsidRPr="001D6F6E" w:rsidRDefault="00473FDA" w:rsidP="00473FDA">
      <w:pPr>
        <w:spacing w:after="120" w:line="276" w:lineRule="auto"/>
        <w:ind w:firstLine="708"/>
        <w:jc w:val="both"/>
        <w:rPr>
          <w:rFonts w:ascii="Verdana" w:hAnsi="Verdana" w:cs="Arial"/>
        </w:rPr>
      </w:pPr>
      <w:r w:rsidRPr="001D6F6E">
        <w:rPr>
          <w:rFonts w:ascii="Verdana" w:hAnsi="Verdana" w:cs="Arial"/>
        </w:rPr>
        <w:t xml:space="preserve">La norma, como se dijo previamente, establece que el cierre del expediente debe llevarse a cabo únicamente en dos eventos: i) cuando la administración establece condiciones de disposición final o recuperación ambiental de las obras o bienes; o </w:t>
      </w:r>
      <w:proofErr w:type="spellStart"/>
      <w:r w:rsidRPr="001D6F6E">
        <w:rPr>
          <w:rFonts w:ascii="Verdana" w:hAnsi="Verdana" w:cs="Arial"/>
        </w:rPr>
        <w:t>ii</w:t>
      </w:r>
      <w:proofErr w:type="spellEnd"/>
      <w:r w:rsidRPr="001D6F6E">
        <w:rPr>
          <w:rFonts w:ascii="Verdana" w:hAnsi="Verdana" w:cs="Arial"/>
        </w:rPr>
        <w:t>) una vez vencidos los términos de las garantías de calidad, estabilidad y mantenimiento. En consecuencia, resulta irrelevante que el contrato tenga garantías diferentes a las previstas en el artículo 2.2.1.1.2.4.3 del Decreto 1082 de 2015, así las mismas se encuentren vigentes, pues, se insiste, la entidad únicamente deberá hacer el cierre del expediente cuando se vencen los términos de las garantías referidas en el mencionado artículo 2.2.1.1.2.4.3.</w:t>
      </w:r>
    </w:p>
    <w:p w14:paraId="3F33E724" w14:textId="77777777" w:rsidR="00473FDA" w:rsidRDefault="00473FDA" w:rsidP="00473FDA">
      <w:pPr>
        <w:spacing w:after="120" w:line="276" w:lineRule="auto"/>
        <w:ind w:firstLine="709"/>
        <w:jc w:val="both"/>
        <w:rPr>
          <w:rFonts w:ascii="Verdana" w:hAnsi="Verdana" w:cs="Times New Roman"/>
          <w:szCs w:val="24"/>
          <w:lang w:eastAsia="es-CO"/>
        </w:rPr>
      </w:pPr>
      <w:r w:rsidRPr="001D6F6E">
        <w:rPr>
          <w:rFonts w:ascii="Verdana" w:hAnsi="Verdana" w:cs="Arial"/>
        </w:rPr>
        <w:lastRenderedPageBreak/>
        <w:t xml:space="preserve">Esta Subdirección había considerado que el deber de dejar constancia del cierre del expediente debía hacerse extensivo a los contratos en los que se pactaron las garantías que regula el artículo 2.2.1.2.3.1.7 y que no están referidas en el artículo </w:t>
      </w:r>
      <w:r w:rsidRPr="004F612A">
        <w:rPr>
          <w:rFonts w:ascii="Verdana" w:hAnsi="Verdana" w:cs="Arial"/>
          <w:i/>
          <w:iCs/>
        </w:rPr>
        <w:t>sub examine</w:t>
      </w:r>
      <w:r w:rsidRPr="001D6F6E">
        <w:rPr>
          <w:rFonts w:ascii="Verdana" w:hAnsi="Verdana" w:cs="Arial"/>
        </w:rPr>
        <w:t xml:space="preserve"> –2.2.1.1.2.4.3–, como es el caso de la que cubre el buen manejo y la correcta inversión del anticipo o la que ampara la devolución del pago anticipado. En su momento se entendió configurado un vacío normativo, y con fundamento en esto se dijo que el cierre del expediente contractual no podía realizarse sino estaban vencidas todas las garantías del contrato, en ese caso específico la garantía que amparaba el pago de salarios, prestaciones sociales legales e indemnizaciones laborales.</w:t>
      </w:r>
      <w:r w:rsidRPr="001D6F6E">
        <w:rPr>
          <w:rFonts w:ascii="Verdana" w:hAnsi="Verdana" w:cs="Times New Roman"/>
          <w:szCs w:val="24"/>
          <w:lang w:eastAsia="es-CO"/>
        </w:rPr>
        <w:t xml:space="preserve"> </w:t>
      </w:r>
    </w:p>
    <w:p w14:paraId="453720A0" w14:textId="77777777" w:rsidR="00473FDA" w:rsidRPr="001D6F6E" w:rsidRDefault="00473FDA" w:rsidP="00473FDA">
      <w:pPr>
        <w:spacing w:after="0" w:line="276" w:lineRule="auto"/>
        <w:ind w:firstLine="709"/>
        <w:jc w:val="both"/>
        <w:rPr>
          <w:rFonts w:ascii="Verdana" w:hAnsi="Verdana" w:cs="Arial"/>
        </w:rPr>
      </w:pPr>
      <w:r w:rsidRPr="001D6F6E">
        <w:rPr>
          <w:rFonts w:ascii="Verdana" w:hAnsi="Verdana" w:cs="Arial"/>
        </w:rPr>
        <w:t>Sin embargo, dicha tesis fue revaluada por esta Subdirección en el Concepto CU-028 del 25 de febrero de 2020, en la medida que la interpretación literal y sistemática de la norma descarta el vacío normativo aludido en dicha ocasión, en la medida que la norma señala expresamente unas condiciones a las que está sometido el cierre del expediente. En efecto:</w:t>
      </w:r>
    </w:p>
    <w:p w14:paraId="6EEB7E14" w14:textId="77777777" w:rsidR="00473FDA" w:rsidRPr="004A403F" w:rsidRDefault="00473FDA" w:rsidP="00473FDA">
      <w:pPr>
        <w:spacing w:after="0" w:line="276" w:lineRule="auto"/>
        <w:ind w:firstLine="709"/>
        <w:jc w:val="both"/>
        <w:rPr>
          <w:rFonts w:ascii="Verdana" w:hAnsi="Verdana" w:cs="Times New Roman"/>
          <w:lang w:eastAsia="es-CO"/>
        </w:rPr>
      </w:pPr>
    </w:p>
    <w:p w14:paraId="5B50AAF1" w14:textId="77777777" w:rsidR="00473FDA" w:rsidRPr="001D6F6E" w:rsidRDefault="00473FDA" w:rsidP="00473FDA">
      <w:pPr>
        <w:spacing w:after="120" w:line="240" w:lineRule="auto"/>
        <w:ind w:left="709" w:right="709"/>
        <w:jc w:val="both"/>
        <w:rPr>
          <w:rFonts w:ascii="Verdana" w:hAnsi="Verdana" w:cs="Arial"/>
          <w:sz w:val="20"/>
          <w:szCs w:val="20"/>
        </w:rPr>
      </w:pPr>
      <w:r w:rsidRPr="001D6F6E">
        <w:rPr>
          <w:rFonts w:ascii="Verdana" w:hAnsi="Verdana" w:cs="Arial"/>
          <w:sz w:val="20"/>
          <w:szCs w:val="20"/>
        </w:rPr>
        <w:t xml:space="preserve">“[…] una interpretación literal y sistemática de la disposición da cuenta de una tesis contraria a la que se expuso antes, esto es, que el cierre del expediente únicamente debe realizarse en dos eventos: i) cuando la administración establece condiciones de disposición final o recuperación ambiental de las obras o bienes; o </w:t>
      </w:r>
      <w:proofErr w:type="spellStart"/>
      <w:r w:rsidRPr="001D6F6E">
        <w:rPr>
          <w:rFonts w:ascii="Verdana" w:hAnsi="Verdana" w:cs="Arial"/>
          <w:sz w:val="20"/>
          <w:szCs w:val="20"/>
        </w:rPr>
        <w:t>ii</w:t>
      </w:r>
      <w:proofErr w:type="spellEnd"/>
      <w:r w:rsidRPr="001D6F6E">
        <w:rPr>
          <w:rFonts w:ascii="Verdana" w:hAnsi="Verdana" w:cs="Arial"/>
          <w:sz w:val="20"/>
          <w:szCs w:val="20"/>
        </w:rPr>
        <w:t xml:space="preserve">) una vez vencidos los términos de las garantías de calidad, estabilidad y mantenimiento  </w:t>
      </w:r>
      <w:r w:rsidRPr="001D6F6E">
        <w:rPr>
          <w:rFonts w:ascii="Arial" w:hAnsi="Arial" w:cs="Arial"/>
          <w:sz w:val="20"/>
          <w:szCs w:val="20"/>
        </w:rPr>
        <w:t>̶</w:t>
      </w:r>
      <w:r w:rsidRPr="001D6F6E">
        <w:rPr>
          <w:rFonts w:ascii="Verdana" w:hAnsi="Verdana" w:cs="Arial"/>
          <w:sz w:val="20"/>
          <w:szCs w:val="20"/>
        </w:rPr>
        <w:t xml:space="preserve"> solo estas </w:t>
      </w:r>
      <w:r w:rsidRPr="001D6F6E">
        <w:rPr>
          <w:rFonts w:ascii="Arial" w:hAnsi="Arial" w:cs="Arial"/>
          <w:sz w:val="20"/>
          <w:szCs w:val="20"/>
        </w:rPr>
        <w:t>̶</w:t>
      </w:r>
      <w:r w:rsidRPr="001D6F6E">
        <w:rPr>
          <w:rFonts w:ascii="Verdana" w:hAnsi="Verdana" w:cs="Arial"/>
          <w:sz w:val="20"/>
          <w:szCs w:val="20"/>
        </w:rPr>
        <w:t xml:space="preserve"> .</w:t>
      </w:r>
    </w:p>
    <w:p w14:paraId="40BACC1F" w14:textId="77777777" w:rsidR="00473FDA" w:rsidRPr="001D6F6E" w:rsidRDefault="00473FDA" w:rsidP="00473FDA">
      <w:pPr>
        <w:spacing w:after="120" w:line="240" w:lineRule="auto"/>
        <w:ind w:left="709" w:right="709"/>
        <w:jc w:val="both"/>
        <w:rPr>
          <w:rFonts w:ascii="Verdana" w:hAnsi="Verdana" w:cs="Arial"/>
          <w:sz w:val="20"/>
          <w:szCs w:val="20"/>
        </w:rPr>
      </w:pPr>
      <w:r w:rsidRPr="001D6F6E">
        <w:rPr>
          <w:rFonts w:ascii="Verdana" w:hAnsi="Verdana" w:cs="Arial"/>
          <w:sz w:val="20"/>
          <w:szCs w:val="20"/>
        </w:rPr>
        <w:t>La norma bajo estudio no tiene un vacío normativo. La decisión de limitar el deber de dejar constancia del cierre del expediente a unas garantías en concreto no puede ser asumida como una omisión, ya que se trata, precisamente, de eso: de una decisión de la autoridad competente para expedir la norma, en ejercicio de las competencias que le otorga el numeral 11 del artículo 189 de la Constitución.</w:t>
      </w:r>
    </w:p>
    <w:p w14:paraId="5935A2AB" w14:textId="77777777" w:rsidR="00473FDA" w:rsidRPr="001D6F6E" w:rsidRDefault="00473FDA" w:rsidP="00473FDA">
      <w:pPr>
        <w:spacing w:after="120" w:line="240" w:lineRule="auto"/>
        <w:ind w:left="709" w:right="709"/>
        <w:jc w:val="both"/>
        <w:rPr>
          <w:rFonts w:ascii="Verdana" w:hAnsi="Verdana" w:cs="Arial"/>
          <w:sz w:val="20"/>
          <w:szCs w:val="20"/>
        </w:rPr>
      </w:pPr>
      <w:r w:rsidRPr="001D6F6E">
        <w:rPr>
          <w:rFonts w:ascii="Verdana" w:hAnsi="Verdana" w:cs="Arial"/>
          <w:sz w:val="20"/>
          <w:szCs w:val="20"/>
        </w:rPr>
        <w:t xml:space="preserve">Si la intención era que se aplicara a otros supuestos fácticos, la norma hubiera hecho la remisión expresa a las disposiciones que regulan las garantías contractuales, esto es, a la Sección 3 del Capítulo 2 del Decreto 1082 de 2015; hubiera remitido a uno o varios artículos de esa Sección 3; se hubiera redactado la norma de forma genérica y sin circunscribirla a unas garantías en específico; o simplemente se hubieran incorporado al texto expresiones como ‘entre otras’ o </w:t>
      </w:r>
      <w:r>
        <w:rPr>
          <w:rFonts w:ascii="Verdana" w:hAnsi="Verdana" w:cs="Arial"/>
          <w:sz w:val="20"/>
          <w:szCs w:val="20"/>
        </w:rPr>
        <w:t>“</w:t>
      </w:r>
      <w:r w:rsidRPr="001D6F6E">
        <w:rPr>
          <w:rFonts w:ascii="Verdana" w:hAnsi="Verdana" w:cs="Arial"/>
          <w:sz w:val="20"/>
          <w:szCs w:val="20"/>
        </w:rPr>
        <w:t>cualquier otra</w:t>
      </w:r>
      <w:r>
        <w:rPr>
          <w:rFonts w:ascii="Verdana" w:hAnsi="Verdana" w:cs="Arial"/>
          <w:sz w:val="20"/>
          <w:szCs w:val="20"/>
        </w:rPr>
        <w:t>”</w:t>
      </w:r>
      <w:r w:rsidRPr="001D6F6E">
        <w:rPr>
          <w:rFonts w:ascii="Verdana" w:hAnsi="Verdana" w:cs="Arial"/>
          <w:sz w:val="20"/>
          <w:szCs w:val="20"/>
        </w:rPr>
        <w:t>, haciendo referencia a las garantías contractuales frente a las que aplica el deber de dejar constancia del cierre del expediente contractual.</w:t>
      </w:r>
    </w:p>
    <w:p w14:paraId="79AE590D" w14:textId="77777777" w:rsidR="00473FDA" w:rsidRPr="001D6F6E" w:rsidRDefault="00473FDA" w:rsidP="00473FDA">
      <w:pPr>
        <w:spacing w:after="0" w:line="240" w:lineRule="auto"/>
        <w:ind w:left="709" w:right="709"/>
        <w:jc w:val="both"/>
        <w:rPr>
          <w:rFonts w:ascii="Verdana" w:hAnsi="Verdana" w:cs="Arial"/>
          <w:sz w:val="20"/>
          <w:szCs w:val="20"/>
        </w:rPr>
      </w:pPr>
      <w:r w:rsidRPr="001D6F6E">
        <w:rPr>
          <w:rFonts w:ascii="Verdana" w:hAnsi="Verdana" w:cs="Arial"/>
          <w:sz w:val="20"/>
          <w:szCs w:val="20"/>
        </w:rPr>
        <w:t xml:space="preserve">No puede perderse de vista que el artículo 2.2.1.1.2.4.3. regula una etapa del proceso contractual, es decir, se trata de una norma que, por su naturaleza procedimental, debe ser interpretada a la luz de los principios </w:t>
      </w:r>
      <w:r w:rsidRPr="001D6F6E">
        <w:rPr>
          <w:rFonts w:ascii="Verdana" w:hAnsi="Verdana" w:cs="Arial"/>
          <w:sz w:val="20"/>
          <w:szCs w:val="20"/>
        </w:rPr>
        <w:lastRenderedPageBreak/>
        <w:t>generales del derecho, particularmente del principio de legalidad, en virtud del cual son inalterables las formalidades establecidas en los procedimientos, en este caso, las formas establecidas para cada etapa del procedimiento contractual. No es posible extender el deber de dejar constancia en el expediente contractual a supuestos no contemplados en dicho artículo, sin modificar una etapa del proceso contractual y, con esto, fustigar el principio de legalidad”</w:t>
      </w:r>
      <w:r w:rsidRPr="001D6F6E">
        <w:rPr>
          <w:rStyle w:val="Refdenotaalpie"/>
          <w:rFonts w:ascii="Verdana" w:hAnsi="Verdana" w:cs="Arial"/>
          <w:sz w:val="20"/>
          <w:szCs w:val="20"/>
        </w:rPr>
        <w:footnoteReference w:id="21"/>
      </w:r>
      <w:r w:rsidRPr="001D6F6E">
        <w:rPr>
          <w:rFonts w:ascii="Verdana" w:hAnsi="Verdana" w:cs="Arial"/>
          <w:sz w:val="20"/>
          <w:szCs w:val="20"/>
        </w:rPr>
        <w:t>.</w:t>
      </w:r>
      <w:r w:rsidRPr="001D6F6E">
        <w:rPr>
          <w:rFonts w:ascii="Verdana" w:hAnsi="Verdana" w:cs="Times New Roman"/>
          <w:sz w:val="20"/>
          <w:szCs w:val="20"/>
          <w:lang w:eastAsia="es-CO"/>
        </w:rPr>
        <w:t xml:space="preserve"> </w:t>
      </w:r>
    </w:p>
    <w:p w14:paraId="309B4D3F" w14:textId="77777777" w:rsidR="00473FDA" w:rsidRPr="004A403F" w:rsidRDefault="00473FDA" w:rsidP="00473FDA">
      <w:pPr>
        <w:spacing w:after="0" w:line="276" w:lineRule="auto"/>
        <w:ind w:firstLine="567"/>
        <w:jc w:val="both"/>
        <w:rPr>
          <w:rFonts w:ascii="Verdana" w:hAnsi="Verdana" w:cs="Arial"/>
        </w:rPr>
      </w:pPr>
      <w:r>
        <w:rPr>
          <w:rFonts w:ascii="Verdana" w:hAnsi="Verdana" w:cs="Arial"/>
          <w:sz w:val="20"/>
          <w:szCs w:val="20"/>
        </w:rPr>
        <w:tab/>
      </w:r>
    </w:p>
    <w:p w14:paraId="50EF3796" w14:textId="77777777" w:rsidR="00473FDA" w:rsidRPr="001D6F6E" w:rsidRDefault="00473FDA" w:rsidP="00473FDA">
      <w:pPr>
        <w:spacing w:after="120" w:line="276" w:lineRule="auto"/>
        <w:ind w:firstLine="708"/>
        <w:jc w:val="both"/>
        <w:rPr>
          <w:rFonts w:ascii="Verdana" w:hAnsi="Verdana" w:cs="Arial"/>
        </w:rPr>
      </w:pPr>
      <w:r w:rsidRPr="001D6F6E">
        <w:rPr>
          <w:rFonts w:ascii="Verdana" w:hAnsi="Verdana" w:cs="Arial"/>
        </w:rPr>
        <w:t xml:space="preserve">De acuerdo con </w:t>
      </w:r>
      <w:r>
        <w:rPr>
          <w:rFonts w:ascii="Verdana" w:hAnsi="Verdana" w:cs="Arial"/>
        </w:rPr>
        <w:t>esta explicación</w:t>
      </w:r>
      <w:r w:rsidRPr="001D6F6E">
        <w:rPr>
          <w:rFonts w:ascii="Verdana" w:hAnsi="Verdana" w:cs="Arial"/>
        </w:rPr>
        <w:t>, si el contrato no incluye ninguna de las garantías referidas en el artículo 2.2.1.1.2.4.3 del Decreto 1082 de 2015, o no se establecieron condiciones de disposición final o recuperación ambiental de las obras o bienes, la entidad no tiene la obligación de dejar constancia del cierre del expediente contractual. En armonía con lo anterior, si el contrato incluye varias garantías, el deber solo surgirá ante el vencimiento de las que se refiere el artículo 2.2.1.1.2.4.3, con independencia del término de vigencia de las demás. En ese sentido, vencidas las garantías de calidad, estabilidad y mantenimiento, deberá realizarse el cierre del expediente, aunque sigan vigentes otras garantías como, por ejemplo, la de pago de salarios, prestaciones sociales legales e indemnizaciones laborales.</w:t>
      </w:r>
    </w:p>
    <w:p w14:paraId="04345D32" w14:textId="77777777" w:rsidR="00473FDA" w:rsidRPr="001D6F6E" w:rsidRDefault="00473FDA" w:rsidP="00473FDA">
      <w:pPr>
        <w:spacing w:after="120" w:line="276" w:lineRule="auto"/>
        <w:ind w:firstLine="708"/>
        <w:jc w:val="both"/>
        <w:rPr>
          <w:rFonts w:ascii="Verdana" w:hAnsi="Verdana" w:cs="Arial"/>
        </w:rPr>
      </w:pPr>
      <w:r w:rsidRPr="001D6F6E">
        <w:rPr>
          <w:rFonts w:ascii="Verdana" w:hAnsi="Verdana" w:cs="Arial"/>
        </w:rPr>
        <w:t xml:space="preserve">De otra parte, en el referido concepto de unificación también se aclaró que </w:t>
      </w:r>
      <w:r>
        <w:rPr>
          <w:rFonts w:ascii="Verdana" w:hAnsi="Verdana" w:cs="Arial"/>
        </w:rPr>
        <w:t>“</w:t>
      </w:r>
      <w:r w:rsidRPr="001D6F6E">
        <w:rPr>
          <w:rFonts w:ascii="Verdana" w:hAnsi="Verdana" w:cs="Arial"/>
        </w:rPr>
        <w:t>no existe norma que prohíba que la entidad haga el cierre del expediente contractual en aquellos eventos en los que no esté obligada</w:t>
      </w:r>
      <w:r>
        <w:rPr>
          <w:rFonts w:ascii="Verdana" w:hAnsi="Verdana" w:cs="Arial"/>
        </w:rPr>
        <w:t>”</w:t>
      </w:r>
      <w:r w:rsidRPr="001D6F6E">
        <w:rPr>
          <w:rStyle w:val="Refdenotaalpie"/>
          <w:rFonts w:ascii="Verdana" w:hAnsi="Verdana" w:cs="Arial"/>
        </w:rPr>
        <w:footnoteReference w:id="22"/>
      </w:r>
      <w:r w:rsidRPr="001D6F6E">
        <w:rPr>
          <w:rFonts w:ascii="Verdana" w:hAnsi="Verdana" w:cs="Arial"/>
        </w:rPr>
        <w:t>. En ese sentido, además de dar cuenta de una correcta y debida organización y administración, puede considerarse útil para dejar constancia del vencimiento de las garantías del contrato y la condición de los bienes y obras desde la perspectiva ambiental, o del punto final de la actuación contractual, dependiendo esto último de si el contrato fue liquidado o no en el momento de dejar la constancia de cierre del expediente. En este sentido, la constancia del cierre del expediente, también es posible realizarla en eventos distintos a los establecidos en el artículo 2.2.1.1.2.4.3 del Decreto 1082 de 2015, pese a que no sea obligatoria.</w:t>
      </w:r>
    </w:p>
    <w:p w14:paraId="67E809A0" w14:textId="77777777" w:rsidR="00473FDA" w:rsidRPr="009A60F7" w:rsidRDefault="00473FDA" w:rsidP="00473FDA">
      <w:pPr>
        <w:spacing w:after="0" w:line="276" w:lineRule="auto"/>
        <w:ind w:firstLine="708"/>
        <w:jc w:val="both"/>
        <w:rPr>
          <w:rFonts w:ascii="Verdana" w:hAnsi="Verdana" w:cs="Arial"/>
        </w:rPr>
      </w:pPr>
      <w:r w:rsidRPr="001D6F6E">
        <w:rPr>
          <w:rFonts w:ascii="Verdana" w:hAnsi="Verdana" w:cs="Arial"/>
        </w:rPr>
        <w:t xml:space="preserve">En el Concepto CU-028 de 2020, esta Agencia también se manifestó respecto de la obligación de realizar el cierre del expediente contractual, en relación con el estado del contrato en cuanto a su liquidación. Sobre el particular </w:t>
      </w:r>
      <w:r w:rsidRPr="001D6F6E">
        <w:rPr>
          <w:rFonts w:ascii="Verdana" w:hAnsi="Verdana" w:cs="Arial"/>
        </w:rPr>
        <w:lastRenderedPageBreak/>
        <w:t>se determinó, de acuerdo con los Conceptos de 28 de junio de 2016</w:t>
      </w:r>
      <w:r w:rsidRPr="001D6F6E">
        <w:rPr>
          <w:rStyle w:val="Refdenotaalpie"/>
          <w:rFonts w:ascii="Verdana" w:hAnsi="Verdana" w:cs="Arial"/>
        </w:rPr>
        <w:footnoteReference w:id="23"/>
      </w:r>
      <w:r w:rsidRPr="001D6F6E">
        <w:rPr>
          <w:rFonts w:ascii="Verdana" w:hAnsi="Verdana" w:cs="Arial"/>
        </w:rPr>
        <w:t xml:space="preserve"> y de 8 de marzo de 2017</w:t>
      </w:r>
      <w:r w:rsidRPr="001D6F6E">
        <w:rPr>
          <w:rStyle w:val="Refdenotaalpie"/>
          <w:rFonts w:ascii="Verdana" w:hAnsi="Verdana" w:cs="Arial"/>
        </w:rPr>
        <w:footnoteReference w:id="24"/>
      </w:r>
      <w:r w:rsidRPr="001D6F6E">
        <w:rPr>
          <w:rFonts w:ascii="Verdana" w:hAnsi="Verdana" w:cs="Times New Roman"/>
          <w:szCs w:val="24"/>
          <w:lang w:eastAsia="es-CO"/>
        </w:rPr>
        <w:t xml:space="preserve"> </w:t>
      </w:r>
      <w:r w:rsidRPr="001D6F6E">
        <w:rPr>
          <w:rFonts w:ascii="Verdana" w:hAnsi="Verdana" w:cs="Arial"/>
        </w:rPr>
        <w:t xml:space="preserve">expedidos por la Sala de Consulta y Servicio Civil del Consejo de Estado, que la obligación del cierre del expediente contractual no está condicionada al hecho de que el contrato se hubiere liquidado o no, ya que si bien ello es una información que debería constar en dicho documento, ocurrido el vencimiento de las garantías aludidas por el artículo 2.2.1.1.2.4.3 del Decreto 1082 de 2015, o las condiciones de disposición final o recuperación ambiental de las obras o bienes, surge el deber de cerrar el expediente, </w:t>
      </w:r>
      <w:r w:rsidRPr="009A60F7">
        <w:rPr>
          <w:rFonts w:ascii="Verdana" w:hAnsi="Verdana" w:cs="Arial"/>
        </w:rPr>
        <w:t>independientemente de si para ese entonces el contrato se encuentra o no liquidado. Al respecto, en el Concepto de Unificación de esta Agencia se señaló:</w:t>
      </w:r>
    </w:p>
    <w:p w14:paraId="4BC61D62" w14:textId="77777777" w:rsidR="00473FDA" w:rsidRPr="009A60F7" w:rsidRDefault="00473FDA" w:rsidP="00473FDA">
      <w:pPr>
        <w:spacing w:after="0" w:line="276" w:lineRule="auto"/>
        <w:ind w:firstLine="567"/>
        <w:jc w:val="both"/>
        <w:rPr>
          <w:rFonts w:ascii="Verdana" w:hAnsi="Verdana" w:cs="Arial"/>
        </w:rPr>
      </w:pPr>
    </w:p>
    <w:p w14:paraId="0A6225C7" w14:textId="77777777" w:rsidR="00473FDA" w:rsidRPr="009A60F7" w:rsidRDefault="00473FDA" w:rsidP="00473FDA">
      <w:pPr>
        <w:tabs>
          <w:tab w:val="left" w:pos="8647"/>
        </w:tabs>
        <w:spacing w:after="120" w:line="240" w:lineRule="auto"/>
        <w:ind w:left="709" w:right="709"/>
        <w:jc w:val="both"/>
        <w:rPr>
          <w:rFonts w:ascii="Verdana" w:hAnsi="Verdana" w:cs="Arial"/>
          <w:sz w:val="20"/>
          <w:szCs w:val="20"/>
        </w:rPr>
      </w:pPr>
      <w:r w:rsidRPr="009A60F7">
        <w:rPr>
          <w:rFonts w:ascii="Verdana" w:hAnsi="Verdana" w:cs="Arial"/>
          <w:sz w:val="20"/>
          <w:szCs w:val="20"/>
        </w:rPr>
        <w:t xml:space="preserve">“Colombia Compra Eficiente comparte que el cierre del expediente contractual puede darse, incluso, si el contrato no ha sido liquidado, claro está, siempre que se hubiera configurado alguno de los supuestos del artículo 2.2.1.1.2.4.3. del Decreto 1082 de 2015, esto es: i) cuando la administración establece condiciones de disposición final o recuperación ambiental de las obras o bienes; o </w:t>
      </w:r>
      <w:proofErr w:type="spellStart"/>
      <w:r w:rsidRPr="009A60F7">
        <w:rPr>
          <w:rFonts w:ascii="Verdana" w:hAnsi="Verdana" w:cs="Arial"/>
          <w:sz w:val="20"/>
          <w:szCs w:val="20"/>
        </w:rPr>
        <w:t>ii</w:t>
      </w:r>
      <w:proofErr w:type="spellEnd"/>
      <w:r w:rsidRPr="009A60F7">
        <w:rPr>
          <w:rFonts w:ascii="Verdana" w:hAnsi="Verdana" w:cs="Arial"/>
          <w:sz w:val="20"/>
          <w:szCs w:val="20"/>
        </w:rPr>
        <w:t xml:space="preserve">) una vez vencidos los términos de las garantías de calidad, estabilidad y mantenimiento ─solo estas─. Sin embargo, considera que los argumentos transcritos le imponen el deber </w:t>
      </w:r>
      <w:r w:rsidRPr="009A60F7">
        <w:rPr>
          <w:rFonts w:ascii="Verdana" w:hAnsi="Verdana" w:cs="Arial"/>
          <w:sz w:val="20"/>
          <w:szCs w:val="20"/>
        </w:rPr>
        <w:lastRenderedPageBreak/>
        <w:t>de hacer algunas precisiones sobre la liquidación del contrato y su relación con el artículo 2.2.1.1.2.4.3. del Decreto 1082 de 2015.</w:t>
      </w:r>
    </w:p>
    <w:p w14:paraId="724FE95B" w14:textId="77777777" w:rsidR="00473FDA" w:rsidRPr="009A60F7" w:rsidRDefault="00473FDA" w:rsidP="00473FDA">
      <w:pPr>
        <w:tabs>
          <w:tab w:val="left" w:pos="8647"/>
        </w:tabs>
        <w:spacing w:after="0" w:line="240" w:lineRule="auto"/>
        <w:ind w:left="709" w:right="709"/>
        <w:jc w:val="both"/>
        <w:rPr>
          <w:rFonts w:ascii="Verdana" w:hAnsi="Verdana" w:cs="Times New Roman"/>
          <w:sz w:val="20"/>
          <w:szCs w:val="20"/>
          <w:lang w:eastAsia="es-CO"/>
        </w:rPr>
      </w:pPr>
      <w:r w:rsidRPr="009A60F7">
        <w:rPr>
          <w:rFonts w:ascii="Verdana" w:hAnsi="Verdana" w:cs="Arial"/>
          <w:sz w:val="20"/>
          <w:szCs w:val="20"/>
        </w:rPr>
        <w:t>En los conceptos citados no se distingue entre los contratos en los que las entidades están obligadas a dejar constancia del cierre del expediente contractual, y aquellos en los que no lo está. Por no distinguirse, se supone que la liquidación del contrato es el factor determinante para establecer el deber legal de hacer el cierre del contrato, cuando no es así, pues, se reitera, eso ocurre en los eventos referidos en la norma en estudio. El estado de la liquidación del contrato sólo es relevante para establecer el contenido de la constancia de cierre del expediente, de tal forma que si el contrato ya se liquidó se deberá dejar constancia del vencimiento de las garantías del contrato y la condición de los bienes y obras desde la perspectiva ambiental, pero si no se ha liquidado de lo que se debe dejar constancia es del punto final de la actuación contractual. Sin embargo, la liquidación no determina el deber de dejar constancia del cierre del expediente, como lo sugiere la Sala de Consulta y Servicio Civil del Consejo de Estado. Este deber, como se explicó, sólo depende de la configuración de los dos supuestos del artículo 2.2.1.1.2.4.3”</w:t>
      </w:r>
      <w:r w:rsidRPr="009A60F7">
        <w:rPr>
          <w:rStyle w:val="Refdenotaalpie"/>
          <w:rFonts w:ascii="Verdana" w:hAnsi="Verdana" w:cs="Arial"/>
          <w:sz w:val="20"/>
          <w:szCs w:val="20"/>
        </w:rPr>
        <w:footnoteReference w:id="25"/>
      </w:r>
      <w:r w:rsidRPr="009A60F7">
        <w:rPr>
          <w:rFonts w:ascii="Verdana" w:hAnsi="Verdana" w:cs="Arial"/>
          <w:sz w:val="20"/>
          <w:szCs w:val="20"/>
        </w:rPr>
        <w:t>.</w:t>
      </w:r>
      <w:r w:rsidRPr="009A60F7">
        <w:rPr>
          <w:rFonts w:ascii="Verdana" w:hAnsi="Verdana" w:cs="Times New Roman"/>
          <w:sz w:val="20"/>
          <w:szCs w:val="20"/>
          <w:lang w:eastAsia="es-CO"/>
        </w:rPr>
        <w:t xml:space="preserve"> </w:t>
      </w:r>
    </w:p>
    <w:p w14:paraId="7EB82C62" w14:textId="77777777" w:rsidR="00473FDA" w:rsidRPr="009A60F7" w:rsidRDefault="00473FDA" w:rsidP="00473FDA">
      <w:pPr>
        <w:tabs>
          <w:tab w:val="left" w:pos="8647"/>
        </w:tabs>
        <w:spacing w:after="0" w:line="240" w:lineRule="auto"/>
        <w:ind w:left="709" w:right="851"/>
        <w:jc w:val="both"/>
        <w:rPr>
          <w:rFonts w:ascii="Verdana" w:hAnsi="Verdana" w:cs="Arial"/>
        </w:rPr>
      </w:pPr>
    </w:p>
    <w:p w14:paraId="7A8BB431" w14:textId="77777777" w:rsidR="00473FDA" w:rsidRPr="009A60F7" w:rsidRDefault="00473FDA" w:rsidP="00473FDA">
      <w:pPr>
        <w:tabs>
          <w:tab w:val="left" w:pos="709"/>
        </w:tabs>
        <w:spacing w:after="0" w:line="276" w:lineRule="auto"/>
        <w:jc w:val="both"/>
        <w:rPr>
          <w:rFonts w:ascii="Verdana" w:eastAsia="Calibri" w:hAnsi="Verdana" w:cs="Arial"/>
          <w:color w:val="000000"/>
          <w:lang w:val="es-ES" w:eastAsia="es-ES"/>
        </w:rPr>
      </w:pPr>
      <w:r w:rsidRPr="009A60F7">
        <w:rPr>
          <w:rFonts w:ascii="Verdana" w:hAnsi="Verdana" w:cs="Arial"/>
        </w:rPr>
        <w:tab/>
        <w:t>En conclusión, el cierre del expediente del proceso de contratación es obligatorio cuando el contrato estatal exige las garantías de calidad, estabilidad o mantenimiento, o cuando la entidad establezca condiciones de disposición final o recuperación ambiental de las obras o bienes contratados. Una vez cumplidas tales condiciones surge el deber de dejar constancia del correspondiente acto de cierre del expediente contractual, ya sea que el contrato se hubiere liquidado o no.</w:t>
      </w:r>
    </w:p>
    <w:p w14:paraId="5C8CC119" w14:textId="77777777" w:rsidR="00473FDA" w:rsidRPr="00933B3D" w:rsidRDefault="00473FDA" w:rsidP="00473FDA">
      <w:pPr>
        <w:spacing w:after="0" w:line="276" w:lineRule="auto"/>
        <w:jc w:val="both"/>
        <w:rPr>
          <w:rFonts w:ascii="Verdana" w:hAnsi="Verdana" w:cs="Arial"/>
        </w:rPr>
      </w:pPr>
    </w:p>
    <w:p w14:paraId="1ED8BB51" w14:textId="77777777" w:rsidR="00473FDA" w:rsidRDefault="00473FDA" w:rsidP="00473FDA">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w:t>
      </w:r>
      <w:r w:rsidRPr="00C35463">
        <w:rPr>
          <w:rFonts w:ascii="Verdana" w:eastAsia="Calibri" w:hAnsi="Verdana" w:cs="Arial"/>
          <w:bCs/>
          <w:color w:val="000000" w:themeColor="text1"/>
        </w:rPr>
        <w:t>Al margen</w:t>
      </w:r>
      <w:r w:rsidRPr="00E853DE">
        <w:rPr>
          <w:rFonts w:ascii="Verdana" w:eastAsia="Calibri" w:hAnsi="Verdana" w:cs="Arial"/>
          <w:bCs/>
          <w:color w:val="000000" w:themeColor="text1"/>
        </w:rPr>
        <w:t xml:space="preserve">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B96E717" w14:textId="77777777" w:rsidR="00473FDA" w:rsidRPr="00185EE9" w:rsidRDefault="00473FDA" w:rsidP="00473FDA">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672C674C" w14:textId="77777777" w:rsidR="00473FDA" w:rsidRPr="00182C89" w:rsidRDefault="00473FDA" w:rsidP="00473FDA">
      <w:pPr>
        <w:tabs>
          <w:tab w:val="left" w:pos="709"/>
        </w:tabs>
        <w:spacing w:after="0" w:line="276" w:lineRule="auto"/>
        <w:jc w:val="both"/>
        <w:rPr>
          <w:rFonts w:ascii="Verdana" w:eastAsia="Calibri" w:hAnsi="Verdana" w:cs="Arial"/>
          <w:color w:val="000000" w:themeColor="text1"/>
        </w:rPr>
      </w:pPr>
    </w:p>
    <w:p w14:paraId="2D83B7E3" w14:textId="77777777" w:rsidR="00473FDA" w:rsidRPr="00593A5F" w:rsidRDefault="00473FDA" w:rsidP="00473F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31323ACF" w14:textId="77777777" w:rsidR="00473FDA" w:rsidRPr="00593A5F" w:rsidRDefault="00473FDA" w:rsidP="00473FD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73FDA" w:rsidRPr="002407CE" w14:paraId="49006B2A" w14:textId="77777777" w:rsidTr="007E0511">
        <w:trPr>
          <w:trHeight w:val="870"/>
          <w:jc w:val="center"/>
        </w:trPr>
        <w:tc>
          <w:tcPr>
            <w:tcW w:w="8647" w:type="dxa"/>
          </w:tcPr>
          <w:p w14:paraId="6F06EBA4" w14:textId="77777777" w:rsidR="00473FDA" w:rsidRPr="00B954AE" w:rsidRDefault="00473FDA" w:rsidP="007E0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Ley 80 de 1993, artículo 60.</w:t>
            </w:r>
          </w:p>
          <w:p w14:paraId="778AE79D" w14:textId="77777777" w:rsidR="00473FDA" w:rsidRPr="00B954AE" w:rsidRDefault="00473FDA" w:rsidP="007E0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Ley 1150 de 2007, artículo 11.</w:t>
            </w:r>
          </w:p>
          <w:p w14:paraId="26E46799" w14:textId="77777777" w:rsidR="00473FDA" w:rsidRDefault="00473FDA" w:rsidP="007E0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 xml:space="preserve">Ley 1437 de 2011, artículos 141 y 164. </w:t>
            </w:r>
          </w:p>
          <w:p w14:paraId="23673246" w14:textId="77777777" w:rsidR="00473FDA" w:rsidRPr="00C95374" w:rsidRDefault="00473FDA" w:rsidP="007E0511">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artículos </w:t>
            </w:r>
            <w:r w:rsidRPr="001D6F6E">
              <w:rPr>
                <w:rFonts w:ascii="Verdana" w:hAnsi="Verdana" w:cs="Arial"/>
              </w:rPr>
              <w:t>2.2.1.1.1.3.1</w:t>
            </w:r>
            <w:r>
              <w:rPr>
                <w:rFonts w:ascii="Verdana" w:hAnsi="Verdana" w:cs="Arial"/>
              </w:rPr>
              <w:t xml:space="preserve">, </w:t>
            </w:r>
            <w:r w:rsidRPr="001D6F6E">
              <w:rPr>
                <w:rFonts w:ascii="Verdana" w:eastAsia="Calibri" w:hAnsi="Verdana" w:cs="Arial"/>
                <w:color w:val="000000"/>
                <w:lang w:eastAsia="es-ES"/>
              </w:rPr>
              <w:t>2.2.1.1.2.4.3</w:t>
            </w:r>
            <w:r>
              <w:rPr>
                <w:rFonts w:ascii="Verdana" w:eastAsia="Calibri" w:hAnsi="Verdana" w:cs="Arial"/>
                <w:color w:val="000000"/>
                <w:lang w:eastAsia="es-ES"/>
              </w:rPr>
              <w:t xml:space="preserve"> y </w:t>
            </w:r>
            <w:r w:rsidRPr="001D6F6E">
              <w:rPr>
                <w:rFonts w:ascii="Verdana" w:hAnsi="Verdana" w:cs="Arial"/>
              </w:rPr>
              <w:t>2.2.1.2.3.1.7</w:t>
            </w:r>
            <w:r>
              <w:rPr>
                <w:rFonts w:ascii="Verdana" w:hAnsi="Verdana" w:cs="Arial"/>
              </w:rPr>
              <w:t>.</w:t>
            </w:r>
          </w:p>
        </w:tc>
      </w:tr>
    </w:tbl>
    <w:p w14:paraId="301C0BE4" w14:textId="77777777" w:rsidR="00473FDA" w:rsidRPr="002407CE" w:rsidRDefault="00473FDA" w:rsidP="00473FDA">
      <w:pPr>
        <w:widowControl w:val="0"/>
        <w:autoSpaceDE w:val="0"/>
        <w:autoSpaceDN w:val="0"/>
        <w:spacing w:after="0" w:line="276" w:lineRule="auto"/>
        <w:jc w:val="both"/>
        <w:rPr>
          <w:rFonts w:ascii="Verdana" w:hAnsi="Verdana" w:cs="Arial"/>
        </w:rPr>
      </w:pPr>
    </w:p>
    <w:p w14:paraId="3F00F74E" w14:textId="77777777" w:rsidR="00473FDA" w:rsidRPr="00593A5F" w:rsidRDefault="00473FDA" w:rsidP="00473F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31C3E22" w14:textId="77777777" w:rsidR="00473FDA" w:rsidRPr="00593A5F" w:rsidRDefault="00473FDA" w:rsidP="00473FDA">
      <w:pPr>
        <w:widowControl w:val="0"/>
        <w:autoSpaceDE w:val="0"/>
        <w:autoSpaceDN w:val="0"/>
        <w:spacing w:after="0" w:line="276" w:lineRule="auto"/>
        <w:jc w:val="both"/>
        <w:rPr>
          <w:rFonts w:ascii="Verdana" w:hAnsi="Verdana" w:cs="Arial"/>
        </w:rPr>
      </w:pPr>
    </w:p>
    <w:p w14:paraId="0D886D2E" w14:textId="77777777" w:rsidR="00473FDA" w:rsidRPr="00ED0098" w:rsidRDefault="00473FDA" w:rsidP="00473FDA">
      <w:pPr>
        <w:widowControl w:val="0"/>
        <w:autoSpaceDE w:val="0"/>
        <w:autoSpaceDN w:val="0"/>
        <w:spacing w:after="0" w:line="276" w:lineRule="auto"/>
        <w:jc w:val="both"/>
        <w:rPr>
          <w:rStyle w:val="normaltextrun"/>
          <w:rFonts w:ascii="Verdana" w:hAnsi="Verdana" w:cs="Arial"/>
          <w:shd w:val="clear" w:color="auto" w:fill="FFFFFF"/>
        </w:rPr>
      </w:pPr>
      <w:r w:rsidRPr="000E4CD6">
        <w:rPr>
          <w:rStyle w:val="normaltextrun"/>
          <w:rFonts w:ascii="Verdana" w:hAnsi="Verdana" w:cs="Arial"/>
          <w:shd w:val="clear" w:color="auto" w:fill="FFFFFF"/>
          <w:lang w:val="es-ES_tradnl"/>
        </w:rPr>
        <w:t>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w:t>
      </w:r>
      <w:r>
        <w:rPr>
          <w:rStyle w:val="normaltextrun"/>
          <w:rFonts w:ascii="Verdana" w:hAnsi="Verdana" w:cs="Arial"/>
          <w:shd w:val="clear" w:color="auto" w:fill="FFFFFF"/>
          <w:lang w:val="es-ES_tradnl"/>
        </w:rPr>
        <w:t>,</w:t>
      </w:r>
      <w:r w:rsidRPr="000E4CD6">
        <w:rPr>
          <w:rStyle w:val="normaltextrun"/>
          <w:rFonts w:ascii="Verdana" w:hAnsi="Verdana" w:cs="Arial"/>
          <w:shd w:val="clear" w:color="auto" w:fill="FFFFFF"/>
          <w:lang w:val="es-ES_tradnl"/>
        </w:rPr>
        <w:t xml:space="preserve"> C-568 del 18 de octubre de 2024</w:t>
      </w:r>
      <w:r>
        <w:rPr>
          <w:rStyle w:val="normaltextrun"/>
          <w:rFonts w:ascii="Verdana" w:hAnsi="Verdana" w:cs="Arial"/>
          <w:shd w:val="clear" w:color="auto" w:fill="FFFFFF"/>
          <w:lang w:val="es-ES_tradnl"/>
        </w:rPr>
        <w:t xml:space="preserve"> y C-968 del 16 de diciembre de 2024</w:t>
      </w:r>
      <w:r w:rsidRPr="004A73EC">
        <w:rPr>
          <w:rStyle w:val="normaltextrun"/>
          <w:rFonts w:ascii="Verdana" w:hAnsi="Verdana" w:cs="Arial"/>
          <w:shd w:val="clear" w:color="auto" w:fill="FFFFFF"/>
          <w:lang w:val="es-ES_tradnl"/>
        </w:rPr>
        <w:t>. Es</w:t>
      </w:r>
      <w:r w:rsidRPr="004A73EC">
        <w:rPr>
          <w:rFonts w:ascii="Verdana" w:hAnsi="Verdana"/>
          <w:lang w:val="es-ES_tradnl"/>
        </w:rPr>
        <w:t>tos y otros se encuentran disponibles para consulta en el Sistema de relatoría de la Agencia, al cual puede accederse a través del siguiente enlace:</w:t>
      </w:r>
      <w:r w:rsidRPr="008D0AB0">
        <w:rPr>
          <w:rStyle w:val="normaltextrun"/>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5D1347C" w14:textId="77777777" w:rsidR="00473FDA" w:rsidRPr="00096788" w:rsidRDefault="00473FDA" w:rsidP="00473FDA">
      <w:pPr>
        <w:widowControl w:val="0"/>
        <w:autoSpaceDE w:val="0"/>
        <w:autoSpaceDN w:val="0"/>
        <w:spacing w:after="0" w:line="276" w:lineRule="auto"/>
        <w:jc w:val="both"/>
        <w:rPr>
          <w:rFonts w:ascii="Verdana" w:hAnsi="Verdana" w:cs="Arial"/>
          <w:color w:val="000000" w:themeColor="text1"/>
          <w:shd w:val="clear" w:color="auto" w:fill="FFFFFF"/>
        </w:rPr>
      </w:pPr>
    </w:p>
    <w:p w14:paraId="05D74A6C" w14:textId="77777777" w:rsidR="00473FDA" w:rsidRPr="00E440FD" w:rsidRDefault="00473FDA" w:rsidP="00473FD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w:t>
      </w:r>
      <w:r w:rsidRPr="00032009">
        <w:rPr>
          <w:rFonts w:ascii="Verdana" w:hAnsi="Verdana"/>
          <w:color w:val="000000"/>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2F4ECEC0" w14:textId="77777777" w:rsidR="00473FDA" w:rsidRDefault="00473FDA" w:rsidP="00473FDA">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7D5E7A75" w14:textId="77777777" w:rsidR="00473FDA" w:rsidRPr="0038088D" w:rsidRDefault="00473FDA" w:rsidP="00473FDA">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2C8CCB1F" w14:textId="77777777" w:rsidR="00473FDA" w:rsidRPr="0038088D" w:rsidRDefault="00473FDA" w:rsidP="00473FDA">
      <w:pPr>
        <w:spacing w:after="0"/>
        <w:jc w:val="both"/>
        <w:rPr>
          <w:rFonts w:ascii="Verdana" w:hAnsi="Verdana"/>
        </w:rPr>
      </w:pPr>
    </w:p>
    <w:p w14:paraId="30593E67" w14:textId="77777777" w:rsidR="00473FDA" w:rsidRPr="0038088D" w:rsidRDefault="00473FDA" w:rsidP="00473FDA">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6ABBBC99" w14:textId="77777777" w:rsidR="00473FDA" w:rsidRPr="0038088D" w:rsidRDefault="00473FDA" w:rsidP="00473FDA">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3F3F28DA" w14:textId="77777777" w:rsidR="00473FDA" w:rsidRPr="0038088D" w:rsidRDefault="00473FDA" w:rsidP="00473FDA">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750F02EB" w14:textId="77777777" w:rsidR="00473FDA" w:rsidRPr="0038088D" w:rsidRDefault="00473FDA" w:rsidP="00473FDA">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5BEFD566" w14:textId="77777777" w:rsidR="00473FDA" w:rsidRPr="0038088D" w:rsidRDefault="00473FDA" w:rsidP="00473FDA">
      <w:pPr>
        <w:spacing w:after="0" w:line="240" w:lineRule="auto"/>
        <w:ind w:left="720"/>
        <w:jc w:val="both"/>
        <w:rPr>
          <w:rFonts w:ascii="Verdana" w:hAnsi="Verdana"/>
        </w:rPr>
      </w:pPr>
    </w:p>
    <w:p w14:paraId="1ADA96C7" w14:textId="77777777" w:rsidR="00473FDA" w:rsidRPr="0038088D" w:rsidRDefault="00473FDA" w:rsidP="00473FDA">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4ED71946" w14:textId="77777777" w:rsidR="00473FDA" w:rsidRPr="0038088D" w:rsidRDefault="00473FDA" w:rsidP="00473FDA">
      <w:pPr>
        <w:spacing w:after="0" w:line="240" w:lineRule="auto"/>
        <w:rPr>
          <w:rFonts w:ascii="Verdana" w:hAnsi="Verdana"/>
        </w:rPr>
      </w:pPr>
    </w:p>
    <w:p w14:paraId="2CF16920" w14:textId="77777777" w:rsidR="00473FDA" w:rsidRPr="0038088D" w:rsidRDefault="00473FDA" w:rsidP="00473FDA">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445AAA2C" w14:textId="77777777" w:rsidR="00473FDA" w:rsidRPr="00116940" w:rsidRDefault="00473FDA" w:rsidP="00473FDA">
      <w:pPr>
        <w:spacing w:after="0" w:line="240" w:lineRule="auto"/>
        <w:jc w:val="both"/>
        <w:rPr>
          <w:rFonts w:ascii="Verdana" w:hAnsi="Verdana"/>
        </w:rPr>
      </w:pPr>
    </w:p>
    <w:p w14:paraId="653F20A4" w14:textId="77777777" w:rsidR="00473FDA" w:rsidRPr="00116940" w:rsidRDefault="00473FDA" w:rsidP="00473FDA">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1D4186F" w14:textId="77777777" w:rsidR="00473FDA" w:rsidRPr="00116940" w:rsidRDefault="00473FDA" w:rsidP="00473FDA">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0BA2089" w14:textId="77777777" w:rsidR="00473FDA" w:rsidRPr="0038088D" w:rsidRDefault="00473FDA" w:rsidP="00473FDA">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F7EE2CF" w14:textId="77777777" w:rsidR="00473FDA" w:rsidRPr="009C4035" w:rsidRDefault="00473FDA" w:rsidP="00473FDA">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1D0247F" w14:textId="77777777" w:rsidR="00473FDA" w:rsidRPr="00593A5F" w:rsidRDefault="00473FDA" w:rsidP="00473FD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91506C2" w14:textId="77777777" w:rsidR="00473FDA" w:rsidRPr="00593A5F" w:rsidRDefault="00473FDA" w:rsidP="00473FDA">
      <w:pPr>
        <w:widowControl w:val="0"/>
        <w:autoSpaceDE w:val="0"/>
        <w:autoSpaceDN w:val="0"/>
        <w:spacing w:after="0" w:line="276" w:lineRule="auto"/>
        <w:jc w:val="both"/>
        <w:rPr>
          <w:rFonts w:ascii="Verdana" w:hAnsi="Verdana" w:cs="Arial"/>
        </w:rPr>
      </w:pPr>
    </w:p>
    <w:p w14:paraId="66B12C85" w14:textId="77777777" w:rsidR="00473FDA" w:rsidRPr="00593A5F" w:rsidRDefault="00473FDA" w:rsidP="00473FD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605E7AC" w14:textId="278677FB" w:rsidR="00473FDA" w:rsidRPr="00593A5F" w:rsidRDefault="00D712D7" w:rsidP="00473FDA">
      <w:pPr>
        <w:spacing w:line="276" w:lineRule="auto"/>
        <w:jc w:val="center"/>
        <w:rPr>
          <w:rFonts w:ascii="Verdana" w:hAnsi="Verdana" w:cs="Arial"/>
          <w:color w:val="000000"/>
          <w:lang w:val="es-ES_tradnl" w:eastAsia="es-CO"/>
        </w:rPr>
      </w:pPr>
      <w:r>
        <w:rPr>
          <w:noProof/>
        </w:rPr>
        <w:drawing>
          <wp:inline distT="0" distB="0" distL="0" distR="0" wp14:anchorId="6CB59ADE" wp14:editId="0E0329D1">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73FDA" w:rsidRPr="00593A5F" w14:paraId="2BC45042" w14:textId="77777777" w:rsidTr="007E0511">
        <w:trPr>
          <w:trHeight w:val="315"/>
        </w:trPr>
        <w:tc>
          <w:tcPr>
            <w:tcW w:w="893" w:type="dxa"/>
            <w:vAlign w:val="center"/>
            <w:hideMark/>
          </w:tcPr>
          <w:p w14:paraId="1B9586E8" w14:textId="77777777" w:rsidR="00473FDA" w:rsidRPr="003751C7" w:rsidRDefault="00473FDA" w:rsidP="007E051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652874" w14:textId="77777777" w:rsidR="00473FDA" w:rsidRPr="00254A7A" w:rsidRDefault="00473FDA" w:rsidP="007E0511">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DCDD07F" w14:textId="77777777" w:rsidR="00473FDA" w:rsidRPr="00254A7A" w:rsidRDefault="00473FDA" w:rsidP="007E0511">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473FDA" w:rsidRPr="00593A5F" w14:paraId="6B165DC0" w14:textId="77777777" w:rsidTr="007E0511">
        <w:trPr>
          <w:trHeight w:val="330"/>
        </w:trPr>
        <w:tc>
          <w:tcPr>
            <w:tcW w:w="893" w:type="dxa"/>
            <w:vAlign w:val="center"/>
            <w:hideMark/>
          </w:tcPr>
          <w:p w14:paraId="2547CFB1" w14:textId="77777777" w:rsidR="00473FDA" w:rsidRPr="003751C7" w:rsidRDefault="00473FDA" w:rsidP="007E051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EF7795D" w14:textId="77777777" w:rsidR="00473FDA" w:rsidRPr="0033383A" w:rsidRDefault="00473FDA" w:rsidP="007E0511">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06F7CA3E" w14:textId="77777777" w:rsidR="00473FDA" w:rsidRPr="00254A7A" w:rsidRDefault="00473FDA" w:rsidP="007E0511">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473FDA" w:rsidRPr="00593A5F" w14:paraId="475F71A1" w14:textId="77777777" w:rsidTr="007E0511">
        <w:trPr>
          <w:trHeight w:val="300"/>
        </w:trPr>
        <w:tc>
          <w:tcPr>
            <w:tcW w:w="893" w:type="dxa"/>
            <w:vAlign w:val="center"/>
          </w:tcPr>
          <w:p w14:paraId="5417758D" w14:textId="77777777" w:rsidR="00473FDA" w:rsidRPr="003751C7" w:rsidRDefault="00473FDA" w:rsidP="007E051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3058428" w14:textId="77777777" w:rsidR="00473FDA" w:rsidRPr="00731523" w:rsidRDefault="00473FDA" w:rsidP="007E0511">
            <w:pPr>
              <w:contextualSpacing/>
              <w:rPr>
                <w:rFonts w:ascii="Verdana" w:eastAsia="Calibri" w:hAnsi="Verdana" w:cs="Arial"/>
                <w:sz w:val="16"/>
                <w:szCs w:val="16"/>
                <w:lang w:val="es-ES" w:eastAsia="es-ES"/>
              </w:rPr>
            </w:pPr>
            <w:r w:rsidRPr="1B3F8436">
              <w:rPr>
                <w:rFonts w:ascii="Verdana" w:eastAsia="Calibri" w:hAnsi="Verdana" w:cs="Arial"/>
                <w:sz w:val="16"/>
                <w:szCs w:val="16"/>
                <w:lang w:val="es-ES" w:eastAsia="es-ES"/>
              </w:rPr>
              <w:t xml:space="preserve">Carolina Quintero </w:t>
            </w:r>
            <w:proofErr w:type="spellStart"/>
            <w:r w:rsidRPr="1B3F8436">
              <w:rPr>
                <w:rFonts w:ascii="Verdana" w:eastAsia="Calibri" w:hAnsi="Verdana" w:cs="Arial"/>
                <w:sz w:val="16"/>
                <w:szCs w:val="16"/>
                <w:lang w:val="es-ES" w:eastAsia="es-ES"/>
              </w:rPr>
              <w:t>Gacharná</w:t>
            </w:r>
            <w:proofErr w:type="spellEnd"/>
          </w:p>
          <w:p w14:paraId="25ABB585" w14:textId="77777777" w:rsidR="00473FDA" w:rsidRPr="003751C7" w:rsidRDefault="00473FDA" w:rsidP="007E0511">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3396FDD0" w14:textId="77777777" w:rsidR="00473FDA" w:rsidRPr="00543BFE" w:rsidRDefault="00473FDA" w:rsidP="00473FDA"/>
    <w:p w14:paraId="0F293BF4" w14:textId="6557194C" w:rsidR="00127233" w:rsidRPr="00473FDA" w:rsidRDefault="00127233" w:rsidP="00473FDA"/>
    <w:sectPr w:rsidR="00127233" w:rsidRPr="00473FDA"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E0AF2" w14:textId="77777777" w:rsidR="00391BD4" w:rsidRDefault="00391BD4" w:rsidP="004A1847">
      <w:pPr>
        <w:spacing w:after="0" w:line="240" w:lineRule="auto"/>
      </w:pPr>
      <w:r>
        <w:separator/>
      </w:r>
    </w:p>
  </w:endnote>
  <w:endnote w:type="continuationSeparator" w:id="0">
    <w:p w14:paraId="4B71102D" w14:textId="77777777" w:rsidR="00391BD4" w:rsidRDefault="00391BD4" w:rsidP="004A1847">
      <w:pPr>
        <w:spacing w:after="0" w:line="240" w:lineRule="auto"/>
      </w:pPr>
      <w:r>
        <w:continuationSeparator/>
      </w:r>
    </w:p>
  </w:endnote>
  <w:endnote w:type="continuationNotice" w:id="1">
    <w:p w14:paraId="7D077A3D" w14:textId="77777777" w:rsidR="00391BD4" w:rsidRDefault="00391B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7E587" w14:textId="77777777" w:rsidR="00391BD4" w:rsidRDefault="00391BD4" w:rsidP="004A1847">
      <w:pPr>
        <w:spacing w:after="0" w:line="240" w:lineRule="auto"/>
      </w:pPr>
      <w:r>
        <w:separator/>
      </w:r>
    </w:p>
  </w:footnote>
  <w:footnote w:type="continuationSeparator" w:id="0">
    <w:p w14:paraId="2E8B6486" w14:textId="77777777" w:rsidR="00391BD4" w:rsidRDefault="00391BD4" w:rsidP="004A1847">
      <w:pPr>
        <w:spacing w:after="0" w:line="240" w:lineRule="auto"/>
      </w:pPr>
      <w:r>
        <w:continuationSeparator/>
      </w:r>
    </w:p>
  </w:footnote>
  <w:footnote w:type="continuationNotice" w:id="1">
    <w:p w14:paraId="6A491322" w14:textId="77777777" w:rsidR="00391BD4" w:rsidRDefault="00391BD4">
      <w:pPr>
        <w:spacing w:after="0" w:line="240" w:lineRule="auto"/>
      </w:pPr>
    </w:p>
  </w:footnote>
  <w:footnote w:id="2">
    <w:p w14:paraId="2D3A367E" w14:textId="77777777" w:rsidR="00473FDA" w:rsidRPr="00224A89" w:rsidRDefault="00473FDA" w:rsidP="00473FDA">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224A89">
        <w:rPr>
          <w:rFonts w:ascii="Verdana" w:hAnsi="Verdana" w:cs="Arial"/>
          <w:color w:val="000000"/>
          <w:sz w:val="16"/>
          <w:szCs w:val="16"/>
          <w:shd w:val="clear" w:color="auto" w:fill="FFFFFF"/>
        </w:rPr>
        <w:t>” (</w:t>
      </w:r>
      <w:r w:rsidRPr="00224A89">
        <w:rPr>
          <w:rFonts w:ascii="Verdana" w:hAnsi="Verdana" w:cs="Arial"/>
          <w:color w:val="000000"/>
          <w:sz w:val="16"/>
          <w:szCs w:val="16"/>
        </w:rPr>
        <w:t>EXPOSITO, Juan Carlos. Forma y contenido del contrato estatal. Bogotá: Universidad Externado de Colombia, p. 89 y 90).</w:t>
      </w:r>
    </w:p>
  </w:footnote>
  <w:footnote w:id="3">
    <w:p w14:paraId="2D493E6A" w14:textId="77777777" w:rsidR="00473FDA" w:rsidRPr="00224A89" w:rsidRDefault="00473FDA" w:rsidP="00473FDA">
      <w:pPr>
        <w:pStyle w:val="Textonotapie"/>
        <w:ind w:firstLine="708"/>
        <w:jc w:val="both"/>
        <w:rPr>
          <w:rFonts w:ascii="Verdana" w:hAnsi="Verdana" w:cs="Arial"/>
          <w:color w:val="000000"/>
          <w:sz w:val="16"/>
          <w:szCs w:val="16"/>
          <w:lang w:val="es-CO"/>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4">
    <w:p w14:paraId="6DEC3CA6" w14:textId="77777777" w:rsidR="00473FDA" w:rsidRPr="00224A89" w:rsidRDefault="00473FDA" w:rsidP="00473FDA">
      <w:pPr>
        <w:spacing w:after="0"/>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5">
    <w:p w14:paraId="1ADFABD6" w14:textId="77777777" w:rsidR="00473FDA" w:rsidRPr="00224A89" w:rsidRDefault="00473FDA" w:rsidP="00473FDA">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EXPÓSITO VÉLEZ, Juan Carlos. Forma y contenido del contrato estatal, p. 90.</w:t>
      </w:r>
    </w:p>
  </w:footnote>
  <w:footnote w:id="6">
    <w:p w14:paraId="11CFEA11" w14:textId="77777777" w:rsidR="00473FDA" w:rsidRPr="00224A89" w:rsidRDefault="00473FDA" w:rsidP="00473FDA">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Radicado No. 1453. Concepto de 6 de agosto de 2003. MP. Augusto Trejos.</w:t>
      </w:r>
    </w:p>
  </w:footnote>
  <w:footnote w:id="7">
    <w:p w14:paraId="70533FED" w14:textId="77777777" w:rsidR="00473FDA" w:rsidRPr="00224A89" w:rsidRDefault="00473FDA" w:rsidP="00473FDA">
      <w:pPr>
        <w:pStyle w:val="Textonotapie"/>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w:t>
      </w:r>
      <w:r w:rsidRPr="00224A89">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4C85850" w14:textId="77777777" w:rsidR="00473FDA" w:rsidRPr="00224A89" w:rsidRDefault="00473FDA" w:rsidP="00473FDA">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54F0E095" w14:textId="77777777" w:rsidR="00473FDA" w:rsidRPr="00224A89" w:rsidRDefault="00473FDA" w:rsidP="00473FDA">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37E4A712" w14:textId="77777777" w:rsidR="00473FDA" w:rsidRPr="00224A89" w:rsidRDefault="00473FDA" w:rsidP="00473FDA">
      <w:pPr>
        <w:pStyle w:val="Textonotapie"/>
        <w:ind w:firstLine="708"/>
        <w:jc w:val="both"/>
        <w:rPr>
          <w:rFonts w:ascii="Verdana" w:hAnsi="Verdana" w:cs="Arial"/>
          <w:color w:val="000000"/>
          <w:sz w:val="16"/>
          <w:szCs w:val="16"/>
          <w:lang w:val="es-ES"/>
        </w:rPr>
      </w:pPr>
      <w:r w:rsidRPr="00224A89">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8">
    <w:p w14:paraId="59EA2971" w14:textId="77777777" w:rsidR="00473FDA" w:rsidRPr="00224A89" w:rsidRDefault="00473FDA" w:rsidP="00473FDA">
      <w:pPr>
        <w:pStyle w:val="Textonotapie"/>
        <w:ind w:firstLine="709"/>
        <w:jc w:val="both"/>
        <w:rPr>
          <w:rFonts w:ascii="Verdana" w:hAnsi="Verdana" w:cs="Arial"/>
          <w:color w:val="000000"/>
          <w:sz w:val="16"/>
          <w:szCs w:val="16"/>
          <w:lang w:val="es-CO"/>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Subsección C, Sentencia del 24 de julio de 2013, radicado No. 25.642, Consejero Ponente Enrique Gil Botero.</w:t>
      </w:r>
    </w:p>
  </w:footnote>
  <w:footnote w:id="9">
    <w:p w14:paraId="0744ADF8" w14:textId="77777777" w:rsidR="00473FDA" w:rsidRPr="00224A89" w:rsidRDefault="00473FDA" w:rsidP="00473FDA">
      <w:pPr>
        <w:pStyle w:val="NormalWeb"/>
        <w:spacing w:before="0" w:beforeAutospacing="0" w:after="0" w:afterAutospacing="0"/>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Decreto 1082 de 2015 “</w:t>
      </w:r>
      <w:r w:rsidRPr="00224A89">
        <w:rPr>
          <w:rStyle w:val="Textoennegrita"/>
          <w:rFonts w:ascii="Verdana" w:hAnsi="Verdana" w:cs="Arial"/>
          <w:color w:val="000000"/>
          <w:sz w:val="16"/>
          <w:szCs w:val="16"/>
        </w:rPr>
        <w:t>Artículo 2.2.1.2.1.5.2. </w:t>
      </w:r>
      <w:r w:rsidRPr="00224A89">
        <w:rPr>
          <w:rStyle w:val="nfasis"/>
          <w:rFonts w:ascii="Verdana" w:eastAsia="MS Mincho" w:hAnsi="Verdana" w:cs="Arial"/>
          <w:color w:val="000000"/>
          <w:sz w:val="16"/>
          <w:szCs w:val="16"/>
        </w:rPr>
        <w:t>Procedimiento para la contratación de mínima cuantía. </w:t>
      </w:r>
      <w:r w:rsidRPr="00224A89">
        <w:rPr>
          <w:rFonts w:ascii="Verdana" w:hAnsi="Verdana" w:cs="Arial"/>
          <w:color w:val="000000"/>
          <w:sz w:val="16"/>
          <w:szCs w:val="16"/>
        </w:rPr>
        <w:t>Las siguientes reglas son aplicables a la contratación cuyo valor no excede del 10% de la menor cuantía de la Entidad Estatal, independientemente de su objeto: </w:t>
      </w:r>
    </w:p>
    <w:p w14:paraId="70D2B55E" w14:textId="77777777" w:rsidR="00473FDA" w:rsidRPr="00224A89" w:rsidRDefault="00473FDA" w:rsidP="00473FDA">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 </w:t>
      </w:r>
    </w:p>
  </w:footnote>
  <w:footnote w:id="10">
    <w:p w14:paraId="5E84D2C7" w14:textId="77777777" w:rsidR="00473FDA" w:rsidRPr="00224A89" w:rsidRDefault="00473FDA" w:rsidP="00473FDA">
      <w:pPr>
        <w:pStyle w:val="NormalWeb"/>
        <w:spacing w:before="0" w:beforeAutospacing="0" w:after="0" w:afterAutospacing="0"/>
        <w:ind w:firstLine="720"/>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Textoennegrita"/>
          <w:rFonts w:ascii="Verdana" w:hAnsi="Verdana" w:cs="Arial"/>
          <w:color w:val="000000"/>
          <w:sz w:val="16"/>
          <w:szCs w:val="16"/>
        </w:rPr>
        <w:t>Articulo 39. De la forma del contrato estatal. </w:t>
      </w:r>
      <w:r w:rsidRPr="00224A89">
        <w:rPr>
          <w:rFonts w:ascii="Verdana" w:hAnsi="Verdana" w:cs="Arial"/>
          <w:color w:val="000000"/>
          <w:sz w:val="16"/>
          <w:szCs w:val="16"/>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p>
    <w:p w14:paraId="28971142" w14:textId="77777777" w:rsidR="00473FDA" w:rsidRPr="00224A89" w:rsidRDefault="00473FDA" w:rsidP="00473FDA">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w:t>
      </w:r>
      <w:bookmarkStart w:id="2" w:name="ver_1790147"/>
      <w:bookmarkStart w:id="3" w:name="ver_30220791"/>
      <w:bookmarkStart w:id="4" w:name="ver_1790148"/>
      <w:bookmarkEnd w:id="2"/>
      <w:bookmarkEnd w:id="3"/>
    </w:p>
    <w:p w14:paraId="467DD935" w14:textId="77777777" w:rsidR="00473FDA" w:rsidRPr="00224A89" w:rsidRDefault="00473FDA" w:rsidP="00473FDA">
      <w:pPr>
        <w:pStyle w:val="NormalWeb"/>
        <w:spacing w:before="0" w:beforeAutospacing="0" w:after="0" w:afterAutospacing="0"/>
        <w:ind w:firstLine="720"/>
        <w:jc w:val="both"/>
        <w:rPr>
          <w:rFonts w:ascii="Verdana" w:hAnsi="Verdana" w:cs="Arial"/>
          <w:color w:val="000000"/>
          <w:sz w:val="16"/>
          <w:szCs w:val="16"/>
        </w:rPr>
      </w:pPr>
      <w:r w:rsidRPr="00224A89">
        <w:rPr>
          <w:rStyle w:val="Textoennegrita"/>
          <w:rFonts w:ascii="Verdana" w:hAnsi="Verdana" w:cs="Arial"/>
          <w:color w:val="000000"/>
          <w:sz w:val="16"/>
          <w:szCs w:val="16"/>
        </w:rPr>
        <w:t>Artículo 40. Del contenido del contrato estatal.</w:t>
      </w:r>
      <w:r w:rsidRPr="00224A89">
        <w:rPr>
          <w:rFonts w:ascii="Verdana" w:hAnsi="Verdana" w:cs="Arial"/>
          <w:color w:val="000000"/>
          <w:sz w:val="16"/>
          <w:szCs w:val="16"/>
        </w:rPr>
        <w:t> Las estipulaciones de los contratos serán las que de acuerdo con las normas civiles, comerciales y las previstas en esta ley, correspondan a su esencia y naturaleza. </w:t>
      </w:r>
    </w:p>
    <w:p w14:paraId="6502A3FD" w14:textId="77777777" w:rsidR="00473FDA" w:rsidRPr="00224A89" w:rsidRDefault="00473FDA" w:rsidP="00473FDA">
      <w:pPr>
        <w:pStyle w:val="NormalWeb"/>
        <w:spacing w:before="0" w:beforeAutospacing="0" w:after="0" w:afterAutospacing="0"/>
        <w:ind w:firstLine="720"/>
        <w:jc w:val="both"/>
        <w:rPr>
          <w:rFonts w:ascii="Verdana" w:hAnsi="Verdana" w:cs="Arial"/>
          <w:color w:val="000000"/>
          <w:sz w:val="16"/>
          <w:szCs w:val="16"/>
        </w:rPr>
      </w:pPr>
      <w:r w:rsidRPr="00224A89">
        <w:rPr>
          <w:rFonts w:ascii="Verdana" w:hAnsi="Verdana" w:cs="Arial"/>
          <w:color w:val="000000"/>
          <w:sz w:val="16"/>
          <w:szCs w:val="16"/>
        </w:rPr>
        <w:t>Las entidades podrán celebrar los contratos y acuerdos que permitan la autonomía de la voluntad y requieran el cumplimiento de los fines estatales. </w:t>
      </w:r>
    </w:p>
    <w:p w14:paraId="315A03AB" w14:textId="77777777" w:rsidR="00473FDA" w:rsidRPr="00224A89" w:rsidRDefault="00473FDA" w:rsidP="00473FDA">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  </w:t>
      </w:r>
    </w:p>
    <w:p w14:paraId="654B7A08" w14:textId="77777777" w:rsidR="00473FDA" w:rsidRPr="00224A89" w:rsidRDefault="00473FDA" w:rsidP="00473FDA">
      <w:pPr>
        <w:pStyle w:val="NormalWeb"/>
        <w:spacing w:before="0" w:beforeAutospacing="0" w:after="0" w:afterAutospacing="0"/>
        <w:ind w:firstLine="720"/>
        <w:jc w:val="both"/>
        <w:rPr>
          <w:rFonts w:ascii="Verdana" w:hAnsi="Verdana" w:cs="Arial"/>
          <w:color w:val="000000"/>
          <w:sz w:val="16"/>
          <w:szCs w:val="16"/>
        </w:rPr>
      </w:pPr>
      <w:bookmarkStart w:id="5" w:name="ver_30161420"/>
      <w:bookmarkStart w:id="6" w:name="ver_1790149"/>
      <w:bookmarkStart w:id="7" w:name="ver_30161408"/>
      <w:bookmarkStart w:id="8" w:name="ver_30161443"/>
      <w:bookmarkEnd w:id="4"/>
      <w:bookmarkEnd w:id="5"/>
      <w:bookmarkEnd w:id="6"/>
      <w:bookmarkEnd w:id="7"/>
      <w:bookmarkEnd w:id="8"/>
      <w:r w:rsidRPr="00224A89">
        <w:rPr>
          <w:rStyle w:val="Textoennegrita"/>
          <w:rFonts w:ascii="Verdana" w:hAnsi="Verdana" w:cs="Arial"/>
          <w:color w:val="000000"/>
          <w:sz w:val="16"/>
          <w:szCs w:val="16"/>
        </w:rPr>
        <w:t>Artículo 41. Del perfeccionamiento del contrato.</w:t>
      </w:r>
      <w:r w:rsidRPr="00224A89">
        <w:rPr>
          <w:rFonts w:ascii="Verdana" w:hAnsi="Verdana" w:cs="Arial"/>
          <w:color w:val="000000"/>
          <w:sz w:val="16"/>
          <w:szCs w:val="16"/>
        </w:rPr>
        <w:t> Los contratos del Estado se perfeccionan cuando se logre acuerdo sobre el objeto y la contraprestación y éste se eleve a escrito […]”.</w:t>
      </w:r>
    </w:p>
  </w:footnote>
  <w:footnote w:id="11">
    <w:p w14:paraId="1B95669E" w14:textId="77777777" w:rsidR="00473FDA" w:rsidRPr="00224A89" w:rsidRDefault="00473FDA" w:rsidP="00473FDA">
      <w:pPr>
        <w:pStyle w:val="Textonotapie"/>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Textoennegrita"/>
          <w:rFonts w:ascii="Verdana" w:hAnsi="Verdana" w:cs="Arial"/>
          <w:color w:val="000000"/>
          <w:sz w:val="16"/>
          <w:szCs w:val="16"/>
        </w:rPr>
        <w:t>Artículo 77. De la normatividad aplicable en las actuaciones administrativas.</w:t>
      </w:r>
      <w:r w:rsidRPr="00224A89">
        <w:rPr>
          <w:rFonts w:ascii="Verdana" w:hAnsi="Verdana"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2">
    <w:p w14:paraId="4D8E697B" w14:textId="77777777" w:rsidR="00473FDA" w:rsidRPr="00224A89" w:rsidRDefault="00473FDA" w:rsidP="00473FDA">
      <w:pPr>
        <w:pStyle w:val="NormalWeb"/>
        <w:spacing w:before="0" w:beforeAutospacing="0" w:after="0" w:afterAutospacing="0"/>
        <w:ind w:firstLine="709"/>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Ley 80 de 1993 “</w:t>
      </w:r>
      <w:r w:rsidRPr="00224A89">
        <w:rPr>
          <w:rStyle w:val="Textoennegrita"/>
          <w:rFonts w:ascii="Verdana" w:hAnsi="Verdana" w:cs="Arial"/>
          <w:color w:val="000000"/>
          <w:sz w:val="16"/>
          <w:szCs w:val="16"/>
        </w:rPr>
        <w:t>Artículo 25. Del principio de economía.</w:t>
      </w:r>
      <w:r w:rsidRPr="00224A89">
        <w:rPr>
          <w:rFonts w:ascii="Verdana" w:hAnsi="Verdana" w:cs="Arial"/>
          <w:color w:val="000000"/>
          <w:sz w:val="16"/>
          <w:szCs w:val="16"/>
        </w:rPr>
        <w:t> En virtud de este principio: </w:t>
      </w:r>
    </w:p>
    <w:p w14:paraId="6B71625B" w14:textId="77777777" w:rsidR="00473FDA" w:rsidRPr="00224A89" w:rsidRDefault="00473FDA" w:rsidP="00473FDA">
      <w:pPr>
        <w:pStyle w:val="NormalWeb"/>
        <w:spacing w:before="0" w:beforeAutospacing="0" w:after="0" w:afterAutospacing="0"/>
        <w:ind w:firstLine="709"/>
        <w:jc w:val="both"/>
        <w:rPr>
          <w:rFonts w:ascii="Verdana" w:hAnsi="Verdana" w:cs="Arial"/>
          <w:color w:val="000000"/>
          <w:sz w:val="16"/>
          <w:szCs w:val="16"/>
        </w:rPr>
      </w:pPr>
      <w:r w:rsidRPr="00224A89">
        <w:rPr>
          <w:rFonts w:ascii="Verdana" w:hAnsi="Verdana" w:cs="Arial"/>
          <w:color w:val="000000"/>
          <w:sz w:val="16"/>
          <w:szCs w:val="16"/>
        </w:rPr>
        <w:t>[…]</w:t>
      </w:r>
    </w:p>
    <w:p w14:paraId="77D7329E" w14:textId="77777777" w:rsidR="00473FDA" w:rsidRPr="00224A89" w:rsidRDefault="00473FDA" w:rsidP="00473FDA">
      <w:pPr>
        <w:pStyle w:val="NormalWeb"/>
        <w:spacing w:before="0" w:beforeAutospacing="0" w:after="0" w:afterAutospacing="0"/>
        <w:ind w:firstLine="709"/>
        <w:jc w:val="both"/>
        <w:rPr>
          <w:rFonts w:ascii="Verdana" w:hAnsi="Verdana" w:cs="Arial"/>
          <w:color w:val="000000"/>
          <w:sz w:val="16"/>
          <w:szCs w:val="16"/>
        </w:rPr>
      </w:pPr>
      <w:r w:rsidRPr="00224A89">
        <w:rPr>
          <w:rFonts w:ascii="Verdana" w:hAnsi="Verdana" w:cs="Arial"/>
          <w:color w:val="000000"/>
          <w:sz w:val="16"/>
          <w:szCs w:val="16"/>
        </w:rPr>
        <w:t>4o. Los trámites se adelantarán con austeridad de tiempo, medios y gastos y se impedirán las dilaciones y los retardos en la ejecución del contrato. </w:t>
      </w:r>
    </w:p>
    <w:p w14:paraId="15BDD774" w14:textId="77777777" w:rsidR="00473FDA" w:rsidRPr="00224A89" w:rsidRDefault="00473FDA" w:rsidP="00473FDA">
      <w:pPr>
        <w:pStyle w:val="NormalWeb"/>
        <w:spacing w:before="0" w:beforeAutospacing="0" w:after="0" w:afterAutospacing="0"/>
        <w:jc w:val="both"/>
        <w:rPr>
          <w:rFonts w:ascii="Verdana" w:hAnsi="Verdana" w:cs="Arial"/>
          <w:color w:val="000000"/>
          <w:sz w:val="16"/>
          <w:szCs w:val="16"/>
        </w:rPr>
      </w:pPr>
      <w:r w:rsidRPr="00224A89">
        <w:rPr>
          <w:rFonts w:ascii="Verdana" w:hAnsi="Verdana" w:cs="Arial"/>
          <w:color w:val="000000"/>
          <w:sz w:val="16"/>
          <w:szCs w:val="16"/>
        </w:rPr>
        <w:t>  </w:t>
      </w:r>
      <w:r w:rsidRPr="00224A89">
        <w:rPr>
          <w:rFonts w:ascii="Verdana" w:hAnsi="Verdana" w:cs="Arial"/>
          <w:color w:val="000000"/>
          <w:sz w:val="16"/>
          <w:szCs w:val="16"/>
        </w:rPr>
        <w:tab/>
        <w:t>5o. Se adoptarán procedimientos que garanticen la pronta solución de las diferencias y controversias que con motivo de la celebración y ejecución del contrato se presenten […]”.</w:t>
      </w:r>
    </w:p>
  </w:footnote>
  <w:footnote w:id="13">
    <w:p w14:paraId="2EFF40F4" w14:textId="77777777" w:rsidR="00473FDA" w:rsidRPr="00224A89" w:rsidRDefault="00473FDA" w:rsidP="00473FDA">
      <w:pPr>
        <w:pStyle w:val="Textonotapie"/>
        <w:ind w:firstLine="708"/>
        <w:jc w:val="both"/>
        <w:rPr>
          <w:rFonts w:ascii="Verdana" w:hAnsi="Verdana" w:cs="Arial"/>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COLOMBIA COMPRA EFICIENTE. Guía para la Liquidación de los Procesos de Contratación. página 5, disponible en: </w:t>
      </w:r>
      <w:hyperlink r:id="rId1" w:history="1">
        <w:r w:rsidRPr="00224A89">
          <w:rPr>
            <w:rStyle w:val="Hipervnculo"/>
            <w:rFonts w:ascii="Verdana" w:hAnsi="Verdana" w:cs="Arial"/>
            <w:sz w:val="16"/>
            <w:szCs w:val="16"/>
          </w:rPr>
          <w:t xml:space="preserve">https://www.colombiacompra.gov.co/sites/cce_public/files/cce_documents/cce_guia_liquidacion_procesos.pdf  </w:t>
        </w:r>
      </w:hyperlink>
    </w:p>
  </w:footnote>
  <w:footnote w:id="14">
    <w:p w14:paraId="116B92E1" w14:textId="77777777" w:rsidR="00473FDA" w:rsidRPr="00224A89" w:rsidRDefault="00473FDA" w:rsidP="00473FDA">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5">
    <w:p w14:paraId="66EE8B17" w14:textId="77777777" w:rsidR="00473FDA" w:rsidRPr="00224A89" w:rsidRDefault="00473FDA" w:rsidP="00473FDA">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Concepto de 28 de Junio de 2016. Radicación: 2253. C.P. Álvaro Namén Vargas. </w:t>
      </w:r>
    </w:p>
  </w:footnote>
  <w:footnote w:id="16">
    <w:p w14:paraId="685AEAE3" w14:textId="77777777" w:rsidR="00473FDA" w:rsidRPr="00224A89" w:rsidRDefault="00473FDA" w:rsidP="00473FDA">
      <w:pPr>
        <w:pStyle w:val="Textonotapie"/>
        <w:ind w:firstLine="708"/>
        <w:jc w:val="both"/>
        <w:rPr>
          <w:rFonts w:ascii="Verdana" w:hAnsi="Verdana"/>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w:t>
      </w:r>
      <w:r w:rsidRPr="00224A89">
        <w:rPr>
          <w:rFonts w:ascii="Verdana" w:hAnsi="Verdana" w:cs="Arial"/>
          <w:color w:val="000000"/>
          <w:sz w:val="16"/>
          <w:szCs w:val="16"/>
          <w:lang w:val="es-CO"/>
        </w:rPr>
        <w:t xml:space="preserve">Sala Plena. Auto del 1 de agosto de 2019. </w:t>
      </w:r>
      <w:r w:rsidRPr="00224A89">
        <w:rPr>
          <w:rFonts w:ascii="Verdana" w:hAnsi="Verdana" w:cs="Arial"/>
          <w:color w:val="000000"/>
          <w:sz w:val="16"/>
          <w:szCs w:val="16"/>
        </w:rPr>
        <w:t xml:space="preserve">Exp. 62009. C.P. Jaime Enrique Rodríguez Navas. </w:t>
      </w:r>
      <w:r w:rsidRPr="00224A89">
        <w:rPr>
          <w:rFonts w:ascii="Verdana" w:hAnsi="Verdana"/>
          <w:color w:val="000000"/>
          <w:sz w:val="16"/>
          <w:szCs w:val="16"/>
          <w:lang w:val="es-ES"/>
        </w:rPr>
        <w:t xml:space="preserve"> </w:t>
      </w:r>
    </w:p>
  </w:footnote>
  <w:footnote w:id="17">
    <w:p w14:paraId="02F1F823" w14:textId="77777777" w:rsidR="00473FDA" w:rsidRPr="00224A89" w:rsidRDefault="00473FDA" w:rsidP="00473FDA">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DÍAZ DÍEZ, La liquidación… Op. cit., pp. 255-256.</w:t>
      </w:r>
    </w:p>
  </w:footnote>
  <w:footnote w:id="18">
    <w:p w14:paraId="17C8F8E3" w14:textId="77777777" w:rsidR="00473FDA" w:rsidRPr="00224A89" w:rsidRDefault="00473FDA" w:rsidP="00473FDA">
      <w:pPr>
        <w:spacing w:after="0"/>
        <w:ind w:firstLine="708"/>
        <w:jc w:val="both"/>
        <w:rPr>
          <w:rFonts w:ascii="Verdana" w:hAnsi="Verdana" w:cs="Arial"/>
          <w:color w:val="000000" w:themeColor="text1"/>
          <w:sz w:val="16"/>
          <w:szCs w:val="16"/>
          <w:lang w:val="es-MX"/>
        </w:rPr>
      </w:pPr>
      <w:r w:rsidRPr="00224A89">
        <w:rPr>
          <w:rFonts w:ascii="Verdana" w:hAnsi="Verdana" w:cs="Arial"/>
          <w:color w:val="000000" w:themeColor="text1"/>
          <w:sz w:val="16"/>
          <w:szCs w:val="16"/>
          <w:vertAlign w:val="superscript"/>
        </w:rPr>
        <w:footnoteRef/>
      </w:r>
      <w:r w:rsidRPr="00224A89">
        <w:rPr>
          <w:rFonts w:ascii="Verdana" w:hAnsi="Verdana" w:cs="Arial"/>
          <w:color w:val="000000" w:themeColor="text1"/>
          <w:sz w:val="16"/>
          <w:szCs w:val="16"/>
        </w:rPr>
        <w:t xml:space="preserve"> La Sala de Consulta y Servicio Civil del Consejo de Estado, en concepto del 8 de marzo de 2017, radicado No. 2.298, y con ponencia del Consejero Édgar González, manifestó respecto del trámite del cierre del expediente del Proceso de Contratación que: </w:t>
      </w:r>
      <w:r>
        <w:rPr>
          <w:rFonts w:ascii="Verdana" w:hAnsi="Verdana" w:cs="Arial"/>
          <w:color w:val="000000" w:themeColor="text1"/>
          <w:sz w:val="16"/>
          <w:szCs w:val="16"/>
        </w:rPr>
        <w:t>“</w:t>
      </w:r>
      <w:r w:rsidRPr="00224A89">
        <w:rPr>
          <w:rFonts w:ascii="Verdana" w:hAnsi="Verdana" w:cs="Arial"/>
          <w:color w:val="000000" w:themeColor="text1"/>
          <w:sz w:val="16"/>
          <w:szCs w:val="16"/>
        </w:rPr>
        <w:t>[…]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r>
        <w:rPr>
          <w:rFonts w:ascii="Verdana" w:hAnsi="Verdana" w:cs="Arial"/>
          <w:color w:val="000000" w:themeColor="text1"/>
          <w:sz w:val="16"/>
          <w:szCs w:val="16"/>
        </w:rPr>
        <w:t>”</w:t>
      </w:r>
      <w:r w:rsidRPr="00224A89">
        <w:rPr>
          <w:rFonts w:ascii="Verdana" w:hAnsi="Verdana" w:cs="Arial"/>
          <w:color w:val="000000" w:themeColor="text1"/>
          <w:sz w:val="16"/>
          <w:szCs w:val="16"/>
        </w:rPr>
        <w:t>.</w:t>
      </w:r>
    </w:p>
  </w:footnote>
  <w:footnote w:id="19">
    <w:p w14:paraId="1400C95A" w14:textId="77777777" w:rsidR="00473FDA" w:rsidRPr="00224A89" w:rsidRDefault="00473FDA" w:rsidP="00473FDA">
      <w:pPr>
        <w:pStyle w:val="Textonotapie"/>
        <w:ind w:firstLine="708"/>
        <w:jc w:val="both"/>
        <w:rPr>
          <w:rFonts w:ascii="Verdana" w:hAnsi="Verdana" w:cs="Arial"/>
          <w:color w:val="000000" w:themeColor="text1"/>
          <w:sz w:val="16"/>
          <w:szCs w:val="16"/>
        </w:rPr>
      </w:pPr>
      <w:r w:rsidRPr="00224A89">
        <w:rPr>
          <w:rStyle w:val="Refdenotaalpie"/>
          <w:rFonts w:ascii="Verdana" w:hAnsi="Verdana" w:cs="Arial"/>
          <w:color w:val="000000" w:themeColor="text1"/>
          <w:sz w:val="16"/>
          <w:szCs w:val="16"/>
        </w:rPr>
        <w:footnoteRef/>
      </w:r>
      <w:r w:rsidRPr="00224A89">
        <w:rPr>
          <w:rFonts w:ascii="Verdana" w:hAnsi="Verdana" w:cs="Arial"/>
          <w:color w:val="000000" w:themeColor="text1"/>
          <w:sz w:val="16"/>
          <w:szCs w:val="16"/>
        </w:rPr>
        <w:t xml:space="preserve"> En términos generales, se concluyó: </w:t>
      </w:r>
      <w:r>
        <w:rPr>
          <w:rFonts w:ascii="Verdana" w:hAnsi="Verdana" w:cs="Arial"/>
          <w:color w:val="000000" w:themeColor="text1"/>
          <w:sz w:val="16"/>
          <w:szCs w:val="16"/>
        </w:rPr>
        <w:t>“</w:t>
      </w:r>
      <w:r w:rsidRPr="00224A89">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24A89">
        <w:rPr>
          <w:rFonts w:ascii="Verdana" w:hAnsi="Verdana" w:cs="Arial"/>
          <w:color w:val="000000" w:themeColor="text1"/>
          <w:sz w:val="16"/>
          <w:szCs w:val="16"/>
        </w:rPr>
        <w:t>8.4.- En el caso concreto se concluyó que el precepto reglamentario no desconocía, trasgredía o modificaba el inciso cuarto del artículo 60 de la Ley 80 de 1993. Se determinó que la exigencia establecida en el artículo demandado se dirige únicamente a la Administración, no compromete o afecta situaciones jurídicas de terceros ajenos a la Administración e implica el deber de dejar constancia o atestiguar una situación o estado de cosas ocurrido en el iter posterior a la liquidación.</w:t>
      </w:r>
    </w:p>
    <w:p w14:paraId="7D39449A" w14:textId="77777777" w:rsidR="00473FDA" w:rsidRPr="00224A89" w:rsidRDefault="00473FDA" w:rsidP="00473FDA">
      <w:pPr>
        <w:pStyle w:val="Textonotapie"/>
        <w:ind w:firstLine="708"/>
        <w:jc w:val="both"/>
        <w:rPr>
          <w:rFonts w:ascii="Verdana" w:hAnsi="Verdana" w:cs="Arial"/>
          <w:color w:val="000000" w:themeColor="text1"/>
          <w:sz w:val="16"/>
          <w:szCs w:val="16"/>
        </w:rPr>
      </w:pPr>
      <w:r w:rsidRPr="00224A89">
        <w:rPr>
          <w:rFonts w:ascii="Verdana" w:hAnsi="Verdana" w:cs="Arial"/>
          <w:color w:val="000000" w:themeColor="text1"/>
          <w:sz w:val="16"/>
          <w:szCs w:val="16"/>
        </w:rPr>
        <w:t>[…]</w:t>
      </w:r>
    </w:p>
    <w:p w14:paraId="1909D005" w14:textId="77777777" w:rsidR="00473FDA" w:rsidRPr="00224A89" w:rsidRDefault="00473FDA" w:rsidP="00473FDA">
      <w:pPr>
        <w:pStyle w:val="Textonotapie"/>
        <w:ind w:firstLine="708"/>
        <w:jc w:val="both"/>
        <w:rPr>
          <w:rFonts w:ascii="Verdana" w:hAnsi="Verdana" w:cs="Arial"/>
          <w:color w:val="000000" w:themeColor="text1"/>
          <w:sz w:val="16"/>
          <w:szCs w:val="16"/>
        </w:rPr>
      </w:pPr>
      <w:r w:rsidRPr="00224A89">
        <w:rPr>
          <w:rFonts w:ascii="Verdana" w:hAnsi="Verdana" w:cs="Arial"/>
          <w:color w:val="000000" w:themeColor="text1"/>
          <w:sz w:val="16"/>
          <w:szCs w:val="16"/>
        </w:rPr>
        <w:t>8.5.- Concluyó la Sala que la norma enjuiciada comprendía una regulación propia de la esfera intraorgánica que, inclusive, no demandaba regulación expresa, y no afectaba, alteraba o modificaba ninguna cuestión propia de la etapa liquidatoria. En consecuencia, no se encontró probado un exceso de competencia del Gobierno Nacional en el sub judice</w:t>
      </w:r>
      <w:r>
        <w:rPr>
          <w:rFonts w:ascii="Verdana" w:hAnsi="Verdana" w:cs="Arial"/>
          <w:color w:val="000000" w:themeColor="text1"/>
          <w:sz w:val="16"/>
          <w:szCs w:val="16"/>
        </w:rPr>
        <w:t>”.</w:t>
      </w:r>
    </w:p>
  </w:footnote>
  <w:footnote w:id="20">
    <w:p w14:paraId="287DFDE6" w14:textId="77777777" w:rsidR="00473FDA" w:rsidRPr="00224A89" w:rsidRDefault="00473FDA" w:rsidP="00473FDA">
      <w:pPr>
        <w:pStyle w:val="Textonotapie"/>
        <w:ind w:firstLine="708"/>
        <w:jc w:val="both"/>
        <w:rPr>
          <w:rFonts w:ascii="Verdana" w:hAnsi="Verdana" w:cs="Arial"/>
          <w:color w:val="000000" w:themeColor="text1"/>
          <w:sz w:val="16"/>
          <w:szCs w:val="16"/>
          <w:lang w:val="es-ES"/>
        </w:rPr>
      </w:pPr>
      <w:r w:rsidRPr="00224A89">
        <w:rPr>
          <w:rStyle w:val="Refdenotaalpie"/>
          <w:rFonts w:ascii="Verdana" w:hAnsi="Verdana" w:cs="Arial"/>
          <w:color w:val="000000" w:themeColor="text1"/>
          <w:sz w:val="16"/>
          <w:szCs w:val="16"/>
        </w:rPr>
        <w:footnoteRef/>
      </w:r>
      <w:r w:rsidRPr="00224A89">
        <w:rPr>
          <w:rFonts w:ascii="Verdana" w:hAnsi="Verdana" w:cs="Arial"/>
          <w:color w:val="000000" w:themeColor="text1"/>
          <w:sz w:val="16"/>
          <w:szCs w:val="16"/>
        </w:rPr>
        <w:t xml:space="preserve"> Consejo de Estado. Sección Tercera. Subsección C. Radicado No. 11001-03-26-000-2015-00165-00. Número interno 55.813. M.P. Jaime Orlando Santofimio Gamboa. Sentencia del 10 de octubre de 2016.</w:t>
      </w:r>
    </w:p>
  </w:footnote>
  <w:footnote w:id="21">
    <w:p w14:paraId="04822F3C" w14:textId="77777777" w:rsidR="00473FDA" w:rsidRPr="004F612A" w:rsidRDefault="00473FDA" w:rsidP="00473FDA">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Agencia Nacional de Contratación Pública – Colombia Compra Eficiente. Concepto CU-028 del 25 de febrero de 2020. Radicado de entrada No. 4202013000000460. Radicado de salida No. 2202013000001282.</w:t>
      </w:r>
    </w:p>
  </w:footnote>
  <w:footnote w:id="22">
    <w:p w14:paraId="115AB9A3" w14:textId="77777777" w:rsidR="00473FDA" w:rsidRPr="001D6F6E" w:rsidRDefault="00473FDA" w:rsidP="00473FDA">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w:t>
      </w:r>
      <w:r w:rsidRPr="00224A89">
        <w:rPr>
          <w:rFonts w:ascii="Verdana" w:hAnsi="Verdana" w:cs="Arial"/>
          <w:i/>
          <w:iCs/>
          <w:sz w:val="16"/>
          <w:szCs w:val="16"/>
        </w:rPr>
        <w:t>Ibídem</w:t>
      </w:r>
      <w:r w:rsidRPr="00224A89">
        <w:rPr>
          <w:rFonts w:ascii="Verdana" w:hAnsi="Verdana" w:cs="Arial"/>
          <w:sz w:val="16"/>
          <w:szCs w:val="16"/>
        </w:rPr>
        <w:t>.</w:t>
      </w:r>
    </w:p>
  </w:footnote>
  <w:footnote w:id="23">
    <w:p w14:paraId="60905577" w14:textId="77777777" w:rsidR="00473FDA" w:rsidRPr="001D6F6E" w:rsidRDefault="00473FDA" w:rsidP="00473FDA">
      <w:pPr>
        <w:pStyle w:val="Textonotapie"/>
        <w:ind w:firstLine="708"/>
        <w:jc w:val="both"/>
        <w:rPr>
          <w:rFonts w:ascii="Verdana" w:hAnsi="Verdana" w:cs="Arial"/>
          <w:bCs/>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En este concepto se manifestó </w:t>
      </w:r>
      <w:r>
        <w:rPr>
          <w:rFonts w:ascii="Verdana" w:hAnsi="Verdana" w:cs="Arial"/>
          <w:sz w:val="16"/>
          <w:szCs w:val="16"/>
        </w:rPr>
        <w:t>“</w:t>
      </w:r>
      <w:r w:rsidRPr="00224A89">
        <w:rPr>
          <w:rFonts w:ascii="Verdana" w:hAnsi="Verdana" w:cs="Arial"/>
          <w:sz w:val="16"/>
          <w:szCs w:val="16"/>
        </w:rPr>
        <w:t>De acuerdo con los principios y disposiciones constitucionales, legales y reglamentarias citadas, la Sala considera que las entidades deben proceder a hacer el cierre del expediente del proceso de contratación incluso en aquellos casos en los cuales no se haya efectuado la liquidación del contrato, para efectos de establecer dentro de la entidad estatal el estado final de los contratos celebrados. Se trata de un trámite interno en el que, al menos, se haga un recuento del contenido del proceso de contratación surtido y que consta en el expediente, se relacione y compare lo ejecutado con lo pagado y se verifique el cumplimiento de las obligaciones posteriores a la finalización de la ejecución del contrato (garantías de estabilidad de la obra, calidad del bien o servicio suministrado, provisión de repuestos y accesorios, pago de salarios, prestaciones e indemnizaciones, a la responsabilidad civil o las condiciones de disposición final o recuperación ambiental de las obras o bienes), con el fin de proceder con el cierre y archivo del expediente y otros trámites a que haya lugar</w:t>
      </w:r>
      <w:r>
        <w:rPr>
          <w:rFonts w:ascii="Verdana" w:hAnsi="Verdana" w:cs="Arial"/>
          <w:sz w:val="16"/>
          <w:szCs w:val="16"/>
        </w:rPr>
        <w:t>”</w:t>
      </w:r>
      <w:r w:rsidRPr="00224A89">
        <w:rPr>
          <w:rFonts w:ascii="Verdana" w:hAnsi="Verdana" w:cs="Arial"/>
          <w:sz w:val="16"/>
          <w:szCs w:val="16"/>
        </w:rPr>
        <w:t xml:space="preserve"> (Consejo de Estado. Sala de Consulta y Servicio Civil. Concepto </w:t>
      </w:r>
      <w:r w:rsidRPr="00224A89">
        <w:rPr>
          <w:rFonts w:ascii="Verdana" w:hAnsi="Verdana" w:cs="Arial"/>
          <w:bCs/>
          <w:sz w:val="16"/>
          <w:szCs w:val="16"/>
        </w:rPr>
        <w:t xml:space="preserve">del 28 de junio de 2016. Radicado No. 2253. C.P. Álvaro Namén Vargas). </w:t>
      </w:r>
    </w:p>
  </w:footnote>
  <w:footnote w:id="24">
    <w:p w14:paraId="1C2B995D" w14:textId="77777777" w:rsidR="00473FDA" w:rsidRPr="00224A89" w:rsidRDefault="00473FDA" w:rsidP="00473FDA">
      <w:pPr>
        <w:pStyle w:val="Textonotapie"/>
        <w:ind w:firstLine="708"/>
        <w:jc w:val="both"/>
        <w:rPr>
          <w:rFonts w:ascii="Verdana" w:hAnsi="Verdana" w:cs="Arial"/>
          <w:color w:val="000000" w:themeColor="text1"/>
          <w:sz w:val="16"/>
          <w:szCs w:val="16"/>
        </w:rPr>
      </w:pPr>
      <w:r w:rsidRPr="00224A89">
        <w:rPr>
          <w:rStyle w:val="Refdenotaalpie"/>
          <w:rFonts w:ascii="Verdana" w:hAnsi="Verdana" w:cs="Arial"/>
          <w:color w:val="000000" w:themeColor="text1"/>
          <w:sz w:val="16"/>
          <w:szCs w:val="16"/>
        </w:rPr>
        <w:footnoteRef/>
      </w:r>
      <w:r w:rsidRPr="00224A89">
        <w:rPr>
          <w:rFonts w:ascii="Verdana" w:hAnsi="Verdana" w:cs="Arial"/>
          <w:color w:val="000000" w:themeColor="text1"/>
          <w:sz w:val="16"/>
          <w:szCs w:val="16"/>
        </w:rPr>
        <w:t xml:space="preserve"> En esta ocasión, en relación el cierre del expediente contractual, la sala consultiva del Consejo de Estado expresó: </w:t>
      </w:r>
      <w:r>
        <w:rPr>
          <w:rFonts w:ascii="Verdana" w:hAnsi="Verdana" w:cs="Arial"/>
          <w:color w:val="000000" w:themeColor="text1"/>
          <w:sz w:val="16"/>
          <w:szCs w:val="16"/>
        </w:rPr>
        <w:t>“</w:t>
      </w:r>
      <w:r w:rsidRPr="00224A89">
        <w:rPr>
          <w:rFonts w:ascii="Verdana" w:hAnsi="Verdana" w:cs="Arial"/>
          <w:color w:val="000000" w:themeColor="text1"/>
          <w:sz w:val="16"/>
          <w:szCs w:val="16"/>
        </w:rPr>
        <w:t>Una interpretación sistemática y finalista de la norma, permite concluir que el trámite del cierre del expediente del proceso de contratación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p>
    <w:p w14:paraId="4FA7442D" w14:textId="77777777" w:rsidR="00473FDA" w:rsidRPr="00224A89" w:rsidRDefault="00473FDA" w:rsidP="00473FDA">
      <w:pPr>
        <w:pStyle w:val="Textonotapie"/>
        <w:ind w:firstLine="708"/>
        <w:jc w:val="both"/>
        <w:rPr>
          <w:rFonts w:ascii="Verdana" w:hAnsi="Verdana" w:cs="Arial"/>
          <w:color w:val="000000" w:themeColor="text1"/>
          <w:sz w:val="16"/>
          <w:szCs w:val="16"/>
        </w:rPr>
      </w:pPr>
      <w:r>
        <w:rPr>
          <w:rFonts w:ascii="Verdana" w:hAnsi="Verdana" w:cs="Arial"/>
          <w:color w:val="000000" w:themeColor="text1"/>
          <w:sz w:val="16"/>
          <w:szCs w:val="16"/>
        </w:rPr>
        <w:t>L</w:t>
      </w:r>
      <w:r w:rsidRPr="00224A89">
        <w:rPr>
          <w:rFonts w:ascii="Verdana" w:hAnsi="Verdana" w:cs="Arial"/>
          <w:color w:val="000000" w:themeColor="text1"/>
          <w:sz w:val="16"/>
          <w:szCs w:val="16"/>
        </w:rPr>
        <w:t>as entidades pueden y deben proceder al cierre y archivo del expediente del proceso de contratación, en los términos citados, incluso en aquellos casos en los cuales no se haya efectuado la liquidación del contrato, como un tipo de constancia, que en forma alguna puede constituirse en una liquidación extemporánea del contrato o revivir términos que ya precluyeron, pues cualquier acto en este sentido estaría afectado de nulidad.</w:t>
      </w:r>
    </w:p>
    <w:p w14:paraId="5EEF3F73" w14:textId="77777777" w:rsidR="00473FDA" w:rsidRPr="00224A89" w:rsidRDefault="00473FDA" w:rsidP="00473FDA">
      <w:pPr>
        <w:pStyle w:val="Textonotapie"/>
        <w:ind w:firstLine="708"/>
        <w:jc w:val="both"/>
        <w:rPr>
          <w:rFonts w:ascii="Verdana" w:hAnsi="Verdana" w:cs="Arial"/>
          <w:color w:val="000000" w:themeColor="text1"/>
          <w:sz w:val="16"/>
          <w:szCs w:val="16"/>
          <w:lang w:val="es-ES"/>
        </w:rPr>
      </w:pPr>
      <w:r w:rsidRPr="00224A89">
        <w:rPr>
          <w:rFonts w:ascii="Verdana" w:hAnsi="Verdana" w:cs="Arial"/>
          <w:color w:val="000000" w:themeColor="text1"/>
          <w:sz w:val="16"/>
          <w:szCs w:val="16"/>
        </w:rPr>
        <w:t>En efecto, el archivo del expediente debe entenderse como una actuación interna y de trámite, que no comporta la expedición de un acto administrativo de carácter contractual, en el que se puedan determinar las obligaciones a cargo de cada una de las partes; acto para cuya expedición no existiría competencia de la entidad dada su extemporaneidad</w:t>
      </w:r>
      <w:r>
        <w:rPr>
          <w:rFonts w:ascii="Verdana" w:hAnsi="Verdana" w:cs="Arial"/>
          <w:color w:val="000000" w:themeColor="text1"/>
          <w:sz w:val="16"/>
          <w:szCs w:val="16"/>
        </w:rPr>
        <w:t>”</w:t>
      </w:r>
      <w:r w:rsidRPr="00224A89">
        <w:rPr>
          <w:rFonts w:ascii="Verdana" w:hAnsi="Verdana" w:cs="Arial"/>
          <w:color w:val="000000" w:themeColor="text1"/>
          <w:sz w:val="16"/>
          <w:szCs w:val="16"/>
        </w:rPr>
        <w:t xml:space="preserve">. (Consejo de Estado. Sala de Consulta y Servicio Civil. Concepto del 8 de marzo de 2017. Radicado No. 2298. </w:t>
      </w:r>
      <w:r w:rsidRPr="00224A89">
        <w:rPr>
          <w:rFonts w:ascii="Verdana" w:hAnsi="Verdana" w:cs="Arial"/>
          <w:color w:val="000000" w:themeColor="text1"/>
          <w:sz w:val="16"/>
          <w:szCs w:val="16"/>
          <w:lang w:val="es-ES"/>
        </w:rPr>
        <w:t>C.P. Consejo de Estado. Sala de Consulta y Servicio Civil. M.P. Edgar González López).</w:t>
      </w:r>
    </w:p>
  </w:footnote>
  <w:footnote w:id="25">
    <w:p w14:paraId="1B61F519" w14:textId="77777777" w:rsidR="00473FDA" w:rsidRPr="00224A89" w:rsidRDefault="00473FDA" w:rsidP="00473FDA">
      <w:pPr>
        <w:pStyle w:val="Textonotapie"/>
        <w:ind w:firstLine="708"/>
        <w:jc w:val="both"/>
        <w:rPr>
          <w:rFonts w:ascii="Verdana" w:hAnsi="Verdana" w:cs="Arial"/>
          <w:sz w:val="16"/>
          <w:szCs w:val="16"/>
          <w:lang w:val="es-CO"/>
        </w:rPr>
      </w:pPr>
      <w:r w:rsidRPr="00224A89">
        <w:rPr>
          <w:rStyle w:val="Refdenotaalpie"/>
          <w:rFonts w:ascii="Verdana" w:hAnsi="Verdana" w:cs="Arial"/>
          <w:sz w:val="16"/>
          <w:szCs w:val="16"/>
        </w:rPr>
        <w:footnoteRef/>
      </w:r>
      <w:r w:rsidRPr="00224A89">
        <w:rPr>
          <w:rFonts w:ascii="Verdana" w:hAnsi="Verdana" w:cs="Arial"/>
          <w:sz w:val="16"/>
          <w:szCs w:val="16"/>
        </w:rPr>
        <w:t xml:space="preserve"> Agencia Nacional de Contratación Pública – Colombia Compra Eficiente. Concepto CU-028 del 25 de febrero de 2020. Radicado de entrada No. 4202013000000460. Radicado de salida No. 2202013000001282.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4"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6440A"/>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1056"/>
    <w:rsid w:val="003448F4"/>
    <w:rsid w:val="00374F5E"/>
    <w:rsid w:val="00377E3E"/>
    <w:rsid w:val="00391BD4"/>
    <w:rsid w:val="003A779E"/>
    <w:rsid w:val="003D0F4D"/>
    <w:rsid w:val="003D5B0D"/>
    <w:rsid w:val="003E0499"/>
    <w:rsid w:val="003E4F80"/>
    <w:rsid w:val="003E6439"/>
    <w:rsid w:val="003F3941"/>
    <w:rsid w:val="00406575"/>
    <w:rsid w:val="00414C74"/>
    <w:rsid w:val="0042722E"/>
    <w:rsid w:val="0044528D"/>
    <w:rsid w:val="00466E39"/>
    <w:rsid w:val="00473FDA"/>
    <w:rsid w:val="00487F77"/>
    <w:rsid w:val="004A1847"/>
    <w:rsid w:val="004A305D"/>
    <w:rsid w:val="004F21C4"/>
    <w:rsid w:val="004F685F"/>
    <w:rsid w:val="005566E8"/>
    <w:rsid w:val="00574867"/>
    <w:rsid w:val="00591460"/>
    <w:rsid w:val="005A65E0"/>
    <w:rsid w:val="005A6C6F"/>
    <w:rsid w:val="005C3777"/>
    <w:rsid w:val="005C5CDC"/>
    <w:rsid w:val="005D476C"/>
    <w:rsid w:val="006200BF"/>
    <w:rsid w:val="006219F8"/>
    <w:rsid w:val="006302F7"/>
    <w:rsid w:val="0064542F"/>
    <w:rsid w:val="00646B9F"/>
    <w:rsid w:val="00665D70"/>
    <w:rsid w:val="006900D9"/>
    <w:rsid w:val="00706C16"/>
    <w:rsid w:val="007340C3"/>
    <w:rsid w:val="0075235A"/>
    <w:rsid w:val="00756841"/>
    <w:rsid w:val="00757239"/>
    <w:rsid w:val="007649AB"/>
    <w:rsid w:val="00771D0C"/>
    <w:rsid w:val="007833AC"/>
    <w:rsid w:val="007B268C"/>
    <w:rsid w:val="007B7171"/>
    <w:rsid w:val="007C0C0F"/>
    <w:rsid w:val="007C3DC2"/>
    <w:rsid w:val="007E5497"/>
    <w:rsid w:val="007F0F41"/>
    <w:rsid w:val="00806F5F"/>
    <w:rsid w:val="008106D4"/>
    <w:rsid w:val="00820278"/>
    <w:rsid w:val="008258C9"/>
    <w:rsid w:val="00844AE9"/>
    <w:rsid w:val="00867F95"/>
    <w:rsid w:val="008843B6"/>
    <w:rsid w:val="00885C3E"/>
    <w:rsid w:val="00891928"/>
    <w:rsid w:val="008A446D"/>
    <w:rsid w:val="008B25F1"/>
    <w:rsid w:val="008D180B"/>
    <w:rsid w:val="008F0EA7"/>
    <w:rsid w:val="009127A3"/>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49E1"/>
    <w:rsid w:val="00B00C0E"/>
    <w:rsid w:val="00B01B1A"/>
    <w:rsid w:val="00B0381D"/>
    <w:rsid w:val="00B44A47"/>
    <w:rsid w:val="00B72CD3"/>
    <w:rsid w:val="00B72FFF"/>
    <w:rsid w:val="00B973ED"/>
    <w:rsid w:val="00BC322B"/>
    <w:rsid w:val="00BC3D36"/>
    <w:rsid w:val="00BD54A6"/>
    <w:rsid w:val="00BD7F72"/>
    <w:rsid w:val="00BE01CF"/>
    <w:rsid w:val="00BF25AC"/>
    <w:rsid w:val="00BF7425"/>
    <w:rsid w:val="00C04FB3"/>
    <w:rsid w:val="00C11D8B"/>
    <w:rsid w:val="00C15139"/>
    <w:rsid w:val="00C330EB"/>
    <w:rsid w:val="00C438BF"/>
    <w:rsid w:val="00C50D69"/>
    <w:rsid w:val="00C5365C"/>
    <w:rsid w:val="00C754BE"/>
    <w:rsid w:val="00C76B1C"/>
    <w:rsid w:val="00C925AC"/>
    <w:rsid w:val="00CB6357"/>
    <w:rsid w:val="00CC1B26"/>
    <w:rsid w:val="00CF4058"/>
    <w:rsid w:val="00CF4065"/>
    <w:rsid w:val="00D222F2"/>
    <w:rsid w:val="00D361FD"/>
    <w:rsid w:val="00D423A2"/>
    <w:rsid w:val="00D44E26"/>
    <w:rsid w:val="00D520D8"/>
    <w:rsid w:val="00D63AC2"/>
    <w:rsid w:val="00D712D7"/>
    <w:rsid w:val="00D7383B"/>
    <w:rsid w:val="00D7788A"/>
    <w:rsid w:val="00DA231B"/>
    <w:rsid w:val="00DC1FE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6490"/>
    <w:rsid w:val="00EC38A7"/>
    <w:rsid w:val="00EE1AA8"/>
    <w:rsid w:val="00F23FEA"/>
    <w:rsid w:val="00F31EDC"/>
    <w:rsid w:val="00F357D4"/>
    <w:rsid w:val="00F43833"/>
    <w:rsid w:val="00F462B3"/>
    <w:rsid w:val="00F5664F"/>
    <w:rsid w:val="00F64505"/>
    <w:rsid w:val="00F666C4"/>
    <w:rsid w:val="00F76AFC"/>
    <w:rsid w:val="00FA47C0"/>
    <w:rsid w:val="00FB5DD1"/>
    <w:rsid w:val="00FC2B5D"/>
    <w:rsid w:val="00FF1449"/>
    <w:rsid w:val="00FF7963"/>
    <w:rsid w:val="09908A09"/>
    <w:rsid w:val="13CFC91B"/>
    <w:rsid w:val="19A2EC2C"/>
    <w:rsid w:val="1B3F8436"/>
    <w:rsid w:val="2859CA1B"/>
    <w:rsid w:val="32A4F9CF"/>
    <w:rsid w:val="356CEDFD"/>
    <w:rsid w:val="3840FB1E"/>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73FD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73FDA"/>
    <w:rPr>
      <w:rFonts w:ascii="Geomanist Light" w:hAnsi="Geomanist Light"/>
      <w:lang w:val="es-ES"/>
    </w:rPr>
  </w:style>
  <w:style w:type="character" w:customStyle="1" w:styleId="s15">
    <w:name w:val="s15"/>
    <w:basedOn w:val="Fuentedeprrafopredeter"/>
    <w:rsid w:val="00473FDA"/>
  </w:style>
  <w:style w:type="character" w:customStyle="1" w:styleId="apple-converted-space">
    <w:name w:val="apple-converted-space"/>
    <w:basedOn w:val="Fuentedeprrafopredeter"/>
    <w:rsid w:val="00473FDA"/>
  </w:style>
  <w:style w:type="character" w:styleId="Textoennegrita">
    <w:name w:val="Strong"/>
    <w:basedOn w:val="Fuentedeprrafopredeter"/>
    <w:uiPriority w:val="22"/>
    <w:qFormat/>
    <w:rsid w:val="00473FDA"/>
    <w:rPr>
      <w:b/>
      <w:bCs/>
    </w:rPr>
  </w:style>
  <w:style w:type="character" w:styleId="nfasis">
    <w:name w:val="Emphasis"/>
    <w:basedOn w:val="Fuentedeprrafopredeter"/>
    <w:uiPriority w:val="20"/>
    <w:qFormat/>
    <w:rsid w:val="00473FD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viistello@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CE51556-BE95-47BB-A2D8-56FF21F07AE5}"/>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22</Pages>
  <Words>7095</Words>
  <Characters>39028</Characters>
  <Application>Microsoft Office Word</Application>
  <DocSecurity>0</DocSecurity>
  <Lines>325</Lines>
  <Paragraphs>92</Paragraphs>
  <ScaleCrop>false</ScaleCrop>
  <Company/>
  <LinksUpToDate>false</LinksUpToDate>
  <CharactersWithSpaces>46031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2025-12-01T18:33:00Z</dcterms:created>
  <dcterms:modified xsi:type="dcterms:W3CDTF">2025-12-02T00:11:00Z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