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9FB9" w14:textId="1451FFA7" w:rsidR="00967405" w:rsidRPr="00967405" w:rsidRDefault="00967405" w:rsidP="00967405">
      <w:pPr>
        <w:jc w:val="both"/>
        <w:rPr>
          <w:rFonts w:ascii="Verdana" w:eastAsia="Times New Roman" w:hAnsi="Verdana" w:cs="Arial"/>
          <w:b/>
          <w:bCs/>
          <w:lang w:eastAsia="es-ES_tradnl"/>
        </w:rPr>
      </w:pPr>
      <w:bookmarkStart w:id="0" w:name="_Hlk143780582"/>
      <w:r w:rsidRPr="00967405">
        <w:rPr>
          <w:rFonts w:ascii="Verdana" w:eastAsia="Times New Roman" w:hAnsi="Verdana" w:cs="Arial"/>
          <w:b/>
          <w:bCs/>
          <w:lang w:eastAsia="es-ES_tradnl"/>
        </w:rPr>
        <w:t>PLANEACIÓN – Estudios previos / ESTUDIOS PREVIOS – Análisis del sector – Planeación en los procesos de contratación pública</w:t>
      </w:r>
    </w:p>
    <w:p w14:paraId="28934CDD" w14:textId="77777777" w:rsidR="00967405" w:rsidRDefault="00967405" w:rsidP="00967405">
      <w:pPr>
        <w:spacing w:after="120" w:line="276" w:lineRule="auto"/>
        <w:contextualSpacing/>
        <w:jc w:val="both"/>
        <w:rPr>
          <w:rFonts w:ascii="Verdana" w:eastAsia="Times New Roman" w:hAnsi="Verdana" w:cs="Arial"/>
          <w:lang w:val="es-ES_tradnl" w:eastAsia="es-MX"/>
        </w:rPr>
      </w:pPr>
      <w:r w:rsidRPr="00F252D7">
        <w:rPr>
          <w:rFonts w:ascii="Verdana" w:eastAsia="Calibri" w:hAnsi="Verdana" w:cs="Arial"/>
          <w:bCs/>
          <w:lang w:val="es-ES_tradnl" w:eastAsia="es-MX"/>
        </w:rPr>
        <w:t xml:space="preserve">La planeación contractual es una herramienta de gerencia pública, que exige estructurar el </w:t>
      </w:r>
      <w:r>
        <w:rPr>
          <w:rFonts w:ascii="Verdana" w:eastAsia="Calibri" w:hAnsi="Verdana" w:cs="Arial"/>
          <w:bCs/>
          <w:lang w:val="es-ES_tradnl" w:eastAsia="es-MX"/>
        </w:rPr>
        <w:t>P</w:t>
      </w:r>
      <w:r w:rsidRPr="00F252D7">
        <w:rPr>
          <w:rFonts w:ascii="Verdana" w:eastAsia="Calibri" w:hAnsi="Verdana" w:cs="Arial"/>
          <w:bCs/>
          <w:lang w:val="es-ES_tradnl" w:eastAsia="es-MX"/>
        </w:rPr>
        <w:t xml:space="preserve">roceso </w:t>
      </w:r>
      <w:r>
        <w:rPr>
          <w:rFonts w:ascii="Verdana" w:eastAsia="Calibri" w:hAnsi="Verdana" w:cs="Arial"/>
          <w:bCs/>
          <w:lang w:val="es-ES_tradnl" w:eastAsia="es-MX"/>
        </w:rPr>
        <w:t>C</w:t>
      </w:r>
      <w:r w:rsidRPr="00F252D7">
        <w:rPr>
          <w:rFonts w:ascii="Verdana" w:eastAsia="Calibri" w:hAnsi="Verdana" w:cs="Arial"/>
          <w:bCs/>
          <w:lang w:val="es-ES_tradnl" w:eastAsia="es-MX"/>
        </w:rPr>
        <w:t>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35F88DD5" w14:textId="77777777" w:rsidR="00967405" w:rsidRDefault="00967405" w:rsidP="00967405">
      <w:pPr>
        <w:spacing w:after="120" w:line="276" w:lineRule="auto"/>
        <w:ind w:firstLine="360"/>
        <w:contextualSpacing/>
        <w:jc w:val="both"/>
        <w:rPr>
          <w:rFonts w:ascii="Verdana" w:eastAsia="Times New Roman" w:hAnsi="Verdana" w:cs="Arial"/>
          <w:lang w:val="es-ES_tradnl" w:eastAsia="es-MX"/>
        </w:rPr>
      </w:pPr>
    </w:p>
    <w:p w14:paraId="2127F0EA" w14:textId="1B65EC2A" w:rsidR="00967405" w:rsidRDefault="00967405" w:rsidP="00967405">
      <w:pPr>
        <w:jc w:val="both"/>
        <w:rPr>
          <w:rFonts w:ascii="Verdana" w:eastAsia="Calibri" w:hAnsi="Verdana" w:cs="Arial"/>
          <w:bCs/>
          <w:lang w:val="es-MX" w:eastAsia="es-ES_tradnl"/>
        </w:rPr>
      </w:pPr>
      <w:r w:rsidRPr="00F252D7">
        <w:rPr>
          <w:rFonts w:ascii="Verdana" w:eastAsia="Calibri" w:hAnsi="Verdana" w:cs="Arial"/>
          <w:bCs/>
          <w:lang w:val="es-MX" w:eastAsia="es-ES_tradnl"/>
        </w:rPr>
        <w:t xml:space="preserve">El Estatuto General de Contratación de la Administración Pública – EGCAP – contiene disposiciones que exigen a las Entidades Estatales el deber de realizar planeación en la etapa precontractual, para que los </w:t>
      </w:r>
      <w:r>
        <w:rPr>
          <w:rFonts w:ascii="Verdana" w:eastAsia="Calibri" w:hAnsi="Verdana" w:cs="Arial"/>
          <w:bCs/>
          <w:lang w:val="es-MX" w:eastAsia="es-ES_tradnl"/>
        </w:rPr>
        <w:t>P</w:t>
      </w:r>
      <w:r w:rsidRPr="00F252D7">
        <w:rPr>
          <w:rFonts w:ascii="Verdana" w:eastAsia="Calibri" w:hAnsi="Verdana" w:cs="Arial"/>
          <w:bCs/>
          <w:lang w:val="es-MX" w:eastAsia="es-ES_tradnl"/>
        </w:rPr>
        <w:t xml:space="preserve">rocesos de </w:t>
      </w:r>
      <w:r>
        <w:rPr>
          <w:rFonts w:ascii="Verdana" w:eastAsia="Calibri" w:hAnsi="Verdana" w:cs="Arial"/>
          <w:bCs/>
          <w:lang w:val="es-MX" w:eastAsia="es-ES_tradnl"/>
        </w:rPr>
        <w:t>C</w:t>
      </w:r>
      <w:r w:rsidRPr="00F252D7">
        <w:rPr>
          <w:rFonts w:ascii="Verdana" w:eastAsia="Calibri" w:hAnsi="Verdana" w:cs="Arial"/>
          <w:bCs/>
          <w:lang w:val="es-MX" w:eastAsia="es-ES_tradnl"/>
        </w:rPr>
        <w:t>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w:t>
      </w:r>
    </w:p>
    <w:p w14:paraId="7D026579" w14:textId="77777777" w:rsidR="00967405" w:rsidRPr="00967405" w:rsidRDefault="00967405" w:rsidP="00967405">
      <w:pPr>
        <w:jc w:val="both"/>
        <w:textAlignment w:val="baseline"/>
        <w:rPr>
          <w:rFonts w:ascii="Verdana" w:eastAsia="Times New Roman" w:hAnsi="Verdana" w:cs="Arial"/>
          <w:b/>
          <w:bCs/>
          <w:lang w:eastAsia="es-ES_tradnl"/>
        </w:rPr>
      </w:pPr>
      <w:r w:rsidRPr="00967405">
        <w:rPr>
          <w:rFonts w:ascii="Verdana" w:eastAsia="Times New Roman" w:hAnsi="Verdana" w:cs="Arial"/>
          <w:b/>
          <w:bCs/>
          <w:lang w:eastAsia="es-ES_tradnl"/>
        </w:rPr>
        <w:t>ESTUDIOS PREVIOS – Estudio del mercado / ESTUDIOS PREVIOS – Metodologías – Cotizaciones – Autonomía</w:t>
      </w:r>
    </w:p>
    <w:p w14:paraId="59F3F89E" w14:textId="77777777" w:rsidR="00967405" w:rsidRDefault="00967405" w:rsidP="00967405">
      <w:pPr>
        <w:spacing w:after="120" w:line="276" w:lineRule="auto"/>
        <w:jc w:val="both"/>
        <w:rPr>
          <w:rFonts w:ascii="Verdana" w:eastAsia="Calibri" w:hAnsi="Verdana" w:cs="Arial"/>
          <w:szCs w:val="24"/>
          <w:lang w:val="es-ES" w:eastAsia="es-ES_tradnl"/>
        </w:rPr>
      </w:pPr>
      <w:r w:rsidRPr="00594D84">
        <w:rPr>
          <w:rFonts w:ascii="Verdana" w:eastAsia="Times New Roman" w:hAnsi="Verdana" w:cs="Arial"/>
          <w:lang w:eastAsia="es-ES_tradnl"/>
        </w:rPr>
        <w:t>De</w:t>
      </w:r>
      <w:r w:rsidRPr="00F252D7">
        <w:rPr>
          <w:rFonts w:ascii="Verdana" w:eastAsia="Calibri" w:hAnsi="Verdana" w:cs="Arial"/>
          <w:szCs w:val="24"/>
          <w:lang w:val="es-ES" w:eastAsia="es-ES_tradnl"/>
        </w:rPr>
        <w:t xml:space="preserve"> acuerdo con la </w:t>
      </w:r>
      <w:r w:rsidRPr="00F252D7">
        <w:rPr>
          <w:rFonts w:ascii="Verdana" w:eastAsia="Calibri" w:hAnsi="Verdana" w:cs="Arial"/>
          <w:bCs/>
          <w:lang w:val="es-ES_tradnl" w:eastAsia="es-MX"/>
        </w:rPr>
        <w:t xml:space="preserve">“Guía para la Elaboración de Estudios del Sector” expedida por Agencia Nacional de Contratación Pública – Colombia Compra Eficiente, </w:t>
      </w:r>
      <w:r>
        <w:rPr>
          <w:rFonts w:ascii="Verdana" w:eastAsia="Calibri" w:hAnsi="Verdana" w:cs="Arial"/>
          <w:bCs/>
          <w:lang w:val="es-ES_tradnl" w:eastAsia="es-MX"/>
        </w:rPr>
        <w:t xml:space="preserve">allí se establecen varias metodologías, como las cotizaciones, a las que se refiere en su consulta, que </w:t>
      </w:r>
      <w:r w:rsidRPr="006D4F5F">
        <w:rPr>
          <w:rFonts w:ascii="Verdana" w:eastAsia="Calibri" w:hAnsi="Verdana" w:cs="Arial"/>
          <w:szCs w:val="24"/>
          <w:lang w:val="es-ES" w:eastAsia="es-ES_tradnl"/>
        </w:rPr>
        <w:t>son un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r>
        <w:rPr>
          <w:rFonts w:ascii="Verdana" w:eastAsia="Calibri" w:hAnsi="Verdana" w:cs="Arial"/>
          <w:szCs w:val="24"/>
          <w:lang w:val="es-ES" w:eastAsia="es-ES_tradnl"/>
        </w:rPr>
        <w:t xml:space="preserve">. No obstante, las Entidades Públicas gozan de autonomía </w:t>
      </w:r>
      <w:r w:rsidRPr="008A306B">
        <w:rPr>
          <w:rFonts w:ascii="Verdana" w:eastAsia="Calibri" w:hAnsi="Verdana" w:cs="Arial"/>
          <w:szCs w:val="24"/>
          <w:lang w:eastAsia="es-ES_tradnl"/>
        </w:rPr>
        <w:t xml:space="preserve">razonada, a la hora de </w:t>
      </w:r>
      <w:r>
        <w:rPr>
          <w:rFonts w:ascii="Verdana" w:eastAsia="Calibri" w:hAnsi="Verdana" w:cs="Arial"/>
          <w:szCs w:val="24"/>
          <w:lang w:eastAsia="es-ES_tradnl"/>
        </w:rPr>
        <w:t>aplicar una metodología para elaborar el Estudio del Sector, para lo cual dentro de su Manual de Contratación establecerán aquella que consideren pertinente, siempre y cuando acaten la</w:t>
      </w:r>
      <w:r w:rsidRPr="008A306B">
        <w:rPr>
          <w:rFonts w:ascii="Verdana" w:eastAsia="Calibri" w:hAnsi="Verdana" w:cs="Arial"/>
          <w:szCs w:val="24"/>
          <w:lang w:eastAsia="es-ES_tradnl"/>
        </w:rPr>
        <w:t xml:space="preserve"> Ley 1150 de 2007 y el Decreto 1082 de 2015</w:t>
      </w:r>
      <w:r>
        <w:rPr>
          <w:rFonts w:ascii="Verdana" w:eastAsia="Calibri" w:hAnsi="Verdana" w:cs="Arial"/>
          <w:szCs w:val="24"/>
          <w:lang w:val="es-ES" w:eastAsia="es-ES_tradnl"/>
        </w:rPr>
        <w:t xml:space="preserve"> frente a esta materia.</w:t>
      </w:r>
    </w:p>
    <w:p w14:paraId="7F95A467" w14:textId="77777777" w:rsidR="00967405" w:rsidRDefault="00967405" w:rsidP="00967405">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lastRenderedPageBreak/>
        <w:t xml:space="preserve">Por ende, a juicio de esta Agencia, no existe normatividad aplicable que obligue a las Entidades Estatales a hacer uso de la herramienta de solicitud de cotización en el SECOP II para realizar sus estudios del mercado, ya que debido a la autonomía administrativa de la que gozan, estas tienen la facultad de utilizar dichas herramientas legales que sirvan para salvaguardar sus procesos de contratación y los fines del estado. En todo caso, se reitera que, tal como se señala en la </w:t>
      </w:r>
      <w:r w:rsidRPr="00F252D7">
        <w:rPr>
          <w:rFonts w:ascii="Verdana" w:eastAsia="Calibri" w:hAnsi="Verdana" w:cs="Arial"/>
          <w:bCs/>
          <w:lang w:val="es-ES_tradnl" w:eastAsia="es-MX"/>
        </w:rPr>
        <w:t>“Guía para la Elaboración de Estudios del Sector”</w:t>
      </w:r>
      <w:r>
        <w:rPr>
          <w:rFonts w:ascii="Verdana" w:eastAsia="Calibri" w:hAnsi="Verdana" w:cs="Arial"/>
          <w:bCs/>
          <w:lang w:val="es-ES_tradnl" w:eastAsia="es-MX"/>
        </w:rPr>
        <w:t xml:space="preserve">, esta se recomienda como buena práctica para conocer en mercado y diseñar de la mejor forma posible el Proceso de Contratación. Esto sin perjuicio de las demás alternativas que dispone la guía mencionada.  </w:t>
      </w:r>
    </w:p>
    <w:p w14:paraId="0BE57692" w14:textId="2AD10FE9" w:rsidR="00967405" w:rsidRDefault="00967405" w:rsidP="00967405">
      <w:pPr>
        <w:jc w:val="both"/>
        <w:rPr>
          <w:rFonts w:ascii="Verdana" w:eastAsia="Times New Roman" w:hAnsi="Verdana" w:cs="Arial"/>
          <w:lang w:eastAsia="es-ES_tradnl"/>
        </w:rPr>
      </w:pPr>
      <w:r w:rsidRPr="00F252D7">
        <w:rPr>
          <w:rFonts w:ascii="Verdana" w:eastAsia="Times New Roman" w:hAnsi="Verdana" w:cs="Arial"/>
          <w:lang w:eastAsia="es-ES_tradnl"/>
        </w:rPr>
        <w:t xml:space="preserve">Sin perjuicio de las aclaraciones anteriores, debe advertirse que es la entidad contratante, al momento de adelantar su actividad contractual, quien debe determinar lo correspondiente </w:t>
      </w:r>
      <w:r>
        <w:rPr>
          <w:rFonts w:ascii="Verdana" w:eastAsia="Times New Roman" w:hAnsi="Verdana" w:cs="Arial"/>
          <w:lang w:eastAsia="es-ES_tradnl"/>
        </w:rPr>
        <w:t>sus Procesos de Contratación</w:t>
      </w:r>
      <w:r w:rsidRPr="00F252D7">
        <w:rPr>
          <w:rFonts w:ascii="Verdana" w:eastAsia="Times New Roman" w:hAnsi="Verdana" w:cs="Arial"/>
          <w:lang w:eastAsia="es-ES_tradnl"/>
        </w:rPr>
        <w:t>. Dado esto, y en atención al alcance la función consultiva atribuida a esta Agencia, lo aquí mencionado no constituye un juicio de valor sobre un proceso contractual particular.</w:t>
      </w:r>
    </w:p>
    <w:p w14:paraId="375C7DA7" w14:textId="77777777" w:rsidR="00967405" w:rsidRDefault="00967405" w:rsidP="00112B54">
      <w:pPr>
        <w:rPr>
          <w:rFonts w:ascii="Verdana" w:eastAsia="Times New Roman" w:hAnsi="Verdana" w:cs="Arial"/>
          <w:lang w:eastAsia="es-ES_tradnl"/>
        </w:rPr>
      </w:pPr>
    </w:p>
    <w:p w14:paraId="1B23853A" w14:textId="77777777" w:rsidR="00967405" w:rsidRDefault="00967405" w:rsidP="00112B54">
      <w:pPr>
        <w:rPr>
          <w:rFonts w:ascii="Verdana" w:eastAsia="Times New Roman" w:hAnsi="Verdana" w:cs="Arial"/>
          <w:lang w:eastAsia="es-ES_tradnl"/>
        </w:rPr>
      </w:pPr>
    </w:p>
    <w:p w14:paraId="6479EF02" w14:textId="77777777" w:rsidR="00967405" w:rsidRDefault="00967405" w:rsidP="00112B54">
      <w:pPr>
        <w:rPr>
          <w:rFonts w:ascii="Verdana" w:eastAsia="Times New Roman" w:hAnsi="Verdana" w:cs="Arial"/>
          <w:lang w:eastAsia="es-ES_tradnl"/>
        </w:rPr>
      </w:pPr>
    </w:p>
    <w:p w14:paraId="20661731" w14:textId="77777777" w:rsidR="00967405" w:rsidRDefault="00967405" w:rsidP="00112B54">
      <w:pPr>
        <w:rPr>
          <w:rFonts w:ascii="Verdana" w:eastAsia="Times New Roman" w:hAnsi="Verdana" w:cs="Arial"/>
          <w:lang w:eastAsia="es-ES_tradnl"/>
        </w:rPr>
      </w:pPr>
    </w:p>
    <w:p w14:paraId="62F68588" w14:textId="77777777" w:rsidR="00967405" w:rsidRDefault="00967405" w:rsidP="00112B54">
      <w:pPr>
        <w:rPr>
          <w:rFonts w:ascii="Verdana" w:eastAsia="Times New Roman" w:hAnsi="Verdana" w:cs="Arial"/>
          <w:lang w:eastAsia="es-ES_tradnl"/>
        </w:rPr>
      </w:pPr>
    </w:p>
    <w:p w14:paraId="57BAAFBE" w14:textId="77777777" w:rsidR="00967405" w:rsidRDefault="00967405" w:rsidP="00112B54">
      <w:pPr>
        <w:rPr>
          <w:rFonts w:ascii="Verdana" w:eastAsia="Times New Roman" w:hAnsi="Verdana" w:cs="Arial"/>
          <w:lang w:eastAsia="es-ES_tradnl"/>
        </w:rPr>
      </w:pPr>
    </w:p>
    <w:p w14:paraId="61B89A3B" w14:textId="77777777" w:rsidR="00967405" w:rsidRDefault="00967405" w:rsidP="00112B54">
      <w:pPr>
        <w:rPr>
          <w:rFonts w:ascii="Verdana" w:eastAsia="Times New Roman" w:hAnsi="Verdana" w:cs="Arial"/>
          <w:lang w:eastAsia="es-ES_tradnl"/>
        </w:rPr>
      </w:pPr>
    </w:p>
    <w:p w14:paraId="1631AB77" w14:textId="77777777" w:rsidR="00967405" w:rsidRDefault="00967405" w:rsidP="00112B54">
      <w:pPr>
        <w:rPr>
          <w:rFonts w:ascii="Verdana" w:eastAsia="Times New Roman" w:hAnsi="Verdana" w:cs="Arial"/>
          <w:lang w:eastAsia="es-ES_tradnl"/>
        </w:rPr>
      </w:pPr>
    </w:p>
    <w:p w14:paraId="29DEBCBE" w14:textId="77777777" w:rsidR="00967405" w:rsidRDefault="00967405" w:rsidP="00112B54">
      <w:pPr>
        <w:rPr>
          <w:rFonts w:ascii="Verdana" w:eastAsia="Times New Roman" w:hAnsi="Verdana" w:cs="Arial"/>
          <w:lang w:eastAsia="es-ES_tradnl"/>
        </w:rPr>
      </w:pPr>
    </w:p>
    <w:p w14:paraId="2D1657F9" w14:textId="77777777" w:rsidR="00967405" w:rsidRDefault="00967405" w:rsidP="00112B54">
      <w:pPr>
        <w:rPr>
          <w:rFonts w:ascii="Verdana" w:eastAsia="Times New Roman" w:hAnsi="Verdana" w:cs="Arial"/>
          <w:lang w:eastAsia="es-ES_tradnl"/>
        </w:rPr>
      </w:pPr>
    </w:p>
    <w:p w14:paraId="37F49897" w14:textId="77777777" w:rsidR="00967405" w:rsidRDefault="00967405" w:rsidP="00112B54">
      <w:pPr>
        <w:rPr>
          <w:rFonts w:ascii="Verdana" w:eastAsia="Times New Roman" w:hAnsi="Verdana" w:cs="Arial"/>
          <w:lang w:eastAsia="es-ES_tradnl"/>
        </w:rPr>
      </w:pPr>
    </w:p>
    <w:p w14:paraId="251F9736" w14:textId="77777777" w:rsidR="00967405" w:rsidRDefault="00967405" w:rsidP="00112B54">
      <w:pPr>
        <w:rPr>
          <w:rFonts w:ascii="Verdana" w:eastAsia="Times New Roman" w:hAnsi="Verdana" w:cs="Arial"/>
          <w:lang w:eastAsia="es-ES_tradnl"/>
        </w:rPr>
      </w:pPr>
    </w:p>
    <w:p w14:paraId="2AFFC1C3" w14:textId="77777777" w:rsidR="00967405" w:rsidRDefault="00967405" w:rsidP="00112B54">
      <w:pPr>
        <w:rPr>
          <w:rFonts w:ascii="Verdana" w:eastAsia="Times New Roman" w:hAnsi="Verdana" w:cs="Arial"/>
          <w:lang w:eastAsia="es-ES_tradnl"/>
        </w:rPr>
      </w:pPr>
    </w:p>
    <w:p w14:paraId="46BE0D8E" w14:textId="77777777" w:rsidR="00967405" w:rsidRDefault="00967405" w:rsidP="00112B54">
      <w:pPr>
        <w:rPr>
          <w:rFonts w:ascii="Verdana" w:eastAsia="Times New Roman" w:hAnsi="Verdana" w:cs="Arial"/>
          <w:lang w:eastAsia="es-ES_tradnl"/>
        </w:rPr>
      </w:pPr>
    </w:p>
    <w:p w14:paraId="41F59579" w14:textId="30B91096" w:rsidR="00112B54" w:rsidRPr="006F44C3" w:rsidRDefault="00112B54" w:rsidP="00112B54">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1508A4">
        <w:rPr>
          <w:rFonts w:ascii="Verdana" w:eastAsia="Times New Roman" w:hAnsi="Verdana" w:cs="Arial"/>
          <w:lang w:eastAsia="es-ES_tradnl"/>
        </w:rPr>
        <w:t>08</w:t>
      </w:r>
      <w:r w:rsidRPr="00093B55">
        <w:rPr>
          <w:rFonts w:ascii="Verdana" w:eastAsia="Times New Roman" w:hAnsi="Verdana" w:cs="Arial"/>
          <w:lang w:eastAsia="es-ES_tradnl"/>
        </w:rPr>
        <w:t xml:space="preserve"> de</w:t>
      </w:r>
      <w:r w:rsidR="001508A4">
        <w:rPr>
          <w:rFonts w:ascii="Verdana" w:eastAsia="Times New Roman" w:hAnsi="Verdana" w:cs="Arial"/>
          <w:lang w:eastAsia="es-ES_tradnl"/>
        </w:rPr>
        <w:t xml:space="preserve"> noviembre</w:t>
      </w:r>
      <w:r w:rsidRPr="00093B55">
        <w:rPr>
          <w:rFonts w:ascii="Verdana" w:eastAsia="Times New Roman" w:hAnsi="Verdana" w:cs="Arial"/>
          <w:lang w:eastAsia="es-ES_tradnl"/>
        </w:rPr>
        <w:t xml:space="preserve"> de </w:t>
      </w:r>
      <w:r w:rsidR="001508A4">
        <w:rPr>
          <w:rFonts w:ascii="Verdana" w:eastAsia="Times New Roman" w:hAnsi="Verdana" w:cs="Arial"/>
          <w:lang w:eastAsia="es-ES_tradnl"/>
        </w:rPr>
        <w:t>2025</w:t>
      </w:r>
    </w:p>
    <w:p w14:paraId="05740DF7" w14:textId="77777777" w:rsidR="00112B54" w:rsidRDefault="00112B54" w:rsidP="00112B54">
      <w:pPr>
        <w:spacing w:after="0" w:line="240" w:lineRule="auto"/>
        <w:jc w:val="both"/>
        <w:rPr>
          <w:rFonts w:ascii="Verdana" w:eastAsia="Times New Roman" w:hAnsi="Verdana" w:cs="Arial"/>
          <w:noProof/>
          <w:lang w:val="es-ES_tradnl" w:eastAsia="es-ES_tradnl"/>
        </w:rPr>
      </w:pPr>
    </w:p>
    <w:p w14:paraId="50486963" w14:textId="6203B396" w:rsidR="00112B54" w:rsidRDefault="001508A4" w:rsidP="001508A4">
      <w:pPr>
        <w:spacing w:after="0" w:line="240" w:lineRule="auto"/>
        <w:ind w:left="4248"/>
        <w:jc w:val="both"/>
        <w:rPr>
          <w:rFonts w:ascii="Verdana" w:eastAsia="Times New Roman" w:hAnsi="Verdana" w:cs="Arial"/>
          <w:noProof/>
          <w:lang w:val="es-ES_tradnl" w:eastAsia="es-ES_tradnl"/>
        </w:rPr>
      </w:pPr>
      <w:r w:rsidRPr="001508A4">
        <w:rPr>
          <w:rFonts w:ascii="Verdana" w:eastAsia="Times New Roman" w:hAnsi="Verdana" w:cs="Arial"/>
          <w:noProof/>
          <w:lang w:val="es-ES_tradnl" w:eastAsia="es-ES_tradnl"/>
        </w:rPr>
        <w:drawing>
          <wp:inline distT="0" distB="0" distL="0" distR="0" wp14:anchorId="430D72A3" wp14:editId="75F3AC55">
            <wp:extent cx="3391373" cy="1047896"/>
            <wp:effectExtent l="0" t="0" r="0" b="0"/>
            <wp:docPr id="6828832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883207" name=""/>
                    <pic:cNvPicPr/>
                  </pic:nvPicPr>
                  <pic:blipFill>
                    <a:blip r:embed="rId11"/>
                    <a:stretch>
                      <a:fillRect/>
                    </a:stretch>
                  </pic:blipFill>
                  <pic:spPr>
                    <a:xfrm>
                      <a:off x="0" y="0"/>
                      <a:ext cx="3391373" cy="1047896"/>
                    </a:xfrm>
                    <a:prstGeom prst="rect">
                      <a:avLst/>
                    </a:prstGeom>
                  </pic:spPr>
                </pic:pic>
              </a:graphicData>
            </a:graphic>
          </wp:inline>
        </w:drawing>
      </w:r>
    </w:p>
    <w:p w14:paraId="04FFDEB3" w14:textId="77777777" w:rsidR="00112B54" w:rsidRPr="00F252D7" w:rsidRDefault="00112B54" w:rsidP="00112B54">
      <w:pPr>
        <w:spacing w:after="0" w:line="240" w:lineRule="auto"/>
        <w:jc w:val="both"/>
        <w:rPr>
          <w:rFonts w:ascii="Verdana" w:eastAsia="Calibri" w:hAnsi="Verdana" w:cs="Arial"/>
          <w:lang w:val="es-ES" w:eastAsia="es-ES_tradnl"/>
        </w:rPr>
      </w:pPr>
      <w:r w:rsidRPr="00F252D7">
        <w:rPr>
          <w:rFonts w:ascii="Verdana" w:eastAsia="Calibri" w:hAnsi="Verdana" w:cs="Arial"/>
          <w:lang w:val="es-ES" w:eastAsia="es-ES_tradnl"/>
        </w:rPr>
        <w:t>Señor</w:t>
      </w:r>
    </w:p>
    <w:p w14:paraId="670F236F" w14:textId="77777777" w:rsidR="00112B54" w:rsidRDefault="00112B54" w:rsidP="00112B54">
      <w:pPr>
        <w:spacing w:after="0" w:line="240" w:lineRule="auto"/>
        <w:rPr>
          <w:rFonts w:ascii="Verdana" w:eastAsia="Calibri" w:hAnsi="Verdana" w:cs="Arial"/>
          <w:b/>
          <w:bCs/>
          <w:lang w:val="es-ES" w:eastAsia="es-ES_tradnl"/>
        </w:rPr>
      </w:pPr>
      <w:proofErr w:type="spellStart"/>
      <w:r>
        <w:rPr>
          <w:rFonts w:ascii="Verdana" w:eastAsia="Calibri" w:hAnsi="Verdana" w:cs="Arial"/>
          <w:b/>
          <w:bCs/>
          <w:lang w:val="es-ES" w:eastAsia="es-ES_tradnl"/>
        </w:rPr>
        <w:t>Helmer</w:t>
      </w:r>
      <w:proofErr w:type="spellEnd"/>
      <w:r>
        <w:rPr>
          <w:rFonts w:ascii="Verdana" w:eastAsia="Calibri" w:hAnsi="Verdana" w:cs="Arial"/>
          <w:b/>
          <w:bCs/>
          <w:lang w:val="es-ES" w:eastAsia="es-ES_tradnl"/>
        </w:rPr>
        <w:t xml:space="preserve"> Andrés Balaguera Valiente</w:t>
      </w:r>
    </w:p>
    <w:p w14:paraId="4ACF522F" w14:textId="77777777" w:rsidR="00112B54" w:rsidRPr="003D734F" w:rsidRDefault="00112B54" w:rsidP="00112B54">
      <w:pPr>
        <w:spacing w:after="0" w:line="240" w:lineRule="auto"/>
        <w:rPr>
          <w:rFonts w:ascii="Verdana" w:eastAsia="Calibri" w:hAnsi="Verdana" w:cs="Arial"/>
          <w:lang w:val="es-ES" w:eastAsia="es-ES_tradnl"/>
        </w:rPr>
      </w:pPr>
      <w:r>
        <w:rPr>
          <w:rFonts w:ascii="Verdana" w:eastAsia="Calibri" w:hAnsi="Verdana" w:cs="Arial"/>
          <w:lang w:val="es-ES" w:eastAsia="es-ES_tradnl"/>
        </w:rPr>
        <w:t>balagueravaliente</w:t>
      </w:r>
      <w:r w:rsidRPr="003D734F">
        <w:rPr>
          <w:rFonts w:ascii="Verdana" w:eastAsia="Calibri" w:hAnsi="Verdana" w:cs="Arial"/>
          <w:lang w:val="es-ES" w:eastAsia="es-ES_tradnl"/>
        </w:rPr>
        <w:t>@gmail.com</w:t>
      </w:r>
    </w:p>
    <w:p w14:paraId="0E90AE64" w14:textId="77777777" w:rsidR="00112B54" w:rsidRPr="00F252D7" w:rsidRDefault="00112B54" w:rsidP="00112B54">
      <w:pPr>
        <w:spacing w:after="0" w:line="240" w:lineRule="auto"/>
        <w:rPr>
          <w:rFonts w:ascii="Verdana" w:eastAsia="Calibri" w:hAnsi="Verdana" w:cs="Arial"/>
          <w:lang w:val="es-ES_tradnl" w:eastAsia="es-ES_tradnl"/>
        </w:rPr>
      </w:pPr>
      <w:r w:rsidRPr="00F252D7">
        <w:rPr>
          <w:rFonts w:ascii="Verdana" w:eastAsia="Calibri" w:hAnsi="Verdana" w:cs="Arial"/>
          <w:bCs/>
          <w:lang w:val="es-ES_tradnl" w:eastAsia="es-ES_tradnl"/>
        </w:rPr>
        <w:t>Ciudad</w:t>
      </w:r>
    </w:p>
    <w:p w14:paraId="5F7EF995" w14:textId="77777777" w:rsidR="00112B54" w:rsidRPr="00F252D7" w:rsidRDefault="00112B54" w:rsidP="00112B54">
      <w:pPr>
        <w:spacing w:after="0" w:line="240" w:lineRule="auto"/>
        <w:rPr>
          <w:rFonts w:ascii="Verdana" w:eastAsia="Calibri" w:hAnsi="Verdana" w:cs="Arial"/>
          <w:lang w:val="es-ES_tradnl" w:eastAsia="es-ES_tradnl"/>
        </w:rPr>
      </w:pPr>
    </w:p>
    <w:p w14:paraId="2539BF5E" w14:textId="77777777" w:rsidR="00112B54" w:rsidRPr="00F252D7" w:rsidRDefault="00112B54" w:rsidP="00112B54">
      <w:pPr>
        <w:spacing w:after="0" w:line="240" w:lineRule="auto"/>
        <w:rPr>
          <w:rFonts w:ascii="Verdana" w:eastAsia="Calibri" w:hAnsi="Verdana" w:cs="Arial"/>
          <w:lang w:val="es-ES_tradnl" w:eastAsia="es-ES_tradnl"/>
        </w:rPr>
      </w:pPr>
    </w:p>
    <w:p w14:paraId="336F44C1" w14:textId="77777777" w:rsidR="00112B54" w:rsidRPr="00F252D7" w:rsidRDefault="00112B54" w:rsidP="00112B54">
      <w:pPr>
        <w:spacing w:after="0" w:line="240" w:lineRule="auto"/>
        <w:ind w:left="2694"/>
        <w:rPr>
          <w:rFonts w:ascii="Verdana" w:eastAsia="Calibri" w:hAnsi="Verdana" w:cs="Arial"/>
          <w:b/>
          <w:bCs/>
          <w:lang w:val="es-ES" w:eastAsia="es-ES_tradnl"/>
        </w:rPr>
      </w:pPr>
      <w:r w:rsidRPr="00F252D7">
        <w:rPr>
          <w:rFonts w:ascii="Verdana" w:eastAsia="Calibri" w:hAnsi="Verdana" w:cs="Arial"/>
          <w:b/>
          <w:bCs/>
          <w:lang w:val="es-ES" w:eastAsia="es-ES_tradnl"/>
        </w:rPr>
        <w:t xml:space="preserve">Concepto </w:t>
      </w:r>
      <w:r w:rsidRPr="00E60081">
        <w:rPr>
          <w:rFonts w:ascii="Verdana" w:eastAsia="Calibri" w:hAnsi="Verdana" w:cs="Arial"/>
          <w:b/>
          <w:bCs/>
          <w:lang w:val="es-ES" w:eastAsia="es-ES_tradnl"/>
        </w:rPr>
        <w:t>C-1686</w:t>
      </w:r>
      <w:r>
        <w:rPr>
          <w:rFonts w:ascii="Verdana" w:eastAsia="Calibri" w:hAnsi="Verdana" w:cs="Arial"/>
          <w:b/>
          <w:bCs/>
          <w:lang w:val="es-ES" w:eastAsia="es-ES_tradnl"/>
        </w:rPr>
        <w:t xml:space="preserve"> </w:t>
      </w:r>
      <w:r w:rsidRPr="00F252D7">
        <w:rPr>
          <w:rFonts w:ascii="Verdana" w:eastAsia="Calibri" w:hAnsi="Verdana" w:cs="Arial"/>
          <w:b/>
          <w:bCs/>
          <w:lang w:val="es-ES" w:eastAsia="es-ES_tradnl"/>
        </w:rPr>
        <w:t>de 202</w:t>
      </w:r>
      <w:r>
        <w:rPr>
          <w:rFonts w:ascii="Verdana" w:eastAsia="Calibri" w:hAnsi="Verdana" w:cs="Arial"/>
          <w:b/>
          <w:bCs/>
          <w:lang w:val="es-ES" w:eastAsia="es-ES_tradnl"/>
        </w:rPr>
        <w:t>5</w:t>
      </w:r>
    </w:p>
    <w:p w14:paraId="4EAD5E27" w14:textId="77777777" w:rsidR="00112B54" w:rsidRPr="00F252D7" w:rsidRDefault="00112B54" w:rsidP="00112B54">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112B54" w:rsidRPr="00F252D7" w14:paraId="2573ACBF" w14:textId="77777777" w:rsidTr="003021E1">
        <w:trPr>
          <w:jc w:val="right"/>
        </w:trPr>
        <w:tc>
          <w:tcPr>
            <w:tcW w:w="1838" w:type="dxa"/>
          </w:tcPr>
          <w:p w14:paraId="6C01E74A" w14:textId="77777777" w:rsidR="00112B54" w:rsidRPr="00F252D7" w:rsidRDefault="00112B54" w:rsidP="003021E1">
            <w:pPr>
              <w:jc w:val="center"/>
              <w:rPr>
                <w:rFonts w:ascii="Verdana" w:eastAsia="Calibri" w:hAnsi="Verdana" w:cs="Arial"/>
                <w:lang w:val="es-ES_tradnl" w:eastAsia="es-ES_tradnl"/>
              </w:rPr>
            </w:pPr>
            <w:r w:rsidRPr="00F252D7">
              <w:rPr>
                <w:rFonts w:ascii="Verdana" w:eastAsia="Calibri" w:hAnsi="Verdana" w:cs="Arial"/>
                <w:b/>
                <w:lang w:val="es-ES_tradnl" w:eastAsia="es-ES_tradnl"/>
              </w:rPr>
              <w:t>Temas:</w:t>
            </w:r>
          </w:p>
        </w:tc>
        <w:tc>
          <w:tcPr>
            <w:tcW w:w="6237" w:type="dxa"/>
          </w:tcPr>
          <w:p w14:paraId="2012FC05" w14:textId="77777777" w:rsidR="00112B54" w:rsidRDefault="00112B54" w:rsidP="003021E1">
            <w:pPr>
              <w:jc w:val="both"/>
              <w:textAlignment w:val="baseline"/>
              <w:rPr>
                <w:rFonts w:ascii="Verdana" w:eastAsia="Times New Roman" w:hAnsi="Verdana" w:cs="Arial"/>
                <w:lang w:eastAsia="es-ES_tradnl"/>
              </w:rPr>
            </w:pPr>
            <w:r w:rsidRPr="00F252D7">
              <w:rPr>
                <w:rFonts w:ascii="Verdana" w:eastAsia="Times New Roman" w:hAnsi="Verdana" w:cs="Arial"/>
                <w:lang w:eastAsia="es-ES_tradnl"/>
              </w:rPr>
              <w:t>PLANEACIÓN – Estudios previos / ESTUDIOS PREVIOS – Análisis del sector – Planeación en los procesos de contratación pública /</w:t>
            </w:r>
            <w:r>
              <w:t xml:space="preserve"> </w:t>
            </w:r>
            <w:r w:rsidRPr="00352F58">
              <w:rPr>
                <w:rFonts w:ascii="Verdana" w:eastAsia="Times New Roman" w:hAnsi="Verdana" w:cs="Arial"/>
                <w:lang w:eastAsia="es-ES_tradnl"/>
              </w:rPr>
              <w:t>ESTUDIOS PREVIOS – Estudio del mercado</w:t>
            </w:r>
            <w:r>
              <w:rPr>
                <w:rFonts w:ascii="Verdana" w:eastAsia="Times New Roman" w:hAnsi="Verdana" w:cs="Arial"/>
                <w:lang w:eastAsia="es-ES_tradnl"/>
              </w:rPr>
              <w:t xml:space="preserve"> /</w:t>
            </w:r>
            <w:r w:rsidRPr="00F252D7">
              <w:rPr>
                <w:rFonts w:ascii="Verdana" w:eastAsia="Times New Roman" w:hAnsi="Verdana" w:cs="Arial"/>
                <w:lang w:eastAsia="es-ES_tradnl"/>
              </w:rPr>
              <w:t xml:space="preserve"> </w:t>
            </w:r>
            <w:r w:rsidRPr="00F6440A">
              <w:rPr>
                <w:rFonts w:ascii="Verdana" w:eastAsia="Times New Roman" w:hAnsi="Verdana" w:cs="Arial"/>
                <w:lang w:eastAsia="es-ES_tradnl"/>
              </w:rPr>
              <w:t>ESTUDIOS PREVIOS – Metodologías – Cotizaciones – Autonomía</w:t>
            </w:r>
          </w:p>
          <w:p w14:paraId="135B024B" w14:textId="77777777" w:rsidR="00112B54" w:rsidRPr="00F252D7" w:rsidRDefault="00112B54" w:rsidP="003021E1">
            <w:pPr>
              <w:jc w:val="both"/>
              <w:textAlignment w:val="baseline"/>
              <w:rPr>
                <w:rFonts w:ascii="Verdana" w:eastAsia="Times New Roman" w:hAnsi="Verdana" w:cs="Arial"/>
                <w:lang w:val="es-ES_tradnl" w:eastAsia="es-ES_tradnl"/>
              </w:rPr>
            </w:pPr>
          </w:p>
        </w:tc>
      </w:tr>
      <w:tr w:rsidR="00112B54" w:rsidRPr="00F252D7" w14:paraId="2A578EB1" w14:textId="77777777" w:rsidTr="003021E1">
        <w:trPr>
          <w:jc w:val="right"/>
        </w:trPr>
        <w:tc>
          <w:tcPr>
            <w:tcW w:w="1838" w:type="dxa"/>
          </w:tcPr>
          <w:p w14:paraId="61B6E963" w14:textId="77777777" w:rsidR="00112B54" w:rsidRPr="00F252D7" w:rsidRDefault="00112B54" w:rsidP="003021E1">
            <w:pPr>
              <w:jc w:val="center"/>
              <w:rPr>
                <w:rFonts w:ascii="Verdana" w:eastAsia="Calibri" w:hAnsi="Verdana" w:cs="Arial"/>
                <w:b/>
                <w:lang w:val="es-ES" w:eastAsia="es-ES_tradnl"/>
              </w:rPr>
            </w:pPr>
            <w:r w:rsidRPr="00F252D7">
              <w:rPr>
                <w:rFonts w:ascii="Verdana" w:eastAsia="Calibri" w:hAnsi="Verdana" w:cs="Arial"/>
                <w:b/>
                <w:lang w:val="es-ES" w:eastAsia="es-ES_tradnl"/>
              </w:rPr>
              <w:t>Radicación:</w:t>
            </w:r>
          </w:p>
        </w:tc>
        <w:tc>
          <w:tcPr>
            <w:tcW w:w="6237" w:type="dxa"/>
          </w:tcPr>
          <w:p w14:paraId="4124582D" w14:textId="77777777" w:rsidR="00112B54" w:rsidRPr="00F252D7" w:rsidRDefault="00112B54" w:rsidP="003021E1">
            <w:pPr>
              <w:jc w:val="both"/>
              <w:rPr>
                <w:rFonts w:ascii="Verdana" w:eastAsia="Calibri" w:hAnsi="Verdana" w:cs="Arial"/>
                <w:lang w:val="es-ES" w:eastAsia="es-ES_tradnl"/>
              </w:rPr>
            </w:pPr>
            <w:r w:rsidRPr="00F252D7">
              <w:rPr>
                <w:rFonts w:ascii="Verdana" w:eastAsia="Calibri" w:hAnsi="Verdana" w:cs="Arial"/>
                <w:lang w:val="es-ES" w:eastAsia="es-ES_tradnl"/>
              </w:rPr>
              <w:t xml:space="preserve">Respuesta a consulta radicado No. </w:t>
            </w:r>
            <w:r w:rsidRPr="00E60081">
              <w:rPr>
                <w:rFonts w:ascii="Verdana" w:eastAsia="Times New Roman" w:hAnsi="Verdana" w:cs="Arial"/>
                <w:lang w:eastAsia="es-ES_tradnl"/>
              </w:rPr>
              <w:t>1_2025_11_13_012866</w:t>
            </w:r>
          </w:p>
        </w:tc>
      </w:tr>
    </w:tbl>
    <w:p w14:paraId="7C09D5B1" w14:textId="77777777" w:rsidR="00112B54" w:rsidRPr="00F252D7" w:rsidRDefault="00112B54" w:rsidP="00112B54">
      <w:pPr>
        <w:spacing w:after="0" w:line="240" w:lineRule="auto"/>
        <w:jc w:val="both"/>
        <w:rPr>
          <w:rFonts w:ascii="Verdana" w:eastAsia="Calibri" w:hAnsi="Verdana" w:cs="Arial"/>
          <w:lang w:val="es-ES_tradnl" w:eastAsia="es-ES_tradnl"/>
        </w:rPr>
      </w:pPr>
    </w:p>
    <w:p w14:paraId="2057ECC0" w14:textId="77777777" w:rsidR="00112B54" w:rsidRPr="00F252D7" w:rsidRDefault="00112B54" w:rsidP="00112B54">
      <w:pPr>
        <w:spacing w:after="0" w:line="240" w:lineRule="auto"/>
        <w:jc w:val="both"/>
        <w:rPr>
          <w:rFonts w:ascii="Verdana" w:eastAsia="Calibri" w:hAnsi="Verdana" w:cs="Arial"/>
          <w:lang w:val="es-ES_tradnl" w:eastAsia="es-ES_tradnl"/>
        </w:rPr>
      </w:pPr>
    </w:p>
    <w:p w14:paraId="6822488E" w14:textId="77777777" w:rsidR="00112B54" w:rsidRPr="00F252D7" w:rsidRDefault="00112B54" w:rsidP="00112B54">
      <w:pPr>
        <w:spacing w:after="0" w:line="276" w:lineRule="auto"/>
        <w:contextualSpacing/>
        <w:jc w:val="both"/>
        <w:rPr>
          <w:rFonts w:ascii="Verdana" w:eastAsia="Calibri" w:hAnsi="Verdana" w:cs="Arial"/>
          <w:bCs/>
          <w:lang w:val="es-ES_tradnl" w:eastAsia="es-ES_tradnl"/>
        </w:rPr>
      </w:pPr>
      <w:r w:rsidRPr="00F252D7">
        <w:rPr>
          <w:rFonts w:ascii="Verdana" w:eastAsia="Calibri" w:hAnsi="Verdana" w:cs="Arial"/>
          <w:lang w:val="es-ES_tradnl" w:eastAsia="es-ES_tradnl"/>
        </w:rPr>
        <w:t xml:space="preserve">Estimado señor </w:t>
      </w:r>
      <w:r>
        <w:rPr>
          <w:rFonts w:ascii="Verdana" w:eastAsia="Calibri" w:hAnsi="Verdana" w:cs="Arial"/>
          <w:lang w:val="es-ES_tradnl" w:eastAsia="es-ES_tradnl"/>
        </w:rPr>
        <w:t>Balaguera</w:t>
      </w:r>
      <w:r w:rsidRPr="00F252D7">
        <w:rPr>
          <w:rFonts w:ascii="Verdana" w:eastAsia="Calibri" w:hAnsi="Verdana" w:cs="Arial"/>
          <w:bCs/>
          <w:lang w:val="es-ES_tradnl" w:eastAsia="es-ES_tradnl"/>
        </w:rPr>
        <w:t>:</w:t>
      </w:r>
    </w:p>
    <w:p w14:paraId="06466261" w14:textId="77777777" w:rsidR="00112B54" w:rsidRPr="00F252D7" w:rsidRDefault="00112B54" w:rsidP="00112B54">
      <w:pPr>
        <w:spacing w:after="0" w:line="276" w:lineRule="auto"/>
        <w:contextualSpacing/>
        <w:jc w:val="both"/>
        <w:rPr>
          <w:rFonts w:ascii="Verdana" w:eastAsia="Calibri" w:hAnsi="Verdana" w:cs="Arial"/>
          <w:lang w:val="es-ES_tradnl" w:eastAsia="es-ES_tradnl"/>
        </w:rPr>
      </w:pPr>
    </w:p>
    <w:p w14:paraId="5538E134" w14:textId="77777777" w:rsidR="00112B54" w:rsidRPr="00F252D7" w:rsidRDefault="00112B54" w:rsidP="00112B54">
      <w:pPr>
        <w:spacing w:after="0" w:line="276" w:lineRule="auto"/>
        <w:contextualSpacing/>
        <w:jc w:val="both"/>
        <w:rPr>
          <w:rFonts w:ascii="Verdana" w:eastAsia="Calibri" w:hAnsi="Verdana" w:cs="Arial"/>
          <w:lang w:val="es-ES" w:eastAsia="es-ES_tradnl"/>
        </w:rPr>
      </w:pPr>
      <w:r w:rsidRPr="00F252D7">
        <w:rPr>
          <w:rFonts w:ascii="Verdana" w:eastAsia="Calibri" w:hAnsi="Verdana" w:cs="Arial"/>
          <w:lang w:val="es-ES" w:eastAsia="es-ES_tradnl"/>
        </w:rPr>
        <w:t xml:space="preserve">En ejercicio de la competencia otorgada por los artículos 3, numeral 5º, y 11, numeral 8º, del Decreto Ley 4170 de 2011, así como lo establecido en </w:t>
      </w:r>
      <w:r>
        <w:rPr>
          <w:rFonts w:ascii="Verdana" w:eastAsia="Calibri" w:hAnsi="Verdana" w:cs="Arial"/>
          <w:lang w:val="es-ES" w:eastAsia="es-ES_tradnl"/>
        </w:rPr>
        <w:t xml:space="preserve">la </w:t>
      </w:r>
      <w:proofErr w:type="spellStart"/>
      <w:r>
        <w:rPr>
          <w:rFonts w:ascii="Verdana" w:eastAsia="Calibri" w:hAnsi="Verdana" w:cs="Arial"/>
          <w:lang w:val="es-ES" w:eastAsia="es-ES_tradnl"/>
        </w:rPr>
        <w:t>Resolucion</w:t>
      </w:r>
      <w:proofErr w:type="spellEnd"/>
      <w:r>
        <w:rPr>
          <w:rFonts w:ascii="Verdana" w:eastAsia="Calibri" w:hAnsi="Verdana" w:cs="Arial"/>
          <w:lang w:val="es-ES" w:eastAsia="es-ES_tradnl"/>
        </w:rPr>
        <w:t xml:space="preserve"> 469 de 2025 </w:t>
      </w:r>
      <w:r w:rsidRPr="00F252D7">
        <w:rPr>
          <w:rFonts w:ascii="Verdana" w:eastAsia="Calibri" w:hAnsi="Verdana" w:cs="Arial"/>
          <w:lang w:val="es-ES" w:eastAsia="es-ES_tradnl"/>
        </w:rPr>
        <w:t xml:space="preserve">expedida por esta Entidad, la Agencia Nacional de Contratación Pública – Colombia Compra Eficiente– responde su solicitud de consulta de fecha </w:t>
      </w:r>
      <w:r>
        <w:rPr>
          <w:rFonts w:ascii="Verdana" w:eastAsia="Calibri" w:hAnsi="Verdana" w:cs="Arial"/>
          <w:lang w:val="es-ES" w:eastAsia="es-ES_tradnl"/>
        </w:rPr>
        <w:t>13</w:t>
      </w:r>
      <w:r w:rsidRPr="00F252D7">
        <w:rPr>
          <w:rFonts w:ascii="Verdana" w:eastAsia="Calibri" w:hAnsi="Verdana" w:cs="Arial"/>
          <w:lang w:val="es-ES" w:eastAsia="es-ES_tradnl"/>
        </w:rPr>
        <w:t xml:space="preserve"> de </w:t>
      </w:r>
      <w:r>
        <w:rPr>
          <w:rFonts w:ascii="Verdana" w:eastAsia="Calibri" w:hAnsi="Verdana" w:cs="Arial"/>
          <w:lang w:val="es-ES" w:eastAsia="es-ES_tradnl"/>
        </w:rPr>
        <w:t>noviembre</w:t>
      </w:r>
      <w:r w:rsidRPr="00F252D7">
        <w:rPr>
          <w:rFonts w:ascii="Verdana" w:eastAsia="Calibri" w:hAnsi="Verdana" w:cs="Arial"/>
          <w:lang w:val="es-ES" w:eastAsia="es-ES_tradnl"/>
        </w:rPr>
        <w:t xml:space="preserve"> de 202</w:t>
      </w:r>
      <w:r>
        <w:rPr>
          <w:rFonts w:ascii="Verdana" w:eastAsia="Calibri" w:hAnsi="Verdana" w:cs="Arial"/>
          <w:lang w:val="es-ES" w:eastAsia="es-ES_tradnl"/>
        </w:rPr>
        <w:t>5</w:t>
      </w:r>
      <w:r w:rsidRPr="00F252D7">
        <w:rPr>
          <w:rFonts w:ascii="Verdana" w:eastAsia="Calibri" w:hAnsi="Verdana" w:cs="Arial"/>
          <w:lang w:val="es-ES" w:eastAsia="es-ES_tradnl"/>
        </w:rPr>
        <w:t>, en la cual manifiesta lo siguiente:</w:t>
      </w:r>
    </w:p>
    <w:p w14:paraId="02246A0D" w14:textId="77777777" w:rsidR="00112B54" w:rsidRPr="00F252D7" w:rsidRDefault="00112B54" w:rsidP="00112B54">
      <w:pPr>
        <w:spacing w:after="0" w:line="276" w:lineRule="auto"/>
        <w:contextualSpacing/>
        <w:jc w:val="both"/>
        <w:rPr>
          <w:rFonts w:ascii="Verdana" w:eastAsia="Calibri" w:hAnsi="Verdana" w:cs="Arial"/>
          <w:b/>
          <w:szCs w:val="24"/>
          <w:lang w:val="es-ES_tradnl" w:eastAsia="es-ES_tradnl"/>
        </w:rPr>
      </w:pPr>
    </w:p>
    <w:p w14:paraId="4A052640" w14:textId="77777777" w:rsidR="00112B54" w:rsidRPr="00F252D7" w:rsidRDefault="00112B54" w:rsidP="00112B54">
      <w:pPr>
        <w:spacing w:after="0" w:line="240" w:lineRule="auto"/>
        <w:ind w:left="709" w:right="709"/>
        <w:contextualSpacing/>
        <w:jc w:val="both"/>
        <w:rPr>
          <w:rFonts w:ascii="Verdana" w:eastAsia="Times New Roman" w:hAnsi="Verdana" w:cs="Arial"/>
          <w:sz w:val="21"/>
          <w:szCs w:val="21"/>
          <w:lang w:eastAsia="es-ES_tradnl"/>
        </w:rPr>
      </w:pPr>
      <w:r w:rsidRPr="00E60081">
        <w:rPr>
          <w:rFonts w:ascii="Verdana" w:eastAsia="Times New Roman" w:hAnsi="Verdana" w:cs="Arial" w:hint="eastAsia"/>
          <w:sz w:val="21"/>
          <w:szCs w:val="21"/>
          <w:lang w:eastAsia="es-ES_tradnl"/>
        </w:rPr>
        <w:t>¿</w:t>
      </w:r>
      <w:r w:rsidRPr="00E60081">
        <w:rPr>
          <w:rFonts w:ascii="Verdana" w:eastAsia="Times New Roman" w:hAnsi="Verdana" w:cs="Arial"/>
          <w:sz w:val="21"/>
          <w:szCs w:val="21"/>
          <w:lang w:eastAsia="es-ES_tradnl"/>
        </w:rPr>
        <w:t>Cu</w:t>
      </w:r>
      <w:r w:rsidRPr="00E60081">
        <w:rPr>
          <w:rFonts w:ascii="Verdana" w:eastAsia="Times New Roman" w:hAnsi="Verdana" w:cs="Arial" w:hint="eastAsia"/>
          <w:sz w:val="21"/>
          <w:szCs w:val="21"/>
          <w:lang w:eastAsia="es-ES_tradnl"/>
        </w:rPr>
        <w:t>á</w:t>
      </w:r>
      <w:r w:rsidRPr="00E60081">
        <w:rPr>
          <w:rFonts w:ascii="Verdana" w:eastAsia="Times New Roman" w:hAnsi="Verdana" w:cs="Arial"/>
          <w:sz w:val="21"/>
          <w:szCs w:val="21"/>
          <w:lang w:eastAsia="es-ES_tradnl"/>
        </w:rPr>
        <w:t>l es el fundamento jur</w:t>
      </w:r>
      <w:r w:rsidRPr="00E60081">
        <w:rPr>
          <w:rFonts w:ascii="Verdana" w:eastAsia="Times New Roman" w:hAnsi="Verdana" w:cs="Arial" w:hint="eastAsia"/>
          <w:sz w:val="21"/>
          <w:szCs w:val="21"/>
          <w:lang w:eastAsia="es-ES_tradnl"/>
        </w:rPr>
        <w:t>í</w:t>
      </w:r>
      <w:r w:rsidRPr="00E60081">
        <w:rPr>
          <w:rFonts w:ascii="Verdana" w:eastAsia="Times New Roman" w:hAnsi="Verdana" w:cs="Arial"/>
          <w:sz w:val="21"/>
          <w:szCs w:val="21"/>
          <w:lang w:eastAsia="es-ES_tradnl"/>
        </w:rPr>
        <w:t>dico que obliga a las entidades estatales a utilizar la</w:t>
      </w:r>
      <w:r>
        <w:rPr>
          <w:rFonts w:ascii="Verdana" w:eastAsia="Times New Roman" w:hAnsi="Verdana" w:cs="Arial"/>
          <w:sz w:val="21"/>
          <w:szCs w:val="21"/>
          <w:lang w:eastAsia="es-ES_tradnl"/>
        </w:rPr>
        <w:t xml:space="preserve"> </w:t>
      </w:r>
      <w:r w:rsidRPr="00E60081">
        <w:rPr>
          <w:rFonts w:ascii="Verdana" w:eastAsia="Times New Roman" w:hAnsi="Verdana" w:cs="Arial"/>
          <w:sz w:val="21"/>
          <w:szCs w:val="21"/>
          <w:lang w:eastAsia="es-ES_tradnl"/>
        </w:rPr>
        <w:t>herramienta de Solicitud de Cotizaci</w:t>
      </w:r>
      <w:r w:rsidRPr="00E60081">
        <w:rPr>
          <w:rFonts w:ascii="Verdana" w:eastAsia="Times New Roman" w:hAnsi="Verdana" w:cs="Arial" w:hint="eastAsia"/>
          <w:sz w:val="21"/>
          <w:szCs w:val="21"/>
          <w:lang w:eastAsia="es-ES_tradnl"/>
        </w:rPr>
        <w:t>ó</w:t>
      </w:r>
      <w:r w:rsidRPr="00E60081">
        <w:rPr>
          <w:rFonts w:ascii="Verdana" w:eastAsia="Times New Roman" w:hAnsi="Verdana" w:cs="Arial"/>
          <w:sz w:val="21"/>
          <w:szCs w:val="21"/>
          <w:lang w:eastAsia="es-ES_tradnl"/>
        </w:rPr>
        <w:t>n en SECOP II como insumo para elaborar el</w:t>
      </w:r>
      <w:r>
        <w:rPr>
          <w:rFonts w:ascii="Verdana" w:eastAsia="Times New Roman" w:hAnsi="Verdana" w:cs="Arial"/>
          <w:sz w:val="21"/>
          <w:szCs w:val="21"/>
          <w:lang w:eastAsia="es-ES_tradnl"/>
        </w:rPr>
        <w:t xml:space="preserve"> </w:t>
      </w:r>
      <w:r w:rsidRPr="00E60081">
        <w:rPr>
          <w:rFonts w:ascii="Verdana" w:eastAsia="Times New Roman" w:hAnsi="Verdana" w:cs="Arial"/>
          <w:sz w:val="21"/>
          <w:szCs w:val="21"/>
          <w:lang w:eastAsia="es-ES_tradnl"/>
        </w:rPr>
        <w:t>estudio del sector y el estudio de mercado, as</w:t>
      </w:r>
      <w:r w:rsidRPr="00E60081">
        <w:rPr>
          <w:rFonts w:ascii="Verdana" w:eastAsia="Times New Roman" w:hAnsi="Verdana" w:cs="Arial" w:hint="eastAsia"/>
          <w:sz w:val="21"/>
          <w:szCs w:val="21"/>
          <w:lang w:eastAsia="es-ES_tradnl"/>
        </w:rPr>
        <w:t>í</w:t>
      </w:r>
      <w:r w:rsidRPr="00E60081">
        <w:rPr>
          <w:rFonts w:ascii="Verdana" w:eastAsia="Times New Roman" w:hAnsi="Verdana" w:cs="Arial"/>
          <w:sz w:val="21"/>
          <w:szCs w:val="21"/>
          <w:lang w:eastAsia="es-ES_tradnl"/>
        </w:rPr>
        <w:t xml:space="preserve"> como para soportar procesos</w:t>
      </w:r>
      <w:r>
        <w:rPr>
          <w:rFonts w:ascii="Verdana" w:eastAsia="Times New Roman" w:hAnsi="Verdana" w:cs="Arial"/>
          <w:sz w:val="21"/>
          <w:szCs w:val="21"/>
          <w:lang w:eastAsia="es-ES_tradnl"/>
        </w:rPr>
        <w:t xml:space="preserve"> </w:t>
      </w:r>
      <w:r w:rsidRPr="00E60081">
        <w:rPr>
          <w:rFonts w:ascii="Verdana" w:eastAsia="Times New Roman" w:hAnsi="Verdana" w:cs="Arial"/>
          <w:sz w:val="21"/>
          <w:szCs w:val="21"/>
          <w:lang w:eastAsia="es-ES_tradnl"/>
        </w:rPr>
        <w:t xml:space="preserve">contractuales en todas sus modalidades, las </w:t>
      </w:r>
      <w:r w:rsidRPr="00E60081">
        <w:rPr>
          <w:rFonts w:ascii="Verdana" w:eastAsia="Times New Roman" w:hAnsi="Verdana" w:cs="Arial" w:hint="eastAsia"/>
          <w:sz w:val="21"/>
          <w:szCs w:val="21"/>
          <w:lang w:eastAsia="es-ES_tradnl"/>
        </w:rPr>
        <w:t>ó</w:t>
      </w:r>
      <w:r w:rsidRPr="00E60081">
        <w:rPr>
          <w:rFonts w:ascii="Verdana" w:eastAsia="Times New Roman" w:hAnsi="Verdana" w:cs="Arial"/>
          <w:sz w:val="21"/>
          <w:szCs w:val="21"/>
          <w:lang w:eastAsia="es-ES_tradnl"/>
        </w:rPr>
        <w:t>rdenes de compra en grandes</w:t>
      </w:r>
      <w:r>
        <w:rPr>
          <w:rFonts w:ascii="Verdana" w:eastAsia="Times New Roman" w:hAnsi="Verdana" w:cs="Arial"/>
          <w:sz w:val="21"/>
          <w:szCs w:val="21"/>
          <w:lang w:eastAsia="es-ES_tradnl"/>
        </w:rPr>
        <w:t xml:space="preserve"> </w:t>
      </w:r>
      <w:r w:rsidRPr="00E60081">
        <w:rPr>
          <w:rFonts w:ascii="Verdana" w:eastAsia="Times New Roman" w:hAnsi="Verdana" w:cs="Arial"/>
          <w:sz w:val="21"/>
          <w:szCs w:val="21"/>
          <w:lang w:eastAsia="es-ES_tradnl"/>
        </w:rPr>
        <w:t xml:space="preserve">almacenes, los instrumentos de </w:t>
      </w:r>
      <w:r w:rsidRPr="00E60081">
        <w:rPr>
          <w:rFonts w:ascii="Verdana" w:eastAsia="Times New Roman" w:hAnsi="Verdana" w:cs="Arial"/>
          <w:sz w:val="21"/>
          <w:szCs w:val="21"/>
          <w:lang w:eastAsia="es-ES_tradnl"/>
        </w:rPr>
        <w:lastRenderedPageBreak/>
        <w:t>agregaci</w:t>
      </w:r>
      <w:r w:rsidRPr="00E60081">
        <w:rPr>
          <w:rFonts w:ascii="Verdana" w:eastAsia="Times New Roman" w:hAnsi="Verdana" w:cs="Arial" w:hint="eastAsia"/>
          <w:sz w:val="21"/>
          <w:szCs w:val="21"/>
          <w:lang w:eastAsia="es-ES_tradnl"/>
        </w:rPr>
        <w:t>ó</w:t>
      </w:r>
      <w:r w:rsidRPr="00E60081">
        <w:rPr>
          <w:rFonts w:ascii="Verdana" w:eastAsia="Times New Roman" w:hAnsi="Verdana" w:cs="Arial"/>
          <w:sz w:val="21"/>
          <w:szCs w:val="21"/>
          <w:lang w:eastAsia="es-ES_tradnl"/>
        </w:rPr>
        <w:t>n e incluso las operaciones realizadas</w:t>
      </w:r>
      <w:r>
        <w:rPr>
          <w:rFonts w:ascii="Verdana" w:eastAsia="Times New Roman" w:hAnsi="Verdana" w:cs="Arial"/>
          <w:sz w:val="21"/>
          <w:szCs w:val="21"/>
          <w:lang w:eastAsia="es-ES_tradnl"/>
        </w:rPr>
        <w:t xml:space="preserve"> </w:t>
      </w:r>
      <w:r w:rsidRPr="00E60081">
        <w:rPr>
          <w:rFonts w:ascii="Verdana" w:eastAsia="Times New Roman" w:hAnsi="Verdana" w:cs="Arial"/>
          <w:sz w:val="21"/>
          <w:szCs w:val="21"/>
          <w:lang w:eastAsia="es-ES_tradnl"/>
        </w:rPr>
        <w:t>mediante la Bolsa Mercantil de Colombia</w:t>
      </w:r>
      <w:proofErr w:type="gramStart"/>
      <w:r w:rsidRPr="00E60081">
        <w:rPr>
          <w:rFonts w:ascii="Verdana" w:eastAsia="Times New Roman" w:hAnsi="Verdana" w:cs="Arial"/>
          <w:sz w:val="21"/>
          <w:szCs w:val="21"/>
          <w:lang w:eastAsia="es-ES_tradnl"/>
        </w:rPr>
        <w:t>?:</w:t>
      </w:r>
      <w:r w:rsidRPr="00A667C3">
        <w:rPr>
          <w:rFonts w:ascii="Verdana" w:eastAsia="Times New Roman" w:hAnsi="Verdana" w:cs="Arial"/>
          <w:sz w:val="21"/>
          <w:szCs w:val="21"/>
          <w:lang w:eastAsia="es-ES_tradnl"/>
        </w:rPr>
        <w:t>?</w:t>
      </w:r>
      <w:proofErr w:type="gramEnd"/>
      <w:r w:rsidRPr="00F252D7">
        <w:rPr>
          <w:rFonts w:ascii="Verdana" w:eastAsia="Times New Roman" w:hAnsi="Verdana" w:cs="Arial"/>
          <w:sz w:val="21"/>
          <w:szCs w:val="21"/>
          <w:lang w:eastAsia="es-ES_tradnl"/>
        </w:rPr>
        <w:t>”.</w:t>
      </w:r>
    </w:p>
    <w:p w14:paraId="42994190" w14:textId="77777777" w:rsidR="00112B54" w:rsidRPr="00F252D7" w:rsidRDefault="00112B54" w:rsidP="00112B54">
      <w:pPr>
        <w:spacing w:after="0" w:line="240" w:lineRule="auto"/>
        <w:ind w:left="709" w:right="709"/>
        <w:contextualSpacing/>
        <w:jc w:val="both"/>
        <w:rPr>
          <w:rFonts w:ascii="Verdana" w:eastAsia="Times New Roman" w:hAnsi="Verdana" w:cs="Arial"/>
          <w:sz w:val="21"/>
          <w:szCs w:val="21"/>
          <w:lang w:eastAsia="es-ES_tradnl"/>
        </w:rPr>
      </w:pPr>
    </w:p>
    <w:p w14:paraId="0C7519C4" w14:textId="77777777" w:rsidR="00112B54" w:rsidRPr="00F252D7" w:rsidRDefault="00112B54" w:rsidP="00112B54">
      <w:pPr>
        <w:spacing w:after="120" w:line="276" w:lineRule="auto"/>
        <w:ind w:firstLine="709"/>
        <w:jc w:val="both"/>
        <w:rPr>
          <w:rFonts w:ascii="Verdana" w:eastAsia="Calibri" w:hAnsi="Verdana" w:cs="Arial"/>
          <w:color w:val="000000"/>
          <w:szCs w:val="24"/>
          <w:lang w:val="es-ES_tradnl" w:eastAsia="es-ES_tradnl"/>
        </w:rPr>
      </w:pPr>
      <w:r w:rsidRPr="00F252D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252D7">
        <w:rPr>
          <w:rFonts w:ascii="Verdana" w:eastAsia="Calibri" w:hAnsi="Verdana" w:cs="Arial"/>
          <w:color w:val="000000"/>
          <w:szCs w:val="24"/>
          <w:lang w:val="es-ES_tradnl" w:eastAsia="es-ES_tradnl"/>
        </w:rPr>
        <w:tab/>
      </w:r>
    </w:p>
    <w:p w14:paraId="036A2FA0" w14:textId="77777777" w:rsidR="00112B54" w:rsidRPr="00F252D7" w:rsidRDefault="00112B54" w:rsidP="00112B54">
      <w:pPr>
        <w:spacing w:after="0" w:line="276" w:lineRule="auto"/>
        <w:ind w:firstLine="709"/>
        <w:jc w:val="both"/>
        <w:rPr>
          <w:rFonts w:ascii="Verdana" w:eastAsia="Calibri" w:hAnsi="Verdana" w:cs="Arial"/>
          <w:lang w:val="es-ES" w:eastAsia="es-ES"/>
        </w:rPr>
      </w:pPr>
      <w:r w:rsidRPr="00F252D7">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F252D7">
        <w:rPr>
          <w:rFonts w:ascii="Verdana" w:eastAsia="Calibri" w:hAnsi="Verdana" w:cs="Arial"/>
          <w:lang w:val="es-ES" w:eastAsia="es-ES"/>
        </w:rPr>
        <w:t xml:space="preserve"> </w:t>
      </w:r>
      <w:r>
        <w:rPr>
          <w:rFonts w:ascii="Verdana" w:eastAsia="Calibri" w:hAnsi="Verdana" w:cs="Arial"/>
          <w:lang w:val="es-ES" w:eastAsia="es-ES"/>
        </w:rPr>
        <w:t xml:space="preserve">siguiente </w:t>
      </w:r>
      <w:r w:rsidRPr="00F252D7">
        <w:rPr>
          <w:rFonts w:ascii="Verdana" w:eastAsia="Calibri" w:hAnsi="Verdana" w:cs="Arial"/>
          <w:lang w:val="es-ES" w:eastAsia="es-ES"/>
        </w:rPr>
        <w:t xml:space="preserve">problema jurídico de su consulta. </w:t>
      </w:r>
    </w:p>
    <w:p w14:paraId="1BB1C22D" w14:textId="77777777" w:rsidR="00112B54" w:rsidRPr="00F252D7" w:rsidRDefault="00112B54" w:rsidP="00112B54">
      <w:pPr>
        <w:spacing w:after="0" w:line="276" w:lineRule="auto"/>
        <w:contextualSpacing/>
        <w:jc w:val="both"/>
        <w:rPr>
          <w:rFonts w:ascii="Verdana" w:eastAsia="Times New Roman" w:hAnsi="Verdana" w:cs="Arial"/>
          <w:szCs w:val="24"/>
          <w:lang w:val="es-ES_tradnl" w:eastAsia="es-ES_tradnl"/>
        </w:rPr>
      </w:pPr>
    </w:p>
    <w:p w14:paraId="0D7302E8" w14:textId="77777777" w:rsidR="00112B54" w:rsidRPr="00F252D7" w:rsidRDefault="00112B54" w:rsidP="00112B54">
      <w:pPr>
        <w:tabs>
          <w:tab w:val="left" w:pos="0"/>
          <w:tab w:val="left" w:pos="284"/>
        </w:tabs>
        <w:spacing w:after="0" w:line="276" w:lineRule="auto"/>
        <w:contextualSpacing/>
        <w:jc w:val="both"/>
        <w:rPr>
          <w:rFonts w:ascii="Verdana" w:eastAsia="Calibri" w:hAnsi="Verdana" w:cs="Arial"/>
          <w:b/>
          <w:lang w:val="es-ES_tradnl"/>
        </w:rPr>
      </w:pPr>
      <w:r w:rsidRPr="00F252D7">
        <w:rPr>
          <w:rFonts w:ascii="Verdana" w:eastAsia="Calibri" w:hAnsi="Verdana" w:cs="Arial"/>
          <w:b/>
          <w:lang w:val="es-ES_tradnl"/>
        </w:rPr>
        <w:t>1. Problema planteado:</w:t>
      </w:r>
    </w:p>
    <w:p w14:paraId="1043277F" w14:textId="77777777" w:rsidR="00112B54" w:rsidRPr="00F252D7" w:rsidRDefault="00112B54" w:rsidP="00112B54">
      <w:pPr>
        <w:tabs>
          <w:tab w:val="left" w:pos="0"/>
          <w:tab w:val="left" w:pos="284"/>
        </w:tabs>
        <w:spacing w:after="0" w:line="276" w:lineRule="auto"/>
        <w:contextualSpacing/>
        <w:jc w:val="both"/>
        <w:rPr>
          <w:rFonts w:ascii="Verdana" w:eastAsia="Calibri" w:hAnsi="Verdana" w:cs="Arial"/>
          <w:b/>
          <w:lang w:val="es-ES_tradnl"/>
        </w:rPr>
      </w:pPr>
    </w:p>
    <w:p w14:paraId="7B4EE2DD" w14:textId="394B2FD8" w:rsidR="00112B54" w:rsidRPr="00F252D7" w:rsidRDefault="00112B54" w:rsidP="00112B54">
      <w:pPr>
        <w:spacing w:after="0" w:line="276" w:lineRule="auto"/>
        <w:jc w:val="both"/>
        <w:rPr>
          <w:rFonts w:ascii="Verdana" w:eastAsia="Century Gothic" w:hAnsi="Verdana" w:cs="Century Gothic"/>
        </w:rPr>
      </w:pPr>
      <w:r w:rsidRPr="00F252D7">
        <w:rPr>
          <w:rFonts w:ascii="Verdana" w:eastAsia="Century Gothic" w:hAnsi="Verdana" w:cs="Century Gothic"/>
        </w:rPr>
        <w:t>De acuerdo con el contenido de su solicitud, esta Agencia resolverá el siguiente problema jurídico: ¿</w:t>
      </w:r>
      <w:r w:rsidRPr="00174DC7">
        <w:rPr>
          <w:rFonts w:ascii="Verdana" w:eastAsia="Century Gothic" w:hAnsi="Verdana" w:cs="Century Gothic"/>
        </w:rPr>
        <w:t>Existe alguna norma que obligue a las entidades estatales a usar la Solicitud de Cotización en SECOP II para elaborar los estudios de mercado y soportar todos los procesos de contratación?</w:t>
      </w:r>
      <w:r w:rsidR="008F3DBC">
        <w:rPr>
          <w:rFonts w:ascii="Verdana" w:eastAsia="Century Gothic" w:hAnsi="Verdana" w:cs="Century Gothic"/>
        </w:rPr>
        <w:t xml:space="preserve"> Y en caso de ser afirmativa la respuesta ¿Cuál es su fundamento</w:t>
      </w:r>
      <w:r w:rsidRPr="00174DC7">
        <w:rPr>
          <w:rFonts w:ascii="Verdana" w:eastAsia="Century Gothic" w:hAnsi="Verdana" w:cs="Century Gothic"/>
        </w:rPr>
        <w:t>?</w:t>
      </w:r>
    </w:p>
    <w:p w14:paraId="1C622D2D" w14:textId="77777777" w:rsidR="00112B54" w:rsidRPr="00F252D7" w:rsidRDefault="00112B54" w:rsidP="00112B54">
      <w:pPr>
        <w:spacing w:after="0" w:line="276" w:lineRule="auto"/>
        <w:ind w:firstLine="709"/>
        <w:jc w:val="both"/>
        <w:rPr>
          <w:rFonts w:ascii="Verdana" w:eastAsia="Calibri" w:hAnsi="Verdana" w:cs="Arial"/>
          <w:lang w:val="es-ES" w:eastAsia="es-ES_tradnl"/>
        </w:rPr>
      </w:pPr>
    </w:p>
    <w:p w14:paraId="7D6BD89B" w14:textId="77777777" w:rsidR="00112B54" w:rsidRPr="00F252D7" w:rsidRDefault="00112B54" w:rsidP="00112B54">
      <w:pPr>
        <w:tabs>
          <w:tab w:val="left" w:pos="142"/>
          <w:tab w:val="left" w:pos="284"/>
        </w:tabs>
        <w:spacing w:after="0" w:line="276" w:lineRule="auto"/>
        <w:jc w:val="both"/>
        <w:rPr>
          <w:rFonts w:ascii="Verdana" w:eastAsia="Century Gothic" w:hAnsi="Verdana" w:cs="Century Gothic"/>
          <w:b/>
          <w:bCs/>
        </w:rPr>
      </w:pPr>
      <w:r w:rsidRPr="00F252D7">
        <w:rPr>
          <w:rFonts w:ascii="Verdana" w:eastAsia="Century Gothic" w:hAnsi="Verdana" w:cs="Century Gothic"/>
          <w:b/>
          <w:bCs/>
        </w:rPr>
        <w:t>2. Respuesta:</w:t>
      </w:r>
    </w:p>
    <w:p w14:paraId="2D61BA88" w14:textId="77777777" w:rsidR="00112B54" w:rsidRPr="00F252D7" w:rsidRDefault="00112B54" w:rsidP="00112B5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12B54" w:rsidRPr="00F252D7" w14:paraId="07F2F1E2" w14:textId="77777777" w:rsidTr="003021E1">
        <w:tc>
          <w:tcPr>
            <w:tcW w:w="8828" w:type="dxa"/>
          </w:tcPr>
          <w:p w14:paraId="193DAF94" w14:textId="77777777" w:rsidR="00112B54" w:rsidRPr="00F252D7" w:rsidRDefault="00112B54" w:rsidP="003021E1">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En primer lugar, d</w:t>
            </w:r>
            <w:r w:rsidRPr="00594D84">
              <w:rPr>
                <w:rFonts w:ascii="Verdana" w:eastAsia="Calibri" w:hAnsi="Verdana" w:cs="Arial"/>
                <w:szCs w:val="24"/>
                <w:lang w:val="es-ES" w:eastAsia="es-ES_tradnl"/>
              </w:rPr>
              <w:t xml:space="preserve">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w:t>
            </w:r>
            <w:r w:rsidRPr="00594D84">
              <w:rPr>
                <w:rFonts w:ascii="Verdana" w:eastAsia="Calibri" w:hAnsi="Verdana" w:cs="Arial"/>
                <w:szCs w:val="24"/>
                <w:lang w:val="es-ES" w:eastAsia="es-ES_tradnl"/>
              </w:rPr>
              <w:lastRenderedPageBreak/>
              <w:t>modo, hace parte de los estudios previos la definición del esquema que la Administración usará para estipular el precio.</w:t>
            </w:r>
          </w:p>
          <w:p w14:paraId="6E856EC5" w14:textId="26632709" w:rsidR="00112B54" w:rsidRDefault="00112B54" w:rsidP="003021E1">
            <w:pPr>
              <w:spacing w:after="120" w:line="276" w:lineRule="auto"/>
              <w:ind w:firstLine="708"/>
              <w:jc w:val="both"/>
              <w:rPr>
                <w:rFonts w:ascii="Verdana" w:eastAsia="Calibri" w:hAnsi="Verdana" w:cs="Arial"/>
                <w:szCs w:val="24"/>
                <w:lang w:val="es-ES" w:eastAsia="es-ES_tradnl"/>
              </w:rPr>
            </w:pPr>
            <w:r w:rsidRPr="00594D84">
              <w:rPr>
                <w:rFonts w:ascii="Verdana" w:eastAsia="Times New Roman" w:hAnsi="Verdana" w:cs="Arial"/>
                <w:lang w:eastAsia="es-ES_tradnl"/>
              </w:rPr>
              <w:t>De</w:t>
            </w:r>
            <w:r w:rsidRPr="00F252D7">
              <w:rPr>
                <w:rFonts w:ascii="Verdana" w:eastAsia="Calibri" w:hAnsi="Verdana" w:cs="Arial"/>
                <w:szCs w:val="24"/>
                <w:lang w:val="es-ES" w:eastAsia="es-ES_tradnl"/>
              </w:rPr>
              <w:t xml:space="preserve"> acuerdo con la </w:t>
            </w:r>
            <w:r w:rsidRPr="00F252D7">
              <w:rPr>
                <w:rFonts w:ascii="Verdana" w:eastAsia="Calibri" w:hAnsi="Verdana" w:cs="Arial"/>
                <w:bCs/>
                <w:lang w:val="es-ES_tradnl" w:eastAsia="es-MX"/>
              </w:rPr>
              <w:t xml:space="preserve">“Guía para la Elaboración de Estudios del Sector” expedida por Agencia Nacional de Contratación Pública – Colombia Compra Eficiente, </w:t>
            </w:r>
            <w:r>
              <w:rPr>
                <w:rFonts w:ascii="Verdana" w:eastAsia="Calibri" w:hAnsi="Verdana" w:cs="Arial"/>
                <w:bCs/>
                <w:lang w:val="es-ES_tradnl" w:eastAsia="es-MX"/>
              </w:rPr>
              <w:t xml:space="preserve">allí se establecen varias metodologías, como las cotizaciones, </w:t>
            </w:r>
            <w:r w:rsidR="008F3DBC">
              <w:rPr>
                <w:rFonts w:ascii="Verdana" w:eastAsia="Calibri" w:hAnsi="Verdana" w:cs="Arial"/>
                <w:bCs/>
                <w:lang w:val="es-ES_tradnl" w:eastAsia="es-MX"/>
              </w:rPr>
              <w:t>a las que se refiere en su consulta,</w:t>
            </w:r>
            <w:r>
              <w:rPr>
                <w:rFonts w:ascii="Verdana" w:eastAsia="Calibri" w:hAnsi="Verdana" w:cs="Arial"/>
                <w:bCs/>
                <w:lang w:val="es-ES_tradnl" w:eastAsia="es-MX"/>
              </w:rPr>
              <w:t xml:space="preserve"> que </w:t>
            </w:r>
            <w:r w:rsidRPr="006D4F5F">
              <w:rPr>
                <w:rFonts w:ascii="Verdana" w:eastAsia="Calibri" w:hAnsi="Verdana" w:cs="Arial"/>
                <w:szCs w:val="24"/>
                <w:lang w:val="es-ES" w:eastAsia="es-ES_tradnl"/>
              </w:rPr>
              <w:t>son un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r w:rsidR="00EF7A6A">
              <w:rPr>
                <w:rFonts w:ascii="Verdana" w:eastAsia="Calibri" w:hAnsi="Verdana" w:cs="Arial"/>
                <w:szCs w:val="24"/>
                <w:lang w:val="es-ES" w:eastAsia="es-ES_tradnl"/>
              </w:rPr>
              <w:t>.</w:t>
            </w:r>
            <w:r>
              <w:rPr>
                <w:rFonts w:ascii="Verdana" w:eastAsia="Calibri" w:hAnsi="Verdana" w:cs="Arial"/>
                <w:szCs w:val="24"/>
                <w:lang w:val="es-ES" w:eastAsia="es-ES_tradnl"/>
              </w:rPr>
              <w:t xml:space="preserve"> </w:t>
            </w:r>
            <w:r w:rsidR="00EF7A6A">
              <w:rPr>
                <w:rFonts w:ascii="Verdana" w:eastAsia="Calibri" w:hAnsi="Verdana" w:cs="Arial"/>
                <w:szCs w:val="24"/>
                <w:lang w:val="es-ES" w:eastAsia="es-ES_tradnl"/>
              </w:rPr>
              <w:t>N</w:t>
            </w:r>
            <w:r>
              <w:rPr>
                <w:rFonts w:ascii="Verdana" w:eastAsia="Calibri" w:hAnsi="Verdana" w:cs="Arial"/>
                <w:szCs w:val="24"/>
                <w:lang w:val="es-ES" w:eastAsia="es-ES_tradnl"/>
              </w:rPr>
              <w:t xml:space="preserve">o obstante, las Entidades Públicas gozan de autonomía </w:t>
            </w:r>
            <w:r w:rsidRPr="008A306B">
              <w:rPr>
                <w:rFonts w:ascii="Verdana" w:eastAsia="Calibri" w:hAnsi="Verdana" w:cs="Arial"/>
                <w:szCs w:val="24"/>
                <w:lang w:eastAsia="es-ES_tradnl"/>
              </w:rPr>
              <w:t xml:space="preserve">razonada, a la hora de </w:t>
            </w:r>
            <w:r>
              <w:rPr>
                <w:rFonts w:ascii="Verdana" w:eastAsia="Calibri" w:hAnsi="Verdana" w:cs="Arial"/>
                <w:szCs w:val="24"/>
                <w:lang w:eastAsia="es-ES_tradnl"/>
              </w:rPr>
              <w:t>aplicar una metodología para elaborar el Estudio del Sector, para lo cual dentro de su Manual de Contratación establecerán aquella que consideren pertinente, siempre y cuando acaten la</w:t>
            </w:r>
            <w:r w:rsidRPr="008A306B">
              <w:rPr>
                <w:rFonts w:ascii="Verdana" w:eastAsia="Calibri" w:hAnsi="Verdana" w:cs="Arial"/>
                <w:szCs w:val="24"/>
                <w:lang w:eastAsia="es-ES_tradnl"/>
              </w:rPr>
              <w:t xml:space="preserve"> Ley 1150 de 2007 y el Decreto 1082 de 2015</w:t>
            </w:r>
            <w:r>
              <w:rPr>
                <w:rFonts w:ascii="Verdana" w:eastAsia="Calibri" w:hAnsi="Verdana" w:cs="Arial"/>
                <w:szCs w:val="24"/>
                <w:lang w:val="es-ES" w:eastAsia="es-ES_tradnl"/>
              </w:rPr>
              <w:t xml:space="preserve"> frente a esta materia.</w:t>
            </w:r>
          </w:p>
          <w:p w14:paraId="0FF769A4" w14:textId="69E36BB5" w:rsidR="00112B54" w:rsidRDefault="00112B54" w:rsidP="003021E1">
            <w:pPr>
              <w:spacing w:after="120" w:line="276" w:lineRule="auto"/>
              <w:ind w:firstLine="708"/>
              <w:jc w:val="both"/>
              <w:rPr>
                <w:rFonts w:ascii="Verdana" w:eastAsia="Calibri" w:hAnsi="Verdana" w:cs="Arial"/>
                <w:szCs w:val="24"/>
                <w:lang w:val="es-ES" w:eastAsia="es-ES_tradnl"/>
              </w:rPr>
            </w:pPr>
            <w:r>
              <w:rPr>
                <w:rFonts w:ascii="Verdana" w:eastAsia="Calibri" w:hAnsi="Verdana" w:cs="Arial"/>
                <w:szCs w:val="24"/>
                <w:lang w:val="es-ES" w:eastAsia="es-ES_tradnl"/>
              </w:rPr>
              <w:t>Por ende</w:t>
            </w:r>
            <w:r w:rsidR="004A1D06">
              <w:rPr>
                <w:rFonts w:ascii="Verdana" w:eastAsia="Calibri" w:hAnsi="Verdana" w:cs="Arial"/>
                <w:szCs w:val="24"/>
                <w:lang w:val="es-ES" w:eastAsia="es-ES_tradnl"/>
              </w:rPr>
              <w:t>,</w:t>
            </w:r>
            <w:r>
              <w:rPr>
                <w:rFonts w:ascii="Verdana" w:eastAsia="Calibri" w:hAnsi="Verdana" w:cs="Arial"/>
                <w:szCs w:val="24"/>
                <w:lang w:val="es-ES" w:eastAsia="es-ES_tradnl"/>
              </w:rPr>
              <w:t xml:space="preserve"> a juicio de esta </w:t>
            </w:r>
            <w:r w:rsidR="004A1D06">
              <w:rPr>
                <w:rFonts w:ascii="Verdana" w:eastAsia="Calibri" w:hAnsi="Verdana" w:cs="Arial"/>
                <w:szCs w:val="24"/>
                <w:lang w:val="es-ES" w:eastAsia="es-ES_tradnl"/>
              </w:rPr>
              <w:t>A</w:t>
            </w:r>
            <w:r>
              <w:rPr>
                <w:rFonts w:ascii="Verdana" w:eastAsia="Calibri" w:hAnsi="Verdana" w:cs="Arial"/>
                <w:szCs w:val="24"/>
                <w:lang w:val="es-ES" w:eastAsia="es-ES_tradnl"/>
              </w:rPr>
              <w:t xml:space="preserve">gencia, no existe normatividad aplicable que obligue a las </w:t>
            </w:r>
            <w:r w:rsidR="004A1D06">
              <w:rPr>
                <w:rFonts w:ascii="Verdana" w:eastAsia="Calibri" w:hAnsi="Verdana" w:cs="Arial"/>
                <w:szCs w:val="24"/>
                <w:lang w:val="es-ES" w:eastAsia="es-ES_tradnl"/>
              </w:rPr>
              <w:t>E</w:t>
            </w:r>
            <w:r>
              <w:rPr>
                <w:rFonts w:ascii="Verdana" w:eastAsia="Calibri" w:hAnsi="Verdana" w:cs="Arial"/>
                <w:szCs w:val="24"/>
                <w:lang w:val="es-ES" w:eastAsia="es-ES_tradnl"/>
              </w:rPr>
              <w:t xml:space="preserve">ntidades </w:t>
            </w:r>
            <w:r w:rsidR="004A1D06">
              <w:rPr>
                <w:rFonts w:ascii="Verdana" w:eastAsia="Calibri" w:hAnsi="Verdana" w:cs="Arial"/>
                <w:szCs w:val="24"/>
                <w:lang w:val="es-ES" w:eastAsia="es-ES_tradnl"/>
              </w:rPr>
              <w:t>E</w:t>
            </w:r>
            <w:r>
              <w:rPr>
                <w:rFonts w:ascii="Verdana" w:eastAsia="Calibri" w:hAnsi="Verdana" w:cs="Arial"/>
                <w:szCs w:val="24"/>
                <w:lang w:val="es-ES" w:eastAsia="es-ES_tradnl"/>
              </w:rPr>
              <w:t xml:space="preserve">statales a hacer uso de la herramienta de solicitud de cotización en el SECOP II para realizar sus estudios del mercado, ya que debido a la autonomía administrativa de la que gozan, estas tienen la facultad de utilizar dichas herramientas legales que sirvan para salvaguardar sus procesos de contratación y los fines del estado. </w:t>
            </w:r>
            <w:r w:rsidR="004A1D06">
              <w:rPr>
                <w:rFonts w:ascii="Verdana" w:eastAsia="Calibri" w:hAnsi="Verdana" w:cs="Arial"/>
                <w:szCs w:val="24"/>
                <w:lang w:val="es-ES" w:eastAsia="es-ES_tradnl"/>
              </w:rPr>
              <w:t xml:space="preserve">En todo caso, se reitera que, tal como se señala en la </w:t>
            </w:r>
            <w:r w:rsidR="004A1D06" w:rsidRPr="00F252D7">
              <w:rPr>
                <w:rFonts w:ascii="Verdana" w:eastAsia="Calibri" w:hAnsi="Verdana" w:cs="Arial"/>
                <w:bCs/>
                <w:lang w:val="es-ES_tradnl" w:eastAsia="es-MX"/>
              </w:rPr>
              <w:t>“Guía para la Elaboración de Estudios del Sector”</w:t>
            </w:r>
            <w:r w:rsidR="004A1D06">
              <w:rPr>
                <w:rFonts w:ascii="Verdana" w:eastAsia="Calibri" w:hAnsi="Verdana" w:cs="Arial"/>
                <w:bCs/>
                <w:lang w:val="es-ES_tradnl" w:eastAsia="es-MX"/>
              </w:rPr>
              <w:t xml:space="preserve">, esta se recomienda como buena práctica para conocer en mercado y diseñar de la mejor forma posible el Proceso de Contratación. Esto sin perjuicio de las demás alternativas que dispone la guía mencionada.  </w:t>
            </w:r>
          </w:p>
          <w:p w14:paraId="219C659D" w14:textId="4CCBACCB" w:rsidR="00112B54" w:rsidRPr="00F252D7" w:rsidRDefault="00112B54" w:rsidP="003021E1">
            <w:pPr>
              <w:spacing w:line="276" w:lineRule="auto"/>
              <w:ind w:firstLine="708"/>
              <w:jc w:val="both"/>
              <w:rPr>
                <w:rFonts w:ascii="Verdana" w:eastAsia="Calibri" w:hAnsi="Verdana" w:cs="Arial"/>
                <w:color w:val="7030A0"/>
              </w:rPr>
            </w:pPr>
            <w:r w:rsidRPr="00F252D7">
              <w:rPr>
                <w:rFonts w:ascii="Verdana" w:eastAsia="Times New Roman" w:hAnsi="Verdana" w:cs="Arial"/>
                <w:lang w:eastAsia="es-ES_tradnl"/>
              </w:rPr>
              <w:t xml:space="preserve">Sin perjuicio de las aclaraciones anteriores, debe advertirse que es la entidad contratante, al momento de adelantar su actividad contractual, quien debe determinar lo correspondiente </w:t>
            </w:r>
            <w:r>
              <w:rPr>
                <w:rFonts w:ascii="Verdana" w:eastAsia="Times New Roman" w:hAnsi="Verdana" w:cs="Arial"/>
                <w:lang w:eastAsia="es-ES_tradnl"/>
              </w:rPr>
              <w:t xml:space="preserve">sus </w:t>
            </w:r>
            <w:r w:rsidR="004A1D06">
              <w:rPr>
                <w:rFonts w:ascii="Verdana" w:eastAsia="Times New Roman" w:hAnsi="Verdana" w:cs="Arial"/>
                <w:lang w:eastAsia="es-ES_tradnl"/>
              </w:rPr>
              <w:t>P</w:t>
            </w:r>
            <w:r>
              <w:rPr>
                <w:rFonts w:ascii="Verdana" w:eastAsia="Times New Roman" w:hAnsi="Verdana" w:cs="Arial"/>
                <w:lang w:eastAsia="es-ES_tradnl"/>
              </w:rPr>
              <w:t xml:space="preserve">rocesos de </w:t>
            </w:r>
            <w:r w:rsidR="004A1D06">
              <w:rPr>
                <w:rFonts w:ascii="Verdana" w:eastAsia="Times New Roman" w:hAnsi="Verdana" w:cs="Arial"/>
                <w:lang w:eastAsia="es-ES_tradnl"/>
              </w:rPr>
              <w:t>C</w:t>
            </w:r>
            <w:r>
              <w:rPr>
                <w:rFonts w:ascii="Verdana" w:eastAsia="Times New Roman" w:hAnsi="Verdana" w:cs="Arial"/>
                <w:lang w:eastAsia="es-ES_tradnl"/>
              </w:rPr>
              <w:t>ontrataci</w:t>
            </w:r>
            <w:r w:rsidR="004A1D06">
              <w:rPr>
                <w:rFonts w:ascii="Verdana" w:eastAsia="Times New Roman" w:hAnsi="Verdana" w:cs="Arial"/>
                <w:lang w:eastAsia="es-ES_tradnl"/>
              </w:rPr>
              <w:t>ó</w:t>
            </w:r>
            <w:r>
              <w:rPr>
                <w:rFonts w:ascii="Verdana" w:eastAsia="Times New Roman" w:hAnsi="Verdana" w:cs="Arial"/>
                <w:lang w:eastAsia="es-ES_tradnl"/>
              </w:rPr>
              <w:t>n</w:t>
            </w:r>
            <w:r w:rsidRPr="00F252D7">
              <w:rPr>
                <w:rFonts w:ascii="Verdana" w:eastAsia="Times New Roman" w:hAnsi="Verdana" w:cs="Arial"/>
                <w:lang w:eastAsia="es-ES_tradnl"/>
              </w:rPr>
              <w:t>. Dado esto, y en atención al alcance la función consultiva atribuida a esta Agencia, lo aquí mencionado no constituye un juicio de valor sobre un proceso contractual particular.</w:t>
            </w:r>
          </w:p>
        </w:tc>
      </w:tr>
    </w:tbl>
    <w:p w14:paraId="0E362746" w14:textId="77777777" w:rsidR="00112B54" w:rsidRPr="00F252D7" w:rsidRDefault="00112B54" w:rsidP="00112B54">
      <w:pPr>
        <w:spacing w:after="0" w:line="276" w:lineRule="auto"/>
        <w:contextualSpacing/>
        <w:jc w:val="both"/>
        <w:rPr>
          <w:rFonts w:ascii="Verdana" w:eastAsia="Times New Roman" w:hAnsi="Verdana" w:cs="Arial"/>
          <w:lang w:eastAsia="es-ES_tradnl"/>
        </w:rPr>
      </w:pPr>
    </w:p>
    <w:p w14:paraId="4E8D566F" w14:textId="77777777" w:rsidR="00112B54" w:rsidRPr="00F252D7" w:rsidRDefault="00112B54" w:rsidP="00112B54">
      <w:pPr>
        <w:tabs>
          <w:tab w:val="left" w:pos="142"/>
          <w:tab w:val="left" w:pos="284"/>
        </w:tabs>
        <w:spacing w:after="0" w:line="276" w:lineRule="auto"/>
        <w:jc w:val="both"/>
        <w:rPr>
          <w:rFonts w:ascii="Verdana" w:eastAsia="Century Gothic" w:hAnsi="Verdana" w:cs="Century Gothic"/>
          <w:b/>
          <w:bCs/>
          <w:lang w:val="es-ES"/>
        </w:rPr>
      </w:pPr>
      <w:r w:rsidRPr="00F252D7">
        <w:rPr>
          <w:rFonts w:ascii="Verdana" w:eastAsia="Century Gothic" w:hAnsi="Verdana" w:cs="Century Gothic"/>
          <w:b/>
          <w:bCs/>
          <w:lang w:val="es-ES"/>
        </w:rPr>
        <w:t>3. Razones de la respuesta:</w:t>
      </w:r>
    </w:p>
    <w:p w14:paraId="1F39CE65" w14:textId="77777777" w:rsidR="00112B54" w:rsidRPr="00F252D7" w:rsidRDefault="00112B54" w:rsidP="00112B54">
      <w:pPr>
        <w:spacing w:after="0" w:line="276" w:lineRule="auto"/>
        <w:jc w:val="both"/>
        <w:rPr>
          <w:rFonts w:ascii="Verdana" w:eastAsia="Calibri" w:hAnsi="Verdana" w:cs="Arial"/>
          <w:color w:val="7030A0"/>
          <w:lang w:val="es-ES"/>
        </w:rPr>
      </w:pPr>
    </w:p>
    <w:p w14:paraId="07AFCC04" w14:textId="77777777" w:rsidR="00112B54" w:rsidRPr="00F252D7" w:rsidRDefault="00112B54" w:rsidP="00112B54">
      <w:pPr>
        <w:spacing w:after="0" w:line="276" w:lineRule="auto"/>
        <w:jc w:val="both"/>
        <w:rPr>
          <w:rFonts w:ascii="Verdana" w:eastAsia="Calibri" w:hAnsi="Verdana" w:cs="Arial"/>
          <w:lang w:val="es-ES"/>
        </w:rPr>
      </w:pPr>
      <w:r w:rsidRPr="00F252D7">
        <w:rPr>
          <w:rFonts w:ascii="Verdana" w:eastAsia="Calibri" w:hAnsi="Verdana" w:cs="Arial"/>
          <w:lang w:val="es-ES"/>
        </w:rPr>
        <w:t xml:space="preserve">Lo anterior se sustenta en las siguientes consideraciones: </w:t>
      </w:r>
    </w:p>
    <w:p w14:paraId="7E326853" w14:textId="77777777" w:rsidR="00112B54" w:rsidRPr="00F252D7" w:rsidRDefault="00112B54" w:rsidP="00112B54">
      <w:pPr>
        <w:spacing w:after="0" w:line="276" w:lineRule="auto"/>
        <w:contextualSpacing/>
        <w:jc w:val="both"/>
        <w:rPr>
          <w:rFonts w:ascii="Verdana" w:eastAsia="Times New Roman" w:hAnsi="Verdana" w:cs="Arial"/>
          <w:lang w:val="es-ES" w:eastAsia="es-ES_tradnl"/>
        </w:rPr>
      </w:pPr>
    </w:p>
    <w:p w14:paraId="6ED9452A" w14:textId="353B3E35" w:rsidR="00112B54" w:rsidRDefault="00112B54" w:rsidP="00F00667">
      <w:pPr>
        <w:spacing w:after="120" w:line="276" w:lineRule="auto"/>
        <w:contextualSpacing/>
        <w:jc w:val="both"/>
        <w:rPr>
          <w:rFonts w:ascii="Verdana" w:eastAsia="Times New Roman" w:hAnsi="Verdana" w:cs="Arial"/>
          <w:lang w:val="es-ES_tradnl" w:eastAsia="es-MX"/>
        </w:rPr>
      </w:pPr>
      <w:bookmarkStart w:id="1" w:name="_Hlk54011258"/>
      <w:r w:rsidRPr="00F252D7">
        <w:rPr>
          <w:rFonts w:ascii="Verdana" w:eastAsia="Calibri" w:hAnsi="Verdana" w:cs="Arial"/>
          <w:bCs/>
          <w:lang w:val="es-ES_tradnl" w:eastAsia="es-MX"/>
        </w:rPr>
        <w:lastRenderedPageBreak/>
        <w:t xml:space="preserve">La planeación contractual es una herramienta de gerencia pública, que exige estructurar el </w:t>
      </w:r>
      <w:r w:rsidR="004A1D06">
        <w:rPr>
          <w:rFonts w:ascii="Verdana" w:eastAsia="Calibri" w:hAnsi="Verdana" w:cs="Arial"/>
          <w:bCs/>
          <w:lang w:val="es-ES_tradnl" w:eastAsia="es-MX"/>
        </w:rPr>
        <w:t>P</w:t>
      </w:r>
      <w:r w:rsidRPr="00F252D7">
        <w:rPr>
          <w:rFonts w:ascii="Verdana" w:eastAsia="Calibri" w:hAnsi="Verdana" w:cs="Arial"/>
          <w:bCs/>
          <w:lang w:val="es-ES_tradnl" w:eastAsia="es-MX"/>
        </w:rPr>
        <w:t xml:space="preserve">roceso </w:t>
      </w:r>
      <w:r w:rsidR="004A1D06">
        <w:rPr>
          <w:rFonts w:ascii="Verdana" w:eastAsia="Calibri" w:hAnsi="Verdana" w:cs="Arial"/>
          <w:bCs/>
          <w:lang w:val="es-ES_tradnl" w:eastAsia="es-MX"/>
        </w:rPr>
        <w:t>C</w:t>
      </w:r>
      <w:r w:rsidRPr="00F252D7">
        <w:rPr>
          <w:rFonts w:ascii="Verdana" w:eastAsia="Calibri" w:hAnsi="Verdana" w:cs="Arial"/>
          <w:bCs/>
          <w:lang w:val="es-ES_tradnl" w:eastAsia="es-MX"/>
        </w:rPr>
        <w:t>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1"/>
      <w:r w:rsidRPr="00F252D7">
        <w:rPr>
          <w:rFonts w:ascii="Verdana" w:eastAsia="Calibri" w:hAnsi="Verdana" w:cs="Arial"/>
          <w:bCs/>
          <w:lang w:val="es-ES_tradnl" w:eastAsia="es-MX"/>
        </w:rPr>
        <w:t>.</w:t>
      </w:r>
    </w:p>
    <w:p w14:paraId="203F56C5" w14:textId="77777777" w:rsidR="00112B54" w:rsidRDefault="00112B54" w:rsidP="00112B54">
      <w:pPr>
        <w:spacing w:after="120" w:line="276" w:lineRule="auto"/>
        <w:ind w:firstLine="360"/>
        <w:contextualSpacing/>
        <w:jc w:val="both"/>
        <w:rPr>
          <w:rFonts w:ascii="Verdana" w:eastAsia="Times New Roman" w:hAnsi="Verdana" w:cs="Arial"/>
          <w:lang w:val="es-ES_tradnl" w:eastAsia="es-MX"/>
        </w:rPr>
      </w:pPr>
    </w:p>
    <w:p w14:paraId="38F07672" w14:textId="6DDBD149" w:rsidR="00112B54" w:rsidRPr="00174DC7" w:rsidRDefault="00112B54" w:rsidP="00112B54">
      <w:pPr>
        <w:spacing w:after="120" w:line="276" w:lineRule="auto"/>
        <w:ind w:firstLine="360"/>
        <w:contextualSpacing/>
        <w:jc w:val="both"/>
        <w:rPr>
          <w:rFonts w:ascii="Verdana" w:eastAsia="Times New Roman" w:hAnsi="Verdana" w:cs="Arial"/>
          <w:lang w:val="es-ES_tradnl" w:eastAsia="es-MX"/>
        </w:rPr>
      </w:pPr>
      <w:r w:rsidRPr="00F252D7">
        <w:rPr>
          <w:rFonts w:ascii="Verdana" w:eastAsia="Calibri" w:hAnsi="Verdana" w:cs="Arial"/>
          <w:bCs/>
          <w:lang w:val="es-MX" w:eastAsia="es-ES_tradnl"/>
        </w:rPr>
        <w:t xml:space="preserve">El Estatuto General de Contratación de la Administración Pública – EGCAP – contiene disposiciones que exigen a las Entidades Estatales el deber de realizar planeación en la etapa precontractual, para que los </w:t>
      </w:r>
      <w:r w:rsidR="004A1D06">
        <w:rPr>
          <w:rFonts w:ascii="Verdana" w:eastAsia="Calibri" w:hAnsi="Verdana" w:cs="Arial"/>
          <w:bCs/>
          <w:lang w:val="es-MX" w:eastAsia="es-ES_tradnl"/>
        </w:rPr>
        <w:t>P</w:t>
      </w:r>
      <w:r w:rsidRPr="00F252D7">
        <w:rPr>
          <w:rFonts w:ascii="Verdana" w:eastAsia="Calibri" w:hAnsi="Verdana" w:cs="Arial"/>
          <w:bCs/>
          <w:lang w:val="es-MX" w:eastAsia="es-ES_tradnl"/>
        </w:rPr>
        <w:t xml:space="preserve">rocesos de </w:t>
      </w:r>
      <w:r w:rsidR="004A1D06">
        <w:rPr>
          <w:rFonts w:ascii="Verdana" w:eastAsia="Calibri" w:hAnsi="Verdana" w:cs="Arial"/>
          <w:bCs/>
          <w:lang w:val="es-MX" w:eastAsia="es-ES_tradnl"/>
        </w:rPr>
        <w:t>C</w:t>
      </w:r>
      <w:r w:rsidRPr="00F252D7">
        <w:rPr>
          <w:rFonts w:ascii="Verdana" w:eastAsia="Calibri" w:hAnsi="Verdana" w:cs="Arial"/>
          <w:bCs/>
          <w:lang w:val="es-MX" w:eastAsia="es-ES_tradnl"/>
        </w:rPr>
        <w:t xml:space="preserve">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7BFCB3B3" w14:textId="77777777" w:rsidR="00112B54" w:rsidRPr="00F252D7" w:rsidRDefault="00112B54" w:rsidP="00112B54">
      <w:pPr>
        <w:spacing w:after="0" w:line="276" w:lineRule="auto"/>
        <w:ind w:firstLine="709"/>
        <w:jc w:val="both"/>
        <w:rPr>
          <w:rFonts w:ascii="Verdana" w:eastAsia="Calibri" w:hAnsi="Verdana" w:cs="Arial"/>
          <w:bCs/>
          <w:lang w:val="es-ES" w:eastAsia="es-ES_tradnl"/>
        </w:rPr>
      </w:pPr>
    </w:p>
    <w:p w14:paraId="2886D463" w14:textId="77777777" w:rsidR="00112B54" w:rsidRPr="00F00667" w:rsidRDefault="00112B54" w:rsidP="00112B54">
      <w:pPr>
        <w:spacing w:after="0" w:line="240" w:lineRule="auto"/>
        <w:ind w:left="709" w:right="709"/>
        <w:contextualSpacing/>
        <w:jc w:val="both"/>
        <w:rPr>
          <w:rFonts w:ascii="Verdana" w:eastAsia="Calibri" w:hAnsi="Verdana" w:cs="Arial"/>
          <w:sz w:val="20"/>
          <w:szCs w:val="20"/>
          <w:lang w:val="es-MX" w:eastAsia="es-ES_tradnl"/>
        </w:rPr>
      </w:pPr>
      <w:r w:rsidRPr="00F00667">
        <w:rPr>
          <w:rFonts w:ascii="Verdana" w:eastAsia="Calibri" w:hAnsi="Verdana" w:cs="Arial"/>
          <w:sz w:val="20"/>
          <w:szCs w:val="20"/>
          <w:lang w:val="es-MX" w:eastAsia="es-ES_tradnl"/>
        </w:rPr>
        <w:t>“7o. La conveniencia o inconveniencia del objeto a contratar y las autorizaciones y aprobaciones para ello, se analizarán o impartirán con antelación al inicio del proceso de selección del contratista o al de la firma del contrato, según el caso.</w:t>
      </w:r>
    </w:p>
    <w:p w14:paraId="578EA544" w14:textId="77777777" w:rsidR="00112B54" w:rsidRPr="00F00667" w:rsidRDefault="00112B54" w:rsidP="00112B54">
      <w:pPr>
        <w:spacing w:after="0" w:line="240" w:lineRule="auto"/>
        <w:ind w:left="709" w:right="709"/>
        <w:contextualSpacing/>
        <w:jc w:val="both"/>
        <w:rPr>
          <w:rFonts w:ascii="Verdana" w:eastAsia="Calibri" w:hAnsi="Verdana" w:cs="Arial"/>
          <w:sz w:val="20"/>
          <w:szCs w:val="20"/>
          <w:lang w:val="es-MX" w:eastAsia="es-ES_tradnl"/>
        </w:rPr>
      </w:pPr>
    </w:p>
    <w:p w14:paraId="1667109A" w14:textId="77777777" w:rsidR="00112B54" w:rsidRPr="00F00667" w:rsidRDefault="00112B54" w:rsidP="00112B54">
      <w:pPr>
        <w:spacing w:after="0" w:line="240" w:lineRule="auto"/>
        <w:ind w:left="709" w:right="709"/>
        <w:contextualSpacing/>
        <w:jc w:val="both"/>
        <w:rPr>
          <w:rFonts w:ascii="Verdana" w:eastAsia="Calibri" w:hAnsi="Verdana" w:cs="Arial"/>
          <w:sz w:val="20"/>
          <w:szCs w:val="20"/>
          <w:lang w:val="es-MX" w:eastAsia="es-ES_tradnl"/>
        </w:rPr>
      </w:pPr>
      <w:r w:rsidRPr="00F00667">
        <w:rPr>
          <w:rFonts w:ascii="Verdana" w:eastAsia="Calibri" w:hAnsi="Verdana" w:cs="Arial"/>
          <w:sz w:val="20"/>
          <w:szCs w:val="20"/>
          <w:lang w:val="es-MX" w:eastAsia="es-ES_tradnl"/>
        </w:rPr>
        <w:t>[…]</w:t>
      </w:r>
    </w:p>
    <w:p w14:paraId="0AF490D5" w14:textId="77777777" w:rsidR="00112B54" w:rsidRPr="00F00667" w:rsidRDefault="00112B54" w:rsidP="00112B54">
      <w:pPr>
        <w:spacing w:after="0" w:line="240" w:lineRule="auto"/>
        <w:ind w:left="709" w:right="709"/>
        <w:contextualSpacing/>
        <w:jc w:val="both"/>
        <w:rPr>
          <w:rFonts w:ascii="Verdana" w:eastAsia="Calibri" w:hAnsi="Verdana" w:cs="Arial"/>
          <w:sz w:val="20"/>
          <w:szCs w:val="20"/>
          <w:lang w:val="es-MX" w:eastAsia="es-ES_tradnl"/>
        </w:rPr>
      </w:pPr>
    </w:p>
    <w:p w14:paraId="6364E749" w14:textId="77777777" w:rsidR="00112B54" w:rsidRPr="00F00667" w:rsidRDefault="00112B54" w:rsidP="00112B54">
      <w:pPr>
        <w:spacing w:after="0" w:line="240" w:lineRule="auto"/>
        <w:ind w:left="709" w:right="709"/>
        <w:contextualSpacing/>
        <w:jc w:val="both"/>
        <w:rPr>
          <w:rFonts w:ascii="Verdana" w:eastAsia="Calibri" w:hAnsi="Verdana" w:cs="Arial"/>
          <w:sz w:val="20"/>
          <w:szCs w:val="20"/>
          <w:lang w:val="es-MX" w:eastAsia="es-ES_tradnl"/>
        </w:rPr>
      </w:pPr>
      <w:r w:rsidRPr="00F00667">
        <w:rPr>
          <w:rFonts w:ascii="Verdana" w:eastAsia="Calibri" w:hAnsi="Verdana" w:cs="Arial"/>
          <w:sz w:val="20"/>
          <w:szCs w:val="20"/>
          <w:lang w:val="es-MX" w:eastAsia="es-ES_tradnl"/>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3109C64B" w14:textId="77777777" w:rsidR="00112B54" w:rsidRPr="00F00667" w:rsidRDefault="00112B54" w:rsidP="00112B54">
      <w:pPr>
        <w:spacing w:after="0" w:line="240" w:lineRule="auto"/>
        <w:ind w:left="709" w:right="709"/>
        <w:contextualSpacing/>
        <w:jc w:val="both"/>
        <w:rPr>
          <w:rFonts w:ascii="Verdana" w:eastAsia="Calibri" w:hAnsi="Verdana" w:cs="Arial"/>
          <w:sz w:val="20"/>
          <w:szCs w:val="20"/>
          <w:lang w:val="es-MX" w:eastAsia="es-ES_tradnl"/>
        </w:rPr>
      </w:pPr>
    </w:p>
    <w:p w14:paraId="5F08FEDD" w14:textId="77777777" w:rsidR="00112B54" w:rsidRPr="00F00667" w:rsidRDefault="00112B54" w:rsidP="00112B54">
      <w:pPr>
        <w:spacing w:after="0" w:line="240" w:lineRule="auto"/>
        <w:ind w:left="709" w:right="709"/>
        <w:contextualSpacing/>
        <w:jc w:val="both"/>
        <w:rPr>
          <w:rFonts w:ascii="Verdana" w:eastAsia="Calibri" w:hAnsi="Verdana" w:cs="Arial"/>
          <w:sz w:val="20"/>
          <w:szCs w:val="20"/>
          <w:lang w:val="es-MX" w:eastAsia="es-ES_tradnl"/>
        </w:rPr>
      </w:pPr>
      <w:r w:rsidRPr="00F00667">
        <w:rPr>
          <w:rFonts w:ascii="Verdana" w:eastAsia="Calibri" w:hAnsi="Verdana" w:cs="Arial"/>
          <w:sz w:val="20"/>
          <w:szCs w:val="20"/>
          <w:lang w:val="es-MX" w:eastAsia="es-ES_tradnl"/>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77265965" w14:textId="77777777" w:rsidR="00112B54" w:rsidRPr="00F00667" w:rsidRDefault="00112B54" w:rsidP="00112B54">
      <w:pPr>
        <w:spacing w:after="0" w:line="240" w:lineRule="auto"/>
        <w:ind w:left="709" w:right="709"/>
        <w:contextualSpacing/>
        <w:jc w:val="both"/>
        <w:rPr>
          <w:rFonts w:ascii="Verdana" w:eastAsia="Calibri" w:hAnsi="Verdana" w:cs="Arial"/>
          <w:sz w:val="20"/>
          <w:szCs w:val="20"/>
          <w:lang w:val="es-MX" w:eastAsia="es-ES_tradnl"/>
        </w:rPr>
      </w:pPr>
    </w:p>
    <w:p w14:paraId="1540743A"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lastRenderedPageBreak/>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64B78459"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6F5D3BC5"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66CAF4EB" w14:textId="77777777" w:rsidR="00112B54" w:rsidRPr="00F252D7" w:rsidRDefault="00112B54" w:rsidP="00112B54">
      <w:pPr>
        <w:spacing w:after="0" w:line="276" w:lineRule="auto"/>
        <w:jc w:val="both"/>
        <w:rPr>
          <w:rFonts w:ascii="Verdana" w:eastAsia="Times New Roman" w:hAnsi="Verdana" w:cs="Arial"/>
          <w:lang w:val="es-ES_tradnl" w:eastAsia="es-MX"/>
        </w:rPr>
      </w:pPr>
    </w:p>
    <w:p w14:paraId="46BF2FDE" w14:textId="77777777" w:rsidR="005144AD" w:rsidRDefault="00112B54" w:rsidP="00F00667">
      <w:pPr>
        <w:spacing w:after="120" w:line="276" w:lineRule="auto"/>
        <w:ind w:firstLine="709"/>
        <w:jc w:val="both"/>
        <w:rPr>
          <w:rFonts w:ascii="Verdana" w:eastAsia="Times New Roman" w:hAnsi="Verdana" w:cs="Arial"/>
          <w:lang w:val="es-ES_tradnl" w:eastAsia="es-MX"/>
        </w:rPr>
      </w:pPr>
      <w:r w:rsidRPr="00F252D7">
        <w:rPr>
          <w:rFonts w:ascii="Verdana" w:eastAsia="Times New Roman" w:hAnsi="Verdana" w:cs="Arial"/>
          <w:lang w:val="es-ES_tradnl" w:eastAsia="es-MX"/>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F252D7">
        <w:rPr>
          <w:rFonts w:ascii="Geomanist Light" w:hAnsi="Geomanist Light"/>
          <w:vertAlign w:val="superscript"/>
          <w:lang w:val="es-ES" w:eastAsia="es-MX"/>
        </w:rPr>
        <w:footnoteReference w:id="1"/>
      </w:r>
      <w:r w:rsidRPr="00F252D7">
        <w:rPr>
          <w:rFonts w:ascii="Verdana" w:eastAsia="Times New Roman" w:hAnsi="Verdana" w:cs="Arial"/>
          <w:lang w:val="es-ES_tradnl" w:eastAsia="es-MX"/>
        </w:rPr>
        <w:t xml:space="preserve">. </w:t>
      </w:r>
    </w:p>
    <w:p w14:paraId="1322BB0F" w14:textId="6EF4F746" w:rsidR="00112B54" w:rsidRPr="00F252D7" w:rsidRDefault="00112B54" w:rsidP="00112B54">
      <w:pPr>
        <w:spacing w:after="0" w:line="276" w:lineRule="auto"/>
        <w:ind w:firstLine="708"/>
        <w:contextualSpacing/>
        <w:jc w:val="both"/>
        <w:rPr>
          <w:rFonts w:ascii="Verdana" w:eastAsia="Times New Roman" w:hAnsi="Verdana" w:cs="Arial"/>
          <w:lang w:val="es-ES_tradnl" w:eastAsia="es-MX"/>
        </w:rPr>
      </w:pPr>
      <w:r w:rsidRPr="00F252D7">
        <w:rPr>
          <w:rFonts w:ascii="Verdana" w:eastAsia="Times New Roman" w:hAnsi="Verdana" w:cs="Arial"/>
          <w:lang w:val="es-ES_tradnl" w:eastAsia="es-MX"/>
        </w:rPr>
        <w:t>En congruencia con el artículo 25 de la Ley 80 de 1993, el Decreto Único Reglamentario del Sector Administrativo de Planeación Nacional –Decreto 1082 de 2015–, dispone en el artículo 2.2.1.1.2.1.1 el contenido mínimo de los estudios y documentos previos:</w:t>
      </w:r>
    </w:p>
    <w:p w14:paraId="366EE034" w14:textId="77777777" w:rsidR="00112B54" w:rsidRPr="00F252D7" w:rsidRDefault="00112B54" w:rsidP="00112B54">
      <w:pPr>
        <w:spacing w:after="0" w:line="276" w:lineRule="auto"/>
        <w:rPr>
          <w:rFonts w:ascii="Verdana" w:eastAsia="Times New Roman" w:hAnsi="Verdana" w:cs="Arial"/>
          <w:lang w:val="es-ES_tradnl" w:eastAsia="es-CO"/>
        </w:rPr>
      </w:pPr>
    </w:p>
    <w:p w14:paraId="569BF5BE"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382F6579"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0D549892"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 xml:space="preserve">1. La descripción de la necesidad que la Entidad Estatal pretende satisfacer con el Proceso de Contratación. </w:t>
      </w:r>
      <w:r w:rsidRPr="00F00667">
        <w:rPr>
          <w:rFonts w:ascii="Arial" w:eastAsia="Times New Roman" w:hAnsi="Arial" w:cs="Arial"/>
          <w:sz w:val="20"/>
          <w:szCs w:val="20"/>
          <w:lang w:val="es-ES_tradnl" w:eastAsia="es-MX"/>
        </w:rPr>
        <w:t>​</w:t>
      </w:r>
    </w:p>
    <w:p w14:paraId="016DC2B4"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6AD32690"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 xml:space="preserve">2. El objeto a contratar, con sus especificaciones, las autorizaciones, permisos y licencias requeridos para su ejecución, y cuando el contrato </w:t>
      </w:r>
      <w:r w:rsidRPr="00F00667">
        <w:rPr>
          <w:rFonts w:ascii="Verdana" w:eastAsia="Times New Roman" w:hAnsi="Verdana" w:cs="Arial"/>
          <w:sz w:val="20"/>
          <w:szCs w:val="20"/>
          <w:lang w:val="es-ES_tradnl" w:eastAsia="es-MX"/>
        </w:rPr>
        <w:lastRenderedPageBreak/>
        <w:t xml:space="preserve">incluye diseño y construcción, los documentos técnicos para el desarrollo del proyecto. </w:t>
      </w:r>
    </w:p>
    <w:p w14:paraId="417B64D7"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35D85B28"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 xml:space="preserve">3. La modalidad de selección del contratista y su justificación, incluyendo los fundamentos jurídicos. </w:t>
      </w:r>
    </w:p>
    <w:p w14:paraId="482DD935"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21F2B1A1"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 w:eastAsia="es-MX"/>
        </w:rPr>
      </w:pPr>
      <w:r w:rsidRPr="00F00667">
        <w:rPr>
          <w:rFonts w:ascii="Verdana" w:eastAsia="Times New Roman" w:hAnsi="Verdana" w:cs="Arial"/>
          <w:sz w:val="20"/>
          <w:szCs w:val="20"/>
          <w:lang w:val="es-ES" w:eastAsia="es-MX"/>
        </w:rPr>
        <w:t xml:space="preserve">4. El valor estimado del contrato y la justificación </w:t>
      </w:r>
      <w:proofErr w:type="gramStart"/>
      <w:r w:rsidRPr="00F00667">
        <w:rPr>
          <w:rFonts w:ascii="Verdana" w:eastAsia="Times New Roman" w:hAnsi="Verdana" w:cs="Arial"/>
          <w:sz w:val="20"/>
          <w:szCs w:val="20"/>
          <w:lang w:val="es-ES" w:eastAsia="es-MX"/>
        </w:rPr>
        <w:t>del mismo</w:t>
      </w:r>
      <w:proofErr w:type="gramEnd"/>
      <w:r w:rsidRPr="00F00667">
        <w:rPr>
          <w:rFonts w:ascii="Verdana" w:eastAsia="Times New Roman" w:hAnsi="Verdana" w:cs="Arial"/>
          <w:sz w:val="20"/>
          <w:szCs w:val="20"/>
          <w:lang w:val="es-ES" w:eastAsia="es-MX"/>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76952C20"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53CAC222"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 xml:space="preserve">5. Los criterios para seleccionar la oferta más favorable. </w:t>
      </w:r>
    </w:p>
    <w:p w14:paraId="24866B98"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53DA6682"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 xml:space="preserve">6. El análisis de Riesgo y la forma de mitigarlo. </w:t>
      </w:r>
    </w:p>
    <w:p w14:paraId="7C9B5D38"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6F541EEF"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 xml:space="preserve">7. Las garantías que la Entidad Estatal contempla exigir en el proceso de contratación. </w:t>
      </w:r>
    </w:p>
    <w:p w14:paraId="09339EC1"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1C5E0332"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 xml:space="preserve">8. La indicación de si el proceso de contratación está cobijado por un acuerdo comercial. </w:t>
      </w:r>
    </w:p>
    <w:p w14:paraId="5DAD47AA"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p>
    <w:p w14:paraId="5BA32EEE" w14:textId="77777777" w:rsidR="00112B54" w:rsidRPr="00F00667" w:rsidRDefault="00112B54" w:rsidP="00112B54">
      <w:pPr>
        <w:spacing w:after="0" w:line="240" w:lineRule="auto"/>
        <w:ind w:left="709" w:right="709"/>
        <w:contextualSpacing/>
        <w:jc w:val="both"/>
        <w:rPr>
          <w:rFonts w:ascii="Verdana" w:eastAsia="Times New Roman" w:hAnsi="Verdana" w:cs="Arial"/>
          <w:sz w:val="20"/>
          <w:szCs w:val="20"/>
          <w:lang w:val="es-ES_tradnl" w:eastAsia="es-MX"/>
        </w:rPr>
      </w:pPr>
      <w:r w:rsidRPr="00F00667">
        <w:rPr>
          <w:rFonts w:ascii="Verdana" w:eastAsia="Times New Roman" w:hAnsi="Verdana" w:cs="Arial"/>
          <w:sz w:val="20"/>
          <w:szCs w:val="20"/>
          <w:lang w:val="es-ES_tradnl" w:eastAsia="es-MX"/>
        </w:rPr>
        <w:t>El presente artículo no es aplicable a la contratación por mínima cuantía”.</w:t>
      </w:r>
    </w:p>
    <w:p w14:paraId="1E4C4910" w14:textId="77777777" w:rsidR="00112B54" w:rsidRPr="00F252D7" w:rsidRDefault="00112B54" w:rsidP="00112B54">
      <w:pPr>
        <w:widowControl w:val="0"/>
        <w:tabs>
          <w:tab w:val="left" w:pos="1305"/>
        </w:tabs>
        <w:autoSpaceDE w:val="0"/>
        <w:autoSpaceDN w:val="0"/>
        <w:spacing w:after="0" w:line="276" w:lineRule="auto"/>
        <w:ind w:left="828" w:right="822"/>
        <w:rPr>
          <w:rFonts w:ascii="Verdana" w:eastAsia="Calibri" w:hAnsi="Verdana" w:cs="Arial"/>
          <w:lang w:val="es-MX" w:eastAsia="es-ES_tradnl"/>
        </w:rPr>
      </w:pPr>
    </w:p>
    <w:p w14:paraId="6F9BB42A" w14:textId="77777777" w:rsidR="00112B54" w:rsidRPr="00F252D7" w:rsidRDefault="00112B54" w:rsidP="00112B54">
      <w:pPr>
        <w:spacing w:after="120" w:line="276" w:lineRule="auto"/>
        <w:ind w:firstLine="360"/>
        <w:contextualSpacing/>
        <w:jc w:val="both"/>
        <w:rPr>
          <w:rFonts w:ascii="Verdana" w:eastAsia="Times New Roman" w:hAnsi="Verdana" w:cs="Arial"/>
          <w:lang w:val="es-ES" w:eastAsia="es-MX"/>
        </w:rPr>
      </w:pPr>
      <w:bookmarkStart w:id="2" w:name="_Hlk54011351"/>
      <w:r w:rsidRPr="67DE658D">
        <w:rPr>
          <w:rFonts w:ascii="Verdana" w:eastAsia="Times New Roman" w:hAnsi="Verdana" w:cs="Arial"/>
          <w:lang w:val="es-ES" w:eastAsia="es-MX"/>
        </w:rPr>
        <w:t xml:space="preserve">De esta manera, antes de iniciar un procedimiento de selección, la Entidad Estatal podrá determinar con los estudios previos: i) la verdadera necesidad de la celebración del contrato; </w:t>
      </w:r>
      <w:proofErr w:type="spellStart"/>
      <w:r w:rsidRPr="67DE658D">
        <w:rPr>
          <w:rFonts w:ascii="Verdana" w:eastAsia="Times New Roman" w:hAnsi="Verdana" w:cs="Arial"/>
          <w:lang w:val="es-ES" w:eastAsia="es-MX"/>
        </w:rPr>
        <w:t>ii</w:t>
      </w:r>
      <w:proofErr w:type="spellEnd"/>
      <w:r w:rsidRPr="67DE658D">
        <w:rPr>
          <w:rFonts w:ascii="Verdana" w:eastAsia="Times New Roman" w:hAnsi="Verdana" w:cs="Arial"/>
          <w:lang w:val="es-ES" w:eastAsia="es-MX"/>
        </w:rPr>
        <w:t xml:space="preserve">) las modalidades existentes para satisfacer esa necesidad y las razones que justifiquen la modalidad o tipo contractual que se escoja; </w:t>
      </w:r>
      <w:proofErr w:type="spellStart"/>
      <w:r w:rsidRPr="67DE658D">
        <w:rPr>
          <w:rFonts w:ascii="Verdana" w:eastAsia="Times New Roman" w:hAnsi="Verdana" w:cs="Arial"/>
          <w:lang w:val="es-ES" w:eastAsia="es-MX"/>
        </w:rPr>
        <w:t>iii</w:t>
      </w:r>
      <w:proofErr w:type="spellEnd"/>
      <w:r w:rsidRPr="67DE658D">
        <w:rPr>
          <w:rFonts w:ascii="Verdana" w:eastAsia="Times New Roman" w:hAnsi="Verdana" w:cs="Arial"/>
          <w:lang w:val="es-ES" w:eastAsia="es-MX"/>
        </w:rPr>
        <w:t xml:space="preserve">) las calidades, especificaciones, cantidades y demás características que puedan o deban reunir los bienes, las obras o los servicios cuya contratación se haya determinado necesaria, </w:t>
      </w:r>
      <w:proofErr w:type="spellStart"/>
      <w:r w:rsidRPr="67DE658D">
        <w:rPr>
          <w:rFonts w:ascii="Verdana" w:eastAsia="Times New Roman" w:hAnsi="Verdana" w:cs="Arial"/>
          <w:lang w:val="es-ES" w:eastAsia="es-MX"/>
        </w:rPr>
        <w:t>iv</w:t>
      </w:r>
      <w:proofErr w:type="spellEnd"/>
      <w:r w:rsidRPr="67DE658D">
        <w:rPr>
          <w:rFonts w:ascii="Verdana" w:eastAsia="Times New Roman" w:hAnsi="Verdana" w:cs="Arial"/>
          <w:lang w:val="es-ES"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67DE658D">
        <w:rPr>
          <w:rFonts w:ascii="Verdana" w:eastAsia="Times New Roman" w:hAnsi="Verdana" w:cs="Arial"/>
          <w:lang w:val="es-ES" w:eastAsia="es-MX"/>
        </w:rPr>
        <w:t>vii</w:t>
      </w:r>
      <w:proofErr w:type="spellEnd"/>
      <w:r w:rsidRPr="67DE658D">
        <w:rPr>
          <w:rFonts w:ascii="Verdana" w:eastAsia="Times New Roman" w:hAnsi="Verdana" w:cs="Arial"/>
          <w:lang w:val="es-ES" w:eastAsia="es-MX"/>
        </w:rPr>
        <w:t xml:space="preserve">) los procedimientos, trámites y requisitos que deban satisfacerse, reunirse u obtenerse para llevar a cabo la selección del respectivo contratista y la celebración del contrato que se pretenda celebrar. La consideración de todos </w:t>
      </w:r>
      <w:r w:rsidRPr="67DE658D">
        <w:rPr>
          <w:rFonts w:ascii="Verdana" w:eastAsia="Times New Roman" w:hAnsi="Verdana" w:cs="Arial"/>
          <w:lang w:val="es-ES" w:eastAsia="es-MX"/>
        </w:rPr>
        <w:lastRenderedPageBreak/>
        <w:t xml:space="preserve">estos aspectos </w:t>
      </w:r>
      <w:bookmarkEnd w:id="2"/>
      <w:r w:rsidRPr="67DE658D">
        <w:rPr>
          <w:rFonts w:ascii="Verdana" w:eastAsia="Calibri" w:hAnsi="Verdana" w:cs="Arial"/>
          <w:lang w:val="es-ES" w:eastAsia="es-MX"/>
        </w:rPr>
        <w:t xml:space="preserve">permite que los contratos resultantes de la planeación cuenten con el sustento técnico, económico y jurídico que incidirá </w:t>
      </w:r>
      <w:r w:rsidRPr="67DE658D">
        <w:rPr>
          <w:rFonts w:ascii="Verdana" w:eastAsia="Times New Roman" w:hAnsi="Verdana" w:cs="Arial"/>
          <w:lang w:val="es-ES" w:eastAsia="es-MX"/>
        </w:rPr>
        <w:t>en una adecuada ejecución.</w:t>
      </w:r>
    </w:p>
    <w:p w14:paraId="435BA8CB" w14:textId="77777777" w:rsidR="00112B54" w:rsidRPr="00F252D7" w:rsidRDefault="00112B54" w:rsidP="00112B54">
      <w:pPr>
        <w:spacing w:after="120" w:line="276" w:lineRule="auto"/>
        <w:ind w:left="720"/>
        <w:contextualSpacing/>
        <w:jc w:val="both"/>
        <w:rPr>
          <w:rFonts w:ascii="Verdana" w:eastAsia="Times New Roman" w:hAnsi="Verdana" w:cs="Arial"/>
          <w:lang w:val="es-ES_tradnl" w:eastAsia="es-MX"/>
        </w:rPr>
      </w:pPr>
    </w:p>
    <w:p w14:paraId="49F05DFF" w14:textId="45D3FE4D" w:rsidR="00112B54" w:rsidRPr="00F252D7" w:rsidRDefault="00112B54" w:rsidP="00F00667">
      <w:pPr>
        <w:spacing w:after="120" w:line="276" w:lineRule="auto"/>
        <w:ind w:right="102" w:firstLine="709"/>
        <w:jc w:val="both"/>
        <w:rPr>
          <w:rFonts w:ascii="Verdana" w:eastAsia="Times New Roman" w:hAnsi="Verdana" w:cs="Arial"/>
          <w:lang w:val="es-ES_tradnl" w:eastAsia="es-MX"/>
        </w:rPr>
      </w:pPr>
      <w:r>
        <w:rPr>
          <w:rFonts w:ascii="Verdana" w:eastAsia="Times New Roman" w:hAnsi="Verdana" w:cs="Arial"/>
          <w:lang w:val="es-ES_tradnl" w:eastAsia="es-MX"/>
        </w:rPr>
        <w:t>M</w:t>
      </w:r>
      <w:r w:rsidRPr="00F252D7">
        <w:rPr>
          <w:rFonts w:ascii="Verdana" w:eastAsia="Times New Roman" w:hAnsi="Verdana" w:cs="Arial"/>
          <w:lang w:val="es-ES_tradnl" w:eastAsia="es-MX"/>
        </w:rPr>
        <w:t>ás allá del cumplimiento de la normativa, “los estudios y documentos previos son el soporte para elaborar el proyecto de pliegos, los pliegos de condiciones, y el contrato”</w:t>
      </w:r>
      <w:r w:rsidRPr="00F252D7">
        <w:rPr>
          <w:rFonts w:ascii="Geomanist Light" w:hAnsi="Geomanist Light"/>
          <w:vertAlign w:val="superscript"/>
          <w:lang w:val="es-ES" w:eastAsia="es-MX"/>
        </w:rPr>
        <w:footnoteReference w:id="2"/>
      </w:r>
      <w:r w:rsidRPr="00F252D7">
        <w:rPr>
          <w:rFonts w:ascii="Verdana" w:eastAsia="Times New Roman" w:hAnsi="Verdana" w:cs="Arial"/>
          <w:lang w:val="es-ES_tradnl" w:eastAsia="es-MX"/>
        </w:rPr>
        <w:t xml:space="preserve">, por lo que deben publicarse en la etapa precontractual y sirven de motivación para los documentos expedidos unilateralmente por la Entidad Estatal tales como el acto administrativo de apertura, los pliegos de condiciones y el acto de adjudicación, entre otros. En ese sentido, </w:t>
      </w:r>
      <w:bookmarkStart w:id="4" w:name="_Hlk54011438"/>
      <w:r w:rsidRPr="00F252D7">
        <w:rPr>
          <w:rFonts w:ascii="Verdana" w:eastAsia="Times New Roman" w:hAnsi="Verdana" w:cs="Arial"/>
          <w:lang w:val="es-ES_tradnl" w:eastAsia="es-MX"/>
        </w:rPr>
        <w:t>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4"/>
      <w:r w:rsidRPr="00F252D7">
        <w:rPr>
          <w:rFonts w:ascii="Geomanist Light" w:hAnsi="Geomanist Light"/>
          <w:vertAlign w:val="superscript"/>
          <w:lang w:val="es-ES" w:eastAsia="es-MX"/>
        </w:rPr>
        <w:footnoteReference w:id="3"/>
      </w:r>
      <w:r w:rsidRPr="00F252D7">
        <w:rPr>
          <w:rFonts w:ascii="Verdana" w:eastAsia="Times New Roman" w:hAnsi="Verdana" w:cs="Arial"/>
          <w:lang w:val="es-ES_tradnl" w:eastAsia="es-MX"/>
        </w:rPr>
        <w:t>.</w:t>
      </w:r>
    </w:p>
    <w:p w14:paraId="7434C899" w14:textId="66A19EEF" w:rsidR="00112B54" w:rsidRPr="00F252D7" w:rsidRDefault="00112B54" w:rsidP="00F00667">
      <w:pPr>
        <w:spacing w:after="120" w:line="276" w:lineRule="auto"/>
        <w:ind w:firstLine="709"/>
        <w:jc w:val="both"/>
        <w:rPr>
          <w:rFonts w:ascii="Verdana" w:eastAsia="Times New Roman" w:hAnsi="Verdana" w:cs="Arial"/>
          <w:szCs w:val="24"/>
          <w:lang w:val="es-ES" w:eastAsia="es-ES_tradnl"/>
        </w:rPr>
      </w:pPr>
      <w:r w:rsidRPr="00F252D7">
        <w:rPr>
          <w:rFonts w:ascii="Verdana" w:eastAsia="Times New Roman" w:hAnsi="Verdana" w:cs="Arial"/>
          <w:szCs w:val="24"/>
          <w:lang w:val="es-ES" w:eastAsia="es-ES_tradnl"/>
        </w:rPr>
        <w:t xml:space="preserve">Ahora bien, el numeral 12 del artículo 25 de la Ley 80 de 1993, antes citado, establece el deber de las entidades de realizar estudios previos en dos (2) momentos específicos: i) previo a la apertura de un proceso de selección y </w:t>
      </w:r>
      <w:proofErr w:type="spellStart"/>
      <w:r w:rsidRPr="00F252D7">
        <w:rPr>
          <w:rFonts w:ascii="Verdana" w:eastAsia="Times New Roman" w:hAnsi="Verdana" w:cs="Arial"/>
          <w:szCs w:val="24"/>
          <w:lang w:val="es-ES" w:eastAsia="es-ES_tradnl"/>
        </w:rPr>
        <w:t>ii</w:t>
      </w:r>
      <w:proofErr w:type="spellEnd"/>
      <w:r w:rsidRPr="00F252D7">
        <w:rPr>
          <w:rFonts w:ascii="Verdana" w:eastAsia="Times New Roman" w:hAnsi="Verdana" w:cs="Arial"/>
          <w:szCs w:val="24"/>
          <w:lang w:val="es-ES" w:eastAsia="es-ES_tradnl"/>
        </w:rPr>
        <w:t xml:space="preserve">) previo a la firma del contrato en el caso en que la modalidad de selección sea contratación directa. </w:t>
      </w:r>
    </w:p>
    <w:p w14:paraId="5F81A80E" w14:textId="77777777" w:rsidR="009D6AC3" w:rsidRDefault="00112B54" w:rsidP="00F00667">
      <w:pPr>
        <w:spacing w:after="120" w:line="276" w:lineRule="auto"/>
        <w:ind w:firstLine="357"/>
        <w:jc w:val="both"/>
        <w:rPr>
          <w:rFonts w:ascii="Verdana" w:eastAsia="Calibri" w:hAnsi="Verdana" w:cs="Arial"/>
          <w:bCs/>
          <w:lang w:val="es-ES_tradnl" w:eastAsia="es-MX"/>
        </w:rPr>
      </w:pPr>
      <w:r w:rsidRPr="00F252D7">
        <w:rPr>
          <w:rFonts w:ascii="Verdana" w:eastAsia="Times New Roman" w:hAnsi="Verdana" w:cs="Arial"/>
          <w:lang w:val="es-ES_tradnl" w:eastAsia="es-MX"/>
        </w:rPr>
        <w:t xml:space="preserve">Por otra parte,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w:t>
      </w:r>
      <w:r w:rsidRPr="00F252D7">
        <w:rPr>
          <w:rFonts w:ascii="Verdana" w:eastAsia="Calibri" w:hAnsi="Verdana" w:cs="Arial"/>
          <w:bCs/>
          <w:lang w:val="es-ES_tradnl" w:eastAsia="es-MX"/>
        </w:rPr>
        <w:t xml:space="preserve">Para estos efectos resulta relevante </w:t>
      </w:r>
      <w:bookmarkStart w:id="5" w:name="_Hlk139465916"/>
      <w:r w:rsidRPr="00F252D7">
        <w:rPr>
          <w:rFonts w:ascii="Verdana" w:eastAsia="Calibri" w:hAnsi="Verdana" w:cs="Arial"/>
          <w:bCs/>
          <w:lang w:val="es-ES_tradnl" w:eastAsia="es-MX"/>
        </w:rPr>
        <w:t xml:space="preserve">la información recolectada en el marco del </w:t>
      </w:r>
      <w:r w:rsidRPr="00F252D7">
        <w:rPr>
          <w:rFonts w:ascii="Verdana" w:eastAsia="Calibri" w:hAnsi="Verdana" w:cs="Arial"/>
          <w:bCs/>
          <w:i/>
          <w:iCs/>
          <w:lang w:val="es-ES_tradnl" w:eastAsia="es-MX"/>
        </w:rPr>
        <w:t>estudio del mercado</w:t>
      </w:r>
      <w:r w:rsidRPr="00F252D7">
        <w:rPr>
          <w:rFonts w:ascii="Verdana" w:eastAsia="Calibri" w:hAnsi="Verdana" w:cs="Arial"/>
          <w:bCs/>
          <w:lang w:val="es-ES_tradnl"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w:t>
      </w:r>
    </w:p>
    <w:p w14:paraId="353AC2E9" w14:textId="155B1D7F" w:rsidR="00112B54" w:rsidRPr="00F252D7" w:rsidRDefault="00112B54" w:rsidP="00F00667">
      <w:pPr>
        <w:spacing w:after="120" w:line="276" w:lineRule="auto"/>
        <w:ind w:firstLine="357"/>
        <w:jc w:val="both"/>
        <w:rPr>
          <w:rFonts w:ascii="Verdana" w:eastAsia="Calibri" w:hAnsi="Verdana" w:cs="Arial"/>
          <w:bCs/>
          <w:lang w:val="es-ES_tradnl" w:eastAsia="es-MX"/>
        </w:rPr>
      </w:pPr>
      <w:r w:rsidRPr="00F252D7">
        <w:rPr>
          <w:rFonts w:ascii="Verdana" w:eastAsia="Calibri" w:hAnsi="Verdana" w:cs="Arial"/>
          <w:bCs/>
          <w:lang w:val="es-ES_tradnl" w:eastAsia="es-MX"/>
        </w:rPr>
        <w:lastRenderedPageBreak/>
        <w:t xml:space="preserve">En este sentido, el análisis del sector de las perspectivas legal, comercial, financiera, organizacional, técnica, y de análisis de Riesgo, al que se refiere el artículo </w:t>
      </w:r>
      <w:bookmarkStart w:id="6" w:name="_Hlk36117416"/>
      <w:r w:rsidRPr="00F252D7">
        <w:rPr>
          <w:rFonts w:ascii="Verdana" w:eastAsia="Calibri" w:hAnsi="Verdana" w:cs="Arial"/>
          <w:bCs/>
          <w:lang w:val="es-ES_tradnl" w:eastAsia="es-MX"/>
        </w:rPr>
        <w:t>2.2.1.1.1.6.1 del Decreto 1082 de 2015</w:t>
      </w:r>
      <w:bookmarkEnd w:id="6"/>
      <w:r w:rsidRPr="00F252D7">
        <w:rPr>
          <w:rFonts w:ascii="Verdana" w:eastAsia="Calibri" w:hAnsi="Verdana" w:cs="Arial"/>
          <w:bCs/>
          <w:lang w:val="es-ES_tradnl" w:eastAsia="es-MX"/>
        </w:rPr>
        <w:t>, constituye un insumo importante para determinar factores que pudieran determinar el valor del contrato y orientar a la entidad en torno al monto de la disponibilidad presupuestal que requiere para realizar la contratación</w:t>
      </w:r>
      <w:bookmarkEnd w:id="5"/>
      <w:r w:rsidRPr="00F252D7">
        <w:rPr>
          <w:rFonts w:ascii="Geomanist Light" w:eastAsia="Calibri" w:hAnsi="Geomanist Light"/>
          <w:bCs/>
          <w:vertAlign w:val="superscript"/>
          <w:lang w:val="es-ES" w:eastAsia="es-MX"/>
        </w:rPr>
        <w:footnoteReference w:id="4"/>
      </w:r>
      <w:r w:rsidRPr="00F252D7">
        <w:rPr>
          <w:rFonts w:ascii="Verdana" w:eastAsia="Calibri" w:hAnsi="Verdana" w:cs="Arial"/>
          <w:bCs/>
          <w:lang w:val="es-ES_tradnl" w:eastAsia="es-MX"/>
        </w:rPr>
        <w:t xml:space="preserve">. </w:t>
      </w:r>
    </w:p>
    <w:p w14:paraId="7CDF8D5D" w14:textId="18088908" w:rsidR="00112B54" w:rsidRPr="00F252D7" w:rsidRDefault="00112B54" w:rsidP="00F00667">
      <w:pPr>
        <w:spacing w:after="120" w:line="276" w:lineRule="auto"/>
        <w:ind w:firstLine="357"/>
        <w:jc w:val="both"/>
        <w:rPr>
          <w:rFonts w:ascii="Verdana" w:eastAsia="Calibri" w:hAnsi="Verdana" w:cs="Arial"/>
          <w:bCs/>
          <w:lang w:val="es-ES_tradnl" w:eastAsia="es-MX"/>
        </w:rPr>
      </w:pPr>
      <w:r w:rsidRPr="41260AC2">
        <w:rPr>
          <w:rFonts w:ascii="Verdana" w:eastAsia="Calibri" w:hAnsi="Verdana" w:cs="Arial"/>
          <w:lang w:val="es-ES" w:eastAsia="es-MX"/>
        </w:rPr>
        <w:t xml:space="preserve">De acuerdo con la norma citada, </w:t>
      </w:r>
      <w:bookmarkStart w:id="7" w:name="_Hlk36140682"/>
      <w:r w:rsidRPr="41260AC2">
        <w:rPr>
          <w:rFonts w:ascii="Verdana" w:eastAsia="Calibri" w:hAnsi="Verdana" w:cs="Arial"/>
          <w:lang w:val="es-ES" w:eastAsia="es-MX"/>
        </w:rPr>
        <w:t>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3A59C302" w14:textId="39E0242F" w:rsidR="00112B54" w:rsidRPr="00F252D7" w:rsidRDefault="00112B54" w:rsidP="00F00667">
      <w:pPr>
        <w:spacing w:after="120" w:line="276" w:lineRule="auto"/>
        <w:ind w:firstLine="708"/>
        <w:jc w:val="both"/>
        <w:rPr>
          <w:rFonts w:ascii="Verdana" w:eastAsia="Calibri" w:hAnsi="Verdana" w:cs="Arial"/>
          <w:bCs/>
          <w:lang w:val="es-ES_tradnl" w:eastAsia="es-MX"/>
        </w:rPr>
      </w:pPr>
      <w:r w:rsidRPr="00F252D7">
        <w:rPr>
          <w:rFonts w:ascii="Verdana" w:eastAsia="Calibri" w:hAnsi="Verdana" w:cs="Arial"/>
          <w:bCs/>
          <w:lang w:val="es-ES_tradnl" w:eastAsia="es-MX"/>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75858F44" w14:textId="63BA3C57" w:rsidR="00112B54" w:rsidRPr="00F252D7" w:rsidRDefault="00112B54" w:rsidP="00F00667">
      <w:pPr>
        <w:spacing w:after="120" w:line="276" w:lineRule="auto"/>
        <w:ind w:firstLine="360"/>
        <w:jc w:val="both"/>
        <w:rPr>
          <w:rFonts w:ascii="Verdana" w:eastAsia="Calibri" w:hAnsi="Verdana" w:cs="Arial"/>
          <w:bCs/>
          <w:lang w:val="es-ES_tradnl" w:eastAsia="es-MX"/>
        </w:rPr>
      </w:pPr>
      <w:r w:rsidRPr="6C9BD3CD">
        <w:rPr>
          <w:rFonts w:ascii="Verdana" w:eastAsia="Calibri" w:hAnsi="Verdana" w:cs="Arial"/>
          <w:lang w:val="es-ES"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permitirá identificar qué proveedores existen en el mercado y cómo intervienen en la cadena de </w:t>
      </w:r>
      <w:r w:rsidRPr="6C9BD3CD">
        <w:rPr>
          <w:rFonts w:ascii="Verdana" w:eastAsia="Calibri" w:hAnsi="Verdana" w:cs="Arial"/>
          <w:lang w:val="es-ES" w:eastAsia="es-MX"/>
        </w:rPr>
        <w:lastRenderedPageBreak/>
        <w:t xml:space="preserve">producción, comercialización y distribución de los bienes, obras o servicios. De igual manera, podrá estudiar la demanda para determinar cómo las Entidades Estatales y los particulares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74D330F6" w14:textId="176B272A" w:rsidR="00112B54" w:rsidRPr="00F252D7" w:rsidRDefault="00112B54" w:rsidP="00F00667">
      <w:pPr>
        <w:spacing w:after="120" w:line="276" w:lineRule="auto"/>
        <w:ind w:firstLine="708"/>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F252D7">
        <w:rPr>
          <w:rFonts w:ascii="Verdana" w:eastAsia="Times New Roman" w:hAnsi="Verdana" w:cs="Arial"/>
          <w:lang w:val="es-ES_tradnl" w:eastAsia="es-CO"/>
        </w:rPr>
        <w:t xml:space="preserve">son autónomas para estructurarlo, para lo cual deberán cumplir lo dispuesto en el artículo </w:t>
      </w:r>
      <w:r w:rsidRPr="00F252D7">
        <w:rPr>
          <w:rFonts w:ascii="Verdana" w:eastAsia="Calibri" w:hAnsi="Verdana" w:cs="Arial"/>
          <w:bCs/>
          <w:lang w:val="es-ES_tradnl" w:eastAsia="es-MX"/>
        </w:rPr>
        <w:t xml:space="preserve">2.2.1.1.1.6.1 del Decreto 1082 de 2015 y realizar un análisis integral de planeación que </w:t>
      </w:r>
      <w:r w:rsidRPr="00F252D7">
        <w:rPr>
          <w:rFonts w:ascii="Verdana" w:eastAsia="Times New Roman" w:hAnsi="Verdana" w:cs="Arial"/>
          <w:lang w:val="es-ES_tradnl" w:eastAsia="es-MX"/>
        </w:rPr>
        <w:t xml:space="preserve">sirva de sustento a la decisión de </w:t>
      </w:r>
      <w:r w:rsidRPr="00F252D7">
        <w:rPr>
          <w:rFonts w:ascii="Verdana" w:eastAsia="Times New Roman" w:hAnsi="Verdana" w:cs="Arial"/>
          <w:bCs/>
          <w:lang w:val="es-ES_tradnl" w:eastAsia="es-MX"/>
        </w:rPr>
        <w:t>realizar un Proceso de Contratación.</w:t>
      </w:r>
    </w:p>
    <w:p w14:paraId="536378FF" w14:textId="7D0E6544" w:rsidR="00112B54" w:rsidRDefault="00112B54" w:rsidP="00F00667">
      <w:pPr>
        <w:spacing w:after="120" w:line="276" w:lineRule="auto"/>
        <w:ind w:firstLine="708"/>
        <w:jc w:val="both"/>
        <w:rPr>
          <w:rFonts w:ascii="Verdana" w:eastAsia="Calibri" w:hAnsi="Verdana" w:cs="Arial"/>
          <w:bCs/>
          <w:szCs w:val="24"/>
          <w:lang w:val="es-ES" w:eastAsia="es-ES_tradnl"/>
        </w:rPr>
      </w:pPr>
      <w:bookmarkStart w:id="8" w:name="_Hlk139466113"/>
      <w:bookmarkEnd w:id="7"/>
      <w:r w:rsidRPr="00F252D7">
        <w:rPr>
          <w:rFonts w:ascii="Verdana" w:eastAsia="Calibri" w:hAnsi="Verdana" w:cs="Arial"/>
          <w:bCs/>
          <w:lang w:val="es-ES_tradnl" w:eastAsia="es-MX"/>
        </w:rPr>
        <w:t>La Agencia Nacional de Contratación Pública – Colombia Compra Eficiente dispone de una “Guía para la Elaboración de Estudios del Sector”</w:t>
      </w:r>
      <w:r w:rsidRPr="00F252D7">
        <w:rPr>
          <w:rFonts w:ascii="Verdana" w:eastAsia="Times New Roman" w:hAnsi="Verdana" w:cs="Arial"/>
          <w:vertAlign w:val="superscript"/>
          <w:lang w:val="es-ES_tradnl" w:eastAsia="es-CO"/>
        </w:rPr>
        <w:t xml:space="preserve"> </w:t>
      </w:r>
      <w:r w:rsidRPr="00F252D7">
        <w:rPr>
          <w:rFonts w:ascii="Geomanist Light" w:eastAsia="Times New Roman" w:hAnsi="Geomanist Light"/>
          <w:vertAlign w:val="superscript"/>
          <w:lang w:val="es-ES" w:eastAsia="es-CO"/>
        </w:rPr>
        <w:footnoteReference w:id="5"/>
      </w:r>
      <w:r w:rsidRPr="00F252D7">
        <w:rPr>
          <w:rFonts w:ascii="Verdana" w:eastAsia="Calibri" w:hAnsi="Verdana" w:cs="Arial"/>
          <w:bCs/>
          <w:lang w:val="es-ES_tradnl"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8"/>
      <w:r w:rsidRPr="00F252D7">
        <w:rPr>
          <w:rFonts w:ascii="Verdana" w:eastAsia="Calibri" w:hAnsi="Verdana" w:cs="Arial"/>
          <w:bCs/>
          <w:lang w:val="es-ES_tradnl" w:eastAsia="es-MX"/>
        </w:rPr>
        <w:t xml:space="preserve">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00D44C79" w14:textId="109556A4" w:rsidR="00112B54" w:rsidRDefault="00112B54" w:rsidP="00F00667">
      <w:pPr>
        <w:spacing w:after="120" w:line="276" w:lineRule="auto"/>
        <w:ind w:firstLine="708"/>
        <w:jc w:val="both"/>
        <w:rPr>
          <w:rFonts w:ascii="Verdana" w:eastAsia="Calibri" w:hAnsi="Verdana" w:cs="Arial"/>
          <w:lang w:eastAsia="es-MX"/>
        </w:rPr>
      </w:pPr>
      <w:r w:rsidRPr="003332E4">
        <w:rPr>
          <w:rFonts w:ascii="Verdana" w:eastAsia="Calibri" w:hAnsi="Verdana" w:cs="Arial"/>
          <w:lang w:eastAsia="es-MX"/>
        </w:rPr>
        <w:t xml:space="preserve">En este instrumento se recomienda un análisis integral sobre varios aspectos del mercado –económico, técnico, regulatorio, etc., lo cual permitirá </w:t>
      </w:r>
      <w:r w:rsidRPr="003332E4">
        <w:rPr>
          <w:rFonts w:ascii="Verdana" w:eastAsia="Calibri" w:hAnsi="Verdana" w:cs="Arial"/>
          <w:lang w:eastAsia="es-MX"/>
        </w:rPr>
        <w:lastRenderedPageBreak/>
        <w:t xml:space="preserve">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 </w:t>
      </w:r>
    </w:p>
    <w:p w14:paraId="1DF17590" w14:textId="0C0FE428" w:rsidR="00112B54" w:rsidRDefault="00112B54" w:rsidP="00F00667">
      <w:pPr>
        <w:spacing w:after="120" w:line="276" w:lineRule="auto"/>
        <w:ind w:firstLine="708"/>
        <w:jc w:val="both"/>
        <w:rPr>
          <w:rFonts w:ascii="Verdana" w:eastAsia="Calibri" w:hAnsi="Verdana" w:cs="Arial"/>
          <w:lang w:eastAsia="es-MX"/>
        </w:rPr>
      </w:pPr>
      <w:r w:rsidRPr="003332E4">
        <w:rPr>
          <w:rFonts w:ascii="Verdana" w:eastAsia="Calibri" w:hAnsi="Verdana" w:cs="Arial"/>
          <w:bCs/>
          <w:szCs w:val="24"/>
          <w:lang w:val="es-ES_tradnl" w:eastAsia="es-ES_tradnl"/>
        </w:rPr>
        <w:t xml:space="preserve">Así mismo, en </w:t>
      </w:r>
      <w:bookmarkStart w:id="9" w:name="_Hlk139466181"/>
      <w:r w:rsidRPr="003332E4">
        <w:rPr>
          <w:rFonts w:ascii="Verdana" w:eastAsia="Calibri" w:hAnsi="Verdana" w:cs="Arial"/>
          <w:bCs/>
          <w:szCs w:val="24"/>
          <w:lang w:val="es-ES_tradnl" w:eastAsia="es-ES_tradnl"/>
        </w:rPr>
        <w:t xml:space="preserve">la Guía se indica que como parte de la estructura del estudio del sector se debe realizar un análisis del comportamiento del gasto histórico, el estudio de la oferta y el estudio del mercado. </w:t>
      </w:r>
      <w:bookmarkStart w:id="10" w:name="_Hlk78204338"/>
      <w:bookmarkEnd w:id="9"/>
      <w:r w:rsidRPr="003332E4">
        <w:rPr>
          <w:rFonts w:ascii="Verdana" w:eastAsia="Calibri" w:hAnsi="Verdana" w:cs="Arial"/>
          <w:lang w:eastAsia="es-ES_tradnl"/>
        </w:rPr>
        <w:t>D</w:t>
      </w:r>
      <w:r w:rsidRPr="003332E4">
        <w:rPr>
          <w:rFonts w:ascii="Verdana" w:hAnsi="Verdana"/>
          <w:lang w:eastAsia="es-ES_tradnl"/>
        </w:rPr>
        <w:t>e forma puntual, la Guía indica que “la Entidad Estatal debe identificar los proveedores en el mercado del bien o servicio, así como sus principales características como tamaño empresarial, ubicación, esquemas de producción y comportamiento financiero”.</w:t>
      </w:r>
      <w:bookmarkEnd w:id="10"/>
      <w:r w:rsidRPr="003332E4">
        <w:rPr>
          <w:rFonts w:ascii="Verdana" w:hAnsi="Verdana"/>
          <w:lang w:eastAsia="es-ES_tradnl"/>
        </w:rPr>
        <w:t xml:space="preserve"> </w:t>
      </w:r>
    </w:p>
    <w:p w14:paraId="5337D706" w14:textId="77777777" w:rsidR="00112B54" w:rsidRPr="003332E4" w:rsidRDefault="00112B54" w:rsidP="00F00667">
      <w:pPr>
        <w:spacing w:after="120" w:line="276" w:lineRule="auto"/>
        <w:ind w:firstLine="708"/>
        <w:contextualSpacing/>
        <w:jc w:val="both"/>
        <w:rPr>
          <w:rFonts w:ascii="Verdana" w:eastAsia="Calibri" w:hAnsi="Verdana" w:cs="Arial"/>
          <w:lang w:eastAsia="es-MX"/>
        </w:rPr>
      </w:pPr>
      <w:r w:rsidRPr="003332E4">
        <w:rPr>
          <w:rFonts w:ascii="Verdana" w:eastAsia="Calibri" w:hAnsi="Verdana" w:cs="Arial"/>
          <w:szCs w:val="24"/>
          <w:lang w:eastAsia="es-ES_tradnl"/>
        </w:rPr>
        <w:t xml:space="preserve">Ahora bien, </w:t>
      </w:r>
      <w:bookmarkStart w:id="11" w:name="_Hlk139466204"/>
      <w:r w:rsidRPr="003332E4">
        <w:rPr>
          <w:rFonts w:ascii="Verdana" w:eastAsia="Calibri" w:hAnsi="Verdana" w:cs="Arial"/>
          <w:szCs w:val="24"/>
          <w:lang w:eastAsia="es-ES_tradnl"/>
        </w:rPr>
        <w:t xml:space="preserve">respecto a el </w:t>
      </w:r>
      <w:r w:rsidRPr="003332E4">
        <w:rPr>
          <w:rFonts w:ascii="Verdana" w:eastAsia="Calibri" w:hAnsi="Verdana" w:cs="Arial"/>
          <w:i/>
          <w:iCs/>
          <w:szCs w:val="24"/>
          <w:lang w:eastAsia="es-ES_tradnl"/>
        </w:rPr>
        <w:t xml:space="preserve">estudio del mercado, </w:t>
      </w:r>
      <w:r w:rsidRPr="003332E4">
        <w:rPr>
          <w:rFonts w:ascii="Verdana" w:eastAsia="Calibri" w:hAnsi="Verdana" w:cs="Arial"/>
          <w:szCs w:val="24"/>
          <w:lang w:eastAsia="es-ES_tradnl"/>
        </w:rPr>
        <w:t>al cual hace referencia en su consulta, este se encuentra inmerso dentro del análisis del sector y permite comprender la dinámica de los precios y establecer el presupuesto oficial de la contratación, el cual incluye la realización de un análisis de los diferentes precios de los bienes o servicios a contratar que se registran en el mercado, los cuales pueden consultarse a través de mecanismos como:</w:t>
      </w:r>
    </w:p>
    <w:p w14:paraId="2040E67C" w14:textId="77777777" w:rsidR="00112B54" w:rsidRDefault="00112B54" w:rsidP="00112B54">
      <w:pPr>
        <w:pStyle w:val="Prrafodelista"/>
        <w:numPr>
          <w:ilvl w:val="0"/>
          <w:numId w:val="17"/>
        </w:numPr>
        <w:spacing w:after="120" w:line="276" w:lineRule="auto"/>
        <w:ind w:left="709" w:right="709"/>
        <w:jc w:val="both"/>
        <w:rPr>
          <w:rFonts w:ascii="Verdana" w:eastAsia="Calibri" w:hAnsi="Verdana" w:cs="Arial"/>
          <w:szCs w:val="24"/>
          <w:lang w:eastAsia="es-ES_tradnl"/>
        </w:rPr>
      </w:pPr>
      <w:r>
        <w:rPr>
          <w:rFonts w:ascii="Verdana" w:eastAsia="Calibri" w:hAnsi="Verdana" w:cs="Arial"/>
          <w:szCs w:val="24"/>
          <w:lang w:eastAsia="es-ES_tradnl"/>
        </w:rPr>
        <w:t>R</w:t>
      </w:r>
      <w:r w:rsidRPr="00A34454">
        <w:rPr>
          <w:rFonts w:ascii="Verdana" w:eastAsia="Calibri" w:hAnsi="Verdana" w:cs="Arial"/>
          <w:szCs w:val="24"/>
          <w:lang w:eastAsia="es-ES_tradnl"/>
        </w:rPr>
        <w:t>evisión de precios</w:t>
      </w:r>
      <w:r w:rsidRPr="006D7828">
        <w:rPr>
          <w:rFonts w:ascii="Verdana" w:eastAsia="Calibri" w:hAnsi="Verdana" w:cs="Arial"/>
          <w:szCs w:val="24"/>
          <w:lang w:eastAsia="es-ES_tradnl"/>
        </w:rPr>
        <w:t xml:space="preserve"> por solicitud de cotizaciones</w:t>
      </w:r>
      <w:r>
        <w:rPr>
          <w:rFonts w:ascii="Verdana" w:eastAsia="Calibri" w:hAnsi="Verdana" w:cs="Arial"/>
          <w:szCs w:val="24"/>
          <w:lang w:eastAsia="es-ES_tradnl"/>
        </w:rPr>
        <w:t xml:space="preserve">: </w:t>
      </w:r>
      <w:r w:rsidRPr="006D7828">
        <w:rPr>
          <w:rFonts w:ascii="Verdana" w:eastAsia="Calibri" w:hAnsi="Verdana" w:cs="Arial"/>
          <w:szCs w:val="24"/>
          <w:lang w:eastAsia="es-ES_tradnl"/>
        </w:rPr>
        <w:t>la Guía recomienda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w:t>
      </w:r>
      <w:r>
        <w:rPr>
          <w:rFonts w:ascii="Verdana" w:eastAsia="Calibri" w:hAnsi="Verdana" w:cs="Arial"/>
          <w:szCs w:val="24"/>
          <w:lang w:eastAsia="es-ES_tradnl"/>
        </w:rPr>
        <w:t>.</w:t>
      </w:r>
    </w:p>
    <w:p w14:paraId="74D6ECB3" w14:textId="77777777" w:rsidR="00112B54" w:rsidRDefault="00112B54" w:rsidP="00112B54">
      <w:pPr>
        <w:pStyle w:val="Prrafodelista"/>
        <w:spacing w:after="120" w:line="276" w:lineRule="auto"/>
        <w:ind w:left="709" w:right="709"/>
        <w:jc w:val="both"/>
        <w:rPr>
          <w:rFonts w:ascii="Verdana" w:eastAsia="Calibri" w:hAnsi="Verdana" w:cs="Arial"/>
          <w:szCs w:val="24"/>
          <w:lang w:eastAsia="es-ES_tradnl"/>
        </w:rPr>
      </w:pPr>
    </w:p>
    <w:p w14:paraId="74437E11" w14:textId="77777777" w:rsidR="00112B54" w:rsidRDefault="00112B54" w:rsidP="00112B54">
      <w:pPr>
        <w:pStyle w:val="Prrafodelista"/>
        <w:spacing w:after="120" w:line="276" w:lineRule="auto"/>
        <w:ind w:left="709" w:right="709"/>
        <w:jc w:val="both"/>
        <w:rPr>
          <w:rFonts w:ascii="Verdana" w:eastAsia="Calibri" w:hAnsi="Verdana" w:cs="Arial"/>
          <w:szCs w:val="24"/>
          <w:lang w:eastAsia="es-ES_tradnl"/>
        </w:rPr>
      </w:pPr>
      <w:r w:rsidRPr="003332E4">
        <w:rPr>
          <w:rFonts w:ascii="Verdana" w:eastAsia="Calibri" w:hAnsi="Verdana" w:cs="Arial"/>
          <w:szCs w:val="24"/>
          <w:lang w:eastAsia="es-ES_tradnl"/>
        </w:rPr>
        <w:t>Así mismo, se indica que, al recibir las cotizaciones, debe verificarse la ocurrencia de circunstancias que eventualmente pueden distorsionar los precios del mercado, como ofertas especiales de almacenes de cadena, fenómenos de escasez o abundancia del producto, entre otros aspectos.</w:t>
      </w:r>
    </w:p>
    <w:p w14:paraId="5C4859DF" w14:textId="77777777" w:rsidR="00112B54" w:rsidRDefault="00112B54" w:rsidP="00112B54">
      <w:pPr>
        <w:pStyle w:val="Prrafodelista"/>
        <w:spacing w:after="120" w:line="276" w:lineRule="auto"/>
        <w:ind w:left="709" w:right="709"/>
        <w:jc w:val="both"/>
        <w:rPr>
          <w:rFonts w:ascii="Verdana" w:eastAsia="Calibri" w:hAnsi="Verdana" w:cs="Arial"/>
          <w:szCs w:val="24"/>
          <w:lang w:eastAsia="es-ES_tradnl"/>
        </w:rPr>
      </w:pPr>
    </w:p>
    <w:p w14:paraId="5EAC980D" w14:textId="77777777" w:rsidR="00112B54" w:rsidRPr="003332E4" w:rsidRDefault="00112B54" w:rsidP="00112B54">
      <w:pPr>
        <w:pStyle w:val="Prrafodelista"/>
        <w:numPr>
          <w:ilvl w:val="0"/>
          <w:numId w:val="17"/>
        </w:numPr>
        <w:spacing w:after="120" w:line="276" w:lineRule="auto"/>
        <w:ind w:left="709" w:right="709"/>
        <w:jc w:val="both"/>
        <w:rPr>
          <w:rFonts w:ascii="Verdana" w:eastAsia="Calibri" w:hAnsi="Verdana" w:cs="Arial"/>
          <w:szCs w:val="24"/>
          <w:lang w:eastAsia="es-ES_tradnl"/>
        </w:rPr>
      </w:pPr>
      <w:r w:rsidRPr="003332E4">
        <w:rPr>
          <w:rFonts w:ascii="Verdana" w:eastAsia="Calibri" w:hAnsi="Verdana" w:cs="Arial"/>
          <w:szCs w:val="24"/>
          <w:lang w:eastAsia="es-ES_tradnl"/>
        </w:rPr>
        <w:t xml:space="preserve">Revisión de bases de datos especializadas: la Guía señala que es conveniente adelantarla cuando por las condiciones del mercado del bien o servicio a contratar se requiera, y el responsable deberá </w:t>
      </w:r>
      <w:r w:rsidRPr="003332E4">
        <w:rPr>
          <w:rFonts w:ascii="Verdana" w:eastAsia="Calibri" w:hAnsi="Verdana" w:cs="Arial"/>
          <w:szCs w:val="24"/>
          <w:lang w:eastAsia="es-ES_tradnl"/>
        </w:rPr>
        <w:lastRenderedPageBreak/>
        <w:t xml:space="preserve">dejar constancia de las consultas realizadas y de los precios que soportan su estudio. Las bases de datos consultadas deben ser especializadas y representativas en el mercado del bien o servicio a contratar. </w:t>
      </w:r>
    </w:p>
    <w:p w14:paraId="1E5214F9" w14:textId="77777777" w:rsidR="00112B54" w:rsidRDefault="00112B54" w:rsidP="00112B54">
      <w:pPr>
        <w:pStyle w:val="Prrafodelista"/>
        <w:spacing w:after="120" w:line="276" w:lineRule="auto"/>
        <w:ind w:left="709" w:right="709"/>
        <w:jc w:val="both"/>
        <w:rPr>
          <w:rFonts w:ascii="Verdana" w:eastAsia="Calibri" w:hAnsi="Verdana" w:cs="Arial"/>
          <w:szCs w:val="24"/>
          <w:lang w:eastAsia="es-ES_tradnl"/>
        </w:rPr>
      </w:pPr>
    </w:p>
    <w:p w14:paraId="4DFB5DA9" w14:textId="26FF7727" w:rsidR="00112B54" w:rsidRDefault="00112B54" w:rsidP="00112B54">
      <w:pPr>
        <w:pStyle w:val="Prrafodelista"/>
        <w:numPr>
          <w:ilvl w:val="0"/>
          <w:numId w:val="17"/>
        </w:numPr>
        <w:spacing w:after="120" w:line="276" w:lineRule="auto"/>
        <w:ind w:left="709" w:right="709"/>
        <w:jc w:val="both"/>
        <w:rPr>
          <w:rFonts w:ascii="Verdana" w:eastAsia="Calibri" w:hAnsi="Verdana" w:cs="Arial"/>
          <w:szCs w:val="24"/>
          <w:lang w:eastAsia="es-ES_tradnl"/>
        </w:rPr>
      </w:pPr>
      <w:r>
        <w:rPr>
          <w:rFonts w:ascii="Verdana" w:eastAsia="Calibri" w:hAnsi="Verdana" w:cs="Arial"/>
          <w:szCs w:val="24"/>
          <w:lang w:eastAsia="es-ES_tradnl"/>
        </w:rPr>
        <w:t>R</w:t>
      </w:r>
      <w:r w:rsidRPr="006D7828">
        <w:rPr>
          <w:rFonts w:ascii="Verdana" w:eastAsia="Calibri" w:hAnsi="Verdana" w:cs="Arial"/>
          <w:szCs w:val="24"/>
          <w:lang w:eastAsia="es-ES_tradnl"/>
        </w:rPr>
        <w:t>evisión de precios históricos</w:t>
      </w:r>
      <w:r w:rsidR="009D6AC3">
        <w:rPr>
          <w:rFonts w:ascii="Verdana" w:eastAsia="Calibri" w:hAnsi="Verdana" w:cs="Arial"/>
          <w:szCs w:val="24"/>
          <w:lang w:eastAsia="es-ES_tradnl"/>
        </w:rPr>
        <w:t>:</w:t>
      </w:r>
      <w:r w:rsidRPr="006D7828">
        <w:rPr>
          <w:rFonts w:ascii="Verdana" w:eastAsia="Calibri" w:hAnsi="Verdana" w:cs="Arial"/>
          <w:szCs w:val="24"/>
          <w:lang w:eastAsia="es-ES_tradnl"/>
        </w:rPr>
        <w:t xml:space="preserve"> se sugiere verificar la variación de los precios históricos derivados del índice de precios al consumidor en cada año, examinando si se han presentado fenómenos económicos que hayan implicado fluctuaciones importantes en el comercio del bien o servicio, siempre que las características del bien o servicio sean las mismas entre una contratación y otra.  </w:t>
      </w:r>
    </w:p>
    <w:bookmarkEnd w:id="11"/>
    <w:p w14:paraId="3F4507FE" w14:textId="77777777" w:rsidR="00112B54" w:rsidRPr="009E579A" w:rsidRDefault="00112B54" w:rsidP="00112B54">
      <w:pPr>
        <w:pStyle w:val="Prrafodelista"/>
        <w:spacing w:after="120" w:line="276" w:lineRule="auto"/>
        <w:jc w:val="both"/>
        <w:rPr>
          <w:rFonts w:ascii="Verdana" w:eastAsia="Calibri" w:hAnsi="Verdana" w:cs="Arial"/>
          <w:szCs w:val="24"/>
          <w:lang w:eastAsia="es-ES_tradnl"/>
        </w:rPr>
      </w:pPr>
    </w:p>
    <w:p w14:paraId="56506ED1" w14:textId="564C9372" w:rsidR="00112B54" w:rsidRDefault="00112B54" w:rsidP="00112B54">
      <w:pPr>
        <w:spacing w:after="120" w:line="276" w:lineRule="auto"/>
        <w:ind w:firstLine="349"/>
        <w:jc w:val="both"/>
        <w:rPr>
          <w:rFonts w:ascii="Verdana" w:eastAsia="Calibri" w:hAnsi="Verdana" w:cs="Arial"/>
          <w:szCs w:val="24"/>
          <w:lang w:eastAsia="es-ES_tradnl"/>
        </w:rPr>
      </w:pPr>
      <w:bookmarkStart w:id="12" w:name="_Hlk139466471"/>
      <w:r w:rsidRPr="003332E4">
        <w:rPr>
          <w:rFonts w:ascii="Verdana" w:eastAsia="Calibri" w:hAnsi="Verdana" w:cs="Arial"/>
          <w:szCs w:val="24"/>
          <w:lang w:eastAsia="es-ES_tradnl"/>
        </w:rPr>
        <w:t xml:space="preserve">Como se observa, la “Guía de Elaboración de Estudios del Sector” recomienda como mecanismo para la elaboración de </w:t>
      </w:r>
      <w:r w:rsidRPr="003332E4">
        <w:rPr>
          <w:rFonts w:ascii="Verdana" w:eastAsia="Calibri" w:hAnsi="Verdana" w:cs="Arial"/>
          <w:i/>
          <w:iCs/>
          <w:szCs w:val="24"/>
          <w:lang w:eastAsia="es-ES_tradnl"/>
        </w:rPr>
        <w:t>estudios del mercado</w:t>
      </w:r>
      <w:r w:rsidRPr="003332E4">
        <w:rPr>
          <w:rFonts w:ascii="Verdana" w:eastAsia="Calibri" w:hAnsi="Verdana" w:cs="Arial"/>
          <w:szCs w:val="24"/>
          <w:lang w:eastAsia="es-ES_tradnl"/>
        </w:rPr>
        <w:t>, que sirvan para entender la dinámica de los precios y establecer el presupuesto oficial de la contratación, requerir a los potenciales proveedores a fin de que remitan la información necesaria para determinar diversos aspectos de los bienes o servicios a contratar, entre ellos su valor, especificaciones técnicas, el plazo, entre otra información relevante. En principio, que un potencial proveedor participe en estos estudios del mercado, remitiendo cotizaciones por citar un ejemplo, no implica que en el futuro no pueda participar del Proceso de Contratación que se adelante; ni tampoco estas son vinculantes para la entidad contratante.</w:t>
      </w:r>
      <w:bookmarkEnd w:id="12"/>
    </w:p>
    <w:p w14:paraId="66B83611" w14:textId="77777777" w:rsidR="00112B54" w:rsidRDefault="00112B54" w:rsidP="00F00667">
      <w:pPr>
        <w:spacing w:after="120" w:line="276" w:lineRule="auto"/>
        <w:ind w:firstLine="708"/>
        <w:jc w:val="both"/>
        <w:rPr>
          <w:rFonts w:ascii="Verdana" w:eastAsia="Calibri" w:hAnsi="Verdana" w:cs="Arial"/>
          <w:szCs w:val="24"/>
          <w:lang w:eastAsia="es-ES_tradnl"/>
        </w:rPr>
      </w:pPr>
      <w:r w:rsidRPr="003332E4">
        <w:rPr>
          <w:rFonts w:ascii="Verdana" w:eastAsia="Calibri" w:hAnsi="Verdana" w:cs="Arial"/>
          <w:szCs w:val="24"/>
          <w:lang w:eastAsia="es-ES_tradnl"/>
        </w:rPr>
        <w:t>En ese orden de ideas,</w:t>
      </w:r>
      <w:r w:rsidRPr="003332E4">
        <w:rPr>
          <w:rFonts w:ascii="Verdana" w:eastAsia="Calibri" w:hAnsi="Verdana" w:cs="Arial"/>
          <w:bCs/>
          <w:szCs w:val="24"/>
          <w:lang w:val="es-ES_tradnl" w:eastAsia="es-ES_tradnl"/>
        </w:rPr>
        <w:t xml:space="preserve"> el análisis del sector </w:t>
      </w:r>
      <w:r w:rsidRPr="003332E4">
        <w:rPr>
          <w:rFonts w:ascii="Verdana" w:eastAsia="Times New Roman" w:hAnsi="Verdana" w:cs="Arial"/>
          <w:bCs/>
          <w:szCs w:val="24"/>
          <w:lang w:val="es-ES_tradnl" w:eastAsia="es-ES_tradnl"/>
        </w:rPr>
        <w:t xml:space="preserve">parte de un estudio desde una perspectiva multidisciplinaria, que implica los aspectos generales del mercado, el análisis de la demanda y de la oferta, así como el estudio del mercado que le permite a la entidad entender el mercado del bien, obra o servicio que pretenden adquirir, así como identificar los factores que inciden en el valor del contrato, tales como el análisis de precios, las cargas tributarias, la tasa de cambio, las garantías, los gastos de transporte, etc. Este análisis se </w:t>
      </w:r>
      <w:r w:rsidRPr="003332E4">
        <w:rPr>
          <w:rFonts w:ascii="Verdana" w:eastAsia="Times New Roman" w:hAnsi="Verdana" w:cs="Arial"/>
          <w:szCs w:val="24"/>
          <w:lang w:eastAsia="es-ES_tradnl"/>
        </w:rPr>
        <w:t xml:space="preserve">debe consignar en los Documentos del Proceso, bien sea en los estudios previos o en la información soporte de estos. </w:t>
      </w:r>
    </w:p>
    <w:p w14:paraId="43FF2AD4" w14:textId="5E69C709" w:rsidR="00112B54" w:rsidRPr="003332E4" w:rsidRDefault="00112B54" w:rsidP="00F00667">
      <w:pPr>
        <w:spacing w:after="0" w:line="276" w:lineRule="auto"/>
        <w:ind w:firstLine="709"/>
        <w:jc w:val="both"/>
        <w:rPr>
          <w:rFonts w:ascii="Verdana" w:eastAsia="Calibri" w:hAnsi="Verdana" w:cs="Arial"/>
          <w:szCs w:val="24"/>
          <w:lang w:eastAsia="es-ES_tradnl"/>
        </w:rPr>
      </w:pPr>
      <w:r w:rsidRPr="003332E4">
        <w:rPr>
          <w:rFonts w:ascii="Verdana" w:eastAsia="Times New Roman" w:hAnsi="Verdana" w:cs="Arial"/>
          <w:szCs w:val="24"/>
          <w:lang w:eastAsia="es-ES_tradnl"/>
        </w:rPr>
        <w:t xml:space="preserve">En conclusión, las entidades estales son autónomas para establecer en su Manual de Contratación la </w:t>
      </w:r>
      <w:r w:rsidRPr="003332E4">
        <w:rPr>
          <w:rFonts w:ascii="Verdana" w:eastAsia="Calibri" w:hAnsi="Verdana" w:cs="Arial"/>
          <w:szCs w:val="24"/>
          <w:lang w:eastAsia="es-ES_tradnl"/>
        </w:rPr>
        <w:t xml:space="preserve">metodología para elaborar el Estudio del Sector y en especial la forma como desarrollar los estudios de mercado, siempre y cuando </w:t>
      </w:r>
      <w:r w:rsidRPr="003332E4">
        <w:rPr>
          <w:rFonts w:ascii="Verdana" w:eastAsia="Calibri" w:hAnsi="Verdana" w:cs="Arial"/>
          <w:szCs w:val="24"/>
          <w:lang w:eastAsia="es-ES_tradnl"/>
        </w:rPr>
        <w:lastRenderedPageBreak/>
        <w:t xml:space="preserve">acaten la Ley 1150 de 2007 y el Decreto 1082 de 2015 frente a esta materia, estableciendo siempre </w:t>
      </w:r>
      <w:r w:rsidRPr="003332E4">
        <w:rPr>
          <w:rFonts w:ascii="Verdana" w:eastAsia="Times New Roman" w:hAnsi="Verdana" w:cs="Arial"/>
          <w:szCs w:val="24"/>
          <w:lang w:eastAsia="es-ES_tradnl"/>
        </w:rPr>
        <w:t>argumentos financieros que permitirán escoger el mejor precio de conformidad con los criterios establecidos por la misma.</w:t>
      </w:r>
      <w:r w:rsidR="009D6AC3">
        <w:rPr>
          <w:rFonts w:ascii="Verdana" w:eastAsia="Times New Roman" w:hAnsi="Verdana" w:cs="Arial"/>
          <w:szCs w:val="24"/>
          <w:lang w:eastAsia="es-ES_tradnl"/>
        </w:rPr>
        <w:t xml:space="preserve"> La revisión de precios por solicitud de cotizaciones, la revisión de bases de datos especializados, y la revisión de precios históricos son apenas alternativas consagradas en la </w:t>
      </w:r>
      <w:r w:rsidR="009D6AC3" w:rsidRPr="003332E4">
        <w:rPr>
          <w:rFonts w:ascii="Verdana" w:eastAsia="Calibri" w:hAnsi="Verdana" w:cs="Arial"/>
          <w:szCs w:val="24"/>
          <w:lang w:eastAsia="es-ES_tradnl"/>
        </w:rPr>
        <w:t>“Guía de Elaboración de Estudios del Sector”</w:t>
      </w:r>
      <w:r w:rsidR="009D6AC3">
        <w:rPr>
          <w:rFonts w:ascii="Verdana" w:eastAsia="Calibri" w:hAnsi="Verdana" w:cs="Arial"/>
          <w:szCs w:val="24"/>
          <w:lang w:eastAsia="es-ES_tradnl"/>
        </w:rPr>
        <w:t xml:space="preserve"> que se aconsejan para realizar el estudio del mercado y determinar el presupuesto del contrato a celebrar</w:t>
      </w:r>
      <w:r w:rsidR="00081370">
        <w:rPr>
          <w:rFonts w:ascii="Verdana" w:eastAsia="Calibri" w:hAnsi="Verdana" w:cs="Arial"/>
          <w:szCs w:val="24"/>
          <w:lang w:eastAsia="es-ES_tradnl"/>
        </w:rPr>
        <w:t>.</w:t>
      </w:r>
    </w:p>
    <w:p w14:paraId="2F1ADC23" w14:textId="77777777" w:rsidR="00112B54" w:rsidRPr="00F252D7" w:rsidRDefault="00112B54" w:rsidP="00F00667">
      <w:pPr>
        <w:spacing w:after="0" w:line="276" w:lineRule="auto"/>
        <w:ind w:left="720"/>
        <w:rPr>
          <w:rFonts w:ascii="Verdana" w:eastAsia="Calibri" w:hAnsi="Verdana" w:cs="Arial"/>
          <w:szCs w:val="24"/>
          <w:lang w:val="es-ES" w:eastAsia="es-ES_tradnl"/>
        </w:rPr>
      </w:pPr>
    </w:p>
    <w:p w14:paraId="347BEB61" w14:textId="77777777" w:rsidR="00112B54" w:rsidRPr="00F252D7" w:rsidRDefault="00112B54" w:rsidP="00112B54">
      <w:pPr>
        <w:tabs>
          <w:tab w:val="left" w:pos="142"/>
          <w:tab w:val="left" w:pos="284"/>
        </w:tabs>
        <w:spacing w:after="0" w:line="276" w:lineRule="auto"/>
        <w:jc w:val="both"/>
        <w:rPr>
          <w:rFonts w:ascii="Verdana" w:eastAsia="Century Gothic" w:hAnsi="Verdana" w:cs="Century Gothic"/>
          <w:b/>
          <w:bCs/>
        </w:rPr>
      </w:pPr>
      <w:r w:rsidRPr="00F252D7">
        <w:rPr>
          <w:rFonts w:ascii="Verdana" w:eastAsia="Century Gothic" w:hAnsi="Verdana" w:cs="Century Gothic"/>
          <w:b/>
          <w:bCs/>
        </w:rPr>
        <w:t>4. Referencias normativas, jurisprudenciales y otras fuentes:</w:t>
      </w:r>
    </w:p>
    <w:p w14:paraId="1101B8B7" w14:textId="77777777" w:rsidR="00112B54" w:rsidRPr="00F252D7" w:rsidRDefault="00112B54" w:rsidP="00112B5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12B54" w:rsidRPr="00F252D7" w14:paraId="6DF168E4" w14:textId="77777777" w:rsidTr="003021E1">
        <w:trPr>
          <w:trHeight w:val="870"/>
        </w:trPr>
        <w:tc>
          <w:tcPr>
            <w:tcW w:w="8647" w:type="dxa"/>
          </w:tcPr>
          <w:p w14:paraId="0A17FB1B" w14:textId="77777777" w:rsidR="00112B54" w:rsidRPr="00F252D7" w:rsidRDefault="00112B54" w:rsidP="00F00667">
            <w:pPr>
              <w:widowControl w:val="0"/>
              <w:numPr>
                <w:ilvl w:val="0"/>
                <w:numId w:val="16"/>
              </w:numPr>
              <w:autoSpaceDE w:val="0"/>
              <w:autoSpaceDN w:val="0"/>
              <w:spacing w:line="276" w:lineRule="auto"/>
              <w:jc w:val="both"/>
              <w:rPr>
                <w:rFonts w:ascii="Verdana" w:hAnsi="Verdana" w:cs="Arial"/>
                <w:lang w:val="es-ES"/>
              </w:rPr>
            </w:pPr>
            <w:r w:rsidRPr="00F252D7">
              <w:rPr>
                <w:rFonts w:ascii="Verdana" w:hAnsi="Verdana" w:cs="Arial"/>
                <w:lang w:val="es-ES"/>
              </w:rPr>
              <w:t xml:space="preserve">Ley 80 de 1993, artículo 25. </w:t>
            </w:r>
          </w:p>
          <w:p w14:paraId="5508FE3E" w14:textId="77777777" w:rsidR="00112B54" w:rsidRPr="00F252D7" w:rsidRDefault="00112B54" w:rsidP="00F00667">
            <w:pPr>
              <w:widowControl w:val="0"/>
              <w:numPr>
                <w:ilvl w:val="0"/>
                <w:numId w:val="16"/>
              </w:numPr>
              <w:autoSpaceDE w:val="0"/>
              <w:autoSpaceDN w:val="0"/>
              <w:spacing w:line="276" w:lineRule="auto"/>
              <w:jc w:val="both"/>
              <w:rPr>
                <w:rFonts w:ascii="Verdana" w:hAnsi="Verdana" w:cs="Arial"/>
                <w:lang w:val="es-ES"/>
              </w:rPr>
            </w:pPr>
            <w:r w:rsidRPr="00F252D7">
              <w:rPr>
                <w:rFonts w:ascii="Verdana" w:hAnsi="Verdana" w:cs="Arial"/>
                <w:lang w:val="es-ES"/>
              </w:rPr>
              <w:t>Decreto 1082 de 2015, artículos 2.2.1.1.2.1.1. y 2.2.1.1.1.6.1.</w:t>
            </w:r>
          </w:p>
          <w:p w14:paraId="550E7CA5" w14:textId="77777777" w:rsidR="00112B54" w:rsidRPr="00F252D7" w:rsidRDefault="00112B54" w:rsidP="00F00667">
            <w:pPr>
              <w:widowControl w:val="0"/>
              <w:numPr>
                <w:ilvl w:val="0"/>
                <w:numId w:val="16"/>
              </w:numPr>
              <w:autoSpaceDE w:val="0"/>
              <w:autoSpaceDN w:val="0"/>
              <w:spacing w:line="276" w:lineRule="auto"/>
              <w:jc w:val="both"/>
              <w:rPr>
                <w:rFonts w:ascii="Verdana" w:hAnsi="Verdana" w:cs="Arial"/>
                <w:lang w:val="es-ES"/>
              </w:rPr>
            </w:pPr>
            <w:r w:rsidRPr="00F252D7">
              <w:rPr>
                <w:rFonts w:ascii="Verdana" w:hAnsi="Verdana" w:cs="Arial"/>
              </w:rPr>
              <w:t xml:space="preserve">Consejo de Estado. Sección Tercera. Subsección B. Sentencia del 31 de agosto de 2011. </w:t>
            </w:r>
            <w:proofErr w:type="spellStart"/>
            <w:r w:rsidRPr="00F252D7">
              <w:rPr>
                <w:rFonts w:ascii="Verdana" w:hAnsi="Verdana" w:cs="Arial"/>
              </w:rPr>
              <w:t>Exp</w:t>
            </w:r>
            <w:proofErr w:type="spellEnd"/>
            <w:r w:rsidRPr="00F252D7">
              <w:rPr>
                <w:rFonts w:ascii="Verdana" w:hAnsi="Verdana" w:cs="Arial"/>
              </w:rPr>
              <w:t>. 18.080.</w:t>
            </w:r>
          </w:p>
          <w:p w14:paraId="27D0A3E7" w14:textId="77777777" w:rsidR="00112B54" w:rsidRPr="00F252D7" w:rsidRDefault="00112B54" w:rsidP="00F00667">
            <w:pPr>
              <w:widowControl w:val="0"/>
              <w:numPr>
                <w:ilvl w:val="0"/>
                <w:numId w:val="16"/>
              </w:numPr>
              <w:tabs>
                <w:tab w:val="left" w:pos="8419"/>
              </w:tabs>
              <w:autoSpaceDE w:val="0"/>
              <w:autoSpaceDN w:val="0"/>
              <w:spacing w:line="276" w:lineRule="auto"/>
              <w:jc w:val="both"/>
              <w:rPr>
                <w:rFonts w:ascii="Verdana" w:hAnsi="Verdana" w:cs="Arial"/>
                <w:lang w:val="es-ES"/>
              </w:rPr>
            </w:pPr>
            <w:r w:rsidRPr="00F252D7">
              <w:rPr>
                <w:rFonts w:ascii="Verdana" w:hAnsi="Verdana" w:cs="Arial"/>
                <w:lang w:val="es-ES"/>
              </w:rPr>
              <w:t xml:space="preserve">Colombia Compra Eficiente, Guía de Elaboración de Estudios de Sector - GEES del 24 de junio de 2022. Disponible en: </w:t>
            </w:r>
            <w:r w:rsidRPr="00F00667">
              <w:rPr>
                <w:rFonts w:ascii="Verdana" w:hAnsi="Verdana"/>
                <w:lang w:val="es-ES"/>
              </w:rPr>
              <w:t xml:space="preserve"> </w:t>
            </w:r>
            <w:r w:rsidRPr="00F252D7">
              <w:rPr>
                <w:rFonts w:ascii="Verdana" w:hAnsi="Verdana" w:cs="Arial"/>
                <w:lang w:val="es-ES"/>
              </w:rPr>
              <w:t>chrome-extension://efaidnbmnnnibpcajpcglclefindmkaj/https://www.colombiacompra.gov.co/sites/cce_public/files/cce_documentos/cce-eicp-gi-18._gees_v.2_2.pdf</w:t>
            </w:r>
          </w:p>
          <w:p w14:paraId="0A2CA638" w14:textId="77777777" w:rsidR="00112B54" w:rsidRPr="00F252D7" w:rsidRDefault="00112B54" w:rsidP="00F00667">
            <w:pPr>
              <w:widowControl w:val="0"/>
              <w:numPr>
                <w:ilvl w:val="0"/>
                <w:numId w:val="16"/>
              </w:numPr>
              <w:tabs>
                <w:tab w:val="left" w:pos="8419"/>
              </w:tabs>
              <w:autoSpaceDE w:val="0"/>
              <w:autoSpaceDN w:val="0"/>
              <w:spacing w:line="276" w:lineRule="auto"/>
              <w:jc w:val="both"/>
              <w:rPr>
                <w:rFonts w:ascii="Verdana" w:hAnsi="Verdana" w:cs="Arial"/>
                <w:lang w:val="es-ES"/>
              </w:rPr>
            </w:pPr>
            <w:r w:rsidRPr="00F252D7">
              <w:rPr>
                <w:rFonts w:ascii="Verdana" w:hAnsi="Verdana" w:cs="Arial"/>
                <w:lang w:val="es-ES"/>
              </w:rPr>
              <w:t>DEIK ACOSTAMADIEDO, Carolina, Guía de Contratación Estatal: Deber de planeación y modalidades de selección, Buenos Aires, 2015.</w:t>
            </w:r>
          </w:p>
        </w:tc>
      </w:tr>
    </w:tbl>
    <w:p w14:paraId="6151D5A8" w14:textId="77777777" w:rsidR="00112B54" w:rsidRPr="00F252D7" w:rsidRDefault="00112B54" w:rsidP="00112B54">
      <w:pPr>
        <w:tabs>
          <w:tab w:val="left" w:pos="142"/>
          <w:tab w:val="left" w:pos="284"/>
        </w:tabs>
        <w:spacing w:after="0" w:line="276" w:lineRule="auto"/>
        <w:jc w:val="both"/>
        <w:rPr>
          <w:rFonts w:ascii="Verdana" w:eastAsia="Century Gothic" w:hAnsi="Verdana" w:cs="Century Gothic"/>
          <w:b/>
          <w:bCs/>
        </w:rPr>
      </w:pPr>
    </w:p>
    <w:p w14:paraId="1B7E7E5A" w14:textId="77777777" w:rsidR="00112B54" w:rsidRPr="00F252D7" w:rsidRDefault="00112B54" w:rsidP="00112B54">
      <w:pPr>
        <w:tabs>
          <w:tab w:val="left" w:pos="142"/>
          <w:tab w:val="left" w:pos="284"/>
        </w:tabs>
        <w:spacing w:after="0" w:line="276" w:lineRule="auto"/>
        <w:jc w:val="both"/>
        <w:rPr>
          <w:rFonts w:ascii="Verdana" w:eastAsia="Century Gothic" w:hAnsi="Verdana" w:cs="Century Gothic"/>
          <w:b/>
          <w:bCs/>
          <w:lang w:val="es-ES"/>
        </w:rPr>
      </w:pPr>
      <w:r w:rsidRPr="00F252D7">
        <w:rPr>
          <w:rFonts w:ascii="Verdana" w:eastAsia="Century Gothic" w:hAnsi="Verdana" w:cs="Century Gothic"/>
          <w:b/>
          <w:bCs/>
        </w:rPr>
        <w:t xml:space="preserve">5. </w:t>
      </w:r>
      <w:r w:rsidRPr="00F252D7">
        <w:rPr>
          <w:rFonts w:ascii="Verdana" w:eastAsia="Century Gothic" w:hAnsi="Verdana" w:cs="Century Gothic"/>
          <w:b/>
          <w:bCs/>
          <w:lang w:val="es-ES"/>
        </w:rPr>
        <w:t>Doctrina de la Agencia Nacional de Contratación Pública:</w:t>
      </w:r>
    </w:p>
    <w:p w14:paraId="5EC200E2" w14:textId="77777777" w:rsidR="00112B54" w:rsidRPr="00F252D7" w:rsidRDefault="00112B54" w:rsidP="00112B54">
      <w:pPr>
        <w:spacing w:after="0" w:line="276" w:lineRule="auto"/>
        <w:ind w:firstLine="709"/>
        <w:jc w:val="both"/>
        <w:rPr>
          <w:rFonts w:ascii="Verdana" w:eastAsia="Times New Roman" w:hAnsi="Verdana" w:cs="Arial"/>
          <w:szCs w:val="24"/>
          <w:lang w:val="es-ES" w:eastAsia="es-ES_tradnl"/>
        </w:rPr>
      </w:pPr>
    </w:p>
    <w:p w14:paraId="53A8D529" w14:textId="77777777" w:rsidR="00112B54" w:rsidRPr="00F252D7" w:rsidRDefault="00112B54" w:rsidP="00112B54">
      <w:pPr>
        <w:widowControl w:val="0"/>
        <w:autoSpaceDE w:val="0"/>
        <w:autoSpaceDN w:val="0"/>
        <w:spacing w:after="0" w:line="276" w:lineRule="auto"/>
        <w:jc w:val="both"/>
        <w:rPr>
          <w:rFonts w:ascii="Verdana" w:hAnsi="Verdana" w:cs="Arial"/>
          <w:color w:val="000000" w:themeColor="text1"/>
          <w:shd w:val="clear" w:color="auto" w:fill="FFFFFF"/>
          <w:lang w:val="es-ES"/>
        </w:rPr>
      </w:pPr>
      <w:r w:rsidRPr="00F252D7">
        <w:rPr>
          <w:rFonts w:ascii="Verdana" w:eastAsia="Calibri" w:hAnsi="Verdana" w:cs="Arial"/>
          <w:lang w:val="es-ES_tradnl" w:eastAsia="es-ES_tradnl"/>
        </w:rPr>
        <w:t xml:space="preserve">Sobre el deber de elaborar análisis del sector frente a procesos de contratación se pronunció esta Subdirección en los conceptos 2202013000000037 del 7 de enero de 2020, C-223 del 29 de abril de 2020 y C-148 de 2021. Igualmente, se reiteran los </w:t>
      </w:r>
      <w:r>
        <w:rPr>
          <w:rFonts w:ascii="Verdana" w:eastAsia="Calibri" w:hAnsi="Verdana" w:cs="Arial"/>
          <w:lang w:val="es-ES_tradnl" w:eastAsia="es-ES_tradnl"/>
        </w:rPr>
        <w:t>c</w:t>
      </w:r>
      <w:r w:rsidRPr="00F252D7">
        <w:rPr>
          <w:rFonts w:ascii="Verdana" w:eastAsia="Calibri" w:hAnsi="Verdana" w:cs="Arial"/>
          <w:lang w:val="es-ES_tradnl" w:eastAsia="es-ES_tradnl"/>
        </w:rPr>
        <w:t xml:space="preserve">onceptos C-387 del 23 de junio de 2020, </w:t>
      </w:r>
      <w:r w:rsidRPr="00F252D7">
        <w:rPr>
          <w:rFonts w:ascii="Verdana" w:eastAsia="Calibri" w:hAnsi="Verdana" w:cs="Arial"/>
          <w:lang w:eastAsia="es-ES_tradnl"/>
        </w:rPr>
        <w:t xml:space="preserve">C-415 del 7 de julio </w:t>
      </w:r>
      <w:r w:rsidRPr="00F252D7">
        <w:rPr>
          <w:rFonts w:ascii="Verdana" w:eastAsia="Calibri" w:hAnsi="Verdana" w:cs="Arial"/>
          <w:lang w:val="es-ES_tradnl" w:eastAsia="es-ES_tradnl"/>
        </w:rPr>
        <w:t>de 2020</w:t>
      </w:r>
      <w:r w:rsidRPr="00F252D7">
        <w:rPr>
          <w:rFonts w:ascii="Verdana" w:eastAsia="Calibri" w:hAnsi="Verdana" w:cs="Arial"/>
          <w:lang w:eastAsia="es-ES_tradnl"/>
        </w:rPr>
        <w:t xml:space="preserve">, C-443 del 7 de julio de 2020, </w:t>
      </w:r>
      <w:r w:rsidRPr="00F252D7">
        <w:rPr>
          <w:rFonts w:ascii="Verdana" w:eastAsia="Times New Roman" w:hAnsi="Verdana" w:cs="Arial"/>
          <w:lang w:eastAsia="es-ES_tradnl"/>
        </w:rPr>
        <w:t>C-387 del 23 de junio de 2020</w:t>
      </w:r>
      <w:r w:rsidRPr="00F252D7">
        <w:rPr>
          <w:rFonts w:ascii="Verdana" w:eastAsia="Calibri" w:hAnsi="Verdana" w:cs="Arial"/>
          <w:lang w:val="es-ES_tradnl" w:eastAsia="es-ES_tradnl"/>
        </w:rPr>
        <w:t xml:space="preserve">, C-223 del 29 de abril de 2020, C-671 de 2020 de 23 de noviembre de 2020, C-215 del 12 de mayo de 2021, C-742 del 27 de diciembre de 2021, </w:t>
      </w:r>
      <w:r w:rsidRPr="00F252D7">
        <w:rPr>
          <w:rFonts w:ascii="Verdana" w:eastAsia="Calibri" w:hAnsi="Verdana" w:cs="Arial"/>
          <w:lang w:val="es-ES" w:eastAsia="es-ES_tradnl"/>
        </w:rPr>
        <w:t>C-519 del 13 de septiembre de 2022, C-716 del 15 de noviembre de 2022, C-856 del 13 de diciembre de 2022, C-235 del 5 de julio de 2023</w:t>
      </w:r>
      <w:r>
        <w:rPr>
          <w:rFonts w:ascii="Verdana" w:eastAsia="Calibri" w:hAnsi="Verdana" w:cs="Arial"/>
          <w:lang w:val="es-ES" w:eastAsia="es-ES_tradnl"/>
        </w:rPr>
        <w:t>, C-258 del 12 de agosto de 2024</w:t>
      </w:r>
      <w:r w:rsidRPr="00F252D7">
        <w:rPr>
          <w:rFonts w:ascii="Verdana" w:eastAsia="Calibri" w:hAnsi="Verdana" w:cs="Arial"/>
          <w:lang w:val="es-ES" w:eastAsia="es-ES_tradnl"/>
        </w:rPr>
        <w:t>.</w:t>
      </w:r>
      <w:r>
        <w:rPr>
          <w:rFonts w:ascii="Verdana" w:eastAsia="Calibri" w:hAnsi="Verdana" w:cs="Arial"/>
          <w:lang w:val="es-ES" w:eastAsia="es-ES_tradnl"/>
        </w:rPr>
        <w:t xml:space="preserve"> Por otra parte, sobre la </w:t>
      </w:r>
      <w:r w:rsidRPr="006849F1">
        <w:rPr>
          <w:rFonts w:ascii="Verdana" w:hAnsi="Verdana" w:cs="Arial"/>
          <w:shd w:val="clear" w:color="auto" w:fill="FFFFFF"/>
          <w:lang w:val="es-ES"/>
        </w:rPr>
        <w:t>determinación</w:t>
      </w:r>
      <w:r>
        <w:rPr>
          <w:rFonts w:ascii="Verdana" w:hAnsi="Verdana" w:cs="Arial"/>
          <w:shd w:val="clear" w:color="auto" w:fill="FFFFFF"/>
          <w:lang w:val="es-ES"/>
        </w:rPr>
        <w:t xml:space="preserve"> y verificación</w:t>
      </w:r>
      <w:r w:rsidRPr="006849F1">
        <w:rPr>
          <w:rFonts w:ascii="Verdana" w:hAnsi="Verdana" w:cs="Arial"/>
          <w:shd w:val="clear" w:color="auto" w:fill="FFFFFF"/>
          <w:lang w:val="es-ES"/>
        </w:rPr>
        <w:t xml:space="preserve"> del precio o valor en los contratos estatales</w:t>
      </w:r>
      <w:r>
        <w:rPr>
          <w:rFonts w:ascii="Verdana" w:hAnsi="Verdana" w:cs="Arial"/>
          <w:shd w:val="clear" w:color="auto" w:fill="FFFFFF"/>
          <w:lang w:val="es-ES"/>
        </w:rPr>
        <w:t xml:space="preserve"> se pronunció</w:t>
      </w:r>
      <w:r w:rsidRPr="006849F1">
        <w:rPr>
          <w:rFonts w:ascii="Verdana" w:hAnsi="Verdana" w:cs="Arial"/>
          <w:shd w:val="clear" w:color="auto" w:fill="FFFFFF"/>
          <w:lang w:val="es-ES"/>
        </w:rPr>
        <w:t xml:space="preserve"> en los conceptos</w:t>
      </w:r>
      <w:r w:rsidRPr="006849F1">
        <w:rPr>
          <w:rFonts w:ascii="Verdana" w:hAnsi="Verdana" w:cs="Calibri"/>
          <w:shd w:val="clear" w:color="auto" w:fill="FFFFFF"/>
        </w:rPr>
        <w:t xml:space="preserve"> </w:t>
      </w:r>
      <w:r w:rsidRPr="006849F1">
        <w:rPr>
          <w:rFonts w:ascii="Verdana" w:hAnsi="Verdana" w:cs="Arial"/>
          <w:shd w:val="clear" w:color="auto" w:fill="FFFFFF"/>
          <w:lang w:val="es-ES"/>
        </w:rPr>
        <w:t xml:space="preserve">C-064 del 28 de febrero </w:t>
      </w:r>
      <w:r w:rsidRPr="006849F1">
        <w:rPr>
          <w:rFonts w:ascii="Verdana" w:hAnsi="Verdana" w:cs="Arial"/>
          <w:shd w:val="clear" w:color="auto" w:fill="FFFFFF"/>
          <w:lang w:val="es-ES"/>
        </w:rPr>
        <w:lastRenderedPageBreak/>
        <w:t xml:space="preserve">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w:t>
      </w:r>
      <w:r>
        <w:rPr>
          <w:rFonts w:ascii="Verdana" w:hAnsi="Verdana" w:cs="Arial"/>
          <w:shd w:val="clear" w:color="auto" w:fill="FFFFFF"/>
          <w:lang w:val="es-ES"/>
        </w:rPr>
        <w:t xml:space="preserve">, </w:t>
      </w:r>
      <w:r w:rsidRPr="006849F1">
        <w:rPr>
          <w:rFonts w:ascii="Verdana" w:hAnsi="Verdana" w:cs="Arial"/>
          <w:shd w:val="clear" w:color="auto" w:fill="FFFFFF"/>
          <w:lang w:val="es-ES"/>
        </w:rPr>
        <w:t>C-288 del 14 de julio de 2023,</w:t>
      </w:r>
      <w:r>
        <w:rPr>
          <w:rFonts w:ascii="Verdana" w:hAnsi="Verdana" w:cs="Arial"/>
          <w:shd w:val="clear" w:color="auto" w:fill="FFFFFF"/>
          <w:lang w:val="es-ES"/>
        </w:rPr>
        <w:t xml:space="preserve"> C-167 del 23 de julio de 2024, C-1018 del 6 de enero de 2025, C-212 del 28 de marzo de 2025</w:t>
      </w:r>
      <w:r w:rsidRPr="00F252D7">
        <w:rPr>
          <w:rFonts w:ascii="Verdana" w:eastAsia="Calibri" w:hAnsi="Verdana" w:cs="Arial"/>
          <w:lang w:val="es-ES" w:eastAsia="es-ES_tradnl"/>
        </w:rPr>
        <w:t xml:space="preserve"> </w:t>
      </w:r>
      <w:r>
        <w:rPr>
          <w:rFonts w:ascii="Verdana" w:eastAsia="Calibri" w:hAnsi="Verdana" w:cs="Arial"/>
          <w:lang w:val="es-ES" w:eastAsia="es-ES_tradnl"/>
        </w:rPr>
        <w:t xml:space="preserve">y C-980 del 29 de agosto de 2025. </w:t>
      </w:r>
      <w:r w:rsidRPr="00F252D7">
        <w:rPr>
          <w:rFonts w:ascii="Verdana" w:eastAsia="Calibri" w:hAnsi="Verdana" w:cs="Arial"/>
          <w:lang w:val="es-ES" w:eastAsia="es-ES_tradnl"/>
        </w:rPr>
        <w:t>Estos</w:t>
      </w:r>
      <w:r w:rsidRPr="00F252D7">
        <w:rPr>
          <w:rFonts w:ascii="Verdana" w:hAnsi="Verdana"/>
        </w:rPr>
        <w:t xml:space="preserve"> y otros conceptos se encuentran disponibles para consulta en el Sistema de relatoría de la Agencia, al cual se puede acceder a través del siguiente enlace:</w:t>
      </w:r>
      <w:r w:rsidRPr="00F252D7">
        <w:rPr>
          <w:rFonts w:ascii="Verdana" w:hAnsi="Verdana" w:cs="Arial"/>
          <w:shd w:val="clear" w:color="auto" w:fill="FFFFFF"/>
          <w:lang w:val="es-ES"/>
        </w:rPr>
        <w:t xml:space="preserve"> </w:t>
      </w:r>
      <w:hyperlink r:id="rId12" w:history="1">
        <w:r w:rsidRPr="00081370">
          <w:rPr>
            <w:rFonts w:ascii="Verdana" w:hAnsi="Verdana" w:cs="Arial"/>
            <w:color w:val="0563C1" w:themeColor="hyperlink"/>
            <w:u w:val="single"/>
            <w:shd w:val="clear" w:color="auto" w:fill="FFFFFF"/>
            <w:lang w:val="es-ES"/>
          </w:rPr>
          <w:t>https://relatoria.colombiacompra.gov.co/busqueda/conceptos</w:t>
        </w:r>
      </w:hyperlink>
    </w:p>
    <w:p w14:paraId="0F0677CA" w14:textId="77777777" w:rsidR="00112B54" w:rsidRPr="00F252D7" w:rsidRDefault="00112B54" w:rsidP="00112B54">
      <w:pPr>
        <w:widowControl w:val="0"/>
        <w:autoSpaceDE w:val="0"/>
        <w:autoSpaceDN w:val="0"/>
        <w:spacing w:after="0" w:line="276" w:lineRule="auto"/>
        <w:jc w:val="both"/>
        <w:rPr>
          <w:rFonts w:ascii="Verdana" w:hAnsi="Verdana" w:cs="Arial"/>
          <w:color w:val="000000" w:themeColor="text1"/>
          <w:shd w:val="clear" w:color="auto" w:fill="FFFFFF"/>
          <w:lang w:val="es-ES"/>
        </w:rPr>
      </w:pPr>
    </w:p>
    <w:bookmarkEnd w:id="0"/>
    <w:p w14:paraId="062E3775" w14:textId="77777777" w:rsidR="00112B54" w:rsidRPr="00BC3A80" w:rsidRDefault="00112B54" w:rsidP="00112B54">
      <w:pPr>
        <w:shd w:val="clear" w:color="auto" w:fill="FFFFFF"/>
        <w:spacing w:after="0" w:line="276" w:lineRule="auto"/>
        <w:jc w:val="both"/>
        <w:rPr>
          <w:rFonts w:ascii="Verdana" w:hAnsi="Verdana"/>
          <w:color w:val="467886"/>
          <w:u w:val="single"/>
        </w:rPr>
      </w:pPr>
      <w:r w:rsidRPr="00BC3A80">
        <w:rPr>
          <w:rFonts w:ascii="Verdana" w:hAnsi="Verdana"/>
          <w:color w:val="000000"/>
        </w:rPr>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C3A80">
        <w:rPr>
          <w:rFonts w:ascii="Verdana" w:hAnsi="Verdana"/>
          <w:color w:val="000000"/>
        </w:rPr>
        <w:t>Wayúu</w:t>
      </w:r>
      <w:proofErr w:type="spellEnd"/>
      <w:r w:rsidRPr="00BC3A80">
        <w:rPr>
          <w:rFonts w:ascii="Verdana" w:hAnsi="Verdana"/>
          <w:color w:val="000000"/>
        </w:rPr>
        <w:t xml:space="preserve">. </w:t>
      </w:r>
      <w:r w:rsidRPr="00081370">
        <w:rPr>
          <w:rFonts w:ascii="Verdana" w:hAnsi="Verdana"/>
          <w:color w:val="000000"/>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81370">
          <w:rPr>
            <w:rFonts w:ascii="Verdana" w:hAnsi="Verdana"/>
            <w:color w:val="0000FF"/>
            <w:u w:val="single"/>
          </w:rPr>
          <w:t>Guía de lineamientos de transparencia y selección objetiva para el departamento de La Guajira – Objetivo sexto constitucional de la Sentencia T-302 del 2017</w:t>
        </w:r>
      </w:hyperlink>
      <w:r w:rsidRPr="00081370">
        <w:rPr>
          <w:rFonts w:ascii="Verdana" w:hAnsi="Verdana"/>
          <w:color w:val="000000"/>
          <w:u w:val="single"/>
        </w:rPr>
        <w:t>.</w:t>
      </w:r>
    </w:p>
    <w:p w14:paraId="36124A63" w14:textId="77777777" w:rsidR="00112B54" w:rsidRPr="00BC3A80" w:rsidRDefault="00112B54" w:rsidP="00112B54">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t xml:space="preserve"> </w:t>
      </w:r>
    </w:p>
    <w:p w14:paraId="76BC8B5B" w14:textId="77777777" w:rsidR="00112B54" w:rsidRPr="00BC3A80" w:rsidRDefault="00112B54" w:rsidP="00112B54">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A3B28A1" w14:textId="77777777" w:rsidR="00112B54" w:rsidRPr="00BC3A80" w:rsidRDefault="00112B54" w:rsidP="00112B54">
      <w:pPr>
        <w:spacing w:after="0" w:line="276" w:lineRule="auto"/>
        <w:jc w:val="both"/>
        <w:rPr>
          <w:rFonts w:ascii="Verdana" w:hAnsi="Verdana"/>
        </w:rPr>
      </w:pPr>
    </w:p>
    <w:p w14:paraId="0A928B06" w14:textId="77777777" w:rsidR="00112B54" w:rsidRPr="00BC3A80" w:rsidRDefault="00112B54" w:rsidP="00F00667">
      <w:pPr>
        <w:numPr>
          <w:ilvl w:val="0"/>
          <w:numId w:val="15"/>
        </w:numPr>
        <w:spacing w:after="0" w:line="276" w:lineRule="auto"/>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32EC1330" w14:textId="77777777" w:rsidR="00112B54" w:rsidRPr="00BC3A80" w:rsidRDefault="00112B54" w:rsidP="00F00667">
      <w:pPr>
        <w:numPr>
          <w:ilvl w:val="0"/>
          <w:numId w:val="15"/>
        </w:numPr>
        <w:spacing w:after="0" w:line="276" w:lineRule="auto"/>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proofErr w:type="gramStart"/>
      <w:r w:rsidRPr="00BC3A80">
        <w:rPr>
          <w:rFonts w:ascii="Verdana" w:eastAsia="Verdana" w:hAnsi="Verdana" w:cs="Verdana"/>
          <w:lang w:val="es-MX"/>
        </w:rPr>
        <w:t>):</w:t>
      </w:r>
      <w:r w:rsidRPr="00BC3A80">
        <w:rPr>
          <w:rFonts w:ascii="Verdana" w:hAnsi="Verdana"/>
          <w:color w:val="0000FF"/>
          <w:u w:val="single"/>
          <w:lang w:val="es-ES"/>
        </w:rPr>
        <w:t>+</w:t>
      </w:r>
      <w:proofErr w:type="gramEnd"/>
      <w:r w:rsidRPr="00BC3A80">
        <w:rPr>
          <w:rFonts w:ascii="Verdana" w:hAnsi="Verdana"/>
          <w:color w:val="0000FF"/>
          <w:u w:val="single"/>
          <w:lang w:val="es-ES"/>
        </w:rPr>
        <w:t>57 601 7456788</w:t>
      </w:r>
    </w:p>
    <w:p w14:paraId="25A8E025" w14:textId="77777777" w:rsidR="00112B54" w:rsidRPr="00BC3A80" w:rsidRDefault="00112B54" w:rsidP="00F00667">
      <w:pPr>
        <w:numPr>
          <w:ilvl w:val="0"/>
          <w:numId w:val="15"/>
        </w:numPr>
        <w:spacing w:after="0" w:line="276" w:lineRule="auto"/>
        <w:rPr>
          <w:rFonts w:ascii="Verdana" w:eastAsia="Verdana" w:hAnsi="Verdana" w:cs="Verdana"/>
          <w:color w:val="0000FF"/>
          <w:u w:val="single"/>
          <w:lang w:val="es-MX"/>
        </w:rPr>
      </w:pPr>
      <w:r w:rsidRPr="00081370">
        <w:rPr>
          <w:rFonts w:ascii="Verdana" w:eastAsia="Verdana" w:hAnsi="Verdana" w:cs="Verdana"/>
          <w:lang w:val="es-MX"/>
        </w:rPr>
        <w:t xml:space="preserve">Correo de radicación de correspondencia: </w:t>
      </w:r>
      <w:hyperlink r:id="rId14" w:history="1">
        <w:r w:rsidRPr="00081370">
          <w:rPr>
            <w:rFonts w:ascii="Verdana" w:eastAsia="Verdana" w:hAnsi="Verdana" w:cs="Verdana"/>
            <w:color w:val="0000FF"/>
            <w:u w:val="single"/>
            <w:lang w:val="es-MX"/>
          </w:rPr>
          <w:t>ventanilladeradicacion@colombiacompra.gov.co</w:t>
        </w:r>
      </w:hyperlink>
    </w:p>
    <w:p w14:paraId="5AABBEC3" w14:textId="77777777" w:rsidR="00112B54" w:rsidRPr="00BC3A80" w:rsidRDefault="00112B54" w:rsidP="00F00667">
      <w:pPr>
        <w:numPr>
          <w:ilvl w:val="0"/>
          <w:numId w:val="15"/>
        </w:numPr>
        <w:spacing w:after="0" w:line="276" w:lineRule="auto"/>
        <w:rPr>
          <w:rFonts w:ascii="Verdana" w:eastAsia="Verdana" w:hAnsi="Verdana" w:cs="Verdana"/>
          <w:color w:val="0000FF"/>
          <w:u w:val="single"/>
          <w:lang w:val="es-MX"/>
        </w:rPr>
      </w:pPr>
      <w:r w:rsidRPr="00081370">
        <w:rPr>
          <w:rFonts w:ascii="Verdana" w:eastAsia="Verdana" w:hAnsi="Verdana" w:cs="Verdana"/>
          <w:lang w:val="es-ES"/>
        </w:rPr>
        <w:lastRenderedPageBreak/>
        <w:t xml:space="preserve">Formulario web para PQRSD: </w:t>
      </w:r>
      <w:hyperlink r:id="rId15" w:history="1">
        <w:r w:rsidRPr="00081370">
          <w:rPr>
            <w:rFonts w:ascii="Verdana" w:eastAsia="Verdana" w:hAnsi="Verdana" w:cs="Verdana"/>
            <w:color w:val="0000FF"/>
            <w:u w:val="single"/>
            <w:lang w:val="es-MX"/>
          </w:rPr>
          <w:t>https://www.colombiacompra.gov.co/pqrsd/informacion-importante-antes-de-formular-una-pqrsd</w:t>
        </w:r>
      </w:hyperlink>
    </w:p>
    <w:p w14:paraId="09C21815" w14:textId="77777777" w:rsidR="00112B54" w:rsidRPr="00BC3A80" w:rsidRDefault="00112B54" w:rsidP="00112B54">
      <w:pPr>
        <w:spacing w:after="0" w:line="276" w:lineRule="auto"/>
        <w:ind w:left="720"/>
        <w:jc w:val="both"/>
        <w:rPr>
          <w:rFonts w:ascii="Verdana" w:hAnsi="Verdana"/>
        </w:rPr>
      </w:pPr>
    </w:p>
    <w:p w14:paraId="76229DEA" w14:textId="77777777" w:rsidR="00112B54" w:rsidRPr="00BC3A80" w:rsidRDefault="00112B54" w:rsidP="00112B54">
      <w:pPr>
        <w:spacing w:after="0" w:line="276" w:lineRule="auto"/>
        <w:rPr>
          <w:rFonts w:ascii="Verdana" w:hAnsi="Verdana"/>
        </w:rPr>
      </w:pPr>
      <w:r w:rsidRPr="00BC3A80">
        <w:rPr>
          <w:rFonts w:ascii="Verdana" w:hAnsi="Verdana"/>
        </w:rPr>
        <w:t xml:space="preserve">Evalúa el servicio que ofrece la Agencia por el canal de atención de PQRSD en el siguiente </w:t>
      </w:r>
      <w:proofErr w:type="gramStart"/>
      <w:r w:rsidRPr="00BC3A80">
        <w:rPr>
          <w:rFonts w:ascii="Verdana" w:hAnsi="Verdana"/>
        </w:rPr>
        <w:t>enlace :</w:t>
      </w:r>
      <w:proofErr w:type="gramEnd"/>
      <w:hyperlink r:id="rId16" w:tgtFrame="_blank" w:tooltip="https://forms.office.com/r/pphywvs2sz" w:history="1">
        <w:r w:rsidRPr="0008137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2911145E" w14:textId="77777777" w:rsidR="00112B54" w:rsidRPr="00BC3A80" w:rsidRDefault="00112B54" w:rsidP="00112B54">
      <w:pPr>
        <w:spacing w:after="0" w:line="276" w:lineRule="auto"/>
        <w:rPr>
          <w:rFonts w:ascii="Verdana" w:hAnsi="Verdana"/>
        </w:rPr>
      </w:pPr>
    </w:p>
    <w:p w14:paraId="0F472574" w14:textId="77777777" w:rsidR="00112B54" w:rsidRPr="00BC3A80" w:rsidRDefault="00112B54" w:rsidP="00112B54">
      <w:pPr>
        <w:spacing w:after="0" w:line="276"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37749BAC" w14:textId="77777777" w:rsidR="00112B54" w:rsidRPr="00BC3A80" w:rsidRDefault="00112B54" w:rsidP="00112B54">
      <w:pPr>
        <w:spacing w:after="0" w:line="276" w:lineRule="auto"/>
        <w:jc w:val="both"/>
        <w:rPr>
          <w:rFonts w:ascii="Verdana" w:hAnsi="Verdana"/>
        </w:rPr>
      </w:pPr>
    </w:p>
    <w:p w14:paraId="0F84E8BC" w14:textId="77777777" w:rsidR="00112B54" w:rsidRPr="00BC3A80" w:rsidRDefault="00112B54" w:rsidP="00112B54">
      <w:pPr>
        <w:spacing w:after="0" w:line="276"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78E12034" w14:textId="77777777" w:rsidR="00112B54" w:rsidRPr="00BC3A80" w:rsidRDefault="00112B54" w:rsidP="00112B54">
      <w:pPr>
        <w:spacing w:after="0" w:line="276" w:lineRule="auto"/>
        <w:jc w:val="both"/>
        <w:rPr>
          <w:rFonts w:ascii="Verdana" w:hAnsi="Verdana"/>
        </w:rPr>
      </w:pPr>
      <w:r w:rsidRPr="00BC3A80">
        <w:rPr>
          <w:rFonts w:ascii="Verdana" w:hAnsi="Verdana"/>
        </w:rPr>
        <w:t xml:space="preserve">Facebook: </w:t>
      </w:r>
      <w:proofErr w:type="spellStart"/>
      <w:r w:rsidRPr="00BC3A80">
        <w:rPr>
          <w:rFonts w:ascii="Verdana" w:hAnsi="Verdana"/>
          <w:color w:val="0000FF"/>
          <w:u w:val="single"/>
        </w:rPr>
        <w:t>ColombiaCompraEficiente</w:t>
      </w:r>
      <w:proofErr w:type="spellEnd"/>
    </w:p>
    <w:p w14:paraId="6F9D55A9" w14:textId="77777777" w:rsidR="00112B54" w:rsidRPr="00BC3A80" w:rsidRDefault="00112B54" w:rsidP="00112B54">
      <w:pPr>
        <w:spacing w:after="0" w:line="276"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01EC2E75" w14:textId="77777777" w:rsidR="00112B54" w:rsidRPr="00BC3A80" w:rsidRDefault="00112B54" w:rsidP="00F00667">
      <w:pPr>
        <w:widowControl w:val="0"/>
        <w:autoSpaceDE w:val="0"/>
        <w:autoSpaceDN w:val="0"/>
        <w:spacing w:after="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5CBEEDEF" w14:textId="77777777" w:rsidR="00112B54" w:rsidRPr="00BC3A80" w:rsidRDefault="00112B54" w:rsidP="00112B54">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3BAC2D8" w14:textId="77777777" w:rsidR="00112B54" w:rsidRPr="00BC3A80" w:rsidRDefault="00112B54" w:rsidP="00112B54">
      <w:pPr>
        <w:widowControl w:val="0"/>
        <w:autoSpaceDE w:val="0"/>
        <w:autoSpaceDN w:val="0"/>
        <w:spacing w:after="0" w:line="276" w:lineRule="auto"/>
        <w:jc w:val="both"/>
        <w:rPr>
          <w:rFonts w:ascii="Verdana" w:hAnsi="Verdana" w:cs="Arial"/>
          <w:lang w:val="es-ES_tradnl"/>
        </w:rPr>
      </w:pPr>
    </w:p>
    <w:p w14:paraId="5A2E9AD9" w14:textId="4CBBD000" w:rsidR="00112B54" w:rsidRPr="00116940" w:rsidRDefault="00112B54" w:rsidP="00F00667">
      <w:pPr>
        <w:spacing w:after="0" w:line="276" w:lineRule="auto"/>
        <w:rPr>
          <w:rFonts w:ascii="Verdana" w:hAnsi="Verdana"/>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p>
    <w:p w14:paraId="48F76820" w14:textId="11464041" w:rsidR="00112B54" w:rsidRDefault="001508A4" w:rsidP="00112B54">
      <w:pPr>
        <w:spacing w:after="0" w:line="240" w:lineRule="auto"/>
        <w:jc w:val="center"/>
      </w:pPr>
      <w:r w:rsidRPr="002C3AD6">
        <w:rPr>
          <w:rFonts w:ascii="Century Gothic" w:hAnsi="Century Gothic"/>
          <w:noProof/>
        </w:rPr>
        <w:drawing>
          <wp:inline distT="0" distB="0" distL="0" distR="0" wp14:anchorId="4F1BBA4E" wp14:editId="75C7211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12B54" w:rsidRPr="00E3533A" w14:paraId="59D9B19D" w14:textId="77777777" w:rsidTr="003021E1">
        <w:trPr>
          <w:trHeight w:val="315"/>
        </w:trPr>
        <w:tc>
          <w:tcPr>
            <w:tcW w:w="893" w:type="dxa"/>
            <w:vAlign w:val="center"/>
            <w:hideMark/>
          </w:tcPr>
          <w:p w14:paraId="56625FAD" w14:textId="77777777" w:rsidR="00112B54" w:rsidRPr="00E3533A" w:rsidRDefault="00112B54" w:rsidP="003021E1">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6FD57B3" w14:textId="77777777" w:rsidR="00112B54" w:rsidRPr="00E3533A" w:rsidRDefault="00112B54" w:rsidP="003021E1">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101A3E6E" w14:textId="77777777" w:rsidR="00112B54" w:rsidRPr="00E3533A" w:rsidRDefault="00112B54" w:rsidP="003021E1">
            <w:pPr>
              <w:contextualSpacing/>
              <w:rPr>
                <w:rFonts w:ascii="Verdana" w:eastAsia="Arial" w:hAnsi="Verdana" w:cs="Arial"/>
                <w:sz w:val="16"/>
                <w:szCs w:val="16"/>
              </w:rPr>
            </w:pPr>
            <w:r>
              <w:rPr>
                <w:rFonts w:ascii="Verdana" w:eastAsia="Calibri" w:hAnsi="Verdana" w:cs="Times New Roman"/>
                <w:sz w:val="16"/>
                <w:szCs w:val="16"/>
              </w:rPr>
              <w:t>Contratista</w:t>
            </w:r>
            <w:r w:rsidRPr="00E3533A">
              <w:rPr>
                <w:rFonts w:ascii="Verdana" w:eastAsia="Calibri" w:hAnsi="Verdana" w:cs="Times New Roman"/>
                <w:sz w:val="16"/>
                <w:szCs w:val="16"/>
              </w:rPr>
              <w:t xml:space="preserve"> de la Subdirección de Gestión Contractual</w:t>
            </w:r>
          </w:p>
        </w:tc>
      </w:tr>
      <w:tr w:rsidR="00112B54" w:rsidRPr="00E3533A" w14:paraId="27069752" w14:textId="77777777" w:rsidTr="003021E1">
        <w:trPr>
          <w:trHeight w:val="330"/>
        </w:trPr>
        <w:tc>
          <w:tcPr>
            <w:tcW w:w="893" w:type="dxa"/>
            <w:vAlign w:val="center"/>
            <w:hideMark/>
          </w:tcPr>
          <w:p w14:paraId="0F7FC1F5" w14:textId="77777777" w:rsidR="00112B54" w:rsidRPr="00E3533A" w:rsidRDefault="00112B54" w:rsidP="003021E1">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3409963" w14:textId="77777777" w:rsidR="00112B54" w:rsidRPr="002B5C7D" w:rsidRDefault="00112B54" w:rsidP="003021E1">
            <w:pPr>
              <w:spacing w:line="256" w:lineRule="auto"/>
              <w:rPr>
                <w:rFonts w:ascii="Verdana" w:eastAsia="Calibri" w:hAnsi="Verdana" w:cs="Times New Roman"/>
                <w:sz w:val="16"/>
                <w:szCs w:val="16"/>
              </w:rPr>
            </w:pPr>
            <w:r>
              <w:rPr>
                <w:rFonts w:ascii="Verdana" w:eastAsia="Calibri" w:hAnsi="Verdana" w:cs="Times New Roman"/>
                <w:sz w:val="16"/>
                <w:szCs w:val="16"/>
              </w:rPr>
              <w:t>Diana Lucia Saavedra Castañeda</w:t>
            </w:r>
          </w:p>
          <w:p w14:paraId="50494C72" w14:textId="77777777" w:rsidR="00112B54" w:rsidRPr="00E3533A" w:rsidRDefault="00112B54" w:rsidP="003021E1">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112B54" w:rsidRPr="00E3533A" w14:paraId="6A7A982C" w14:textId="77777777" w:rsidTr="003021E1">
        <w:trPr>
          <w:trHeight w:val="300"/>
        </w:trPr>
        <w:tc>
          <w:tcPr>
            <w:tcW w:w="893" w:type="dxa"/>
            <w:vAlign w:val="center"/>
          </w:tcPr>
          <w:p w14:paraId="42E7D977" w14:textId="77777777" w:rsidR="00112B54" w:rsidRPr="00E3533A" w:rsidRDefault="00112B54" w:rsidP="003021E1">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38E784E" w14:textId="77777777" w:rsidR="00112B54" w:rsidRPr="00E3533A" w:rsidRDefault="00112B54" w:rsidP="003021E1">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1BAA2C85" w14:textId="77777777" w:rsidR="00112B54" w:rsidRPr="00E3533A" w:rsidRDefault="00112B54" w:rsidP="003021E1">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7C2CB01D" w14:textId="77777777" w:rsidR="00112B54" w:rsidRPr="00E3533A" w:rsidRDefault="00112B54" w:rsidP="00112B54">
      <w:pPr>
        <w:spacing w:after="0"/>
        <w:rPr>
          <w:rFonts w:ascii="Verdana" w:hAnsi="Verdana"/>
        </w:rPr>
      </w:pPr>
    </w:p>
    <w:p w14:paraId="596D4A76" w14:textId="77777777" w:rsidR="00112B54" w:rsidRPr="00DE3734" w:rsidRDefault="00112B54" w:rsidP="00112B54">
      <w:pPr>
        <w:spacing w:line="256" w:lineRule="auto"/>
        <w:rPr>
          <w:rFonts w:ascii="Calibri" w:eastAsia="Calibri" w:hAnsi="Calibri" w:cs="Times New Roman"/>
        </w:rPr>
      </w:pPr>
      <w:r w:rsidRPr="00DE3734">
        <w:rPr>
          <w:rFonts w:ascii="Calibri" w:eastAsia="Calibri" w:hAnsi="Calibri" w:cs="Times New Roman"/>
        </w:rPr>
        <w:t xml:space="preserve"> </w:t>
      </w:r>
    </w:p>
    <w:p w14:paraId="0F293BF4" w14:textId="635A1C26" w:rsidR="00127233" w:rsidRPr="00671FBB" w:rsidRDefault="00127233" w:rsidP="00671FBB"/>
    <w:sectPr w:rsidR="00127233" w:rsidRPr="00671FB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4F88F" w14:textId="77777777" w:rsidR="00ED2FAB" w:rsidRDefault="00ED2FAB" w:rsidP="004A1847">
      <w:pPr>
        <w:spacing w:after="0" w:line="240" w:lineRule="auto"/>
      </w:pPr>
      <w:r>
        <w:separator/>
      </w:r>
    </w:p>
  </w:endnote>
  <w:endnote w:type="continuationSeparator" w:id="0">
    <w:p w14:paraId="1D99B715" w14:textId="77777777" w:rsidR="00ED2FAB" w:rsidRDefault="00ED2FA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671FBB"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671FBB">
      <w:rPr>
        <w:rFonts w:ascii="Century Gothic" w:eastAsia="Geo" w:hAnsi="Century Gothic" w:cs="Geo"/>
        <w:b/>
        <w:bCs/>
        <w:color w:val="000000" w:themeColor="text1"/>
        <w:sz w:val="16"/>
        <w:szCs w:val="16"/>
        <w:lang w:val="pt-PT" w:eastAsia="es-CO"/>
      </w:rPr>
      <w:t xml:space="preserve">Código: </w:t>
    </w:r>
    <w:r w:rsidRPr="00671FBB">
      <w:rPr>
        <w:rFonts w:ascii="Century Gothic" w:eastAsia="Geo" w:hAnsi="Century Gothic" w:cs="Geo"/>
        <w:color w:val="000000" w:themeColor="text1"/>
        <w:sz w:val="16"/>
        <w:szCs w:val="16"/>
        <w:lang w:val="pt-PT" w:eastAsia="es-CO"/>
      </w:rPr>
      <w:t xml:space="preserve">CCE-REC-FM-17 </w:t>
    </w:r>
    <w:r w:rsidRPr="00671FBB">
      <w:rPr>
        <w:rFonts w:ascii="Century Gothic" w:eastAsia="Geo" w:hAnsi="Century Gothic" w:cs="Geo"/>
        <w:b/>
        <w:bCs/>
        <w:color w:val="000000" w:themeColor="text1"/>
        <w:sz w:val="16"/>
        <w:szCs w:val="16"/>
        <w:lang w:val="pt-PT" w:eastAsia="es-CO"/>
      </w:rPr>
      <w:t>V</w:t>
    </w:r>
    <w:r w:rsidRPr="00671FBB">
      <w:rPr>
        <w:rFonts w:ascii="Century Gothic" w:eastAsia="Arial Nova" w:hAnsi="Century Gothic" w:cs="Arial Nova"/>
        <w:b/>
        <w:bCs/>
        <w:color w:val="000000" w:themeColor="text1"/>
        <w:sz w:val="16"/>
        <w:szCs w:val="16"/>
        <w:lang w:val="pt-PT" w:eastAsia="es-CO"/>
      </w:rPr>
      <w:t xml:space="preserve">: </w:t>
    </w:r>
    <w:r w:rsidRPr="00671FBB">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C5474" w14:textId="77777777" w:rsidR="00ED2FAB" w:rsidRDefault="00ED2FAB" w:rsidP="004A1847">
      <w:pPr>
        <w:spacing w:after="0" w:line="240" w:lineRule="auto"/>
      </w:pPr>
      <w:r>
        <w:separator/>
      </w:r>
    </w:p>
  </w:footnote>
  <w:footnote w:type="continuationSeparator" w:id="0">
    <w:p w14:paraId="7E02B40E" w14:textId="77777777" w:rsidR="00ED2FAB" w:rsidRDefault="00ED2FAB" w:rsidP="004A1847">
      <w:pPr>
        <w:spacing w:after="0" w:line="240" w:lineRule="auto"/>
      </w:pPr>
      <w:r>
        <w:continuationSeparator/>
      </w:r>
    </w:p>
  </w:footnote>
  <w:footnote w:id="1">
    <w:p w14:paraId="64DAC990" w14:textId="77777777" w:rsidR="00112B54" w:rsidRPr="000405DB" w:rsidRDefault="00112B54" w:rsidP="00112B54">
      <w:pPr>
        <w:spacing w:after="0" w:line="240" w:lineRule="auto"/>
        <w:ind w:firstLine="707"/>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position w:val="6"/>
          <w:sz w:val="10"/>
          <w:szCs w:val="10"/>
        </w:rPr>
        <w:t xml:space="preserve"> </w:t>
      </w:r>
      <w:r w:rsidRPr="000405DB">
        <w:rPr>
          <w:rFonts w:ascii="Verdana" w:hAnsi="Verdana" w:cs="Arial"/>
          <w:sz w:val="10"/>
          <w:szCs w:val="10"/>
        </w:rPr>
        <w:t>DEIK ACOSTAMADIEDO, Carolina, Guía de Contratación Estatal: Deber de planeación y modalidades de selección, Buenos Aires, 2015, p. 59.</w:t>
      </w:r>
    </w:p>
    <w:p w14:paraId="38737C12" w14:textId="77777777" w:rsidR="00112B54" w:rsidRPr="000405DB" w:rsidRDefault="00112B54" w:rsidP="00112B54">
      <w:pPr>
        <w:pStyle w:val="Textonotapie"/>
        <w:contextualSpacing/>
        <w:jc w:val="both"/>
        <w:rPr>
          <w:rFonts w:ascii="Verdana" w:hAnsi="Verdana" w:cs="Arial"/>
          <w:sz w:val="10"/>
          <w:szCs w:val="10"/>
        </w:rPr>
      </w:pPr>
    </w:p>
  </w:footnote>
  <w:footnote w:id="2">
    <w:p w14:paraId="416B8173" w14:textId="77777777" w:rsidR="00112B54" w:rsidRPr="000405DB" w:rsidRDefault="00112B54" w:rsidP="00112B54">
      <w:pPr>
        <w:pStyle w:val="Textoindependiente"/>
        <w:spacing w:after="0" w:line="240" w:lineRule="auto"/>
        <w:ind w:firstLine="709"/>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“Artículo </w:t>
      </w:r>
      <w:bookmarkStart w:id="3" w:name="_Hlk54173885"/>
      <w:r w:rsidRPr="000405DB">
        <w:rPr>
          <w:rFonts w:ascii="Verdana" w:hAnsi="Verdana" w:cs="Arial"/>
          <w:sz w:val="10"/>
          <w:szCs w:val="10"/>
        </w:rPr>
        <w:t>2.2.1.1.2.1.1</w:t>
      </w:r>
      <w:bookmarkEnd w:id="3"/>
      <w:r w:rsidRPr="000405DB">
        <w:rPr>
          <w:rFonts w:ascii="Verdana" w:hAnsi="Verdana" w:cs="Arial"/>
          <w:sz w:val="10"/>
          <w:szCs w:val="10"/>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5451FA7C" w14:textId="77777777" w:rsidR="00112B54" w:rsidRPr="000405DB" w:rsidRDefault="00112B54" w:rsidP="00112B54">
      <w:pPr>
        <w:pStyle w:val="Textoindependiente"/>
        <w:spacing w:after="0" w:line="240" w:lineRule="auto"/>
        <w:ind w:firstLine="709"/>
        <w:contextualSpacing/>
        <w:jc w:val="both"/>
        <w:rPr>
          <w:rFonts w:ascii="Verdana" w:hAnsi="Verdana" w:cs="Arial"/>
          <w:sz w:val="10"/>
          <w:szCs w:val="10"/>
        </w:rPr>
      </w:pPr>
    </w:p>
    <w:p w14:paraId="68033B7D" w14:textId="77777777" w:rsidR="00112B54" w:rsidRPr="000405DB" w:rsidRDefault="00112B54" w:rsidP="00112B54">
      <w:pPr>
        <w:pStyle w:val="Textonotapie"/>
        <w:ind w:firstLine="709"/>
        <w:contextualSpacing/>
        <w:jc w:val="both"/>
        <w:rPr>
          <w:rFonts w:ascii="Verdana" w:hAnsi="Verdana" w:cs="Arial"/>
          <w:sz w:val="10"/>
          <w:szCs w:val="10"/>
        </w:rPr>
      </w:pPr>
    </w:p>
  </w:footnote>
  <w:footnote w:id="3">
    <w:p w14:paraId="5F0E1F72" w14:textId="77777777" w:rsidR="00112B54" w:rsidRPr="000405DB" w:rsidRDefault="00112B54" w:rsidP="00112B54">
      <w:pPr>
        <w:pStyle w:val="Textoindependiente"/>
        <w:spacing w:after="0" w:line="240" w:lineRule="auto"/>
        <w:ind w:firstLine="709"/>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3BD94DFA" w14:textId="77777777" w:rsidR="00112B54" w:rsidRPr="000405DB" w:rsidRDefault="00112B54" w:rsidP="00112B54">
      <w:pPr>
        <w:pStyle w:val="Textonotapie"/>
        <w:contextualSpacing/>
        <w:jc w:val="both"/>
        <w:rPr>
          <w:rFonts w:ascii="Verdana" w:hAnsi="Verdana" w:cs="Arial"/>
          <w:sz w:val="10"/>
          <w:szCs w:val="10"/>
        </w:rPr>
      </w:pPr>
    </w:p>
  </w:footnote>
  <w:footnote w:id="4">
    <w:p w14:paraId="1A914970" w14:textId="77777777" w:rsidR="00112B54" w:rsidRPr="000405DB" w:rsidRDefault="00112B54" w:rsidP="00112B54">
      <w:pPr>
        <w:pStyle w:val="Textonotapie"/>
        <w:ind w:firstLine="708"/>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5">
    <w:p w14:paraId="52BB0A74" w14:textId="77777777" w:rsidR="00112B54" w:rsidRPr="000405DB" w:rsidRDefault="00112B54" w:rsidP="00112B54">
      <w:pPr>
        <w:pStyle w:val="Textonotapie"/>
        <w:ind w:firstLine="708"/>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Colombia Compra Eficiente. </w:t>
      </w:r>
      <w:r w:rsidRPr="000405DB">
        <w:rPr>
          <w:rFonts w:ascii="Verdana" w:eastAsia="Calibri" w:hAnsi="Verdana" w:cs="Arial"/>
          <w:bCs/>
          <w:sz w:val="10"/>
          <w:szCs w:val="10"/>
          <w:lang w:val="es-ES_tradnl" w:eastAsia="es-ES_tradnl"/>
        </w:rPr>
        <w:t>Guía de Elaboración de Estudios del Sector</w:t>
      </w:r>
      <w:r w:rsidRPr="000405DB">
        <w:rPr>
          <w:rFonts w:ascii="Verdana" w:hAnsi="Verdana" w:cs="Arial"/>
          <w:sz w:val="10"/>
          <w:szCs w:val="10"/>
        </w:rPr>
        <w:t xml:space="preserve">. Disponible en: </w:t>
      </w:r>
      <w:hyperlink r:id="rId1" w:history="1">
        <w:r w:rsidRPr="000405DB">
          <w:rPr>
            <w:rStyle w:val="Hipervnculo"/>
            <w:rFonts w:ascii="Verdana" w:hAnsi="Verdana" w:cs="Arial"/>
            <w:sz w:val="10"/>
            <w:szCs w:val="10"/>
          </w:rPr>
          <w:t>https://www.colombiacompra.gov.co/manuales-guias-y-pliegos-tipo/manuales-y-guias</w:t>
        </w:r>
      </w:hyperlink>
      <w:r w:rsidRPr="000405DB">
        <w:rPr>
          <w:rFonts w:ascii="Verdana" w:hAnsi="Verdana" w:cs="Arial"/>
          <w:sz w:val="10"/>
          <w:szCs w:val="10"/>
        </w:rPr>
        <w:t xml:space="preserve"> </w:t>
      </w:r>
    </w:p>
    <w:p w14:paraId="6C8CE9E4" w14:textId="77777777" w:rsidR="00112B54" w:rsidRPr="000405DB" w:rsidRDefault="00112B54" w:rsidP="00112B54">
      <w:pPr>
        <w:pStyle w:val="Textonotapie"/>
        <w:ind w:firstLine="708"/>
        <w:contextualSpacing/>
        <w:jc w:val="both"/>
        <w:rPr>
          <w:rFonts w:ascii="Verdana" w:hAnsi="Verdana" w:cs="Arial"/>
          <w:sz w:val="10"/>
          <w:szCs w:val="10"/>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C466FB6"/>
    <w:multiLevelType w:val="hybridMultilevel"/>
    <w:tmpl w:val="E168DEFA"/>
    <w:lvl w:ilvl="0" w:tplc="240A0017">
      <w:start w:val="1"/>
      <w:numFmt w:val="lowerLetter"/>
      <w:lvlText w:val="%1)"/>
      <w:lvlJc w:val="left"/>
      <w:pPr>
        <w:ind w:left="2220" w:hanging="360"/>
      </w:pPr>
    </w:lvl>
    <w:lvl w:ilvl="1" w:tplc="240A0019" w:tentative="1">
      <w:start w:val="1"/>
      <w:numFmt w:val="lowerLetter"/>
      <w:lvlText w:val="%2."/>
      <w:lvlJc w:val="left"/>
      <w:pPr>
        <w:ind w:left="2940" w:hanging="360"/>
      </w:pPr>
    </w:lvl>
    <w:lvl w:ilvl="2" w:tplc="240A001B" w:tentative="1">
      <w:start w:val="1"/>
      <w:numFmt w:val="lowerRoman"/>
      <w:lvlText w:val="%3."/>
      <w:lvlJc w:val="right"/>
      <w:pPr>
        <w:ind w:left="3660" w:hanging="180"/>
      </w:pPr>
    </w:lvl>
    <w:lvl w:ilvl="3" w:tplc="240A000F" w:tentative="1">
      <w:start w:val="1"/>
      <w:numFmt w:val="decimal"/>
      <w:lvlText w:val="%4."/>
      <w:lvlJc w:val="left"/>
      <w:pPr>
        <w:ind w:left="4380" w:hanging="360"/>
      </w:pPr>
    </w:lvl>
    <w:lvl w:ilvl="4" w:tplc="240A0019" w:tentative="1">
      <w:start w:val="1"/>
      <w:numFmt w:val="lowerLetter"/>
      <w:lvlText w:val="%5."/>
      <w:lvlJc w:val="left"/>
      <w:pPr>
        <w:ind w:left="5100" w:hanging="360"/>
      </w:pPr>
    </w:lvl>
    <w:lvl w:ilvl="5" w:tplc="240A001B" w:tentative="1">
      <w:start w:val="1"/>
      <w:numFmt w:val="lowerRoman"/>
      <w:lvlText w:val="%6."/>
      <w:lvlJc w:val="right"/>
      <w:pPr>
        <w:ind w:left="5820" w:hanging="180"/>
      </w:pPr>
    </w:lvl>
    <w:lvl w:ilvl="6" w:tplc="240A000F" w:tentative="1">
      <w:start w:val="1"/>
      <w:numFmt w:val="decimal"/>
      <w:lvlText w:val="%7."/>
      <w:lvlJc w:val="left"/>
      <w:pPr>
        <w:ind w:left="6540" w:hanging="360"/>
      </w:pPr>
    </w:lvl>
    <w:lvl w:ilvl="7" w:tplc="240A0019" w:tentative="1">
      <w:start w:val="1"/>
      <w:numFmt w:val="lowerLetter"/>
      <w:lvlText w:val="%8."/>
      <w:lvlJc w:val="left"/>
      <w:pPr>
        <w:ind w:left="7260" w:hanging="360"/>
      </w:pPr>
    </w:lvl>
    <w:lvl w:ilvl="8" w:tplc="240A001B" w:tentative="1">
      <w:start w:val="1"/>
      <w:numFmt w:val="lowerRoman"/>
      <w:lvlText w:val="%9."/>
      <w:lvlJc w:val="right"/>
      <w:pPr>
        <w:ind w:left="79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4722185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5D8"/>
    <w:rsid w:val="00016F78"/>
    <w:rsid w:val="00046945"/>
    <w:rsid w:val="00061B2A"/>
    <w:rsid w:val="00081370"/>
    <w:rsid w:val="00082362"/>
    <w:rsid w:val="000A683E"/>
    <w:rsid w:val="000B19B9"/>
    <w:rsid w:val="000D0334"/>
    <w:rsid w:val="000D5DA7"/>
    <w:rsid w:val="000F6486"/>
    <w:rsid w:val="00112B54"/>
    <w:rsid w:val="00116940"/>
    <w:rsid w:val="00125105"/>
    <w:rsid w:val="00127233"/>
    <w:rsid w:val="00141DFE"/>
    <w:rsid w:val="001508A4"/>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1D06"/>
    <w:rsid w:val="004A305D"/>
    <w:rsid w:val="004F21C4"/>
    <w:rsid w:val="004F685F"/>
    <w:rsid w:val="005144AD"/>
    <w:rsid w:val="005566E8"/>
    <w:rsid w:val="00574867"/>
    <w:rsid w:val="00591460"/>
    <w:rsid w:val="005A65E0"/>
    <w:rsid w:val="005C3777"/>
    <w:rsid w:val="005C5CDC"/>
    <w:rsid w:val="005D476C"/>
    <w:rsid w:val="006200BF"/>
    <w:rsid w:val="006219F8"/>
    <w:rsid w:val="006302F7"/>
    <w:rsid w:val="00646B9F"/>
    <w:rsid w:val="00665D70"/>
    <w:rsid w:val="00671FBB"/>
    <w:rsid w:val="006900D9"/>
    <w:rsid w:val="00706C16"/>
    <w:rsid w:val="007340C3"/>
    <w:rsid w:val="0075235A"/>
    <w:rsid w:val="00756841"/>
    <w:rsid w:val="007649AB"/>
    <w:rsid w:val="00771D0C"/>
    <w:rsid w:val="007833AC"/>
    <w:rsid w:val="00783A4E"/>
    <w:rsid w:val="007B268C"/>
    <w:rsid w:val="007B7171"/>
    <w:rsid w:val="007C0C0F"/>
    <w:rsid w:val="007C3DC2"/>
    <w:rsid w:val="007E5497"/>
    <w:rsid w:val="00800FCC"/>
    <w:rsid w:val="00806F5F"/>
    <w:rsid w:val="00820278"/>
    <w:rsid w:val="008258C9"/>
    <w:rsid w:val="00844AE9"/>
    <w:rsid w:val="00867F95"/>
    <w:rsid w:val="008843B6"/>
    <w:rsid w:val="00891928"/>
    <w:rsid w:val="008A446D"/>
    <w:rsid w:val="008B25F1"/>
    <w:rsid w:val="008D180B"/>
    <w:rsid w:val="008E5049"/>
    <w:rsid w:val="008F0EA7"/>
    <w:rsid w:val="008F3DBC"/>
    <w:rsid w:val="00923EEF"/>
    <w:rsid w:val="009419F9"/>
    <w:rsid w:val="0095685E"/>
    <w:rsid w:val="00961B09"/>
    <w:rsid w:val="00965334"/>
    <w:rsid w:val="00967405"/>
    <w:rsid w:val="0097093E"/>
    <w:rsid w:val="009A0DFA"/>
    <w:rsid w:val="009A1C6F"/>
    <w:rsid w:val="009B2D26"/>
    <w:rsid w:val="009C71FA"/>
    <w:rsid w:val="009C72E7"/>
    <w:rsid w:val="009C7F7E"/>
    <w:rsid w:val="009D3058"/>
    <w:rsid w:val="009D6AC3"/>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83BE4"/>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2FAB"/>
    <w:rsid w:val="00EE1AA8"/>
    <w:rsid w:val="00EF7A6A"/>
    <w:rsid w:val="00F00667"/>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semiHidden/>
    <w:unhideWhenUsed/>
    <w:rsid w:val="00112B54"/>
    <w:pPr>
      <w:spacing w:after="120"/>
    </w:pPr>
  </w:style>
  <w:style w:type="character" w:customStyle="1" w:styleId="TextoindependienteCar">
    <w:name w:val="Texto independiente Car"/>
    <w:basedOn w:val="Fuentedeprrafopredeter"/>
    <w:link w:val="Textoindependiente"/>
    <w:uiPriority w:val="99"/>
    <w:semiHidden/>
    <w:rsid w:val="00112B54"/>
  </w:style>
  <w:style w:type="paragraph" w:customStyle="1" w:styleId="Appelnotedebasde">
    <w:name w:val="Appel note de bas de..."/>
    <w:basedOn w:val="Normal"/>
    <w:link w:val="Refdenotaalpie"/>
    <w:uiPriority w:val="99"/>
    <w:rsid w:val="00112B5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12B5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7E10E5C-AAEF-47D3-BCCC-DA15F0ACF77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0247544-D956-4BC5-8A16-9DF0FC3CD3F7}">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16</Pages>
  <Words>5213</Words>
  <Characters>28675</Characters>
  <Application>Microsoft Office Word</Application>
  <DocSecurity>0</DocSecurity>
  <Lines>238</Lines>
  <Paragraphs>67</Paragraphs>
  <ScaleCrop>false</ScaleCrop>
  <Company/>
  <LinksUpToDate>false</LinksUpToDate>
  <CharactersWithSpaces>33821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6</cp:revision>
  <cp:lastPrinted>2023-01-10T21:18:00Z</cp:lastPrinted>
  <dcterms:created xsi:type="dcterms:W3CDTF">2025-12-09T03:22:00Z</dcterms:created>
  <dcterms:modified xsi:type="dcterms:W3CDTF">2025-12-09T21:23:00Z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