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30550" w14:textId="13367059" w:rsidR="00946E9F" w:rsidRPr="00946E9F" w:rsidRDefault="00946E9F" w:rsidP="00946E9F">
      <w:pPr>
        <w:jc w:val="both"/>
        <w:rPr>
          <w:rFonts w:ascii="Verdana" w:eastAsia="Calibri" w:hAnsi="Verdana" w:cs="Arial"/>
          <w:b/>
          <w:lang w:val="es-ES_tradnl"/>
        </w:rPr>
      </w:pPr>
      <w:bookmarkStart w:id="0" w:name="_Hlk143780582"/>
      <w:r w:rsidRPr="00946E9F">
        <w:rPr>
          <w:rFonts w:ascii="Verdana" w:eastAsia="Calibri" w:hAnsi="Verdana" w:cs="Arial"/>
          <w:b/>
          <w:lang w:val="es-ES_tradnl"/>
        </w:rPr>
        <w:t xml:space="preserve">EXPERIENCIA – Requisito habilitante </w:t>
      </w:r>
    </w:p>
    <w:p w14:paraId="2A80B709" w14:textId="7A57F572" w:rsidR="00946E9F" w:rsidRDefault="00946E9F" w:rsidP="00946E9F">
      <w:pPr>
        <w:jc w:val="both"/>
        <w:rPr>
          <w:rFonts w:ascii="Verdana" w:eastAsia="Calibri" w:hAnsi="Verdana" w:cs="Arial"/>
          <w:bCs/>
          <w:lang w:val="es-ES_tradnl"/>
        </w:rPr>
      </w:pPr>
      <w:r w:rsidRPr="00C53B88">
        <w:rPr>
          <w:rFonts w:ascii="Verdana" w:eastAsia="Calibri" w:hAnsi="Verdana" w:cs="Arial"/>
        </w:rPr>
        <w:t>La Ley 1150 de 2007, en el artículo 5, establece los requisitos habilitantes para participar en un procedimiento contractual, dentro de los cuales se destaca la experiencia</w:t>
      </w:r>
      <w:r>
        <w:rPr>
          <w:rFonts w:ascii="Verdana" w:eastAsia="Calibri" w:hAnsi="Verdana" w:cs="Arial"/>
        </w:rPr>
        <w:t>. Su</w:t>
      </w:r>
      <w:r w:rsidRPr="00C53B88">
        <w:rPr>
          <w:rFonts w:ascii="Verdana" w:eastAsia="Calibri" w:hAnsi="Verdana" w:cs="Arial"/>
        </w:rPr>
        <w:t xml:space="preserve"> propósito es que las entidades fijen unos requisitos mínimos que debe tener y acreditar el proponente, para que la entidad pueda verificar su aptitud para participar en el procedimiento de contratación y, si se le adjudica, ejecutar el contrato estatal</w:t>
      </w:r>
      <w:r>
        <w:rPr>
          <w:rFonts w:ascii="Verdana" w:eastAsia="Calibri" w:hAnsi="Verdana" w:cs="Arial"/>
        </w:rPr>
        <w:t>.</w:t>
      </w:r>
    </w:p>
    <w:p w14:paraId="610A5837" w14:textId="1B6FFD25" w:rsidR="00946E9F" w:rsidRPr="00946E9F" w:rsidRDefault="00946E9F" w:rsidP="00946E9F">
      <w:pPr>
        <w:jc w:val="both"/>
        <w:rPr>
          <w:rFonts w:ascii="Verdana" w:eastAsia="Calibri" w:hAnsi="Verdana" w:cs="Arial"/>
          <w:b/>
          <w:lang w:val="es-ES_tradnl"/>
        </w:rPr>
      </w:pPr>
      <w:r w:rsidRPr="00946E9F">
        <w:rPr>
          <w:rFonts w:ascii="Verdana" w:eastAsia="Calibri" w:hAnsi="Verdana" w:cs="Arial"/>
          <w:b/>
          <w:lang w:val="es-ES_tradnl"/>
        </w:rPr>
        <w:t xml:space="preserve">EXPERIENCIA – Transferencia – Accionistas, socios o constituyentes – Decreto 1082 de 2015 </w:t>
      </w:r>
    </w:p>
    <w:p w14:paraId="78E80E28" w14:textId="77777777" w:rsidR="00946E9F" w:rsidRPr="00C53B88" w:rsidRDefault="00946E9F" w:rsidP="00946E9F">
      <w:pPr>
        <w:spacing w:after="120" w:line="276" w:lineRule="auto"/>
        <w:jc w:val="both"/>
        <w:rPr>
          <w:rFonts w:ascii="Verdana" w:eastAsia="Calibri" w:hAnsi="Verdana" w:cs="Arial"/>
          <w:lang w:val="es-MX" w:eastAsia="es-ES_tradnl"/>
        </w:rPr>
      </w:pPr>
      <w:r w:rsidRPr="00C53B88">
        <w:rPr>
          <w:rFonts w:ascii="Verdana" w:eastAsia="Calibri" w:hAnsi="Verdana" w:cs="Arial"/>
          <w:lang w:val="es-MX" w:eastAsia="es-ES_tradnl"/>
        </w:rPr>
        <w:t xml:space="preserve">La experiencia se puede </w:t>
      </w:r>
      <w:r w:rsidRPr="00C53B88">
        <w:rPr>
          <w:rFonts w:ascii="Verdana" w:eastAsia="Calibri" w:hAnsi="Verdana" w:cs="Arial"/>
          <w:i/>
          <w:iCs/>
          <w:lang w:val="es-MX" w:eastAsia="es-ES_tradnl"/>
        </w:rPr>
        <w:t>transferir</w:t>
      </w:r>
      <w:r w:rsidRPr="00C53B88">
        <w:rPr>
          <w:rFonts w:ascii="Verdana" w:eastAsia="Calibri" w:hAnsi="Verdana" w:cs="Arial"/>
          <w:lang w:val="es-MX" w:eastAsia="es-ES_tradnl"/>
        </w:rPr>
        <w:t>, y esto es diferente a compartir, lo que implica que la experiencia de una persona se traslada a otra, y esta última acredita la experiencia como propia, como se explica a continuación.</w:t>
      </w:r>
    </w:p>
    <w:p w14:paraId="738EEDBD" w14:textId="057879DB" w:rsidR="00946E9F" w:rsidRPr="00C53B88" w:rsidRDefault="00946E9F" w:rsidP="00946E9F">
      <w:pPr>
        <w:spacing w:after="0" w:line="276" w:lineRule="auto"/>
        <w:jc w:val="both"/>
        <w:rPr>
          <w:rFonts w:ascii="Verdana" w:eastAsia="Calibri" w:hAnsi="Verdana" w:cs="Arial"/>
          <w:lang w:val="es-ES"/>
        </w:rPr>
      </w:pPr>
      <w:r w:rsidRPr="00C53B88">
        <w:rPr>
          <w:rFonts w:ascii="Verdana" w:eastAsia="Times New Roman" w:hAnsi="Verdana" w:cs="Arial"/>
          <w:lang w:val="es-ES_tradnl" w:eastAsia="es-ES_tradnl"/>
          <w14:ligatures w14:val="standardContextual"/>
        </w:rPr>
        <w:t>Ahora bien, teniendo en c</w:t>
      </w:r>
      <w:r>
        <w:rPr>
          <w:rFonts w:ascii="Verdana" w:eastAsia="Times New Roman" w:hAnsi="Verdana" w:cs="Arial"/>
          <w:lang w:val="es-ES_tradnl" w:eastAsia="es-ES_tradnl"/>
          <w14:ligatures w14:val="standardContextual"/>
        </w:rPr>
        <w:t>uen</w:t>
      </w:r>
      <w:r w:rsidRPr="00C53B88">
        <w:rPr>
          <w:rFonts w:ascii="Verdana" w:eastAsia="Times New Roman" w:hAnsi="Verdana" w:cs="Arial"/>
          <w:lang w:val="es-ES_tradnl" w:eastAsia="es-ES_tradnl"/>
          <w14:ligatures w14:val="standardContextual"/>
        </w:rPr>
        <w:t>ta lo anterior, para resolver el problema jurídico de su consulta</w:t>
      </w:r>
      <w:r>
        <w:rPr>
          <w:rFonts w:ascii="Verdana" w:eastAsia="Times New Roman" w:hAnsi="Verdana" w:cs="Arial"/>
          <w:lang w:val="es-ES_tradnl" w:eastAsia="es-ES_tradnl"/>
          <w14:ligatures w14:val="standardContextual"/>
        </w:rPr>
        <w:t>, l</w:t>
      </w:r>
      <w:r w:rsidRPr="00C53B88">
        <w:rPr>
          <w:rFonts w:ascii="Verdana" w:eastAsia="Calibri" w:hAnsi="Verdana" w:cs="Arial"/>
          <w:lang w:val="es-ES"/>
        </w:rPr>
        <w:t xml:space="preserve">a normativa de contratación establece una figura que permite la transferencia de experiencia en las sociedades con menos de 3 años de constitución </w:t>
      </w:r>
      <w:r>
        <w:rPr>
          <w:rFonts w:ascii="Verdana" w:eastAsia="Calibri" w:hAnsi="Verdana" w:cs="Arial"/>
          <w:lang w:val="es-ES"/>
        </w:rPr>
        <w:t>[…]</w:t>
      </w:r>
    </w:p>
    <w:p w14:paraId="4D4372FB" w14:textId="77777777" w:rsidR="00946E9F" w:rsidRPr="00C53B88" w:rsidRDefault="00946E9F" w:rsidP="00946E9F">
      <w:pPr>
        <w:spacing w:before="120" w:after="120" w:line="276" w:lineRule="auto"/>
        <w:jc w:val="both"/>
        <w:rPr>
          <w:rFonts w:ascii="Verdana" w:eastAsia="Times New Roman" w:hAnsi="Verdana" w:cs="Arial"/>
          <w:lang w:val="es-MX" w:eastAsia="es-ES_tradnl"/>
        </w:rPr>
      </w:pPr>
      <w:r w:rsidRPr="00C53B88">
        <w:rPr>
          <w:rFonts w:ascii="Verdana" w:eastAsia="Times New Roman" w:hAnsi="Verdana" w:cs="Arial"/>
          <w:lang w:val="es-MX" w:eastAsia="es-ES_tradnl"/>
        </w:rPr>
        <w:t>Esta medida diferenciada permite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que establezcan las entidades estatales en sus procesos de contratación, y de esta forma promover el desarrollo de la empresa y la pluralidad de oferentes en la contratación pública.</w:t>
      </w:r>
    </w:p>
    <w:p w14:paraId="0FEDC707" w14:textId="607419B0" w:rsidR="00946E9F" w:rsidRPr="00946E9F" w:rsidRDefault="00946E9F" w:rsidP="00946E9F">
      <w:pPr>
        <w:jc w:val="both"/>
        <w:rPr>
          <w:rFonts w:ascii="Verdana" w:eastAsia="Century Gothic" w:hAnsi="Verdana" w:cs="Century Gothic"/>
          <w:b/>
        </w:rPr>
      </w:pPr>
      <w:r w:rsidRPr="00946E9F">
        <w:rPr>
          <w:rFonts w:ascii="Verdana" w:eastAsia="Calibri" w:hAnsi="Verdana" w:cs="Arial"/>
          <w:b/>
          <w:lang w:val="es-ES_tradnl"/>
        </w:rPr>
        <w:t>EXPERIENCIA ‒ Conservación ‒ Renovación RUP - N</w:t>
      </w:r>
      <w:r w:rsidRPr="00946E9F">
        <w:rPr>
          <w:rFonts w:ascii="Verdana" w:hAnsi="Verdana" w:cs="Arial"/>
          <w:b/>
          <w:lang w:val="es-ES_tradnl"/>
        </w:rPr>
        <w:t xml:space="preserve">umeral </w:t>
      </w:r>
      <w:r w:rsidRPr="00946E9F">
        <w:rPr>
          <w:rFonts w:ascii="Verdana" w:eastAsia="Century Gothic" w:hAnsi="Verdana" w:cs="Century Gothic"/>
          <w:b/>
        </w:rPr>
        <w:t>2.5 del artículo 2.2.1.1.1.5.2 del Decreto 1082 de 2015</w:t>
      </w:r>
    </w:p>
    <w:p w14:paraId="3E55F30E" w14:textId="77777777" w:rsidR="00946E9F" w:rsidRDefault="00946E9F" w:rsidP="00946E9F">
      <w:pPr>
        <w:spacing w:after="120" w:line="276" w:lineRule="auto"/>
        <w:jc w:val="both"/>
        <w:rPr>
          <w:rFonts w:ascii="Verdana" w:eastAsia="Times New Roman" w:hAnsi="Verdana" w:cs="Arial"/>
          <w:lang w:val="es-MX" w:eastAsia="es-ES"/>
        </w:rPr>
      </w:pPr>
      <w:r w:rsidRPr="371E251F">
        <w:rPr>
          <w:rFonts w:ascii="Verdana" w:eastAsia="Times New Roman" w:hAnsi="Verdana" w:cs="Arial"/>
          <w:lang w:val="es-MX" w:eastAsia="es-ES"/>
        </w:rPr>
        <w:t xml:space="preserve">Sin embargo, debe aclararse que el Decreto 1082 de 2015 sólo permite que una sociedad acredite la experiencia de quienes tienen la calidad de accionistas, socios o constituyentes durante los primeros tres (3) años de su constitución. Por tanto, si se pierden estas calidades, como sucedería cuando un socio se retira por venta o cesión de su participación y pierde su calidad de socio, ya no sería aceptable que la sociedad acredite la experiencia aportada por dicha persona. </w:t>
      </w:r>
    </w:p>
    <w:p w14:paraId="1468C46D" w14:textId="15AA7A48" w:rsidR="00C15139" w:rsidRDefault="00946E9F" w:rsidP="005203BA">
      <w:pPr>
        <w:spacing w:after="0" w:line="240" w:lineRule="auto"/>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74528F6F" wp14:editId="5B78E7E9">
            <wp:simplePos x="0" y="0"/>
            <wp:positionH relativeFrom="column">
              <wp:posOffset>3133614</wp:posOffset>
            </wp:positionH>
            <wp:positionV relativeFrom="paragraph">
              <wp:posOffset>1270</wp:posOffset>
            </wp:positionV>
            <wp:extent cx="2692400" cy="850900"/>
            <wp:effectExtent l="0" t="0" r="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2692400" cy="85090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24 Diciembre 2025</w:t>
      </w:r>
      <w:r w:rsidR="00C15139" w:rsidRPr="000E2B93">
        <w:rPr>
          <w:rFonts w:ascii="Verdana" w:hAnsi="Verdana"/>
        </w:rPr>
        <w:tab/>
      </w:r>
      <w:r w:rsidR="00C15139" w:rsidRPr="000E2B93">
        <w:rPr>
          <w:rFonts w:ascii="Verdana" w:hAnsi="Verdana"/>
        </w:rPr>
        <w:br/>
      </w:r>
    </w:p>
    <w:p w14:paraId="3A5B38A7" w14:textId="77777777" w:rsidR="005E2591" w:rsidRPr="0051487B" w:rsidRDefault="005E2591" w:rsidP="005E2591">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r>
        <w:rPr>
          <w:rFonts w:ascii="Verdana" w:eastAsia="Calibri" w:hAnsi="Verdana" w:cs="Arial"/>
          <w:lang w:val="de-DE" w:eastAsia="es-ES"/>
        </w:rPr>
        <w:t>a</w:t>
      </w:r>
    </w:p>
    <w:p w14:paraId="5899435F" w14:textId="77777777" w:rsidR="005E2591" w:rsidRPr="0051487B" w:rsidRDefault="005E2591" w:rsidP="005E2591">
      <w:pPr>
        <w:spacing w:after="0" w:line="240" w:lineRule="auto"/>
        <w:rPr>
          <w:rFonts w:ascii="Verdana" w:eastAsia="Calibri" w:hAnsi="Verdana" w:cs="Arial"/>
          <w:b/>
          <w:lang w:val="de-DE" w:eastAsia="es-ES"/>
        </w:rPr>
      </w:pPr>
      <w:r>
        <w:rPr>
          <w:rFonts w:ascii="Verdana" w:eastAsia="Calibri" w:hAnsi="Verdana" w:cs="Arial"/>
          <w:b/>
          <w:lang w:val="de-DE" w:eastAsia="es-ES"/>
        </w:rPr>
        <w:t>Andrea Carolina Tigreros Sanchez</w:t>
      </w:r>
    </w:p>
    <w:p w14:paraId="0ABA7226" w14:textId="77777777" w:rsidR="005E2591" w:rsidRPr="0051487B" w:rsidRDefault="00A7636A" w:rsidP="005E2591">
      <w:pPr>
        <w:spacing w:after="0" w:line="240" w:lineRule="auto"/>
        <w:rPr>
          <w:rFonts w:ascii="Verdana" w:hAnsi="Verdana" w:cs="ArialMT"/>
          <w:lang w:val="de-DE"/>
        </w:rPr>
      </w:pPr>
      <w:hyperlink r:id="rId12" w:history="1">
        <w:r w:rsidR="005E2591" w:rsidRPr="00513935">
          <w:rPr>
            <w:rStyle w:val="Hipervnculo"/>
            <w:rFonts w:ascii="Verdana" w:hAnsi="Verdana" w:cs="ArialMT"/>
            <w:lang w:val="de-DE"/>
          </w:rPr>
          <w:t>Ancatisa2020@gmail.com</w:t>
        </w:r>
      </w:hyperlink>
      <w:r w:rsidR="005E2591">
        <w:rPr>
          <w:rFonts w:ascii="Verdana" w:hAnsi="Verdana" w:cs="ArialMT"/>
          <w:lang w:val="de-DE"/>
        </w:rPr>
        <w:t xml:space="preserve"> </w:t>
      </w:r>
      <w:r w:rsidR="005E2591" w:rsidRPr="0051487B">
        <w:rPr>
          <w:rFonts w:ascii="Verdana" w:hAnsi="Verdana" w:cs="ArialMT"/>
          <w:lang w:val="de-DE"/>
        </w:rPr>
        <w:t xml:space="preserve">   </w:t>
      </w:r>
    </w:p>
    <w:p w14:paraId="2DB9DF17" w14:textId="77777777" w:rsidR="005E2591" w:rsidRPr="00C53B42" w:rsidRDefault="005E2591" w:rsidP="005E2591">
      <w:pPr>
        <w:spacing w:after="0" w:line="240" w:lineRule="auto"/>
        <w:rPr>
          <w:rFonts w:ascii="Verdana" w:hAnsi="Verdana" w:cs="ArialMT"/>
        </w:rPr>
      </w:pPr>
      <w:r>
        <w:rPr>
          <w:rFonts w:ascii="Verdana" w:eastAsia="Calibri" w:hAnsi="Verdana" w:cs="Arial"/>
          <w:lang w:val="es-ES" w:eastAsia="es-ES"/>
        </w:rPr>
        <w:t>Cúcuta, Norte de Santander</w:t>
      </w:r>
    </w:p>
    <w:p w14:paraId="4EB0538A" w14:textId="77777777" w:rsidR="005E2591" w:rsidRPr="00C53B42" w:rsidRDefault="005E2591" w:rsidP="005E259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5E2591" w:rsidRPr="00C53B42" w14:paraId="1DE526F2" w14:textId="77777777" w:rsidTr="00964F3A">
        <w:trPr>
          <w:trHeight w:val="218"/>
        </w:trPr>
        <w:tc>
          <w:tcPr>
            <w:tcW w:w="2175" w:type="dxa"/>
          </w:tcPr>
          <w:p w14:paraId="5D81BB55" w14:textId="77777777" w:rsidR="005E2591" w:rsidRPr="00C53B42" w:rsidRDefault="005E2591" w:rsidP="00964F3A">
            <w:pPr>
              <w:jc w:val="both"/>
              <w:rPr>
                <w:rFonts w:ascii="Verdana" w:eastAsia="Calibri" w:hAnsi="Verdana" w:cs="Arial"/>
                <w:b/>
                <w:bCs/>
                <w:color w:val="7030A0"/>
                <w:lang w:val="es-ES_tradnl" w:eastAsia="es-ES_tradnl"/>
              </w:rPr>
            </w:pPr>
          </w:p>
        </w:tc>
        <w:tc>
          <w:tcPr>
            <w:tcW w:w="6614" w:type="dxa"/>
            <w:hideMark/>
          </w:tcPr>
          <w:p w14:paraId="54FCA2CA" w14:textId="77777777" w:rsidR="005E2591" w:rsidRDefault="005E2591" w:rsidP="00964F3A">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1687</w:t>
            </w:r>
            <w:r w:rsidRPr="00C53B42">
              <w:rPr>
                <w:rFonts w:ascii="Verdana" w:eastAsia="Calibri" w:hAnsi="Verdana" w:cs="Arial"/>
                <w:b/>
                <w:bCs/>
                <w:lang w:val="es-ES" w:eastAsia="es-ES"/>
              </w:rPr>
              <w:t xml:space="preserve"> de 2025</w:t>
            </w:r>
          </w:p>
          <w:p w14:paraId="7AFE0355" w14:textId="77777777" w:rsidR="005E2591" w:rsidRPr="00C53B42" w:rsidRDefault="005E2591" w:rsidP="00964F3A">
            <w:pPr>
              <w:jc w:val="both"/>
              <w:rPr>
                <w:rFonts w:ascii="Verdana" w:eastAsia="Calibri" w:hAnsi="Verdana" w:cs="Arial"/>
                <w:b/>
                <w:bCs/>
                <w:lang w:val="es-ES" w:eastAsia="es-ES"/>
              </w:rPr>
            </w:pPr>
          </w:p>
          <w:p w14:paraId="7DD2DFEB" w14:textId="77777777" w:rsidR="005E2591" w:rsidRPr="00C53B42" w:rsidRDefault="005E2591" w:rsidP="00964F3A">
            <w:pPr>
              <w:jc w:val="both"/>
              <w:rPr>
                <w:rFonts w:ascii="Verdana" w:eastAsia="Calibri" w:hAnsi="Verdana" w:cs="Arial"/>
                <w:b/>
                <w:bCs/>
                <w:lang w:val="es-ES" w:eastAsia="es-ES"/>
              </w:rPr>
            </w:pPr>
          </w:p>
        </w:tc>
      </w:tr>
      <w:tr w:rsidR="005E2591" w:rsidRPr="00C53B42" w14:paraId="619A2B3C" w14:textId="77777777" w:rsidTr="00964F3A">
        <w:trPr>
          <w:trHeight w:val="884"/>
        </w:trPr>
        <w:tc>
          <w:tcPr>
            <w:tcW w:w="2175" w:type="dxa"/>
            <w:hideMark/>
          </w:tcPr>
          <w:p w14:paraId="7B13CD07" w14:textId="77777777" w:rsidR="005E2591" w:rsidRPr="00C53B42" w:rsidRDefault="005E2591" w:rsidP="00964F3A">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41AD91CF" w14:textId="42765B3F" w:rsidR="005E2591" w:rsidRPr="005203BA" w:rsidRDefault="005E2591" w:rsidP="00964F3A">
            <w:pPr>
              <w:jc w:val="both"/>
              <w:rPr>
                <w:rFonts w:ascii="Verdana" w:eastAsia="Century Gothic" w:hAnsi="Verdana" w:cs="Century Gothic"/>
              </w:rPr>
            </w:pPr>
            <w:r w:rsidRPr="00F850CD">
              <w:rPr>
                <w:rFonts w:ascii="Verdana" w:eastAsia="Calibri" w:hAnsi="Verdana" w:cs="Arial"/>
                <w:bCs/>
                <w:lang w:val="es-ES_tradnl"/>
              </w:rPr>
              <w:t xml:space="preserve">EXPERIENCIA – Requisito habilitante /EXPERIENCIA – Transferencia – Accionistas, socios o constituyentes – Decreto 1082 de 2015 / EXPERIENCIA ‒ Conservación ‒ Renovación RUP - </w:t>
            </w:r>
            <w:r w:rsidR="005203BA" w:rsidRPr="005203BA">
              <w:rPr>
                <w:rFonts w:ascii="Verdana" w:eastAsia="Calibri" w:hAnsi="Verdana" w:cs="Arial"/>
                <w:bCs/>
                <w:lang w:val="es-ES_tradnl"/>
              </w:rPr>
              <w:t>N</w:t>
            </w:r>
            <w:r w:rsidRPr="005203BA">
              <w:rPr>
                <w:rFonts w:ascii="Verdana" w:hAnsi="Verdana" w:cs="Arial"/>
                <w:bCs/>
                <w:lang w:val="es-ES_tradnl"/>
              </w:rPr>
              <w:t>umeral</w:t>
            </w:r>
            <w:r w:rsidRPr="00F850CD">
              <w:rPr>
                <w:rFonts w:ascii="Verdana" w:hAnsi="Verdana" w:cs="Arial"/>
                <w:bCs/>
                <w:lang w:val="es-ES_tradnl"/>
              </w:rPr>
              <w:t xml:space="preserve"> </w:t>
            </w:r>
            <w:r w:rsidRPr="00F850CD">
              <w:rPr>
                <w:rFonts w:ascii="Verdana" w:eastAsia="Century Gothic" w:hAnsi="Verdana" w:cs="Century Gothic"/>
              </w:rPr>
              <w:t>2.5 del artículo 2.2.1.1.1.5.2 del Decreto 1082 de 2015</w:t>
            </w:r>
          </w:p>
          <w:p w14:paraId="198B2718" w14:textId="77777777" w:rsidR="005203BA" w:rsidRPr="005203BA" w:rsidRDefault="005203BA" w:rsidP="005203BA">
            <w:pPr>
              <w:jc w:val="both"/>
              <w:rPr>
                <w:rFonts w:ascii="Verdana" w:eastAsia="Calibri" w:hAnsi="Verdana" w:cs="Arial"/>
                <w:bCs/>
                <w:lang w:val="es-ES_tradnl"/>
              </w:rPr>
            </w:pPr>
          </w:p>
          <w:p w14:paraId="3ABF8D3D" w14:textId="77777777" w:rsidR="005E2591" w:rsidRPr="002F05F0" w:rsidRDefault="005E2591" w:rsidP="00964F3A">
            <w:pPr>
              <w:jc w:val="both"/>
              <w:rPr>
                <w:rFonts w:ascii="Verdana" w:eastAsia="Calibri" w:hAnsi="Verdana" w:cs="Arial"/>
                <w:highlight w:val="yellow"/>
                <w:lang w:val="es-ES" w:eastAsia="es-ES"/>
              </w:rPr>
            </w:pPr>
          </w:p>
        </w:tc>
      </w:tr>
      <w:tr w:rsidR="005E2591" w14:paraId="085B1EC5" w14:textId="77777777" w:rsidTr="00964F3A">
        <w:trPr>
          <w:trHeight w:val="360"/>
        </w:trPr>
        <w:tc>
          <w:tcPr>
            <w:tcW w:w="2175" w:type="dxa"/>
            <w:hideMark/>
          </w:tcPr>
          <w:p w14:paraId="727980F9" w14:textId="77777777" w:rsidR="005E2591" w:rsidRPr="00C53B42" w:rsidRDefault="005E2591" w:rsidP="00964F3A">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3A55CB0A" w14:textId="77777777" w:rsidR="005E2591" w:rsidRPr="002F05F0" w:rsidRDefault="005E2591" w:rsidP="00964F3A">
            <w:pPr>
              <w:jc w:val="both"/>
              <w:rPr>
                <w:rFonts w:ascii="Verdana" w:eastAsia="Calibri" w:hAnsi="Verdana" w:cs="Arial"/>
                <w:highlight w:val="yellow"/>
                <w:lang w:val="es-ES_tradnl" w:eastAsia="es-ES_tradnl"/>
              </w:rPr>
            </w:pPr>
            <w:r w:rsidRPr="003F20DD">
              <w:rPr>
                <w:rFonts w:ascii="Verdana" w:eastAsia="Calibri" w:hAnsi="Verdana" w:cs="Arial"/>
                <w:lang w:val="es-ES_tradnl" w:eastAsia="es-ES_tradnl"/>
              </w:rPr>
              <w:t xml:space="preserve">Respuesta a consulta con radicado No. </w:t>
            </w:r>
            <w:r w:rsidRPr="00635F1D">
              <w:rPr>
                <w:rFonts w:ascii="Verdana" w:eastAsia="Calibri" w:hAnsi="Verdana" w:cs="Arial"/>
                <w:lang w:val="es-ES_tradnl" w:eastAsia="es-ES_tradnl"/>
              </w:rPr>
              <w:t>1_2025_11_13_012869</w:t>
            </w:r>
          </w:p>
        </w:tc>
      </w:tr>
    </w:tbl>
    <w:p w14:paraId="2AB820C4" w14:textId="77777777" w:rsidR="005E2591" w:rsidRDefault="005E2591" w:rsidP="005E2591">
      <w:pPr>
        <w:spacing w:after="0" w:line="240" w:lineRule="auto"/>
        <w:jc w:val="both"/>
        <w:rPr>
          <w:rFonts w:ascii="Verdana" w:eastAsia="Calibri" w:hAnsi="Verdana" w:cs="Arial"/>
          <w:color w:val="000000"/>
          <w:lang w:val="es-ES_tradnl" w:eastAsia="es-ES_tradnl"/>
        </w:rPr>
      </w:pPr>
    </w:p>
    <w:p w14:paraId="74CDD7B1" w14:textId="77777777" w:rsidR="005E2591" w:rsidRDefault="005E2591" w:rsidP="005E2591">
      <w:pPr>
        <w:spacing w:after="0" w:line="240" w:lineRule="auto"/>
        <w:jc w:val="both"/>
        <w:rPr>
          <w:rFonts w:ascii="Verdana" w:eastAsia="Calibri" w:hAnsi="Verdana" w:cs="Arial"/>
          <w:color w:val="000000"/>
          <w:lang w:val="es-ES_tradnl" w:eastAsia="es-ES_tradnl"/>
        </w:rPr>
      </w:pPr>
    </w:p>
    <w:p w14:paraId="17D88F00" w14:textId="77777777" w:rsidR="005E2591" w:rsidRDefault="005E2591" w:rsidP="005E2591">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Tigreros,</w:t>
      </w:r>
    </w:p>
    <w:p w14:paraId="69F2A37A" w14:textId="77777777" w:rsidR="005E2591" w:rsidRDefault="005E2591" w:rsidP="005E259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C766D2B" w14:textId="77777777" w:rsidR="005E2591" w:rsidRDefault="005E2591" w:rsidP="005E2591">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del 13 de noviembre de 2025, en la cual manifiesta lo siguiente: </w:t>
      </w:r>
    </w:p>
    <w:p w14:paraId="0646C90A" w14:textId="77777777" w:rsidR="005E2591" w:rsidRDefault="005E2591" w:rsidP="005E259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49B43DF" w14:textId="77777777" w:rsidR="005E2591" w:rsidRPr="004842FF" w:rsidRDefault="005E2591" w:rsidP="005E2591">
      <w:pPr>
        <w:autoSpaceDE w:val="0"/>
        <w:autoSpaceDN w:val="0"/>
        <w:adjustRightInd w:val="0"/>
        <w:spacing w:after="0" w:line="240" w:lineRule="auto"/>
        <w:ind w:left="709" w:right="709"/>
        <w:jc w:val="both"/>
        <w:rPr>
          <w:rFonts w:ascii="Verdana" w:hAnsi="Verdana"/>
          <w:sz w:val="20"/>
          <w:szCs w:val="20"/>
        </w:rPr>
      </w:pPr>
      <w:r w:rsidRPr="0009275E">
        <w:rPr>
          <w:rFonts w:ascii="Verdana" w:eastAsia="Century Gothic" w:hAnsi="Verdana" w:cs="Century Gothic"/>
          <w:sz w:val="20"/>
          <w:szCs w:val="20"/>
          <w:lang w:val="es-ES"/>
        </w:rPr>
        <w:t>“</w:t>
      </w:r>
      <w:r w:rsidRPr="004842FF">
        <w:rPr>
          <w:rFonts w:ascii="Verdana" w:hAnsi="Verdana"/>
          <w:sz w:val="20"/>
          <w:szCs w:val="20"/>
        </w:rPr>
        <w:t>¿Una empresa constituida legalmente, que acreditó la experiencia de uno de sus socios accionistas al momento de su constitución, conserva dicha experiencia una vez transcurridos tres (3) años desde su creación, si dicho socio se retira posteriormente de la sociedad?”</w:t>
      </w:r>
    </w:p>
    <w:p w14:paraId="3387A78A" w14:textId="77777777" w:rsidR="005E2591" w:rsidRPr="00924340" w:rsidRDefault="005E2591" w:rsidP="005E2591">
      <w:pPr>
        <w:autoSpaceDE w:val="0"/>
        <w:autoSpaceDN w:val="0"/>
        <w:adjustRightInd w:val="0"/>
        <w:spacing w:after="0" w:line="240" w:lineRule="auto"/>
        <w:ind w:left="709" w:right="709"/>
        <w:jc w:val="both"/>
        <w:rPr>
          <w:rFonts w:ascii="Verdana" w:eastAsia="Century Gothic" w:hAnsi="Verdana" w:cs="Century Gothic"/>
          <w:b/>
        </w:rPr>
      </w:pPr>
    </w:p>
    <w:p w14:paraId="763337B0" w14:textId="77777777" w:rsidR="005E2591" w:rsidRDefault="005E2591" w:rsidP="005E2591">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25EC63FC" w14:textId="77777777" w:rsidR="005E2591" w:rsidRDefault="005E2591" w:rsidP="005E2591">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78C47690" w14:textId="77777777" w:rsidR="005E2591" w:rsidRDefault="005E2591" w:rsidP="005E2591">
      <w:pPr>
        <w:spacing w:after="0" w:line="276" w:lineRule="auto"/>
        <w:ind w:firstLine="709"/>
        <w:jc w:val="both"/>
        <w:rPr>
          <w:rFonts w:ascii="Verdana" w:eastAsia="Calibri" w:hAnsi="Verdana" w:cs="Arial"/>
          <w:color w:val="000000"/>
          <w:lang w:val="es-ES" w:eastAsia="es-ES"/>
        </w:rPr>
      </w:pPr>
    </w:p>
    <w:p w14:paraId="24055F1C" w14:textId="77777777" w:rsidR="005E2591" w:rsidRDefault="005E2591" w:rsidP="005E25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7D1E851E" w14:textId="77777777" w:rsidR="005E2591" w:rsidRDefault="005E2591" w:rsidP="005E2591">
      <w:pPr>
        <w:tabs>
          <w:tab w:val="left" w:pos="426"/>
        </w:tabs>
        <w:spacing w:after="0" w:line="276" w:lineRule="auto"/>
        <w:jc w:val="both"/>
        <w:rPr>
          <w:rFonts w:ascii="Verdana" w:eastAsia="Century Gothic" w:hAnsi="Verdana" w:cs="Century Gothic"/>
          <w:lang w:val="es-ES"/>
        </w:rPr>
      </w:pPr>
    </w:p>
    <w:p w14:paraId="16E5C8D6" w14:textId="06C6BEAA" w:rsidR="005E2591" w:rsidRDefault="005E2591" w:rsidP="005E2591">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5821E0">
        <w:rPr>
          <w:rFonts w:ascii="Verdana" w:hAnsi="Verdana" w:cs="Arial"/>
          <w:bCs/>
          <w:lang w:val="es-ES_tradnl"/>
        </w:rPr>
        <w:t>¿Si el accionista, socio o constituyente que aporta la experiencia en una sociedad</w:t>
      </w:r>
      <w:r w:rsidR="005203BA">
        <w:rPr>
          <w:rFonts w:ascii="Verdana" w:hAnsi="Verdana" w:cs="Arial"/>
          <w:bCs/>
          <w:lang w:val="es-ES_tradnl"/>
        </w:rPr>
        <w:t xml:space="preserve"> nueva</w:t>
      </w:r>
      <w:r w:rsidRPr="005821E0">
        <w:rPr>
          <w:rFonts w:ascii="Verdana" w:hAnsi="Verdana" w:cs="Arial"/>
          <w:bCs/>
          <w:lang w:val="es-ES_tradnl"/>
        </w:rPr>
        <w:t xml:space="preserve">, de </w:t>
      </w:r>
      <w:r w:rsidR="005203BA">
        <w:rPr>
          <w:rFonts w:ascii="Verdana" w:hAnsi="Verdana" w:cs="Arial"/>
          <w:bCs/>
          <w:lang w:val="es-ES_tradnl"/>
        </w:rPr>
        <w:t>acuerdo con lo establecido en</w:t>
      </w:r>
      <w:r w:rsidRPr="005821E0">
        <w:rPr>
          <w:rFonts w:ascii="Verdana" w:hAnsi="Verdana" w:cs="Arial"/>
          <w:bCs/>
          <w:lang w:val="es-ES_tradnl"/>
        </w:rPr>
        <w:t xml:space="preserve"> el numeral </w:t>
      </w:r>
      <w:r w:rsidRPr="005821E0">
        <w:rPr>
          <w:rFonts w:ascii="Verdana" w:eastAsia="Century Gothic" w:hAnsi="Verdana" w:cs="Century Gothic"/>
        </w:rPr>
        <w:t xml:space="preserve">2.5 del artículo 2.2.1.1.1.5.2 del Decreto 1082 de 2015, </w:t>
      </w:r>
      <w:r w:rsidRPr="005821E0">
        <w:rPr>
          <w:rFonts w:ascii="Verdana" w:hAnsi="Verdana" w:cs="Arial"/>
          <w:bCs/>
          <w:lang w:val="es-ES_tradnl"/>
        </w:rPr>
        <w:t>se retira por venta</w:t>
      </w:r>
      <w:r>
        <w:rPr>
          <w:rFonts w:ascii="Verdana" w:hAnsi="Verdana" w:cs="Arial"/>
          <w:bCs/>
          <w:lang w:val="es-ES_tradnl"/>
        </w:rPr>
        <w:t xml:space="preserve"> o cesión</w:t>
      </w:r>
      <w:r w:rsidRPr="005821E0">
        <w:rPr>
          <w:rFonts w:ascii="Verdana" w:hAnsi="Verdana" w:cs="Arial"/>
          <w:bCs/>
          <w:lang w:val="es-ES_tradnl"/>
        </w:rPr>
        <w:t xml:space="preserve"> y pierde la calidad de socio, es posible mantener esa acreditación de la experiencia?</w:t>
      </w:r>
    </w:p>
    <w:p w14:paraId="085673D1" w14:textId="77777777" w:rsidR="005E2591" w:rsidRDefault="005E2591" w:rsidP="005E2591">
      <w:pPr>
        <w:spacing w:after="0" w:line="276" w:lineRule="auto"/>
        <w:jc w:val="both"/>
        <w:rPr>
          <w:rFonts w:ascii="Verdana" w:eastAsia="Calibri" w:hAnsi="Verdana" w:cs="Arial"/>
          <w:color w:val="7030A0"/>
          <w:lang w:val="es-ES"/>
        </w:rPr>
      </w:pPr>
    </w:p>
    <w:p w14:paraId="77A5C3A2" w14:textId="77777777" w:rsidR="005E2591" w:rsidRDefault="005E2591" w:rsidP="004842F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2D4F0C39" w14:textId="77777777" w:rsidR="005E2591" w:rsidRDefault="005E2591" w:rsidP="005E259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E2591" w:rsidRPr="00DE5508" w14:paraId="06E9A1C7" w14:textId="77777777" w:rsidTr="00964F3A">
        <w:tc>
          <w:tcPr>
            <w:tcW w:w="8828" w:type="dxa"/>
            <w:tcBorders>
              <w:top w:val="dotted" w:sz="4" w:space="0" w:color="auto"/>
              <w:left w:val="dotted" w:sz="4" w:space="0" w:color="auto"/>
              <w:bottom w:val="dotted" w:sz="4" w:space="0" w:color="auto"/>
              <w:right w:val="dotted" w:sz="4" w:space="0" w:color="auto"/>
            </w:tcBorders>
          </w:tcPr>
          <w:p w14:paraId="4C94AF9D" w14:textId="77777777" w:rsidR="005E2591" w:rsidRPr="00C53B88" w:rsidRDefault="005E2591" w:rsidP="004842FF">
            <w:pPr>
              <w:widowControl w:val="0"/>
              <w:autoSpaceDE w:val="0"/>
              <w:autoSpaceDN w:val="0"/>
              <w:spacing w:after="120" w:line="276" w:lineRule="auto"/>
              <w:ind w:firstLine="709"/>
              <w:jc w:val="both"/>
              <w:rPr>
                <w:rFonts w:ascii="Verdana" w:eastAsia="Calibri" w:hAnsi="Verdana" w:cs="Arial"/>
                <w:lang w:val="es-ES"/>
              </w:rPr>
            </w:pPr>
            <w:r w:rsidRPr="00C53B88">
              <w:rPr>
                <w:rFonts w:ascii="Verdana" w:eastAsia="Calibri" w:hAnsi="Verdana" w:cs="Arial"/>
                <w:lang w:val="es-ES"/>
              </w:rPr>
              <w:t xml:space="preserve">En relación con la experiencia como requisito habilitante para contratación administrativa, </w:t>
            </w:r>
            <w:r w:rsidRPr="00C53B88">
              <w:rPr>
                <w:rFonts w:ascii="Verdana" w:eastAsia="Calibri" w:hAnsi="Verdana" w:cs="Arial"/>
              </w:rPr>
              <w:t>la Agencia Nacional de Contratación Pública - Colombia Compra Eficiente ha reiterado las siguientes conclusiones:</w:t>
            </w:r>
          </w:p>
          <w:p w14:paraId="7F21E9C1" w14:textId="77777777" w:rsidR="005E2591" w:rsidRPr="00C53B88" w:rsidRDefault="005E2591" w:rsidP="004842FF">
            <w:pPr>
              <w:spacing w:after="120" w:line="276" w:lineRule="auto"/>
              <w:ind w:firstLine="709"/>
              <w:jc w:val="both"/>
              <w:rPr>
                <w:rFonts w:ascii="Verdana" w:eastAsia="Calibri" w:hAnsi="Verdana" w:cs="Arial"/>
                <w:lang w:val="es-MX" w:eastAsia="es-ES_tradnl"/>
              </w:rPr>
            </w:pPr>
            <w:r w:rsidRPr="00C53B88">
              <w:rPr>
                <w:rFonts w:ascii="Verdana" w:eastAsia="Calibri" w:hAnsi="Verdana" w:cs="Arial"/>
                <w:lang w:val="es-MX" w:eastAsia="es-ES_tradnl"/>
              </w:rPr>
              <w:t xml:space="preserve">i) La experiencia es </w:t>
            </w:r>
            <w:r w:rsidRPr="00C53B88">
              <w:rPr>
                <w:rFonts w:ascii="Verdana" w:eastAsia="Calibri" w:hAnsi="Verdana" w:cs="Arial"/>
                <w:i/>
                <w:iCs/>
                <w:lang w:val="es-MX" w:eastAsia="es-ES_tradnl"/>
              </w:rPr>
              <w:t>personal</w:t>
            </w:r>
            <w:r w:rsidRPr="00C53B88">
              <w:rPr>
                <w:rFonts w:ascii="Verdana" w:eastAsia="Calibri" w:hAnsi="Verdana" w:cs="Arial"/>
                <w:lang w:val="es-MX" w:eastAsia="es-ES_tradnl"/>
              </w:rPr>
              <w:t>, esto es, se adquiere participando, directa o indirectamente, sin que sea posible no hacerlo y tener experiencia.</w:t>
            </w:r>
          </w:p>
          <w:p w14:paraId="53119B81" w14:textId="5A5FF7A8" w:rsidR="005E2591" w:rsidRPr="00C53B88" w:rsidRDefault="005E2591" w:rsidP="004842FF">
            <w:pPr>
              <w:spacing w:after="120" w:line="276" w:lineRule="auto"/>
              <w:ind w:firstLine="709"/>
              <w:jc w:val="both"/>
              <w:rPr>
                <w:rFonts w:ascii="Verdana" w:eastAsia="Calibri" w:hAnsi="Verdana" w:cs="Arial"/>
                <w:lang w:val="es-MX" w:eastAsia="es-ES_tradnl"/>
              </w:rPr>
            </w:pPr>
            <w:r w:rsidRPr="00C53B88">
              <w:rPr>
                <w:rFonts w:ascii="Verdana" w:eastAsia="Calibri" w:hAnsi="Verdana" w:cs="Arial"/>
                <w:lang w:val="es-MX" w:eastAsia="es-ES_tradnl"/>
              </w:rPr>
              <w:t xml:space="preserve">ii) La experiencia se puede </w:t>
            </w:r>
            <w:r w:rsidRPr="00C53B88">
              <w:rPr>
                <w:rFonts w:ascii="Verdana" w:eastAsia="Calibri" w:hAnsi="Verdana" w:cs="Arial"/>
                <w:i/>
                <w:iCs/>
                <w:lang w:val="es-MX" w:eastAsia="es-ES_tradnl"/>
              </w:rPr>
              <w:t>compartir</w:t>
            </w:r>
            <w:r w:rsidRPr="00C53B88">
              <w:rPr>
                <w:rFonts w:ascii="Verdana" w:eastAsia="Calibri" w:hAnsi="Verdana" w:cs="Arial"/>
                <w:lang w:val="es-MX" w:eastAsia="es-ES_tradnl"/>
              </w:rPr>
              <w:t xml:space="preserve">, sin que implique que la compartida a una persona se entienda suya, ya que dentro del procedimiento contractual se reflejará que esa persona tiene la experiencia de otra, como es el caso de las figuras asociativas   </w:t>
            </w:r>
            <w:r w:rsidRPr="00C53B88">
              <w:rPr>
                <w:rFonts w:ascii="Arial" w:eastAsia="Calibri" w:hAnsi="Arial" w:cs="Arial"/>
                <w:lang w:val="es-MX" w:eastAsia="es-ES_tradnl"/>
              </w:rPr>
              <w:t>̶</w:t>
            </w:r>
            <w:r w:rsidRPr="00C53B88">
              <w:rPr>
                <w:rFonts w:ascii="Verdana" w:eastAsia="Calibri" w:hAnsi="Verdana" w:cs="Arial"/>
                <w:lang w:val="es-MX" w:eastAsia="es-ES_tradnl"/>
              </w:rPr>
              <w:t xml:space="preserve"> consorcios y uniones temporales </w:t>
            </w:r>
            <w:r w:rsidRPr="00C53B88">
              <w:rPr>
                <w:rFonts w:ascii="Arial" w:eastAsia="Calibri" w:hAnsi="Arial" w:cs="Arial"/>
                <w:lang w:val="es-MX" w:eastAsia="es-ES_tradnl"/>
              </w:rPr>
              <w:t>̶</w:t>
            </w:r>
            <w:r w:rsidRPr="00C53B88">
              <w:rPr>
                <w:rFonts w:ascii="Verdana" w:eastAsia="Calibri" w:hAnsi="Verdana" w:cs="Arial"/>
                <w:lang w:val="es-MX" w:eastAsia="es-ES_tradnl"/>
              </w:rPr>
              <w:t xml:space="preserve">   que se verificar</w:t>
            </w:r>
            <w:r w:rsidRPr="00C53B88">
              <w:rPr>
                <w:rFonts w:ascii="Verdana" w:eastAsia="Calibri" w:hAnsi="Verdana" w:cs="Geomanist Light"/>
                <w:lang w:val="es-MX" w:eastAsia="es-ES_tradnl"/>
              </w:rPr>
              <w:t>á</w:t>
            </w:r>
            <w:r w:rsidRPr="00C53B88">
              <w:rPr>
                <w:rFonts w:ascii="Verdana" w:eastAsia="Calibri" w:hAnsi="Verdana" w:cs="Arial"/>
                <w:lang w:val="es-MX" w:eastAsia="es-ES_tradnl"/>
              </w:rPr>
              <w:t xml:space="preserve"> en el documento privado de constitución.</w:t>
            </w:r>
          </w:p>
          <w:p w14:paraId="65879095" w14:textId="77777777" w:rsidR="005E2591" w:rsidRPr="00C53B88" w:rsidRDefault="005E2591" w:rsidP="004842FF">
            <w:pPr>
              <w:spacing w:after="120" w:line="276" w:lineRule="auto"/>
              <w:ind w:firstLine="709"/>
              <w:jc w:val="both"/>
              <w:rPr>
                <w:rFonts w:ascii="Verdana" w:eastAsia="Calibri" w:hAnsi="Verdana" w:cs="Arial"/>
                <w:lang w:val="es-MX" w:eastAsia="es-ES_tradnl"/>
              </w:rPr>
            </w:pPr>
            <w:r w:rsidRPr="00C53B88">
              <w:rPr>
                <w:rFonts w:ascii="Verdana" w:eastAsia="Calibri" w:hAnsi="Verdana" w:cs="Arial"/>
                <w:lang w:val="es-MX" w:eastAsia="es-ES_tradnl"/>
              </w:rPr>
              <w:t xml:space="preserve">iii) Cuando la persona que adquirió la experiencia </w:t>
            </w:r>
            <w:r w:rsidRPr="00C53B88">
              <w:rPr>
                <w:rFonts w:ascii="Verdana" w:eastAsia="Calibri" w:hAnsi="Verdana" w:cs="Arial"/>
                <w:i/>
                <w:iCs/>
                <w:lang w:val="es-MX" w:eastAsia="es-ES_tradnl"/>
              </w:rPr>
              <w:t>desaparece</w:t>
            </w:r>
            <w:r w:rsidRPr="00C53B88">
              <w:rPr>
                <w:rFonts w:ascii="Verdana" w:eastAsia="Calibri" w:hAnsi="Verdana" w:cs="Arial"/>
                <w:lang w:val="es-MX" w:eastAsia="es-ES_tradnl"/>
              </w:rPr>
              <w:t xml:space="preserve"> o se liquida no es posible que comparta o transfiera su experiencia, porque al ser personal sigue la suerte de quien la adquirió.</w:t>
            </w:r>
          </w:p>
          <w:p w14:paraId="1CC2937A" w14:textId="77777777" w:rsidR="005E2591" w:rsidRPr="00C53B88" w:rsidRDefault="005E2591" w:rsidP="004842FF">
            <w:pPr>
              <w:spacing w:after="120" w:line="276" w:lineRule="auto"/>
              <w:ind w:firstLine="709"/>
              <w:jc w:val="both"/>
              <w:rPr>
                <w:rFonts w:ascii="Verdana" w:eastAsia="Calibri" w:hAnsi="Verdana" w:cs="Arial"/>
                <w:lang w:val="es-MX" w:eastAsia="es-ES_tradnl"/>
              </w:rPr>
            </w:pPr>
            <w:r w:rsidRPr="00C53B88">
              <w:rPr>
                <w:rFonts w:ascii="Verdana" w:eastAsia="Calibri" w:hAnsi="Verdana" w:cs="Arial"/>
                <w:lang w:val="es-MX" w:eastAsia="es-ES_tradnl"/>
              </w:rPr>
              <w:lastRenderedPageBreak/>
              <w:t xml:space="preserve">iv) La experiencia se puede </w:t>
            </w:r>
            <w:r w:rsidRPr="00C53B88">
              <w:rPr>
                <w:rFonts w:ascii="Verdana" w:eastAsia="Calibri" w:hAnsi="Verdana" w:cs="Arial"/>
                <w:i/>
                <w:iCs/>
                <w:lang w:val="es-MX" w:eastAsia="es-ES_tradnl"/>
              </w:rPr>
              <w:t>transferir</w:t>
            </w:r>
            <w:r w:rsidRPr="00C53B88">
              <w:rPr>
                <w:rFonts w:ascii="Verdana" w:eastAsia="Calibri" w:hAnsi="Verdana" w:cs="Arial"/>
                <w:lang w:val="es-MX" w:eastAsia="es-ES_tradnl"/>
              </w:rPr>
              <w:t>, y esto es diferente a compartir, lo que implica que la experiencia de una persona se traslada a otra, y esta última acredita la experiencia como propia, como se explica a continuación.</w:t>
            </w:r>
          </w:p>
          <w:p w14:paraId="451D6125" w14:textId="417BA8CE" w:rsidR="005E2591" w:rsidRDefault="005E2591" w:rsidP="004842FF">
            <w:pPr>
              <w:spacing w:after="120" w:line="276" w:lineRule="auto"/>
              <w:ind w:firstLine="709"/>
              <w:jc w:val="both"/>
              <w:rPr>
                <w:rFonts w:ascii="Verdana" w:eastAsia="Times New Roman" w:hAnsi="Verdana" w:cs="Arial"/>
                <w:lang w:val="es-MX" w:eastAsia="es-ES_tradnl"/>
              </w:rPr>
            </w:pPr>
            <w:r w:rsidRPr="00C53B88">
              <w:rPr>
                <w:rFonts w:ascii="Verdana" w:eastAsia="Times New Roman" w:hAnsi="Verdana" w:cs="Arial"/>
                <w:lang w:val="es-ES_tradnl" w:eastAsia="es-ES_tradnl"/>
                <w14:ligatures w14:val="standardContextual"/>
              </w:rPr>
              <w:t>Ahora bien, teniendo en c</w:t>
            </w:r>
            <w:r>
              <w:rPr>
                <w:rFonts w:ascii="Verdana" w:eastAsia="Times New Roman" w:hAnsi="Verdana" w:cs="Arial"/>
                <w:lang w:val="es-ES_tradnl" w:eastAsia="es-ES_tradnl"/>
                <w14:ligatures w14:val="standardContextual"/>
              </w:rPr>
              <w:t>uen</w:t>
            </w:r>
            <w:r w:rsidRPr="00C53B88">
              <w:rPr>
                <w:rFonts w:ascii="Verdana" w:eastAsia="Times New Roman" w:hAnsi="Verdana" w:cs="Arial"/>
                <w:lang w:val="es-ES_tradnl" w:eastAsia="es-ES_tradnl"/>
                <w14:ligatures w14:val="standardContextual"/>
              </w:rPr>
              <w:t>ta lo anterior, para resolver el problema jurídico</w:t>
            </w:r>
            <w:r>
              <w:rPr>
                <w:rFonts w:ascii="Verdana" w:eastAsia="Times New Roman" w:hAnsi="Verdana" w:cs="Arial"/>
                <w:lang w:val="es-ES_tradnl" w:eastAsia="es-ES_tradnl"/>
                <w14:ligatures w14:val="standardContextual"/>
              </w:rPr>
              <w:t xml:space="preserve"> de su consulta </w:t>
            </w:r>
            <w:r w:rsidRPr="00C53B88">
              <w:rPr>
                <w:rFonts w:ascii="Verdana" w:eastAsia="Calibri" w:hAnsi="Verdana" w:cs="Arial"/>
                <w:lang w:val="es-ES"/>
              </w:rPr>
              <w:t xml:space="preserve">la normativa de contratación establece una figura que permite la transferencia de experiencia en las sociedades con menos de 3 años de constitución como sigue: </w:t>
            </w:r>
            <w:r w:rsidRPr="00C53B88">
              <w:rPr>
                <w:rFonts w:ascii="Verdana" w:hAnsi="Verdana"/>
                <w:i/>
                <w:iCs/>
                <w:shd w:val="clear" w:color="auto" w:fill="FFFFFF"/>
              </w:rPr>
              <w:t xml:space="preserve">“2.5.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r w:rsidRPr="00C53B88">
              <w:rPr>
                <w:rFonts w:ascii="Verdana" w:hAnsi="Verdana"/>
                <w:b/>
                <w:bCs/>
                <w:i/>
                <w:iCs/>
                <w:u w:val="single"/>
                <w:shd w:val="clear" w:color="auto" w:fill="FFFFFF"/>
              </w:rPr>
              <w:t>Si la constitución del interesado es menor a tres (3) años, puede acreditar la experiencia de sus accionistas, socios o constituyentes</w:t>
            </w:r>
            <w:r w:rsidRPr="00C53B88">
              <w:rPr>
                <w:rFonts w:ascii="Verdana" w:hAnsi="Verdana"/>
                <w:shd w:val="clear" w:color="auto" w:fill="FFFFFF"/>
              </w:rPr>
              <w:t>.”</w:t>
            </w:r>
          </w:p>
          <w:p w14:paraId="132495B2" w14:textId="77777777" w:rsidR="005E2591" w:rsidRDefault="005E2591" w:rsidP="004842FF">
            <w:pPr>
              <w:spacing w:after="120" w:line="276" w:lineRule="auto"/>
              <w:ind w:firstLine="709"/>
              <w:jc w:val="both"/>
              <w:rPr>
                <w:rFonts w:ascii="Verdana" w:eastAsia="Times New Roman" w:hAnsi="Verdana" w:cs="Arial"/>
                <w:lang w:val="es-MX" w:eastAsia="es-ES_tradnl"/>
              </w:rPr>
            </w:pPr>
            <w:r w:rsidRPr="00C53B88">
              <w:rPr>
                <w:rFonts w:ascii="Verdana" w:eastAsia="Times New Roman" w:hAnsi="Verdana" w:cs="Arial"/>
                <w:lang w:val="es-MX" w:eastAsia="es-ES_tradnl"/>
              </w:rPr>
              <w:t xml:space="preserve">Sin embargo, debe aclararse que el Decreto 1082 de 2015 sólo permite que una sociedad acredite la experiencia de quienes tienen la calidad de accionistas, socios o constituyentes durante los primeros tres (3) años de su constitución. Por tanto, si se pierden estas calidades, como sucedería cuando un socio se retira por venta o cesión de su participación y pierde su calidad de socio, ya no sería aceptable que la sociedad acredite la experiencia aportada por dicha persona. </w:t>
            </w:r>
            <w:r w:rsidRPr="00C53B88">
              <w:rPr>
                <w:rFonts w:ascii="Verdana" w:eastAsia="Calibri" w:hAnsi="Verdana" w:cs="Arial"/>
                <w:lang w:val="es-MX"/>
              </w:rPr>
              <w:t xml:space="preserve">Por tanto, si no se tiene o se pierden estas calidades, como sucedería cuando un socio se retira por venta o cesión de su participación y pierde su calidad de socio, ya no sería posible que la sociedad acredite la experiencia aportada por dicha persona, toda vez que la experiencia es inherente a la persona que la ha obtenido, razón por la cual es intransferible en virtud de su carácter personalísimo, pero por disposición legal o reglamentaria, en casos excepcionales se permite transferirla, como el descrito por el </w:t>
            </w:r>
            <w:r w:rsidRPr="00C53B88">
              <w:rPr>
                <w:rFonts w:ascii="Verdana" w:eastAsia="Century Gothic" w:hAnsi="Verdana" w:cs="Century Gothic"/>
              </w:rPr>
              <w:t>numeral 2.5 del artículo 2.2.1.1.1.5.2 del Decreto 1082 de 2015</w:t>
            </w:r>
            <w:r w:rsidRPr="00C53B88">
              <w:rPr>
                <w:rFonts w:ascii="Verdana" w:eastAsia="Calibri" w:hAnsi="Verdana" w:cs="Arial"/>
                <w:lang w:val="es-MX"/>
              </w:rPr>
              <w:t>.</w:t>
            </w:r>
          </w:p>
          <w:p w14:paraId="7D8F8B8D" w14:textId="77777777" w:rsidR="005E2591" w:rsidRPr="00DE5508" w:rsidRDefault="005E2591" w:rsidP="004842FF">
            <w:pPr>
              <w:spacing w:line="276" w:lineRule="auto"/>
              <w:ind w:firstLine="709"/>
              <w:jc w:val="both"/>
              <w:rPr>
                <w:rFonts w:ascii="Verdana" w:hAnsi="Verdana"/>
              </w:rPr>
            </w:pPr>
            <w:r w:rsidRPr="00C53B88">
              <w:rPr>
                <w:rFonts w:ascii="Verdana" w:hAnsi="Verdana"/>
              </w:rPr>
              <w:t xml:space="preserve">Dentro de este marco, corresponde a cada entidad, en ejercicio de su competencia y previa valoración de los elementos fácticos y jurídicos, así como de las disposiciones legales mencionadas, determinar su gestión contractual. Al tratarse de un análisis que debe realizarse en el procedimiento contractual específico, la Agencia no puede definir un criterio universal y absoluto por vía </w:t>
            </w:r>
            <w:r w:rsidRPr="00C53B88">
              <w:rPr>
                <w:rFonts w:ascii="Verdana" w:hAnsi="Verdana"/>
              </w:rPr>
              <w:lastRenderedPageBreak/>
              <w:t>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Pr>
                <w:rFonts w:ascii="Verdana" w:hAnsi="Verdana"/>
              </w:rPr>
              <w:t>.</w:t>
            </w:r>
          </w:p>
        </w:tc>
      </w:tr>
    </w:tbl>
    <w:p w14:paraId="4BF00504" w14:textId="77777777" w:rsidR="005E2591" w:rsidRPr="00DE5508" w:rsidRDefault="005E2591" w:rsidP="005E2591">
      <w:pPr>
        <w:tabs>
          <w:tab w:val="left" w:pos="142"/>
          <w:tab w:val="left" w:pos="284"/>
        </w:tabs>
        <w:spacing w:after="0" w:line="276" w:lineRule="auto"/>
        <w:jc w:val="both"/>
        <w:rPr>
          <w:rFonts w:ascii="Verdana" w:eastAsia="Century Gothic" w:hAnsi="Verdana" w:cs="Century Gothic"/>
          <w:b/>
          <w:bCs/>
          <w:lang w:val="es-ES"/>
        </w:rPr>
      </w:pPr>
    </w:p>
    <w:p w14:paraId="51FD4D5C" w14:textId="77777777" w:rsidR="005E2591" w:rsidRDefault="005E2591" w:rsidP="004842F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7D8D9344" w14:textId="77777777" w:rsidR="005E2591" w:rsidRDefault="005E2591" w:rsidP="005E2591">
      <w:pPr>
        <w:spacing w:after="0" w:line="276" w:lineRule="auto"/>
        <w:jc w:val="both"/>
        <w:rPr>
          <w:rFonts w:ascii="Verdana" w:eastAsia="Calibri" w:hAnsi="Verdana" w:cs="Arial"/>
          <w:color w:val="7030A0"/>
          <w:lang w:val="es-ES"/>
        </w:rPr>
      </w:pPr>
    </w:p>
    <w:p w14:paraId="3B579788" w14:textId="77777777" w:rsidR="005E2591" w:rsidRDefault="005E2591" w:rsidP="005E2591">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2A5D11C0" w14:textId="77777777" w:rsidR="005E2591" w:rsidRDefault="005E2591" w:rsidP="004842FF">
      <w:pPr>
        <w:widowControl w:val="0"/>
        <w:autoSpaceDE w:val="0"/>
        <w:autoSpaceDN w:val="0"/>
        <w:spacing w:after="0" w:line="276" w:lineRule="auto"/>
        <w:jc w:val="both"/>
        <w:rPr>
          <w:rFonts w:ascii="Verdana" w:eastAsia="Calibri" w:hAnsi="Verdana" w:cs="Arial"/>
          <w:lang w:val="es-ES"/>
        </w:rPr>
      </w:pPr>
    </w:p>
    <w:p w14:paraId="30F8692D" w14:textId="4007BF8D" w:rsidR="00984E00" w:rsidRDefault="005E2591" w:rsidP="005966F1">
      <w:pPr>
        <w:spacing w:after="120" w:line="276" w:lineRule="auto"/>
        <w:jc w:val="both"/>
        <w:rPr>
          <w:rFonts w:ascii="Verdana" w:eastAsia="Calibri" w:hAnsi="Verdana" w:cs="Arial"/>
        </w:rPr>
      </w:pPr>
      <w:r w:rsidRPr="00C53B88">
        <w:rPr>
          <w:rFonts w:ascii="Verdana" w:eastAsia="Calibri" w:hAnsi="Verdana" w:cs="Arial"/>
        </w:rPr>
        <w:t>La Ley 1150 de 2007, en el artículo 5, establece los requisitos habilitantes para participar en un procedimiento contractual, dentro de los cuales se destaca la experiencia</w:t>
      </w:r>
      <w:r w:rsidR="00984E00">
        <w:rPr>
          <w:rFonts w:ascii="Verdana" w:eastAsia="Calibri" w:hAnsi="Verdana" w:cs="Arial"/>
        </w:rPr>
        <w:t>. Su</w:t>
      </w:r>
      <w:r w:rsidRPr="00C53B88">
        <w:rPr>
          <w:rFonts w:ascii="Verdana" w:eastAsia="Calibri" w:hAnsi="Verdana" w:cs="Arial"/>
        </w:rPr>
        <w:t xml:space="preserve"> propósito es que las entidades fijen unos requisitos mínimos que debe tener y acreditar el proponente, para que la entidad pueda verificar su aptitud para participar en el procedimiento de contratación y, si se le adjudica, ejecutar el contrato estatal</w:t>
      </w:r>
      <w:r w:rsidRPr="00C53B88">
        <w:rPr>
          <w:rFonts w:ascii="Verdana" w:eastAsia="Calibri" w:hAnsi="Verdana" w:cs="Arial"/>
          <w:vertAlign w:val="superscript"/>
        </w:rPr>
        <w:footnoteReference w:id="2"/>
      </w:r>
      <w:r w:rsidRPr="00C53B88">
        <w:rPr>
          <w:rFonts w:ascii="Verdana" w:eastAsia="Calibri" w:hAnsi="Verdana" w:cs="Arial"/>
        </w:rPr>
        <w:t xml:space="preserve">. </w:t>
      </w:r>
    </w:p>
    <w:p w14:paraId="4F7EC851" w14:textId="44E7BC23" w:rsidR="005E2591" w:rsidRPr="00C53B88" w:rsidRDefault="005E2591" w:rsidP="004842FF">
      <w:pPr>
        <w:spacing w:after="120" w:line="276" w:lineRule="auto"/>
        <w:ind w:firstLine="708"/>
        <w:jc w:val="both"/>
        <w:rPr>
          <w:rFonts w:ascii="Verdana" w:eastAsia="Calibri" w:hAnsi="Verdana" w:cs="Arial"/>
          <w:highlight w:val="yellow"/>
        </w:rPr>
      </w:pPr>
      <w:r w:rsidRPr="00C53B88">
        <w:rPr>
          <w:rFonts w:ascii="Verdana" w:eastAsia="Calibri" w:hAnsi="Verdana" w:cs="Arial"/>
        </w:rPr>
        <w:t>En ese sentido, la entidad, como responsable de la estructuración de su procedimiento de contratación, es autónoma para requerir la experiencia necesaria para el objeto contractual que se pretende satisfacer con el procedimiento, para lo cual, de acuerdo con el artículo 2.2.1.1.1.6.2. del Decreto 1082 de 2015, debe tener en cuenta el estudio del sector y sus componentes, como la identificación de riesgos, así como el mercado y precio del bien, obra o servicio a contratar</w:t>
      </w:r>
      <w:r w:rsidRPr="00C53B88">
        <w:rPr>
          <w:rFonts w:ascii="Verdana" w:eastAsia="Calibri" w:hAnsi="Verdana" w:cs="Arial"/>
          <w:vertAlign w:val="superscript"/>
        </w:rPr>
        <w:footnoteReference w:id="3"/>
      </w:r>
      <w:r w:rsidRPr="00C53B88">
        <w:rPr>
          <w:rFonts w:ascii="Verdana" w:eastAsia="Calibri" w:hAnsi="Verdana" w:cs="Arial"/>
        </w:rPr>
        <w:t>.</w:t>
      </w:r>
    </w:p>
    <w:p w14:paraId="4DD7B5E6" w14:textId="77777777" w:rsidR="005E2591" w:rsidRPr="00C53B88" w:rsidRDefault="005E2591" w:rsidP="004842FF">
      <w:pPr>
        <w:spacing w:after="120" w:line="276" w:lineRule="auto"/>
        <w:ind w:firstLine="708"/>
        <w:jc w:val="both"/>
        <w:rPr>
          <w:rFonts w:ascii="Verdana" w:eastAsia="Calibri" w:hAnsi="Verdana" w:cs="Arial"/>
        </w:rPr>
      </w:pPr>
      <w:r w:rsidRPr="00C53B88">
        <w:rPr>
          <w:rFonts w:ascii="Verdana" w:eastAsia="Calibri" w:hAnsi="Verdana" w:cs="Arial"/>
        </w:rPr>
        <w:t xml:space="preserve">La experiencia que se deriva de los contratos que el proponente ha celebrado y ejecutado con diferentes contratantes, sin importar la naturaleza de </w:t>
      </w:r>
      <w:r w:rsidRPr="00C53B88">
        <w:rPr>
          <w:rFonts w:ascii="Verdana" w:eastAsia="Calibri" w:hAnsi="Verdana" w:cs="Arial"/>
        </w:rPr>
        <w:lastRenderedPageBreak/>
        <w:t>estos, se verifica con el Registro Único de Proponentes – RUP</w:t>
      </w:r>
      <w:r w:rsidRPr="00C53B88">
        <w:rPr>
          <w:rFonts w:ascii="Verdana" w:eastAsia="Calibri" w:hAnsi="Verdana" w:cs="Arial"/>
          <w:vertAlign w:val="superscript"/>
        </w:rPr>
        <w:footnoteReference w:id="4"/>
      </w:r>
      <w:r w:rsidRPr="00C53B88">
        <w:rPr>
          <w:rFonts w:ascii="Verdana" w:eastAsia="Calibri" w:hAnsi="Verdana" w:cs="Arial"/>
        </w:rPr>
        <w:t>, cuando este certificado sea exigible de acuerdo con la ley. En el RUP constan los requisitos habilitantes que se evalúan exclusivamente con este documento, que es su plena prueba, sin que la entidad o el proponente puedan solicitar o aportar otra documentación</w:t>
      </w:r>
      <w:r w:rsidRPr="00C53B88">
        <w:rPr>
          <w:rFonts w:ascii="Verdana" w:eastAsia="Calibri" w:hAnsi="Verdana" w:cs="Arial"/>
          <w:vertAlign w:val="superscript"/>
        </w:rPr>
        <w:footnoteReference w:id="5"/>
      </w:r>
      <w:r w:rsidRPr="00C53B88">
        <w:rPr>
          <w:rFonts w:ascii="Verdana" w:eastAsia="Calibri" w:hAnsi="Verdana" w:cs="Arial"/>
        </w:rPr>
        <w:t>.</w:t>
      </w:r>
    </w:p>
    <w:p w14:paraId="676A16AA" w14:textId="77777777" w:rsidR="005E2591" w:rsidRPr="00C53B88" w:rsidRDefault="005E2591" w:rsidP="004842FF">
      <w:pPr>
        <w:spacing w:after="120" w:line="276" w:lineRule="auto"/>
        <w:ind w:firstLine="708"/>
        <w:jc w:val="both"/>
        <w:rPr>
          <w:rFonts w:ascii="Verdana" w:eastAsia="Calibri" w:hAnsi="Verdana" w:cs="Arial"/>
        </w:rPr>
      </w:pPr>
      <w:r w:rsidRPr="00C53B88">
        <w:rPr>
          <w:rFonts w:ascii="Verdana" w:eastAsia="Calibri" w:hAnsi="Verdana" w:cs="Arial"/>
        </w:rPr>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 Tales documentos deben codificarse con el clasificador de bienes y servicios en el tercer nivel</w:t>
      </w:r>
      <w:r w:rsidRPr="00C53B88">
        <w:rPr>
          <w:rFonts w:ascii="Verdana" w:eastAsia="Calibri" w:hAnsi="Verdana" w:cs="Arial"/>
          <w:vertAlign w:val="superscript"/>
        </w:rPr>
        <w:footnoteReference w:id="6"/>
      </w:r>
      <w:r w:rsidRPr="00C53B88">
        <w:rPr>
          <w:rFonts w:ascii="Verdana" w:eastAsia="Calibri" w:hAnsi="Verdana" w:cs="Ari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Por </w:t>
      </w:r>
      <w:r w:rsidRPr="00C53B88">
        <w:rPr>
          <w:rFonts w:ascii="Verdana" w:eastAsia="Calibri" w:hAnsi="Verdana" w:cs="Arial"/>
        </w:rPr>
        <w:lastRenderedPageBreak/>
        <w:t>lo anterior, es pertinente aclarar que los códigos del clasificador de bienes y servicios ayudan a que exista un lenguaje común en la denominación de los bienes, obras o servicios que los proveedores ofrecen y que las entidades solicitan, sin que la entidad los evalúe, ya que lo que es objeto de evaluación es la experiencia clasificada de esta forma.</w:t>
      </w:r>
    </w:p>
    <w:p w14:paraId="6BF456FD" w14:textId="77777777" w:rsidR="005E2591" w:rsidRPr="00C53B88" w:rsidRDefault="005E2591" w:rsidP="004842FF">
      <w:pPr>
        <w:spacing w:after="120" w:line="276" w:lineRule="auto"/>
        <w:ind w:firstLine="709"/>
        <w:jc w:val="both"/>
        <w:rPr>
          <w:rFonts w:ascii="Verdana" w:eastAsia="Calibri" w:hAnsi="Verdana" w:cs="Arial"/>
        </w:rPr>
      </w:pPr>
      <w:r w:rsidRPr="00C53B88">
        <w:rPr>
          <w:rFonts w:ascii="Verdana" w:eastAsia="Calibri" w:hAnsi="Verdana" w:cs="Arial"/>
        </w:rPr>
        <w:t>La experiencia como requisito habilitante es personal, lo cual significa que quien tiene la experiencia lo hace en razón de su participación, con anterioridad, en actividades que le permitieron conocer cómo ejecutar el objeto contractual que la entidad pretende satisfacer ahora</w:t>
      </w:r>
      <w:r w:rsidRPr="00C53B88">
        <w:rPr>
          <w:rFonts w:ascii="Verdana" w:eastAsia="Calibri" w:hAnsi="Verdana" w:cs="Arial"/>
          <w:vertAlign w:val="superscript"/>
        </w:rPr>
        <w:footnoteReference w:id="7"/>
      </w:r>
      <w:r w:rsidRPr="00C53B88">
        <w:rPr>
          <w:rFonts w:ascii="Verdana" w:eastAsia="Calibri" w:hAnsi="Verdana" w:cs="Arial"/>
        </w:rPr>
        <w:t>. Lo anterior es determinante porque no es posible tener experiencia si en la práctica no se han ejecutado actividades similares previas. Precisamente, de la experiencia se deriva el conocimiento del proponente, y para la contratación pública es importante, ya que garantiza que no habrá improvisación ni mayores costos por errores o dificultades originadas en realizar una actividad por primera vez.</w:t>
      </w:r>
    </w:p>
    <w:p w14:paraId="17BA22F2" w14:textId="77777777" w:rsidR="005E2591" w:rsidRPr="00C53B88" w:rsidRDefault="005E2591" w:rsidP="004842FF">
      <w:pPr>
        <w:spacing w:after="120" w:line="276" w:lineRule="auto"/>
        <w:ind w:firstLine="709"/>
        <w:jc w:val="both"/>
        <w:rPr>
          <w:rFonts w:ascii="Verdana" w:eastAsia="Calibri" w:hAnsi="Verdana" w:cs="Arial"/>
        </w:rPr>
      </w:pPr>
      <w:r w:rsidRPr="00C53B88">
        <w:rPr>
          <w:rFonts w:ascii="Verdana" w:eastAsia="Calibri" w:hAnsi="Verdana" w:cs="Arial"/>
        </w:rPr>
        <w:t xml:space="preserve"> </w:t>
      </w:r>
      <w:bookmarkStart w:id="2" w:name="_Hlk113212591"/>
      <w:r w:rsidRPr="00C53B88">
        <w:rPr>
          <w:rFonts w:ascii="Verdana" w:eastAsia="Calibri" w:hAnsi="Verdana" w:cs="Arial"/>
        </w:rPr>
        <w:t xml:space="preserve">Al respecto, la jurisprudencia ha señalado que la experiencia acreditable </w:t>
      </w:r>
      <w:r w:rsidRPr="00C53B88">
        <w:rPr>
          <w:rFonts w:ascii="Verdana" w:hAnsi="Verdana" w:cs="Arial"/>
        </w:rPr>
        <w:t>“</w:t>
      </w:r>
      <w:r w:rsidRPr="00C53B88">
        <w:rPr>
          <w:rFonts w:ascii="Verdana" w:eastAsia="Calibri" w:hAnsi="Verdana" w:cs="Arial"/>
        </w:rPr>
        <w:t>no es más que un valor agregado para el contratista en consideración al registro documentado del hecho de haberlo ejecutado, es decir de haber cumplido las consideraciones pactadas, asunto que alude a un estado adquirido por el contratante en función de la real ejecución que han hecho del contrato. La experiencia predicada de un sujeto comprende unas competencias o habilidades que este obtuvo, como consecuencia de la ejecución del contrato […]</w:t>
      </w:r>
      <w:r w:rsidRPr="00C53B88">
        <w:rPr>
          <w:rFonts w:ascii="Verdana" w:hAnsi="Verdana" w:cs="Arial"/>
        </w:rPr>
        <w:t>”</w:t>
      </w:r>
      <w:r w:rsidRPr="00C53B88">
        <w:rPr>
          <w:rStyle w:val="Refdenotaalpie"/>
          <w:rFonts w:ascii="Verdana" w:hAnsi="Verdana" w:cs="Arial"/>
        </w:rPr>
        <w:footnoteReference w:id="8"/>
      </w:r>
      <w:r w:rsidRPr="00C53B88">
        <w:rPr>
          <w:rFonts w:ascii="Verdana" w:hAnsi="Verdana" w:cs="Arial"/>
        </w:rPr>
        <w:t xml:space="preserve">. En tal sentido, la ejecución del contrato “se revela como un aspecto inherente a la persona que lo ejecutó”, por lo que es en virtud de dicha ejecución que se obtiene las habilidades y competencias que califican al proponente. </w:t>
      </w:r>
    </w:p>
    <w:bookmarkEnd w:id="2"/>
    <w:p w14:paraId="5ADB5B47" w14:textId="77777777" w:rsidR="005E2591" w:rsidRPr="00C53B88" w:rsidRDefault="005E2591" w:rsidP="004842FF">
      <w:pPr>
        <w:spacing w:after="120" w:line="276" w:lineRule="auto"/>
        <w:ind w:firstLine="708"/>
        <w:jc w:val="both"/>
        <w:rPr>
          <w:rFonts w:ascii="Verdana" w:eastAsia="Calibri" w:hAnsi="Verdana" w:cs="Arial"/>
        </w:rPr>
      </w:pPr>
      <w:r w:rsidRPr="00C53B88">
        <w:rPr>
          <w:rFonts w:ascii="Verdana" w:eastAsia="Calibri" w:hAnsi="Verdana" w:cs="Arial"/>
        </w:rPr>
        <w:lastRenderedPageBreak/>
        <w:t xml:space="preserve">Adicionalmente, el manual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evento en el cual, por tratarse de esquemas asociativos, la experiencia es compartida. Por otra parte, la Agencia recomienda que la experiencia que se solicite sea proporcional y no igual al objeto que se va a contratar, ya que esto puede limitar la participación de los proveedores, por no haber ejecutado un objeto igual pero sí similar, que puede funcionar para las exigencias de la entidad ayudando a que exista pluralidad de oferentes. </w:t>
      </w:r>
    </w:p>
    <w:p w14:paraId="2C49A9EE" w14:textId="77777777" w:rsidR="005E2591" w:rsidRPr="00C53B88" w:rsidRDefault="005E2591" w:rsidP="004842FF">
      <w:pPr>
        <w:widowControl w:val="0"/>
        <w:autoSpaceDE w:val="0"/>
        <w:autoSpaceDN w:val="0"/>
        <w:spacing w:after="120" w:line="276" w:lineRule="auto"/>
        <w:ind w:firstLine="708"/>
        <w:jc w:val="both"/>
        <w:rPr>
          <w:rFonts w:ascii="Verdana" w:eastAsia="Calibri" w:hAnsi="Verdana" w:cs="Arial"/>
          <w:lang w:val="es-ES"/>
        </w:rPr>
      </w:pPr>
      <w:r w:rsidRPr="00C53B88">
        <w:rPr>
          <w:rFonts w:ascii="Verdana" w:eastAsia="Calibri" w:hAnsi="Verdana" w:cs="Arial"/>
          <w:lang w:val="es-ES"/>
        </w:rPr>
        <w:t xml:space="preserve">En relación con la experiencia como requisito habilitante para contratación administrativa, </w:t>
      </w:r>
      <w:r w:rsidRPr="00C53B88">
        <w:rPr>
          <w:rFonts w:ascii="Verdana" w:eastAsia="Calibri" w:hAnsi="Verdana" w:cs="Arial"/>
        </w:rPr>
        <w:t>la Agencia Nacional de Contratación Pública - Colombia Compra Eficiente ha reiterado las siguientes conclusiones:</w:t>
      </w:r>
    </w:p>
    <w:p w14:paraId="2108E1F6" w14:textId="77777777" w:rsidR="005E2591" w:rsidRPr="00C53B88" w:rsidRDefault="005E2591" w:rsidP="004842FF">
      <w:pPr>
        <w:spacing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 La experiencia es </w:t>
      </w:r>
      <w:r w:rsidRPr="00C53B88">
        <w:rPr>
          <w:rFonts w:ascii="Verdana" w:eastAsia="Calibri" w:hAnsi="Verdana" w:cs="Arial"/>
          <w:i/>
          <w:iCs/>
          <w:lang w:val="es-MX" w:eastAsia="es-ES_tradnl"/>
        </w:rPr>
        <w:t>personal</w:t>
      </w:r>
      <w:r w:rsidRPr="00C53B88">
        <w:rPr>
          <w:rFonts w:ascii="Verdana" w:eastAsia="Calibri" w:hAnsi="Verdana" w:cs="Arial"/>
          <w:lang w:val="es-MX" w:eastAsia="es-ES_tradnl"/>
        </w:rPr>
        <w:t>, esto es, se adquiere participando, directa o indirectamente, sin que sea posible no hacerlo y tener experiencia.</w:t>
      </w:r>
    </w:p>
    <w:p w14:paraId="6CD14D51" w14:textId="77777777" w:rsidR="005E2591" w:rsidRPr="00C53B88" w:rsidRDefault="005E2591" w:rsidP="004842FF">
      <w:pPr>
        <w:spacing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ii) La experiencia se puede </w:t>
      </w:r>
      <w:r w:rsidRPr="00C53B88">
        <w:rPr>
          <w:rFonts w:ascii="Verdana" w:eastAsia="Calibri" w:hAnsi="Verdana" w:cs="Arial"/>
          <w:i/>
          <w:iCs/>
          <w:lang w:val="es-MX" w:eastAsia="es-ES_tradnl"/>
        </w:rPr>
        <w:t>compartir</w:t>
      </w:r>
      <w:r w:rsidRPr="00C53B88">
        <w:rPr>
          <w:rFonts w:ascii="Verdana" w:eastAsia="Calibri" w:hAnsi="Verdana" w:cs="Arial"/>
          <w:lang w:val="es-MX" w:eastAsia="es-ES_tradnl"/>
        </w:rPr>
        <w:t xml:space="preserve">, sin que implique que la compartida a una persona se entienda suya, ya que dentro del procedimiento contractual se reflejará que esa persona tiene la experiencia de otra, como es el caso de las figuras asociativas   </w:t>
      </w:r>
      <w:r w:rsidRPr="00C53B88">
        <w:rPr>
          <w:rFonts w:ascii="Arial" w:eastAsia="Calibri" w:hAnsi="Arial" w:cs="Arial"/>
          <w:lang w:val="es-MX" w:eastAsia="es-ES_tradnl"/>
        </w:rPr>
        <w:t>̶</w:t>
      </w:r>
      <w:r w:rsidRPr="00C53B88">
        <w:rPr>
          <w:rFonts w:ascii="Verdana" w:eastAsia="Calibri" w:hAnsi="Verdana" w:cs="Arial"/>
          <w:lang w:val="es-MX" w:eastAsia="es-ES_tradnl"/>
        </w:rPr>
        <w:t xml:space="preserve"> consorcios y uniones temporales </w:t>
      </w:r>
      <w:r w:rsidRPr="00C53B88">
        <w:rPr>
          <w:rFonts w:ascii="Arial" w:eastAsia="Calibri" w:hAnsi="Arial" w:cs="Arial"/>
          <w:lang w:val="es-MX" w:eastAsia="es-ES_tradnl"/>
        </w:rPr>
        <w:t>̶</w:t>
      </w:r>
      <w:r w:rsidRPr="00C53B88">
        <w:rPr>
          <w:rFonts w:ascii="Verdana" w:eastAsia="Calibri" w:hAnsi="Verdana" w:cs="Arial"/>
          <w:lang w:val="es-MX" w:eastAsia="es-ES_tradnl"/>
        </w:rPr>
        <w:t xml:space="preserve">   que se verificar</w:t>
      </w:r>
      <w:r w:rsidRPr="00C53B88">
        <w:rPr>
          <w:rFonts w:ascii="Verdana" w:eastAsia="Calibri" w:hAnsi="Verdana" w:cs="Geomanist Light"/>
          <w:lang w:val="es-MX" w:eastAsia="es-ES_tradnl"/>
        </w:rPr>
        <w:t>á</w:t>
      </w:r>
      <w:r w:rsidRPr="00C53B88">
        <w:rPr>
          <w:rFonts w:ascii="Verdana" w:eastAsia="Calibri" w:hAnsi="Verdana" w:cs="Arial"/>
          <w:lang w:val="es-MX" w:eastAsia="es-ES_tradnl"/>
        </w:rPr>
        <w:t xml:space="preserve"> en el documento privado de constitución</w:t>
      </w:r>
      <w:r w:rsidRPr="00C53B88">
        <w:rPr>
          <w:rFonts w:ascii="Verdana" w:eastAsia="Calibri" w:hAnsi="Verdana" w:cs="Arial"/>
          <w:vertAlign w:val="superscript"/>
          <w:lang w:val="es-MX" w:eastAsia="es-ES_tradnl"/>
        </w:rPr>
        <w:footnoteReference w:id="9"/>
      </w:r>
      <w:r w:rsidRPr="00C53B88">
        <w:rPr>
          <w:rFonts w:ascii="Verdana" w:eastAsia="Calibri" w:hAnsi="Verdana" w:cs="Arial"/>
          <w:lang w:val="es-MX" w:eastAsia="es-ES_tradnl"/>
        </w:rPr>
        <w:t>.</w:t>
      </w:r>
    </w:p>
    <w:p w14:paraId="34900A0C" w14:textId="77777777" w:rsidR="005E2591" w:rsidRPr="00C53B88" w:rsidRDefault="005E2591" w:rsidP="005E2591">
      <w:pPr>
        <w:spacing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iii) Cuando la persona que adquirió la experiencia </w:t>
      </w:r>
      <w:r w:rsidRPr="00C53B88">
        <w:rPr>
          <w:rFonts w:ascii="Verdana" w:eastAsia="Calibri" w:hAnsi="Verdana" w:cs="Arial"/>
          <w:i/>
          <w:iCs/>
          <w:lang w:val="es-MX" w:eastAsia="es-ES_tradnl"/>
        </w:rPr>
        <w:t>desaparece</w:t>
      </w:r>
      <w:r w:rsidRPr="00C53B88">
        <w:rPr>
          <w:rFonts w:ascii="Verdana" w:eastAsia="Calibri" w:hAnsi="Verdana" w:cs="Arial"/>
          <w:lang w:val="es-MX" w:eastAsia="es-ES_tradnl"/>
        </w:rPr>
        <w:t xml:space="preserve"> o se liquida no es posible que comparta o transfiera su experiencia, porque al ser personal sigue la suerte de quien la adquirió.</w:t>
      </w:r>
    </w:p>
    <w:p w14:paraId="14DE3E50" w14:textId="77777777" w:rsidR="005E2591" w:rsidRPr="00C53B88" w:rsidRDefault="005E2591" w:rsidP="005E2591">
      <w:pPr>
        <w:spacing w:after="120" w:line="276" w:lineRule="auto"/>
        <w:ind w:firstLine="708"/>
        <w:jc w:val="both"/>
        <w:rPr>
          <w:rFonts w:ascii="Verdana" w:eastAsia="Calibri" w:hAnsi="Verdana" w:cs="Arial"/>
          <w:lang w:val="es-MX" w:eastAsia="es-ES_tradnl"/>
        </w:rPr>
      </w:pPr>
      <w:r w:rsidRPr="00C53B88">
        <w:rPr>
          <w:rFonts w:ascii="Verdana" w:eastAsia="Calibri" w:hAnsi="Verdana" w:cs="Arial"/>
          <w:lang w:val="es-MX" w:eastAsia="es-ES_tradnl"/>
        </w:rPr>
        <w:t xml:space="preserve">iv) La experiencia se puede </w:t>
      </w:r>
      <w:r w:rsidRPr="00C53B88">
        <w:rPr>
          <w:rFonts w:ascii="Verdana" w:eastAsia="Calibri" w:hAnsi="Verdana" w:cs="Arial"/>
          <w:i/>
          <w:iCs/>
          <w:lang w:val="es-MX" w:eastAsia="es-ES_tradnl"/>
        </w:rPr>
        <w:t>transferir</w:t>
      </w:r>
      <w:r w:rsidRPr="00C53B88">
        <w:rPr>
          <w:rFonts w:ascii="Verdana" w:eastAsia="Calibri" w:hAnsi="Verdana" w:cs="Arial"/>
          <w:lang w:val="es-MX" w:eastAsia="es-ES_tradnl"/>
        </w:rPr>
        <w:t>, y esto es diferente a compartir, lo que implica que la experiencia de una persona se traslada a otra, y esta última acredita la experiencia como propia, como se explica a continuación.</w:t>
      </w:r>
    </w:p>
    <w:p w14:paraId="2D092F46" w14:textId="77777777" w:rsidR="005E2591" w:rsidRPr="00C53B88" w:rsidRDefault="005E2591" w:rsidP="004842FF">
      <w:pPr>
        <w:spacing w:after="0" w:line="276" w:lineRule="auto"/>
        <w:jc w:val="both"/>
        <w:rPr>
          <w:rFonts w:ascii="Verdana" w:eastAsia="Calibri" w:hAnsi="Verdana" w:cs="Arial"/>
          <w:lang w:val="es-ES"/>
        </w:rPr>
      </w:pPr>
      <w:r w:rsidRPr="00C53B88">
        <w:rPr>
          <w:rFonts w:ascii="Verdana" w:eastAsia="Times New Roman" w:hAnsi="Verdana" w:cs="Arial"/>
          <w:lang w:val="es-ES_tradnl" w:eastAsia="es-ES_tradnl"/>
          <w14:ligatures w14:val="standardContextual"/>
        </w:rPr>
        <w:t>Ahora bien, teniendo en c</w:t>
      </w:r>
      <w:r>
        <w:rPr>
          <w:rFonts w:ascii="Verdana" w:eastAsia="Times New Roman" w:hAnsi="Verdana" w:cs="Arial"/>
          <w:lang w:val="es-ES_tradnl" w:eastAsia="es-ES_tradnl"/>
          <w14:ligatures w14:val="standardContextual"/>
        </w:rPr>
        <w:t>uen</w:t>
      </w:r>
      <w:r w:rsidRPr="00C53B88">
        <w:rPr>
          <w:rFonts w:ascii="Verdana" w:eastAsia="Times New Roman" w:hAnsi="Verdana" w:cs="Arial"/>
          <w:lang w:val="es-ES_tradnl" w:eastAsia="es-ES_tradnl"/>
          <w14:ligatures w14:val="standardContextual"/>
        </w:rPr>
        <w:t>ta lo anterior, para resolver el problema jurídico de su consulta</w:t>
      </w:r>
      <w:r>
        <w:rPr>
          <w:rFonts w:ascii="Verdana" w:eastAsia="Times New Roman" w:hAnsi="Verdana" w:cs="Arial"/>
          <w:lang w:val="es-ES_tradnl" w:eastAsia="es-ES_tradnl"/>
          <w14:ligatures w14:val="standardContextual"/>
        </w:rPr>
        <w:t>, l</w:t>
      </w:r>
      <w:r w:rsidRPr="00C53B88">
        <w:rPr>
          <w:rFonts w:ascii="Verdana" w:eastAsia="Calibri" w:hAnsi="Verdana" w:cs="Arial"/>
          <w:lang w:val="es-ES"/>
        </w:rPr>
        <w:t xml:space="preserve">a normativa de contratación establece una figura que permite la transferencia de experiencia en las sociedades con menos de 3 años de constitución como sigue: </w:t>
      </w:r>
    </w:p>
    <w:p w14:paraId="54674A59" w14:textId="77777777" w:rsidR="005E2591" w:rsidRPr="00C53B88" w:rsidRDefault="005E2591" w:rsidP="005E2591">
      <w:pPr>
        <w:widowControl w:val="0"/>
        <w:autoSpaceDE w:val="0"/>
        <w:autoSpaceDN w:val="0"/>
        <w:spacing w:after="0" w:line="276" w:lineRule="auto"/>
        <w:jc w:val="both"/>
        <w:rPr>
          <w:rFonts w:ascii="Verdana" w:eastAsia="Calibri" w:hAnsi="Verdana" w:cs="Arial"/>
          <w:color w:val="7030A0"/>
          <w:lang w:val="es-ES"/>
        </w:rPr>
      </w:pPr>
    </w:p>
    <w:p w14:paraId="199C21D5" w14:textId="0E625D23" w:rsidR="005E2591" w:rsidRPr="004842FF" w:rsidRDefault="005E2591" w:rsidP="004842FF">
      <w:pPr>
        <w:widowControl w:val="0"/>
        <w:autoSpaceDE w:val="0"/>
        <w:autoSpaceDN w:val="0"/>
        <w:spacing w:after="0" w:line="240" w:lineRule="auto"/>
        <w:ind w:left="709" w:right="709"/>
        <w:jc w:val="both"/>
        <w:rPr>
          <w:rFonts w:ascii="Verdana" w:hAnsi="Verdana"/>
          <w:sz w:val="20"/>
          <w:szCs w:val="20"/>
          <w:shd w:val="clear" w:color="auto" w:fill="FFFFFF"/>
        </w:rPr>
      </w:pPr>
      <w:r w:rsidRPr="004842FF">
        <w:rPr>
          <w:rFonts w:ascii="Verdana" w:hAnsi="Verdana"/>
          <w:i/>
          <w:sz w:val="20"/>
          <w:szCs w:val="20"/>
          <w:shd w:val="clear" w:color="auto" w:fill="FFFFFF"/>
        </w:rPr>
        <w:lastRenderedPageBreak/>
        <w:t xml:space="preserve">“2.5.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r w:rsidRPr="004842FF">
        <w:rPr>
          <w:rFonts w:ascii="Verdana" w:hAnsi="Verdana"/>
          <w:b/>
          <w:i/>
          <w:sz w:val="20"/>
          <w:szCs w:val="20"/>
          <w:u w:val="single"/>
          <w:shd w:val="clear" w:color="auto" w:fill="FFFFFF"/>
        </w:rPr>
        <w:t>Si la constitución del interesado es menor a tres (3) años, puede acreditar la experiencia de sus accionistas, socios o constituyentes</w:t>
      </w:r>
      <w:r w:rsidRPr="004842FF">
        <w:rPr>
          <w:rFonts w:ascii="Verdana" w:hAnsi="Verdana"/>
          <w:sz w:val="20"/>
          <w:szCs w:val="20"/>
          <w:shd w:val="clear" w:color="auto" w:fill="FFFFFF"/>
        </w:rPr>
        <w:t>.”</w:t>
      </w:r>
      <w:r w:rsidRPr="004842FF">
        <w:rPr>
          <w:rStyle w:val="Refdenotaalpie"/>
          <w:rFonts w:ascii="Verdana" w:hAnsi="Verdana"/>
          <w:sz w:val="20"/>
          <w:szCs w:val="20"/>
          <w:shd w:val="clear" w:color="auto" w:fill="FFFFFF"/>
        </w:rPr>
        <w:footnoteReference w:id="10"/>
      </w:r>
    </w:p>
    <w:p w14:paraId="6E9BBFAF" w14:textId="77777777" w:rsidR="00984E00" w:rsidRPr="00C53B88" w:rsidRDefault="00984E00" w:rsidP="00984E00">
      <w:pPr>
        <w:widowControl w:val="0"/>
        <w:autoSpaceDE w:val="0"/>
        <w:autoSpaceDN w:val="0"/>
        <w:spacing w:after="0" w:line="276" w:lineRule="auto"/>
        <w:ind w:left="708"/>
        <w:jc w:val="both"/>
        <w:rPr>
          <w:rFonts w:ascii="Verdana" w:eastAsia="Calibri" w:hAnsi="Verdana" w:cs="Arial"/>
          <w:lang w:val="es-ES"/>
        </w:rPr>
      </w:pPr>
    </w:p>
    <w:p w14:paraId="15CAB8A1" w14:textId="77777777" w:rsidR="005E2591" w:rsidRPr="00C53B88" w:rsidRDefault="005E2591" w:rsidP="005E2591">
      <w:pPr>
        <w:spacing w:before="120" w:after="120" w:line="276" w:lineRule="auto"/>
        <w:ind w:firstLine="708"/>
        <w:jc w:val="both"/>
        <w:rPr>
          <w:rFonts w:ascii="Verdana" w:eastAsia="Times New Roman" w:hAnsi="Verdana" w:cs="Arial"/>
          <w:lang w:val="es-MX" w:eastAsia="es-ES_tradnl"/>
        </w:rPr>
      </w:pPr>
      <w:r w:rsidRPr="00C53B88">
        <w:rPr>
          <w:rFonts w:ascii="Verdana" w:eastAsia="Times New Roman" w:hAnsi="Verdana" w:cs="Arial"/>
          <w:lang w:val="es-MX" w:eastAsia="es-ES_tradnl"/>
        </w:rPr>
        <w:t xml:space="preserve">Esta medida diferenciada </w:t>
      </w:r>
      <w:bookmarkStart w:id="3" w:name="_Hlk116028985"/>
      <w:r w:rsidRPr="00C53B88">
        <w:rPr>
          <w:rFonts w:ascii="Verdana" w:eastAsia="Times New Roman" w:hAnsi="Verdana" w:cs="Arial"/>
          <w:lang w:val="es-MX" w:eastAsia="es-ES_tradnl"/>
        </w:rPr>
        <w:t>permite que las sociedades que no cuentan con la experiencia suficiente para contratar con el Estado puedan apoyarse en la experiencia de sus accionistas, socios o constituyentes con el fin de incentivar la competencia en la contratación estatal</w:t>
      </w:r>
      <w:bookmarkEnd w:id="3"/>
      <w:r w:rsidRPr="00C53B88">
        <w:rPr>
          <w:rFonts w:ascii="Verdana" w:eastAsia="Times New Roman" w:hAnsi="Verdana" w:cs="Arial"/>
          <w:lang w:val="es-MX" w:eastAsia="es-ES_tradnl"/>
        </w:rPr>
        <w:t>. Así las cosas, el socio transfiere la experiencia adquirida directamente a la sociedad de la que es parte, para que esta, como persona jurídica independiente, pueda cumplir con los requisitos habilitantes que establezcan las entidades estatales en sus procesos de contratación, y de esta forma promover el desarrollo de la empresa y la pluralidad de oferentes en la contratación pública.</w:t>
      </w:r>
    </w:p>
    <w:p w14:paraId="1E5D84F0" w14:textId="77777777" w:rsidR="00984E00" w:rsidRDefault="005E2591" w:rsidP="005E2591">
      <w:pPr>
        <w:spacing w:after="120" w:line="276" w:lineRule="auto"/>
        <w:ind w:firstLine="708"/>
        <w:jc w:val="both"/>
        <w:rPr>
          <w:rFonts w:ascii="Verdana" w:eastAsia="Times New Roman" w:hAnsi="Verdana" w:cs="Arial"/>
          <w:lang w:val="es-MX" w:eastAsia="es-ES"/>
        </w:rPr>
      </w:pPr>
      <w:r w:rsidRPr="371E251F">
        <w:rPr>
          <w:rFonts w:ascii="Verdana" w:eastAsia="Times New Roman" w:hAnsi="Verdana" w:cs="Arial"/>
          <w:lang w:val="es-MX" w:eastAsia="es-ES"/>
        </w:rPr>
        <w:t xml:space="preserve">Sin embargo, debe aclararse que el Decreto 1082 de 2015 sólo permite que una sociedad acredite la experiencia de quienes tienen la calidad de accionistas, socios o constituyentes durante los primeros tres (3) años de su constitución. Por tanto, si se pierden estas calidades, como sucedería cuando un socio se retira por venta o cesión de su participación y pierde su calidad de socio, ya no sería aceptable que la sociedad acredite la experiencia aportada por dicha persona. </w:t>
      </w:r>
    </w:p>
    <w:p w14:paraId="7C7295DB" w14:textId="0310B297" w:rsidR="00984E00" w:rsidRDefault="00984E00" w:rsidP="005E2591">
      <w:pPr>
        <w:spacing w:after="120" w:line="276" w:lineRule="auto"/>
        <w:ind w:firstLine="708"/>
        <w:jc w:val="both"/>
        <w:rPr>
          <w:rFonts w:ascii="Verdana" w:eastAsia="Calibri" w:hAnsi="Verdana" w:cs="Arial"/>
          <w:lang w:val="es-MX"/>
        </w:rPr>
      </w:pPr>
      <w:r>
        <w:rPr>
          <w:rFonts w:ascii="Verdana" w:eastAsia="Calibri" w:hAnsi="Verdana" w:cs="Arial"/>
          <w:lang w:val="es-MX"/>
        </w:rPr>
        <w:t>Conforme a lo expuesto</w:t>
      </w:r>
      <w:r w:rsidR="005E2591" w:rsidRPr="00C53B88">
        <w:rPr>
          <w:rFonts w:ascii="Verdana" w:eastAsia="Calibri" w:hAnsi="Verdana" w:cs="Arial"/>
          <w:lang w:val="es-MX"/>
        </w:rPr>
        <w:t xml:space="preserve">, si no se tiene o se pierden </w:t>
      </w:r>
      <w:r>
        <w:rPr>
          <w:rFonts w:ascii="Verdana" w:eastAsia="Calibri" w:hAnsi="Verdana" w:cs="Arial"/>
          <w:lang w:val="es-MX"/>
        </w:rPr>
        <w:t>l</w:t>
      </w:r>
      <w:r w:rsidRPr="00C53B88">
        <w:rPr>
          <w:rFonts w:ascii="Verdana" w:eastAsia="Calibri" w:hAnsi="Verdana" w:cs="Arial"/>
          <w:lang w:val="es-MX"/>
        </w:rPr>
        <w:t xml:space="preserve">as </w:t>
      </w:r>
      <w:r w:rsidR="005E2591" w:rsidRPr="00C53B88">
        <w:rPr>
          <w:rFonts w:ascii="Verdana" w:eastAsia="Calibri" w:hAnsi="Verdana" w:cs="Arial"/>
          <w:lang w:val="es-MX"/>
        </w:rPr>
        <w:t>calidades</w:t>
      </w:r>
      <w:r>
        <w:rPr>
          <w:rFonts w:ascii="Verdana" w:eastAsia="Calibri" w:hAnsi="Verdana" w:cs="Arial"/>
          <w:lang w:val="es-MX"/>
        </w:rPr>
        <w:t xml:space="preserve"> referidas en las normas</w:t>
      </w:r>
      <w:r w:rsidR="005E2591" w:rsidRPr="00C53B88">
        <w:rPr>
          <w:rFonts w:ascii="Verdana" w:eastAsia="Calibri" w:hAnsi="Verdana" w:cs="Arial"/>
          <w:lang w:val="es-MX"/>
        </w:rPr>
        <w:t>, como sucedería cuando un socio se retira por venta o cesión de su participación y pierde su calidad de socio, ya no sería posible que la sociedad acredite la experiencia aportada por dicha persona</w:t>
      </w:r>
      <w:r>
        <w:rPr>
          <w:rFonts w:ascii="Verdana" w:eastAsia="Calibri" w:hAnsi="Verdana" w:cs="Arial"/>
          <w:lang w:val="es-MX"/>
        </w:rPr>
        <w:t xml:space="preserve">. Esto </w:t>
      </w:r>
      <w:r w:rsidR="005E2591" w:rsidRPr="00C53B88">
        <w:rPr>
          <w:rFonts w:ascii="Verdana" w:eastAsia="Calibri" w:hAnsi="Verdana" w:cs="Arial"/>
          <w:lang w:val="es-MX"/>
        </w:rPr>
        <w:t xml:space="preserve">toda vez que la experiencia es inherente a la persona que la ha obtenido, razón por la cual es intransferible en virtud de su carácter personalísimo, pero por disposición legal </w:t>
      </w:r>
      <w:r w:rsidR="005E2591" w:rsidRPr="00C53B88">
        <w:rPr>
          <w:rFonts w:ascii="Verdana" w:eastAsia="Calibri" w:hAnsi="Verdana" w:cs="Arial"/>
          <w:lang w:val="es-MX"/>
        </w:rPr>
        <w:lastRenderedPageBreak/>
        <w:t xml:space="preserve">o reglamentaria, en casos excepcionales se permite transferirla, como el descrito por el </w:t>
      </w:r>
      <w:r w:rsidR="005E2591" w:rsidRPr="00C53B88">
        <w:rPr>
          <w:rFonts w:ascii="Verdana" w:eastAsia="Century Gothic" w:hAnsi="Verdana" w:cs="Century Gothic"/>
        </w:rPr>
        <w:t>numeral 2.5 del artículo 2.2.1.1.1.5.2 del Decreto 1082 de 2015</w:t>
      </w:r>
      <w:r w:rsidR="005E2591" w:rsidRPr="00C53B88">
        <w:rPr>
          <w:rFonts w:ascii="Verdana" w:eastAsia="Calibri" w:hAnsi="Verdana" w:cs="Arial"/>
          <w:lang w:val="es-MX"/>
        </w:rPr>
        <w:t>.</w:t>
      </w:r>
      <w:r w:rsidR="005E2591" w:rsidRPr="371E251F">
        <w:rPr>
          <w:rFonts w:ascii="Verdana" w:eastAsia="Calibri" w:hAnsi="Verdana" w:cs="Arial"/>
          <w:lang w:val="es-MX"/>
        </w:rPr>
        <w:t xml:space="preserve"> </w:t>
      </w:r>
    </w:p>
    <w:p w14:paraId="1D19C092" w14:textId="329FF724" w:rsidR="005E2591" w:rsidRPr="00C53B88" w:rsidRDefault="00984E00" w:rsidP="005E2591">
      <w:pPr>
        <w:spacing w:after="120" w:line="276" w:lineRule="auto"/>
        <w:ind w:firstLine="708"/>
        <w:jc w:val="both"/>
        <w:rPr>
          <w:rFonts w:ascii="Verdana" w:eastAsia="Times New Roman" w:hAnsi="Verdana" w:cs="Arial"/>
          <w:lang w:val="es-MX" w:eastAsia="es-ES"/>
        </w:rPr>
      </w:pPr>
      <w:r>
        <w:rPr>
          <w:rFonts w:ascii="Verdana" w:eastAsia="Times New Roman" w:hAnsi="Verdana" w:cs="Arial"/>
          <w:lang w:val="es-MX" w:eastAsia="es-ES"/>
        </w:rPr>
        <w:t>L</w:t>
      </w:r>
      <w:r w:rsidRPr="371E251F">
        <w:rPr>
          <w:rFonts w:ascii="Verdana" w:eastAsia="Times New Roman" w:hAnsi="Verdana" w:cs="Arial"/>
          <w:lang w:val="es-MX" w:eastAsia="es-ES"/>
        </w:rPr>
        <w:t xml:space="preserve">a </w:t>
      </w:r>
      <w:r>
        <w:rPr>
          <w:rFonts w:ascii="Verdana" w:eastAsia="Times New Roman" w:hAnsi="Verdana" w:cs="Arial"/>
          <w:lang w:val="es-MX" w:eastAsia="es-ES"/>
        </w:rPr>
        <w:t>anterior</w:t>
      </w:r>
      <w:r w:rsidR="005E2591" w:rsidRPr="371E251F">
        <w:rPr>
          <w:rFonts w:ascii="Verdana" w:eastAsia="Times New Roman" w:hAnsi="Verdana" w:cs="Arial"/>
          <w:lang w:val="es-MX" w:eastAsia="es-ES"/>
        </w:rPr>
        <w:t xml:space="preserve"> interpretación, además, se impone en atención al fin de evitar prácticas corruptas o que atenten contra la transparencia en la contratación estatal, por lo que la experiencia aportada por quien se retira no deberá tenerse en cuenta por las Entidades Estatales, y no debería ser utilizada por el proponente en procesos de contratación, ya que es inherente a la persona que la ha obtenido.</w:t>
      </w:r>
    </w:p>
    <w:p w14:paraId="7FFD70D6" w14:textId="77777777" w:rsidR="005E2591" w:rsidRPr="00C53B88" w:rsidRDefault="005E2591" w:rsidP="004842FF">
      <w:pPr>
        <w:widowControl w:val="0"/>
        <w:autoSpaceDE w:val="0"/>
        <w:autoSpaceDN w:val="0"/>
        <w:spacing w:after="0" w:line="276" w:lineRule="auto"/>
        <w:ind w:firstLine="709"/>
        <w:jc w:val="both"/>
        <w:rPr>
          <w:rFonts w:ascii="Verdana" w:eastAsia="Arial" w:hAnsi="Verdana" w:cs="Arial"/>
        </w:rPr>
      </w:pPr>
      <w:r w:rsidRPr="00C53B88">
        <w:rPr>
          <w:rFonts w:ascii="Verdana" w:hAnsi="Verdana"/>
        </w:rPr>
        <w:t>Dentro de este marco, corresponde a cada entidad, en ejercicio de su competencia y previa valoración de los elementos fácticos y jurídicos, así como de las disposiciones legales mencionadas, determinar su gestión contractual.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8DEACBE" w14:textId="77777777" w:rsidR="005E2591" w:rsidRDefault="005E2591" w:rsidP="005E2591">
      <w:pPr>
        <w:widowControl w:val="0"/>
        <w:autoSpaceDE w:val="0"/>
        <w:autoSpaceDN w:val="0"/>
        <w:spacing w:after="0" w:line="276" w:lineRule="auto"/>
        <w:jc w:val="both"/>
        <w:rPr>
          <w:rFonts w:ascii="Verdana" w:hAnsi="Verdana" w:cs="Arial"/>
        </w:rPr>
      </w:pPr>
    </w:p>
    <w:p w14:paraId="5195B72F" w14:textId="77777777" w:rsidR="005E2591" w:rsidRDefault="005E2591" w:rsidP="005E25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77A16ED2" w14:textId="77777777" w:rsidR="005E2591" w:rsidRDefault="005E2591" w:rsidP="005E2591">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5E2591" w14:paraId="3038970F" w14:textId="77777777" w:rsidTr="00964F3A">
        <w:trPr>
          <w:trHeight w:val="870"/>
        </w:trPr>
        <w:tc>
          <w:tcPr>
            <w:tcW w:w="8647" w:type="dxa"/>
            <w:tcBorders>
              <w:top w:val="dotted" w:sz="4" w:space="0" w:color="auto"/>
              <w:left w:val="dotted" w:sz="4" w:space="0" w:color="auto"/>
              <w:bottom w:val="dotted" w:sz="4" w:space="0" w:color="auto"/>
              <w:right w:val="dotted" w:sz="4" w:space="0" w:color="auto"/>
            </w:tcBorders>
            <w:hideMark/>
          </w:tcPr>
          <w:p w14:paraId="07256BF3" w14:textId="3C89313F" w:rsidR="005E2591" w:rsidRPr="00C6244F" w:rsidRDefault="005E2591" w:rsidP="004842FF">
            <w:pPr>
              <w:widowControl w:val="0"/>
              <w:numPr>
                <w:ilvl w:val="0"/>
                <w:numId w:val="17"/>
              </w:numPr>
              <w:autoSpaceDE w:val="0"/>
              <w:autoSpaceDN w:val="0"/>
              <w:spacing w:line="276" w:lineRule="auto"/>
              <w:jc w:val="both"/>
              <w:rPr>
                <w:rFonts w:ascii="Verdana" w:eastAsia="Arial MT" w:hAnsi="Verdana" w:cs="Arial"/>
                <w:bCs/>
                <w:lang w:val="es-ES" w:eastAsia="es-ES" w:bidi="es-ES"/>
              </w:rPr>
            </w:pPr>
            <w:r w:rsidRPr="00C6244F">
              <w:rPr>
                <w:rFonts w:ascii="Verdana" w:eastAsia="Arial MT" w:hAnsi="Verdana" w:cs="Arial"/>
                <w:bCs/>
                <w:lang w:val="es-ES" w:eastAsia="es-ES" w:bidi="es-ES"/>
              </w:rPr>
              <w:t>Ley 1150 de 2007, artículo 5</w:t>
            </w:r>
            <w:r w:rsidR="00984E00" w:rsidRPr="00984E00">
              <w:rPr>
                <w:rFonts w:ascii="Verdana" w:eastAsia="Arial MT" w:hAnsi="Verdana" w:cs="Arial"/>
                <w:bCs/>
                <w:lang w:val="es-ES" w:eastAsia="es-ES" w:bidi="es-ES"/>
              </w:rPr>
              <w:t>.</w:t>
            </w:r>
          </w:p>
          <w:p w14:paraId="41AAEDEB" w14:textId="77777777" w:rsidR="005E2591" w:rsidRPr="00C6244F" w:rsidRDefault="005E2591" w:rsidP="004842FF">
            <w:pPr>
              <w:widowControl w:val="0"/>
              <w:numPr>
                <w:ilvl w:val="0"/>
                <w:numId w:val="17"/>
              </w:numPr>
              <w:autoSpaceDE w:val="0"/>
              <w:autoSpaceDN w:val="0"/>
              <w:spacing w:line="276" w:lineRule="auto"/>
              <w:jc w:val="both"/>
              <w:rPr>
                <w:rFonts w:ascii="Verdana" w:eastAsia="Arial MT" w:hAnsi="Verdana" w:cs="Arial"/>
                <w:bCs/>
                <w:lang w:val="es-ES" w:eastAsia="es-ES" w:bidi="es-ES"/>
              </w:rPr>
            </w:pPr>
            <w:r w:rsidRPr="00C6244F">
              <w:rPr>
                <w:rFonts w:ascii="Verdana" w:eastAsia="Arial MT" w:hAnsi="Verdana" w:cs="Arial"/>
                <w:bCs/>
                <w:lang w:val="es-ES" w:eastAsia="es-ES" w:bidi="es-ES"/>
              </w:rPr>
              <w:t>Decreto 1082 de 2015, artículo 2.2.1.1.1.6.2., 2.2.1.1.1.5.2.</w:t>
            </w:r>
          </w:p>
          <w:p w14:paraId="55762364" w14:textId="76330D15" w:rsidR="005E2591" w:rsidRPr="006A640E" w:rsidRDefault="005E2591" w:rsidP="004842FF">
            <w:pPr>
              <w:widowControl w:val="0"/>
              <w:numPr>
                <w:ilvl w:val="0"/>
                <w:numId w:val="17"/>
              </w:numPr>
              <w:autoSpaceDE w:val="0"/>
              <w:autoSpaceDN w:val="0"/>
              <w:spacing w:line="276" w:lineRule="auto"/>
              <w:jc w:val="both"/>
              <w:rPr>
                <w:rFonts w:ascii="Verdana" w:eastAsia="Arial MT" w:hAnsi="Verdana" w:cs="Arial"/>
                <w:lang w:val="es-ES" w:eastAsia="es-ES" w:bidi="es-ES"/>
              </w:rPr>
            </w:pPr>
            <w:r w:rsidRPr="00C6244F">
              <w:rPr>
                <w:rFonts w:ascii="Verdana" w:eastAsia="Arial MT" w:hAnsi="Verdana" w:cs="Arial"/>
                <w:bCs/>
                <w:lang w:val="es-ES" w:eastAsia="es-ES" w:bidi="es-ES"/>
              </w:rPr>
              <w:t>Código de Comercio, artículo 98</w:t>
            </w:r>
            <w:r w:rsidR="00984E00" w:rsidRPr="00984E00">
              <w:rPr>
                <w:rFonts w:ascii="Verdana" w:eastAsia="Arial MT" w:hAnsi="Verdana" w:cs="Arial"/>
                <w:bCs/>
                <w:lang w:val="es-ES" w:eastAsia="es-ES" w:bidi="es-ES"/>
              </w:rPr>
              <w:t>.</w:t>
            </w:r>
          </w:p>
        </w:tc>
      </w:tr>
    </w:tbl>
    <w:p w14:paraId="0607EB3A" w14:textId="77777777" w:rsidR="005E2591" w:rsidRDefault="005E2591" w:rsidP="005E2591">
      <w:pPr>
        <w:widowControl w:val="0"/>
        <w:autoSpaceDE w:val="0"/>
        <w:autoSpaceDN w:val="0"/>
        <w:spacing w:after="0" w:line="276" w:lineRule="auto"/>
        <w:jc w:val="both"/>
        <w:rPr>
          <w:rFonts w:ascii="Verdana" w:hAnsi="Verdana" w:cs="Arial"/>
        </w:rPr>
      </w:pPr>
    </w:p>
    <w:p w14:paraId="78D7BC33" w14:textId="77777777" w:rsidR="005E2591" w:rsidRDefault="005E2591" w:rsidP="005E259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075BF035" w14:textId="77777777" w:rsidR="005E2591" w:rsidRDefault="005E2591" w:rsidP="005E2591">
      <w:pPr>
        <w:widowControl w:val="0"/>
        <w:autoSpaceDE w:val="0"/>
        <w:autoSpaceDN w:val="0"/>
        <w:spacing w:after="0" w:line="276" w:lineRule="auto"/>
        <w:jc w:val="both"/>
        <w:rPr>
          <w:rFonts w:ascii="Verdana" w:hAnsi="Verdana" w:cs="Arial"/>
        </w:rPr>
      </w:pPr>
    </w:p>
    <w:p w14:paraId="6D1AE882" w14:textId="77777777" w:rsidR="005E2591" w:rsidRPr="00FE3C84" w:rsidRDefault="005E2591" w:rsidP="005E2591">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 xml:space="preserve">Sobre la acreditación de experiencia de sociedades </w:t>
      </w:r>
      <w:r w:rsidRPr="00815B34">
        <w:rPr>
          <w:rStyle w:val="normaltextrun"/>
          <w:rFonts w:ascii="Verdana" w:hAnsi="Verdana" w:cs="Arial"/>
          <w:shd w:val="clear" w:color="auto" w:fill="FFFFFF"/>
          <w:lang w:val="es-ES"/>
        </w:rPr>
        <w:t>se pronunció esta Subdirección en los conceptos</w:t>
      </w:r>
      <w:r w:rsidRPr="00815B34">
        <w:rPr>
          <w:rStyle w:val="normaltextrun"/>
          <w:rFonts w:ascii="Verdana" w:hAnsi="Verdana" w:cs="Calibri"/>
          <w:shd w:val="clear" w:color="auto" w:fill="FFFFFF"/>
        </w:rPr>
        <w:t xml:space="preserve"> </w:t>
      </w:r>
      <w:r w:rsidRPr="00815B34">
        <w:rPr>
          <w:rStyle w:val="normaltextrun"/>
          <w:rFonts w:ascii="Verdana" w:hAnsi="Verdana" w:cs="Arial"/>
          <w:shd w:val="clear" w:color="auto" w:fill="FFFFFF"/>
          <w:lang w:val="es-ES"/>
        </w:rPr>
        <w:t xml:space="preserve">C-779 de 2022, </w:t>
      </w:r>
      <w:r>
        <w:rPr>
          <w:rStyle w:val="normaltextrun"/>
          <w:rFonts w:ascii="Verdana" w:hAnsi="Verdana" w:cs="Arial"/>
          <w:shd w:val="clear" w:color="auto" w:fill="FFFFFF"/>
          <w:lang w:val="es-ES"/>
        </w:rPr>
        <w:t xml:space="preserve">C-005 de 2024, </w:t>
      </w:r>
      <w:r w:rsidRPr="00815B34">
        <w:rPr>
          <w:rStyle w:val="normaltextrun"/>
          <w:rFonts w:ascii="Verdana" w:hAnsi="Verdana" w:cs="Arial"/>
          <w:shd w:val="clear" w:color="auto" w:fill="FFFFFF"/>
          <w:lang w:val="es-ES"/>
        </w:rPr>
        <w:t>C-1006 de 2024, C-223 de 2024, C-278 de 2024, C-088 de 2024</w:t>
      </w:r>
      <w:r>
        <w:rPr>
          <w:rStyle w:val="normaltextrun"/>
          <w:rFonts w:ascii="Verdana" w:hAnsi="Verdana" w:cs="Arial"/>
          <w:shd w:val="clear" w:color="auto" w:fill="FFFFFF"/>
          <w:lang w:val="es-ES"/>
        </w:rPr>
        <w:t>, C-424 de 2024, C- 121 de 2025, entre otros.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3"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3C56B977" w14:textId="77777777" w:rsidR="005E2591" w:rsidRDefault="005E2591" w:rsidP="005E2591">
      <w:pPr>
        <w:spacing w:after="0" w:line="276" w:lineRule="auto"/>
        <w:jc w:val="both"/>
        <w:rPr>
          <w:rFonts w:ascii="Verdana" w:hAnsi="Verdana"/>
        </w:rPr>
      </w:pPr>
    </w:p>
    <w:p w14:paraId="6615D5FB" w14:textId="77777777" w:rsidR="005E2591" w:rsidRDefault="005E2591" w:rsidP="005E2591">
      <w:pPr>
        <w:spacing w:after="0" w:line="276" w:lineRule="auto"/>
        <w:jc w:val="both"/>
        <w:rPr>
          <w:rFonts w:ascii="Verdana" w:hAnsi="Verdana"/>
        </w:rPr>
      </w:pPr>
      <w:r>
        <w:rPr>
          <w:rFonts w:ascii="Verdana" w:hAnsi="Verdana"/>
        </w:rPr>
        <w:lastRenderedPageBreak/>
        <w:t xml:space="preserve">Por último, lo invitamos a seguirnos en las redes sociales en las cuales se difunde información institucional: </w:t>
      </w:r>
    </w:p>
    <w:p w14:paraId="6EBEF086" w14:textId="77777777" w:rsidR="005E2591" w:rsidRDefault="005E2591" w:rsidP="005E2591">
      <w:pPr>
        <w:spacing w:after="0" w:line="276" w:lineRule="auto"/>
        <w:jc w:val="both"/>
        <w:rPr>
          <w:rFonts w:ascii="Verdana" w:hAnsi="Verdana"/>
        </w:rPr>
      </w:pPr>
    </w:p>
    <w:p w14:paraId="2E1E2590" w14:textId="77777777" w:rsidR="005E2591" w:rsidRDefault="005E2591" w:rsidP="005E2591">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5593D9E8" w14:textId="77777777" w:rsidR="005E2591" w:rsidRDefault="005E2591" w:rsidP="005E2591">
      <w:pPr>
        <w:spacing w:after="0" w:line="276" w:lineRule="auto"/>
        <w:jc w:val="both"/>
        <w:rPr>
          <w:rFonts w:ascii="Verdana" w:hAnsi="Verdana"/>
        </w:rPr>
      </w:pPr>
      <w:r>
        <w:rPr>
          <w:rFonts w:ascii="Verdana" w:hAnsi="Verdana"/>
        </w:rPr>
        <w:t xml:space="preserve">Facebook: </w:t>
      </w:r>
      <w:r>
        <w:rPr>
          <w:rStyle w:val="Hipervnculo"/>
          <w:rFonts w:ascii="Verdana" w:hAnsi="Verdana"/>
          <w:color w:val="4472C4" w:themeColor="accent1"/>
        </w:rPr>
        <w:t>ColombiaCompraEficiente</w:t>
      </w:r>
    </w:p>
    <w:p w14:paraId="241B75E5" w14:textId="77777777" w:rsidR="005E2591" w:rsidRDefault="005E2591" w:rsidP="005E2591">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4C869926" w14:textId="77777777" w:rsidR="005E2591" w:rsidRDefault="005E2591" w:rsidP="005E2591">
      <w:pPr>
        <w:widowControl w:val="0"/>
        <w:autoSpaceDE w:val="0"/>
        <w:autoSpaceDN w:val="0"/>
        <w:spacing w:after="0" w:line="276" w:lineRule="auto"/>
        <w:jc w:val="both"/>
        <w:rPr>
          <w:rFonts w:ascii="Verdana" w:hAnsi="Verdana" w:cs="Arial"/>
        </w:rPr>
      </w:pPr>
    </w:p>
    <w:p w14:paraId="62AE212B" w14:textId="77777777" w:rsidR="005E2591" w:rsidRDefault="005E2591" w:rsidP="005E2591">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4D3B4AB5" w14:textId="77777777" w:rsidR="005E2591" w:rsidRDefault="005E2591" w:rsidP="005E2591">
      <w:pPr>
        <w:widowControl w:val="0"/>
        <w:autoSpaceDE w:val="0"/>
        <w:autoSpaceDN w:val="0"/>
        <w:spacing w:after="0" w:line="276" w:lineRule="auto"/>
        <w:jc w:val="both"/>
        <w:rPr>
          <w:rFonts w:ascii="Verdana" w:hAnsi="Verdana" w:cs="Arial"/>
        </w:rPr>
      </w:pPr>
    </w:p>
    <w:p w14:paraId="76ADE4A8" w14:textId="77777777" w:rsidR="005E2591" w:rsidRDefault="005E2591" w:rsidP="005E2591">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0829F83F" w14:textId="6EAAC386" w:rsidR="005E2591" w:rsidRDefault="00946E9F" w:rsidP="005E2591">
      <w:pPr>
        <w:spacing w:after="0" w:line="276" w:lineRule="auto"/>
        <w:jc w:val="center"/>
      </w:pPr>
      <w:r>
        <w:rPr>
          <w:noProof/>
        </w:rPr>
        <w:drawing>
          <wp:inline distT="0" distB="0" distL="0" distR="0" wp14:anchorId="281BCB11" wp14:editId="4D4A077E">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E2591" w14:paraId="7E85D09A" w14:textId="77777777" w:rsidTr="00964F3A">
        <w:trPr>
          <w:trHeight w:val="315"/>
        </w:trPr>
        <w:tc>
          <w:tcPr>
            <w:tcW w:w="893" w:type="dxa"/>
            <w:vAlign w:val="center"/>
            <w:hideMark/>
          </w:tcPr>
          <w:p w14:paraId="4D253C10" w14:textId="77777777" w:rsidR="005E2591" w:rsidRDefault="005E2591" w:rsidP="00964F3A">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87E0DFA" w14:textId="77777777" w:rsidR="005E2591" w:rsidRDefault="005E2591" w:rsidP="00964F3A">
            <w:pPr>
              <w:spacing w:after="255"/>
              <w:contextualSpacing/>
              <w:rPr>
                <w:rFonts w:ascii="Verdana" w:eastAsia="Arial" w:hAnsi="Verdana" w:cs="Arial"/>
                <w:sz w:val="16"/>
                <w:szCs w:val="16"/>
              </w:rPr>
            </w:pPr>
            <w:r>
              <w:rPr>
                <w:rStyle w:val="normaltextrun"/>
                <w:rFonts w:ascii="Verdana" w:hAnsi="Verdana"/>
                <w:sz w:val="16"/>
                <w:szCs w:val="16"/>
              </w:rPr>
              <w:t>Catalina Cubides Estupiñan</w:t>
            </w:r>
          </w:p>
          <w:p w14:paraId="06EAF356" w14:textId="77777777" w:rsidR="005E2591" w:rsidRDefault="005E2591" w:rsidP="00964F3A">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5E2591" w14:paraId="01296A1C" w14:textId="77777777" w:rsidTr="00964F3A">
        <w:trPr>
          <w:trHeight w:val="330"/>
        </w:trPr>
        <w:tc>
          <w:tcPr>
            <w:tcW w:w="893" w:type="dxa"/>
            <w:vAlign w:val="center"/>
            <w:hideMark/>
          </w:tcPr>
          <w:p w14:paraId="6EA0A425" w14:textId="77777777" w:rsidR="005E2591" w:rsidRDefault="005E2591" w:rsidP="00964F3A">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C6178E" w14:textId="77777777" w:rsidR="005E2591" w:rsidRDefault="005E2591" w:rsidP="00964F3A">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01825CA9" w14:textId="77777777" w:rsidR="005E2591" w:rsidRDefault="005E2591" w:rsidP="00964F3A">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5E2591" w14:paraId="08066783" w14:textId="77777777" w:rsidTr="00964F3A">
        <w:trPr>
          <w:trHeight w:val="300"/>
        </w:trPr>
        <w:tc>
          <w:tcPr>
            <w:tcW w:w="893" w:type="dxa"/>
            <w:vAlign w:val="center"/>
            <w:hideMark/>
          </w:tcPr>
          <w:p w14:paraId="2CD855D1" w14:textId="77777777" w:rsidR="005E2591" w:rsidRDefault="005E2591" w:rsidP="00964F3A">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2610742" w14:textId="77777777" w:rsidR="005E2591" w:rsidRDefault="005E2591" w:rsidP="00964F3A">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Carolina Quintero Gacharná</w:t>
            </w:r>
          </w:p>
          <w:p w14:paraId="5F602F60" w14:textId="77777777" w:rsidR="005E2591" w:rsidRDefault="005E2591" w:rsidP="00964F3A">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Contractual ANCP – CCE </w:t>
            </w:r>
          </w:p>
        </w:tc>
      </w:tr>
      <w:bookmarkEnd w:id="0"/>
    </w:tbl>
    <w:p w14:paraId="5134E028" w14:textId="77777777" w:rsidR="005E2591" w:rsidRPr="0024624F" w:rsidRDefault="005E2591" w:rsidP="00C15139">
      <w:pPr>
        <w:spacing w:after="0"/>
        <w:rPr>
          <w:rFonts w:ascii="Verdana" w:hAnsi="Verdana"/>
        </w:rPr>
      </w:pPr>
    </w:p>
    <w:sectPr w:rsidR="005E2591"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1EDF7" w14:textId="77777777" w:rsidR="00A7636A" w:rsidRDefault="00A7636A" w:rsidP="004A1847">
      <w:pPr>
        <w:spacing w:after="0" w:line="240" w:lineRule="auto"/>
      </w:pPr>
      <w:r>
        <w:separator/>
      </w:r>
    </w:p>
  </w:endnote>
  <w:endnote w:type="continuationSeparator" w:id="0">
    <w:p w14:paraId="20990767" w14:textId="77777777" w:rsidR="00A7636A" w:rsidRDefault="00A7636A" w:rsidP="004A1847">
      <w:pPr>
        <w:spacing w:after="0" w:line="240" w:lineRule="auto"/>
      </w:pPr>
      <w:r>
        <w:continuationSeparator/>
      </w:r>
    </w:p>
  </w:endnote>
  <w:endnote w:type="continuationNotice" w:id="1">
    <w:p w14:paraId="6E3AAB0C" w14:textId="77777777" w:rsidR="00A7636A" w:rsidRDefault="00A763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95D13" w14:textId="77777777" w:rsidR="00A7636A" w:rsidRDefault="00A7636A" w:rsidP="004A1847">
      <w:pPr>
        <w:spacing w:after="0" w:line="240" w:lineRule="auto"/>
      </w:pPr>
      <w:r>
        <w:separator/>
      </w:r>
    </w:p>
  </w:footnote>
  <w:footnote w:type="continuationSeparator" w:id="0">
    <w:p w14:paraId="7920ABDF" w14:textId="77777777" w:rsidR="00A7636A" w:rsidRDefault="00A7636A" w:rsidP="004A1847">
      <w:pPr>
        <w:spacing w:after="0" w:line="240" w:lineRule="auto"/>
      </w:pPr>
      <w:r>
        <w:continuationSeparator/>
      </w:r>
    </w:p>
  </w:footnote>
  <w:footnote w:type="continuationNotice" w:id="1">
    <w:p w14:paraId="2AD087B7" w14:textId="77777777" w:rsidR="00A7636A" w:rsidRDefault="00A7636A">
      <w:pPr>
        <w:spacing w:after="0" w:line="240" w:lineRule="auto"/>
      </w:pPr>
    </w:p>
  </w:footnote>
  <w:footnote w:id="2">
    <w:p w14:paraId="5A780E36" w14:textId="77777777" w:rsidR="005E2591" w:rsidRPr="004842FF" w:rsidRDefault="005E2591" w:rsidP="005E2591">
      <w:pPr>
        <w:pStyle w:val="Textonotapie"/>
        <w:ind w:firstLine="708"/>
        <w:jc w:val="both"/>
        <w:rPr>
          <w:rFonts w:ascii="Verdana" w:hAnsi="Verdana" w:cs="Arial"/>
          <w:sz w:val="14"/>
          <w:szCs w:val="14"/>
        </w:rPr>
      </w:pPr>
      <w:r w:rsidRPr="004842FF">
        <w:rPr>
          <w:rStyle w:val="Refdenotaalpie"/>
          <w:rFonts w:ascii="Verdana" w:hAnsi="Verdana" w:cs="Arial"/>
          <w:sz w:val="14"/>
          <w:szCs w:val="14"/>
        </w:rPr>
        <w:footnoteRef/>
      </w:r>
      <w:r w:rsidRPr="004842FF">
        <w:rPr>
          <w:rFonts w:ascii="Verdana" w:hAnsi="Verdana" w:cs="Arial"/>
          <w:sz w:val="14"/>
          <w:szCs w:val="14"/>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4AC61B29"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2D0CE32A" w14:textId="77777777" w:rsidR="005E2591" w:rsidRPr="004842FF" w:rsidRDefault="005E2591" w:rsidP="005E2591">
      <w:pPr>
        <w:pStyle w:val="Textonotapie"/>
        <w:jc w:val="both"/>
        <w:rPr>
          <w:rFonts w:ascii="Verdana" w:hAnsi="Verdana" w:cs="Arial"/>
          <w:sz w:val="14"/>
          <w:szCs w:val="14"/>
          <w:lang w:val="es-ES"/>
        </w:rPr>
      </w:pPr>
    </w:p>
  </w:footnote>
  <w:footnote w:id="3">
    <w:p w14:paraId="627391FB" w14:textId="77777777" w:rsidR="005E2591" w:rsidRPr="004842FF" w:rsidRDefault="005E2591" w:rsidP="005E2591">
      <w:pPr>
        <w:pStyle w:val="Textonotapie"/>
        <w:ind w:firstLine="708"/>
        <w:jc w:val="both"/>
        <w:rPr>
          <w:rFonts w:ascii="Verdana" w:hAnsi="Verdana" w:cs="Arial"/>
          <w:sz w:val="14"/>
          <w:szCs w:val="14"/>
        </w:rPr>
      </w:pPr>
      <w:r w:rsidRPr="004842FF">
        <w:rPr>
          <w:rStyle w:val="Refdenotaalpie"/>
          <w:rFonts w:ascii="Verdana" w:hAnsi="Verdana" w:cs="Arial"/>
          <w:sz w:val="14"/>
          <w:szCs w:val="14"/>
        </w:rPr>
        <w:footnoteRef/>
      </w:r>
      <w:r w:rsidRPr="004842FF">
        <w:rPr>
          <w:rFonts w:ascii="Verdana" w:hAnsi="Verdana" w:cs="Arial"/>
          <w:sz w:val="14"/>
          <w:szCs w:val="14"/>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06B42E37" w14:textId="77777777" w:rsidR="005E2591" w:rsidRPr="004842FF" w:rsidRDefault="005E2591" w:rsidP="005E2591">
      <w:pPr>
        <w:pStyle w:val="Textonotapie"/>
        <w:ind w:firstLine="708"/>
        <w:rPr>
          <w:rFonts w:ascii="Verdana" w:hAnsi="Verdana" w:cs="Arial"/>
          <w:sz w:val="14"/>
          <w:szCs w:val="14"/>
          <w:lang w:val="es-ES"/>
        </w:rPr>
      </w:pPr>
    </w:p>
  </w:footnote>
  <w:footnote w:id="4">
    <w:p w14:paraId="495DBA43" w14:textId="77777777" w:rsidR="005E2591" w:rsidRPr="004842FF" w:rsidRDefault="005E2591" w:rsidP="005E2591">
      <w:pPr>
        <w:pStyle w:val="Textonotapie"/>
        <w:ind w:firstLine="708"/>
        <w:jc w:val="both"/>
        <w:rPr>
          <w:rFonts w:ascii="Verdana" w:hAnsi="Verdana" w:cs="Arial"/>
          <w:sz w:val="14"/>
          <w:szCs w:val="14"/>
        </w:rPr>
      </w:pPr>
      <w:r w:rsidRPr="004842FF">
        <w:rPr>
          <w:rStyle w:val="Refdenotaalpie"/>
          <w:rFonts w:ascii="Verdana" w:hAnsi="Verdana" w:cs="Arial"/>
          <w:sz w:val="14"/>
          <w:szCs w:val="14"/>
        </w:rPr>
        <w:footnoteRef/>
      </w:r>
      <w:r w:rsidRPr="004842FF">
        <w:rPr>
          <w:rFonts w:ascii="Verdana" w:hAnsi="Verdana" w:cs="Arial"/>
          <w:sz w:val="14"/>
          <w:szCs w:val="14"/>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2BBF84B7"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1. Experiencia – Los contratos celebrados por el interesado para cada uno de los bienes, obras y servicios que ofrecerá a las Entidades Estatales, identificados con el Clasificador de Bienes y Servicios en el tercer nivel y su valor expresado en SMMLV.</w:t>
      </w:r>
    </w:p>
    <w:p w14:paraId="6D533B4B"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w:t>
      </w:r>
    </w:p>
    <w:p w14:paraId="2D168BC8" w14:textId="77777777" w:rsidR="005E2591" w:rsidRPr="004842FF" w:rsidRDefault="005E2591" w:rsidP="005E2591">
      <w:pPr>
        <w:pStyle w:val="Textonotapie"/>
        <w:ind w:firstLine="708"/>
        <w:jc w:val="both"/>
        <w:rPr>
          <w:rFonts w:ascii="Verdana" w:hAnsi="Verdana" w:cs="Arial"/>
          <w:sz w:val="14"/>
          <w:szCs w:val="14"/>
          <w:lang w:val="es-ES"/>
        </w:rPr>
      </w:pPr>
    </w:p>
  </w:footnote>
  <w:footnote w:id="5">
    <w:p w14:paraId="54FD41E9" w14:textId="77777777" w:rsidR="005E2591" w:rsidRPr="004842FF" w:rsidRDefault="005E2591" w:rsidP="005E2591">
      <w:pPr>
        <w:pStyle w:val="Textonotapie"/>
        <w:ind w:firstLine="708"/>
        <w:jc w:val="both"/>
        <w:rPr>
          <w:rFonts w:ascii="Verdana" w:hAnsi="Verdana" w:cs="Arial"/>
          <w:sz w:val="14"/>
          <w:szCs w:val="14"/>
        </w:rPr>
      </w:pPr>
      <w:r w:rsidRPr="004842FF">
        <w:rPr>
          <w:rStyle w:val="Refdenotaalpie"/>
          <w:rFonts w:ascii="Verdana" w:hAnsi="Verdana" w:cs="Arial"/>
          <w:sz w:val="14"/>
          <w:szCs w:val="14"/>
        </w:rPr>
        <w:footnoteRef/>
      </w:r>
      <w:r w:rsidRPr="004842FF">
        <w:rPr>
          <w:rFonts w:ascii="Verdana" w:hAnsi="Verdana" w:cs="Arial"/>
          <w:sz w:val="14"/>
          <w:szCs w:val="14"/>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2D661B6"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w:t>
      </w:r>
    </w:p>
    <w:p w14:paraId="456F4355"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5876E0E7"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639EF3A1" w14:textId="77777777" w:rsidR="005E2591" w:rsidRPr="004842FF" w:rsidRDefault="005E2591" w:rsidP="005E2591">
      <w:pPr>
        <w:pStyle w:val="Textonotapie"/>
        <w:jc w:val="both"/>
        <w:rPr>
          <w:rFonts w:ascii="Verdana" w:hAnsi="Verdana" w:cs="Arial"/>
          <w:sz w:val="14"/>
          <w:szCs w:val="14"/>
          <w:lang w:val="es-ES"/>
        </w:rPr>
      </w:pPr>
    </w:p>
  </w:footnote>
  <w:footnote w:id="6">
    <w:p w14:paraId="63F54F0A" w14:textId="77777777" w:rsidR="005E2591" w:rsidRPr="004842FF" w:rsidRDefault="005E2591" w:rsidP="005E2591">
      <w:pPr>
        <w:pStyle w:val="Textonotapie"/>
        <w:ind w:firstLine="708"/>
        <w:jc w:val="both"/>
        <w:rPr>
          <w:rFonts w:ascii="Verdana" w:hAnsi="Verdana" w:cs="Arial"/>
          <w:sz w:val="14"/>
          <w:szCs w:val="14"/>
        </w:rPr>
      </w:pPr>
      <w:r w:rsidRPr="004842FF">
        <w:rPr>
          <w:rStyle w:val="Refdenotaalpie"/>
          <w:rFonts w:ascii="Verdana" w:hAnsi="Verdana" w:cs="Arial"/>
          <w:sz w:val="14"/>
          <w:szCs w:val="14"/>
        </w:rPr>
        <w:footnoteRef/>
      </w:r>
      <w:r w:rsidRPr="004842FF">
        <w:rPr>
          <w:rFonts w:ascii="Verdana" w:hAnsi="Verdana" w:cs="Arial"/>
          <w:sz w:val="14"/>
          <w:szCs w:val="14"/>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54E60D85"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1.    Si es una persona natural:</w:t>
      </w:r>
    </w:p>
    <w:p w14:paraId="18A18DD2"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1.1. Bienes, obras y servicios que ofrecerá a las Entidades Estatales, identificados con el Clasificador de Bienes y Servicios en el tercer nivel.</w:t>
      </w:r>
    </w:p>
    <w:p w14:paraId="08CA775A"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5A5164CD" w14:textId="77777777" w:rsidR="005E2591" w:rsidRPr="004842FF" w:rsidRDefault="005E2591" w:rsidP="005E2591">
      <w:pPr>
        <w:pStyle w:val="Textonotapie"/>
        <w:ind w:firstLine="708"/>
        <w:rPr>
          <w:rFonts w:ascii="Verdana" w:hAnsi="Verdana" w:cs="Arial"/>
          <w:sz w:val="14"/>
          <w:szCs w:val="14"/>
          <w:lang w:val="es-ES"/>
        </w:rPr>
      </w:pPr>
    </w:p>
  </w:footnote>
  <w:footnote w:id="7">
    <w:p w14:paraId="7F94F3A5" w14:textId="77777777" w:rsidR="005E2591" w:rsidRPr="004842FF" w:rsidRDefault="005E2591" w:rsidP="005E2591">
      <w:pPr>
        <w:pStyle w:val="Textonotapie"/>
        <w:ind w:firstLine="708"/>
        <w:jc w:val="both"/>
        <w:rPr>
          <w:rFonts w:ascii="Verdana" w:hAnsi="Verdana" w:cs="Arial"/>
          <w:sz w:val="14"/>
          <w:szCs w:val="14"/>
        </w:rPr>
      </w:pPr>
      <w:r w:rsidRPr="004842FF">
        <w:rPr>
          <w:rStyle w:val="Refdenotaalpie"/>
          <w:rFonts w:ascii="Verdana" w:hAnsi="Verdana" w:cs="Arial"/>
          <w:sz w:val="14"/>
          <w:szCs w:val="14"/>
        </w:rPr>
        <w:footnoteRef/>
      </w:r>
      <w:r w:rsidRPr="004842FF">
        <w:rPr>
          <w:rFonts w:ascii="Verdana" w:hAnsi="Verdana" w:cs="Arial"/>
          <w:sz w:val="14"/>
          <w:szCs w:val="14"/>
        </w:rPr>
        <w:t xml:space="preserve"> Colombia Compra Eficiente, Manual para determinar y verificar requisitos habilitantes en los procesos de contratación V2: </w:t>
      </w:r>
      <w:bookmarkStart w:id="1" w:name="_Hlk110954624"/>
      <w:r w:rsidRPr="004842FF">
        <w:rPr>
          <w:rFonts w:ascii="Verdana" w:hAnsi="Verdana" w:cs="Arial"/>
          <w:sz w:val="14"/>
          <w:szCs w:val="14"/>
        </w:rPr>
        <w:t>“</w:t>
      </w:r>
      <w:r w:rsidRPr="004842FF">
        <w:rPr>
          <w:rFonts w:ascii="Verdana" w:hAnsi="Verdana" w:cs="Arial"/>
          <w:sz w:val="14"/>
          <w:szCs w:val="14"/>
          <w:lang w:val="es-CO"/>
        </w:rPr>
        <w:t>Dentro de los requisitos habilitantes establecidos por el artículo 5 de la Ley 1150 de 2007 se destaca la experiencia, la cual debe ser entendida como el conocimiento del proponente derivado de su participación previa en actividades iguales o similares a las previstas en el objeto del contrato con contratantes públicos, privados, nacionales o extranjeros, ya sea directamente o en asocio con otra persona, como es el caso de los proponentes plurales, en cuyo evento la experiencia no deja de ser personal, sino que es proporcional a la participación como miembro de un consorcio o unión temporal, evento en el cual, por tratarse de esquemas asociativos, la experiencia es compartida</w:t>
      </w:r>
      <w:r w:rsidRPr="004842FF">
        <w:rPr>
          <w:rFonts w:ascii="Verdana" w:hAnsi="Verdana" w:cs="Arial"/>
          <w:sz w:val="14"/>
          <w:szCs w:val="14"/>
        </w:rPr>
        <w:t>.</w:t>
      </w:r>
    </w:p>
    <w:p w14:paraId="105405B8"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w:t>
      </w:r>
    </w:p>
    <w:p w14:paraId="026C123A" w14:textId="77777777" w:rsidR="005E2591" w:rsidRPr="004842FF" w:rsidRDefault="005E2591" w:rsidP="005E2591">
      <w:pPr>
        <w:pStyle w:val="Textonotapie"/>
        <w:ind w:firstLine="708"/>
        <w:jc w:val="both"/>
        <w:rPr>
          <w:rFonts w:ascii="Verdana" w:hAnsi="Verdana" w:cs="Arial"/>
          <w:sz w:val="14"/>
          <w:szCs w:val="14"/>
          <w:lang w:val="es-CO"/>
        </w:rPr>
      </w:pPr>
      <w:r w:rsidRPr="004842FF">
        <w:rPr>
          <w:rFonts w:ascii="Verdana" w:hAnsi="Verdana" w:cs="Arial"/>
          <w:sz w:val="14"/>
          <w:szCs w:val="14"/>
          <w:lang w:val="es-CO"/>
        </w:rPr>
        <w:t xml:space="preserve">Así mismo, la experiencia requerida en un Proceso de Contratación debe ser adecuada y proporcional a la naturaleza del contrato, su valor, complejidad y Riesgo. Es adecuada cuando es afín al tipo de actividades previstas en el objeto del negocio a celebrar. Por ejemplo, si es para prestar un servicio de aseo general, el proponente debe tener experiencia en tal servicio, sin que sea relevante el lugar en el cual lo haya ejecutado o quién fue el contratante. </w:t>
      </w:r>
    </w:p>
    <w:p w14:paraId="0703FF42" w14:textId="77777777" w:rsidR="005E2591" w:rsidRPr="004842FF" w:rsidRDefault="005E2591" w:rsidP="005E2591">
      <w:pPr>
        <w:pStyle w:val="Textonotapie"/>
        <w:ind w:firstLine="708"/>
        <w:jc w:val="both"/>
        <w:rPr>
          <w:rFonts w:ascii="Verdana" w:hAnsi="Verdana" w:cs="Arial"/>
          <w:sz w:val="14"/>
          <w:szCs w:val="14"/>
        </w:rPr>
      </w:pPr>
      <w:r w:rsidRPr="004842FF">
        <w:rPr>
          <w:rFonts w:ascii="Verdana" w:hAnsi="Verdana" w:cs="Arial"/>
          <w:sz w:val="14"/>
          <w:szCs w:val="14"/>
        </w:rPr>
        <w:t>Es proporcional cuando tiene relación con el alcance, la cuantía, Riesgo y la complejidad del negocio a celebrar. Por ejemplo, en una obra pública con un presupuesto oficial de 100 SMMLV, la experiencia exigida es proporcional si se exige que los proponentes hayan participado en Procesos de Contratación entre 90 y 100 SMMLV del mismo tipo de obra [...]”.</w:t>
      </w:r>
    </w:p>
    <w:bookmarkEnd w:id="1"/>
    <w:p w14:paraId="3F6445B2" w14:textId="77777777" w:rsidR="005E2591" w:rsidRPr="004842FF" w:rsidRDefault="005E2591" w:rsidP="005E2591">
      <w:pPr>
        <w:pStyle w:val="Textonotapie"/>
        <w:jc w:val="both"/>
        <w:rPr>
          <w:rFonts w:ascii="Verdana" w:hAnsi="Verdana" w:cs="Arial"/>
          <w:sz w:val="14"/>
          <w:szCs w:val="14"/>
        </w:rPr>
      </w:pPr>
    </w:p>
  </w:footnote>
  <w:footnote w:id="8">
    <w:p w14:paraId="04D28969" w14:textId="77777777" w:rsidR="005E2591" w:rsidRPr="004842FF" w:rsidRDefault="005E2591" w:rsidP="005E2591">
      <w:pPr>
        <w:pStyle w:val="Textonotapie"/>
        <w:ind w:firstLine="709"/>
        <w:rPr>
          <w:rFonts w:ascii="Verdana" w:hAnsi="Verdana"/>
          <w:sz w:val="14"/>
          <w:szCs w:val="14"/>
          <w:lang w:val="es-CO"/>
        </w:rPr>
      </w:pPr>
      <w:r w:rsidRPr="004842FF">
        <w:rPr>
          <w:rStyle w:val="Refdenotaalpie"/>
          <w:rFonts w:ascii="Verdana" w:hAnsi="Verdana"/>
          <w:sz w:val="14"/>
          <w:szCs w:val="14"/>
        </w:rPr>
        <w:footnoteRef/>
      </w:r>
      <w:r w:rsidRPr="004842FF">
        <w:rPr>
          <w:rFonts w:ascii="Verdana" w:hAnsi="Verdana"/>
          <w:sz w:val="14"/>
          <w:szCs w:val="14"/>
        </w:rPr>
        <w:t xml:space="preserve"> </w:t>
      </w:r>
      <w:r w:rsidRPr="004842FF">
        <w:rPr>
          <w:rFonts w:ascii="Verdana" w:hAnsi="Verdana" w:cs="Arial"/>
          <w:sz w:val="14"/>
          <w:szCs w:val="14"/>
          <w:lang w:val="es-CO"/>
        </w:rPr>
        <w:t>Consejo de Estado. Sección Tercera. Sentencia del 20 de abril del 2022. Radicación Nro. 54482. C.P.: Jaime Enrique Rodríguez Navas.</w:t>
      </w:r>
    </w:p>
  </w:footnote>
  <w:footnote w:id="9">
    <w:p w14:paraId="1BEE3DD7" w14:textId="77777777" w:rsidR="005E2591" w:rsidRPr="004842FF" w:rsidRDefault="005E2591" w:rsidP="005E2591">
      <w:pPr>
        <w:pStyle w:val="Textonotapie"/>
        <w:ind w:firstLine="708"/>
        <w:contextualSpacing/>
        <w:rPr>
          <w:rFonts w:ascii="Verdana" w:hAnsi="Verdana" w:cs="Arial"/>
          <w:sz w:val="14"/>
          <w:szCs w:val="14"/>
        </w:rPr>
      </w:pPr>
      <w:r w:rsidRPr="004842FF">
        <w:rPr>
          <w:rStyle w:val="Refdenotaalpie"/>
          <w:rFonts w:ascii="Verdana" w:hAnsi="Verdana" w:cs="Arial"/>
          <w:sz w:val="14"/>
          <w:szCs w:val="14"/>
        </w:rPr>
        <w:footnoteRef/>
      </w:r>
      <w:r w:rsidRPr="004842FF">
        <w:rPr>
          <w:rFonts w:ascii="Verdana" w:hAnsi="Verdana" w:cs="Arial"/>
          <w:sz w:val="14"/>
          <w:szCs w:val="14"/>
        </w:rPr>
        <w:t xml:space="preserve"> Esta conclusión cambió respecto del concepto C – 002 del 20 de febrero de 2020, para adecuarla a un mejor entendimiento de las normas sobre la experiencia.</w:t>
      </w:r>
    </w:p>
    <w:p w14:paraId="1DC71987" w14:textId="77777777" w:rsidR="005E2591" w:rsidRPr="004842FF" w:rsidRDefault="005E2591" w:rsidP="005E2591">
      <w:pPr>
        <w:pStyle w:val="Textonotapie"/>
        <w:ind w:firstLine="708"/>
        <w:contextualSpacing/>
        <w:rPr>
          <w:rFonts w:ascii="Verdana" w:hAnsi="Verdana" w:cs="Arial"/>
          <w:sz w:val="14"/>
          <w:szCs w:val="14"/>
          <w:lang w:val="es-CO"/>
        </w:rPr>
      </w:pPr>
    </w:p>
  </w:footnote>
  <w:footnote w:id="10">
    <w:p w14:paraId="7A2B2143" w14:textId="60EF3B1C" w:rsidR="005E2591" w:rsidRPr="004842FF" w:rsidRDefault="005E2591" w:rsidP="004842FF">
      <w:pPr>
        <w:pStyle w:val="Textonotapie"/>
        <w:ind w:firstLine="708"/>
        <w:jc w:val="both"/>
        <w:rPr>
          <w:rFonts w:ascii="Verdana" w:hAnsi="Verdana"/>
          <w:sz w:val="14"/>
          <w:szCs w:val="14"/>
          <w:lang w:val="es-ES"/>
        </w:rPr>
      </w:pPr>
      <w:r w:rsidRPr="004842FF">
        <w:rPr>
          <w:rStyle w:val="Refdenotaalpie"/>
          <w:rFonts w:ascii="Verdana" w:hAnsi="Verdana"/>
          <w:sz w:val="14"/>
          <w:szCs w:val="14"/>
        </w:rPr>
        <w:footnoteRef/>
      </w:r>
      <w:r w:rsidRPr="004842FF">
        <w:rPr>
          <w:rFonts w:ascii="Verdana" w:hAnsi="Verdana"/>
          <w:sz w:val="14"/>
          <w:szCs w:val="14"/>
        </w:rPr>
        <w:t xml:space="preserve"> </w:t>
      </w:r>
      <w:r w:rsidR="006C69D3">
        <w:rPr>
          <w:rFonts w:ascii="Verdana" w:eastAsia="Times New Roman" w:hAnsi="Verdana" w:cs="Arial"/>
          <w:sz w:val="14"/>
          <w:szCs w:val="14"/>
          <w:lang w:eastAsia="es-ES_tradnl"/>
        </w:rPr>
        <w:t>A</w:t>
      </w:r>
      <w:r w:rsidRPr="004842FF">
        <w:rPr>
          <w:rFonts w:ascii="Verdana" w:eastAsia="Times New Roman" w:hAnsi="Verdana" w:cs="Arial"/>
          <w:sz w:val="14"/>
          <w:szCs w:val="14"/>
          <w:lang w:eastAsia="es-ES_tradnl"/>
        </w:rPr>
        <w:t xml:space="preserve">rtículo 2.2.1.1.1.5.2 del Decreto 1082 de 2015. Negrilla y subrayado fuera de texto original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6"/>
  </w:num>
  <w:num w:numId="8">
    <w:abstractNumId w:val="12"/>
  </w:num>
  <w:num w:numId="9">
    <w:abstractNumId w:val="8"/>
  </w:num>
  <w:num w:numId="10">
    <w:abstractNumId w:val="11"/>
  </w:num>
  <w:num w:numId="11">
    <w:abstractNumId w:val="9"/>
  </w:num>
  <w:num w:numId="12">
    <w:abstractNumId w:val="1"/>
  </w:num>
  <w:num w:numId="13">
    <w:abstractNumId w:val="4"/>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49C"/>
    <w:rsid w:val="00016F78"/>
    <w:rsid w:val="00046945"/>
    <w:rsid w:val="00061B2A"/>
    <w:rsid w:val="00082362"/>
    <w:rsid w:val="000A683E"/>
    <w:rsid w:val="000B19B9"/>
    <w:rsid w:val="000D0334"/>
    <w:rsid w:val="000D5DA7"/>
    <w:rsid w:val="000F4635"/>
    <w:rsid w:val="000F6486"/>
    <w:rsid w:val="00116940"/>
    <w:rsid w:val="00125105"/>
    <w:rsid w:val="00127233"/>
    <w:rsid w:val="00151987"/>
    <w:rsid w:val="0015699B"/>
    <w:rsid w:val="001A33BF"/>
    <w:rsid w:val="001C1304"/>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0BFA"/>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42FF"/>
    <w:rsid w:val="004A1847"/>
    <w:rsid w:val="004A305D"/>
    <w:rsid w:val="004F21C4"/>
    <w:rsid w:val="004F685F"/>
    <w:rsid w:val="005203BA"/>
    <w:rsid w:val="005566E8"/>
    <w:rsid w:val="00574867"/>
    <w:rsid w:val="00591460"/>
    <w:rsid w:val="005966F1"/>
    <w:rsid w:val="005A65E0"/>
    <w:rsid w:val="005C3777"/>
    <w:rsid w:val="005C5CDC"/>
    <w:rsid w:val="005D476C"/>
    <w:rsid w:val="005E2591"/>
    <w:rsid w:val="006200BF"/>
    <w:rsid w:val="006219F8"/>
    <w:rsid w:val="006302F7"/>
    <w:rsid w:val="006418FD"/>
    <w:rsid w:val="00646B9F"/>
    <w:rsid w:val="00665D70"/>
    <w:rsid w:val="006900D9"/>
    <w:rsid w:val="006C69D3"/>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46E9F"/>
    <w:rsid w:val="0095685E"/>
    <w:rsid w:val="00961B09"/>
    <w:rsid w:val="00965334"/>
    <w:rsid w:val="0097093E"/>
    <w:rsid w:val="00984E00"/>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636A"/>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17B9"/>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E2591"/>
    <w:rPr>
      <w:rFonts w:ascii="Geomanist Light" w:hAnsi="Geomanist Light"/>
      <w:lang w:val="es-ES"/>
    </w:rPr>
  </w:style>
  <w:style w:type="paragraph" w:customStyle="1" w:styleId="Appelnotedebasde">
    <w:name w:val="Appel note de bas de..."/>
    <w:basedOn w:val="Normal"/>
    <w:link w:val="Refdenotaalpie"/>
    <w:uiPriority w:val="99"/>
    <w:rsid w:val="005E259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catisa2020@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tmp"/><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C2516582-750D-4039-AF5E-53F65731B117}">
  <ds:schemaRefs>
    <ds:schemaRef ds:uri="http://schemas.openxmlformats.org/officeDocument/2006/bibliography"/>
  </ds:schemaRefs>
</ds:datastoreItem>
</file>

<file path=customXml/itemProps4.xml><?xml version="1.0" encoding="utf-8"?>
<ds:datastoreItem xmlns:ds="http://schemas.openxmlformats.org/officeDocument/2006/customXml" ds:itemID="{1DCCE2A5-2EF8-4F2C-B4EE-C3066D930F80}"/>
</file>

<file path=docProps/app.xml><?xml version="1.0" encoding="utf-8"?>
<Properties xmlns="http://schemas.openxmlformats.org/officeDocument/2006/extended-properties" xmlns:vt="http://schemas.openxmlformats.org/officeDocument/2006/docPropsVTypes">
  <Template>Normal</Template>
  <TotalTime>11</TotalTime>
  <Pages>11</Pages>
  <Words>3175</Words>
  <Characters>17464</Characters>
  <Application>Microsoft Office Word</Application>
  <DocSecurity>0</DocSecurity>
  <Lines>145</Lines>
  <Paragraphs>41</Paragraphs>
  <ScaleCrop>false</ScaleCrop>
  <Company/>
  <LinksUpToDate>false</LinksUpToDate>
  <CharactersWithSpaces>20598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2025-12-24T12:53:00Z</dcterms:created>
  <dcterms:modified xsi:type="dcterms:W3CDTF">2025-12-26T12:58:00Z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