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5A88B" w14:textId="77777777" w:rsidR="00295260" w:rsidRPr="00C2765B" w:rsidRDefault="00295260" w:rsidP="00295260">
      <w:pPr>
        <w:spacing w:after="0"/>
        <w:jc w:val="both"/>
        <w:rPr>
          <w:rFonts w:ascii="Verdana" w:hAnsi="Verdana"/>
        </w:rPr>
      </w:pPr>
      <w:bookmarkStart w:id="0" w:name="_Hlk186494164"/>
      <w:r w:rsidRPr="00C2765B">
        <w:rPr>
          <w:rFonts w:ascii="Verdana" w:eastAsia="Calibri" w:hAnsi="Verdana" w:cs="Arial"/>
          <w:b/>
          <w:color w:val="000000"/>
          <w:kern w:val="2"/>
          <w:lang w:val="es-ES"/>
          <w14:ligatures w14:val="standardContextual"/>
        </w:rPr>
        <w:t xml:space="preserve">PRECIOS UNITARIOS – APU – AIU </w:t>
      </w:r>
    </w:p>
    <w:p w14:paraId="435F9C43" w14:textId="77777777" w:rsidR="00295260" w:rsidRPr="00976D4A" w:rsidRDefault="00295260" w:rsidP="00295260">
      <w:pPr>
        <w:spacing w:after="0" w:line="240" w:lineRule="auto"/>
        <w:jc w:val="both"/>
        <w:rPr>
          <w:rFonts w:ascii="Verdana" w:eastAsia="Calibri" w:hAnsi="Verdana" w:cs="Arial"/>
          <w:bCs/>
          <w:color w:val="000000"/>
          <w:kern w:val="2"/>
          <w:lang w:val="es-ES"/>
          <w14:ligatures w14:val="standardContextual"/>
        </w:rPr>
      </w:pPr>
    </w:p>
    <w:p w14:paraId="45FA7FEB" w14:textId="77777777" w:rsidR="00295260" w:rsidRPr="00976D4A" w:rsidRDefault="00295260" w:rsidP="00295260">
      <w:pPr>
        <w:adjustRightInd w:val="0"/>
        <w:snapToGrid w:val="0"/>
        <w:spacing w:after="0" w:line="240" w:lineRule="auto"/>
        <w:jc w:val="both"/>
        <w:rPr>
          <w:rFonts w:ascii="Verdana" w:eastAsia="Calibri" w:hAnsi="Verdana" w:cs="Arial"/>
          <w:bCs/>
          <w:sz w:val="20"/>
          <w:szCs w:val="20"/>
          <w:lang w:val="es-ES_tradnl" w:eastAsia="es-ES_tradnl"/>
        </w:rPr>
      </w:pPr>
      <w:r w:rsidRPr="00976D4A">
        <w:rPr>
          <w:rFonts w:ascii="Verdana" w:eastAsia="Calibri" w:hAnsi="Verdana" w:cs="Arial"/>
          <w:sz w:val="20"/>
          <w:szCs w:val="20"/>
          <w:lang w:val="es-ES" w:eastAsia="es-ES"/>
        </w:rPr>
        <w:t xml:space="preserve">[…] en los contratos cuyo precio se estructura a partir del sistema de precios unitarios, ha hecho parte de la práctica de los negocios que el contratante le solicite al potencial contratista que separe en su propuesta los </w:t>
      </w:r>
      <w:r w:rsidRPr="00976D4A">
        <w:rPr>
          <w:rFonts w:ascii="Verdana" w:eastAsia="Calibri" w:hAnsi="Verdana" w:cs="Arial"/>
          <w:i/>
          <w:iCs/>
          <w:sz w:val="20"/>
          <w:szCs w:val="20"/>
          <w:lang w:val="es-ES" w:eastAsia="es-ES"/>
        </w:rPr>
        <w:t>costos directos</w:t>
      </w:r>
      <w:r w:rsidRPr="00976D4A">
        <w:rPr>
          <w:rFonts w:ascii="Verdana" w:eastAsia="Calibri" w:hAnsi="Verdana" w:cs="Arial"/>
          <w:sz w:val="20"/>
          <w:szCs w:val="20"/>
          <w:lang w:val="es-ES" w:eastAsia="es-ES"/>
        </w:rPr>
        <w:t xml:space="preserve"> –es decir, los que están directamente implicados en la ejecución del objeto–, de los </w:t>
      </w:r>
      <w:r w:rsidRPr="00976D4A">
        <w:rPr>
          <w:rFonts w:ascii="Verdana" w:eastAsia="Calibri" w:hAnsi="Verdana" w:cs="Arial"/>
          <w:i/>
          <w:iCs/>
          <w:sz w:val="20"/>
          <w:szCs w:val="20"/>
          <w:lang w:val="es-ES" w:eastAsia="es-ES"/>
        </w:rPr>
        <w:t>costos indirectos</w:t>
      </w:r>
      <w:r w:rsidRPr="00976D4A">
        <w:rPr>
          <w:rFonts w:ascii="Verdana" w:eastAsia="Calibri" w:hAnsi="Verdana" w:cs="Arial"/>
          <w:sz w:val="20"/>
          <w:szCs w:val="20"/>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976D4A">
        <w:rPr>
          <w:rFonts w:ascii="Verdana" w:eastAsia="Calibri" w:hAnsi="Verdana" w:cs="Arial"/>
          <w:i/>
          <w:iCs/>
          <w:sz w:val="20"/>
          <w:szCs w:val="20"/>
          <w:lang w:val="es-ES" w:eastAsia="es-ES"/>
        </w:rPr>
        <w:t>costos directos</w:t>
      </w:r>
      <w:r w:rsidRPr="00976D4A">
        <w:rPr>
          <w:rFonts w:ascii="Verdana" w:eastAsia="Calibri" w:hAnsi="Verdana" w:cs="Arial"/>
          <w:sz w:val="20"/>
          <w:szCs w:val="20"/>
          <w:lang w:val="es-ES" w:eastAsia="es-ES"/>
        </w:rPr>
        <w:t xml:space="preserve"> se evidencian en el análisis de precios unitarios –APU–, como la sumatoria de los valores de los </w:t>
      </w:r>
      <w:r w:rsidRPr="00976D4A">
        <w:rPr>
          <w:rFonts w:ascii="Verdana" w:eastAsia="Calibri" w:hAnsi="Verdana" w:cs="Arial"/>
          <w:i/>
          <w:iCs/>
          <w:sz w:val="20"/>
          <w:szCs w:val="20"/>
          <w:lang w:val="es-ES" w:eastAsia="es-ES"/>
        </w:rPr>
        <w:t>ítems</w:t>
      </w:r>
      <w:r w:rsidRPr="00976D4A">
        <w:rPr>
          <w:rFonts w:ascii="Verdana" w:eastAsia="Calibri" w:hAnsi="Verdana" w:cs="Arial"/>
          <w:sz w:val="20"/>
          <w:szCs w:val="20"/>
          <w:lang w:val="es-ES" w:eastAsia="es-ES"/>
        </w:rPr>
        <w:t xml:space="preserve"> según su unidad de medida, los </w:t>
      </w:r>
      <w:r w:rsidRPr="00976D4A">
        <w:rPr>
          <w:rFonts w:ascii="Verdana" w:eastAsia="Calibri" w:hAnsi="Verdana" w:cs="Arial"/>
          <w:i/>
          <w:iCs/>
          <w:sz w:val="20"/>
          <w:szCs w:val="20"/>
          <w:lang w:val="es-ES" w:eastAsia="es-ES"/>
        </w:rPr>
        <w:t>costos indirectos</w:t>
      </w:r>
      <w:r w:rsidRPr="00976D4A">
        <w:rPr>
          <w:rFonts w:ascii="Verdana" w:eastAsia="Calibri" w:hAnsi="Verdana" w:cs="Arial"/>
          <w:sz w:val="20"/>
          <w:szCs w:val="20"/>
          <w:lang w:val="es-ES" w:eastAsia="es-ES"/>
        </w:rPr>
        <w:t xml:space="preserve"> se suelen abreviar en las variables que integran el acrónimo AIU –Administración, Imprevistos y Utilidad–. </w:t>
      </w:r>
    </w:p>
    <w:p w14:paraId="360A4273" w14:textId="77777777" w:rsidR="00295260" w:rsidRPr="00C2765B" w:rsidRDefault="00295260" w:rsidP="00295260">
      <w:pPr>
        <w:spacing w:after="0" w:line="276" w:lineRule="auto"/>
        <w:jc w:val="both"/>
        <w:rPr>
          <w:rFonts w:ascii="Verdana" w:eastAsia="Geomanist Light" w:hAnsi="Verdana" w:cs="Arial"/>
          <w:lang w:eastAsia="es-MX"/>
        </w:rPr>
      </w:pPr>
    </w:p>
    <w:p w14:paraId="42A3F4B8" w14:textId="77777777" w:rsidR="00295260" w:rsidRPr="00C2765B" w:rsidRDefault="00295260" w:rsidP="00295260">
      <w:pPr>
        <w:spacing w:after="0" w:line="276" w:lineRule="auto"/>
        <w:jc w:val="both"/>
        <w:rPr>
          <w:rFonts w:ascii="Verdana" w:eastAsia="Geomanist Light" w:hAnsi="Verdana" w:cs="Arial"/>
          <w:b/>
          <w:bCs/>
          <w:lang w:eastAsia="es-MX"/>
        </w:rPr>
      </w:pPr>
      <w:r w:rsidRPr="00C2765B">
        <w:rPr>
          <w:rFonts w:ascii="Verdana" w:eastAsia="Geomanist Light" w:hAnsi="Verdana" w:cs="Arial"/>
          <w:b/>
          <w:bCs/>
          <w:lang w:eastAsia="es-MX"/>
        </w:rPr>
        <w:t xml:space="preserve">AIU </w:t>
      </w:r>
      <w:bookmarkStart w:id="1" w:name="_Hlk191240580"/>
      <w:r w:rsidRPr="00C2765B">
        <w:rPr>
          <w:rFonts w:ascii="Verdana" w:eastAsia="Geomanist Light" w:hAnsi="Verdana" w:cs="Arial"/>
          <w:b/>
          <w:bCs/>
          <w:lang w:eastAsia="es-MX"/>
        </w:rPr>
        <w:t>– Costos indirectos – Discrecionalidad</w:t>
      </w:r>
      <w:bookmarkEnd w:id="1"/>
    </w:p>
    <w:p w14:paraId="26F00080" w14:textId="77777777" w:rsidR="00295260" w:rsidRPr="00C2765B" w:rsidRDefault="00295260" w:rsidP="00295260">
      <w:pPr>
        <w:spacing w:after="0" w:line="276" w:lineRule="auto"/>
        <w:jc w:val="both"/>
        <w:rPr>
          <w:rFonts w:ascii="Verdana" w:eastAsia="Geomanist Light" w:hAnsi="Verdana" w:cs="Arial"/>
          <w:lang w:eastAsia="es-MX"/>
        </w:rPr>
      </w:pPr>
    </w:p>
    <w:p w14:paraId="604FF72E" w14:textId="77777777" w:rsidR="00295260" w:rsidRPr="00976D4A" w:rsidRDefault="00295260" w:rsidP="00295260">
      <w:pPr>
        <w:adjustRightInd w:val="0"/>
        <w:snapToGrid w:val="0"/>
        <w:spacing w:after="0" w:line="240" w:lineRule="auto"/>
        <w:jc w:val="both"/>
        <w:rPr>
          <w:rFonts w:ascii="Verdana" w:eastAsia="Calibri" w:hAnsi="Verdana" w:cs="Arial"/>
          <w:sz w:val="20"/>
          <w:szCs w:val="20"/>
          <w:lang w:val="es-ES" w:eastAsia="es-ES"/>
        </w:rPr>
      </w:pPr>
      <w:r w:rsidRPr="00976D4A">
        <w:rPr>
          <w:rFonts w:ascii="Verdana" w:eastAsia="Calibri" w:hAnsi="Verdana" w:cs="Arial"/>
          <w:sz w:val="20"/>
          <w:szCs w:val="20"/>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976D4A">
        <w:rPr>
          <w:rFonts w:ascii="Verdana" w:eastAsia="Calibri" w:hAnsi="Verdana" w:cs="Arial"/>
          <w:i/>
          <w:iCs/>
          <w:sz w:val="20"/>
          <w:szCs w:val="20"/>
          <w:lang w:val="es-ES" w:eastAsia="es-ES"/>
        </w:rPr>
        <w:t>Administración</w:t>
      </w:r>
      <w:r w:rsidRPr="00976D4A">
        <w:rPr>
          <w:rFonts w:ascii="Verdana" w:eastAsia="Calibri" w:hAnsi="Verdana" w:cs="Arial"/>
          <w:sz w:val="20"/>
          <w:szCs w:val="20"/>
          <w:lang w:val="es-ES" w:eastAsia="es-ES"/>
        </w:rPr>
        <w:t xml:space="preserve"> o de </w:t>
      </w:r>
      <w:r w:rsidRPr="00976D4A">
        <w:rPr>
          <w:rFonts w:ascii="Verdana" w:eastAsia="Calibri" w:hAnsi="Verdana" w:cs="Arial"/>
          <w:i/>
          <w:iCs/>
          <w:sz w:val="20"/>
          <w:szCs w:val="20"/>
          <w:lang w:val="es-ES" w:eastAsia="es-ES"/>
        </w:rPr>
        <w:t>Imprevistos</w:t>
      </w:r>
      <w:r w:rsidRPr="00976D4A">
        <w:rPr>
          <w:rFonts w:ascii="Verdana" w:eastAsia="Calibri" w:hAnsi="Verdana" w:cs="Arial"/>
          <w:sz w:val="20"/>
          <w:szCs w:val="20"/>
          <w:lang w:val="es-ES" w:eastAsia="es-ES"/>
        </w:rPr>
        <w:t>.</w:t>
      </w:r>
    </w:p>
    <w:p w14:paraId="76CA80E4" w14:textId="77777777" w:rsidR="00295260" w:rsidRPr="00976D4A" w:rsidRDefault="00295260" w:rsidP="00295260">
      <w:pPr>
        <w:adjustRightInd w:val="0"/>
        <w:snapToGrid w:val="0"/>
        <w:spacing w:after="0" w:line="240" w:lineRule="auto"/>
        <w:ind w:left="714" w:hanging="357"/>
        <w:rPr>
          <w:rFonts w:ascii="Verdana" w:eastAsia="Calibri" w:hAnsi="Verdana" w:cs="Arial"/>
          <w:sz w:val="20"/>
          <w:szCs w:val="20"/>
          <w:lang w:val="es-ES" w:eastAsia="es-ES"/>
        </w:rPr>
      </w:pPr>
    </w:p>
    <w:p w14:paraId="51BF9B38" w14:textId="77777777" w:rsidR="00295260" w:rsidRDefault="00295260" w:rsidP="00295260">
      <w:pPr>
        <w:adjustRightInd w:val="0"/>
        <w:snapToGrid w:val="0"/>
        <w:spacing w:after="0" w:line="240" w:lineRule="auto"/>
        <w:jc w:val="both"/>
        <w:rPr>
          <w:rFonts w:ascii="Verdana" w:eastAsia="Calibri" w:hAnsi="Verdana" w:cs="Arial"/>
          <w:sz w:val="20"/>
          <w:szCs w:val="20"/>
          <w:lang w:val="es-ES" w:eastAsia="es-ES"/>
        </w:rPr>
      </w:pPr>
      <w:r w:rsidRPr="00976D4A">
        <w:rPr>
          <w:rFonts w:ascii="Verdana" w:eastAsia="Calibri" w:hAnsi="Verdana" w:cs="Arial"/>
          <w:sz w:val="20"/>
          <w:szCs w:val="20"/>
          <w:lang w:val="es-ES" w:eastAsia="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6CAC3199" w14:textId="77777777" w:rsidR="00EA59B3" w:rsidRDefault="00EA59B3" w:rsidP="00295260">
      <w:pPr>
        <w:adjustRightInd w:val="0"/>
        <w:snapToGrid w:val="0"/>
        <w:spacing w:after="0" w:line="240" w:lineRule="auto"/>
        <w:jc w:val="both"/>
        <w:rPr>
          <w:rFonts w:ascii="Verdana" w:eastAsia="Calibri" w:hAnsi="Verdana" w:cs="Arial"/>
          <w:sz w:val="20"/>
          <w:szCs w:val="20"/>
          <w:lang w:val="es-ES" w:eastAsia="es-ES"/>
        </w:rPr>
      </w:pPr>
    </w:p>
    <w:p w14:paraId="4B028E04" w14:textId="3C0F0852" w:rsidR="00EA59B3" w:rsidRPr="00EA59B3" w:rsidRDefault="00EA59B3" w:rsidP="00295260">
      <w:pPr>
        <w:adjustRightInd w:val="0"/>
        <w:snapToGrid w:val="0"/>
        <w:spacing w:after="0" w:line="240" w:lineRule="auto"/>
        <w:jc w:val="both"/>
        <w:rPr>
          <w:rFonts w:ascii="Verdana" w:eastAsia="Calibri" w:hAnsi="Verdana" w:cs="Arial"/>
          <w:b/>
          <w:lang w:val="es-ES" w:eastAsia="es-ES"/>
        </w:rPr>
      </w:pPr>
      <w:r w:rsidRPr="00EA59B3">
        <w:rPr>
          <w:rFonts w:ascii="Verdana" w:eastAsia="Calibri" w:hAnsi="Verdana" w:cs="Arial"/>
          <w:b/>
          <w:lang w:eastAsia="es-ES"/>
        </w:rPr>
        <w:t>AIU – APU – Determinación</w:t>
      </w:r>
    </w:p>
    <w:p w14:paraId="1880960E" w14:textId="77777777" w:rsidR="00C668F0" w:rsidRDefault="00C668F0" w:rsidP="00C668F0">
      <w:pPr>
        <w:spacing w:after="0" w:line="240" w:lineRule="auto"/>
        <w:jc w:val="both"/>
        <w:rPr>
          <w:rFonts w:ascii="Verdana" w:hAnsi="Verdana" w:cs="Arial"/>
          <w:bCs/>
          <w:sz w:val="20"/>
          <w:szCs w:val="20"/>
          <w:lang w:val="es-ES_tradnl" w:eastAsia="es-ES_tradnl"/>
        </w:rPr>
      </w:pPr>
    </w:p>
    <w:p w14:paraId="5070037A" w14:textId="2B9544E4" w:rsidR="00C668F0" w:rsidRPr="00143822" w:rsidRDefault="00C668F0" w:rsidP="00C668F0">
      <w:pPr>
        <w:spacing w:after="0" w:line="240" w:lineRule="auto"/>
        <w:jc w:val="both"/>
        <w:rPr>
          <w:rFonts w:ascii="Verdana" w:hAnsi="Verdana" w:cs="Arial"/>
          <w:bCs/>
          <w:szCs w:val="24"/>
          <w:lang w:val="es-ES_tradnl" w:eastAsia="es-ES_tradnl"/>
        </w:rPr>
      </w:pPr>
      <w:r w:rsidRPr="00C668F0">
        <w:rPr>
          <w:rFonts w:ascii="Verdana" w:hAnsi="Verdana" w:cs="Arial"/>
          <w:bCs/>
          <w:sz w:val="20"/>
          <w:szCs w:val="20"/>
          <w:lang w:val="es-ES_tradnl" w:eastAsia="es-ES_tradnl"/>
        </w:rPr>
        <w:lastRenderedPageBreak/>
        <w:t xml:space="preserve">De este modo, </w:t>
      </w:r>
      <w:r w:rsidRPr="00C668F0">
        <w:rPr>
          <w:rFonts w:ascii="Verdana" w:hAnsi="Verdana" w:cs="Arial"/>
          <w:sz w:val="20"/>
          <w:szCs w:val="20"/>
          <w:lang w:eastAsia="es-ES"/>
        </w:rPr>
        <w:t>el AIU, como metodología de pacto del precio que proviene de la costumbre mercantil, se puede utilizar en principio en cualquier tipología contractual, aunque lo más común es que se use en los contratos de tracto sucesivo, especialmente en los que se distinguen los precios unitarios.</w:t>
      </w:r>
      <w:r w:rsidRPr="00C668F0">
        <w:rPr>
          <w:rFonts w:ascii="Verdana" w:hAnsi="Verdana" w:cs="Arial"/>
          <w:bCs/>
          <w:sz w:val="20"/>
          <w:szCs w:val="20"/>
          <w:lang w:val="es-ES_tradnl" w:eastAsia="es-ES_tradnl"/>
        </w:rPr>
        <w:t xml:space="preserve"> </w:t>
      </w:r>
      <w:r w:rsidRPr="00C668F0">
        <w:rPr>
          <w:rFonts w:ascii="Verdana" w:hAnsi="Verdana" w:cs="Arial"/>
          <w:sz w:val="20"/>
          <w:szCs w:val="20"/>
          <w:lang w:eastAsia="es-ES"/>
        </w:rPr>
        <w:t xml:space="preserve">La determinación de este sistema de estipulación del valor debe ser el resultado de los estudios previos, y especialmente del análisis del sector. Solo a partir de tales estudios la entidad estatal podrá concluir si es oportuno y conveniente establecer que el precio del contrato y, por tanto, la propuesta del </w:t>
      </w:r>
      <w:proofErr w:type="gramStart"/>
      <w:r w:rsidRPr="00C668F0">
        <w:rPr>
          <w:rFonts w:ascii="Verdana" w:hAnsi="Verdana" w:cs="Arial"/>
          <w:sz w:val="20"/>
          <w:szCs w:val="20"/>
          <w:lang w:eastAsia="es-ES"/>
        </w:rPr>
        <w:t>oferente,</w:t>
      </w:r>
      <w:proofErr w:type="gramEnd"/>
      <w:r w:rsidRPr="00C668F0">
        <w:rPr>
          <w:rFonts w:ascii="Verdana" w:hAnsi="Verdana" w:cs="Arial"/>
          <w:sz w:val="20"/>
          <w:szCs w:val="20"/>
          <w:lang w:eastAsia="es-ES"/>
        </w:rPr>
        <w:t xml:space="preserve"> se deberá establecer distinguiendo los costos directos respecto de los costos indirectos; estos últimos representados en el AIU</w:t>
      </w:r>
      <w:r w:rsidRPr="00143822">
        <w:rPr>
          <w:rFonts w:ascii="Verdana" w:hAnsi="Verdana" w:cs="Arial"/>
          <w:lang w:eastAsia="es-ES"/>
        </w:rPr>
        <w:t xml:space="preserve">. </w:t>
      </w:r>
    </w:p>
    <w:p w14:paraId="72FC842D" w14:textId="77777777" w:rsidR="00691BB7" w:rsidRDefault="00691BB7" w:rsidP="00CE37A3">
      <w:pPr>
        <w:spacing w:after="0" w:line="240" w:lineRule="auto"/>
        <w:rPr>
          <w:rFonts w:ascii="Verdana" w:hAnsi="Verdana" w:cs="Arial"/>
          <w:b/>
          <w:color w:val="000000" w:themeColor="text1"/>
          <w:sz w:val="20"/>
          <w:szCs w:val="20"/>
        </w:rPr>
      </w:pPr>
    </w:p>
    <w:p w14:paraId="10FD3FC3" w14:textId="7B0AFB1F" w:rsidR="00691BB7" w:rsidRDefault="00744836" w:rsidP="00785221">
      <w:pPr>
        <w:spacing w:after="0" w:line="240" w:lineRule="auto"/>
        <w:jc w:val="both"/>
        <w:rPr>
          <w:rFonts w:ascii="Verdana" w:hAnsi="Verdana" w:cs="Arial"/>
          <w:b/>
          <w:color w:val="000000" w:themeColor="text1"/>
          <w:sz w:val="20"/>
          <w:szCs w:val="20"/>
        </w:rPr>
      </w:pPr>
      <w:r>
        <w:rPr>
          <w:rFonts w:ascii="Verdana" w:hAnsi="Verdana" w:cs="Arial"/>
          <w:b/>
          <w:color w:val="000000" w:themeColor="text1"/>
          <w:sz w:val="20"/>
          <w:szCs w:val="20"/>
        </w:rPr>
        <w:t xml:space="preserve">AIU </w:t>
      </w:r>
      <w:r w:rsidRPr="00C2765B">
        <w:rPr>
          <w:rFonts w:ascii="Verdana" w:eastAsia="Geomanist Light" w:hAnsi="Verdana" w:cs="Arial"/>
          <w:b/>
          <w:bCs/>
          <w:lang w:eastAsia="es-MX"/>
        </w:rPr>
        <w:t xml:space="preserve">– </w:t>
      </w:r>
      <w:r>
        <w:rPr>
          <w:rFonts w:ascii="Verdana" w:eastAsia="Geomanist Light" w:hAnsi="Verdana" w:cs="Arial"/>
          <w:b/>
          <w:bCs/>
          <w:lang w:eastAsia="es-MX"/>
        </w:rPr>
        <w:t>Estudios del sector</w:t>
      </w:r>
      <w:r w:rsidRPr="00C2765B">
        <w:rPr>
          <w:rFonts w:ascii="Verdana" w:eastAsia="Geomanist Light" w:hAnsi="Verdana" w:cs="Arial"/>
          <w:b/>
          <w:bCs/>
          <w:lang w:eastAsia="es-MX"/>
        </w:rPr>
        <w:t xml:space="preserve"> </w:t>
      </w:r>
      <w:bookmarkStart w:id="2" w:name="_Hlk191240632"/>
      <w:r w:rsidRPr="00C2765B">
        <w:rPr>
          <w:rFonts w:ascii="Verdana" w:eastAsia="Geomanist Light" w:hAnsi="Verdana" w:cs="Arial"/>
          <w:b/>
          <w:bCs/>
          <w:lang w:eastAsia="es-MX"/>
        </w:rPr>
        <w:t xml:space="preserve">– </w:t>
      </w:r>
      <w:bookmarkEnd w:id="2"/>
      <w:r w:rsidR="00E4123F">
        <w:rPr>
          <w:rFonts w:ascii="Verdana" w:eastAsia="Geomanist Light" w:hAnsi="Verdana" w:cs="Arial"/>
          <w:b/>
          <w:bCs/>
          <w:lang w:eastAsia="es-MX"/>
        </w:rPr>
        <w:t>T</w:t>
      </w:r>
      <w:r w:rsidR="00175B11">
        <w:rPr>
          <w:rFonts w:ascii="Verdana" w:eastAsia="Geomanist Light" w:hAnsi="Verdana" w:cs="Arial"/>
          <w:b/>
          <w:bCs/>
          <w:lang w:eastAsia="es-MX"/>
        </w:rPr>
        <w:t xml:space="preserve">ipología contractual </w:t>
      </w:r>
      <w:r w:rsidR="00175B11" w:rsidRPr="00C2765B">
        <w:rPr>
          <w:rFonts w:ascii="Verdana" w:eastAsia="Geomanist Light" w:hAnsi="Verdana" w:cs="Arial"/>
          <w:b/>
          <w:bCs/>
          <w:lang w:eastAsia="es-MX"/>
        </w:rPr>
        <w:t>–</w:t>
      </w:r>
      <w:r w:rsidR="00175B11">
        <w:rPr>
          <w:rFonts w:ascii="Verdana" w:eastAsia="Geomanist Light" w:hAnsi="Verdana" w:cs="Arial"/>
          <w:b/>
          <w:bCs/>
          <w:lang w:eastAsia="es-MX"/>
        </w:rPr>
        <w:t xml:space="preserve"> </w:t>
      </w:r>
      <w:r w:rsidR="00785221" w:rsidRPr="00785221">
        <w:rPr>
          <w:rFonts w:ascii="Verdana" w:eastAsia="Geomanist Light" w:hAnsi="Verdana" w:cs="Arial"/>
          <w:b/>
          <w:bCs/>
          <w:lang w:eastAsia="es-MX"/>
        </w:rPr>
        <w:t>Componentes – Porcentajes</w:t>
      </w:r>
    </w:p>
    <w:p w14:paraId="05331FE2" w14:textId="77777777" w:rsidR="00691BB7" w:rsidRDefault="00691BB7" w:rsidP="00CE37A3">
      <w:pPr>
        <w:spacing w:after="0" w:line="240" w:lineRule="auto"/>
        <w:rPr>
          <w:rFonts w:ascii="Verdana" w:hAnsi="Verdana" w:cs="Arial"/>
          <w:b/>
          <w:color w:val="000000" w:themeColor="text1"/>
          <w:sz w:val="20"/>
          <w:szCs w:val="20"/>
        </w:rPr>
      </w:pPr>
    </w:p>
    <w:p w14:paraId="2FE6BF8D" w14:textId="77777777" w:rsidR="00785221" w:rsidRPr="00785221" w:rsidRDefault="00175B11" w:rsidP="00785221">
      <w:pPr>
        <w:spacing w:after="0" w:line="240" w:lineRule="auto"/>
        <w:jc w:val="both"/>
        <w:rPr>
          <w:rFonts w:ascii="Verdana" w:hAnsi="Verdana" w:cs="Arial"/>
          <w:sz w:val="20"/>
          <w:szCs w:val="20"/>
          <w:lang w:eastAsia="es-ES"/>
        </w:rPr>
      </w:pPr>
      <w:r>
        <w:rPr>
          <w:rFonts w:ascii="Verdana" w:hAnsi="Verdana" w:cs="Arial"/>
          <w:sz w:val="20"/>
          <w:szCs w:val="20"/>
          <w:lang w:eastAsia="es-ES"/>
        </w:rPr>
        <w:t xml:space="preserve">(…) </w:t>
      </w:r>
      <w:r w:rsidRPr="00175B11">
        <w:rPr>
          <w:rFonts w:ascii="Verdana" w:hAnsi="Verdana" w:cs="Arial"/>
          <w:sz w:val="20"/>
          <w:szCs w:val="20"/>
          <w:lang w:eastAsia="es-ES"/>
        </w:rPr>
        <w:t xml:space="preserve"> </w:t>
      </w:r>
      <w:r w:rsidR="00785221" w:rsidRPr="00785221">
        <w:rPr>
          <w:rFonts w:ascii="Verdana" w:hAnsi="Verdana" w:cs="Arial"/>
          <w:sz w:val="20"/>
          <w:szCs w:val="20"/>
          <w:lang w:eastAsia="es-ES"/>
        </w:rPr>
        <w:t xml:space="preserve">En consecuencia, no hay </w:t>
      </w:r>
      <w:r w:rsidR="00785221" w:rsidRPr="00785221">
        <w:rPr>
          <w:rFonts w:ascii="Verdana" w:hAnsi="Verdana" w:cs="Arial"/>
          <w:i/>
          <w:sz w:val="20"/>
          <w:szCs w:val="20"/>
          <w:lang w:eastAsia="es-ES"/>
        </w:rPr>
        <w:t>a priori</w:t>
      </w:r>
      <w:r w:rsidR="00785221" w:rsidRPr="00785221">
        <w:rPr>
          <w:rFonts w:ascii="Verdana" w:hAnsi="Verdana" w:cs="Arial"/>
          <w:sz w:val="20"/>
          <w:szCs w:val="20"/>
          <w:lang w:eastAsia="es-ES"/>
        </w:rPr>
        <w:t xml:space="preserve"> tipologías contractuales en las que la ley o el reglamento establezcan que se debe utilizar el AIU, así como tampoco hay una determinación única y específica de la forma en la que el AIU debe ser establecido en los contratos, ya que tal decisión obedece a lo que resulte más conveniente a la entidad estatal, en cumplimiento del principio de planeación.</w:t>
      </w:r>
    </w:p>
    <w:p w14:paraId="763C1BFF" w14:textId="77777777" w:rsidR="00785221" w:rsidRDefault="00785221" w:rsidP="00785221">
      <w:pPr>
        <w:spacing w:after="0" w:line="240" w:lineRule="auto"/>
        <w:jc w:val="both"/>
        <w:rPr>
          <w:rFonts w:ascii="Verdana" w:hAnsi="Verdana" w:cs="Arial"/>
          <w:bCs/>
          <w:sz w:val="20"/>
          <w:szCs w:val="20"/>
          <w:lang w:val="es-ES_tradnl" w:eastAsia="es-ES"/>
        </w:rPr>
      </w:pPr>
    </w:p>
    <w:p w14:paraId="424F5286" w14:textId="55FD6C99" w:rsidR="00785221" w:rsidRDefault="00785221" w:rsidP="00785221">
      <w:pPr>
        <w:spacing w:after="0" w:line="240" w:lineRule="auto"/>
        <w:jc w:val="both"/>
        <w:rPr>
          <w:rFonts w:ascii="Verdana" w:hAnsi="Verdana" w:cs="Arial"/>
          <w:sz w:val="20"/>
          <w:szCs w:val="20"/>
          <w:lang w:eastAsia="es-ES"/>
        </w:rPr>
      </w:pPr>
      <w:r w:rsidRPr="00785221">
        <w:rPr>
          <w:rFonts w:ascii="Verdana" w:hAnsi="Verdana" w:cs="Arial"/>
          <w:bCs/>
          <w:sz w:val="20"/>
          <w:szCs w:val="20"/>
          <w:lang w:val="es-ES_tradnl" w:eastAsia="es-ES"/>
        </w:rPr>
        <w:t xml:space="preserve">En este contexto, si </w:t>
      </w:r>
      <w:r w:rsidRPr="00785221">
        <w:rPr>
          <w:rFonts w:ascii="Verdana" w:hAnsi="Verdana" w:cs="Arial"/>
          <w:sz w:val="20"/>
          <w:szCs w:val="20"/>
          <w:lang w:eastAsia="es-ES"/>
        </w:rPr>
        <w:t>con base en los estudios del sector la entidad estatal estableció la necesidad de estructurar el valor bajo el sistema de precios unitarios y con el desglose del AIU, el precio se debería pagar con base en el valor de los costos directos incrementados por el porcentaje del AIU, en relación con todas las actividades calculadas bajo este sistema. En otras palabras, cuando el valor en el contrato se estructuró utilizando el sistema de AIU, el pago del AIU debe aplicarse a todas las actividades del contrato, a menos que se haya acordado lo contrario.</w:t>
      </w:r>
    </w:p>
    <w:p w14:paraId="4C758FAC" w14:textId="77777777" w:rsidR="009332D7" w:rsidRDefault="009332D7" w:rsidP="00785221">
      <w:pPr>
        <w:spacing w:after="0" w:line="240" w:lineRule="auto"/>
        <w:jc w:val="both"/>
        <w:rPr>
          <w:rFonts w:ascii="Verdana" w:hAnsi="Verdana" w:cs="Arial"/>
          <w:sz w:val="20"/>
          <w:szCs w:val="20"/>
          <w:lang w:eastAsia="es-ES"/>
        </w:rPr>
      </w:pPr>
    </w:p>
    <w:p w14:paraId="362C5B0F" w14:textId="6CE14C05" w:rsidR="009332D7" w:rsidRPr="00785221" w:rsidRDefault="009332D7" w:rsidP="00785221">
      <w:pPr>
        <w:spacing w:after="0" w:line="240" w:lineRule="auto"/>
        <w:jc w:val="both"/>
        <w:rPr>
          <w:rFonts w:ascii="Verdana" w:hAnsi="Verdana" w:cs="Arial"/>
          <w:sz w:val="20"/>
          <w:szCs w:val="20"/>
          <w:lang w:eastAsia="es-ES"/>
        </w:rPr>
      </w:pPr>
      <w:r>
        <w:rPr>
          <w:rFonts w:ascii="Verdana" w:hAnsi="Verdana" w:cs="Arial"/>
          <w:sz w:val="20"/>
          <w:szCs w:val="20"/>
          <w:lang w:eastAsia="es-ES"/>
        </w:rPr>
        <w:t>(…)</w:t>
      </w:r>
    </w:p>
    <w:p w14:paraId="562FFF3E" w14:textId="77777777" w:rsidR="00691BB7" w:rsidRPr="00785221" w:rsidRDefault="00691BB7" w:rsidP="00785221">
      <w:pPr>
        <w:spacing w:after="0" w:line="240" w:lineRule="auto"/>
        <w:jc w:val="both"/>
        <w:rPr>
          <w:rFonts w:ascii="Verdana" w:hAnsi="Verdana" w:cs="Arial"/>
          <w:bCs/>
          <w:sz w:val="20"/>
          <w:szCs w:val="20"/>
          <w:lang w:val="es-ES_tradnl" w:eastAsia="es-ES"/>
        </w:rPr>
      </w:pPr>
    </w:p>
    <w:p w14:paraId="5772D8F2" w14:textId="77777777" w:rsidR="00785221" w:rsidRPr="00785221" w:rsidRDefault="00785221" w:rsidP="00785221">
      <w:pPr>
        <w:spacing w:after="0" w:line="240" w:lineRule="auto"/>
        <w:jc w:val="both"/>
        <w:rPr>
          <w:rFonts w:ascii="Verdana" w:hAnsi="Verdana" w:cs="Arial"/>
          <w:bCs/>
          <w:sz w:val="20"/>
          <w:szCs w:val="20"/>
          <w:lang w:val="es-ES_tradnl" w:eastAsia="es-ES"/>
        </w:rPr>
      </w:pPr>
      <w:r w:rsidRPr="00785221">
        <w:rPr>
          <w:rFonts w:ascii="Verdana" w:hAnsi="Verdana" w:cs="Arial"/>
          <w:bCs/>
          <w:sz w:val="20"/>
          <w:szCs w:val="20"/>
          <w:lang w:val="es-ES_tradnl" w:eastAsia="es-ES"/>
        </w:rPr>
        <w:t>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indirectos en que incurren los contratistas, entre ellos, los de la Administración y los Imprevistos, para efectos de definir el porcentaje con el que calculan el presupuesto, pese a que el monto de estos componentes varía ostensiblemente de un proponente a otro, pues su valor real depende de circunstancias particulares de los oferentes. Por tanto, en abstracto, no existe un límite mínimo ni máximo respecto al porcentaje.</w:t>
      </w:r>
    </w:p>
    <w:p w14:paraId="17EBA6E6" w14:textId="77777777" w:rsidR="00691BB7" w:rsidRDefault="00691BB7" w:rsidP="00CE37A3">
      <w:pPr>
        <w:spacing w:after="0" w:line="240" w:lineRule="auto"/>
        <w:rPr>
          <w:rFonts w:ascii="Verdana" w:hAnsi="Verdana" w:cs="Arial"/>
          <w:b/>
          <w:color w:val="000000" w:themeColor="text1"/>
          <w:sz w:val="20"/>
          <w:szCs w:val="20"/>
        </w:rPr>
      </w:pPr>
    </w:p>
    <w:p w14:paraId="19454123" w14:textId="77777777" w:rsidR="00691BB7" w:rsidRDefault="00691BB7" w:rsidP="00CE37A3">
      <w:pPr>
        <w:spacing w:after="0" w:line="240" w:lineRule="auto"/>
        <w:rPr>
          <w:rFonts w:ascii="Verdana" w:hAnsi="Verdana" w:cs="Arial"/>
          <w:b/>
          <w:color w:val="000000" w:themeColor="text1"/>
          <w:sz w:val="20"/>
          <w:szCs w:val="20"/>
        </w:rPr>
      </w:pPr>
    </w:p>
    <w:p w14:paraId="15D30F15" w14:textId="77777777" w:rsidR="00691BB7" w:rsidRDefault="00691BB7" w:rsidP="00CE37A3">
      <w:pPr>
        <w:spacing w:after="0" w:line="240" w:lineRule="auto"/>
        <w:rPr>
          <w:rFonts w:ascii="Verdana" w:hAnsi="Verdana" w:cs="Arial"/>
          <w:b/>
          <w:color w:val="000000" w:themeColor="text1"/>
          <w:sz w:val="20"/>
          <w:szCs w:val="20"/>
        </w:rPr>
      </w:pPr>
    </w:p>
    <w:p w14:paraId="44FD1FBB" w14:textId="77777777" w:rsidR="00691BB7" w:rsidRDefault="00691BB7" w:rsidP="00CE37A3">
      <w:pPr>
        <w:spacing w:after="0" w:line="240" w:lineRule="auto"/>
        <w:rPr>
          <w:rFonts w:ascii="Verdana" w:hAnsi="Verdana" w:cs="Arial"/>
          <w:b/>
          <w:color w:val="000000" w:themeColor="text1"/>
          <w:sz w:val="20"/>
          <w:szCs w:val="20"/>
        </w:rPr>
      </w:pPr>
    </w:p>
    <w:p w14:paraId="1246477C" w14:textId="77777777" w:rsidR="008A6A79" w:rsidRDefault="008A6A79" w:rsidP="00CE37A3">
      <w:pPr>
        <w:spacing w:after="0" w:line="240" w:lineRule="auto"/>
        <w:rPr>
          <w:rFonts w:ascii="Verdana" w:hAnsi="Verdana" w:cs="Arial"/>
          <w:b/>
          <w:color w:val="000000" w:themeColor="text1"/>
          <w:sz w:val="20"/>
          <w:szCs w:val="20"/>
        </w:rPr>
      </w:pPr>
    </w:p>
    <w:p w14:paraId="2858F0A4" w14:textId="77777777" w:rsidR="00826141" w:rsidRDefault="00826141" w:rsidP="00CE37A3">
      <w:pPr>
        <w:spacing w:after="0" w:line="240" w:lineRule="auto"/>
        <w:rPr>
          <w:rFonts w:ascii="Verdana" w:hAnsi="Verdana" w:cs="Arial"/>
          <w:b/>
          <w:color w:val="000000" w:themeColor="text1"/>
          <w:sz w:val="20"/>
          <w:szCs w:val="20"/>
        </w:rPr>
      </w:pPr>
    </w:p>
    <w:p w14:paraId="34795350" w14:textId="77777777" w:rsidR="00691BB7" w:rsidRDefault="00691BB7" w:rsidP="00CE37A3">
      <w:pPr>
        <w:spacing w:after="0" w:line="240" w:lineRule="auto"/>
        <w:rPr>
          <w:rFonts w:ascii="Verdana" w:hAnsi="Verdana" w:cs="Arial"/>
          <w:b/>
          <w:color w:val="000000" w:themeColor="text1"/>
          <w:sz w:val="20"/>
          <w:szCs w:val="20"/>
        </w:rPr>
      </w:pPr>
    </w:p>
    <w:p w14:paraId="3286E4DB" w14:textId="557CE886" w:rsidR="00E63B66" w:rsidRPr="00143822" w:rsidRDefault="00E63B66" w:rsidP="00E63B66">
      <w:pPr>
        <w:spacing w:after="0" w:line="240" w:lineRule="auto"/>
        <w:rPr>
          <w:rFonts w:ascii="Verdana" w:eastAsia="Geomanist Light" w:hAnsi="Verdana" w:cs="Arial"/>
          <w:color w:val="201F1E"/>
        </w:rPr>
      </w:pPr>
      <w:r w:rsidRPr="00143822">
        <w:rPr>
          <w:rFonts w:ascii="Verdana" w:eastAsia="Geomanist Light" w:hAnsi="Verdana" w:cs="Arial"/>
          <w:color w:val="000000" w:themeColor="text1"/>
        </w:rPr>
        <w:lastRenderedPageBreak/>
        <w:t>Bogotá D.C., </w:t>
      </w:r>
      <w:r w:rsidR="00D87E50">
        <w:rPr>
          <w:rFonts w:ascii="Verdana" w:eastAsia="Geomanist Light" w:hAnsi="Verdana" w:cs="Arial"/>
          <w:color w:val="201F1E"/>
        </w:rPr>
        <w:t>17 de diciembre de 2025</w:t>
      </w:r>
    </w:p>
    <w:p w14:paraId="7C06847D" w14:textId="77777777" w:rsidR="00E63B66" w:rsidRPr="00143822" w:rsidRDefault="00E63B66" w:rsidP="00E63B66">
      <w:pPr>
        <w:spacing w:after="0" w:line="240" w:lineRule="auto"/>
        <w:jc w:val="right"/>
        <w:rPr>
          <w:rFonts w:ascii="Verdana" w:eastAsia="Calibri" w:hAnsi="Verdana" w:cs="Arial"/>
          <w:color w:val="000000"/>
          <w:lang w:val="es-ES"/>
        </w:rPr>
      </w:pPr>
    </w:p>
    <w:p w14:paraId="2115B4EF" w14:textId="0FFD15FF" w:rsidR="00E63B66" w:rsidRPr="00143822" w:rsidRDefault="00D87E50" w:rsidP="00D87E50">
      <w:pPr>
        <w:spacing w:after="0" w:line="240" w:lineRule="auto"/>
        <w:jc w:val="right"/>
        <w:rPr>
          <w:rFonts w:ascii="Verdana" w:eastAsia="Calibri" w:hAnsi="Verdana" w:cs="Arial"/>
          <w:lang w:val="es-ES" w:eastAsia="es-ES"/>
        </w:rPr>
      </w:pPr>
      <w:r w:rsidRPr="00D87E50">
        <w:rPr>
          <w:rFonts w:ascii="Verdana" w:eastAsia="Calibri" w:hAnsi="Verdana" w:cs="Arial"/>
          <w:noProof/>
          <w:lang w:val="es-ES" w:eastAsia="es-ES"/>
        </w:rPr>
        <w:drawing>
          <wp:inline distT="0" distB="0" distL="0" distR="0" wp14:anchorId="7C4D6E90" wp14:editId="035A45FE">
            <wp:extent cx="2682240" cy="891540"/>
            <wp:effectExtent l="0" t="0" r="3810" b="3810"/>
            <wp:docPr id="19440262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2240" cy="891540"/>
                    </a:xfrm>
                    <a:prstGeom prst="rect">
                      <a:avLst/>
                    </a:prstGeom>
                    <a:noFill/>
                    <a:ln>
                      <a:noFill/>
                    </a:ln>
                  </pic:spPr>
                </pic:pic>
              </a:graphicData>
            </a:graphic>
          </wp:inline>
        </w:drawing>
      </w:r>
    </w:p>
    <w:p w14:paraId="58CB02AC" w14:textId="77777777" w:rsidR="00E63B66" w:rsidRPr="00143822" w:rsidRDefault="00E63B66" w:rsidP="00E63B66">
      <w:pPr>
        <w:spacing w:after="0" w:line="240" w:lineRule="auto"/>
        <w:jc w:val="both"/>
        <w:rPr>
          <w:rFonts w:ascii="Verdana" w:eastAsia="Calibri" w:hAnsi="Verdana" w:cs="Arial"/>
          <w:lang w:val="es-ES" w:eastAsia="es-ES"/>
        </w:rPr>
      </w:pPr>
      <w:r w:rsidRPr="00143822">
        <w:rPr>
          <w:rFonts w:ascii="Verdana" w:eastAsia="Calibri" w:hAnsi="Verdana" w:cs="Arial"/>
          <w:lang w:val="es-ES" w:eastAsia="es-ES"/>
        </w:rPr>
        <w:t>Señor</w:t>
      </w:r>
    </w:p>
    <w:p w14:paraId="7F32761E" w14:textId="77777777" w:rsidR="00E63B66" w:rsidRPr="00143822" w:rsidRDefault="00E63B66" w:rsidP="00E63B66">
      <w:pPr>
        <w:spacing w:after="0" w:line="240" w:lineRule="auto"/>
        <w:jc w:val="both"/>
        <w:rPr>
          <w:rFonts w:ascii="Verdana" w:eastAsia="Calibri" w:hAnsi="Verdana" w:cs="Arial"/>
          <w:b/>
          <w:bCs/>
          <w:lang w:val="es-ES" w:eastAsia="es-ES"/>
        </w:rPr>
      </w:pPr>
      <w:proofErr w:type="spellStart"/>
      <w:r w:rsidRPr="00143822">
        <w:rPr>
          <w:rFonts w:ascii="Verdana" w:eastAsia="Calibri" w:hAnsi="Verdana" w:cs="Arial"/>
          <w:b/>
          <w:bCs/>
          <w:lang w:val="es-ES" w:eastAsia="es-ES"/>
        </w:rPr>
        <w:t>Helmer</w:t>
      </w:r>
      <w:proofErr w:type="spellEnd"/>
      <w:r w:rsidRPr="00143822">
        <w:rPr>
          <w:rFonts w:ascii="Verdana" w:eastAsia="Calibri" w:hAnsi="Verdana" w:cs="Arial"/>
          <w:b/>
          <w:bCs/>
          <w:lang w:val="es-ES" w:eastAsia="es-ES"/>
        </w:rPr>
        <w:t xml:space="preserve"> Andrés Balaguera Valiente </w:t>
      </w:r>
    </w:p>
    <w:p w14:paraId="4DEA63D8" w14:textId="77777777" w:rsidR="00E63B66" w:rsidRPr="00143822" w:rsidRDefault="00E63B66" w:rsidP="00E63B66">
      <w:pPr>
        <w:spacing w:after="0" w:line="240" w:lineRule="auto"/>
        <w:rPr>
          <w:rFonts w:ascii="Verdana" w:eastAsia="Calibri" w:hAnsi="Verdana" w:cs="Arial"/>
          <w:bCs/>
          <w:lang w:val="es-ES_tradnl" w:eastAsia="es-ES_tradnl"/>
        </w:rPr>
      </w:pPr>
      <w:hyperlink r:id="rId12" w:history="1">
        <w:r w:rsidRPr="00143822">
          <w:rPr>
            <w:rFonts w:ascii="Verdana" w:hAnsi="Verdana"/>
            <w:color w:val="0563C1" w:themeColor="hyperlink"/>
            <w:u w:val="single"/>
          </w:rPr>
          <w:t>balagueravaliente@gmail.com</w:t>
        </w:r>
      </w:hyperlink>
      <w:r w:rsidRPr="00143822">
        <w:rPr>
          <w:rFonts w:ascii="Verdana" w:hAnsi="Verdana"/>
        </w:rPr>
        <w:t xml:space="preserve"> </w:t>
      </w:r>
    </w:p>
    <w:p w14:paraId="3405348E" w14:textId="77777777" w:rsidR="00E63B66" w:rsidRPr="00143822" w:rsidRDefault="00E63B66" w:rsidP="00E63B66">
      <w:pPr>
        <w:spacing w:after="0" w:line="240" w:lineRule="auto"/>
        <w:rPr>
          <w:rFonts w:ascii="Verdana" w:eastAsia="Calibri" w:hAnsi="Verdana" w:cs="Arial"/>
          <w:lang w:val="es-ES" w:eastAsia="es-ES"/>
        </w:rPr>
      </w:pPr>
      <w:r w:rsidRPr="00143822">
        <w:rPr>
          <w:rFonts w:ascii="Verdana" w:eastAsia="Calibri" w:hAnsi="Verdana" w:cs="Arial"/>
          <w:lang w:val="es-ES" w:eastAsia="es-ES"/>
        </w:rPr>
        <w:t xml:space="preserve">Bogotá D.C  </w:t>
      </w:r>
    </w:p>
    <w:p w14:paraId="46BDF251" w14:textId="77777777" w:rsidR="00E63B66" w:rsidRPr="00143822" w:rsidRDefault="00E63B66" w:rsidP="00E63B66">
      <w:pPr>
        <w:spacing w:after="0" w:line="240" w:lineRule="auto"/>
        <w:rPr>
          <w:rFonts w:ascii="Verdana" w:eastAsia="Calibri" w:hAnsi="Verdana" w:cs="Arial"/>
          <w:b/>
          <w:bCs/>
          <w:color w:val="000000"/>
          <w:lang w:val="es-ES_tradnl" w:eastAsia="es-ES_tradnl"/>
        </w:rPr>
      </w:pPr>
    </w:p>
    <w:p w14:paraId="0005F940" w14:textId="77777777" w:rsidR="00E63B66" w:rsidRPr="00143822" w:rsidRDefault="00E63B66" w:rsidP="00E63B6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63B66" w:rsidRPr="00143822" w14:paraId="578F1E3F" w14:textId="77777777" w:rsidTr="00EB2A51">
        <w:trPr>
          <w:trHeight w:val="884"/>
        </w:trPr>
        <w:tc>
          <w:tcPr>
            <w:tcW w:w="2689" w:type="dxa"/>
          </w:tcPr>
          <w:p w14:paraId="0037CE57" w14:textId="77777777" w:rsidR="00E63B66" w:rsidRPr="00143822" w:rsidRDefault="00E63B66" w:rsidP="00EB2A51">
            <w:pPr>
              <w:jc w:val="both"/>
              <w:rPr>
                <w:rFonts w:ascii="Verdana" w:eastAsia="Calibri" w:hAnsi="Verdana" w:cs="Arial"/>
                <w:b/>
                <w:bCs/>
                <w:color w:val="7030A0"/>
                <w:lang w:val="es-ES_tradnl" w:eastAsia="es-ES_tradnl"/>
              </w:rPr>
            </w:pPr>
          </w:p>
        </w:tc>
        <w:tc>
          <w:tcPr>
            <w:tcW w:w="6100" w:type="dxa"/>
          </w:tcPr>
          <w:p w14:paraId="77F39B06" w14:textId="77777777" w:rsidR="00E63B66" w:rsidRPr="00143822" w:rsidRDefault="00E63B66" w:rsidP="00EB2A51">
            <w:pPr>
              <w:jc w:val="both"/>
              <w:rPr>
                <w:rFonts w:ascii="Verdana" w:eastAsia="Calibri" w:hAnsi="Verdana" w:cs="Arial"/>
                <w:b/>
                <w:bCs/>
                <w:lang w:val="es-ES" w:eastAsia="es-ES"/>
              </w:rPr>
            </w:pPr>
            <w:r w:rsidRPr="00143822">
              <w:rPr>
                <w:rFonts w:ascii="Verdana" w:eastAsia="Calibri" w:hAnsi="Verdana" w:cs="Arial"/>
                <w:b/>
                <w:bCs/>
                <w:lang w:val="es-ES" w:eastAsia="es-ES"/>
              </w:rPr>
              <w:t>Concepto C – 1688 de 2025</w:t>
            </w:r>
          </w:p>
        </w:tc>
      </w:tr>
      <w:tr w:rsidR="00E63B66" w:rsidRPr="00143822" w14:paraId="6EA2E6F9" w14:textId="77777777" w:rsidTr="00EB2A51">
        <w:trPr>
          <w:trHeight w:val="884"/>
        </w:trPr>
        <w:tc>
          <w:tcPr>
            <w:tcW w:w="2689" w:type="dxa"/>
          </w:tcPr>
          <w:p w14:paraId="28883F6A" w14:textId="77777777" w:rsidR="00E63B66" w:rsidRPr="00143822" w:rsidRDefault="00E63B66" w:rsidP="00EB2A51">
            <w:pPr>
              <w:jc w:val="both"/>
              <w:rPr>
                <w:rFonts w:ascii="Verdana" w:eastAsia="Calibri" w:hAnsi="Verdana" w:cs="Arial"/>
                <w:color w:val="000000"/>
                <w:lang w:val="es-ES_tradnl" w:eastAsia="es-ES_tradnl"/>
              </w:rPr>
            </w:pPr>
            <w:r w:rsidRPr="00143822">
              <w:rPr>
                <w:rFonts w:ascii="Verdana" w:eastAsia="Calibri" w:hAnsi="Verdana" w:cs="Arial"/>
                <w:b/>
                <w:color w:val="000000"/>
                <w:lang w:val="es-ES_tradnl" w:eastAsia="es-ES_tradnl"/>
              </w:rPr>
              <w:t>Temas:</w:t>
            </w:r>
            <w:r w:rsidRPr="00143822">
              <w:rPr>
                <w:rFonts w:ascii="Verdana" w:eastAsia="Calibri" w:hAnsi="Verdana" w:cs="Arial"/>
                <w:color w:val="000000"/>
                <w:lang w:val="es-ES_tradnl" w:eastAsia="es-ES_tradnl"/>
              </w:rPr>
              <w:t xml:space="preserve">                   </w:t>
            </w:r>
          </w:p>
        </w:tc>
        <w:tc>
          <w:tcPr>
            <w:tcW w:w="6100" w:type="dxa"/>
          </w:tcPr>
          <w:p w14:paraId="0DF587E6" w14:textId="77777777" w:rsidR="00E63B66" w:rsidRPr="00143822" w:rsidRDefault="00E63B66" w:rsidP="00EB2A51">
            <w:pPr>
              <w:jc w:val="both"/>
              <w:rPr>
                <w:rFonts w:ascii="Verdana" w:eastAsia="Calibri" w:hAnsi="Verdana" w:cs="Arial"/>
                <w:lang w:val="es-ES" w:eastAsia="es-ES"/>
              </w:rPr>
            </w:pPr>
            <w:r w:rsidRPr="00143822">
              <w:rPr>
                <w:rFonts w:ascii="Verdana" w:eastAsia="Calibri" w:hAnsi="Verdana" w:cs="Arial"/>
                <w:bCs/>
                <w:color w:val="000000"/>
                <w:lang w:val="es-ES"/>
              </w:rPr>
              <w:t xml:space="preserve">PRECIOS UNITARIOS – APU – AIU / </w:t>
            </w:r>
            <w:r w:rsidRPr="00143822">
              <w:rPr>
                <w:rFonts w:ascii="Verdana" w:eastAsia="Geomanist Light" w:hAnsi="Verdana" w:cs="Arial"/>
                <w:bCs/>
                <w:lang w:eastAsia="es-MX"/>
              </w:rPr>
              <w:t>AIU – Costos indirectos – Discrecionalidad / AIU – APU – Determinación / AIU – Estudios del sector – Tipología contractual – Componentes – Porcentajes</w:t>
            </w:r>
          </w:p>
          <w:p w14:paraId="1F6B337C" w14:textId="77777777" w:rsidR="00E63B66" w:rsidRPr="00143822" w:rsidRDefault="00E63B66" w:rsidP="00EB2A51">
            <w:pPr>
              <w:spacing w:line="276" w:lineRule="auto"/>
              <w:jc w:val="both"/>
              <w:rPr>
                <w:rFonts w:ascii="Verdana" w:eastAsia="Calibri" w:hAnsi="Verdana" w:cs="Arial"/>
                <w:lang w:val="es-ES" w:eastAsia="es-ES"/>
              </w:rPr>
            </w:pPr>
          </w:p>
        </w:tc>
      </w:tr>
      <w:tr w:rsidR="00E63B66" w:rsidRPr="00143822" w14:paraId="0D3EE8A2" w14:textId="77777777" w:rsidTr="00EB2A51">
        <w:tc>
          <w:tcPr>
            <w:tcW w:w="2689" w:type="dxa"/>
          </w:tcPr>
          <w:p w14:paraId="7A83D0DF" w14:textId="77777777" w:rsidR="00E63B66" w:rsidRPr="00143822" w:rsidRDefault="00E63B66" w:rsidP="00EB2A51">
            <w:pPr>
              <w:jc w:val="both"/>
              <w:rPr>
                <w:rFonts w:ascii="Verdana" w:eastAsia="Calibri" w:hAnsi="Verdana" w:cs="Arial"/>
                <w:b/>
                <w:lang w:val="es-ES_tradnl" w:eastAsia="es-ES_tradnl"/>
              </w:rPr>
            </w:pPr>
            <w:r w:rsidRPr="00143822">
              <w:rPr>
                <w:rFonts w:ascii="Verdana" w:eastAsia="Calibri" w:hAnsi="Verdana" w:cs="Arial"/>
                <w:b/>
                <w:lang w:val="es-ES_tradnl" w:eastAsia="es-ES_tradnl"/>
              </w:rPr>
              <w:t>Radicación:</w:t>
            </w:r>
            <w:r w:rsidRPr="00143822">
              <w:rPr>
                <w:rFonts w:ascii="Verdana" w:eastAsia="Calibri" w:hAnsi="Verdana" w:cs="Arial"/>
                <w:lang w:val="es-ES_tradnl" w:eastAsia="es-ES_tradnl"/>
              </w:rPr>
              <w:t xml:space="preserve">               </w:t>
            </w:r>
          </w:p>
        </w:tc>
        <w:tc>
          <w:tcPr>
            <w:tcW w:w="6100" w:type="dxa"/>
          </w:tcPr>
          <w:p w14:paraId="2DF0E2F0" w14:textId="77777777" w:rsidR="00E63B66" w:rsidRPr="00143822" w:rsidRDefault="00E63B66" w:rsidP="00EB2A51">
            <w:pPr>
              <w:jc w:val="both"/>
              <w:rPr>
                <w:rFonts w:ascii="Verdana" w:eastAsia="Calibri" w:hAnsi="Verdana" w:cs="Arial"/>
                <w:lang w:eastAsia="es-ES_tradnl"/>
              </w:rPr>
            </w:pPr>
            <w:r w:rsidRPr="00143822">
              <w:rPr>
                <w:rFonts w:ascii="Verdana" w:eastAsia="Calibri" w:hAnsi="Verdana" w:cs="Arial"/>
                <w:lang w:val="es-ES_tradnl" w:eastAsia="es-ES_tradnl"/>
              </w:rPr>
              <w:t xml:space="preserve">Respuesta a la consulta con radicado No. 1_2025_11_13_012867                                 </w:t>
            </w:r>
          </w:p>
        </w:tc>
      </w:tr>
    </w:tbl>
    <w:p w14:paraId="416F415A" w14:textId="77777777" w:rsidR="00E63B66" w:rsidRPr="00143822" w:rsidRDefault="00E63B66" w:rsidP="00E63B66">
      <w:pPr>
        <w:spacing w:after="0" w:line="240" w:lineRule="auto"/>
        <w:jc w:val="both"/>
        <w:rPr>
          <w:rFonts w:ascii="Verdana" w:eastAsia="Calibri" w:hAnsi="Verdana" w:cs="Arial"/>
          <w:color w:val="000000"/>
          <w:lang w:val="es-ES_tradnl" w:eastAsia="es-ES_tradnl"/>
        </w:rPr>
      </w:pPr>
    </w:p>
    <w:p w14:paraId="642B03DE" w14:textId="77777777" w:rsidR="00E63B66" w:rsidRPr="00143822" w:rsidRDefault="00E63B66" w:rsidP="00E63B66">
      <w:pPr>
        <w:spacing w:after="0" w:line="240" w:lineRule="auto"/>
        <w:jc w:val="both"/>
        <w:rPr>
          <w:rFonts w:ascii="Verdana" w:eastAsia="Calibri" w:hAnsi="Verdana" w:cs="Arial"/>
          <w:color w:val="000000"/>
          <w:lang w:val="es-ES_tradnl" w:eastAsia="es-ES_tradnl"/>
        </w:rPr>
      </w:pPr>
    </w:p>
    <w:p w14:paraId="6140443F" w14:textId="77777777" w:rsidR="00E63B66" w:rsidRPr="00143822" w:rsidRDefault="00E63B66" w:rsidP="00E63B66">
      <w:pPr>
        <w:spacing w:after="0" w:line="276" w:lineRule="auto"/>
        <w:jc w:val="both"/>
        <w:rPr>
          <w:rFonts w:ascii="Verdana" w:eastAsia="Calibri" w:hAnsi="Verdana" w:cs="Arial"/>
          <w:lang w:val="es-ES" w:eastAsia="es-ES"/>
        </w:rPr>
      </w:pPr>
      <w:r w:rsidRPr="00143822">
        <w:rPr>
          <w:rFonts w:ascii="Verdana" w:eastAsia="Calibri" w:hAnsi="Verdana" w:cs="Arial"/>
          <w:lang w:val="es-ES" w:eastAsia="es-ES"/>
        </w:rPr>
        <w:t xml:space="preserve">Estimado señor Balaguera: </w:t>
      </w:r>
    </w:p>
    <w:p w14:paraId="7987149A" w14:textId="77777777" w:rsidR="00E63B66" w:rsidRPr="00143822" w:rsidRDefault="00E63B66" w:rsidP="00E63B66">
      <w:pPr>
        <w:tabs>
          <w:tab w:val="left" w:pos="3768"/>
        </w:tabs>
        <w:spacing w:after="0" w:line="276" w:lineRule="auto"/>
        <w:jc w:val="both"/>
        <w:rPr>
          <w:rFonts w:ascii="Verdana" w:eastAsia="Calibri" w:hAnsi="Verdana" w:cs="Arial"/>
          <w:color w:val="000000" w:themeColor="text1"/>
          <w:lang w:val="es-ES" w:eastAsia="es-ES"/>
        </w:rPr>
      </w:pPr>
    </w:p>
    <w:p w14:paraId="4E2E517A" w14:textId="77777777" w:rsidR="00E63B66" w:rsidRPr="00143822" w:rsidRDefault="00E63B66" w:rsidP="00E63B66">
      <w:pPr>
        <w:spacing w:after="0" w:line="276" w:lineRule="auto"/>
        <w:jc w:val="both"/>
        <w:rPr>
          <w:rFonts w:ascii="Verdana" w:eastAsia="Calibri" w:hAnsi="Verdana" w:cs="Arial"/>
          <w:color w:val="7030A0"/>
          <w:lang w:val="es-ES" w:eastAsia="es-ES"/>
        </w:rPr>
      </w:pPr>
      <w:r w:rsidRPr="00143822">
        <w:rPr>
          <w:rFonts w:ascii="Verdana" w:eastAsia="Calibri" w:hAnsi="Verdana" w:cs="Arial"/>
          <w:color w:val="000000" w:themeColor="text1"/>
          <w:lang w:val="es-ES" w:eastAsia="es-ES"/>
        </w:rPr>
        <w:t>En ejercicio de la competencia otorgada por los artículos 3, numeral 5º, y 11, numeral 8º, del Decreto Ley 4170 de 2011,</w:t>
      </w:r>
      <w:r w:rsidRPr="00143822">
        <w:rPr>
          <w:rFonts w:ascii="Verdana" w:eastAsia="Arial MT" w:hAnsi="Verdana" w:cs="Arial MT"/>
          <w:lang w:val="es-ES" w:eastAsia="es-ES"/>
        </w:rPr>
        <w:t xml:space="preserve"> </w:t>
      </w:r>
      <w:r w:rsidRPr="00143822">
        <w:rPr>
          <w:rFonts w:ascii="Verdana" w:hAnsi="Verdana" w:cs="Arial"/>
          <w:lang w:val="es-ES_tradnl"/>
        </w:rPr>
        <w:t>así como lo establecido en</w:t>
      </w:r>
      <w:r w:rsidRPr="00143822">
        <w:rPr>
          <w:rFonts w:ascii="Verdana" w:hAnsi="Verdana" w:cs="Arial"/>
        </w:rPr>
        <w:t xml:space="preserve"> la Resolución 469 de 2025 expedida por esta Entidad, </w:t>
      </w:r>
      <w:r w:rsidRPr="00143822">
        <w:rPr>
          <w:rFonts w:ascii="Verdana" w:eastAsia="Calibri" w:hAnsi="Verdana" w:cs="Arial"/>
          <w:color w:val="000000" w:themeColor="text1"/>
          <w:lang w:val="es-ES" w:eastAsia="es-ES"/>
        </w:rPr>
        <w:t>la Agencia Nacional de Contratación Pública – Colombia Compra Eficiente responde su solicitud del 13</w:t>
      </w:r>
      <w:r w:rsidRPr="00143822">
        <w:rPr>
          <w:rFonts w:ascii="Verdana" w:eastAsia="Calibri" w:hAnsi="Verdana" w:cs="Arial"/>
          <w:lang w:val="es-ES" w:eastAsia="es-ES"/>
        </w:rPr>
        <w:t xml:space="preserve"> de noviembre de 2025, en la cual consulta sobre lo siguiente: </w:t>
      </w:r>
    </w:p>
    <w:p w14:paraId="61F8A722" w14:textId="77777777" w:rsidR="00E63B66" w:rsidRPr="00143822" w:rsidRDefault="00E63B66" w:rsidP="00E63B66">
      <w:pPr>
        <w:tabs>
          <w:tab w:val="left" w:pos="142"/>
          <w:tab w:val="left" w:pos="284"/>
        </w:tabs>
        <w:spacing w:after="0" w:line="276" w:lineRule="auto"/>
        <w:contextualSpacing/>
        <w:jc w:val="both"/>
        <w:rPr>
          <w:rFonts w:ascii="Verdana" w:eastAsia="Century Gothic" w:hAnsi="Verdana" w:cs="Century Gothic"/>
          <w:b/>
          <w:bCs/>
          <w:lang w:val="es-ES"/>
        </w:rPr>
      </w:pPr>
    </w:p>
    <w:p w14:paraId="1B30C02F" w14:textId="77777777" w:rsidR="00E63B66" w:rsidRPr="00143822" w:rsidRDefault="00E63B66" w:rsidP="00E63B66">
      <w:pPr>
        <w:spacing w:after="0" w:line="240" w:lineRule="auto"/>
        <w:ind w:left="709" w:right="709"/>
        <w:jc w:val="both"/>
        <w:rPr>
          <w:rFonts w:ascii="Verdana" w:eastAsia="Century Gothic" w:hAnsi="Verdana" w:cs="Century Gothic"/>
          <w:i/>
          <w:iCs/>
          <w:sz w:val="20"/>
          <w:szCs w:val="20"/>
        </w:rPr>
      </w:pPr>
      <w:bookmarkStart w:id="3" w:name="_Hlk95313578"/>
      <w:r w:rsidRPr="00143822">
        <w:rPr>
          <w:rFonts w:ascii="Verdana" w:eastAsia="Century Gothic" w:hAnsi="Verdana" w:cs="Century Gothic"/>
          <w:i/>
          <w:iCs/>
          <w:sz w:val="20"/>
          <w:szCs w:val="20"/>
          <w:lang w:val="es-ES"/>
        </w:rPr>
        <w:t>“</w:t>
      </w:r>
      <w:bookmarkEnd w:id="3"/>
      <w:r w:rsidRPr="00143822">
        <w:rPr>
          <w:rFonts w:ascii="Verdana" w:eastAsia="Century Gothic" w:hAnsi="Verdana" w:cs="Century Gothic"/>
          <w:i/>
          <w:iCs/>
          <w:sz w:val="20"/>
          <w:szCs w:val="20"/>
        </w:rPr>
        <w:t>¿De dónde surge jurídicamente la necesidad de incluir el componente de Administración, Imprevistos y Utilidad (AIU) en determinados procesos contractuales, bajo qué criterios se determina en qué contratos debe incorporarse, y cuál es el método para calcular el porcentaje correspondiente a cada uno de sus elementos?</w:t>
      </w:r>
      <w:r w:rsidRPr="00143822">
        <w:rPr>
          <w:rFonts w:ascii="Verdana" w:eastAsia="Century Gothic" w:hAnsi="Verdana" w:cs="Century Gothic"/>
          <w:i/>
          <w:iCs/>
          <w:sz w:val="20"/>
          <w:szCs w:val="20"/>
          <w:lang w:val="es-ES"/>
        </w:rPr>
        <w:t xml:space="preserve">”. </w:t>
      </w:r>
    </w:p>
    <w:p w14:paraId="38499614" w14:textId="77777777" w:rsidR="00E63B66" w:rsidRPr="00143822" w:rsidRDefault="00E63B66" w:rsidP="00E63B66">
      <w:pPr>
        <w:tabs>
          <w:tab w:val="left" w:pos="142"/>
          <w:tab w:val="left" w:pos="284"/>
        </w:tabs>
        <w:spacing w:after="0" w:line="276" w:lineRule="auto"/>
        <w:contextualSpacing/>
        <w:jc w:val="both"/>
        <w:rPr>
          <w:rFonts w:ascii="Verdana" w:eastAsia="Century Gothic" w:hAnsi="Verdana" w:cs="Century Gothic"/>
          <w:b/>
          <w:bCs/>
          <w:lang w:val="es-ES"/>
        </w:rPr>
      </w:pPr>
    </w:p>
    <w:p w14:paraId="7A0F5048" w14:textId="77777777" w:rsidR="00E63B66" w:rsidRPr="00143822" w:rsidRDefault="00E63B66" w:rsidP="00E63B66">
      <w:pPr>
        <w:spacing w:after="120" w:line="276" w:lineRule="auto"/>
        <w:ind w:firstLine="709"/>
        <w:jc w:val="both"/>
        <w:rPr>
          <w:rFonts w:ascii="Verdana" w:eastAsia="Calibri" w:hAnsi="Verdana" w:cs="Arial"/>
          <w:color w:val="000000"/>
          <w:lang w:val="es-ES" w:eastAsia="es-ES"/>
        </w:rPr>
      </w:pPr>
      <w:r w:rsidRPr="00143822">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43822">
        <w:rPr>
          <w:rFonts w:ascii="Verdana" w:eastAsia="Calibri" w:hAnsi="Verdana" w:cs="Arial"/>
          <w:color w:val="000000"/>
          <w:szCs w:val="24"/>
          <w:lang w:val="es-ES_tradnl" w:eastAsia="es-ES_tradnl"/>
        </w:rPr>
        <w:tab/>
      </w:r>
    </w:p>
    <w:p w14:paraId="3887E440" w14:textId="77777777" w:rsidR="00E63B66" w:rsidRPr="00143822" w:rsidRDefault="00E63B66" w:rsidP="00E63B66">
      <w:pPr>
        <w:spacing w:after="0" w:line="276" w:lineRule="auto"/>
        <w:ind w:firstLine="709"/>
        <w:jc w:val="both"/>
        <w:rPr>
          <w:rFonts w:ascii="Verdana" w:eastAsia="Calibri" w:hAnsi="Verdana" w:cs="Arial"/>
          <w:color w:val="000000"/>
          <w:lang w:val="es-ES" w:eastAsia="es-ES"/>
        </w:rPr>
      </w:pPr>
      <w:r w:rsidRPr="00143822">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143822">
        <w:rPr>
          <w:rFonts w:ascii="Verdana" w:eastAsia="Calibri" w:hAnsi="Verdana" w:cs="Arial"/>
          <w:color w:val="7030A0"/>
          <w:lang w:val="es-ES" w:eastAsia="es-ES"/>
        </w:rPr>
        <w:t xml:space="preserve"> </w:t>
      </w:r>
      <w:r w:rsidRPr="00143822">
        <w:rPr>
          <w:rFonts w:ascii="Verdana" w:eastAsia="Calibri" w:hAnsi="Verdana" w:cs="Arial"/>
          <w:color w:val="000000"/>
          <w:lang w:val="es-ES" w:eastAsia="es-ES"/>
        </w:rPr>
        <w:t>problema</w:t>
      </w:r>
      <w:r w:rsidRPr="00143822">
        <w:rPr>
          <w:rFonts w:ascii="Verdana" w:eastAsia="Calibri" w:hAnsi="Verdana" w:cs="Arial"/>
          <w:color w:val="7030A0"/>
          <w:lang w:val="es-ES" w:eastAsia="es-ES"/>
        </w:rPr>
        <w:t xml:space="preserve"> </w:t>
      </w:r>
      <w:r w:rsidRPr="00143822">
        <w:rPr>
          <w:rFonts w:ascii="Verdana" w:eastAsia="Calibri" w:hAnsi="Verdana" w:cs="Arial"/>
          <w:color w:val="000000"/>
          <w:lang w:val="es-ES" w:eastAsia="es-ES"/>
        </w:rPr>
        <w:t>jurídico</w:t>
      </w:r>
      <w:r w:rsidRPr="00143822">
        <w:rPr>
          <w:rFonts w:ascii="Verdana" w:eastAsia="Calibri" w:hAnsi="Verdana" w:cs="Arial"/>
          <w:color w:val="7030A0"/>
          <w:lang w:val="es-ES" w:eastAsia="es-ES"/>
        </w:rPr>
        <w:t xml:space="preserve"> </w:t>
      </w:r>
      <w:r w:rsidRPr="00143822">
        <w:rPr>
          <w:rFonts w:ascii="Verdana" w:eastAsia="Calibri" w:hAnsi="Verdana" w:cs="Arial"/>
          <w:color w:val="000000"/>
          <w:lang w:val="es-ES" w:eastAsia="es-ES"/>
        </w:rPr>
        <w:t xml:space="preserve">de su consulta. </w:t>
      </w:r>
    </w:p>
    <w:p w14:paraId="504C3C19" w14:textId="77777777" w:rsidR="00E63B66" w:rsidRPr="00143822" w:rsidRDefault="00E63B66" w:rsidP="00E63B66">
      <w:pPr>
        <w:spacing w:after="0" w:line="276" w:lineRule="auto"/>
        <w:ind w:firstLine="709"/>
        <w:jc w:val="both"/>
        <w:rPr>
          <w:rFonts w:ascii="Verdana" w:eastAsia="Calibri" w:hAnsi="Verdana" w:cs="Arial"/>
          <w:color w:val="000000"/>
          <w:lang w:val="es-ES" w:eastAsia="es-ES"/>
        </w:rPr>
      </w:pPr>
    </w:p>
    <w:p w14:paraId="17AA648D" w14:textId="77777777" w:rsidR="00E63B66" w:rsidRPr="00143822" w:rsidRDefault="00E63B66" w:rsidP="00E63B66">
      <w:pPr>
        <w:numPr>
          <w:ilvl w:val="0"/>
          <w:numId w:val="1"/>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143822">
        <w:rPr>
          <w:rFonts w:ascii="Verdana" w:eastAsia="Century Gothic" w:hAnsi="Verdana" w:cs="Century Gothic"/>
          <w:b/>
          <w:bCs/>
          <w:lang w:val="es-ES"/>
        </w:rPr>
        <w:t>Problemas planteados:</w:t>
      </w:r>
    </w:p>
    <w:p w14:paraId="7EE0240D" w14:textId="77777777" w:rsidR="00E63B66" w:rsidRPr="00143822" w:rsidRDefault="00E63B66" w:rsidP="00E63B66">
      <w:pPr>
        <w:tabs>
          <w:tab w:val="left" w:pos="426"/>
        </w:tabs>
        <w:spacing w:after="0" w:line="276" w:lineRule="auto"/>
        <w:jc w:val="both"/>
        <w:rPr>
          <w:rFonts w:ascii="Verdana" w:eastAsia="Century Gothic" w:hAnsi="Verdana" w:cs="Century Gothic"/>
          <w:lang w:val="es-ES"/>
        </w:rPr>
      </w:pPr>
    </w:p>
    <w:p w14:paraId="77D3F4B7" w14:textId="77777777" w:rsidR="00E63B66" w:rsidRPr="00143822" w:rsidRDefault="00E63B66" w:rsidP="00E63B66">
      <w:pPr>
        <w:spacing w:after="0" w:line="276" w:lineRule="auto"/>
        <w:jc w:val="both"/>
        <w:rPr>
          <w:rFonts w:ascii="Verdana" w:eastAsia="Century Gothic" w:hAnsi="Verdana" w:cs="Century Gothic"/>
        </w:rPr>
      </w:pPr>
      <w:r w:rsidRPr="00143822">
        <w:rPr>
          <w:rFonts w:ascii="Verdana" w:eastAsia="Century Gothic" w:hAnsi="Verdana" w:cs="Century Gothic"/>
        </w:rPr>
        <w:t xml:space="preserve">De acuerdo con el contenido de su solicitud, esta Agencia resolverá el siguiente problema jurídico: ¿Cuál es el marco jurídico del sistema de AIU – Administración, Imprevistos y Utilidad? </w:t>
      </w:r>
    </w:p>
    <w:p w14:paraId="19600333" w14:textId="77777777" w:rsidR="00E63B66" w:rsidRPr="00143822" w:rsidRDefault="00E63B66" w:rsidP="00E63B66">
      <w:pPr>
        <w:spacing w:after="0" w:line="276" w:lineRule="auto"/>
        <w:jc w:val="both"/>
        <w:rPr>
          <w:rFonts w:ascii="Verdana" w:eastAsia="Calibri" w:hAnsi="Verdana" w:cs="Arial"/>
          <w:color w:val="7030A0"/>
        </w:rPr>
      </w:pPr>
    </w:p>
    <w:p w14:paraId="1367729A" w14:textId="77777777" w:rsidR="00E63B66" w:rsidRPr="00143822" w:rsidRDefault="00E63B66" w:rsidP="00E63B66">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143822">
        <w:rPr>
          <w:rFonts w:ascii="Verdana" w:eastAsia="Century Gothic" w:hAnsi="Verdana" w:cs="Century Gothic"/>
          <w:b/>
          <w:bCs/>
          <w:lang w:val="es-ES"/>
        </w:rPr>
        <w:t>Respuestas:</w:t>
      </w:r>
    </w:p>
    <w:p w14:paraId="02A444D5" w14:textId="77777777" w:rsidR="00E63B66" w:rsidRPr="00143822" w:rsidRDefault="00E63B66" w:rsidP="00E63B6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63B66" w:rsidRPr="00143822" w14:paraId="0E9DA51E" w14:textId="77777777" w:rsidTr="00EB2A51">
        <w:trPr>
          <w:jc w:val="center"/>
        </w:trPr>
        <w:tc>
          <w:tcPr>
            <w:tcW w:w="8828" w:type="dxa"/>
          </w:tcPr>
          <w:p w14:paraId="72F14C68" w14:textId="77777777" w:rsidR="00E63B66" w:rsidRPr="00143822" w:rsidRDefault="00E63B66" w:rsidP="00EB2A51">
            <w:pPr>
              <w:spacing w:after="120" w:line="276" w:lineRule="auto"/>
              <w:jc w:val="both"/>
              <w:rPr>
                <w:rFonts w:ascii="Verdana" w:hAnsi="Verdana" w:cs="Arial"/>
                <w:lang w:eastAsia="es-ES"/>
              </w:rPr>
            </w:pPr>
            <w:bookmarkStart w:id="4" w:name="_Hlk171694685"/>
            <w:r w:rsidRPr="00143822">
              <w:rPr>
                <w:rFonts w:ascii="Verdana" w:hAnsi="Verdana" w:cs="Arial"/>
                <w:lang w:eastAsia="es-ES"/>
              </w:rPr>
              <w:t xml:space="preserve">La metodología de estipulación del precio a través de la utilización de las variables AIU, como forma de calcular los costos indirectos, no tiene una regulación expresa en el Estatuto General de Contratación de la Administración Pública, en el Decreto 1082 de 2015 o en disposiciones normativas complementarias. Lo que existe es una competencia para las entidades estatales, reconocida en el artículo 40 de la Ley 80 de 1993, en los siguientes términos: “En los contratos que celebren las entidades estatales podrán incluirse las modalidades, condiciones y, en general, las cláusulas o estipulaciones que las partes consideren necesarias y convenientes, siempre </w:t>
            </w:r>
            <w:r w:rsidRPr="00143822">
              <w:rPr>
                <w:rFonts w:ascii="Verdana" w:hAnsi="Verdana" w:cs="Arial"/>
                <w:lang w:eastAsia="es-ES"/>
              </w:rPr>
              <w:lastRenderedPageBreak/>
              <w:t xml:space="preserve">que no sean contrarias a la Constitución, la ley, el orden público y a los principios y finalidades de esta ley y a los de la buena administración”. Por tanto, </w:t>
            </w:r>
            <w:bookmarkStart w:id="5" w:name="_Hlk191158215"/>
            <w:r w:rsidRPr="00143822">
              <w:rPr>
                <w:rFonts w:ascii="Verdana" w:hAnsi="Verdana" w:cs="Arial"/>
                <w:lang w:eastAsia="es-ES"/>
              </w:rPr>
              <w:t>el AIU, como metodología de pacto del precio que proviene de la costumbre mercantil, se puede utilizar en principio en cualquier tipología contractual, aunque lo más común es que se use en los contratos de tracto sucesivo, especialmente en los que se distinguen los precios unitarios.</w:t>
            </w:r>
          </w:p>
          <w:p w14:paraId="2E0D385B" w14:textId="77777777" w:rsidR="00E63B66" w:rsidRPr="00143822" w:rsidRDefault="00E63B66" w:rsidP="00EB2A51">
            <w:pPr>
              <w:spacing w:after="120" w:line="276" w:lineRule="auto"/>
              <w:ind w:firstLine="743"/>
              <w:jc w:val="both"/>
              <w:rPr>
                <w:rFonts w:ascii="Verdana" w:hAnsi="Verdana" w:cs="Arial"/>
                <w:lang w:eastAsia="es-ES"/>
              </w:rPr>
            </w:pPr>
            <w:r w:rsidRPr="00143822">
              <w:rPr>
                <w:rFonts w:ascii="Verdana" w:hAnsi="Verdana" w:cs="Arial"/>
                <w:lang w:eastAsia="es-ES"/>
              </w:rPr>
              <w:t>La determinación de este sistema de estipulación del valor debe ser el resultado de los estudios previos, y especialmente del análisis del sector. Solo a partir de tales estudios la entidad estatal podrá concluir si es oportuno y conveniente establecer que el precio del contrato y, por tanto, la propuesta del oferente se deberá establecer distinguiendo los costos directos respecto de los costos indirectos; estos últimos representados en el AIU.</w:t>
            </w:r>
          </w:p>
          <w:p w14:paraId="4C37CE4E" w14:textId="77777777" w:rsidR="00E63B66" w:rsidRPr="00143822" w:rsidRDefault="00E63B66" w:rsidP="00EB2A51">
            <w:pPr>
              <w:spacing w:after="120" w:line="276" w:lineRule="auto"/>
              <w:ind w:firstLine="743"/>
              <w:jc w:val="both"/>
              <w:rPr>
                <w:rFonts w:ascii="Verdana" w:hAnsi="Verdana" w:cs="Arial"/>
                <w:lang w:eastAsia="es-ES"/>
              </w:rPr>
            </w:pPr>
            <w:r w:rsidRPr="00143822">
              <w:rPr>
                <w:rFonts w:ascii="Verdana" w:hAnsi="Verdana" w:cs="Arial"/>
                <w:lang w:eastAsia="es-ES"/>
              </w:rPr>
              <w:t xml:space="preserve">En consecuencia, no hay </w:t>
            </w:r>
            <w:r w:rsidRPr="00143822">
              <w:rPr>
                <w:rFonts w:ascii="Verdana" w:hAnsi="Verdana" w:cs="Arial"/>
                <w:i/>
                <w:lang w:eastAsia="es-ES"/>
              </w:rPr>
              <w:t>a priori</w:t>
            </w:r>
            <w:r w:rsidRPr="00143822">
              <w:rPr>
                <w:rFonts w:ascii="Verdana" w:hAnsi="Verdana" w:cs="Arial"/>
                <w:lang w:eastAsia="es-ES"/>
              </w:rPr>
              <w:t xml:space="preserve"> tipologías contractuales en las que la ley o el reglamento establezcan que se debe utilizar el AIU, así como tampoco hay una determinación única y específica de la forma en la que el AIU debe ser establecido en los contratos, ya que tal decisión obedece a lo que resulte más conveniente a la entidad estatal, en cumplimiento del principio de planeación.</w:t>
            </w:r>
          </w:p>
          <w:p w14:paraId="13F2589C" w14:textId="77777777" w:rsidR="00E63B66" w:rsidRPr="00143822" w:rsidRDefault="00E63B66" w:rsidP="00EB2A51">
            <w:pPr>
              <w:snapToGrid w:val="0"/>
              <w:spacing w:after="120" w:line="276" w:lineRule="auto"/>
              <w:ind w:firstLine="743"/>
              <w:jc w:val="both"/>
              <w:rPr>
                <w:rFonts w:ascii="Verdana" w:hAnsi="Verdana" w:cs="Arial"/>
                <w:lang w:eastAsia="es-ES"/>
              </w:rPr>
            </w:pPr>
            <w:r w:rsidRPr="00143822">
              <w:rPr>
                <w:rFonts w:ascii="Verdana" w:hAnsi="Verdana" w:cs="Arial"/>
                <w:bCs/>
                <w:szCs w:val="24"/>
                <w:lang w:val="es-ES_tradnl" w:eastAsia="es-ES_tradnl"/>
              </w:rPr>
              <w:t xml:space="preserve">En este contexto, si </w:t>
            </w:r>
            <w:r w:rsidRPr="00143822">
              <w:rPr>
                <w:rFonts w:ascii="Verdana" w:hAnsi="Verdana" w:cs="Arial"/>
                <w:lang w:eastAsia="es-ES"/>
              </w:rPr>
              <w:t>con base en los estudios del sector la entidad estatal estableció la necesidad de estructurar el valor bajo el sistema de precios unitarios y con el desglose del AIU, el precio se debería pagar con base en el valor de los costos directos incrementados por el porcentaje del AIU, en relación con todas las actividades calculadas bajo este sistema. En otras palabras, cuando el valor en el contrato se estructuró utilizando el sistema de AIU, el pago del AIU debe aplicarse a todas las actividades del contrato, a menos que se haya acordado lo contrario.</w:t>
            </w:r>
          </w:p>
          <w:bookmarkEnd w:id="5"/>
          <w:p w14:paraId="533E1D15" w14:textId="77777777" w:rsidR="00E63B66" w:rsidRPr="00143822" w:rsidRDefault="00E63B66" w:rsidP="00EB2A51">
            <w:pPr>
              <w:snapToGrid w:val="0"/>
              <w:spacing w:after="120" w:line="276" w:lineRule="auto"/>
              <w:ind w:firstLine="743"/>
              <w:jc w:val="both"/>
              <w:rPr>
                <w:rFonts w:ascii="Verdana" w:hAnsi="Verdana" w:cs="Arial"/>
                <w:bCs/>
                <w:szCs w:val="24"/>
                <w:lang w:val="es-ES_tradnl" w:eastAsia="es-ES_tradnl"/>
              </w:rPr>
            </w:pPr>
            <w:r w:rsidRPr="00143822">
              <w:rPr>
                <w:rFonts w:ascii="Verdana" w:hAnsi="Verdana" w:cs="Arial"/>
                <w:lang w:eastAsia="es-ES"/>
              </w:rPr>
              <w:t xml:space="preserve">Ahora bien, </w:t>
            </w:r>
            <w:r w:rsidRPr="00143822">
              <w:rPr>
                <w:rFonts w:ascii="Verdana" w:hAnsi="Verdana" w:cs="Arial"/>
                <w:bCs/>
                <w:szCs w:val="24"/>
                <w:lang w:val="es-ES_tradnl" w:eastAsia="es-ES_tradnl"/>
              </w:rPr>
              <w:t xml:space="preserve">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143822">
              <w:rPr>
                <w:rFonts w:ascii="Verdana" w:hAnsi="Verdana" w:cs="Arial"/>
                <w:bCs/>
                <w:i/>
                <w:iCs/>
                <w:szCs w:val="24"/>
                <w:lang w:val="es-ES_tradnl" w:eastAsia="es-ES_tradnl"/>
              </w:rPr>
              <w:t>Administración</w:t>
            </w:r>
            <w:r w:rsidRPr="00143822">
              <w:rPr>
                <w:rFonts w:ascii="Verdana" w:hAnsi="Verdana" w:cs="Arial"/>
                <w:bCs/>
                <w:szCs w:val="24"/>
                <w:lang w:val="es-ES_tradnl" w:eastAsia="es-ES_tradnl"/>
              </w:rPr>
              <w:t xml:space="preserve"> o los </w:t>
            </w:r>
            <w:r w:rsidRPr="00143822">
              <w:rPr>
                <w:rFonts w:ascii="Verdana" w:hAnsi="Verdana" w:cs="Arial"/>
                <w:bCs/>
                <w:i/>
                <w:iCs/>
                <w:szCs w:val="24"/>
                <w:lang w:val="es-ES_tradnl" w:eastAsia="es-ES_tradnl"/>
              </w:rPr>
              <w:t>Imprevistos</w:t>
            </w:r>
            <w:r w:rsidRPr="00143822">
              <w:rPr>
                <w:rFonts w:ascii="Verdana" w:hAnsi="Verdana" w:cs="Arial"/>
                <w:bCs/>
                <w:szCs w:val="24"/>
                <w:lang w:val="es-ES_tradnl" w:eastAsia="es-ES_tradnl"/>
              </w:rPr>
              <w:t xml:space="preserve"> sólo se pagan si el contratista demuestra que incurrió en algunas situaciones específicas y bajo el monto que este logre demostrar.</w:t>
            </w:r>
          </w:p>
          <w:p w14:paraId="10EE8241" w14:textId="77777777" w:rsidR="00E63B66" w:rsidRPr="00143822" w:rsidRDefault="00E63B66" w:rsidP="00EB2A51">
            <w:pPr>
              <w:snapToGrid w:val="0"/>
              <w:spacing w:after="120" w:line="276" w:lineRule="auto"/>
              <w:ind w:firstLine="601"/>
              <w:jc w:val="both"/>
              <w:rPr>
                <w:rFonts w:ascii="Verdana" w:hAnsi="Verdana" w:cs="Arial"/>
                <w:lang w:val="es-ES" w:eastAsia="es-ES"/>
              </w:rPr>
            </w:pPr>
            <w:r w:rsidRPr="00143822">
              <w:rPr>
                <w:rFonts w:ascii="Verdana" w:hAnsi="Verdana" w:cs="Arial"/>
                <w:lang w:eastAsia="es-ES"/>
              </w:rPr>
              <w:t xml:space="preserve">Sin embargo, </w:t>
            </w:r>
            <w:r w:rsidRPr="00143822">
              <w:rPr>
                <w:rFonts w:ascii="Verdana" w:hAnsi="Verdana" w:cs="Arial"/>
                <w:lang w:val="es-ES" w:eastAsia="es-ES"/>
              </w:rPr>
              <w:t xml:space="preserve">una regulación como la anterior no es la que suele emplearse en los contratos estatales. Lo usual, que se advierte en la práctica </w:t>
            </w:r>
            <w:r w:rsidRPr="00143822">
              <w:rPr>
                <w:rFonts w:ascii="Verdana" w:hAnsi="Verdana" w:cs="Arial"/>
                <w:lang w:val="es-ES" w:eastAsia="es-ES"/>
              </w:rPr>
              <w:lastRenderedPageBreak/>
              <w:t xml:space="preserve">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2907A000" w14:textId="77777777" w:rsidR="00E63B66" w:rsidRPr="00143822" w:rsidRDefault="00E63B66" w:rsidP="00EB2A51">
            <w:pPr>
              <w:snapToGrid w:val="0"/>
              <w:spacing w:after="120" w:line="276" w:lineRule="auto"/>
              <w:ind w:firstLine="601"/>
              <w:jc w:val="both"/>
              <w:rPr>
                <w:rFonts w:ascii="Verdana" w:hAnsi="Verdana" w:cs="Arial"/>
                <w:bCs/>
                <w:szCs w:val="24"/>
                <w:lang w:val="es-ES_tradnl" w:eastAsia="es-ES_tradnl"/>
              </w:rPr>
            </w:pPr>
            <w:bookmarkStart w:id="6" w:name="_Hlk216901575"/>
            <w:r w:rsidRPr="00143822">
              <w:rPr>
                <w:rFonts w:ascii="Verdana" w:eastAsia="Calibri" w:hAnsi="Verdana" w:cs="Arial"/>
                <w:bCs/>
                <w:szCs w:val="24"/>
                <w:lang w:val="es-ES_tradnl"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143822">
              <w:rPr>
                <w:rFonts w:ascii="Verdana" w:eastAsia="Calibri" w:hAnsi="Verdana" w:cs="Arial"/>
                <w:bCs/>
                <w:i/>
                <w:iCs/>
                <w:szCs w:val="24"/>
                <w:lang w:val="es-ES_tradnl" w:eastAsia="es-ES_tradnl"/>
              </w:rPr>
              <w:t xml:space="preserve">indirectos </w:t>
            </w:r>
            <w:r w:rsidRPr="00143822">
              <w:rPr>
                <w:rFonts w:ascii="Verdana" w:eastAsia="Calibri" w:hAnsi="Verdana" w:cs="Arial"/>
                <w:bCs/>
                <w:szCs w:val="24"/>
                <w:lang w:val="es-ES_tradnl" w:eastAsia="es-ES_tradnl"/>
              </w:rPr>
              <w:t xml:space="preserve">en que incurren los contratistas, entre ellos, los de la </w:t>
            </w:r>
            <w:r w:rsidRPr="00143822">
              <w:rPr>
                <w:rFonts w:ascii="Verdana" w:eastAsia="Calibri" w:hAnsi="Verdana" w:cs="Arial"/>
                <w:bCs/>
                <w:i/>
                <w:iCs/>
                <w:szCs w:val="24"/>
                <w:lang w:val="es-ES_tradnl" w:eastAsia="es-ES_tradnl"/>
              </w:rPr>
              <w:t xml:space="preserve">Administración </w:t>
            </w:r>
            <w:r w:rsidRPr="00143822">
              <w:rPr>
                <w:rFonts w:ascii="Verdana" w:eastAsia="Calibri" w:hAnsi="Verdana" w:cs="Arial"/>
                <w:lang w:val="es-ES_tradnl" w:eastAsia="es-ES"/>
              </w:rPr>
              <w:t>y</w:t>
            </w:r>
            <w:r w:rsidRPr="00143822">
              <w:rPr>
                <w:rFonts w:ascii="Verdana" w:eastAsia="Calibri" w:hAnsi="Verdana" w:cs="Arial"/>
                <w:lang w:val="es-ES" w:eastAsia="es-ES"/>
              </w:rPr>
              <w:t xml:space="preserve"> lo</w:t>
            </w:r>
            <w:r w:rsidRPr="00143822">
              <w:rPr>
                <w:rFonts w:ascii="Verdana" w:eastAsia="Calibri" w:hAnsi="Verdana" w:cs="Arial"/>
                <w:i/>
                <w:iCs/>
                <w:lang w:val="es-ES" w:eastAsia="es-ES"/>
              </w:rPr>
              <w:t>s Imprevistos</w:t>
            </w:r>
            <w:r w:rsidRPr="00143822">
              <w:rPr>
                <w:rFonts w:ascii="Verdana" w:eastAsia="Calibri" w:hAnsi="Verdana" w:cs="Arial"/>
                <w:bCs/>
                <w:szCs w:val="24"/>
                <w:lang w:val="es-ES_tradnl" w:eastAsia="es-ES_tradnl"/>
              </w:rPr>
              <w:t xml:space="preserve">, para efectos de definir el porcentaje con el que calculan el presupuesto, pese a que el monto de estos componentes varía ostensiblemente de un proponente a otro, pues su valor real depende de circunstancias particulares de los oferentes. </w:t>
            </w:r>
            <w:r w:rsidRPr="00143822">
              <w:rPr>
                <w:rFonts w:ascii="Verdana" w:hAnsi="Verdana" w:cs="Arial"/>
                <w:bCs/>
                <w:szCs w:val="24"/>
                <w:lang w:val="es-ES_tradnl" w:eastAsia="es-ES_tradnl"/>
              </w:rPr>
              <w:t>Por tanto, en abstracto, no existe un límite mínimo ni máximo respecto al porcentaje.</w:t>
            </w:r>
          </w:p>
          <w:bookmarkEnd w:id="6"/>
          <w:p w14:paraId="2491F62B" w14:textId="77777777" w:rsidR="00E63B66" w:rsidRPr="00143822" w:rsidRDefault="00E63B66" w:rsidP="00EB2A51">
            <w:pPr>
              <w:spacing w:after="120" w:line="276" w:lineRule="auto"/>
              <w:ind w:firstLine="709"/>
              <w:jc w:val="both"/>
              <w:rPr>
                <w:rFonts w:ascii="Verdana" w:hAnsi="Verdana" w:cs="Arial"/>
                <w:lang w:val="es-ES" w:eastAsia="es-ES"/>
              </w:rPr>
            </w:pPr>
            <w:r w:rsidRPr="00143822">
              <w:rPr>
                <w:rFonts w:ascii="Verdana" w:hAnsi="Verdana" w:cs="Arial"/>
                <w:lang w:val="es-ES" w:eastAsia="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Por ende, la decisión de incluir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tc>
      </w:tr>
    </w:tbl>
    <w:p w14:paraId="50D42D0A" w14:textId="77777777" w:rsidR="00E63B66" w:rsidRPr="00143822" w:rsidRDefault="00E63B66" w:rsidP="00E63B66">
      <w:pPr>
        <w:tabs>
          <w:tab w:val="left" w:pos="142"/>
          <w:tab w:val="left" w:pos="284"/>
        </w:tabs>
        <w:spacing w:after="0" w:line="276" w:lineRule="auto"/>
        <w:jc w:val="both"/>
        <w:rPr>
          <w:rFonts w:ascii="Verdana" w:eastAsia="Century Gothic" w:hAnsi="Verdana" w:cs="Century Gothic"/>
          <w:b/>
          <w:bCs/>
          <w:lang w:val="es-ES"/>
        </w:rPr>
      </w:pPr>
    </w:p>
    <w:bookmarkEnd w:id="4"/>
    <w:p w14:paraId="76D0BADC" w14:textId="77777777" w:rsidR="00E63B66" w:rsidRPr="00143822" w:rsidRDefault="00E63B66" w:rsidP="00E63B66">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143822">
        <w:rPr>
          <w:rFonts w:ascii="Verdana" w:eastAsia="Century Gothic" w:hAnsi="Verdana" w:cs="Century Gothic"/>
          <w:b/>
          <w:bCs/>
          <w:lang w:val="es-ES"/>
        </w:rPr>
        <w:t>Razones de las respuestas:</w:t>
      </w:r>
    </w:p>
    <w:p w14:paraId="409D8F25" w14:textId="77777777" w:rsidR="00E63B66" w:rsidRPr="00143822" w:rsidRDefault="00E63B66" w:rsidP="00E63B66">
      <w:pPr>
        <w:spacing w:after="0" w:line="276" w:lineRule="auto"/>
        <w:jc w:val="both"/>
        <w:rPr>
          <w:rFonts w:ascii="Verdana" w:eastAsia="Calibri" w:hAnsi="Verdana" w:cs="Arial"/>
          <w:color w:val="7030A0"/>
          <w:lang w:val="es-ES"/>
        </w:rPr>
      </w:pPr>
    </w:p>
    <w:p w14:paraId="778956C7" w14:textId="77777777" w:rsidR="00E63B66" w:rsidRPr="00143822" w:rsidRDefault="00E63B66" w:rsidP="00E63B66">
      <w:pPr>
        <w:spacing w:after="0" w:line="276" w:lineRule="auto"/>
        <w:jc w:val="both"/>
        <w:rPr>
          <w:rFonts w:ascii="Verdana" w:eastAsia="Calibri" w:hAnsi="Verdana" w:cs="Arial"/>
          <w:lang w:val="es-ES"/>
        </w:rPr>
      </w:pPr>
      <w:r w:rsidRPr="00143822">
        <w:rPr>
          <w:rFonts w:ascii="Verdana" w:eastAsia="Calibri" w:hAnsi="Verdana" w:cs="Arial"/>
          <w:lang w:val="es-ES"/>
        </w:rPr>
        <w:t>Lo anterior se sustenta en las siguientes consideraciones:</w:t>
      </w:r>
    </w:p>
    <w:p w14:paraId="6AD3166A" w14:textId="77777777" w:rsidR="00E63B66" w:rsidRPr="00143822" w:rsidRDefault="00E63B66" w:rsidP="00E63B66">
      <w:pPr>
        <w:spacing w:after="0" w:line="276" w:lineRule="auto"/>
        <w:jc w:val="both"/>
        <w:rPr>
          <w:rFonts w:ascii="Verdana" w:eastAsia="Calibri" w:hAnsi="Verdana" w:cs="Arial"/>
          <w:color w:val="000000" w:themeColor="text1"/>
        </w:rPr>
      </w:pPr>
    </w:p>
    <w:p w14:paraId="3F0FBFBE" w14:textId="77777777" w:rsidR="00E63B66" w:rsidRPr="00143822" w:rsidRDefault="00E63B66" w:rsidP="00E63B66">
      <w:pPr>
        <w:spacing w:after="0" w:line="276" w:lineRule="auto"/>
        <w:jc w:val="both"/>
        <w:rPr>
          <w:rFonts w:ascii="Verdana" w:hAnsi="Verdana" w:cs="Arial"/>
          <w:bCs/>
          <w:szCs w:val="24"/>
          <w:lang w:val="es-ES_tradnl" w:eastAsia="es-ES_tradnl"/>
        </w:rPr>
      </w:pPr>
      <w:r w:rsidRPr="00143822">
        <w:rPr>
          <w:rFonts w:ascii="Verdana" w:hAnsi="Verdana" w:cs="Arial"/>
          <w:bCs/>
          <w:szCs w:val="24"/>
          <w:lang w:val="es-ES_tradnl" w:eastAsia="es-ES_tradnl"/>
        </w:rPr>
        <w:t xml:space="preserve">Como es sabido, uno de los elementos más comunes en los contratos estatales es el precio, también conocido como valor. Aunque no todo contrato lo incluye </w:t>
      </w:r>
      <w:r w:rsidRPr="00143822">
        <w:rPr>
          <w:rFonts w:ascii="Verdana" w:hAnsi="Verdana" w:cs="Arial"/>
          <w:bCs/>
          <w:szCs w:val="24"/>
          <w:lang w:val="es-ES_tradnl" w:eastAsia="es-ES_tradnl"/>
        </w:rPr>
        <w:lastRenderedPageBreak/>
        <w:t>–pues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5A3BB0C4" w14:textId="77777777" w:rsidR="00E63B66" w:rsidRPr="00143822" w:rsidRDefault="00E63B66" w:rsidP="00E63B66">
      <w:pPr>
        <w:spacing w:before="120" w:after="0" w:line="276" w:lineRule="auto"/>
        <w:ind w:firstLine="709"/>
        <w:jc w:val="both"/>
        <w:rPr>
          <w:rFonts w:ascii="Verdana" w:hAnsi="Verdana" w:cs="Arial"/>
          <w:lang w:val="es-ES" w:eastAsia="es-ES"/>
        </w:rPr>
      </w:pPr>
      <w:r w:rsidRPr="00143822">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43822">
        <w:rPr>
          <w:rFonts w:ascii="Verdana" w:hAnsi="Verdana" w:cs="Arial"/>
          <w:vertAlign w:val="superscript"/>
          <w:lang w:val="es-ES" w:eastAsia="es-ES"/>
        </w:rPr>
        <w:footnoteReference w:id="2"/>
      </w:r>
      <w:r w:rsidRPr="00143822">
        <w:rPr>
          <w:rFonts w:ascii="Verdana" w:hAnsi="Verdana" w:cs="Arial"/>
          <w:lang w:val="es-ES" w:eastAsia="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143822">
        <w:rPr>
          <w:rFonts w:ascii="Verdana" w:hAnsi="Verdana" w:cs="Arial"/>
          <w:lang w:val="es-ES" w:eastAsia="es-ES"/>
        </w:rPr>
        <w:t>ii</w:t>
      </w:r>
      <w:proofErr w:type="spellEnd"/>
      <w:r w:rsidRPr="00143822">
        <w:rPr>
          <w:rFonts w:ascii="Verdana" w:hAnsi="Verdana" w:cs="Arial"/>
          <w:lang w:val="es-ES" w:eastAsia="es-ES"/>
        </w:rPr>
        <w:t xml:space="preserve">) el precio global –que equivale al monto total, sin discriminar unidades–, y </w:t>
      </w:r>
      <w:proofErr w:type="spellStart"/>
      <w:r w:rsidRPr="00143822">
        <w:rPr>
          <w:rFonts w:ascii="Verdana" w:hAnsi="Verdana" w:cs="Arial"/>
          <w:lang w:val="es-ES" w:eastAsia="es-ES"/>
        </w:rPr>
        <w:t>iii</w:t>
      </w:r>
      <w:proofErr w:type="spellEnd"/>
      <w:r w:rsidRPr="00143822">
        <w:rPr>
          <w:rFonts w:ascii="Verdana" w:hAnsi="Verdana" w:cs="Arial"/>
          <w:lang w:val="es-ES" w:eastAsia="es-ES"/>
        </w:rPr>
        <w:t>) la administración delegada de recursos –en la que se distinguen los costos de inversión de los honorarios del administrador–.</w:t>
      </w:r>
    </w:p>
    <w:p w14:paraId="3EF939C0" w14:textId="77777777" w:rsidR="00E63B66" w:rsidRPr="00143822" w:rsidRDefault="00E63B66" w:rsidP="00E63B66">
      <w:pPr>
        <w:spacing w:before="120" w:after="0" w:line="276" w:lineRule="auto"/>
        <w:ind w:firstLine="709"/>
        <w:jc w:val="both"/>
        <w:rPr>
          <w:rFonts w:ascii="Verdana" w:hAnsi="Verdana" w:cs="Arial"/>
          <w:lang w:val="es-ES" w:eastAsia="es-ES"/>
        </w:rPr>
      </w:pPr>
      <w:r w:rsidRPr="00143822">
        <w:rPr>
          <w:rFonts w:ascii="Verdana" w:hAnsi="Verdana" w:cs="Arial"/>
          <w:lang w:val="es-ES" w:eastAsia="es-ES"/>
        </w:rPr>
        <w:lastRenderedPageBreak/>
        <w:t xml:space="preserve">Pues bien, en los contratos cuyo precio se estructura a partir del sistema de precios unitarios, ha hecho parte de la práctica de los negocios que el contratante le solicite al potencial contratista que separe en su propuesta los </w:t>
      </w:r>
      <w:r w:rsidRPr="00143822">
        <w:rPr>
          <w:rFonts w:ascii="Verdana" w:hAnsi="Verdana" w:cs="Arial"/>
          <w:i/>
          <w:iCs/>
          <w:lang w:val="es-ES" w:eastAsia="es-ES"/>
        </w:rPr>
        <w:t>costos directos</w:t>
      </w:r>
      <w:r w:rsidRPr="00143822">
        <w:rPr>
          <w:rFonts w:ascii="Verdana" w:hAnsi="Verdana" w:cs="Arial"/>
          <w:lang w:val="es-ES" w:eastAsia="es-ES"/>
        </w:rPr>
        <w:t xml:space="preserve"> –es decir, los que están directamente implicados en la ejecución del objeto–, de los </w:t>
      </w:r>
      <w:r w:rsidRPr="00143822">
        <w:rPr>
          <w:rFonts w:ascii="Verdana" w:hAnsi="Verdana" w:cs="Arial"/>
          <w:i/>
          <w:iCs/>
          <w:lang w:val="es-ES" w:eastAsia="es-ES"/>
        </w:rPr>
        <w:t>costos indirectos</w:t>
      </w:r>
      <w:r w:rsidRPr="00143822">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143822">
        <w:rPr>
          <w:rFonts w:ascii="Verdana" w:hAnsi="Verdana" w:cs="Arial"/>
          <w:i/>
          <w:iCs/>
          <w:lang w:val="es-ES" w:eastAsia="es-ES"/>
        </w:rPr>
        <w:t>costos directos</w:t>
      </w:r>
      <w:r w:rsidRPr="00143822">
        <w:rPr>
          <w:rFonts w:ascii="Verdana" w:hAnsi="Verdana" w:cs="Arial"/>
          <w:lang w:val="es-ES" w:eastAsia="es-ES"/>
        </w:rPr>
        <w:t xml:space="preserve"> se evidencian en el análisis de precios unitarios –APU–, como la sumatoria de los valores de los </w:t>
      </w:r>
      <w:r w:rsidRPr="00143822">
        <w:rPr>
          <w:rFonts w:ascii="Verdana" w:hAnsi="Verdana" w:cs="Arial"/>
          <w:i/>
          <w:iCs/>
          <w:lang w:val="es-ES" w:eastAsia="es-ES"/>
        </w:rPr>
        <w:t>ítems</w:t>
      </w:r>
      <w:r w:rsidRPr="00143822">
        <w:rPr>
          <w:rFonts w:ascii="Verdana" w:hAnsi="Verdana" w:cs="Arial"/>
          <w:lang w:val="es-ES" w:eastAsia="es-ES"/>
        </w:rPr>
        <w:t xml:space="preserve"> según su unidad de medida, los </w:t>
      </w:r>
      <w:r w:rsidRPr="00143822">
        <w:rPr>
          <w:rFonts w:ascii="Verdana" w:hAnsi="Verdana" w:cs="Arial"/>
          <w:i/>
          <w:iCs/>
          <w:lang w:val="es-ES" w:eastAsia="es-ES"/>
        </w:rPr>
        <w:t>costos indirectos</w:t>
      </w:r>
      <w:r w:rsidRPr="00143822">
        <w:rPr>
          <w:rFonts w:ascii="Verdana" w:hAnsi="Verdana" w:cs="Arial"/>
          <w:lang w:val="es-ES" w:eastAsia="es-ES"/>
        </w:rPr>
        <w:t xml:space="preserve"> se suelen abreviar en las variables que integran el acrónimo AIU –Administración, Imprevistos y Utilidad–. </w:t>
      </w:r>
    </w:p>
    <w:p w14:paraId="7A295FD3" w14:textId="77777777" w:rsidR="00E63B66" w:rsidRPr="00143822" w:rsidRDefault="00E63B66" w:rsidP="00E63B66">
      <w:pPr>
        <w:spacing w:before="120" w:after="0" w:line="276" w:lineRule="auto"/>
        <w:ind w:firstLine="709"/>
        <w:jc w:val="both"/>
        <w:rPr>
          <w:rFonts w:ascii="Verdana" w:hAnsi="Verdana" w:cs="Arial"/>
          <w:bCs/>
          <w:szCs w:val="24"/>
          <w:lang w:eastAsia="es-ES_tradnl"/>
        </w:rPr>
      </w:pPr>
      <w:r w:rsidRPr="00143822">
        <w:rPr>
          <w:rFonts w:ascii="Verdana" w:hAnsi="Verdana" w:cs="Arial"/>
          <w:bCs/>
          <w:szCs w:val="24"/>
          <w:lang w:val="es-ES" w:eastAsia="es-ES_tradnl"/>
        </w:rPr>
        <w:t>L</w:t>
      </w:r>
      <w:r w:rsidRPr="00143822">
        <w:rPr>
          <w:rFonts w:ascii="Verdana" w:hAnsi="Verdana" w:cs="Arial"/>
          <w:bCs/>
          <w:szCs w:val="24"/>
          <w:lang w:val="es-ES_tradnl" w:eastAsia="es-ES_tradnl"/>
        </w:rPr>
        <w:t xml:space="preserve">a jurisprudencia ha señalado que “[…] </w:t>
      </w:r>
      <w:r w:rsidRPr="00143822">
        <w:rPr>
          <w:rFonts w:ascii="Verdana" w:hAnsi="Verdana" w:cs="Arial"/>
          <w:bCs/>
          <w:szCs w:val="24"/>
          <w:lang w:eastAsia="es-ES_tradnl"/>
        </w:rPr>
        <w:t xml:space="preserve">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w:t>
      </w:r>
      <w:proofErr w:type="gramStart"/>
      <w:r w:rsidRPr="00143822">
        <w:rPr>
          <w:rFonts w:ascii="Verdana" w:hAnsi="Verdana" w:cs="Arial"/>
          <w:bCs/>
          <w:szCs w:val="24"/>
          <w:lang w:eastAsia="es-ES_tradnl"/>
        </w:rPr>
        <w:t>los mismos</w:t>
      </w:r>
      <w:proofErr w:type="gramEnd"/>
      <w:r w:rsidRPr="00143822">
        <w:rPr>
          <w:rFonts w:ascii="Verdana" w:hAnsi="Verdana" w:cs="Arial"/>
          <w:bCs/>
          <w:szCs w:val="24"/>
          <w:lang w:eastAsia="es-ES_tradnl"/>
        </w:rPr>
        <w:t xml:space="preserve">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143822">
        <w:rPr>
          <w:rFonts w:ascii="Verdana" w:hAnsi="Verdana" w:cs="Arial"/>
          <w:bCs/>
          <w:szCs w:val="24"/>
          <w:lang w:val="es-ES_tradnl" w:eastAsia="es-ES_tradnl"/>
        </w:rPr>
        <w:t>”</w:t>
      </w:r>
      <w:r w:rsidRPr="00143822">
        <w:rPr>
          <w:rFonts w:ascii="Verdana" w:hAnsi="Verdana" w:cs="Arial"/>
          <w:bCs/>
          <w:szCs w:val="24"/>
          <w:vertAlign w:val="superscript"/>
          <w:lang w:val="es-ES_tradnl" w:eastAsia="es-ES_tradnl"/>
        </w:rPr>
        <w:footnoteReference w:id="3"/>
      </w:r>
      <w:r w:rsidRPr="00143822">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204E2321" w14:textId="77777777" w:rsidR="00E63B66" w:rsidRPr="00143822" w:rsidRDefault="00E63B66" w:rsidP="00E63B66">
      <w:pPr>
        <w:spacing w:after="0" w:line="276" w:lineRule="auto"/>
        <w:ind w:firstLine="709"/>
        <w:jc w:val="both"/>
        <w:rPr>
          <w:rFonts w:ascii="Verdana" w:hAnsi="Verdana" w:cs="Arial"/>
          <w:bCs/>
          <w:szCs w:val="24"/>
          <w:lang w:eastAsia="es-ES_tradnl"/>
        </w:rPr>
      </w:pPr>
    </w:p>
    <w:p w14:paraId="70A67E07" w14:textId="77777777" w:rsidR="00E63B66" w:rsidRPr="00143822" w:rsidRDefault="00E63B66" w:rsidP="00E63B66">
      <w:pPr>
        <w:tabs>
          <w:tab w:val="left" w:pos="709"/>
        </w:tabs>
        <w:spacing w:after="120" w:line="240" w:lineRule="auto"/>
        <w:ind w:left="709" w:right="709"/>
        <w:jc w:val="both"/>
        <w:rPr>
          <w:rFonts w:ascii="Verdana" w:hAnsi="Verdana" w:cs="Arial"/>
          <w:sz w:val="20"/>
          <w:szCs w:val="20"/>
          <w:lang w:val="es-ES" w:eastAsia="es-ES"/>
        </w:rPr>
      </w:pPr>
      <w:r w:rsidRPr="00143822">
        <w:rPr>
          <w:rFonts w:ascii="Verdana" w:hAnsi="Verdana" w:cs="Arial"/>
          <w:sz w:val="20"/>
          <w:szCs w:val="20"/>
          <w:lang w:val="es-ES" w:eastAsia="es-ES"/>
        </w:rPr>
        <w:t xml:space="preserve">“Cada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w:t>
      </w:r>
      <w:r w:rsidRPr="00143822">
        <w:rPr>
          <w:rFonts w:ascii="Verdana" w:hAnsi="Verdana" w:cs="Arial"/>
          <w:sz w:val="20"/>
          <w:szCs w:val="20"/>
          <w:lang w:val="es-ES" w:eastAsia="es-ES"/>
        </w:rPr>
        <w:lastRenderedPageBreak/>
        <w:t>insumos básicos arroja el costo directo que debe cancelar el contratista para la construcción de un metro de muro.</w:t>
      </w:r>
    </w:p>
    <w:p w14:paraId="3E3DD8F7" w14:textId="77777777" w:rsidR="00E63B66" w:rsidRPr="00143822" w:rsidRDefault="00E63B66" w:rsidP="00E63B66">
      <w:pPr>
        <w:tabs>
          <w:tab w:val="left" w:pos="709"/>
        </w:tabs>
        <w:spacing w:after="0" w:line="240" w:lineRule="auto"/>
        <w:ind w:left="709" w:right="709"/>
        <w:jc w:val="both"/>
        <w:rPr>
          <w:rFonts w:ascii="Verdana" w:hAnsi="Verdana" w:cs="Arial"/>
          <w:sz w:val="20"/>
          <w:szCs w:val="20"/>
          <w:lang w:val="es-ES_tradnl" w:eastAsia="es-ES_tradnl"/>
        </w:rPr>
      </w:pPr>
      <w:r w:rsidRPr="00143822">
        <w:rPr>
          <w:rFonts w:ascii="Verdana" w:hAnsi="Verdana" w:cs="Arial"/>
          <w:sz w:val="20"/>
          <w:szCs w:val="20"/>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143822">
        <w:rPr>
          <w:rFonts w:ascii="Verdana" w:hAnsi="Verdana" w:cs="Arial"/>
          <w:sz w:val="20"/>
          <w:szCs w:val="20"/>
          <w:vertAlign w:val="superscript"/>
          <w:lang w:val="es-ES_tradnl" w:eastAsia="es-ES_tradnl"/>
        </w:rPr>
        <w:footnoteReference w:id="4"/>
      </w:r>
      <w:r w:rsidRPr="00143822">
        <w:rPr>
          <w:rFonts w:ascii="Verdana" w:hAnsi="Verdana" w:cs="Arial"/>
          <w:sz w:val="20"/>
          <w:szCs w:val="20"/>
          <w:lang w:val="es-ES_tradnl" w:eastAsia="es-ES_tradnl"/>
        </w:rPr>
        <w:t xml:space="preserve">. </w:t>
      </w:r>
    </w:p>
    <w:p w14:paraId="65B95079" w14:textId="77777777" w:rsidR="00E63B66" w:rsidRPr="00143822" w:rsidRDefault="00E63B66" w:rsidP="00E63B66">
      <w:pPr>
        <w:tabs>
          <w:tab w:val="left" w:pos="709"/>
        </w:tabs>
        <w:spacing w:after="0" w:line="276" w:lineRule="auto"/>
        <w:ind w:left="709" w:right="760"/>
        <w:jc w:val="both"/>
        <w:rPr>
          <w:rFonts w:ascii="Verdana" w:hAnsi="Verdana" w:cs="Arial"/>
          <w:szCs w:val="24"/>
          <w:lang w:val="es-ES_tradnl" w:eastAsia="es-ES_tradnl"/>
        </w:rPr>
      </w:pPr>
    </w:p>
    <w:p w14:paraId="11511C82" w14:textId="77777777" w:rsidR="00E63B66" w:rsidRPr="00143822" w:rsidRDefault="00E63B66" w:rsidP="00E63B66">
      <w:pPr>
        <w:spacing w:after="0" w:line="276" w:lineRule="auto"/>
        <w:ind w:firstLine="709"/>
        <w:jc w:val="both"/>
        <w:rPr>
          <w:rFonts w:ascii="Verdana" w:hAnsi="Verdana" w:cs="Arial"/>
          <w:szCs w:val="24"/>
          <w:lang w:val="es-ES_tradnl" w:eastAsia="es-ES_tradnl"/>
        </w:rPr>
      </w:pPr>
      <w:r w:rsidRPr="00143822">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6FBF65F0" w14:textId="77777777" w:rsidR="00E63B66" w:rsidRPr="00143822" w:rsidRDefault="00E63B66" w:rsidP="00E63B66">
      <w:pPr>
        <w:spacing w:after="0" w:line="276" w:lineRule="auto"/>
        <w:ind w:firstLine="709"/>
        <w:jc w:val="both"/>
        <w:rPr>
          <w:rFonts w:ascii="Verdana" w:hAnsi="Verdana" w:cs="Arial"/>
          <w:szCs w:val="24"/>
          <w:lang w:val="es-ES_tradnl" w:eastAsia="es-ES_tradnl"/>
        </w:rPr>
      </w:pPr>
    </w:p>
    <w:p w14:paraId="1CB6A9AB" w14:textId="77777777" w:rsidR="00E63B66" w:rsidRPr="00143822" w:rsidRDefault="00E63B66" w:rsidP="00E63B66">
      <w:pPr>
        <w:tabs>
          <w:tab w:val="left" w:pos="709"/>
        </w:tabs>
        <w:spacing w:after="120" w:line="240" w:lineRule="auto"/>
        <w:ind w:left="709" w:right="709"/>
        <w:jc w:val="both"/>
        <w:rPr>
          <w:rFonts w:ascii="Verdana" w:hAnsi="Verdana" w:cs="Arial"/>
          <w:sz w:val="20"/>
          <w:szCs w:val="20"/>
          <w:lang w:val="es-ES_tradnl" w:eastAsia="es-ES_tradnl"/>
        </w:rPr>
      </w:pPr>
      <w:r w:rsidRPr="00143822">
        <w:rPr>
          <w:rFonts w:ascii="Verdana" w:hAnsi="Verdana" w:cs="Arial"/>
          <w:sz w:val="20"/>
          <w:szCs w:val="20"/>
          <w:lang w:val="es-ES_tradnl" w:eastAsia="es-ES_tradnl"/>
        </w:rPr>
        <w:t xml:space="preserve">“[…] el AIU propuesto para el contrato, corresponde a: </w:t>
      </w:r>
    </w:p>
    <w:p w14:paraId="2697B3CE" w14:textId="77777777" w:rsidR="00E63B66" w:rsidRPr="00143822" w:rsidRDefault="00E63B66" w:rsidP="00E63B66">
      <w:pPr>
        <w:tabs>
          <w:tab w:val="left" w:pos="709"/>
        </w:tabs>
        <w:spacing w:after="120" w:line="240" w:lineRule="auto"/>
        <w:ind w:left="709" w:right="709"/>
        <w:jc w:val="both"/>
        <w:rPr>
          <w:rFonts w:ascii="Verdana" w:hAnsi="Verdana" w:cs="Arial"/>
          <w:sz w:val="20"/>
          <w:szCs w:val="20"/>
          <w:lang w:val="es-ES_tradnl" w:eastAsia="es-ES_tradnl"/>
        </w:rPr>
      </w:pPr>
      <w:r w:rsidRPr="00143822">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24D99F88" w14:textId="77777777" w:rsidR="00E63B66" w:rsidRPr="00143822" w:rsidRDefault="00E63B66" w:rsidP="00E63B66">
      <w:pPr>
        <w:tabs>
          <w:tab w:val="left" w:pos="709"/>
        </w:tabs>
        <w:spacing w:after="120" w:line="240" w:lineRule="auto"/>
        <w:ind w:left="709" w:right="709"/>
        <w:jc w:val="both"/>
        <w:rPr>
          <w:rFonts w:ascii="Verdana" w:hAnsi="Verdana" w:cs="Arial"/>
          <w:sz w:val="20"/>
          <w:szCs w:val="20"/>
          <w:lang w:val="es-ES" w:eastAsia="es-ES"/>
        </w:rPr>
      </w:pPr>
      <w:proofErr w:type="spellStart"/>
      <w:r w:rsidRPr="00143822">
        <w:rPr>
          <w:rFonts w:ascii="Verdana" w:hAnsi="Verdana" w:cs="Arial"/>
          <w:sz w:val="20"/>
          <w:szCs w:val="20"/>
          <w:lang w:val="es-ES" w:eastAsia="es-ES"/>
        </w:rPr>
        <w:t>ii</w:t>
      </w:r>
      <w:proofErr w:type="spellEnd"/>
      <w:r w:rsidRPr="00143822">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143822">
        <w:rPr>
          <w:rFonts w:ascii="Verdana" w:hAnsi="Verdana" w:cs="Arial"/>
          <w:sz w:val="20"/>
          <w:szCs w:val="20"/>
          <w:lang w:val="es-ES" w:eastAsia="es-ES"/>
        </w:rPr>
        <w:t>álea</w:t>
      </w:r>
      <w:proofErr w:type="spellEnd"/>
      <w:r w:rsidRPr="00143822">
        <w:rPr>
          <w:rFonts w:ascii="Verdana" w:hAnsi="Verdana" w:cs="Arial"/>
          <w:sz w:val="20"/>
          <w:szCs w:val="20"/>
          <w:lang w:val="es-ES" w:eastAsia="es-ES"/>
        </w:rPr>
        <w:t xml:space="preserve"> normal del contrato: I; </w:t>
      </w:r>
    </w:p>
    <w:p w14:paraId="4BC9F900" w14:textId="77777777" w:rsidR="00E63B66" w:rsidRPr="00143822" w:rsidRDefault="00E63B66" w:rsidP="00E63B66">
      <w:pPr>
        <w:tabs>
          <w:tab w:val="left" w:pos="709"/>
        </w:tabs>
        <w:spacing w:after="120" w:line="240" w:lineRule="auto"/>
        <w:ind w:left="709" w:right="709"/>
        <w:jc w:val="both"/>
        <w:rPr>
          <w:rFonts w:ascii="Verdana" w:hAnsi="Verdana" w:cs="Arial"/>
          <w:sz w:val="20"/>
          <w:szCs w:val="20"/>
          <w:lang w:val="es-ES" w:eastAsia="es-ES"/>
        </w:rPr>
      </w:pPr>
      <w:proofErr w:type="spellStart"/>
      <w:r w:rsidRPr="00143822">
        <w:rPr>
          <w:rFonts w:ascii="Verdana" w:hAnsi="Verdana" w:cs="Arial"/>
          <w:sz w:val="20"/>
          <w:szCs w:val="20"/>
          <w:lang w:val="es-ES" w:eastAsia="es-ES"/>
        </w:rPr>
        <w:t>iii</w:t>
      </w:r>
      <w:proofErr w:type="spellEnd"/>
      <w:r w:rsidRPr="00143822">
        <w:rPr>
          <w:rFonts w:ascii="Verdana" w:hAnsi="Verdana" w:cs="Arial"/>
          <w:sz w:val="20"/>
          <w:szCs w:val="20"/>
          <w:lang w:val="es-ES" w:eastAsia="es-ES"/>
        </w:rPr>
        <w:t xml:space="preserve">) la utilidad o el beneficio económico que pretende percibir el contratista por la ejecución del contrato, esto es: U. </w:t>
      </w:r>
    </w:p>
    <w:p w14:paraId="1E62519D" w14:textId="77777777" w:rsidR="00E63B66" w:rsidRPr="00143822" w:rsidRDefault="00E63B66" w:rsidP="00E63B66">
      <w:pPr>
        <w:tabs>
          <w:tab w:val="left" w:pos="709"/>
        </w:tabs>
        <w:spacing w:after="0" w:line="240" w:lineRule="auto"/>
        <w:ind w:left="709" w:right="709"/>
        <w:jc w:val="both"/>
        <w:rPr>
          <w:rFonts w:ascii="Verdana" w:hAnsi="Verdana" w:cs="Arial"/>
          <w:sz w:val="21"/>
          <w:szCs w:val="21"/>
          <w:lang w:val="es-ES_tradnl" w:eastAsia="es-ES_tradnl"/>
        </w:rPr>
      </w:pPr>
      <w:r w:rsidRPr="00143822">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143822">
        <w:rPr>
          <w:rFonts w:ascii="Verdana" w:hAnsi="Verdana" w:cs="Arial"/>
          <w:sz w:val="21"/>
          <w:szCs w:val="21"/>
          <w:lang w:val="es-ES_tradnl" w:eastAsia="es-ES_tradnl"/>
        </w:rPr>
        <w:t>”</w:t>
      </w:r>
      <w:r w:rsidRPr="00143822">
        <w:rPr>
          <w:rFonts w:ascii="Verdana" w:hAnsi="Verdana" w:cs="Arial"/>
          <w:sz w:val="21"/>
          <w:szCs w:val="21"/>
          <w:vertAlign w:val="superscript"/>
          <w:lang w:val="es-ES_tradnl" w:eastAsia="es-ES_tradnl"/>
        </w:rPr>
        <w:footnoteReference w:id="5"/>
      </w:r>
      <w:r w:rsidRPr="00143822">
        <w:rPr>
          <w:rFonts w:ascii="Verdana" w:hAnsi="Verdana" w:cs="Arial"/>
          <w:sz w:val="21"/>
          <w:szCs w:val="21"/>
          <w:lang w:val="es-ES_tradnl" w:eastAsia="es-ES_tradnl"/>
        </w:rPr>
        <w:t>.</w:t>
      </w:r>
    </w:p>
    <w:p w14:paraId="3CE1BAFE" w14:textId="77777777" w:rsidR="00E63B66" w:rsidRPr="00143822" w:rsidRDefault="00E63B66" w:rsidP="00E63B66">
      <w:pPr>
        <w:tabs>
          <w:tab w:val="left" w:pos="709"/>
        </w:tabs>
        <w:spacing w:after="0" w:line="276" w:lineRule="auto"/>
        <w:ind w:left="709" w:right="760"/>
        <w:jc w:val="both"/>
        <w:rPr>
          <w:rFonts w:ascii="Verdana" w:hAnsi="Verdana" w:cs="Arial"/>
          <w:szCs w:val="24"/>
          <w:lang w:val="es-ES_tradnl" w:eastAsia="es-ES_tradnl"/>
        </w:rPr>
      </w:pPr>
    </w:p>
    <w:p w14:paraId="3ACF7CA3" w14:textId="77777777" w:rsidR="00E63B66" w:rsidRPr="00143822" w:rsidRDefault="00E63B66" w:rsidP="00E63B66">
      <w:pPr>
        <w:spacing w:after="120" w:line="276" w:lineRule="auto"/>
        <w:ind w:firstLine="709"/>
        <w:jc w:val="both"/>
        <w:rPr>
          <w:rFonts w:ascii="Verdana" w:hAnsi="Verdana" w:cs="Arial"/>
          <w:lang w:val="es-ES" w:eastAsia="es-ES"/>
        </w:rPr>
      </w:pPr>
      <w:r w:rsidRPr="00143822">
        <w:rPr>
          <w:rFonts w:ascii="Verdana" w:hAnsi="Verdana" w:cs="Arial"/>
          <w:lang w:val="es-ES" w:eastAsia="es-ES"/>
        </w:rPr>
        <w:t>A su turno, la Sala de Consulta y Servicio Civil del Consejo de Estado sostuvo en concepto del 5 de septiembre de 2018</w:t>
      </w:r>
      <w:r w:rsidRPr="00143822">
        <w:rPr>
          <w:rFonts w:ascii="Verdana" w:hAnsi="Verdana" w:cs="Arial"/>
          <w:vertAlign w:val="superscript"/>
          <w:lang w:val="es-ES" w:eastAsia="es-ES"/>
        </w:rPr>
        <w:footnoteReference w:id="6"/>
      </w:r>
      <w:r w:rsidRPr="00143822">
        <w:rPr>
          <w:rFonts w:ascii="Verdana" w:hAnsi="Verdana" w:cs="Arial"/>
          <w:lang w:val="es-ES" w:eastAsia="es-ES"/>
        </w:rPr>
        <w:t xml:space="preserve"> que “el concepto del A.I.U. comprende la Administración (costos indirectos) imprevistos y utilidades, y en </w:t>
      </w:r>
      <w:r w:rsidRPr="00143822">
        <w:rPr>
          <w:rFonts w:ascii="Verdana" w:hAnsi="Verdana" w:cs="Arial"/>
          <w:lang w:val="es-ES" w:eastAsia="es-ES"/>
        </w:rPr>
        <w:lastRenderedPageBreak/>
        <w:t xml:space="preserve">algunos contratos este valor aparece cuantificado en forma independiente al valor de la obra y como un porcentaje de </w:t>
      </w:r>
      <w:proofErr w:type="gramStart"/>
      <w:r w:rsidRPr="00143822">
        <w:rPr>
          <w:rFonts w:ascii="Verdana" w:hAnsi="Verdana" w:cs="Arial"/>
          <w:lang w:val="es-ES" w:eastAsia="es-ES"/>
        </w:rPr>
        <w:t>la misma</w:t>
      </w:r>
      <w:proofErr w:type="gramEnd"/>
      <w:r w:rsidRPr="00143822">
        <w:rPr>
          <w:rFonts w:ascii="Verdana" w:hAnsi="Verdana" w:cs="Arial"/>
          <w:vertAlign w:val="superscript"/>
          <w:lang w:val="es-ES" w:eastAsia="es-ES"/>
        </w:rPr>
        <w:footnoteReference w:id="7"/>
      </w:r>
      <w:r w:rsidRPr="00143822">
        <w:rPr>
          <w:rFonts w:ascii="Verdana" w:hAnsi="Verdana" w:cs="Arial"/>
          <w:lang w:val="es-ES" w:eastAsia="es-ES"/>
        </w:rPr>
        <w:t>, sin perjuicio que en otros contratos este valor no aparezca discriminado y se incorpore en el valor de los precios unitarios”</w:t>
      </w:r>
      <w:r w:rsidRPr="00143822">
        <w:rPr>
          <w:rFonts w:ascii="Verdana" w:hAnsi="Verdana" w:cs="Arial"/>
          <w:vertAlign w:val="superscript"/>
          <w:lang w:val="es-ES" w:eastAsia="es-ES"/>
        </w:rPr>
        <w:footnoteReference w:id="8"/>
      </w:r>
      <w:r w:rsidRPr="00143822">
        <w:rPr>
          <w:rFonts w:ascii="Verdana" w:hAnsi="Verdana" w:cs="Arial"/>
          <w:lang w:val="es-ES" w:eastAsia="es-ES"/>
        </w:rPr>
        <w:t xml:space="preserve">. </w:t>
      </w:r>
    </w:p>
    <w:p w14:paraId="44ED554D" w14:textId="77777777" w:rsidR="00E63B66" w:rsidRPr="00143822" w:rsidRDefault="00E63B66" w:rsidP="00E63B66">
      <w:pPr>
        <w:spacing w:after="120" w:line="276" w:lineRule="auto"/>
        <w:ind w:firstLine="709"/>
        <w:jc w:val="both"/>
        <w:rPr>
          <w:rFonts w:ascii="Verdana" w:hAnsi="Verdana" w:cs="Arial"/>
          <w:bCs/>
          <w:szCs w:val="24"/>
          <w:lang w:val="es-ES_tradnl" w:eastAsia="es-ES_tradnl"/>
        </w:rPr>
      </w:pPr>
      <w:r w:rsidRPr="00143822">
        <w:rPr>
          <w:rFonts w:ascii="Verdana"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143822">
        <w:rPr>
          <w:rFonts w:ascii="Verdana" w:hAnsi="Verdana" w:cs="Arial"/>
          <w:bCs/>
          <w:szCs w:val="24"/>
          <w:vertAlign w:val="superscript"/>
          <w:lang w:val="es-ES_tradnl" w:eastAsia="es-ES_tradnl"/>
        </w:rPr>
        <w:footnoteReference w:id="9"/>
      </w:r>
      <w:r w:rsidRPr="00143822">
        <w:rPr>
          <w:rFonts w:ascii="Verdana" w:hAnsi="Verdana" w:cs="Arial"/>
          <w:bCs/>
          <w:szCs w:val="24"/>
          <w:lang w:val="es-ES_tradnl" w:eastAsia="es-ES_tradnl"/>
        </w:rPr>
        <w:t xml:space="preserve">. De otro lado, quien define el valor de cada </w:t>
      </w:r>
      <w:r w:rsidRPr="00143822">
        <w:rPr>
          <w:rFonts w:ascii="Verdana" w:hAnsi="Verdana" w:cs="Arial"/>
          <w:bCs/>
          <w:i/>
          <w:iCs/>
          <w:szCs w:val="24"/>
          <w:lang w:val="es-ES_tradnl" w:eastAsia="es-ES_tradnl"/>
        </w:rPr>
        <w:t>letra</w:t>
      </w:r>
      <w:r w:rsidRPr="00143822">
        <w:rPr>
          <w:rFonts w:ascii="Verdana" w:hAnsi="Verdana" w:cs="Arial"/>
          <w:bCs/>
          <w:szCs w:val="24"/>
          <w:lang w:val="es-ES_tradnl" w:eastAsia="es-ES_tradnl"/>
        </w:rPr>
        <w:t xml:space="preserve"> –AIU– es el proponente, pues goza de libertad empresarial para hacerlo en la elaboración de su oferta</w:t>
      </w:r>
      <w:r w:rsidRPr="00143822">
        <w:rPr>
          <w:rFonts w:ascii="Verdana" w:hAnsi="Verdana" w:cs="Arial"/>
          <w:bCs/>
          <w:szCs w:val="24"/>
          <w:vertAlign w:val="superscript"/>
          <w:lang w:val="es-ES_tradnl" w:eastAsia="es-ES_tradnl"/>
        </w:rPr>
        <w:footnoteReference w:id="10"/>
      </w:r>
      <w:r w:rsidRPr="00143822">
        <w:rPr>
          <w:rFonts w:ascii="Verdana" w:hAnsi="Verdana" w:cs="Arial"/>
          <w:bCs/>
          <w:szCs w:val="24"/>
          <w:lang w:val="es-ES_tradnl" w:eastAsia="es-ES_tradnl"/>
        </w:rPr>
        <w:t>.</w:t>
      </w:r>
    </w:p>
    <w:p w14:paraId="5FEE4DE0" w14:textId="77777777" w:rsidR="00E63B66" w:rsidRPr="00143822" w:rsidRDefault="00E63B66" w:rsidP="00E63B66">
      <w:pPr>
        <w:spacing w:after="120" w:line="276" w:lineRule="auto"/>
        <w:ind w:firstLine="709"/>
        <w:jc w:val="both"/>
        <w:rPr>
          <w:rFonts w:ascii="Verdana" w:hAnsi="Verdana" w:cs="Arial"/>
          <w:bCs/>
          <w:szCs w:val="24"/>
          <w:lang w:val="es-ES_tradnl" w:eastAsia="es-ES_tradnl"/>
        </w:rPr>
      </w:pPr>
      <w:r w:rsidRPr="00143822">
        <w:rPr>
          <w:rFonts w:ascii="Verdana" w:hAnsi="Verdana" w:cs="Arial"/>
          <w:bCs/>
          <w:szCs w:val="24"/>
          <w:lang w:val="es-ES_tradnl" w:eastAsia="es-ES_tradnl"/>
        </w:rPr>
        <w:t xml:space="preserve">De este modo, </w:t>
      </w:r>
      <w:r w:rsidRPr="00143822">
        <w:rPr>
          <w:rFonts w:ascii="Verdana" w:hAnsi="Verdana" w:cs="Arial"/>
          <w:lang w:eastAsia="es-ES"/>
        </w:rPr>
        <w:t>el AIU, como metodología de pacto del precio que proviene de la costumbre mercantil, se puede utilizar en principio en cualquier tipología contractual, aunque lo más común es que se use en los contratos de tracto sucesivo, especialmente en los que se distinguen los precios unitarios.</w:t>
      </w:r>
      <w:r w:rsidRPr="00143822">
        <w:rPr>
          <w:rFonts w:ascii="Verdana" w:hAnsi="Verdana" w:cs="Arial"/>
          <w:bCs/>
          <w:szCs w:val="24"/>
          <w:lang w:val="es-ES_tradnl" w:eastAsia="es-ES_tradnl"/>
        </w:rPr>
        <w:t xml:space="preserve"> </w:t>
      </w:r>
      <w:r w:rsidRPr="00143822">
        <w:rPr>
          <w:rFonts w:ascii="Verdana" w:hAnsi="Verdana" w:cs="Arial"/>
          <w:lang w:eastAsia="es-ES"/>
        </w:rPr>
        <w:t xml:space="preserve">La determinación de este sistema de estipulación del valor debe ser el resultado de los estudios previos, y especialmente del análisis del sector. Solo a partir de tales estudios la entidad estatal podrá concluir si es oportuno y conveniente establecer que el precio del contrato y, por tanto, la propuesta del </w:t>
      </w:r>
      <w:proofErr w:type="gramStart"/>
      <w:r w:rsidRPr="00143822">
        <w:rPr>
          <w:rFonts w:ascii="Verdana" w:hAnsi="Verdana" w:cs="Arial"/>
          <w:lang w:eastAsia="es-ES"/>
        </w:rPr>
        <w:t>oferente,</w:t>
      </w:r>
      <w:proofErr w:type="gramEnd"/>
      <w:r w:rsidRPr="00143822">
        <w:rPr>
          <w:rFonts w:ascii="Verdana" w:hAnsi="Verdana" w:cs="Arial"/>
          <w:lang w:eastAsia="es-ES"/>
        </w:rPr>
        <w:t xml:space="preserve"> se deberá establecer distinguiendo los costos directos respecto de los costos indirectos; estos últimos representados en el AIU. </w:t>
      </w:r>
    </w:p>
    <w:p w14:paraId="542E8196" w14:textId="77777777" w:rsidR="00E63B66" w:rsidRPr="00143822" w:rsidRDefault="00E63B66" w:rsidP="00E63B66">
      <w:pPr>
        <w:spacing w:after="120" w:line="276" w:lineRule="auto"/>
        <w:ind w:firstLine="743"/>
        <w:jc w:val="both"/>
        <w:rPr>
          <w:rFonts w:ascii="Verdana" w:hAnsi="Verdana" w:cs="Arial"/>
          <w:lang w:eastAsia="es-ES"/>
        </w:rPr>
      </w:pPr>
      <w:r w:rsidRPr="00143822">
        <w:rPr>
          <w:rFonts w:ascii="Verdana" w:hAnsi="Verdana" w:cs="Arial"/>
          <w:lang w:eastAsia="es-ES"/>
        </w:rPr>
        <w:lastRenderedPageBreak/>
        <w:t xml:space="preserve">En consecuencia, </w:t>
      </w:r>
      <w:bookmarkStart w:id="7" w:name="_Hlk191240669"/>
      <w:r w:rsidRPr="00143822">
        <w:rPr>
          <w:rFonts w:ascii="Verdana" w:hAnsi="Verdana" w:cs="Arial"/>
          <w:lang w:eastAsia="es-ES"/>
        </w:rPr>
        <w:t xml:space="preserve">no hay </w:t>
      </w:r>
      <w:r w:rsidRPr="00143822">
        <w:rPr>
          <w:rFonts w:ascii="Verdana" w:hAnsi="Verdana" w:cs="Arial"/>
          <w:i/>
          <w:iCs/>
          <w:lang w:eastAsia="es-ES"/>
        </w:rPr>
        <w:t>a priori</w:t>
      </w:r>
      <w:r w:rsidRPr="00143822">
        <w:rPr>
          <w:rFonts w:ascii="Verdana" w:hAnsi="Verdana" w:cs="Arial"/>
          <w:lang w:eastAsia="es-ES"/>
        </w:rPr>
        <w:t xml:space="preserve"> tipologías contractuales en las que la ley o el reglamento establezcan que se debe utilizar el AIU, así como tampoco hay una determinación única y específica de la forma en la que el AIU debe ser establecido en los contratos, ya que tal decisión obedece a lo que resulte más conveniente a la entidad estatal, en cumplimiento del principio de planeación. </w:t>
      </w:r>
      <w:r w:rsidRPr="00143822">
        <w:rPr>
          <w:rFonts w:ascii="Verdana" w:hAnsi="Verdana" w:cs="Arial"/>
          <w:bCs/>
          <w:szCs w:val="24"/>
          <w:lang w:val="es-ES_tradnl" w:eastAsia="es-ES_tradnl"/>
        </w:rPr>
        <w:t xml:space="preserve"> </w:t>
      </w:r>
    </w:p>
    <w:p w14:paraId="172E30F6" w14:textId="77777777" w:rsidR="00E63B66" w:rsidRPr="00143822" w:rsidRDefault="00E63B66" w:rsidP="00E63B66">
      <w:pPr>
        <w:snapToGrid w:val="0"/>
        <w:spacing w:after="120" w:line="276" w:lineRule="auto"/>
        <w:ind w:firstLine="743"/>
        <w:jc w:val="both"/>
        <w:rPr>
          <w:rFonts w:ascii="Verdana" w:hAnsi="Verdana" w:cs="Arial"/>
          <w:lang w:eastAsia="es-ES"/>
        </w:rPr>
      </w:pPr>
      <w:r w:rsidRPr="00143822">
        <w:rPr>
          <w:rFonts w:ascii="Verdana" w:hAnsi="Verdana" w:cs="Arial"/>
          <w:bCs/>
          <w:szCs w:val="24"/>
          <w:lang w:val="es-ES_tradnl" w:eastAsia="es-ES_tradnl"/>
        </w:rPr>
        <w:t xml:space="preserve">En este contexto, si </w:t>
      </w:r>
      <w:r w:rsidRPr="00143822">
        <w:rPr>
          <w:rFonts w:ascii="Verdana" w:hAnsi="Verdana" w:cs="Arial"/>
          <w:lang w:eastAsia="es-ES"/>
        </w:rPr>
        <w:t>con base en los estudios del sector la entidad estatal estableció la necesidad de estructurar el valor bajo el sistema de precios unitarios y con el desglose del AIU, el precio se debería pagar con base en el valor de los costos directos incrementados por el porcentaje del AIU, en relación con todas las actividades calculadas bajo este sistema. En otras palabras, cuando el valor en el contrato se estructuró utilizando el sistema de AIU, el pago del AIU debe aplicarse a todas las actividades del contrato, a menos que se haya acordado lo contrario.</w:t>
      </w:r>
    </w:p>
    <w:bookmarkEnd w:id="7"/>
    <w:p w14:paraId="6218FC32" w14:textId="77777777" w:rsidR="00E63B66" w:rsidRPr="00143822" w:rsidRDefault="00E63B66" w:rsidP="00E63B66">
      <w:pPr>
        <w:snapToGrid w:val="0"/>
        <w:spacing w:after="120" w:line="276" w:lineRule="auto"/>
        <w:ind w:firstLine="743"/>
        <w:jc w:val="both"/>
        <w:rPr>
          <w:rFonts w:ascii="Verdana" w:hAnsi="Verdana" w:cs="Arial"/>
          <w:bCs/>
          <w:szCs w:val="24"/>
          <w:lang w:val="es-ES_tradnl" w:eastAsia="es-ES_tradnl"/>
        </w:rPr>
      </w:pPr>
      <w:r w:rsidRPr="00143822">
        <w:rPr>
          <w:rFonts w:ascii="Verdana" w:hAnsi="Verdana" w:cs="Arial"/>
          <w:lang w:eastAsia="es-ES"/>
        </w:rPr>
        <w:t xml:space="preserve">Ahora bien, </w:t>
      </w:r>
      <w:r w:rsidRPr="00143822">
        <w:rPr>
          <w:rFonts w:ascii="Verdana" w:hAnsi="Verdana" w:cs="Arial"/>
          <w:bCs/>
          <w:szCs w:val="24"/>
          <w:lang w:val="es-ES_tradnl" w:eastAsia="es-ES_tradnl"/>
        </w:rPr>
        <w:t xml:space="preserve">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143822">
        <w:rPr>
          <w:rFonts w:ascii="Verdana" w:hAnsi="Verdana" w:cs="Arial"/>
          <w:bCs/>
          <w:i/>
          <w:iCs/>
          <w:szCs w:val="24"/>
          <w:lang w:val="es-ES_tradnl" w:eastAsia="es-ES_tradnl"/>
        </w:rPr>
        <w:t>Administración</w:t>
      </w:r>
      <w:r w:rsidRPr="00143822">
        <w:rPr>
          <w:rFonts w:ascii="Verdana" w:hAnsi="Verdana" w:cs="Arial"/>
          <w:bCs/>
          <w:szCs w:val="24"/>
          <w:lang w:val="es-ES_tradnl" w:eastAsia="es-ES_tradnl"/>
        </w:rPr>
        <w:t xml:space="preserve"> o los </w:t>
      </w:r>
      <w:r w:rsidRPr="00143822">
        <w:rPr>
          <w:rFonts w:ascii="Verdana" w:hAnsi="Verdana" w:cs="Arial"/>
          <w:bCs/>
          <w:i/>
          <w:iCs/>
          <w:szCs w:val="24"/>
          <w:lang w:val="es-ES_tradnl" w:eastAsia="es-ES_tradnl"/>
        </w:rPr>
        <w:t>Imprevistos</w:t>
      </w:r>
      <w:r w:rsidRPr="00143822">
        <w:rPr>
          <w:rFonts w:ascii="Verdana" w:hAnsi="Verdana" w:cs="Arial"/>
          <w:bCs/>
          <w:szCs w:val="24"/>
          <w:lang w:val="es-ES_tradnl" w:eastAsia="es-ES_tradnl"/>
        </w:rPr>
        <w:t xml:space="preserve"> sólo se pagan si el contratista demuestra que incurrió en algunas situaciones específicas y bajo el monto que este logre demostrar.</w:t>
      </w:r>
    </w:p>
    <w:p w14:paraId="738FF828" w14:textId="77777777" w:rsidR="00E63B66" w:rsidRPr="00143822" w:rsidRDefault="00E63B66" w:rsidP="00E63B66">
      <w:pPr>
        <w:snapToGrid w:val="0"/>
        <w:spacing w:after="120" w:line="276" w:lineRule="auto"/>
        <w:ind w:firstLine="601"/>
        <w:jc w:val="both"/>
        <w:rPr>
          <w:rFonts w:ascii="Verdana" w:hAnsi="Verdana" w:cs="Arial"/>
          <w:lang w:val="es-ES" w:eastAsia="es-ES"/>
        </w:rPr>
      </w:pPr>
      <w:r w:rsidRPr="00143822">
        <w:rPr>
          <w:rFonts w:ascii="Verdana" w:hAnsi="Verdana" w:cs="Arial"/>
          <w:lang w:eastAsia="es-ES"/>
        </w:rPr>
        <w:t xml:space="preserve">Sin embargo, </w:t>
      </w:r>
      <w:r w:rsidRPr="00143822">
        <w:rPr>
          <w:rFonts w:ascii="Verdana" w:hAnsi="Verdana" w:cs="Arial"/>
          <w:lang w:val="es-ES" w:eastAsia="es-ES"/>
        </w:rPr>
        <w:t xml:space="preserve">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7530093E" w14:textId="77777777" w:rsidR="00E63B66" w:rsidRPr="00143822" w:rsidRDefault="00E63B66" w:rsidP="00E63B66">
      <w:pPr>
        <w:snapToGrid w:val="0"/>
        <w:spacing w:after="120" w:line="276" w:lineRule="auto"/>
        <w:ind w:firstLine="601"/>
        <w:jc w:val="both"/>
        <w:rPr>
          <w:rFonts w:ascii="Verdana" w:eastAsia="Calibri" w:hAnsi="Verdana" w:cs="Arial"/>
          <w:bCs/>
          <w:szCs w:val="24"/>
          <w:lang w:val="es-ES_tradnl" w:eastAsia="es-ES_tradnl"/>
        </w:rPr>
      </w:pPr>
      <w:r w:rsidRPr="00143822">
        <w:rPr>
          <w:rFonts w:ascii="Verdana" w:eastAsia="Calibri" w:hAnsi="Verdana" w:cs="Arial"/>
          <w:bCs/>
          <w:szCs w:val="24"/>
          <w:lang w:val="es-ES_tradnl"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143822">
        <w:rPr>
          <w:rFonts w:ascii="Verdana" w:eastAsia="Calibri" w:hAnsi="Verdana" w:cs="Arial"/>
          <w:bCs/>
          <w:i/>
          <w:iCs/>
          <w:szCs w:val="24"/>
          <w:lang w:val="es-ES_tradnl" w:eastAsia="es-ES_tradnl"/>
        </w:rPr>
        <w:t xml:space="preserve">indirectos </w:t>
      </w:r>
      <w:r w:rsidRPr="00143822">
        <w:rPr>
          <w:rFonts w:ascii="Verdana" w:eastAsia="Calibri" w:hAnsi="Verdana" w:cs="Arial"/>
          <w:bCs/>
          <w:szCs w:val="24"/>
          <w:lang w:val="es-ES_tradnl" w:eastAsia="es-ES_tradnl"/>
        </w:rPr>
        <w:t xml:space="preserve">en que incurren los contratistas, entre ellos, los de la </w:t>
      </w:r>
      <w:r w:rsidRPr="00143822">
        <w:rPr>
          <w:rFonts w:ascii="Verdana" w:eastAsia="Calibri" w:hAnsi="Verdana" w:cs="Arial"/>
          <w:bCs/>
          <w:i/>
          <w:iCs/>
          <w:szCs w:val="24"/>
          <w:lang w:val="es-ES_tradnl" w:eastAsia="es-ES_tradnl"/>
        </w:rPr>
        <w:t xml:space="preserve">Administración </w:t>
      </w:r>
      <w:r w:rsidRPr="00143822">
        <w:rPr>
          <w:rFonts w:ascii="Verdana" w:eastAsia="Calibri" w:hAnsi="Verdana" w:cs="Arial"/>
          <w:lang w:val="es-ES_tradnl" w:eastAsia="es-ES"/>
        </w:rPr>
        <w:t>y</w:t>
      </w:r>
      <w:r w:rsidRPr="00143822">
        <w:rPr>
          <w:rFonts w:ascii="Verdana" w:eastAsia="Calibri" w:hAnsi="Verdana" w:cs="Arial"/>
          <w:lang w:val="es-ES" w:eastAsia="es-ES"/>
        </w:rPr>
        <w:t xml:space="preserve"> lo</w:t>
      </w:r>
      <w:r w:rsidRPr="00143822">
        <w:rPr>
          <w:rFonts w:ascii="Verdana" w:eastAsia="Calibri" w:hAnsi="Verdana" w:cs="Arial"/>
          <w:i/>
          <w:iCs/>
          <w:lang w:val="es-ES" w:eastAsia="es-ES"/>
        </w:rPr>
        <w:t>s Imprevistos</w:t>
      </w:r>
      <w:r w:rsidRPr="00143822">
        <w:rPr>
          <w:rFonts w:ascii="Verdana" w:eastAsia="Calibri" w:hAnsi="Verdana" w:cs="Arial"/>
          <w:bCs/>
          <w:szCs w:val="24"/>
          <w:lang w:val="es-ES_tradnl" w:eastAsia="es-ES_tradnl"/>
        </w:rPr>
        <w:t xml:space="preserve">, para efectos de definir el porcentaje con el que calculan el presupuesto, pese a que el monto de estos componentes varía ostensiblemente de un proponente a otro, pues su valor real depende de circunstancias </w:t>
      </w:r>
      <w:r w:rsidRPr="00143822">
        <w:rPr>
          <w:rFonts w:ascii="Verdana" w:eastAsia="Calibri" w:hAnsi="Verdana" w:cs="Arial"/>
          <w:bCs/>
          <w:szCs w:val="24"/>
          <w:lang w:val="es-ES_tradnl" w:eastAsia="es-ES_tradnl"/>
        </w:rPr>
        <w:lastRenderedPageBreak/>
        <w:t>particulares de los oferentes</w:t>
      </w:r>
      <w:r w:rsidRPr="00143822">
        <w:rPr>
          <w:rFonts w:ascii="Verdana" w:eastAsia="Calibri" w:hAnsi="Verdana" w:cs="Times New Roman"/>
          <w:vertAlign w:val="superscript"/>
          <w:lang w:val="es-ES" w:eastAsia="es-ES_tradnl"/>
        </w:rPr>
        <w:footnoteReference w:id="11"/>
      </w:r>
      <w:r w:rsidRPr="00143822">
        <w:rPr>
          <w:rFonts w:ascii="Verdana" w:eastAsia="Calibri" w:hAnsi="Verdana" w:cs="Arial"/>
          <w:bCs/>
          <w:szCs w:val="24"/>
          <w:lang w:val="es-ES_tradnl" w:eastAsia="es-ES_tradnl"/>
        </w:rPr>
        <w:t xml:space="preserve">. </w:t>
      </w:r>
      <w:r w:rsidRPr="00143822">
        <w:rPr>
          <w:rFonts w:ascii="Verdana" w:hAnsi="Verdana" w:cs="Arial"/>
          <w:bCs/>
          <w:szCs w:val="24"/>
          <w:lang w:val="es-ES_tradnl" w:eastAsia="es-ES_tradnl"/>
        </w:rPr>
        <w:t>Por tanto, en abstracto, no existe un límite mínimo ni máximo respecto al porcentaje.</w:t>
      </w:r>
    </w:p>
    <w:p w14:paraId="4EDF9352" w14:textId="77777777" w:rsidR="00E63B66" w:rsidRPr="00143822" w:rsidRDefault="00E63B66" w:rsidP="00E63B66">
      <w:pPr>
        <w:snapToGrid w:val="0"/>
        <w:spacing w:after="120" w:line="276" w:lineRule="auto"/>
        <w:ind w:firstLine="601"/>
        <w:jc w:val="both"/>
        <w:rPr>
          <w:rFonts w:ascii="Verdana" w:eastAsia="Calibri" w:hAnsi="Verdana" w:cs="Arial"/>
          <w:bCs/>
          <w:szCs w:val="24"/>
          <w:lang w:val="es-ES_tradnl" w:eastAsia="es-ES_tradnl"/>
        </w:rPr>
      </w:pPr>
      <w:r w:rsidRPr="00143822">
        <w:rPr>
          <w:rFonts w:ascii="Verdana" w:eastAsia="Calibri" w:hAnsi="Verdana" w:cs="Arial"/>
          <w:lang w:eastAsia="es-ES"/>
        </w:rPr>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sidRPr="00143822">
        <w:rPr>
          <w:rFonts w:ascii="Verdana" w:eastAsia="Calibri" w:hAnsi="Verdana" w:cs="Arial"/>
          <w:i/>
          <w:iCs/>
          <w:lang w:eastAsia="es-ES"/>
        </w:rPr>
        <w:t>Administración</w:t>
      </w:r>
      <w:r w:rsidRPr="00143822">
        <w:rPr>
          <w:rFonts w:ascii="Verdana" w:eastAsia="Calibri" w:hAnsi="Verdana" w:cs="Arial"/>
          <w:lang w:eastAsia="es-ES"/>
        </w:rPr>
        <w:t xml:space="preserve"> o en más gastos de </w:t>
      </w:r>
      <w:r w:rsidRPr="00143822">
        <w:rPr>
          <w:rFonts w:ascii="Verdana" w:eastAsia="Calibri" w:hAnsi="Verdana" w:cs="Arial"/>
          <w:i/>
          <w:iCs/>
          <w:lang w:eastAsia="es-ES"/>
        </w:rPr>
        <w:t>Imprevistos</w:t>
      </w:r>
      <w:r w:rsidRPr="00143822">
        <w:rPr>
          <w:rFonts w:ascii="Verdana" w:eastAsia="Calibri" w:hAnsi="Verdana" w:cs="Arial"/>
          <w:lang w:eastAsia="es-ES"/>
        </w:rPr>
        <w:t xml:space="preserve"> al presentar su oferta, o que estos disminuyan, aparezcan algunos nuevos o desaparezcan algunos de ellos, el valor se mantenga invariable</w:t>
      </w:r>
    </w:p>
    <w:p w14:paraId="72239E1B" w14:textId="77777777" w:rsidR="00E63B66" w:rsidRPr="00143822" w:rsidRDefault="00E63B66" w:rsidP="00E63B66">
      <w:pPr>
        <w:snapToGrid w:val="0"/>
        <w:spacing w:after="120" w:line="276" w:lineRule="auto"/>
        <w:ind w:firstLine="601"/>
        <w:jc w:val="both"/>
        <w:rPr>
          <w:rFonts w:ascii="Verdana" w:eastAsia="Calibri" w:hAnsi="Verdana" w:cs="Arial"/>
          <w:lang w:val="es-ES" w:eastAsia="es-ES"/>
        </w:rPr>
      </w:pPr>
      <w:r w:rsidRPr="00143822">
        <w:rPr>
          <w:rFonts w:ascii="Verdana" w:eastAsia="Calibri"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143822">
        <w:rPr>
          <w:rFonts w:ascii="Verdana" w:eastAsia="Calibri" w:hAnsi="Verdana" w:cs="Arial"/>
          <w:i/>
          <w:iCs/>
          <w:lang w:val="es-ES" w:eastAsia="es-ES"/>
        </w:rPr>
        <w:t>Administración</w:t>
      </w:r>
      <w:r w:rsidRPr="00143822">
        <w:rPr>
          <w:rFonts w:ascii="Verdana" w:eastAsia="Calibri" w:hAnsi="Verdana" w:cs="Arial"/>
          <w:lang w:val="es-ES" w:eastAsia="es-ES"/>
        </w:rPr>
        <w:t xml:space="preserve"> o de </w:t>
      </w:r>
      <w:r w:rsidRPr="00143822">
        <w:rPr>
          <w:rFonts w:ascii="Verdana" w:eastAsia="Calibri" w:hAnsi="Verdana" w:cs="Arial"/>
          <w:i/>
          <w:iCs/>
          <w:lang w:val="es-ES" w:eastAsia="es-ES"/>
        </w:rPr>
        <w:t>Imprevistos</w:t>
      </w:r>
      <w:r w:rsidRPr="00143822">
        <w:rPr>
          <w:rFonts w:ascii="Verdana" w:eastAsia="Calibri" w:hAnsi="Verdana" w:cs="Times New Roman"/>
          <w:vertAlign w:val="superscript"/>
          <w:lang w:val="es-ES" w:eastAsia="es-ES"/>
        </w:rPr>
        <w:footnoteReference w:id="12"/>
      </w:r>
      <w:r w:rsidRPr="00143822">
        <w:rPr>
          <w:rFonts w:ascii="Verdana" w:eastAsia="Calibri" w:hAnsi="Verdana" w:cs="Arial"/>
          <w:lang w:val="es-ES" w:eastAsia="es-ES"/>
        </w:rPr>
        <w:t>.</w:t>
      </w:r>
    </w:p>
    <w:p w14:paraId="5B757289" w14:textId="77777777" w:rsidR="00E63B66" w:rsidRPr="00143822" w:rsidRDefault="00E63B66" w:rsidP="00E63B66">
      <w:pPr>
        <w:spacing w:before="120" w:after="0" w:line="276" w:lineRule="auto"/>
        <w:ind w:firstLine="709"/>
        <w:jc w:val="both"/>
        <w:rPr>
          <w:rFonts w:ascii="Verdana" w:hAnsi="Verdana" w:cs="Arial"/>
          <w:lang w:val="es-ES" w:eastAsia="es-ES"/>
        </w:rPr>
      </w:pPr>
      <w:r w:rsidRPr="00143822">
        <w:rPr>
          <w:rFonts w:ascii="Verdana" w:hAnsi="Verdana" w:cs="Arial"/>
          <w:lang w:val="es-ES" w:eastAsia="es-ES"/>
        </w:rPr>
        <w:t xml:space="preserve">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w:t>
      </w:r>
      <w:r w:rsidRPr="00143822">
        <w:rPr>
          <w:rFonts w:ascii="Verdana" w:hAnsi="Verdana" w:cs="Arial"/>
          <w:lang w:val="es-ES" w:eastAsia="es-ES"/>
        </w:rPr>
        <w:lastRenderedPageBreak/>
        <w:t>asesores de proyectos</w:t>
      </w:r>
      <w:r w:rsidRPr="00143822">
        <w:rPr>
          <w:rFonts w:ascii="Verdana" w:hAnsi="Verdana" w:cs="Arial"/>
          <w:vertAlign w:val="superscript"/>
          <w:lang w:val="es-ES" w:eastAsia="es-ES"/>
        </w:rPr>
        <w:footnoteReference w:id="13"/>
      </w:r>
      <w:r w:rsidRPr="00143822">
        <w:rPr>
          <w:rFonts w:ascii="Verdana" w:hAnsi="Verdana" w:cs="Arial"/>
          <w:lang w:val="es-ES" w:eastAsia="es-ES"/>
        </w:rPr>
        <w:t xml:space="preserve">”. En términos similares, pero más precisos, la doctrina, recogiendo la casuística de los contratos estatales, señala de forma más pormenorizada los gastos que se asocian a la –A–, donde se incluyen importantes costos indirectos en que se incurre en la ejecución: </w:t>
      </w:r>
    </w:p>
    <w:p w14:paraId="43B7CE02" w14:textId="77777777" w:rsidR="00E63B66" w:rsidRPr="00143822" w:rsidRDefault="00E63B66" w:rsidP="00E63B66">
      <w:pPr>
        <w:spacing w:after="0" w:line="276" w:lineRule="auto"/>
        <w:jc w:val="both"/>
        <w:rPr>
          <w:rFonts w:ascii="Verdana" w:hAnsi="Verdana" w:cs="Arial"/>
          <w:bCs/>
          <w:szCs w:val="24"/>
          <w:lang w:val="es-ES_tradnl" w:eastAsia="es-ES_tradnl"/>
        </w:rPr>
      </w:pPr>
    </w:p>
    <w:p w14:paraId="7D66ED34" w14:textId="77777777" w:rsidR="00E63B66" w:rsidRPr="00143822" w:rsidRDefault="00E63B66" w:rsidP="00E63B66">
      <w:pPr>
        <w:spacing w:after="0" w:line="240" w:lineRule="auto"/>
        <w:ind w:left="709" w:right="709"/>
        <w:jc w:val="both"/>
        <w:rPr>
          <w:rFonts w:ascii="Verdana" w:hAnsi="Verdana" w:cs="Arial"/>
          <w:sz w:val="20"/>
          <w:szCs w:val="20"/>
          <w:lang w:val="es-ES" w:eastAsia="es-ES"/>
        </w:rPr>
      </w:pPr>
      <w:r w:rsidRPr="00143822">
        <w:rPr>
          <w:rFonts w:ascii="Verdana" w:hAnsi="Verdana" w:cs="Arial"/>
          <w:sz w:val="20"/>
          <w:szCs w:val="20"/>
          <w:lang w:val="es-ES" w:eastAsia="es-ES"/>
        </w:rPr>
        <w:t xml:space="preserve">Para entender mejor el tema conviene especificar que si los gastos que hacen parte de la A se encuentran: i) el pago de salarios y prestaciones sociales del personal profesional y especializado necesario para ejecutar la obra –es el caso del Director de obra, los arquitectos, ingenieros y contadores, eventualmente abogados u otros; pero no se incluyen los obreros–, </w:t>
      </w:r>
      <w:proofErr w:type="spellStart"/>
      <w:r w:rsidRPr="00143822">
        <w:rPr>
          <w:rFonts w:ascii="Verdana" w:hAnsi="Verdana" w:cs="Arial"/>
          <w:sz w:val="20"/>
          <w:szCs w:val="20"/>
          <w:lang w:val="es-ES" w:eastAsia="es-ES"/>
        </w:rPr>
        <w:t>ii</w:t>
      </w:r>
      <w:proofErr w:type="spellEnd"/>
      <w:r w:rsidRPr="00143822">
        <w:rPr>
          <w:rFonts w:ascii="Verdana" w:hAnsi="Verdana" w:cs="Arial"/>
          <w:sz w:val="20"/>
          <w:szCs w:val="20"/>
          <w:lang w:val="es-ES" w:eastAsia="es-ES"/>
        </w:rPr>
        <w:t xml:space="preserve">) pago de salarios y prestaciones sociales del personal logístico y de apoyo no dedicado directamente con la ejecución del contrato –por ejemplo: las secretarias de la empresa, el servicio de cafetería en mensajero, la vigilancia, los seguros, etc.– sin los que la empresa no puede funcionar; </w:t>
      </w:r>
      <w:proofErr w:type="spellStart"/>
      <w:r w:rsidRPr="00143822">
        <w:rPr>
          <w:rFonts w:ascii="Verdana" w:hAnsi="Verdana" w:cs="Arial"/>
          <w:sz w:val="20"/>
          <w:szCs w:val="20"/>
          <w:lang w:val="es-ES" w:eastAsia="es-ES"/>
        </w:rPr>
        <w:t>iii</w:t>
      </w:r>
      <w:proofErr w:type="spellEnd"/>
      <w:r w:rsidRPr="00143822">
        <w:rPr>
          <w:rFonts w:ascii="Verdana" w:hAnsi="Verdana" w:cs="Arial"/>
          <w:sz w:val="20"/>
          <w:szCs w:val="20"/>
          <w:lang w:val="es-ES" w:eastAsia="es-ES"/>
        </w:rPr>
        <w:t xml:space="preserve">) pago de arrendamiento de las instalaciones necesarias para el funcionamiento de la empresa –oficinas </w:t>
      </w:r>
      <w:r w:rsidRPr="00143822">
        <w:rPr>
          <w:rFonts w:ascii="Verdana" w:hAnsi="Verdana" w:cs="Arial"/>
          <w:i/>
          <w:sz w:val="20"/>
          <w:szCs w:val="20"/>
          <w:lang w:val="es-ES" w:eastAsia="es-ES"/>
        </w:rPr>
        <w:t xml:space="preserve">y campamento de la obra–; </w:t>
      </w:r>
      <w:proofErr w:type="spellStart"/>
      <w:r w:rsidRPr="00143822">
        <w:rPr>
          <w:rFonts w:ascii="Verdana" w:hAnsi="Verdana" w:cs="Arial"/>
          <w:sz w:val="20"/>
          <w:szCs w:val="20"/>
          <w:lang w:val="es-ES" w:eastAsia="es-ES"/>
        </w:rPr>
        <w:t>iv</w:t>
      </w:r>
      <w:proofErr w:type="spellEnd"/>
      <w:r w:rsidRPr="00143822">
        <w:rPr>
          <w:rFonts w:ascii="Verdana" w:hAnsi="Verdana" w:cs="Arial"/>
          <w:sz w:val="20"/>
          <w:szCs w:val="20"/>
          <w:lang w:val="es-ES" w:eastAsia="es-ES"/>
        </w:rPr>
        <w:t xml:space="preserve">) </w:t>
      </w:r>
      <w:r w:rsidRPr="00143822">
        <w:rPr>
          <w:rFonts w:ascii="Verdana" w:hAnsi="Verdana" w:cs="Arial"/>
          <w:i/>
          <w:sz w:val="20"/>
          <w:szCs w:val="20"/>
          <w:lang w:val="es-ES" w:eastAsia="es-ES"/>
        </w:rPr>
        <w:t>pago de impuestos y gravámenes en general que afectan la actividad o el contrato</w:t>
      </w:r>
      <w:r w:rsidRPr="00143822">
        <w:rPr>
          <w:rFonts w:ascii="Verdana" w:hAnsi="Verdana" w:cs="Arial"/>
          <w:sz w:val="20"/>
          <w:szCs w:val="20"/>
          <w:lang w:val="es-ES" w:eastAsia="es-ES"/>
        </w:rPr>
        <w:t xml:space="preserve">; v) valor de las fotocopias, papelería en general y equipos de oficina, vi) transporte terrestre, tiquetes aéreos y arrendamiento de vehículos –distintos de la maquinaria que se emplea en la obra–, </w:t>
      </w:r>
      <w:proofErr w:type="spellStart"/>
      <w:r w:rsidRPr="00143822">
        <w:rPr>
          <w:rFonts w:ascii="Verdana" w:hAnsi="Verdana" w:cs="Arial"/>
          <w:sz w:val="20"/>
          <w:szCs w:val="20"/>
          <w:lang w:val="es-ES" w:eastAsia="es-ES"/>
        </w:rPr>
        <w:t>vii</w:t>
      </w:r>
      <w:proofErr w:type="spellEnd"/>
      <w:r w:rsidRPr="00143822">
        <w:rPr>
          <w:rFonts w:ascii="Verdana" w:hAnsi="Verdana" w:cs="Arial"/>
          <w:sz w:val="20"/>
          <w:szCs w:val="20"/>
          <w:lang w:val="es-ES" w:eastAsia="es-ES"/>
        </w:rPr>
        <w:t xml:space="preserve">) pólizas del contrato, </w:t>
      </w:r>
      <w:proofErr w:type="spellStart"/>
      <w:r w:rsidRPr="00143822">
        <w:rPr>
          <w:rFonts w:ascii="Verdana" w:hAnsi="Verdana" w:cs="Arial"/>
          <w:sz w:val="20"/>
          <w:szCs w:val="20"/>
          <w:lang w:val="es-ES" w:eastAsia="es-ES"/>
        </w:rPr>
        <w:t>viii</w:t>
      </w:r>
      <w:proofErr w:type="spellEnd"/>
      <w:r w:rsidRPr="00143822">
        <w:rPr>
          <w:rFonts w:ascii="Verdana" w:hAnsi="Verdana" w:cs="Arial"/>
          <w:sz w:val="20"/>
          <w:szCs w:val="20"/>
          <w:lang w:val="es-ES" w:eastAsia="es-ES"/>
        </w:rPr>
        <w:t xml:space="preserve">) pago de servicios públicos y otras comunicaciones –como el servicio celular– y </w:t>
      </w:r>
      <w:proofErr w:type="spellStart"/>
      <w:r w:rsidRPr="00143822">
        <w:rPr>
          <w:rFonts w:ascii="Verdana" w:hAnsi="Verdana" w:cs="Arial"/>
          <w:sz w:val="20"/>
          <w:szCs w:val="20"/>
          <w:lang w:val="es-ES" w:eastAsia="es-ES"/>
        </w:rPr>
        <w:t>ix</w:t>
      </w:r>
      <w:proofErr w:type="spellEnd"/>
      <w:r w:rsidRPr="00143822">
        <w:rPr>
          <w:rFonts w:ascii="Verdana" w:hAnsi="Verdana" w:cs="Arial"/>
          <w:sz w:val="20"/>
          <w:szCs w:val="20"/>
          <w:lang w:val="es-ES" w:eastAsia="es-ES"/>
        </w:rPr>
        <w:t>) gastos en que se incurra para realizar ensayos de laboratorio</w:t>
      </w:r>
      <w:r w:rsidRPr="00143822">
        <w:rPr>
          <w:rFonts w:ascii="Verdana" w:hAnsi="Verdana" w:cs="Arial"/>
          <w:sz w:val="20"/>
          <w:szCs w:val="20"/>
          <w:vertAlign w:val="superscript"/>
          <w:lang w:val="es-ES" w:eastAsia="es-ES"/>
        </w:rPr>
        <w:footnoteReference w:id="14"/>
      </w:r>
      <w:r w:rsidRPr="00143822">
        <w:rPr>
          <w:rFonts w:ascii="Verdana" w:hAnsi="Verdana" w:cs="Arial"/>
          <w:sz w:val="20"/>
          <w:szCs w:val="20"/>
          <w:lang w:val="es-ES" w:eastAsia="es-ES"/>
        </w:rPr>
        <w:t xml:space="preserve"> (Énfasis por fuera de texto)</w:t>
      </w:r>
    </w:p>
    <w:p w14:paraId="70A6D2DB" w14:textId="77777777" w:rsidR="00E63B66" w:rsidRPr="00143822" w:rsidRDefault="00E63B66" w:rsidP="00E63B66">
      <w:pPr>
        <w:spacing w:after="0" w:line="240" w:lineRule="auto"/>
        <w:ind w:left="709" w:right="709"/>
        <w:jc w:val="both"/>
        <w:rPr>
          <w:rFonts w:ascii="Verdana" w:hAnsi="Verdana" w:cs="Arial"/>
          <w:bCs/>
          <w:lang w:val="es-ES_tradnl" w:eastAsia="es-ES_tradnl"/>
        </w:rPr>
      </w:pPr>
    </w:p>
    <w:p w14:paraId="4AF41C36" w14:textId="77777777" w:rsidR="00E63B66" w:rsidRPr="00143822" w:rsidRDefault="00E63B66" w:rsidP="00E63B66">
      <w:pPr>
        <w:spacing w:line="276" w:lineRule="auto"/>
        <w:jc w:val="both"/>
        <w:rPr>
          <w:rFonts w:ascii="Verdana" w:hAnsi="Verdana" w:cs="Arial"/>
          <w:lang w:val="es-ES_tradnl"/>
        </w:rPr>
      </w:pPr>
      <w:r w:rsidRPr="00143822">
        <w:rPr>
          <w:rFonts w:ascii="Verdana" w:hAnsi="Verdana" w:cs="Arial"/>
          <w:lang w:val="es-ES_tradnl"/>
        </w:rPr>
        <w:tab/>
      </w:r>
      <w:r w:rsidRPr="00143822">
        <w:rPr>
          <w:rFonts w:ascii="Verdana" w:hAnsi="Verdana" w:cs="Arial"/>
          <w:bCs/>
          <w:lang w:val="es-ES_tradnl"/>
        </w:rPr>
        <w:t xml:space="preserve">Asimismo, frente al porcentaje que se determina en el componente A, la doctrina expresa: </w:t>
      </w:r>
      <w:r w:rsidRPr="00143822">
        <w:rPr>
          <w:rFonts w:ascii="Verdana" w:hAnsi="Verdana" w:cs="Arial"/>
          <w:lang w:val="es-ES_tradnl"/>
        </w:rPr>
        <w:t xml:space="preserve"> </w:t>
      </w:r>
    </w:p>
    <w:p w14:paraId="11EB18D0" w14:textId="77777777" w:rsidR="00E63B66" w:rsidRPr="00143822" w:rsidRDefault="00E63B66" w:rsidP="00E63B66">
      <w:pPr>
        <w:spacing w:after="0" w:line="240" w:lineRule="auto"/>
        <w:ind w:left="709" w:right="709"/>
        <w:jc w:val="both"/>
        <w:rPr>
          <w:rFonts w:ascii="Verdana" w:hAnsi="Verdana" w:cs="Arial"/>
          <w:sz w:val="20"/>
          <w:szCs w:val="20"/>
          <w:lang w:val="es-ES"/>
        </w:rPr>
      </w:pPr>
      <w:r w:rsidRPr="00143822">
        <w:rPr>
          <w:rFonts w:ascii="Verdana" w:hAnsi="Verdana" w:cs="Arial"/>
          <w:sz w:val="20"/>
          <w:szCs w:val="20"/>
          <w:lang w:val="es-ES"/>
        </w:rPr>
        <w:t xml:space="preserve">Este porcentaje del valor del contrato también lo determina cada oferente–contratista con libertad, pues a él incumbe establecer cuánto ascienden sus gastos de administración, y si al final resultan superiores no puede exigir de la entidad, por esa sola circunstancia, un reembolso, porque para ella se trataba de un dato indicativo sobre la manera como se halla el valor total de la obra, de ninguna manera determinante de la forma como se paga cada actividad. A la inversa sucede lo mismo, si el gasto es inferior al presupuestado la entidad no puede pagar menos de lo pactado, sino los precios unitarios acordados por la </w:t>
      </w:r>
      <w:r w:rsidRPr="00143822">
        <w:rPr>
          <w:rFonts w:ascii="Verdana" w:hAnsi="Verdana" w:cs="Arial"/>
          <w:i/>
          <w:sz w:val="20"/>
          <w:szCs w:val="20"/>
          <w:lang w:val="es-ES"/>
        </w:rPr>
        <w:t>A</w:t>
      </w:r>
      <w:r w:rsidRPr="00143822">
        <w:rPr>
          <w:rFonts w:ascii="Verdana" w:hAnsi="Verdana" w:cs="Arial"/>
          <w:sz w:val="20"/>
          <w:szCs w:val="20"/>
          <w:lang w:val="es-ES"/>
        </w:rPr>
        <w:t xml:space="preserve"> –y dicho sea de paso, también por la </w:t>
      </w:r>
      <w:r w:rsidRPr="00143822">
        <w:rPr>
          <w:rFonts w:ascii="Verdana" w:hAnsi="Verdana" w:cs="Arial"/>
          <w:i/>
          <w:sz w:val="20"/>
          <w:szCs w:val="20"/>
          <w:lang w:val="es-ES"/>
        </w:rPr>
        <w:t>I</w:t>
      </w:r>
      <w:r w:rsidRPr="00143822">
        <w:rPr>
          <w:rFonts w:ascii="Verdana" w:hAnsi="Verdana" w:cs="Arial"/>
          <w:sz w:val="20"/>
          <w:szCs w:val="20"/>
          <w:lang w:val="es-ES"/>
        </w:rPr>
        <w:t xml:space="preserve"> y la </w:t>
      </w:r>
      <w:r w:rsidRPr="00143822">
        <w:rPr>
          <w:rFonts w:ascii="Verdana" w:hAnsi="Verdana" w:cs="Arial"/>
          <w:i/>
          <w:sz w:val="20"/>
          <w:szCs w:val="20"/>
          <w:lang w:val="es-ES"/>
        </w:rPr>
        <w:t>U</w:t>
      </w:r>
      <w:r w:rsidRPr="00143822">
        <w:rPr>
          <w:rFonts w:ascii="Verdana" w:hAnsi="Verdana" w:cs="Arial"/>
          <w:sz w:val="20"/>
          <w:szCs w:val="20"/>
          <w:lang w:val="es-ES"/>
        </w:rPr>
        <w:t>–</w:t>
      </w:r>
      <w:r w:rsidRPr="00143822">
        <w:rPr>
          <w:rFonts w:ascii="Verdana" w:hAnsi="Verdana" w:cs="Arial"/>
          <w:sz w:val="20"/>
          <w:szCs w:val="20"/>
          <w:vertAlign w:val="superscript"/>
          <w:lang w:val="es-ES"/>
        </w:rPr>
        <w:footnoteReference w:id="15"/>
      </w:r>
      <w:r w:rsidRPr="00143822">
        <w:rPr>
          <w:rFonts w:ascii="Verdana" w:hAnsi="Verdana" w:cs="Arial"/>
          <w:sz w:val="20"/>
          <w:szCs w:val="20"/>
          <w:lang w:val="es-ES"/>
        </w:rPr>
        <w:t xml:space="preserve">. </w:t>
      </w:r>
    </w:p>
    <w:p w14:paraId="0323AB33" w14:textId="77777777" w:rsidR="00E63B66" w:rsidRPr="00143822" w:rsidRDefault="00E63B66" w:rsidP="00E63B66">
      <w:pPr>
        <w:spacing w:after="0" w:line="276" w:lineRule="auto"/>
        <w:ind w:left="709" w:right="709"/>
        <w:jc w:val="both"/>
        <w:rPr>
          <w:rFonts w:ascii="Verdana" w:hAnsi="Verdana" w:cs="Arial"/>
          <w:sz w:val="20"/>
          <w:szCs w:val="20"/>
          <w:lang w:val="es-ES_tradnl"/>
        </w:rPr>
      </w:pPr>
    </w:p>
    <w:p w14:paraId="0A6B6985" w14:textId="77777777" w:rsidR="00E63B66" w:rsidRPr="00143822" w:rsidRDefault="00E63B66" w:rsidP="00E63B66">
      <w:pPr>
        <w:spacing w:after="120" w:line="276" w:lineRule="auto"/>
        <w:ind w:firstLine="709"/>
        <w:jc w:val="both"/>
        <w:rPr>
          <w:rFonts w:ascii="Verdana" w:hAnsi="Verdana" w:cs="Arial"/>
          <w:lang w:val="es-ES"/>
        </w:rPr>
      </w:pPr>
      <w:r w:rsidRPr="00143822">
        <w:rPr>
          <w:rFonts w:ascii="Verdana" w:hAnsi="Verdana" w:cs="Arial"/>
          <w:lang w:val="es-ES"/>
        </w:rPr>
        <w:lastRenderedPageBreak/>
        <w:t>Tal es la forma usual como se pacta el precio en los contratos estatales cuyo valor se define con base en la metodología del AIU. Lo anterior, sin perjuicio de que las partes en el contrato establezcan las cláusulas que a bien tengan, pues se trata de un aspecto en que la autonomía de la voluntad de que gozan las entidades estatales –y sus contratistas– despliega importantes efectos, por tratarse de un aspecto que no regula de forma específica el EGCAP.</w:t>
      </w:r>
    </w:p>
    <w:p w14:paraId="55BBCA51" w14:textId="77777777" w:rsidR="00E63B66" w:rsidRPr="00143822" w:rsidRDefault="00E63B66" w:rsidP="00E63B66">
      <w:pPr>
        <w:snapToGrid w:val="0"/>
        <w:spacing w:after="120" w:line="276" w:lineRule="auto"/>
        <w:ind w:firstLine="601"/>
        <w:jc w:val="both"/>
        <w:rPr>
          <w:rFonts w:ascii="Verdana" w:eastAsia="Calibri" w:hAnsi="Verdana" w:cs="Arial"/>
          <w:bCs/>
          <w:szCs w:val="24"/>
          <w:lang w:val="es-ES_tradnl" w:eastAsia="es-ES_tradnl"/>
        </w:rPr>
      </w:pPr>
      <w:r w:rsidRPr="00143822">
        <w:rPr>
          <w:rFonts w:ascii="Verdana" w:eastAsia="Calibri" w:hAnsi="Verdana" w:cs="Arial"/>
          <w:lang w:val="es-ES" w:eastAsia="es-ES"/>
        </w:rPr>
        <w:t>Así las cosas, las entidades cuentan con discrecionalidad para establecer en el pliego de condiciones o en su documento equivalente, así como en el contrato, el sistema de precios unitarios y la figura del AIU. De este modo, teniendo en cuenta que el concepto de AIU, ni la forma de calcularlo son aspectos que cuenten con una regulación normativa en materia contractual del Estado, la determinación de los componentes del AIU y su porcentaje dependerá del análisis particular que realice la entidad en relación con el presupuesto estimado del valor de la ejecución del contrato que, como se explicó, sirve de guía para que los proponentes formulen sus ofertas.</w:t>
      </w:r>
    </w:p>
    <w:p w14:paraId="204D5C56" w14:textId="77777777" w:rsidR="00E63B66" w:rsidRPr="00143822" w:rsidRDefault="00E63B66" w:rsidP="00E63B66">
      <w:pPr>
        <w:spacing w:after="120" w:line="276" w:lineRule="auto"/>
        <w:ind w:firstLine="709"/>
        <w:jc w:val="both"/>
        <w:rPr>
          <w:rFonts w:ascii="Verdana" w:hAnsi="Verdana" w:cs="Arial"/>
          <w:lang w:val="es-ES" w:eastAsia="es-ES"/>
        </w:rPr>
      </w:pPr>
      <w:r w:rsidRPr="00143822">
        <w:rPr>
          <w:rFonts w:ascii="Verdana" w:hAnsi="Verdana" w:cs="Arial"/>
          <w:lang w:val="es-ES" w:eastAsia="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Por ende, la decisión de incluir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52DC0E68" w14:textId="77777777" w:rsidR="00E63B66" w:rsidRPr="00143822" w:rsidRDefault="00E63B66" w:rsidP="00E63B66">
      <w:pPr>
        <w:spacing w:after="120" w:line="276" w:lineRule="auto"/>
        <w:ind w:firstLine="709"/>
        <w:jc w:val="both"/>
        <w:rPr>
          <w:rFonts w:ascii="Verdana" w:hAnsi="Verdana" w:cs="Arial"/>
          <w:lang w:val="es-ES" w:eastAsia="es-ES"/>
        </w:rPr>
      </w:pPr>
      <w:r w:rsidRPr="00143822">
        <w:rPr>
          <w:rFonts w:ascii="Verdana" w:eastAsia="Calibri" w:hAnsi="Verdana" w:cs="Arial"/>
          <w:lang w:val="es-ES" w:eastAsia="es-ES"/>
        </w:rPr>
        <w:t>Al margen de la explicación precedente, debe advertirse que el análisis requerido para resolver problemas específicos en torno al AIU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y, en caso de conflicto, a las autoridades judiciales, fiscales y disciplinarias.</w:t>
      </w:r>
    </w:p>
    <w:p w14:paraId="5F218A57" w14:textId="77777777" w:rsidR="00E63B66" w:rsidRPr="00143822" w:rsidRDefault="00E63B66" w:rsidP="00E63B66">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143822">
        <w:rPr>
          <w:rFonts w:ascii="Verdana" w:eastAsia="Century Gothic" w:hAnsi="Verdana" w:cs="Century Gothic"/>
          <w:b/>
          <w:bCs/>
          <w:lang w:val="es-ES"/>
        </w:rPr>
        <w:lastRenderedPageBreak/>
        <w:t>Referencias normativas:</w:t>
      </w:r>
    </w:p>
    <w:p w14:paraId="24C50E4A" w14:textId="77777777" w:rsidR="00E63B66" w:rsidRPr="00143822" w:rsidRDefault="00E63B66" w:rsidP="00E63B6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63B66" w:rsidRPr="00143822" w14:paraId="1C608E82" w14:textId="77777777" w:rsidTr="00EB2A51">
        <w:trPr>
          <w:trHeight w:val="278"/>
          <w:jc w:val="center"/>
        </w:trPr>
        <w:tc>
          <w:tcPr>
            <w:tcW w:w="8647" w:type="dxa"/>
          </w:tcPr>
          <w:p w14:paraId="36C1E8D4" w14:textId="77777777" w:rsidR="00E63B66" w:rsidRPr="00143822" w:rsidRDefault="00E63B66" w:rsidP="00E63B66">
            <w:pPr>
              <w:widowControl w:val="0"/>
              <w:numPr>
                <w:ilvl w:val="0"/>
                <w:numId w:val="3"/>
              </w:numPr>
              <w:autoSpaceDE w:val="0"/>
              <w:autoSpaceDN w:val="0"/>
              <w:spacing w:line="276" w:lineRule="auto"/>
              <w:contextualSpacing/>
              <w:jc w:val="both"/>
              <w:rPr>
                <w:rFonts w:ascii="Verdana" w:hAnsi="Verdana" w:cs="Arial"/>
                <w:lang w:val="es-MX"/>
              </w:rPr>
            </w:pPr>
            <w:r w:rsidRPr="00143822">
              <w:rPr>
                <w:rFonts w:ascii="Verdana" w:hAnsi="Verdana" w:cs="Arial"/>
                <w:lang w:val="es-MX"/>
              </w:rPr>
              <w:t>Ley 80 de 1993, artículos 13, 32 y 40.</w:t>
            </w:r>
          </w:p>
          <w:p w14:paraId="480DCC7B" w14:textId="77777777" w:rsidR="00E63B66" w:rsidRPr="00143822" w:rsidRDefault="00E63B66" w:rsidP="00E63B66">
            <w:pPr>
              <w:widowControl w:val="0"/>
              <w:numPr>
                <w:ilvl w:val="0"/>
                <w:numId w:val="3"/>
              </w:numPr>
              <w:autoSpaceDE w:val="0"/>
              <w:autoSpaceDN w:val="0"/>
              <w:spacing w:line="276" w:lineRule="auto"/>
              <w:jc w:val="both"/>
              <w:rPr>
                <w:rFonts w:ascii="Verdana" w:eastAsia="Aptos" w:hAnsi="Verdana" w:cs="Arial"/>
                <w:lang w:val="es-ES"/>
              </w:rPr>
            </w:pPr>
            <w:r w:rsidRPr="00143822">
              <w:rPr>
                <w:rFonts w:ascii="Verdana" w:eastAsia="Calibri" w:hAnsi="Verdana" w:cs="Arial"/>
                <w:color w:val="000000" w:themeColor="text1"/>
                <w:lang w:val="es-ES"/>
              </w:rPr>
              <w:t xml:space="preserve">CONSEJO DE ESTADO. Sección Tercera. Subsección B. Sentencia del 29 de febrero de 2012. </w:t>
            </w:r>
            <w:proofErr w:type="spellStart"/>
            <w:r w:rsidRPr="00143822">
              <w:rPr>
                <w:rFonts w:ascii="Verdana" w:eastAsia="Calibri" w:hAnsi="Verdana" w:cs="Arial"/>
                <w:color w:val="000000" w:themeColor="text1"/>
                <w:lang w:val="es-ES"/>
              </w:rPr>
              <w:t>Exp</w:t>
            </w:r>
            <w:proofErr w:type="spellEnd"/>
            <w:r w:rsidRPr="00143822">
              <w:rPr>
                <w:rFonts w:ascii="Verdana" w:eastAsia="Calibri" w:hAnsi="Verdana" w:cs="Arial"/>
                <w:color w:val="000000" w:themeColor="text1"/>
                <w:lang w:val="es-ES"/>
              </w:rPr>
              <w:t xml:space="preserve">. 16371, C.P. Danilo Rojas </w:t>
            </w:r>
            <w:proofErr w:type="spellStart"/>
            <w:r w:rsidRPr="00143822">
              <w:rPr>
                <w:rFonts w:ascii="Verdana" w:eastAsia="Calibri" w:hAnsi="Verdana" w:cs="Arial"/>
                <w:color w:val="000000" w:themeColor="text1"/>
                <w:lang w:val="es-ES"/>
              </w:rPr>
              <w:t>Betancourth</w:t>
            </w:r>
            <w:proofErr w:type="spellEnd"/>
            <w:r w:rsidRPr="00143822">
              <w:rPr>
                <w:rFonts w:ascii="Verdana" w:eastAsia="Calibri" w:hAnsi="Verdana" w:cs="Arial"/>
                <w:color w:val="000000" w:themeColor="text1"/>
                <w:lang w:val="es-ES"/>
              </w:rPr>
              <w:t>.</w:t>
            </w:r>
          </w:p>
          <w:p w14:paraId="546A5EC1" w14:textId="77777777" w:rsidR="00E63B66" w:rsidRPr="00143822" w:rsidRDefault="00E63B66" w:rsidP="00E63B66">
            <w:pPr>
              <w:widowControl w:val="0"/>
              <w:numPr>
                <w:ilvl w:val="0"/>
                <w:numId w:val="3"/>
              </w:numPr>
              <w:autoSpaceDE w:val="0"/>
              <w:autoSpaceDN w:val="0"/>
              <w:spacing w:line="276" w:lineRule="auto"/>
              <w:jc w:val="both"/>
              <w:rPr>
                <w:rFonts w:ascii="Verdana" w:eastAsia="Aptos" w:hAnsi="Verdana" w:cs="Arial"/>
                <w:lang w:val="es-ES"/>
              </w:rPr>
            </w:pPr>
            <w:r w:rsidRPr="00143822">
              <w:rPr>
                <w:rFonts w:ascii="Verdana" w:eastAsia="Aptos" w:hAnsi="Verdana" w:cs="Arial"/>
                <w:lang w:val="es-ES"/>
              </w:rPr>
              <w:t xml:space="preserve">CONSEJO DE ESTADO. Sección Tercera. Subsección B. Sentencia del 14 de octubre de 2011. </w:t>
            </w:r>
            <w:proofErr w:type="spellStart"/>
            <w:r w:rsidRPr="00143822">
              <w:rPr>
                <w:rFonts w:ascii="Verdana" w:eastAsia="Aptos" w:hAnsi="Verdana" w:cs="Arial"/>
                <w:lang w:val="es-ES"/>
              </w:rPr>
              <w:t>Exp</w:t>
            </w:r>
            <w:proofErr w:type="spellEnd"/>
            <w:r w:rsidRPr="00143822">
              <w:rPr>
                <w:rFonts w:ascii="Verdana" w:eastAsia="Aptos" w:hAnsi="Verdana" w:cs="Arial"/>
                <w:lang w:val="es-ES"/>
              </w:rPr>
              <w:t>. 20811, C.P. Ruth Stella Correa Palacio.</w:t>
            </w:r>
          </w:p>
          <w:p w14:paraId="0FC1E450" w14:textId="77777777" w:rsidR="00E63B66" w:rsidRPr="00143822" w:rsidRDefault="00E63B66" w:rsidP="00E63B66">
            <w:pPr>
              <w:widowControl w:val="0"/>
              <w:numPr>
                <w:ilvl w:val="0"/>
                <w:numId w:val="3"/>
              </w:numPr>
              <w:autoSpaceDE w:val="0"/>
              <w:autoSpaceDN w:val="0"/>
              <w:spacing w:line="276" w:lineRule="auto"/>
              <w:ind w:left="714" w:hanging="357"/>
              <w:jc w:val="both"/>
              <w:rPr>
                <w:rFonts w:ascii="Verdana" w:eastAsia="Calibri" w:hAnsi="Verdana" w:cs="Arial"/>
                <w:lang w:eastAsia="es-MX"/>
              </w:rPr>
            </w:pPr>
            <w:r w:rsidRPr="00143822">
              <w:rPr>
                <w:rFonts w:ascii="Verdana" w:eastAsia="Aptos" w:hAnsi="Verdana" w:cs="Arial"/>
                <w:lang w:val="es-ES_tradnl"/>
              </w:rPr>
              <w:t>CONSEJO DE ESTADO. Sala de Consulta y Servicio Civil. Concepto del 5 de septiembre de 2018, radicado No. 11001-03-06-000-2018-00124-00, C.P. Édgar González López.</w:t>
            </w:r>
          </w:p>
        </w:tc>
      </w:tr>
    </w:tbl>
    <w:p w14:paraId="3F47C29B" w14:textId="77777777" w:rsidR="00E63B66" w:rsidRPr="00143822" w:rsidRDefault="00E63B66" w:rsidP="00E63B66">
      <w:pPr>
        <w:widowControl w:val="0"/>
        <w:autoSpaceDE w:val="0"/>
        <w:autoSpaceDN w:val="0"/>
        <w:spacing w:after="0" w:line="276" w:lineRule="auto"/>
        <w:jc w:val="both"/>
        <w:rPr>
          <w:rFonts w:ascii="Verdana" w:hAnsi="Verdana" w:cs="Arial"/>
        </w:rPr>
      </w:pPr>
    </w:p>
    <w:p w14:paraId="3F0182AF" w14:textId="77777777" w:rsidR="00E63B66" w:rsidRPr="00143822" w:rsidRDefault="00E63B66" w:rsidP="00E63B66">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143822">
        <w:rPr>
          <w:rFonts w:ascii="Verdana" w:eastAsia="Century Gothic" w:hAnsi="Verdana" w:cs="Century Gothic"/>
          <w:b/>
          <w:bCs/>
          <w:lang w:val="es-ES"/>
        </w:rPr>
        <w:t>Doctrina de la Agencia Nacional de Contratación Pública:</w:t>
      </w:r>
    </w:p>
    <w:p w14:paraId="37FF4D44" w14:textId="77777777" w:rsidR="00E63B66" w:rsidRPr="00143822" w:rsidRDefault="00E63B66" w:rsidP="00E63B66">
      <w:pPr>
        <w:widowControl w:val="0"/>
        <w:autoSpaceDE w:val="0"/>
        <w:autoSpaceDN w:val="0"/>
        <w:spacing w:after="0" w:line="276" w:lineRule="auto"/>
        <w:jc w:val="both"/>
        <w:rPr>
          <w:rFonts w:ascii="Verdana" w:hAnsi="Verdana" w:cs="Arial"/>
        </w:rPr>
      </w:pPr>
    </w:p>
    <w:p w14:paraId="5843ED70" w14:textId="77777777" w:rsidR="00E63B66" w:rsidRPr="00143822" w:rsidRDefault="00E63B66" w:rsidP="00E63B66">
      <w:pPr>
        <w:widowControl w:val="0"/>
        <w:autoSpaceDE w:val="0"/>
        <w:autoSpaceDN w:val="0"/>
        <w:spacing w:after="0" w:line="276" w:lineRule="auto"/>
        <w:jc w:val="both"/>
        <w:rPr>
          <w:rFonts w:ascii="Verdana" w:hAnsi="Verdana" w:cs="Arial"/>
          <w:color w:val="000000" w:themeColor="text1"/>
          <w:shd w:val="clear" w:color="auto" w:fill="FFFFFF"/>
        </w:rPr>
      </w:pPr>
      <w:r w:rsidRPr="00143822">
        <w:rPr>
          <w:rFonts w:ascii="Verdana" w:hAnsi="Verdana" w:cs="Arial"/>
          <w:shd w:val="clear" w:color="auto" w:fill="FFFFFF"/>
        </w:rPr>
        <w:t xml:space="preserve">La Agencia Nacional de Contratación Pública – Colombia Compra Eficiente se ha pronunciado en varias ocasiones sobre los precios unitarios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el C-401 del 27 de septiembre de 2023, el C-942 del 10 de enero de 2025 y C-1000 del 13 de enero de 2025. </w:t>
      </w:r>
      <w:r w:rsidRPr="00143822">
        <w:rPr>
          <w:rFonts w:ascii="Verdana" w:hAnsi="Verdana" w:cs="Arial"/>
          <w:shd w:val="clear" w:color="auto" w:fill="FFFFFF"/>
          <w:lang w:val="es-ES"/>
        </w:rPr>
        <w:t>Es</w:t>
      </w:r>
      <w:r w:rsidRPr="00143822">
        <w:rPr>
          <w:rFonts w:ascii="Verdana" w:hAnsi="Verdana"/>
        </w:rPr>
        <w:t>tos y otros conceptos se encuentran disponibles para consulta en el Sistema de relatoría de la Agencia, al cual se puede acceder a través del siguiente enlace:</w:t>
      </w:r>
      <w:r w:rsidRPr="00143822">
        <w:rPr>
          <w:rFonts w:ascii="Verdana" w:hAnsi="Verdana" w:cs="Arial"/>
          <w:shd w:val="clear" w:color="auto" w:fill="FFFFFF"/>
          <w:lang w:val="es-ES"/>
        </w:rPr>
        <w:t xml:space="preserve"> </w:t>
      </w:r>
      <w:hyperlink r:id="rId13" w:history="1">
        <w:r w:rsidRPr="00143822">
          <w:rPr>
            <w:rFonts w:ascii="Verdana" w:hAnsi="Verdana" w:cs="Arial"/>
            <w:color w:val="0563C1" w:themeColor="hyperlink"/>
            <w:u w:val="single"/>
            <w:shd w:val="clear" w:color="auto" w:fill="FFFFFF"/>
            <w:lang w:val="es-ES"/>
          </w:rPr>
          <w:t>https://relatoria.colombiacompra.gov.co/busqueda/conceptos</w:t>
        </w:r>
      </w:hyperlink>
      <w:r w:rsidRPr="00143822">
        <w:rPr>
          <w:rFonts w:ascii="Verdana" w:hAnsi="Verdana" w:cs="Arial"/>
          <w:shd w:val="clear" w:color="auto" w:fill="FFFFFF"/>
          <w:lang w:val="es-ES"/>
        </w:rPr>
        <w:t>.</w:t>
      </w:r>
      <w:r w:rsidRPr="00143822">
        <w:rPr>
          <w:rFonts w:ascii="Verdana" w:hAnsi="Verdana" w:cs="Arial"/>
          <w:color w:val="FF0000"/>
          <w:shd w:val="clear" w:color="auto" w:fill="FFFFFF"/>
          <w:lang w:val="es-ES"/>
        </w:rPr>
        <w:t xml:space="preserve"> </w:t>
      </w:r>
      <w:r w:rsidRPr="00143822">
        <w:rPr>
          <w:rFonts w:ascii="Verdana" w:hAnsi="Verdana" w:cs="Arial"/>
          <w:color w:val="000000" w:themeColor="text1"/>
          <w:shd w:val="clear" w:color="auto" w:fill="FFFFFF"/>
        </w:rPr>
        <w:t>  </w:t>
      </w:r>
    </w:p>
    <w:p w14:paraId="40F8C352" w14:textId="77777777" w:rsidR="00E63B66" w:rsidRPr="00143822" w:rsidRDefault="00E63B66" w:rsidP="00E63B66">
      <w:pPr>
        <w:widowControl w:val="0"/>
        <w:autoSpaceDE w:val="0"/>
        <w:autoSpaceDN w:val="0"/>
        <w:spacing w:after="0" w:line="276" w:lineRule="auto"/>
        <w:jc w:val="both"/>
        <w:rPr>
          <w:rFonts w:ascii="Verdana" w:hAnsi="Verdana" w:cs="Arial"/>
          <w:color w:val="000000" w:themeColor="text1"/>
          <w:shd w:val="clear" w:color="auto" w:fill="FFFFFF"/>
        </w:rPr>
      </w:pPr>
    </w:p>
    <w:p w14:paraId="2269EE44" w14:textId="77777777" w:rsidR="00E63B66" w:rsidRPr="00143822" w:rsidRDefault="00E63B66" w:rsidP="00E63B66">
      <w:pPr>
        <w:shd w:val="clear" w:color="auto" w:fill="FFFFFF"/>
        <w:spacing w:after="0" w:line="276" w:lineRule="auto"/>
        <w:jc w:val="both"/>
        <w:rPr>
          <w:rFonts w:ascii="Verdana" w:hAnsi="Verdana"/>
          <w:color w:val="467886"/>
          <w:u w:val="single"/>
        </w:rPr>
      </w:pPr>
      <w:r w:rsidRPr="00143822">
        <w:rPr>
          <w:rFonts w:ascii="Verdana" w:hAnsi="Verdana"/>
          <w:color w:val="000000"/>
        </w:rPr>
        <w:t>Te informamos que ya se encuentra disponible la </w:t>
      </w:r>
      <w:r w:rsidRPr="00143822">
        <w:rPr>
          <w:rFonts w:ascii="Verdana" w:hAnsi="Verdana"/>
          <w:b/>
          <w:bCs/>
          <w:color w:val="000000"/>
        </w:rPr>
        <w:t>Guía de lineamientos de transparencia y selección objetiva para el departamento de La Guajira – Objetivo sexto constitucional de la Sentencia T-302 del 2017. </w:t>
      </w:r>
      <w:r w:rsidRPr="00143822">
        <w:rPr>
          <w:rFonts w:ascii="Verdana" w:hAnsi="Verdana"/>
          <w:color w:val="000000"/>
        </w:rPr>
        <w:t xml:space="preserve">Esta Guía </w:t>
      </w:r>
      <w:r w:rsidRPr="00143822">
        <w:rPr>
          <w:rFonts w:ascii="Verdana" w:hAnsi="Verdana"/>
          <w:color w:val="000000"/>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43822">
        <w:rPr>
          <w:rFonts w:ascii="Verdana" w:hAnsi="Verdana"/>
          <w:color w:val="000000"/>
        </w:rPr>
        <w:t>Wayúu</w:t>
      </w:r>
      <w:proofErr w:type="spellEnd"/>
      <w:r w:rsidRPr="00143822">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143822">
          <w:rPr>
            <w:rFonts w:ascii="Verdana" w:hAnsi="Verdana"/>
            <w:color w:val="0000FF"/>
            <w:u w:val="single"/>
          </w:rPr>
          <w:t>Guía de lineamientos de transparencia y selección objetiva para el departamento de La Guajira – Objetivo sexto constitucional de la Sentencia T-302 del 2017</w:t>
        </w:r>
      </w:hyperlink>
      <w:r w:rsidRPr="00143822">
        <w:rPr>
          <w:rFonts w:ascii="Verdana" w:hAnsi="Verdana"/>
          <w:color w:val="000000"/>
          <w:u w:val="single"/>
        </w:rPr>
        <w:t>.</w:t>
      </w:r>
    </w:p>
    <w:p w14:paraId="54E6797F" w14:textId="77777777" w:rsidR="00E63B66" w:rsidRPr="00143822" w:rsidRDefault="00E63B66" w:rsidP="00E63B66">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143822">
        <w:rPr>
          <w:rFonts w:ascii="Verdana" w:hAnsi="Verdana" w:cs="Arial"/>
          <w:color w:val="000000" w:themeColor="text1"/>
          <w:shd w:val="clear" w:color="auto" w:fill="FFFFFF"/>
          <w:lang w:val="es-ES_tradnl"/>
        </w:rPr>
        <w:t xml:space="preserve"> </w:t>
      </w:r>
    </w:p>
    <w:p w14:paraId="28CFF254" w14:textId="77777777" w:rsidR="00E63B66" w:rsidRPr="00143822" w:rsidRDefault="00E63B66" w:rsidP="00E63B66">
      <w:pPr>
        <w:spacing w:after="0"/>
        <w:jc w:val="both"/>
        <w:rPr>
          <w:rFonts w:ascii="Verdana" w:hAnsi="Verdana"/>
        </w:rPr>
      </w:pPr>
      <w:r w:rsidRPr="00143822">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C90374A" w14:textId="77777777" w:rsidR="00E63B66" w:rsidRPr="00143822" w:rsidRDefault="00E63B66" w:rsidP="00E63B66">
      <w:pPr>
        <w:spacing w:after="0"/>
        <w:jc w:val="both"/>
        <w:rPr>
          <w:rFonts w:ascii="Verdana" w:hAnsi="Verdana"/>
        </w:rPr>
      </w:pPr>
    </w:p>
    <w:p w14:paraId="53A5E341" w14:textId="77777777" w:rsidR="00E63B66" w:rsidRPr="00143822" w:rsidRDefault="00E63B66" w:rsidP="00E63B66">
      <w:pPr>
        <w:numPr>
          <w:ilvl w:val="0"/>
          <w:numId w:val="7"/>
        </w:numPr>
        <w:spacing w:after="0" w:line="240" w:lineRule="auto"/>
        <w:contextualSpacing/>
        <w:jc w:val="both"/>
        <w:rPr>
          <w:rFonts w:ascii="Verdana" w:eastAsia="Verdana" w:hAnsi="Verdana" w:cs="Verdana"/>
          <w:color w:val="4472C4" w:themeColor="accent1"/>
          <w:u w:val="single"/>
          <w:lang w:val="es-MX"/>
        </w:rPr>
      </w:pPr>
      <w:r w:rsidRPr="00143822">
        <w:rPr>
          <w:rFonts w:ascii="Verdana" w:eastAsia="Verdana" w:hAnsi="Verdana" w:cs="Verdana"/>
          <w:lang w:val="es-MX"/>
        </w:rPr>
        <w:t xml:space="preserve">Línea nacional gratuita o servicio a la ciudadanía (Mesa de servicio): </w:t>
      </w:r>
      <w:r w:rsidRPr="00143822">
        <w:rPr>
          <w:rFonts w:ascii="Verdana" w:hAnsi="Verdana"/>
          <w:color w:val="0000FF"/>
          <w:u w:val="single"/>
          <w:lang w:val="es-ES"/>
        </w:rPr>
        <w:t>01800 0520808</w:t>
      </w:r>
    </w:p>
    <w:p w14:paraId="1E0C187F" w14:textId="77777777" w:rsidR="00E63B66" w:rsidRPr="00143822" w:rsidRDefault="00E63B66" w:rsidP="00E63B66">
      <w:pPr>
        <w:numPr>
          <w:ilvl w:val="0"/>
          <w:numId w:val="7"/>
        </w:numPr>
        <w:spacing w:after="0" w:line="256" w:lineRule="auto"/>
        <w:contextualSpacing/>
        <w:rPr>
          <w:rFonts w:ascii="Verdana" w:eastAsia="Verdana" w:hAnsi="Verdana" w:cs="Verdana"/>
          <w:color w:val="4472C4" w:themeColor="accent1"/>
          <w:u w:val="single"/>
          <w:lang w:val="es-MX"/>
        </w:rPr>
      </w:pPr>
      <w:r w:rsidRPr="00143822">
        <w:rPr>
          <w:rFonts w:ascii="Verdana" w:eastAsia="Verdana" w:hAnsi="Verdana" w:cs="Verdana"/>
          <w:lang w:val="es-MX"/>
        </w:rPr>
        <w:t>Línea en Bogotá (Mesa de servicio</w:t>
      </w:r>
      <w:proofErr w:type="gramStart"/>
      <w:r w:rsidRPr="00143822">
        <w:rPr>
          <w:rFonts w:ascii="Verdana" w:eastAsia="Verdana" w:hAnsi="Verdana" w:cs="Verdana"/>
          <w:lang w:val="es-MX"/>
        </w:rPr>
        <w:t>):</w:t>
      </w:r>
      <w:r w:rsidRPr="00143822">
        <w:rPr>
          <w:rFonts w:ascii="Verdana" w:hAnsi="Verdana"/>
          <w:color w:val="0000FF"/>
          <w:u w:val="single"/>
          <w:lang w:val="es-ES"/>
        </w:rPr>
        <w:t>+</w:t>
      </w:r>
      <w:proofErr w:type="gramEnd"/>
      <w:r w:rsidRPr="00143822">
        <w:rPr>
          <w:rFonts w:ascii="Verdana" w:hAnsi="Verdana"/>
          <w:color w:val="0000FF"/>
          <w:u w:val="single"/>
          <w:lang w:val="es-ES"/>
        </w:rPr>
        <w:t>57 601 7456788</w:t>
      </w:r>
    </w:p>
    <w:p w14:paraId="5114787B" w14:textId="77777777" w:rsidR="00E63B66" w:rsidRPr="00143822" w:rsidRDefault="00E63B66" w:rsidP="00E63B66">
      <w:pPr>
        <w:numPr>
          <w:ilvl w:val="0"/>
          <w:numId w:val="7"/>
        </w:numPr>
        <w:spacing w:after="0" w:line="256" w:lineRule="auto"/>
        <w:contextualSpacing/>
        <w:rPr>
          <w:rFonts w:ascii="Verdana" w:eastAsia="Verdana" w:hAnsi="Verdana" w:cs="Verdana"/>
          <w:color w:val="0000FF"/>
          <w:u w:val="single"/>
          <w:lang w:val="es-MX"/>
        </w:rPr>
      </w:pPr>
      <w:r w:rsidRPr="00143822">
        <w:rPr>
          <w:rFonts w:ascii="Verdana" w:eastAsia="Verdana" w:hAnsi="Verdana" w:cs="Verdana"/>
          <w:lang w:val="es-MX"/>
        </w:rPr>
        <w:t xml:space="preserve">Correo de radicación de correspondencia: </w:t>
      </w:r>
      <w:hyperlink r:id="rId15" w:history="1">
        <w:r w:rsidRPr="00143822">
          <w:rPr>
            <w:rFonts w:ascii="Verdana" w:eastAsia="Verdana" w:hAnsi="Verdana" w:cs="Verdana"/>
            <w:color w:val="0000FF"/>
            <w:u w:val="single"/>
            <w:lang w:val="es-MX"/>
          </w:rPr>
          <w:t>ventanilladeradicacion@colombiacompra.gov.co</w:t>
        </w:r>
      </w:hyperlink>
    </w:p>
    <w:p w14:paraId="195EF74E" w14:textId="77777777" w:rsidR="00E63B66" w:rsidRPr="00143822" w:rsidRDefault="00E63B66" w:rsidP="00E63B66">
      <w:pPr>
        <w:numPr>
          <w:ilvl w:val="0"/>
          <w:numId w:val="7"/>
        </w:numPr>
        <w:spacing w:after="0" w:line="256" w:lineRule="auto"/>
        <w:contextualSpacing/>
        <w:rPr>
          <w:rFonts w:ascii="Verdana" w:eastAsia="Verdana" w:hAnsi="Verdana" w:cs="Verdana"/>
          <w:color w:val="0000FF"/>
          <w:u w:val="single"/>
          <w:lang w:val="es-MX"/>
        </w:rPr>
      </w:pPr>
      <w:r w:rsidRPr="00143822">
        <w:rPr>
          <w:rFonts w:ascii="Verdana" w:eastAsia="Verdana" w:hAnsi="Verdana" w:cs="Verdana"/>
          <w:lang w:val="es-ES"/>
        </w:rPr>
        <w:t xml:space="preserve">Formulario web para PQRSD: </w:t>
      </w:r>
      <w:hyperlink r:id="rId16" w:history="1">
        <w:r w:rsidRPr="00143822">
          <w:rPr>
            <w:rFonts w:ascii="Verdana" w:eastAsia="Verdana" w:hAnsi="Verdana" w:cs="Verdana"/>
            <w:color w:val="0000FF"/>
            <w:u w:val="single"/>
            <w:lang w:val="es-MX"/>
          </w:rPr>
          <w:t>https://www.colombiacompra.gov.co/pqrsd/informacion-importante-antes-de-formular-una-pqrsd</w:t>
        </w:r>
      </w:hyperlink>
    </w:p>
    <w:p w14:paraId="6B421F09" w14:textId="77777777" w:rsidR="00E63B66" w:rsidRPr="00143822" w:rsidRDefault="00E63B66" w:rsidP="00E63B66">
      <w:pPr>
        <w:spacing w:after="0" w:line="240" w:lineRule="auto"/>
        <w:ind w:left="720"/>
        <w:jc w:val="both"/>
        <w:rPr>
          <w:rFonts w:ascii="Verdana" w:hAnsi="Verdana"/>
        </w:rPr>
      </w:pPr>
    </w:p>
    <w:p w14:paraId="62AD82D8" w14:textId="77777777" w:rsidR="00E63B66" w:rsidRPr="00143822" w:rsidRDefault="00E63B66" w:rsidP="00E63B66">
      <w:pPr>
        <w:spacing w:after="0" w:line="240" w:lineRule="auto"/>
        <w:rPr>
          <w:rFonts w:ascii="Verdana" w:hAnsi="Verdana"/>
        </w:rPr>
      </w:pPr>
      <w:r w:rsidRPr="00143822">
        <w:rPr>
          <w:rFonts w:ascii="Verdana" w:hAnsi="Verdana"/>
        </w:rPr>
        <w:t xml:space="preserve">Evalúa el servicio que ofrece la Agencia por el canal de atención de PQRSD en el siguiente </w:t>
      </w:r>
      <w:proofErr w:type="gramStart"/>
      <w:r w:rsidRPr="00143822">
        <w:rPr>
          <w:rFonts w:ascii="Verdana" w:hAnsi="Verdana"/>
        </w:rPr>
        <w:t>enlace :</w:t>
      </w:r>
      <w:proofErr w:type="gramEnd"/>
      <w:hyperlink r:id="rId17" w:tgtFrame="_blank" w:tooltip="https://forms.office.com/r/pphywvs2sz" w:history="1">
        <w:r w:rsidRPr="00143822">
          <w:rPr>
            <w:rFonts w:ascii="Verdana" w:hAnsi="Verdana"/>
            <w:color w:val="0000FF"/>
            <w:u w:val="single"/>
          </w:rPr>
          <w:t>https://forms.office.com/r/pPHyWVs2SZ</w:t>
        </w:r>
      </w:hyperlink>
      <w:r w:rsidRPr="00143822">
        <w:rPr>
          <w:rFonts w:ascii="Verdana" w:hAnsi="Verdana"/>
        </w:rPr>
        <w:t xml:space="preserve"> .¡Ayúdanos a mejorar porque el compromiso es de todos!</w:t>
      </w:r>
    </w:p>
    <w:p w14:paraId="35818BEF" w14:textId="77777777" w:rsidR="00E63B66" w:rsidRPr="00143822" w:rsidRDefault="00E63B66" w:rsidP="00E63B66">
      <w:pPr>
        <w:spacing w:after="0" w:line="240" w:lineRule="auto"/>
        <w:rPr>
          <w:rFonts w:ascii="Verdana" w:hAnsi="Verdana"/>
        </w:rPr>
      </w:pPr>
    </w:p>
    <w:p w14:paraId="45E22624" w14:textId="77777777" w:rsidR="00E63B66" w:rsidRPr="00143822" w:rsidRDefault="00E63B66" w:rsidP="00E63B66">
      <w:pPr>
        <w:spacing w:after="0" w:line="240" w:lineRule="auto"/>
        <w:jc w:val="both"/>
        <w:rPr>
          <w:rFonts w:ascii="Verdana" w:hAnsi="Verdana"/>
        </w:rPr>
      </w:pPr>
      <w:r w:rsidRPr="00143822">
        <w:rPr>
          <w:rFonts w:ascii="Verdana" w:hAnsi="Verdana"/>
        </w:rPr>
        <w:t xml:space="preserve">Por último, lo invitamos a seguirnos en las redes sociales en las cuales se difunde información institucional: </w:t>
      </w:r>
    </w:p>
    <w:p w14:paraId="0FDE1683" w14:textId="77777777" w:rsidR="00E63B66" w:rsidRPr="00143822" w:rsidRDefault="00E63B66" w:rsidP="00E63B66">
      <w:pPr>
        <w:spacing w:after="0" w:line="240" w:lineRule="auto"/>
        <w:jc w:val="both"/>
        <w:rPr>
          <w:rFonts w:ascii="Verdana" w:hAnsi="Verdana"/>
        </w:rPr>
      </w:pPr>
    </w:p>
    <w:p w14:paraId="5612547D" w14:textId="77777777" w:rsidR="00E63B66" w:rsidRPr="00143822" w:rsidRDefault="00E63B66" w:rsidP="00E63B66">
      <w:pPr>
        <w:spacing w:after="0" w:line="240" w:lineRule="auto"/>
        <w:jc w:val="both"/>
        <w:rPr>
          <w:rFonts w:ascii="Verdana" w:hAnsi="Verdana"/>
        </w:rPr>
      </w:pPr>
      <w:r w:rsidRPr="00143822">
        <w:rPr>
          <w:rFonts w:ascii="Verdana" w:hAnsi="Verdana"/>
        </w:rPr>
        <w:t xml:space="preserve">Twitter: </w:t>
      </w:r>
      <w:r w:rsidRPr="00143822">
        <w:rPr>
          <w:rFonts w:ascii="Verdana" w:hAnsi="Verdana"/>
          <w:color w:val="0000FF"/>
          <w:u w:val="single"/>
        </w:rPr>
        <w:t>@colombiacompra</w:t>
      </w:r>
      <w:r w:rsidRPr="00143822">
        <w:rPr>
          <w:rFonts w:ascii="Verdana" w:hAnsi="Verdana"/>
        </w:rPr>
        <w:t xml:space="preserve"> </w:t>
      </w:r>
    </w:p>
    <w:p w14:paraId="18402265" w14:textId="77777777" w:rsidR="00E63B66" w:rsidRPr="00143822" w:rsidRDefault="00E63B66" w:rsidP="00E63B66">
      <w:pPr>
        <w:spacing w:after="0" w:line="240" w:lineRule="auto"/>
        <w:jc w:val="both"/>
        <w:rPr>
          <w:rFonts w:ascii="Verdana" w:hAnsi="Verdana"/>
        </w:rPr>
      </w:pPr>
      <w:r w:rsidRPr="00143822">
        <w:rPr>
          <w:rFonts w:ascii="Verdana" w:hAnsi="Verdana"/>
        </w:rPr>
        <w:t xml:space="preserve">Facebook: </w:t>
      </w:r>
      <w:proofErr w:type="spellStart"/>
      <w:r w:rsidRPr="00143822">
        <w:rPr>
          <w:rFonts w:ascii="Verdana" w:hAnsi="Verdana"/>
          <w:color w:val="0000FF"/>
          <w:u w:val="single"/>
        </w:rPr>
        <w:t>ColombiaCompraEficiente</w:t>
      </w:r>
      <w:proofErr w:type="spellEnd"/>
    </w:p>
    <w:p w14:paraId="6F742E24" w14:textId="77777777" w:rsidR="00E63B66" w:rsidRPr="00143822" w:rsidRDefault="00E63B66" w:rsidP="00E63B66">
      <w:pPr>
        <w:spacing w:after="0" w:line="240" w:lineRule="auto"/>
        <w:jc w:val="both"/>
        <w:rPr>
          <w:rFonts w:ascii="Verdana" w:hAnsi="Verdana"/>
        </w:rPr>
      </w:pPr>
      <w:r w:rsidRPr="00143822">
        <w:rPr>
          <w:rFonts w:ascii="Verdana" w:hAnsi="Verdana"/>
        </w:rPr>
        <w:t xml:space="preserve">LinkedIn: </w:t>
      </w:r>
      <w:r w:rsidRPr="00143822">
        <w:rPr>
          <w:rFonts w:ascii="Verdana" w:hAnsi="Verdana"/>
          <w:color w:val="0000FF"/>
          <w:u w:val="single"/>
        </w:rPr>
        <w:t>Agencia Nacional de Contratación Pública - Colombia Compra Eficiente</w:t>
      </w:r>
      <w:r w:rsidRPr="00143822">
        <w:rPr>
          <w:rFonts w:ascii="Verdana" w:hAnsi="Verdana"/>
        </w:rPr>
        <w:t xml:space="preserve"> Instagram: </w:t>
      </w:r>
      <w:r w:rsidRPr="00143822">
        <w:rPr>
          <w:rFonts w:ascii="Verdana" w:hAnsi="Verdana"/>
          <w:color w:val="0000FF"/>
          <w:u w:val="single"/>
        </w:rPr>
        <w:t>@colombiacompraeficiente_cce</w:t>
      </w:r>
    </w:p>
    <w:p w14:paraId="571B16C9" w14:textId="77777777" w:rsidR="00E63B66" w:rsidRPr="00143822" w:rsidRDefault="00E63B66" w:rsidP="00E63B66">
      <w:pPr>
        <w:widowControl w:val="0"/>
        <w:autoSpaceDE w:val="0"/>
        <w:autoSpaceDN w:val="0"/>
        <w:spacing w:after="120" w:line="276" w:lineRule="auto"/>
        <w:jc w:val="both"/>
        <w:rPr>
          <w:rFonts w:ascii="Verdana" w:hAnsi="Verdana" w:cs="Arial"/>
          <w:color w:val="FF0000"/>
          <w:shd w:val="clear" w:color="auto" w:fill="FFFFFF"/>
          <w:lang w:val="es-ES_tradnl"/>
        </w:rPr>
      </w:pPr>
      <w:r w:rsidRPr="00143822">
        <w:rPr>
          <w:rFonts w:ascii="Verdana" w:hAnsi="Verdana" w:cs="Arial"/>
          <w:color w:val="FF0000"/>
          <w:shd w:val="clear" w:color="auto" w:fill="FFFFFF"/>
          <w:lang w:val="es-ES_tradnl"/>
        </w:rPr>
        <w:t xml:space="preserve">        </w:t>
      </w:r>
    </w:p>
    <w:p w14:paraId="4545F2AA" w14:textId="77777777" w:rsidR="00E63B66" w:rsidRPr="00143822" w:rsidRDefault="00E63B66" w:rsidP="00E63B66">
      <w:pPr>
        <w:widowControl w:val="0"/>
        <w:autoSpaceDE w:val="0"/>
        <w:autoSpaceDN w:val="0"/>
        <w:spacing w:after="0" w:line="276" w:lineRule="auto"/>
        <w:jc w:val="both"/>
        <w:rPr>
          <w:rFonts w:ascii="Verdana" w:hAnsi="Verdana" w:cs="Arial"/>
          <w:lang w:val="es-ES_tradnl"/>
        </w:rPr>
      </w:pPr>
      <w:r w:rsidRPr="00143822">
        <w:rPr>
          <w:rFonts w:ascii="Verdana" w:hAnsi="Verdana" w:cs="Arial"/>
        </w:rPr>
        <w:t xml:space="preserve">Este concepto tiene el alcance previsto en el artículo 28 del Código de Procedimiento Administrativo y de lo Contencioso Administrativo </w:t>
      </w:r>
      <w:r w:rsidRPr="00143822">
        <w:rPr>
          <w:rFonts w:ascii="Verdana" w:hAnsi="Verdana" w:cs="Arial"/>
          <w:lang w:val="es-ES_tradnl"/>
        </w:rPr>
        <w:t xml:space="preserve">y las </w:t>
      </w:r>
      <w:r w:rsidRPr="00143822">
        <w:rPr>
          <w:rFonts w:ascii="Verdana" w:hAnsi="Verdana" w:cs="Arial"/>
          <w:lang w:val="es-ES_tradnl"/>
        </w:rPr>
        <w:lastRenderedPageBreak/>
        <w:t>expresiones aquí utilizadas con mayúscula inicial deben ser entendidas con el significado que les otorga el artículo 2.2.1.1.1.3.1. del Decreto 1082 de 2015.</w:t>
      </w:r>
    </w:p>
    <w:p w14:paraId="277B2ED6" w14:textId="77777777" w:rsidR="00E63B66" w:rsidRPr="00143822" w:rsidRDefault="00E63B66" w:rsidP="00E63B66">
      <w:pPr>
        <w:widowControl w:val="0"/>
        <w:autoSpaceDE w:val="0"/>
        <w:autoSpaceDN w:val="0"/>
        <w:spacing w:after="0" w:line="276" w:lineRule="auto"/>
        <w:jc w:val="both"/>
        <w:rPr>
          <w:rFonts w:ascii="Verdana" w:hAnsi="Verdana" w:cs="Arial"/>
          <w:lang w:val="es-ES_tradnl"/>
        </w:rPr>
      </w:pPr>
    </w:p>
    <w:p w14:paraId="3BC0A1BB" w14:textId="77777777" w:rsidR="00E63B66" w:rsidRPr="00143822" w:rsidRDefault="00E63B66" w:rsidP="00E63B66">
      <w:pPr>
        <w:widowControl w:val="0"/>
        <w:autoSpaceDE w:val="0"/>
        <w:autoSpaceDN w:val="0"/>
        <w:spacing w:after="0" w:line="276" w:lineRule="auto"/>
        <w:jc w:val="both"/>
        <w:rPr>
          <w:rFonts w:ascii="Verdana" w:hAnsi="Verdana" w:cs="Arial"/>
          <w:lang w:val="es-ES_tradnl"/>
        </w:rPr>
      </w:pPr>
      <w:r w:rsidRPr="00143822">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809628A" w14:textId="77777777" w:rsidR="00E63B66" w:rsidRPr="00143822" w:rsidRDefault="00E63B66" w:rsidP="00E63B66">
      <w:pPr>
        <w:widowControl w:val="0"/>
        <w:autoSpaceDE w:val="0"/>
        <w:autoSpaceDN w:val="0"/>
        <w:spacing w:after="0" w:line="276" w:lineRule="auto"/>
        <w:jc w:val="both"/>
        <w:rPr>
          <w:rFonts w:ascii="Verdana" w:hAnsi="Verdana" w:cs="Arial"/>
          <w:lang w:val="es-ES_tradnl"/>
        </w:rPr>
      </w:pPr>
    </w:p>
    <w:p w14:paraId="4B163FA5" w14:textId="77777777" w:rsidR="00E63B66" w:rsidRPr="00143822" w:rsidRDefault="00E63B66" w:rsidP="00E63B66">
      <w:pPr>
        <w:spacing w:after="0" w:line="240" w:lineRule="auto"/>
        <w:rPr>
          <w:rFonts w:ascii="Verdana" w:hAnsi="Verdana" w:cs="Arial"/>
          <w:lang w:val="es-ES_tradnl" w:eastAsia="es-CO"/>
        </w:rPr>
      </w:pPr>
      <w:r w:rsidRPr="00143822">
        <w:rPr>
          <w:rFonts w:ascii="Verdana" w:eastAsia="Times New Roman" w:hAnsi="Verdana" w:cs="Arial"/>
          <w:lang w:val="es-ES" w:eastAsia="es-CO"/>
        </w:rPr>
        <w:t>Atentamente,</w:t>
      </w:r>
      <w:r w:rsidRPr="00143822">
        <w:rPr>
          <w:rFonts w:ascii="Verdana" w:hAnsi="Verdana" w:cs="Arial"/>
          <w:lang w:val="es-ES" w:eastAsia="es-CO"/>
        </w:rPr>
        <w:t xml:space="preserve"> </w:t>
      </w:r>
    </w:p>
    <w:p w14:paraId="2F946BEB" w14:textId="7BBADD48" w:rsidR="00E63B66" w:rsidRPr="00143822" w:rsidRDefault="00785221" w:rsidP="00E63B66">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4AC80DAA" wp14:editId="77C10BFF">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318444"/>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E63B66" w:rsidRPr="00143822" w14:paraId="7039C379" w14:textId="77777777" w:rsidTr="00EB2A51">
        <w:trPr>
          <w:trHeight w:val="315"/>
        </w:trPr>
        <w:tc>
          <w:tcPr>
            <w:tcW w:w="893" w:type="dxa"/>
            <w:vAlign w:val="center"/>
            <w:hideMark/>
          </w:tcPr>
          <w:p w14:paraId="6BFCDB14" w14:textId="77777777" w:rsidR="00E63B66" w:rsidRPr="00143822" w:rsidRDefault="00E63B66" w:rsidP="00EB2A51">
            <w:pPr>
              <w:spacing w:after="255" w:line="254" w:lineRule="auto"/>
              <w:contextualSpacing/>
              <w:rPr>
                <w:rFonts w:ascii="Verdana" w:eastAsia="Calibri" w:hAnsi="Verdana"/>
                <w:sz w:val="16"/>
                <w:szCs w:val="16"/>
                <w:lang w:eastAsia="es-ES"/>
              </w:rPr>
            </w:pPr>
            <w:r w:rsidRPr="00143822">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E6D7DC2" w14:textId="77777777" w:rsidR="00E63B66" w:rsidRPr="00143822" w:rsidRDefault="00E63B66" w:rsidP="00EB2A51">
            <w:pPr>
              <w:spacing w:after="255" w:line="254" w:lineRule="auto"/>
              <w:contextualSpacing/>
              <w:rPr>
                <w:rFonts w:ascii="Verdana" w:eastAsia="Calibri" w:hAnsi="Verdana" w:cs="Times New Roman"/>
                <w:sz w:val="16"/>
                <w:szCs w:val="16"/>
              </w:rPr>
            </w:pPr>
            <w:r w:rsidRPr="00143822">
              <w:rPr>
                <w:rFonts w:ascii="Verdana" w:eastAsia="Calibri" w:hAnsi="Verdana" w:cs="Times New Roman"/>
                <w:sz w:val="16"/>
                <w:szCs w:val="16"/>
              </w:rPr>
              <w:t>Tatiana Baquero Iguarán</w:t>
            </w:r>
          </w:p>
          <w:p w14:paraId="297E601B" w14:textId="77777777" w:rsidR="00E63B66" w:rsidRPr="00143822" w:rsidRDefault="00E63B66" w:rsidP="00EB2A51">
            <w:pPr>
              <w:spacing w:after="255" w:line="254" w:lineRule="auto"/>
              <w:contextualSpacing/>
              <w:rPr>
                <w:rFonts w:ascii="Verdana" w:hAnsi="Verdana"/>
                <w:sz w:val="16"/>
                <w:szCs w:val="16"/>
              </w:rPr>
            </w:pPr>
            <w:r w:rsidRPr="00143822">
              <w:rPr>
                <w:rFonts w:ascii="Verdana" w:eastAsia="Calibri" w:hAnsi="Verdana" w:cs="Times New Roman"/>
                <w:sz w:val="16"/>
                <w:szCs w:val="16"/>
              </w:rPr>
              <w:t>Contratista de la Subdirección de Gestión Contractual</w:t>
            </w:r>
          </w:p>
        </w:tc>
      </w:tr>
      <w:tr w:rsidR="00E63B66" w:rsidRPr="00143822" w14:paraId="43D55948" w14:textId="77777777" w:rsidTr="00EB2A51">
        <w:trPr>
          <w:trHeight w:val="330"/>
        </w:trPr>
        <w:tc>
          <w:tcPr>
            <w:tcW w:w="893" w:type="dxa"/>
            <w:vAlign w:val="center"/>
            <w:hideMark/>
          </w:tcPr>
          <w:p w14:paraId="730CE6B9" w14:textId="77777777" w:rsidR="00E63B66" w:rsidRPr="00143822" w:rsidRDefault="00E63B66" w:rsidP="00EB2A51">
            <w:pPr>
              <w:spacing w:after="255" w:line="254" w:lineRule="auto"/>
              <w:contextualSpacing/>
              <w:rPr>
                <w:rFonts w:ascii="Verdana" w:eastAsia="Calibri" w:hAnsi="Verdana"/>
                <w:sz w:val="16"/>
                <w:szCs w:val="16"/>
                <w:lang w:eastAsia="es-ES"/>
              </w:rPr>
            </w:pPr>
            <w:r w:rsidRPr="00143822">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0FC4B74" w14:textId="77777777" w:rsidR="00E63B66" w:rsidRPr="00143822" w:rsidRDefault="00E63B66" w:rsidP="00EB2A51">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143822">
              <w:rPr>
                <w:rFonts w:ascii="Verdana" w:eastAsia="Times New Roman" w:hAnsi="Verdana"/>
                <w:sz w:val="16"/>
                <w:szCs w:val="16"/>
                <w:lang w:eastAsia="es-ES_tradnl"/>
              </w:rPr>
              <w:t>Alejandro Sarmiento Cantillo</w:t>
            </w:r>
          </w:p>
          <w:p w14:paraId="79E791E8" w14:textId="77777777" w:rsidR="00E63B66" w:rsidRPr="00143822" w:rsidRDefault="00E63B66" w:rsidP="00EB2A51">
            <w:pPr>
              <w:spacing w:after="255" w:line="254" w:lineRule="auto"/>
              <w:contextualSpacing/>
              <w:textAlignment w:val="baseline"/>
              <w:rPr>
                <w:rFonts w:ascii="Verdana" w:eastAsia="Times New Roman" w:hAnsi="Verdana" w:cs="Segoe UI"/>
                <w:sz w:val="16"/>
                <w:szCs w:val="16"/>
                <w:lang w:eastAsia="es-ES_tradnl"/>
              </w:rPr>
            </w:pPr>
            <w:r w:rsidRPr="00143822">
              <w:rPr>
                <w:rFonts w:ascii="Verdana" w:eastAsia="Times New Roman" w:hAnsi="Verdana"/>
                <w:sz w:val="16"/>
                <w:szCs w:val="16"/>
                <w:lang w:eastAsia="es-ES_tradnl"/>
              </w:rPr>
              <w:t>Gestor T1 ‒ 15 de la Subdirección de Gestión Contractual </w:t>
            </w:r>
          </w:p>
        </w:tc>
      </w:tr>
      <w:tr w:rsidR="00E63B66" w:rsidRPr="00143822" w14:paraId="12D4DC7E" w14:textId="77777777" w:rsidTr="00EB2A51">
        <w:trPr>
          <w:trHeight w:val="300"/>
        </w:trPr>
        <w:tc>
          <w:tcPr>
            <w:tcW w:w="893" w:type="dxa"/>
            <w:vAlign w:val="center"/>
            <w:hideMark/>
          </w:tcPr>
          <w:p w14:paraId="6ACEFD7D" w14:textId="77777777" w:rsidR="00E63B66" w:rsidRPr="00143822" w:rsidRDefault="00E63B66" w:rsidP="00EB2A51">
            <w:pPr>
              <w:spacing w:after="255" w:line="254" w:lineRule="auto"/>
              <w:contextualSpacing/>
              <w:rPr>
                <w:rFonts w:ascii="Verdana" w:eastAsia="Calibri" w:hAnsi="Verdana"/>
                <w:sz w:val="16"/>
                <w:szCs w:val="16"/>
                <w:lang w:eastAsia="es-ES"/>
              </w:rPr>
            </w:pPr>
            <w:r w:rsidRPr="00143822">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1DF988D" w14:textId="77777777" w:rsidR="00E63B66" w:rsidRPr="00143822" w:rsidRDefault="00E63B66" w:rsidP="00EB2A51">
            <w:pPr>
              <w:spacing w:after="255" w:line="254" w:lineRule="auto"/>
              <w:contextualSpacing/>
              <w:rPr>
                <w:rFonts w:ascii="Verdana" w:eastAsia="Calibri" w:hAnsi="Verdana"/>
                <w:sz w:val="16"/>
                <w:szCs w:val="16"/>
                <w:lang w:val="pt-BR" w:eastAsia="es-ES"/>
              </w:rPr>
            </w:pPr>
            <w:r w:rsidRPr="00143822">
              <w:rPr>
                <w:rFonts w:ascii="Verdana" w:eastAsia="Calibri" w:hAnsi="Verdana"/>
                <w:sz w:val="16"/>
                <w:szCs w:val="16"/>
                <w:lang w:val="pt-BR" w:eastAsia="es-ES"/>
              </w:rPr>
              <w:t xml:space="preserve">Carolina Quintero </w:t>
            </w:r>
            <w:proofErr w:type="spellStart"/>
            <w:r w:rsidRPr="00143822">
              <w:rPr>
                <w:rFonts w:ascii="Verdana" w:eastAsia="Calibri" w:hAnsi="Verdana"/>
                <w:sz w:val="16"/>
                <w:szCs w:val="16"/>
                <w:lang w:val="pt-BR" w:eastAsia="es-ES"/>
              </w:rPr>
              <w:t>Gacharná</w:t>
            </w:r>
            <w:proofErr w:type="spellEnd"/>
          </w:p>
          <w:p w14:paraId="19EC21AE" w14:textId="77777777" w:rsidR="00E63B66" w:rsidRPr="00143822" w:rsidRDefault="00E63B66" w:rsidP="00EB2A51">
            <w:pPr>
              <w:spacing w:after="255" w:line="254" w:lineRule="auto"/>
              <w:contextualSpacing/>
              <w:rPr>
                <w:rFonts w:ascii="Verdana" w:eastAsia="Calibri" w:hAnsi="Verdana"/>
                <w:sz w:val="16"/>
                <w:szCs w:val="16"/>
                <w:lang w:val="pt-BR" w:eastAsia="es-ES"/>
              </w:rPr>
            </w:pPr>
            <w:r w:rsidRPr="00143822">
              <w:rPr>
                <w:rFonts w:ascii="Verdana" w:eastAsia="Calibri" w:hAnsi="Verdana"/>
                <w:sz w:val="16"/>
                <w:szCs w:val="16"/>
                <w:lang w:eastAsia="es-ES"/>
              </w:rPr>
              <w:t>Subdirectora</w:t>
            </w:r>
            <w:r w:rsidRPr="00143822">
              <w:rPr>
                <w:rFonts w:ascii="Verdana" w:eastAsia="Calibri" w:hAnsi="Verdana"/>
                <w:sz w:val="16"/>
                <w:szCs w:val="16"/>
                <w:lang w:val="pt-BR" w:eastAsia="es-ES"/>
              </w:rPr>
              <w:t xml:space="preserve"> de Gestión Contratual ANCP – CCE</w:t>
            </w:r>
          </w:p>
        </w:tc>
      </w:tr>
    </w:tbl>
    <w:p w14:paraId="0B1B7DCE" w14:textId="77777777" w:rsidR="00E63B66" w:rsidRPr="00143822" w:rsidRDefault="00E63B66" w:rsidP="00E63B66">
      <w:pPr>
        <w:spacing w:after="0" w:line="240" w:lineRule="auto"/>
        <w:rPr>
          <w:rFonts w:ascii="Verdana" w:eastAsia="Times New Roman" w:hAnsi="Verdana" w:cs="Arial"/>
          <w:sz w:val="24"/>
          <w:szCs w:val="24"/>
          <w:lang w:eastAsia="es-ES"/>
        </w:rPr>
      </w:pPr>
    </w:p>
    <w:p w14:paraId="38B60BDF" w14:textId="77777777" w:rsidR="00E63B66" w:rsidRPr="00143822" w:rsidRDefault="00E63B66" w:rsidP="00E63B66"/>
    <w:p w14:paraId="3AF24127" w14:textId="77777777" w:rsidR="00E63B66" w:rsidRPr="00143822" w:rsidRDefault="00E63B66" w:rsidP="00E63B66">
      <w:pPr>
        <w:spacing w:after="0" w:line="240" w:lineRule="auto"/>
        <w:rPr>
          <w:rFonts w:ascii="Verdana" w:eastAsia="Calibri" w:hAnsi="Verdana" w:cs="Arial"/>
          <w:b/>
          <w:bCs/>
          <w:lang w:val="es-ES" w:eastAsia="es-ES"/>
        </w:rPr>
      </w:pPr>
    </w:p>
    <w:p w14:paraId="7ABA5885" w14:textId="77777777" w:rsidR="00E63B66" w:rsidRPr="00143822" w:rsidRDefault="00E63B66" w:rsidP="00E63B66"/>
    <w:p w14:paraId="59E2E0F9" w14:textId="77777777" w:rsidR="00E63B66" w:rsidRPr="00143822" w:rsidRDefault="00E63B66" w:rsidP="00E63B66">
      <w:pPr>
        <w:spacing w:after="0"/>
        <w:rPr>
          <w:rFonts w:ascii="Verdana" w:eastAsia="Times New Roman" w:hAnsi="Verdana" w:cs="Segoe UI"/>
          <w:lang w:val="es-ES" w:eastAsia="es-CO"/>
        </w:rPr>
      </w:pPr>
    </w:p>
    <w:p w14:paraId="6FDD97A1" w14:textId="77777777" w:rsidR="00E63B66" w:rsidRPr="00143822" w:rsidRDefault="00E63B66" w:rsidP="00E63B66"/>
    <w:p w14:paraId="230F0043" w14:textId="77777777" w:rsidR="00E63B66" w:rsidRPr="00143822" w:rsidRDefault="00E63B66" w:rsidP="00E63B66">
      <w:pPr>
        <w:spacing w:after="0" w:line="240" w:lineRule="auto"/>
        <w:rPr>
          <w:rFonts w:ascii="Verdana" w:eastAsia="Geomanist Light" w:hAnsi="Verdana" w:cs="Arial"/>
          <w:color w:val="201F1E"/>
          <w:lang w:val="es-MX"/>
        </w:rPr>
      </w:pPr>
    </w:p>
    <w:p w14:paraId="1189DF16" w14:textId="77777777" w:rsidR="00E63B66" w:rsidRPr="00143822" w:rsidRDefault="00E63B66" w:rsidP="00E63B66"/>
    <w:bookmarkEnd w:id="0"/>
    <w:p w14:paraId="75BCC68A" w14:textId="77777777" w:rsidR="00E0495B" w:rsidRDefault="00E0495B" w:rsidP="00CE37A3">
      <w:pPr>
        <w:spacing w:after="0" w:line="240" w:lineRule="auto"/>
        <w:rPr>
          <w:rFonts w:ascii="Verdana" w:eastAsia="Geomanist Light" w:hAnsi="Verdana" w:cs="Arial"/>
          <w:color w:val="000000" w:themeColor="text1"/>
          <w:lang w:val="es-MX"/>
        </w:rPr>
      </w:pPr>
    </w:p>
    <w:sectPr w:rsidR="00E0495B"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C92E5" w14:textId="77777777" w:rsidR="006059E8" w:rsidRDefault="006059E8" w:rsidP="00B30448">
      <w:pPr>
        <w:spacing w:after="0" w:line="240" w:lineRule="auto"/>
      </w:pPr>
      <w:r>
        <w:separator/>
      </w:r>
    </w:p>
  </w:endnote>
  <w:endnote w:type="continuationSeparator" w:id="0">
    <w:p w14:paraId="65C4469C" w14:textId="77777777" w:rsidR="006059E8" w:rsidRDefault="006059E8" w:rsidP="00B30448">
      <w:pPr>
        <w:spacing w:after="0" w:line="240" w:lineRule="auto"/>
      </w:pPr>
      <w:r>
        <w:continuationSeparator/>
      </w:r>
    </w:p>
  </w:endnote>
  <w:endnote w:type="continuationNotice" w:id="1">
    <w:p w14:paraId="658E0322" w14:textId="77777777" w:rsidR="006059E8" w:rsidRDefault="006059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5389F" w14:textId="77777777" w:rsidR="006059E8" w:rsidRDefault="006059E8" w:rsidP="00B30448">
      <w:pPr>
        <w:spacing w:after="0" w:line="240" w:lineRule="auto"/>
      </w:pPr>
      <w:r>
        <w:separator/>
      </w:r>
    </w:p>
  </w:footnote>
  <w:footnote w:type="continuationSeparator" w:id="0">
    <w:p w14:paraId="0A68037C" w14:textId="77777777" w:rsidR="006059E8" w:rsidRDefault="006059E8" w:rsidP="00B30448">
      <w:pPr>
        <w:spacing w:after="0" w:line="240" w:lineRule="auto"/>
      </w:pPr>
      <w:r>
        <w:continuationSeparator/>
      </w:r>
    </w:p>
  </w:footnote>
  <w:footnote w:type="continuationNotice" w:id="1">
    <w:p w14:paraId="4AF021CB" w14:textId="77777777" w:rsidR="006059E8" w:rsidRDefault="006059E8">
      <w:pPr>
        <w:spacing w:after="0" w:line="240" w:lineRule="auto"/>
      </w:pPr>
    </w:p>
  </w:footnote>
  <w:footnote w:id="2">
    <w:p w14:paraId="41C752C9" w14:textId="77777777" w:rsidR="00E63B66" w:rsidRPr="000959A8" w:rsidRDefault="00E63B66" w:rsidP="00E63B66">
      <w:pPr>
        <w:pStyle w:val="Textonotapie"/>
        <w:ind w:firstLine="709"/>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16BFC509" w14:textId="77777777" w:rsidR="00E63B66" w:rsidRPr="000959A8" w:rsidRDefault="00E63B66" w:rsidP="00E63B66">
      <w:pPr>
        <w:pStyle w:val="Textonotapie"/>
        <w:ind w:firstLine="709"/>
        <w:jc w:val="both"/>
        <w:rPr>
          <w:rFonts w:ascii="Verdana" w:hAnsi="Verdana" w:cs="Arial"/>
          <w:sz w:val="16"/>
          <w:szCs w:val="16"/>
          <w:lang w:val="es-ES"/>
        </w:rPr>
      </w:pPr>
      <w:r w:rsidRPr="000959A8">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55F69FD8" w14:textId="77777777" w:rsidR="00E63B66" w:rsidRPr="000959A8" w:rsidRDefault="00E63B66" w:rsidP="00E63B66">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 xml:space="preserve">CONSEJO DE ESTADO. Sección Tercera. Subsección B. Sentencia del 29 de febrero de 2012. </w:t>
      </w:r>
      <w:r w:rsidRPr="000959A8">
        <w:rPr>
          <w:rFonts w:ascii="Verdana" w:eastAsia="Calibri" w:hAnsi="Verdana" w:cs="Arial"/>
          <w:sz w:val="16"/>
          <w:szCs w:val="16"/>
          <w:lang w:val="es-ES_tradnl" w:eastAsia="es-ES_tradnl"/>
        </w:rPr>
        <w:t>Exp. 16371, C.P. Danilo Rojas Betancourth.</w:t>
      </w:r>
    </w:p>
  </w:footnote>
  <w:footnote w:id="4">
    <w:p w14:paraId="715EF66F" w14:textId="77777777" w:rsidR="00E63B66" w:rsidRPr="000959A8" w:rsidRDefault="00E63B66" w:rsidP="00E63B66">
      <w:pPr>
        <w:pStyle w:val="Textonotapie"/>
        <w:ind w:firstLine="709"/>
        <w:jc w:val="both"/>
        <w:rPr>
          <w:rFonts w:ascii="Verdana" w:hAnsi="Verdana" w:cs="Arial"/>
          <w:sz w:val="16"/>
          <w:szCs w:val="16"/>
          <w:lang w:val="es-CO"/>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5">
    <w:p w14:paraId="6320FFC7" w14:textId="77777777" w:rsidR="00E63B66" w:rsidRPr="000959A8" w:rsidRDefault="00E63B66" w:rsidP="00E63B66">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 xml:space="preserve">CONSEJO DE ESTADO. Sección Tercera. Subsección B. Sentencia del 14 de octubre de 2011. </w:t>
      </w:r>
      <w:r w:rsidRPr="000959A8">
        <w:rPr>
          <w:rFonts w:ascii="Verdana" w:eastAsia="Calibri" w:hAnsi="Verdana" w:cs="Arial"/>
          <w:sz w:val="16"/>
          <w:szCs w:val="16"/>
          <w:lang w:val="es-ES_tradnl" w:eastAsia="es-ES_tradnl"/>
        </w:rPr>
        <w:t>Exp. 20811, C.P. Ruth Stella Correa Palacio.</w:t>
      </w:r>
    </w:p>
  </w:footnote>
  <w:footnote w:id="6">
    <w:p w14:paraId="04014E16" w14:textId="77777777" w:rsidR="00E63B66" w:rsidRPr="000959A8" w:rsidRDefault="00E63B66" w:rsidP="00E63B66">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7">
    <w:p w14:paraId="411D5ED6" w14:textId="77777777" w:rsidR="00E63B66" w:rsidRPr="000959A8" w:rsidRDefault="00E63B66" w:rsidP="00E63B66">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8">
    <w:p w14:paraId="1ECBFE1A" w14:textId="77777777" w:rsidR="00E63B66" w:rsidRPr="000959A8" w:rsidRDefault="00E63B66" w:rsidP="00E63B66">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0959A8">
        <w:rPr>
          <w:rFonts w:ascii="Verdana" w:hAnsi="Verdana" w:cs="Arial"/>
          <w:sz w:val="16"/>
          <w:szCs w:val="16"/>
        </w:rPr>
        <w:t xml:space="preserve"> </w:t>
      </w:r>
    </w:p>
  </w:footnote>
  <w:footnote w:id="9">
    <w:p w14:paraId="12DFF46E" w14:textId="77777777" w:rsidR="00E63B66" w:rsidRPr="000959A8" w:rsidRDefault="00E63B66" w:rsidP="00E63B66">
      <w:pPr>
        <w:pStyle w:val="Textonotapie"/>
        <w:ind w:firstLine="709"/>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 xml:space="preserve">MARÍN, </w:t>
      </w:r>
      <w:r w:rsidRPr="000959A8">
        <w:rPr>
          <w:rFonts w:ascii="Verdana" w:eastAsia="Calibri" w:hAnsi="Verdana" w:cs="Arial"/>
          <w:sz w:val="16"/>
          <w:szCs w:val="16"/>
          <w:lang w:val="es-ES_tradnl" w:eastAsia="es-ES_tradnl"/>
        </w:rPr>
        <w:t>Op. Cit., pp. 64-65.</w:t>
      </w:r>
    </w:p>
  </w:footnote>
  <w:footnote w:id="10">
    <w:p w14:paraId="34B0D04A" w14:textId="77777777" w:rsidR="00E63B66" w:rsidRPr="000959A8" w:rsidRDefault="00E63B66" w:rsidP="00E63B66">
      <w:pPr>
        <w:pStyle w:val="Textonotapie"/>
        <w:ind w:firstLine="709"/>
        <w:jc w:val="both"/>
        <w:rPr>
          <w:rFonts w:ascii="Verdana" w:hAnsi="Verdana" w:cs="Arial"/>
          <w:sz w:val="16"/>
          <w:szCs w:val="16"/>
          <w:lang w:val="es-ES"/>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Ibíd., p. 66.</w:t>
      </w:r>
    </w:p>
  </w:footnote>
  <w:footnote w:id="11">
    <w:p w14:paraId="7E3386CA" w14:textId="77777777" w:rsidR="00E63B66" w:rsidRPr="000959A8" w:rsidRDefault="00E63B66" w:rsidP="00E63B66">
      <w:pPr>
        <w:pStyle w:val="Textonotapie"/>
        <w:ind w:firstLine="708"/>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w:t>
      </w:r>
      <w:r w:rsidRPr="000959A8">
        <w:rPr>
          <w:rFonts w:ascii="Verdana" w:eastAsia="Calibri" w:hAnsi="Verdana" w:cs="Arial"/>
          <w:sz w:val="16"/>
          <w:szCs w:val="16"/>
          <w:lang w:val="es-ES_tradnl" w:eastAsia="es-ES_tradnl"/>
        </w:rPr>
        <w:t>Ibíd, p. 76)</w:t>
      </w:r>
    </w:p>
  </w:footnote>
  <w:footnote w:id="12">
    <w:p w14:paraId="19C6E068" w14:textId="77777777" w:rsidR="00E63B66" w:rsidRPr="000959A8" w:rsidRDefault="00E63B66" w:rsidP="00E63B66">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13">
    <w:p w14:paraId="7D9BB458" w14:textId="77777777" w:rsidR="00E63B66" w:rsidRPr="00045A51" w:rsidRDefault="00E63B66" w:rsidP="00E63B66">
      <w:pPr>
        <w:pStyle w:val="Textonotapie"/>
        <w:ind w:firstLine="709"/>
        <w:jc w:val="both"/>
        <w:rPr>
          <w:lang w:val="es-CO"/>
        </w:rPr>
      </w:pPr>
      <w:r>
        <w:rPr>
          <w:rStyle w:val="Refdenotaalpie"/>
        </w:rPr>
        <w:footnoteRef/>
      </w:r>
      <w:r>
        <w:t xml:space="preserve"> </w:t>
      </w:r>
      <w:r w:rsidRPr="00045A51">
        <w:rPr>
          <w:rFonts w:ascii="Verdana" w:hAnsi="Verdana" w:cs="Arial"/>
          <w:sz w:val="16"/>
          <w:szCs w:val="16"/>
          <w:lang w:val="es-ES_tradnl"/>
        </w:rPr>
        <w:t>Consejo de Estado. Sala de Consulta y Servicio Civil. Concepto del 5 de septiembre de 2018, radicado No. 11001-03-06-000-2018-00124-00, C.P. Édgar González López</w:t>
      </w:r>
    </w:p>
  </w:footnote>
  <w:footnote w:id="14">
    <w:p w14:paraId="59628782" w14:textId="77777777" w:rsidR="00E63B66" w:rsidRPr="00045A51" w:rsidRDefault="00E63B66" w:rsidP="00E63B66">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Ibíd, p. 77.</w:t>
      </w:r>
      <w:r w:rsidRPr="00045A51">
        <w:rPr>
          <w:rFonts w:ascii="Verdana" w:hAnsi="Verdana" w:cs="Arial"/>
          <w:sz w:val="16"/>
          <w:szCs w:val="16"/>
        </w:rPr>
        <w:t xml:space="preserve"> </w:t>
      </w:r>
    </w:p>
    <w:p w14:paraId="33F563AA" w14:textId="77777777" w:rsidR="00E63B66" w:rsidRPr="00045A51" w:rsidRDefault="00E63B66" w:rsidP="00E63B66">
      <w:pPr>
        <w:pStyle w:val="Textonotapie"/>
        <w:ind w:firstLine="708"/>
        <w:jc w:val="both"/>
        <w:rPr>
          <w:rFonts w:ascii="Verdana" w:hAnsi="Verdana" w:cs="Arial"/>
          <w:sz w:val="16"/>
          <w:szCs w:val="16"/>
          <w:lang w:val="es-CO"/>
        </w:rPr>
      </w:pPr>
    </w:p>
  </w:footnote>
  <w:footnote w:id="15">
    <w:p w14:paraId="67FD37A3" w14:textId="77777777" w:rsidR="00E63B66" w:rsidRPr="00143AF3" w:rsidRDefault="00E63B66" w:rsidP="00E63B66">
      <w:pPr>
        <w:pStyle w:val="Textonotapie"/>
        <w:ind w:firstLine="709"/>
        <w:rPr>
          <w:lang w:val="es-CO"/>
        </w:rPr>
      </w:pPr>
      <w:r>
        <w:rPr>
          <w:rStyle w:val="Refdenotaalpie"/>
        </w:rPr>
        <w:footnoteRef/>
      </w:r>
      <w:r>
        <w:t xml:space="preserve"> </w:t>
      </w:r>
      <w:r w:rsidRPr="00045A51">
        <w:rPr>
          <w:rFonts w:ascii="Verdana" w:eastAsia="Calibri" w:hAnsi="Verdana" w:cs="Arial"/>
          <w:sz w:val="16"/>
          <w:szCs w:val="16"/>
          <w:lang w:val="es-ES_tradnl" w:eastAsia="es-ES_tradnl"/>
        </w:rPr>
        <w:t>Ibíd, p. 77.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12C53827"/>
    <w:multiLevelType w:val="hybridMultilevel"/>
    <w:tmpl w:val="3406473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6"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3"/>
  </w:num>
  <w:num w:numId="3" w16cid:durableId="679089576">
    <w:abstractNumId w:val="4"/>
  </w:num>
  <w:num w:numId="4" w16cid:durableId="893472101">
    <w:abstractNumId w:val="2"/>
  </w:num>
  <w:num w:numId="5" w16cid:durableId="1982299905">
    <w:abstractNumId w:val="6"/>
  </w:num>
  <w:num w:numId="6" w16cid:durableId="257299160">
    <w:abstractNumId w:val="1"/>
  </w:num>
  <w:num w:numId="7" w16cid:durableId="12109926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2D55"/>
    <w:rsid w:val="000059AE"/>
    <w:rsid w:val="00005BB0"/>
    <w:rsid w:val="000063D8"/>
    <w:rsid w:val="00006F59"/>
    <w:rsid w:val="0001025F"/>
    <w:rsid w:val="0001155E"/>
    <w:rsid w:val="00011613"/>
    <w:rsid w:val="0001222D"/>
    <w:rsid w:val="00013B3F"/>
    <w:rsid w:val="00016280"/>
    <w:rsid w:val="00016F04"/>
    <w:rsid w:val="000219D1"/>
    <w:rsid w:val="00021C3A"/>
    <w:rsid w:val="0002202D"/>
    <w:rsid w:val="000259B9"/>
    <w:rsid w:val="000267DD"/>
    <w:rsid w:val="00030B3D"/>
    <w:rsid w:val="00030BFB"/>
    <w:rsid w:val="00031EAF"/>
    <w:rsid w:val="00032AC6"/>
    <w:rsid w:val="00033390"/>
    <w:rsid w:val="000361EA"/>
    <w:rsid w:val="000369C0"/>
    <w:rsid w:val="0003791D"/>
    <w:rsid w:val="00037A8B"/>
    <w:rsid w:val="000408AD"/>
    <w:rsid w:val="00041469"/>
    <w:rsid w:val="00042AEF"/>
    <w:rsid w:val="00042DD7"/>
    <w:rsid w:val="000442CC"/>
    <w:rsid w:val="00044B24"/>
    <w:rsid w:val="00050C95"/>
    <w:rsid w:val="00050CAD"/>
    <w:rsid w:val="000526A8"/>
    <w:rsid w:val="0005420B"/>
    <w:rsid w:val="0005620B"/>
    <w:rsid w:val="00057392"/>
    <w:rsid w:val="000577D3"/>
    <w:rsid w:val="00057963"/>
    <w:rsid w:val="000579AB"/>
    <w:rsid w:val="000622B9"/>
    <w:rsid w:val="00064721"/>
    <w:rsid w:val="00065C6D"/>
    <w:rsid w:val="00066646"/>
    <w:rsid w:val="00066C7A"/>
    <w:rsid w:val="00067B54"/>
    <w:rsid w:val="000716AB"/>
    <w:rsid w:val="00071AB8"/>
    <w:rsid w:val="0007243A"/>
    <w:rsid w:val="00075AA9"/>
    <w:rsid w:val="000762C0"/>
    <w:rsid w:val="00076C2B"/>
    <w:rsid w:val="00076F81"/>
    <w:rsid w:val="00077DCF"/>
    <w:rsid w:val="000823EB"/>
    <w:rsid w:val="00087073"/>
    <w:rsid w:val="000878E7"/>
    <w:rsid w:val="00087C01"/>
    <w:rsid w:val="000903E4"/>
    <w:rsid w:val="00091D73"/>
    <w:rsid w:val="000933BC"/>
    <w:rsid w:val="00093544"/>
    <w:rsid w:val="00094663"/>
    <w:rsid w:val="00095410"/>
    <w:rsid w:val="00096637"/>
    <w:rsid w:val="000A1F38"/>
    <w:rsid w:val="000A2030"/>
    <w:rsid w:val="000A2A44"/>
    <w:rsid w:val="000A33AC"/>
    <w:rsid w:val="000A413A"/>
    <w:rsid w:val="000B159D"/>
    <w:rsid w:val="000B1FF7"/>
    <w:rsid w:val="000B2033"/>
    <w:rsid w:val="000B2529"/>
    <w:rsid w:val="000B2B7C"/>
    <w:rsid w:val="000B381D"/>
    <w:rsid w:val="000B4024"/>
    <w:rsid w:val="000C02AD"/>
    <w:rsid w:val="000C060A"/>
    <w:rsid w:val="000C09DF"/>
    <w:rsid w:val="000C0AA8"/>
    <w:rsid w:val="000C42A9"/>
    <w:rsid w:val="000C557B"/>
    <w:rsid w:val="000C5F29"/>
    <w:rsid w:val="000D0372"/>
    <w:rsid w:val="000D2914"/>
    <w:rsid w:val="000D3A1B"/>
    <w:rsid w:val="000D570C"/>
    <w:rsid w:val="000D5A0F"/>
    <w:rsid w:val="000D5B1E"/>
    <w:rsid w:val="000D5E3F"/>
    <w:rsid w:val="000D6532"/>
    <w:rsid w:val="000E0622"/>
    <w:rsid w:val="000E1D6F"/>
    <w:rsid w:val="000E3381"/>
    <w:rsid w:val="000E3744"/>
    <w:rsid w:val="000E3CD9"/>
    <w:rsid w:val="000F0144"/>
    <w:rsid w:val="000F0807"/>
    <w:rsid w:val="000F1AD8"/>
    <w:rsid w:val="000F2F4C"/>
    <w:rsid w:val="000F38D9"/>
    <w:rsid w:val="000F414C"/>
    <w:rsid w:val="000F64FC"/>
    <w:rsid w:val="000F65E4"/>
    <w:rsid w:val="000F718E"/>
    <w:rsid w:val="000F7F0C"/>
    <w:rsid w:val="00100207"/>
    <w:rsid w:val="001010D3"/>
    <w:rsid w:val="001014D3"/>
    <w:rsid w:val="00101C11"/>
    <w:rsid w:val="00102F4F"/>
    <w:rsid w:val="001034DD"/>
    <w:rsid w:val="00105CDC"/>
    <w:rsid w:val="00107EB7"/>
    <w:rsid w:val="0011037E"/>
    <w:rsid w:val="00110F73"/>
    <w:rsid w:val="00111E35"/>
    <w:rsid w:val="001128B4"/>
    <w:rsid w:val="00112EBD"/>
    <w:rsid w:val="001132C2"/>
    <w:rsid w:val="00113AF2"/>
    <w:rsid w:val="00116616"/>
    <w:rsid w:val="00116FC5"/>
    <w:rsid w:val="00117BBD"/>
    <w:rsid w:val="00121E65"/>
    <w:rsid w:val="001248AB"/>
    <w:rsid w:val="00124B2E"/>
    <w:rsid w:val="00125D81"/>
    <w:rsid w:val="0012661F"/>
    <w:rsid w:val="001269B0"/>
    <w:rsid w:val="00127D5B"/>
    <w:rsid w:val="00131A1F"/>
    <w:rsid w:val="00131A66"/>
    <w:rsid w:val="0013343F"/>
    <w:rsid w:val="001344F9"/>
    <w:rsid w:val="00135F76"/>
    <w:rsid w:val="001363C7"/>
    <w:rsid w:val="00136E87"/>
    <w:rsid w:val="00140793"/>
    <w:rsid w:val="00141FE7"/>
    <w:rsid w:val="001422BD"/>
    <w:rsid w:val="0014286D"/>
    <w:rsid w:val="00143B8E"/>
    <w:rsid w:val="00143F21"/>
    <w:rsid w:val="0014420C"/>
    <w:rsid w:val="001446C3"/>
    <w:rsid w:val="00151465"/>
    <w:rsid w:val="00151AD8"/>
    <w:rsid w:val="00153287"/>
    <w:rsid w:val="00153C33"/>
    <w:rsid w:val="00155EF1"/>
    <w:rsid w:val="00156192"/>
    <w:rsid w:val="00156E57"/>
    <w:rsid w:val="0015710D"/>
    <w:rsid w:val="00157338"/>
    <w:rsid w:val="00157DEB"/>
    <w:rsid w:val="00161847"/>
    <w:rsid w:val="00161E13"/>
    <w:rsid w:val="00162804"/>
    <w:rsid w:val="00162B8D"/>
    <w:rsid w:val="00164803"/>
    <w:rsid w:val="00164AE0"/>
    <w:rsid w:val="0016646A"/>
    <w:rsid w:val="00166A96"/>
    <w:rsid w:val="00167C43"/>
    <w:rsid w:val="0017120C"/>
    <w:rsid w:val="00172C96"/>
    <w:rsid w:val="00172DDC"/>
    <w:rsid w:val="00172F3A"/>
    <w:rsid w:val="00173477"/>
    <w:rsid w:val="0017414F"/>
    <w:rsid w:val="00174636"/>
    <w:rsid w:val="00174BD8"/>
    <w:rsid w:val="00175B11"/>
    <w:rsid w:val="0017667E"/>
    <w:rsid w:val="00176AE8"/>
    <w:rsid w:val="00177E95"/>
    <w:rsid w:val="001811FC"/>
    <w:rsid w:val="00183F50"/>
    <w:rsid w:val="00186037"/>
    <w:rsid w:val="00186D14"/>
    <w:rsid w:val="001918F1"/>
    <w:rsid w:val="0019196E"/>
    <w:rsid w:val="00191FF5"/>
    <w:rsid w:val="001926D7"/>
    <w:rsid w:val="00192CCE"/>
    <w:rsid w:val="0019385B"/>
    <w:rsid w:val="00193F1C"/>
    <w:rsid w:val="00197205"/>
    <w:rsid w:val="001A2D8F"/>
    <w:rsid w:val="001A3D89"/>
    <w:rsid w:val="001A42A0"/>
    <w:rsid w:val="001A54DA"/>
    <w:rsid w:val="001A6861"/>
    <w:rsid w:val="001A6F28"/>
    <w:rsid w:val="001B143B"/>
    <w:rsid w:val="001B1777"/>
    <w:rsid w:val="001B19C5"/>
    <w:rsid w:val="001B1B6D"/>
    <w:rsid w:val="001B1C93"/>
    <w:rsid w:val="001B21CA"/>
    <w:rsid w:val="001B5A00"/>
    <w:rsid w:val="001B5F59"/>
    <w:rsid w:val="001B63A7"/>
    <w:rsid w:val="001C1074"/>
    <w:rsid w:val="001C144E"/>
    <w:rsid w:val="001C25F5"/>
    <w:rsid w:val="001C4249"/>
    <w:rsid w:val="001C6573"/>
    <w:rsid w:val="001C670B"/>
    <w:rsid w:val="001C7D03"/>
    <w:rsid w:val="001D0D32"/>
    <w:rsid w:val="001D17C9"/>
    <w:rsid w:val="001D1AB9"/>
    <w:rsid w:val="001D3795"/>
    <w:rsid w:val="001D4006"/>
    <w:rsid w:val="001D54BD"/>
    <w:rsid w:val="001D626E"/>
    <w:rsid w:val="001D733B"/>
    <w:rsid w:val="001E0902"/>
    <w:rsid w:val="001E1801"/>
    <w:rsid w:val="001E3A17"/>
    <w:rsid w:val="001E3FCB"/>
    <w:rsid w:val="001E52DF"/>
    <w:rsid w:val="001E6BCB"/>
    <w:rsid w:val="001E7FBC"/>
    <w:rsid w:val="001F0822"/>
    <w:rsid w:val="001F15F6"/>
    <w:rsid w:val="001F179C"/>
    <w:rsid w:val="001F2649"/>
    <w:rsid w:val="001F3496"/>
    <w:rsid w:val="001F350D"/>
    <w:rsid w:val="001F41CA"/>
    <w:rsid w:val="001F4355"/>
    <w:rsid w:val="001F61DE"/>
    <w:rsid w:val="001F6D69"/>
    <w:rsid w:val="001F6EE2"/>
    <w:rsid w:val="001F7DF7"/>
    <w:rsid w:val="002000AA"/>
    <w:rsid w:val="0020302A"/>
    <w:rsid w:val="002032A0"/>
    <w:rsid w:val="00203532"/>
    <w:rsid w:val="00204106"/>
    <w:rsid w:val="00204109"/>
    <w:rsid w:val="002059E3"/>
    <w:rsid w:val="00212390"/>
    <w:rsid w:val="00212897"/>
    <w:rsid w:val="0021386A"/>
    <w:rsid w:val="00215516"/>
    <w:rsid w:val="0021639D"/>
    <w:rsid w:val="002167D1"/>
    <w:rsid w:val="00216EFA"/>
    <w:rsid w:val="0021798E"/>
    <w:rsid w:val="0022180C"/>
    <w:rsid w:val="002225AB"/>
    <w:rsid w:val="002250D1"/>
    <w:rsid w:val="00225379"/>
    <w:rsid w:val="002257B8"/>
    <w:rsid w:val="002267D2"/>
    <w:rsid w:val="00230839"/>
    <w:rsid w:val="00232178"/>
    <w:rsid w:val="00232D12"/>
    <w:rsid w:val="002353E3"/>
    <w:rsid w:val="00235F30"/>
    <w:rsid w:val="00236287"/>
    <w:rsid w:val="002407CE"/>
    <w:rsid w:val="00243A38"/>
    <w:rsid w:val="0024474F"/>
    <w:rsid w:val="002450F2"/>
    <w:rsid w:val="00245B7F"/>
    <w:rsid w:val="002469C2"/>
    <w:rsid w:val="00247BDE"/>
    <w:rsid w:val="002514FA"/>
    <w:rsid w:val="00252503"/>
    <w:rsid w:val="00252ED7"/>
    <w:rsid w:val="00254A7A"/>
    <w:rsid w:val="00254EA4"/>
    <w:rsid w:val="0025575F"/>
    <w:rsid w:val="002571E3"/>
    <w:rsid w:val="002573E6"/>
    <w:rsid w:val="00260496"/>
    <w:rsid w:val="00260542"/>
    <w:rsid w:val="00264C7C"/>
    <w:rsid w:val="00270443"/>
    <w:rsid w:val="0027099E"/>
    <w:rsid w:val="00270EE2"/>
    <w:rsid w:val="00272826"/>
    <w:rsid w:val="00272A7B"/>
    <w:rsid w:val="00273527"/>
    <w:rsid w:val="002747EF"/>
    <w:rsid w:val="00274B06"/>
    <w:rsid w:val="00275282"/>
    <w:rsid w:val="002769AE"/>
    <w:rsid w:val="0028212E"/>
    <w:rsid w:val="002838DE"/>
    <w:rsid w:val="00285237"/>
    <w:rsid w:val="00285E3F"/>
    <w:rsid w:val="00285FDB"/>
    <w:rsid w:val="00286BFE"/>
    <w:rsid w:val="00286C81"/>
    <w:rsid w:val="0028709F"/>
    <w:rsid w:val="00290119"/>
    <w:rsid w:val="002908F8"/>
    <w:rsid w:val="00295002"/>
    <w:rsid w:val="00295260"/>
    <w:rsid w:val="002971F2"/>
    <w:rsid w:val="00297785"/>
    <w:rsid w:val="002A0444"/>
    <w:rsid w:val="002A0F8D"/>
    <w:rsid w:val="002A264B"/>
    <w:rsid w:val="002A4B33"/>
    <w:rsid w:val="002A5311"/>
    <w:rsid w:val="002B05D1"/>
    <w:rsid w:val="002B0639"/>
    <w:rsid w:val="002B1933"/>
    <w:rsid w:val="002B20BD"/>
    <w:rsid w:val="002B3A46"/>
    <w:rsid w:val="002B3F1C"/>
    <w:rsid w:val="002B4EF4"/>
    <w:rsid w:val="002B6CA2"/>
    <w:rsid w:val="002B6E44"/>
    <w:rsid w:val="002B726F"/>
    <w:rsid w:val="002C000B"/>
    <w:rsid w:val="002C103C"/>
    <w:rsid w:val="002C12C7"/>
    <w:rsid w:val="002C30F0"/>
    <w:rsid w:val="002C401A"/>
    <w:rsid w:val="002C49F2"/>
    <w:rsid w:val="002C6D15"/>
    <w:rsid w:val="002C7E5B"/>
    <w:rsid w:val="002D0907"/>
    <w:rsid w:val="002D0E9E"/>
    <w:rsid w:val="002D2D68"/>
    <w:rsid w:val="002D38D9"/>
    <w:rsid w:val="002D4277"/>
    <w:rsid w:val="002D5402"/>
    <w:rsid w:val="002D69E8"/>
    <w:rsid w:val="002D7417"/>
    <w:rsid w:val="002E0026"/>
    <w:rsid w:val="002E26E8"/>
    <w:rsid w:val="002E32AB"/>
    <w:rsid w:val="002E3DD8"/>
    <w:rsid w:val="002E4EC3"/>
    <w:rsid w:val="002E5A01"/>
    <w:rsid w:val="002E717C"/>
    <w:rsid w:val="002E7A61"/>
    <w:rsid w:val="002F0106"/>
    <w:rsid w:val="002F03C8"/>
    <w:rsid w:val="002F188D"/>
    <w:rsid w:val="002F18A5"/>
    <w:rsid w:val="002F317F"/>
    <w:rsid w:val="002F377B"/>
    <w:rsid w:val="002F7AA9"/>
    <w:rsid w:val="00301C0D"/>
    <w:rsid w:val="00311B66"/>
    <w:rsid w:val="00314FAF"/>
    <w:rsid w:val="003162A5"/>
    <w:rsid w:val="00316591"/>
    <w:rsid w:val="00320C6D"/>
    <w:rsid w:val="00321FFD"/>
    <w:rsid w:val="00322CB2"/>
    <w:rsid w:val="00322E18"/>
    <w:rsid w:val="00323F8A"/>
    <w:rsid w:val="00326011"/>
    <w:rsid w:val="00327069"/>
    <w:rsid w:val="00327AFB"/>
    <w:rsid w:val="00327D10"/>
    <w:rsid w:val="0033595E"/>
    <w:rsid w:val="0033601B"/>
    <w:rsid w:val="00340039"/>
    <w:rsid w:val="0034024F"/>
    <w:rsid w:val="00340BAF"/>
    <w:rsid w:val="00340DFB"/>
    <w:rsid w:val="00341941"/>
    <w:rsid w:val="0034278F"/>
    <w:rsid w:val="00343B47"/>
    <w:rsid w:val="0034404F"/>
    <w:rsid w:val="00344ACC"/>
    <w:rsid w:val="00345F01"/>
    <w:rsid w:val="0034654F"/>
    <w:rsid w:val="00347685"/>
    <w:rsid w:val="00351E21"/>
    <w:rsid w:val="00352327"/>
    <w:rsid w:val="00354405"/>
    <w:rsid w:val="0035635F"/>
    <w:rsid w:val="003607EE"/>
    <w:rsid w:val="00360978"/>
    <w:rsid w:val="003617AE"/>
    <w:rsid w:val="00362F85"/>
    <w:rsid w:val="003630F7"/>
    <w:rsid w:val="003651AC"/>
    <w:rsid w:val="00366120"/>
    <w:rsid w:val="003661FF"/>
    <w:rsid w:val="00366A0C"/>
    <w:rsid w:val="00367462"/>
    <w:rsid w:val="00370507"/>
    <w:rsid w:val="00372A01"/>
    <w:rsid w:val="003733DF"/>
    <w:rsid w:val="003751C7"/>
    <w:rsid w:val="00375C84"/>
    <w:rsid w:val="00376524"/>
    <w:rsid w:val="00380424"/>
    <w:rsid w:val="003819F5"/>
    <w:rsid w:val="00381D47"/>
    <w:rsid w:val="003835F0"/>
    <w:rsid w:val="003853ED"/>
    <w:rsid w:val="0039082A"/>
    <w:rsid w:val="0039101F"/>
    <w:rsid w:val="00391B87"/>
    <w:rsid w:val="00393EEE"/>
    <w:rsid w:val="00395D99"/>
    <w:rsid w:val="003968DF"/>
    <w:rsid w:val="003A1F5A"/>
    <w:rsid w:val="003A3927"/>
    <w:rsid w:val="003A6E29"/>
    <w:rsid w:val="003B1844"/>
    <w:rsid w:val="003B211E"/>
    <w:rsid w:val="003B24EA"/>
    <w:rsid w:val="003B3FF1"/>
    <w:rsid w:val="003B4217"/>
    <w:rsid w:val="003B7F07"/>
    <w:rsid w:val="003C0A8D"/>
    <w:rsid w:val="003C0F87"/>
    <w:rsid w:val="003C141E"/>
    <w:rsid w:val="003C1B83"/>
    <w:rsid w:val="003C21B3"/>
    <w:rsid w:val="003C3503"/>
    <w:rsid w:val="003C40DE"/>
    <w:rsid w:val="003C4851"/>
    <w:rsid w:val="003C4C96"/>
    <w:rsid w:val="003C55E0"/>
    <w:rsid w:val="003C5E39"/>
    <w:rsid w:val="003D0079"/>
    <w:rsid w:val="003D10EC"/>
    <w:rsid w:val="003D29B9"/>
    <w:rsid w:val="003D37B6"/>
    <w:rsid w:val="003D7709"/>
    <w:rsid w:val="003E0E25"/>
    <w:rsid w:val="003E1409"/>
    <w:rsid w:val="003E7912"/>
    <w:rsid w:val="003F5717"/>
    <w:rsid w:val="003F5A39"/>
    <w:rsid w:val="003F5B56"/>
    <w:rsid w:val="003F5B9F"/>
    <w:rsid w:val="003F6A6A"/>
    <w:rsid w:val="003F738D"/>
    <w:rsid w:val="00402CE6"/>
    <w:rsid w:val="00402E56"/>
    <w:rsid w:val="00403634"/>
    <w:rsid w:val="00404592"/>
    <w:rsid w:val="00404B58"/>
    <w:rsid w:val="0040544F"/>
    <w:rsid w:val="0040625C"/>
    <w:rsid w:val="00411B17"/>
    <w:rsid w:val="0041222D"/>
    <w:rsid w:val="00417083"/>
    <w:rsid w:val="0042057C"/>
    <w:rsid w:val="00421608"/>
    <w:rsid w:val="004225F0"/>
    <w:rsid w:val="0042261E"/>
    <w:rsid w:val="00422749"/>
    <w:rsid w:val="004233DC"/>
    <w:rsid w:val="00432F78"/>
    <w:rsid w:val="004332ED"/>
    <w:rsid w:val="004334A2"/>
    <w:rsid w:val="00433645"/>
    <w:rsid w:val="00434723"/>
    <w:rsid w:val="00435721"/>
    <w:rsid w:val="00437D17"/>
    <w:rsid w:val="00437D2F"/>
    <w:rsid w:val="004401BA"/>
    <w:rsid w:val="0044046D"/>
    <w:rsid w:val="004410D3"/>
    <w:rsid w:val="00441DAF"/>
    <w:rsid w:val="00443A34"/>
    <w:rsid w:val="00443D38"/>
    <w:rsid w:val="00444140"/>
    <w:rsid w:val="00444F43"/>
    <w:rsid w:val="00450744"/>
    <w:rsid w:val="00450ACE"/>
    <w:rsid w:val="00450BE7"/>
    <w:rsid w:val="0045230E"/>
    <w:rsid w:val="004528FA"/>
    <w:rsid w:val="00452D67"/>
    <w:rsid w:val="00452E53"/>
    <w:rsid w:val="00455B00"/>
    <w:rsid w:val="00455B97"/>
    <w:rsid w:val="004564E1"/>
    <w:rsid w:val="00456BFD"/>
    <w:rsid w:val="00457273"/>
    <w:rsid w:val="004607D0"/>
    <w:rsid w:val="00460CE3"/>
    <w:rsid w:val="004612A4"/>
    <w:rsid w:val="00464BF1"/>
    <w:rsid w:val="004676E4"/>
    <w:rsid w:val="00470C48"/>
    <w:rsid w:val="00471429"/>
    <w:rsid w:val="00472D39"/>
    <w:rsid w:val="00473C0A"/>
    <w:rsid w:val="00473E47"/>
    <w:rsid w:val="00474415"/>
    <w:rsid w:val="00476320"/>
    <w:rsid w:val="00477459"/>
    <w:rsid w:val="00477CC9"/>
    <w:rsid w:val="00477D53"/>
    <w:rsid w:val="0048026E"/>
    <w:rsid w:val="004807A9"/>
    <w:rsid w:val="00481318"/>
    <w:rsid w:val="004813EE"/>
    <w:rsid w:val="00482CDC"/>
    <w:rsid w:val="00482FE1"/>
    <w:rsid w:val="004839BC"/>
    <w:rsid w:val="00483B03"/>
    <w:rsid w:val="00485702"/>
    <w:rsid w:val="004867EC"/>
    <w:rsid w:val="00487662"/>
    <w:rsid w:val="004876C6"/>
    <w:rsid w:val="00487D7B"/>
    <w:rsid w:val="00490F7A"/>
    <w:rsid w:val="00490FD5"/>
    <w:rsid w:val="00491241"/>
    <w:rsid w:val="00491813"/>
    <w:rsid w:val="00493278"/>
    <w:rsid w:val="00497575"/>
    <w:rsid w:val="004A12C0"/>
    <w:rsid w:val="004A191A"/>
    <w:rsid w:val="004A1A70"/>
    <w:rsid w:val="004A419E"/>
    <w:rsid w:val="004A6B58"/>
    <w:rsid w:val="004A6C5D"/>
    <w:rsid w:val="004B06C3"/>
    <w:rsid w:val="004B0B09"/>
    <w:rsid w:val="004B140F"/>
    <w:rsid w:val="004B53F1"/>
    <w:rsid w:val="004B5D6E"/>
    <w:rsid w:val="004B60BA"/>
    <w:rsid w:val="004C1619"/>
    <w:rsid w:val="004C1B59"/>
    <w:rsid w:val="004C2509"/>
    <w:rsid w:val="004C4906"/>
    <w:rsid w:val="004C4EA2"/>
    <w:rsid w:val="004C596B"/>
    <w:rsid w:val="004C60E7"/>
    <w:rsid w:val="004C68C9"/>
    <w:rsid w:val="004D020F"/>
    <w:rsid w:val="004D03D1"/>
    <w:rsid w:val="004D09F4"/>
    <w:rsid w:val="004D11AF"/>
    <w:rsid w:val="004D1C09"/>
    <w:rsid w:val="004D502C"/>
    <w:rsid w:val="004D60A3"/>
    <w:rsid w:val="004D6696"/>
    <w:rsid w:val="004E016A"/>
    <w:rsid w:val="004E0461"/>
    <w:rsid w:val="004E152A"/>
    <w:rsid w:val="004E29B1"/>
    <w:rsid w:val="004E461B"/>
    <w:rsid w:val="004E477D"/>
    <w:rsid w:val="004E5890"/>
    <w:rsid w:val="004E63F7"/>
    <w:rsid w:val="004E7B33"/>
    <w:rsid w:val="004F0D19"/>
    <w:rsid w:val="004F121B"/>
    <w:rsid w:val="004F2811"/>
    <w:rsid w:val="004F60F4"/>
    <w:rsid w:val="004F62E8"/>
    <w:rsid w:val="004F78F8"/>
    <w:rsid w:val="005001A5"/>
    <w:rsid w:val="005019AA"/>
    <w:rsid w:val="00503C3B"/>
    <w:rsid w:val="00503CE7"/>
    <w:rsid w:val="005042DB"/>
    <w:rsid w:val="0050458E"/>
    <w:rsid w:val="00510452"/>
    <w:rsid w:val="005108EC"/>
    <w:rsid w:val="00514336"/>
    <w:rsid w:val="005147DA"/>
    <w:rsid w:val="005153C3"/>
    <w:rsid w:val="00515745"/>
    <w:rsid w:val="00515862"/>
    <w:rsid w:val="00516942"/>
    <w:rsid w:val="00516DC0"/>
    <w:rsid w:val="0052176C"/>
    <w:rsid w:val="005233F3"/>
    <w:rsid w:val="0052365C"/>
    <w:rsid w:val="005245D2"/>
    <w:rsid w:val="00524C98"/>
    <w:rsid w:val="00524C9C"/>
    <w:rsid w:val="00524EDD"/>
    <w:rsid w:val="00525B59"/>
    <w:rsid w:val="005269C4"/>
    <w:rsid w:val="00533DBF"/>
    <w:rsid w:val="00536442"/>
    <w:rsid w:val="005415DD"/>
    <w:rsid w:val="005423F3"/>
    <w:rsid w:val="005426DB"/>
    <w:rsid w:val="00550113"/>
    <w:rsid w:val="0055082B"/>
    <w:rsid w:val="00550F00"/>
    <w:rsid w:val="00551ED7"/>
    <w:rsid w:val="0055211C"/>
    <w:rsid w:val="0055263A"/>
    <w:rsid w:val="00552B57"/>
    <w:rsid w:val="00553E34"/>
    <w:rsid w:val="005551E9"/>
    <w:rsid w:val="00560C62"/>
    <w:rsid w:val="00561D8E"/>
    <w:rsid w:val="00562A61"/>
    <w:rsid w:val="005652D5"/>
    <w:rsid w:val="00565328"/>
    <w:rsid w:val="00574614"/>
    <w:rsid w:val="00574A70"/>
    <w:rsid w:val="00575C75"/>
    <w:rsid w:val="00577AC3"/>
    <w:rsid w:val="005815A8"/>
    <w:rsid w:val="00583431"/>
    <w:rsid w:val="005846C0"/>
    <w:rsid w:val="00584D04"/>
    <w:rsid w:val="0058567E"/>
    <w:rsid w:val="0058659E"/>
    <w:rsid w:val="005872DD"/>
    <w:rsid w:val="00587D3A"/>
    <w:rsid w:val="00590346"/>
    <w:rsid w:val="00590E93"/>
    <w:rsid w:val="005915E1"/>
    <w:rsid w:val="00591C75"/>
    <w:rsid w:val="005920A1"/>
    <w:rsid w:val="00592D10"/>
    <w:rsid w:val="00593A5F"/>
    <w:rsid w:val="0059404E"/>
    <w:rsid w:val="00594269"/>
    <w:rsid w:val="00594879"/>
    <w:rsid w:val="00595539"/>
    <w:rsid w:val="005A1E17"/>
    <w:rsid w:val="005A3E82"/>
    <w:rsid w:val="005A4DB0"/>
    <w:rsid w:val="005A5597"/>
    <w:rsid w:val="005A6AC2"/>
    <w:rsid w:val="005A7A65"/>
    <w:rsid w:val="005A7B26"/>
    <w:rsid w:val="005A7B8E"/>
    <w:rsid w:val="005B012B"/>
    <w:rsid w:val="005B0C87"/>
    <w:rsid w:val="005B2195"/>
    <w:rsid w:val="005B2D65"/>
    <w:rsid w:val="005B3877"/>
    <w:rsid w:val="005B3CC1"/>
    <w:rsid w:val="005B45AB"/>
    <w:rsid w:val="005B4D8F"/>
    <w:rsid w:val="005B6551"/>
    <w:rsid w:val="005B71A8"/>
    <w:rsid w:val="005C3E9E"/>
    <w:rsid w:val="005C410C"/>
    <w:rsid w:val="005C4BF1"/>
    <w:rsid w:val="005C4BF2"/>
    <w:rsid w:val="005C5BED"/>
    <w:rsid w:val="005C5D86"/>
    <w:rsid w:val="005C6167"/>
    <w:rsid w:val="005C6D3E"/>
    <w:rsid w:val="005C6EE2"/>
    <w:rsid w:val="005C7A07"/>
    <w:rsid w:val="005C7DDC"/>
    <w:rsid w:val="005D02C0"/>
    <w:rsid w:val="005D123A"/>
    <w:rsid w:val="005D23E8"/>
    <w:rsid w:val="005D2506"/>
    <w:rsid w:val="005D5B5E"/>
    <w:rsid w:val="005D5C85"/>
    <w:rsid w:val="005D72FC"/>
    <w:rsid w:val="005E035A"/>
    <w:rsid w:val="005E0708"/>
    <w:rsid w:val="005E1218"/>
    <w:rsid w:val="005E1A2A"/>
    <w:rsid w:val="005E1B6B"/>
    <w:rsid w:val="005E2281"/>
    <w:rsid w:val="005E38A8"/>
    <w:rsid w:val="005E39F9"/>
    <w:rsid w:val="005E55BB"/>
    <w:rsid w:val="005E5D11"/>
    <w:rsid w:val="005E667C"/>
    <w:rsid w:val="005E6A1D"/>
    <w:rsid w:val="005E6F12"/>
    <w:rsid w:val="005F077C"/>
    <w:rsid w:val="005F3CE8"/>
    <w:rsid w:val="005F4F41"/>
    <w:rsid w:val="005F68C3"/>
    <w:rsid w:val="00601E94"/>
    <w:rsid w:val="006021B1"/>
    <w:rsid w:val="00603328"/>
    <w:rsid w:val="006037C5"/>
    <w:rsid w:val="006040CE"/>
    <w:rsid w:val="0060467D"/>
    <w:rsid w:val="006059E8"/>
    <w:rsid w:val="00605B9D"/>
    <w:rsid w:val="00606B57"/>
    <w:rsid w:val="00606B85"/>
    <w:rsid w:val="00607390"/>
    <w:rsid w:val="006076D8"/>
    <w:rsid w:val="00607E6D"/>
    <w:rsid w:val="00612871"/>
    <w:rsid w:val="00612A8E"/>
    <w:rsid w:val="0061345A"/>
    <w:rsid w:val="006135DA"/>
    <w:rsid w:val="006155E2"/>
    <w:rsid w:val="00615F26"/>
    <w:rsid w:val="00620579"/>
    <w:rsid w:val="006217AD"/>
    <w:rsid w:val="0062258F"/>
    <w:rsid w:val="00623332"/>
    <w:rsid w:val="00623BC7"/>
    <w:rsid w:val="006241D0"/>
    <w:rsid w:val="00625434"/>
    <w:rsid w:val="00626032"/>
    <w:rsid w:val="00627643"/>
    <w:rsid w:val="00627788"/>
    <w:rsid w:val="006300CD"/>
    <w:rsid w:val="0063017E"/>
    <w:rsid w:val="00631D4F"/>
    <w:rsid w:val="00633496"/>
    <w:rsid w:val="006338D2"/>
    <w:rsid w:val="00635FD8"/>
    <w:rsid w:val="00636F7B"/>
    <w:rsid w:val="0064019C"/>
    <w:rsid w:val="00640288"/>
    <w:rsid w:val="006405AC"/>
    <w:rsid w:val="006413D8"/>
    <w:rsid w:val="00641C55"/>
    <w:rsid w:val="00642405"/>
    <w:rsid w:val="00642645"/>
    <w:rsid w:val="00644BED"/>
    <w:rsid w:val="00652092"/>
    <w:rsid w:val="00652472"/>
    <w:rsid w:val="00653B38"/>
    <w:rsid w:val="00655C78"/>
    <w:rsid w:val="00656385"/>
    <w:rsid w:val="00660DBE"/>
    <w:rsid w:val="0066127D"/>
    <w:rsid w:val="0066182A"/>
    <w:rsid w:val="0066351C"/>
    <w:rsid w:val="00664693"/>
    <w:rsid w:val="00664DC0"/>
    <w:rsid w:val="006651CC"/>
    <w:rsid w:val="00665CA1"/>
    <w:rsid w:val="00667A31"/>
    <w:rsid w:val="00670702"/>
    <w:rsid w:val="0067147C"/>
    <w:rsid w:val="00672A8A"/>
    <w:rsid w:val="00673F50"/>
    <w:rsid w:val="006759B0"/>
    <w:rsid w:val="00677012"/>
    <w:rsid w:val="00680D0E"/>
    <w:rsid w:val="006816B0"/>
    <w:rsid w:val="006825B4"/>
    <w:rsid w:val="006829BA"/>
    <w:rsid w:val="00682AF2"/>
    <w:rsid w:val="006837DE"/>
    <w:rsid w:val="0068537F"/>
    <w:rsid w:val="00687628"/>
    <w:rsid w:val="00687CFE"/>
    <w:rsid w:val="00690832"/>
    <w:rsid w:val="00690EB8"/>
    <w:rsid w:val="006915E5"/>
    <w:rsid w:val="00691BB7"/>
    <w:rsid w:val="00692401"/>
    <w:rsid w:val="0069758B"/>
    <w:rsid w:val="006A0B6C"/>
    <w:rsid w:val="006A16E1"/>
    <w:rsid w:val="006A32FC"/>
    <w:rsid w:val="006A3C8A"/>
    <w:rsid w:val="006A3E61"/>
    <w:rsid w:val="006A501E"/>
    <w:rsid w:val="006A6737"/>
    <w:rsid w:val="006B26B1"/>
    <w:rsid w:val="006B2E45"/>
    <w:rsid w:val="006B545C"/>
    <w:rsid w:val="006B5D32"/>
    <w:rsid w:val="006B7216"/>
    <w:rsid w:val="006B758B"/>
    <w:rsid w:val="006B7BF8"/>
    <w:rsid w:val="006C25D5"/>
    <w:rsid w:val="006C262B"/>
    <w:rsid w:val="006C3A2D"/>
    <w:rsid w:val="006C4666"/>
    <w:rsid w:val="006C49BF"/>
    <w:rsid w:val="006C63D7"/>
    <w:rsid w:val="006C7535"/>
    <w:rsid w:val="006C7ABB"/>
    <w:rsid w:val="006D2F09"/>
    <w:rsid w:val="006D3DC0"/>
    <w:rsid w:val="006D5E84"/>
    <w:rsid w:val="006D7C99"/>
    <w:rsid w:val="006E0443"/>
    <w:rsid w:val="006E0DCF"/>
    <w:rsid w:val="006E1647"/>
    <w:rsid w:val="006E310A"/>
    <w:rsid w:val="006E3C3E"/>
    <w:rsid w:val="006E429F"/>
    <w:rsid w:val="006E5CB2"/>
    <w:rsid w:val="006E6F30"/>
    <w:rsid w:val="006E7082"/>
    <w:rsid w:val="006F030F"/>
    <w:rsid w:val="006F193C"/>
    <w:rsid w:val="006F1B58"/>
    <w:rsid w:val="006F2B89"/>
    <w:rsid w:val="006F3B81"/>
    <w:rsid w:val="006F4D59"/>
    <w:rsid w:val="006F4F79"/>
    <w:rsid w:val="006F4F80"/>
    <w:rsid w:val="006F5532"/>
    <w:rsid w:val="006F62CC"/>
    <w:rsid w:val="006F66C1"/>
    <w:rsid w:val="006F681D"/>
    <w:rsid w:val="006F6A0F"/>
    <w:rsid w:val="00700B11"/>
    <w:rsid w:val="0070235F"/>
    <w:rsid w:val="00702BC3"/>
    <w:rsid w:val="00703496"/>
    <w:rsid w:val="007036FE"/>
    <w:rsid w:val="00705B37"/>
    <w:rsid w:val="0070658A"/>
    <w:rsid w:val="00706B65"/>
    <w:rsid w:val="00707C1A"/>
    <w:rsid w:val="0071023D"/>
    <w:rsid w:val="00710530"/>
    <w:rsid w:val="00712912"/>
    <w:rsid w:val="007168A0"/>
    <w:rsid w:val="00716C95"/>
    <w:rsid w:val="00717762"/>
    <w:rsid w:val="00721A63"/>
    <w:rsid w:val="00721FF9"/>
    <w:rsid w:val="0072213E"/>
    <w:rsid w:val="00725735"/>
    <w:rsid w:val="00736395"/>
    <w:rsid w:val="00736459"/>
    <w:rsid w:val="00737821"/>
    <w:rsid w:val="00741175"/>
    <w:rsid w:val="007419FB"/>
    <w:rsid w:val="00742606"/>
    <w:rsid w:val="007441FF"/>
    <w:rsid w:val="00744836"/>
    <w:rsid w:val="00744B78"/>
    <w:rsid w:val="00744EE8"/>
    <w:rsid w:val="007467E4"/>
    <w:rsid w:val="00747569"/>
    <w:rsid w:val="00750238"/>
    <w:rsid w:val="0075023C"/>
    <w:rsid w:val="00751B43"/>
    <w:rsid w:val="007523E7"/>
    <w:rsid w:val="007524D8"/>
    <w:rsid w:val="00754252"/>
    <w:rsid w:val="0075569E"/>
    <w:rsid w:val="007565BB"/>
    <w:rsid w:val="007577B1"/>
    <w:rsid w:val="00757D87"/>
    <w:rsid w:val="00760EED"/>
    <w:rsid w:val="0076109F"/>
    <w:rsid w:val="007619CE"/>
    <w:rsid w:val="00761F4F"/>
    <w:rsid w:val="007620DC"/>
    <w:rsid w:val="00762102"/>
    <w:rsid w:val="0076255D"/>
    <w:rsid w:val="007625F6"/>
    <w:rsid w:val="00762B8B"/>
    <w:rsid w:val="00764AF9"/>
    <w:rsid w:val="00765D18"/>
    <w:rsid w:val="00770C54"/>
    <w:rsid w:val="00772613"/>
    <w:rsid w:val="00772B41"/>
    <w:rsid w:val="007733B6"/>
    <w:rsid w:val="00777D6B"/>
    <w:rsid w:val="0078265B"/>
    <w:rsid w:val="00782E10"/>
    <w:rsid w:val="00785221"/>
    <w:rsid w:val="00786448"/>
    <w:rsid w:val="0079134E"/>
    <w:rsid w:val="00792125"/>
    <w:rsid w:val="0079278E"/>
    <w:rsid w:val="00792E3C"/>
    <w:rsid w:val="007930C1"/>
    <w:rsid w:val="00794BFF"/>
    <w:rsid w:val="007960E3"/>
    <w:rsid w:val="00796F7C"/>
    <w:rsid w:val="00797131"/>
    <w:rsid w:val="007A343D"/>
    <w:rsid w:val="007A5ACE"/>
    <w:rsid w:val="007A5C5C"/>
    <w:rsid w:val="007A6528"/>
    <w:rsid w:val="007A7B48"/>
    <w:rsid w:val="007B18C6"/>
    <w:rsid w:val="007B20C2"/>
    <w:rsid w:val="007B27E4"/>
    <w:rsid w:val="007B35F6"/>
    <w:rsid w:val="007B3F87"/>
    <w:rsid w:val="007B4001"/>
    <w:rsid w:val="007B404F"/>
    <w:rsid w:val="007B7B52"/>
    <w:rsid w:val="007C2F60"/>
    <w:rsid w:val="007C53E8"/>
    <w:rsid w:val="007C5613"/>
    <w:rsid w:val="007C6BC6"/>
    <w:rsid w:val="007C73B2"/>
    <w:rsid w:val="007D0435"/>
    <w:rsid w:val="007D400A"/>
    <w:rsid w:val="007D4B0E"/>
    <w:rsid w:val="007D4DD2"/>
    <w:rsid w:val="007E2419"/>
    <w:rsid w:val="007E3FF5"/>
    <w:rsid w:val="007E4219"/>
    <w:rsid w:val="007E56F9"/>
    <w:rsid w:val="007E577E"/>
    <w:rsid w:val="007E635E"/>
    <w:rsid w:val="007E6445"/>
    <w:rsid w:val="007E6C0C"/>
    <w:rsid w:val="007F038C"/>
    <w:rsid w:val="007F0940"/>
    <w:rsid w:val="007F0F24"/>
    <w:rsid w:val="007F15AC"/>
    <w:rsid w:val="007F16D1"/>
    <w:rsid w:val="007F222B"/>
    <w:rsid w:val="007F3092"/>
    <w:rsid w:val="007F39B8"/>
    <w:rsid w:val="007F4A6F"/>
    <w:rsid w:val="007F4FBC"/>
    <w:rsid w:val="007F5975"/>
    <w:rsid w:val="007F7DF2"/>
    <w:rsid w:val="00800A35"/>
    <w:rsid w:val="00801A0E"/>
    <w:rsid w:val="00804E4C"/>
    <w:rsid w:val="0080662C"/>
    <w:rsid w:val="008070B2"/>
    <w:rsid w:val="00807D79"/>
    <w:rsid w:val="00810102"/>
    <w:rsid w:val="008117C4"/>
    <w:rsid w:val="0081272C"/>
    <w:rsid w:val="00813DFC"/>
    <w:rsid w:val="008149D8"/>
    <w:rsid w:val="00817CFC"/>
    <w:rsid w:val="00821D81"/>
    <w:rsid w:val="00823654"/>
    <w:rsid w:val="00823A90"/>
    <w:rsid w:val="00826141"/>
    <w:rsid w:val="0082757E"/>
    <w:rsid w:val="00827D77"/>
    <w:rsid w:val="00830561"/>
    <w:rsid w:val="00831115"/>
    <w:rsid w:val="00831DF9"/>
    <w:rsid w:val="00832D42"/>
    <w:rsid w:val="00833419"/>
    <w:rsid w:val="008342A5"/>
    <w:rsid w:val="00834BE2"/>
    <w:rsid w:val="00834EA4"/>
    <w:rsid w:val="00835DCB"/>
    <w:rsid w:val="0084139B"/>
    <w:rsid w:val="0084143B"/>
    <w:rsid w:val="00842547"/>
    <w:rsid w:val="008427D3"/>
    <w:rsid w:val="0084324C"/>
    <w:rsid w:val="008451F8"/>
    <w:rsid w:val="008457D2"/>
    <w:rsid w:val="0084607F"/>
    <w:rsid w:val="00846212"/>
    <w:rsid w:val="008468E0"/>
    <w:rsid w:val="00847BE7"/>
    <w:rsid w:val="00850EAB"/>
    <w:rsid w:val="008529B3"/>
    <w:rsid w:val="00852ADD"/>
    <w:rsid w:val="00853883"/>
    <w:rsid w:val="00854DA7"/>
    <w:rsid w:val="00855BAD"/>
    <w:rsid w:val="008616A2"/>
    <w:rsid w:val="00861C6C"/>
    <w:rsid w:val="00873736"/>
    <w:rsid w:val="0087378E"/>
    <w:rsid w:val="008755E7"/>
    <w:rsid w:val="00877D03"/>
    <w:rsid w:val="00877E96"/>
    <w:rsid w:val="008803CE"/>
    <w:rsid w:val="00880DEF"/>
    <w:rsid w:val="00882077"/>
    <w:rsid w:val="008823FF"/>
    <w:rsid w:val="00883613"/>
    <w:rsid w:val="00886393"/>
    <w:rsid w:val="00886579"/>
    <w:rsid w:val="00886F19"/>
    <w:rsid w:val="00887865"/>
    <w:rsid w:val="00887B37"/>
    <w:rsid w:val="00890598"/>
    <w:rsid w:val="0089065A"/>
    <w:rsid w:val="00891D7A"/>
    <w:rsid w:val="00891DFC"/>
    <w:rsid w:val="00892B98"/>
    <w:rsid w:val="008959FC"/>
    <w:rsid w:val="00895C94"/>
    <w:rsid w:val="00896E29"/>
    <w:rsid w:val="00897E71"/>
    <w:rsid w:val="008A1D0E"/>
    <w:rsid w:val="008A31C7"/>
    <w:rsid w:val="008A39F9"/>
    <w:rsid w:val="008A4AEC"/>
    <w:rsid w:val="008A5609"/>
    <w:rsid w:val="008A6A79"/>
    <w:rsid w:val="008A6DF0"/>
    <w:rsid w:val="008A6FA0"/>
    <w:rsid w:val="008B2B19"/>
    <w:rsid w:val="008B2F40"/>
    <w:rsid w:val="008B3627"/>
    <w:rsid w:val="008B5E61"/>
    <w:rsid w:val="008B7914"/>
    <w:rsid w:val="008C127A"/>
    <w:rsid w:val="008C2C7F"/>
    <w:rsid w:val="008C2F0D"/>
    <w:rsid w:val="008C5D2A"/>
    <w:rsid w:val="008C74FB"/>
    <w:rsid w:val="008C7AF4"/>
    <w:rsid w:val="008C7DA4"/>
    <w:rsid w:val="008D0210"/>
    <w:rsid w:val="008D0851"/>
    <w:rsid w:val="008D0DEF"/>
    <w:rsid w:val="008D1074"/>
    <w:rsid w:val="008D1079"/>
    <w:rsid w:val="008D280F"/>
    <w:rsid w:val="008D318B"/>
    <w:rsid w:val="008D3994"/>
    <w:rsid w:val="008D3C3D"/>
    <w:rsid w:val="008D41EC"/>
    <w:rsid w:val="008D478E"/>
    <w:rsid w:val="008D534E"/>
    <w:rsid w:val="008D6E81"/>
    <w:rsid w:val="008D7739"/>
    <w:rsid w:val="008E1267"/>
    <w:rsid w:val="008E1BB0"/>
    <w:rsid w:val="008E22F8"/>
    <w:rsid w:val="008E39D8"/>
    <w:rsid w:val="008E606F"/>
    <w:rsid w:val="008E6AD9"/>
    <w:rsid w:val="008E79CF"/>
    <w:rsid w:val="008F022A"/>
    <w:rsid w:val="008F0D0D"/>
    <w:rsid w:val="008F27E3"/>
    <w:rsid w:val="008F3485"/>
    <w:rsid w:val="008F3AC3"/>
    <w:rsid w:val="008F51FF"/>
    <w:rsid w:val="008F5DEF"/>
    <w:rsid w:val="008F6A3F"/>
    <w:rsid w:val="009010D8"/>
    <w:rsid w:val="009026CB"/>
    <w:rsid w:val="00904038"/>
    <w:rsid w:val="009041AF"/>
    <w:rsid w:val="009049AB"/>
    <w:rsid w:val="009049E0"/>
    <w:rsid w:val="009050B7"/>
    <w:rsid w:val="00905130"/>
    <w:rsid w:val="009061B8"/>
    <w:rsid w:val="009074CD"/>
    <w:rsid w:val="009130CC"/>
    <w:rsid w:val="00913256"/>
    <w:rsid w:val="00914683"/>
    <w:rsid w:val="00914861"/>
    <w:rsid w:val="009148D8"/>
    <w:rsid w:val="00915CD5"/>
    <w:rsid w:val="00916093"/>
    <w:rsid w:val="009160E3"/>
    <w:rsid w:val="0091639C"/>
    <w:rsid w:val="00924FC0"/>
    <w:rsid w:val="009255FA"/>
    <w:rsid w:val="009262E4"/>
    <w:rsid w:val="00926BB8"/>
    <w:rsid w:val="00927D4E"/>
    <w:rsid w:val="00930D2A"/>
    <w:rsid w:val="00931B84"/>
    <w:rsid w:val="00932E7E"/>
    <w:rsid w:val="009332D7"/>
    <w:rsid w:val="0093442D"/>
    <w:rsid w:val="00934CD2"/>
    <w:rsid w:val="00937593"/>
    <w:rsid w:val="009375E5"/>
    <w:rsid w:val="00941848"/>
    <w:rsid w:val="009437F2"/>
    <w:rsid w:val="009442E8"/>
    <w:rsid w:val="009452F5"/>
    <w:rsid w:val="009456A3"/>
    <w:rsid w:val="0094759C"/>
    <w:rsid w:val="00951666"/>
    <w:rsid w:val="00952524"/>
    <w:rsid w:val="0095278F"/>
    <w:rsid w:val="0095426C"/>
    <w:rsid w:val="00956BF5"/>
    <w:rsid w:val="009571C2"/>
    <w:rsid w:val="0095770C"/>
    <w:rsid w:val="00957CC8"/>
    <w:rsid w:val="00957EE7"/>
    <w:rsid w:val="00961453"/>
    <w:rsid w:val="009616D4"/>
    <w:rsid w:val="00964166"/>
    <w:rsid w:val="0096475C"/>
    <w:rsid w:val="0096546E"/>
    <w:rsid w:val="0096562A"/>
    <w:rsid w:val="00965865"/>
    <w:rsid w:val="00967730"/>
    <w:rsid w:val="00970D56"/>
    <w:rsid w:val="00970E50"/>
    <w:rsid w:val="00971074"/>
    <w:rsid w:val="009747AA"/>
    <w:rsid w:val="00974BCB"/>
    <w:rsid w:val="009763E4"/>
    <w:rsid w:val="00980A22"/>
    <w:rsid w:val="00983599"/>
    <w:rsid w:val="00985B04"/>
    <w:rsid w:val="00985F48"/>
    <w:rsid w:val="00986BEF"/>
    <w:rsid w:val="00991741"/>
    <w:rsid w:val="00992499"/>
    <w:rsid w:val="00992986"/>
    <w:rsid w:val="00994B55"/>
    <w:rsid w:val="00995D86"/>
    <w:rsid w:val="009975E8"/>
    <w:rsid w:val="009A1F6B"/>
    <w:rsid w:val="009A2C4C"/>
    <w:rsid w:val="009A2DD8"/>
    <w:rsid w:val="009A30DE"/>
    <w:rsid w:val="009A3D29"/>
    <w:rsid w:val="009A5453"/>
    <w:rsid w:val="009A74A3"/>
    <w:rsid w:val="009A7883"/>
    <w:rsid w:val="009B2760"/>
    <w:rsid w:val="009B308D"/>
    <w:rsid w:val="009B3B62"/>
    <w:rsid w:val="009B4FFB"/>
    <w:rsid w:val="009B7489"/>
    <w:rsid w:val="009B7B0A"/>
    <w:rsid w:val="009C07C9"/>
    <w:rsid w:val="009C08D7"/>
    <w:rsid w:val="009C4A4A"/>
    <w:rsid w:val="009C4E0D"/>
    <w:rsid w:val="009C4F1B"/>
    <w:rsid w:val="009C503B"/>
    <w:rsid w:val="009D2528"/>
    <w:rsid w:val="009D3AD2"/>
    <w:rsid w:val="009D3E06"/>
    <w:rsid w:val="009D638D"/>
    <w:rsid w:val="009E05B2"/>
    <w:rsid w:val="009E1CC8"/>
    <w:rsid w:val="009E2B88"/>
    <w:rsid w:val="009E30D2"/>
    <w:rsid w:val="009E4472"/>
    <w:rsid w:val="009E4885"/>
    <w:rsid w:val="009E508B"/>
    <w:rsid w:val="009F030D"/>
    <w:rsid w:val="009F0A85"/>
    <w:rsid w:val="009F1B71"/>
    <w:rsid w:val="009F220A"/>
    <w:rsid w:val="009F36D6"/>
    <w:rsid w:val="00A02FA8"/>
    <w:rsid w:val="00A03F74"/>
    <w:rsid w:val="00A04131"/>
    <w:rsid w:val="00A05C04"/>
    <w:rsid w:val="00A06254"/>
    <w:rsid w:val="00A07DB6"/>
    <w:rsid w:val="00A11406"/>
    <w:rsid w:val="00A132A1"/>
    <w:rsid w:val="00A1554D"/>
    <w:rsid w:val="00A158E3"/>
    <w:rsid w:val="00A172E0"/>
    <w:rsid w:val="00A221A3"/>
    <w:rsid w:val="00A223D5"/>
    <w:rsid w:val="00A23F41"/>
    <w:rsid w:val="00A25547"/>
    <w:rsid w:val="00A31E14"/>
    <w:rsid w:val="00A356E7"/>
    <w:rsid w:val="00A37B0C"/>
    <w:rsid w:val="00A37D1C"/>
    <w:rsid w:val="00A37FFE"/>
    <w:rsid w:val="00A41FEF"/>
    <w:rsid w:val="00A42476"/>
    <w:rsid w:val="00A433CA"/>
    <w:rsid w:val="00A43F3C"/>
    <w:rsid w:val="00A468FD"/>
    <w:rsid w:val="00A46921"/>
    <w:rsid w:val="00A47249"/>
    <w:rsid w:val="00A47AEA"/>
    <w:rsid w:val="00A501C7"/>
    <w:rsid w:val="00A513FD"/>
    <w:rsid w:val="00A52BC1"/>
    <w:rsid w:val="00A534A0"/>
    <w:rsid w:val="00A539AD"/>
    <w:rsid w:val="00A540B2"/>
    <w:rsid w:val="00A56819"/>
    <w:rsid w:val="00A60E9C"/>
    <w:rsid w:val="00A61879"/>
    <w:rsid w:val="00A6444F"/>
    <w:rsid w:val="00A652FF"/>
    <w:rsid w:val="00A65A0D"/>
    <w:rsid w:val="00A65C27"/>
    <w:rsid w:val="00A65F3C"/>
    <w:rsid w:val="00A66585"/>
    <w:rsid w:val="00A714A3"/>
    <w:rsid w:val="00A71B8B"/>
    <w:rsid w:val="00A75089"/>
    <w:rsid w:val="00A75EDC"/>
    <w:rsid w:val="00A80404"/>
    <w:rsid w:val="00A817A8"/>
    <w:rsid w:val="00A81E50"/>
    <w:rsid w:val="00A82DA0"/>
    <w:rsid w:val="00A83E49"/>
    <w:rsid w:val="00A8415A"/>
    <w:rsid w:val="00A841A6"/>
    <w:rsid w:val="00A84221"/>
    <w:rsid w:val="00A84B7A"/>
    <w:rsid w:val="00A86FBC"/>
    <w:rsid w:val="00A902AD"/>
    <w:rsid w:val="00A9099E"/>
    <w:rsid w:val="00A91316"/>
    <w:rsid w:val="00A91FB7"/>
    <w:rsid w:val="00A9298F"/>
    <w:rsid w:val="00A9301E"/>
    <w:rsid w:val="00A95186"/>
    <w:rsid w:val="00AA1224"/>
    <w:rsid w:val="00AA14F2"/>
    <w:rsid w:val="00AA180B"/>
    <w:rsid w:val="00AA1D43"/>
    <w:rsid w:val="00AA3301"/>
    <w:rsid w:val="00AA3360"/>
    <w:rsid w:val="00AA6B93"/>
    <w:rsid w:val="00AA7A06"/>
    <w:rsid w:val="00AB0C28"/>
    <w:rsid w:val="00AB1984"/>
    <w:rsid w:val="00AB1CBB"/>
    <w:rsid w:val="00AB215B"/>
    <w:rsid w:val="00AB333E"/>
    <w:rsid w:val="00AB37DB"/>
    <w:rsid w:val="00AB4C2A"/>
    <w:rsid w:val="00AB5F48"/>
    <w:rsid w:val="00AB716D"/>
    <w:rsid w:val="00AB72BB"/>
    <w:rsid w:val="00AB7BF3"/>
    <w:rsid w:val="00AC1AA3"/>
    <w:rsid w:val="00AC1F07"/>
    <w:rsid w:val="00AC1F8E"/>
    <w:rsid w:val="00AC4CB3"/>
    <w:rsid w:val="00AC4D7C"/>
    <w:rsid w:val="00AC6EF2"/>
    <w:rsid w:val="00AC71A6"/>
    <w:rsid w:val="00AC742F"/>
    <w:rsid w:val="00AC774F"/>
    <w:rsid w:val="00AC780D"/>
    <w:rsid w:val="00AC787B"/>
    <w:rsid w:val="00AC7956"/>
    <w:rsid w:val="00AC7E18"/>
    <w:rsid w:val="00AD1B79"/>
    <w:rsid w:val="00AD50F8"/>
    <w:rsid w:val="00AD520B"/>
    <w:rsid w:val="00AE3E11"/>
    <w:rsid w:val="00AE4BDC"/>
    <w:rsid w:val="00AE55AD"/>
    <w:rsid w:val="00AE78ED"/>
    <w:rsid w:val="00AF1117"/>
    <w:rsid w:val="00AF1555"/>
    <w:rsid w:val="00AF18BA"/>
    <w:rsid w:val="00AF228C"/>
    <w:rsid w:val="00AF2DB9"/>
    <w:rsid w:val="00AF3B55"/>
    <w:rsid w:val="00AF3D62"/>
    <w:rsid w:val="00AF6AC5"/>
    <w:rsid w:val="00AF7809"/>
    <w:rsid w:val="00AF7F7B"/>
    <w:rsid w:val="00B0104B"/>
    <w:rsid w:val="00B0129D"/>
    <w:rsid w:val="00B021E0"/>
    <w:rsid w:val="00B03A35"/>
    <w:rsid w:val="00B04F99"/>
    <w:rsid w:val="00B057B6"/>
    <w:rsid w:val="00B07BEA"/>
    <w:rsid w:val="00B07F41"/>
    <w:rsid w:val="00B10BE0"/>
    <w:rsid w:val="00B11287"/>
    <w:rsid w:val="00B11C80"/>
    <w:rsid w:val="00B12DCA"/>
    <w:rsid w:val="00B13ECB"/>
    <w:rsid w:val="00B1524F"/>
    <w:rsid w:val="00B215D5"/>
    <w:rsid w:val="00B22870"/>
    <w:rsid w:val="00B22A22"/>
    <w:rsid w:val="00B23F4C"/>
    <w:rsid w:val="00B249E2"/>
    <w:rsid w:val="00B24BA7"/>
    <w:rsid w:val="00B268D0"/>
    <w:rsid w:val="00B269D3"/>
    <w:rsid w:val="00B30448"/>
    <w:rsid w:val="00B30D75"/>
    <w:rsid w:val="00B31315"/>
    <w:rsid w:val="00B3498C"/>
    <w:rsid w:val="00B349B0"/>
    <w:rsid w:val="00B34D6A"/>
    <w:rsid w:val="00B35749"/>
    <w:rsid w:val="00B35EF5"/>
    <w:rsid w:val="00B3704D"/>
    <w:rsid w:val="00B40162"/>
    <w:rsid w:val="00B40FDB"/>
    <w:rsid w:val="00B430F6"/>
    <w:rsid w:val="00B45528"/>
    <w:rsid w:val="00B4654B"/>
    <w:rsid w:val="00B478FA"/>
    <w:rsid w:val="00B50156"/>
    <w:rsid w:val="00B509AE"/>
    <w:rsid w:val="00B50E13"/>
    <w:rsid w:val="00B51581"/>
    <w:rsid w:val="00B518AD"/>
    <w:rsid w:val="00B52D81"/>
    <w:rsid w:val="00B56866"/>
    <w:rsid w:val="00B604BB"/>
    <w:rsid w:val="00B60A96"/>
    <w:rsid w:val="00B60DD7"/>
    <w:rsid w:val="00B60EB6"/>
    <w:rsid w:val="00B6386F"/>
    <w:rsid w:val="00B67346"/>
    <w:rsid w:val="00B6793A"/>
    <w:rsid w:val="00B70E1E"/>
    <w:rsid w:val="00B71607"/>
    <w:rsid w:val="00B72361"/>
    <w:rsid w:val="00B75345"/>
    <w:rsid w:val="00B76327"/>
    <w:rsid w:val="00B76400"/>
    <w:rsid w:val="00B76C94"/>
    <w:rsid w:val="00B76D4E"/>
    <w:rsid w:val="00B771AA"/>
    <w:rsid w:val="00B772D0"/>
    <w:rsid w:val="00B7753F"/>
    <w:rsid w:val="00B77BF1"/>
    <w:rsid w:val="00B83117"/>
    <w:rsid w:val="00B8319C"/>
    <w:rsid w:val="00B906F2"/>
    <w:rsid w:val="00B90D9B"/>
    <w:rsid w:val="00B91B81"/>
    <w:rsid w:val="00B91FF0"/>
    <w:rsid w:val="00B92FFF"/>
    <w:rsid w:val="00B96799"/>
    <w:rsid w:val="00B96DE5"/>
    <w:rsid w:val="00B97A76"/>
    <w:rsid w:val="00BA0166"/>
    <w:rsid w:val="00BA0584"/>
    <w:rsid w:val="00BA249D"/>
    <w:rsid w:val="00BA4D00"/>
    <w:rsid w:val="00BA5665"/>
    <w:rsid w:val="00BB015B"/>
    <w:rsid w:val="00BB0AB5"/>
    <w:rsid w:val="00BB33E9"/>
    <w:rsid w:val="00BB3BE4"/>
    <w:rsid w:val="00BB57D3"/>
    <w:rsid w:val="00BB58EE"/>
    <w:rsid w:val="00BB7589"/>
    <w:rsid w:val="00BC077E"/>
    <w:rsid w:val="00BC7632"/>
    <w:rsid w:val="00BC7C9E"/>
    <w:rsid w:val="00BD1E79"/>
    <w:rsid w:val="00BD23A5"/>
    <w:rsid w:val="00BD2937"/>
    <w:rsid w:val="00BD2AFC"/>
    <w:rsid w:val="00BD48A9"/>
    <w:rsid w:val="00BD5712"/>
    <w:rsid w:val="00BD607F"/>
    <w:rsid w:val="00BD658C"/>
    <w:rsid w:val="00BD7EC6"/>
    <w:rsid w:val="00BE0FF2"/>
    <w:rsid w:val="00BE1345"/>
    <w:rsid w:val="00BE1E83"/>
    <w:rsid w:val="00BE2147"/>
    <w:rsid w:val="00BE3C67"/>
    <w:rsid w:val="00BE50B5"/>
    <w:rsid w:val="00BE532F"/>
    <w:rsid w:val="00BE73FA"/>
    <w:rsid w:val="00BF0353"/>
    <w:rsid w:val="00BF2001"/>
    <w:rsid w:val="00BF2575"/>
    <w:rsid w:val="00BF25F5"/>
    <w:rsid w:val="00BF3F0A"/>
    <w:rsid w:val="00BF4E35"/>
    <w:rsid w:val="00C0083F"/>
    <w:rsid w:val="00C00976"/>
    <w:rsid w:val="00C04E51"/>
    <w:rsid w:val="00C060B0"/>
    <w:rsid w:val="00C072F0"/>
    <w:rsid w:val="00C07344"/>
    <w:rsid w:val="00C07C1F"/>
    <w:rsid w:val="00C11A79"/>
    <w:rsid w:val="00C13607"/>
    <w:rsid w:val="00C137B1"/>
    <w:rsid w:val="00C13B43"/>
    <w:rsid w:val="00C151BA"/>
    <w:rsid w:val="00C15E81"/>
    <w:rsid w:val="00C16A75"/>
    <w:rsid w:val="00C174C9"/>
    <w:rsid w:val="00C17B6E"/>
    <w:rsid w:val="00C20754"/>
    <w:rsid w:val="00C22307"/>
    <w:rsid w:val="00C23150"/>
    <w:rsid w:val="00C24908"/>
    <w:rsid w:val="00C2515F"/>
    <w:rsid w:val="00C26AEA"/>
    <w:rsid w:val="00C276EC"/>
    <w:rsid w:val="00C31AD4"/>
    <w:rsid w:val="00C31C63"/>
    <w:rsid w:val="00C32481"/>
    <w:rsid w:val="00C3394C"/>
    <w:rsid w:val="00C3516D"/>
    <w:rsid w:val="00C361A6"/>
    <w:rsid w:val="00C3670F"/>
    <w:rsid w:val="00C36E1A"/>
    <w:rsid w:val="00C371DF"/>
    <w:rsid w:val="00C37818"/>
    <w:rsid w:val="00C37EFC"/>
    <w:rsid w:val="00C37FF9"/>
    <w:rsid w:val="00C40126"/>
    <w:rsid w:val="00C41425"/>
    <w:rsid w:val="00C41B4A"/>
    <w:rsid w:val="00C42C11"/>
    <w:rsid w:val="00C43ADB"/>
    <w:rsid w:val="00C44B4C"/>
    <w:rsid w:val="00C45207"/>
    <w:rsid w:val="00C45CCD"/>
    <w:rsid w:val="00C46734"/>
    <w:rsid w:val="00C5105D"/>
    <w:rsid w:val="00C511F0"/>
    <w:rsid w:val="00C51639"/>
    <w:rsid w:val="00C53220"/>
    <w:rsid w:val="00C533A0"/>
    <w:rsid w:val="00C53E9D"/>
    <w:rsid w:val="00C573DA"/>
    <w:rsid w:val="00C5781B"/>
    <w:rsid w:val="00C621A7"/>
    <w:rsid w:val="00C62BF2"/>
    <w:rsid w:val="00C62D1B"/>
    <w:rsid w:val="00C638A6"/>
    <w:rsid w:val="00C64266"/>
    <w:rsid w:val="00C647DF"/>
    <w:rsid w:val="00C668F0"/>
    <w:rsid w:val="00C66CE8"/>
    <w:rsid w:val="00C70DF4"/>
    <w:rsid w:val="00C71252"/>
    <w:rsid w:val="00C7277F"/>
    <w:rsid w:val="00C74930"/>
    <w:rsid w:val="00C74B47"/>
    <w:rsid w:val="00C754BD"/>
    <w:rsid w:val="00C75CD1"/>
    <w:rsid w:val="00C769A9"/>
    <w:rsid w:val="00C80987"/>
    <w:rsid w:val="00C813FD"/>
    <w:rsid w:val="00C82933"/>
    <w:rsid w:val="00C82BE2"/>
    <w:rsid w:val="00C85DEF"/>
    <w:rsid w:val="00C91106"/>
    <w:rsid w:val="00C91D19"/>
    <w:rsid w:val="00C94A14"/>
    <w:rsid w:val="00C96AAD"/>
    <w:rsid w:val="00CA007B"/>
    <w:rsid w:val="00CA0AA4"/>
    <w:rsid w:val="00CA1D4C"/>
    <w:rsid w:val="00CA3347"/>
    <w:rsid w:val="00CA5E51"/>
    <w:rsid w:val="00CA6FDA"/>
    <w:rsid w:val="00CA77CF"/>
    <w:rsid w:val="00CA7B58"/>
    <w:rsid w:val="00CB2518"/>
    <w:rsid w:val="00CB2D78"/>
    <w:rsid w:val="00CB3920"/>
    <w:rsid w:val="00CB6413"/>
    <w:rsid w:val="00CB696F"/>
    <w:rsid w:val="00CB78B0"/>
    <w:rsid w:val="00CC0F1C"/>
    <w:rsid w:val="00CC299A"/>
    <w:rsid w:val="00CC4280"/>
    <w:rsid w:val="00CC4F99"/>
    <w:rsid w:val="00CC6369"/>
    <w:rsid w:val="00CC73F3"/>
    <w:rsid w:val="00CD1B5A"/>
    <w:rsid w:val="00CD1E9C"/>
    <w:rsid w:val="00CD2E70"/>
    <w:rsid w:val="00CD3D06"/>
    <w:rsid w:val="00CD4A09"/>
    <w:rsid w:val="00CD4C7B"/>
    <w:rsid w:val="00CD5397"/>
    <w:rsid w:val="00CD5E93"/>
    <w:rsid w:val="00CD679F"/>
    <w:rsid w:val="00CE37A3"/>
    <w:rsid w:val="00CE6855"/>
    <w:rsid w:val="00CE6B6F"/>
    <w:rsid w:val="00CE6CBD"/>
    <w:rsid w:val="00CE7033"/>
    <w:rsid w:val="00CE770A"/>
    <w:rsid w:val="00CF02A6"/>
    <w:rsid w:val="00CF06CF"/>
    <w:rsid w:val="00CF2DC1"/>
    <w:rsid w:val="00CF2EE2"/>
    <w:rsid w:val="00CF3948"/>
    <w:rsid w:val="00CF3ACF"/>
    <w:rsid w:val="00CF441D"/>
    <w:rsid w:val="00CF4FCF"/>
    <w:rsid w:val="00CF4FDC"/>
    <w:rsid w:val="00CF56AF"/>
    <w:rsid w:val="00CF5BE0"/>
    <w:rsid w:val="00CF61CB"/>
    <w:rsid w:val="00CF6E83"/>
    <w:rsid w:val="00D00DBF"/>
    <w:rsid w:val="00D01054"/>
    <w:rsid w:val="00D01F5D"/>
    <w:rsid w:val="00D03DBE"/>
    <w:rsid w:val="00D03EED"/>
    <w:rsid w:val="00D0597D"/>
    <w:rsid w:val="00D072A7"/>
    <w:rsid w:val="00D11949"/>
    <w:rsid w:val="00D11A69"/>
    <w:rsid w:val="00D1484F"/>
    <w:rsid w:val="00D15A6E"/>
    <w:rsid w:val="00D1707A"/>
    <w:rsid w:val="00D21435"/>
    <w:rsid w:val="00D2242C"/>
    <w:rsid w:val="00D224FA"/>
    <w:rsid w:val="00D25660"/>
    <w:rsid w:val="00D258EB"/>
    <w:rsid w:val="00D271CD"/>
    <w:rsid w:val="00D315CC"/>
    <w:rsid w:val="00D31917"/>
    <w:rsid w:val="00D325E7"/>
    <w:rsid w:val="00D327A3"/>
    <w:rsid w:val="00D32E40"/>
    <w:rsid w:val="00D34C82"/>
    <w:rsid w:val="00D36550"/>
    <w:rsid w:val="00D379EC"/>
    <w:rsid w:val="00D37A67"/>
    <w:rsid w:val="00D41E42"/>
    <w:rsid w:val="00D41F6B"/>
    <w:rsid w:val="00D42BF8"/>
    <w:rsid w:val="00D4348D"/>
    <w:rsid w:val="00D44E42"/>
    <w:rsid w:val="00D44FC3"/>
    <w:rsid w:val="00D50961"/>
    <w:rsid w:val="00D50A02"/>
    <w:rsid w:val="00D512A1"/>
    <w:rsid w:val="00D52AB4"/>
    <w:rsid w:val="00D538D5"/>
    <w:rsid w:val="00D54640"/>
    <w:rsid w:val="00D559B5"/>
    <w:rsid w:val="00D56420"/>
    <w:rsid w:val="00D56C0C"/>
    <w:rsid w:val="00D5798B"/>
    <w:rsid w:val="00D60736"/>
    <w:rsid w:val="00D6307D"/>
    <w:rsid w:val="00D63632"/>
    <w:rsid w:val="00D65893"/>
    <w:rsid w:val="00D658EC"/>
    <w:rsid w:val="00D6742A"/>
    <w:rsid w:val="00D67B9B"/>
    <w:rsid w:val="00D71733"/>
    <w:rsid w:val="00D718AC"/>
    <w:rsid w:val="00D7302F"/>
    <w:rsid w:val="00D74D14"/>
    <w:rsid w:val="00D75E82"/>
    <w:rsid w:val="00D769C5"/>
    <w:rsid w:val="00D76E76"/>
    <w:rsid w:val="00D80631"/>
    <w:rsid w:val="00D818EC"/>
    <w:rsid w:val="00D81A20"/>
    <w:rsid w:val="00D81F55"/>
    <w:rsid w:val="00D8321A"/>
    <w:rsid w:val="00D86D55"/>
    <w:rsid w:val="00D8789C"/>
    <w:rsid w:val="00D87E50"/>
    <w:rsid w:val="00D90558"/>
    <w:rsid w:val="00D914EB"/>
    <w:rsid w:val="00D94085"/>
    <w:rsid w:val="00D96D4F"/>
    <w:rsid w:val="00DA1806"/>
    <w:rsid w:val="00DA212B"/>
    <w:rsid w:val="00DA3A76"/>
    <w:rsid w:val="00DA73C1"/>
    <w:rsid w:val="00DA770D"/>
    <w:rsid w:val="00DB00EE"/>
    <w:rsid w:val="00DB3687"/>
    <w:rsid w:val="00DB68F2"/>
    <w:rsid w:val="00DC0445"/>
    <w:rsid w:val="00DC2C48"/>
    <w:rsid w:val="00DC46B5"/>
    <w:rsid w:val="00DC525E"/>
    <w:rsid w:val="00DC535C"/>
    <w:rsid w:val="00DC5DCB"/>
    <w:rsid w:val="00DD074A"/>
    <w:rsid w:val="00DD1941"/>
    <w:rsid w:val="00DD26A5"/>
    <w:rsid w:val="00DD34F2"/>
    <w:rsid w:val="00DD3C6B"/>
    <w:rsid w:val="00DD7631"/>
    <w:rsid w:val="00DD781E"/>
    <w:rsid w:val="00DD7A2C"/>
    <w:rsid w:val="00DE1238"/>
    <w:rsid w:val="00DE1FFE"/>
    <w:rsid w:val="00DE32E7"/>
    <w:rsid w:val="00DE3BB8"/>
    <w:rsid w:val="00DE5117"/>
    <w:rsid w:val="00DE5648"/>
    <w:rsid w:val="00DE595E"/>
    <w:rsid w:val="00DE5CD9"/>
    <w:rsid w:val="00DE70B5"/>
    <w:rsid w:val="00DE7113"/>
    <w:rsid w:val="00DF0576"/>
    <w:rsid w:val="00DF1981"/>
    <w:rsid w:val="00DF2144"/>
    <w:rsid w:val="00DF2EA5"/>
    <w:rsid w:val="00DF310B"/>
    <w:rsid w:val="00DF3E47"/>
    <w:rsid w:val="00DF3E82"/>
    <w:rsid w:val="00DF56E8"/>
    <w:rsid w:val="00DF7133"/>
    <w:rsid w:val="00DF764C"/>
    <w:rsid w:val="00E0495B"/>
    <w:rsid w:val="00E04ECF"/>
    <w:rsid w:val="00E067C4"/>
    <w:rsid w:val="00E126B2"/>
    <w:rsid w:val="00E127E3"/>
    <w:rsid w:val="00E14818"/>
    <w:rsid w:val="00E148E8"/>
    <w:rsid w:val="00E1610C"/>
    <w:rsid w:val="00E16658"/>
    <w:rsid w:val="00E16660"/>
    <w:rsid w:val="00E16C78"/>
    <w:rsid w:val="00E16D73"/>
    <w:rsid w:val="00E17833"/>
    <w:rsid w:val="00E17981"/>
    <w:rsid w:val="00E17CD2"/>
    <w:rsid w:val="00E17E36"/>
    <w:rsid w:val="00E206D8"/>
    <w:rsid w:val="00E2352B"/>
    <w:rsid w:val="00E23F9B"/>
    <w:rsid w:val="00E26649"/>
    <w:rsid w:val="00E27F0A"/>
    <w:rsid w:val="00E33EB4"/>
    <w:rsid w:val="00E352C3"/>
    <w:rsid w:val="00E372F7"/>
    <w:rsid w:val="00E37DC0"/>
    <w:rsid w:val="00E37EC6"/>
    <w:rsid w:val="00E40432"/>
    <w:rsid w:val="00E40D52"/>
    <w:rsid w:val="00E4123F"/>
    <w:rsid w:val="00E41CE2"/>
    <w:rsid w:val="00E4220D"/>
    <w:rsid w:val="00E4231E"/>
    <w:rsid w:val="00E4279A"/>
    <w:rsid w:val="00E44AC7"/>
    <w:rsid w:val="00E453BD"/>
    <w:rsid w:val="00E45B2D"/>
    <w:rsid w:val="00E47A20"/>
    <w:rsid w:val="00E5084C"/>
    <w:rsid w:val="00E5384D"/>
    <w:rsid w:val="00E53F2E"/>
    <w:rsid w:val="00E54BB9"/>
    <w:rsid w:val="00E54D3F"/>
    <w:rsid w:val="00E55F1F"/>
    <w:rsid w:val="00E56866"/>
    <w:rsid w:val="00E57DFD"/>
    <w:rsid w:val="00E60423"/>
    <w:rsid w:val="00E607E5"/>
    <w:rsid w:val="00E60A16"/>
    <w:rsid w:val="00E6125B"/>
    <w:rsid w:val="00E6170A"/>
    <w:rsid w:val="00E62ADF"/>
    <w:rsid w:val="00E637A3"/>
    <w:rsid w:val="00E63B66"/>
    <w:rsid w:val="00E66BA2"/>
    <w:rsid w:val="00E677DB"/>
    <w:rsid w:val="00E71C2D"/>
    <w:rsid w:val="00E72BB6"/>
    <w:rsid w:val="00E778DC"/>
    <w:rsid w:val="00E80D00"/>
    <w:rsid w:val="00E815CE"/>
    <w:rsid w:val="00E81611"/>
    <w:rsid w:val="00E81800"/>
    <w:rsid w:val="00E81863"/>
    <w:rsid w:val="00E81C42"/>
    <w:rsid w:val="00E81C5C"/>
    <w:rsid w:val="00E82064"/>
    <w:rsid w:val="00E82B6E"/>
    <w:rsid w:val="00E82DC6"/>
    <w:rsid w:val="00E835C5"/>
    <w:rsid w:val="00E83ACD"/>
    <w:rsid w:val="00E848F0"/>
    <w:rsid w:val="00E84D1C"/>
    <w:rsid w:val="00E8628F"/>
    <w:rsid w:val="00E942B8"/>
    <w:rsid w:val="00E945AF"/>
    <w:rsid w:val="00E94A0B"/>
    <w:rsid w:val="00E94A2C"/>
    <w:rsid w:val="00E95799"/>
    <w:rsid w:val="00E9683D"/>
    <w:rsid w:val="00E970B7"/>
    <w:rsid w:val="00EA010D"/>
    <w:rsid w:val="00EA0507"/>
    <w:rsid w:val="00EA25EB"/>
    <w:rsid w:val="00EA2775"/>
    <w:rsid w:val="00EA5570"/>
    <w:rsid w:val="00EA59B3"/>
    <w:rsid w:val="00EA612E"/>
    <w:rsid w:val="00EA761C"/>
    <w:rsid w:val="00EA7D7F"/>
    <w:rsid w:val="00EB0B5F"/>
    <w:rsid w:val="00EB1CF7"/>
    <w:rsid w:val="00EB2B6F"/>
    <w:rsid w:val="00EB2FA2"/>
    <w:rsid w:val="00EB3272"/>
    <w:rsid w:val="00EB5D99"/>
    <w:rsid w:val="00EB63EC"/>
    <w:rsid w:val="00EB769A"/>
    <w:rsid w:val="00EC11E4"/>
    <w:rsid w:val="00EC14E1"/>
    <w:rsid w:val="00EC2A3F"/>
    <w:rsid w:val="00EC2E64"/>
    <w:rsid w:val="00EC3A35"/>
    <w:rsid w:val="00EC3E69"/>
    <w:rsid w:val="00EC5554"/>
    <w:rsid w:val="00EC75F6"/>
    <w:rsid w:val="00ED0065"/>
    <w:rsid w:val="00ED353D"/>
    <w:rsid w:val="00ED3E64"/>
    <w:rsid w:val="00ED57B3"/>
    <w:rsid w:val="00ED588C"/>
    <w:rsid w:val="00EE1062"/>
    <w:rsid w:val="00EE17F2"/>
    <w:rsid w:val="00EE188A"/>
    <w:rsid w:val="00EE1B01"/>
    <w:rsid w:val="00EE2746"/>
    <w:rsid w:val="00EE6755"/>
    <w:rsid w:val="00EF03DC"/>
    <w:rsid w:val="00EF0437"/>
    <w:rsid w:val="00EF2AC7"/>
    <w:rsid w:val="00EF493F"/>
    <w:rsid w:val="00EF74E7"/>
    <w:rsid w:val="00F02C54"/>
    <w:rsid w:val="00F0448C"/>
    <w:rsid w:val="00F10C26"/>
    <w:rsid w:val="00F1377B"/>
    <w:rsid w:val="00F1601A"/>
    <w:rsid w:val="00F1675C"/>
    <w:rsid w:val="00F17428"/>
    <w:rsid w:val="00F20046"/>
    <w:rsid w:val="00F20D22"/>
    <w:rsid w:val="00F21A58"/>
    <w:rsid w:val="00F27F06"/>
    <w:rsid w:val="00F314E8"/>
    <w:rsid w:val="00F316A2"/>
    <w:rsid w:val="00F31F4F"/>
    <w:rsid w:val="00F323A2"/>
    <w:rsid w:val="00F33B57"/>
    <w:rsid w:val="00F33D5C"/>
    <w:rsid w:val="00F356D6"/>
    <w:rsid w:val="00F37D37"/>
    <w:rsid w:val="00F400E3"/>
    <w:rsid w:val="00F42D85"/>
    <w:rsid w:val="00F44642"/>
    <w:rsid w:val="00F454A2"/>
    <w:rsid w:val="00F45E89"/>
    <w:rsid w:val="00F47845"/>
    <w:rsid w:val="00F47B6C"/>
    <w:rsid w:val="00F50675"/>
    <w:rsid w:val="00F50BD6"/>
    <w:rsid w:val="00F50E16"/>
    <w:rsid w:val="00F51520"/>
    <w:rsid w:val="00F53151"/>
    <w:rsid w:val="00F535A9"/>
    <w:rsid w:val="00F5480F"/>
    <w:rsid w:val="00F567A4"/>
    <w:rsid w:val="00F605BE"/>
    <w:rsid w:val="00F61C7A"/>
    <w:rsid w:val="00F625F7"/>
    <w:rsid w:val="00F642BA"/>
    <w:rsid w:val="00F64D5A"/>
    <w:rsid w:val="00F65EC9"/>
    <w:rsid w:val="00F66CB1"/>
    <w:rsid w:val="00F70815"/>
    <w:rsid w:val="00F709F4"/>
    <w:rsid w:val="00F710A9"/>
    <w:rsid w:val="00F7284D"/>
    <w:rsid w:val="00F72CFE"/>
    <w:rsid w:val="00F72FB0"/>
    <w:rsid w:val="00F73423"/>
    <w:rsid w:val="00F737A4"/>
    <w:rsid w:val="00F75481"/>
    <w:rsid w:val="00F76A4C"/>
    <w:rsid w:val="00F82E2E"/>
    <w:rsid w:val="00F83601"/>
    <w:rsid w:val="00F837E6"/>
    <w:rsid w:val="00F8389A"/>
    <w:rsid w:val="00F83AE9"/>
    <w:rsid w:val="00F843D4"/>
    <w:rsid w:val="00F8516E"/>
    <w:rsid w:val="00F86741"/>
    <w:rsid w:val="00F87AE3"/>
    <w:rsid w:val="00F90613"/>
    <w:rsid w:val="00F906F4"/>
    <w:rsid w:val="00F915F3"/>
    <w:rsid w:val="00F91800"/>
    <w:rsid w:val="00F91853"/>
    <w:rsid w:val="00F91987"/>
    <w:rsid w:val="00F9208E"/>
    <w:rsid w:val="00F92C02"/>
    <w:rsid w:val="00F92FF1"/>
    <w:rsid w:val="00F95CCE"/>
    <w:rsid w:val="00F9692D"/>
    <w:rsid w:val="00F97D7B"/>
    <w:rsid w:val="00FA0F71"/>
    <w:rsid w:val="00FA30E5"/>
    <w:rsid w:val="00FA3A97"/>
    <w:rsid w:val="00FA3AEA"/>
    <w:rsid w:val="00FA4219"/>
    <w:rsid w:val="00FA4358"/>
    <w:rsid w:val="00FA48C7"/>
    <w:rsid w:val="00FA54FF"/>
    <w:rsid w:val="00FA5570"/>
    <w:rsid w:val="00FA5C0B"/>
    <w:rsid w:val="00FA70F5"/>
    <w:rsid w:val="00FB005D"/>
    <w:rsid w:val="00FB183E"/>
    <w:rsid w:val="00FB4629"/>
    <w:rsid w:val="00FB577F"/>
    <w:rsid w:val="00FB5FC4"/>
    <w:rsid w:val="00FB6A07"/>
    <w:rsid w:val="00FB6FB1"/>
    <w:rsid w:val="00FC6D4E"/>
    <w:rsid w:val="00FC736F"/>
    <w:rsid w:val="00FC75BD"/>
    <w:rsid w:val="00FD39CF"/>
    <w:rsid w:val="00FE1370"/>
    <w:rsid w:val="00FE1510"/>
    <w:rsid w:val="00FE2121"/>
    <w:rsid w:val="00FE321B"/>
    <w:rsid w:val="00FE3D07"/>
    <w:rsid w:val="00FE4B6F"/>
    <w:rsid w:val="00FE6818"/>
    <w:rsid w:val="00FF0CF5"/>
    <w:rsid w:val="00FF0D6F"/>
    <w:rsid w:val="00FF1712"/>
    <w:rsid w:val="00FF37DC"/>
    <w:rsid w:val="00FF37F2"/>
    <w:rsid w:val="00FF4FBA"/>
    <w:rsid w:val="00FF55AB"/>
    <w:rsid w:val="00FF5AAC"/>
    <w:rsid w:val="00FF69C8"/>
    <w:rsid w:val="00FF6D3D"/>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221"/>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semiHidden/>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semiHidden/>
    <w:rsid w:val="00002D5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B7753F"/>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balagueravaliente@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CE5B88EC-D81F-4802-A526-8384A1319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17</Pages>
  <Words>5923</Words>
  <Characters>31098</Characters>
  <Application>Microsoft Office Word</Application>
  <DocSecurity>0</DocSecurity>
  <Lines>609</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36898</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11</cp:revision>
  <dcterms:created xsi:type="dcterms:W3CDTF">2025-12-18T03:02:00Z</dcterms:created>
  <dcterms:modified xsi:type="dcterms:W3CDTF">2025-12-18T17:25:00Z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