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B529CC" w14:textId="77777777" w:rsidR="0074244D" w:rsidRPr="00682C93" w:rsidRDefault="0074244D" w:rsidP="0074244D">
      <w:pPr>
        <w:spacing w:after="0" w:line="240" w:lineRule="auto"/>
        <w:jc w:val="both"/>
        <w:rPr>
          <w:rFonts w:ascii="Verdana" w:hAnsi="Verdana" w:cs="Arial"/>
          <w:b/>
          <w:lang w:val="es-MX" w:eastAsia="es-ES_tradnl"/>
        </w:rPr>
      </w:pPr>
      <w:bookmarkStart w:id="0" w:name="_Hlk143780582"/>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Finalidad </w:t>
      </w:r>
    </w:p>
    <w:p w14:paraId="771137EB" w14:textId="77777777" w:rsidR="0074244D" w:rsidRDefault="0074244D" w:rsidP="0074244D">
      <w:pPr>
        <w:spacing w:after="0" w:line="240" w:lineRule="auto"/>
        <w:jc w:val="both"/>
        <w:rPr>
          <w:rFonts w:ascii="Verdana" w:hAnsi="Verdana" w:cs="Arial"/>
          <w:b/>
          <w:lang w:val="es-MX" w:eastAsia="es-ES_tradnl"/>
        </w:rPr>
      </w:pPr>
    </w:p>
    <w:p w14:paraId="6A9B3724" w14:textId="77777777" w:rsidR="0074244D" w:rsidRDefault="0074244D" w:rsidP="0074244D">
      <w:pPr>
        <w:spacing w:after="0" w:line="240" w:lineRule="auto"/>
        <w:jc w:val="both"/>
        <w:rPr>
          <w:rFonts w:ascii="Verdana" w:eastAsia="Times New Roman" w:hAnsi="Verdana" w:cs="Arial"/>
          <w:sz w:val="20"/>
          <w:lang w:val="es-MX" w:eastAsia="es-CO"/>
        </w:rPr>
      </w:pPr>
      <w:r w:rsidRPr="00682C93">
        <w:rPr>
          <w:rFonts w:ascii="Verdana" w:eastAsia="Times New Roman" w:hAnsi="Verdana" w:cs="Arial"/>
          <w:sz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5F9F5B2F" w14:textId="77777777" w:rsidR="0074244D" w:rsidRPr="00682C93" w:rsidRDefault="0074244D" w:rsidP="0074244D">
      <w:pPr>
        <w:spacing w:after="0" w:line="240" w:lineRule="auto"/>
        <w:jc w:val="both"/>
        <w:rPr>
          <w:rFonts w:ascii="Verdana" w:hAnsi="Verdana" w:cs="Arial"/>
          <w:b/>
          <w:sz w:val="20"/>
          <w:lang w:val="es-MX" w:eastAsia="es-ES_tradnl"/>
        </w:rPr>
      </w:pPr>
    </w:p>
    <w:p w14:paraId="7F7A049E" w14:textId="77777777" w:rsidR="0074244D" w:rsidRPr="00682C93" w:rsidRDefault="0074244D" w:rsidP="0074244D">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Tipos de restricciones </w:t>
      </w:r>
      <w:r w:rsidRPr="00682C93">
        <w:rPr>
          <w:rFonts w:ascii="Verdana" w:hAnsi="Verdana" w:cs="Arial"/>
          <w:b/>
          <w:bCs/>
          <w:lang w:val="es-MX" w:eastAsia="es-ES_tradnl"/>
        </w:rPr>
        <w:t>‒</w:t>
      </w:r>
      <w:r w:rsidRPr="00682C93">
        <w:rPr>
          <w:rFonts w:ascii="Verdana" w:hAnsi="Verdana" w:cs="Arial"/>
          <w:b/>
          <w:lang w:val="es-MX" w:eastAsia="es-ES_tradnl"/>
        </w:rPr>
        <w:t xml:space="preserve"> Ámbito temporal – celebración- límite</w:t>
      </w:r>
    </w:p>
    <w:p w14:paraId="07102CD8" w14:textId="77777777" w:rsidR="0074244D" w:rsidRDefault="0074244D" w:rsidP="0074244D">
      <w:pPr>
        <w:spacing w:after="0" w:line="240" w:lineRule="auto"/>
        <w:jc w:val="both"/>
        <w:rPr>
          <w:rFonts w:ascii="Verdana" w:hAnsi="Verdana" w:cs="Arial"/>
          <w:b/>
          <w:lang w:val="es-MX" w:eastAsia="es-ES_tradnl"/>
        </w:rPr>
      </w:pPr>
    </w:p>
    <w:p w14:paraId="12950F4C" w14:textId="77777777" w:rsidR="0074244D" w:rsidRPr="00E41F23" w:rsidRDefault="0074244D" w:rsidP="0074244D">
      <w:pPr>
        <w:spacing w:after="0" w:line="240" w:lineRule="auto"/>
        <w:jc w:val="both"/>
        <w:rPr>
          <w:rFonts w:ascii="Verdana" w:eastAsia="Calibri" w:hAnsi="Verdana" w:cs="Arial"/>
          <w:sz w:val="20"/>
        </w:rPr>
      </w:pPr>
      <w:r w:rsidRPr="00E41F23">
        <w:rPr>
          <w:rFonts w:ascii="Verdana" w:eastAsia="Calibri" w:hAnsi="Verdana" w:cs="Arial"/>
          <w:sz w:val="20"/>
        </w:rPr>
        <w:t xml:space="preserve">Por un lado, el </w:t>
      </w:r>
      <w:r w:rsidRPr="00E41F23">
        <w:rPr>
          <w:rFonts w:ascii="Verdana" w:eastAsia="Calibri" w:hAnsi="Verdana" w:cs="Arial"/>
          <w:i/>
          <w:iCs/>
          <w:sz w:val="20"/>
        </w:rPr>
        <w:t>artículo 33 de la Ley 996 de 2005</w:t>
      </w:r>
      <w:r w:rsidRPr="00E41F23">
        <w:rPr>
          <w:rFonts w:ascii="Verdana" w:eastAsia="Calibri" w:hAnsi="Verdana" w:cs="Arial"/>
          <w:sz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7B788C41" w14:textId="77777777" w:rsidR="0074244D" w:rsidRPr="00E41F23" w:rsidRDefault="0074244D" w:rsidP="0074244D">
      <w:pPr>
        <w:spacing w:after="0" w:line="240" w:lineRule="auto"/>
        <w:jc w:val="both"/>
        <w:rPr>
          <w:rFonts w:ascii="Verdana" w:eastAsia="Calibri" w:hAnsi="Verdana" w:cs="Arial"/>
          <w:sz w:val="20"/>
        </w:rPr>
      </w:pPr>
    </w:p>
    <w:p w14:paraId="5AA99BEA" w14:textId="77777777" w:rsidR="0074244D" w:rsidRDefault="0074244D" w:rsidP="0074244D">
      <w:pPr>
        <w:widowControl w:val="0"/>
        <w:autoSpaceDE w:val="0"/>
        <w:autoSpaceDN w:val="0"/>
        <w:spacing w:after="0" w:line="240" w:lineRule="auto"/>
        <w:ind w:right="113"/>
        <w:jc w:val="both"/>
        <w:rPr>
          <w:rFonts w:ascii="Verdana" w:eastAsia="Arial" w:hAnsi="Verdana" w:cs="Arial"/>
          <w:sz w:val="20"/>
          <w:lang w:val="es-ES" w:eastAsia="es-ES" w:bidi="es-ES"/>
        </w:rPr>
      </w:pPr>
      <w:r w:rsidRPr="00E41F23">
        <w:rPr>
          <w:rFonts w:ascii="Verdana" w:eastAsia="Calibri" w:hAnsi="Verdana" w:cs="Arial"/>
          <w:sz w:val="20"/>
        </w:rPr>
        <w:t xml:space="preserve">Por otro lado, </w:t>
      </w:r>
      <w:r w:rsidRPr="00E41F23">
        <w:rPr>
          <w:rFonts w:ascii="Verdana" w:eastAsia="Calibri" w:hAnsi="Verdana" w:cs="Arial"/>
          <w:i/>
          <w:iCs/>
          <w:sz w:val="20"/>
        </w:rPr>
        <w:t>el parágrafo del artículo 38 de la Ley 996 de 2005</w:t>
      </w:r>
      <w:r w:rsidRPr="00E41F23">
        <w:rPr>
          <w:rFonts w:ascii="Verdana" w:eastAsia="Calibri" w:hAnsi="Verdana" w:cs="Arial"/>
          <w:sz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41F23">
        <w:rPr>
          <w:rFonts w:ascii="Verdana" w:eastAsia="Calibri" w:hAnsi="Verdana" w:cs="Arial"/>
          <w:sz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41F23">
        <w:rPr>
          <w:rFonts w:ascii="Verdana" w:eastAsia="Calibri" w:hAnsi="Verdana" w:cs="Arial"/>
          <w:sz w:val="20"/>
        </w:rPr>
        <w:t>”</w:t>
      </w:r>
      <w:r w:rsidRPr="00E41F23">
        <w:rPr>
          <w:rFonts w:ascii="Verdana" w:eastAsia="Calibri" w:hAnsi="Verdana" w:cs="Arial"/>
          <w:sz w:val="20"/>
          <w:lang w:val="es-MX"/>
        </w:rPr>
        <w:t>.</w:t>
      </w:r>
      <w:r w:rsidRPr="00E41F23">
        <w:rPr>
          <w:rFonts w:ascii="Verdana" w:eastAsia="Arial" w:hAnsi="Verdana" w:cs="Arial"/>
          <w:sz w:val="20"/>
          <w:lang w:val="es-ES" w:eastAsia="es-ES" w:bidi="es-ES"/>
        </w:rPr>
        <w:t xml:space="preserve"> </w:t>
      </w:r>
    </w:p>
    <w:p w14:paraId="37CF350D" w14:textId="77777777" w:rsidR="0074244D" w:rsidRPr="00E41F23" w:rsidRDefault="0074244D" w:rsidP="0074244D">
      <w:pPr>
        <w:widowControl w:val="0"/>
        <w:autoSpaceDE w:val="0"/>
        <w:autoSpaceDN w:val="0"/>
        <w:spacing w:after="0" w:line="240" w:lineRule="auto"/>
        <w:ind w:right="113"/>
        <w:jc w:val="both"/>
        <w:rPr>
          <w:rFonts w:ascii="Verdana" w:eastAsia="Arial" w:hAnsi="Verdana" w:cs="Arial"/>
          <w:sz w:val="20"/>
          <w:lang w:val="es-ES" w:eastAsia="es-ES" w:bidi="es-ES"/>
        </w:rPr>
      </w:pPr>
    </w:p>
    <w:p w14:paraId="233313C8" w14:textId="77777777" w:rsidR="0074244D" w:rsidRPr="00E41F23" w:rsidRDefault="0074244D" w:rsidP="0074244D">
      <w:pPr>
        <w:spacing w:after="0" w:line="240" w:lineRule="auto"/>
        <w:jc w:val="both"/>
        <w:rPr>
          <w:rFonts w:ascii="Verdana" w:eastAsia="Times New Roman" w:hAnsi="Verdana" w:cs="Arial"/>
          <w:bCs/>
          <w:sz w:val="20"/>
          <w:lang w:val="es-ES" w:eastAsia="es-CO"/>
        </w:rPr>
      </w:pPr>
      <w:r w:rsidRPr="00E41F23">
        <w:rPr>
          <w:rFonts w:ascii="Verdana" w:eastAsia="Times New Roman" w:hAnsi="Verdana" w:cs="Arial"/>
          <w:bCs/>
          <w:sz w:val="20"/>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E41F23">
        <w:rPr>
          <w:rFonts w:ascii="Verdana" w:eastAsia="Times New Roman" w:hAnsi="Verdana" w:cs="Arial"/>
          <w:bCs/>
          <w:sz w:val="20"/>
          <w:lang w:val="es-ES" w:eastAsia="es-CO"/>
        </w:rPr>
        <w:t xml:space="preserve">la existencia de los contratos estatales, es decir, la producción de efectos jurídicos en los términos del artículo 1501 </w:t>
      </w:r>
      <w:r w:rsidRPr="00E41F23">
        <w:rPr>
          <w:rFonts w:ascii="Verdana" w:eastAsia="Times New Roman" w:hAnsi="Verdana" w:cs="Arial"/>
          <w:bCs/>
          <w:i/>
          <w:sz w:val="20"/>
          <w:lang w:val="es-ES" w:eastAsia="es-CO"/>
        </w:rPr>
        <w:t>ibídem</w:t>
      </w:r>
      <w:r w:rsidRPr="00E41F23">
        <w:rPr>
          <w:rFonts w:ascii="Verdana" w:eastAsia="Times New Roman" w:hAnsi="Verdana" w:cs="Arial"/>
          <w:bCs/>
          <w:sz w:val="20"/>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798AB43F" w14:textId="77777777" w:rsidR="0074244D" w:rsidRPr="003F2A9C" w:rsidRDefault="0074244D" w:rsidP="0074244D">
      <w:pPr>
        <w:spacing w:after="0" w:line="240" w:lineRule="auto"/>
        <w:jc w:val="both"/>
        <w:rPr>
          <w:rFonts w:ascii="Verdana" w:hAnsi="Verdana" w:cs="Arial"/>
          <w:b/>
          <w:sz w:val="20"/>
          <w:lang w:val="es-MX" w:eastAsia="es-ES_tradnl"/>
        </w:rPr>
      </w:pPr>
    </w:p>
    <w:p w14:paraId="5931D7DC" w14:textId="77777777" w:rsidR="0074244D" w:rsidRPr="00682C93" w:rsidRDefault="0074244D" w:rsidP="0074244D">
      <w:pPr>
        <w:spacing w:after="0" w:line="240" w:lineRule="auto"/>
        <w:jc w:val="both"/>
        <w:rPr>
          <w:rFonts w:ascii="Verdana" w:hAnsi="Verdana" w:cs="Arial"/>
          <w:b/>
          <w:lang w:val="es-MX" w:eastAsia="es-ES_tradnl"/>
        </w:rPr>
      </w:pPr>
      <w:r w:rsidRPr="00682C93">
        <w:rPr>
          <w:rFonts w:ascii="Verdana" w:hAnsi="Verdana" w:cs="Arial"/>
          <w:b/>
          <w:lang w:val="es-MX" w:eastAsia="es-ES_tradnl"/>
        </w:rPr>
        <w:lastRenderedPageBreak/>
        <w:t xml:space="preserve">LEY DE GARANTÍAS ELECTORALES – Prohibición artículo 33 – Contratación directa – Alcance </w:t>
      </w:r>
    </w:p>
    <w:p w14:paraId="6833003D" w14:textId="77777777" w:rsidR="0074244D" w:rsidRDefault="0074244D" w:rsidP="0074244D">
      <w:pPr>
        <w:spacing w:after="0" w:line="240" w:lineRule="auto"/>
        <w:jc w:val="both"/>
        <w:rPr>
          <w:rFonts w:ascii="Verdana" w:hAnsi="Verdana" w:cs="Arial"/>
          <w:b/>
          <w:lang w:val="es-MX" w:eastAsia="es-ES_tradnl"/>
        </w:rPr>
      </w:pPr>
    </w:p>
    <w:p w14:paraId="079D24E4" w14:textId="77777777" w:rsidR="0074244D" w:rsidRPr="00E41F23" w:rsidRDefault="0074244D" w:rsidP="0074244D">
      <w:pPr>
        <w:spacing w:after="0" w:line="240" w:lineRule="auto"/>
        <w:jc w:val="both"/>
        <w:rPr>
          <w:rFonts w:ascii="Verdana" w:eastAsia="Times New Roman" w:hAnsi="Verdana" w:cs="Arial"/>
          <w:bCs/>
          <w:sz w:val="20"/>
          <w:lang w:eastAsia="x-none"/>
        </w:rPr>
      </w:pPr>
      <w:r w:rsidRPr="00E41F23">
        <w:rPr>
          <w:rFonts w:ascii="Verdana" w:eastAsia="Times New Roman" w:hAnsi="Verdana" w:cs="Arial"/>
          <w:sz w:val="20"/>
          <w:lang w:eastAsia="x-none"/>
        </w:rPr>
        <w:t xml:space="preserve">De acuerdo con el citado concepto, la prohibición del artículo 33 de la Ley de Garantías Electorales se refiere a </w:t>
      </w:r>
      <w:r w:rsidRPr="00E41F23">
        <w:rPr>
          <w:rFonts w:ascii="Verdana" w:eastAsia="Times New Roman" w:hAnsi="Verdana" w:cs="Arial"/>
          <w:sz w:val="18"/>
          <w:szCs w:val="19"/>
          <w:lang w:eastAsia="en-GB"/>
        </w:rPr>
        <w:t>“</w:t>
      </w:r>
      <w:r w:rsidRPr="00E41F23">
        <w:rPr>
          <w:rFonts w:ascii="Verdana" w:eastAsia="Times New Roman" w:hAnsi="Verdana" w:cs="Arial"/>
          <w:sz w:val="20"/>
          <w:lang w:eastAsia="x-none"/>
        </w:rPr>
        <w:t>cualquier sistema que no implique convocatoria pública y posibilidad de pluralidad de oferentes</w:t>
      </w:r>
      <w:r w:rsidRPr="00E41F23">
        <w:rPr>
          <w:rFonts w:ascii="Verdana" w:eastAsia="Times New Roman" w:hAnsi="Verdana" w:cs="Arial"/>
          <w:sz w:val="20"/>
          <w:lang w:eastAsia="en-GB"/>
        </w:rPr>
        <w:t>”</w:t>
      </w:r>
      <w:r w:rsidRPr="00E41F23">
        <w:rPr>
          <w:rFonts w:ascii="Verdana" w:eastAsia="Times New Roman" w:hAnsi="Verdana" w:cs="Arial"/>
          <w:sz w:val="20"/>
          <w:lang w:eastAsia="x-none"/>
        </w:rPr>
        <w:t xml:space="preserve">, por lo que excluye las demás modalidades de contratación previstas en la Ley 1150 de 2007, es decir, la licitación pública, la selección abreviada, el concurso de méritos </w:t>
      </w:r>
      <w:r w:rsidRPr="00E41F23">
        <w:rPr>
          <w:rFonts w:ascii="Verdana" w:eastAsia="Times New Roman" w:hAnsi="Verdana" w:cs="Arial"/>
          <w:sz w:val="20"/>
          <w:lang w:val="es-ES_tradnl" w:eastAsia="x-none"/>
        </w:rPr>
        <w:t>y la mínima cuantía</w:t>
      </w:r>
      <w:r w:rsidRPr="00E41F23" w:rsidDel="00A85D9F">
        <w:rPr>
          <w:rFonts w:ascii="Verdana" w:eastAsia="Times New Roman" w:hAnsi="Verdana" w:cs="Arial"/>
          <w:sz w:val="20"/>
          <w:lang w:eastAsia="x-none"/>
        </w:rPr>
        <w:t xml:space="preserve"> </w:t>
      </w:r>
      <w:r w:rsidRPr="00E41F23">
        <w:rPr>
          <w:rFonts w:ascii="Verdana" w:eastAsia="Times New Roman" w:hAnsi="Verdana" w:cs="Arial"/>
          <w:sz w:val="20"/>
          <w:lang w:eastAsia="x-none"/>
        </w:rPr>
        <w:t xml:space="preserve">u otros previstos en normas especiales. Esta posición es congruente con la expedición de la Ley 1150 de 2007 que, entre otras reformas, introdujo la selección abreviada, rediseñó el concurso de méritos y sistematizó las causales de contratación directa, </w:t>
      </w:r>
      <w:r w:rsidRPr="00E41F23">
        <w:rPr>
          <w:rFonts w:ascii="Verdana" w:eastAsia="Calibri" w:hAnsi="Verdana" w:cs="Arial"/>
          <w:sz w:val="20"/>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329CF48E" w14:textId="77777777" w:rsidR="0074244D" w:rsidRPr="00E41F23" w:rsidRDefault="0074244D" w:rsidP="0074244D">
      <w:pPr>
        <w:spacing w:after="0" w:line="240" w:lineRule="auto"/>
        <w:jc w:val="both"/>
        <w:rPr>
          <w:rFonts w:ascii="Verdana" w:hAnsi="Verdana" w:cs="Arial"/>
          <w:b/>
          <w:lang w:eastAsia="es-ES_tradnl"/>
        </w:rPr>
      </w:pPr>
    </w:p>
    <w:p w14:paraId="4A5EA821" w14:textId="77777777" w:rsidR="0074244D" w:rsidRPr="00682C93" w:rsidRDefault="0074244D" w:rsidP="0074244D">
      <w:pPr>
        <w:spacing w:after="0" w:line="240" w:lineRule="auto"/>
        <w:jc w:val="both"/>
        <w:rPr>
          <w:rFonts w:ascii="Verdana" w:hAnsi="Verdana" w:cs="Arial"/>
          <w:b/>
          <w:lang w:val="es-MX" w:eastAsia="es-ES_tradnl"/>
        </w:rPr>
      </w:pPr>
      <w:r w:rsidRPr="00682C93">
        <w:rPr>
          <w:rFonts w:ascii="Verdana" w:hAnsi="Verdana" w:cs="Arial"/>
          <w:b/>
          <w:lang w:val="es-MX" w:eastAsia="es-ES_tradnl"/>
        </w:rPr>
        <w:t>LEY DE GARANTÍAS ELECTORALES – Excepciones</w:t>
      </w:r>
    </w:p>
    <w:p w14:paraId="2C64CAD6" w14:textId="77777777" w:rsidR="0074244D" w:rsidRPr="00E41F23" w:rsidRDefault="0074244D" w:rsidP="0074244D">
      <w:pPr>
        <w:spacing w:after="0" w:line="240" w:lineRule="auto"/>
        <w:jc w:val="both"/>
        <w:rPr>
          <w:rFonts w:ascii="Verdana" w:hAnsi="Verdana" w:cs="Arial"/>
          <w:b/>
          <w:sz w:val="20"/>
          <w:lang w:val="es-MX" w:eastAsia="es-ES_tradnl"/>
        </w:rPr>
      </w:pPr>
    </w:p>
    <w:p w14:paraId="31C64D35" w14:textId="77777777" w:rsidR="0074244D" w:rsidRPr="00E41F23" w:rsidRDefault="0074244D" w:rsidP="0074244D">
      <w:pPr>
        <w:spacing w:after="0" w:line="240" w:lineRule="auto"/>
        <w:jc w:val="both"/>
        <w:rPr>
          <w:rFonts w:ascii="Verdana" w:eastAsia="Times New Roman" w:hAnsi="Verdana" w:cs="Arial"/>
          <w:bCs/>
          <w:sz w:val="20"/>
          <w:lang w:val="es-MX" w:eastAsia="es-CO"/>
        </w:rPr>
      </w:pPr>
      <w:r w:rsidRPr="00E41F23">
        <w:rPr>
          <w:rFonts w:ascii="Verdana" w:eastAsia="Times New Roman" w:hAnsi="Verdana" w:cs="Arial"/>
          <w:bCs/>
          <w:sz w:val="20"/>
          <w:lang w:val="es-MX" w:eastAsia="x-none"/>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E41F23">
        <w:rPr>
          <w:rFonts w:ascii="Verdana" w:eastAsia="Times New Roman" w:hAnsi="Verdana" w:cs="Arial"/>
          <w:bCs/>
          <w:sz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1F8CBF73" w14:textId="77777777" w:rsidR="0074244D" w:rsidRPr="00682C93" w:rsidRDefault="0074244D" w:rsidP="0074244D">
      <w:pPr>
        <w:spacing w:after="0" w:line="240" w:lineRule="auto"/>
        <w:jc w:val="both"/>
        <w:rPr>
          <w:rFonts w:ascii="Verdana" w:hAnsi="Verdana" w:cs="Arial"/>
          <w:b/>
          <w:lang w:val="es-MX" w:eastAsia="es-ES_tradnl"/>
        </w:rPr>
      </w:pPr>
    </w:p>
    <w:p w14:paraId="75996668" w14:textId="77777777" w:rsidR="0074244D" w:rsidRPr="00682C93" w:rsidRDefault="0074244D" w:rsidP="0074244D">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 LEY DE GARANTÍAS ELECTORALES – Prohibición del artículo 33 – Destinatarios </w:t>
      </w:r>
    </w:p>
    <w:p w14:paraId="18FA9680" w14:textId="77777777" w:rsidR="0074244D" w:rsidRDefault="0074244D" w:rsidP="0074244D">
      <w:pPr>
        <w:spacing w:after="0" w:line="240" w:lineRule="auto"/>
        <w:rPr>
          <w:rFonts w:ascii="Verdana" w:hAnsi="Verdana" w:cs="Arial"/>
          <w:lang w:val="es-MX" w:eastAsia="es-ES_tradnl"/>
        </w:rPr>
      </w:pPr>
    </w:p>
    <w:p w14:paraId="606C6392" w14:textId="77777777" w:rsidR="0074244D" w:rsidRDefault="0074244D" w:rsidP="0074244D">
      <w:pPr>
        <w:spacing w:after="0" w:line="240" w:lineRule="auto"/>
        <w:jc w:val="both"/>
        <w:rPr>
          <w:rFonts w:ascii="Verdana" w:eastAsia="Calibri" w:hAnsi="Verdana" w:cs="Arial"/>
          <w:sz w:val="20"/>
          <w:lang w:val="es-MX"/>
        </w:rPr>
      </w:pPr>
      <w:r w:rsidRPr="00E41F23">
        <w:rPr>
          <w:rFonts w:ascii="Verdana" w:eastAsia="Calibri" w:hAnsi="Verdana" w:cs="Arial"/>
          <w:sz w:val="20"/>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E41F23">
        <w:rPr>
          <w:rFonts w:ascii="Verdana" w:eastAsia="Times New Roman" w:hAnsi="Verdana" w:cs="Arial"/>
          <w:bCs/>
          <w:sz w:val="20"/>
          <w:lang w:val="es-MX" w:eastAsia="x-none"/>
        </w:rPr>
        <w:t>establecimientos de crédito, las sociedades de servicios financieros y las entidades aseguradoras</w:t>
      </w:r>
      <w:r w:rsidRPr="00E41F23">
        <w:rPr>
          <w:rFonts w:ascii="Verdana" w:eastAsia="Calibri" w:hAnsi="Verdana" w:cs="Arial"/>
          <w:sz w:val="20"/>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w:t>
      </w:r>
      <w:r w:rsidRPr="00E41F23">
        <w:rPr>
          <w:rFonts w:ascii="Verdana" w:eastAsia="Calibri" w:hAnsi="Verdana" w:cs="Arial"/>
          <w:sz w:val="20"/>
          <w:lang w:val="es-MX"/>
        </w:rPr>
        <w:lastRenderedPageBreak/>
        <w:t>públicos a su cargo a nuevas personas, ni dejar de renovar los contratos existentes, pues significaría la parálisis de una actividad propia de la administración, que incluso podría desconocer los derechos fundamentales”</w:t>
      </w:r>
      <w:r>
        <w:rPr>
          <w:rFonts w:ascii="Verdana" w:eastAsia="Calibri" w:hAnsi="Verdana" w:cs="Arial"/>
          <w:sz w:val="20"/>
          <w:lang w:val="es-MX"/>
        </w:rPr>
        <w:t>.</w:t>
      </w:r>
    </w:p>
    <w:p w14:paraId="3934C549" w14:textId="77777777" w:rsidR="0074244D" w:rsidRPr="008835B4" w:rsidRDefault="0074244D" w:rsidP="0074244D">
      <w:pPr>
        <w:spacing w:after="0" w:line="240" w:lineRule="auto"/>
        <w:jc w:val="both"/>
        <w:rPr>
          <w:rFonts w:ascii="Verdana" w:hAnsi="Verdana" w:cs="Arial"/>
          <w:sz w:val="20"/>
          <w:lang w:val="es-MX" w:eastAsia="es-ES_tradnl"/>
        </w:rPr>
      </w:pPr>
    </w:p>
    <w:p w14:paraId="388154EA" w14:textId="77777777" w:rsidR="0074244D" w:rsidRPr="008835B4" w:rsidRDefault="0074244D" w:rsidP="0074244D">
      <w:pPr>
        <w:spacing w:after="0" w:line="240" w:lineRule="auto"/>
        <w:jc w:val="both"/>
        <w:rPr>
          <w:rFonts w:ascii="Verdana" w:eastAsia="Calibri" w:hAnsi="Verdana" w:cs="Arial"/>
          <w:b/>
          <w:color w:val="000000"/>
          <w:lang w:val="es-MX"/>
        </w:rPr>
      </w:pPr>
      <w:r w:rsidRPr="008835B4">
        <w:rPr>
          <w:rFonts w:ascii="Verdana" w:eastAsia="Calibri" w:hAnsi="Verdana" w:cs="Arial"/>
          <w:b/>
          <w:color w:val="000000"/>
          <w:lang w:val="es-MX"/>
        </w:rPr>
        <w:t xml:space="preserve">LEY DE GARANTÍAS ELECTORALES – Contratos y convenios interadministrativos – Criterio orgánico </w:t>
      </w:r>
    </w:p>
    <w:p w14:paraId="54A37537" w14:textId="77777777" w:rsidR="0074244D" w:rsidRDefault="0074244D" w:rsidP="0074244D">
      <w:pPr>
        <w:spacing w:after="0" w:line="240" w:lineRule="auto"/>
        <w:jc w:val="both"/>
        <w:rPr>
          <w:rFonts w:ascii="Verdana" w:eastAsia="Calibri" w:hAnsi="Verdana" w:cs="Arial"/>
          <w:color w:val="000000"/>
          <w:lang w:val="es-MX"/>
        </w:rPr>
      </w:pPr>
    </w:p>
    <w:p w14:paraId="1DD4A183" w14:textId="77777777" w:rsidR="0074244D" w:rsidRDefault="0074244D" w:rsidP="0074244D">
      <w:pPr>
        <w:spacing w:after="0" w:line="240" w:lineRule="auto"/>
        <w:jc w:val="both"/>
        <w:rPr>
          <w:rFonts w:ascii="Verdana" w:eastAsia="Calibri" w:hAnsi="Verdana" w:cs="Arial"/>
          <w:color w:val="000000"/>
          <w:sz w:val="20"/>
        </w:rPr>
      </w:pPr>
      <w:r w:rsidRPr="008835B4">
        <w:rPr>
          <w:rFonts w:ascii="Verdana" w:eastAsia="Calibri" w:hAnsi="Verdana" w:cs="Arial"/>
          <w:color w:val="000000"/>
          <w:sz w:val="20"/>
          <w:lang w:val="es-ES"/>
        </w:rPr>
        <w:t xml:space="preserve">Para tales efectos, debe precisarse que los contratos o convenios interadministrativos están determinados por un criterio orgánico, pues es necesario que los extremos de la relación contractual sean entidades públicas, </w:t>
      </w:r>
      <w:r w:rsidRPr="008835B4">
        <w:rPr>
          <w:rFonts w:ascii="Verdana" w:eastAsia="Calibri" w:hAnsi="Verdana" w:cs="Arial"/>
          <w:color w:val="000000"/>
          <w:sz w:val="20"/>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p>
    <w:p w14:paraId="0144F2F7" w14:textId="77777777" w:rsidR="0074244D" w:rsidRPr="008835B4" w:rsidRDefault="0074244D" w:rsidP="0074244D">
      <w:pPr>
        <w:spacing w:after="0" w:line="240" w:lineRule="auto"/>
        <w:jc w:val="both"/>
        <w:rPr>
          <w:rFonts w:ascii="Verdana" w:eastAsia="Calibri" w:hAnsi="Verdana" w:cs="Arial"/>
          <w:color w:val="000000"/>
          <w:sz w:val="20"/>
        </w:rPr>
      </w:pPr>
    </w:p>
    <w:p w14:paraId="4D298F13" w14:textId="77777777" w:rsidR="0074244D" w:rsidRDefault="0074244D" w:rsidP="0074244D">
      <w:pPr>
        <w:spacing w:after="0" w:line="240" w:lineRule="auto"/>
        <w:jc w:val="both"/>
        <w:rPr>
          <w:rFonts w:ascii="Verdana" w:eastAsia="Calibri" w:hAnsi="Verdana" w:cs="Arial"/>
          <w:color w:val="000000"/>
          <w:sz w:val="20"/>
          <w:lang w:val="es-ES_tradnl"/>
        </w:rPr>
      </w:pPr>
      <w:r w:rsidRPr="008835B4">
        <w:rPr>
          <w:rFonts w:ascii="Verdana" w:eastAsia="Calibri" w:hAnsi="Verdana" w:cs="Arial"/>
          <w:color w:val="000000"/>
          <w:sz w:val="20"/>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4E629F39" w14:textId="77777777" w:rsidR="0074244D" w:rsidRPr="008835B4" w:rsidRDefault="0074244D" w:rsidP="0074244D">
      <w:pPr>
        <w:spacing w:after="0" w:line="240" w:lineRule="auto"/>
        <w:jc w:val="both"/>
        <w:rPr>
          <w:rFonts w:ascii="Verdana" w:eastAsia="Calibri" w:hAnsi="Verdana" w:cs="Arial"/>
          <w:color w:val="000000"/>
          <w:sz w:val="20"/>
          <w:lang w:val="es-ES_tradnl"/>
        </w:rPr>
      </w:pPr>
    </w:p>
    <w:p w14:paraId="38833269" w14:textId="77777777" w:rsidR="0074244D" w:rsidRPr="008835B4" w:rsidRDefault="0074244D" w:rsidP="0074244D">
      <w:pPr>
        <w:spacing w:after="0" w:line="240" w:lineRule="auto"/>
        <w:jc w:val="both"/>
        <w:rPr>
          <w:rFonts w:ascii="Verdana" w:eastAsia="Calibri" w:hAnsi="Verdana" w:cs="Arial"/>
          <w:color w:val="000000"/>
          <w:sz w:val="20"/>
          <w:lang w:val="es-ES_tradnl"/>
        </w:rPr>
      </w:pPr>
      <w:r w:rsidRPr="008835B4">
        <w:rPr>
          <w:rFonts w:ascii="Verdana" w:eastAsia="Calibri" w:hAnsi="Verdana" w:cs="Arial"/>
          <w:color w:val="000000"/>
          <w:sz w:val="20"/>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 Nótese que, en este caso, lo que cambia es la modalidad de selección y no la naturaleza de contrato interadministrativo.</w:t>
      </w:r>
    </w:p>
    <w:p w14:paraId="1C31C4C8" w14:textId="77777777" w:rsidR="0074244D" w:rsidRPr="008835B4" w:rsidRDefault="0074244D" w:rsidP="0074244D">
      <w:pPr>
        <w:spacing w:after="0" w:line="240" w:lineRule="auto"/>
        <w:jc w:val="both"/>
        <w:rPr>
          <w:rFonts w:ascii="Verdana" w:eastAsia="Calibri" w:hAnsi="Verdana" w:cs="Arial"/>
          <w:color w:val="000000"/>
          <w:lang w:val="es-ES_tradnl"/>
        </w:rPr>
      </w:pPr>
    </w:p>
    <w:p w14:paraId="3C56EFF1" w14:textId="77777777" w:rsidR="0074244D" w:rsidRPr="008835B4" w:rsidRDefault="0074244D" w:rsidP="0074244D">
      <w:pPr>
        <w:spacing w:after="0" w:line="240" w:lineRule="auto"/>
        <w:jc w:val="both"/>
        <w:rPr>
          <w:rFonts w:ascii="Verdana" w:eastAsia="Calibri" w:hAnsi="Verdana" w:cs="Arial"/>
          <w:b/>
          <w:color w:val="000000"/>
          <w:lang w:val="es-MX"/>
        </w:rPr>
      </w:pPr>
      <w:r w:rsidRPr="008835B4">
        <w:rPr>
          <w:rFonts w:ascii="Verdana" w:eastAsia="Calibri" w:hAnsi="Verdana" w:cs="Arial"/>
          <w:b/>
          <w:color w:val="000000"/>
          <w:lang w:val="es-MX"/>
        </w:rPr>
        <w:t>LEY DE GARANTÍAS ELECTORALES –Restricción- Convenios interadministrativos – Postura del Consejo de Estado.</w:t>
      </w:r>
    </w:p>
    <w:p w14:paraId="6E3FCEBC" w14:textId="77777777" w:rsidR="0074244D" w:rsidRDefault="0074244D" w:rsidP="0074244D">
      <w:pPr>
        <w:spacing w:after="0" w:line="240" w:lineRule="auto"/>
        <w:jc w:val="both"/>
        <w:rPr>
          <w:rFonts w:ascii="Verdana" w:eastAsia="Calibri" w:hAnsi="Verdana" w:cs="Arial"/>
          <w:color w:val="000000"/>
        </w:rPr>
      </w:pPr>
    </w:p>
    <w:p w14:paraId="20EAE880" w14:textId="77777777" w:rsidR="0074244D" w:rsidRPr="00A07EBF" w:rsidRDefault="0074244D" w:rsidP="0074244D">
      <w:pPr>
        <w:spacing w:after="0" w:line="240" w:lineRule="auto"/>
        <w:jc w:val="both"/>
        <w:rPr>
          <w:rFonts w:ascii="Verdana" w:eastAsia="Calibri" w:hAnsi="Verdana" w:cs="Arial"/>
          <w:color w:val="000000"/>
          <w:sz w:val="20"/>
        </w:rPr>
      </w:pPr>
      <w:r w:rsidRPr="00A07EBF">
        <w:rPr>
          <w:rFonts w:ascii="Verdana" w:eastAsia="Calibri" w:hAnsi="Verdana" w:cs="Arial"/>
          <w:color w:val="000000"/>
          <w:sz w:val="20"/>
        </w:rPr>
        <w:t xml:space="preserve">Finalmente, mediante sentencia del 17 de octubre de 2025, emitida por la Sala de lo Contencioso Administrativo del Consejo de Estado, dentro del expediente 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 </w:t>
      </w:r>
    </w:p>
    <w:p w14:paraId="6EE6470C" w14:textId="77777777" w:rsidR="0074244D" w:rsidRPr="00A07EBF" w:rsidRDefault="0074244D" w:rsidP="0074244D">
      <w:pPr>
        <w:spacing w:after="0" w:line="240" w:lineRule="auto"/>
        <w:jc w:val="both"/>
        <w:rPr>
          <w:rFonts w:ascii="Verdana" w:eastAsia="Calibri" w:hAnsi="Verdana" w:cs="Arial"/>
          <w:color w:val="000000"/>
          <w:sz w:val="20"/>
        </w:rPr>
      </w:pPr>
    </w:p>
    <w:p w14:paraId="13407B51" w14:textId="77777777" w:rsidR="0074244D" w:rsidRPr="00A07EBF" w:rsidRDefault="0074244D" w:rsidP="0074244D">
      <w:pPr>
        <w:spacing w:after="0" w:line="240" w:lineRule="auto"/>
        <w:jc w:val="both"/>
        <w:rPr>
          <w:rFonts w:ascii="Verdana" w:eastAsia="Calibri" w:hAnsi="Verdana" w:cs="Arial"/>
          <w:color w:val="000000"/>
          <w:sz w:val="20"/>
        </w:rPr>
      </w:pPr>
      <w:r w:rsidRPr="00A07EBF">
        <w:rPr>
          <w:rFonts w:ascii="Verdana" w:eastAsia="Calibri" w:hAnsi="Verdana" w:cs="Arial"/>
          <w:color w:val="000000"/>
          <w:sz w:val="20"/>
        </w:rPr>
        <w:t xml:space="preserve">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 Sobre el particular, la Sala concluyó que contratos y convenios interadministrativos son figuras distintas en naturaleza, objeto y efectos, pues mientras los contratos implican obligaciones patrimoniales y contraprestación, los </w:t>
      </w:r>
      <w:r w:rsidRPr="00A07EBF">
        <w:rPr>
          <w:rFonts w:ascii="Verdana" w:eastAsia="Calibri" w:hAnsi="Verdana" w:cs="Arial"/>
          <w:color w:val="000000"/>
          <w:sz w:val="20"/>
        </w:rPr>
        <w:lastRenderedPageBreak/>
        <w:t xml:space="preserve">convenios se basan en cooperación sin ánimo económico. Por ello, la restricción legal no podía aplicarse extensivamente a los contratos. </w:t>
      </w:r>
    </w:p>
    <w:p w14:paraId="2BC791E4" w14:textId="77777777" w:rsidR="0074244D" w:rsidRPr="00A07EBF" w:rsidRDefault="0074244D" w:rsidP="0074244D">
      <w:pPr>
        <w:spacing w:after="0" w:line="240" w:lineRule="auto"/>
        <w:jc w:val="both"/>
        <w:rPr>
          <w:rFonts w:ascii="Verdana" w:eastAsia="Calibri" w:hAnsi="Verdana" w:cs="Arial"/>
          <w:color w:val="000000"/>
          <w:sz w:val="20"/>
        </w:rPr>
      </w:pPr>
    </w:p>
    <w:p w14:paraId="2234ABE6" w14:textId="77777777" w:rsidR="0074244D" w:rsidRPr="00A07EBF" w:rsidRDefault="0074244D" w:rsidP="0074244D">
      <w:pPr>
        <w:spacing w:after="0" w:line="240" w:lineRule="auto"/>
        <w:jc w:val="both"/>
        <w:rPr>
          <w:rFonts w:ascii="Verdana" w:eastAsia="Calibri" w:hAnsi="Verdana" w:cs="Arial"/>
          <w:color w:val="000000"/>
          <w:sz w:val="20"/>
        </w:rPr>
      </w:pPr>
      <w:r w:rsidRPr="00A07EBF">
        <w:rPr>
          <w:rFonts w:ascii="Verdana" w:eastAsia="Calibri" w:hAnsi="Verdana" w:cs="Arial"/>
          <w:color w:val="000000"/>
          <w:sz w:val="20"/>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A07EBF">
        <w:rPr>
          <w:rFonts w:ascii="Verdana" w:eastAsia="Calibri" w:hAnsi="Verdana" w:cs="Arial"/>
          <w:i/>
          <w:iCs/>
          <w:color w:val="000000"/>
          <w:sz w:val="20"/>
        </w:rPr>
        <w:t>contratos interadministrativos</w:t>
      </w:r>
      <w:r w:rsidRPr="00A07EBF">
        <w:rPr>
          <w:rFonts w:ascii="Verdana" w:eastAsia="Calibri" w:hAnsi="Verdana" w:cs="Arial"/>
          <w:color w:val="000000"/>
          <w:sz w:val="20"/>
        </w:rPr>
        <w:t xml:space="preserve">, esta prohibición solo aplicaría a los convenios interadministrativos que impliquen la ejecución de recursos públicos. Conforme a lo señalado por el Consejo de Estado, cuando dos entidades públicas celebren un </w:t>
      </w:r>
      <w:r w:rsidRPr="00A07EBF">
        <w:rPr>
          <w:rFonts w:ascii="Verdana" w:eastAsia="Calibri" w:hAnsi="Verdana" w:cs="Arial"/>
          <w:i/>
          <w:iCs/>
          <w:color w:val="000000"/>
          <w:sz w:val="20"/>
        </w:rPr>
        <w:t>contrato interadministrativo,</w:t>
      </w:r>
      <w:r w:rsidRPr="00A07EBF">
        <w:rPr>
          <w:rFonts w:ascii="Verdana" w:eastAsia="Calibri" w:hAnsi="Verdana" w:cs="Arial"/>
          <w:color w:val="000000"/>
          <w:sz w:val="20"/>
        </w:rPr>
        <w:t xml:space="preserve"> independientemente del objeto, dicho contrato puede suscribirse durante el periodo preelectoral.</w:t>
      </w:r>
    </w:p>
    <w:p w14:paraId="7F1F90D4" w14:textId="171E8144" w:rsidR="0074244D" w:rsidRDefault="0074244D" w:rsidP="00385A72">
      <w:pPr>
        <w:spacing w:after="0"/>
        <w:rPr>
          <w:rFonts w:ascii="Verdana" w:hAnsi="Verdana"/>
        </w:rPr>
      </w:pPr>
    </w:p>
    <w:p w14:paraId="0851D8C9" w14:textId="1C60AF2A" w:rsidR="0074244D" w:rsidRPr="0074244D" w:rsidRDefault="0074244D" w:rsidP="0074244D">
      <w:pPr>
        <w:spacing w:after="0"/>
        <w:jc w:val="both"/>
        <w:rPr>
          <w:rFonts w:ascii="Verdana" w:hAnsi="Verdana"/>
          <w:b/>
        </w:rPr>
      </w:pPr>
      <w:r w:rsidRPr="0074244D">
        <w:rPr>
          <w:rFonts w:ascii="Verdana" w:hAnsi="Verdana" w:cs="Arial"/>
          <w:b/>
          <w:lang w:val="es-MX" w:eastAsia="es-ES_tradnl"/>
        </w:rPr>
        <w:t>CONTRATACIÓN DIRECTA – Causal – Adquisición de bienes inmuebles – Restricción – Ley de Garantías Electorales.</w:t>
      </w:r>
    </w:p>
    <w:p w14:paraId="39F13FD3" w14:textId="77777777" w:rsidR="0074244D" w:rsidRPr="0074244D" w:rsidRDefault="0074244D" w:rsidP="0074244D">
      <w:pPr>
        <w:spacing w:after="0" w:line="240" w:lineRule="auto"/>
        <w:jc w:val="both"/>
        <w:rPr>
          <w:rFonts w:ascii="Verdana" w:hAnsi="Verdana"/>
          <w:sz w:val="20"/>
        </w:rPr>
      </w:pPr>
    </w:p>
    <w:p w14:paraId="3B16AC84" w14:textId="77777777" w:rsidR="0074244D" w:rsidRPr="0074244D" w:rsidRDefault="0074244D" w:rsidP="0074244D">
      <w:pPr>
        <w:spacing w:after="0" w:line="240" w:lineRule="auto"/>
        <w:jc w:val="both"/>
        <w:rPr>
          <w:rFonts w:ascii="Verdana" w:hAnsi="Verdana"/>
          <w:sz w:val="20"/>
          <w:szCs w:val="20"/>
          <w:lang w:val="es-MX"/>
        </w:rPr>
      </w:pPr>
      <w:r w:rsidRPr="0074244D">
        <w:rPr>
          <w:rFonts w:ascii="Verdana" w:hAnsi="Verdana"/>
          <w:sz w:val="20"/>
          <w:szCs w:val="20"/>
          <w:lang w:val="es-ES"/>
        </w:rPr>
        <w:t xml:space="preserve">En virtud de lo expuesto, la adquisición de bienes inmuebles –predios- trata de un causal de la contratación directa regulada en </w:t>
      </w:r>
      <w:r w:rsidRPr="0074244D">
        <w:rPr>
          <w:rFonts w:ascii="Verdana" w:hAnsi="Verdana"/>
          <w:sz w:val="20"/>
          <w:szCs w:val="20"/>
          <w:lang w:val="es-ES_tradnl"/>
        </w:rPr>
        <w:t>el literal i) del numeral 4 del artículo 2º de la Ley 1150 de 2007</w:t>
      </w:r>
      <w:r w:rsidRPr="0074244D">
        <w:rPr>
          <w:rFonts w:ascii="Verdana" w:hAnsi="Verdana"/>
          <w:sz w:val="20"/>
          <w:szCs w:val="20"/>
          <w:lang w:val="es-ES"/>
        </w:rPr>
        <w:t>, esto es, un procedimiento de contratación estatal no competitivo que está restringido por la prohibición establecida en el artículo 33 de la Ley 996 de 2005 que aplica a todas las entidades del Estado</w:t>
      </w:r>
      <w:r w:rsidRPr="0074244D">
        <w:rPr>
          <w:rFonts w:ascii="Verdana" w:hAnsi="Verdana"/>
          <w:bCs/>
          <w:sz w:val="20"/>
          <w:szCs w:val="20"/>
          <w:lang w:val="es-MX"/>
        </w:rPr>
        <w:t xml:space="preserve"> dentro de los cuatro (4) meses anteriores a la celebración de los comicios presidenciales</w:t>
      </w:r>
      <w:r w:rsidRPr="0074244D">
        <w:rPr>
          <w:rFonts w:ascii="Verdana" w:hAnsi="Verdana"/>
          <w:sz w:val="20"/>
          <w:szCs w:val="20"/>
          <w:lang w:val="es-ES"/>
        </w:rPr>
        <w:t xml:space="preserve">. </w:t>
      </w:r>
      <w:r w:rsidRPr="0074244D">
        <w:rPr>
          <w:rFonts w:ascii="Verdana" w:hAnsi="Verdana"/>
          <w:bCs/>
          <w:sz w:val="20"/>
          <w:szCs w:val="20"/>
          <w:lang w:val="es-MX"/>
        </w:rPr>
        <w:t>En tal sentido, se reitera que la restricción del artículo 33 de la Ley 996 de 2005 aplica frente a la contratación directa, entendida como cualquier sistema de selección o procedimiento de contratación utilizada por las entidades estatales que no incluya la convocatoria pública en alguna de sus etapas, ni permita la participación de una pluralidad de oferentes, ya sea en aplicación de normas del Estatuto General de Contratación de la Administración Pública, así como de regímenes especiales.</w:t>
      </w:r>
    </w:p>
    <w:p w14:paraId="19D4D563" w14:textId="326246AC" w:rsidR="0074244D" w:rsidRPr="0074244D" w:rsidRDefault="0074244D" w:rsidP="0074244D">
      <w:pPr>
        <w:spacing w:after="0" w:line="240" w:lineRule="auto"/>
        <w:jc w:val="both"/>
        <w:rPr>
          <w:rFonts w:ascii="Verdana" w:hAnsi="Verdana"/>
          <w:bCs/>
          <w:sz w:val="20"/>
          <w:szCs w:val="20"/>
          <w:lang w:val="es-MX"/>
        </w:rPr>
      </w:pPr>
      <w:r w:rsidRPr="0074244D">
        <w:rPr>
          <w:rFonts w:ascii="Verdana" w:hAnsi="Verdana"/>
          <w:bCs/>
          <w:sz w:val="20"/>
          <w:szCs w:val="20"/>
          <w:lang w:val="es-MX"/>
        </w:rPr>
        <w:t>[…]</w:t>
      </w:r>
    </w:p>
    <w:p w14:paraId="4CA07B53" w14:textId="77777777" w:rsidR="0074244D" w:rsidRPr="0074244D" w:rsidRDefault="0074244D" w:rsidP="0074244D">
      <w:pPr>
        <w:spacing w:after="0" w:line="240" w:lineRule="auto"/>
        <w:jc w:val="both"/>
        <w:rPr>
          <w:rFonts w:ascii="Verdana" w:hAnsi="Verdana"/>
          <w:bCs/>
          <w:sz w:val="20"/>
          <w:szCs w:val="20"/>
          <w:lang w:val="es-ES_tradnl"/>
        </w:rPr>
      </w:pPr>
      <w:r w:rsidRPr="0074244D">
        <w:rPr>
          <w:rFonts w:ascii="Verdana" w:hAnsi="Verdana"/>
          <w:sz w:val="20"/>
          <w:szCs w:val="20"/>
          <w:lang w:val="es-ES_tradnl"/>
        </w:rPr>
        <w:t xml:space="preserve">Es dable concluir que, la adquisición de bienes inmuebles, </w:t>
      </w:r>
      <w:r w:rsidRPr="0074244D">
        <w:rPr>
          <w:rFonts w:ascii="Verdana" w:hAnsi="Verdana"/>
          <w:i/>
          <w:iCs/>
          <w:sz w:val="20"/>
          <w:szCs w:val="20"/>
          <w:lang w:val="es-ES_tradnl"/>
        </w:rPr>
        <w:t>per se,</w:t>
      </w:r>
      <w:r w:rsidRPr="0074244D">
        <w:rPr>
          <w:rFonts w:ascii="Verdana" w:hAnsi="Verdana"/>
          <w:sz w:val="20"/>
          <w:szCs w:val="20"/>
          <w:lang w:val="es-ES_tradnl"/>
        </w:rPr>
        <w:t xml:space="preserve"> no está prohibida por la restricción del parágrafo del artículo 38 de la Ley 996 de 2005, la cual solo es aplicable a convenios interadministrativos.</w:t>
      </w:r>
      <w:r w:rsidRPr="0074244D">
        <w:rPr>
          <w:rFonts w:ascii="Verdana" w:hAnsi="Verdana"/>
          <w:bCs/>
          <w:sz w:val="20"/>
          <w:szCs w:val="20"/>
          <w:lang w:val="es-ES_tradnl"/>
        </w:rPr>
        <w:t xml:space="preserve"> No obstante, respecto de contratos interadministrativos que se celebran de forma directa en el artículo 2, numeral 4, literal c de la Ley 1150 de 2007 estaría sujeta a la restricción del artículo 33 que aplica a toda entidad y a todo procedimiento que no tenga un carácter competitivo. </w:t>
      </w:r>
    </w:p>
    <w:p w14:paraId="780F3E71" w14:textId="77777777" w:rsidR="0074244D" w:rsidRPr="0074244D" w:rsidRDefault="0074244D" w:rsidP="00385A72">
      <w:pPr>
        <w:spacing w:after="0"/>
        <w:rPr>
          <w:rFonts w:ascii="Verdana" w:hAnsi="Verdana"/>
          <w:lang w:val="es-ES_tradnl"/>
        </w:rPr>
      </w:pPr>
    </w:p>
    <w:p w14:paraId="44D39256" w14:textId="5EEB55C0" w:rsidR="0074244D" w:rsidRDefault="0074244D" w:rsidP="00385A72">
      <w:pPr>
        <w:spacing w:after="0"/>
        <w:rPr>
          <w:rFonts w:ascii="Verdana" w:hAnsi="Verdana"/>
        </w:rPr>
      </w:pPr>
    </w:p>
    <w:p w14:paraId="0545A036" w14:textId="50AAB8FC" w:rsidR="0074244D" w:rsidRDefault="0074244D" w:rsidP="00385A72">
      <w:pPr>
        <w:spacing w:after="0"/>
        <w:rPr>
          <w:rFonts w:ascii="Verdana" w:hAnsi="Verdana"/>
        </w:rPr>
      </w:pPr>
    </w:p>
    <w:p w14:paraId="408788B8" w14:textId="19AC81E3" w:rsidR="0074244D" w:rsidRDefault="0074244D" w:rsidP="00385A72">
      <w:pPr>
        <w:spacing w:after="0"/>
        <w:rPr>
          <w:rFonts w:ascii="Verdana" w:hAnsi="Verdana"/>
        </w:rPr>
      </w:pPr>
    </w:p>
    <w:p w14:paraId="09FFAE45" w14:textId="7C63B128" w:rsidR="0074244D" w:rsidRDefault="0074244D" w:rsidP="00385A72">
      <w:pPr>
        <w:spacing w:after="0"/>
        <w:rPr>
          <w:rFonts w:ascii="Verdana" w:hAnsi="Verdana"/>
        </w:rPr>
      </w:pPr>
    </w:p>
    <w:p w14:paraId="179035B5" w14:textId="77777777" w:rsidR="0074244D" w:rsidRDefault="0074244D" w:rsidP="00385A72">
      <w:pPr>
        <w:spacing w:after="0"/>
        <w:rPr>
          <w:rFonts w:ascii="Verdana" w:hAnsi="Verdana"/>
        </w:rPr>
      </w:pPr>
    </w:p>
    <w:p w14:paraId="683F2969" w14:textId="3BB283D0" w:rsidR="00385A72" w:rsidRPr="00385A72" w:rsidRDefault="0074244D" w:rsidP="00385A72">
      <w:pPr>
        <w:spacing w:after="0"/>
        <w:rPr>
          <w:rFonts w:ascii="Verdana" w:hAnsi="Verdana"/>
        </w:rPr>
      </w:pPr>
      <w:r>
        <w:rPr>
          <w:rFonts w:ascii="Verdana" w:hAnsi="Verdana"/>
        </w:rPr>
        <w:lastRenderedPageBreak/>
        <w:t>Bogotá D.C., 24 de diciembre de 2025</w:t>
      </w:r>
      <w:r w:rsidR="00385A72" w:rsidRPr="00385A72">
        <w:rPr>
          <w:rFonts w:ascii="Verdana" w:hAnsi="Verdana"/>
        </w:rPr>
        <w:tab/>
      </w:r>
    </w:p>
    <w:p w14:paraId="5A249A87" w14:textId="4A779522" w:rsidR="00385A72" w:rsidRPr="00385A72" w:rsidRDefault="0074244D" w:rsidP="00385A72">
      <w:pPr>
        <w:spacing w:after="0" w:line="240" w:lineRule="auto"/>
        <w:rPr>
          <w:rFonts w:ascii="Verdana" w:hAnsi="Verdana"/>
        </w:rPr>
      </w:pPr>
      <w:r w:rsidRPr="0074244D">
        <w:rPr>
          <w:rFonts w:ascii="Verdana" w:hAnsi="Verdana"/>
          <w:noProof/>
          <w:lang w:val="en-US"/>
        </w:rPr>
        <w:drawing>
          <wp:anchor distT="0" distB="0" distL="114300" distR="114300" simplePos="0" relativeHeight="251658240" behindDoc="0" locked="0" layoutInCell="1" allowOverlap="1" wp14:anchorId="479EACE5" wp14:editId="099714F4">
            <wp:simplePos x="0" y="0"/>
            <wp:positionH relativeFrom="margin">
              <wp:align>right</wp:align>
            </wp:positionH>
            <wp:positionV relativeFrom="paragraph">
              <wp:posOffset>16164</wp:posOffset>
            </wp:positionV>
            <wp:extent cx="2597150" cy="71691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97150" cy="7169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94910C6" w14:textId="0B7F7CD6" w:rsidR="00385A72" w:rsidRDefault="00385A72" w:rsidP="00385A72">
      <w:pPr>
        <w:spacing w:after="0" w:line="240" w:lineRule="auto"/>
        <w:rPr>
          <w:rFonts w:ascii="Verdana" w:hAnsi="Verdana"/>
        </w:rPr>
      </w:pPr>
    </w:p>
    <w:p w14:paraId="61239320" w14:textId="40432485" w:rsidR="00B35F67" w:rsidRPr="00385A72" w:rsidRDefault="00B35F67" w:rsidP="00385A72">
      <w:pPr>
        <w:spacing w:after="0" w:line="240" w:lineRule="auto"/>
        <w:rPr>
          <w:rFonts w:ascii="Verdana" w:hAnsi="Verdana"/>
        </w:rPr>
      </w:pPr>
    </w:p>
    <w:p w14:paraId="13154CB5" w14:textId="0230CC82" w:rsidR="00385A72" w:rsidRPr="00385A72" w:rsidRDefault="00385A72" w:rsidP="00385A72">
      <w:pPr>
        <w:spacing w:after="0" w:line="240" w:lineRule="auto"/>
        <w:rPr>
          <w:rFonts w:ascii="Verdana" w:eastAsia="Calibri" w:hAnsi="Verdana" w:cs="Times New Roman"/>
          <w:lang w:val="es-MX"/>
        </w:rPr>
      </w:pPr>
      <w:r w:rsidRPr="00385A72">
        <w:rPr>
          <w:rFonts w:ascii="Verdana" w:eastAsia="Calibri" w:hAnsi="Verdana" w:cs="Times New Roman"/>
          <w:lang w:val="es-MX"/>
        </w:rPr>
        <w:t>Señor</w:t>
      </w:r>
    </w:p>
    <w:p w14:paraId="332C67E3" w14:textId="6ADCDCC1" w:rsidR="00385A72" w:rsidRPr="00385A72" w:rsidRDefault="00B35F67" w:rsidP="00385A72">
      <w:pPr>
        <w:spacing w:after="0" w:line="240" w:lineRule="auto"/>
        <w:rPr>
          <w:rFonts w:ascii="Verdana" w:eastAsia="Calibri" w:hAnsi="Verdana" w:cs="Times New Roman"/>
          <w:b/>
        </w:rPr>
      </w:pPr>
      <w:r w:rsidRPr="00B35F67">
        <w:rPr>
          <w:rFonts w:ascii="Verdana" w:hAnsi="Verdana"/>
          <w:noProof/>
          <w:lang w:val="en-US"/>
        </w:rPr>
        <w:drawing>
          <wp:anchor distT="0" distB="0" distL="114300" distR="114300" simplePos="0" relativeHeight="251659264" behindDoc="0" locked="0" layoutInCell="1" allowOverlap="1" wp14:anchorId="1F1BCE85" wp14:editId="52C61C7B">
            <wp:simplePos x="0" y="0"/>
            <wp:positionH relativeFrom="margin">
              <wp:align>right</wp:align>
            </wp:positionH>
            <wp:positionV relativeFrom="paragraph">
              <wp:posOffset>82608</wp:posOffset>
            </wp:positionV>
            <wp:extent cx="2597150" cy="732155"/>
            <wp:effectExtent l="0" t="0" r="0" b="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97150" cy="7321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85A72" w:rsidRPr="00385A72">
        <w:rPr>
          <w:rFonts w:ascii="Verdana" w:eastAsia="Calibri" w:hAnsi="Verdana" w:cs="Times New Roman"/>
          <w:b/>
        </w:rPr>
        <w:t>Alfonso López Sánchez</w:t>
      </w:r>
    </w:p>
    <w:p w14:paraId="499A48C7" w14:textId="77777777" w:rsidR="00385A72" w:rsidRPr="00385A72" w:rsidRDefault="00803926" w:rsidP="00385A72">
      <w:pPr>
        <w:spacing w:after="0" w:line="240" w:lineRule="auto"/>
        <w:rPr>
          <w:rFonts w:ascii="Verdana" w:hAnsi="Verdana"/>
        </w:rPr>
      </w:pPr>
      <w:hyperlink r:id="rId12" w:history="1">
        <w:r w:rsidR="00385A72" w:rsidRPr="00385A72">
          <w:rPr>
            <w:rFonts w:ascii="Verdana" w:hAnsi="Verdana"/>
            <w:color w:val="0000FF"/>
            <w:u w:val="single"/>
          </w:rPr>
          <w:t>contactenos@gachancipa-cundinamarca.gov.co</w:t>
        </w:r>
      </w:hyperlink>
      <w:r w:rsidR="00385A72" w:rsidRPr="00385A72">
        <w:rPr>
          <w:rFonts w:ascii="Verdana" w:hAnsi="Verdana"/>
        </w:rPr>
        <w:t xml:space="preserve">  </w:t>
      </w:r>
    </w:p>
    <w:p w14:paraId="3EE6E7EA" w14:textId="77777777" w:rsidR="00385A72" w:rsidRPr="00385A72" w:rsidRDefault="00385A72" w:rsidP="00385A72">
      <w:pPr>
        <w:spacing w:after="0" w:line="240" w:lineRule="auto"/>
        <w:rPr>
          <w:rFonts w:ascii="Verdana" w:eastAsia="Calibri" w:hAnsi="Verdana" w:cs="Times New Roman"/>
        </w:rPr>
      </w:pPr>
      <w:r w:rsidRPr="00385A72">
        <w:rPr>
          <w:rFonts w:ascii="Verdana" w:eastAsia="Calibri" w:hAnsi="Verdana" w:cs="Times New Roman"/>
        </w:rPr>
        <w:t>Ganchanchipá, Cundinamarca</w:t>
      </w:r>
    </w:p>
    <w:p w14:paraId="3B5BCBE2" w14:textId="77777777" w:rsidR="00385A72" w:rsidRPr="00385A72" w:rsidRDefault="00385A72" w:rsidP="00385A72">
      <w:pPr>
        <w:spacing w:after="0" w:line="240" w:lineRule="auto"/>
        <w:rPr>
          <w:rFonts w:ascii="Verdana" w:eastAsia="Calibri" w:hAnsi="Verdana" w:cs="Times New Roman"/>
        </w:rPr>
      </w:pPr>
    </w:p>
    <w:p w14:paraId="4BA968B4" w14:textId="77777777" w:rsidR="00385A72" w:rsidRPr="00385A72" w:rsidRDefault="00385A72" w:rsidP="00385A72">
      <w:pPr>
        <w:spacing w:after="0" w:line="256" w:lineRule="auto"/>
        <w:rPr>
          <w:rFonts w:ascii="Verdana" w:eastAsia="Calibri" w:hAnsi="Verdana" w:cs="Times New Roman"/>
        </w:rPr>
      </w:pPr>
    </w:p>
    <w:p w14:paraId="3D22A5CC" w14:textId="77777777" w:rsidR="00385A72" w:rsidRPr="00385A72" w:rsidRDefault="00385A72" w:rsidP="00385A72">
      <w:pPr>
        <w:spacing w:after="0" w:line="256" w:lineRule="auto"/>
        <w:rPr>
          <w:rFonts w:ascii="Verdana" w:eastAsia="Calibri" w:hAnsi="Verdana" w:cs="Times New Roman"/>
          <w:b/>
          <w:bCs/>
          <w:lang w:val="es-ES"/>
        </w:rPr>
      </w:pPr>
      <w:r w:rsidRPr="00385A72">
        <w:rPr>
          <w:rFonts w:ascii="Verdana" w:eastAsia="Calibri" w:hAnsi="Verdana" w:cs="Times New Roman"/>
          <w:b/>
          <w:bCs/>
          <w:lang w:val="es-ES"/>
        </w:rPr>
        <w:t xml:space="preserve">                                    Concepto C- 1689 de 2025</w:t>
      </w:r>
    </w:p>
    <w:p w14:paraId="753F45DE" w14:textId="77777777" w:rsidR="00385A72" w:rsidRPr="00385A72" w:rsidRDefault="00385A72" w:rsidP="00385A72">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385A72" w:rsidRPr="00385A72" w14:paraId="1A5EAC38" w14:textId="77777777" w:rsidTr="00171ED7">
        <w:trPr>
          <w:trHeight w:val="645"/>
        </w:trPr>
        <w:tc>
          <w:tcPr>
            <w:tcW w:w="2685" w:type="dxa"/>
            <w:hideMark/>
          </w:tcPr>
          <w:p w14:paraId="17684FC9" w14:textId="77777777" w:rsidR="00385A72" w:rsidRPr="00385A72" w:rsidRDefault="00385A72" w:rsidP="00385A72">
            <w:pPr>
              <w:spacing w:line="256" w:lineRule="auto"/>
              <w:rPr>
                <w:rFonts w:ascii="Verdana" w:hAnsi="Verdana"/>
                <w:b/>
                <w:bCs/>
                <w:lang w:val="es-ES_tradnl"/>
              </w:rPr>
            </w:pPr>
            <w:r w:rsidRPr="00385A72">
              <w:rPr>
                <w:rFonts w:ascii="Verdana" w:hAnsi="Verdana"/>
                <w:b/>
                <w:bCs/>
                <w:lang w:val="es-ES_tradnl"/>
              </w:rPr>
              <w:t xml:space="preserve">Temas:                   </w:t>
            </w:r>
          </w:p>
        </w:tc>
        <w:tc>
          <w:tcPr>
            <w:tcW w:w="6241" w:type="dxa"/>
            <w:hideMark/>
          </w:tcPr>
          <w:p w14:paraId="17C9887F" w14:textId="77777777" w:rsidR="00385A72" w:rsidRPr="00385A72" w:rsidRDefault="00385A72" w:rsidP="00385A72">
            <w:pPr>
              <w:spacing w:line="276" w:lineRule="auto"/>
              <w:jc w:val="both"/>
              <w:rPr>
                <w:rFonts w:ascii="Verdana" w:hAnsi="Verdana" w:cs="Arial"/>
                <w:lang w:val="es-ES" w:eastAsia="es-ES"/>
              </w:rPr>
            </w:pPr>
            <w:r w:rsidRPr="00385A72">
              <w:rPr>
                <w:rFonts w:ascii="Verdana" w:hAnsi="Verdana" w:cs="Arial"/>
                <w:lang w:val="es-MX" w:eastAsia="es-ES_tradnl"/>
              </w:rPr>
              <w:t xml:space="preserve">LEY DE GARANTÍAS ELECTORALES </w:t>
            </w:r>
            <w:r w:rsidRPr="00385A72">
              <w:rPr>
                <w:rFonts w:ascii="Verdana" w:hAnsi="Verdana" w:cs="Arial"/>
                <w:bCs/>
                <w:lang w:val="es-MX" w:eastAsia="es-ES_tradnl"/>
              </w:rPr>
              <w:t>‒</w:t>
            </w:r>
            <w:r w:rsidRPr="00385A72">
              <w:rPr>
                <w:rFonts w:ascii="Verdana" w:hAnsi="Verdana" w:cs="Arial"/>
                <w:lang w:val="es-MX" w:eastAsia="es-ES_tradnl"/>
              </w:rPr>
              <w:t xml:space="preserve"> Finalidad / LEY DE GARANTÍAS ELECTORALES </w:t>
            </w:r>
            <w:r w:rsidRPr="00385A72">
              <w:rPr>
                <w:rFonts w:ascii="Verdana" w:hAnsi="Verdana" w:cs="Arial"/>
                <w:bCs/>
                <w:lang w:val="es-MX" w:eastAsia="es-ES_tradnl"/>
              </w:rPr>
              <w:t>‒</w:t>
            </w:r>
            <w:r w:rsidRPr="00385A72">
              <w:rPr>
                <w:rFonts w:ascii="Verdana" w:hAnsi="Verdana" w:cs="Arial"/>
                <w:lang w:val="es-MX" w:eastAsia="es-ES_tradnl"/>
              </w:rPr>
              <w:t xml:space="preserve"> Tipos de restricciones </w:t>
            </w:r>
            <w:r w:rsidRPr="00385A72">
              <w:rPr>
                <w:rFonts w:ascii="Verdana" w:hAnsi="Verdana" w:cs="Arial"/>
                <w:bCs/>
                <w:lang w:val="es-MX" w:eastAsia="es-ES_tradnl"/>
              </w:rPr>
              <w:t>‒</w:t>
            </w:r>
            <w:r w:rsidRPr="00385A72">
              <w:rPr>
                <w:rFonts w:ascii="Verdana" w:hAnsi="Verdana" w:cs="Arial"/>
                <w:lang w:val="es-MX" w:eastAsia="es-ES_tradnl"/>
              </w:rPr>
              <w:t xml:space="preserve"> Ámbito temporal – celebración- límite / LEY DE GARANTÍAS ELECTORALES – Prohibición artículo 33 – Contratación directa – Alcance / LEY DE GARANTÍAS ELECTORALES – Excepciones / LEY DE GARANTÍAS ELECTORALES – Prohibición del artículo 33 – Destinatarios / LEY DE GARANTÍAS ELECTORALES – Condiciones de igualdad – Contratación directa / LEY DE GARANTÍAS ELECTORALES – Contratos y convenios interadministrativos – Criterio orgánico / LEY DE GARANTÍAS ELECTORALES –Restricción- Convenios interadministrativos – Postura del Consejo de Estado / CONTRATACIÓN DIRECTA – Causal – Adquisición de bienes inmuebles – Restricción – Ley de Garantías Electorales. </w:t>
            </w:r>
          </w:p>
        </w:tc>
        <w:tc>
          <w:tcPr>
            <w:tcW w:w="6237" w:type="dxa"/>
          </w:tcPr>
          <w:p w14:paraId="298625A3" w14:textId="77777777" w:rsidR="00385A72" w:rsidRPr="00385A72" w:rsidRDefault="00385A72" w:rsidP="00385A72">
            <w:pPr>
              <w:spacing w:line="256" w:lineRule="auto"/>
              <w:rPr>
                <w:rFonts w:ascii="Verdana" w:hAnsi="Verdana"/>
              </w:rPr>
            </w:pPr>
          </w:p>
        </w:tc>
      </w:tr>
      <w:tr w:rsidR="00385A72" w:rsidRPr="00385A72" w14:paraId="59C869D9" w14:textId="77777777" w:rsidTr="00171ED7">
        <w:tc>
          <w:tcPr>
            <w:tcW w:w="2685" w:type="dxa"/>
          </w:tcPr>
          <w:p w14:paraId="3D019731" w14:textId="77777777" w:rsidR="00385A72" w:rsidRPr="00385A72" w:rsidRDefault="00385A72" w:rsidP="00385A72">
            <w:pPr>
              <w:rPr>
                <w:rFonts w:ascii="Verdana" w:hAnsi="Verdana"/>
                <w:b/>
                <w:bCs/>
                <w:lang w:val="es-ES_tradnl"/>
              </w:rPr>
            </w:pPr>
          </w:p>
          <w:p w14:paraId="01120B25" w14:textId="77777777" w:rsidR="00385A72" w:rsidRPr="00385A72" w:rsidRDefault="00385A72" w:rsidP="00385A72">
            <w:pPr>
              <w:rPr>
                <w:rFonts w:ascii="Verdana" w:hAnsi="Verdana"/>
                <w:b/>
                <w:bCs/>
                <w:lang w:val="es-ES_tradnl"/>
              </w:rPr>
            </w:pPr>
          </w:p>
          <w:p w14:paraId="2C4243D7" w14:textId="77777777" w:rsidR="00385A72" w:rsidRPr="00385A72" w:rsidRDefault="00385A72" w:rsidP="00385A72">
            <w:pPr>
              <w:rPr>
                <w:rFonts w:ascii="Verdana" w:hAnsi="Verdana"/>
                <w:b/>
                <w:bCs/>
                <w:lang w:val="es-ES_tradnl"/>
              </w:rPr>
            </w:pPr>
            <w:r w:rsidRPr="00385A72">
              <w:rPr>
                <w:rFonts w:ascii="Verdana" w:hAnsi="Verdana"/>
                <w:b/>
                <w:bCs/>
                <w:lang w:val="es-ES_tradnl"/>
              </w:rPr>
              <w:t xml:space="preserve">Radicación:               </w:t>
            </w:r>
          </w:p>
        </w:tc>
        <w:tc>
          <w:tcPr>
            <w:tcW w:w="6241" w:type="dxa"/>
          </w:tcPr>
          <w:p w14:paraId="053147D5" w14:textId="77777777" w:rsidR="00385A72" w:rsidRPr="00385A72" w:rsidRDefault="00385A72" w:rsidP="00385A72">
            <w:pPr>
              <w:jc w:val="both"/>
              <w:rPr>
                <w:rFonts w:ascii="Verdana" w:hAnsi="Verdana"/>
                <w:lang w:val="es-ES_tradnl"/>
              </w:rPr>
            </w:pPr>
          </w:p>
          <w:p w14:paraId="4E9D6240" w14:textId="77777777" w:rsidR="00385A72" w:rsidRPr="00385A72" w:rsidRDefault="00385A72" w:rsidP="00385A72">
            <w:pPr>
              <w:jc w:val="both"/>
              <w:rPr>
                <w:rFonts w:ascii="Verdana" w:hAnsi="Verdana"/>
                <w:lang w:val="es-ES_tradnl"/>
              </w:rPr>
            </w:pPr>
          </w:p>
          <w:p w14:paraId="06CF055C" w14:textId="77777777" w:rsidR="00385A72" w:rsidRPr="00385A72" w:rsidRDefault="00385A72" w:rsidP="00385A72">
            <w:pPr>
              <w:jc w:val="both"/>
              <w:rPr>
                <w:rFonts w:ascii="Verdana" w:hAnsi="Verdana"/>
                <w:lang w:val="es-ES_tradnl"/>
              </w:rPr>
            </w:pPr>
            <w:r w:rsidRPr="00385A72">
              <w:rPr>
                <w:rFonts w:ascii="Verdana" w:hAnsi="Verdana"/>
                <w:lang w:val="es-ES_tradnl"/>
              </w:rPr>
              <w:t>Respuesta a consulta con radicado No.</w:t>
            </w:r>
            <w:r w:rsidRPr="00385A72">
              <w:rPr>
                <w:rFonts w:ascii="Verdana" w:hAnsi="Verdana" w:cs="Segoe UI"/>
                <w:color w:val="2B2B2B"/>
                <w:shd w:val="clear" w:color="auto" w:fill="FFFFFF"/>
              </w:rPr>
              <w:t xml:space="preserve"> 1_2025_11_14_012873 y </w:t>
            </w:r>
            <w:r w:rsidRPr="00385A72">
              <w:rPr>
                <w:rFonts w:ascii="Verdana" w:hAnsi="Verdana"/>
              </w:rPr>
              <w:t xml:space="preserve">1_2025_11_14_012895 (acumulados) </w:t>
            </w:r>
          </w:p>
          <w:p w14:paraId="4F0D5CF5" w14:textId="77777777" w:rsidR="00385A72" w:rsidRPr="00385A72" w:rsidRDefault="00385A72" w:rsidP="00385A72">
            <w:pPr>
              <w:jc w:val="both"/>
              <w:rPr>
                <w:rFonts w:ascii="Verdana" w:hAnsi="Verdana"/>
              </w:rPr>
            </w:pPr>
          </w:p>
          <w:p w14:paraId="4EB4083B" w14:textId="77777777" w:rsidR="00385A72" w:rsidRPr="00385A72" w:rsidRDefault="00385A72" w:rsidP="00385A72">
            <w:pPr>
              <w:jc w:val="both"/>
              <w:rPr>
                <w:rFonts w:ascii="Verdana" w:hAnsi="Verdana"/>
              </w:rPr>
            </w:pPr>
          </w:p>
        </w:tc>
        <w:tc>
          <w:tcPr>
            <w:tcW w:w="6237" w:type="dxa"/>
          </w:tcPr>
          <w:p w14:paraId="6BACA87B" w14:textId="77777777" w:rsidR="00385A72" w:rsidRPr="00385A72" w:rsidRDefault="00385A72" w:rsidP="00385A72">
            <w:pPr>
              <w:spacing w:line="256" w:lineRule="auto"/>
              <w:rPr>
                <w:rFonts w:ascii="Verdana" w:hAnsi="Verdana"/>
                <w:lang w:val="es-ES_tradnl"/>
              </w:rPr>
            </w:pPr>
          </w:p>
        </w:tc>
      </w:tr>
    </w:tbl>
    <w:p w14:paraId="78918AB6" w14:textId="77777777" w:rsidR="00385A72" w:rsidRPr="00385A72" w:rsidRDefault="00385A72" w:rsidP="00385A72">
      <w:pPr>
        <w:spacing w:after="0" w:line="256" w:lineRule="auto"/>
        <w:rPr>
          <w:rFonts w:ascii="Verdana" w:eastAsia="Calibri" w:hAnsi="Verdana" w:cs="Times New Roman"/>
          <w:lang w:val="es-ES"/>
        </w:rPr>
      </w:pPr>
      <w:r w:rsidRPr="00385A72">
        <w:rPr>
          <w:rFonts w:ascii="Verdana" w:eastAsia="Calibri" w:hAnsi="Verdana" w:cs="Times New Roman"/>
          <w:lang w:val="es-ES"/>
        </w:rPr>
        <w:t xml:space="preserve">Estimado Señor López: </w:t>
      </w:r>
    </w:p>
    <w:p w14:paraId="02836301" w14:textId="77777777" w:rsidR="00385A72" w:rsidRPr="00385A72" w:rsidRDefault="00385A72" w:rsidP="00385A72">
      <w:pPr>
        <w:spacing w:after="0" w:line="256" w:lineRule="auto"/>
        <w:rPr>
          <w:rFonts w:ascii="Verdana" w:eastAsia="Calibri" w:hAnsi="Verdana" w:cs="Times New Roman"/>
          <w:lang w:val="es-ES"/>
        </w:rPr>
      </w:pPr>
    </w:p>
    <w:p w14:paraId="0579CCA6" w14:textId="77777777" w:rsidR="00385A72" w:rsidRPr="00385A72" w:rsidRDefault="00385A72" w:rsidP="00385A72">
      <w:pPr>
        <w:spacing w:after="0" w:line="276" w:lineRule="auto"/>
        <w:jc w:val="both"/>
        <w:rPr>
          <w:rFonts w:ascii="Verdana" w:eastAsia="Calibri" w:hAnsi="Verdana" w:cs="Times New Roman"/>
        </w:rPr>
      </w:pPr>
      <w:r w:rsidRPr="00385A72">
        <w:rPr>
          <w:rFonts w:ascii="Verdana" w:eastAsia="Calibri" w:hAnsi="Verdana" w:cs="Times New Roman"/>
          <w:bCs/>
          <w:lang w:val="es-ES" w:bidi="es-ES"/>
        </w:rPr>
        <w:lastRenderedPageBreak/>
        <w:t xml:space="preserve">En ejercicio de la competencia otorgada por los artículos 3, numeral 5º, y 11, numeral 8º, del Decreto Ley 4170 de 2011, </w:t>
      </w:r>
      <w:r w:rsidRPr="00385A72">
        <w:rPr>
          <w:rFonts w:ascii="Verdana" w:eastAsia="Calibri" w:hAnsi="Verdana" w:cs="Times New Roman"/>
          <w:bCs/>
        </w:rPr>
        <w:t xml:space="preserve">así como lo establecido por la Resolución 469 de 2025 expedida por esta Entidad, </w:t>
      </w:r>
      <w:r w:rsidRPr="00385A72">
        <w:rPr>
          <w:rFonts w:ascii="Verdana" w:eastAsia="Calibri" w:hAnsi="Verdana" w:cs="Times New Roman"/>
          <w:bCs/>
          <w:lang w:val="es-ES" w:bidi="es-ES"/>
        </w:rPr>
        <w:t>la Agencia Nacional de Contratación Pública – Colombia Compra Eficiente–</w:t>
      </w:r>
      <w:r w:rsidRPr="00385A72">
        <w:rPr>
          <w:rFonts w:ascii="Verdana" w:eastAsia="Calibri" w:hAnsi="Verdana" w:cs="Times New Roman"/>
          <w:lang w:val="es-ES"/>
        </w:rPr>
        <w:t xml:space="preserve"> responde la solicitud de consulta presentada el 14 de noviembre de 2025, en la cual manifiesta:</w:t>
      </w:r>
      <w:r w:rsidRPr="00385A72">
        <w:rPr>
          <w:rFonts w:ascii="Verdana" w:eastAsia="Calibri" w:hAnsi="Verdana" w:cs="Times New Roman"/>
        </w:rPr>
        <w:t xml:space="preserve"> </w:t>
      </w:r>
    </w:p>
    <w:p w14:paraId="2CACA106" w14:textId="77777777" w:rsidR="00385A72" w:rsidRPr="00385A72" w:rsidRDefault="00385A72" w:rsidP="00385A72">
      <w:pPr>
        <w:spacing w:after="0" w:line="240" w:lineRule="auto"/>
        <w:ind w:right="709"/>
        <w:jc w:val="both"/>
        <w:rPr>
          <w:rFonts w:ascii="Verdana" w:eastAsia="Calibri" w:hAnsi="Verdana" w:cs="Times New Roman"/>
          <w:iCs/>
          <w:sz w:val="20"/>
        </w:rPr>
      </w:pPr>
    </w:p>
    <w:p w14:paraId="75AA2DCC" w14:textId="77777777" w:rsidR="00385A72" w:rsidRPr="00385A72" w:rsidRDefault="00385A72" w:rsidP="00385A72">
      <w:pPr>
        <w:spacing w:after="0" w:line="240" w:lineRule="auto"/>
        <w:ind w:left="709" w:right="709"/>
        <w:jc w:val="both"/>
        <w:rPr>
          <w:rFonts w:ascii="Verdana" w:eastAsia="Calibri" w:hAnsi="Verdana" w:cs="Times New Roman"/>
          <w:iCs/>
          <w:sz w:val="20"/>
        </w:rPr>
      </w:pPr>
      <w:r w:rsidRPr="00385A72">
        <w:rPr>
          <w:rFonts w:ascii="Verdana" w:eastAsia="Calibri" w:hAnsi="Verdana" w:cs="Times New Roman"/>
          <w:iCs/>
          <w:sz w:val="20"/>
        </w:rPr>
        <w:t>“La administración municipal se encuentra comprometida con el desarrollo de nuestro municipio, por eso es de interés realizar la adquisición de un predio, sin embargo, se encuentra proyectada la firma de las escrituras de dicho predio, en el período que rige la Ley de Garantías, por lo cual solicitamos su concepto frente al proceso de escrituración que se desea llevar a cabo […]”</w:t>
      </w:r>
    </w:p>
    <w:p w14:paraId="1CABD8C5" w14:textId="77777777" w:rsidR="00385A72" w:rsidRPr="00385A72" w:rsidRDefault="00385A72" w:rsidP="00385A72">
      <w:pPr>
        <w:spacing w:after="0" w:line="240" w:lineRule="auto"/>
        <w:ind w:right="709"/>
        <w:jc w:val="both"/>
        <w:rPr>
          <w:rFonts w:ascii="Verdana" w:eastAsia="Calibri" w:hAnsi="Verdana" w:cs="Times New Roman"/>
          <w:i/>
          <w:iCs/>
          <w:sz w:val="20"/>
        </w:rPr>
      </w:pPr>
    </w:p>
    <w:p w14:paraId="07A7BDC9" w14:textId="77777777" w:rsidR="00385A72" w:rsidRPr="00385A72" w:rsidRDefault="00385A72" w:rsidP="00385A72">
      <w:pPr>
        <w:spacing w:after="120" w:line="276" w:lineRule="auto"/>
        <w:ind w:firstLine="709"/>
        <w:jc w:val="both"/>
        <w:rPr>
          <w:rFonts w:ascii="Verdana" w:eastAsia="Calibri" w:hAnsi="Verdana" w:cs="Times New Roman"/>
          <w:lang w:val="es-ES"/>
        </w:rPr>
      </w:pPr>
      <w:r w:rsidRPr="00385A72">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49286EAF" w14:textId="77777777" w:rsidR="00385A72" w:rsidRPr="00385A72" w:rsidRDefault="00385A72" w:rsidP="00385A72">
      <w:pPr>
        <w:spacing w:after="0" w:line="276" w:lineRule="auto"/>
        <w:ind w:firstLine="708"/>
        <w:jc w:val="both"/>
        <w:rPr>
          <w:rFonts w:ascii="Verdana" w:eastAsia="Calibri" w:hAnsi="Verdana" w:cs="Times New Roman"/>
          <w:lang w:val="es-ES"/>
        </w:rPr>
      </w:pPr>
      <w:r w:rsidRPr="00385A72">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2F2AFEED" w14:textId="77777777" w:rsidR="00385A72" w:rsidRPr="00385A72" w:rsidRDefault="00385A72" w:rsidP="00385A72">
      <w:pPr>
        <w:spacing w:after="0" w:line="276" w:lineRule="auto"/>
        <w:rPr>
          <w:rFonts w:ascii="Verdana" w:eastAsia="Calibri" w:hAnsi="Verdana" w:cs="Times New Roman"/>
          <w:lang w:val="es-ES"/>
        </w:rPr>
      </w:pPr>
    </w:p>
    <w:p w14:paraId="1F828B4A" w14:textId="77777777" w:rsidR="00385A72" w:rsidRPr="00385A72" w:rsidRDefault="00385A72" w:rsidP="00385A72">
      <w:pPr>
        <w:numPr>
          <w:ilvl w:val="0"/>
          <w:numId w:val="19"/>
        </w:numPr>
        <w:spacing w:after="0" w:line="276" w:lineRule="auto"/>
        <w:contextualSpacing/>
        <w:rPr>
          <w:rFonts w:ascii="Verdana" w:eastAsia="Calibri" w:hAnsi="Verdana" w:cs="Times New Roman"/>
          <w:b/>
          <w:bCs/>
          <w:lang w:val="es-ES"/>
        </w:rPr>
      </w:pPr>
      <w:r w:rsidRPr="00385A72">
        <w:rPr>
          <w:rFonts w:ascii="Verdana" w:eastAsia="Calibri" w:hAnsi="Verdana" w:cs="Times New Roman"/>
          <w:b/>
          <w:bCs/>
          <w:lang w:val="es-ES"/>
        </w:rPr>
        <w:t>Problema planteado:</w:t>
      </w:r>
    </w:p>
    <w:p w14:paraId="6E264A68" w14:textId="77777777" w:rsidR="00385A72" w:rsidRPr="00385A72" w:rsidRDefault="00385A72" w:rsidP="00385A72">
      <w:pPr>
        <w:spacing w:after="0" w:line="276" w:lineRule="auto"/>
        <w:rPr>
          <w:rFonts w:ascii="Verdana" w:eastAsia="Calibri" w:hAnsi="Verdana" w:cs="Times New Roman"/>
        </w:rPr>
      </w:pPr>
    </w:p>
    <w:p w14:paraId="4E015E48" w14:textId="77777777" w:rsidR="00385A72" w:rsidRPr="00385A72" w:rsidRDefault="00385A72" w:rsidP="00385A72">
      <w:pPr>
        <w:spacing w:after="0" w:line="276" w:lineRule="auto"/>
        <w:jc w:val="both"/>
        <w:rPr>
          <w:rFonts w:ascii="Verdana" w:eastAsia="Calibri" w:hAnsi="Verdana" w:cs="Times New Roman"/>
          <w:iCs/>
        </w:rPr>
      </w:pPr>
      <w:r w:rsidRPr="00385A72">
        <w:rPr>
          <w:rFonts w:ascii="Verdana" w:eastAsia="Calibri" w:hAnsi="Verdana" w:cs="Times New Roman"/>
        </w:rPr>
        <w:t>De acuerdo con el contenido de sus solicitudes, esta Agencia procede a resolver el siguiente problema jurídico:</w:t>
      </w:r>
      <w:r w:rsidRPr="00385A72">
        <w:rPr>
          <w:rFonts w:ascii="Verdana" w:eastAsia="Calibri" w:hAnsi="Verdana" w:cs="Times New Roman"/>
          <w:iCs/>
          <w:lang w:val="es-ES"/>
        </w:rPr>
        <w:t xml:space="preserve"> ¿La celebración de contratos mediante escrituras </w:t>
      </w:r>
      <w:r w:rsidRPr="00385A72">
        <w:rPr>
          <w:rFonts w:ascii="Verdana" w:eastAsia="Calibri" w:hAnsi="Verdana" w:cs="Times New Roman"/>
          <w:iCs/>
          <w:lang w:val="es-ES"/>
        </w:rPr>
        <w:lastRenderedPageBreak/>
        <w:t>públicas por parte de una entidad estatal para la adquisición de bienes inmuebles –predios- está restringida durante la Ley de Garantías Electorales?</w:t>
      </w:r>
    </w:p>
    <w:p w14:paraId="258ADC94" w14:textId="77777777" w:rsidR="00385A72" w:rsidRPr="00385A72" w:rsidRDefault="00385A72" w:rsidP="00385A72">
      <w:pPr>
        <w:spacing w:after="0" w:line="276" w:lineRule="auto"/>
        <w:jc w:val="both"/>
        <w:rPr>
          <w:rFonts w:ascii="Verdana" w:eastAsia="Calibri" w:hAnsi="Verdana" w:cs="Times New Roman"/>
          <w:i/>
          <w:iCs/>
        </w:rPr>
      </w:pPr>
    </w:p>
    <w:p w14:paraId="5B3CED3C" w14:textId="77777777" w:rsidR="00385A72" w:rsidRPr="00385A72" w:rsidRDefault="00385A72" w:rsidP="00385A72">
      <w:pPr>
        <w:numPr>
          <w:ilvl w:val="0"/>
          <w:numId w:val="19"/>
        </w:numPr>
        <w:spacing w:after="0" w:line="276" w:lineRule="auto"/>
        <w:contextualSpacing/>
        <w:rPr>
          <w:rFonts w:ascii="Verdana" w:eastAsia="Calibri" w:hAnsi="Verdana" w:cs="Times New Roman"/>
          <w:b/>
          <w:bCs/>
          <w:lang w:val="es-ES"/>
        </w:rPr>
      </w:pPr>
      <w:r w:rsidRPr="00385A72">
        <w:rPr>
          <w:rFonts w:ascii="Verdana" w:eastAsia="Calibri" w:hAnsi="Verdana" w:cs="Times New Roman"/>
          <w:b/>
          <w:bCs/>
          <w:lang w:val="es-ES"/>
        </w:rPr>
        <w:t>Respuesta:</w:t>
      </w:r>
    </w:p>
    <w:p w14:paraId="4B65FDF9" w14:textId="77777777" w:rsidR="00385A72" w:rsidRPr="00385A72" w:rsidRDefault="00385A72" w:rsidP="00385A72">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385A72" w:rsidRPr="00385A72" w14:paraId="1BF57418" w14:textId="77777777" w:rsidTr="00171ED7">
        <w:trPr>
          <w:trHeight w:val="345"/>
          <w:jc w:val="center"/>
        </w:trPr>
        <w:tc>
          <w:tcPr>
            <w:tcW w:w="8784" w:type="dxa"/>
            <w:tcBorders>
              <w:bottom w:val="single" w:sz="4" w:space="0" w:color="auto"/>
            </w:tcBorders>
          </w:tcPr>
          <w:p w14:paraId="22CD17DE" w14:textId="77777777" w:rsidR="00385A72" w:rsidRPr="00385A72" w:rsidRDefault="00385A72" w:rsidP="00385A72">
            <w:pPr>
              <w:spacing w:after="120" w:line="276" w:lineRule="auto"/>
              <w:jc w:val="both"/>
              <w:rPr>
                <w:rFonts w:ascii="Verdana" w:eastAsia="Calibri" w:hAnsi="Verdana" w:cs="Arial"/>
                <w:color w:val="000000"/>
                <w:bdr w:val="none" w:sz="0" w:space="0" w:color="auto" w:frame="1"/>
                <w:lang w:val="es-MX" w:eastAsia="es-ES_tradnl"/>
              </w:rPr>
            </w:pPr>
            <w:r w:rsidRPr="00385A72">
              <w:rPr>
                <w:rFonts w:ascii="Verdana" w:eastAsia="Times New Roman" w:hAnsi="Verdana" w:cs="Arial"/>
                <w:lang w:val="es-ES" w:eastAsia="es-ES_tradnl"/>
              </w:rPr>
              <w:t xml:space="preserve">De acuerdo, al problema jurídico, objeto de consulta, se precisa la adquisición de bienes inmuebles –predios- trata de un causal de la contratación directa regulada en </w:t>
            </w:r>
            <w:r w:rsidRPr="00385A72">
              <w:rPr>
                <w:rFonts w:ascii="Verdana" w:eastAsia="Times New Roman" w:hAnsi="Verdana" w:cs="Arial"/>
                <w:lang w:val="es-ES_tradnl" w:eastAsia="es-ES_tradnl"/>
              </w:rPr>
              <w:t>el literal i) del numeral 4 del artículo 2º de la Ley 1150 de 2007</w:t>
            </w:r>
            <w:r w:rsidRPr="00385A72">
              <w:rPr>
                <w:rFonts w:ascii="Verdana" w:eastAsia="Times New Roman" w:hAnsi="Verdana" w:cs="Arial"/>
                <w:lang w:val="es-ES" w:eastAsia="es-ES_tradnl"/>
              </w:rPr>
              <w:t>, esto es, un procedimiento de contratación estatal no competitivo que está restringido por la prohibición establecida en el artículo 33 de la Ley 996 de 2005 que aplica a todas las entidades del Estado</w:t>
            </w:r>
            <w:r w:rsidRPr="00385A72">
              <w:rPr>
                <w:rFonts w:ascii="Verdana" w:eastAsia="Times New Roman" w:hAnsi="Verdana" w:cs="Arial"/>
                <w:bCs/>
                <w:lang w:val="es-MX" w:eastAsia="x-none"/>
              </w:rPr>
              <w:t xml:space="preserve"> </w:t>
            </w:r>
            <w:r w:rsidRPr="00385A72">
              <w:rPr>
                <w:rFonts w:ascii="Verdana" w:eastAsia="Times New Roman" w:hAnsi="Verdana" w:cs="Arial"/>
                <w:bCs/>
                <w:lang w:val="es-MX" w:eastAsia="es-ES_tradnl"/>
              </w:rPr>
              <w:t>dentro de los cuatro (4) meses anteriores a la celebración de los comicios presidenciales</w:t>
            </w:r>
            <w:r w:rsidRPr="00385A72">
              <w:rPr>
                <w:rFonts w:ascii="Verdana" w:eastAsia="Times New Roman" w:hAnsi="Verdana" w:cs="Arial"/>
                <w:lang w:val="es-ES" w:eastAsia="es-ES_tradnl"/>
              </w:rPr>
              <w:t xml:space="preserve">. </w:t>
            </w:r>
            <w:r w:rsidRPr="00385A72">
              <w:rPr>
                <w:rFonts w:ascii="Verdana" w:eastAsia="Times New Roman" w:hAnsi="Verdana" w:cs="Arial"/>
                <w:bCs/>
                <w:lang w:val="es-MX" w:eastAsia="x-none"/>
              </w:rPr>
              <w:t>En tal sentido, se reitera que la restricción del artículo 33 de la Ley 996 de 2005 aplica frente a la contratación directa, entendida como cualquier sistema de selección o procedimiento de contratación utilizada por las entidades estatales que no incluya la convocatoria pública en alguna de sus etapas, ni permita la participación de una pluralidad de oferentes, ya sea en aplicación de normas del Estatuto General de Contratación de la Administración Pública, así como de regímenes especiales.</w:t>
            </w:r>
          </w:p>
          <w:p w14:paraId="31197465" w14:textId="77777777" w:rsidR="00385A72" w:rsidRPr="00385A72" w:rsidRDefault="00385A72" w:rsidP="00385A72">
            <w:pPr>
              <w:spacing w:after="120" w:line="276" w:lineRule="auto"/>
              <w:ind w:firstLine="709"/>
              <w:jc w:val="both"/>
              <w:rPr>
                <w:rFonts w:ascii="Verdana" w:eastAsia="Times New Roman" w:hAnsi="Verdana" w:cs="Arial"/>
                <w:bCs/>
                <w:lang w:val="es-MX" w:eastAsia="x-none"/>
              </w:rPr>
            </w:pPr>
            <w:r w:rsidRPr="00385A72">
              <w:rPr>
                <w:rFonts w:ascii="Verdana" w:eastAsia="Times New Roman" w:hAnsi="Verdana" w:cs="Arial"/>
                <w:bCs/>
                <w:lang w:val="es-MX" w:eastAsia="x-none"/>
              </w:rPr>
              <w:t>Esto, sin perjuicio de las excepciones a la prohibición establecidas en el inciso segundo del mismo artículo 33, como son: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38930AE0" w14:textId="77777777" w:rsidR="00385A72" w:rsidRPr="00385A72" w:rsidRDefault="00385A72" w:rsidP="00385A72">
            <w:pPr>
              <w:spacing w:after="120" w:line="276" w:lineRule="auto"/>
              <w:ind w:firstLine="708"/>
              <w:jc w:val="both"/>
              <w:rPr>
                <w:rFonts w:ascii="Verdana" w:eastAsia="Times New Roman" w:hAnsi="Verdana" w:cs="Arial"/>
                <w:lang w:eastAsia="es-CO"/>
              </w:rPr>
            </w:pPr>
            <w:r w:rsidRPr="00385A72">
              <w:rPr>
                <w:rFonts w:ascii="Verdana" w:eastAsia="Arial" w:hAnsi="Verdana" w:cs="Arial"/>
                <w:lang w:val="es-ES" w:eastAsia="es-ES" w:bidi="es-ES"/>
              </w:rPr>
              <w:t xml:space="preserve">Por otro lado, la prohibición impuesta por el inciso primero del parágrafo del artículo 38 a los gobernadores, alcaldes municipales y/o distritales, secretarios, gerentes y directores de entidades descentralizadas del orden municipal, departamental o distrital,  debe aplicarse respecto de cualquier tipo </w:t>
            </w:r>
            <w:r w:rsidRPr="00385A72">
              <w:rPr>
                <w:rFonts w:ascii="Verdana" w:eastAsia="Arial" w:hAnsi="Verdana" w:cs="Arial"/>
                <w:lang w:val="es-ES" w:eastAsia="es-ES" w:bidi="es-ES"/>
              </w:rPr>
              <w:lastRenderedPageBreak/>
              <w:t xml:space="preserve">de contienda electoral, y prohíbe la celebración de convenios interadministrativos que impliquen la ejecución de recursos públicos dentro de los cuatro (4) meses anteriores a la respectiva jornada de votaciones. En este aspecto, se señala que esta restricción no aplica en contratos interadministrativos, teniendo en cuenta </w:t>
            </w:r>
            <w:r w:rsidRPr="00385A72">
              <w:rPr>
                <w:rFonts w:ascii="Verdana" w:eastAsia="Times New Roman" w:hAnsi="Verdana" w:cs="Arial"/>
                <w:lang w:eastAsia="es-CO"/>
              </w:rPr>
              <w:t xml:space="preserve">lo expuesto en la sentencia expedida por la Sección Tercera de la Sala de lo Contencioso Administrativo del 17 de octubre de 2025, en los autos del 4 de octubre de 2024 y 6 de noviembre de 2025, puesto que esta prohibición solo aplicaría a los convenios interadministrativos que impliquen la ejecución de recursos públicos. </w:t>
            </w:r>
          </w:p>
          <w:p w14:paraId="7C151873" w14:textId="77777777" w:rsidR="00385A72" w:rsidRPr="00385A72" w:rsidRDefault="00385A72" w:rsidP="00385A72">
            <w:pPr>
              <w:spacing w:after="120" w:line="276" w:lineRule="auto"/>
              <w:ind w:firstLine="708"/>
              <w:jc w:val="both"/>
              <w:rPr>
                <w:rFonts w:ascii="Verdana" w:eastAsia="Calibri" w:hAnsi="Verdana" w:cs="Arial"/>
                <w:bCs/>
                <w:lang w:val="es-ES_tradnl"/>
              </w:rPr>
            </w:pPr>
            <w:r w:rsidRPr="00385A72">
              <w:rPr>
                <w:rFonts w:ascii="Verdana" w:eastAsia="Calibri" w:hAnsi="Verdana" w:cs="Arial"/>
                <w:lang w:val="es-ES_tradnl"/>
              </w:rPr>
              <w:t xml:space="preserve">Es dable concluir que, la adquisición de bienes inmuebles, </w:t>
            </w:r>
            <w:r w:rsidRPr="00385A72">
              <w:rPr>
                <w:rFonts w:ascii="Verdana" w:eastAsia="Calibri" w:hAnsi="Verdana" w:cs="Arial"/>
                <w:i/>
                <w:iCs/>
                <w:lang w:val="es-ES_tradnl"/>
              </w:rPr>
              <w:t>per se,</w:t>
            </w:r>
            <w:r w:rsidRPr="00385A72">
              <w:rPr>
                <w:rFonts w:ascii="Verdana" w:eastAsia="Calibri" w:hAnsi="Verdana" w:cs="Arial"/>
                <w:lang w:val="es-ES_tradnl"/>
              </w:rPr>
              <w:t xml:space="preserve"> no está prohibida por la restricción del parágrafo del artículo 38 de la Ley 996 de 2005, la cual solo es aplicable a convenios interadministrativos.</w:t>
            </w:r>
            <w:r w:rsidRPr="00385A72">
              <w:rPr>
                <w:rFonts w:ascii="Verdana" w:eastAsia="Calibri" w:hAnsi="Verdana" w:cs="Arial"/>
                <w:bCs/>
                <w:lang w:val="es-ES_tradnl"/>
              </w:rPr>
              <w:t xml:space="preserve"> No obstante, respecto de contratos interadministrativos que se celebran de forma directa en el artículo 2, numeral 4, literal c de la Ley 1150 de 2007 estaría sujeto a la restricción del artículo 33 que aplica a toda entidad y a todo procedimiento que no tenga un carácter competitivo. </w:t>
            </w:r>
          </w:p>
          <w:p w14:paraId="5057F541" w14:textId="77777777" w:rsidR="00385A72" w:rsidRPr="00385A72" w:rsidRDefault="00385A72" w:rsidP="00385A72">
            <w:pPr>
              <w:spacing w:after="120" w:line="276" w:lineRule="auto"/>
              <w:ind w:firstLine="709"/>
              <w:jc w:val="both"/>
              <w:rPr>
                <w:rFonts w:ascii="Verdana" w:eastAsia="Times New Roman" w:hAnsi="Verdana" w:cs="Arial"/>
                <w:bCs/>
                <w:lang w:val="es-MX" w:eastAsia="es-CO"/>
              </w:rPr>
            </w:pPr>
            <w:r w:rsidRPr="00385A72">
              <w:rPr>
                <w:rFonts w:ascii="Verdana" w:eastAsia="Times New Roman" w:hAnsi="Verdana" w:cs="Arial"/>
                <w:bCs/>
                <w:lang w:val="es-MX" w:eastAsia="x-none"/>
              </w:rPr>
              <w:t>Finalmente, se reitera, c</w:t>
            </w:r>
            <w:r w:rsidRPr="00385A72">
              <w:rPr>
                <w:rFonts w:ascii="Verdana" w:eastAsia="Times New Roman" w:hAnsi="Verdana" w:cs="Arial"/>
                <w:bCs/>
                <w:lang w:val="es-MX" w:eastAsia="es-CO"/>
              </w:rPr>
              <w:t>omo en otras oportunidades lo ha manifestado esta Agencia, que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 Además, también es posible que contratos celebrados previamente se continúen ejecutando con normalidad.</w:t>
            </w:r>
          </w:p>
          <w:p w14:paraId="596893A8" w14:textId="77777777" w:rsidR="00385A72" w:rsidRPr="00385A72" w:rsidRDefault="00385A72" w:rsidP="00385A72">
            <w:pPr>
              <w:spacing w:after="120" w:line="276" w:lineRule="auto"/>
              <w:ind w:firstLine="708"/>
              <w:jc w:val="both"/>
              <w:rPr>
                <w:rFonts w:ascii="Verdana" w:eastAsia="Calibri" w:hAnsi="Verdana" w:cs="Arial"/>
                <w:lang w:val="es-ES"/>
              </w:rPr>
            </w:pPr>
            <w:r w:rsidRPr="00385A72">
              <w:rPr>
                <w:rFonts w:ascii="Verdana" w:eastAsia="Times New Roman" w:hAnsi="Verdana" w:cs="Arial"/>
                <w:color w:val="000000"/>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tc>
      </w:tr>
    </w:tbl>
    <w:p w14:paraId="32736AF3" w14:textId="77777777" w:rsidR="00385A72" w:rsidRPr="00385A72" w:rsidRDefault="00385A72" w:rsidP="00385A72">
      <w:pPr>
        <w:spacing w:after="0" w:line="276" w:lineRule="auto"/>
        <w:jc w:val="both"/>
        <w:rPr>
          <w:rFonts w:ascii="Verdana" w:eastAsia="Calibri" w:hAnsi="Verdana" w:cs="Arial"/>
          <w:bCs/>
          <w:color w:val="000000" w:themeColor="text1"/>
        </w:rPr>
      </w:pPr>
    </w:p>
    <w:p w14:paraId="10DAC8E4" w14:textId="77777777" w:rsidR="00385A72" w:rsidRPr="00385A72" w:rsidRDefault="00385A72" w:rsidP="00385A72">
      <w:pPr>
        <w:numPr>
          <w:ilvl w:val="0"/>
          <w:numId w:val="19"/>
        </w:numPr>
        <w:tabs>
          <w:tab w:val="left" w:pos="2268"/>
        </w:tabs>
        <w:spacing w:after="0" w:line="276" w:lineRule="auto"/>
        <w:rPr>
          <w:rFonts w:ascii="Verdana" w:eastAsia="Calibri" w:hAnsi="Verdana" w:cs="Times New Roman"/>
          <w:b/>
          <w:bCs/>
          <w:lang w:val="es-ES"/>
        </w:rPr>
      </w:pPr>
      <w:r w:rsidRPr="00385A72">
        <w:rPr>
          <w:rFonts w:ascii="Verdana" w:eastAsia="Calibri" w:hAnsi="Verdana" w:cs="Times New Roman"/>
          <w:b/>
          <w:bCs/>
          <w:lang w:val="es-ES"/>
        </w:rPr>
        <w:t>Razones de la respuesta:</w:t>
      </w:r>
    </w:p>
    <w:p w14:paraId="345999C9" w14:textId="77777777" w:rsidR="00385A72" w:rsidRPr="00385A72" w:rsidRDefault="00385A72" w:rsidP="00385A72">
      <w:pPr>
        <w:spacing w:after="0" w:line="276" w:lineRule="auto"/>
        <w:rPr>
          <w:rFonts w:ascii="Verdana" w:eastAsia="Calibri" w:hAnsi="Verdana" w:cs="Times New Roman"/>
          <w:b/>
          <w:bCs/>
          <w:lang w:val="es-ES"/>
        </w:rPr>
      </w:pPr>
    </w:p>
    <w:p w14:paraId="6C6D8E61" w14:textId="77777777" w:rsidR="00385A72" w:rsidRPr="00385A72" w:rsidRDefault="00385A72" w:rsidP="00385A72">
      <w:pPr>
        <w:spacing w:after="0" w:line="276" w:lineRule="auto"/>
        <w:jc w:val="both"/>
        <w:rPr>
          <w:rFonts w:ascii="Verdana" w:eastAsia="Calibri" w:hAnsi="Verdana" w:cs="Arial"/>
          <w:lang w:val="es-ES"/>
        </w:rPr>
      </w:pPr>
      <w:r w:rsidRPr="00385A72">
        <w:rPr>
          <w:rFonts w:ascii="Verdana" w:eastAsia="Calibri" w:hAnsi="Verdana" w:cs="Arial"/>
          <w:lang w:val="es-ES"/>
        </w:rPr>
        <w:t xml:space="preserve">Lo anterior se sustenta en las siguientes consideraciones: </w:t>
      </w:r>
    </w:p>
    <w:p w14:paraId="41FC21B0" w14:textId="77777777" w:rsidR="00385A72" w:rsidRPr="00385A72" w:rsidRDefault="00385A72" w:rsidP="00385A72">
      <w:pPr>
        <w:spacing w:after="0" w:line="276" w:lineRule="auto"/>
        <w:jc w:val="both"/>
        <w:rPr>
          <w:rFonts w:ascii="Verdana" w:eastAsia="Calibri" w:hAnsi="Verdana" w:cs="Arial"/>
          <w:color w:val="000000" w:themeColor="text1"/>
        </w:rPr>
      </w:pPr>
    </w:p>
    <w:p w14:paraId="00A53FEC" w14:textId="77777777" w:rsidR="00385A72" w:rsidRPr="00385A72" w:rsidRDefault="00385A72" w:rsidP="00385A72">
      <w:pPr>
        <w:tabs>
          <w:tab w:val="left" w:pos="426"/>
        </w:tabs>
        <w:spacing w:after="120" w:line="276" w:lineRule="auto"/>
        <w:jc w:val="both"/>
        <w:rPr>
          <w:rFonts w:ascii="Verdana" w:eastAsia="Times New Roman" w:hAnsi="Verdana" w:cs="Arial"/>
          <w:lang w:eastAsia="es-CO"/>
        </w:rPr>
      </w:pPr>
      <w:r w:rsidRPr="00385A72">
        <w:rPr>
          <w:rFonts w:ascii="Verdana" w:eastAsia="Calibri" w:hAnsi="Verdana" w:cs="Arial"/>
        </w:rPr>
        <w:t>i. El ordenamiento jurídico colombiano contempla previsiones claras para evitar la obtención de beneficios personales en asuntos propios de la administración pública</w:t>
      </w:r>
      <w:r w:rsidRPr="00385A72">
        <w:rPr>
          <w:rFonts w:ascii="Verdana" w:eastAsia="Calibri" w:hAnsi="Verdana" w:cs="Arial"/>
          <w:i/>
        </w:rPr>
        <w:t xml:space="preserve">. </w:t>
      </w:r>
      <w:r w:rsidRPr="00385A72">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sidRPr="00385A72">
        <w:rPr>
          <w:rFonts w:ascii="Verdana" w:hAnsi="Verdana"/>
          <w:vertAlign w:val="superscript"/>
        </w:rPr>
        <w:footnoteReference w:id="2"/>
      </w:r>
      <w:r w:rsidRPr="00385A72">
        <w:rPr>
          <w:rFonts w:ascii="Verdana" w:eastAsia="Calibri" w:hAnsi="Verdana" w:cs="Arial"/>
        </w:rPr>
        <w:t xml:space="preserve">. </w:t>
      </w:r>
    </w:p>
    <w:p w14:paraId="5E91F22F" w14:textId="77777777" w:rsidR="00385A72" w:rsidRPr="00385A72" w:rsidRDefault="00385A72" w:rsidP="00385A72">
      <w:pPr>
        <w:tabs>
          <w:tab w:val="left" w:pos="426"/>
        </w:tabs>
        <w:spacing w:after="0" w:line="276" w:lineRule="auto"/>
        <w:ind w:firstLine="709"/>
        <w:jc w:val="both"/>
        <w:rPr>
          <w:rFonts w:ascii="Verdana" w:eastAsia="Calibri" w:hAnsi="Verdana" w:cs="Arial"/>
          <w:lang w:val="es-ES_tradnl"/>
        </w:rPr>
      </w:pPr>
      <w:r w:rsidRPr="00385A72">
        <w:rPr>
          <w:rFonts w:ascii="Verdana" w:eastAsia="Times New Roman" w:hAnsi="Verdana" w:cs="Arial"/>
          <w:lang w:eastAsia="es-CO"/>
        </w:rPr>
        <w:t>En el mismo sentido</w:t>
      </w:r>
      <w:r w:rsidRPr="00385A72">
        <w:rPr>
          <w:rFonts w:ascii="Verdana" w:eastAsia="Times New Roman" w:hAnsi="Verdana" w:cs="Arial"/>
          <w:lang w:val="es-MX" w:eastAsia="es-CO"/>
        </w:rPr>
        <w:t xml:space="preserve">, </w:t>
      </w:r>
      <w:bookmarkStart w:id="1" w:name="_Hlk99576829"/>
      <w:r w:rsidRPr="00385A72">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385A72">
        <w:rPr>
          <w:rFonts w:ascii="Verdana" w:eastAsia="Times New Roman" w:hAnsi="Verdana" w:cs="Arial"/>
          <w:vertAlign w:val="superscript"/>
          <w:lang w:val="es-MX" w:eastAsia="es-CO"/>
        </w:rPr>
        <w:footnoteReference w:id="3"/>
      </w:r>
      <w:r w:rsidRPr="00385A72">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385A72">
        <w:rPr>
          <w:rFonts w:ascii="Verdana" w:eastAsia="Calibri" w:hAnsi="Verdana" w:cs="Arial"/>
          <w:lang w:val="es-ES_tradnl"/>
        </w:rPr>
        <w:t xml:space="preserve"> </w:t>
      </w:r>
      <w:bookmarkEnd w:id="1"/>
      <w:r w:rsidRPr="00385A72">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2004F0C9" w14:textId="77777777" w:rsidR="00385A72" w:rsidRPr="00385A72" w:rsidRDefault="00385A72" w:rsidP="00385A72">
      <w:pPr>
        <w:spacing w:after="0" w:line="276" w:lineRule="auto"/>
        <w:ind w:right="709"/>
        <w:contextualSpacing/>
        <w:jc w:val="both"/>
        <w:rPr>
          <w:rFonts w:ascii="Verdana" w:eastAsia="Times New Roman" w:hAnsi="Verdana" w:cs="Arial"/>
          <w:lang w:val="es-ES" w:eastAsia="es-CO"/>
        </w:rPr>
      </w:pPr>
    </w:p>
    <w:p w14:paraId="789609AF" w14:textId="77777777" w:rsidR="00385A72" w:rsidRPr="00385A72" w:rsidRDefault="00385A72" w:rsidP="00385A72">
      <w:pPr>
        <w:spacing w:after="0" w:line="240" w:lineRule="auto"/>
        <w:ind w:left="709" w:right="709"/>
        <w:contextualSpacing/>
        <w:jc w:val="both"/>
        <w:rPr>
          <w:rFonts w:ascii="Verdana" w:eastAsia="Times New Roman" w:hAnsi="Verdana" w:cs="Arial"/>
          <w:sz w:val="20"/>
          <w:szCs w:val="20"/>
          <w:lang w:val="es-MX" w:eastAsia="es-CO"/>
        </w:rPr>
      </w:pPr>
      <w:r w:rsidRPr="00385A72">
        <w:rPr>
          <w:rFonts w:ascii="Verdana" w:eastAsia="Times New Roman" w:hAnsi="Verdana" w:cs="Arial"/>
          <w:sz w:val="20"/>
          <w:szCs w:val="20"/>
          <w:lang w:val="es-ES" w:eastAsia="es-CO"/>
        </w:rPr>
        <w:t xml:space="preserve">“[…] </w:t>
      </w:r>
      <w:r w:rsidRPr="00385A72">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2EFE8765" w14:textId="77777777" w:rsidR="00385A72" w:rsidRPr="00385A72" w:rsidRDefault="00385A72" w:rsidP="00385A72">
      <w:pPr>
        <w:spacing w:after="0" w:line="240" w:lineRule="auto"/>
        <w:ind w:left="709" w:right="709"/>
        <w:contextualSpacing/>
        <w:jc w:val="both"/>
        <w:rPr>
          <w:rFonts w:ascii="Verdana" w:eastAsia="Times New Roman" w:hAnsi="Verdana" w:cs="Arial"/>
          <w:sz w:val="20"/>
          <w:szCs w:val="20"/>
          <w:lang w:val="es-MX" w:eastAsia="es-CO"/>
        </w:rPr>
      </w:pPr>
      <w:r w:rsidRPr="00385A72">
        <w:rPr>
          <w:rFonts w:ascii="Verdana" w:eastAsia="Times New Roman" w:hAnsi="Verdana" w:cs="Arial"/>
          <w:sz w:val="20"/>
          <w:szCs w:val="20"/>
          <w:lang w:val="es-MX" w:eastAsia="es-CO"/>
        </w:rPr>
        <w:t xml:space="preserve">[…] </w:t>
      </w:r>
    </w:p>
    <w:p w14:paraId="759CFB3D" w14:textId="77777777" w:rsidR="00385A72" w:rsidRPr="00385A72" w:rsidRDefault="00385A72" w:rsidP="00385A72">
      <w:pPr>
        <w:spacing w:after="0" w:line="240" w:lineRule="auto"/>
        <w:ind w:left="709" w:right="709"/>
        <w:contextualSpacing/>
        <w:jc w:val="both"/>
        <w:rPr>
          <w:rFonts w:ascii="Verdana" w:eastAsia="Times New Roman" w:hAnsi="Verdana" w:cs="Arial"/>
          <w:sz w:val="20"/>
          <w:szCs w:val="20"/>
          <w:lang w:val="es-MX" w:eastAsia="es-CO"/>
        </w:rPr>
      </w:pPr>
      <w:r w:rsidRPr="00385A72">
        <w:rPr>
          <w:rFonts w:ascii="Verdana" w:eastAsia="Times New Roman" w:hAnsi="Verdana" w:cs="Arial"/>
          <w:sz w:val="20"/>
          <w:szCs w:val="20"/>
          <w:lang w:val="es-MX" w:eastAsia="es-CO"/>
        </w:rPr>
        <w:t xml:space="preserve">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w:t>
      </w:r>
      <w:r w:rsidRPr="00385A72">
        <w:rPr>
          <w:rFonts w:ascii="Verdana" w:eastAsia="Times New Roman" w:hAnsi="Verdana" w:cs="Arial"/>
          <w:sz w:val="20"/>
          <w:szCs w:val="20"/>
          <w:lang w:val="es-MX" w:eastAsia="es-CO"/>
        </w:rPr>
        <w:lastRenderedPageBreak/>
        <w:t>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385A72">
        <w:rPr>
          <w:rFonts w:ascii="Verdana" w:eastAsia="Calibri" w:hAnsi="Verdana" w:cs="Arial"/>
          <w:sz w:val="20"/>
          <w:szCs w:val="20"/>
          <w:vertAlign w:val="superscript"/>
          <w:lang w:val="es-MX"/>
        </w:rPr>
        <w:footnoteReference w:id="4"/>
      </w:r>
    </w:p>
    <w:p w14:paraId="225F534A" w14:textId="77777777" w:rsidR="00385A72" w:rsidRPr="00385A72" w:rsidRDefault="00385A72" w:rsidP="00385A72">
      <w:pPr>
        <w:spacing w:after="0" w:line="276" w:lineRule="auto"/>
        <w:ind w:firstLine="709"/>
        <w:jc w:val="both"/>
        <w:rPr>
          <w:rFonts w:ascii="Verdana" w:eastAsia="Times New Roman" w:hAnsi="Verdana" w:cs="Arial"/>
          <w:lang w:val="es-MX" w:eastAsia="es-CO"/>
        </w:rPr>
      </w:pPr>
      <w:bookmarkStart w:id="2" w:name="_Hlk78818186"/>
    </w:p>
    <w:p w14:paraId="3E0B08BD" w14:textId="77777777" w:rsidR="00385A72" w:rsidRPr="00385A72" w:rsidRDefault="00385A72" w:rsidP="00385A72">
      <w:pPr>
        <w:spacing w:after="0" w:line="276" w:lineRule="auto"/>
        <w:ind w:firstLine="709"/>
        <w:jc w:val="both"/>
        <w:rPr>
          <w:rFonts w:ascii="Verdana" w:eastAsia="Times New Roman" w:hAnsi="Verdana" w:cs="Arial"/>
          <w:lang w:val="es-MX" w:eastAsia="es-CO"/>
        </w:rPr>
      </w:pPr>
      <w:r w:rsidRPr="00385A72">
        <w:rPr>
          <w:rFonts w:ascii="Verdana" w:eastAsia="Times New Roman" w:hAnsi="Verdana" w:cs="Arial"/>
          <w:lang w:val="es-MX" w:eastAsia="es-CO"/>
        </w:rPr>
        <w:t xml:space="preserve">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w:t>
      </w:r>
      <w:bookmarkEnd w:id="2"/>
      <w:r w:rsidRPr="00385A72">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precisó:</w:t>
      </w:r>
    </w:p>
    <w:p w14:paraId="485AFFBE" w14:textId="77777777" w:rsidR="00385A72" w:rsidRPr="00385A72" w:rsidRDefault="00385A72" w:rsidP="00385A72">
      <w:pPr>
        <w:spacing w:after="0" w:line="276" w:lineRule="auto"/>
        <w:ind w:firstLine="709"/>
        <w:jc w:val="both"/>
        <w:rPr>
          <w:rFonts w:ascii="Verdana" w:eastAsia="Times New Roman" w:hAnsi="Verdana" w:cs="Arial"/>
          <w:lang w:val="es-MX" w:eastAsia="es-CO"/>
        </w:rPr>
      </w:pPr>
    </w:p>
    <w:p w14:paraId="661207FE" w14:textId="77777777" w:rsidR="00385A72" w:rsidRPr="00385A72" w:rsidRDefault="00385A72" w:rsidP="00385A72">
      <w:pPr>
        <w:spacing w:after="0" w:line="240" w:lineRule="auto"/>
        <w:ind w:left="709" w:right="709"/>
        <w:contextualSpacing/>
        <w:jc w:val="both"/>
        <w:rPr>
          <w:rFonts w:ascii="Verdana" w:eastAsia="Times New Roman" w:hAnsi="Verdana" w:cs="Arial"/>
          <w:sz w:val="20"/>
          <w:szCs w:val="20"/>
          <w:lang w:val="es-MX" w:eastAsia="es-CO"/>
        </w:rPr>
      </w:pPr>
      <w:r w:rsidRPr="00385A72">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5CC991A9" w14:textId="77777777" w:rsidR="00385A72" w:rsidRPr="00385A72" w:rsidRDefault="00385A72" w:rsidP="00385A72">
      <w:pPr>
        <w:spacing w:after="0" w:line="240" w:lineRule="auto"/>
        <w:ind w:right="709"/>
        <w:contextualSpacing/>
        <w:jc w:val="both"/>
        <w:rPr>
          <w:rFonts w:ascii="Verdana" w:eastAsia="Times New Roman" w:hAnsi="Verdana" w:cs="Arial"/>
          <w:lang w:val="es-MX" w:eastAsia="es-CO"/>
        </w:rPr>
      </w:pPr>
    </w:p>
    <w:p w14:paraId="3BE5D9EF" w14:textId="77777777" w:rsidR="00385A72" w:rsidRPr="00385A72" w:rsidRDefault="00385A72" w:rsidP="00385A72">
      <w:pPr>
        <w:spacing w:after="0" w:line="240" w:lineRule="auto"/>
        <w:ind w:left="709" w:right="709"/>
        <w:contextualSpacing/>
        <w:jc w:val="both"/>
        <w:rPr>
          <w:rFonts w:ascii="Verdana" w:eastAsia="Times New Roman" w:hAnsi="Verdana" w:cs="Arial"/>
          <w:sz w:val="20"/>
          <w:szCs w:val="20"/>
          <w:lang w:val="es-MX" w:eastAsia="es-CO"/>
        </w:rPr>
      </w:pPr>
      <w:r w:rsidRPr="00385A72">
        <w:rPr>
          <w:rFonts w:ascii="Verdana" w:eastAsia="Times New Roman" w:hAnsi="Verdana" w:cs="Arial"/>
          <w:sz w:val="20"/>
          <w:szCs w:val="20"/>
          <w:lang w:val="es-MX" w:eastAsia="es-CO"/>
        </w:rPr>
        <w:t>La jurisprudencia de la Corte Constitucional</w:t>
      </w:r>
      <w:r w:rsidRPr="00385A72">
        <w:rPr>
          <w:rFonts w:ascii="Verdana" w:eastAsia="Times New Roman" w:hAnsi="Verdana" w:cs="Arial"/>
          <w:sz w:val="20"/>
          <w:szCs w:val="20"/>
          <w:vertAlign w:val="superscript"/>
          <w:lang w:val="es-MX" w:eastAsia="es-CO"/>
        </w:rPr>
        <w:footnoteReference w:id="5"/>
      </w:r>
      <w:r w:rsidRPr="00385A72">
        <w:rPr>
          <w:rFonts w:ascii="Verdana" w:eastAsia="Times New Roman" w:hAnsi="Verdana" w:cs="Arial"/>
          <w:sz w:val="20"/>
          <w:szCs w:val="20"/>
          <w:lang w:val="es-MX" w:eastAsia="es-CO"/>
        </w:rPr>
        <w:t> y del Consejo de Estado</w:t>
      </w:r>
      <w:r w:rsidRPr="00385A72">
        <w:rPr>
          <w:rFonts w:ascii="Verdana" w:eastAsia="Times New Roman" w:hAnsi="Verdana" w:cs="Arial"/>
          <w:sz w:val="20"/>
          <w:szCs w:val="20"/>
          <w:vertAlign w:val="superscript"/>
          <w:lang w:val="es-MX" w:eastAsia="es-CO"/>
        </w:rPr>
        <w:footnoteReference w:id="6"/>
      </w:r>
      <w:r w:rsidRPr="00385A72">
        <w:rPr>
          <w:rFonts w:ascii="Verdana" w:eastAsia="Times New Roman" w:hAnsi="Verdana" w:cs="Arial"/>
          <w:sz w:val="20"/>
          <w:szCs w:val="20"/>
          <w:lang w:val="es-MX" w:eastAsia="es-CO"/>
        </w:rPr>
        <w:t xml:space="preserve">,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w:t>
      </w:r>
      <w:r w:rsidRPr="00385A72">
        <w:rPr>
          <w:rFonts w:ascii="Verdana" w:eastAsia="Times New Roman" w:hAnsi="Verdana" w:cs="Arial"/>
          <w:sz w:val="20"/>
          <w:szCs w:val="20"/>
          <w:lang w:val="es-MX" w:eastAsia="es-CO"/>
        </w:rPr>
        <w:lastRenderedPageBreak/>
        <w:t>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385A72">
        <w:rPr>
          <w:rFonts w:ascii="Verdana" w:eastAsia="Times New Roman" w:hAnsi="Verdana" w:cs="Arial"/>
          <w:sz w:val="20"/>
          <w:szCs w:val="20"/>
          <w:vertAlign w:val="superscript"/>
          <w:lang w:val="es-MX" w:eastAsia="es-CO"/>
        </w:rPr>
        <w:footnoteReference w:id="7"/>
      </w:r>
      <w:r w:rsidRPr="00385A72">
        <w:rPr>
          <w:rFonts w:ascii="Verdana" w:eastAsia="Times New Roman" w:hAnsi="Verdana" w:cs="Arial"/>
          <w:sz w:val="20"/>
          <w:szCs w:val="20"/>
          <w:lang w:val="es-MX" w:eastAsia="es-CO"/>
        </w:rPr>
        <w:t>.</w:t>
      </w:r>
    </w:p>
    <w:p w14:paraId="7BE681FC" w14:textId="77777777" w:rsidR="00385A72" w:rsidRPr="00385A72" w:rsidRDefault="00385A72" w:rsidP="00385A72">
      <w:pPr>
        <w:spacing w:after="0" w:line="276" w:lineRule="auto"/>
        <w:jc w:val="both"/>
        <w:rPr>
          <w:rFonts w:ascii="Verdana" w:eastAsia="Calibri" w:hAnsi="Verdana" w:cs="Arial"/>
          <w:bCs/>
          <w:lang w:val="es-ES_tradnl"/>
        </w:rPr>
      </w:pPr>
    </w:p>
    <w:p w14:paraId="55158A6B" w14:textId="77777777" w:rsidR="00385A72" w:rsidRPr="00385A72" w:rsidRDefault="00385A72" w:rsidP="00385A72">
      <w:pPr>
        <w:spacing w:after="0" w:line="276" w:lineRule="auto"/>
        <w:ind w:firstLine="709"/>
        <w:jc w:val="both"/>
        <w:rPr>
          <w:rFonts w:ascii="Verdana" w:eastAsia="Arial" w:hAnsi="Verdana" w:cs="Arial"/>
          <w:lang w:val="es-ES" w:eastAsia="es-ES" w:bidi="es-ES"/>
        </w:rPr>
      </w:pPr>
      <w:r w:rsidRPr="00385A72">
        <w:rPr>
          <w:rFonts w:ascii="Verdana" w:eastAsia="Times New Roman" w:hAnsi="Verdana" w:cs="Arial"/>
          <w:lang w:val="es-MX" w:eastAsia="es-CO"/>
        </w:rPr>
        <w:t>De</w:t>
      </w:r>
      <w:r w:rsidRPr="00385A72">
        <w:rPr>
          <w:rFonts w:ascii="Verdana" w:eastAsia="Arial" w:hAnsi="Verdana" w:cs="Arial"/>
          <w:lang w:val="es-ES" w:eastAsia="es-ES" w:bidi="es-ES"/>
        </w:rPr>
        <w:t xml:space="preserve"> conformidad con lo anterior, </w:t>
      </w:r>
      <w:bookmarkStart w:id="3" w:name="_Hlk77236098"/>
      <w:bookmarkStart w:id="4" w:name="_Hlk100679383"/>
      <w:r w:rsidRPr="00385A72">
        <w:rPr>
          <w:rFonts w:ascii="Verdana" w:eastAsia="Arial" w:hAnsi="Verdana" w:cs="Arial"/>
          <w:lang w:val="es-ES" w:eastAsia="es-ES" w:bidi="es-ES"/>
        </w:rPr>
        <w:t xml:space="preserve">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366C1E09" w14:textId="77777777" w:rsidR="00385A72" w:rsidRPr="00385A72" w:rsidRDefault="00385A72" w:rsidP="00385A72">
      <w:pPr>
        <w:spacing w:after="0" w:line="276" w:lineRule="auto"/>
        <w:ind w:firstLine="709"/>
        <w:jc w:val="both"/>
        <w:rPr>
          <w:rFonts w:ascii="Verdana" w:eastAsia="Arial" w:hAnsi="Verdana" w:cs="Arial"/>
          <w:lang w:val="es-ES" w:eastAsia="es-ES" w:bidi="es-ES"/>
        </w:rPr>
      </w:pPr>
    </w:p>
    <w:p w14:paraId="6CC92013" w14:textId="77777777" w:rsidR="00385A72" w:rsidRPr="00385A72" w:rsidRDefault="00385A72" w:rsidP="00385A72">
      <w:pPr>
        <w:spacing w:after="120" w:line="276" w:lineRule="auto"/>
        <w:jc w:val="both"/>
        <w:rPr>
          <w:rFonts w:ascii="Verdana" w:eastAsia="Arial" w:hAnsi="Verdana" w:cs="Arial"/>
          <w:lang w:val="es-ES" w:eastAsia="es-ES" w:bidi="es-ES"/>
        </w:rPr>
      </w:pPr>
      <w:r w:rsidRPr="00385A72">
        <w:rPr>
          <w:rFonts w:ascii="Verdana" w:eastAsia="Arial" w:hAnsi="Verdana" w:cs="Arial"/>
          <w:lang w:val="es-ES" w:eastAsia="es-ES" w:bidi="es-ES"/>
        </w:rPr>
        <w:t>ii. 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3"/>
    </w:p>
    <w:p w14:paraId="7AE06CD0" w14:textId="77777777" w:rsidR="00385A72" w:rsidRPr="00385A72" w:rsidRDefault="00385A72" w:rsidP="00385A72">
      <w:pPr>
        <w:spacing w:after="120" w:line="276" w:lineRule="auto"/>
        <w:ind w:firstLine="708"/>
        <w:jc w:val="both"/>
        <w:rPr>
          <w:rFonts w:ascii="Verdana" w:eastAsia="Calibri" w:hAnsi="Verdana" w:cs="Arial"/>
        </w:rPr>
      </w:pPr>
      <w:r w:rsidRPr="00385A72">
        <w:rPr>
          <w:rFonts w:ascii="Verdana" w:eastAsia="Calibri" w:hAnsi="Verdana" w:cs="Arial"/>
        </w:rPr>
        <w:t xml:space="preserve">Por un lado, el </w:t>
      </w:r>
      <w:r w:rsidRPr="00385A72">
        <w:rPr>
          <w:rFonts w:ascii="Verdana" w:eastAsia="Calibri" w:hAnsi="Verdana" w:cs="Arial"/>
          <w:i/>
          <w:iCs/>
        </w:rPr>
        <w:t>artículo 33 de la Ley 996 de 2005</w:t>
      </w:r>
      <w:r w:rsidRPr="00385A72">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385A72">
        <w:rPr>
          <w:rFonts w:ascii="Verdana" w:eastAsia="Calibri" w:hAnsi="Verdana" w:cs="Arial"/>
          <w:vertAlign w:val="superscript"/>
        </w:rPr>
        <w:footnoteReference w:id="8"/>
      </w:r>
      <w:r w:rsidRPr="00385A72">
        <w:rPr>
          <w:rFonts w:ascii="Verdana" w:eastAsia="Calibri" w:hAnsi="Verdana" w:cs="Arial"/>
        </w:rPr>
        <w:t>.</w:t>
      </w:r>
    </w:p>
    <w:p w14:paraId="0EBB67C5" w14:textId="77777777" w:rsidR="00385A72" w:rsidRPr="00385A72" w:rsidRDefault="00385A72" w:rsidP="00385A72">
      <w:pPr>
        <w:widowControl w:val="0"/>
        <w:autoSpaceDE w:val="0"/>
        <w:autoSpaceDN w:val="0"/>
        <w:spacing w:after="120" w:line="276" w:lineRule="auto"/>
        <w:ind w:right="113" w:firstLine="709"/>
        <w:jc w:val="both"/>
        <w:rPr>
          <w:rFonts w:ascii="Verdana" w:eastAsia="Arial" w:hAnsi="Verdana" w:cs="Arial"/>
          <w:lang w:val="es-ES" w:eastAsia="es-ES" w:bidi="es-ES"/>
        </w:rPr>
      </w:pPr>
      <w:r w:rsidRPr="00385A72">
        <w:rPr>
          <w:rFonts w:ascii="Verdana" w:eastAsia="Calibri" w:hAnsi="Verdana" w:cs="Arial"/>
        </w:rPr>
        <w:t xml:space="preserve">Por otro lado, </w:t>
      </w:r>
      <w:r w:rsidRPr="00385A72">
        <w:rPr>
          <w:rFonts w:ascii="Verdana" w:eastAsia="Calibri" w:hAnsi="Verdana" w:cs="Arial"/>
          <w:i/>
          <w:iCs/>
        </w:rPr>
        <w:t>el parágrafo del artículo 38 de la Ley 996 de 2005</w:t>
      </w:r>
      <w:r w:rsidRPr="00385A72">
        <w:rPr>
          <w:rFonts w:ascii="Verdana" w:eastAsia="Calibri" w:hAnsi="Verdana" w:cs="Arial"/>
        </w:rPr>
        <w:t xml:space="preserve"> prevé una restricción, aplicable respecto de cualquier tipo de contienda electoral, que </w:t>
      </w:r>
      <w:r w:rsidRPr="00385A72">
        <w:rPr>
          <w:rFonts w:ascii="Verdana" w:eastAsia="Calibri" w:hAnsi="Verdana" w:cs="Arial"/>
        </w:rPr>
        <w:lastRenderedPageBreak/>
        <w:t xml:space="preserve">prohíbe a los gobernadores, alcaldes municipales o distritales, secretarios, gerentes y directores de entidades descentralizadas del orden municipal, departamental o distrital “[…] </w:t>
      </w:r>
      <w:r w:rsidRPr="00385A72">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385A72">
        <w:rPr>
          <w:rFonts w:ascii="Verdana" w:eastAsia="Calibri" w:hAnsi="Verdana" w:cs="Arial"/>
        </w:rPr>
        <w:t>”</w:t>
      </w:r>
      <w:bookmarkEnd w:id="4"/>
      <w:r w:rsidRPr="00385A72">
        <w:rPr>
          <w:rFonts w:ascii="Verdana" w:eastAsia="Calibri" w:hAnsi="Verdana" w:cs="Arial"/>
          <w:vertAlign w:val="superscript"/>
        </w:rPr>
        <w:footnoteReference w:id="9"/>
      </w:r>
      <w:r w:rsidRPr="00385A72">
        <w:rPr>
          <w:rFonts w:ascii="Verdana" w:eastAsia="Calibri" w:hAnsi="Verdana" w:cs="Arial"/>
          <w:lang w:val="es-MX"/>
        </w:rPr>
        <w:t>.</w:t>
      </w:r>
      <w:r w:rsidRPr="00385A72">
        <w:rPr>
          <w:rFonts w:ascii="Verdana" w:eastAsia="Arial" w:hAnsi="Verdana" w:cs="Arial"/>
          <w:lang w:val="es-ES" w:eastAsia="es-ES" w:bidi="es-ES"/>
        </w:rPr>
        <w:t xml:space="preserve"> </w:t>
      </w:r>
    </w:p>
    <w:p w14:paraId="46889BF3" w14:textId="77777777" w:rsidR="00385A72" w:rsidRPr="00385A72" w:rsidRDefault="00385A72" w:rsidP="00385A72">
      <w:pPr>
        <w:spacing w:after="120" w:line="276" w:lineRule="auto"/>
        <w:ind w:firstLine="708"/>
        <w:jc w:val="both"/>
        <w:rPr>
          <w:rFonts w:ascii="Verdana" w:eastAsia="Times New Roman" w:hAnsi="Verdana" w:cs="Arial"/>
          <w:bCs/>
          <w:lang w:eastAsia="es-CO"/>
        </w:rPr>
      </w:pPr>
      <w:r w:rsidRPr="00385A72">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 “</w:t>
      </w:r>
      <w:r w:rsidRPr="00385A72">
        <w:rPr>
          <w:rFonts w:ascii="Verdana" w:eastAsia="Times New Roman" w:hAnsi="Verdana" w:cs="Arial"/>
          <w:bCs/>
          <w:lang w:eastAsia="es-CO"/>
        </w:rPr>
        <w:t>1. </w:t>
      </w:r>
      <w:r w:rsidRPr="00385A72">
        <w:rPr>
          <w:rFonts w:ascii="Verdana" w:eastAsia="Times New Roman" w:hAnsi="Verdana" w:cs="Arial"/>
          <w:bCs/>
          <w:i/>
          <w:iCs/>
          <w:lang w:eastAsia="es-CO"/>
        </w:rPr>
        <w:t>Gral.</w:t>
      </w:r>
      <w:r w:rsidRPr="00385A72">
        <w:rPr>
          <w:rFonts w:ascii="Verdana" w:eastAsia="Times New Roman" w:hAnsi="Verdana" w:cs="Arial"/>
          <w:bCs/>
          <w:lang w:eastAsia="es-CO"/>
        </w:rPr>
        <w:t xml:space="preserve"> Otorgar o firmar un contrato. 2. </w:t>
      </w:r>
      <w:r w:rsidRPr="00385A72">
        <w:rPr>
          <w:rFonts w:ascii="Verdana" w:eastAsia="Times New Roman" w:hAnsi="Verdana" w:cs="Arial"/>
          <w:bCs/>
          <w:i/>
          <w:iCs/>
          <w:lang w:eastAsia="es-CO"/>
        </w:rPr>
        <w:t>Proc.</w:t>
      </w:r>
      <w:r w:rsidRPr="00385A72">
        <w:rPr>
          <w:rFonts w:ascii="Verdana" w:eastAsia="Times New Roman" w:hAnsi="Verdana" w:cs="Arial"/>
          <w:bCs/>
          <w:lang w:eastAsia="es-CO"/>
        </w:rPr>
        <w:t xml:space="preserve"> Realizar los actos procesales propios de un juicio o vista”. Dentro de las dos definiciones, la que se acerca a la expresión “celebrar” en el contexto de la Ley de Garantías Electorales es la primera, esto es, al perfeccionamiento del contrato. </w:t>
      </w:r>
    </w:p>
    <w:p w14:paraId="01D399A4" w14:textId="77777777" w:rsidR="00385A72" w:rsidRPr="00385A72" w:rsidRDefault="00385A72" w:rsidP="00385A72">
      <w:pPr>
        <w:spacing w:after="120" w:line="276" w:lineRule="auto"/>
        <w:ind w:firstLine="708"/>
        <w:jc w:val="both"/>
        <w:rPr>
          <w:rFonts w:ascii="Verdana" w:eastAsia="Times New Roman" w:hAnsi="Verdana" w:cs="Arial"/>
          <w:bCs/>
          <w:lang w:val="es-ES" w:eastAsia="es-CO"/>
        </w:rPr>
      </w:pPr>
      <w:r w:rsidRPr="00385A72">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385A72">
        <w:rPr>
          <w:rFonts w:ascii="Verdana" w:eastAsia="Times New Roman" w:hAnsi="Verdana" w:cs="Arial"/>
          <w:bCs/>
          <w:lang w:val="es-ES" w:eastAsia="es-CO"/>
        </w:rPr>
        <w:t xml:space="preserve">la existencia de los contratos estatales, es decir, la producción de efectos jurídicos en los términos del artículo 1501 </w:t>
      </w:r>
      <w:r w:rsidRPr="00385A72">
        <w:rPr>
          <w:rFonts w:ascii="Verdana" w:eastAsia="Times New Roman" w:hAnsi="Verdana" w:cs="Arial"/>
          <w:bCs/>
          <w:i/>
          <w:lang w:val="es-ES" w:eastAsia="es-CO"/>
        </w:rPr>
        <w:t>ibídem</w:t>
      </w:r>
      <w:r w:rsidRPr="00385A72">
        <w:rPr>
          <w:rFonts w:ascii="Verdana" w:eastAsia="Times New Roman" w:hAnsi="Verdana" w:cs="Arial"/>
          <w:bCs/>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2DB9CC52" w14:textId="77777777" w:rsidR="00385A72" w:rsidRPr="00385A72" w:rsidRDefault="00385A72" w:rsidP="00385A72">
      <w:pPr>
        <w:spacing w:after="120" w:line="276" w:lineRule="auto"/>
        <w:ind w:firstLine="708"/>
        <w:jc w:val="both"/>
        <w:rPr>
          <w:rFonts w:ascii="Verdana" w:eastAsia="Times New Roman" w:hAnsi="Verdana" w:cs="Arial"/>
          <w:bCs/>
          <w:lang w:val="es-ES" w:eastAsia="es-CO"/>
        </w:rPr>
      </w:pPr>
      <w:r w:rsidRPr="00385A72">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w:t>
      </w:r>
      <w:r w:rsidRPr="00385A72">
        <w:rPr>
          <w:rFonts w:ascii="Verdana" w:eastAsia="Times New Roman" w:hAnsi="Verdana" w:cs="Arial"/>
          <w:bCs/>
          <w:lang w:val="es-ES" w:eastAsia="es-CO"/>
        </w:rPr>
        <w:lastRenderedPageBreak/>
        <w:t xml:space="preserve">Por tanto, no se refiere a los requisitos de ejecución, es decir, aquellas condiciones para iniciar un contrato, como es la aprobación de las garantías o el registro presupuestal, o en algunos casos, la firma del acta de inicio, si así se determinó. </w:t>
      </w:r>
    </w:p>
    <w:p w14:paraId="4BE031EB" w14:textId="77777777" w:rsidR="00385A72" w:rsidRPr="00385A72" w:rsidRDefault="00385A72" w:rsidP="00385A72">
      <w:pPr>
        <w:spacing w:after="120" w:line="276" w:lineRule="auto"/>
        <w:ind w:firstLine="708"/>
        <w:jc w:val="both"/>
        <w:rPr>
          <w:rFonts w:ascii="Verdana" w:eastAsia="Times New Roman" w:hAnsi="Verdana" w:cs="Arial"/>
          <w:bCs/>
          <w:lang w:val="es-ES" w:eastAsia="es-CO"/>
        </w:rPr>
      </w:pPr>
      <w:r w:rsidRPr="00385A72">
        <w:rPr>
          <w:rFonts w:ascii="Verdana" w:eastAsia="Times New Roman" w:hAnsi="Verdana" w:cs="Arial"/>
          <w:bCs/>
          <w:lang w:val="es-ES" w:eastAsia="es-CO"/>
        </w:rPr>
        <w:t xml:space="preserve">Así mismo, </w:t>
      </w:r>
      <w:r w:rsidRPr="00385A72">
        <w:rPr>
          <w:rFonts w:ascii="Verdana" w:eastAsia="Times New Roman" w:hAnsi="Verdana" w:cs="Arial"/>
          <w:bCs/>
          <w:lang w:val="es-MX"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385A72">
        <w:rPr>
          <w:rFonts w:ascii="Verdana" w:eastAsia="Times New Roman" w:hAnsi="Verdana" w:cs="Arial"/>
          <w:bCs/>
          <w:vertAlign w:val="superscript"/>
          <w:lang w:val="es-MX" w:eastAsia="es-CO"/>
        </w:rPr>
        <w:footnoteReference w:id="10"/>
      </w:r>
      <w:r w:rsidRPr="00385A72">
        <w:rPr>
          <w:rFonts w:ascii="Verdana" w:eastAsia="Times New Roman" w:hAnsi="Verdana" w:cs="Arial"/>
          <w:bCs/>
          <w:lang w:val="es-MX" w:eastAsia="es-CO"/>
        </w:rPr>
        <w:t xml:space="preserve">. </w:t>
      </w:r>
    </w:p>
    <w:p w14:paraId="72E7E3D4" w14:textId="77777777" w:rsidR="00385A72" w:rsidRPr="00385A72" w:rsidRDefault="00385A72" w:rsidP="00385A72">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385A7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w:t>
      </w:r>
    </w:p>
    <w:p w14:paraId="451C2597" w14:textId="77777777" w:rsidR="00385A72" w:rsidRPr="00385A72" w:rsidRDefault="00385A72" w:rsidP="00385A72">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63DAE925" w14:textId="77777777" w:rsidR="00385A72" w:rsidRPr="00385A72" w:rsidRDefault="00385A72" w:rsidP="00385A72">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385A72">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7" w:name="_Hlk76109421"/>
      <w:r w:rsidRPr="00385A72">
        <w:rPr>
          <w:rFonts w:ascii="Verdana" w:eastAsia="Arial" w:hAnsi="Verdana" w:cs="Arial"/>
          <w:sz w:val="20"/>
          <w:szCs w:val="20"/>
          <w:lang w:eastAsia="es-ES" w:bidi="es-ES"/>
        </w:rPr>
        <w:t>se integran parcialmente</w:t>
      </w:r>
      <w:bookmarkEnd w:id="7"/>
      <w:r w:rsidRPr="00385A72">
        <w:rPr>
          <w:rFonts w:ascii="Verdana" w:eastAsia="Arial" w:hAnsi="Verdana" w:cs="Arial"/>
          <w:sz w:val="20"/>
          <w:szCs w:val="20"/>
          <w:lang w:eastAsia="es-ES" w:bidi="es-ES"/>
        </w:rPr>
        <w:t>,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385A72">
        <w:rPr>
          <w:rFonts w:ascii="Verdana" w:eastAsia="Arial" w:hAnsi="Verdana" w:cs="Arial"/>
          <w:sz w:val="20"/>
          <w:szCs w:val="20"/>
          <w:vertAlign w:val="superscript"/>
          <w:lang w:eastAsia="es-ES" w:bidi="es-ES"/>
        </w:rPr>
        <w:footnoteReference w:id="11"/>
      </w:r>
    </w:p>
    <w:p w14:paraId="602F21BB" w14:textId="77777777" w:rsidR="00385A72" w:rsidRPr="00385A72" w:rsidRDefault="00385A72" w:rsidP="00385A72">
      <w:pPr>
        <w:widowControl w:val="0"/>
        <w:autoSpaceDE w:val="0"/>
        <w:autoSpaceDN w:val="0"/>
        <w:spacing w:after="0" w:line="276" w:lineRule="auto"/>
        <w:contextualSpacing/>
        <w:rPr>
          <w:rFonts w:ascii="Verdana" w:eastAsia="Arial" w:hAnsi="Verdana" w:cs="Arial"/>
          <w:lang w:val="es-ES" w:eastAsia="es-ES" w:bidi="es-ES"/>
        </w:rPr>
      </w:pPr>
    </w:p>
    <w:p w14:paraId="0B2DF55A" w14:textId="77777777" w:rsidR="00385A72" w:rsidRPr="00385A72" w:rsidRDefault="00385A72" w:rsidP="00385A72">
      <w:pPr>
        <w:spacing w:after="120" w:line="276" w:lineRule="auto"/>
        <w:ind w:firstLine="709"/>
        <w:jc w:val="both"/>
        <w:rPr>
          <w:rFonts w:ascii="Verdana" w:eastAsia="Arial" w:hAnsi="Verdana" w:cs="Arial"/>
          <w:lang w:val="es-ES" w:eastAsia="es-ES" w:bidi="es-ES"/>
        </w:rPr>
      </w:pPr>
      <w:r w:rsidRPr="00385A72">
        <w:rPr>
          <w:rFonts w:ascii="Verdana" w:eastAsia="Arial" w:hAnsi="Verdana" w:cs="Arial"/>
          <w:lang w:val="es-ES" w:eastAsia="es-ES" w:bidi="es-ES"/>
        </w:rPr>
        <w:t xml:space="preserve">De conformidad con lo anterior, </w:t>
      </w:r>
      <w:bookmarkStart w:id="8" w:name="_Hlk77236420"/>
      <w:bookmarkStart w:id="9" w:name="_Hlk78818435"/>
      <w:bookmarkStart w:id="10" w:name="_Hlk75780333"/>
      <w:r w:rsidRPr="00385A72">
        <w:rPr>
          <w:rFonts w:ascii="Verdana" w:eastAsia="Arial" w:hAnsi="Verdana" w:cs="Arial"/>
          <w:lang w:val="es-ES" w:eastAsia="es-ES" w:bidi="es-ES"/>
        </w:rPr>
        <w:t xml:space="preserve">la Ley 996 de 2005 establece dos (2) tipos de restricciones en materia de contratación, las cuales coinciden parcialmente. </w:t>
      </w:r>
      <w:r w:rsidRPr="00385A72">
        <w:rPr>
          <w:rFonts w:ascii="Verdana" w:eastAsia="Arial" w:hAnsi="Verdana" w:cs="Arial"/>
          <w:i/>
          <w:lang w:val="es-ES" w:eastAsia="es-ES" w:bidi="es-ES"/>
        </w:rPr>
        <w:t>En primer lugar</w:t>
      </w:r>
      <w:r w:rsidRPr="00385A72">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w:t>
      </w:r>
      <w:r w:rsidRPr="00385A72">
        <w:rPr>
          <w:rFonts w:ascii="Verdana" w:eastAsia="Arial" w:hAnsi="Verdana" w:cs="Arial"/>
          <w:lang w:val="es-ES" w:eastAsia="es-ES" w:bidi="es-ES"/>
        </w:rPr>
        <w:lastRenderedPageBreak/>
        <w:t xml:space="preserve">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385A72">
        <w:rPr>
          <w:rFonts w:ascii="Verdana" w:eastAsia="Arial" w:hAnsi="Verdana" w:cs="Arial"/>
          <w:i/>
          <w:lang w:val="es-ES" w:eastAsia="es-ES" w:bidi="es-ES"/>
        </w:rPr>
        <w:t>En segundo lugar</w:t>
      </w:r>
      <w:r w:rsidRPr="00385A72">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8"/>
    </w:p>
    <w:bookmarkEnd w:id="9"/>
    <w:p w14:paraId="7D2A3F2E" w14:textId="77777777" w:rsidR="00385A72" w:rsidRPr="00385A72" w:rsidRDefault="00385A72" w:rsidP="00385A72">
      <w:pPr>
        <w:spacing w:after="120" w:line="276" w:lineRule="auto"/>
        <w:ind w:firstLine="709"/>
        <w:jc w:val="both"/>
        <w:rPr>
          <w:rFonts w:ascii="Verdana" w:eastAsia="Arial" w:hAnsi="Verdana" w:cs="Arial"/>
          <w:lang w:val="es-ES" w:eastAsia="es-ES" w:bidi="es-ES"/>
        </w:rPr>
      </w:pPr>
      <w:r w:rsidRPr="00385A72">
        <w:rPr>
          <w:rFonts w:ascii="Verdana" w:eastAsia="Arial" w:hAnsi="Verdana" w:cs="Arial"/>
          <w:lang w:val="es-ES" w:eastAsia="es-ES" w:bidi="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bookmarkEnd w:id="10"/>
    <w:p w14:paraId="58C6BE79" w14:textId="77777777" w:rsidR="00385A72" w:rsidRPr="00385A72" w:rsidRDefault="00385A72" w:rsidP="00385A72">
      <w:pPr>
        <w:spacing w:after="0" w:line="276" w:lineRule="auto"/>
        <w:ind w:firstLine="709"/>
        <w:jc w:val="both"/>
        <w:rPr>
          <w:rFonts w:ascii="Verdana" w:eastAsia="Arial" w:hAnsi="Verdana" w:cs="Arial"/>
          <w:lang w:val="es-ES" w:eastAsia="es-ES" w:bidi="es-ES"/>
        </w:rPr>
      </w:pPr>
      <w:r w:rsidRPr="00385A72">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5B85FE0C" w14:textId="77777777" w:rsidR="00385A72" w:rsidRPr="00385A72" w:rsidRDefault="00385A72" w:rsidP="00385A72">
      <w:pPr>
        <w:spacing w:after="120" w:line="276" w:lineRule="auto"/>
        <w:ind w:firstLine="708"/>
        <w:jc w:val="both"/>
        <w:rPr>
          <w:rFonts w:ascii="Verdana" w:eastAsia="Arial" w:hAnsi="Verdana" w:cs="Arial"/>
          <w:lang w:val="es-ES" w:eastAsia="es-ES" w:bidi="es-ES"/>
        </w:rPr>
      </w:pPr>
      <w:r w:rsidRPr="00385A72">
        <w:rPr>
          <w:rFonts w:ascii="Verdana" w:eastAsia="Arial" w:hAnsi="Verdana" w:cs="Arial"/>
          <w:lang w:val="es-ES" w:eastAsia="es-ES" w:bidi="es-ES"/>
        </w:rPr>
        <w:t xml:space="preserve"> </w:t>
      </w:r>
      <w:bookmarkStart w:id="11" w:name="_Hlk78820161"/>
    </w:p>
    <w:p w14:paraId="3E70073F" w14:textId="77777777" w:rsidR="00385A72" w:rsidRPr="00385A72" w:rsidRDefault="00385A72" w:rsidP="00385A72">
      <w:pPr>
        <w:spacing w:line="276" w:lineRule="auto"/>
        <w:jc w:val="both"/>
        <w:rPr>
          <w:rFonts w:ascii="Verdana" w:eastAsia="Times New Roman" w:hAnsi="Verdana" w:cs="Arial"/>
          <w:bCs/>
          <w:lang w:val="es-MX" w:eastAsia="es-CO"/>
        </w:rPr>
      </w:pPr>
      <w:r w:rsidRPr="00385A72">
        <w:rPr>
          <w:rFonts w:ascii="Verdana" w:eastAsia="Arial" w:hAnsi="Verdana" w:cs="Arial"/>
          <w:lang w:val="es-ES" w:eastAsia="es-ES" w:bidi="es-ES"/>
        </w:rPr>
        <w:t xml:space="preserve">iii. </w:t>
      </w:r>
      <w:r w:rsidRPr="00385A72">
        <w:rPr>
          <w:rFonts w:ascii="Verdana" w:eastAsia="Times New Roman" w:hAnsi="Verdana" w:cs="Arial"/>
          <w:bCs/>
          <w:lang w:val="es-MX" w:eastAsia="x-none"/>
        </w:rPr>
        <w:t xml:space="preserve">El ámbito material de la prohibición contenida en el artículo 33 de la ley 996 de 2005 está delimitado por la expresión </w:t>
      </w:r>
      <w:r w:rsidRPr="00385A72">
        <w:rPr>
          <w:rFonts w:ascii="Verdana" w:eastAsia="Calibri" w:hAnsi="Verdana" w:cs="Arial"/>
          <w:bCs/>
          <w:sz w:val="20"/>
          <w:szCs w:val="20"/>
          <w:lang w:val="es-MX"/>
        </w:rPr>
        <w:t>“</w:t>
      </w:r>
      <w:r w:rsidRPr="00385A72">
        <w:rPr>
          <w:rFonts w:ascii="Verdana" w:eastAsia="Times New Roman" w:hAnsi="Verdana" w:cs="Arial"/>
          <w:bCs/>
          <w:lang w:val="es-MX" w:eastAsia="x-none"/>
        </w:rPr>
        <w:t xml:space="preserve">queda prohibida la contratación </w:t>
      </w:r>
      <w:r w:rsidRPr="00385A72">
        <w:rPr>
          <w:rFonts w:ascii="Verdana" w:eastAsia="Times New Roman" w:hAnsi="Verdana" w:cs="Arial"/>
          <w:bCs/>
          <w:lang w:val="es-MX" w:eastAsia="x-none"/>
        </w:rPr>
        <w:lastRenderedPageBreak/>
        <w:t>directa</w:t>
      </w:r>
      <w:r w:rsidRPr="00385A72">
        <w:rPr>
          <w:rFonts w:ascii="Verdana" w:eastAsia="Calibri" w:hAnsi="Verdana" w:cs="Arial"/>
          <w:sz w:val="20"/>
          <w:szCs w:val="20"/>
          <w:lang w:val="es-MX"/>
        </w:rPr>
        <w:t>”</w:t>
      </w:r>
      <w:r w:rsidRPr="00385A72">
        <w:rPr>
          <w:rFonts w:ascii="Verdana" w:eastAsia="Times New Roman" w:hAnsi="Verdana" w:cs="Arial"/>
          <w:bCs/>
          <w:lang w:val="es-MX" w:eastAsia="x-none"/>
        </w:rPr>
        <w:t xml:space="preserve">. </w:t>
      </w:r>
      <w:r w:rsidRPr="00385A72">
        <w:rPr>
          <w:rFonts w:ascii="Verdana" w:eastAsia="Times New Roman" w:hAnsi="Verdana" w:cs="Arial"/>
          <w:lang w:val="es-MX" w:eastAsia="es-CO"/>
        </w:rPr>
        <w:t xml:space="preserve"> A propósito de </w:t>
      </w:r>
      <w:r w:rsidRPr="00385A72">
        <w:rPr>
          <w:rFonts w:ascii="Verdana" w:eastAsia="Times New Roman" w:hAnsi="Verdana" w:cs="Arial"/>
          <w:lang w:eastAsia="es-CO"/>
        </w:rPr>
        <w:t>esta restricción de la Ley de Garantías Electorales, la Sala de Consulta y Servicio Civil del Consejo de Estado ha considerado que:</w:t>
      </w:r>
    </w:p>
    <w:p w14:paraId="6AD2E383" w14:textId="77777777" w:rsidR="00385A72" w:rsidRPr="00385A72" w:rsidRDefault="00385A72" w:rsidP="00385A72">
      <w:pPr>
        <w:spacing w:after="0" w:line="240" w:lineRule="auto"/>
        <w:ind w:left="708" w:right="709"/>
        <w:jc w:val="both"/>
        <w:rPr>
          <w:rFonts w:ascii="Verdana" w:eastAsia="Calibri" w:hAnsi="Verdana" w:cs="Arial"/>
          <w:sz w:val="21"/>
          <w:szCs w:val="21"/>
          <w:lang w:val="es-MX"/>
        </w:rPr>
      </w:pPr>
    </w:p>
    <w:p w14:paraId="376EFA72" w14:textId="77777777" w:rsidR="00385A72" w:rsidRPr="00385A72" w:rsidRDefault="00385A72" w:rsidP="00385A72">
      <w:pPr>
        <w:spacing w:after="120" w:line="240" w:lineRule="auto"/>
        <w:ind w:left="709" w:right="709"/>
        <w:jc w:val="both"/>
        <w:rPr>
          <w:rFonts w:ascii="Verdana" w:eastAsia="Calibri" w:hAnsi="Verdana" w:cs="Arial"/>
          <w:sz w:val="20"/>
          <w:szCs w:val="20"/>
          <w:lang w:val="es-MX"/>
        </w:rPr>
      </w:pPr>
      <w:r w:rsidRPr="00385A72">
        <w:rPr>
          <w:rFonts w:ascii="Verdana" w:eastAsia="Calibri"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385A72">
        <w:rPr>
          <w:rFonts w:ascii="Verdana" w:eastAsia="Times New Roman" w:hAnsi="Verdana" w:cs="Arial"/>
          <w:sz w:val="20"/>
          <w:szCs w:val="20"/>
          <w:vertAlign w:val="superscript"/>
          <w:lang w:eastAsia="es-CO"/>
        </w:rPr>
        <w:footnoteReference w:id="12"/>
      </w:r>
      <w:r w:rsidRPr="00385A72">
        <w:rPr>
          <w:rFonts w:ascii="Verdana" w:eastAsia="Calibri" w:hAnsi="Verdana" w:cs="Arial"/>
          <w:sz w:val="20"/>
          <w:szCs w:val="20"/>
          <w:lang w:val="es-MX"/>
        </w:rPr>
        <w:t>.</w:t>
      </w:r>
    </w:p>
    <w:p w14:paraId="378AC9F2" w14:textId="77777777" w:rsidR="00385A72" w:rsidRPr="00385A72" w:rsidRDefault="00385A72" w:rsidP="00385A72">
      <w:pPr>
        <w:spacing w:after="0" w:line="240" w:lineRule="auto"/>
        <w:ind w:left="708" w:right="709"/>
        <w:jc w:val="both"/>
        <w:rPr>
          <w:rFonts w:ascii="Verdana" w:eastAsia="Calibri" w:hAnsi="Verdana" w:cs="Arial"/>
          <w:sz w:val="20"/>
          <w:szCs w:val="20"/>
          <w:lang w:val="es-MX"/>
        </w:rPr>
      </w:pPr>
      <w:r w:rsidRPr="00385A72">
        <w:rPr>
          <w:rFonts w:ascii="Verdana" w:eastAsia="Calibri" w:hAnsi="Verdana" w:cs="Arial"/>
          <w:sz w:val="20"/>
          <w:szCs w:val="20"/>
          <w:lang w:val="es-MX"/>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385A72">
        <w:rPr>
          <w:rFonts w:ascii="Verdana" w:eastAsia="Times New Roman" w:hAnsi="Verdana" w:cs="Arial"/>
          <w:sz w:val="20"/>
          <w:szCs w:val="20"/>
          <w:vertAlign w:val="superscript"/>
          <w:lang w:val="es-MX"/>
        </w:rPr>
        <w:footnoteReference w:id="13"/>
      </w:r>
      <w:r w:rsidRPr="00385A72">
        <w:rPr>
          <w:rFonts w:ascii="Verdana" w:eastAsia="Times New Roman" w:hAnsi="Verdana" w:cs="Arial"/>
          <w:sz w:val="20"/>
          <w:szCs w:val="20"/>
          <w:vertAlign w:val="superscript"/>
          <w:lang w:val="es-MX"/>
        </w:rPr>
        <w:t>.</w:t>
      </w:r>
      <w:r w:rsidRPr="00385A72">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385A72">
        <w:rPr>
          <w:rFonts w:ascii="Verdana" w:eastAsia="Times New Roman" w:hAnsi="Verdana" w:cs="Arial"/>
          <w:sz w:val="20"/>
          <w:szCs w:val="20"/>
          <w:vertAlign w:val="superscript"/>
          <w:lang w:eastAsia="es-CO"/>
        </w:rPr>
        <w:footnoteReference w:id="14"/>
      </w:r>
      <w:r w:rsidRPr="00385A72">
        <w:rPr>
          <w:rFonts w:ascii="Verdana" w:eastAsia="Calibri" w:hAnsi="Verdana" w:cs="Arial"/>
          <w:sz w:val="20"/>
          <w:szCs w:val="20"/>
          <w:lang w:val="es-MX"/>
        </w:rPr>
        <w:t xml:space="preserve"> .</w:t>
      </w:r>
    </w:p>
    <w:p w14:paraId="62721D48" w14:textId="77777777" w:rsidR="00385A72" w:rsidRPr="00385A72" w:rsidRDefault="00385A72" w:rsidP="00385A72">
      <w:pPr>
        <w:shd w:val="clear" w:color="auto" w:fill="FFFFFF"/>
        <w:spacing w:after="0" w:line="276" w:lineRule="auto"/>
        <w:ind w:firstLine="709"/>
        <w:jc w:val="both"/>
        <w:rPr>
          <w:rFonts w:ascii="Verdana" w:eastAsia="Times New Roman" w:hAnsi="Verdana" w:cs="Arial"/>
          <w:lang w:eastAsia="x-none"/>
        </w:rPr>
      </w:pPr>
    </w:p>
    <w:p w14:paraId="4EDA413A" w14:textId="77777777" w:rsidR="00385A72" w:rsidRPr="00385A72" w:rsidRDefault="00385A72" w:rsidP="00385A72">
      <w:pPr>
        <w:spacing w:after="120" w:line="276" w:lineRule="auto"/>
        <w:ind w:firstLine="708"/>
        <w:jc w:val="both"/>
        <w:rPr>
          <w:rFonts w:ascii="Verdana" w:eastAsia="Times New Roman" w:hAnsi="Verdana" w:cs="Arial"/>
          <w:bCs/>
          <w:lang w:eastAsia="x-none"/>
        </w:rPr>
      </w:pPr>
      <w:r w:rsidRPr="00385A72">
        <w:rPr>
          <w:rFonts w:ascii="Verdana" w:eastAsia="Times New Roman" w:hAnsi="Verdana" w:cs="Arial"/>
          <w:lang w:eastAsia="x-none"/>
        </w:rPr>
        <w:t xml:space="preserve">De acuerdo con el citado concepto, la prohibición del artículo 33 de la Ley de Garantías Electorales se refiere a </w:t>
      </w:r>
      <w:r w:rsidRPr="00385A72">
        <w:rPr>
          <w:rFonts w:ascii="Verdana" w:eastAsia="Times New Roman" w:hAnsi="Verdana" w:cs="Arial"/>
          <w:sz w:val="19"/>
          <w:szCs w:val="19"/>
          <w:lang w:eastAsia="en-GB"/>
        </w:rPr>
        <w:t>“</w:t>
      </w:r>
      <w:r w:rsidRPr="00385A72">
        <w:rPr>
          <w:rFonts w:ascii="Verdana" w:eastAsia="Times New Roman" w:hAnsi="Verdana" w:cs="Arial"/>
          <w:lang w:eastAsia="x-none"/>
        </w:rPr>
        <w:t>cualquier sistema que no implique convocatoria pública y posibilidad de pluralidad de oferentes</w:t>
      </w:r>
      <w:r w:rsidRPr="00385A72">
        <w:rPr>
          <w:rFonts w:ascii="Verdana" w:eastAsia="Times New Roman" w:hAnsi="Verdana" w:cs="Arial"/>
          <w:lang w:eastAsia="en-GB"/>
        </w:rPr>
        <w:t>”</w:t>
      </w:r>
      <w:r w:rsidRPr="00385A72">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385A72">
        <w:rPr>
          <w:rFonts w:ascii="Verdana" w:eastAsia="Times New Roman" w:hAnsi="Verdana" w:cs="Arial"/>
          <w:lang w:val="es-ES_tradnl" w:eastAsia="x-none"/>
        </w:rPr>
        <w:t>y la mínima cuantía</w:t>
      </w:r>
      <w:r w:rsidRPr="00385A72" w:rsidDel="00A85D9F">
        <w:rPr>
          <w:rFonts w:ascii="Verdana" w:eastAsia="Times New Roman" w:hAnsi="Verdana" w:cs="Arial"/>
          <w:lang w:eastAsia="x-none"/>
        </w:rPr>
        <w:t xml:space="preserve"> </w:t>
      </w:r>
      <w:r w:rsidRPr="00385A72">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385A72">
        <w:rPr>
          <w:rFonts w:ascii="Verdana" w:eastAsia="Times New Roman" w:hAnsi="Verdana" w:cs="Arial"/>
          <w:vertAlign w:val="superscript"/>
          <w:lang w:val="en-GB" w:eastAsia="x-none"/>
        </w:rPr>
        <w:footnoteReference w:id="15"/>
      </w:r>
      <w:r w:rsidRPr="00385A72">
        <w:rPr>
          <w:rFonts w:ascii="Verdana" w:eastAsia="Times New Roman" w:hAnsi="Verdana" w:cs="Arial"/>
          <w:lang w:eastAsia="x-none"/>
        </w:rPr>
        <w:t xml:space="preserve"> y sistematizó las causales de contratación directa</w:t>
      </w:r>
      <w:r w:rsidRPr="00385A72">
        <w:rPr>
          <w:rFonts w:ascii="Verdana" w:eastAsia="Times New Roman" w:hAnsi="Verdana" w:cs="Arial"/>
          <w:vertAlign w:val="superscript"/>
          <w:lang w:val="en-GB" w:eastAsia="x-none"/>
        </w:rPr>
        <w:footnoteReference w:id="16"/>
      </w:r>
      <w:r w:rsidRPr="00385A72">
        <w:rPr>
          <w:rFonts w:ascii="Verdana" w:eastAsia="Times New Roman" w:hAnsi="Verdana" w:cs="Arial"/>
          <w:lang w:eastAsia="x-none"/>
        </w:rPr>
        <w:t xml:space="preserve">, </w:t>
      </w:r>
      <w:r w:rsidRPr="00385A72">
        <w:rPr>
          <w:rFonts w:ascii="Verdana" w:eastAsia="Calibri" w:hAnsi="Verdana" w:cs="Arial"/>
          <w:szCs w:val="24"/>
          <w:lang w:eastAsia="x-none"/>
        </w:rPr>
        <w:t xml:space="preserve">además lo es con la posterior creación de la modalidad de mínima cuantía establecida actualmente en el numeral 5 del </w:t>
      </w:r>
      <w:r w:rsidRPr="00385A72">
        <w:rPr>
          <w:rFonts w:ascii="Verdana" w:eastAsia="Calibri" w:hAnsi="Verdana" w:cs="Arial"/>
          <w:szCs w:val="24"/>
          <w:lang w:eastAsia="x-none"/>
        </w:rPr>
        <w:lastRenderedPageBreak/>
        <w:t>artículo 2 de la Ley 1150 de 2007, de acuerdo con las modificaciones realizadas por leyes posteriores.</w:t>
      </w:r>
    </w:p>
    <w:p w14:paraId="26052164" w14:textId="77777777" w:rsidR="00385A72" w:rsidRPr="00385A72" w:rsidRDefault="00385A72" w:rsidP="00385A72">
      <w:pPr>
        <w:spacing w:after="120" w:line="276" w:lineRule="auto"/>
        <w:ind w:firstLine="708"/>
        <w:jc w:val="both"/>
        <w:rPr>
          <w:rFonts w:ascii="Verdana" w:eastAsia="Times New Roman" w:hAnsi="Verdana" w:cs="Arial"/>
          <w:lang w:val="es-MX" w:eastAsia="x-none"/>
        </w:rPr>
      </w:pPr>
      <w:r w:rsidRPr="00385A72">
        <w:rPr>
          <w:rFonts w:ascii="Verdana" w:eastAsia="Times New Roman" w:hAnsi="Verdana" w:cs="Arial"/>
          <w:lang w:eastAsia="x-none"/>
        </w:rPr>
        <w:t xml:space="preserve">De esta forma, con fundamento en la evolución de la normativa sobre la contratación pública, se ha depurado la noción de </w:t>
      </w:r>
      <w:r w:rsidRPr="00385A72">
        <w:rPr>
          <w:rFonts w:ascii="Verdana" w:eastAsia="Times New Roman" w:hAnsi="Verdana" w:cs="Arial"/>
          <w:sz w:val="19"/>
          <w:szCs w:val="19"/>
          <w:lang w:eastAsia="en-GB"/>
        </w:rPr>
        <w:t>«</w:t>
      </w:r>
      <w:r w:rsidRPr="00385A72">
        <w:rPr>
          <w:rFonts w:ascii="Verdana" w:eastAsia="Times New Roman" w:hAnsi="Verdana" w:cs="Arial"/>
          <w:lang w:eastAsia="x-none"/>
        </w:rPr>
        <w:t>contratación directa</w:t>
      </w:r>
      <w:r w:rsidRPr="00385A72">
        <w:rPr>
          <w:rFonts w:ascii="Verdana" w:eastAsia="Times New Roman" w:hAnsi="Verdana" w:cs="Arial"/>
          <w:lang w:eastAsia="en-GB"/>
        </w:rPr>
        <w:t>»</w:t>
      </w:r>
      <w:r w:rsidRPr="00385A72">
        <w:rPr>
          <w:rFonts w:ascii="Verdana" w:eastAsia="Times New Roman"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385A72">
        <w:rPr>
          <w:rFonts w:ascii="Verdana" w:eastAsia="Times New Roman" w:hAnsi="Verdana" w:cs="Arial"/>
          <w:vertAlign w:val="superscript"/>
          <w:lang w:val="en-GB" w:eastAsia="x-none"/>
        </w:rPr>
        <w:footnoteReference w:id="17"/>
      </w:r>
      <w:r w:rsidRPr="00385A72">
        <w:rPr>
          <w:rFonts w:ascii="Verdana" w:eastAsia="Times New Roman" w:hAnsi="Verdana" w:cs="Arial"/>
          <w:lang w:eastAsia="x-none"/>
        </w:rPr>
        <w:t>, han establecido sistemas de contratación que implican convocatoria pública y participación de varios oferentes</w:t>
      </w:r>
      <w:r w:rsidRPr="00385A72">
        <w:rPr>
          <w:rFonts w:ascii="Verdana" w:eastAsia="Times New Roman" w:hAnsi="Verdana" w:cs="Arial"/>
          <w:lang w:eastAsia="en-GB"/>
        </w:rPr>
        <w:t>»</w:t>
      </w:r>
      <w:r w:rsidRPr="00385A72">
        <w:rPr>
          <w:rFonts w:ascii="Verdana" w:eastAsia="Times New Roman" w:hAnsi="Verdana" w:cs="Arial"/>
          <w:lang w:eastAsia="x-none"/>
        </w:rPr>
        <w:t xml:space="preserve">. </w:t>
      </w:r>
    </w:p>
    <w:p w14:paraId="2DDED292" w14:textId="77777777" w:rsidR="00385A72" w:rsidRPr="00385A72" w:rsidRDefault="00385A72" w:rsidP="00385A72">
      <w:pPr>
        <w:spacing w:after="120" w:line="276" w:lineRule="auto"/>
        <w:ind w:firstLine="708"/>
        <w:jc w:val="both"/>
        <w:rPr>
          <w:rFonts w:ascii="Verdana" w:eastAsia="Times New Roman" w:hAnsi="Verdana" w:cs="Arial"/>
          <w:bCs/>
          <w:lang w:val="es-MX" w:eastAsia="es-CO"/>
        </w:rPr>
      </w:pPr>
      <w:r w:rsidRPr="00385A72">
        <w:rPr>
          <w:rFonts w:ascii="Verdana" w:eastAsia="Times New Roman" w:hAnsi="Verdana" w:cs="Arial"/>
          <w:bCs/>
          <w:lang w:val="es-MX" w:eastAsia="x-none"/>
        </w:rPr>
        <w:t>E</w:t>
      </w:r>
      <w:r w:rsidRPr="00385A72">
        <w:rPr>
          <w:rFonts w:ascii="Verdana" w:eastAsia="Times New Roman" w:hAnsi="Verdana" w:cs="Arial"/>
          <w:lang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sidRPr="00385A72">
        <w:rPr>
          <w:rFonts w:ascii="Verdana" w:eastAsia="Times New Roman" w:hAnsi="Verdana" w:cs="Arial"/>
          <w:vertAlign w:val="superscript"/>
          <w:lang w:eastAsia="x-none"/>
        </w:rPr>
        <w:footnoteReference w:id="18"/>
      </w:r>
      <w:r w:rsidRPr="00385A72">
        <w:rPr>
          <w:rFonts w:ascii="Verdana" w:eastAsia="Times New Roman" w:hAnsi="Verdana" w:cs="Arial"/>
          <w:lang w:eastAsia="x-none"/>
        </w:rPr>
        <w:t xml:space="preserve">. </w:t>
      </w:r>
    </w:p>
    <w:p w14:paraId="5840EB54" w14:textId="77777777" w:rsidR="00385A72" w:rsidRPr="00385A72" w:rsidRDefault="00385A72" w:rsidP="00385A72">
      <w:pPr>
        <w:spacing w:after="120" w:line="276" w:lineRule="auto"/>
        <w:ind w:firstLine="708"/>
        <w:jc w:val="both"/>
        <w:rPr>
          <w:rFonts w:ascii="Verdana" w:eastAsia="Times New Roman" w:hAnsi="Verdana" w:cs="Arial"/>
          <w:bCs/>
          <w:lang w:val="es-MX" w:eastAsia="es-CO"/>
        </w:rPr>
      </w:pPr>
      <w:r w:rsidRPr="00385A72">
        <w:rPr>
          <w:rFonts w:ascii="Verdana" w:eastAsia="Times New Roman" w:hAnsi="Verdana" w:cs="Arial"/>
          <w:bCs/>
          <w:lang w:val="es-MX" w:eastAsia="es-CO"/>
        </w:rPr>
        <w:t>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4D90C982" w14:textId="77777777" w:rsidR="00385A72" w:rsidRPr="00385A72" w:rsidRDefault="00385A72" w:rsidP="00385A72">
      <w:pPr>
        <w:spacing w:after="120" w:line="276" w:lineRule="auto"/>
        <w:ind w:firstLine="708"/>
        <w:jc w:val="both"/>
        <w:rPr>
          <w:rFonts w:ascii="Verdana" w:eastAsia="Times New Roman" w:hAnsi="Verdana" w:cs="Arial"/>
          <w:bCs/>
          <w:lang w:val="es-MX" w:eastAsia="x-none"/>
        </w:rPr>
      </w:pPr>
      <w:r w:rsidRPr="00385A72">
        <w:rPr>
          <w:rFonts w:ascii="Verdana" w:eastAsia="Times New Roman" w:hAnsi="Verdana" w:cs="Arial"/>
          <w:bCs/>
          <w:lang w:val="es-MX" w:eastAsia="x-none"/>
        </w:rPr>
        <w:lastRenderedPageBreak/>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385A72">
        <w:rPr>
          <w:rFonts w:ascii="Verdana" w:eastAsia="Times New Roman" w:hAnsi="Verdana" w:cs="Arial"/>
          <w:vertAlign w:val="superscript"/>
          <w:lang w:eastAsia="x-none"/>
        </w:rPr>
        <w:footnoteReference w:id="19"/>
      </w:r>
      <w:r w:rsidRPr="00385A72">
        <w:rPr>
          <w:rFonts w:ascii="Verdana" w:eastAsia="Times New Roman" w:hAnsi="Verdana" w:cs="Arial"/>
          <w:bCs/>
          <w:lang w:val="es-MX" w:eastAsia="x-none"/>
        </w:rPr>
        <w:t>.</w:t>
      </w:r>
      <w:r w:rsidRPr="00385A72">
        <w:rPr>
          <w:rFonts w:ascii="Verdana" w:eastAsia="Times New Roman" w:hAnsi="Verdana" w:cs="Arial"/>
          <w:vertAlign w:val="superscript"/>
          <w:lang w:eastAsia="x-none"/>
        </w:rPr>
        <w:t xml:space="preserve"> </w:t>
      </w:r>
    </w:p>
    <w:p w14:paraId="468F71D1" w14:textId="77777777" w:rsidR="00385A72" w:rsidRPr="00385A72" w:rsidRDefault="00385A72" w:rsidP="00385A72">
      <w:pPr>
        <w:spacing w:after="120" w:line="276" w:lineRule="auto"/>
        <w:ind w:firstLine="708"/>
        <w:jc w:val="both"/>
        <w:rPr>
          <w:rFonts w:ascii="Verdana" w:eastAsia="Times New Roman" w:hAnsi="Verdana" w:cs="Arial"/>
          <w:lang w:eastAsia="x-none"/>
        </w:rPr>
      </w:pPr>
      <w:r w:rsidRPr="00385A72">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385A72">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080E46DB" w14:textId="77777777" w:rsidR="00385A72" w:rsidRPr="00385A72" w:rsidRDefault="00385A72" w:rsidP="00385A72">
      <w:pPr>
        <w:spacing w:after="120" w:line="276" w:lineRule="auto"/>
        <w:ind w:firstLine="708"/>
        <w:jc w:val="both"/>
        <w:rPr>
          <w:rFonts w:ascii="Verdana" w:eastAsia="Times New Roman" w:hAnsi="Verdana" w:cs="Arial"/>
          <w:bCs/>
          <w:lang w:val="es-MX" w:eastAsia="es-CO"/>
        </w:rPr>
      </w:pPr>
      <w:r w:rsidRPr="00385A72">
        <w:rPr>
          <w:rFonts w:ascii="Verdana" w:eastAsia="Times New Roman" w:hAnsi="Verdana" w:cs="Arial"/>
          <w:bCs/>
          <w:lang w:val="es-MX"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385A72">
        <w:rPr>
          <w:rFonts w:ascii="Verdana" w:eastAsia="Times New Roman" w:hAnsi="Verdana" w:cs="Arial"/>
          <w:bCs/>
          <w:vertAlign w:val="superscript"/>
          <w:lang w:val="es-MX" w:eastAsia="es-CO"/>
        </w:rPr>
        <w:footnoteReference w:id="20"/>
      </w:r>
      <w:r w:rsidRPr="00385A72">
        <w:rPr>
          <w:rFonts w:ascii="Verdana" w:eastAsia="Times New Roman" w:hAnsi="Verdana" w:cs="Arial"/>
          <w:bCs/>
          <w:lang w:val="es-MX" w:eastAsia="es-CO"/>
        </w:rPr>
        <w:t xml:space="preserve">. Además, también es posible que contratos celebrados previamente se continúen ejecutando con normalidad. </w:t>
      </w:r>
    </w:p>
    <w:p w14:paraId="26C0F090" w14:textId="77777777" w:rsidR="00385A72" w:rsidRPr="00385A72" w:rsidRDefault="00385A72" w:rsidP="00385A72">
      <w:pPr>
        <w:spacing w:after="120" w:line="276" w:lineRule="auto"/>
        <w:ind w:firstLine="708"/>
        <w:jc w:val="both"/>
        <w:rPr>
          <w:rFonts w:ascii="Verdana" w:eastAsia="Times New Roman" w:hAnsi="Verdana" w:cs="Arial"/>
          <w:bCs/>
          <w:lang w:val="es-MX" w:eastAsia="es-CO"/>
        </w:rPr>
      </w:pPr>
      <w:r w:rsidRPr="00385A72">
        <w:rPr>
          <w:rFonts w:ascii="Verdana" w:eastAsia="Times New Roman" w:hAnsi="Verdana" w:cs="Arial"/>
          <w:bCs/>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w:t>
      </w:r>
      <w:r w:rsidRPr="00385A72">
        <w:rPr>
          <w:rFonts w:ascii="Verdana" w:eastAsia="Times New Roman" w:hAnsi="Verdana" w:cs="Arial"/>
          <w:bCs/>
          <w:lang w:val="es-MX" w:eastAsia="x-none"/>
        </w:rPr>
        <w:lastRenderedPageBreak/>
        <w:t>comunicaciones, en caso de que hayan sido objeto de atentados, acciones terroristas, desastres naturales o casos de fuerza mayor; y, v) los que deban realizar las entidades sanitarias y hospitalarias.</w:t>
      </w:r>
      <w:r w:rsidRPr="00385A72">
        <w:rPr>
          <w:rFonts w:ascii="Verdana" w:eastAsia="Times New Roman"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52D99635" w14:textId="77777777" w:rsidR="00385A72" w:rsidRPr="00385A72" w:rsidRDefault="00385A72" w:rsidP="00385A72">
      <w:pPr>
        <w:spacing w:after="120" w:line="276" w:lineRule="auto"/>
        <w:ind w:firstLine="709"/>
        <w:jc w:val="both"/>
        <w:rPr>
          <w:rFonts w:ascii="Verdana" w:eastAsia="Times New Roman" w:hAnsi="Verdana" w:cs="Arial"/>
          <w:bCs/>
          <w:lang w:val="es-MX" w:eastAsia="x-none"/>
        </w:rPr>
      </w:pPr>
      <w:r w:rsidRPr="00385A72">
        <w:rPr>
          <w:rFonts w:ascii="Verdana" w:eastAsia="Times New Roman" w:hAnsi="Verdana" w:cs="Arial"/>
          <w:bCs/>
          <w:lang w:val="es-MX" w:eastAsia="x-none"/>
        </w:rPr>
        <w:t>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385A72">
        <w:rPr>
          <w:rFonts w:ascii="Verdana" w:eastAsia="Calibri" w:hAnsi="Verdana" w:cs="Arial"/>
          <w:vertAlign w:val="superscript"/>
          <w:lang w:val="es-MX"/>
        </w:rPr>
        <w:footnoteReference w:id="21"/>
      </w:r>
      <w:r w:rsidRPr="00385A72">
        <w:rPr>
          <w:rFonts w:ascii="Verdana" w:eastAsia="Times New Roman"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00645D8D" w14:textId="77777777" w:rsidR="00385A72" w:rsidRPr="00385A72" w:rsidRDefault="00385A72" w:rsidP="00385A72">
      <w:pPr>
        <w:spacing w:after="0" w:line="276" w:lineRule="auto"/>
        <w:ind w:firstLine="708"/>
        <w:jc w:val="both"/>
        <w:rPr>
          <w:rFonts w:ascii="Verdana" w:eastAsia="Times New Roman" w:hAnsi="Verdana" w:cs="Arial"/>
          <w:bCs/>
          <w:lang w:val="es-MX" w:eastAsia="x-none"/>
        </w:rPr>
      </w:pPr>
      <w:r w:rsidRPr="00385A72">
        <w:rPr>
          <w:rFonts w:ascii="Verdana" w:eastAsia="Times New Roman" w:hAnsi="Verdana" w:cs="Arial"/>
          <w:bCs/>
          <w:lang w:val="es-MX" w:eastAsia="x-none"/>
        </w:rPr>
        <w:t>En relación con los destinatarios de la restricción analizada, el artículo 33 de la Ley 996 de 2005 los señala expresamente, en el sentido de que son “todos los entes del Estado”, expresión que contempla a los diferentes organismos o entidades autorizadas por la ley para suscribir contratos.</w:t>
      </w:r>
      <w:r w:rsidRPr="00385A72">
        <w:rPr>
          <w:rFonts w:ascii="Verdana" w:eastAsia="Calibri" w:hAnsi="Verdana" w:cs="Arial"/>
          <w:sz w:val="24"/>
          <w:lang w:val="es-MX"/>
        </w:rPr>
        <w:t xml:space="preserve"> </w:t>
      </w:r>
      <w:r w:rsidRPr="00385A72">
        <w:rPr>
          <w:rFonts w:ascii="Verdana" w:eastAsia="Times New Roman" w:hAnsi="Verdana" w:cs="Arial"/>
          <w:bCs/>
          <w:lang w:val="es-MX" w:eastAsia="x-none"/>
        </w:rPr>
        <w:t>En efecto, tal como lo ha sostenido el Consejo de Estado, el vocablo “todos” utilizado por el legislador comprende</w:t>
      </w:r>
      <w:r w:rsidRPr="00385A72">
        <w:rPr>
          <w:rFonts w:ascii="Verdana" w:eastAsia="Calibri" w:hAnsi="Verdana" w:cs="Arial"/>
          <w:sz w:val="24"/>
          <w:lang w:val="es-MX"/>
        </w:rPr>
        <w:t xml:space="preserve"> </w:t>
      </w:r>
      <w:r w:rsidRPr="00385A72">
        <w:rPr>
          <w:rFonts w:ascii="Verdana" w:eastAsia="Times New Roman"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385A72">
        <w:rPr>
          <w:rFonts w:ascii="Verdana" w:eastAsia="Times New Roman" w:hAnsi="Verdana" w:cs="Arial"/>
          <w:bCs/>
          <w:lang w:val="es-ES_tradnl" w:eastAsia="x-none"/>
        </w:rPr>
        <w:t xml:space="preserve">La Sala de Consulta y Servicio Civil del Consejo de Estado, en Concepto 1727 de fecha 20 de febrero de 2006, consideró que: </w:t>
      </w:r>
    </w:p>
    <w:p w14:paraId="2565AC16" w14:textId="77777777" w:rsidR="00385A72" w:rsidRPr="00385A72" w:rsidRDefault="00385A72" w:rsidP="00385A72">
      <w:pPr>
        <w:spacing w:after="0" w:line="276" w:lineRule="auto"/>
        <w:jc w:val="both"/>
        <w:rPr>
          <w:rFonts w:ascii="Verdana" w:eastAsia="Times New Roman" w:hAnsi="Verdana" w:cs="Arial"/>
          <w:bCs/>
          <w:lang w:val="es-MX" w:eastAsia="x-none"/>
        </w:rPr>
      </w:pPr>
    </w:p>
    <w:p w14:paraId="488794DF" w14:textId="77777777" w:rsidR="00385A72" w:rsidRPr="00385A72" w:rsidRDefault="00385A72" w:rsidP="00385A72">
      <w:pPr>
        <w:spacing w:after="0" w:line="240" w:lineRule="auto"/>
        <w:ind w:left="708" w:right="709"/>
        <w:jc w:val="both"/>
        <w:rPr>
          <w:rFonts w:ascii="Verdana" w:eastAsia="Times New Roman" w:hAnsi="Verdana" w:cs="Arial"/>
          <w:bCs/>
          <w:sz w:val="21"/>
          <w:szCs w:val="21"/>
          <w:lang w:val="es-MX" w:eastAsia="es-CO"/>
        </w:rPr>
      </w:pPr>
      <w:r w:rsidRPr="00385A72">
        <w:rPr>
          <w:rFonts w:ascii="Verdana" w:eastAsia="Times New Roman" w:hAnsi="Verdana" w:cs="Arial"/>
          <w:bCs/>
          <w:sz w:val="21"/>
          <w:szCs w:val="21"/>
          <w:lang w:val="es-MX" w:eastAsia="x-none"/>
        </w:rPr>
        <w:t xml:space="preserve">El artículo 33 de la ley 996 de 2005, efectivamente se aplica incluso a las entidades estatales con régimen especial de contratación y que </w:t>
      </w:r>
      <w:r w:rsidRPr="00385A72">
        <w:rPr>
          <w:rFonts w:ascii="Verdana" w:eastAsia="Times New Roman" w:hAnsi="Verdana" w:cs="Arial"/>
          <w:bCs/>
          <w:sz w:val="21"/>
          <w:szCs w:val="21"/>
          <w:lang w:val="es-MX" w:eastAsia="x-none"/>
        </w:rPr>
        <w:lastRenderedPageBreak/>
        <w:t>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385A72">
        <w:rPr>
          <w:rFonts w:ascii="Verdana" w:eastAsia="Times New Roman" w:hAnsi="Verdana" w:cs="Arial"/>
          <w:bCs/>
          <w:sz w:val="21"/>
          <w:szCs w:val="21"/>
          <w:vertAlign w:val="superscript"/>
          <w:lang w:val="es-MX" w:eastAsia="x-none"/>
        </w:rPr>
        <w:footnoteReference w:id="22"/>
      </w:r>
      <w:r w:rsidRPr="00385A72">
        <w:rPr>
          <w:rFonts w:ascii="Verdana" w:eastAsia="Times New Roman" w:hAnsi="Verdana" w:cs="Arial"/>
          <w:bCs/>
          <w:sz w:val="21"/>
          <w:szCs w:val="21"/>
          <w:lang w:val="es-MX" w:eastAsia="x-none"/>
        </w:rPr>
        <w:t>.</w:t>
      </w:r>
      <w:r w:rsidRPr="00385A72">
        <w:rPr>
          <w:rFonts w:ascii="Verdana" w:eastAsia="Times New Roman" w:hAnsi="Verdana" w:cs="Arial"/>
          <w:bCs/>
          <w:sz w:val="21"/>
          <w:szCs w:val="21"/>
          <w:lang w:val="es-MX" w:eastAsia="es-CO"/>
        </w:rPr>
        <w:t xml:space="preserve"> </w:t>
      </w:r>
    </w:p>
    <w:p w14:paraId="1466FED0" w14:textId="77777777" w:rsidR="00385A72" w:rsidRPr="00385A72" w:rsidRDefault="00385A72" w:rsidP="00385A72">
      <w:pPr>
        <w:spacing w:after="0" w:line="276" w:lineRule="auto"/>
        <w:ind w:firstLine="708"/>
        <w:jc w:val="both"/>
        <w:rPr>
          <w:rFonts w:ascii="Verdana" w:eastAsia="Times New Roman" w:hAnsi="Verdana" w:cs="Arial"/>
          <w:bCs/>
          <w:lang w:val="es-MX" w:eastAsia="es-CO"/>
        </w:rPr>
      </w:pPr>
    </w:p>
    <w:p w14:paraId="4E4A3632" w14:textId="77777777" w:rsidR="00385A72" w:rsidRPr="00385A72" w:rsidRDefault="00385A72" w:rsidP="00385A72">
      <w:pPr>
        <w:spacing w:after="0" w:line="276" w:lineRule="auto"/>
        <w:ind w:firstLine="708"/>
        <w:jc w:val="both"/>
        <w:rPr>
          <w:rFonts w:ascii="Verdana" w:eastAsia="Calibri" w:hAnsi="Verdana" w:cs="Arial"/>
          <w:lang w:val="es-MX"/>
        </w:rPr>
      </w:pPr>
      <w:r w:rsidRPr="00385A72">
        <w:rPr>
          <w:rFonts w:ascii="Verdana" w:eastAsia="Times New Roman" w:hAnsi="Verdana" w:cs="Arial"/>
          <w:bCs/>
          <w:lang w:val="es-MX" w:eastAsia="x-none"/>
        </w:rPr>
        <w:t>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Pr="00385A72">
        <w:rPr>
          <w:rFonts w:ascii="Verdana" w:eastAsia="Calibri" w:hAnsi="Verdana" w:cs="Arial"/>
          <w:sz w:val="24"/>
          <w:vertAlign w:val="superscript"/>
          <w:lang w:val="es-MX"/>
        </w:rPr>
        <w:footnoteReference w:id="23"/>
      </w:r>
      <w:r w:rsidRPr="00385A72">
        <w:rPr>
          <w:rFonts w:ascii="Verdana" w:eastAsia="Times New Roman" w:hAnsi="Verdana" w:cs="Arial"/>
          <w:bCs/>
          <w:lang w:val="es-MX" w:eastAsia="x-none"/>
        </w:rPr>
        <w:t>.</w:t>
      </w:r>
      <w:r w:rsidRPr="00385A72">
        <w:rPr>
          <w:rFonts w:ascii="Verdana" w:eastAsia="Calibri" w:hAnsi="Verdana" w:cs="Arial"/>
          <w:lang w:val="es-MX"/>
        </w:rPr>
        <w:t xml:space="preserve"> Además, la Sala de Consulta y Servicio Civil del Consejo de Estado realizó la siguiente distinción, retomando el pronunciamiento de la misma sala del 20 de febrero de 2006, citado anteriormente:</w:t>
      </w:r>
    </w:p>
    <w:p w14:paraId="100E04B1" w14:textId="77777777" w:rsidR="00385A72" w:rsidRPr="00385A72" w:rsidRDefault="00385A72" w:rsidP="00385A72">
      <w:pPr>
        <w:spacing w:after="0" w:line="276" w:lineRule="auto"/>
        <w:jc w:val="both"/>
        <w:rPr>
          <w:rFonts w:ascii="Verdana" w:eastAsia="Calibri" w:hAnsi="Verdana" w:cs="Arial"/>
          <w:lang w:val="es-MX"/>
        </w:rPr>
      </w:pPr>
    </w:p>
    <w:p w14:paraId="04D6BCB1" w14:textId="77777777" w:rsidR="00385A72" w:rsidRPr="00385A72" w:rsidRDefault="00385A72" w:rsidP="00385A72">
      <w:pPr>
        <w:spacing w:after="0" w:line="240" w:lineRule="auto"/>
        <w:ind w:left="708" w:right="709"/>
        <w:jc w:val="both"/>
        <w:rPr>
          <w:rFonts w:ascii="Verdana" w:eastAsia="Calibri" w:hAnsi="Verdana" w:cs="Arial"/>
          <w:sz w:val="20"/>
          <w:szCs w:val="20"/>
          <w:lang w:val="es-MX"/>
        </w:rPr>
      </w:pPr>
      <w:r w:rsidRPr="00385A72">
        <w:rPr>
          <w:rFonts w:ascii="Verdana" w:eastAsia="Calibri" w:hAnsi="Verdana" w:cs="Arial"/>
          <w:sz w:val="20"/>
          <w:szCs w:val="20"/>
          <w:lang w:val="es-MX"/>
        </w:rPr>
        <w:t xml:space="preserve">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w:t>
      </w:r>
      <w:r w:rsidRPr="00385A72">
        <w:rPr>
          <w:rFonts w:ascii="Verdana" w:eastAsia="Calibri" w:hAnsi="Verdana" w:cs="Arial"/>
          <w:sz w:val="20"/>
          <w:szCs w:val="20"/>
          <w:lang w:val="es-MX"/>
        </w:rPr>
        <w:lastRenderedPageBreak/>
        <w:t>existentes, pues significaría la parálisis de una actividad propia de la administración, que incluso podría desconocer los derechos fundamentales.</w:t>
      </w:r>
    </w:p>
    <w:p w14:paraId="3D11833B" w14:textId="77777777" w:rsidR="00385A72" w:rsidRPr="00385A72" w:rsidRDefault="00385A72" w:rsidP="00385A72">
      <w:pPr>
        <w:spacing w:after="0" w:line="240" w:lineRule="auto"/>
        <w:ind w:left="708" w:right="709"/>
        <w:jc w:val="both"/>
        <w:rPr>
          <w:rFonts w:ascii="Verdana" w:eastAsia="Calibri" w:hAnsi="Verdana" w:cs="Arial"/>
          <w:sz w:val="20"/>
          <w:szCs w:val="20"/>
          <w:lang w:val="es-MX"/>
        </w:rPr>
      </w:pPr>
    </w:p>
    <w:p w14:paraId="63E4395C" w14:textId="77777777" w:rsidR="00385A72" w:rsidRPr="00385A72" w:rsidRDefault="00385A72" w:rsidP="00385A72">
      <w:pPr>
        <w:spacing w:after="0" w:line="240" w:lineRule="auto"/>
        <w:ind w:left="708" w:right="709"/>
        <w:jc w:val="both"/>
        <w:rPr>
          <w:rFonts w:ascii="Verdana" w:eastAsia="Calibri" w:hAnsi="Verdana" w:cs="Arial"/>
          <w:sz w:val="20"/>
          <w:szCs w:val="20"/>
          <w:lang w:val="es-MX"/>
        </w:rPr>
      </w:pPr>
      <w:r w:rsidRPr="00385A72">
        <w:rPr>
          <w:rFonts w:ascii="Verdana" w:eastAsia="Times New Roman" w:hAnsi="Verdana" w:cs="Arial"/>
          <w:bCs/>
          <w:sz w:val="20"/>
          <w:szCs w:val="20"/>
          <w:lang w:val="es-MX" w:eastAsia="x-none"/>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sidRPr="00385A72">
        <w:rPr>
          <w:rFonts w:ascii="Verdana" w:eastAsia="Calibri" w:hAnsi="Verdana" w:cs="Arial"/>
          <w:sz w:val="20"/>
          <w:szCs w:val="20"/>
          <w:vertAlign w:val="superscript"/>
          <w:lang w:val="es-MX"/>
        </w:rPr>
        <w:footnoteReference w:id="24"/>
      </w:r>
      <w:r w:rsidRPr="00385A72">
        <w:rPr>
          <w:rFonts w:ascii="Verdana" w:eastAsia="Times New Roman" w:hAnsi="Verdana" w:cs="Arial"/>
          <w:bCs/>
          <w:sz w:val="20"/>
          <w:szCs w:val="20"/>
          <w:lang w:val="es-MX" w:eastAsia="x-none"/>
        </w:rPr>
        <w:t>.</w:t>
      </w:r>
    </w:p>
    <w:p w14:paraId="457970D6" w14:textId="77777777" w:rsidR="00385A72" w:rsidRPr="00385A72" w:rsidRDefault="00385A72" w:rsidP="00385A72">
      <w:pPr>
        <w:spacing w:after="0" w:line="276" w:lineRule="auto"/>
        <w:jc w:val="both"/>
        <w:rPr>
          <w:rFonts w:ascii="Verdana" w:eastAsia="Calibri" w:hAnsi="Verdana" w:cs="Arial"/>
          <w:lang w:val="es-MX"/>
        </w:rPr>
      </w:pPr>
    </w:p>
    <w:p w14:paraId="5EEAA997" w14:textId="77777777" w:rsidR="00385A72" w:rsidRPr="00385A72" w:rsidRDefault="00385A72" w:rsidP="00385A72">
      <w:pPr>
        <w:spacing w:after="120" w:line="276" w:lineRule="auto"/>
        <w:ind w:firstLine="709"/>
        <w:jc w:val="both"/>
        <w:rPr>
          <w:rFonts w:ascii="Verdana" w:eastAsia="Times New Roman" w:hAnsi="Verdana" w:cs="Arial"/>
          <w:lang w:eastAsia="es-CO"/>
        </w:rPr>
      </w:pPr>
      <w:r w:rsidRPr="00385A72">
        <w:rPr>
          <w:rFonts w:ascii="Verdana" w:eastAsia="Calibri" w:hAnsi="Verdana" w:cs="Arial"/>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385A72">
        <w:rPr>
          <w:rFonts w:ascii="Verdana" w:eastAsia="Times New Roman" w:hAnsi="Verdana" w:cs="Arial"/>
          <w:bCs/>
          <w:lang w:val="es-MX" w:eastAsia="x-none"/>
        </w:rPr>
        <w:t>establecimientos de crédito, las sociedades de servicios financieros y las entidades aseguradoras</w:t>
      </w:r>
      <w:r w:rsidRPr="00385A72">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sidRPr="00385A72">
        <w:rPr>
          <w:rFonts w:ascii="Verdana" w:eastAsia="Calibri" w:hAnsi="Verdana" w:cs="Arial"/>
          <w:vertAlign w:val="superscript"/>
          <w:lang w:val="es-MX"/>
        </w:rPr>
        <w:footnoteReference w:id="25"/>
      </w:r>
      <w:r w:rsidRPr="00385A72">
        <w:rPr>
          <w:rFonts w:ascii="Verdana" w:eastAsia="Calibri" w:hAnsi="Verdana" w:cs="Arial"/>
          <w:lang w:val="es-MX"/>
        </w:rPr>
        <w:t>.</w:t>
      </w:r>
      <w:r w:rsidRPr="00385A72">
        <w:rPr>
          <w:rFonts w:ascii="Verdana" w:eastAsia="Times New Roman" w:hAnsi="Verdana" w:cs="Arial"/>
          <w:lang w:eastAsia="es-CO"/>
        </w:rPr>
        <w:t xml:space="preserve"> </w:t>
      </w:r>
    </w:p>
    <w:p w14:paraId="6B78FC9D" w14:textId="77777777" w:rsidR="00385A72" w:rsidRPr="00385A72" w:rsidRDefault="00385A72" w:rsidP="00385A72">
      <w:pPr>
        <w:spacing w:after="120" w:line="276" w:lineRule="auto"/>
        <w:ind w:firstLine="709"/>
        <w:jc w:val="both"/>
        <w:rPr>
          <w:rFonts w:ascii="Verdana" w:eastAsia="Times New Roman" w:hAnsi="Verdana" w:cs="Arial"/>
          <w:bCs/>
          <w:lang w:val="es-MX" w:eastAsia="x-none"/>
        </w:rPr>
      </w:pPr>
      <w:r w:rsidRPr="00385A72">
        <w:rPr>
          <w:rFonts w:ascii="Verdana" w:eastAsia="Times New Roman" w:hAnsi="Verdana" w:cs="Arial"/>
          <w:lang w:eastAsia="es-CO"/>
        </w:rPr>
        <w:t>Sin perjuicio de estos pronunciamientos de la Sala de Consulta y Servicio Civil</w:t>
      </w:r>
      <w:r w:rsidRPr="00385A72">
        <w:rPr>
          <w:rFonts w:ascii="Verdana" w:eastAsia="Calibri" w:hAnsi="Verdana" w:cs="Arial"/>
          <w:lang w:val="es-MX"/>
        </w:rPr>
        <w:t xml:space="preserve">, como la ha señalado esa misma Corporación, la restricción prevista en la Ley 996 de 2005 </w:t>
      </w:r>
      <w:r w:rsidRPr="00385A72">
        <w:rPr>
          <w:rFonts w:ascii="Verdana" w:eastAsia="Times New Roman" w:hAnsi="Verdana" w:cs="Arial"/>
          <w:bCs/>
          <w:lang w:val="es-MX" w:eastAsia="x-none"/>
        </w:rPr>
        <w:t xml:space="preserve">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 o por la ejecución de un cierto tipo de recursos en sus </w:t>
      </w:r>
      <w:r w:rsidRPr="00385A72">
        <w:rPr>
          <w:rFonts w:ascii="Verdana" w:eastAsia="Times New Roman" w:hAnsi="Verdana" w:cs="Arial"/>
          <w:bCs/>
          <w:lang w:val="es-MX" w:eastAsia="x-none"/>
        </w:rPr>
        <w:lastRenderedPageBreak/>
        <w:t>contrataciones, pues, la posibilidad de que los entes del Estado usen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1B800F6B" w14:textId="77777777" w:rsidR="00385A72" w:rsidRPr="00385A72" w:rsidRDefault="00385A72" w:rsidP="00385A72">
      <w:pPr>
        <w:spacing w:after="120" w:line="276" w:lineRule="auto"/>
        <w:ind w:firstLine="709"/>
        <w:jc w:val="both"/>
        <w:rPr>
          <w:rFonts w:ascii="Verdana" w:eastAsia="Times New Roman" w:hAnsi="Verdana" w:cs="Arial"/>
          <w:bCs/>
          <w:lang w:eastAsia="x-none"/>
        </w:rPr>
      </w:pPr>
      <w:r w:rsidRPr="00385A72">
        <w:rPr>
          <w:rFonts w:ascii="Verdana" w:eastAsia="Times New Roman" w:hAnsi="Verdana" w:cs="Arial"/>
          <w:bCs/>
          <w:lang w:val="es-MX" w:eastAsia="x-none"/>
        </w:rPr>
        <w:t>Esto, sin perjuicio de las excepciones a la prohibición establecidas en el inciso segundo del mismo artículo 33, como son: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1ADC436E" w14:textId="77777777" w:rsidR="00385A72" w:rsidRPr="00385A72" w:rsidRDefault="00385A72" w:rsidP="00385A72">
      <w:pPr>
        <w:spacing w:after="120" w:line="276" w:lineRule="auto"/>
        <w:ind w:firstLine="709"/>
        <w:jc w:val="both"/>
        <w:rPr>
          <w:rFonts w:ascii="Verdana" w:eastAsia="Times New Roman" w:hAnsi="Verdana" w:cs="Arial"/>
          <w:bCs/>
          <w:lang w:eastAsia="x-none"/>
        </w:rPr>
      </w:pPr>
      <w:r w:rsidRPr="00385A72">
        <w:rPr>
          <w:rFonts w:ascii="Verdana" w:eastAsia="Times New Roman" w:hAnsi="Verdana" w:cs="Arial"/>
          <w:bCs/>
          <w:lang w:val="es-MX" w:eastAsia="x-none"/>
        </w:rPr>
        <w:t xml:space="preserve">Además, se reitera que la restricción aplica frente a la contratación directa, entendida como cualquier sistema de selección o procedimiento de contratación utilizada por las entidades estatales que no incluya la convocatoria pública en alguna de sus etapas, ni permita la participación de una pluralidad de oferentes, ya sea en aplicación de normas del Estatuto General de Contratación de la Administración Pública, así como de regímenes especiales. Por tanto, las entidades que se rigen por el derecho privado podrán celebrar contratos de acuerdo con los procedimientos contractuales desarrollados en sus manuales de contratación, bajo el entendido que estos permitan la participación de una pluralidad de oferentes. </w:t>
      </w:r>
    </w:p>
    <w:p w14:paraId="0F139859" w14:textId="77777777" w:rsidR="00385A72" w:rsidRPr="00385A72" w:rsidRDefault="00385A72" w:rsidP="00385A72">
      <w:pPr>
        <w:spacing w:after="120" w:line="276" w:lineRule="auto"/>
        <w:ind w:firstLine="709"/>
        <w:jc w:val="both"/>
        <w:rPr>
          <w:rFonts w:ascii="Verdana" w:eastAsia="Times New Roman" w:hAnsi="Verdana" w:cs="Arial"/>
          <w:bCs/>
          <w:lang w:val="es-MX" w:eastAsia="x-none"/>
        </w:rPr>
      </w:pPr>
      <w:r w:rsidRPr="00385A72">
        <w:rPr>
          <w:rFonts w:ascii="Verdana" w:eastAsia="Times New Roman" w:hAnsi="Verdana" w:cs="Arial"/>
          <w:bCs/>
          <w:lang w:val="es-MX" w:eastAsia="x-none"/>
        </w:rPr>
        <w:t>Finalmente, se reitera, c</w:t>
      </w:r>
      <w:r w:rsidRPr="00385A72">
        <w:rPr>
          <w:rFonts w:ascii="Verdana" w:eastAsia="Times New Roman" w:hAnsi="Verdana" w:cs="Arial"/>
          <w:bCs/>
          <w:lang w:val="es-MX" w:eastAsia="es-CO"/>
        </w:rPr>
        <w:t xml:space="preserve">omo en otras oportunidades lo ha manifestado esta Agencia, que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w:t>
      </w:r>
      <w:r w:rsidRPr="00385A72">
        <w:rPr>
          <w:rFonts w:ascii="Verdana" w:eastAsia="Times New Roman" w:hAnsi="Verdana" w:cs="Arial"/>
          <w:bCs/>
          <w:lang w:val="es-MX" w:eastAsia="es-CO"/>
        </w:rPr>
        <w:lastRenderedPageBreak/>
        <w:t>responsabilidad</w:t>
      </w:r>
      <w:r w:rsidRPr="00385A72">
        <w:rPr>
          <w:rFonts w:ascii="Verdana" w:eastAsia="Times New Roman" w:hAnsi="Verdana" w:cs="Arial"/>
          <w:bCs/>
          <w:vertAlign w:val="superscript"/>
          <w:lang w:val="es-MX" w:eastAsia="es-CO"/>
        </w:rPr>
        <w:footnoteReference w:id="26"/>
      </w:r>
      <w:r w:rsidRPr="00385A72">
        <w:rPr>
          <w:rFonts w:ascii="Verdana" w:eastAsia="Times New Roman" w:hAnsi="Verdana" w:cs="Arial"/>
          <w:bCs/>
          <w:lang w:val="es-MX" w:eastAsia="es-CO"/>
        </w:rPr>
        <w:t>. Además, también es posible que contratos celebrados previamente se continúen ejecutando con normalidad.</w:t>
      </w:r>
      <w:bookmarkStart w:id="12" w:name="_Hlk79760844"/>
    </w:p>
    <w:p w14:paraId="7DC84972" w14:textId="77777777" w:rsidR="00385A72" w:rsidRPr="00385A72" w:rsidRDefault="00385A72" w:rsidP="00385A72">
      <w:pPr>
        <w:spacing w:after="0" w:line="276" w:lineRule="auto"/>
        <w:jc w:val="both"/>
        <w:rPr>
          <w:rFonts w:ascii="Verdana" w:eastAsia="Calibri" w:hAnsi="Verdana" w:cs="Arial"/>
        </w:rPr>
      </w:pPr>
    </w:p>
    <w:p w14:paraId="07B6A6AF" w14:textId="77777777" w:rsidR="00385A72" w:rsidRPr="00385A72" w:rsidRDefault="00385A72" w:rsidP="00385A72">
      <w:pPr>
        <w:spacing w:after="120" w:line="276" w:lineRule="auto"/>
        <w:jc w:val="both"/>
        <w:rPr>
          <w:rFonts w:ascii="Verdana" w:hAnsi="Verdana" w:cs="Arial"/>
          <w:lang w:val="es-ES"/>
        </w:rPr>
      </w:pPr>
      <w:r w:rsidRPr="00385A72">
        <w:rPr>
          <w:rFonts w:ascii="Verdana" w:eastAsia="Arial" w:hAnsi="Verdana" w:cs="Arial"/>
          <w:lang w:val="es-ES" w:eastAsia="es-ES" w:bidi="es-ES"/>
        </w:rPr>
        <w:t xml:space="preserve">iv. </w:t>
      </w:r>
      <w:r w:rsidRPr="00385A72">
        <w:rPr>
          <w:rFonts w:ascii="Verdana" w:hAnsi="Verdana" w:cs="Arial"/>
          <w:lang w:val="es-ES"/>
        </w:rPr>
        <w:t xml:space="preserve">Ahora bien, respecto del alcance del parágrafo </w:t>
      </w:r>
      <w:r w:rsidRPr="00385A72">
        <w:rPr>
          <w:rFonts w:ascii="Verdana" w:hAnsi="Verdana" w:cs="Arial"/>
        </w:rPr>
        <w:t xml:space="preserve">del artículo 38 de la Ley 996 de 2005, esta prohibición dispone en primera medida que: “[l]os Gobernadores, Alcaldes Municipales y/o Distritales, Secretarios, Gerentes y directores de Entidades Descentralizadas del orden Municipal, Departamental o Distrital, dentro de los cuatro (4) meses anteriores a las elecciones, no podrán celebrar </w:t>
      </w:r>
      <w:r w:rsidRPr="00385A72">
        <w:rPr>
          <w:rFonts w:ascii="Verdana" w:hAnsi="Verdana" w:cs="Arial"/>
          <w:i/>
          <w:iCs/>
        </w:rPr>
        <w:t>convenios interadministrativos</w:t>
      </w:r>
      <w:r w:rsidRPr="00385A72">
        <w:rPr>
          <w:rFonts w:ascii="Verdana" w:hAnsi="Verdana" w:cs="Arial"/>
        </w:rPr>
        <w:t xml:space="preserve"> </w:t>
      </w:r>
      <w:r w:rsidRPr="00385A72">
        <w:rPr>
          <w:rFonts w:ascii="Verdana" w:hAnsi="Verdana" w:cs="Arial"/>
          <w:i/>
          <w:iCs/>
        </w:rPr>
        <w:t>para la ejecución de recursos públicos</w:t>
      </w:r>
      <w:r w:rsidRPr="00385A72">
        <w:rPr>
          <w:rFonts w:ascii="Verdana" w:hAnsi="Verdana" w:cs="Arial"/>
        </w:rPr>
        <w:t>”.</w:t>
      </w:r>
      <w:r w:rsidRPr="00385A72">
        <w:rPr>
          <w:rFonts w:ascii="Verdana" w:eastAsia="Times New Roman" w:hAnsi="Verdana" w:cs="Arial"/>
          <w:lang w:val="es-MX" w:eastAsia="x-none"/>
        </w:rPr>
        <w:t xml:space="preserve"> [Énfasis fuera del texto original]</w:t>
      </w:r>
    </w:p>
    <w:p w14:paraId="05253C41" w14:textId="77777777" w:rsidR="00385A72" w:rsidRPr="00385A72" w:rsidRDefault="00385A72" w:rsidP="00385A72">
      <w:pPr>
        <w:spacing w:after="120" w:line="276" w:lineRule="auto"/>
        <w:ind w:firstLine="709"/>
        <w:jc w:val="both"/>
        <w:rPr>
          <w:rFonts w:ascii="Verdana" w:hAnsi="Verdana" w:cs="Arial"/>
          <w:lang w:eastAsia="es-ES"/>
        </w:rPr>
      </w:pPr>
      <w:r w:rsidRPr="00385A72">
        <w:rPr>
          <w:rFonts w:ascii="Verdana" w:eastAsia="Times New Roman" w:hAnsi="Verdana" w:cs="Arial"/>
          <w:lang w:val="es-ES" w:eastAsia="es-ES"/>
        </w:rPr>
        <w:t xml:space="preserve">Para tales efectos, debe precisarse que </w:t>
      </w:r>
      <w:r w:rsidRPr="00385A72">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385A72">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385A72">
        <w:rPr>
          <w:rFonts w:ascii="Verdana" w:hAnsi="Verdana" w:cs="Arial"/>
          <w:vertAlign w:val="superscript"/>
          <w:lang w:eastAsia="es-ES"/>
        </w:rPr>
        <w:footnoteReference w:id="27"/>
      </w:r>
      <w:r w:rsidRPr="00385A72">
        <w:rPr>
          <w:rFonts w:ascii="Verdana" w:hAnsi="Verdana" w:cs="Arial"/>
          <w:lang w:eastAsia="es-ES"/>
        </w:rPr>
        <w:t>.</w:t>
      </w:r>
    </w:p>
    <w:p w14:paraId="00853154" w14:textId="77777777" w:rsidR="00385A72" w:rsidRPr="00385A72" w:rsidRDefault="00385A72" w:rsidP="00385A72">
      <w:pPr>
        <w:spacing w:after="120" w:line="276" w:lineRule="auto"/>
        <w:ind w:firstLine="709"/>
        <w:jc w:val="both"/>
        <w:rPr>
          <w:rFonts w:ascii="Verdana" w:hAnsi="Verdana" w:cs="Arial"/>
          <w:color w:val="000000" w:themeColor="text1"/>
          <w:lang w:val="es-ES_tradnl"/>
        </w:rPr>
      </w:pPr>
      <w:r w:rsidRPr="00385A72">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10C22156" w14:textId="77777777" w:rsidR="00385A72" w:rsidRPr="00385A72" w:rsidRDefault="00385A72" w:rsidP="00385A72">
      <w:pPr>
        <w:spacing w:before="120" w:after="0" w:line="276" w:lineRule="auto"/>
        <w:ind w:firstLine="708"/>
        <w:jc w:val="both"/>
        <w:rPr>
          <w:rFonts w:ascii="Verdana" w:hAnsi="Verdana" w:cs="Arial"/>
          <w:lang w:val="es-ES_tradnl"/>
        </w:rPr>
      </w:pPr>
      <w:r w:rsidRPr="00385A72">
        <w:rPr>
          <w:rFonts w:ascii="Verdana" w:hAnsi="Verdana" w:cs="Arial"/>
          <w:lang w:val="es-ES"/>
        </w:rPr>
        <w:t xml:space="preserve">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w:t>
      </w:r>
      <w:r w:rsidRPr="00385A72">
        <w:rPr>
          <w:rFonts w:ascii="Verdana" w:hAnsi="Verdana" w:cs="Arial"/>
          <w:lang w:val="es-ES"/>
        </w:rPr>
        <w:lastRenderedPageBreak/>
        <w:t>oferentes</w:t>
      </w:r>
      <w:r w:rsidRPr="00385A72">
        <w:rPr>
          <w:rFonts w:ascii="Verdana" w:hAnsi="Verdana" w:cs="Arial"/>
          <w:vertAlign w:val="superscript"/>
          <w:lang w:val="es-ES"/>
        </w:rPr>
        <w:footnoteReference w:id="28"/>
      </w:r>
      <w:r w:rsidRPr="00385A72">
        <w:rPr>
          <w:rFonts w:ascii="Verdana" w:hAnsi="Verdana" w:cs="Arial"/>
          <w:lang w:val="es-ES"/>
        </w:rPr>
        <w:t>. Nótese que, en este caso, lo que cambia es la modalidad de selección y no la naturaleza de contrato interadministrativo.</w:t>
      </w:r>
    </w:p>
    <w:p w14:paraId="02858E1B" w14:textId="77777777" w:rsidR="00385A72" w:rsidRPr="00385A72" w:rsidRDefault="00385A72" w:rsidP="00385A72">
      <w:pPr>
        <w:spacing w:before="120" w:after="0" w:line="276" w:lineRule="auto"/>
        <w:ind w:firstLine="708"/>
        <w:jc w:val="both"/>
        <w:rPr>
          <w:rFonts w:ascii="Verdana" w:hAnsi="Verdana" w:cs="Arial"/>
          <w:lang w:val="es-ES_tradnl"/>
        </w:rPr>
      </w:pPr>
      <w:r w:rsidRPr="00385A72">
        <w:rPr>
          <w:rFonts w:ascii="Verdana" w:hAnsi="Verdana" w:cs="Arial"/>
          <w:lang w:val="es-ES"/>
        </w:rPr>
        <w:t>Además, es necesario tener en cuenta que para que un contrato o convenio interadministrativo exista debe cumplir con los siguientes elementos: acuerdo sobre el objeto y la contraprestación y que conste por escrito</w:t>
      </w:r>
      <w:r w:rsidRPr="00385A72">
        <w:rPr>
          <w:rFonts w:ascii="Verdana" w:hAnsi="Verdana" w:cs="Arial"/>
          <w:vertAlign w:val="superscript"/>
          <w:lang w:val="es-ES"/>
        </w:rPr>
        <w:footnoteReference w:id="29"/>
      </w:r>
      <w:r w:rsidRPr="00385A72">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58A940B7" w14:textId="77777777" w:rsidR="00385A72" w:rsidRPr="00385A72" w:rsidRDefault="00385A72" w:rsidP="00385A72">
      <w:pPr>
        <w:spacing w:before="120" w:after="0" w:line="276" w:lineRule="auto"/>
        <w:ind w:firstLine="708"/>
        <w:jc w:val="both"/>
        <w:rPr>
          <w:rFonts w:ascii="Verdana" w:hAnsi="Verdana"/>
          <w:sz w:val="24"/>
          <w:szCs w:val="24"/>
          <w:lang w:eastAsia="es-CO"/>
        </w:rPr>
      </w:pPr>
      <w:r w:rsidRPr="00385A72">
        <w:rPr>
          <w:rFonts w:ascii="Verdana" w:hAnsi="Verdana" w:cs="Arial"/>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00385A72">
        <w:rPr>
          <w:rFonts w:ascii="Verdana" w:hAnsi="Verdana" w:cs="Arial"/>
          <w:vertAlign w:val="superscript"/>
          <w:lang w:val="es-ES"/>
        </w:rPr>
        <w:footnoteReference w:id="30"/>
      </w:r>
      <w:r w:rsidRPr="00385A72">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sidRPr="00385A72">
        <w:rPr>
          <w:rFonts w:ascii="Verdana" w:hAnsi="Verdana"/>
          <w:sz w:val="24"/>
          <w:szCs w:val="24"/>
          <w:lang w:eastAsia="es-CO"/>
        </w:rPr>
        <w:t>.</w:t>
      </w:r>
    </w:p>
    <w:p w14:paraId="702496B1" w14:textId="77777777" w:rsidR="00385A72" w:rsidRPr="00385A72" w:rsidRDefault="00385A72" w:rsidP="00385A72">
      <w:pPr>
        <w:spacing w:before="120" w:after="0" w:line="276" w:lineRule="auto"/>
        <w:ind w:firstLine="708"/>
        <w:jc w:val="both"/>
        <w:rPr>
          <w:rFonts w:ascii="Verdana" w:eastAsia="Times New Roman" w:hAnsi="Verdana" w:cs="Arial"/>
          <w:lang w:val="es-MX" w:eastAsia="es-CO"/>
        </w:rPr>
      </w:pPr>
      <w:r w:rsidRPr="00385A72">
        <w:rPr>
          <w:rFonts w:ascii="Verdana" w:eastAsia="Arial" w:hAnsi="Verdana" w:cs="Arial"/>
          <w:lang w:val="es-MX" w:eastAsia="es-ES" w:bidi="es-ES"/>
        </w:rPr>
        <w:t>De esta manera, se</w:t>
      </w:r>
      <w:r w:rsidRPr="00385A72">
        <w:rPr>
          <w:rFonts w:ascii="Verdana" w:eastAsia="Times New Roman" w:hAnsi="Verdana" w:cs="Arial"/>
          <w:lang w:eastAsia="es-CO"/>
        </w:rPr>
        <w:t xml:space="preserve"> observa entonces que </w:t>
      </w:r>
      <w:r w:rsidRPr="00385A72">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385A72">
        <w:rPr>
          <w:rFonts w:ascii="Verdana" w:eastAsia="Times New Roman" w:hAnsi="Verdana" w:cs="Arial"/>
          <w:i/>
          <w:iCs/>
          <w:lang w:val="es-MX" w:eastAsia="es-CO"/>
        </w:rPr>
        <w:t>convenios interadministrativos</w:t>
      </w:r>
      <w:r w:rsidRPr="00385A72">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385A72">
        <w:rPr>
          <w:rFonts w:ascii="Verdana" w:eastAsia="Times New Roman" w:hAnsi="Verdana" w:cs="Arial"/>
          <w:i/>
          <w:lang w:val="es-MX" w:eastAsia="es-CO"/>
        </w:rPr>
        <w:t>ibidem</w:t>
      </w:r>
      <w:r w:rsidRPr="00385A72">
        <w:rPr>
          <w:rFonts w:ascii="Verdana" w:eastAsia="Times New Roman" w:hAnsi="Verdana" w:cs="Arial"/>
          <w:lang w:val="es-MX" w:eastAsia="es-CO"/>
        </w:rPr>
        <w:t xml:space="preserve">, es decir, </w:t>
      </w:r>
      <w:r w:rsidRPr="00385A72">
        <w:rPr>
          <w:rFonts w:ascii="Verdana" w:eastAsia="Times New Roman" w:hAnsi="Verdana" w:cs="Arial"/>
          <w:lang w:eastAsia="es-CO"/>
        </w:rPr>
        <w:t xml:space="preserve">alcaldías, gobernaciones, </w:t>
      </w:r>
      <w:r w:rsidRPr="00385A72">
        <w:rPr>
          <w:rFonts w:ascii="Verdana" w:eastAsia="Times New Roman" w:hAnsi="Verdana" w:cs="Arial"/>
          <w:lang w:eastAsia="es-CO"/>
        </w:rPr>
        <w:lastRenderedPageBreak/>
        <w:t xml:space="preserve">secretarías de despacho, así como entidades descentralizadas por servicios del orden municipal, departamental o distrital </w:t>
      </w:r>
      <w:r w:rsidRPr="00385A72">
        <w:rPr>
          <w:rFonts w:ascii="Verdana" w:eastAsia="Times New Roman" w:hAnsi="Verdana" w:cs="Arial"/>
          <w:lang w:val="es-MX" w:eastAsia="es-CO"/>
        </w:rPr>
        <w:t xml:space="preserve">no podrá celebrar tales </w:t>
      </w:r>
      <w:r w:rsidRPr="00385A72">
        <w:rPr>
          <w:rFonts w:ascii="Verdana" w:eastAsia="Times New Roman" w:hAnsi="Verdana" w:cs="Arial"/>
          <w:i/>
          <w:iCs/>
          <w:lang w:val="es-MX" w:eastAsia="es-CO"/>
        </w:rPr>
        <w:t>convenios</w:t>
      </w:r>
      <w:r w:rsidRPr="00385A72">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46B5F42B" w14:textId="77777777" w:rsidR="00385A72" w:rsidRPr="00385A72" w:rsidRDefault="00385A72" w:rsidP="00385A72">
      <w:pPr>
        <w:spacing w:before="120" w:after="0" w:line="276" w:lineRule="auto"/>
        <w:ind w:firstLine="708"/>
        <w:jc w:val="both"/>
        <w:rPr>
          <w:rFonts w:ascii="Verdana" w:eastAsia="Calibri" w:hAnsi="Verdana" w:cs="Arial"/>
          <w:color w:val="000000"/>
        </w:rPr>
      </w:pPr>
      <w:r w:rsidRPr="00385A72">
        <w:rPr>
          <w:rFonts w:ascii="Verdana" w:eastAsia="Times New Roman" w:hAnsi="Verdana" w:cs="Arial"/>
          <w:lang w:val="es-MX" w:eastAsia="es-CO"/>
        </w:rPr>
        <w:t xml:space="preserve">En este aspecto, se destaca que uno de los sujetos de aplicación de dicha restricción son las entidades descentralizadas por servicios, </w:t>
      </w:r>
      <w:r w:rsidRPr="00385A72">
        <w:rPr>
          <w:rFonts w:ascii="Verdana" w:eastAsia="Times New Roman" w:hAnsi="Verdana" w:cs="Arial"/>
          <w:lang w:eastAsia="es-CO"/>
        </w:rPr>
        <w:t xml:space="preserve">las cuales </w:t>
      </w:r>
      <w:r w:rsidRPr="00385A72">
        <w:rPr>
          <w:rFonts w:ascii="Verdana" w:eastAsia="Calibri" w:hAnsi="Verdana" w:cs="Arial"/>
          <w:color w:val="000000"/>
        </w:rPr>
        <w:t>–sin perjuicio del control de tutela– tienen personería jurídica, autonomía administrativa y patrimonio propio.</w:t>
      </w:r>
      <w:r w:rsidRPr="00385A72">
        <w:rPr>
          <w:rFonts w:ascii="Verdana" w:eastAsia="Calibri" w:hAnsi="Verdana" w:cs="Arial"/>
          <w:b/>
          <w:bCs/>
          <w:color w:val="000000"/>
        </w:rPr>
        <w:t xml:space="preserve"> </w:t>
      </w:r>
      <w:r w:rsidRPr="00385A72">
        <w:rPr>
          <w:rFonts w:ascii="Verdana" w:eastAsia="Calibri" w:hAnsi="Verdana" w:cs="Arial"/>
          <w:color w:val="000000"/>
        </w:rPr>
        <w:t>Estas entidades, como su nombre lo indica, se caracterizan por desarrollar actividades de carácter industrial o comercial</w:t>
      </w:r>
      <w:r w:rsidRPr="00385A72">
        <w:rPr>
          <w:rFonts w:ascii="Verdana" w:eastAsia="Calibri" w:hAnsi="Verdana" w:cs="Arial"/>
          <w:color w:val="000000"/>
          <w:vertAlign w:val="superscript"/>
        </w:rPr>
        <w:footnoteReference w:id="31"/>
      </w:r>
      <w:r w:rsidRPr="00385A72">
        <w:rPr>
          <w:rFonts w:ascii="Verdana" w:eastAsia="Calibri" w:hAnsi="Verdana" w:cs="Arial"/>
          <w:color w:val="000000"/>
        </w:rPr>
        <w:t xml:space="preserve">. Dentro de la categoría amplia de entidades descentralizadas por servicios se encuentran las Empresas Industriales y Comerciales del Estado, los establecimientos públicos, las sociedades públicas, las sociedades de economía mixta. A partir de estas precisiones, se encuentran que las empresas industriales y comerciales del Estado del orden departamental, distrital o municipal están sujetas a la restricción del parágrafo del artículo 38 de la Ley 996 de 2005. </w:t>
      </w:r>
    </w:p>
    <w:p w14:paraId="4D64F6CD" w14:textId="77777777" w:rsidR="00385A72" w:rsidRPr="00385A72" w:rsidRDefault="00385A72" w:rsidP="00385A72">
      <w:pPr>
        <w:spacing w:before="120" w:after="0" w:line="276" w:lineRule="auto"/>
        <w:ind w:firstLine="708"/>
        <w:jc w:val="both"/>
        <w:rPr>
          <w:rFonts w:ascii="Verdana" w:eastAsia="Times New Roman" w:hAnsi="Verdana" w:cs="Arial"/>
          <w:lang w:eastAsia="es-CO"/>
        </w:rPr>
      </w:pPr>
      <w:r w:rsidRPr="00385A72">
        <w:rPr>
          <w:rFonts w:ascii="Verdana" w:eastAsia="Times New Roman" w:hAnsi="Verdana" w:cs="Arial"/>
          <w:lang w:val="es-MX" w:eastAsia="es-CO"/>
        </w:rPr>
        <w:t>Respecto del alcance de esta prohibición la Circular Externa No. 006 de 2025 expedida por la ANCP -CCE, en los literales ii) y iv) del numeral 2</w:t>
      </w:r>
      <w:r w:rsidRPr="00385A72">
        <w:rPr>
          <w:rFonts w:ascii="Verdana" w:eastAsia="Times New Roman" w:hAnsi="Verdana" w:cs="Arial"/>
          <w:lang w:eastAsia="es-CO"/>
        </w:rPr>
        <w:t>,</w:t>
      </w:r>
      <w:r w:rsidRPr="00385A72">
        <w:rPr>
          <w:rFonts w:ascii="Verdana" w:eastAsia="Times New Roman" w:hAnsi="Verdana" w:cs="Arial"/>
          <w:lang w:val="es-MX" w:eastAsia="es-CO"/>
        </w:rPr>
        <w:t xml:space="preserve"> indica que el </w:t>
      </w:r>
      <w:r w:rsidRPr="00385A72">
        <w:rPr>
          <w:rFonts w:ascii="Verdana" w:eastAsia="Times New Roman" w:hAnsi="Verdana" w:cs="Arial"/>
          <w:lang w:eastAsia="es-CO"/>
        </w:rPr>
        <w:t xml:space="preserve">parágrafo del artículo 38 de la Ley 996 de 2005 cobija expresamente a los </w:t>
      </w:r>
      <w:r w:rsidRPr="00385A72">
        <w:rPr>
          <w:rFonts w:ascii="Verdana" w:eastAsia="Times New Roman" w:hAnsi="Verdana" w:cs="Arial"/>
          <w:i/>
          <w:iCs/>
          <w:lang w:eastAsia="es-CO"/>
        </w:rPr>
        <w:t>convenios interadministrativos</w:t>
      </w:r>
      <w:r w:rsidRPr="00385A72">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w:t>
      </w:r>
      <w:r w:rsidRPr="00385A72">
        <w:rPr>
          <w:rFonts w:ascii="Verdana" w:eastAsia="Times New Roman" w:hAnsi="Verdana" w:cs="Arial"/>
          <w:lang w:eastAsia="es-CO"/>
        </w:rPr>
        <w:lastRenderedPageBreak/>
        <w:t xml:space="preserve">los sujetos allí señalados, </w:t>
      </w:r>
      <w:r w:rsidRPr="00385A72">
        <w:rPr>
          <w:rFonts w:ascii="Verdana" w:eastAsia="Times New Roman" w:hAnsi="Verdana" w:cs="Arial"/>
          <w:i/>
          <w:iCs/>
          <w:lang w:eastAsia="es-CO"/>
        </w:rPr>
        <w:t>“aunque se configure alguno de los supuestos de excepción que señaló el inciso final del artículo 33”.</w:t>
      </w:r>
      <w:r w:rsidRPr="00385A72">
        <w:rPr>
          <w:rFonts w:ascii="Verdana" w:eastAsia="Times New Roman" w:hAnsi="Verdana" w:cs="Arial"/>
          <w:lang w:eastAsia="es-CO"/>
        </w:rPr>
        <w:t xml:space="preserve"> </w:t>
      </w:r>
    </w:p>
    <w:p w14:paraId="355D06DE" w14:textId="77777777" w:rsidR="00385A72" w:rsidRPr="00385A72" w:rsidRDefault="00385A72" w:rsidP="00385A72">
      <w:pPr>
        <w:spacing w:before="120" w:after="0" w:line="276" w:lineRule="auto"/>
        <w:ind w:firstLine="708"/>
        <w:jc w:val="both"/>
        <w:rPr>
          <w:rFonts w:ascii="Verdana" w:eastAsia="Times New Roman" w:hAnsi="Verdana" w:cs="Arial"/>
          <w:lang w:eastAsia="es-CO"/>
        </w:rPr>
      </w:pPr>
      <w:r w:rsidRPr="00385A72">
        <w:rPr>
          <w:rFonts w:ascii="Verdana" w:eastAsia="Times New Roman" w:hAnsi="Verdana" w:cs="Arial"/>
          <w:lang w:eastAsia="es-CO"/>
        </w:rPr>
        <w:t xml:space="preserve">Sin embargo, el ámbito de aplicación de la restricción prevista en el parágrafo del artículo 38 de la Ley 996 de 2005 comprende a los </w:t>
      </w:r>
      <w:r w:rsidRPr="00385A72">
        <w:rPr>
          <w:rFonts w:ascii="Verdana" w:eastAsia="Times New Roman" w:hAnsi="Verdana" w:cs="Arial"/>
          <w:i/>
          <w:iCs/>
          <w:lang w:eastAsia="es-CO"/>
        </w:rPr>
        <w:t>convenios interadministrativos</w:t>
      </w:r>
      <w:r w:rsidRPr="00385A72">
        <w:rPr>
          <w:rFonts w:ascii="Verdana" w:eastAsia="Times New Roman" w:hAnsi="Verdana" w:cs="Arial"/>
          <w:lang w:eastAsia="es-CO"/>
        </w:rPr>
        <w:t xml:space="preserve"> en los que exista </w:t>
      </w:r>
      <w:r w:rsidRPr="00385A72">
        <w:rPr>
          <w:rFonts w:ascii="Verdana" w:eastAsia="Times New Roman" w:hAnsi="Verdana" w:cs="Arial"/>
          <w:i/>
          <w:iCs/>
          <w:lang w:eastAsia="es-CO"/>
        </w:rPr>
        <w:t>ejecución de recursos públicos</w:t>
      </w:r>
      <w:r w:rsidRPr="00385A72">
        <w:rPr>
          <w:rFonts w:ascii="Verdana" w:eastAsia="Times New Roman" w:hAnsi="Verdana" w:cs="Arial"/>
          <w:lang w:eastAsia="es-CO"/>
        </w:rPr>
        <w:t xml:space="preserve">, sin importar de que estos sean en dinero o en especie, ya que la norma no distingue. </w:t>
      </w:r>
      <w:r w:rsidRPr="00385A72">
        <w:rPr>
          <w:rFonts w:ascii="Verdana" w:eastAsia="Times New Roman" w:hAnsi="Verdana" w:cs="Arial"/>
          <w:lang w:val="es-ES" w:eastAsia="es-CO"/>
        </w:rPr>
        <w:t>Lo anterior conforme a la directriz interpretativa del artículo 31 del Código Civil, según la cual “Lo favorable u odioso de una disposición no se tomará en cuenta para ampliar o restringir su interpretación. La extensión que deba darse a toda ley se determinará por su genuino sentido, y según las reglas de interpretación precedentes”</w:t>
      </w:r>
      <w:r w:rsidRPr="00385A72">
        <w:rPr>
          <w:rFonts w:ascii="Verdana" w:hAnsi="Verdana" w:cs="Arial"/>
          <w:vertAlign w:val="superscript"/>
          <w:lang w:val="es-ES"/>
        </w:rPr>
        <w:footnoteReference w:id="32"/>
      </w:r>
      <w:r w:rsidRPr="00385A72">
        <w:rPr>
          <w:rFonts w:ascii="Verdana" w:eastAsia="Times New Roman" w:hAnsi="Verdana" w:cs="Arial"/>
          <w:lang w:val="es-ES" w:eastAsia="es-CO"/>
        </w:rPr>
        <w:t>.</w:t>
      </w:r>
      <w:r w:rsidRPr="00385A72">
        <w:rPr>
          <w:rFonts w:ascii="Verdana" w:eastAsia="Times New Roman" w:hAnsi="Verdana" w:cs="Arial"/>
          <w:lang w:eastAsia="es-CO"/>
        </w:rPr>
        <w:t xml:space="preserve"> Por ello, en el Concepto 2201913000006634 del 6 de septiembre de 2019, la Agencia sostuvo que la ejecución de recursos no se agota en el “[…] el dinero que integra el ciclo presupuestal de la entidad […]”, pues “[…] también los bienes muebles, inmuebles y personal hacen parte del concepto de ‘recursos públicos’”.</w:t>
      </w:r>
    </w:p>
    <w:p w14:paraId="4CDD37CF" w14:textId="77777777" w:rsidR="00385A72" w:rsidRPr="00385A72" w:rsidRDefault="00385A72" w:rsidP="00385A72">
      <w:pPr>
        <w:spacing w:before="120" w:after="0" w:line="276" w:lineRule="auto"/>
        <w:ind w:firstLine="708"/>
        <w:jc w:val="both"/>
        <w:rPr>
          <w:rFonts w:ascii="Verdana" w:eastAsia="Times New Roman" w:hAnsi="Verdana" w:cs="Arial"/>
          <w:lang w:eastAsia="es-CO"/>
        </w:rPr>
      </w:pPr>
      <w:r w:rsidRPr="00385A72">
        <w:rPr>
          <w:rFonts w:ascii="Verdana" w:eastAsia="Times New Roman" w:hAnsi="Verdana" w:cs="Arial"/>
          <w:lang w:eastAsia="es-CO"/>
        </w:rPr>
        <w:t xml:space="preserve">De esta manera, conforme a lo dispuesto en la Circular referida, si se suscriben </w:t>
      </w:r>
      <w:r w:rsidRPr="00385A72">
        <w:rPr>
          <w:rFonts w:ascii="Verdana" w:eastAsia="Times New Roman" w:hAnsi="Verdana" w:cs="Arial"/>
          <w:i/>
          <w:iCs/>
          <w:lang w:eastAsia="es-CO"/>
        </w:rPr>
        <w:t>convenios interadministrativos para la ejecución de recursos públicos</w:t>
      </w:r>
      <w:r w:rsidRPr="00385A72">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385A72">
        <w:rPr>
          <w:rFonts w:ascii="Verdana" w:eastAsia="Times New Roman" w:hAnsi="Verdana" w:cs="Arial"/>
          <w:i/>
          <w:iCs/>
          <w:lang w:eastAsia="es-CO"/>
        </w:rPr>
        <w:t>ibidem</w:t>
      </w:r>
      <w:r w:rsidRPr="00385A72">
        <w:rPr>
          <w:rFonts w:ascii="Verdana" w:eastAsia="Times New Roman" w:hAnsi="Verdana" w:cs="Arial"/>
          <w:lang w:eastAsia="es-CO"/>
        </w:rPr>
        <w:t>, independientemente de que se configure alguno de los supuestos de excepción que señaló el inciso final del artículo 33, es decir, que se trate de:</w:t>
      </w:r>
      <w:r w:rsidRPr="00385A72">
        <w:rPr>
          <w:rFonts w:ascii="Verdana" w:hAnsi="Verdana" w:cs="Arial"/>
          <w:bCs/>
          <w:lang w:val="es-MX" w:eastAsia="x-none"/>
        </w:rPr>
        <w:t xml:space="preserve">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w:t>
      </w:r>
      <w:r w:rsidRPr="00385A72">
        <w:rPr>
          <w:rFonts w:ascii="Verdana" w:hAnsi="Verdana" w:cs="Arial"/>
          <w:bCs/>
          <w:lang w:val="es-MX" w:eastAsia="x-none"/>
        </w:rPr>
        <w:lastRenderedPageBreak/>
        <w:t>hayan sido objeto de atentados, acciones terroristas, desastres naturales o casos de fuerza mayor; y, v) los que deban realizar las entidades sanitarias y hospitalarias.</w:t>
      </w:r>
      <w:r w:rsidRPr="00385A72">
        <w:rPr>
          <w:rFonts w:ascii="Verdana" w:hAnsi="Verdana" w:cs="Arial"/>
          <w:bCs/>
          <w:lang w:val="es-MX" w:eastAsia="es-CO"/>
        </w:rPr>
        <w:t xml:space="preserve"> </w:t>
      </w:r>
      <w:r w:rsidRPr="00385A72">
        <w:rPr>
          <w:rFonts w:ascii="Verdana" w:eastAsia="Times New Roman" w:hAnsi="Verdana" w:cs="Arial"/>
          <w:lang w:eastAsia="es-CO"/>
        </w:rPr>
        <w:t xml:space="preserve">  </w:t>
      </w:r>
    </w:p>
    <w:p w14:paraId="5DB2CCC6" w14:textId="77777777" w:rsidR="00385A72" w:rsidRPr="00385A72" w:rsidRDefault="00385A72" w:rsidP="00385A72">
      <w:pPr>
        <w:spacing w:before="120" w:after="0" w:line="276" w:lineRule="auto"/>
        <w:ind w:firstLine="708"/>
        <w:jc w:val="both"/>
        <w:rPr>
          <w:rFonts w:ascii="Verdana" w:eastAsia="Times New Roman" w:hAnsi="Verdana" w:cs="Arial"/>
          <w:lang w:eastAsia="es-CO"/>
        </w:rPr>
      </w:pPr>
      <w:r w:rsidRPr="00385A72">
        <w:rPr>
          <w:rFonts w:ascii="Verdana" w:eastAsia="Times New Roman" w:hAnsi="Verdana" w:cs="Arial"/>
          <w:lang w:eastAsia="es-CO"/>
        </w:rPr>
        <w:t xml:space="preserve">En este punto, teniendo en cuenta lo señalado en el contenido de su petición, vale la pena destacar que </w:t>
      </w:r>
      <w:r w:rsidRPr="00385A72">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385A72">
        <w:rPr>
          <w:rFonts w:ascii="Verdana" w:hAnsi="Verdana" w:cs="Arial"/>
        </w:rPr>
        <w:t>numeral 16.2 de la Circular Externa Única de 2022 expedida por la Agencia Nacional de Contratación Pública – Colombia Compra Eficiente, concretamente, respecto de los siguientes apartes normativos</w:t>
      </w:r>
      <w:r w:rsidRPr="00385A72">
        <w:rPr>
          <w:rFonts w:ascii="Verdana" w:hAnsi="Verdana" w:cs="Arial"/>
          <w:vertAlign w:val="superscript"/>
        </w:rPr>
        <w:footnoteReference w:id="33"/>
      </w:r>
      <w:r w:rsidRPr="00385A72">
        <w:rPr>
          <w:rFonts w:ascii="Verdana" w:hAnsi="Verdana" w:cs="Arial"/>
        </w:rPr>
        <w:t xml:space="preserve">: </w:t>
      </w:r>
    </w:p>
    <w:p w14:paraId="2F66BA32" w14:textId="77777777" w:rsidR="00385A72" w:rsidRPr="00385A72" w:rsidRDefault="00385A72" w:rsidP="00385A72">
      <w:pPr>
        <w:spacing w:after="0" w:line="276" w:lineRule="auto"/>
        <w:ind w:firstLine="709"/>
        <w:jc w:val="both"/>
        <w:rPr>
          <w:rFonts w:ascii="Verdana" w:hAnsi="Verdana" w:cs="Arial"/>
        </w:rPr>
      </w:pPr>
    </w:p>
    <w:p w14:paraId="1301EA15" w14:textId="77777777" w:rsidR="00385A72" w:rsidRPr="00385A72" w:rsidRDefault="00385A72" w:rsidP="00385A72">
      <w:pPr>
        <w:spacing w:after="120" w:line="240" w:lineRule="auto"/>
        <w:ind w:left="709" w:right="709"/>
        <w:jc w:val="both"/>
        <w:rPr>
          <w:rFonts w:ascii="Verdana" w:hAnsi="Verdana" w:cs="Arial"/>
          <w:sz w:val="20"/>
          <w:szCs w:val="20"/>
        </w:rPr>
      </w:pPr>
      <w:r w:rsidRPr="00385A72">
        <w:rPr>
          <w:rFonts w:ascii="Verdana" w:hAnsi="Verdana" w:cs="Arial"/>
          <w:sz w:val="20"/>
          <w:szCs w:val="20"/>
          <w:lang w:val="es-MX"/>
        </w:rPr>
        <w:t>“i)</w:t>
      </w:r>
      <w:r w:rsidRPr="00385A72">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4B7DD9E8" w14:textId="77777777" w:rsidR="00385A72" w:rsidRPr="00385A72" w:rsidRDefault="00385A72" w:rsidP="00385A72">
      <w:pPr>
        <w:spacing w:after="0" w:line="240" w:lineRule="auto"/>
        <w:ind w:left="709" w:right="709"/>
        <w:jc w:val="both"/>
        <w:rPr>
          <w:rFonts w:ascii="Verdana" w:hAnsi="Verdana" w:cs="Arial"/>
          <w:sz w:val="20"/>
          <w:szCs w:val="20"/>
        </w:rPr>
      </w:pPr>
      <w:r w:rsidRPr="00385A72">
        <w:rPr>
          <w:rFonts w:ascii="Verdana" w:hAnsi="Verdana" w:cs="Arial"/>
          <w:sz w:val="20"/>
          <w:szCs w:val="20"/>
        </w:rPr>
        <w:t xml:space="preserve">ii)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361D6E8D" w14:textId="77777777" w:rsidR="00385A72" w:rsidRPr="00385A72" w:rsidRDefault="00385A72" w:rsidP="00385A72">
      <w:pPr>
        <w:spacing w:after="0" w:line="276" w:lineRule="auto"/>
        <w:ind w:left="709" w:right="709"/>
        <w:jc w:val="both"/>
        <w:rPr>
          <w:rFonts w:ascii="Verdana" w:hAnsi="Verdana" w:cs="Arial"/>
        </w:rPr>
      </w:pPr>
    </w:p>
    <w:p w14:paraId="2226E5D3" w14:textId="77777777" w:rsidR="00385A72" w:rsidRPr="00385A72" w:rsidRDefault="00385A72" w:rsidP="00385A72">
      <w:pPr>
        <w:spacing w:after="120" w:line="276" w:lineRule="auto"/>
        <w:ind w:firstLine="709"/>
        <w:jc w:val="both"/>
        <w:rPr>
          <w:rFonts w:ascii="Verdana" w:eastAsia="Arial" w:hAnsi="Verdana" w:cs="Arial"/>
          <w:i/>
          <w:iCs/>
          <w:lang w:eastAsia="es-ES" w:bidi="es-ES"/>
        </w:rPr>
      </w:pPr>
      <w:r w:rsidRPr="00385A72">
        <w:rPr>
          <w:rFonts w:ascii="Verdana" w:eastAsia="Arial" w:hAnsi="Verdana" w:cs="Arial"/>
          <w:lang w:val="es-MX" w:eastAsia="es-ES" w:bidi="es-ES"/>
        </w:rPr>
        <w:t xml:space="preserve">De conformidad con los argumentos de dicha providencia, se parte de la distinción entre los conceptos </w:t>
      </w:r>
      <w:r w:rsidRPr="00385A72">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385A72">
        <w:rPr>
          <w:rFonts w:ascii="Verdana" w:hAnsi="Verdana"/>
          <w:sz w:val="24"/>
          <w:szCs w:val="24"/>
          <w:lang w:eastAsia="es-CO"/>
        </w:rPr>
        <w:t xml:space="preserve"> </w:t>
      </w:r>
      <w:r w:rsidRPr="00385A72">
        <w:rPr>
          <w:rFonts w:ascii="Verdana" w:eastAsia="Arial" w:hAnsi="Verdana" w:cs="Arial"/>
          <w:lang w:eastAsia="es-ES" w:bidi="es-ES"/>
        </w:rPr>
        <w:t xml:space="preserve">En este sentido, en relación con el parágrafo del artículo 38 de la Ley 996 de 2005 concluyó que </w:t>
      </w:r>
      <w:r w:rsidRPr="00385A72">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w:t>
      </w:r>
      <w:r w:rsidRPr="00385A72">
        <w:rPr>
          <w:rFonts w:ascii="Verdana" w:eastAsia="Arial" w:hAnsi="Verdana" w:cs="Arial"/>
          <w:i/>
          <w:iCs/>
          <w:lang w:eastAsia="es-ES" w:bidi="es-ES"/>
        </w:rPr>
        <w:lastRenderedPageBreak/>
        <w:t xml:space="preserve">(…)”. </w:t>
      </w:r>
      <w:r w:rsidRPr="00385A72">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385A72">
        <w:rPr>
          <w:rFonts w:ascii="Verdana" w:eastAsia="Arial" w:hAnsi="Verdana" w:cs="Arial"/>
          <w:i/>
          <w:iCs/>
          <w:lang w:eastAsia="es-ES" w:bidi="es-ES"/>
        </w:rPr>
        <w:t>“con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w:t>
      </w:r>
      <w:r w:rsidRPr="00385A72">
        <w:rPr>
          <w:rFonts w:ascii="Verdana" w:eastAsia="Arial" w:hAnsi="Verdana" w:cs="Arial"/>
          <w:lang w:eastAsia="es-ES" w:bidi="es-ES"/>
        </w:rPr>
        <w:t>”</w:t>
      </w:r>
      <w:r w:rsidRPr="00385A72">
        <w:rPr>
          <w:rFonts w:ascii="Verdana" w:eastAsia="Arial" w:hAnsi="Verdana" w:cs="Arial"/>
          <w:i/>
          <w:iCs/>
          <w:lang w:eastAsia="es-ES" w:bidi="es-ES"/>
        </w:rPr>
        <w:t xml:space="preserve">. </w:t>
      </w:r>
    </w:p>
    <w:p w14:paraId="494B97E2" w14:textId="77777777" w:rsidR="00385A72" w:rsidRPr="00385A72" w:rsidRDefault="00385A72" w:rsidP="00385A72">
      <w:pPr>
        <w:spacing w:after="120" w:line="276" w:lineRule="auto"/>
        <w:ind w:firstLine="709"/>
        <w:jc w:val="both"/>
        <w:rPr>
          <w:rFonts w:ascii="Verdana" w:eastAsia="Arial" w:hAnsi="Verdana" w:cs="Arial"/>
          <w:lang w:eastAsia="es-ES" w:bidi="es-ES"/>
        </w:rPr>
      </w:pPr>
      <w:r w:rsidRPr="00385A72">
        <w:rPr>
          <w:rFonts w:ascii="Verdana" w:eastAsia="Arial" w:hAnsi="Verdana" w:cs="Arial"/>
          <w:lang w:eastAsia="es-ES" w:bidi="es-ES"/>
        </w:rPr>
        <w:t>De igual manera, mediante auto del 6 de noviembre de 2025, el Consejo de Estado, Subsección A de la Sección Tercera, decretó</w:t>
      </w:r>
      <w:r w:rsidRPr="00385A72">
        <w:rPr>
          <w:rFonts w:ascii="Verdana" w:eastAsia="Arial" w:hAnsi="Verdana" w:cs="Arial"/>
          <w:b/>
          <w:bCs/>
          <w:lang w:eastAsia="es-ES" w:bidi="es-ES"/>
        </w:rPr>
        <w:t xml:space="preserve"> </w:t>
      </w:r>
      <w:r w:rsidRPr="00385A72">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385A72">
        <w:rPr>
          <w:rFonts w:ascii="Verdana" w:eastAsia="Arial" w:hAnsi="Verdana" w:cs="Arial"/>
          <w:vertAlign w:val="superscript"/>
          <w:lang w:eastAsia="es-ES" w:bidi="es-ES"/>
        </w:rPr>
        <w:footnoteReference w:id="34"/>
      </w:r>
      <w:r w:rsidRPr="00385A72">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legis o iuris y la interpretación extensiva y reiteró los argumentos sobre la diferencia entre contratos y convenios interadministrativos. </w:t>
      </w:r>
    </w:p>
    <w:p w14:paraId="740E96D6" w14:textId="77777777" w:rsidR="00385A72" w:rsidRPr="00385A72" w:rsidRDefault="00385A72" w:rsidP="00385A72">
      <w:pPr>
        <w:spacing w:after="120" w:line="276" w:lineRule="auto"/>
        <w:ind w:firstLine="709"/>
        <w:jc w:val="both"/>
        <w:rPr>
          <w:rFonts w:ascii="Verdana" w:eastAsia="Times New Roman" w:hAnsi="Verdana" w:cs="Times New Roman"/>
          <w:lang w:eastAsia="es-ES"/>
        </w:rPr>
      </w:pPr>
      <w:r w:rsidRPr="00385A72">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00385A72">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w:t>
      </w:r>
      <w:r w:rsidRPr="00385A72">
        <w:rPr>
          <w:rFonts w:ascii="Verdana" w:eastAsia="Times New Roman" w:hAnsi="Verdana" w:cs="Times New Roman"/>
          <w:lang w:eastAsia="es-ES"/>
        </w:rPr>
        <w:lastRenderedPageBreak/>
        <w:t xml:space="preserve">“Esta restricción es aplicable tanto a los convenios como a los contratos interadministrativos […]”. </w:t>
      </w:r>
    </w:p>
    <w:p w14:paraId="6EBD727F" w14:textId="77777777" w:rsidR="00385A72" w:rsidRPr="00385A72" w:rsidRDefault="00385A72" w:rsidP="00385A72">
      <w:pPr>
        <w:spacing w:after="120" w:line="276" w:lineRule="auto"/>
        <w:ind w:firstLine="709"/>
        <w:jc w:val="both"/>
        <w:rPr>
          <w:rFonts w:ascii="Verdana" w:eastAsia="Times New Roman" w:hAnsi="Verdana" w:cs="Times New Roman"/>
          <w:lang w:eastAsia="es-ES"/>
        </w:rPr>
      </w:pPr>
      <w:r w:rsidRPr="00385A72">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00385A72">
        <w:rPr>
          <w:rFonts w:ascii="Verdana" w:eastAsia="Times New Roman" w:hAnsi="Verdana" w:cs="Times New Roman"/>
          <w:vertAlign w:val="superscript"/>
          <w:lang w:eastAsia="es-ES"/>
        </w:rPr>
        <w:footnoteReference w:id="35"/>
      </w:r>
      <w:r w:rsidRPr="00385A72">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74DE5B8F" w14:textId="77777777" w:rsidR="00385A72" w:rsidRPr="00385A72" w:rsidRDefault="00385A72" w:rsidP="00385A72">
      <w:pPr>
        <w:spacing w:after="120" w:line="276" w:lineRule="auto"/>
        <w:ind w:firstLine="709"/>
        <w:jc w:val="both"/>
        <w:rPr>
          <w:rFonts w:ascii="Verdana" w:eastAsia="Times New Roman" w:hAnsi="Verdana" w:cs="Arial"/>
          <w:lang w:eastAsia="es-CO"/>
        </w:rPr>
      </w:pPr>
      <w:r w:rsidRPr="00385A72">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r w:rsidRPr="00385A72">
        <w:rPr>
          <w:rFonts w:ascii="Verdana" w:eastAsia="Times New Roman" w:hAnsi="Verdana" w:cs="Arial"/>
          <w:lang w:eastAsia="es-CO"/>
        </w:rPr>
        <w:t xml:space="preserve">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385A72">
        <w:rPr>
          <w:rFonts w:ascii="Verdana" w:eastAsia="Times New Roman" w:hAnsi="Verdana" w:cs="Arial"/>
          <w:i/>
          <w:iCs/>
          <w:lang w:eastAsia="es-CO"/>
        </w:rPr>
        <w:t>contratos interadministrativos</w:t>
      </w:r>
      <w:r w:rsidRPr="00385A72">
        <w:rPr>
          <w:rFonts w:ascii="Verdana" w:eastAsia="Times New Roman" w:hAnsi="Verdana" w:cs="Arial"/>
          <w:lang w:eastAsia="es-CO"/>
        </w:rPr>
        <w:t>, esta prohibición solo aplicaría a los convenios interadministrativos que impliquen la ejecución de recursos públicos</w:t>
      </w:r>
      <w:r w:rsidRPr="00385A72">
        <w:rPr>
          <w:rFonts w:ascii="Verdana" w:eastAsia="Times New Roman" w:hAnsi="Verdana" w:cs="Arial"/>
          <w:vertAlign w:val="superscript"/>
          <w:lang w:eastAsia="es-CO"/>
        </w:rPr>
        <w:footnoteReference w:id="36"/>
      </w:r>
      <w:r w:rsidRPr="00385A72">
        <w:rPr>
          <w:rFonts w:ascii="Verdana" w:eastAsia="Times New Roman" w:hAnsi="Verdana" w:cs="Arial"/>
          <w:lang w:eastAsia="es-CO"/>
        </w:rPr>
        <w:t xml:space="preserve">. Conforme a lo señalado por el Consejo de Estado, cuando dos entidades públicas celebren un </w:t>
      </w:r>
      <w:r w:rsidRPr="00385A72">
        <w:rPr>
          <w:rFonts w:ascii="Verdana" w:eastAsia="Times New Roman" w:hAnsi="Verdana" w:cs="Arial"/>
          <w:i/>
          <w:iCs/>
          <w:lang w:eastAsia="es-CO"/>
        </w:rPr>
        <w:t>contrato interadministrativo,</w:t>
      </w:r>
      <w:r w:rsidRPr="00385A72">
        <w:rPr>
          <w:rFonts w:ascii="Verdana" w:eastAsia="Times New Roman" w:hAnsi="Verdana" w:cs="Arial"/>
          <w:lang w:eastAsia="es-CO"/>
        </w:rPr>
        <w:t xml:space="preserve"> </w:t>
      </w:r>
      <w:r w:rsidRPr="00385A72">
        <w:rPr>
          <w:rFonts w:ascii="Verdana" w:eastAsia="Times New Roman" w:hAnsi="Verdana" w:cs="Arial"/>
          <w:lang w:eastAsia="es-CO"/>
        </w:rPr>
        <w:lastRenderedPageBreak/>
        <w:t>independientemente del objeto, dicho contrato puede suscribirse durante el periodo preelectoral.</w:t>
      </w:r>
    </w:p>
    <w:p w14:paraId="116B6CAC" w14:textId="77777777" w:rsidR="00385A72" w:rsidRPr="00385A72" w:rsidRDefault="00385A72" w:rsidP="00385A72">
      <w:pPr>
        <w:spacing w:after="120" w:line="276" w:lineRule="auto"/>
        <w:ind w:firstLine="708"/>
        <w:jc w:val="both"/>
        <w:rPr>
          <w:rFonts w:ascii="Verdana" w:eastAsia="Times New Roman" w:hAnsi="Verdana" w:cs="Arial"/>
          <w:lang w:eastAsia="es-CO"/>
        </w:rPr>
      </w:pPr>
      <w:r w:rsidRPr="00385A72">
        <w:rPr>
          <w:rFonts w:ascii="Verdana" w:eastAsia="Times New Roman" w:hAnsi="Verdana" w:cs="Arial"/>
          <w:lang w:eastAsia="es-CO"/>
        </w:rPr>
        <w:t>En este aspecto, se encuentra que la restricción para la celebración de convenios interadministrativos para la ejecución de recursos públicos no puede aludirse a contratantes o contratistas, sino de partes cooperantes o colaboradoras. Así mismo, aplica para cualquier tipo de elección, lo que implica que la restricción del parágrafo del artículo 38</w:t>
      </w:r>
      <w:r w:rsidRPr="00385A72">
        <w:rPr>
          <w:rFonts w:ascii="Verdana" w:eastAsia="Times New Roman" w:hAnsi="Verdana" w:cs="Arial"/>
          <w:bCs/>
          <w:lang w:val="es-MX" w:eastAsia="x-none"/>
        </w:rPr>
        <w:t xml:space="preserve"> aplica desde el 8 de noviembre de 2025, teniendo en cuenta que la Resolución 02580 del 5 de marzo de 2025 de la Registraduría Nacional del Estado Civil dispuso que las elecciones de senado y cámara se celebrarán el 8 de marzo de 2026. Esta restricción se extiende a las elecciones presidenciales que se celebrarán el 31 de mayo de 2026, así como una posible segunda vuelta tres semanas después, es decir, el 21 de junio de 2026. </w:t>
      </w:r>
    </w:p>
    <w:p w14:paraId="6134AF5D" w14:textId="77777777" w:rsidR="00385A72" w:rsidRPr="00385A72" w:rsidRDefault="00385A72" w:rsidP="00385A72">
      <w:pPr>
        <w:spacing w:after="120" w:line="276" w:lineRule="auto"/>
        <w:ind w:firstLine="708"/>
        <w:jc w:val="both"/>
        <w:rPr>
          <w:rFonts w:ascii="Verdana" w:eastAsia="Times New Roman" w:hAnsi="Verdana" w:cs="Arial"/>
          <w:lang w:eastAsia="es-CO"/>
        </w:rPr>
      </w:pPr>
      <w:r w:rsidRPr="00385A72">
        <w:rPr>
          <w:rFonts w:ascii="Verdana" w:eastAsia="Times New Roman" w:hAnsi="Verdana" w:cs="Arial"/>
          <w:lang w:eastAsia="es-CO"/>
        </w:rPr>
        <w:t xml:space="preserve"> No obstante, es importante mencionar que aún se encuentra por definir la demanda </w:t>
      </w:r>
      <w:r w:rsidRPr="00385A72">
        <w:rPr>
          <w:rFonts w:ascii="Verdana" w:eastAsia="Calibri" w:hAnsi="Verdana" w:cs="Arial"/>
          <w:lang w:val="es-ES" w:eastAsia="es-ES"/>
        </w:rPr>
        <w:t xml:space="preserve">de nulidad simple, identificada con el Radicado número 11001-03-26-000-2025-00016-00, en la cual se cuestiona </w:t>
      </w:r>
      <w:r w:rsidRPr="00385A72">
        <w:rPr>
          <w:rFonts w:ascii="Verdana" w:eastAsia="Calibri" w:hAnsi="Verdana" w:cs="Arial"/>
          <w:lang w:eastAsia="es-ES"/>
        </w:rPr>
        <w:t>parcialmente el numeral 16.2 de la Circular Externa Única CCE-EICP-MA-06, Versión 03 del 27 de diciembre de 2023.</w:t>
      </w:r>
      <w:r w:rsidRPr="00385A72">
        <w:rPr>
          <w:rFonts w:ascii="Verdana" w:eastAsia="Calibri" w:hAnsi="Verdana" w:cs="Arial"/>
          <w:lang w:val="es-ES" w:eastAsia="es-ES"/>
        </w:rPr>
        <w:t xml:space="preserve"> </w:t>
      </w:r>
      <w:r w:rsidRPr="00385A72">
        <w:rPr>
          <w:rFonts w:ascii="Verdana" w:eastAsia="Arial" w:hAnsi="Verdana" w:cs="Arial"/>
          <w:bCs/>
          <w:color w:val="000000" w:themeColor="text1"/>
        </w:rPr>
        <w:t xml:space="preserve">En todo caso, vale anotar que es responsabilidad del respectivo ente del Estado examinar en cada caso la naturaleza de las actividades que adelanta y justificar si las mismas se enmarcan en alguna de las excepciones, de manera que pueda realizar la contratación directa durante el periodo de la prohibición. Igualmente, le corresponde a cada entidad </w:t>
      </w:r>
      <w:r w:rsidRPr="00385A72">
        <w:rPr>
          <w:rFonts w:ascii="Verdana" w:eastAsia="Arial" w:hAnsi="Verdana" w:cs="Arial"/>
          <w:color w:val="000000" w:themeColor="text1"/>
        </w:rPr>
        <w:t>establecer 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 conforme se explicó.</w:t>
      </w:r>
    </w:p>
    <w:p w14:paraId="3D387B6C" w14:textId="77777777" w:rsidR="00385A72" w:rsidRPr="00385A72" w:rsidRDefault="00385A72" w:rsidP="00385A72">
      <w:pPr>
        <w:spacing w:after="0" w:line="276" w:lineRule="auto"/>
        <w:jc w:val="both"/>
        <w:rPr>
          <w:rFonts w:ascii="Verdana" w:eastAsia="Calibri" w:hAnsi="Verdana" w:cs="Arial"/>
        </w:rPr>
      </w:pPr>
    </w:p>
    <w:p w14:paraId="3AE3A2A5" w14:textId="77777777" w:rsidR="00385A72" w:rsidRPr="00385A72" w:rsidRDefault="00385A72" w:rsidP="00385A72">
      <w:pPr>
        <w:spacing w:after="0" w:line="276" w:lineRule="auto"/>
        <w:jc w:val="both"/>
        <w:rPr>
          <w:rFonts w:ascii="Verdana" w:eastAsia="Arial" w:hAnsi="Verdana" w:cs="Arial"/>
          <w:lang w:val="es-ES_tradnl" w:eastAsia="es-ES_tradnl"/>
        </w:rPr>
      </w:pPr>
      <w:r w:rsidRPr="00385A72">
        <w:rPr>
          <w:rFonts w:ascii="Verdana" w:eastAsia="Calibri" w:hAnsi="Verdana" w:cs="Arial"/>
        </w:rPr>
        <w:t xml:space="preserve">v. </w:t>
      </w:r>
      <w:r w:rsidRPr="00385A72">
        <w:rPr>
          <w:rFonts w:ascii="Verdana" w:eastAsia="Arial" w:hAnsi="Verdana" w:cs="Arial"/>
          <w:lang w:val="es-ES_tradnl" w:eastAsia="es-ES_tradnl"/>
        </w:rPr>
        <w:t>Según el literal i) del numeral 4 del artículo 2º de la Ley 1150 de 2007, las entidades estatales podrán adquirir los bienes inmuebles que requieran para la satisfacción de sus necesidades, mediante la modalidad de contratación directa</w:t>
      </w:r>
      <w:r w:rsidRPr="00385A72">
        <w:rPr>
          <w:rFonts w:ascii="Verdana" w:eastAsia="Calibri" w:hAnsi="Verdana" w:cs="Arial"/>
          <w:vertAlign w:val="superscript"/>
          <w:lang w:val="es-ES_tradnl" w:eastAsia="es-ES_tradnl"/>
        </w:rPr>
        <w:footnoteReference w:id="37"/>
      </w:r>
      <w:r w:rsidRPr="00385A72">
        <w:rPr>
          <w:rFonts w:ascii="Verdana" w:eastAsia="Arial" w:hAnsi="Verdana" w:cs="Arial"/>
          <w:lang w:val="es-ES_tradnl" w:eastAsia="es-ES_tradnl"/>
        </w:rPr>
        <w:t xml:space="preserve">. En efecto, la norma dispone: “4. Contratación directa. La modalidad de selección de contratación directa, solamente procederá en los siguientes </w:t>
      </w:r>
      <w:r w:rsidRPr="00385A72">
        <w:rPr>
          <w:rFonts w:ascii="Verdana" w:eastAsia="Arial" w:hAnsi="Verdana" w:cs="Arial"/>
          <w:lang w:val="es-ES_tradnl" w:eastAsia="es-ES_tradnl"/>
        </w:rPr>
        <w:lastRenderedPageBreak/>
        <w:t>casos: […] i) El arrendamiento o adquisición de inmuebles”. En el mismo sentido, el artículo 2.2.1.2.1.4.10. del Decreto 1082 de 2015 dispone que “Las Entidades Estatales pueden adquirir bienes inmuebles mediante contratación directa […]”.</w:t>
      </w:r>
    </w:p>
    <w:p w14:paraId="49E36790" w14:textId="77777777" w:rsidR="00385A72" w:rsidRPr="00385A72" w:rsidRDefault="00385A72" w:rsidP="00385A72">
      <w:pPr>
        <w:spacing w:before="120" w:after="0" w:line="276" w:lineRule="auto"/>
        <w:ind w:firstLine="720"/>
        <w:jc w:val="both"/>
        <w:rPr>
          <w:rFonts w:ascii="Verdana" w:eastAsia="Arial" w:hAnsi="Verdana" w:cs="Arial"/>
          <w:lang w:val="es-ES" w:eastAsia="es-ES"/>
        </w:rPr>
      </w:pPr>
      <w:r w:rsidRPr="00385A72">
        <w:rPr>
          <w:rFonts w:ascii="Verdana" w:eastAsia="Arial" w:hAnsi="Verdana" w:cs="Arial"/>
          <w:lang w:val="es-ES" w:eastAsia="es-ES"/>
        </w:rPr>
        <w:t>En relación con la contratación directa, hay que señalar que se trata de uno de los procedimientos excepcionales a la licitación pública, pero, aún así, se encuentra sometido a todos los principios que rigen la contratación pública y la función administrativa. Su excepcionalidad obedece a razones como la conveniencia, la necesidad, la competitividad, la reserva y exclusividad de oferentes, que hacen más conveniente la selección directa del contratista, como ocurre en el caso de la adquisición de bienes inmuebles por las entidades estatales. Así lo indicó el Consejo de Estado en la sentencia del 16 de marzo de 2017, en la que expresó:</w:t>
      </w:r>
    </w:p>
    <w:p w14:paraId="3408CE10" w14:textId="77777777" w:rsidR="00385A72" w:rsidRPr="00385A72" w:rsidRDefault="00385A72" w:rsidP="00385A72">
      <w:pPr>
        <w:spacing w:after="0" w:line="276" w:lineRule="auto"/>
        <w:jc w:val="both"/>
        <w:rPr>
          <w:rFonts w:ascii="Verdana" w:eastAsia="Arial" w:hAnsi="Verdana" w:cs="Arial"/>
          <w:lang w:val="es-ES_tradnl" w:eastAsia="es-ES_tradnl"/>
        </w:rPr>
      </w:pPr>
    </w:p>
    <w:p w14:paraId="50D611FB" w14:textId="77777777" w:rsidR="00385A72" w:rsidRPr="00385A72" w:rsidRDefault="00385A72" w:rsidP="00385A72">
      <w:pPr>
        <w:spacing w:after="0" w:line="240" w:lineRule="auto"/>
        <w:ind w:left="709" w:right="709"/>
        <w:jc w:val="both"/>
        <w:rPr>
          <w:rFonts w:ascii="Verdana" w:eastAsia="Calibri" w:hAnsi="Verdana" w:cs="Arial"/>
          <w:sz w:val="20"/>
          <w:lang w:val="es-ES_tradnl" w:eastAsia="es-ES_tradnl"/>
        </w:rPr>
      </w:pPr>
      <w:r w:rsidRPr="00385A72">
        <w:rPr>
          <w:rFonts w:ascii="Verdana" w:eastAsia="Calibri" w:hAnsi="Verdana" w:cs="Arial"/>
          <w:sz w:val="20"/>
          <w:lang w:val="es-ES_tradnl" w:eastAsia="es-ES_tradnl"/>
        </w:rPr>
        <w:t>“[…] Sin duda, las diferentes excepciones a ese mecanismo general se fundan en razones de conveniencia, necesidad, competitividad, reserva, exclusividad de oferentes, entre otras, por virtud de las cuales no es posible que la administración pública escoja siempre a sus contratistas mediante un proceso de selección abierto y público. Es representativo de estos eventos el de la compra o arrendamiento de inmuebles por parte de las diferentes entidades, bajo el entendido de que cuando se procede a ello, la administración busca satisfacer una necesidad específica en la que pasan a segundo plano las condiciones objetivas del oferente, para dar paso a la búsqueda de la satisfacción de un requerimiento particular, al tiempo que la eventual propuesta, físicamente verificable, no es otra que el inmueble ofrecido y su aceptación está limitada sin duda por factores presupuestales con fundamento en los cuales es necesario que la administración pueda decidir de manera autónoma ”</w:t>
      </w:r>
      <w:r w:rsidRPr="00385A72">
        <w:rPr>
          <w:rFonts w:ascii="Verdana" w:eastAsia="Calibri" w:hAnsi="Verdana" w:cs="Arial"/>
          <w:sz w:val="20"/>
          <w:vertAlign w:val="superscript"/>
          <w:lang w:val="es-ES_tradnl" w:eastAsia="es-ES_tradnl"/>
        </w:rPr>
        <w:footnoteReference w:id="38"/>
      </w:r>
    </w:p>
    <w:p w14:paraId="3F7C9FAD" w14:textId="77777777" w:rsidR="00385A72" w:rsidRPr="00385A72" w:rsidRDefault="00385A72" w:rsidP="00385A72">
      <w:pPr>
        <w:spacing w:after="0" w:line="240" w:lineRule="auto"/>
        <w:ind w:left="709" w:right="709"/>
        <w:jc w:val="both"/>
        <w:rPr>
          <w:rFonts w:ascii="Verdana" w:eastAsia="Calibri" w:hAnsi="Verdana" w:cs="Arial"/>
          <w:lang w:val="es-ES_tradnl" w:eastAsia="es-ES_tradnl"/>
        </w:rPr>
      </w:pPr>
    </w:p>
    <w:p w14:paraId="2B06935B" w14:textId="77777777" w:rsidR="00385A72" w:rsidRPr="00385A72" w:rsidRDefault="00385A72" w:rsidP="00385A72">
      <w:pPr>
        <w:spacing w:after="120" w:line="276" w:lineRule="auto"/>
        <w:ind w:firstLine="720"/>
        <w:jc w:val="both"/>
        <w:rPr>
          <w:rFonts w:ascii="Verdana" w:eastAsia="Times New Roman" w:hAnsi="Verdana" w:cs="Arial"/>
          <w:color w:val="000000"/>
          <w:lang w:val="es-ES" w:eastAsia="es-ES"/>
        </w:rPr>
      </w:pPr>
      <w:r w:rsidRPr="00385A72">
        <w:rPr>
          <w:rFonts w:ascii="Verdana" w:eastAsia="Arial" w:hAnsi="Verdana" w:cs="Arial"/>
          <w:lang w:val="es-ES" w:eastAsia="es-ES"/>
        </w:rPr>
        <w:t xml:space="preserve">Las reglas para la adquisición de inmuebles están enmarcadas dentro de la modalidad de selección de contratación directa, las cuales están definidas, precisamente, en el artículo 2.2.1.2.1.4.10 del Decreto 1082 de 2015.  </w:t>
      </w:r>
      <w:r w:rsidRPr="00385A72">
        <w:rPr>
          <w:rFonts w:ascii="Verdana" w:eastAsia="Times New Roman" w:hAnsi="Verdana" w:cs="Arial"/>
          <w:color w:val="000000"/>
          <w:lang w:val="es-ES" w:eastAsia="es-ES"/>
        </w:rPr>
        <w:t xml:space="preserve">Este artículo establece los estudios específicos que las entidades estatales deben realizar antes de la suscripción del contrato. Dichos estudios son los siguientes: i) avalúo con una institución especializada de los bienes inmuebles identificados que satisfagan las necesidades de las entidades estatales; y ii) el </w:t>
      </w:r>
      <w:r w:rsidRPr="00385A72">
        <w:rPr>
          <w:rFonts w:ascii="Verdana" w:eastAsia="Times New Roman" w:hAnsi="Verdana" w:cs="Arial"/>
          <w:i/>
          <w:iCs/>
          <w:color w:val="000000"/>
          <w:lang w:val="es-ES" w:eastAsia="es-ES"/>
        </w:rPr>
        <w:t>análisis</w:t>
      </w:r>
      <w:r w:rsidRPr="00385A72">
        <w:rPr>
          <w:rFonts w:ascii="Verdana" w:eastAsia="Times New Roman" w:hAnsi="Verdana" w:cs="Arial"/>
          <w:color w:val="000000"/>
          <w:lang w:val="es-ES" w:eastAsia="es-ES"/>
        </w:rPr>
        <w:t xml:space="preserve"> y </w:t>
      </w:r>
      <w:r w:rsidRPr="00385A72">
        <w:rPr>
          <w:rFonts w:ascii="Verdana" w:eastAsia="Times New Roman" w:hAnsi="Verdana" w:cs="Arial"/>
          <w:i/>
          <w:iCs/>
          <w:color w:val="000000"/>
          <w:lang w:val="es-ES" w:eastAsia="es-ES"/>
        </w:rPr>
        <w:t>comparación</w:t>
      </w:r>
      <w:r w:rsidRPr="00385A72">
        <w:rPr>
          <w:rFonts w:ascii="Verdana" w:eastAsia="Times New Roman" w:hAnsi="Verdana" w:cs="Arial"/>
          <w:color w:val="000000"/>
          <w:lang w:val="es-ES" w:eastAsia="es-ES"/>
        </w:rPr>
        <w:t xml:space="preserve"> de las condiciones de los inmuebles y las opciones de adquisición; </w:t>
      </w:r>
      <w:r w:rsidRPr="00385A72">
        <w:rPr>
          <w:rFonts w:ascii="Verdana" w:eastAsia="Times New Roman" w:hAnsi="Verdana" w:cs="Arial"/>
          <w:color w:val="000000"/>
          <w:lang w:val="es-ES" w:eastAsia="es-ES"/>
        </w:rPr>
        <w:lastRenderedPageBreak/>
        <w:t xml:space="preserve">iii) la entidad puede formar parte de un proyecto inmobiliarios para la adquisición de un bien inmueble que satisfaga </w:t>
      </w:r>
      <w:r w:rsidRPr="00385A72">
        <w:rPr>
          <w:rFonts w:ascii="Verdana" w:eastAsia="Calibri" w:hAnsi="Verdana" w:cs="Arial"/>
          <w:vertAlign w:val="superscript"/>
          <w:lang w:val="es-ES" w:eastAsia="es-ES"/>
        </w:rPr>
        <w:footnoteReference w:id="39"/>
      </w:r>
    </w:p>
    <w:p w14:paraId="364FC5ED" w14:textId="77777777" w:rsidR="00385A72" w:rsidRPr="00385A72" w:rsidRDefault="00385A72" w:rsidP="00385A72">
      <w:pPr>
        <w:spacing w:before="120" w:after="120" w:line="276" w:lineRule="auto"/>
        <w:ind w:firstLine="708"/>
        <w:jc w:val="both"/>
        <w:rPr>
          <w:rFonts w:ascii="Verdana" w:eastAsia="Times New Roman" w:hAnsi="Verdana" w:cs="Arial"/>
          <w:color w:val="000000"/>
          <w:bdr w:val="none" w:sz="0" w:space="0" w:color="auto" w:frame="1"/>
          <w:lang w:val="es-ES_tradnl" w:eastAsia="es-CO"/>
        </w:rPr>
      </w:pPr>
      <w:r w:rsidRPr="00385A72">
        <w:rPr>
          <w:rFonts w:ascii="Verdana" w:eastAsia="Times New Roman" w:hAnsi="Verdana" w:cs="Arial"/>
          <w:color w:val="000000"/>
          <w:bdr w:val="none" w:sz="0" w:space="0" w:color="auto" w:frame="1"/>
          <w:lang w:val="es-ES_tradnl" w:eastAsia="es-CO"/>
        </w:rPr>
        <w:t>En concordancia con lo anterior, el Decreto 1082 de 2015, en su artículo 2.2.1.2.1.4.1</w:t>
      </w:r>
      <w:r w:rsidRPr="00385A72">
        <w:rPr>
          <w:rFonts w:ascii="Verdana" w:eastAsia="Times New Roman" w:hAnsi="Verdana" w:cs="Arial"/>
          <w:vertAlign w:val="superscript"/>
          <w:lang w:val="es-ES_tradnl" w:eastAsia="es-CO"/>
        </w:rPr>
        <w:footnoteReference w:id="40"/>
      </w:r>
      <w:r w:rsidRPr="00385A72">
        <w:rPr>
          <w:rFonts w:ascii="Verdana" w:eastAsia="Times New Roman" w:hAnsi="Verdana" w:cs="Arial"/>
          <w:color w:val="000000"/>
          <w:bdr w:val="none" w:sz="0" w:space="0" w:color="auto" w:frame="1"/>
          <w:lang w:val="es-ES_tradnl" w:eastAsia="es-CO"/>
        </w:rPr>
        <w:t xml:space="preserve">, establece que la entidad estatal deberá justificar la causal de contratación directa mediante la expedición de un acto administrativo. Por estas razones cobra importancia la referencia al principio de planeación en la contratación estatal, ya que el desarrollo que realizó el decreto reglamentario de la causal contenida en el literal i) del numeral 4 del artículo 2 de la Ley 1150 de 2007, prevé la obligación de la entidad contratante de sustentar, con base en los estudios previos realizados, la adquisición de bienes inmuebles. </w:t>
      </w:r>
    </w:p>
    <w:p w14:paraId="2D68F3F5" w14:textId="77777777" w:rsidR="00385A72" w:rsidRPr="00385A72" w:rsidRDefault="00385A72" w:rsidP="00385A72">
      <w:pPr>
        <w:spacing w:before="120" w:after="120" w:line="276" w:lineRule="auto"/>
        <w:ind w:firstLine="709"/>
        <w:jc w:val="both"/>
        <w:rPr>
          <w:rFonts w:ascii="Verdana" w:eastAsia="Cambria" w:hAnsi="Verdana" w:cs="Arial"/>
          <w:lang w:val="es-ES_tradnl" w:eastAsia="es-CO"/>
        </w:rPr>
      </w:pPr>
      <w:r w:rsidRPr="00385A72">
        <w:rPr>
          <w:rFonts w:ascii="Verdana" w:eastAsia="Calibri" w:hAnsi="Verdana" w:cs="Arial"/>
          <w:bCs/>
          <w:lang w:val="es-ES_tradnl" w:eastAsia="es-ES_tradnl"/>
        </w:rPr>
        <w:t xml:space="preserve">La planeación contractual es una herramienta de gerencia pública, que exige estructurar el proceso contractual dedicando tiempo y esfuerzos para elaborar estudios previos, los cuales deberán ser adecuados a su alcance y complejidad.  Lo anterior, con la finalidad de determinar la necesidad que pretende satisfacer la entidad estatal, consultando el tipo de bienes y servicios que ofrece el mercado y sus características, especificaciones, precios, costos, riesgos, garantías, disponibilidad, oferentes, entre otros factores. Así, una debida planeación debe conducir a una escogencia diligente de la mejor oferta, </w:t>
      </w:r>
      <w:r w:rsidRPr="00385A72">
        <w:rPr>
          <w:rFonts w:ascii="Verdana" w:eastAsia="Calibri" w:hAnsi="Verdana" w:cs="Arial"/>
          <w:bCs/>
          <w:lang w:val="es-ES_tradnl" w:eastAsia="es-ES_tradnl"/>
        </w:rPr>
        <w:lastRenderedPageBreak/>
        <w:t>para beneficiar los intereses y fines públicos inmersos en la contratación de las entidades estatales, buscando siempre la correcta ejecución del contrato</w:t>
      </w:r>
      <w:r w:rsidRPr="00385A72">
        <w:rPr>
          <w:rFonts w:ascii="Verdana" w:eastAsia="Calibri" w:hAnsi="Verdana" w:cs="Arial"/>
          <w:vertAlign w:val="superscript"/>
          <w:lang w:val="es-ES_tradnl" w:eastAsia="es-ES_tradnl"/>
        </w:rPr>
        <w:footnoteReference w:id="41"/>
      </w:r>
      <w:r w:rsidRPr="00385A72">
        <w:rPr>
          <w:rFonts w:ascii="Verdana" w:eastAsia="Calibri" w:hAnsi="Verdana" w:cs="Arial"/>
          <w:bCs/>
          <w:lang w:val="es-ES_tradnl" w:eastAsia="es-ES_tradnl"/>
        </w:rPr>
        <w:t>.</w:t>
      </w:r>
      <w:r w:rsidRPr="00385A72">
        <w:rPr>
          <w:rFonts w:ascii="Verdana" w:eastAsia="Cambria" w:hAnsi="Verdana" w:cs="Arial"/>
          <w:lang w:val="es-ES_tradnl" w:eastAsia="es-CO"/>
        </w:rPr>
        <w:t xml:space="preserve"> </w:t>
      </w:r>
    </w:p>
    <w:p w14:paraId="2E63D632" w14:textId="77777777" w:rsidR="00385A72" w:rsidRPr="00385A72" w:rsidRDefault="00385A72" w:rsidP="00385A72">
      <w:pPr>
        <w:spacing w:before="120" w:after="120" w:line="276" w:lineRule="auto"/>
        <w:ind w:firstLine="708"/>
        <w:jc w:val="both"/>
        <w:rPr>
          <w:rFonts w:ascii="Verdana" w:eastAsia="Calibri" w:hAnsi="Verdana" w:cs="Arial"/>
          <w:bCs/>
          <w:lang w:val="es-ES_tradnl" w:eastAsia="es-ES_tradnl"/>
        </w:rPr>
      </w:pPr>
      <w:r w:rsidRPr="00385A72">
        <w:rPr>
          <w:rFonts w:ascii="Verdana" w:eastAsia="Calibri" w:hAnsi="Verdana" w:cs="Arial"/>
          <w:bCs/>
          <w:lang w:val="es-ES_tradnl" w:eastAsia="es-ES_tradnl"/>
        </w:rPr>
        <w:t>En armonía con lo ya expresado, el proceso de adquisición de inmuebles demanda de las entidades estatales el deber de planeación en la etapa precontractual. Esto con la finalidad de que el proceso de contratación satisfaga las necesidades de la Administración, que esta cumpla sus fines, y logre la continua y eficiente prestación de los servicios públicos</w:t>
      </w:r>
      <w:r w:rsidRPr="00385A72">
        <w:rPr>
          <w:rFonts w:ascii="Verdana" w:eastAsia="Calibri" w:hAnsi="Verdana" w:cs="Arial"/>
          <w:vertAlign w:val="superscript"/>
          <w:lang w:val="es-ES_tradnl" w:eastAsia="es-ES_tradnl"/>
        </w:rPr>
        <w:footnoteReference w:id="42"/>
      </w:r>
      <w:r w:rsidRPr="00385A72">
        <w:rPr>
          <w:rFonts w:ascii="Verdana" w:eastAsia="Calibri" w:hAnsi="Verdana" w:cs="Arial"/>
          <w:bCs/>
          <w:lang w:val="es-ES_tradnl" w:eastAsia="es-ES_tradnl"/>
        </w:rPr>
        <w:t xml:space="preserve">. Para cumplir este objetivo son necesarios los estudios señalados en el artículo </w:t>
      </w:r>
      <w:r w:rsidRPr="00385A72">
        <w:rPr>
          <w:rFonts w:ascii="Verdana" w:eastAsia="Arial" w:hAnsi="Verdana" w:cs="Arial"/>
          <w:lang w:val="es-ES_tradnl" w:eastAsia="es-ES_tradnl"/>
        </w:rPr>
        <w:t xml:space="preserve">2.2.1.2.1.4.10 del Decreto 1082 de 2015 </w:t>
      </w:r>
      <w:r w:rsidRPr="00385A72">
        <w:rPr>
          <w:rFonts w:ascii="Verdana" w:eastAsia="Calibri" w:hAnsi="Verdana" w:cs="Arial"/>
          <w:bCs/>
          <w:lang w:val="es-ES_tradnl" w:eastAsia="es-ES_tradnl"/>
        </w:rPr>
        <w:t>y el análisis del sector económico y de los oferentes, actividad de planeación previa que sirve para identificar aspectos concretos del mercado y</w:t>
      </w:r>
      <w:r w:rsidRPr="00385A72">
        <w:rPr>
          <w:rFonts w:ascii="Verdana" w:eastAsia="Calibri" w:hAnsi="Verdana" w:cs="Arial"/>
          <w:color w:val="000000"/>
          <w:bdr w:val="none" w:sz="0" w:space="0" w:color="auto" w:frame="1"/>
          <w:lang w:val="es-ES_tradnl" w:eastAsia="es-ES_tradnl"/>
        </w:rPr>
        <w:t xml:space="preserve"> seleccionar la mejor opción para cumplir con la necesidad de la entidad pública.</w:t>
      </w:r>
    </w:p>
    <w:p w14:paraId="471D0DFC" w14:textId="77777777" w:rsidR="00385A72" w:rsidRPr="00385A72" w:rsidRDefault="00385A72" w:rsidP="00385A72">
      <w:pPr>
        <w:spacing w:after="120" w:line="276" w:lineRule="auto"/>
        <w:ind w:firstLine="708"/>
        <w:jc w:val="both"/>
        <w:rPr>
          <w:rFonts w:ascii="Verdana" w:eastAsia="Calibri" w:hAnsi="Verdana" w:cs="Arial"/>
          <w:color w:val="000000"/>
          <w:bdr w:val="none" w:sz="0" w:space="0" w:color="auto" w:frame="1"/>
          <w:lang w:val="es-MX" w:eastAsia="es-ES_tradnl"/>
        </w:rPr>
      </w:pPr>
      <w:r w:rsidRPr="00385A72">
        <w:rPr>
          <w:rFonts w:ascii="Verdana" w:eastAsia="Times New Roman" w:hAnsi="Verdana" w:cs="Arial"/>
          <w:lang w:val="es-ES" w:eastAsia="es-ES_tradnl"/>
        </w:rPr>
        <w:t xml:space="preserve">En virtud de lo expuesto, la adquisición de bienes inmuebles –predios- trata de un causal de la contratación directa regulada en </w:t>
      </w:r>
      <w:r w:rsidRPr="00385A72">
        <w:rPr>
          <w:rFonts w:ascii="Verdana" w:eastAsia="Times New Roman" w:hAnsi="Verdana" w:cs="Arial"/>
          <w:lang w:val="es-ES_tradnl" w:eastAsia="es-ES_tradnl"/>
        </w:rPr>
        <w:t>el literal i) del numeral 4 del artículo 2º de la Ley 1150 de 2007</w:t>
      </w:r>
      <w:r w:rsidRPr="00385A72">
        <w:rPr>
          <w:rFonts w:ascii="Verdana" w:eastAsia="Times New Roman" w:hAnsi="Verdana" w:cs="Arial"/>
          <w:lang w:val="es-ES" w:eastAsia="es-ES_tradnl"/>
        </w:rPr>
        <w:t xml:space="preserve">, esto es, un procedimiento de </w:t>
      </w:r>
      <w:r w:rsidRPr="00385A72">
        <w:rPr>
          <w:rFonts w:ascii="Verdana" w:eastAsia="Times New Roman" w:hAnsi="Verdana" w:cs="Arial"/>
          <w:lang w:val="es-ES" w:eastAsia="es-ES_tradnl"/>
        </w:rPr>
        <w:lastRenderedPageBreak/>
        <w:t>contratación estatal no competitivo que está restringido por la prohibición establecida en el artículo 33 de la Ley 996 de 2005 que aplica a todas las entidades del Estado</w:t>
      </w:r>
      <w:r w:rsidRPr="00385A72">
        <w:rPr>
          <w:rFonts w:ascii="Verdana" w:eastAsia="Times New Roman" w:hAnsi="Verdana" w:cs="Arial"/>
          <w:bCs/>
          <w:lang w:val="es-MX" w:eastAsia="x-none"/>
        </w:rPr>
        <w:t xml:space="preserve"> </w:t>
      </w:r>
      <w:r w:rsidRPr="00385A72">
        <w:rPr>
          <w:rFonts w:ascii="Verdana" w:eastAsia="Times New Roman" w:hAnsi="Verdana" w:cs="Arial"/>
          <w:bCs/>
          <w:lang w:val="es-MX" w:eastAsia="es-ES_tradnl"/>
        </w:rPr>
        <w:t>dentro de los cuatro (4) meses anteriores a la celebración de los comicios presidenciales</w:t>
      </w:r>
      <w:r w:rsidRPr="00385A72">
        <w:rPr>
          <w:rFonts w:ascii="Verdana" w:eastAsia="Times New Roman" w:hAnsi="Verdana" w:cs="Arial"/>
          <w:lang w:val="es-ES" w:eastAsia="es-ES_tradnl"/>
        </w:rPr>
        <w:t xml:space="preserve">. </w:t>
      </w:r>
      <w:r w:rsidRPr="00385A72">
        <w:rPr>
          <w:rFonts w:ascii="Verdana" w:eastAsia="Times New Roman" w:hAnsi="Verdana" w:cs="Arial"/>
          <w:bCs/>
          <w:lang w:val="es-MX" w:eastAsia="x-none"/>
        </w:rPr>
        <w:t>En tal sentido, se reitera que la restricción del artículo 33 de la Ley 996 de 2005 aplica frente a la contratación directa, entendida como cualquier sistema de selección o procedimiento de contratación utilizada por las entidades estatales que no incluya la convocatoria pública en alguna de sus etapas, ni permita la participación de una pluralidad de oferentes, ya sea en aplicación de normas del Estatuto General de Contratación de la Administración Pública, así como de regímenes especiales.</w:t>
      </w:r>
    </w:p>
    <w:bookmarkEnd w:id="11"/>
    <w:bookmarkEnd w:id="12"/>
    <w:p w14:paraId="40AE63E0" w14:textId="77777777" w:rsidR="00385A72" w:rsidRPr="00385A72" w:rsidRDefault="00385A72" w:rsidP="00385A72">
      <w:pPr>
        <w:spacing w:after="120" w:line="276" w:lineRule="auto"/>
        <w:ind w:firstLine="709"/>
        <w:jc w:val="both"/>
        <w:rPr>
          <w:rFonts w:ascii="Verdana" w:eastAsia="Times New Roman" w:hAnsi="Verdana" w:cs="Arial"/>
          <w:bCs/>
          <w:lang w:val="es-MX" w:eastAsia="x-none"/>
        </w:rPr>
      </w:pPr>
      <w:r w:rsidRPr="00385A72">
        <w:rPr>
          <w:rFonts w:ascii="Verdana" w:eastAsia="Times New Roman" w:hAnsi="Verdana" w:cs="Arial"/>
          <w:bCs/>
          <w:lang w:val="es-MX" w:eastAsia="x-none"/>
        </w:rPr>
        <w:t>Esto, sin perjuicio de las excepciones a la prohibición establecidas en el inciso segundo del mismo artículo 33, como son: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7D3A4E5B" w14:textId="77777777" w:rsidR="00385A72" w:rsidRPr="00385A72" w:rsidRDefault="00385A72" w:rsidP="00385A72">
      <w:pPr>
        <w:spacing w:after="120" w:line="276" w:lineRule="auto"/>
        <w:ind w:firstLine="708"/>
        <w:jc w:val="both"/>
        <w:rPr>
          <w:rFonts w:ascii="Verdana" w:eastAsia="Times New Roman" w:hAnsi="Verdana" w:cs="Arial"/>
          <w:lang w:eastAsia="es-CO"/>
        </w:rPr>
      </w:pPr>
      <w:r w:rsidRPr="00385A72">
        <w:rPr>
          <w:rFonts w:ascii="Verdana" w:eastAsia="Arial" w:hAnsi="Verdana" w:cs="Arial"/>
          <w:lang w:val="es-ES" w:eastAsia="es-ES" w:bidi="es-ES"/>
        </w:rPr>
        <w:t xml:space="preserve">Por otro lado, la prohibición impuesta por el inciso primero del parágrafo del artículo 38 a los gobernadores, alcaldes municipales y/o distritales, secretarios, gerentes y directores de entidades descentralizadas del orden municipal, departamental o distrital,  debe aplicarse respecto de cualquier tipo de contienda electoral, y prohíbe la celebración de convenios interadministrativos que impliquen la ejecución de recursos públicos dentro de los cuatro (4) meses anteriores a la respectiva jornada de votaciones. En este aspecto, se señala que esta restricción no aplica en contratos interadministrativos, teniendo en cuenta </w:t>
      </w:r>
      <w:r w:rsidRPr="00385A72">
        <w:rPr>
          <w:rFonts w:ascii="Verdana" w:eastAsia="Times New Roman" w:hAnsi="Verdana" w:cs="Arial"/>
          <w:lang w:eastAsia="es-CO"/>
        </w:rPr>
        <w:t xml:space="preserve">lo expuesto en la sentencia expedida por la Sección Tercera de la Sala de lo Contencioso Administrativo del 17 de octubre de 2025, en los autos del 4 de octubre de 2024 y 6 de noviembre de 2025, puesto que esta prohibición solo aplicaría a los convenios interadministrativos que impliquen la ejecución de recursos públicos. </w:t>
      </w:r>
    </w:p>
    <w:p w14:paraId="40DCEBED" w14:textId="77777777" w:rsidR="00385A72" w:rsidRPr="00385A72" w:rsidRDefault="00385A72" w:rsidP="00385A72">
      <w:pPr>
        <w:spacing w:after="120" w:line="276" w:lineRule="auto"/>
        <w:ind w:firstLine="708"/>
        <w:jc w:val="both"/>
        <w:rPr>
          <w:rFonts w:ascii="Verdana" w:eastAsia="Calibri" w:hAnsi="Verdana" w:cs="Arial"/>
          <w:bCs/>
          <w:lang w:val="es-ES_tradnl"/>
        </w:rPr>
      </w:pPr>
      <w:r w:rsidRPr="00385A72">
        <w:rPr>
          <w:rFonts w:ascii="Verdana" w:eastAsia="Calibri" w:hAnsi="Verdana" w:cs="Arial"/>
          <w:lang w:val="es-ES_tradnl"/>
        </w:rPr>
        <w:lastRenderedPageBreak/>
        <w:t xml:space="preserve">Es dable concluir que, la adquisición de bienes inmuebles, </w:t>
      </w:r>
      <w:r w:rsidRPr="00385A72">
        <w:rPr>
          <w:rFonts w:ascii="Verdana" w:eastAsia="Calibri" w:hAnsi="Verdana" w:cs="Arial"/>
          <w:i/>
          <w:iCs/>
          <w:lang w:val="es-ES_tradnl"/>
        </w:rPr>
        <w:t>per se,</w:t>
      </w:r>
      <w:r w:rsidRPr="00385A72">
        <w:rPr>
          <w:rFonts w:ascii="Verdana" w:eastAsia="Calibri" w:hAnsi="Verdana" w:cs="Arial"/>
          <w:lang w:val="es-ES_tradnl"/>
        </w:rPr>
        <w:t xml:space="preserve"> no está prohibida por la restricción del parágrafo del artículo 38 de la Ley 996 de 2005, la cual solo es aplicable a convenios interadministrativos.</w:t>
      </w:r>
      <w:r w:rsidRPr="00385A72">
        <w:rPr>
          <w:rFonts w:ascii="Verdana" w:eastAsia="Calibri" w:hAnsi="Verdana" w:cs="Arial"/>
          <w:bCs/>
          <w:lang w:val="es-ES_tradnl"/>
        </w:rPr>
        <w:t xml:space="preserve"> No obstante, respecto de contratos interadministrativos que se celebran de forma directa en el artículo 2, numeral 4, literal c de la Ley 1150 de 2007 estaría sujeta a la restricción del artículo 33 que aplica a toda entidad y a todo procedimiento que no tenga un carácter competitivo. </w:t>
      </w:r>
    </w:p>
    <w:p w14:paraId="7653A81B" w14:textId="77777777" w:rsidR="00385A72" w:rsidRPr="00385A72" w:rsidRDefault="00385A72" w:rsidP="00385A72">
      <w:pPr>
        <w:spacing w:after="120" w:line="276" w:lineRule="auto"/>
        <w:ind w:firstLine="709"/>
        <w:jc w:val="both"/>
        <w:rPr>
          <w:rFonts w:ascii="Verdana" w:eastAsia="Times New Roman" w:hAnsi="Verdana" w:cs="Arial"/>
          <w:bCs/>
          <w:lang w:val="es-MX" w:eastAsia="es-CO"/>
        </w:rPr>
      </w:pPr>
      <w:r w:rsidRPr="00385A72">
        <w:rPr>
          <w:rFonts w:ascii="Verdana" w:eastAsia="Times New Roman" w:hAnsi="Verdana" w:cs="Arial"/>
          <w:bCs/>
          <w:lang w:val="es-MX" w:eastAsia="x-none"/>
        </w:rPr>
        <w:t>Finalmente, se reitera, c</w:t>
      </w:r>
      <w:r w:rsidRPr="00385A72">
        <w:rPr>
          <w:rFonts w:ascii="Verdana" w:eastAsia="Times New Roman" w:hAnsi="Verdana" w:cs="Arial"/>
          <w:bCs/>
          <w:lang w:val="es-MX" w:eastAsia="es-CO"/>
        </w:rPr>
        <w:t>omo en otras oportunidades lo ha manifestado esta Agencia, que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 Además, también es posible que contratos celebrados previamente se continúen ejecutando con normalidad.</w:t>
      </w:r>
    </w:p>
    <w:p w14:paraId="0264F8D1" w14:textId="77777777" w:rsidR="00385A72" w:rsidRPr="00385A72" w:rsidRDefault="00385A72" w:rsidP="00385A72">
      <w:pPr>
        <w:spacing w:after="120" w:line="276" w:lineRule="auto"/>
        <w:ind w:firstLine="709"/>
        <w:jc w:val="both"/>
        <w:rPr>
          <w:rFonts w:ascii="Verdana" w:eastAsia="Calibri" w:hAnsi="Verdana" w:cs="Arial"/>
          <w:bCs/>
          <w:lang w:val="es-MX"/>
        </w:rPr>
      </w:pPr>
    </w:p>
    <w:p w14:paraId="76AA17B4" w14:textId="77777777" w:rsidR="00385A72" w:rsidRPr="00385A72" w:rsidRDefault="00385A72" w:rsidP="00385A72">
      <w:pPr>
        <w:spacing w:after="120" w:line="276" w:lineRule="auto"/>
        <w:jc w:val="both"/>
        <w:rPr>
          <w:rFonts w:ascii="Verdana" w:eastAsia="Times New Roman" w:hAnsi="Verdana" w:cs="Arial"/>
          <w:iCs/>
          <w:color w:val="000000"/>
          <w:szCs w:val="24"/>
          <w:lang w:eastAsia="es-ES_tradnl"/>
        </w:rPr>
      </w:pPr>
      <w:r w:rsidRPr="00385A72">
        <w:rPr>
          <w:rFonts w:ascii="Verdana" w:eastAsia="Calibri" w:hAnsi="Verdana" w:cs="Arial"/>
          <w:lang w:eastAsia="es-MX"/>
        </w:rPr>
        <w:t xml:space="preserve">vi. </w:t>
      </w:r>
      <w:r w:rsidRPr="00385A72">
        <w:rPr>
          <w:rFonts w:ascii="Verdana" w:hAnsi="Verdana" w:cs="Arial"/>
          <w:lang w:val="es-ES_tradnl" w:eastAsia="es-ES"/>
        </w:rPr>
        <w:t>Al margen de la explicación precedente debe advertirse que el análisis requerido para resolver problemas específicos en torno a las restricciones de ley de garantías 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65C53EB" w14:textId="77777777" w:rsidR="00385A72" w:rsidRPr="00385A72" w:rsidRDefault="00385A72" w:rsidP="00385A72">
      <w:pPr>
        <w:spacing w:after="120" w:line="276" w:lineRule="auto"/>
        <w:ind w:firstLine="708"/>
        <w:jc w:val="both"/>
        <w:rPr>
          <w:rFonts w:ascii="Verdana" w:eastAsia="Calibri" w:hAnsi="Verdana" w:cs="Arial"/>
          <w:lang w:val="es-ES"/>
        </w:rPr>
      </w:pPr>
      <w:r w:rsidRPr="00385A72">
        <w:rPr>
          <w:rFonts w:ascii="Verdana" w:eastAsia="Times New Roman" w:hAnsi="Verdana" w:cs="Arial"/>
          <w:color w:val="000000"/>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p w14:paraId="4F0C5522" w14:textId="77777777" w:rsidR="00385A72" w:rsidRPr="00385A72" w:rsidRDefault="00385A72" w:rsidP="00385A72">
      <w:pPr>
        <w:spacing w:after="0" w:line="276" w:lineRule="auto"/>
        <w:jc w:val="both"/>
        <w:rPr>
          <w:rFonts w:ascii="Verdana" w:eastAsia="Calibri" w:hAnsi="Verdana" w:cs="Arial"/>
          <w:lang w:eastAsia="es-MX"/>
        </w:rPr>
      </w:pPr>
    </w:p>
    <w:p w14:paraId="272ACF72" w14:textId="77777777" w:rsidR="00385A72" w:rsidRPr="00385A72" w:rsidRDefault="00385A72" w:rsidP="00385A72">
      <w:pPr>
        <w:numPr>
          <w:ilvl w:val="0"/>
          <w:numId w:val="19"/>
        </w:numPr>
        <w:tabs>
          <w:tab w:val="left" w:pos="142"/>
          <w:tab w:val="left" w:pos="284"/>
        </w:tabs>
        <w:spacing w:after="0" w:line="276" w:lineRule="auto"/>
        <w:jc w:val="both"/>
        <w:rPr>
          <w:rFonts w:ascii="Verdana" w:eastAsia="Century Gothic" w:hAnsi="Verdana" w:cs="Century Gothic"/>
          <w:b/>
          <w:bCs/>
          <w:lang w:val="es-ES"/>
        </w:rPr>
      </w:pPr>
      <w:r w:rsidRPr="00385A72">
        <w:rPr>
          <w:rFonts w:ascii="Verdana" w:eastAsia="Century Gothic" w:hAnsi="Verdana" w:cs="Century Gothic"/>
          <w:b/>
          <w:bCs/>
          <w:lang w:val="es-ES"/>
        </w:rPr>
        <w:t>Referencias normativas</w:t>
      </w:r>
    </w:p>
    <w:p w14:paraId="306516F1" w14:textId="77777777" w:rsidR="00385A72" w:rsidRPr="00385A72" w:rsidRDefault="00385A72" w:rsidP="00385A72">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85A72" w:rsidRPr="00385A72" w14:paraId="4B11EC38" w14:textId="77777777" w:rsidTr="00171ED7">
        <w:trPr>
          <w:trHeight w:val="856"/>
          <w:jc w:val="center"/>
        </w:trPr>
        <w:tc>
          <w:tcPr>
            <w:tcW w:w="8647" w:type="dxa"/>
          </w:tcPr>
          <w:p w14:paraId="312DDCD1" w14:textId="77777777" w:rsidR="00385A72" w:rsidRPr="00385A72" w:rsidRDefault="00385A72" w:rsidP="00385A72">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385A72">
              <w:rPr>
                <w:rFonts w:ascii="Verdana" w:eastAsia="Arial MT" w:hAnsi="Verdana" w:cs="Arial"/>
                <w:lang w:eastAsia="es-ES" w:bidi="es-ES"/>
              </w:rPr>
              <w:t>Constitución Política: Artículo 127, 190 y 197.</w:t>
            </w:r>
          </w:p>
          <w:p w14:paraId="477CF96B" w14:textId="77777777" w:rsidR="00385A72" w:rsidRPr="00385A72" w:rsidRDefault="00385A72" w:rsidP="00385A72">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385A72">
              <w:rPr>
                <w:rFonts w:ascii="Verdana" w:eastAsia="Arial MT" w:hAnsi="Verdana" w:cs="Arial"/>
                <w:lang w:eastAsia="es-ES" w:bidi="es-ES"/>
              </w:rPr>
              <w:t xml:space="preserve">Código Civil, artículo 1501. </w:t>
            </w:r>
          </w:p>
          <w:p w14:paraId="20796041" w14:textId="77777777" w:rsidR="00385A72" w:rsidRPr="00385A72" w:rsidRDefault="00385A72" w:rsidP="00385A72">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385A72">
              <w:rPr>
                <w:rFonts w:ascii="Verdana" w:eastAsia="Arial MT" w:hAnsi="Verdana" w:cs="Arial"/>
                <w:lang w:eastAsia="es-ES" w:bidi="es-ES"/>
              </w:rPr>
              <w:t>Ley 80 de 1992, artículos 39 y 41</w:t>
            </w:r>
          </w:p>
          <w:p w14:paraId="6B6E640B" w14:textId="77777777" w:rsidR="00385A72" w:rsidRPr="00385A72" w:rsidRDefault="00385A72" w:rsidP="00385A72">
            <w:pPr>
              <w:widowControl w:val="0"/>
              <w:numPr>
                <w:ilvl w:val="0"/>
                <w:numId w:val="17"/>
              </w:numPr>
              <w:autoSpaceDE w:val="0"/>
              <w:autoSpaceDN w:val="0"/>
              <w:spacing w:after="120" w:line="276" w:lineRule="auto"/>
              <w:ind w:left="714" w:hanging="357"/>
              <w:jc w:val="both"/>
              <w:rPr>
                <w:rFonts w:ascii="Verdana" w:eastAsia="Arial MT" w:hAnsi="Verdana" w:cs="Arial"/>
                <w:lang w:val="es-ES" w:eastAsia="es-ES" w:bidi="es-ES"/>
              </w:rPr>
            </w:pPr>
            <w:r w:rsidRPr="00385A72">
              <w:rPr>
                <w:rFonts w:ascii="Verdana" w:eastAsia="Arial MT" w:hAnsi="Verdana" w:cs="Arial"/>
                <w:bCs/>
                <w:lang w:val="es-ES" w:eastAsia="es-ES" w:bidi="es-ES"/>
              </w:rPr>
              <w:t>Ley 996 de 2005: artículos 33 y 38 parágrafo.</w:t>
            </w:r>
          </w:p>
          <w:p w14:paraId="0500F050" w14:textId="77777777" w:rsidR="00385A72" w:rsidRPr="00385A72" w:rsidRDefault="00385A72" w:rsidP="00385A72">
            <w:pPr>
              <w:widowControl w:val="0"/>
              <w:numPr>
                <w:ilvl w:val="0"/>
                <w:numId w:val="17"/>
              </w:numPr>
              <w:autoSpaceDE w:val="0"/>
              <w:autoSpaceDN w:val="0"/>
              <w:spacing w:after="120" w:line="276" w:lineRule="auto"/>
              <w:ind w:left="714" w:hanging="357"/>
              <w:jc w:val="both"/>
              <w:rPr>
                <w:rFonts w:ascii="Verdana" w:eastAsia="Arial MT" w:hAnsi="Verdana" w:cs="Arial"/>
                <w:lang w:val="es-ES" w:eastAsia="es-ES" w:bidi="es-ES"/>
              </w:rPr>
            </w:pPr>
            <w:r w:rsidRPr="00385A72">
              <w:rPr>
                <w:rFonts w:ascii="Verdana" w:eastAsia="Arial MT" w:hAnsi="Verdana" w:cs="Arial"/>
                <w:lang w:eastAsia="es-ES" w:bidi="es-ES"/>
              </w:rPr>
              <w:t xml:space="preserve">Ley 1150 de 2007, artículo 2. </w:t>
            </w:r>
          </w:p>
          <w:p w14:paraId="100FD959" w14:textId="77777777" w:rsidR="00385A72" w:rsidRPr="00385A72" w:rsidRDefault="00385A72" w:rsidP="00385A72">
            <w:pPr>
              <w:widowControl w:val="0"/>
              <w:numPr>
                <w:ilvl w:val="0"/>
                <w:numId w:val="17"/>
              </w:numPr>
              <w:autoSpaceDE w:val="0"/>
              <w:autoSpaceDN w:val="0"/>
              <w:spacing w:after="120" w:line="276" w:lineRule="auto"/>
              <w:jc w:val="both"/>
              <w:rPr>
                <w:rFonts w:ascii="Verdana" w:eastAsia="Calibri" w:hAnsi="Verdana" w:cs="Arial"/>
                <w:lang w:val="pt-BR"/>
              </w:rPr>
            </w:pPr>
            <w:r w:rsidRPr="00385A72">
              <w:rPr>
                <w:rFonts w:ascii="Verdana" w:eastAsia="Calibri" w:hAnsi="Verdana" w:cs="Arial"/>
              </w:rPr>
              <w:t>Decreto 1082 de 2015, a</w:t>
            </w:r>
            <w:r w:rsidRPr="00385A72">
              <w:rPr>
                <w:rFonts w:ascii="Verdana" w:eastAsia="Calibri" w:hAnsi="Verdana" w:cs="Arial"/>
                <w:bCs/>
              </w:rPr>
              <w:t>rtículo 2.2.1.2.1.4.10.</w:t>
            </w:r>
            <w:r w:rsidRPr="00385A72">
              <w:rPr>
                <w:rFonts w:ascii="Verdana" w:eastAsia="Calibri" w:hAnsi="Verdana" w:cs="Arial"/>
                <w:b/>
                <w:bCs/>
              </w:rPr>
              <w:t xml:space="preserve">, </w:t>
            </w:r>
            <w:r w:rsidRPr="00385A72">
              <w:rPr>
                <w:rFonts w:ascii="Verdana" w:eastAsia="Calibri" w:hAnsi="Verdana" w:cs="Arial"/>
                <w:bCs/>
              </w:rPr>
              <w:t>2.2.1.2.1.4.1</w:t>
            </w:r>
            <w:r w:rsidRPr="00385A72">
              <w:rPr>
                <w:rFonts w:ascii="Verdana" w:eastAsia="Calibri" w:hAnsi="Verdana" w:cs="Arial"/>
                <w:b/>
                <w:bCs/>
              </w:rPr>
              <w:t>.</w:t>
            </w:r>
          </w:p>
        </w:tc>
      </w:tr>
    </w:tbl>
    <w:p w14:paraId="09A005BA" w14:textId="77777777" w:rsidR="00385A72" w:rsidRPr="00385A72" w:rsidRDefault="00385A72" w:rsidP="00385A72">
      <w:pPr>
        <w:widowControl w:val="0"/>
        <w:autoSpaceDE w:val="0"/>
        <w:autoSpaceDN w:val="0"/>
        <w:spacing w:after="0" w:line="276" w:lineRule="auto"/>
        <w:jc w:val="both"/>
        <w:rPr>
          <w:rFonts w:ascii="Verdana" w:hAnsi="Verdana" w:cs="Arial"/>
          <w:lang w:val="pt-BR"/>
        </w:rPr>
      </w:pPr>
    </w:p>
    <w:p w14:paraId="5B085AD4" w14:textId="77777777" w:rsidR="00385A72" w:rsidRPr="00385A72" w:rsidRDefault="00385A72" w:rsidP="00385A72">
      <w:pPr>
        <w:numPr>
          <w:ilvl w:val="0"/>
          <w:numId w:val="19"/>
        </w:numPr>
        <w:tabs>
          <w:tab w:val="left" w:pos="142"/>
          <w:tab w:val="left" w:pos="284"/>
        </w:tabs>
        <w:spacing w:after="0" w:line="276" w:lineRule="auto"/>
        <w:jc w:val="both"/>
        <w:rPr>
          <w:rFonts w:ascii="Verdana" w:eastAsia="Century Gothic" w:hAnsi="Verdana" w:cs="Century Gothic"/>
          <w:b/>
          <w:bCs/>
          <w:lang w:val="es-ES"/>
        </w:rPr>
      </w:pPr>
      <w:r w:rsidRPr="00385A72">
        <w:rPr>
          <w:rFonts w:ascii="Verdana" w:eastAsia="Century Gothic" w:hAnsi="Verdana" w:cs="Century Gothic"/>
          <w:b/>
          <w:bCs/>
          <w:lang w:val="es-ES"/>
        </w:rPr>
        <w:t>Doctrina de la Agencia Nacional de Contratación Pública:</w:t>
      </w:r>
    </w:p>
    <w:p w14:paraId="6A9161F0" w14:textId="77777777" w:rsidR="00385A72" w:rsidRPr="00385A72" w:rsidRDefault="00385A72" w:rsidP="00385A72">
      <w:pPr>
        <w:widowControl w:val="0"/>
        <w:autoSpaceDE w:val="0"/>
        <w:autoSpaceDN w:val="0"/>
        <w:spacing w:after="0" w:line="276" w:lineRule="auto"/>
        <w:jc w:val="both"/>
        <w:rPr>
          <w:rFonts w:ascii="Verdana" w:hAnsi="Verdana" w:cs="Arial"/>
        </w:rPr>
      </w:pPr>
    </w:p>
    <w:p w14:paraId="666715BE" w14:textId="77777777" w:rsidR="00385A72" w:rsidRPr="00385A72" w:rsidRDefault="00385A72" w:rsidP="00385A72">
      <w:pPr>
        <w:widowControl w:val="0"/>
        <w:autoSpaceDE w:val="0"/>
        <w:autoSpaceDN w:val="0"/>
        <w:spacing w:after="0" w:line="276" w:lineRule="auto"/>
        <w:jc w:val="both"/>
        <w:rPr>
          <w:rFonts w:ascii="Verdana" w:hAnsi="Verdana" w:cs="Arial"/>
          <w:bCs/>
          <w:shd w:val="clear" w:color="auto" w:fill="FFFFFF"/>
        </w:rPr>
      </w:pPr>
      <w:r w:rsidRPr="00385A72">
        <w:rPr>
          <w:rFonts w:ascii="Verdana" w:hAnsi="Verdana" w:cs="Arial"/>
          <w:shd w:val="clear" w:color="auto" w:fill="FFFFFF"/>
          <w:lang w:val="es-ES"/>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C-1343 del 20 de octubre de 2025, C- 1646 del 17 de diciembre de 2025, entre otros. </w:t>
      </w:r>
      <w:r w:rsidRPr="00385A72">
        <w:rPr>
          <w:rFonts w:ascii="Verdana" w:eastAsia="Calibri" w:hAnsi="Verdana" w:cs="Times New Roman"/>
        </w:rPr>
        <w:t xml:space="preserve">Estos y otros conceptos se encuentran disponibles para consulta en el Sistema de Relatoría de la Agencia, en el cual también podrás encontrar jurisprudencia del Consejo de Estado, laudos arbitrales y la normativa </w:t>
      </w:r>
      <w:r w:rsidRPr="00385A72">
        <w:rPr>
          <w:rFonts w:ascii="Verdana" w:eastAsia="Calibri" w:hAnsi="Verdana" w:cs="Times New Roman"/>
        </w:rPr>
        <w:lastRenderedPageBreak/>
        <w:t>de la contratación concordada con la doctrina de la Subdirección de Gestión Contractual, accede a través del siguiente enlace:</w:t>
      </w:r>
    </w:p>
    <w:p w14:paraId="1BBA06E6" w14:textId="77777777" w:rsidR="00385A72" w:rsidRPr="00385A72" w:rsidRDefault="00803926" w:rsidP="00385A72">
      <w:pPr>
        <w:spacing w:after="0" w:line="256" w:lineRule="auto"/>
        <w:jc w:val="both"/>
        <w:rPr>
          <w:rFonts w:ascii="Verdana" w:eastAsia="Calibri" w:hAnsi="Verdana" w:cs="Times New Roman"/>
        </w:rPr>
      </w:pPr>
      <w:hyperlink r:id="rId13" w:history="1">
        <w:r w:rsidR="00385A72" w:rsidRPr="00385A72">
          <w:rPr>
            <w:rFonts w:ascii="Verdana" w:eastAsia="Calibri" w:hAnsi="Verdana" w:cs="Times New Roman"/>
            <w:color w:val="0000FF"/>
            <w:u w:val="single"/>
            <w:lang w:val="es-ES"/>
          </w:rPr>
          <w:t>https://relatoria.colombiacompra.gov.co/busqueda/conceptos</w:t>
        </w:r>
      </w:hyperlink>
      <w:r w:rsidR="00385A72" w:rsidRPr="00385A72">
        <w:rPr>
          <w:rFonts w:ascii="Verdana" w:eastAsia="Calibri" w:hAnsi="Verdana" w:cs="Times New Roman"/>
        </w:rPr>
        <w:t xml:space="preserve">. </w:t>
      </w:r>
    </w:p>
    <w:p w14:paraId="4AA7561C" w14:textId="77777777" w:rsidR="00385A72" w:rsidRPr="00385A72" w:rsidRDefault="00385A72" w:rsidP="00385A72">
      <w:pPr>
        <w:spacing w:after="0"/>
        <w:jc w:val="both"/>
        <w:rPr>
          <w:rFonts w:ascii="Verdana" w:hAnsi="Verdana"/>
          <w:lang w:val="es-ES"/>
        </w:rPr>
      </w:pPr>
    </w:p>
    <w:p w14:paraId="109F3EA0" w14:textId="77777777" w:rsidR="00385A72" w:rsidRPr="00385A72" w:rsidRDefault="00385A72" w:rsidP="00385A72">
      <w:pPr>
        <w:spacing w:after="0" w:line="256" w:lineRule="auto"/>
        <w:jc w:val="both"/>
        <w:rPr>
          <w:rFonts w:ascii="Verdana" w:eastAsia="Calibri" w:hAnsi="Verdana" w:cs="Times New Roman"/>
        </w:rPr>
      </w:pPr>
      <w:r w:rsidRPr="00385A72">
        <w:rPr>
          <w:rFonts w:ascii="Verdana" w:eastAsia="Calibri" w:hAnsi="Verdana" w:cs="Times New Roman"/>
        </w:rPr>
        <w:t xml:space="preserve">Te informamos que ya se encuentra disponible la </w:t>
      </w:r>
      <w:r w:rsidRPr="00385A72">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385A72">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Guía de lineamientos de transparencia y selección objetiva para el departamento de La Guajira – Objetivo sexto constitucional de la Sentencia T-302 del 2017". </w:t>
      </w:r>
    </w:p>
    <w:p w14:paraId="48323A6B" w14:textId="77777777" w:rsidR="00385A72" w:rsidRPr="00385A72" w:rsidRDefault="00385A72" w:rsidP="00385A72">
      <w:pPr>
        <w:spacing w:after="0"/>
        <w:jc w:val="both"/>
        <w:rPr>
          <w:rFonts w:ascii="Verdana" w:hAnsi="Verdana"/>
        </w:rPr>
      </w:pPr>
    </w:p>
    <w:p w14:paraId="49F800D9" w14:textId="77777777" w:rsidR="00385A72" w:rsidRPr="00385A72" w:rsidRDefault="00385A72" w:rsidP="00385A72">
      <w:pPr>
        <w:spacing w:after="0" w:line="256" w:lineRule="auto"/>
        <w:jc w:val="both"/>
        <w:rPr>
          <w:rFonts w:ascii="Verdana" w:eastAsia="Calibri" w:hAnsi="Verdana" w:cs="Times New Roman"/>
          <w:bCs/>
          <w:lang w:val="es-ES_tradnl"/>
        </w:rPr>
      </w:pPr>
      <w:r w:rsidRPr="00385A72">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A4566D7" w14:textId="77777777" w:rsidR="00385A72" w:rsidRPr="00385A72" w:rsidRDefault="00385A72" w:rsidP="00385A72">
      <w:pPr>
        <w:spacing w:after="0" w:line="256" w:lineRule="auto"/>
        <w:jc w:val="both"/>
        <w:rPr>
          <w:rFonts w:ascii="Verdana" w:eastAsia="Calibri" w:hAnsi="Verdana" w:cs="Times New Roman"/>
        </w:rPr>
      </w:pPr>
    </w:p>
    <w:p w14:paraId="6387100F" w14:textId="77777777" w:rsidR="00385A72" w:rsidRPr="00385A72" w:rsidRDefault="00385A72" w:rsidP="00385A72">
      <w:pPr>
        <w:spacing w:after="0" w:line="256" w:lineRule="auto"/>
        <w:jc w:val="both"/>
        <w:rPr>
          <w:rFonts w:ascii="Verdana" w:eastAsia="Calibri" w:hAnsi="Verdana" w:cs="Times New Roman"/>
        </w:rPr>
      </w:pPr>
      <w:r w:rsidRPr="00385A72">
        <w:rPr>
          <w:rFonts w:ascii="Verdana" w:eastAsia="Calibri" w:hAnsi="Verdana" w:cs="Times New Roman"/>
        </w:rPr>
        <w:t>Atentamente,</w:t>
      </w:r>
    </w:p>
    <w:p w14:paraId="7AC09B0F" w14:textId="2A73481A" w:rsidR="00385A72" w:rsidRPr="00385A72" w:rsidRDefault="00385A72" w:rsidP="0074244D">
      <w:pPr>
        <w:spacing w:after="0" w:line="256" w:lineRule="auto"/>
        <w:rPr>
          <w:noProof/>
          <w:lang w:val="en-US"/>
        </w:rPr>
      </w:pPr>
    </w:p>
    <w:p w14:paraId="4A098057" w14:textId="2DF69047" w:rsidR="00385A72" w:rsidRPr="00385A72" w:rsidRDefault="0074244D" w:rsidP="00385A72">
      <w:pPr>
        <w:spacing w:after="0" w:line="256" w:lineRule="auto"/>
        <w:jc w:val="center"/>
        <w:rPr>
          <w:noProof/>
          <w:lang w:val="en-US"/>
        </w:rPr>
      </w:pPr>
      <w:r w:rsidRPr="00A12CB6">
        <w:rPr>
          <w:rFonts w:ascii="Century Gothic" w:hAnsi="Century Gothic"/>
          <w:noProof/>
          <w:lang w:val="en-US"/>
        </w:rPr>
        <w:drawing>
          <wp:inline distT="0" distB="0" distL="0" distR="0" wp14:anchorId="6709B175" wp14:editId="79E9C226">
            <wp:extent cx="3093771" cy="1290285"/>
            <wp:effectExtent l="0" t="0" r="0" b="5715"/>
            <wp:docPr id="2"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123711" cy="1302772"/>
                    </a:xfrm>
                    <a:prstGeom prst="rect">
                      <a:avLst/>
                    </a:prstGeom>
                  </pic:spPr>
                </pic:pic>
              </a:graphicData>
            </a:graphic>
          </wp:inline>
        </w:drawing>
      </w: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385A72" w:rsidRPr="00385A72" w14:paraId="48E646A2" w14:textId="77777777" w:rsidTr="00171ED7">
        <w:trPr>
          <w:trHeight w:val="409"/>
        </w:trPr>
        <w:tc>
          <w:tcPr>
            <w:tcW w:w="817" w:type="dxa"/>
            <w:tcBorders>
              <w:top w:val="nil"/>
              <w:left w:val="nil"/>
              <w:bottom w:val="nil"/>
              <w:right w:val="nil"/>
            </w:tcBorders>
            <w:vAlign w:val="center"/>
            <w:hideMark/>
          </w:tcPr>
          <w:p w14:paraId="698D670A" w14:textId="77777777" w:rsidR="00385A72" w:rsidRPr="00385A72" w:rsidRDefault="00385A72" w:rsidP="00385A72">
            <w:pPr>
              <w:spacing w:after="0" w:line="256" w:lineRule="auto"/>
              <w:rPr>
                <w:rFonts w:ascii="Verdana" w:eastAsia="Calibri" w:hAnsi="Verdana" w:cs="Times New Roman"/>
                <w:sz w:val="16"/>
                <w:szCs w:val="16"/>
              </w:rPr>
            </w:pPr>
            <w:r w:rsidRPr="00385A72">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70B6D7E0" w14:textId="77777777" w:rsidR="00385A72" w:rsidRPr="00385A72" w:rsidRDefault="00385A72" w:rsidP="00385A72">
            <w:pPr>
              <w:spacing w:after="0" w:line="256" w:lineRule="auto"/>
              <w:rPr>
                <w:rFonts w:ascii="Verdana" w:eastAsia="Calibri" w:hAnsi="Verdana" w:cs="Times New Roman"/>
                <w:sz w:val="16"/>
                <w:szCs w:val="16"/>
              </w:rPr>
            </w:pPr>
            <w:r w:rsidRPr="00385A72">
              <w:rPr>
                <w:rFonts w:ascii="Verdana" w:eastAsia="Calibri" w:hAnsi="Verdana" w:cs="Times New Roman"/>
                <w:sz w:val="16"/>
                <w:szCs w:val="16"/>
              </w:rPr>
              <w:t>José Luis Sánchez Cardona</w:t>
            </w:r>
          </w:p>
          <w:p w14:paraId="3184A622" w14:textId="77777777" w:rsidR="00385A72" w:rsidRPr="00385A72" w:rsidRDefault="00385A72" w:rsidP="00385A72">
            <w:pPr>
              <w:spacing w:after="0" w:line="256" w:lineRule="auto"/>
              <w:rPr>
                <w:rFonts w:ascii="Verdana" w:eastAsia="Calibri" w:hAnsi="Verdana" w:cs="Times New Roman"/>
                <w:sz w:val="16"/>
                <w:szCs w:val="16"/>
              </w:rPr>
            </w:pPr>
            <w:r w:rsidRPr="00385A72">
              <w:rPr>
                <w:rFonts w:ascii="Verdana" w:eastAsia="Calibri" w:hAnsi="Verdana" w:cs="Times New Roman"/>
                <w:sz w:val="16"/>
                <w:szCs w:val="16"/>
              </w:rPr>
              <w:t>Contratista de la Subdirección de Gestión Contractual</w:t>
            </w:r>
          </w:p>
        </w:tc>
      </w:tr>
      <w:tr w:rsidR="00385A72" w:rsidRPr="00385A72" w14:paraId="38CAC796" w14:textId="77777777" w:rsidTr="00171ED7">
        <w:trPr>
          <w:trHeight w:val="409"/>
        </w:trPr>
        <w:tc>
          <w:tcPr>
            <w:tcW w:w="817" w:type="dxa"/>
            <w:tcBorders>
              <w:top w:val="nil"/>
              <w:left w:val="nil"/>
              <w:bottom w:val="nil"/>
              <w:right w:val="nil"/>
            </w:tcBorders>
            <w:vAlign w:val="center"/>
            <w:hideMark/>
          </w:tcPr>
          <w:p w14:paraId="45309E5A" w14:textId="77777777" w:rsidR="00385A72" w:rsidRPr="00385A72" w:rsidRDefault="00385A72" w:rsidP="00385A72">
            <w:pPr>
              <w:spacing w:after="0" w:line="256" w:lineRule="auto"/>
              <w:rPr>
                <w:rFonts w:ascii="Verdana" w:eastAsia="Calibri" w:hAnsi="Verdana" w:cs="Times New Roman"/>
                <w:sz w:val="16"/>
                <w:szCs w:val="16"/>
              </w:rPr>
            </w:pPr>
            <w:r w:rsidRPr="00385A72">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7537B2F1" w14:textId="77777777" w:rsidR="00385A72" w:rsidRPr="00385A72" w:rsidRDefault="00385A72" w:rsidP="00385A72">
            <w:pPr>
              <w:spacing w:after="0" w:line="256" w:lineRule="auto"/>
              <w:rPr>
                <w:rFonts w:ascii="Verdana" w:eastAsia="Calibri" w:hAnsi="Verdana" w:cs="Times New Roman"/>
                <w:sz w:val="16"/>
                <w:szCs w:val="16"/>
              </w:rPr>
            </w:pPr>
            <w:r w:rsidRPr="00385A72">
              <w:rPr>
                <w:rFonts w:ascii="Verdana" w:eastAsia="Calibri" w:hAnsi="Verdana" w:cs="Times New Roman"/>
                <w:sz w:val="16"/>
                <w:szCs w:val="16"/>
              </w:rPr>
              <w:t>Alejandro Sarmiento Cantillo</w:t>
            </w:r>
          </w:p>
          <w:p w14:paraId="74D8B5FE" w14:textId="77777777" w:rsidR="00385A72" w:rsidRPr="00385A72" w:rsidRDefault="00385A72" w:rsidP="00385A72">
            <w:pPr>
              <w:spacing w:after="0" w:line="256" w:lineRule="auto"/>
              <w:rPr>
                <w:rFonts w:ascii="Verdana" w:eastAsia="Calibri" w:hAnsi="Verdana" w:cs="Times New Roman"/>
                <w:sz w:val="16"/>
                <w:szCs w:val="16"/>
              </w:rPr>
            </w:pPr>
            <w:r w:rsidRPr="00385A72">
              <w:rPr>
                <w:rFonts w:ascii="Verdana" w:eastAsia="Calibri" w:hAnsi="Verdana" w:cs="Times New Roman"/>
                <w:sz w:val="16"/>
                <w:szCs w:val="16"/>
              </w:rPr>
              <w:t>Gestor T1-15 de la Subdirección de Gestión Contractual </w:t>
            </w:r>
          </w:p>
        </w:tc>
      </w:tr>
      <w:tr w:rsidR="00385A72" w:rsidRPr="00385A72" w14:paraId="0CCEACE0" w14:textId="77777777" w:rsidTr="00171ED7">
        <w:trPr>
          <w:trHeight w:val="389"/>
        </w:trPr>
        <w:tc>
          <w:tcPr>
            <w:tcW w:w="817" w:type="dxa"/>
            <w:tcBorders>
              <w:top w:val="nil"/>
              <w:left w:val="nil"/>
              <w:bottom w:val="nil"/>
              <w:right w:val="nil"/>
            </w:tcBorders>
            <w:vAlign w:val="center"/>
            <w:hideMark/>
          </w:tcPr>
          <w:p w14:paraId="56579823" w14:textId="77777777" w:rsidR="00385A72" w:rsidRPr="00385A72" w:rsidRDefault="00385A72" w:rsidP="00385A72">
            <w:pPr>
              <w:spacing w:after="0" w:line="256" w:lineRule="auto"/>
              <w:rPr>
                <w:rFonts w:ascii="Verdana" w:eastAsia="Calibri" w:hAnsi="Verdana" w:cs="Times New Roman"/>
                <w:sz w:val="16"/>
                <w:szCs w:val="16"/>
              </w:rPr>
            </w:pPr>
            <w:r w:rsidRPr="00385A72">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79745DF6" w14:textId="77777777" w:rsidR="00385A72" w:rsidRPr="00385A72" w:rsidRDefault="00385A72" w:rsidP="00385A72">
            <w:pPr>
              <w:spacing w:after="0" w:line="256" w:lineRule="auto"/>
              <w:rPr>
                <w:rFonts w:ascii="Verdana" w:eastAsia="Calibri" w:hAnsi="Verdana" w:cs="Times New Roman"/>
                <w:sz w:val="16"/>
                <w:szCs w:val="16"/>
              </w:rPr>
            </w:pPr>
            <w:r w:rsidRPr="00385A72">
              <w:rPr>
                <w:rFonts w:ascii="Verdana" w:eastAsia="Calibri" w:hAnsi="Verdana" w:cs="Times New Roman"/>
                <w:sz w:val="16"/>
                <w:szCs w:val="16"/>
              </w:rPr>
              <w:t>Carolina Quintero Gacharná</w:t>
            </w:r>
          </w:p>
          <w:p w14:paraId="0045B21D" w14:textId="77777777" w:rsidR="00385A72" w:rsidRPr="00385A72" w:rsidRDefault="00385A72" w:rsidP="00385A72">
            <w:pPr>
              <w:spacing w:after="0" w:line="256" w:lineRule="auto"/>
              <w:rPr>
                <w:rFonts w:ascii="Verdana" w:eastAsia="Calibri" w:hAnsi="Verdana" w:cs="Times New Roman"/>
                <w:sz w:val="16"/>
                <w:szCs w:val="16"/>
              </w:rPr>
            </w:pPr>
            <w:r w:rsidRPr="00385A72">
              <w:rPr>
                <w:rFonts w:ascii="Verdana" w:eastAsia="Calibri" w:hAnsi="Verdana" w:cs="Times New Roman"/>
                <w:sz w:val="16"/>
                <w:szCs w:val="16"/>
              </w:rPr>
              <w:t>Subdirectora de Gestión Contractual ANCP – CCE</w:t>
            </w:r>
          </w:p>
        </w:tc>
      </w:tr>
    </w:tbl>
    <w:p w14:paraId="6FCAB28A" w14:textId="77777777" w:rsidR="00385A72" w:rsidRPr="00385A72" w:rsidRDefault="00385A72" w:rsidP="00385A72">
      <w:pPr>
        <w:spacing w:after="0"/>
        <w:rPr>
          <w:rFonts w:ascii="Verdana" w:hAnsi="Verdana"/>
        </w:rPr>
      </w:pPr>
      <w:bookmarkStart w:id="13" w:name="_GoBack"/>
      <w:bookmarkEnd w:id="0"/>
      <w:bookmarkEnd w:id="13"/>
    </w:p>
    <w:sectPr w:rsidR="00385A72" w:rsidRPr="00385A72"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E7B6B9" w14:textId="77777777" w:rsidR="00803926" w:rsidRDefault="00803926" w:rsidP="004A1847">
      <w:pPr>
        <w:spacing w:after="0" w:line="240" w:lineRule="auto"/>
      </w:pPr>
      <w:r>
        <w:separator/>
      </w:r>
    </w:p>
  </w:endnote>
  <w:endnote w:type="continuationSeparator" w:id="0">
    <w:p w14:paraId="03F7C7DC" w14:textId="77777777" w:rsidR="00803926" w:rsidRDefault="00803926" w:rsidP="004A1847">
      <w:pPr>
        <w:spacing w:after="0" w:line="240" w:lineRule="auto"/>
      </w:pPr>
      <w:r>
        <w:continuationSeparator/>
      </w:r>
    </w:p>
  </w:endnote>
  <w:endnote w:type="continuationNotice" w:id="1">
    <w:p w14:paraId="453E07BA" w14:textId="77777777" w:rsidR="00803926" w:rsidRDefault="0080392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altName w:val="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Arial"/>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11A32" w14:textId="6CE791A4" w:rsidR="004A1847" w:rsidRDefault="004A1847">
    <w:pPr>
      <w:pStyle w:val="Piedepgina"/>
    </w:pPr>
  </w:p>
  <w:p w14:paraId="594D6D9F" w14:textId="5E56D8BC"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B35F67" w:rsidRPr="00B35F67">
      <w:rPr>
        <w:rFonts w:ascii="Verdana" w:eastAsiaTheme="minorEastAsia" w:hAnsi="Verdana"/>
        <w:b/>
        <w:bCs/>
        <w:noProof/>
        <w:sz w:val="16"/>
        <w:szCs w:val="16"/>
      </w:rPr>
      <w:t>5</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68A856F" w14:textId="77777777" w:rsidR="00803926" w:rsidRDefault="00803926" w:rsidP="004A1847">
      <w:pPr>
        <w:spacing w:after="0" w:line="240" w:lineRule="auto"/>
      </w:pPr>
      <w:r>
        <w:separator/>
      </w:r>
    </w:p>
  </w:footnote>
  <w:footnote w:type="continuationSeparator" w:id="0">
    <w:p w14:paraId="289A451E" w14:textId="77777777" w:rsidR="00803926" w:rsidRDefault="00803926" w:rsidP="004A1847">
      <w:pPr>
        <w:spacing w:after="0" w:line="240" w:lineRule="auto"/>
      </w:pPr>
      <w:r>
        <w:continuationSeparator/>
      </w:r>
    </w:p>
  </w:footnote>
  <w:footnote w:type="continuationNotice" w:id="1">
    <w:p w14:paraId="44B9C7C8" w14:textId="77777777" w:rsidR="00803926" w:rsidRDefault="00803926">
      <w:pPr>
        <w:spacing w:after="0" w:line="240" w:lineRule="auto"/>
      </w:pPr>
    </w:p>
  </w:footnote>
  <w:footnote w:id="2">
    <w:p w14:paraId="730D3E01" w14:textId="77777777" w:rsidR="00385A72" w:rsidRPr="00B35F67" w:rsidRDefault="00385A72" w:rsidP="00385A72">
      <w:pPr>
        <w:pStyle w:val="Textonotapie"/>
        <w:ind w:firstLine="709"/>
        <w:jc w:val="both"/>
        <w:rPr>
          <w:rFonts w:ascii="Verdana" w:hAnsi="Verdana" w:cs="Arial"/>
          <w:sz w:val="16"/>
          <w:szCs w:val="16"/>
        </w:rPr>
      </w:pPr>
      <w:r w:rsidRPr="00B35F67">
        <w:rPr>
          <w:rStyle w:val="Refdenotaalpie"/>
          <w:rFonts w:ascii="Verdana" w:hAnsi="Verdana" w:cs="Arial"/>
          <w:sz w:val="16"/>
          <w:szCs w:val="16"/>
        </w:rPr>
        <w:footnoteRef/>
      </w:r>
      <w:r w:rsidRPr="00B35F67">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5E10A898" w14:textId="77777777" w:rsidR="00385A72" w:rsidRPr="00B35F67" w:rsidRDefault="00385A72" w:rsidP="00385A72">
      <w:pPr>
        <w:pStyle w:val="Textonotapie"/>
        <w:ind w:firstLine="709"/>
        <w:jc w:val="both"/>
        <w:rPr>
          <w:rFonts w:ascii="Verdana" w:hAnsi="Verdana" w:cs="Arial"/>
          <w:sz w:val="16"/>
          <w:szCs w:val="16"/>
        </w:rPr>
      </w:pPr>
      <w:r w:rsidRPr="00B35F67">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4020AF5A" w14:textId="77777777" w:rsidR="00385A72" w:rsidRPr="00B35F67" w:rsidRDefault="00385A72" w:rsidP="00385A72">
      <w:pPr>
        <w:pStyle w:val="Textonotapie"/>
        <w:ind w:firstLine="709"/>
        <w:jc w:val="both"/>
        <w:rPr>
          <w:rFonts w:ascii="Verdana" w:hAnsi="Verdana" w:cs="Arial"/>
          <w:sz w:val="16"/>
          <w:szCs w:val="16"/>
        </w:rPr>
      </w:pPr>
      <w:r w:rsidRPr="00B35F67">
        <w:rPr>
          <w:rStyle w:val="Refdenotaalpie"/>
          <w:rFonts w:ascii="Verdana" w:hAnsi="Verdana" w:cs="Arial"/>
          <w:sz w:val="16"/>
          <w:szCs w:val="16"/>
        </w:rPr>
        <w:footnoteRef/>
      </w:r>
      <w:r w:rsidRPr="00B35F67">
        <w:rPr>
          <w:rFonts w:ascii="Verdana" w:hAnsi="Verdana" w:cs="Arial"/>
          <w:sz w:val="16"/>
          <w:szCs w:val="16"/>
        </w:rPr>
        <w:t xml:space="preserve"> Gaceta del Congreso de la República No. 71 del 2005.</w:t>
      </w:r>
    </w:p>
  </w:footnote>
  <w:footnote w:id="4">
    <w:p w14:paraId="40F3EB42" w14:textId="77777777" w:rsidR="00385A72" w:rsidRPr="00B35F67" w:rsidRDefault="00385A72" w:rsidP="00385A72">
      <w:pPr>
        <w:pStyle w:val="Textonotapie"/>
        <w:ind w:firstLine="709"/>
        <w:jc w:val="both"/>
        <w:rPr>
          <w:rFonts w:ascii="Verdana" w:hAnsi="Verdana" w:cs="Arial"/>
          <w:sz w:val="16"/>
          <w:szCs w:val="16"/>
          <w:lang w:val="pt-BR"/>
        </w:rPr>
      </w:pPr>
      <w:r w:rsidRPr="00B35F67">
        <w:rPr>
          <w:rStyle w:val="Refdenotaalpie"/>
          <w:rFonts w:ascii="Verdana" w:hAnsi="Verdana" w:cs="Arial"/>
          <w:sz w:val="16"/>
          <w:szCs w:val="16"/>
        </w:rPr>
        <w:footnoteRef/>
      </w:r>
      <w:r w:rsidRPr="00B35F67">
        <w:rPr>
          <w:rFonts w:ascii="Verdana" w:hAnsi="Verdana" w:cs="Arial"/>
          <w:sz w:val="16"/>
          <w:szCs w:val="16"/>
          <w:lang w:val="pt-BR"/>
        </w:rPr>
        <w:t xml:space="preserve"> Corte Constitucional, Sentencia C- 1153 de 2005, M.P. Marco Gerardo Monroy Cabra.</w:t>
      </w:r>
    </w:p>
  </w:footnote>
  <w:footnote w:id="5">
    <w:p w14:paraId="68951B77" w14:textId="77777777" w:rsidR="00385A72" w:rsidRPr="00B35F67" w:rsidRDefault="00385A72" w:rsidP="00385A72">
      <w:pPr>
        <w:pStyle w:val="Textonotapie"/>
        <w:ind w:firstLine="709"/>
        <w:jc w:val="both"/>
        <w:rPr>
          <w:rFonts w:ascii="Verdana" w:hAnsi="Verdana" w:cs="Arial"/>
          <w:sz w:val="16"/>
          <w:szCs w:val="16"/>
          <w:lang w:val="pt-BR"/>
        </w:rPr>
      </w:pPr>
      <w:r w:rsidRPr="00B35F67">
        <w:rPr>
          <w:rStyle w:val="Refdenotaalpie"/>
          <w:rFonts w:ascii="Verdana" w:hAnsi="Verdana" w:cs="Arial"/>
          <w:sz w:val="16"/>
          <w:szCs w:val="16"/>
        </w:rPr>
        <w:footnoteRef/>
      </w:r>
      <w:r w:rsidRPr="00B35F67">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6">
    <w:p w14:paraId="3B4B91ED" w14:textId="77777777" w:rsidR="00385A72" w:rsidRPr="00B35F67" w:rsidRDefault="00385A72" w:rsidP="00385A72">
      <w:pPr>
        <w:pStyle w:val="Textonotapie"/>
        <w:ind w:firstLine="709"/>
        <w:jc w:val="both"/>
        <w:rPr>
          <w:rFonts w:ascii="Verdana" w:hAnsi="Verdana" w:cs="Arial"/>
          <w:sz w:val="16"/>
          <w:szCs w:val="16"/>
          <w:lang w:val="es-CO"/>
        </w:rPr>
      </w:pPr>
      <w:r w:rsidRPr="00B35F67">
        <w:rPr>
          <w:rStyle w:val="Refdenotaalpie"/>
          <w:rFonts w:ascii="Verdana" w:hAnsi="Verdana" w:cs="Arial"/>
          <w:sz w:val="16"/>
          <w:szCs w:val="16"/>
        </w:rPr>
        <w:footnoteRef/>
      </w:r>
      <w:r w:rsidRPr="00B35F67">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5D2A07F0" w14:textId="77777777" w:rsidR="00385A72" w:rsidRPr="00B35F67" w:rsidRDefault="00385A72" w:rsidP="00385A72">
      <w:pPr>
        <w:pStyle w:val="Textonotapie"/>
        <w:ind w:firstLine="709"/>
        <w:jc w:val="both"/>
        <w:rPr>
          <w:rFonts w:ascii="Verdana" w:hAnsi="Verdana" w:cs="Arial"/>
          <w:sz w:val="16"/>
          <w:szCs w:val="16"/>
        </w:rPr>
      </w:pPr>
      <w:r w:rsidRPr="00B35F67">
        <w:rPr>
          <w:rStyle w:val="Refdenotaalpie"/>
          <w:rFonts w:ascii="Verdana" w:hAnsi="Verdana" w:cs="Arial"/>
          <w:sz w:val="16"/>
          <w:szCs w:val="16"/>
        </w:rPr>
        <w:footnoteRef/>
      </w:r>
      <w:r w:rsidRPr="00B35F67">
        <w:rPr>
          <w:rFonts w:ascii="Verdana" w:hAnsi="Verdana" w:cs="Arial"/>
          <w:sz w:val="16"/>
          <w:szCs w:val="16"/>
        </w:rPr>
        <w:t xml:space="preserve"> Consejo de Estado, Sala de Consulta y Servicio Civil de fecha 24 de julio de 2013, radicado 2166, C. P. Álvaro Namén Vargas.  </w:t>
      </w:r>
    </w:p>
  </w:footnote>
  <w:footnote w:id="8">
    <w:p w14:paraId="307F7009" w14:textId="77777777" w:rsidR="00385A72" w:rsidRPr="00B35F67" w:rsidRDefault="00385A72" w:rsidP="00385A72">
      <w:pPr>
        <w:spacing w:after="0" w:line="240" w:lineRule="auto"/>
        <w:ind w:firstLine="709"/>
        <w:jc w:val="both"/>
        <w:rPr>
          <w:rFonts w:ascii="Verdana" w:eastAsia="Times New Roman" w:hAnsi="Verdana" w:cs="Arial"/>
          <w:sz w:val="16"/>
          <w:szCs w:val="16"/>
        </w:rPr>
      </w:pPr>
      <w:r w:rsidRPr="00B35F67">
        <w:rPr>
          <w:rStyle w:val="Refdenotaalpie"/>
          <w:rFonts w:ascii="Verdana" w:hAnsi="Verdana" w:cs="Arial"/>
          <w:sz w:val="16"/>
          <w:szCs w:val="16"/>
        </w:rPr>
        <w:footnoteRef/>
      </w:r>
      <w:r w:rsidRPr="00B35F67">
        <w:rPr>
          <w:rFonts w:ascii="Verdana" w:hAnsi="Verdana" w:cs="Arial"/>
          <w:sz w:val="16"/>
          <w:szCs w:val="16"/>
        </w:rPr>
        <w:t xml:space="preserve"> </w:t>
      </w:r>
      <w:bookmarkStart w:id="5" w:name="33"/>
      <w:r w:rsidRPr="00B35F67">
        <w:rPr>
          <w:rFonts w:ascii="Verdana" w:eastAsia="Calibri" w:hAnsi="Verdana" w:cs="Arial"/>
          <w:color w:val="000000"/>
          <w:sz w:val="16"/>
          <w:szCs w:val="16"/>
        </w:rPr>
        <w:t>“</w:t>
      </w:r>
      <w:r w:rsidRPr="00B35F67">
        <w:rPr>
          <w:rFonts w:ascii="Verdana" w:eastAsia="Times New Roman" w:hAnsi="Verdana" w:cs="Arial"/>
          <w:sz w:val="16"/>
          <w:szCs w:val="16"/>
        </w:rPr>
        <w:t>Artículo 33. Restricciones a la contratación pública.</w:t>
      </w:r>
      <w:bookmarkEnd w:id="5"/>
      <w:r w:rsidRPr="00B35F67">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23F9C7B0" w14:textId="77777777" w:rsidR="00385A72" w:rsidRPr="00B35F67" w:rsidRDefault="00385A72" w:rsidP="00385A72">
      <w:pPr>
        <w:spacing w:after="0" w:line="240" w:lineRule="auto"/>
        <w:ind w:firstLine="709"/>
        <w:jc w:val="both"/>
        <w:rPr>
          <w:rFonts w:ascii="Verdana" w:eastAsia="Times New Roman" w:hAnsi="Verdana" w:cs="Arial"/>
          <w:sz w:val="16"/>
          <w:szCs w:val="16"/>
        </w:rPr>
      </w:pPr>
      <w:r w:rsidRPr="00B35F67">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B35F67">
        <w:rPr>
          <w:rFonts w:ascii="Verdana" w:eastAsia="Calibri" w:hAnsi="Verdana" w:cs="Arial"/>
          <w:color w:val="000000"/>
          <w:sz w:val="16"/>
          <w:szCs w:val="16"/>
        </w:rPr>
        <w:t>”</w:t>
      </w:r>
      <w:r w:rsidRPr="00B35F67">
        <w:rPr>
          <w:rFonts w:ascii="Verdana" w:eastAsia="Times New Roman" w:hAnsi="Verdana" w:cs="Arial"/>
          <w:sz w:val="16"/>
          <w:szCs w:val="16"/>
        </w:rPr>
        <w:t>.</w:t>
      </w:r>
    </w:p>
  </w:footnote>
  <w:footnote w:id="9">
    <w:p w14:paraId="406E6A2D" w14:textId="77777777" w:rsidR="00385A72" w:rsidRPr="00B35F67" w:rsidRDefault="00385A72" w:rsidP="00385A72">
      <w:pPr>
        <w:pStyle w:val="NormalWeb"/>
        <w:spacing w:before="0" w:beforeAutospacing="0" w:after="0" w:afterAutospacing="0"/>
        <w:ind w:firstLine="709"/>
        <w:jc w:val="both"/>
        <w:rPr>
          <w:rFonts w:ascii="Verdana" w:hAnsi="Verdana" w:cs="Arial"/>
          <w:sz w:val="16"/>
          <w:szCs w:val="16"/>
          <w:lang w:val="es-MX"/>
        </w:rPr>
      </w:pPr>
      <w:r w:rsidRPr="00B35F67">
        <w:rPr>
          <w:rStyle w:val="Refdenotaalpie"/>
          <w:rFonts w:ascii="Verdana" w:hAnsi="Verdana" w:cs="Arial"/>
          <w:sz w:val="16"/>
          <w:szCs w:val="16"/>
        </w:rPr>
        <w:footnoteRef/>
      </w:r>
      <w:r w:rsidRPr="00B35F67">
        <w:rPr>
          <w:rFonts w:ascii="Verdana" w:hAnsi="Verdana" w:cs="Arial"/>
          <w:sz w:val="16"/>
          <w:szCs w:val="16"/>
        </w:rPr>
        <w:t xml:space="preserve"> </w:t>
      </w:r>
      <w:bookmarkStart w:id="6" w:name="38"/>
      <w:r w:rsidRPr="00B35F67">
        <w:rPr>
          <w:rFonts w:ascii="Verdana" w:eastAsia="Calibri" w:hAnsi="Verdana" w:cs="Arial"/>
          <w:color w:val="000000"/>
          <w:sz w:val="16"/>
          <w:szCs w:val="16"/>
        </w:rPr>
        <w:t>“</w:t>
      </w:r>
      <w:r w:rsidRPr="00B35F67">
        <w:rPr>
          <w:rFonts w:ascii="Verdana" w:hAnsi="Verdana" w:cs="Arial"/>
          <w:sz w:val="16"/>
          <w:szCs w:val="16"/>
          <w:lang w:val="es-MX"/>
        </w:rPr>
        <w:t>Artículo 38. Prohibiciones para los servidores públicos. A los empleados del Estado les está prohibido:</w:t>
      </w:r>
      <w:bookmarkEnd w:id="6"/>
      <w:r w:rsidRPr="00B35F67">
        <w:rPr>
          <w:rFonts w:ascii="Verdana" w:hAnsi="Verdana" w:cs="Arial"/>
          <w:sz w:val="16"/>
          <w:szCs w:val="16"/>
          <w:lang w:val="es-MX"/>
        </w:rPr>
        <w:t xml:space="preserve"> […]</w:t>
      </w:r>
    </w:p>
    <w:p w14:paraId="66EC25E0" w14:textId="77777777" w:rsidR="00385A72" w:rsidRPr="00B35F67" w:rsidRDefault="00385A72" w:rsidP="00385A72">
      <w:pPr>
        <w:pStyle w:val="NormalWeb"/>
        <w:spacing w:before="0" w:beforeAutospacing="0" w:after="0" w:afterAutospacing="0"/>
        <w:ind w:firstLine="709"/>
        <w:jc w:val="both"/>
        <w:rPr>
          <w:rFonts w:ascii="Verdana" w:hAnsi="Verdana" w:cs="Arial"/>
          <w:sz w:val="16"/>
          <w:szCs w:val="16"/>
          <w:lang w:val="es-MX"/>
        </w:rPr>
      </w:pPr>
      <w:r w:rsidRPr="00B35F67">
        <w:rPr>
          <w:rStyle w:val="baj"/>
          <w:rFonts w:ascii="Verdana" w:eastAsia="Verdana" w:hAnsi="Verdana" w:cs="Arial"/>
          <w:sz w:val="16"/>
          <w:szCs w:val="16"/>
          <w:lang w:val="es-MX"/>
        </w:rPr>
        <w:t>Parágrafo.</w:t>
      </w:r>
      <w:r w:rsidRPr="00B35F67">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B35F67">
        <w:rPr>
          <w:rFonts w:ascii="Verdana" w:eastAsia="Calibri" w:hAnsi="Verdana" w:cs="Arial"/>
          <w:color w:val="000000"/>
          <w:sz w:val="16"/>
          <w:szCs w:val="16"/>
        </w:rPr>
        <w:t>”</w:t>
      </w:r>
      <w:r w:rsidRPr="00B35F67">
        <w:rPr>
          <w:rFonts w:ascii="Verdana" w:hAnsi="Verdana" w:cs="Arial"/>
          <w:sz w:val="16"/>
          <w:szCs w:val="16"/>
          <w:lang w:val="es-MX"/>
        </w:rPr>
        <w:t>.</w:t>
      </w:r>
    </w:p>
  </w:footnote>
  <w:footnote w:id="10">
    <w:p w14:paraId="0C75E0F0" w14:textId="77777777" w:rsidR="00385A72" w:rsidRPr="00B35F67" w:rsidRDefault="00385A72" w:rsidP="00385A72">
      <w:pPr>
        <w:pStyle w:val="Textonotapie"/>
        <w:ind w:firstLine="708"/>
        <w:jc w:val="both"/>
        <w:rPr>
          <w:rFonts w:ascii="Verdana" w:hAnsi="Verdana" w:cs="Arial"/>
          <w:sz w:val="16"/>
          <w:szCs w:val="16"/>
        </w:rPr>
      </w:pPr>
      <w:r w:rsidRPr="00B35F67">
        <w:rPr>
          <w:rStyle w:val="Refdenotaalpie"/>
          <w:rFonts w:ascii="Verdana" w:hAnsi="Verdana" w:cs="Arial"/>
          <w:sz w:val="16"/>
          <w:szCs w:val="16"/>
        </w:rPr>
        <w:footnoteRef/>
      </w:r>
      <w:r w:rsidRPr="00B35F67">
        <w:rPr>
          <w:rFonts w:ascii="Verdana" w:hAnsi="Verdana" w:cs="Arial"/>
          <w:sz w:val="16"/>
          <w:szCs w:val="16"/>
        </w:rPr>
        <w:t xml:space="preserve"> Colombia Compra Eficiente. Circular Externa Única. Numeral 16.5. </w:t>
      </w:r>
    </w:p>
  </w:footnote>
  <w:footnote w:id="11">
    <w:p w14:paraId="21431382" w14:textId="77777777" w:rsidR="00385A72" w:rsidRPr="00B35F67" w:rsidRDefault="00385A72" w:rsidP="00385A72">
      <w:pPr>
        <w:spacing w:after="0" w:line="240" w:lineRule="auto"/>
        <w:ind w:left="100" w:right="244" w:firstLine="709"/>
        <w:jc w:val="both"/>
        <w:rPr>
          <w:rFonts w:ascii="Verdana" w:hAnsi="Verdana" w:cs="Arial"/>
          <w:sz w:val="16"/>
          <w:szCs w:val="16"/>
          <w:lang w:val="es-ES"/>
        </w:rPr>
      </w:pPr>
      <w:r w:rsidRPr="00B35F67">
        <w:rPr>
          <w:rStyle w:val="Refdenotaalpie"/>
          <w:rFonts w:ascii="Verdana" w:hAnsi="Verdana" w:cs="Arial"/>
          <w:sz w:val="16"/>
          <w:szCs w:val="16"/>
        </w:rPr>
        <w:footnoteRef/>
      </w:r>
      <w:r w:rsidRPr="00B35F67">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2">
    <w:p w14:paraId="25501E2C" w14:textId="77777777" w:rsidR="00385A72" w:rsidRPr="00B35F67" w:rsidRDefault="00385A72" w:rsidP="00385A72">
      <w:pPr>
        <w:pStyle w:val="Textonotapie"/>
        <w:ind w:right="51" w:firstLine="709"/>
        <w:jc w:val="both"/>
        <w:rPr>
          <w:rFonts w:ascii="Verdana" w:hAnsi="Verdana" w:cs="Arial"/>
          <w:sz w:val="16"/>
          <w:szCs w:val="16"/>
        </w:rPr>
      </w:pPr>
      <w:r w:rsidRPr="00B35F67">
        <w:rPr>
          <w:rStyle w:val="Refdenotaalpie"/>
          <w:rFonts w:ascii="Verdana" w:hAnsi="Verdana" w:cs="Arial"/>
          <w:sz w:val="16"/>
          <w:szCs w:val="16"/>
        </w:rPr>
        <w:footnoteRef/>
      </w:r>
      <w:r w:rsidRPr="00B35F67">
        <w:rPr>
          <w:rFonts w:ascii="Verdana" w:hAnsi="Verdana" w:cs="Arial"/>
          <w:sz w:val="16"/>
          <w:szCs w:val="16"/>
        </w:rPr>
        <w:t xml:space="preserve"> “</w:t>
      </w:r>
      <w:r w:rsidRPr="00B35F67">
        <w:rPr>
          <w:rFonts w:ascii="Verdana" w:hAnsi="Verdana" w:cs="Arial"/>
          <w:sz w:val="16"/>
          <w:szCs w:val="16"/>
          <w:lang w:val="es-ES"/>
        </w:rPr>
        <w:t xml:space="preserve">[25] </w:t>
      </w:r>
      <w:r w:rsidRPr="00B35F67">
        <w:rPr>
          <w:rFonts w:ascii="Verdana" w:hAnsi="Verdana" w:cs="Arial"/>
          <w:sz w:val="16"/>
          <w:szCs w:val="16"/>
        </w:rPr>
        <w:t>Cfr. Consejo de Estado. Sección Tercera. Sentencia de 3 de diciembre de 2007. Radicados: 24.715, 25.206, 25.409, 24.524, 27.834, 25.410, 26.105, 28.244, 31.447 -acumulados-“.</w:t>
      </w:r>
    </w:p>
  </w:footnote>
  <w:footnote w:id="13">
    <w:p w14:paraId="0DA23D74" w14:textId="77777777" w:rsidR="00385A72" w:rsidRPr="00B35F67" w:rsidRDefault="00385A72" w:rsidP="00385A72">
      <w:pPr>
        <w:pStyle w:val="Textonotapie"/>
        <w:ind w:right="51" w:firstLine="709"/>
        <w:jc w:val="both"/>
        <w:rPr>
          <w:rFonts w:ascii="Verdana" w:hAnsi="Verdana" w:cs="Arial"/>
          <w:sz w:val="16"/>
          <w:szCs w:val="16"/>
        </w:rPr>
      </w:pPr>
      <w:r w:rsidRPr="00B35F67">
        <w:rPr>
          <w:rStyle w:val="Refdenotaalpie"/>
          <w:rFonts w:ascii="Verdana" w:hAnsi="Verdana" w:cs="Arial"/>
          <w:sz w:val="16"/>
          <w:szCs w:val="16"/>
        </w:rPr>
        <w:footnoteRef/>
      </w:r>
      <w:r w:rsidRPr="00B35F67">
        <w:rPr>
          <w:rFonts w:ascii="Verdana" w:hAnsi="Verdana" w:cs="Arial"/>
          <w:sz w:val="16"/>
          <w:szCs w:val="16"/>
        </w:rPr>
        <w:t xml:space="preserve"> “</w:t>
      </w:r>
      <w:r w:rsidRPr="00B35F67">
        <w:rPr>
          <w:rFonts w:ascii="Verdana" w:hAnsi="Verdana" w:cs="Arial"/>
          <w:sz w:val="16"/>
          <w:szCs w:val="16"/>
          <w:lang w:val="es-ES"/>
        </w:rPr>
        <w:t xml:space="preserve">[26] </w:t>
      </w:r>
      <w:r w:rsidRPr="00B35F67">
        <w:rPr>
          <w:rFonts w:ascii="Verdana" w:hAnsi="Verdana" w:cs="Arial"/>
          <w:sz w:val="16"/>
          <w:szCs w:val="16"/>
        </w:rPr>
        <w:t>Al respecto ver el concepto 1712 de 2 de febrero de 2006. Consejo de Estado Sala de Consulta y Servicio Civil”.</w:t>
      </w:r>
    </w:p>
  </w:footnote>
  <w:footnote w:id="14">
    <w:p w14:paraId="241C38D9" w14:textId="77777777" w:rsidR="00385A72" w:rsidRPr="00B35F67" w:rsidRDefault="00385A72" w:rsidP="00385A72">
      <w:pPr>
        <w:pStyle w:val="Textonotapie"/>
        <w:ind w:firstLine="709"/>
        <w:jc w:val="both"/>
        <w:rPr>
          <w:rFonts w:ascii="Verdana" w:hAnsi="Verdana" w:cs="Arial"/>
          <w:sz w:val="16"/>
          <w:szCs w:val="16"/>
        </w:rPr>
      </w:pPr>
      <w:r w:rsidRPr="00B35F67">
        <w:rPr>
          <w:rStyle w:val="Refdenotaalpie"/>
          <w:rFonts w:ascii="Verdana" w:hAnsi="Verdana" w:cs="Arial"/>
          <w:sz w:val="16"/>
          <w:szCs w:val="16"/>
        </w:rPr>
        <w:footnoteRef/>
      </w:r>
      <w:r w:rsidRPr="00B35F67">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5">
    <w:p w14:paraId="69BDAF07" w14:textId="77777777" w:rsidR="00385A72" w:rsidRPr="00B35F67" w:rsidRDefault="00385A72" w:rsidP="00385A72">
      <w:pPr>
        <w:pStyle w:val="Textonotapie"/>
        <w:ind w:firstLine="709"/>
        <w:jc w:val="both"/>
        <w:rPr>
          <w:rFonts w:ascii="Verdana" w:hAnsi="Verdana" w:cs="Arial"/>
          <w:sz w:val="16"/>
          <w:szCs w:val="16"/>
          <w:lang w:val="es-ES"/>
        </w:rPr>
      </w:pPr>
      <w:r w:rsidRPr="00B35F67">
        <w:rPr>
          <w:rStyle w:val="Refdenotaalpie"/>
          <w:rFonts w:ascii="Verdana" w:hAnsi="Verdana" w:cs="Arial"/>
          <w:sz w:val="16"/>
          <w:szCs w:val="16"/>
        </w:rPr>
        <w:footnoteRef/>
      </w:r>
      <w:r w:rsidRPr="00B35F67">
        <w:rPr>
          <w:rFonts w:ascii="Verdana" w:hAnsi="Verdana" w:cs="Arial"/>
          <w:sz w:val="16"/>
          <w:szCs w:val="16"/>
        </w:rPr>
        <w:t xml:space="preserve"> </w:t>
      </w:r>
      <w:r w:rsidRPr="00B35F67">
        <w:rPr>
          <w:rFonts w:ascii="Verdana" w:hAnsi="Verdana" w:cs="Arial"/>
          <w:sz w:val="16"/>
          <w:szCs w:val="16"/>
          <w:lang w:val="es-ES"/>
        </w:rPr>
        <w:t xml:space="preserve">Artículo 2. </w:t>
      </w:r>
    </w:p>
  </w:footnote>
  <w:footnote w:id="16">
    <w:p w14:paraId="2CF08359" w14:textId="77777777" w:rsidR="00385A72" w:rsidRPr="00B35F67" w:rsidRDefault="00385A72" w:rsidP="00385A72">
      <w:pPr>
        <w:pStyle w:val="Textonotapie"/>
        <w:ind w:firstLine="709"/>
        <w:jc w:val="both"/>
        <w:rPr>
          <w:rFonts w:ascii="Verdana" w:hAnsi="Verdana" w:cs="Arial"/>
          <w:sz w:val="16"/>
          <w:szCs w:val="16"/>
          <w:lang w:val="es-ES"/>
        </w:rPr>
      </w:pPr>
      <w:r w:rsidRPr="00B35F67">
        <w:rPr>
          <w:rStyle w:val="Refdenotaalpie"/>
          <w:rFonts w:ascii="Verdana" w:hAnsi="Verdana" w:cs="Arial"/>
          <w:sz w:val="16"/>
          <w:szCs w:val="16"/>
        </w:rPr>
        <w:footnoteRef/>
      </w:r>
      <w:r w:rsidRPr="00B35F67">
        <w:rPr>
          <w:rFonts w:ascii="Verdana" w:hAnsi="Verdana" w:cs="Arial"/>
          <w:sz w:val="16"/>
          <w:szCs w:val="16"/>
        </w:rPr>
        <w:t xml:space="preserve"> </w:t>
      </w:r>
      <w:r w:rsidRPr="00B35F67">
        <w:rPr>
          <w:rFonts w:ascii="Verdana" w:hAnsi="Verdana" w:cs="Arial"/>
          <w:i/>
          <w:sz w:val="16"/>
          <w:szCs w:val="16"/>
          <w:lang w:val="es-ES"/>
        </w:rPr>
        <w:t>Ídem</w:t>
      </w:r>
      <w:r w:rsidRPr="00B35F67">
        <w:rPr>
          <w:rFonts w:ascii="Verdana" w:hAnsi="Verdana" w:cs="Arial"/>
          <w:sz w:val="16"/>
          <w:szCs w:val="16"/>
          <w:lang w:val="es-ES"/>
        </w:rPr>
        <w:t>.</w:t>
      </w:r>
    </w:p>
  </w:footnote>
  <w:footnote w:id="17">
    <w:p w14:paraId="21EBC513" w14:textId="77777777" w:rsidR="00385A72" w:rsidRPr="00B35F67" w:rsidRDefault="00385A72" w:rsidP="00385A72">
      <w:pPr>
        <w:pStyle w:val="Textonotapie"/>
        <w:ind w:firstLine="709"/>
        <w:jc w:val="both"/>
        <w:rPr>
          <w:rFonts w:ascii="Verdana" w:hAnsi="Verdana" w:cs="Arial"/>
          <w:sz w:val="16"/>
          <w:szCs w:val="16"/>
          <w:lang w:val="es-ES"/>
        </w:rPr>
      </w:pPr>
      <w:r w:rsidRPr="00B35F67">
        <w:rPr>
          <w:rStyle w:val="Refdenotaalpie"/>
          <w:rFonts w:ascii="Verdana" w:hAnsi="Verdana" w:cs="Arial"/>
          <w:sz w:val="16"/>
          <w:szCs w:val="16"/>
        </w:rPr>
        <w:footnoteRef/>
      </w:r>
      <w:r w:rsidRPr="00B35F67">
        <w:rPr>
          <w:rStyle w:val="Refdenotaalpie"/>
          <w:rFonts w:ascii="Verdana" w:hAnsi="Verdana" w:cs="Arial"/>
          <w:sz w:val="16"/>
          <w:szCs w:val="16"/>
        </w:rPr>
        <w:t xml:space="preserve"> </w:t>
      </w:r>
      <w:r w:rsidRPr="00B35F67">
        <w:rPr>
          <w:rFonts w:ascii="Verdana" w:hAnsi="Verdana" w:cs="Arial"/>
          <w:sz w:val="16"/>
          <w:szCs w:val="16"/>
          <w:lang w:val="es-ES"/>
        </w:rPr>
        <w:t xml:space="preserve">“[…] A este respecto, cabe recordar que el artículo 860 del Código de Comercio regula la licitación en el derecho privado”. </w:t>
      </w:r>
    </w:p>
  </w:footnote>
  <w:footnote w:id="18">
    <w:p w14:paraId="6CF43846" w14:textId="77777777" w:rsidR="00385A72" w:rsidRPr="00B35F67" w:rsidRDefault="00385A72" w:rsidP="00385A72">
      <w:pPr>
        <w:shd w:val="clear" w:color="auto" w:fill="FFFFFF"/>
        <w:spacing w:after="0" w:line="240" w:lineRule="auto"/>
        <w:ind w:firstLine="709"/>
        <w:jc w:val="both"/>
        <w:rPr>
          <w:rFonts w:ascii="Verdana" w:hAnsi="Verdana" w:cs="Arial"/>
          <w:sz w:val="16"/>
          <w:szCs w:val="16"/>
          <w:lang w:val="es-ES"/>
        </w:rPr>
      </w:pPr>
      <w:r w:rsidRPr="00B35F67">
        <w:rPr>
          <w:rStyle w:val="Refdenotaalpie"/>
          <w:rFonts w:ascii="Verdana" w:hAnsi="Verdana" w:cs="Arial"/>
          <w:sz w:val="16"/>
          <w:szCs w:val="16"/>
        </w:rPr>
        <w:footnoteRef/>
      </w:r>
      <w:r w:rsidRPr="00B35F67">
        <w:rPr>
          <w:rStyle w:val="Refdenotaalpie"/>
          <w:rFonts w:ascii="Verdana" w:hAnsi="Verdana" w:cs="Arial"/>
          <w:sz w:val="16"/>
          <w:szCs w:val="16"/>
        </w:rPr>
        <w:t xml:space="preserve"> </w:t>
      </w:r>
      <w:r w:rsidRPr="00B35F67">
        <w:rPr>
          <w:rFonts w:ascii="Verdana" w:hAnsi="Verdana" w:cs="Arial"/>
          <w:sz w:val="16"/>
          <w:szCs w:val="16"/>
          <w:lang w:val="es-ES"/>
        </w:rPr>
        <w:t>Consejo de Estado. Sala de Consulta y Servicio Civil, Concepto de 8 de mayo de 2018. Radicación Número: 11001-03-06-000-2018-00095-00(2382). C.P. Álvaro Namén Vargas.</w:t>
      </w:r>
    </w:p>
  </w:footnote>
  <w:footnote w:id="19">
    <w:p w14:paraId="701FD57B" w14:textId="77777777" w:rsidR="00385A72" w:rsidRPr="00B35F67" w:rsidRDefault="00385A72" w:rsidP="00385A72">
      <w:pPr>
        <w:pStyle w:val="Textonotapie"/>
        <w:ind w:firstLine="709"/>
        <w:jc w:val="both"/>
        <w:rPr>
          <w:rFonts w:ascii="Verdana" w:hAnsi="Verdana" w:cs="Arial"/>
          <w:sz w:val="16"/>
          <w:szCs w:val="16"/>
        </w:rPr>
      </w:pPr>
      <w:r w:rsidRPr="00B35F67">
        <w:rPr>
          <w:rStyle w:val="Refdenotaalpie"/>
          <w:rFonts w:ascii="Verdana" w:hAnsi="Verdana" w:cs="Arial"/>
          <w:sz w:val="16"/>
          <w:szCs w:val="16"/>
        </w:rPr>
        <w:footnoteRef/>
      </w:r>
      <w:r w:rsidRPr="00B35F67">
        <w:rPr>
          <w:rFonts w:ascii="Verdana" w:hAnsi="Verdana" w:cs="Arial"/>
          <w:sz w:val="16"/>
          <w:szCs w:val="16"/>
        </w:rPr>
        <w:t xml:space="preserve"> Consejo de Estado. Sala de Consulta y Servicio Civil. Concepto del 08 de mayo de 2018. Exp. 2.382. C.P. Álvaro Namén Vargas.</w:t>
      </w:r>
    </w:p>
  </w:footnote>
  <w:footnote w:id="20">
    <w:p w14:paraId="104DB9DC" w14:textId="77777777" w:rsidR="00385A72" w:rsidRPr="00B35F67" w:rsidRDefault="00385A72" w:rsidP="00385A72">
      <w:pPr>
        <w:pStyle w:val="Textonotapie"/>
        <w:ind w:firstLine="708"/>
        <w:jc w:val="both"/>
        <w:rPr>
          <w:rFonts w:ascii="Verdana" w:hAnsi="Verdana" w:cs="Arial"/>
          <w:sz w:val="16"/>
          <w:szCs w:val="16"/>
        </w:rPr>
      </w:pPr>
      <w:r w:rsidRPr="00B35F67">
        <w:rPr>
          <w:rStyle w:val="Refdenotaalpie"/>
          <w:rFonts w:ascii="Verdana" w:hAnsi="Verdana" w:cs="Arial"/>
          <w:sz w:val="16"/>
          <w:szCs w:val="16"/>
        </w:rPr>
        <w:footnoteRef/>
      </w:r>
      <w:r w:rsidRPr="00B35F67">
        <w:rPr>
          <w:rFonts w:ascii="Verdana" w:hAnsi="Verdana" w:cs="Arial"/>
          <w:sz w:val="16"/>
          <w:szCs w:val="16"/>
        </w:rPr>
        <w:t xml:space="preserve"> Colombia Compra Eficiente. Circular Externa Única.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footnote>
  <w:footnote w:id="21">
    <w:p w14:paraId="10DFEF3D" w14:textId="77777777" w:rsidR="00385A72" w:rsidRPr="00B35F67" w:rsidRDefault="00385A72" w:rsidP="00385A72">
      <w:pPr>
        <w:pStyle w:val="Textonotapie"/>
        <w:ind w:firstLine="709"/>
        <w:jc w:val="both"/>
        <w:rPr>
          <w:rFonts w:ascii="Verdana" w:hAnsi="Verdana" w:cs="Arial"/>
          <w:sz w:val="16"/>
          <w:szCs w:val="16"/>
        </w:rPr>
      </w:pPr>
      <w:r w:rsidRPr="00B35F67">
        <w:rPr>
          <w:rStyle w:val="Refdenotaalpie"/>
          <w:rFonts w:ascii="Verdana" w:hAnsi="Verdana" w:cs="Arial"/>
          <w:sz w:val="16"/>
          <w:szCs w:val="16"/>
        </w:rPr>
        <w:footnoteRef/>
      </w:r>
      <w:r w:rsidRPr="00B35F67">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2">
    <w:p w14:paraId="79E9A11E" w14:textId="77777777" w:rsidR="00385A72" w:rsidRPr="00B35F67" w:rsidRDefault="00385A72" w:rsidP="00385A72">
      <w:pPr>
        <w:spacing w:after="0" w:line="240" w:lineRule="auto"/>
        <w:ind w:firstLine="709"/>
        <w:jc w:val="both"/>
        <w:rPr>
          <w:rFonts w:ascii="Verdana" w:hAnsi="Verdana" w:cs="Arial"/>
          <w:sz w:val="16"/>
          <w:szCs w:val="16"/>
        </w:rPr>
      </w:pPr>
      <w:r w:rsidRPr="00B35F67">
        <w:rPr>
          <w:rStyle w:val="Refdenotaalpie"/>
          <w:rFonts w:ascii="Verdana" w:hAnsi="Verdana" w:cs="Arial"/>
          <w:sz w:val="16"/>
          <w:szCs w:val="16"/>
        </w:rPr>
        <w:footnoteRef/>
      </w:r>
      <w:r w:rsidRPr="00B35F67">
        <w:rPr>
          <w:rFonts w:ascii="Verdana" w:hAnsi="Verdana" w:cs="Arial"/>
          <w:sz w:val="16"/>
          <w:szCs w:val="16"/>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3">
    <w:p w14:paraId="12D6F150" w14:textId="77777777" w:rsidR="00385A72" w:rsidRPr="00B35F67" w:rsidRDefault="00385A72" w:rsidP="00385A72">
      <w:pPr>
        <w:pStyle w:val="Textonotapie"/>
        <w:ind w:right="51" w:firstLine="709"/>
        <w:jc w:val="both"/>
        <w:rPr>
          <w:rFonts w:ascii="Verdana" w:eastAsia="Times New Roman" w:hAnsi="Verdana" w:cs="Arial"/>
          <w:bCs/>
          <w:sz w:val="16"/>
          <w:szCs w:val="16"/>
          <w:lang w:eastAsia="x-none"/>
        </w:rPr>
      </w:pPr>
      <w:r w:rsidRPr="00B35F67">
        <w:rPr>
          <w:rStyle w:val="Refdenotaalpie"/>
          <w:rFonts w:ascii="Verdana" w:hAnsi="Verdana" w:cs="Arial"/>
          <w:sz w:val="16"/>
          <w:szCs w:val="16"/>
        </w:rPr>
        <w:footnoteRef/>
      </w:r>
      <w:r w:rsidRPr="00B35F67">
        <w:rPr>
          <w:rFonts w:ascii="Verdana" w:hAnsi="Verdana" w:cs="Arial"/>
          <w:sz w:val="16"/>
          <w:szCs w:val="16"/>
        </w:rPr>
        <w:t xml:space="preserve"> Consejo de Estado. Sala de Consulta y Servicio Civil. Concepto de 6 de abril de 2006. Radicación Número: 11001-03-06-000-2006-00038-00 (1738). C.P. Enrique José Arboleda Perdomo:</w:t>
      </w:r>
      <w:r w:rsidRPr="00B35F67">
        <w:rPr>
          <w:rFonts w:ascii="Verdana" w:eastAsia="Times New Roman" w:hAnsi="Verdana" w:cs="Arial"/>
          <w:bCs/>
          <w:sz w:val="16"/>
          <w:szCs w:val="16"/>
          <w:lang w:eastAsia="x-none"/>
        </w:rPr>
        <w:t xml:space="preserve"> “</w:t>
      </w:r>
      <w:r w:rsidRPr="00B35F67">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B35F67">
        <w:rPr>
          <w:rFonts w:ascii="Verdana" w:eastAsia="Times New Roman" w:hAnsi="Verdana" w:cs="Arial"/>
          <w:bCs/>
          <w:sz w:val="16"/>
          <w:szCs w:val="16"/>
          <w:lang w:eastAsia="x-none"/>
        </w:rPr>
        <w:t>”.</w:t>
      </w:r>
    </w:p>
  </w:footnote>
  <w:footnote w:id="24">
    <w:p w14:paraId="5AF455D0" w14:textId="77777777" w:rsidR="00385A72" w:rsidRPr="00B35F67" w:rsidRDefault="00385A72" w:rsidP="00385A72">
      <w:pPr>
        <w:spacing w:after="0" w:line="240" w:lineRule="auto"/>
        <w:ind w:firstLine="708"/>
        <w:jc w:val="both"/>
        <w:rPr>
          <w:rFonts w:ascii="Verdana" w:hAnsi="Verdana" w:cs="Arial"/>
          <w:sz w:val="16"/>
          <w:szCs w:val="16"/>
        </w:rPr>
      </w:pPr>
      <w:r w:rsidRPr="00B35F67">
        <w:rPr>
          <w:rStyle w:val="Refdenotaalpie"/>
          <w:rFonts w:ascii="Verdana" w:hAnsi="Verdana" w:cs="Arial"/>
          <w:sz w:val="16"/>
          <w:szCs w:val="16"/>
        </w:rPr>
        <w:footnoteRef/>
      </w:r>
      <w:r w:rsidRPr="00B35F67">
        <w:rPr>
          <w:rFonts w:ascii="Verdana" w:hAnsi="Verdana" w:cs="Arial"/>
          <w:sz w:val="16"/>
          <w:szCs w:val="16"/>
        </w:rPr>
        <w:t xml:space="preserve"> Consejo de Estado. Sala de Consulta y Servicio Civil. Concepto de 6 de abril de 2006. Radicación Número: 11001-03-06-000-2006-00038-00(1738). Consejero Ponente: Enrique José Arboleda Perdomo. </w:t>
      </w:r>
    </w:p>
  </w:footnote>
  <w:footnote w:id="25">
    <w:p w14:paraId="6A8CFEE7" w14:textId="77777777" w:rsidR="00385A72" w:rsidRPr="00B35F67" w:rsidRDefault="00385A72" w:rsidP="00385A72">
      <w:pPr>
        <w:pStyle w:val="Textonotapie"/>
        <w:ind w:right="51" w:firstLine="709"/>
        <w:jc w:val="both"/>
        <w:rPr>
          <w:rFonts w:ascii="Verdana" w:hAnsi="Verdana" w:cs="Arial"/>
          <w:sz w:val="16"/>
          <w:szCs w:val="16"/>
        </w:rPr>
      </w:pPr>
      <w:r w:rsidRPr="00B35F67">
        <w:rPr>
          <w:rStyle w:val="Refdenotaalpie"/>
          <w:rFonts w:ascii="Verdana" w:hAnsi="Verdana" w:cs="Arial"/>
          <w:sz w:val="16"/>
          <w:szCs w:val="16"/>
        </w:rPr>
        <w:footnoteRef/>
      </w:r>
      <w:r w:rsidRPr="00B35F67">
        <w:rPr>
          <w:rFonts w:ascii="Verdana" w:hAnsi="Verdana" w:cs="Arial"/>
          <w:sz w:val="16"/>
          <w:szCs w:val="16"/>
        </w:rPr>
        <w:t xml:space="preserve"> Consejo de Estado. Sala de Consulta y Servicio Civil, ídem.</w:t>
      </w:r>
    </w:p>
  </w:footnote>
  <w:footnote w:id="26">
    <w:p w14:paraId="3E1BC4CD" w14:textId="77777777" w:rsidR="00385A72" w:rsidRPr="00B35F67" w:rsidRDefault="00385A72" w:rsidP="00385A72">
      <w:pPr>
        <w:pStyle w:val="Textonotapie"/>
        <w:ind w:firstLine="708"/>
        <w:jc w:val="both"/>
        <w:rPr>
          <w:rFonts w:ascii="Verdana" w:hAnsi="Verdana" w:cs="Arial"/>
          <w:sz w:val="16"/>
          <w:szCs w:val="16"/>
        </w:rPr>
      </w:pPr>
      <w:r w:rsidRPr="00B35F67">
        <w:rPr>
          <w:rStyle w:val="Refdenotaalpie"/>
          <w:rFonts w:ascii="Verdana" w:hAnsi="Verdana" w:cs="Arial"/>
          <w:sz w:val="16"/>
          <w:szCs w:val="16"/>
        </w:rPr>
        <w:footnoteRef/>
      </w:r>
      <w:r w:rsidRPr="00B35F67">
        <w:rPr>
          <w:rFonts w:ascii="Verdana" w:hAnsi="Verdana" w:cs="Arial"/>
          <w:sz w:val="16"/>
          <w:szCs w:val="16"/>
        </w:rPr>
        <w:t xml:space="preserve"> Colombia Compra Eficiente. Circular Externa Única. Numeral 15.5.</w:t>
      </w:r>
    </w:p>
    <w:p w14:paraId="4A59C0FE" w14:textId="77777777" w:rsidR="00385A72" w:rsidRPr="00B35F67" w:rsidRDefault="00385A72" w:rsidP="00385A72">
      <w:pPr>
        <w:pStyle w:val="Textonotapie"/>
        <w:ind w:firstLine="708"/>
        <w:jc w:val="both"/>
        <w:rPr>
          <w:rFonts w:ascii="Verdana" w:hAnsi="Verdana" w:cs="Arial"/>
          <w:sz w:val="16"/>
          <w:szCs w:val="16"/>
        </w:rPr>
      </w:pPr>
    </w:p>
  </w:footnote>
  <w:footnote w:id="27">
    <w:p w14:paraId="704DA5EA" w14:textId="77777777" w:rsidR="00385A72" w:rsidRPr="00B35F67" w:rsidRDefault="00385A72" w:rsidP="00385A72">
      <w:pPr>
        <w:pStyle w:val="Textonotapie"/>
        <w:ind w:firstLine="709"/>
        <w:contextualSpacing/>
        <w:jc w:val="both"/>
        <w:rPr>
          <w:rFonts w:ascii="Verdana" w:hAnsi="Verdana" w:cs="Arial"/>
          <w:sz w:val="16"/>
          <w:szCs w:val="16"/>
        </w:rPr>
      </w:pPr>
      <w:r w:rsidRPr="00B35F67">
        <w:rPr>
          <w:rStyle w:val="Refdenotaalpie"/>
          <w:rFonts w:ascii="Verdana" w:hAnsi="Verdana"/>
          <w:sz w:val="16"/>
          <w:szCs w:val="16"/>
        </w:rPr>
        <w:footnoteRef/>
      </w:r>
      <w:r w:rsidRPr="00B35F67">
        <w:rPr>
          <w:rFonts w:ascii="Verdana" w:hAnsi="Verdana"/>
          <w:sz w:val="16"/>
          <w:szCs w:val="16"/>
        </w:rPr>
        <w:t xml:space="preserve"> </w:t>
      </w:r>
      <w:r w:rsidRPr="00B35F67">
        <w:rPr>
          <w:rFonts w:ascii="Verdana" w:hAnsi="Verdana" w:cs="Arial"/>
          <w:sz w:val="16"/>
          <w:szCs w:val="16"/>
        </w:rPr>
        <w:t xml:space="preserve">Consejo de Estado -Sección Tercera-. Sentencia del 21 de febrero de 2025. CP: José Roberto Sáchica Méndez. Exp. 68.280. </w:t>
      </w:r>
    </w:p>
  </w:footnote>
  <w:footnote w:id="28">
    <w:p w14:paraId="6DE2F372" w14:textId="77777777" w:rsidR="00385A72" w:rsidRPr="00B35F67" w:rsidRDefault="00385A72" w:rsidP="00385A72">
      <w:pPr>
        <w:pStyle w:val="Textonotapie"/>
        <w:ind w:firstLine="709"/>
        <w:contextualSpacing/>
        <w:jc w:val="both"/>
        <w:rPr>
          <w:rFonts w:ascii="Verdana" w:hAnsi="Verdana" w:cs="Arial"/>
          <w:sz w:val="16"/>
          <w:szCs w:val="16"/>
        </w:rPr>
      </w:pPr>
      <w:r w:rsidRPr="00B35F67">
        <w:rPr>
          <w:rFonts w:ascii="Verdana" w:hAnsi="Verdana"/>
          <w:sz w:val="16"/>
          <w:szCs w:val="16"/>
          <w:vertAlign w:val="superscript"/>
        </w:rPr>
        <w:footnoteRef/>
      </w:r>
      <w:r w:rsidRPr="00B35F67">
        <w:rPr>
          <w:rFonts w:ascii="Verdana" w:hAnsi="Verdana"/>
          <w:sz w:val="16"/>
          <w:szCs w:val="16"/>
          <w:vertAlign w:val="superscript"/>
        </w:rPr>
        <w:t xml:space="preserve"> </w:t>
      </w:r>
      <w:r w:rsidRPr="00B35F67">
        <w:rPr>
          <w:rFonts w:ascii="Verdana" w:hAnsi="Verdana"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footnote>
  <w:footnote w:id="29">
    <w:p w14:paraId="36A25CEB" w14:textId="77777777" w:rsidR="00385A72" w:rsidRPr="00B35F67" w:rsidRDefault="00385A72" w:rsidP="00385A72">
      <w:pPr>
        <w:pStyle w:val="Textonotapie"/>
        <w:ind w:firstLine="709"/>
        <w:contextualSpacing/>
        <w:jc w:val="both"/>
        <w:rPr>
          <w:rFonts w:ascii="Verdana" w:hAnsi="Verdana" w:cs="Arial"/>
          <w:sz w:val="16"/>
          <w:szCs w:val="16"/>
        </w:rPr>
      </w:pPr>
      <w:r w:rsidRPr="00B35F67">
        <w:rPr>
          <w:rFonts w:ascii="Verdana" w:hAnsi="Verdana"/>
          <w:sz w:val="16"/>
          <w:szCs w:val="16"/>
          <w:vertAlign w:val="superscript"/>
        </w:rPr>
        <w:footnoteRef/>
      </w:r>
      <w:r w:rsidRPr="00B35F67">
        <w:rPr>
          <w:rFonts w:ascii="Verdana" w:hAnsi="Verdana" w:cs="Arial"/>
          <w:sz w:val="16"/>
          <w:szCs w:val="16"/>
          <w:vertAlign w:val="superscript"/>
        </w:rPr>
        <w:t xml:space="preserve"> </w:t>
      </w:r>
      <w:r w:rsidRPr="00B35F67">
        <w:rPr>
          <w:rFonts w:ascii="Verdana" w:hAnsi="Verdana" w:cs="Arial"/>
          <w:sz w:val="16"/>
          <w:szCs w:val="16"/>
        </w:rPr>
        <w:t>Ley 80 de 1993: “Artículo 41. Del perfeccionamiento del contrato. Los contratos del Estado se perfeccionan cuando se logre acuerdo sobre el objeto y la contraprestación y éste se eleve a escrito.</w:t>
      </w:r>
    </w:p>
    <w:p w14:paraId="0DD36AA2" w14:textId="77777777" w:rsidR="00385A72" w:rsidRPr="00B35F67" w:rsidRDefault="00385A72" w:rsidP="00385A72">
      <w:pPr>
        <w:pStyle w:val="Textonotapie"/>
        <w:ind w:firstLine="709"/>
        <w:contextualSpacing/>
        <w:jc w:val="both"/>
        <w:rPr>
          <w:rFonts w:ascii="Verdana" w:hAnsi="Verdana" w:cs="Arial"/>
          <w:sz w:val="16"/>
          <w:szCs w:val="16"/>
        </w:rPr>
      </w:pPr>
      <w:r w:rsidRPr="00B35F67">
        <w:rPr>
          <w:rFonts w:ascii="Verdana" w:hAnsi="Verdana" w:cs="Arial"/>
          <w:sz w:val="16"/>
          <w:szCs w:val="16"/>
        </w:rPr>
        <w:t>[…]”.</w:t>
      </w:r>
    </w:p>
  </w:footnote>
  <w:footnote w:id="30">
    <w:p w14:paraId="02AE725E" w14:textId="77777777" w:rsidR="00385A72" w:rsidRPr="00B35F67" w:rsidRDefault="00385A72" w:rsidP="00385A72">
      <w:pPr>
        <w:pStyle w:val="Textonotapie"/>
        <w:ind w:firstLine="709"/>
        <w:contextualSpacing/>
        <w:jc w:val="both"/>
        <w:rPr>
          <w:rFonts w:ascii="Verdana" w:hAnsi="Verdana" w:cs="Arial"/>
          <w:sz w:val="16"/>
          <w:szCs w:val="16"/>
        </w:rPr>
      </w:pPr>
      <w:r w:rsidRPr="00B35F67">
        <w:rPr>
          <w:rFonts w:ascii="Verdana" w:hAnsi="Verdana"/>
          <w:sz w:val="16"/>
          <w:szCs w:val="16"/>
          <w:vertAlign w:val="superscript"/>
        </w:rPr>
        <w:footnoteRef/>
      </w:r>
      <w:r w:rsidRPr="00B35F67">
        <w:rPr>
          <w:rFonts w:ascii="Verdana" w:hAnsi="Verdana" w:cs="Arial"/>
          <w:sz w:val="16"/>
          <w:szCs w:val="16"/>
          <w:vertAlign w:val="superscript"/>
        </w:rPr>
        <w:t xml:space="preserve"> </w:t>
      </w:r>
      <w:r w:rsidRPr="00B35F67">
        <w:rPr>
          <w:rFonts w:ascii="Verdana" w:hAnsi="Verdana" w:cs="Arial"/>
          <w:sz w:val="16"/>
          <w:szCs w:val="16"/>
        </w:rPr>
        <w:t>Código Civil: “Artículo 27. Cuando el sentido de la ley sea claro, no se desatenderá su tenor a pretexto de consultar su espíritu”.</w:t>
      </w:r>
    </w:p>
  </w:footnote>
  <w:footnote w:id="31">
    <w:p w14:paraId="79662562" w14:textId="77777777" w:rsidR="00385A72" w:rsidRPr="00B35F67" w:rsidRDefault="00385A72" w:rsidP="00385A72">
      <w:pPr>
        <w:pStyle w:val="Textonotapie"/>
        <w:ind w:firstLine="708"/>
        <w:contextualSpacing/>
        <w:jc w:val="both"/>
        <w:rPr>
          <w:rFonts w:ascii="Verdana" w:hAnsi="Verdana" w:cs="Arial"/>
          <w:sz w:val="16"/>
          <w:szCs w:val="16"/>
        </w:rPr>
      </w:pPr>
      <w:r w:rsidRPr="00B35F67">
        <w:rPr>
          <w:rStyle w:val="Refdenotaalpie"/>
          <w:rFonts w:ascii="Verdana" w:hAnsi="Verdana" w:cs="Arial"/>
          <w:sz w:val="16"/>
          <w:szCs w:val="16"/>
        </w:rPr>
        <w:footnoteRef/>
      </w:r>
      <w:r w:rsidRPr="00B35F67">
        <w:rPr>
          <w:rFonts w:ascii="Verdana" w:hAnsi="Verdana" w:cs="Arial"/>
          <w:sz w:val="16"/>
          <w:szCs w:val="16"/>
        </w:rPr>
        <w:t xml:space="preserve"> Ley 489 de 1998: “Artículo 85. Empresas industriales y comerciales del Estado. Las empresas industriales y comerciales del Estado son organismos creados por la ley o autorizados por ésta, que desarrollan actividades de naturaleza industrial o comercial y de gestión económica conforme a las reglas del Derecho Privado, salvo las excepciones que consagra la ley, y que reúnen las siguientes características: </w:t>
      </w:r>
    </w:p>
    <w:p w14:paraId="5EB52B5F" w14:textId="77777777" w:rsidR="00385A72" w:rsidRPr="00B35F67" w:rsidRDefault="00385A72" w:rsidP="00385A72">
      <w:pPr>
        <w:pStyle w:val="Textonotapie"/>
        <w:ind w:firstLine="708"/>
        <w:contextualSpacing/>
        <w:jc w:val="both"/>
        <w:rPr>
          <w:rFonts w:ascii="Verdana" w:hAnsi="Verdana" w:cs="Arial"/>
          <w:sz w:val="16"/>
          <w:szCs w:val="16"/>
        </w:rPr>
      </w:pPr>
      <w:r w:rsidRPr="00B35F67">
        <w:rPr>
          <w:rFonts w:ascii="Verdana" w:hAnsi="Verdana" w:cs="Arial"/>
          <w:sz w:val="16"/>
          <w:szCs w:val="16"/>
        </w:rPr>
        <w:t xml:space="preserve">a) Personería jurídica; </w:t>
      </w:r>
    </w:p>
    <w:p w14:paraId="674DB559" w14:textId="77777777" w:rsidR="00385A72" w:rsidRPr="00B35F67" w:rsidRDefault="00385A72" w:rsidP="00385A72">
      <w:pPr>
        <w:pStyle w:val="Textonotapie"/>
        <w:ind w:firstLine="708"/>
        <w:contextualSpacing/>
        <w:jc w:val="both"/>
        <w:rPr>
          <w:rFonts w:ascii="Verdana" w:hAnsi="Verdana" w:cs="Arial"/>
          <w:sz w:val="16"/>
          <w:szCs w:val="16"/>
        </w:rPr>
      </w:pPr>
      <w:r w:rsidRPr="00B35F67">
        <w:rPr>
          <w:rFonts w:ascii="Verdana" w:hAnsi="Verdana" w:cs="Arial"/>
          <w:sz w:val="16"/>
          <w:szCs w:val="16"/>
        </w:rPr>
        <w:t xml:space="preserve">b) Autonomía administrativa y financiera; </w:t>
      </w:r>
    </w:p>
    <w:p w14:paraId="2B330F5E" w14:textId="77777777" w:rsidR="00385A72" w:rsidRPr="00B35F67" w:rsidRDefault="00385A72" w:rsidP="00385A72">
      <w:pPr>
        <w:pStyle w:val="Textonotapie"/>
        <w:ind w:firstLine="708"/>
        <w:contextualSpacing/>
        <w:jc w:val="both"/>
        <w:rPr>
          <w:rFonts w:ascii="Verdana" w:hAnsi="Verdana" w:cs="Arial"/>
          <w:sz w:val="16"/>
          <w:szCs w:val="16"/>
        </w:rPr>
      </w:pPr>
      <w:r w:rsidRPr="00B35F67">
        <w:rPr>
          <w:rFonts w:ascii="Verdana" w:hAnsi="Verdana" w:cs="Arial"/>
          <w:sz w:val="16"/>
          <w:szCs w:val="16"/>
        </w:rPr>
        <w:t xml:space="preserve">c) Capital independiente, constituido totalmente con bienes o fondos públicos comunes, los productos de ellos, o el rendimiento de tasas que perciban por las funciones o servicios, y contribuciones de destinación especial en los casos autorizados por la Constitución. </w:t>
      </w:r>
    </w:p>
    <w:p w14:paraId="60E16289" w14:textId="77777777" w:rsidR="00385A72" w:rsidRPr="00B35F67" w:rsidRDefault="00385A72" w:rsidP="00385A72">
      <w:pPr>
        <w:pStyle w:val="Textonotapie"/>
        <w:ind w:firstLine="708"/>
        <w:contextualSpacing/>
        <w:jc w:val="both"/>
        <w:rPr>
          <w:rFonts w:ascii="Verdana" w:hAnsi="Verdana" w:cs="Arial"/>
          <w:sz w:val="16"/>
          <w:szCs w:val="16"/>
        </w:rPr>
      </w:pPr>
      <w:r w:rsidRPr="00B35F67">
        <w:rPr>
          <w:rFonts w:ascii="Verdana" w:hAnsi="Verdana" w:cs="Arial"/>
          <w:sz w:val="16"/>
          <w:szCs w:val="16"/>
        </w:rPr>
        <w:t xml:space="preserve">El capital de las empresas industriales y comerciales del Estado podrá estar representado en cuotas o acciones de igual valor nominal. </w:t>
      </w:r>
    </w:p>
    <w:p w14:paraId="418E165C" w14:textId="77777777" w:rsidR="00385A72" w:rsidRPr="00B35F67" w:rsidRDefault="00385A72" w:rsidP="00385A72">
      <w:pPr>
        <w:pStyle w:val="Textonotapie"/>
        <w:ind w:firstLine="708"/>
        <w:contextualSpacing/>
        <w:jc w:val="both"/>
        <w:rPr>
          <w:rFonts w:ascii="Verdana" w:hAnsi="Verdana" w:cs="Arial"/>
          <w:sz w:val="16"/>
          <w:szCs w:val="16"/>
        </w:rPr>
      </w:pPr>
      <w:r w:rsidRPr="00B35F67">
        <w:rPr>
          <w:rFonts w:ascii="Verdana" w:hAnsi="Verdana" w:cs="Arial"/>
          <w:sz w:val="16"/>
          <w:szCs w:val="16"/>
        </w:rPr>
        <w:t xml:space="preserve">A las empresas industriales y comerciales del Estado y a las sociedades de economía mixta se les aplicará en lo pertinente los artículos 19, numerales 2°, 4°, 5°, 6°, 12, 13, 17, 27, numerales 2°, 3°, 4°, 5°, y 7°, y 183 de la Ley 142 de 1994. </w:t>
      </w:r>
    </w:p>
    <w:p w14:paraId="02FC932E" w14:textId="77777777" w:rsidR="00385A72" w:rsidRPr="00B35F67" w:rsidRDefault="00385A72" w:rsidP="00385A72">
      <w:pPr>
        <w:pStyle w:val="Textonotapie"/>
        <w:ind w:firstLine="708"/>
        <w:contextualSpacing/>
        <w:jc w:val="both"/>
        <w:rPr>
          <w:rFonts w:ascii="Verdana" w:hAnsi="Verdana" w:cs="Arial"/>
          <w:sz w:val="16"/>
          <w:szCs w:val="16"/>
        </w:rPr>
      </w:pPr>
      <w:r w:rsidRPr="00B35F67">
        <w:rPr>
          <w:rFonts w:ascii="Verdana" w:hAnsi="Verdana" w:cs="Arial"/>
          <w:sz w:val="16"/>
          <w:szCs w:val="16"/>
        </w:rPr>
        <w:t xml:space="preserve">Parágrafo. Las disposiciones legales que protegen el secreto industrial y la información comercial se aplicarán a aquellos secretos e informaciones de esa naturaleza que desarrollen y posean las empresas industriales y comerciales del Estado”. </w:t>
      </w:r>
    </w:p>
  </w:footnote>
  <w:footnote w:id="32">
    <w:p w14:paraId="2EA6F154" w14:textId="77777777" w:rsidR="00385A72" w:rsidRPr="00B35F67" w:rsidRDefault="00385A72" w:rsidP="00385A72">
      <w:pPr>
        <w:pStyle w:val="Textonotapie"/>
        <w:ind w:firstLine="708"/>
        <w:jc w:val="both"/>
        <w:rPr>
          <w:rFonts w:ascii="Verdana" w:hAnsi="Verdana"/>
          <w:sz w:val="16"/>
          <w:szCs w:val="16"/>
          <w:lang w:val="es-ES"/>
        </w:rPr>
      </w:pPr>
      <w:r w:rsidRPr="00B35F67">
        <w:rPr>
          <w:rStyle w:val="Refdenotaalpie"/>
          <w:rFonts w:ascii="Verdana" w:hAnsi="Verdana"/>
          <w:sz w:val="16"/>
          <w:szCs w:val="16"/>
        </w:rPr>
        <w:footnoteRef/>
      </w:r>
      <w:r w:rsidRPr="00B35F67">
        <w:rPr>
          <w:rFonts w:ascii="Verdana" w:hAnsi="Verdana"/>
          <w:sz w:val="16"/>
          <w:szCs w:val="16"/>
        </w:rPr>
        <w:t xml:space="preserve"> </w:t>
      </w:r>
      <w:r w:rsidRPr="00B35F67">
        <w:rPr>
          <w:rFonts w:ascii="Verdana" w:hAnsi="Verdana"/>
          <w:sz w:val="16"/>
          <w:szCs w:val="16"/>
          <w:lang w:val="es-ES"/>
        </w:rPr>
        <w:t xml:space="preserve">La doctrina chilena ilustra su aplicación en los siguientes términos: “La ley se ha de entender general e indistintamente. Cuando la ley no hace excepción alguna, pudiendo haberla hecho, no podemos separarnos de su disposición general por medio de una distinción que ella no ha formulado. </w:t>
      </w:r>
      <w:r w:rsidRPr="00B35F67">
        <w:rPr>
          <w:rFonts w:ascii="Verdana" w:hAnsi="Verdana"/>
          <w:i/>
          <w:iCs/>
          <w:sz w:val="16"/>
          <w:szCs w:val="16"/>
          <w:lang w:val="es-ES"/>
        </w:rPr>
        <w:t>Ubi lex non distinguit nec nos distinguere debemus</w:t>
      </w:r>
      <w:r w:rsidRPr="00B35F67">
        <w:rPr>
          <w:rFonts w:ascii="Verdana" w:hAnsi="Verdana"/>
          <w:sz w:val="16"/>
          <w:szCs w:val="16"/>
          <w:lang w:val="es-ES"/>
        </w:rPr>
        <w:t>, ‘donde la ley no distingue no puede el hombre distinguir’. ‘La extensión que deba dársele a la ley se determinará por su genuino sentido y según las reglas de interpretación precedentes’, dice el artículo 23.</w:t>
      </w:r>
    </w:p>
    <w:p w14:paraId="5584DE09" w14:textId="77777777" w:rsidR="00385A72" w:rsidRPr="00B35F67" w:rsidRDefault="00385A72" w:rsidP="00385A72">
      <w:pPr>
        <w:pStyle w:val="Textonotapie"/>
        <w:ind w:firstLine="708"/>
        <w:jc w:val="both"/>
        <w:rPr>
          <w:rFonts w:ascii="Verdana" w:hAnsi="Verdana"/>
          <w:sz w:val="16"/>
          <w:szCs w:val="16"/>
          <w:lang w:val="es-CO"/>
        </w:rPr>
      </w:pPr>
      <w:r w:rsidRPr="00B35F67">
        <w:rPr>
          <w:rFonts w:ascii="Verdana" w:hAnsi="Verdana"/>
          <w:sz w:val="16"/>
          <w:szCs w:val="16"/>
          <w:lang w:val="es-ES"/>
        </w:rPr>
        <w:t xml:space="preserve">En el derecho antiguo y en el derecho canónico se distinguían las leyes en favorables y odiosas, para ampliar o restringir su interpretación. </w:t>
      </w:r>
      <w:r w:rsidRPr="00B35F67">
        <w:rPr>
          <w:rFonts w:ascii="Verdana" w:hAnsi="Verdana"/>
          <w:i/>
          <w:iCs/>
          <w:sz w:val="16"/>
          <w:szCs w:val="16"/>
          <w:lang w:val="es-ES"/>
        </w:rPr>
        <w:t>Odia restringí et favores convenit ampliari</w:t>
      </w:r>
      <w:r w:rsidRPr="00B35F67">
        <w:rPr>
          <w:rFonts w:ascii="Verdana" w:hAnsi="Verdana"/>
          <w:sz w:val="16"/>
          <w:szCs w:val="16"/>
          <w:lang w:val="es-ES"/>
        </w:rPr>
        <w:t xml:space="preserve">. Según esto se tomaban las palabras en su más amplia y extensa significación en materia favorable y se procuraba limitar en lo posible, en caso de duda, en materia odiosa. Estas reglas de aplicación de las leyes eran contrarias a los principios de una correcta interpretación, que no tiene otro objeto que reconstruir el pensamiento del legislador y llegar por este medio al conocimiento completo de la ley. Por este motivo el Código no las admite […]” (Cfr. </w:t>
      </w:r>
      <w:r w:rsidRPr="00B35F67">
        <w:rPr>
          <w:rFonts w:ascii="Verdana" w:hAnsi="Verdana"/>
          <w:sz w:val="16"/>
          <w:szCs w:val="16"/>
        </w:rPr>
        <w:t>CLARO SOLAR, Luis. Explicaciones de derecho civil chileno y comparado. Volumen I. Tomo I. Santiago: Editorial Jurídica de Chile, 2013. p. 119. Énfasis dentro del texto).</w:t>
      </w:r>
    </w:p>
  </w:footnote>
  <w:footnote w:id="33">
    <w:p w14:paraId="6546EACA" w14:textId="77777777" w:rsidR="00385A72" w:rsidRPr="00B35F67" w:rsidRDefault="00385A72" w:rsidP="00385A72">
      <w:pPr>
        <w:pStyle w:val="Textonotapie"/>
        <w:ind w:firstLine="709"/>
        <w:contextualSpacing/>
        <w:jc w:val="both"/>
        <w:rPr>
          <w:rFonts w:ascii="Verdana" w:hAnsi="Verdana"/>
          <w:sz w:val="16"/>
          <w:szCs w:val="16"/>
          <w:lang w:val="es-CO"/>
        </w:rPr>
      </w:pPr>
      <w:r w:rsidRPr="00B35F67">
        <w:rPr>
          <w:rStyle w:val="Refdenotaalpie"/>
          <w:rFonts w:ascii="Verdana" w:hAnsi="Verdana"/>
          <w:sz w:val="16"/>
          <w:szCs w:val="16"/>
        </w:rPr>
        <w:footnoteRef/>
      </w:r>
      <w:r w:rsidRPr="00B35F67">
        <w:rPr>
          <w:rFonts w:ascii="Verdana" w:hAnsi="Verdana"/>
          <w:sz w:val="16"/>
          <w:szCs w:val="16"/>
          <w:lang w:val="es-CO"/>
        </w:rPr>
        <w:t xml:space="preserve"> Consejo de Estado, Sección Tercera, Subsección B. Auto del 4 de octubre de 2024. C.P: Fredy Ibarra Martínez. Exp. 70.313.</w:t>
      </w:r>
    </w:p>
  </w:footnote>
  <w:footnote w:id="34">
    <w:p w14:paraId="6CAA3A52" w14:textId="77777777" w:rsidR="00385A72" w:rsidRPr="00B35F67" w:rsidRDefault="00385A72" w:rsidP="00385A72">
      <w:pPr>
        <w:pStyle w:val="Textonotapie"/>
        <w:ind w:firstLine="709"/>
        <w:contextualSpacing/>
        <w:jc w:val="both"/>
        <w:rPr>
          <w:rFonts w:ascii="Verdana" w:hAnsi="Verdana"/>
          <w:sz w:val="16"/>
          <w:szCs w:val="16"/>
          <w:lang w:val="es-CO"/>
        </w:rPr>
      </w:pPr>
      <w:r w:rsidRPr="00B35F67">
        <w:rPr>
          <w:rStyle w:val="Refdenotaalpie"/>
          <w:rFonts w:ascii="Verdana" w:hAnsi="Verdana"/>
          <w:sz w:val="16"/>
          <w:szCs w:val="16"/>
        </w:rPr>
        <w:footnoteRef/>
      </w:r>
      <w:r w:rsidRPr="00B35F67">
        <w:rPr>
          <w:rFonts w:ascii="Verdana" w:hAnsi="Verdana"/>
          <w:sz w:val="16"/>
          <w:szCs w:val="16"/>
        </w:rPr>
        <w:t xml:space="preserve"> La parte resolutiva del auto dispone lo siguiente; “</w:t>
      </w:r>
      <w:r w:rsidRPr="00B35F67">
        <w:rPr>
          <w:rFonts w:ascii="Verdana" w:hAnsi="Verdana"/>
          <w:b/>
          <w:sz w:val="16"/>
          <w:szCs w:val="16"/>
          <w:lang w:val="es-CO"/>
        </w:rPr>
        <w:t xml:space="preserve">PRIMERO: DECRETAR </w:t>
      </w:r>
      <w:r w:rsidRPr="00B35F67">
        <w:rPr>
          <w:rFonts w:ascii="Verdana" w:hAnsi="Verdana"/>
          <w:sz w:val="16"/>
          <w:szCs w:val="16"/>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B35F67">
        <w:rPr>
          <w:rFonts w:ascii="Verdana" w:hAnsi="Verdana"/>
          <w:i/>
          <w:sz w:val="16"/>
          <w:szCs w:val="16"/>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B35F67">
        <w:rPr>
          <w:rFonts w:ascii="Verdana" w:hAnsi="Verdana"/>
          <w:sz w:val="16"/>
          <w:szCs w:val="16"/>
          <w:lang w:val="es-CO"/>
        </w:rPr>
        <w:t xml:space="preserve">, por las razones expuestas en precedencia. </w:t>
      </w:r>
    </w:p>
    <w:p w14:paraId="598C4E0E" w14:textId="77777777" w:rsidR="00385A72" w:rsidRPr="00B35F67" w:rsidRDefault="00385A72" w:rsidP="00385A72">
      <w:pPr>
        <w:pStyle w:val="Textonotapie"/>
        <w:ind w:firstLine="709"/>
        <w:contextualSpacing/>
        <w:jc w:val="both"/>
        <w:rPr>
          <w:rFonts w:ascii="Verdana" w:hAnsi="Verdana"/>
          <w:sz w:val="16"/>
          <w:szCs w:val="16"/>
          <w:lang w:val="es-CO"/>
        </w:rPr>
      </w:pPr>
      <w:r w:rsidRPr="00B35F67">
        <w:rPr>
          <w:rFonts w:ascii="Verdana" w:hAnsi="Verdana"/>
          <w:b/>
          <w:sz w:val="16"/>
          <w:szCs w:val="16"/>
          <w:lang w:val="es-CO"/>
        </w:rPr>
        <w:t xml:space="preserve">SEGUNDO: DECRETAR </w:t>
      </w:r>
      <w:r w:rsidRPr="00B35F67">
        <w:rPr>
          <w:rFonts w:ascii="Verdana" w:hAnsi="Verdana"/>
          <w:sz w:val="16"/>
          <w:szCs w:val="16"/>
          <w:lang w:val="es-CO"/>
        </w:rPr>
        <w:t>la suspensión provisional de la expresión “</w:t>
      </w:r>
      <w:r w:rsidRPr="00B35F67">
        <w:rPr>
          <w:rFonts w:ascii="Verdana" w:hAnsi="Verdana"/>
          <w:i/>
          <w:sz w:val="16"/>
          <w:szCs w:val="16"/>
          <w:lang w:val="es-CO"/>
        </w:rPr>
        <w:t>contratos</w:t>
      </w:r>
      <w:r w:rsidRPr="00B35F67">
        <w:rPr>
          <w:rFonts w:ascii="Verdana" w:hAnsi="Verdana"/>
          <w:sz w:val="16"/>
          <w:szCs w:val="16"/>
          <w:lang w:val="es-CO"/>
        </w:rPr>
        <w:t xml:space="preserve">” y del párrafo </w:t>
      </w:r>
      <w:r w:rsidRPr="00B35F67">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B35F67">
        <w:rPr>
          <w:rFonts w:ascii="Verdana" w:hAnsi="Verdana"/>
          <w:sz w:val="16"/>
          <w:szCs w:val="16"/>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Flórez. </w:t>
      </w:r>
    </w:p>
  </w:footnote>
  <w:footnote w:id="35">
    <w:p w14:paraId="769B4912" w14:textId="77777777" w:rsidR="00385A72" w:rsidRPr="00B35F67" w:rsidRDefault="00385A72" w:rsidP="00385A72">
      <w:pPr>
        <w:spacing w:after="0" w:line="240" w:lineRule="auto"/>
        <w:ind w:firstLine="709"/>
        <w:contextualSpacing/>
        <w:jc w:val="both"/>
        <w:rPr>
          <w:rFonts w:ascii="Verdana" w:eastAsia="Times New Roman" w:hAnsi="Verdana" w:cs="Times New Roman"/>
          <w:sz w:val="16"/>
          <w:szCs w:val="16"/>
          <w:lang w:eastAsia="es-ES"/>
        </w:rPr>
      </w:pPr>
      <w:r w:rsidRPr="00B35F67">
        <w:rPr>
          <w:rStyle w:val="Refdenotaalpie"/>
          <w:rFonts w:ascii="Verdana" w:hAnsi="Verdana"/>
          <w:sz w:val="16"/>
          <w:szCs w:val="16"/>
        </w:rPr>
        <w:footnoteRef/>
      </w:r>
      <w:r w:rsidRPr="00B35F67">
        <w:rPr>
          <w:rFonts w:ascii="Verdana" w:hAnsi="Verdana"/>
          <w:sz w:val="16"/>
          <w:szCs w:val="16"/>
        </w:rPr>
        <w:t xml:space="preserve"> </w:t>
      </w:r>
      <w:r w:rsidRPr="00B35F67">
        <w:rPr>
          <w:rFonts w:ascii="Verdana" w:eastAsia="Times New Roman" w:hAnsi="Verdana" w:cs="Times New Roman"/>
          <w:sz w:val="16"/>
          <w:szCs w:val="16"/>
          <w:lang w:eastAsia="es-ES"/>
        </w:rPr>
        <w:t xml:space="preserve">Consejo de Estado. Sección Tercera. Subsección B. 17 de octubre de 2025. C.P. Fredy Ibarra Martínez. </w:t>
      </w:r>
      <w:r w:rsidRPr="00B35F67">
        <w:rPr>
          <w:rFonts w:ascii="Verdana" w:hAnsi="Verdana"/>
          <w:sz w:val="16"/>
          <w:szCs w:val="16"/>
        </w:rPr>
        <w:t xml:space="preserve">La parte de la providencia señala: </w:t>
      </w:r>
      <w:r w:rsidRPr="00B35F67">
        <w:rPr>
          <w:rFonts w:ascii="Verdana" w:eastAsia="Times New Roman" w:hAnsi="Verdana" w:cs="Times New Roman"/>
          <w:sz w:val="16"/>
          <w:szCs w:val="16"/>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36">
    <w:p w14:paraId="3E4F3D83" w14:textId="77777777" w:rsidR="00385A72" w:rsidRPr="00B35F67" w:rsidRDefault="00385A72" w:rsidP="00385A72">
      <w:pPr>
        <w:pStyle w:val="Textonotapie"/>
        <w:ind w:firstLine="709"/>
        <w:jc w:val="both"/>
        <w:rPr>
          <w:rFonts w:ascii="Verdana" w:hAnsi="Verdana"/>
          <w:sz w:val="16"/>
          <w:szCs w:val="16"/>
          <w:lang w:val="es-CO"/>
        </w:rPr>
      </w:pPr>
      <w:r w:rsidRPr="00B35F67">
        <w:rPr>
          <w:rStyle w:val="Refdenotaalpie"/>
          <w:rFonts w:ascii="Verdana" w:hAnsi="Verdana"/>
          <w:sz w:val="16"/>
          <w:szCs w:val="16"/>
        </w:rPr>
        <w:footnoteRef/>
      </w:r>
      <w:r w:rsidRPr="00B35F67">
        <w:rPr>
          <w:rFonts w:ascii="Verdana" w:hAnsi="Verdana"/>
          <w:sz w:val="16"/>
          <w:szCs w:val="16"/>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 w:id="37">
    <w:p w14:paraId="00F79BBE" w14:textId="77777777" w:rsidR="00385A72" w:rsidRPr="00B35F67" w:rsidRDefault="00385A72" w:rsidP="00385A72">
      <w:pPr>
        <w:pStyle w:val="Textonotapie"/>
        <w:ind w:firstLine="720"/>
        <w:jc w:val="both"/>
        <w:rPr>
          <w:rFonts w:ascii="Verdana" w:hAnsi="Verdana" w:cs="Arial"/>
          <w:sz w:val="16"/>
          <w:szCs w:val="16"/>
        </w:rPr>
      </w:pPr>
      <w:r w:rsidRPr="00B35F67">
        <w:rPr>
          <w:rStyle w:val="Refdenotaalpie"/>
          <w:rFonts w:ascii="Verdana" w:hAnsi="Verdana" w:cs="Arial"/>
          <w:sz w:val="16"/>
          <w:szCs w:val="16"/>
        </w:rPr>
        <w:footnoteRef/>
      </w:r>
      <w:r w:rsidRPr="00B35F67">
        <w:rPr>
          <w:rFonts w:ascii="Verdana" w:hAnsi="Verdana" w:cs="Arial"/>
          <w:sz w:val="16"/>
          <w:szCs w:val="16"/>
        </w:rPr>
        <w:t xml:space="preserve"> Sin perjuicio de las restricciones establecidas para la modalidad de contratación directa en el artículo 33 de la Ley 996 de 2005 en la etapa preelectoral para la elección del Presidente y Vicepresidente de la República.</w:t>
      </w:r>
    </w:p>
  </w:footnote>
  <w:footnote w:id="38">
    <w:p w14:paraId="361E70A3" w14:textId="77777777" w:rsidR="00385A72" w:rsidRPr="00B35F67" w:rsidRDefault="00385A72" w:rsidP="00385A72">
      <w:pPr>
        <w:pStyle w:val="Textonotapie"/>
        <w:ind w:firstLine="720"/>
        <w:jc w:val="both"/>
        <w:rPr>
          <w:rFonts w:ascii="Verdana" w:hAnsi="Verdana" w:cs="Arial"/>
          <w:sz w:val="16"/>
          <w:szCs w:val="16"/>
        </w:rPr>
      </w:pPr>
      <w:r w:rsidRPr="00B35F67">
        <w:rPr>
          <w:rStyle w:val="Refdenotaalpie"/>
          <w:rFonts w:ascii="Verdana" w:hAnsi="Verdana" w:cs="Arial"/>
          <w:sz w:val="16"/>
          <w:szCs w:val="16"/>
        </w:rPr>
        <w:footnoteRef/>
      </w:r>
      <w:r w:rsidRPr="00B35F67">
        <w:rPr>
          <w:rFonts w:ascii="Verdana" w:hAnsi="Verdana" w:cs="Arial"/>
          <w:sz w:val="16"/>
          <w:szCs w:val="16"/>
        </w:rPr>
        <w:t xml:space="preserve"> Consejo de Estado, Sección Tercera. Subsección “B”. Sentencia del 16 de marzo de 2017, Rad: 25000232400020040089401. C.P. Ramiro Pazos Guerrero.</w:t>
      </w:r>
    </w:p>
  </w:footnote>
  <w:footnote w:id="39">
    <w:p w14:paraId="48D3E1ED" w14:textId="77777777" w:rsidR="00385A72" w:rsidRPr="00B35F67" w:rsidRDefault="00385A72" w:rsidP="00385A72">
      <w:pPr>
        <w:pStyle w:val="NormalWeb"/>
        <w:shd w:val="clear" w:color="auto" w:fill="FFFFFF"/>
        <w:spacing w:before="0" w:beforeAutospacing="0" w:after="0" w:afterAutospacing="0"/>
        <w:ind w:firstLine="720"/>
        <w:jc w:val="both"/>
        <w:rPr>
          <w:rFonts w:ascii="Verdana" w:hAnsi="Verdana" w:cs="Arial"/>
          <w:sz w:val="16"/>
          <w:szCs w:val="16"/>
        </w:rPr>
      </w:pPr>
    </w:p>
    <w:p w14:paraId="038F15B2" w14:textId="77777777" w:rsidR="00385A72" w:rsidRPr="00B35F67" w:rsidRDefault="00385A72" w:rsidP="00385A72">
      <w:pPr>
        <w:pStyle w:val="NormalWeb"/>
        <w:shd w:val="clear" w:color="auto" w:fill="FFFFFF"/>
        <w:spacing w:before="0" w:beforeAutospacing="0" w:after="0" w:afterAutospacing="0"/>
        <w:ind w:firstLine="720"/>
        <w:jc w:val="both"/>
        <w:rPr>
          <w:rFonts w:ascii="Verdana" w:hAnsi="Verdana" w:cs="Arial"/>
          <w:sz w:val="16"/>
          <w:szCs w:val="16"/>
        </w:rPr>
      </w:pPr>
      <w:r w:rsidRPr="00B35F67">
        <w:rPr>
          <w:rStyle w:val="Refdenotaalpie"/>
          <w:rFonts w:ascii="Verdana" w:hAnsi="Verdana" w:cs="Arial"/>
          <w:sz w:val="16"/>
          <w:szCs w:val="16"/>
        </w:rPr>
        <w:footnoteRef/>
      </w:r>
      <w:r w:rsidRPr="00B35F67">
        <w:rPr>
          <w:rFonts w:ascii="Verdana" w:hAnsi="Verdana" w:cs="Arial"/>
          <w:sz w:val="16"/>
          <w:szCs w:val="16"/>
        </w:rPr>
        <w:t xml:space="preserve"> Decreto 1082 de 2015. “</w:t>
      </w:r>
      <w:r w:rsidRPr="00B35F67">
        <w:rPr>
          <w:rStyle w:val="Textoennegrita"/>
          <w:rFonts w:ascii="Verdana" w:hAnsi="Verdana" w:cs="Arial"/>
          <w:sz w:val="16"/>
          <w:szCs w:val="16"/>
        </w:rPr>
        <w:t>Artículo 2.2.1.2.1.4.10. </w:t>
      </w:r>
      <w:r w:rsidRPr="00B35F67">
        <w:rPr>
          <w:rStyle w:val="nfasis"/>
          <w:rFonts w:ascii="Verdana" w:hAnsi="Verdana" w:cs="Arial"/>
          <w:sz w:val="16"/>
          <w:szCs w:val="16"/>
        </w:rPr>
        <w:t>Adquisición de bienes inmuebles. </w:t>
      </w:r>
      <w:r w:rsidRPr="00B35F67">
        <w:rPr>
          <w:rFonts w:ascii="Verdana" w:hAnsi="Verdana" w:cs="Arial"/>
          <w:sz w:val="16"/>
          <w:szCs w:val="16"/>
        </w:rPr>
        <w:t>Las Entidades Estatales pueden adquirir bienes inmuebles mediante contratación directa para lo cual deben seguir las siguientes reglas:</w:t>
      </w:r>
    </w:p>
    <w:p w14:paraId="234003EA" w14:textId="77777777" w:rsidR="00385A72" w:rsidRPr="00B35F67" w:rsidRDefault="00385A72" w:rsidP="00385A72">
      <w:pPr>
        <w:pStyle w:val="NormalWeb"/>
        <w:shd w:val="clear" w:color="auto" w:fill="FFFFFF"/>
        <w:spacing w:before="0" w:beforeAutospacing="0" w:after="0" w:afterAutospacing="0"/>
        <w:ind w:firstLine="720"/>
        <w:jc w:val="both"/>
        <w:rPr>
          <w:rFonts w:ascii="Verdana" w:hAnsi="Verdana" w:cs="Arial"/>
          <w:sz w:val="16"/>
          <w:szCs w:val="16"/>
        </w:rPr>
      </w:pPr>
      <w:r w:rsidRPr="00B35F67">
        <w:rPr>
          <w:rFonts w:ascii="Verdana" w:hAnsi="Verdana" w:cs="Arial"/>
          <w:sz w:val="16"/>
          <w:szCs w:val="16"/>
        </w:rPr>
        <w:t>“1. Avaluar con una institución especializada el bien o los bienes inmuebles identificados que satisfagan las necesidades que tiene la Entidad Estatal.</w:t>
      </w:r>
    </w:p>
    <w:p w14:paraId="69E2EEF6" w14:textId="77777777" w:rsidR="00385A72" w:rsidRPr="00B35F67" w:rsidRDefault="00385A72" w:rsidP="00385A72">
      <w:pPr>
        <w:pStyle w:val="NormalWeb"/>
        <w:shd w:val="clear" w:color="auto" w:fill="FFFFFF"/>
        <w:spacing w:before="0" w:beforeAutospacing="0" w:after="0" w:afterAutospacing="0"/>
        <w:ind w:firstLine="720"/>
        <w:jc w:val="both"/>
        <w:rPr>
          <w:rFonts w:ascii="Verdana" w:hAnsi="Verdana" w:cs="Arial"/>
          <w:sz w:val="16"/>
          <w:szCs w:val="16"/>
        </w:rPr>
      </w:pPr>
      <w:r w:rsidRPr="00B35F67">
        <w:rPr>
          <w:rFonts w:ascii="Verdana" w:hAnsi="Verdana" w:cs="Arial"/>
          <w:sz w:val="16"/>
          <w:szCs w:val="16"/>
        </w:rPr>
        <w:t>“2. Analizar y comparar las condiciones de los bienes inmuebles que satisfacen las ne</w:t>
      </w:r>
      <w:r w:rsidRPr="00B35F67">
        <w:rPr>
          <w:rFonts w:ascii="Verdana" w:hAnsi="Verdana" w:cs="Arial"/>
          <w:sz w:val="16"/>
          <w:szCs w:val="16"/>
        </w:rPr>
        <w:softHyphen/>
        <w:t>cesidades identificadas y las opciones de adquisición, análisis que deberá tener en cuenta los principios y objetivos del sistema de compras y contratación pública.</w:t>
      </w:r>
    </w:p>
    <w:p w14:paraId="41F65418" w14:textId="77777777" w:rsidR="00385A72" w:rsidRPr="00B35F67" w:rsidRDefault="00385A72" w:rsidP="00385A72">
      <w:pPr>
        <w:pStyle w:val="NormalWeb"/>
        <w:shd w:val="clear" w:color="auto" w:fill="FFFFFF"/>
        <w:spacing w:before="0" w:beforeAutospacing="0" w:after="0" w:afterAutospacing="0"/>
        <w:ind w:firstLine="720"/>
        <w:jc w:val="both"/>
        <w:rPr>
          <w:rFonts w:ascii="Verdana" w:hAnsi="Verdana" w:cs="Arial"/>
          <w:sz w:val="16"/>
          <w:szCs w:val="16"/>
        </w:rPr>
      </w:pPr>
      <w:r w:rsidRPr="00B35F67">
        <w:rPr>
          <w:rFonts w:ascii="Verdana" w:hAnsi="Verdana" w:cs="Arial"/>
          <w:sz w:val="16"/>
          <w:szCs w:val="16"/>
        </w:rPr>
        <w:t>“3. La Entidad Estatal puede hacer parte de un proyecto inmobiliario para adquirir el bien inmueble que satisfaga la necesidad que ha identificado, caso en el cual no requiere el avalúo de que trata el numeral 1 anterior”.</w:t>
      </w:r>
    </w:p>
    <w:p w14:paraId="2204F8CF" w14:textId="77777777" w:rsidR="00385A72" w:rsidRPr="00B35F67" w:rsidRDefault="00385A72" w:rsidP="00385A72">
      <w:pPr>
        <w:pStyle w:val="Textonotapie"/>
        <w:ind w:firstLine="720"/>
        <w:jc w:val="both"/>
        <w:rPr>
          <w:rFonts w:ascii="Verdana" w:hAnsi="Verdana" w:cs="Arial"/>
          <w:sz w:val="16"/>
          <w:szCs w:val="16"/>
          <w:lang w:val="es-CO"/>
        </w:rPr>
      </w:pPr>
    </w:p>
  </w:footnote>
  <w:footnote w:id="40">
    <w:p w14:paraId="33C9D9BE" w14:textId="77777777" w:rsidR="00385A72" w:rsidRPr="00B35F67" w:rsidRDefault="00385A72" w:rsidP="00385A72">
      <w:pPr>
        <w:spacing w:after="0" w:line="240" w:lineRule="auto"/>
        <w:ind w:firstLine="720"/>
        <w:jc w:val="both"/>
        <w:rPr>
          <w:rFonts w:ascii="Verdana" w:hAnsi="Verdana" w:cs="Arial"/>
          <w:sz w:val="16"/>
          <w:szCs w:val="16"/>
        </w:rPr>
      </w:pPr>
      <w:r w:rsidRPr="00B35F67">
        <w:rPr>
          <w:rStyle w:val="Refdenotaalpie"/>
          <w:rFonts w:ascii="Verdana" w:hAnsi="Verdana" w:cs="Arial"/>
          <w:sz w:val="16"/>
          <w:szCs w:val="16"/>
        </w:rPr>
        <w:footnoteRef/>
      </w:r>
      <w:r w:rsidRPr="00B35F67">
        <w:rPr>
          <w:rFonts w:ascii="Verdana" w:hAnsi="Verdana" w:cs="Arial"/>
          <w:sz w:val="16"/>
          <w:szCs w:val="16"/>
        </w:rPr>
        <w:t xml:space="preserve"> Artículo 2.2.1.2.1.4.1. La Entidad Estatal debe señalar en un acto administrativo la justificación para contratar bajo la modalidad de contratación directa, el cual debe contener:</w:t>
      </w:r>
    </w:p>
    <w:p w14:paraId="61B31EDF" w14:textId="77777777" w:rsidR="00385A72" w:rsidRPr="00B35F67" w:rsidRDefault="00385A72" w:rsidP="00385A72">
      <w:pPr>
        <w:spacing w:after="0" w:line="240" w:lineRule="auto"/>
        <w:ind w:firstLine="720"/>
        <w:jc w:val="both"/>
        <w:rPr>
          <w:rFonts w:ascii="Verdana" w:hAnsi="Verdana" w:cs="Arial"/>
          <w:sz w:val="16"/>
          <w:szCs w:val="16"/>
        </w:rPr>
      </w:pPr>
      <w:r w:rsidRPr="00B35F67">
        <w:rPr>
          <w:rFonts w:ascii="Verdana" w:hAnsi="Verdana" w:cs="Arial"/>
          <w:sz w:val="16"/>
          <w:szCs w:val="16"/>
        </w:rPr>
        <w:t>1.    La causal que invoca para contratar directamente.</w:t>
      </w:r>
    </w:p>
    <w:p w14:paraId="2FB42A7A" w14:textId="77777777" w:rsidR="00385A72" w:rsidRPr="00B35F67" w:rsidRDefault="00385A72" w:rsidP="00385A72">
      <w:pPr>
        <w:spacing w:after="0" w:line="240" w:lineRule="auto"/>
        <w:ind w:firstLine="720"/>
        <w:jc w:val="both"/>
        <w:rPr>
          <w:rFonts w:ascii="Verdana" w:hAnsi="Verdana" w:cs="Arial"/>
          <w:sz w:val="16"/>
          <w:szCs w:val="16"/>
        </w:rPr>
      </w:pPr>
      <w:r w:rsidRPr="00B35F67">
        <w:rPr>
          <w:rFonts w:ascii="Verdana" w:hAnsi="Verdana" w:cs="Arial"/>
          <w:sz w:val="16"/>
          <w:szCs w:val="16"/>
        </w:rPr>
        <w:t>2.    El objeto del contrato.</w:t>
      </w:r>
    </w:p>
    <w:p w14:paraId="2DCE5F84" w14:textId="77777777" w:rsidR="00385A72" w:rsidRPr="00B35F67" w:rsidRDefault="00385A72" w:rsidP="00385A72">
      <w:pPr>
        <w:spacing w:after="0" w:line="240" w:lineRule="auto"/>
        <w:ind w:firstLine="720"/>
        <w:jc w:val="both"/>
        <w:rPr>
          <w:rFonts w:ascii="Verdana" w:hAnsi="Verdana" w:cs="Arial"/>
          <w:sz w:val="16"/>
          <w:szCs w:val="16"/>
        </w:rPr>
      </w:pPr>
      <w:r w:rsidRPr="00B35F67">
        <w:rPr>
          <w:rFonts w:ascii="Verdana" w:hAnsi="Verdana" w:cs="Arial"/>
          <w:sz w:val="16"/>
          <w:szCs w:val="16"/>
        </w:rPr>
        <w:t>3.    El presupuesto para la contratación y las condiciones que exigirá al contratista.</w:t>
      </w:r>
    </w:p>
    <w:p w14:paraId="61331295" w14:textId="77777777" w:rsidR="00385A72" w:rsidRPr="00B35F67" w:rsidRDefault="00385A72" w:rsidP="00385A72">
      <w:pPr>
        <w:spacing w:after="0" w:line="240" w:lineRule="auto"/>
        <w:ind w:firstLine="720"/>
        <w:jc w:val="both"/>
        <w:rPr>
          <w:rFonts w:ascii="Verdana" w:hAnsi="Verdana" w:cs="Arial"/>
          <w:sz w:val="16"/>
          <w:szCs w:val="16"/>
        </w:rPr>
      </w:pPr>
      <w:r w:rsidRPr="00B35F67">
        <w:rPr>
          <w:rFonts w:ascii="Verdana" w:hAnsi="Verdana" w:cs="Arial"/>
          <w:sz w:val="16"/>
          <w:szCs w:val="16"/>
        </w:rPr>
        <w:t>4.    El lugar en el cual los interesados pueden consultar los estudios y documentos previos.</w:t>
      </w:r>
    </w:p>
    <w:p w14:paraId="7F5CD0D7" w14:textId="77777777" w:rsidR="00385A72" w:rsidRPr="00B35F67" w:rsidRDefault="00385A72" w:rsidP="00385A72">
      <w:pPr>
        <w:spacing w:after="0" w:line="240" w:lineRule="auto"/>
        <w:ind w:firstLine="720"/>
        <w:jc w:val="both"/>
        <w:rPr>
          <w:rFonts w:ascii="Verdana" w:hAnsi="Verdana" w:cs="Arial"/>
          <w:sz w:val="16"/>
          <w:szCs w:val="16"/>
        </w:rPr>
      </w:pPr>
      <w:r w:rsidRPr="00B35F67">
        <w:rPr>
          <w:rFonts w:ascii="Verdana" w:hAnsi="Verdana" w:cs="Arial"/>
          <w:sz w:val="16"/>
          <w:szCs w:val="16"/>
        </w:rPr>
        <w:t>Este acto administrativo no es necesario cuando el contrato a celebrar es de prestación de servicios profesionales y de apoyo a la gestión, y para los contratos de que tratan los literales (a) y (b) del artículo 2.2.1.2.1.4.3 del presente decreto.</w:t>
      </w:r>
    </w:p>
  </w:footnote>
  <w:footnote w:id="41">
    <w:p w14:paraId="26C4CBD5" w14:textId="77777777" w:rsidR="00385A72" w:rsidRPr="00B35F67" w:rsidRDefault="00385A72" w:rsidP="00385A72">
      <w:pPr>
        <w:pStyle w:val="Textoindependiente"/>
        <w:ind w:firstLine="720"/>
        <w:jc w:val="both"/>
        <w:rPr>
          <w:sz w:val="16"/>
          <w:szCs w:val="16"/>
        </w:rPr>
      </w:pPr>
      <w:r w:rsidRPr="00B35F67">
        <w:rPr>
          <w:rStyle w:val="Refdenotaalpie"/>
          <w:sz w:val="16"/>
          <w:szCs w:val="16"/>
        </w:rPr>
        <w:footnoteRef/>
      </w:r>
      <w:r w:rsidRPr="00B35F67">
        <w:rPr>
          <w:sz w:val="16"/>
          <w:szCs w:val="16"/>
        </w:rPr>
        <w:t xml:space="preserve"> La Corte Constitucional, en Sentencia C-300 de 2012 M.P. Jorge Ignacio Pretel Chaljub, consideró al respecto: “El principio de planeación hace referencia al deber de la entidad contratante de realizar estudios previos adecuados (estudios de prefactibilidad, factibilidad, ingeniería, suelos, etc.), con el fin de precisar el objeto del contrato, las obligaciones mutuas de las partes, la distribución de los riesgos y el precio, estructurar debidamente su financiación y permitir a los interesados diseñar sus ofertas y buscar diferentes fuentes de recursos.</w:t>
      </w:r>
    </w:p>
    <w:p w14:paraId="66CC6A71" w14:textId="77777777" w:rsidR="00385A72" w:rsidRPr="00B35F67" w:rsidRDefault="00385A72" w:rsidP="00385A72">
      <w:pPr>
        <w:pStyle w:val="Textoindependiente"/>
        <w:ind w:firstLine="720"/>
        <w:jc w:val="both"/>
        <w:rPr>
          <w:sz w:val="16"/>
          <w:szCs w:val="16"/>
        </w:rPr>
      </w:pPr>
      <w:r w:rsidRPr="00B35F67">
        <w:rPr>
          <w:sz w:val="16"/>
          <w:szCs w:val="16"/>
        </w:rPr>
        <w:t>“Este principio está entonces directamente relacionado con los de economía, eficacia, racionalidad de la intervención estatal y libre concurrencia. De un lado, se relaciona con los principios de economía y eficacia (artículo 209 superior) y racionalidad de la intervención estatal (artículo 334 superior), pues los estudios previos no son solamente necesarios para la adecuada ejecución del contrato -en términos de calidad y tiempo, sino también para evitar mayores costos a la administración fruto de modificaciones sobrevinientes imputables a la entidad y que redunden en una obligación de restablecer el equilibrio económico del contrato sin posibilidad de negociación de los precios. Ciertamente, los estudios previos determinan el retorno que pueden esperar los inversionistas, el cual, si no es obtenido por causas imputables al Estado en el marco del esquema de distribución de riesgos, puede llevar a condenas judiciales o a la necesidad de renegociaciones a favor del contratista.</w:t>
      </w:r>
    </w:p>
    <w:p w14:paraId="4B1C5681" w14:textId="77777777" w:rsidR="00385A72" w:rsidRPr="00B35F67" w:rsidRDefault="00385A72" w:rsidP="00385A72">
      <w:pPr>
        <w:pStyle w:val="Textoindependiente"/>
        <w:ind w:firstLine="720"/>
        <w:jc w:val="both"/>
        <w:rPr>
          <w:rFonts w:cs="Arial"/>
          <w:sz w:val="16"/>
          <w:szCs w:val="16"/>
        </w:rPr>
      </w:pPr>
      <w:r w:rsidRPr="00B35F67">
        <w:rPr>
          <w:sz w:val="16"/>
          <w:szCs w:val="16"/>
        </w:rPr>
        <w:t>“De otro lado, se relaciona con el principio de libre concurrencia –manifestación de los principios constitucionales de libre competencia e igualdad, ya que permite que cualquier interesado con posibilidad de presentar una buena oferta según la información disponible, pueda participar en el respectivo proceso de selección; si la información fruto de la etapa precontractual es lejana a la realidad del negocio, posibles oferentes se abstendrán de presentar propuestas, en perjuicio de la libre competencia, y de la posibilidad de la entidad de acceder a ofertas más favorables. En este punto, vale la pena recordar que en los contratos de concesión, usualmente el concesionario acude a la financiación de terceros (por medio de créditos, venta de títulos, etc.), razón por la cual es indispensable contar con una imagen lo más cercana a la realidad de las dimensiones del negocio, con el fin de que los inversionistas lleven a cabo el respectivo análisis costo-beneficio y tomen decisiones sobre si participan o no en el proyecto. Sin esta información, las decisiones de financiación no podrán basarse en una previsión real de cómo obtener la mayor cantidad de servicios por el dinero invertido, elemento determinante de las decisiones de participación”.</w:t>
      </w:r>
    </w:p>
  </w:footnote>
  <w:footnote w:id="42">
    <w:p w14:paraId="192F6A75" w14:textId="77777777" w:rsidR="00385A72" w:rsidRPr="00B35F67" w:rsidRDefault="00385A72" w:rsidP="00385A72">
      <w:pPr>
        <w:pStyle w:val="Textonotapie"/>
        <w:ind w:firstLine="720"/>
        <w:jc w:val="both"/>
        <w:rPr>
          <w:rFonts w:ascii="Verdana" w:hAnsi="Verdana" w:cs="Arial"/>
          <w:sz w:val="16"/>
          <w:szCs w:val="16"/>
        </w:rPr>
      </w:pPr>
      <w:r w:rsidRPr="00B35F67">
        <w:rPr>
          <w:rStyle w:val="Refdenotaalpie"/>
          <w:rFonts w:ascii="Verdana" w:hAnsi="Verdana" w:cs="Arial"/>
          <w:sz w:val="16"/>
          <w:szCs w:val="16"/>
        </w:rPr>
        <w:footnoteRef/>
      </w:r>
      <w:r w:rsidRPr="00B35F67">
        <w:rPr>
          <w:rFonts w:ascii="Verdana" w:hAnsi="Verdana" w:cs="Arial"/>
          <w:sz w:val="16"/>
          <w:szCs w:val="16"/>
        </w:rPr>
        <w:t xml:space="preserve"> Ley 80 de 1993. Artículo 3.</w:t>
      </w:r>
    </w:p>
    <w:p w14:paraId="4B13CAF1" w14:textId="77777777" w:rsidR="00385A72" w:rsidRPr="00C54F47" w:rsidRDefault="00385A72" w:rsidP="00385A72">
      <w:pPr>
        <w:pStyle w:val="Textonotapie"/>
        <w:ind w:firstLine="720"/>
        <w:jc w:val="both"/>
        <w:rPr>
          <w:rFonts w:ascii="Arial" w:hAnsi="Arial" w:cs="Arial"/>
          <w:sz w:val="19"/>
          <w:szCs w:val="19"/>
        </w:rPr>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6" type="#_x0000_t75" style="width:12.75pt;height:12.7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5D54189"/>
    <w:multiLevelType w:val="hybridMultilevel"/>
    <w:tmpl w:val="41C6983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2"/>
  </w:num>
  <w:num w:numId="3">
    <w:abstractNumId w:val="5"/>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5"/>
  </w:num>
  <w:num w:numId="7">
    <w:abstractNumId w:val="6"/>
  </w:num>
  <w:num w:numId="8">
    <w:abstractNumId w:val="14"/>
  </w:num>
  <w:num w:numId="9">
    <w:abstractNumId w:val="8"/>
  </w:num>
  <w:num w:numId="10">
    <w:abstractNumId w:val="13"/>
  </w:num>
  <w:num w:numId="11">
    <w:abstractNumId w:val="9"/>
  </w:num>
  <w:num w:numId="12">
    <w:abstractNumId w:val="1"/>
  </w:num>
  <w:num w:numId="13">
    <w:abstractNumId w:val="3"/>
  </w:num>
  <w:num w:numId="14">
    <w:abstractNumId w:val="16"/>
  </w:num>
  <w:num w:numId="15">
    <w:abstractNumId w:val="12"/>
  </w:num>
  <w:num w:numId="16">
    <w:abstractNumId w:val="0"/>
  </w:num>
  <w:num w:numId="17">
    <w:abstractNumId w:val="10"/>
  </w:num>
  <w:num w:numId="18">
    <w:abstractNumId w:val="11"/>
  </w:num>
  <w:num w:numId="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2"/>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847"/>
    <w:rsid w:val="00016F78"/>
    <w:rsid w:val="00046945"/>
    <w:rsid w:val="00061B2A"/>
    <w:rsid w:val="00081367"/>
    <w:rsid w:val="00082362"/>
    <w:rsid w:val="000825A6"/>
    <w:rsid w:val="00090FA4"/>
    <w:rsid w:val="00095DAE"/>
    <w:rsid w:val="000A683E"/>
    <w:rsid w:val="000B19B9"/>
    <w:rsid w:val="000D0334"/>
    <w:rsid w:val="000D5DA7"/>
    <w:rsid w:val="000F4FFB"/>
    <w:rsid w:val="000F6486"/>
    <w:rsid w:val="00102203"/>
    <w:rsid w:val="00116940"/>
    <w:rsid w:val="00125105"/>
    <w:rsid w:val="00127233"/>
    <w:rsid w:val="0015699B"/>
    <w:rsid w:val="001A33BF"/>
    <w:rsid w:val="001E194B"/>
    <w:rsid w:val="001E4177"/>
    <w:rsid w:val="001F0B24"/>
    <w:rsid w:val="001F7DC6"/>
    <w:rsid w:val="0022400B"/>
    <w:rsid w:val="002421BB"/>
    <w:rsid w:val="00242D9B"/>
    <w:rsid w:val="0025796E"/>
    <w:rsid w:val="00261121"/>
    <w:rsid w:val="002707A2"/>
    <w:rsid w:val="00275976"/>
    <w:rsid w:val="0027757A"/>
    <w:rsid w:val="002845F4"/>
    <w:rsid w:val="00293441"/>
    <w:rsid w:val="002951A0"/>
    <w:rsid w:val="002962BC"/>
    <w:rsid w:val="002A093D"/>
    <w:rsid w:val="002A0DD0"/>
    <w:rsid w:val="002A49AC"/>
    <w:rsid w:val="002A64FD"/>
    <w:rsid w:val="002C5725"/>
    <w:rsid w:val="002C7A84"/>
    <w:rsid w:val="002E2BF8"/>
    <w:rsid w:val="002E4FD9"/>
    <w:rsid w:val="002F3CDF"/>
    <w:rsid w:val="0030657A"/>
    <w:rsid w:val="00322A85"/>
    <w:rsid w:val="00324168"/>
    <w:rsid w:val="00330834"/>
    <w:rsid w:val="003318AB"/>
    <w:rsid w:val="003448F4"/>
    <w:rsid w:val="00355EA0"/>
    <w:rsid w:val="003604F5"/>
    <w:rsid w:val="00374F5E"/>
    <w:rsid w:val="00377E3E"/>
    <w:rsid w:val="00385A72"/>
    <w:rsid w:val="003A779E"/>
    <w:rsid w:val="003C5B9E"/>
    <w:rsid w:val="003C64B8"/>
    <w:rsid w:val="003D0F4D"/>
    <w:rsid w:val="003D1CF9"/>
    <w:rsid w:val="003D5B0D"/>
    <w:rsid w:val="003E0499"/>
    <w:rsid w:val="003E4F80"/>
    <w:rsid w:val="003E6439"/>
    <w:rsid w:val="003E6646"/>
    <w:rsid w:val="003F3941"/>
    <w:rsid w:val="00406575"/>
    <w:rsid w:val="00414C74"/>
    <w:rsid w:val="00417B5B"/>
    <w:rsid w:val="0042722E"/>
    <w:rsid w:val="00437377"/>
    <w:rsid w:val="0044528D"/>
    <w:rsid w:val="00466302"/>
    <w:rsid w:val="00466E39"/>
    <w:rsid w:val="00473BEB"/>
    <w:rsid w:val="004A1847"/>
    <w:rsid w:val="004A305D"/>
    <w:rsid w:val="004B7D74"/>
    <w:rsid w:val="004F21C4"/>
    <w:rsid w:val="004F685F"/>
    <w:rsid w:val="0053199F"/>
    <w:rsid w:val="005566E8"/>
    <w:rsid w:val="00574867"/>
    <w:rsid w:val="00580BC6"/>
    <w:rsid w:val="005874CB"/>
    <w:rsid w:val="00591460"/>
    <w:rsid w:val="00597A19"/>
    <w:rsid w:val="005A65E0"/>
    <w:rsid w:val="005C3777"/>
    <w:rsid w:val="005C5CDC"/>
    <w:rsid w:val="005C6BC8"/>
    <w:rsid w:val="005D476C"/>
    <w:rsid w:val="005E6B20"/>
    <w:rsid w:val="005F181C"/>
    <w:rsid w:val="006200BF"/>
    <w:rsid w:val="006219F8"/>
    <w:rsid w:val="006302F7"/>
    <w:rsid w:val="00646B9F"/>
    <w:rsid w:val="00665D70"/>
    <w:rsid w:val="006900D9"/>
    <w:rsid w:val="006C04F1"/>
    <w:rsid w:val="00700569"/>
    <w:rsid w:val="00706C16"/>
    <w:rsid w:val="007317FA"/>
    <w:rsid w:val="007340C3"/>
    <w:rsid w:val="0074244D"/>
    <w:rsid w:val="0075235A"/>
    <w:rsid w:val="00756841"/>
    <w:rsid w:val="007649AB"/>
    <w:rsid w:val="00771D0C"/>
    <w:rsid w:val="007829E1"/>
    <w:rsid w:val="007833AC"/>
    <w:rsid w:val="007A153F"/>
    <w:rsid w:val="007B268C"/>
    <w:rsid w:val="007B7171"/>
    <w:rsid w:val="007C0C0F"/>
    <w:rsid w:val="007C3DC2"/>
    <w:rsid w:val="007D3968"/>
    <w:rsid w:val="007E5497"/>
    <w:rsid w:val="00803926"/>
    <w:rsid w:val="00806F5F"/>
    <w:rsid w:val="00815B83"/>
    <w:rsid w:val="00820169"/>
    <w:rsid w:val="00820278"/>
    <w:rsid w:val="008258C9"/>
    <w:rsid w:val="00844AE9"/>
    <w:rsid w:val="00867F95"/>
    <w:rsid w:val="008835B4"/>
    <w:rsid w:val="008843B6"/>
    <w:rsid w:val="00891928"/>
    <w:rsid w:val="008934CB"/>
    <w:rsid w:val="00895356"/>
    <w:rsid w:val="008A446D"/>
    <w:rsid w:val="008B104D"/>
    <w:rsid w:val="008B25F1"/>
    <w:rsid w:val="008C571F"/>
    <w:rsid w:val="008D180B"/>
    <w:rsid w:val="008E72AF"/>
    <w:rsid w:val="008F0EA7"/>
    <w:rsid w:val="008F327E"/>
    <w:rsid w:val="00923EEF"/>
    <w:rsid w:val="009305DC"/>
    <w:rsid w:val="009419F9"/>
    <w:rsid w:val="0095685E"/>
    <w:rsid w:val="00961B09"/>
    <w:rsid w:val="00965334"/>
    <w:rsid w:val="0097093E"/>
    <w:rsid w:val="00990BF1"/>
    <w:rsid w:val="009A0DFA"/>
    <w:rsid w:val="009A1C6F"/>
    <w:rsid w:val="009B2D26"/>
    <w:rsid w:val="009C71FA"/>
    <w:rsid w:val="009C72E7"/>
    <w:rsid w:val="009C7F7E"/>
    <w:rsid w:val="009D3058"/>
    <w:rsid w:val="009F144A"/>
    <w:rsid w:val="009F3A13"/>
    <w:rsid w:val="00A07EBF"/>
    <w:rsid w:val="00A122D3"/>
    <w:rsid w:val="00A14468"/>
    <w:rsid w:val="00A17F13"/>
    <w:rsid w:val="00A20739"/>
    <w:rsid w:val="00A23AF9"/>
    <w:rsid w:val="00A33C78"/>
    <w:rsid w:val="00A63F17"/>
    <w:rsid w:val="00A716AB"/>
    <w:rsid w:val="00A83161"/>
    <w:rsid w:val="00A86E5C"/>
    <w:rsid w:val="00AB0ADB"/>
    <w:rsid w:val="00B00C0E"/>
    <w:rsid w:val="00B01B1A"/>
    <w:rsid w:val="00B0381D"/>
    <w:rsid w:val="00B13882"/>
    <w:rsid w:val="00B14142"/>
    <w:rsid w:val="00B14F36"/>
    <w:rsid w:val="00B35F67"/>
    <w:rsid w:val="00B44A47"/>
    <w:rsid w:val="00B72CD3"/>
    <w:rsid w:val="00B72FFF"/>
    <w:rsid w:val="00B7443D"/>
    <w:rsid w:val="00B944AA"/>
    <w:rsid w:val="00B95ED8"/>
    <w:rsid w:val="00BA7A2E"/>
    <w:rsid w:val="00BC3D36"/>
    <w:rsid w:val="00BD54A6"/>
    <w:rsid w:val="00BD7F72"/>
    <w:rsid w:val="00BF6651"/>
    <w:rsid w:val="00BF7425"/>
    <w:rsid w:val="00C04FB3"/>
    <w:rsid w:val="00C11D8B"/>
    <w:rsid w:val="00C15139"/>
    <w:rsid w:val="00C330EB"/>
    <w:rsid w:val="00C50D69"/>
    <w:rsid w:val="00C5365C"/>
    <w:rsid w:val="00C67C8B"/>
    <w:rsid w:val="00C754BE"/>
    <w:rsid w:val="00C76B1C"/>
    <w:rsid w:val="00C925AC"/>
    <w:rsid w:val="00C958D1"/>
    <w:rsid w:val="00CA0E68"/>
    <w:rsid w:val="00CB6357"/>
    <w:rsid w:val="00CC1B26"/>
    <w:rsid w:val="00CD6067"/>
    <w:rsid w:val="00CE4589"/>
    <w:rsid w:val="00CF4861"/>
    <w:rsid w:val="00D350D3"/>
    <w:rsid w:val="00D361FD"/>
    <w:rsid w:val="00D423A2"/>
    <w:rsid w:val="00D44E26"/>
    <w:rsid w:val="00D520D8"/>
    <w:rsid w:val="00D53F94"/>
    <w:rsid w:val="00D63AC2"/>
    <w:rsid w:val="00D7383B"/>
    <w:rsid w:val="00D75A74"/>
    <w:rsid w:val="00D7788A"/>
    <w:rsid w:val="00DA231B"/>
    <w:rsid w:val="00DC39FC"/>
    <w:rsid w:val="00DD0992"/>
    <w:rsid w:val="00DF5254"/>
    <w:rsid w:val="00E02524"/>
    <w:rsid w:val="00E16408"/>
    <w:rsid w:val="00E20894"/>
    <w:rsid w:val="00E245AB"/>
    <w:rsid w:val="00E2764C"/>
    <w:rsid w:val="00E27F2E"/>
    <w:rsid w:val="00E50AFE"/>
    <w:rsid w:val="00E56EE8"/>
    <w:rsid w:val="00E60AD8"/>
    <w:rsid w:val="00E75C92"/>
    <w:rsid w:val="00E760D9"/>
    <w:rsid w:val="00E771DC"/>
    <w:rsid w:val="00E8772A"/>
    <w:rsid w:val="00E90AC3"/>
    <w:rsid w:val="00E90F6B"/>
    <w:rsid w:val="00E92C27"/>
    <w:rsid w:val="00EA0E3D"/>
    <w:rsid w:val="00EA4B5D"/>
    <w:rsid w:val="00EC38A7"/>
    <w:rsid w:val="00EE1AA8"/>
    <w:rsid w:val="00F163B0"/>
    <w:rsid w:val="00F23FEA"/>
    <w:rsid w:val="00F31A4A"/>
    <w:rsid w:val="00F31EDC"/>
    <w:rsid w:val="00F462B3"/>
    <w:rsid w:val="00F5664F"/>
    <w:rsid w:val="00F624DD"/>
    <w:rsid w:val="00F666C4"/>
    <w:rsid w:val="00F7339B"/>
    <w:rsid w:val="00F760B7"/>
    <w:rsid w:val="00F76AFC"/>
    <w:rsid w:val="00F859C7"/>
    <w:rsid w:val="00FA3E17"/>
    <w:rsid w:val="00FA47C0"/>
    <w:rsid w:val="00FB5DD1"/>
    <w:rsid w:val="00FC2B5D"/>
    <w:rsid w:val="00FD63E7"/>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24DD"/>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UnresolvedMention">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53F9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53F94"/>
    <w:rPr>
      <w:rFonts w:ascii="Geomanist Light" w:hAnsi="Geomanist Light"/>
      <w:lang w:val="es-ES"/>
    </w:rPr>
  </w:style>
  <w:style w:type="character" w:customStyle="1" w:styleId="s15">
    <w:name w:val="s15"/>
    <w:basedOn w:val="Fuentedeprrafopredeter"/>
    <w:rsid w:val="00D53F94"/>
  </w:style>
  <w:style w:type="paragraph" w:styleId="Textoindependiente">
    <w:name w:val="Body Text"/>
    <w:basedOn w:val="Normal"/>
    <w:link w:val="TextoindependienteCar"/>
    <w:uiPriority w:val="1"/>
    <w:qFormat/>
    <w:rsid w:val="00D53F94"/>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D53F94"/>
    <w:rPr>
      <w:rFonts w:ascii="Verdana" w:eastAsia="Verdana" w:hAnsi="Verdana" w:cs="Verdana"/>
      <w:lang w:val="es-ES"/>
    </w:rPr>
  </w:style>
  <w:style w:type="character" w:customStyle="1" w:styleId="NormalWebCar">
    <w:name w:val="Normal (Web) Car"/>
    <w:link w:val="NormalWeb"/>
    <w:uiPriority w:val="99"/>
    <w:locked/>
    <w:rsid w:val="00D53F94"/>
    <w:rPr>
      <w:rFonts w:ascii="Times New Roman" w:eastAsia="Times New Roman" w:hAnsi="Times New Roman" w:cs="Times New Roman"/>
      <w:sz w:val="24"/>
      <w:szCs w:val="24"/>
      <w:lang w:eastAsia="es-CO"/>
    </w:rPr>
  </w:style>
  <w:style w:type="character" w:customStyle="1" w:styleId="baj">
    <w:name w:val="b_aj"/>
    <w:basedOn w:val="Fuentedeprrafopredeter"/>
    <w:rsid w:val="00D53F94"/>
  </w:style>
  <w:style w:type="character" w:styleId="Refdecomentario">
    <w:name w:val="annotation reference"/>
    <w:basedOn w:val="Fuentedeprrafopredeter"/>
    <w:uiPriority w:val="99"/>
    <w:semiHidden/>
    <w:unhideWhenUsed/>
    <w:rsid w:val="008F327E"/>
    <w:rPr>
      <w:sz w:val="16"/>
      <w:szCs w:val="16"/>
    </w:rPr>
  </w:style>
  <w:style w:type="paragraph" w:styleId="Textocomentario">
    <w:name w:val="annotation text"/>
    <w:basedOn w:val="Normal"/>
    <w:link w:val="TextocomentarioCar"/>
    <w:uiPriority w:val="99"/>
    <w:unhideWhenUsed/>
    <w:rsid w:val="008F327E"/>
    <w:pPr>
      <w:spacing w:line="240" w:lineRule="auto"/>
    </w:pPr>
    <w:rPr>
      <w:sz w:val="20"/>
      <w:szCs w:val="20"/>
    </w:rPr>
  </w:style>
  <w:style w:type="character" w:customStyle="1" w:styleId="TextocomentarioCar">
    <w:name w:val="Texto comentario Car"/>
    <w:basedOn w:val="Fuentedeprrafopredeter"/>
    <w:link w:val="Textocomentario"/>
    <w:uiPriority w:val="99"/>
    <w:rsid w:val="008F327E"/>
    <w:rPr>
      <w:sz w:val="20"/>
      <w:szCs w:val="20"/>
    </w:rPr>
  </w:style>
  <w:style w:type="paragraph" w:styleId="Asuntodelcomentario">
    <w:name w:val="annotation subject"/>
    <w:basedOn w:val="Textocomentario"/>
    <w:next w:val="Textocomentario"/>
    <w:link w:val="AsuntodelcomentarioCar"/>
    <w:uiPriority w:val="99"/>
    <w:semiHidden/>
    <w:unhideWhenUsed/>
    <w:rsid w:val="008F327E"/>
    <w:rPr>
      <w:b/>
      <w:bCs/>
    </w:rPr>
  </w:style>
  <w:style w:type="character" w:customStyle="1" w:styleId="AsuntodelcomentarioCar">
    <w:name w:val="Asunto del comentario Car"/>
    <w:basedOn w:val="TextocomentarioCar"/>
    <w:link w:val="Asuntodelcomentario"/>
    <w:uiPriority w:val="99"/>
    <w:semiHidden/>
    <w:rsid w:val="008F327E"/>
    <w:rPr>
      <w:b/>
      <w:bCs/>
      <w:sz w:val="20"/>
      <w:szCs w:val="20"/>
    </w:rPr>
  </w:style>
  <w:style w:type="table" w:customStyle="1" w:styleId="Tablaconcuadrcula1">
    <w:name w:val="Tabla con cuadrícula1"/>
    <w:basedOn w:val="Tablanormal"/>
    <w:next w:val="Tablaconcuadrcula"/>
    <w:uiPriority w:val="39"/>
    <w:qFormat/>
    <w:rsid w:val="009305D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B14142"/>
    <w:rPr>
      <w:b/>
      <w:bCs/>
    </w:rPr>
  </w:style>
  <w:style w:type="character" w:styleId="nfasis">
    <w:name w:val="Emphasis"/>
    <w:basedOn w:val="Fuentedeprrafopredeter"/>
    <w:uiPriority w:val="20"/>
    <w:qFormat/>
    <w:rsid w:val="00B1414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contactenos@gachancipa-cundinamarca.gov.co"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emf"/><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png"/></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30BF0804-BBBC-454D-B90C-48A25CD41761}"/>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21</TotalTime>
  <Pages>36</Pages>
  <Words>11652</Words>
  <Characters>66420</Characters>
  <Application>Microsoft Office Word</Application>
  <DocSecurity>0</DocSecurity>
  <Lines>553</Lines>
  <Paragraphs>155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José Luis S</cp:lastModifiedBy>
  <cp:revision>3</cp:revision>
  <cp:lastPrinted>2023-01-10T21:18:00Z</cp:lastPrinted>
  <dcterms:created xsi:type="dcterms:W3CDTF">2025-12-24T14:36:00Z</dcterms:created>
  <dcterms:modified xsi:type="dcterms:W3CDTF">2025-12-26T02:43:00Z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