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F515D" w14:textId="77777777" w:rsidR="00C37544" w:rsidRPr="0018417F" w:rsidRDefault="00C37544" w:rsidP="00C37544">
      <w:pPr>
        <w:spacing w:after="0" w:line="240" w:lineRule="auto"/>
        <w:jc w:val="both"/>
        <w:rPr>
          <w:rFonts w:ascii="Verdana" w:hAnsi="Verdana"/>
          <w:b/>
          <w:bCs/>
          <w:lang w:val="es-ES_tradnl"/>
        </w:rPr>
      </w:pPr>
      <w:r w:rsidRPr="0018417F">
        <w:rPr>
          <w:rFonts w:ascii="Verdana" w:hAnsi="Verdana"/>
          <w:b/>
          <w:bCs/>
          <w:lang w:val="es-ES_tradnl"/>
        </w:rPr>
        <w:t>LEY DE EMPRENDIMIENTO – Artículos 31</w:t>
      </w:r>
      <w:r>
        <w:rPr>
          <w:rFonts w:ascii="Verdana" w:hAnsi="Verdana"/>
          <w:b/>
          <w:bCs/>
          <w:lang w:val="es-ES_tradnl"/>
        </w:rPr>
        <w:t xml:space="preserve"> </w:t>
      </w:r>
      <w:r w:rsidRPr="0018417F">
        <w:rPr>
          <w:rFonts w:ascii="Verdana" w:hAnsi="Verdana"/>
          <w:b/>
          <w:bCs/>
          <w:lang w:val="es-ES_tradnl"/>
        </w:rPr>
        <w:t xml:space="preserve">– Criterios diferenciales </w:t>
      </w:r>
      <w:r w:rsidRPr="00510E44">
        <w:rPr>
          <w:rFonts w:ascii="Verdana" w:hAnsi="Verdana"/>
          <w:b/>
          <w:bCs/>
          <w:lang w:val="es-ES"/>
        </w:rPr>
        <w:t>–</w:t>
      </w:r>
      <w:r w:rsidRPr="0018417F">
        <w:rPr>
          <w:rFonts w:ascii="Verdana" w:hAnsi="Verdana"/>
          <w:b/>
          <w:bCs/>
          <w:lang w:val="es-ES_tradnl"/>
        </w:rPr>
        <w:t xml:space="preserve"> Reglamentación </w:t>
      </w:r>
    </w:p>
    <w:p w14:paraId="052149E2" w14:textId="77777777" w:rsidR="00C37544" w:rsidRPr="003631F5" w:rsidRDefault="00C37544" w:rsidP="00C37544">
      <w:pPr>
        <w:spacing w:after="0" w:line="240" w:lineRule="auto"/>
        <w:rPr>
          <w:rFonts w:ascii="Verdana" w:hAnsi="Verdana"/>
          <w:b/>
          <w:bCs/>
          <w:sz w:val="20"/>
          <w:szCs w:val="20"/>
          <w:lang w:val="es-ES_tradnl"/>
        </w:rPr>
      </w:pPr>
    </w:p>
    <w:p w14:paraId="691C288F" w14:textId="77777777" w:rsidR="00C37544" w:rsidRPr="003631F5" w:rsidRDefault="00C37544" w:rsidP="00C37544">
      <w:pPr>
        <w:spacing w:after="0" w:line="240" w:lineRule="auto"/>
        <w:rPr>
          <w:rFonts w:ascii="Verdana" w:eastAsia="Calibri" w:hAnsi="Verdana" w:cs="Arial"/>
          <w:sz w:val="20"/>
          <w:szCs w:val="20"/>
          <w:lang w:val="es-ES_tradnl"/>
        </w:rPr>
      </w:pPr>
      <w:r w:rsidRPr="003631F5">
        <w:rPr>
          <w:rFonts w:ascii="Verdana" w:eastAsia="Calibri" w:hAnsi="Verdana" w:cs="Arial"/>
          <w:sz w:val="20"/>
          <w:szCs w:val="20"/>
          <w:lang w:val="es-ES_tradnl"/>
        </w:rPr>
        <w:t xml:space="preserve">El 31 de diciembre de 2020 se promulgó la Ley 2069, “Por medio de la cual se impulsa el emprendimiento en Colombia”. </w:t>
      </w:r>
    </w:p>
    <w:p w14:paraId="784CDE65" w14:textId="77777777" w:rsidR="00C37544" w:rsidRPr="003631F5" w:rsidRDefault="00C37544" w:rsidP="00C37544">
      <w:pPr>
        <w:spacing w:after="0" w:line="240" w:lineRule="auto"/>
        <w:rPr>
          <w:rFonts w:ascii="Verdana" w:eastAsia="Calibri" w:hAnsi="Verdana" w:cs="Arial"/>
          <w:sz w:val="20"/>
          <w:szCs w:val="20"/>
          <w:lang w:val="es-ES_tradnl"/>
        </w:rPr>
      </w:pPr>
    </w:p>
    <w:p w14:paraId="37FCD0D6" w14:textId="77777777" w:rsidR="00C37544" w:rsidRPr="003631F5" w:rsidRDefault="00C37544" w:rsidP="00C37544">
      <w:pPr>
        <w:tabs>
          <w:tab w:val="left" w:pos="709"/>
        </w:tabs>
        <w:spacing w:after="0" w:line="240" w:lineRule="auto"/>
        <w:jc w:val="both"/>
        <w:rPr>
          <w:rFonts w:ascii="Verdana" w:hAnsi="Verdana"/>
          <w:sz w:val="20"/>
          <w:szCs w:val="20"/>
        </w:rPr>
      </w:pPr>
      <w:r w:rsidRPr="003631F5">
        <w:rPr>
          <w:rFonts w:ascii="Verdana" w:hAnsi="Verdana"/>
          <w:sz w:val="20"/>
          <w:szCs w:val="20"/>
        </w:rPr>
        <w:t>[…] En ese contexto, la referida Ley incorpora una serie de estímulos e incentivos. En especial, en su Capítulo III “Compras públicas” del Título I</w:t>
      </w:r>
      <w:r w:rsidRPr="003631F5" w:rsidDel="0094280A">
        <w:rPr>
          <w:rFonts w:ascii="Verdana" w:hAnsi="Verdana"/>
          <w:sz w:val="20"/>
          <w:szCs w:val="20"/>
        </w:rPr>
        <w:t xml:space="preserve"> </w:t>
      </w:r>
      <w:r w:rsidRPr="003631F5">
        <w:rPr>
          <w:rFonts w:ascii="Verdana" w:hAnsi="Verdana"/>
          <w:sz w:val="20"/>
          <w:szCs w:val="20"/>
        </w:rPr>
        <w:t xml:space="preserve">se modifican varias disposiciones que regían el sistema de compra y contratación pública, las cuales tienen un impacto en distintas normas legales y reglamentarias. </w:t>
      </w:r>
    </w:p>
    <w:p w14:paraId="78E47D3A" w14:textId="77777777" w:rsidR="00C37544" w:rsidRPr="003631F5" w:rsidRDefault="00C37544" w:rsidP="00C37544">
      <w:pPr>
        <w:tabs>
          <w:tab w:val="left" w:pos="709"/>
        </w:tabs>
        <w:spacing w:after="0" w:line="240" w:lineRule="auto"/>
        <w:jc w:val="both"/>
        <w:rPr>
          <w:rFonts w:ascii="Verdana" w:eastAsia="Calibri" w:hAnsi="Verdana" w:cs="Arial"/>
          <w:bCs/>
          <w:sz w:val="20"/>
          <w:szCs w:val="20"/>
        </w:rPr>
      </w:pPr>
    </w:p>
    <w:p w14:paraId="70A511F4" w14:textId="77777777" w:rsidR="00C37544" w:rsidRPr="003631F5" w:rsidRDefault="00C37544" w:rsidP="00C37544">
      <w:pPr>
        <w:tabs>
          <w:tab w:val="left" w:pos="709"/>
        </w:tabs>
        <w:spacing w:after="0" w:line="240" w:lineRule="auto"/>
        <w:jc w:val="both"/>
        <w:rPr>
          <w:rFonts w:ascii="Verdana" w:eastAsia="Calibri" w:hAnsi="Verdana" w:cs="Arial"/>
          <w:bCs/>
          <w:sz w:val="20"/>
          <w:szCs w:val="20"/>
        </w:rPr>
      </w:pPr>
      <w:r w:rsidRPr="003631F5">
        <w:rPr>
          <w:rFonts w:ascii="Verdana" w:eastAsia="Calibri" w:hAnsi="Verdana" w:cs="Arial"/>
          <w:bCs/>
          <w:sz w:val="20"/>
          <w:szCs w:val="20"/>
        </w:rPr>
        <w:t xml:space="preserve">Dentro del referido capítulo se encuentran los artículos 31 y 32 de la Ley 2069 de 2020, los cuales crean una serie de incentivos para las personas interesadas en celebrar contratos con el Estado. Por un lado, </w:t>
      </w:r>
      <w:r w:rsidRPr="003631F5">
        <w:rPr>
          <w:rFonts w:ascii="Verdana" w:eastAsia="Calibri" w:hAnsi="Verdana" w:cs="Arial"/>
          <w:bCs/>
          <w:sz w:val="20"/>
          <w:szCs w:val="20"/>
          <w:lang w:val="es-ES_tradnl"/>
        </w:rPr>
        <w:t xml:space="preserve">el artículo 31 </w:t>
      </w:r>
      <w:r w:rsidRPr="003631F5">
        <w:rPr>
          <w:rFonts w:ascii="Verdana" w:eastAsia="Calibri" w:hAnsi="Verdana" w:cs="Arial"/>
          <w:bCs/>
          <w:sz w:val="20"/>
          <w:szCs w:val="20"/>
        </w:rPr>
        <w:t xml:space="preserve">introduce criterios diferenciales para el acceso de las </w:t>
      </w:r>
      <w:proofErr w:type="spellStart"/>
      <w:r w:rsidRPr="003631F5">
        <w:rPr>
          <w:rFonts w:ascii="Verdana" w:eastAsia="Calibri" w:hAnsi="Verdana" w:cs="Arial"/>
          <w:bCs/>
          <w:sz w:val="20"/>
          <w:szCs w:val="20"/>
        </w:rPr>
        <w:t>Mipymes</w:t>
      </w:r>
      <w:proofErr w:type="spellEnd"/>
      <w:r w:rsidRPr="003631F5">
        <w:rPr>
          <w:rFonts w:ascii="Verdana" w:eastAsia="Calibri" w:hAnsi="Verdana" w:cs="Arial"/>
          <w:bCs/>
          <w:sz w:val="20"/>
          <w:szCs w:val="20"/>
        </w:rPr>
        <w:t xml:space="preserve"> al sistema de compras y contratación pública, mientras que el artículo 32 introduce criterios diferenciales en favor de los emprendimientos y empresas de mujeres. </w:t>
      </w:r>
    </w:p>
    <w:p w14:paraId="07AEAF76" w14:textId="77777777" w:rsidR="00C37544" w:rsidRPr="003631F5" w:rsidRDefault="00C37544" w:rsidP="00C37544">
      <w:pPr>
        <w:tabs>
          <w:tab w:val="left" w:pos="709"/>
        </w:tabs>
        <w:spacing w:after="0" w:line="240" w:lineRule="auto"/>
        <w:jc w:val="both"/>
        <w:rPr>
          <w:rFonts w:ascii="Verdana" w:eastAsia="Calibri" w:hAnsi="Verdana" w:cs="Arial"/>
          <w:bCs/>
          <w:sz w:val="20"/>
          <w:szCs w:val="20"/>
        </w:rPr>
      </w:pPr>
    </w:p>
    <w:p w14:paraId="538DF20C" w14:textId="77777777" w:rsidR="00C37544" w:rsidRPr="0018417F" w:rsidRDefault="00C37544" w:rsidP="00C37544">
      <w:pPr>
        <w:spacing w:after="0" w:line="240" w:lineRule="auto"/>
        <w:jc w:val="both"/>
        <w:rPr>
          <w:rFonts w:ascii="Verdana" w:hAnsi="Verdana"/>
          <w:b/>
          <w:bCs/>
          <w:lang w:val="es-ES_tradnl"/>
        </w:rPr>
      </w:pPr>
      <w:r w:rsidRPr="0018417F">
        <w:rPr>
          <w:rFonts w:ascii="Verdana" w:hAnsi="Verdana"/>
          <w:b/>
          <w:bCs/>
          <w:lang w:val="es-ES_tradnl"/>
        </w:rPr>
        <w:t>MIPYMES – Criterios diferenciales – Decreto 1860 de 2021 – Contenido – Distinciones</w:t>
      </w:r>
    </w:p>
    <w:p w14:paraId="078B8856" w14:textId="77777777" w:rsidR="00C37544" w:rsidRPr="003631F5" w:rsidRDefault="00C37544" w:rsidP="00C37544">
      <w:pPr>
        <w:tabs>
          <w:tab w:val="left" w:pos="709"/>
        </w:tabs>
        <w:spacing w:after="0" w:line="240" w:lineRule="auto"/>
        <w:jc w:val="both"/>
        <w:rPr>
          <w:rFonts w:ascii="Verdana" w:hAnsi="Verdana"/>
          <w:sz w:val="20"/>
          <w:szCs w:val="20"/>
          <w:lang w:val="es-ES_tradnl"/>
        </w:rPr>
      </w:pPr>
    </w:p>
    <w:p w14:paraId="0EF9F3C8" w14:textId="77777777" w:rsidR="00C37544" w:rsidRPr="003631F5" w:rsidRDefault="00C37544" w:rsidP="00C37544">
      <w:pPr>
        <w:tabs>
          <w:tab w:val="left" w:pos="709"/>
        </w:tabs>
        <w:spacing w:after="0" w:line="240" w:lineRule="auto"/>
        <w:jc w:val="both"/>
        <w:rPr>
          <w:rFonts w:ascii="Verdana" w:hAnsi="Verdana"/>
          <w:sz w:val="20"/>
          <w:szCs w:val="20"/>
        </w:rPr>
      </w:pPr>
      <w:r w:rsidRPr="003631F5">
        <w:rPr>
          <w:rFonts w:ascii="Verdana" w:hAnsi="Verdana"/>
          <w:sz w:val="20"/>
          <w:szCs w:val="20"/>
        </w:rPr>
        <w:t xml:space="preserve">En primer lugar, respecto de los criterios diferenciales para </w:t>
      </w:r>
      <w:proofErr w:type="spellStart"/>
      <w:r w:rsidRPr="003631F5">
        <w:rPr>
          <w:rFonts w:ascii="Verdana" w:hAnsi="Verdana"/>
          <w:sz w:val="20"/>
          <w:szCs w:val="20"/>
        </w:rPr>
        <w:t>Mipyme</w:t>
      </w:r>
      <w:proofErr w:type="spellEnd"/>
      <w:r w:rsidRPr="003631F5">
        <w:rPr>
          <w:rFonts w:ascii="Verdana" w:hAnsi="Verdana"/>
          <w:sz w:val="20"/>
          <w:szCs w:val="20"/>
        </w:rPr>
        <w:t xml:space="preserve">, el artículo 31 de la Ley 2069 de 2020 estableció que las entidades estatales, de acuerdo con el análisis del sector, podrán incluir requisitos diferenciales y puntajes adicionales en función del tamaño empresarial para la promoción del acceso de este tipo de empresas al mercado de compras públicas. La aplicación de estos criterios, por disposición expresa del referido artículo, quedó condicionada por la expedición de su reglamentación. </w:t>
      </w:r>
    </w:p>
    <w:p w14:paraId="2609FD66" w14:textId="77777777" w:rsidR="00C37544" w:rsidRPr="003631F5" w:rsidRDefault="00C37544" w:rsidP="00C37544">
      <w:pPr>
        <w:tabs>
          <w:tab w:val="left" w:pos="709"/>
        </w:tabs>
        <w:spacing w:after="0" w:line="240" w:lineRule="auto"/>
        <w:jc w:val="both"/>
        <w:rPr>
          <w:rFonts w:ascii="Verdana" w:hAnsi="Verdana"/>
          <w:sz w:val="20"/>
          <w:szCs w:val="20"/>
        </w:rPr>
      </w:pPr>
      <w:r w:rsidRPr="003631F5">
        <w:rPr>
          <w:rFonts w:ascii="Verdana" w:hAnsi="Verdana"/>
          <w:sz w:val="20"/>
          <w:szCs w:val="20"/>
        </w:rPr>
        <w:t xml:space="preserve"> </w:t>
      </w:r>
    </w:p>
    <w:p w14:paraId="684AFF4E" w14:textId="77777777" w:rsidR="00C37544" w:rsidRPr="003631F5" w:rsidRDefault="00C37544" w:rsidP="00C37544">
      <w:pPr>
        <w:tabs>
          <w:tab w:val="left" w:pos="709"/>
        </w:tabs>
        <w:spacing w:after="0" w:line="240" w:lineRule="auto"/>
        <w:jc w:val="both"/>
        <w:rPr>
          <w:rFonts w:ascii="Verdana" w:hAnsi="Verdana"/>
          <w:sz w:val="20"/>
          <w:szCs w:val="20"/>
        </w:rPr>
      </w:pPr>
      <w:r w:rsidRPr="003631F5">
        <w:rPr>
          <w:rFonts w:ascii="Verdana" w:hAnsi="Verdana"/>
          <w:sz w:val="20"/>
          <w:szCs w:val="20"/>
        </w:rPr>
        <w:t xml:space="preserve">Por esta razón, el artículo 3 del Decreto 1860 de 2021, adicionó el artículo 2.2.1.2.4.2.18 al Decreto 1082 de 2015, regulando los criterios diferenciales para MiPymes establecidos por el artículo 31 de la Ley 2069 de 2020. En virtud de esta norma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proofErr w:type="spellStart"/>
      <w:r w:rsidRPr="003631F5">
        <w:rPr>
          <w:rFonts w:ascii="Verdana" w:hAnsi="Verdana"/>
          <w:sz w:val="20"/>
          <w:szCs w:val="20"/>
        </w:rPr>
        <w:t>Mipyme</w:t>
      </w:r>
      <w:proofErr w:type="spellEnd"/>
      <w:r w:rsidRPr="003631F5">
        <w:rPr>
          <w:rFonts w:ascii="Verdana" w:hAnsi="Verdana"/>
          <w:sz w:val="20"/>
          <w:szCs w:val="20"/>
        </w:rPr>
        <w:t xml:space="preserve"> domiciliadas en Colombia.</w:t>
      </w:r>
    </w:p>
    <w:p w14:paraId="20313798" w14:textId="77777777" w:rsidR="00C37544" w:rsidRPr="003631F5" w:rsidRDefault="00C37544" w:rsidP="00C37544">
      <w:pPr>
        <w:tabs>
          <w:tab w:val="left" w:pos="709"/>
        </w:tabs>
        <w:spacing w:after="0" w:line="240" w:lineRule="auto"/>
        <w:jc w:val="both"/>
        <w:rPr>
          <w:rFonts w:ascii="Verdana" w:hAnsi="Verdana"/>
          <w:sz w:val="20"/>
          <w:szCs w:val="20"/>
        </w:rPr>
      </w:pPr>
    </w:p>
    <w:p w14:paraId="1B2E770C" w14:textId="77777777" w:rsidR="00C37544" w:rsidRDefault="00C37544" w:rsidP="00C37544">
      <w:pPr>
        <w:tabs>
          <w:tab w:val="left" w:pos="709"/>
        </w:tabs>
        <w:spacing w:after="0" w:line="240" w:lineRule="auto"/>
        <w:jc w:val="both"/>
        <w:rPr>
          <w:rFonts w:ascii="Verdana" w:hAnsi="Verdana"/>
          <w:sz w:val="20"/>
          <w:szCs w:val="20"/>
        </w:rPr>
      </w:pPr>
      <w:r w:rsidRPr="003631F5">
        <w:rPr>
          <w:rFonts w:ascii="Verdana" w:hAnsi="Verdana"/>
          <w:sz w:val="20"/>
          <w:szCs w:val="20"/>
        </w:rPr>
        <w:t xml:space="preserve">Lo anterior significa que la expresión “podrán” contenida en el artículo 31 de la Ley 2069 de 2020, fue utilizada por el legislador porque la incorporación de los criterios diferenciales y puntajes adicionales en favor de las </w:t>
      </w:r>
      <w:proofErr w:type="spellStart"/>
      <w:r w:rsidRPr="003631F5">
        <w:rPr>
          <w:rFonts w:ascii="Verdana" w:hAnsi="Verdana"/>
          <w:sz w:val="20"/>
          <w:szCs w:val="20"/>
        </w:rPr>
        <w:t>Mipymes</w:t>
      </w:r>
      <w:proofErr w:type="spellEnd"/>
      <w:r w:rsidRPr="003631F5">
        <w:rPr>
          <w:rFonts w:ascii="Verdana" w:hAnsi="Verdana"/>
          <w:sz w:val="20"/>
          <w:szCs w:val="20"/>
        </w:rPr>
        <w:t xml:space="preserve"> es potestativa de la entidad estatal. En todo caso, debe sustentarse en los resultados del análisis del sector realizado por la entidad estatal contratante en la etapa de planeación, lo que le permite a esta inferir que su incorporación es pertinente y se sustenta en la evaluación objetiva, la cual será consignada en los estudios y documentos previos. </w:t>
      </w:r>
    </w:p>
    <w:p w14:paraId="7328AC02" w14:textId="77777777" w:rsidR="00C37544" w:rsidRDefault="00C37544" w:rsidP="00C37544">
      <w:pPr>
        <w:tabs>
          <w:tab w:val="left" w:pos="709"/>
        </w:tabs>
        <w:spacing w:after="0" w:line="240" w:lineRule="auto"/>
        <w:jc w:val="both"/>
        <w:rPr>
          <w:rFonts w:ascii="Verdana" w:hAnsi="Verdana"/>
          <w:sz w:val="20"/>
          <w:szCs w:val="20"/>
        </w:rPr>
      </w:pPr>
    </w:p>
    <w:p w14:paraId="6F3BD1E4" w14:textId="77777777" w:rsidR="00C37544" w:rsidRDefault="00C37544" w:rsidP="00C37544">
      <w:pPr>
        <w:spacing w:after="120" w:line="276" w:lineRule="auto"/>
        <w:ind w:firstLine="709"/>
        <w:jc w:val="both"/>
        <w:rPr>
          <w:rFonts w:ascii="Verdana" w:eastAsia="Calibri" w:hAnsi="Verdana" w:cs="Arial"/>
        </w:rPr>
      </w:pPr>
    </w:p>
    <w:p w14:paraId="64C74E8B" w14:textId="5E946F9E" w:rsidR="00C37544" w:rsidRPr="005C04B5" w:rsidRDefault="00C37544" w:rsidP="00C37544">
      <w:pPr>
        <w:spacing w:after="120" w:line="276" w:lineRule="auto"/>
        <w:jc w:val="both"/>
        <w:rPr>
          <w:rFonts w:ascii="Verdana" w:eastAsia="Calibri" w:hAnsi="Verdana" w:cs="Arial"/>
          <w:sz w:val="20"/>
          <w:szCs w:val="20"/>
        </w:rPr>
      </w:pPr>
      <w:r w:rsidRPr="005C04B5">
        <w:rPr>
          <w:rFonts w:ascii="Verdana" w:hAnsi="Verdana"/>
          <w:sz w:val="20"/>
          <w:szCs w:val="20"/>
        </w:rPr>
        <w:t>GUÍA PARA PROMOVER LA PARTICIPACIÓN DE LAS MIPYMES EN LOS PROCESOS DE COMPRA Y CONTRATACIÓN PÚBLICA</w:t>
      </w:r>
      <w:r w:rsidR="005C04B5">
        <w:rPr>
          <w:rFonts w:ascii="Verdana" w:hAnsi="Verdana"/>
          <w:sz w:val="20"/>
          <w:szCs w:val="20"/>
        </w:rPr>
        <w:t xml:space="preserve"> </w:t>
      </w:r>
      <w:r w:rsidRPr="005C04B5">
        <w:rPr>
          <w:rFonts w:ascii="Verdana" w:hAnsi="Verdana"/>
          <w:sz w:val="20"/>
          <w:szCs w:val="20"/>
        </w:rPr>
        <w:t>Compras Inclusivas</w:t>
      </w:r>
      <w:r w:rsidRPr="005C04B5">
        <w:rPr>
          <w:rFonts w:ascii="Verdana" w:eastAsia="Calibri" w:hAnsi="Verdana" w:cs="Arial"/>
          <w:sz w:val="20"/>
          <w:szCs w:val="20"/>
        </w:rPr>
        <w:t xml:space="preserve"> En desarrollo de este marco normativo, Colombia Compra Eficiente, en su calidad de ente rector del Sistema de Compras Públicas, ha expedido documentos orientadores, guías y lineamientos de buenas prácticas dirigidos a las entidades estatales y a los proveedores, con el fin de facilitar la correcta aplicación de las disposiciones legales y reglamentarias relacionadas con la inclusión de las MiPymes. Estos instrumentos tienen un carácter pedagógico y orientador, y buscan fortalecer la capacidad institucional y del mercado para una participación más efectiva en los procesos de contratación pública.</w:t>
      </w:r>
      <w:r w:rsidR="005C04B5" w:rsidRPr="005C04B5">
        <w:rPr>
          <w:rFonts w:ascii="Verdana" w:eastAsia="Calibri" w:hAnsi="Verdana" w:cs="Arial"/>
          <w:sz w:val="20"/>
          <w:szCs w:val="20"/>
        </w:rPr>
        <w:t xml:space="preserve"> </w:t>
      </w:r>
      <w:r w:rsidRPr="005C04B5">
        <w:rPr>
          <w:rFonts w:ascii="Verdana" w:eastAsia="Calibri" w:hAnsi="Verdana" w:cs="Arial"/>
          <w:sz w:val="20"/>
          <w:szCs w:val="20"/>
        </w:rPr>
        <w:t>De manera complementaria, Colombia Compra Eficiente adelanta estrategias de divulgación, capacitación y acompañamiento dirigidas a MiPymes y a las entidades estatales, orientadas a fortalecer el conocimiento del marco normativo, el uso del SECOP y la identificación de oportunidades de negocio con el Estado, como parte de una política pública de compras inclusivas.</w:t>
      </w:r>
    </w:p>
    <w:p w14:paraId="2D2430A0" w14:textId="77777777" w:rsidR="00C37544" w:rsidRPr="003631F5" w:rsidRDefault="00C37544" w:rsidP="00C37544">
      <w:pPr>
        <w:tabs>
          <w:tab w:val="left" w:pos="709"/>
        </w:tabs>
        <w:spacing w:after="0" w:line="240" w:lineRule="auto"/>
        <w:jc w:val="both"/>
        <w:rPr>
          <w:rFonts w:ascii="Verdana" w:hAnsi="Verdana"/>
          <w:sz w:val="20"/>
          <w:szCs w:val="20"/>
        </w:rPr>
      </w:pPr>
    </w:p>
    <w:p w14:paraId="6099BD02" w14:textId="77777777" w:rsidR="00C37544" w:rsidRDefault="00C37544" w:rsidP="00C37544">
      <w:pPr>
        <w:tabs>
          <w:tab w:val="left" w:pos="709"/>
        </w:tabs>
        <w:spacing w:after="0" w:line="240" w:lineRule="auto"/>
        <w:jc w:val="both"/>
        <w:rPr>
          <w:rFonts w:ascii="Verdana" w:hAnsi="Verdana"/>
          <w:sz w:val="20"/>
          <w:szCs w:val="20"/>
        </w:rPr>
      </w:pPr>
    </w:p>
    <w:p w14:paraId="486D04DB" w14:textId="77777777" w:rsidR="00C37544" w:rsidRDefault="00C37544" w:rsidP="00C37544">
      <w:pPr>
        <w:tabs>
          <w:tab w:val="left" w:pos="709"/>
        </w:tabs>
        <w:spacing w:after="0" w:line="240" w:lineRule="auto"/>
        <w:jc w:val="both"/>
        <w:rPr>
          <w:rFonts w:ascii="Verdana" w:hAnsi="Verdana"/>
          <w:sz w:val="20"/>
          <w:szCs w:val="20"/>
        </w:rPr>
      </w:pPr>
    </w:p>
    <w:p w14:paraId="17A43D9A" w14:textId="77777777" w:rsidR="00C37544" w:rsidRDefault="00C37544" w:rsidP="00C37544">
      <w:pPr>
        <w:tabs>
          <w:tab w:val="left" w:pos="709"/>
        </w:tabs>
        <w:spacing w:after="0" w:line="240" w:lineRule="auto"/>
        <w:jc w:val="both"/>
        <w:rPr>
          <w:rFonts w:ascii="Verdana" w:hAnsi="Verdana"/>
          <w:sz w:val="20"/>
          <w:szCs w:val="20"/>
        </w:rPr>
      </w:pPr>
    </w:p>
    <w:p w14:paraId="19F3D8CC" w14:textId="77777777" w:rsidR="00C37544" w:rsidRDefault="00C37544" w:rsidP="00C37544">
      <w:pPr>
        <w:tabs>
          <w:tab w:val="left" w:pos="709"/>
        </w:tabs>
        <w:spacing w:after="0" w:line="240" w:lineRule="auto"/>
        <w:jc w:val="both"/>
        <w:rPr>
          <w:rFonts w:ascii="Verdana" w:hAnsi="Verdana"/>
          <w:sz w:val="20"/>
          <w:szCs w:val="20"/>
        </w:rPr>
      </w:pPr>
    </w:p>
    <w:p w14:paraId="78223156" w14:textId="77777777" w:rsidR="00C37544" w:rsidRDefault="00C37544" w:rsidP="00C37544">
      <w:pPr>
        <w:tabs>
          <w:tab w:val="left" w:pos="709"/>
        </w:tabs>
        <w:spacing w:after="0" w:line="240" w:lineRule="auto"/>
        <w:jc w:val="both"/>
        <w:rPr>
          <w:rFonts w:ascii="Verdana" w:hAnsi="Verdana"/>
          <w:sz w:val="20"/>
          <w:szCs w:val="20"/>
        </w:rPr>
      </w:pPr>
    </w:p>
    <w:p w14:paraId="6C92E7D8" w14:textId="77777777" w:rsidR="00C37544" w:rsidRDefault="00C37544" w:rsidP="00C37544">
      <w:pPr>
        <w:tabs>
          <w:tab w:val="left" w:pos="709"/>
        </w:tabs>
        <w:spacing w:after="0" w:line="240" w:lineRule="auto"/>
        <w:jc w:val="both"/>
        <w:rPr>
          <w:rFonts w:ascii="Verdana" w:hAnsi="Verdana"/>
          <w:sz w:val="20"/>
          <w:szCs w:val="20"/>
        </w:rPr>
      </w:pPr>
    </w:p>
    <w:p w14:paraId="40FCD9E3" w14:textId="77777777" w:rsidR="00C37544" w:rsidRDefault="00C37544" w:rsidP="00C37544">
      <w:pPr>
        <w:tabs>
          <w:tab w:val="left" w:pos="709"/>
        </w:tabs>
        <w:spacing w:after="0" w:line="240" w:lineRule="auto"/>
        <w:jc w:val="both"/>
        <w:rPr>
          <w:rFonts w:ascii="Verdana" w:hAnsi="Verdana"/>
          <w:sz w:val="20"/>
          <w:szCs w:val="20"/>
        </w:rPr>
      </w:pPr>
    </w:p>
    <w:p w14:paraId="0A55A2EF" w14:textId="77777777" w:rsidR="00C37544" w:rsidRDefault="00C37544" w:rsidP="00C37544">
      <w:pPr>
        <w:tabs>
          <w:tab w:val="left" w:pos="709"/>
        </w:tabs>
        <w:spacing w:after="0" w:line="240" w:lineRule="auto"/>
        <w:jc w:val="both"/>
        <w:rPr>
          <w:rFonts w:ascii="Verdana" w:hAnsi="Verdana"/>
          <w:sz w:val="20"/>
          <w:szCs w:val="20"/>
        </w:rPr>
      </w:pPr>
    </w:p>
    <w:p w14:paraId="62CD65A7" w14:textId="77777777" w:rsidR="00C37544" w:rsidRDefault="00C37544" w:rsidP="00C37544">
      <w:pPr>
        <w:tabs>
          <w:tab w:val="left" w:pos="709"/>
        </w:tabs>
        <w:spacing w:after="0" w:line="240" w:lineRule="auto"/>
        <w:jc w:val="both"/>
        <w:rPr>
          <w:rFonts w:ascii="Verdana" w:hAnsi="Verdana"/>
          <w:sz w:val="20"/>
          <w:szCs w:val="20"/>
        </w:rPr>
      </w:pPr>
    </w:p>
    <w:p w14:paraId="2ACC84D2" w14:textId="77777777" w:rsidR="00C37544" w:rsidRDefault="00C37544" w:rsidP="00C37544">
      <w:pPr>
        <w:tabs>
          <w:tab w:val="left" w:pos="709"/>
        </w:tabs>
        <w:spacing w:after="0" w:line="240" w:lineRule="auto"/>
        <w:jc w:val="both"/>
        <w:rPr>
          <w:rFonts w:ascii="Verdana" w:hAnsi="Verdana"/>
          <w:sz w:val="20"/>
          <w:szCs w:val="20"/>
        </w:rPr>
      </w:pPr>
    </w:p>
    <w:p w14:paraId="1F629410" w14:textId="77777777" w:rsidR="00C37544" w:rsidRDefault="00C37544" w:rsidP="00C37544">
      <w:pPr>
        <w:tabs>
          <w:tab w:val="left" w:pos="709"/>
        </w:tabs>
        <w:spacing w:after="0" w:line="240" w:lineRule="auto"/>
        <w:jc w:val="both"/>
        <w:rPr>
          <w:rFonts w:ascii="Verdana" w:hAnsi="Verdana"/>
          <w:sz w:val="20"/>
          <w:szCs w:val="20"/>
        </w:rPr>
      </w:pPr>
    </w:p>
    <w:p w14:paraId="08302351" w14:textId="77777777" w:rsidR="00C37544" w:rsidRDefault="00C37544" w:rsidP="00C37544">
      <w:pPr>
        <w:tabs>
          <w:tab w:val="left" w:pos="709"/>
        </w:tabs>
        <w:spacing w:after="0" w:line="240" w:lineRule="auto"/>
        <w:jc w:val="both"/>
        <w:rPr>
          <w:rFonts w:ascii="Verdana" w:hAnsi="Verdana"/>
          <w:sz w:val="20"/>
          <w:szCs w:val="20"/>
        </w:rPr>
      </w:pPr>
    </w:p>
    <w:p w14:paraId="368A94E0" w14:textId="77777777" w:rsidR="00C37544" w:rsidRDefault="00C37544" w:rsidP="00C37544">
      <w:pPr>
        <w:tabs>
          <w:tab w:val="left" w:pos="709"/>
        </w:tabs>
        <w:spacing w:after="0" w:line="240" w:lineRule="auto"/>
        <w:jc w:val="both"/>
        <w:rPr>
          <w:rFonts w:ascii="Verdana" w:hAnsi="Verdana"/>
          <w:sz w:val="20"/>
          <w:szCs w:val="20"/>
        </w:rPr>
      </w:pPr>
    </w:p>
    <w:p w14:paraId="6E02B5D9" w14:textId="77777777" w:rsidR="00C37544" w:rsidRDefault="00C37544" w:rsidP="00C37544">
      <w:pPr>
        <w:tabs>
          <w:tab w:val="left" w:pos="709"/>
        </w:tabs>
        <w:spacing w:after="0" w:line="240" w:lineRule="auto"/>
        <w:jc w:val="both"/>
        <w:rPr>
          <w:rFonts w:ascii="Verdana" w:hAnsi="Verdana"/>
          <w:sz w:val="20"/>
          <w:szCs w:val="20"/>
        </w:rPr>
      </w:pPr>
    </w:p>
    <w:p w14:paraId="236203B2" w14:textId="77777777" w:rsidR="00C37544" w:rsidRDefault="00C37544" w:rsidP="00C37544">
      <w:pPr>
        <w:tabs>
          <w:tab w:val="left" w:pos="709"/>
        </w:tabs>
        <w:spacing w:after="0" w:line="240" w:lineRule="auto"/>
        <w:jc w:val="both"/>
        <w:rPr>
          <w:rFonts w:ascii="Verdana" w:hAnsi="Verdana"/>
          <w:sz w:val="20"/>
          <w:szCs w:val="20"/>
        </w:rPr>
      </w:pPr>
    </w:p>
    <w:p w14:paraId="355D88A0" w14:textId="77777777" w:rsidR="00C37544" w:rsidRDefault="00C37544" w:rsidP="00C37544">
      <w:pPr>
        <w:tabs>
          <w:tab w:val="left" w:pos="709"/>
        </w:tabs>
        <w:spacing w:after="0" w:line="240" w:lineRule="auto"/>
        <w:jc w:val="both"/>
        <w:rPr>
          <w:rFonts w:ascii="Verdana" w:hAnsi="Verdana"/>
          <w:sz w:val="20"/>
          <w:szCs w:val="20"/>
        </w:rPr>
      </w:pPr>
    </w:p>
    <w:p w14:paraId="59BF66C9" w14:textId="77777777" w:rsidR="00C37544" w:rsidRDefault="00C37544" w:rsidP="00C37544">
      <w:pPr>
        <w:tabs>
          <w:tab w:val="left" w:pos="709"/>
        </w:tabs>
        <w:spacing w:after="0" w:line="240" w:lineRule="auto"/>
        <w:jc w:val="both"/>
        <w:rPr>
          <w:rFonts w:ascii="Verdana" w:hAnsi="Verdana"/>
          <w:sz w:val="20"/>
          <w:szCs w:val="20"/>
        </w:rPr>
      </w:pPr>
    </w:p>
    <w:p w14:paraId="3B5CCA04" w14:textId="77777777" w:rsidR="00C37544" w:rsidRDefault="00C37544" w:rsidP="00C37544">
      <w:pPr>
        <w:tabs>
          <w:tab w:val="left" w:pos="709"/>
        </w:tabs>
        <w:spacing w:after="0" w:line="240" w:lineRule="auto"/>
        <w:jc w:val="both"/>
        <w:rPr>
          <w:rFonts w:ascii="Verdana" w:hAnsi="Verdana"/>
          <w:sz w:val="20"/>
          <w:szCs w:val="20"/>
        </w:rPr>
      </w:pPr>
    </w:p>
    <w:p w14:paraId="3F5D2330" w14:textId="77777777" w:rsidR="00C37544" w:rsidRDefault="00C37544" w:rsidP="00C37544">
      <w:pPr>
        <w:tabs>
          <w:tab w:val="left" w:pos="709"/>
        </w:tabs>
        <w:spacing w:after="0" w:line="240" w:lineRule="auto"/>
        <w:jc w:val="both"/>
        <w:rPr>
          <w:rFonts w:ascii="Verdana" w:hAnsi="Verdana"/>
          <w:sz w:val="20"/>
          <w:szCs w:val="20"/>
        </w:rPr>
      </w:pPr>
    </w:p>
    <w:p w14:paraId="0AF32FBA" w14:textId="77777777" w:rsidR="00C37544" w:rsidRDefault="00C37544" w:rsidP="00C37544">
      <w:pPr>
        <w:tabs>
          <w:tab w:val="left" w:pos="709"/>
        </w:tabs>
        <w:spacing w:after="0" w:line="240" w:lineRule="auto"/>
        <w:jc w:val="both"/>
        <w:rPr>
          <w:rFonts w:ascii="Verdana" w:hAnsi="Verdana"/>
          <w:sz w:val="20"/>
          <w:szCs w:val="20"/>
        </w:rPr>
      </w:pPr>
    </w:p>
    <w:p w14:paraId="336BDE95" w14:textId="77777777" w:rsidR="00C37544" w:rsidRDefault="00C37544" w:rsidP="00C37544">
      <w:pPr>
        <w:tabs>
          <w:tab w:val="left" w:pos="709"/>
        </w:tabs>
        <w:spacing w:after="0" w:line="240" w:lineRule="auto"/>
        <w:jc w:val="both"/>
        <w:rPr>
          <w:rFonts w:ascii="Verdana" w:hAnsi="Verdana"/>
          <w:sz w:val="20"/>
          <w:szCs w:val="20"/>
        </w:rPr>
      </w:pPr>
    </w:p>
    <w:p w14:paraId="53306EEC" w14:textId="77777777" w:rsidR="00C37544" w:rsidRDefault="00C37544" w:rsidP="00C37544">
      <w:pPr>
        <w:tabs>
          <w:tab w:val="left" w:pos="709"/>
        </w:tabs>
        <w:spacing w:after="0" w:line="240" w:lineRule="auto"/>
        <w:jc w:val="both"/>
        <w:rPr>
          <w:rFonts w:ascii="Verdana" w:hAnsi="Verdana"/>
          <w:sz w:val="20"/>
          <w:szCs w:val="20"/>
        </w:rPr>
      </w:pPr>
    </w:p>
    <w:p w14:paraId="488BAC62" w14:textId="77777777" w:rsidR="00C37544" w:rsidRDefault="00C37544" w:rsidP="00C37544">
      <w:pPr>
        <w:tabs>
          <w:tab w:val="left" w:pos="709"/>
        </w:tabs>
        <w:spacing w:after="0" w:line="240" w:lineRule="auto"/>
        <w:jc w:val="both"/>
        <w:rPr>
          <w:rFonts w:ascii="Verdana" w:hAnsi="Verdana"/>
          <w:sz w:val="20"/>
          <w:szCs w:val="20"/>
        </w:rPr>
      </w:pPr>
    </w:p>
    <w:p w14:paraId="0C4DAE8F" w14:textId="77777777" w:rsidR="005C04B5" w:rsidRDefault="005C04B5" w:rsidP="00037AFB">
      <w:pPr>
        <w:spacing w:after="0" w:line="240" w:lineRule="auto"/>
        <w:rPr>
          <w:rFonts w:ascii="Verdana" w:eastAsia="Geomanist Light" w:hAnsi="Verdana" w:cs="Arial"/>
        </w:rPr>
      </w:pPr>
    </w:p>
    <w:p w14:paraId="5F2F9BFD" w14:textId="77777777" w:rsidR="005C04B5" w:rsidRDefault="005C04B5" w:rsidP="00037AFB">
      <w:pPr>
        <w:spacing w:after="0" w:line="240" w:lineRule="auto"/>
        <w:rPr>
          <w:rFonts w:ascii="Verdana" w:eastAsia="Geomanist Light" w:hAnsi="Verdana" w:cs="Arial"/>
        </w:rPr>
      </w:pPr>
    </w:p>
    <w:p w14:paraId="0D75D4C0" w14:textId="77777777" w:rsidR="005C04B5" w:rsidRDefault="005C04B5" w:rsidP="00037AFB">
      <w:pPr>
        <w:spacing w:after="0" w:line="240" w:lineRule="auto"/>
        <w:rPr>
          <w:rFonts w:ascii="Verdana" w:eastAsia="Geomanist Light" w:hAnsi="Verdana" w:cs="Arial"/>
        </w:rPr>
      </w:pPr>
    </w:p>
    <w:p w14:paraId="34C7E092" w14:textId="40801A18" w:rsidR="002F58A6" w:rsidRPr="00037AFB" w:rsidRDefault="002F58A6" w:rsidP="00037AFB">
      <w:pPr>
        <w:spacing w:after="0" w:line="240" w:lineRule="auto"/>
        <w:rPr>
          <w:rFonts w:ascii="Verdana" w:eastAsia="Calibri" w:hAnsi="Verdana" w:cs="Arial"/>
          <w:bCs/>
          <w:sz w:val="20"/>
          <w:szCs w:val="20"/>
          <w:lang w:eastAsia="es-ES_tradnl"/>
        </w:rPr>
      </w:pPr>
      <w:r w:rsidRPr="00037AFB">
        <w:rPr>
          <w:rFonts w:ascii="Verdana" w:eastAsia="Geomanist Light" w:hAnsi="Verdana" w:cs="Arial"/>
        </w:rPr>
        <w:lastRenderedPageBreak/>
        <w:t>Bogotá D.C., [Día] de [</w:t>
      </w:r>
      <w:proofErr w:type="spellStart"/>
      <w:r w:rsidRPr="00037AFB">
        <w:rPr>
          <w:rFonts w:ascii="Verdana" w:eastAsia="Geomanist Light" w:hAnsi="Verdana" w:cs="Arial"/>
        </w:rPr>
        <w:t>Mes.NombreCapitalizado</w:t>
      </w:r>
      <w:proofErr w:type="spellEnd"/>
      <w:r w:rsidRPr="00037AFB">
        <w:rPr>
          <w:rFonts w:ascii="Verdana" w:eastAsia="Geomanist Light" w:hAnsi="Verdana" w:cs="Arial"/>
        </w:rPr>
        <w:t>] de [Año]</w:t>
      </w:r>
    </w:p>
    <w:p w14:paraId="72FF017A" w14:textId="04413E6F" w:rsidR="002F58A6" w:rsidRPr="00037AFB" w:rsidRDefault="002F58A6" w:rsidP="00037AFB">
      <w:pPr>
        <w:spacing w:after="0" w:line="240" w:lineRule="auto"/>
        <w:rPr>
          <w:rFonts w:ascii="Verdana" w:eastAsia="Calibri" w:hAnsi="Verdana" w:cs="Arial"/>
          <w:b/>
          <w:bCs/>
          <w:lang w:eastAsia="es-ES_tradnl"/>
        </w:rPr>
      </w:pPr>
    </w:p>
    <w:p w14:paraId="3BE88741" w14:textId="3A3CD190" w:rsidR="002F58A6" w:rsidRPr="00037AFB" w:rsidRDefault="002F58A6" w:rsidP="00037AFB">
      <w:pPr>
        <w:spacing w:after="0" w:line="240" w:lineRule="auto"/>
        <w:rPr>
          <w:rFonts w:ascii="Verdana" w:eastAsia="Calibri" w:hAnsi="Verdana" w:cs="Arial"/>
          <w:lang w:eastAsia="es-ES_tradnl"/>
        </w:rPr>
      </w:pPr>
      <w:r w:rsidRPr="00037AFB">
        <w:rPr>
          <w:rFonts w:ascii="Verdana" w:eastAsia="Calibri" w:hAnsi="Verdana" w:cs="Arial"/>
          <w:lang w:eastAsia="es-ES_tradnl"/>
        </w:rPr>
        <w:t>Señor</w:t>
      </w:r>
      <w:r w:rsidR="00F0274B">
        <w:rPr>
          <w:rFonts w:ascii="Verdana" w:eastAsia="Calibri" w:hAnsi="Verdana" w:cs="Arial"/>
          <w:lang w:eastAsia="es-ES_tradnl"/>
        </w:rPr>
        <w:t>a</w:t>
      </w:r>
    </w:p>
    <w:p w14:paraId="37903521" w14:textId="5604D73A" w:rsidR="002F58A6" w:rsidRDefault="005C04B5" w:rsidP="00037AFB">
      <w:pPr>
        <w:spacing w:after="0" w:line="240" w:lineRule="auto"/>
        <w:rPr>
          <w:rFonts w:ascii="Verdana" w:eastAsia="Calibri" w:hAnsi="Verdana" w:cs="Arial"/>
          <w:b/>
          <w:bCs/>
          <w:lang w:eastAsia="es-ES_tradnl"/>
        </w:rPr>
      </w:pPr>
      <w:r w:rsidRPr="00334F0E">
        <w:rPr>
          <w:rStyle w:val="Hipervnculo"/>
          <w:rFonts w:ascii="Verdana" w:eastAsia="Calibri" w:hAnsi="Verdana" w:cs="Arial"/>
          <w:noProof/>
          <w:lang w:eastAsia="es-ES_tradnl"/>
        </w:rPr>
        <w:drawing>
          <wp:anchor distT="0" distB="0" distL="114300" distR="114300" simplePos="0" relativeHeight="251658240" behindDoc="1" locked="0" layoutInCell="1" allowOverlap="1" wp14:anchorId="68495A4B" wp14:editId="74ECD9DB">
            <wp:simplePos x="0" y="0"/>
            <wp:positionH relativeFrom="column">
              <wp:posOffset>3809917</wp:posOffset>
            </wp:positionH>
            <wp:positionV relativeFrom="paragraph">
              <wp:posOffset>8337</wp:posOffset>
            </wp:positionV>
            <wp:extent cx="2369185" cy="724535"/>
            <wp:effectExtent l="0" t="0" r="0" b="0"/>
            <wp:wrapSquare wrapText="bothSides"/>
            <wp:docPr id="12403963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39639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69185" cy="724535"/>
                    </a:xfrm>
                    <a:prstGeom prst="rect">
                      <a:avLst/>
                    </a:prstGeom>
                  </pic:spPr>
                </pic:pic>
              </a:graphicData>
            </a:graphic>
            <wp14:sizeRelH relativeFrom="page">
              <wp14:pctWidth>0</wp14:pctWidth>
            </wp14:sizeRelH>
            <wp14:sizeRelV relativeFrom="page">
              <wp14:pctHeight>0</wp14:pctHeight>
            </wp14:sizeRelV>
          </wp:anchor>
        </w:drawing>
      </w:r>
      <w:proofErr w:type="spellStart"/>
      <w:r w:rsidR="00F0274B">
        <w:rPr>
          <w:rFonts w:ascii="Verdana" w:eastAsia="Calibri" w:hAnsi="Verdana" w:cs="Arial"/>
          <w:b/>
          <w:bCs/>
          <w:lang w:eastAsia="es-ES_tradnl"/>
        </w:rPr>
        <w:t>Rosmery</w:t>
      </w:r>
      <w:proofErr w:type="spellEnd"/>
      <w:r w:rsidR="00F0274B">
        <w:rPr>
          <w:rFonts w:ascii="Verdana" w:eastAsia="Calibri" w:hAnsi="Verdana" w:cs="Arial"/>
          <w:b/>
          <w:bCs/>
          <w:lang w:eastAsia="es-ES_tradnl"/>
        </w:rPr>
        <w:t xml:space="preserve"> Quintero Castro</w:t>
      </w:r>
    </w:p>
    <w:p w14:paraId="3F926C62" w14:textId="706F138D" w:rsidR="00F0274B" w:rsidRPr="00F0274B" w:rsidRDefault="00F0274B" w:rsidP="00F0274B">
      <w:pPr>
        <w:spacing w:after="0" w:line="240" w:lineRule="auto"/>
        <w:rPr>
          <w:rFonts w:ascii="Verdana" w:eastAsia="Calibri" w:hAnsi="Verdana" w:cs="Arial"/>
          <w:lang w:eastAsia="es-ES_tradnl"/>
        </w:rPr>
      </w:pPr>
      <w:r w:rsidRPr="00F0274B">
        <w:rPr>
          <w:rFonts w:ascii="Verdana" w:eastAsia="Calibri" w:hAnsi="Verdana" w:cs="Arial"/>
          <w:lang w:eastAsia="es-ES_tradnl"/>
        </w:rPr>
        <w:t xml:space="preserve">Presidente del Observatorio Nacional de la </w:t>
      </w:r>
      <w:proofErr w:type="spellStart"/>
      <w:r w:rsidRPr="00F0274B">
        <w:rPr>
          <w:rFonts w:ascii="Verdana" w:eastAsia="Calibri" w:hAnsi="Verdana" w:cs="Arial"/>
          <w:lang w:eastAsia="es-ES_tradnl"/>
        </w:rPr>
        <w:t>MiPyme</w:t>
      </w:r>
      <w:proofErr w:type="spellEnd"/>
      <w:r w:rsidRPr="00F0274B">
        <w:rPr>
          <w:rFonts w:ascii="Verdana" w:eastAsia="Calibri" w:hAnsi="Verdana" w:cs="Arial"/>
          <w:lang w:eastAsia="es-ES_tradnl"/>
        </w:rPr>
        <w:t xml:space="preserve"> </w:t>
      </w:r>
    </w:p>
    <w:p w14:paraId="673394AC" w14:textId="61611EC4" w:rsidR="00F0274B" w:rsidRPr="00F0274B" w:rsidRDefault="00F0274B" w:rsidP="00F0274B">
      <w:pPr>
        <w:spacing w:after="0" w:line="240" w:lineRule="auto"/>
        <w:rPr>
          <w:rFonts w:ascii="Verdana" w:eastAsia="Calibri" w:hAnsi="Verdana" w:cs="Arial"/>
          <w:lang w:eastAsia="es-ES_tradnl"/>
        </w:rPr>
      </w:pPr>
      <w:r w:rsidRPr="00F0274B">
        <w:rPr>
          <w:rFonts w:ascii="Verdana" w:eastAsia="Calibri" w:hAnsi="Verdana" w:cs="Arial"/>
          <w:lang w:eastAsia="es-ES_tradnl"/>
        </w:rPr>
        <w:t>Directora Ejecutiva ACOPI seccional Atlántico</w:t>
      </w:r>
    </w:p>
    <w:p w14:paraId="6F2346A7" w14:textId="13B6E284" w:rsidR="00D31064" w:rsidRDefault="00F0274B" w:rsidP="00037AFB">
      <w:pPr>
        <w:spacing w:after="0" w:line="240" w:lineRule="auto"/>
        <w:rPr>
          <w:rFonts w:ascii="Verdana" w:eastAsia="Calibri" w:hAnsi="Verdana" w:cs="Arial"/>
          <w:lang w:eastAsia="es-ES_tradnl"/>
        </w:rPr>
      </w:pPr>
      <w:hyperlink r:id="rId11" w:history="1">
        <w:r w:rsidRPr="00AD7D65">
          <w:rPr>
            <w:rStyle w:val="Hipervnculo"/>
            <w:rFonts w:ascii="Verdana" w:eastAsia="Calibri" w:hAnsi="Verdana" w:cs="Arial"/>
            <w:lang w:eastAsia="es-ES_tradnl"/>
          </w:rPr>
          <w:t>jhoyos@acopiatlantico.com</w:t>
        </w:r>
      </w:hyperlink>
    </w:p>
    <w:p w14:paraId="38E7A9C4" w14:textId="4764980B" w:rsidR="00F0274B" w:rsidRDefault="00F0274B" w:rsidP="00037AFB">
      <w:pPr>
        <w:spacing w:after="0" w:line="240" w:lineRule="auto"/>
        <w:rPr>
          <w:rFonts w:ascii="Verdana" w:eastAsia="Calibri" w:hAnsi="Verdana" w:cs="Arial"/>
          <w:lang w:eastAsia="es-ES_tradnl"/>
        </w:rPr>
      </w:pPr>
      <w:hyperlink r:id="rId12" w:history="1">
        <w:r w:rsidRPr="00AD7D65">
          <w:rPr>
            <w:rStyle w:val="Hipervnculo"/>
            <w:rFonts w:ascii="Verdana" w:eastAsia="Calibri" w:hAnsi="Verdana" w:cs="Arial"/>
            <w:lang w:eastAsia="es-ES_tradnl"/>
          </w:rPr>
          <w:t>Contactenos@desarrolloeconomico.gov.co</w:t>
        </w:r>
      </w:hyperlink>
    </w:p>
    <w:p w14:paraId="3252FF31" w14:textId="6E29C519" w:rsidR="002F58A6" w:rsidRPr="00037AFB" w:rsidRDefault="00F0274B" w:rsidP="00037AFB">
      <w:pPr>
        <w:spacing w:after="0" w:line="240" w:lineRule="auto"/>
        <w:rPr>
          <w:rFonts w:ascii="Verdana" w:eastAsia="Calibri" w:hAnsi="Verdana" w:cs="Arial"/>
          <w:lang w:eastAsia="es-ES_tradnl"/>
        </w:rPr>
      </w:pPr>
      <w:r>
        <w:rPr>
          <w:rFonts w:ascii="Verdana" w:eastAsia="Calibri" w:hAnsi="Verdana" w:cs="Arial"/>
          <w:lang w:eastAsia="es-ES_tradnl"/>
        </w:rPr>
        <w:t>Barranquilla, Atlántico</w:t>
      </w:r>
    </w:p>
    <w:p w14:paraId="3514CA3A" w14:textId="14402734" w:rsidR="002F58A6" w:rsidRPr="00037AFB" w:rsidRDefault="002F58A6" w:rsidP="00037AFB">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F58A6" w:rsidRPr="00037AFB" w14:paraId="0514B40B" w14:textId="77777777" w:rsidTr="006819A9">
        <w:trPr>
          <w:trHeight w:val="190"/>
        </w:trPr>
        <w:tc>
          <w:tcPr>
            <w:tcW w:w="2689" w:type="dxa"/>
          </w:tcPr>
          <w:p w14:paraId="799EDB39" w14:textId="77777777" w:rsidR="002F58A6" w:rsidRPr="00037AFB" w:rsidRDefault="002F58A6" w:rsidP="00037AFB">
            <w:pPr>
              <w:jc w:val="both"/>
              <w:rPr>
                <w:rFonts w:ascii="Verdana" w:eastAsia="Calibri" w:hAnsi="Verdana" w:cs="Arial"/>
                <w:b/>
                <w:bCs/>
                <w:lang w:eastAsia="es-ES_tradnl"/>
              </w:rPr>
            </w:pPr>
          </w:p>
        </w:tc>
        <w:tc>
          <w:tcPr>
            <w:tcW w:w="6100" w:type="dxa"/>
          </w:tcPr>
          <w:p w14:paraId="5E4D16D6" w14:textId="0B3AB7A5" w:rsidR="002F58A6" w:rsidRPr="00037AFB" w:rsidRDefault="002F58A6" w:rsidP="00037AFB">
            <w:pPr>
              <w:jc w:val="both"/>
              <w:rPr>
                <w:rFonts w:ascii="Verdana" w:eastAsia="Calibri" w:hAnsi="Verdana" w:cs="Arial"/>
                <w:b/>
                <w:bCs/>
                <w:lang w:eastAsia="es-ES"/>
              </w:rPr>
            </w:pPr>
            <w:r w:rsidRPr="00037AFB">
              <w:rPr>
                <w:rFonts w:ascii="Verdana" w:eastAsia="Calibri" w:hAnsi="Verdana" w:cs="Arial"/>
                <w:b/>
                <w:bCs/>
                <w:lang w:eastAsia="es-ES"/>
              </w:rPr>
              <w:t>Concepto C- 16</w:t>
            </w:r>
            <w:r w:rsidR="00F0274B">
              <w:rPr>
                <w:rFonts w:ascii="Verdana" w:eastAsia="Calibri" w:hAnsi="Verdana" w:cs="Arial"/>
                <w:b/>
                <w:bCs/>
                <w:lang w:eastAsia="es-ES"/>
              </w:rPr>
              <w:t>93</w:t>
            </w:r>
            <w:r w:rsidRPr="00037AFB">
              <w:rPr>
                <w:rFonts w:ascii="Verdana" w:eastAsia="Calibri" w:hAnsi="Verdana" w:cs="Arial"/>
                <w:b/>
                <w:bCs/>
                <w:lang w:eastAsia="es-ES"/>
              </w:rPr>
              <w:t xml:space="preserve"> de 2025</w:t>
            </w:r>
          </w:p>
          <w:p w14:paraId="4E71F6C5" w14:textId="77777777" w:rsidR="002F58A6" w:rsidRPr="00037AFB" w:rsidRDefault="002F58A6" w:rsidP="00037AFB">
            <w:pPr>
              <w:jc w:val="both"/>
              <w:rPr>
                <w:rFonts w:ascii="Verdana" w:eastAsia="Calibri" w:hAnsi="Verdana" w:cs="Arial"/>
                <w:b/>
                <w:bCs/>
                <w:lang w:eastAsia="es-ES"/>
              </w:rPr>
            </w:pPr>
          </w:p>
        </w:tc>
      </w:tr>
      <w:tr w:rsidR="002F58A6" w:rsidRPr="00037AFB" w14:paraId="176902FC" w14:textId="77777777" w:rsidTr="006819A9">
        <w:trPr>
          <w:trHeight w:val="884"/>
        </w:trPr>
        <w:tc>
          <w:tcPr>
            <w:tcW w:w="2689" w:type="dxa"/>
          </w:tcPr>
          <w:p w14:paraId="064BC09F" w14:textId="77777777" w:rsidR="002F58A6" w:rsidRPr="00037AFB" w:rsidRDefault="002F58A6" w:rsidP="00037AFB">
            <w:pPr>
              <w:jc w:val="both"/>
              <w:rPr>
                <w:rFonts w:ascii="Verdana" w:eastAsia="Calibri" w:hAnsi="Verdana" w:cs="Arial"/>
                <w:lang w:eastAsia="es-ES_tradnl"/>
              </w:rPr>
            </w:pPr>
            <w:r w:rsidRPr="00037AFB">
              <w:rPr>
                <w:rFonts w:ascii="Verdana" w:eastAsia="Calibri" w:hAnsi="Verdana" w:cs="Arial"/>
                <w:b/>
                <w:lang w:eastAsia="es-ES_tradnl"/>
              </w:rPr>
              <w:t>Tema:</w:t>
            </w:r>
            <w:r w:rsidRPr="00037AFB">
              <w:rPr>
                <w:rFonts w:ascii="Verdana" w:eastAsia="Calibri" w:hAnsi="Verdana" w:cs="Arial"/>
                <w:lang w:eastAsia="es-ES_tradnl"/>
              </w:rPr>
              <w:t xml:space="preserve">                   </w:t>
            </w:r>
          </w:p>
        </w:tc>
        <w:tc>
          <w:tcPr>
            <w:tcW w:w="6100" w:type="dxa"/>
          </w:tcPr>
          <w:p w14:paraId="02EE9F7C" w14:textId="213D31C9" w:rsidR="002F58A6" w:rsidRPr="00037AFB" w:rsidRDefault="00C37544" w:rsidP="00C37544">
            <w:pPr>
              <w:spacing w:after="120" w:line="276" w:lineRule="auto"/>
              <w:jc w:val="both"/>
              <w:rPr>
                <w:rFonts w:ascii="Verdana" w:eastAsia="Calibri" w:hAnsi="Verdana" w:cs="Arial"/>
                <w:lang w:val="es-ES" w:eastAsia="es-ES"/>
              </w:rPr>
            </w:pPr>
            <w:r w:rsidRPr="00805185">
              <w:rPr>
                <w:rFonts w:ascii="Verdana" w:hAnsi="Verdana"/>
                <w:lang w:val="es-ES_tradnl"/>
              </w:rPr>
              <w:t>LEY DE EMPRENDIMIENTO – Artículo 31 – Criterios diferenciales – Reglamentación</w:t>
            </w:r>
            <w:r>
              <w:rPr>
                <w:rFonts w:ascii="Verdana" w:hAnsi="Verdana"/>
                <w:lang w:val="es-ES_tradnl"/>
              </w:rPr>
              <w:t xml:space="preserve"> / </w:t>
            </w:r>
            <w:r w:rsidRPr="00805185">
              <w:rPr>
                <w:rFonts w:ascii="Verdana" w:hAnsi="Verdana"/>
                <w:lang w:val="es-ES_tradnl"/>
              </w:rPr>
              <w:t xml:space="preserve">MIPYMES – Criterios diferenciales – Decreto 1860 de 2021 – Contenido – Distinciones- </w:t>
            </w:r>
            <w:r w:rsidRPr="00805185">
              <w:rPr>
                <w:rFonts w:ascii="Verdana" w:hAnsi="Verdana"/>
                <w:lang w:val="es-ES"/>
              </w:rPr>
              <w:t>MIPYMES</w:t>
            </w:r>
            <w:r>
              <w:rPr>
                <w:rFonts w:ascii="Verdana" w:hAnsi="Verdana"/>
                <w:lang w:val="es-ES"/>
              </w:rPr>
              <w:t>/</w:t>
            </w:r>
            <w:r>
              <w:t xml:space="preserve"> </w:t>
            </w:r>
            <w:r w:rsidRPr="00C37544">
              <w:rPr>
                <w:rFonts w:ascii="Verdana" w:hAnsi="Verdana"/>
                <w:lang w:val="es-ES"/>
              </w:rPr>
              <w:t>GUÍA PARA PROMOVER LA PARTICIPACIÓN DE LAS MIPYMES EN LOS PROCESOS DE COMPRA Y CONTRATACIÓN PÚBLICA/ Compras Inclusivas</w:t>
            </w:r>
          </w:p>
        </w:tc>
      </w:tr>
      <w:tr w:rsidR="002F58A6" w:rsidRPr="00037AFB" w14:paraId="2F23E666" w14:textId="77777777" w:rsidTr="006819A9">
        <w:tc>
          <w:tcPr>
            <w:tcW w:w="2689" w:type="dxa"/>
          </w:tcPr>
          <w:p w14:paraId="32A43419" w14:textId="77777777" w:rsidR="002F58A6" w:rsidRPr="00037AFB" w:rsidRDefault="002F58A6" w:rsidP="00037AFB">
            <w:pPr>
              <w:jc w:val="both"/>
              <w:rPr>
                <w:rFonts w:ascii="Verdana" w:eastAsia="Calibri" w:hAnsi="Verdana" w:cs="Arial"/>
                <w:b/>
                <w:lang w:eastAsia="es-ES_tradnl"/>
              </w:rPr>
            </w:pPr>
            <w:r w:rsidRPr="00037AFB">
              <w:rPr>
                <w:rFonts w:ascii="Verdana" w:eastAsia="Calibri" w:hAnsi="Verdana" w:cs="Arial"/>
                <w:b/>
                <w:lang w:eastAsia="es-ES_tradnl"/>
              </w:rPr>
              <w:t>Radicación:</w:t>
            </w:r>
            <w:r w:rsidRPr="00037AFB">
              <w:rPr>
                <w:rFonts w:ascii="Verdana" w:eastAsia="Calibri" w:hAnsi="Verdana" w:cs="Arial"/>
                <w:lang w:eastAsia="es-ES_tradnl"/>
              </w:rPr>
              <w:t xml:space="preserve">               </w:t>
            </w:r>
          </w:p>
        </w:tc>
        <w:tc>
          <w:tcPr>
            <w:tcW w:w="6100" w:type="dxa"/>
          </w:tcPr>
          <w:p w14:paraId="606F768D" w14:textId="75CB4C9E" w:rsidR="002F58A6" w:rsidRPr="00037AFB" w:rsidRDefault="002F58A6" w:rsidP="00037AFB">
            <w:pPr>
              <w:jc w:val="both"/>
              <w:rPr>
                <w:rFonts w:ascii="Verdana" w:eastAsia="Calibri" w:hAnsi="Verdana" w:cs="Arial"/>
                <w:lang w:eastAsia="es-ES_tradnl"/>
              </w:rPr>
            </w:pPr>
            <w:r w:rsidRPr="00037AFB">
              <w:rPr>
                <w:rFonts w:ascii="Verdana" w:eastAsia="Calibri" w:hAnsi="Verdana" w:cs="Arial"/>
                <w:lang w:eastAsia="es-ES_tradnl"/>
              </w:rPr>
              <w:t xml:space="preserve">Respuesta a consulta con radicado </w:t>
            </w:r>
            <w:proofErr w:type="gramStart"/>
            <w:r w:rsidRPr="00037AFB">
              <w:rPr>
                <w:rFonts w:ascii="Verdana" w:eastAsia="Calibri" w:hAnsi="Verdana" w:cs="Arial"/>
                <w:lang w:eastAsia="es-ES_tradnl"/>
              </w:rPr>
              <w:t>No.</w:t>
            </w:r>
            <w:r w:rsidRPr="00D93A19">
              <w:rPr>
                <w:rFonts w:ascii="Verdana" w:hAnsi="Verdana" w:cs="Segoe UI"/>
                <w:color w:val="2B2B2B"/>
                <w:sz w:val="27"/>
                <w:szCs w:val="27"/>
                <w:shd w:val="clear" w:color="auto" w:fill="FFFFFF"/>
              </w:rPr>
              <w:t xml:space="preserve"> </w:t>
            </w:r>
            <w:r w:rsidR="00B8557E" w:rsidRPr="00B8557E">
              <w:rPr>
                <w:rFonts w:ascii="Verdana" w:hAnsi="Verdana" w:cs="Segoe UI"/>
                <w:color w:val="2B2B2B"/>
                <w:sz w:val="27"/>
                <w:szCs w:val="27"/>
                <w:shd w:val="clear" w:color="auto" w:fill="FFFFFF"/>
              </w:rPr>
              <w:t xml:space="preserve"> </w:t>
            </w:r>
            <w:r w:rsidR="00B8557E" w:rsidRPr="00B8557E">
              <w:rPr>
                <w:rFonts w:ascii="Verdana" w:hAnsi="Verdana" w:cs="Segoe UI"/>
                <w:color w:val="2B2B2B"/>
                <w:shd w:val="clear" w:color="auto" w:fill="FFFFFF"/>
              </w:rPr>
              <w:t>1</w:t>
            </w:r>
            <w:proofErr w:type="gramEnd"/>
            <w:r w:rsidR="00B8557E" w:rsidRPr="00B8557E">
              <w:rPr>
                <w:rFonts w:ascii="Verdana" w:hAnsi="Verdana" w:cs="Segoe UI"/>
                <w:color w:val="2B2B2B"/>
                <w:shd w:val="clear" w:color="auto" w:fill="FFFFFF"/>
              </w:rPr>
              <w:t>_2025_11_13_012830</w:t>
            </w:r>
          </w:p>
        </w:tc>
      </w:tr>
    </w:tbl>
    <w:p w14:paraId="0F4AB578" w14:textId="77777777" w:rsidR="002F58A6" w:rsidRPr="00037AFB" w:rsidRDefault="002F58A6" w:rsidP="00037AFB">
      <w:pPr>
        <w:spacing w:after="0" w:line="240" w:lineRule="auto"/>
        <w:jc w:val="both"/>
        <w:rPr>
          <w:rFonts w:ascii="Verdana" w:eastAsia="Calibri" w:hAnsi="Verdana" w:cs="Arial"/>
          <w:lang w:eastAsia="es-ES_tradnl"/>
        </w:rPr>
      </w:pPr>
    </w:p>
    <w:p w14:paraId="40206AFA" w14:textId="0CFCC392" w:rsidR="002F58A6" w:rsidRPr="00960F72" w:rsidRDefault="002F58A6" w:rsidP="00037AFB">
      <w:pPr>
        <w:spacing w:after="0" w:line="276" w:lineRule="auto"/>
        <w:jc w:val="both"/>
        <w:rPr>
          <w:rFonts w:ascii="Verdana" w:eastAsia="Calibri" w:hAnsi="Verdana" w:cs="Arial"/>
          <w:lang w:eastAsia="es-ES"/>
        </w:rPr>
      </w:pPr>
      <w:r>
        <w:rPr>
          <w:rFonts w:ascii="Verdana" w:eastAsia="Calibri" w:hAnsi="Verdana" w:cs="Arial"/>
          <w:lang w:eastAsia="es-ES"/>
        </w:rPr>
        <w:t>Estimad</w:t>
      </w:r>
      <w:r w:rsidR="00F0274B">
        <w:rPr>
          <w:rFonts w:ascii="Verdana" w:eastAsia="Calibri" w:hAnsi="Verdana" w:cs="Arial"/>
          <w:lang w:eastAsia="es-ES"/>
        </w:rPr>
        <w:t>a</w:t>
      </w:r>
      <w:r>
        <w:rPr>
          <w:rFonts w:ascii="Verdana" w:eastAsia="Calibri" w:hAnsi="Verdana" w:cs="Arial"/>
          <w:lang w:eastAsia="es-ES"/>
        </w:rPr>
        <w:t xml:space="preserve"> señor</w:t>
      </w:r>
      <w:r w:rsidR="00F0274B">
        <w:rPr>
          <w:rFonts w:ascii="Verdana" w:eastAsia="Calibri" w:hAnsi="Verdana" w:cs="Arial"/>
          <w:lang w:eastAsia="es-ES"/>
        </w:rPr>
        <w:t>a</w:t>
      </w:r>
      <w:r>
        <w:rPr>
          <w:rFonts w:ascii="Verdana" w:eastAsia="Calibri" w:hAnsi="Verdana" w:cs="Arial"/>
          <w:lang w:eastAsia="es-ES"/>
        </w:rPr>
        <w:t xml:space="preserve"> </w:t>
      </w:r>
      <w:r w:rsidR="00F0274B">
        <w:rPr>
          <w:rFonts w:ascii="Verdana" w:eastAsia="Calibri" w:hAnsi="Verdana" w:cs="Arial"/>
          <w:lang w:eastAsia="es-ES"/>
        </w:rPr>
        <w:t>Quintero</w:t>
      </w:r>
      <w:r>
        <w:rPr>
          <w:rFonts w:ascii="Verdana" w:eastAsia="Calibri" w:hAnsi="Verdana" w:cs="Arial"/>
          <w:lang w:eastAsia="es-ES"/>
        </w:rPr>
        <w:t>:</w:t>
      </w:r>
    </w:p>
    <w:p w14:paraId="36B4BD02" w14:textId="77777777" w:rsidR="002F58A6" w:rsidRPr="00960F72" w:rsidRDefault="002F58A6" w:rsidP="00037AFB">
      <w:pPr>
        <w:tabs>
          <w:tab w:val="left" w:pos="3768"/>
        </w:tabs>
        <w:spacing w:after="0" w:line="276" w:lineRule="auto"/>
        <w:jc w:val="both"/>
        <w:rPr>
          <w:rFonts w:ascii="Verdana" w:eastAsia="Calibri" w:hAnsi="Verdana" w:cs="Arial"/>
          <w:lang w:eastAsia="es-ES"/>
        </w:rPr>
      </w:pPr>
    </w:p>
    <w:p w14:paraId="4EC3B471" w14:textId="596C27C5" w:rsidR="002F58A6" w:rsidRPr="00960F72" w:rsidRDefault="002F58A6" w:rsidP="00037AFB">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sidR="00B8557E">
        <w:rPr>
          <w:rFonts w:ascii="Verdana" w:eastAsia="Calibri" w:hAnsi="Verdana" w:cs="Arial"/>
          <w:lang w:eastAsia="es-ES"/>
        </w:rPr>
        <w:t xml:space="preserve">la cual fue remitida por competencia el pasado 13 </w:t>
      </w:r>
      <w:r w:rsidRPr="00960F72">
        <w:rPr>
          <w:rFonts w:ascii="Verdana" w:eastAsia="Calibri" w:hAnsi="Verdana" w:cs="Arial"/>
          <w:lang w:eastAsia="es-ES"/>
        </w:rPr>
        <w:t xml:space="preserve">de </w:t>
      </w:r>
      <w:r>
        <w:rPr>
          <w:rFonts w:ascii="Verdana" w:eastAsia="Calibri" w:hAnsi="Verdana" w:cs="Arial"/>
          <w:lang w:eastAsia="es-ES"/>
        </w:rPr>
        <w:t>noviembre</w:t>
      </w:r>
      <w:r w:rsidRPr="00960F72">
        <w:rPr>
          <w:rFonts w:ascii="Verdana" w:eastAsia="Calibri" w:hAnsi="Verdana" w:cs="Arial"/>
          <w:lang w:eastAsia="es-ES"/>
        </w:rPr>
        <w:t xml:space="preserve"> de 2025, en la cual manifiesta lo siguiente: </w:t>
      </w:r>
    </w:p>
    <w:p w14:paraId="44EE2E2A" w14:textId="77777777" w:rsidR="002F58A6" w:rsidRPr="00960F72" w:rsidRDefault="002F58A6" w:rsidP="00037AFB">
      <w:pPr>
        <w:spacing w:after="0" w:line="276" w:lineRule="auto"/>
        <w:jc w:val="both"/>
        <w:rPr>
          <w:rFonts w:ascii="Verdana" w:eastAsia="Calibri" w:hAnsi="Verdana" w:cs="Arial"/>
          <w:lang w:eastAsia="es-ES"/>
        </w:rPr>
      </w:pPr>
    </w:p>
    <w:p w14:paraId="7C6F865D" w14:textId="77777777" w:rsidR="00310102" w:rsidRDefault="002F58A6" w:rsidP="00D31064">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00D31064">
        <w:rPr>
          <w:rFonts w:ascii="Verdana" w:eastAsia="Calibri" w:hAnsi="Verdana" w:cs="Arial"/>
          <w:sz w:val="20"/>
          <w:szCs w:val="20"/>
          <w:lang w:eastAsia="es-ES"/>
        </w:rPr>
        <w:t>…</w:t>
      </w:r>
      <w:r w:rsidR="00310102">
        <w:rPr>
          <w:rFonts w:ascii="Verdana" w:eastAsia="Calibri" w:hAnsi="Verdana" w:cs="Arial"/>
          <w:sz w:val="20"/>
          <w:szCs w:val="20"/>
          <w:lang w:eastAsia="es-ES"/>
        </w:rPr>
        <w:t>Agradeceríamos conocer</w:t>
      </w:r>
    </w:p>
    <w:p w14:paraId="1CC28A03" w14:textId="596B6A4F" w:rsidR="00310102" w:rsidRPr="00310102" w:rsidRDefault="00310102" w:rsidP="00310102">
      <w:pPr>
        <w:spacing w:after="0" w:line="240" w:lineRule="auto"/>
        <w:ind w:left="709" w:right="709"/>
        <w:jc w:val="both"/>
        <w:rPr>
          <w:rFonts w:ascii="Verdana" w:eastAsia="Calibri" w:hAnsi="Verdana" w:cs="Arial"/>
          <w:sz w:val="20"/>
          <w:szCs w:val="20"/>
          <w:lang w:eastAsia="es-ES"/>
        </w:rPr>
      </w:pPr>
      <w:r w:rsidRPr="00310102">
        <w:rPr>
          <w:rFonts w:ascii="Verdana" w:eastAsia="Calibri" w:hAnsi="Verdana" w:cs="Arial"/>
          <w:sz w:val="20"/>
          <w:szCs w:val="20"/>
          <w:lang w:eastAsia="es-ES"/>
        </w:rPr>
        <w:t xml:space="preserve">1. El análisis de las MiPymes potencialmente proveedoras realizado en los procesos de contratación, así como las reglas definidas para facilitar su participación. </w:t>
      </w:r>
    </w:p>
    <w:p w14:paraId="17A6FB59" w14:textId="2D86F111" w:rsidR="00310102" w:rsidRPr="00310102" w:rsidRDefault="00310102" w:rsidP="00310102">
      <w:pPr>
        <w:spacing w:after="0" w:line="240" w:lineRule="auto"/>
        <w:ind w:left="709" w:right="709"/>
        <w:jc w:val="both"/>
        <w:rPr>
          <w:rFonts w:ascii="Verdana" w:eastAsia="Calibri" w:hAnsi="Verdana" w:cs="Arial"/>
          <w:sz w:val="20"/>
          <w:szCs w:val="20"/>
          <w:lang w:eastAsia="es-ES"/>
        </w:rPr>
      </w:pPr>
      <w:r w:rsidRPr="00310102">
        <w:rPr>
          <w:rFonts w:ascii="Verdana" w:eastAsia="Calibri" w:hAnsi="Verdana" w:cs="Arial"/>
          <w:sz w:val="20"/>
          <w:szCs w:val="20"/>
          <w:lang w:eastAsia="es-ES"/>
        </w:rPr>
        <w:t xml:space="preserve">2. Los programas o iniciativas desarrollados para aplicar la normativa del sistema de compras públicas, especialmente aquellos orientados a promover los </w:t>
      </w:r>
      <w:proofErr w:type="gramStart"/>
      <w:r w:rsidRPr="00310102">
        <w:rPr>
          <w:rFonts w:ascii="Verdana" w:eastAsia="Calibri" w:hAnsi="Verdana" w:cs="Arial"/>
          <w:sz w:val="20"/>
          <w:szCs w:val="20"/>
          <w:lang w:eastAsia="es-ES"/>
        </w:rPr>
        <w:t xml:space="preserve">incentivos </w:t>
      </w:r>
      <w:r>
        <w:rPr>
          <w:rFonts w:ascii="Verdana" w:eastAsia="Calibri" w:hAnsi="Verdana" w:cs="Arial"/>
          <w:sz w:val="20"/>
          <w:szCs w:val="20"/>
          <w:lang w:eastAsia="es-ES"/>
        </w:rPr>
        <w:t xml:space="preserve"> </w:t>
      </w:r>
      <w:r w:rsidRPr="00310102">
        <w:rPr>
          <w:rFonts w:ascii="Verdana" w:eastAsia="Calibri" w:hAnsi="Verdana" w:cs="Arial"/>
          <w:sz w:val="20"/>
          <w:szCs w:val="20"/>
          <w:lang w:eastAsia="es-ES"/>
        </w:rPr>
        <w:t>existentes</w:t>
      </w:r>
      <w:proofErr w:type="gramEnd"/>
      <w:r w:rsidRPr="00310102">
        <w:rPr>
          <w:rFonts w:ascii="Verdana" w:eastAsia="Calibri" w:hAnsi="Verdana" w:cs="Arial"/>
          <w:sz w:val="20"/>
          <w:szCs w:val="20"/>
          <w:lang w:eastAsia="es-ES"/>
        </w:rPr>
        <w:t xml:space="preserve"> y el uso del SECOP. </w:t>
      </w:r>
    </w:p>
    <w:p w14:paraId="71FEF0BC" w14:textId="44773DB4" w:rsidR="00310102" w:rsidRPr="00310102" w:rsidRDefault="00310102" w:rsidP="00310102">
      <w:pPr>
        <w:spacing w:after="0" w:line="240" w:lineRule="auto"/>
        <w:ind w:left="709" w:right="709"/>
        <w:jc w:val="both"/>
        <w:rPr>
          <w:rFonts w:ascii="Verdana" w:eastAsia="Calibri" w:hAnsi="Verdana" w:cs="Arial"/>
          <w:sz w:val="20"/>
          <w:szCs w:val="20"/>
          <w:lang w:eastAsia="es-ES"/>
        </w:rPr>
      </w:pPr>
      <w:r w:rsidRPr="00310102">
        <w:rPr>
          <w:rFonts w:ascii="Verdana" w:eastAsia="Calibri" w:hAnsi="Verdana" w:cs="Arial"/>
          <w:sz w:val="20"/>
          <w:szCs w:val="20"/>
          <w:lang w:eastAsia="es-ES"/>
        </w:rPr>
        <w:t xml:space="preserve">3. Las estrategias adoptadas para incrementar la participación de las MiPymes como proveedoras de bienes y servicios. </w:t>
      </w:r>
    </w:p>
    <w:p w14:paraId="5A80476E" w14:textId="68B6B629" w:rsidR="00310102" w:rsidRPr="00310102" w:rsidRDefault="00310102" w:rsidP="00310102">
      <w:pPr>
        <w:spacing w:after="0" w:line="240" w:lineRule="auto"/>
        <w:ind w:left="709" w:right="709"/>
        <w:jc w:val="both"/>
        <w:rPr>
          <w:rFonts w:ascii="Verdana" w:eastAsia="Calibri" w:hAnsi="Verdana" w:cs="Arial"/>
          <w:sz w:val="20"/>
          <w:szCs w:val="20"/>
          <w:lang w:eastAsia="es-ES"/>
        </w:rPr>
      </w:pPr>
      <w:r w:rsidRPr="00310102">
        <w:rPr>
          <w:rFonts w:ascii="Verdana" w:eastAsia="Calibri" w:hAnsi="Verdana" w:cs="Arial"/>
          <w:sz w:val="20"/>
          <w:szCs w:val="20"/>
          <w:lang w:eastAsia="es-ES"/>
        </w:rPr>
        <w:lastRenderedPageBreak/>
        <w:t xml:space="preserve">4. Los procedimientos administrativos establecidos que faciliten el cumplimiento </w:t>
      </w:r>
      <w:proofErr w:type="gramStart"/>
      <w:r w:rsidRPr="00310102">
        <w:rPr>
          <w:rFonts w:ascii="Verdana" w:eastAsia="Calibri" w:hAnsi="Verdana" w:cs="Arial"/>
          <w:sz w:val="20"/>
          <w:szCs w:val="20"/>
          <w:lang w:eastAsia="es-ES"/>
        </w:rPr>
        <w:t xml:space="preserve">de </w:t>
      </w:r>
      <w:r>
        <w:rPr>
          <w:rFonts w:ascii="Verdana" w:eastAsia="Calibri" w:hAnsi="Verdana" w:cs="Arial"/>
          <w:sz w:val="20"/>
          <w:szCs w:val="20"/>
          <w:lang w:eastAsia="es-ES"/>
        </w:rPr>
        <w:t xml:space="preserve"> </w:t>
      </w:r>
      <w:r w:rsidRPr="00310102">
        <w:rPr>
          <w:rFonts w:ascii="Verdana" w:eastAsia="Calibri" w:hAnsi="Verdana" w:cs="Arial"/>
          <w:sz w:val="20"/>
          <w:szCs w:val="20"/>
          <w:lang w:eastAsia="es-ES"/>
        </w:rPr>
        <w:t>requisitos</w:t>
      </w:r>
      <w:proofErr w:type="gramEnd"/>
      <w:r w:rsidRPr="00310102">
        <w:rPr>
          <w:rFonts w:ascii="Verdana" w:eastAsia="Calibri" w:hAnsi="Verdana" w:cs="Arial"/>
          <w:sz w:val="20"/>
          <w:szCs w:val="20"/>
          <w:lang w:eastAsia="es-ES"/>
        </w:rPr>
        <w:t xml:space="preserve">, trámites, condiciones de pago y acceso a la información por parte de </w:t>
      </w:r>
      <w:proofErr w:type="gramStart"/>
      <w:r w:rsidRPr="00310102">
        <w:rPr>
          <w:rFonts w:ascii="Verdana" w:eastAsia="Calibri" w:hAnsi="Verdana" w:cs="Arial"/>
          <w:sz w:val="20"/>
          <w:szCs w:val="20"/>
          <w:lang w:eastAsia="es-ES"/>
        </w:rPr>
        <w:t xml:space="preserve">las </w:t>
      </w:r>
      <w:r>
        <w:rPr>
          <w:rFonts w:ascii="Verdana" w:eastAsia="Calibri" w:hAnsi="Verdana" w:cs="Arial"/>
          <w:sz w:val="20"/>
          <w:szCs w:val="20"/>
          <w:lang w:eastAsia="es-ES"/>
        </w:rPr>
        <w:t xml:space="preserve"> </w:t>
      </w:r>
      <w:r w:rsidRPr="00310102">
        <w:rPr>
          <w:rFonts w:ascii="Verdana" w:eastAsia="Calibri" w:hAnsi="Verdana" w:cs="Arial"/>
          <w:sz w:val="20"/>
          <w:szCs w:val="20"/>
          <w:lang w:eastAsia="es-ES"/>
        </w:rPr>
        <w:t>MiPymes</w:t>
      </w:r>
      <w:proofErr w:type="gramEnd"/>
      <w:r w:rsidRPr="00310102">
        <w:rPr>
          <w:rFonts w:ascii="Verdana" w:eastAsia="Calibri" w:hAnsi="Verdana" w:cs="Arial"/>
          <w:sz w:val="20"/>
          <w:szCs w:val="20"/>
          <w:lang w:eastAsia="es-ES"/>
        </w:rPr>
        <w:t xml:space="preserve">. </w:t>
      </w:r>
    </w:p>
    <w:p w14:paraId="10C32809" w14:textId="7F71C4A7" w:rsidR="002F58A6" w:rsidRPr="003C2C84" w:rsidRDefault="00310102" w:rsidP="00C37544">
      <w:pPr>
        <w:spacing w:after="0" w:line="240" w:lineRule="auto"/>
        <w:ind w:left="709" w:right="709"/>
        <w:jc w:val="both"/>
        <w:rPr>
          <w:rFonts w:ascii="Verdana" w:eastAsia="Calibri" w:hAnsi="Verdana" w:cs="Arial"/>
          <w:sz w:val="20"/>
          <w:szCs w:val="20"/>
          <w:lang w:eastAsia="es-ES"/>
        </w:rPr>
      </w:pPr>
      <w:r w:rsidRPr="00310102">
        <w:rPr>
          <w:rFonts w:ascii="Verdana" w:eastAsia="Calibri" w:hAnsi="Verdana" w:cs="Arial"/>
          <w:sz w:val="20"/>
          <w:szCs w:val="20"/>
          <w:lang w:eastAsia="es-ES"/>
        </w:rPr>
        <w:t xml:space="preserve">5. Las acciones implementadas para preferir a las MiPymes nacionales en condiciones de igual precio, calidad y capacidad de </w:t>
      </w:r>
      <w:proofErr w:type="gramStart"/>
      <w:r w:rsidRPr="00310102">
        <w:rPr>
          <w:rFonts w:ascii="Verdana" w:eastAsia="Calibri" w:hAnsi="Verdana" w:cs="Arial"/>
          <w:sz w:val="20"/>
          <w:szCs w:val="20"/>
          <w:lang w:eastAsia="es-ES"/>
        </w:rPr>
        <w:t>suministro.</w:t>
      </w:r>
      <w:r w:rsidR="002F58A6" w:rsidRPr="003C2C84">
        <w:rPr>
          <w:rFonts w:ascii="Verdana" w:eastAsia="Calibri" w:hAnsi="Verdana" w:cs="Arial"/>
          <w:sz w:val="20"/>
          <w:szCs w:val="20"/>
          <w:lang w:eastAsia="es-ES"/>
        </w:rPr>
        <w:t>.</w:t>
      </w:r>
      <w:proofErr w:type="gramEnd"/>
      <w:r w:rsidR="002F58A6">
        <w:rPr>
          <w:rFonts w:ascii="Verdana" w:eastAsia="Calibri" w:hAnsi="Verdana" w:cs="Arial"/>
          <w:sz w:val="20"/>
          <w:szCs w:val="20"/>
          <w:lang w:eastAsia="es-ES"/>
        </w:rPr>
        <w:t>”</w:t>
      </w:r>
    </w:p>
    <w:p w14:paraId="29E38F81" w14:textId="77777777" w:rsidR="002F58A6" w:rsidRPr="00755387" w:rsidRDefault="002F58A6" w:rsidP="002F58A6">
      <w:pPr>
        <w:spacing w:after="0" w:line="276" w:lineRule="auto"/>
        <w:ind w:right="709"/>
        <w:jc w:val="both"/>
        <w:rPr>
          <w:rFonts w:ascii="Verdana" w:eastAsia="Calibri" w:hAnsi="Verdana" w:cs="Arial"/>
          <w:lang w:eastAsia="es-ES"/>
        </w:rPr>
      </w:pPr>
    </w:p>
    <w:p w14:paraId="1A05099E" w14:textId="77777777" w:rsidR="002F58A6" w:rsidRPr="00960F72" w:rsidRDefault="002F58A6" w:rsidP="002F58A6">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E4EA1A4" w14:textId="77777777" w:rsidR="002F58A6" w:rsidRPr="00960F72" w:rsidRDefault="002F58A6" w:rsidP="002F58A6">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399BEB5B" w14:textId="77777777" w:rsidR="002F58A6" w:rsidRPr="00960F72" w:rsidRDefault="002F58A6" w:rsidP="00037AFB">
      <w:pPr>
        <w:spacing w:after="0" w:line="276" w:lineRule="auto"/>
        <w:ind w:firstLine="709"/>
        <w:jc w:val="both"/>
        <w:rPr>
          <w:rFonts w:ascii="Verdana" w:eastAsia="Calibri" w:hAnsi="Verdana" w:cs="Arial"/>
          <w:lang w:eastAsia="es-ES"/>
        </w:rPr>
      </w:pPr>
    </w:p>
    <w:p w14:paraId="2DA0CAE4" w14:textId="77777777" w:rsidR="002F58A6" w:rsidRPr="00960F72" w:rsidRDefault="002F58A6" w:rsidP="00037A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0C945596" w14:textId="77777777" w:rsidR="002F58A6" w:rsidRPr="00960F72" w:rsidRDefault="002F58A6" w:rsidP="00037AFB">
      <w:pPr>
        <w:tabs>
          <w:tab w:val="left" w:pos="426"/>
        </w:tabs>
        <w:spacing w:after="0" w:line="276" w:lineRule="auto"/>
        <w:jc w:val="both"/>
        <w:rPr>
          <w:rFonts w:ascii="Verdana" w:eastAsia="Century Gothic" w:hAnsi="Verdana" w:cs="Century Gothic"/>
        </w:rPr>
      </w:pPr>
    </w:p>
    <w:p w14:paraId="31A41D48" w14:textId="68873C22" w:rsidR="002F58A6" w:rsidRDefault="002F58A6" w:rsidP="00037AFB">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8C0332">
        <w:rPr>
          <w:rFonts w:ascii="Verdana" w:eastAsia="Century Gothic" w:hAnsi="Verdana" w:cs="Century Gothic"/>
        </w:rPr>
        <w:t>¿</w:t>
      </w:r>
      <w:r w:rsidR="008C0332" w:rsidRPr="008C0332">
        <w:rPr>
          <w:rFonts w:ascii="Verdana" w:eastAsia="Century Gothic" w:hAnsi="Verdana" w:cs="Century Gothic"/>
        </w:rPr>
        <w:t>Cuáles son las políticas, lineamientos, directrices, instrumentos y estrategias definidos en el Sistema de Compras Públicas para promover la participación de las micro, pequeñas y medianas empresas (MiPymes) en los procesos de contratación estatal</w:t>
      </w:r>
      <w:r w:rsidR="008C0332">
        <w:rPr>
          <w:rFonts w:ascii="Verdana" w:eastAsia="Century Gothic" w:hAnsi="Verdana" w:cs="Century Gothic"/>
        </w:rPr>
        <w:t>?</w:t>
      </w:r>
    </w:p>
    <w:p w14:paraId="00041912" w14:textId="77777777" w:rsidR="002F58A6" w:rsidRPr="00960F72" w:rsidRDefault="002F58A6" w:rsidP="00037AFB">
      <w:pPr>
        <w:spacing w:after="0" w:line="276" w:lineRule="auto"/>
        <w:jc w:val="both"/>
        <w:rPr>
          <w:rFonts w:ascii="Verdana" w:eastAsia="Century Gothic" w:hAnsi="Verdana" w:cs="Century Gothic"/>
        </w:rPr>
      </w:pPr>
    </w:p>
    <w:p w14:paraId="384266B6" w14:textId="77777777" w:rsidR="002F58A6" w:rsidRDefault="002F58A6" w:rsidP="00037A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666B1D2C" w14:textId="77777777" w:rsidR="002F58A6" w:rsidRPr="00027E7B" w:rsidRDefault="002F58A6" w:rsidP="00037AFB">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F58A6" w:rsidRPr="00960F72" w14:paraId="5F121F16" w14:textId="77777777" w:rsidTr="006819A9">
        <w:tc>
          <w:tcPr>
            <w:tcW w:w="8828" w:type="dxa"/>
          </w:tcPr>
          <w:p w14:paraId="1F62FAFA" w14:textId="77777777" w:rsidR="008C0332" w:rsidRDefault="008C0332" w:rsidP="008C0332">
            <w:pPr>
              <w:spacing w:line="276" w:lineRule="auto"/>
              <w:jc w:val="both"/>
              <w:rPr>
                <w:rFonts w:ascii="Verdana" w:hAnsi="Verdana"/>
              </w:rPr>
            </w:pPr>
            <w:r w:rsidRPr="008C0332">
              <w:rPr>
                <w:rFonts w:ascii="Verdana" w:hAnsi="Verdana"/>
              </w:rPr>
              <w:t xml:space="preserve">La promoción de la participación de las micro, pequeñas y medianas empresas (MiPymes) en el Sistema de Compras Públicas tiene su fundamento normativo </w:t>
            </w:r>
            <w:r w:rsidRPr="008C0332">
              <w:rPr>
                <w:rFonts w:ascii="Verdana" w:hAnsi="Verdana"/>
              </w:rPr>
              <w:lastRenderedPageBreak/>
              <w:t>en el artículo 33 de la Ley 2069 de 2020, disposición que establece un conjunto de deberes orientados a facilitar su acceso al mercado de la contratación estatal. Estas medidas no se circunscriben a actuaciones contractuales particulares, sino que se materializan, principalmente, a través de la definición de políticas, lineamientos, instrumentos y mecanismos de carácter general que orientan la actuación de las entidades que integran el Sistema de Compras Públicas.</w:t>
            </w:r>
          </w:p>
          <w:p w14:paraId="379604BB" w14:textId="77777777" w:rsidR="008C0332" w:rsidRPr="008C0332" w:rsidRDefault="008C0332" w:rsidP="008C0332">
            <w:pPr>
              <w:spacing w:line="276" w:lineRule="auto"/>
              <w:jc w:val="both"/>
              <w:rPr>
                <w:rFonts w:ascii="Verdana" w:hAnsi="Verdana"/>
              </w:rPr>
            </w:pPr>
          </w:p>
          <w:p w14:paraId="3342FA9C" w14:textId="7E6FA6C4" w:rsidR="008C0332" w:rsidRDefault="008C0332" w:rsidP="008C0332">
            <w:pPr>
              <w:spacing w:line="276" w:lineRule="auto"/>
              <w:jc w:val="both"/>
              <w:rPr>
                <w:rFonts w:ascii="Verdana" w:hAnsi="Verdana"/>
              </w:rPr>
            </w:pPr>
            <w:r>
              <w:rPr>
                <w:rFonts w:ascii="Verdana" w:hAnsi="Verdana"/>
              </w:rPr>
              <w:t xml:space="preserve">     </w:t>
            </w:r>
            <w:r w:rsidRPr="008C0332">
              <w:rPr>
                <w:rFonts w:ascii="Verdana" w:hAnsi="Verdana"/>
              </w:rPr>
              <w:t xml:space="preserve">En este marco, </w:t>
            </w:r>
            <w:r w:rsidR="001F389E">
              <w:rPr>
                <w:rFonts w:ascii="Verdana" w:hAnsi="Verdana"/>
              </w:rPr>
              <w:t>Colombia Compra Eficiente como ente rector del</w:t>
            </w:r>
            <w:r w:rsidRPr="008C0332">
              <w:rPr>
                <w:rFonts w:ascii="Verdana" w:hAnsi="Verdana"/>
              </w:rPr>
              <w:t xml:space="preserve"> Sistema de Compras Públicas</w:t>
            </w:r>
            <w:r w:rsidR="001F389E">
              <w:rPr>
                <w:rFonts w:ascii="Verdana" w:hAnsi="Verdana"/>
              </w:rPr>
              <w:t>,</w:t>
            </w:r>
            <w:r w:rsidRPr="008C0332">
              <w:rPr>
                <w:rFonts w:ascii="Verdana" w:hAnsi="Verdana"/>
              </w:rPr>
              <w:t xml:space="preserve"> ha desarrollado herramientas orientadoras que concretan dichas disposiciones legales, entre las cuales se destaca la </w:t>
            </w:r>
            <w:r w:rsidR="002424E0">
              <w:rPr>
                <w:rFonts w:ascii="Verdana" w:hAnsi="Verdana"/>
              </w:rPr>
              <w:t>“</w:t>
            </w:r>
            <w:r w:rsidRPr="008C0332">
              <w:rPr>
                <w:rFonts w:ascii="Verdana" w:hAnsi="Verdana"/>
              </w:rPr>
              <w:t>Guía para promover la participación de las MiPymes en los procesos de compra y contratación pública</w:t>
            </w:r>
            <w:r w:rsidR="002424E0">
              <w:rPr>
                <w:rFonts w:ascii="Verdana" w:hAnsi="Verdana"/>
              </w:rPr>
              <w:t>”</w:t>
            </w:r>
            <w:r w:rsidRPr="008C0332">
              <w:rPr>
                <w:rFonts w:ascii="Verdana" w:hAnsi="Verdana"/>
              </w:rPr>
              <w:t>, expedida como un instrumento de buenas prácticas. Esta guía tiene como finalidad difundir normas, reglas, procedimientos, incentivos y herramientas disponibles en el sistema, así como orientar tanto a las entidades estatales como a las MiPymes sobre las medidas que permiten fortalecer su participación en los procesos de contratación, sin que su contenido tenga carácter obligatorio, pero sí orientador y pedagógico.</w:t>
            </w:r>
          </w:p>
          <w:p w14:paraId="0854A868" w14:textId="77777777" w:rsidR="008C0332" w:rsidRPr="008C0332" w:rsidRDefault="008C0332" w:rsidP="008C0332">
            <w:pPr>
              <w:spacing w:line="276" w:lineRule="auto"/>
              <w:jc w:val="both"/>
              <w:rPr>
                <w:rFonts w:ascii="Verdana" w:hAnsi="Verdana"/>
              </w:rPr>
            </w:pPr>
          </w:p>
          <w:p w14:paraId="2B951431" w14:textId="7D742061" w:rsidR="008C0332" w:rsidRPr="008C0332" w:rsidRDefault="001F389E" w:rsidP="008C0332">
            <w:pPr>
              <w:spacing w:line="276" w:lineRule="auto"/>
              <w:jc w:val="both"/>
              <w:rPr>
                <w:rFonts w:ascii="Verdana" w:hAnsi="Verdana"/>
              </w:rPr>
            </w:pPr>
            <w:r>
              <w:rPr>
                <w:rFonts w:ascii="Verdana" w:hAnsi="Verdana"/>
              </w:rPr>
              <w:t xml:space="preserve">      </w:t>
            </w:r>
            <w:r w:rsidR="008C0332" w:rsidRPr="008C0332">
              <w:rPr>
                <w:rFonts w:ascii="Verdana" w:hAnsi="Verdana"/>
              </w:rPr>
              <w:t>Existe, además, una clara diferenciación entre la definición de estos lineamientos generales y su aplicación concreta en cada proceso contractual. Mientras que el Sistema de Compras Públicas establece el marco normativo y técnico para promover la inclusión de las MiPymes</w:t>
            </w:r>
            <w:r>
              <w:rPr>
                <w:rFonts w:ascii="Verdana" w:hAnsi="Verdana"/>
              </w:rPr>
              <w:t xml:space="preserve">, </w:t>
            </w:r>
            <w:r w:rsidR="008C0332" w:rsidRPr="008C0332">
              <w:rPr>
                <w:rFonts w:ascii="Verdana" w:hAnsi="Verdana"/>
              </w:rPr>
              <w:t>como la identificación de potenciales proveedoras desde el análisis del sector, la promoción del uso del SECOP, la adopción de criterios diferenciales, la división de procesos en lotes y la preferencia a las MiPymes nacionales en condiciones de igualdad, corresponde a cada entidad estatal implementar dichas herramientas de acuerdo con su planeación contractual y las particularidades de sus procesos.</w:t>
            </w:r>
          </w:p>
          <w:p w14:paraId="259DCD3F" w14:textId="77777777" w:rsidR="001F389E" w:rsidRDefault="001F389E" w:rsidP="008C0332">
            <w:pPr>
              <w:spacing w:line="276" w:lineRule="auto"/>
              <w:jc w:val="both"/>
              <w:rPr>
                <w:rFonts w:ascii="Verdana" w:hAnsi="Verdana"/>
              </w:rPr>
            </w:pPr>
          </w:p>
          <w:p w14:paraId="11347202" w14:textId="36D52281" w:rsidR="008C0332" w:rsidRDefault="001F389E" w:rsidP="008C0332">
            <w:pPr>
              <w:spacing w:line="276" w:lineRule="auto"/>
              <w:jc w:val="both"/>
              <w:rPr>
                <w:rFonts w:ascii="Verdana" w:hAnsi="Verdana"/>
              </w:rPr>
            </w:pPr>
            <w:r>
              <w:rPr>
                <w:rFonts w:ascii="Verdana" w:hAnsi="Verdana"/>
              </w:rPr>
              <w:t xml:space="preserve">     </w:t>
            </w:r>
            <w:r w:rsidR="008C0332" w:rsidRPr="008C0332">
              <w:rPr>
                <w:rFonts w:ascii="Verdana" w:hAnsi="Verdana"/>
              </w:rPr>
              <w:t xml:space="preserve">Ahora bien, el fortalecimiento de la participación de las MiPymes no se limita a la expedición de normas y documentos orientadores. De manera complementaria, el </w:t>
            </w:r>
            <w:r>
              <w:rPr>
                <w:rFonts w:ascii="Verdana" w:hAnsi="Verdana"/>
              </w:rPr>
              <w:t xml:space="preserve">Colombia Compre Eficiente brinda </w:t>
            </w:r>
            <w:r w:rsidR="008C0332" w:rsidRPr="008C0332">
              <w:rPr>
                <w:rFonts w:ascii="Verdana" w:hAnsi="Verdana"/>
              </w:rPr>
              <w:t xml:space="preserve">programas permanentes de divulgación y capacitación, dirigidos tanto a MiPymes como a los actores interesados en participar en la contratación estatal, con el propósito de fortalecer sus capacidades, reducir barreras de acceso y facilitar el uso de las herramientas electrónicas del sistema, en especial el SECOP. Estas </w:t>
            </w:r>
            <w:r w:rsidR="008C0332" w:rsidRPr="008C0332">
              <w:rPr>
                <w:rFonts w:ascii="Verdana" w:hAnsi="Verdana"/>
              </w:rPr>
              <w:lastRenderedPageBreak/>
              <w:t>actividades de capacitación se conciben como un componente estructural de la política de compras públicas inclusivas y como un mecanismo para garantizar el acceso efectivo a la información y a las oportunidades de negocio con el Estado.</w:t>
            </w:r>
          </w:p>
          <w:p w14:paraId="006C2698" w14:textId="77777777" w:rsidR="001F389E" w:rsidRPr="008C0332" w:rsidRDefault="001F389E" w:rsidP="008C0332">
            <w:pPr>
              <w:spacing w:line="276" w:lineRule="auto"/>
              <w:jc w:val="both"/>
              <w:rPr>
                <w:rFonts w:ascii="Verdana" w:hAnsi="Verdana"/>
              </w:rPr>
            </w:pPr>
          </w:p>
          <w:p w14:paraId="40755577" w14:textId="4794BE6E" w:rsidR="001F389E" w:rsidRDefault="001F389E" w:rsidP="008C0332">
            <w:pPr>
              <w:spacing w:line="276" w:lineRule="auto"/>
              <w:jc w:val="both"/>
              <w:rPr>
                <w:rFonts w:ascii="Verdana" w:hAnsi="Verdana"/>
              </w:rPr>
            </w:pPr>
            <w:r>
              <w:rPr>
                <w:rFonts w:ascii="Verdana" w:hAnsi="Verdana"/>
              </w:rPr>
              <w:t xml:space="preserve">      </w:t>
            </w:r>
            <w:r w:rsidRPr="001F389E">
              <w:rPr>
                <w:rFonts w:ascii="Verdana" w:hAnsi="Verdana"/>
              </w:rPr>
              <w:t>Adicionalmente, el marco institucional prevé mecanismos de seguimiento y reporte que permiten consolidar información sobre la adopción y resultados de las medidas de promoción de las MiPymes, con el fin de evaluar su impacto y fortalecer la política pública en la materia. En este contexto, para el año 2025 se expidió la Circular Externa No. 005 de 2025, mediante la cual se impartieron lineamientos orientados al reporte del avance y resultados en la implementación de las medidas previstas en el artículo 33 de la Ley 2069 de 2020. Estos instrumentos refuerzan el carácter sistémico de la estrategia, en la medida en que permiten analizar avances, desafíos y oportunidades en la participación de las MiPymes en el mercado de compras públicas, a partir de información consolidada y comparable a nivel del Sistema de Compras Públicas.</w:t>
            </w:r>
          </w:p>
          <w:p w14:paraId="798C39EB" w14:textId="77777777" w:rsidR="001F389E" w:rsidRPr="008C0332" w:rsidRDefault="001F389E" w:rsidP="008C0332">
            <w:pPr>
              <w:spacing w:line="276" w:lineRule="auto"/>
              <w:jc w:val="both"/>
              <w:rPr>
                <w:rFonts w:ascii="Verdana" w:hAnsi="Verdana"/>
              </w:rPr>
            </w:pPr>
          </w:p>
          <w:p w14:paraId="52FD6B81" w14:textId="0DDF6944" w:rsidR="00AB4596" w:rsidRPr="005069C4" w:rsidRDefault="001F389E" w:rsidP="00D93A19">
            <w:pPr>
              <w:spacing w:line="276" w:lineRule="auto"/>
              <w:jc w:val="both"/>
              <w:rPr>
                <w:rFonts w:ascii="Verdana" w:hAnsi="Verdana"/>
              </w:rPr>
            </w:pPr>
            <w:r>
              <w:rPr>
                <w:rFonts w:ascii="Verdana" w:hAnsi="Verdana"/>
              </w:rPr>
              <w:t xml:space="preserve">      </w:t>
            </w:r>
            <w:r w:rsidRPr="001F389E">
              <w:rPr>
                <w:rFonts w:ascii="Verdana" w:hAnsi="Verdana"/>
              </w:rPr>
              <w:t>En consecuencia, el Sistema de Compras Públicas dispone de un conjunto de normas, lineamientos y herramientas institucionales orientadas a promover la participación de las micro, pequeñas y medianas empresas (MiPymes) en los procesos de contratación estatal</w:t>
            </w:r>
            <w:r w:rsidR="008C0332" w:rsidRPr="008C0332">
              <w:rPr>
                <w:rFonts w:ascii="Verdana" w:hAnsi="Verdana"/>
              </w:rPr>
              <w:t>. La verificación de cómo estas herramientas se materializan en procesos contractuales específicos corresponde, en todo caso, a cada entidad estatal en el ejercicio de sus competencias y responsabilidades.</w:t>
            </w:r>
          </w:p>
        </w:tc>
      </w:tr>
    </w:tbl>
    <w:p w14:paraId="38C84EA0" w14:textId="77777777" w:rsidR="008763EC" w:rsidRPr="00960F72" w:rsidRDefault="008763EC" w:rsidP="00BB0A57">
      <w:pPr>
        <w:tabs>
          <w:tab w:val="left" w:pos="142"/>
          <w:tab w:val="left" w:pos="284"/>
        </w:tabs>
        <w:spacing w:after="0" w:line="276" w:lineRule="auto"/>
        <w:jc w:val="both"/>
        <w:rPr>
          <w:rFonts w:ascii="Verdana" w:eastAsia="Century Gothic" w:hAnsi="Verdana" w:cs="Century Gothic"/>
          <w:b/>
          <w:bCs/>
        </w:rPr>
      </w:pPr>
    </w:p>
    <w:p w14:paraId="7C3B29D5" w14:textId="77777777" w:rsidR="002F58A6" w:rsidRDefault="002F58A6" w:rsidP="00BB0A5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4C07210B" w14:textId="77777777" w:rsidR="00C37544" w:rsidRDefault="00C37544" w:rsidP="00C37544">
      <w:pPr>
        <w:tabs>
          <w:tab w:val="left" w:pos="709"/>
        </w:tabs>
        <w:spacing w:after="120" w:line="276" w:lineRule="auto"/>
        <w:jc w:val="both"/>
        <w:rPr>
          <w:rFonts w:ascii="Verdana" w:eastAsia="Calibri" w:hAnsi="Verdana" w:cs="Arial"/>
          <w:lang w:val="es-ES_tradnl"/>
        </w:rPr>
      </w:pPr>
    </w:p>
    <w:p w14:paraId="74D94712" w14:textId="271AD917" w:rsidR="001F389E" w:rsidRPr="0042517A" w:rsidRDefault="001F389E" w:rsidP="00C37544">
      <w:pPr>
        <w:tabs>
          <w:tab w:val="left" w:pos="709"/>
        </w:tabs>
        <w:spacing w:after="120" w:line="276" w:lineRule="auto"/>
        <w:jc w:val="both"/>
        <w:rPr>
          <w:rFonts w:ascii="Verdana" w:eastAsia="Calibri" w:hAnsi="Verdana" w:cs="Arial"/>
          <w:lang w:val="es-ES_tradnl"/>
        </w:rPr>
      </w:pPr>
      <w:r w:rsidRPr="0042517A">
        <w:rPr>
          <w:rFonts w:ascii="Verdana" w:eastAsia="Calibri" w:hAnsi="Verdana" w:cs="Arial"/>
          <w:lang w:val="es-ES_tradnl"/>
        </w:rPr>
        <w:t>El 31 de diciembre de 2020 se promulgó la Ley 2069, “Por medio de la cual se impulsa el emprendimiento en Colombia”. Esta Ley</w:t>
      </w:r>
      <w:r w:rsidRPr="00621427">
        <w:rPr>
          <w:rFonts w:ascii="Verdana" w:hAnsi="Verdana"/>
        </w:rPr>
        <w:t xml:space="preserve"> establece un marco regulatorio que propicia el emprendimiento, crecimiento, consolidación y sostenibilidad de las empresas, con el fin de aumentar el bienestar social y generar equidad.</w:t>
      </w:r>
    </w:p>
    <w:p w14:paraId="4E887A25" w14:textId="77777777" w:rsidR="001F389E" w:rsidRDefault="001F389E" w:rsidP="001F389E">
      <w:pPr>
        <w:tabs>
          <w:tab w:val="left" w:pos="709"/>
        </w:tabs>
        <w:spacing w:after="120" w:line="276" w:lineRule="auto"/>
        <w:ind w:firstLine="709"/>
        <w:jc w:val="both"/>
        <w:rPr>
          <w:rFonts w:ascii="Verdana" w:hAnsi="Verdana"/>
        </w:rPr>
      </w:pPr>
      <w:r w:rsidRPr="007E605C">
        <w:rPr>
          <w:rFonts w:ascii="Verdana" w:hAnsi="Verdana"/>
        </w:rPr>
        <w:t>En ese contexto, la referida Ley incorpora una serie de estímulos e incentivos. En especial, en su Capítulo III “Compras públicas” del Título I</w:t>
      </w:r>
      <w:r w:rsidRPr="007E605C" w:rsidDel="0094280A">
        <w:rPr>
          <w:rFonts w:ascii="Verdana" w:hAnsi="Verdana"/>
        </w:rPr>
        <w:t xml:space="preserve"> </w:t>
      </w:r>
      <w:r w:rsidRPr="007E605C">
        <w:rPr>
          <w:rFonts w:ascii="Verdana" w:hAnsi="Verdana"/>
        </w:rPr>
        <w:t xml:space="preserve">se </w:t>
      </w:r>
      <w:r w:rsidRPr="007E605C">
        <w:rPr>
          <w:rFonts w:ascii="Verdana" w:hAnsi="Verdana"/>
        </w:rPr>
        <w:lastRenderedPageBreak/>
        <w:t xml:space="preserve">modifican varias disposiciones que regían el sistema de compra y contratación pública, las cuales tienen un impacto en distintas normas legales y reglamentarias. </w:t>
      </w:r>
    </w:p>
    <w:p w14:paraId="64C2B9FA" w14:textId="77777777" w:rsidR="001F389E" w:rsidRPr="007E605C" w:rsidRDefault="001F389E" w:rsidP="001F389E">
      <w:pPr>
        <w:tabs>
          <w:tab w:val="left" w:pos="709"/>
        </w:tabs>
        <w:spacing w:after="120" w:line="276" w:lineRule="auto"/>
        <w:ind w:firstLine="709"/>
        <w:jc w:val="both"/>
        <w:rPr>
          <w:rFonts w:ascii="Verdana" w:eastAsia="Calibri" w:hAnsi="Verdana" w:cs="Arial"/>
          <w:bCs/>
        </w:rPr>
      </w:pPr>
      <w:r w:rsidRPr="007E605C">
        <w:rPr>
          <w:rFonts w:ascii="Verdana" w:eastAsia="Calibri" w:hAnsi="Verdana" w:cs="Arial"/>
          <w:bCs/>
        </w:rPr>
        <w:t xml:space="preserve">Dentro del referido capítulo se encuentran los artículos 31 y 32 de la Ley 2069 de 2020, los cuales crean una serie de incentivos para las personas interesadas en celebrar contratos con el Estado. Por un lado, </w:t>
      </w:r>
      <w:r w:rsidRPr="007E605C">
        <w:rPr>
          <w:rFonts w:ascii="Verdana" w:eastAsia="Calibri" w:hAnsi="Verdana" w:cs="Arial"/>
          <w:bCs/>
          <w:lang w:val="es-ES_tradnl"/>
        </w:rPr>
        <w:t xml:space="preserve">el artículo 31 </w:t>
      </w:r>
      <w:r w:rsidRPr="007E605C">
        <w:rPr>
          <w:rFonts w:ascii="Verdana" w:eastAsia="Calibri" w:hAnsi="Verdana" w:cs="Arial"/>
          <w:bCs/>
        </w:rPr>
        <w:t xml:space="preserve">introduce criterios diferenciales para el acceso de las </w:t>
      </w:r>
      <w:proofErr w:type="spellStart"/>
      <w:r w:rsidRPr="007E605C">
        <w:rPr>
          <w:rFonts w:ascii="Verdana" w:eastAsia="Calibri" w:hAnsi="Verdana" w:cs="Arial"/>
          <w:bCs/>
        </w:rPr>
        <w:t>Mipyme</w:t>
      </w:r>
      <w:r>
        <w:rPr>
          <w:rFonts w:ascii="Verdana" w:eastAsia="Calibri" w:hAnsi="Verdana" w:cs="Arial"/>
          <w:bCs/>
        </w:rPr>
        <w:t>s</w:t>
      </w:r>
      <w:proofErr w:type="spellEnd"/>
      <w:r w:rsidRPr="007E605C">
        <w:rPr>
          <w:rFonts w:ascii="Verdana" w:eastAsia="Calibri" w:hAnsi="Verdana" w:cs="Arial"/>
          <w:bCs/>
        </w:rPr>
        <w:t xml:space="preserve"> al sistema de compras y contratación pública, mientras que el artículo 32 introduce criterios diferenciales en favor de los emprendimientos y empresas de mujeres</w:t>
      </w:r>
      <w:r>
        <w:rPr>
          <w:rFonts w:ascii="Verdana" w:eastAsia="Calibri" w:hAnsi="Verdana" w:cs="Arial"/>
          <w:bCs/>
        </w:rPr>
        <w:t xml:space="preserve">. Teniendo en cuenta el problema jurídico, abordaremos los relacionado con el artículo 31 de la ley 2069 de 2020, a continuación, se procede a analizar la disposición y su respectiva reglamentación. </w:t>
      </w:r>
    </w:p>
    <w:p w14:paraId="1D65922D" w14:textId="77777777" w:rsidR="001F389E" w:rsidRPr="0040650F" w:rsidRDefault="001F389E" w:rsidP="001F389E">
      <w:pPr>
        <w:spacing w:after="120" w:line="276" w:lineRule="auto"/>
        <w:ind w:firstLine="709"/>
        <w:jc w:val="both"/>
        <w:rPr>
          <w:rFonts w:ascii="Verdana" w:hAnsi="Verdana"/>
        </w:rPr>
      </w:pPr>
      <w:r>
        <w:rPr>
          <w:rFonts w:ascii="Verdana" w:hAnsi="Verdana" w:cs="Arial"/>
          <w:color w:val="000000" w:themeColor="text1"/>
        </w:rPr>
        <w:t>En primer lugar, r</w:t>
      </w:r>
      <w:r w:rsidRPr="00271797">
        <w:rPr>
          <w:rFonts w:ascii="Verdana" w:hAnsi="Verdana" w:cs="Arial"/>
          <w:color w:val="000000" w:themeColor="text1"/>
        </w:rPr>
        <w:t xml:space="preserve">especto de los criterios diferenciales para </w:t>
      </w:r>
      <w:proofErr w:type="spellStart"/>
      <w:r w:rsidRPr="00271797">
        <w:rPr>
          <w:rFonts w:ascii="Verdana" w:hAnsi="Verdana" w:cs="Arial"/>
          <w:color w:val="000000" w:themeColor="text1"/>
        </w:rPr>
        <w:t>Mipyme</w:t>
      </w:r>
      <w:proofErr w:type="spellEnd"/>
      <w:r w:rsidRPr="00271797">
        <w:rPr>
          <w:rFonts w:ascii="Verdana" w:hAnsi="Verdana" w:cs="Arial"/>
          <w:color w:val="000000" w:themeColor="text1"/>
        </w:rPr>
        <w:t>,</w:t>
      </w:r>
      <w:r>
        <w:rPr>
          <w:rFonts w:ascii="Verdana" w:hAnsi="Verdana" w:cs="Arial"/>
          <w:color w:val="000000" w:themeColor="text1"/>
        </w:rPr>
        <w:t xml:space="preserve"> </w:t>
      </w:r>
      <w:r w:rsidRPr="0040650F">
        <w:rPr>
          <w:rFonts w:ascii="Verdana" w:hAnsi="Verdana"/>
        </w:rPr>
        <w:t>el artículo 31 de la Ley 2069 de 2020 estableció que las entidades estatales</w:t>
      </w:r>
      <w:r>
        <w:rPr>
          <w:rFonts w:ascii="Verdana" w:hAnsi="Verdana"/>
        </w:rPr>
        <w:t>,</w:t>
      </w:r>
      <w:r w:rsidRPr="0040650F">
        <w:rPr>
          <w:rFonts w:ascii="Verdana" w:hAnsi="Verdana"/>
        </w:rPr>
        <w:t xml:space="preserve"> de acuerdo con el análisis del sector</w:t>
      </w:r>
      <w:r>
        <w:rPr>
          <w:rFonts w:ascii="Verdana" w:hAnsi="Verdana"/>
        </w:rPr>
        <w:t>,</w:t>
      </w:r>
      <w:r w:rsidRPr="0040650F">
        <w:rPr>
          <w:rFonts w:ascii="Verdana" w:hAnsi="Verdana"/>
        </w:rPr>
        <w:t xml:space="preserve"> </w:t>
      </w:r>
      <w:r w:rsidRPr="007E605C">
        <w:rPr>
          <w:rFonts w:ascii="Verdana" w:hAnsi="Verdana"/>
          <w:i/>
          <w:iCs/>
        </w:rPr>
        <w:t>podrán</w:t>
      </w:r>
      <w:r>
        <w:rPr>
          <w:rFonts w:ascii="Verdana" w:hAnsi="Verdana"/>
        </w:rPr>
        <w:t xml:space="preserve"> incluir</w:t>
      </w:r>
      <w:r w:rsidRPr="0040650F">
        <w:rPr>
          <w:rFonts w:ascii="Verdana" w:hAnsi="Verdana"/>
        </w:rPr>
        <w:t xml:space="preserve"> requisitos diferenciales y puntajes adicionales </w:t>
      </w:r>
      <w:r>
        <w:rPr>
          <w:rFonts w:ascii="Verdana" w:hAnsi="Verdana"/>
        </w:rPr>
        <w:t xml:space="preserve">en </w:t>
      </w:r>
      <w:r w:rsidRPr="0040650F">
        <w:rPr>
          <w:rFonts w:ascii="Verdana" w:hAnsi="Verdana"/>
        </w:rPr>
        <w:t xml:space="preserve">función del tamaño empresarial para la promoción del acceso de </w:t>
      </w:r>
      <w:r>
        <w:rPr>
          <w:rFonts w:ascii="Verdana" w:hAnsi="Verdana"/>
        </w:rPr>
        <w:t>este tipo de empresas</w:t>
      </w:r>
      <w:r w:rsidRPr="0040650F">
        <w:rPr>
          <w:rFonts w:ascii="Verdana" w:hAnsi="Verdana"/>
        </w:rPr>
        <w:t xml:space="preserve"> al mercado de compras públicas. La aplicación de estos criterios, por disposición expresa del referido artículo, quedó condicionada por la expedición de su reglamentación. </w:t>
      </w:r>
    </w:p>
    <w:p w14:paraId="5CA58078" w14:textId="77777777" w:rsidR="001F389E" w:rsidRDefault="001F389E" w:rsidP="001F389E">
      <w:pPr>
        <w:spacing w:after="120" w:line="276" w:lineRule="auto"/>
        <w:ind w:firstLine="709"/>
        <w:jc w:val="both"/>
        <w:rPr>
          <w:rFonts w:ascii="Verdana" w:eastAsia="Times New Roman" w:hAnsi="Verdana" w:cs="Arial"/>
          <w:lang w:eastAsia="es-MX"/>
        </w:rPr>
      </w:pPr>
      <w:r w:rsidRPr="0040650F">
        <w:rPr>
          <w:rFonts w:ascii="Verdana" w:hAnsi="Verdana"/>
        </w:rPr>
        <w:t xml:space="preserve"> </w:t>
      </w:r>
      <w:r>
        <w:rPr>
          <w:rFonts w:ascii="Verdana" w:hAnsi="Verdana"/>
        </w:rPr>
        <w:t>Por esta razón, e</w:t>
      </w:r>
      <w:r w:rsidRPr="0040650F">
        <w:rPr>
          <w:rFonts w:ascii="Verdana" w:eastAsia="Times New Roman" w:hAnsi="Verdana" w:cs="Arial"/>
          <w:color w:val="000000" w:themeColor="text1"/>
          <w:lang w:eastAsia="es-MX"/>
        </w:rPr>
        <w:t xml:space="preserve">l artículo 3 del Decreto 1860 de 2021, adicionó </w:t>
      </w:r>
      <w:r w:rsidRPr="0040650F">
        <w:rPr>
          <w:rFonts w:ascii="Verdana" w:eastAsia="Times New Roman" w:hAnsi="Verdana" w:cs="Arial"/>
          <w:bCs/>
          <w:color w:val="000000" w:themeColor="text1"/>
          <w:lang w:eastAsia="es-MX"/>
        </w:rPr>
        <w:t xml:space="preserve">el artículo 2.2.1.2.4.2.18 al </w:t>
      </w:r>
      <w:r w:rsidRPr="0040650F">
        <w:rPr>
          <w:rFonts w:ascii="Verdana" w:eastAsia="Times New Roman" w:hAnsi="Verdana" w:cs="Arial"/>
          <w:lang w:eastAsia="es-MX"/>
        </w:rPr>
        <w:t>Decreto 1082 de 2015</w:t>
      </w:r>
      <w:r>
        <w:rPr>
          <w:rFonts w:ascii="Verdana" w:eastAsia="Times New Roman" w:hAnsi="Verdana" w:cs="Arial"/>
          <w:lang w:eastAsia="es-MX"/>
        </w:rPr>
        <w:t>,</w:t>
      </w:r>
      <w:r w:rsidRPr="0040650F">
        <w:rPr>
          <w:rFonts w:ascii="Verdana" w:eastAsia="Times New Roman" w:hAnsi="Verdana" w:cs="Arial"/>
          <w:lang w:eastAsia="es-MX"/>
        </w:rPr>
        <w:t xml:space="preserve"> regulando los criterios diferenciales para MiPyme</w:t>
      </w:r>
      <w:r>
        <w:rPr>
          <w:rFonts w:ascii="Verdana" w:eastAsia="Times New Roman" w:hAnsi="Verdana" w:cs="Arial"/>
          <w:lang w:eastAsia="es-MX"/>
        </w:rPr>
        <w:t>s</w:t>
      </w:r>
      <w:r w:rsidRPr="0040650F">
        <w:rPr>
          <w:rFonts w:ascii="Verdana" w:eastAsia="Times New Roman" w:hAnsi="Verdana" w:cs="Arial"/>
          <w:lang w:eastAsia="es-MX"/>
        </w:rPr>
        <w:t xml:space="preserve"> establecidos por el artículo 31 de la Ley 2069 de 2020. En virtud de esta norma las entidades estatales</w:t>
      </w:r>
      <w:r>
        <w:rPr>
          <w:rFonts w:ascii="Verdana" w:eastAsia="Times New Roman" w:hAnsi="Verdana" w:cs="Arial"/>
          <w:lang w:eastAsia="es-MX"/>
        </w:rPr>
        <w:t>,</w:t>
      </w:r>
      <w:r w:rsidRPr="0040650F">
        <w:rPr>
          <w:rFonts w:ascii="Verdana" w:eastAsia="Times New Roman" w:hAnsi="Verdana" w:cs="Arial"/>
          <w:lang w:eastAsia="es-MX"/>
        </w:rPr>
        <w:t xml:space="preserve">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proofErr w:type="spellStart"/>
      <w:r w:rsidRPr="0040650F">
        <w:rPr>
          <w:rFonts w:ascii="Verdana" w:eastAsia="Times New Roman" w:hAnsi="Verdana" w:cs="Arial"/>
          <w:lang w:eastAsia="es-MX"/>
        </w:rPr>
        <w:t>Mipyme</w:t>
      </w:r>
      <w:proofErr w:type="spellEnd"/>
      <w:r w:rsidRPr="0040650F">
        <w:rPr>
          <w:rFonts w:ascii="Verdana" w:eastAsia="Times New Roman" w:hAnsi="Verdana" w:cs="Arial"/>
          <w:lang w:eastAsia="es-MX"/>
        </w:rPr>
        <w:t xml:space="preserve"> domiciliadas en Colombia. </w:t>
      </w:r>
    </w:p>
    <w:p w14:paraId="543E574E" w14:textId="77777777" w:rsidR="001F389E" w:rsidRDefault="001F389E" w:rsidP="001F389E">
      <w:pPr>
        <w:spacing w:after="0" w:line="276" w:lineRule="auto"/>
        <w:jc w:val="both"/>
        <w:rPr>
          <w:rFonts w:ascii="Verdana" w:eastAsia="Times New Roman" w:hAnsi="Verdana" w:cs="Arial"/>
          <w:lang w:eastAsia="es-MX"/>
        </w:rPr>
      </w:pPr>
      <w:r w:rsidRPr="005D4133">
        <w:rPr>
          <w:rFonts w:ascii="Verdana" w:eastAsia="Times New Roman" w:hAnsi="Verdana" w:cs="Arial"/>
          <w:lang w:eastAsia="es-MX"/>
        </w:rPr>
        <w:t xml:space="preserve">La </w:t>
      </w:r>
      <w:r>
        <w:rPr>
          <w:rFonts w:ascii="Verdana" w:eastAsia="Times New Roman" w:hAnsi="Verdana" w:cs="Arial"/>
          <w:lang w:eastAsia="es-MX"/>
        </w:rPr>
        <w:t xml:space="preserve">referida </w:t>
      </w:r>
      <w:r w:rsidRPr="005D4133">
        <w:rPr>
          <w:rFonts w:ascii="Verdana" w:eastAsia="Times New Roman" w:hAnsi="Verdana" w:cs="Arial"/>
          <w:lang w:eastAsia="es-MX"/>
        </w:rPr>
        <w:t>norma indica lo siguien</w:t>
      </w:r>
      <w:r>
        <w:rPr>
          <w:rFonts w:ascii="Verdana" w:eastAsia="Times New Roman" w:hAnsi="Verdana" w:cs="Arial"/>
          <w:lang w:eastAsia="es-MX"/>
        </w:rPr>
        <w:t xml:space="preserve">te: </w:t>
      </w:r>
    </w:p>
    <w:p w14:paraId="76A831C3" w14:textId="77777777" w:rsidR="001F389E" w:rsidRPr="00311EC7" w:rsidRDefault="001F389E" w:rsidP="001F389E">
      <w:pPr>
        <w:spacing w:after="0" w:line="276" w:lineRule="auto"/>
        <w:jc w:val="both"/>
        <w:rPr>
          <w:rFonts w:ascii="Verdana" w:eastAsia="Times New Roman" w:hAnsi="Verdana" w:cs="Arial"/>
          <w:lang w:eastAsia="es-MX"/>
        </w:rPr>
      </w:pPr>
    </w:p>
    <w:p w14:paraId="2D89EB4B"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Pr>
          <w:rFonts w:ascii="Verdana" w:eastAsia="Times New Roman" w:hAnsi="Verdana" w:cs="Arial"/>
          <w:b/>
          <w:bCs/>
          <w:sz w:val="20"/>
          <w:szCs w:val="20"/>
          <w:lang w:eastAsia="es-MX"/>
        </w:rPr>
        <w:t>“C</w:t>
      </w:r>
      <w:r w:rsidRPr="005D4133">
        <w:rPr>
          <w:rFonts w:ascii="Verdana" w:eastAsia="Times New Roman" w:hAnsi="Verdana" w:cs="Arial"/>
          <w:b/>
          <w:bCs/>
          <w:sz w:val="20"/>
          <w:szCs w:val="20"/>
          <w:lang w:eastAsia="es-MX"/>
        </w:rPr>
        <w:t xml:space="preserve">riterios diferenciales para </w:t>
      </w:r>
      <w:proofErr w:type="spellStart"/>
      <w:r w:rsidRPr="005D4133">
        <w:rPr>
          <w:rFonts w:ascii="Verdana" w:eastAsia="Times New Roman" w:hAnsi="Verdana" w:cs="Arial"/>
          <w:b/>
          <w:bCs/>
          <w:sz w:val="20"/>
          <w:szCs w:val="20"/>
          <w:lang w:eastAsia="es-MX"/>
        </w:rPr>
        <w:t>Mipyme</w:t>
      </w:r>
      <w:proofErr w:type="spellEnd"/>
      <w:r w:rsidRPr="005D4133">
        <w:rPr>
          <w:rFonts w:ascii="Verdana" w:eastAsia="Times New Roman" w:hAnsi="Verdana" w:cs="Arial"/>
          <w:b/>
          <w:bCs/>
          <w:sz w:val="20"/>
          <w:szCs w:val="20"/>
          <w:lang w:eastAsia="es-MX"/>
        </w:rPr>
        <w:t xml:space="preserve"> en el sistema de compras públicas.</w:t>
      </w:r>
      <w:r w:rsidRPr="005D4133">
        <w:rPr>
          <w:rFonts w:ascii="Verdana" w:eastAsia="Times New Roman" w:hAnsi="Verdana" w:cs="Arial"/>
          <w:sz w:val="20"/>
          <w:szCs w:val="20"/>
          <w:lang w:eastAsia="es-MX"/>
        </w:rPr>
        <w:t xml:space="preserve"> De acuerdo con el numeral 1 del artículo 12 de la Ley 590 de 2000, </w:t>
      </w:r>
      <w:r w:rsidRPr="00A87348">
        <w:rPr>
          <w:rFonts w:ascii="Verdana" w:eastAsia="Times New Roman" w:hAnsi="Verdana" w:cs="Arial"/>
          <w:i/>
          <w:iCs/>
          <w:sz w:val="20"/>
          <w:szCs w:val="20"/>
          <w:lang w:eastAsia="es-MX"/>
        </w:rPr>
        <w:t xml:space="preserve">según los resultados del análisis del sector, las Entidades Estatales indistintamente de su régimen de contratación, los patrimonios autónomos constituidos por Entidades Estatales y los particulares que ejecuten recursos públicos establecerán condiciones habilitantes </w:t>
      </w:r>
      <w:r w:rsidRPr="00A87348">
        <w:rPr>
          <w:rFonts w:ascii="Verdana" w:eastAsia="Times New Roman" w:hAnsi="Verdana" w:cs="Arial"/>
          <w:i/>
          <w:iCs/>
          <w:sz w:val="20"/>
          <w:szCs w:val="20"/>
          <w:lang w:eastAsia="es-MX"/>
        </w:rPr>
        <w:lastRenderedPageBreak/>
        <w:t xml:space="preserve">diferenciales que promuevan y faciliten la participación en los procedimientos de selección competitivos de las </w:t>
      </w:r>
      <w:proofErr w:type="spellStart"/>
      <w:r w:rsidRPr="00A87348">
        <w:rPr>
          <w:rFonts w:ascii="Verdana" w:eastAsia="Times New Roman" w:hAnsi="Verdana" w:cs="Arial"/>
          <w:i/>
          <w:iCs/>
          <w:sz w:val="20"/>
          <w:szCs w:val="20"/>
          <w:lang w:eastAsia="es-MX"/>
        </w:rPr>
        <w:t>Mipyme</w:t>
      </w:r>
      <w:proofErr w:type="spellEnd"/>
      <w:r w:rsidRPr="00A87348">
        <w:rPr>
          <w:rFonts w:ascii="Verdana" w:eastAsia="Times New Roman" w:hAnsi="Verdana" w:cs="Arial"/>
          <w:i/>
          <w:iCs/>
          <w:sz w:val="20"/>
          <w:szCs w:val="20"/>
          <w:lang w:eastAsia="es-MX"/>
        </w:rPr>
        <w:t xml:space="preserve"> domiciliadas en Colombia.</w:t>
      </w:r>
      <w:r w:rsidRPr="005D4133">
        <w:rPr>
          <w:rFonts w:ascii="Verdana" w:eastAsia="Times New Roman" w:hAnsi="Verdana" w:cs="Arial"/>
          <w:sz w:val="20"/>
          <w:szCs w:val="20"/>
          <w:lang w:eastAsia="es-MX"/>
        </w:rPr>
        <w:t xml:space="preserve"> Para el efecto, en función de los criterios de clasificación empresarial, los Documentos del Proceso deberán incorporar requisitos habilitan tes diferencia/es relacionados con alguno o algunos de los siguientes aspectos:</w:t>
      </w:r>
    </w:p>
    <w:p w14:paraId="1F1473FD"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br/>
        <w:t>1. Tiempo de experiencia.</w:t>
      </w:r>
    </w:p>
    <w:p w14:paraId="6EB27F48"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2. Número de contratos para la acreditación de la experiencia.</w:t>
      </w:r>
    </w:p>
    <w:p w14:paraId="50C9ED35"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3. Índices de capacidad financiera.</w:t>
      </w:r>
    </w:p>
    <w:p w14:paraId="6D9DF46D"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4. Índices de capacidad organizacional.</w:t>
      </w:r>
    </w:p>
    <w:p w14:paraId="5FB6E232"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5. Valor de la garantía de seriedad de /a oferta.</w:t>
      </w:r>
    </w:p>
    <w:p w14:paraId="061087E3"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br/>
        <w:t xml:space="preserve">Los requisitos mencionados deberán fijarse respetando las condiciones habilitantes requeridas para el cumplimiento adecuado del contrato, teniendo en cuenta el alcance de las obligaciones. En desarrollo de lo anterior, con la finalidad de beneficiar a las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 xml:space="preserve">, se establecerán condiciones más exigentes respecto a alguno o algunos de los criterios de participación antes enunciados frente a los demás proponentes que concurran al procedimiento de selección que no sean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w:t>
      </w:r>
      <w:r w:rsidRPr="005D4133">
        <w:rPr>
          <w:rFonts w:ascii="Verdana" w:eastAsia="Times New Roman" w:hAnsi="Verdana" w:cs="Arial"/>
          <w:sz w:val="20"/>
          <w:szCs w:val="20"/>
          <w:lang w:eastAsia="es-MX"/>
        </w:rPr>
        <w:br/>
      </w:r>
      <w:r w:rsidRPr="005D4133">
        <w:rPr>
          <w:rFonts w:ascii="Verdana" w:eastAsia="Times New Roman" w:hAnsi="Verdana" w:cs="Arial"/>
          <w:sz w:val="20"/>
          <w:szCs w:val="20"/>
          <w:lang w:eastAsia="es-MX"/>
        </w:rPr>
        <w:br/>
        <w:t xml:space="preserve">Con excepción de los procedimientos de selección abreviada por subasta inversa y de mínima cuantía, las entidades sometidas al Estatuto General de Contratación de la Administración Pública, teniendo en cuenta los criterios de clasificación empresarial, podrán establecer puntajes adicionales para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 En ningún caso, estos podrán superar el cero punto veinticinco por ciento (0.25%) del total de los puntos establecidos en el pliego de condiciones.</w:t>
      </w:r>
    </w:p>
    <w:p w14:paraId="4339BC46"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p>
    <w:p w14:paraId="18F894BC"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b/>
          <w:bCs/>
          <w:sz w:val="20"/>
          <w:szCs w:val="20"/>
          <w:lang w:eastAsia="es-MX"/>
        </w:rPr>
        <w:t>Parágrafo 1.</w:t>
      </w:r>
      <w:r w:rsidRPr="005D4133">
        <w:rPr>
          <w:rFonts w:ascii="Verdana" w:eastAsia="Times New Roman" w:hAnsi="Verdana" w:cs="Arial"/>
          <w:sz w:val="20"/>
          <w:szCs w:val="20"/>
          <w:lang w:eastAsia="es-MX"/>
        </w:rPr>
        <w:t> Para los efectos de este artículo, los criterios de clasificación empresarial son los definidos en el artículo 2.2.1.13.2.2 del Decreto 1074 de 2015, Único Reglamentario del Sector Comercio, Industria y Turismo, o la norma que lo modifique, derogue o sustituya.</w:t>
      </w:r>
    </w:p>
    <w:p w14:paraId="136EB8D5"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p>
    <w:p w14:paraId="19B57043"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b/>
          <w:bCs/>
          <w:sz w:val="20"/>
          <w:szCs w:val="20"/>
          <w:lang w:eastAsia="es-MX"/>
        </w:rPr>
        <w:t>Parágrafo 2.</w:t>
      </w:r>
      <w:r w:rsidRPr="005D4133">
        <w:rPr>
          <w:rFonts w:ascii="Verdana" w:eastAsia="Times New Roman" w:hAnsi="Verdana" w:cs="Arial"/>
          <w:sz w:val="20"/>
          <w:szCs w:val="20"/>
          <w:lang w:eastAsia="es-MX"/>
        </w:rPr>
        <w:t xml:space="preserve"> Tratándose de proponentes plurales, los criterios diferenciales y los puntajes adicionales solo se aplicarán si por lo menos uno de los integrantes acredita la calidad de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 xml:space="preserve"> y tiene una participación igual o superior al diez por ciento (10%) en el consorcio o la unión temporal.</w:t>
      </w:r>
    </w:p>
    <w:p w14:paraId="60A08C9C"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p>
    <w:p w14:paraId="0A3F2773" w14:textId="77777777" w:rsidR="001F389E" w:rsidRDefault="001F389E" w:rsidP="001F389E">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b/>
          <w:bCs/>
          <w:sz w:val="20"/>
          <w:szCs w:val="20"/>
          <w:lang w:eastAsia="es-MX"/>
        </w:rPr>
        <w:t>Parágrafo 3</w:t>
      </w:r>
      <w:r w:rsidRPr="005D4133">
        <w:rPr>
          <w:rFonts w:ascii="Verdana" w:eastAsia="Times New Roman" w:hAnsi="Verdana" w:cs="Arial"/>
          <w:sz w:val="20"/>
          <w:szCs w:val="20"/>
          <w:lang w:eastAsia="es-MX"/>
        </w:rPr>
        <w:t xml:space="preserve">. Lo previsto en esta norma aplica sin perjuicio de lo dispuesto en los Acuerdos Comerciales suscritos por el Estado colombiano, </w:t>
      </w:r>
      <w:r w:rsidRPr="0018417F">
        <w:rPr>
          <w:rFonts w:ascii="Verdana" w:eastAsia="Times New Roman" w:hAnsi="Verdana" w:cs="Arial"/>
          <w:i/>
          <w:iCs/>
          <w:sz w:val="20"/>
          <w:szCs w:val="20"/>
          <w:lang w:eastAsia="es-MX"/>
        </w:rPr>
        <w:t>pero no rige en las convocatorias limitadas que se realicen conforme a los artículos 2.2.1.2.4.2.2 y 2.2.1.2.4.2.3 de este Decreto</w:t>
      </w:r>
      <w:r>
        <w:rPr>
          <w:rFonts w:ascii="Verdana" w:eastAsia="Times New Roman" w:hAnsi="Verdana" w:cs="Arial"/>
          <w:sz w:val="20"/>
          <w:szCs w:val="20"/>
          <w:lang w:eastAsia="es-MX"/>
        </w:rPr>
        <w:t>”</w:t>
      </w:r>
      <w:r w:rsidRPr="005D4133">
        <w:rPr>
          <w:rFonts w:ascii="Verdana" w:eastAsia="Times New Roman" w:hAnsi="Verdana" w:cs="Arial"/>
          <w:sz w:val="20"/>
          <w:szCs w:val="20"/>
          <w:lang w:eastAsia="es-MX"/>
        </w:rPr>
        <w:t>.</w:t>
      </w:r>
      <w:r>
        <w:rPr>
          <w:rFonts w:ascii="Verdana" w:eastAsia="Times New Roman" w:hAnsi="Verdana" w:cs="Arial"/>
          <w:sz w:val="20"/>
          <w:szCs w:val="20"/>
          <w:lang w:eastAsia="es-MX"/>
        </w:rPr>
        <w:t xml:space="preserve"> (Énfasis fuera de texto). </w:t>
      </w:r>
    </w:p>
    <w:p w14:paraId="33D91409" w14:textId="77777777" w:rsidR="001F389E" w:rsidRDefault="001F389E" w:rsidP="001F389E">
      <w:pPr>
        <w:spacing w:after="0" w:line="276" w:lineRule="auto"/>
        <w:jc w:val="both"/>
        <w:rPr>
          <w:rFonts w:ascii="Verdana" w:eastAsia="Times New Roman" w:hAnsi="Verdana" w:cs="Arial"/>
          <w:lang w:eastAsia="es-MX"/>
        </w:rPr>
      </w:pPr>
      <w:r w:rsidRPr="0040650F">
        <w:rPr>
          <w:rFonts w:ascii="Verdana" w:eastAsia="Times New Roman" w:hAnsi="Verdana" w:cs="Arial"/>
          <w:lang w:eastAsia="es-MX"/>
        </w:rPr>
        <w:t xml:space="preserve"> </w:t>
      </w:r>
    </w:p>
    <w:p w14:paraId="29E26C05" w14:textId="77777777" w:rsidR="001F389E" w:rsidRPr="0040650F" w:rsidRDefault="001F389E" w:rsidP="001F389E">
      <w:pPr>
        <w:spacing w:after="120" w:line="276" w:lineRule="auto"/>
        <w:ind w:firstLine="709"/>
        <w:jc w:val="both"/>
        <w:rPr>
          <w:rFonts w:ascii="Verdana" w:eastAsia="Times New Roman" w:hAnsi="Verdana" w:cs="Arial"/>
          <w:color w:val="000000" w:themeColor="text1"/>
          <w:lang w:eastAsia="es-MX"/>
        </w:rPr>
      </w:pPr>
      <w:r>
        <w:rPr>
          <w:rFonts w:ascii="Verdana" w:eastAsia="Times New Roman" w:hAnsi="Verdana" w:cs="Arial"/>
          <w:lang w:eastAsia="es-MX"/>
        </w:rPr>
        <w:lastRenderedPageBreak/>
        <w:t>Conforme al artículo citado</w:t>
      </w:r>
      <w:r w:rsidRPr="0040650F">
        <w:rPr>
          <w:rFonts w:ascii="Verdana" w:eastAsia="Times New Roman" w:hAnsi="Verdana" w:cs="Arial"/>
          <w:lang w:eastAsia="es-MX"/>
        </w:rPr>
        <w:t>, según los resultados del análisis del sector</w:t>
      </w:r>
      <w:r>
        <w:rPr>
          <w:rFonts w:ascii="Verdana" w:eastAsia="Times New Roman" w:hAnsi="Verdana" w:cs="Arial"/>
          <w:lang w:eastAsia="es-MX"/>
        </w:rPr>
        <w:t xml:space="preserve"> y </w:t>
      </w:r>
      <w:r w:rsidRPr="0040650F">
        <w:rPr>
          <w:rFonts w:ascii="Verdana" w:eastAsia="Times New Roman" w:hAnsi="Verdana" w:cs="Arial"/>
          <w:lang w:eastAsia="es-MX"/>
        </w:rPr>
        <w:t xml:space="preserve">en función de los criterios de clasificación empresarial, los documentos del proceso </w:t>
      </w:r>
      <w:r>
        <w:rPr>
          <w:rFonts w:ascii="Verdana" w:eastAsia="Times New Roman" w:hAnsi="Verdana" w:cs="Arial"/>
          <w:lang w:eastAsia="es-MX"/>
        </w:rPr>
        <w:t>podrán</w:t>
      </w:r>
      <w:r w:rsidRPr="0040650F">
        <w:rPr>
          <w:rFonts w:ascii="Verdana" w:eastAsia="Times New Roman" w:hAnsi="Verdana" w:cs="Arial"/>
          <w:lang w:eastAsia="es-MX"/>
        </w:rPr>
        <w:t xml:space="preserve"> incorporar </w:t>
      </w:r>
      <w:r w:rsidRPr="0040650F">
        <w:rPr>
          <w:rFonts w:ascii="Verdana" w:eastAsia="Times New Roman" w:hAnsi="Verdana" w:cs="Arial"/>
          <w:color w:val="000000" w:themeColor="text1"/>
          <w:lang w:eastAsia="es-MX"/>
        </w:rPr>
        <w:t xml:space="preserve">requisitos habilitantes diferenciales relacionados con alguno o algunos de los siguientes aspectos: i) tiempo de experiencia, </w:t>
      </w:r>
      <w:proofErr w:type="spellStart"/>
      <w:r w:rsidRPr="0040650F">
        <w:rPr>
          <w:rFonts w:ascii="Verdana" w:eastAsia="Times New Roman" w:hAnsi="Verdana" w:cs="Arial"/>
          <w:color w:val="000000" w:themeColor="text1"/>
          <w:lang w:eastAsia="es-MX"/>
        </w:rPr>
        <w:t>ii</w:t>
      </w:r>
      <w:proofErr w:type="spellEnd"/>
      <w:r w:rsidRPr="0040650F">
        <w:rPr>
          <w:rFonts w:ascii="Verdana" w:eastAsia="Times New Roman" w:hAnsi="Verdana" w:cs="Arial"/>
          <w:color w:val="000000" w:themeColor="text1"/>
          <w:lang w:eastAsia="es-MX"/>
        </w:rPr>
        <w:t xml:space="preserve">) número de contratos para la acreditación de la experiencia, </w:t>
      </w:r>
      <w:proofErr w:type="spellStart"/>
      <w:r w:rsidRPr="0040650F">
        <w:rPr>
          <w:rFonts w:ascii="Verdana" w:eastAsia="Times New Roman" w:hAnsi="Verdana" w:cs="Arial"/>
          <w:color w:val="000000" w:themeColor="text1"/>
          <w:lang w:eastAsia="es-MX"/>
        </w:rPr>
        <w:t>iii</w:t>
      </w:r>
      <w:proofErr w:type="spellEnd"/>
      <w:r w:rsidRPr="0040650F">
        <w:rPr>
          <w:rFonts w:ascii="Verdana" w:eastAsia="Times New Roman" w:hAnsi="Verdana" w:cs="Arial"/>
          <w:color w:val="000000" w:themeColor="text1"/>
          <w:lang w:eastAsia="es-MX"/>
        </w:rPr>
        <w:t xml:space="preserve">) índices de capacidad financiera, </w:t>
      </w:r>
      <w:proofErr w:type="spellStart"/>
      <w:r w:rsidRPr="0040650F">
        <w:rPr>
          <w:rFonts w:ascii="Verdana" w:eastAsia="Times New Roman" w:hAnsi="Verdana" w:cs="Arial"/>
          <w:color w:val="000000" w:themeColor="text1"/>
          <w:lang w:eastAsia="es-MX"/>
        </w:rPr>
        <w:t>iv</w:t>
      </w:r>
      <w:proofErr w:type="spellEnd"/>
      <w:r w:rsidRPr="0040650F">
        <w:rPr>
          <w:rFonts w:ascii="Verdana" w:eastAsia="Times New Roman" w:hAnsi="Verdana" w:cs="Arial"/>
          <w:color w:val="000000" w:themeColor="text1"/>
          <w:lang w:eastAsia="es-MX"/>
        </w:rPr>
        <w:t>) índices de capacidad organizacional y v) valor de la garantía de seriedad de la oferta.</w:t>
      </w:r>
    </w:p>
    <w:p w14:paraId="6E56D1FB" w14:textId="77777777" w:rsidR="001F389E" w:rsidRDefault="001F389E" w:rsidP="001F389E">
      <w:pPr>
        <w:spacing w:after="120" w:line="276" w:lineRule="auto"/>
        <w:ind w:firstLine="709"/>
        <w:jc w:val="both"/>
        <w:rPr>
          <w:rFonts w:ascii="Verdana" w:hAnsi="Verdana" w:cs="Arial"/>
          <w:bCs/>
        </w:rPr>
      </w:pPr>
      <w:r w:rsidRPr="0040650F">
        <w:rPr>
          <w:rFonts w:ascii="Verdana" w:eastAsia="Times New Roman" w:hAnsi="Verdana" w:cs="Arial"/>
          <w:color w:val="000000" w:themeColor="text1"/>
          <w:lang w:eastAsia="es-MX"/>
        </w:rPr>
        <w:t>Lo anterior significa que</w:t>
      </w:r>
      <w:r>
        <w:rPr>
          <w:rFonts w:ascii="Verdana" w:hAnsi="Verdana" w:cs="Arial"/>
          <w:bCs/>
        </w:rPr>
        <w:t xml:space="preserve"> la expresión “</w:t>
      </w:r>
      <w:r w:rsidRPr="007D5676">
        <w:rPr>
          <w:rFonts w:ascii="Verdana" w:hAnsi="Verdana" w:cs="Arial"/>
          <w:b/>
          <w:u w:val="single"/>
        </w:rPr>
        <w:t>podrán</w:t>
      </w:r>
      <w:r w:rsidRPr="007D5676">
        <w:rPr>
          <w:rFonts w:ascii="Verdana" w:hAnsi="Verdana" w:cs="Arial"/>
          <w:bCs/>
        </w:rPr>
        <w:t xml:space="preserve">” </w:t>
      </w:r>
      <w:r>
        <w:rPr>
          <w:rFonts w:ascii="Verdana" w:hAnsi="Verdana" w:cs="Arial"/>
          <w:bCs/>
        </w:rPr>
        <w:t xml:space="preserve">contenida en el artículo 31 de la Ley 2069 de 2020, fue utilizada por el legislador porque la incorporación de los criterios diferenciales y puntajes adicionales en favor de las </w:t>
      </w:r>
      <w:proofErr w:type="spellStart"/>
      <w:r>
        <w:rPr>
          <w:rFonts w:ascii="Verdana" w:hAnsi="Verdana" w:cs="Arial"/>
          <w:bCs/>
        </w:rPr>
        <w:t>Mipymes</w:t>
      </w:r>
      <w:proofErr w:type="spellEnd"/>
      <w:r>
        <w:rPr>
          <w:rFonts w:ascii="Verdana" w:hAnsi="Verdana" w:cs="Arial"/>
          <w:bCs/>
        </w:rPr>
        <w:t xml:space="preserve"> es potestativa de la entidad estatal. En todo caso, debe sustentarse en los resultados del análisis del sector realizado por la entidad estatal contratante en la etapa de planeación, lo que le permite a esta inferir que su incorporación es pertinente y se sustenta en la evaluación objetiva, la cual será consignada en los estudios y documentos previos. </w:t>
      </w:r>
    </w:p>
    <w:p w14:paraId="13C2860B" w14:textId="77777777" w:rsidR="001F389E" w:rsidRDefault="001F389E" w:rsidP="001F389E">
      <w:pPr>
        <w:spacing w:after="120" w:line="276" w:lineRule="auto"/>
        <w:ind w:firstLine="709"/>
        <w:jc w:val="both"/>
        <w:rPr>
          <w:rFonts w:ascii="Verdana" w:hAnsi="Verdana" w:cs="Arial"/>
          <w:bCs/>
        </w:rPr>
      </w:pPr>
      <w:r>
        <w:rPr>
          <w:rFonts w:ascii="Verdana" w:hAnsi="Verdana" w:cs="Arial"/>
          <w:bCs/>
        </w:rPr>
        <w:t>De esta manera, en cada proceso de selección, la entidad estatal deberá definir, de manera concreta, la incorporación de tales criterios diferenciales y puntajes adicionales, sin que se entienda la norma como una regla obligatoria de inclusión en cabeza de las entidades estatales para su incorporación en los pliegos de condiciones. En todo caso, la entidad estatal siempre deberá justificar su inclusión u omisión, en los documentos del proceso de selección.</w:t>
      </w:r>
    </w:p>
    <w:p w14:paraId="289D1137" w14:textId="77777777" w:rsidR="001F389E" w:rsidRDefault="001F389E" w:rsidP="001F389E">
      <w:pPr>
        <w:spacing w:after="120" w:line="276" w:lineRule="auto"/>
        <w:ind w:firstLine="709"/>
        <w:jc w:val="both"/>
        <w:rPr>
          <w:rFonts w:ascii="Verdana" w:hAnsi="Verdana"/>
        </w:rPr>
      </w:pPr>
      <w:r w:rsidRPr="003966CB">
        <w:rPr>
          <w:rFonts w:ascii="Verdana" w:hAnsi="Verdana" w:cs="Arial"/>
          <w:bCs/>
        </w:rPr>
        <w:t xml:space="preserve">En atención a lo anterior, la entidad estatal luego del resultado arrojado en el análisis del sector definirá el criterio o criterios diferenciales que adoptará, para beneficiar a </w:t>
      </w:r>
      <w:proofErr w:type="spellStart"/>
      <w:r w:rsidRPr="003966CB">
        <w:rPr>
          <w:rFonts w:ascii="Verdana" w:hAnsi="Verdana" w:cs="Arial"/>
          <w:bCs/>
        </w:rPr>
        <w:t>Mipymes</w:t>
      </w:r>
      <w:proofErr w:type="spellEnd"/>
      <w:r w:rsidRPr="003966CB">
        <w:rPr>
          <w:rFonts w:ascii="Verdana" w:hAnsi="Verdana" w:cs="Arial"/>
          <w:bCs/>
        </w:rPr>
        <w:t xml:space="preserve">. Para dichos efectos </w:t>
      </w:r>
      <w:r w:rsidRPr="00A87348">
        <w:rPr>
          <w:rFonts w:ascii="Verdana" w:eastAsia="Calibri" w:hAnsi="Verdana"/>
        </w:rPr>
        <w:t xml:space="preserve">se establecerán condiciones más exigentes respecto a alguno o algunos de los criterios de participación antes enunciados </w:t>
      </w:r>
      <w:r w:rsidRPr="00A87348">
        <w:rPr>
          <w:rFonts w:ascii="Verdana" w:hAnsi="Verdana"/>
        </w:rPr>
        <w:t>para</w:t>
      </w:r>
      <w:r w:rsidRPr="00A87348">
        <w:rPr>
          <w:rFonts w:ascii="Verdana" w:eastAsia="Calibri" w:hAnsi="Verdana"/>
        </w:rPr>
        <w:t xml:space="preserve"> los demás proponentes que concurran al proceso de contratación que no sean </w:t>
      </w:r>
      <w:proofErr w:type="spellStart"/>
      <w:r w:rsidRPr="00A87348">
        <w:rPr>
          <w:rFonts w:ascii="Verdana" w:eastAsia="Calibri" w:hAnsi="Verdana"/>
        </w:rPr>
        <w:t>Mipyme</w:t>
      </w:r>
      <w:proofErr w:type="spellEnd"/>
      <w:r w:rsidRPr="00A87348">
        <w:rPr>
          <w:rFonts w:ascii="Verdana" w:eastAsia="Calibri" w:hAnsi="Verdana"/>
        </w:rPr>
        <w:t xml:space="preserve">. </w:t>
      </w:r>
      <w:r w:rsidRPr="003966CB">
        <w:rPr>
          <w:rFonts w:ascii="Verdana" w:hAnsi="Verdana" w:cs="Arial"/>
          <w:bCs/>
        </w:rPr>
        <w:t>Es importante tener en cuenta que l</w:t>
      </w:r>
      <w:r w:rsidRPr="00A87348">
        <w:rPr>
          <w:rFonts w:ascii="Verdana" w:hAnsi="Verdana"/>
        </w:rPr>
        <w:t xml:space="preserve">os requisitos antes mencionados deberán fijarse respetando las condiciones habilitantes requeridas para el cumplimiento adecuado del contrato, teniendo en cuenta el alcance de las obligaciones. </w:t>
      </w:r>
    </w:p>
    <w:p w14:paraId="2C5F1852" w14:textId="77777777" w:rsidR="00C37544" w:rsidRDefault="00C37544" w:rsidP="001F389E">
      <w:pPr>
        <w:spacing w:after="120" w:line="276" w:lineRule="auto"/>
        <w:ind w:firstLine="709"/>
        <w:jc w:val="both"/>
        <w:rPr>
          <w:rFonts w:ascii="Verdana" w:hAnsi="Verdana"/>
        </w:rPr>
      </w:pPr>
    </w:p>
    <w:p w14:paraId="2CA84C25" w14:textId="77777777" w:rsidR="00C37544" w:rsidRPr="00C37544" w:rsidRDefault="00C37544" w:rsidP="00C37544">
      <w:pPr>
        <w:spacing w:after="120" w:line="276" w:lineRule="auto"/>
        <w:ind w:firstLine="709"/>
        <w:jc w:val="both"/>
        <w:rPr>
          <w:rFonts w:ascii="Verdana" w:eastAsia="Calibri" w:hAnsi="Verdana" w:cs="Arial"/>
        </w:rPr>
      </w:pPr>
      <w:r w:rsidRPr="00C37544">
        <w:rPr>
          <w:rFonts w:ascii="Verdana" w:eastAsia="Calibri" w:hAnsi="Verdana" w:cs="Arial"/>
        </w:rPr>
        <w:t xml:space="preserve">Adicionalmente, el Sistema de Compras Públicas contempla otros instrumentos normativos y técnicos orientados a facilitar la participación de las MiPymes, los cuales se articulan con los criterios diferenciales antes descritos. </w:t>
      </w:r>
      <w:r w:rsidRPr="00C37544">
        <w:rPr>
          <w:rFonts w:ascii="Verdana" w:eastAsia="Calibri" w:hAnsi="Verdana" w:cs="Arial"/>
        </w:rPr>
        <w:lastRenderedPageBreak/>
        <w:t>Entre estos se encuentran las reglas sobre convocatorias limitadas a MiPymes, la división de los procesos de contratación en lotes cuando el análisis del sector así lo permita, la preferencia a las ofertas presentadas por MiPymes nacionales en condiciones de empate y la promoción del uso de medios electrónicos para reducir barreras de acceso, en especial a través del SECOP.</w:t>
      </w:r>
    </w:p>
    <w:p w14:paraId="4F7DE2DC" w14:textId="77777777" w:rsidR="00C37544" w:rsidRPr="00C37544" w:rsidRDefault="00C37544" w:rsidP="00C37544">
      <w:pPr>
        <w:spacing w:after="120" w:line="276" w:lineRule="auto"/>
        <w:ind w:firstLine="709"/>
        <w:jc w:val="both"/>
        <w:rPr>
          <w:rFonts w:ascii="Verdana" w:eastAsia="Calibri" w:hAnsi="Verdana" w:cs="Arial"/>
        </w:rPr>
      </w:pPr>
      <w:r w:rsidRPr="00C37544">
        <w:rPr>
          <w:rFonts w:ascii="Verdana" w:eastAsia="Calibri" w:hAnsi="Verdana" w:cs="Arial"/>
        </w:rPr>
        <w:t>Estas medidas no operan de manera automática ni uniforme, sino que su aplicación depende de la planeación contractual de cada entidad estatal y de los resultados del análisis del sector, el cual constituye el insumo técnico que permite identificar la pertinencia de adoptar mecanismos de promoción de la participación de las MiPymes, sin comprometer la adecuada ejecución del objeto contractual ni los principios que rigen la contratación estatal.</w:t>
      </w:r>
    </w:p>
    <w:p w14:paraId="2B74FBB9" w14:textId="77777777" w:rsidR="00C37544" w:rsidRPr="00C37544" w:rsidRDefault="00C37544" w:rsidP="00C37544">
      <w:pPr>
        <w:spacing w:after="120" w:line="276" w:lineRule="auto"/>
        <w:ind w:firstLine="709"/>
        <w:jc w:val="both"/>
        <w:rPr>
          <w:rFonts w:ascii="Verdana" w:eastAsia="Calibri" w:hAnsi="Verdana" w:cs="Arial"/>
        </w:rPr>
      </w:pPr>
      <w:r w:rsidRPr="00C37544">
        <w:rPr>
          <w:rFonts w:ascii="Verdana" w:eastAsia="Calibri" w:hAnsi="Verdana" w:cs="Arial"/>
        </w:rPr>
        <w:t>En desarrollo de este marco normativo, Colombia Compra Eficiente, en su calidad de ente rector del Sistema de Compras Públicas, ha expedido documentos orientadores, guías y lineamientos de buenas prácticas dirigidos a las entidades estatales y a los proveedores, con el fin de facilitar la correcta aplicación de las disposiciones legales y reglamentarias relacionadas con la inclusión de las MiPymes. Estos instrumentos tienen un carácter pedagógico y orientador, y buscan fortalecer la capacidad institucional y del mercado para una participación más efectiva en los procesos de contratación pública.</w:t>
      </w:r>
    </w:p>
    <w:p w14:paraId="41E9ADF7" w14:textId="77777777" w:rsidR="00C37544" w:rsidRPr="00C37544" w:rsidRDefault="00C37544" w:rsidP="00C37544">
      <w:pPr>
        <w:spacing w:after="120" w:line="276" w:lineRule="auto"/>
        <w:ind w:firstLine="709"/>
        <w:jc w:val="both"/>
        <w:rPr>
          <w:rFonts w:ascii="Verdana" w:eastAsia="Calibri" w:hAnsi="Verdana" w:cs="Arial"/>
        </w:rPr>
      </w:pPr>
      <w:r w:rsidRPr="00C37544">
        <w:rPr>
          <w:rFonts w:ascii="Verdana" w:eastAsia="Calibri" w:hAnsi="Verdana" w:cs="Arial"/>
        </w:rPr>
        <w:t>De manera complementaria, Colombia Compra Eficiente adelanta estrategias de divulgación, capacitación y acompañamiento dirigidas a MiPymes y a las entidades estatales, orientadas a fortalecer el conocimiento del marco normativo, el uso del SECOP y la identificación de oportunidades de negocio con el Estado, como parte de una política pública de compras inclusivas.</w:t>
      </w:r>
    </w:p>
    <w:p w14:paraId="3CC3BAB1" w14:textId="77777777" w:rsidR="00C37544" w:rsidRPr="00C37544" w:rsidRDefault="00C37544" w:rsidP="00C37544">
      <w:pPr>
        <w:spacing w:after="120" w:line="276" w:lineRule="auto"/>
        <w:ind w:firstLine="709"/>
        <w:jc w:val="both"/>
        <w:rPr>
          <w:rFonts w:ascii="Verdana" w:eastAsia="Calibri" w:hAnsi="Verdana" w:cs="Arial"/>
        </w:rPr>
      </w:pPr>
      <w:r w:rsidRPr="00C37544">
        <w:rPr>
          <w:rFonts w:ascii="Verdana" w:eastAsia="Calibri" w:hAnsi="Verdana" w:cs="Arial"/>
        </w:rPr>
        <w:t>Finalmente, el Sistema de Compras Públicas incorpora mecanismos de seguimiento y reporte que permiten evaluar la implementación y los resultados de las medidas de promoción de la participación de las MiPymes. En este contexto, la Circular Externa No. 005 de 2025 establece lineamientos para el reporte de información asociada a la aplicación del artículo 33 de la Ley 2069 de 2020, con el fin de contar con información consolidada que permita analizar avances, identificar desafíos y fortalecer la toma de decisiones en materia de compras públicas.</w:t>
      </w:r>
    </w:p>
    <w:p w14:paraId="3BDDE999" w14:textId="369322C6" w:rsidR="00C37544" w:rsidRPr="00C37544" w:rsidRDefault="002424E0" w:rsidP="00C37544">
      <w:pPr>
        <w:spacing w:after="120" w:line="276" w:lineRule="auto"/>
        <w:ind w:firstLine="709"/>
        <w:jc w:val="both"/>
        <w:rPr>
          <w:rFonts w:ascii="Verdana" w:eastAsia="Calibri" w:hAnsi="Verdana" w:cs="Arial"/>
        </w:rPr>
      </w:pPr>
      <w:r>
        <w:rPr>
          <w:rFonts w:ascii="Verdana" w:eastAsia="Calibri" w:hAnsi="Verdana" w:cs="Arial"/>
        </w:rPr>
        <w:t xml:space="preserve">Por lo anterior, es claro que la </w:t>
      </w:r>
      <w:r w:rsidR="00C37544" w:rsidRPr="00C37544">
        <w:rPr>
          <w:rFonts w:ascii="Verdana" w:eastAsia="Calibri" w:hAnsi="Verdana" w:cs="Arial"/>
        </w:rPr>
        <w:t xml:space="preserve">promoción de la participación de las MiPymes en la contratación estatal se materializa a través de un conjunto </w:t>
      </w:r>
      <w:r w:rsidR="00C37544" w:rsidRPr="00C37544">
        <w:rPr>
          <w:rFonts w:ascii="Verdana" w:eastAsia="Calibri" w:hAnsi="Verdana" w:cs="Arial"/>
        </w:rPr>
        <w:lastRenderedPageBreak/>
        <w:t>articulado de normas, criterios diferenciales, lineamientos técnicos, instrumentos orientadores, estrategias de capacitación y mecanismos de seguimiento definidos en el Sistema de Compras Públicas. La aplicación concreta de estas herramientas corresponde a cada entidad estatal, en ejercicio de su autonomía y responsabilidad, con base en su planeación contractual y en los resultados del análisis del sector.</w:t>
      </w:r>
    </w:p>
    <w:p w14:paraId="1F3F9F2B" w14:textId="1A6ABD54" w:rsidR="00C37544" w:rsidRPr="003966CB" w:rsidRDefault="00C37544" w:rsidP="001F389E">
      <w:pPr>
        <w:spacing w:after="120" w:line="276" w:lineRule="auto"/>
        <w:ind w:firstLine="709"/>
        <w:jc w:val="both"/>
        <w:rPr>
          <w:rFonts w:ascii="Verdana" w:eastAsia="Calibri" w:hAnsi="Verdana" w:cs="Arial"/>
        </w:rPr>
      </w:pPr>
      <w:r w:rsidRPr="00C37544">
        <w:rPr>
          <w:rFonts w:ascii="Verdana" w:eastAsia="Calibri" w:hAnsi="Verdana" w:cs="Arial"/>
        </w:rPr>
        <w:t>En consecuencia, si bien el Sistema de Compras Públicas prevé un conjunto de normas, lineamientos, instrumentos y estrategias orientadas a promover la participación de las micro, pequeñas y medianas empresas (MiPymes) en los procesos de contratación estatal, la definición y aplicación concreta de dichas medidas corresponde a cada entidad estatal, en el marco de su planeación contractual y con fundamento en los resultados del análisis del sector. En ese sentido, será cada entidad la que determine, de manera motivada, la pertinencia de incorporar criterios diferenciales, puntajes adicionales u otros mecanismos de promoción, así como las condiciones específicas de su implementación en cada proceso de selección, sin que exista una obligación general de adopción automática de dichas herramientas.</w:t>
      </w:r>
    </w:p>
    <w:p w14:paraId="5F95F155" w14:textId="77777777" w:rsidR="001F389E" w:rsidRPr="0018417F" w:rsidRDefault="001F389E" w:rsidP="001F389E">
      <w:pPr>
        <w:spacing w:after="0" w:line="276" w:lineRule="auto"/>
        <w:jc w:val="both"/>
        <w:rPr>
          <w:rFonts w:ascii="Verdana" w:eastAsia="Calibri" w:hAnsi="Verdana" w:cs="Arial"/>
          <w:bCs/>
          <w:color w:val="000000"/>
        </w:rPr>
      </w:pPr>
    </w:p>
    <w:p w14:paraId="1658413E" w14:textId="77777777" w:rsidR="001F389E" w:rsidRPr="00593A5F" w:rsidRDefault="001F389E" w:rsidP="001F389E">
      <w:pPr>
        <w:spacing w:after="120" w:line="276" w:lineRule="auto"/>
        <w:jc w:val="both"/>
        <w:rPr>
          <w:rFonts w:ascii="Verdana" w:eastAsia="Century Gothic" w:hAnsi="Verdana" w:cs="Century Gothic"/>
          <w:b/>
          <w:bCs/>
        </w:rPr>
      </w:pPr>
      <w:r>
        <w:rPr>
          <w:rFonts w:ascii="Verdana" w:eastAsia="Century Gothic" w:hAnsi="Verdana" w:cs="Century Gothic"/>
          <w:b/>
          <w:bCs/>
        </w:rPr>
        <w:t xml:space="preserve">4. </w:t>
      </w:r>
      <w:r w:rsidRPr="00593A5F">
        <w:rPr>
          <w:rFonts w:ascii="Verdana" w:eastAsia="Century Gothic" w:hAnsi="Verdana" w:cs="Century Gothic"/>
          <w:b/>
          <w:bCs/>
        </w:rPr>
        <w:t>Referencias normativas, jurisprudenciales y otras fuentes:</w:t>
      </w:r>
    </w:p>
    <w:p w14:paraId="52CBA88F" w14:textId="77777777" w:rsidR="001F389E" w:rsidRPr="00593A5F" w:rsidRDefault="001F389E" w:rsidP="001F389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F389E" w:rsidRPr="00593A5F" w14:paraId="1B33F74E" w14:textId="77777777" w:rsidTr="00685375">
        <w:trPr>
          <w:trHeight w:val="870"/>
        </w:trPr>
        <w:tc>
          <w:tcPr>
            <w:tcW w:w="8647" w:type="dxa"/>
          </w:tcPr>
          <w:p w14:paraId="3D9DE67E" w14:textId="77777777" w:rsidR="002424E0" w:rsidRDefault="002424E0" w:rsidP="002424E0">
            <w:pPr>
              <w:pStyle w:val="Prrafodelista"/>
              <w:numPr>
                <w:ilvl w:val="0"/>
                <w:numId w:val="19"/>
              </w:numPr>
              <w:spacing w:line="276" w:lineRule="auto"/>
              <w:ind w:left="454"/>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Ley 2069 de 2020. Artículo 31.</w:t>
            </w:r>
          </w:p>
          <w:p w14:paraId="4F0CF7D9" w14:textId="77777777" w:rsidR="002424E0" w:rsidRPr="002424E0" w:rsidRDefault="002424E0" w:rsidP="002424E0">
            <w:pPr>
              <w:widowControl w:val="0"/>
              <w:numPr>
                <w:ilvl w:val="0"/>
                <w:numId w:val="19"/>
              </w:numPr>
              <w:autoSpaceDE w:val="0"/>
              <w:autoSpaceDN w:val="0"/>
              <w:spacing w:after="120"/>
              <w:ind w:left="454"/>
              <w:jc w:val="both"/>
              <w:rPr>
                <w:rFonts w:ascii="Verdana" w:hAnsi="Verdana" w:cs="Arial"/>
              </w:rPr>
            </w:pPr>
            <w:r>
              <w:rPr>
                <w:rFonts w:ascii="Verdana" w:eastAsia="Calibri" w:hAnsi="Verdana" w:cs="Arial"/>
                <w:bCs/>
                <w:color w:val="000000"/>
                <w:szCs w:val="24"/>
                <w:lang w:val="es-ES_tradnl" w:eastAsia="es-ES_tradnl" w:bidi="es-ES"/>
              </w:rPr>
              <w:t xml:space="preserve">Decreto 1082 de 2015. Artículos </w:t>
            </w:r>
            <w:r w:rsidRPr="00FB4EEF">
              <w:rPr>
                <w:rFonts w:ascii="Verdana" w:hAnsi="Verdana" w:cs="Arial"/>
              </w:rPr>
              <w:t>2.2.1.13.2.2</w:t>
            </w:r>
            <w:r>
              <w:rPr>
                <w:rFonts w:ascii="Verdana" w:hAnsi="Verdana" w:cs="Arial"/>
              </w:rPr>
              <w:t>,</w:t>
            </w:r>
            <w:r w:rsidRPr="00FB4EEF">
              <w:rPr>
                <w:rFonts w:ascii="Verdana" w:hAnsi="Verdana" w:cs="Arial"/>
              </w:rPr>
              <w:t xml:space="preserve"> </w:t>
            </w:r>
            <w:r w:rsidRPr="008B2E9F">
              <w:rPr>
                <w:rFonts w:ascii="Verdana" w:hAnsi="Verdana" w:cs="Arial"/>
              </w:rPr>
              <w:t>2.2.1.2.4.2.15.</w:t>
            </w:r>
            <w:r>
              <w:rPr>
                <w:rFonts w:ascii="Verdana" w:hAnsi="Verdana" w:cs="Arial"/>
              </w:rPr>
              <w:t xml:space="preserve"> y </w:t>
            </w:r>
            <w:r w:rsidRPr="00FB4EEF">
              <w:rPr>
                <w:rFonts w:ascii="Verdana" w:hAnsi="Verdana" w:cs="Arial"/>
              </w:rPr>
              <w:t>2.2.1.2.4.2.18.</w:t>
            </w:r>
            <w:r>
              <w:rPr>
                <w:rFonts w:ascii="Verdana" w:hAnsi="Verdana" w:cs="Arial"/>
              </w:rPr>
              <w:t xml:space="preserve"> parágrafo 3.</w:t>
            </w:r>
            <w:r w:rsidRPr="008B2E9F">
              <w:rPr>
                <w:rFonts w:ascii="Verdana" w:hAnsi="Verdana" w:cs="Arial"/>
              </w:rPr>
              <w:t xml:space="preserve"> </w:t>
            </w:r>
            <w:r>
              <w:rPr>
                <w:rFonts w:ascii="Verdana" w:eastAsia="Calibri" w:hAnsi="Verdana" w:cs="Arial"/>
                <w:bCs/>
                <w:color w:val="000000"/>
                <w:szCs w:val="24"/>
                <w:lang w:val="es-ES_tradnl" w:eastAsia="es-ES_tradnl" w:bidi="es-ES"/>
              </w:rPr>
              <w:t xml:space="preserve"> </w:t>
            </w:r>
            <w:r w:rsidRPr="00BD69D5">
              <w:rPr>
                <w:rFonts w:ascii="Verdana" w:hAnsi="Verdana" w:cs="Arial"/>
                <w:color w:val="000000" w:themeColor="text1"/>
                <w:lang w:val="es-ES_tradnl"/>
              </w:rPr>
              <w:t xml:space="preserve"> </w:t>
            </w:r>
          </w:p>
          <w:p w14:paraId="4A0027AB" w14:textId="2B6AC60D" w:rsidR="001F389E" w:rsidRPr="002424E0" w:rsidRDefault="001F389E" w:rsidP="002424E0">
            <w:pPr>
              <w:widowControl w:val="0"/>
              <w:numPr>
                <w:ilvl w:val="0"/>
                <w:numId w:val="19"/>
              </w:numPr>
              <w:autoSpaceDE w:val="0"/>
              <w:autoSpaceDN w:val="0"/>
              <w:spacing w:after="120"/>
              <w:ind w:left="454"/>
              <w:jc w:val="both"/>
              <w:rPr>
                <w:rFonts w:ascii="Verdana" w:hAnsi="Verdana" w:cs="Arial"/>
              </w:rPr>
            </w:pPr>
            <w:r w:rsidRPr="00BD69D5">
              <w:rPr>
                <w:rFonts w:ascii="Verdana" w:hAnsi="Verdana" w:cs="Arial"/>
                <w:color w:val="000000" w:themeColor="text1"/>
                <w:lang w:val="es-ES_tradnl"/>
              </w:rPr>
              <w:t xml:space="preserve"> </w:t>
            </w:r>
            <w:r w:rsidR="002424E0">
              <w:rPr>
                <w:rFonts w:ascii="Verdana" w:hAnsi="Verdana"/>
              </w:rPr>
              <w:t>“</w:t>
            </w:r>
            <w:r w:rsidR="002424E0" w:rsidRPr="008C0332">
              <w:rPr>
                <w:rFonts w:ascii="Verdana" w:hAnsi="Verdana"/>
              </w:rPr>
              <w:t>Guía para promover la participación de las MiPymes en los procesos de compra y contratación pública</w:t>
            </w:r>
            <w:r w:rsidR="002424E0">
              <w:rPr>
                <w:rFonts w:ascii="Verdana" w:hAnsi="Verdana"/>
              </w:rPr>
              <w:t xml:space="preserve"> </w:t>
            </w:r>
            <w:hyperlink r:id="rId13" w:history="1">
              <w:r w:rsidR="002424E0" w:rsidRPr="00757816">
                <w:rPr>
                  <w:rStyle w:val="Hipervnculo"/>
                  <w:rFonts w:ascii="Verdana" w:hAnsi="Verdana"/>
                </w:rPr>
                <w:t>https://www.colombiacompra.gov.co/wp-content/uploads/2024/08/guia_para_promover_la_participacion_de_las_mipymes_en_los_procesos_de_compra_publica_cce-gad-gi-26_1.pdf</w:t>
              </w:r>
            </w:hyperlink>
          </w:p>
          <w:p w14:paraId="45E91E15" w14:textId="1BDA6242" w:rsidR="002424E0" w:rsidRPr="002424E0" w:rsidRDefault="002424E0" w:rsidP="002424E0">
            <w:pPr>
              <w:widowControl w:val="0"/>
              <w:numPr>
                <w:ilvl w:val="0"/>
                <w:numId w:val="19"/>
              </w:numPr>
              <w:autoSpaceDE w:val="0"/>
              <w:autoSpaceDN w:val="0"/>
              <w:spacing w:after="120"/>
              <w:ind w:left="454"/>
              <w:jc w:val="both"/>
              <w:rPr>
                <w:rFonts w:ascii="Verdana" w:hAnsi="Verdana" w:cs="Arial"/>
              </w:rPr>
            </w:pPr>
            <w:r>
              <w:rPr>
                <w:rFonts w:ascii="Verdana" w:hAnsi="Verdana"/>
              </w:rPr>
              <w:t>Circular 005 de 2025 “</w:t>
            </w:r>
            <w:r w:rsidRPr="002424E0">
              <w:rPr>
                <w:rFonts w:ascii="Verdana" w:hAnsi="Verdana"/>
              </w:rPr>
              <w:t>Reapertura del aplicativo para el reporte sobre el avance en la promoción al acceso de las MiPymes al mercado de contratación y compras públicas de conformidad con lo establecido en la Ley 2069, artículo 33, numeral 8</w:t>
            </w:r>
            <w:r>
              <w:rPr>
                <w:rFonts w:ascii="Verdana" w:hAnsi="Verdana"/>
              </w:rPr>
              <w:t xml:space="preserve">”  </w:t>
            </w:r>
            <w:hyperlink r:id="rId14" w:history="1">
              <w:r w:rsidRPr="00757816">
                <w:rPr>
                  <w:rStyle w:val="Hipervnculo"/>
                  <w:rFonts w:ascii="Verdana" w:hAnsi="Verdana"/>
                </w:rPr>
                <w:t>https://www.colombiacompra.gov.co/wp-content/uploads/2025/08/Circular-Externa-005-conjunta-Ley-Emprendimiento-MINCIT-AGENCIA-RV-VF-1-1-1.pdf</w:t>
              </w:r>
            </w:hyperlink>
          </w:p>
        </w:tc>
      </w:tr>
    </w:tbl>
    <w:p w14:paraId="33A31F7D" w14:textId="77777777" w:rsidR="001F389E" w:rsidRPr="00593A5F" w:rsidRDefault="001F389E" w:rsidP="001F389E">
      <w:pPr>
        <w:widowControl w:val="0"/>
        <w:autoSpaceDE w:val="0"/>
        <w:autoSpaceDN w:val="0"/>
        <w:spacing w:after="0" w:line="276" w:lineRule="auto"/>
        <w:jc w:val="both"/>
        <w:rPr>
          <w:rFonts w:ascii="Verdana" w:hAnsi="Verdana" w:cs="Arial"/>
        </w:rPr>
      </w:pPr>
    </w:p>
    <w:p w14:paraId="13FBC213" w14:textId="77777777" w:rsidR="001F389E" w:rsidRPr="0018417F" w:rsidRDefault="001F389E" w:rsidP="001F389E">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lastRenderedPageBreak/>
        <w:t xml:space="preserve">5. </w:t>
      </w:r>
      <w:r w:rsidRPr="0018417F">
        <w:rPr>
          <w:rFonts w:ascii="Verdana" w:eastAsia="Century Gothic" w:hAnsi="Verdana" w:cs="Century Gothic"/>
          <w:b/>
          <w:bCs/>
        </w:rPr>
        <w:t>Doctrina de la Agencia Nacional de Contratación Pública:</w:t>
      </w:r>
    </w:p>
    <w:p w14:paraId="3C510734" w14:textId="77777777" w:rsidR="001F389E" w:rsidRDefault="001F389E" w:rsidP="001F389E">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0B8E277E" w14:textId="77777777" w:rsidR="001F389E" w:rsidRPr="00185EE9" w:rsidRDefault="001F389E" w:rsidP="001F389E">
      <w:pPr>
        <w:widowControl w:val="0"/>
        <w:autoSpaceDE w:val="0"/>
        <w:autoSpaceDN w:val="0"/>
        <w:spacing w:after="0" w:line="276" w:lineRule="auto"/>
        <w:jc w:val="both"/>
        <w:rPr>
          <w:rFonts w:ascii="Verdana" w:eastAsia="Calibri" w:hAnsi="Verdana" w:cs="Times New Roman"/>
        </w:rPr>
      </w:pPr>
      <w:r w:rsidRPr="003764D0">
        <w:rPr>
          <w:rFonts w:ascii="Verdana" w:hAnsi="Verdana" w:cs="Arial"/>
          <w:shd w:val="clear" w:color="auto" w:fill="FFFFFF"/>
          <w:lang w:val="es-ES"/>
        </w:rPr>
        <w:t>Sobre los incentivos en favor de las MiPymes en la contratación estatal, según la modificación realizada por el Decreto 1860 de 2021 al Decreto 1082 de 2015, esta Subdirección se ha referido en los Conceptos C-043 del 09 de febrero de 2021, C-005 del 16 de febrero de 2021, C-081 del 23 de febrero de 2021, C-087 del 23 de febrero de 2021, C-037 del 26 de febrero de 2021, C-035 del 02 de marzo de 2021, C-040 del 02 de marzo de 2021, C-125 del 05 de abril de 2021</w:t>
      </w:r>
      <w:r>
        <w:rPr>
          <w:rFonts w:ascii="Verdana" w:hAnsi="Verdana" w:cs="Arial"/>
          <w:shd w:val="clear" w:color="auto" w:fill="FFFFFF"/>
          <w:lang w:val="es-ES"/>
        </w:rPr>
        <w:t xml:space="preserve">, </w:t>
      </w:r>
      <w:r w:rsidRPr="003764D0">
        <w:rPr>
          <w:rFonts w:ascii="Verdana" w:hAnsi="Verdana" w:cs="Arial"/>
          <w:shd w:val="clear" w:color="auto" w:fill="FFFFFF"/>
          <w:lang w:val="es-ES"/>
        </w:rPr>
        <w:t xml:space="preserve">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w:t>
      </w:r>
      <w:r>
        <w:rPr>
          <w:rFonts w:ascii="Verdana" w:hAnsi="Verdana" w:cs="Arial"/>
          <w:shd w:val="clear" w:color="auto" w:fill="FFFFFF"/>
          <w:lang w:val="es-ES"/>
        </w:rPr>
        <w:t xml:space="preserve">C-479 del 26 de julio de 2022, C-626 del 29 de septiembre de 2022, C-344 del 18 de agosto de 2023, C-245 del 13 de agosto de 2024, C-822 del 13 de diciembre de 2024 y C-175 del 21 de marzo de 2025, </w:t>
      </w:r>
      <w:r w:rsidRPr="00535747">
        <w:rPr>
          <w:rFonts w:ascii="Verdana" w:eastAsia="Calibri" w:hAnsi="Verdana" w:cs="Arial"/>
          <w:lang w:val="es-ES" w:eastAsia="es-ES_tradnl"/>
        </w:rPr>
        <w:t>entre otros</w:t>
      </w:r>
      <w:r>
        <w:rPr>
          <w:rFonts w:ascii="Verdana" w:eastAsia="Calibri" w:hAnsi="Verdana" w:cs="Arial"/>
          <w:lang w:val="es-ES" w:eastAsia="es-ES_tradnl"/>
        </w:rPr>
        <w:t>;</w:t>
      </w:r>
      <w:r w:rsidRPr="00185EE9">
        <w:rPr>
          <w:rFonts w:ascii="Verdana" w:eastAsia="Calibri" w:hAnsi="Verdana" w:cs="Times New Roman"/>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78DB8D4" w14:textId="77777777" w:rsidR="001F389E" w:rsidRPr="0065720B" w:rsidRDefault="001F389E" w:rsidP="001F389E">
      <w:pPr>
        <w:widowControl w:val="0"/>
        <w:autoSpaceDE w:val="0"/>
        <w:autoSpaceDN w:val="0"/>
        <w:spacing w:after="0" w:line="276" w:lineRule="auto"/>
        <w:jc w:val="both"/>
        <w:rPr>
          <w:rStyle w:val="normaltextrun"/>
          <w:rFonts w:ascii="Verdana" w:eastAsia="Calibri" w:hAnsi="Verdana" w:cs="Arial"/>
          <w:lang w:val="es-ES_tradnl" w:eastAsia="en-GB"/>
        </w:rPr>
      </w:pPr>
      <w:hyperlink r:id="rId15"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4851417E" w14:textId="7B57DD7F" w:rsidR="00AB4596" w:rsidRPr="00ED0098" w:rsidRDefault="00AB4596" w:rsidP="00AB4596">
      <w:pPr>
        <w:widowControl w:val="0"/>
        <w:autoSpaceDE w:val="0"/>
        <w:autoSpaceDN w:val="0"/>
        <w:spacing w:after="0" w:line="276" w:lineRule="auto"/>
        <w:jc w:val="both"/>
        <w:rPr>
          <w:rStyle w:val="normaltextrun"/>
          <w:rFonts w:ascii="Verdana" w:hAnsi="Verdana" w:cs="Arial"/>
          <w:shd w:val="clear" w:color="auto" w:fill="FFFFFF"/>
        </w:rPr>
      </w:pPr>
      <w:r>
        <w:rPr>
          <w:rStyle w:val="normaltextrun"/>
          <w:rFonts w:ascii="Verdana" w:hAnsi="Verdana" w:cs="Arial"/>
          <w:color w:val="FF0000"/>
          <w:shd w:val="clear" w:color="auto" w:fill="FFFFFF"/>
          <w:lang w:val="es-ES"/>
        </w:rPr>
        <w:t xml:space="preserve"> </w:t>
      </w:r>
    </w:p>
    <w:p w14:paraId="24FF0C81" w14:textId="77777777" w:rsidR="002F58A6" w:rsidRPr="00103B90" w:rsidRDefault="002F58A6" w:rsidP="002F58A6">
      <w:pPr>
        <w:widowControl w:val="0"/>
        <w:autoSpaceDE w:val="0"/>
        <w:autoSpaceDN w:val="0"/>
        <w:spacing w:after="0" w:line="276" w:lineRule="auto"/>
        <w:jc w:val="both"/>
        <w:rPr>
          <w:rFonts w:ascii="Verdana" w:hAnsi="Verdana"/>
        </w:rPr>
      </w:pPr>
    </w:p>
    <w:p w14:paraId="678F7353" w14:textId="77777777" w:rsidR="002F58A6" w:rsidRPr="00505CD6" w:rsidRDefault="002F58A6" w:rsidP="002F58A6">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0548156B" w14:textId="77777777" w:rsidR="002F58A6" w:rsidRPr="00505CD6" w:rsidRDefault="002F58A6" w:rsidP="002F58A6">
      <w:pPr>
        <w:widowControl w:val="0"/>
        <w:autoSpaceDE w:val="0"/>
        <w:autoSpaceDN w:val="0"/>
        <w:spacing w:after="0" w:line="276" w:lineRule="auto"/>
        <w:jc w:val="both"/>
        <w:rPr>
          <w:rFonts w:ascii="Verdana" w:hAnsi="Verdana" w:cs="Arial"/>
        </w:rPr>
      </w:pPr>
    </w:p>
    <w:p w14:paraId="396A4A51" w14:textId="77777777" w:rsidR="002F58A6" w:rsidRPr="00D93A19" w:rsidRDefault="002F58A6" w:rsidP="002F58A6">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3DB1D1DA" w14:textId="2394A0B2" w:rsidR="002F58A6" w:rsidRDefault="00334F0E" w:rsidP="002F58A6">
      <w:pPr>
        <w:spacing w:after="0" w:line="276" w:lineRule="auto"/>
        <w:jc w:val="center"/>
        <w:rPr>
          <w:rFonts w:ascii="Verdana" w:hAnsi="Verdana"/>
          <w:lang w:val="es-ES_tradnl"/>
        </w:rPr>
      </w:pPr>
      <w:r>
        <w:rPr>
          <w:rFonts w:ascii="Verdana" w:hAnsi="Verdana"/>
          <w:noProof/>
          <w:lang w:val="es-ES_tradnl"/>
        </w:rPr>
        <w:drawing>
          <wp:inline distT="0" distB="0" distL="0" distR="0" wp14:anchorId="17E595DF" wp14:editId="0058A51C">
            <wp:extent cx="2548466" cy="940663"/>
            <wp:effectExtent l="0" t="0" r="4445" b="0"/>
            <wp:docPr id="2103160658"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160658" name="Imagen 2"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2553076" cy="9423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F58A6" w:rsidRPr="00D53651" w14:paraId="57695A2A" w14:textId="77777777" w:rsidTr="006819A9">
        <w:trPr>
          <w:trHeight w:val="315"/>
        </w:trPr>
        <w:tc>
          <w:tcPr>
            <w:tcW w:w="893" w:type="dxa"/>
            <w:vAlign w:val="center"/>
            <w:hideMark/>
          </w:tcPr>
          <w:p w14:paraId="69CC7C86"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64D202D5" w14:textId="77777777" w:rsidR="002F58A6" w:rsidRPr="00D53651" w:rsidRDefault="002F58A6" w:rsidP="006819A9">
            <w:pPr>
              <w:spacing w:line="276" w:lineRule="auto"/>
              <w:jc w:val="both"/>
              <w:rPr>
                <w:rFonts w:ascii="Verdana" w:hAnsi="Verdana"/>
                <w:sz w:val="16"/>
                <w:szCs w:val="16"/>
              </w:rPr>
            </w:pPr>
            <w:r>
              <w:rPr>
                <w:rFonts w:ascii="Verdana" w:hAnsi="Verdana"/>
                <w:sz w:val="16"/>
                <w:szCs w:val="16"/>
              </w:rPr>
              <w:t>Gloria Elizabeth Arango Builes</w:t>
            </w:r>
          </w:p>
          <w:p w14:paraId="67C3A3A2"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2F58A6" w:rsidRPr="00D53651" w14:paraId="20FEA01F" w14:textId="77777777" w:rsidTr="006819A9">
        <w:trPr>
          <w:trHeight w:val="330"/>
        </w:trPr>
        <w:tc>
          <w:tcPr>
            <w:tcW w:w="893" w:type="dxa"/>
            <w:vAlign w:val="center"/>
            <w:hideMark/>
          </w:tcPr>
          <w:p w14:paraId="7FB4CEB4"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566ABA3D" w14:textId="4FBC7D5F" w:rsidR="002F58A6" w:rsidRPr="00D53651" w:rsidRDefault="002424E0" w:rsidP="006819A9">
            <w:pPr>
              <w:spacing w:line="276" w:lineRule="auto"/>
              <w:jc w:val="both"/>
              <w:rPr>
                <w:rFonts w:ascii="Verdana" w:hAnsi="Verdana"/>
                <w:sz w:val="16"/>
                <w:szCs w:val="16"/>
              </w:rPr>
            </w:pPr>
            <w:r>
              <w:rPr>
                <w:rFonts w:ascii="Verdana" w:hAnsi="Verdana"/>
                <w:sz w:val="16"/>
                <w:szCs w:val="16"/>
              </w:rPr>
              <w:t>Juan Carlos González Vásquez</w:t>
            </w:r>
          </w:p>
          <w:p w14:paraId="577790E6"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lastRenderedPageBreak/>
              <w:t>Contratista de la Subdirección de Gestión Contractual </w:t>
            </w:r>
          </w:p>
        </w:tc>
      </w:tr>
      <w:tr w:rsidR="002F58A6" w:rsidRPr="00D53651" w14:paraId="699767E1" w14:textId="77777777" w:rsidTr="006819A9">
        <w:trPr>
          <w:trHeight w:val="300"/>
        </w:trPr>
        <w:tc>
          <w:tcPr>
            <w:tcW w:w="893" w:type="dxa"/>
            <w:vAlign w:val="center"/>
            <w:hideMark/>
          </w:tcPr>
          <w:p w14:paraId="6351938F"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lastRenderedPageBreak/>
              <w:t>Aprobó:</w:t>
            </w:r>
          </w:p>
        </w:tc>
        <w:tc>
          <w:tcPr>
            <w:tcW w:w="5628" w:type="dxa"/>
            <w:tcBorders>
              <w:top w:val="dotted" w:sz="4" w:space="0" w:color="7F7F7F"/>
              <w:left w:val="nil"/>
              <w:bottom w:val="dotted" w:sz="4" w:space="0" w:color="7F7F7F"/>
              <w:right w:val="nil"/>
            </w:tcBorders>
            <w:vAlign w:val="center"/>
            <w:hideMark/>
          </w:tcPr>
          <w:p w14:paraId="4B96CE08" w14:textId="77777777" w:rsidR="002F58A6" w:rsidRPr="00D53651" w:rsidRDefault="002F58A6" w:rsidP="006819A9">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736AF71F" w14:textId="77777777" w:rsidR="002F58A6" w:rsidRPr="00D53651" w:rsidRDefault="002F58A6" w:rsidP="006819A9">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70791A3F" w14:textId="77777777" w:rsidR="002F58A6" w:rsidRPr="000931E9" w:rsidRDefault="002F58A6" w:rsidP="002F58A6"/>
    <w:p w14:paraId="70F0D839" w14:textId="77777777" w:rsidR="002F58A6" w:rsidRPr="0044528D" w:rsidRDefault="002F58A6" w:rsidP="002F58A6">
      <w:pPr>
        <w:spacing w:after="0"/>
        <w:rPr>
          <w:rFonts w:ascii="Verdana" w:hAnsi="Verdana"/>
        </w:rPr>
      </w:pPr>
    </w:p>
    <w:p w14:paraId="62A3EDED" w14:textId="77777777" w:rsidR="002F58A6" w:rsidRPr="00FA01E0" w:rsidRDefault="002F58A6" w:rsidP="002F58A6">
      <w:pPr>
        <w:spacing w:after="0" w:line="276" w:lineRule="auto"/>
        <w:jc w:val="both"/>
        <w:rPr>
          <w:rFonts w:ascii="Verdana" w:eastAsia="Calibri" w:hAnsi="Verdana" w:cs="Arial"/>
          <w:lang w:val="es-ES"/>
        </w:rPr>
      </w:pPr>
    </w:p>
    <w:p w14:paraId="45EB9A9A" w14:textId="77777777" w:rsidR="002F58A6" w:rsidRPr="00514983" w:rsidRDefault="002F58A6" w:rsidP="002F58A6"/>
    <w:p w14:paraId="7A96E94C" w14:textId="77777777" w:rsidR="002F58A6" w:rsidRPr="00FF4E35" w:rsidRDefault="002F58A6" w:rsidP="002F58A6"/>
    <w:p w14:paraId="0F293BF4" w14:textId="44002311" w:rsidR="00127233" w:rsidRPr="002F58A6" w:rsidRDefault="00127233" w:rsidP="002F58A6"/>
    <w:sectPr w:rsidR="00127233" w:rsidRPr="002F58A6"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642EB" w14:textId="77777777" w:rsidR="008E716E" w:rsidRDefault="008E716E" w:rsidP="004A1847">
      <w:pPr>
        <w:spacing w:after="0" w:line="240" w:lineRule="auto"/>
      </w:pPr>
      <w:r>
        <w:separator/>
      </w:r>
    </w:p>
  </w:endnote>
  <w:endnote w:type="continuationSeparator" w:id="0">
    <w:p w14:paraId="05C8C713" w14:textId="77777777" w:rsidR="008E716E" w:rsidRDefault="008E716E" w:rsidP="004A1847">
      <w:pPr>
        <w:spacing w:after="0" w:line="240" w:lineRule="auto"/>
      </w:pPr>
      <w:r>
        <w:continuationSeparator/>
      </w:r>
    </w:p>
  </w:endnote>
  <w:endnote w:type="continuationNotice" w:id="1">
    <w:p w14:paraId="7A891365" w14:textId="77777777" w:rsidR="008E716E" w:rsidRDefault="008E71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744DA" w14:textId="77777777" w:rsidR="008E716E" w:rsidRDefault="008E716E" w:rsidP="004A1847">
      <w:pPr>
        <w:spacing w:after="0" w:line="240" w:lineRule="auto"/>
      </w:pPr>
      <w:r>
        <w:separator/>
      </w:r>
    </w:p>
  </w:footnote>
  <w:footnote w:type="continuationSeparator" w:id="0">
    <w:p w14:paraId="714E3B49" w14:textId="77777777" w:rsidR="008E716E" w:rsidRDefault="008E716E" w:rsidP="004A1847">
      <w:pPr>
        <w:spacing w:after="0" w:line="240" w:lineRule="auto"/>
      </w:pPr>
      <w:r>
        <w:continuationSeparator/>
      </w:r>
    </w:p>
  </w:footnote>
  <w:footnote w:type="continuationNotice" w:id="1">
    <w:p w14:paraId="3B84C467" w14:textId="77777777" w:rsidR="008E716E" w:rsidRDefault="008E71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9015C9"/>
    <w:multiLevelType w:val="multilevel"/>
    <w:tmpl w:val="F38C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6C82633"/>
    <w:multiLevelType w:val="hybridMultilevel"/>
    <w:tmpl w:val="55FE68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07737661">
    <w:abstractNumId w:val="9"/>
  </w:num>
  <w:num w:numId="2" w16cid:durableId="1482622682">
    <w:abstractNumId w:val="2"/>
  </w:num>
  <w:num w:numId="3" w16cid:durableId="1400712694">
    <w:abstractNumId w:val="7"/>
  </w:num>
  <w:num w:numId="4" w16cid:durableId="8661366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938071">
    <w:abstractNumId w:val="2"/>
  </w:num>
  <w:num w:numId="6" w16cid:durableId="165707628">
    <w:abstractNumId w:val="16"/>
  </w:num>
  <w:num w:numId="7" w16cid:durableId="682127426">
    <w:abstractNumId w:val="8"/>
  </w:num>
  <w:num w:numId="8" w16cid:durableId="17582755">
    <w:abstractNumId w:val="15"/>
  </w:num>
  <w:num w:numId="9" w16cid:durableId="1143737749">
    <w:abstractNumId w:val="10"/>
  </w:num>
  <w:num w:numId="10" w16cid:durableId="638803987">
    <w:abstractNumId w:val="14"/>
  </w:num>
  <w:num w:numId="11" w16cid:durableId="1924603484">
    <w:abstractNumId w:val="11"/>
  </w:num>
  <w:num w:numId="12" w16cid:durableId="2067798139">
    <w:abstractNumId w:val="1"/>
  </w:num>
  <w:num w:numId="13" w16cid:durableId="994721360">
    <w:abstractNumId w:val="6"/>
  </w:num>
  <w:num w:numId="14" w16cid:durableId="1787311161">
    <w:abstractNumId w:val="17"/>
  </w:num>
  <w:num w:numId="15" w16cid:durableId="788204386">
    <w:abstractNumId w:val="13"/>
  </w:num>
  <w:num w:numId="16" w16cid:durableId="1407803937">
    <w:abstractNumId w:val="0"/>
  </w:num>
  <w:num w:numId="17" w16cid:durableId="1219436444">
    <w:abstractNumId w:val="4"/>
  </w:num>
  <w:num w:numId="18" w16cid:durableId="1895117043">
    <w:abstractNumId w:val="5"/>
  </w:num>
  <w:num w:numId="19" w16cid:durableId="782461700">
    <w:abstractNumId w:val="12"/>
  </w:num>
  <w:num w:numId="20" w16cid:durableId="7888887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AFB"/>
    <w:rsid w:val="00046945"/>
    <w:rsid w:val="00061B2A"/>
    <w:rsid w:val="00082362"/>
    <w:rsid w:val="000A683E"/>
    <w:rsid w:val="000B19B9"/>
    <w:rsid w:val="000B72D0"/>
    <w:rsid w:val="000C4D4F"/>
    <w:rsid w:val="000D0334"/>
    <w:rsid w:val="000D5DA7"/>
    <w:rsid w:val="000D7493"/>
    <w:rsid w:val="000F6486"/>
    <w:rsid w:val="00101258"/>
    <w:rsid w:val="00116940"/>
    <w:rsid w:val="00125105"/>
    <w:rsid w:val="00127233"/>
    <w:rsid w:val="0015699B"/>
    <w:rsid w:val="001869E4"/>
    <w:rsid w:val="001A33BF"/>
    <w:rsid w:val="001A512D"/>
    <w:rsid w:val="001D44FD"/>
    <w:rsid w:val="001E4177"/>
    <w:rsid w:val="001F0B24"/>
    <w:rsid w:val="001F389E"/>
    <w:rsid w:val="001F7DC6"/>
    <w:rsid w:val="0022400B"/>
    <w:rsid w:val="002421BB"/>
    <w:rsid w:val="002424E0"/>
    <w:rsid w:val="00256775"/>
    <w:rsid w:val="0025796E"/>
    <w:rsid w:val="002707A2"/>
    <w:rsid w:val="002951A0"/>
    <w:rsid w:val="002962BC"/>
    <w:rsid w:val="002A093D"/>
    <w:rsid w:val="002A0DD0"/>
    <w:rsid w:val="002A49AC"/>
    <w:rsid w:val="002A64FD"/>
    <w:rsid w:val="002C4A92"/>
    <w:rsid w:val="002C7A84"/>
    <w:rsid w:val="002E2BF8"/>
    <w:rsid w:val="002E4FD9"/>
    <w:rsid w:val="002F58A6"/>
    <w:rsid w:val="0030657A"/>
    <w:rsid w:val="00310102"/>
    <w:rsid w:val="00322A85"/>
    <w:rsid w:val="00324168"/>
    <w:rsid w:val="00330834"/>
    <w:rsid w:val="00330E92"/>
    <w:rsid w:val="00334F0E"/>
    <w:rsid w:val="003448F4"/>
    <w:rsid w:val="00352B89"/>
    <w:rsid w:val="00374F5E"/>
    <w:rsid w:val="00377E3E"/>
    <w:rsid w:val="0038419A"/>
    <w:rsid w:val="003A0A74"/>
    <w:rsid w:val="003A779E"/>
    <w:rsid w:val="003D0F4D"/>
    <w:rsid w:val="003D5B0D"/>
    <w:rsid w:val="003E0499"/>
    <w:rsid w:val="003E4F80"/>
    <w:rsid w:val="003E6439"/>
    <w:rsid w:val="003F3941"/>
    <w:rsid w:val="00406575"/>
    <w:rsid w:val="004112E9"/>
    <w:rsid w:val="00414C74"/>
    <w:rsid w:val="0042722E"/>
    <w:rsid w:val="0044528D"/>
    <w:rsid w:val="004523A7"/>
    <w:rsid w:val="00466E39"/>
    <w:rsid w:val="00474CB1"/>
    <w:rsid w:val="004A1847"/>
    <w:rsid w:val="004A305D"/>
    <w:rsid w:val="004E179D"/>
    <w:rsid w:val="004F21C4"/>
    <w:rsid w:val="004F685F"/>
    <w:rsid w:val="005566E8"/>
    <w:rsid w:val="00574867"/>
    <w:rsid w:val="00591460"/>
    <w:rsid w:val="00593704"/>
    <w:rsid w:val="005A65E0"/>
    <w:rsid w:val="005C04B5"/>
    <w:rsid w:val="005C3777"/>
    <w:rsid w:val="005C5CDC"/>
    <w:rsid w:val="005D476C"/>
    <w:rsid w:val="005E2CAD"/>
    <w:rsid w:val="006200BF"/>
    <w:rsid w:val="006219F8"/>
    <w:rsid w:val="006302F7"/>
    <w:rsid w:val="00646B9F"/>
    <w:rsid w:val="00665D70"/>
    <w:rsid w:val="006819A9"/>
    <w:rsid w:val="00685375"/>
    <w:rsid w:val="006900D9"/>
    <w:rsid w:val="006952C2"/>
    <w:rsid w:val="007026BC"/>
    <w:rsid w:val="00706C16"/>
    <w:rsid w:val="007340C3"/>
    <w:rsid w:val="0075235A"/>
    <w:rsid w:val="00756841"/>
    <w:rsid w:val="007649AB"/>
    <w:rsid w:val="00771D0C"/>
    <w:rsid w:val="007833AC"/>
    <w:rsid w:val="007B268C"/>
    <w:rsid w:val="007B57F3"/>
    <w:rsid w:val="007B7171"/>
    <w:rsid w:val="007C0C0F"/>
    <w:rsid w:val="007C3DC2"/>
    <w:rsid w:val="007E5497"/>
    <w:rsid w:val="00806F5F"/>
    <w:rsid w:val="00820278"/>
    <w:rsid w:val="008258C9"/>
    <w:rsid w:val="00844AE9"/>
    <w:rsid w:val="00867F95"/>
    <w:rsid w:val="008763EC"/>
    <w:rsid w:val="008843B6"/>
    <w:rsid w:val="00891928"/>
    <w:rsid w:val="008A446D"/>
    <w:rsid w:val="008B25F1"/>
    <w:rsid w:val="008C0332"/>
    <w:rsid w:val="008D180B"/>
    <w:rsid w:val="008E716E"/>
    <w:rsid w:val="008F0EA7"/>
    <w:rsid w:val="00923EEF"/>
    <w:rsid w:val="0093530B"/>
    <w:rsid w:val="009419F9"/>
    <w:rsid w:val="0095685E"/>
    <w:rsid w:val="00961B09"/>
    <w:rsid w:val="00965334"/>
    <w:rsid w:val="0097093E"/>
    <w:rsid w:val="009A0DFA"/>
    <w:rsid w:val="009A1C6F"/>
    <w:rsid w:val="009B2D26"/>
    <w:rsid w:val="009C71FA"/>
    <w:rsid w:val="009C72E7"/>
    <w:rsid w:val="009C7F7E"/>
    <w:rsid w:val="009D3058"/>
    <w:rsid w:val="009F3A13"/>
    <w:rsid w:val="00A07E39"/>
    <w:rsid w:val="00A122D3"/>
    <w:rsid w:val="00A14468"/>
    <w:rsid w:val="00A17F13"/>
    <w:rsid w:val="00A20739"/>
    <w:rsid w:val="00A23AF9"/>
    <w:rsid w:val="00A33C78"/>
    <w:rsid w:val="00A538D4"/>
    <w:rsid w:val="00AB0ADB"/>
    <w:rsid w:val="00AB4596"/>
    <w:rsid w:val="00AF3D09"/>
    <w:rsid w:val="00B00C0E"/>
    <w:rsid w:val="00B01B1A"/>
    <w:rsid w:val="00B0381D"/>
    <w:rsid w:val="00B17D8A"/>
    <w:rsid w:val="00B269FE"/>
    <w:rsid w:val="00B44A47"/>
    <w:rsid w:val="00B531CC"/>
    <w:rsid w:val="00B72CD3"/>
    <w:rsid w:val="00B72FFF"/>
    <w:rsid w:val="00B8557E"/>
    <w:rsid w:val="00BB0A57"/>
    <w:rsid w:val="00BC3D36"/>
    <w:rsid w:val="00BD54A6"/>
    <w:rsid w:val="00BD7F72"/>
    <w:rsid w:val="00BF7425"/>
    <w:rsid w:val="00C04FB3"/>
    <w:rsid w:val="00C11D8B"/>
    <w:rsid w:val="00C15139"/>
    <w:rsid w:val="00C330EB"/>
    <w:rsid w:val="00C37544"/>
    <w:rsid w:val="00C50D69"/>
    <w:rsid w:val="00C5365C"/>
    <w:rsid w:val="00C754BE"/>
    <w:rsid w:val="00C76B1C"/>
    <w:rsid w:val="00C77F63"/>
    <w:rsid w:val="00C925AC"/>
    <w:rsid w:val="00CB6357"/>
    <w:rsid w:val="00CC1B26"/>
    <w:rsid w:val="00D17C64"/>
    <w:rsid w:val="00D31064"/>
    <w:rsid w:val="00D361FD"/>
    <w:rsid w:val="00D423A2"/>
    <w:rsid w:val="00D44E26"/>
    <w:rsid w:val="00D520D8"/>
    <w:rsid w:val="00D63AC2"/>
    <w:rsid w:val="00D7383B"/>
    <w:rsid w:val="00D7788A"/>
    <w:rsid w:val="00D8456D"/>
    <w:rsid w:val="00D93A19"/>
    <w:rsid w:val="00DA231B"/>
    <w:rsid w:val="00DA4966"/>
    <w:rsid w:val="00DC39FC"/>
    <w:rsid w:val="00DF5254"/>
    <w:rsid w:val="00E02524"/>
    <w:rsid w:val="00E07D5C"/>
    <w:rsid w:val="00E16408"/>
    <w:rsid w:val="00E20894"/>
    <w:rsid w:val="00E245AB"/>
    <w:rsid w:val="00E2764C"/>
    <w:rsid w:val="00E27F2E"/>
    <w:rsid w:val="00E3490A"/>
    <w:rsid w:val="00E50AFE"/>
    <w:rsid w:val="00E75C92"/>
    <w:rsid w:val="00E771DC"/>
    <w:rsid w:val="00E8772A"/>
    <w:rsid w:val="00E90F6B"/>
    <w:rsid w:val="00E92C27"/>
    <w:rsid w:val="00EA0E3D"/>
    <w:rsid w:val="00EB3A2E"/>
    <w:rsid w:val="00EC38A7"/>
    <w:rsid w:val="00EE1AA8"/>
    <w:rsid w:val="00F0274B"/>
    <w:rsid w:val="00F23FEA"/>
    <w:rsid w:val="00F31EDC"/>
    <w:rsid w:val="00F462B3"/>
    <w:rsid w:val="00F5664F"/>
    <w:rsid w:val="00F666C4"/>
    <w:rsid w:val="00F76AFC"/>
    <w:rsid w:val="00F96D3F"/>
    <w:rsid w:val="00FA47C0"/>
    <w:rsid w:val="00FB26E3"/>
    <w:rsid w:val="00FB5DD1"/>
    <w:rsid w:val="00FC2B5D"/>
    <w:rsid w:val="00FE433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D502122-C529-4A0B-91E2-8DFA99BD3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F58A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F58A6"/>
    <w:rPr>
      <w:rFonts w:ascii="Geomanist Light" w:hAnsi="Geomanist Light"/>
      <w:lang w:val="es-ES"/>
    </w:rPr>
  </w:style>
  <w:style w:type="character" w:styleId="Textoennegrita">
    <w:name w:val="Strong"/>
    <w:basedOn w:val="Fuentedeprrafopredeter"/>
    <w:uiPriority w:val="22"/>
    <w:qFormat/>
    <w:rsid w:val="004523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3134">
      <w:bodyDiv w:val="1"/>
      <w:marLeft w:val="0"/>
      <w:marRight w:val="0"/>
      <w:marTop w:val="0"/>
      <w:marBottom w:val="0"/>
      <w:divBdr>
        <w:top w:val="none" w:sz="0" w:space="0" w:color="auto"/>
        <w:left w:val="none" w:sz="0" w:space="0" w:color="auto"/>
        <w:bottom w:val="none" w:sz="0" w:space="0" w:color="auto"/>
        <w:right w:val="none" w:sz="0" w:space="0" w:color="auto"/>
      </w:divBdr>
    </w:div>
    <w:div w:id="129130574">
      <w:bodyDiv w:val="1"/>
      <w:marLeft w:val="0"/>
      <w:marRight w:val="0"/>
      <w:marTop w:val="0"/>
      <w:marBottom w:val="0"/>
      <w:divBdr>
        <w:top w:val="none" w:sz="0" w:space="0" w:color="auto"/>
        <w:left w:val="none" w:sz="0" w:space="0" w:color="auto"/>
        <w:bottom w:val="none" w:sz="0" w:space="0" w:color="auto"/>
        <w:right w:val="none" w:sz="0" w:space="0" w:color="auto"/>
      </w:divBdr>
    </w:div>
    <w:div w:id="221211503">
      <w:bodyDiv w:val="1"/>
      <w:marLeft w:val="0"/>
      <w:marRight w:val="0"/>
      <w:marTop w:val="0"/>
      <w:marBottom w:val="0"/>
      <w:divBdr>
        <w:top w:val="none" w:sz="0" w:space="0" w:color="auto"/>
        <w:left w:val="none" w:sz="0" w:space="0" w:color="auto"/>
        <w:bottom w:val="none" w:sz="0" w:space="0" w:color="auto"/>
        <w:right w:val="none" w:sz="0" w:space="0" w:color="auto"/>
      </w:divBdr>
    </w:div>
    <w:div w:id="315689749">
      <w:bodyDiv w:val="1"/>
      <w:marLeft w:val="0"/>
      <w:marRight w:val="0"/>
      <w:marTop w:val="0"/>
      <w:marBottom w:val="0"/>
      <w:divBdr>
        <w:top w:val="none" w:sz="0" w:space="0" w:color="auto"/>
        <w:left w:val="none" w:sz="0" w:space="0" w:color="auto"/>
        <w:bottom w:val="none" w:sz="0" w:space="0" w:color="auto"/>
        <w:right w:val="none" w:sz="0" w:space="0" w:color="auto"/>
      </w:divBdr>
    </w:div>
    <w:div w:id="509832982">
      <w:bodyDiv w:val="1"/>
      <w:marLeft w:val="0"/>
      <w:marRight w:val="0"/>
      <w:marTop w:val="0"/>
      <w:marBottom w:val="0"/>
      <w:divBdr>
        <w:top w:val="none" w:sz="0" w:space="0" w:color="auto"/>
        <w:left w:val="none" w:sz="0" w:space="0" w:color="auto"/>
        <w:bottom w:val="none" w:sz="0" w:space="0" w:color="auto"/>
        <w:right w:val="none" w:sz="0" w:space="0" w:color="auto"/>
      </w:divBdr>
    </w:div>
    <w:div w:id="521751014">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50980783">
      <w:bodyDiv w:val="1"/>
      <w:marLeft w:val="0"/>
      <w:marRight w:val="0"/>
      <w:marTop w:val="0"/>
      <w:marBottom w:val="0"/>
      <w:divBdr>
        <w:top w:val="none" w:sz="0" w:space="0" w:color="auto"/>
        <w:left w:val="none" w:sz="0" w:space="0" w:color="auto"/>
        <w:bottom w:val="none" w:sz="0" w:space="0" w:color="auto"/>
        <w:right w:val="none" w:sz="0" w:space="0" w:color="auto"/>
      </w:divBdr>
      <w:divsChild>
        <w:div w:id="487133599">
          <w:marLeft w:val="0"/>
          <w:marRight w:val="0"/>
          <w:marTop w:val="0"/>
          <w:marBottom w:val="0"/>
          <w:divBdr>
            <w:top w:val="none" w:sz="0" w:space="0" w:color="auto"/>
            <w:left w:val="none" w:sz="0" w:space="0" w:color="auto"/>
            <w:bottom w:val="none" w:sz="0" w:space="0" w:color="auto"/>
            <w:right w:val="none" w:sz="0" w:space="0" w:color="auto"/>
          </w:divBdr>
          <w:divsChild>
            <w:div w:id="281427663">
              <w:marLeft w:val="0"/>
              <w:marRight w:val="0"/>
              <w:marTop w:val="0"/>
              <w:marBottom w:val="0"/>
              <w:divBdr>
                <w:top w:val="none" w:sz="0" w:space="0" w:color="auto"/>
                <w:left w:val="none" w:sz="0" w:space="0" w:color="auto"/>
                <w:bottom w:val="none" w:sz="0" w:space="0" w:color="auto"/>
                <w:right w:val="none" w:sz="0" w:space="0" w:color="auto"/>
              </w:divBdr>
              <w:divsChild>
                <w:div w:id="1543665061">
                  <w:marLeft w:val="0"/>
                  <w:marRight w:val="0"/>
                  <w:marTop w:val="0"/>
                  <w:marBottom w:val="0"/>
                  <w:divBdr>
                    <w:top w:val="none" w:sz="0" w:space="0" w:color="auto"/>
                    <w:left w:val="none" w:sz="0" w:space="0" w:color="auto"/>
                    <w:bottom w:val="none" w:sz="0" w:space="0" w:color="auto"/>
                    <w:right w:val="none" w:sz="0" w:space="0" w:color="auto"/>
                  </w:divBdr>
                  <w:divsChild>
                    <w:div w:id="882981874">
                      <w:marLeft w:val="0"/>
                      <w:marRight w:val="0"/>
                      <w:marTop w:val="0"/>
                      <w:marBottom w:val="0"/>
                      <w:divBdr>
                        <w:top w:val="none" w:sz="0" w:space="0" w:color="auto"/>
                        <w:left w:val="none" w:sz="0" w:space="0" w:color="auto"/>
                        <w:bottom w:val="none" w:sz="0" w:space="0" w:color="auto"/>
                        <w:right w:val="none" w:sz="0" w:space="0" w:color="auto"/>
                      </w:divBdr>
                      <w:divsChild>
                        <w:div w:id="1012269534">
                          <w:marLeft w:val="0"/>
                          <w:marRight w:val="0"/>
                          <w:marTop w:val="0"/>
                          <w:marBottom w:val="0"/>
                          <w:divBdr>
                            <w:top w:val="none" w:sz="0" w:space="0" w:color="auto"/>
                            <w:left w:val="none" w:sz="0" w:space="0" w:color="auto"/>
                            <w:bottom w:val="none" w:sz="0" w:space="0" w:color="auto"/>
                            <w:right w:val="none" w:sz="0" w:space="0" w:color="auto"/>
                          </w:divBdr>
                          <w:divsChild>
                            <w:div w:id="909581152">
                              <w:marLeft w:val="0"/>
                              <w:marRight w:val="0"/>
                              <w:marTop w:val="0"/>
                              <w:marBottom w:val="0"/>
                              <w:divBdr>
                                <w:top w:val="none" w:sz="0" w:space="0" w:color="auto"/>
                                <w:left w:val="none" w:sz="0" w:space="0" w:color="auto"/>
                                <w:bottom w:val="none" w:sz="0" w:space="0" w:color="auto"/>
                                <w:right w:val="none" w:sz="0" w:space="0" w:color="auto"/>
                              </w:divBdr>
                              <w:divsChild>
                                <w:div w:id="939490154">
                                  <w:marLeft w:val="0"/>
                                  <w:marRight w:val="0"/>
                                  <w:marTop w:val="0"/>
                                  <w:marBottom w:val="0"/>
                                  <w:divBdr>
                                    <w:top w:val="none" w:sz="0" w:space="0" w:color="auto"/>
                                    <w:left w:val="none" w:sz="0" w:space="0" w:color="auto"/>
                                    <w:bottom w:val="none" w:sz="0" w:space="0" w:color="auto"/>
                                    <w:right w:val="none" w:sz="0" w:space="0" w:color="auto"/>
                                  </w:divBdr>
                                  <w:divsChild>
                                    <w:div w:id="129787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8892491">
                  <w:marLeft w:val="0"/>
                  <w:marRight w:val="0"/>
                  <w:marTop w:val="0"/>
                  <w:marBottom w:val="0"/>
                  <w:divBdr>
                    <w:top w:val="none" w:sz="0" w:space="0" w:color="auto"/>
                    <w:left w:val="none" w:sz="0" w:space="0" w:color="auto"/>
                    <w:bottom w:val="none" w:sz="0" w:space="0" w:color="auto"/>
                    <w:right w:val="none" w:sz="0" w:space="0" w:color="auto"/>
                  </w:divBdr>
                  <w:divsChild>
                    <w:div w:id="887306673">
                      <w:marLeft w:val="0"/>
                      <w:marRight w:val="0"/>
                      <w:marTop w:val="0"/>
                      <w:marBottom w:val="0"/>
                      <w:divBdr>
                        <w:top w:val="none" w:sz="0" w:space="0" w:color="auto"/>
                        <w:left w:val="none" w:sz="0" w:space="0" w:color="auto"/>
                        <w:bottom w:val="none" w:sz="0" w:space="0" w:color="auto"/>
                        <w:right w:val="none" w:sz="0" w:space="0" w:color="auto"/>
                      </w:divBdr>
                      <w:divsChild>
                        <w:div w:id="1799689539">
                          <w:marLeft w:val="0"/>
                          <w:marRight w:val="0"/>
                          <w:marTop w:val="0"/>
                          <w:marBottom w:val="0"/>
                          <w:divBdr>
                            <w:top w:val="none" w:sz="0" w:space="0" w:color="auto"/>
                            <w:left w:val="none" w:sz="0" w:space="0" w:color="auto"/>
                            <w:bottom w:val="none" w:sz="0" w:space="0" w:color="auto"/>
                            <w:right w:val="none" w:sz="0" w:space="0" w:color="auto"/>
                          </w:divBdr>
                          <w:divsChild>
                            <w:div w:id="948201652">
                              <w:marLeft w:val="0"/>
                              <w:marRight w:val="0"/>
                              <w:marTop w:val="0"/>
                              <w:marBottom w:val="0"/>
                              <w:divBdr>
                                <w:top w:val="none" w:sz="0" w:space="0" w:color="auto"/>
                                <w:left w:val="none" w:sz="0" w:space="0" w:color="auto"/>
                                <w:bottom w:val="none" w:sz="0" w:space="0" w:color="auto"/>
                                <w:right w:val="none" w:sz="0" w:space="0" w:color="auto"/>
                              </w:divBdr>
                              <w:divsChild>
                                <w:div w:id="194464825">
                                  <w:marLeft w:val="0"/>
                                  <w:marRight w:val="0"/>
                                  <w:marTop w:val="0"/>
                                  <w:marBottom w:val="0"/>
                                  <w:divBdr>
                                    <w:top w:val="none" w:sz="0" w:space="0" w:color="auto"/>
                                    <w:left w:val="none" w:sz="0" w:space="0" w:color="auto"/>
                                    <w:bottom w:val="none" w:sz="0" w:space="0" w:color="auto"/>
                                    <w:right w:val="none" w:sz="0" w:space="0" w:color="auto"/>
                                  </w:divBdr>
                                  <w:divsChild>
                                    <w:div w:id="606960592">
                                      <w:marLeft w:val="0"/>
                                      <w:marRight w:val="0"/>
                                      <w:marTop w:val="0"/>
                                      <w:marBottom w:val="0"/>
                                      <w:divBdr>
                                        <w:top w:val="none" w:sz="0" w:space="0" w:color="auto"/>
                                        <w:left w:val="none" w:sz="0" w:space="0" w:color="auto"/>
                                        <w:bottom w:val="none" w:sz="0" w:space="0" w:color="auto"/>
                                        <w:right w:val="none" w:sz="0" w:space="0" w:color="auto"/>
                                      </w:divBdr>
                                      <w:divsChild>
                                        <w:div w:id="185194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891638">
                  <w:marLeft w:val="0"/>
                  <w:marRight w:val="0"/>
                  <w:marTop w:val="0"/>
                  <w:marBottom w:val="0"/>
                  <w:divBdr>
                    <w:top w:val="none" w:sz="0" w:space="0" w:color="auto"/>
                    <w:left w:val="none" w:sz="0" w:space="0" w:color="auto"/>
                    <w:bottom w:val="none" w:sz="0" w:space="0" w:color="auto"/>
                    <w:right w:val="none" w:sz="0" w:space="0" w:color="auto"/>
                  </w:divBdr>
                  <w:divsChild>
                    <w:div w:id="1627731646">
                      <w:marLeft w:val="0"/>
                      <w:marRight w:val="0"/>
                      <w:marTop w:val="0"/>
                      <w:marBottom w:val="0"/>
                      <w:divBdr>
                        <w:top w:val="none" w:sz="0" w:space="0" w:color="auto"/>
                        <w:left w:val="none" w:sz="0" w:space="0" w:color="auto"/>
                        <w:bottom w:val="none" w:sz="0" w:space="0" w:color="auto"/>
                        <w:right w:val="none" w:sz="0" w:space="0" w:color="auto"/>
                      </w:divBdr>
                      <w:divsChild>
                        <w:div w:id="1490901303">
                          <w:marLeft w:val="0"/>
                          <w:marRight w:val="0"/>
                          <w:marTop w:val="0"/>
                          <w:marBottom w:val="0"/>
                          <w:divBdr>
                            <w:top w:val="none" w:sz="0" w:space="0" w:color="auto"/>
                            <w:left w:val="none" w:sz="0" w:space="0" w:color="auto"/>
                            <w:bottom w:val="none" w:sz="0" w:space="0" w:color="auto"/>
                            <w:right w:val="none" w:sz="0" w:space="0" w:color="auto"/>
                          </w:divBdr>
                          <w:divsChild>
                            <w:div w:id="836460459">
                              <w:marLeft w:val="0"/>
                              <w:marRight w:val="0"/>
                              <w:marTop w:val="0"/>
                              <w:marBottom w:val="0"/>
                              <w:divBdr>
                                <w:top w:val="none" w:sz="0" w:space="0" w:color="auto"/>
                                <w:left w:val="none" w:sz="0" w:space="0" w:color="auto"/>
                                <w:bottom w:val="none" w:sz="0" w:space="0" w:color="auto"/>
                                <w:right w:val="none" w:sz="0" w:space="0" w:color="auto"/>
                              </w:divBdr>
                              <w:divsChild>
                                <w:div w:id="1805612885">
                                  <w:marLeft w:val="0"/>
                                  <w:marRight w:val="0"/>
                                  <w:marTop w:val="0"/>
                                  <w:marBottom w:val="0"/>
                                  <w:divBdr>
                                    <w:top w:val="none" w:sz="0" w:space="0" w:color="auto"/>
                                    <w:left w:val="none" w:sz="0" w:space="0" w:color="auto"/>
                                    <w:bottom w:val="none" w:sz="0" w:space="0" w:color="auto"/>
                                    <w:right w:val="none" w:sz="0" w:space="0" w:color="auto"/>
                                  </w:divBdr>
                                  <w:divsChild>
                                    <w:div w:id="56715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167449">
                          <w:marLeft w:val="0"/>
                          <w:marRight w:val="0"/>
                          <w:marTop w:val="0"/>
                          <w:marBottom w:val="0"/>
                          <w:divBdr>
                            <w:top w:val="none" w:sz="0" w:space="0" w:color="auto"/>
                            <w:left w:val="none" w:sz="0" w:space="0" w:color="auto"/>
                            <w:bottom w:val="none" w:sz="0" w:space="0" w:color="auto"/>
                            <w:right w:val="none" w:sz="0" w:space="0" w:color="auto"/>
                          </w:divBdr>
                          <w:divsChild>
                            <w:div w:id="630482808">
                              <w:marLeft w:val="0"/>
                              <w:marRight w:val="0"/>
                              <w:marTop w:val="0"/>
                              <w:marBottom w:val="0"/>
                              <w:divBdr>
                                <w:top w:val="none" w:sz="0" w:space="0" w:color="auto"/>
                                <w:left w:val="none" w:sz="0" w:space="0" w:color="auto"/>
                                <w:bottom w:val="none" w:sz="0" w:space="0" w:color="auto"/>
                                <w:right w:val="none" w:sz="0" w:space="0" w:color="auto"/>
                              </w:divBdr>
                              <w:divsChild>
                                <w:div w:id="1773935525">
                                  <w:marLeft w:val="0"/>
                                  <w:marRight w:val="0"/>
                                  <w:marTop w:val="0"/>
                                  <w:marBottom w:val="0"/>
                                  <w:divBdr>
                                    <w:top w:val="none" w:sz="0" w:space="0" w:color="auto"/>
                                    <w:left w:val="none" w:sz="0" w:space="0" w:color="auto"/>
                                    <w:bottom w:val="none" w:sz="0" w:space="0" w:color="auto"/>
                                    <w:right w:val="none" w:sz="0" w:space="0" w:color="auto"/>
                                  </w:divBdr>
                                  <w:divsChild>
                                    <w:div w:id="157965705">
                                      <w:marLeft w:val="0"/>
                                      <w:marRight w:val="0"/>
                                      <w:marTop w:val="0"/>
                                      <w:marBottom w:val="0"/>
                                      <w:divBdr>
                                        <w:top w:val="none" w:sz="0" w:space="0" w:color="auto"/>
                                        <w:left w:val="none" w:sz="0" w:space="0" w:color="auto"/>
                                        <w:bottom w:val="none" w:sz="0" w:space="0" w:color="auto"/>
                                        <w:right w:val="none" w:sz="0" w:space="0" w:color="auto"/>
                                      </w:divBdr>
                                      <w:divsChild>
                                        <w:div w:id="5905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3560653">
          <w:marLeft w:val="0"/>
          <w:marRight w:val="0"/>
          <w:marTop w:val="0"/>
          <w:marBottom w:val="0"/>
          <w:divBdr>
            <w:top w:val="none" w:sz="0" w:space="0" w:color="auto"/>
            <w:left w:val="none" w:sz="0" w:space="0" w:color="auto"/>
            <w:bottom w:val="none" w:sz="0" w:space="0" w:color="auto"/>
            <w:right w:val="none" w:sz="0" w:space="0" w:color="auto"/>
          </w:divBdr>
          <w:divsChild>
            <w:div w:id="1614825941">
              <w:marLeft w:val="0"/>
              <w:marRight w:val="0"/>
              <w:marTop w:val="0"/>
              <w:marBottom w:val="0"/>
              <w:divBdr>
                <w:top w:val="none" w:sz="0" w:space="0" w:color="auto"/>
                <w:left w:val="none" w:sz="0" w:space="0" w:color="auto"/>
                <w:bottom w:val="none" w:sz="0" w:space="0" w:color="auto"/>
                <w:right w:val="none" w:sz="0" w:space="0" w:color="auto"/>
              </w:divBdr>
              <w:divsChild>
                <w:div w:id="4016833">
                  <w:marLeft w:val="0"/>
                  <w:marRight w:val="0"/>
                  <w:marTop w:val="0"/>
                  <w:marBottom w:val="0"/>
                  <w:divBdr>
                    <w:top w:val="none" w:sz="0" w:space="0" w:color="auto"/>
                    <w:left w:val="none" w:sz="0" w:space="0" w:color="auto"/>
                    <w:bottom w:val="none" w:sz="0" w:space="0" w:color="auto"/>
                    <w:right w:val="none" w:sz="0" w:space="0" w:color="auto"/>
                  </w:divBdr>
                  <w:divsChild>
                    <w:div w:id="447431731">
                      <w:marLeft w:val="0"/>
                      <w:marRight w:val="0"/>
                      <w:marTop w:val="0"/>
                      <w:marBottom w:val="0"/>
                      <w:divBdr>
                        <w:top w:val="none" w:sz="0" w:space="0" w:color="auto"/>
                        <w:left w:val="none" w:sz="0" w:space="0" w:color="auto"/>
                        <w:bottom w:val="none" w:sz="0" w:space="0" w:color="auto"/>
                        <w:right w:val="none" w:sz="0" w:space="0" w:color="auto"/>
                      </w:divBdr>
                      <w:divsChild>
                        <w:div w:id="27193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4614073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549415752">
      <w:bodyDiv w:val="1"/>
      <w:marLeft w:val="0"/>
      <w:marRight w:val="0"/>
      <w:marTop w:val="0"/>
      <w:marBottom w:val="0"/>
      <w:divBdr>
        <w:top w:val="none" w:sz="0" w:space="0" w:color="auto"/>
        <w:left w:val="none" w:sz="0" w:space="0" w:color="auto"/>
        <w:bottom w:val="none" w:sz="0" w:space="0" w:color="auto"/>
        <w:right w:val="none" w:sz="0" w:space="0" w:color="auto"/>
      </w:divBdr>
      <w:divsChild>
        <w:div w:id="1763718731">
          <w:marLeft w:val="0"/>
          <w:marRight w:val="0"/>
          <w:marTop w:val="0"/>
          <w:marBottom w:val="0"/>
          <w:divBdr>
            <w:top w:val="none" w:sz="0" w:space="0" w:color="auto"/>
            <w:left w:val="none" w:sz="0" w:space="0" w:color="auto"/>
            <w:bottom w:val="none" w:sz="0" w:space="0" w:color="auto"/>
            <w:right w:val="none" w:sz="0" w:space="0" w:color="auto"/>
          </w:divBdr>
          <w:divsChild>
            <w:div w:id="767122464">
              <w:marLeft w:val="0"/>
              <w:marRight w:val="0"/>
              <w:marTop w:val="0"/>
              <w:marBottom w:val="0"/>
              <w:divBdr>
                <w:top w:val="none" w:sz="0" w:space="0" w:color="auto"/>
                <w:left w:val="none" w:sz="0" w:space="0" w:color="auto"/>
                <w:bottom w:val="none" w:sz="0" w:space="0" w:color="auto"/>
                <w:right w:val="none" w:sz="0" w:space="0" w:color="auto"/>
              </w:divBdr>
              <w:divsChild>
                <w:div w:id="149253472">
                  <w:marLeft w:val="0"/>
                  <w:marRight w:val="0"/>
                  <w:marTop w:val="0"/>
                  <w:marBottom w:val="0"/>
                  <w:divBdr>
                    <w:top w:val="none" w:sz="0" w:space="0" w:color="auto"/>
                    <w:left w:val="none" w:sz="0" w:space="0" w:color="auto"/>
                    <w:bottom w:val="none" w:sz="0" w:space="0" w:color="auto"/>
                    <w:right w:val="none" w:sz="0" w:space="0" w:color="auto"/>
                  </w:divBdr>
                  <w:divsChild>
                    <w:div w:id="402946046">
                      <w:marLeft w:val="0"/>
                      <w:marRight w:val="0"/>
                      <w:marTop w:val="0"/>
                      <w:marBottom w:val="0"/>
                      <w:divBdr>
                        <w:top w:val="none" w:sz="0" w:space="0" w:color="auto"/>
                        <w:left w:val="none" w:sz="0" w:space="0" w:color="auto"/>
                        <w:bottom w:val="none" w:sz="0" w:space="0" w:color="auto"/>
                        <w:right w:val="none" w:sz="0" w:space="0" w:color="auto"/>
                      </w:divBdr>
                      <w:divsChild>
                        <w:div w:id="1152255634">
                          <w:marLeft w:val="0"/>
                          <w:marRight w:val="0"/>
                          <w:marTop w:val="0"/>
                          <w:marBottom w:val="0"/>
                          <w:divBdr>
                            <w:top w:val="none" w:sz="0" w:space="0" w:color="auto"/>
                            <w:left w:val="none" w:sz="0" w:space="0" w:color="auto"/>
                            <w:bottom w:val="none" w:sz="0" w:space="0" w:color="auto"/>
                            <w:right w:val="none" w:sz="0" w:space="0" w:color="auto"/>
                          </w:divBdr>
                          <w:divsChild>
                            <w:div w:id="32578737">
                              <w:marLeft w:val="0"/>
                              <w:marRight w:val="0"/>
                              <w:marTop w:val="0"/>
                              <w:marBottom w:val="0"/>
                              <w:divBdr>
                                <w:top w:val="none" w:sz="0" w:space="0" w:color="auto"/>
                                <w:left w:val="none" w:sz="0" w:space="0" w:color="auto"/>
                                <w:bottom w:val="none" w:sz="0" w:space="0" w:color="auto"/>
                                <w:right w:val="none" w:sz="0" w:space="0" w:color="auto"/>
                              </w:divBdr>
                              <w:divsChild>
                                <w:div w:id="2118476894">
                                  <w:marLeft w:val="0"/>
                                  <w:marRight w:val="0"/>
                                  <w:marTop w:val="0"/>
                                  <w:marBottom w:val="0"/>
                                  <w:divBdr>
                                    <w:top w:val="none" w:sz="0" w:space="0" w:color="auto"/>
                                    <w:left w:val="none" w:sz="0" w:space="0" w:color="auto"/>
                                    <w:bottom w:val="none" w:sz="0" w:space="0" w:color="auto"/>
                                    <w:right w:val="none" w:sz="0" w:space="0" w:color="auto"/>
                                  </w:divBdr>
                                  <w:divsChild>
                                    <w:div w:id="190771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1493652">
                  <w:marLeft w:val="0"/>
                  <w:marRight w:val="0"/>
                  <w:marTop w:val="0"/>
                  <w:marBottom w:val="0"/>
                  <w:divBdr>
                    <w:top w:val="none" w:sz="0" w:space="0" w:color="auto"/>
                    <w:left w:val="none" w:sz="0" w:space="0" w:color="auto"/>
                    <w:bottom w:val="none" w:sz="0" w:space="0" w:color="auto"/>
                    <w:right w:val="none" w:sz="0" w:space="0" w:color="auto"/>
                  </w:divBdr>
                  <w:divsChild>
                    <w:div w:id="1604262503">
                      <w:marLeft w:val="0"/>
                      <w:marRight w:val="0"/>
                      <w:marTop w:val="0"/>
                      <w:marBottom w:val="0"/>
                      <w:divBdr>
                        <w:top w:val="none" w:sz="0" w:space="0" w:color="auto"/>
                        <w:left w:val="none" w:sz="0" w:space="0" w:color="auto"/>
                        <w:bottom w:val="none" w:sz="0" w:space="0" w:color="auto"/>
                        <w:right w:val="none" w:sz="0" w:space="0" w:color="auto"/>
                      </w:divBdr>
                      <w:divsChild>
                        <w:div w:id="1407721717">
                          <w:marLeft w:val="0"/>
                          <w:marRight w:val="0"/>
                          <w:marTop w:val="0"/>
                          <w:marBottom w:val="0"/>
                          <w:divBdr>
                            <w:top w:val="none" w:sz="0" w:space="0" w:color="auto"/>
                            <w:left w:val="none" w:sz="0" w:space="0" w:color="auto"/>
                            <w:bottom w:val="none" w:sz="0" w:space="0" w:color="auto"/>
                            <w:right w:val="none" w:sz="0" w:space="0" w:color="auto"/>
                          </w:divBdr>
                          <w:divsChild>
                            <w:div w:id="555628987">
                              <w:marLeft w:val="0"/>
                              <w:marRight w:val="0"/>
                              <w:marTop w:val="0"/>
                              <w:marBottom w:val="0"/>
                              <w:divBdr>
                                <w:top w:val="none" w:sz="0" w:space="0" w:color="auto"/>
                                <w:left w:val="none" w:sz="0" w:space="0" w:color="auto"/>
                                <w:bottom w:val="none" w:sz="0" w:space="0" w:color="auto"/>
                                <w:right w:val="none" w:sz="0" w:space="0" w:color="auto"/>
                              </w:divBdr>
                              <w:divsChild>
                                <w:div w:id="1656644642">
                                  <w:marLeft w:val="0"/>
                                  <w:marRight w:val="0"/>
                                  <w:marTop w:val="0"/>
                                  <w:marBottom w:val="0"/>
                                  <w:divBdr>
                                    <w:top w:val="none" w:sz="0" w:space="0" w:color="auto"/>
                                    <w:left w:val="none" w:sz="0" w:space="0" w:color="auto"/>
                                    <w:bottom w:val="none" w:sz="0" w:space="0" w:color="auto"/>
                                    <w:right w:val="none" w:sz="0" w:space="0" w:color="auto"/>
                                  </w:divBdr>
                                  <w:divsChild>
                                    <w:div w:id="1473518249">
                                      <w:marLeft w:val="0"/>
                                      <w:marRight w:val="0"/>
                                      <w:marTop w:val="0"/>
                                      <w:marBottom w:val="0"/>
                                      <w:divBdr>
                                        <w:top w:val="none" w:sz="0" w:space="0" w:color="auto"/>
                                        <w:left w:val="none" w:sz="0" w:space="0" w:color="auto"/>
                                        <w:bottom w:val="none" w:sz="0" w:space="0" w:color="auto"/>
                                        <w:right w:val="none" w:sz="0" w:space="0" w:color="auto"/>
                                      </w:divBdr>
                                      <w:divsChild>
                                        <w:div w:id="89851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5744217">
                  <w:marLeft w:val="0"/>
                  <w:marRight w:val="0"/>
                  <w:marTop w:val="0"/>
                  <w:marBottom w:val="0"/>
                  <w:divBdr>
                    <w:top w:val="none" w:sz="0" w:space="0" w:color="auto"/>
                    <w:left w:val="none" w:sz="0" w:space="0" w:color="auto"/>
                    <w:bottom w:val="none" w:sz="0" w:space="0" w:color="auto"/>
                    <w:right w:val="none" w:sz="0" w:space="0" w:color="auto"/>
                  </w:divBdr>
                  <w:divsChild>
                    <w:div w:id="994141663">
                      <w:marLeft w:val="0"/>
                      <w:marRight w:val="0"/>
                      <w:marTop w:val="0"/>
                      <w:marBottom w:val="0"/>
                      <w:divBdr>
                        <w:top w:val="none" w:sz="0" w:space="0" w:color="auto"/>
                        <w:left w:val="none" w:sz="0" w:space="0" w:color="auto"/>
                        <w:bottom w:val="none" w:sz="0" w:space="0" w:color="auto"/>
                        <w:right w:val="none" w:sz="0" w:space="0" w:color="auto"/>
                      </w:divBdr>
                      <w:divsChild>
                        <w:div w:id="1228490903">
                          <w:marLeft w:val="0"/>
                          <w:marRight w:val="0"/>
                          <w:marTop w:val="0"/>
                          <w:marBottom w:val="0"/>
                          <w:divBdr>
                            <w:top w:val="none" w:sz="0" w:space="0" w:color="auto"/>
                            <w:left w:val="none" w:sz="0" w:space="0" w:color="auto"/>
                            <w:bottom w:val="none" w:sz="0" w:space="0" w:color="auto"/>
                            <w:right w:val="none" w:sz="0" w:space="0" w:color="auto"/>
                          </w:divBdr>
                          <w:divsChild>
                            <w:div w:id="1368291518">
                              <w:marLeft w:val="0"/>
                              <w:marRight w:val="0"/>
                              <w:marTop w:val="0"/>
                              <w:marBottom w:val="0"/>
                              <w:divBdr>
                                <w:top w:val="none" w:sz="0" w:space="0" w:color="auto"/>
                                <w:left w:val="none" w:sz="0" w:space="0" w:color="auto"/>
                                <w:bottom w:val="none" w:sz="0" w:space="0" w:color="auto"/>
                                <w:right w:val="none" w:sz="0" w:space="0" w:color="auto"/>
                              </w:divBdr>
                              <w:divsChild>
                                <w:div w:id="1921476110">
                                  <w:marLeft w:val="0"/>
                                  <w:marRight w:val="0"/>
                                  <w:marTop w:val="0"/>
                                  <w:marBottom w:val="0"/>
                                  <w:divBdr>
                                    <w:top w:val="none" w:sz="0" w:space="0" w:color="auto"/>
                                    <w:left w:val="none" w:sz="0" w:space="0" w:color="auto"/>
                                    <w:bottom w:val="none" w:sz="0" w:space="0" w:color="auto"/>
                                    <w:right w:val="none" w:sz="0" w:space="0" w:color="auto"/>
                                  </w:divBdr>
                                  <w:divsChild>
                                    <w:div w:id="194203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822295">
                          <w:marLeft w:val="0"/>
                          <w:marRight w:val="0"/>
                          <w:marTop w:val="0"/>
                          <w:marBottom w:val="0"/>
                          <w:divBdr>
                            <w:top w:val="none" w:sz="0" w:space="0" w:color="auto"/>
                            <w:left w:val="none" w:sz="0" w:space="0" w:color="auto"/>
                            <w:bottom w:val="none" w:sz="0" w:space="0" w:color="auto"/>
                            <w:right w:val="none" w:sz="0" w:space="0" w:color="auto"/>
                          </w:divBdr>
                          <w:divsChild>
                            <w:div w:id="803038431">
                              <w:marLeft w:val="0"/>
                              <w:marRight w:val="0"/>
                              <w:marTop w:val="0"/>
                              <w:marBottom w:val="0"/>
                              <w:divBdr>
                                <w:top w:val="none" w:sz="0" w:space="0" w:color="auto"/>
                                <w:left w:val="none" w:sz="0" w:space="0" w:color="auto"/>
                                <w:bottom w:val="none" w:sz="0" w:space="0" w:color="auto"/>
                                <w:right w:val="none" w:sz="0" w:space="0" w:color="auto"/>
                              </w:divBdr>
                              <w:divsChild>
                                <w:div w:id="1227105477">
                                  <w:marLeft w:val="0"/>
                                  <w:marRight w:val="0"/>
                                  <w:marTop w:val="0"/>
                                  <w:marBottom w:val="0"/>
                                  <w:divBdr>
                                    <w:top w:val="none" w:sz="0" w:space="0" w:color="auto"/>
                                    <w:left w:val="none" w:sz="0" w:space="0" w:color="auto"/>
                                    <w:bottom w:val="none" w:sz="0" w:space="0" w:color="auto"/>
                                    <w:right w:val="none" w:sz="0" w:space="0" w:color="auto"/>
                                  </w:divBdr>
                                  <w:divsChild>
                                    <w:div w:id="2089881192">
                                      <w:marLeft w:val="0"/>
                                      <w:marRight w:val="0"/>
                                      <w:marTop w:val="0"/>
                                      <w:marBottom w:val="0"/>
                                      <w:divBdr>
                                        <w:top w:val="none" w:sz="0" w:space="0" w:color="auto"/>
                                        <w:left w:val="none" w:sz="0" w:space="0" w:color="auto"/>
                                        <w:bottom w:val="none" w:sz="0" w:space="0" w:color="auto"/>
                                        <w:right w:val="none" w:sz="0" w:space="0" w:color="auto"/>
                                      </w:divBdr>
                                      <w:divsChild>
                                        <w:div w:id="176869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6938422">
          <w:marLeft w:val="0"/>
          <w:marRight w:val="0"/>
          <w:marTop w:val="0"/>
          <w:marBottom w:val="0"/>
          <w:divBdr>
            <w:top w:val="none" w:sz="0" w:space="0" w:color="auto"/>
            <w:left w:val="none" w:sz="0" w:space="0" w:color="auto"/>
            <w:bottom w:val="none" w:sz="0" w:space="0" w:color="auto"/>
            <w:right w:val="none" w:sz="0" w:space="0" w:color="auto"/>
          </w:divBdr>
          <w:divsChild>
            <w:div w:id="1953439857">
              <w:marLeft w:val="0"/>
              <w:marRight w:val="0"/>
              <w:marTop w:val="0"/>
              <w:marBottom w:val="0"/>
              <w:divBdr>
                <w:top w:val="none" w:sz="0" w:space="0" w:color="auto"/>
                <w:left w:val="none" w:sz="0" w:space="0" w:color="auto"/>
                <w:bottom w:val="none" w:sz="0" w:space="0" w:color="auto"/>
                <w:right w:val="none" w:sz="0" w:space="0" w:color="auto"/>
              </w:divBdr>
              <w:divsChild>
                <w:div w:id="1880044864">
                  <w:marLeft w:val="0"/>
                  <w:marRight w:val="0"/>
                  <w:marTop w:val="0"/>
                  <w:marBottom w:val="0"/>
                  <w:divBdr>
                    <w:top w:val="none" w:sz="0" w:space="0" w:color="auto"/>
                    <w:left w:val="none" w:sz="0" w:space="0" w:color="auto"/>
                    <w:bottom w:val="none" w:sz="0" w:space="0" w:color="auto"/>
                    <w:right w:val="none" w:sz="0" w:space="0" w:color="auto"/>
                  </w:divBdr>
                  <w:divsChild>
                    <w:div w:id="202376389">
                      <w:marLeft w:val="0"/>
                      <w:marRight w:val="0"/>
                      <w:marTop w:val="0"/>
                      <w:marBottom w:val="0"/>
                      <w:divBdr>
                        <w:top w:val="none" w:sz="0" w:space="0" w:color="auto"/>
                        <w:left w:val="none" w:sz="0" w:space="0" w:color="auto"/>
                        <w:bottom w:val="none" w:sz="0" w:space="0" w:color="auto"/>
                        <w:right w:val="none" w:sz="0" w:space="0" w:color="auto"/>
                      </w:divBdr>
                      <w:divsChild>
                        <w:div w:id="200096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1172962">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guia_para_promover_la_participacion_de_las_mipymes_en_los_procesos_de_compra_publica_cce-gad-gi-26_1.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ontactenos@desarrolloeconomico.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hoyos@acopiatlantico.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wp-content/uploads/2025/08/Circular-Externa-005-conjunta-Ley-Emprendimiento-MINCIT-AGENCIA-RV-VF-1-1-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01D5FB13-5217-4104-B8AC-FC5D778D0E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67</TotalTime>
  <Pages>13</Pages>
  <Words>3960</Words>
  <Characters>22615</Characters>
  <Application>Microsoft Office Word</Application>
  <DocSecurity>0</DocSecurity>
  <Lines>481</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26470</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5439609</vt:i4>
      </vt:variant>
      <vt:variant>
        <vt:i4>0</vt:i4>
      </vt:variant>
      <vt:variant>
        <vt:i4>0</vt:i4>
      </vt:variant>
      <vt:variant>
        <vt:i4>5</vt:i4>
      </vt:variant>
      <vt:variant>
        <vt:lpwstr>mailto:driverab@cendoj.ramajudicial.gov.co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2023-01-10T18:18:00Z</cp:lastPrinted>
  <dcterms:created xsi:type="dcterms:W3CDTF">2025-12-18T18:51:00Z</dcterms:created>
  <dcterms:modified xsi:type="dcterms:W3CDTF">2025-12-24T15:45:00Z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