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58B5E" w14:textId="77777777" w:rsidR="003901E9" w:rsidRDefault="003901E9" w:rsidP="003901E9">
      <w:pPr>
        <w:jc w:val="both"/>
        <w:rPr>
          <w:rFonts w:ascii="Verdana" w:eastAsia="Calibri" w:hAnsi="Verdana" w:cs="Arial"/>
          <w:b/>
          <w:bCs/>
          <w:lang w:val="es-ES"/>
        </w:rPr>
      </w:pPr>
      <w:bookmarkStart w:id="0" w:name="_Hlk143780582"/>
      <w:bookmarkStart w:id="1" w:name="_Hlk214366482"/>
      <w:bookmarkStart w:id="2" w:name="_Hlk217901003"/>
      <w:r w:rsidRPr="003901E9">
        <w:rPr>
          <w:rFonts w:ascii="Verdana" w:eastAsia="Calibri" w:hAnsi="Verdana" w:cs="Arial"/>
          <w:b/>
          <w:bCs/>
          <w:lang w:val="es-ES"/>
        </w:rPr>
        <w:t xml:space="preserve">INHABILIDADES E INCOMPATIBILIDADES – Alcance - Restricciones </w:t>
      </w:r>
    </w:p>
    <w:p w14:paraId="0D0CB660" w14:textId="77777777" w:rsidR="002903C5" w:rsidRDefault="003901E9" w:rsidP="002903C5">
      <w:pPr>
        <w:pStyle w:val="Sinespaciado"/>
        <w:jc w:val="both"/>
        <w:rPr>
          <w:rFonts w:ascii="Verdana" w:hAnsi="Verdana" w:cs="Arial"/>
          <w:sz w:val="20"/>
          <w:szCs w:val="20"/>
        </w:rPr>
      </w:pPr>
      <w:r w:rsidRPr="003901E9">
        <w:rPr>
          <w:rFonts w:ascii="Verdana" w:hAnsi="Verdana" w:cs="Arial"/>
          <w:sz w:val="20"/>
          <w:szCs w:val="20"/>
        </w:rPr>
        <w:t xml:space="preserve">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w:t>
      </w:r>
    </w:p>
    <w:p w14:paraId="67CCECFD" w14:textId="77777777" w:rsidR="002903C5" w:rsidRDefault="002903C5" w:rsidP="002903C5">
      <w:pPr>
        <w:pStyle w:val="Sinespaciado"/>
        <w:jc w:val="both"/>
        <w:rPr>
          <w:rFonts w:ascii="Verdana" w:hAnsi="Verdana" w:cs="Arial"/>
          <w:sz w:val="20"/>
          <w:szCs w:val="20"/>
        </w:rPr>
      </w:pPr>
    </w:p>
    <w:p w14:paraId="62BCF5FF" w14:textId="3BBD4A01" w:rsidR="002903C5" w:rsidRPr="002903C5" w:rsidRDefault="002903C5" w:rsidP="002903C5">
      <w:pPr>
        <w:pStyle w:val="Sinespaciado"/>
        <w:jc w:val="both"/>
        <w:rPr>
          <w:rFonts w:ascii="Verdana" w:hAnsi="Verdana" w:cs="Arial"/>
          <w:sz w:val="20"/>
          <w:szCs w:val="20"/>
        </w:rPr>
      </w:pPr>
      <w:r w:rsidRPr="002903C5">
        <w:rPr>
          <w:rFonts w:ascii="Verdana" w:hAnsi="Verdana" w:cs="Arial"/>
          <w:sz w:val="20"/>
          <w:szCs w:val="20"/>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p>
    <w:p w14:paraId="15AB2BD3" w14:textId="77777777" w:rsidR="002903C5" w:rsidRPr="002903C5" w:rsidRDefault="002903C5" w:rsidP="003901E9">
      <w:pPr>
        <w:pStyle w:val="Sinespaciado"/>
        <w:jc w:val="both"/>
        <w:rPr>
          <w:rFonts w:ascii="Verdana" w:hAnsi="Verdana" w:cs="Arial"/>
          <w:sz w:val="20"/>
          <w:szCs w:val="20"/>
          <w:lang w:val="es-CO"/>
        </w:rPr>
      </w:pPr>
    </w:p>
    <w:p w14:paraId="771C34F1" w14:textId="77777777" w:rsidR="003901E9" w:rsidRDefault="003901E9" w:rsidP="003901E9">
      <w:pPr>
        <w:jc w:val="both"/>
        <w:rPr>
          <w:rFonts w:ascii="Verdana" w:eastAsia="Calibri" w:hAnsi="Verdana" w:cs="Arial"/>
          <w:b/>
          <w:bCs/>
          <w:lang w:val="es-ES"/>
        </w:rPr>
      </w:pPr>
      <w:r w:rsidRPr="003901E9">
        <w:rPr>
          <w:rFonts w:ascii="Verdana" w:eastAsia="Calibri" w:hAnsi="Verdana" w:cs="Arial"/>
          <w:b/>
          <w:bCs/>
          <w:lang w:val="es-ES"/>
        </w:rPr>
        <w:t xml:space="preserve">INHABILIDADES E INCOMPATIBILIDADES – Fuentes </w:t>
      </w:r>
    </w:p>
    <w:p w14:paraId="42B1D2CF" w14:textId="77777777" w:rsidR="00247CF3" w:rsidRDefault="002903C5" w:rsidP="00247CF3">
      <w:pPr>
        <w:spacing w:after="0" w:line="240" w:lineRule="auto"/>
        <w:jc w:val="both"/>
        <w:rPr>
          <w:rFonts w:ascii="Verdana" w:eastAsia="Calibri" w:hAnsi="Verdana" w:cs="Arial"/>
          <w:sz w:val="20"/>
          <w:szCs w:val="20"/>
          <w:lang w:val="es-ES"/>
        </w:rPr>
      </w:pPr>
      <w:r w:rsidRPr="002903C5">
        <w:rPr>
          <w:rFonts w:ascii="Verdana" w:eastAsia="Calibri" w:hAnsi="Verdana" w:cs="Arial"/>
          <w:sz w:val="20"/>
          <w:szCs w:val="20"/>
          <w:lang w:val="es-ES"/>
        </w:rPr>
        <w:t xml:space="preserve">Conviene también distinguir las fuentes de las inhabilidades, las cuales han sido clasificadas en dos (2) grupos: i) inhabilidades-sanción </w:t>
      </w:r>
      <w:proofErr w:type="spellStart"/>
      <w:r w:rsidRPr="002903C5">
        <w:rPr>
          <w:rFonts w:ascii="Verdana" w:eastAsia="Calibri" w:hAnsi="Verdana" w:cs="Arial"/>
          <w:sz w:val="20"/>
          <w:szCs w:val="20"/>
          <w:lang w:val="es-ES"/>
        </w:rPr>
        <w:t>ii</w:t>
      </w:r>
      <w:proofErr w:type="spellEnd"/>
      <w:r w:rsidRPr="002903C5">
        <w:rPr>
          <w:rFonts w:ascii="Verdana" w:eastAsia="Calibri" w:hAnsi="Verdana" w:cs="Arial"/>
          <w:sz w:val="20"/>
          <w:szCs w:val="20"/>
          <w:lang w:val="es-ES"/>
        </w:rPr>
        <w:t>) 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Pr>
          <w:rFonts w:ascii="Verdana" w:eastAsia="Calibri" w:hAnsi="Verdana" w:cs="Arial"/>
          <w:sz w:val="20"/>
          <w:szCs w:val="20"/>
          <w:lang w:val="es-ES"/>
        </w:rPr>
        <w:t>.</w:t>
      </w:r>
    </w:p>
    <w:p w14:paraId="3259A764" w14:textId="77777777" w:rsidR="00247CF3" w:rsidRDefault="00247CF3" w:rsidP="00247CF3">
      <w:pPr>
        <w:spacing w:after="0" w:line="240" w:lineRule="auto"/>
        <w:jc w:val="both"/>
        <w:rPr>
          <w:rFonts w:ascii="Verdana" w:eastAsia="Calibri" w:hAnsi="Verdana" w:cs="Arial"/>
          <w:b/>
          <w:bCs/>
          <w:lang w:val="es-ES"/>
        </w:rPr>
      </w:pPr>
    </w:p>
    <w:p w14:paraId="7FCE5AA8" w14:textId="34FEE9BC" w:rsidR="003901E9" w:rsidRDefault="003901E9" w:rsidP="00430628">
      <w:pPr>
        <w:spacing w:after="0" w:line="240" w:lineRule="auto"/>
        <w:jc w:val="both"/>
        <w:rPr>
          <w:rFonts w:ascii="Verdana" w:eastAsia="Aptos" w:hAnsi="Verdana" w:cs="Times New Roman"/>
          <w:b/>
          <w:bCs/>
          <w:shd w:val="clear" w:color="auto" w:fill="FFFFFF"/>
          <w:lang w:val="es-ES"/>
        </w:rPr>
      </w:pPr>
      <w:r w:rsidRPr="003901E9">
        <w:rPr>
          <w:rFonts w:ascii="Verdana" w:eastAsia="Calibri" w:hAnsi="Verdana" w:cs="Arial"/>
          <w:b/>
          <w:bCs/>
          <w:lang w:val="es-ES"/>
        </w:rPr>
        <w:t xml:space="preserve">INHABILIDADES E INCOMPATIBILIDADES – Interpretación restrictiva – Principio </w:t>
      </w:r>
      <w:r w:rsidRPr="003901E9">
        <w:rPr>
          <w:rFonts w:ascii="Verdana" w:eastAsia="Calibri" w:hAnsi="Verdana" w:cs="Arial"/>
          <w:b/>
          <w:bCs/>
          <w:i/>
          <w:lang w:val="es-ES"/>
        </w:rPr>
        <w:t xml:space="preserve">pro </w:t>
      </w:r>
      <w:proofErr w:type="spellStart"/>
      <w:r w:rsidRPr="003901E9">
        <w:rPr>
          <w:rFonts w:ascii="Verdana" w:eastAsia="Calibri" w:hAnsi="Verdana" w:cs="Arial"/>
          <w:b/>
          <w:bCs/>
          <w:i/>
          <w:lang w:val="es-ES"/>
        </w:rPr>
        <w:t>libertate</w:t>
      </w:r>
      <w:proofErr w:type="spellEnd"/>
      <w:r w:rsidRPr="003901E9">
        <w:rPr>
          <w:rFonts w:ascii="Verdana" w:eastAsia="Aptos" w:hAnsi="Verdana" w:cs="Times New Roman"/>
          <w:b/>
          <w:bCs/>
          <w:shd w:val="clear" w:color="auto" w:fill="FFFFFF"/>
          <w:lang w:val="es-ES"/>
        </w:rPr>
        <w:t xml:space="preserve"> </w:t>
      </w:r>
    </w:p>
    <w:p w14:paraId="13B699EA" w14:textId="77777777" w:rsidR="00430628" w:rsidRDefault="00430628" w:rsidP="00430628">
      <w:pPr>
        <w:spacing w:after="0" w:line="240" w:lineRule="auto"/>
        <w:jc w:val="both"/>
        <w:rPr>
          <w:rFonts w:ascii="Verdana" w:eastAsia="Aptos" w:hAnsi="Verdana" w:cs="Times New Roman"/>
          <w:sz w:val="20"/>
          <w:szCs w:val="20"/>
          <w:shd w:val="clear" w:color="auto" w:fill="FFFFFF"/>
          <w:lang w:val="es-ES_tradnl"/>
        </w:rPr>
      </w:pPr>
    </w:p>
    <w:p w14:paraId="2F873F00" w14:textId="006A93D9" w:rsidR="00430628" w:rsidRDefault="00247CF3" w:rsidP="00430628">
      <w:pPr>
        <w:spacing w:after="0" w:line="240" w:lineRule="auto"/>
        <w:jc w:val="both"/>
        <w:rPr>
          <w:rFonts w:ascii="Verdana" w:eastAsia="Aptos" w:hAnsi="Verdana" w:cs="Times New Roman"/>
          <w:sz w:val="20"/>
          <w:szCs w:val="20"/>
          <w:shd w:val="clear" w:color="auto" w:fill="FFFFFF"/>
          <w:lang w:val="es-ES_tradnl"/>
        </w:rPr>
      </w:pPr>
      <w:r w:rsidRPr="003C21A2">
        <w:rPr>
          <w:rFonts w:ascii="Verdana" w:eastAsia="Aptos" w:hAnsi="Verdana" w:cs="Times New Roman"/>
          <w:sz w:val="20"/>
          <w:szCs w:val="20"/>
          <w:shd w:val="clear" w:color="auto" w:fill="FFFFFF"/>
          <w:lang w:val="es-ES_tradnl"/>
        </w:rPr>
        <w:t xml:space="preserve">[…]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restrictiva, pues si se admitiera una interpretación amplia, extensiva o finalista de las 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w:t>
      </w:r>
    </w:p>
    <w:p w14:paraId="12384154" w14:textId="77777777" w:rsidR="003E2260" w:rsidRDefault="003E2260" w:rsidP="003E2260">
      <w:pPr>
        <w:spacing w:after="0" w:line="240" w:lineRule="auto"/>
        <w:jc w:val="both"/>
        <w:rPr>
          <w:rFonts w:ascii="Verdana" w:eastAsia="Aptos" w:hAnsi="Verdana" w:cs="Times New Roman"/>
          <w:sz w:val="20"/>
          <w:szCs w:val="20"/>
          <w:shd w:val="clear" w:color="auto" w:fill="FFFFFF"/>
          <w:lang w:val="es-ES_tradnl"/>
        </w:rPr>
      </w:pPr>
    </w:p>
    <w:p w14:paraId="7F238BF2" w14:textId="7FD7BB45" w:rsidR="003C21A2" w:rsidRPr="003C21A2" w:rsidRDefault="003C21A2" w:rsidP="00430628">
      <w:pPr>
        <w:spacing w:after="0" w:line="240" w:lineRule="auto"/>
        <w:jc w:val="both"/>
        <w:rPr>
          <w:rFonts w:ascii="Verdana" w:eastAsia="Aptos" w:hAnsi="Verdana" w:cs="Times New Roman"/>
          <w:sz w:val="20"/>
          <w:szCs w:val="20"/>
          <w:shd w:val="clear" w:color="auto" w:fill="FFFFFF"/>
          <w:lang w:val="es-ES_tradnl"/>
        </w:rPr>
      </w:pPr>
      <w:r w:rsidRPr="003C21A2">
        <w:rPr>
          <w:rFonts w:ascii="Verdana" w:eastAsia="Aptos" w:hAnsi="Verdana" w:cs="Times New Roman"/>
          <w:sz w:val="20"/>
          <w:szCs w:val="20"/>
          <w:shd w:val="clear" w:color="auto" w:fill="FFFFFF"/>
          <w:lang w:val="es-ES_tradnl"/>
        </w:rPr>
        <w:t xml:space="preserve">[…] </w:t>
      </w:r>
      <w:r w:rsidRPr="003C21A2">
        <w:rPr>
          <w:rFonts w:ascii="Verdana" w:eastAsia="Arial" w:hAnsi="Verdana" w:cs="Arial"/>
          <w:color w:val="000000"/>
          <w:sz w:val="20"/>
          <w:szCs w:val="20"/>
          <w:lang w:val="es-ES_tradnl"/>
        </w:rPr>
        <w:t xml:space="preserve">Como se aprecia, el principio </w:t>
      </w:r>
      <w:r w:rsidRPr="003C21A2">
        <w:rPr>
          <w:rFonts w:ascii="Verdana" w:eastAsia="Arial" w:hAnsi="Verdana" w:cs="Arial"/>
          <w:i/>
          <w:iCs/>
          <w:color w:val="000000"/>
          <w:sz w:val="20"/>
          <w:szCs w:val="20"/>
          <w:lang w:val="es-ES_tradnl"/>
        </w:rPr>
        <w:t xml:space="preserve">pro </w:t>
      </w:r>
      <w:proofErr w:type="spellStart"/>
      <w:r w:rsidRPr="003C21A2">
        <w:rPr>
          <w:rFonts w:ascii="Verdana" w:eastAsia="Arial" w:hAnsi="Verdana" w:cs="Arial"/>
          <w:i/>
          <w:iCs/>
          <w:color w:val="000000"/>
          <w:sz w:val="20"/>
          <w:szCs w:val="20"/>
          <w:lang w:val="es-ES_tradnl"/>
        </w:rPr>
        <w:t>libertate</w:t>
      </w:r>
      <w:proofErr w:type="spellEnd"/>
      <w:r w:rsidRPr="003C21A2">
        <w:rPr>
          <w:rFonts w:ascii="Verdana" w:eastAsia="Arial" w:hAnsi="Verdana" w:cs="Arial"/>
          <w:color w:val="000000"/>
          <w:sz w:val="20"/>
          <w:szCs w:val="2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3C21A2">
        <w:rPr>
          <w:rFonts w:ascii="Verdana" w:hAnsi="Verdana" w:cs="Arial"/>
          <w:color w:val="000000" w:themeColor="text1"/>
          <w:sz w:val="20"/>
          <w:szCs w:val="20"/>
        </w:rPr>
        <w:t xml:space="preserve"> Corte Constitucional ha resaltado que la competencia para determinar qué hechos o situaciones generan inhabilidades o incompatibilidades para contratar con el Estado la </w:t>
      </w:r>
      <w:r w:rsidRPr="003C21A2">
        <w:rPr>
          <w:rFonts w:ascii="Verdana" w:hAnsi="Verdana" w:cs="Arial"/>
          <w:color w:val="000000" w:themeColor="text1"/>
          <w:sz w:val="20"/>
          <w:szCs w:val="20"/>
        </w:rPr>
        <w:lastRenderedPageBreak/>
        <w:t>tiene el legislador, pues este régimen es un aspecto propio del EGCAP, cuya expedición compete al Congreso de la República, conforme al artículo 150 de la Constitución Política, y que en esta materia rige el principio de legalidad.</w:t>
      </w:r>
    </w:p>
    <w:p w14:paraId="04710E01" w14:textId="77777777" w:rsidR="00247CF3" w:rsidRPr="00247CF3" w:rsidRDefault="00247CF3" w:rsidP="00247CF3">
      <w:pPr>
        <w:spacing w:after="0" w:line="240" w:lineRule="auto"/>
        <w:jc w:val="both"/>
        <w:rPr>
          <w:rFonts w:ascii="Verdana" w:eastAsia="Calibri" w:hAnsi="Verdana" w:cs="Arial"/>
          <w:sz w:val="20"/>
          <w:szCs w:val="20"/>
          <w:lang w:val="es-ES"/>
        </w:rPr>
      </w:pPr>
    </w:p>
    <w:p w14:paraId="34803ABC" w14:textId="77777777" w:rsidR="003901E9" w:rsidRDefault="003901E9" w:rsidP="003901E9">
      <w:pPr>
        <w:jc w:val="both"/>
        <w:rPr>
          <w:rFonts w:ascii="Verdana" w:eastAsia="Aptos" w:hAnsi="Verdana" w:cs="Times New Roman"/>
          <w:b/>
          <w:bCs/>
          <w:shd w:val="clear" w:color="auto" w:fill="FFFFFF"/>
          <w:lang w:val="es-ES"/>
        </w:rPr>
      </w:pPr>
      <w:r w:rsidRPr="003901E9">
        <w:rPr>
          <w:rFonts w:ascii="Verdana" w:eastAsia="Aptos" w:hAnsi="Verdana" w:cs="Times New Roman"/>
          <w:b/>
          <w:bCs/>
          <w:shd w:val="clear" w:color="auto" w:fill="FFFFFF"/>
          <w:lang w:val="es-ES"/>
        </w:rPr>
        <w:t xml:space="preserve">INHABILIDADES E INCOMPATIBILIDADES </w:t>
      </w:r>
      <w:r w:rsidRPr="003901E9">
        <w:rPr>
          <w:rFonts w:ascii="Verdana" w:eastAsia="Calibri" w:hAnsi="Verdana" w:cs="Arial"/>
          <w:b/>
          <w:bCs/>
          <w:lang w:val="es-ES"/>
        </w:rPr>
        <w:t>–</w:t>
      </w:r>
      <w:r w:rsidRPr="003901E9">
        <w:rPr>
          <w:rFonts w:ascii="Verdana" w:eastAsia="Aptos" w:hAnsi="Verdana" w:cs="Times New Roman"/>
          <w:b/>
          <w:bCs/>
          <w:shd w:val="clear" w:color="auto" w:fill="FFFFFF"/>
          <w:lang w:val="es-ES"/>
        </w:rPr>
        <w:t xml:space="preserve"> Sobreviniente </w:t>
      </w:r>
    </w:p>
    <w:p w14:paraId="086BF4B7" w14:textId="77777777" w:rsidR="00990985" w:rsidRPr="00990985" w:rsidRDefault="00990985" w:rsidP="00990985">
      <w:pPr>
        <w:spacing w:after="0" w:line="240" w:lineRule="auto"/>
        <w:jc w:val="both"/>
        <w:rPr>
          <w:rFonts w:ascii="Verdana" w:hAnsi="Verdana" w:cs="Arial"/>
          <w:color w:val="000000" w:themeColor="text1"/>
          <w:sz w:val="20"/>
          <w:szCs w:val="20"/>
        </w:rPr>
      </w:pPr>
      <w:r w:rsidRPr="00990985">
        <w:rPr>
          <w:rFonts w:ascii="Verdana" w:hAnsi="Verdana" w:cs="Arial"/>
          <w:color w:val="000000" w:themeColor="text1"/>
          <w:sz w:val="20"/>
          <w:szCs w:val="20"/>
        </w:rPr>
        <w:t xml:space="preserve">Por otra parte, si las inhabilidades o incompatibilidades tienen carácter sobreviniente, es necesario tener en cuenta que el ordenamiento jurídico trata de manera distinta al oferente, al adjudicatario y al contratista. </w:t>
      </w:r>
      <w:r w:rsidRPr="00990985">
        <w:rPr>
          <w:rFonts w:ascii="Verdana" w:hAnsi="Verdana" w:cs="Arial"/>
          <w:i/>
          <w:iCs/>
          <w:color w:val="000000" w:themeColor="text1"/>
          <w:sz w:val="20"/>
          <w:szCs w:val="20"/>
        </w:rPr>
        <w:t>Respecto al oferente</w:t>
      </w:r>
      <w:r w:rsidRPr="00990985">
        <w:rPr>
          <w:rFonts w:ascii="Verdana" w:hAnsi="Verdana" w:cs="Arial"/>
          <w:color w:val="000000" w:themeColor="text1"/>
          <w:sz w:val="20"/>
          <w:szCs w:val="20"/>
        </w:rPr>
        <w:t xml:space="preserve">, el inciso segundo del artículo 9 de la Ley 80 de 1993 dispone que “Cuando la inhabilidad o incompatibilidad sobrevenga en un proponente dentro de un proceso de selección, se entenderá que renuncia a la participación en el proceso de selección y a los derechos surgidos del mismo”. </w:t>
      </w:r>
      <w:r w:rsidRPr="00990985">
        <w:rPr>
          <w:rFonts w:ascii="Verdana" w:hAnsi="Verdana" w:cs="Arial"/>
          <w:i/>
          <w:iCs/>
          <w:color w:val="000000" w:themeColor="text1"/>
          <w:sz w:val="20"/>
          <w:szCs w:val="20"/>
        </w:rPr>
        <w:t>Respecto al adjudicatario</w:t>
      </w:r>
      <w:r w:rsidRPr="00990985">
        <w:rPr>
          <w:rFonts w:ascii="Verdana" w:hAnsi="Verdana" w:cs="Arial"/>
          <w:color w:val="000000" w:themeColor="text1"/>
          <w:sz w:val="20"/>
          <w:szCs w:val="20"/>
        </w:rPr>
        <w:t xml:space="preserve">, el inciso 3 del artículo 9 de la Ley 1150 de 2007 prescribe lo siguiente: “(…) si dentro del plazo comprendido entre la adjudicación del contrato y la suscripción </w:t>
      </w:r>
      <w:proofErr w:type="gramStart"/>
      <w:r w:rsidRPr="00990985">
        <w:rPr>
          <w:rFonts w:ascii="Verdana" w:hAnsi="Verdana" w:cs="Arial"/>
          <w:color w:val="000000" w:themeColor="text1"/>
          <w:sz w:val="20"/>
          <w:szCs w:val="20"/>
        </w:rPr>
        <w:t>del mismo</w:t>
      </w:r>
      <w:proofErr w:type="gramEnd"/>
      <w:r w:rsidRPr="00990985">
        <w:rPr>
          <w:rFonts w:ascii="Verdana" w:hAnsi="Verdana" w:cs="Arial"/>
          <w:color w:val="000000" w:themeColor="text1"/>
          <w:sz w:val="20"/>
          <w:szCs w:val="20"/>
        </w:rPr>
        <w:t>, sobreviene una inhabilidad o incompatibilidad (…) este podrá ser revocado (…)”.</w:t>
      </w:r>
    </w:p>
    <w:p w14:paraId="36F3E008" w14:textId="77777777" w:rsidR="00990985" w:rsidRDefault="00990985" w:rsidP="00990985">
      <w:pPr>
        <w:spacing w:after="0" w:line="240" w:lineRule="auto"/>
        <w:jc w:val="both"/>
        <w:rPr>
          <w:rFonts w:ascii="Verdana" w:hAnsi="Verdana" w:cs="Arial"/>
          <w:color w:val="000000" w:themeColor="text1"/>
          <w:sz w:val="20"/>
          <w:szCs w:val="20"/>
        </w:rPr>
      </w:pPr>
    </w:p>
    <w:p w14:paraId="1AB40D39" w14:textId="79F4948D" w:rsidR="00990985" w:rsidRPr="00990985" w:rsidRDefault="00990985" w:rsidP="00990985">
      <w:pPr>
        <w:spacing w:after="0" w:line="240" w:lineRule="auto"/>
        <w:jc w:val="both"/>
        <w:rPr>
          <w:rFonts w:ascii="Verdana" w:eastAsia="Aptos" w:hAnsi="Verdana" w:cs="Times New Roman"/>
          <w:b/>
          <w:bCs/>
          <w:sz w:val="20"/>
          <w:szCs w:val="20"/>
          <w:shd w:val="clear" w:color="auto" w:fill="FFFFFF"/>
          <w:lang w:val="es-ES"/>
        </w:rPr>
      </w:pPr>
      <w:r w:rsidRPr="00990985">
        <w:rPr>
          <w:rFonts w:ascii="Verdana" w:hAnsi="Verdana" w:cs="Arial"/>
          <w:color w:val="000000" w:themeColor="text1"/>
          <w:sz w:val="20"/>
          <w:szCs w:val="20"/>
        </w:rPr>
        <w:t>Sólo con el cumplimiento de los requisitos de los artículos 39 y 41 del Estatuto General de Contratación Pública existe el contrato estatal, de manera que tienen carácter solemne y, por tanto, requieren formalidad escrita.</w:t>
      </w:r>
    </w:p>
    <w:p w14:paraId="19501A4D" w14:textId="77777777" w:rsidR="00C316F0" w:rsidRDefault="00C316F0" w:rsidP="00C316F0">
      <w:pPr>
        <w:spacing w:after="0" w:line="240" w:lineRule="auto"/>
        <w:jc w:val="both"/>
        <w:rPr>
          <w:rFonts w:ascii="Verdana" w:eastAsia="Aptos" w:hAnsi="Verdana" w:cs="Times New Roman"/>
          <w:b/>
          <w:bCs/>
          <w:shd w:val="clear" w:color="auto" w:fill="FFFFFF"/>
          <w:lang w:val="es-ES"/>
        </w:rPr>
      </w:pPr>
    </w:p>
    <w:p w14:paraId="7ACEAFDB" w14:textId="3B788341" w:rsidR="003901E9" w:rsidRDefault="003901E9" w:rsidP="003901E9">
      <w:pPr>
        <w:jc w:val="both"/>
        <w:rPr>
          <w:rFonts w:ascii="Verdana" w:eastAsia="Aptos" w:hAnsi="Verdana" w:cs="Times New Roman"/>
          <w:b/>
          <w:bCs/>
          <w:shd w:val="clear" w:color="auto" w:fill="FFFFFF"/>
          <w:lang w:val="es-ES"/>
        </w:rPr>
      </w:pPr>
      <w:r w:rsidRPr="003901E9">
        <w:rPr>
          <w:rFonts w:ascii="Verdana" w:eastAsia="Aptos" w:hAnsi="Verdana" w:cs="Times New Roman"/>
          <w:b/>
          <w:bCs/>
          <w:shd w:val="clear" w:color="auto" w:fill="FFFFFF"/>
          <w:lang w:val="es-ES"/>
        </w:rPr>
        <w:t xml:space="preserve">INHABILIDADES </w:t>
      </w:r>
      <w:r w:rsidRPr="003901E9">
        <w:rPr>
          <w:rFonts w:ascii="Verdana" w:eastAsia="Calibri" w:hAnsi="Verdana" w:cs="Arial"/>
          <w:b/>
          <w:bCs/>
          <w:lang w:val="es-ES"/>
        </w:rPr>
        <w:t>–</w:t>
      </w:r>
      <w:r w:rsidRPr="003901E9">
        <w:rPr>
          <w:rFonts w:ascii="Verdana" w:eastAsia="Aptos" w:hAnsi="Verdana" w:cs="Times New Roman"/>
          <w:b/>
          <w:bCs/>
          <w:shd w:val="clear" w:color="auto" w:fill="FFFFFF"/>
          <w:lang w:val="es-ES"/>
        </w:rPr>
        <w:t xml:space="preserve"> Artículo 9 </w:t>
      </w:r>
      <w:r w:rsidRPr="003901E9">
        <w:rPr>
          <w:rFonts w:ascii="Verdana" w:eastAsia="Calibri" w:hAnsi="Verdana" w:cs="Arial"/>
          <w:b/>
          <w:bCs/>
          <w:lang w:val="es-ES"/>
        </w:rPr>
        <w:t>–</w:t>
      </w:r>
      <w:r w:rsidRPr="003901E9">
        <w:rPr>
          <w:rFonts w:ascii="Verdana" w:eastAsia="Aptos" w:hAnsi="Verdana" w:cs="Times New Roman"/>
          <w:b/>
          <w:bCs/>
          <w:shd w:val="clear" w:color="auto" w:fill="FFFFFF"/>
          <w:lang w:val="es-ES"/>
        </w:rPr>
        <w:t xml:space="preserve"> Ley 80 de 1993 </w:t>
      </w:r>
    </w:p>
    <w:p w14:paraId="12F8EAC1" w14:textId="78F8E8EA" w:rsidR="00990985" w:rsidRPr="00990985" w:rsidRDefault="00990985" w:rsidP="00990985">
      <w:pPr>
        <w:spacing w:after="0" w:line="240" w:lineRule="auto"/>
        <w:jc w:val="both"/>
        <w:rPr>
          <w:rFonts w:ascii="Verdana" w:hAnsi="Verdana" w:cs="Arial"/>
          <w:color w:val="000000" w:themeColor="text1"/>
          <w:sz w:val="20"/>
          <w:szCs w:val="20"/>
        </w:rPr>
      </w:pPr>
      <w:r w:rsidRPr="00990985">
        <w:rPr>
          <w:rFonts w:ascii="Verdana" w:hAnsi="Verdana" w:cs="Arial"/>
          <w:i/>
          <w:iCs/>
          <w:color w:val="000000" w:themeColor="text1"/>
          <w:sz w:val="20"/>
          <w:szCs w:val="20"/>
        </w:rPr>
        <w:t>[…] respecto al contratista</w:t>
      </w:r>
      <w:r w:rsidRPr="00990985">
        <w:rPr>
          <w:rFonts w:ascii="Verdana" w:hAnsi="Verdana" w:cs="Arial"/>
          <w:color w:val="000000" w:themeColor="text1"/>
          <w:sz w:val="20"/>
          <w:szCs w:val="20"/>
        </w:rPr>
        <w:t xml:space="preserve">, el inciso primero del artículo 9 de la Ley 80 de 1993 dispone que “Si llegare a sobrevenir inhabilidad o incompatibilidad en el contratista, este cederá el contrato previa autorización escrita de la entidad contratante o, si ello no fuere posible, renunciará a su ejecución”. El inciso tercero </w:t>
      </w:r>
      <w:r w:rsidRPr="00990985">
        <w:rPr>
          <w:rFonts w:ascii="Verdana" w:hAnsi="Verdana" w:cs="Arial"/>
          <w:i/>
          <w:iCs/>
          <w:color w:val="000000" w:themeColor="text1"/>
          <w:sz w:val="20"/>
          <w:szCs w:val="20"/>
        </w:rPr>
        <w:t>ibidem</w:t>
      </w:r>
      <w:r w:rsidRPr="00990985">
        <w:rPr>
          <w:rFonts w:ascii="Verdana" w:hAnsi="Verdana" w:cs="Arial"/>
          <w:color w:val="000000" w:themeColor="text1"/>
          <w:sz w:val="20"/>
          <w:szCs w:val="20"/>
        </w:rPr>
        <w:t xml:space="preserve"> agrega lo siguiente: “Si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  </w:t>
      </w:r>
    </w:p>
    <w:p w14:paraId="76650545" w14:textId="77777777" w:rsidR="00C316F0" w:rsidRDefault="00C316F0" w:rsidP="00C316F0">
      <w:pPr>
        <w:spacing w:after="0" w:line="240" w:lineRule="auto"/>
        <w:jc w:val="both"/>
        <w:rPr>
          <w:rFonts w:ascii="Verdana" w:eastAsia="Aptos" w:hAnsi="Verdana" w:cs="Times New Roman"/>
          <w:b/>
          <w:bCs/>
          <w:shd w:val="clear" w:color="auto" w:fill="FFFFFF"/>
        </w:rPr>
      </w:pPr>
    </w:p>
    <w:p w14:paraId="69654AE2" w14:textId="2FD0C010" w:rsidR="003901E9" w:rsidRDefault="003901E9" w:rsidP="003901E9">
      <w:pPr>
        <w:jc w:val="both"/>
        <w:rPr>
          <w:rFonts w:ascii="Verdana" w:eastAsia="Aptos" w:hAnsi="Verdana" w:cs="Times New Roman"/>
          <w:b/>
          <w:bCs/>
          <w:shd w:val="clear" w:color="auto" w:fill="FFFFFF"/>
          <w:lang w:val="es-ES"/>
        </w:rPr>
      </w:pPr>
      <w:r w:rsidRPr="003901E9">
        <w:rPr>
          <w:rFonts w:ascii="Verdana" w:eastAsia="Aptos" w:hAnsi="Verdana" w:cs="Times New Roman"/>
          <w:b/>
          <w:bCs/>
          <w:shd w:val="clear" w:color="auto" w:fill="FFFFFF"/>
          <w:lang w:val="es-ES"/>
        </w:rPr>
        <w:t xml:space="preserve">CESIÓN DEL CONTRATO ESTATAL – Noción </w:t>
      </w:r>
    </w:p>
    <w:p w14:paraId="157D5A0E" w14:textId="77777777" w:rsidR="00430628" w:rsidRDefault="00C316F0" w:rsidP="00430628">
      <w:pPr>
        <w:spacing w:after="0" w:line="240" w:lineRule="auto"/>
        <w:jc w:val="both"/>
        <w:rPr>
          <w:rFonts w:ascii="Verdana" w:eastAsia="Calibri" w:hAnsi="Verdana" w:cs="Arial"/>
          <w:bCs/>
          <w:color w:val="000000" w:themeColor="text1"/>
          <w:sz w:val="20"/>
          <w:szCs w:val="20"/>
        </w:rPr>
      </w:pPr>
      <w:r w:rsidRPr="00C316F0">
        <w:rPr>
          <w:rFonts w:ascii="Verdana" w:eastAsia="Calibri" w:hAnsi="Verdana" w:cs="Arial"/>
          <w:bCs/>
          <w:color w:val="000000" w:themeColor="text1"/>
          <w:sz w:val="20"/>
          <w:szCs w:val="20"/>
        </w:rPr>
        <w:t>Conforme a los artículos 887 y siguientes del Código de Comercio, la cesión de los contratos juega un papel importante en la gestión de los intereses patrimoniales de los sujetos de derecho privado,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Pr>
          <w:rFonts w:ascii="Verdana" w:eastAsia="Calibri" w:hAnsi="Verdana" w:cs="Arial"/>
          <w:bCs/>
          <w:color w:val="000000" w:themeColor="text1"/>
          <w:sz w:val="20"/>
          <w:szCs w:val="20"/>
        </w:rPr>
        <w:t>.</w:t>
      </w:r>
    </w:p>
    <w:p w14:paraId="05B90BA3" w14:textId="77777777" w:rsidR="00430628" w:rsidRDefault="00430628" w:rsidP="00430628">
      <w:pPr>
        <w:spacing w:after="0" w:line="240" w:lineRule="auto"/>
        <w:jc w:val="both"/>
        <w:rPr>
          <w:rFonts w:ascii="Verdana" w:eastAsia="Calibri" w:hAnsi="Verdana" w:cs="Arial"/>
          <w:bCs/>
          <w:color w:val="000000" w:themeColor="text1"/>
          <w:sz w:val="20"/>
          <w:szCs w:val="20"/>
        </w:rPr>
      </w:pPr>
    </w:p>
    <w:p w14:paraId="4EC9B4E2" w14:textId="2261319D" w:rsidR="00430628" w:rsidRDefault="00C316F0" w:rsidP="00430628">
      <w:pPr>
        <w:spacing w:after="0" w:line="240" w:lineRule="auto"/>
        <w:jc w:val="both"/>
        <w:rPr>
          <w:rFonts w:ascii="Verdana" w:eastAsia="Calibri" w:hAnsi="Verdana" w:cs="Arial"/>
          <w:bCs/>
          <w:color w:val="000000" w:themeColor="text1"/>
          <w:sz w:val="20"/>
          <w:szCs w:val="20"/>
        </w:rPr>
      </w:pPr>
      <w:r>
        <w:rPr>
          <w:rFonts w:ascii="Verdana" w:eastAsia="Calibri" w:hAnsi="Verdana" w:cs="Arial"/>
          <w:bCs/>
          <w:color w:val="000000" w:themeColor="text1"/>
          <w:sz w:val="20"/>
          <w:szCs w:val="20"/>
        </w:rPr>
        <w:t xml:space="preserve">[…] </w:t>
      </w:r>
      <w:r w:rsidRPr="00C316F0">
        <w:rPr>
          <w:rFonts w:ascii="Verdana" w:eastAsia="Calibri" w:hAnsi="Verdana" w:cs="Arial"/>
          <w:bCs/>
          <w:color w:val="000000" w:themeColor="text1"/>
          <w:sz w:val="20"/>
          <w:szCs w:val="20"/>
        </w:rPr>
        <w:t xml:space="preserve">La cesión de la posición contractual puede entenderse como un acto y como un efecto. Por un lado, “(…) es el contrato con el cual el cedente, parte de otro contrato ya en curso con otro sujeto (cedido), transfiere la relativa posición contractual (en sus componentes activos y pasivos) al cesionario, el cual le </w:t>
      </w:r>
      <w:proofErr w:type="spellStart"/>
      <w:r w:rsidRPr="00C316F0">
        <w:rPr>
          <w:rFonts w:ascii="Verdana" w:eastAsia="Calibri" w:hAnsi="Verdana" w:cs="Arial"/>
          <w:bCs/>
          <w:color w:val="000000" w:themeColor="text1"/>
          <w:sz w:val="20"/>
          <w:szCs w:val="20"/>
        </w:rPr>
        <w:t>subentra</w:t>
      </w:r>
      <w:proofErr w:type="spellEnd"/>
      <w:r w:rsidRPr="00C316F0">
        <w:rPr>
          <w:rFonts w:ascii="Verdana" w:eastAsia="Calibri" w:hAnsi="Verdana" w:cs="Arial"/>
          <w:bCs/>
          <w:color w:val="000000" w:themeColor="text1"/>
          <w:sz w:val="20"/>
          <w:szCs w:val="20"/>
        </w:rPr>
        <w:t xml:space="preserve"> en la relación con el cedido (…)”. Por otro, “(…) es la transferencia de la posición contractual de un </w:t>
      </w:r>
      <w:r w:rsidRPr="00C316F0">
        <w:rPr>
          <w:rFonts w:ascii="Verdana" w:eastAsia="Calibri" w:hAnsi="Verdana" w:cs="Arial"/>
          <w:bCs/>
          <w:color w:val="000000" w:themeColor="text1"/>
          <w:sz w:val="20"/>
          <w:szCs w:val="20"/>
        </w:rPr>
        <w:lastRenderedPageBreak/>
        <w:t xml:space="preserve">contratante a otro sujeto, que le </w:t>
      </w:r>
      <w:proofErr w:type="spellStart"/>
      <w:r w:rsidRPr="00C316F0">
        <w:rPr>
          <w:rFonts w:ascii="Verdana" w:eastAsia="Calibri" w:hAnsi="Verdana" w:cs="Arial"/>
          <w:bCs/>
          <w:color w:val="000000" w:themeColor="text1"/>
          <w:sz w:val="20"/>
          <w:szCs w:val="20"/>
        </w:rPr>
        <w:t>subentra</w:t>
      </w:r>
      <w:proofErr w:type="spellEnd"/>
      <w:r w:rsidRPr="00C316F0">
        <w:rPr>
          <w:rFonts w:ascii="Verdana" w:eastAsia="Calibri" w:hAnsi="Verdana" w:cs="Arial"/>
          <w:bCs/>
          <w:color w:val="000000" w:themeColor="text1"/>
          <w:sz w:val="20"/>
          <w:szCs w:val="20"/>
        </w:rPr>
        <w:t xml:space="preserve"> en la relación con la contraparte (…)</w:t>
      </w:r>
      <w:proofErr w:type="gramStart"/>
      <w:r w:rsidRPr="00C316F0">
        <w:rPr>
          <w:rFonts w:ascii="Verdana" w:eastAsia="Calibri" w:hAnsi="Verdana" w:cs="Arial"/>
          <w:bCs/>
          <w:color w:val="000000" w:themeColor="text1"/>
          <w:sz w:val="20"/>
          <w:szCs w:val="20"/>
        </w:rPr>
        <w:t>” .</w:t>
      </w:r>
      <w:proofErr w:type="gramEnd"/>
      <w:r w:rsidRPr="00C316F0">
        <w:rPr>
          <w:rFonts w:ascii="Verdana" w:eastAsia="Calibri" w:hAnsi="Verdana" w:cs="Arial"/>
          <w:bCs/>
          <w:color w:val="000000" w:themeColor="text1"/>
          <w:sz w:val="20"/>
          <w:szCs w:val="20"/>
        </w:rPr>
        <w:t xml:space="preserve"> De esta manera, concurren tres (3) sujetos: i) el cedente, esto es, el contratista inicial; </w:t>
      </w:r>
      <w:proofErr w:type="spellStart"/>
      <w:r w:rsidRPr="00C316F0">
        <w:rPr>
          <w:rFonts w:ascii="Verdana" w:eastAsia="Calibri" w:hAnsi="Verdana" w:cs="Arial"/>
          <w:bCs/>
          <w:color w:val="000000" w:themeColor="text1"/>
          <w:sz w:val="20"/>
          <w:szCs w:val="20"/>
        </w:rPr>
        <w:t>ii</w:t>
      </w:r>
      <w:proofErr w:type="spellEnd"/>
      <w:r w:rsidRPr="00C316F0">
        <w:rPr>
          <w:rFonts w:ascii="Verdana" w:eastAsia="Calibri" w:hAnsi="Verdana" w:cs="Arial"/>
          <w:bCs/>
          <w:color w:val="000000" w:themeColor="text1"/>
          <w:sz w:val="20"/>
          <w:szCs w:val="20"/>
        </w:rPr>
        <w:t xml:space="preserve">) el cesionario, es decir, quien asume total o parcialmente los derechos y obligaciones de este último; y </w:t>
      </w:r>
      <w:proofErr w:type="spellStart"/>
      <w:r w:rsidRPr="00C316F0">
        <w:rPr>
          <w:rFonts w:ascii="Verdana" w:eastAsia="Calibri" w:hAnsi="Verdana" w:cs="Arial"/>
          <w:bCs/>
          <w:color w:val="000000" w:themeColor="text1"/>
          <w:sz w:val="20"/>
          <w:szCs w:val="20"/>
        </w:rPr>
        <w:t>iii</w:t>
      </w:r>
      <w:proofErr w:type="spellEnd"/>
      <w:r w:rsidRPr="00C316F0">
        <w:rPr>
          <w:rFonts w:ascii="Verdana" w:eastAsia="Calibri" w:hAnsi="Verdana" w:cs="Arial"/>
          <w:bCs/>
          <w:color w:val="000000" w:themeColor="text1"/>
          <w:sz w:val="20"/>
          <w:szCs w:val="20"/>
        </w:rPr>
        <w:t>) el cedido que, en el caso de los contratos estatales, sería la entidad que suscribió el contrato. 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w:t>
      </w:r>
    </w:p>
    <w:p w14:paraId="1905B3BB" w14:textId="77777777" w:rsidR="00430628" w:rsidRDefault="00430628" w:rsidP="00430628">
      <w:pPr>
        <w:spacing w:after="0" w:line="240" w:lineRule="auto"/>
        <w:jc w:val="both"/>
        <w:rPr>
          <w:rFonts w:ascii="Verdana" w:eastAsia="Aptos" w:hAnsi="Verdana" w:cs="Times New Roman"/>
          <w:b/>
          <w:bCs/>
          <w:shd w:val="clear" w:color="auto" w:fill="FFFFFF"/>
          <w:lang w:val="es-ES"/>
        </w:rPr>
      </w:pPr>
    </w:p>
    <w:p w14:paraId="6558F532" w14:textId="1317F459" w:rsidR="003901E9" w:rsidRPr="00430628" w:rsidRDefault="003901E9" w:rsidP="00430628">
      <w:pPr>
        <w:spacing w:after="0" w:line="240" w:lineRule="auto"/>
        <w:jc w:val="both"/>
        <w:rPr>
          <w:rFonts w:ascii="Verdana" w:eastAsia="Calibri" w:hAnsi="Verdana" w:cs="Arial"/>
          <w:bCs/>
          <w:color w:val="000000" w:themeColor="text1"/>
          <w:sz w:val="20"/>
          <w:szCs w:val="20"/>
        </w:rPr>
      </w:pPr>
      <w:r w:rsidRPr="003901E9">
        <w:rPr>
          <w:rFonts w:ascii="Verdana" w:eastAsia="Aptos" w:hAnsi="Verdana" w:cs="Times New Roman"/>
          <w:b/>
          <w:bCs/>
          <w:shd w:val="clear" w:color="auto" w:fill="FFFFFF"/>
          <w:lang w:val="es-ES"/>
        </w:rPr>
        <w:t xml:space="preserve">CESIÓN DEL CONTRATO ESTATAL – Régimen jurídico aplicable – EGCAP – Código de Comercio </w:t>
      </w:r>
    </w:p>
    <w:p w14:paraId="7F4A7F0D" w14:textId="77777777" w:rsidR="00430628" w:rsidRDefault="00430628" w:rsidP="009E1BA8">
      <w:pPr>
        <w:spacing w:after="0" w:line="240" w:lineRule="auto"/>
        <w:jc w:val="both"/>
        <w:rPr>
          <w:rFonts w:ascii="Verdana" w:eastAsia="Calibri" w:hAnsi="Verdana" w:cs="Arial"/>
          <w:color w:val="000000" w:themeColor="text1"/>
          <w:sz w:val="20"/>
          <w:szCs w:val="20"/>
        </w:rPr>
      </w:pPr>
    </w:p>
    <w:p w14:paraId="1AC02287" w14:textId="2B2D2E00" w:rsidR="009E1BA8" w:rsidRPr="009E1BA8" w:rsidRDefault="009E1BA8" w:rsidP="009E1BA8">
      <w:pPr>
        <w:spacing w:after="0" w:line="240" w:lineRule="auto"/>
        <w:jc w:val="both"/>
        <w:rPr>
          <w:rFonts w:ascii="Verdana" w:eastAsia="Calibri" w:hAnsi="Verdana" w:cs="Arial"/>
          <w:color w:val="000000" w:themeColor="text1"/>
          <w:sz w:val="20"/>
          <w:szCs w:val="20"/>
        </w:rPr>
      </w:pPr>
      <w:r w:rsidRPr="009E1BA8">
        <w:rPr>
          <w:rFonts w:ascii="Verdana" w:eastAsia="Calibri" w:hAnsi="Verdana" w:cs="Arial"/>
          <w:color w:val="000000" w:themeColor="text1"/>
          <w:sz w:val="20"/>
          <w:szCs w:val="20"/>
        </w:rPr>
        <w:t xml:space="preserve">Tratándose de la cesión de contratos estatales, conforme a la regulación del EGCAP,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9E1BA8">
        <w:rPr>
          <w:rFonts w:ascii="Verdana" w:eastAsia="Calibri" w:hAnsi="Verdana" w:cs="Arial"/>
          <w:color w:val="000000" w:themeColor="text1"/>
          <w:sz w:val="20"/>
          <w:szCs w:val="20"/>
        </w:rPr>
        <w:t>ii</w:t>
      </w:r>
      <w:proofErr w:type="spellEnd"/>
      <w:r w:rsidRPr="009E1BA8">
        <w:rPr>
          <w:rFonts w:ascii="Verdana" w:eastAsia="Calibri" w:hAnsi="Verdana" w:cs="Arial"/>
          <w:color w:val="000000" w:themeColor="text1"/>
          <w:sz w:val="20"/>
          <w:szCs w:val="20"/>
        </w:rPr>
        <w:t xml:space="preserve">) corresponderán como actos jurídicos bilaterales generadores de obligaciones, entre otros, a los previstos en el derecho privado, en los términos del artículo 32 </w:t>
      </w:r>
      <w:r w:rsidRPr="009E1BA8">
        <w:rPr>
          <w:rFonts w:ascii="Verdana" w:eastAsia="Calibri" w:hAnsi="Verdana" w:cs="Arial"/>
          <w:i/>
          <w:iCs/>
          <w:color w:val="000000" w:themeColor="text1"/>
          <w:sz w:val="20"/>
          <w:szCs w:val="20"/>
        </w:rPr>
        <w:t>ibidem</w:t>
      </w:r>
      <w:r w:rsidRPr="009E1BA8">
        <w:rPr>
          <w:rFonts w:ascii="Verdana" w:eastAsia="Calibri" w:hAnsi="Verdana" w:cs="Arial"/>
          <w:color w:val="000000" w:themeColor="text1"/>
          <w:sz w:val="20"/>
          <w:szCs w:val="20"/>
        </w:rPr>
        <w:t xml:space="preserve">; y </w:t>
      </w:r>
      <w:proofErr w:type="spellStart"/>
      <w:r w:rsidRPr="009E1BA8">
        <w:rPr>
          <w:rFonts w:ascii="Verdana" w:eastAsia="Calibri" w:hAnsi="Verdana" w:cs="Arial"/>
          <w:color w:val="000000" w:themeColor="text1"/>
          <w:sz w:val="20"/>
          <w:szCs w:val="20"/>
        </w:rPr>
        <w:t>iii</w:t>
      </w:r>
      <w:proofErr w:type="spellEnd"/>
      <w:r w:rsidRPr="009E1BA8">
        <w:rPr>
          <w:rFonts w:ascii="Verdana" w:eastAsia="Calibri" w:hAnsi="Verdana" w:cs="Arial"/>
          <w:color w:val="000000" w:themeColor="text1"/>
          <w:sz w:val="20"/>
          <w:szCs w:val="20"/>
        </w:rPr>
        <w:t xml:space="preserve">) contendrán las estipulaciones que, de acuerdo con las normas civiles, comerciales y las previstas en esta ley, correspondan a su esencia y naturaleza, conforme a lo dispuesto por el artículo 40 </w:t>
      </w:r>
      <w:r w:rsidRPr="009E1BA8">
        <w:rPr>
          <w:rFonts w:ascii="Verdana" w:eastAsia="Calibri" w:hAnsi="Verdana" w:cs="Arial"/>
          <w:i/>
          <w:iCs/>
          <w:color w:val="000000" w:themeColor="text1"/>
          <w:sz w:val="20"/>
          <w:szCs w:val="20"/>
        </w:rPr>
        <w:t>ibidem</w:t>
      </w:r>
      <w:r w:rsidRPr="009E1BA8">
        <w:rPr>
          <w:rFonts w:ascii="Verdana" w:eastAsia="Calibri" w:hAnsi="Verdana" w:cs="Arial"/>
          <w:color w:val="000000" w:themeColor="text1"/>
          <w:sz w:val="20"/>
          <w:szCs w:val="20"/>
        </w:rPr>
        <w:t xml:space="preserve">. </w:t>
      </w:r>
    </w:p>
    <w:p w14:paraId="4150D20C" w14:textId="77777777" w:rsidR="009E1BA8" w:rsidRDefault="009E1BA8" w:rsidP="009E1BA8">
      <w:pPr>
        <w:spacing w:after="0" w:line="240" w:lineRule="auto"/>
        <w:jc w:val="both"/>
        <w:rPr>
          <w:rFonts w:ascii="Verdana" w:eastAsia="Calibri" w:hAnsi="Verdana" w:cs="Arial"/>
          <w:color w:val="000000" w:themeColor="text1"/>
          <w:sz w:val="20"/>
          <w:szCs w:val="20"/>
        </w:rPr>
      </w:pPr>
    </w:p>
    <w:p w14:paraId="57F94A2A" w14:textId="776A3A70" w:rsidR="009E1BA8" w:rsidRPr="009E1BA8" w:rsidRDefault="009E1BA8" w:rsidP="009E1BA8">
      <w:pPr>
        <w:spacing w:after="0" w:line="240" w:lineRule="auto"/>
        <w:jc w:val="both"/>
        <w:rPr>
          <w:rFonts w:ascii="Verdana" w:eastAsia="Calibri" w:hAnsi="Verdana" w:cs="Arial"/>
          <w:color w:val="000000" w:themeColor="text1"/>
          <w:sz w:val="20"/>
          <w:szCs w:val="20"/>
        </w:rPr>
      </w:pPr>
      <w:r w:rsidRPr="009E1BA8">
        <w:rPr>
          <w:rFonts w:ascii="Verdana" w:eastAsia="Calibri" w:hAnsi="Verdana" w:cs="Arial"/>
          <w:color w:val="000000" w:themeColor="text1"/>
          <w:sz w:val="20"/>
          <w:szCs w:val="20"/>
        </w:rPr>
        <w:t>En este sentido, el Estatuto General de Contratación de la Administración Pública establece disposiciones específicas relativas a la figura de la cesión contractual. En principio, si bien rigen las normas relativas a la cesión del contrato contenidas en sus artículos 887 y siguientes del Código de Comercio, su aplicación procede ante la ausencia de norma que de manera particular regule el asunto frente a la categoría especial del contrato estatal.</w:t>
      </w:r>
    </w:p>
    <w:p w14:paraId="4AC91404" w14:textId="77777777" w:rsidR="009E1BA8" w:rsidRDefault="009E1BA8" w:rsidP="009E1BA8">
      <w:pPr>
        <w:tabs>
          <w:tab w:val="left" w:pos="709"/>
        </w:tabs>
        <w:spacing w:after="0" w:line="240" w:lineRule="auto"/>
        <w:jc w:val="both"/>
        <w:rPr>
          <w:rFonts w:ascii="Verdana" w:eastAsia="Calibri" w:hAnsi="Verdana" w:cs="Arial"/>
          <w:color w:val="000000" w:themeColor="text1"/>
          <w:sz w:val="20"/>
          <w:szCs w:val="20"/>
        </w:rPr>
      </w:pPr>
    </w:p>
    <w:p w14:paraId="119F2525" w14:textId="753245A4" w:rsidR="009E1BA8" w:rsidRPr="009E1BA8" w:rsidRDefault="009E1BA8" w:rsidP="009E1BA8">
      <w:pPr>
        <w:tabs>
          <w:tab w:val="left" w:pos="709"/>
        </w:tabs>
        <w:spacing w:after="0" w:line="240" w:lineRule="auto"/>
        <w:jc w:val="both"/>
        <w:rPr>
          <w:rFonts w:ascii="Verdana" w:eastAsia="Calibri" w:hAnsi="Verdana" w:cs="Arial"/>
          <w:color w:val="000000" w:themeColor="text1"/>
          <w:sz w:val="20"/>
          <w:szCs w:val="20"/>
        </w:rPr>
      </w:pPr>
      <w:r w:rsidRPr="009E1BA8">
        <w:rPr>
          <w:rFonts w:ascii="Verdana" w:eastAsia="Calibri" w:hAnsi="Verdana" w:cs="Arial"/>
          <w:color w:val="000000" w:themeColor="text1"/>
          <w:sz w:val="20"/>
          <w:szCs w:val="20"/>
        </w:rPr>
        <w:t>Por ello, es pertinente indicar que el Decreto Ley 410 de 1971 contempla ciertas disposiciones que no se encuentran en la Ley 80 de 1993, lo que conlleva su aplicación en materia de contratos estatales. Por ejemplo, el artículo 890 establece lo relativo a la responsabilidad del cedente frente al cesionario y en torno a la existencia, validez y garantías del contrato cedido. Por otra parte, el artículo 891 obliga al cesionario a avisar al cedente de la mora o el incumplimiento dentro de los 10 días siguientes, siempre y cuando este se haya obligado a garantizar el cumplimiento por parte del contratante cedido. Asimismo, los artículos 895 y 896 disponen que la cesión de un contrato implica la transferencia de las acciones, privilegios y beneficios legales inherentes a la naturaleza y condiciones del contrato, excluyendo a aquellas que sean extrañas al mismo o que se funden en el estado o calidad particular de las partes, pudiendo, el contratante cedido, oponer contra el cesionario todas las excepciones que se deriven del contrato</w:t>
      </w:r>
      <w:r>
        <w:rPr>
          <w:rFonts w:ascii="Verdana" w:eastAsia="Calibri" w:hAnsi="Verdana" w:cs="Arial"/>
          <w:color w:val="000000" w:themeColor="text1"/>
          <w:sz w:val="20"/>
          <w:szCs w:val="20"/>
        </w:rPr>
        <w:t>.</w:t>
      </w:r>
    </w:p>
    <w:p w14:paraId="042AA312" w14:textId="77777777" w:rsidR="00430628" w:rsidRDefault="00430628" w:rsidP="009E1BA8">
      <w:pPr>
        <w:tabs>
          <w:tab w:val="left" w:pos="709"/>
        </w:tabs>
        <w:spacing w:after="0" w:line="240" w:lineRule="auto"/>
        <w:jc w:val="both"/>
        <w:rPr>
          <w:rFonts w:ascii="Verdana" w:eastAsia="Calibri" w:hAnsi="Verdana" w:cs="Arial"/>
          <w:color w:val="000000" w:themeColor="text1"/>
          <w:sz w:val="20"/>
          <w:szCs w:val="20"/>
        </w:rPr>
      </w:pPr>
    </w:p>
    <w:p w14:paraId="2160C7E5" w14:textId="4A784CE4" w:rsidR="009E1BA8" w:rsidRPr="009E1BA8" w:rsidRDefault="009E1BA8" w:rsidP="009E1BA8">
      <w:pPr>
        <w:tabs>
          <w:tab w:val="left" w:pos="709"/>
        </w:tabs>
        <w:spacing w:after="0" w:line="240" w:lineRule="auto"/>
        <w:jc w:val="both"/>
        <w:rPr>
          <w:rFonts w:ascii="Verdana" w:eastAsia="Calibri" w:hAnsi="Verdana" w:cs="Arial"/>
          <w:color w:val="000000" w:themeColor="text1"/>
          <w:sz w:val="20"/>
          <w:szCs w:val="20"/>
        </w:rPr>
      </w:pPr>
      <w:r w:rsidRPr="009E1BA8">
        <w:rPr>
          <w:rFonts w:ascii="Verdana" w:eastAsia="Calibri" w:hAnsi="Verdana" w:cs="Arial"/>
          <w:color w:val="000000" w:themeColor="text1"/>
          <w:sz w:val="20"/>
          <w:szCs w:val="20"/>
        </w:rPr>
        <w:lastRenderedPageBreak/>
        <w:t xml:space="preserve">Al margen de estas y otras disposiciones que de manera particular consagra el Código de Comercio sobre la cesión del contrato, esta figura cuenta con algunas normas especiales en la Ley 80 de 1993. Por ejemplo, el artículo 41, inciso tercero, del EGCAP prescribe que “Los contratos estatales son </w:t>
      </w:r>
      <w:r w:rsidRPr="009E1BA8">
        <w:rPr>
          <w:rFonts w:ascii="Verdana" w:eastAsia="Calibri" w:hAnsi="Verdana" w:cs="Arial"/>
          <w:i/>
          <w:iCs/>
          <w:color w:val="000000" w:themeColor="text1"/>
          <w:sz w:val="20"/>
          <w:szCs w:val="20"/>
        </w:rPr>
        <w:t xml:space="preserve">intuito </w:t>
      </w:r>
      <w:proofErr w:type="spellStart"/>
      <w:r w:rsidRPr="009E1BA8">
        <w:rPr>
          <w:rFonts w:ascii="Verdana" w:eastAsia="Calibri" w:hAnsi="Verdana" w:cs="Arial"/>
          <w:i/>
          <w:iCs/>
          <w:color w:val="000000" w:themeColor="text1"/>
          <w:sz w:val="20"/>
          <w:szCs w:val="20"/>
        </w:rPr>
        <w:t>personae</w:t>
      </w:r>
      <w:proofErr w:type="spellEnd"/>
      <w:r w:rsidRPr="009E1BA8">
        <w:rPr>
          <w:rFonts w:ascii="Verdana" w:eastAsia="Calibri" w:hAnsi="Verdana" w:cs="Arial"/>
          <w:color w:val="000000" w:themeColor="text1"/>
          <w:sz w:val="20"/>
          <w:szCs w:val="20"/>
        </w:rPr>
        <w:t xml:space="preserve"> y, en consecuencia, una vez celebrados no podrán cederse sin previa autorización escrita de la entidad contratante”. Esta norma contiene una prohibición general –</w:t>
      </w:r>
      <w:r w:rsidRPr="009E1BA8">
        <w:rPr>
          <w:rFonts w:ascii="Verdana" w:eastAsia="Calibri" w:hAnsi="Verdana" w:cs="Arial"/>
          <w:i/>
          <w:iCs/>
          <w:color w:val="000000" w:themeColor="text1"/>
          <w:sz w:val="20"/>
          <w:szCs w:val="20"/>
        </w:rPr>
        <w:t>faceta negativa</w:t>
      </w:r>
      <w:r w:rsidRPr="009E1BA8">
        <w:rPr>
          <w:rFonts w:ascii="Verdana" w:eastAsia="Calibri" w:hAnsi="Verdana" w:cs="Arial"/>
          <w:color w:val="000000" w:themeColor="text1"/>
          <w:sz w:val="20"/>
          <w:szCs w:val="20"/>
        </w:rPr>
        <w:t>– y una autorización excepcional –</w:t>
      </w:r>
      <w:r w:rsidRPr="009E1BA8">
        <w:rPr>
          <w:rFonts w:ascii="Verdana" w:eastAsia="Calibri" w:hAnsi="Verdana" w:cs="Arial"/>
          <w:i/>
          <w:iCs/>
          <w:color w:val="000000" w:themeColor="text1"/>
          <w:sz w:val="20"/>
          <w:szCs w:val="20"/>
        </w:rPr>
        <w:t>faceta positiva</w:t>
      </w:r>
      <w:r w:rsidRPr="009E1BA8">
        <w:rPr>
          <w:rFonts w:ascii="Verdana" w:eastAsia="Calibri" w:hAnsi="Verdana" w:cs="Arial"/>
          <w:color w:val="000000" w:themeColor="text1"/>
          <w:sz w:val="20"/>
          <w:szCs w:val="20"/>
        </w:rPr>
        <w:t>–.</w:t>
      </w:r>
    </w:p>
    <w:p w14:paraId="69EB1BBB" w14:textId="77777777" w:rsidR="009E1BA8" w:rsidRDefault="009E1BA8" w:rsidP="009E1BA8">
      <w:pPr>
        <w:spacing w:after="0" w:line="240" w:lineRule="auto"/>
        <w:jc w:val="both"/>
        <w:rPr>
          <w:rFonts w:ascii="Verdana" w:eastAsia="Aptos" w:hAnsi="Verdana" w:cs="Times New Roman"/>
          <w:b/>
          <w:bCs/>
          <w:shd w:val="clear" w:color="auto" w:fill="FFFFFF"/>
        </w:rPr>
      </w:pPr>
    </w:p>
    <w:p w14:paraId="3A209DA3" w14:textId="27A7C2DB" w:rsidR="003901E9" w:rsidRDefault="003901E9" w:rsidP="003901E9">
      <w:pPr>
        <w:jc w:val="both"/>
        <w:rPr>
          <w:rFonts w:ascii="Verdana" w:eastAsia="Aptos" w:hAnsi="Verdana" w:cs="Times New Roman"/>
          <w:b/>
          <w:bCs/>
          <w:shd w:val="clear" w:color="auto" w:fill="FFFFFF"/>
          <w:lang w:val="es-ES"/>
        </w:rPr>
      </w:pPr>
      <w:r w:rsidRPr="003901E9">
        <w:rPr>
          <w:rFonts w:ascii="Verdana" w:eastAsia="Aptos" w:hAnsi="Verdana" w:cs="Times New Roman"/>
          <w:b/>
          <w:bCs/>
          <w:shd w:val="clear" w:color="auto" w:fill="FFFFFF"/>
          <w:lang w:val="es-ES"/>
        </w:rPr>
        <w:t>CESIÓN DEL CONTRATO ESTATAL – Requisitos – Restricciones</w:t>
      </w:r>
    </w:p>
    <w:p w14:paraId="21E8CEFC" w14:textId="726D7A81" w:rsidR="009E1BA8" w:rsidRPr="009E1BA8" w:rsidRDefault="009E1BA8" w:rsidP="009E1BA8">
      <w:pPr>
        <w:tabs>
          <w:tab w:val="left" w:pos="709"/>
        </w:tabs>
        <w:spacing w:after="0" w:line="240" w:lineRule="auto"/>
        <w:jc w:val="both"/>
        <w:rPr>
          <w:rFonts w:ascii="Verdana" w:eastAsia="Calibri" w:hAnsi="Verdana" w:cs="Arial"/>
          <w:color w:val="000000" w:themeColor="text1"/>
          <w:sz w:val="20"/>
          <w:szCs w:val="20"/>
        </w:rPr>
      </w:pPr>
      <w:r>
        <w:rPr>
          <w:rFonts w:ascii="Verdana" w:eastAsia="Calibri" w:hAnsi="Verdana" w:cs="Arial"/>
          <w:color w:val="000000" w:themeColor="text1"/>
          <w:sz w:val="20"/>
          <w:szCs w:val="20"/>
        </w:rPr>
        <w:t xml:space="preserve">[…] </w:t>
      </w:r>
      <w:r w:rsidRPr="009E1BA8">
        <w:rPr>
          <w:rFonts w:ascii="Verdana" w:eastAsia="Calibri" w:hAnsi="Verdana" w:cs="Arial"/>
          <w:color w:val="000000" w:themeColor="text1"/>
          <w:sz w:val="20"/>
          <w:szCs w:val="20"/>
        </w:rPr>
        <w:t xml:space="preserve">el Consejo de Estado ha precisado como requisitos de la cesión del contrato estatal los siguientes: i) debe recaer en un tercero; </w:t>
      </w:r>
      <w:proofErr w:type="spellStart"/>
      <w:r w:rsidRPr="009E1BA8">
        <w:rPr>
          <w:rFonts w:ascii="Verdana" w:eastAsia="Calibri" w:hAnsi="Verdana" w:cs="Arial"/>
          <w:color w:val="000000" w:themeColor="text1"/>
          <w:sz w:val="20"/>
          <w:szCs w:val="20"/>
        </w:rPr>
        <w:t>ii</w:t>
      </w:r>
      <w:proofErr w:type="spellEnd"/>
      <w:r w:rsidRPr="009E1BA8">
        <w:rPr>
          <w:rFonts w:ascii="Verdana" w:eastAsia="Calibri" w:hAnsi="Verdana" w:cs="Arial"/>
          <w:color w:val="000000" w:themeColor="text1"/>
          <w:sz w:val="20"/>
          <w:szCs w:val="20"/>
        </w:rPr>
        <w:t xml:space="preserve">) el cesionario debe tener capacidad jurídica para continuar con la ejecución del objeto contractual y no estar incurso en causales de inhabilidad e incompatibilidad para contratar; y </w:t>
      </w:r>
      <w:proofErr w:type="spellStart"/>
      <w:r w:rsidRPr="009E1BA8">
        <w:rPr>
          <w:rFonts w:ascii="Verdana" w:eastAsia="Calibri" w:hAnsi="Verdana" w:cs="Arial"/>
          <w:color w:val="000000" w:themeColor="text1"/>
          <w:sz w:val="20"/>
          <w:szCs w:val="20"/>
        </w:rPr>
        <w:t>iii</w:t>
      </w:r>
      <w:proofErr w:type="spellEnd"/>
      <w:r w:rsidRPr="009E1BA8">
        <w:rPr>
          <w:rFonts w:ascii="Verdana" w:eastAsia="Calibri" w:hAnsi="Verdana" w:cs="Arial"/>
          <w:color w:val="000000" w:themeColor="text1"/>
          <w:sz w:val="20"/>
          <w:szCs w:val="20"/>
        </w:rPr>
        <w:t>) el cesionario debe contar con capacidad técnica, económica y financiera suficientes para el cumplimiento de las 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 ya que “(…) 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p>
    <w:p w14:paraId="70794B44" w14:textId="77777777" w:rsidR="009E1BA8" w:rsidRDefault="009E1BA8" w:rsidP="009E1BA8">
      <w:pPr>
        <w:tabs>
          <w:tab w:val="left" w:pos="709"/>
        </w:tabs>
        <w:spacing w:after="0" w:line="240" w:lineRule="auto"/>
        <w:jc w:val="both"/>
        <w:rPr>
          <w:rFonts w:ascii="Verdana" w:eastAsia="Calibri" w:hAnsi="Verdana" w:cs="Arial"/>
          <w:color w:val="000000" w:themeColor="text1"/>
          <w:sz w:val="20"/>
          <w:szCs w:val="20"/>
        </w:rPr>
      </w:pPr>
    </w:p>
    <w:p w14:paraId="7B594D65" w14:textId="6D019335" w:rsidR="009E1BA8" w:rsidRDefault="009E1BA8" w:rsidP="009E1BA8">
      <w:pPr>
        <w:tabs>
          <w:tab w:val="left" w:pos="709"/>
        </w:tabs>
        <w:spacing w:after="0" w:line="240" w:lineRule="auto"/>
        <w:jc w:val="both"/>
        <w:rPr>
          <w:rFonts w:ascii="Verdana" w:eastAsia="Calibri" w:hAnsi="Verdana" w:cs="Arial"/>
          <w:color w:val="000000" w:themeColor="text1"/>
          <w:sz w:val="20"/>
          <w:szCs w:val="20"/>
        </w:rPr>
      </w:pPr>
      <w:r w:rsidRPr="009E1BA8">
        <w:rPr>
          <w:rFonts w:ascii="Verdana" w:eastAsia="Calibri" w:hAnsi="Verdana" w:cs="Arial"/>
          <w:color w:val="000000" w:themeColor="text1"/>
          <w:sz w:val="20"/>
          <w:szCs w:val="20"/>
        </w:rPr>
        <w:t>Por lo tanto, la entidad estatal en el trámite de autorización de una cesión de posición contractual está obligada a respetar los criterios normativos que resulten aplicables al proceso de contratación, entre otros, los principios de transparencia, selección objetiva e igualdad. En otros términos, so pretexto de una cesión contractual, no pueden vulnerarse las reglas y principios de la contratación estatal.</w:t>
      </w:r>
    </w:p>
    <w:p w14:paraId="234331A5" w14:textId="77777777" w:rsidR="00B711FB" w:rsidRDefault="00B711FB" w:rsidP="009E1BA8">
      <w:pPr>
        <w:tabs>
          <w:tab w:val="left" w:pos="709"/>
        </w:tabs>
        <w:spacing w:after="0" w:line="240" w:lineRule="auto"/>
        <w:jc w:val="both"/>
        <w:rPr>
          <w:rFonts w:ascii="Verdana" w:eastAsia="Calibri" w:hAnsi="Verdana" w:cs="Arial"/>
          <w:color w:val="000000" w:themeColor="text1"/>
          <w:sz w:val="20"/>
          <w:szCs w:val="20"/>
        </w:rPr>
      </w:pPr>
    </w:p>
    <w:p w14:paraId="6072E54D" w14:textId="59F5D5E1" w:rsidR="00B711FB" w:rsidRPr="009E1BA8" w:rsidRDefault="00B711FB" w:rsidP="009E1BA8">
      <w:pPr>
        <w:tabs>
          <w:tab w:val="left" w:pos="709"/>
        </w:tabs>
        <w:spacing w:after="0" w:line="240" w:lineRule="auto"/>
        <w:jc w:val="both"/>
        <w:rPr>
          <w:rFonts w:ascii="Verdana" w:eastAsia="Calibri" w:hAnsi="Verdana" w:cs="Arial"/>
          <w:color w:val="000000" w:themeColor="text1"/>
          <w:sz w:val="20"/>
          <w:szCs w:val="20"/>
        </w:rPr>
      </w:pPr>
      <w:r w:rsidRPr="00B711FB">
        <w:rPr>
          <w:rFonts w:ascii="Verdana" w:eastAsia="Calibri" w:hAnsi="Verdana" w:cs="Arial"/>
          <w:color w:val="000000" w:themeColor="text1"/>
          <w:sz w:val="20"/>
          <w:szCs w:val="20"/>
        </w:rPr>
        <w:t>Además, 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 este cederá su participación a un tercero previa autorización escrita de la entidad contratante (…)”, y establece que “(…) En ningún caso, podrá haber cesión del contrato entre quienes integran el consorcio o unión temporal”.</w:t>
      </w:r>
    </w:p>
    <w:p w14:paraId="021D2978" w14:textId="77777777" w:rsidR="00B711FB" w:rsidRDefault="00B711FB" w:rsidP="00B711FB">
      <w:pPr>
        <w:spacing w:after="0" w:line="240" w:lineRule="auto"/>
        <w:jc w:val="both"/>
        <w:rPr>
          <w:rFonts w:ascii="Verdana" w:eastAsia="Aptos" w:hAnsi="Verdana" w:cs="Times New Roman"/>
          <w:b/>
          <w:bCs/>
          <w:shd w:val="clear" w:color="auto" w:fill="FFFFFF"/>
        </w:rPr>
      </w:pPr>
    </w:p>
    <w:p w14:paraId="0E072E1B" w14:textId="0B3EC521" w:rsidR="003901E9" w:rsidRDefault="003901E9" w:rsidP="00430628">
      <w:pPr>
        <w:spacing w:after="0" w:line="240" w:lineRule="auto"/>
        <w:jc w:val="both"/>
        <w:rPr>
          <w:rFonts w:ascii="Verdana" w:eastAsia="Aptos" w:hAnsi="Verdana" w:cs="Times New Roman"/>
          <w:b/>
          <w:bCs/>
          <w:shd w:val="clear" w:color="auto" w:fill="FFFFFF"/>
          <w:lang w:val="es-ES"/>
        </w:rPr>
      </w:pPr>
      <w:r w:rsidRPr="003901E9">
        <w:rPr>
          <w:rFonts w:ascii="Verdana" w:eastAsia="Aptos" w:hAnsi="Verdana" w:cs="Times New Roman"/>
          <w:b/>
          <w:bCs/>
          <w:shd w:val="clear" w:color="auto" w:fill="FFFFFF"/>
          <w:lang w:val="es-ES"/>
        </w:rPr>
        <w:t xml:space="preserve">PROPONENTE PLURAL ‒ Consorcio ‒ Unión temporal ‒ Concepto – Diferencias </w:t>
      </w:r>
    </w:p>
    <w:p w14:paraId="4552B467" w14:textId="77777777" w:rsidR="00430628" w:rsidRDefault="00430628" w:rsidP="003901E9">
      <w:pPr>
        <w:spacing w:after="0" w:line="240" w:lineRule="auto"/>
        <w:jc w:val="both"/>
        <w:rPr>
          <w:rFonts w:ascii="Verdana" w:hAnsi="Verdana" w:cs="Arial"/>
          <w:sz w:val="20"/>
          <w:szCs w:val="20"/>
          <w:lang w:val="es-ES_tradnl"/>
        </w:rPr>
      </w:pPr>
    </w:p>
    <w:p w14:paraId="67CAF707" w14:textId="54A1269A" w:rsidR="00430628" w:rsidRDefault="00B711FB" w:rsidP="003901E9">
      <w:pPr>
        <w:spacing w:after="0" w:line="240" w:lineRule="auto"/>
        <w:jc w:val="both"/>
        <w:rPr>
          <w:rFonts w:ascii="Verdana" w:eastAsia="Calibri" w:hAnsi="Verdana" w:cs="Arial"/>
          <w:bCs/>
          <w:color w:val="000000" w:themeColor="text1"/>
          <w:sz w:val="20"/>
          <w:szCs w:val="20"/>
          <w:lang w:val="es-MX"/>
        </w:rPr>
      </w:pPr>
      <w:r w:rsidRPr="00B711FB">
        <w:rPr>
          <w:rFonts w:ascii="Verdana" w:hAnsi="Verdana" w:cs="Arial"/>
          <w:sz w:val="20"/>
          <w:szCs w:val="20"/>
          <w:lang w:val="es-ES_tradnl"/>
        </w:rPr>
        <w:lastRenderedPageBreak/>
        <w:t xml:space="preserve">Si bien las personas pueden presentarse individualmente a los procesos de selección, también pueden hacerlo en forma plural a través de consorcios o uniones temporales. En efecto, </w:t>
      </w:r>
      <w:r w:rsidRPr="00B711FB">
        <w:rPr>
          <w:rFonts w:ascii="Verdana" w:eastAsia="Calibri" w:hAnsi="Verdana" w:cs="Arial"/>
          <w:sz w:val="20"/>
          <w:szCs w:val="20"/>
          <w:lang w:val="es-MX"/>
        </w:rPr>
        <w:t>de acuerdo con el Código Civil, la capacidad se refiere a la facultad que la ley le confiere a la persona para ejercer derechos y contraer obligaciones. Esta norma parte del supuesto de que todas las personas naturales mayores de edad son capaces, con excepción de aquellas que la ley expresamente excluye de esta presunción –artículos 1502, 1503 y 1504–, y de que la capacidad de las personas jurídicas se circunscribe a su objeto social –artículo 99 del Código de Comercio–. Al respecto, 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 los consorcios y uniones temporales”.</w:t>
      </w:r>
    </w:p>
    <w:p w14:paraId="1F451B4D" w14:textId="77777777" w:rsidR="00430628" w:rsidRDefault="00430628" w:rsidP="003901E9">
      <w:pPr>
        <w:spacing w:after="0" w:line="240" w:lineRule="auto"/>
        <w:jc w:val="both"/>
        <w:rPr>
          <w:rFonts w:ascii="Verdana" w:eastAsia="Calibri" w:hAnsi="Verdana" w:cs="Arial"/>
          <w:bCs/>
          <w:color w:val="000000" w:themeColor="text1"/>
          <w:sz w:val="20"/>
          <w:szCs w:val="20"/>
          <w:lang w:val="es-MX"/>
        </w:rPr>
      </w:pPr>
    </w:p>
    <w:p w14:paraId="4345F220" w14:textId="7073A31A" w:rsidR="003901E9" w:rsidRDefault="003901E9" w:rsidP="003901E9">
      <w:pPr>
        <w:spacing w:after="0" w:line="240" w:lineRule="auto"/>
        <w:jc w:val="both"/>
        <w:rPr>
          <w:rFonts w:ascii="Verdana" w:eastAsia="Aptos" w:hAnsi="Verdana" w:cs="Times New Roman"/>
          <w:b/>
          <w:bCs/>
          <w:shd w:val="clear" w:color="auto" w:fill="FFFFFF"/>
          <w:lang w:val="es-ES"/>
        </w:rPr>
      </w:pPr>
      <w:r w:rsidRPr="003901E9">
        <w:rPr>
          <w:rFonts w:ascii="Verdana" w:eastAsia="Aptos" w:hAnsi="Verdana" w:cs="Times New Roman"/>
          <w:b/>
          <w:bCs/>
          <w:shd w:val="clear" w:color="auto" w:fill="FFFFFF"/>
          <w:lang w:val="es-ES"/>
        </w:rPr>
        <w:t>CONSORCIOS Y UNIONES TEMPORALES – Ausencia de personería jurídica – falta de capacidad como cesionarios</w:t>
      </w:r>
    </w:p>
    <w:p w14:paraId="4628070C" w14:textId="77777777" w:rsidR="00430628" w:rsidRDefault="00430628" w:rsidP="003901E9">
      <w:pPr>
        <w:spacing w:after="0" w:line="240" w:lineRule="auto"/>
        <w:jc w:val="both"/>
        <w:rPr>
          <w:rFonts w:ascii="Verdana" w:eastAsia="Aptos" w:hAnsi="Verdana" w:cs="Times New Roman"/>
          <w:b/>
          <w:bCs/>
          <w:shd w:val="clear" w:color="auto" w:fill="FFFFFF"/>
          <w:lang w:val="es-ES"/>
        </w:rPr>
      </w:pPr>
    </w:p>
    <w:p w14:paraId="329D6825" w14:textId="5BB1172D" w:rsidR="00430628" w:rsidRDefault="00430628" w:rsidP="00430628">
      <w:pPr>
        <w:spacing w:after="0" w:line="240" w:lineRule="auto"/>
        <w:jc w:val="both"/>
        <w:rPr>
          <w:rFonts w:ascii="Verdana" w:eastAsia="Calibri" w:hAnsi="Verdana" w:cs="Arial"/>
          <w:bCs/>
          <w:color w:val="000000" w:themeColor="text1"/>
          <w:sz w:val="20"/>
          <w:szCs w:val="20"/>
          <w:lang w:val="es-ES"/>
        </w:rPr>
      </w:pPr>
      <w:r w:rsidRPr="00430628">
        <w:rPr>
          <w:rFonts w:ascii="Verdana" w:eastAsia="Calibri" w:hAnsi="Verdana" w:cs="Arial"/>
          <w:bCs/>
          <w:color w:val="000000" w:themeColor="text1"/>
          <w:sz w:val="20"/>
          <w:szCs w:val="20"/>
          <w:lang w:val="es-ES"/>
        </w:rPr>
        <w:t xml:space="preserve">Debido a que los consorcios y las uniones temporales no son personas jurídicas, 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 </w:t>
      </w:r>
    </w:p>
    <w:p w14:paraId="2D54C0AB" w14:textId="77777777" w:rsidR="00430628" w:rsidRDefault="00430628" w:rsidP="00430628">
      <w:pPr>
        <w:spacing w:after="0" w:line="240" w:lineRule="auto"/>
        <w:jc w:val="both"/>
        <w:rPr>
          <w:rFonts w:ascii="Verdana" w:eastAsia="Calibri" w:hAnsi="Verdana" w:cs="Arial"/>
          <w:bCs/>
          <w:color w:val="000000" w:themeColor="text1"/>
          <w:sz w:val="20"/>
          <w:szCs w:val="20"/>
          <w:lang w:val="es-ES"/>
        </w:rPr>
      </w:pPr>
    </w:p>
    <w:p w14:paraId="3FF33CA9" w14:textId="07B7B2D8" w:rsidR="00430628" w:rsidRDefault="00430628" w:rsidP="00430628">
      <w:pPr>
        <w:spacing w:after="0" w:line="240" w:lineRule="auto"/>
        <w:jc w:val="both"/>
        <w:rPr>
          <w:rFonts w:ascii="Verdana" w:eastAsia="Calibri" w:hAnsi="Verdana" w:cs="Arial"/>
          <w:bCs/>
          <w:color w:val="000000" w:themeColor="text1"/>
          <w:sz w:val="20"/>
          <w:szCs w:val="20"/>
          <w:lang w:val="es-ES"/>
        </w:rPr>
      </w:pPr>
      <w:r>
        <w:rPr>
          <w:rFonts w:ascii="Verdana" w:eastAsia="Calibri" w:hAnsi="Verdana" w:cs="Arial"/>
          <w:bCs/>
          <w:color w:val="000000" w:themeColor="text1"/>
          <w:sz w:val="20"/>
          <w:szCs w:val="20"/>
          <w:lang w:val="es-ES"/>
        </w:rPr>
        <w:t xml:space="preserve">[…] </w:t>
      </w:r>
      <w:r w:rsidRPr="00430628">
        <w:rPr>
          <w:rFonts w:ascii="Verdana" w:eastAsia="Calibri" w:hAnsi="Verdana" w:cs="Arial"/>
          <w:bCs/>
          <w:color w:val="000000" w:themeColor="text1"/>
          <w:sz w:val="20"/>
          <w:szCs w:val="20"/>
          <w:lang w:val="es-ES"/>
        </w:rPr>
        <w:t xml:space="preserve">el artículo </w:t>
      </w:r>
      <w:r>
        <w:rPr>
          <w:rFonts w:ascii="Verdana" w:eastAsia="Calibri" w:hAnsi="Verdana" w:cs="Arial"/>
          <w:bCs/>
          <w:color w:val="000000" w:themeColor="text1"/>
          <w:sz w:val="20"/>
          <w:szCs w:val="20"/>
          <w:lang w:val="es-ES"/>
        </w:rPr>
        <w:t>[…]</w:t>
      </w:r>
      <w:r w:rsidRPr="00430628">
        <w:rPr>
          <w:rFonts w:ascii="Verdana" w:eastAsia="Calibri" w:hAnsi="Verdana" w:cs="Arial"/>
          <w:bCs/>
          <w:color w:val="000000" w:themeColor="text1"/>
          <w:sz w:val="20"/>
          <w:szCs w:val="20"/>
          <w:lang w:val="es-ES"/>
        </w:rPr>
        <w:t xml:space="preserve"> señala que el consorcio o la unión temporal se da “Cuando dos o más personas en forma conjunta presentan una misma propuesta para la adjudicación, celebración y ejecución de un contrato (…)”.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w:t>
      </w:r>
    </w:p>
    <w:p w14:paraId="067AFD6B" w14:textId="77777777" w:rsidR="00430628" w:rsidRPr="00430628" w:rsidRDefault="00430628" w:rsidP="00430628">
      <w:pPr>
        <w:spacing w:after="0" w:line="240" w:lineRule="auto"/>
        <w:jc w:val="both"/>
        <w:rPr>
          <w:rFonts w:ascii="Verdana" w:eastAsia="Calibri" w:hAnsi="Verdana" w:cs="Arial"/>
          <w:bCs/>
          <w:color w:val="000000" w:themeColor="text1"/>
          <w:sz w:val="20"/>
          <w:szCs w:val="20"/>
        </w:rPr>
      </w:pPr>
    </w:p>
    <w:p w14:paraId="7A04A7C7" w14:textId="0435C106" w:rsidR="00430628" w:rsidRDefault="00430628" w:rsidP="00430628">
      <w:pPr>
        <w:spacing w:after="0" w:line="240" w:lineRule="auto"/>
        <w:jc w:val="both"/>
        <w:rPr>
          <w:rFonts w:ascii="Verdana" w:eastAsia="Calibri" w:hAnsi="Verdana" w:cs="Arial"/>
          <w:bCs/>
          <w:color w:val="000000" w:themeColor="text1"/>
          <w:sz w:val="20"/>
          <w:szCs w:val="20"/>
          <w:lang w:val="es-ES"/>
        </w:rPr>
      </w:pPr>
      <w:r>
        <w:rPr>
          <w:rFonts w:ascii="Verdana" w:eastAsia="Calibri" w:hAnsi="Verdana" w:cs="Arial"/>
          <w:bCs/>
          <w:color w:val="000000" w:themeColor="text1"/>
          <w:sz w:val="20"/>
          <w:szCs w:val="20"/>
          <w:lang w:val="es-ES"/>
        </w:rPr>
        <w:t xml:space="preserve">[…] </w:t>
      </w:r>
      <w:r w:rsidRPr="00430628">
        <w:rPr>
          <w:rFonts w:ascii="Verdana" w:eastAsia="Calibri" w:hAnsi="Verdana" w:cs="Arial"/>
          <w:bCs/>
          <w:color w:val="000000" w:themeColor="text1"/>
          <w:sz w:val="20"/>
          <w:szCs w:val="20"/>
          <w:lang w:val="es-ES"/>
        </w:rPr>
        <w:t>La capacidad jurídica de los proponentes plurales se limita al campo de la contratación estatal de las entidades sometidas al EGCAP, es decir, a las relaciones en consorcios y las uniones temporales con las entidades estatales del artículo 2 de la Ley 80 de 1993. Esta precisión es importante, porque la habilitación de los numerales 6 y 7 del artículo 7 ibidem no les otorgan capacidad respecto a las relaciones entre particulares, como las que surgen entre el cedente y el cesionario del contrato. Como este último debe ser un tercero, es indispensable la personalidad jurídica.</w:t>
      </w:r>
    </w:p>
    <w:p w14:paraId="2509AF5F" w14:textId="77777777" w:rsidR="00430628" w:rsidRDefault="00430628" w:rsidP="00430628">
      <w:pPr>
        <w:spacing w:after="0" w:line="240" w:lineRule="auto"/>
        <w:jc w:val="both"/>
        <w:rPr>
          <w:rFonts w:ascii="Verdana" w:eastAsia="Calibri" w:hAnsi="Verdana" w:cs="Arial"/>
          <w:bCs/>
          <w:color w:val="000000" w:themeColor="text1"/>
          <w:sz w:val="20"/>
          <w:szCs w:val="20"/>
          <w:lang w:val="es-ES"/>
        </w:rPr>
      </w:pPr>
    </w:p>
    <w:p w14:paraId="1DA6DF70" w14:textId="43C80BD6" w:rsidR="00430628" w:rsidRPr="00430628" w:rsidRDefault="00430628" w:rsidP="00430628">
      <w:pPr>
        <w:spacing w:after="0" w:line="240" w:lineRule="auto"/>
        <w:jc w:val="both"/>
        <w:rPr>
          <w:rFonts w:ascii="Verdana" w:hAnsi="Verdana" w:cs="Arial"/>
          <w:color w:val="000000" w:themeColor="text1"/>
          <w:sz w:val="20"/>
          <w:szCs w:val="20"/>
        </w:rPr>
      </w:pPr>
      <w:r>
        <w:rPr>
          <w:rFonts w:ascii="Verdana" w:hAnsi="Verdana" w:cs="Arial"/>
          <w:color w:val="000000" w:themeColor="text1"/>
          <w:sz w:val="20"/>
          <w:szCs w:val="20"/>
        </w:rPr>
        <w:t xml:space="preserve">[…] </w:t>
      </w:r>
      <w:r w:rsidRPr="00430628">
        <w:rPr>
          <w:rFonts w:ascii="Verdana" w:hAnsi="Verdana" w:cs="Arial"/>
          <w:color w:val="000000" w:themeColor="text1"/>
          <w:sz w:val="20"/>
          <w:szCs w:val="20"/>
        </w:rPr>
        <w:t xml:space="preserve">De acuerdo con el inciso primero del artículo 73 del Código Civil las personas son naturales o jurídicas. Conforme al artículo 74 </w:t>
      </w:r>
      <w:r w:rsidRPr="00430628">
        <w:rPr>
          <w:rFonts w:ascii="Verdana" w:hAnsi="Verdana" w:cs="Arial"/>
          <w:i/>
          <w:iCs/>
          <w:color w:val="000000" w:themeColor="text1"/>
          <w:sz w:val="20"/>
          <w:szCs w:val="20"/>
        </w:rPr>
        <w:t>ibidem</w:t>
      </w:r>
      <w:r w:rsidRPr="00430628">
        <w:rPr>
          <w:rFonts w:ascii="Verdana" w:hAnsi="Verdana" w:cs="Arial"/>
          <w:color w:val="000000" w:themeColor="text1"/>
          <w:sz w:val="20"/>
          <w:szCs w:val="20"/>
        </w:rPr>
        <w:t>, las primeras corresponden a “</w:t>
      </w:r>
      <w:r w:rsidRPr="00430628">
        <w:rPr>
          <w:rFonts w:ascii="Verdana" w:eastAsia="Calibri" w:hAnsi="Verdana" w:cs="Arial"/>
          <w:sz w:val="20"/>
          <w:szCs w:val="20"/>
          <w:lang w:val="es-MX"/>
        </w:rPr>
        <w:t xml:space="preserve">(…) </w:t>
      </w:r>
      <w:r w:rsidRPr="00430628">
        <w:rPr>
          <w:rFonts w:ascii="Verdana" w:hAnsi="Verdana" w:cs="Arial"/>
          <w:color w:val="000000" w:themeColor="text1"/>
          <w:sz w:val="20"/>
          <w:szCs w:val="20"/>
        </w:rPr>
        <w:t xml:space="preserve">todos los individuos de la especie humana, cualquiera que sea su edad, sexo, estirpe o condición”. En contraste, con fundamento en el inciso primero artículo 633 </w:t>
      </w:r>
      <w:r w:rsidRPr="00430628">
        <w:rPr>
          <w:rFonts w:ascii="Verdana" w:hAnsi="Verdana" w:cs="Arial"/>
          <w:i/>
          <w:iCs/>
          <w:color w:val="000000" w:themeColor="text1"/>
          <w:sz w:val="20"/>
          <w:szCs w:val="20"/>
        </w:rPr>
        <w:t>ibidem</w:t>
      </w:r>
      <w:r w:rsidRPr="00430628">
        <w:rPr>
          <w:rFonts w:ascii="Verdana" w:hAnsi="Verdana" w:cs="Arial"/>
          <w:color w:val="000000" w:themeColor="text1"/>
          <w:sz w:val="20"/>
          <w:szCs w:val="20"/>
        </w:rPr>
        <w:t>, las segundas son “</w:t>
      </w:r>
      <w:r w:rsidRPr="00430628">
        <w:rPr>
          <w:rFonts w:ascii="Verdana" w:eastAsia="Calibri" w:hAnsi="Verdana" w:cs="Arial"/>
          <w:sz w:val="20"/>
          <w:szCs w:val="20"/>
          <w:lang w:val="es-MX"/>
        </w:rPr>
        <w:t>(…)</w:t>
      </w:r>
      <w:r w:rsidRPr="00430628">
        <w:rPr>
          <w:rFonts w:ascii="Verdana" w:hAnsi="Verdana" w:cs="Arial"/>
          <w:color w:val="000000" w:themeColor="text1"/>
          <w:sz w:val="20"/>
          <w:szCs w:val="20"/>
        </w:rPr>
        <w:t xml:space="preserve"> una persona ficticia, capaz de ejercer derechos y contraer obligaciones civiles, y de ser representada judicial y extrajudicialmente”. Como se </w:t>
      </w:r>
      <w:r w:rsidRPr="00430628">
        <w:rPr>
          <w:rFonts w:ascii="Verdana" w:hAnsi="Verdana" w:cs="Arial"/>
          <w:color w:val="000000" w:themeColor="text1"/>
          <w:sz w:val="20"/>
          <w:szCs w:val="20"/>
        </w:rPr>
        <w:lastRenderedPageBreak/>
        <w:t xml:space="preserve">explicó </w:t>
      </w:r>
      <w:r w:rsidRPr="00430628">
        <w:rPr>
          <w:rFonts w:ascii="Verdana" w:hAnsi="Verdana" w:cs="Arial"/>
          <w:i/>
          <w:iCs/>
          <w:color w:val="000000" w:themeColor="text1"/>
          <w:sz w:val="20"/>
          <w:szCs w:val="20"/>
        </w:rPr>
        <w:t>ut supra</w:t>
      </w:r>
      <w:r w:rsidRPr="00430628">
        <w:rPr>
          <w:rFonts w:ascii="Verdana" w:hAnsi="Verdana" w:cs="Arial"/>
          <w:color w:val="000000" w:themeColor="text1"/>
          <w:sz w:val="20"/>
          <w:szCs w:val="20"/>
        </w:rPr>
        <w:t>, los consorcios y las uniones temporales carecen de esta naturaleza. Asimismo, los numerales 6 y 7 del artículo 7 de la Ley 80 de 1993 tampoco otorgan capacidad a los proponentes plurales para ser cesionarios; por lo tanto, no existe una habilitación legal para que los contratistas cedan su posición contractual a los consorcios o uniones temporales.</w:t>
      </w:r>
    </w:p>
    <w:p w14:paraId="25D689E1" w14:textId="77777777" w:rsidR="00430628" w:rsidRPr="00821723" w:rsidRDefault="00430628" w:rsidP="00430628">
      <w:pPr>
        <w:tabs>
          <w:tab w:val="left" w:pos="142"/>
          <w:tab w:val="left" w:pos="284"/>
          <w:tab w:val="left" w:pos="3828"/>
        </w:tabs>
        <w:spacing w:after="0" w:line="276" w:lineRule="auto"/>
        <w:rPr>
          <w:rFonts w:ascii="Verdana" w:eastAsia="Times New Roman" w:hAnsi="Verdana" w:cs="Arial"/>
          <w:bCs/>
          <w:lang w:eastAsia="es-CO" w:bidi="es-ES"/>
        </w:rPr>
      </w:pPr>
    </w:p>
    <w:p w14:paraId="441CBDB7" w14:textId="77777777" w:rsidR="00430628" w:rsidRPr="00430628" w:rsidRDefault="00430628" w:rsidP="00430628">
      <w:pPr>
        <w:spacing w:after="0" w:line="240" w:lineRule="auto"/>
        <w:jc w:val="both"/>
        <w:rPr>
          <w:rFonts w:ascii="Verdana" w:eastAsia="Calibri" w:hAnsi="Verdana" w:cs="Arial"/>
          <w:bCs/>
          <w:color w:val="000000" w:themeColor="text1"/>
          <w:sz w:val="20"/>
          <w:szCs w:val="20"/>
        </w:rPr>
      </w:pPr>
    </w:p>
    <w:p w14:paraId="77278C80" w14:textId="77777777" w:rsidR="003901E9" w:rsidRDefault="003901E9" w:rsidP="002434BA">
      <w:pPr>
        <w:spacing w:after="0" w:line="240" w:lineRule="auto"/>
        <w:jc w:val="both"/>
        <w:rPr>
          <w:rFonts w:ascii="Verdana" w:eastAsia="Calibri" w:hAnsi="Verdana" w:cs="Arial"/>
          <w:lang w:val="es-MX" w:eastAsia="es-ES"/>
        </w:rPr>
      </w:pPr>
    </w:p>
    <w:p w14:paraId="42DC63EC" w14:textId="77777777" w:rsidR="00430628" w:rsidRDefault="00430628" w:rsidP="002434BA">
      <w:pPr>
        <w:spacing w:after="0" w:line="240" w:lineRule="auto"/>
        <w:jc w:val="both"/>
        <w:rPr>
          <w:rFonts w:ascii="Verdana" w:eastAsia="Calibri" w:hAnsi="Verdana" w:cs="Arial"/>
          <w:lang w:val="es-MX" w:eastAsia="es-ES"/>
        </w:rPr>
      </w:pPr>
    </w:p>
    <w:p w14:paraId="33989E98" w14:textId="77777777" w:rsidR="00430628" w:rsidRDefault="00430628" w:rsidP="002434BA">
      <w:pPr>
        <w:spacing w:after="0" w:line="240" w:lineRule="auto"/>
        <w:jc w:val="both"/>
        <w:rPr>
          <w:rFonts w:ascii="Verdana" w:eastAsia="Calibri" w:hAnsi="Verdana" w:cs="Arial"/>
          <w:lang w:val="es-MX" w:eastAsia="es-ES"/>
        </w:rPr>
      </w:pPr>
    </w:p>
    <w:p w14:paraId="51AE6423" w14:textId="77777777" w:rsidR="00430628" w:rsidRDefault="00430628" w:rsidP="002434BA">
      <w:pPr>
        <w:spacing w:after="0" w:line="240" w:lineRule="auto"/>
        <w:jc w:val="both"/>
        <w:rPr>
          <w:rFonts w:ascii="Verdana" w:eastAsia="Calibri" w:hAnsi="Verdana" w:cs="Arial"/>
          <w:lang w:val="es-MX" w:eastAsia="es-ES"/>
        </w:rPr>
      </w:pPr>
    </w:p>
    <w:p w14:paraId="21BFB5CA" w14:textId="77777777" w:rsidR="00430628" w:rsidRDefault="00430628" w:rsidP="002434BA">
      <w:pPr>
        <w:spacing w:after="0" w:line="240" w:lineRule="auto"/>
        <w:jc w:val="both"/>
        <w:rPr>
          <w:rFonts w:ascii="Verdana" w:eastAsia="Calibri" w:hAnsi="Verdana" w:cs="Arial"/>
          <w:lang w:val="es-MX" w:eastAsia="es-ES"/>
        </w:rPr>
      </w:pPr>
    </w:p>
    <w:p w14:paraId="6E6996F6" w14:textId="77777777" w:rsidR="00430628" w:rsidRDefault="00430628" w:rsidP="002434BA">
      <w:pPr>
        <w:spacing w:after="0" w:line="240" w:lineRule="auto"/>
        <w:jc w:val="both"/>
        <w:rPr>
          <w:rFonts w:ascii="Verdana" w:eastAsia="Calibri" w:hAnsi="Verdana" w:cs="Arial"/>
          <w:lang w:val="es-MX" w:eastAsia="es-ES"/>
        </w:rPr>
      </w:pPr>
    </w:p>
    <w:p w14:paraId="6FB038DC" w14:textId="77777777" w:rsidR="00430628" w:rsidRDefault="00430628" w:rsidP="002434BA">
      <w:pPr>
        <w:spacing w:after="0" w:line="240" w:lineRule="auto"/>
        <w:jc w:val="both"/>
        <w:rPr>
          <w:rFonts w:ascii="Verdana" w:eastAsia="Calibri" w:hAnsi="Verdana" w:cs="Arial"/>
          <w:lang w:val="es-MX" w:eastAsia="es-ES"/>
        </w:rPr>
      </w:pPr>
    </w:p>
    <w:p w14:paraId="5BC8014E" w14:textId="77777777" w:rsidR="00430628" w:rsidRDefault="00430628" w:rsidP="002434BA">
      <w:pPr>
        <w:spacing w:after="0" w:line="240" w:lineRule="auto"/>
        <w:jc w:val="both"/>
        <w:rPr>
          <w:rFonts w:ascii="Verdana" w:eastAsia="Calibri" w:hAnsi="Verdana" w:cs="Arial"/>
          <w:lang w:val="es-MX" w:eastAsia="es-ES"/>
        </w:rPr>
      </w:pPr>
    </w:p>
    <w:p w14:paraId="11B4FEB3" w14:textId="77777777" w:rsidR="00430628" w:rsidRDefault="00430628" w:rsidP="002434BA">
      <w:pPr>
        <w:spacing w:after="0" w:line="240" w:lineRule="auto"/>
        <w:jc w:val="both"/>
        <w:rPr>
          <w:rFonts w:ascii="Verdana" w:eastAsia="Calibri" w:hAnsi="Verdana" w:cs="Arial"/>
          <w:lang w:val="es-MX" w:eastAsia="es-ES"/>
        </w:rPr>
      </w:pPr>
    </w:p>
    <w:p w14:paraId="61AA83E2" w14:textId="77777777" w:rsidR="00430628" w:rsidRDefault="00430628" w:rsidP="002434BA">
      <w:pPr>
        <w:spacing w:after="0" w:line="240" w:lineRule="auto"/>
        <w:jc w:val="both"/>
        <w:rPr>
          <w:rFonts w:ascii="Verdana" w:eastAsia="Calibri" w:hAnsi="Verdana" w:cs="Arial"/>
          <w:lang w:val="es-MX" w:eastAsia="es-ES"/>
        </w:rPr>
      </w:pPr>
    </w:p>
    <w:p w14:paraId="3BF6422D" w14:textId="77777777" w:rsidR="00430628" w:rsidRDefault="00430628" w:rsidP="002434BA">
      <w:pPr>
        <w:spacing w:after="0" w:line="240" w:lineRule="auto"/>
        <w:jc w:val="both"/>
        <w:rPr>
          <w:rFonts w:ascii="Verdana" w:eastAsia="Calibri" w:hAnsi="Verdana" w:cs="Arial"/>
          <w:lang w:val="es-MX" w:eastAsia="es-ES"/>
        </w:rPr>
      </w:pPr>
    </w:p>
    <w:p w14:paraId="7A20F541" w14:textId="77777777" w:rsidR="00430628" w:rsidRDefault="00430628" w:rsidP="002434BA">
      <w:pPr>
        <w:spacing w:after="0" w:line="240" w:lineRule="auto"/>
        <w:jc w:val="both"/>
        <w:rPr>
          <w:rFonts w:ascii="Verdana" w:eastAsia="Calibri" w:hAnsi="Verdana" w:cs="Arial"/>
          <w:lang w:val="es-MX" w:eastAsia="es-ES"/>
        </w:rPr>
      </w:pPr>
    </w:p>
    <w:p w14:paraId="54D9B9B5" w14:textId="77777777" w:rsidR="00430628" w:rsidRDefault="00430628" w:rsidP="002434BA">
      <w:pPr>
        <w:spacing w:after="0" w:line="240" w:lineRule="auto"/>
        <w:jc w:val="both"/>
        <w:rPr>
          <w:rFonts w:ascii="Verdana" w:eastAsia="Calibri" w:hAnsi="Verdana" w:cs="Arial"/>
          <w:lang w:val="es-MX" w:eastAsia="es-ES"/>
        </w:rPr>
      </w:pPr>
    </w:p>
    <w:p w14:paraId="4DF7CE6E" w14:textId="77777777" w:rsidR="00430628" w:rsidRDefault="00430628" w:rsidP="002434BA">
      <w:pPr>
        <w:spacing w:after="0" w:line="240" w:lineRule="auto"/>
        <w:jc w:val="both"/>
        <w:rPr>
          <w:rFonts w:ascii="Verdana" w:eastAsia="Calibri" w:hAnsi="Verdana" w:cs="Arial"/>
          <w:lang w:val="es-MX" w:eastAsia="es-ES"/>
        </w:rPr>
      </w:pPr>
    </w:p>
    <w:p w14:paraId="2C3D8777" w14:textId="77777777" w:rsidR="00430628" w:rsidRDefault="00430628" w:rsidP="002434BA">
      <w:pPr>
        <w:spacing w:after="0" w:line="240" w:lineRule="auto"/>
        <w:jc w:val="both"/>
        <w:rPr>
          <w:rFonts w:ascii="Verdana" w:eastAsia="Calibri" w:hAnsi="Verdana" w:cs="Arial"/>
          <w:lang w:val="es-MX" w:eastAsia="es-ES"/>
        </w:rPr>
      </w:pPr>
    </w:p>
    <w:p w14:paraId="62D0513D" w14:textId="77777777" w:rsidR="00430628" w:rsidRDefault="00430628" w:rsidP="002434BA">
      <w:pPr>
        <w:spacing w:after="0" w:line="240" w:lineRule="auto"/>
        <w:jc w:val="both"/>
        <w:rPr>
          <w:rFonts w:ascii="Verdana" w:eastAsia="Calibri" w:hAnsi="Verdana" w:cs="Arial"/>
          <w:lang w:val="es-MX" w:eastAsia="es-ES"/>
        </w:rPr>
      </w:pPr>
    </w:p>
    <w:p w14:paraId="08A17394" w14:textId="77777777" w:rsidR="00430628" w:rsidRDefault="00430628" w:rsidP="002434BA">
      <w:pPr>
        <w:spacing w:after="0" w:line="240" w:lineRule="auto"/>
        <w:jc w:val="both"/>
        <w:rPr>
          <w:rFonts w:ascii="Verdana" w:eastAsia="Calibri" w:hAnsi="Verdana" w:cs="Arial"/>
          <w:lang w:val="es-MX" w:eastAsia="es-ES"/>
        </w:rPr>
      </w:pPr>
    </w:p>
    <w:p w14:paraId="68C9B017" w14:textId="77777777" w:rsidR="00430628" w:rsidRDefault="00430628" w:rsidP="002434BA">
      <w:pPr>
        <w:spacing w:after="0" w:line="240" w:lineRule="auto"/>
        <w:jc w:val="both"/>
        <w:rPr>
          <w:rFonts w:ascii="Verdana" w:eastAsia="Calibri" w:hAnsi="Verdana" w:cs="Arial"/>
          <w:lang w:val="es-MX" w:eastAsia="es-ES"/>
        </w:rPr>
      </w:pPr>
    </w:p>
    <w:p w14:paraId="5D952228" w14:textId="77777777" w:rsidR="00430628" w:rsidRDefault="00430628" w:rsidP="002434BA">
      <w:pPr>
        <w:spacing w:after="0" w:line="240" w:lineRule="auto"/>
        <w:jc w:val="both"/>
        <w:rPr>
          <w:rFonts w:ascii="Verdana" w:eastAsia="Calibri" w:hAnsi="Verdana" w:cs="Arial"/>
          <w:lang w:val="es-MX" w:eastAsia="es-ES"/>
        </w:rPr>
      </w:pPr>
    </w:p>
    <w:p w14:paraId="2FA83303" w14:textId="77777777" w:rsidR="00430628" w:rsidRDefault="00430628" w:rsidP="002434BA">
      <w:pPr>
        <w:spacing w:after="0" w:line="240" w:lineRule="auto"/>
        <w:jc w:val="both"/>
        <w:rPr>
          <w:rFonts w:ascii="Verdana" w:eastAsia="Calibri" w:hAnsi="Verdana" w:cs="Arial"/>
          <w:lang w:val="es-MX" w:eastAsia="es-ES"/>
        </w:rPr>
      </w:pPr>
    </w:p>
    <w:p w14:paraId="0C3DF792" w14:textId="77777777" w:rsidR="00430628" w:rsidRDefault="00430628" w:rsidP="002434BA">
      <w:pPr>
        <w:spacing w:after="0" w:line="240" w:lineRule="auto"/>
        <w:jc w:val="both"/>
        <w:rPr>
          <w:rFonts w:ascii="Verdana" w:eastAsia="Calibri" w:hAnsi="Verdana" w:cs="Arial"/>
          <w:lang w:val="es-MX" w:eastAsia="es-ES"/>
        </w:rPr>
      </w:pPr>
    </w:p>
    <w:p w14:paraId="3D70CF36" w14:textId="77777777" w:rsidR="00430628" w:rsidRDefault="00430628" w:rsidP="002434BA">
      <w:pPr>
        <w:spacing w:after="0" w:line="240" w:lineRule="auto"/>
        <w:jc w:val="both"/>
        <w:rPr>
          <w:rFonts w:ascii="Verdana" w:eastAsia="Calibri" w:hAnsi="Verdana" w:cs="Arial"/>
          <w:lang w:val="es-MX" w:eastAsia="es-ES"/>
        </w:rPr>
      </w:pPr>
    </w:p>
    <w:p w14:paraId="05AEA520" w14:textId="77777777" w:rsidR="00430628" w:rsidRDefault="00430628" w:rsidP="002434BA">
      <w:pPr>
        <w:spacing w:after="0" w:line="240" w:lineRule="auto"/>
        <w:jc w:val="both"/>
        <w:rPr>
          <w:rFonts w:ascii="Verdana" w:eastAsia="Calibri" w:hAnsi="Verdana" w:cs="Arial"/>
          <w:lang w:val="es-MX" w:eastAsia="es-ES"/>
        </w:rPr>
      </w:pPr>
    </w:p>
    <w:p w14:paraId="0CE84815" w14:textId="77777777" w:rsidR="00430628" w:rsidRDefault="00430628" w:rsidP="002434BA">
      <w:pPr>
        <w:spacing w:after="0" w:line="240" w:lineRule="auto"/>
        <w:jc w:val="both"/>
        <w:rPr>
          <w:rFonts w:ascii="Verdana" w:eastAsia="Calibri" w:hAnsi="Verdana" w:cs="Arial"/>
          <w:lang w:val="es-MX" w:eastAsia="es-ES"/>
        </w:rPr>
      </w:pPr>
    </w:p>
    <w:p w14:paraId="22C1ECC6" w14:textId="77777777" w:rsidR="00430628" w:rsidRDefault="00430628" w:rsidP="002434BA">
      <w:pPr>
        <w:spacing w:after="0" w:line="240" w:lineRule="auto"/>
        <w:jc w:val="both"/>
        <w:rPr>
          <w:rFonts w:ascii="Verdana" w:eastAsia="Calibri" w:hAnsi="Verdana" w:cs="Arial"/>
          <w:lang w:val="es-MX" w:eastAsia="es-ES"/>
        </w:rPr>
      </w:pPr>
    </w:p>
    <w:p w14:paraId="508E8E9F" w14:textId="77777777" w:rsidR="00430628" w:rsidRDefault="00430628" w:rsidP="002434BA">
      <w:pPr>
        <w:spacing w:after="0" w:line="240" w:lineRule="auto"/>
        <w:jc w:val="both"/>
        <w:rPr>
          <w:rFonts w:ascii="Verdana" w:eastAsia="Calibri" w:hAnsi="Verdana" w:cs="Arial"/>
          <w:lang w:val="es-MX" w:eastAsia="es-ES"/>
        </w:rPr>
      </w:pPr>
    </w:p>
    <w:p w14:paraId="59588315" w14:textId="77777777" w:rsidR="00430628" w:rsidRDefault="00430628" w:rsidP="002434BA">
      <w:pPr>
        <w:spacing w:after="0" w:line="240" w:lineRule="auto"/>
        <w:jc w:val="both"/>
        <w:rPr>
          <w:rFonts w:ascii="Verdana" w:eastAsia="Calibri" w:hAnsi="Verdana" w:cs="Arial"/>
          <w:lang w:val="es-MX" w:eastAsia="es-ES"/>
        </w:rPr>
      </w:pPr>
    </w:p>
    <w:p w14:paraId="0E0F3379" w14:textId="77777777" w:rsidR="00430628" w:rsidRDefault="00430628" w:rsidP="002434BA">
      <w:pPr>
        <w:spacing w:after="0" w:line="240" w:lineRule="auto"/>
        <w:jc w:val="both"/>
        <w:rPr>
          <w:rFonts w:ascii="Verdana" w:eastAsia="Calibri" w:hAnsi="Verdana" w:cs="Arial"/>
          <w:lang w:val="es-MX" w:eastAsia="es-ES"/>
        </w:rPr>
      </w:pPr>
    </w:p>
    <w:p w14:paraId="59CC9140" w14:textId="77777777" w:rsidR="00430628" w:rsidRDefault="00430628" w:rsidP="002434BA">
      <w:pPr>
        <w:spacing w:after="0" w:line="240" w:lineRule="auto"/>
        <w:jc w:val="both"/>
        <w:rPr>
          <w:rFonts w:ascii="Verdana" w:eastAsia="Calibri" w:hAnsi="Verdana" w:cs="Arial"/>
          <w:lang w:val="es-MX" w:eastAsia="es-ES"/>
        </w:rPr>
      </w:pPr>
    </w:p>
    <w:p w14:paraId="02EC78E3" w14:textId="77777777" w:rsidR="00430628" w:rsidRDefault="00430628" w:rsidP="002434BA">
      <w:pPr>
        <w:spacing w:after="0" w:line="240" w:lineRule="auto"/>
        <w:jc w:val="both"/>
        <w:rPr>
          <w:rFonts w:ascii="Verdana" w:eastAsia="Calibri" w:hAnsi="Verdana" w:cs="Arial"/>
          <w:lang w:val="es-MX" w:eastAsia="es-ES"/>
        </w:rPr>
      </w:pPr>
    </w:p>
    <w:p w14:paraId="538CD71A" w14:textId="77777777" w:rsidR="00430628" w:rsidRDefault="00430628" w:rsidP="002434BA">
      <w:pPr>
        <w:spacing w:after="0" w:line="240" w:lineRule="auto"/>
        <w:jc w:val="both"/>
        <w:rPr>
          <w:rFonts w:ascii="Verdana" w:eastAsia="Calibri" w:hAnsi="Verdana" w:cs="Arial"/>
          <w:lang w:val="es-MX" w:eastAsia="es-ES"/>
        </w:rPr>
      </w:pPr>
    </w:p>
    <w:p w14:paraId="039D3E8E" w14:textId="77777777" w:rsidR="00430628" w:rsidRDefault="00430628" w:rsidP="002434BA">
      <w:pPr>
        <w:spacing w:after="0" w:line="240" w:lineRule="auto"/>
        <w:jc w:val="both"/>
        <w:rPr>
          <w:rFonts w:ascii="Verdana" w:eastAsia="Calibri" w:hAnsi="Verdana" w:cs="Arial"/>
          <w:lang w:val="es-MX" w:eastAsia="es-ES"/>
        </w:rPr>
      </w:pPr>
    </w:p>
    <w:p w14:paraId="323B2519" w14:textId="77777777" w:rsidR="00430628" w:rsidRPr="003901E9" w:rsidRDefault="00430628" w:rsidP="002434BA">
      <w:pPr>
        <w:spacing w:after="0" w:line="240" w:lineRule="auto"/>
        <w:jc w:val="both"/>
        <w:rPr>
          <w:rFonts w:ascii="Verdana" w:eastAsia="Calibri" w:hAnsi="Verdana" w:cs="Arial"/>
          <w:lang w:val="es-MX" w:eastAsia="es-ES"/>
        </w:rPr>
      </w:pPr>
    </w:p>
    <w:p w14:paraId="67F439AB" w14:textId="77777777" w:rsidR="00430628" w:rsidRDefault="00430628" w:rsidP="00430628">
      <w:pPr>
        <w:spacing w:after="0" w:line="240" w:lineRule="auto"/>
        <w:jc w:val="both"/>
        <w:rPr>
          <w:rFonts w:ascii="Verdana" w:eastAsia="Calibri" w:hAnsi="Verdana" w:cs="Arial"/>
          <w:lang w:eastAsia="es-ES"/>
        </w:rPr>
      </w:pPr>
    </w:p>
    <w:p w14:paraId="4B7E48B8" w14:textId="77777777" w:rsidR="003E2260" w:rsidRDefault="003E2260" w:rsidP="00430628">
      <w:pPr>
        <w:spacing w:after="0" w:line="240" w:lineRule="auto"/>
        <w:jc w:val="both"/>
        <w:rPr>
          <w:rFonts w:ascii="Verdana" w:eastAsia="Calibri" w:hAnsi="Verdana" w:cs="Arial"/>
          <w:lang w:eastAsia="es-ES"/>
        </w:rPr>
      </w:pPr>
    </w:p>
    <w:p w14:paraId="220AEB6D" w14:textId="62900E37" w:rsidR="00430628" w:rsidRDefault="00430628" w:rsidP="00430628">
      <w:pPr>
        <w:spacing w:after="0" w:line="240" w:lineRule="auto"/>
        <w:jc w:val="both"/>
        <w:rPr>
          <w:rFonts w:ascii="Verdana" w:eastAsia="Calibri" w:hAnsi="Verdana" w:cs="Arial"/>
          <w:lang w:eastAsia="es-ES"/>
        </w:rPr>
      </w:pPr>
      <w:r>
        <w:rPr>
          <w:rFonts w:ascii="Verdana" w:eastAsia="Calibri" w:hAnsi="Verdana" w:cs="Arial"/>
          <w:lang w:eastAsia="es-ES"/>
        </w:rPr>
        <w:lastRenderedPageBreak/>
        <w:t>Bogotá D.C., 29 de diciembre de 2025.</w:t>
      </w:r>
    </w:p>
    <w:p w14:paraId="7F383959" w14:textId="77777777" w:rsidR="00C97F2A" w:rsidRDefault="00C97F2A" w:rsidP="002434BA">
      <w:pPr>
        <w:spacing w:after="0" w:line="240" w:lineRule="auto"/>
        <w:jc w:val="both"/>
        <w:rPr>
          <w:rFonts w:ascii="Verdana" w:eastAsia="Calibri" w:hAnsi="Verdana" w:cs="Arial"/>
          <w:lang w:eastAsia="es-ES"/>
        </w:rPr>
      </w:pPr>
    </w:p>
    <w:p w14:paraId="2EE79AA6" w14:textId="740965DB" w:rsidR="003901E9" w:rsidRDefault="003901E9" w:rsidP="003901E9">
      <w:pPr>
        <w:spacing w:after="0" w:line="240" w:lineRule="auto"/>
        <w:jc w:val="right"/>
        <w:rPr>
          <w:rFonts w:ascii="Verdana" w:eastAsia="Calibri" w:hAnsi="Verdana" w:cs="Arial"/>
          <w:lang w:eastAsia="es-ES"/>
        </w:rPr>
      </w:pPr>
      <w:r w:rsidRPr="003901E9">
        <w:rPr>
          <w:rFonts w:ascii="Verdana" w:eastAsia="Calibri" w:hAnsi="Verdana" w:cs="Arial"/>
          <w:noProof/>
          <w:lang w:eastAsia="es-ES"/>
        </w:rPr>
        <w:drawing>
          <wp:inline distT="0" distB="0" distL="0" distR="0" wp14:anchorId="27957A4C" wp14:editId="1C5087BE">
            <wp:extent cx="2488556" cy="734172"/>
            <wp:effectExtent l="0" t="0" r="7620" b="8890"/>
            <wp:docPr id="15857211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721196" name=""/>
                    <pic:cNvPicPr/>
                  </pic:nvPicPr>
                  <pic:blipFill>
                    <a:blip r:embed="rId10"/>
                    <a:stretch>
                      <a:fillRect/>
                    </a:stretch>
                  </pic:blipFill>
                  <pic:spPr>
                    <a:xfrm>
                      <a:off x="0" y="0"/>
                      <a:ext cx="2509775" cy="740432"/>
                    </a:xfrm>
                    <a:prstGeom prst="rect">
                      <a:avLst/>
                    </a:prstGeom>
                  </pic:spPr>
                </pic:pic>
              </a:graphicData>
            </a:graphic>
          </wp:inline>
        </w:drawing>
      </w:r>
    </w:p>
    <w:p w14:paraId="664AF363" w14:textId="4B00F808" w:rsidR="002434BA" w:rsidRDefault="002434BA" w:rsidP="002434BA">
      <w:pPr>
        <w:spacing w:after="0" w:line="240" w:lineRule="auto"/>
        <w:jc w:val="both"/>
        <w:rPr>
          <w:rFonts w:ascii="Verdana" w:eastAsia="Calibri" w:hAnsi="Verdana" w:cs="Arial"/>
          <w:lang w:eastAsia="es-ES"/>
        </w:rPr>
      </w:pPr>
      <w:r w:rsidRPr="005644FE">
        <w:rPr>
          <w:rFonts w:ascii="Verdana" w:eastAsia="Calibri" w:hAnsi="Verdana" w:cs="Arial"/>
          <w:lang w:eastAsia="es-ES"/>
        </w:rPr>
        <w:t>Señor</w:t>
      </w:r>
    </w:p>
    <w:p w14:paraId="6467F9A6" w14:textId="77777777" w:rsidR="002434BA" w:rsidRPr="000C0B3E" w:rsidRDefault="002434BA" w:rsidP="002434BA">
      <w:pPr>
        <w:spacing w:after="0" w:line="240" w:lineRule="auto"/>
        <w:jc w:val="both"/>
        <w:rPr>
          <w:rFonts w:ascii="Verdana" w:eastAsia="Calibri" w:hAnsi="Verdana" w:cs="Arial"/>
          <w:b/>
          <w:bCs/>
          <w:lang w:val="it-CH" w:eastAsia="es-ES"/>
        </w:rPr>
      </w:pPr>
      <w:r w:rsidRPr="000C0B3E">
        <w:rPr>
          <w:rFonts w:ascii="Verdana" w:eastAsia="Calibri" w:hAnsi="Verdana" w:cs="Arial"/>
          <w:b/>
          <w:bCs/>
          <w:lang w:val="it-CH" w:eastAsia="es-ES"/>
        </w:rPr>
        <w:t>Brandon Stewar Aranda Casallas</w:t>
      </w:r>
    </w:p>
    <w:p w14:paraId="03E14999" w14:textId="77777777" w:rsidR="002434BA" w:rsidRPr="000C0B3E" w:rsidRDefault="002434BA" w:rsidP="002434BA">
      <w:pPr>
        <w:spacing w:after="0" w:line="240" w:lineRule="auto"/>
        <w:jc w:val="both"/>
        <w:rPr>
          <w:rFonts w:ascii="Verdana" w:hAnsi="Verdana"/>
          <w:b/>
          <w:bCs/>
          <w:lang w:val="it-CH"/>
        </w:rPr>
      </w:pPr>
      <w:hyperlink r:id="rId11" w:history="1">
        <w:r w:rsidRPr="000C0B3E">
          <w:rPr>
            <w:rStyle w:val="Hipervnculo"/>
            <w:rFonts w:ascii="Verdana" w:hAnsi="Verdana"/>
            <w:b/>
            <w:bCs/>
            <w:lang w:val="it-CH"/>
          </w:rPr>
          <w:t>arandacasallas21@gmail.com</w:t>
        </w:r>
      </w:hyperlink>
    </w:p>
    <w:p w14:paraId="74D12275" w14:textId="77777777" w:rsidR="002434BA" w:rsidRPr="000C0B3E" w:rsidRDefault="002434BA" w:rsidP="002434BA">
      <w:pPr>
        <w:spacing w:after="0" w:line="240" w:lineRule="auto"/>
        <w:jc w:val="both"/>
        <w:rPr>
          <w:rFonts w:ascii="Verdana" w:hAnsi="Verdana"/>
          <w:lang w:val="it-CH"/>
        </w:rPr>
      </w:pPr>
      <w:r w:rsidRPr="000C0B3E">
        <w:rPr>
          <w:rFonts w:ascii="Verdana" w:hAnsi="Verdana"/>
          <w:lang w:val="it-CH"/>
        </w:rPr>
        <w:t xml:space="preserve">San José del Guaviare </w:t>
      </w:r>
      <w:r>
        <w:rPr>
          <w:rFonts w:ascii="Verdana" w:hAnsi="Verdana"/>
          <w:lang w:val="it-CH"/>
        </w:rPr>
        <w:t>–</w:t>
      </w:r>
      <w:r w:rsidRPr="000C0B3E">
        <w:rPr>
          <w:rFonts w:ascii="Verdana" w:hAnsi="Verdana"/>
          <w:lang w:val="it-CH"/>
        </w:rPr>
        <w:t xml:space="preserve"> G</w:t>
      </w:r>
      <w:r>
        <w:rPr>
          <w:rFonts w:ascii="Verdana" w:hAnsi="Verdana"/>
          <w:lang w:val="it-CH"/>
        </w:rPr>
        <w:t xml:space="preserve">uaviare </w:t>
      </w:r>
    </w:p>
    <w:p w14:paraId="1623E555" w14:textId="7FA2DC5F" w:rsidR="002434BA" w:rsidRPr="000C0B3E" w:rsidRDefault="002434BA" w:rsidP="002434BA">
      <w:pPr>
        <w:spacing w:after="0" w:line="240" w:lineRule="auto"/>
        <w:jc w:val="both"/>
        <w:rPr>
          <w:rFonts w:ascii="Verdana" w:eastAsia="Calibri" w:hAnsi="Verdana" w:cs="Arial"/>
          <w:b/>
          <w:bCs/>
          <w:color w:val="000000"/>
          <w:lang w:val="it-CH" w:eastAsia="es-ES_tradnl"/>
        </w:rPr>
      </w:pPr>
    </w:p>
    <w:p w14:paraId="25ED1C5A" w14:textId="77777777" w:rsidR="00E937FC" w:rsidRPr="000C0B3E" w:rsidRDefault="00E937FC" w:rsidP="002434BA">
      <w:pPr>
        <w:spacing w:after="0" w:line="240" w:lineRule="auto"/>
        <w:jc w:val="both"/>
        <w:rPr>
          <w:rFonts w:ascii="Verdana" w:eastAsia="Calibri" w:hAnsi="Verdana" w:cs="Arial"/>
          <w:b/>
          <w:bCs/>
          <w:color w:val="000000"/>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2434BA" w:rsidRPr="005644FE" w14:paraId="3B93099B" w14:textId="77777777" w:rsidTr="00AC374F">
        <w:trPr>
          <w:trHeight w:val="162"/>
        </w:trPr>
        <w:tc>
          <w:tcPr>
            <w:tcW w:w="3119" w:type="dxa"/>
          </w:tcPr>
          <w:p w14:paraId="7A21A70C" w14:textId="77777777" w:rsidR="002434BA" w:rsidRPr="000C0B3E" w:rsidRDefault="002434BA" w:rsidP="00AC374F">
            <w:pPr>
              <w:jc w:val="both"/>
              <w:rPr>
                <w:rFonts w:ascii="Verdana" w:eastAsia="Calibri" w:hAnsi="Verdana" w:cs="Arial"/>
                <w:b/>
                <w:bCs/>
                <w:color w:val="7030A0"/>
                <w:lang w:val="it-CH" w:eastAsia="es-ES_tradnl"/>
              </w:rPr>
            </w:pPr>
          </w:p>
        </w:tc>
        <w:tc>
          <w:tcPr>
            <w:tcW w:w="5670" w:type="dxa"/>
          </w:tcPr>
          <w:p w14:paraId="781267E6" w14:textId="77777777" w:rsidR="002434BA" w:rsidRPr="005644FE" w:rsidRDefault="002434BA" w:rsidP="00AC374F">
            <w:pPr>
              <w:jc w:val="both"/>
              <w:rPr>
                <w:rFonts w:ascii="Verdana" w:eastAsia="Calibri" w:hAnsi="Verdana" w:cs="Arial"/>
                <w:b/>
                <w:bCs/>
                <w:lang w:eastAsia="es-ES"/>
              </w:rPr>
            </w:pPr>
            <w:r w:rsidRPr="005644FE">
              <w:rPr>
                <w:rFonts w:ascii="Verdana" w:eastAsia="Calibri" w:hAnsi="Verdana" w:cs="Arial"/>
                <w:b/>
                <w:bCs/>
                <w:lang w:eastAsia="es-ES"/>
              </w:rPr>
              <w:t>Concepto C</w:t>
            </w:r>
            <w:r w:rsidRPr="00205473">
              <w:rPr>
                <w:rFonts w:ascii="Verdana" w:eastAsia="Calibri" w:hAnsi="Verdana" w:cs="Arial"/>
                <w:b/>
                <w:bCs/>
                <w:lang w:eastAsia="es-ES"/>
              </w:rPr>
              <w:t>-16</w:t>
            </w:r>
            <w:r>
              <w:rPr>
                <w:rFonts w:ascii="Verdana" w:eastAsia="Calibri" w:hAnsi="Verdana" w:cs="Arial"/>
                <w:b/>
                <w:bCs/>
                <w:lang w:eastAsia="es-ES"/>
              </w:rPr>
              <w:t xml:space="preserve">94 </w:t>
            </w:r>
            <w:r w:rsidRPr="00205473">
              <w:rPr>
                <w:rFonts w:ascii="Verdana" w:eastAsia="Calibri" w:hAnsi="Verdana" w:cs="Arial"/>
                <w:b/>
                <w:bCs/>
                <w:lang w:eastAsia="es-ES"/>
              </w:rPr>
              <w:t>de 2025</w:t>
            </w:r>
          </w:p>
          <w:p w14:paraId="7528DC29" w14:textId="77777777" w:rsidR="002434BA" w:rsidRPr="005644FE" w:rsidRDefault="002434BA" w:rsidP="00AC374F">
            <w:pPr>
              <w:jc w:val="both"/>
              <w:rPr>
                <w:rFonts w:ascii="Verdana" w:eastAsia="Calibri" w:hAnsi="Verdana" w:cs="Arial"/>
                <w:b/>
                <w:bCs/>
                <w:color w:val="7030A0"/>
                <w:lang w:eastAsia="es-ES"/>
              </w:rPr>
            </w:pPr>
          </w:p>
        </w:tc>
      </w:tr>
      <w:tr w:rsidR="002434BA" w:rsidRPr="005644FE" w14:paraId="635E8269" w14:textId="77777777" w:rsidTr="00AC374F">
        <w:trPr>
          <w:trHeight w:val="884"/>
        </w:trPr>
        <w:tc>
          <w:tcPr>
            <w:tcW w:w="3119" w:type="dxa"/>
          </w:tcPr>
          <w:p w14:paraId="12E44AC4" w14:textId="77777777" w:rsidR="002434BA" w:rsidRPr="005644FE" w:rsidRDefault="002434BA" w:rsidP="00AC374F">
            <w:pPr>
              <w:jc w:val="both"/>
              <w:rPr>
                <w:rFonts w:ascii="Verdana" w:eastAsia="Calibri" w:hAnsi="Verdana" w:cs="Arial"/>
                <w:color w:val="000000"/>
                <w:lang w:eastAsia="es-ES_tradnl"/>
              </w:rPr>
            </w:pPr>
            <w:r w:rsidRPr="005644FE">
              <w:rPr>
                <w:rFonts w:ascii="Verdana" w:eastAsia="Calibri" w:hAnsi="Verdana" w:cs="Arial"/>
                <w:b/>
                <w:color w:val="000000"/>
                <w:lang w:eastAsia="es-ES_tradnl"/>
              </w:rPr>
              <w:t>Temas:</w:t>
            </w:r>
            <w:r w:rsidRPr="005644FE">
              <w:rPr>
                <w:rFonts w:ascii="Verdana" w:eastAsia="Calibri" w:hAnsi="Verdana" w:cs="Arial"/>
                <w:color w:val="000000"/>
                <w:lang w:eastAsia="es-ES_tradnl"/>
              </w:rPr>
              <w:t xml:space="preserve">                   </w:t>
            </w:r>
          </w:p>
        </w:tc>
        <w:tc>
          <w:tcPr>
            <w:tcW w:w="5670" w:type="dxa"/>
          </w:tcPr>
          <w:p w14:paraId="5B14F14E" w14:textId="32E4BE3B" w:rsidR="002434BA" w:rsidRPr="00EF6E9B" w:rsidRDefault="002434BA" w:rsidP="00AC374F">
            <w:pPr>
              <w:spacing w:line="276" w:lineRule="auto"/>
              <w:jc w:val="both"/>
              <w:rPr>
                <w:rFonts w:ascii="Verdana" w:eastAsia="Calibri" w:hAnsi="Verdana" w:cs="Arial"/>
                <w:i/>
                <w:lang w:val="es-MX"/>
              </w:rPr>
            </w:pPr>
            <w:r w:rsidRPr="00D8246A">
              <w:rPr>
                <w:rFonts w:ascii="Verdana" w:eastAsia="Calibri" w:hAnsi="Verdana" w:cs="Arial"/>
                <w:lang w:val="es-ES"/>
              </w:rPr>
              <w:t xml:space="preserve">INHABILIDADES E INCOMPATIBILIDADES – Alcance - Restricciones / INHABILIDADES E INCOMPATIBILIDADES – Fuentes / INHABILIDADES E INCOMPATIBILIDADES – Interpretación restrictiva – Principio </w:t>
            </w:r>
            <w:r w:rsidRPr="00D8246A">
              <w:rPr>
                <w:rFonts w:ascii="Verdana" w:eastAsia="Calibri" w:hAnsi="Verdana" w:cs="Arial"/>
                <w:i/>
                <w:lang w:val="es-ES"/>
              </w:rPr>
              <w:t xml:space="preserve">pro </w:t>
            </w:r>
            <w:proofErr w:type="spellStart"/>
            <w:r w:rsidRPr="00D8246A">
              <w:rPr>
                <w:rFonts w:ascii="Verdana" w:eastAsia="Calibri" w:hAnsi="Verdana" w:cs="Arial"/>
                <w:i/>
                <w:lang w:val="es-ES"/>
              </w:rPr>
              <w:t>libertate</w:t>
            </w:r>
            <w:proofErr w:type="spellEnd"/>
            <w:r w:rsidRPr="00D8246A">
              <w:rPr>
                <w:rFonts w:ascii="Verdana" w:eastAsia="Aptos" w:hAnsi="Verdana" w:cs="Times New Roman"/>
                <w:shd w:val="clear" w:color="auto" w:fill="FFFFFF"/>
                <w:lang w:val="es-ES"/>
              </w:rPr>
              <w:t xml:space="preserve"> / INHABILIDADES E INCOMPATIBILIDADES </w:t>
            </w:r>
            <w:r w:rsidRPr="00D8246A">
              <w:rPr>
                <w:rFonts w:ascii="Verdana" w:eastAsia="Calibri" w:hAnsi="Verdana" w:cs="Arial"/>
                <w:lang w:val="es-ES"/>
              </w:rPr>
              <w:t>–</w:t>
            </w:r>
            <w:r w:rsidRPr="00D8246A">
              <w:rPr>
                <w:rFonts w:ascii="Verdana" w:eastAsia="Aptos" w:hAnsi="Verdana" w:cs="Times New Roman"/>
                <w:shd w:val="clear" w:color="auto" w:fill="FFFFFF"/>
                <w:lang w:val="es-ES"/>
              </w:rPr>
              <w:t xml:space="preserve"> Sobreviniente / INHABILIDADES </w:t>
            </w:r>
            <w:r w:rsidRPr="00D8246A">
              <w:rPr>
                <w:rFonts w:ascii="Verdana" w:eastAsia="Calibri" w:hAnsi="Verdana" w:cs="Arial"/>
                <w:lang w:val="es-ES"/>
              </w:rPr>
              <w:t>–</w:t>
            </w:r>
            <w:r w:rsidRPr="00D8246A">
              <w:rPr>
                <w:rFonts w:ascii="Verdana" w:eastAsia="Aptos" w:hAnsi="Verdana" w:cs="Times New Roman"/>
                <w:shd w:val="clear" w:color="auto" w:fill="FFFFFF"/>
                <w:lang w:val="es-ES"/>
              </w:rPr>
              <w:t xml:space="preserve"> Artículo 9 </w:t>
            </w:r>
            <w:r w:rsidRPr="00D8246A">
              <w:rPr>
                <w:rFonts w:ascii="Verdana" w:eastAsia="Calibri" w:hAnsi="Verdana" w:cs="Arial"/>
                <w:lang w:val="es-ES"/>
              </w:rPr>
              <w:t>–</w:t>
            </w:r>
            <w:r w:rsidRPr="00D8246A">
              <w:rPr>
                <w:rFonts w:ascii="Verdana" w:eastAsia="Aptos" w:hAnsi="Verdana" w:cs="Times New Roman"/>
                <w:shd w:val="clear" w:color="auto" w:fill="FFFFFF"/>
                <w:lang w:val="es-ES"/>
              </w:rPr>
              <w:t xml:space="preserve"> Ley 80 de </w:t>
            </w:r>
            <w:r w:rsidRPr="00EF6E9B">
              <w:rPr>
                <w:rFonts w:ascii="Verdana" w:eastAsia="Aptos" w:hAnsi="Verdana" w:cs="Times New Roman"/>
                <w:shd w:val="clear" w:color="auto" w:fill="FFFFFF"/>
                <w:lang w:val="es-ES"/>
              </w:rPr>
              <w:t>1993 /</w:t>
            </w:r>
            <w:r w:rsidRPr="00EF6E9B">
              <w:t xml:space="preserve"> </w:t>
            </w:r>
            <w:r w:rsidRPr="00EF6E9B">
              <w:rPr>
                <w:rFonts w:ascii="Verdana" w:eastAsia="Aptos" w:hAnsi="Verdana" w:cs="Times New Roman"/>
                <w:shd w:val="clear" w:color="auto" w:fill="FFFFFF"/>
                <w:lang w:val="es-ES"/>
              </w:rPr>
              <w:t xml:space="preserve">CESIÓN DEL CONTRATO ESTATAL – Noción / CESIÓN DEL CONTRATO ESTATAL – Régimen jurídico aplicable – EGCAP – Código de Comercio / CESIÓN DEL CONTRATO ESTATAL – Requisitos – Restricciones / PROPONENTE PLURAL ‒ Consorcio ‒ Unión temporal ‒ Concepto – Diferencias / CONSORCIOS Y UNIONES TEMPORALES – Ausencia de personería jurídica – </w:t>
            </w:r>
            <w:r w:rsidR="00DB476C">
              <w:rPr>
                <w:rFonts w:ascii="Verdana" w:eastAsia="Aptos" w:hAnsi="Verdana" w:cs="Times New Roman"/>
                <w:shd w:val="clear" w:color="auto" w:fill="FFFFFF"/>
                <w:lang w:val="es-ES"/>
              </w:rPr>
              <w:t>F</w:t>
            </w:r>
            <w:r w:rsidRPr="00EF6E9B">
              <w:rPr>
                <w:rFonts w:ascii="Verdana" w:eastAsia="Aptos" w:hAnsi="Verdana" w:cs="Times New Roman"/>
                <w:shd w:val="clear" w:color="auto" w:fill="FFFFFF"/>
                <w:lang w:val="es-ES"/>
              </w:rPr>
              <w:t>alta de capacidad como cesionarios</w:t>
            </w:r>
          </w:p>
          <w:p w14:paraId="4D7A2EB4" w14:textId="77777777" w:rsidR="002434BA" w:rsidRPr="008D7C3C" w:rsidRDefault="002434BA" w:rsidP="00AC374F">
            <w:pPr>
              <w:contextualSpacing/>
              <w:jc w:val="both"/>
              <w:rPr>
                <w:rFonts w:ascii="Verdana" w:eastAsia="Calibri" w:hAnsi="Verdana" w:cs="Arial"/>
                <w:b/>
                <w:highlight w:val="yellow"/>
                <w:lang w:val="es-ES" w:eastAsia="es-ES"/>
              </w:rPr>
            </w:pPr>
          </w:p>
        </w:tc>
      </w:tr>
      <w:tr w:rsidR="002434BA" w:rsidRPr="005644FE" w14:paraId="55BC7F4D" w14:textId="77777777" w:rsidTr="00AC374F">
        <w:tc>
          <w:tcPr>
            <w:tcW w:w="3119" w:type="dxa"/>
          </w:tcPr>
          <w:p w14:paraId="3BBDD9E0" w14:textId="77777777" w:rsidR="002434BA" w:rsidRPr="005644FE" w:rsidRDefault="002434BA" w:rsidP="00AC374F">
            <w:pPr>
              <w:jc w:val="both"/>
              <w:rPr>
                <w:rFonts w:ascii="Verdana" w:eastAsia="Calibri" w:hAnsi="Verdana" w:cs="Arial"/>
                <w:b/>
                <w:lang w:eastAsia="es-ES_tradnl"/>
              </w:rPr>
            </w:pPr>
            <w:r w:rsidRPr="005644FE">
              <w:rPr>
                <w:rFonts w:ascii="Verdana" w:eastAsia="Calibri" w:hAnsi="Verdana" w:cs="Arial"/>
                <w:b/>
                <w:lang w:eastAsia="es-ES_tradnl"/>
              </w:rPr>
              <w:t>Radicación:</w:t>
            </w:r>
            <w:r w:rsidRPr="005644FE">
              <w:rPr>
                <w:rFonts w:ascii="Verdana" w:eastAsia="Calibri" w:hAnsi="Verdana" w:cs="Arial"/>
                <w:lang w:eastAsia="es-ES_tradnl"/>
              </w:rPr>
              <w:t xml:space="preserve">               </w:t>
            </w:r>
          </w:p>
        </w:tc>
        <w:tc>
          <w:tcPr>
            <w:tcW w:w="5670" w:type="dxa"/>
          </w:tcPr>
          <w:p w14:paraId="7D5C3725" w14:textId="77777777" w:rsidR="002434BA" w:rsidRPr="00F04657" w:rsidRDefault="002434BA" w:rsidP="00AC374F">
            <w:pPr>
              <w:jc w:val="both"/>
              <w:rPr>
                <w:rFonts w:ascii="Verdana" w:eastAsia="Calibri" w:hAnsi="Verdana" w:cs="Arial"/>
                <w:lang w:eastAsia="es-ES_tradnl"/>
              </w:rPr>
            </w:pPr>
            <w:r w:rsidRPr="005644FE">
              <w:rPr>
                <w:rFonts w:ascii="Verdana" w:eastAsia="Calibri" w:hAnsi="Verdana" w:cs="Arial"/>
                <w:lang w:eastAsia="es-ES_tradnl"/>
              </w:rPr>
              <w:t>Respuesta a consulta con radicado</w:t>
            </w:r>
            <w:r>
              <w:rPr>
                <w:rFonts w:ascii="Verdana" w:eastAsia="Calibri" w:hAnsi="Verdana" w:cs="Arial"/>
                <w:lang w:eastAsia="es-ES_tradnl"/>
              </w:rPr>
              <w:t xml:space="preserve"> </w:t>
            </w:r>
            <w:r w:rsidRPr="000C0B3E">
              <w:rPr>
                <w:rFonts w:ascii="Verdana" w:eastAsia="Calibri" w:hAnsi="Verdana" w:cs="Arial"/>
                <w:lang w:eastAsia="es-ES_tradnl"/>
              </w:rPr>
              <w:t>1_2025_11_14_012917</w:t>
            </w:r>
          </w:p>
        </w:tc>
      </w:tr>
    </w:tbl>
    <w:p w14:paraId="3B6C865D" w14:textId="77777777" w:rsidR="002434BA" w:rsidRPr="005644FE" w:rsidRDefault="002434BA" w:rsidP="002434BA">
      <w:pPr>
        <w:spacing w:after="0" w:line="276" w:lineRule="auto"/>
        <w:jc w:val="both"/>
        <w:rPr>
          <w:rFonts w:ascii="Verdana" w:eastAsia="Calibri" w:hAnsi="Verdana" w:cs="Arial"/>
          <w:lang w:eastAsia="es-ES_tradnl"/>
        </w:rPr>
      </w:pPr>
    </w:p>
    <w:p w14:paraId="4D6B6C03" w14:textId="77777777" w:rsidR="002434BA" w:rsidRPr="005644FE" w:rsidRDefault="002434BA" w:rsidP="002434BA">
      <w:pPr>
        <w:spacing w:after="0" w:line="276" w:lineRule="auto"/>
        <w:jc w:val="both"/>
        <w:rPr>
          <w:rFonts w:ascii="Verdana" w:eastAsia="Calibri" w:hAnsi="Verdana" w:cs="Arial"/>
          <w:lang w:eastAsia="es-ES"/>
        </w:rPr>
      </w:pPr>
      <w:r w:rsidRPr="005644FE">
        <w:rPr>
          <w:rFonts w:ascii="Verdana" w:eastAsia="Calibri" w:hAnsi="Verdana" w:cs="Arial"/>
          <w:lang w:eastAsia="es-ES"/>
        </w:rPr>
        <w:t>Estimad</w:t>
      </w:r>
      <w:r>
        <w:rPr>
          <w:rFonts w:ascii="Verdana" w:eastAsia="Calibri" w:hAnsi="Verdana" w:cs="Arial"/>
          <w:lang w:eastAsia="es-ES"/>
        </w:rPr>
        <w:t>o señor Aranda</w:t>
      </w:r>
      <w:r w:rsidRPr="005644FE">
        <w:rPr>
          <w:rFonts w:ascii="Verdana" w:eastAsia="Calibri" w:hAnsi="Verdana" w:cs="Arial"/>
          <w:lang w:eastAsia="es-ES"/>
        </w:rPr>
        <w:t>:</w:t>
      </w:r>
    </w:p>
    <w:p w14:paraId="2D1B7AD8" w14:textId="77777777" w:rsidR="002434BA" w:rsidRPr="00E02524" w:rsidRDefault="002434BA" w:rsidP="000104CD">
      <w:pPr>
        <w:spacing w:after="0" w:line="276" w:lineRule="auto"/>
        <w:jc w:val="both"/>
        <w:rPr>
          <w:rFonts w:ascii="Verdana" w:hAnsi="Verdana"/>
          <w:lang w:val="es-MX"/>
        </w:rPr>
      </w:pPr>
    </w:p>
    <w:p w14:paraId="12447C73" w14:textId="1F43DF30" w:rsidR="002434BA" w:rsidRDefault="002434BA" w:rsidP="00E937FC">
      <w:pPr>
        <w:spacing w:after="0" w:line="276" w:lineRule="auto"/>
        <w:jc w:val="both"/>
        <w:rPr>
          <w:rFonts w:ascii="Verdana" w:eastAsia="Calibri" w:hAnsi="Verdana" w:cs="Arial"/>
          <w:lang w:eastAsia="es-ES"/>
        </w:rPr>
      </w:pPr>
      <w:r w:rsidRPr="00E02524">
        <w:rPr>
          <w:rFonts w:ascii="Verdana" w:hAnsi="Verdana"/>
        </w:rPr>
        <w:t xml:space="preserve">La Agencia Nacional de Contratación Pública – Colombia Compra Eficiente –, en ejercicio de las competencias otorgadas </w:t>
      </w:r>
      <w:r w:rsidRPr="005644FE">
        <w:rPr>
          <w:rFonts w:ascii="Verdana" w:eastAsia="Calibri" w:hAnsi="Verdana" w:cs="Arial"/>
          <w:lang w:eastAsia="es-ES"/>
        </w:rPr>
        <w:t xml:space="preserve">por los artículos 3, numeral 5º, y 11, </w:t>
      </w:r>
      <w:r w:rsidRPr="005644FE">
        <w:rPr>
          <w:rFonts w:ascii="Verdana" w:eastAsia="Calibri" w:hAnsi="Verdana" w:cs="Arial"/>
          <w:lang w:eastAsia="es-ES"/>
        </w:rPr>
        <w:lastRenderedPageBreak/>
        <w:t>numeral 8º, del Decreto Ley 4170 de 2011</w:t>
      </w:r>
      <w:r>
        <w:rPr>
          <w:rFonts w:ascii="Verdana" w:eastAsia="Calibri" w:hAnsi="Verdana" w:cs="Arial"/>
          <w:lang w:eastAsia="es-ES"/>
        </w:rPr>
        <w:t>,</w:t>
      </w:r>
      <w:r w:rsidRPr="00595C9B">
        <w:rPr>
          <w:rFonts w:ascii="Verdana" w:hAnsi="Verdana" w:cs="Arial"/>
        </w:rPr>
        <w:t xml:space="preserve"> </w:t>
      </w:r>
      <w:r w:rsidRPr="005644FE">
        <w:rPr>
          <w:rFonts w:ascii="Verdana" w:hAnsi="Verdana" w:cs="Arial"/>
        </w:rPr>
        <w:t>así como lo establecido en el artículo 4 de la Resolución 1707 de 2018 expedida por esta Entidad</w:t>
      </w:r>
      <w:r w:rsidRPr="00E02524">
        <w:rPr>
          <w:rFonts w:ascii="Verdana" w:hAnsi="Verdana"/>
        </w:rPr>
        <w:t xml:space="preserve"> y</w:t>
      </w:r>
      <w:r>
        <w:rPr>
          <w:rFonts w:ascii="Verdana" w:hAnsi="Verdana"/>
        </w:rPr>
        <w:t>,</w:t>
      </w:r>
      <w:r w:rsidRPr="00E02524">
        <w:rPr>
          <w:rFonts w:ascii="Verdana" w:hAnsi="Verdana"/>
        </w:rPr>
        <w:t xml:space="preserve"> de conformidad con las modalidades del derecho de petición contempladas en la Ley 1755 de 2015</w:t>
      </w:r>
      <w:r>
        <w:rPr>
          <w:rFonts w:ascii="Verdana" w:hAnsi="Verdana"/>
        </w:rPr>
        <w:t xml:space="preserve"> y en </w:t>
      </w:r>
      <w:r w:rsidRPr="00E02524">
        <w:rPr>
          <w:rFonts w:ascii="Verdana" w:hAnsi="Verdana"/>
        </w:rPr>
        <w:t xml:space="preserve">la resolución </w:t>
      </w:r>
      <w:proofErr w:type="spellStart"/>
      <w:r w:rsidRPr="00E02524">
        <w:rPr>
          <w:rFonts w:ascii="Verdana" w:eastAsia="Times New Roman" w:hAnsi="Verdana" w:cs="Segoe UI"/>
          <w:lang w:eastAsia="es-CO"/>
        </w:rPr>
        <w:t>N°</w:t>
      </w:r>
      <w:proofErr w:type="spellEnd"/>
      <w:r w:rsidRPr="00E02524">
        <w:rPr>
          <w:rFonts w:ascii="Verdana" w:eastAsia="Times New Roman" w:hAnsi="Verdana" w:cs="Segoe UI"/>
          <w:lang w:eastAsia="es-CO"/>
        </w:rPr>
        <w:t xml:space="preserve"> 469 del 2025 </w:t>
      </w:r>
      <w:r w:rsidRPr="00E02524">
        <w:rPr>
          <w:rFonts w:ascii="Verdana" w:hAnsi="Verdana"/>
        </w:rPr>
        <w:t xml:space="preserve">expedida por esta Agencia, </w:t>
      </w:r>
      <w:r w:rsidRPr="005644FE">
        <w:rPr>
          <w:rFonts w:ascii="Verdana" w:eastAsia="Calibri" w:hAnsi="Verdana" w:cs="Arial"/>
          <w:lang w:eastAsia="es-ES"/>
        </w:rPr>
        <w:t xml:space="preserve">responde su solicitud de consulta de fecha </w:t>
      </w:r>
      <w:r>
        <w:rPr>
          <w:rFonts w:ascii="Verdana" w:eastAsia="Calibri" w:hAnsi="Verdana" w:cs="Arial"/>
          <w:lang w:eastAsia="es-ES"/>
        </w:rPr>
        <w:t>14 de noviembre</w:t>
      </w:r>
      <w:r w:rsidRPr="005644FE">
        <w:rPr>
          <w:rFonts w:ascii="Verdana" w:eastAsia="Calibri" w:hAnsi="Verdana" w:cs="Arial"/>
          <w:lang w:eastAsia="es-ES"/>
        </w:rPr>
        <w:t xml:space="preserve"> de 2025</w:t>
      </w:r>
      <w:r>
        <w:rPr>
          <w:rFonts w:ascii="Verdana" w:eastAsia="Calibri" w:hAnsi="Verdana" w:cs="Arial"/>
          <w:lang w:eastAsia="es-ES"/>
        </w:rPr>
        <w:t>,</w:t>
      </w:r>
      <w:r w:rsidRPr="005644FE">
        <w:rPr>
          <w:rFonts w:ascii="Verdana" w:eastAsia="Calibri" w:hAnsi="Verdana" w:cs="Arial"/>
          <w:lang w:eastAsia="es-ES"/>
        </w:rPr>
        <w:t xml:space="preserve"> en la cual manifiesta lo siguiente:</w:t>
      </w:r>
    </w:p>
    <w:p w14:paraId="09D5EDD6" w14:textId="77777777" w:rsidR="00E937FC" w:rsidRDefault="00E937FC" w:rsidP="000104CD">
      <w:pPr>
        <w:spacing w:after="0" w:line="276" w:lineRule="auto"/>
        <w:jc w:val="both"/>
        <w:rPr>
          <w:rFonts w:ascii="Verdana" w:hAnsi="Verdana"/>
        </w:rPr>
      </w:pPr>
    </w:p>
    <w:p w14:paraId="6867024B" w14:textId="77777777" w:rsidR="002434BA" w:rsidRDefault="002434BA" w:rsidP="000104CD">
      <w:pPr>
        <w:spacing w:after="0" w:line="276" w:lineRule="auto"/>
        <w:jc w:val="both"/>
        <w:rPr>
          <w:rFonts w:ascii="Verdana" w:hAnsi="Verdana"/>
        </w:rPr>
      </w:pPr>
      <w:r w:rsidRPr="00E02524">
        <w:rPr>
          <w:rFonts w:ascii="Verdana" w:hAnsi="Verdana"/>
        </w:rPr>
        <w:t xml:space="preserve">PETICIÓN REALIZADA </w:t>
      </w:r>
    </w:p>
    <w:p w14:paraId="52CFF221" w14:textId="77777777" w:rsidR="002434BA" w:rsidRPr="008E5B36" w:rsidRDefault="002434BA" w:rsidP="000104CD">
      <w:pPr>
        <w:spacing w:after="0" w:line="276" w:lineRule="auto"/>
        <w:jc w:val="both"/>
        <w:rPr>
          <w:rFonts w:ascii="Verdana" w:hAnsi="Verdana"/>
        </w:rPr>
      </w:pPr>
    </w:p>
    <w:p w14:paraId="0E88B1A2" w14:textId="77777777" w:rsidR="002434BA" w:rsidRDefault="002434BA" w:rsidP="000104CD">
      <w:pPr>
        <w:spacing w:after="0" w:line="240" w:lineRule="auto"/>
        <w:ind w:left="709" w:right="709"/>
        <w:jc w:val="both"/>
        <w:rPr>
          <w:rFonts w:ascii="Verdana" w:hAnsi="Verdana"/>
          <w:sz w:val="20"/>
          <w:szCs w:val="20"/>
        </w:rPr>
      </w:pPr>
      <w:r w:rsidRPr="00FC1BE4">
        <w:rPr>
          <w:rFonts w:ascii="Verdana" w:hAnsi="Verdana"/>
          <w:sz w:val="20"/>
          <w:szCs w:val="20"/>
        </w:rPr>
        <w:t xml:space="preserve">“(…) </w:t>
      </w:r>
      <w:r>
        <w:rPr>
          <w:rFonts w:ascii="Verdana" w:hAnsi="Verdana"/>
          <w:sz w:val="20"/>
          <w:szCs w:val="20"/>
        </w:rPr>
        <w:t xml:space="preserve">me permito solicitar respetuosamente concepto sobre algunos interrogantes derivados de la cesión del contrato, previendo lo establecido en el artículo 9 de la Ley 80 de 1993 (sic) establece: </w:t>
      </w:r>
    </w:p>
    <w:p w14:paraId="2D135EEE" w14:textId="77777777" w:rsidR="002434BA" w:rsidRDefault="002434BA" w:rsidP="000104CD">
      <w:pPr>
        <w:spacing w:after="0" w:line="240" w:lineRule="auto"/>
        <w:ind w:left="709" w:right="709"/>
        <w:jc w:val="both"/>
        <w:rPr>
          <w:rFonts w:ascii="Verdana" w:hAnsi="Verdana"/>
          <w:sz w:val="20"/>
          <w:szCs w:val="20"/>
        </w:rPr>
      </w:pPr>
    </w:p>
    <w:p w14:paraId="5B2DAA73" w14:textId="77777777" w:rsidR="002434BA" w:rsidRDefault="002434BA" w:rsidP="000104CD">
      <w:pPr>
        <w:spacing w:after="0" w:line="240" w:lineRule="auto"/>
        <w:ind w:left="709" w:right="709"/>
        <w:jc w:val="both"/>
        <w:rPr>
          <w:rFonts w:ascii="Verdana" w:hAnsi="Verdana"/>
          <w:i/>
          <w:iCs/>
          <w:sz w:val="20"/>
          <w:szCs w:val="20"/>
        </w:rPr>
      </w:pPr>
      <w:r w:rsidRPr="000C0B3E">
        <w:rPr>
          <w:rFonts w:ascii="Verdana" w:hAnsi="Verdana"/>
          <w:b/>
          <w:bCs/>
          <w:sz w:val="20"/>
          <w:szCs w:val="20"/>
        </w:rPr>
        <w:t>ARTÍCULO 9.-</w:t>
      </w:r>
      <w:r w:rsidRPr="000C0B3E">
        <w:rPr>
          <w:rFonts w:ascii="Verdana" w:hAnsi="Verdana"/>
          <w:b/>
          <w:bCs/>
          <w:i/>
          <w:iCs/>
          <w:sz w:val="20"/>
          <w:szCs w:val="20"/>
        </w:rPr>
        <w:t>De las Inhabilidades e Incompatibilidades Sobrevinientes</w:t>
      </w:r>
      <w:r>
        <w:rPr>
          <w:rFonts w:ascii="Verdana" w:hAnsi="Verdana"/>
          <w:i/>
          <w:iCs/>
          <w:sz w:val="20"/>
          <w:szCs w:val="20"/>
        </w:rPr>
        <w:t xml:space="preserve"> (…) Si llegare a sobrevenir inhabilidad o incompatibilidad en el contratista, </w:t>
      </w:r>
      <w:r>
        <w:rPr>
          <w:rFonts w:ascii="Verdana" w:hAnsi="Verdana"/>
          <w:b/>
          <w:bCs/>
          <w:i/>
          <w:iCs/>
          <w:sz w:val="20"/>
          <w:szCs w:val="20"/>
        </w:rPr>
        <w:t xml:space="preserve">este cederá el contrato previa autorización escrita de la entidad contratante, </w:t>
      </w:r>
      <w:r>
        <w:rPr>
          <w:rFonts w:ascii="Verdana" w:hAnsi="Verdana"/>
          <w:i/>
          <w:iCs/>
          <w:sz w:val="20"/>
          <w:szCs w:val="20"/>
        </w:rPr>
        <w:t>o si ello no fuere posible, renunciará a su ejecución (resaltado fuera de texto)</w:t>
      </w:r>
    </w:p>
    <w:p w14:paraId="01F0DD64" w14:textId="77777777" w:rsidR="002434BA" w:rsidRDefault="002434BA" w:rsidP="000104CD">
      <w:pPr>
        <w:spacing w:after="0" w:line="240" w:lineRule="auto"/>
        <w:ind w:left="709" w:right="709"/>
        <w:jc w:val="both"/>
        <w:rPr>
          <w:rFonts w:ascii="Verdana" w:hAnsi="Verdana"/>
          <w:i/>
          <w:iCs/>
          <w:sz w:val="20"/>
          <w:szCs w:val="20"/>
        </w:rPr>
      </w:pPr>
    </w:p>
    <w:p w14:paraId="1069F01E" w14:textId="77777777" w:rsidR="002434BA" w:rsidRDefault="002434BA" w:rsidP="000104CD">
      <w:pPr>
        <w:spacing w:after="0" w:line="240" w:lineRule="auto"/>
        <w:ind w:left="709" w:right="709"/>
        <w:jc w:val="both"/>
        <w:rPr>
          <w:rFonts w:ascii="Verdana" w:hAnsi="Verdana"/>
          <w:i/>
          <w:iCs/>
          <w:sz w:val="20"/>
          <w:szCs w:val="20"/>
        </w:rPr>
      </w:pPr>
      <w:r>
        <w:rPr>
          <w:rFonts w:ascii="Verdana" w:hAnsi="Verdana"/>
          <w:i/>
          <w:iCs/>
          <w:sz w:val="20"/>
          <w:szCs w:val="20"/>
        </w:rPr>
        <w:t xml:space="preserve">(…) </w:t>
      </w:r>
    </w:p>
    <w:p w14:paraId="4B2D5783" w14:textId="77777777" w:rsidR="002434BA" w:rsidRDefault="002434BA" w:rsidP="000104CD">
      <w:pPr>
        <w:spacing w:after="0" w:line="240" w:lineRule="auto"/>
        <w:ind w:left="709" w:right="709"/>
        <w:jc w:val="both"/>
        <w:rPr>
          <w:rFonts w:ascii="Verdana" w:hAnsi="Verdana"/>
          <w:i/>
          <w:iCs/>
          <w:sz w:val="20"/>
          <w:szCs w:val="20"/>
        </w:rPr>
      </w:pPr>
    </w:p>
    <w:p w14:paraId="2583184E" w14:textId="77777777" w:rsidR="002434BA" w:rsidRPr="000C0B3E" w:rsidRDefault="002434BA" w:rsidP="000104CD">
      <w:pPr>
        <w:spacing w:after="0" w:line="240" w:lineRule="auto"/>
        <w:ind w:left="709" w:right="709"/>
        <w:jc w:val="both"/>
        <w:rPr>
          <w:rFonts w:ascii="Verdana" w:hAnsi="Verdana"/>
          <w:sz w:val="20"/>
          <w:szCs w:val="20"/>
        </w:rPr>
      </w:pPr>
      <w:r w:rsidRPr="000C0B3E">
        <w:rPr>
          <w:rFonts w:ascii="Verdana" w:hAnsi="Verdana"/>
          <w:sz w:val="20"/>
          <w:szCs w:val="20"/>
        </w:rPr>
        <w:t xml:space="preserve">Para lo cual me permito solicitar concepto sobre el siguiente asunto: </w:t>
      </w:r>
    </w:p>
    <w:p w14:paraId="31482867" w14:textId="77777777" w:rsidR="002434BA" w:rsidRPr="000C0B3E" w:rsidRDefault="002434BA" w:rsidP="000104CD">
      <w:pPr>
        <w:spacing w:after="0" w:line="240" w:lineRule="auto"/>
        <w:ind w:left="709" w:right="709"/>
        <w:jc w:val="both"/>
        <w:rPr>
          <w:rFonts w:ascii="Verdana" w:hAnsi="Verdana"/>
          <w:sz w:val="20"/>
          <w:szCs w:val="20"/>
        </w:rPr>
      </w:pPr>
    </w:p>
    <w:p w14:paraId="3842B682" w14:textId="77777777" w:rsidR="002434BA" w:rsidRDefault="002434BA" w:rsidP="000104CD">
      <w:pPr>
        <w:numPr>
          <w:ilvl w:val="0"/>
          <w:numId w:val="17"/>
        </w:numPr>
        <w:spacing w:after="0" w:line="240" w:lineRule="auto"/>
        <w:ind w:left="709" w:right="709" w:firstLine="0"/>
        <w:jc w:val="both"/>
        <w:rPr>
          <w:rFonts w:ascii="Verdana" w:hAnsi="Verdana"/>
          <w:sz w:val="20"/>
          <w:szCs w:val="20"/>
        </w:rPr>
      </w:pPr>
      <w:r>
        <w:rPr>
          <w:rFonts w:ascii="Verdana" w:hAnsi="Verdana"/>
          <w:sz w:val="20"/>
          <w:szCs w:val="20"/>
        </w:rPr>
        <w:t xml:space="preserve">Puede cederse un contrato previa justificación a dos o más personas naturales o jurídicas que desean unirse o consorciarse para la ejecución del mencionado contrato como posibles </w:t>
      </w:r>
      <w:proofErr w:type="spellStart"/>
      <w:r>
        <w:rPr>
          <w:rFonts w:ascii="Verdana" w:hAnsi="Verdana"/>
          <w:sz w:val="20"/>
          <w:szCs w:val="20"/>
        </w:rPr>
        <w:t>cesionarionarios</w:t>
      </w:r>
      <w:proofErr w:type="spellEnd"/>
      <w:r>
        <w:rPr>
          <w:rFonts w:ascii="Verdana" w:hAnsi="Verdana"/>
          <w:sz w:val="20"/>
          <w:szCs w:val="20"/>
        </w:rPr>
        <w:t xml:space="preserve"> (sic) </w:t>
      </w:r>
      <w:r w:rsidRPr="00FC1BE4">
        <w:rPr>
          <w:rFonts w:ascii="Verdana" w:hAnsi="Verdana"/>
          <w:sz w:val="20"/>
          <w:szCs w:val="20"/>
        </w:rPr>
        <w:t>(…)”.</w:t>
      </w:r>
    </w:p>
    <w:p w14:paraId="726070D1" w14:textId="77777777" w:rsidR="002434BA" w:rsidRPr="000104CD" w:rsidRDefault="002434BA" w:rsidP="000104CD">
      <w:pPr>
        <w:spacing w:after="0" w:line="276" w:lineRule="auto"/>
        <w:ind w:left="567" w:right="758"/>
        <w:jc w:val="both"/>
        <w:rPr>
          <w:rFonts w:ascii="Verdana" w:hAnsi="Verdana"/>
        </w:rPr>
      </w:pPr>
    </w:p>
    <w:p w14:paraId="78D4E8B9" w14:textId="344CDC57" w:rsidR="002434BA" w:rsidRPr="00F64722" w:rsidRDefault="002434BA" w:rsidP="002434BA">
      <w:pPr>
        <w:spacing w:after="120" w:line="276" w:lineRule="auto"/>
        <w:ind w:firstLine="709"/>
        <w:jc w:val="both"/>
        <w:rPr>
          <w:rFonts w:ascii="Verdana" w:eastAsia="Calibri" w:hAnsi="Verdana" w:cs="Arial"/>
          <w:color w:val="000000"/>
          <w:szCs w:val="24"/>
          <w:lang w:eastAsia="es-ES_tradnl"/>
        </w:rPr>
      </w:pPr>
      <w:r w:rsidRPr="005644F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w:t>
      </w:r>
      <w:r w:rsidRPr="00F64722">
        <w:rPr>
          <w:rFonts w:ascii="Verdana" w:eastAsia="Calibri" w:hAnsi="Verdana" w:cs="Arial"/>
          <w:color w:val="000000"/>
          <w:lang w:eastAsia="es-ES"/>
        </w:rPr>
        <w:t xml:space="preserve">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1AF10981" w14:textId="2B52E10E" w:rsidR="002434BA" w:rsidRPr="00F64722" w:rsidRDefault="002434BA" w:rsidP="00F32627">
      <w:pPr>
        <w:spacing w:after="0" w:line="276" w:lineRule="auto"/>
        <w:ind w:firstLine="709"/>
        <w:jc w:val="both"/>
        <w:rPr>
          <w:rFonts w:ascii="Verdana" w:eastAsia="Calibri" w:hAnsi="Verdana" w:cs="Arial"/>
          <w:lang w:eastAsia="es-ES"/>
        </w:rPr>
      </w:pPr>
      <w:r w:rsidRPr="00F64722">
        <w:rPr>
          <w:rFonts w:ascii="Verdana" w:eastAsia="Calibri" w:hAnsi="Verdana" w:cs="Arial"/>
          <w:color w:val="000000"/>
          <w:lang w:eastAsia="es-ES"/>
        </w:rPr>
        <w:lastRenderedPageBreak/>
        <w:t>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al problema jurídico de su consulta.</w:t>
      </w:r>
      <w:r w:rsidRPr="00F64722">
        <w:rPr>
          <w:rFonts w:ascii="Verdana" w:eastAsia="Calibri" w:hAnsi="Verdana" w:cs="Arial"/>
          <w:lang w:eastAsia="es-ES"/>
        </w:rPr>
        <w:t xml:space="preserve">  </w:t>
      </w:r>
    </w:p>
    <w:p w14:paraId="25909374" w14:textId="77777777" w:rsidR="00F32627" w:rsidRPr="00F64722" w:rsidRDefault="00F32627" w:rsidP="000104CD">
      <w:pPr>
        <w:spacing w:after="0" w:line="276" w:lineRule="auto"/>
        <w:ind w:firstLine="709"/>
        <w:jc w:val="both"/>
        <w:rPr>
          <w:rFonts w:ascii="Verdana" w:eastAsia="Calibri" w:hAnsi="Verdana" w:cs="Arial"/>
          <w:lang w:eastAsia="es-ES"/>
        </w:rPr>
      </w:pPr>
    </w:p>
    <w:p w14:paraId="2C065CED" w14:textId="77777777" w:rsidR="002434BA" w:rsidRPr="00F64722" w:rsidRDefault="002434BA" w:rsidP="002434B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64722">
        <w:rPr>
          <w:rFonts w:ascii="Verdana" w:eastAsia="Century Gothic" w:hAnsi="Verdana" w:cs="Century Gothic"/>
          <w:b/>
          <w:bCs/>
        </w:rPr>
        <w:t>Problema planteado:</w:t>
      </w:r>
    </w:p>
    <w:p w14:paraId="0B27B962" w14:textId="77777777" w:rsidR="002434BA" w:rsidRPr="00F64722" w:rsidRDefault="002434BA" w:rsidP="000104CD">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0DFF8A72" w14:textId="0679A0DE" w:rsidR="002434BA" w:rsidRDefault="002434BA" w:rsidP="00F32627">
      <w:pPr>
        <w:spacing w:after="0" w:line="276" w:lineRule="auto"/>
        <w:jc w:val="both"/>
        <w:rPr>
          <w:rFonts w:ascii="Verdana" w:eastAsia="Calibri" w:hAnsi="Verdana" w:cs="Arial"/>
          <w:color w:val="000000"/>
          <w:lang w:eastAsia="es-ES"/>
        </w:rPr>
      </w:pPr>
      <w:r w:rsidRPr="00F64722">
        <w:rPr>
          <w:rFonts w:ascii="Verdana" w:eastAsia="Calibri" w:hAnsi="Verdana" w:cs="Arial"/>
          <w:color w:val="000000"/>
          <w:lang w:eastAsia="es-ES"/>
        </w:rPr>
        <w:t>De acuerdo con el contenido de su solicitud, esta Agencia resolverá el siguiente problema jurídico:</w:t>
      </w:r>
      <w:r>
        <w:rPr>
          <w:rFonts w:ascii="Verdana" w:eastAsia="Calibri" w:hAnsi="Verdana" w:cs="Arial"/>
          <w:color w:val="000000"/>
          <w:lang w:eastAsia="es-ES"/>
        </w:rPr>
        <w:t xml:space="preserve"> en el evento en que sobrevenga una inhabilidad o incompatibilidad de un contratista del </w:t>
      </w:r>
      <w:r w:rsidR="00632418">
        <w:rPr>
          <w:rFonts w:ascii="Verdana" w:eastAsia="Calibri" w:hAnsi="Verdana" w:cs="Arial"/>
          <w:color w:val="000000"/>
          <w:lang w:eastAsia="es-ES"/>
        </w:rPr>
        <w:t>E</w:t>
      </w:r>
      <w:r>
        <w:rPr>
          <w:rFonts w:ascii="Verdana" w:eastAsia="Calibri" w:hAnsi="Verdana" w:cs="Arial"/>
          <w:color w:val="000000"/>
          <w:lang w:eastAsia="es-ES"/>
        </w:rPr>
        <w:t xml:space="preserve">stado ¿se puede ceder el contrato a un consorcio o unión temporal bajo la aplicación del artículo 9 de la Ley 80 de 1993? </w:t>
      </w:r>
    </w:p>
    <w:p w14:paraId="54F9454D" w14:textId="77777777" w:rsidR="00CB7537" w:rsidRDefault="00CB7537" w:rsidP="000104CD">
      <w:pPr>
        <w:spacing w:after="0" w:line="276" w:lineRule="auto"/>
        <w:jc w:val="both"/>
        <w:rPr>
          <w:rFonts w:ascii="Verdana" w:eastAsia="Calibri" w:hAnsi="Verdana" w:cs="Arial"/>
          <w:color w:val="000000"/>
          <w:lang w:eastAsia="es-ES"/>
        </w:rPr>
      </w:pPr>
    </w:p>
    <w:p w14:paraId="1F6EE07A" w14:textId="77777777" w:rsidR="002434BA" w:rsidRDefault="002434BA" w:rsidP="002434BA">
      <w:pPr>
        <w:spacing w:after="0" w:line="276" w:lineRule="auto"/>
        <w:jc w:val="both"/>
        <w:rPr>
          <w:rFonts w:ascii="Verdana" w:eastAsia="Century Gothic" w:hAnsi="Verdana" w:cs="Century Gothic"/>
          <w:b/>
          <w:bCs/>
        </w:rPr>
      </w:pPr>
      <w:r w:rsidRPr="000B7077">
        <w:rPr>
          <w:rFonts w:ascii="Verdana" w:eastAsia="Century Gothic" w:hAnsi="Verdana" w:cs="Century Gothic"/>
          <w:b/>
          <w:bCs/>
        </w:rPr>
        <w:t>2. Respuesta:</w:t>
      </w:r>
    </w:p>
    <w:p w14:paraId="7BA67079" w14:textId="77777777" w:rsidR="002434BA" w:rsidRPr="005644FE" w:rsidRDefault="002434BA" w:rsidP="000104CD">
      <w:pPr>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2434BA" w:rsidRPr="005644FE" w14:paraId="0E9D99B5" w14:textId="77777777" w:rsidTr="00AC374F">
        <w:tc>
          <w:tcPr>
            <w:tcW w:w="8828" w:type="dxa"/>
          </w:tcPr>
          <w:p w14:paraId="3B35CF17" w14:textId="0B4B62B5" w:rsidR="002434BA" w:rsidRDefault="002434BA" w:rsidP="00AC374F">
            <w:pPr>
              <w:spacing w:after="120" w:line="276" w:lineRule="auto"/>
              <w:jc w:val="both"/>
              <w:rPr>
                <w:rFonts w:ascii="Verdana" w:eastAsia="Calibri" w:hAnsi="Verdana" w:cs="Arial"/>
                <w:color w:val="000000" w:themeColor="text1"/>
              </w:rPr>
            </w:pPr>
            <w:r w:rsidRPr="00821723">
              <w:rPr>
                <w:rFonts w:ascii="Verdana" w:eastAsia="Calibri" w:hAnsi="Verdana" w:cs="Arial"/>
                <w:color w:val="000000" w:themeColor="text1"/>
              </w:rPr>
              <w:t>Tratándose de la cesión de contratos estatales, conforme a la regulación del E</w:t>
            </w:r>
            <w:r w:rsidR="00CB7537">
              <w:rPr>
                <w:rFonts w:ascii="Verdana" w:eastAsia="Calibri" w:hAnsi="Verdana" w:cs="Arial"/>
                <w:color w:val="000000" w:themeColor="text1"/>
              </w:rPr>
              <w:t xml:space="preserve">statuto </w:t>
            </w:r>
            <w:r w:rsidRPr="00821723">
              <w:rPr>
                <w:rFonts w:ascii="Verdana" w:eastAsia="Calibri" w:hAnsi="Verdana" w:cs="Arial"/>
                <w:color w:val="000000" w:themeColor="text1"/>
              </w:rPr>
              <w:t>G</w:t>
            </w:r>
            <w:r w:rsidR="00CB7537">
              <w:rPr>
                <w:rFonts w:ascii="Verdana" w:eastAsia="Calibri" w:hAnsi="Verdana" w:cs="Arial"/>
                <w:color w:val="000000" w:themeColor="text1"/>
              </w:rPr>
              <w:t xml:space="preserve">eneral de </w:t>
            </w:r>
            <w:r w:rsidRPr="00821723">
              <w:rPr>
                <w:rFonts w:ascii="Verdana" w:eastAsia="Calibri" w:hAnsi="Verdana" w:cs="Arial"/>
                <w:color w:val="000000" w:themeColor="text1"/>
              </w:rPr>
              <w:t>C</w:t>
            </w:r>
            <w:r w:rsidR="00CB7537">
              <w:rPr>
                <w:rFonts w:ascii="Verdana" w:eastAsia="Calibri" w:hAnsi="Verdana" w:cs="Arial"/>
                <w:color w:val="000000" w:themeColor="text1"/>
              </w:rPr>
              <w:t xml:space="preserve">ontratación de la </w:t>
            </w:r>
            <w:r w:rsidRPr="00821723">
              <w:rPr>
                <w:rFonts w:ascii="Verdana" w:eastAsia="Calibri" w:hAnsi="Verdana" w:cs="Arial"/>
                <w:color w:val="000000" w:themeColor="text1"/>
              </w:rPr>
              <w:t>A</w:t>
            </w:r>
            <w:r w:rsidR="00CB7537">
              <w:rPr>
                <w:rFonts w:ascii="Verdana" w:eastAsia="Calibri" w:hAnsi="Verdana" w:cs="Arial"/>
                <w:color w:val="000000" w:themeColor="text1"/>
              </w:rPr>
              <w:t xml:space="preserve">dministración </w:t>
            </w:r>
            <w:r w:rsidRPr="00821723">
              <w:rPr>
                <w:rFonts w:ascii="Verdana" w:eastAsia="Calibri" w:hAnsi="Verdana" w:cs="Arial"/>
                <w:color w:val="000000" w:themeColor="text1"/>
              </w:rPr>
              <w:t>P</w:t>
            </w:r>
            <w:r w:rsidR="00CB7537">
              <w:rPr>
                <w:rFonts w:ascii="Verdana" w:eastAsia="Calibri" w:hAnsi="Verdana" w:cs="Arial"/>
                <w:color w:val="000000" w:themeColor="text1"/>
              </w:rPr>
              <w:t>ública – en adelante EGCAP-</w:t>
            </w:r>
            <w:r w:rsidRPr="00821723">
              <w:rPr>
                <w:rFonts w:ascii="Verdana" w:eastAsia="Calibri" w:hAnsi="Verdana" w:cs="Arial"/>
                <w:color w:val="000000" w:themeColor="text1"/>
              </w:rPr>
              <w:t xml:space="preserve">, confluyen una mixtura entre el derecho público y privado en su 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821723">
              <w:rPr>
                <w:rFonts w:ascii="Verdana" w:eastAsia="Calibri" w:hAnsi="Verdana" w:cs="Arial"/>
                <w:color w:val="000000" w:themeColor="text1"/>
              </w:rPr>
              <w:t>ii</w:t>
            </w:r>
            <w:proofErr w:type="spellEnd"/>
            <w:r w:rsidRPr="00821723">
              <w:rPr>
                <w:rFonts w:ascii="Verdana" w:eastAsia="Calibri" w:hAnsi="Verdana" w:cs="Arial"/>
                <w:color w:val="000000" w:themeColor="text1"/>
              </w:rPr>
              <w:t xml:space="preserve">) corresponderán como actos jurídicos bilaterales generadores de obligaciones, entre otros, a los previstos en el derecho privado, en los términos del artículo 32 </w:t>
            </w:r>
            <w:r w:rsidRPr="00821723">
              <w:rPr>
                <w:rFonts w:ascii="Verdana" w:eastAsia="Calibri" w:hAnsi="Verdana" w:cs="Arial"/>
                <w:i/>
                <w:iCs/>
                <w:color w:val="000000" w:themeColor="text1"/>
              </w:rPr>
              <w:t>ibidem</w:t>
            </w:r>
            <w:r w:rsidRPr="00821723">
              <w:rPr>
                <w:rFonts w:ascii="Verdana" w:eastAsia="Calibri" w:hAnsi="Verdana" w:cs="Arial"/>
                <w:color w:val="000000" w:themeColor="text1"/>
              </w:rPr>
              <w:t xml:space="preserve">; y </w:t>
            </w:r>
            <w:proofErr w:type="spellStart"/>
            <w:r w:rsidRPr="00821723">
              <w:rPr>
                <w:rFonts w:ascii="Verdana" w:eastAsia="Calibri" w:hAnsi="Verdana" w:cs="Arial"/>
                <w:color w:val="000000" w:themeColor="text1"/>
              </w:rPr>
              <w:t>iii</w:t>
            </w:r>
            <w:proofErr w:type="spellEnd"/>
            <w:r w:rsidRPr="00821723">
              <w:rPr>
                <w:rFonts w:ascii="Verdana" w:eastAsia="Calibri" w:hAnsi="Verdana" w:cs="Arial"/>
                <w:color w:val="000000" w:themeColor="text1"/>
              </w:rPr>
              <w:t xml:space="preserve">) contendrán las estipulaciones que, de acuerdo con las normas civiles, comerciales y las previstas en esta ley, correspondan a su esencia y naturaleza, conforme a lo dispuesto por el artículo 40 </w:t>
            </w:r>
            <w:r w:rsidRPr="00821723">
              <w:rPr>
                <w:rFonts w:ascii="Verdana" w:eastAsia="Calibri" w:hAnsi="Verdana" w:cs="Arial"/>
                <w:i/>
                <w:iCs/>
                <w:color w:val="000000" w:themeColor="text1"/>
              </w:rPr>
              <w:t>ibidem</w:t>
            </w:r>
            <w:r w:rsidRPr="00821723">
              <w:rPr>
                <w:rFonts w:ascii="Verdana" w:eastAsia="Calibri" w:hAnsi="Verdana" w:cs="Arial"/>
                <w:color w:val="000000" w:themeColor="text1"/>
              </w:rPr>
              <w:t xml:space="preserve">. </w:t>
            </w:r>
          </w:p>
          <w:p w14:paraId="1A566605" w14:textId="77777777" w:rsidR="002434BA" w:rsidRPr="00821723" w:rsidRDefault="002434BA" w:rsidP="00AC374F">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Esta </w:t>
            </w:r>
            <w:r w:rsidRPr="00821723">
              <w:rPr>
                <w:rFonts w:ascii="Verdana" w:eastAsia="Calibri" w:hAnsi="Verdana" w:cs="Arial"/>
                <w:color w:val="000000" w:themeColor="text1"/>
              </w:rPr>
              <w:t xml:space="preserve">figura cuenta con algunas normas especiales en la Ley 80 de 1993. Por ejemplo, el artículo 41, inciso tercero, del EGCAP prescribe que “Los contratos estatales son </w:t>
            </w:r>
            <w:r w:rsidRPr="00821723">
              <w:rPr>
                <w:rFonts w:ascii="Verdana" w:eastAsia="Calibri" w:hAnsi="Verdana" w:cs="Arial"/>
                <w:i/>
                <w:iCs/>
                <w:color w:val="000000" w:themeColor="text1"/>
              </w:rPr>
              <w:t xml:space="preserve">intuito </w:t>
            </w:r>
            <w:proofErr w:type="spellStart"/>
            <w:r w:rsidRPr="00821723">
              <w:rPr>
                <w:rFonts w:ascii="Verdana" w:eastAsia="Calibri" w:hAnsi="Verdana" w:cs="Arial"/>
                <w:i/>
                <w:iCs/>
                <w:color w:val="000000" w:themeColor="text1"/>
              </w:rPr>
              <w:t>personae</w:t>
            </w:r>
            <w:proofErr w:type="spellEnd"/>
            <w:r w:rsidRPr="00821723">
              <w:rPr>
                <w:rFonts w:ascii="Verdana" w:eastAsia="Calibri" w:hAnsi="Verdana" w:cs="Arial"/>
                <w:color w:val="000000" w:themeColor="text1"/>
              </w:rPr>
              <w:t xml:space="preserve"> y, en consecuencia, una vez celebrados no podrán cederse sin previa autorización escrita de la entidad contratante”. Esta norma contiene una prohibición general –</w:t>
            </w:r>
            <w:r w:rsidRPr="00821723">
              <w:rPr>
                <w:rFonts w:ascii="Verdana" w:eastAsia="Calibri" w:hAnsi="Verdana" w:cs="Arial"/>
                <w:i/>
                <w:iCs/>
                <w:color w:val="000000" w:themeColor="text1"/>
              </w:rPr>
              <w:t>faceta negativa</w:t>
            </w:r>
            <w:r w:rsidRPr="00821723">
              <w:rPr>
                <w:rFonts w:ascii="Verdana" w:eastAsia="Calibri" w:hAnsi="Verdana" w:cs="Arial"/>
                <w:color w:val="000000" w:themeColor="text1"/>
              </w:rPr>
              <w:t>– y una autorización excepcional –</w:t>
            </w:r>
            <w:r w:rsidRPr="00821723">
              <w:rPr>
                <w:rFonts w:ascii="Verdana" w:eastAsia="Calibri" w:hAnsi="Verdana" w:cs="Arial"/>
                <w:i/>
                <w:iCs/>
                <w:color w:val="000000" w:themeColor="text1"/>
              </w:rPr>
              <w:t>faceta positiva</w:t>
            </w:r>
            <w:r w:rsidRPr="00821723">
              <w:rPr>
                <w:rFonts w:ascii="Verdana" w:eastAsia="Calibri" w:hAnsi="Verdana" w:cs="Arial"/>
                <w:color w:val="000000" w:themeColor="text1"/>
              </w:rPr>
              <w:t>–.</w:t>
            </w:r>
          </w:p>
          <w:p w14:paraId="7F949E49" w14:textId="226FC957" w:rsidR="002434BA" w:rsidRDefault="002434BA" w:rsidP="00AC374F">
            <w:pPr>
              <w:tabs>
                <w:tab w:val="left" w:pos="709"/>
              </w:tabs>
              <w:spacing w:after="120" w:line="276" w:lineRule="auto"/>
              <w:jc w:val="both"/>
              <w:rPr>
                <w:rFonts w:ascii="Verdana" w:eastAsia="Calibri" w:hAnsi="Verdana" w:cs="Arial"/>
                <w:bCs/>
                <w:color w:val="000000" w:themeColor="text1"/>
              </w:rPr>
            </w:pPr>
            <w:r w:rsidRPr="00821723">
              <w:rPr>
                <w:rFonts w:ascii="Verdana" w:eastAsia="Calibri" w:hAnsi="Verdana" w:cs="Arial"/>
                <w:bCs/>
                <w:color w:val="000000" w:themeColor="text1"/>
              </w:rPr>
              <w:lastRenderedPageBreak/>
              <w:tab/>
              <w:t xml:space="preserve">En lo que respecta a la </w:t>
            </w:r>
            <w:r w:rsidRPr="00821723">
              <w:rPr>
                <w:rFonts w:ascii="Verdana" w:eastAsia="Calibri" w:hAnsi="Verdana" w:cs="Arial"/>
                <w:bCs/>
                <w:i/>
                <w:iCs/>
                <w:color w:val="000000" w:themeColor="text1"/>
              </w:rPr>
              <w:t>faceta negativa</w:t>
            </w:r>
            <w:r w:rsidRPr="00821723">
              <w:rPr>
                <w:rFonts w:ascii="Verdana" w:eastAsia="Calibri" w:hAnsi="Verdana" w:cs="Arial"/>
                <w:bCs/>
                <w:color w:val="000000" w:themeColor="text1"/>
              </w:rPr>
              <w:t xml:space="preserve">, el artículo 41 del </w:t>
            </w:r>
            <w:r w:rsidR="00CB7537">
              <w:rPr>
                <w:rFonts w:ascii="Verdana" w:eastAsia="Calibri" w:hAnsi="Verdana" w:cs="Arial"/>
                <w:bCs/>
                <w:color w:val="000000" w:themeColor="text1"/>
              </w:rPr>
              <w:t xml:space="preserve">EGCAP </w:t>
            </w:r>
            <w:r w:rsidRPr="00821723">
              <w:rPr>
                <w:rFonts w:ascii="Verdana" w:eastAsia="Calibri" w:hAnsi="Verdana" w:cs="Arial"/>
                <w:bCs/>
                <w:color w:val="000000" w:themeColor="text1"/>
              </w:rPr>
              <w:t>ordena que el contrato se ejecute con quien inicialmente se celebró el acuerdo de voluntades, pues es la persona que –de acuerdo con los criterios definidos por la entidad para la selección del contratista– resulta idónea para cumplir con las obligaciones. De esta manera, la prohibición contenida en la norma citada es uno de los elementos de la naturaleza del contrato estatal, pues –conforme a lo previsto en el artículo 1501 del Código Civil– es de aquellos “</w:t>
            </w:r>
            <w:r>
              <w:rPr>
                <w:rFonts w:ascii="Verdana" w:eastAsia="Calibri" w:hAnsi="Verdana" w:cs="Arial"/>
                <w:bCs/>
                <w:color w:val="000000" w:themeColor="text1"/>
              </w:rPr>
              <w:t>(…)</w:t>
            </w:r>
            <w:r w:rsidRPr="00821723">
              <w:rPr>
                <w:rFonts w:ascii="Verdana" w:eastAsia="Calibri" w:hAnsi="Verdana" w:cs="Arial"/>
                <w:bCs/>
                <w:color w:val="000000" w:themeColor="text1"/>
              </w:rPr>
              <w:t xml:space="preserve"> </w:t>
            </w:r>
            <w:proofErr w:type="gramStart"/>
            <w:r w:rsidRPr="00821723">
              <w:rPr>
                <w:rFonts w:ascii="Verdana" w:eastAsia="Calibri" w:hAnsi="Verdana" w:cs="Arial"/>
                <w:bCs/>
                <w:color w:val="000000" w:themeColor="text1"/>
              </w:rPr>
              <w:t>que</w:t>
            </w:r>
            <w:proofErr w:type="gramEnd"/>
            <w:r w:rsidRPr="00821723">
              <w:rPr>
                <w:rFonts w:ascii="Verdana" w:eastAsia="Calibri" w:hAnsi="Verdana" w:cs="Arial"/>
                <w:bCs/>
                <w:color w:val="000000" w:themeColor="text1"/>
              </w:rPr>
              <w:t xml:space="preserve"> no siendo esenciales en él, se entienden pertenecerle, sin necesidad de una cláusula especial </w:t>
            </w:r>
            <w:r>
              <w:rPr>
                <w:rFonts w:ascii="Verdana" w:eastAsia="Calibri" w:hAnsi="Verdana" w:cs="Arial"/>
                <w:bCs/>
                <w:color w:val="000000" w:themeColor="text1"/>
              </w:rPr>
              <w:t>(…)”</w:t>
            </w:r>
            <w:r w:rsidRPr="00821723">
              <w:rPr>
                <w:rFonts w:ascii="Verdana" w:eastAsia="Calibri" w:hAnsi="Verdana" w:cs="Arial"/>
                <w:bCs/>
                <w:color w:val="000000" w:themeColor="text1"/>
              </w:rPr>
              <w:t xml:space="preserve">.  </w:t>
            </w:r>
          </w:p>
          <w:p w14:paraId="038959DF" w14:textId="77777777" w:rsidR="002434BA" w:rsidRDefault="002434BA" w:rsidP="00AC374F">
            <w:pPr>
              <w:tabs>
                <w:tab w:val="left" w:pos="709"/>
              </w:tabs>
              <w:spacing w:after="120" w:line="276" w:lineRule="auto"/>
              <w:ind w:firstLine="709"/>
              <w:jc w:val="both"/>
              <w:rPr>
                <w:rFonts w:ascii="Verdana" w:eastAsia="Calibri" w:hAnsi="Verdana" w:cs="Arial"/>
                <w:bCs/>
                <w:color w:val="000000" w:themeColor="text1"/>
              </w:rPr>
            </w:pPr>
            <w:r w:rsidRPr="00821723">
              <w:rPr>
                <w:rFonts w:ascii="Verdana" w:eastAsia="Calibri" w:hAnsi="Verdana" w:cs="Arial"/>
                <w:bCs/>
                <w:color w:val="000000" w:themeColor="text1"/>
              </w:rPr>
              <w:t xml:space="preserve">En su </w:t>
            </w:r>
            <w:r w:rsidRPr="00821723">
              <w:rPr>
                <w:rFonts w:ascii="Verdana" w:eastAsia="Calibri" w:hAnsi="Verdana" w:cs="Arial"/>
                <w:bCs/>
                <w:i/>
                <w:iCs/>
                <w:color w:val="000000" w:themeColor="text1"/>
              </w:rPr>
              <w:t>faceta positiva</w:t>
            </w:r>
            <w:r w:rsidRPr="00821723">
              <w:rPr>
                <w:rFonts w:ascii="Verdana" w:eastAsia="Calibri" w:hAnsi="Verdana" w:cs="Arial"/>
                <w:bCs/>
                <w:color w:val="000000" w:themeColor="text1"/>
              </w:rPr>
              <w:t>, la Ley 80 de 1993 permite excepcionalmente la cesión del contrato estatal siempre que exista autorización previa escrita de la entidad contratante. Por ello, “</w:t>
            </w:r>
            <w:r>
              <w:rPr>
                <w:rFonts w:ascii="Verdana" w:eastAsia="Calibri" w:hAnsi="Verdana" w:cs="Arial"/>
                <w:bCs/>
                <w:color w:val="000000" w:themeColor="text1"/>
              </w:rPr>
              <w:t xml:space="preserve">(…) </w:t>
            </w:r>
            <w:r w:rsidRPr="00821723">
              <w:rPr>
                <w:rFonts w:ascii="Verdana" w:eastAsia="Calibri" w:hAnsi="Verdana" w:cs="Arial"/>
                <w:bCs/>
                <w:color w:val="000000" w:themeColor="text1"/>
              </w:rPr>
              <w:t>El cocontratante que ‘</w:t>
            </w:r>
            <w:r w:rsidRPr="00821723">
              <w:rPr>
                <w:rFonts w:ascii="Verdana" w:eastAsia="Calibri" w:hAnsi="Verdana" w:cs="Arial"/>
                <w:bCs/>
                <w:i/>
                <w:iCs/>
                <w:color w:val="000000" w:themeColor="text1"/>
              </w:rPr>
              <w:t>ceda</w:t>
            </w:r>
            <w:r w:rsidRPr="00821723">
              <w:rPr>
                <w:rFonts w:ascii="Verdana" w:eastAsia="Calibri" w:hAnsi="Verdana" w:cs="Arial"/>
                <w:bCs/>
                <w:color w:val="000000" w:themeColor="text1"/>
              </w:rPr>
              <w:t>’ el contrato sin estar autorizado para ello incurre en grave responsabilidad: su actitud implica ‘</w:t>
            </w:r>
            <w:r w:rsidRPr="00821723">
              <w:rPr>
                <w:rFonts w:ascii="Verdana" w:eastAsia="Calibri" w:hAnsi="Verdana" w:cs="Arial"/>
                <w:bCs/>
                <w:i/>
                <w:iCs/>
                <w:color w:val="000000" w:themeColor="text1"/>
              </w:rPr>
              <w:t>incumplimiento</w:t>
            </w:r>
            <w:r w:rsidRPr="00821723">
              <w:rPr>
                <w:rFonts w:ascii="Verdana" w:eastAsia="Calibri" w:hAnsi="Verdana" w:cs="Arial"/>
                <w:bCs/>
                <w:color w:val="000000" w:themeColor="text1"/>
              </w:rPr>
              <w:t xml:space="preserve">’ del contrato; de ahí que esa cesión ilícita no resulte oponible a la Administración Pública </w:t>
            </w:r>
            <w:r>
              <w:rPr>
                <w:rFonts w:ascii="Verdana" w:eastAsia="Calibri" w:hAnsi="Verdana" w:cs="Arial"/>
                <w:bCs/>
                <w:color w:val="000000" w:themeColor="text1"/>
              </w:rPr>
              <w:t>(…)</w:t>
            </w:r>
            <w:r w:rsidRPr="00821723">
              <w:rPr>
                <w:rFonts w:ascii="Verdana" w:eastAsia="Calibri" w:hAnsi="Verdana" w:cs="Arial"/>
                <w:bCs/>
                <w:color w:val="000000" w:themeColor="text1"/>
              </w:rPr>
              <w:t>”. Este requisito introduce un elemento especial que no está previsto en el Código de Comercio, pues en el derecho privado –salvo las excepciones previstas en la ley– la cesión requiere el acuerdo de voluntades entre el cedente y el cesionario, sin que medie la aceptación del contratante cedido.</w:t>
            </w:r>
          </w:p>
          <w:p w14:paraId="47498386" w14:textId="77777777" w:rsidR="002434BA" w:rsidRDefault="002434BA" w:rsidP="00AC374F">
            <w:pPr>
              <w:spacing w:after="120" w:line="276" w:lineRule="auto"/>
              <w:ind w:firstLine="709"/>
              <w:jc w:val="both"/>
              <w:rPr>
                <w:rFonts w:ascii="Verdana" w:eastAsia="Calibri" w:hAnsi="Verdana" w:cs="Arial"/>
                <w:color w:val="000000" w:themeColor="text1"/>
              </w:rPr>
            </w:pPr>
            <w:r w:rsidRPr="00821723">
              <w:rPr>
                <w:rFonts w:ascii="Verdana" w:eastAsia="Calibri" w:hAnsi="Verdana" w:cs="Arial"/>
                <w:color w:val="000000" w:themeColor="text1"/>
              </w:rPr>
              <w:t xml:space="preserve">Por lo demás, el Consejo de Estado ha precisado como requisitos de la cesión del contrato estatal los siguientes: i) debe recaer en un tercero; </w:t>
            </w:r>
            <w:proofErr w:type="spellStart"/>
            <w:r w:rsidRPr="00821723">
              <w:rPr>
                <w:rFonts w:ascii="Verdana" w:eastAsia="Calibri" w:hAnsi="Verdana" w:cs="Arial"/>
                <w:color w:val="000000" w:themeColor="text1"/>
              </w:rPr>
              <w:t>ii</w:t>
            </w:r>
            <w:proofErr w:type="spellEnd"/>
            <w:r w:rsidRPr="00821723">
              <w:rPr>
                <w:rFonts w:ascii="Verdana" w:eastAsia="Calibri" w:hAnsi="Verdana" w:cs="Arial"/>
                <w:color w:val="000000" w:themeColor="text1"/>
              </w:rPr>
              <w:t xml:space="preserve">) el cesionario debe tener capacidad jurídica para continuar con la ejecución del objeto contractual y no estar incurso en causales de inhabilidad e incompatibilidad para contratar; y </w:t>
            </w:r>
            <w:proofErr w:type="spellStart"/>
            <w:r w:rsidRPr="00821723">
              <w:rPr>
                <w:rFonts w:ascii="Verdana" w:eastAsia="Calibri" w:hAnsi="Verdana" w:cs="Arial"/>
                <w:color w:val="000000" w:themeColor="text1"/>
              </w:rPr>
              <w:t>iii</w:t>
            </w:r>
            <w:proofErr w:type="spellEnd"/>
            <w:r w:rsidRPr="00821723">
              <w:rPr>
                <w:rFonts w:ascii="Verdana" w:eastAsia="Calibri" w:hAnsi="Verdana" w:cs="Arial"/>
                <w:color w:val="000000" w:themeColor="text1"/>
              </w:rPr>
              <w:t>) el cesionario debe contar con capacidad técnica, económica y financiera suficientes para el cumplimiento de las obligaciones emanadas del contrato cedido</w:t>
            </w:r>
            <w:r>
              <w:rPr>
                <w:rFonts w:ascii="Verdana" w:eastAsia="Calibri" w:hAnsi="Verdana" w:cs="Arial"/>
                <w:color w:val="000000" w:themeColor="text1"/>
              </w:rPr>
              <w:t xml:space="preserve">. </w:t>
            </w:r>
          </w:p>
          <w:p w14:paraId="6A477867" w14:textId="77777777" w:rsidR="002434BA" w:rsidRDefault="002434BA" w:rsidP="00AC374F">
            <w:pPr>
              <w:spacing w:after="120" w:line="276" w:lineRule="auto"/>
              <w:ind w:firstLine="709"/>
              <w:jc w:val="both"/>
              <w:rPr>
                <w:rFonts w:ascii="Verdana" w:hAnsi="Verdana" w:cs="Arial"/>
                <w:color w:val="000000" w:themeColor="text1"/>
              </w:rPr>
            </w:pPr>
            <w:r>
              <w:rPr>
                <w:rFonts w:ascii="Verdana" w:hAnsi="Verdana" w:cs="Arial"/>
              </w:rPr>
              <w:t xml:space="preserve">Tratándose de los </w:t>
            </w:r>
            <w:r w:rsidRPr="00821723">
              <w:rPr>
                <w:rFonts w:ascii="Verdana" w:hAnsi="Verdana" w:cs="Arial"/>
              </w:rPr>
              <w:t>consorcios y las uniones temporales</w:t>
            </w:r>
            <w:r>
              <w:rPr>
                <w:rFonts w:ascii="Verdana" w:hAnsi="Verdana" w:cs="Arial"/>
              </w:rPr>
              <w:t>, es importante advertir que</w:t>
            </w:r>
            <w:r w:rsidRPr="00821723">
              <w:rPr>
                <w:rFonts w:ascii="Verdana" w:hAnsi="Verdana" w:cs="Arial"/>
              </w:rPr>
              <w:t xml:space="preserve"> no son personas jurídicas, su creación depende de un acuerdo en el que concurre la voluntad de sus integrantes para regular su objeto, la participación de los miembros, las obligaciones frente al proyecto, su responsabilidad, la forma en que regirán sus relaciones internas y el relacionamiento con la entidad contratante, mediante la designación de un representante, de conformidad con el parágrafo 1 del artículo 7 de la Ley 80 de 1993</w:t>
            </w:r>
            <w:r>
              <w:rPr>
                <w:rFonts w:ascii="Verdana" w:hAnsi="Verdana" w:cs="Arial"/>
              </w:rPr>
              <w:t>.</w:t>
            </w:r>
            <w:r w:rsidRPr="00821723">
              <w:rPr>
                <w:rFonts w:ascii="Verdana" w:eastAsia="Calibri" w:hAnsi="Verdana" w:cs="Arial"/>
                <w:bCs/>
                <w:color w:val="000000" w:themeColor="text1"/>
                <w:lang w:val="es-ES"/>
              </w:rPr>
              <w:t xml:space="preserve"> el artículo citado señala que el consorcio o la unión temporal se da </w:t>
            </w:r>
            <w:r w:rsidRPr="00821723">
              <w:rPr>
                <w:rFonts w:ascii="Verdana" w:eastAsia="Calibri" w:hAnsi="Verdana" w:cs="Arial"/>
                <w:bCs/>
                <w:color w:val="000000" w:themeColor="text1"/>
                <w:lang w:val="es-ES"/>
              </w:rPr>
              <w:lastRenderedPageBreak/>
              <w:t xml:space="preserve">“Cuando dos o más personas en forma conjunta presentan una misma propuesta para la adjudicación, celebración y ejecución de un contrato </w:t>
            </w:r>
            <w:r>
              <w:rPr>
                <w:rFonts w:ascii="Verdana" w:eastAsia="Calibri" w:hAnsi="Verdana" w:cs="Arial"/>
                <w:lang w:val="es-MX"/>
              </w:rPr>
              <w:t>(…)</w:t>
            </w:r>
            <w:r w:rsidRPr="00821723">
              <w:rPr>
                <w:rFonts w:ascii="Verdana" w:eastAsia="Calibri" w:hAnsi="Verdana" w:cs="Arial"/>
                <w:bCs/>
                <w:color w:val="000000" w:themeColor="text1"/>
                <w:lang w:val="es-ES"/>
              </w:rPr>
              <w:t>”.</w:t>
            </w:r>
            <w:r w:rsidRPr="00821723">
              <w:rPr>
                <w:rFonts w:ascii="Verdana" w:hAnsi="Verdana" w:cs="Arial"/>
                <w:color w:val="000000" w:themeColor="text1"/>
              </w:rPr>
              <w:t xml:space="preserve"> </w:t>
            </w:r>
          </w:p>
          <w:p w14:paraId="52E3079F" w14:textId="77777777" w:rsidR="002434BA" w:rsidRDefault="002434BA" w:rsidP="00AC374F">
            <w:pPr>
              <w:spacing w:after="120" w:line="276" w:lineRule="auto"/>
              <w:ind w:firstLine="709"/>
              <w:jc w:val="both"/>
              <w:rPr>
                <w:rFonts w:ascii="Verdana" w:hAnsi="Verdana" w:cs="Arial"/>
                <w:color w:val="000000" w:themeColor="text1"/>
              </w:rPr>
            </w:pPr>
            <w:r w:rsidRPr="00821723">
              <w:rPr>
                <w:rFonts w:ascii="Verdana" w:hAnsi="Verdana" w:cs="Arial"/>
                <w:color w:val="000000" w:themeColor="text1"/>
              </w:rPr>
              <w:t xml:space="preserve">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6AA8306E" w14:textId="77777777" w:rsidR="002434BA" w:rsidRDefault="002434BA" w:rsidP="00AC374F">
            <w:pPr>
              <w:spacing w:after="120" w:line="276" w:lineRule="auto"/>
              <w:ind w:firstLine="709"/>
              <w:jc w:val="both"/>
              <w:rPr>
                <w:rFonts w:ascii="Verdana" w:hAnsi="Verdana" w:cs="Arial"/>
                <w:color w:val="000000" w:themeColor="text1"/>
              </w:rPr>
            </w:pPr>
            <w:r w:rsidRPr="00821723">
              <w:rPr>
                <w:rFonts w:ascii="Verdana" w:hAnsi="Verdana" w:cs="Arial"/>
                <w:color w:val="000000" w:themeColor="text1"/>
              </w:rPr>
              <w:t>La capacidad jurídica de lo</w:t>
            </w:r>
            <w:r>
              <w:rPr>
                <w:rFonts w:ascii="Verdana" w:hAnsi="Verdana" w:cs="Arial"/>
                <w:color w:val="000000" w:themeColor="text1"/>
              </w:rPr>
              <w:t>s</w:t>
            </w:r>
            <w:r w:rsidRPr="00821723">
              <w:rPr>
                <w:rFonts w:ascii="Verdana" w:hAnsi="Verdana" w:cs="Arial"/>
                <w:color w:val="000000" w:themeColor="text1"/>
              </w:rPr>
              <w:t xml:space="preserve"> proponentes plurales se limita al campo de la contratación estatal de las entidades sometidas al EGCAP, es decir, a las relaciones en consorcios y las uniones temporales con las entidades estatales del artículo 2 de la Ley 80 de 1993. Esta precisión es importante, porque la habilitación de los numerales 6 y 7 del artículo 7 </w:t>
            </w:r>
            <w:r w:rsidRPr="00821723">
              <w:rPr>
                <w:rFonts w:ascii="Verdana" w:hAnsi="Verdana" w:cs="Arial"/>
                <w:i/>
                <w:iCs/>
                <w:color w:val="000000" w:themeColor="text1"/>
              </w:rPr>
              <w:t>ibidem</w:t>
            </w:r>
            <w:r w:rsidRPr="00821723">
              <w:rPr>
                <w:rFonts w:ascii="Verdana" w:hAnsi="Verdana" w:cs="Arial"/>
                <w:color w:val="000000" w:themeColor="text1"/>
              </w:rPr>
              <w:t xml:space="preserve"> no les otorgan capacidad respecto a las relaciones entre particulares, como las que surgen entre el cedente y el cesionario del contrato.</w:t>
            </w:r>
          </w:p>
          <w:p w14:paraId="5156EBB7" w14:textId="77777777" w:rsidR="002434BA" w:rsidRPr="003901DF" w:rsidRDefault="002434BA" w:rsidP="00AC374F">
            <w:pPr>
              <w:spacing w:after="120" w:line="276" w:lineRule="auto"/>
              <w:ind w:firstLine="709"/>
              <w:jc w:val="both"/>
              <w:rPr>
                <w:rFonts w:ascii="Verdana" w:hAnsi="Verdana" w:cs="Arial"/>
                <w:color w:val="000000" w:themeColor="text1"/>
              </w:rPr>
            </w:pPr>
            <w:r w:rsidRPr="00821723">
              <w:rPr>
                <w:rFonts w:ascii="Verdana" w:hAnsi="Verdana" w:cs="Arial"/>
                <w:color w:val="000000" w:themeColor="text1"/>
              </w:rPr>
              <w:t xml:space="preserve">De acuerdo con el inciso primero del artículo 73 del Código Civil las personas son naturales o jurídicas. Conforme al artículo 74 </w:t>
            </w:r>
            <w:r w:rsidRPr="00821723">
              <w:rPr>
                <w:rFonts w:ascii="Verdana" w:hAnsi="Verdana" w:cs="Arial"/>
                <w:i/>
                <w:iCs/>
                <w:color w:val="000000" w:themeColor="text1"/>
              </w:rPr>
              <w:t>ibidem</w:t>
            </w:r>
            <w:r w:rsidRPr="00821723">
              <w:rPr>
                <w:rFonts w:ascii="Verdana" w:hAnsi="Verdana" w:cs="Arial"/>
                <w:color w:val="000000" w:themeColor="text1"/>
              </w:rPr>
              <w:t>, las primeras corresponden a “</w:t>
            </w:r>
            <w:r>
              <w:rPr>
                <w:rFonts w:ascii="Verdana" w:eastAsia="Calibri" w:hAnsi="Verdana" w:cs="Arial"/>
                <w:lang w:val="es-MX"/>
              </w:rPr>
              <w:t xml:space="preserve">(…) </w:t>
            </w:r>
            <w:r w:rsidRPr="00821723">
              <w:rPr>
                <w:rFonts w:ascii="Verdana" w:hAnsi="Verdana" w:cs="Arial"/>
                <w:color w:val="000000" w:themeColor="text1"/>
              </w:rPr>
              <w:t xml:space="preserve">todos los individuos de la especie humana, cualquiera que sea su edad, sexo, estirpe o condición”. En contraste, con fundamento en el inciso primero artículo 633 </w:t>
            </w:r>
            <w:r w:rsidRPr="00821723">
              <w:rPr>
                <w:rFonts w:ascii="Verdana" w:hAnsi="Verdana" w:cs="Arial"/>
                <w:i/>
                <w:iCs/>
                <w:color w:val="000000" w:themeColor="text1"/>
              </w:rPr>
              <w:t>ibidem</w:t>
            </w:r>
            <w:r w:rsidRPr="00821723">
              <w:rPr>
                <w:rFonts w:ascii="Verdana" w:hAnsi="Verdana" w:cs="Arial"/>
                <w:color w:val="000000" w:themeColor="text1"/>
              </w:rPr>
              <w:t>, las segundas son “</w:t>
            </w:r>
            <w:r>
              <w:rPr>
                <w:rFonts w:ascii="Verdana" w:eastAsia="Calibri" w:hAnsi="Verdana" w:cs="Arial"/>
                <w:lang w:val="es-MX"/>
              </w:rPr>
              <w:t>(…)</w:t>
            </w:r>
            <w:r w:rsidRPr="00821723">
              <w:rPr>
                <w:rFonts w:ascii="Verdana" w:hAnsi="Verdana" w:cs="Arial"/>
                <w:color w:val="000000" w:themeColor="text1"/>
              </w:rPr>
              <w:t xml:space="preserve"> una persona ficticia, capaz de ejercer derechos y contraer obligaciones civiles, y de ser representada judicial y extrajudicialmente”. Como se explicó </w:t>
            </w:r>
            <w:r w:rsidRPr="00821723">
              <w:rPr>
                <w:rFonts w:ascii="Verdana" w:hAnsi="Verdana" w:cs="Arial"/>
                <w:i/>
                <w:iCs/>
                <w:color w:val="000000" w:themeColor="text1"/>
              </w:rPr>
              <w:t>ut supra</w:t>
            </w:r>
            <w:r w:rsidRPr="00821723">
              <w:rPr>
                <w:rFonts w:ascii="Verdana" w:hAnsi="Verdana" w:cs="Arial"/>
                <w:color w:val="000000" w:themeColor="text1"/>
              </w:rPr>
              <w:t xml:space="preserve">, los consorcios y las uniones temporales carecen de esta naturaleza. Asimismo, los numerales 6 y 7 del artículo 7 de la Ley 80 de 1993 tampoco otorgan capacidad a los proponentes plurales para ser cesionarios; por lo </w:t>
            </w:r>
            <w:r>
              <w:rPr>
                <w:rFonts w:ascii="Verdana" w:hAnsi="Verdana" w:cs="Arial"/>
                <w:color w:val="000000" w:themeColor="text1"/>
              </w:rPr>
              <w:t>tanto, no existe</w:t>
            </w:r>
            <w:r w:rsidRPr="00821723">
              <w:rPr>
                <w:rFonts w:ascii="Verdana" w:hAnsi="Verdana" w:cs="Arial"/>
                <w:color w:val="000000" w:themeColor="text1"/>
              </w:rPr>
              <w:t xml:space="preserve"> una habilitación legal para que los contratistas cedan su posición contractual a los consorcios o uniones temporales</w:t>
            </w:r>
            <w:r>
              <w:rPr>
                <w:rFonts w:ascii="Verdana" w:hAnsi="Verdana" w:cs="Arial"/>
                <w:color w:val="000000" w:themeColor="text1"/>
              </w:rPr>
              <w:t>.</w:t>
            </w:r>
          </w:p>
        </w:tc>
      </w:tr>
    </w:tbl>
    <w:p w14:paraId="4F1E8081" w14:textId="77777777" w:rsidR="002434BA" w:rsidRDefault="002434BA" w:rsidP="002434BA">
      <w:pPr>
        <w:tabs>
          <w:tab w:val="left" w:pos="142"/>
          <w:tab w:val="left" w:pos="284"/>
        </w:tabs>
        <w:spacing w:after="0" w:line="276" w:lineRule="auto"/>
        <w:jc w:val="both"/>
        <w:rPr>
          <w:rFonts w:ascii="Verdana" w:eastAsia="Century Gothic" w:hAnsi="Verdana" w:cs="Century Gothic"/>
          <w:b/>
          <w:bCs/>
        </w:rPr>
      </w:pPr>
    </w:p>
    <w:p w14:paraId="6034C734" w14:textId="77777777" w:rsidR="002434BA" w:rsidRPr="005644FE" w:rsidRDefault="002434BA" w:rsidP="002434BA">
      <w:pPr>
        <w:tabs>
          <w:tab w:val="left" w:pos="142"/>
          <w:tab w:val="left" w:pos="284"/>
        </w:tabs>
        <w:spacing w:after="0" w:line="276" w:lineRule="auto"/>
        <w:jc w:val="both"/>
        <w:rPr>
          <w:rFonts w:ascii="Verdana" w:eastAsia="Century Gothic" w:hAnsi="Verdana" w:cs="Century Gothic"/>
          <w:b/>
          <w:bCs/>
        </w:rPr>
      </w:pPr>
      <w:r w:rsidRPr="005644FE">
        <w:rPr>
          <w:rFonts w:ascii="Verdana" w:eastAsia="Century Gothic" w:hAnsi="Verdana" w:cs="Century Gothic"/>
          <w:b/>
          <w:bCs/>
        </w:rPr>
        <w:t>3. Razones de la respuesta:</w:t>
      </w:r>
    </w:p>
    <w:p w14:paraId="63CAF6C5" w14:textId="77777777" w:rsidR="002434BA" w:rsidRPr="005644FE" w:rsidRDefault="002434BA" w:rsidP="002434BA">
      <w:pPr>
        <w:pStyle w:val="Prrafodelista"/>
        <w:tabs>
          <w:tab w:val="left" w:pos="142"/>
          <w:tab w:val="left" w:pos="284"/>
        </w:tabs>
        <w:spacing w:after="0" w:line="240" w:lineRule="auto"/>
        <w:ind w:left="0"/>
        <w:contextualSpacing w:val="0"/>
        <w:jc w:val="both"/>
        <w:rPr>
          <w:rFonts w:ascii="Verdana" w:eastAsia="Calibri" w:hAnsi="Verdana" w:cs="Arial"/>
        </w:rPr>
      </w:pPr>
    </w:p>
    <w:p w14:paraId="7C69DE72" w14:textId="77777777" w:rsidR="002434BA" w:rsidRDefault="002434BA" w:rsidP="002434BA">
      <w:pPr>
        <w:tabs>
          <w:tab w:val="left" w:pos="142"/>
          <w:tab w:val="left" w:pos="284"/>
          <w:tab w:val="left" w:pos="6912"/>
        </w:tabs>
        <w:spacing w:after="0" w:line="276" w:lineRule="auto"/>
        <w:jc w:val="both"/>
        <w:rPr>
          <w:rFonts w:ascii="Verdana" w:eastAsia="Calibri" w:hAnsi="Verdana" w:cs="Arial"/>
        </w:rPr>
      </w:pPr>
      <w:r w:rsidRPr="005644FE">
        <w:rPr>
          <w:rFonts w:ascii="Verdana" w:eastAsia="Calibri" w:hAnsi="Verdana" w:cs="Arial"/>
        </w:rPr>
        <w:t>Lo anterior se sustenta en las siguientes consideraciones:</w:t>
      </w:r>
      <w:r>
        <w:rPr>
          <w:rFonts w:ascii="Verdana" w:eastAsia="Calibri" w:hAnsi="Verdana" w:cs="Arial"/>
        </w:rPr>
        <w:tab/>
      </w:r>
    </w:p>
    <w:p w14:paraId="0487B76D" w14:textId="77777777" w:rsidR="002434BA" w:rsidRDefault="002434BA" w:rsidP="002434BA">
      <w:pPr>
        <w:tabs>
          <w:tab w:val="left" w:pos="142"/>
          <w:tab w:val="left" w:pos="284"/>
          <w:tab w:val="left" w:pos="6912"/>
        </w:tabs>
        <w:spacing w:after="0" w:line="240" w:lineRule="auto"/>
        <w:jc w:val="both"/>
        <w:rPr>
          <w:rFonts w:ascii="Verdana" w:eastAsia="Calibri" w:hAnsi="Verdana" w:cs="Arial"/>
        </w:rPr>
      </w:pPr>
    </w:p>
    <w:p w14:paraId="65947563" w14:textId="77777777" w:rsidR="002434BA" w:rsidRPr="00E96901" w:rsidRDefault="002434BA" w:rsidP="002434BA">
      <w:pPr>
        <w:pStyle w:val="Sinespaciado"/>
        <w:spacing w:after="120" w:line="276" w:lineRule="auto"/>
        <w:jc w:val="both"/>
        <w:rPr>
          <w:rFonts w:ascii="Verdana" w:hAnsi="Verdana" w:cs="Arial"/>
          <w:sz w:val="22"/>
        </w:rPr>
      </w:pPr>
      <w:r w:rsidRPr="00E96901">
        <w:rPr>
          <w:rFonts w:ascii="Verdana" w:hAnsi="Verdana" w:cs="Arial"/>
          <w:sz w:val="22"/>
        </w:rPr>
        <w:t xml:space="preserve">Las inhabilidades son circunstancias establecidas por la Constitución o la ley que impiden que personas naturales o jurídicas sean elegidas o designadas en un cargo público o celebren contratos con el Estado, con el objetivo de garantizar </w:t>
      </w:r>
      <w:r w:rsidRPr="00E96901">
        <w:rPr>
          <w:rFonts w:ascii="Verdana" w:hAnsi="Verdana" w:cs="Arial"/>
          <w:sz w:val="22"/>
        </w:rPr>
        <w:lastRenderedPageBreak/>
        <w:t xml:space="preserve">la idoneidad, imparcialidad, probidad, transparencia y moralidad de la función pública, garantizando el interés general.  </w:t>
      </w:r>
    </w:p>
    <w:p w14:paraId="0B6837ED" w14:textId="77777777" w:rsidR="002434BA" w:rsidRPr="00E96901" w:rsidRDefault="002434BA" w:rsidP="002434BA">
      <w:pPr>
        <w:spacing w:after="120" w:line="276" w:lineRule="auto"/>
        <w:ind w:firstLine="709"/>
        <w:jc w:val="both"/>
        <w:rPr>
          <w:rFonts w:ascii="Verdana" w:hAnsi="Verdana" w:cs="Arial"/>
        </w:rPr>
      </w:pPr>
      <w:r w:rsidRPr="00E96901">
        <w:rPr>
          <w:rFonts w:ascii="Verdana" w:hAnsi="Verdana" w:cs="Arial"/>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E96901">
        <w:rPr>
          <w:rStyle w:val="Refdenotaalpie"/>
          <w:rFonts w:ascii="Verdana" w:hAnsi="Verdana" w:cs="Arial"/>
        </w:rPr>
        <w:footnoteReference w:id="1"/>
      </w:r>
      <w:r w:rsidRPr="00E96901">
        <w:rPr>
          <w:rFonts w:ascii="Verdana" w:hAnsi="Verdana" w:cs="Arial"/>
        </w:rPr>
        <w:t>.</w:t>
      </w:r>
    </w:p>
    <w:p w14:paraId="38363439" w14:textId="77777777" w:rsidR="002434BA" w:rsidRPr="00E96901" w:rsidRDefault="002434BA" w:rsidP="002434BA">
      <w:pPr>
        <w:pStyle w:val="Sinespaciado"/>
        <w:spacing w:line="276" w:lineRule="auto"/>
        <w:ind w:firstLine="709"/>
        <w:jc w:val="both"/>
        <w:rPr>
          <w:rFonts w:ascii="Verdana" w:hAnsi="Verdana" w:cs="Arial"/>
          <w:sz w:val="22"/>
        </w:rPr>
      </w:pPr>
      <w:r w:rsidRPr="00E96901">
        <w:rPr>
          <w:rFonts w:ascii="Verdana" w:hAnsi="Verdana" w:cs="Arial"/>
          <w:sz w:val="22"/>
        </w:rPr>
        <w:t>La consagración</w:t>
      </w:r>
      <w:r>
        <w:rPr>
          <w:rFonts w:ascii="Verdana" w:hAnsi="Verdana" w:cs="Arial"/>
          <w:sz w:val="22"/>
        </w:rPr>
        <w:t xml:space="preserve"> de</w:t>
      </w:r>
      <w:r w:rsidRPr="00E96901">
        <w:rPr>
          <w:rFonts w:ascii="Verdana" w:hAnsi="Verdana" w:cs="Arial"/>
          <w:sz w:val="22"/>
        </w:rPr>
        <w:t xml:space="preserve"> limitaciones que afectan la capacidad jurídica para contratar desarrolla los principios de la función administrativa consagrados en el artículo 209 de la Constitución Política, con especial énfasis el de moralidad. Así lo entiende el Consejo de Estado: </w:t>
      </w:r>
    </w:p>
    <w:p w14:paraId="127E403B" w14:textId="77777777" w:rsidR="002434BA" w:rsidRPr="00E96901" w:rsidRDefault="002434BA" w:rsidP="002434BA">
      <w:pPr>
        <w:pStyle w:val="Sinespaciado"/>
        <w:jc w:val="both"/>
        <w:rPr>
          <w:rFonts w:ascii="Verdana" w:hAnsi="Verdana" w:cs="Arial"/>
          <w:sz w:val="22"/>
        </w:rPr>
      </w:pPr>
    </w:p>
    <w:p w14:paraId="1072E2E4" w14:textId="77777777" w:rsidR="002434BA" w:rsidRDefault="002434BA" w:rsidP="002434BA">
      <w:pPr>
        <w:pStyle w:val="NormalWeb"/>
        <w:shd w:val="clear" w:color="auto" w:fill="FFFFFF"/>
        <w:spacing w:before="0" w:beforeAutospacing="0" w:after="0" w:afterAutospacing="0"/>
        <w:ind w:left="709" w:right="709"/>
        <w:jc w:val="both"/>
        <w:rPr>
          <w:rFonts w:ascii="Verdana" w:hAnsi="Verdana" w:cs="Arial"/>
          <w:sz w:val="20"/>
          <w:szCs w:val="20"/>
          <w:lang w:val="es-ES"/>
        </w:rPr>
      </w:pPr>
      <w:r w:rsidRPr="00D66BA1">
        <w:rPr>
          <w:rFonts w:ascii="Verdana"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2276F4EF" w14:textId="77777777" w:rsidR="002434BA" w:rsidRDefault="002434BA" w:rsidP="002434BA">
      <w:pPr>
        <w:pStyle w:val="NormalWeb"/>
        <w:shd w:val="clear" w:color="auto" w:fill="FFFFFF"/>
        <w:spacing w:before="0" w:beforeAutospacing="0" w:after="0" w:afterAutospacing="0"/>
        <w:ind w:left="709" w:right="709"/>
        <w:jc w:val="both"/>
        <w:rPr>
          <w:rFonts w:ascii="Verdana" w:hAnsi="Verdana" w:cs="Arial"/>
          <w:sz w:val="20"/>
          <w:szCs w:val="20"/>
          <w:lang w:val="es-ES"/>
        </w:rPr>
      </w:pPr>
    </w:p>
    <w:p w14:paraId="489F3FD4" w14:textId="77777777" w:rsidR="002434BA" w:rsidRPr="00D66BA1" w:rsidRDefault="002434BA" w:rsidP="002434BA">
      <w:pPr>
        <w:pStyle w:val="NormalWeb"/>
        <w:shd w:val="clear" w:color="auto" w:fill="FFFFFF"/>
        <w:spacing w:before="0" w:beforeAutospacing="0" w:after="0" w:afterAutospacing="0"/>
        <w:ind w:left="709" w:right="709"/>
        <w:jc w:val="both"/>
        <w:rPr>
          <w:rFonts w:ascii="Verdana" w:hAnsi="Verdana" w:cs="Arial"/>
          <w:sz w:val="20"/>
          <w:szCs w:val="20"/>
          <w:lang w:val="es-ES"/>
        </w:rPr>
      </w:pPr>
      <w:r w:rsidRPr="00D66BA1">
        <w:rPr>
          <w:rFonts w:ascii="Verdana" w:hAnsi="Verdana" w:cs="Arial"/>
          <w:sz w:val="20"/>
          <w:szCs w:val="20"/>
          <w:lang w:val="es-ES"/>
        </w:rPr>
        <w:t xml:space="preserve">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w:t>
      </w:r>
      <w:r w:rsidRPr="00D66BA1">
        <w:rPr>
          <w:rFonts w:ascii="Verdana" w:hAnsi="Verdana" w:cs="Arial"/>
          <w:sz w:val="20"/>
          <w:szCs w:val="20"/>
          <w:lang w:val="es-ES"/>
        </w:rPr>
        <w:lastRenderedPageBreak/>
        <w:t>razón de ese fin de interés general como regla legal prevalente, esto es que puede ser impuesta sobre el derecho individual a contratar con el Estado”</w:t>
      </w:r>
      <w:r w:rsidRPr="00D66BA1">
        <w:rPr>
          <w:rStyle w:val="Refdenotaalpie"/>
          <w:rFonts w:ascii="Verdana" w:eastAsiaTheme="majorEastAsia" w:hAnsi="Verdana" w:cs="Arial"/>
          <w:sz w:val="20"/>
          <w:szCs w:val="20"/>
          <w:lang w:val="es-ES"/>
        </w:rPr>
        <w:footnoteReference w:id="2"/>
      </w:r>
      <w:r w:rsidRPr="00D66BA1">
        <w:rPr>
          <w:rFonts w:ascii="Verdana" w:hAnsi="Verdana" w:cs="Arial"/>
          <w:sz w:val="20"/>
          <w:szCs w:val="20"/>
          <w:lang w:val="es-ES"/>
        </w:rPr>
        <w:t>.</w:t>
      </w:r>
    </w:p>
    <w:p w14:paraId="20607B0A" w14:textId="77777777" w:rsidR="002434BA" w:rsidRPr="00E96901" w:rsidRDefault="002434BA" w:rsidP="002434BA">
      <w:pPr>
        <w:pStyle w:val="NormalWeb"/>
        <w:shd w:val="clear" w:color="auto" w:fill="FFFFFF"/>
        <w:spacing w:before="0" w:beforeAutospacing="0" w:after="0" w:afterAutospacing="0" w:line="276" w:lineRule="auto"/>
        <w:ind w:left="709" w:right="709"/>
        <w:jc w:val="both"/>
        <w:rPr>
          <w:rFonts w:ascii="Verdana" w:hAnsi="Verdana" w:cs="Arial"/>
          <w:sz w:val="22"/>
          <w:szCs w:val="22"/>
          <w:lang w:val="es-ES"/>
        </w:rPr>
      </w:pPr>
    </w:p>
    <w:p w14:paraId="305CEC00" w14:textId="77777777" w:rsidR="002434BA" w:rsidRPr="00E96901" w:rsidRDefault="002434BA" w:rsidP="002434BA">
      <w:pPr>
        <w:pStyle w:val="Sinespaciado"/>
        <w:spacing w:line="276" w:lineRule="auto"/>
        <w:ind w:firstLine="709"/>
        <w:jc w:val="both"/>
        <w:rPr>
          <w:rFonts w:ascii="Verdana" w:hAnsi="Verdana" w:cs="Arial"/>
          <w:sz w:val="22"/>
        </w:rPr>
      </w:pPr>
      <w:r w:rsidRPr="00E96901">
        <w:rPr>
          <w:rFonts w:ascii="Verdana" w:hAnsi="Verdana" w:cs="Arial"/>
          <w:sz w:val="22"/>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77D68CC5" w14:textId="77777777" w:rsidR="002434BA" w:rsidRPr="00E96901" w:rsidRDefault="002434BA" w:rsidP="002434BA">
      <w:pPr>
        <w:pStyle w:val="Sinespaciado"/>
        <w:spacing w:line="276" w:lineRule="auto"/>
        <w:ind w:firstLine="709"/>
        <w:jc w:val="both"/>
        <w:rPr>
          <w:rFonts w:ascii="Verdana" w:hAnsi="Verdana" w:cs="Arial"/>
          <w:sz w:val="22"/>
        </w:rPr>
      </w:pPr>
    </w:p>
    <w:p w14:paraId="7CE35A6C" w14:textId="77777777" w:rsidR="002434BA" w:rsidRPr="00D66BA1" w:rsidRDefault="002434BA" w:rsidP="002434BA">
      <w:pPr>
        <w:spacing w:after="120" w:line="240" w:lineRule="auto"/>
        <w:ind w:left="709" w:right="709"/>
        <w:jc w:val="both"/>
        <w:rPr>
          <w:rFonts w:ascii="Verdana" w:hAnsi="Verdana" w:cs="Arial"/>
          <w:sz w:val="20"/>
          <w:szCs w:val="20"/>
        </w:rPr>
      </w:pPr>
      <w:r w:rsidRPr="00D66BA1">
        <w:rPr>
          <w:rFonts w:ascii="Verdana" w:hAnsi="Verdana" w:cs="Arial"/>
          <w:sz w:val="20"/>
          <w:szCs w:val="20"/>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proofErr w:type="gramStart"/>
      <w:r w:rsidRPr="00D66BA1">
        <w:rPr>
          <w:rFonts w:ascii="Verdana" w:hAnsi="Verdana" w:cs="Arial"/>
          <w:sz w:val="20"/>
          <w:szCs w:val="20"/>
        </w:rPr>
        <w:t>incompatibilidades,</w:t>
      </w:r>
      <w:proofErr w:type="gramEnd"/>
      <w:r w:rsidRPr="00D66BA1">
        <w:rPr>
          <w:rFonts w:ascii="Verdana" w:hAnsi="Verdana" w:cs="Arial"/>
          <w:sz w:val="20"/>
          <w:szCs w:val="20"/>
        </w:rPr>
        <w:t xml:space="preserve"> se erige en causal de nulidad del contrato celebrado en esas condiciones (ley 80 de 1993, art. 44).</w:t>
      </w:r>
    </w:p>
    <w:p w14:paraId="3910E0FD" w14:textId="77777777" w:rsidR="002434BA" w:rsidRPr="00D66BA1" w:rsidRDefault="002434BA" w:rsidP="002434BA">
      <w:pPr>
        <w:spacing w:after="0" w:line="240" w:lineRule="auto"/>
        <w:ind w:left="709" w:right="709"/>
        <w:jc w:val="both"/>
        <w:rPr>
          <w:rFonts w:ascii="Verdana" w:hAnsi="Verdana" w:cs="Arial"/>
          <w:sz w:val="20"/>
          <w:szCs w:val="20"/>
        </w:rPr>
      </w:pPr>
      <w:r w:rsidRPr="00D66BA1">
        <w:rPr>
          <w:rFonts w:ascii="Verdana" w:hAnsi="Verdana" w:cs="Arial"/>
          <w:sz w:val="20"/>
          <w:szCs w:val="20"/>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D66BA1">
        <w:rPr>
          <w:rStyle w:val="Refdenotaalpie"/>
          <w:rFonts w:ascii="Verdana" w:hAnsi="Verdana" w:cs="Arial"/>
          <w:sz w:val="20"/>
          <w:szCs w:val="20"/>
        </w:rPr>
        <w:footnoteReference w:id="3"/>
      </w:r>
      <w:r w:rsidRPr="00D66BA1">
        <w:rPr>
          <w:rFonts w:ascii="Verdana" w:hAnsi="Verdana" w:cs="Arial"/>
          <w:sz w:val="20"/>
          <w:szCs w:val="20"/>
        </w:rPr>
        <w:t>.</w:t>
      </w:r>
    </w:p>
    <w:p w14:paraId="57941836" w14:textId="77777777" w:rsidR="002434BA" w:rsidRPr="00E96901" w:rsidRDefault="002434BA" w:rsidP="000043B2">
      <w:pPr>
        <w:spacing w:after="0" w:line="240" w:lineRule="auto"/>
        <w:ind w:right="709"/>
        <w:jc w:val="both"/>
        <w:rPr>
          <w:rFonts w:ascii="Verdana" w:hAnsi="Verdana" w:cs="Arial"/>
        </w:rPr>
      </w:pPr>
    </w:p>
    <w:p w14:paraId="6771A256" w14:textId="77BD87A7" w:rsidR="002434BA" w:rsidRPr="00E96901" w:rsidRDefault="002434BA" w:rsidP="002434BA">
      <w:pPr>
        <w:spacing w:after="0" w:line="276" w:lineRule="auto"/>
        <w:ind w:firstLine="709"/>
        <w:jc w:val="both"/>
        <w:rPr>
          <w:rFonts w:ascii="Verdana" w:hAnsi="Verdana" w:cs="Arial"/>
        </w:rPr>
      </w:pPr>
      <w:r w:rsidRPr="00E96901">
        <w:rPr>
          <w:rFonts w:ascii="Verdana" w:hAnsi="Verdana" w:cs="Arial"/>
        </w:rPr>
        <w:t xml:space="preserve">Además, la Corte Constitucional explica que el legislador tiene la competencia para determinar qué hechos o situaciones generan inhabilidad para contratar, pues este régimen es un aspecto propio del </w:t>
      </w:r>
      <w:r w:rsidR="00501E55">
        <w:rPr>
          <w:rFonts w:ascii="Verdana" w:hAnsi="Verdana" w:cs="Arial"/>
        </w:rPr>
        <w:t>EGCAP</w:t>
      </w:r>
      <w:r w:rsidRPr="00E96901">
        <w:rPr>
          <w:rFonts w:ascii="Verdana" w:hAnsi="Verdana" w:cs="Arial"/>
        </w:rPr>
        <w:t xml:space="preserve">, cuya expedición </w:t>
      </w:r>
      <w:r w:rsidRPr="00E96901">
        <w:rPr>
          <w:rFonts w:ascii="Verdana" w:hAnsi="Verdana" w:cs="Arial"/>
        </w:rPr>
        <w:lastRenderedPageBreak/>
        <w:t>compete al Congreso de la República a la luz del artículo 150 de la Constitución Política, y que en esta materia rige el principio de legalidad:</w:t>
      </w:r>
    </w:p>
    <w:p w14:paraId="0D6DAB77" w14:textId="77777777" w:rsidR="002434BA" w:rsidRPr="00E96901" w:rsidRDefault="002434BA" w:rsidP="000043B2">
      <w:pPr>
        <w:pStyle w:val="Sinespaciado"/>
        <w:tabs>
          <w:tab w:val="left" w:pos="1532"/>
        </w:tabs>
        <w:jc w:val="both"/>
        <w:rPr>
          <w:rFonts w:ascii="Verdana" w:hAnsi="Verdana" w:cs="Arial"/>
          <w:sz w:val="22"/>
        </w:rPr>
      </w:pPr>
    </w:p>
    <w:p w14:paraId="4357AF20" w14:textId="77777777" w:rsidR="002434BA" w:rsidRPr="000043B2" w:rsidRDefault="002434BA" w:rsidP="002434BA">
      <w:pPr>
        <w:spacing w:after="0" w:line="240" w:lineRule="auto"/>
        <w:ind w:left="709" w:right="709"/>
        <w:jc w:val="both"/>
        <w:rPr>
          <w:rFonts w:ascii="Verdana" w:hAnsi="Verdana" w:cs="Arial"/>
          <w:sz w:val="20"/>
          <w:szCs w:val="20"/>
        </w:rPr>
      </w:pPr>
      <w:r w:rsidRPr="000043B2">
        <w:rPr>
          <w:rFonts w:ascii="Verdana" w:hAnsi="Verdana" w:cs="Arial"/>
          <w:sz w:val="20"/>
          <w:szCs w:val="20"/>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0043B2">
        <w:rPr>
          <w:rFonts w:ascii="Verdana" w:hAnsi="Verdana" w:cs="Arial"/>
          <w:i/>
          <w:iCs/>
          <w:sz w:val="20"/>
          <w:szCs w:val="20"/>
        </w:rPr>
        <w:t xml:space="preserve">pro </w:t>
      </w:r>
      <w:proofErr w:type="spellStart"/>
      <w:r w:rsidRPr="000043B2">
        <w:rPr>
          <w:rFonts w:ascii="Verdana" w:hAnsi="Verdana" w:cs="Arial"/>
          <w:i/>
          <w:iCs/>
          <w:sz w:val="20"/>
          <w:szCs w:val="20"/>
        </w:rPr>
        <w:t>libertate</w:t>
      </w:r>
      <w:proofErr w:type="spellEnd"/>
      <w:r w:rsidRPr="000043B2">
        <w:rPr>
          <w:rFonts w:ascii="Verdana" w:hAnsi="Verdana" w:cs="Arial"/>
          <w:sz w:val="20"/>
          <w:szCs w:val="20"/>
        </w:rPr>
        <w:t xml:space="preserve">, sino el de legalidad, el que ordena que la función pública debe someterse estrictamente a lo que disponga la Constitución y la ley (CP art. 6). </w:t>
      </w:r>
    </w:p>
    <w:p w14:paraId="15E62FA0" w14:textId="77777777" w:rsidR="002434BA" w:rsidRPr="000043B2" w:rsidRDefault="002434BA" w:rsidP="002434BA">
      <w:pPr>
        <w:spacing w:after="120" w:line="240" w:lineRule="auto"/>
        <w:ind w:left="709" w:right="709"/>
        <w:jc w:val="both"/>
        <w:rPr>
          <w:rFonts w:ascii="Verdana" w:hAnsi="Verdana" w:cs="Arial"/>
          <w:sz w:val="20"/>
          <w:szCs w:val="20"/>
        </w:rPr>
      </w:pPr>
      <w:r w:rsidRPr="000043B2">
        <w:rPr>
          <w:rFonts w:ascii="Verdana" w:hAnsi="Verdana" w:cs="Arial"/>
          <w:sz w:val="20"/>
          <w:szCs w:val="20"/>
        </w:rPr>
        <w:t xml:space="preserve">[…] </w:t>
      </w:r>
    </w:p>
    <w:p w14:paraId="3ABDCE2A" w14:textId="77777777" w:rsidR="002434BA" w:rsidRPr="000043B2" w:rsidRDefault="002434BA" w:rsidP="002434BA">
      <w:pPr>
        <w:spacing w:after="0" w:line="240" w:lineRule="auto"/>
        <w:ind w:left="709" w:right="709"/>
        <w:jc w:val="both"/>
        <w:rPr>
          <w:rFonts w:ascii="Verdana" w:hAnsi="Verdana" w:cs="Arial"/>
          <w:sz w:val="20"/>
          <w:szCs w:val="20"/>
        </w:rPr>
      </w:pPr>
      <w:r w:rsidRPr="000043B2">
        <w:rPr>
          <w:rFonts w:ascii="Verdana" w:hAnsi="Verdana" w:cs="Arial"/>
          <w:sz w:val="20"/>
          <w:szCs w:val="20"/>
        </w:rPr>
        <w:t xml:space="preserve">Se comprende con facilidad que el régimen de inhabilidades e </w:t>
      </w:r>
      <w:proofErr w:type="gramStart"/>
      <w:r w:rsidRPr="000043B2">
        <w:rPr>
          <w:rFonts w:ascii="Verdana" w:hAnsi="Verdana" w:cs="Arial"/>
          <w:sz w:val="20"/>
          <w:szCs w:val="20"/>
        </w:rPr>
        <w:t>incompatibilidades,</w:t>
      </w:r>
      <w:proofErr w:type="gramEnd"/>
      <w:r w:rsidRPr="000043B2">
        <w:rPr>
          <w:rFonts w:ascii="Verdana" w:hAnsi="Verdana" w:cs="Arial"/>
          <w:sz w:val="20"/>
          <w:szCs w:val="20"/>
        </w:rPr>
        <w:t xml:space="preserve"> corresponde a una materia de normal y obligada inclusión en un estatuto contractual. El legislador, a quien se ha confiado expedir el indicado estatuto, tiene, pues, competencia para establecerlo (CP art. 150)”</w:t>
      </w:r>
      <w:r w:rsidRPr="000043B2">
        <w:rPr>
          <w:rStyle w:val="Refdenotaalpie"/>
          <w:rFonts w:ascii="Verdana" w:hAnsi="Verdana" w:cs="Arial"/>
          <w:sz w:val="20"/>
          <w:szCs w:val="20"/>
        </w:rPr>
        <w:footnoteReference w:id="4"/>
      </w:r>
      <w:r w:rsidRPr="000043B2">
        <w:rPr>
          <w:rFonts w:ascii="Verdana" w:hAnsi="Verdana" w:cs="Arial"/>
          <w:sz w:val="20"/>
          <w:szCs w:val="20"/>
        </w:rPr>
        <w:t>.</w:t>
      </w:r>
    </w:p>
    <w:p w14:paraId="1E9AEE36" w14:textId="77777777" w:rsidR="002434BA" w:rsidRPr="00D66BA1" w:rsidRDefault="002434BA" w:rsidP="002434BA">
      <w:pPr>
        <w:spacing w:after="0" w:line="240" w:lineRule="auto"/>
        <w:ind w:left="709" w:right="709"/>
        <w:jc w:val="both"/>
        <w:rPr>
          <w:rFonts w:ascii="Verdana" w:hAnsi="Verdana" w:cs="Arial"/>
          <w:sz w:val="21"/>
          <w:szCs w:val="21"/>
        </w:rPr>
      </w:pPr>
    </w:p>
    <w:p w14:paraId="38B15600" w14:textId="77777777" w:rsidR="002434BA" w:rsidRPr="00E96901" w:rsidRDefault="002434BA" w:rsidP="002434BA">
      <w:pPr>
        <w:spacing w:after="120" w:line="276" w:lineRule="auto"/>
        <w:ind w:firstLine="709"/>
        <w:jc w:val="both"/>
        <w:rPr>
          <w:rFonts w:ascii="Verdana" w:hAnsi="Verdana" w:cs="Arial"/>
        </w:rPr>
      </w:pPr>
      <w:r w:rsidRPr="00E96901">
        <w:rPr>
          <w:rFonts w:ascii="Verdana" w:hAnsi="Verdana" w:cs="Arial"/>
        </w:rPr>
        <w:t xml:space="preserve">Conviene también distinguir las fuentes de las inhabilidades, las cuales han sido clasificadas en dos (2) grupos: i) inhabilidades-sanción </w:t>
      </w:r>
      <w:proofErr w:type="spellStart"/>
      <w:r w:rsidRPr="00E96901">
        <w:rPr>
          <w:rFonts w:ascii="Verdana" w:hAnsi="Verdana" w:cs="Arial"/>
        </w:rPr>
        <w:t>ii</w:t>
      </w:r>
      <w:proofErr w:type="spellEnd"/>
      <w:r w:rsidRPr="00E96901">
        <w:rPr>
          <w:rFonts w:ascii="Verdana" w:hAnsi="Verdana" w:cs="Arial"/>
        </w:rPr>
        <w:t>) inhabilidades-requisito. En el primer grupo se encuentran las inhabilidades que surgen como consecuencia de un proceso sancionatorio, en los ámbitos penal, disciplinario, contravencional o de pérdida de investidura. En el segundo grupo</w:t>
      </w:r>
      <w:r>
        <w:rPr>
          <w:rFonts w:ascii="Verdana" w:hAnsi="Verdana" w:cs="Arial"/>
        </w:rPr>
        <w:t>,</w:t>
      </w:r>
      <w:r w:rsidRPr="00E96901">
        <w:rPr>
          <w:rFonts w:ascii="Verdana" w:hAnsi="Verdana" w:cs="Arial"/>
        </w:rPr>
        <w:t xml:space="preserve"> están aquellas que no devienen de un proceso sancionatorio, sino de condiciones propias de la persona y garantizan la moralidad, la imparcialidad, la eficacia y la transparencia</w:t>
      </w:r>
      <w:r w:rsidRPr="00E96901">
        <w:rPr>
          <w:rStyle w:val="Refdenotaalpie"/>
          <w:rFonts w:ascii="Verdana" w:hAnsi="Verdana" w:cs="Arial"/>
        </w:rPr>
        <w:footnoteReference w:id="5"/>
      </w:r>
      <w:r w:rsidRPr="00E96901">
        <w:rPr>
          <w:rFonts w:ascii="Verdana" w:hAnsi="Verdana" w:cs="Arial"/>
        </w:rPr>
        <w:t>.</w:t>
      </w:r>
    </w:p>
    <w:p w14:paraId="063D0350" w14:textId="77777777" w:rsidR="002434BA" w:rsidRPr="00E96901" w:rsidRDefault="002434BA" w:rsidP="002434BA">
      <w:pPr>
        <w:spacing w:after="120" w:line="276" w:lineRule="auto"/>
        <w:ind w:firstLine="709"/>
        <w:jc w:val="both"/>
        <w:rPr>
          <w:rFonts w:ascii="Verdana" w:hAnsi="Verdana" w:cs="Arial"/>
        </w:rPr>
      </w:pPr>
      <w:r w:rsidRPr="00E96901">
        <w:rPr>
          <w:rFonts w:ascii="Verdana" w:hAnsi="Verdana" w:cs="Arial"/>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w:t>
      </w:r>
      <w:r w:rsidRPr="00E96901">
        <w:rPr>
          <w:rFonts w:ascii="Verdana" w:hAnsi="Verdana" w:cs="Arial"/>
        </w:rPr>
        <w:lastRenderedPageBreak/>
        <w:t xml:space="preserve">falta o un delito que dio lugar a una declaratoria por parte de la Administración o el juez, sino de aspectos propios de la persona, derivados, por ejemplo, del parentesco o la afinidad o de la condición de servidor público. </w:t>
      </w:r>
      <w:bookmarkStart w:id="3" w:name="_Hlk40976328"/>
      <w:r w:rsidRPr="00E96901">
        <w:rPr>
          <w:rFonts w:ascii="Verdana" w:hAnsi="Verdana"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3"/>
    </w:p>
    <w:p w14:paraId="6DB4C836" w14:textId="5D971AF7" w:rsidR="002434BA" w:rsidRPr="00E96901" w:rsidRDefault="002434BA" w:rsidP="002434BA">
      <w:pPr>
        <w:spacing w:after="120" w:line="276" w:lineRule="auto"/>
        <w:ind w:firstLine="708"/>
        <w:jc w:val="both"/>
        <w:rPr>
          <w:rFonts w:ascii="Verdana" w:eastAsia="Calibri" w:hAnsi="Verdana" w:cs="Arial"/>
          <w:lang w:val="es-ES_tradnl"/>
        </w:rPr>
      </w:pPr>
      <w:r w:rsidRPr="00E96901">
        <w:rPr>
          <w:rFonts w:ascii="Verdana" w:eastAsia="Calibri" w:hAnsi="Verdana" w:cs="Arial"/>
          <w:i/>
          <w:iCs/>
          <w:lang w:val="es-ES_tradnl"/>
        </w:rPr>
        <w:t>Igualmente</w:t>
      </w:r>
      <w:r w:rsidRPr="00E96901">
        <w:rPr>
          <w:rFonts w:ascii="Verdana" w:eastAsia="Calibri" w:hAnsi="Verdana" w:cs="Arial"/>
          <w:lang w:val="es-ES_tradnl"/>
        </w:rPr>
        <w:t xml:space="preserve">, </w:t>
      </w:r>
      <w:bookmarkStart w:id="4" w:name="_Hlk135133412"/>
      <w:r w:rsidRPr="00E96901">
        <w:rPr>
          <w:rFonts w:ascii="Verdana" w:eastAsia="Calibri" w:hAnsi="Verdana" w:cs="Arial"/>
          <w:lang w:val="es-ES_tradnl"/>
        </w:rPr>
        <w:t xml:space="preserve">en la contratación estatal, la </w:t>
      </w:r>
      <w:r w:rsidRPr="00E96901">
        <w:rPr>
          <w:rFonts w:ascii="Verdana" w:eastAsia="Calibri" w:hAnsi="Verdana" w:cs="Arial"/>
          <w:i/>
          <w:iCs/>
          <w:lang w:val="es-ES_tradnl"/>
        </w:rPr>
        <w:t>capacidad</w:t>
      </w:r>
      <w:r w:rsidRPr="00E96901">
        <w:rPr>
          <w:rFonts w:ascii="Verdana" w:eastAsia="Calibri" w:hAnsi="Verdana" w:cs="Arial"/>
          <w:lang w:val="es-ES_tradnl"/>
        </w:rPr>
        <w:t xml:space="preserve"> también es un requisito de validez de los contratos, tanto en el régimen de las entidades sujetas al </w:t>
      </w:r>
      <w:r w:rsidR="00082CEF">
        <w:rPr>
          <w:rFonts w:ascii="Verdana" w:eastAsia="Calibri" w:hAnsi="Verdana" w:cs="Arial"/>
          <w:lang w:val="es-ES_tradnl"/>
        </w:rPr>
        <w:t>EGCAP</w:t>
      </w:r>
      <w:r w:rsidRPr="00E96901">
        <w:rPr>
          <w:rStyle w:val="Refdenotaalpie"/>
          <w:rFonts w:ascii="Verdana" w:eastAsia="Calibri" w:hAnsi="Verdana" w:cs="Arial"/>
          <w:lang w:val="es-ES_tradnl"/>
        </w:rPr>
        <w:footnoteReference w:id="6"/>
      </w:r>
      <w:r w:rsidRPr="00E96901">
        <w:rPr>
          <w:rFonts w:ascii="Verdana" w:eastAsia="Calibri" w:hAnsi="Verdana" w:cs="Arial"/>
          <w:lang w:val="es-ES_tradnl"/>
        </w:rPr>
        <w:t xml:space="preserve"> como en el de las entidades exceptuadas de aquel</w:t>
      </w:r>
      <w:r w:rsidRPr="00E96901">
        <w:rPr>
          <w:rStyle w:val="Refdenotaalpie"/>
          <w:rFonts w:ascii="Verdana" w:eastAsia="Calibri" w:hAnsi="Verdana" w:cs="Arial"/>
          <w:lang w:val="es-ES_tradnl"/>
        </w:rPr>
        <w:footnoteReference w:id="7"/>
      </w:r>
      <w:r w:rsidRPr="00E96901">
        <w:rPr>
          <w:rFonts w:ascii="Verdana" w:eastAsia="Calibri" w:hAnsi="Verdana" w:cs="Arial"/>
          <w:lang w:val="es-ES_tradnl"/>
        </w:rPr>
        <w:t>.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w:t>
      </w:r>
      <w:r w:rsidRPr="00E96901">
        <w:rPr>
          <w:rStyle w:val="Refdenotaalpie"/>
          <w:rFonts w:ascii="Verdana" w:eastAsia="Calibri" w:hAnsi="Verdana" w:cs="Arial"/>
          <w:lang w:val="es-ES_tradnl"/>
        </w:rPr>
        <w:footnoteReference w:id="8"/>
      </w:r>
      <w:r w:rsidRPr="00E96901">
        <w:rPr>
          <w:rFonts w:ascii="Verdana" w:eastAsia="Calibri" w:hAnsi="Verdana" w:cs="Arial"/>
          <w:lang w:val="es-ES_tradnl"/>
        </w:rPr>
        <w:t xml:space="preserve">–, se destaca el régimen de inhabilidades e incompatibilidades como un conjunto de normas que imponen </w:t>
      </w:r>
      <w:r w:rsidRPr="00E96901">
        <w:rPr>
          <w:rFonts w:ascii="Verdana" w:eastAsia="Calibri" w:hAnsi="Verdana" w:cs="Arial"/>
          <w:lang w:val="es-ES_tradnl"/>
        </w:rPr>
        <w:lastRenderedPageBreak/>
        <w:t>restricciones para los sujetos que, eventualmente, pretendan participar en los procedimientos de selección o celebrar contratos con las entidades estatales</w:t>
      </w:r>
      <w:r w:rsidRPr="00E96901">
        <w:rPr>
          <w:rStyle w:val="Refdenotaalpie"/>
          <w:rFonts w:ascii="Verdana" w:eastAsia="Calibri" w:hAnsi="Verdana" w:cs="Arial"/>
          <w:lang w:val="es-ES_tradnl"/>
        </w:rPr>
        <w:footnoteReference w:id="9"/>
      </w:r>
      <w:r w:rsidRPr="00E96901">
        <w:rPr>
          <w:rFonts w:ascii="Verdana" w:eastAsia="Calibri" w:hAnsi="Verdana" w:cs="Arial"/>
          <w:lang w:val="es-ES_tradnl"/>
        </w:rPr>
        <w:t>.</w:t>
      </w:r>
    </w:p>
    <w:p w14:paraId="4B71A9A4" w14:textId="77777777" w:rsidR="002434BA" w:rsidRPr="00E96901" w:rsidRDefault="002434BA" w:rsidP="002434BA">
      <w:pPr>
        <w:spacing w:after="120" w:line="276" w:lineRule="auto"/>
        <w:ind w:firstLine="709"/>
        <w:jc w:val="both"/>
        <w:rPr>
          <w:rFonts w:ascii="Verdana" w:eastAsia="Calibri" w:hAnsi="Verdana" w:cs="Arial"/>
          <w:lang w:val="es-ES"/>
        </w:rPr>
      </w:pPr>
      <w:r w:rsidRPr="0A941B03">
        <w:rPr>
          <w:rFonts w:ascii="Verdana" w:eastAsia="Calibri" w:hAnsi="Verdana" w:cs="Arial"/>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0A941B03">
        <w:rPr>
          <w:rFonts w:ascii="Verdana" w:eastAsia="Calibri" w:hAnsi="Verdana" w:cs="Arial"/>
          <w:lang w:val="es-ES"/>
        </w:rPr>
        <w:t>ii</w:t>
      </w:r>
      <w:proofErr w:type="spellEnd"/>
      <w:r w:rsidRPr="0A941B03">
        <w:rPr>
          <w:rFonts w:ascii="Verdana" w:eastAsia="Calibri" w:hAnsi="Verdana" w:cs="Arial"/>
          <w:lang w:val="es-ES"/>
        </w:rPr>
        <w:t xml:space="preserve">) de vínculos personales relativos al parentesco o al estado civil o </w:t>
      </w:r>
      <w:proofErr w:type="spellStart"/>
      <w:r w:rsidRPr="0A941B03">
        <w:rPr>
          <w:rFonts w:ascii="Verdana" w:eastAsia="Calibri" w:hAnsi="Verdana" w:cs="Arial"/>
          <w:lang w:val="es-ES"/>
        </w:rPr>
        <w:t>iii</w:t>
      </w:r>
      <w:proofErr w:type="spellEnd"/>
      <w:r w:rsidRPr="0A941B03">
        <w:rPr>
          <w:rFonts w:ascii="Verdana" w:eastAsia="Calibri" w:hAnsi="Verdana" w:cs="Arial"/>
          <w:lang w:val="es-ES"/>
        </w:rPr>
        <w:t>)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Pr="0A941B03">
        <w:rPr>
          <w:rStyle w:val="Refdenotaalpie"/>
          <w:rFonts w:ascii="Verdana" w:eastAsia="Calibri" w:hAnsi="Verdana" w:cs="Arial"/>
          <w:lang w:val="es-ES"/>
        </w:rPr>
        <w:footnoteReference w:id="10"/>
      </w:r>
      <w:r w:rsidRPr="0A941B03">
        <w:rPr>
          <w:rFonts w:ascii="Verdana" w:eastAsia="Calibri" w:hAnsi="Verdana" w:cs="Arial"/>
          <w:lang w:val="es-ES"/>
        </w:rPr>
        <w:t>.</w:t>
      </w:r>
    </w:p>
    <w:bookmarkEnd w:id="4"/>
    <w:p w14:paraId="6285D351" w14:textId="77777777" w:rsidR="002434BA" w:rsidRPr="00E96901" w:rsidRDefault="002434BA" w:rsidP="002434BA">
      <w:pPr>
        <w:spacing w:after="120" w:line="276" w:lineRule="auto"/>
        <w:ind w:firstLine="709"/>
        <w:jc w:val="both"/>
        <w:rPr>
          <w:rFonts w:ascii="Verdana" w:eastAsia="Calibri" w:hAnsi="Verdana" w:cs="Arial"/>
          <w:lang w:val="es-ES_tradnl"/>
        </w:rPr>
      </w:pPr>
      <w:r w:rsidRPr="00E96901">
        <w:rPr>
          <w:rFonts w:ascii="Verdana" w:eastAsia="Calibri" w:hAnsi="Verdana" w:cs="Arial"/>
          <w:lang w:val="es-ES_tradnl"/>
        </w:rPr>
        <w:t xml:space="preserve">Ahora bien, las inhabilidades e incompatibilidades al ser restricciones o límites especiales a la capacidad para presentar ofertas y celebrar contratos estatales, solo pueden tipificarse en la ley o la Constitución –o sea, deben satisfacer el principio de legalidad– y su interpretación debe ser </w:t>
      </w:r>
      <w:r w:rsidRPr="00E96901">
        <w:rPr>
          <w:rFonts w:ascii="Verdana" w:eastAsia="Calibri" w:hAnsi="Verdana" w:cs="Arial"/>
          <w:i/>
          <w:iCs/>
          <w:lang w:val="es-ES_tradnl"/>
        </w:rPr>
        <w:t>restrictiva</w:t>
      </w:r>
      <w:r w:rsidRPr="00E96901">
        <w:rPr>
          <w:rStyle w:val="Refdenotaalpie"/>
          <w:rFonts w:ascii="Verdana" w:eastAsia="Calibri" w:hAnsi="Verdana" w:cs="Arial"/>
          <w:i/>
          <w:iCs/>
          <w:lang w:val="es-ES_tradnl"/>
        </w:rPr>
        <w:footnoteReference w:id="11"/>
      </w:r>
      <w:r w:rsidRPr="00E96901">
        <w:rPr>
          <w:rFonts w:ascii="Verdana" w:eastAsia="Calibri" w:hAnsi="Verdana" w:cs="Arial"/>
          <w:i/>
          <w:iCs/>
          <w:lang w:val="es-ES_tradnl"/>
        </w:rPr>
        <w:t xml:space="preserve">, </w:t>
      </w:r>
      <w:r w:rsidRPr="00E96901">
        <w:rPr>
          <w:rFonts w:ascii="Verdana" w:eastAsia="Calibri" w:hAnsi="Verdana" w:cs="Arial"/>
          <w:lang w:val="es-ES_tradnl"/>
        </w:rPr>
        <w:t xml:space="preserve">pues si se admitiera una interpretación amplia, extensiva o finalista de las </w:t>
      </w:r>
      <w:r w:rsidRPr="00E96901">
        <w:rPr>
          <w:rFonts w:ascii="Verdana" w:eastAsia="Calibri" w:hAnsi="Verdana" w:cs="Arial"/>
          <w:lang w:val="es-ES_tradnl"/>
        </w:rPr>
        <w:lastRenderedPageBreak/>
        <w:t xml:space="preserve">mismas, tales enunciados normativos contemplarían múltiples supuestos indeterminados, según el parecer o el sentido común de los operadores jurídicos, poniendo en riesgo principios como la igualdad, el debido proceso, la seguridad jurídica, la libre concurrencia y el ejercicio de la profesión u oficio. Tal ha sido la postura al interior de la jurisprudencia, tanto de la Corte Constitucional como de la Sección Tercera del Consejo de Estado. </w:t>
      </w:r>
    </w:p>
    <w:p w14:paraId="4308A2FE" w14:textId="77777777" w:rsidR="002434BA" w:rsidRDefault="002434BA" w:rsidP="002434BA">
      <w:pPr>
        <w:spacing w:after="0" w:line="276" w:lineRule="auto"/>
        <w:ind w:firstLine="709"/>
        <w:jc w:val="both"/>
        <w:rPr>
          <w:rFonts w:ascii="Verdana" w:eastAsia="Calibri" w:hAnsi="Verdana" w:cs="Arial"/>
          <w:lang w:val="es-ES_tradnl"/>
        </w:rPr>
      </w:pPr>
      <w:r w:rsidRPr="00E96901">
        <w:rPr>
          <w:rFonts w:ascii="Verdana" w:eastAsia="Calibri" w:hAnsi="Verdana" w:cs="Arial"/>
          <w:lang w:val="es-ES_tradnl"/>
        </w:rPr>
        <w:t>En efecto, el máximo tribunal constitucional ha indicado, al tratar de precisar el sentido de este tipo de normas, que “</w:t>
      </w:r>
      <w:r>
        <w:rPr>
          <w:rFonts w:ascii="Verdana" w:eastAsia="Calibri" w:hAnsi="Verdana" w:cs="Arial"/>
          <w:lang w:val="es-ES_tradnl"/>
        </w:rPr>
        <w:t>(…)</w:t>
      </w:r>
      <w:r w:rsidRPr="00E96901">
        <w:rPr>
          <w:rFonts w:ascii="Verdana" w:eastAsia="Calibri" w:hAnsi="Verdana" w:cs="Arial"/>
          <w:lang w:val="es-ES_tradnl"/>
        </w:rPr>
        <w:t xml:space="preserve">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E96901">
        <w:rPr>
          <w:rStyle w:val="Refdenotaalpie"/>
          <w:rFonts w:ascii="Verdana" w:eastAsia="Calibri" w:hAnsi="Verdana" w:cs="Arial"/>
          <w:lang w:val="es-ES_tradnl"/>
        </w:rPr>
        <w:footnoteReference w:id="12"/>
      </w:r>
      <w:r w:rsidRPr="00E96901">
        <w:rPr>
          <w:rFonts w:ascii="Verdana" w:eastAsia="Calibri" w:hAnsi="Verdana" w:cs="Arial"/>
          <w:lang w:val="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E96901">
        <w:rPr>
          <w:rStyle w:val="Refdenotaalpie"/>
          <w:rFonts w:ascii="Verdana" w:eastAsia="Calibri" w:hAnsi="Verdana" w:cs="Arial"/>
          <w:lang w:val="es-ES_tradnl"/>
        </w:rPr>
        <w:footnoteReference w:id="13"/>
      </w:r>
      <w:r w:rsidRPr="00E96901">
        <w:rPr>
          <w:rFonts w:ascii="Verdana" w:eastAsia="Calibri" w:hAnsi="Verdana" w:cs="Arial"/>
          <w:lang w:val="es-ES_tradnl"/>
        </w:rPr>
        <w:t>. En tal sentido, la Sección Tercera ha señalado que:</w:t>
      </w:r>
    </w:p>
    <w:p w14:paraId="3D61B893" w14:textId="77777777" w:rsidR="002434BA" w:rsidRPr="00E96901" w:rsidRDefault="002434BA" w:rsidP="002434BA">
      <w:pPr>
        <w:spacing w:after="0" w:line="240" w:lineRule="auto"/>
        <w:ind w:firstLine="709"/>
        <w:jc w:val="both"/>
        <w:rPr>
          <w:rFonts w:ascii="Verdana" w:eastAsia="Calibri" w:hAnsi="Verdana" w:cs="Arial"/>
          <w:lang w:val="es-ES_tradnl"/>
        </w:rPr>
      </w:pPr>
    </w:p>
    <w:p w14:paraId="68F2B21F" w14:textId="77777777" w:rsidR="002434BA" w:rsidRPr="003667DB" w:rsidRDefault="002434BA" w:rsidP="002434BA">
      <w:pPr>
        <w:spacing w:after="0" w:line="240" w:lineRule="auto"/>
        <w:ind w:left="709" w:right="709"/>
        <w:jc w:val="both"/>
        <w:rPr>
          <w:rFonts w:ascii="Verdana" w:eastAsia="Calibri" w:hAnsi="Verdana" w:cs="Arial"/>
          <w:sz w:val="20"/>
          <w:szCs w:val="20"/>
          <w:lang w:val="es-ES_tradnl"/>
        </w:rPr>
      </w:pPr>
      <w:r w:rsidRPr="003667DB">
        <w:rPr>
          <w:rFonts w:ascii="Verdana" w:hAnsi="Verdana" w:cs="Arial"/>
          <w:sz w:val="20"/>
          <w:szCs w:val="20"/>
          <w:lang w:val="es-ES_tradnl"/>
        </w:rPr>
        <w:t>“(…) de conformidad con la jurisprudencia uniforme y reiterada de esta Corporación, la aplicación de las normas que contemplan inhabilidades e incompatibilidades, como en general de todas aquellas que comportan prohibiciones o limitaciones, deben responder a una interpretación restrictiva que no permite su extensión, por vía de la figura de la analogía, a supuestos no contemplados por el ordenamiento”</w:t>
      </w:r>
      <w:r w:rsidRPr="003667DB">
        <w:rPr>
          <w:rStyle w:val="Refdenotaalpie"/>
          <w:rFonts w:ascii="Verdana" w:hAnsi="Verdana" w:cs="Arial"/>
          <w:sz w:val="20"/>
          <w:szCs w:val="20"/>
          <w:lang w:val="es-ES_tradnl"/>
        </w:rPr>
        <w:footnoteReference w:id="14"/>
      </w:r>
      <w:r w:rsidRPr="003667DB">
        <w:rPr>
          <w:rFonts w:ascii="Verdana" w:hAnsi="Verdana" w:cs="Arial"/>
          <w:sz w:val="20"/>
          <w:szCs w:val="20"/>
          <w:lang w:val="es-ES_tradnl"/>
        </w:rPr>
        <w:t>.</w:t>
      </w:r>
    </w:p>
    <w:p w14:paraId="41A83D7B" w14:textId="77777777" w:rsidR="002434BA" w:rsidRPr="00E96901" w:rsidRDefault="002434BA" w:rsidP="002434BA">
      <w:pPr>
        <w:spacing w:after="0" w:line="276" w:lineRule="auto"/>
        <w:ind w:firstLine="709"/>
        <w:jc w:val="both"/>
        <w:rPr>
          <w:rFonts w:ascii="Verdana" w:eastAsia="Calibri" w:hAnsi="Verdana" w:cs="Arial"/>
          <w:lang w:val="es-ES_tradnl"/>
        </w:rPr>
      </w:pPr>
    </w:p>
    <w:p w14:paraId="6E4B78F0" w14:textId="77777777" w:rsidR="002434BA" w:rsidRDefault="002434BA" w:rsidP="002434BA">
      <w:pPr>
        <w:spacing w:after="0"/>
        <w:ind w:firstLine="709"/>
        <w:jc w:val="both"/>
        <w:rPr>
          <w:rFonts w:ascii="Verdana" w:eastAsia="Calibri" w:hAnsi="Verdana" w:cs="Arial"/>
          <w:lang w:val="es-ES_tradnl"/>
        </w:rPr>
      </w:pPr>
      <w:r w:rsidRPr="00E96901">
        <w:rPr>
          <w:rFonts w:ascii="Verdana" w:eastAsia="Calibri" w:hAnsi="Verdana" w:cs="Arial"/>
          <w:lang w:val="es-ES_tradnl"/>
        </w:rPr>
        <w:t>También ha dicho que:</w:t>
      </w:r>
    </w:p>
    <w:p w14:paraId="606B868C" w14:textId="77777777" w:rsidR="002434BA" w:rsidRPr="00E96901" w:rsidRDefault="002434BA" w:rsidP="002434BA">
      <w:pPr>
        <w:spacing w:after="0"/>
        <w:ind w:firstLine="709"/>
        <w:jc w:val="both"/>
        <w:rPr>
          <w:rFonts w:ascii="Verdana" w:eastAsia="Calibri" w:hAnsi="Verdana" w:cs="Arial"/>
          <w:lang w:val="es-ES_tradnl"/>
        </w:rPr>
      </w:pPr>
    </w:p>
    <w:p w14:paraId="18159057" w14:textId="77777777" w:rsidR="002434BA" w:rsidRPr="003901DF" w:rsidRDefault="002434BA" w:rsidP="002434BA">
      <w:pPr>
        <w:spacing w:after="0" w:line="240" w:lineRule="auto"/>
        <w:ind w:left="709" w:right="616"/>
        <w:jc w:val="both"/>
        <w:rPr>
          <w:rFonts w:ascii="Verdana" w:hAnsi="Verdana" w:cs="Arial"/>
          <w:sz w:val="20"/>
          <w:szCs w:val="20"/>
          <w:lang w:val="es-ES"/>
        </w:rPr>
      </w:pPr>
      <w:r w:rsidRPr="003667DB">
        <w:rPr>
          <w:rFonts w:ascii="Verdana" w:hAnsi="Verdana" w:cs="Arial"/>
          <w:sz w:val="20"/>
          <w:szCs w:val="20"/>
          <w:lang w:val="es-ES"/>
        </w:rPr>
        <w:lastRenderedPageBreak/>
        <w:t xml:space="preserve">“(…) la aplicación de estos preceptos exige una interpretación restrictiva, dado que según el principio hermenéutico </w:t>
      </w:r>
      <w:r w:rsidRPr="003667DB">
        <w:rPr>
          <w:rFonts w:ascii="Verdana" w:hAnsi="Verdana" w:cs="Arial"/>
          <w:i/>
          <w:sz w:val="20"/>
          <w:szCs w:val="20"/>
          <w:lang w:val="es-ES"/>
        </w:rPr>
        <w:t xml:space="preserve">pro </w:t>
      </w:r>
      <w:proofErr w:type="spellStart"/>
      <w:r w:rsidRPr="003667DB">
        <w:rPr>
          <w:rFonts w:ascii="Verdana" w:hAnsi="Verdana" w:cs="Arial"/>
          <w:i/>
          <w:sz w:val="20"/>
          <w:szCs w:val="20"/>
          <w:lang w:val="es-ES"/>
        </w:rPr>
        <w:t>libertate</w:t>
      </w:r>
      <w:proofErr w:type="spellEnd"/>
      <w:r w:rsidRPr="003667DB">
        <w:rPr>
          <w:rFonts w:ascii="Verdana" w:hAnsi="Verdana" w:cs="Arial"/>
          <w:sz w:val="20"/>
          <w:szCs w:val="20"/>
          <w:lang w:val="es-ES"/>
        </w:rPr>
        <w:t>, entre varias interpretaciones posibles de una norma que regula una inhabilidad, debe preferirse aquella que menos limita el derecho de las personas; en otros términos, se encuentra prohibida constitucionalmente la interpretación extensiva de las causales de inhabilidad, toda vez que las palabras de la ley son la frontera que no se puede traspasar en el ejercicio hermenéutico de las mismas, pues de hacerlo se vulnerarían los derechos fundamentales al debido proceso (art. 29 CN) y a la igualdad (art. 13 Ibid.(…)”</w:t>
      </w:r>
      <w:r w:rsidRPr="003667DB">
        <w:rPr>
          <w:rStyle w:val="Refdenotaalpie"/>
          <w:rFonts w:ascii="Verdana" w:hAnsi="Verdana" w:cs="Arial"/>
          <w:sz w:val="20"/>
          <w:szCs w:val="20"/>
          <w:lang w:val="es-ES"/>
        </w:rPr>
        <w:footnoteReference w:id="15"/>
      </w:r>
      <w:r w:rsidRPr="003667DB">
        <w:rPr>
          <w:rFonts w:ascii="Verdana" w:hAnsi="Verdana" w:cs="Arial"/>
          <w:sz w:val="20"/>
          <w:szCs w:val="20"/>
          <w:lang w:val="es-ES"/>
        </w:rPr>
        <w:t>.</w:t>
      </w:r>
    </w:p>
    <w:p w14:paraId="15383509" w14:textId="77777777" w:rsidR="00B57104" w:rsidRDefault="00B57104" w:rsidP="002434BA">
      <w:pPr>
        <w:spacing w:after="120" w:line="276" w:lineRule="auto"/>
        <w:ind w:firstLine="709"/>
        <w:jc w:val="both"/>
        <w:rPr>
          <w:rFonts w:ascii="Verdana" w:eastAsia="Arial" w:hAnsi="Verdana" w:cs="Arial"/>
          <w:color w:val="000000"/>
          <w:lang w:val="es-ES_tradnl"/>
        </w:rPr>
      </w:pPr>
      <w:bookmarkStart w:id="5" w:name="_Hlk136439150"/>
    </w:p>
    <w:p w14:paraId="0E4F072A" w14:textId="3E33E9A2" w:rsidR="002434BA" w:rsidRDefault="002434BA" w:rsidP="002434BA">
      <w:pPr>
        <w:spacing w:after="120" w:line="276" w:lineRule="auto"/>
        <w:ind w:firstLine="709"/>
        <w:jc w:val="both"/>
        <w:rPr>
          <w:rFonts w:ascii="Verdana" w:hAnsi="Verdana" w:cs="Arial"/>
          <w:color w:val="000000" w:themeColor="text1"/>
        </w:rPr>
      </w:pPr>
      <w:r w:rsidRPr="00E96901">
        <w:rPr>
          <w:rFonts w:ascii="Verdana" w:eastAsia="Arial" w:hAnsi="Verdana" w:cs="Arial"/>
          <w:color w:val="000000"/>
          <w:lang w:val="es-ES_tradnl"/>
        </w:rPr>
        <w:t xml:space="preserve">Como se aprecia, el principio </w:t>
      </w:r>
      <w:r w:rsidRPr="00E96901">
        <w:rPr>
          <w:rFonts w:ascii="Verdana" w:eastAsia="Arial" w:hAnsi="Verdana" w:cs="Arial"/>
          <w:i/>
          <w:iCs/>
          <w:color w:val="000000"/>
          <w:lang w:val="es-ES_tradnl"/>
        </w:rPr>
        <w:t xml:space="preserve">pro </w:t>
      </w:r>
      <w:proofErr w:type="spellStart"/>
      <w:r w:rsidRPr="00E96901">
        <w:rPr>
          <w:rFonts w:ascii="Verdana" w:eastAsia="Arial" w:hAnsi="Verdana" w:cs="Arial"/>
          <w:i/>
          <w:iCs/>
          <w:color w:val="000000"/>
          <w:lang w:val="es-ES_tradnl"/>
        </w:rPr>
        <w:t>libertate</w:t>
      </w:r>
      <w:proofErr w:type="spellEnd"/>
      <w:r w:rsidRPr="00E96901">
        <w:rPr>
          <w:rFonts w:ascii="Verdana" w:eastAsia="Arial" w:hAnsi="Verdana" w:cs="Arial"/>
          <w:color w:val="000000"/>
          <w:lang w:val="es-ES_tradnl"/>
        </w:rPr>
        <w:t xml:space="preserve"> es el que debe dirigir la interpretación de las disposiciones normativas que consagran restricciones de derechos, como sucede con las causales de inhabilidad e incompatibilidad en la contratación estatal. Además, en relación con la determinación de las causales de inhabilidad e incompatibilidad, la</w:t>
      </w:r>
      <w:r w:rsidRPr="00E96901">
        <w:rPr>
          <w:rFonts w:ascii="Verdana" w:hAnsi="Verdana" w:cs="Arial"/>
          <w:color w:val="000000" w:themeColor="text1"/>
        </w:rPr>
        <w:t xml:space="preserve"> Corte Constitucional ha resaltado que la competencia para determinar qué hechos o situaciones generan inhabilidades o incompatibilidades para contratar con el Estado la tiene el legislador, pues este régimen es un aspecto propio del </w:t>
      </w:r>
      <w:r w:rsidR="00AC09F7">
        <w:rPr>
          <w:rFonts w:ascii="Verdana" w:hAnsi="Verdana" w:cs="Arial"/>
          <w:color w:val="000000" w:themeColor="text1"/>
        </w:rPr>
        <w:t>EGCAP</w:t>
      </w:r>
      <w:r w:rsidRPr="00E96901">
        <w:rPr>
          <w:rFonts w:ascii="Verdana" w:hAnsi="Verdana" w:cs="Arial"/>
          <w:color w:val="000000" w:themeColor="text1"/>
        </w:rPr>
        <w:t>, cuya expedición compete al Congreso de la República, conforme al artículo 150 de la Constitución Política, y que en esta materia rige el principio de legalidad</w:t>
      </w:r>
      <w:bookmarkEnd w:id="5"/>
      <w:r w:rsidRPr="00E96901">
        <w:rPr>
          <w:rStyle w:val="Refdenotaalpie"/>
          <w:rFonts w:ascii="Verdana" w:hAnsi="Verdana" w:cs="Arial"/>
          <w:color w:val="000000" w:themeColor="text1"/>
        </w:rPr>
        <w:footnoteReference w:id="16"/>
      </w:r>
      <w:r w:rsidRPr="00E96901">
        <w:rPr>
          <w:rFonts w:ascii="Verdana" w:hAnsi="Verdana" w:cs="Arial"/>
          <w:color w:val="000000" w:themeColor="text1"/>
        </w:rPr>
        <w:t>.</w:t>
      </w:r>
    </w:p>
    <w:p w14:paraId="08D29A85" w14:textId="77777777" w:rsidR="002434BA" w:rsidRDefault="002434BA" w:rsidP="002434BA">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Por otra parte, si las inhabilidades o incompatibilidades tienen carácter sobreviniente, es necesario tener en cuenta que el ordenamiento jurídico trata de manera distinta al oferente, al adjudicatario y al contratista. </w:t>
      </w:r>
      <w:r w:rsidRPr="006437AB">
        <w:rPr>
          <w:rFonts w:ascii="Verdana" w:hAnsi="Verdana" w:cs="Arial"/>
          <w:i/>
          <w:iCs/>
          <w:color w:val="000000" w:themeColor="text1"/>
        </w:rPr>
        <w:t>Respecto al ofer</w:t>
      </w:r>
      <w:r>
        <w:rPr>
          <w:rFonts w:ascii="Verdana" w:hAnsi="Verdana" w:cs="Arial"/>
          <w:i/>
          <w:iCs/>
          <w:color w:val="000000" w:themeColor="text1"/>
        </w:rPr>
        <w:t>en</w:t>
      </w:r>
      <w:r w:rsidRPr="006437AB">
        <w:rPr>
          <w:rFonts w:ascii="Verdana" w:hAnsi="Verdana" w:cs="Arial"/>
          <w:i/>
          <w:iCs/>
          <w:color w:val="000000" w:themeColor="text1"/>
        </w:rPr>
        <w:t>te</w:t>
      </w:r>
      <w:r>
        <w:rPr>
          <w:rFonts w:ascii="Verdana" w:hAnsi="Verdana" w:cs="Arial"/>
          <w:color w:val="000000" w:themeColor="text1"/>
        </w:rPr>
        <w:t>, el inciso segundo del artículo 9 de la Ley 80 de 1993 dispone que “</w:t>
      </w:r>
      <w:r w:rsidRPr="006437AB">
        <w:rPr>
          <w:rFonts w:ascii="Verdana" w:hAnsi="Verdana" w:cs="Arial"/>
          <w:color w:val="000000" w:themeColor="text1"/>
        </w:rPr>
        <w:t>Cuando la inhabilidad o incompatibilidad sobrevenga en un proponente dentro de un proceso de selección, se entenderá que renuncia a la participación en el proceso de selección y a los derechos surgidos del mismo</w:t>
      </w:r>
      <w:r>
        <w:rPr>
          <w:rFonts w:ascii="Verdana" w:hAnsi="Verdana" w:cs="Arial"/>
          <w:color w:val="000000" w:themeColor="text1"/>
        </w:rPr>
        <w:t>”</w:t>
      </w:r>
      <w:r w:rsidRPr="006437AB">
        <w:rPr>
          <w:rFonts w:ascii="Verdana" w:hAnsi="Verdana" w:cs="Arial"/>
          <w:color w:val="000000" w:themeColor="text1"/>
        </w:rPr>
        <w:t>.</w:t>
      </w:r>
      <w:r>
        <w:rPr>
          <w:rFonts w:ascii="Verdana" w:hAnsi="Verdana" w:cs="Arial"/>
          <w:color w:val="000000" w:themeColor="text1"/>
        </w:rPr>
        <w:t xml:space="preserve"> </w:t>
      </w:r>
      <w:r w:rsidRPr="00102540">
        <w:rPr>
          <w:rFonts w:ascii="Verdana" w:hAnsi="Verdana" w:cs="Arial"/>
          <w:i/>
          <w:iCs/>
          <w:color w:val="000000" w:themeColor="text1"/>
        </w:rPr>
        <w:t>Respecto al adjudicatario</w:t>
      </w:r>
      <w:r>
        <w:rPr>
          <w:rFonts w:ascii="Verdana" w:hAnsi="Verdana" w:cs="Arial"/>
          <w:color w:val="000000" w:themeColor="text1"/>
        </w:rPr>
        <w:t xml:space="preserve">, el inciso 3 del artículo 9 de la Ley 1150 de 2007 prescribe lo siguiente: “(…) </w:t>
      </w:r>
      <w:r w:rsidRPr="00102540">
        <w:rPr>
          <w:rFonts w:ascii="Verdana" w:hAnsi="Verdana" w:cs="Arial"/>
          <w:color w:val="000000" w:themeColor="text1"/>
        </w:rPr>
        <w:t xml:space="preserve">si dentro del plazo comprendido entre la adjudicación del contrato y la suscripción </w:t>
      </w:r>
      <w:proofErr w:type="gramStart"/>
      <w:r w:rsidRPr="00102540">
        <w:rPr>
          <w:rFonts w:ascii="Verdana" w:hAnsi="Verdana" w:cs="Arial"/>
          <w:color w:val="000000" w:themeColor="text1"/>
        </w:rPr>
        <w:t>del mismo</w:t>
      </w:r>
      <w:proofErr w:type="gramEnd"/>
      <w:r w:rsidRPr="00102540">
        <w:rPr>
          <w:rFonts w:ascii="Verdana" w:hAnsi="Verdana" w:cs="Arial"/>
          <w:color w:val="000000" w:themeColor="text1"/>
        </w:rPr>
        <w:t xml:space="preserve">, sobreviene una inhabilidad o incompatibilidad </w:t>
      </w:r>
      <w:r>
        <w:rPr>
          <w:rFonts w:ascii="Verdana" w:hAnsi="Verdana" w:cs="Arial"/>
          <w:color w:val="000000" w:themeColor="text1"/>
        </w:rPr>
        <w:t>(…)</w:t>
      </w:r>
      <w:r w:rsidRPr="00102540">
        <w:rPr>
          <w:rFonts w:ascii="Verdana" w:hAnsi="Verdana" w:cs="Arial"/>
          <w:color w:val="000000" w:themeColor="text1"/>
        </w:rPr>
        <w:t xml:space="preserve"> este podrá ser revocado</w:t>
      </w:r>
      <w:r>
        <w:rPr>
          <w:rFonts w:ascii="Verdana" w:hAnsi="Verdana" w:cs="Arial"/>
          <w:color w:val="000000" w:themeColor="text1"/>
        </w:rPr>
        <w:t xml:space="preserve"> (…)”.</w:t>
      </w:r>
    </w:p>
    <w:p w14:paraId="127EA601" w14:textId="77777777" w:rsidR="002434BA" w:rsidRDefault="002434BA" w:rsidP="002434BA">
      <w:pPr>
        <w:spacing w:after="120" w:line="276" w:lineRule="auto"/>
        <w:ind w:firstLine="708"/>
        <w:jc w:val="both"/>
        <w:rPr>
          <w:rFonts w:ascii="Verdana" w:hAnsi="Verdana" w:cs="Arial"/>
          <w:color w:val="000000" w:themeColor="text1"/>
        </w:rPr>
      </w:pPr>
      <w:r>
        <w:rPr>
          <w:rFonts w:ascii="Verdana" w:hAnsi="Verdana" w:cs="Arial"/>
          <w:color w:val="000000" w:themeColor="text1"/>
        </w:rPr>
        <w:t xml:space="preserve">Sólo con el cumplimiento de los requisitos de los artículos 39 y 41 del Estatuto General de Contratación Pública existe el contrato estatal, de manera </w:t>
      </w:r>
      <w:r>
        <w:rPr>
          <w:rFonts w:ascii="Verdana" w:hAnsi="Verdana" w:cs="Arial"/>
          <w:color w:val="000000" w:themeColor="text1"/>
        </w:rPr>
        <w:lastRenderedPageBreak/>
        <w:t>que tienen carácter solemne</w:t>
      </w:r>
      <w:r w:rsidRPr="00102540">
        <w:rPr>
          <w:rFonts w:ascii="Verdana" w:hAnsi="Verdana" w:cs="Arial"/>
          <w:color w:val="000000" w:themeColor="text1"/>
        </w:rPr>
        <w:t xml:space="preserve"> y, por tanto, requieren formalidad escrita</w:t>
      </w:r>
      <w:r>
        <w:rPr>
          <w:rFonts w:ascii="Verdana" w:hAnsi="Verdana" w:cs="Arial"/>
          <w:color w:val="000000" w:themeColor="text1"/>
        </w:rPr>
        <w:t xml:space="preserve">. Por ello, </w:t>
      </w:r>
      <w:r w:rsidRPr="00F87C06">
        <w:rPr>
          <w:rFonts w:ascii="Verdana" w:hAnsi="Verdana" w:cs="Arial"/>
          <w:i/>
          <w:iCs/>
          <w:color w:val="000000" w:themeColor="text1"/>
        </w:rPr>
        <w:t>respecto al contratista</w:t>
      </w:r>
      <w:r>
        <w:rPr>
          <w:rFonts w:ascii="Verdana" w:hAnsi="Verdana" w:cs="Arial"/>
          <w:color w:val="000000" w:themeColor="text1"/>
        </w:rPr>
        <w:t>, el inciso primero del artículo 9 de la Ley 80 de 1993 dispone que “</w:t>
      </w:r>
      <w:r w:rsidRPr="00F87C06">
        <w:rPr>
          <w:rFonts w:ascii="Verdana" w:hAnsi="Verdana" w:cs="Arial"/>
          <w:color w:val="000000" w:themeColor="text1"/>
        </w:rPr>
        <w:t>Si llegare a sobrevenir inhabilidad o incompatibilidad en el contratista, este cederá el contrato previa autorización escrita de la entidad contratante o, si ello no fuere posible, renunciará a su ejecución</w:t>
      </w:r>
      <w:r>
        <w:rPr>
          <w:rFonts w:ascii="Verdana" w:hAnsi="Verdana" w:cs="Arial"/>
          <w:color w:val="000000" w:themeColor="text1"/>
        </w:rPr>
        <w:t xml:space="preserve">”. El inciso tercero </w:t>
      </w:r>
      <w:r w:rsidRPr="00F87C06">
        <w:rPr>
          <w:rFonts w:ascii="Verdana" w:hAnsi="Verdana" w:cs="Arial"/>
          <w:i/>
          <w:iCs/>
          <w:color w:val="000000" w:themeColor="text1"/>
        </w:rPr>
        <w:t>ibidem</w:t>
      </w:r>
      <w:r>
        <w:rPr>
          <w:rFonts w:ascii="Verdana" w:hAnsi="Verdana" w:cs="Arial"/>
          <w:color w:val="000000" w:themeColor="text1"/>
        </w:rPr>
        <w:t xml:space="preserve"> agrega lo siguiente: “</w:t>
      </w:r>
      <w:r w:rsidRPr="00F87C06">
        <w:rPr>
          <w:rFonts w:ascii="Verdana" w:hAnsi="Verdana" w:cs="Arial"/>
          <w:color w:val="000000" w:themeColor="text1"/>
        </w:rPr>
        <w:t>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r>
        <w:rPr>
          <w:rFonts w:ascii="Verdana" w:hAnsi="Verdana" w:cs="Arial"/>
          <w:color w:val="000000" w:themeColor="text1"/>
        </w:rPr>
        <w:t>”</w:t>
      </w:r>
      <w:r w:rsidRPr="00F87C06">
        <w:rPr>
          <w:rFonts w:ascii="Verdana" w:hAnsi="Verdana" w:cs="Arial"/>
          <w:color w:val="000000" w:themeColor="text1"/>
        </w:rPr>
        <w:t>.</w:t>
      </w:r>
      <w:r>
        <w:rPr>
          <w:rFonts w:ascii="Verdana" w:hAnsi="Verdana" w:cs="Arial"/>
          <w:color w:val="000000" w:themeColor="text1"/>
        </w:rPr>
        <w:t xml:space="preserve">  </w:t>
      </w:r>
    </w:p>
    <w:p w14:paraId="1FB324FE" w14:textId="7593F7C5" w:rsidR="002434BA" w:rsidRDefault="002434BA" w:rsidP="002434BA">
      <w:pPr>
        <w:spacing w:after="120" w:line="276" w:lineRule="auto"/>
        <w:ind w:firstLine="708"/>
        <w:jc w:val="both"/>
        <w:rPr>
          <w:rFonts w:ascii="Verdana" w:hAnsi="Verdana" w:cs="Arial"/>
          <w:color w:val="000000" w:themeColor="text1"/>
        </w:rPr>
      </w:pPr>
      <w:r>
        <w:rPr>
          <w:rFonts w:ascii="Verdana" w:hAnsi="Verdana" w:cs="Arial"/>
          <w:color w:val="000000" w:themeColor="text1"/>
        </w:rPr>
        <w:t>Ahora bien, para dar respuesta al problema jurídico planteado es indispensable exponer algunas consideraciones relativas a la figura jurídica de la cesión</w:t>
      </w:r>
      <w:r w:rsidR="00AC09F7">
        <w:rPr>
          <w:rFonts w:ascii="Verdana" w:hAnsi="Verdana" w:cs="Arial"/>
          <w:color w:val="000000" w:themeColor="text1"/>
        </w:rPr>
        <w:t xml:space="preserve"> del contrato estatal</w:t>
      </w:r>
      <w:r>
        <w:rPr>
          <w:rFonts w:ascii="Verdana" w:hAnsi="Verdana" w:cs="Arial"/>
          <w:color w:val="000000" w:themeColor="text1"/>
        </w:rPr>
        <w:t xml:space="preserve">. </w:t>
      </w:r>
      <w:bookmarkStart w:id="6" w:name="_Hlk204854194"/>
    </w:p>
    <w:p w14:paraId="369EF9B1" w14:textId="77777777" w:rsidR="002434BA" w:rsidRPr="00821723" w:rsidRDefault="002434BA" w:rsidP="002434BA">
      <w:pPr>
        <w:spacing w:after="120" w:line="276" w:lineRule="auto"/>
        <w:ind w:firstLine="708"/>
        <w:jc w:val="both"/>
        <w:rPr>
          <w:rFonts w:ascii="Verdana" w:hAnsi="Verdana" w:cs="Arial"/>
          <w:color w:val="000000" w:themeColor="text1"/>
        </w:rPr>
      </w:pPr>
      <w:r w:rsidRPr="00821723">
        <w:rPr>
          <w:rFonts w:ascii="Verdana" w:eastAsia="Calibri" w:hAnsi="Verdana" w:cs="Arial"/>
          <w:bCs/>
          <w:color w:val="000000" w:themeColor="text1"/>
        </w:rPr>
        <w:t>Conforme a los artículos 887 y siguientes del Código de Comercio, la cesión de los contratos juega un papel importante en la gestión de los intereses patrimoniales de los sujetos de derecho privado, ya que –a diferencia de la regulada en los artículos 1959 y siguientes del Código Civil– facilita el tráfico jurídico tanto de los derechos como de las obligaciones surgidos con ocasión del acuerdo de voluntades, lo que permite su transferencia total o parcial a terceros como negocio generador de riqueza</w:t>
      </w:r>
      <w:r w:rsidRPr="00821723">
        <w:rPr>
          <w:rStyle w:val="Refdenotaalpie"/>
          <w:rFonts w:ascii="Verdana" w:eastAsia="Calibri" w:hAnsi="Verdana" w:cs="Arial"/>
          <w:bCs/>
          <w:color w:val="000000" w:themeColor="text1"/>
        </w:rPr>
        <w:footnoteReference w:id="17"/>
      </w:r>
      <w:r w:rsidRPr="00821723">
        <w:rPr>
          <w:rFonts w:ascii="Verdana" w:eastAsia="Calibri" w:hAnsi="Verdana" w:cs="Arial"/>
          <w:bCs/>
          <w:color w:val="000000" w:themeColor="text1"/>
        </w:rPr>
        <w:t>.</w:t>
      </w:r>
      <w:r w:rsidRPr="00821723">
        <w:rPr>
          <w:rFonts w:ascii="Verdana" w:eastAsia="Calibri" w:hAnsi="Verdana" w:cs="Arial"/>
          <w:color w:val="000000" w:themeColor="text1"/>
        </w:rPr>
        <w:t xml:space="preserve"> </w:t>
      </w:r>
      <w:r w:rsidRPr="00821723">
        <w:rPr>
          <w:rFonts w:ascii="Verdana" w:hAnsi="Verdana" w:cs="Arial"/>
        </w:rPr>
        <w:t xml:space="preserve">Para la doctrina, “La cesión del contrato sirve para hacer posible la </w:t>
      </w:r>
      <w:r w:rsidRPr="00821723">
        <w:rPr>
          <w:rFonts w:ascii="Verdana" w:hAnsi="Verdana" w:cs="Arial"/>
          <w:i/>
          <w:iCs/>
        </w:rPr>
        <w:t>circulación del contrato en su integridad</w:t>
      </w:r>
      <w:r w:rsidRPr="00821723">
        <w:rPr>
          <w:rFonts w:ascii="Verdana" w:hAnsi="Verdana" w:cs="Arial"/>
        </w:rPr>
        <w:t xml:space="preserve">, es decir, para hacer </w:t>
      </w:r>
      <w:r w:rsidRPr="00821723">
        <w:rPr>
          <w:rFonts w:ascii="Verdana" w:hAnsi="Verdana" w:cs="Arial"/>
          <w:i/>
          <w:iCs/>
        </w:rPr>
        <w:t>subintrar</w:t>
      </w:r>
      <w:r w:rsidRPr="00821723">
        <w:rPr>
          <w:rFonts w:ascii="Verdana" w:hAnsi="Verdana" w:cs="Arial"/>
        </w:rPr>
        <w:t xml:space="preserve"> un extraño en la categoría de parte contractual, en </w:t>
      </w:r>
      <w:r w:rsidRPr="00821723">
        <w:rPr>
          <w:rFonts w:ascii="Verdana" w:hAnsi="Verdana" w:cs="Arial"/>
          <w:i/>
          <w:iCs/>
        </w:rPr>
        <w:t>lugar</w:t>
      </w:r>
      <w:r w:rsidRPr="00821723">
        <w:rPr>
          <w:rFonts w:ascii="Verdana" w:hAnsi="Verdana" w:cs="Arial"/>
        </w:rPr>
        <w:t xml:space="preserve"> de uno de los contratantes originarios”</w:t>
      </w:r>
      <w:r w:rsidRPr="00821723">
        <w:rPr>
          <w:rStyle w:val="Refdenotaalpie"/>
          <w:rFonts w:ascii="Verdana" w:hAnsi="Verdana" w:cs="Arial"/>
          <w:color w:val="000000" w:themeColor="text1"/>
        </w:rPr>
        <w:footnoteReference w:id="18"/>
      </w:r>
      <w:r w:rsidRPr="00821723">
        <w:rPr>
          <w:rFonts w:ascii="Verdana" w:hAnsi="Verdana" w:cs="Arial"/>
        </w:rPr>
        <w:t>.</w:t>
      </w:r>
    </w:p>
    <w:p w14:paraId="0BDDD7D7" w14:textId="77777777" w:rsidR="002434BA" w:rsidRDefault="002434BA" w:rsidP="002434BA">
      <w:pPr>
        <w:spacing w:after="0" w:line="276" w:lineRule="auto"/>
        <w:ind w:firstLine="708"/>
        <w:jc w:val="both"/>
        <w:rPr>
          <w:rFonts w:ascii="Verdana" w:eastAsia="Calibri" w:hAnsi="Verdana" w:cs="Arial"/>
          <w:color w:val="000000" w:themeColor="text1"/>
        </w:rPr>
      </w:pPr>
      <w:r w:rsidRPr="00821723">
        <w:rPr>
          <w:rFonts w:ascii="Verdana" w:eastAsia="Calibri" w:hAnsi="Verdana" w:cs="Arial"/>
          <w:color w:val="000000" w:themeColor="text1"/>
        </w:rPr>
        <w:lastRenderedPageBreak/>
        <w:t>La cesión de la posición contractual puede entenderse como un acto y como un efecto. Por un lado, “</w:t>
      </w:r>
      <w:r>
        <w:rPr>
          <w:rFonts w:ascii="Verdana" w:eastAsia="Calibri" w:hAnsi="Verdana" w:cs="Arial"/>
          <w:color w:val="000000" w:themeColor="text1"/>
        </w:rPr>
        <w:t>(…)</w:t>
      </w:r>
      <w:r w:rsidRPr="00821723">
        <w:rPr>
          <w:rFonts w:ascii="Verdana" w:eastAsia="Calibri" w:hAnsi="Verdana" w:cs="Arial"/>
          <w:color w:val="000000" w:themeColor="text1"/>
        </w:rPr>
        <w:t xml:space="preserve"> es el contrato con el cual el cedente, parte de otro contrato ya en curso con otro sujeto (cedido), transfiere la relativa posición contractual (en sus componentes activos y pasivos) al cesionario, el cual le </w:t>
      </w:r>
      <w:proofErr w:type="spellStart"/>
      <w:r w:rsidRPr="00821723">
        <w:rPr>
          <w:rFonts w:ascii="Verdana" w:eastAsia="Calibri" w:hAnsi="Verdana" w:cs="Arial"/>
          <w:color w:val="000000" w:themeColor="text1"/>
        </w:rPr>
        <w:t>subentra</w:t>
      </w:r>
      <w:proofErr w:type="spellEnd"/>
      <w:r w:rsidRPr="00821723">
        <w:rPr>
          <w:rFonts w:ascii="Verdana" w:eastAsia="Calibri" w:hAnsi="Verdana" w:cs="Arial"/>
          <w:color w:val="000000" w:themeColor="text1"/>
        </w:rPr>
        <w:t xml:space="preserve"> en la relación con el cedido </w:t>
      </w:r>
      <w:r>
        <w:rPr>
          <w:rFonts w:ascii="Verdana" w:eastAsia="Calibri" w:hAnsi="Verdana" w:cs="Arial"/>
          <w:color w:val="000000" w:themeColor="text1"/>
        </w:rPr>
        <w:t>(…)</w:t>
      </w:r>
      <w:r w:rsidRPr="00821723">
        <w:rPr>
          <w:rFonts w:ascii="Verdana" w:eastAsia="Calibri" w:hAnsi="Verdana" w:cs="Arial"/>
          <w:color w:val="000000" w:themeColor="text1"/>
        </w:rPr>
        <w:t>”</w:t>
      </w:r>
      <w:r w:rsidRPr="00821723">
        <w:rPr>
          <w:rStyle w:val="Refdenotaalpie"/>
          <w:rFonts w:ascii="Verdana" w:eastAsia="Calibri" w:hAnsi="Verdana" w:cs="Arial"/>
          <w:color w:val="000000" w:themeColor="text1"/>
        </w:rPr>
        <w:footnoteReference w:id="19"/>
      </w:r>
      <w:r w:rsidRPr="00821723">
        <w:rPr>
          <w:rFonts w:ascii="Verdana" w:eastAsia="Calibri" w:hAnsi="Verdana" w:cs="Arial"/>
          <w:color w:val="000000" w:themeColor="text1"/>
        </w:rPr>
        <w:t>. Por otro, “</w:t>
      </w:r>
      <w:r>
        <w:rPr>
          <w:rFonts w:ascii="Verdana" w:eastAsia="Calibri" w:hAnsi="Verdana" w:cs="Arial"/>
          <w:color w:val="000000" w:themeColor="text1"/>
        </w:rPr>
        <w:t xml:space="preserve">(…) </w:t>
      </w:r>
      <w:r w:rsidRPr="00821723">
        <w:rPr>
          <w:rFonts w:ascii="Verdana" w:eastAsia="Calibri" w:hAnsi="Verdana" w:cs="Arial"/>
          <w:color w:val="000000" w:themeColor="text1"/>
        </w:rPr>
        <w:t xml:space="preserve">es la transferencia de la posición contractual de un contratante a otro sujeto, que le </w:t>
      </w:r>
      <w:proofErr w:type="spellStart"/>
      <w:r w:rsidRPr="00821723">
        <w:rPr>
          <w:rFonts w:ascii="Verdana" w:eastAsia="Calibri" w:hAnsi="Verdana" w:cs="Arial"/>
          <w:color w:val="000000" w:themeColor="text1"/>
        </w:rPr>
        <w:t>subentra</w:t>
      </w:r>
      <w:proofErr w:type="spellEnd"/>
      <w:r w:rsidRPr="00821723">
        <w:rPr>
          <w:rFonts w:ascii="Verdana" w:eastAsia="Calibri" w:hAnsi="Verdana" w:cs="Arial"/>
          <w:color w:val="000000" w:themeColor="text1"/>
        </w:rPr>
        <w:t xml:space="preserve"> en la relación con la contraparte </w:t>
      </w:r>
      <w:r>
        <w:rPr>
          <w:rFonts w:ascii="Verdana" w:eastAsia="Calibri" w:hAnsi="Verdana" w:cs="Arial"/>
          <w:color w:val="000000" w:themeColor="text1"/>
        </w:rPr>
        <w:t>(…)</w:t>
      </w:r>
      <w:r w:rsidRPr="00821723">
        <w:rPr>
          <w:rFonts w:ascii="Verdana" w:eastAsia="Calibri" w:hAnsi="Verdana" w:cs="Arial"/>
          <w:color w:val="000000" w:themeColor="text1"/>
        </w:rPr>
        <w:t>”</w:t>
      </w:r>
      <w:r w:rsidRPr="00821723">
        <w:rPr>
          <w:rStyle w:val="Refdenotaalpie"/>
          <w:rFonts w:ascii="Verdana" w:eastAsia="Calibri" w:hAnsi="Verdana" w:cs="Arial"/>
          <w:color w:val="000000" w:themeColor="text1"/>
        </w:rPr>
        <w:footnoteReference w:id="20"/>
      </w:r>
      <w:r w:rsidRPr="00821723">
        <w:rPr>
          <w:rFonts w:ascii="Verdana" w:eastAsia="Calibri" w:hAnsi="Verdana" w:cs="Arial"/>
          <w:color w:val="000000" w:themeColor="text1"/>
        </w:rPr>
        <w:t xml:space="preserve">. De esta manera, </w:t>
      </w:r>
      <w:r w:rsidRPr="00821723">
        <w:rPr>
          <w:rFonts w:ascii="Verdana" w:hAnsi="Verdana" w:cs="Arial"/>
          <w:color w:val="000000" w:themeColor="text1"/>
        </w:rPr>
        <w:t xml:space="preserve">concurren tres (3) sujetos: i) el cedente, esto es, el contratista inicial; </w:t>
      </w:r>
      <w:proofErr w:type="spellStart"/>
      <w:r w:rsidRPr="00821723">
        <w:rPr>
          <w:rFonts w:ascii="Verdana" w:hAnsi="Verdana" w:cs="Arial"/>
          <w:color w:val="000000" w:themeColor="text1"/>
        </w:rPr>
        <w:t>ii</w:t>
      </w:r>
      <w:proofErr w:type="spellEnd"/>
      <w:r w:rsidRPr="00821723">
        <w:rPr>
          <w:rFonts w:ascii="Verdana" w:hAnsi="Verdana" w:cs="Arial"/>
          <w:color w:val="000000" w:themeColor="text1"/>
        </w:rPr>
        <w:t xml:space="preserve">) el cesionario, es decir, quien asume total o parcialmente los derechos y obligaciones de este último; y </w:t>
      </w:r>
      <w:proofErr w:type="spellStart"/>
      <w:r w:rsidRPr="00821723">
        <w:rPr>
          <w:rFonts w:ascii="Verdana" w:hAnsi="Verdana" w:cs="Arial"/>
          <w:color w:val="000000" w:themeColor="text1"/>
        </w:rPr>
        <w:t>iii</w:t>
      </w:r>
      <w:proofErr w:type="spellEnd"/>
      <w:r w:rsidRPr="00821723">
        <w:rPr>
          <w:rFonts w:ascii="Verdana" w:hAnsi="Verdana" w:cs="Arial"/>
          <w:color w:val="000000" w:themeColor="text1"/>
        </w:rPr>
        <w:t xml:space="preserve">) el cedido que, en el caso de los contratos estatales, sería la entidad que suscribió el contrato. </w:t>
      </w:r>
      <w:r w:rsidRPr="00821723">
        <w:rPr>
          <w:rFonts w:ascii="Verdana" w:eastAsia="Calibri" w:hAnsi="Verdana" w:cs="Arial"/>
          <w:color w:val="000000" w:themeColor="text1"/>
        </w:rPr>
        <w:t>Por tanto, la cesión de contrato es una figura jurídica por la que terceros ajenos a los contratantes iniciales participan en negocios que están ejecutando cuando no se hayan cumplido la totalidad de las obligaciones, permitiendo que sean éstos quienes realicen las prestaciones faltantes. En efecto:</w:t>
      </w:r>
    </w:p>
    <w:p w14:paraId="58AE1318" w14:textId="77777777" w:rsidR="002434BA" w:rsidRPr="00821723" w:rsidRDefault="002434BA" w:rsidP="000043B2">
      <w:pPr>
        <w:spacing w:after="0" w:line="240" w:lineRule="auto"/>
        <w:ind w:firstLine="709"/>
        <w:jc w:val="both"/>
        <w:rPr>
          <w:rFonts w:ascii="Verdana" w:eastAsia="Calibri" w:hAnsi="Verdana" w:cs="Arial"/>
          <w:color w:val="000000" w:themeColor="text1"/>
        </w:rPr>
      </w:pPr>
    </w:p>
    <w:p w14:paraId="291F5E34" w14:textId="77777777" w:rsidR="002434BA" w:rsidRPr="00821723" w:rsidRDefault="002434BA" w:rsidP="002434BA">
      <w:pPr>
        <w:tabs>
          <w:tab w:val="left" w:pos="709"/>
        </w:tabs>
        <w:spacing w:after="0" w:line="240" w:lineRule="auto"/>
        <w:ind w:left="709" w:right="709"/>
        <w:jc w:val="both"/>
        <w:rPr>
          <w:rFonts w:ascii="Verdana" w:eastAsia="Calibri" w:hAnsi="Verdana" w:cs="Arial"/>
          <w:color w:val="000000" w:themeColor="text1"/>
          <w:sz w:val="20"/>
          <w:szCs w:val="20"/>
        </w:rPr>
      </w:pPr>
      <w:r w:rsidRPr="00821723">
        <w:rPr>
          <w:rFonts w:ascii="Verdana" w:eastAsia="Calibri" w:hAnsi="Verdana" w:cs="Arial"/>
          <w:color w:val="000000" w:themeColor="text1"/>
          <w:sz w:val="20"/>
          <w:szCs w:val="20"/>
        </w:rPr>
        <w:t xml:space="preserve">“(…) cuando lo que se cede (o asume) es un contrato, el punto de partida es la presencia de uno o varios créditos y otras tantas obligaciones, entrelazadas en términos de correlatividad y consideradas, tratadas y dispuestas como una unidad, o sea: el objeto de la operación es el traspaso simultáneo de unos créditos y de las obligaciones recíprocas, surgidos a una de un mismo contrato, por parte de uno de los contratantes a un tercero, esto es, en últimas, la transferencia de una posición o relación contractual, cuyo resultado es la sustitución de una de las partes (acreedora-deudora) </w:t>
      </w:r>
      <w:r>
        <w:rPr>
          <w:rFonts w:ascii="Verdana" w:eastAsia="Calibri" w:hAnsi="Verdana" w:cs="Arial"/>
          <w:color w:val="000000" w:themeColor="text1"/>
          <w:sz w:val="20"/>
          <w:szCs w:val="20"/>
        </w:rPr>
        <w:t>(…)”</w:t>
      </w:r>
      <w:r w:rsidRPr="00821723">
        <w:rPr>
          <w:rStyle w:val="Refdenotaalpie"/>
          <w:rFonts w:ascii="Verdana" w:eastAsia="Calibri" w:hAnsi="Verdana" w:cs="Arial"/>
          <w:color w:val="000000" w:themeColor="text1"/>
          <w:sz w:val="20"/>
          <w:szCs w:val="20"/>
        </w:rPr>
        <w:footnoteReference w:id="21"/>
      </w:r>
      <w:r w:rsidRPr="00821723">
        <w:rPr>
          <w:rFonts w:ascii="Verdana" w:eastAsia="Calibri" w:hAnsi="Verdana" w:cs="Arial"/>
          <w:color w:val="000000" w:themeColor="text1"/>
          <w:sz w:val="20"/>
          <w:szCs w:val="20"/>
        </w:rPr>
        <w:t>.</w:t>
      </w:r>
    </w:p>
    <w:p w14:paraId="336DCC9B" w14:textId="77777777" w:rsidR="002434BA" w:rsidRPr="00821723" w:rsidRDefault="002434BA" w:rsidP="002434BA">
      <w:pPr>
        <w:tabs>
          <w:tab w:val="left" w:pos="709"/>
        </w:tabs>
        <w:spacing w:after="0" w:line="276" w:lineRule="auto"/>
        <w:ind w:left="709" w:right="709"/>
        <w:jc w:val="both"/>
        <w:rPr>
          <w:rFonts w:ascii="Verdana" w:eastAsia="Calibri" w:hAnsi="Verdana" w:cs="Arial"/>
          <w:color w:val="000000" w:themeColor="text1"/>
        </w:rPr>
      </w:pPr>
    </w:p>
    <w:p w14:paraId="164F1660" w14:textId="77777777" w:rsidR="002434BA" w:rsidRPr="00821723" w:rsidRDefault="002434BA" w:rsidP="002434BA">
      <w:pPr>
        <w:spacing w:after="120" w:line="276" w:lineRule="auto"/>
        <w:ind w:firstLine="708"/>
        <w:jc w:val="both"/>
        <w:rPr>
          <w:rFonts w:ascii="Verdana" w:eastAsia="Calibri" w:hAnsi="Verdana" w:cs="Arial"/>
          <w:color w:val="000000" w:themeColor="text1"/>
        </w:rPr>
      </w:pPr>
      <w:r w:rsidRPr="00821723">
        <w:rPr>
          <w:rFonts w:ascii="Verdana" w:eastAsia="Calibri" w:hAnsi="Verdana" w:cs="Arial"/>
          <w:color w:val="000000" w:themeColor="text1"/>
        </w:rPr>
        <w:t xml:space="preserve">Tratándose de la cesión de contratos estatales, conforme a la regulación del EGCAP, confluyen una mixtura entre el derecho público y privado en su </w:t>
      </w:r>
      <w:r w:rsidRPr="00821723">
        <w:rPr>
          <w:rFonts w:ascii="Verdana" w:eastAsia="Calibri" w:hAnsi="Verdana" w:cs="Arial"/>
          <w:color w:val="000000" w:themeColor="text1"/>
        </w:rPr>
        <w:lastRenderedPageBreak/>
        <w:t xml:space="preserve">regulación. En efecto, i) los contratos estatales se regirán por las normas comerciales y civiles pertinentes, salvo en lo concerniente a las materias particularmente reguladas en dicha ley, de acuerdo con lo prescrito en el inciso primero del artículo 13 de la Ley 80 de 1993, por lo que deben observarse en primer término las disposiciones establecidas en el EGCAP; </w:t>
      </w:r>
      <w:proofErr w:type="spellStart"/>
      <w:r w:rsidRPr="00821723">
        <w:rPr>
          <w:rFonts w:ascii="Verdana" w:eastAsia="Calibri" w:hAnsi="Verdana" w:cs="Arial"/>
          <w:color w:val="000000" w:themeColor="text1"/>
        </w:rPr>
        <w:t>ii</w:t>
      </w:r>
      <w:proofErr w:type="spellEnd"/>
      <w:r w:rsidRPr="00821723">
        <w:rPr>
          <w:rFonts w:ascii="Verdana" w:eastAsia="Calibri" w:hAnsi="Verdana" w:cs="Arial"/>
          <w:color w:val="000000" w:themeColor="text1"/>
        </w:rPr>
        <w:t xml:space="preserve">) corresponderán como actos jurídicos bilaterales generadores de obligaciones, entre otros, a los previstos en el derecho privado, en los términos del artículo 32 </w:t>
      </w:r>
      <w:r w:rsidRPr="00821723">
        <w:rPr>
          <w:rFonts w:ascii="Verdana" w:eastAsia="Calibri" w:hAnsi="Verdana" w:cs="Arial"/>
          <w:i/>
          <w:iCs/>
          <w:color w:val="000000" w:themeColor="text1"/>
        </w:rPr>
        <w:t>ibidem</w:t>
      </w:r>
      <w:r w:rsidRPr="00821723">
        <w:rPr>
          <w:rFonts w:ascii="Verdana" w:eastAsia="Calibri" w:hAnsi="Verdana" w:cs="Arial"/>
          <w:color w:val="000000" w:themeColor="text1"/>
        </w:rPr>
        <w:t xml:space="preserve">; y </w:t>
      </w:r>
      <w:proofErr w:type="spellStart"/>
      <w:r w:rsidRPr="00821723">
        <w:rPr>
          <w:rFonts w:ascii="Verdana" w:eastAsia="Calibri" w:hAnsi="Verdana" w:cs="Arial"/>
          <w:color w:val="000000" w:themeColor="text1"/>
        </w:rPr>
        <w:t>iii</w:t>
      </w:r>
      <w:proofErr w:type="spellEnd"/>
      <w:r w:rsidRPr="00821723">
        <w:rPr>
          <w:rFonts w:ascii="Verdana" w:eastAsia="Calibri" w:hAnsi="Verdana" w:cs="Arial"/>
          <w:color w:val="000000" w:themeColor="text1"/>
        </w:rPr>
        <w:t xml:space="preserve">) contendrán las estipulaciones que, de acuerdo con las normas civiles, comerciales y las previstas en esta ley, correspondan a su esencia y naturaleza, conforme a lo dispuesto por el artículo 40 </w:t>
      </w:r>
      <w:r w:rsidRPr="00821723">
        <w:rPr>
          <w:rFonts w:ascii="Verdana" w:eastAsia="Calibri" w:hAnsi="Verdana" w:cs="Arial"/>
          <w:i/>
          <w:iCs/>
          <w:color w:val="000000" w:themeColor="text1"/>
        </w:rPr>
        <w:t>ibidem</w:t>
      </w:r>
      <w:r w:rsidRPr="00821723">
        <w:rPr>
          <w:rFonts w:ascii="Verdana" w:eastAsia="Calibri" w:hAnsi="Verdana" w:cs="Arial"/>
          <w:color w:val="000000" w:themeColor="text1"/>
        </w:rPr>
        <w:t xml:space="preserve">. </w:t>
      </w:r>
    </w:p>
    <w:p w14:paraId="731A1FF6" w14:textId="77777777" w:rsidR="002434BA" w:rsidRPr="00821723" w:rsidRDefault="002434BA" w:rsidP="002434BA">
      <w:pPr>
        <w:spacing w:after="120" w:line="276" w:lineRule="auto"/>
        <w:ind w:firstLine="708"/>
        <w:jc w:val="both"/>
        <w:rPr>
          <w:rFonts w:ascii="Verdana" w:eastAsia="Calibri" w:hAnsi="Verdana" w:cs="Arial"/>
          <w:color w:val="000000" w:themeColor="text1"/>
        </w:rPr>
      </w:pPr>
      <w:r w:rsidRPr="00821723">
        <w:rPr>
          <w:rFonts w:ascii="Verdana" w:eastAsia="Calibri" w:hAnsi="Verdana" w:cs="Arial"/>
          <w:color w:val="000000" w:themeColor="text1"/>
        </w:rPr>
        <w:t>En este sentido, el Estatuto General de Contratación de la Administración Pública establece disposiciones específicas relativas a la figura de la cesión contractual. En principio, si bien rigen las normas relativas a la cesión del contrato contenidas en sus artículos 887 y siguientes del Código de Comercio, su aplicación procede ante la ausencia de norma que de manera particular regule el asunto frente a la categoría especial del contrato estatal.</w:t>
      </w:r>
    </w:p>
    <w:p w14:paraId="4C491E52" w14:textId="77777777" w:rsidR="002434BA" w:rsidRPr="00821723" w:rsidRDefault="002434BA" w:rsidP="002434BA">
      <w:pPr>
        <w:tabs>
          <w:tab w:val="left" w:pos="709"/>
        </w:tabs>
        <w:spacing w:after="120" w:line="276" w:lineRule="auto"/>
        <w:jc w:val="both"/>
        <w:rPr>
          <w:rFonts w:ascii="Verdana" w:eastAsia="Calibri" w:hAnsi="Verdana" w:cs="Arial"/>
          <w:color w:val="000000" w:themeColor="text1"/>
        </w:rPr>
      </w:pPr>
      <w:r w:rsidRPr="00821723">
        <w:rPr>
          <w:rFonts w:ascii="Verdana" w:eastAsia="Calibri" w:hAnsi="Verdana" w:cs="Arial"/>
          <w:color w:val="000000" w:themeColor="text1"/>
        </w:rPr>
        <w:tab/>
        <w:t>Por ello, es pertinente indicar que el Decreto Ley 410 de 1971 contempla ciertas disposiciones que no se encuentran en la Ley 80 de 1993, lo que conlleva su aplicación en materia de contratos estatales. Por ejemplo, el artículo 890 establece lo relativo a la responsabilidad del cedente frente al cesionario y en torno a la existencia, validez y garantías del contrato cedido</w:t>
      </w:r>
      <w:r w:rsidRPr="00821723">
        <w:rPr>
          <w:rStyle w:val="Refdenotaalpie"/>
          <w:rFonts w:ascii="Verdana" w:eastAsia="Calibri" w:hAnsi="Verdana" w:cs="Arial"/>
          <w:color w:val="000000" w:themeColor="text1"/>
        </w:rPr>
        <w:footnoteReference w:id="22"/>
      </w:r>
      <w:r w:rsidRPr="00821723">
        <w:rPr>
          <w:rFonts w:ascii="Verdana" w:eastAsia="Calibri" w:hAnsi="Verdana" w:cs="Arial"/>
          <w:color w:val="000000" w:themeColor="text1"/>
        </w:rPr>
        <w:t>. Por otra parte, el artículo 891 obliga al cesionario a avisar al cedente de la mora o el incumplimiento dentro de los 10 días siguientes, siempre y cuando este se haya obligado a garantizar el cumplimiento por parte del contratante cedido</w:t>
      </w:r>
      <w:r w:rsidRPr="00821723">
        <w:rPr>
          <w:rStyle w:val="Refdenotaalpie"/>
          <w:rFonts w:ascii="Verdana" w:eastAsia="Calibri" w:hAnsi="Verdana" w:cs="Arial"/>
          <w:color w:val="000000" w:themeColor="text1"/>
        </w:rPr>
        <w:footnoteReference w:id="23"/>
      </w:r>
      <w:r w:rsidRPr="00821723">
        <w:rPr>
          <w:rFonts w:ascii="Verdana" w:eastAsia="Calibri" w:hAnsi="Verdana" w:cs="Arial"/>
          <w:color w:val="000000" w:themeColor="text1"/>
        </w:rPr>
        <w:t xml:space="preserve">. Asimismo, los artículos 895 y 896 disponen que la cesión de un contrato implica la transferencia de las acciones, privilegios y beneficios legales inherentes a la naturaleza y condiciones del contrato, excluyendo a aquellas que sean extrañas al mismo o que se funden en el estado o calidad particular de las partes, </w:t>
      </w:r>
      <w:r w:rsidRPr="00821723">
        <w:rPr>
          <w:rFonts w:ascii="Verdana" w:eastAsia="Calibri" w:hAnsi="Verdana" w:cs="Arial"/>
          <w:color w:val="000000" w:themeColor="text1"/>
        </w:rPr>
        <w:lastRenderedPageBreak/>
        <w:t>pudiendo, el contratante cedido, oponer contra el cesionario todas las excepciones que se deriven del contrato</w:t>
      </w:r>
      <w:r w:rsidRPr="00821723">
        <w:rPr>
          <w:rStyle w:val="Refdenotaalpie"/>
          <w:rFonts w:ascii="Verdana" w:eastAsia="Calibri" w:hAnsi="Verdana" w:cs="Arial"/>
          <w:color w:val="000000" w:themeColor="text1"/>
        </w:rPr>
        <w:footnoteReference w:id="24"/>
      </w:r>
      <w:r w:rsidRPr="00821723">
        <w:rPr>
          <w:rFonts w:ascii="Verdana" w:eastAsia="Calibri" w:hAnsi="Verdana" w:cs="Arial"/>
          <w:color w:val="000000" w:themeColor="text1"/>
        </w:rPr>
        <w:t xml:space="preserve">. </w:t>
      </w:r>
    </w:p>
    <w:p w14:paraId="2C1D16AB" w14:textId="77777777" w:rsidR="002434BA" w:rsidRPr="00821723" w:rsidRDefault="002434BA" w:rsidP="002434BA">
      <w:pPr>
        <w:tabs>
          <w:tab w:val="left" w:pos="709"/>
        </w:tabs>
        <w:spacing w:after="120" w:line="276" w:lineRule="auto"/>
        <w:jc w:val="both"/>
        <w:rPr>
          <w:rFonts w:ascii="Verdana" w:eastAsia="Calibri" w:hAnsi="Verdana" w:cs="Arial"/>
          <w:color w:val="000000" w:themeColor="text1"/>
        </w:rPr>
      </w:pPr>
      <w:r w:rsidRPr="00821723">
        <w:rPr>
          <w:rFonts w:ascii="Verdana" w:eastAsia="Calibri" w:hAnsi="Verdana" w:cs="Arial"/>
          <w:color w:val="000000" w:themeColor="text1"/>
        </w:rPr>
        <w:tab/>
        <w:t xml:space="preserve">Al margen de estas y otras disposiciones que de manera particular consagra el Código de Comercio sobre la cesión del contrato, esta figura cuenta con algunas normas especiales en la Ley 80 de 1993. Por ejemplo, </w:t>
      </w:r>
      <w:bookmarkStart w:id="7" w:name="_Hlk79822251"/>
      <w:r w:rsidRPr="00821723">
        <w:rPr>
          <w:rFonts w:ascii="Verdana" w:eastAsia="Calibri" w:hAnsi="Verdana" w:cs="Arial"/>
          <w:color w:val="000000" w:themeColor="text1"/>
        </w:rPr>
        <w:t>el artículo 41, inciso tercero</w:t>
      </w:r>
      <w:bookmarkEnd w:id="7"/>
      <w:r w:rsidRPr="00821723">
        <w:rPr>
          <w:rFonts w:ascii="Verdana" w:eastAsia="Calibri" w:hAnsi="Verdana" w:cs="Arial"/>
          <w:color w:val="000000" w:themeColor="text1"/>
        </w:rPr>
        <w:t xml:space="preserve">, del EGCAP prescribe que “Los contratos estatales son </w:t>
      </w:r>
      <w:r w:rsidRPr="00821723">
        <w:rPr>
          <w:rFonts w:ascii="Verdana" w:eastAsia="Calibri" w:hAnsi="Verdana" w:cs="Arial"/>
          <w:i/>
          <w:iCs/>
          <w:color w:val="000000" w:themeColor="text1"/>
        </w:rPr>
        <w:t xml:space="preserve">intuito </w:t>
      </w:r>
      <w:proofErr w:type="spellStart"/>
      <w:r w:rsidRPr="00821723">
        <w:rPr>
          <w:rFonts w:ascii="Verdana" w:eastAsia="Calibri" w:hAnsi="Verdana" w:cs="Arial"/>
          <w:i/>
          <w:iCs/>
          <w:color w:val="000000" w:themeColor="text1"/>
        </w:rPr>
        <w:t>personae</w:t>
      </w:r>
      <w:proofErr w:type="spellEnd"/>
      <w:r w:rsidRPr="00821723">
        <w:rPr>
          <w:rFonts w:ascii="Verdana" w:eastAsia="Calibri" w:hAnsi="Verdana" w:cs="Arial"/>
          <w:color w:val="000000" w:themeColor="text1"/>
        </w:rPr>
        <w:t xml:space="preserve"> y, en consecuencia, una vez celebrados no podrán cederse sin previa autorización escrita de la entidad contratante”. Esta norma contiene una prohibición general –</w:t>
      </w:r>
      <w:r w:rsidRPr="00821723">
        <w:rPr>
          <w:rFonts w:ascii="Verdana" w:eastAsia="Calibri" w:hAnsi="Verdana" w:cs="Arial"/>
          <w:i/>
          <w:iCs/>
          <w:color w:val="000000" w:themeColor="text1"/>
        </w:rPr>
        <w:t>faceta negativa</w:t>
      </w:r>
      <w:r w:rsidRPr="00821723">
        <w:rPr>
          <w:rFonts w:ascii="Verdana" w:eastAsia="Calibri" w:hAnsi="Verdana" w:cs="Arial"/>
          <w:color w:val="000000" w:themeColor="text1"/>
        </w:rPr>
        <w:t>– y una autorización excepcional –</w:t>
      </w:r>
      <w:r w:rsidRPr="00821723">
        <w:rPr>
          <w:rFonts w:ascii="Verdana" w:eastAsia="Calibri" w:hAnsi="Verdana" w:cs="Arial"/>
          <w:i/>
          <w:iCs/>
          <w:color w:val="000000" w:themeColor="text1"/>
        </w:rPr>
        <w:t>faceta positiva</w:t>
      </w:r>
      <w:r w:rsidRPr="00821723">
        <w:rPr>
          <w:rFonts w:ascii="Verdana" w:eastAsia="Calibri" w:hAnsi="Verdana" w:cs="Arial"/>
          <w:color w:val="000000" w:themeColor="text1"/>
        </w:rPr>
        <w:t>–.</w:t>
      </w:r>
    </w:p>
    <w:p w14:paraId="72FB60A8" w14:textId="77777777" w:rsidR="002434BA" w:rsidRPr="00821723" w:rsidRDefault="002434BA" w:rsidP="002434BA">
      <w:pPr>
        <w:tabs>
          <w:tab w:val="left" w:pos="709"/>
        </w:tabs>
        <w:spacing w:after="120" w:line="276" w:lineRule="auto"/>
        <w:jc w:val="both"/>
        <w:rPr>
          <w:rFonts w:ascii="Verdana" w:eastAsia="Calibri" w:hAnsi="Verdana" w:cs="Arial"/>
          <w:bCs/>
          <w:color w:val="000000" w:themeColor="text1"/>
        </w:rPr>
      </w:pPr>
      <w:r w:rsidRPr="00821723">
        <w:rPr>
          <w:rFonts w:ascii="Verdana" w:eastAsia="Calibri" w:hAnsi="Verdana" w:cs="Arial"/>
          <w:bCs/>
          <w:color w:val="000000" w:themeColor="text1"/>
        </w:rPr>
        <w:tab/>
        <w:t xml:space="preserve">En lo que respecta a la </w:t>
      </w:r>
      <w:r w:rsidRPr="00821723">
        <w:rPr>
          <w:rFonts w:ascii="Verdana" w:eastAsia="Calibri" w:hAnsi="Verdana" w:cs="Arial"/>
          <w:bCs/>
          <w:i/>
          <w:iCs/>
          <w:color w:val="000000" w:themeColor="text1"/>
        </w:rPr>
        <w:t>faceta negativa</w:t>
      </w:r>
      <w:r w:rsidRPr="00821723">
        <w:rPr>
          <w:rFonts w:ascii="Verdana" w:eastAsia="Calibri" w:hAnsi="Verdana" w:cs="Arial"/>
          <w:bCs/>
          <w:color w:val="000000" w:themeColor="text1"/>
        </w:rPr>
        <w:t>, el artículo 41 del Estatuto General ordena que el contrato se ejecute con quien inicialmente se celebró el acuerdo de voluntades, pues es la persona que –de acuerdo con los criterios definidos por la entidad para la selección del contratista– resulta idónea para cumplir con las obligaciones. De esta manera, la prohibición contenida en la norma citada es uno de los elementos de la naturaleza del contrato estatal, pues –conforme a lo previsto en el artículo 1501 del Código Civil– es de aquellos “</w:t>
      </w:r>
      <w:r>
        <w:rPr>
          <w:rFonts w:ascii="Verdana" w:eastAsia="Calibri" w:hAnsi="Verdana" w:cs="Arial"/>
          <w:bCs/>
          <w:color w:val="000000" w:themeColor="text1"/>
        </w:rPr>
        <w:t>(…)</w:t>
      </w:r>
      <w:r w:rsidRPr="00821723">
        <w:rPr>
          <w:rFonts w:ascii="Verdana" w:eastAsia="Calibri" w:hAnsi="Verdana" w:cs="Arial"/>
          <w:bCs/>
          <w:color w:val="000000" w:themeColor="text1"/>
        </w:rPr>
        <w:t xml:space="preserve"> </w:t>
      </w:r>
      <w:proofErr w:type="gramStart"/>
      <w:r w:rsidRPr="00821723">
        <w:rPr>
          <w:rFonts w:ascii="Verdana" w:eastAsia="Calibri" w:hAnsi="Verdana" w:cs="Arial"/>
          <w:bCs/>
          <w:color w:val="000000" w:themeColor="text1"/>
        </w:rPr>
        <w:t>que</w:t>
      </w:r>
      <w:proofErr w:type="gramEnd"/>
      <w:r w:rsidRPr="00821723">
        <w:rPr>
          <w:rFonts w:ascii="Verdana" w:eastAsia="Calibri" w:hAnsi="Verdana" w:cs="Arial"/>
          <w:bCs/>
          <w:color w:val="000000" w:themeColor="text1"/>
        </w:rPr>
        <w:t xml:space="preserve"> no siendo esenciales en él, se entienden pertenecerle, sin necesidad de una cláusula especial </w:t>
      </w:r>
      <w:r>
        <w:rPr>
          <w:rFonts w:ascii="Verdana" w:eastAsia="Calibri" w:hAnsi="Verdana" w:cs="Arial"/>
          <w:bCs/>
          <w:color w:val="000000" w:themeColor="text1"/>
        </w:rPr>
        <w:t>(…)”</w:t>
      </w:r>
      <w:r w:rsidRPr="00821723">
        <w:rPr>
          <w:rStyle w:val="Refdenotaalpie"/>
          <w:rFonts w:ascii="Verdana" w:eastAsia="Calibri" w:hAnsi="Verdana" w:cs="Arial"/>
          <w:bCs/>
          <w:color w:val="000000" w:themeColor="text1"/>
        </w:rPr>
        <w:footnoteReference w:id="25"/>
      </w:r>
      <w:r w:rsidRPr="00821723">
        <w:rPr>
          <w:rFonts w:ascii="Verdana" w:eastAsia="Calibri" w:hAnsi="Verdana" w:cs="Arial"/>
          <w:bCs/>
          <w:color w:val="000000" w:themeColor="text1"/>
        </w:rPr>
        <w:t xml:space="preserve">.  </w:t>
      </w:r>
    </w:p>
    <w:p w14:paraId="30B7F243" w14:textId="77777777" w:rsidR="002434BA" w:rsidRPr="00821723" w:rsidRDefault="002434BA" w:rsidP="002434BA">
      <w:pPr>
        <w:spacing w:after="0" w:line="276" w:lineRule="auto"/>
        <w:ind w:firstLine="708"/>
        <w:jc w:val="both"/>
        <w:rPr>
          <w:rFonts w:ascii="Verdana" w:eastAsia="Calibri" w:hAnsi="Verdana" w:cs="Arial"/>
          <w:bCs/>
          <w:color w:val="000000" w:themeColor="text1"/>
        </w:rPr>
      </w:pPr>
      <w:r w:rsidRPr="00821723">
        <w:rPr>
          <w:rFonts w:ascii="Verdana" w:eastAsia="Calibri" w:hAnsi="Verdana" w:cs="Arial"/>
          <w:bCs/>
          <w:color w:val="000000" w:themeColor="text1"/>
        </w:rPr>
        <w:t xml:space="preserve">En su </w:t>
      </w:r>
      <w:r w:rsidRPr="00821723">
        <w:rPr>
          <w:rFonts w:ascii="Verdana" w:eastAsia="Calibri" w:hAnsi="Verdana" w:cs="Arial"/>
          <w:bCs/>
          <w:i/>
          <w:iCs/>
          <w:color w:val="000000" w:themeColor="text1"/>
        </w:rPr>
        <w:t>faceta positiva</w:t>
      </w:r>
      <w:r w:rsidRPr="00821723">
        <w:rPr>
          <w:rFonts w:ascii="Verdana" w:eastAsia="Calibri" w:hAnsi="Verdana" w:cs="Arial"/>
          <w:bCs/>
          <w:color w:val="000000" w:themeColor="text1"/>
        </w:rPr>
        <w:t>, la Ley 80 de 1993 permite excepcionalmente la cesión del contrato estatal siempre que exista autorización previa escrita de la entidad contratante. Por ello, “</w:t>
      </w:r>
      <w:r>
        <w:rPr>
          <w:rFonts w:ascii="Verdana" w:eastAsia="Calibri" w:hAnsi="Verdana" w:cs="Arial"/>
          <w:bCs/>
          <w:color w:val="000000" w:themeColor="text1"/>
        </w:rPr>
        <w:t xml:space="preserve">(…) </w:t>
      </w:r>
      <w:r w:rsidRPr="00821723">
        <w:rPr>
          <w:rFonts w:ascii="Verdana" w:eastAsia="Calibri" w:hAnsi="Verdana" w:cs="Arial"/>
          <w:bCs/>
          <w:color w:val="000000" w:themeColor="text1"/>
        </w:rPr>
        <w:t>El cocontratante que ‘</w:t>
      </w:r>
      <w:r w:rsidRPr="00821723">
        <w:rPr>
          <w:rFonts w:ascii="Verdana" w:eastAsia="Calibri" w:hAnsi="Verdana" w:cs="Arial"/>
          <w:bCs/>
          <w:i/>
          <w:iCs/>
          <w:color w:val="000000" w:themeColor="text1"/>
        </w:rPr>
        <w:t>ceda</w:t>
      </w:r>
      <w:r w:rsidRPr="00821723">
        <w:rPr>
          <w:rFonts w:ascii="Verdana" w:eastAsia="Calibri" w:hAnsi="Verdana" w:cs="Arial"/>
          <w:bCs/>
          <w:color w:val="000000" w:themeColor="text1"/>
        </w:rPr>
        <w:t xml:space="preserve">’ el contrato sin estar autorizado para ello incurre en grave responsabilidad: su actitud implica </w:t>
      </w:r>
      <w:r w:rsidRPr="00821723">
        <w:rPr>
          <w:rFonts w:ascii="Verdana" w:eastAsia="Calibri" w:hAnsi="Verdana" w:cs="Arial"/>
          <w:bCs/>
          <w:color w:val="000000" w:themeColor="text1"/>
        </w:rPr>
        <w:lastRenderedPageBreak/>
        <w:t>‘</w:t>
      </w:r>
      <w:r w:rsidRPr="00821723">
        <w:rPr>
          <w:rFonts w:ascii="Verdana" w:eastAsia="Calibri" w:hAnsi="Verdana" w:cs="Arial"/>
          <w:bCs/>
          <w:i/>
          <w:iCs/>
          <w:color w:val="000000" w:themeColor="text1"/>
        </w:rPr>
        <w:t>incumplimiento</w:t>
      </w:r>
      <w:r w:rsidRPr="00821723">
        <w:rPr>
          <w:rFonts w:ascii="Verdana" w:eastAsia="Calibri" w:hAnsi="Verdana" w:cs="Arial"/>
          <w:bCs/>
          <w:color w:val="000000" w:themeColor="text1"/>
        </w:rPr>
        <w:t xml:space="preserve">’ del contrato; de ahí que esa cesión ilícita no resulte oponible a la Administración Pública </w:t>
      </w:r>
      <w:r>
        <w:rPr>
          <w:rFonts w:ascii="Verdana" w:eastAsia="Calibri" w:hAnsi="Verdana" w:cs="Arial"/>
          <w:bCs/>
          <w:color w:val="000000" w:themeColor="text1"/>
        </w:rPr>
        <w:t>(…)</w:t>
      </w:r>
      <w:r w:rsidRPr="00821723">
        <w:rPr>
          <w:rFonts w:ascii="Verdana" w:eastAsia="Calibri" w:hAnsi="Verdana" w:cs="Arial"/>
          <w:bCs/>
          <w:color w:val="000000" w:themeColor="text1"/>
        </w:rPr>
        <w:t>”</w:t>
      </w:r>
      <w:r w:rsidRPr="00821723">
        <w:rPr>
          <w:rStyle w:val="Refdenotaalpie"/>
          <w:rFonts w:ascii="Verdana" w:eastAsia="Calibri" w:hAnsi="Verdana" w:cs="Arial"/>
          <w:bCs/>
          <w:color w:val="000000" w:themeColor="text1"/>
        </w:rPr>
        <w:footnoteReference w:id="26"/>
      </w:r>
      <w:r w:rsidRPr="00821723">
        <w:rPr>
          <w:rFonts w:ascii="Verdana" w:eastAsia="Calibri" w:hAnsi="Verdana" w:cs="Arial"/>
          <w:bCs/>
          <w:color w:val="000000" w:themeColor="text1"/>
        </w:rPr>
        <w:t xml:space="preserve">. Este requisito introduce un elemento especial que no está previsto en el Código de Comercio, pues en el derecho privado –salvo las excepciones previstas en la ley– la cesión requiere el acuerdo de voluntades entre el cedente y el cesionario, sin que medie la aceptación del contratante cedido. </w:t>
      </w:r>
      <w:r w:rsidRPr="00821723">
        <w:rPr>
          <w:rFonts w:ascii="Verdana" w:eastAsia="Calibri" w:hAnsi="Verdana" w:cs="Arial"/>
          <w:color w:val="000000" w:themeColor="text1"/>
        </w:rPr>
        <w:t>En relación con lo anterior la doctrina define la cesión en los contratos estatales de la siguiente manera:</w:t>
      </w:r>
    </w:p>
    <w:p w14:paraId="1BD5B71A" w14:textId="77777777" w:rsidR="002434BA" w:rsidRPr="00821723" w:rsidRDefault="002434BA" w:rsidP="002434BA">
      <w:pPr>
        <w:spacing w:after="0" w:line="240" w:lineRule="auto"/>
        <w:ind w:firstLine="709"/>
        <w:jc w:val="both"/>
        <w:rPr>
          <w:rFonts w:ascii="Verdana" w:eastAsia="Calibri" w:hAnsi="Verdana" w:cs="Arial"/>
          <w:color w:val="000000" w:themeColor="text1"/>
        </w:rPr>
      </w:pPr>
      <w:r w:rsidRPr="00821723">
        <w:rPr>
          <w:rFonts w:ascii="Verdana" w:eastAsia="Calibri" w:hAnsi="Verdana" w:cs="Arial"/>
          <w:color w:val="000000" w:themeColor="text1"/>
        </w:rPr>
        <w:t xml:space="preserve"> </w:t>
      </w:r>
    </w:p>
    <w:p w14:paraId="70DE3436" w14:textId="77777777" w:rsidR="002434BA" w:rsidRPr="003667DB" w:rsidRDefault="002434BA" w:rsidP="002434BA">
      <w:pPr>
        <w:spacing w:after="0" w:line="240" w:lineRule="auto"/>
        <w:ind w:left="709" w:right="709"/>
        <w:jc w:val="both"/>
        <w:rPr>
          <w:rFonts w:ascii="Verdana" w:eastAsia="Calibri" w:hAnsi="Verdana" w:cs="Arial"/>
          <w:color w:val="000000" w:themeColor="text1"/>
          <w:sz w:val="20"/>
          <w:szCs w:val="20"/>
        </w:rPr>
      </w:pPr>
      <w:r w:rsidRPr="00821723">
        <w:rPr>
          <w:rFonts w:ascii="Verdana" w:eastAsia="Calibri" w:hAnsi="Verdana" w:cs="Arial"/>
          <w:color w:val="000000" w:themeColor="text1"/>
        </w:rPr>
        <w:t>“</w:t>
      </w:r>
      <w:r w:rsidRPr="003667DB">
        <w:rPr>
          <w:rFonts w:ascii="Verdana" w:eastAsia="Calibri" w:hAnsi="Verdana" w:cs="Arial"/>
          <w:color w:val="000000" w:themeColor="text1"/>
          <w:sz w:val="20"/>
          <w:szCs w:val="20"/>
        </w:rPr>
        <w:t xml:space="preserve">La cesión en la contratación estatal supone, previa autorización de la entidad contratante, la sustitución </w:t>
      </w:r>
      <w:r w:rsidRPr="003667DB">
        <w:rPr>
          <w:rFonts w:ascii="Verdana" w:eastAsia="Calibri" w:hAnsi="Verdana" w:cs="Arial"/>
          <w:i/>
          <w:iCs/>
          <w:color w:val="000000" w:themeColor="text1"/>
          <w:sz w:val="20"/>
          <w:szCs w:val="20"/>
        </w:rPr>
        <w:t>in genere</w:t>
      </w:r>
      <w:r w:rsidRPr="003667DB">
        <w:rPr>
          <w:rFonts w:ascii="Verdana" w:eastAsia="Calibri" w:hAnsi="Verdana" w:cs="Arial"/>
          <w:color w:val="000000" w:themeColor="text1"/>
          <w:sz w:val="20"/>
          <w:szCs w:val="20"/>
        </w:rPr>
        <w:t>, total o parcial, de una de las partes de la relación jurídica (contratante o contratista) por un tercero, que se subroga en los derechos y obligaciones de aquella, por medio de la modificación del contrato estatal originario. La cesión posibilita el reemplazo total o parcial de una parte en su posición contractual originaria, sin que sea precisa la transferencia individual de cuantos derechos y obligaciones conforman la universalidad jurídica a ceder (…)”</w:t>
      </w:r>
      <w:r w:rsidRPr="003667DB">
        <w:rPr>
          <w:rStyle w:val="Refdenotaalpie"/>
          <w:rFonts w:ascii="Verdana" w:hAnsi="Verdana" w:cs="Arial"/>
          <w:color w:val="000000" w:themeColor="text1"/>
          <w:sz w:val="20"/>
          <w:szCs w:val="20"/>
        </w:rPr>
        <w:footnoteReference w:id="27"/>
      </w:r>
      <w:r w:rsidRPr="003667DB">
        <w:rPr>
          <w:rFonts w:ascii="Verdana" w:eastAsia="Calibri" w:hAnsi="Verdana" w:cs="Arial"/>
          <w:color w:val="000000" w:themeColor="text1"/>
          <w:sz w:val="20"/>
          <w:szCs w:val="20"/>
        </w:rPr>
        <w:t>.</w:t>
      </w:r>
    </w:p>
    <w:p w14:paraId="1785FEAB" w14:textId="77777777" w:rsidR="002434BA" w:rsidRPr="003667DB" w:rsidRDefault="002434BA" w:rsidP="002434BA">
      <w:pPr>
        <w:spacing w:after="0" w:line="276" w:lineRule="auto"/>
        <w:jc w:val="both"/>
        <w:rPr>
          <w:rFonts w:ascii="Verdana" w:eastAsia="Calibri" w:hAnsi="Verdana" w:cs="Arial"/>
          <w:color w:val="000000" w:themeColor="text1"/>
          <w:sz w:val="20"/>
          <w:szCs w:val="20"/>
        </w:rPr>
      </w:pPr>
    </w:p>
    <w:p w14:paraId="0A87B420" w14:textId="77777777" w:rsidR="002434BA" w:rsidRPr="00821723" w:rsidRDefault="002434BA" w:rsidP="002434BA">
      <w:pPr>
        <w:spacing w:after="120" w:line="276" w:lineRule="auto"/>
        <w:ind w:firstLine="709"/>
        <w:jc w:val="both"/>
        <w:rPr>
          <w:rFonts w:ascii="Verdana" w:eastAsia="Calibri" w:hAnsi="Verdana" w:cs="Arial"/>
          <w:bCs/>
          <w:color w:val="000000" w:themeColor="text1"/>
        </w:rPr>
      </w:pPr>
      <w:r w:rsidRPr="00821723">
        <w:rPr>
          <w:rFonts w:ascii="Verdana" w:eastAsia="Calibri" w:hAnsi="Verdana" w:cs="Arial"/>
          <w:bCs/>
          <w:color w:val="000000" w:themeColor="text1"/>
        </w:rPr>
        <w:t>Autorizada previamente por la entidad cedida, esta forma de cesión requiere la suscripción de un contrato entre el cedente y el cesionario, por lo que es bilateral en la medida en que requiere un acuerdo voluntades. Con fundamento en el mismo, el cesionario reemplaza –en todo o en parte– al contratista cedente en la ejecución del contrato estatal, respondiendo por el cumplimiento de las obligaciones frente a la Administración.</w:t>
      </w:r>
      <w:r w:rsidRPr="00821723">
        <w:rPr>
          <w:rFonts w:ascii="Verdana" w:hAnsi="Verdana"/>
        </w:rPr>
        <w:t xml:space="preserve"> </w:t>
      </w:r>
      <w:r w:rsidRPr="00821723">
        <w:rPr>
          <w:rFonts w:ascii="Verdana" w:eastAsia="Calibri" w:hAnsi="Verdana" w:cs="Arial"/>
          <w:bCs/>
          <w:color w:val="000000" w:themeColor="text1"/>
        </w:rPr>
        <w:t>El inciso primero del artículo 888 del Código de Comercio señala que “La sustitución podrá hacerse por escrito o verbalmente, según que el contrato conste o no por escrito”. Como el contrato estatal es solemne en los términos de los artículos 39 y 41 de la Ley 80 de 1993, se impone la forma escrita para cederlo</w:t>
      </w:r>
      <w:r w:rsidRPr="00821723">
        <w:rPr>
          <w:rFonts w:ascii="Verdana" w:eastAsia="Calibri" w:hAnsi="Verdana" w:cs="Arial"/>
          <w:color w:val="000000" w:themeColor="text1"/>
        </w:rPr>
        <w:t xml:space="preserve">. </w:t>
      </w:r>
    </w:p>
    <w:p w14:paraId="1315E67A" w14:textId="77777777" w:rsidR="002434BA" w:rsidRPr="00821723" w:rsidRDefault="002434BA" w:rsidP="002434BA">
      <w:pPr>
        <w:tabs>
          <w:tab w:val="left" w:pos="709"/>
        </w:tabs>
        <w:spacing w:after="120" w:line="276" w:lineRule="auto"/>
        <w:jc w:val="both"/>
        <w:rPr>
          <w:rFonts w:ascii="Verdana" w:eastAsia="Calibri" w:hAnsi="Verdana" w:cs="Arial"/>
          <w:color w:val="000000" w:themeColor="text1"/>
        </w:rPr>
      </w:pPr>
      <w:bookmarkStart w:id="8" w:name="_Hlk80369799"/>
      <w:r w:rsidRPr="00821723">
        <w:rPr>
          <w:rFonts w:ascii="Verdana" w:eastAsia="Calibri" w:hAnsi="Verdana" w:cs="Arial"/>
          <w:color w:val="000000" w:themeColor="text1"/>
        </w:rPr>
        <w:tab/>
        <w:t xml:space="preserve">Por lo demás, el Consejo de Estado ha precisado como requisitos de la cesión del contrato estatal los siguientes: i) debe recaer en un tercero; </w:t>
      </w:r>
      <w:proofErr w:type="spellStart"/>
      <w:r w:rsidRPr="00821723">
        <w:rPr>
          <w:rFonts w:ascii="Verdana" w:eastAsia="Calibri" w:hAnsi="Verdana" w:cs="Arial"/>
          <w:color w:val="000000" w:themeColor="text1"/>
        </w:rPr>
        <w:t>ii</w:t>
      </w:r>
      <w:proofErr w:type="spellEnd"/>
      <w:r w:rsidRPr="00821723">
        <w:rPr>
          <w:rFonts w:ascii="Verdana" w:eastAsia="Calibri" w:hAnsi="Verdana" w:cs="Arial"/>
          <w:color w:val="000000" w:themeColor="text1"/>
        </w:rPr>
        <w:t xml:space="preserve">) el cesionario debe tener capacidad jurídica para continuar con la ejecución del objeto contractual y no estar incurso en causales de inhabilidad e incompatibilidad para contratar; y </w:t>
      </w:r>
      <w:proofErr w:type="spellStart"/>
      <w:r w:rsidRPr="00821723">
        <w:rPr>
          <w:rFonts w:ascii="Verdana" w:eastAsia="Calibri" w:hAnsi="Verdana" w:cs="Arial"/>
          <w:color w:val="000000" w:themeColor="text1"/>
        </w:rPr>
        <w:t>iii</w:t>
      </w:r>
      <w:proofErr w:type="spellEnd"/>
      <w:r w:rsidRPr="00821723">
        <w:rPr>
          <w:rFonts w:ascii="Verdana" w:eastAsia="Calibri" w:hAnsi="Verdana" w:cs="Arial"/>
          <w:color w:val="000000" w:themeColor="text1"/>
        </w:rPr>
        <w:t xml:space="preserve">) el cesionario debe contar con capacidad técnica, económica y financiera suficientes para el cumplimiento de las </w:t>
      </w:r>
      <w:r w:rsidRPr="00821723">
        <w:rPr>
          <w:rFonts w:ascii="Verdana" w:eastAsia="Calibri" w:hAnsi="Verdana" w:cs="Arial"/>
          <w:color w:val="000000" w:themeColor="text1"/>
        </w:rPr>
        <w:lastRenderedPageBreak/>
        <w:t>obligaciones emanadas del contrato cedido. Al respecto, la Sección Tercera del Consejo de Estado ha explicado que, en la medida que el tercero cesionario asume la posición contractual del contratista cedente, las disposiciones, los pliegos de condiciones y el contrato mismo serán aplicables a quien asuma la nueva posición contractual. De esta manera, la capacidad jurídica, económica y técnica del contratista cedente se exigirá también al cesionario</w:t>
      </w:r>
      <w:bookmarkStart w:id="9" w:name="_Hlk80369829"/>
      <w:bookmarkEnd w:id="8"/>
      <w:r w:rsidRPr="00821723">
        <w:rPr>
          <w:rFonts w:ascii="Verdana" w:eastAsia="Calibri" w:hAnsi="Verdana" w:cs="Arial"/>
          <w:color w:val="000000" w:themeColor="text1"/>
        </w:rPr>
        <w:t>, ya que “</w:t>
      </w:r>
      <w:r>
        <w:rPr>
          <w:rFonts w:ascii="Verdana" w:eastAsia="Calibri" w:hAnsi="Verdana" w:cs="Arial"/>
          <w:color w:val="000000" w:themeColor="text1"/>
        </w:rPr>
        <w:t xml:space="preserve">(…) </w:t>
      </w:r>
      <w:r w:rsidRPr="00821723">
        <w:rPr>
          <w:rFonts w:ascii="Verdana" w:eastAsia="Calibri" w:hAnsi="Verdana" w:cs="Arial"/>
          <w:color w:val="000000" w:themeColor="text1"/>
        </w:rPr>
        <w:t>el proceso cesión del contrato y las exigencias que se le impongan al tercero, no pueden alterar ni burlar los procedimientos de selección del contratista, en otras palabras, la figura de la cesión de contrato no puede servir como instrumento para desviar las obligaciones que tiene la entidad contratante de cumplimiento de los parámetros de la selección objetiva</w:t>
      </w:r>
      <w:bookmarkEnd w:id="9"/>
      <w:r w:rsidRPr="00821723">
        <w:rPr>
          <w:rFonts w:ascii="Verdana" w:eastAsia="Calibri" w:hAnsi="Verdana" w:cs="Arial"/>
          <w:color w:val="000000" w:themeColor="text1"/>
        </w:rPr>
        <w:t>”</w:t>
      </w:r>
      <w:r w:rsidRPr="00821723">
        <w:rPr>
          <w:rStyle w:val="Refdenotaalpie"/>
          <w:rFonts w:ascii="Verdana" w:eastAsia="Calibri" w:hAnsi="Verdana" w:cs="Arial"/>
          <w:color w:val="000000" w:themeColor="text1"/>
        </w:rPr>
        <w:footnoteReference w:id="28"/>
      </w:r>
      <w:r w:rsidRPr="00821723">
        <w:rPr>
          <w:rFonts w:ascii="Verdana" w:eastAsia="Calibri" w:hAnsi="Verdana" w:cs="Arial"/>
          <w:color w:val="000000" w:themeColor="text1"/>
        </w:rPr>
        <w:t>.</w:t>
      </w:r>
    </w:p>
    <w:p w14:paraId="4A37884C" w14:textId="77777777" w:rsidR="002434BA" w:rsidRPr="00821723" w:rsidRDefault="002434BA" w:rsidP="002434BA">
      <w:pPr>
        <w:tabs>
          <w:tab w:val="left" w:pos="709"/>
        </w:tabs>
        <w:spacing w:after="120" w:line="276" w:lineRule="auto"/>
        <w:ind w:firstLine="709"/>
        <w:jc w:val="both"/>
        <w:rPr>
          <w:rFonts w:ascii="Verdana" w:eastAsia="Calibri" w:hAnsi="Verdana" w:cs="Arial"/>
          <w:color w:val="000000" w:themeColor="text1"/>
        </w:rPr>
      </w:pPr>
      <w:bookmarkStart w:id="10" w:name="_Hlk80369857"/>
      <w:r w:rsidRPr="00821723">
        <w:rPr>
          <w:rFonts w:ascii="Verdana" w:eastAsia="Calibri" w:hAnsi="Verdana" w:cs="Arial"/>
          <w:color w:val="000000" w:themeColor="text1"/>
        </w:rPr>
        <w:t>Por lo tanto, la entidad estatal en el trámite de autorización de una cesión de posición contractual está obligada a respetar los criterios normativos que resulten aplicables al proceso de contratación, entre otros, los principios de transparencia, selección objetiva e igualdad. En otros términos, so pretexto de una cesión contractual, no pueden vulnerarse las reglas y principios de la contratación estatal.</w:t>
      </w:r>
    </w:p>
    <w:bookmarkEnd w:id="10"/>
    <w:p w14:paraId="4F74AB5E" w14:textId="77777777" w:rsidR="002434BA" w:rsidRPr="00821723" w:rsidRDefault="002434BA" w:rsidP="002434BA">
      <w:pPr>
        <w:tabs>
          <w:tab w:val="left" w:pos="709"/>
        </w:tabs>
        <w:spacing w:after="120" w:line="276" w:lineRule="auto"/>
        <w:ind w:firstLine="709"/>
        <w:jc w:val="both"/>
        <w:rPr>
          <w:rFonts w:ascii="Verdana" w:eastAsia="Calibri" w:hAnsi="Verdana" w:cs="Arial"/>
          <w:color w:val="000000" w:themeColor="text1"/>
        </w:rPr>
      </w:pPr>
      <w:r w:rsidRPr="00821723">
        <w:rPr>
          <w:rFonts w:ascii="Verdana" w:eastAsia="Calibri" w:hAnsi="Verdana" w:cs="Arial"/>
          <w:color w:val="000000" w:themeColor="text1"/>
        </w:rPr>
        <w:t>Además, el inciso primero del artículo 9 de la Ley 80 de 1993 establece una importante previsión en materia de cesión del contrato estatal, conforme a la cual “Si llegare a sobrevenir inhabilidad o incompatibilidad en el contratista, este cederá el contrato previa autorización escrita de la entidad contratante o, si ello no fuere posible, renunciará a su ejecución”. Además, en el inciso tercero del artículo citado impone una limitación a la cesión dentro del contrato estatal, que consiste en que, si la inhabilidad o incompatibilidad sobreviene a uno de los miembros del consorcio o unión temporal, “</w:t>
      </w:r>
      <w:r>
        <w:rPr>
          <w:rFonts w:ascii="Verdana" w:eastAsia="Calibri" w:hAnsi="Verdana" w:cs="Arial"/>
          <w:color w:val="000000" w:themeColor="text1"/>
        </w:rPr>
        <w:t xml:space="preserve">(…) </w:t>
      </w:r>
      <w:r w:rsidRPr="00821723">
        <w:rPr>
          <w:rFonts w:ascii="Verdana" w:eastAsia="Calibri" w:hAnsi="Verdana" w:cs="Arial"/>
          <w:color w:val="000000" w:themeColor="text1"/>
        </w:rPr>
        <w:t xml:space="preserve">este cederá su participación a un tercero previa autorización escrita de la entidad contratante </w:t>
      </w:r>
      <w:r>
        <w:rPr>
          <w:rFonts w:ascii="Verdana" w:eastAsia="Calibri" w:hAnsi="Verdana" w:cs="Arial"/>
          <w:color w:val="000000" w:themeColor="text1"/>
        </w:rPr>
        <w:t>(…)</w:t>
      </w:r>
      <w:r w:rsidRPr="00821723">
        <w:rPr>
          <w:rFonts w:ascii="Verdana" w:eastAsia="Calibri" w:hAnsi="Verdana" w:cs="Arial"/>
          <w:color w:val="000000" w:themeColor="text1"/>
        </w:rPr>
        <w:t>”, y establece que “</w:t>
      </w:r>
      <w:r>
        <w:rPr>
          <w:rFonts w:ascii="Verdana" w:eastAsia="Calibri" w:hAnsi="Verdana" w:cs="Arial"/>
          <w:color w:val="000000" w:themeColor="text1"/>
        </w:rPr>
        <w:t xml:space="preserve">(…) </w:t>
      </w:r>
      <w:r w:rsidRPr="00821723">
        <w:rPr>
          <w:rFonts w:ascii="Verdana" w:eastAsia="Calibri" w:hAnsi="Verdana" w:cs="Arial"/>
          <w:color w:val="000000" w:themeColor="text1"/>
        </w:rPr>
        <w:t xml:space="preserve">En ningún caso, podrá haber cesión del contrato entre quienes integran el consorcio o unión temporal”. </w:t>
      </w:r>
    </w:p>
    <w:p w14:paraId="49DF143B" w14:textId="77777777" w:rsidR="002434BA" w:rsidRPr="00821723" w:rsidRDefault="002434BA" w:rsidP="000104CD">
      <w:pPr>
        <w:spacing w:after="120" w:line="276" w:lineRule="auto"/>
        <w:ind w:right="51" w:firstLine="709"/>
        <w:jc w:val="both"/>
        <w:rPr>
          <w:rFonts w:ascii="Verdana" w:eastAsia="Calibri" w:hAnsi="Verdana" w:cs="Arial"/>
          <w:color w:val="000000" w:themeColor="text1"/>
        </w:rPr>
      </w:pPr>
      <w:bookmarkStart w:id="11" w:name="_Hlk79797430"/>
      <w:r w:rsidRPr="00821723">
        <w:rPr>
          <w:rFonts w:ascii="Verdana" w:eastAsia="Calibri" w:hAnsi="Verdana" w:cs="Arial"/>
          <w:color w:val="000000" w:themeColor="text1"/>
        </w:rPr>
        <w:t xml:space="preserve">En suma, la Ley 80 de 1993 no reguló en su integridad la cesión del contrato, como tampoco lo hizo el Código Civil en el que se consagra la figura de la cesión de créditos –arts. 1959 y ss.–. En cambio, </w:t>
      </w:r>
      <w:bookmarkStart w:id="12" w:name="_Hlk79799730"/>
      <w:r w:rsidRPr="00821723">
        <w:rPr>
          <w:rFonts w:ascii="Verdana" w:eastAsia="Calibri" w:hAnsi="Verdana" w:cs="Arial"/>
          <w:color w:val="000000" w:themeColor="text1"/>
        </w:rPr>
        <w:t xml:space="preserve">los artículos 887 a 896 </w:t>
      </w:r>
      <w:bookmarkEnd w:id="12"/>
      <w:r w:rsidRPr="00821723">
        <w:rPr>
          <w:rFonts w:ascii="Verdana" w:eastAsia="Calibri" w:hAnsi="Verdana" w:cs="Arial"/>
          <w:color w:val="000000" w:themeColor="text1"/>
        </w:rPr>
        <w:t xml:space="preserve">del Código de Comercio definen la cesión del contrato. Por consiguiente, resultan aplicables las normas del derecho civil y comercial pertinentes, sobre cesión del </w:t>
      </w:r>
      <w:r w:rsidRPr="00821723">
        <w:rPr>
          <w:rFonts w:ascii="Verdana" w:eastAsia="Calibri" w:hAnsi="Verdana" w:cs="Arial"/>
          <w:color w:val="000000" w:themeColor="text1"/>
        </w:rPr>
        <w:lastRenderedPageBreak/>
        <w:t>crédito y cesión de contratos respectivamente, salvo en las materias particularmente reguladas por el Estatuto General de Contratación de la Administración Pública, como lo señala el artículo 13 de la Ley 80 de 1993.</w:t>
      </w:r>
      <w:r w:rsidRPr="00821723">
        <w:rPr>
          <w:rFonts w:ascii="Verdana" w:hAnsi="Verdana" w:cs="Arial"/>
          <w:color w:val="000000" w:themeColor="text1"/>
        </w:rPr>
        <w:t xml:space="preserve"> </w:t>
      </w:r>
    </w:p>
    <w:bookmarkEnd w:id="11"/>
    <w:p w14:paraId="4B0C0EDD" w14:textId="45C3054B" w:rsidR="002434BA" w:rsidRDefault="002434BA" w:rsidP="000104CD">
      <w:pPr>
        <w:spacing w:after="120" w:line="276" w:lineRule="auto"/>
        <w:ind w:firstLine="708"/>
        <w:jc w:val="both"/>
        <w:rPr>
          <w:rFonts w:ascii="Verdana" w:hAnsi="Verdana" w:cs="Arial"/>
          <w:color w:val="000000" w:themeColor="text1"/>
        </w:rPr>
      </w:pPr>
      <w:r w:rsidRPr="00821723">
        <w:rPr>
          <w:rFonts w:ascii="Verdana" w:eastAsia="Calibri" w:hAnsi="Verdana" w:cs="Arial"/>
          <w:color w:val="000000" w:themeColor="text1"/>
        </w:rPr>
        <w:t xml:space="preserve">De conformidad con los requisitos y las restricciones explicadas </w:t>
      </w:r>
      <w:r w:rsidRPr="00821723">
        <w:rPr>
          <w:rFonts w:ascii="Verdana" w:eastAsia="Calibri" w:hAnsi="Verdana" w:cs="Arial"/>
          <w:i/>
          <w:iCs/>
          <w:color w:val="000000" w:themeColor="text1"/>
        </w:rPr>
        <w:t>ut supra</w:t>
      </w:r>
      <w:r w:rsidRPr="00821723">
        <w:rPr>
          <w:rFonts w:ascii="Verdana" w:eastAsia="Calibri" w:hAnsi="Verdana" w:cs="Arial"/>
          <w:color w:val="000000" w:themeColor="text1"/>
        </w:rPr>
        <w:t>, en los contratos estatales cuya ejecución aún no haya sido cumplida en todo o en parte, el contratista podrá hacerse sustituir por un tercero en la relación derivada del contrato, quien en adelante ocupará su posición jurídica.</w:t>
      </w:r>
      <w:r w:rsidRPr="00821723">
        <w:rPr>
          <w:rFonts w:ascii="Verdana" w:hAnsi="Verdana" w:cs="Arial"/>
          <w:color w:val="000000" w:themeColor="text1"/>
        </w:rPr>
        <w:t xml:space="preserve"> Es una de las posibilidades en las cuales existe una modificación de uno de los extremos de la relación contractual, es decir de uno de los sujetos, siempre que sea autorizada previamente por la entidad cedida, en cuyo caso requiere la suscripción de un contrato entre el cedente y el cesionario, de manera que es de carácter bilateral en la medida en que es el resultado de un acuerdo voluntades. Con fundamento en el contrato de cesión, el cesionario reemplaza –en todo o en parte– al contratista cedente en la ejecución del contrato estatal, respondiendo por el cumplimiento de las obligaciones frente a la Administración.</w:t>
      </w:r>
    </w:p>
    <w:p w14:paraId="14923A15" w14:textId="722DEB3C" w:rsidR="002434BA" w:rsidRDefault="002434BA" w:rsidP="003E2260">
      <w:pPr>
        <w:spacing w:after="0" w:line="276" w:lineRule="auto"/>
        <w:ind w:firstLine="720"/>
        <w:jc w:val="both"/>
        <w:rPr>
          <w:rFonts w:ascii="Verdana" w:eastAsia="Calibri" w:hAnsi="Verdana" w:cs="Arial"/>
          <w:bCs/>
          <w:color w:val="000000" w:themeColor="text1"/>
          <w:lang w:val="es-ES"/>
        </w:rPr>
      </w:pPr>
      <w:r w:rsidRPr="00821723">
        <w:rPr>
          <w:rFonts w:ascii="Verdana" w:hAnsi="Verdana" w:cs="Arial"/>
          <w:lang w:val="es-ES_tradnl"/>
        </w:rPr>
        <w:t xml:space="preserve">Si bien las personas pueden presentarse individualmente a los procesos de selección, también pueden hacerlo en forma plural a través de consorcios o uniones temporales. En efecto, </w:t>
      </w:r>
      <w:r w:rsidRPr="00821723">
        <w:rPr>
          <w:rFonts w:ascii="Verdana" w:eastAsia="Calibri" w:hAnsi="Verdana" w:cs="Arial"/>
          <w:lang w:val="es-MX"/>
        </w:rPr>
        <w:t xml:space="preserve">de acuerdo con el Código Civil, la capacidad se refiere a la facultad que la ley le confiere a la persona para ejercer derechos y contraer obligaciones. Esta norma parte del supuesto de que todas las personas naturales mayores de edad son capaces, con excepción de aquellas que la ley expresamente excluye de esta presunción –artículos 1502, 1503 y 1504–, y de que la capacidad de las personas jurídicas se circunscribe a su objeto social –artículo 99 del Código de Comercio–. Al respecto, el artículo 6 de la Ley 80 de 1993 –modificado por el artículo 1 de la Ley 2160 de 2021– dispone que: “Pueden celebrar contratos con las entidades estatales las personas consideradas legalmente capaces en las disposiciones vigentes. También podrán celebrar contratos con las entidades estatales </w:t>
      </w:r>
      <w:r>
        <w:rPr>
          <w:rFonts w:ascii="Verdana" w:eastAsia="Calibri" w:hAnsi="Verdana" w:cs="Arial"/>
          <w:lang w:val="es-MX"/>
        </w:rPr>
        <w:t xml:space="preserve">(…) </w:t>
      </w:r>
      <w:r w:rsidRPr="00821723">
        <w:rPr>
          <w:rFonts w:ascii="Verdana" w:eastAsia="Calibri" w:hAnsi="Verdana" w:cs="Arial"/>
          <w:lang w:val="es-MX"/>
        </w:rPr>
        <w:t>los consorcios y uniones temporales”.</w:t>
      </w:r>
    </w:p>
    <w:p w14:paraId="2C00B784" w14:textId="77777777" w:rsidR="000104CD" w:rsidRDefault="000104CD" w:rsidP="000104CD">
      <w:pPr>
        <w:spacing w:after="0" w:line="240" w:lineRule="auto"/>
        <w:ind w:firstLine="720"/>
        <w:jc w:val="both"/>
        <w:rPr>
          <w:rFonts w:ascii="Verdana" w:eastAsia="Calibri" w:hAnsi="Verdana" w:cs="Arial"/>
          <w:bCs/>
          <w:color w:val="000000" w:themeColor="text1"/>
          <w:lang w:val="es-ES"/>
        </w:rPr>
      </w:pPr>
    </w:p>
    <w:p w14:paraId="48CAECAE" w14:textId="7AA1CB49" w:rsidR="002434BA" w:rsidRPr="00821723" w:rsidRDefault="002434BA" w:rsidP="002434BA">
      <w:pPr>
        <w:spacing w:after="0" w:line="276" w:lineRule="auto"/>
        <w:ind w:firstLine="720"/>
        <w:jc w:val="both"/>
        <w:rPr>
          <w:rFonts w:ascii="Verdana" w:eastAsia="Calibri" w:hAnsi="Verdana" w:cs="Arial"/>
          <w:bCs/>
          <w:color w:val="000000" w:themeColor="text1"/>
          <w:lang w:val="es-ES"/>
        </w:rPr>
      </w:pPr>
      <w:r w:rsidRPr="00821723">
        <w:rPr>
          <w:rFonts w:ascii="Verdana" w:eastAsia="Calibri" w:hAnsi="Verdana" w:cs="Arial"/>
          <w:bCs/>
          <w:color w:val="000000" w:themeColor="text1"/>
          <w:lang w:val="es-ES"/>
        </w:rPr>
        <w:t xml:space="preserve">La capacidad para contratar, e incluso la de realizar actos jurídicamente vinculantes como la presentación de una oferta en un procedimiento de selección de contratistas, se consideró por mucho tiempo uno de los atributos de la personalidad reservado, en tanto tal, a las personas jurídicas y naturales. No obstante, el progreso en las formas negociales y asociativas hizo necesario reconocer nuevas estructuras plurales y otorgarles ciertos atributos que </w:t>
      </w:r>
      <w:r w:rsidRPr="00821723">
        <w:rPr>
          <w:rFonts w:ascii="Verdana" w:eastAsia="Calibri" w:hAnsi="Verdana" w:cs="Arial"/>
          <w:bCs/>
          <w:color w:val="000000" w:themeColor="text1"/>
          <w:lang w:val="es-ES"/>
        </w:rPr>
        <w:lastRenderedPageBreak/>
        <w:t>tradicionalmente habían estado reservados a las personas jurídicas. Tal es precisamente el caso de la capacidad para contratar otorgada a los consorcios y uniones temporales. En este sentido, la Corte Constitucional ha sostenido:</w:t>
      </w:r>
    </w:p>
    <w:p w14:paraId="2BE699C4" w14:textId="77777777" w:rsidR="002434BA" w:rsidRPr="00821723" w:rsidRDefault="002434BA" w:rsidP="002434BA">
      <w:pPr>
        <w:spacing w:after="0" w:line="240" w:lineRule="auto"/>
        <w:jc w:val="both"/>
        <w:rPr>
          <w:rFonts w:ascii="Verdana" w:eastAsia="Calibri" w:hAnsi="Verdana" w:cs="Arial"/>
          <w:bCs/>
          <w:color w:val="000000" w:themeColor="text1"/>
          <w:lang w:val="es-ES"/>
        </w:rPr>
      </w:pPr>
    </w:p>
    <w:p w14:paraId="48A5C3C7" w14:textId="77777777" w:rsidR="002434BA" w:rsidRPr="00821723" w:rsidRDefault="002434BA" w:rsidP="002434BA">
      <w:pPr>
        <w:spacing w:after="0" w:line="240" w:lineRule="auto"/>
        <w:ind w:left="709" w:right="709"/>
        <w:jc w:val="both"/>
        <w:rPr>
          <w:rFonts w:ascii="Verdana" w:eastAsia="Calibri" w:hAnsi="Verdana" w:cs="Arial"/>
          <w:bCs/>
          <w:color w:val="000000" w:themeColor="text1"/>
          <w:sz w:val="20"/>
          <w:szCs w:val="20"/>
        </w:rPr>
      </w:pPr>
      <w:r w:rsidRPr="00821723">
        <w:rPr>
          <w:rFonts w:ascii="Verdana" w:eastAsia="Calibri" w:hAnsi="Verdana" w:cs="Arial"/>
          <w:bCs/>
          <w:color w:val="000000" w:themeColor="text1"/>
          <w:sz w:val="20"/>
          <w:szCs w:val="20"/>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1A547F63" w14:textId="77777777" w:rsidR="002434BA" w:rsidRDefault="002434BA" w:rsidP="002434BA">
      <w:pPr>
        <w:spacing w:after="0" w:line="240" w:lineRule="auto"/>
        <w:ind w:left="709" w:right="709"/>
        <w:jc w:val="both"/>
        <w:rPr>
          <w:rFonts w:ascii="Verdana" w:eastAsia="Calibri" w:hAnsi="Verdana" w:cs="Arial"/>
          <w:bCs/>
          <w:color w:val="000000" w:themeColor="text1"/>
          <w:sz w:val="20"/>
          <w:szCs w:val="20"/>
        </w:rPr>
      </w:pPr>
    </w:p>
    <w:p w14:paraId="36A7C77E" w14:textId="77777777" w:rsidR="002434BA" w:rsidRPr="00821723" w:rsidRDefault="002434BA" w:rsidP="002434BA">
      <w:pPr>
        <w:spacing w:after="120" w:line="240" w:lineRule="auto"/>
        <w:ind w:left="709" w:right="709"/>
        <w:jc w:val="both"/>
        <w:rPr>
          <w:rFonts w:ascii="Verdana" w:eastAsia="Calibri" w:hAnsi="Verdana" w:cs="Arial"/>
          <w:bCs/>
          <w:color w:val="000000" w:themeColor="text1"/>
          <w:sz w:val="20"/>
          <w:szCs w:val="20"/>
        </w:rPr>
      </w:pPr>
      <w:r w:rsidRPr="00821723">
        <w:rPr>
          <w:rFonts w:ascii="Verdana" w:eastAsia="Calibri" w:hAnsi="Verdana" w:cs="Arial"/>
          <w:bCs/>
          <w:color w:val="000000" w:themeColor="text1"/>
          <w:sz w:val="20"/>
          <w:szCs w:val="20"/>
        </w:rPr>
        <w:t>[…]</w:t>
      </w:r>
    </w:p>
    <w:p w14:paraId="5D9CEE09" w14:textId="77777777" w:rsidR="002434BA" w:rsidRPr="00821723" w:rsidRDefault="002434BA" w:rsidP="002434BA">
      <w:pPr>
        <w:spacing w:after="0" w:line="240" w:lineRule="auto"/>
        <w:ind w:left="709" w:right="709"/>
        <w:jc w:val="both"/>
        <w:rPr>
          <w:rFonts w:ascii="Verdana" w:eastAsia="Calibri" w:hAnsi="Verdana" w:cs="Arial"/>
          <w:bCs/>
          <w:color w:val="000000" w:themeColor="text1"/>
          <w:sz w:val="20"/>
          <w:szCs w:val="20"/>
        </w:rPr>
      </w:pPr>
      <w:r w:rsidRPr="00821723">
        <w:rPr>
          <w:rFonts w:ascii="Verdana" w:eastAsia="Calibri" w:hAnsi="Verdana" w:cs="Arial"/>
          <w:bCs/>
          <w:color w:val="000000" w:themeColor="text1"/>
          <w:sz w:val="20"/>
          <w:szCs w:val="20"/>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821723">
        <w:rPr>
          <w:rStyle w:val="Refdenotaalpie"/>
          <w:rFonts w:ascii="Verdana" w:eastAsia="Calibri" w:hAnsi="Verdana" w:cs="Arial"/>
          <w:bCs/>
          <w:color w:val="000000" w:themeColor="text1"/>
          <w:sz w:val="20"/>
          <w:szCs w:val="20"/>
        </w:rPr>
        <w:footnoteReference w:id="29"/>
      </w:r>
      <w:r w:rsidRPr="00821723">
        <w:rPr>
          <w:rFonts w:ascii="Verdana" w:eastAsia="Calibri" w:hAnsi="Verdana" w:cs="Arial"/>
          <w:bCs/>
          <w:color w:val="000000" w:themeColor="text1"/>
          <w:sz w:val="20"/>
          <w:szCs w:val="20"/>
        </w:rPr>
        <w:t>.</w:t>
      </w:r>
    </w:p>
    <w:p w14:paraId="6864B120" w14:textId="77777777" w:rsidR="002434BA" w:rsidRPr="00821723" w:rsidRDefault="002434BA" w:rsidP="002434BA">
      <w:pPr>
        <w:spacing w:after="0" w:line="240" w:lineRule="auto"/>
        <w:ind w:left="720" w:right="731"/>
        <w:jc w:val="both"/>
        <w:rPr>
          <w:rFonts w:ascii="Verdana" w:eastAsia="Calibri" w:hAnsi="Verdana" w:cs="Arial"/>
          <w:bCs/>
          <w:color w:val="000000" w:themeColor="text1"/>
        </w:rPr>
      </w:pPr>
    </w:p>
    <w:p w14:paraId="79EBFB01" w14:textId="77777777" w:rsidR="002434BA" w:rsidRPr="00821723" w:rsidRDefault="002434BA" w:rsidP="002434BA">
      <w:pPr>
        <w:spacing w:after="120" w:line="276" w:lineRule="auto"/>
        <w:ind w:firstLine="720"/>
        <w:jc w:val="both"/>
        <w:rPr>
          <w:rFonts w:ascii="Verdana" w:eastAsia="Calibri" w:hAnsi="Verdana" w:cs="Arial"/>
          <w:bCs/>
          <w:color w:val="000000" w:themeColor="text1"/>
          <w:lang w:val="es-ES"/>
        </w:rPr>
      </w:pPr>
      <w:bookmarkStart w:id="13" w:name="_Hlk135067740"/>
      <w:r w:rsidRPr="00821723">
        <w:rPr>
          <w:rFonts w:ascii="Verdana" w:eastAsia="Calibri" w:hAnsi="Verdana" w:cs="Arial"/>
          <w:bCs/>
          <w:color w:val="000000" w:themeColor="text1"/>
          <w:lang w:val="es-ES"/>
        </w:rPr>
        <w:t>La Corte Constitucional destaca, de un lado, que las estructuras plurales son el reconocimiento de una realidad negocial en materia de contratación estatal, y del otro, que esta colaboración económica entre sujetos de derecho permite la materialización de los fines del estado, al facilitar la efectiva ejecución de los contratos. Adicionalmente, puntualiza que la capacidad contractual de los consorcios y uniones temporales se reconoce sin necesidad de exigirles como condición de su ejercicio que sean personas morales lo que, hasta cierto punto, podría considerarse una evolución en la teoría de la personalidad jurídica.</w:t>
      </w:r>
    </w:p>
    <w:bookmarkEnd w:id="13"/>
    <w:p w14:paraId="173BEED9" w14:textId="39EF247F" w:rsidR="002434BA" w:rsidRPr="000104CD" w:rsidRDefault="002434BA" w:rsidP="000104CD">
      <w:pPr>
        <w:spacing w:after="0" w:line="276" w:lineRule="auto"/>
        <w:ind w:firstLine="709"/>
        <w:jc w:val="both"/>
        <w:rPr>
          <w:rFonts w:ascii="Verdana" w:hAnsi="Verdana" w:cs="Arial"/>
        </w:rPr>
      </w:pPr>
      <w:r w:rsidRPr="00821723">
        <w:rPr>
          <w:rFonts w:ascii="Verdana" w:hAnsi="Verdana" w:cs="Arial"/>
        </w:rPr>
        <w:t xml:space="preserve">Debido a que los consorcios y las uniones temporales no son personas jurídicas, su creación depende de un acuerdo en el que concurre la voluntad de sus integrantes para regular su objeto, la participación de los miembros, las </w:t>
      </w:r>
      <w:r w:rsidRPr="00821723">
        <w:rPr>
          <w:rFonts w:ascii="Verdana" w:hAnsi="Verdana" w:cs="Arial"/>
        </w:rPr>
        <w:lastRenderedPageBreak/>
        <w:t>obligaciones frente al proyecto, su responsabilidad, la forma en que regirán sus relaciones internas y el relacionamiento con la entidad contratante, mediante la designación de un representante, de conformidad con el parágrafo 1 del artículo 7 de la Ley 80 de 1993. En lo pertinente, la norma precitada dispone que:</w:t>
      </w:r>
    </w:p>
    <w:p w14:paraId="14CD8B4C" w14:textId="77777777" w:rsidR="00430628" w:rsidRDefault="00430628" w:rsidP="002434BA">
      <w:pPr>
        <w:spacing w:after="0" w:line="240" w:lineRule="auto"/>
        <w:ind w:left="709" w:right="709"/>
        <w:jc w:val="both"/>
        <w:rPr>
          <w:rFonts w:ascii="Verdana" w:eastAsia="Calibri" w:hAnsi="Verdana" w:cs="Arial"/>
          <w:bCs/>
          <w:color w:val="000000" w:themeColor="text1"/>
          <w:sz w:val="20"/>
          <w:szCs w:val="20"/>
          <w:lang w:val="es-ES"/>
        </w:rPr>
      </w:pPr>
    </w:p>
    <w:p w14:paraId="7146A71D" w14:textId="431842F5" w:rsidR="002434BA" w:rsidRPr="00821723" w:rsidRDefault="002434BA" w:rsidP="002434BA">
      <w:pPr>
        <w:spacing w:after="0" w:line="240" w:lineRule="auto"/>
        <w:ind w:left="709" w:right="709"/>
        <w:jc w:val="both"/>
        <w:rPr>
          <w:rFonts w:ascii="Verdana" w:eastAsia="Calibri" w:hAnsi="Verdana" w:cs="Arial"/>
          <w:bCs/>
          <w:color w:val="000000" w:themeColor="text1"/>
          <w:sz w:val="20"/>
          <w:szCs w:val="20"/>
          <w:lang w:val="es-ES"/>
        </w:rPr>
      </w:pPr>
      <w:r w:rsidRPr="00821723">
        <w:rPr>
          <w:rFonts w:ascii="Verdana" w:eastAsia="Calibri" w:hAnsi="Verdana" w:cs="Arial"/>
          <w:bCs/>
          <w:color w:val="000000" w:themeColor="text1"/>
          <w:sz w:val="20"/>
          <w:szCs w:val="20"/>
          <w:lang w:val="es-ES"/>
        </w:rPr>
        <w:t>“Artículo 7º.- ENTIDADES A CONTRATAR. Artículo modificado por el artículo 3 de la Ley 2160 de 2021. Para los efectos de esta Ley se entiende por:</w:t>
      </w:r>
    </w:p>
    <w:p w14:paraId="3E85EAC9" w14:textId="77777777" w:rsidR="002434BA" w:rsidRPr="00821723" w:rsidRDefault="002434BA" w:rsidP="002434BA">
      <w:pPr>
        <w:spacing w:after="120" w:line="240" w:lineRule="auto"/>
        <w:ind w:left="709" w:right="709"/>
        <w:jc w:val="both"/>
        <w:rPr>
          <w:rFonts w:ascii="Verdana" w:eastAsia="Calibri" w:hAnsi="Verdana" w:cs="Arial"/>
          <w:bCs/>
          <w:color w:val="000000" w:themeColor="text1"/>
          <w:sz w:val="20"/>
          <w:szCs w:val="20"/>
          <w:lang w:val="es-ES"/>
        </w:rPr>
      </w:pPr>
      <w:r w:rsidRPr="00821723">
        <w:rPr>
          <w:rFonts w:ascii="Verdana" w:eastAsia="Calibri" w:hAnsi="Verdana" w:cs="Arial"/>
          <w:bCs/>
          <w:color w:val="000000" w:themeColor="text1"/>
          <w:sz w:val="20"/>
          <w:szCs w:val="20"/>
          <w:lang w:val="es-ES"/>
        </w:rPr>
        <w:t>[…]</w:t>
      </w:r>
    </w:p>
    <w:p w14:paraId="328D068C" w14:textId="77777777" w:rsidR="002434BA" w:rsidRPr="00821723" w:rsidRDefault="002434BA" w:rsidP="002434BA">
      <w:pPr>
        <w:spacing w:after="120" w:line="240" w:lineRule="auto"/>
        <w:ind w:left="709" w:right="709"/>
        <w:jc w:val="both"/>
        <w:rPr>
          <w:rFonts w:ascii="Verdana" w:eastAsia="Calibri" w:hAnsi="Verdana" w:cs="Arial"/>
          <w:bCs/>
          <w:color w:val="000000" w:themeColor="text1"/>
          <w:sz w:val="20"/>
          <w:szCs w:val="20"/>
          <w:lang w:val="es-ES"/>
        </w:rPr>
      </w:pPr>
      <w:r w:rsidRPr="00821723">
        <w:rPr>
          <w:rFonts w:ascii="Verdana" w:eastAsia="Calibri" w:hAnsi="Verdana" w:cs="Arial"/>
          <w:bCs/>
          <w:color w:val="000000" w:themeColor="text1"/>
          <w:sz w:val="20"/>
          <w:szCs w:val="20"/>
          <w:lang w:val="es-ES"/>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6741076B" w14:textId="77777777" w:rsidR="002434BA" w:rsidRPr="00821723" w:rsidRDefault="002434BA" w:rsidP="002434BA">
      <w:pPr>
        <w:spacing w:after="0" w:line="240" w:lineRule="auto"/>
        <w:ind w:left="709" w:right="709"/>
        <w:jc w:val="both"/>
        <w:rPr>
          <w:rFonts w:ascii="Verdana" w:eastAsia="Calibri" w:hAnsi="Verdana" w:cs="Arial"/>
          <w:bCs/>
          <w:color w:val="000000" w:themeColor="text1"/>
          <w:sz w:val="20"/>
          <w:szCs w:val="20"/>
          <w:lang w:val="es-ES"/>
        </w:rPr>
      </w:pPr>
      <w:r w:rsidRPr="00821723">
        <w:rPr>
          <w:rFonts w:ascii="Verdana" w:eastAsia="Calibri" w:hAnsi="Verdana" w:cs="Arial"/>
          <w:bCs/>
          <w:color w:val="000000" w:themeColor="text1"/>
          <w:sz w:val="20"/>
          <w:szCs w:val="20"/>
          <w:lang w:val="es-ES"/>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44C6768D" w14:textId="77777777" w:rsidR="002434BA" w:rsidRDefault="002434BA" w:rsidP="002434BA">
      <w:pPr>
        <w:spacing w:after="120" w:line="240" w:lineRule="auto"/>
        <w:ind w:left="709" w:right="709"/>
        <w:jc w:val="both"/>
        <w:rPr>
          <w:rFonts w:ascii="Verdana" w:eastAsia="Calibri" w:hAnsi="Verdana" w:cs="Arial"/>
          <w:lang w:val="es-MX"/>
        </w:rPr>
      </w:pPr>
      <w:r>
        <w:rPr>
          <w:rFonts w:ascii="Verdana" w:eastAsia="Calibri" w:hAnsi="Verdana" w:cs="Arial"/>
          <w:lang w:val="es-MX"/>
        </w:rPr>
        <w:t>(…)</w:t>
      </w:r>
    </w:p>
    <w:p w14:paraId="0CBEE188" w14:textId="77777777" w:rsidR="002434BA" w:rsidRPr="00821723" w:rsidRDefault="002434BA" w:rsidP="002434BA">
      <w:pPr>
        <w:spacing w:after="120" w:line="240" w:lineRule="auto"/>
        <w:ind w:left="709" w:right="709"/>
        <w:jc w:val="both"/>
        <w:rPr>
          <w:rFonts w:ascii="Verdana" w:eastAsia="Calibri" w:hAnsi="Verdana" w:cs="Arial"/>
          <w:bCs/>
          <w:color w:val="000000" w:themeColor="text1"/>
          <w:sz w:val="20"/>
          <w:szCs w:val="20"/>
          <w:lang w:val="es-ES"/>
        </w:rPr>
      </w:pPr>
      <w:r w:rsidRPr="00821723">
        <w:rPr>
          <w:rFonts w:ascii="Verdana" w:eastAsia="Calibri" w:hAnsi="Verdana" w:cs="Arial"/>
          <w:bCs/>
          <w:color w:val="000000" w:themeColor="text1"/>
          <w:sz w:val="20"/>
          <w:szCs w:val="20"/>
          <w:lang w:val="es-ES"/>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11DEDDE0" w14:textId="77777777" w:rsidR="002434BA" w:rsidRDefault="002434BA" w:rsidP="002434BA">
      <w:pPr>
        <w:spacing w:after="0" w:line="240" w:lineRule="auto"/>
        <w:ind w:left="709" w:right="709"/>
        <w:jc w:val="both"/>
        <w:rPr>
          <w:rFonts w:ascii="Verdana" w:eastAsia="Calibri" w:hAnsi="Verdana" w:cs="Arial"/>
          <w:lang w:val="es-MX"/>
        </w:rPr>
      </w:pPr>
      <w:r w:rsidRPr="00821723">
        <w:rPr>
          <w:rFonts w:ascii="Verdana" w:eastAsia="Calibri" w:hAnsi="Verdana" w:cs="Arial"/>
          <w:bCs/>
          <w:color w:val="000000" w:themeColor="text1"/>
          <w:sz w:val="20"/>
          <w:szCs w:val="20"/>
          <w:lang w:val="es-ES"/>
        </w:rPr>
        <w:t>Los miembros del consorcio y de la unión temporal deberán designar la persona que, para todos los efectos, representará al consorcio o unión temporal y señalarán las reglas básicas que regulen las relaciones entre ellos y su responsabilidad</w:t>
      </w:r>
      <w:r>
        <w:rPr>
          <w:rFonts w:ascii="Verdana" w:eastAsia="Calibri" w:hAnsi="Verdana" w:cs="Arial"/>
          <w:bCs/>
          <w:color w:val="000000" w:themeColor="text1"/>
          <w:sz w:val="20"/>
          <w:szCs w:val="20"/>
          <w:lang w:val="es-ES"/>
        </w:rPr>
        <w:t xml:space="preserve"> </w:t>
      </w:r>
      <w:r>
        <w:rPr>
          <w:rFonts w:ascii="Verdana" w:eastAsia="Calibri" w:hAnsi="Verdana" w:cs="Arial"/>
          <w:lang w:val="es-MX"/>
        </w:rPr>
        <w:t>(…)”.</w:t>
      </w:r>
    </w:p>
    <w:p w14:paraId="2DF28815" w14:textId="77777777" w:rsidR="002434BA" w:rsidRPr="000104CD" w:rsidRDefault="002434BA" w:rsidP="000104CD">
      <w:pPr>
        <w:spacing w:after="0" w:line="276" w:lineRule="auto"/>
        <w:ind w:left="709" w:right="709"/>
        <w:jc w:val="both"/>
        <w:rPr>
          <w:rFonts w:ascii="Verdana" w:eastAsia="Calibri" w:hAnsi="Verdana" w:cs="Arial"/>
          <w:color w:val="000000" w:themeColor="text1"/>
          <w:lang w:val="es-ES"/>
        </w:rPr>
      </w:pPr>
    </w:p>
    <w:p w14:paraId="4C5B5FD3" w14:textId="77777777" w:rsidR="002434BA" w:rsidRPr="00821723" w:rsidRDefault="002434BA" w:rsidP="002434BA">
      <w:pPr>
        <w:spacing w:after="120" w:line="276" w:lineRule="auto"/>
        <w:jc w:val="both"/>
        <w:rPr>
          <w:rFonts w:ascii="Verdana" w:hAnsi="Verdana" w:cs="Arial"/>
          <w:color w:val="000000" w:themeColor="text1"/>
        </w:rPr>
      </w:pPr>
      <w:r w:rsidRPr="00821723">
        <w:rPr>
          <w:rFonts w:ascii="Verdana" w:eastAsia="Calibri" w:hAnsi="Verdana" w:cs="Arial"/>
          <w:bCs/>
          <w:color w:val="000000" w:themeColor="text1"/>
          <w:lang w:val="es-ES"/>
        </w:rPr>
        <w:tab/>
        <w:t xml:space="preserve">Como se observa, el artículo citado señala que el consorcio o la unión temporal se da “Cuando dos o más personas en forma conjunta presentan una misma propuesta para la adjudicación, celebración y ejecución de un contrato </w:t>
      </w:r>
      <w:r>
        <w:rPr>
          <w:rFonts w:ascii="Verdana" w:eastAsia="Calibri" w:hAnsi="Verdana" w:cs="Arial"/>
          <w:lang w:val="es-MX"/>
        </w:rPr>
        <w:t>(…)</w:t>
      </w:r>
      <w:r w:rsidRPr="00821723">
        <w:rPr>
          <w:rFonts w:ascii="Verdana" w:eastAsia="Calibri" w:hAnsi="Verdana" w:cs="Arial"/>
          <w:bCs/>
          <w:color w:val="000000" w:themeColor="text1"/>
          <w:lang w:val="es-ES"/>
        </w:rPr>
        <w:t>”.</w:t>
      </w:r>
      <w:r w:rsidRPr="00821723">
        <w:rPr>
          <w:rFonts w:ascii="Verdana" w:hAnsi="Verdana" w:cs="Arial"/>
          <w:color w:val="000000" w:themeColor="text1"/>
        </w:rPr>
        <w:t xml:space="preserve"> Desde esta perspectiva, su capacidad para participar en la adjudicación, celebración y ejecución de los contratos estatales depende de que los integrantes de la estructura plural adopten la decisión conjunta de presentar una misma </w:t>
      </w:r>
      <w:r w:rsidRPr="00821723">
        <w:rPr>
          <w:rFonts w:ascii="Verdana" w:hAnsi="Verdana" w:cs="Arial"/>
          <w:color w:val="000000" w:themeColor="text1"/>
        </w:rPr>
        <w:lastRenderedPageBreak/>
        <w:t xml:space="preserve">propuesta al proceso de selección. Como existe una relación de medio – fin, sin la entrega de la oferta no surge la habilitación legal para todo lo demás. </w:t>
      </w:r>
    </w:p>
    <w:p w14:paraId="68780574" w14:textId="77777777" w:rsidR="002434BA" w:rsidRPr="00821723" w:rsidRDefault="002434BA" w:rsidP="002434BA">
      <w:pPr>
        <w:spacing w:after="120" w:line="276" w:lineRule="auto"/>
        <w:jc w:val="both"/>
        <w:rPr>
          <w:rFonts w:ascii="Verdana" w:hAnsi="Verdana" w:cs="Arial"/>
          <w:color w:val="000000" w:themeColor="text1"/>
        </w:rPr>
      </w:pPr>
      <w:r w:rsidRPr="00821723">
        <w:rPr>
          <w:rFonts w:ascii="Verdana" w:hAnsi="Verdana" w:cs="Arial"/>
          <w:color w:val="000000" w:themeColor="text1"/>
        </w:rPr>
        <w:tab/>
        <w:t xml:space="preserve">De esta manera,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5F76313E" w14:textId="77777777" w:rsidR="002434BA" w:rsidRPr="00821723" w:rsidRDefault="002434BA" w:rsidP="002434BA">
      <w:pPr>
        <w:spacing w:after="0" w:line="276" w:lineRule="auto"/>
        <w:jc w:val="both"/>
        <w:rPr>
          <w:rFonts w:ascii="Verdana" w:hAnsi="Verdana" w:cs="Arial"/>
          <w:color w:val="000000" w:themeColor="text1"/>
        </w:rPr>
      </w:pPr>
      <w:r w:rsidRPr="00821723">
        <w:rPr>
          <w:rFonts w:ascii="Verdana" w:hAnsi="Verdana" w:cs="Arial"/>
          <w:color w:val="000000" w:themeColor="text1"/>
        </w:rPr>
        <w:tab/>
        <w:t>La capacidad jurídica de lo</w:t>
      </w:r>
      <w:r>
        <w:rPr>
          <w:rFonts w:ascii="Verdana" w:hAnsi="Verdana" w:cs="Arial"/>
          <w:color w:val="000000" w:themeColor="text1"/>
        </w:rPr>
        <w:t>s</w:t>
      </w:r>
      <w:r w:rsidRPr="00821723">
        <w:rPr>
          <w:rFonts w:ascii="Verdana" w:hAnsi="Verdana" w:cs="Arial"/>
          <w:color w:val="000000" w:themeColor="text1"/>
        </w:rPr>
        <w:t xml:space="preserve"> proponentes plurales se limita al campo de la contratación estatal de las entidades sometidas al EGCAP, es decir, a las relaciones en consorcios y las uniones temporales con las entidades estatales del artículo 2 de la Ley 80 de 1993. Esta precisión es importante, porque la habilitación de los numerales 6 y 7 del artículo 7 </w:t>
      </w:r>
      <w:r w:rsidRPr="00821723">
        <w:rPr>
          <w:rFonts w:ascii="Verdana" w:hAnsi="Verdana" w:cs="Arial"/>
          <w:i/>
          <w:iCs/>
          <w:color w:val="000000" w:themeColor="text1"/>
        </w:rPr>
        <w:t>ibidem</w:t>
      </w:r>
      <w:r w:rsidRPr="00821723">
        <w:rPr>
          <w:rFonts w:ascii="Verdana" w:hAnsi="Verdana" w:cs="Arial"/>
          <w:color w:val="000000" w:themeColor="text1"/>
        </w:rPr>
        <w:t xml:space="preserve"> no les otorgan capacidad respecto a las relaciones entre particulares, como las que surgen entre el cedente y el cesionario del contrato. Como este último debe ser un tercero, es indispensable la personalidad jurídica. Como explica la doctrina, </w:t>
      </w:r>
    </w:p>
    <w:p w14:paraId="544C0C43" w14:textId="77777777" w:rsidR="002434BA" w:rsidRPr="00821723" w:rsidRDefault="002434BA" w:rsidP="002434BA">
      <w:pPr>
        <w:spacing w:after="0" w:line="240" w:lineRule="auto"/>
        <w:jc w:val="both"/>
        <w:rPr>
          <w:rFonts w:ascii="Verdana" w:hAnsi="Verdana" w:cs="Arial"/>
          <w:color w:val="000000" w:themeColor="text1"/>
        </w:rPr>
      </w:pPr>
    </w:p>
    <w:p w14:paraId="047F4008" w14:textId="77777777" w:rsidR="002434BA" w:rsidRPr="00862487" w:rsidRDefault="002434BA" w:rsidP="002434BA">
      <w:pPr>
        <w:spacing w:after="0" w:line="240" w:lineRule="auto"/>
        <w:ind w:left="709" w:right="709"/>
        <w:jc w:val="both"/>
        <w:rPr>
          <w:rFonts w:ascii="Verdana" w:hAnsi="Verdana" w:cs="Arial"/>
          <w:color w:val="000000" w:themeColor="text1"/>
          <w:sz w:val="20"/>
          <w:szCs w:val="20"/>
        </w:rPr>
      </w:pPr>
      <w:r w:rsidRPr="00862487">
        <w:rPr>
          <w:rFonts w:ascii="Verdana" w:hAnsi="Verdana" w:cs="Arial"/>
          <w:color w:val="000000" w:themeColor="text1"/>
          <w:sz w:val="20"/>
          <w:szCs w:val="20"/>
        </w:rPr>
        <w:t xml:space="preserve">“El concepto de ‘tercero’, respecto de la condición que debe reunir el cesionario, puede tener dos sentidos: uno </w:t>
      </w:r>
      <w:r w:rsidRPr="00862487">
        <w:rPr>
          <w:rFonts w:ascii="Verdana" w:hAnsi="Verdana" w:cs="Arial"/>
          <w:i/>
          <w:iCs/>
          <w:color w:val="000000" w:themeColor="text1"/>
          <w:sz w:val="20"/>
          <w:szCs w:val="20"/>
        </w:rPr>
        <w:t>subjetivo</w:t>
      </w:r>
      <w:r w:rsidRPr="00862487">
        <w:rPr>
          <w:rFonts w:ascii="Verdana" w:hAnsi="Verdana" w:cs="Arial"/>
          <w:color w:val="000000" w:themeColor="text1"/>
          <w:sz w:val="20"/>
          <w:szCs w:val="20"/>
        </w:rPr>
        <w:t xml:space="preserve">, en virtud del cual tiene tal cualidad cualquier </w:t>
      </w:r>
      <w:r w:rsidRPr="00862487">
        <w:rPr>
          <w:rFonts w:ascii="Verdana" w:hAnsi="Verdana" w:cs="Arial"/>
          <w:b/>
          <w:bCs/>
          <w:color w:val="000000" w:themeColor="text1"/>
          <w:sz w:val="20"/>
          <w:szCs w:val="20"/>
        </w:rPr>
        <w:t>persona</w:t>
      </w:r>
      <w:r w:rsidRPr="00862487">
        <w:rPr>
          <w:rFonts w:ascii="Verdana" w:hAnsi="Verdana" w:cs="Arial"/>
          <w:color w:val="000000" w:themeColor="text1"/>
          <w:sz w:val="20"/>
          <w:szCs w:val="20"/>
        </w:rPr>
        <w:t xml:space="preserve"> distinta al contratista o a los integrantes del consorcio o unión temporal y a la entidad estatal contratante. Otro </w:t>
      </w:r>
      <w:r w:rsidRPr="00862487">
        <w:rPr>
          <w:rFonts w:ascii="Verdana" w:hAnsi="Verdana" w:cs="Arial"/>
          <w:i/>
          <w:iCs/>
          <w:color w:val="000000" w:themeColor="text1"/>
          <w:sz w:val="20"/>
          <w:szCs w:val="20"/>
        </w:rPr>
        <w:t>objetivo</w:t>
      </w:r>
      <w:r w:rsidRPr="00862487">
        <w:rPr>
          <w:rFonts w:ascii="Verdana" w:hAnsi="Verdana" w:cs="Arial"/>
          <w:color w:val="000000" w:themeColor="text1"/>
          <w:sz w:val="20"/>
          <w:szCs w:val="20"/>
        </w:rPr>
        <w:t xml:space="preserve">, según el cual tiene tal calidad cualquier </w:t>
      </w:r>
      <w:r w:rsidRPr="00862487">
        <w:rPr>
          <w:rFonts w:ascii="Verdana" w:hAnsi="Verdana" w:cs="Arial"/>
          <w:b/>
          <w:bCs/>
          <w:color w:val="000000" w:themeColor="text1"/>
          <w:sz w:val="20"/>
          <w:szCs w:val="20"/>
        </w:rPr>
        <w:t>persona</w:t>
      </w:r>
      <w:r w:rsidRPr="00862487">
        <w:rPr>
          <w:rFonts w:ascii="Verdana" w:hAnsi="Verdana" w:cs="Arial"/>
          <w:color w:val="000000" w:themeColor="text1"/>
          <w:sz w:val="20"/>
          <w:szCs w:val="20"/>
        </w:rPr>
        <w:t xml:space="preserve"> distinta al contratista a los integrantes del consorcio o unión temporal y a la entidad estatal contratante, siempre y cuando tal </w:t>
      </w:r>
      <w:r w:rsidRPr="00862487">
        <w:rPr>
          <w:rFonts w:ascii="Verdana" w:hAnsi="Verdana" w:cs="Arial"/>
          <w:b/>
          <w:bCs/>
          <w:color w:val="000000" w:themeColor="text1"/>
          <w:sz w:val="20"/>
          <w:szCs w:val="20"/>
        </w:rPr>
        <w:t>persona</w:t>
      </w:r>
      <w:r w:rsidRPr="00862487">
        <w:rPr>
          <w:rFonts w:ascii="Verdana" w:hAnsi="Verdana" w:cs="Arial"/>
          <w:color w:val="000000" w:themeColor="text1"/>
          <w:sz w:val="20"/>
          <w:szCs w:val="20"/>
        </w:rPr>
        <w:t xml:space="preserve"> no tenga un vínculo de dependencia o de subordinación con el contratista o los integrantes del consorcio o la unión temporal (futuros cedentes)”</w:t>
      </w:r>
      <w:r w:rsidRPr="00862487">
        <w:rPr>
          <w:rStyle w:val="Refdenotaalpie"/>
          <w:rFonts w:ascii="Verdana" w:hAnsi="Verdana" w:cs="Arial"/>
          <w:color w:val="000000" w:themeColor="text1"/>
          <w:sz w:val="20"/>
          <w:szCs w:val="20"/>
        </w:rPr>
        <w:footnoteReference w:id="30"/>
      </w:r>
      <w:r w:rsidRPr="00862487">
        <w:rPr>
          <w:rFonts w:ascii="Verdana" w:hAnsi="Verdana" w:cs="Arial"/>
          <w:color w:val="000000" w:themeColor="text1"/>
          <w:sz w:val="20"/>
          <w:szCs w:val="20"/>
        </w:rPr>
        <w:t xml:space="preserve">. (Negrillas fuera de texto) </w:t>
      </w:r>
    </w:p>
    <w:p w14:paraId="20C836A5" w14:textId="77777777" w:rsidR="002434BA" w:rsidRPr="00821723" w:rsidRDefault="002434BA" w:rsidP="002434BA">
      <w:pPr>
        <w:spacing w:after="0" w:line="240" w:lineRule="auto"/>
        <w:jc w:val="both"/>
        <w:rPr>
          <w:rFonts w:ascii="Verdana" w:hAnsi="Verdana" w:cs="Arial"/>
          <w:color w:val="000000" w:themeColor="text1"/>
        </w:rPr>
      </w:pPr>
    </w:p>
    <w:p w14:paraId="3BE51336" w14:textId="77777777" w:rsidR="002434BA" w:rsidRPr="00821723" w:rsidRDefault="002434BA" w:rsidP="002434BA">
      <w:pPr>
        <w:spacing w:after="0" w:line="276" w:lineRule="auto"/>
        <w:jc w:val="both"/>
        <w:rPr>
          <w:rFonts w:ascii="Verdana" w:hAnsi="Verdana" w:cs="Arial"/>
          <w:color w:val="000000" w:themeColor="text1"/>
        </w:rPr>
      </w:pPr>
      <w:r w:rsidRPr="00821723">
        <w:rPr>
          <w:rFonts w:ascii="Verdana" w:hAnsi="Verdana" w:cs="Arial"/>
          <w:color w:val="000000" w:themeColor="text1"/>
        </w:rPr>
        <w:tab/>
        <w:t xml:space="preserve">De acuerdo con el inciso primero del artículo 73 del Código Civil las personas son naturales o jurídicas. Conforme al artículo 74 </w:t>
      </w:r>
      <w:r w:rsidRPr="00821723">
        <w:rPr>
          <w:rFonts w:ascii="Verdana" w:hAnsi="Verdana" w:cs="Arial"/>
          <w:i/>
          <w:iCs/>
          <w:color w:val="000000" w:themeColor="text1"/>
        </w:rPr>
        <w:t>ibidem</w:t>
      </w:r>
      <w:r w:rsidRPr="00821723">
        <w:rPr>
          <w:rFonts w:ascii="Verdana" w:hAnsi="Verdana" w:cs="Arial"/>
          <w:color w:val="000000" w:themeColor="text1"/>
        </w:rPr>
        <w:t>, las primeras corresponden a “</w:t>
      </w:r>
      <w:r>
        <w:rPr>
          <w:rFonts w:ascii="Verdana" w:eastAsia="Calibri" w:hAnsi="Verdana" w:cs="Arial"/>
          <w:lang w:val="es-MX"/>
        </w:rPr>
        <w:t xml:space="preserve">(…) </w:t>
      </w:r>
      <w:r w:rsidRPr="00821723">
        <w:rPr>
          <w:rFonts w:ascii="Verdana" w:hAnsi="Verdana" w:cs="Arial"/>
          <w:color w:val="000000" w:themeColor="text1"/>
        </w:rPr>
        <w:t xml:space="preserve">todos los individuos de la especie humana, cualquiera que </w:t>
      </w:r>
      <w:r w:rsidRPr="00821723">
        <w:rPr>
          <w:rFonts w:ascii="Verdana" w:hAnsi="Verdana" w:cs="Arial"/>
          <w:color w:val="000000" w:themeColor="text1"/>
        </w:rPr>
        <w:lastRenderedPageBreak/>
        <w:t xml:space="preserve">sea su edad, sexo, estirpe o condición”. En contraste, con fundamento en el inciso primero artículo 633 </w:t>
      </w:r>
      <w:r w:rsidRPr="00821723">
        <w:rPr>
          <w:rFonts w:ascii="Verdana" w:hAnsi="Verdana" w:cs="Arial"/>
          <w:i/>
          <w:iCs/>
          <w:color w:val="000000" w:themeColor="text1"/>
        </w:rPr>
        <w:t>ibidem</w:t>
      </w:r>
      <w:r w:rsidRPr="00821723">
        <w:rPr>
          <w:rFonts w:ascii="Verdana" w:hAnsi="Verdana" w:cs="Arial"/>
          <w:color w:val="000000" w:themeColor="text1"/>
        </w:rPr>
        <w:t>, las segundas son “</w:t>
      </w:r>
      <w:r>
        <w:rPr>
          <w:rFonts w:ascii="Verdana" w:eastAsia="Calibri" w:hAnsi="Verdana" w:cs="Arial"/>
          <w:lang w:val="es-MX"/>
        </w:rPr>
        <w:t>(…)</w:t>
      </w:r>
      <w:r w:rsidRPr="00821723">
        <w:rPr>
          <w:rFonts w:ascii="Verdana" w:hAnsi="Verdana" w:cs="Arial"/>
          <w:color w:val="000000" w:themeColor="text1"/>
        </w:rPr>
        <w:t xml:space="preserve"> una persona ficticia, capaz de ejercer derechos y contraer obligaciones civiles, y de ser representada judicial y extrajudicialmente”. Como se explicó </w:t>
      </w:r>
      <w:r w:rsidRPr="00821723">
        <w:rPr>
          <w:rFonts w:ascii="Verdana" w:hAnsi="Verdana" w:cs="Arial"/>
          <w:i/>
          <w:iCs/>
          <w:color w:val="000000" w:themeColor="text1"/>
        </w:rPr>
        <w:t>ut supra</w:t>
      </w:r>
      <w:r w:rsidRPr="00821723">
        <w:rPr>
          <w:rFonts w:ascii="Verdana" w:hAnsi="Verdana" w:cs="Arial"/>
          <w:color w:val="000000" w:themeColor="text1"/>
        </w:rPr>
        <w:t xml:space="preserve">, los consorcios y las uniones temporales carecen de esta naturaleza. Asimismo, los numerales 6 y 7 del artículo 7 de la Ley 80 de 1993 tampoco otorgan capacidad a los proponentes plurales para ser cesionarios; por lo </w:t>
      </w:r>
      <w:r>
        <w:rPr>
          <w:rFonts w:ascii="Verdana" w:hAnsi="Verdana" w:cs="Arial"/>
          <w:color w:val="000000" w:themeColor="text1"/>
        </w:rPr>
        <w:t>tanto, no existe</w:t>
      </w:r>
      <w:r w:rsidRPr="00821723">
        <w:rPr>
          <w:rFonts w:ascii="Verdana" w:hAnsi="Verdana" w:cs="Arial"/>
          <w:color w:val="000000" w:themeColor="text1"/>
        </w:rPr>
        <w:t xml:space="preserve"> una habilitación legal para que los contratistas cedan su posición contractual a los consorcios o uniones temporales</w:t>
      </w:r>
      <w:r>
        <w:rPr>
          <w:rFonts w:ascii="Verdana" w:hAnsi="Verdana" w:cs="Arial"/>
          <w:color w:val="000000" w:themeColor="text1"/>
        </w:rPr>
        <w:t>.</w:t>
      </w:r>
    </w:p>
    <w:p w14:paraId="5E1ECC17" w14:textId="77777777" w:rsidR="002434BA" w:rsidRPr="00821723" w:rsidRDefault="002434BA" w:rsidP="000104CD">
      <w:pPr>
        <w:tabs>
          <w:tab w:val="left" w:pos="142"/>
          <w:tab w:val="left" w:pos="284"/>
          <w:tab w:val="left" w:pos="3828"/>
        </w:tabs>
        <w:spacing w:after="0" w:line="276" w:lineRule="auto"/>
        <w:rPr>
          <w:rFonts w:ascii="Verdana" w:eastAsia="Times New Roman" w:hAnsi="Verdana" w:cs="Arial"/>
          <w:bCs/>
          <w:lang w:eastAsia="es-CO" w:bidi="es-ES"/>
        </w:rPr>
      </w:pPr>
    </w:p>
    <w:p w14:paraId="5E888783" w14:textId="77777777" w:rsidR="002434BA" w:rsidRDefault="002434BA" w:rsidP="000104CD">
      <w:pPr>
        <w:tabs>
          <w:tab w:val="left" w:pos="142"/>
          <w:tab w:val="left" w:pos="284"/>
          <w:tab w:val="left" w:pos="3828"/>
        </w:tabs>
        <w:spacing w:after="0" w:line="276" w:lineRule="auto"/>
        <w:rPr>
          <w:rFonts w:ascii="Verdana" w:eastAsia="Century Gothic" w:hAnsi="Verdana" w:cs="Century Gothic"/>
          <w:b/>
          <w:bCs/>
        </w:rPr>
      </w:pPr>
      <w:r w:rsidRPr="005644FE">
        <w:rPr>
          <w:rFonts w:ascii="Verdana" w:eastAsia="Century Gothic" w:hAnsi="Verdana" w:cs="Century Gothic"/>
          <w:b/>
          <w:bCs/>
        </w:rPr>
        <w:t>4. Referencias normativas</w:t>
      </w:r>
      <w:r>
        <w:rPr>
          <w:rFonts w:ascii="Verdana" w:eastAsia="Century Gothic" w:hAnsi="Verdana" w:cs="Century Gothic"/>
          <w:b/>
          <w:bCs/>
        </w:rPr>
        <w:t xml:space="preserve"> y jurisprudenciales</w:t>
      </w:r>
      <w:r w:rsidRPr="005644FE">
        <w:rPr>
          <w:rFonts w:ascii="Verdana" w:eastAsia="Century Gothic" w:hAnsi="Verdana" w:cs="Century Gothic"/>
          <w:b/>
          <w:bCs/>
        </w:rPr>
        <w:t>:</w:t>
      </w:r>
      <w:bookmarkEnd w:id="6"/>
    </w:p>
    <w:p w14:paraId="36C3A1C7" w14:textId="77777777" w:rsidR="002434BA" w:rsidRPr="005644FE" w:rsidRDefault="002434BA" w:rsidP="000104CD">
      <w:pPr>
        <w:tabs>
          <w:tab w:val="left" w:pos="142"/>
          <w:tab w:val="left" w:pos="284"/>
          <w:tab w:val="left" w:pos="3828"/>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434BA" w:rsidRPr="005644FE" w14:paraId="5888115F" w14:textId="77777777" w:rsidTr="00AC374F">
        <w:trPr>
          <w:trHeight w:val="56"/>
          <w:jc w:val="center"/>
        </w:trPr>
        <w:tc>
          <w:tcPr>
            <w:tcW w:w="8647" w:type="dxa"/>
          </w:tcPr>
          <w:p w14:paraId="0A222C6F"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Pr>
                <w:rFonts w:ascii="Verdana" w:eastAsia="Aptos" w:hAnsi="Verdana" w:cs="Arial"/>
              </w:rPr>
              <w:t xml:space="preserve">Constitución Política. Artículos 6, 150. </w:t>
            </w:r>
          </w:p>
          <w:p w14:paraId="5C0F4955"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Pr>
                <w:rFonts w:ascii="Verdana" w:eastAsia="Aptos" w:hAnsi="Verdana" w:cs="Arial"/>
              </w:rPr>
              <w:t>Ley 80 de 1993. Artículos 2, 6, 7, 8, 9, 13, 32, 40, 41.</w:t>
            </w:r>
          </w:p>
          <w:p w14:paraId="517D25C2"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Pr>
                <w:rFonts w:ascii="Verdana" w:eastAsia="Aptos" w:hAnsi="Verdana" w:cs="Arial"/>
              </w:rPr>
              <w:t xml:space="preserve">Ley 1150 de 2007. Artículo 6. </w:t>
            </w:r>
          </w:p>
          <w:p w14:paraId="491E6230"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Pr>
                <w:rFonts w:ascii="Verdana" w:eastAsia="Aptos" w:hAnsi="Verdana" w:cs="Arial"/>
              </w:rPr>
              <w:t>Decreto 019 de 2012. Artículo 221.</w:t>
            </w:r>
          </w:p>
          <w:p w14:paraId="2DA995B1"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Pr>
                <w:rFonts w:ascii="Verdana" w:eastAsia="Aptos" w:hAnsi="Verdana" w:cs="Arial"/>
              </w:rPr>
              <w:t xml:space="preserve">Código Civil. Artículos 73, 74, 1502, 1503, 1504, 1959.  </w:t>
            </w:r>
          </w:p>
          <w:p w14:paraId="5DE0815D" w14:textId="77777777" w:rsidR="002434BA" w:rsidRPr="008D7C3C"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Pr>
                <w:rFonts w:ascii="Verdana" w:eastAsia="Aptos" w:hAnsi="Verdana" w:cs="Arial"/>
              </w:rPr>
              <w:t>Código de Comercio. Artículo 887, 888, 890, 891, 895, 896.</w:t>
            </w:r>
          </w:p>
          <w:p w14:paraId="08CFB35E"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8D7C3C">
              <w:rPr>
                <w:rFonts w:ascii="Verdana" w:eastAsia="Aptos" w:hAnsi="Verdana" w:cs="Arial"/>
              </w:rPr>
              <w:t>Consejo de Estado. Sala de lo Contencioso Administrativo. Sección Tercera. Subsección A. Sentencia del 13 de noviembre de 2013. Rad. 25.646. C.P. Mauricio Fajardo Gómez.</w:t>
            </w:r>
          </w:p>
          <w:p w14:paraId="2320C3D0"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8D7C3C">
              <w:rPr>
                <w:rFonts w:ascii="Verdana" w:eastAsia="Aptos" w:hAnsi="Verdana" w:cs="Arial"/>
              </w:rPr>
              <w:t xml:space="preserve">Consejo de Estado. Sala de Consulta y Servicio Civil. Concepto del 30 de abril de 2015. </w:t>
            </w:r>
            <w:proofErr w:type="spellStart"/>
            <w:r w:rsidRPr="008D7C3C">
              <w:rPr>
                <w:rFonts w:ascii="Verdana" w:eastAsia="Aptos" w:hAnsi="Verdana" w:cs="Arial"/>
              </w:rPr>
              <w:t>Exp</w:t>
            </w:r>
            <w:proofErr w:type="spellEnd"/>
            <w:r w:rsidRPr="008D7C3C">
              <w:rPr>
                <w:rFonts w:ascii="Verdana" w:eastAsia="Aptos" w:hAnsi="Verdana" w:cs="Arial"/>
              </w:rPr>
              <w:t>. 2251. C.P. Álvaro Namén Vargas.</w:t>
            </w:r>
          </w:p>
          <w:p w14:paraId="3B04D1EA"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8D7C3C">
              <w:rPr>
                <w:rFonts w:ascii="Verdana" w:eastAsia="Aptos" w:hAnsi="Verdana" w:cs="Arial"/>
              </w:rPr>
              <w:t xml:space="preserve">Consejo de Estado. Sala de lo Contencioso Administrativo. Sección Tercera. Subsección A. Sentencia del 24 de junio de 2015. </w:t>
            </w:r>
            <w:proofErr w:type="spellStart"/>
            <w:r w:rsidRPr="008D7C3C">
              <w:rPr>
                <w:rFonts w:ascii="Verdana" w:eastAsia="Aptos" w:hAnsi="Verdana" w:cs="Arial"/>
              </w:rPr>
              <w:t>Exp</w:t>
            </w:r>
            <w:proofErr w:type="spellEnd"/>
            <w:r w:rsidRPr="008D7C3C">
              <w:rPr>
                <w:rFonts w:ascii="Verdana" w:eastAsia="Aptos" w:hAnsi="Verdana" w:cs="Arial"/>
              </w:rPr>
              <w:t>. 40.635. C.P. Hernán Andrade Rincón (E).</w:t>
            </w:r>
          </w:p>
          <w:p w14:paraId="42F5BF32"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8D7C3C">
              <w:rPr>
                <w:rFonts w:ascii="Verdana" w:eastAsia="Aptos" w:hAnsi="Verdana" w:cs="Arial"/>
              </w:rPr>
              <w:t xml:space="preserve">Consejo de Estado. Sala de lo Contencioso Administrativo. Sección Tercera. Subsección C. Sentencia del 22 de mayo de 2013. Rad. 24.057. C.P. Olga Mélida Valle de </w:t>
            </w:r>
            <w:proofErr w:type="spellStart"/>
            <w:r w:rsidRPr="008D7C3C">
              <w:rPr>
                <w:rFonts w:ascii="Verdana" w:eastAsia="Aptos" w:hAnsi="Verdana" w:cs="Arial"/>
              </w:rPr>
              <w:t>De</w:t>
            </w:r>
            <w:proofErr w:type="spellEnd"/>
            <w:r w:rsidRPr="008D7C3C">
              <w:rPr>
                <w:rFonts w:ascii="Verdana" w:eastAsia="Aptos" w:hAnsi="Verdana" w:cs="Arial"/>
              </w:rPr>
              <w:t xml:space="preserve"> La Hoz.</w:t>
            </w:r>
          </w:p>
          <w:p w14:paraId="68B4BC0D" w14:textId="77777777" w:rsidR="002434BA" w:rsidRPr="008D7C3C"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D8246A">
              <w:rPr>
                <w:rFonts w:ascii="Verdana" w:eastAsia="Aptos" w:hAnsi="Verdana" w:cs="Arial"/>
              </w:rPr>
              <w:t>Consejo de Estado. Sala de lo Contencioso Administrativo. Sección Tercera. Sentencia del 16 de marzo de 2015, Rad. 1999-03028, M.P. Jaime Orlando Santofimio Gamboa.</w:t>
            </w:r>
          </w:p>
          <w:p w14:paraId="789F2539" w14:textId="77777777" w:rsidR="002434BA" w:rsidRPr="008D7C3C"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8D7C3C">
              <w:rPr>
                <w:rFonts w:ascii="Verdana" w:eastAsia="Aptos" w:hAnsi="Verdana" w:cs="Arial"/>
              </w:rPr>
              <w:t>Corte Constitucional. Sentencia C-1016 de 2012. M.P. Jorge Iván Palacio</w:t>
            </w:r>
            <w:r>
              <w:rPr>
                <w:rFonts w:ascii="Verdana" w:eastAsia="Aptos" w:hAnsi="Verdana" w:cs="Arial"/>
              </w:rPr>
              <w:t>.</w:t>
            </w:r>
          </w:p>
          <w:p w14:paraId="0C63E822"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8D7C3C">
              <w:rPr>
                <w:rFonts w:ascii="Verdana" w:eastAsia="Aptos" w:hAnsi="Verdana" w:cs="Arial"/>
              </w:rPr>
              <w:t>Corte Constitucional. Sentencia C-415 de 1994. M.P. Eduardo Cifuentes Muñoz.</w:t>
            </w:r>
          </w:p>
          <w:p w14:paraId="6FCD0D88"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8D7C3C">
              <w:rPr>
                <w:rFonts w:ascii="Verdana" w:eastAsia="Aptos" w:hAnsi="Verdana" w:cs="Arial"/>
              </w:rPr>
              <w:lastRenderedPageBreak/>
              <w:t>Corte Constitucional. Sentencia C-780 de 2001. M.P. Jaime Córdoba Triviño.</w:t>
            </w:r>
          </w:p>
          <w:p w14:paraId="288D088D"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lang w:val="it-CH"/>
              </w:rPr>
            </w:pPr>
            <w:r w:rsidRPr="008D7C3C">
              <w:rPr>
                <w:rFonts w:ascii="Verdana" w:eastAsia="Aptos" w:hAnsi="Verdana" w:cs="Arial"/>
              </w:rPr>
              <w:t xml:space="preserve">Corte Constitucional. Sentencia T-1039 de 2006. </w:t>
            </w:r>
            <w:r w:rsidRPr="008D7C3C">
              <w:rPr>
                <w:rFonts w:ascii="Verdana" w:eastAsia="Aptos" w:hAnsi="Verdana" w:cs="Arial"/>
                <w:lang w:val="it-CH"/>
              </w:rPr>
              <w:t>M.P. Humberto Sierra Porto.</w:t>
            </w:r>
          </w:p>
          <w:p w14:paraId="458DE3A9" w14:textId="77777777" w:rsidR="002434BA" w:rsidRP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lang w:val="es-CO"/>
              </w:rPr>
            </w:pPr>
            <w:r w:rsidRPr="008D7C3C">
              <w:rPr>
                <w:rFonts w:ascii="Verdana" w:eastAsia="Aptos" w:hAnsi="Verdana" w:cs="Arial"/>
                <w:lang w:val="es-CO"/>
              </w:rPr>
              <w:t>Corte Constitucional. Sentencia</w:t>
            </w:r>
            <w:r w:rsidRPr="008D7C3C">
              <w:rPr>
                <w:rFonts w:ascii="Verdana" w:eastAsia="Aptos" w:hAnsi="Verdana" w:cs="Arial"/>
              </w:rPr>
              <w:t xml:space="preserve"> C-903 de 2008. M.P. Jaime Araujo Renterí</w:t>
            </w:r>
            <w:r>
              <w:rPr>
                <w:rFonts w:ascii="Verdana" w:eastAsia="Aptos" w:hAnsi="Verdana" w:cs="Arial"/>
              </w:rPr>
              <w:t>a.</w:t>
            </w:r>
            <w:r w:rsidRPr="008D7C3C">
              <w:rPr>
                <w:rFonts w:ascii="Verdana" w:eastAsia="Aptos" w:hAnsi="Verdana" w:cs="Arial"/>
              </w:rPr>
              <w:t xml:space="preserve"> </w:t>
            </w:r>
          </w:p>
          <w:p w14:paraId="6F63AD72"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Pr>
                <w:rFonts w:ascii="Verdana" w:eastAsia="Aptos" w:hAnsi="Verdana" w:cs="Arial"/>
              </w:rPr>
              <w:t xml:space="preserve">Corte Constitucional. Sentencia </w:t>
            </w:r>
            <w:r w:rsidRPr="008D7C3C">
              <w:rPr>
                <w:rFonts w:ascii="Verdana" w:eastAsia="Aptos" w:hAnsi="Verdana" w:cs="Arial"/>
              </w:rPr>
              <w:t>C-101 de 2018. M.P. Gloria Stella Ortiz Delgado</w:t>
            </w:r>
            <w:r>
              <w:rPr>
                <w:rFonts w:ascii="Verdana" w:eastAsia="Aptos" w:hAnsi="Verdana" w:cs="Arial"/>
              </w:rPr>
              <w:t>.</w:t>
            </w:r>
          </w:p>
          <w:p w14:paraId="5E01F38F" w14:textId="77777777" w:rsidR="002434BA" w:rsidRPr="008D7C3C" w:rsidRDefault="002434BA" w:rsidP="000104CD">
            <w:pPr>
              <w:pStyle w:val="Prrafodelista"/>
              <w:numPr>
                <w:ilvl w:val="0"/>
                <w:numId w:val="18"/>
              </w:numPr>
              <w:spacing w:line="276" w:lineRule="auto"/>
              <w:ind w:left="714" w:hanging="357"/>
              <w:contextualSpacing w:val="0"/>
              <w:jc w:val="both"/>
              <w:rPr>
                <w:rFonts w:ascii="Verdana" w:eastAsia="Aptos" w:hAnsi="Verdana" w:cs="Arial"/>
                <w:lang w:val="es-CO"/>
              </w:rPr>
            </w:pPr>
            <w:r w:rsidRPr="00D8246A">
              <w:rPr>
                <w:rFonts w:ascii="Verdana" w:eastAsia="Aptos" w:hAnsi="Verdana" w:cs="Arial"/>
              </w:rPr>
              <w:t xml:space="preserve">Corte Constitucional. Sentencia C-949 del 5 de septiembre de 2001. M.P. Clara Inés Vargas Hernández.  </w:t>
            </w:r>
          </w:p>
          <w:p w14:paraId="0BE9AC9D" w14:textId="77777777" w:rsidR="002434BA" w:rsidRPr="008D7C3C"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8D7C3C">
              <w:rPr>
                <w:rFonts w:ascii="Verdana" w:eastAsia="Aptos" w:hAnsi="Verdana" w:cs="Arial"/>
              </w:rPr>
              <w:t>BENAVIDES, José Luis. El contrato estatal. Entre el Derecho público y el Derecho privado. 2ª ed. Bogotá: Universidad Externado de Colombia, 2004.</w:t>
            </w:r>
          </w:p>
          <w:p w14:paraId="1E8FB996" w14:textId="77777777" w:rsidR="002434BA" w:rsidRPr="00D8246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8D7C3C">
              <w:rPr>
                <w:rFonts w:ascii="Verdana" w:hAnsi="Verdana" w:cs="Arial"/>
              </w:rPr>
              <w:t>DÁVILA VINUEZA, Luis Guillermo. Régimen jurídico de la contratación estatal. 3ª ed. Bogotá: Legis, 2016.</w:t>
            </w:r>
          </w:p>
          <w:p w14:paraId="0ACF6BF7"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D8246A">
              <w:rPr>
                <w:rFonts w:ascii="Verdana" w:eastAsia="Aptos" w:hAnsi="Verdana" w:cs="Arial"/>
                <w:lang w:val="it-CH"/>
              </w:rPr>
              <w:t xml:space="preserve">MESSINEO, Francesco. Doctrina general del contrato. </w:t>
            </w:r>
            <w:r w:rsidRPr="00D8246A">
              <w:rPr>
                <w:rFonts w:ascii="Verdana" w:eastAsia="Aptos" w:hAnsi="Verdana" w:cs="Arial"/>
              </w:rPr>
              <w:t>Santiago: Olejnik, 2018</w:t>
            </w:r>
            <w:r>
              <w:rPr>
                <w:rFonts w:ascii="Verdana" w:eastAsia="Aptos" w:hAnsi="Verdana" w:cs="Arial"/>
              </w:rPr>
              <w:t>.</w:t>
            </w:r>
          </w:p>
          <w:p w14:paraId="526D863F"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D8246A">
              <w:rPr>
                <w:rFonts w:ascii="Verdana" w:eastAsia="Aptos" w:hAnsi="Verdana" w:cs="Arial"/>
              </w:rPr>
              <w:t>ROPPO, Vincenzo. El contrato. Lima: Gaceta Jurídica, 2009.</w:t>
            </w:r>
          </w:p>
          <w:p w14:paraId="4EC3FC79"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D8246A">
              <w:rPr>
                <w:rFonts w:ascii="Verdana" w:eastAsia="Aptos" w:hAnsi="Verdana" w:cs="Arial"/>
              </w:rPr>
              <w:t>ESCOLA, Jorge. Tratado integral de los contratos administrativos. Volumen I. Buenos Aires: Depalma, 2012</w:t>
            </w:r>
            <w:r>
              <w:rPr>
                <w:rFonts w:ascii="Verdana" w:eastAsia="Aptos" w:hAnsi="Verdana" w:cs="Arial"/>
              </w:rPr>
              <w:t>.</w:t>
            </w:r>
          </w:p>
          <w:p w14:paraId="4FB982C6" w14:textId="77777777" w:rsidR="002434BA"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D8246A">
              <w:rPr>
                <w:rFonts w:ascii="Verdana" w:eastAsia="Aptos" w:hAnsi="Verdana" w:cs="Arial"/>
              </w:rPr>
              <w:t>MARIENHOFF, Miguel S. Tratado de derecho administrativo. Tomo IIIA. Cuarta Edición. Buenos Aires: Abeledo Perrot, 1998</w:t>
            </w:r>
            <w:r>
              <w:rPr>
                <w:rFonts w:ascii="Verdana" w:eastAsia="Aptos" w:hAnsi="Verdana" w:cs="Arial"/>
              </w:rPr>
              <w:t>.</w:t>
            </w:r>
          </w:p>
          <w:p w14:paraId="1ADAD773" w14:textId="77777777" w:rsidR="002434BA" w:rsidRPr="008D7C3C" w:rsidRDefault="002434BA" w:rsidP="000104CD">
            <w:pPr>
              <w:pStyle w:val="Prrafodelista"/>
              <w:numPr>
                <w:ilvl w:val="0"/>
                <w:numId w:val="18"/>
              </w:numPr>
              <w:spacing w:line="276" w:lineRule="auto"/>
              <w:ind w:left="714" w:hanging="357"/>
              <w:contextualSpacing w:val="0"/>
              <w:jc w:val="both"/>
              <w:rPr>
                <w:rFonts w:ascii="Verdana" w:eastAsia="Aptos" w:hAnsi="Verdana" w:cs="Arial"/>
              </w:rPr>
            </w:pPr>
            <w:r w:rsidRPr="00D8246A">
              <w:rPr>
                <w:rFonts w:ascii="Verdana" w:eastAsia="Aptos" w:hAnsi="Verdana" w:cs="Arial"/>
              </w:rPr>
              <w:t>RAMÍREZ GRISALES, Richard. La cesión. Serie: Las cláusulas del contrato estatal. Medellín: Centro de Estudios de Derecho Administrativo –CEDA– y Librería Jurídica Sánchez R., 2014.</w:t>
            </w:r>
          </w:p>
        </w:tc>
      </w:tr>
    </w:tbl>
    <w:p w14:paraId="770F44FF" w14:textId="77777777" w:rsidR="002434BA" w:rsidRDefault="002434BA" w:rsidP="002434BA">
      <w:pPr>
        <w:tabs>
          <w:tab w:val="left" w:pos="142"/>
          <w:tab w:val="left" w:pos="284"/>
          <w:tab w:val="left" w:pos="3828"/>
        </w:tabs>
        <w:spacing w:after="0" w:line="276" w:lineRule="auto"/>
        <w:jc w:val="both"/>
        <w:rPr>
          <w:rFonts w:ascii="Verdana" w:eastAsia="Century Gothic" w:hAnsi="Verdana" w:cs="Century Gothic"/>
          <w:b/>
          <w:bCs/>
        </w:rPr>
      </w:pPr>
    </w:p>
    <w:p w14:paraId="1FD6E286" w14:textId="77777777" w:rsidR="002434BA" w:rsidRPr="005644FE" w:rsidRDefault="002434BA" w:rsidP="002434BA">
      <w:pPr>
        <w:tabs>
          <w:tab w:val="left" w:pos="142"/>
          <w:tab w:val="left" w:pos="284"/>
          <w:tab w:val="left" w:pos="3828"/>
        </w:tabs>
        <w:spacing w:after="0" w:line="276" w:lineRule="auto"/>
        <w:jc w:val="both"/>
        <w:rPr>
          <w:rFonts w:ascii="Verdana" w:eastAsia="Century Gothic" w:hAnsi="Verdana" w:cs="Century Gothic"/>
          <w:b/>
          <w:bCs/>
        </w:rPr>
      </w:pPr>
      <w:r w:rsidRPr="005644FE">
        <w:rPr>
          <w:rFonts w:ascii="Verdana" w:eastAsia="Century Gothic" w:hAnsi="Verdana" w:cs="Century Gothic"/>
          <w:b/>
          <w:bCs/>
        </w:rPr>
        <w:t>5. Doctrina de la Agencia Nacional de Contratación Pública:</w:t>
      </w:r>
    </w:p>
    <w:p w14:paraId="11BCFA23" w14:textId="77777777" w:rsidR="002434BA" w:rsidRDefault="002434BA" w:rsidP="000104CD">
      <w:pPr>
        <w:widowControl w:val="0"/>
        <w:autoSpaceDE w:val="0"/>
        <w:autoSpaceDN w:val="0"/>
        <w:spacing w:after="0" w:line="276" w:lineRule="auto"/>
        <w:jc w:val="both"/>
        <w:rPr>
          <w:rFonts w:ascii="Verdana" w:eastAsia="Aptos" w:hAnsi="Verdana" w:cs="Arial"/>
          <w:shd w:val="clear" w:color="auto" w:fill="FFFFFF"/>
          <w:lang w:val="es-ES"/>
        </w:rPr>
      </w:pPr>
    </w:p>
    <w:p w14:paraId="19D4C0D2" w14:textId="3AE2E1D3" w:rsidR="002434BA" w:rsidRDefault="002434BA" w:rsidP="00BA5F11">
      <w:pPr>
        <w:widowControl w:val="0"/>
        <w:autoSpaceDE w:val="0"/>
        <w:autoSpaceDN w:val="0"/>
        <w:spacing w:after="0" w:line="276" w:lineRule="auto"/>
        <w:jc w:val="both"/>
        <w:rPr>
          <w:rStyle w:val="normaltextrun"/>
          <w:rFonts w:ascii="Verdana" w:hAnsi="Verdana" w:cs="Arial"/>
          <w:shd w:val="clear" w:color="auto" w:fill="FFFFFF"/>
          <w:lang w:val="es-ES"/>
        </w:rPr>
      </w:pPr>
      <w:r w:rsidRPr="008D7C3C">
        <w:rPr>
          <w:rFonts w:ascii="Verdana" w:eastAsia="Calibri" w:hAnsi="Verdana" w:cs="Arial"/>
        </w:rPr>
        <w:t xml:space="preserve">La Agencia Nacional de Contratación Pública – Colombia Compra Eficiente se ha referido </w:t>
      </w:r>
      <w:r w:rsidRPr="008D7C3C">
        <w:rPr>
          <w:rFonts w:ascii="Verdana" w:hAnsi="Verdana" w:cs="Arial"/>
          <w:shd w:val="clear" w:color="auto" w:fill="FFFFFF"/>
        </w:rPr>
        <w:t xml:space="preserve">sobre las inhabilidades e incompatibilidades en los conceptos </w:t>
      </w:r>
      <w:r w:rsidRPr="008D7C3C">
        <w:rPr>
          <w:rFonts w:ascii="Verdana" w:eastAsia="Calibri" w:hAnsi="Verdana" w:cs="Arial"/>
        </w:rPr>
        <w:t>-007 del 14 de febrero de 2020, 4201912000008460 del 14 de febrero de 2020, C−032</w:t>
      </w:r>
      <w:r w:rsidRPr="006A09D6">
        <w:rPr>
          <w:rFonts w:ascii="Verdana" w:eastAsia="Calibri" w:hAnsi="Verdana" w:cs="Arial"/>
        </w:rPr>
        <w:t xml:space="preserve"> del 19 de febrero de 2020,  C−402 del 26 de junio de 2020, C−365 del 30 de junio de 2020, C−386 del 24 de julio de 2020, C-585 del 14 de septiembre de 2020, C–592 del 14 de septiembre de 2020, C−551 de 24 de septiembre de 2020, C−709 del 7 de diciembre de 2020, C–721 de 14 de diciembre de 2020, C–004 del 12 de febrero de 2021, C–815 del 18 de febrero de 2021, C–047 del </w:t>
      </w:r>
      <w:r w:rsidRPr="006A09D6">
        <w:rPr>
          <w:rFonts w:ascii="Verdana" w:eastAsia="Calibri" w:hAnsi="Verdana" w:cs="Arial"/>
        </w:rPr>
        <w:lastRenderedPageBreak/>
        <w:t>8 de marzo de 2021, C–113 del 30 de marzo de 2021, C–122 del 30 de marzo de 2021, C–178 del 28 de abril de 2021, C−190 del 30 de abril de 2021, C−210 del 12 de mayo de 2021, C−275 del 11 de junio de 2021, C−293 del 28 de junio de 2021, C−321 del 2 de julio de 2021,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w:t>
      </w:r>
      <w:r>
        <w:rPr>
          <w:rFonts w:ascii="Verdana" w:eastAsia="Calibri" w:hAnsi="Verdana" w:cs="Arial"/>
        </w:rPr>
        <w:t>,</w:t>
      </w:r>
      <w:r w:rsidRPr="006A09D6">
        <w:rPr>
          <w:rFonts w:ascii="Verdana" w:eastAsia="Calibri" w:hAnsi="Verdana" w:cs="Arial"/>
        </w:rPr>
        <w:t xml:space="preserve"> C-039 del 23 de abril de 2024</w:t>
      </w:r>
      <w:r>
        <w:rPr>
          <w:rFonts w:ascii="Verdana" w:eastAsia="Calibri" w:hAnsi="Verdana" w:cs="Arial"/>
        </w:rPr>
        <w:t>, , C-085 del 3 de marzo de 2025, C- 513 del 5 de junio de 2025, C-435 del 14 de mayo de 2025, C-831 del 25 de julio de 2025, entre otros</w:t>
      </w:r>
      <w:r>
        <w:rPr>
          <w:rFonts w:ascii="Verdana" w:hAnsi="Verdana" w:cs="Arial"/>
          <w:shd w:val="clear" w:color="auto" w:fill="FFFFFF"/>
        </w:rPr>
        <w:t>.</w:t>
      </w:r>
      <w:r>
        <w:rPr>
          <w:rStyle w:val="normaltextrun"/>
          <w:rFonts w:ascii="Verdana" w:hAnsi="Verdana" w:cs="Arial"/>
          <w:shd w:val="clear" w:color="auto" w:fill="FFFFFF"/>
          <w:lang w:val="es-ES"/>
        </w:rPr>
        <w:t xml:space="preserve"> </w:t>
      </w:r>
    </w:p>
    <w:p w14:paraId="2CFE2E4D" w14:textId="77777777" w:rsidR="00BA5F11" w:rsidRPr="00BA5F11" w:rsidRDefault="00BA5F11" w:rsidP="000104CD">
      <w:pPr>
        <w:widowControl w:val="0"/>
        <w:autoSpaceDE w:val="0"/>
        <w:autoSpaceDN w:val="0"/>
        <w:spacing w:after="0" w:line="276" w:lineRule="auto"/>
        <w:jc w:val="both"/>
        <w:rPr>
          <w:rStyle w:val="normaltextrun"/>
          <w:rFonts w:ascii="Verdana" w:hAnsi="Verdana" w:cs="Arial"/>
          <w:shd w:val="clear" w:color="auto" w:fill="FFFFFF"/>
          <w:lang w:val="es-ES"/>
        </w:rPr>
      </w:pPr>
    </w:p>
    <w:p w14:paraId="11F6034C" w14:textId="2E4300DD" w:rsidR="002434BA" w:rsidRDefault="002434BA" w:rsidP="00BA5F11">
      <w:pPr>
        <w:widowControl w:val="0"/>
        <w:autoSpaceDE w:val="0"/>
        <w:autoSpaceDN w:val="0"/>
        <w:spacing w:after="0" w:line="276" w:lineRule="auto"/>
        <w:jc w:val="both"/>
        <w:rPr>
          <w:rFonts w:ascii="Verdana" w:hAnsi="Verdana" w:cs="Arial"/>
          <w:color w:val="000000" w:themeColor="text1"/>
          <w:shd w:val="clear" w:color="auto" w:fill="FFFFFF"/>
        </w:rPr>
      </w:pPr>
      <w:r>
        <w:rPr>
          <w:rStyle w:val="normaltextrun"/>
          <w:rFonts w:ascii="Verdana" w:hAnsi="Verdana" w:cs="Arial"/>
          <w:shd w:val="clear" w:color="auto" w:fill="FFFFFF"/>
          <w:lang w:val="es-ES"/>
        </w:rPr>
        <w:t xml:space="preserve">Por su parte, </w:t>
      </w:r>
      <w:r>
        <w:rPr>
          <w:rFonts w:ascii="Verdana" w:eastAsia="Calibri" w:hAnsi="Verdana" w:cs="Arial"/>
          <w:color w:val="000000" w:themeColor="text1"/>
          <w:lang w:eastAsia="es-ES_tradnl"/>
        </w:rPr>
        <w:t>l</w:t>
      </w:r>
      <w:r w:rsidRPr="000E7148">
        <w:rPr>
          <w:rFonts w:ascii="Verdana" w:eastAsia="Calibri" w:hAnsi="Verdana" w:cs="Arial"/>
          <w:color w:val="000000" w:themeColor="text1"/>
          <w:lang w:eastAsia="es-ES_tradnl"/>
        </w:rPr>
        <w:t xml:space="preserve">a Agencia Nacional de Contratación Pública – Colombia Compra Eficiente </w:t>
      </w:r>
      <w:r>
        <w:rPr>
          <w:rFonts w:ascii="Verdana" w:eastAsia="Arial" w:hAnsi="Verdana" w:cs="Arial"/>
          <w:lang w:val="es-MX" w:eastAsia="es-ES_tradnl"/>
        </w:rPr>
        <w:t xml:space="preserve">se ha referido </w:t>
      </w:r>
      <w:r>
        <w:rPr>
          <w:rFonts w:ascii="Verdana" w:hAnsi="Verdana"/>
          <w:lang w:val="es-ES"/>
        </w:rPr>
        <w:t>s</w:t>
      </w:r>
      <w:r w:rsidRPr="00E7587A">
        <w:rPr>
          <w:rFonts w:ascii="Verdana" w:hAnsi="Verdana"/>
          <w:lang w:val="es-ES"/>
        </w:rPr>
        <w:t xml:space="preserve">obre </w:t>
      </w:r>
      <w:r>
        <w:rPr>
          <w:rFonts w:ascii="Verdana" w:hAnsi="Verdana"/>
          <w:lang w:val="es-ES"/>
        </w:rPr>
        <w:t xml:space="preserve">la cesión del contrato en los conceptos </w:t>
      </w:r>
      <w:r w:rsidRPr="008D7C3C">
        <w:rPr>
          <w:rStyle w:val="normaltextrun"/>
          <w:rFonts w:ascii="Verdana" w:hAnsi="Verdana" w:cs="Arial"/>
          <w:color w:val="000000" w:themeColor="text1"/>
          <w:shd w:val="clear" w:color="auto" w:fill="FFFFFF"/>
          <w:lang w:val="es-ES"/>
        </w:rPr>
        <w:t>4201913000007643 y 4201913000007669 del 26 de diciembre de 2019, así como en los Conceptos C-551 del 24 de septiembre de 2020, C-572 del 27 de agosto de 2020, C-582 del 28 de agosto de 2020, C- 385 del 20 de agosto de 2021, C-069 del 24 de abril de 2023</w:t>
      </w:r>
      <w:r>
        <w:rPr>
          <w:rFonts w:ascii="Verdana" w:eastAsia="Calibri" w:hAnsi="Verdana" w:cs="Arial"/>
          <w:lang w:val="es-ES" w:eastAsia="es-ES"/>
        </w:rPr>
        <w:t>,</w:t>
      </w:r>
      <w:r w:rsidRPr="00667CF4">
        <w:rPr>
          <w:rFonts w:ascii="Verdana" w:eastAsia="Calibri" w:hAnsi="Verdana" w:cs="Arial"/>
          <w:lang w:val="es-ES" w:eastAsia="es-ES"/>
        </w:rPr>
        <w:t xml:space="preserve"> </w:t>
      </w:r>
      <w:r>
        <w:rPr>
          <w:rFonts w:ascii="Verdana" w:eastAsia="Calibri" w:hAnsi="Verdana" w:cs="Arial"/>
          <w:lang w:val="es-ES" w:eastAsia="es-ES"/>
        </w:rPr>
        <w:t xml:space="preserve">C-100 del 12 de junio de 2024, C-228 del 23 de agosto de 2024, </w:t>
      </w:r>
      <w:r w:rsidRPr="00667CF4">
        <w:rPr>
          <w:rFonts w:ascii="Verdana" w:eastAsia="Calibri" w:hAnsi="Verdana" w:cs="Arial"/>
          <w:lang w:val="es-ES" w:eastAsia="es-ES"/>
        </w:rPr>
        <w:t xml:space="preserve">entre otros. </w:t>
      </w:r>
      <w:r w:rsidRPr="00272B0D">
        <w:rPr>
          <w:rFonts w:ascii="Verdana" w:eastAsia="Aptos" w:hAnsi="Verdana" w:cs="Arial"/>
          <w:shd w:val="clear" w:color="auto" w:fill="FFFFFF"/>
          <w:lang w:val="es-ES"/>
        </w:rPr>
        <w:t>Estos y otros conceptos se encuentran disponibles para consulta</w:t>
      </w:r>
      <w:r w:rsidRPr="00272B0D">
        <w:rPr>
          <w:rFonts w:ascii="Verdana" w:eastAsia="Calibri" w:hAnsi="Verdana" w:cs="Arial"/>
        </w:rPr>
        <w:t xml:space="preserve"> </w:t>
      </w:r>
      <w:r w:rsidRPr="00272B0D">
        <w:rPr>
          <w:rFonts w:ascii="Verdana" w:hAnsi="Verdana"/>
        </w:rPr>
        <w:t>en el Sistema de relatoría de la Agencia, al cual se puede acceder a través del siguiente enlace:</w:t>
      </w:r>
      <w:r w:rsidRPr="00272B0D">
        <w:rPr>
          <w:rFonts w:ascii="Verdana" w:hAnsi="Verdana" w:cs="Arial"/>
          <w:shd w:val="clear" w:color="auto" w:fill="FFFFFF"/>
        </w:rPr>
        <w:t xml:space="preserve"> </w:t>
      </w:r>
      <w:hyperlink r:id="rId12" w:history="1">
        <w:r w:rsidRPr="00BA5F11">
          <w:rPr>
            <w:rStyle w:val="Hipervnculo"/>
            <w:rFonts w:ascii="Verdana" w:hAnsi="Verdana" w:cs="Arial"/>
            <w:shd w:val="clear" w:color="auto" w:fill="FFFFFF"/>
          </w:rPr>
          <w:t>https://relatoria.colombiacompra.gov.co/busqueda/conceptos</w:t>
        </w:r>
      </w:hyperlink>
      <w:r w:rsidRPr="00272B0D">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5B84DD4C" w14:textId="77777777" w:rsidR="00BA5F11" w:rsidRPr="00BA5F11" w:rsidRDefault="00BA5F11" w:rsidP="000104CD">
      <w:pPr>
        <w:widowControl w:val="0"/>
        <w:autoSpaceDE w:val="0"/>
        <w:autoSpaceDN w:val="0"/>
        <w:spacing w:after="0" w:line="276" w:lineRule="auto"/>
        <w:jc w:val="both"/>
        <w:rPr>
          <w:rFonts w:ascii="Verdana" w:eastAsia="Calibri" w:hAnsi="Verdana" w:cs="Arial"/>
          <w:color w:val="000000" w:themeColor="text1"/>
          <w:lang w:eastAsia="es-ES_tradnl"/>
        </w:rPr>
      </w:pPr>
    </w:p>
    <w:p w14:paraId="6F048C13" w14:textId="63891FCC" w:rsidR="002434BA" w:rsidRPr="00116940" w:rsidRDefault="002434BA" w:rsidP="00BA5F11">
      <w:pPr>
        <w:spacing w:after="0" w:line="276" w:lineRule="auto"/>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Agencia Nacional de Contratación Pública –Colombia Compra Eficiente– para atender las peticiones o solicitudes, así como para brindar el apoyo que se requiera en el marco de nuestras funciones a través de nuestros diferentes canales de atención:</w:t>
      </w:r>
    </w:p>
    <w:p w14:paraId="0807254D" w14:textId="77777777" w:rsidR="004626CA" w:rsidRPr="004626CA" w:rsidRDefault="004626CA" w:rsidP="000104CD">
      <w:pPr>
        <w:spacing w:after="0" w:line="276" w:lineRule="auto"/>
        <w:jc w:val="both"/>
        <w:rPr>
          <w:rFonts w:ascii="Verdana" w:hAnsi="Verdana"/>
        </w:rPr>
      </w:pPr>
    </w:p>
    <w:p w14:paraId="7C943F6E" w14:textId="0D6449D9" w:rsidR="002434BA" w:rsidRPr="00116940" w:rsidRDefault="002434BA" w:rsidP="000104CD">
      <w:pPr>
        <w:pStyle w:val="Prrafodelista"/>
        <w:numPr>
          <w:ilvl w:val="0"/>
          <w:numId w:val="15"/>
        </w:numPr>
        <w:spacing w:after="0" w:line="276" w:lineRule="auto"/>
        <w:contextualSpacing w:val="0"/>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5E525618" w14:textId="77777777" w:rsidR="002434BA" w:rsidRPr="00116940" w:rsidRDefault="002434BA" w:rsidP="000104CD">
      <w:pPr>
        <w:pStyle w:val="Prrafodelista"/>
        <w:numPr>
          <w:ilvl w:val="0"/>
          <w:numId w:val="15"/>
        </w:numPr>
        <w:spacing w:after="0" w:line="276" w:lineRule="auto"/>
        <w:contextualSpacing w:val="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17BDCFBB" w14:textId="77777777" w:rsidR="002434BA" w:rsidRPr="00116940" w:rsidRDefault="002434BA" w:rsidP="000104CD">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3">
        <w:r w:rsidRPr="00116940">
          <w:rPr>
            <w:rStyle w:val="Hipervnculo"/>
            <w:rFonts w:ascii="Verdana" w:eastAsia="Verdana" w:hAnsi="Verdana" w:cs="Verdana"/>
            <w:lang w:val="es-MX"/>
          </w:rPr>
          <w:t>ventanilladeradicacion@colombiacompra.gov.co</w:t>
        </w:r>
      </w:hyperlink>
    </w:p>
    <w:p w14:paraId="67D6F9D2" w14:textId="77777777" w:rsidR="002434BA" w:rsidRPr="00116940" w:rsidRDefault="002434BA" w:rsidP="000104CD">
      <w:pPr>
        <w:pStyle w:val="Prrafodelista"/>
        <w:numPr>
          <w:ilvl w:val="0"/>
          <w:numId w:val="15"/>
        </w:numPr>
        <w:spacing w:after="0" w:line="276" w:lineRule="auto"/>
        <w:contextualSpacing w:val="0"/>
        <w:rPr>
          <w:rFonts w:ascii="Verdana" w:eastAsia="Verdana" w:hAnsi="Verdana" w:cs="Verdana"/>
          <w:color w:val="0000FF"/>
          <w:u w:val="single"/>
          <w:lang w:val="es-MX"/>
        </w:rPr>
      </w:pPr>
      <w:r w:rsidRPr="00116940">
        <w:rPr>
          <w:rFonts w:ascii="Verdana" w:eastAsia="Verdana" w:hAnsi="Verdana" w:cs="Verdana"/>
        </w:rPr>
        <w:lastRenderedPageBreak/>
        <w:t>Formulario web para</w:t>
      </w:r>
      <w:r w:rsidRPr="00116940">
        <w:rPr>
          <w:rFonts w:ascii="Verdana" w:eastAsia="Verdana" w:hAnsi="Verdana" w:cs="Verdana"/>
          <w:lang w:val="es"/>
        </w:rPr>
        <w:t xml:space="preserve"> PQRSD: </w:t>
      </w:r>
      <w:hyperlink r:id="rId14">
        <w:r w:rsidRPr="00116940">
          <w:rPr>
            <w:rStyle w:val="Hipervnculo"/>
            <w:rFonts w:ascii="Verdana" w:eastAsia="Verdana" w:hAnsi="Verdana" w:cs="Verdana"/>
            <w:lang w:val="es-MX"/>
          </w:rPr>
          <w:t>https://www.colombiacompra.gov.co/pqrsd/informacion-importante-antes-de-formular-una-pqrsd</w:t>
        </w:r>
      </w:hyperlink>
    </w:p>
    <w:p w14:paraId="14B0BABF" w14:textId="77777777" w:rsidR="002434BA" w:rsidRDefault="002434BA" w:rsidP="000104CD">
      <w:pPr>
        <w:spacing w:after="0" w:line="276" w:lineRule="auto"/>
        <w:jc w:val="both"/>
        <w:rPr>
          <w:rFonts w:ascii="Verdana" w:hAnsi="Verdana"/>
        </w:rPr>
      </w:pPr>
      <w:r w:rsidRPr="00116940">
        <w:rPr>
          <w:rFonts w:ascii="Verdana" w:hAnsi="Verdana"/>
        </w:rPr>
        <w:t>Evalúa el servicio que ofrece la Agencia por el canal de atención de PQRSD en el siguiente enlace:</w:t>
      </w:r>
      <w:r>
        <w:rPr>
          <w:rFonts w:ascii="Verdana" w:hAnsi="Verdana"/>
        </w:rPr>
        <w:t xml:space="preserve"> </w:t>
      </w:r>
      <w:hyperlink r:id="rId15" w:history="1">
        <w:r w:rsidRPr="00BA5F11">
          <w:rPr>
            <w:rStyle w:val="Hipervnculo"/>
            <w:rFonts w:ascii="Verdana" w:eastAsia="Verdana" w:hAnsi="Verdana" w:cs="Verdana"/>
            <w:lang w:val="es-MX"/>
          </w:rPr>
          <w:t>https://forms.office.com/r/pPHyWVs2SZ</w:t>
        </w:r>
      </w:hyperlink>
      <w:r w:rsidRPr="000104CD">
        <w:rPr>
          <w:rStyle w:val="Hipervnculo"/>
          <w:rFonts w:ascii="Verdana" w:eastAsia="Verdana" w:hAnsi="Verdana" w:cs="Verdana"/>
          <w:lang w:val="es-MX"/>
        </w:rPr>
        <w:t>.</w:t>
      </w:r>
      <w:r>
        <w:rPr>
          <w:rFonts w:ascii="Verdana" w:hAnsi="Verdana"/>
        </w:rPr>
        <w:t xml:space="preserve"> </w:t>
      </w:r>
      <w:r w:rsidRPr="00116940">
        <w:rPr>
          <w:rFonts w:ascii="Verdana" w:hAnsi="Verdana"/>
        </w:rPr>
        <w:t>¡Ayúdanos a mejorar porque el compromiso es de todos!</w:t>
      </w:r>
    </w:p>
    <w:p w14:paraId="5AF8F5F2" w14:textId="77777777" w:rsidR="002434BA" w:rsidRPr="00116940" w:rsidRDefault="002434BA" w:rsidP="000104CD">
      <w:pPr>
        <w:spacing w:after="0" w:line="276"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C002679" w14:textId="77777777" w:rsidR="002434BA" w:rsidRPr="00116940" w:rsidRDefault="002434BA" w:rsidP="000104CD">
      <w:pPr>
        <w:spacing w:after="0" w:line="276" w:lineRule="auto"/>
        <w:jc w:val="both"/>
        <w:rPr>
          <w:rFonts w:ascii="Verdana" w:hAnsi="Verdana"/>
        </w:rPr>
      </w:pPr>
    </w:p>
    <w:p w14:paraId="4CD0B677" w14:textId="77777777" w:rsidR="002434BA" w:rsidRPr="00116940" w:rsidRDefault="002434BA" w:rsidP="000104CD">
      <w:pPr>
        <w:spacing w:after="0" w:line="276"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7DF4CA25" w14:textId="77777777" w:rsidR="002434BA" w:rsidRPr="00116940" w:rsidRDefault="002434BA" w:rsidP="000104CD">
      <w:pPr>
        <w:spacing w:after="0" w:line="276"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2FBE241" w14:textId="77777777" w:rsidR="002434BA" w:rsidRPr="00116940" w:rsidRDefault="002434BA" w:rsidP="000104CD">
      <w:pPr>
        <w:spacing w:after="0" w:line="276"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963F4EA" w14:textId="77777777" w:rsidR="002434BA" w:rsidRDefault="002434BA" w:rsidP="000104CD">
      <w:pPr>
        <w:spacing w:after="0" w:line="276" w:lineRule="auto"/>
        <w:jc w:val="both"/>
        <w:rPr>
          <w:rFonts w:ascii="Verdana" w:hAnsi="Verdana"/>
          <w:lang w:val="es-MX"/>
        </w:rPr>
      </w:pPr>
    </w:p>
    <w:p w14:paraId="3AB792E5" w14:textId="77777777" w:rsidR="002434BA" w:rsidRPr="00330029" w:rsidRDefault="002434BA" w:rsidP="000104CD">
      <w:pPr>
        <w:spacing w:after="0" w:line="276" w:lineRule="auto"/>
        <w:jc w:val="both"/>
        <w:rPr>
          <w:rFonts w:ascii="Verdana" w:hAnsi="Verdana"/>
          <w:lang w:val="es-MX"/>
        </w:rPr>
      </w:pPr>
      <w:r w:rsidRPr="00E02524">
        <w:rPr>
          <w:rFonts w:ascii="Verdana" w:hAnsi="Verdana"/>
          <w:lang w:val="es-MX"/>
        </w:rPr>
        <w:t>Cordialmente,</w:t>
      </w:r>
    </w:p>
    <w:p w14:paraId="2F8B2586" w14:textId="5C2A245A" w:rsidR="002434BA" w:rsidRDefault="003901E9" w:rsidP="002434BA">
      <w:pPr>
        <w:spacing w:after="0" w:line="256" w:lineRule="auto"/>
        <w:jc w:val="center"/>
        <w:rPr>
          <w:rFonts w:ascii="Verdana" w:eastAsia="Calibri" w:hAnsi="Verdana" w:cs="Times New Roman"/>
        </w:rPr>
      </w:pPr>
      <w:r>
        <w:rPr>
          <w:noProof/>
        </w:rPr>
        <w:drawing>
          <wp:inline distT="0" distB="0" distL="0" distR="0" wp14:anchorId="57C1837C" wp14:editId="35DE1060">
            <wp:extent cx="3962400" cy="186690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6"/>
                    <a:stretch>
                      <a:fillRect/>
                    </a:stretch>
                  </pic:blipFill>
                  <pic:spPr>
                    <a:xfrm>
                      <a:off x="0" y="0"/>
                      <a:ext cx="3962400" cy="1866900"/>
                    </a:xfrm>
                    <a:prstGeom prst="rect">
                      <a:avLst/>
                    </a:prstGeom>
                  </pic:spPr>
                </pic:pic>
              </a:graphicData>
            </a:graphic>
          </wp:inline>
        </w:drawing>
      </w:r>
    </w:p>
    <w:tbl>
      <w:tblPr>
        <w:tblStyle w:val="Tablaconcuadrcula"/>
        <w:tblW w:w="59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061"/>
      </w:tblGrid>
      <w:tr w:rsidR="002434BA" w:rsidRPr="005644FE" w14:paraId="7C42ACEB" w14:textId="77777777" w:rsidTr="00AC374F">
        <w:trPr>
          <w:trHeight w:val="315"/>
        </w:trPr>
        <w:tc>
          <w:tcPr>
            <w:tcW w:w="893" w:type="dxa"/>
            <w:vAlign w:val="center"/>
            <w:hideMark/>
          </w:tcPr>
          <w:p w14:paraId="082B405A" w14:textId="77777777" w:rsidR="002434BA" w:rsidRPr="005644FE" w:rsidRDefault="002434BA" w:rsidP="00AC374F">
            <w:pPr>
              <w:contextualSpacing/>
              <w:rPr>
                <w:rFonts w:ascii="Verdana" w:hAnsi="Verdana" w:cs="Arial"/>
                <w:sz w:val="16"/>
                <w:szCs w:val="16"/>
                <w:lang w:eastAsia="es-ES"/>
              </w:rPr>
            </w:pPr>
            <w:r w:rsidRPr="005644FE">
              <w:rPr>
                <w:rFonts w:ascii="Verdana" w:hAnsi="Verdana" w:cs="Arial"/>
                <w:sz w:val="16"/>
                <w:szCs w:val="16"/>
                <w:lang w:eastAsia="es-ES"/>
              </w:rPr>
              <w:t>Elaboró:</w:t>
            </w:r>
          </w:p>
        </w:tc>
        <w:tc>
          <w:tcPr>
            <w:tcW w:w="5061" w:type="dxa"/>
            <w:tcBorders>
              <w:top w:val="nil"/>
              <w:left w:val="nil"/>
              <w:bottom w:val="dotted" w:sz="4" w:space="0" w:color="7F7F7F" w:themeColor="text1" w:themeTint="80"/>
              <w:right w:val="nil"/>
            </w:tcBorders>
            <w:vAlign w:val="center"/>
            <w:hideMark/>
          </w:tcPr>
          <w:p w14:paraId="7E5078C9" w14:textId="77777777" w:rsidR="002434BA" w:rsidRPr="005644FE" w:rsidRDefault="002434BA" w:rsidP="00AC374F">
            <w:pPr>
              <w:contextualSpacing/>
              <w:rPr>
                <w:rStyle w:val="normaltextrun"/>
                <w:rFonts w:ascii="Verdana" w:hAnsi="Verdana"/>
                <w:sz w:val="16"/>
                <w:szCs w:val="16"/>
              </w:rPr>
            </w:pPr>
            <w:r w:rsidRPr="005644FE">
              <w:rPr>
                <w:rStyle w:val="normaltextrun"/>
                <w:rFonts w:ascii="Verdana" w:hAnsi="Verdana"/>
                <w:sz w:val="16"/>
                <w:szCs w:val="16"/>
              </w:rPr>
              <w:t xml:space="preserve">Esperanza Contreras P </w:t>
            </w:r>
          </w:p>
          <w:p w14:paraId="7036AAC8" w14:textId="77777777" w:rsidR="002434BA" w:rsidRPr="005644FE" w:rsidRDefault="002434BA" w:rsidP="00AC374F">
            <w:pPr>
              <w:contextualSpacing/>
              <w:rPr>
                <w:rFonts w:ascii="Verdana" w:eastAsia="Arial" w:hAnsi="Verdana" w:cs="Arial"/>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2434BA" w:rsidRPr="005644FE" w14:paraId="76339FC4" w14:textId="77777777" w:rsidTr="00AC374F">
        <w:trPr>
          <w:trHeight w:val="330"/>
        </w:trPr>
        <w:tc>
          <w:tcPr>
            <w:tcW w:w="893" w:type="dxa"/>
            <w:vAlign w:val="center"/>
            <w:hideMark/>
          </w:tcPr>
          <w:p w14:paraId="24F0B3BA" w14:textId="77777777" w:rsidR="002434BA" w:rsidRPr="005644FE" w:rsidRDefault="002434BA" w:rsidP="00AC374F">
            <w:pPr>
              <w:contextualSpacing/>
              <w:rPr>
                <w:rFonts w:ascii="Verdana" w:hAnsi="Verdana" w:cs="Arial"/>
                <w:sz w:val="16"/>
                <w:szCs w:val="16"/>
                <w:lang w:eastAsia="es-ES"/>
              </w:rPr>
            </w:pPr>
            <w:r w:rsidRPr="005644FE">
              <w:rPr>
                <w:rFonts w:ascii="Verdana" w:hAnsi="Verdana" w:cs="Arial"/>
                <w:sz w:val="16"/>
                <w:szCs w:val="16"/>
                <w:lang w:eastAsia="es-ES"/>
              </w:rPr>
              <w:t>Revisó:</w:t>
            </w:r>
          </w:p>
        </w:tc>
        <w:tc>
          <w:tcPr>
            <w:tcW w:w="5061" w:type="dxa"/>
            <w:tcBorders>
              <w:top w:val="dotted" w:sz="4" w:space="0" w:color="7F7F7F" w:themeColor="text1" w:themeTint="80"/>
              <w:left w:val="nil"/>
              <w:bottom w:val="dotted" w:sz="4" w:space="0" w:color="7F7F7F" w:themeColor="text1" w:themeTint="80"/>
              <w:right w:val="nil"/>
            </w:tcBorders>
            <w:vAlign w:val="center"/>
            <w:hideMark/>
          </w:tcPr>
          <w:p w14:paraId="412B9FE4" w14:textId="77777777" w:rsidR="002434BA" w:rsidRPr="0004340D" w:rsidRDefault="002434BA" w:rsidP="00AC374F">
            <w:pPr>
              <w:pStyle w:val="paragraph"/>
              <w:spacing w:before="0" w:beforeAutospacing="0" w:after="0" w:afterAutospacing="0"/>
              <w:contextualSpacing/>
              <w:textAlignment w:val="baseline"/>
              <w:rPr>
                <w:rStyle w:val="normaltextrun"/>
                <w:rFonts w:ascii="Verdana" w:hAnsi="Verdana"/>
                <w:sz w:val="16"/>
                <w:szCs w:val="16"/>
              </w:rPr>
            </w:pPr>
            <w:r w:rsidRPr="0004340D">
              <w:rPr>
                <w:rStyle w:val="normaltextrun"/>
                <w:rFonts w:ascii="Verdana" w:hAnsi="Verdana"/>
                <w:sz w:val="16"/>
                <w:szCs w:val="16"/>
              </w:rPr>
              <w:t>Diana Lucía Saavedra Castañeda</w:t>
            </w:r>
          </w:p>
          <w:p w14:paraId="41A1C5F2" w14:textId="77777777" w:rsidR="002434BA" w:rsidRPr="005644FE" w:rsidRDefault="002434BA" w:rsidP="00AC374F">
            <w:pPr>
              <w:pStyle w:val="paragraph"/>
              <w:spacing w:before="0" w:beforeAutospacing="0" w:after="0" w:afterAutospacing="0"/>
              <w:contextualSpacing/>
              <w:textAlignment w:val="baseline"/>
              <w:rPr>
                <w:rFonts w:ascii="Verdana" w:hAnsi="Verdana" w:cs="Segoe UI"/>
                <w:sz w:val="16"/>
                <w:szCs w:val="16"/>
              </w:rPr>
            </w:pPr>
            <w:r w:rsidRPr="005644FE">
              <w:rPr>
                <w:rStyle w:val="normaltextrun"/>
                <w:rFonts w:ascii="Verdana" w:hAnsi="Verdana" w:cs="Arial"/>
                <w:sz w:val="16"/>
                <w:szCs w:val="16"/>
              </w:rPr>
              <w:t>Contratista de la Subdirección de Gestión Contractual</w:t>
            </w:r>
            <w:r w:rsidRPr="005644FE">
              <w:rPr>
                <w:rStyle w:val="eop"/>
                <w:rFonts w:ascii="Verdana" w:hAnsi="Verdana" w:cs="Arial"/>
                <w:sz w:val="16"/>
                <w:szCs w:val="16"/>
              </w:rPr>
              <w:t> </w:t>
            </w:r>
          </w:p>
        </w:tc>
      </w:tr>
      <w:tr w:rsidR="002434BA" w:rsidRPr="005644FE" w14:paraId="6B5A333E" w14:textId="77777777" w:rsidTr="00AC374F">
        <w:trPr>
          <w:trHeight w:val="300"/>
        </w:trPr>
        <w:tc>
          <w:tcPr>
            <w:tcW w:w="893" w:type="dxa"/>
            <w:vAlign w:val="center"/>
          </w:tcPr>
          <w:p w14:paraId="35850DA7" w14:textId="77777777" w:rsidR="002434BA" w:rsidRPr="005644FE" w:rsidRDefault="002434BA" w:rsidP="00AC374F">
            <w:pPr>
              <w:contextualSpacing/>
              <w:rPr>
                <w:rFonts w:ascii="Verdana" w:hAnsi="Verdana" w:cs="Arial"/>
                <w:sz w:val="16"/>
                <w:szCs w:val="16"/>
                <w:lang w:eastAsia="es-ES"/>
              </w:rPr>
            </w:pPr>
            <w:r w:rsidRPr="005644FE">
              <w:rPr>
                <w:rFonts w:ascii="Verdana" w:hAnsi="Verdana" w:cs="Arial"/>
                <w:sz w:val="16"/>
                <w:szCs w:val="16"/>
                <w:lang w:eastAsia="es-ES"/>
              </w:rPr>
              <w:t>Aprobó:</w:t>
            </w:r>
          </w:p>
        </w:tc>
        <w:tc>
          <w:tcPr>
            <w:tcW w:w="5061" w:type="dxa"/>
            <w:tcBorders>
              <w:top w:val="dotted" w:sz="4" w:space="0" w:color="7F7F7F" w:themeColor="text1" w:themeTint="80"/>
              <w:left w:val="nil"/>
              <w:bottom w:val="dotted" w:sz="4" w:space="0" w:color="7F7F7F" w:themeColor="text1" w:themeTint="80"/>
              <w:right w:val="nil"/>
            </w:tcBorders>
            <w:vAlign w:val="center"/>
          </w:tcPr>
          <w:p w14:paraId="4C69856D" w14:textId="77777777" w:rsidR="002434BA" w:rsidRPr="005644FE" w:rsidRDefault="002434BA" w:rsidP="00AC374F">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Carolina Quintero Gacharná</w:t>
            </w:r>
          </w:p>
          <w:p w14:paraId="07308490" w14:textId="77777777" w:rsidR="002434BA" w:rsidRPr="005644FE" w:rsidRDefault="002434BA" w:rsidP="00AC374F">
            <w:pPr>
              <w:contextualSpacing/>
              <w:rPr>
                <w:rFonts w:ascii="Verdana" w:eastAsia="Calibri" w:hAnsi="Verdana" w:cs="Arial"/>
                <w:sz w:val="16"/>
                <w:szCs w:val="16"/>
                <w:lang w:eastAsia="es-ES"/>
              </w:rPr>
            </w:pPr>
            <w:r w:rsidRPr="005644FE">
              <w:rPr>
                <w:rFonts w:ascii="Verdana" w:eastAsia="Calibri" w:hAnsi="Verdana" w:cs="Arial"/>
                <w:sz w:val="16"/>
                <w:szCs w:val="16"/>
                <w:lang w:eastAsia="es-ES"/>
              </w:rPr>
              <w:t>Subdirectora de Gestión Contractual ANCP – CCE</w:t>
            </w:r>
          </w:p>
        </w:tc>
      </w:tr>
    </w:tbl>
    <w:p w14:paraId="7E6CD4CB" w14:textId="77777777" w:rsidR="002434BA" w:rsidRDefault="002434BA" w:rsidP="002434BA"/>
    <w:p w14:paraId="302C78F1" w14:textId="77777777" w:rsidR="002434BA" w:rsidRPr="005644FE" w:rsidRDefault="002434BA" w:rsidP="002434BA"/>
    <w:bookmarkEnd w:id="0"/>
    <w:p w14:paraId="35287F82" w14:textId="77777777" w:rsidR="002434BA" w:rsidRPr="0015699B" w:rsidRDefault="002434BA" w:rsidP="002434BA">
      <w:pPr>
        <w:spacing w:after="0" w:line="240" w:lineRule="auto"/>
        <w:jc w:val="both"/>
        <w:textAlignment w:val="baseline"/>
        <w:rPr>
          <w:rFonts w:ascii="Verdana" w:eastAsia="Times New Roman" w:hAnsi="Verdana" w:cs="Segoe UI"/>
          <w:lang w:eastAsia="es-CO"/>
        </w:rPr>
      </w:pPr>
    </w:p>
    <w:bookmarkEnd w:id="1"/>
    <w:p w14:paraId="6DB05C6A" w14:textId="77777777" w:rsidR="002434BA" w:rsidRDefault="002434BA" w:rsidP="002434BA"/>
    <w:bookmarkEnd w:id="2"/>
    <w:p w14:paraId="0F293BF4" w14:textId="772907A3" w:rsidR="00127233" w:rsidRPr="004E6C3D" w:rsidRDefault="00127233" w:rsidP="004E6C3D"/>
    <w:sectPr w:rsidR="00127233" w:rsidRPr="004E6C3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E0BDB4" w14:textId="77777777" w:rsidR="00FF7CDE" w:rsidRDefault="00FF7CDE" w:rsidP="004A1847">
      <w:pPr>
        <w:spacing w:after="0" w:line="240" w:lineRule="auto"/>
      </w:pPr>
      <w:r>
        <w:separator/>
      </w:r>
    </w:p>
  </w:endnote>
  <w:endnote w:type="continuationSeparator" w:id="0">
    <w:p w14:paraId="2C8F441C" w14:textId="77777777" w:rsidR="00FF7CDE" w:rsidRDefault="00FF7CD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A682A2" w14:textId="77777777" w:rsidR="00FF7CDE" w:rsidRDefault="00FF7CDE" w:rsidP="004A1847">
      <w:pPr>
        <w:spacing w:after="0" w:line="240" w:lineRule="auto"/>
      </w:pPr>
      <w:r>
        <w:separator/>
      </w:r>
    </w:p>
  </w:footnote>
  <w:footnote w:type="continuationSeparator" w:id="0">
    <w:p w14:paraId="2B791137" w14:textId="77777777" w:rsidR="00FF7CDE" w:rsidRDefault="00FF7CDE" w:rsidP="004A1847">
      <w:pPr>
        <w:spacing w:after="0" w:line="240" w:lineRule="auto"/>
      </w:pPr>
      <w:r>
        <w:continuationSeparator/>
      </w:r>
    </w:p>
  </w:footnote>
  <w:footnote w:id="1">
    <w:p w14:paraId="597320FB" w14:textId="77777777" w:rsidR="002434BA" w:rsidRDefault="002434BA" w:rsidP="002434BA">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Corte Constitucional. Sentencia C-1016 de 2012. M.P. Jorge Iván Palacio.</w:t>
      </w:r>
    </w:p>
    <w:p w14:paraId="30C5264F" w14:textId="77777777" w:rsidR="002434BA" w:rsidRPr="00E96901" w:rsidRDefault="002434BA" w:rsidP="002434BA">
      <w:pPr>
        <w:pStyle w:val="Textonotapie"/>
        <w:ind w:firstLine="709"/>
        <w:jc w:val="both"/>
        <w:rPr>
          <w:rFonts w:ascii="Verdana" w:hAnsi="Verdana" w:cs="Arial"/>
          <w:sz w:val="16"/>
          <w:szCs w:val="16"/>
          <w:lang w:val="es-ES_tradnl"/>
        </w:rPr>
      </w:pPr>
    </w:p>
  </w:footnote>
  <w:footnote w:id="2">
    <w:p w14:paraId="165B7879" w14:textId="77777777" w:rsidR="002434BA" w:rsidRDefault="002434BA" w:rsidP="002434BA">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Consejo </w:t>
      </w:r>
      <w:r>
        <w:rPr>
          <w:rFonts w:ascii="Verdana" w:hAnsi="Verdana" w:cs="Arial"/>
          <w:sz w:val="16"/>
          <w:szCs w:val="16"/>
        </w:rPr>
        <w:t>de</w:t>
      </w:r>
      <w:r w:rsidRPr="00E96901">
        <w:rPr>
          <w:rFonts w:ascii="Verdana" w:hAnsi="Verdana" w:cs="Arial"/>
          <w:sz w:val="16"/>
          <w:szCs w:val="16"/>
        </w:rPr>
        <w:t xml:space="preserve"> Estado. </w:t>
      </w:r>
      <w:r>
        <w:rPr>
          <w:rFonts w:ascii="Verdana" w:hAnsi="Verdana" w:cs="Arial"/>
          <w:sz w:val="16"/>
          <w:szCs w:val="16"/>
        </w:rPr>
        <w:t xml:space="preserve">Sala de lo Contencioso Administrativo. </w:t>
      </w:r>
      <w:r w:rsidRPr="00E96901">
        <w:rPr>
          <w:rFonts w:ascii="Verdana" w:hAnsi="Verdana" w:cs="Arial"/>
          <w:sz w:val="16"/>
          <w:szCs w:val="16"/>
        </w:rPr>
        <w:t xml:space="preserve">Sección Tercera. Subsección A. Sentencia del 13 de noviembre de 2013. </w:t>
      </w:r>
      <w:r w:rsidRPr="00E96901">
        <w:rPr>
          <w:rFonts w:ascii="Verdana" w:hAnsi="Verdana" w:cs="Arial"/>
          <w:sz w:val="16"/>
          <w:szCs w:val="16"/>
          <w:lang w:val="pt-BR"/>
        </w:rPr>
        <w:t>Rad. 25.646. C.P. Mauricio Fajardo Gómez.</w:t>
      </w:r>
    </w:p>
    <w:p w14:paraId="4E297048" w14:textId="77777777" w:rsidR="002434BA" w:rsidRPr="00E96901" w:rsidRDefault="002434BA" w:rsidP="002434BA">
      <w:pPr>
        <w:pStyle w:val="Textonotapie"/>
        <w:ind w:firstLine="709"/>
        <w:jc w:val="both"/>
        <w:rPr>
          <w:rFonts w:ascii="Verdana" w:hAnsi="Verdana" w:cs="Arial"/>
          <w:sz w:val="16"/>
          <w:szCs w:val="16"/>
          <w:lang w:val="pt-BR"/>
        </w:rPr>
      </w:pPr>
    </w:p>
  </w:footnote>
  <w:footnote w:id="3">
    <w:p w14:paraId="26C54815" w14:textId="77777777" w:rsidR="002434BA" w:rsidRDefault="002434BA" w:rsidP="002434BA">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 xml:space="preserve">Corte Constitucional. Sentencia C-415 de 1994. M.P. Eduardo </w:t>
      </w:r>
      <w:r w:rsidRPr="001E773A">
        <w:rPr>
          <w:rFonts w:ascii="Verdana" w:hAnsi="Verdana" w:cs="Arial"/>
          <w:sz w:val="16"/>
          <w:szCs w:val="16"/>
          <w:lang w:val="es-CO"/>
        </w:rPr>
        <w:t>Cifuentes Muñoz</w:t>
      </w:r>
      <w:r w:rsidRPr="00E96901">
        <w:rPr>
          <w:rFonts w:ascii="Verdana" w:hAnsi="Verdana" w:cs="Arial"/>
          <w:sz w:val="16"/>
          <w:szCs w:val="16"/>
          <w:lang w:val="pt-BR"/>
        </w:rPr>
        <w:t>.</w:t>
      </w:r>
    </w:p>
    <w:p w14:paraId="796B23DE" w14:textId="77777777" w:rsidR="002434BA" w:rsidRPr="00E96901" w:rsidRDefault="002434BA" w:rsidP="002434BA">
      <w:pPr>
        <w:pStyle w:val="Textonotapie"/>
        <w:ind w:firstLine="709"/>
        <w:jc w:val="both"/>
        <w:rPr>
          <w:rFonts w:ascii="Verdana" w:hAnsi="Verdana" w:cs="Arial"/>
          <w:sz w:val="16"/>
          <w:szCs w:val="16"/>
          <w:lang w:val="es-ES_tradnl"/>
        </w:rPr>
      </w:pPr>
    </w:p>
  </w:footnote>
  <w:footnote w:id="4">
    <w:p w14:paraId="1E4BFE7A" w14:textId="77777777" w:rsidR="002434BA" w:rsidRDefault="002434BA" w:rsidP="002434BA">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Ibídem.</w:t>
      </w:r>
    </w:p>
    <w:p w14:paraId="646E477D" w14:textId="77777777" w:rsidR="002434BA" w:rsidRPr="00E96901" w:rsidRDefault="002434BA" w:rsidP="002434BA">
      <w:pPr>
        <w:pStyle w:val="Textonotapie"/>
        <w:ind w:firstLine="709"/>
        <w:jc w:val="both"/>
        <w:rPr>
          <w:rFonts w:ascii="Verdana" w:hAnsi="Verdana" w:cs="Arial"/>
          <w:sz w:val="16"/>
          <w:szCs w:val="16"/>
          <w:lang w:val="pt-BR"/>
        </w:rPr>
      </w:pPr>
    </w:p>
  </w:footnote>
  <w:footnote w:id="5">
    <w:p w14:paraId="75B976F3" w14:textId="77777777" w:rsidR="002434BA" w:rsidRDefault="002434BA" w:rsidP="002434BA">
      <w:pPr>
        <w:pStyle w:val="Textonotapie"/>
        <w:ind w:firstLine="709"/>
        <w:jc w:val="both"/>
        <w:rPr>
          <w:rFonts w:ascii="Verdana" w:hAnsi="Verdana" w:cs="Arial"/>
          <w:sz w:val="16"/>
          <w:szCs w:val="16"/>
          <w:lang w:val="es-CO"/>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C</w:t>
      </w:r>
      <w:r>
        <w:rPr>
          <w:rFonts w:ascii="Verdana" w:hAnsi="Verdana" w:cs="Arial"/>
          <w:sz w:val="16"/>
          <w:szCs w:val="16"/>
          <w:lang w:val="pt-BR"/>
        </w:rPr>
        <w:t>orte Constitucional</w:t>
      </w:r>
      <w:r w:rsidRPr="00E96901">
        <w:rPr>
          <w:rFonts w:ascii="Verdana" w:hAnsi="Verdana" w:cs="Arial"/>
          <w:sz w:val="16"/>
          <w:szCs w:val="16"/>
          <w:lang w:val="pt-BR"/>
        </w:rPr>
        <w:t xml:space="preserve">. </w:t>
      </w:r>
      <w:r w:rsidRPr="00E96901">
        <w:rPr>
          <w:rFonts w:ascii="Verdana" w:hAnsi="Verdana" w:cs="Arial"/>
          <w:sz w:val="16"/>
          <w:szCs w:val="16"/>
        </w:rPr>
        <w:t xml:space="preserve">Sentencia C-780 de 2001. </w:t>
      </w:r>
      <w:r w:rsidRPr="00E96901">
        <w:rPr>
          <w:rFonts w:ascii="Verdana" w:hAnsi="Verdana" w:cs="Arial"/>
          <w:sz w:val="16"/>
          <w:szCs w:val="16"/>
          <w:lang w:val="es-CO"/>
        </w:rPr>
        <w:t xml:space="preserve">M.P. Jaime Córdoba Triviño. </w:t>
      </w:r>
    </w:p>
    <w:p w14:paraId="671541BC" w14:textId="77777777" w:rsidR="002434BA" w:rsidRPr="00E96901" w:rsidRDefault="002434BA" w:rsidP="002434BA">
      <w:pPr>
        <w:pStyle w:val="Textonotapie"/>
        <w:ind w:firstLine="709"/>
        <w:jc w:val="both"/>
        <w:rPr>
          <w:rFonts w:ascii="Verdana" w:hAnsi="Verdana" w:cs="Arial"/>
          <w:sz w:val="16"/>
          <w:szCs w:val="16"/>
          <w:lang w:val="es-CO"/>
        </w:rPr>
      </w:pPr>
    </w:p>
  </w:footnote>
  <w:footnote w:id="6">
    <w:p w14:paraId="3587B412" w14:textId="77777777" w:rsidR="002434BA" w:rsidRPr="00E96901" w:rsidRDefault="002434BA" w:rsidP="002434BA">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3213EA29" w14:textId="77777777" w:rsidR="002434BA" w:rsidRDefault="002434BA" w:rsidP="002434BA">
      <w:pPr>
        <w:pStyle w:val="Textonotapie"/>
        <w:ind w:firstLine="709"/>
        <w:jc w:val="both"/>
        <w:rPr>
          <w:rFonts w:ascii="Verdana" w:hAnsi="Verdana" w:cs="Arial"/>
          <w:sz w:val="16"/>
          <w:szCs w:val="16"/>
        </w:rPr>
      </w:pPr>
      <w:r w:rsidRPr="00E96901">
        <w:rPr>
          <w:rFonts w:ascii="Verdana" w:hAnsi="Verdana" w:cs="Arial"/>
          <w:sz w:val="16"/>
          <w:szCs w:val="16"/>
        </w:rPr>
        <w:t>Las personas jurídicas nacionales y extranjeras deberán acreditar que su duración no será inferior a la del plazo del contrato y un año más”.</w:t>
      </w:r>
    </w:p>
    <w:p w14:paraId="410AF5A5" w14:textId="77777777" w:rsidR="002434BA" w:rsidRPr="00E96901" w:rsidRDefault="002434BA" w:rsidP="002434BA">
      <w:pPr>
        <w:pStyle w:val="Textonotapie"/>
        <w:ind w:firstLine="709"/>
        <w:jc w:val="both"/>
        <w:rPr>
          <w:rFonts w:ascii="Verdana" w:hAnsi="Verdana" w:cs="Arial"/>
          <w:sz w:val="16"/>
          <w:szCs w:val="16"/>
        </w:rPr>
      </w:pPr>
    </w:p>
  </w:footnote>
  <w:footnote w:id="7">
    <w:p w14:paraId="5C7E911C" w14:textId="77777777" w:rsidR="002434BA" w:rsidRPr="00E96901" w:rsidRDefault="002434BA" w:rsidP="002434BA">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Código Civil: “Artículo 1502. Requisitos para obligarse. Para que una persona se obligue a otra por un acto o declaración de voluntad, es necesario:</w:t>
      </w:r>
    </w:p>
    <w:p w14:paraId="7E91B4A9" w14:textId="77777777" w:rsidR="002434BA" w:rsidRPr="00E96901" w:rsidRDefault="002434BA" w:rsidP="002434BA">
      <w:pPr>
        <w:pStyle w:val="Textonotapie"/>
        <w:ind w:firstLine="709"/>
        <w:jc w:val="both"/>
        <w:rPr>
          <w:rFonts w:ascii="Verdana" w:hAnsi="Verdana" w:cs="Arial"/>
          <w:sz w:val="16"/>
          <w:szCs w:val="16"/>
        </w:rPr>
      </w:pPr>
      <w:r w:rsidRPr="00E96901">
        <w:rPr>
          <w:rFonts w:ascii="Verdana" w:hAnsi="Verdana" w:cs="Arial"/>
          <w:sz w:val="16"/>
          <w:szCs w:val="16"/>
        </w:rPr>
        <w:t>1o.) que sea legalmente capaz.</w:t>
      </w:r>
    </w:p>
    <w:p w14:paraId="36CCC143" w14:textId="77777777" w:rsidR="002434BA" w:rsidRPr="00E96901" w:rsidRDefault="002434BA" w:rsidP="002434BA">
      <w:pPr>
        <w:pStyle w:val="Textonotapie"/>
        <w:ind w:firstLine="709"/>
        <w:jc w:val="both"/>
        <w:rPr>
          <w:rFonts w:ascii="Verdana" w:hAnsi="Verdana" w:cs="Arial"/>
          <w:sz w:val="16"/>
          <w:szCs w:val="16"/>
        </w:rPr>
      </w:pPr>
      <w:r w:rsidRPr="00E96901">
        <w:rPr>
          <w:rFonts w:ascii="Verdana" w:hAnsi="Verdana" w:cs="Arial"/>
          <w:sz w:val="16"/>
          <w:szCs w:val="16"/>
        </w:rPr>
        <w:t>[…]</w:t>
      </w:r>
    </w:p>
    <w:p w14:paraId="681F0992" w14:textId="77777777" w:rsidR="002434BA" w:rsidRDefault="002434BA" w:rsidP="002434BA">
      <w:pPr>
        <w:pStyle w:val="Textonotapie"/>
        <w:ind w:firstLine="709"/>
        <w:jc w:val="both"/>
        <w:rPr>
          <w:rFonts w:ascii="Verdana" w:hAnsi="Verdana" w:cs="Arial"/>
          <w:sz w:val="16"/>
          <w:szCs w:val="16"/>
        </w:rPr>
      </w:pPr>
      <w:r w:rsidRPr="00E96901">
        <w:rPr>
          <w:rFonts w:ascii="Verdana" w:hAnsi="Verdana" w:cs="Arial"/>
          <w:sz w:val="16"/>
          <w:szCs w:val="16"/>
        </w:rPr>
        <w:t>La capacidad legal de una persona consiste en poderse obligar por sí misma, sin el ministerio o la autorización de otra”.</w:t>
      </w:r>
    </w:p>
    <w:p w14:paraId="09BF04E7" w14:textId="77777777" w:rsidR="002434BA" w:rsidRPr="00E96901" w:rsidRDefault="002434BA" w:rsidP="002434BA">
      <w:pPr>
        <w:pStyle w:val="Textonotapie"/>
        <w:ind w:firstLine="709"/>
        <w:jc w:val="both"/>
        <w:rPr>
          <w:rFonts w:ascii="Verdana" w:hAnsi="Verdana" w:cs="Arial"/>
          <w:sz w:val="16"/>
          <w:szCs w:val="16"/>
        </w:rPr>
      </w:pPr>
    </w:p>
  </w:footnote>
  <w:footnote w:id="8">
    <w:p w14:paraId="002BC3C0" w14:textId="77777777" w:rsidR="002434BA" w:rsidRDefault="002434BA" w:rsidP="002434BA">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Decreto Ley 19 de 2012: “Artículo 221. El artículo 6 de la Ley 1150 de 2007, quedará así:</w:t>
      </w:r>
    </w:p>
    <w:p w14:paraId="2A014836" w14:textId="77777777" w:rsidR="002434BA" w:rsidRPr="00E96901" w:rsidRDefault="002434BA" w:rsidP="002434BA">
      <w:pPr>
        <w:pStyle w:val="Textonotapie"/>
        <w:ind w:firstLine="709"/>
        <w:jc w:val="both"/>
        <w:rPr>
          <w:rFonts w:ascii="Verdana" w:hAnsi="Verdana" w:cs="Arial"/>
          <w:sz w:val="16"/>
          <w:szCs w:val="16"/>
        </w:rPr>
      </w:pPr>
    </w:p>
    <w:p w14:paraId="0E3C0096" w14:textId="77777777" w:rsidR="002434BA" w:rsidRPr="00E96901" w:rsidRDefault="002434BA" w:rsidP="002434BA">
      <w:pPr>
        <w:pStyle w:val="Textonotapie"/>
        <w:ind w:firstLine="709"/>
        <w:jc w:val="both"/>
        <w:rPr>
          <w:rFonts w:ascii="Verdana" w:hAnsi="Verdana" w:cs="Arial"/>
          <w:sz w:val="16"/>
          <w:szCs w:val="16"/>
          <w:lang w:val="es-ES"/>
        </w:rPr>
      </w:pPr>
      <w:r w:rsidRPr="00E96901">
        <w:rPr>
          <w:rFonts w:ascii="Verdana" w:hAnsi="Verdana" w:cs="Arial"/>
          <w:sz w:val="16"/>
          <w:szCs w:val="16"/>
        </w:rPr>
        <w:t>Artículo 6. De la verificación de las condiciones de los proponentes. T</w:t>
      </w:r>
      <w:r w:rsidRPr="00E96901">
        <w:rPr>
          <w:rFonts w:ascii="Verdana" w:hAnsi="Verdana" w:cs="Arial"/>
          <w:sz w:val="16"/>
          <w:szCs w:val="16"/>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EEF2880" w14:textId="77777777" w:rsidR="002434BA" w:rsidRDefault="002434BA" w:rsidP="002434BA">
      <w:pPr>
        <w:pStyle w:val="Textonotapie"/>
        <w:ind w:firstLine="709"/>
        <w:jc w:val="both"/>
        <w:rPr>
          <w:rFonts w:ascii="Verdana" w:hAnsi="Verdana" w:cs="Arial"/>
          <w:sz w:val="16"/>
          <w:szCs w:val="16"/>
          <w:lang w:val="es-ES"/>
        </w:rPr>
      </w:pPr>
      <w:r w:rsidRPr="00E96901">
        <w:rPr>
          <w:rFonts w:ascii="Verdana" w:hAnsi="Verdana"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7F17E35" w14:textId="77777777" w:rsidR="002434BA" w:rsidRPr="00E96901" w:rsidRDefault="002434BA" w:rsidP="002434BA">
      <w:pPr>
        <w:pStyle w:val="Textonotapie"/>
        <w:ind w:firstLine="709"/>
        <w:jc w:val="both"/>
        <w:rPr>
          <w:rFonts w:ascii="Verdana" w:hAnsi="Verdana" w:cs="Arial"/>
          <w:sz w:val="16"/>
          <w:szCs w:val="16"/>
          <w:lang w:val="es-ES"/>
        </w:rPr>
      </w:pPr>
    </w:p>
  </w:footnote>
  <w:footnote w:id="9">
    <w:p w14:paraId="76838A92" w14:textId="77777777" w:rsidR="002434BA" w:rsidRDefault="002434BA" w:rsidP="002434BA">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E96901">
        <w:rPr>
          <w:rFonts w:ascii="Verdana" w:hAnsi="Verdana" w:cs="Arial"/>
          <w:i/>
          <w:iCs/>
          <w:sz w:val="16"/>
          <w:szCs w:val="16"/>
          <w:lang w:val="es-ES"/>
        </w:rPr>
        <w:t>el régimen de inhabilidades e incompatibilidades</w:t>
      </w:r>
      <w:r w:rsidRPr="00E96901">
        <w:rPr>
          <w:rFonts w:ascii="Verdana" w:hAnsi="Verdana" w:cs="Arial"/>
          <w:sz w:val="16"/>
          <w:szCs w:val="16"/>
          <w:lang w:val="es-ES"/>
        </w:rPr>
        <w:t xml:space="preserve"> (1) y la obligación de ciertos proponentes de inscribirse en el </w:t>
      </w:r>
      <w:r w:rsidRPr="00E96901">
        <w:rPr>
          <w:rFonts w:ascii="Verdana" w:hAnsi="Verdana" w:cs="Arial"/>
          <w:i/>
          <w:iCs/>
          <w:sz w:val="16"/>
          <w:szCs w:val="16"/>
          <w:lang w:val="es-ES"/>
        </w:rPr>
        <w:t>registro único</w:t>
      </w:r>
      <w:r w:rsidRPr="00E96901">
        <w:rPr>
          <w:rFonts w:ascii="Verdana" w:hAnsi="Verdana" w:cs="Arial"/>
          <w:sz w:val="16"/>
          <w:szCs w:val="16"/>
          <w:lang w:val="es-ES"/>
        </w:rPr>
        <w:t xml:space="preserve"> (2)” (BENAVIDES, José Luis. El contrato estatal. Entre el Derecho público y el Derecho privado. 2ª ed. Bogotá: Universidad Externado de Colombia, 2004. p. 278). </w:t>
      </w:r>
    </w:p>
    <w:p w14:paraId="2F6802A5" w14:textId="77777777" w:rsidR="002434BA" w:rsidRPr="00E96901" w:rsidRDefault="002434BA" w:rsidP="002434BA">
      <w:pPr>
        <w:pStyle w:val="Textonotapie"/>
        <w:ind w:firstLine="709"/>
        <w:jc w:val="both"/>
        <w:rPr>
          <w:rFonts w:ascii="Verdana" w:hAnsi="Verdana" w:cs="Arial"/>
          <w:sz w:val="16"/>
          <w:szCs w:val="16"/>
          <w:lang w:val="es-ES"/>
        </w:rPr>
      </w:pPr>
    </w:p>
  </w:footnote>
  <w:footnote w:id="10">
    <w:p w14:paraId="443A344E" w14:textId="77777777" w:rsidR="002434BA" w:rsidRDefault="002434BA" w:rsidP="002434BA">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En esta línea Dávila Vinueza Expresa: “El legislador para calificar estas prohibiciones emplea dos vocablos: Inhabilidades o incompatibilidades, los cuales en un examen desprevenido podrían sugerir ideas diferentes </w:t>
      </w:r>
      <w:r w:rsidRPr="00E96901">
        <w:rPr>
          <w:rFonts w:ascii="Verdana" w:hAnsi="Verdana" w:cs="Arial"/>
          <w:sz w:val="16"/>
          <w:szCs w:val="16"/>
        </w:rPr>
        <w:t>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p w14:paraId="07F56F4D" w14:textId="77777777" w:rsidR="002434BA" w:rsidRPr="00E96901" w:rsidRDefault="002434BA" w:rsidP="002434BA">
      <w:pPr>
        <w:pStyle w:val="Textonotapie"/>
        <w:ind w:firstLine="709"/>
        <w:jc w:val="both"/>
        <w:rPr>
          <w:rFonts w:ascii="Verdana" w:hAnsi="Verdana" w:cs="Arial"/>
          <w:sz w:val="16"/>
          <w:szCs w:val="16"/>
        </w:rPr>
      </w:pPr>
    </w:p>
  </w:footnote>
  <w:footnote w:id="11">
    <w:p w14:paraId="6DBBA414" w14:textId="77777777" w:rsidR="002434BA" w:rsidRDefault="002434BA" w:rsidP="002434BA">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Ibídem. p. 69.</w:t>
      </w:r>
    </w:p>
    <w:p w14:paraId="52927B91" w14:textId="77777777" w:rsidR="002434BA" w:rsidRPr="00E96901" w:rsidRDefault="002434BA" w:rsidP="002434BA">
      <w:pPr>
        <w:pStyle w:val="Textonotapie"/>
        <w:ind w:firstLine="709"/>
        <w:jc w:val="both"/>
        <w:rPr>
          <w:rFonts w:ascii="Verdana" w:hAnsi="Verdana" w:cs="Arial"/>
          <w:sz w:val="16"/>
          <w:szCs w:val="16"/>
          <w:lang w:val="es-ES"/>
        </w:rPr>
      </w:pPr>
    </w:p>
  </w:footnote>
  <w:footnote w:id="12">
    <w:p w14:paraId="589B3D85" w14:textId="77777777" w:rsidR="002434BA" w:rsidRDefault="002434BA" w:rsidP="002434BA">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 xml:space="preserve">Corte Constitucional. Sentencia T-1039 de 2006. </w:t>
      </w:r>
      <w:r w:rsidRPr="0060300C">
        <w:rPr>
          <w:rFonts w:ascii="Verdana" w:hAnsi="Verdana" w:cs="Arial"/>
          <w:sz w:val="16"/>
          <w:szCs w:val="16"/>
          <w:lang w:val="it-CH"/>
        </w:rPr>
        <w:t xml:space="preserve">M.P. Humberto Sierra Porto. </w:t>
      </w:r>
      <w:r w:rsidRPr="00E96901">
        <w:rPr>
          <w:rFonts w:ascii="Verdana" w:hAnsi="Verdana" w:cs="Arial"/>
          <w:sz w:val="16"/>
          <w:szCs w:val="16"/>
          <w:lang w:val="es-ES"/>
        </w:rPr>
        <w:t xml:space="preserve">La Corte Constitucional ha mantenido este criterio en las sentencias: C-903 de 2008. M.P. Jaime Araujo Rentería; C-101 de 2018. M.P. Gloria Stella Ortiz Delgado; entre otras. </w:t>
      </w:r>
    </w:p>
    <w:p w14:paraId="5693FAF8" w14:textId="77777777" w:rsidR="002434BA" w:rsidRPr="00E96901" w:rsidRDefault="002434BA" w:rsidP="002434BA">
      <w:pPr>
        <w:pStyle w:val="Textonotapie"/>
        <w:ind w:firstLine="709"/>
        <w:jc w:val="both"/>
        <w:rPr>
          <w:rFonts w:ascii="Verdana" w:hAnsi="Verdana" w:cs="Arial"/>
          <w:sz w:val="16"/>
          <w:szCs w:val="16"/>
          <w:lang w:val="es-ES"/>
        </w:rPr>
      </w:pPr>
    </w:p>
  </w:footnote>
  <w:footnote w:id="13">
    <w:p w14:paraId="060FEC44" w14:textId="77777777" w:rsidR="002434BA" w:rsidRDefault="002434BA" w:rsidP="002434BA">
      <w:pPr>
        <w:pStyle w:val="Textonotapie"/>
        <w:ind w:firstLine="709"/>
        <w:jc w:val="both"/>
        <w:rPr>
          <w:rFonts w:ascii="Verdana" w:hAnsi="Verdana" w:cs="Arial"/>
          <w:sz w:val="16"/>
          <w:szCs w:val="16"/>
          <w:lang w:val="es-ES"/>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es-ES"/>
        </w:rPr>
        <w:t xml:space="preserve">Consejo </w:t>
      </w:r>
      <w:r>
        <w:rPr>
          <w:rFonts w:ascii="Verdana" w:hAnsi="Verdana" w:cs="Arial"/>
          <w:sz w:val="16"/>
          <w:szCs w:val="16"/>
          <w:lang w:val="es-ES"/>
        </w:rPr>
        <w:t>d</w:t>
      </w:r>
      <w:r w:rsidRPr="00E96901">
        <w:rPr>
          <w:rFonts w:ascii="Verdana" w:hAnsi="Verdana" w:cs="Arial"/>
          <w:sz w:val="16"/>
          <w:szCs w:val="16"/>
          <w:lang w:val="es-ES"/>
        </w:rPr>
        <w:t xml:space="preserve">e Estado. Sala de Consulta y Servicio Civil. Concepto del 30 de abril de 2015. </w:t>
      </w:r>
      <w:r w:rsidRPr="00E96901">
        <w:rPr>
          <w:rFonts w:ascii="Verdana" w:hAnsi="Verdana" w:cs="Arial"/>
          <w:sz w:val="16"/>
          <w:szCs w:val="16"/>
          <w:lang w:val="es-ES"/>
        </w:rPr>
        <w:t>Exp. 2251. C.P. Álvaro Namén Vargas.</w:t>
      </w:r>
    </w:p>
    <w:p w14:paraId="2BE79CF5" w14:textId="77777777" w:rsidR="002434BA" w:rsidRPr="00E96901" w:rsidRDefault="002434BA" w:rsidP="002434BA">
      <w:pPr>
        <w:pStyle w:val="Textonotapie"/>
        <w:ind w:firstLine="709"/>
        <w:jc w:val="both"/>
        <w:rPr>
          <w:rFonts w:ascii="Verdana" w:hAnsi="Verdana" w:cs="Arial"/>
          <w:sz w:val="16"/>
          <w:szCs w:val="16"/>
          <w:lang w:val="es-ES"/>
        </w:rPr>
      </w:pPr>
    </w:p>
  </w:footnote>
  <w:footnote w:id="14">
    <w:p w14:paraId="6F7D3BF1" w14:textId="77777777" w:rsidR="002434BA" w:rsidRDefault="002434BA" w:rsidP="002434BA">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Consejo </w:t>
      </w:r>
      <w:r>
        <w:rPr>
          <w:rFonts w:ascii="Verdana" w:hAnsi="Verdana" w:cs="Arial"/>
          <w:sz w:val="16"/>
          <w:szCs w:val="16"/>
        </w:rPr>
        <w:t>d</w:t>
      </w:r>
      <w:r w:rsidRPr="00E96901">
        <w:rPr>
          <w:rFonts w:ascii="Verdana" w:hAnsi="Verdana" w:cs="Arial"/>
          <w:sz w:val="16"/>
          <w:szCs w:val="16"/>
        </w:rPr>
        <w:t xml:space="preserve">e Estado. </w:t>
      </w:r>
      <w:r>
        <w:rPr>
          <w:rFonts w:ascii="Verdana" w:hAnsi="Verdana" w:cs="Arial"/>
          <w:sz w:val="16"/>
          <w:szCs w:val="16"/>
        </w:rPr>
        <w:t xml:space="preserve">Sala de lo Contencioso Administrativo. </w:t>
      </w:r>
      <w:r w:rsidRPr="00E96901">
        <w:rPr>
          <w:rFonts w:ascii="Verdana" w:hAnsi="Verdana" w:cs="Arial"/>
          <w:sz w:val="16"/>
          <w:szCs w:val="16"/>
        </w:rPr>
        <w:t xml:space="preserve">Sección Tercera. Subsección A. Sentencia del 24 de junio de 2015. </w:t>
      </w:r>
      <w:r w:rsidRPr="00E96901">
        <w:rPr>
          <w:rFonts w:ascii="Verdana" w:hAnsi="Verdana" w:cs="Arial"/>
          <w:sz w:val="16"/>
          <w:szCs w:val="16"/>
        </w:rPr>
        <w:t>Exp. 40.635. C.P. Hernán Andrade Rincón (E).</w:t>
      </w:r>
    </w:p>
    <w:p w14:paraId="32717DB2" w14:textId="77777777" w:rsidR="002434BA" w:rsidRPr="00E96901" w:rsidRDefault="002434BA" w:rsidP="002434BA">
      <w:pPr>
        <w:pStyle w:val="Textonotapie"/>
        <w:ind w:firstLine="709"/>
        <w:jc w:val="both"/>
        <w:rPr>
          <w:rFonts w:ascii="Verdana" w:hAnsi="Verdana" w:cs="Arial"/>
          <w:sz w:val="16"/>
          <w:szCs w:val="16"/>
        </w:rPr>
      </w:pPr>
    </w:p>
  </w:footnote>
  <w:footnote w:id="15">
    <w:p w14:paraId="46EFD3EE" w14:textId="77777777" w:rsidR="002434BA" w:rsidRDefault="002434BA" w:rsidP="002434BA">
      <w:pPr>
        <w:pStyle w:val="Textonotapie"/>
        <w:ind w:firstLine="709"/>
        <w:jc w:val="both"/>
        <w:rPr>
          <w:rFonts w:ascii="Verdana" w:hAnsi="Verdana" w:cs="Arial"/>
          <w:sz w:val="16"/>
          <w:szCs w:val="16"/>
        </w:rPr>
      </w:pPr>
      <w:r w:rsidRPr="00E96901">
        <w:rPr>
          <w:rStyle w:val="Refdenotaalpie"/>
          <w:rFonts w:ascii="Verdana" w:hAnsi="Verdana" w:cs="Arial"/>
          <w:sz w:val="16"/>
          <w:szCs w:val="16"/>
        </w:rPr>
        <w:footnoteRef/>
      </w:r>
      <w:r w:rsidRPr="00E96901">
        <w:rPr>
          <w:rFonts w:ascii="Verdana" w:hAnsi="Verdana" w:cs="Arial"/>
          <w:sz w:val="16"/>
          <w:szCs w:val="16"/>
        </w:rPr>
        <w:t xml:space="preserve"> Consejo </w:t>
      </w:r>
      <w:r>
        <w:rPr>
          <w:rFonts w:ascii="Verdana" w:hAnsi="Verdana" w:cs="Arial"/>
          <w:sz w:val="16"/>
          <w:szCs w:val="16"/>
        </w:rPr>
        <w:t>d</w:t>
      </w:r>
      <w:r w:rsidRPr="00E96901">
        <w:rPr>
          <w:rFonts w:ascii="Verdana" w:hAnsi="Verdana" w:cs="Arial"/>
          <w:sz w:val="16"/>
          <w:szCs w:val="16"/>
        </w:rPr>
        <w:t xml:space="preserve">e Estado. </w:t>
      </w:r>
      <w:r>
        <w:rPr>
          <w:rFonts w:ascii="Verdana" w:hAnsi="Verdana" w:cs="Arial"/>
          <w:sz w:val="16"/>
          <w:szCs w:val="16"/>
        </w:rPr>
        <w:t xml:space="preserve">Sala de lo Contencioso Administrativo. </w:t>
      </w:r>
      <w:r w:rsidRPr="00E96901">
        <w:rPr>
          <w:rFonts w:ascii="Verdana" w:hAnsi="Verdana" w:cs="Arial"/>
          <w:sz w:val="16"/>
          <w:szCs w:val="16"/>
        </w:rPr>
        <w:t xml:space="preserve">Sección Tercera. Subsección C. Sentencia del 22 de mayo de 2013. Rad. 24.057. C.P. Olga Mélida Valle </w:t>
      </w:r>
      <w:r>
        <w:rPr>
          <w:rFonts w:ascii="Verdana" w:hAnsi="Verdana" w:cs="Arial"/>
          <w:sz w:val="16"/>
          <w:szCs w:val="16"/>
        </w:rPr>
        <w:t>d</w:t>
      </w:r>
      <w:r w:rsidRPr="00E96901">
        <w:rPr>
          <w:rFonts w:ascii="Verdana" w:hAnsi="Verdana" w:cs="Arial"/>
          <w:sz w:val="16"/>
          <w:szCs w:val="16"/>
        </w:rPr>
        <w:t xml:space="preserve">e </w:t>
      </w:r>
      <w:r w:rsidRPr="00E96901">
        <w:rPr>
          <w:rFonts w:ascii="Verdana" w:hAnsi="Verdana" w:cs="Arial"/>
          <w:sz w:val="16"/>
          <w:szCs w:val="16"/>
        </w:rPr>
        <w:t xml:space="preserve">De La Hoz. </w:t>
      </w:r>
    </w:p>
    <w:p w14:paraId="79A22920" w14:textId="77777777" w:rsidR="002434BA" w:rsidRPr="00E96901" w:rsidRDefault="002434BA" w:rsidP="002434BA">
      <w:pPr>
        <w:pStyle w:val="Textonotapie"/>
        <w:ind w:firstLine="709"/>
        <w:jc w:val="both"/>
        <w:rPr>
          <w:rFonts w:ascii="Verdana" w:hAnsi="Verdana" w:cs="Arial"/>
          <w:sz w:val="16"/>
          <w:szCs w:val="16"/>
          <w:lang w:val="es-ES_tradnl"/>
        </w:rPr>
      </w:pPr>
    </w:p>
  </w:footnote>
  <w:footnote w:id="16">
    <w:p w14:paraId="5D109E65" w14:textId="3E766441" w:rsidR="002434BA" w:rsidRDefault="002434BA" w:rsidP="004626CA">
      <w:pPr>
        <w:pStyle w:val="Textonotapie"/>
        <w:ind w:firstLine="709"/>
        <w:jc w:val="both"/>
        <w:rPr>
          <w:rFonts w:ascii="Verdana" w:hAnsi="Verdana" w:cs="Arial"/>
          <w:sz w:val="16"/>
          <w:szCs w:val="16"/>
          <w:lang w:val="pt-BR"/>
        </w:rPr>
      </w:pPr>
      <w:r w:rsidRPr="00E96901">
        <w:rPr>
          <w:rStyle w:val="Refdenotaalpie"/>
          <w:rFonts w:ascii="Verdana" w:hAnsi="Verdana" w:cs="Arial"/>
          <w:sz w:val="16"/>
          <w:szCs w:val="16"/>
        </w:rPr>
        <w:footnoteRef/>
      </w:r>
      <w:r w:rsidRPr="00E96901">
        <w:rPr>
          <w:rFonts w:ascii="Verdana" w:hAnsi="Verdana" w:cs="Arial"/>
          <w:sz w:val="16"/>
          <w:szCs w:val="16"/>
        </w:rPr>
        <w:t xml:space="preserve"> </w:t>
      </w:r>
      <w:r w:rsidRPr="00E96901">
        <w:rPr>
          <w:rFonts w:ascii="Verdana" w:hAnsi="Verdana" w:cs="Arial"/>
          <w:sz w:val="16"/>
          <w:szCs w:val="16"/>
          <w:lang w:val="pt-BR"/>
        </w:rPr>
        <w:t xml:space="preserve">Corte Constitucional. Sentencia C-415 de 1994. M.P. Eduardo </w:t>
      </w:r>
      <w:r w:rsidRPr="00E96901">
        <w:rPr>
          <w:rFonts w:ascii="Verdana" w:hAnsi="Verdana" w:cs="Arial"/>
          <w:sz w:val="16"/>
          <w:szCs w:val="16"/>
          <w:lang w:val="pt-BR"/>
        </w:rPr>
        <w:t>Cifuentes Muñoz.</w:t>
      </w:r>
    </w:p>
    <w:p w14:paraId="5EF0F6EB" w14:textId="77777777" w:rsidR="002434BA" w:rsidRPr="00E96901" w:rsidRDefault="002434BA" w:rsidP="002434BA">
      <w:pPr>
        <w:pStyle w:val="Textonotapie"/>
        <w:ind w:firstLine="709"/>
        <w:jc w:val="both"/>
        <w:rPr>
          <w:rFonts w:ascii="Verdana" w:hAnsi="Verdana" w:cs="Arial"/>
          <w:sz w:val="16"/>
          <w:szCs w:val="16"/>
          <w:lang w:val="pt-BR"/>
        </w:rPr>
      </w:pPr>
    </w:p>
  </w:footnote>
  <w:footnote w:id="17">
    <w:p w14:paraId="61996693" w14:textId="77777777" w:rsidR="002434BA" w:rsidRPr="00821723" w:rsidRDefault="002434BA" w:rsidP="002434BA">
      <w:pPr>
        <w:pStyle w:val="Textonotapie"/>
        <w:ind w:firstLine="708"/>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Al respecto, el artículo 887 del Código de Comercio dispone lo siguiente: “En los contratos mercantiles de ejecución periódica o sucesiva cada una de las partes podrá hacerse sustituir por un tercero, en la totalidad o en parte de las relaciones derivadas del contrato, sin necesidad de aceptación expresa del contratante cedido, si por la ley o por estipulación de las mismas partes no se ha prohibido o limitado dicha sustitución.</w:t>
      </w:r>
    </w:p>
    <w:p w14:paraId="55010618" w14:textId="77777777" w:rsidR="002434BA" w:rsidRPr="00821723" w:rsidRDefault="002434BA" w:rsidP="002434BA">
      <w:pPr>
        <w:pStyle w:val="Textonotapie"/>
        <w:ind w:firstLine="708"/>
        <w:jc w:val="both"/>
        <w:rPr>
          <w:rFonts w:ascii="Verdana" w:hAnsi="Verdana" w:cs="Arial"/>
          <w:sz w:val="16"/>
          <w:szCs w:val="16"/>
        </w:rPr>
      </w:pPr>
      <w:r w:rsidRPr="00821723">
        <w:rPr>
          <w:rFonts w:ascii="Verdana" w:hAnsi="Verdana" w:cs="Arial"/>
          <w:sz w:val="16"/>
          <w:szCs w:val="16"/>
        </w:rPr>
        <w:t xml:space="preserve">La misma sustitución podrá hacerse en los contratos mercantiles de ejecución instantánea que aún no hayan sido cumplidos en todo o en parte, y en los celebrados </w:t>
      </w:r>
      <w:r w:rsidRPr="00821723">
        <w:rPr>
          <w:rFonts w:ascii="Verdana" w:hAnsi="Verdana" w:cs="Arial"/>
          <w:i/>
          <w:iCs/>
          <w:sz w:val="16"/>
          <w:szCs w:val="16"/>
        </w:rPr>
        <w:t>intuitu personae</w:t>
      </w:r>
      <w:r w:rsidRPr="00821723">
        <w:rPr>
          <w:rFonts w:ascii="Verdana" w:hAnsi="Verdana" w:cs="Arial"/>
          <w:sz w:val="16"/>
          <w:szCs w:val="16"/>
        </w:rPr>
        <w:t>, pero en estos casos será necesaria la aceptación del contratante cedido”.</w:t>
      </w:r>
    </w:p>
    <w:p w14:paraId="2353A7C1" w14:textId="77777777" w:rsidR="002434BA" w:rsidRDefault="002434BA" w:rsidP="002434BA">
      <w:pPr>
        <w:pStyle w:val="Textonotapie"/>
        <w:ind w:firstLine="708"/>
        <w:jc w:val="both"/>
        <w:rPr>
          <w:rFonts w:ascii="Verdana" w:hAnsi="Verdana" w:cs="Arial"/>
          <w:sz w:val="16"/>
          <w:szCs w:val="16"/>
        </w:rPr>
      </w:pPr>
      <w:r w:rsidRPr="00821723">
        <w:rPr>
          <w:rFonts w:ascii="Verdana" w:hAnsi="Verdana" w:cs="Arial"/>
          <w:sz w:val="16"/>
          <w:szCs w:val="16"/>
        </w:rPr>
        <w:t>En contraste, el artículo 1959 del Código Civil prescribe que “La cesión de un crédito, a cualquier título que se haga, no tendrá efecto entre el cedente y el cesionario sino en virtud de la entrega del título. Pero si el crédito que se cede no consta en documento, la cesión puede hacerse otorgándose uno por el cedente al cesionario, y en este caso la notificación de que trata el artículo 1961 debe hacerse con exhibición de dicho documento”.</w:t>
      </w:r>
    </w:p>
    <w:p w14:paraId="5B575334" w14:textId="77777777" w:rsidR="002434BA" w:rsidRPr="00821723" w:rsidRDefault="002434BA" w:rsidP="002434BA">
      <w:pPr>
        <w:pStyle w:val="Textonotapie"/>
        <w:ind w:firstLine="708"/>
        <w:jc w:val="both"/>
        <w:rPr>
          <w:rFonts w:ascii="Verdana" w:hAnsi="Verdana" w:cs="Arial"/>
          <w:sz w:val="16"/>
          <w:szCs w:val="16"/>
        </w:rPr>
      </w:pPr>
    </w:p>
  </w:footnote>
  <w:footnote w:id="18">
    <w:p w14:paraId="401FE5A8" w14:textId="77777777" w:rsidR="002434BA" w:rsidRDefault="002434BA" w:rsidP="002434BA">
      <w:pPr>
        <w:pStyle w:val="Textonotapie"/>
        <w:ind w:firstLine="708"/>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lang w:val="it-CH"/>
        </w:rPr>
        <w:t xml:space="preserve"> MESSINEO, Francesco. Doctrina general del contrato. </w:t>
      </w:r>
      <w:r w:rsidRPr="00821723">
        <w:rPr>
          <w:rFonts w:ascii="Verdana" w:hAnsi="Verdana" w:cs="Arial"/>
          <w:sz w:val="16"/>
          <w:szCs w:val="16"/>
        </w:rPr>
        <w:t xml:space="preserve">Santiago: </w:t>
      </w:r>
      <w:r w:rsidRPr="00821723">
        <w:rPr>
          <w:rFonts w:ascii="Verdana" w:hAnsi="Verdana" w:cs="Arial"/>
          <w:sz w:val="16"/>
          <w:szCs w:val="16"/>
        </w:rPr>
        <w:t>Olejnik, 2018. p. 633. Énfasis dentro del texto).</w:t>
      </w:r>
    </w:p>
    <w:p w14:paraId="22BA29DC" w14:textId="77777777" w:rsidR="002434BA" w:rsidRPr="00821723" w:rsidRDefault="002434BA" w:rsidP="002434BA">
      <w:pPr>
        <w:pStyle w:val="Textonotapie"/>
        <w:ind w:firstLine="708"/>
        <w:jc w:val="both"/>
        <w:rPr>
          <w:rFonts w:ascii="Verdana" w:hAnsi="Verdana" w:cs="Arial"/>
          <w:sz w:val="16"/>
          <w:szCs w:val="16"/>
        </w:rPr>
      </w:pPr>
    </w:p>
  </w:footnote>
  <w:footnote w:id="19">
    <w:p w14:paraId="19E5D086" w14:textId="6427625C" w:rsidR="002434BA" w:rsidRDefault="002434BA" w:rsidP="002434BA">
      <w:pPr>
        <w:pStyle w:val="Textonotapie"/>
        <w:ind w:firstLine="709"/>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ROPPO, </w:t>
      </w:r>
      <w:r w:rsidRPr="00821723">
        <w:rPr>
          <w:rFonts w:ascii="Verdana" w:hAnsi="Verdana" w:cs="Arial"/>
          <w:sz w:val="16"/>
          <w:szCs w:val="16"/>
        </w:rPr>
        <w:t>Vincenzo. El contrato. Lima: Gaceta Jurídica, 2009. p. 547.</w:t>
      </w:r>
    </w:p>
    <w:p w14:paraId="123BB46A" w14:textId="77777777" w:rsidR="002434BA" w:rsidRPr="00821723" w:rsidRDefault="002434BA" w:rsidP="002434BA">
      <w:pPr>
        <w:pStyle w:val="Textonotapie"/>
        <w:ind w:firstLine="709"/>
        <w:jc w:val="both"/>
        <w:rPr>
          <w:rFonts w:ascii="Verdana" w:hAnsi="Verdana" w:cs="Arial"/>
          <w:sz w:val="16"/>
          <w:szCs w:val="16"/>
        </w:rPr>
      </w:pPr>
    </w:p>
  </w:footnote>
  <w:footnote w:id="20">
    <w:p w14:paraId="1784F50B" w14:textId="77777777" w:rsidR="002434BA" w:rsidRDefault="002434BA" w:rsidP="002434BA">
      <w:pPr>
        <w:pStyle w:val="Textonotapie"/>
        <w:ind w:firstLine="709"/>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w:t>
      </w:r>
      <w:r w:rsidRPr="00821723">
        <w:rPr>
          <w:rFonts w:ascii="Verdana" w:hAnsi="Verdana" w:cs="Arial"/>
          <w:i/>
          <w:iCs/>
          <w:sz w:val="16"/>
          <w:szCs w:val="16"/>
        </w:rPr>
        <w:t>Ibidem</w:t>
      </w:r>
      <w:r w:rsidRPr="00821723">
        <w:rPr>
          <w:rFonts w:ascii="Verdana" w:hAnsi="Verdana" w:cs="Arial"/>
          <w:sz w:val="16"/>
          <w:szCs w:val="16"/>
        </w:rPr>
        <w:t>.</w:t>
      </w:r>
    </w:p>
    <w:p w14:paraId="62B952C1" w14:textId="77777777" w:rsidR="002434BA" w:rsidRPr="00821723" w:rsidRDefault="002434BA" w:rsidP="002434BA">
      <w:pPr>
        <w:pStyle w:val="Textonotapie"/>
        <w:ind w:firstLine="709"/>
        <w:jc w:val="both"/>
        <w:rPr>
          <w:rFonts w:ascii="Verdana" w:hAnsi="Verdana" w:cs="Arial"/>
          <w:sz w:val="16"/>
          <w:szCs w:val="16"/>
        </w:rPr>
      </w:pPr>
    </w:p>
  </w:footnote>
  <w:footnote w:id="21">
    <w:p w14:paraId="7AA892F2" w14:textId="77777777" w:rsidR="002434BA" w:rsidRDefault="002434BA" w:rsidP="002434BA">
      <w:pPr>
        <w:pStyle w:val="Textonotapie"/>
        <w:ind w:firstLine="709"/>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HINESTROSA, Fernando. Tratado de las obligaciones: concepto, estructura y vicisitudes. Tercera Edición. Bogotá: Universidad Externado de Colombia, 2007. Libro en formato EPUB. En contraste con la cesión de créditos, “La cesión de contrato […] al permitir la sustitución de una de las partes en el contrato que se ejecuta, valida al tercero cesionario para que adquiera los derechos y las obligaciones que correspondían al contratante cedente como efectos del contrato. Es decir, lo que en realidad se cede, es mucho más que las posiciones o lados activos de las relaciones obligacionales. se cede también el lado pasivo, pues del contrato surgen como efecto obligaciones y derechos para las partes y la cesión de la posición contractual de una de ellas coloca al tercero cesionario en su lugar, en las mismas circunstancias frente al otro contratante” (ARRUBLA PAUCAR, Jaime Alberto. Contratos mercantiles: teoría general del negocio mercantil. Decimocuarta Edición. Bogotá: Legis, 2021. p. 251).   </w:t>
      </w:r>
    </w:p>
    <w:p w14:paraId="301A5024" w14:textId="77777777" w:rsidR="002434BA" w:rsidRPr="00821723" w:rsidRDefault="002434BA" w:rsidP="002434BA">
      <w:pPr>
        <w:pStyle w:val="Textonotapie"/>
        <w:ind w:firstLine="709"/>
        <w:jc w:val="both"/>
        <w:rPr>
          <w:rFonts w:ascii="Verdana" w:hAnsi="Verdana" w:cs="Arial"/>
          <w:sz w:val="16"/>
          <w:szCs w:val="16"/>
        </w:rPr>
      </w:pPr>
    </w:p>
  </w:footnote>
  <w:footnote w:id="22">
    <w:p w14:paraId="7C81433A" w14:textId="77777777" w:rsidR="002434BA" w:rsidRDefault="002434BA" w:rsidP="002434BA">
      <w:pPr>
        <w:pStyle w:val="Textonotapie"/>
        <w:ind w:firstLine="709"/>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Código de Comercio: “Artículo 890. El que cede un contrato se obliga a responder de la existencia y validez </w:t>
      </w:r>
      <w:r w:rsidRPr="00821723">
        <w:rPr>
          <w:rFonts w:ascii="Verdana" w:hAnsi="Verdana" w:cs="Arial"/>
          <w:sz w:val="16"/>
          <w:szCs w:val="16"/>
        </w:rPr>
        <w:t>del mismo y de sus garantías, pero, salvo estipulación expresa en contrario, no responderá de su cumplimiento por parte del otro contratante y de los garantes”.</w:t>
      </w:r>
    </w:p>
    <w:p w14:paraId="05FCF339" w14:textId="77777777" w:rsidR="002434BA" w:rsidRPr="00821723" w:rsidRDefault="002434BA" w:rsidP="002434BA">
      <w:pPr>
        <w:pStyle w:val="Textonotapie"/>
        <w:ind w:firstLine="709"/>
        <w:jc w:val="both"/>
        <w:rPr>
          <w:rFonts w:ascii="Verdana" w:hAnsi="Verdana" w:cs="Arial"/>
          <w:sz w:val="16"/>
          <w:szCs w:val="16"/>
        </w:rPr>
      </w:pPr>
    </w:p>
  </w:footnote>
  <w:footnote w:id="23">
    <w:p w14:paraId="540B7B97" w14:textId="77777777" w:rsidR="002434BA" w:rsidRDefault="002434BA" w:rsidP="002434BA">
      <w:pPr>
        <w:pStyle w:val="Textonotapie"/>
        <w:ind w:firstLine="709"/>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Código de Comercio: “Artículo 891: Cuando el cedente se obliga a responder del cumplimiento del contrato por parte del contratante cedido, el cesionario deberá darle aviso dentro de los diez días siguientes a la mora o al incumplimiento, so pena de ser exonerado el cedente de la obligación de la garantía contraída con el cesionario”.</w:t>
      </w:r>
    </w:p>
    <w:p w14:paraId="57913E4C" w14:textId="77777777" w:rsidR="002434BA" w:rsidRPr="00821723" w:rsidRDefault="002434BA" w:rsidP="002434BA">
      <w:pPr>
        <w:pStyle w:val="Textonotapie"/>
        <w:ind w:firstLine="709"/>
        <w:jc w:val="both"/>
        <w:rPr>
          <w:rFonts w:ascii="Verdana" w:hAnsi="Verdana" w:cs="Arial"/>
          <w:sz w:val="16"/>
          <w:szCs w:val="16"/>
          <w:lang w:val="es-CO"/>
        </w:rPr>
      </w:pPr>
    </w:p>
  </w:footnote>
  <w:footnote w:id="24">
    <w:p w14:paraId="7A0FDFC5" w14:textId="77777777" w:rsidR="002434BA" w:rsidRDefault="002434BA" w:rsidP="002434BA">
      <w:pPr>
        <w:pStyle w:val="Textonotapie"/>
        <w:ind w:firstLine="709"/>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Código de Comercio: “Artículo 895. La cesión de un contrato implica la de las acciones, privilegios y beneficios legales inherentes a la naturaleza y condiciones del contrato; pero no transfiere los que se funden en causas ajenas al mismo, o en la calidad o estado de la persona de los contratantes”.</w:t>
      </w:r>
    </w:p>
    <w:p w14:paraId="4E087390" w14:textId="77777777" w:rsidR="002434BA" w:rsidRPr="00821723" w:rsidRDefault="002434BA" w:rsidP="002434BA">
      <w:pPr>
        <w:pStyle w:val="Textonotapie"/>
        <w:ind w:firstLine="709"/>
        <w:jc w:val="both"/>
        <w:rPr>
          <w:rFonts w:ascii="Verdana" w:hAnsi="Verdana" w:cs="Arial"/>
          <w:sz w:val="16"/>
          <w:szCs w:val="16"/>
        </w:rPr>
      </w:pPr>
    </w:p>
    <w:p w14:paraId="354643D7" w14:textId="77777777" w:rsidR="002434BA" w:rsidRPr="00821723" w:rsidRDefault="002434BA" w:rsidP="002434BA">
      <w:pPr>
        <w:pStyle w:val="Textonotapie"/>
        <w:ind w:firstLine="709"/>
        <w:jc w:val="both"/>
        <w:rPr>
          <w:rFonts w:ascii="Verdana" w:hAnsi="Verdana" w:cs="Arial"/>
          <w:sz w:val="16"/>
          <w:szCs w:val="16"/>
        </w:rPr>
      </w:pPr>
      <w:r w:rsidRPr="00821723">
        <w:rPr>
          <w:rFonts w:ascii="Verdana" w:hAnsi="Verdana" w:cs="Arial"/>
          <w:sz w:val="16"/>
          <w:szCs w:val="16"/>
        </w:rPr>
        <w:t>“Artículo 896. El contratante cedido podrá oponer al cesionario todas las excepciones que se deriven del contrato. Podrá también oponer aquellas que se funden sobre otras relaciones con el cedente, respecto de las cuales haya hecho expresa reserva al momento de notificársele o aceptar la cesión”.</w:t>
      </w:r>
    </w:p>
  </w:footnote>
  <w:footnote w:id="25">
    <w:p w14:paraId="63A5517D" w14:textId="77777777" w:rsidR="002434BA" w:rsidRPr="00821723" w:rsidRDefault="002434BA" w:rsidP="002434BA">
      <w:pPr>
        <w:pStyle w:val="Textonotapie"/>
        <w:ind w:firstLine="708"/>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No en vano, “Quien contrata con la administración debe reunir condiciones previas, acreditadas por muy distintos medios, relativas a su capacidad técnica, financiera e incluso moral. De esas personas se ha seleccionado aquella que resulta la más conveniente para el caso, y esa persona no puede ser reemplazada por otra, por la sola decisión de ese cocontratante.</w:t>
      </w:r>
    </w:p>
    <w:p w14:paraId="58342610" w14:textId="77777777" w:rsidR="002434BA" w:rsidRDefault="002434BA" w:rsidP="002434BA">
      <w:pPr>
        <w:pStyle w:val="Textonotapie"/>
        <w:ind w:firstLine="708"/>
        <w:jc w:val="both"/>
        <w:rPr>
          <w:rFonts w:ascii="Verdana" w:hAnsi="Verdana" w:cs="Arial"/>
          <w:sz w:val="16"/>
          <w:szCs w:val="16"/>
        </w:rPr>
      </w:pPr>
      <w:r w:rsidRPr="00821723">
        <w:rPr>
          <w:rFonts w:ascii="Verdana" w:hAnsi="Verdana" w:cs="Arial"/>
          <w:sz w:val="16"/>
          <w:szCs w:val="16"/>
        </w:rPr>
        <w:t xml:space="preserve">De ahí que el principio del cumplimiento personal de sus obligaciones por el cocontratante particular es una exigencia del contrato administrativo que resulta de su naturaleza, por lo que su aplicación es ineludible, aun en los casos en que no existen cláusulas expresas que impongan esa prestación personal o que prohíban la cesión o trasferencia del contrato o la subcontratación” (ESCOLA, Jorge. Tratado integral de los contratos administrativos. Volumen I. Buenos Aires: </w:t>
      </w:r>
      <w:r w:rsidRPr="00821723">
        <w:rPr>
          <w:rFonts w:ascii="Verdana" w:hAnsi="Verdana" w:cs="Arial"/>
          <w:sz w:val="16"/>
          <w:szCs w:val="16"/>
        </w:rPr>
        <w:t>Depalma, 2012. p. 424).</w:t>
      </w:r>
    </w:p>
    <w:p w14:paraId="63A5251A" w14:textId="77777777" w:rsidR="002434BA" w:rsidRPr="00821723" w:rsidRDefault="002434BA" w:rsidP="002434BA">
      <w:pPr>
        <w:pStyle w:val="Textonotapie"/>
        <w:ind w:firstLine="708"/>
        <w:jc w:val="both"/>
        <w:rPr>
          <w:rFonts w:ascii="Verdana" w:hAnsi="Verdana" w:cs="Arial"/>
          <w:sz w:val="16"/>
          <w:szCs w:val="16"/>
        </w:rPr>
      </w:pPr>
    </w:p>
  </w:footnote>
  <w:footnote w:id="26">
    <w:p w14:paraId="518D48DC" w14:textId="77777777" w:rsidR="002434BA" w:rsidRDefault="002434BA" w:rsidP="002434BA">
      <w:pPr>
        <w:pStyle w:val="Textonotapie"/>
        <w:ind w:firstLine="708"/>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MARIENHOFF, Miguel S. Tratado de derecho administrativo. Tomo IIIA. Cuarta Edición. Buenos Aires: Abeledo Perrot, 1998. p. 318. Énfasis dentro del texto.</w:t>
      </w:r>
    </w:p>
    <w:p w14:paraId="343107C6" w14:textId="77777777" w:rsidR="002434BA" w:rsidRPr="00821723" w:rsidRDefault="002434BA" w:rsidP="002434BA">
      <w:pPr>
        <w:pStyle w:val="Textonotapie"/>
        <w:ind w:firstLine="708"/>
        <w:jc w:val="both"/>
        <w:rPr>
          <w:rFonts w:ascii="Verdana" w:hAnsi="Verdana" w:cs="Arial"/>
          <w:sz w:val="16"/>
          <w:szCs w:val="16"/>
          <w:lang w:val="es-ES"/>
        </w:rPr>
      </w:pPr>
    </w:p>
  </w:footnote>
  <w:footnote w:id="27">
    <w:p w14:paraId="58040754" w14:textId="55F55A7B" w:rsidR="002434BA" w:rsidRDefault="002434BA" w:rsidP="004626CA">
      <w:pPr>
        <w:pStyle w:val="Textonotapie"/>
        <w:ind w:firstLine="708"/>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RAMÍREZ GRISALES, Richard. La cesión. Serie: Las cláusulas del contrato estatal. Medellín: Centro de Estudios de Derecho Administrativo –CEDA– y Librería Jurídica Sánchez R., 2014. pp. 71-72.</w:t>
      </w:r>
    </w:p>
    <w:p w14:paraId="409D1293" w14:textId="77777777" w:rsidR="002434BA" w:rsidRPr="00821723" w:rsidRDefault="002434BA" w:rsidP="002434BA">
      <w:pPr>
        <w:pStyle w:val="Textonotapie"/>
        <w:ind w:firstLine="708"/>
        <w:jc w:val="both"/>
        <w:rPr>
          <w:rFonts w:ascii="Verdana" w:hAnsi="Verdana" w:cs="Arial"/>
          <w:sz w:val="16"/>
          <w:szCs w:val="16"/>
        </w:rPr>
      </w:pPr>
    </w:p>
  </w:footnote>
  <w:footnote w:id="28">
    <w:p w14:paraId="2D99F789" w14:textId="77777777" w:rsidR="002434BA" w:rsidRPr="00821723" w:rsidRDefault="002434BA" w:rsidP="002434BA">
      <w:pPr>
        <w:pStyle w:val="Textonotapie"/>
        <w:ind w:firstLine="709"/>
        <w:jc w:val="both"/>
        <w:rPr>
          <w:rFonts w:ascii="Verdana" w:hAnsi="Verdana" w:cs="Arial"/>
          <w:sz w:val="16"/>
          <w:szCs w:val="16"/>
          <w:lang w:val="es-ES"/>
        </w:rPr>
      </w:pPr>
      <w:r w:rsidRPr="00821723">
        <w:rPr>
          <w:rStyle w:val="Refdenotaalpie"/>
          <w:rFonts w:ascii="Verdana" w:hAnsi="Verdana" w:cs="Arial"/>
          <w:sz w:val="16"/>
          <w:szCs w:val="16"/>
        </w:rPr>
        <w:footnoteRef/>
      </w:r>
      <w:r w:rsidRPr="00821723">
        <w:rPr>
          <w:rFonts w:ascii="Verdana" w:hAnsi="Verdana" w:cs="Arial"/>
          <w:sz w:val="16"/>
          <w:szCs w:val="16"/>
        </w:rPr>
        <w:t xml:space="preserve"> </w:t>
      </w:r>
      <w:r w:rsidRPr="00821723">
        <w:rPr>
          <w:rFonts w:ascii="Verdana" w:hAnsi="Verdana" w:cs="Arial"/>
          <w:sz w:val="16"/>
          <w:szCs w:val="16"/>
          <w:lang w:val="es-ES"/>
        </w:rPr>
        <w:t>Consejo de Estado</w:t>
      </w:r>
      <w:r>
        <w:rPr>
          <w:rFonts w:ascii="Verdana" w:hAnsi="Verdana" w:cs="Arial"/>
          <w:sz w:val="16"/>
          <w:szCs w:val="16"/>
          <w:lang w:val="es-ES"/>
        </w:rPr>
        <w:t>. Sala de lo Contencioso Administrativo.</w:t>
      </w:r>
      <w:r w:rsidRPr="00821723">
        <w:rPr>
          <w:rFonts w:ascii="Verdana" w:hAnsi="Verdana" w:cs="Arial"/>
          <w:sz w:val="16"/>
          <w:szCs w:val="16"/>
          <w:lang w:val="es-ES"/>
        </w:rPr>
        <w:t xml:space="preserve"> Sección Tercera</w:t>
      </w:r>
      <w:r>
        <w:rPr>
          <w:rFonts w:ascii="Verdana" w:hAnsi="Verdana" w:cs="Arial"/>
          <w:sz w:val="16"/>
          <w:szCs w:val="16"/>
          <w:lang w:val="es-ES"/>
        </w:rPr>
        <w:t>.</w:t>
      </w:r>
      <w:r w:rsidRPr="00821723">
        <w:rPr>
          <w:rFonts w:ascii="Verdana" w:hAnsi="Verdana" w:cs="Arial"/>
          <w:sz w:val="16"/>
          <w:szCs w:val="16"/>
          <w:lang w:val="es-ES"/>
        </w:rPr>
        <w:t xml:space="preserve"> Sentencia del 16 de marzo de 2015, Rad. 1999-03028, M.P. Jaime Orlando Santofimio Gamboa.</w:t>
      </w:r>
    </w:p>
  </w:footnote>
  <w:footnote w:id="29">
    <w:p w14:paraId="06BA0A54" w14:textId="64DE6ED6" w:rsidR="002434BA" w:rsidRDefault="002434BA" w:rsidP="004626CA">
      <w:pPr>
        <w:pStyle w:val="Textonotapie"/>
        <w:ind w:firstLine="720"/>
        <w:jc w:val="both"/>
        <w:rPr>
          <w:rFonts w:ascii="Verdana" w:hAnsi="Verdana" w:cs="Arial"/>
          <w:sz w:val="16"/>
          <w:szCs w:val="16"/>
        </w:rPr>
      </w:pPr>
      <w:r w:rsidRPr="00821723">
        <w:rPr>
          <w:rStyle w:val="Refdenotaalpie"/>
          <w:rFonts w:ascii="Verdana" w:hAnsi="Verdana" w:cs="Arial"/>
          <w:sz w:val="16"/>
          <w:szCs w:val="16"/>
        </w:rPr>
        <w:footnoteRef/>
      </w:r>
      <w:r w:rsidRPr="00821723">
        <w:rPr>
          <w:rFonts w:ascii="Verdana" w:hAnsi="Verdana" w:cs="Arial"/>
          <w:sz w:val="16"/>
          <w:szCs w:val="16"/>
        </w:rPr>
        <w:t xml:space="preserve"> Corte Constitucional. Sentencia C-949 del 5 de septiembre de 2001. M.P. Clara Inés Vargas Hernández.  </w:t>
      </w:r>
    </w:p>
    <w:p w14:paraId="444EF4FD" w14:textId="77777777" w:rsidR="002434BA" w:rsidRPr="00821723" w:rsidRDefault="002434BA" w:rsidP="002434BA">
      <w:pPr>
        <w:pStyle w:val="Textonotapie"/>
        <w:ind w:firstLine="720"/>
        <w:jc w:val="both"/>
        <w:rPr>
          <w:rFonts w:ascii="Verdana" w:hAnsi="Verdana" w:cs="Arial"/>
          <w:sz w:val="16"/>
          <w:szCs w:val="16"/>
        </w:rPr>
      </w:pPr>
    </w:p>
  </w:footnote>
  <w:footnote w:id="30">
    <w:p w14:paraId="2A2AFDE7" w14:textId="2419614F" w:rsidR="002434BA" w:rsidRDefault="002434BA" w:rsidP="004626CA">
      <w:pPr>
        <w:pStyle w:val="Textonotapie"/>
        <w:ind w:firstLine="708"/>
        <w:jc w:val="both"/>
        <w:rPr>
          <w:rFonts w:ascii="Verdana" w:hAnsi="Verdana" w:cs="Arial"/>
          <w:sz w:val="16"/>
          <w:szCs w:val="16"/>
        </w:rPr>
      </w:pPr>
      <w:r w:rsidRPr="000104CD">
        <w:rPr>
          <w:rStyle w:val="Refdenotaalpie"/>
          <w:rFonts w:ascii="Verdana" w:hAnsi="Verdana"/>
          <w:sz w:val="16"/>
          <w:szCs w:val="16"/>
        </w:rPr>
        <w:footnoteRef/>
      </w:r>
      <w:r w:rsidRPr="000104CD">
        <w:rPr>
          <w:rFonts w:ascii="Verdana" w:hAnsi="Verdana"/>
          <w:sz w:val="16"/>
          <w:szCs w:val="16"/>
        </w:rPr>
        <w:t xml:space="preserve"> </w:t>
      </w:r>
      <w:r w:rsidRPr="008D7C3C">
        <w:rPr>
          <w:rFonts w:ascii="Verdana" w:hAnsi="Verdana" w:cs="Arial"/>
          <w:sz w:val="16"/>
          <w:szCs w:val="16"/>
        </w:rPr>
        <w:t xml:space="preserve">RAMÍREZ GRISALES, La cesión… </w:t>
      </w:r>
      <w:r w:rsidRPr="008D7C3C">
        <w:rPr>
          <w:rFonts w:ascii="Verdana" w:hAnsi="Verdana" w:cs="Arial"/>
          <w:sz w:val="16"/>
          <w:szCs w:val="16"/>
        </w:rPr>
        <w:t xml:space="preserve">Op. cit., pp.159-160. </w:t>
      </w:r>
    </w:p>
    <w:p w14:paraId="7CB6CD8A" w14:textId="77777777" w:rsidR="002434BA" w:rsidRPr="008D7C3C" w:rsidRDefault="002434BA" w:rsidP="002434BA">
      <w:pPr>
        <w:pStyle w:val="Textonotapie"/>
        <w:ind w:firstLine="708"/>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823711"/>
    <w:multiLevelType w:val="multilevel"/>
    <w:tmpl w:val="9BC08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C811DB"/>
    <w:multiLevelType w:val="hybridMultilevel"/>
    <w:tmpl w:val="6CE876F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7"/>
  </w:num>
  <w:num w:numId="8" w16cid:durableId="152644682">
    <w:abstractNumId w:val="13"/>
  </w:num>
  <w:num w:numId="9" w16cid:durableId="1317221377">
    <w:abstractNumId w:val="9"/>
  </w:num>
  <w:num w:numId="10" w16cid:durableId="1471245386">
    <w:abstractNumId w:val="12"/>
  </w:num>
  <w:num w:numId="11" w16cid:durableId="289172385">
    <w:abstractNumId w:val="10"/>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341274352">
    <w:abstractNumId w:val="0"/>
  </w:num>
  <w:num w:numId="17" w16cid:durableId="2051103899">
    <w:abstractNumId w:val="4"/>
  </w:num>
  <w:num w:numId="18" w16cid:durableId="6308650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3B2"/>
    <w:rsid w:val="000104CD"/>
    <w:rsid w:val="00016F78"/>
    <w:rsid w:val="00046945"/>
    <w:rsid w:val="00061B2A"/>
    <w:rsid w:val="00082362"/>
    <w:rsid w:val="00082CEF"/>
    <w:rsid w:val="000A683E"/>
    <w:rsid w:val="000B19B9"/>
    <w:rsid w:val="000D0334"/>
    <w:rsid w:val="000D5DA7"/>
    <w:rsid w:val="000F6486"/>
    <w:rsid w:val="00116940"/>
    <w:rsid w:val="00125105"/>
    <w:rsid w:val="00127233"/>
    <w:rsid w:val="001338F7"/>
    <w:rsid w:val="0015699B"/>
    <w:rsid w:val="001A33BF"/>
    <w:rsid w:val="001E4177"/>
    <w:rsid w:val="001E64C6"/>
    <w:rsid w:val="001F0B24"/>
    <w:rsid w:val="001F7DC6"/>
    <w:rsid w:val="0022400B"/>
    <w:rsid w:val="002421BB"/>
    <w:rsid w:val="002434BA"/>
    <w:rsid w:val="00247CF3"/>
    <w:rsid w:val="0025796E"/>
    <w:rsid w:val="002707A2"/>
    <w:rsid w:val="002903C5"/>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901E9"/>
    <w:rsid w:val="003A779E"/>
    <w:rsid w:val="003C21A2"/>
    <w:rsid w:val="003D0F4D"/>
    <w:rsid w:val="003D5B0D"/>
    <w:rsid w:val="003E0499"/>
    <w:rsid w:val="003E2260"/>
    <w:rsid w:val="003E4F80"/>
    <w:rsid w:val="003E6439"/>
    <w:rsid w:val="003F3941"/>
    <w:rsid w:val="00406575"/>
    <w:rsid w:val="00414C74"/>
    <w:rsid w:val="0042722E"/>
    <w:rsid w:val="00430628"/>
    <w:rsid w:val="0044528D"/>
    <w:rsid w:val="004626CA"/>
    <w:rsid w:val="00466E39"/>
    <w:rsid w:val="004A1847"/>
    <w:rsid w:val="004A305D"/>
    <w:rsid w:val="004E6C3D"/>
    <w:rsid w:val="004F21C4"/>
    <w:rsid w:val="004F685F"/>
    <w:rsid w:val="00501E55"/>
    <w:rsid w:val="005566E8"/>
    <w:rsid w:val="00574867"/>
    <w:rsid w:val="00591460"/>
    <w:rsid w:val="005A65E0"/>
    <w:rsid w:val="005C3777"/>
    <w:rsid w:val="005C5CDC"/>
    <w:rsid w:val="005D476C"/>
    <w:rsid w:val="006200BF"/>
    <w:rsid w:val="006219F8"/>
    <w:rsid w:val="006302F7"/>
    <w:rsid w:val="00632418"/>
    <w:rsid w:val="00646B9F"/>
    <w:rsid w:val="00665D70"/>
    <w:rsid w:val="006900D9"/>
    <w:rsid w:val="00706C16"/>
    <w:rsid w:val="007340C3"/>
    <w:rsid w:val="0075235A"/>
    <w:rsid w:val="00753F31"/>
    <w:rsid w:val="00756841"/>
    <w:rsid w:val="007649AB"/>
    <w:rsid w:val="00771D0C"/>
    <w:rsid w:val="007833AC"/>
    <w:rsid w:val="007B268C"/>
    <w:rsid w:val="007B7171"/>
    <w:rsid w:val="007C0C0F"/>
    <w:rsid w:val="007C3DC2"/>
    <w:rsid w:val="007E5497"/>
    <w:rsid w:val="00806F5F"/>
    <w:rsid w:val="0081579B"/>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90985"/>
    <w:rsid w:val="009A0DFA"/>
    <w:rsid w:val="009A1C6F"/>
    <w:rsid w:val="009B2D26"/>
    <w:rsid w:val="009C71FA"/>
    <w:rsid w:val="009C72E7"/>
    <w:rsid w:val="009C7F7E"/>
    <w:rsid w:val="009D3058"/>
    <w:rsid w:val="009E1BA8"/>
    <w:rsid w:val="009F3A13"/>
    <w:rsid w:val="00A122D3"/>
    <w:rsid w:val="00A14468"/>
    <w:rsid w:val="00A17F13"/>
    <w:rsid w:val="00A20739"/>
    <w:rsid w:val="00A23AF9"/>
    <w:rsid w:val="00A33C78"/>
    <w:rsid w:val="00A86164"/>
    <w:rsid w:val="00AB0ADB"/>
    <w:rsid w:val="00AC09F7"/>
    <w:rsid w:val="00B00C0E"/>
    <w:rsid w:val="00B01B1A"/>
    <w:rsid w:val="00B0381D"/>
    <w:rsid w:val="00B44A47"/>
    <w:rsid w:val="00B57104"/>
    <w:rsid w:val="00B711FB"/>
    <w:rsid w:val="00B72CD3"/>
    <w:rsid w:val="00B72FFF"/>
    <w:rsid w:val="00B929AD"/>
    <w:rsid w:val="00BA5F11"/>
    <w:rsid w:val="00BC3D36"/>
    <w:rsid w:val="00BD54A6"/>
    <w:rsid w:val="00BD7F72"/>
    <w:rsid w:val="00BF7425"/>
    <w:rsid w:val="00C04FB3"/>
    <w:rsid w:val="00C11D8B"/>
    <w:rsid w:val="00C15139"/>
    <w:rsid w:val="00C316F0"/>
    <w:rsid w:val="00C330EB"/>
    <w:rsid w:val="00C50D69"/>
    <w:rsid w:val="00C5365C"/>
    <w:rsid w:val="00C754BE"/>
    <w:rsid w:val="00C76B1C"/>
    <w:rsid w:val="00C925AC"/>
    <w:rsid w:val="00C97F2A"/>
    <w:rsid w:val="00CB6357"/>
    <w:rsid w:val="00CB7537"/>
    <w:rsid w:val="00CC1B26"/>
    <w:rsid w:val="00D361FD"/>
    <w:rsid w:val="00D423A2"/>
    <w:rsid w:val="00D44E26"/>
    <w:rsid w:val="00D520D8"/>
    <w:rsid w:val="00D63AC2"/>
    <w:rsid w:val="00D7383B"/>
    <w:rsid w:val="00D7788A"/>
    <w:rsid w:val="00DA231B"/>
    <w:rsid w:val="00DB476C"/>
    <w:rsid w:val="00DC39FC"/>
    <w:rsid w:val="00DF5254"/>
    <w:rsid w:val="00E02524"/>
    <w:rsid w:val="00E16408"/>
    <w:rsid w:val="00E20894"/>
    <w:rsid w:val="00E245AB"/>
    <w:rsid w:val="00E2764C"/>
    <w:rsid w:val="00E27F2E"/>
    <w:rsid w:val="00E309B1"/>
    <w:rsid w:val="00E50AFE"/>
    <w:rsid w:val="00E75C92"/>
    <w:rsid w:val="00E771DC"/>
    <w:rsid w:val="00E8772A"/>
    <w:rsid w:val="00E90F6B"/>
    <w:rsid w:val="00E92C27"/>
    <w:rsid w:val="00E937FC"/>
    <w:rsid w:val="00EA0E3D"/>
    <w:rsid w:val="00EC38A7"/>
    <w:rsid w:val="00ED631D"/>
    <w:rsid w:val="00EE1AA8"/>
    <w:rsid w:val="00F022AE"/>
    <w:rsid w:val="00F23FEA"/>
    <w:rsid w:val="00F31EDC"/>
    <w:rsid w:val="00F32627"/>
    <w:rsid w:val="00F462B3"/>
    <w:rsid w:val="00F5664F"/>
    <w:rsid w:val="00F666C4"/>
    <w:rsid w:val="00F76AFC"/>
    <w:rsid w:val="00FA47C0"/>
    <w:rsid w:val="00FB5DD1"/>
    <w:rsid w:val="00FC2B5D"/>
    <w:rsid w:val="00FF1449"/>
    <w:rsid w:val="00FF7963"/>
    <w:rsid w:val="00FF7CDE"/>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434BA"/>
    <w:rPr>
      <w:rFonts w:ascii="Geomanist Light" w:hAnsi="Geomanist Light"/>
      <w:lang w:val="es-ES"/>
    </w:rPr>
  </w:style>
  <w:style w:type="paragraph" w:customStyle="1" w:styleId="Appelnotedebasde">
    <w:name w:val="Appel note de bas de..."/>
    <w:basedOn w:val="Normal"/>
    <w:link w:val="Refdenotaalpie"/>
    <w:uiPriority w:val="99"/>
    <w:rsid w:val="002434BA"/>
    <w:pPr>
      <w:spacing w:line="240" w:lineRule="exact"/>
    </w:pPr>
    <w:rPr>
      <w:vertAlign w:val="superscript"/>
    </w:rPr>
  </w:style>
  <w:style w:type="character" w:customStyle="1" w:styleId="NormalWebCar">
    <w:name w:val="Normal (Web) Car"/>
    <w:link w:val="NormalWeb"/>
    <w:uiPriority w:val="99"/>
    <w:locked/>
    <w:rsid w:val="002434BA"/>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2434BA"/>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entanilladeradicacion@colombiacompra.gov.co"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randacasallas21@gmail.com" TargetMode="External"/><Relationship Id="rId5" Type="http://schemas.openxmlformats.org/officeDocument/2006/relationships/styles" Target="styles.xml"/><Relationship Id="rId15" Type="http://schemas.openxmlformats.org/officeDocument/2006/relationships/hyperlink" Target="https://forms.office.com/r/pPHyWVs2SZ"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pqrsd/informacion-importante-antes-de-formular-una-pqrs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BC11FF1-73CE-4A31-A177-0081175EE4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148</TotalTime>
  <Pages>32</Pages>
  <Words>10925</Words>
  <Characters>58564</Characters>
  <Application>Microsoft Office Word</Application>
  <DocSecurity>0</DocSecurity>
  <Lines>1126</Lines>
  <Paragraphs>208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6</cp:revision>
  <cp:lastPrinted>2023-01-10T21:18:00Z</cp:lastPrinted>
  <dcterms:created xsi:type="dcterms:W3CDTF">2025-12-29T14:39:00Z</dcterms:created>
  <dcterms:modified xsi:type="dcterms:W3CDTF">2025-12-29T23:42:00Z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