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ED0B61" w14:textId="77777777" w:rsidR="00F41885" w:rsidRPr="000E52E5" w:rsidRDefault="00F41885" w:rsidP="00F41885">
      <w:pPr>
        <w:spacing w:after="0" w:line="240" w:lineRule="auto"/>
        <w:jc w:val="both"/>
        <w:rPr>
          <w:rFonts w:ascii="Verdana" w:eastAsia="Geomanist Light" w:hAnsi="Verdana" w:cs="Arial"/>
          <w:b/>
          <w:bCs/>
          <w:color w:val="000000" w:themeColor="text1"/>
          <w:sz w:val="20"/>
          <w:szCs w:val="20"/>
          <w:lang w:val="es-MX"/>
        </w:rPr>
      </w:pPr>
    </w:p>
    <w:p w14:paraId="60DA673F" w14:textId="77777777" w:rsidR="00F41885" w:rsidRPr="000E52E5" w:rsidRDefault="00F41885" w:rsidP="00F41885">
      <w:pPr>
        <w:spacing w:after="0" w:line="240" w:lineRule="auto"/>
        <w:jc w:val="both"/>
        <w:rPr>
          <w:rFonts w:ascii="Verdana" w:eastAsia="Calibri" w:hAnsi="Verdana" w:cs="Arial"/>
          <w:bCs/>
          <w:lang w:val="es-ES_tradnl"/>
        </w:rPr>
      </w:pPr>
      <w:r w:rsidRPr="000E52E5">
        <w:rPr>
          <w:rFonts w:ascii="Verdana" w:eastAsia="Calibri" w:hAnsi="Verdana" w:cs="Arial"/>
          <w:b/>
          <w:lang w:val="es-ES_tradnl"/>
        </w:rPr>
        <w:t>CONCEPTOS DE COLOMBIA COMPRA EFICIENTE – Obligatoriedad</w:t>
      </w:r>
    </w:p>
    <w:p w14:paraId="35B7C204" w14:textId="77777777" w:rsidR="00F41885" w:rsidRPr="000E52E5" w:rsidRDefault="00F41885" w:rsidP="00F41885">
      <w:pPr>
        <w:spacing w:after="0" w:line="240" w:lineRule="auto"/>
        <w:jc w:val="both"/>
        <w:rPr>
          <w:rFonts w:ascii="Verdana" w:hAnsi="Verdana" w:cs="Arial"/>
          <w:sz w:val="20"/>
          <w:szCs w:val="20"/>
          <w:highlight w:val="yellow"/>
          <w:lang w:val="es-ES_tradnl"/>
        </w:rPr>
      </w:pPr>
    </w:p>
    <w:p w14:paraId="659ADD08" w14:textId="77777777" w:rsidR="00F41885" w:rsidRPr="000E52E5" w:rsidRDefault="00F41885" w:rsidP="00F41885">
      <w:pPr>
        <w:pStyle w:val="Prrafodelista"/>
        <w:spacing w:after="0" w:line="240" w:lineRule="auto"/>
        <w:ind w:left="0"/>
        <w:jc w:val="both"/>
        <w:rPr>
          <w:rFonts w:ascii="Verdana" w:eastAsia="Calibri" w:hAnsi="Verdana" w:cs="Arial"/>
          <w:sz w:val="20"/>
          <w:szCs w:val="20"/>
          <w:highlight w:val="yellow"/>
          <w:lang w:val="es-ES_tradnl"/>
        </w:rPr>
      </w:pPr>
      <w:r w:rsidRPr="000E52E5">
        <w:rPr>
          <w:rFonts w:ascii="Verdana" w:eastAsia="Calibri" w:hAnsi="Verdana" w:cs="Arial"/>
          <w:sz w:val="20"/>
          <w:szCs w:val="20"/>
          <w:lang w:val="es-ES_tradnl"/>
        </w:rPr>
        <w:t>La ley es clara cuando establece que los conceptos, emitidos por las autoridades al responder peticiones realizadas en ejercicio del derecho a formular consultas, no son de obligatorio cumplimiento o ejecución, en otras palabras, no tienen efectos vinculantes. Las respuestas emitidas como concepto, entonces, consisten en la posición hermenéutica que las entidades tienen respecto del ordenamiento jurídico. Esto explica por qué esta Agencia, reiteradamente, no resuelve controversias concretas ni brinda asesoría a los partícipes de la contratación estatal.</w:t>
      </w:r>
    </w:p>
    <w:p w14:paraId="011E63FC" w14:textId="77777777" w:rsidR="00F41885" w:rsidRPr="000E52E5" w:rsidRDefault="00F41885" w:rsidP="00F41885">
      <w:pPr>
        <w:spacing w:after="0" w:line="240" w:lineRule="auto"/>
        <w:jc w:val="both"/>
        <w:rPr>
          <w:rFonts w:ascii="Verdana" w:eastAsia="Calibri" w:hAnsi="Verdana" w:cs="Arial"/>
          <w:b/>
          <w:sz w:val="20"/>
          <w:szCs w:val="20"/>
          <w:highlight w:val="yellow"/>
          <w:lang w:val="es-ES_tradnl"/>
        </w:rPr>
      </w:pPr>
    </w:p>
    <w:p w14:paraId="05EE797E" w14:textId="77777777" w:rsidR="00F41885" w:rsidRPr="000E52E5" w:rsidRDefault="00F41885" w:rsidP="00F41885">
      <w:pPr>
        <w:spacing w:after="0" w:line="240" w:lineRule="auto"/>
        <w:jc w:val="both"/>
        <w:rPr>
          <w:rFonts w:ascii="Verdana" w:eastAsia="Calibri" w:hAnsi="Verdana" w:cs="Arial"/>
          <w:bCs/>
          <w:lang w:val="es-ES_tradnl"/>
        </w:rPr>
      </w:pPr>
      <w:r w:rsidRPr="000E52E5">
        <w:rPr>
          <w:rFonts w:ascii="Verdana" w:eastAsia="Calibri" w:hAnsi="Verdana" w:cs="Arial"/>
          <w:b/>
          <w:lang w:val="es-ES_tradnl"/>
        </w:rPr>
        <w:t>FUNCIÓN CONSULTIVA – Alcance</w:t>
      </w:r>
    </w:p>
    <w:p w14:paraId="28B77A11" w14:textId="77777777" w:rsidR="00F41885" w:rsidRPr="000E52E5" w:rsidRDefault="00F41885" w:rsidP="00F41885">
      <w:pPr>
        <w:spacing w:after="0" w:line="240" w:lineRule="auto"/>
        <w:jc w:val="both"/>
        <w:rPr>
          <w:rFonts w:ascii="Verdana" w:hAnsi="Verdana" w:cs="Arial"/>
          <w:sz w:val="20"/>
          <w:szCs w:val="20"/>
          <w:highlight w:val="yellow"/>
          <w:lang w:val="es-ES_tradnl"/>
        </w:rPr>
      </w:pPr>
    </w:p>
    <w:p w14:paraId="21D2B25C" w14:textId="77777777" w:rsidR="00F41885" w:rsidRPr="000E52E5" w:rsidRDefault="00F41885" w:rsidP="00F41885">
      <w:pPr>
        <w:pStyle w:val="Prrafodelista"/>
        <w:spacing w:after="0" w:line="240" w:lineRule="auto"/>
        <w:ind w:left="0"/>
        <w:jc w:val="both"/>
        <w:rPr>
          <w:rFonts w:ascii="Verdana" w:eastAsia="Calibri" w:hAnsi="Verdana" w:cs="Arial"/>
          <w:sz w:val="20"/>
          <w:szCs w:val="20"/>
          <w:lang w:val="es-ES_tradnl"/>
        </w:rPr>
      </w:pPr>
      <w:r w:rsidRPr="000E52E5">
        <w:rPr>
          <w:rFonts w:ascii="Verdana" w:eastAsia="Calibri" w:hAnsi="Verdana" w:cs="Arial"/>
          <w:sz w:val="20"/>
          <w:szCs w:val="20"/>
          <w:lang w:val="es-ES_tradnl"/>
        </w:rPr>
        <w:t xml:space="preserve">Las autoridades que ejercen funciones consultivas pueden expresar su interpretación de un precepto normativo que no excluye otras interpretaciones posibles, pues el derecho, como sistema normativo, es un lenguaje que, en ocasiones, se tiñe de vaguedad, en virtud de la utilización de conceptos jurídicos indeterminados. Así, puede pasar, por ejemplo, que un ministerio considere que una norma debe entenderse en un sentido, pero que otra entidad, vinculada o adscrita a ese ministerio, entienda que la misma norma debe interpretarse de otra manera. Eso hace parte de la lógica deliberativa y dialéctica del funcionamiento del Estado y refleja el principio democrático. De todos modos, esto no significa que el criterio de una u otra tenga validez o prevalencia sobre la otra, ya que se trata de opiniones emitidas a título de concepto, pese a que entre las entidades exista una jerarquía o de la naturaleza y competencias que se prediquen de una y otra. Incluso, aun cuando los jueces interpreten con autoridad el sentido de la disposición normativa, el concepto emitido por la entidad no deja de ser un concepto y no adquiere efectos vinculantes, por más que coincida con el de la autoridad judicial, pues, en esa hipótesis, lo que vincula es la decisión del juez, no el de la entidad que ejerció la función consultiva, pues, como se viene diciendo, dicha competencia se enmarca en el artículo 28 de la Ley 1437 de 2011. En otras palabras, los conceptos «no serán de obligatorio cumplimiento o ejecución». </w:t>
      </w:r>
    </w:p>
    <w:p w14:paraId="2B113CE4" w14:textId="77777777" w:rsidR="00F41885" w:rsidRPr="000E52E5" w:rsidRDefault="00F41885" w:rsidP="00F41885">
      <w:pPr>
        <w:pStyle w:val="Prrafodelista"/>
        <w:spacing w:after="0" w:line="240" w:lineRule="auto"/>
        <w:ind w:left="0"/>
        <w:jc w:val="both"/>
        <w:rPr>
          <w:rFonts w:ascii="Verdana" w:eastAsia="Calibri" w:hAnsi="Verdana" w:cs="Arial"/>
          <w:sz w:val="20"/>
          <w:szCs w:val="20"/>
          <w:highlight w:val="yellow"/>
          <w:lang w:val="es-ES_tradnl"/>
        </w:rPr>
      </w:pPr>
    </w:p>
    <w:p w14:paraId="4F59C145" w14:textId="77777777" w:rsidR="00F41885" w:rsidRPr="000E52E5" w:rsidRDefault="00F41885" w:rsidP="00F41885">
      <w:pPr>
        <w:spacing w:after="0" w:line="240" w:lineRule="auto"/>
        <w:jc w:val="both"/>
        <w:rPr>
          <w:rFonts w:ascii="Verdana" w:eastAsia="Calibri" w:hAnsi="Verdana" w:cs="Arial"/>
          <w:lang w:val="es-ES_tradnl"/>
        </w:rPr>
      </w:pPr>
      <w:r w:rsidRPr="000E52E5">
        <w:rPr>
          <w:rFonts w:ascii="Verdana" w:eastAsia="Calibri" w:hAnsi="Verdana" w:cs="Arial"/>
          <w:b/>
          <w:bCs/>
          <w:lang w:val="es-ES_tradnl"/>
        </w:rPr>
        <w:t xml:space="preserve">CONCEPTOS DE COLOMBIA COMPRA EFICIENTE – Revocación directa </w:t>
      </w:r>
      <w:r w:rsidRPr="000E52E5">
        <w:rPr>
          <w:rFonts w:ascii="Verdana" w:eastAsia="Arial" w:hAnsi="Verdana" w:cs="Arial"/>
          <w:b/>
          <w:bCs/>
          <w:lang w:val="es-ES_tradnl"/>
        </w:rPr>
        <w:t>– Improcedencia</w:t>
      </w:r>
    </w:p>
    <w:p w14:paraId="41584C5F" w14:textId="77777777" w:rsidR="00F41885" w:rsidRPr="000E52E5" w:rsidRDefault="00F41885" w:rsidP="00F41885">
      <w:pPr>
        <w:spacing w:after="0" w:line="240" w:lineRule="auto"/>
        <w:jc w:val="both"/>
        <w:rPr>
          <w:rFonts w:ascii="Verdana" w:hAnsi="Verdana" w:cs="Arial"/>
          <w:sz w:val="20"/>
          <w:szCs w:val="20"/>
          <w:highlight w:val="yellow"/>
          <w:lang w:val="es-ES_tradnl"/>
        </w:rPr>
      </w:pPr>
    </w:p>
    <w:p w14:paraId="7376A1A4" w14:textId="77777777" w:rsidR="00F41885" w:rsidRPr="000E52E5" w:rsidRDefault="00F41885" w:rsidP="00F41885">
      <w:pPr>
        <w:tabs>
          <w:tab w:val="left" w:pos="709"/>
        </w:tabs>
        <w:spacing w:after="0" w:line="240" w:lineRule="auto"/>
        <w:jc w:val="both"/>
        <w:rPr>
          <w:rFonts w:ascii="Verdana" w:eastAsia="Calibri" w:hAnsi="Verdana" w:cs="Arial"/>
          <w:bCs/>
          <w:sz w:val="20"/>
          <w:szCs w:val="20"/>
          <w:lang w:val="es-ES_tradnl"/>
        </w:rPr>
      </w:pPr>
      <w:r w:rsidRPr="000E52E5">
        <w:rPr>
          <w:rFonts w:ascii="Verdana" w:eastAsia="Calibri" w:hAnsi="Verdana" w:cs="Arial"/>
          <w:bCs/>
          <w:sz w:val="20"/>
          <w:szCs w:val="20"/>
          <w:lang w:val="es-ES_tradnl"/>
        </w:rPr>
        <w:t xml:space="preserve">Así las cosas, Colombia Compra Eficiente considera que no hay lugar a acceder, por ejemplo, a solicitudes de </w:t>
      </w:r>
      <w:r w:rsidRPr="000E52E5">
        <w:rPr>
          <w:rFonts w:ascii="Verdana" w:eastAsia="Calibri" w:hAnsi="Verdana" w:cs="Arial"/>
          <w:bCs/>
          <w:i/>
          <w:iCs/>
          <w:sz w:val="20"/>
          <w:szCs w:val="20"/>
          <w:lang w:val="es-ES_tradnl"/>
        </w:rPr>
        <w:t>revocación directa</w:t>
      </w:r>
      <w:r w:rsidRPr="000E52E5">
        <w:rPr>
          <w:rFonts w:ascii="Verdana" w:eastAsia="Calibri" w:hAnsi="Verdana" w:cs="Arial"/>
          <w:bCs/>
          <w:sz w:val="20"/>
          <w:szCs w:val="20"/>
          <w:lang w:val="es-ES_tradnl"/>
        </w:rPr>
        <w:t xml:space="preserve"> de los conceptos, pues no son actos administrativos, no tienen efectos vinculantes en relación con una situación jurídica particular y concreta, y exponen un criterio que, aunque jurídicamente fundamentado, no representan necesariamente la </w:t>
      </w:r>
      <w:r w:rsidRPr="000E52E5">
        <w:rPr>
          <w:rFonts w:ascii="Verdana" w:eastAsia="Calibri" w:hAnsi="Verdana" w:cs="Arial"/>
          <w:bCs/>
          <w:i/>
          <w:iCs/>
          <w:sz w:val="20"/>
          <w:szCs w:val="20"/>
          <w:lang w:val="es-ES_tradnl"/>
        </w:rPr>
        <w:t>única</w:t>
      </w:r>
      <w:r w:rsidRPr="000E52E5">
        <w:rPr>
          <w:rFonts w:ascii="Verdana" w:eastAsia="Calibri" w:hAnsi="Verdana" w:cs="Arial"/>
          <w:bCs/>
          <w:sz w:val="20"/>
          <w:szCs w:val="20"/>
          <w:lang w:val="es-ES_tradnl"/>
        </w:rPr>
        <w:t xml:space="preserve"> interpretación válida del ordenamiento jurídico. Lo anterior no implica que la Agencia Nacional de Contratación Pública – Colombia Compra Eficiente considere inalterables sus posturas, pues, de ser necesario, podría replantear una tesis previamente expuesta, bajo estrictos estándares argumentativos, al emitir otro concepto, ya que, dada su falta de vinculatoriedad, la legitimación de sus posturas proviene de la fuerza de los argumentos. </w:t>
      </w:r>
    </w:p>
    <w:p w14:paraId="2923F535" w14:textId="77777777" w:rsidR="00F41885" w:rsidRPr="00ED0E42" w:rsidRDefault="00F41885" w:rsidP="00F41885">
      <w:pPr>
        <w:spacing w:after="0" w:line="240" w:lineRule="auto"/>
        <w:jc w:val="both"/>
        <w:rPr>
          <w:rFonts w:ascii="Verdana" w:eastAsia="Calibri" w:hAnsi="Verdana" w:cs="Arial"/>
          <w:bCs/>
          <w:sz w:val="20"/>
          <w:szCs w:val="20"/>
          <w:lang w:val="es-ES_tradnl" w:eastAsia="es-ES_tradnl"/>
        </w:rPr>
      </w:pPr>
    </w:p>
    <w:p w14:paraId="6382C9FE" w14:textId="77777777" w:rsidR="00F41885" w:rsidRPr="00ED0E42" w:rsidRDefault="00F41885" w:rsidP="00F41885">
      <w:pPr>
        <w:spacing w:after="0" w:line="240" w:lineRule="auto"/>
        <w:jc w:val="both"/>
        <w:rPr>
          <w:rFonts w:ascii="Verdana" w:eastAsia="Calibri" w:hAnsi="Verdana" w:cs="Arial"/>
          <w:b/>
          <w:lang w:val="es-ES_tradnl" w:eastAsia="es-ES_tradnl"/>
        </w:rPr>
      </w:pPr>
      <w:r w:rsidRPr="00ED0E42">
        <w:rPr>
          <w:rFonts w:ascii="Verdana" w:eastAsia="Calibri" w:hAnsi="Verdana" w:cs="Arial"/>
          <w:b/>
          <w:lang w:val="es-ES_tradnl" w:eastAsia="es-ES_tradnl"/>
        </w:rPr>
        <w:t>CONTRATO ESTATAL – Finalidad</w:t>
      </w:r>
    </w:p>
    <w:p w14:paraId="2B8C0A03" w14:textId="77777777" w:rsidR="00F41885" w:rsidRPr="00ED0E42" w:rsidRDefault="00F41885" w:rsidP="00F41885">
      <w:pPr>
        <w:spacing w:after="0" w:line="240" w:lineRule="auto"/>
        <w:jc w:val="both"/>
        <w:rPr>
          <w:rFonts w:ascii="Verdana" w:eastAsia="Calibri" w:hAnsi="Verdana" w:cs="Arial"/>
          <w:bCs/>
          <w:sz w:val="20"/>
          <w:szCs w:val="20"/>
          <w:lang w:val="es-ES_tradnl" w:eastAsia="es-ES_tradnl"/>
        </w:rPr>
      </w:pPr>
    </w:p>
    <w:p w14:paraId="3668EEC8" w14:textId="77777777" w:rsidR="00F41885" w:rsidRPr="00ED0E42" w:rsidRDefault="00F41885" w:rsidP="00F41885">
      <w:pPr>
        <w:spacing w:after="0" w:line="240" w:lineRule="auto"/>
        <w:jc w:val="both"/>
        <w:rPr>
          <w:rFonts w:ascii="Verdana" w:eastAsia="Calibri" w:hAnsi="Verdana" w:cs="Arial"/>
          <w:bCs/>
          <w:sz w:val="20"/>
          <w:szCs w:val="20"/>
          <w:lang w:val="es-ES_tradnl" w:eastAsia="es-ES_tradnl"/>
        </w:rPr>
      </w:pPr>
      <w:r w:rsidRPr="00ED0E42">
        <w:rPr>
          <w:rFonts w:ascii="Verdana" w:eastAsia="Calibri" w:hAnsi="Verdana" w:cs="Arial"/>
          <w:bCs/>
          <w:sz w:val="20"/>
          <w:szCs w:val="20"/>
          <w:lang w:val="es-ES_tradnl" w:eastAsia="es-ES_tradnl"/>
        </w:rPr>
        <w:t>La contratación estatal tiene como propósito el cumplimiento de los fines estatales, la continua y eficiente prestación de los servicios públicos y la efectividad de los derechos e intereses de los administrados que colaboran con ellas en la consecución de dichos fines. En cumplimiento de ese propósito, el legislador determinó que las actuaciones adelantadas por las entidades estatales, en materia contractual, se llevan a cabo, entre otros, en cumplimiento de los principios que gobiernan los procesos de contratación pública.</w:t>
      </w:r>
    </w:p>
    <w:p w14:paraId="729D3263" w14:textId="77777777" w:rsidR="00F41885" w:rsidRPr="00ED0E42" w:rsidRDefault="00F41885" w:rsidP="00F41885">
      <w:pPr>
        <w:spacing w:after="0" w:line="240" w:lineRule="auto"/>
        <w:jc w:val="both"/>
        <w:rPr>
          <w:rFonts w:ascii="Verdana" w:eastAsia="Calibri" w:hAnsi="Verdana" w:cs="Arial"/>
          <w:bCs/>
          <w:sz w:val="20"/>
          <w:szCs w:val="20"/>
          <w:lang w:val="es-ES_tradnl" w:eastAsia="es-ES_tradnl"/>
        </w:rPr>
      </w:pPr>
    </w:p>
    <w:p w14:paraId="13A307F6" w14:textId="77777777" w:rsidR="00F41885" w:rsidRPr="00FE39ED" w:rsidRDefault="00F41885" w:rsidP="00F41885">
      <w:pPr>
        <w:spacing w:after="0" w:line="240" w:lineRule="auto"/>
        <w:jc w:val="both"/>
        <w:rPr>
          <w:rFonts w:ascii="Verdana" w:eastAsia="Calibri" w:hAnsi="Verdana" w:cs="Arial"/>
          <w:b/>
        </w:rPr>
      </w:pPr>
      <w:r>
        <w:rPr>
          <w:rFonts w:ascii="Verdana" w:eastAsia="Calibri" w:hAnsi="Verdana" w:cs="Arial"/>
          <w:b/>
        </w:rPr>
        <w:t xml:space="preserve">PRINCIPIO DE TRANSPARENCIA – Observaciones – Fundamento </w:t>
      </w:r>
      <w:r w:rsidRPr="00FE39ED">
        <w:rPr>
          <w:rFonts w:ascii="Verdana" w:eastAsia="Calibri" w:hAnsi="Verdana" w:cs="Arial"/>
          <w:b/>
        </w:rPr>
        <w:t xml:space="preserve"> </w:t>
      </w:r>
    </w:p>
    <w:p w14:paraId="707535EA" w14:textId="77777777" w:rsidR="00F41885" w:rsidRPr="00FE39ED" w:rsidRDefault="00F41885" w:rsidP="00F41885">
      <w:pPr>
        <w:spacing w:after="0" w:line="240" w:lineRule="auto"/>
        <w:jc w:val="both"/>
        <w:rPr>
          <w:rFonts w:ascii="Verdana" w:eastAsia="Calibri" w:hAnsi="Verdana" w:cs="Arial"/>
          <w:b/>
          <w:sz w:val="20"/>
          <w:szCs w:val="20"/>
        </w:rPr>
      </w:pPr>
    </w:p>
    <w:p w14:paraId="5BA25222" w14:textId="77777777" w:rsidR="00F41885" w:rsidRPr="00FE39ED" w:rsidRDefault="00F41885" w:rsidP="00F41885">
      <w:pPr>
        <w:spacing w:after="0" w:line="240" w:lineRule="auto"/>
        <w:jc w:val="both"/>
        <w:rPr>
          <w:rFonts w:ascii="Verdana" w:hAnsi="Verdana" w:cs="Arial"/>
          <w:sz w:val="20"/>
          <w:szCs w:val="20"/>
          <w:lang w:eastAsia="x-none"/>
        </w:rPr>
      </w:pPr>
      <w:r w:rsidRPr="00F84FDB">
        <w:rPr>
          <w:rFonts w:ascii="Verdana" w:hAnsi="Verdana" w:cs="Arial"/>
          <w:sz w:val="20"/>
          <w:szCs w:val="20"/>
          <w:lang w:eastAsia="x-none"/>
        </w:rPr>
        <w:t>El artículo 23 de la Ley 80 de 1993 regula los principios aplicables a las actuaciones contractuales adelantadas por las entidades estatales . Entre otros, allí se estableció el principio de transparencia de la actividad contractual, objeto de regulación expresa en el artículo 24 ibidem. Este principio guarda estrecha relación con el de publicidad, que rige el ejercicio de la función administrativa. Por ello, el numeral 2º dispone la facultad de los interesados para realizar y/o presentar observaciones, como un mecanismo para controvertir algunas de las decisiones adoptadas por las entidades estatales</w:t>
      </w:r>
      <w:r>
        <w:rPr>
          <w:rFonts w:ascii="Verdana" w:hAnsi="Verdana" w:cs="Arial"/>
          <w:sz w:val="20"/>
          <w:szCs w:val="20"/>
          <w:lang w:eastAsia="x-none"/>
        </w:rPr>
        <w:t>.</w:t>
      </w:r>
    </w:p>
    <w:p w14:paraId="7D35D36A" w14:textId="77777777" w:rsidR="00F41885" w:rsidRDefault="00F41885" w:rsidP="00F41885">
      <w:pPr>
        <w:spacing w:after="0" w:line="240" w:lineRule="auto"/>
        <w:jc w:val="both"/>
        <w:rPr>
          <w:rFonts w:ascii="Verdana" w:hAnsi="Verdana" w:cs="Arial"/>
          <w:sz w:val="20"/>
          <w:szCs w:val="20"/>
          <w:lang w:eastAsia="x-none"/>
        </w:rPr>
      </w:pPr>
      <w:r w:rsidRPr="00FE39ED">
        <w:rPr>
          <w:rFonts w:ascii="Verdana" w:hAnsi="Verdana" w:cs="Arial"/>
          <w:sz w:val="20"/>
          <w:szCs w:val="20"/>
          <w:lang w:eastAsia="x-none"/>
        </w:rPr>
        <w:t>[…]</w:t>
      </w:r>
    </w:p>
    <w:p w14:paraId="14FC8D62" w14:textId="77777777" w:rsidR="00F41885" w:rsidRPr="00FE39ED" w:rsidRDefault="00F41885" w:rsidP="00F41885">
      <w:pPr>
        <w:spacing w:after="0" w:line="240" w:lineRule="auto"/>
        <w:jc w:val="both"/>
        <w:rPr>
          <w:rFonts w:ascii="Verdana" w:eastAsia="Calibri" w:hAnsi="Verdana" w:cs="Arial"/>
          <w:b/>
          <w:sz w:val="20"/>
          <w:szCs w:val="20"/>
        </w:rPr>
      </w:pPr>
    </w:p>
    <w:p w14:paraId="37C8B674" w14:textId="77777777" w:rsidR="00F41885" w:rsidRPr="00FE39ED" w:rsidRDefault="00F41885" w:rsidP="00F41885">
      <w:pPr>
        <w:pStyle w:val="Textoindependiente"/>
        <w:spacing w:after="0" w:line="240" w:lineRule="auto"/>
        <w:jc w:val="both"/>
        <w:rPr>
          <w:rFonts w:ascii="Verdana" w:hAnsi="Verdana"/>
          <w:bCs/>
          <w:sz w:val="20"/>
          <w:szCs w:val="20"/>
          <w:lang w:eastAsia="x-none"/>
        </w:rPr>
      </w:pPr>
      <w:r w:rsidRPr="00F84FDB">
        <w:rPr>
          <w:rFonts w:ascii="Verdana" w:hAnsi="Verdana"/>
          <w:bCs/>
          <w:sz w:val="20"/>
          <w:szCs w:val="20"/>
          <w:lang w:eastAsia="x-none"/>
        </w:rPr>
        <w:t>Conforme a lo anterior, el conocimiento y la motivación de las decisiones tomadas por la administración son un presupuesto necesario para controvertirlas. Así las cosas, de acuerdo con lo dispuesto en el numeral 2º previamente citado, la doctrina considera que “[…] en los procesos de selección en los cuales el ordenamiento jurídico no indique de manera expresa una etapa tal para esos fines, los pliegos de condiciones deben introducir y reglar una instancia en donde los oferentes puedan expresar sus opiniones y observaciones […]”</w:t>
      </w:r>
      <w:r w:rsidRPr="00FE39ED">
        <w:rPr>
          <w:rFonts w:ascii="Verdana" w:hAnsi="Verdana"/>
          <w:bCs/>
          <w:sz w:val="20"/>
          <w:szCs w:val="20"/>
          <w:lang w:eastAsia="x-none"/>
        </w:rPr>
        <w:t xml:space="preserve">. </w:t>
      </w:r>
    </w:p>
    <w:p w14:paraId="2A0C4F6B" w14:textId="77777777" w:rsidR="00F41885" w:rsidRPr="00FE39ED" w:rsidRDefault="00F41885" w:rsidP="00F41885">
      <w:pPr>
        <w:pStyle w:val="Textoindependiente"/>
        <w:spacing w:after="0" w:line="240" w:lineRule="auto"/>
        <w:jc w:val="both"/>
        <w:rPr>
          <w:rFonts w:ascii="Verdana" w:eastAsia="Calibri" w:hAnsi="Verdana"/>
          <w:b/>
          <w:sz w:val="20"/>
          <w:szCs w:val="20"/>
        </w:rPr>
      </w:pPr>
    </w:p>
    <w:p w14:paraId="354F7617" w14:textId="77777777" w:rsidR="00F41885" w:rsidRPr="00FE39ED" w:rsidRDefault="00F41885" w:rsidP="00F41885">
      <w:pPr>
        <w:pStyle w:val="Textoindependiente"/>
        <w:spacing w:after="0" w:line="240" w:lineRule="auto"/>
        <w:jc w:val="both"/>
        <w:rPr>
          <w:rFonts w:ascii="Verdana" w:eastAsia="Calibri" w:hAnsi="Verdana"/>
          <w:b/>
        </w:rPr>
      </w:pPr>
      <w:r>
        <w:rPr>
          <w:rFonts w:ascii="Verdana" w:eastAsia="Calibri" w:hAnsi="Verdana"/>
          <w:b/>
        </w:rPr>
        <w:t>OBSERVACIONES – Principio de economía – Mínima cuantía – Desarrollo</w:t>
      </w:r>
      <w:r w:rsidRPr="00FE39ED">
        <w:rPr>
          <w:rFonts w:ascii="Verdana" w:eastAsia="Calibri" w:hAnsi="Verdana"/>
          <w:b/>
        </w:rPr>
        <w:t xml:space="preserve"> </w:t>
      </w:r>
    </w:p>
    <w:p w14:paraId="44722F5D" w14:textId="77777777" w:rsidR="00F41885" w:rsidRPr="00FE39ED" w:rsidRDefault="00F41885" w:rsidP="00F41885">
      <w:pPr>
        <w:pStyle w:val="Textoindependiente"/>
        <w:spacing w:after="0" w:line="240" w:lineRule="auto"/>
        <w:jc w:val="both"/>
        <w:rPr>
          <w:rFonts w:ascii="Verdana" w:eastAsia="Calibri" w:hAnsi="Verdana"/>
          <w:b/>
          <w:sz w:val="20"/>
          <w:szCs w:val="20"/>
        </w:rPr>
      </w:pPr>
    </w:p>
    <w:p w14:paraId="6B8FE8E9" w14:textId="77777777" w:rsidR="00F41885" w:rsidRDefault="00F41885" w:rsidP="00F41885">
      <w:pPr>
        <w:pStyle w:val="Textoindependiente"/>
        <w:spacing w:after="0" w:line="240" w:lineRule="auto"/>
        <w:jc w:val="both"/>
        <w:rPr>
          <w:rFonts w:ascii="Verdana" w:eastAsia="Calibri" w:hAnsi="Verdana"/>
          <w:bCs/>
          <w:sz w:val="20"/>
          <w:szCs w:val="20"/>
        </w:rPr>
      </w:pPr>
      <w:r>
        <w:rPr>
          <w:rFonts w:ascii="Verdana" w:eastAsia="Calibri" w:hAnsi="Verdana"/>
          <w:bCs/>
          <w:sz w:val="20"/>
          <w:szCs w:val="20"/>
        </w:rPr>
        <w:t>E</w:t>
      </w:r>
      <w:r w:rsidRPr="00CD42C6">
        <w:rPr>
          <w:rFonts w:ascii="Verdana" w:eastAsia="Calibri" w:hAnsi="Verdana"/>
          <w:bCs/>
          <w:sz w:val="20"/>
          <w:szCs w:val="20"/>
        </w:rPr>
        <w:t xml:space="preserve">n el marco de los artículos 84 y 150 de la Constitución Política de 1991, los interesados pueden hacer comentarios en la diferentes etapas del proceso, porque el artículo 24.2 del EGCAP garantiza que “[…] tendrán oportunidad de conocer y controvertir los informes, conceptos y decisiones que se rindan o adopten, para lo cual se establecerán etapas que permitan el conocimiento de dichas actuaciones y otorguen la posibilidad de expresar observaciones”. Es decir, en congruencia con el principio de economía del artículo 25.1 ibidem, la posibilidad de formularlas hace parte de los “[…] procedimientos y etapas estrictamente necesarios para asegurar la selección objetiva de la propuesta más favorable […]”. Por ello, la prohibición de establecer trámites adicionales no abarca eventos en que el proceso de selección requiere adecuarse a una norma legal. </w:t>
      </w:r>
    </w:p>
    <w:p w14:paraId="0AE72297" w14:textId="77777777" w:rsidR="00F41885" w:rsidRPr="00CD42C6" w:rsidRDefault="00F41885" w:rsidP="00F41885">
      <w:pPr>
        <w:pStyle w:val="Textoindependiente"/>
        <w:spacing w:after="0" w:line="240" w:lineRule="auto"/>
        <w:jc w:val="both"/>
        <w:rPr>
          <w:rFonts w:ascii="Verdana" w:eastAsia="Calibri" w:hAnsi="Verdana"/>
          <w:bCs/>
          <w:sz w:val="20"/>
          <w:szCs w:val="20"/>
        </w:rPr>
      </w:pPr>
    </w:p>
    <w:p w14:paraId="6026BC91" w14:textId="77777777" w:rsidR="00F41885" w:rsidRPr="00FE39ED" w:rsidRDefault="00F41885" w:rsidP="00F41885">
      <w:pPr>
        <w:pStyle w:val="Textoindependiente"/>
        <w:spacing w:after="0" w:line="240" w:lineRule="auto"/>
        <w:jc w:val="both"/>
        <w:rPr>
          <w:rFonts w:ascii="Verdana" w:eastAsia="Calibri" w:hAnsi="Verdana"/>
          <w:bCs/>
          <w:sz w:val="20"/>
          <w:szCs w:val="20"/>
        </w:rPr>
      </w:pPr>
      <w:r w:rsidRPr="00CD42C6">
        <w:rPr>
          <w:rFonts w:ascii="Verdana" w:eastAsia="Calibri" w:hAnsi="Verdana"/>
          <w:bCs/>
          <w:sz w:val="20"/>
          <w:szCs w:val="20"/>
        </w:rPr>
        <w:t xml:space="preserve">Dichos preceptos se desarrollan en la mínima cuantía. Conforme al artículo 2.2.1.2.1.5.2 del Decreto 1082 de 2015, “La invitación se publicará por un término no inferior a un </w:t>
      </w:r>
      <w:r w:rsidRPr="00CD42C6">
        <w:rPr>
          <w:rFonts w:ascii="Verdana" w:eastAsia="Calibri" w:hAnsi="Verdana"/>
          <w:bCs/>
          <w:sz w:val="20"/>
          <w:szCs w:val="20"/>
        </w:rPr>
        <w:lastRenderedPageBreak/>
        <w:t>(1) día hábil para que los interesados se informen de su contenido y formulen observaciones o comentarios, los cuales serán contestados por la Entidad Estatal antes del inicio del plazo para presentar ofertas […]” –numeral 3–. Asimismo, “La Entidad Estatal incluirá un cronograma en la invitación que deberá tener en cuenta […] El término hasta el cual podrá expedir adendas para modificar la invitación, el cual, en todo caso, tendrá como límite un día hábil antes a la fecha y hora prevista para la presentación de ofertas de que trata el último plazo de este numeral […]” –numeral 4–. Finalmente, “La Entidad Estatal debe publicar el informe de evaluación durante mínimo un (1) día hábil, para que durante este término los oferentes presenten las observaciones que deberán ser respondidas por la Entidad Estatal antes de realizar la aceptación de la oferta seleccionada” –numeral 6–.</w:t>
      </w:r>
    </w:p>
    <w:p w14:paraId="491CEBFB" w14:textId="77777777" w:rsidR="00F41885" w:rsidRPr="00FE39ED" w:rsidRDefault="00F41885" w:rsidP="00F41885">
      <w:pPr>
        <w:pStyle w:val="Textoindependiente"/>
        <w:spacing w:after="0" w:line="240" w:lineRule="auto"/>
        <w:jc w:val="both"/>
        <w:rPr>
          <w:rFonts w:ascii="Verdana" w:hAnsi="Verdana"/>
          <w:sz w:val="20"/>
          <w:szCs w:val="20"/>
        </w:rPr>
      </w:pPr>
    </w:p>
    <w:p w14:paraId="7595C5D6" w14:textId="77777777" w:rsidR="00F41885" w:rsidRPr="00FE39ED" w:rsidRDefault="00F41885" w:rsidP="00F41885">
      <w:pPr>
        <w:pStyle w:val="Textoindependiente"/>
        <w:spacing w:after="0" w:line="240" w:lineRule="auto"/>
        <w:jc w:val="both"/>
        <w:rPr>
          <w:rFonts w:ascii="Verdana" w:eastAsia="Calibri" w:hAnsi="Verdana"/>
          <w:b/>
        </w:rPr>
      </w:pPr>
      <w:r>
        <w:rPr>
          <w:rFonts w:ascii="Verdana" w:eastAsia="Calibri" w:hAnsi="Verdana"/>
          <w:b/>
        </w:rPr>
        <w:t>OBSERVACIONES</w:t>
      </w:r>
      <w:r w:rsidRPr="00FE39ED">
        <w:rPr>
          <w:rFonts w:ascii="Verdana" w:eastAsia="Calibri" w:hAnsi="Verdana"/>
          <w:b/>
        </w:rPr>
        <w:t xml:space="preserve"> </w:t>
      </w:r>
      <w:r>
        <w:rPr>
          <w:rFonts w:ascii="Verdana" w:eastAsia="Calibri" w:hAnsi="Verdana"/>
          <w:b/>
        </w:rPr>
        <w:t>–</w:t>
      </w:r>
      <w:r w:rsidRPr="00FE39ED">
        <w:rPr>
          <w:rFonts w:ascii="Verdana" w:eastAsia="Calibri" w:hAnsi="Verdana"/>
          <w:b/>
        </w:rPr>
        <w:t xml:space="preserve"> </w:t>
      </w:r>
      <w:r>
        <w:rPr>
          <w:rFonts w:ascii="Verdana" w:eastAsia="Calibri" w:hAnsi="Verdana"/>
          <w:b/>
        </w:rPr>
        <w:t>Derecho de petición</w:t>
      </w:r>
      <w:r w:rsidRPr="00FE39ED">
        <w:rPr>
          <w:rFonts w:ascii="Verdana" w:eastAsia="Calibri" w:hAnsi="Verdana"/>
          <w:b/>
        </w:rPr>
        <w:t xml:space="preserve"> –</w:t>
      </w:r>
      <w:r>
        <w:rPr>
          <w:rFonts w:ascii="Verdana" w:eastAsia="Calibri" w:hAnsi="Verdana"/>
          <w:b/>
        </w:rPr>
        <w:t xml:space="preserve"> Documentos del proceso – Modificación – Límites</w:t>
      </w:r>
      <w:r w:rsidRPr="00FE39ED">
        <w:rPr>
          <w:rFonts w:ascii="Verdana" w:eastAsia="Calibri" w:hAnsi="Verdana"/>
          <w:b/>
        </w:rPr>
        <w:t xml:space="preserve"> </w:t>
      </w:r>
    </w:p>
    <w:p w14:paraId="0DD391CA" w14:textId="77777777" w:rsidR="00F41885" w:rsidRPr="00FE39ED" w:rsidRDefault="00F41885" w:rsidP="00F41885">
      <w:pPr>
        <w:pStyle w:val="Textoindependiente"/>
        <w:spacing w:after="0" w:line="240" w:lineRule="auto"/>
        <w:jc w:val="both"/>
        <w:rPr>
          <w:rFonts w:ascii="Verdana" w:eastAsia="Calibri" w:hAnsi="Verdana"/>
          <w:b/>
          <w:sz w:val="20"/>
          <w:szCs w:val="20"/>
        </w:rPr>
      </w:pPr>
    </w:p>
    <w:p w14:paraId="088CAD35" w14:textId="77777777" w:rsidR="00F41885" w:rsidRPr="00FE39ED" w:rsidRDefault="00F41885" w:rsidP="00F41885">
      <w:pPr>
        <w:pStyle w:val="Textoindependiente"/>
        <w:spacing w:after="0" w:line="240" w:lineRule="auto"/>
        <w:jc w:val="both"/>
        <w:rPr>
          <w:rFonts w:ascii="Verdana" w:eastAsia="Calibri" w:hAnsi="Verdana"/>
          <w:bCs/>
          <w:sz w:val="20"/>
          <w:szCs w:val="20"/>
        </w:rPr>
      </w:pPr>
      <w:r>
        <w:rPr>
          <w:rFonts w:ascii="Verdana" w:eastAsia="Calibri" w:hAnsi="Verdana"/>
          <w:bCs/>
          <w:sz w:val="20"/>
          <w:szCs w:val="20"/>
        </w:rPr>
        <w:t>C</w:t>
      </w:r>
      <w:r w:rsidRPr="00CD42C6">
        <w:rPr>
          <w:rFonts w:ascii="Verdana" w:eastAsia="Calibri" w:hAnsi="Verdana"/>
          <w:bCs/>
          <w:sz w:val="20"/>
          <w:szCs w:val="20"/>
        </w:rPr>
        <w:t>onforme al artículo 13 de la Ley 1437 de 2011, las observaciones son una manifestación de la garantía prevista en el artículo 23 superior en el ámbito contractual, pues “Toda persona tiene derecho a presentar peticiones respetuosas a las autoridades por motivos de interés general o particular y a obtener pronta resolución […]”. Sin embargo, esto no significa que la entidad esté obligada a aceptar las observaciones formuladas oportunamente, por lo que es necesario distinguir entre el “derecho a pedir” y el “derecho a lo pedido”. Es decir, éstas pueden rechazase de manera motivada, pues “[…] el ámbito de protección constitucional de la petición se circunscribe al derecho a la solicitud y a tener una contestación para la misma, en ningún caso implica otorgar la materia de la solicitud como tal”. Luego, los ajustes que se hagan en los documentos del proceso dependen de las observaciones aceptadas por la entidad, sin perjuicio de las limitaciones temporales respecto a la expedición de adendas en los términos del artículo 2.2.1.1.2.2.1 del Decreto 1082 de 2015.</w:t>
      </w:r>
    </w:p>
    <w:p w14:paraId="17DD6DEC" w14:textId="77777777" w:rsidR="00F41885" w:rsidRDefault="00F41885" w:rsidP="00F41885">
      <w:pPr>
        <w:spacing w:after="0" w:line="240" w:lineRule="auto"/>
        <w:rPr>
          <w:rFonts w:ascii="Verdana" w:eastAsia="Geomanist Light" w:hAnsi="Verdana" w:cs="Arial"/>
          <w:color w:val="000000" w:themeColor="text1"/>
          <w:lang w:val="es-MX"/>
        </w:rPr>
      </w:pPr>
    </w:p>
    <w:p w14:paraId="24CEBBE5" w14:textId="77777777" w:rsidR="00F41885" w:rsidRDefault="00F41885" w:rsidP="00F41885">
      <w:pPr>
        <w:spacing w:after="0" w:line="240" w:lineRule="auto"/>
        <w:rPr>
          <w:rFonts w:ascii="Verdana" w:eastAsia="Geomanist Light" w:hAnsi="Verdana" w:cs="Arial"/>
          <w:color w:val="000000" w:themeColor="text1"/>
          <w:lang w:val="es-MX"/>
        </w:rPr>
      </w:pPr>
    </w:p>
    <w:p w14:paraId="2A0B0CC5" w14:textId="77777777" w:rsidR="00F41885" w:rsidRDefault="00F41885" w:rsidP="00F41885">
      <w:pPr>
        <w:spacing w:after="0" w:line="240" w:lineRule="auto"/>
        <w:rPr>
          <w:rFonts w:ascii="Verdana" w:eastAsia="Geomanist Light" w:hAnsi="Verdana" w:cs="Arial"/>
          <w:color w:val="000000" w:themeColor="text1"/>
          <w:lang w:val="es-MX"/>
        </w:rPr>
      </w:pPr>
    </w:p>
    <w:p w14:paraId="04F5AD79" w14:textId="77777777" w:rsidR="00F41885" w:rsidRDefault="00F41885" w:rsidP="00F41885">
      <w:pPr>
        <w:spacing w:after="0" w:line="240" w:lineRule="auto"/>
        <w:rPr>
          <w:rFonts w:ascii="Verdana" w:eastAsia="Geomanist Light" w:hAnsi="Verdana" w:cs="Arial"/>
          <w:color w:val="000000" w:themeColor="text1"/>
          <w:lang w:val="es-MX"/>
        </w:rPr>
      </w:pPr>
    </w:p>
    <w:p w14:paraId="600CAE82" w14:textId="77777777" w:rsidR="00F41885" w:rsidRDefault="00F41885" w:rsidP="00F41885">
      <w:pPr>
        <w:spacing w:after="0" w:line="240" w:lineRule="auto"/>
        <w:rPr>
          <w:rFonts w:ascii="Verdana" w:eastAsia="Geomanist Light" w:hAnsi="Verdana" w:cs="Arial"/>
          <w:color w:val="000000" w:themeColor="text1"/>
          <w:lang w:val="es-MX"/>
        </w:rPr>
      </w:pPr>
    </w:p>
    <w:p w14:paraId="618F89DD" w14:textId="77777777" w:rsidR="00F41885" w:rsidRDefault="00F41885" w:rsidP="00F41885">
      <w:pPr>
        <w:spacing w:after="0" w:line="240" w:lineRule="auto"/>
        <w:rPr>
          <w:rFonts w:ascii="Verdana" w:eastAsia="Geomanist Light" w:hAnsi="Verdana" w:cs="Arial"/>
          <w:color w:val="000000" w:themeColor="text1"/>
          <w:lang w:val="es-MX"/>
        </w:rPr>
      </w:pPr>
    </w:p>
    <w:p w14:paraId="5AA8DEEA" w14:textId="77777777" w:rsidR="00F41885" w:rsidRDefault="00F41885" w:rsidP="00F41885">
      <w:pPr>
        <w:spacing w:after="0" w:line="240" w:lineRule="auto"/>
        <w:rPr>
          <w:rFonts w:ascii="Verdana" w:eastAsia="Geomanist Light" w:hAnsi="Verdana" w:cs="Arial"/>
          <w:color w:val="000000" w:themeColor="text1"/>
          <w:lang w:val="es-MX"/>
        </w:rPr>
      </w:pPr>
    </w:p>
    <w:p w14:paraId="1B7CABF9" w14:textId="77777777" w:rsidR="00F41885" w:rsidRDefault="00F41885" w:rsidP="00F41885">
      <w:pPr>
        <w:spacing w:after="0" w:line="240" w:lineRule="auto"/>
        <w:rPr>
          <w:rFonts w:ascii="Verdana" w:eastAsia="Geomanist Light" w:hAnsi="Verdana" w:cs="Arial"/>
          <w:color w:val="000000" w:themeColor="text1"/>
          <w:lang w:val="es-MX"/>
        </w:rPr>
      </w:pPr>
    </w:p>
    <w:p w14:paraId="18DE37B1" w14:textId="77777777" w:rsidR="00F41885" w:rsidRDefault="00F41885" w:rsidP="00F41885">
      <w:pPr>
        <w:spacing w:after="0" w:line="240" w:lineRule="auto"/>
        <w:rPr>
          <w:rFonts w:ascii="Verdana" w:eastAsia="Geomanist Light" w:hAnsi="Verdana" w:cs="Arial"/>
          <w:color w:val="000000" w:themeColor="text1"/>
          <w:lang w:val="es-MX"/>
        </w:rPr>
      </w:pPr>
    </w:p>
    <w:p w14:paraId="200B38AD" w14:textId="77777777" w:rsidR="00F41885" w:rsidRDefault="00F41885" w:rsidP="00F41885">
      <w:pPr>
        <w:spacing w:after="0" w:line="240" w:lineRule="auto"/>
        <w:rPr>
          <w:rFonts w:ascii="Verdana" w:eastAsia="Geomanist Light" w:hAnsi="Verdana" w:cs="Arial"/>
          <w:color w:val="000000" w:themeColor="text1"/>
          <w:lang w:val="es-MX"/>
        </w:rPr>
      </w:pPr>
    </w:p>
    <w:p w14:paraId="698A013D" w14:textId="77777777" w:rsidR="00F41885" w:rsidRDefault="00F41885" w:rsidP="00F41885">
      <w:pPr>
        <w:spacing w:after="0" w:line="240" w:lineRule="auto"/>
        <w:rPr>
          <w:rFonts w:ascii="Verdana" w:eastAsia="Geomanist Light" w:hAnsi="Verdana" w:cs="Arial"/>
          <w:color w:val="000000" w:themeColor="text1"/>
          <w:lang w:val="es-MX"/>
        </w:rPr>
      </w:pPr>
    </w:p>
    <w:p w14:paraId="6E5E6A6F" w14:textId="77777777" w:rsidR="00F41885" w:rsidRDefault="00F41885" w:rsidP="00F41885">
      <w:pPr>
        <w:spacing w:after="0" w:line="240" w:lineRule="auto"/>
        <w:rPr>
          <w:rFonts w:ascii="Verdana" w:eastAsia="Geomanist Light" w:hAnsi="Verdana" w:cs="Arial"/>
          <w:color w:val="000000" w:themeColor="text1"/>
          <w:lang w:val="es-MX"/>
        </w:rPr>
      </w:pPr>
    </w:p>
    <w:p w14:paraId="37260608" w14:textId="77777777" w:rsidR="00F41885" w:rsidRDefault="00F41885" w:rsidP="00F41885">
      <w:pPr>
        <w:spacing w:after="0" w:line="240" w:lineRule="auto"/>
        <w:rPr>
          <w:rFonts w:ascii="Verdana" w:eastAsia="Geomanist Light" w:hAnsi="Verdana" w:cs="Arial"/>
          <w:color w:val="000000" w:themeColor="text1"/>
          <w:lang w:val="es-MX"/>
        </w:rPr>
      </w:pPr>
    </w:p>
    <w:p w14:paraId="48C2355A" w14:textId="77777777" w:rsidR="00F41885" w:rsidRDefault="00F41885" w:rsidP="00F41885">
      <w:pPr>
        <w:spacing w:after="0" w:line="240" w:lineRule="auto"/>
        <w:rPr>
          <w:rFonts w:ascii="Verdana" w:eastAsia="Geomanist Light" w:hAnsi="Verdana" w:cs="Arial"/>
          <w:color w:val="000000" w:themeColor="text1"/>
          <w:lang w:val="es-MX"/>
        </w:rPr>
      </w:pPr>
    </w:p>
    <w:p w14:paraId="5D858C5E" w14:textId="77777777" w:rsidR="00F41885" w:rsidRDefault="00F41885" w:rsidP="00F41885">
      <w:pPr>
        <w:spacing w:after="0" w:line="240" w:lineRule="auto"/>
        <w:rPr>
          <w:rFonts w:ascii="Verdana" w:eastAsia="Geomanist Light" w:hAnsi="Verdana" w:cs="Arial"/>
          <w:color w:val="000000" w:themeColor="text1"/>
          <w:lang w:val="es-MX"/>
        </w:rPr>
      </w:pPr>
    </w:p>
    <w:p w14:paraId="25F1962F" w14:textId="77777777" w:rsidR="00F41885" w:rsidRDefault="00F41885" w:rsidP="005D045F">
      <w:pPr>
        <w:spacing w:after="0" w:line="240" w:lineRule="auto"/>
        <w:rPr>
          <w:rFonts w:ascii="Verdana" w:eastAsia="Geomanist Light" w:hAnsi="Verdana" w:cs="Arial"/>
          <w:color w:val="000000" w:themeColor="text1"/>
          <w:lang w:val="es-MX"/>
        </w:rPr>
      </w:pPr>
    </w:p>
    <w:p w14:paraId="099229C7" w14:textId="5731A0C5" w:rsidR="005D045F" w:rsidRPr="00593A5F" w:rsidRDefault="005D045F" w:rsidP="005D045F">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2C233F" w:rsidRPr="002C233F">
        <w:rPr>
          <w:rFonts w:ascii="Verdana" w:eastAsia="Geomanist Light" w:hAnsi="Verdana" w:cs="Arial"/>
          <w:color w:val="000000" w:themeColor="text1"/>
          <w:lang w:val="es-MX"/>
        </w:rPr>
        <w:t>01 de Diciembre de 2025</w:t>
      </w:r>
    </w:p>
    <w:p w14:paraId="47597C87" w14:textId="77777777" w:rsidR="005D045F" w:rsidRDefault="005D045F" w:rsidP="005D045F">
      <w:pPr>
        <w:spacing w:after="0" w:line="240" w:lineRule="auto"/>
        <w:jc w:val="both"/>
        <w:rPr>
          <w:rFonts w:ascii="Verdana" w:eastAsia="Calibri" w:hAnsi="Verdana" w:cs="Arial"/>
          <w:color w:val="000000"/>
          <w:lang w:val="es-ES"/>
        </w:rPr>
      </w:pPr>
    </w:p>
    <w:p w14:paraId="4E235387" w14:textId="7F7E0D96" w:rsidR="002C233F" w:rsidRDefault="00874183" w:rsidP="00874183">
      <w:pPr>
        <w:spacing w:after="0" w:line="240" w:lineRule="auto"/>
        <w:jc w:val="right"/>
        <w:rPr>
          <w:rFonts w:ascii="Verdana" w:eastAsia="Calibri" w:hAnsi="Verdana" w:cs="Arial"/>
          <w:color w:val="000000"/>
          <w:lang w:val="es-ES"/>
        </w:rPr>
      </w:pPr>
      <w:r w:rsidRPr="00874183">
        <w:rPr>
          <w:rFonts w:ascii="Verdana" w:eastAsia="Calibri" w:hAnsi="Verdana" w:cs="Arial"/>
          <w:noProof/>
          <w:color w:val="000000"/>
          <w:lang w:val="es-ES"/>
        </w:rPr>
        <w:drawing>
          <wp:inline distT="0" distB="0" distL="0" distR="0" wp14:anchorId="21DC2071" wp14:editId="14D54693">
            <wp:extent cx="3238500" cy="901700"/>
            <wp:effectExtent l="0" t="0" r="0" b="0"/>
            <wp:docPr id="78047944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0479445" name=""/>
                    <pic:cNvPicPr/>
                  </pic:nvPicPr>
                  <pic:blipFill>
                    <a:blip r:embed="rId10"/>
                    <a:stretch>
                      <a:fillRect/>
                    </a:stretch>
                  </pic:blipFill>
                  <pic:spPr>
                    <a:xfrm>
                      <a:off x="0" y="0"/>
                      <a:ext cx="3238500" cy="901700"/>
                    </a:xfrm>
                    <a:prstGeom prst="rect">
                      <a:avLst/>
                    </a:prstGeom>
                  </pic:spPr>
                </pic:pic>
              </a:graphicData>
            </a:graphic>
          </wp:inline>
        </w:drawing>
      </w:r>
    </w:p>
    <w:p w14:paraId="4F0B1A96" w14:textId="77777777" w:rsidR="005D045F" w:rsidRPr="00593A5F" w:rsidRDefault="005D045F" w:rsidP="005D045F">
      <w:pPr>
        <w:spacing w:after="0" w:line="240" w:lineRule="auto"/>
        <w:jc w:val="both"/>
        <w:rPr>
          <w:rFonts w:ascii="Verdana" w:eastAsia="Calibri" w:hAnsi="Verdana" w:cs="Arial"/>
          <w:color w:val="000000"/>
          <w:lang w:val="es-ES"/>
        </w:rPr>
      </w:pPr>
    </w:p>
    <w:p w14:paraId="7807DAA2" w14:textId="77777777" w:rsidR="005D045F" w:rsidRPr="00B96799" w:rsidRDefault="005D045F" w:rsidP="005D045F">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605B7980" w14:textId="77777777" w:rsidR="005D045F" w:rsidRPr="0085423D" w:rsidRDefault="005D045F" w:rsidP="005D045F">
      <w:pPr>
        <w:spacing w:after="0" w:line="240" w:lineRule="auto"/>
        <w:rPr>
          <w:rFonts w:ascii="Verdana" w:eastAsia="Calibri" w:hAnsi="Verdana" w:cs="Arial"/>
          <w:b/>
          <w:lang w:val="es-ES_tradnl" w:eastAsia="es-ES_tradnl"/>
        </w:rPr>
      </w:pPr>
      <w:r w:rsidRPr="000D30B7">
        <w:rPr>
          <w:rFonts w:ascii="Verdana" w:eastAsia="Calibri" w:hAnsi="Verdana" w:cs="Arial"/>
          <w:b/>
          <w:lang w:val="es-ES_tradnl" w:eastAsia="es-ES_tradnl"/>
        </w:rPr>
        <w:t>Nelson Ferney Romero Segura</w:t>
      </w:r>
      <w:r>
        <w:rPr>
          <w:rFonts w:ascii="Verdana" w:eastAsia="Calibri" w:hAnsi="Verdana" w:cs="Arial"/>
          <w:b/>
          <w:lang w:val="es-ES_tradnl" w:eastAsia="es-ES_tradnl"/>
        </w:rPr>
        <w:t xml:space="preserve"> </w:t>
      </w:r>
    </w:p>
    <w:p w14:paraId="30511F0F" w14:textId="77777777" w:rsidR="005D045F" w:rsidRPr="000D30B7" w:rsidRDefault="005D045F" w:rsidP="005D045F">
      <w:pPr>
        <w:spacing w:after="0" w:line="240" w:lineRule="auto"/>
        <w:rPr>
          <w:rFonts w:ascii="Verdana" w:eastAsia="Calibri" w:hAnsi="Verdana" w:cs="Arial"/>
          <w:lang w:val="es-ES" w:eastAsia="es-ES"/>
        </w:rPr>
      </w:pPr>
      <w:hyperlink r:id="rId11" w:history="1">
        <w:r w:rsidRPr="00C10C08">
          <w:rPr>
            <w:rStyle w:val="Hipervnculo"/>
            <w:rFonts w:ascii="Verdana" w:hAnsi="Verdana"/>
          </w:rPr>
          <w:t>soujiro25ls@me.com</w:t>
        </w:r>
      </w:hyperlink>
      <w:r>
        <w:rPr>
          <w:rFonts w:ascii="Verdana" w:hAnsi="Verdana"/>
        </w:rPr>
        <w:t xml:space="preserve"> </w:t>
      </w:r>
      <w:r w:rsidRPr="000D30B7">
        <w:rPr>
          <w:rFonts w:ascii="Verdana" w:hAnsi="Verdana"/>
        </w:rPr>
        <w:t xml:space="preserve">              </w:t>
      </w:r>
      <w:r w:rsidRPr="000D30B7">
        <w:rPr>
          <w:rFonts w:ascii="Verdana" w:eastAsia="Calibri" w:hAnsi="Verdana" w:cs="Arial"/>
          <w:lang w:val="es-ES" w:eastAsia="es-ES"/>
        </w:rPr>
        <w:t xml:space="preserve">    </w:t>
      </w:r>
    </w:p>
    <w:p w14:paraId="33214A15" w14:textId="77777777" w:rsidR="005D045F" w:rsidRDefault="005D045F" w:rsidP="005D045F">
      <w:pPr>
        <w:spacing w:after="0" w:line="240" w:lineRule="auto"/>
        <w:rPr>
          <w:rFonts w:ascii="Verdana" w:eastAsia="Calibri" w:hAnsi="Verdana" w:cs="Arial"/>
          <w:lang w:val="es-ES" w:eastAsia="es-ES"/>
        </w:rPr>
      </w:pPr>
      <w:r>
        <w:rPr>
          <w:rFonts w:ascii="Verdana" w:eastAsia="Calibri" w:hAnsi="Verdana" w:cs="Arial"/>
          <w:lang w:val="es-ES" w:eastAsia="es-ES"/>
        </w:rPr>
        <w:t xml:space="preserve">Villavicencio, Meta </w:t>
      </w:r>
    </w:p>
    <w:p w14:paraId="1F23D3FC" w14:textId="77777777" w:rsidR="005D045F" w:rsidRPr="00593A5F" w:rsidRDefault="005D045F" w:rsidP="005D045F">
      <w:pPr>
        <w:spacing w:after="0" w:line="240" w:lineRule="auto"/>
        <w:rPr>
          <w:rFonts w:ascii="Verdana" w:eastAsia="Calibri" w:hAnsi="Verdana" w:cs="Arial"/>
          <w:b/>
          <w:bCs/>
          <w:color w:val="000000"/>
          <w:lang w:val="es-ES_tradnl" w:eastAsia="es-ES_tradnl"/>
        </w:rPr>
      </w:pPr>
    </w:p>
    <w:p w14:paraId="3C88218B" w14:textId="77777777" w:rsidR="005D045F" w:rsidRPr="00593A5F" w:rsidRDefault="005D045F" w:rsidP="005D045F">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D045F" w:rsidRPr="00593A5F" w14:paraId="7E3F3B3E" w14:textId="77777777" w:rsidTr="007678F3">
        <w:trPr>
          <w:trHeight w:val="884"/>
        </w:trPr>
        <w:tc>
          <w:tcPr>
            <w:tcW w:w="2689" w:type="dxa"/>
          </w:tcPr>
          <w:p w14:paraId="4D7BB7C6" w14:textId="77777777" w:rsidR="005D045F" w:rsidRPr="00C00976" w:rsidRDefault="005D045F" w:rsidP="007678F3">
            <w:pPr>
              <w:jc w:val="both"/>
              <w:rPr>
                <w:rFonts w:ascii="Verdana" w:eastAsia="Calibri" w:hAnsi="Verdana" w:cs="Arial"/>
                <w:b/>
                <w:bCs/>
                <w:color w:val="7030A0"/>
                <w:lang w:val="es-ES_tradnl" w:eastAsia="es-ES_tradnl"/>
              </w:rPr>
            </w:pPr>
          </w:p>
        </w:tc>
        <w:tc>
          <w:tcPr>
            <w:tcW w:w="6100" w:type="dxa"/>
          </w:tcPr>
          <w:p w14:paraId="1E45FE73" w14:textId="77777777" w:rsidR="005D045F" w:rsidRPr="00C00976" w:rsidRDefault="005D045F" w:rsidP="007678F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1696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5D045F" w:rsidRPr="00593A5F" w14:paraId="133F3D49" w14:textId="77777777" w:rsidTr="007678F3">
        <w:trPr>
          <w:trHeight w:val="884"/>
        </w:trPr>
        <w:tc>
          <w:tcPr>
            <w:tcW w:w="2689" w:type="dxa"/>
          </w:tcPr>
          <w:p w14:paraId="5AD0C5F0" w14:textId="77777777" w:rsidR="005D045F" w:rsidRPr="00593A5F" w:rsidRDefault="005D045F" w:rsidP="007678F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1646712A" w14:textId="77777777" w:rsidR="005D045F" w:rsidRPr="00A11406" w:rsidRDefault="005D045F" w:rsidP="007678F3">
            <w:pPr>
              <w:spacing w:line="276" w:lineRule="auto"/>
              <w:jc w:val="both"/>
              <w:rPr>
                <w:rFonts w:ascii="Verdana" w:eastAsia="Calibri" w:hAnsi="Verdana" w:cs="Arial"/>
                <w:lang w:val="es-ES" w:eastAsia="es-ES"/>
              </w:rPr>
            </w:pPr>
            <w:r w:rsidRPr="00CD42C6">
              <w:rPr>
                <w:rFonts w:ascii="Verdana" w:eastAsia="Calibri" w:hAnsi="Verdana" w:cs="Arial"/>
                <w:lang w:val="es-ES" w:eastAsia="es-ES"/>
              </w:rPr>
              <w:t>CONCEPTOS DE COLOMBIA COMPRA EFICIENTE – Obligatoriedad / FUNCIÓN CONSULTIVA – Alcance / CONCEPTOS DE COLOMBIA COMPRA EFICIENTE – Revocación directa – Improcedencia</w:t>
            </w:r>
            <w:r>
              <w:rPr>
                <w:rFonts w:ascii="Verdana" w:eastAsia="Calibri" w:hAnsi="Verdana" w:cs="Arial"/>
                <w:lang w:val="es-ES" w:eastAsia="es-ES"/>
              </w:rPr>
              <w:t xml:space="preserve"> / </w:t>
            </w:r>
            <w:r w:rsidRPr="00454111">
              <w:rPr>
                <w:rFonts w:ascii="Verdana" w:eastAsia="Calibri" w:hAnsi="Verdana" w:cs="Arial"/>
                <w:lang w:val="es-ES" w:eastAsia="es-ES"/>
              </w:rPr>
              <w:t>CONTRATO ESTATAL – Finalidad</w:t>
            </w:r>
            <w:r>
              <w:rPr>
                <w:rFonts w:ascii="Verdana" w:eastAsia="Calibri" w:hAnsi="Verdana" w:cs="Arial"/>
                <w:lang w:val="es-ES" w:eastAsia="es-ES"/>
              </w:rPr>
              <w:t xml:space="preserve"> / </w:t>
            </w:r>
            <w:r w:rsidRPr="00454111">
              <w:rPr>
                <w:rFonts w:ascii="Verdana" w:eastAsia="Calibri" w:hAnsi="Verdana" w:cs="Arial"/>
                <w:lang w:val="es-ES" w:eastAsia="es-ES"/>
              </w:rPr>
              <w:t>PRINCIPIO DE TRANSPARENCIA – Observaciones – Fundamento</w:t>
            </w:r>
            <w:r>
              <w:rPr>
                <w:rFonts w:ascii="Verdana" w:eastAsia="Calibri" w:hAnsi="Verdana" w:cs="Arial"/>
                <w:lang w:val="es-ES" w:eastAsia="es-ES"/>
              </w:rPr>
              <w:t xml:space="preserve"> / </w:t>
            </w:r>
            <w:r w:rsidRPr="00CD42C6">
              <w:rPr>
                <w:rFonts w:ascii="Verdana" w:eastAsia="Calibri" w:hAnsi="Verdana" w:cs="Arial"/>
                <w:lang w:val="es-ES" w:eastAsia="es-ES"/>
              </w:rPr>
              <w:t xml:space="preserve">OBSERVACIONES – Principio de economía – Mínima cuantía – Desarrollo </w:t>
            </w:r>
            <w:r>
              <w:rPr>
                <w:rFonts w:ascii="Verdana" w:eastAsia="Calibri" w:hAnsi="Verdana" w:cs="Arial"/>
                <w:lang w:val="es-ES" w:eastAsia="es-ES"/>
              </w:rPr>
              <w:t xml:space="preserve">/ </w:t>
            </w:r>
            <w:r w:rsidRPr="00CD42C6">
              <w:rPr>
                <w:rFonts w:ascii="Verdana" w:eastAsia="Calibri" w:hAnsi="Verdana" w:cs="Arial"/>
                <w:lang w:val="es-ES" w:eastAsia="es-ES"/>
              </w:rPr>
              <w:t>OBSERVACIONES – Derecho de petición – Documentos del proceso – Modificación – Límites</w:t>
            </w:r>
            <w:r w:rsidRPr="00454111">
              <w:rPr>
                <w:rFonts w:ascii="Verdana" w:eastAsia="Calibri" w:hAnsi="Verdana" w:cs="Arial"/>
                <w:lang w:val="es-ES" w:eastAsia="es-ES"/>
              </w:rPr>
              <w:t xml:space="preserve"> </w:t>
            </w:r>
            <w:r w:rsidRPr="00FE39ED">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7701E18" w14:textId="77777777" w:rsidR="005D045F" w:rsidRPr="00593A5F" w:rsidRDefault="005D045F" w:rsidP="007678F3">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5D045F" w:rsidRPr="008E6AD9" w14:paraId="34F4A4A9" w14:textId="77777777" w:rsidTr="007678F3">
        <w:tc>
          <w:tcPr>
            <w:tcW w:w="2689" w:type="dxa"/>
          </w:tcPr>
          <w:p w14:paraId="7C1EE6B1" w14:textId="77777777" w:rsidR="005D045F" w:rsidRPr="008E6AD9" w:rsidRDefault="005D045F" w:rsidP="007678F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88517F3" w14:textId="77777777" w:rsidR="005D045F" w:rsidRPr="00B92340" w:rsidRDefault="005D045F" w:rsidP="007678F3">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2B170B">
              <w:rPr>
                <w:rFonts w:ascii="Verdana" w:eastAsia="Calibri" w:hAnsi="Verdana" w:cs="Arial"/>
                <w:lang w:val="es-ES_tradnl" w:eastAsia="es-ES_tradnl"/>
              </w:rPr>
              <w:t>1_2025_11_18_012983</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285DCA00" w14:textId="77777777" w:rsidR="005D045F" w:rsidRPr="00593A5F" w:rsidRDefault="005D045F" w:rsidP="005D045F">
      <w:pPr>
        <w:spacing w:after="0" w:line="240" w:lineRule="auto"/>
        <w:jc w:val="both"/>
        <w:rPr>
          <w:rFonts w:ascii="Verdana" w:eastAsia="Calibri" w:hAnsi="Verdana" w:cs="Arial"/>
          <w:color w:val="000000"/>
          <w:lang w:val="es-ES_tradnl" w:eastAsia="es-ES_tradnl"/>
        </w:rPr>
      </w:pPr>
    </w:p>
    <w:p w14:paraId="311B3D57" w14:textId="77777777" w:rsidR="005D045F" w:rsidRPr="00593A5F" w:rsidRDefault="005D045F" w:rsidP="005D045F">
      <w:pPr>
        <w:spacing w:after="0" w:line="240" w:lineRule="auto"/>
        <w:jc w:val="both"/>
        <w:rPr>
          <w:rFonts w:ascii="Verdana" w:eastAsia="Calibri" w:hAnsi="Verdana" w:cs="Arial"/>
          <w:color w:val="000000"/>
          <w:lang w:val="es-ES_tradnl" w:eastAsia="es-ES_tradnl"/>
        </w:rPr>
      </w:pPr>
    </w:p>
    <w:p w14:paraId="7D0CF630" w14:textId="77777777" w:rsidR="005D045F" w:rsidRPr="008E6AD9" w:rsidRDefault="005D045F" w:rsidP="005D045F">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0D30B7">
        <w:rPr>
          <w:rFonts w:ascii="Verdana" w:eastAsia="Calibri" w:hAnsi="Verdana" w:cs="Arial"/>
          <w:lang w:val="es-ES" w:eastAsia="es-ES"/>
        </w:rPr>
        <w:t>Romero Segura</w:t>
      </w:r>
      <w:r w:rsidRPr="008E6AD9">
        <w:rPr>
          <w:rFonts w:ascii="Verdana" w:eastAsia="Calibri" w:hAnsi="Verdana" w:cs="Arial"/>
          <w:lang w:val="es-ES" w:eastAsia="es-ES"/>
        </w:rPr>
        <w:t xml:space="preserve">: </w:t>
      </w:r>
    </w:p>
    <w:p w14:paraId="754D897E" w14:textId="77777777" w:rsidR="005D045F" w:rsidRDefault="005D045F" w:rsidP="005D045F">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3AA0A2EE" w14:textId="77777777" w:rsidR="005D045F" w:rsidRPr="00593A5F" w:rsidRDefault="005D045F" w:rsidP="005D045F">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18 de noviembre de 2025</w:t>
      </w:r>
      <w:r w:rsidRPr="008E6AD9">
        <w:rPr>
          <w:rFonts w:ascii="Verdana" w:eastAsia="Calibri" w:hAnsi="Verdana" w:cs="Arial"/>
          <w:lang w:val="es-ES" w:eastAsia="es-ES"/>
        </w:rPr>
        <w:t>,</w:t>
      </w:r>
      <w:r>
        <w:rPr>
          <w:rFonts w:ascii="Verdana" w:eastAsia="Calibri" w:hAnsi="Verdana" w:cs="Arial"/>
          <w:lang w:val="es-ES" w:eastAsia="es-ES"/>
        </w:rPr>
        <w:t xml:space="preserve"> </w:t>
      </w:r>
      <w:r w:rsidRPr="008E6AD9">
        <w:rPr>
          <w:rFonts w:ascii="Verdana" w:eastAsia="Calibri" w:hAnsi="Verdana" w:cs="Arial"/>
          <w:lang w:val="es-ES" w:eastAsia="es-ES"/>
        </w:rPr>
        <w:t xml:space="preserve">en </w:t>
      </w:r>
      <w:r>
        <w:rPr>
          <w:rFonts w:ascii="Verdana" w:eastAsia="Calibri" w:hAnsi="Verdana" w:cs="Arial"/>
          <w:lang w:val="es-ES" w:eastAsia="es-ES"/>
        </w:rPr>
        <w:t xml:space="preserve">la cual –de cara a lo explicado </w:t>
      </w:r>
      <w:r>
        <w:rPr>
          <w:rFonts w:ascii="Verdana" w:eastAsia="Calibri" w:hAnsi="Verdana" w:cs="Arial"/>
          <w:lang w:val="es-ES" w:eastAsia="es-ES"/>
        </w:rPr>
        <w:lastRenderedPageBreak/>
        <w:t>en el Concepto C-1581 del 6 de noviembre de 2025– plantea las siguientes preguntas</w:t>
      </w:r>
      <w:r w:rsidRPr="008E6AD9">
        <w:rPr>
          <w:rFonts w:ascii="Verdana" w:eastAsia="Calibri" w:hAnsi="Verdana" w:cs="Arial"/>
          <w:lang w:val="es-ES" w:eastAsia="es-ES"/>
        </w:rPr>
        <w:t xml:space="preserve">: </w:t>
      </w:r>
    </w:p>
    <w:p w14:paraId="3F975D8D" w14:textId="77777777" w:rsidR="005D045F" w:rsidRPr="00272A7B" w:rsidRDefault="005D045F" w:rsidP="005D045F">
      <w:pPr>
        <w:pStyle w:val="Prrafodelista"/>
        <w:tabs>
          <w:tab w:val="left" w:pos="142"/>
          <w:tab w:val="left" w:pos="284"/>
        </w:tabs>
        <w:spacing w:after="0" w:line="276" w:lineRule="auto"/>
        <w:ind w:left="0"/>
        <w:jc w:val="both"/>
        <w:rPr>
          <w:rFonts w:ascii="Verdana" w:eastAsia="Century Gothic" w:hAnsi="Verdana" w:cs="Century Gothic"/>
          <w:b/>
          <w:bCs/>
        </w:rPr>
      </w:pPr>
    </w:p>
    <w:p w14:paraId="2CECC2F0" w14:textId="77777777" w:rsidR="005D045F" w:rsidRPr="000D30B7" w:rsidRDefault="005D045F" w:rsidP="005D045F">
      <w:pPr>
        <w:spacing w:after="120" w:line="240" w:lineRule="auto"/>
        <w:ind w:left="709" w:right="709"/>
        <w:jc w:val="both"/>
        <w:rPr>
          <w:rFonts w:ascii="Verdana" w:eastAsia="Century Gothic" w:hAnsi="Verdana" w:cs="Century Gothic"/>
          <w:sz w:val="20"/>
          <w:szCs w:val="20"/>
          <w:lang w:val="es-ES"/>
        </w:rPr>
      </w:pPr>
      <w:bookmarkStart w:id="0" w:name="_Hlk95313578"/>
      <w:r w:rsidRPr="001904AF">
        <w:rPr>
          <w:rFonts w:ascii="Verdana" w:eastAsia="Century Gothic" w:hAnsi="Verdana" w:cs="Century Gothic"/>
          <w:sz w:val="20"/>
          <w:szCs w:val="20"/>
          <w:lang w:val="es-ES"/>
        </w:rPr>
        <w:t>“</w:t>
      </w:r>
      <w:bookmarkEnd w:id="0"/>
      <w:r w:rsidRPr="000D30B7">
        <w:rPr>
          <w:rFonts w:ascii="Verdana" w:eastAsia="Century Gothic" w:hAnsi="Verdana" w:cs="Century Gothic"/>
          <w:sz w:val="20"/>
          <w:szCs w:val="20"/>
          <w:lang w:val="es-ES"/>
        </w:rPr>
        <w:t xml:space="preserve">1- </w:t>
      </w:r>
      <w:r>
        <w:rPr>
          <w:rFonts w:ascii="Verdana" w:eastAsia="Century Gothic" w:hAnsi="Verdana" w:cs="Century Gothic"/>
          <w:sz w:val="20"/>
          <w:szCs w:val="20"/>
          <w:lang w:val="es-ES"/>
        </w:rPr>
        <w:t>[…]</w:t>
      </w:r>
      <w:r w:rsidRPr="000D30B7">
        <w:rPr>
          <w:rFonts w:ascii="Verdana" w:eastAsia="Century Gothic" w:hAnsi="Verdana" w:cs="Century Gothic"/>
          <w:sz w:val="20"/>
          <w:szCs w:val="20"/>
          <w:lang w:val="es-ES"/>
        </w:rPr>
        <w:t xml:space="preserve"> si la misma ley 80 determinó en su art 25 numeral 2 que no se pueden crear trámites distritos o adicionales a los determinados en la norma, ¿bajo qué precepto normativo o legal el mismo concepto emite que se debe poner en los cronogramas un término nuevo denominado plazo para presentar observaciones al pliego de condiciones definitivo? ¿no se está induciendo a error? </w:t>
      </w:r>
    </w:p>
    <w:p w14:paraId="11FF4D6D" w14:textId="77777777" w:rsidR="005D045F" w:rsidRPr="000D30B7" w:rsidRDefault="005D045F" w:rsidP="005D045F">
      <w:pPr>
        <w:spacing w:after="120" w:line="240" w:lineRule="auto"/>
        <w:ind w:left="709" w:right="709"/>
        <w:jc w:val="both"/>
        <w:rPr>
          <w:rFonts w:ascii="Verdana" w:eastAsia="Century Gothic" w:hAnsi="Verdana" w:cs="Century Gothic"/>
          <w:sz w:val="20"/>
          <w:szCs w:val="20"/>
          <w:lang w:val="es-ES"/>
        </w:rPr>
      </w:pPr>
      <w:r w:rsidRPr="000D30B7">
        <w:rPr>
          <w:rFonts w:ascii="Verdana" w:eastAsia="Century Gothic" w:hAnsi="Verdana" w:cs="Century Gothic"/>
          <w:sz w:val="20"/>
          <w:szCs w:val="20"/>
          <w:lang w:val="es-ES"/>
        </w:rPr>
        <w:t>2- ¿En caso de que se tenga sustento normativo, es decir que cualquier persona puede presentar observaciones al pliego definitivo, la entidad puede aceptar y realizar cambios estructurales y sustanciales a un proceso y estos pueden variar el pliego</w:t>
      </w:r>
      <w:r>
        <w:rPr>
          <w:rFonts w:ascii="Verdana" w:eastAsia="Century Gothic" w:hAnsi="Verdana" w:cs="Century Gothic"/>
          <w:sz w:val="20"/>
          <w:szCs w:val="20"/>
          <w:lang w:val="es-ES"/>
        </w:rPr>
        <w:t xml:space="preserve"> </w:t>
      </w:r>
      <w:r w:rsidRPr="000D30B7">
        <w:rPr>
          <w:rFonts w:ascii="Verdana" w:eastAsia="Century Gothic" w:hAnsi="Verdana" w:cs="Century Gothic"/>
          <w:sz w:val="20"/>
          <w:szCs w:val="20"/>
          <w:lang w:val="es-ES"/>
        </w:rPr>
        <w:t xml:space="preserve">definitivo faltando solo un día para presentar ofertas? Ejemplo claro mínimas cuantías ¿Dónde quedaría el principio de publicidad? ¿Dónde se aplicará el principio de transparencia?  </w:t>
      </w:r>
    </w:p>
    <w:p w14:paraId="0A4A1914" w14:textId="77777777" w:rsidR="005D045F" w:rsidRPr="000D30B7" w:rsidRDefault="005D045F" w:rsidP="005D045F">
      <w:pPr>
        <w:spacing w:after="120" w:line="240" w:lineRule="auto"/>
        <w:ind w:left="709" w:right="709"/>
        <w:jc w:val="both"/>
        <w:rPr>
          <w:rFonts w:ascii="Verdana" w:eastAsia="Century Gothic" w:hAnsi="Verdana" w:cs="Century Gothic"/>
          <w:sz w:val="20"/>
          <w:szCs w:val="20"/>
          <w:lang w:val="es-ES"/>
        </w:rPr>
      </w:pPr>
      <w:r w:rsidRPr="000D30B7">
        <w:rPr>
          <w:rFonts w:ascii="Verdana" w:eastAsia="Century Gothic" w:hAnsi="Verdana" w:cs="Century Gothic"/>
          <w:sz w:val="20"/>
          <w:szCs w:val="20"/>
          <w:lang w:val="es-ES"/>
        </w:rPr>
        <w:t xml:space="preserve">3- En caso de que no se tenga un sustento jurídico para la creación de ese nuevo término denominado </w:t>
      </w:r>
      <w:r>
        <w:rPr>
          <w:rFonts w:ascii="Verdana" w:eastAsia="Century Gothic" w:hAnsi="Verdana" w:cs="Century Gothic"/>
          <w:sz w:val="20"/>
          <w:szCs w:val="20"/>
          <w:lang w:val="es-ES"/>
        </w:rPr>
        <w:t>‘</w:t>
      </w:r>
      <w:r w:rsidRPr="000D30B7">
        <w:rPr>
          <w:rFonts w:ascii="Verdana" w:eastAsia="Century Gothic" w:hAnsi="Verdana" w:cs="Century Gothic"/>
          <w:sz w:val="20"/>
          <w:szCs w:val="20"/>
          <w:lang w:val="es-ES"/>
        </w:rPr>
        <w:t>plazo para presentar observaciones al pliego definitivo</w:t>
      </w:r>
      <w:r>
        <w:rPr>
          <w:rFonts w:ascii="Verdana" w:eastAsia="Century Gothic" w:hAnsi="Verdana" w:cs="Century Gothic"/>
          <w:sz w:val="20"/>
          <w:szCs w:val="20"/>
          <w:lang w:val="es-ES"/>
        </w:rPr>
        <w:t>’</w:t>
      </w:r>
      <w:r w:rsidRPr="000D30B7">
        <w:rPr>
          <w:rFonts w:ascii="Verdana" w:eastAsia="Century Gothic" w:hAnsi="Verdana" w:cs="Century Gothic"/>
          <w:sz w:val="20"/>
          <w:szCs w:val="20"/>
          <w:lang w:val="es-ES"/>
        </w:rPr>
        <w:t xml:space="preserve"> se requiere se ajusten los conceptos emitidos a la normatividad conocida. </w:t>
      </w:r>
    </w:p>
    <w:p w14:paraId="57B0DCDF" w14:textId="77777777" w:rsidR="005D045F" w:rsidRPr="001904AF" w:rsidRDefault="005D045F" w:rsidP="005D045F">
      <w:pPr>
        <w:spacing w:after="0" w:line="240" w:lineRule="auto"/>
        <w:ind w:left="709" w:right="709"/>
        <w:jc w:val="both"/>
        <w:rPr>
          <w:rFonts w:ascii="Verdana" w:eastAsia="Century Gothic" w:hAnsi="Verdana" w:cs="Century Gothic"/>
          <w:sz w:val="20"/>
          <w:szCs w:val="20"/>
          <w:lang w:val="es-ES"/>
        </w:rPr>
      </w:pPr>
      <w:r w:rsidRPr="000D30B7">
        <w:rPr>
          <w:rFonts w:ascii="Verdana" w:eastAsia="Century Gothic" w:hAnsi="Verdana" w:cs="Century Gothic"/>
          <w:sz w:val="20"/>
          <w:szCs w:val="20"/>
          <w:lang w:val="es-ES"/>
        </w:rPr>
        <w:t>4- En caso de que se tenga alguna normatividad superior que sustente dicha exigencia, se aclare ¿hasta qué punto una entidad puede omitir todo lo actuado en proyecto de pliegos y en pliego definitivos con una observación cambiar todo el contenido de un proceso de selección? ¿o que se puede o que no, realizar con las observaciones a este pliego definitivo?</w:t>
      </w:r>
      <w:r w:rsidRPr="001904AF">
        <w:rPr>
          <w:rFonts w:ascii="Verdana" w:eastAsia="Century Gothic" w:hAnsi="Verdana" w:cs="Century Gothic"/>
          <w:sz w:val="20"/>
          <w:szCs w:val="20"/>
          <w:lang w:val="es-ES"/>
        </w:rPr>
        <w:t>”.</w:t>
      </w:r>
    </w:p>
    <w:p w14:paraId="3716313A" w14:textId="77777777" w:rsidR="005D045F" w:rsidRPr="008E6AD9" w:rsidRDefault="005D045F" w:rsidP="005D045F">
      <w:pPr>
        <w:pStyle w:val="Prrafodelista"/>
        <w:tabs>
          <w:tab w:val="left" w:pos="142"/>
          <w:tab w:val="left" w:pos="284"/>
        </w:tabs>
        <w:spacing w:after="0" w:line="276" w:lineRule="auto"/>
        <w:ind w:left="0"/>
        <w:jc w:val="both"/>
        <w:rPr>
          <w:rFonts w:ascii="Verdana" w:eastAsia="Century Gothic" w:hAnsi="Verdana" w:cs="Century Gothic"/>
          <w:b/>
          <w:bCs/>
        </w:rPr>
      </w:pPr>
    </w:p>
    <w:p w14:paraId="696B4C38" w14:textId="77777777" w:rsidR="005D045F" w:rsidRPr="00A652FF" w:rsidRDefault="005D045F" w:rsidP="005D045F">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457EB7E" w14:textId="77777777" w:rsidR="005D045F" w:rsidRDefault="005D045F" w:rsidP="005D045F">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lastRenderedPageBreak/>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4BF210DF" w14:textId="77777777" w:rsidR="005D045F" w:rsidRPr="00593A5F" w:rsidRDefault="005D045F" w:rsidP="005D045F">
      <w:pPr>
        <w:spacing w:after="0" w:line="276" w:lineRule="auto"/>
        <w:ind w:firstLine="709"/>
        <w:jc w:val="both"/>
        <w:rPr>
          <w:rFonts w:ascii="Verdana" w:eastAsia="Calibri" w:hAnsi="Verdana" w:cs="Arial"/>
          <w:color w:val="000000"/>
          <w:lang w:val="es-ES" w:eastAsia="es-ES"/>
        </w:rPr>
      </w:pPr>
    </w:p>
    <w:p w14:paraId="207E1B86" w14:textId="77777777" w:rsidR="005D045F" w:rsidRPr="00593A5F" w:rsidRDefault="005D045F" w:rsidP="005D045F">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20F2955C" w14:textId="77777777" w:rsidR="005D045F" w:rsidRPr="00593A5F" w:rsidRDefault="005D045F" w:rsidP="005D045F">
      <w:pPr>
        <w:tabs>
          <w:tab w:val="left" w:pos="426"/>
        </w:tabs>
        <w:spacing w:after="0" w:line="276" w:lineRule="auto"/>
        <w:jc w:val="both"/>
        <w:rPr>
          <w:rFonts w:ascii="Verdana" w:eastAsia="Century Gothic" w:hAnsi="Verdana" w:cs="Century Gothic"/>
          <w:lang w:val="es-ES"/>
        </w:rPr>
      </w:pPr>
    </w:p>
    <w:p w14:paraId="1558AE4F" w14:textId="2A5379ED" w:rsidR="005D045F" w:rsidRPr="00593A5F" w:rsidRDefault="005D045F" w:rsidP="005D045F">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sidR="179D4C3D" w:rsidRPr="3421A2D2">
        <w:rPr>
          <w:rFonts w:ascii="Verdana" w:eastAsia="Century Gothic" w:hAnsi="Verdana" w:cs="Century Gothic"/>
        </w:rPr>
        <w:t>el</w:t>
      </w:r>
      <w:r w:rsidRPr="00906BE9">
        <w:rPr>
          <w:rFonts w:ascii="Verdana" w:eastAsia="Century Gothic" w:hAnsi="Verdana" w:cs="Century Gothic"/>
        </w:rPr>
        <w:t xml:space="preserve"> siguiente</w:t>
      </w:r>
      <w:r>
        <w:rPr>
          <w:rFonts w:ascii="Verdana" w:eastAsia="Century Gothic" w:hAnsi="Verdana" w:cs="Century Gothic"/>
        </w:rPr>
        <w:t xml:space="preserve"> </w:t>
      </w:r>
      <w:r w:rsidRPr="00906BE9">
        <w:rPr>
          <w:rFonts w:ascii="Verdana" w:eastAsia="Century Gothic" w:hAnsi="Verdana" w:cs="Century Gothic"/>
        </w:rPr>
        <w:t xml:space="preserve">problema </w:t>
      </w:r>
      <w:r w:rsidRPr="3421A2D2">
        <w:rPr>
          <w:rFonts w:ascii="Verdana" w:eastAsia="Century Gothic" w:hAnsi="Verdana" w:cs="Century Gothic"/>
        </w:rPr>
        <w:t>jurídico</w:t>
      </w:r>
      <w:r w:rsidRPr="00906BE9">
        <w:rPr>
          <w:rFonts w:ascii="Verdana" w:eastAsia="Century Gothic" w:hAnsi="Verdana" w:cs="Century Gothic"/>
        </w:rPr>
        <w:t>:</w:t>
      </w:r>
      <w:r>
        <w:rPr>
          <w:rFonts w:ascii="Verdana" w:eastAsia="Century Gothic" w:hAnsi="Verdana" w:cs="Century Gothic"/>
        </w:rPr>
        <w:t xml:space="preserve"> ¿el principio de economía impide formular observaciones a los documentos del proceso de selección, especialmente, tratándose del pliego de condiciones o sus equivalentes? </w:t>
      </w:r>
      <w:r w:rsidRPr="00906BE9">
        <w:rPr>
          <w:rFonts w:ascii="Verdana" w:eastAsia="Century Gothic" w:hAnsi="Verdana" w:cs="Century Gothic"/>
        </w:rPr>
        <w:t xml:space="preserve">      </w:t>
      </w:r>
      <w:r>
        <w:rPr>
          <w:rFonts w:ascii="Verdana" w:eastAsia="Century Gothic" w:hAnsi="Verdana" w:cs="Century Gothic"/>
        </w:rPr>
        <w:t xml:space="preserve">       </w:t>
      </w:r>
      <w:r w:rsidRPr="00C00976">
        <w:rPr>
          <w:rFonts w:ascii="Verdana" w:eastAsia="Century Gothic" w:hAnsi="Verdana" w:cs="Century Gothic"/>
          <w:color w:val="7030A0"/>
        </w:rPr>
        <w:t xml:space="preserve"> </w:t>
      </w:r>
    </w:p>
    <w:p w14:paraId="0623D5E8" w14:textId="77777777" w:rsidR="005D045F" w:rsidRPr="004B140F" w:rsidRDefault="005D045F" w:rsidP="005D045F">
      <w:pPr>
        <w:spacing w:after="0" w:line="276" w:lineRule="auto"/>
        <w:jc w:val="both"/>
        <w:rPr>
          <w:rFonts w:ascii="Verdana" w:eastAsia="Calibri" w:hAnsi="Verdana" w:cs="Arial"/>
          <w:color w:val="7030A0"/>
        </w:rPr>
      </w:pPr>
    </w:p>
    <w:p w14:paraId="27D1EA84" w14:textId="77777777" w:rsidR="005D045F" w:rsidRPr="00593A5F" w:rsidRDefault="005D045F" w:rsidP="005D04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3B1E9D80" w14:textId="77777777" w:rsidR="005D045F" w:rsidRPr="00593A5F" w:rsidRDefault="005D045F" w:rsidP="005D045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D045F" w:rsidRPr="00593A5F" w14:paraId="6F5A8484" w14:textId="77777777">
        <w:trPr>
          <w:jc w:val="center"/>
        </w:trPr>
        <w:tc>
          <w:tcPr>
            <w:tcW w:w="8828" w:type="dxa"/>
          </w:tcPr>
          <w:p w14:paraId="208CFF49" w14:textId="77777777" w:rsidR="005D045F" w:rsidRDefault="005D045F" w:rsidP="007678F3">
            <w:pPr>
              <w:spacing w:after="120" w:line="276" w:lineRule="auto"/>
              <w:jc w:val="both"/>
              <w:rPr>
                <w:rFonts w:ascii="Verdana" w:eastAsia="Calibri" w:hAnsi="Verdana" w:cs="Arial"/>
                <w:color w:val="000000" w:themeColor="text1"/>
              </w:rPr>
            </w:pPr>
            <w:bookmarkStart w:id="1" w:name="_Hlk171694685"/>
            <w:r>
              <w:rPr>
                <w:rFonts w:ascii="Verdana" w:eastAsia="Calibri" w:hAnsi="Verdana" w:cs="Arial"/>
                <w:bCs/>
                <w:color w:val="000000" w:themeColor="text1"/>
              </w:rPr>
              <w:t>Conforme a la interpretación general de las normas del sistema de compras públicas</w:t>
            </w:r>
            <w:r w:rsidRPr="00E2397D">
              <w:rPr>
                <w:rFonts w:ascii="Verdana" w:eastAsia="Arial" w:hAnsi="Verdana" w:cs="Arial"/>
                <w:lang w:val="es-MX" w:eastAsia="es-ES" w:bidi="es-ES"/>
              </w:rPr>
              <w:t xml:space="preserve">, </w:t>
            </w:r>
            <w:r>
              <w:rPr>
                <w:rFonts w:ascii="Verdana" w:eastAsia="Arial" w:hAnsi="Verdana" w:cs="Arial"/>
                <w:lang w:val="es-MX" w:eastAsia="es-ES" w:bidi="es-ES"/>
              </w:rPr>
              <w:t xml:space="preserve">en el marco de </w:t>
            </w:r>
            <w:r>
              <w:rPr>
                <w:rFonts w:ascii="Verdana" w:eastAsia="Calibri" w:hAnsi="Verdana" w:cs="Arial"/>
                <w:color w:val="000000" w:themeColor="text1"/>
              </w:rPr>
              <w:t xml:space="preserve">los artículos 84 y 150 de la Constitución Política de 1991, los interesados pueden hacer comentarios en la diferentes etapas del proceso, porque el artículo 24.2 del EGCAP garantiza que “[…] </w:t>
            </w:r>
            <w:r w:rsidRPr="00796806">
              <w:rPr>
                <w:rFonts w:ascii="Verdana" w:eastAsia="Calibri" w:hAnsi="Verdana" w:cs="Arial"/>
                <w:color w:val="000000" w:themeColor="text1"/>
              </w:rPr>
              <w:t>tendrán oportunidad de conocer y controvertir los informes, conceptos y decisiones que se rindan o adopten, para lo cual se establecerán etapas que permitan el conocimiento de dichas actuaciones y otorguen la posibilidad de expresar observaciones</w:t>
            </w:r>
            <w:r>
              <w:rPr>
                <w:rFonts w:ascii="Verdana" w:eastAsia="Calibri" w:hAnsi="Verdana" w:cs="Arial"/>
                <w:color w:val="000000" w:themeColor="text1"/>
              </w:rPr>
              <w:t xml:space="preserve">”. Es decir, en congruencia con el principio de economía del artículo 25.1 </w:t>
            </w:r>
            <w:r w:rsidRPr="00053EDD">
              <w:rPr>
                <w:rFonts w:ascii="Verdana" w:eastAsia="Calibri" w:hAnsi="Verdana" w:cs="Arial"/>
                <w:i/>
                <w:iCs/>
                <w:color w:val="000000" w:themeColor="text1"/>
              </w:rPr>
              <w:t>ibidem</w:t>
            </w:r>
            <w:r>
              <w:rPr>
                <w:rFonts w:ascii="Verdana" w:eastAsia="Calibri" w:hAnsi="Verdana" w:cs="Arial"/>
                <w:color w:val="000000" w:themeColor="text1"/>
              </w:rPr>
              <w:t xml:space="preserve">, la posibilidad de formularlas hace parte de los “[…] </w:t>
            </w:r>
            <w:r w:rsidRPr="00796806">
              <w:rPr>
                <w:rFonts w:ascii="Verdana" w:eastAsia="Calibri" w:hAnsi="Verdana" w:cs="Arial"/>
                <w:color w:val="000000" w:themeColor="text1"/>
              </w:rPr>
              <w:t>procedimientos y etapas estrictamente necesarios para asegurar la selección objetiva de la propuesta más favorable</w:t>
            </w:r>
            <w:r>
              <w:rPr>
                <w:rFonts w:ascii="Verdana" w:eastAsia="Calibri" w:hAnsi="Verdana" w:cs="Arial"/>
                <w:color w:val="000000" w:themeColor="text1"/>
              </w:rPr>
              <w:t xml:space="preserve"> […]”. Por ello, la prohibición de establecer trámites adicionales n</w:t>
            </w:r>
            <w:r w:rsidRPr="007B34EE">
              <w:rPr>
                <w:rFonts w:ascii="Verdana" w:eastAsia="Calibri" w:hAnsi="Verdana" w:cs="Arial"/>
                <w:color w:val="000000" w:themeColor="text1"/>
              </w:rPr>
              <w:t>o abarca eventos en que el proceso de selección requiere adecuarse a una norma legal</w:t>
            </w:r>
            <w:r>
              <w:rPr>
                <w:rFonts w:ascii="Verdana" w:eastAsia="Calibri" w:hAnsi="Verdana" w:cs="Arial"/>
                <w:color w:val="000000" w:themeColor="text1"/>
              </w:rPr>
              <w:t>. (Respuesta a la pregunta 1)</w:t>
            </w:r>
          </w:p>
          <w:p w14:paraId="5C2A4772" w14:textId="77777777" w:rsidR="005D045F" w:rsidRDefault="005D045F" w:rsidP="007678F3">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Dichos preceptos se desarrollan en la mínima cuantía. Conforme al artículo </w:t>
            </w:r>
            <w:r w:rsidRPr="00B77F7C">
              <w:rPr>
                <w:rFonts w:ascii="Verdana" w:eastAsia="Calibri" w:hAnsi="Verdana" w:cs="Arial"/>
                <w:color w:val="000000" w:themeColor="text1"/>
              </w:rPr>
              <w:t>2.2.1.2.1.5.2</w:t>
            </w:r>
            <w:r>
              <w:rPr>
                <w:rFonts w:ascii="Verdana" w:eastAsia="Calibri" w:hAnsi="Verdana" w:cs="Arial"/>
                <w:color w:val="000000" w:themeColor="text1"/>
              </w:rPr>
              <w:t xml:space="preserve"> del Decreto 1082 de 2015, “</w:t>
            </w:r>
            <w:r w:rsidRPr="00B77F7C">
              <w:rPr>
                <w:rFonts w:ascii="Verdana" w:eastAsia="Calibri" w:hAnsi="Verdana" w:cs="Arial"/>
                <w:color w:val="000000" w:themeColor="text1"/>
              </w:rPr>
              <w:t>La invitación se publicará por un término no inferior a un (1) día hábil para que los interesados se informen de su contenido y formulen observaciones o comentarios, los cuales serán contestados por la Entidad Estatal antes del inicio del plazo para presentar ofertas</w:t>
            </w:r>
            <w:r>
              <w:rPr>
                <w:rFonts w:ascii="Verdana" w:eastAsia="Calibri" w:hAnsi="Verdana" w:cs="Arial"/>
                <w:color w:val="000000" w:themeColor="text1"/>
              </w:rPr>
              <w:t xml:space="preserve"> […]” –numeral 3–. Asimismo, “</w:t>
            </w:r>
            <w:r w:rsidRPr="00B77F7C">
              <w:rPr>
                <w:rFonts w:ascii="Verdana" w:eastAsia="Calibri" w:hAnsi="Verdana" w:cs="Arial"/>
                <w:color w:val="000000" w:themeColor="text1"/>
              </w:rPr>
              <w:t>La Entidad Estatal incluirá un cronograma en la invitación que deberá tener en cuenta</w:t>
            </w:r>
            <w:r>
              <w:rPr>
                <w:rFonts w:ascii="Verdana" w:eastAsia="Calibri" w:hAnsi="Verdana" w:cs="Arial"/>
                <w:color w:val="000000" w:themeColor="text1"/>
              </w:rPr>
              <w:t xml:space="preserve"> […] </w:t>
            </w:r>
            <w:r w:rsidRPr="00B77F7C">
              <w:rPr>
                <w:rFonts w:ascii="Verdana" w:eastAsia="Calibri" w:hAnsi="Verdana" w:cs="Arial"/>
                <w:color w:val="000000" w:themeColor="text1"/>
              </w:rPr>
              <w:t xml:space="preserve">El término hasta el cual podrá expedir adendas para modificar la invitación, el cual, en todo </w:t>
            </w:r>
            <w:r w:rsidRPr="00B77F7C">
              <w:rPr>
                <w:rFonts w:ascii="Verdana" w:eastAsia="Calibri" w:hAnsi="Verdana" w:cs="Arial"/>
                <w:color w:val="000000" w:themeColor="text1"/>
              </w:rPr>
              <w:lastRenderedPageBreak/>
              <w:t>caso, tendrá como límite un día hábil antes a la fecha y hora prevista para la presentación de ofertas de que trata el último plazo de este numeral</w:t>
            </w:r>
            <w:r>
              <w:rPr>
                <w:rFonts w:ascii="Verdana" w:eastAsia="Calibri" w:hAnsi="Verdana" w:cs="Arial"/>
                <w:color w:val="000000" w:themeColor="text1"/>
              </w:rPr>
              <w:t xml:space="preserve"> […]” –numeral 4–. Finalmente, “</w:t>
            </w:r>
            <w:r w:rsidRPr="00B77F7C">
              <w:rPr>
                <w:rFonts w:ascii="Verdana" w:eastAsia="Calibri" w:hAnsi="Verdana" w:cs="Arial"/>
                <w:color w:val="000000" w:themeColor="text1"/>
              </w:rPr>
              <w:t>La Entidad Estatal debe publicar el informe de evaluación durante mínimo un (1) día hábil, para que durante este término los oferentes presenten las observaciones que deberán ser respondidas por la Entidad Estatal antes de realizar la aceptación de la oferta seleccionada</w:t>
            </w:r>
            <w:r>
              <w:rPr>
                <w:rFonts w:ascii="Verdana" w:eastAsia="Calibri" w:hAnsi="Verdana" w:cs="Arial"/>
                <w:color w:val="000000" w:themeColor="text1"/>
              </w:rPr>
              <w:t>” –numeral 6–</w:t>
            </w:r>
            <w:r w:rsidRPr="00B77F7C">
              <w:rPr>
                <w:rFonts w:ascii="Verdana" w:eastAsia="Calibri" w:hAnsi="Verdana" w:cs="Arial"/>
                <w:color w:val="000000" w:themeColor="text1"/>
              </w:rPr>
              <w:t>.</w:t>
            </w:r>
          </w:p>
          <w:p w14:paraId="5D03B588" w14:textId="77777777" w:rsidR="005D045F" w:rsidRDefault="005D045F" w:rsidP="007678F3">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los tres (3) escenarios planteados, la formulación de la observaciones supone la vigencia del principio de trasparencia en el proceso de contratación. No en vano, el artículo 24.4 de la Ley 80 de 1993 indica que “</w:t>
            </w:r>
            <w:r w:rsidRPr="006D29DB">
              <w:rPr>
                <w:rFonts w:ascii="Verdana" w:eastAsia="Calibri" w:hAnsi="Verdana" w:cs="Arial"/>
                <w:color w:val="000000" w:themeColor="text1"/>
              </w:rPr>
              <w:t>Las actuaciones de las autoridades serán públicas y los expedientes que las contengan estarán abiertos al público</w:t>
            </w:r>
            <w:r>
              <w:rPr>
                <w:rFonts w:ascii="Verdana" w:eastAsia="Calibri" w:hAnsi="Verdana" w:cs="Arial"/>
                <w:color w:val="000000" w:themeColor="text1"/>
              </w:rPr>
              <w:t xml:space="preserve"> […]”. Incluso, del numeral 4 del artículo </w:t>
            </w:r>
            <w:r w:rsidRPr="00B77F7C">
              <w:rPr>
                <w:rFonts w:ascii="Verdana" w:eastAsia="Calibri" w:hAnsi="Verdana" w:cs="Arial"/>
                <w:color w:val="000000" w:themeColor="text1"/>
              </w:rPr>
              <w:t>2.2.1.2.1.5.2</w:t>
            </w:r>
            <w:r>
              <w:rPr>
                <w:rFonts w:ascii="Verdana" w:eastAsia="Calibri" w:hAnsi="Verdana" w:cs="Arial"/>
                <w:color w:val="000000" w:themeColor="text1"/>
              </w:rPr>
              <w:t xml:space="preserve"> del Decreto 1082 de 2015 no se desprende la posibilidad de variar la invitación el mismo día en que deben allegarse las propuestas, pues el término para expedir adendas “[…] </w:t>
            </w:r>
            <w:r w:rsidRPr="00D84AF9">
              <w:rPr>
                <w:rFonts w:ascii="Verdana" w:eastAsia="Calibri" w:hAnsi="Verdana" w:cs="Arial"/>
                <w:color w:val="000000" w:themeColor="text1"/>
              </w:rPr>
              <w:t>tendrá como límite un día hábil antes a la fecha y hora prevista para la presentación de ofertas</w:t>
            </w:r>
            <w:r>
              <w:rPr>
                <w:rFonts w:ascii="Verdana" w:eastAsia="Calibri" w:hAnsi="Verdana" w:cs="Arial"/>
                <w:color w:val="000000" w:themeColor="text1"/>
              </w:rPr>
              <w:t xml:space="preserve"> […]”. Dado que existe sustento jurídico para la presentación del observaciones a los pliegos definitivos o sus equivalentes en las diferentes modalidades de selección, se mantendrá la línea trazada en los conceptos de la Agencia. (Respuesta a las preguntas 2 y 3)</w:t>
            </w:r>
          </w:p>
          <w:p w14:paraId="7258096E" w14:textId="77777777" w:rsidR="005D045F" w:rsidRPr="00661939" w:rsidRDefault="005D045F" w:rsidP="007678F3">
            <w:pPr>
              <w:spacing w:after="120" w:line="276" w:lineRule="auto"/>
              <w:ind w:right="51" w:firstLine="734"/>
              <w:jc w:val="both"/>
              <w:rPr>
                <w:rFonts w:ascii="Verdana" w:eastAsia="Calibri" w:hAnsi="Verdana" w:cs="Arial"/>
                <w:bCs/>
                <w:color w:val="000000" w:themeColor="text1"/>
              </w:rPr>
            </w:pPr>
            <w:r>
              <w:rPr>
                <w:rFonts w:ascii="Verdana" w:eastAsia="Calibri" w:hAnsi="Verdana" w:cs="Arial"/>
                <w:color w:val="000000" w:themeColor="text1"/>
              </w:rPr>
              <w:t xml:space="preserve">Finalmente, conforme al artículo 13 de la Ley 1437 de 2011, </w:t>
            </w:r>
            <w:r w:rsidRPr="00981BF5">
              <w:rPr>
                <w:rFonts w:ascii="Verdana" w:hAnsi="Verdana" w:cs="Arial"/>
                <w:color w:val="000000" w:themeColor="text1"/>
              </w:rPr>
              <w:t xml:space="preserve">las observaciones son una manifestación de la garantía prevista en el artículo 23 superior en el ámbito contractual, </w:t>
            </w:r>
            <w:r>
              <w:rPr>
                <w:rFonts w:ascii="Verdana" w:hAnsi="Verdana" w:cs="Arial"/>
                <w:color w:val="000000" w:themeColor="text1"/>
              </w:rPr>
              <w:t>pues “</w:t>
            </w:r>
            <w:r w:rsidRPr="00167C6E">
              <w:rPr>
                <w:rFonts w:ascii="Verdana" w:hAnsi="Verdana" w:cs="Arial"/>
                <w:color w:val="000000" w:themeColor="text1"/>
              </w:rPr>
              <w:t>Toda persona tiene derecho a presentar peticiones respetuosas a las autoridades por motivos de interés general o particular y a obtener pronta resolución</w:t>
            </w:r>
            <w:r>
              <w:rPr>
                <w:rFonts w:ascii="Verdana" w:hAnsi="Verdana" w:cs="Arial"/>
                <w:color w:val="000000" w:themeColor="text1"/>
              </w:rPr>
              <w:t xml:space="preserve"> […]”. </w:t>
            </w:r>
            <w:r w:rsidRPr="00981BF5">
              <w:rPr>
                <w:rFonts w:ascii="Verdana" w:hAnsi="Verdana" w:cs="Arial"/>
                <w:color w:val="000000" w:themeColor="text1"/>
              </w:rPr>
              <w:t>Sin embargo, esto no significa que la entidad esté obligada a aceptar las observaciones formuladas oportunamente</w:t>
            </w:r>
            <w:r>
              <w:rPr>
                <w:rFonts w:ascii="Verdana" w:hAnsi="Verdana" w:cs="Arial"/>
                <w:color w:val="000000" w:themeColor="text1"/>
              </w:rPr>
              <w:t xml:space="preserve">, por lo que </w:t>
            </w:r>
            <w:r w:rsidRPr="00981BF5">
              <w:rPr>
                <w:rFonts w:ascii="Verdana" w:hAnsi="Verdana" w:cs="Arial"/>
                <w:color w:val="000000" w:themeColor="text1"/>
              </w:rPr>
              <w:t>es necesario distinguir entre el “derecho a pedir” y el “derecho a lo pedido”.</w:t>
            </w:r>
            <w:r>
              <w:rPr>
                <w:rFonts w:ascii="Verdana" w:hAnsi="Verdana" w:cs="Arial"/>
                <w:color w:val="000000" w:themeColor="text1"/>
              </w:rPr>
              <w:t xml:space="preserve"> Es decir, éstas </w:t>
            </w:r>
            <w:r w:rsidRPr="00981BF5">
              <w:rPr>
                <w:rStyle w:val="eop"/>
                <w:rFonts w:ascii="Verdana" w:hAnsi="Verdana" w:cs="Arial"/>
                <w:color w:val="000000"/>
                <w:shd w:val="clear" w:color="auto" w:fill="FFFFFF"/>
              </w:rPr>
              <w:t>pueden rechazase de manera motivada, pues “[…] el ámbito de protección constitucional de la petición se circunscribe al derecho a la solicitud y a tener una contestación para la misma, en ningún caso implica otorgar la materia de la solicitud como tal”</w:t>
            </w:r>
            <w:r w:rsidRPr="00981BF5">
              <w:rPr>
                <w:rFonts w:ascii="Verdana" w:eastAsia="Arial" w:hAnsi="Verdana" w:cs="Arial"/>
                <w:color w:val="000000"/>
              </w:rPr>
              <w:t>.</w:t>
            </w:r>
            <w:r>
              <w:rPr>
                <w:rFonts w:ascii="Verdana" w:eastAsia="Arial" w:hAnsi="Verdana" w:cs="Arial"/>
                <w:color w:val="000000"/>
              </w:rPr>
              <w:t xml:space="preserve"> Luego, los ajustes que se hagan en los documentos del proceso dependen de las observaciones aceptadas por la entidad, sin perjuicio de las limitaciones temporales respecto a la expedición de adendas en los términos del artículo </w:t>
            </w:r>
            <w:r w:rsidRPr="000A025B">
              <w:rPr>
                <w:rFonts w:ascii="Verdana" w:eastAsia="Arial" w:hAnsi="Verdana" w:cs="Arial"/>
                <w:color w:val="000000"/>
              </w:rPr>
              <w:t>2.2.1.1.2.2.1</w:t>
            </w:r>
            <w:r>
              <w:rPr>
                <w:rFonts w:ascii="Verdana" w:eastAsia="Arial" w:hAnsi="Verdana" w:cs="Arial"/>
                <w:color w:val="000000"/>
              </w:rPr>
              <w:t xml:space="preserve"> del Decreto 1082 de 2015. (Respuesta a la pregunta 4)</w:t>
            </w:r>
            <w:r>
              <w:rPr>
                <w:rFonts w:ascii="Verdana" w:eastAsia="Calibri" w:hAnsi="Verdana" w:cs="Arial"/>
                <w:bCs/>
                <w:color w:val="000000" w:themeColor="text1"/>
              </w:rPr>
              <w:t xml:space="preserve"> </w:t>
            </w:r>
          </w:p>
          <w:p w14:paraId="366EB7CC" w14:textId="77777777" w:rsidR="005D045F" w:rsidRDefault="005D045F" w:rsidP="007678F3">
            <w:pPr>
              <w:spacing w:after="120" w:line="276" w:lineRule="auto"/>
              <w:ind w:right="51" w:firstLine="737"/>
              <w:jc w:val="both"/>
              <w:rPr>
                <w:rStyle w:val="s15"/>
                <w:rFonts w:ascii="Verdana" w:hAnsi="Verdana"/>
                <w:color w:val="000000"/>
              </w:rPr>
            </w:pPr>
            <w:r w:rsidRPr="00007D0A">
              <w:rPr>
                <w:rStyle w:val="s15"/>
                <w:rFonts w:ascii="Verdana" w:hAnsi="Verdana"/>
                <w:color w:val="000000"/>
              </w:rPr>
              <w:lastRenderedPageBreak/>
              <w:t xml:space="preserve">Al margen de la explicación </w:t>
            </w:r>
            <w:r>
              <w:rPr>
                <w:rStyle w:val="s15"/>
                <w:rFonts w:ascii="Verdana" w:hAnsi="Verdana"/>
                <w:color w:val="000000"/>
              </w:rPr>
              <w:t>precedente,</w:t>
            </w:r>
            <w:r w:rsidRPr="00007D0A">
              <w:rPr>
                <w:rStyle w:val="s15"/>
                <w:rFonts w:ascii="Verdana" w:hAnsi="Verdana"/>
                <w:color w:val="000000"/>
              </w:rPr>
              <w:t xml:space="preserve"> debe advertirse que el análisis requerido para resolver problemas específicos en torno a la gestión contractual de las entidades públicas debe ser realizado por quienes tengan interés en ello, de acuerdo con lo explicado </w:t>
            </w:r>
            <w:r>
              <w:rPr>
                <w:rStyle w:val="s15"/>
                <w:rFonts w:ascii="Verdana" w:hAnsi="Verdana"/>
                <w:color w:val="000000"/>
              </w:rPr>
              <w:t>en la</w:t>
            </w:r>
            <w:r w:rsidRPr="00007D0A">
              <w:rPr>
                <w:rStyle w:val="s15"/>
                <w:rFonts w:ascii="Verdana" w:hAnsi="Verdana"/>
                <w:color w:val="000000"/>
              </w:rPr>
              <w:t xml:space="preserve">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p w14:paraId="508DEA18" w14:textId="77777777" w:rsidR="005D045F" w:rsidRPr="001941FD" w:rsidRDefault="005D045F" w:rsidP="007678F3">
            <w:pPr>
              <w:spacing w:line="276" w:lineRule="auto"/>
              <w:ind w:right="51" w:firstLine="737"/>
              <w:jc w:val="both"/>
              <w:rPr>
                <w:rFonts w:ascii="Verdana" w:eastAsia="Calibri" w:hAnsi="Verdana" w:cs="Arial"/>
                <w:bCs/>
                <w:color w:val="000000" w:themeColor="text1"/>
              </w:rPr>
            </w:pPr>
            <w:r w:rsidRPr="000E52E5">
              <w:rPr>
                <w:rFonts w:ascii="Verdana" w:eastAsia="Calibri" w:hAnsi="Verdana" w:cs="Arial"/>
                <w:bCs/>
                <w:color w:val="000000" w:themeColor="text1"/>
              </w:rPr>
              <w:t>Conforme al artículo 28 de la Ley 1437 de 2011, se informa al peticionario que “Salvo disposición legal en contrario, los conceptos emitidos por las autoridades como respuestas a peticiones realizadas en ejercicio del derecho a formular consultas no serán de obligatorio cumplimiento o ejecución”.</w:t>
            </w:r>
            <w:r>
              <w:rPr>
                <w:rFonts w:ascii="Verdana" w:eastAsia="Calibri" w:hAnsi="Verdana" w:cs="Arial"/>
                <w:bCs/>
                <w:color w:val="000000" w:themeColor="text1"/>
              </w:rPr>
              <w:t xml:space="preserve"> </w:t>
            </w:r>
            <w:r w:rsidRPr="000E52E5">
              <w:rPr>
                <w:rFonts w:ascii="Verdana" w:eastAsia="Calibri" w:hAnsi="Verdana" w:cs="Arial"/>
                <w:bCs/>
                <w:color w:val="000000" w:themeColor="text1"/>
                <w:lang w:val="es-ES_tradnl"/>
              </w:rPr>
              <w:t xml:space="preserve">Así las cosas, Colombia Compra Eficiente considera que no hay lugar a acceder, por ejemplo, a solicitudes de </w:t>
            </w:r>
            <w:r w:rsidRPr="000E52E5">
              <w:rPr>
                <w:rFonts w:ascii="Verdana" w:eastAsia="Calibri" w:hAnsi="Verdana" w:cs="Arial"/>
                <w:bCs/>
                <w:i/>
                <w:iCs/>
                <w:color w:val="000000" w:themeColor="text1"/>
                <w:lang w:val="es-ES_tradnl"/>
              </w:rPr>
              <w:t>revocación directa</w:t>
            </w:r>
            <w:r w:rsidRPr="000E52E5">
              <w:rPr>
                <w:rFonts w:ascii="Verdana" w:eastAsia="Calibri" w:hAnsi="Verdana" w:cs="Arial"/>
                <w:bCs/>
                <w:color w:val="000000" w:themeColor="text1"/>
                <w:lang w:val="es-ES_tradnl"/>
              </w:rPr>
              <w:t xml:space="preserve"> de los conceptos, pues no son actos administrativos, no tienen efectos vinculantes en relación con una situación jurídica particular y concreta, y exponen un criterio que, aunque jurídicamente fundamentado, no representan necesariamente la </w:t>
            </w:r>
            <w:r w:rsidRPr="000E52E5">
              <w:rPr>
                <w:rFonts w:ascii="Verdana" w:eastAsia="Calibri" w:hAnsi="Verdana" w:cs="Arial"/>
                <w:bCs/>
                <w:i/>
                <w:iCs/>
                <w:color w:val="000000" w:themeColor="text1"/>
                <w:lang w:val="es-ES_tradnl"/>
              </w:rPr>
              <w:t>única</w:t>
            </w:r>
            <w:r w:rsidRPr="000E52E5">
              <w:rPr>
                <w:rFonts w:ascii="Verdana" w:eastAsia="Calibri" w:hAnsi="Verdana" w:cs="Arial"/>
                <w:bCs/>
                <w:color w:val="000000" w:themeColor="text1"/>
                <w:lang w:val="es-ES_tradnl"/>
              </w:rPr>
              <w:t xml:space="preserve"> interpretación válida del ordenamiento jurídico.</w:t>
            </w:r>
          </w:p>
        </w:tc>
      </w:tr>
    </w:tbl>
    <w:p w14:paraId="7E9AA812" w14:textId="77777777" w:rsidR="005D045F" w:rsidRPr="00593A5F" w:rsidRDefault="005D045F" w:rsidP="005D045F">
      <w:pPr>
        <w:tabs>
          <w:tab w:val="left" w:pos="142"/>
          <w:tab w:val="left" w:pos="284"/>
        </w:tabs>
        <w:spacing w:after="0" w:line="276" w:lineRule="auto"/>
        <w:jc w:val="both"/>
        <w:rPr>
          <w:rFonts w:ascii="Verdana" w:eastAsia="Century Gothic" w:hAnsi="Verdana" w:cs="Century Gothic"/>
          <w:b/>
          <w:bCs/>
          <w:lang w:val="es-ES"/>
        </w:rPr>
      </w:pPr>
    </w:p>
    <w:bookmarkEnd w:id="1"/>
    <w:p w14:paraId="0E2EBEF1" w14:textId="77777777" w:rsidR="005D045F" w:rsidRPr="00593A5F" w:rsidRDefault="005D045F" w:rsidP="005D04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25FD587" w14:textId="77777777" w:rsidR="005D045F" w:rsidRPr="00593A5F" w:rsidRDefault="005D045F" w:rsidP="005D045F">
      <w:pPr>
        <w:spacing w:after="0" w:line="276" w:lineRule="auto"/>
        <w:jc w:val="both"/>
        <w:rPr>
          <w:rFonts w:ascii="Verdana" w:eastAsia="Calibri" w:hAnsi="Verdana" w:cs="Arial"/>
          <w:color w:val="7030A0"/>
          <w:lang w:val="es-ES"/>
        </w:rPr>
      </w:pPr>
    </w:p>
    <w:p w14:paraId="218F7BCE" w14:textId="77777777" w:rsidR="005D045F" w:rsidRDefault="005D045F" w:rsidP="005D045F">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88D468F" w14:textId="77777777" w:rsidR="005D045F" w:rsidRPr="00415608" w:rsidRDefault="005D045F" w:rsidP="005D045F">
      <w:pPr>
        <w:spacing w:after="0" w:line="276" w:lineRule="auto"/>
        <w:jc w:val="both"/>
        <w:rPr>
          <w:rFonts w:ascii="Verdana" w:eastAsia="Calibri" w:hAnsi="Verdana" w:cs="Arial"/>
          <w:lang w:val="es-ES"/>
        </w:rPr>
      </w:pPr>
    </w:p>
    <w:p w14:paraId="7ED8A2AE" w14:textId="77777777" w:rsidR="005D045F" w:rsidRPr="00856F20" w:rsidRDefault="005D045F" w:rsidP="005D045F">
      <w:pPr>
        <w:tabs>
          <w:tab w:val="left" w:pos="426"/>
        </w:tabs>
        <w:spacing w:after="0" w:line="276" w:lineRule="auto"/>
        <w:jc w:val="both"/>
        <w:rPr>
          <w:rFonts w:ascii="Verdana" w:eastAsia="Calibri" w:hAnsi="Verdana" w:cs="Arial"/>
          <w:bCs/>
          <w:lang w:val="es-ES_tradnl"/>
        </w:rPr>
      </w:pPr>
      <w:r>
        <w:rPr>
          <w:rFonts w:ascii="Verdana" w:eastAsia="Calibri" w:hAnsi="Verdana" w:cs="Arial"/>
          <w:lang w:val="es-MX"/>
        </w:rPr>
        <w:t xml:space="preserve">i. </w:t>
      </w:r>
      <w:r w:rsidRPr="00856F20">
        <w:rPr>
          <w:rFonts w:ascii="Verdana" w:eastAsia="Calibri" w:hAnsi="Verdana" w:cs="Arial"/>
          <w:bCs/>
          <w:lang w:val="es-ES_tradnl"/>
        </w:rPr>
        <w:t>En ejercicio de las competencias consagradas en los artículos 3, numeral 5, 11, numeral 8, 12, numeral 6, y 13, numeral 4, del Decreto 4170 de 2011, la Agencia Nacional de Contratación Pública – Colombia Compra Eficiente resuelve consultas sobre los asuntos de su competencia, esto es, sobre las normas que conforman el sistema de compras y contratación pública. Esta competencia consultiva se relaciona con el artículo 28 de la Ley 1437 de 2011, sustituido por el artículo 1 de la Ley 1755, que dispone lo siguiente:</w:t>
      </w:r>
    </w:p>
    <w:p w14:paraId="57E5D908" w14:textId="77777777" w:rsidR="005D045F" w:rsidRPr="00856F20" w:rsidRDefault="005D045F" w:rsidP="005D045F">
      <w:pPr>
        <w:tabs>
          <w:tab w:val="left" w:pos="426"/>
        </w:tabs>
        <w:spacing w:after="0" w:line="276" w:lineRule="auto"/>
        <w:jc w:val="both"/>
        <w:rPr>
          <w:rFonts w:ascii="Verdana" w:eastAsia="Calibri" w:hAnsi="Verdana" w:cs="Arial"/>
          <w:bCs/>
          <w:lang w:val="es-ES_tradnl"/>
        </w:rPr>
      </w:pPr>
    </w:p>
    <w:p w14:paraId="27C3F06F" w14:textId="77777777" w:rsidR="005D045F" w:rsidRPr="00053EDD" w:rsidRDefault="005D045F" w:rsidP="005D045F">
      <w:pPr>
        <w:tabs>
          <w:tab w:val="left" w:pos="426"/>
        </w:tabs>
        <w:spacing w:after="0" w:line="240" w:lineRule="auto"/>
        <w:ind w:left="709" w:right="709"/>
        <w:jc w:val="both"/>
        <w:rPr>
          <w:rFonts w:ascii="Verdana" w:eastAsia="Calibri" w:hAnsi="Verdana" w:cs="Arial"/>
          <w:bCs/>
          <w:sz w:val="20"/>
          <w:szCs w:val="20"/>
          <w:lang w:val="es-ES_tradnl"/>
        </w:rPr>
      </w:pPr>
      <w:r w:rsidRPr="00053EDD">
        <w:rPr>
          <w:rFonts w:ascii="Verdana" w:eastAsia="Calibri" w:hAnsi="Verdana" w:cs="Arial"/>
          <w:bCs/>
          <w:sz w:val="20"/>
          <w:szCs w:val="20"/>
          <w:lang w:val="es-ES_tradnl"/>
        </w:rPr>
        <w:t xml:space="preserve">“Artículo 28. Alcance de los conceptos. Salvo disposición legal en contrario, los conceptos emitidos por las autoridades como respuestas a peticiones </w:t>
      </w:r>
      <w:r w:rsidRPr="00053EDD">
        <w:rPr>
          <w:rFonts w:ascii="Verdana" w:eastAsia="Calibri" w:hAnsi="Verdana" w:cs="Arial"/>
          <w:bCs/>
          <w:sz w:val="20"/>
          <w:szCs w:val="20"/>
          <w:lang w:val="es-ES_tradnl"/>
        </w:rPr>
        <w:lastRenderedPageBreak/>
        <w:t xml:space="preserve">realizadas en ejercicio del derecho a formular consultas no serán de obligatorio cumplimiento o ejecución”.  </w:t>
      </w:r>
    </w:p>
    <w:p w14:paraId="22EB94B6" w14:textId="77777777" w:rsidR="005D045F" w:rsidRPr="00856F20" w:rsidRDefault="005D045F" w:rsidP="005D045F">
      <w:pPr>
        <w:tabs>
          <w:tab w:val="left" w:pos="426"/>
        </w:tabs>
        <w:spacing w:after="0" w:line="276" w:lineRule="auto"/>
        <w:jc w:val="both"/>
        <w:rPr>
          <w:rFonts w:ascii="Verdana" w:eastAsia="Calibri" w:hAnsi="Verdana" w:cs="Arial"/>
          <w:bCs/>
          <w:lang w:val="es-ES_tradnl"/>
        </w:rPr>
      </w:pPr>
    </w:p>
    <w:p w14:paraId="42B4E169" w14:textId="77777777" w:rsidR="005D045F" w:rsidRPr="00856F20" w:rsidRDefault="005D045F" w:rsidP="005D045F">
      <w:pPr>
        <w:tabs>
          <w:tab w:val="left" w:pos="709"/>
        </w:tabs>
        <w:spacing w:line="276" w:lineRule="auto"/>
        <w:jc w:val="both"/>
        <w:rPr>
          <w:rFonts w:ascii="Verdana" w:eastAsia="Calibri" w:hAnsi="Verdana" w:cs="Arial"/>
          <w:bCs/>
          <w:lang w:val="es-ES_tradnl"/>
        </w:rPr>
      </w:pPr>
      <w:r w:rsidRPr="00856F20">
        <w:rPr>
          <w:rFonts w:ascii="Verdana" w:eastAsia="Calibri" w:hAnsi="Verdana" w:cs="Arial"/>
          <w:bCs/>
          <w:lang w:val="es-ES_tradnl"/>
        </w:rPr>
        <w:tab/>
        <w:t>La ley es clara cuando establece que los conceptos, emitidos por las autoridades al responder peticiones realizadas en ejercicio del derecho a formular consultas, no son de obligatorio cumplimiento o ejecución, en otras palabras, no tienen efectos vinculantes. Las respuestas emitidas como concepto, entonces, consisten en la posición hermenéutica que las entidades tienen respecto del ordenamiento jurídico. Esto explica por qué esta Agencia, reiteradamente, no resuelve controversias concretas ni brinda asesorías puntuales a los partícipes de la contratación estatal.</w:t>
      </w:r>
    </w:p>
    <w:p w14:paraId="30384413" w14:textId="77777777" w:rsidR="005D045F" w:rsidRPr="00856F20" w:rsidRDefault="005D045F" w:rsidP="005D045F">
      <w:pPr>
        <w:tabs>
          <w:tab w:val="left" w:pos="709"/>
        </w:tabs>
        <w:spacing w:before="120" w:line="276" w:lineRule="auto"/>
        <w:jc w:val="both"/>
        <w:rPr>
          <w:rFonts w:ascii="Verdana" w:eastAsia="Calibri" w:hAnsi="Verdana" w:cs="Arial"/>
          <w:bCs/>
          <w:sz w:val="21"/>
          <w:szCs w:val="21"/>
          <w:lang w:val="es-ES_tradnl"/>
        </w:rPr>
      </w:pPr>
      <w:r w:rsidRPr="00856F20">
        <w:rPr>
          <w:rFonts w:ascii="Verdana" w:eastAsia="Calibri" w:hAnsi="Verdana" w:cs="Arial"/>
          <w:bCs/>
          <w:lang w:val="es-ES_tradnl"/>
        </w:rPr>
        <w:tab/>
        <w:t xml:space="preserve">Esta posición es compartida por varias entidades públicas que ejercen la misma función. Por ejemplo, la Procuraduría General de la Nación aclaró que el concepto </w:t>
      </w:r>
      <w:r>
        <w:rPr>
          <w:rFonts w:ascii="Verdana" w:eastAsia="Calibri" w:hAnsi="Verdana" w:cs="Arial"/>
          <w:bCs/>
          <w:lang w:val="es-ES_tradnl"/>
        </w:rPr>
        <w:t>“</w:t>
      </w:r>
      <w:r w:rsidRPr="00856F20">
        <w:rPr>
          <w:rFonts w:ascii="Verdana" w:eastAsia="Calibri" w:hAnsi="Verdana" w:cs="Arial"/>
          <w:bCs/>
          <w:lang w:val="es-ES_tradnl"/>
        </w:rPr>
        <w:t>sólo constituye un criterio auxiliar de interpretación y que no tiene carácter vinculante de acuerdo con lo dispuesto en los artículos 230 de la Constitución Política, 5° de la Ley 153 de 1887 y 28 de la ley 1437 de 2011</w:t>
      </w:r>
      <w:r>
        <w:rPr>
          <w:rFonts w:ascii="Verdana" w:eastAsia="Calibri" w:hAnsi="Verdana" w:cs="Arial"/>
          <w:bCs/>
          <w:lang w:val="es-ES_tradnl"/>
        </w:rPr>
        <w:t>”</w:t>
      </w:r>
      <w:r w:rsidRPr="00856F20">
        <w:rPr>
          <w:rStyle w:val="Refdenotaalpie"/>
          <w:rFonts w:ascii="Verdana" w:eastAsia="Calibri" w:hAnsi="Verdana" w:cs="Arial"/>
          <w:bCs/>
          <w:lang w:val="es-ES_tradnl"/>
        </w:rPr>
        <w:footnoteReference w:id="2"/>
      </w:r>
      <w:r w:rsidRPr="00856F20">
        <w:rPr>
          <w:rFonts w:ascii="Verdana" w:eastAsia="Calibri" w:hAnsi="Verdana" w:cs="Arial"/>
          <w:bCs/>
          <w:lang w:val="es-ES_tradnl"/>
        </w:rPr>
        <w:t>. Igualmente, en concepto del año 2017</w:t>
      </w:r>
      <w:r w:rsidRPr="00856F20">
        <w:rPr>
          <w:rStyle w:val="Refdenotaalpie"/>
          <w:rFonts w:ascii="Verdana" w:eastAsia="Calibri" w:hAnsi="Verdana" w:cs="Arial"/>
          <w:bCs/>
          <w:lang w:val="es-ES_tradnl"/>
        </w:rPr>
        <w:footnoteReference w:id="3"/>
      </w:r>
      <w:r w:rsidRPr="00856F20">
        <w:rPr>
          <w:rFonts w:ascii="Verdana" w:eastAsia="Calibri" w:hAnsi="Verdana" w:cs="Arial"/>
          <w:bCs/>
          <w:lang w:val="es-ES_tradnl"/>
        </w:rPr>
        <w:t xml:space="preserve">, la Contraloría General de la República precisó que los </w:t>
      </w:r>
      <w:r>
        <w:rPr>
          <w:rFonts w:ascii="Verdana" w:eastAsia="Calibri" w:hAnsi="Verdana" w:cs="Arial"/>
          <w:bCs/>
          <w:lang w:val="es-ES_tradnl"/>
        </w:rPr>
        <w:t>“</w:t>
      </w:r>
      <w:r w:rsidRPr="00856F20">
        <w:rPr>
          <w:rFonts w:ascii="Verdana" w:eastAsia="Calibri" w:hAnsi="Verdana" w:cs="Arial"/>
          <w:bCs/>
          <w:lang w:val="es-ES_tradnl"/>
        </w:rPr>
        <w:t>[…] conceptos emitidos por la Oficina Jurídica de la Contraloría General de la República, son orientaciones de carácter general que […] no son de obligatorio cumplimiento o ejecución, ni tienen el carácter de fuente normativa y sólo pueden ser utilizados para facilitar la interpretación y aplicación de las normas jurídicas vigentes […]</w:t>
      </w:r>
      <w:r>
        <w:rPr>
          <w:rFonts w:ascii="Verdana" w:eastAsia="Calibri" w:hAnsi="Verdana" w:cs="Arial"/>
          <w:bCs/>
          <w:lang w:val="es-ES_tradnl"/>
        </w:rPr>
        <w:t>”</w:t>
      </w:r>
      <w:r w:rsidRPr="00856F20">
        <w:rPr>
          <w:rFonts w:ascii="Verdana" w:eastAsia="Calibri" w:hAnsi="Verdana" w:cs="Arial"/>
          <w:bCs/>
          <w:lang w:val="es-ES_tradnl"/>
        </w:rPr>
        <w:t>.</w:t>
      </w:r>
    </w:p>
    <w:p w14:paraId="799858F4" w14:textId="77777777" w:rsidR="005D045F" w:rsidRPr="00856F20" w:rsidRDefault="005D045F" w:rsidP="005D045F">
      <w:pPr>
        <w:tabs>
          <w:tab w:val="left" w:pos="709"/>
        </w:tabs>
        <w:spacing w:before="120" w:line="276" w:lineRule="auto"/>
        <w:jc w:val="both"/>
        <w:rPr>
          <w:rFonts w:ascii="Verdana" w:eastAsia="Calibri" w:hAnsi="Verdana" w:cs="Arial"/>
          <w:bCs/>
          <w:lang w:val="es-ES_tradnl"/>
        </w:rPr>
      </w:pPr>
      <w:r w:rsidRPr="00856F20">
        <w:rPr>
          <w:rFonts w:ascii="Verdana" w:eastAsia="Calibri" w:hAnsi="Verdana" w:cs="Arial"/>
          <w:bCs/>
          <w:lang w:val="es-ES_tradnl"/>
        </w:rPr>
        <w:tab/>
        <w:t xml:space="preserve">En términos generales, lo que se busca con el ejercicio de la función consultiva es que la opinión jurídica de la Agencia Nacional de Contratación Pública – Colombia Compra Eficiente sea un criterio de orientación para los operadores jurídicos, sin que ello suponga resolver un problema entre partes o asumir la </w:t>
      </w:r>
      <w:r w:rsidRPr="00856F20">
        <w:rPr>
          <w:rFonts w:ascii="Verdana" w:eastAsia="Calibri" w:hAnsi="Verdana" w:cs="Arial"/>
          <w:bCs/>
          <w:i/>
          <w:iCs/>
          <w:lang w:val="es-ES_tradnl"/>
        </w:rPr>
        <w:t>única</w:t>
      </w:r>
      <w:r w:rsidRPr="00856F20">
        <w:rPr>
          <w:rFonts w:ascii="Verdana" w:eastAsia="Calibri" w:hAnsi="Verdana" w:cs="Arial"/>
          <w:bCs/>
          <w:lang w:val="es-ES_tradnl"/>
        </w:rPr>
        <w:t xml:space="preserve"> posible interpretación de una disposición normativa. Esto no descarta que, en la práctica, al emitirse la opinión sobre la interpretación del ordenamiento jurídico, exista coincidencia con el criterio que expone alguna de las partes o la persona que solicita la consulta, circunstancia que no descarta interpretaciones diferentes</w:t>
      </w:r>
      <w:r w:rsidRPr="00856F20">
        <w:rPr>
          <w:rStyle w:val="Refdenotaalpie"/>
          <w:rFonts w:ascii="Verdana" w:eastAsia="Calibri" w:hAnsi="Verdana" w:cs="Arial"/>
          <w:bCs/>
          <w:lang w:val="es-ES_tradnl"/>
        </w:rPr>
        <w:footnoteReference w:id="4"/>
      </w:r>
      <w:r w:rsidRPr="00856F20">
        <w:rPr>
          <w:rFonts w:ascii="Verdana" w:eastAsia="Calibri" w:hAnsi="Verdana" w:cs="Arial"/>
          <w:bCs/>
          <w:lang w:val="es-ES_tradnl"/>
        </w:rPr>
        <w:t>.</w:t>
      </w:r>
    </w:p>
    <w:p w14:paraId="6499707D" w14:textId="77777777" w:rsidR="005D045F" w:rsidRPr="00856F20" w:rsidRDefault="005D045F" w:rsidP="005D045F">
      <w:pPr>
        <w:tabs>
          <w:tab w:val="left" w:pos="709"/>
        </w:tabs>
        <w:spacing w:before="120" w:line="276" w:lineRule="auto"/>
        <w:ind w:firstLine="709"/>
        <w:jc w:val="both"/>
        <w:rPr>
          <w:rFonts w:ascii="Verdana" w:eastAsia="Calibri" w:hAnsi="Verdana" w:cs="Arial"/>
          <w:bCs/>
          <w:lang w:val="es-ES_tradnl"/>
        </w:rPr>
      </w:pPr>
      <w:r w:rsidRPr="00856F20">
        <w:rPr>
          <w:rFonts w:ascii="Verdana" w:eastAsia="Calibri" w:hAnsi="Verdana" w:cs="Arial"/>
          <w:bCs/>
          <w:lang w:val="es-ES_tradnl"/>
        </w:rPr>
        <w:lastRenderedPageBreak/>
        <w:t xml:space="preserve">Las autoridades que ejercen funciones consultivas pueden expresar su interpretación de un precepto normativo que no excluye otras interpretaciones posibles, pues el derecho, como sistema normativo, es un lenguaje que, en ocasiones, se tiñe de vaguedad, en virtud de la utilización de conceptos jurídicos indeterminados. Así, puede pasar, por ejemplo, que un ministerio considere que una norma debe entenderse en un sentido, pero que otra entidad, vinculada o adscrita a ese ministerio, entienda que la misma norma debe interpretarse de otra manera. Eso hace parte de la lógica deliberativa y dialéctica del funcionamiento del Estado y refleja el principio democrático. De todos modos, esto no significa que el criterio de una u otra tenga validez o prevalencia sobre la otra, ya que se trata de opiniones emitidas a título de concepto, pese a que entre las entidades exista una jerarquía o de la naturaleza y competencias que se prediquen de una y otra. Incluso, aun cuando los jueces interpreten con autoridad el sentido de la disposición normativa, el concepto emitido por la entidad no deja de ser tal y no adquiere efectos vinculantes, por más que coincida con el de la autoridad judicial, pues, en esa hipótesis, lo que vincula es la decisión del juez, no el de la entidad que ejerció la función consultiva, pues, como se viene diciendo, dicha competencia se enmarca en el artículo 28 de la Ley 1437 de 2011. En otras palabras, los conceptos </w:t>
      </w:r>
      <w:r>
        <w:rPr>
          <w:rFonts w:ascii="Verdana" w:eastAsia="Calibri" w:hAnsi="Verdana" w:cs="Arial"/>
          <w:bCs/>
          <w:lang w:val="es-ES_tradnl"/>
        </w:rPr>
        <w:t>“</w:t>
      </w:r>
      <w:r w:rsidRPr="00856F20">
        <w:rPr>
          <w:rFonts w:ascii="Verdana" w:eastAsia="Calibri" w:hAnsi="Verdana" w:cs="Arial"/>
          <w:bCs/>
          <w:lang w:val="es-ES_tradnl"/>
        </w:rPr>
        <w:t>no serán de obligatorio cumplimiento o ejecución</w:t>
      </w:r>
      <w:r>
        <w:rPr>
          <w:rFonts w:ascii="Verdana" w:eastAsia="Calibri" w:hAnsi="Verdana" w:cs="Arial"/>
          <w:bCs/>
          <w:lang w:val="es-ES_tradnl"/>
        </w:rPr>
        <w:t>”</w:t>
      </w:r>
      <w:r w:rsidRPr="00856F20">
        <w:rPr>
          <w:rFonts w:ascii="Verdana" w:eastAsia="Calibri" w:hAnsi="Verdana" w:cs="Arial"/>
          <w:bCs/>
          <w:lang w:val="es-ES_tradnl"/>
        </w:rPr>
        <w:t xml:space="preserve">. </w:t>
      </w:r>
    </w:p>
    <w:p w14:paraId="6D7D622B" w14:textId="77777777" w:rsidR="005D045F" w:rsidRPr="00856F20" w:rsidRDefault="005D045F" w:rsidP="005D045F">
      <w:pPr>
        <w:tabs>
          <w:tab w:val="left" w:pos="709"/>
        </w:tabs>
        <w:spacing w:before="120" w:after="0" w:line="276" w:lineRule="auto"/>
        <w:jc w:val="both"/>
        <w:rPr>
          <w:rFonts w:ascii="Verdana" w:eastAsia="Calibri" w:hAnsi="Verdana" w:cs="Arial"/>
          <w:bCs/>
          <w:lang w:val="es-ES_tradnl"/>
        </w:rPr>
      </w:pPr>
      <w:r w:rsidRPr="00856F20">
        <w:rPr>
          <w:rFonts w:ascii="Verdana" w:eastAsia="Calibri" w:hAnsi="Verdana" w:cs="Arial"/>
          <w:bCs/>
          <w:lang w:val="es-ES_tradnl"/>
        </w:rPr>
        <w:tab/>
        <w:t xml:space="preserve">En similares términos, el artículo 112 de la Ley 1437 de 2011 establece, en relación con la Sala de Consulta y Servicio Civil, que </w:t>
      </w:r>
      <w:r>
        <w:rPr>
          <w:rFonts w:ascii="Verdana" w:eastAsia="Calibri" w:hAnsi="Verdana" w:cs="Arial"/>
          <w:bCs/>
          <w:lang w:val="es-ES_tradnl"/>
        </w:rPr>
        <w:t>“</w:t>
      </w:r>
      <w:r w:rsidRPr="00856F20">
        <w:rPr>
          <w:rFonts w:ascii="Verdana" w:eastAsia="Calibri" w:hAnsi="Verdana" w:cs="Arial"/>
          <w:bCs/>
          <w:lang w:val="es-ES_tradnl"/>
        </w:rPr>
        <w:t>los conceptos de la Sala no serán vinculantes, salvo que la ley disponga lo contrario</w:t>
      </w:r>
      <w:r>
        <w:rPr>
          <w:rFonts w:ascii="Verdana" w:eastAsia="Calibri" w:hAnsi="Verdana" w:cs="Arial"/>
          <w:bCs/>
          <w:lang w:val="es-ES_tradnl"/>
        </w:rPr>
        <w:t>”</w:t>
      </w:r>
      <w:r w:rsidRPr="00856F20">
        <w:rPr>
          <w:rStyle w:val="Refdenotaalpie"/>
          <w:rFonts w:ascii="Verdana" w:eastAsia="Calibri" w:hAnsi="Verdana" w:cs="Arial"/>
          <w:bCs/>
          <w:lang w:val="es-ES_tradnl"/>
        </w:rPr>
        <w:footnoteReference w:id="5"/>
      </w:r>
      <w:r w:rsidRPr="00856F20">
        <w:rPr>
          <w:rFonts w:ascii="Verdana" w:eastAsia="Calibri" w:hAnsi="Verdana" w:cs="Arial"/>
          <w:bCs/>
          <w:lang w:val="es-ES_tradnl"/>
        </w:rPr>
        <w:t xml:space="preserve">. Se trata, </w:t>
      </w:r>
      <w:r w:rsidRPr="00856F20">
        <w:rPr>
          <w:rFonts w:ascii="Verdana" w:eastAsia="Calibri" w:hAnsi="Verdana" w:cs="Arial"/>
          <w:bCs/>
          <w:i/>
          <w:iCs/>
          <w:lang w:val="es-ES_tradnl"/>
        </w:rPr>
        <w:t>mutatis mutandis</w:t>
      </w:r>
      <w:r w:rsidRPr="00856F20">
        <w:rPr>
          <w:rFonts w:ascii="Verdana" w:eastAsia="Calibri" w:hAnsi="Verdana" w:cs="Arial"/>
          <w:bCs/>
          <w:lang w:val="es-ES_tradnl"/>
        </w:rPr>
        <w:t>,</w:t>
      </w:r>
      <w:r w:rsidRPr="00856F20">
        <w:rPr>
          <w:rFonts w:ascii="Verdana" w:eastAsia="Calibri" w:hAnsi="Verdana" w:cs="Arial"/>
          <w:bCs/>
          <w:i/>
          <w:iCs/>
          <w:lang w:val="es-ES_tradnl"/>
        </w:rPr>
        <w:t xml:space="preserve"> </w:t>
      </w:r>
      <w:r w:rsidRPr="00856F20">
        <w:rPr>
          <w:rFonts w:ascii="Verdana" w:eastAsia="Calibri" w:hAnsi="Verdana" w:cs="Arial"/>
          <w:bCs/>
          <w:lang w:val="es-ES_tradnl"/>
        </w:rPr>
        <w:t>del ejercicio de una función consultiva, cuyos efectos, por ende, serán los mismos: no vinculantes ni de obligatorio cumplimiento. En relación con el tema, la Sala de Consulta y Servicio Civil del Consejo de Estado, se pronunció en los siguientes términos:</w:t>
      </w:r>
    </w:p>
    <w:p w14:paraId="7E2C0800" w14:textId="77777777" w:rsidR="005D045F" w:rsidRPr="00856F20" w:rsidRDefault="005D045F" w:rsidP="005D045F">
      <w:pPr>
        <w:tabs>
          <w:tab w:val="left" w:pos="426"/>
        </w:tabs>
        <w:spacing w:after="0" w:line="276" w:lineRule="auto"/>
        <w:jc w:val="both"/>
        <w:rPr>
          <w:rFonts w:ascii="Verdana" w:eastAsia="Calibri" w:hAnsi="Verdana" w:cs="Arial"/>
          <w:bCs/>
          <w:lang w:val="es-ES_tradnl"/>
        </w:rPr>
      </w:pPr>
    </w:p>
    <w:p w14:paraId="7A3BD5EB" w14:textId="77777777" w:rsidR="005D045F" w:rsidRPr="00053EDD" w:rsidRDefault="005D045F" w:rsidP="005D045F">
      <w:pPr>
        <w:tabs>
          <w:tab w:val="left" w:pos="426"/>
        </w:tabs>
        <w:spacing w:after="120" w:line="240" w:lineRule="auto"/>
        <w:ind w:left="709" w:right="709"/>
        <w:jc w:val="both"/>
        <w:rPr>
          <w:rFonts w:ascii="Verdana" w:eastAsia="Calibri" w:hAnsi="Verdana" w:cs="Arial"/>
          <w:bCs/>
          <w:sz w:val="20"/>
          <w:szCs w:val="20"/>
          <w:lang w:val="es-ES_tradnl"/>
        </w:rPr>
      </w:pPr>
      <w:r w:rsidRPr="00053EDD">
        <w:rPr>
          <w:rFonts w:ascii="Verdana" w:eastAsia="Calibri" w:hAnsi="Verdana" w:cs="Arial"/>
          <w:bCs/>
          <w:sz w:val="20"/>
          <w:szCs w:val="20"/>
          <w:lang w:val="es-ES_tradnl"/>
        </w:rPr>
        <w:t xml:space="preserve">“De otra parte, recuerda la Sala que la función consultiva no constituye un trámite controversial de tipo judicial; se encuentra establecida como un mecanismo constitucional dirigido a asegurar que la actuación de la Administración se adecue al ordenamiento jurídico y al interés general por el que le corresponde velar en el ejercicio de sus funciones. La defensa del </w:t>
      </w:r>
      <w:r w:rsidRPr="00053EDD">
        <w:rPr>
          <w:rFonts w:ascii="Verdana" w:eastAsia="Calibri" w:hAnsi="Verdana" w:cs="Arial"/>
          <w:bCs/>
          <w:sz w:val="20"/>
          <w:szCs w:val="20"/>
          <w:lang w:val="es-ES_tradnl"/>
        </w:rPr>
        <w:lastRenderedPageBreak/>
        <w:t xml:space="preserve">ordenamiento jurídico por esta vía se realiza a través de un órgano independiente y autónomo del poder judicial, que actúa por tanto con independencia de criterios, dentro de una lógica de colaboración armónica de poderes (art.113 C.P).  </w:t>
      </w:r>
    </w:p>
    <w:p w14:paraId="648A8431" w14:textId="77777777" w:rsidR="005D045F" w:rsidRPr="00856F20" w:rsidRDefault="005D045F" w:rsidP="005D045F">
      <w:pPr>
        <w:tabs>
          <w:tab w:val="left" w:pos="426"/>
        </w:tabs>
        <w:spacing w:after="0" w:line="240" w:lineRule="auto"/>
        <w:ind w:left="709" w:right="709"/>
        <w:jc w:val="both"/>
        <w:rPr>
          <w:rFonts w:ascii="Verdana" w:eastAsia="Calibri" w:hAnsi="Verdana" w:cs="Arial"/>
          <w:bCs/>
          <w:sz w:val="21"/>
          <w:szCs w:val="21"/>
          <w:lang w:val="es-ES_tradnl"/>
        </w:rPr>
      </w:pPr>
      <w:r w:rsidRPr="00053EDD">
        <w:rPr>
          <w:rFonts w:ascii="Verdana" w:eastAsia="Calibri" w:hAnsi="Verdana" w:cs="Arial"/>
          <w:bCs/>
          <w:sz w:val="20"/>
          <w:szCs w:val="20"/>
          <w:lang w:val="es-ES_tradnl"/>
        </w:rPr>
        <w:t>No se trata entonces de dar la razón a una u otra posición en temas controvertibles, sino de rendir un concepto jurídico que sirva a la Administración en la búsqueda del cumplimiento de las finalidades esenciales del Estado”</w:t>
      </w:r>
      <w:r w:rsidRPr="00053EDD">
        <w:rPr>
          <w:rStyle w:val="Refdenotaalpie"/>
          <w:rFonts w:ascii="Verdana" w:eastAsia="Calibri" w:hAnsi="Verdana" w:cs="Arial"/>
          <w:bCs/>
          <w:sz w:val="20"/>
          <w:szCs w:val="20"/>
          <w:lang w:val="es-ES_tradnl"/>
        </w:rPr>
        <w:footnoteReference w:id="6"/>
      </w:r>
      <w:r w:rsidRPr="00053EDD">
        <w:rPr>
          <w:rFonts w:ascii="Verdana" w:eastAsia="Calibri" w:hAnsi="Verdana" w:cs="Arial"/>
          <w:bCs/>
          <w:sz w:val="20"/>
          <w:szCs w:val="20"/>
          <w:lang w:val="es-ES_tradnl"/>
        </w:rPr>
        <w:t>.</w:t>
      </w:r>
    </w:p>
    <w:p w14:paraId="30FE3454" w14:textId="77777777" w:rsidR="005D045F" w:rsidRPr="00856F20" w:rsidRDefault="005D045F" w:rsidP="005D045F">
      <w:pPr>
        <w:tabs>
          <w:tab w:val="left" w:pos="426"/>
        </w:tabs>
        <w:spacing w:after="0" w:line="276" w:lineRule="auto"/>
        <w:jc w:val="both"/>
        <w:rPr>
          <w:rFonts w:ascii="Verdana" w:eastAsia="Calibri" w:hAnsi="Verdana" w:cs="Arial"/>
          <w:bCs/>
          <w:lang w:val="es-ES_tradnl"/>
        </w:rPr>
      </w:pPr>
    </w:p>
    <w:p w14:paraId="232A3CE7" w14:textId="77777777" w:rsidR="005D045F" w:rsidRPr="00856F20" w:rsidRDefault="005D045F" w:rsidP="005D045F">
      <w:pPr>
        <w:tabs>
          <w:tab w:val="left" w:pos="709"/>
        </w:tabs>
        <w:spacing w:line="276" w:lineRule="auto"/>
        <w:jc w:val="both"/>
        <w:rPr>
          <w:rFonts w:ascii="Verdana" w:eastAsia="Calibri" w:hAnsi="Verdana" w:cs="Arial"/>
          <w:bCs/>
          <w:lang w:val="es-ES_tradnl"/>
        </w:rPr>
      </w:pPr>
      <w:r w:rsidRPr="00856F20">
        <w:rPr>
          <w:rFonts w:ascii="Verdana" w:eastAsia="Calibri" w:hAnsi="Verdana" w:cs="Arial"/>
          <w:bCs/>
          <w:lang w:val="es-ES_tradnl"/>
        </w:rPr>
        <w:tab/>
        <w:t>El ejercicio de la función consultiva del artículo 28 de la Ley 1437 de 2011 descarta la resolución de controversias en curso o de problemas cuyos efectos se concreten. Lo primero, debe manejarlo la propia entidad ante la que se presenta el problema, y lo segundo el juez competente. En últimas, siempre que no exista una decisión judicial vinculante, los destinatarios de la norma serán los que interpreten el ordenamiento jurídico. Así las cosas, a título de ejemplo, si una entidad considera que un término vence en un momento específico, habida cuenta de su lectura exegética de la norma respectiva, pero otra entiende que el término vence en otro momento, amparada en una lectura teleológica del ordenamiento jurídico, serán los destinatarios de dicha norma los que decidirán cuál es la interpretación por la que optan, claro está, sin perjuicio del posterior control judicial que podrá hacerse a solicitud de alguno de los interesados. No se trata, entonces, de jerarquías interpretativas sino de opiniones diferentes. El peso de la interpretación depende de la razonabilidad de los argumentos y de la inteligibilidad de la opinión.</w:t>
      </w:r>
    </w:p>
    <w:p w14:paraId="266F4136" w14:textId="77777777" w:rsidR="005D045F" w:rsidRPr="00856F20" w:rsidRDefault="005D045F" w:rsidP="005D045F">
      <w:pPr>
        <w:tabs>
          <w:tab w:val="left" w:pos="709"/>
        </w:tabs>
        <w:spacing w:before="120" w:after="120" w:line="276" w:lineRule="auto"/>
        <w:jc w:val="both"/>
        <w:rPr>
          <w:rFonts w:ascii="Verdana" w:eastAsia="Calibri" w:hAnsi="Verdana" w:cs="Arial"/>
          <w:bCs/>
          <w:lang w:val="es-ES_tradnl"/>
        </w:rPr>
      </w:pPr>
      <w:r w:rsidRPr="00856F20">
        <w:rPr>
          <w:rFonts w:ascii="Verdana" w:eastAsia="Calibri" w:hAnsi="Verdana" w:cs="Arial"/>
          <w:bCs/>
          <w:lang w:val="es-ES_tradnl"/>
        </w:rPr>
        <w:tab/>
        <w:t>Otro asunto es que la entidad que lee la norma exegéticamente, luego de la decisión judicial, ejerza sus competencias desconociendo la interpretación del juez, como podría pasar, en el ejemplo propuesto, si la entidad rechaza por extemporáneo un recurso, omitiendo la lectura que los jueces hicieron con criterio de autoridad. Con todo, por la naturaleza de la función consultiva, es perfectamente válido que la misma entidad, a título de concepto, mantenga la opinión que no coincide con la judicial, porque la misma no es vinculante.</w:t>
      </w:r>
    </w:p>
    <w:p w14:paraId="15257F8C" w14:textId="77777777" w:rsidR="005D045F" w:rsidRDefault="005D045F" w:rsidP="005D045F">
      <w:pPr>
        <w:spacing w:after="0" w:line="276" w:lineRule="auto"/>
        <w:jc w:val="both"/>
        <w:rPr>
          <w:rFonts w:ascii="Verdana" w:eastAsia="Calibri" w:hAnsi="Verdana" w:cs="Arial"/>
          <w:lang w:val="es-MX"/>
        </w:rPr>
      </w:pPr>
      <w:r w:rsidRPr="00856F20">
        <w:rPr>
          <w:rFonts w:ascii="Verdana" w:eastAsia="Calibri" w:hAnsi="Verdana" w:cs="Arial"/>
          <w:bCs/>
          <w:lang w:val="es-ES_tradnl"/>
        </w:rPr>
        <w:tab/>
      </w:r>
      <w:bookmarkStart w:id="2" w:name="_Hlk42100007"/>
      <w:r w:rsidRPr="00856F20">
        <w:rPr>
          <w:rFonts w:ascii="Verdana" w:eastAsia="Calibri" w:hAnsi="Verdana" w:cs="Arial"/>
          <w:bCs/>
          <w:lang w:val="es-ES_tradnl"/>
        </w:rPr>
        <w:t xml:space="preserve">Así las cosas, Colombia Compra Eficiente considera que no hay lugar a acceder, por ejemplo, a solicitudes de </w:t>
      </w:r>
      <w:r w:rsidRPr="00856F20">
        <w:rPr>
          <w:rFonts w:ascii="Verdana" w:eastAsia="Calibri" w:hAnsi="Verdana" w:cs="Arial"/>
          <w:bCs/>
          <w:i/>
          <w:iCs/>
          <w:lang w:val="es-ES_tradnl"/>
        </w:rPr>
        <w:t>revocación directa</w:t>
      </w:r>
      <w:r w:rsidRPr="00856F20">
        <w:rPr>
          <w:rFonts w:ascii="Verdana" w:eastAsia="Calibri" w:hAnsi="Verdana" w:cs="Arial"/>
          <w:bCs/>
          <w:lang w:val="es-ES_tradnl"/>
        </w:rPr>
        <w:t xml:space="preserve"> de los conceptos, pues no son actos administrativos, no tienen efectos vinculantes en relación con una </w:t>
      </w:r>
      <w:r w:rsidRPr="00856F20">
        <w:rPr>
          <w:rFonts w:ascii="Verdana" w:eastAsia="Calibri" w:hAnsi="Verdana" w:cs="Arial"/>
          <w:bCs/>
          <w:lang w:val="es-ES_tradnl"/>
        </w:rPr>
        <w:lastRenderedPageBreak/>
        <w:t xml:space="preserve">situación jurídica particular y concreta, y exponen un criterio que, aunque jurídicamente fundamentado, no representan necesariamente la </w:t>
      </w:r>
      <w:r w:rsidRPr="00856F20">
        <w:rPr>
          <w:rFonts w:ascii="Verdana" w:eastAsia="Calibri" w:hAnsi="Verdana" w:cs="Arial"/>
          <w:bCs/>
          <w:i/>
          <w:iCs/>
          <w:lang w:val="es-ES_tradnl"/>
        </w:rPr>
        <w:t>única</w:t>
      </w:r>
      <w:r w:rsidRPr="00856F20">
        <w:rPr>
          <w:rFonts w:ascii="Verdana" w:eastAsia="Calibri" w:hAnsi="Verdana" w:cs="Arial"/>
          <w:bCs/>
          <w:lang w:val="es-ES_tradnl"/>
        </w:rPr>
        <w:t xml:space="preserve"> interpretación válida del ordenamiento jurídico.</w:t>
      </w:r>
      <w:bookmarkEnd w:id="2"/>
      <w:r w:rsidRPr="00856F20">
        <w:rPr>
          <w:rFonts w:ascii="Verdana" w:eastAsia="Calibri" w:hAnsi="Verdana" w:cs="Arial"/>
          <w:bCs/>
          <w:lang w:val="es-ES_tradnl"/>
        </w:rPr>
        <w:t xml:space="preserve"> Lo anterior no implica que la Agencia Nacional de Contratación Pública considere inalterables sus posturas, pues, de ser necesario, podría replantear una tesis previamente expuesta, bajo estrictos estándares argumentativos, al emitir otro concepto, ya que, dada su falta de vinculatoriedad, la legitimación de sus posturas proviene de la fuerza de los argumentos.</w:t>
      </w:r>
    </w:p>
    <w:p w14:paraId="5A9AE9E9" w14:textId="77777777" w:rsidR="005D045F" w:rsidRDefault="005D045F" w:rsidP="005D045F">
      <w:pPr>
        <w:spacing w:after="0" w:line="276" w:lineRule="auto"/>
        <w:jc w:val="both"/>
        <w:rPr>
          <w:rFonts w:ascii="Verdana" w:eastAsia="Calibri" w:hAnsi="Verdana" w:cs="Arial"/>
          <w:lang w:val="es-MX"/>
        </w:rPr>
      </w:pPr>
    </w:p>
    <w:p w14:paraId="040C7780" w14:textId="77777777" w:rsidR="005D045F" w:rsidRPr="00981BF5" w:rsidRDefault="005D045F" w:rsidP="005D045F">
      <w:pPr>
        <w:spacing w:after="120" w:line="276" w:lineRule="auto"/>
        <w:jc w:val="both"/>
        <w:rPr>
          <w:rFonts w:ascii="Verdana" w:eastAsia="Calibri" w:hAnsi="Verdana" w:cs="Arial"/>
          <w:lang w:val="es-MX"/>
        </w:rPr>
      </w:pPr>
      <w:r>
        <w:rPr>
          <w:rFonts w:ascii="Verdana" w:eastAsia="Calibri" w:hAnsi="Verdana" w:cs="Arial"/>
          <w:lang w:val="es-MX"/>
        </w:rPr>
        <w:t xml:space="preserve">ii. </w:t>
      </w:r>
      <w:r w:rsidRPr="00981BF5">
        <w:rPr>
          <w:rFonts w:ascii="Verdana" w:eastAsia="Calibri" w:hAnsi="Verdana" w:cs="Arial"/>
          <w:lang w:val="es-MX"/>
        </w:rPr>
        <w:t>La contratación estatal tiene como propósito el cumplimiento de los fines estatales, la continua y eficiente prestación de los servicios públicos y la efectividad de los derechos e intereses de los administrados que colaboran con las entidades estatales en la consecución de dichos propósitos</w:t>
      </w:r>
      <w:r w:rsidRPr="00981BF5">
        <w:rPr>
          <w:rFonts w:ascii="Verdana" w:eastAsia="Calibri" w:hAnsi="Verdana" w:cs="Arial"/>
          <w:vertAlign w:val="superscript"/>
          <w:lang w:val="es-MX"/>
        </w:rPr>
        <w:footnoteReference w:id="7"/>
      </w:r>
      <w:r w:rsidRPr="00981BF5">
        <w:rPr>
          <w:rFonts w:ascii="Verdana" w:eastAsia="Calibri" w:hAnsi="Verdana" w:cs="Arial"/>
          <w:lang w:val="es-MX"/>
        </w:rPr>
        <w:t xml:space="preserve">. En cumplimiento de ese objetivo, el legislador determinó que las actuaciones adelantadas por las entidades estatales se llevan a cabo, entre otros, en cumplimiento de los principios que gobiernan los procesos de contratación pública. </w:t>
      </w:r>
    </w:p>
    <w:p w14:paraId="6D511388" w14:textId="77777777" w:rsidR="005D045F" w:rsidRPr="00981BF5" w:rsidRDefault="005D045F" w:rsidP="005D045F">
      <w:pPr>
        <w:spacing w:after="0" w:line="276" w:lineRule="auto"/>
        <w:ind w:firstLine="709"/>
        <w:jc w:val="both"/>
        <w:rPr>
          <w:rFonts w:ascii="Verdana" w:eastAsia="Calibri" w:hAnsi="Verdana" w:cs="Arial"/>
          <w:lang w:val="es-MX"/>
        </w:rPr>
      </w:pPr>
      <w:r w:rsidRPr="00981BF5">
        <w:rPr>
          <w:rFonts w:ascii="Verdana" w:eastAsia="Calibri" w:hAnsi="Verdana" w:cs="Arial"/>
          <w:lang w:val="es-MX"/>
        </w:rPr>
        <w:t>El artículo 23 de la Ley 80 de 1993 regula los principios aplicables a las actuaciones contractuales adelantadas por las entidades estatales</w:t>
      </w:r>
      <w:r w:rsidRPr="00981BF5">
        <w:rPr>
          <w:rFonts w:ascii="Verdana" w:eastAsia="Calibri" w:hAnsi="Verdana" w:cs="Arial"/>
          <w:vertAlign w:val="superscript"/>
          <w:lang w:val="es-MX"/>
        </w:rPr>
        <w:footnoteReference w:id="8"/>
      </w:r>
      <w:r w:rsidRPr="00981BF5">
        <w:rPr>
          <w:rFonts w:ascii="Verdana" w:eastAsia="Calibri" w:hAnsi="Verdana" w:cs="Arial"/>
          <w:lang w:val="es-MX"/>
        </w:rPr>
        <w:t xml:space="preserve">. Entre otros, allí se estableció el principio de transparencia de la actividad contractual, objeto de regulación expresa en el artículo 24 </w:t>
      </w:r>
      <w:r w:rsidRPr="00981BF5">
        <w:rPr>
          <w:rFonts w:ascii="Verdana" w:eastAsia="Calibri" w:hAnsi="Verdana" w:cs="Arial"/>
          <w:i/>
          <w:iCs/>
          <w:lang w:val="es-MX"/>
        </w:rPr>
        <w:t>ibidem</w:t>
      </w:r>
      <w:r w:rsidRPr="00981BF5">
        <w:rPr>
          <w:rFonts w:ascii="Verdana" w:eastAsia="Calibri" w:hAnsi="Verdana" w:cs="Arial"/>
          <w:lang w:val="es-MX"/>
        </w:rPr>
        <w:t>. Este principio guarda estrecha relación con el de publicidad, que rige el ejercicio de la función administrativa. Por ello, el numeral 2º dispone la facultad de los interesados para realizar y/o presentar observaciones, como un mecanismo para controvertir algunas de las decisiones adoptadas por las entidades estatales:</w:t>
      </w:r>
    </w:p>
    <w:p w14:paraId="5A6744C9" w14:textId="77777777" w:rsidR="005D045F" w:rsidRPr="00981BF5" w:rsidRDefault="005D045F" w:rsidP="005D045F">
      <w:pPr>
        <w:spacing w:after="0" w:line="276" w:lineRule="auto"/>
        <w:ind w:left="709" w:right="709"/>
        <w:jc w:val="both"/>
        <w:rPr>
          <w:rFonts w:ascii="Verdana" w:eastAsia="Calibri" w:hAnsi="Verdana" w:cs="Arial"/>
          <w:lang w:val="es-MX"/>
        </w:rPr>
      </w:pPr>
    </w:p>
    <w:p w14:paraId="46C6C0F0" w14:textId="77777777" w:rsidR="005D045F" w:rsidRPr="00981BF5" w:rsidRDefault="005D045F" w:rsidP="005D045F">
      <w:pPr>
        <w:spacing w:after="0" w:line="240" w:lineRule="auto"/>
        <w:ind w:left="709" w:right="709"/>
        <w:jc w:val="both"/>
        <w:rPr>
          <w:rFonts w:ascii="Verdana" w:eastAsia="Calibri" w:hAnsi="Verdana" w:cs="Arial"/>
          <w:sz w:val="20"/>
          <w:szCs w:val="20"/>
          <w:lang w:val="es-MX"/>
        </w:rPr>
      </w:pPr>
      <w:r w:rsidRPr="00981BF5">
        <w:rPr>
          <w:rFonts w:ascii="Verdana" w:eastAsia="Calibri" w:hAnsi="Verdana" w:cs="Arial"/>
          <w:sz w:val="20"/>
          <w:szCs w:val="20"/>
          <w:lang w:val="es-MX"/>
        </w:rPr>
        <w:t>“ARTÍCULO 24. DEL PRINCIPIO DE TRANSPARENCIA. En virtud de este principio:</w:t>
      </w:r>
    </w:p>
    <w:p w14:paraId="51E4A2EF" w14:textId="77777777" w:rsidR="005D045F" w:rsidRPr="00981BF5" w:rsidRDefault="005D045F" w:rsidP="005D045F">
      <w:pPr>
        <w:spacing w:after="120" w:line="240" w:lineRule="auto"/>
        <w:ind w:left="709" w:right="709"/>
        <w:jc w:val="both"/>
        <w:rPr>
          <w:rFonts w:ascii="Verdana" w:eastAsia="Calibri" w:hAnsi="Verdana" w:cs="Arial"/>
          <w:sz w:val="20"/>
          <w:szCs w:val="20"/>
          <w:lang w:val="es-MX"/>
        </w:rPr>
      </w:pPr>
      <w:r w:rsidRPr="00981BF5">
        <w:rPr>
          <w:rFonts w:ascii="Verdana" w:eastAsia="Calibri" w:hAnsi="Verdana" w:cs="Arial"/>
          <w:sz w:val="20"/>
          <w:szCs w:val="20"/>
          <w:lang w:val="es-MX"/>
        </w:rPr>
        <w:lastRenderedPageBreak/>
        <w:t>[…]</w:t>
      </w:r>
    </w:p>
    <w:p w14:paraId="4B4B8C4E" w14:textId="77777777" w:rsidR="005D045F" w:rsidRPr="00981BF5" w:rsidRDefault="005D045F" w:rsidP="005D045F">
      <w:pPr>
        <w:spacing w:after="0" w:line="240" w:lineRule="auto"/>
        <w:ind w:left="709" w:right="709"/>
        <w:jc w:val="both"/>
        <w:rPr>
          <w:rFonts w:ascii="Verdana" w:eastAsia="Calibri" w:hAnsi="Verdana" w:cs="Arial"/>
          <w:sz w:val="20"/>
          <w:szCs w:val="20"/>
          <w:lang w:val="es-MX"/>
        </w:rPr>
      </w:pPr>
      <w:r w:rsidRPr="00981BF5">
        <w:rPr>
          <w:rFonts w:ascii="Verdana" w:eastAsia="Calibri" w:hAnsi="Verdana" w:cs="Arial"/>
          <w:sz w:val="20"/>
          <w:szCs w:val="20"/>
          <w:lang w:val="es-MX"/>
        </w:rPr>
        <w:t>2o.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w:t>
      </w:r>
    </w:p>
    <w:p w14:paraId="2C52723D" w14:textId="77777777" w:rsidR="005D045F" w:rsidRPr="00981BF5" w:rsidRDefault="005D045F" w:rsidP="005D045F">
      <w:pPr>
        <w:spacing w:after="0" w:line="240" w:lineRule="auto"/>
        <w:ind w:left="709" w:right="709"/>
        <w:jc w:val="both"/>
        <w:rPr>
          <w:rFonts w:ascii="Verdana" w:eastAsia="Calibri" w:hAnsi="Verdana" w:cs="Arial"/>
          <w:sz w:val="21"/>
          <w:szCs w:val="21"/>
          <w:lang w:val="es-MX"/>
        </w:rPr>
      </w:pPr>
      <w:r w:rsidRPr="00981BF5">
        <w:rPr>
          <w:rFonts w:ascii="Verdana" w:eastAsia="Calibri" w:hAnsi="Verdana" w:cs="Arial"/>
          <w:sz w:val="20"/>
          <w:szCs w:val="20"/>
          <w:lang w:val="es-MX"/>
        </w:rPr>
        <w:t>[…]”.</w:t>
      </w:r>
    </w:p>
    <w:p w14:paraId="71F56932" w14:textId="77777777" w:rsidR="005D045F" w:rsidRPr="00981BF5" w:rsidRDefault="005D045F" w:rsidP="005D045F">
      <w:pPr>
        <w:spacing w:after="0" w:line="276" w:lineRule="auto"/>
        <w:ind w:left="709" w:right="709"/>
        <w:jc w:val="both"/>
        <w:rPr>
          <w:rFonts w:ascii="Verdana" w:eastAsia="Calibri" w:hAnsi="Verdana" w:cs="Arial"/>
          <w:lang w:val="es-MX"/>
        </w:rPr>
      </w:pPr>
    </w:p>
    <w:p w14:paraId="6ED1979A" w14:textId="77777777" w:rsidR="005D045F" w:rsidRPr="00981BF5" w:rsidRDefault="005D045F" w:rsidP="005D045F">
      <w:pPr>
        <w:spacing w:after="120" w:line="276" w:lineRule="auto"/>
        <w:ind w:firstLine="709"/>
        <w:jc w:val="both"/>
        <w:rPr>
          <w:rFonts w:ascii="Verdana" w:eastAsia="Batang" w:hAnsi="Verdana" w:cs="Arial"/>
          <w:lang w:val="es-MX"/>
        </w:rPr>
      </w:pPr>
      <w:r w:rsidRPr="00981BF5">
        <w:rPr>
          <w:rFonts w:ascii="Verdana" w:eastAsia="Calibri" w:hAnsi="Verdana" w:cs="Arial"/>
          <w:lang w:val="es-MX"/>
        </w:rPr>
        <w:t xml:space="preserve">Conforme a lo anterior, el conocimiento y la motivación de las decisiones tomadas por la administración son un presupuesto necesario para controvertirlas. Así las cosas, de acuerdo con lo dispuesto en el numeral 2º previamente citado, </w:t>
      </w:r>
      <w:r w:rsidRPr="00981BF5">
        <w:rPr>
          <w:rFonts w:ascii="Verdana" w:hAnsi="Verdana" w:cs="Arial"/>
          <w:color w:val="0B1107" w:themeColor="accent6" w:themeShade="1A"/>
        </w:rPr>
        <w:t xml:space="preserve">la doctrina considera que </w:t>
      </w:r>
      <w:r w:rsidRPr="00981BF5">
        <w:rPr>
          <w:rFonts w:ascii="Verdana" w:eastAsia="Calibri" w:hAnsi="Verdana" w:cs="Arial"/>
          <w:lang w:val="es-MX"/>
        </w:rPr>
        <w:t>“[…] en los procesos de selección en los cuales el ordenamiento jurídico no indique de manera expresa una etapa tal para esos fines, los pliegos de condiciones deben introducir y reglar una instancia en donde los oferentes puedan expresar sus opiniones y observaciones […]”</w:t>
      </w:r>
      <w:r w:rsidRPr="00981BF5">
        <w:rPr>
          <w:rStyle w:val="Refdenotaalpie"/>
          <w:rFonts w:ascii="Verdana" w:eastAsia="Calibri" w:hAnsi="Verdana" w:cs="Arial"/>
          <w:lang w:val="es-MX"/>
        </w:rPr>
        <w:footnoteReference w:id="9"/>
      </w:r>
      <w:r w:rsidRPr="00981BF5">
        <w:rPr>
          <w:rFonts w:ascii="Verdana" w:eastAsia="Calibri" w:hAnsi="Verdana" w:cs="Arial"/>
          <w:lang w:val="es-MX"/>
        </w:rPr>
        <w:t>.</w:t>
      </w:r>
      <w:r w:rsidRPr="00981BF5">
        <w:rPr>
          <w:rFonts w:ascii="Verdana" w:eastAsia="Batang" w:hAnsi="Verdana" w:cs="Arial"/>
          <w:lang w:val="es-MX"/>
        </w:rPr>
        <w:t xml:space="preserve"> </w:t>
      </w:r>
    </w:p>
    <w:p w14:paraId="79B1D31F" w14:textId="77777777" w:rsidR="005D045F" w:rsidRPr="00981BF5" w:rsidRDefault="005D045F" w:rsidP="005D045F">
      <w:pPr>
        <w:spacing w:after="0" w:line="276" w:lineRule="auto"/>
        <w:ind w:firstLine="709"/>
        <w:jc w:val="both"/>
        <w:rPr>
          <w:rFonts w:ascii="Verdana" w:eastAsia="Batang" w:hAnsi="Verdana" w:cs="Arial"/>
          <w:lang w:val="es-MX"/>
        </w:rPr>
      </w:pPr>
      <w:r w:rsidRPr="00981BF5">
        <w:rPr>
          <w:rFonts w:ascii="Verdana" w:eastAsia="Batang" w:hAnsi="Verdana" w:cs="Arial"/>
          <w:lang w:val="es-MX"/>
        </w:rPr>
        <w:t>Este principio está desarrollado el Decreto 1082 de 2015, el cual establece los plazos dentro de los cuales los interesados podrán realizar observaciones en las actuaciones adelantadas a instancia de las entidades estatales en sus procesos de contratación. Dichos plazos podrán ampliarse, más no restringirse por las entidades, dependiendo del procedimiento de selección. En cuanto a la importancia del principio de transparencia que rige las actuaciones contractuales de las entidades estatales, la Sección Tercera del Consejo de Estado explica lo siguiente:</w:t>
      </w:r>
    </w:p>
    <w:p w14:paraId="35FD46EC" w14:textId="77777777" w:rsidR="005D045F" w:rsidRPr="00981BF5" w:rsidRDefault="005D045F" w:rsidP="005D045F">
      <w:pPr>
        <w:spacing w:after="0" w:line="276" w:lineRule="auto"/>
        <w:ind w:left="709" w:right="709"/>
        <w:jc w:val="both"/>
        <w:rPr>
          <w:rFonts w:ascii="Verdana" w:eastAsia="Batang" w:hAnsi="Verdana" w:cs="Arial"/>
          <w:lang w:val="es-MX"/>
        </w:rPr>
      </w:pPr>
    </w:p>
    <w:p w14:paraId="50968C8C" w14:textId="77777777" w:rsidR="005D045F" w:rsidRPr="00981BF5" w:rsidRDefault="005D045F" w:rsidP="005D045F">
      <w:pPr>
        <w:spacing w:after="120" w:line="240" w:lineRule="auto"/>
        <w:ind w:left="709" w:right="709"/>
        <w:jc w:val="both"/>
        <w:rPr>
          <w:rFonts w:ascii="Verdana" w:eastAsia="Batang" w:hAnsi="Verdana" w:cs="Arial"/>
          <w:sz w:val="20"/>
          <w:szCs w:val="20"/>
          <w:lang w:val="es-MX"/>
        </w:rPr>
      </w:pPr>
      <w:r w:rsidRPr="00981BF5">
        <w:rPr>
          <w:rFonts w:ascii="Verdana" w:eastAsia="Batang" w:hAnsi="Verdana" w:cs="Arial"/>
          <w:sz w:val="20"/>
          <w:szCs w:val="20"/>
          <w:lang w:val="es-MX"/>
        </w:rPr>
        <w:t xml:space="preserve">“El principio de transparencia persigue la garantía que en la formación del contrato, con plena publicidad de las bases del proceso de selección y en igualdad de oportunidades de quienes en él participen, se escoja la oferta más favorable para los intereses de la administración, de suerte que la actuación administrativa de la contratación sea imparcial, alejada de todo favoritismo y, por ende, extraña a cualquier factor político, económico o familiar. </w:t>
      </w:r>
    </w:p>
    <w:p w14:paraId="3A9AB545" w14:textId="77777777" w:rsidR="005D045F" w:rsidRPr="00981BF5" w:rsidRDefault="005D045F" w:rsidP="005D045F">
      <w:pPr>
        <w:spacing w:after="120" w:line="240" w:lineRule="auto"/>
        <w:ind w:left="709" w:right="709"/>
        <w:jc w:val="both"/>
        <w:rPr>
          <w:rFonts w:ascii="Verdana" w:eastAsia="Batang" w:hAnsi="Verdana" w:cs="Arial"/>
          <w:sz w:val="20"/>
          <w:szCs w:val="20"/>
          <w:lang w:val="es-MX"/>
        </w:rPr>
      </w:pPr>
      <w:r w:rsidRPr="00981BF5">
        <w:rPr>
          <w:rFonts w:ascii="Verdana" w:eastAsia="Batang" w:hAnsi="Verdana" w:cs="Arial"/>
          <w:sz w:val="20"/>
          <w:szCs w:val="20"/>
          <w:lang w:val="es-MX"/>
        </w:rPr>
        <w:t>En palabras de la Corte Suprema de Justicia:</w:t>
      </w:r>
    </w:p>
    <w:p w14:paraId="5C28ECCF" w14:textId="77777777" w:rsidR="005D045F" w:rsidRPr="00981BF5" w:rsidRDefault="005D045F" w:rsidP="005D045F">
      <w:pPr>
        <w:spacing w:after="120" w:line="240" w:lineRule="auto"/>
        <w:ind w:left="709" w:right="709"/>
        <w:jc w:val="both"/>
        <w:rPr>
          <w:rFonts w:ascii="Verdana" w:eastAsia="Batang" w:hAnsi="Verdana" w:cs="Arial"/>
          <w:sz w:val="20"/>
          <w:szCs w:val="20"/>
          <w:lang w:val="es-MX"/>
        </w:rPr>
      </w:pPr>
      <w:r w:rsidRPr="00981BF5">
        <w:rPr>
          <w:rFonts w:ascii="Verdana" w:eastAsia="Batang" w:hAnsi="Verdana" w:cs="Arial"/>
          <w:sz w:val="20"/>
          <w:szCs w:val="20"/>
          <w:lang w:val="es-MX"/>
        </w:rPr>
        <w:t xml:space="preserve">‘Mediante la transparencia se garantiza la igualdad y el ejercicio del poder con acatamiento de la imparcialidad y la publicidad. (…) Transparencia quiere decir claridad, diafanidad, nitidez, pureza, translucidez. Significa </w:t>
      </w:r>
      <w:r w:rsidRPr="00981BF5">
        <w:rPr>
          <w:rFonts w:ascii="Verdana" w:eastAsia="Batang" w:hAnsi="Verdana" w:cs="Arial"/>
          <w:sz w:val="20"/>
          <w:szCs w:val="20"/>
          <w:lang w:val="es-MX"/>
        </w:rPr>
        <w:lastRenderedPageBreak/>
        <w:t>que algo debe ser visible, que puede verse, para evitar la oscuridad, la opacidad, lo turbio y lo nebuloso.  Así, la actuación administrativa contractual, debe ser perspicua, tersa y cristalina (…). Se trata de un postulado que pretende combatir la corrupción en la contratación estatal, que en sus grandes líneas desarrolla también los principios constitucionales de igualdad, moralidad, eficiencia, imparcialidad y publicidad aplicados a la función administrativa (art. 209. C.N)’.</w:t>
      </w:r>
    </w:p>
    <w:p w14:paraId="2911ABC0" w14:textId="77777777" w:rsidR="005D045F" w:rsidRPr="00981BF5" w:rsidRDefault="005D045F" w:rsidP="005D045F">
      <w:pPr>
        <w:spacing w:after="0" w:line="240" w:lineRule="auto"/>
        <w:ind w:left="709" w:right="709"/>
        <w:jc w:val="both"/>
        <w:rPr>
          <w:rFonts w:ascii="Verdana" w:eastAsia="Batang" w:hAnsi="Verdana" w:cs="Arial"/>
          <w:sz w:val="21"/>
          <w:szCs w:val="21"/>
          <w:lang w:val="es-MX"/>
        </w:rPr>
      </w:pPr>
      <w:r w:rsidRPr="00981BF5">
        <w:rPr>
          <w:rFonts w:ascii="Verdana" w:eastAsia="Batang" w:hAnsi="Verdana" w:cs="Arial"/>
          <w:sz w:val="20"/>
          <w:szCs w:val="20"/>
          <w:lang w:val="es-MX"/>
        </w:rPr>
        <w:t>Por consiguiente, este principio aplicado a la contratación pública, excluye una actividad oculta, secreta, oscura y arbitraria en la actividad contractual y, al contrario, propende por una selección objetiva de la propuesta y del contratista del Estado para el logro de los fines de la contratación y la satisfacción de los intereses colectivos, en los términos del artículo 29 de la Ley 80 de 1993, en forma clara, limpia, pulcra, sana, ajena a consideraciones subjetivas, libre de presiones indebidas y en especial de cualquier sospecha de corrupción por parte de los administradores y de los particulares que participan en los procesos de selección contractual del Estado”</w:t>
      </w:r>
      <w:r w:rsidRPr="00981BF5">
        <w:rPr>
          <w:rFonts w:ascii="Verdana" w:eastAsia="Batang" w:hAnsi="Verdana" w:cs="Arial"/>
          <w:sz w:val="20"/>
          <w:szCs w:val="20"/>
          <w:vertAlign w:val="superscript"/>
          <w:lang w:val="es-MX"/>
        </w:rPr>
        <w:footnoteReference w:id="10"/>
      </w:r>
      <w:r w:rsidRPr="00981BF5">
        <w:rPr>
          <w:rFonts w:ascii="Verdana" w:eastAsia="Batang" w:hAnsi="Verdana" w:cs="Arial"/>
          <w:sz w:val="20"/>
          <w:szCs w:val="20"/>
          <w:lang w:val="es-MX"/>
        </w:rPr>
        <w:t>.</w:t>
      </w:r>
    </w:p>
    <w:p w14:paraId="25F6A378" w14:textId="77777777" w:rsidR="005D045F" w:rsidRPr="00981BF5" w:rsidRDefault="005D045F" w:rsidP="005D045F">
      <w:pPr>
        <w:spacing w:after="0" w:line="276" w:lineRule="auto"/>
        <w:ind w:firstLine="709"/>
        <w:jc w:val="both"/>
        <w:rPr>
          <w:rFonts w:ascii="Verdana" w:eastAsia="Batang" w:hAnsi="Verdana" w:cs="Arial"/>
          <w:lang w:val="es-MX"/>
        </w:rPr>
      </w:pPr>
    </w:p>
    <w:p w14:paraId="01E9E759" w14:textId="77777777" w:rsidR="005D045F" w:rsidRPr="00981BF5" w:rsidRDefault="005D045F" w:rsidP="005D045F">
      <w:pPr>
        <w:spacing w:after="0" w:line="276" w:lineRule="auto"/>
        <w:ind w:firstLine="708"/>
        <w:jc w:val="both"/>
        <w:rPr>
          <w:rFonts w:ascii="Verdana" w:eastAsia="Batang" w:hAnsi="Verdana" w:cs="Arial"/>
          <w:lang w:val="es-MX"/>
        </w:rPr>
      </w:pPr>
      <w:r w:rsidRPr="00981BF5">
        <w:rPr>
          <w:rFonts w:ascii="Verdana" w:eastAsia="Batang" w:hAnsi="Verdana" w:cs="Arial"/>
          <w:lang w:val="es-MX"/>
        </w:rPr>
        <w:t>En conclusión, el principio de transparencia garantiza la participación tanto de los interesados como de la ciudadanía en general en las actuaciones contractuales adelantadas por las entidades estatales</w:t>
      </w:r>
      <w:r w:rsidRPr="00981BF5">
        <w:rPr>
          <w:rFonts w:ascii="Verdana" w:eastAsia="Batang" w:hAnsi="Verdana" w:cs="Arial"/>
          <w:vertAlign w:val="superscript"/>
          <w:lang w:val="es-MX"/>
        </w:rPr>
        <w:footnoteReference w:id="11"/>
      </w:r>
      <w:r w:rsidRPr="00981BF5">
        <w:rPr>
          <w:rFonts w:ascii="Verdana" w:eastAsia="Batang" w:hAnsi="Verdana" w:cs="Arial"/>
          <w:lang w:val="es-MX"/>
        </w:rPr>
        <w:t>. Esta participación se materializa en la oportunidad concedida para presentar observaciones en las distintas etapas o fases del proceso que culmina con la celebración del contrato estatal, lo cual busca salvaguardar también el ejercicio del derecho de contradicción en las actuaciones administrativas</w:t>
      </w:r>
      <w:r w:rsidRPr="00981BF5">
        <w:rPr>
          <w:rStyle w:val="Refdenotaalpie"/>
          <w:rFonts w:ascii="Verdana" w:eastAsia="Batang" w:hAnsi="Verdana" w:cs="Arial"/>
          <w:lang w:val="es-MX"/>
        </w:rPr>
        <w:footnoteReference w:id="12"/>
      </w:r>
      <w:r w:rsidRPr="00981BF5">
        <w:rPr>
          <w:rFonts w:ascii="Verdana" w:eastAsia="Batang" w:hAnsi="Verdana" w:cs="Arial"/>
          <w:lang w:val="es-MX"/>
        </w:rPr>
        <w:t>. Por ello, es necesario distinguir las etapas o fases del proceso contractual, a efectos de establecer el término o plazo para presentar observaciones por parte de los interesados y el plazo para responderlas por parte de las entidades estatales:</w:t>
      </w:r>
    </w:p>
    <w:p w14:paraId="055CF004" w14:textId="77777777" w:rsidR="005D045F" w:rsidRPr="00981BF5" w:rsidRDefault="005D045F" w:rsidP="005D045F">
      <w:pPr>
        <w:spacing w:before="120" w:after="120" w:line="276" w:lineRule="auto"/>
        <w:ind w:firstLine="709"/>
        <w:jc w:val="both"/>
        <w:rPr>
          <w:rFonts w:ascii="Verdana" w:hAnsi="Verdana" w:cs="Arial"/>
          <w:color w:val="000000" w:themeColor="text1"/>
        </w:rPr>
      </w:pPr>
      <w:r w:rsidRPr="00981BF5">
        <w:rPr>
          <w:rFonts w:ascii="Verdana" w:hAnsi="Verdana" w:cs="Arial"/>
          <w:i/>
          <w:iCs/>
          <w:color w:val="000000" w:themeColor="text1"/>
        </w:rPr>
        <w:t>i) Publicación del proyecto de pliego de condiciones</w:t>
      </w:r>
      <w:r w:rsidRPr="00981BF5">
        <w:rPr>
          <w:rFonts w:ascii="Verdana" w:hAnsi="Verdana" w:cs="Arial"/>
          <w:color w:val="000000" w:themeColor="text1"/>
        </w:rPr>
        <w:t xml:space="preserve">. La Ley 1150 de 2007 estableció en el artículo 8 la obligación de las entidades estatales de publicar el proyecto de pliego de condiciones o su documento equivalente, con el propósito de que el público en general pueda presentar las observaciones que estime </w:t>
      </w:r>
      <w:r w:rsidRPr="00981BF5">
        <w:rPr>
          <w:rFonts w:ascii="Verdana" w:hAnsi="Verdana" w:cs="Arial"/>
          <w:color w:val="000000" w:themeColor="text1"/>
        </w:rPr>
        <w:lastRenderedPageBreak/>
        <w:t>pertinentes</w:t>
      </w:r>
      <w:r w:rsidRPr="00981BF5">
        <w:rPr>
          <w:rStyle w:val="Refdenotaalpie"/>
          <w:rFonts w:ascii="Verdana" w:hAnsi="Verdana" w:cs="Arial"/>
          <w:color w:val="000000" w:themeColor="text1"/>
        </w:rPr>
        <w:footnoteReference w:id="13"/>
      </w:r>
      <w:r w:rsidRPr="00981BF5">
        <w:rPr>
          <w:rFonts w:ascii="Verdana" w:hAnsi="Verdana" w:cs="Arial"/>
          <w:color w:val="000000" w:themeColor="text1"/>
        </w:rPr>
        <w:t>. Esa misma disposición consagra la obligación de las entidades estatales de pronunciarse sobre las observaciones presentadas, las cuales deberán motivarse ya sea para acogerlas o para rechazarlas.</w:t>
      </w:r>
    </w:p>
    <w:p w14:paraId="59708326" w14:textId="77777777" w:rsidR="005D045F" w:rsidRPr="00981BF5" w:rsidRDefault="005D045F" w:rsidP="005D045F">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 xml:space="preserve">Por su parte, el inciso 2 del artículo 2.2.1.1.1.7.1 del Decreto 1082 de 2015 precisó que “[…] La Entidad Estatal está obligada a publicar oportunamente el aviso de convocatoria o la invitación en los Procesos de Contratación de mínima cuantía y </w:t>
      </w:r>
      <w:r w:rsidRPr="00981BF5">
        <w:rPr>
          <w:rFonts w:ascii="Verdana" w:hAnsi="Verdana" w:cs="Arial"/>
          <w:i/>
          <w:iCs/>
          <w:color w:val="000000" w:themeColor="text1"/>
        </w:rPr>
        <w:t>el proyecto de pliegos de condiciones</w:t>
      </w:r>
      <w:r w:rsidRPr="00981BF5">
        <w:rPr>
          <w:rFonts w:ascii="Verdana" w:hAnsi="Verdana" w:cs="Arial"/>
          <w:color w:val="000000" w:themeColor="text1"/>
        </w:rPr>
        <w:t xml:space="preserve"> en el SECOP para que los interesados en el Proceso de Contratación puedan presentar observaciones o solicitar aclaraciones en el término previsto para el efecto […]” (Cursiva fuera texto). Respecto al plazo o término para presentar observaciones al proyecto de pliego de condiciones, el artículo 2.2.1.1.2.1.4 </w:t>
      </w:r>
      <w:r w:rsidRPr="00981BF5">
        <w:rPr>
          <w:rFonts w:ascii="Verdana" w:hAnsi="Verdana" w:cs="Arial"/>
          <w:i/>
          <w:iCs/>
          <w:color w:val="000000" w:themeColor="text1"/>
        </w:rPr>
        <w:t xml:space="preserve">ibidem </w:t>
      </w:r>
      <w:r w:rsidRPr="00981BF5">
        <w:rPr>
          <w:rFonts w:ascii="Verdana" w:hAnsi="Verdana" w:cs="Arial"/>
          <w:color w:val="000000" w:themeColor="text1"/>
        </w:rPr>
        <w:t>agrega que “Los interesados pueden hacer comentarios al proyecto de pliegos de condiciones a partir de la fecha de publicación de los mismos: (a) durante un término de diez (10) días hábiles en la licitación pública; y (b) durante un término de cinco (5) días hábiles en la selección abreviada y el concurso de méritos”.</w:t>
      </w:r>
    </w:p>
    <w:p w14:paraId="4C643466" w14:textId="77777777" w:rsidR="005D045F" w:rsidRPr="00981BF5" w:rsidRDefault="005D045F" w:rsidP="005D045F">
      <w:pPr>
        <w:spacing w:before="120" w:after="120" w:line="276" w:lineRule="auto"/>
        <w:ind w:firstLine="709"/>
        <w:jc w:val="both"/>
        <w:rPr>
          <w:rFonts w:ascii="Verdana" w:hAnsi="Verdana" w:cs="Arial"/>
          <w:color w:val="000000" w:themeColor="text1"/>
        </w:rPr>
      </w:pPr>
      <w:r w:rsidRPr="00981BF5">
        <w:rPr>
          <w:rFonts w:ascii="Verdana" w:hAnsi="Verdana" w:cs="Arial"/>
          <w:color w:val="000000" w:themeColor="text1"/>
        </w:rPr>
        <w:t>En relación con la respuesta a las observaciones presentadas al proyecto de pliego de condiciones, el ordenamiento jurídico no contempló un término para tal efecto. Sin embargo, esa circunstancia de ninguna manera implica la inexistencia de un límite, ya que de conformidad con lo establecido en las disposiciones que rigen el procedimiento de contratación, este se realiza por fases o etapas. Así las cosas, si bien no existe un término expreso para responder las observaciones al proyecto de pliego de condiciones, no lo es menos que impera un límite para que la entidad estatal profiera la respuesta a esas observaciones, el cual está determinado por la expedición del acto administrativo de apertura del proceso de selección. Esto significa que antes que la entidad estatal profiera dicho acto administrativo y publique el pliego de condiciones definitivo, deberá responder las observaciones presentadas al proyecto de pliego de condiciones.</w:t>
      </w:r>
    </w:p>
    <w:p w14:paraId="3B3AF8F5" w14:textId="77777777" w:rsidR="005D045F" w:rsidRPr="00981BF5" w:rsidRDefault="005D045F" w:rsidP="005D045F">
      <w:pPr>
        <w:spacing w:before="120" w:after="120" w:line="276" w:lineRule="auto"/>
        <w:ind w:firstLine="709"/>
        <w:jc w:val="both"/>
        <w:rPr>
          <w:rFonts w:ascii="Verdana" w:hAnsi="Verdana" w:cs="Arial"/>
          <w:color w:val="000000" w:themeColor="text1"/>
        </w:rPr>
      </w:pPr>
      <w:proofErr w:type="spellStart"/>
      <w:r w:rsidRPr="00981BF5">
        <w:rPr>
          <w:rFonts w:ascii="Verdana" w:hAnsi="Verdana" w:cs="Arial"/>
          <w:i/>
          <w:iCs/>
          <w:color w:val="000000" w:themeColor="text1"/>
        </w:rPr>
        <w:lastRenderedPageBreak/>
        <w:t>ii</w:t>
      </w:r>
      <w:proofErr w:type="spellEnd"/>
      <w:r w:rsidRPr="00981BF5">
        <w:rPr>
          <w:rFonts w:ascii="Verdana" w:hAnsi="Verdana" w:cs="Arial"/>
          <w:i/>
          <w:iCs/>
          <w:color w:val="000000" w:themeColor="text1"/>
        </w:rPr>
        <w:t>) Apertura del proceso de selección</w:t>
      </w:r>
      <w:r w:rsidRPr="00981BF5">
        <w:rPr>
          <w:rFonts w:ascii="Verdana" w:hAnsi="Verdana" w:cs="Arial"/>
          <w:color w:val="000000" w:themeColor="text1"/>
        </w:rPr>
        <w:t>. Esta fase o etapa inicia con la expedición del acto administrativo de apertura del proceso de selección, momento en el cual se publica el pliego de condiciones de definitivo, documento respecto al cual también pueden presentarse observaciones y/o solicitudes de aclaraciones.</w:t>
      </w:r>
    </w:p>
    <w:p w14:paraId="606DA8EB" w14:textId="77777777" w:rsidR="005D045F" w:rsidRPr="00984D8B" w:rsidRDefault="005D045F" w:rsidP="005D045F">
      <w:pPr>
        <w:spacing w:before="120" w:after="120" w:line="276" w:lineRule="auto"/>
        <w:ind w:firstLine="709"/>
        <w:jc w:val="both"/>
        <w:rPr>
          <w:rStyle w:val="Textoennegrita"/>
          <w:rFonts w:ascii="Verdana" w:hAnsi="Verdana" w:cs="Arial"/>
          <w:b w:val="0"/>
          <w:bCs w:val="0"/>
          <w:color w:val="000000" w:themeColor="text1"/>
        </w:rPr>
      </w:pPr>
      <w:r w:rsidRPr="00981BF5">
        <w:rPr>
          <w:rFonts w:ascii="Verdana" w:hAnsi="Verdana" w:cs="Arial"/>
          <w:color w:val="000000" w:themeColor="text1"/>
        </w:rPr>
        <w:t>El ordenamiento jurídico no estableció un término para la presentación de las observaciones al pliego de condiciones definitivo, salvo en la licitación pública, proceso en el cual a petición o solicitud de parte o de al menos uno de los interesados, dentro de los tres (3) días hábiles siguientes al inicio del término para la presentación de propuestas se realizará una audiencia con el propósito de precisar el contenido y alcance de los pliegos de condiciones</w:t>
      </w:r>
      <w:r w:rsidRPr="00981BF5">
        <w:rPr>
          <w:rStyle w:val="Refdenotaalpie"/>
          <w:rFonts w:ascii="Verdana" w:hAnsi="Verdana" w:cs="Arial"/>
          <w:color w:val="000000" w:themeColor="text1"/>
        </w:rPr>
        <w:footnoteReference w:id="14"/>
      </w:r>
      <w:r w:rsidRPr="00981BF5">
        <w:rPr>
          <w:rFonts w:ascii="Verdana" w:hAnsi="Verdana" w:cs="Arial"/>
          <w:color w:val="000000" w:themeColor="text1"/>
        </w:rPr>
        <w:t xml:space="preserve">. Este asunto, de conformidad el artículo </w:t>
      </w:r>
      <w:r w:rsidRPr="00984D8B">
        <w:rPr>
          <w:rStyle w:val="Textoennegrita"/>
          <w:rFonts w:ascii="Verdana" w:hAnsi="Verdana" w:cs="Arial"/>
          <w:b w:val="0"/>
          <w:bCs w:val="0"/>
          <w:color w:val="000000" w:themeColor="text1"/>
        </w:rPr>
        <w:t xml:space="preserve">2.2.1.2.1.1.2 del Decreto 1082 de 2015, se abordará y resolverá en la audiencia de asignación de riesgos de que trata el artículo 4 de la Ley 1150 de 2007. Por tanto, las observaciones presentadas o solicitudes de aclaraciones realizadas al pliego de condiciones en la audiencia de asignación de riesgos deberán ser resueltas por la entidad estatal en esa misma diligencia.  </w:t>
      </w:r>
    </w:p>
    <w:p w14:paraId="69F61802" w14:textId="77777777" w:rsidR="005D045F" w:rsidRPr="00984D8B" w:rsidRDefault="005D045F" w:rsidP="005D045F">
      <w:pPr>
        <w:spacing w:before="120" w:after="120" w:line="276" w:lineRule="auto"/>
        <w:ind w:firstLine="709"/>
        <w:jc w:val="both"/>
        <w:rPr>
          <w:rStyle w:val="Textoennegrita"/>
          <w:rFonts w:ascii="Verdana" w:hAnsi="Verdana" w:cs="Arial"/>
          <w:b w:val="0"/>
          <w:bCs w:val="0"/>
          <w:color w:val="000000" w:themeColor="text1"/>
        </w:rPr>
      </w:pPr>
      <w:r w:rsidRPr="00984D8B">
        <w:rPr>
          <w:rStyle w:val="Textoennegrita"/>
          <w:rFonts w:ascii="Verdana" w:hAnsi="Verdana" w:cs="Arial"/>
          <w:b w:val="0"/>
          <w:bCs w:val="0"/>
          <w:color w:val="000000" w:themeColor="text1"/>
        </w:rPr>
        <w:t>Pese a lo anterior, es preciso señalar que las entidades estatales con la apertura del proceso de selección están en la obligación de publicar el cronograma del mismo, el cual es definido como el “Documento en el cual la Entidad Estatal establece las fechas, horas y plazos para las actividades propias del Proceso de Contratación y el lugar en el que estas deben llevarse a cabo”</w:t>
      </w:r>
      <w:r w:rsidRPr="00984D8B">
        <w:rPr>
          <w:rStyle w:val="Refdenotaalpie"/>
          <w:rFonts w:ascii="Verdana" w:hAnsi="Verdana" w:cs="Arial"/>
          <w:b/>
          <w:bCs/>
          <w:color w:val="000000" w:themeColor="text1"/>
        </w:rPr>
        <w:footnoteReference w:id="15"/>
      </w:r>
      <w:r w:rsidRPr="00984D8B">
        <w:rPr>
          <w:rStyle w:val="Textoennegrita"/>
          <w:rFonts w:ascii="Verdana" w:hAnsi="Verdana" w:cs="Arial"/>
          <w:b w:val="0"/>
          <w:bCs w:val="0"/>
          <w:color w:val="000000" w:themeColor="text1"/>
        </w:rPr>
        <w:t>. En el cronograma, la entidad estatal debe contemplar un término o plazo para la presentación de observaciones y/o aclaraciones al pliego de condiciones definitivo, al igual que un plazo para responder esas solicitudes, inclusive en el proceso de licitación.</w:t>
      </w:r>
    </w:p>
    <w:p w14:paraId="2104005C" w14:textId="77777777" w:rsidR="005D045F" w:rsidRPr="00984D8B" w:rsidRDefault="005D045F" w:rsidP="005D045F">
      <w:pPr>
        <w:spacing w:before="120" w:after="120" w:line="276" w:lineRule="auto"/>
        <w:ind w:firstLine="709"/>
        <w:jc w:val="both"/>
        <w:rPr>
          <w:rStyle w:val="Textoennegrita"/>
          <w:rFonts w:ascii="Verdana" w:hAnsi="Verdana" w:cs="Arial"/>
          <w:b w:val="0"/>
          <w:bCs w:val="0"/>
          <w:color w:val="000000" w:themeColor="text1"/>
        </w:rPr>
      </w:pPr>
      <w:r w:rsidRPr="00984D8B">
        <w:rPr>
          <w:rStyle w:val="Textoennegrita"/>
          <w:rFonts w:ascii="Verdana" w:hAnsi="Verdana" w:cs="Arial"/>
          <w:b w:val="0"/>
          <w:bCs w:val="0"/>
          <w:color w:val="000000" w:themeColor="text1"/>
        </w:rPr>
        <w:t xml:space="preserve">Ahora bien, en esta fase o etapa del proceso de contratación el ordenamiento jurídico tampoco contempló un término para responder las observaciones y/o solicitudes de aclaraciones; sin embargo, también existe un </w:t>
      </w:r>
      <w:r w:rsidRPr="00984D8B">
        <w:rPr>
          <w:rStyle w:val="Textoennegrita"/>
          <w:rFonts w:ascii="Verdana" w:hAnsi="Verdana" w:cs="Arial"/>
          <w:b w:val="0"/>
          <w:bCs w:val="0"/>
          <w:color w:val="000000" w:themeColor="text1"/>
        </w:rPr>
        <w:lastRenderedPageBreak/>
        <w:t xml:space="preserve">límite para que la entidad estatal pueda pronunciarse sobre esas solicitudes. Así las cosas, el pronunciamiento sobre las observaciones y/o solicitudes de aclaraciones al pliego de condiciones definitivo debe efectuarse antes del vencimiento del plazo establecido en el cronograma para la presentación de las propuestas u ofertas por parte de los interesados. </w:t>
      </w:r>
    </w:p>
    <w:p w14:paraId="318E9806" w14:textId="77777777" w:rsidR="005D045F" w:rsidRPr="00981BF5" w:rsidRDefault="005D045F" w:rsidP="005D045F">
      <w:pPr>
        <w:spacing w:before="120" w:after="120" w:line="276" w:lineRule="auto"/>
        <w:ind w:firstLine="709"/>
        <w:jc w:val="both"/>
        <w:rPr>
          <w:rStyle w:val="Textoennegrita"/>
          <w:rFonts w:ascii="Verdana" w:hAnsi="Verdana" w:cs="Arial"/>
          <w:b w:val="0"/>
          <w:bCs w:val="0"/>
          <w:color w:val="000000" w:themeColor="text1"/>
        </w:rPr>
      </w:pPr>
      <w:r w:rsidRPr="00984D8B">
        <w:rPr>
          <w:rStyle w:val="Textoennegrita"/>
          <w:rFonts w:ascii="Verdana" w:hAnsi="Verdana" w:cs="Arial"/>
          <w:b w:val="0"/>
          <w:bCs w:val="0"/>
          <w:color w:val="000000" w:themeColor="text1"/>
        </w:rPr>
        <w:t>Esto en consideración a que, conforme al numeral 6 del artículo 30 de la Ley 80 de 1993, la propuesta debe ajustarse a todos los puntos determinados en el pliego de condiciones</w:t>
      </w:r>
      <w:r w:rsidRPr="00984D8B">
        <w:rPr>
          <w:rStyle w:val="Refdenotaalpie"/>
          <w:rFonts w:ascii="Verdana" w:hAnsi="Verdana" w:cs="Arial"/>
          <w:color w:val="000000" w:themeColor="text1"/>
        </w:rPr>
        <w:footnoteReference w:id="16"/>
      </w:r>
      <w:r w:rsidRPr="00984D8B">
        <w:rPr>
          <w:rStyle w:val="Textoennegrita"/>
          <w:rFonts w:ascii="Verdana" w:hAnsi="Verdana" w:cs="Arial"/>
          <w:b w:val="0"/>
          <w:bCs w:val="0"/>
          <w:color w:val="000000" w:themeColor="text1"/>
        </w:rPr>
        <w:t xml:space="preserve">. </w:t>
      </w:r>
      <w:r w:rsidRPr="00984D8B">
        <w:rPr>
          <w:rStyle w:val="Textoennegrita"/>
          <w:rFonts w:ascii="Verdana" w:hAnsi="Verdana" w:cs="Arial"/>
          <w:b w:val="0"/>
          <w:bCs w:val="0"/>
          <w:i/>
          <w:iCs/>
          <w:color w:val="000000" w:themeColor="text1"/>
        </w:rPr>
        <w:t>Contrario sensu,</w:t>
      </w:r>
      <w:r w:rsidRPr="00984D8B">
        <w:rPr>
          <w:rStyle w:val="Textoennegrita"/>
          <w:rFonts w:ascii="Verdana" w:hAnsi="Verdana" w:cs="Arial"/>
          <w:b w:val="0"/>
          <w:bCs w:val="0"/>
          <w:color w:val="000000" w:themeColor="text1"/>
        </w:rPr>
        <w:t xml:space="preserve"> si la respuesta a las observaciones y/o solicitudes de aclaraciones al pliego de condiciones definitivo se realiza de forma posterior al vencimiento del término para presentar las propuestas, en el evento que se acoja alguna de esas observaciones y/o solicitudes de aclaraciones, se impedirá la presentación de propuestas que se ajusten al pliego de condiciones, circunstancia esta que atenta contra el principio de transparencia que rige la actividad contractual del Estado.</w:t>
      </w:r>
    </w:p>
    <w:p w14:paraId="466AE669" w14:textId="77777777" w:rsidR="005D045F" w:rsidRPr="00981BF5" w:rsidRDefault="005D045F" w:rsidP="005D045F">
      <w:pPr>
        <w:spacing w:before="120" w:line="276" w:lineRule="auto"/>
        <w:ind w:firstLine="709"/>
        <w:jc w:val="both"/>
        <w:rPr>
          <w:rFonts w:ascii="Verdana" w:hAnsi="Verdana" w:cs="Arial"/>
        </w:rPr>
      </w:pPr>
      <w:r w:rsidRPr="00981BF5">
        <w:rPr>
          <w:rFonts w:ascii="Verdana" w:hAnsi="Verdana" w:cs="Arial"/>
        </w:rPr>
        <w:t xml:space="preserve">De esta manera, las observaciones o aclaraciones que sean presentadas frente al proyecto de pliego de condiciones deberán ser resueltas por la entidad antes de publicar el pliego de condiciones definitivo, lo cual implica que la entidad no podrá seguir adelante con la siguiente etapa del correspondiente proceso de contratación, si antes no se ha pronunciado sobre las observaciones presentadas. Sin perjuicio de lo anterior, es pertinente aclarar que no todas las observaciones o aclaraciones que se presenten en virtud del control ciudadano conllevarán a una modificación del pliego de condiciones. </w:t>
      </w:r>
    </w:p>
    <w:p w14:paraId="0E1627E2" w14:textId="77777777" w:rsidR="005D045F" w:rsidRPr="00981BF5" w:rsidRDefault="005D045F" w:rsidP="005D045F">
      <w:pPr>
        <w:spacing w:before="120" w:line="276" w:lineRule="auto"/>
        <w:ind w:firstLine="709"/>
        <w:jc w:val="both"/>
        <w:rPr>
          <w:rFonts w:ascii="Verdana" w:hAnsi="Verdana" w:cs="Arial"/>
        </w:rPr>
      </w:pPr>
      <w:r w:rsidRPr="00981BF5">
        <w:rPr>
          <w:rFonts w:ascii="Verdana" w:hAnsi="Verdana" w:cs="Arial"/>
        </w:rPr>
        <w:t xml:space="preserve">De otro lado, incluso frente al pliego de condiciones definitivo es posible que se presenten observaciones adicionales, correspondiéndole a la entidad estatal pronunciarse motivadamente frente a cada una de ellas y, de ser el caso, indicar expresamente si con ocasión del análisis de las observaciones es necesario modificar, ajustar o aclarar algún aspecto o condición del pliego. En este evento, la modificación debe realizarse por acto administrativo –adenda–, sin que necesariamente se deba titular o rotular de esta manera, como requisito para que esta produzca efectos. En todo caso, en cada procedimiento de selección deberá dilucidarse cuál es la intención de la entidad estatal al </w:t>
      </w:r>
      <w:r w:rsidRPr="00981BF5">
        <w:rPr>
          <w:rFonts w:ascii="Verdana" w:hAnsi="Verdana" w:cs="Arial"/>
        </w:rPr>
        <w:lastRenderedPageBreak/>
        <w:t>pronunciarse frente a las observaciones recibidas, en el sentido de si mediante su respuesta realizará alguna modificación y en qué consistirá. Lo anterior no obsta para señalar que, en todo caso, para evitar discrepancias lo recomendable frente a las entidades estatales consiste en que el documento se identifique claramente como adenda y se señale de forma precisa qué contenido se modificará del pliego de condiciones.</w:t>
      </w:r>
    </w:p>
    <w:p w14:paraId="0304C57F" w14:textId="77777777" w:rsidR="005D045F" w:rsidRPr="00984D8B" w:rsidRDefault="005D045F" w:rsidP="005D045F">
      <w:pPr>
        <w:spacing w:before="120" w:after="120" w:line="276" w:lineRule="auto"/>
        <w:ind w:firstLine="709"/>
        <w:jc w:val="both"/>
        <w:rPr>
          <w:rStyle w:val="Textoennegrita"/>
          <w:rFonts w:ascii="Verdana" w:hAnsi="Verdana" w:cs="Arial"/>
          <w:b w:val="0"/>
          <w:bCs w:val="0"/>
          <w:color w:val="000000" w:themeColor="text1"/>
        </w:rPr>
      </w:pPr>
      <w:proofErr w:type="spellStart"/>
      <w:r w:rsidRPr="00984D8B">
        <w:rPr>
          <w:rStyle w:val="Textoennegrita"/>
          <w:rFonts w:ascii="Verdana" w:hAnsi="Verdana" w:cs="Arial"/>
          <w:b w:val="0"/>
          <w:bCs w:val="0"/>
          <w:i/>
          <w:iCs/>
          <w:color w:val="000000" w:themeColor="text1"/>
        </w:rPr>
        <w:t>iii</w:t>
      </w:r>
      <w:proofErr w:type="spellEnd"/>
      <w:r w:rsidRPr="00984D8B">
        <w:rPr>
          <w:rStyle w:val="Textoennegrita"/>
          <w:rFonts w:ascii="Verdana" w:hAnsi="Verdana" w:cs="Arial"/>
          <w:b w:val="0"/>
          <w:bCs w:val="0"/>
          <w:i/>
          <w:iCs/>
          <w:color w:val="000000" w:themeColor="text1"/>
        </w:rPr>
        <w:t>) Informes de evaluación</w:t>
      </w:r>
      <w:r w:rsidRPr="00984D8B">
        <w:rPr>
          <w:rStyle w:val="Textoennegrita"/>
          <w:rFonts w:ascii="Verdana" w:hAnsi="Verdana" w:cs="Arial"/>
          <w:b w:val="0"/>
          <w:bCs w:val="0"/>
          <w:color w:val="000000" w:themeColor="text1"/>
        </w:rPr>
        <w:t>. El informe de evaluación de las propuestas en los procesos de licitación pública debe permanecer en la Secretaría General de la entidad estatal contratante por el un término de cinco (5) días hábiles</w:t>
      </w:r>
      <w:r w:rsidRPr="00984D8B">
        <w:rPr>
          <w:rStyle w:val="Refdenotaalpie"/>
          <w:rFonts w:ascii="Verdana" w:hAnsi="Verdana" w:cs="Arial"/>
          <w:b/>
          <w:bCs/>
          <w:color w:val="000000" w:themeColor="text1"/>
        </w:rPr>
        <w:footnoteReference w:id="17"/>
      </w:r>
      <w:r w:rsidRPr="00984D8B">
        <w:rPr>
          <w:rStyle w:val="Textoennegrita"/>
          <w:rFonts w:ascii="Verdana" w:hAnsi="Verdana" w:cs="Arial"/>
          <w:b w:val="0"/>
          <w:bCs w:val="0"/>
          <w:color w:val="000000" w:themeColor="text1"/>
        </w:rPr>
        <w:t>. En los procesos de selección de concurso de méritos y de selección abreviada de menor cuantía, las entidades estatales están en la obligación de publicar el informe de evaluación por un término de tres (3) días hábiles, mientras que en los procesos de selección de mínima cuantía ese informe de evaluación deberá publicarse al menos por el término de un (1) día hábil</w:t>
      </w:r>
      <w:r w:rsidRPr="00984D8B">
        <w:rPr>
          <w:rStyle w:val="Refdenotaalpie"/>
          <w:rFonts w:ascii="Verdana" w:hAnsi="Verdana" w:cs="Arial"/>
          <w:b/>
          <w:bCs/>
          <w:color w:val="000000" w:themeColor="text1"/>
        </w:rPr>
        <w:footnoteReference w:id="18"/>
      </w:r>
      <w:r w:rsidRPr="00984D8B">
        <w:rPr>
          <w:rStyle w:val="Textoennegrita"/>
          <w:rFonts w:ascii="Verdana" w:hAnsi="Verdana" w:cs="Arial"/>
          <w:b w:val="0"/>
          <w:bCs w:val="0"/>
          <w:color w:val="000000" w:themeColor="text1"/>
        </w:rPr>
        <w:t>.</w:t>
      </w:r>
    </w:p>
    <w:p w14:paraId="69195C0C" w14:textId="77777777" w:rsidR="005D045F" w:rsidRPr="00984D8B" w:rsidRDefault="005D045F" w:rsidP="005D045F">
      <w:pPr>
        <w:spacing w:before="120" w:after="120" w:line="276" w:lineRule="auto"/>
        <w:ind w:firstLine="709"/>
        <w:jc w:val="both"/>
        <w:rPr>
          <w:rStyle w:val="Textoennegrita"/>
          <w:rFonts w:ascii="Verdana" w:hAnsi="Verdana" w:cs="Arial"/>
          <w:b w:val="0"/>
          <w:bCs w:val="0"/>
          <w:color w:val="000000" w:themeColor="text1"/>
        </w:rPr>
      </w:pPr>
      <w:r w:rsidRPr="00984D8B">
        <w:rPr>
          <w:rStyle w:val="Textoennegrita"/>
          <w:rFonts w:ascii="Verdana" w:hAnsi="Verdana" w:cs="Arial"/>
          <w:b w:val="0"/>
          <w:bCs w:val="0"/>
          <w:color w:val="000000" w:themeColor="text1"/>
        </w:rPr>
        <w:t xml:space="preserve">El propósito de la publicidad del informe de evaluación de las propuestas en cada uno de los procesos de selección citados es que los oferentes puedan realizar las observaciones que a su juicio consideren pertinentes. No obstante, el ordenamiento jurídico no contempló de manera expresa un término para que </w:t>
      </w:r>
      <w:r w:rsidRPr="00984D8B">
        <w:rPr>
          <w:rStyle w:val="Textoennegrita"/>
          <w:rFonts w:ascii="Verdana" w:hAnsi="Verdana" w:cs="Arial"/>
          <w:b w:val="0"/>
          <w:bCs w:val="0"/>
          <w:color w:val="000000" w:themeColor="text1"/>
        </w:rPr>
        <w:lastRenderedPageBreak/>
        <w:t xml:space="preserve">las entidades estatales se pronuncien sobre las observaciones presentadas al informe de evaluación. Sin embargo, existe un momento límite para responder esas observaciones, el cual está determinado por el acto de adjudicación del respectivo contrato. Es decir, la entidad estatal contratante está en la obligación de responder las observaciones presentadas al informe de evaluación de las propuestas como condición previa para la expedición del acto de adjudicación. </w:t>
      </w:r>
    </w:p>
    <w:p w14:paraId="0CED1A12" w14:textId="77777777" w:rsidR="005D045F" w:rsidRPr="00981BF5" w:rsidRDefault="005D045F" w:rsidP="005D045F">
      <w:pPr>
        <w:spacing w:before="120" w:after="120" w:line="276" w:lineRule="auto"/>
        <w:ind w:firstLine="709"/>
        <w:jc w:val="both"/>
        <w:rPr>
          <w:rFonts w:ascii="Verdana" w:hAnsi="Verdana" w:cs="Arial"/>
          <w:color w:val="000000" w:themeColor="text1"/>
        </w:rPr>
      </w:pPr>
      <w:r w:rsidRPr="00984D8B">
        <w:rPr>
          <w:rStyle w:val="Textoennegrita"/>
          <w:rFonts w:ascii="Verdana" w:hAnsi="Verdana" w:cs="Arial"/>
          <w:b w:val="0"/>
          <w:bCs w:val="0"/>
          <w:color w:val="000000" w:themeColor="text1"/>
        </w:rPr>
        <w:t>Es de resaltar que, en los procesos de licitación, la respuesta a las observaciones presentadas al informe de evaluación deberá efectuarse antes de la realización de la audiencia de adjudicación, puesto que en esta “[…]</w:t>
      </w:r>
      <w:r w:rsidRPr="00981BF5">
        <w:rPr>
          <w:rStyle w:val="Textoennegrita"/>
          <w:rFonts w:ascii="Verdana" w:hAnsi="Verdana" w:cs="Arial"/>
          <w:color w:val="000000" w:themeColor="text1"/>
        </w:rPr>
        <w:t xml:space="preserve"> </w:t>
      </w:r>
      <w:r w:rsidRPr="00981BF5">
        <w:rPr>
          <w:rFonts w:ascii="Verdana" w:hAnsi="Verdana" w:cs="Arial"/>
          <w:color w:val="000000" w:themeColor="text1"/>
        </w:rPr>
        <w:t>los oferentes pueden pronunciarse sobre las respuestas dadas por la Entidad Estatal a las observaciones presentadas respecto del informe de evaluación”</w:t>
      </w:r>
      <w:r w:rsidRPr="00981BF5">
        <w:rPr>
          <w:rStyle w:val="Refdenotaalpie"/>
          <w:rFonts w:ascii="Verdana" w:hAnsi="Verdana" w:cs="Arial"/>
          <w:color w:val="000000" w:themeColor="text1"/>
        </w:rPr>
        <w:footnoteReference w:id="19"/>
      </w:r>
      <w:r w:rsidRPr="00981BF5">
        <w:rPr>
          <w:rFonts w:ascii="Verdana" w:hAnsi="Verdana" w:cs="Arial"/>
          <w:color w:val="000000" w:themeColor="text1"/>
        </w:rPr>
        <w:t>.</w:t>
      </w:r>
    </w:p>
    <w:p w14:paraId="7F0DE99F" w14:textId="77777777" w:rsidR="005D045F" w:rsidRDefault="005D045F" w:rsidP="005D045F">
      <w:pPr>
        <w:spacing w:before="120" w:after="0" w:line="276" w:lineRule="auto"/>
        <w:ind w:firstLine="709"/>
        <w:jc w:val="both"/>
        <w:rPr>
          <w:rFonts w:ascii="Verdana" w:hAnsi="Verdana" w:cs="Arial"/>
          <w:color w:val="000000" w:themeColor="text1"/>
        </w:rPr>
      </w:pPr>
      <w:r w:rsidRPr="00981BF5">
        <w:rPr>
          <w:rFonts w:ascii="Verdana" w:hAnsi="Verdana" w:cs="Arial"/>
          <w:color w:val="000000" w:themeColor="text1"/>
        </w:rPr>
        <w:t>Así, en relación con los términos con que cuentan las entidades estatales para responder las observaciones y/o solicitudes de aclaraciones en las distintas etapas o fases del proceso de contratación, se precisa que el ordenamiento jurídico no contempló de manera expresa dichos plazos. Estos se encuentran establecidos de forma tácita, en tanto que, no es posible avanzar en las fases o etapas del proceso de contratación, si la entidad estatal, previamente, no ha resuelto las observaciones presentadas y/o solicitudes de aclaraciones realizadas en cada una de las etapas analizadas.</w:t>
      </w:r>
    </w:p>
    <w:p w14:paraId="53C864BC" w14:textId="77777777" w:rsidR="005D045F" w:rsidRPr="00981BF5" w:rsidRDefault="005D045F" w:rsidP="005D045F">
      <w:pPr>
        <w:spacing w:after="0" w:line="276" w:lineRule="auto"/>
        <w:ind w:firstLine="709"/>
        <w:jc w:val="both"/>
        <w:rPr>
          <w:rFonts w:ascii="Verdana" w:hAnsi="Verdana" w:cs="Arial"/>
          <w:color w:val="000000" w:themeColor="text1"/>
        </w:rPr>
      </w:pPr>
    </w:p>
    <w:p w14:paraId="49CD5065" w14:textId="77777777" w:rsidR="005D045F" w:rsidRDefault="005D045F" w:rsidP="005D045F">
      <w:pPr>
        <w:spacing w:after="120" w:line="276" w:lineRule="auto"/>
        <w:jc w:val="both"/>
        <w:rPr>
          <w:rFonts w:ascii="Verdana" w:hAnsi="Verdana" w:cs="Arial"/>
          <w:color w:val="000000" w:themeColor="text1"/>
        </w:rPr>
      </w:pPr>
      <w:proofErr w:type="spellStart"/>
      <w:r>
        <w:rPr>
          <w:rFonts w:ascii="Verdana" w:hAnsi="Verdana" w:cs="Arial"/>
          <w:color w:val="000000" w:themeColor="text1"/>
        </w:rPr>
        <w:t>iii</w:t>
      </w:r>
      <w:proofErr w:type="spellEnd"/>
      <w:r>
        <w:rPr>
          <w:rFonts w:ascii="Verdana" w:hAnsi="Verdana" w:cs="Arial"/>
          <w:color w:val="000000" w:themeColor="text1"/>
        </w:rPr>
        <w:t xml:space="preserve">. </w:t>
      </w:r>
      <w:r w:rsidRPr="00981BF5">
        <w:rPr>
          <w:rFonts w:ascii="Verdana" w:hAnsi="Verdana" w:cs="Arial"/>
          <w:color w:val="000000" w:themeColor="text1"/>
        </w:rPr>
        <w:t xml:space="preserve">Respecto a la formulación de observaciones por parte de los interesados, estas se sujetan al principio de economía. De acuerdo con el numeral 1 del artículo 25 de la Ley 80 de 1993, “En las normas de selección y en los pliegos de condiciones para la escogencia de contratistas, se cumplirán y establecerán los procedimientos y etapas estrictamente necesarios para asegurar la selección objetiva de la propuesta más favorable. </w:t>
      </w:r>
      <w:r w:rsidRPr="0096370A">
        <w:rPr>
          <w:rFonts w:ascii="Verdana" w:hAnsi="Verdana" w:cs="Arial"/>
          <w:color w:val="000000" w:themeColor="text1"/>
        </w:rPr>
        <w:t>Para este propósito, se señalarán términos preclusivos y perentorios para las diferentes etapas de la selección y las autoridades darán impulso oficioso a las actuaciones</w:t>
      </w:r>
      <w:r w:rsidRPr="00981BF5">
        <w:rPr>
          <w:rFonts w:ascii="Verdana" w:hAnsi="Verdana" w:cs="Arial"/>
          <w:color w:val="000000" w:themeColor="text1"/>
        </w:rPr>
        <w:t>”</w:t>
      </w:r>
      <w:r>
        <w:rPr>
          <w:rFonts w:ascii="Verdana" w:hAnsi="Verdana" w:cs="Arial"/>
          <w:color w:val="000000" w:themeColor="text1"/>
        </w:rPr>
        <w:t xml:space="preserve">. </w:t>
      </w:r>
    </w:p>
    <w:p w14:paraId="64921332" w14:textId="77777777" w:rsidR="005D045F" w:rsidRDefault="005D045F" w:rsidP="005D045F">
      <w:pPr>
        <w:spacing w:after="0" w:line="276" w:lineRule="auto"/>
        <w:ind w:firstLine="708"/>
        <w:jc w:val="both"/>
        <w:rPr>
          <w:rFonts w:ascii="Verdana" w:eastAsia="Calibri" w:hAnsi="Verdana" w:cs="Arial"/>
          <w:bCs/>
          <w:lang w:val="es-MX" w:eastAsia="es-ES_tradnl"/>
        </w:rPr>
      </w:pPr>
      <w:r w:rsidRPr="000B43B3">
        <w:rPr>
          <w:rFonts w:ascii="Verdana" w:eastAsia="Calibri" w:hAnsi="Verdana" w:cs="Arial"/>
          <w:color w:val="000000" w:themeColor="text1"/>
        </w:rPr>
        <w:lastRenderedPageBreak/>
        <w:t>De esta manera, la adquisición de bienes y servicios por parte del Estado debe gestionarse, por un lado, dentro de las etapas del proceso contractual, lo cual variará dependiendo de la modalidad de selección de contratistas y, en cierta medida, del objeto del contrato a suscribir, y, por el otro, dentro de los términos establecidos para cada una de esas etapas, bien por la ley, el reglamento o el definido por la entidad contratante.</w:t>
      </w:r>
      <w:r>
        <w:rPr>
          <w:rFonts w:ascii="Verdana" w:eastAsia="Calibri" w:hAnsi="Verdana" w:cs="Arial"/>
          <w:color w:val="000000" w:themeColor="text1"/>
        </w:rPr>
        <w:t xml:space="preserve"> Ello guarda conformidad con los artículos 84 y 150 de la Constitución Política de 1991, </w:t>
      </w:r>
      <w:r>
        <w:rPr>
          <w:rFonts w:ascii="Verdana" w:eastAsia="Calibri" w:hAnsi="Verdana" w:cs="Arial"/>
          <w:bCs/>
          <w:lang w:val="es-MX" w:eastAsia="es-ES_tradnl"/>
        </w:rPr>
        <w:t xml:space="preserve">pues la competencia del Congreso de la República para la expedición del Estatuto General de Contratación de la Administración Pública se encuentra limitada por la imposibilidad de establecer </w:t>
      </w:r>
      <w:r w:rsidRPr="00B942B1">
        <w:rPr>
          <w:rFonts w:ascii="Verdana" w:eastAsia="Calibri" w:hAnsi="Verdana" w:cs="Arial"/>
          <w:bCs/>
          <w:lang w:val="es-MX" w:eastAsia="es-ES_tradnl"/>
        </w:rPr>
        <w:t>permisos, licencias o requisitos adicionales</w:t>
      </w:r>
      <w:r>
        <w:rPr>
          <w:rFonts w:ascii="Verdana" w:eastAsia="Calibri" w:hAnsi="Verdana" w:cs="Arial"/>
          <w:bCs/>
          <w:lang w:val="es-MX" w:eastAsia="es-ES_tradnl"/>
        </w:rPr>
        <w:t xml:space="preserve"> cuando u</w:t>
      </w:r>
      <w:r w:rsidRPr="00B942B1">
        <w:rPr>
          <w:rFonts w:ascii="Verdana" w:eastAsia="Calibri" w:hAnsi="Verdana" w:cs="Arial"/>
          <w:bCs/>
          <w:lang w:val="es-MX" w:eastAsia="es-ES_tradnl"/>
        </w:rPr>
        <w:t xml:space="preserve">na actividad </w:t>
      </w:r>
      <w:r>
        <w:rPr>
          <w:rFonts w:ascii="Verdana" w:eastAsia="Calibri" w:hAnsi="Verdana" w:cs="Arial"/>
          <w:bCs/>
          <w:lang w:val="es-MX" w:eastAsia="es-ES_tradnl"/>
        </w:rPr>
        <w:t>sea reglamentada</w:t>
      </w:r>
      <w:r w:rsidRPr="00B942B1">
        <w:rPr>
          <w:rFonts w:ascii="Verdana" w:eastAsia="Calibri" w:hAnsi="Verdana" w:cs="Arial"/>
          <w:bCs/>
          <w:lang w:val="es-MX" w:eastAsia="es-ES_tradnl"/>
        </w:rPr>
        <w:t xml:space="preserve"> de manera general</w:t>
      </w:r>
      <w:r>
        <w:rPr>
          <w:rFonts w:ascii="Verdana" w:eastAsia="Calibri" w:hAnsi="Verdana" w:cs="Arial"/>
          <w:bCs/>
          <w:lang w:val="es-MX" w:eastAsia="es-ES_tradnl"/>
        </w:rPr>
        <w:t>:</w:t>
      </w:r>
    </w:p>
    <w:p w14:paraId="52F76391" w14:textId="77777777" w:rsidR="005D045F" w:rsidRDefault="005D045F" w:rsidP="005D045F">
      <w:pPr>
        <w:spacing w:after="0" w:line="276" w:lineRule="auto"/>
        <w:jc w:val="both"/>
        <w:rPr>
          <w:rFonts w:ascii="Verdana" w:eastAsia="Calibri" w:hAnsi="Verdana" w:cs="Arial"/>
          <w:bCs/>
          <w:lang w:val="es-MX" w:eastAsia="es-ES_tradnl"/>
        </w:rPr>
      </w:pPr>
    </w:p>
    <w:p w14:paraId="77B39BEC" w14:textId="77777777" w:rsidR="005D045F" w:rsidRPr="0026301A" w:rsidRDefault="005D045F" w:rsidP="005D045F">
      <w:pPr>
        <w:spacing w:after="0" w:line="240" w:lineRule="auto"/>
        <w:ind w:left="709" w:right="709"/>
        <w:jc w:val="both"/>
        <w:rPr>
          <w:rFonts w:ascii="Verdana" w:eastAsia="Calibri" w:hAnsi="Verdana" w:cs="Arial"/>
          <w:bCs/>
          <w:sz w:val="20"/>
          <w:szCs w:val="20"/>
          <w:lang w:val="es-MX" w:eastAsia="es-ES_tradnl"/>
        </w:rPr>
      </w:pPr>
      <w:r w:rsidRPr="0026301A">
        <w:rPr>
          <w:rFonts w:ascii="Verdana" w:eastAsia="Calibri" w:hAnsi="Verdana" w:cs="Arial"/>
          <w:bCs/>
          <w:sz w:val="20"/>
          <w:szCs w:val="20"/>
          <w:lang w:val="es-MX" w:eastAsia="es-ES_tradnl"/>
        </w:rPr>
        <w:t>“[…] La norma establece una reserva de ley para el establecimiento de exigencias para el ejercicio de los derechos, de manera que sólo el Congreso o el ejecutivo -cuando tenga la facultad de expedir normas generales- pueden hacerlo. En consecuencia los reglamentos internos de las entidades del Estado que prevean requisitos adicionales a los contemplados por la regulación general y las actuaciones en que se exijan, son inconstitucionales […]”</w:t>
      </w:r>
      <w:r w:rsidRPr="0026301A">
        <w:rPr>
          <w:rStyle w:val="Refdenotaalpie"/>
          <w:rFonts w:ascii="Verdana" w:eastAsia="Calibri" w:hAnsi="Verdana" w:cs="Arial"/>
          <w:bCs/>
          <w:sz w:val="20"/>
          <w:szCs w:val="20"/>
          <w:lang w:val="es-MX" w:eastAsia="es-ES_tradnl"/>
        </w:rPr>
        <w:footnoteReference w:id="20"/>
      </w:r>
      <w:r w:rsidRPr="0026301A">
        <w:rPr>
          <w:rFonts w:ascii="Verdana" w:eastAsia="Calibri" w:hAnsi="Verdana" w:cs="Arial"/>
          <w:bCs/>
          <w:sz w:val="20"/>
          <w:szCs w:val="20"/>
          <w:lang w:val="es-MX" w:eastAsia="es-ES_tradnl"/>
        </w:rPr>
        <w:t>.</w:t>
      </w:r>
    </w:p>
    <w:p w14:paraId="40719C4E" w14:textId="77777777" w:rsidR="005D045F" w:rsidRDefault="005D045F" w:rsidP="005D045F">
      <w:pPr>
        <w:spacing w:after="0" w:line="276" w:lineRule="auto"/>
        <w:ind w:firstLine="709"/>
        <w:jc w:val="both"/>
        <w:rPr>
          <w:rFonts w:ascii="Verdana" w:eastAsia="Calibri" w:hAnsi="Verdana" w:cs="Arial"/>
          <w:color w:val="000000" w:themeColor="text1"/>
        </w:rPr>
      </w:pPr>
    </w:p>
    <w:p w14:paraId="618621A5" w14:textId="77777777" w:rsidR="005D045F" w:rsidRDefault="005D045F" w:rsidP="005D045F">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Para efectos del tema objeto de consulta, los interesados pueden hacer comentarios en la diferentes etapas del proceso, porque el artículo 24.2 del EGCAP garantiza que “[…] </w:t>
      </w:r>
      <w:r w:rsidRPr="00796806">
        <w:rPr>
          <w:rFonts w:ascii="Verdana" w:eastAsia="Calibri" w:hAnsi="Verdana" w:cs="Arial"/>
          <w:color w:val="000000" w:themeColor="text1"/>
        </w:rPr>
        <w:t>tendrán oportunidad de conocer y controvertir los informes, conceptos y decisiones que se rindan o adopten, para lo cual se establecerán etapas que permitan el conocimiento de dichas actuaciones y otorguen la posibilidad de expresar observaciones</w:t>
      </w:r>
      <w:r>
        <w:rPr>
          <w:rFonts w:ascii="Verdana" w:eastAsia="Calibri" w:hAnsi="Verdana" w:cs="Arial"/>
          <w:color w:val="000000" w:themeColor="text1"/>
        </w:rPr>
        <w:t xml:space="preserve">”. Es decir, en congruencia con el principio de economía, la posibilidad de formularlas hace parte de los “[…] </w:t>
      </w:r>
      <w:r w:rsidRPr="00796806">
        <w:rPr>
          <w:rFonts w:ascii="Verdana" w:eastAsia="Calibri" w:hAnsi="Verdana" w:cs="Arial"/>
          <w:color w:val="000000" w:themeColor="text1"/>
        </w:rPr>
        <w:t>procedimientos y etapas estrictamente necesarios para asegurar la selección objetiva de la propuesta más favorable</w:t>
      </w:r>
      <w:r>
        <w:rPr>
          <w:rFonts w:ascii="Verdana" w:eastAsia="Calibri" w:hAnsi="Verdana" w:cs="Arial"/>
          <w:color w:val="000000" w:themeColor="text1"/>
        </w:rPr>
        <w:t xml:space="preserve"> […]”. Por ello, la prohibición de establecer trámites adicionales n</w:t>
      </w:r>
      <w:r w:rsidRPr="007B34EE">
        <w:rPr>
          <w:rFonts w:ascii="Verdana" w:eastAsia="Calibri" w:hAnsi="Verdana" w:cs="Arial"/>
          <w:color w:val="000000" w:themeColor="text1"/>
        </w:rPr>
        <w:t>o abarca eventos en que el proceso de selección requiere adecuarse a una norma legal</w:t>
      </w:r>
      <w:r>
        <w:rPr>
          <w:rStyle w:val="Refdenotaalpie"/>
          <w:rFonts w:ascii="Verdana" w:eastAsia="Calibri" w:hAnsi="Verdana" w:cs="Arial"/>
          <w:color w:val="000000" w:themeColor="text1"/>
        </w:rPr>
        <w:footnoteReference w:id="21"/>
      </w:r>
      <w:r>
        <w:rPr>
          <w:rFonts w:ascii="Verdana" w:eastAsia="Calibri" w:hAnsi="Verdana" w:cs="Arial"/>
          <w:color w:val="000000" w:themeColor="text1"/>
        </w:rPr>
        <w:t>.</w:t>
      </w:r>
    </w:p>
    <w:p w14:paraId="71C59174" w14:textId="77777777" w:rsidR="005D045F" w:rsidRDefault="005D045F" w:rsidP="005D045F">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Dichos preceptos se desarrollan en la mínima cuantía. Conforme al artículo </w:t>
      </w:r>
      <w:r w:rsidRPr="00B77F7C">
        <w:rPr>
          <w:rFonts w:ascii="Verdana" w:eastAsia="Calibri" w:hAnsi="Verdana" w:cs="Arial"/>
          <w:color w:val="000000" w:themeColor="text1"/>
        </w:rPr>
        <w:t>2.2.1.2.1.5.2</w:t>
      </w:r>
      <w:r>
        <w:rPr>
          <w:rFonts w:ascii="Verdana" w:eastAsia="Calibri" w:hAnsi="Verdana" w:cs="Arial"/>
          <w:color w:val="000000" w:themeColor="text1"/>
        </w:rPr>
        <w:t xml:space="preserve"> del Decreto 1082 de 2015, “</w:t>
      </w:r>
      <w:r w:rsidRPr="00B77F7C">
        <w:rPr>
          <w:rFonts w:ascii="Verdana" w:eastAsia="Calibri" w:hAnsi="Verdana" w:cs="Arial"/>
          <w:color w:val="000000" w:themeColor="text1"/>
        </w:rPr>
        <w:t xml:space="preserve">La invitación se publicará por un </w:t>
      </w:r>
      <w:r w:rsidRPr="00B77F7C">
        <w:rPr>
          <w:rFonts w:ascii="Verdana" w:eastAsia="Calibri" w:hAnsi="Verdana" w:cs="Arial"/>
          <w:color w:val="000000" w:themeColor="text1"/>
        </w:rPr>
        <w:lastRenderedPageBreak/>
        <w:t>término no inferior a un (1) día hábil para que los interesados se informen de su contenido y formulen observaciones o comentarios, los cuales serán contestados por la Entidad Estatal antes del inicio del plazo para presentar ofertas</w:t>
      </w:r>
      <w:r>
        <w:rPr>
          <w:rFonts w:ascii="Verdana" w:eastAsia="Calibri" w:hAnsi="Verdana" w:cs="Arial"/>
          <w:color w:val="000000" w:themeColor="text1"/>
        </w:rPr>
        <w:t xml:space="preserve"> […]” –numeral 3–. Asimismo, “</w:t>
      </w:r>
      <w:r w:rsidRPr="00B77F7C">
        <w:rPr>
          <w:rFonts w:ascii="Verdana" w:eastAsia="Calibri" w:hAnsi="Verdana" w:cs="Arial"/>
          <w:color w:val="000000" w:themeColor="text1"/>
        </w:rPr>
        <w:t>La Entidad Estatal incluirá un cronograma en la invitación que deberá tener en cuenta</w:t>
      </w:r>
      <w:r>
        <w:rPr>
          <w:rFonts w:ascii="Verdana" w:eastAsia="Calibri" w:hAnsi="Verdana" w:cs="Arial"/>
          <w:color w:val="000000" w:themeColor="text1"/>
        </w:rPr>
        <w:t xml:space="preserve"> […] </w:t>
      </w:r>
      <w:r w:rsidRPr="00B77F7C">
        <w:rPr>
          <w:rFonts w:ascii="Verdana" w:eastAsia="Calibri" w:hAnsi="Verdana" w:cs="Arial"/>
          <w:color w:val="000000" w:themeColor="text1"/>
        </w:rPr>
        <w:t>El término hasta el cual podrá expedir adendas para modificar la invitación, el cual, en todo caso, tendrá como límite un día hábil antes a la fecha y hora prevista para la presentación de ofertas de que trata el último plazo de este numeral</w:t>
      </w:r>
      <w:r>
        <w:rPr>
          <w:rFonts w:ascii="Verdana" w:eastAsia="Calibri" w:hAnsi="Verdana" w:cs="Arial"/>
          <w:color w:val="000000" w:themeColor="text1"/>
        </w:rPr>
        <w:t xml:space="preserve"> […]” –numeral 4–. Finalmente, “</w:t>
      </w:r>
      <w:r w:rsidRPr="00B77F7C">
        <w:rPr>
          <w:rFonts w:ascii="Verdana" w:eastAsia="Calibri" w:hAnsi="Verdana" w:cs="Arial"/>
          <w:color w:val="000000" w:themeColor="text1"/>
        </w:rPr>
        <w:t>La Entidad Estatal debe publicar el informe de evaluación durante mínimo un (1) día hábil, para que durante este término los oferentes presenten las observaciones que deberán ser respondidas por la Entidad Estatal antes de realizar la aceptación de la oferta seleccionada</w:t>
      </w:r>
      <w:r>
        <w:rPr>
          <w:rFonts w:ascii="Verdana" w:eastAsia="Calibri" w:hAnsi="Verdana" w:cs="Arial"/>
          <w:color w:val="000000" w:themeColor="text1"/>
        </w:rPr>
        <w:t>” –numeral 6–</w:t>
      </w:r>
      <w:r w:rsidRPr="00B77F7C">
        <w:rPr>
          <w:rFonts w:ascii="Verdana" w:eastAsia="Calibri" w:hAnsi="Verdana" w:cs="Arial"/>
          <w:color w:val="000000" w:themeColor="text1"/>
        </w:rPr>
        <w:t>.</w:t>
      </w:r>
    </w:p>
    <w:p w14:paraId="4369F92A" w14:textId="77777777" w:rsidR="005D045F" w:rsidRDefault="005D045F" w:rsidP="005D045F">
      <w:pPr>
        <w:spacing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En los tres (3) escenarios planteados, la formulación de la observaciones supone la vigencia del principio de trasparencia en el proceso de contratación. No en vano, el artículo 24.4 de la Ley 80 de 1993 indica que “</w:t>
      </w:r>
      <w:r w:rsidRPr="006D29DB">
        <w:rPr>
          <w:rFonts w:ascii="Verdana" w:eastAsia="Calibri" w:hAnsi="Verdana" w:cs="Arial"/>
          <w:color w:val="000000" w:themeColor="text1"/>
        </w:rPr>
        <w:t>Las actuaciones de las autoridades serán públicas y los expedientes que las contengan estarán abiertos al público</w:t>
      </w:r>
      <w:r>
        <w:rPr>
          <w:rFonts w:ascii="Verdana" w:eastAsia="Calibri" w:hAnsi="Verdana" w:cs="Arial"/>
          <w:color w:val="000000" w:themeColor="text1"/>
        </w:rPr>
        <w:t xml:space="preserve"> […]”. Incluso, del numeral 4 del artículo </w:t>
      </w:r>
      <w:r w:rsidRPr="00B77F7C">
        <w:rPr>
          <w:rFonts w:ascii="Verdana" w:eastAsia="Calibri" w:hAnsi="Verdana" w:cs="Arial"/>
          <w:color w:val="000000" w:themeColor="text1"/>
        </w:rPr>
        <w:t>2.2.1.2.1.5.2</w:t>
      </w:r>
      <w:r>
        <w:rPr>
          <w:rFonts w:ascii="Verdana" w:eastAsia="Calibri" w:hAnsi="Verdana" w:cs="Arial"/>
          <w:color w:val="000000" w:themeColor="text1"/>
        </w:rPr>
        <w:t xml:space="preserve"> del Decreto 1082 de 2015 no se desprende la posibilidad de variar la invitación el mismo día en que deben allegarse las propuestas, pues el término para expedir adendas “[…] </w:t>
      </w:r>
      <w:r w:rsidRPr="00D84AF9">
        <w:rPr>
          <w:rFonts w:ascii="Verdana" w:eastAsia="Calibri" w:hAnsi="Verdana" w:cs="Arial"/>
          <w:color w:val="000000" w:themeColor="text1"/>
        </w:rPr>
        <w:t>tendrá como límite un día hábil antes a la fecha y hora prevista para la presentación de ofertas</w:t>
      </w:r>
      <w:r>
        <w:rPr>
          <w:rFonts w:ascii="Verdana" w:eastAsia="Calibri" w:hAnsi="Verdana" w:cs="Arial"/>
          <w:color w:val="000000" w:themeColor="text1"/>
        </w:rPr>
        <w:t xml:space="preserve"> […]”. Dado que existe sustento jurídico para la presentación del observaciones a los pliegos definitivos o sus equivalentes en las diferentes modalidades de selección, se mantendrá la línea trazada en los conceptos de la Agencia. </w:t>
      </w:r>
    </w:p>
    <w:p w14:paraId="53889AFF" w14:textId="77777777" w:rsidR="005D045F" w:rsidRDefault="005D045F" w:rsidP="005D045F">
      <w:pPr>
        <w:spacing w:after="0" w:line="276" w:lineRule="auto"/>
        <w:ind w:firstLine="709"/>
        <w:jc w:val="both"/>
        <w:rPr>
          <w:rFonts w:ascii="Verdana" w:eastAsia="Arial" w:hAnsi="Verdana" w:cs="Arial"/>
          <w:color w:val="000000"/>
        </w:rPr>
      </w:pPr>
      <w:r>
        <w:rPr>
          <w:rFonts w:ascii="Verdana" w:eastAsia="Calibri" w:hAnsi="Verdana" w:cs="Arial"/>
          <w:color w:val="000000" w:themeColor="text1"/>
        </w:rPr>
        <w:t xml:space="preserve">Finalmente, conforme al artículo 13 de la Ley 1437 de 2011, </w:t>
      </w:r>
      <w:r w:rsidRPr="00981BF5">
        <w:rPr>
          <w:rFonts w:ascii="Verdana" w:hAnsi="Verdana" w:cs="Arial"/>
          <w:color w:val="000000" w:themeColor="text1"/>
        </w:rPr>
        <w:t xml:space="preserve">las observaciones son una manifestación de la garantía prevista en el artículo 23 superior en el ámbito contractual, </w:t>
      </w:r>
      <w:r>
        <w:rPr>
          <w:rFonts w:ascii="Verdana" w:hAnsi="Verdana" w:cs="Arial"/>
          <w:color w:val="000000" w:themeColor="text1"/>
        </w:rPr>
        <w:t>pues “</w:t>
      </w:r>
      <w:r w:rsidRPr="00167C6E">
        <w:rPr>
          <w:rFonts w:ascii="Verdana" w:hAnsi="Verdana" w:cs="Arial"/>
          <w:color w:val="000000" w:themeColor="text1"/>
        </w:rPr>
        <w:t>Toda persona tiene derecho a presentar peticiones respetuosas a las autoridades por motivos de interés general o particular y a obtener pronta resolución</w:t>
      </w:r>
      <w:r>
        <w:rPr>
          <w:rFonts w:ascii="Verdana" w:hAnsi="Verdana" w:cs="Arial"/>
          <w:color w:val="000000" w:themeColor="text1"/>
        </w:rPr>
        <w:t xml:space="preserve"> […]”. </w:t>
      </w:r>
      <w:r w:rsidRPr="00981BF5">
        <w:rPr>
          <w:rFonts w:ascii="Verdana" w:hAnsi="Verdana" w:cs="Arial"/>
          <w:color w:val="000000" w:themeColor="text1"/>
        </w:rPr>
        <w:t>Sin embargo, esto no significa que la entidad esté obligada a aceptar las observaciones formuladas oportunamente</w:t>
      </w:r>
      <w:r>
        <w:rPr>
          <w:rFonts w:ascii="Verdana" w:hAnsi="Verdana" w:cs="Arial"/>
          <w:color w:val="000000" w:themeColor="text1"/>
        </w:rPr>
        <w:t xml:space="preserve">, por lo que </w:t>
      </w:r>
      <w:r w:rsidRPr="00981BF5">
        <w:rPr>
          <w:rFonts w:ascii="Verdana" w:hAnsi="Verdana" w:cs="Arial"/>
          <w:color w:val="000000" w:themeColor="text1"/>
        </w:rPr>
        <w:t>es necesario distinguir entre el “derecho a pedir” y el “derecho a lo pedido”.</w:t>
      </w:r>
      <w:r>
        <w:rPr>
          <w:rFonts w:ascii="Verdana" w:hAnsi="Verdana" w:cs="Arial"/>
          <w:color w:val="000000" w:themeColor="text1"/>
        </w:rPr>
        <w:t xml:space="preserve"> Es decir, éstas </w:t>
      </w:r>
      <w:r w:rsidRPr="00981BF5">
        <w:rPr>
          <w:rStyle w:val="eop"/>
          <w:rFonts w:ascii="Verdana" w:hAnsi="Verdana" w:cs="Arial"/>
          <w:color w:val="000000"/>
          <w:shd w:val="clear" w:color="auto" w:fill="FFFFFF"/>
        </w:rPr>
        <w:t xml:space="preserve">pueden rechazase de manera motivada, pues “[…] el ámbito de protección constitucional de la petición se circunscribe al derecho a la solicitud y a tener una contestación para la misma, en ningún caso implica </w:t>
      </w:r>
      <w:r w:rsidRPr="00981BF5">
        <w:rPr>
          <w:rStyle w:val="eop"/>
          <w:rFonts w:ascii="Verdana" w:hAnsi="Verdana" w:cs="Arial"/>
          <w:color w:val="000000"/>
          <w:shd w:val="clear" w:color="auto" w:fill="FFFFFF"/>
        </w:rPr>
        <w:lastRenderedPageBreak/>
        <w:t>otorgar la materia de la solicitud como tal”</w:t>
      </w:r>
      <w:r w:rsidRPr="00981BF5">
        <w:rPr>
          <w:rStyle w:val="Refdenotaalpie"/>
          <w:rFonts w:ascii="Verdana" w:hAnsi="Verdana" w:cs="Arial"/>
          <w:color w:val="000000"/>
          <w:shd w:val="clear" w:color="auto" w:fill="FFFFFF"/>
        </w:rPr>
        <w:footnoteReference w:id="22"/>
      </w:r>
      <w:r w:rsidRPr="00981BF5">
        <w:rPr>
          <w:rFonts w:ascii="Verdana" w:eastAsia="Arial" w:hAnsi="Verdana" w:cs="Arial"/>
          <w:color w:val="000000"/>
        </w:rPr>
        <w:t>.</w:t>
      </w:r>
      <w:r>
        <w:rPr>
          <w:rFonts w:ascii="Verdana" w:eastAsia="Arial" w:hAnsi="Verdana" w:cs="Arial"/>
          <w:color w:val="000000"/>
        </w:rPr>
        <w:t xml:space="preserve"> Luego, los ajustes que se hagan en los documentos del proceso dependen de las observaciones aceptadas por la entidad, sin perjuicio de las limitaciones temporales respecto a la expedición de adendas en los términos del artículo </w:t>
      </w:r>
      <w:r w:rsidRPr="000A025B">
        <w:rPr>
          <w:rFonts w:ascii="Verdana" w:eastAsia="Arial" w:hAnsi="Verdana" w:cs="Arial"/>
          <w:color w:val="000000"/>
        </w:rPr>
        <w:t>2.2.1.1.2.2.1</w:t>
      </w:r>
      <w:r>
        <w:rPr>
          <w:rFonts w:ascii="Verdana" w:eastAsia="Arial" w:hAnsi="Verdana" w:cs="Arial"/>
          <w:color w:val="000000"/>
        </w:rPr>
        <w:t xml:space="preserve"> del Decreto 1082 de 2015</w:t>
      </w:r>
      <w:r>
        <w:rPr>
          <w:rStyle w:val="Refdenotaalpie"/>
          <w:rFonts w:ascii="Verdana" w:eastAsia="Arial" w:hAnsi="Verdana" w:cs="Arial"/>
          <w:color w:val="000000"/>
        </w:rPr>
        <w:footnoteReference w:id="23"/>
      </w:r>
      <w:r>
        <w:rPr>
          <w:rFonts w:ascii="Verdana" w:eastAsia="Arial" w:hAnsi="Verdana" w:cs="Arial"/>
          <w:color w:val="000000"/>
        </w:rPr>
        <w:t>.</w:t>
      </w:r>
    </w:p>
    <w:p w14:paraId="3AAF0134" w14:textId="77777777" w:rsidR="005D045F" w:rsidRPr="000A025B" w:rsidRDefault="005D045F" w:rsidP="005D045F">
      <w:pPr>
        <w:spacing w:after="0" w:line="276" w:lineRule="auto"/>
        <w:ind w:firstLine="709"/>
        <w:jc w:val="both"/>
        <w:rPr>
          <w:rFonts w:ascii="Verdana" w:hAnsi="Verdana" w:cs="Arial"/>
          <w:color w:val="000000" w:themeColor="text1"/>
        </w:rPr>
      </w:pPr>
      <w:r>
        <w:rPr>
          <w:rFonts w:ascii="Verdana" w:eastAsia="Arial" w:hAnsi="Verdana" w:cs="Arial"/>
          <w:color w:val="000000"/>
        </w:rPr>
        <w:t xml:space="preserve"> </w:t>
      </w:r>
    </w:p>
    <w:p w14:paraId="66CDF630" w14:textId="77777777" w:rsidR="005D045F" w:rsidRPr="003A380F" w:rsidRDefault="005D045F" w:rsidP="005D045F">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iv</w:t>
      </w:r>
      <w:proofErr w:type="spellEnd"/>
      <w:r>
        <w:rPr>
          <w:rFonts w:ascii="Verdana" w:eastAsia="Calibri" w:hAnsi="Verdana" w:cs="Arial"/>
          <w:bCs/>
          <w:color w:val="000000" w:themeColor="text1"/>
        </w:rPr>
        <w:t xml:space="preserve">. </w:t>
      </w:r>
      <w:r w:rsidRPr="003A380F">
        <w:rPr>
          <w:rFonts w:ascii="Verdana" w:eastAsia="Calibri" w:hAnsi="Verdana" w:cs="Arial"/>
          <w:bCs/>
          <w:color w:val="000000" w:themeColor="text1"/>
        </w:rPr>
        <w:t>Al margen de la explicación precedente</w:t>
      </w:r>
      <w:r>
        <w:rPr>
          <w:rFonts w:ascii="Verdana" w:eastAsia="Calibri" w:hAnsi="Verdana" w:cs="Arial"/>
          <w:bCs/>
          <w:color w:val="000000" w:themeColor="text1"/>
        </w:rPr>
        <w:t>,</w:t>
      </w:r>
      <w:r w:rsidRPr="003A380F">
        <w:rPr>
          <w:rFonts w:ascii="Verdana" w:eastAsia="Calibri" w:hAnsi="Verdana" w:cs="Arial"/>
          <w:bCs/>
          <w:color w:val="000000" w:themeColor="text1"/>
        </w:rPr>
        <w:t xml:space="preserve"> debe advertirse que el análisis requerido para resolver problemas específicos en torno a la gestión contractual de las entidades públicas debe ser realizado por quienes tengan interés en ello, de acuerdo con lo explicado </w:t>
      </w:r>
      <w:r>
        <w:rPr>
          <w:rFonts w:ascii="Verdana" w:eastAsia="Calibri" w:hAnsi="Verdana" w:cs="Arial"/>
          <w:bCs/>
          <w:color w:val="000000" w:themeColor="text1"/>
        </w:rPr>
        <w:t>en la</w:t>
      </w:r>
      <w:r w:rsidRPr="003A380F">
        <w:rPr>
          <w:rFonts w:ascii="Verdana" w:eastAsia="Calibri" w:hAnsi="Verdana" w:cs="Arial"/>
          <w:bCs/>
          <w:color w:val="000000" w:themeColor="text1"/>
        </w:rPr>
        <w:t xml:space="preserve">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66A8887" w14:textId="77777777" w:rsidR="005D045F" w:rsidRPr="00185EE9" w:rsidRDefault="005D045F" w:rsidP="005D045F">
      <w:pPr>
        <w:spacing w:after="0" w:line="276" w:lineRule="auto"/>
        <w:ind w:firstLine="708"/>
        <w:jc w:val="both"/>
        <w:rPr>
          <w:rFonts w:ascii="Verdana" w:eastAsia="Calibri" w:hAnsi="Verdana" w:cs="Arial"/>
          <w:bCs/>
          <w:color w:val="000000" w:themeColor="text1"/>
        </w:rPr>
      </w:pPr>
      <w:r w:rsidRPr="003A380F">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40044489" w14:textId="77777777" w:rsidR="005D045F" w:rsidRPr="00182C89" w:rsidRDefault="005D045F" w:rsidP="005D045F">
      <w:pPr>
        <w:tabs>
          <w:tab w:val="left" w:pos="709"/>
        </w:tabs>
        <w:spacing w:after="0" w:line="276" w:lineRule="auto"/>
        <w:jc w:val="both"/>
        <w:rPr>
          <w:rFonts w:ascii="Verdana" w:eastAsia="Calibri" w:hAnsi="Verdana" w:cs="Arial"/>
          <w:color w:val="000000" w:themeColor="text1"/>
        </w:rPr>
      </w:pPr>
    </w:p>
    <w:p w14:paraId="7EC61D06" w14:textId="77777777" w:rsidR="005D045F" w:rsidRPr="00593A5F" w:rsidRDefault="005D045F" w:rsidP="005D04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1154668B" w14:textId="77777777" w:rsidR="005D045F" w:rsidRPr="00593A5F" w:rsidRDefault="005D045F" w:rsidP="005D045F">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D045F" w:rsidRPr="002407CE" w14:paraId="689A8342" w14:textId="77777777" w:rsidTr="007678F3">
        <w:trPr>
          <w:trHeight w:val="870"/>
          <w:jc w:val="center"/>
        </w:trPr>
        <w:tc>
          <w:tcPr>
            <w:tcW w:w="8647" w:type="dxa"/>
          </w:tcPr>
          <w:p w14:paraId="6DEEA39B" w14:textId="77777777" w:rsidR="005D045F" w:rsidRDefault="005D045F" w:rsidP="007678F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Constitución Política de 1991, artículo 23, 84 y 150.</w:t>
            </w:r>
          </w:p>
          <w:p w14:paraId="77076B97" w14:textId="77777777" w:rsidR="005D045F" w:rsidRDefault="005D045F" w:rsidP="007678F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 23, 24, 25 y 30.</w:t>
            </w:r>
          </w:p>
          <w:p w14:paraId="72B76A7A" w14:textId="77777777" w:rsidR="005D045F" w:rsidRDefault="005D045F" w:rsidP="007678F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1150 de 2007, artículos 4 y 8.</w:t>
            </w:r>
          </w:p>
          <w:p w14:paraId="017CB672" w14:textId="77777777" w:rsidR="005D045F" w:rsidRDefault="005D045F" w:rsidP="007678F3">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Ley 1437 de 2011, artículos 13 y 28.</w:t>
            </w:r>
          </w:p>
          <w:p w14:paraId="286FEB16" w14:textId="77777777" w:rsidR="005D045F" w:rsidRPr="00DA543F" w:rsidRDefault="005D045F" w:rsidP="007678F3">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color w:val="000000" w:themeColor="text1"/>
                <w:lang w:val="es-ES_tradnl"/>
              </w:rPr>
              <w:t xml:space="preserve">Decreto 1082 de 2015, artículos </w:t>
            </w:r>
            <w:r w:rsidRPr="0058605F">
              <w:rPr>
                <w:rFonts w:ascii="Verdana" w:hAnsi="Verdana" w:cs="Arial"/>
                <w:color w:val="000000" w:themeColor="text1"/>
                <w:lang w:val="es-ES_tradnl"/>
              </w:rPr>
              <w:t>2.2.1.1.1.7.1</w:t>
            </w:r>
            <w:r>
              <w:rPr>
                <w:rFonts w:ascii="Verdana" w:hAnsi="Verdana" w:cs="Arial"/>
                <w:color w:val="000000" w:themeColor="text1"/>
                <w:lang w:val="es-ES_tradnl"/>
              </w:rPr>
              <w:t xml:space="preserve">, </w:t>
            </w:r>
            <w:r w:rsidRPr="0058605F">
              <w:rPr>
                <w:rFonts w:ascii="Verdana" w:hAnsi="Verdana" w:cs="Arial"/>
                <w:color w:val="000000" w:themeColor="text1"/>
                <w:lang w:val="es-ES_tradnl"/>
              </w:rPr>
              <w:t>2.2.1.1.2.1.4</w:t>
            </w:r>
            <w:r>
              <w:rPr>
                <w:rFonts w:ascii="Verdana" w:hAnsi="Verdana" w:cs="Arial"/>
                <w:color w:val="000000" w:themeColor="text1"/>
                <w:lang w:val="es-ES_tradnl"/>
              </w:rPr>
              <w:t xml:space="preserve">, </w:t>
            </w:r>
            <w:r w:rsidRPr="00652A1E">
              <w:rPr>
                <w:rFonts w:ascii="Verdana" w:hAnsi="Verdana" w:cs="Arial"/>
                <w:color w:val="000000" w:themeColor="text1"/>
                <w:lang w:val="es-ES_tradnl"/>
              </w:rPr>
              <w:t>2.2.1.1.2.2.1</w:t>
            </w:r>
            <w:r>
              <w:rPr>
                <w:rFonts w:ascii="Verdana" w:hAnsi="Verdana" w:cs="Arial"/>
                <w:color w:val="000000" w:themeColor="text1"/>
                <w:lang w:val="es-ES_tradnl"/>
              </w:rPr>
              <w:t xml:space="preserve">, </w:t>
            </w:r>
            <w:r w:rsidRPr="0058605F">
              <w:rPr>
                <w:rFonts w:ascii="Verdana" w:hAnsi="Verdana" w:cs="Arial"/>
                <w:color w:val="000000" w:themeColor="text1"/>
                <w:lang w:val="es-ES_tradnl"/>
              </w:rPr>
              <w:t>2.2.1.2.1.1.2</w:t>
            </w:r>
            <w:r>
              <w:rPr>
                <w:rFonts w:ascii="Verdana" w:hAnsi="Verdana" w:cs="Arial"/>
                <w:color w:val="000000" w:themeColor="text1"/>
                <w:lang w:val="es-ES_tradnl"/>
              </w:rPr>
              <w:t xml:space="preserve">, </w:t>
            </w:r>
            <w:r w:rsidRPr="00253A51">
              <w:rPr>
                <w:rFonts w:ascii="Verdana" w:hAnsi="Verdana" w:cs="Arial"/>
                <w:color w:val="000000" w:themeColor="text1"/>
                <w:lang w:val="es-ES_tradnl"/>
              </w:rPr>
              <w:t>2.2.1.2.1.2.20</w:t>
            </w:r>
            <w:r>
              <w:rPr>
                <w:rFonts w:ascii="Verdana" w:hAnsi="Verdana" w:cs="Arial"/>
                <w:color w:val="000000" w:themeColor="text1"/>
                <w:lang w:val="es-ES_tradnl"/>
              </w:rPr>
              <w:t xml:space="preserve">, </w:t>
            </w:r>
            <w:r w:rsidRPr="00253A51">
              <w:rPr>
                <w:rFonts w:ascii="Verdana" w:hAnsi="Verdana" w:cs="Arial"/>
                <w:color w:val="000000" w:themeColor="text1"/>
                <w:lang w:val="es-ES_tradnl"/>
              </w:rPr>
              <w:t>2.2.1.2.1.3.2</w:t>
            </w:r>
            <w:r>
              <w:rPr>
                <w:rFonts w:ascii="Verdana" w:hAnsi="Verdana" w:cs="Arial"/>
                <w:color w:val="000000" w:themeColor="text1"/>
                <w:lang w:val="es-ES_tradnl"/>
              </w:rPr>
              <w:t xml:space="preserve"> y </w:t>
            </w:r>
            <w:r w:rsidRPr="00253A51">
              <w:rPr>
                <w:rFonts w:ascii="Verdana" w:hAnsi="Verdana" w:cs="Arial"/>
                <w:color w:val="000000" w:themeColor="text1"/>
                <w:lang w:val="es-ES_tradnl"/>
              </w:rPr>
              <w:t>2.2.1.2.1.5.2</w:t>
            </w:r>
            <w:r>
              <w:rPr>
                <w:rFonts w:ascii="Verdana" w:hAnsi="Verdana" w:cs="Arial"/>
                <w:color w:val="000000" w:themeColor="text1"/>
                <w:lang w:val="es-ES_tradnl"/>
              </w:rPr>
              <w:t>.</w:t>
            </w:r>
          </w:p>
        </w:tc>
      </w:tr>
    </w:tbl>
    <w:p w14:paraId="0AAA5F46" w14:textId="77777777" w:rsidR="005D045F" w:rsidRPr="002407CE" w:rsidRDefault="005D045F" w:rsidP="005D045F">
      <w:pPr>
        <w:widowControl w:val="0"/>
        <w:autoSpaceDE w:val="0"/>
        <w:autoSpaceDN w:val="0"/>
        <w:spacing w:after="0" w:line="276" w:lineRule="auto"/>
        <w:jc w:val="both"/>
        <w:rPr>
          <w:rFonts w:ascii="Verdana" w:hAnsi="Verdana" w:cs="Arial"/>
        </w:rPr>
      </w:pPr>
    </w:p>
    <w:p w14:paraId="4515A598" w14:textId="77777777" w:rsidR="005D045F" w:rsidRPr="00593A5F" w:rsidRDefault="005D045F" w:rsidP="005D045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6A7E95A7" w14:textId="77777777" w:rsidR="005D045F" w:rsidRPr="00593A5F" w:rsidRDefault="005D045F" w:rsidP="005D045F">
      <w:pPr>
        <w:widowControl w:val="0"/>
        <w:autoSpaceDE w:val="0"/>
        <w:autoSpaceDN w:val="0"/>
        <w:spacing w:after="0" w:line="276" w:lineRule="auto"/>
        <w:jc w:val="both"/>
        <w:rPr>
          <w:rFonts w:ascii="Verdana" w:hAnsi="Verdana" w:cs="Arial"/>
        </w:rPr>
      </w:pPr>
    </w:p>
    <w:p w14:paraId="154014EB" w14:textId="77777777" w:rsidR="005D045F" w:rsidRPr="00ED0098" w:rsidRDefault="005D045F" w:rsidP="005D045F">
      <w:pPr>
        <w:widowControl w:val="0"/>
        <w:autoSpaceDE w:val="0"/>
        <w:autoSpaceDN w:val="0"/>
        <w:spacing w:after="0" w:line="276" w:lineRule="auto"/>
        <w:jc w:val="both"/>
        <w:rPr>
          <w:rStyle w:val="normaltextrun"/>
          <w:rFonts w:ascii="Verdana" w:hAnsi="Verdana" w:cs="Arial"/>
          <w:shd w:val="clear" w:color="auto" w:fill="FFFFFF"/>
        </w:rPr>
      </w:pPr>
      <w:r w:rsidRPr="00BC7FC8">
        <w:rPr>
          <w:rFonts w:ascii="Verdana" w:hAnsi="Verdana" w:cs="Arial"/>
          <w:shd w:val="clear" w:color="auto" w:fill="FFFFFF"/>
        </w:rPr>
        <w:t xml:space="preserve">Esta Subdirección se ha pronunciado sobre </w:t>
      </w:r>
      <w:r>
        <w:rPr>
          <w:rFonts w:ascii="Verdana" w:hAnsi="Verdana" w:cs="Arial"/>
          <w:shd w:val="clear" w:color="auto" w:fill="FFFFFF"/>
        </w:rPr>
        <w:t>el régimen de las observaciones</w:t>
      </w:r>
      <w:r w:rsidRPr="00BC7FC8">
        <w:rPr>
          <w:rFonts w:ascii="Verdana" w:hAnsi="Verdana" w:cs="Arial"/>
          <w:shd w:val="clear" w:color="auto" w:fill="FFFFFF"/>
        </w:rPr>
        <w:t xml:space="preserve"> en los </w:t>
      </w:r>
      <w:r w:rsidRPr="008E2049">
        <w:rPr>
          <w:rFonts w:ascii="Verdana" w:hAnsi="Verdana" w:cs="Arial"/>
          <w:shd w:val="clear" w:color="auto" w:fill="FFFFFF"/>
        </w:rPr>
        <w:t>en los conceptos 4201614000005342 del 8 de noviembre de 2016, 4201714000002354 del 5 de junio de 2017, 4201714000006628 del 17 de enero de 2018, 4201713000007273 del 5 de febrero de 2018, 4201814000001007 del 20 de marzo de 2018, 4201814000006367 del 27 de agosto de 2018, 4201912000002664 del 5 de junio de 2019, C-201 del 13 de abril de 2020, C-323 del 4 de junio de 2020, C-328 del 30 de junio de 2020, C-418 del 12 de agosto de 2021, C-512 del 22 de septiembre de 2021, C-310 del 16 de mayo de 2022</w:t>
      </w:r>
      <w:r>
        <w:rPr>
          <w:rFonts w:ascii="Verdana" w:hAnsi="Verdana" w:cs="Arial"/>
          <w:shd w:val="clear" w:color="auto" w:fill="FFFFFF"/>
        </w:rPr>
        <w:t xml:space="preserve">, C-366 del 8 de septiembre de 2023 y </w:t>
      </w:r>
      <w:r>
        <w:rPr>
          <w:rFonts w:ascii="Verdana" w:eastAsia="Calibri" w:hAnsi="Verdana" w:cs="Arial"/>
          <w:lang w:val="es-ES" w:eastAsia="es-ES"/>
        </w:rPr>
        <w:t>C-1581 del 6 de noviembre de 2025</w:t>
      </w:r>
      <w:r>
        <w:rPr>
          <w:rFonts w:ascii="Verdana" w:hAnsi="Verdana"/>
        </w:rPr>
        <w:t>.</w:t>
      </w:r>
      <w:r>
        <w:rPr>
          <w:rFonts w:ascii="Verdana" w:hAnsi="Verdana" w:cs="Arial"/>
          <w:shd w:val="clear" w:color="auto" w:fill="FFFFFF"/>
        </w:rPr>
        <w:t xml:space="preserve"> </w:t>
      </w:r>
      <w:r w:rsidRPr="00DD0AFF">
        <w:rPr>
          <w:rFonts w:ascii="Verdana" w:hAnsi="Verdana" w:cs="Arial"/>
          <w:shd w:val="clear" w:color="auto" w:fill="FFFFFF"/>
        </w:rPr>
        <w:t>Est</w:t>
      </w:r>
      <w:r>
        <w:rPr>
          <w:rFonts w:ascii="Verdana" w:hAnsi="Verdana" w:cs="Arial"/>
          <w:shd w:val="clear" w:color="auto" w:fill="FFFFFF"/>
        </w:rPr>
        <w:t>os</w:t>
      </w:r>
      <w:r w:rsidRPr="00DD0AFF">
        <w:rPr>
          <w:rFonts w:ascii="Verdana" w:hAnsi="Verdana" w:cs="Arial"/>
          <w:shd w:val="clear" w:color="auto" w:fill="FFFFFF"/>
        </w:rPr>
        <w:t xml:space="preserve"> y otros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566F2867" w14:textId="77777777" w:rsidR="005D045F" w:rsidRPr="00096788" w:rsidRDefault="005D045F" w:rsidP="005D045F">
      <w:pPr>
        <w:widowControl w:val="0"/>
        <w:autoSpaceDE w:val="0"/>
        <w:autoSpaceDN w:val="0"/>
        <w:spacing w:after="0" w:line="276" w:lineRule="auto"/>
        <w:jc w:val="both"/>
        <w:rPr>
          <w:rFonts w:ascii="Verdana" w:hAnsi="Verdana" w:cs="Arial"/>
          <w:color w:val="000000" w:themeColor="text1"/>
          <w:shd w:val="clear" w:color="auto" w:fill="FFFFFF"/>
        </w:rPr>
      </w:pPr>
    </w:p>
    <w:p w14:paraId="016DD7A1" w14:textId="77777777" w:rsidR="005D045F" w:rsidRPr="00E440FD" w:rsidRDefault="005D045F" w:rsidP="005D045F">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6DF5F7A7" w14:textId="77777777" w:rsidR="005D045F" w:rsidRDefault="005D045F" w:rsidP="005D045F">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4A73EC">
        <w:rPr>
          <w:rFonts w:ascii="Verdana" w:hAnsi="Verdana" w:cs="Arial"/>
          <w:color w:val="000000" w:themeColor="text1"/>
          <w:shd w:val="clear" w:color="auto" w:fill="FFFFFF"/>
          <w:lang w:val="es-ES_tradnl"/>
        </w:rPr>
        <w:t xml:space="preserve"> </w:t>
      </w:r>
    </w:p>
    <w:p w14:paraId="102ABC68" w14:textId="77777777" w:rsidR="005D045F" w:rsidRPr="00116940" w:rsidRDefault="005D045F" w:rsidP="005D045F">
      <w:pPr>
        <w:spacing w:after="0"/>
        <w:jc w:val="both"/>
        <w:rPr>
          <w:rFonts w:ascii="Verdana" w:hAnsi="Verdana"/>
        </w:rPr>
      </w:pPr>
      <w:r>
        <w:rPr>
          <w:rFonts w:ascii="Verdana" w:hAnsi="Verdana"/>
        </w:rPr>
        <w:lastRenderedPageBreak/>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528A8EAA" w14:textId="77777777" w:rsidR="005D045F" w:rsidRPr="00116940" w:rsidRDefault="005D045F" w:rsidP="005D045F">
      <w:pPr>
        <w:spacing w:after="0"/>
        <w:jc w:val="both"/>
        <w:rPr>
          <w:rFonts w:ascii="Verdana" w:hAnsi="Verdana"/>
        </w:rPr>
      </w:pPr>
    </w:p>
    <w:p w14:paraId="288FE208" w14:textId="77777777" w:rsidR="005D045F" w:rsidRPr="00116940" w:rsidRDefault="005D045F" w:rsidP="005D045F">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32DF1151" w14:textId="77777777" w:rsidR="005D045F" w:rsidRPr="00116940" w:rsidRDefault="005D045F" w:rsidP="005D045F">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2A8240C" w14:textId="77777777" w:rsidR="005D045F" w:rsidRPr="00116940" w:rsidRDefault="005D045F" w:rsidP="005D045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777BAF1B" w14:textId="77777777" w:rsidR="005D045F" w:rsidRPr="00116940" w:rsidRDefault="005D045F" w:rsidP="005D045F">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5EF99B56" w14:textId="77777777" w:rsidR="005D045F" w:rsidRPr="00116940" w:rsidRDefault="005D045F" w:rsidP="005D045F">
      <w:pPr>
        <w:spacing w:after="0" w:line="240" w:lineRule="auto"/>
        <w:ind w:left="720"/>
        <w:jc w:val="both"/>
        <w:rPr>
          <w:rFonts w:ascii="Verdana" w:hAnsi="Verdana"/>
        </w:rPr>
      </w:pPr>
    </w:p>
    <w:p w14:paraId="28C92E1A" w14:textId="77777777" w:rsidR="005D045F" w:rsidRPr="00116940" w:rsidRDefault="005D045F" w:rsidP="005D045F">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48FA5896" w14:textId="77777777" w:rsidR="005D045F" w:rsidRPr="00116940" w:rsidRDefault="005D045F" w:rsidP="005D045F">
      <w:pPr>
        <w:spacing w:after="0" w:line="240" w:lineRule="auto"/>
        <w:rPr>
          <w:rFonts w:ascii="Verdana" w:hAnsi="Verdana"/>
        </w:rPr>
      </w:pPr>
    </w:p>
    <w:p w14:paraId="472554B9" w14:textId="77777777" w:rsidR="005D045F" w:rsidRPr="00116940" w:rsidRDefault="005D045F" w:rsidP="005D045F">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7E301C10" w14:textId="77777777" w:rsidR="005D045F" w:rsidRPr="00116940" w:rsidRDefault="005D045F" w:rsidP="005D045F">
      <w:pPr>
        <w:spacing w:after="0" w:line="240" w:lineRule="auto"/>
        <w:jc w:val="both"/>
        <w:rPr>
          <w:rFonts w:ascii="Verdana" w:hAnsi="Verdana"/>
        </w:rPr>
      </w:pPr>
    </w:p>
    <w:p w14:paraId="16B1905F" w14:textId="77777777" w:rsidR="005D045F" w:rsidRPr="00116940" w:rsidRDefault="005D045F" w:rsidP="005D045F">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4FC380C" w14:textId="77777777" w:rsidR="005D045F" w:rsidRPr="00116940" w:rsidRDefault="005D045F" w:rsidP="005D045F">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4AFEEC4A" w14:textId="77777777" w:rsidR="005D045F" w:rsidRPr="00116940" w:rsidRDefault="005D045F" w:rsidP="005D045F">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0BBBB1C" w14:textId="77777777" w:rsidR="005D045F" w:rsidRPr="009C4035" w:rsidRDefault="005D045F" w:rsidP="005D045F">
      <w:pPr>
        <w:widowControl w:val="0"/>
        <w:autoSpaceDE w:val="0"/>
        <w:autoSpaceDN w:val="0"/>
        <w:spacing w:after="120" w:line="276" w:lineRule="auto"/>
        <w:jc w:val="both"/>
        <w:rPr>
          <w:rFonts w:ascii="Verdana" w:hAnsi="Verdana" w:cs="Arial"/>
          <w:color w:val="FF0000"/>
          <w:shd w:val="clear" w:color="auto" w:fill="FFFFFF"/>
          <w:lang w:val="es-ES_tradnl"/>
        </w:rPr>
      </w:pPr>
      <w:r w:rsidRPr="004A73EC">
        <w:rPr>
          <w:rStyle w:val="normaltextrun"/>
          <w:rFonts w:ascii="Verdana" w:hAnsi="Verdana" w:cs="Arial"/>
          <w:color w:val="FF0000"/>
          <w:shd w:val="clear" w:color="auto" w:fill="FFFFFF"/>
          <w:lang w:val="es-ES_tradnl"/>
        </w:rPr>
        <w:t xml:space="preserve">        </w:t>
      </w:r>
    </w:p>
    <w:p w14:paraId="2D05EE0D" w14:textId="77777777" w:rsidR="005D045F" w:rsidRPr="00593A5F" w:rsidRDefault="005D045F" w:rsidP="005D045F">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78A2A22" w14:textId="77777777" w:rsidR="005D045F" w:rsidRPr="00593A5F" w:rsidRDefault="005D045F" w:rsidP="005D045F">
      <w:pPr>
        <w:widowControl w:val="0"/>
        <w:autoSpaceDE w:val="0"/>
        <w:autoSpaceDN w:val="0"/>
        <w:spacing w:after="0" w:line="276" w:lineRule="auto"/>
        <w:jc w:val="both"/>
        <w:rPr>
          <w:rFonts w:ascii="Verdana" w:hAnsi="Verdana" w:cs="Arial"/>
        </w:rPr>
      </w:pPr>
    </w:p>
    <w:p w14:paraId="6A7F4A24" w14:textId="77777777" w:rsidR="005D045F" w:rsidRPr="00593A5F" w:rsidRDefault="005D045F" w:rsidP="005D045F">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304C4795" w14:textId="19178D2D" w:rsidR="005D045F" w:rsidRPr="00593A5F" w:rsidRDefault="009E75E1" w:rsidP="005D045F">
      <w:pPr>
        <w:spacing w:line="276" w:lineRule="auto"/>
        <w:jc w:val="center"/>
        <w:rPr>
          <w:rFonts w:ascii="Verdana" w:hAnsi="Verdana" w:cs="Arial"/>
          <w:color w:val="000000"/>
          <w:lang w:val="es-ES_tradnl" w:eastAsia="es-CO"/>
        </w:rPr>
      </w:pPr>
      <w:r>
        <w:rPr>
          <w:noProof/>
        </w:rPr>
        <w:lastRenderedPageBreak/>
        <w:drawing>
          <wp:inline distT="0" distB="0" distL="0" distR="0" wp14:anchorId="378FA654" wp14:editId="1CECBA1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D045F" w:rsidRPr="00593A5F" w14:paraId="26CEB5D4" w14:textId="77777777" w:rsidTr="007678F3">
        <w:trPr>
          <w:trHeight w:val="315"/>
        </w:trPr>
        <w:tc>
          <w:tcPr>
            <w:tcW w:w="893" w:type="dxa"/>
            <w:vAlign w:val="center"/>
            <w:hideMark/>
          </w:tcPr>
          <w:p w14:paraId="7962E64F" w14:textId="77777777" w:rsidR="005D045F" w:rsidRPr="003751C7" w:rsidRDefault="005D045F" w:rsidP="007678F3">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22A53F7" w14:textId="77777777" w:rsidR="005D045F" w:rsidRPr="00254A7A" w:rsidRDefault="005D045F" w:rsidP="007678F3">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0CE420E5" w14:textId="77777777" w:rsidR="005D045F" w:rsidRPr="00254A7A" w:rsidRDefault="005D045F" w:rsidP="007678F3">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5D045F" w:rsidRPr="00593A5F" w14:paraId="540A32CD" w14:textId="77777777" w:rsidTr="007678F3">
        <w:trPr>
          <w:trHeight w:val="330"/>
        </w:trPr>
        <w:tc>
          <w:tcPr>
            <w:tcW w:w="893" w:type="dxa"/>
            <w:vAlign w:val="center"/>
            <w:hideMark/>
          </w:tcPr>
          <w:p w14:paraId="6322482D" w14:textId="77777777" w:rsidR="005D045F" w:rsidRPr="003751C7" w:rsidRDefault="005D045F" w:rsidP="007678F3">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537CF19" w14:textId="77777777" w:rsidR="005D045F" w:rsidRPr="00FE00BE" w:rsidRDefault="005D045F" w:rsidP="007678F3">
            <w:pPr>
              <w:pStyle w:val="paragraph"/>
              <w:spacing w:after="0"/>
              <w:contextualSpacing/>
              <w:textAlignment w:val="baseline"/>
              <w:rPr>
                <w:rStyle w:val="normaltextrun"/>
                <w:rFonts w:ascii="Verdana" w:hAnsi="Verdana" w:cs="Arial"/>
                <w:sz w:val="16"/>
                <w:szCs w:val="16"/>
                <w:lang w:val="es-ES_tradnl"/>
              </w:rPr>
            </w:pPr>
            <w:r w:rsidRPr="00FE00BE">
              <w:rPr>
                <w:rStyle w:val="normaltextrun"/>
                <w:rFonts w:ascii="Verdana" w:hAnsi="Verdana" w:cs="Arial"/>
                <w:sz w:val="16"/>
                <w:szCs w:val="16"/>
                <w:lang w:val="es-ES_tradnl"/>
              </w:rPr>
              <w:t>Alejandro Sarmiento Cantillo</w:t>
            </w:r>
          </w:p>
          <w:p w14:paraId="3910C960" w14:textId="77777777" w:rsidR="005D045F" w:rsidRPr="00FE00BE" w:rsidRDefault="005D045F" w:rsidP="007678F3">
            <w:pPr>
              <w:pStyle w:val="paragraph"/>
              <w:spacing w:before="0" w:beforeAutospacing="0" w:after="0" w:afterAutospacing="0"/>
              <w:contextualSpacing/>
              <w:textAlignment w:val="baseline"/>
              <w:rPr>
                <w:rFonts w:ascii="Verdana" w:hAnsi="Verdana" w:cs="Segoe UI"/>
                <w:sz w:val="16"/>
                <w:szCs w:val="16"/>
                <w:lang w:val="es-ES_tradnl"/>
              </w:rPr>
            </w:pPr>
            <w:r w:rsidRPr="00FE00BE">
              <w:rPr>
                <w:rStyle w:val="normaltextrun"/>
                <w:rFonts w:ascii="Verdana" w:hAnsi="Verdana" w:cs="Arial"/>
                <w:sz w:val="16"/>
                <w:szCs w:val="16"/>
                <w:lang w:val="es-ES_tradnl"/>
              </w:rPr>
              <w:t>Gestor T1 ‒ 15 de la Subdirección de Gestión Contractual</w:t>
            </w:r>
          </w:p>
        </w:tc>
      </w:tr>
      <w:tr w:rsidR="005D045F" w:rsidRPr="00593A5F" w14:paraId="707D2BAB" w14:textId="77777777" w:rsidTr="007678F3">
        <w:trPr>
          <w:trHeight w:val="300"/>
        </w:trPr>
        <w:tc>
          <w:tcPr>
            <w:tcW w:w="893" w:type="dxa"/>
            <w:vAlign w:val="center"/>
          </w:tcPr>
          <w:p w14:paraId="264BD4E4" w14:textId="77777777" w:rsidR="005D045F" w:rsidRPr="003751C7" w:rsidRDefault="005D045F" w:rsidP="007678F3">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632F051" w14:textId="77777777" w:rsidR="005D045F" w:rsidRPr="00FE00BE" w:rsidRDefault="005D045F" w:rsidP="007678F3">
            <w:pPr>
              <w:contextualSpacing/>
              <w:rPr>
                <w:rFonts w:ascii="Verdana" w:eastAsia="Calibri" w:hAnsi="Verdana" w:cs="Arial"/>
                <w:sz w:val="16"/>
                <w:szCs w:val="16"/>
                <w:lang w:val="es-ES" w:eastAsia="es-ES"/>
              </w:rPr>
            </w:pPr>
            <w:r w:rsidRPr="10BDAB7F">
              <w:rPr>
                <w:rFonts w:ascii="Verdana" w:eastAsia="Calibri" w:hAnsi="Verdana" w:cs="Arial"/>
                <w:sz w:val="16"/>
                <w:szCs w:val="16"/>
                <w:lang w:val="es-ES" w:eastAsia="es-ES"/>
              </w:rPr>
              <w:t xml:space="preserve">Carolina Quintero </w:t>
            </w:r>
            <w:proofErr w:type="spellStart"/>
            <w:r w:rsidRPr="10BDAB7F">
              <w:rPr>
                <w:rFonts w:ascii="Verdana" w:eastAsia="Calibri" w:hAnsi="Verdana" w:cs="Arial"/>
                <w:sz w:val="16"/>
                <w:szCs w:val="16"/>
                <w:lang w:val="es-ES" w:eastAsia="es-ES"/>
              </w:rPr>
              <w:t>Gacharná</w:t>
            </w:r>
            <w:proofErr w:type="spellEnd"/>
          </w:p>
          <w:p w14:paraId="2B3A23D3" w14:textId="77777777" w:rsidR="005D045F" w:rsidRPr="00FE00BE" w:rsidRDefault="005D045F" w:rsidP="007678F3">
            <w:pPr>
              <w:contextualSpacing/>
              <w:rPr>
                <w:rFonts w:ascii="Verdana" w:eastAsia="Calibri" w:hAnsi="Verdana" w:cs="Arial"/>
                <w:sz w:val="16"/>
                <w:szCs w:val="16"/>
                <w:lang w:val="es-ES_tradnl" w:eastAsia="es-ES"/>
              </w:rPr>
            </w:pPr>
            <w:r w:rsidRPr="00FE00BE">
              <w:rPr>
                <w:rFonts w:ascii="Verdana" w:eastAsia="Calibri" w:hAnsi="Verdana" w:cs="Arial"/>
                <w:sz w:val="16"/>
                <w:szCs w:val="16"/>
                <w:lang w:val="es-ES_tradnl" w:eastAsia="es-ES"/>
              </w:rPr>
              <w:t>Subdirectora de Gestión Contractual ANCP – CCE</w:t>
            </w:r>
          </w:p>
        </w:tc>
      </w:tr>
    </w:tbl>
    <w:p w14:paraId="0D012D0B" w14:textId="77777777" w:rsidR="005D045F" w:rsidRPr="00543BFE" w:rsidRDefault="005D045F" w:rsidP="005D045F"/>
    <w:p w14:paraId="0F293BF4" w14:textId="746E1E23" w:rsidR="00127233" w:rsidRPr="00705226" w:rsidRDefault="00127233" w:rsidP="00705226"/>
    <w:sectPr w:rsidR="00127233" w:rsidRPr="00705226"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668876" w14:textId="77777777" w:rsidR="00F12DDE" w:rsidRDefault="00F12DDE" w:rsidP="004A1847">
      <w:pPr>
        <w:spacing w:after="0" w:line="240" w:lineRule="auto"/>
      </w:pPr>
      <w:r>
        <w:separator/>
      </w:r>
    </w:p>
  </w:endnote>
  <w:endnote w:type="continuationSeparator" w:id="0">
    <w:p w14:paraId="13D0DBFF" w14:textId="77777777" w:rsidR="00F12DDE" w:rsidRDefault="00F12DDE" w:rsidP="004A1847">
      <w:pPr>
        <w:spacing w:after="0" w:line="240" w:lineRule="auto"/>
      </w:pPr>
      <w:r>
        <w:continuationSeparator/>
      </w:r>
    </w:p>
  </w:endnote>
  <w:endnote w:type="continuationNotice" w:id="1">
    <w:p w14:paraId="33B47FA7" w14:textId="77777777" w:rsidR="00F12DDE" w:rsidRDefault="00F12D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074DBE" w14:textId="77777777" w:rsidR="00F12DDE" w:rsidRDefault="00F12DDE" w:rsidP="004A1847">
      <w:pPr>
        <w:spacing w:after="0" w:line="240" w:lineRule="auto"/>
      </w:pPr>
      <w:r>
        <w:separator/>
      </w:r>
    </w:p>
  </w:footnote>
  <w:footnote w:type="continuationSeparator" w:id="0">
    <w:p w14:paraId="20FFB9D3" w14:textId="77777777" w:rsidR="00F12DDE" w:rsidRDefault="00F12DDE" w:rsidP="004A1847">
      <w:pPr>
        <w:spacing w:after="0" w:line="240" w:lineRule="auto"/>
      </w:pPr>
      <w:r>
        <w:continuationSeparator/>
      </w:r>
    </w:p>
  </w:footnote>
  <w:footnote w:type="continuationNotice" w:id="1">
    <w:p w14:paraId="49C60DE2" w14:textId="77777777" w:rsidR="00F12DDE" w:rsidRDefault="00F12DDE">
      <w:pPr>
        <w:spacing w:after="0" w:line="240" w:lineRule="auto"/>
      </w:pPr>
    </w:p>
  </w:footnote>
  <w:footnote w:id="2">
    <w:p w14:paraId="6F9F48A3" w14:textId="77777777" w:rsidR="005D045F" w:rsidRPr="00856F20" w:rsidRDefault="005D045F" w:rsidP="005D045F">
      <w:pPr>
        <w:pStyle w:val="Textonotapie"/>
        <w:ind w:firstLine="709"/>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Procuraduría General de la Nación. Concepto del 15 de octubre de 2014. Procuraduría Delegada para Asuntos Disciplinarios. Radicado PAD C-114-2014.</w:t>
      </w:r>
    </w:p>
  </w:footnote>
  <w:footnote w:id="3">
    <w:p w14:paraId="4CB27C17" w14:textId="77777777" w:rsidR="005D045F" w:rsidRPr="00856F20" w:rsidRDefault="005D045F" w:rsidP="005D045F">
      <w:pPr>
        <w:pStyle w:val="Textonotapie"/>
        <w:ind w:firstLine="708"/>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Contraloría General de la República. Oficina Jurídica. Concepto 80112-OJ-008 2017.</w:t>
      </w:r>
    </w:p>
  </w:footnote>
  <w:footnote w:id="4">
    <w:p w14:paraId="764F6754" w14:textId="77777777" w:rsidR="005D045F" w:rsidRPr="00856F20" w:rsidRDefault="005D045F" w:rsidP="005D045F">
      <w:pPr>
        <w:pStyle w:val="Textonotapie"/>
        <w:ind w:firstLine="708"/>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ARBOLEDA PERDONO, Enrique José. Comentarios al Nuevo Código de Procedimiento Administrativo y de lo Contencioso Administrativo (2ª ed.). Editorial Legis. Bogotá. 2012. p. 59.</w:t>
      </w:r>
    </w:p>
  </w:footnote>
  <w:footnote w:id="5">
    <w:p w14:paraId="5F3BEDB6" w14:textId="77777777" w:rsidR="005D045F" w:rsidRPr="00856F20" w:rsidRDefault="005D045F" w:rsidP="005D045F">
      <w:pPr>
        <w:pStyle w:val="Textonotapie"/>
        <w:ind w:firstLine="709"/>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Cfr. HERNÁNDEZ BECERRA, Augusto. Función Consultiva y Consejo de Estado en Colombia. Ponencia presentada en las III Jornadas Internacionales de la Función Consultiva, organizadas por el Instituto de Investigaciones Jurídicas y el programa de Postgrado en Derecho de la Universidad Nacional Autónoma de México – UNAM. México. 2012. Pág. 9. Texto disponible para ser consultado en el siguiente hipervínculo: </w:t>
      </w:r>
      <w:hyperlink r:id="rId1" w:history="1">
        <w:r w:rsidRPr="00856F20">
          <w:rPr>
            <w:rStyle w:val="Hipervnculo"/>
            <w:rFonts w:ascii="Verdana" w:hAnsi="Verdana" w:cs="Arial"/>
            <w:sz w:val="16"/>
            <w:szCs w:val="16"/>
          </w:rPr>
          <w:t>https://issuu.com/estudiolegalhernandez/docs/ahb._funci__n_consultiva_y_consejo_</w:t>
        </w:r>
      </w:hyperlink>
      <w:r w:rsidRPr="00856F20">
        <w:rPr>
          <w:rFonts w:ascii="Verdana" w:hAnsi="Verdana" w:cs="Arial"/>
          <w:sz w:val="16"/>
          <w:szCs w:val="16"/>
        </w:rPr>
        <w:t>.</w:t>
      </w:r>
    </w:p>
  </w:footnote>
  <w:footnote w:id="6">
    <w:p w14:paraId="191B440C" w14:textId="77777777" w:rsidR="005D045F" w:rsidRPr="00856F20" w:rsidRDefault="005D045F" w:rsidP="005D045F">
      <w:pPr>
        <w:pStyle w:val="Textonotapie"/>
        <w:ind w:firstLine="708"/>
        <w:jc w:val="both"/>
        <w:rPr>
          <w:rFonts w:ascii="Verdana" w:hAnsi="Verdana" w:cs="Arial"/>
          <w:sz w:val="16"/>
          <w:szCs w:val="16"/>
        </w:rPr>
      </w:pPr>
      <w:r w:rsidRPr="00856F20">
        <w:rPr>
          <w:rStyle w:val="Refdenotaalpie"/>
          <w:rFonts w:ascii="Verdana" w:hAnsi="Verdana" w:cs="Arial"/>
          <w:sz w:val="16"/>
          <w:szCs w:val="16"/>
        </w:rPr>
        <w:footnoteRef/>
      </w:r>
      <w:r w:rsidRPr="00856F20">
        <w:rPr>
          <w:rFonts w:ascii="Verdana" w:hAnsi="Verdana" w:cs="Arial"/>
          <w:sz w:val="16"/>
          <w:szCs w:val="16"/>
        </w:rPr>
        <w:t xml:space="preserve"> Consejo de Estado. Sala de Consulta y Servicio Civil. Concepto del 5 de octubre de 2009. Expediente 11001-03-06-000-2009-00049-00(1966). C.P. William Zambrano Cetina.</w:t>
      </w:r>
    </w:p>
  </w:footnote>
  <w:footnote w:id="7">
    <w:p w14:paraId="460E4D89" w14:textId="77777777" w:rsidR="005D045F" w:rsidRPr="00981BF5" w:rsidRDefault="005D045F" w:rsidP="005D045F">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Ley 80 de 1993: “Artículo 3º. De los fines de la contratación estatal. Los servidores públicos tendrán en consideración que al celebrar contratos y con la ejecución de los mismos, las entidades buscan el cumplimiento de los fines estatales, la continua y eficiente prestación de los servicios públicos y la efectividad de los derechos e intereses de los administrados que colaboran con ellas en la consecución de dichos fines.</w:t>
      </w:r>
    </w:p>
    <w:p w14:paraId="2DC15E0F" w14:textId="77777777" w:rsidR="005D045F" w:rsidRPr="00981BF5" w:rsidRDefault="005D045F" w:rsidP="005D045F">
      <w:pPr>
        <w:pStyle w:val="Textonotapie"/>
        <w:ind w:firstLine="709"/>
        <w:jc w:val="both"/>
        <w:rPr>
          <w:rFonts w:ascii="Verdana" w:hAnsi="Verdana" w:cs="Arial"/>
          <w:sz w:val="16"/>
          <w:szCs w:val="16"/>
        </w:rPr>
      </w:pPr>
      <w:r w:rsidRPr="00981BF5">
        <w:rPr>
          <w:rFonts w:ascii="Verdana" w:hAnsi="Verdana" w:cs="Arial"/>
          <w:sz w:val="16"/>
          <w:szCs w:val="16"/>
        </w:rPr>
        <w:t>Los particulares, por su parte, tendrán en cuenta al celebrar y ejecutar contratos con las entidades estatales que, colaboran con ellas en el logro de sus fines y cumplen una función social que, como tal, implica obligaciones”.</w:t>
      </w:r>
    </w:p>
  </w:footnote>
  <w:footnote w:id="8">
    <w:p w14:paraId="6E421E64" w14:textId="77777777" w:rsidR="005D045F" w:rsidRPr="00981BF5" w:rsidRDefault="005D045F" w:rsidP="005D045F">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Ley 80 de 1993: “Artículo 23. De los principios en las actuaciones contractuales de las entidades estatales. Las actuaciones de quienes intervengan en la contratación estatal se desarrollarán con arreglo a los principios de transparencia, economía y responsabilidad y de conformidad con los postulados que rigen la función administrativa. Igualmente, se aplicarán en las mismas las normas que regulan la conducta de los servidores públicos, las reglas de interpretación de la contratación, los principios generales del derecho y los particulares del derecho administrativo”.</w:t>
      </w:r>
    </w:p>
  </w:footnote>
  <w:footnote w:id="9">
    <w:p w14:paraId="7994E453" w14:textId="77777777" w:rsidR="005D045F" w:rsidRPr="00981BF5" w:rsidRDefault="005D045F" w:rsidP="005D045F">
      <w:pPr>
        <w:pStyle w:val="Textonotapie"/>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DÁVILA VINUEZA, Luis Guillermo. Régimen jurídico de la contratación estatal. Tercera edición. Editorial Legis, Bogotá, 2016, p. 304.</w:t>
      </w:r>
    </w:p>
  </w:footnote>
  <w:footnote w:id="10">
    <w:p w14:paraId="60084A0C" w14:textId="77777777" w:rsidR="005D045F" w:rsidRPr="00981BF5" w:rsidRDefault="005D045F" w:rsidP="005D045F">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Consejo de Estado. Sección Tercera. Sentencia del 3 de diciembre de 2007. Exp. 24.715. Consejera Ponente: Ruth Stella Correa Palacio.</w:t>
      </w:r>
    </w:p>
  </w:footnote>
  <w:footnote w:id="11">
    <w:p w14:paraId="390D9EFA" w14:textId="77777777" w:rsidR="005D045F" w:rsidRPr="00981BF5" w:rsidRDefault="005D045F" w:rsidP="005D045F">
      <w:pPr>
        <w:pStyle w:val="Textonotapie"/>
        <w:ind w:firstLine="709"/>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Concepto con radicado número 4201912000006639 del 29 de noviembre de 2019 “Tipo de asunto consultado: Sujetos que pueden hacer observaciones al informe de evaluación en un procedimiento contractual mediante la modalidad de licitación pública”.</w:t>
      </w:r>
    </w:p>
  </w:footnote>
  <w:footnote w:id="12">
    <w:p w14:paraId="5A98B6E2" w14:textId="77777777" w:rsidR="005D045F" w:rsidRPr="00981BF5" w:rsidRDefault="005D045F" w:rsidP="005D045F">
      <w:pPr>
        <w:pStyle w:val="Textonotapie"/>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Al respecto, el artículo 3.1 de la Ley 1437 de 2011 dispone que “En virtud del principio del debido proceso, las actuaciones administrativas se adelantarán de conformidad con las normas de procedimiento y competencia establecidas en la Constitución y la ley, con plena garantía de los derechos de representación, defensa y contradicción”.</w:t>
      </w:r>
    </w:p>
  </w:footnote>
  <w:footnote w:id="13">
    <w:p w14:paraId="2FACE2AE"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1150 de 2007: “Artículo 8. De la publicación de proyectos de pliegos de condiciones, y estudios previos. Con el propósito de suministrar al público en general la información que le permita formular observaciones a su contenido, las entidades publicarán los proyectos de pliegos de condiciones o sus equivalentes, en las condiciones que señale el reglamento. La información publicada debe ser veraz, responsable, ecuánime, suficiente y oportuna.</w:t>
      </w:r>
    </w:p>
    <w:p w14:paraId="1680FA3D"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6D0CC582"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Junto con los proyectos de pliegos de condiciones se publicarán los estudios y documentos previos que sirvieron de base para su elaboración.</w:t>
      </w:r>
    </w:p>
    <w:p w14:paraId="1E01F3C8"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Las Entidades deberán publicar las razones por las cuales se acogen o rechazan las observaciones a los proyectos de pliegos”.</w:t>
      </w:r>
    </w:p>
  </w:footnote>
  <w:footnote w:id="14">
    <w:p w14:paraId="4BF1F42E"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1C316F37"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2F84570A"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4º. Dentro de los tres (3) días hábiles siguientes al inicio del plazo para Ia presentación de propuestas y a solicitud de cualquiera de las personas interesadas en el proceso se celebrará una audiencia con el objeto de precisar el contenido y alcance de los pliegos de condiciones, de lo cual se levantará un acta suscrita por los intervinientes. En Ia misma audiencia se revisará Ia asignación de riesgos que trata el artículo 4 de Ia Ley 1150 de 2007 con el fin de establecer su tipificación, estimación y asignación definitiva”.</w:t>
      </w:r>
    </w:p>
  </w:footnote>
  <w:footnote w:id="15">
    <w:p w14:paraId="030BEE1B" w14:textId="77777777" w:rsidR="005D045F" w:rsidRPr="00981BF5" w:rsidRDefault="005D045F" w:rsidP="005D045F">
      <w:pPr>
        <w:pStyle w:val="Textonotapie"/>
        <w:ind w:firstLine="709"/>
        <w:jc w:val="both"/>
        <w:rPr>
          <w:rFonts w:ascii="Verdana" w:hAnsi="Verdana" w:cs="Arial"/>
          <w:color w:val="000000" w:themeColor="text1"/>
          <w:sz w:val="16"/>
          <w:szCs w:val="16"/>
          <w:lang w:val="es-CO"/>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2.2.1.1.1.3.1.”</w:t>
      </w:r>
    </w:p>
  </w:footnote>
  <w:footnote w:id="16">
    <w:p w14:paraId="7BBA429E"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339AAC2D"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4FCBFFA8" w14:textId="77777777" w:rsidR="005D045F" w:rsidRPr="00981BF5" w:rsidRDefault="005D045F" w:rsidP="005D045F">
      <w:pPr>
        <w:pStyle w:val="Textonotapie"/>
        <w:ind w:firstLine="709"/>
        <w:jc w:val="both"/>
        <w:rPr>
          <w:rFonts w:ascii="Verdana" w:hAnsi="Verdana" w:cs="Arial"/>
          <w:color w:val="000000" w:themeColor="text1"/>
          <w:sz w:val="16"/>
          <w:szCs w:val="16"/>
          <w:lang w:val="es-CO"/>
        </w:rPr>
      </w:pPr>
      <w:r w:rsidRPr="00981BF5">
        <w:rPr>
          <w:rFonts w:ascii="Verdana" w:hAnsi="Verdana" w:cs="Arial"/>
          <w:color w:val="000000" w:themeColor="text1"/>
          <w:sz w:val="16"/>
          <w:szCs w:val="16"/>
        </w:rPr>
        <w:t>6º. Las propuestas deben referirse y sujetarse a todos y cada uno de los puntos contenidos en el pliego de condiciones”.</w:t>
      </w:r>
    </w:p>
  </w:footnote>
  <w:footnote w:id="17">
    <w:p w14:paraId="601BAA8B"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Ley 80 de 1993: “Artículo 30. De la estructura de los procedimientos de selección. La licitación se efectuará conforme a las siguientes reglas:</w:t>
      </w:r>
    </w:p>
    <w:p w14:paraId="206A8086"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30D148FB"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“8º.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18">
    <w:p w14:paraId="67E996C7"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2.2.1.2.1.2.20. Procedimiento para la selección abreviada de menor cuantía. Además de las normas generales establecidas en el presente título, las siguientes reglas son aplicables a la selección abreviada de menor cuantía: </w:t>
      </w:r>
    </w:p>
    <w:p w14:paraId="074A4915"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47E2569D"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4. La Entidad Estatal debe publicar el informe de evaluación de ofertas durante tres (3) días hábiles”.</w:t>
      </w:r>
    </w:p>
    <w:p w14:paraId="5121906A"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“Artículo 2.2.1.2.1.3.2. Procedimiento del concurso de méritos. Además de las reglas generales previstas en la ley y en el presente título, las siguientes reglas son aplicables al concurso de méritos abierto o con precalificación:</w:t>
      </w:r>
    </w:p>
    <w:p w14:paraId="0FAE0203"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218FD5DA"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2. La Entidad Estatal debe publicar durante tres (3) días hábiles el informe de evaluación, el cual debe contener la evaluación de las ofertas frente a todos los requisitos exigidos en el pliego de condiciones, incluyendo los requisitos habilitantes y los de asignación de puntaje”.</w:t>
      </w:r>
    </w:p>
    <w:p w14:paraId="260BDED8"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“Artículo 2.2.1.2.1.5.2. Procedimiento para la contratación de mínima cuantía. Las siguientes reglas son aplicables a la contratación cuyo valor no excede del 10% de la menor cuantía de la Entidad Estatal, independientemente de su objeto:</w:t>
      </w:r>
    </w:p>
    <w:p w14:paraId="3070C55C"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7150196F"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6. La Entidad Estatal debe publicar el informe de evaluación durante mínimo un (1) día hábil, para que durante este término los oferentes presenten las observaciones que deberán ser respondidas por la Entidad Estatal antes de realizar la aceptación de la oferta seleccionada”.</w:t>
      </w:r>
    </w:p>
  </w:footnote>
  <w:footnote w:id="19">
    <w:p w14:paraId="28ECAE50"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Style w:val="Refdenotaalpie"/>
          <w:rFonts w:ascii="Verdana" w:hAnsi="Verdana" w:cs="Arial"/>
          <w:color w:val="000000" w:themeColor="text1"/>
          <w:sz w:val="16"/>
          <w:szCs w:val="16"/>
        </w:rPr>
        <w:footnoteRef/>
      </w:r>
      <w:r w:rsidRPr="00981BF5">
        <w:rPr>
          <w:rFonts w:ascii="Verdana" w:hAnsi="Verdana" w:cs="Arial"/>
          <w:color w:val="000000" w:themeColor="text1"/>
          <w:sz w:val="16"/>
          <w:szCs w:val="16"/>
        </w:rPr>
        <w:t xml:space="preserve"> Decreto 1082 de 2015: “Artículo 2.2.1.2.1.1.2. Audiencias en la licitación.</w:t>
      </w:r>
    </w:p>
    <w:p w14:paraId="1AE7F7A0"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w:t>
      </w:r>
    </w:p>
    <w:p w14:paraId="50137051" w14:textId="77777777" w:rsidR="005D045F" w:rsidRPr="00981BF5" w:rsidRDefault="005D045F" w:rsidP="005D045F">
      <w:pPr>
        <w:pStyle w:val="Textonotapie"/>
        <w:ind w:firstLine="709"/>
        <w:jc w:val="both"/>
        <w:rPr>
          <w:rFonts w:ascii="Verdana" w:hAnsi="Verdana" w:cs="Arial"/>
          <w:color w:val="000000" w:themeColor="text1"/>
          <w:sz w:val="16"/>
          <w:szCs w:val="16"/>
        </w:rPr>
      </w:pPr>
      <w:r w:rsidRPr="00981BF5">
        <w:rPr>
          <w:rFonts w:ascii="Verdana" w:hAnsi="Verdana" w:cs="Arial"/>
          <w:color w:val="000000" w:themeColor="text1"/>
          <w:sz w:val="16"/>
          <w:szCs w:val="16"/>
        </w:rPr>
        <w:t>La Entidad Estatal debe realizar la audiencia de adjudicación en la fecha y hora establecida en el Cronograma, la cual se realizará de acuerdo con las reglas establecidas para el efecto en los mismos y las siguientes consideraciones:</w:t>
      </w:r>
    </w:p>
    <w:p w14:paraId="14C8C04D" w14:textId="77777777" w:rsidR="005D045F" w:rsidRPr="00981BF5" w:rsidRDefault="005D045F" w:rsidP="005D045F">
      <w:pPr>
        <w:pStyle w:val="Textonotapie"/>
        <w:ind w:firstLine="709"/>
        <w:jc w:val="both"/>
        <w:rPr>
          <w:rFonts w:ascii="Verdana" w:hAnsi="Verdana" w:cs="Arial"/>
          <w:color w:val="000000" w:themeColor="text1"/>
          <w:sz w:val="16"/>
          <w:szCs w:val="16"/>
          <w:lang w:val="es-CO"/>
        </w:rPr>
      </w:pPr>
      <w:r w:rsidRPr="00981BF5">
        <w:rPr>
          <w:rFonts w:ascii="Verdana" w:hAnsi="Verdana" w:cs="Arial"/>
          <w:color w:val="000000" w:themeColor="text1"/>
          <w:sz w:val="16"/>
          <w:szCs w:val="16"/>
        </w:rPr>
        <w:t>1. En la audiencia los oferentes pueden pronunciarse sobre las respuestas dadas por la Entidad Estatal a las observaciones presentadas respecto del informe de evaluación, lo cual no implica una nueva oportunidad para mejorar o modificar la oferta. Si hay pronunciamientos que a juicio de la Entidad Estatal requiere análisis adicional y su solución puede incidir en el sentido de la decisión a adoptar, la audiencia puede suspenderse por el término necesario para la verificación de los asuntos debatidos y la comprobación de lo alegado”.</w:t>
      </w:r>
    </w:p>
  </w:footnote>
  <w:footnote w:id="20">
    <w:p w14:paraId="7485FA86" w14:textId="77777777" w:rsidR="005D045F" w:rsidRPr="00351C95" w:rsidRDefault="005D045F" w:rsidP="005D045F">
      <w:pPr>
        <w:pStyle w:val="Textonotapie"/>
        <w:ind w:firstLine="708"/>
        <w:jc w:val="both"/>
        <w:rPr>
          <w:rFonts w:ascii="Verdana" w:hAnsi="Verdana"/>
          <w:sz w:val="16"/>
          <w:szCs w:val="16"/>
        </w:rPr>
      </w:pPr>
      <w:r w:rsidRPr="00351C95">
        <w:rPr>
          <w:rStyle w:val="Refdenotaalpie"/>
          <w:rFonts w:ascii="Verdana" w:hAnsi="Verdana"/>
          <w:sz w:val="16"/>
          <w:szCs w:val="16"/>
        </w:rPr>
        <w:footnoteRef/>
      </w:r>
      <w:r w:rsidRPr="00351C95">
        <w:rPr>
          <w:rFonts w:ascii="Verdana" w:hAnsi="Verdana"/>
          <w:sz w:val="16"/>
          <w:szCs w:val="16"/>
        </w:rPr>
        <w:t xml:space="preserve"> </w:t>
      </w:r>
      <w:r>
        <w:rPr>
          <w:rFonts w:ascii="Verdana" w:hAnsi="Verdana"/>
          <w:sz w:val="16"/>
          <w:szCs w:val="16"/>
        </w:rPr>
        <w:t xml:space="preserve">BARRETO SOLER, Manuel y SARMIENTO ANZOLA, Libardo. </w:t>
      </w:r>
      <w:r w:rsidRPr="00351C95">
        <w:rPr>
          <w:rFonts w:ascii="Verdana" w:hAnsi="Verdana"/>
          <w:sz w:val="16"/>
          <w:szCs w:val="16"/>
        </w:rPr>
        <w:t>Constitucion Pol</w:t>
      </w:r>
      <w:r>
        <w:rPr>
          <w:rFonts w:ascii="Verdana" w:hAnsi="Verdana"/>
          <w:sz w:val="16"/>
          <w:szCs w:val="16"/>
        </w:rPr>
        <w:t>í</w:t>
      </w:r>
      <w:r w:rsidRPr="00351C95">
        <w:rPr>
          <w:rFonts w:ascii="Verdana" w:hAnsi="Verdana"/>
          <w:sz w:val="16"/>
          <w:szCs w:val="16"/>
        </w:rPr>
        <w:t xml:space="preserve">tica </w:t>
      </w:r>
      <w:r>
        <w:rPr>
          <w:rFonts w:ascii="Verdana" w:hAnsi="Verdana"/>
          <w:sz w:val="16"/>
          <w:szCs w:val="16"/>
        </w:rPr>
        <w:t>d</w:t>
      </w:r>
      <w:r w:rsidRPr="00351C95">
        <w:rPr>
          <w:rFonts w:ascii="Verdana" w:hAnsi="Verdana"/>
          <w:sz w:val="16"/>
          <w:szCs w:val="16"/>
        </w:rPr>
        <w:t>e Colombia</w:t>
      </w:r>
      <w:r>
        <w:rPr>
          <w:rFonts w:ascii="Verdana" w:hAnsi="Verdana"/>
          <w:sz w:val="16"/>
          <w:szCs w:val="16"/>
        </w:rPr>
        <w:t xml:space="preserve"> </w:t>
      </w:r>
      <w:r w:rsidRPr="00351C95">
        <w:rPr>
          <w:rFonts w:ascii="Verdana" w:hAnsi="Verdana"/>
          <w:sz w:val="16"/>
          <w:szCs w:val="16"/>
        </w:rPr>
        <w:t>comentada por la</w:t>
      </w:r>
      <w:r>
        <w:rPr>
          <w:rFonts w:ascii="Verdana" w:hAnsi="Verdana"/>
          <w:sz w:val="16"/>
          <w:szCs w:val="16"/>
        </w:rPr>
        <w:t xml:space="preserve"> </w:t>
      </w:r>
      <w:r w:rsidRPr="00351C95">
        <w:rPr>
          <w:rFonts w:ascii="Verdana" w:hAnsi="Verdana"/>
          <w:sz w:val="16"/>
          <w:szCs w:val="16"/>
        </w:rPr>
        <w:t xml:space="preserve">Comision Colombiana </w:t>
      </w:r>
      <w:r>
        <w:rPr>
          <w:rFonts w:ascii="Verdana" w:hAnsi="Verdana"/>
          <w:sz w:val="16"/>
          <w:szCs w:val="16"/>
        </w:rPr>
        <w:t>d</w:t>
      </w:r>
      <w:r w:rsidRPr="00351C95">
        <w:rPr>
          <w:rFonts w:ascii="Verdana" w:hAnsi="Verdana"/>
          <w:sz w:val="16"/>
          <w:szCs w:val="16"/>
        </w:rPr>
        <w:t>e Juristas</w:t>
      </w:r>
      <w:r>
        <w:rPr>
          <w:rFonts w:ascii="Verdana" w:hAnsi="Verdana"/>
          <w:sz w:val="16"/>
          <w:szCs w:val="16"/>
        </w:rPr>
        <w:t xml:space="preserve">. Título II. </w:t>
      </w:r>
      <w:r w:rsidRPr="00351C95">
        <w:rPr>
          <w:rFonts w:ascii="Verdana" w:hAnsi="Verdana"/>
          <w:sz w:val="16"/>
          <w:szCs w:val="16"/>
        </w:rPr>
        <w:t>De los derechos, las garantias</w:t>
      </w:r>
      <w:r>
        <w:rPr>
          <w:rFonts w:ascii="Verdana" w:hAnsi="Verdana"/>
          <w:sz w:val="16"/>
          <w:szCs w:val="16"/>
        </w:rPr>
        <w:t xml:space="preserve"> y </w:t>
      </w:r>
      <w:r w:rsidRPr="00351C95">
        <w:rPr>
          <w:rFonts w:ascii="Verdana" w:hAnsi="Verdana"/>
          <w:sz w:val="16"/>
          <w:szCs w:val="16"/>
        </w:rPr>
        <w:t>los deberes</w:t>
      </w:r>
      <w:r>
        <w:rPr>
          <w:rFonts w:ascii="Verdana" w:hAnsi="Verdana"/>
          <w:sz w:val="16"/>
          <w:szCs w:val="16"/>
        </w:rPr>
        <w:t xml:space="preserve">. Bogotá: </w:t>
      </w:r>
      <w:r w:rsidRPr="00351C95">
        <w:rPr>
          <w:rFonts w:ascii="Verdana" w:hAnsi="Verdana"/>
          <w:sz w:val="16"/>
          <w:szCs w:val="16"/>
        </w:rPr>
        <w:t>Impreandes</w:t>
      </w:r>
      <w:r>
        <w:rPr>
          <w:rFonts w:ascii="Verdana" w:hAnsi="Verdana"/>
          <w:sz w:val="16"/>
          <w:szCs w:val="16"/>
        </w:rPr>
        <w:t xml:space="preserve"> </w:t>
      </w:r>
      <w:r w:rsidRPr="00325F8F">
        <w:rPr>
          <w:rFonts w:ascii="Verdana" w:hAnsi="Verdana"/>
          <w:sz w:val="16"/>
          <w:szCs w:val="16"/>
        </w:rPr>
        <w:t>Presencia S.A</w:t>
      </w:r>
      <w:r>
        <w:rPr>
          <w:rFonts w:ascii="Verdana" w:hAnsi="Verdana"/>
          <w:sz w:val="16"/>
          <w:szCs w:val="16"/>
        </w:rPr>
        <w:t xml:space="preserve">, </w:t>
      </w:r>
      <w:r w:rsidRPr="00351C95">
        <w:rPr>
          <w:rFonts w:ascii="Verdana" w:hAnsi="Verdana"/>
          <w:sz w:val="16"/>
          <w:szCs w:val="16"/>
        </w:rPr>
        <w:t xml:space="preserve"> </w:t>
      </w:r>
      <w:r>
        <w:rPr>
          <w:rFonts w:ascii="Verdana" w:hAnsi="Verdana"/>
          <w:sz w:val="16"/>
          <w:szCs w:val="16"/>
        </w:rPr>
        <w:t>1997. p. 382.</w:t>
      </w:r>
    </w:p>
  </w:footnote>
  <w:footnote w:id="21">
    <w:p w14:paraId="52E8DB7E" w14:textId="77777777" w:rsidR="005D045F" w:rsidRPr="005D045F" w:rsidRDefault="005D045F" w:rsidP="005D045F">
      <w:pPr>
        <w:pStyle w:val="Textonotapie"/>
        <w:ind w:firstLine="708"/>
        <w:jc w:val="both"/>
        <w:rPr>
          <w:rFonts w:ascii="Verdana" w:hAnsi="Verdana"/>
          <w:sz w:val="16"/>
          <w:szCs w:val="16"/>
          <w:lang w:val="es-CO"/>
        </w:rPr>
      </w:pPr>
      <w:r w:rsidRPr="007B34EE">
        <w:rPr>
          <w:rStyle w:val="Refdenotaalpie"/>
          <w:rFonts w:ascii="Verdana" w:hAnsi="Verdana"/>
          <w:sz w:val="16"/>
          <w:szCs w:val="16"/>
        </w:rPr>
        <w:footnoteRef/>
      </w:r>
      <w:r w:rsidRPr="007B34EE">
        <w:rPr>
          <w:rFonts w:ascii="Verdana" w:hAnsi="Verdana"/>
          <w:sz w:val="16"/>
          <w:szCs w:val="16"/>
        </w:rPr>
        <w:t xml:space="preserve"> </w:t>
      </w:r>
      <w:r w:rsidRPr="002A2D00">
        <w:rPr>
          <w:rFonts w:ascii="Verdana" w:hAnsi="Verdana"/>
          <w:sz w:val="16"/>
          <w:szCs w:val="16"/>
        </w:rPr>
        <w:t>DÁVILA VINUEZA, Luis Guillermo. Régimen jurídico de la contratación estatal. Tercera Edición. Bogotá: Legis, 2016. p.</w:t>
      </w:r>
      <w:r>
        <w:rPr>
          <w:rFonts w:ascii="Verdana" w:hAnsi="Verdana"/>
          <w:sz w:val="16"/>
          <w:szCs w:val="16"/>
        </w:rPr>
        <w:t xml:space="preserve"> 261.</w:t>
      </w:r>
    </w:p>
  </w:footnote>
  <w:footnote w:id="22">
    <w:p w14:paraId="4A395181" w14:textId="77777777" w:rsidR="005D045F" w:rsidRPr="00981BF5" w:rsidRDefault="005D045F" w:rsidP="005D045F">
      <w:pPr>
        <w:spacing w:after="0"/>
        <w:ind w:firstLine="708"/>
        <w:jc w:val="both"/>
        <w:rPr>
          <w:rFonts w:ascii="Verdana" w:hAnsi="Verdana" w:cs="Arial"/>
          <w:sz w:val="16"/>
          <w:szCs w:val="16"/>
        </w:rPr>
      </w:pPr>
      <w:r w:rsidRPr="00981BF5">
        <w:rPr>
          <w:rStyle w:val="Refdenotaalpie"/>
          <w:rFonts w:ascii="Verdana" w:hAnsi="Verdana" w:cs="Arial"/>
          <w:sz w:val="16"/>
          <w:szCs w:val="16"/>
        </w:rPr>
        <w:footnoteRef/>
      </w:r>
      <w:r w:rsidRPr="00981BF5">
        <w:rPr>
          <w:rFonts w:ascii="Verdana" w:hAnsi="Verdana" w:cs="Arial"/>
          <w:sz w:val="16"/>
          <w:szCs w:val="16"/>
        </w:rPr>
        <w:t xml:space="preserve"> CORTE CONSTITUCIONAL. Sentencia C-007 de 2017. M.P. Gloria Stella Ortiz Delgado.</w:t>
      </w:r>
    </w:p>
  </w:footnote>
  <w:footnote w:id="23">
    <w:p w14:paraId="13F8AED0" w14:textId="77777777" w:rsidR="005D045F" w:rsidRPr="000A025B" w:rsidRDefault="005D045F" w:rsidP="005D045F">
      <w:pPr>
        <w:pStyle w:val="Textonotapie"/>
        <w:ind w:firstLine="708"/>
        <w:jc w:val="both"/>
        <w:rPr>
          <w:rFonts w:ascii="Verdana" w:hAnsi="Verdana"/>
          <w:sz w:val="16"/>
          <w:szCs w:val="16"/>
        </w:rPr>
      </w:pPr>
      <w:r w:rsidRPr="000A025B">
        <w:rPr>
          <w:rStyle w:val="Refdenotaalpie"/>
          <w:rFonts w:ascii="Verdana" w:hAnsi="Verdana"/>
          <w:sz w:val="16"/>
          <w:szCs w:val="16"/>
        </w:rPr>
        <w:footnoteRef/>
      </w:r>
      <w:r w:rsidRPr="000A025B">
        <w:rPr>
          <w:rFonts w:ascii="Verdana" w:hAnsi="Verdana"/>
          <w:sz w:val="16"/>
          <w:szCs w:val="16"/>
        </w:rPr>
        <w:t xml:space="preserve"> </w:t>
      </w:r>
      <w:r>
        <w:rPr>
          <w:rFonts w:ascii="Verdana" w:hAnsi="Verdana"/>
          <w:sz w:val="16"/>
          <w:szCs w:val="16"/>
        </w:rPr>
        <w:t xml:space="preserve">El artículo </w:t>
      </w:r>
      <w:r w:rsidRPr="000A025B">
        <w:rPr>
          <w:rFonts w:ascii="Verdana" w:hAnsi="Verdana"/>
          <w:sz w:val="16"/>
          <w:szCs w:val="16"/>
        </w:rPr>
        <w:t>2.2.1.1.2.2.1 del Decreto 1082 de 2015</w:t>
      </w:r>
      <w:r>
        <w:rPr>
          <w:rFonts w:ascii="Verdana" w:hAnsi="Verdana"/>
          <w:sz w:val="16"/>
          <w:szCs w:val="16"/>
        </w:rPr>
        <w:t xml:space="preserve"> dispone que “</w:t>
      </w:r>
      <w:r w:rsidRPr="000A025B">
        <w:rPr>
          <w:rFonts w:ascii="Verdana" w:hAnsi="Verdana"/>
          <w:sz w:val="16"/>
          <w:szCs w:val="16"/>
        </w:rPr>
        <w:t>La Entidad Estatal puede modificar los pliegos de condiciones a través de Adendas expedidas antes del vencimiento del plazo para presentar ofertas.</w:t>
      </w:r>
    </w:p>
    <w:p w14:paraId="46571916" w14:textId="77777777" w:rsidR="005D045F" w:rsidRPr="000A025B" w:rsidRDefault="005D045F" w:rsidP="005D045F">
      <w:pPr>
        <w:pStyle w:val="Textonotapie"/>
        <w:ind w:firstLine="708"/>
        <w:jc w:val="both"/>
        <w:rPr>
          <w:rFonts w:ascii="Verdana" w:hAnsi="Verdana"/>
          <w:sz w:val="16"/>
          <w:szCs w:val="16"/>
        </w:rPr>
      </w:pPr>
      <w:r w:rsidRPr="000A025B">
        <w:rPr>
          <w:rFonts w:ascii="Verdana" w:hAnsi="Verdana"/>
          <w:sz w:val="16"/>
          <w:szCs w:val="16"/>
        </w:rPr>
        <w:t>La Entidad Estatal puede expedir Adendas para modificar el Cronograma una vez vencido el término para la presentación de las ofertas y antes de la adjudicación del contrato.</w:t>
      </w:r>
    </w:p>
    <w:p w14:paraId="166A2B53" w14:textId="77777777" w:rsidR="005D045F" w:rsidRPr="000A025B" w:rsidRDefault="005D045F" w:rsidP="005D045F">
      <w:pPr>
        <w:pStyle w:val="Textonotapie"/>
        <w:ind w:firstLine="708"/>
        <w:jc w:val="both"/>
        <w:rPr>
          <w:rFonts w:ascii="Verdana" w:hAnsi="Verdana"/>
          <w:sz w:val="16"/>
          <w:szCs w:val="16"/>
          <w:lang w:val="es-CO"/>
        </w:rPr>
      </w:pPr>
      <w:r w:rsidRPr="000A025B">
        <w:rPr>
          <w:rFonts w:ascii="Verdana" w:hAnsi="Verdana"/>
          <w:sz w:val="16"/>
          <w:szCs w:val="16"/>
        </w:rPr>
        <w:t>La Entidad Estatal debe publicar las Adendas en los días hábiles, entre las 7:00 a. m. y las 7:00 p. m., a más tardar el día hábil anterior al vencimiento del plazo para presentar ofertas a la hora fijada para tal presentación, salvo en la licitación pública pues de conformidad con la ley la publicación debe hacerse con tres (3) días de anticipación</w:t>
      </w:r>
      <w:r>
        <w:rPr>
          <w:rFonts w:ascii="Verdana" w:hAnsi="Verdana"/>
          <w:sz w:val="16"/>
          <w:szCs w:val="16"/>
        </w:rPr>
        <w:t>”</w:t>
      </w:r>
      <w:r w:rsidRPr="000A025B">
        <w:rPr>
          <w:rFonts w:ascii="Verdana" w:hAnsi="Verdana"/>
          <w:sz w:val="16"/>
          <w:szCs w:val="16"/>
        </w:rPr>
        <w:t>.</w:t>
      </w:r>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9"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275B4"/>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233F"/>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7428"/>
    <w:rsid w:val="004F21C4"/>
    <w:rsid w:val="004F685F"/>
    <w:rsid w:val="005566E8"/>
    <w:rsid w:val="00574867"/>
    <w:rsid w:val="00591460"/>
    <w:rsid w:val="005A65E0"/>
    <w:rsid w:val="005C3777"/>
    <w:rsid w:val="005C5CDC"/>
    <w:rsid w:val="005D045F"/>
    <w:rsid w:val="005D476C"/>
    <w:rsid w:val="006200BF"/>
    <w:rsid w:val="006219F8"/>
    <w:rsid w:val="00627879"/>
    <w:rsid w:val="006302F7"/>
    <w:rsid w:val="00646B9F"/>
    <w:rsid w:val="00646ECB"/>
    <w:rsid w:val="00665D70"/>
    <w:rsid w:val="006900D9"/>
    <w:rsid w:val="00705226"/>
    <w:rsid w:val="00706C16"/>
    <w:rsid w:val="0071505F"/>
    <w:rsid w:val="007340C3"/>
    <w:rsid w:val="0075235A"/>
    <w:rsid w:val="00756841"/>
    <w:rsid w:val="007570E3"/>
    <w:rsid w:val="007649AB"/>
    <w:rsid w:val="00771D0C"/>
    <w:rsid w:val="007833AC"/>
    <w:rsid w:val="007B268C"/>
    <w:rsid w:val="007B7171"/>
    <w:rsid w:val="007C0C0F"/>
    <w:rsid w:val="007C3DC2"/>
    <w:rsid w:val="007E5497"/>
    <w:rsid w:val="00806F5F"/>
    <w:rsid w:val="00813D93"/>
    <w:rsid w:val="00820278"/>
    <w:rsid w:val="008258C9"/>
    <w:rsid w:val="00837948"/>
    <w:rsid w:val="00844AE9"/>
    <w:rsid w:val="00867F95"/>
    <w:rsid w:val="00874183"/>
    <w:rsid w:val="008843B6"/>
    <w:rsid w:val="00891928"/>
    <w:rsid w:val="008A446D"/>
    <w:rsid w:val="008B25F1"/>
    <w:rsid w:val="008D180B"/>
    <w:rsid w:val="008F0EA7"/>
    <w:rsid w:val="00923EEF"/>
    <w:rsid w:val="009419F9"/>
    <w:rsid w:val="0095685E"/>
    <w:rsid w:val="00961B09"/>
    <w:rsid w:val="00965334"/>
    <w:rsid w:val="0097093E"/>
    <w:rsid w:val="00980C5E"/>
    <w:rsid w:val="009840D6"/>
    <w:rsid w:val="00984D8B"/>
    <w:rsid w:val="009A0DFA"/>
    <w:rsid w:val="009A1C6F"/>
    <w:rsid w:val="009B2D26"/>
    <w:rsid w:val="009C71FA"/>
    <w:rsid w:val="009C72E7"/>
    <w:rsid w:val="009C7F7E"/>
    <w:rsid w:val="009D3058"/>
    <w:rsid w:val="009E75E1"/>
    <w:rsid w:val="009F3A13"/>
    <w:rsid w:val="00A122D3"/>
    <w:rsid w:val="00A14468"/>
    <w:rsid w:val="00A17F13"/>
    <w:rsid w:val="00A20739"/>
    <w:rsid w:val="00A23AF9"/>
    <w:rsid w:val="00A30436"/>
    <w:rsid w:val="00A33C78"/>
    <w:rsid w:val="00A61A8B"/>
    <w:rsid w:val="00AB0ADB"/>
    <w:rsid w:val="00AD657D"/>
    <w:rsid w:val="00B00C0E"/>
    <w:rsid w:val="00B01B1A"/>
    <w:rsid w:val="00B0381D"/>
    <w:rsid w:val="00B25548"/>
    <w:rsid w:val="00B44A47"/>
    <w:rsid w:val="00B60CD0"/>
    <w:rsid w:val="00B72CD3"/>
    <w:rsid w:val="00B72FFF"/>
    <w:rsid w:val="00BC322B"/>
    <w:rsid w:val="00BC3D36"/>
    <w:rsid w:val="00BD54A6"/>
    <w:rsid w:val="00BD7F72"/>
    <w:rsid w:val="00BF7425"/>
    <w:rsid w:val="00C04FB3"/>
    <w:rsid w:val="00C11D8B"/>
    <w:rsid w:val="00C15139"/>
    <w:rsid w:val="00C330EB"/>
    <w:rsid w:val="00C50D69"/>
    <w:rsid w:val="00C5365C"/>
    <w:rsid w:val="00C754BE"/>
    <w:rsid w:val="00C76B1C"/>
    <w:rsid w:val="00C925AC"/>
    <w:rsid w:val="00CB32B5"/>
    <w:rsid w:val="00CB6357"/>
    <w:rsid w:val="00CC1B26"/>
    <w:rsid w:val="00CF4058"/>
    <w:rsid w:val="00D222F2"/>
    <w:rsid w:val="00D361FD"/>
    <w:rsid w:val="00D423A2"/>
    <w:rsid w:val="00D44E26"/>
    <w:rsid w:val="00D520D8"/>
    <w:rsid w:val="00D63AC2"/>
    <w:rsid w:val="00D7383B"/>
    <w:rsid w:val="00D7788A"/>
    <w:rsid w:val="00DA231B"/>
    <w:rsid w:val="00DC39FC"/>
    <w:rsid w:val="00DF3538"/>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A66BF"/>
    <w:rsid w:val="00EC38A7"/>
    <w:rsid w:val="00EE1AA8"/>
    <w:rsid w:val="00EF0B45"/>
    <w:rsid w:val="00F12DDE"/>
    <w:rsid w:val="00F23FEA"/>
    <w:rsid w:val="00F31EDC"/>
    <w:rsid w:val="00F41885"/>
    <w:rsid w:val="00F462B3"/>
    <w:rsid w:val="00F5664F"/>
    <w:rsid w:val="00F666C4"/>
    <w:rsid w:val="00F76AFC"/>
    <w:rsid w:val="00FA47C0"/>
    <w:rsid w:val="00FB5DD1"/>
    <w:rsid w:val="00FC2B5D"/>
    <w:rsid w:val="00FF1449"/>
    <w:rsid w:val="00FF7963"/>
    <w:rsid w:val="09908A09"/>
    <w:rsid w:val="10BDAB7F"/>
    <w:rsid w:val="13CFC91B"/>
    <w:rsid w:val="179D4C3D"/>
    <w:rsid w:val="19A2EC2C"/>
    <w:rsid w:val="1BDDC454"/>
    <w:rsid w:val="2859CA1B"/>
    <w:rsid w:val="32A4F9CF"/>
    <w:rsid w:val="3421A2D2"/>
    <w:rsid w:val="356CEDFD"/>
    <w:rsid w:val="536DE722"/>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D045F"/>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D045F"/>
    <w:rPr>
      <w:rFonts w:ascii="Geomanist Light" w:hAnsi="Geomanist Light"/>
      <w:lang w:val="es-ES"/>
    </w:rPr>
  </w:style>
  <w:style w:type="paragraph" w:styleId="Textoindependiente">
    <w:name w:val="Body Text"/>
    <w:basedOn w:val="Normal"/>
    <w:link w:val="TextoindependienteCar"/>
    <w:uiPriority w:val="99"/>
    <w:unhideWhenUsed/>
    <w:rsid w:val="005D045F"/>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5D045F"/>
    <w:rPr>
      <w:rFonts w:eastAsiaTheme="minorEastAsia"/>
      <w:lang w:eastAsia="es-CO"/>
    </w:rPr>
  </w:style>
  <w:style w:type="character" w:customStyle="1" w:styleId="s15">
    <w:name w:val="s15"/>
    <w:basedOn w:val="Fuentedeprrafopredeter"/>
    <w:rsid w:val="005D045F"/>
  </w:style>
  <w:style w:type="character" w:styleId="Textoennegrita">
    <w:name w:val="Strong"/>
    <w:basedOn w:val="Fuentedeprrafopredeter"/>
    <w:uiPriority w:val="22"/>
    <w:qFormat/>
    <w:rsid w:val="005D045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oujiro25ls@me.com"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about:blank"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1155978-338B-421C-B563-048231D7489B}"/>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25</Pages>
  <Words>8131</Words>
  <Characters>44722</Characters>
  <Application>Microsoft Office Word</Application>
  <DocSecurity>0</DocSecurity>
  <Lines>372</Lines>
  <Paragraphs>105</Paragraphs>
  <ScaleCrop>false</ScaleCrop>
  <Company/>
  <LinksUpToDate>false</LinksUpToDate>
  <CharactersWithSpaces>52748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2025-12-01T18:35:00Z</dcterms:created>
  <dcterms:modified xsi:type="dcterms:W3CDTF">2025-12-02T00:11:00Z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