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44CB3" w14:textId="77777777" w:rsidR="005F4C77" w:rsidRDefault="005F4C77" w:rsidP="005F4C77">
      <w:pPr>
        <w:spacing w:after="0" w:line="240" w:lineRule="auto"/>
        <w:jc w:val="both"/>
        <w:rPr>
          <w:rFonts w:ascii="Verdana" w:hAnsi="Verdana" w:cs="Arial"/>
          <w:b/>
          <w:bCs/>
          <w:lang w:val="es-MX" w:eastAsia="es-ES_tradnl"/>
        </w:rPr>
      </w:pPr>
      <w:r w:rsidRPr="00A249CD">
        <w:rPr>
          <w:rFonts w:ascii="Verdana" w:hAnsi="Verdana" w:cs="Arial"/>
          <w:b/>
          <w:bCs/>
          <w:lang w:val="es-MX" w:eastAsia="es-ES_tradnl"/>
        </w:rPr>
        <w:t>LEY DE GARANTÍAS ELECTORALES ‒ Finalidad</w:t>
      </w:r>
    </w:p>
    <w:p w14:paraId="50EF603E" w14:textId="77777777" w:rsidR="005F4C77" w:rsidRDefault="005F4C77" w:rsidP="005F4C77">
      <w:pPr>
        <w:spacing w:after="0" w:line="240" w:lineRule="auto"/>
        <w:jc w:val="both"/>
        <w:rPr>
          <w:rFonts w:ascii="Verdana" w:hAnsi="Verdana" w:cs="Arial"/>
          <w:b/>
          <w:bCs/>
          <w:lang w:val="es-MX" w:eastAsia="es-ES_tradnl"/>
        </w:rPr>
      </w:pPr>
    </w:p>
    <w:p w14:paraId="0A4C15F9" w14:textId="77777777" w:rsidR="005F4C77" w:rsidRDefault="005F4C77" w:rsidP="005F4C77">
      <w:pPr>
        <w:spacing w:after="0" w:line="240" w:lineRule="auto"/>
        <w:jc w:val="both"/>
        <w:rPr>
          <w:rFonts w:ascii="Verdana" w:eastAsia="Times New Roman" w:hAnsi="Verdana" w:cs="Arial"/>
          <w:bCs/>
          <w:sz w:val="20"/>
          <w:szCs w:val="20"/>
          <w:lang w:eastAsia="es-CO"/>
        </w:rPr>
      </w:pPr>
      <w:r w:rsidRPr="00A249CD">
        <w:rPr>
          <w:rFonts w:ascii="Verdana" w:eastAsia="Times New Roman" w:hAnsi="Verdana" w:cs="Arial"/>
          <w:bCs/>
          <w:sz w:val="20"/>
          <w:szCs w:val="20"/>
          <w:lang w:eastAsia="es-CO"/>
        </w:rPr>
        <w:t>La Ley 996 de 2005, conocida como “Ley de Garantías Electorales”, tiene como propósito evitar la injerencia inadecuada de intereses particulares en el ejercicio de la función pública. Esta ley busca evitar cualquier tipo de arbitrariedad, de ventaja injustificada, de uso irregular de los recursos del Estado en las campañas o falta de garantías en la elección presidencial</w:t>
      </w:r>
      <w:r>
        <w:rPr>
          <w:rFonts w:ascii="Verdana" w:eastAsia="Times New Roman" w:hAnsi="Verdana" w:cs="Arial"/>
          <w:bCs/>
          <w:sz w:val="20"/>
          <w:szCs w:val="20"/>
          <w:lang w:eastAsia="es-CO"/>
        </w:rPr>
        <w:t>.</w:t>
      </w:r>
    </w:p>
    <w:p w14:paraId="23F3B711" w14:textId="77777777" w:rsidR="005F4C77" w:rsidRDefault="005F4C77" w:rsidP="005F4C77">
      <w:pPr>
        <w:spacing w:after="0" w:line="240" w:lineRule="auto"/>
        <w:jc w:val="both"/>
        <w:rPr>
          <w:rFonts w:ascii="Verdana" w:eastAsia="Times New Roman" w:hAnsi="Verdana" w:cs="Arial"/>
          <w:bCs/>
          <w:sz w:val="20"/>
          <w:szCs w:val="20"/>
          <w:lang w:eastAsia="es-CO"/>
        </w:rPr>
      </w:pPr>
    </w:p>
    <w:p w14:paraId="57C2D733" w14:textId="77777777" w:rsidR="005F4C77" w:rsidRDefault="005F4C77" w:rsidP="005F4C77">
      <w:pPr>
        <w:spacing w:after="0" w:line="240" w:lineRule="auto"/>
        <w:jc w:val="both"/>
        <w:rPr>
          <w:rFonts w:ascii="Verdana" w:hAnsi="Verdana" w:cs="Arial"/>
          <w:b/>
          <w:bCs/>
          <w:lang w:val="es-MX" w:eastAsia="es-ES_tradnl"/>
        </w:rPr>
      </w:pPr>
      <w:r w:rsidRPr="00735C42">
        <w:rPr>
          <w:rFonts w:ascii="Verdana" w:hAnsi="Verdana" w:cs="Arial"/>
          <w:b/>
          <w:bCs/>
          <w:lang w:val="es-MX" w:eastAsia="es-ES_tradnl"/>
        </w:rPr>
        <w:t>LEY DE GARANTÍAS ELECTORALES ‒ Prohibición - contratación directa</w:t>
      </w:r>
    </w:p>
    <w:p w14:paraId="68C69911" w14:textId="77777777" w:rsidR="005F4C77" w:rsidRDefault="005F4C77" w:rsidP="005F4C77">
      <w:pPr>
        <w:spacing w:after="0" w:line="240" w:lineRule="auto"/>
        <w:jc w:val="both"/>
        <w:rPr>
          <w:rFonts w:ascii="Verdana" w:hAnsi="Verdana" w:cs="Arial"/>
          <w:b/>
          <w:bCs/>
          <w:lang w:val="es-MX" w:eastAsia="es-ES_tradnl"/>
        </w:rPr>
      </w:pPr>
    </w:p>
    <w:p w14:paraId="25EAFD57" w14:textId="77777777" w:rsidR="005F4C77" w:rsidRPr="00735C42" w:rsidRDefault="005F4C77" w:rsidP="005F4C77">
      <w:pPr>
        <w:spacing w:after="0" w:line="240" w:lineRule="auto"/>
        <w:jc w:val="both"/>
        <w:rPr>
          <w:rFonts w:ascii="Verdana" w:eastAsia="Calibri" w:hAnsi="Verdana" w:cs="Arial"/>
          <w:sz w:val="20"/>
          <w:szCs w:val="20"/>
        </w:rPr>
      </w:pPr>
      <w:r w:rsidRPr="00735C42">
        <w:rPr>
          <w:rFonts w:ascii="Verdana" w:eastAsia="Calibri" w:hAnsi="Verdana" w:cs="Arial"/>
          <w:sz w:val="20"/>
          <w:szCs w:val="20"/>
        </w:rPr>
        <w:t xml:space="preserve">El artículo 33 de la Ley 996 de 2005 prohíbe </w:t>
      </w:r>
      <w:r w:rsidRPr="00735C42">
        <w:rPr>
          <w:rFonts w:ascii="Verdana" w:eastAsia="Calibri" w:hAnsi="Verdana" w:cs="Arial"/>
          <w:bCs/>
          <w:sz w:val="20"/>
          <w:szCs w:val="20"/>
        </w:rPr>
        <w:t xml:space="preserve">“(…) </w:t>
      </w:r>
      <w:r w:rsidRPr="00735C42">
        <w:rPr>
          <w:rFonts w:ascii="Verdana" w:eastAsia="Calibri" w:hAnsi="Verdana" w:cs="Arial"/>
          <w:sz w:val="20"/>
          <w:szCs w:val="20"/>
        </w:rPr>
        <w:t xml:space="preserve">la contratación directa por parte de todos los entes del Estado” durante los cuatro (4) meses anteriores a las elecciones presidenciales, salvo </w:t>
      </w:r>
      <w:r w:rsidRPr="00735C42">
        <w:rPr>
          <w:rFonts w:ascii="Verdana" w:eastAsia="Calibri" w:hAnsi="Verdana" w:cs="Arial"/>
          <w:bCs/>
          <w:sz w:val="20"/>
          <w:szCs w:val="20"/>
        </w:rPr>
        <w:t>“(…) l</w:t>
      </w:r>
      <w:r w:rsidRPr="00735C42">
        <w:rPr>
          <w:rFonts w:ascii="Verdana" w:eastAsia="Calibri" w:hAnsi="Verdana" w:cs="Arial"/>
          <w:sz w:val="20"/>
          <w:szCs w:val="20"/>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305B61E" w14:textId="77777777" w:rsidR="005F4C77" w:rsidRDefault="005F4C77" w:rsidP="005F4C77">
      <w:pPr>
        <w:spacing w:after="0" w:line="240" w:lineRule="auto"/>
        <w:jc w:val="both"/>
        <w:rPr>
          <w:rFonts w:ascii="Verdana" w:eastAsia="Times New Roman" w:hAnsi="Verdana" w:cs="Arial"/>
          <w:sz w:val="20"/>
          <w:szCs w:val="20"/>
          <w:lang w:val="es-MX" w:eastAsia="x-none"/>
        </w:rPr>
      </w:pPr>
    </w:p>
    <w:p w14:paraId="4D2869A0" w14:textId="77777777" w:rsidR="005F4C77" w:rsidRPr="00735C42" w:rsidRDefault="005F4C77" w:rsidP="005F4C77">
      <w:pPr>
        <w:spacing w:after="0" w:line="240" w:lineRule="auto"/>
        <w:jc w:val="both"/>
        <w:rPr>
          <w:rFonts w:ascii="Verdana" w:hAnsi="Verdana"/>
          <w:b/>
          <w:bCs/>
          <w:sz w:val="20"/>
          <w:szCs w:val="20"/>
          <w:lang w:val="es-MX"/>
        </w:rPr>
      </w:pPr>
      <w:r w:rsidRPr="00735C42">
        <w:rPr>
          <w:rFonts w:ascii="Verdana" w:eastAsia="Times New Roman" w:hAnsi="Verdana" w:cs="Arial"/>
          <w:sz w:val="20"/>
          <w:szCs w:val="20"/>
          <w:lang w:val="es-MX" w:eastAsia="x-none"/>
        </w:rPr>
        <w:t xml:space="preserve">El ámbito material de la prohibición contenida en el artículo 33 de la Ley 996 de 2005 está delimitado por la expresión </w:t>
      </w:r>
      <w:r w:rsidRPr="00735C42">
        <w:rPr>
          <w:rFonts w:ascii="Verdana" w:eastAsia="Calibri" w:hAnsi="Verdana" w:cs="Arial"/>
          <w:i/>
          <w:sz w:val="20"/>
          <w:szCs w:val="20"/>
          <w:lang w:val="es-MX"/>
        </w:rPr>
        <w:t>“</w:t>
      </w:r>
      <w:r w:rsidRPr="00735C42">
        <w:rPr>
          <w:rFonts w:ascii="Verdana" w:eastAsia="Times New Roman" w:hAnsi="Verdana" w:cs="Arial"/>
          <w:i/>
          <w:sz w:val="20"/>
          <w:szCs w:val="20"/>
          <w:lang w:val="es-MX" w:eastAsia="x-none"/>
        </w:rPr>
        <w:t>queda prohibida la contratación directa</w:t>
      </w:r>
      <w:r w:rsidRPr="00735C42">
        <w:rPr>
          <w:rFonts w:ascii="Verdana" w:eastAsia="Calibri" w:hAnsi="Verdana" w:cs="Arial"/>
          <w:i/>
          <w:sz w:val="20"/>
          <w:szCs w:val="20"/>
          <w:lang w:val="es-MX"/>
        </w:rPr>
        <w:t>”</w:t>
      </w:r>
      <w:r w:rsidRPr="00735C42">
        <w:rPr>
          <w:rFonts w:ascii="Verdana" w:eastAsia="Times New Roman" w:hAnsi="Verdana" w:cs="Arial"/>
          <w:i/>
          <w:sz w:val="20"/>
          <w:szCs w:val="20"/>
          <w:lang w:val="es-MX" w:eastAsia="x-none"/>
        </w:rPr>
        <w:t>.</w:t>
      </w:r>
    </w:p>
    <w:p w14:paraId="2268F8F7" w14:textId="77777777" w:rsidR="005F4C77" w:rsidRPr="00735C42" w:rsidRDefault="005F4C77" w:rsidP="005F4C77">
      <w:pPr>
        <w:spacing w:after="0" w:line="240" w:lineRule="auto"/>
        <w:jc w:val="both"/>
        <w:rPr>
          <w:rFonts w:ascii="Verdana" w:hAnsi="Verdana"/>
          <w:sz w:val="20"/>
          <w:szCs w:val="20"/>
        </w:rPr>
      </w:pPr>
    </w:p>
    <w:p w14:paraId="3023ED67" w14:textId="77777777" w:rsidR="005F4C77" w:rsidRPr="00735C42" w:rsidRDefault="005F4C77" w:rsidP="005F4C77">
      <w:pPr>
        <w:spacing w:after="0" w:line="240" w:lineRule="auto"/>
        <w:jc w:val="both"/>
        <w:rPr>
          <w:rFonts w:ascii="Verdana" w:eastAsia="Times New Roman" w:hAnsi="Verdana" w:cs="Arial"/>
          <w:sz w:val="20"/>
          <w:szCs w:val="20"/>
          <w:lang w:eastAsia="x-none"/>
        </w:rPr>
      </w:pPr>
      <w:r w:rsidRPr="00735C42">
        <w:rPr>
          <w:rFonts w:ascii="Verdana" w:hAnsi="Verdana"/>
          <w:sz w:val="20"/>
          <w:szCs w:val="20"/>
        </w:rPr>
        <w:t xml:space="preserve">[…] </w:t>
      </w:r>
      <w:r w:rsidRPr="00735C42">
        <w:rPr>
          <w:rFonts w:ascii="Verdana" w:eastAsia="Times New Roman" w:hAnsi="Verdana" w:cs="Arial"/>
          <w:sz w:val="20"/>
          <w:szCs w:val="20"/>
          <w:lang w:eastAsia="x-none"/>
        </w:rPr>
        <w:t xml:space="preserve">la prohibición del artículo 33 de la Ley de Garantías Electorales se refiere a </w:t>
      </w:r>
      <w:r w:rsidRPr="00735C42">
        <w:rPr>
          <w:rFonts w:ascii="Verdana" w:eastAsia="Times New Roman" w:hAnsi="Verdana" w:cs="Arial"/>
          <w:sz w:val="20"/>
          <w:szCs w:val="20"/>
          <w:lang w:eastAsia="en-GB"/>
        </w:rPr>
        <w:t>“</w:t>
      </w:r>
      <w:r w:rsidRPr="00735C42">
        <w:rPr>
          <w:rFonts w:ascii="Verdana" w:eastAsia="Times New Roman" w:hAnsi="Verdana" w:cs="Arial"/>
          <w:sz w:val="20"/>
          <w:szCs w:val="20"/>
          <w:lang w:eastAsia="x-none"/>
        </w:rPr>
        <w:t>cualquier sistema que no implique convocatoria pública y posibilidad de pluralidad de oferentes</w:t>
      </w:r>
      <w:r w:rsidRPr="00735C42">
        <w:rPr>
          <w:rFonts w:ascii="Verdana" w:eastAsia="Times New Roman" w:hAnsi="Verdana" w:cs="Arial"/>
          <w:sz w:val="20"/>
          <w:szCs w:val="20"/>
          <w:lang w:eastAsia="en-GB"/>
        </w:rPr>
        <w:t>”</w:t>
      </w:r>
      <w:r w:rsidRPr="00735C42">
        <w:rPr>
          <w:rFonts w:ascii="Verdana" w:eastAsia="Times New Roman"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w:t>
      </w:r>
    </w:p>
    <w:p w14:paraId="6D5761CE" w14:textId="77777777" w:rsidR="005F4C77" w:rsidRDefault="005F4C77" w:rsidP="005F4C77">
      <w:pPr>
        <w:spacing w:after="0" w:line="240" w:lineRule="auto"/>
        <w:jc w:val="both"/>
        <w:rPr>
          <w:rFonts w:ascii="Verdana" w:eastAsia="Times New Roman" w:hAnsi="Verdana" w:cs="Arial"/>
          <w:lang w:eastAsia="x-none"/>
        </w:rPr>
      </w:pPr>
    </w:p>
    <w:p w14:paraId="4C50106D" w14:textId="77777777" w:rsidR="005F4C77" w:rsidRPr="00735C42" w:rsidRDefault="005F4C77" w:rsidP="005F4C77">
      <w:pPr>
        <w:spacing w:after="0" w:line="240" w:lineRule="auto"/>
        <w:jc w:val="both"/>
        <w:rPr>
          <w:rFonts w:ascii="Verdana" w:eastAsia="Times New Roman" w:hAnsi="Verdana" w:cs="Arial"/>
          <w:b/>
          <w:bCs/>
          <w:lang w:eastAsia="x-none"/>
        </w:rPr>
      </w:pPr>
      <w:r w:rsidRPr="00735C42">
        <w:rPr>
          <w:rFonts w:ascii="Verdana" w:eastAsia="Times New Roman" w:hAnsi="Verdana" w:cs="Arial"/>
          <w:b/>
          <w:bCs/>
          <w:lang w:eastAsia="es-ES_tradnl"/>
        </w:rPr>
        <w:t>LEY DE GARANTÍAS ELECTORALES ─ Prohibición ‒ Contratación directa ‒ Excepciones</w:t>
      </w:r>
    </w:p>
    <w:p w14:paraId="3692F15A" w14:textId="77777777" w:rsidR="005F4C77" w:rsidRDefault="005F4C77" w:rsidP="005F4C77">
      <w:pPr>
        <w:spacing w:after="0" w:line="240" w:lineRule="auto"/>
        <w:jc w:val="both"/>
        <w:rPr>
          <w:rFonts w:ascii="Verdana" w:eastAsia="Times New Roman" w:hAnsi="Verdana" w:cs="Arial"/>
          <w:lang w:eastAsia="x-none"/>
        </w:rPr>
      </w:pPr>
    </w:p>
    <w:p w14:paraId="3E41D5AC" w14:textId="77777777" w:rsidR="005F4C77" w:rsidRDefault="005F4C77" w:rsidP="005F4C77">
      <w:pPr>
        <w:spacing w:after="0" w:line="240" w:lineRule="auto"/>
        <w:jc w:val="both"/>
        <w:rPr>
          <w:rFonts w:ascii="Verdana" w:eastAsia="Times New Roman" w:hAnsi="Verdana" w:cs="Arial"/>
          <w:sz w:val="20"/>
          <w:szCs w:val="20"/>
          <w:lang w:val="es-MX" w:eastAsia="es-CO"/>
        </w:rPr>
      </w:pPr>
      <w:r w:rsidRPr="000855C8">
        <w:rPr>
          <w:rFonts w:ascii="Verdana" w:eastAsia="Times New Roman" w:hAnsi="Verdana" w:cs="Arial"/>
          <w:sz w:val="20"/>
          <w:szCs w:val="20"/>
          <w:lang w:val="es-MX" w:eastAsia="x-none"/>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0855C8">
        <w:rPr>
          <w:rFonts w:ascii="Verdana" w:eastAsia="Times New Roman" w:hAnsi="Verdana" w:cs="Arial"/>
          <w:sz w:val="20"/>
          <w:szCs w:val="20"/>
          <w:lang w:val="es-MX" w:eastAsia="x-none"/>
        </w:rPr>
        <w:t>ii</w:t>
      </w:r>
      <w:proofErr w:type="spellEnd"/>
      <w:r w:rsidRPr="000855C8">
        <w:rPr>
          <w:rFonts w:ascii="Verdana" w:eastAsia="Times New Roman" w:hAnsi="Verdana" w:cs="Arial"/>
          <w:sz w:val="20"/>
          <w:szCs w:val="20"/>
          <w:lang w:val="es-MX" w:eastAsia="x-none"/>
        </w:rPr>
        <w:t xml:space="preserve">) los contratos de crédito público; </w:t>
      </w:r>
      <w:proofErr w:type="spellStart"/>
      <w:r w:rsidRPr="000855C8">
        <w:rPr>
          <w:rFonts w:ascii="Verdana" w:eastAsia="Times New Roman" w:hAnsi="Verdana" w:cs="Arial"/>
          <w:sz w:val="20"/>
          <w:szCs w:val="20"/>
          <w:lang w:val="es-MX" w:eastAsia="x-none"/>
        </w:rPr>
        <w:t>iii</w:t>
      </w:r>
      <w:proofErr w:type="spellEnd"/>
      <w:r w:rsidRPr="000855C8">
        <w:rPr>
          <w:rFonts w:ascii="Verdana" w:eastAsia="Times New Roman" w:hAnsi="Verdana" w:cs="Arial"/>
          <w:sz w:val="20"/>
          <w:szCs w:val="20"/>
          <w:lang w:val="es-MX" w:eastAsia="x-none"/>
        </w:rPr>
        <w:t xml:space="preserve">) los requeridos para cubrir las emergencias educativas, sanitarias y desastres; </w:t>
      </w:r>
      <w:proofErr w:type="spellStart"/>
      <w:r w:rsidRPr="000855C8">
        <w:rPr>
          <w:rFonts w:ascii="Verdana" w:eastAsia="Times New Roman" w:hAnsi="Verdana" w:cs="Arial"/>
          <w:sz w:val="20"/>
          <w:szCs w:val="20"/>
          <w:lang w:val="es-MX" w:eastAsia="x-none"/>
        </w:rPr>
        <w:t>iv</w:t>
      </w:r>
      <w:proofErr w:type="spellEnd"/>
      <w:r w:rsidRPr="000855C8">
        <w:rPr>
          <w:rFonts w:ascii="Verdana" w:eastAsia="Times New Roman" w:hAnsi="Verdana" w:cs="Arial"/>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0855C8">
        <w:rPr>
          <w:rFonts w:ascii="Verdana" w:eastAsia="Times New Roman" w:hAnsi="Verdana" w:cs="Arial"/>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EAF085D" w14:textId="77777777" w:rsidR="005F4C77" w:rsidRDefault="005F4C77" w:rsidP="005F4C77">
      <w:pPr>
        <w:spacing w:after="0" w:line="240" w:lineRule="auto"/>
        <w:jc w:val="both"/>
        <w:rPr>
          <w:rFonts w:ascii="Verdana" w:eastAsia="Times New Roman" w:hAnsi="Verdana" w:cs="Arial"/>
          <w:sz w:val="20"/>
          <w:szCs w:val="20"/>
          <w:lang w:val="es-MX" w:eastAsia="es-CO"/>
        </w:rPr>
      </w:pPr>
    </w:p>
    <w:p w14:paraId="1BE0D2AC" w14:textId="77777777" w:rsidR="005F4C77" w:rsidRDefault="005F4C77" w:rsidP="005F4C77">
      <w:pPr>
        <w:spacing w:after="0" w:line="240" w:lineRule="auto"/>
        <w:jc w:val="both"/>
        <w:rPr>
          <w:rFonts w:ascii="Verdana" w:eastAsia="Times New Roman" w:hAnsi="Verdana" w:cs="Arial"/>
          <w:sz w:val="20"/>
          <w:szCs w:val="20"/>
          <w:lang w:val="es-MX" w:eastAsia="x-none"/>
        </w:rPr>
      </w:pPr>
      <w:r w:rsidRPr="000855C8">
        <w:rPr>
          <w:rFonts w:ascii="Verdana" w:eastAsia="Times New Roman" w:hAnsi="Verdana" w:cs="Arial"/>
          <w:sz w:val="20"/>
          <w:szCs w:val="20"/>
          <w:lang w:val="es-MX" w:eastAsia="x-none"/>
        </w:rPr>
        <w:t>En esta labor es importante tener en cuenta, como lo anotó la Corte Constitucional, en Sentencia C-1153 de noviembre 11 de 2005</w:t>
      </w:r>
      <w:r w:rsidRPr="000855C8">
        <w:rPr>
          <w:rFonts w:ascii="Verdana" w:eastAsia="Calibri" w:hAnsi="Verdana" w:cs="Arial"/>
          <w:sz w:val="20"/>
          <w:szCs w:val="20"/>
          <w:lang w:val="es-MX"/>
        </w:rPr>
        <w:t>,</w:t>
      </w:r>
      <w:r w:rsidRPr="000855C8">
        <w:rPr>
          <w:rFonts w:ascii="Verdana" w:eastAsia="Times New Roman" w:hAnsi="Verdana" w:cs="Arial"/>
          <w:sz w:val="20"/>
          <w:szCs w:val="20"/>
          <w:lang w:val="es-MX"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0855C8">
        <w:rPr>
          <w:rFonts w:ascii="Verdana" w:eastAsia="Times New Roman" w:hAnsi="Verdana" w:cs="Arial"/>
          <w:sz w:val="20"/>
          <w:szCs w:val="20"/>
          <w:lang w:val="es-MX" w:eastAsia="es-CO"/>
        </w:rPr>
        <w:t>candidatos</w:t>
      </w:r>
      <w:r w:rsidRPr="000855C8">
        <w:rPr>
          <w:rFonts w:ascii="Verdana" w:eastAsia="Times New Roman" w:hAnsi="Verdana" w:cs="Arial"/>
          <w:sz w:val="20"/>
          <w:szCs w:val="20"/>
          <w:lang w:val="es-MX" w:eastAsia="x-none"/>
        </w:rPr>
        <w:t xml:space="preserve"> como garantía electoral.</w:t>
      </w:r>
    </w:p>
    <w:p w14:paraId="1AFEBFC4" w14:textId="77777777" w:rsidR="005F4C77" w:rsidRDefault="005F4C77" w:rsidP="005F4C77">
      <w:pPr>
        <w:spacing w:after="0" w:line="240" w:lineRule="auto"/>
        <w:jc w:val="both"/>
        <w:rPr>
          <w:rFonts w:ascii="Verdana" w:eastAsia="Times New Roman" w:hAnsi="Verdana" w:cs="Arial"/>
          <w:sz w:val="20"/>
          <w:szCs w:val="20"/>
          <w:lang w:val="es-MX" w:eastAsia="x-none"/>
        </w:rPr>
      </w:pPr>
    </w:p>
    <w:p w14:paraId="3A0F8D48" w14:textId="77777777" w:rsidR="005F4C77" w:rsidRPr="000855C8" w:rsidRDefault="005F4C77" w:rsidP="005F4C77">
      <w:pPr>
        <w:spacing w:after="0" w:line="240" w:lineRule="auto"/>
        <w:jc w:val="both"/>
        <w:rPr>
          <w:rFonts w:ascii="Verdana" w:eastAsia="Times New Roman" w:hAnsi="Verdana" w:cs="Arial"/>
          <w:b/>
          <w:bCs/>
          <w:lang w:eastAsia="es-ES_tradnl"/>
        </w:rPr>
      </w:pPr>
      <w:r w:rsidRPr="000855C8">
        <w:rPr>
          <w:rFonts w:ascii="Verdana" w:eastAsia="Times New Roman" w:hAnsi="Verdana" w:cs="Arial"/>
          <w:b/>
          <w:bCs/>
          <w:lang w:eastAsia="es-ES_tradnl"/>
        </w:rPr>
        <w:t>DECRETO 092 DE 2017 – Finalidad – Clases de contratos</w:t>
      </w:r>
    </w:p>
    <w:p w14:paraId="01ABDD26" w14:textId="77777777" w:rsidR="005F4C77" w:rsidRDefault="005F4C77" w:rsidP="005F4C77">
      <w:pPr>
        <w:spacing w:after="0" w:line="240" w:lineRule="auto"/>
        <w:jc w:val="both"/>
        <w:rPr>
          <w:rFonts w:ascii="Verdana" w:eastAsia="Calibri" w:hAnsi="Verdana" w:cs="Arial"/>
          <w:lang w:val="es-ES"/>
        </w:rPr>
      </w:pPr>
    </w:p>
    <w:p w14:paraId="394FB40D" w14:textId="77777777" w:rsidR="005F4C77" w:rsidRPr="000855C8" w:rsidRDefault="005F4C77" w:rsidP="005F4C7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0855C8">
        <w:rPr>
          <w:rFonts w:ascii="Verdana" w:eastAsia="Calibri" w:hAnsi="Verdana" w:cs="Arial"/>
          <w:sz w:val="20"/>
          <w:szCs w:val="20"/>
          <w:lang w:val="es-ES"/>
        </w:rPr>
        <w:t>ii</w:t>
      </w:r>
      <w:proofErr w:type="spellEnd"/>
      <w:r w:rsidRPr="000855C8">
        <w:rPr>
          <w:rFonts w:ascii="Verdana" w:eastAsia="Calibri"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41BB27DF" w14:textId="77777777" w:rsidR="005F4C77" w:rsidRDefault="005F4C77" w:rsidP="005F4C77">
      <w:pPr>
        <w:spacing w:after="0" w:line="240" w:lineRule="auto"/>
        <w:jc w:val="both"/>
        <w:rPr>
          <w:rFonts w:ascii="Verdana" w:eastAsia="Times New Roman" w:hAnsi="Verdana" w:cs="Arial"/>
          <w:b/>
          <w:bCs/>
          <w:lang w:eastAsia="es-ES_tradnl"/>
        </w:rPr>
      </w:pPr>
    </w:p>
    <w:p w14:paraId="43F57BFD" w14:textId="77777777" w:rsidR="005F4C77" w:rsidRPr="000855C8" w:rsidRDefault="005F4C77" w:rsidP="005F4C77">
      <w:pPr>
        <w:spacing w:after="0" w:line="240" w:lineRule="auto"/>
        <w:jc w:val="both"/>
        <w:rPr>
          <w:rFonts w:ascii="Verdana" w:eastAsia="Calibri" w:hAnsi="Verdana" w:cs="Arial"/>
          <w:b/>
          <w:bCs/>
          <w:lang w:val="es-ES"/>
        </w:rPr>
      </w:pPr>
      <w:r w:rsidRPr="000855C8">
        <w:rPr>
          <w:rFonts w:ascii="Verdana" w:eastAsia="Times New Roman" w:hAnsi="Verdana" w:cs="Arial"/>
          <w:b/>
          <w:bCs/>
          <w:lang w:eastAsia="es-ES_tradnl"/>
        </w:rPr>
        <w:t>CONTRATACIÓN CON ESAL – Contrato de colaboración – Objeto – Alcance</w:t>
      </w:r>
    </w:p>
    <w:p w14:paraId="3BA27AEB" w14:textId="77777777" w:rsidR="005F4C77" w:rsidRDefault="005F4C77" w:rsidP="005F4C77">
      <w:pPr>
        <w:spacing w:after="0" w:line="240" w:lineRule="auto"/>
        <w:jc w:val="both"/>
        <w:rPr>
          <w:rFonts w:ascii="Verdana" w:eastAsia="Calibri" w:hAnsi="Verdana" w:cs="Arial"/>
          <w:sz w:val="20"/>
          <w:szCs w:val="20"/>
          <w:lang w:val="es-ES"/>
        </w:rPr>
      </w:pPr>
    </w:p>
    <w:p w14:paraId="63525353" w14:textId="77777777" w:rsidR="005F4C77" w:rsidRPr="000855C8" w:rsidRDefault="005F4C77" w:rsidP="005F4C7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 xml:space="preserve">Los </w:t>
      </w:r>
      <w:r w:rsidRPr="000855C8">
        <w:rPr>
          <w:rFonts w:ascii="Verdana" w:eastAsia="Calibri" w:hAnsi="Verdana" w:cs="Arial"/>
          <w:i/>
          <w:iCs/>
          <w:sz w:val="20"/>
          <w:szCs w:val="20"/>
          <w:lang w:val="es-ES"/>
        </w:rPr>
        <w:t>contratos del artículo 355 de la Constitución Política</w:t>
      </w:r>
      <w:r w:rsidRPr="000855C8">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68537BB4" w14:textId="77777777" w:rsidR="005F4C77" w:rsidRPr="000855C8" w:rsidRDefault="005F4C77" w:rsidP="005F4C77">
      <w:pPr>
        <w:spacing w:after="0" w:line="240" w:lineRule="auto"/>
        <w:jc w:val="both"/>
        <w:rPr>
          <w:rFonts w:ascii="Verdana" w:eastAsia="Times New Roman" w:hAnsi="Verdana" w:cs="Arial"/>
          <w:sz w:val="20"/>
          <w:szCs w:val="20"/>
          <w:lang w:val="es-ES" w:eastAsia="x-none"/>
        </w:rPr>
      </w:pPr>
    </w:p>
    <w:p w14:paraId="65BD9F73" w14:textId="77777777" w:rsidR="005F4C77" w:rsidRDefault="005F4C77" w:rsidP="005F4C7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Para celebrar estos contratos, según lo establece el artículo 3 del Decreto 092 de 2017, por regla general, la entidad debe adelantar un proceso competitivo para seleccionar la entidad sin ánimo de lucro contratista</w:t>
      </w:r>
      <w:r>
        <w:rPr>
          <w:rFonts w:ascii="Verdana" w:eastAsia="Calibri" w:hAnsi="Verdana" w:cs="Arial"/>
          <w:sz w:val="20"/>
          <w:szCs w:val="20"/>
          <w:lang w:val="es-ES"/>
        </w:rPr>
        <w:t>.</w:t>
      </w:r>
    </w:p>
    <w:p w14:paraId="369AF0AB" w14:textId="77777777" w:rsidR="005F4C77" w:rsidRDefault="005F4C77" w:rsidP="005F4C77">
      <w:pPr>
        <w:spacing w:after="0" w:line="240" w:lineRule="auto"/>
        <w:jc w:val="both"/>
        <w:rPr>
          <w:rFonts w:ascii="Verdana" w:eastAsia="Calibri" w:hAnsi="Verdana" w:cs="Arial"/>
          <w:sz w:val="20"/>
          <w:szCs w:val="20"/>
          <w:lang w:val="es-ES"/>
        </w:rPr>
      </w:pPr>
    </w:p>
    <w:p w14:paraId="710FAD8E" w14:textId="77777777" w:rsidR="005F4C77" w:rsidRPr="001D68DC" w:rsidRDefault="005F4C77" w:rsidP="005F4C77">
      <w:pPr>
        <w:spacing w:after="0" w:line="240" w:lineRule="auto"/>
        <w:jc w:val="both"/>
        <w:rPr>
          <w:rFonts w:ascii="Verdana" w:eastAsia="Calibri" w:hAnsi="Verdana" w:cs="Arial"/>
          <w:sz w:val="20"/>
          <w:szCs w:val="20"/>
          <w:lang w:val="es-ES"/>
        </w:rPr>
      </w:pPr>
      <w:r w:rsidRPr="001D68DC">
        <w:rPr>
          <w:rFonts w:ascii="Verdana" w:eastAsia="Calibri" w:hAnsi="Verdana" w:cs="Arial"/>
          <w:sz w:val="20"/>
          <w:szCs w:val="20"/>
          <w:lang w:val="es-ES"/>
        </w:rPr>
        <w:t>[…] Ahora bien, por disposición del artículo 4 del Decreto 092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001D68DC">
        <w:rPr>
          <w:rFonts w:ascii="Verdana" w:eastAsia="Calibri" w:hAnsi="Verdana" w:cs="Arial"/>
          <w:sz w:val="20"/>
          <w:szCs w:val="20"/>
          <w:lang w:val="es-ES"/>
        </w:rPr>
        <w:t>ii</w:t>
      </w:r>
      <w:proofErr w:type="spellEnd"/>
      <w:r w:rsidRPr="001D68DC">
        <w:rPr>
          <w:rFonts w:ascii="Verdana" w:eastAsia="Calibri" w:hAnsi="Verdana" w:cs="Arial"/>
          <w:sz w:val="20"/>
          <w:szCs w:val="20"/>
          <w:lang w:val="es-ES"/>
        </w:rPr>
        <w:t xml:space="preserve">) definición de un plazo razonable para que las entidades privadas sin ánimo de lucro de reconocida idoneidad presenten a la Entidad Estatal sus ofertas y los </w:t>
      </w:r>
      <w:r w:rsidRPr="001D68DC">
        <w:rPr>
          <w:rFonts w:ascii="Verdana" w:eastAsia="Calibri" w:hAnsi="Verdana" w:cs="Arial"/>
          <w:sz w:val="20"/>
          <w:szCs w:val="20"/>
          <w:lang w:val="es-ES"/>
        </w:rPr>
        <w:lastRenderedPageBreak/>
        <w:t>documentos que acrediten su idoneidad, y (</w:t>
      </w:r>
      <w:proofErr w:type="spellStart"/>
      <w:r w:rsidRPr="001D68DC">
        <w:rPr>
          <w:rFonts w:ascii="Verdana" w:eastAsia="Calibri" w:hAnsi="Verdana" w:cs="Arial"/>
          <w:sz w:val="20"/>
          <w:szCs w:val="20"/>
          <w:lang w:val="es-ES"/>
        </w:rPr>
        <w:t>iii</w:t>
      </w:r>
      <w:proofErr w:type="spellEnd"/>
      <w:r w:rsidRPr="001D68DC">
        <w:rPr>
          <w:rFonts w:ascii="Verdana" w:eastAsia="Calibri" w:hAnsi="Verdana" w:cs="Arial"/>
          <w:sz w:val="20"/>
          <w:szCs w:val="20"/>
          <w:lang w:val="es-ES"/>
        </w:rPr>
        <w:t xml:space="preserve">) evaluación de las ofertas por parte de la Entidad Estatal teniendo en cuenta los criterios definidos para el efecto. </w:t>
      </w:r>
    </w:p>
    <w:p w14:paraId="01820DD6" w14:textId="77777777" w:rsidR="005F4C77" w:rsidRPr="001D68DC" w:rsidRDefault="005F4C77" w:rsidP="005F4C77">
      <w:pPr>
        <w:spacing w:after="0" w:line="240" w:lineRule="auto"/>
        <w:jc w:val="both"/>
        <w:rPr>
          <w:rFonts w:ascii="Verdana" w:eastAsia="Calibri" w:hAnsi="Verdana" w:cs="Arial"/>
          <w:sz w:val="20"/>
          <w:szCs w:val="20"/>
          <w:lang w:val="es-ES"/>
        </w:rPr>
      </w:pPr>
      <w:r w:rsidRPr="001D68DC">
        <w:rPr>
          <w:rFonts w:ascii="Verdana" w:eastAsia="Calibri" w:hAnsi="Verdana" w:cs="Arial"/>
          <w:sz w:val="20"/>
          <w:szCs w:val="20"/>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755977EC" w14:textId="77777777" w:rsidR="005F4C77" w:rsidRPr="001D68DC" w:rsidRDefault="005F4C77" w:rsidP="005F4C77">
      <w:pPr>
        <w:spacing w:after="0" w:line="240" w:lineRule="auto"/>
        <w:jc w:val="both"/>
        <w:rPr>
          <w:rFonts w:ascii="Verdana" w:eastAsia="Times New Roman" w:hAnsi="Verdana" w:cs="Arial"/>
          <w:sz w:val="20"/>
          <w:szCs w:val="20"/>
          <w:lang w:val="es-ES" w:eastAsia="x-none"/>
        </w:rPr>
      </w:pPr>
    </w:p>
    <w:p w14:paraId="045A86E2" w14:textId="77777777" w:rsidR="005F4C77" w:rsidRPr="000855C8" w:rsidRDefault="005F4C77" w:rsidP="005F4C77">
      <w:pPr>
        <w:spacing w:after="0" w:line="240" w:lineRule="auto"/>
        <w:jc w:val="both"/>
        <w:rPr>
          <w:rFonts w:ascii="Verdana" w:eastAsia="Times New Roman" w:hAnsi="Verdana" w:cs="Arial"/>
          <w:b/>
          <w:bCs/>
          <w:lang w:eastAsia="x-none"/>
        </w:rPr>
      </w:pPr>
      <w:r w:rsidRPr="000855C8">
        <w:rPr>
          <w:rFonts w:ascii="Verdana" w:eastAsia="Times New Roman" w:hAnsi="Verdana" w:cs="Arial"/>
          <w:b/>
          <w:bCs/>
          <w:lang w:eastAsia="es-ES_tradnl"/>
        </w:rPr>
        <w:t>DECRETO 092 DE 2017 – Convenios de asociación</w:t>
      </w:r>
    </w:p>
    <w:p w14:paraId="1FF54B91" w14:textId="77777777" w:rsidR="005F4C77" w:rsidRDefault="005F4C77" w:rsidP="005F4C77">
      <w:pPr>
        <w:spacing w:after="0" w:line="240" w:lineRule="auto"/>
        <w:jc w:val="both"/>
        <w:rPr>
          <w:rFonts w:ascii="Verdana" w:eastAsia="Times New Roman" w:hAnsi="Verdana" w:cs="Arial"/>
          <w:lang w:eastAsia="x-none"/>
        </w:rPr>
      </w:pPr>
    </w:p>
    <w:p w14:paraId="2060CDBF" w14:textId="77777777" w:rsidR="005F4C77" w:rsidRDefault="005F4C77" w:rsidP="005F4C77">
      <w:pPr>
        <w:spacing w:after="0" w:line="240" w:lineRule="auto"/>
        <w:jc w:val="both"/>
        <w:rPr>
          <w:rFonts w:ascii="Verdana" w:eastAsia="Calibri" w:hAnsi="Verdana" w:cs="Arial"/>
          <w:sz w:val="20"/>
          <w:szCs w:val="20"/>
          <w:lang w:val="es-ES"/>
        </w:rPr>
      </w:pPr>
      <w:r w:rsidRPr="7A1B81A9">
        <w:rPr>
          <w:rFonts w:ascii="Verdana" w:eastAsia="Calibri" w:hAnsi="Verdana" w:cs="Arial"/>
          <w:sz w:val="20"/>
          <w:szCs w:val="20"/>
          <w:lang w:val="es-ES"/>
        </w:rPr>
        <w:t xml:space="preserve">[…] la celebración de los </w:t>
      </w:r>
      <w:r w:rsidRPr="7A1B81A9">
        <w:rPr>
          <w:rFonts w:ascii="Verdana" w:eastAsia="Calibri" w:hAnsi="Verdana" w:cs="Arial"/>
          <w:i/>
          <w:iCs/>
          <w:sz w:val="20"/>
          <w:szCs w:val="20"/>
          <w:lang w:val="es-ES"/>
        </w:rPr>
        <w:t>convenios de asociación</w:t>
      </w:r>
      <w:r w:rsidRPr="7A1B81A9">
        <w:rPr>
          <w:rFonts w:ascii="Verdana" w:eastAsia="Calibri" w:hAnsi="Verdana" w:cs="Arial"/>
          <w:sz w:val="20"/>
          <w:szCs w:val="20"/>
          <w:lang w:val="es-ES"/>
        </w:rPr>
        <w:t xml:space="preserve"> “[t]</w:t>
      </w:r>
      <w:proofErr w:type="spellStart"/>
      <w:r w:rsidRPr="7A1B81A9">
        <w:rPr>
          <w:rFonts w:ascii="Verdana" w:eastAsia="Calibri" w:hAnsi="Verdana" w:cs="Arial"/>
          <w:sz w:val="20"/>
          <w:szCs w:val="20"/>
          <w:lang w:val="es-ES"/>
        </w:rPr>
        <w:t>ienen</w:t>
      </w:r>
      <w:proofErr w:type="spellEnd"/>
      <w:r w:rsidRPr="7A1B81A9">
        <w:rPr>
          <w:rFonts w:ascii="Verdana" w:eastAsia="Calibri" w:hAnsi="Verdana" w:cs="Arial"/>
          <w:sz w:val="20"/>
          <w:szCs w:val="20"/>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w:t>
      </w:r>
      <w:proofErr w:type="gramStart"/>
      <w:r w:rsidRPr="7A1B81A9">
        <w:rPr>
          <w:rFonts w:ascii="Verdana" w:eastAsia="Calibri" w:hAnsi="Verdana" w:cs="Arial"/>
          <w:sz w:val="20"/>
          <w:szCs w:val="20"/>
          <w:lang w:val="es-ES"/>
        </w:rPr>
        <w:t>y</w:t>
      </w:r>
      <w:proofErr w:type="gramEnd"/>
      <w:r w:rsidRPr="7A1B81A9">
        <w:rPr>
          <w:rFonts w:ascii="Verdana" w:eastAsia="Calibri" w:hAnsi="Verdana" w:cs="Arial"/>
          <w:sz w:val="20"/>
          <w:szCs w:val="20"/>
          <w:lang w:val="es-ES"/>
        </w:rPr>
        <w:t xml:space="preserve"> por tanto, la entidad no instruye al contratista para desarrollar los programas o actividades previstas, sino que se asocia con él para el cumplimiento de objetivos comunes.</w:t>
      </w:r>
    </w:p>
    <w:p w14:paraId="3CC1EA95" w14:textId="77777777" w:rsidR="005F4C77" w:rsidRPr="00F94E3C" w:rsidRDefault="005F4C77" w:rsidP="005F4C77">
      <w:pPr>
        <w:spacing w:after="0" w:line="240" w:lineRule="auto"/>
        <w:jc w:val="both"/>
        <w:rPr>
          <w:rFonts w:ascii="Verdana" w:eastAsia="Calibri" w:hAnsi="Verdana" w:cs="Arial"/>
          <w:bCs/>
          <w:sz w:val="20"/>
          <w:szCs w:val="20"/>
          <w:lang w:val="es-ES_tradnl"/>
        </w:rPr>
      </w:pPr>
    </w:p>
    <w:p w14:paraId="765139EE" w14:textId="77777777" w:rsidR="005F4C77" w:rsidRPr="00F94E3C" w:rsidRDefault="005F4C77" w:rsidP="005F4C77">
      <w:pPr>
        <w:spacing w:after="0" w:line="240" w:lineRule="auto"/>
        <w:jc w:val="both"/>
        <w:rPr>
          <w:rFonts w:ascii="Verdana" w:eastAsia="Calibri" w:hAnsi="Verdana" w:cs="Arial"/>
          <w:bCs/>
          <w:sz w:val="20"/>
          <w:szCs w:val="20"/>
          <w:lang w:val="es-ES_tradnl"/>
        </w:rPr>
      </w:pPr>
      <w:r w:rsidRPr="00F94E3C">
        <w:rPr>
          <w:rFonts w:ascii="Verdana" w:eastAsia="Calibri" w:hAnsi="Verdana" w:cs="Arial"/>
          <w:bCs/>
          <w:sz w:val="20"/>
          <w:szCs w:val="20"/>
          <w:lang w:val="es-ES_tradnl"/>
        </w:rPr>
        <w:t xml:space="preserve">[…] </w:t>
      </w:r>
      <w:r w:rsidRPr="00F94E3C">
        <w:rPr>
          <w:rFonts w:ascii="Verdana" w:eastAsia="Calibri" w:hAnsi="Verdana" w:cs="Arial"/>
          <w:bCs/>
          <w:sz w:val="20"/>
          <w:szCs w:val="20"/>
        </w:rPr>
        <w:t>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25285D91" w14:textId="77777777" w:rsidR="005F4C77" w:rsidRDefault="005F4C77" w:rsidP="005F4C77">
      <w:pPr>
        <w:spacing w:after="0" w:line="240" w:lineRule="auto"/>
        <w:jc w:val="both"/>
        <w:rPr>
          <w:rFonts w:ascii="Verdana" w:eastAsia="Calibri" w:hAnsi="Verdana" w:cs="Arial"/>
          <w:bCs/>
          <w:sz w:val="20"/>
          <w:szCs w:val="20"/>
          <w:lang w:val="es-ES_tradnl"/>
        </w:rPr>
      </w:pPr>
    </w:p>
    <w:p w14:paraId="189A5221" w14:textId="77777777" w:rsidR="005F4C77" w:rsidRDefault="005F4C77" w:rsidP="005F4C77">
      <w:pPr>
        <w:jc w:val="both"/>
        <w:rPr>
          <w:rFonts w:ascii="Verdana" w:eastAsia="Times New Roman" w:hAnsi="Verdana" w:cs="Arial"/>
          <w:b/>
          <w:bCs/>
          <w:lang w:eastAsia="es-ES_tradnl"/>
        </w:rPr>
      </w:pPr>
      <w:r w:rsidRPr="00F94E3C">
        <w:rPr>
          <w:rFonts w:ascii="Verdana" w:eastAsia="Times New Roman" w:hAnsi="Verdana" w:cs="Arial"/>
          <w:b/>
          <w:bCs/>
          <w:lang w:eastAsia="es-ES_tradnl"/>
        </w:rPr>
        <w:t xml:space="preserve">LEY DE GARANTÍAS </w:t>
      </w:r>
      <w:r w:rsidRPr="00355BB6">
        <w:rPr>
          <w:rFonts w:ascii="Verdana" w:eastAsia="Times New Roman" w:hAnsi="Verdana" w:cs="Arial"/>
          <w:b/>
          <w:bCs/>
          <w:lang w:val="es-ES" w:eastAsia="es-ES_tradnl"/>
        </w:rPr>
        <w:t>–</w:t>
      </w:r>
      <w:r w:rsidRPr="00F94E3C">
        <w:rPr>
          <w:rFonts w:ascii="Verdana" w:eastAsia="Times New Roman" w:hAnsi="Verdana" w:cs="Arial"/>
          <w:b/>
          <w:bCs/>
          <w:lang w:eastAsia="es-ES_tradnl"/>
        </w:rPr>
        <w:t xml:space="preserve"> Aplicación en contratos de colaboración y convenios de asociación</w:t>
      </w:r>
    </w:p>
    <w:p w14:paraId="734D7648" w14:textId="77777777" w:rsidR="005F4C77" w:rsidRPr="002330E2" w:rsidRDefault="005F4C77" w:rsidP="005F4C77">
      <w:pPr>
        <w:spacing w:after="0" w:line="240" w:lineRule="auto"/>
        <w:jc w:val="both"/>
        <w:rPr>
          <w:rFonts w:ascii="Verdana" w:eastAsia="Calibri" w:hAnsi="Verdana" w:cs="Arial"/>
          <w:color w:val="000000"/>
          <w:sz w:val="20"/>
          <w:szCs w:val="20"/>
        </w:rPr>
      </w:pPr>
      <w:r w:rsidRPr="002330E2">
        <w:rPr>
          <w:rFonts w:ascii="Verdana" w:eastAsia="Calibri" w:hAnsi="Verdana" w:cs="Arial"/>
          <w:color w:val="000000" w:themeColor="text1"/>
          <w:sz w:val="20"/>
          <w:szCs w:val="20"/>
        </w:rPr>
        <w:t xml:space="preserve">De esta manera, si se pretende realizar un </w:t>
      </w:r>
      <w:r w:rsidRPr="002330E2">
        <w:rPr>
          <w:rFonts w:ascii="Verdana" w:eastAsia="Calibri" w:hAnsi="Verdana" w:cs="Arial"/>
          <w:i/>
          <w:iCs/>
          <w:color w:val="000000" w:themeColor="text1"/>
          <w:sz w:val="20"/>
          <w:szCs w:val="20"/>
        </w:rPr>
        <w:t>convenio de asociación</w:t>
      </w:r>
      <w:r w:rsidRPr="002330E2">
        <w:rPr>
          <w:rFonts w:ascii="Verdana" w:eastAsia="Calibri" w:hAnsi="Verdana" w:cs="Arial"/>
          <w:color w:val="000000" w:themeColor="text1"/>
          <w:sz w:val="20"/>
          <w:szCs w:val="20"/>
        </w:rPr>
        <w:t xml:space="preserve"> con ESAL de reconocida idoneidad para el cumplimiento de las funciones que la ley les asigna a las entidades públicas, deberá aplicarse lo dispuesto en el artículo 5 del Decreto 092 de 2017. Por lo tanto, deben estar sujetos a competencia, salvo en aquellos casos en que una entidad sin ánimo de lucro comprometa recursos en dinero por un valor igual o superior al 30% del valor total del convenio, y siempre que la entidad estatal verifique previamente que no existe ninguna otra entidad sin ánimo de lucro que ofrezca aportes iguales o superiores al 30%. En ese orden, en vigencia de la </w:t>
      </w:r>
      <w:r w:rsidRPr="002330E2">
        <w:rPr>
          <w:rFonts w:ascii="Verdana" w:eastAsia="Calibri" w:hAnsi="Verdana" w:cs="Arial"/>
          <w:color w:val="000000"/>
          <w:sz w:val="20"/>
          <w:szCs w:val="20"/>
        </w:rPr>
        <w:t>restricción prevista en el artículo 33 de la Ley de Garantías Electorales, según el artículo 5 del Decreto 092 de 2017, solo podrán celebrarse convenios previo desarrollo de proceso competitivo.</w:t>
      </w:r>
    </w:p>
    <w:p w14:paraId="7DBF8E21" w14:textId="77777777" w:rsidR="005F4C77" w:rsidRDefault="005F4C77" w:rsidP="005F4C77">
      <w:pPr>
        <w:spacing w:after="0" w:line="240" w:lineRule="auto"/>
        <w:jc w:val="both"/>
        <w:rPr>
          <w:rFonts w:ascii="Verdana" w:eastAsia="Calibri" w:hAnsi="Verdana" w:cs="Arial"/>
          <w:color w:val="000000"/>
          <w:sz w:val="20"/>
          <w:szCs w:val="20"/>
        </w:rPr>
      </w:pPr>
    </w:p>
    <w:p w14:paraId="38BC906F" w14:textId="77777777" w:rsidR="005F4C77" w:rsidRPr="002330E2" w:rsidRDefault="005F4C77" w:rsidP="005F4C77">
      <w:pPr>
        <w:spacing w:after="0" w:line="240" w:lineRule="auto"/>
        <w:jc w:val="both"/>
        <w:rPr>
          <w:rFonts w:ascii="Verdana" w:eastAsia="Calibri" w:hAnsi="Verdana" w:cs="Arial"/>
          <w:sz w:val="20"/>
          <w:szCs w:val="20"/>
          <w:lang w:val="es-ES"/>
        </w:rPr>
      </w:pPr>
      <w:r w:rsidRPr="002330E2">
        <w:rPr>
          <w:rFonts w:ascii="Verdana" w:eastAsia="Calibri" w:hAnsi="Verdana" w:cs="Arial"/>
          <w:color w:val="000000"/>
          <w:sz w:val="20"/>
          <w:szCs w:val="20"/>
        </w:rPr>
        <w:lastRenderedPageBreak/>
        <w:t xml:space="preserve">En otras palabras, los convenios de asociación </w:t>
      </w:r>
      <w:r w:rsidRPr="002330E2">
        <w:rPr>
          <w:rFonts w:ascii="Verdana" w:eastAsia="Calibri" w:hAnsi="Verdana" w:cs="Arial"/>
          <w:sz w:val="20"/>
          <w:szCs w:val="20"/>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34FDC353" w14:textId="77777777" w:rsidR="005F4C77" w:rsidRDefault="005F4C77" w:rsidP="005F4C77">
      <w:pPr>
        <w:spacing w:after="0" w:line="240" w:lineRule="auto"/>
        <w:jc w:val="both"/>
        <w:rPr>
          <w:rFonts w:ascii="Verdana" w:eastAsia="Times New Roman" w:hAnsi="Verdana" w:cs="Arial"/>
          <w:sz w:val="20"/>
          <w:szCs w:val="20"/>
          <w:lang w:val="es-MX" w:eastAsia="x-none"/>
        </w:rPr>
      </w:pPr>
    </w:p>
    <w:p w14:paraId="063B0832" w14:textId="77777777" w:rsidR="005F4C77" w:rsidRPr="004513DD" w:rsidRDefault="005F4C77" w:rsidP="005F4C77">
      <w:pPr>
        <w:spacing w:after="0" w:line="240" w:lineRule="auto"/>
        <w:jc w:val="both"/>
        <w:rPr>
          <w:rFonts w:ascii="Verdana" w:hAnsi="Verdana"/>
          <w:sz w:val="20"/>
          <w:szCs w:val="20"/>
        </w:rPr>
      </w:pPr>
      <w:r w:rsidRPr="002330E2">
        <w:rPr>
          <w:rFonts w:ascii="Verdana" w:eastAsia="Times New Roman" w:hAnsi="Verdana" w:cs="Arial"/>
          <w:sz w:val="20"/>
          <w:szCs w:val="20"/>
          <w:lang w:val="es-MX" w:eastAsia="x-none"/>
        </w:rPr>
        <w:t>Sin perjuicio de lo anterior, la restricción prevista en el artículo 33 de la Ley de Garantías Electorales contempla algunas excepciones, con fundamento en las cuales podrán las entidades públicas adelantar procedimientos de contratación directa en períodos previos a la contienda electoral por la Presidencia, siempre que se subsuma en los supuestos contemplados de manera taxativa en el inciso final del citado artículo 33 de la Ley 996 de 2005. Por lo tanto, será</w:t>
      </w:r>
      <w:r w:rsidRPr="002330E2">
        <w:rPr>
          <w:rFonts w:ascii="Verdana" w:eastAsia="Times New Roman" w:hAnsi="Verdana" w:cs="Arial"/>
          <w:sz w:val="20"/>
          <w:szCs w:val="20"/>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1B60CC1" w14:textId="77777777" w:rsidR="005F4C77" w:rsidRDefault="005F4C77" w:rsidP="005F4C77">
      <w:pPr>
        <w:spacing w:after="0" w:line="240" w:lineRule="auto"/>
        <w:jc w:val="both"/>
        <w:rPr>
          <w:rFonts w:ascii="Verdana" w:eastAsia="Calibri" w:hAnsi="Verdana" w:cs="Arial"/>
          <w:color w:val="000000" w:themeColor="text1"/>
          <w:sz w:val="20"/>
          <w:szCs w:val="20"/>
        </w:rPr>
      </w:pPr>
    </w:p>
    <w:p w14:paraId="6014107E" w14:textId="77777777" w:rsidR="005F4C77" w:rsidRDefault="005F4C77" w:rsidP="005F4C77">
      <w:pPr>
        <w:rPr>
          <w:rFonts w:ascii="Verdana" w:hAnsi="Verdana"/>
        </w:rPr>
      </w:pPr>
    </w:p>
    <w:p w14:paraId="7CC99D71" w14:textId="77777777" w:rsidR="005F4C77" w:rsidRDefault="005F4C77" w:rsidP="005F4C77">
      <w:pPr>
        <w:rPr>
          <w:rFonts w:ascii="Verdana" w:hAnsi="Verdana"/>
        </w:rPr>
      </w:pPr>
    </w:p>
    <w:p w14:paraId="5DA9F8ED" w14:textId="77777777" w:rsidR="005F4C77" w:rsidRDefault="005F4C77" w:rsidP="005F4C77">
      <w:pPr>
        <w:rPr>
          <w:rFonts w:ascii="Verdana" w:hAnsi="Verdana"/>
        </w:rPr>
      </w:pPr>
    </w:p>
    <w:p w14:paraId="5CBF861F" w14:textId="77777777" w:rsidR="005F4C77" w:rsidRDefault="005F4C77" w:rsidP="005F4C77">
      <w:pPr>
        <w:rPr>
          <w:rFonts w:ascii="Verdana" w:hAnsi="Verdana"/>
        </w:rPr>
      </w:pPr>
    </w:p>
    <w:p w14:paraId="3A892DED" w14:textId="77777777" w:rsidR="005F4C77" w:rsidRDefault="005F4C77" w:rsidP="005F4C77">
      <w:pPr>
        <w:rPr>
          <w:rFonts w:ascii="Verdana" w:hAnsi="Verdana"/>
        </w:rPr>
      </w:pPr>
    </w:p>
    <w:p w14:paraId="3BB3AEB2" w14:textId="77777777" w:rsidR="005F4C77" w:rsidRDefault="005F4C77" w:rsidP="005F4C77">
      <w:pPr>
        <w:rPr>
          <w:rFonts w:ascii="Verdana" w:hAnsi="Verdana"/>
        </w:rPr>
      </w:pPr>
    </w:p>
    <w:p w14:paraId="7741B515" w14:textId="77777777" w:rsidR="005F4C77" w:rsidRDefault="005F4C77" w:rsidP="005F4C77">
      <w:pPr>
        <w:rPr>
          <w:rFonts w:ascii="Verdana" w:hAnsi="Verdana"/>
        </w:rPr>
      </w:pPr>
    </w:p>
    <w:p w14:paraId="2ECCDF57" w14:textId="77777777" w:rsidR="005F4C77" w:rsidRDefault="005F4C77" w:rsidP="005F4C77">
      <w:pPr>
        <w:rPr>
          <w:rFonts w:ascii="Verdana" w:hAnsi="Verdana"/>
        </w:rPr>
      </w:pPr>
    </w:p>
    <w:p w14:paraId="04A0D810" w14:textId="77777777" w:rsidR="005F4C77" w:rsidRDefault="005F4C77" w:rsidP="005F4C77">
      <w:pPr>
        <w:rPr>
          <w:rFonts w:ascii="Verdana" w:hAnsi="Verdana"/>
        </w:rPr>
      </w:pPr>
    </w:p>
    <w:p w14:paraId="298D8DEB" w14:textId="77777777" w:rsidR="005F4C77" w:rsidRDefault="005F4C77" w:rsidP="005F4C77">
      <w:pPr>
        <w:rPr>
          <w:rFonts w:ascii="Verdana" w:hAnsi="Verdana"/>
        </w:rPr>
      </w:pPr>
    </w:p>
    <w:p w14:paraId="368A3B60" w14:textId="77777777" w:rsidR="005F4C77" w:rsidRDefault="005F4C77" w:rsidP="005F4C77">
      <w:pPr>
        <w:rPr>
          <w:rFonts w:ascii="Verdana" w:hAnsi="Verdana"/>
        </w:rPr>
      </w:pPr>
    </w:p>
    <w:p w14:paraId="7014A4E5" w14:textId="77777777" w:rsidR="005F4C77" w:rsidRDefault="005F4C77" w:rsidP="005F4C77">
      <w:pPr>
        <w:rPr>
          <w:rFonts w:ascii="Verdana" w:hAnsi="Verdana"/>
        </w:rPr>
      </w:pPr>
    </w:p>
    <w:p w14:paraId="6306C8EB" w14:textId="77777777" w:rsidR="005F4C77" w:rsidRDefault="005F4C77" w:rsidP="005F4C77">
      <w:pPr>
        <w:rPr>
          <w:rFonts w:ascii="Verdana" w:hAnsi="Verdana"/>
        </w:rPr>
      </w:pPr>
    </w:p>
    <w:p w14:paraId="1656D696" w14:textId="77777777" w:rsidR="005F4C77" w:rsidRDefault="005F4C77" w:rsidP="005F4C77">
      <w:pPr>
        <w:rPr>
          <w:rFonts w:ascii="Verdana" w:hAnsi="Verdana"/>
        </w:rPr>
      </w:pPr>
    </w:p>
    <w:p w14:paraId="1C72EB99" w14:textId="77777777" w:rsidR="005F4C77" w:rsidRPr="00960F72" w:rsidRDefault="005F4C77" w:rsidP="005F4C77">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7FC4FB69" w14:textId="34B827DA" w:rsidR="005F4C77" w:rsidRPr="00960F72" w:rsidRDefault="005F4C77" w:rsidP="005F4C77">
      <w:pPr>
        <w:spacing w:after="0" w:line="240" w:lineRule="auto"/>
        <w:jc w:val="both"/>
        <w:rPr>
          <w:rFonts w:ascii="Verdana" w:eastAsia="Calibri" w:hAnsi="Verdana" w:cs="Arial"/>
        </w:rPr>
      </w:pPr>
    </w:p>
    <w:p w14:paraId="42EDD924" w14:textId="17DD98A9" w:rsidR="005F4C77" w:rsidRPr="00A518F4" w:rsidRDefault="002A0574" w:rsidP="005F4C77">
      <w:pPr>
        <w:spacing w:after="0" w:line="240" w:lineRule="auto"/>
        <w:jc w:val="both"/>
        <w:rPr>
          <w:rFonts w:ascii="Verdana" w:eastAsia="Calibri" w:hAnsi="Verdana" w:cs="Arial"/>
          <w:lang w:eastAsia="es-ES"/>
        </w:rPr>
      </w:pPr>
      <w:r w:rsidRPr="008767AE">
        <w:rPr>
          <w:rFonts w:ascii="Verdana" w:eastAsia="Calibri" w:hAnsi="Verdana" w:cs="Arial"/>
          <w:bCs/>
          <w:noProof/>
          <w:lang w:eastAsia="es-ES"/>
        </w:rPr>
        <w:drawing>
          <wp:anchor distT="0" distB="0" distL="114300" distR="114300" simplePos="0" relativeHeight="251658240" behindDoc="1" locked="0" layoutInCell="1" allowOverlap="1" wp14:anchorId="42F450B5" wp14:editId="2B36434B">
            <wp:simplePos x="0" y="0"/>
            <wp:positionH relativeFrom="margin">
              <wp:align>right</wp:align>
            </wp:positionH>
            <wp:positionV relativeFrom="paragraph">
              <wp:posOffset>13335</wp:posOffset>
            </wp:positionV>
            <wp:extent cx="2548255" cy="804545"/>
            <wp:effectExtent l="0" t="0" r="4445" b="0"/>
            <wp:wrapTight wrapText="bothSides">
              <wp:wrapPolygon edited="0">
                <wp:start x="0" y="0"/>
                <wp:lineTo x="0" y="20969"/>
                <wp:lineTo x="21476" y="20969"/>
                <wp:lineTo x="21476" y="0"/>
                <wp:lineTo x="0" y="0"/>
              </wp:wrapPolygon>
            </wp:wrapTight>
            <wp:docPr id="16937300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730006"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48255" cy="804545"/>
                    </a:xfrm>
                    <a:prstGeom prst="rect">
                      <a:avLst/>
                    </a:prstGeom>
                  </pic:spPr>
                </pic:pic>
              </a:graphicData>
            </a:graphic>
            <wp14:sizeRelH relativeFrom="page">
              <wp14:pctWidth>0</wp14:pctWidth>
            </wp14:sizeRelH>
            <wp14:sizeRelV relativeFrom="page">
              <wp14:pctHeight>0</wp14:pctHeight>
            </wp14:sizeRelV>
          </wp:anchor>
        </w:drawing>
      </w:r>
      <w:r w:rsidR="005F4C77" w:rsidRPr="00A518F4">
        <w:rPr>
          <w:rFonts w:ascii="Verdana" w:eastAsia="Calibri" w:hAnsi="Verdana" w:cs="Arial"/>
          <w:lang w:eastAsia="es-ES"/>
        </w:rPr>
        <w:t>Señor</w:t>
      </w:r>
    </w:p>
    <w:p w14:paraId="39B0066E" w14:textId="136A052C" w:rsidR="005F4C77" w:rsidRDefault="005F4C77" w:rsidP="005F4C77">
      <w:pPr>
        <w:spacing w:after="0" w:line="240" w:lineRule="auto"/>
        <w:jc w:val="both"/>
        <w:rPr>
          <w:rFonts w:ascii="Verdana" w:eastAsia="Calibri" w:hAnsi="Verdana" w:cs="Arial"/>
          <w:b/>
          <w:bCs/>
          <w:lang w:eastAsia="es-ES"/>
        </w:rPr>
      </w:pPr>
      <w:r>
        <w:rPr>
          <w:rFonts w:ascii="Verdana" w:eastAsia="Calibri" w:hAnsi="Verdana" w:cs="Arial"/>
          <w:b/>
          <w:bCs/>
          <w:lang w:eastAsia="es-ES"/>
        </w:rPr>
        <w:t>Linda Alejandra Vasco Mora</w:t>
      </w:r>
    </w:p>
    <w:p w14:paraId="30F38753" w14:textId="207C1B27" w:rsidR="005F4C77" w:rsidRPr="0079398F" w:rsidRDefault="005F4C77" w:rsidP="005F4C77">
      <w:pPr>
        <w:spacing w:after="0" w:line="240" w:lineRule="auto"/>
        <w:jc w:val="both"/>
        <w:rPr>
          <w:rFonts w:ascii="Verdana" w:eastAsia="Calibri" w:hAnsi="Verdana" w:cs="Arial"/>
          <w:bCs/>
          <w:lang w:eastAsia="es-ES"/>
        </w:rPr>
      </w:pPr>
      <w:r>
        <w:rPr>
          <w:rFonts w:ascii="Verdana" w:eastAsia="Calibri" w:hAnsi="Verdana" w:cs="Arial"/>
          <w:bCs/>
          <w:lang w:eastAsia="es-ES"/>
        </w:rPr>
        <w:t>Lin-ale@hotmail.com</w:t>
      </w:r>
    </w:p>
    <w:p w14:paraId="099B3B12" w14:textId="02B8F484" w:rsidR="005F4C77" w:rsidRPr="00A518F4" w:rsidRDefault="005F4C77" w:rsidP="005F4C77">
      <w:pPr>
        <w:spacing w:after="0" w:line="240" w:lineRule="auto"/>
        <w:rPr>
          <w:rFonts w:ascii="Verdana" w:eastAsia="Calibri" w:hAnsi="Verdana" w:cs="Arial"/>
          <w:b/>
          <w:bCs/>
          <w:lang w:eastAsia="es-ES"/>
        </w:rPr>
      </w:pPr>
      <w:r>
        <w:rPr>
          <w:rFonts w:ascii="Verdana" w:eastAsia="Calibri" w:hAnsi="Verdana" w:cs="Arial"/>
          <w:lang w:eastAsia="es-ES"/>
        </w:rPr>
        <w:t>Armenia, Quindío</w:t>
      </w:r>
    </w:p>
    <w:p w14:paraId="2335D2B2" w14:textId="2AF57E1C" w:rsidR="005F4C77" w:rsidRPr="00A518F4" w:rsidRDefault="005F4C77" w:rsidP="005F4C77">
      <w:pPr>
        <w:spacing w:after="0" w:line="240" w:lineRule="auto"/>
        <w:rPr>
          <w:rFonts w:ascii="Verdana" w:eastAsia="Calibri" w:hAnsi="Verdana" w:cs="Arial"/>
          <w:b/>
          <w:bCs/>
          <w:lang w:eastAsia="es-ES_tradnl"/>
        </w:rPr>
      </w:pPr>
    </w:p>
    <w:p w14:paraId="62E0B022" w14:textId="411C949A" w:rsidR="005F4C77" w:rsidRPr="00960F72" w:rsidRDefault="005F4C77" w:rsidP="005F4C77">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55"/>
        <w:gridCol w:w="6434"/>
      </w:tblGrid>
      <w:tr w:rsidR="005F4C77" w:rsidRPr="00960F72" w14:paraId="06F6FF9D" w14:textId="77777777" w:rsidTr="007B562E">
        <w:trPr>
          <w:trHeight w:val="190"/>
        </w:trPr>
        <w:tc>
          <w:tcPr>
            <w:tcW w:w="2355" w:type="dxa"/>
          </w:tcPr>
          <w:p w14:paraId="60D1EE67" w14:textId="77777777" w:rsidR="005F4C77" w:rsidRPr="00960F72" w:rsidRDefault="005F4C77" w:rsidP="007B562E">
            <w:pPr>
              <w:jc w:val="both"/>
              <w:rPr>
                <w:rFonts w:ascii="Verdana" w:eastAsia="Calibri" w:hAnsi="Verdana" w:cs="Arial"/>
                <w:b/>
                <w:bCs/>
                <w:lang w:eastAsia="es-ES_tradnl"/>
              </w:rPr>
            </w:pPr>
          </w:p>
        </w:tc>
        <w:tc>
          <w:tcPr>
            <w:tcW w:w="6434" w:type="dxa"/>
          </w:tcPr>
          <w:p w14:paraId="70B3CE64" w14:textId="77777777" w:rsidR="005F4C77" w:rsidRPr="00960F72" w:rsidRDefault="005F4C77" w:rsidP="007B562E">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 xml:space="preserve">697 </w:t>
            </w:r>
            <w:r w:rsidRPr="00960F72">
              <w:rPr>
                <w:rFonts w:ascii="Verdana" w:eastAsia="Calibri" w:hAnsi="Verdana" w:cs="Arial"/>
                <w:b/>
                <w:bCs/>
                <w:lang w:eastAsia="es-ES"/>
              </w:rPr>
              <w:t>de 2025</w:t>
            </w:r>
          </w:p>
          <w:p w14:paraId="3D01BE86" w14:textId="77777777" w:rsidR="005F4C77" w:rsidRPr="00960F72" w:rsidRDefault="005F4C77" w:rsidP="007B562E">
            <w:pPr>
              <w:jc w:val="both"/>
              <w:rPr>
                <w:rFonts w:ascii="Verdana" w:eastAsia="Calibri" w:hAnsi="Verdana" w:cs="Arial"/>
                <w:b/>
                <w:bCs/>
                <w:lang w:eastAsia="es-ES"/>
              </w:rPr>
            </w:pPr>
          </w:p>
        </w:tc>
      </w:tr>
      <w:tr w:rsidR="005F4C77" w:rsidRPr="00960F72" w14:paraId="4C6FF4E4" w14:textId="77777777" w:rsidTr="007B562E">
        <w:trPr>
          <w:trHeight w:val="884"/>
        </w:trPr>
        <w:tc>
          <w:tcPr>
            <w:tcW w:w="2355" w:type="dxa"/>
          </w:tcPr>
          <w:p w14:paraId="4CB8D0D9" w14:textId="77777777" w:rsidR="005F4C77" w:rsidRPr="00960F72" w:rsidRDefault="005F4C77" w:rsidP="007B562E">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434" w:type="dxa"/>
          </w:tcPr>
          <w:p w14:paraId="6930F21E" w14:textId="77777777" w:rsidR="005F4C77" w:rsidRDefault="005F4C77" w:rsidP="007B562E">
            <w:pPr>
              <w:spacing w:line="276" w:lineRule="auto"/>
              <w:jc w:val="both"/>
              <w:rPr>
                <w:rFonts w:ascii="Verdana" w:eastAsia="Times New Roman" w:hAnsi="Verdana" w:cs="Arial"/>
                <w:lang w:eastAsia="es-ES_tradnl"/>
              </w:rPr>
            </w:pPr>
            <w:r w:rsidRPr="00284B9D">
              <w:rPr>
                <w:rFonts w:ascii="Verdana" w:hAnsi="Verdana" w:cs="Arial"/>
                <w:lang w:val="es-MX" w:eastAsia="es-ES_tradnl"/>
              </w:rPr>
              <w:t xml:space="preserve">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Finalidad / 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w:t>
            </w:r>
            <w:r>
              <w:rPr>
                <w:rFonts w:ascii="Verdana" w:hAnsi="Verdana" w:cs="Arial"/>
                <w:lang w:val="es-MX" w:eastAsia="es-ES_tradnl"/>
              </w:rPr>
              <w:t>Prohibición - Contratación directa</w:t>
            </w:r>
            <w:r w:rsidRPr="00284B9D">
              <w:rPr>
                <w:rFonts w:ascii="Verdana" w:hAnsi="Verdana" w:cs="Arial"/>
                <w:lang w:val="es-MX" w:eastAsia="es-ES_tradnl"/>
              </w:rPr>
              <w:t xml:space="preserve"> / </w:t>
            </w:r>
            <w:r w:rsidRPr="003F7B98">
              <w:rPr>
                <w:rFonts w:ascii="Verdana" w:eastAsia="Times New Roman" w:hAnsi="Verdana" w:cs="Arial"/>
                <w:lang w:eastAsia="es-ES_tradnl"/>
              </w:rPr>
              <w:t>LEY DE GARANTÍAS ELECTORALES ─ Prohibición ‒ Contratación directa ‒ Excepciones</w:t>
            </w:r>
            <w:r w:rsidRPr="00376467">
              <w:rPr>
                <w:rFonts w:ascii="Verdana" w:eastAsia="Times New Roman" w:hAnsi="Verdana" w:cs="Arial"/>
                <w:lang w:eastAsia="es-ES_tradnl"/>
              </w:rPr>
              <w:t xml:space="preserve"> </w:t>
            </w:r>
            <w:r>
              <w:rPr>
                <w:rFonts w:ascii="Verdana" w:eastAsia="Times New Roman" w:hAnsi="Verdana" w:cs="Arial"/>
                <w:lang w:eastAsia="es-ES_tradnl"/>
              </w:rPr>
              <w:t xml:space="preserve">/ </w:t>
            </w:r>
            <w:r w:rsidRPr="00376467">
              <w:rPr>
                <w:rFonts w:ascii="Verdana" w:eastAsia="Times New Roman" w:hAnsi="Verdana" w:cs="Arial"/>
                <w:lang w:eastAsia="es-ES_tradnl"/>
              </w:rPr>
              <w:t xml:space="preserve">DECRETO 092 DE 2017 – Finalidad – Clases de contratos / CONTRATACIÓN CON ESAL – Contrato de colaboración – Objeto – Alcance / </w:t>
            </w:r>
            <w:r>
              <w:rPr>
                <w:rFonts w:ascii="Verdana" w:eastAsia="Times New Roman" w:hAnsi="Verdana" w:cs="Arial"/>
                <w:lang w:eastAsia="es-ES_tradnl"/>
              </w:rPr>
              <w:t xml:space="preserve">DECRETO 092 DE 2017 – </w:t>
            </w:r>
            <w:r w:rsidRPr="00376467">
              <w:rPr>
                <w:rFonts w:ascii="Verdana" w:eastAsia="Times New Roman" w:hAnsi="Verdana" w:cs="Arial"/>
                <w:lang w:eastAsia="es-ES_tradnl"/>
              </w:rPr>
              <w:t>C</w:t>
            </w:r>
            <w:r>
              <w:rPr>
                <w:rFonts w:ascii="Verdana" w:eastAsia="Times New Roman" w:hAnsi="Verdana" w:cs="Arial"/>
                <w:lang w:eastAsia="es-ES_tradnl"/>
              </w:rPr>
              <w:t>onvenios de asociación / LEY DE GARANTÍAS - Aplicación en contratos de colaboración y convenios de asociación</w:t>
            </w:r>
          </w:p>
          <w:p w14:paraId="15C54836" w14:textId="77777777" w:rsidR="005F4C77" w:rsidRPr="00E3405D" w:rsidRDefault="005F4C77" w:rsidP="007B562E">
            <w:pPr>
              <w:spacing w:line="276" w:lineRule="auto"/>
              <w:jc w:val="both"/>
              <w:rPr>
                <w:rFonts w:ascii="Verdana" w:eastAsia="Calibri" w:hAnsi="Verdana" w:cs="Arial"/>
                <w:lang w:val="es-ES"/>
              </w:rPr>
            </w:pPr>
          </w:p>
        </w:tc>
      </w:tr>
      <w:tr w:rsidR="005F4C77" w:rsidRPr="00960F72" w14:paraId="16374003" w14:textId="77777777" w:rsidTr="007B562E">
        <w:tc>
          <w:tcPr>
            <w:tcW w:w="2355" w:type="dxa"/>
          </w:tcPr>
          <w:p w14:paraId="7E12AE49" w14:textId="77777777" w:rsidR="005F4C77" w:rsidRPr="00960F72" w:rsidRDefault="005F4C77" w:rsidP="007B562E">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434" w:type="dxa"/>
          </w:tcPr>
          <w:p w14:paraId="2DB51018" w14:textId="77777777" w:rsidR="005F4C77" w:rsidRPr="00960F72" w:rsidRDefault="005F4C77" w:rsidP="007B562E">
            <w:pPr>
              <w:jc w:val="both"/>
              <w:rPr>
                <w:rFonts w:ascii="Verdana" w:eastAsia="Calibri" w:hAnsi="Verdana" w:cs="Arial"/>
                <w:lang w:eastAsia="es-ES_tradnl"/>
              </w:rPr>
            </w:pPr>
            <w:r w:rsidRPr="00960F72">
              <w:rPr>
                <w:rFonts w:ascii="Verdana" w:eastAsia="Calibri" w:hAnsi="Verdana" w:cs="Arial"/>
                <w:lang w:eastAsia="es-ES_tradnl"/>
              </w:rPr>
              <w:t>Respuesta a consulta con radicado No.</w:t>
            </w:r>
            <w:r>
              <w:rPr>
                <w:rFonts w:ascii="Verdana" w:eastAsia="Calibri" w:hAnsi="Verdana" w:cs="Arial"/>
                <w:lang w:eastAsia="es-ES_tradnl"/>
              </w:rPr>
              <w:t xml:space="preserve"> </w:t>
            </w:r>
            <w:r w:rsidRPr="0079398F">
              <w:rPr>
                <w:rFonts w:ascii="Verdana" w:eastAsia="Calibri" w:hAnsi="Verdana" w:cs="Arial"/>
                <w:lang w:eastAsia="es-ES_tradnl"/>
              </w:rPr>
              <w:t>1_2025_11_18_012979</w:t>
            </w:r>
          </w:p>
        </w:tc>
      </w:tr>
    </w:tbl>
    <w:p w14:paraId="609F7E04" w14:textId="77777777" w:rsidR="005F4C77" w:rsidRPr="00960F72" w:rsidRDefault="005F4C77" w:rsidP="005F4C77">
      <w:pPr>
        <w:spacing w:after="0" w:line="240" w:lineRule="auto"/>
        <w:jc w:val="both"/>
        <w:rPr>
          <w:rFonts w:ascii="Verdana" w:eastAsia="Calibri" w:hAnsi="Verdana" w:cs="Arial"/>
          <w:lang w:eastAsia="es-ES_tradnl"/>
        </w:rPr>
      </w:pPr>
    </w:p>
    <w:p w14:paraId="61B251DE" w14:textId="77777777" w:rsidR="005F4C77" w:rsidRPr="00960F72" w:rsidRDefault="005F4C77" w:rsidP="005F4C77">
      <w:pPr>
        <w:spacing w:after="0" w:line="240" w:lineRule="auto"/>
        <w:jc w:val="both"/>
        <w:rPr>
          <w:rFonts w:ascii="Verdana" w:eastAsia="Calibri" w:hAnsi="Verdana" w:cs="Arial"/>
          <w:lang w:eastAsia="es-ES_tradnl"/>
        </w:rPr>
      </w:pPr>
    </w:p>
    <w:p w14:paraId="10FB9981" w14:textId="77777777" w:rsidR="005F4C77" w:rsidRPr="00960F72" w:rsidRDefault="005F4C77" w:rsidP="005F4C77">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 xml:space="preserve">a </w:t>
      </w:r>
      <w:r w:rsidRPr="00960F72">
        <w:rPr>
          <w:rFonts w:ascii="Verdana" w:eastAsia="Calibri" w:hAnsi="Verdana" w:cs="Arial"/>
          <w:lang w:eastAsia="es-ES"/>
        </w:rPr>
        <w:t>señor</w:t>
      </w:r>
      <w:r>
        <w:rPr>
          <w:rFonts w:ascii="Verdana" w:eastAsia="Calibri" w:hAnsi="Verdana" w:cs="Arial"/>
          <w:lang w:eastAsia="es-ES"/>
        </w:rPr>
        <w:t xml:space="preserve">a </w:t>
      </w:r>
      <w:proofErr w:type="gramStart"/>
      <w:r>
        <w:rPr>
          <w:rFonts w:ascii="Verdana" w:eastAsia="Calibri" w:hAnsi="Verdana" w:cs="Arial"/>
          <w:lang w:eastAsia="es-ES"/>
        </w:rPr>
        <w:t>Vasco</w:t>
      </w:r>
      <w:proofErr w:type="gramEnd"/>
      <w:r w:rsidRPr="00960F72">
        <w:rPr>
          <w:rFonts w:ascii="Verdana" w:eastAsia="Calibri" w:hAnsi="Verdana" w:cs="Arial"/>
          <w:lang w:eastAsia="es-ES"/>
        </w:rPr>
        <w:t xml:space="preserve">: </w:t>
      </w:r>
    </w:p>
    <w:p w14:paraId="1F3C93E6" w14:textId="77777777" w:rsidR="005F4C77" w:rsidRPr="00960F72" w:rsidRDefault="005F4C77" w:rsidP="005F4C77">
      <w:pPr>
        <w:tabs>
          <w:tab w:val="left" w:pos="3768"/>
        </w:tabs>
        <w:spacing w:after="0" w:line="276" w:lineRule="auto"/>
        <w:jc w:val="both"/>
        <w:rPr>
          <w:rFonts w:ascii="Verdana" w:eastAsia="Calibri" w:hAnsi="Verdana" w:cs="Arial"/>
          <w:lang w:eastAsia="es-ES"/>
        </w:rPr>
      </w:pPr>
    </w:p>
    <w:p w14:paraId="6CD632F5" w14:textId="3944ECB2" w:rsidR="005F4C77" w:rsidRPr="00960F72" w:rsidRDefault="005F4C77" w:rsidP="005F4C77">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18</w:t>
      </w:r>
      <w:r w:rsidRPr="00960F72">
        <w:rPr>
          <w:rFonts w:ascii="Verdana" w:eastAsia="Calibri" w:hAnsi="Verdana" w:cs="Arial"/>
          <w:lang w:eastAsia="es-ES"/>
        </w:rPr>
        <w:t xml:space="preserve"> de </w:t>
      </w:r>
      <w:r>
        <w:rPr>
          <w:rFonts w:ascii="Verdana" w:eastAsia="Calibri" w:hAnsi="Verdana" w:cs="Arial"/>
          <w:lang w:eastAsia="es-ES"/>
        </w:rPr>
        <w:t xml:space="preserve">noviembre </w:t>
      </w:r>
      <w:r w:rsidRPr="00960F72">
        <w:rPr>
          <w:rFonts w:ascii="Verdana" w:eastAsia="Calibri" w:hAnsi="Verdana" w:cs="Arial"/>
          <w:lang w:eastAsia="es-ES"/>
        </w:rPr>
        <w:t xml:space="preserve">de 2025, en la cual manifiesta lo siguiente: </w:t>
      </w:r>
    </w:p>
    <w:p w14:paraId="706DCCD3" w14:textId="77777777" w:rsidR="005F4C77" w:rsidRDefault="005F4C77" w:rsidP="004513DD">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79398F">
        <w:rPr>
          <w:rFonts w:ascii="Verdana" w:eastAsia="Calibri" w:hAnsi="Verdana" w:cs="Arial"/>
          <w:sz w:val="20"/>
          <w:szCs w:val="20"/>
          <w:lang w:eastAsia="es-ES"/>
        </w:rPr>
        <w:t>Si en vigencia de la ley de garantías, un municipio puede celebrar un convenio de</w:t>
      </w:r>
      <w:r>
        <w:rPr>
          <w:rFonts w:ascii="Verdana" w:eastAsia="Calibri" w:hAnsi="Verdana" w:cs="Arial"/>
          <w:sz w:val="20"/>
          <w:szCs w:val="20"/>
          <w:lang w:eastAsia="es-ES"/>
        </w:rPr>
        <w:t xml:space="preserve"> </w:t>
      </w:r>
      <w:r w:rsidRPr="0079398F">
        <w:rPr>
          <w:rFonts w:ascii="Verdana" w:eastAsia="Calibri" w:hAnsi="Verdana" w:cs="Arial"/>
          <w:sz w:val="20"/>
          <w:szCs w:val="20"/>
          <w:lang w:eastAsia="es-ES"/>
        </w:rPr>
        <w:t>asociación (artículo 96 ley 489 de 1998) con el comité de cafeteros, dada la</w:t>
      </w:r>
      <w:r>
        <w:rPr>
          <w:rFonts w:ascii="Verdana" w:eastAsia="Calibri" w:hAnsi="Verdana" w:cs="Arial"/>
          <w:sz w:val="20"/>
          <w:szCs w:val="20"/>
          <w:lang w:eastAsia="es-ES"/>
        </w:rPr>
        <w:t xml:space="preserve"> </w:t>
      </w:r>
      <w:r w:rsidRPr="0079398F">
        <w:rPr>
          <w:rFonts w:ascii="Verdana" w:eastAsia="Calibri" w:hAnsi="Verdana" w:cs="Arial"/>
          <w:sz w:val="20"/>
          <w:szCs w:val="20"/>
          <w:lang w:eastAsia="es-ES"/>
        </w:rPr>
        <w:t>restricción del artículo 38 de la ley 996 de 2005, la norma habla de convenios</w:t>
      </w:r>
      <w:r>
        <w:rPr>
          <w:rFonts w:ascii="Verdana" w:eastAsia="Calibri" w:hAnsi="Verdana" w:cs="Arial"/>
          <w:sz w:val="20"/>
          <w:szCs w:val="20"/>
          <w:lang w:eastAsia="es-ES"/>
        </w:rPr>
        <w:t xml:space="preserve"> </w:t>
      </w:r>
      <w:r w:rsidRPr="0079398F">
        <w:rPr>
          <w:rFonts w:ascii="Verdana" w:eastAsia="Calibri" w:hAnsi="Verdana" w:cs="Arial"/>
          <w:sz w:val="20"/>
          <w:szCs w:val="20"/>
          <w:lang w:eastAsia="es-ES"/>
        </w:rPr>
        <w:t>interadministrativos, es decir entre entidades públicas, el comité es privado, pero allí</w:t>
      </w:r>
      <w:r>
        <w:rPr>
          <w:rFonts w:ascii="Verdana" w:eastAsia="Calibri" w:hAnsi="Verdana" w:cs="Arial"/>
          <w:sz w:val="20"/>
          <w:szCs w:val="20"/>
          <w:lang w:eastAsia="es-ES"/>
        </w:rPr>
        <w:t xml:space="preserve"> </w:t>
      </w:r>
      <w:r w:rsidRPr="0079398F">
        <w:rPr>
          <w:rFonts w:ascii="Verdana" w:eastAsia="Calibri" w:hAnsi="Verdana" w:cs="Arial"/>
          <w:sz w:val="20"/>
          <w:szCs w:val="20"/>
          <w:lang w:eastAsia="es-ES"/>
        </w:rPr>
        <w:t>podría darse la prohibición por el tema de ejecución de recursos públicos o solo</w:t>
      </w:r>
      <w:r>
        <w:rPr>
          <w:rFonts w:ascii="Verdana" w:eastAsia="Calibri" w:hAnsi="Verdana" w:cs="Arial"/>
          <w:sz w:val="20"/>
          <w:szCs w:val="20"/>
          <w:lang w:eastAsia="es-ES"/>
        </w:rPr>
        <w:t xml:space="preserve"> </w:t>
      </w:r>
      <w:r w:rsidRPr="0079398F">
        <w:rPr>
          <w:rFonts w:ascii="Verdana" w:eastAsia="Calibri" w:hAnsi="Verdana" w:cs="Arial"/>
          <w:sz w:val="20"/>
          <w:szCs w:val="20"/>
          <w:lang w:eastAsia="es-ES"/>
        </w:rPr>
        <w:t>porque la otra entidad es privada, ya no estaría incurso en la prohibición.</w:t>
      </w:r>
      <w:r>
        <w:rPr>
          <w:rFonts w:ascii="Verdana" w:eastAsia="Calibri" w:hAnsi="Verdana" w:cs="Arial"/>
          <w:sz w:val="20"/>
          <w:szCs w:val="20"/>
          <w:lang w:eastAsia="es-ES"/>
        </w:rPr>
        <w:t>”</w:t>
      </w:r>
    </w:p>
    <w:p w14:paraId="3F57A32D" w14:textId="77777777" w:rsidR="005F4C77" w:rsidRPr="0079398F" w:rsidRDefault="005F4C77" w:rsidP="005F4C77">
      <w:pPr>
        <w:spacing w:after="0" w:line="276" w:lineRule="auto"/>
        <w:ind w:left="709" w:right="709"/>
        <w:jc w:val="both"/>
        <w:rPr>
          <w:rFonts w:ascii="Verdana" w:eastAsia="Calibri" w:hAnsi="Verdana" w:cs="Arial"/>
          <w:sz w:val="20"/>
          <w:szCs w:val="20"/>
          <w:lang w:eastAsia="es-ES"/>
        </w:rPr>
      </w:pPr>
    </w:p>
    <w:p w14:paraId="201BDE2D" w14:textId="77777777" w:rsidR="005F4C77" w:rsidRPr="00960F72" w:rsidRDefault="005F4C77" w:rsidP="005F4C77">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8271C3E" w14:textId="77777777" w:rsidR="005F4C77" w:rsidRPr="00960F72" w:rsidRDefault="005F4C77" w:rsidP="005F4C77">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3F7363B2" w14:textId="77777777" w:rsidR="005F4C77" w:rsidRPr="00960F72" w:rsidRDefault="005F4C77" w:rsidP="005F4C77">
      <w:pPr>
        <w:spacing w:after="0" w:line="276" w:lineRule="auto"/>
        <w:ind w:firstLine="709"/>
        <w:jc w:val="both"/>
        <w:rPr>
          <w:rFonts w:ascii="Verdana" w:eastAsia="Calibri" w:hAnsi="Verdana" w:cs="Arial"/>
          <w:lang w:eastAsia="es-ES"/>
        </w:rPr>
      </w:pPr>
    </w:p>
    <w:p w14:paraId="48C47017" w14:textId="77777777" w:rsidR="005F4C77" w:rsidRPr="00960F72" w:rsidRDefault="005F4C77" w:rsidP="005F4C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330D06B0" w14:textId="77777777" w:rsidR="005F4C77" w:rsidRPr="00960F72" w:rsidRDefault="005F4C77" w:rsidP="005F4C77">
      <w:pPr>
        <w:tabs>
          <w:tab w:val="left" w:pos="426"/>
        </w:tabs>
        <w:spacing w:after="0" w:line="276" w:lineRule="auto"/>
        <w:jc w:val="both"/>
        <w:rPr>
          <w:rFonts w:ascii="Verdana" w:eastAsia="Century Gothic" w:hAnsi="Verdana" w:cs="Century Gothic"/>
        </w:rPr>
      </w:pPr>
    </w:p>
    <w:p w14:paraId="15C649BC" w14:textId="690A7BB7" w:rsidR="005F4C77" w:rsidRDefault="005F4C77" w:rsidP="005F4C77">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D644AF">
        <w:rPr>
          <w:rFonts w:ascii="Verdana" w:eastAsia="Century Gothic" w:hAnsi="Verdana" w:cs="Century Gothic"/>
        </w:rPr>
        <w:t>¿</w:t>
      </w:r>
      <w:r w:rsidRPr="004A4F18">
        <w:rPr>
          <w:rFonts w:ascii="Verdana" w:eastAsia="Century Gothic" w:hAnsi="Verdana" w:cs="Century Gothic"/>
        </w:rPr>
        <w:t>La</w:t>
      </w:r>
      <w:r w:rsidR="00382CF7">
        <w:rPr>
          <w:rFonts w:ascii="Verdana" w:eastAsia="Century Gothic" w:hAnsi="Verdana" w:cs="Century Gothic"/>
        </w:rPr>
        <w:t>s</w:t>
      </w:r>
      <w:r w:rsidRPr="00382CF7">
        <w:rPr>
          <w:rFonts w:ascii="Verdana" w:eastAsia="Century Gothic" w:hAnsi="Verdana" w:cs="Century Gothic"/>
        </w:rPr>
        <w:t xml:space="preserve"> restricci</w:t>
      </w:r>
      <w:r w:rsidR="00382CF7">
        <w:rPr>
          <w:rFonts w:ascii="Verdana" w:eastAsia="Century Gothic" w:hAnsi="Verdana" w:cs="Century Gothic"/>
        </w:rPr>
        <w:t>o</w:t>
      </w:r>
      <w:r w:rsidRPr="00382CF7">
        <w:rPr>
          <w:rFonts w:ascii="Verdana" w:eastAsia="Century Gothic" w:hAnsi="Verdana" w:cs="Century Gothic"/>
        </w:rPr>
        <w:t>n</w:t>
      </w:r>
      <w:r w:rsidR="00382CF7">
        <w:rPr>
          <w:rFonts w:ascii="Verdana" w:eastAsia="Century Gothic" w:hAnsi="Verdana" w:cs="Century Gothic"/>
        </w:rPr>
        <w:t>es</w:t>
      </w:r>
      <w:r w:rsidRPr="00382CF7">
        <w:rPr>
          <w:rFonts w:ascii="Verdana" w:eastAsia="Century Gothic" w:hAnsi="Verdana" w:cs="Century Gothic"/>
        </w:rPr>
        <w:t xml:space="preserve"> </w:t>
      </w:r>
      <w:r w:rsidR="00382CF7">
        <w:rPr>
          <w:rFonts w:ascii="Verdana" w:eastAsia="Century Gothic" w:hAnsi="Verdana" w:cs="Century Gothic"/>
        </w:rPr>
        <w:t>contenidas en los artículos 33 y</w:t>
      </w:r>
      <w:r w:rsidRPr="00D644AF">
        <w:rPr>
          <w:rFonts w:ascii="Verdana" w:eastAsia="Century Gothic" w:hAnsi="Verdana" w:cs="Century Gothic"/>
        </w:rPr>
        <w:t xml:space="preserve"> artículo 38 </w:t>
      </w:r>
      <w:r w:rsidR="00382CF7">
        <w:rPr>
          <w:rFonts w:ascii="Verdana" w:eastAsia="Century Gothic" w:hAnsi="Verdana" w:cs="Century Gothic"/>
        </w:rPr>
        <w:t>– parágrafo –</w:t>
      </w:r>
      <w:r w:rsidRPr="00382CF7">
        <w:rPr>
          <w:rFonts w:ascii="Verdana" w:eastAsia="Century Gothic" w:hAnsi="Verdana" w:cs="Century Gothic"/>
        </w:rPr>
        <w:t xml:space="preserve"> </w:t>
      </w:r>
      <w:r w:rsidRPr="00D644AF">
        <w:rPr>
          <w:rFonts w:ascii="Verdana" w:eastAsia="Century Gothic" w:hAnsi="Verdana" w:cs="Century Gothic"/>
        </w:rPr>
        <w:t xml:space="preserve">de la Ley 996 de 2005 impide que un municipio, durante </w:t>
      </w:r>
      <w:r w:rsidR="003F437E" w:rsidRPr="00382CF7">
        <w:rPr>
          <w:rFonts w:ascii="Verdana" w:eastAsia="Century Gothic" w:hAnsi="Verdana" w:cs="Century Gothic"/>
        </w:rPr>
        <w:t xml:space="preserve">el tiempo de aplicación de </w:t>
      </w:r>
      <w:r w:rsidRPr="00D644AF">
        <w:rPr>
          <w:rFonts w:ascii="Verdana" w:eastAsia="Century Gothic" w:hAnsi="Verdana" w:cs="Century Gothic"/>
        </w:rPr>
        <w:t>la Ley de Garantías</w:t>
      </w:r>
      <w:r w:rsidR="003F437E" w:rsidRPr="00382CF7">
        <w:rPr>
          <w:rFonts w:ascii="Verdana" w:eastAsia="Century Gothic" w:hAnsi="Verdana" w:cs="Century Gothic"/>
        </w:rPr>
        <w:t xml:space="preserve"> Electorales</w:t>
      </w:r>
      <w:r w:rsidRPr="00D644AF">
        <w:rPr>
          <w:rFonts w:ascii="Verdana" w:eastAsia="Century Gothic" w:hAnsi="Verdana" w:cs="Century Gothic"/>
        </w:rPr>
        <w:t xml:space="preserve">, celebre un convenio de asociación del </w:t>
      </w:r>
      <w:r w:rsidR="003F437E" w:rsidRPr="00382CF7">
        <w:rPr>
          <w:rFonts w:ascii="Verdana" w:eastAsia="Century Gothic" w:hAnsi="Verdana" w:cs="Century Gothic"/>
        </w:rPr>
        <w:t xml:space="preserve">que trata el </w:t>
      </w:r>
      <w:r w:rsidRPr="00D644AF">
        <w:rPr>
          <w:rFonts w:ascii="Verdana" w:eastAsia="Century Gothic" w:hAnsi="Verdana" w:cs="Century Gothic"/>
        </w:rPr>
        <w:t>artículo 96 de la Ley 489 de 1998 con una entidad privada cuando se ejecutan recursos públicos?</w:t>
      </w:r>
    </w:p>
    <w:p w14:paraId="730762D2" w14:textId="77777777" w:rsidR="005F4C77" w:rsidRPr="00960F72" w:rsidRDefault="005F4C77" w:rsidP="005F4C77">
      <w:pPr>
        <w:spacing w:after="0" w:line="276" w:lineRule="auto"/>
        <w:jc w:val="both"/>
        <w:rPr>
          <w:rFonts w:ascii="Verdana" w:eastAsia="Century Gothic" w:hAnsi="Verdana" w:cs="Century Gothic"/>
        </w:rPr>
      </w:pPr>
    </w:p>
    <w:p w14:paraId="7D6714F6" w14:textId="77777777" w:rsidR="005F4C77" w:rsidRPr="00E3405D" w:rsidRDefault="005F4C77" w:rsidP="005F4C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r>
        <w:rPr>
          <w:rFonts w:ascii="Verdana" w:eastAsia="Century Gothic" w:hAnsi="Verdana" w:cs="Century Gothic"/>
          <w:b/>
          <w:bCs/>
          <w:lang w:val="es-CO"/>
        </w:rPr>
        <w:t xml:space="preserve">: </w:t>
      </w:r>
    </w:p>
    <w:p w14:paraId="769C192D" w14:textId="77777777" w:rsidR="005F4C77" w:rsidRPr="00E3405D" w:rsidRDefault="005F4C77" w:rsidP="005F4C7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8931"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31"/>
      </w:tblGrid>
      <w:tr w:rsidR="005F4C77" w:rsidRPr="00960F72" w14:paraId="5B25F87A" w14:textId="77777777" w:rsidTr="007B562E">
        <w:tc>
          <w:tcPr>
            <w:tcW w:w="8931" w:type="dxa"/>
          </w:tcPr>
          <w:p w14:paraId="45570DEA" w14:textId="77777777" w:rsidR="008767AE" w:rsidRDefault="005F4C77" w:rsidP="007B562E">
            <w:pPr>
              <w:spacing w:line="276" w:lineRule="auto"/>
              <w:jc w:val="both"/>
              <w:rPr>
                <w:rFonts w:ascii="Verdana" w:eastAsia="Times New Roman" w:hAnsi="Verdana" w:cs="Arial"/>
                <w:lang w:val="es-MX" w:eastAsia="x-none"/>
              </w:rPr>
            </w:pP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sidR="003F437E" w:rsidRPr="004A4F18">
              <w:rPr>
                <w:rFonts w:ascii="Verdana" w:eastAsia="Times New Roman" w:hAnsi="Verdana" w:cs="Arial"/>
                <w:bCs/>
                <w:lang w:eastAsia="es-CO"/>
              </w:rPr>
              <w:t>”</w:t>
            </w:r>
            <w:r>
              <w:rPr>
                <w:rFonts w:ascii="Verdana" w:eastAsia="Times New Roman" w:hAnsi="Verdana" w:cs="Arial"/>
                <w:bCs/>
                <w:lang w:eastAsia="es-CO"/>
              </w:rPr>
              <w:t xml:space="preserve"> </w:t>
            </w:r>
            <w:r w:rsidRPr="003E638E">
              <w:rPr>
                <w:rFonts w:ascii="Verdana" w:eastAsia="Times New Roman" w:hAnsi="Verdana" w:cs="Arial"/>
                <w:bCs/>
                <w:lang w:eastAsia="es-CO"/>
              </w:rPr>
              <w:t>introduce limitaciones para realizar nombramientos, postulaciones, contrataciones o cualquier otro tipo de actividad que implique destinación de recursos públicos bajo el devenir propio de las entidades estatales</w:t>
            </w:r>
            <w:r>
              <w:rPr>
                <w:rFonts w:ascii="Verdana" w:eastAsia="Times New Roman" w:hAnsi="Verdana" w:cs="Arial"/>
                <w:bCs/>
                <w:lang w:eastAsia="es-CO"/>
              </w:rPr>
              <w:t xml:space="preserve">. </w:t>
            </w:r>
            <w:r w:rsidR="00382CF7">
              <w:rPr>
                <w:rFonts w:ascii="Verdana" w:eastAsia="Times New Roman" w:hAnsi="Verdana" w:cs="Arial"/>
                <w:bCs/>
                <w:lang w:eastAsia="es-CO"/>
              </w:rPr>
              <w:t>Por un lado, e</w:t>
            </w:r>
            <w:r w:rsidRPr="003F4079">
              <w:rPr>
                <w:rFonts w:ascii="Verdana" w:eastAsia="Times New Roman" w:hAnsi="Verdana" w:cs="Arial"/>
                <w:lang w:val="es-MX" w:eastAsia="x-none"/>
              </w:rPr>
              <w:t>l ámbito material de la prohibición contenida en el artículo 33 de la Ley 996 de 2005 está</w:t>
            </w:r>
          </w:p>
          <w:p w14:paraId="5D7EBE45" w14:textId="24394D4B" w:rsidR="005F4C77" w:rsidRDefault="005F4C77" w:rsidP="007B562E">
            <w:pPr>
              <w:spacing w:line="276" w:lineRule="auto"/>
              <w:jc w:val="both"/>
              <w:rPr>
                <w:rFonts w:ascii="Verdana" w:eastAsia="Times New Roman" w:hAnsi="Verdana" w:cs="Arial"/>
                <w:lang w:eastAsia="x-none"/>
              </w:rPr>
            </w:pPr>
            <w:r w:rsidRPr="003F4079">
              <w:rPr>
                <w:rFonts w:ascii="Verdana" w:eastAsia="Times New Roman" w:hAnsi="Verdana" w:cs="Arial"/>
                <w:lang w:val="es-MX" w:eastAsia="x-none"/>
              </w:rPr>
              <w:lastRenderedPageBreak/>
              <w:t xml:space="preserve"> delimitado por la expresión </w:t>
            </w:r>
            <w:r w:rsidRPr="00095A2F">
              <w:rPr>
                <w:rFonts w:ascii="Verdana" w:eastAsia="Calibri" w:hAnsi="Verdana" w:cs="Arial"/>
                <w:i/>
                <w:lang w:val="es-MX"/>
              </w:rPr>
              <w:t>“</w:t>
            </w:r>
            <w:r w:rsidRPr="00095A2F">
              <w:rPr>
                <w:rFonts w:ascii="Verdana" w:eastAsia="Times New Roman" w:hAnsi="Verdana" w:cs="Arial"/>
                <w:i/>
                <w:lang w:val="es-MX" w:eastAsia="x-none"/>
              </w:rPr>
              <w:t>queda prohibida la contratación directa</w:t>
            </w:r>
            <w:r w:rsidRPr="00095A2F">
              <w:rPr>
                <w:rFonts w:ascii="Verdana" w:eastAsia="Calibri" w:hAnsi="Verdana" w:cs="Arial"/>
                <w:i/>
                <w:lang w:val="es-MX"/>
              </w:rPr>
              <w:t>”,</w:t>
            </w:r>
            <w:r w:rsidRPr="003F4079">
              <w:rPr>
                <w:rFonts w:ascii="Verdana" w:eastAsia="Calibri" w:hAnsi="Verdana" w:cs="Arial"/>
                <w:lang w:val="es-MX"/>
              </w:rPr>
              <w:t xml:space="preserve"> </w:t>
            </w:r>
            <w:r>
              <w:rPr>
                <w:rFonts w:ascii="Verdana" w:eastAsia="Calibri" w:hAnsi="Verdana" w:cs="Arial"/>
                <w:lang w:val="es-MX"/>
              </w:rPr>
              <w:t>la cual</w:t>
            </w:r>
            <w:r w:rsidRPr="003F4079">
              <w:rPr>
                <w:rFonts w:ascii="Verdana" w:eastAsia="Calibri" w:hAnsi="Verdana" w:cs="Arial"/>
                <w:lang w:val="es-MX"/>
              </w:rPr>
              <w:t xml:space="preserve"> </w:t>
            </w:r>
            <w:r w:rsidRPr="003F4079">
              <w:rPr>
                <w:rFonts w:ascii="Verdana" w:eastAsia="Times New Roman" w:hAnsi="Verdana" w:cs="Arial"/>
                <w:lang w:eastAsia="x-none"/>
              </w:rPr>
              <w:t>se refiere a</w:t>
            </w:r>
            <w:r w:rsidRPr="00095A2F">
              <w:rPr>
                <w:rFonts w:ascii="Verdana" w:eastAsia="Times New Roman" w:hAnsi="Verdana" w:cs="Arial"/>
                <w:i/>
                <w:lang w:eastAsia="x-none"/>
              </w:rPr>
              <w:t xml:space="preserve"> </w:t>
            </w:r>
            <w:r w:rsidRPr="00095A2F">
              <w:rPr>
                <w:rFonts w:ascii="Verdana" w:eastAsia="Times New Roman" w:hAnsi="Verdana" w:cs="Arial"/>
                <w:i/>
                <w:lang w:eastAsia="en-GB"/>
              </w:rPr>
              <w:t>“</w:t>
            </w:r>
            <w:r w:rsidRPr="00095A2F">
              <w:rPr>
                <w:rFonts w:ascii="Verdana" w:eastAsia="Times New Roman" w:hAnsi="Verdana" w:cs="Arial"/>
                <w:i/>
                <w:lang w:eastAsia="x-none"/>
              </w:rPr>
              <w:t>cualquier sistema que no implique convocatoria pública y posibilidad de pluralidad de oferentes</w:t>
            </w:r>
            <w:r w:rsidRPr="00095A2F">
              <w:rPr>
                <w:rFonts w:ascii="Verdana" w:eastAsia="Times New Roman" w:hAnsi="Verdana" w:cs="Arial"/>
                <w:i/>
                <w:lang w:eastAsia="en-GB"/>
              </w:rPr>
              <w:t>”</w:t>
            </w:r>
            <w:r w:rsidRPr="003F4079">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p>
          <w:p w14:paraId="78DCD162" w14:textId="5D83A709" w:rsidR="00382CF7" w:rsidRPr="00AA31F3" w:rsidRDefault="00382CF7" w:rsidP="00382CF7">
            <w:pPr>
              <w:spacing w:before="120" w:after="120" w:line="276" w:lineRule="auto"/>
              <w:ind w:firstLine="709"/>
              <w:jc w:val="both"/>
              <w:rPr>
                <w:rFonts w:ascii="Verdana" w:eastAsia="Times New Roman" w:hAnsi="Verdana" w:cs="Arial"/>
                <w:lang w:eastAsia="es-CO"/>
              </w:rPr>
            </w:pPr>
            <w:r>
              <w:rPr>
                <w:rFonts w:ascii="Verdana" w:hAnsi="Verdana" w:cs="Arial"/>
                <w:lang w:val="es-ES"/>
              </w:rPr>
              <w:t>Por otro lado,</w:t>
            </w:r>
            <w:r w:rsidRPr="00AA31F3">
              <w:rPr>
                <w:rFonts w:ascii="Verdana" w:hAnsi="Verdana" w:cs="Arial"/>
                <w:lang w:val="es-ES"/>
              </w:rPr>
              <w:t xml:space="preserve"> y en lo que respecta a lo dispuesto en el parágrafo </w:t>
            </w:r>
            <w:r w:rsidRPr="00AA31F3">
              <w:rPr>
                <w:rFonts w:ascii="Verdana" w:eastAsia="Times New Roman" w:hAnsi="Verdana" w:cs="Arial"/>
                <w:lang w:eastAsia="es-CO"/>
              </w:rPr>
              <w:t xml:space="preserve">del artículo 38 de la Ley 996 de 2005, se precisa que, este prohíbe a los </w:t>
            </w:r>
            <w:proofErr w:type="gramStart"/>
            <w:r w:rsidRPr="00AA31F3">
              <w:rPr>
                <w:rFonts w:ascii="Verdana" w:eastAsia="Times New Roman" w:hAnsi="Verdana" w:cs="Arial"/>
                <w:lang w:eastAsia="es-CO"/>
              </w:rPr>
              <w:t>Alcaldes</w:t>
            </w:r>
            <w:proofErr w:type="gramEnd"/>
            <w:r w:rsidRPr="00AA31F3">
              <w:rPr>
                <w:rFonts w:ascii="Verdana" w:eastAsia="Times New Roman" w:hAnsi="Verdana" w:cs="Arial"/>
                <w:lang w:eastAsia="es-CO"/>
              </w:rPr>
              <w:t xml:space="preserve">, Gobernadores, </w:t>
            </w:r>
            <w:proofErr w:type="gramStart"/>
            <w:r w:rsidRPr="00AA31F3">
              <w:rPr>
                <w:rFonts w:ascii="Verdana" w:eastAsia="Times New Roman" w:hAnsi="Verdana" w:cs="Arial"/>
                <w:lang w:eastAsia="es-CO"/>
              </w:rPr>
              <w:t>Secretarios</w:t>
            </w:r>
            <w:proofErr w:type="gramEnd"/>
            <w:r w:rsidRPr="00AA31F3">
              <w:rPr>
                <w:rFonts w:ascii="Verdana" w:eastAsia="Times New Roman" w:hAnsi="Verdana" w:cs="Arial"/>
                <w:lang w:eastAsia="es-CO"/>
              </w:rPr>
              <w:t xml:space="preserve">, Gerentes y </w:t>
            </w:r>
            <w:proofErr w:type="gramStart"/>
            <w:r w:rsidRPr="00AA31F3">
              <w:rPr>
                <w:rFonts w:ascii="Verdana" w:eastAsia="Times New Roman" w:hAnsi="Verdana" w:cs="Arial"/>
                <w:lang w:eastAsia="es-CO"/>
              </w:rPr>
              <w:t>Directores</w:t>
            </w:r>
            <w:proofErr w:type="gramEnd"/>
            <w:r w:rsidRPr="00AA31F3">
              <w:rPr>
                <w:rFonts w:ascii="Verdana" w:eastAsia="Times New Roman" w:hAnsi="Verdana" w:cs="Arial"/>
                <w:lang w:eastAsia="es-CO"/>
              </w:rPr>
              <w:t xml:space="preserve"> de las entidades del orden municipal, departamental o distrital celebrar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w:t>
            </w:r>
            <w:r w:rsidRPr="00AA31F3">
              <w:rPr>
                <w:rFonts w:ascii="Verdana" w:eastAsia="Times New Roman" w:hAnsi="Verdana" w:cs="Arial"/>
                <w:i/>
                <w:iCs/>
                <w:lang w:eastAsia="es-CO"/>
              </w:rPr>
              <w:t>para la ejecución de recursos públicos</w:t>
            </w:r>
            <w:r w:rsidRPr="00AA31F3">
              <w:rPr>
                <w:rFonts w:ascii="Verdana" w:eastAsia="Times New Roman" w:hAnsi="Verdana" w:cs="Arial"/>
                <w:lang w:eastAsia="es-CO"/>
              </w:rPr>
              <w:t xml:space="preserve">. En este sentido, si una o ambas partes de la relación contractual </w:t>
            </w:r>
            <w:r w:rsidRPr="00AA31F3">
              <w:rPr>
                <w:rFonts w:ascii="Verdana" w:eastAsia="Times New Roman" w:hAnsi="Verdana" w:cs="Arial"/>
                <w:i/>
                <w:iCs/>
                <w:lang w:eastAsia="es-CO"/>
              </w:rPr>
              <w:t>es una entidad</w:t>
            </w:r>
            <w:r w:rsidRPr="00AA31F3">
              <w:rPr>
                <w:rFonts w:ascii="Verdana" w:eastAsia="Times New Roman" w:hAnsi="Verdana" w:cs="Arial"/>
                <w:lang w:eastAsia="es-CO"/>
              </w:rPr>
              <w:t xml:space="preserve"> de aquellas descritas en el parágrafo </w:t>
            </w:r>
            <w:r w:rsidRPr="00AA31F3">
              <w:rPr>
                <w:rFonts w:ascii="Verdana" w:eastAsia="Times New Roman" w:hAnsi="Verdana" w:cs="Arial"/>
                <w:i/>
                <w:lang w:eastAsia="es-CO"/>
              </w:rPr>
              <w:t>ibidem</w:t>
            </w:r>
            <w:r w:rsidRPr="00AA31F3">
              <w:rPr>
                <w:rFonts w:ascii="Verdana" w:eastAsia="Times New Roman" w:hAnsi="Verdana" w:cs="Arial"/>
                <w:lang w:eastAsia="es-CO"/>
              </w:rPr>
              <w:t xml:space="preserve">, no podrá celebrar tales </w:t>
            </w:r>
            <w:r w:rsidRPr="00AA31F3">
              <w:rPr>
                <w:rFonts w:ascii="Verdana" w:eastAsia="Times New Roman" w:hAnsi="Verdana" w:cs="Arial"/>
                <w:i/>
                <w:iCs/>
                <w:lang w:eastAsia="es-CO"/>
              </w:rPr>
              <w:t>convenios</w:t>
            </w:r>
            <w:r w:rsidRPr="00AA31F3">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294FE3A4" w14:textId="6A80A7C8" w:rsidR="00382CF7" w:rsidRPr="004513DD" w:rsidRDefault="00382CF7" w:rsidP="004513DD">
            <w:pPr>
              <w:spacing w:before="120" w:after="120" w:line="276" w:lineRule="auto"/>
              <w:ind w:firstLine="709"/>
              <w:jc w:val="both"/>
              <w:rPr>
                <w:rFonts w:ascii="Verdana" w:eastAsia="Arial" w:hAnsi="Verdana" w:cs="Arial"/>
                <w:lang w:val="es-ES"/>
              </w:rPr>
            </w:pPr>
            <w:r>
              <w:rPr>
                <w:rFonts w:ascii="Verdana" w:eastAsia="Arial" w:hAnsi="Verdana" w:cs="Arial"/>
                <w:lang w:val="es-ES"/>
              </w:rPr>
              <w:t xml:space="preserve">En este punto, </w:t>
            </w:r>
            <w:r w:rsidRPr="00AA31F3">
              <w:rPr>
                <w:rFonts w:ascii="Verdana" w:eastAsia="Arial" w:hAnsi="Verdana" w:cs="Arial"/>
                <w:lang w:val="es-ES"/>
              </w:rPr>
              <w:t xml:space="preserve">es necesario tener en cuenta que, los </w:t>
            </w:r>
            <w:r w:rsidRPr="00AA31F3">
              <w:rPr>
                <w:rFonts w:ascii="Verdana" w:eastAsia="Arial" w:hAnsi="Verdana" w:cs="Arial"/>
                <w:i/>
                <w:iCs/>
                <w:lang w:val="es-ES"/>
              </w:rPr>
              <w:t>convenios interadministrativos</w:t>
            </w:r>
            <w:r w:rsidRPr="00AA31F3">
              <w:rPr>
                <w:rFonts w:ascii="Verdana" w:eastAsia="Arial" w:hAnsi="Verdana" w:cs="Arial"/>
                <w:lang w:val="es-ES"/>
              </w:rPr>
              <w:t xml:space="preserve"> se definen por la naturaleza de las partes, de manera que están determinados por un criterio orgánico, en el sentido de que lo serán aquellos celebrados entre </w:t>
            </w:r>
            <w:r w:rsidRPr="00AA31F3">
              <w:rPr>
                <w:rFonts w:ascii="Verdana" w:eastAsia="Arial" w:hAnsi="Verdana" w:cs="Arial"/>
                <w:i/>
                <w:iCs/>
                <w:lang w:val="es-ES"/>
              </w:rPr>
              <w:t>entidades de derecho público</w:t>
            </w:r>
            <w:r w:rsidRPr="00AA31F3">
              <w:rPr>
                <w:rFonts w:ascii="Verdana" w:eastAsia="Arial" w:hAnsi="Verdana" w:cs="Arial"/>
                <w:lang w:val="es-ES"/>
              </w:rPr>
              <w:t xml:space="preserve">. </w:t>
            </w:r>
          </w:p>
          <w:p w14:paraId="62563EB2" w14:textId="77777777" w:rsidR="005F4C77" w:rsidRDefault="005F4C77" w:rsidP="007B562E">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p>
          <w:p w14:paraId="21B02681" w14:textId="72750AED" w:rsidR="005F4C77" w:rsidRDefault="005F4C77" w:rsidP="007B562E">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w:t>
            </w:r>
            <w:r w:rsidR="00382CF7">
              <w:rPr>
                <w:rFonts w:ascii="Verdana" w:eastAsia="Calibri" w:hAnsi="Verdana" w:cs="Arial"/>
                <w:lang w:val="es-ES"/>
              </w:rPr>
              <w:t>ESAL</w:t>
            </w:r>
            <w:r w:rsidRPr="00377ED6">
              <w:rPr>
                <w:rFonts w:ascii="Verdana" w:eastAsia="Calibri" w:hAnsi="Verdana" w:cs="Arial"/>
                <w:lang w:val="es-ES"/>
              </w:rPr>
              <w:t xml:space="preserve">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afecta por la restricción </w:t>
            </w:r>
            <w:r>
              <w:rPr>
                <w:rFonts w:ascii="Verdana" w:eastAsia="Calibri" w:hAnsi="Verdana" w:cs="Arial"/>
                <w:lang w:val="es-ES"/>
              </w:rPr>
              <w:lastRenderedPageBreak/>
              <w:t xml:space="preserve">del artículo 33 de la Ley 996 de 2005, en la medida en que su suscripción debe darse previo desarrollo de proceso competitivo.  </w:t>
            </w:r>
          </w:p>
          <w:p w14:paraId="08CEFB50" w14:textId="087466C1" w:rsidR="005F4C77" w:rsidRDefault="005F4C77" w:rsidP="007B562E">
            <w:pPr>
              <w:spacing w:before="120" w:after="120"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513B464C" w14:textId="77777777" w:rsidR="005F4C77" w:rsidRDefault="005F4C77" w:rsidP="004513DD">
            <w:pPr>
              <w:spacing w:after="120" w:line="276" w:lineRule="auto"/>
              <w:ind w:firstLine="709"/>
              <w:jc w:val="both"/>
              <w:rPr>
                <w:rFonts w:ascii="Verdana" w:eastAsia="Times New Roman" w:hAnsi="Verdana" w:cs="Arial"/>
                <w:lang w:val="es-MX" w:eastAsia="es-CO"/>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w:t>
            </w:r>
          </w:p>
          <w:p w14:paraId="14FA2339" w14:textId="53D8856B" w:rsidR="005F4C77" w:rsidRPr="004513DD" w:rsidRDefault="00B10400" w:rsidP="004513DD">
            <w:pPr>
              <w:spacing w:after="12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Ahora bien, en relación con el parágrafo del artículo 38 debe señalarse que, dado que este prohibe la celebración de convenios inteadminsitrativos, entendidos como aquellos que se celebran entre dos entidades estatales, no es aplicable a los contratos de colaboración – de que trata el artículo 355 de la Constitución Politica – ni los convenios de asociación – del artículo 96 de la 489 – pues uno de los extremos es una ESAL de naturaleza privada, por lo que el negocio juridico no se cataloga en aquellos que se prohiben. </w:t>
            </w:r>
          </w:p>
        </w:tc>
      </w:tr>
    </w:tbl>
    <w:p w14:paraId="5ABA580E" w14:textId="77777777" w:rsidR="005F4C77" w:rsidRPr="00960F72" w:rsidRDefault="005F4C77" w:rsidP="005F4C77">
      <w:pPr>
        <w:tabs>
          <w:tab w:val="left" w:pos="142"/>
          <w:tab w:val="left" w:pos="284"/>
        </w:tabs>
        <w:spacing w:after="0" w:line="276" w:lineRule="auto"/>
        <w:jc w:val="both"/>
        <w:rPr>
          <w:rFonts w:ascii="Verdana" w:eastAsia="Century Gothic" w:hAnsi="Verdana" w:cs="Century Gothic"/>
          <w:b/>
          <w:bCs/>
        </w:rPr>
      </w:pPr>
    </w:p>
    <w:p w14:paraId="39D0F4F7" w14:textId="77777777" w:rsidR="005F4C77" w:rsidRDefault="005F4C77" w:rsidP="005F4C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20528671" w14:textId="77777777" w:rsidR="005F4C77" w:rsidRDefault="005F4C77" w:rsidP="005F4C7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18FC674F" w14:textId="75A6069E" w:rsidR="005F4C77" w:rsidRDefault="005F4C77" w:rsidP="005F4C77">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7D58DF7E" w14:textId="77777777" w:rsidR="004A4F18" w:rsidRPr="004A4F18" w:rsidRDefault="004A4F18">
      <w:pPr>
        <w:spacing w:after="0" w:line="276" w:lineRule="auto"/>
        <w:jc w:val="both"/>
        <w:rPr>
          <w:rFonts w:ascii="Verdana" w:eastAsia="Calibri" w:hAnsi="Verdana" w:cs="Arial"/>
          <w:lang w:val="es-ES"/>
        </w:rPr>
      </w:pPr>
    </w:p>
    <w:p w14:paraId="2613F567" w14:textId="77777777" w:rsidR="005F4C77" w:rsidRDefault="005F4C77" w:rsidP="005F4C77">
      <w:pPr>
        <w:tabs>
          <w:tab w:val="left" w:pos="426"/>
        </w:tabs>
        <w:spacing w:after="120" w:line="276" w:lineRule="auto"/>
        <w:jc w:val="both"/>
        <w:rPr>
          <w:rFonts w:ascii="Verdana" w:eastAsia="Calibri" w:hAnsi="Verdana" w:cs="Arial"/>
          <w:noProof/>
          <w:lang w:val="es-ES_tradnl"/>
        </w:rPr>
      </w:pPr>
      <w:r>
        <w:rPr>
          <w:rFonts w:ascii="Verdana" w:eastAsia="Times New Roman" w:hAnsi="Verdana" w:cs="Arial"/>
          <w:bCs/>
          <w:lang w:eastAsia="es-CO"/>
        </w:rPr>
        <w:lastRenderedPageBreak/>
        <w:t>i. 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xml:space="preserve">, </w:t>
      </w:r>
      <w:r>
        <w:rPr>
          <w:rFonts w:ascii="Verdana" w:eastAsia="Times New Roman" w:hAnsi="Verdana" w:cs="Arial"/>
          <w:bCs/>
          <w:lang w:eastAsia="es-CO"/>
        </w:rPr>
        <w:t xml:space="preserve">tiene como propósito </w:t>
      </w:r>
      <w:r w:rsidRPr="003E638E">
        <w:rPr>
          <w:rFonts w:ascii="Verdana" w:eastAsia="Times New Roman" w:hAnsi="Verdana" w:cs="Arial"/>
          <w:bCs/>
          <w:lang w:eastAsia="es-CO"/>
        </w:rPr>
        <w:t xml:space="preserve">evitar la injerencia inadecuada de intereses particulares en el ejercicio de la función pública. Esta ley </w:t>
      </w:r>
      <w:r>
        <w:rPr>
          <w:rFonts w:ascii="Verdana" w:eastAsia="Times New Roman" w:hAnsi="Verdana" w:cs="Arial"/>
          <w:bCs/>
          <w:lang w:eastAsia="es-CO"/>
        </w:rPr>
        <w:t>busca</w:t>
      </w:r>
      <w:r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2"/>
      </w:r>
      <w:r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66BA30A1" w14:textId="77777777" w:rsidR="005F4C77" w:rsidRPr="003E638E" w:rsidRDefault="005F4C77" w:rsidP="005F4C77">
      <w:pPr>
        <w:tabs>
          <w:tab w:val="left" w:pos="426"/>
        </w:tabs>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0FE883E2" w14:textId="77777777" w:rsidR="005F4C77" w:rsidRPr="004513DD" w:rsidRDefault="005F4C77" w:rsidP="005F4C77">
      <w:pPr>
        <w:spacing w:after="0" w:line="240" w:lineRule="auto"/>
        <w:ind w:right="709"/>
        <w:rPr>
          <w:rFonts w:ascii="Verdana" w:eastAsia="Times New Roman" w:hAnsi="Verdana" w:cs="Arial"/>
          <w:sz w:val="21"/>
          <w:szCs w:val="21"/>
          <w:lang w:val="es-ES" w:eastAsia="es-CO"/>
        </w:rPr>
      </w:pPr>
    </w:p>
    <w:p w14:paraId="66181E16" w14:textId="77777777" w:rsidR="005F4C77" w:rsidRPr="003E638E" w:rsidRDefault="005F4C77" w:rsidP="005F4C77">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sz w:val="20"/>
          <w:szCs w:val="20"/>
          <w:lang w:val="es-ES" w:eastAsia="es-CO"/>
        </w:rPr>
        <w:t>“(…)</w:t>
      </w:r>
      <w:r>
        <w:rPr>
          <w:rFonts w:ascii="Verdana" w:eastAsia="Times New Roman" w:hAnsi="Verdana" w:cs="Arial"/>
          <w:bCs/>
          <w:sz w:val="20"/>
          <w:szCs w:val="20"/>
          <w:lang w:val="es-ES" w:eastAsia="es-CO"/>
        </w:rPr>
        <w:t xml:space="preserve"> </w:t>
      </w:r>
      <w:r w:rsidRPr="003E638E">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w:t>
      </w:r>
      <w:r w:rsidRPr="003E638E">
        <w:rPr>
          <w:rFonts w:ascii="Verdana" w:eastAsia="Times New Roman" w:hAnsi="Verdana" w:cs="Arial"/>
          <w:bCs/>
          <w:sz w:val="20"/>
          <w:szCs w:val="20"/>
          <w:lang w:eastAsia="es-CO"/>
        </w:rPr>
        <w:t>.</w:t>
      </w:r>
      <w:r w:rsidRPr="003E638E">
        <w:rPr>
          <w:rStyle w:val="Refdenotaalpie"/>
          <w:rFonts w:ascii="Verdana" w:hAnsi="Verdana" w:cs="Arial"/>
          <w:sz w:val="20"/>
          <w:szCs w:val="20"/>
        </w:rPr>
        <w:footnoteReference w:id="3"/>
      </w:r>
    </w:p>
    <w:p w14:paraId="4647198B" w14:textId="77777777" w:rsidR="005F4C77" w:rsidRPr="003E638E" w:rsidRDefault="005F4C77" w:rsidP="005F4C77">
      <w:pPr>
        <w:spacing w:after="0"/>
        <w:ind w:left="709" w:right="709"/>
        <w:jc w:val="both"/>
        <w:rPr>
          <w:rFonts w:ascii="Verdana" w:eastAsia="Times New Roman" w:hAnsi="Verdana" w:cs="Arial"/>
          <w:bCs/>
          <w:sz w:val="21"/>
          <w:szCs w:val="21"/>
          <w:lang w:eastAsia="es-CO"/>
        </w:rPr>
      </w:pPr>
    </w:p>
    <w:p w14:paraId="1AF00D0D" w14:textId="77777777" w:rsidR="004A4F18" w:rsidRPr="004A4F18" w:rsidRDefault="005F4C77" w:rsidP="004513DD">
      <w:pPr>
        <w:spacing w:after="120" w:line="276" w:lineRule="auto"/>
        <w:ind w:firstLine="709"/>
        <w:jc w:val="both"/>
        <w:rPr>
          <w:rFonts w:ascii="Verdana" w:eastAsia="Times New Roman" w:hAnsi="Verdana" w:cs="Arial"/>
          <w:bCs/>
          <w:lang w:eastAsia="es-CO"/>
        </w:rPr>
      </w:pPr>
      <w:bookmarkStart w:id="0" w:name="_Hlk78818186"/>
      <w:r w:rsidRPr="003E638E">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0"/>
      <w:r w:rsidRPr="003E638E">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30ABC463" w14:textId="5582EDF7" w:rsidR="005F4C77" w:rsidRPr="003E638E" w:rsidRDefault="005F4C77" w:rsidP="005F4C77">
      <w:pPr>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efecto, la Sala de Consulta y Servicio Civil del Consejo de Estado al analizar la referida ley, precisó lo siguiente:</w:t>
      </w:r>
    </w:p>
    <w:p w14:paraId="4899CA1A" w14:textId="77777777" w:rsidR="005F4C77" w:rsidRPr="003E638E" w:rsidRDefault="005F4C77" w:rsidP="005F4C77">
      <w:pPr>
        <w:spacing w:after="0"/>
        <w:ind w:firstLine="709"/>
        <w:jc w:val="both"/>
        <w:rPr>
          <w:rFonts w:ascii="Verdana" w:eastAsia="Times New Roman" w:hAnsi="Verdana" w:cs="Arial"/>
          <w:bCs/>
          <w:lang w:eastAsia="es-CO"/>
        </w:rPr>
      </w:pPr>
    </w:p>
    <w:p w14:paraId="4EEB33DE" w14:textId="77777777" w:rsidR="005F4C77" w:rsidRDefault="005F4C77" w:rsidP="004513DD">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lastRenderedPageBreak/>
        <w:t xml:space="preserve">“(…) </w:t>
      </w: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0319F1F" w14:textId="77777777" w:rsidR="005F4C77" w:rsidRPr="003E638E" w:rsidRDefault="005F4C77" w:rsidP="004513DD">
      <w:pPr>
        <w:spacing w:after="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6"/>
      </w:r>
      <w:r w:rsidRPr="003E638E">
        <w:rPr>
          <w:rFonts w:ascii="Verdana" w:eastAsia="Times New Roman" w:hAnsi="Verdana" w:cs="Arial"/>
          <w:bCs/>
          <w:sz w:val="20"/>
          <w:szCs w:val="20"/>
          <w:lang w:eastAsia="es-CO"/>
        </w:rPr>
        <w:t>.</w:t>
      </w:r>
    </w:p>
    <w:p w14:paraId="7AB22912" w14:textId="77777777" w:rsidR="005F4C77" w:rsidRPr="004513DD" w:rsidRDefault="005F4C77" w:rsidP="004513DD">
      <w:pPr>
        <w:spacing w:after="0" w:line="276" w:lineRule="auto"/>
        <w:ind w:right="709"/>
        <w:rPr>
          <w:rFonts w:ascii="Verdana" w:eastAsia="Times New Roman" w:hAnsi="Verdana" w:cs="Arial"/>
          <w:lang w:eastAsia="es-CO"/>
        </w:rPr>
      </w:pPr>
    </w:p>
    <w:p w14:paraId="1FDE9C50" w14:textId="77777777" w:rsidR="005F4C77" w:rsidRPr="003E638E" w:rsidRDefault="005F4C77" w:rsidP="004513DD">
      <w:pPr>
        <w:spacing w:after="0" w:line="276" w:lineRule="auto"/>
        <w:jc w:val="both"/>
        <w:rPr>
          <w:rFonts w:ascii="Verdana" w:eastAsia="Arial" w:hAnsi="Verdana" w:cs="Arial"/>
          <w:lang w:val="es-ES" w:eastAsia="es-ES" w:bidi="es-ES"/>
        </w:rPr>
      </w:pPr>
      <w:r w:rsidRPr="004513DD">
        <w:rPr>
          <w:rFonts w:ascii="Verdana" w:eastAsia="Times New Roman" w:hAnsi="Verdana" w:cs="Arial"/>
          <w:lang w:eastAsia="es-CO"/>
        </w:rPr>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1" w:name="_Hlk77236098"/>
      <w:r w:rsidRPr="003E638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1"/>
    </w:p>
    <w:p w14:paraId="29FC2305" w14:textId="77777777" w:rsidR="004A4F18" w:rsidRDefault="004A4F18" w:rsidP="004513DD">
      <w:pPr>
        <w:spacing w:after="0" w:line="276" w:lineRule="auto"/>
        <w:jc w:val="both"/>
        <w:rPr>
          <w:rFonts w:ascii="Verdana" w:eastAsia="Calibri" w:hAnsi="Verdana" w:cs="Arial"/>
        </w:rPr>
      </w:pPr>
    </w:p>
    <w:p w14:paraId="3A1F7DCF" w14:textId="3F1449F6" w:rsidR="005F4C77" w:rsidRPr="003E638E" w:rsidRDefault="004A4F18" w:rsidP="004513DD">
      <w:pPr>
        <w:spacing w:after="120" w:line="276" w:lineRule="auto"/>
        <w:jc w:val="both"/>
        <w:rPr>
          <w:rFonts w:ascii="Verdana" w:eastAsia="Calibri" w:hAnsi="Verdana" w:cs="Arial"/>
        </w:rPr>
      </w:pPr>
      <w:r>
        <w:rPr>
          <w:rFonts w:ascii="Verdana" w:eastAsia="Calibri" w:hAnsi="Verdana" w:cs="Arial"/>
        </w:rPr>
        <w:t xml:space="preserve">ii. </w:t>
      </w:r>
      <w:r w:rsidR="005F4C77">
        <w:rPr>
          <w:rFonts w:ascii="Verdana" w:eastAsia="Calibri" w:hAnsi="Verdana" w:cs="Arial"/>
        </w:rPr>
        <w:t xml:space="preserve">El </w:t>
      </w:r>
      <w:r w:rsidR="005F4C77" w:rsidRPr="003E638E">
        <w:rPr>
          <w:rFonts w:ascii="Verdana" w:eastAsia="Calibri" w:hAnsi="Verdana" w:cs="Arial"/>
        </w:rPr>
        <w:t xml:space="preserve">artículo 33 de la Ley 996 de 2005 prohíbe </w:t>
      </w:r>
      <w:r w:rsidR="005F4C77">
        <w:rPr>
          <w:rFonts w:ascii="Verdana" w:eastAsia="Calibri" w:hAnsi="Verdana" w:cs="Arial"/>
          <w:bCs/>
        </w:rPr>
        <w:t>“(…)</w:t>
      </w:r>
      <w:r w:rsidR="005F4C77" w:rsidRPr="003E638E">
        <w:rPr>
          <w:rFonts w:ascii="Verdana" w:eastAsia="Calibri" w:hAnsi="Verdana" w:cs="Arial"/>
          <w:bCs/>
        </w:rPr>
        <w:t xml:space="preserve"> </w:t>
      </w:r>
      <w:r w:rsidR="005F4C77" w:rsidRPr="003E638E">
        <w:rPr>
          <w:rFonts w:ascii="Verdana" w:eastAsia="Calibri" w:hAnsi="Verdana" w:cs="Arial"/>
        </w:rPr>
        <w:t>la contratación directa por parte de todos los entes del Estado</w:t>
      </w:r>
      <w:r w:rsidR="005F4C77">
        <w:rPr>
          <w:rFonts w:ascii="Verdana" w:eastAsia="Calibri" w:hAnsi="Verdana" w:cs="Arial"/>
        </w:rPr>
        <w:t>”</w:t>
      </w:r>
      <w:r w:rsidR="005F4C77" w:rsidRPr="003E638E">
        <w:rPr>
          <w:rFonts w:ascii="Verdana" w:eastAsia="Calibri" w:hAnsi="Verdana" w:cs="Arial"/>
        </w:rPr>
        <w:t xml:space="preserve"> durante los cuatro (4) meses anteriores a las elecciones presidenciales, salvo </w:t>
      </w:r>
      <w:r w:rsidR="005F4C77">
        <w:rPr>
          <w:rFonts w:ascii="Verdana" w:eastAsia="Calibri" w:hAnsi="Verdana" w:cs="Arial"/>
          <w:bCs/>
        </w:rPr>
        <w:t>“(…) l</w:t>
      </w:r>
      <w:r w:rsidR="005F4C77" w:rsidRPr="003E638E">
        <w:rPr>
          <w:rFonts w:ascii="Verdana" w:eastAsia="Calibri" w:hAnsi="Verdana" w:cs="Arial"/>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5F4C77">
        <w:rPr>
          <w:rFonts w:ascii="Verdana" w:eastAsia="Calibri" w:hAnsi="Verdana" w:cs="Arial"/>
        </w:rPr>
        <w:t>”</w:t>
      </w:r>
      <w:r w:rsidR="005F4C77" w:rsidRPr="003E638E">
        <w:rPr>
          <w:rFonts w:ascii="Verdana" w:eastAsia="Calibri" w:hAnsi="Verdana" w:cs="Arial"/>
          <w:bCs/>
          <w:vertAlign w:val="superscript"/>
        </w:rPr>
        <w:footnoteReference w:id="7"/>
      </w:r>
      <w:r w:rsidR="005F4C77" w:rsidRPr="003E638E">
        <w:rPr>
          <w:rFonts w:ascii="Verdana" w:eastAsia="Calibri" w:hAnsi="Verdana" w:cs="Arial"/>
        </w:rPr>
        <w:t>.</w:t>
      </w:r>
    </w:p>
    <w:p w14:paraId="652A3262" w14:textId="77777777" w:rsidR="005F4C77" w:rsidRPr="00F02C5A" w:rsidRDefault="005F4C77" w:rsidP="005F4C77">
      <w:pPr>
        <w:spacing w:after="0" w:line="276" w:lineRule="auto"/>
        <w:ind w:firstLine="708"/>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3" w:name="_Hlk75628761"/>
      <w:r w:rsidRPr="00F02C5A">
        <w:rPr>
          <w:rFonts w:ascii="Verdana" w:eastAsia="Times New Roman" w:hAnsi="Verdana" w:cs="Arial"/>
          <w:lang w:val="es-MX" w:eastAsia="x-none"/>
        </w:rPr>
        <w:t xml:space="preserve">en el artículo 33 de la Ley 996 de 2005 </w:t>
      </w:r>
      <w:bookmarkEnd w:id="3"/>
      <w:r w:rsidRPr="00F02C5A">
        <w:rPr>
          <w:rFonts w:ascii="Verdana" w:eastAsia="Times New Roman" w:hAnsi="Verdana" w:cs="Arial"/>
          <w:lang w:val="es-MX" w:eastAsia="x-none"/>
        </w:rPr>
        <w:t xml:space="preserve">está delimitado por la expresión </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queda prohibida la contratación directa</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w:t>
      </w:r>
      <w:r w:rsidRPr="002817AD">
        <w:rPr>
          <w:rFonts w:ascii="Verdana" w:eastAsia="Times New Roman" w:hAnsi="Verdana" w:cs="Arial"/>
          <w:i/>
          <w:lang w:val="es-MX" w:eastAsia="es-CO"/>
        </w:rPr>
        <w:t xml:space="preserve"> </w:t>
      </w:r>
      <w:r w:rsidRPr="00F02C5A">
        <w:rPr>
          <w:rFonts w:ascii="Verdana" w:eastAsia="Times New Roman" w:hAnsi="Verdana" w:cs="Arial"/>
          <w:lang w:val="es-MX" w:eastAsia="es-CO"/>
        </w:rPr>
        <w:t xml:space="preserve">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1EDBBEAF" w14:textId="77777777" w:rsidR="005F4C77" w:rsidRPr="00F02C5A" w:rsidRDefault="005F4C77" w:rsidP="005F4C77">
      <w:pPr>
        <w:spacing w:after="0" w:line="276" w:lineRule="auto"/>
        <w:ind w:left="708" w:right="709"/>
        <w:contextualSpacing/>
        <w:jc w:val="both"/>
        <w:rPr>
          <w:rFonts w:ascii="Verdana" w:eastAsia="Calibri" w:hAnsi="Verdana" w:cs="Arial"/>
          <w:sz w:val="21"/>
          <w:szCs w:val="21"/>
          <w:lang w:val="es-MX"/>
        </w:rPr>
      </w:pPr>
    </w:p>
    <w:p w14:paraId="6F2EF452" w14:textId="77777777" w:rsidR="005F4C77" w:rsidRPr="002817AD" w:rsidRDefault="005F4C77" w:rsidP="005F4C77">
      <w:pPr>
        <w:spacing w:after="0" w:line="240" w:lineRule="auto"/>
        <w:ind w:left="709"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817AD">
        <w:rPr>
          <w:rFonts w:ascii="Verdana" w:eastAsia="Times New Roman" w:hAnsi="Verdana" w:cs="Arial"/>
          <w:sz w:val="20"/>
          <w:szCs w:val="20"/>
          <w:vertAlign w:val="superscript"/>
          <w:lang w:eastAsia="es-CO"/>
        </w:rPr>
        <w:footnoteReference w:id="8"/>
      </w:r>
      <w:r w:rsidRPr="002817AD">
        <w:rPr>
          <w:rFonts w:ascii="Verdana" w:eastAsia="Calibri" w:hAnsi="Verdana" w:cs="Arial"/>
          <w:sz w:val="20"/>
          <w:szCs w:val="20"/>
          <w:lang w:val="es-MX"/>
        </w:rPr>
        <w:t>.</w:t>
      </w:r>
    </w:p>
    <w:p w14:paraId="775FE931" w14:textId="77777777" w:rsidR="005F4C77" w:rsidRPr="002817AD" w:rsidRDefault="005F4C77" w:rsidP="005F4C77">
      <w:pPr>
        <w:spacing w:after="0" w:line="240" w:lineRule="auto"/>
        <w:ind w:left="709" w:right="709"/>
        <w:contextualSpacing/>
        <w:jc w:val="both"/>
        <w:rPr>
          <w:rFonts w:ascii="Verdana" w:eastAsia="Calibri" w:hAnsi="Verdana" w:cs="Arial"/>
          <w:sz w:val="20"/>
          <w:szCs w:val="20"/>
          <w:lang w:val="es-MX"/>
        </w:rPr>
      </w:pPr>
    </w:p>
    <w:p w14:paraId="3582034C" w14:textId="77777777" w:rsidR="005F4C77" w:rsidRPr="002817AD" w:rsidRDefault="005F4C77" w:rsidP="005F4C77">
      <w:pPr>
        <w:spacing w:after="0" w:line="240" w:lineRule="auto"/>
        <w:ind w:left="708"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Esta Sala ha entendido </w:t>
      </w:r>
      <w:proofErr w:type="gramStart"/>
      <w:r w:rsidRPr="002817AD">
        <w:rPr>
          <w:rFonts w:ascii="Verdana" w:eastAsia="Calibri" w:hAnsi="Verdana" w:cs="Arial"/>
          <w:sz w:val="20"/>
          <w:szCs w:val="20"/>
          <w:lang w:val="es-MX"/>
        </w:rPr>
        <w:t>que</w:t>
      </w:r>
      <w:proofErr w:type="gramEnd"/>
      <w:r w:rsidRPr="002817AD">
        <w:rPr>
          <w:rFonts w:ascii="Verdana" w:eastAsia="Calibri" w:hAnsi="Verdana" w:cs="Arial"/>
          <w:sz w:val="20"/>
          <w:szCs w:val="20"/>
          <w:lang w:val="es-MX"/>
        </w:rPr>
        <w:t xml:space="preserve"> para los efectos de la ley de garantías, y dada su finalidad, el enunciado ´contratación directa´ es sinónimo </w:t>
      </w:r>
      <w:bookmarkStart w:id="4" w:name="_Hlk75741738"/>
      <w:r w:rsidRPr="002817AD">
        <w:rPr>
          <w:rFonts w:ascii="Verdana" w:eastAsia="Calibri" w:hAnsi="Verdana" w:cs="Arial"/>
          <w:sz w:val="20"/>
          <w:szCs w:val="20"/>
          <w:lang w:val="es-MX"/>
        </w:rPr>
        <w:t xml:space="preserve">de cualquier sistema que no implique convocatoria pública y posibilidad de pluralidad de oferentes, </w:t>
      </w:r>
      <w:bookmarkEnd w:id="4"/>
      <w:r w:rsidRPr="002817AD">
        <w:rPr>
          <w:rFonts w:ascii="Verdana" w:eastAsia="Calibri" w:hAnsi="Verdana" w:cs="Arial"/>
          <w:sz w:val="20"/>
          <w:szCs w:val="20"/>
          <w:lang w:val="es-MX"/>
        </w:rPr>
        <w:t xml:space="preserve">y que, además, no necesariamente hace referencia al procedimiento especial regulado por la ley de contratación estatal, sino a cualquier otro que prescinda de un proceso de licitación pública o </w:t>
      </w:r>
      <w:r w:rsidRPr="002817AD">
        <w:rPr>
          <w:rFonts w:ascii="Verdana" w:eastAsia="Calibri" w:hAnsi="Verdana" w:cs="Arial"/>
          <w:sz w:val="20"/>
          <w:szCs w:val="20"/>
          <w:lang w:val="es-MX"/>
        </w:rPr>
        <w:lastRenderedPageBreak/>
        <w:t>concurso</w:t>
      </w:r>
      <w:r w:rsidRPr="002817AD">
        <w:rPr>
          <w:rFonts w:ascii="Verdana" w:eastAsia="Times New Roman" w:hAnsi="Verdana" w:cs="Arial"/>
          <w:sz w:val="20"/>
          <w:szCs w:val="20"/>
          <w:vertAlign w:val="superscript"/>
          <w:lang w:val="es-MX"/>
        </w:rPr>
        <w:footnoteReference w:id="9"/>
      </w:r>
      <w:r w:rsidRPr="002817AD">
        <w:rPr>
          <w:rFonts w:ascii="Verdana" w:eastAsia="Times New Roman" w:hAnsi="Verdana" w:cs="Arial"/>
          <w:sz w:val="20"/>
          <w:szCs w:val="20"/>
          <w:vertAlign w:val="superscript"/>
          <w:lang w:val="es-MX"/>
        </w:rPr>
        <w:t>.</w:t>
      </w:r>
      <w:r w:rsidRPr="002817AD">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817AD">
        <w:rPr>
          <w:rFonts w:ascii="Verdana" w:eastAsia="Times New Roman" w:hAnsi="Verdana" w:cs="Arial"/>
          <w:sz w:val="20"/>
          <w:szCs w:val="20"/>
          <w:vertAlign w:val="superscript"/>
          <w:lang w:eastAsia="es-CO"/>
        </w:rPr>
        <w:footnoteReference w:id="10"/>
      </w:r>
      <w:r w:rsidRPr="002817AD">
        <w:rPr>
          <w:rFonts w:ascii="Verdana" w:eastAsia="Calibri" w:hAnsi="Verdana" w:cs="Arial"/>
          <w:sz w:val="20"/>
          <w:szCs w:val="20"/>
          <w:lang w:val="es-MX"/>
        </w:rPr>
        <w:t>”.</w:t>
      </w:r>
    </w:p>
    <w:p w14:paraId="57C5563F" w14:textId="77777777" w:rsidR="005F4C77" w:rsidRPr="00F02C5A" w:rsidRDefault="005F4C77" w:rsidP="005F4C77">
      <w:pPr>
        <w:shd w:val="clear" w:color="auto" w:fill="FFFFFF"/>
        <w:spacing w:after="0" w:line="276" w:lineRule="auto"/>
        <w:ind w:firstLine="709"/>
        <w:contextualSpacing/>
        <w:jc w:val="both"/>
        <w:rPr>
          <w:rFonts w:ascii="Verdana" w:eastAsia="Times New Roman" w:hAnsi="Verdana" w:cs="Arial"/>
          <w:lang w:eastAsia="x-none"/>
        </w:rPr>
      </w:pPr>
    </w:p>
    <w:p w14:paraId="488A8E58" w14:textId="77777777" w:rsidR="005F4C77" w:rsidRPr="00F02C5A" w:rsidRDefault="005F4C77" w:rsidP="005F4C77">
      <w:pPr>
        <w:spacing w:after="120" w:line="276" w:lineRule="auto"/>
        <w:ind w:firstLine="709"/>
        <w:jc w:val="both"/>
        <w:rPr>
          <w:rFonts w:ascii="Verdana" w:eastAsia="Times New Roman" w:hAnsi="Verdana" w:cs="Arial"/>
          <w:lang w:eastAsia="x-none"/>
        </w:rPr>
      </w:pPr>
      <w:bookmarkStart w:id="6"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6"/>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1"/>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2"/>
      </w:r>
      <w:r w:rsidRPr="00F02C5A">
        <w:rPr>
          <w:rFonts w:ascii="Verdana" w:eastAsia="Times New Roman" w:hAnsi="Verdana" w:cs="Arial"/>
          <w:lang w:eastAsia="x-none"/>
        </w:rPr>
        <w:t xml:space="preserve">. </w:t>
      </w:r>
    </w:p>
    <w:p w14:paraId="0683AF8C" w14:textId="77777777" w:rsidR="005F4C77" w:rsidRPr="00F02C5A" w:rsidRDefault="005F4C77" w:rsidP="005F4C77">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3"/>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04F23EB7" w14:textId="77777777" w:rsidR="005F4C77" w:rsidRPr="00F02C5A" w:rsidRDefault="005F4C77" w:rsidP="005F4C77">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7" w:name="_Hlk75636073"/>
      <w:r w:rsidRPr="00F02C5A">
        <w:rPr>
          <w:rFonts w:ascii="Verdana" w:eastAsia="Times New Roman" w:hAnsi="Verdana" w:cs="Arial"/>
          <w:lang w:eastAsia="x-none"/>
        </w:rPr>
        <w:t xml:space="preserve">en algunos sistemas de contratación, utilizados por entidades públicas con regímenes especiales, o </w:t>
      </w:r>
      <w:r w:rsidRPr="00F02C5A">
        <w:rPr>
          <w:rFonts w:ascii="Verdana" w:eastAsia="Times New Roman" w:hAnsi="Verdana" w:cs="Arial"/>
          <w:lang w:eastAsia="x-none"/>
        </w:rPr>
        <w:lastRenderedPageBreak/>
        <w:t>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7"/>
      <w:r w:rsidRPr="00F02C5A">
        <w:rPr>
          <w:rFonts w:ascii="Verdana" w:eastAsia="Times New Roman" w:hAnsi="Verdana" w:cs="Arial"/>
          <w:vertAlign w:val="superscript"/>
          <w:lang w:eastAsia="x-none"/>
        </w:rPr>
        <w:footnoteReference w:id="14"/>
      </w:r>
      <w:r w:rsidRPr="00F02C5A">
        <w:rPr>
          <w:rFonts w:ascii="Verdana" w:eastAsia="Times New Roman" w:hAnsi="Verdana" w:cs="Arial"/>
          <w:lang w:eastAsia="x-none"/>
        </w:rPr>
        <w:t xml:space="preserve">. </w:t>
      </w:r>
    </w:p>
    <w:p w14:paraId="5C5CB670" w14:textId="77777777" w:rsidR="005F4C77" w:rsidRPr="00F02C5A" w:rsidRDefault="005F4C77" w:rsidP="005F4C77">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6BCFDD39" w14:textId="77777777" w:rsidR="005F4C77" w:rsidRPr="00F02C5A" w:rsidRDefault="005F4C77" w:rsidP="005F4C77">
      <w:pPr>
        <w:spacing w:after="120" w:line="276" w:lineRule="auto"/>
        <w:ind w:firstLine="709"/>
        <w:jc w:val="both"/>
        <w:rPr>
          <w:rFonts w:ascii="Verdana" w:eastAsia="Times New Roman" w:hAnsi="Verdana" w:cs="Arial"/>
          <w:lang w:val="es-MX" w:eastAsia="x-none"/>
        </w:rPr>
      </w:pPr>
      <w:bookmarkStart w:id="8" w:name="_Hlk78818796"/>
      <w:r w:rsidRPr="00F02C5A">
        <w:rPr>
          <w:rFonts w:ascii="Verdana" w:eastAsia="Times New Roman" w:hAnsi="Verdana" w:cs="Arial"/>
          <w:lang w:val="es-MX" w:eastAsia="x-none"/>
        </w:rPr>
        <w:t xml:space="preserve"> Así las cosas, </w:t>
      </w:r>
      <w:bookmarkStart w:id="9"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5"/>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8"/>
    <w:p w14:paraId="2066BB2F" w14:textId="77777777" w:rsidR="005F4C77" w:rsidRPr="00F02C5A" w:rsidRDefault="005F4C77" w:rsidP="005F4C77">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027CE12" w14:textId="77777777" w:rsidR="005F4C77" w:rsidRPr="00F02C5A" w:rsidRDefault="005F4C77" w:rsidP="005F4C77">
      <w:pPr>
        <w:spacing w:after="120" w:line="276" w:lineRule="auto"/>
        <w:ind w:firstLine="709"/>
        <w:jc w:val="both"/>
        <w:rPr>
          <w:rFonts w:ascii="Verdana" w:eastAsia="Times New Roman" w:hAnsi="Verdana" w:cs="Arial"/>
          <w:lang w:val="es-MX" w:eastAsia="x-none"/>
        </w:rPr>
      </w:pPr>
      <w:bookmarkStart w:id="10" w:name="_Hlk77237094"/>
      <w:bookmarkEnd w:id="9"/>
      <w:r w:rsidRPr="00F02C5A">
        <w:rPr>
          <w:rFonts w:ascii="Verdana" w:eastAsia="Times New Roman" w:hAnsi="Verdana" w:cs="Arial"/>
          <w:lang w:val="es-MX" w:eastAsia="es-CO"/>
        </w:rPr>
        <w:lastRenderedPageBreak/>
        <w:t xml:space="preserve">Como en otras oportunidades lo ha manifestado esta Agencia, las prórrogas, modificaciones o adiciones de los contratos suscritos antes de la </w:t>
      </w:r>
      <w:proofErr w:type="gramStart"/>
      <w:r w:rsidRPr="00F02C5A">
        <w:rPr>
          <w:rFonts w:ascii="Verdana" w:eastAsia="Times New Roman" w:hAnsi="Verdana" w:cs="Arial"/>
          <w:lang w:val="es-MX" w:eastAsia="es-CO"/>
        </w:rPr>
        <w:t>entrada en vigencia</w:t>
      </w:r>
      <w:proofErr w:type="gramEnd"/>
      <w:r w:rsidRPr="00F02C5A">
        <w:rPr>
          <w:rFonts w:ascii="Verdana" w:eastAsia="Times New Roman" w:hAnsi="Verdana" w:cs="Arial"/>
          <w:lang w:val="es-MX" w:eastAsia="es-CO"/>
        </w:rPr>
        <w:t xml:space="preserve">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0"/>
    </w:p>
    <w:p w14:paraId="321953C5" w14:textId="77777777" w:rsidR="005F4C77" w:rsidRPr="00F02C5A" w:rsidRDefault="005F4C77" w:rsidP="005F4C77">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1" w:name="_Hlk99577887"/>
      <w:bookmarkStart w:id="12"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1"/>
    </w:p>
    <w:bookmarkEnd w:id="12"/>
    <w:p w14:paraId="10AF6E22" w14:textId="77777777" w:rsidR="005F4C77" w:rsidRPr="00D42A84" w:rsidRDefault="005F4C77" w:rsidP="004513DD">
      <w:pPr>
        <w:spacing w:after="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3" w:name="_Hlk74309042"/>
      <w:r w:rsidRPr="00F02C5A">
        <w:rPr>
          <w:rFonts w:ascii="Verdana" w:eastAsia="Times New Roman" w:hAnsi="Verdana" w:cs="Arial"/>
          <w:lang w:val="es-MX" w:eastAsia="x-none"/>
        </w:rPr>
        <w:t>que “</w:t>
      </w:r>
      <w:bookmarkEnd w:id="13"/>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4"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16"/>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4"/>
    </w:p>
    <w:p w14:paraId="22F31A9B" w14:textId="77777777" w:rsidR="00382CF7" w:rsidRDefault="00382CF7" w:rsidP="004513DD">
      <w:pPr>
        <w:spacing w:after="0" w:line="276" w:lineRule="auto"/>
        <w:jc w:val="both"/>
        <w:rPr>
          <w:rFonts w:ascii="Verdana" w:eastAsia="Times New Roman" w:hAnsi="Verdana" w:cs="Arial"/>
          <w:bCs/>
          <w:lang w:eastAsia="es-CO"/>
        </w:rPr>
      </w:pPr>
    </w:p>
    <w:p w14:paraId="40E6AD52" w14:textId="1DAB315E" w:rsidR="00382CF7" w:rsidRPr="00AA31F3" w:rsidRDefault="005F4C77" w:rsidP="004513DD">
      <w:pPr>
        <w:spacing w:after="120" w:line="276" w:lineRule="auto"/>
        <w:jc w:val="both"/>
        <w:rPr>
          <w:rFonts w:ascii="Verdana" w:hAnsi="Verdana" w:cs="Arial"/>
          <w:lang w:val="es-ES"/>
        </w:rPr>
      </w:pPr>
      <w:r w:rsidRPr="00382CF7">
        <w:rPr>
          <w:rFonts w:ascii="Verdana" w:eastAsia="Times New Roman" w:hAnsi="Verdana" w:cs="Arial"/>
          <w:bCs/>
          <w:lang w:eastAsia="es-CO"/>
        </w:rPr>
        <w:t>ii</w:t>
      </w:r>
      <w:r w:rsidR="009A4996">
        <w:rPr>
          <w:rFonts w:ascii="Verdana" w:eastAsia="Times New Roman" w:hAnsi="Verdana" w:cs="Arial"/>
          <w:bCs/>
          <w:lang w:eastAsia="es-CO"/>
        </w:rPr>
        <w:t>i</w:t>
      </w:r>
      <w:r w:rsidRPr="009A4996">
        <w:rPr>
          <w:rFonts w:ascii="Verdana" w:eastAsia="Times New Roman" w:hAnsi="Verdana" w:cs="Arial"/>
          <w:bCs/>
          <w:lang w:eastAsia="es-CO"/>
        </w:rPr>
        <w:t xml:space="preserve">. </w:t>
      </w:r>
      <w:r w:rsidR="00382CF7" w:rsidRPr="00AA31F3">
        <w:rPr>
          <w:rFonts w:ascii="Verdana" w:hAnsi="Verdana" w:cs="Arial"/>
          <w:lang w:val="es-ES"/>
        </w:rPr>
        <w:t xml:space="preserve">Ahora bien, respecto del alcance del parágrafo </w:t>
      </w:r>
      <w:r w:rsidR="00382CF7" w:rsidRPr="00AA31F3">
        <w:rPr>
          <w:rFonts w:ascii="Verdana" w:hAnsi="Verdana" w:cs="Arial"/>
        </w:rPr>
        <w:t xml:space="preserve">del artículo 38 de la Ley 996 de 2005, esta prohibición dispone en primera medida que: “[l]os Gobernadores, </w:t>
      </w:r>
      <w:proofErr w:type="gramStart"/>
      <w:r w:rsidR="00382CF7" w:rsidRPr="00AA31F3">
        <w:rPr>
          <w:rFonts w:ascii="Verdana" w:hAnsi="Verdana" w:cs="Arial"/>
        </w:rPr>
        <w:t>Alcaldes</w:t>
      </w:r>
      <w:proofErr w:type="gramEnd"/>
      <w:r w:rsidR="00382CF7" w:rsidRPr="00AA31F3">
        <w:rPr>
          <w:rFonts w:ascii="Verdana" w:hAnsi="Verdana" w:cs="Arial"/>
        </w:rPr>
        <w:t xml:space="preserve"> Municipales y/o Distritales, </w:t>
      </w:r>
      <w:proofErr w:type="gramStart"/>
      <w:r w:rsidR="00382CF7" w:rsidRPr="00AA31F3">
        <w:rPr>
          <w:rFonts w:ascii="Verdana" w:hAnsi="Verdana" w:cs="Arial"/>
        </w:rPr>
        <w:t>Secretarios</w:t>
      </w:r>
      <w:proofErr w:type="gramEnd"/>
      <w:r w:rsidR="00382CF7" w:rsidRPr="00AA31F3">
        <w:rPr>
          <w:rFonts w:ascii="Verdana" w:hAnsi="Verdana" w:cs="Arial"/>
        </w:rPr>
        <w:t xml:space="preserve">, Gerentes y directores de Entidades Descentralizadas del orden Municipal, Departamental o Distrital, dentro de los cuatro (4) meses anteriores a las elecciones, no podrán celebrar </w:t>
      </w:r>
      <w:r w:rsidR="00382CF7" w:rsidRPr="00AA31F3">
        <w:rPr>
          <w:rFonts w:ascii="Verdana" w:hAnsi="Verdana" w:cs="Arial"/>
          <w:i/>
          <w:iCs/>
        </w:rPr>
        <w:t>convenios interadministrativos</w:t>
      </w:r>
      <w:r w:rsidR="00382CF7" w:rsidRPr="00AA31F3">
        <w:rPr>
          <w:rFonts w:ascii="Verdana" w:hAnsi="Verdana" w:cs="Arial"/>
        </w:rPr>
        <w:t xml:space="preserve"> </w:t>
      </w:r>
      <w:r w:rsidR="00382CF7" w:rsidRPr="00AA31F3">
        <w:rPr>
          <w:rFonts w:ascii="Verdana" w:hAnsi="Verdana" w:cs="Arial"/>
          <w:i/>
          <w:iCs/>
        </w:rPr>
        <w:t>para la ejecución de recursos públicos</w:t>
      </w:r>
      <w:r w:rsidR="00382CF7" w:rsidRPr="00AA31F3">
        <w:rPr>
          <w:rFonts w:ascii="Verdana" w:hAnsi="Verdana" w:cs="Arial"/>
        </w:rPr>
        <w:t>”.</w:t>
      </w:r>
      <w:r w:rsidR="00382CF7" w:rsidRPr="00AA31F3">
        <w:rPr>
          <w:rFonts w:ascii="Verdana" w:eastAsia="Times New Roman" w:hAnsi="Verdana" w:cs="Arial"/>
          <w:lang w:val="es-MX" w:eastAsia="x-none"/>
        </w:rPr>
        <w:t xml:space="preserve"> [Énfasis fuera del texto original]</w:t>
      </w:r>
    </w:p>
    <w:p w14:paraId="6C940338" w14:textId="77777777" w:rsidR="00382CF7" w:rsidRPr="00AA31F3" w:rsidRDefault="00382CF7" w:rsidP="00382CF7">
      <w:pPr>
        <w:spacing w:after="120" w:line="276" w:lineRule="auto"/>
        <w:ind w:firstLine="709"/>
        <w:jc w:val="both"/>
        <w:rPr>
          <w:rFonts w:ascii="Verdana" w:hAnsi="Verdana" w:cs="Arial"/>
          <w:lang w:eastAsia="es-ES"/>
        </w:rPr>
      </w:pPr>
      <w:r w:rsidRPr="00AA31F3">
        <w:rPr>
          <w:rFonts w:ascii="Verdana" w:eastAsia="Times New Roman" w:hAnsi="Verdana" w:cs="Arial"/>
          <w:lang w:val="es-ES" w:eastAsia="es-ES"/>
        </w:rPr>
        <w:t xml:space="preserve">Para tales efectos, debe precisarse que </w:t>
      </w:r>
      <w:r w:rsidRPr="00AA31F3">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AA31F3">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AA31F3">
        <w:rPr>
          <w:rFonts w:ascii="Verdana" w:hAnsi="Verdana" w:cs="Arial"/>
          <w:vertAlign w:val="superscript"/>
          <w:lang w:eastAsia="es-ES"/>
        </w:rPr>
        <w:footnoteReference w:id="17"/>
      </w:r>
      <w:r w:rsidRPr="00AA31F3">
        <w:rPr>
          <w:rFonts w:ascii="Verdana" w:hAnsi="Verdana" w:cs="Arial"/>
          <w:lang w:eastAsia="es-ES"/>
        </w:rPr>
        <w:t>.</w:t>
      </w:r>
    </w:p>
    <w:p w14:paraId="054C72C9" w14:textId="77777777" w:rsidR="00382CF7" w:rsidRPr="00AA31F3" w:rsidRDefault="00382CF7" w:rsidP="00382CF7">
      <w:pPr>
        <w:spacing w:after="120" w:line="276" w:lineRule="auto"/>
        <w:ind w:firstLine="709"/>
        <w:jc w:val="both"/>
        <w:rPr>
          <w:rFonts w:ascii="Verdana" w:hAnsi="Verdana" w:cs="Arial"/>
          <w:color w:val="000000" w:themeColor="text1"/>
          <w:lang w:val="es-ES_tradnl"/>
        </w:rPr>
      </w:pPr>
      <w:r w:rsidRPr="00AA31F3">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0DC2ACF" w14:textId="77777777" w:rsidR="00382CF7" w:rsidRPr="00AA31F3" w:rsidRDefault="00382CF7" w:rsidP="00382CF7">
      <w:pPr>
        <w:spacing w:before="120" w:after="0" w:line="276" w:lineRule="auto"/>
        <w:ind w:firstLine="708"/>
        <w:jc w:val="both"/>
        <w:rPr>
          <w:rFonts w:ascii="Verdana" w:hAnsi="Verdana" w:cs="Arial"/>
          <w:lang w:val="es-ES_tradnl"/>
        </w:rPr>
      </w:pPr>
      <w:r w:rsidRPr="00AA31F3">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AA31F3">
        <w:rPr>
          <w:rFonts w:ascii="Verdana" w:hAnsi="Verdana" w:cs="Arial"/>
          <w:vertAlign w:val="superscript"/>
          <w:lang w:val="es-ES"/>
        </w:rPr>
        <w:footnoteReference w:id="18"/>
      </w:r>
      <w:r w:rsidRPr="00AA31F3">
        <w:rPr>
          <w:rFonts w:ascii="Verdana" w:hAnsi="Verdana" w:cs="Arial"/>
          <w:lang w:val="es-ES"/>
        </w:rPr>
        <w:t>. Nótese que, en este caso, lo que cambia es la modalidad de selección y no la naturaleza de contrato interadministrativo.</w:t>
      </w:r>
    </w:p>
    <w:p w14:paraId="79634454" w14:textId="77777777" w:rsidR="00382CF7" w:rsidRPr="00AA31F3" w:rsidRDefault="00382CF7" w:rsidP="00382CF7">
      <w:pPr>
        <w:spacing w:before="120" w:after="0" w:line="276" w:lineRule="auto"/>
        <w:ind w:firstLine="708"/>
        <w:jc w:val="both"/>
        <w:rPr>
          <w:rFonts w:ascii="Verdana" w:hAnsi="Verdana" w:cs="Arial"/>
          <w:lang w:val="es-ES_tradnl"/>
        </w:rPr>
      </w:pPr>
      <w:r w:rsidRPr="00AA31F3">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00AA31F3">
        <w:rPr>
          <w:rFonts w:ascii="Verdana" w:hAnsi="Verdana" w:cs="Arial"/>
          <w:vertAlign w:val="superscript"/>
          <w:lang w:val="es-ES"/>
        </w:rPr>
        <w:footnoteReference w:id="19"/>
      </w:r>
      <w:r w:rsidRPr="00AA31F3">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70413164" w14:textId="77777777" w:rsidR="00382CF7" w:rsidRPr="00AA31F3" w:rsidRDefault="00382CF7" w:rsidP="00382CF7">
      <w:pPr>
        <w:spacing w:before="120" w:after="0" w:line="276" w:lineRule="auto"/>
        <w:ind w:firstLine="708"/>
        <w:jc w:val="both"/>
        <w:rPr>
          <w:rFonts w:ascii="Verdana" w:hAnsi="Verdana"/>
          <w:sz w:val="24"/>
          <w:szCs w:val="24"/>
          <w:lang w:eastAsia="es-CO"/>
        </w:rPr>
      </w:pPr>
      <w:r w:rsidRPr="00AA31F3">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AA31F3">
        <w:rPr>
          <w:rFonts w:ascii="Verdana" w:hAnsi="Verdana" w:cs="Arial"/>
          <w:vertAlign w:val="superscript"/>
          <w:lang w:val="es-ES"/>
        </w:rPr>
        <w:footnoteReference w:id="20"/>
      </w:r>
      <w:r w:rsidRPr="00AA31F3">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AA31F3">
        <w:rPr>
          <w:rFonts w:ascii="Verdana" w:hAnsi="Verdana"/>
          <w:sz w:val="24"/>
          <w:szCs w:val="24"/>
          <w:lang w:eastAsia="es-CO"/>
        </w:rPr>
        <w:t>.</w:t>
      </w:r>
    </w:p>
    <w:p w14:paraId="1010B24E" w14:textId="77777777" w:rsidR="00382CF7" w:rsidRPr="00AA31F3" w:rsidRDefault="00382CF7" w:rsidP="00382CF7">
      <w:pPr>
        <w:spacing w:before="120" w:after="0" w:line="276" w:lineRule="auto"/>
        <w:ind w:firstLine="708"/>
        <w:jc w:val="both"/>
        <w:rPr>
          <w:rFonts w:ascii="Verdana" w:eastAsia="Times New Roman" w:hAnsi="Verdana" w:cs="Arial"/>
          <w:lang w:val="es-MX" w:eastAsia="es-CO"/>
        </w:rPr>
      </w:pPr>
      <w:r w:rsidRPr="00AA31F3">
        <w:rPr>
          <w:rFonts w:ascii="Verdana" w:eastAsia="Arial" w:hAnsi="Verdana" w:cs="Arial"/>
          <w:lang w:val="es-MX" w:eastAsia="es-ES" w:bidi="es-ES"/>
        </w:rPr>
        <w:t>De esta manera, se</w:t>
      </w:r>
      <w:r w:rsidRPr="00AA31F3">
        <w:rPr>
          <w:rFonts w:ascii="Verdana" w:eastAsia="Times New Roman" w:hAnsi="Verdana" w:cs="Arial"/>
          <w:lang w:eastAsia="es-CO"/>
        </w:rPr>
        <w:t xml:space="preserve"> observa entonces que </w:t>
      </w:r>
      <w:r w:rsidRPr="00AA31F3">
        <w:rPr>
          <w:rFonts w:ascii="Verdana" w:eastAsia="Times New Roman" w:hAnsi="Verdana" w:cs="Arial"/>
          <w:lang w:val="es-MX" w:eastAsia="es-CO"/>
        </w:rPr>
        <w:t xml:space="preserve">el parágrafo del artículo 38 de la Ley 996 de 2005 prohíbe a los </w:t>
      </w:r>
      <w:proofErr w:type="gramStart"/>
      <w:r w:rsidRPr="00AA31F3">
        <w:rPr>
          <w:rFonts w:ascii="Verdana" w:eastAsia="Times New Roman" w:hAnsi="Verdana" w:cs="Arial"/>
          <w:lang w:val="es-MX" w:eastAsia="es-CO"/>
        </w:rPr>
        <w:t>Alcaldes</w:t>
      </w:r>
      <w:proofErr w:type="gramEnd"/>
      <w:r w:rsidRPr="00AA31F3">
        <w:rPr>
          <w:rFonts w:ascii="Verdana" w:eastAsia="Times New Roman" w:hAnsi="Verdana" w:cs="Arial"/>
          <w:lang w:val="es-MX" w:eastAsia="es-CO"/>
        </w:rPr>
        <w:t xml:space="preserve">, Gobernadores, </w:t>
      </w:r>
      <w:proofErr w:type="gramStart"/>
      <w:r w:rsidRPr="00AA31F3">
        <w:rPr>
          <w:rFonts w:ascii="Verdana" w:eastAsia="Times New Roman" w:hAnsi="Verdana" w:cs="Arial"/>
          <w:lang w:val="es-MX" w:eastAsia="es-CO"/>
        </w:rPr>
        <w:t>Secretarios</w:t>
      </w:r>
      <w:proofErr w:type="gramEnd"/>
      <w:r w:rsidRPr="00AA31F3">
        <w:rPr>
          <w:rFonts w:ascii="Verdana" w:eastAsia="Times New Roman" w:hAnsi="Verdana" w:cs="Arial"/>
          <w:lang w:val="es-MX" w:eastAsia="es-CO"/>
        </w:rPr>
        <w:t xml:space="preserve">, Gerentes y </w:t>
      </w:r>
      <w:proofErr w:type="gramStart"/>
      <w:r w:rsidRPr="00AA31F3">
        <w:rPr>
          <w:rFonts w:ascii="Verdana" w:eastAsia="Times New Roman" w:hAnsi="Verdana" w:cs="Arial"/>
          <w:lang w:val="es-MX" w:eastAsia="es-CO"/>
        </w:rPr>
        <w:t>Directores</w:t>
      </w:r>
      <w:proofErr w:type="gramEnd"/>
      <w:r w:rsidRPr="00AA31F3">
        <w:rPr>
          <w:rFonts w:ascii="Verdana" w:eastAsia="Times New Roman" w:hAnsi="Verdana" w:cs="Arial"/>
          <w:lang w:val="es-MX" w:eastAsia="es-CO"/>
        </w:rPr>
        <w:t xml:space="preserve"> de las entidades del orden municipal, departamental o distrital celebrar </w:t>
      </w:r>
      <w:r w:rsidRPr="00AA31F3">
        <w:rPr>
          <w:rFonts w:ascii="Verdana" w:eastAsia="Times New Roman" w:hAnsi="Verdana" w:cs="Arial"/>
          <w:i/>
          <w:iCs/>
          <w:lang w:val="es-MX" w:eastAsia="es-CO"/>
        </w:rPr>
        <w:t>convenios interadministrativos</w:t>
      </w:r>
      <w:r w:rsidRPr="00AA31F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AA31F3">
        <w:rPr>
          <w:rFonts w:ascii="Verdana" w:eastAsia="Times New Roman" w:hAnsi="Verdana" w:cs="Arial"/>
          <w:i/>
          <w:lang w:val="es-MX" w:eastAsia="es-CO"/>
        </w:rPr>
        <w:t>ibidem</w:t>
      </w:r>
      <w:r w:rsidRPr="00AA31F3">
        <w:rPr>
          <w:rFonts w:ascii="Verdana" w:eastAsia="Times New Roman" w:hAnsi="Verdana" w:cs="Arial"/>
          <w:lang w:val="es-MX" w:eastAsia="es-CO"/>
        </w:rPr>
        <w:t xml:space="preserve">, no podrá celebrar tales </w:t>
      </w:r>
      <w:r w:rsidRPr="00AA31F3">
        <w:rPr>
          <w:rFonts w:ascii="Verdana" w:eastAsia="Times New Roman" w:hAnsi="Verdana" w:cs="Arial"/>
          <w:i/>
          <w:iCs/>
          <w:lang w:val="es-MX" w:eastAsia="es-CO"/>
        </w:rPr>
        <w:t>convenios</w:t>
      </w:r>
      <w:r w:rsidRPr="00AA31F3">
        <w:rPr>
          <w:rFonts w:ascii="Verdana" w:eastAsia="Times New Roman" w:hAnsi="Verdana" w:cs="Arial"/>
          <w:lang w:val="es-MX" w:eastAsia="es-CO"/>
        </w:rPr>
        <w:t xml:space="preserve"> durante la aplicación de la Ley de Garantías Electorales, toda vez que la citada </w:t>
      </w:r>
      <w:r w:rsidRPr="00AA31F3">
        <w:rPr>
          <w:rFonts w:ascii="Verdana" w:eastAsia="Times New Roman" w:hAnsi="Verdana" w:cs="Arial"/>
          <w:lang w:val="es-MX" w:eastAsia="es-CO"/>
        </w:rPr>
        <w:lastRenderedPageBreak/>
        <w:t xml:space="preserve">disposición hace referencia a dicha tipología contractual sin que el legislador hubiere contemplado un efecto extensivo a otra tipología. </w:t>
      </w:r>
    </w:p>
    <w:p w14:paraId="6B95203E" w14:textId="77777777" w:rsidR="00382CF7" w:rsidRPr="00AA31F3" w:rsidRDefault="00382CF7" w:rsidP="00382CF7">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005F4C77" w:rsidRPr="00AA31F3">
        <w:rPr>
          <w:rFonts w:ascii="Verdana" w:eastAsia="Times New Roman" w:hAnsi="Verdana" w:cs="Arial"/>
          <w:lang w:val="es-MX" w:eastAsia="es-CO"/>
        </w:rPr>
        <w:t>ii</w:t>
      </w:r>
      <w:proofErr w:type="spellEnd"/>
      <w:r w:rsidRPr="00AA31F3">
        <w:rPr>
          <w:rFonts w:ascii="Verdana" w:eastAsia="Times New Roman" w:hAnsi="Verdana" w:cs="Arial"/>
          <w:lang w:val="es-MX" w:eastAsia="es-CO"/>
        </w:rPr>
        <w:t xml:space="preserve">) y </w:t>
      </w:r>
      <w:proofErr w:type="spellStart"/>
      <w:r w:rsidRPr="00AA31F3">
        <w:rPr>
          <w:rFonts w:ascii="Verdana" w:eastAsia="Times New Roman" w:hAnsi="Verdana" w:cs="Arial"/>
          <w:lang w:val="es-MX" w:eastAsia="es-CO"/>
        </w:rPr>
        <w:t>iv</w:t>
      </w:r>
      <w:proofErr w:type="spellEnd"/>
      <w:r w:rsidRPr="00AA31F3">
        <w:rPr>
          <w:rFonts w:ascii="Verdana" w:eastAsia="Times New Roman" w:hAnsi="Verdana" w:cs="Arial"/>
          <w:lang w:val="es-MX" w:eastAsia="es-CO"/>
        </w:rPr>
        <w:t>) del numeral 2</w:t>
      </w:r>
      <w:r w:rsidRPr="00AA31F3">
        <w:rPr>
          <w:rFonts w:ascii="Verdana" w:eastAsia="Times New Roman" w:hAnsi="Verdana" w:cs="Arial"/>
          <w:lang w:eastAsia="es-CO"/>
        </w:rPr>
        <w:t>,</w:t>
      </w:r>
      <w:r w:rsidRPr="00AA31F3">
        <w:rPr>
          <w:rFonts w:ascii="Verdana" w:eastAsia="Times New Roman" w:hAnsi="Verdana" w:cs="Arial"/>
          <w:lang w:val="es-MX" w:eastAsia="es-CO"/>
        </w:rPr>
        <w:t xml:space="preserve"> indica que el </w:t>
      </w:r>
      <w:r w:rsidRPr="00AA31F3">
        <w:rPr>
          <w:rFonts w:ascii="Verdana" w:eastAsia="Times New Roman" w:hAnsi="Verdana" w:cs="Arial"/>
          <w:lang w:eastAsia="es-CO"/>
        </w:rPr>
        <w:t xml:space="preserve">parágrafo del artículo 38 de la Ley 996 de 2005 cobija expresamente a los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AA31F3">
        <w:rPr>
          <w:rFonts w:ascii="Verdana" w:eastAsia="Times New Roman" w:hAnsi="Verdana" w:cs="Arial"/>
          <w:i/>
          <w:iCs/>
          <w:lang w:eastAsia="es-CO"/>
        </w:rPr>
        <w:t>“aunque se configure alguno de los supuestos de excepción que señaló el inciso final del artículo 33”.</w:t>
      </w:r>
      <w:r w:rsidRPr="00AA31F3">
        <w:rPr>
          <w:rFonts w:ascii="Verdana" w:eastAsia="Times New Roman" w:hAnsi="Verdana" w:cs="Arial"/>
          <w:lang w:eastAsia="es-CO"/>
        </w:rPr>
        <w:t xml:space="preserve"> </w:t>
      </w:r>
    </w:p>
    <w:p w14:paraId="5302D66B" w14:textId="77777777" w:rsidR="00382CF7" w:rsidRPr="00AA31F3" w:rsidRDefault="00382CF7" w:rsidP="00382CF7">
      <w:pPr>
        <w:spacing w:before="120" w:after="0" w:line="276" w:lineRule="auto"/>
        <w:ind w:firstLine="708"/>
        <w:jc w:val="both"/>
        <w:rPr>
          <w:rFonts w:ascii="Verdana" w:eastAsia="Times New Roman" w:hAnsi="Verdana" w:cs="Arial"/>
          <w:lang w:val="es-MX" w:eastAsia="es-CO"/>
        </w:rPr>
      </w:pPr>
      <w:r w:rsidRPr="00AA31F3">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en los que se contemple la </w:t>
      </w:r>
      <w:r w:rsidRPr="00AA31F3">
        <w:rPr>
          <w:rFonts w:ascii="Verdana" w:eastAsia="Times New Roman" w:hAnsi="Verdana" w:cs="Arial"/>
          <w:i/>
          <w:iCs/>
          <w:lang w:eastAsia="es-CO"/>
        </w:rPr>
        <w:t>ejecución de recursos públicos</w:t>
      </w:r>
      <w:r w:rsidRPr="00AA31F3">
        <w:rPr>
          <w:rFonts w:ascii="Verdana" w:eastAsia="Times New Roman" w:hAnsi="Verdana" w:cs="Arial"/>
          <w:lang w:eastAsia="es-CO"/>
        </w:rPr>
        <w:t xml:space="preserve">. Esto significa que la prohibición no resulta aplicable a </w:t>
      </w:r>
      <w:r w:rsidRPr="00AA31F3">
        <w:rPr>
          <w:rFonts w:ascii="Verdana" w:eastAsia="Times New Roman" w:hAnsi="Verdana" w:cs="Arial"/>
          <w:i/>
          <w:iCs/>
          <w:lang w:eastAsia="es-CO"/>
        </w:rPr>
        <w:t>convenios interadministrativos a título gratuito,</w:t>
      </w:r>
      <w:r w:rsidRPr="00AA31F3">
        <w:rPr>
          <w:rFonts w:ascii="Verdana" w:eastAsia="Times New Roman" w:hAnsi="Verdana" w:cs="Arial"/>
          <w:lang w:eastAsia="es-CO"/>
        </w:rPr>
        <w:t xml:space="preserve"> los cuales pueden celebrarse válidamente durante la vigencia de la mencionada restricción. </w:t>
      </w:r>
    </w:p>
    <w:p w14:paraId="2EE8B64A" w14:textId="77777777" w:rsidR="00382CF7" w:rsidRPr="00AA31F3" w:rsidRDefault="00382CF7" w:rsidP="00382CF7">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eastAsia="es-CO"/>
        </w:rPr>
        <w:t xml:space="preserve">De esta manera, conforme a lo dispuesto en la Circular referida, si se suscriben </w:t>
      </w:r>
      <w:r w:rsidRPr="00AA31F3">
        <w:rPr>
          <w:rFonts w:ascii="Verdana" w:eastAsia="Times New Roman" w:hAnsi="Verdana" w:cs="Arial"/>
          <w:i/>
          <w:iCs/>
          <w:lang w:eastAsia="es-CO"/>
        </w:rPr>
        <w:t>convenios interadministrativos para la ejecución de recursos públicos</w:t>
      </w:r>
      <w:r w:rsidRPr="00AA31F3">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AA31F3">
        <w:rPr>
          <w:rFonts w:ascii="Verdana" w:eastAsia="Times New Roman" w:hAnsi="Verdana" w:cs="Arial"/>
          <w:i/>
          <w:iCs/>
          <w:lang w:eastAsia="es-CO"/>
        </w:rPr>
        <w:t>ibidem</w:t>
      </w:r>
      <w:r w:rsidRPr="00AA31F3">
        <w:rPr>
          <w:rFonts w:ascii="Verdana" w:eastAsia="Times New Roman" w:hAnsi="Verdana" w:cs="Arial"/>
          <w:lang w:eastAsia="es-CO"/>
        </w:rPr>
        <w:t>, independientemente de que se configure alguno de los supuestos de excepción que señaló el inciso final del artículo 33, es decir, que se trate de:</w:t>
      </w:r>
      <w:r w:rsidRPr="00AA31F3">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AA31F3">
        <w:rPr>
          <w:rFonts w:ascii="Verdana" w:hAnsi="Verdana" w:cs="Arial"/>
          <w:bCs/>
          <w:lang w:val="es-MX" w:eastAsia="es-CO"/>
        </w:rPr>
        <w:t xml:space="preserve"> </w:t>
      </w:r>
      <w:r w:rsidRPr="00AA31F3">
        <w:rPr>
          <w:rFonts w:ascii="Verdana" w:eastAsia="Times New Roman" w:hAnsi="Verdana" w:cs="Arial"/>
          <w:lang w:eastAsia="es-CO"/>
        </w:rPr>
        <w:t xml:space="preserve">  </w:t>
      </w:r>
    </w:p>
    <w:p w14:paraId="30A6128B" w14:textId="77777777" w:rsidR="00382CF7" w:rsidRPr="00AA31F3" w:rsidRDefault="00382CF7" w:rsidP="00382CF7">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eastAsia="es-CO"/>
        </w:rPr>
        <w:t xml:space="preserve">En este punto, teniendo en cuenta lo señalado en el contenido de su petición, vale la pena destacar </w:t>
      </w:r>
      <w:proofErr w:type="gramStart"/>
      <w:r w:rsidRPr="00AA31F3">
        <w:rPr>
          <w:rFonts w:ascii="Verdana" w:eastAsia="Times New Roman" w:hAnsi="Verdana" w:cs="Arial"/>
          <w:lang w:eastAsia="es-CO"/>
        </w:rPr>
        <w:t>que</w:t>
      </w:r>
      <w:proofErr w:type="gramEnd"/>
      <w:r w:rsidRPr="00AA31F3">
        <w:rPr>
          <w:rFonts w:ascii="Verdana" w:eastAsia="Times New Roman" w:hAnsi="Verdana" w:cs="Arial"/>
          <w:lang w:eastAsia="es-CO"/>
        </w:rPr>
        <w:t xml:space="preserve"> </w:t>
      </w:r>
      <w:r w:rsidRPr="00AA31F3">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AA31F3">
        <w:rPr>
          <w:rFonts w:ascii="Verdana" w:hAnsi="Verdana" w:cs="Arial"/>
        </w:rPr>
        <w:t xml:space="preserve">numeral 16.2 de la Circular Externa Única de 2022 expedida por la Agencia Nacional de Contratación Pública -Colombia </w:t>
      </w:r>
      <w:r w:rsidRPr="00AA31F3">
        <w:rPr>
          <w:rFonts w:ascii="Verdana" w:hAnsi="Verdana" w:cs="Arial"/>
        </w:rPr>
        <w:lastRenderedPageBreak/>
        <w:t>Compra Eficiente-, concretamente, respecto de los siguientes apartes normativos</w:t>
      </w:r>
      <w:r w:rsidRPr="00AA31F3">
        <w:rPr>
          <w:rFonts w:ascii="Verdana" w:hAnsi="Verdana" w:cs="Arial"/>
          <w:vertAlign w:val="superscript"/>
        </w:rPr>
        <w:footnoteReference w:id="21"/>
      </w:r>
      <w:r w:rsidRPr="00AA31F3">
        <w:rPr>
          <w:rFonts w:ascii="Verdana" w:hAnsi="Verdana" w:cs="Arial"/>
        </w:rPr>
        <w:t xml:space="preserve">: </w:t>
      </w:r>
    </w:p>
    <w:p w14:paraId="6E223A48" w14:textId="77777777" w:rsidR="00382CF7" w:rsidRPr="00AA31F3" w:rsidRDefault="00382CF7" w:rsidP="00382CF7">
      <w:pPr>
        <w:spacing w:after="0" w:line="276" w:lineRule="auto"/>
        <w:ind w:firstLine="709"/>
        <w:jc w:val="both"/>
        <w:rPr>
          <w:rFonts w:ascii="Verdana" w:hAnsi="Verdana" w:cs="Arial"/>
        </w:rPr>
      </w:pPr>
    </w:p>
    <w:p w14:paraId="3222C98D" w14:textId="77777777" w:rsidR="00382CF7" w:rsidRPr="00AA31F3" w:rsidRDefault="00382CF7" w:rsidP="00382CF7">
      <w:pPr>
        <w:spacing w:after="0" w:line="240" w:lineRule="auto"/>
        <w:ind w:left="709" w:right="709"/>
        <w:jc w:val="both"/>
        <w:rPr>
          <w:rFonts w:ascii="Verdana" w:hAnsi="Verdana" w:cs="Arial"/>
          <w:sz w:val="20"/>
          <w:szCs w:val="20"/>
        </w:rPr>
      </w:pPr>
      <w:r w:rsidRPr="00AA31F3">
        <w:rPr>
          <w:rFonts w:ascii="Verdana" w:hAnsi="Verdana" w:cs="Arial"/>
          <w:sz w:val="20"/>
          <w:szCs w:val="20"/>
          <w:lang w:val="es-MX"/>
        </w:rPr>
        <w:t>“i)</w:t>
      </w:r>
      <w:r w:rsidRPr="00AA31F3">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B9B078D" w14:textId="77777777" w:rsidR="00382CF7" w:rsidRPr="00AA31F3" w:rsidRDefault="00382CF7" w:rsidP="00382CF7">
      <w:pPr>
        <w:spacing w:after="0" w:line="240" w:lineRule="auto"/>
        <w:ind w:left="709" w:right="709"/>
        <w:jc w:val="both"/>
        <w:rPr>
          <w:rFonts w:ascii="Verdana" w:hAnsi="Verdana" w:cs="Arial"/>
          <w:sz w:val="20"/>
          <w:szCs w:val="20"/>
        </w:rPr>
      </w:pPr>
    </w:p>
    <w:p w14:paraId="057DAA8E" w14:textId="77777777" w:rsidR="00382CF7" w:rsidRPr="00AA31F3" w:rsidRDefault="00382CF7" w:rsidP="00382CF7">
      <w:pPr>
        <w:spacing w:after="0" w:line="240" w:lineRule="auto"/>
        <w:ind w:left="709" w:right="709"/>
        <w:jc w:val="both"/>
        <w:rPr>
          <w:rFonts w:ascii="Verdana" w:hAnsi="Verdana" w:cs="Arial"/>
          <w:sz w:val="20"/>
          <w:szCs w:val="20"/>
        </w:rPr>
      </w:pPr>
      <w:r w:rsidRPr="00AA31F3">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104C6A7" w14:textId="77777777" w:rsidR="00382CF7" w:rsidRPr="00AA31F3" w:rsidRDefault="00382CF7" w:rsidP="00382CF7">
      <w:pPr>
        <w:spacing w:after="0" w:line="276" w:lineRule="auto"/>
        <w:ind w:left="709" w:right="709"/>
        <w:jc w:val="both"/>
        <w:rPr>
          <w:rFonts w:ascii="Verdana" w:hAnsi="Verdana" w:cs="Arial"/>
        </w:rPr>
      </w:pPr>
    </w:p>
    <w:p w14:paraId="6F45CFEE" w14:textId="77777777" w:rsidR="00382CF7" w:rsidRPr="00AA31F3" w:rsidRDefault="00382CF7" w:rsidP="00382CF7">
      <w:pPr>
        <w:spacing w:after="120" w:line="276" w:lineRule="auto"/>
        <w:ind w:firstLine="709"/>
        <w:jc w:val="both"/>
        <w:rPr>
          <w:rFonts w:ascii="Verdana" w:eastAsia="Arial" w:hAnsi="Verdana" w:cs="Arial"/>
          <w:i/>
          <w:iCs/>
          <w:lang w:eastAsia="es-ES" w:bidi="es-ES"/>
        </w:rPr>
      </w:pPr>
      <w:r w:rsidRPr="00AA31F3">
        <w:rPr>
          <w:rFonts w:ascii="Verdana" w:eastAsia="Arial" w:hAnsi="Verdana" w:cs="Arial"/>
          <w:lang w:val="es-MX" w:eastAsia="es-ES" w:bidi="es-ES"/>
        </w:rPr>
        <w:t xml:space="preserve">De conformidad con los argumentos de dicha providencia, se parte de la distinción entre los conceptos </w:t>
      </w:r>
      <w:r w:rsidRPr="00AA31F3">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AA31F3">
        <w:rPr>
          <w:rFonts w:ascii="Verdana" w:hAnsi="Verdana"/>
          <w:sz w:val="24"/>
          <w:szCs w:val="24"/>
          <w:lang w:eastAsia="es-CO"/>
        </w:rPr>
        <w:t xml:space="preserve"> </w:t>
      </w:r>
      <w:r w:rsidRPr="00AA31F3">
        <w:rPr>
          <w:rFonts w:ascii="Verdana" w:eastAsia="Arial" w:hAnsi="Verdana" w:cs="Arial"/>
          <w:lang w:eastAsia="es-ES" w:bidi="es-ES"/>
        </w:rPr>
        <w:t xml:space="preserve">En este sentido, en relación con el parágrafo del artículo 38 de la Ley 996 de 2005 concluyó que </w:t>
      </w:r>
      <w:r w:rsidRPr="00AA31F3">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AA31F3">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AA31F3">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6446C070" w14:textId="77777777" w:rsidR="00382CF7" w:rsidRPr="00AA31F3" w:rsidRDefault="00382CF7" w:rsidP="00382CF7">
      <w:pPr>
        <w:spacing w:after="120" w:line="276" w:lineRule="auto"/>
        <w:ind w:firstLine="709"/>
        <w:jc w:val="both"/>
        <w:rPr>
          <w:rFonts w:ascii="Verdana" w:eastAsia="Arial" w:hAnsi="Verdana" w:cs="Arial"/>
          <w:lang w:eastAsia="es-ES" w:bidi="es-ES"/>
        </w:rPr>
      </w:pPr>
      <w:r w:rsidRPr="00AA31F3">
        <w:rPr>
          <w:rFonts w:ascii="Verdana" w:eastAsia="Arial" w:hAnsi="Verdana" w:cs="Arial"/>
          <w:lang w:eastAsia="es-ES" w:bidi="es-ES"/>
        </w:rPr>
        <w:lastRenderedPageBreak/>
        <w:t>De igual manera, mediante auto del 6 de noviembre de 2025, el Consejo de Estado, Subsección A de la Sección Tercera, decretó</w:t>
      </w:r>
      <w:r w:rsidRPr="00AA31F3">
        <w:rPr>
          <w:rFonts w:ascii="Verdana" w:eastAsia="Arial" w:hAnsi="Verdana" w:cs="Arial"/>
          <w:b/>
          <w:bCs/>
          <w:lang w:eastAsia="es-ES" w:bidi="es-ES"/>
        </w:rPr>
        <w:t xml:space="preserve"> </w:t>
      </w:r>
      <w:r w:rsidRPr="00AA31F3">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AA31F3">
        <w:rPr>
          <w:rFonts w:ascii="Verdana" w:eastAsia="Arial" w:hAnsi="Verdana" w:cs="Arial"/>
          <w:vertAlign w:val="superscript"/>
          <w:lang w:eastAsia="es-ES" w:bidi="es-ES"/>
        </w:rPr>
        <w:footnoteReference w:id="22"/>
      </w:r>
      <w:r w:rsidRPr="00AA31F3">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AA31F3">
        <w:rPr>
          <w:rFonts w:ascii="Verdana" w:eastAsia="Arial" w:hAnsi="Verdana" w:cs="Arial"/>
          <w:lang w:eastAsia="es-ES" w:bidi="es-ES"/>
        </w:rPr>
        <w:t>legis</w:t>
      </w:r>
      <w:proofErr w:type="spellEnd"/>
      <w:r w:rsidRPr="00AA31F3">
        <w:rPr>
          <w:rFonts w:ascii="Verdana" w:eastAsia="Arial" w:hAnsi="Verdana" w:cs="Arial"/>
          <w:lang w:eastAsia="es-ES" w:bidi="es-ES"/>
        </w:rPr>
        <w:t xml:space="preserve"> o iuris y la interpretación extensiva y reiteró los argumentos sobre la diferencia entre contratos y convenios interadministrativos. </w:t>
      </w:r>
    </w:p>
    <w:p w14:paraId="095186F2" w14:textId="77777777" w:rsidR="00382CF7" w:rsidRPr="00AA31F3" w:rsidRDefault="00382CF7" w:rsidP="00382CF7">
      <w:pPr>
        <w:spacing w:after="120" w:line="276" w:lineRule="auto"/>
        <w:ind w:firstLine="709"/>
        <w:jc w:val="both"/>
        <w:rPr>
          <w:rFonts w:ascii="Verdana" w:eastAsia="Times New Roman" w:hAnsi="Verdana" w:cs="Times New Roman"/>
          <w:lang w:eastAsia="es-ES"/>
        </w:rPr>
      </w:pPr>
      <w:r w:rsidRPr="00AA31F3">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AA31F3">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7B2A7DD" w14:textId="77777777" w:rsidR="00382CF7" w:rsidRPr="00AA31F3" w:rsidRDefault="00382CF7" w:rsidP="00382CF7">
      <w:pPr>
        <w:spacing w:after="120" w:line="276" w:lineRule="auto"/>
        <w:ind w:firstLine="709"/>
        <w:jc w:val="both"/>
        <w:rPr>
          <w:rFonts w:ascii="Verdana" w:eastAsia="Times New Roman" w:hAnsi="Verdana" w:cs="Times New Roman"/>
          <w:lang w:eastAsia="es-ES"/>
        </w:rPr>
      </w:pPr>
      <w:r w:rsidRPr="00AA31F3">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Garantías Electorales solo previó para convenios, cuando no es posible aplicar </w:t>
      </w:r>
      <w:r w:rsidRPr="00AA31F3">
        <w:rPr>
          <w:rFonts w:ascii="Verdana" w:eastAsia="Times New Roman" w:hAnsi="Verdana" w:cs="Times New Roman"/>
          <w:lang w:eastAsia="es-ES"/>
        </w:rPr>
        <w:lastRenderedPageBreak/>
        <w:t>por analogía o extensión una norma que establece prohibiciones</w:t>
      </w:r>
      <w:r w:rsidRPr="00AA31F3">
        <w:rPr>
          <w:rStyle w:val="Refdenotaalpie"/>
          <w:rFonts w:ascii="Verdana" w:eastAsia="Times New Roman" w:hAnsi="Verdana" w:cs="Times New Roman"/>
          <w:lang w:eastAsia="es-ES"/>
        </w:rPr>
        <w:footnoteReference w:id="23"/>
      </w:r>
      <w:r w:rsidRPr="00AA31F3">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BDE9ABC" w14:textId="77777777" w:rsidR="00382CF7" w:rsidRPr="00AA31F3" w:rsidRDefault="00382CF7" w:rsidP="00382CF7">
      <w:pPr>
        <w:spacing w:after="120" w:line="276" w:lineRule="auto"/>
        <w:ind w:firstLine="709"/>
        <w:jc w:val="both"/>
        <w:rPr>
          <w:rFonts w:ascii="Verdana" w:eastAsia="Times New Roman" w:hAnsi="Verdana" w:cs="Times New Roman"/>
          <w:lang w:eastAsia="es-ES"/>
        </w:rPr>
      </w:pPr>
      <w:r w:rsidRPr="00AA31F3">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16521925" w14:textId="08E8CE01" w:rsidR="009A4996" w:rsidRPr="00382CF7" w:rsidRDefault="00382CF7" w:rsidP="004513DD">
      <w:pPr>
        <w:spacing w:after="0" w:line="276" w:lineRule="auto"/>
        <w:ind w:firstLine="709"/>
        <w:jc w:val="both"/>
        <w:rPr>
          <w:rFonts w:ascii="Verdana" w:eastAsia="Times New Roman" w:hAnsi="Verdana" w:cs="Arial"/>
          <w:lang w:eastAsia="es-CO"/>
        </w:rPr>
      </w:pPr>
      <w:r w:rsidRPr="00AA31F3">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A31F3">
        <w:rPr>
          <w:rFonts w:ascii="Verdana" w:eastAsia="Times New Roman" w:hAnsi="Verdana" w:cs="Arial"/>
          <w:i/>
          <w:iCs/>
          <w:lang w:eastAsia="es-CO"/>
        </w:rPr>
        <w:t>contratos interadministrativos</w:t>
      </w:r>
      <w:r w:rsidRPr="00AA31F3">
        <w:rPr>
          <w:rFonts w:ascii="Verdana" w:eastAsia="Times New Roman" w:hAnsi="Verdana" w:cs="Arial"/>
          <w:lang w:eastAsia="es-CO"/>
        </w:rPr>
        <w:t>, esta prohibición solo aplicaría a los convenios interadministrativos que impliquen la ejecución de recursos públicos</w:t>
      </w:r>
      <w:r w:rsidRPr="00AA31F3">
        <w:rPr>
          <w:rStyle w:val="Refdenotaalpie"/>
          <w:rFonts w:ascii="Verdana" w:eastAsia="Times New Roman" w:hAnsi="Verdana" w:cs="Arial"/>
          <w:lang w:eastAsia="es-CO"/>
        </w:rPr>
        <w:footnoteReference w:id="24"/>
      </w:r>
      <w:r w:rsidRPr="00AA31F3">
        <w:rPr>
          <w:rFonts w:ascii="Verdana" w:eastAsia="Times New Roman" w:hAnsi="Verdana" w:cs="Arial"/>
          <w:lang w:eastAsia="es-CO"/>
        </w:rPr>
        <w:t>.</w:t>
      </w:r>
    </w:p>
    <w:p w14:paraId="6EB8BE02" w14:textId="77777777" w:rsidR="009A4996" w:rsidRDefault="009A4996" w:rsidP="004513DD">
      <w:pPr>
        <w:spacing w:after="0" w:line="276" w:lineRule="auto"/>
        <w:jc w:val="both"/>
        <w:rPr>
          <w:rFonts w:ascii="Verdana" w:eastAsia="Times New Roman" w:hAnsi="Verdana" w:cs="Arial"/>
          <w:bCs/>
          <w:lang w:eastAsia="es-CO"/>
        </w:rPr>
      </w:pPr>
    </w:p>
    <w:p w14:paraId="3520BF5B" w14:textId="562CC56A" w:rsidR="005F4C77" w:rsidRPr="00A90DCC" w:rsidRDefault="009A4996" w:rsidP="005F4C77">
      <w:pPr>
        <w:spacing w:before="120" w:after="120" w:line="276" w:lineRule="auto"/>
        <w:jc w:val="both"/>
        <w:rPr>
          <w:rFonts w:ascii="Verdana" w:eastAsia="Calibri" w:hAnsi="Verdana" w:cs="Arial"/>
          <w:lang w:val="es-ES"/>
        </w:rPr>
      </w:pPr>
      <w:proofErr w:type="spellStart"/>
      <w:r>
        <w:rPr>
          <w:rFonts w:ascii="Verdana" w:eastAsia="Times New Roman" w:hAnsi="Verdana" w:cs="Arial"/>
          <w:bCs/>
          <w:lang w:eastAsia="es-CO"/>
        </w:rPr>
        <w:lastRenderedPageBreak/>
        <w:t>iv</w:t>
      </w:r>
      <w:proofErr w:type="spellEnd"/>
      <w:r w:rsidR="005F4C77">
        <w:rPr>
          <w:rFonts w:ascii="Verdana" w:eastAsia="Times New Roman" w:hAnsi="Verdana" w:cs="Arial"/>
          <w:bCs/>
          <w:lang w:eastAsia="es-CO"/>
        </w:rPr>
        <w:t xml:space="preserve">. Ahora bien, para dar respuesta al problema jurídico planteado, </w:t>
      </w:r>
      <w:r w:rsidR="005F4C77"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005F4C77" w:rsidRPr="00A90DCC">
        <w:rPr>
          <w:rFonts w:ascii="Verdana" w:eastAsia="Calibri" w:hAnsi="Verdana" w:cs="Arial"/>
          <w:lang w:val="es-ES"/>
        </w:rPr>
        <w:t>del artículo 96 de la Ley 489 de 19</w:t>
      </w:r>
      <w:r w:rsidR="005F4C77" w:rsidRPr="00377ED6">
        <w:rPr>
          <w:rFonts w:ascii="Verdana" w:eastAsia="Calibri" w:hAnsi="Verdana" w:cs="Arial"/>
          <w:lang w:val="es-ES"/>
        </w:rPr>
        <w:t>98</w:t>
      </w:r>
      <w:r w:rsidR="005F4C77">
        <w:rPr>
          <w:rFonts w:ascii="Verdana" w:eastAsia="Calibri" w:hAnsi="Verdana" w:cs="Arial"/>
          <w:lang w:val="es-ES"/>
        </w:rPr>
        <w:t xml:space="preserve">, con el fin de determinar si a este tipo de negocios jurídicos le es aplicable el artículo 33 </w:t>
      </w:r>
      <w:r>
        <w:rPr>
          <w:rFonts w:ascii="Verdana" w:eastAsia="Calibri" w:hAnsi="Verdana" w:cs="Arial"/>
          <w:lang w:val="es-ES"/>
        </w:rPr>
        <w:t>o el artículo 38</w:t>
      </w:r>
      <w:r w:rsidR="005F4C77" w:rsidRPr="009A4996">
        <w:rPr>
          <w:rFonts w:ascii="Verdana" w:eastAsia="Calibri" w:hAnsi="Verdana" w:cs="Arial"/>
          <w:lang w:val="es-ES"/>
        </w:rPr>
        <w:t xml:space="preserve"> </w:t>
      </w:r>
      <w:r w:rsidR="005F4C77">
        <w:rPr>
          <w:rFonts w:ascii="Verdana" w:eastAsia="Calibri" w:hAnsi="Verdana" w:cs="Arial"/>
          <w:lang w:val="es-ES"/>
        </w:rPr>
        <w:t>de la Ley 996 de 2005.</w:t>
      </w:r>
      <w:r w:rsidR="005F4C77" w:rsidRPr="00377ED6">
        <w:rPr>
          <w:rFonts w:ascii="Verdana" w:eastAsia="Calibri" w:hAnsi="Verdana" w:cs="Arial"/>
          <w:lang w:val="es-ES"/>
        </w:rPr>
        <w:t xml:space="preserve"> </w:t>
      </w:r>
    </w:p>
    <w:p w14:paraId="4459D7F5" w14:textId="77777777" w:rsidR="005F4C77" w:rsidRPr="00377ED6" w:rsidRDefault="005F4C77" w:rsidP="005F4C77">
      <w:pPr>
        <w:spacing w:before="120" w:after="120" w:line="276" w:lineRule="auto"/>
        <w:ind w:firstLine="709"/>
        <w:jc w:val="both"/>
        <w:rPr>
          <w:rFonts w:ascii="Verdana" w:eastAsia="Calibri" w:hAnsi="Verdana" w:cs="Arial"/>
          <w:lang w:val="es-ES"/>
        </w:rPr>
      </w:pPr>
      <w:bookmarkStart w:id="15"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15"/>
    </w:p>
    <w:p w14:paraId="45BE99EF" w14:textId="77777777" w:rsidR="005F4C77" w:rsidRDefault="005F4C77" w:rsidP="005F4C77">
      <w:pPr>
        <w:spacing w:before="120" w:after="120" w:line="276" w:lineRule="auto"/>
        <w:ind w:firstLine="709"/>
        <w:jc w:val="both"/>
        <w:rPr>
          <w:rFonts w:ascii="Verdana" w:eastAsia="Calibri" w:hAnsi="Verdana" w:cs="Arial"/>
          <w:lang w:val="es-ES"/>
        </w:rPr>
      </w:pPr>
      <w:bookmarkStart w:id="16"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3C244E0D" w14:textId="77777777" w:rsidR="005F4C77" w:rsidRDefault="005F4C77" w:rsidP="005F4C77">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57D31599" w14:textId="77777777" w:rsidR="005F4C77" w:rsidRDefault="005F4C77" w:rsidP="005F4C77">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 xml:space="preserve">92 de 2017, las entidades estatales deberán adelantar procesos competitivos cuando en el marco de planeación se evidencie que el programa o actividad que se requiere </w:t>
      </w:r>
      <w:r w:rsidRPr="5F8BC1B5">
        <w:rPr>
          <w:rFonts w:ascii="Verdana" w:eastAsia="Calibri" w:hAnsi="Verdana" w:cs="Arial"/>
          <w:lang w:val="es-ES"/>
        </w:rPr>
        <w:lastRenderedPageBreak/>
        <w:t>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5F8BC1B5">
        <w:rPr>
          <w:rFonts w:ascii="Verdana" w:eastAsia="Calibri" w:hAnsi="Verdana" w:cs="Arial"/>
          <w:lang w:val="es-ES"/>
        </w:rPr>
        <w:t>ii</w:t>
      </w:r>
      <w:proofErr w:type="spellEnd"/>
      <w:r w:rsidRPr="5F8BC1B5">
        <w:rPr>
          <w:rFonts w:ascii="Verdana" w:eastAsia="Calibri" w:hAnsi="Verdana" w:cs="Arial"/>
          <w:lang w:val="es-ES"/>
        </w:rPr>
        <w:t>) definición de un plazo razonable para que las entidades privadas sin ánimo de lucro de reconocida idoneidad presenten a la Entidad Estatal sus ofertas y los documentos que acrediten su idoneidad, y (</w:t>
      </w:r>
      <w:proofErr w:type="spellStart"/>
      <w:r w:rsidRPr="5F8BC1B5">
        <w:rPr>
          <w:rFonts w:ascii="Verdana" w:eastAsia="Calibri" w:hAnsi="Verdana" w:cs="Arial"/>
          <w:lang w:val="es-ES"/>
        </w:rPr>
        <w:t>iii</w:t>
      </w:r>
      <w:proofErr w:type="spellEnd"/>
      <w:r w:rsidRPr="5F8BC1B5">
        <w:rPr>
          <w:rFonts w:ascii="Verdana" w:eastAsia="Calibri" w:hAnsi="Verdana" w:cs="Arial"/>
          <w:lang w:val="es-ES"/>
        </w:rPr>
        <w:t xml:space="preserve">) evaluación de las ofertas por parte de la Entidad Estatal teniendo en cuenta los criterios definidos para el efecto. </w:t>
      </w:r>
    </w:p>
    <w:p w14:paraId="57F0765B" w14:textId="77777777" w:rsidR="005F4C77" w:rsidRDefault="005F4C77" w:rsidP="005F4C77">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16"/>
    <w:p w14:paraId="3EF970DA" w14:textId="77777777" w:rsidR="005F4C77" w:rsidRPr="00377ED6" w:rsidRDefault="005F4C77" w:rsidP="005F4C77">
      <w:pPr>
        <w:spacing w:before="120"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25"/>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 xml:space="preserve">El convenio de asociación no es conmutativo, </w:t>
      </w:r>
      <w:proofErr w:type="gramStart"/>
      <w:r w:rsidRPr="00377ED6">
        <w:rPr>
          <w:rFonts w:ascii="Verdana" w:eastAsia="Calibri" w:hAnsi="Verdana" w:cs="Arial"/>
          <w:bCs/>
          <w:lang w:val="es-ES_tradnl"/>
        </w:rPr>
        <w:t>y</w:t>
      </w:r>
      <w:proofErr w:type="gramEnd"/>
      <w:r w:rsidRPr="00377ED6">
        <w:rPr>
          <w:rFonts w:ascii="Verdana" w:eastAsia="Calibri" w:hAnsi="Verdana" w:cs="Arial"/>
          <w:bCs/>
          <w:lang w:val="es-ES_tradnl"/>
        </w:rPr>
        <w:t xml:space="preserve"> por tanto, la entidad no instruye al contratista para desarrollar los programas o actividades previstas, sino que se asocia con él para el cumplimiento de objetivos comunes</w:t>
      </w:r>
      <w:r w:rsidRPr="00377ED6">
        <w:rPr>
          <w:rFonts w:ascii="Verdana" w:hAnsi="Verdana" w:cs="Arial"/>
          <w:vertAlign w:val="superscript"/>
        </w:rPr>
        <w:footnoteReference w:id="26"/>
      </w:r>
      <w:r w:rsidRPr="00377ED6">
        <w:rPr>
          <w:rFonts w:ascii="Verdana" w:eastAsia="Calibri" w:hAnsi="Verdana" w:cs="Arial"/>
          <w:bCs/>
          <w:lang w:val="es-ES_tradnl"/>
        </w:rPr>
        <w:t>.</w:t>
      </w:r>
    </w:p>
    <w:p w14:paraId="6A353F10" w14:textId="77777777" w:rsidR="009A4996" w:rsidRDefault="005F4C77" w:rsidP="005F4C77">
      <w:pPr>
        <w:spacing w:before="120"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xml:space="preserve">. Sin embargo, como el artículo 96 de la Ley 489 de 1998 determina que el convenio busca el desarrollo conjunto de actividades en relación con los cometidos y funciones que la ley les asigna a las </w:t>
      </w:r>
      <w:r w:rsidRPr="00377ED6">
        <w:rPr>
          <w:rFonts w:ascii="Verdana" w:eastAsia="Calibri" w:hAnsi="Verdana" w:cs="Arial"/>
          <w:bCs/>
        </w:rPr>
        <w:lastRenderedPageBreak/>
        <w:t xml:space="preserve">entidades estatales, lo cierto es que las funciones legales de las entidades estatales que suscriben conjuntamente el convenio deben coincidir. </w:t>
      </w:r>
    </w:p>
    <w:p w14:paraId="026B3557" w14:textId="0E9E4E79" w:rsidR="005F4C77" w:rsidRPr="00377ED6" w:rsidRDefault="005F4C77" w:rsidP="005F4C77">
      <w:pPr>
        <w:spacing w:before="120" w:after="120" w:line="276" w:lineRule="auto"/>
        <w:ind w:firstLine="709"/>
        <w:jc w:val="both"/>
        <w:rPr>
          <w:rFonts w:ascii="Verdana" w:eastAsia="Calibri" w:hAnsi="Verdana" w:cs="Arial"/>
          <w:bCs/>
        </w:rPr>
      </w:pPr>
      <w:r w:rsidRPr="00377ED6">
        <w:rPr>
          <w:rFonts w:ascii="Verdana" w:eastAsia="Calibri" w:hAnsi="Verdana" w:cs="Arial"/>
          <w:bCs/>
        </w:rPr>
        <w:t>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65E9EB6C" w14:textId="77777777" w:rsidR="005F4C77" w:rsidRPr="00377ED6" w:rsidRDefault="005F4C77" w:rsidP="005F4C77">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59F97D81" w14:textId="77777777" w:rsidR="005F4C77" w:rsidRPr="00377ED6" w:rsidRDefault="005F4C77" w:rsidP="005F4C77">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son esencialmente distintos a los contratos para la adquisición y 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27"/>
      </w:r>
      <w:r w:rsidRPr="00377ED6">
        <w:rPr>
          <w:rFonts w:ascii="Verdana" w:hAnsi="Verdana" w:cs="Arial"/>
          <w:color w:val="000000" w:themeColor="text1"/>
          <w:lang w:val="es-MX"/>
        </w:rPr>
        <w:t>. Así lo consideró la Sala de Consulta y Servicio Civil del Consejo de Estado:</w:t>
      </w:r>
    </w:p>
    <w:p w14:paraId="5350A497" w14:textId="77777777" w:rsidR="005F4C77" w:rsidRPr="00377ED6" w:rsidRDefault="005F4C77" w:rsidP="005F4C77">
      <w:pPr>
        <w:spacing w:after="0" w:line="276" w:lineRule="auto"/>
        <w:jc w:val="both"/>
        <w:rPr>
          <w:rFonts w:ascii="Verdana" w:hAnsi="Verdana" w:cs="Arial"/>
          <w:color w:val="000000" w:themeColor="text1"/>
          <w:lang w:val="es-MX"/>
        </w:rPr>
      </w:pPr>
    </w:p>
    <w:p w14:paraId="57C70FD1" w14:textId="77777777" w:rsidR="005F4C77" w:rsidRPr="003E7CD1" w:rsidRDefault="005F4C77" w:rsidP="005F4C77">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lastRenderedPageBreak/>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3E7CD1">
        <w:rPr>
          <w:rFonts w:ascii="Verdana" w:eastAsia="Calibri" w:hAnsi="Verdana" w:cs="Arial"/>
          <w:color w:val="000000" w:themeColor="text1"/>
          <w:sz w:val="20"/>
          <w:szCs w:val="20"/>
        </w:rPr>
        <w:t>y</w:t>
      </w:r>
      <w:proofErr w:type="gramEnd"/>
      <w:r w:rsidRPr="003E7CD1">
        <w:rPr>
          <w:rFonts w:ascii="Verdana" w:eastAsia="Calibri" w:hAnsi="Verdana" w:cs="Arial"/>
          <w:color w:val="000000" w:themeColor="text1"/>
          <w:sz w:val="20"/>
          <w:szCs w:val="20"/>
        </w:rPr>
        <w:t xml:space="preserve"> por lo tanto, se tipifican dentro de cualquiera de las modalidades de contratación de la ley 80 de 1.993, debiendo sujetarse a los procedimientos allí previstos, en especial los de escogencia del contratista.</w:t>
      </w:r>
    </w:p>
    <w:p w14:paraId="0AB6B266" w14:textId="77777777" w:rsidR="005F4C77" w:rsidRPr="003E7CD1" w:rsidRDefault="005F4C77" w:rsidP="005F4C77">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28"/>
      </w:r>
      <w:r w:rsidRPr="003E7CD1">
        <w:rPr>
          <w:rFonts w:ascii="Verdana" w:eastAsia="Calibri" w:hAnsi="Verdana" w:cs="Arial"/>
          <w:color w:val="000000" w:themeColor="text1"/>
          <w:sz w:val="20"/>
          <w:szCs w:val="20"/>
        </w:rPr>
        <w:t>.</w:t>
      </w:r>
    </w:p>
    <w:p w14:paraId="1DE6B4FE" w14:textId="77777777" w:rsidR="005F4C77" w:rsidRPr="00377ED6" w:rsidRDefault="005F4C77" w:rsidP="005F4C77">
      <w:pPr>
        <w:spacing w:after="0" w:line="276" w:lineRule="auto"/>
        <w:ind w:firstLine="708"/>
        <w:jc w:val="both"/>
        <w:rPr>
          <w:rFonts w:ascii="Verdana" w:eastAsia="Calibri" w:hAnsi="Verdana" w:cs="Arial"/>
          <w:color w:val="000000" w:themeColor="text1"/>
        </w:rPr>
      </w:pPr>
      <w:bookmarkStart w:id="17" w:name="_Hlk95756200"/>
    </w:p>
    <w:p w14:paraId="36BA481E" w14:textId="77777777" w:rsidR="005F4C77" w:rsidRPr="00377ED6" w:rsidRDefault="005F4C77" w:rsidP="005F4C77">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17"/>
      <w:r w:rsidRPr="00377ED6">
        <w:rPr>
          <w:rFonts w:ascii="Verdana" w:eastAsia="Calibri" w:hAnsi="Verdana" w:cs="Arial"/>
          <w:color w:val="000000" w:themeColor="text1"/>
        </w:rPr>
        <w:t>Así lo reconoció la Corte Constitucional en la sentencia C-287 del 18 de abril de 2012, en la que sostuvo lo siguiente:</w:t>
      </w:r>
    </w:p>
    <w:p w14:paraId="236D8A8E" w14:textId="77777777" w:rsidR="005F4C77" w:rsidRPr="00377ED6" w:rsidRDefault="005F4C77" w:rsidP="005F4C77">
      <w:pPr>
        <w:spacing w:after="0" w:line="240" w:lineRule="auto"/>
        <w:ind w:firstLine="709"/>
        <w:jc w:val="both"/>
        <w:rPr>
          <w:rFonts w:ascii="Verdana" w:eastAsia="Calibri" w:hAnsi="Verdana" w:cs="Arial"/>
          <w:color w:val="000000" w:themeColor="text1"/>
        </w:rPr>
      </w:pPr>
    </w:p>
    <w:p w14:paraId="3C693364" w14:textId="77777777" w:rsidR="005F4C77" w:rsidRPr="003E7CD1" w:rsidRDefault="005F4C77" w:rsidP="005F4C77">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2AE559F2" w14:textId="77777777" w:rsidR="005F4C77" w:rsidRPr="003E7CD1" w:rsidRDefault="005F4C77" w:rsidP="005F4C77">
      <w:pPr>
        <w:spacing w:after="0"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 xml:space="preserve">Sin embargo, el hecho que no persigan una finalidad </w:t>
      </w:r>
      <w:proofErr w:type="gramStart"/>
      <w:r w:rsidRPr="003E7CD1">
        <w:rPr>
          <w:rFonts w:ascii="Verdana" w:eastAsia="Calibri" w:hAnsi="Verdana" w:cs="Arial"/>
          <w:i/>
          <w:iCs/>
          <w:color w:val="000000" w:themeColor="text1"/>
          <w:sz w:val="20"/>
          <w:szCs w:val="20"/>
        </w:rPr>
        <w:t>lucrativa,</w:t>
      </w:r>
      <w:proofErr w:type="gramEnd"/>
      <w:r w:rsidRPr="003E7CD1">
        <w:rPr>
          <w:rFonts w:ascii="Verdana" w:eastAsia="Calibri" w:hAnsi="Verdana" w:cs="Arial"/>
          <w:i/>
          <w:iCs/>
          <w:color w:val="000000" w:themeColor="text1"/>
          <w:sz w:val="20"/>
          <w:szCs w:val="20"/>
        </w:rPr>
        <w:t xml:space="preserve"> no significa que no desarrollen actividades que generen utilidades, lo que pasa es </w:t>
      </w:r>
      <w:proofErr w:type="gramStart"/>
      <w:r w:rsidRPr="003E7CD1">
        <w:rPr>
          <w:rFonts w:ascii="Verdana" w:eastAsia="Calibri" w:hAnsi="Verdana" w:cs="Arial"/>
          <w:i/>
          <w:iCs/>
          <w:color w:val="000000" w:themeColor="text1"/>
          <w:sz w:val="20"/>
          <w:szCs w:val="20"/>
        </w:rPr>
        <w:t>que</w:t>
      </w:r>
      <w:proofErr w:type="gramEnd"/>
      <w:r w:rsidRPr="003E7CD1">
        <w:rPr>
          <w:rFonts w:ascii="Verdana" w:eastAsia="Calibri" w:hAnsi="Verdana" w:cs="Arial"/>
          <w:i/>
          <w:iCs/>
          <w:color w:val="000000" w:themeColor="text1"/>
          <w:sz w:val="20"/>
          <w:szCs w:val="20"/>
        </w:rPr>
        <w:t xml:space="preserve"> a diferencia de las sociedades, el lucro o ganancia obtenida no se reparte entre sus </w:t>
      </w:r>
      <w:proofErr w:type="gramStart"/>
      <w:r w:rsidRPr="003E7CD1">
        <w:rPr>
          <w:rFonts w:ascii="Verdana" w:eastAsia="Calibri" w:hAnsi="Verdana" w:cs="Arial"/>
          <w:i/>
          <w:iCs/>
          <w:color w:val="000000" w:themeColor="text1"/>
          <w:sz w:val="20"/>
          <w:szCs w:val="20"/>
        </w:rPr>
        <w:t>miembros</w:t>
      </w:r>
      <w:proofErr w:type="gramEnd"/>
      <w:r w:rsidRPr="003E7CD1">
        <w:rPr>
          <w:rFonts w:ascii="Verdana" w:eastAsia="Calibri" w:hAnsi="Verdana" w:cs="Arial"/>
          <w:i/>
          <w:iCs/>
          <w:color w:val="000000" w:themeColor="text1"/>
          <w:sz w:val="20"/>
          <w:szCs w:val="20"/>
        </w:rPr>
        <w:t xml:space="preserve"> sino que se integra al patrimonio de la asociación para la obtención del fin deseado</w:t>
      </w:r>
      <w:r w:rsidRPr="003E7CD1">
        <w:rPr>
          <w:rFonts w:ascii="Verdana" w:eastAsia="Calibri" w:hAnsi="Verdana"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w:t>
      </w:r>
      <w:r w:rsidRPr="003E7CD1">
        <w:rPr>
          <w:rFonts w:ascii="Verdana" w:eastAsia="Calibri" w:hAnsi="Verdana" w:cs="Arial"/>
          <w:color w:val="000000" w:themeColor="text1"/>
          <w:sz w:val="20"/>
          <w:szCs w:val="20"/>
        </w:rPr>
        <w:lastRenderedPageBreak/>
        <w:t xml:space="preserve">general sin esperar a cambio repartición de utilidades en proporción a su aporte, ni la recuperación </w:t>
      </w:r>
      <w:proofErr w:type="gramStart"/>
      <w:r w:rsidRPr="003E7CD1">
        <w:rPr>
          <w:rFonts w:ascii="Verdana" w:eastAsia="Calibri" w:hAnsi="Verdana" w:cs="Arial"/>
          <w:color w:val="000000" w:themeColor="text1"/>
          <w:sz w:val="20"/>
          <w:szCs w:val="20"/>
        </w:rPr>
        <w:t>del mismo</w:t>
      </w:r>
      <w:proofErr w:type="gramEnd"/>
      <w:r w:rsidRPr="003E7CD1">
        <w:rPr>
          <w:rFonts w:ascii="Verdana" w:eastAsia="Calibri" w:hAnsi="Verdana" w:cs="Arial"/>
          <w:color w:val="000000" w:themeColor="text1"/>
          <w:sz w:val="20"/>
          <w:szCs w:val="20"/>
        </w:rPr>
        <w:t xml:space="preserve"> en el momento de su disolución o liquidación”. (Cursivas propias)</w:t>
      </w:r>
    </w:p>
    <w:p w14:paraId="3BB871DB" w14:textId="77777777" w:rsidR="005F4C77" w:rsidRPr="00377ED6" w:rsidRDefault="005F4C77" w:rsidP="005F4C77">
      <w:pPr>
        <w:spacing w:after="0" w:line="276" w:lineRule="auto"/>
        <w:ind w:firstLine="709"/>
        <w:jc w:val="both"/>
        <w:rPr>
          <w:rFonts w:ascii="Verdana" w:eastAsia="Calibri" w:hAnsi="Verdana" w:cs="Arial"/>
          <w:color w:val="000000" w:themeColor="text1"/>
        </w:rPr>
      </w:pPr>
    </w:p>
    <w:p w14:paraId="2DF4A957" w14:textId="77777777" w:rsidR="005F4C77" w:rsidRPr="00377ED6" w:rsidRDefault="005F4C77" w:rsidP="005F4C77">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1E112CB9" w14:textId="73536D24" w:rsidR="005F4C77" w:rsidRPr="00377ED6" w:rsidRDefault="005F4C77" w:rsidP="005F4C77">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w:t>
      </w:r>
      <w:r w:rsidR="009A4996">
        <w:rPr>
          <w:rFonts w:ascii="Verdana" w:hAnsi="Verdana" w:cs="Arial"/>
          <w:color w:val="000000" w:themeColor="text1"/>
        </w:rPr>
        <w:t xml:space="preserve">ESAL </w:t>
      </w:r>
      <w:r w:rsidRPr="00377ED6">
        <w:rPr>
          <w:rFonts w:ascii="Verdana" w:hAnsi="Verdana" w:cs="Arial"/>
          <w:color w:val="000000" w:themeColor="text1"/>
        </w:rPr>
        <w:t xml:space="preserve">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377ED6">
        <w:rPr>
          <w:rFonts w:ascii="Verdana" w:hAnsi="Verdana" w:cs="Arial"/>
          <w:color w:val="000000" w:themeColor="text1"/>
        </w:rPr>
        <w:t>ii</w:t>
      </w:r>
      <w:proofErr w:type="spellEnd"/>
      <w:r w:rsidRPr="00377ED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el objeto del contrato debe estar acorde con el plan nacional o seccional de desarrollo; </w:t>
      </w:r>
      <w:proofErr w:type="spellStart"/>
      <w:r w:rsidRPr="00377ED6">
        <w:rPr>
          <w:rFonts w:ascii="Verdana" w:hAnsi="Verdana" w:cs="Arial"/>
          <w:color w:val="000000" w:themeColor="text1"/>
        </w:rPr>
        <w:t>iv</w:t>
      </w:r>
      <w:proofErr w:type="spellEnd"/>
      <w:r w:rsidRPr="00377ED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13ED7EF1" w14:textId="628EE7A6" w:rsidR="005F4C77" w:rsidRPr="004513DD" w:rsidRDefault="005F4C77" w:rsidP="005F4C7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lastRenderedPageBreak/>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xml:space="preserve">, deben estar sujetos a competencia, salvo en aquellos casos en que una </w:t>
      </w:r>
      <w:r w:rsidR="009A4996">
        <w:rPr>
          <w:rFonts w:ascii="Verdana" w:eastAsia="Calibri" w:hAnsi="Verdana" w:cs="Arial"/>
          <w:color w:val="000000" w:themeColor="text1"/>
        </w:rPr>
        <w:t>ESAL</w:t>
      </w:r>
      <w:r w:rsidRPr="00377ED6">
        <w:rPr>
          <w:rFonts w:ascii="Verdana" w:eastAsia="Calibri" w:hAnsi="Verdana" w:cs="Arial"/>
          <w:color w:val="000000" w:themeColor="text1"/>
        </w:rPr>
        <w:t xml:space="preserve"> comprometa recursos en dinero por un valor igual o superior al </w:t>
      </w:r>
      <w:r w:rsidR="009A4996">
        <w:rPr>
          <w:rFonts w:ascii="Verdana" w:eastAsia="Calibri" w:hAnsi="Verdana" w:cs="Arial"/>
          <w:color w:val="000000" w:themeColor="text1"/>
        </w:rPr>
        <w:t>treinta por ciento (</w:t>
      </w:r>
      <w:r w:rsidRPr="00377ED6">
        <w:rPr>
          <w:rFonts w:ascii="Verdana" w:eastAsia="Calibri" w:hAnsi="Verdana" w:cs="Arial"/>
          <w:color w:val="000000" w:themeColor="text1"/>
        </w:rPr>
        <w:t>30</w:t>
      </w:r>
      <w:r w:rsidRPr="009A4996">
        <w:rPr>
          <w:rFonts w:ascii="Verdana" w:eastAsia="Calibri" w:hAnsi="Verdana" w:cs="Arial"/>
          <w:color w:val="000000" w:themeColor="text1"/>
        </w:rPr>
        <w:t>%</w:t>
      </w:r>
      <w:r w:rsidR="009A4996">
        <w:rPr>
          <w:rFonts w:ascii="Verdana" w:eastAsia="Calibri" w:hAnsi="Verdana" w:cs="Arial"/>
          <w:color w:val="000000" w:themeColor="text1"/>
        </w:rPr>
        <w:t>)</w:t>
      </w:r>
      <w:r w:rsidRPr="00377ED6">
        <w:rPr>
          <w:rFonts w:ascii="Verdana" w:eastAsia="Calibri" w:hAnsi="Verdana" w:cs="Arial"/>
          <w:color w:val="000000" w:themeColor="text1"/>
        </w:rPr>
        <w:t xml:space="preserve"> del valor total del convenio</w:t>
      </w:r>
      <w:r w:rsidRPr="00377ED6">
        <w:rPr>
          <w:rFonts w:ascii="Verdana" w:hAnsi="Verdana" w:cs="Arial"/>
          <w:color w:val="000000" w:themeColor="text1"/>
          <w:vertAlign w:val="superscript"/>
        </w:rPr>
        <w:footnoteReference w:id="29"/>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192B8CD7" w14:textId="79383FA9" w:rsidR="005F4C77" w:rsidRDefault="005F4C77" w:rsidP="005F4C77">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w:t>
      </w:r>
      <w:r w:rsidR="009A4996">
        <w:rPr>
          <w:rFonts w:ascii="Verdana" w:eastAsia="Calibri" w:hAnsi="Verdana" w:cs="Arial"/>
          <w:lang w:val="es-ES"/>
        </w:rPr>
        <w:t>no</w:t>
      </w:r>
      <w:r w:rsidRPr="697BF333">
        <w:rPr>
          <w:rFonts w:ascii="Verdana" w:eastAsia="Calibri" w:hAnsi="Verdana" w:cs="Arial"/>
          <w:lang w:val="es-ES"/>
        </w:rPr>
        <w:t xml:space="preserve"> debería verse afectada por la restricción del artículo 33 de la Ley 996 de 2005. Esto a excepción de la posibilidad celebrar convenios de asociación de manera directa, en aquellos casos en los que una </w:t>
      </w:r>
      <w:r w:rsidR="009A4996">
        <w:rPr>
          <w:rFonts w:ascii="Verdana" w:eastAsia="Calibri" w:hAnsi="Verdana" w:cs="Arial"/>
          <w:lang w:val="es-ES"/>
        </w:rPr>
        <w:t>ESAL</w:t>
      </w:r>
      <w:r w:rsidRPr="697BF333">
        <w:rPr>
          <w:rFonts w:ascii="Verdana" w:eastAsia="Calibri" w:hAnsi="Verdana" w:cs="Arial"/>
          <w:lang w:val="es-ES"/>
        </w:rPr>
        <w:t xml:space="preserve"> aporte el </w:t>
      </w:r>
      <w:r w:rsidR="009A4996">
        <w:rPr>
          <w:rFonts w:ascii="Verdana" w:eastAsia="Calibri" w:hAnsi="Verdana" w:cs="Arial"/>
          <w:lang w:val="es-ES"/>
        </w:rPr>
        <w:t>treinta por ciento (</w:t>
      </w:r>
      <w:r w:rsidRPr="697BF333">
        <w:rPr>
          <w:rFonts w:ascii="Verdana" w:eastAsia="Calibri" w:hAnsi="Verdana" w:cs="Arial"/>
          <w:lang w:val="es-ES"/>
        </w:rPr>
        <w:t>30</w:t>
      </w:r>
      <w:r w:rsidRPr="009A4996">
        <w:rPr>
          <w:rFonts w:ascii="Verdana" w:eastAsia="Calibri" w:hAnsi="Verdana" w:cs="Arial"/>
          <w:lang w:val="es-ES"/>
        </w:rPr>
        <w:t>%</w:t>
      </w:r>
      <w:r w:rsidR="009A4996">
        <w:rPr>
          <w:rFonts w:ascii="Verdana" w:eastAsia="Calibri" w:hAnsi="Verdana" w:cs="Arial"/>
          <w:lang w:val="es-ES"/>
        </w:rPr>
        <w:t>)</w:t>
      </w:r>
      <w:r w:rsidRPr="697BF333">
        <w:rPr>
          <w:rFonts w:ascii="Verdana" w:eastAsia="Calibri" w:hAnsi="Verdana" w:cs="Arial"/>
          <w:lang w:val="es-ES"/>
        </w:rPr>
        <w:t xml:space="preserve"> de los recursos en dinero requeridos, supuesto que, al excluir la pluralidad de oferentes, </w:t>
      </w:r>
      <w:r w:rsidR="009A4996">
        <w:rPr>
          <w:rFonts w:ascii="Verdana" w:eastAsia="Calibri" w:hAnsi="Verdana" w:cs="Arial"/>
          <w:lang w:val="es-ES"/>
        </w:rPr>
        <w:t>se encuadra</w:t>
      </w:r>
      <w:r w:rsidRPr="697BF333">
        <w:rPr>
          <w:rFonts w:ascii="Verdana" w:eastAsia="Calibri" w:hAnsi="Verdana" w:cs="Arial"/>
          <w:lang w:val="es-ES"/>
        </w:rPr>
        <w:t xml:space="preserve"> dentro del ámbito de aplicación de la mencionada prohibición, de manera que no es posible su aplicación en vigencia de la restricción a la contratación directa.</w:t>
      </w:r>
    </w:p>
    <w:p w14:paraId="36C6CACE" w14:textId="434975D2" w:rsidR="005F4C77" w:rsidRDefault="005F4C77" w:rsidP="005F4C77">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r w:rsidRPr="697BF333">
        <w:rPr>
          <w:rFonts w:ascii="Verdana" w:eastAsia="Calibri" w:hAnsi="Verdana" w:cs="Arial"/>
          <w:lang w:val="es-ES"/>
        </w:rPr>
        <w:t xml:space="preserve"> </w:t>
      </w:r>
    </w:p>
    <w:p w14:paraId="7439C0D8" w14:textId="66A80A37" w:rsidR="00B10400" w:rsidRPr="00B10400" w:rsidRDefault="00B10400" w:rsidP="005F4C77">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es-CO"/>
        </w:rPr>
        <w:lastRenderedPageBreak/>
        <w:t>Ahora bien, en relación con el parágrafo del artículo 38 debe señalarse que, dado que este prohibe la celebración de convenios inteadminsitrativos, entendidos como aquellos que se celebran entre dos entidades estatales, no es aplicable a los contratos de colaboración – de que trata el artículo 355 de la Constitución Politica – ni los convenios de asociación – del artículo 96 de la 489 – pues uno de los extremos es una ESAL de naturaleza privada, por lo que el negocio juridico no se cataloga en aquellos que se prohiben.</w:t>
      </w:r>
    </w:p>
    <w:p w14:paraId="035F0B3E" w14:textId="77777777" w:rsidR="005F4C77" w:rsidRDefault="005F4C77" w:rsidP="005F4C77">
      <w:pPr>
        <w:spacing w:after="0" w:line="276" w:lineRule="auto"/>
        <w:ind w:firstLine="709"/>
        <w:jc w:val="both"/>
        <w:rPr>
          <w:rFonts w:ascii="Verdana" w:eastAsia="Calibri" w:hAnsi="Verdana" w:cs="Arial"/>
          <w:color w:val="000000" w:themeColor="text1"/>
        </w:rPr>
      </w:pPr>
      <w:r w:rsidRPr="005E4C47">
        <w:rPr>
          <w:rFonts w:ascii="Verdana" w:eastAsia="Calibri" w:hAnsi="Verdana" w:cs="Arial"/>
          <w:color w:val="000000" w:themeColor="text1"/>
        </w:rPr>
        <w:t xml:space="preserve">Por último,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703F0B28" w14:textId="77777777" w:rsidR="005F4C77" w:rsidRPr="00D90EA6" w:rsidRDefault="005F4C77" w:rsidP="004513DD">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3D9C023B" w14:textId="77777777" w:rsidR="005F4C77" w:rsidRDefault="005F4C77" w:rsidP="004513DD">
      <w:pPr>
        <w:tabs>
          <w:tab w:val="left" w:pos="142"/>
          <w:tab w:val="left" w:pos="284"/>
        </w:tabs>
        <w:spacing w:after="0" w:line="276" w:lineRule="auto"/>
        <w:rPr>
          <w:rFonts w:ascii="Verdana" w:eastAsia="Century Gothic" w:hAnsi="Verdana" w:cs="Century Gothic"/>
          <w:b/>
          <w:bCs/>
        </w:rPr>
      </w:pPr>
      <w:bookmarkStart w:id="18" w:name="_Hlk204854194"/>
      <w:r w:rsidRPr="00FF007A">
        <w:rPr>
          <w:rFonts w:ascii="Verdana" w:eastAsia="Century Gothic" w:hAnsi="Verdana" w:cs="Century Gothic"/>
          <w:b/>
          <w:bCs/>
        </w:rPr>
        <w:t>4. Referencias normativas:</w:t>
      </w:r>
    </w:p>
    <w:bookmarkEnd w:id="18"/>
    <w:p w14:paraId="336A42CB" w14:textId="77777777" w:rsidR="005F4C77" w:rsidRPr="00FF007A" w:rsidRDefault="005F4C77" w:rsidP="005F4C7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F4C77" w:rsidRPr="00FF007A" w14:paraId="4FF12C68" w14:textId="77777777" w:rsidTr="007B562E">
        <w:trPr>
          <w:trHeight w:val="870"/>
          <w:jc w:val="center"/>
        </w:trPr>
        <w:tc>
          <w:tcPr>
            <w:tcW w:w="8647" w:type="dxa"/>
          </w:tcPr>
          <w:p w14:paraId="0E914655"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355. </w:t>
            </w:r>
          </w:p>
          <w:p w14:paraId="7643E386" w14:textId="4225E831"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996 de 2005. </w:t>
            </w:r>
            <w:r w:rsidRPr="004A4F18">
              <w:rPr>
                <w:rFonts w:ascii="Verdana" w:eastAsia="Arial MT" w:hAnsi="Verdana" w:cs="Arial"/>
                <w:lang w:val="es-CO" w:eastAsia="es-ES" w:bidi="es-ES"/>
              </w:rPr>
              <w:t>Artículo 33</w:t>
            </w:r>
            <w:r w:rsidR="00B10400">
              <w:rPr>
                <w:rFonts w:ascii="Verdana" w:eastAsia="Arial MT" w:hAnsi="Verdana" w:cs="Arial"/>
                <w:lang w:val="es-CO" w:eastAsia="es-ES" w:bidi="es-ES"/>
              </w:rPr>
              <w:t xml:space="preserve"> y parágrafo del artículo 38</w:t>
            </w:r>
            <w:r w:rsidRPr="00B10400">
              <w:rPr>
                <w:rFonts w:ascii="Verdana" w:eastAsia="Arial MT" w:hAnsi="Verdana" w:cs="Arial"/>
                <w:lang w:val="es-CO" w:eastAsia="es-ES" w:bidi="es-ES"/>
              </w:rPr>
              <w:t xml:space="preserve">. </w:t>
            </w:r>
          </w:p>
          <w:p w14:paraId="257C71CF"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3226DBDB" w14:textId="77777777" w:rsidR="005F4C77" w:rsidRPr="00CB71FC" w:rsidRDefault="005F4C77" w:rsidP="005F4C77">
            <w:pPr>
              <w:pStyle w:val="Prrafodelista"/>
              <w:numPr>
                <w:ilvl w:val="0"/>
                <w:numId w:val="17"/>
              </w:numPr>
              <w:spacing w:line="276" w:lineRule="auto"/>
              <w:jc w:val="both"/>
              <w:rPr>
                <w:rFonts w:ascii="Verdana" w:eastAsia="Arial MT" w:hAnsi="Verdana" w:cs="Arial"/>
                <w:lang w:val="es-CO" w:eastAsia="es-ES" w:bidi="es-ES"/>
              </w:rPr>
            </w:pPr>
            <w:r w:rsidRPr="5F8BC1B5">
              <w:rPr>
                <w:rFonts w:ascii="Verdana" w:eastAsia="Calibri" w:hAnsi="Verdana" w:cs="Arial"/>
              </w:rPr>
              <w:t xml:space="preserve">Decreto </w:t>
            </w:r>
            <w:r>
              <w:rPr>
                <w:rFonts w:ascii="Verdana" w:eastAsia="Calibri" w:hAnsi="Verdana" w:cs="Arial"/>
              </w:rPr>
              <w:t>0</w:t>
            </w:r>
            <w:r w:rsidRPr="5F8BC1B5">
              <w:rPr>
                <w:rFonts w:ascii="Verdana" w:eastAsia="Calibri" w:hAnsi="Verdana" w:cs="Arial"/>
              </w:rPr>
              <w:t>92 de 2017</w:t>
            </w:r>
            <w:r>
              <w:rPr>
                <w:rFonts w:ascii="Verdana" w:eastAsia="Calibri" w:hAnsi="Verdana" w:cs="Arial"/>
              </w:rPr>
              <w:t xml:space="preserve">. </w:t>
            </w:r>
          </w:p>
          <w:p w14:paraId="17CD293E"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Pr>
                <w:rFonts w:ascii="Verdana" w:eastAsia="Calibri" w:hAnsi="Verdana" w:cs="Arial"/>
              </w:rPr>
              <w:t xml:space="preserve">Ley 489 de 1998. Artículo 96. </w:t>
            </w:r>
          </w:p>
          <w:p w14:paraId="34B3EA58"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Consejo de Estado. Sala de lo Contencioso Administrativo. Sección Primera. Sentencia de 3 de marzo de 2005. Radicado: 25001-23-15-000-2004-00823-01 (PI). C.P: Camilo Arciniegas Andrade. </w:t>
            </w:r>
          </w:p>
          <w:p w14:paraId="7531FBFF"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22 de enero de 2002. Radicado: 2001-0148-01</w:t>
            </w:r>
            <w:r>
              <w:rPr>
                <w:rFonts w:ascii="Verdana" w:eastAsia="Arial MT" w:hAnsi="Verdana" w:cs="Arial"/>
                <w:lang w:val="es-CO" w:eastAsia="es-ES" w:bidi="es-ES"/>
              </w:rPr>
              <w:t>.</w:t>
            </w:r>
          </w:p>
          <w:p w14:paraId="199D5129"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20 de noviembre de 2001. Radicado: 2001-0130-01(PI).</w:t>
            </w:r>
          </w:p>
          <w:p w14:paraId="433F5E8C"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Consulta y Servicio Civil de fecha 24 de julio de 2013, radicado 2166, C</w:t>
            </w:r>
            <w:r>
              <w:rPr>
                <w:rFonts w:ascii="Verdana" w:eastAsia="Arial MT" w:hAnsi="Verdana" w:cs="Arial"/>
                <w:lang w:val="es-CO" w:eastAsia="es-ES" w:bidi="es-ES"/>
              </w:rPr>
              <w:t>.P:</w:t>
            </w:r>
            <w:r w:rsidRPr="00FA68B6">
              <w:rPr>
                <w:rFonts w:ascii="Verdana" w:eastAsia="Arial MT" w:hAnsi="Verdana" w:cs="Arial"/>
                <w:lang w:val="es-CO" w:eastAsia="es-ES" w:bidi="es-ES"/>
              </w:rPr>
              <w:t xml:space="preserve"> Álvaro </w:t>
            </w:r>
            <w:proofErr w:type="spellStart"/>
            <w:r w:rsidRPr="00FA68B6">
              <w:rPr>
                <w:rFonts w:ascii="Verdana" w:eastAsia="Arial MT" w:hAnsi="Verdana" w:cs="Arial"/>
                <w:lang w:val="es-CO" w:eastAsia="es-ES" w:bidi="es-ES"/>
              </w:rPr>
              <w:t>Namén</w:t>
            </w:r>
            <w:proofErr w:type="spellEnd"/>
            <w:r w:rsidRPr="00FA68B6">
              <w:rPr>
                <w:rFonts w:ascii="Verdana" w:eastAsia="Arial MT" w:hAnsi="Verdana" w:cs="Arial"/>
                <w:lang w:val="es-CO" w:eastAsia="es-ES" w:bidi="es-ES"/>
              </w:rPr>
              <w:t xml:space="preserve"> Vargas.  </w:t>
            </w:r>
          </w:p>
          <w:p w14:paraId="711AF3BA"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 xml:space="preserve">Consejo de Estado. Sala de Consulta y Servicio Civil. Concepto del 2 de septiembre de 2013. Radicación número: 11001-03-06-000-2013-00412-00 (2168). Consejero Ponente: Álvaro </w:t>
            </w:r>
            <w:proofErr w:type="spellStart"/>
            <w:r w:rsidRPr="00CB71FC">
              <w:rPr>
                <w:rFonts w:ascii="Verdana" w:eastAsia="Arial MT" w:hAnsi="Verdana" w:cs="Arial"/>
                <w:lang w:val="es-CO" w:eastAsia="es-ES" w:bidi="es-ES"/>
              </w:rPr>
              <w:t>Namén</w:t>
            </w:r>
            <w:proofErr w:type="spellEnd"/>
            <w:r w:rsidRPr="00CB71FC">
              <w:rPr>
                <w:rFonts w:ascii="Verdana" w:eastAsia="Arial MT" w:hAnsi="Verdana" w:cs="Arial"/>
                <w:lang w:val="es-CO" w:eastAsia="es-ES" w:bidi="es-ES"/>
              </w:rPr>
              <w:t xml:space="preserve"> Vargas.</w:t>
            </w:r>
          </w:p>
          <w:p w14:paraId="320522BA"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lastRenderedPageBreak/>
              <w:t xml:space="preserve">Consejo de Estado. Sala de Consulta y Servicio Civil, Concepto de 8 de mayo de 2018. Radicación Número: 11001-03-06-000-2018-00095-00(2382). Consejero Ponente: Álvaro </w:t>
            </w:r>
            <w:proofErr w:type="spellStart"/>
            <w:r w:rsidRPr="00CB71FC">
              <w:rPr>
                <w:rFonts w:ascii="Verdana" w:eastAsia="Arial MT" w:hAnsi="Verdana" w:cs="Arial"/>
                <w:lang w:val="es-CO" w:eastAsia="es-ES" w:bidi="es-ES"/>
              </w:rPr>
              <w:t>Namén</w:t>
            </w:r>
            <w:proofErr w:type="spellEnd"/>
            <w:r w:rsidRPr="00CB71FC">
              <w:rPr>
                <w:rFonts w:ascii="Verdana" w:eastAsia="Arial MT" w:hAnsi="Verdana" w:cs="Arial"/>
                <w:lang w:val="es-CO" w:eastAsia="es-ES" w:bidi="es-ES"/>
              </w:rPr>
              <w:t xml:space="preserve"> Vargas.</w:t>
            </w:r>
          </w:p>
          <w:p w14:paraId="0A1212AA" w14:textId="77777777" w:rsidR="005F4C77" w:rsidRDefault="005F4C77" w:rsidP="005F4C77">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Consejo de Estado. Sala de Consulta y Servicio Civil. </w:t>
            </w:r>
            <w:r w:rsidRPr="00CB71FC">
              <w:rPr>
                <w:rFonts w:ascii="Verdana" w:eastAsia="Arial MT" w:hAnsi="Verdana" w:cs="Arial"/>
                <w:lang w:val="es-CO" w:eastAsia="es-ES" w:bidi="es-ES"/>
              </w:rPr>
              <w:t>Concepto del 24 de febrero de 2005. Radicado:1626, C.P. Gloria Duque Hernández.</w:t>
            </w:r>
          </w:p>
          <w:p w14:paraId="7262B61B" w14:textId="77777777" w:rsidR="005F4C77" w:rsidRPr="00A877DF" w:rsidRDefault="005F4C77" w:rsidP="005F4C77">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C- 1153 de 2005, M.P. Marco Gerardo Monroy Cabra.</w:t>
            </w:r>
          </w:p>
        </w:tc>
      </w:tr>
    </w:tbl>
    <w:p w14:paraId="724182B2" w14:textId="77777777" w:rsidR="005F4C77" w:rsidRPr="00FF007A" w:rsidRDefault="005F4C77" w:rsidP="005F4C77">
      <w:pPr>
        <w:widowControl w:val="0"/>
        <w:autoSpaceDE w:val="0"/>
        <w:autoSpaceDN w:val="0"/>
        <w:spacing w:after="0" w:line="276" w:lineRule="auto"/>
        <w:jc w:val="both"/>
        <w:rPr>
          <w:rFonts w:ascii="Verdana" w:hAnsi="Verdana" w:cs="Arial"/>
        </w:rPr>
      </w:pPr>
    </w:p>
    <w:p w14:paraId="563FDC9A" w14:textId="77777777" w:rsidR="005F4C77" w:rsidRPr="00FF007A" w:rsidRDefault="005F4C77" w:rsidP="005F4C77">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6AFED62F" w14:textId="77777777" w:rsidR="005F4C77" w:rsidRPr="00FF007A" w:rsidRDefault="005F4C77" w:rsidP="004513DD">
      <w:pPr>
        <w:widowControl w:val="0"/>
        <w:autoSpaceDE w:val="0"/>
        <w:autoSpaceDN w:val="0"/>
        <w:spacing w:after="0" w:line="276" w:lineRule="auto"/>
        <w:jc w:val="both"/>
        <w:rPr>
          <w:rStyle w:val="normaltextrun"/>
          <w:rFonts w:ascii="Verdana" w:hAnsi="Verdana" w:cs="Arial"/>
          <w:shd w:val="clear" w:color="auto" w:fill="FFFFFF"/>
        </w:rPr>
      </w:pPr>
    </w:p>
    <w:p w14:paraId="4D6BCBE6" w14:textId="3A145A33" w:rsidR="005F4C77" w:rsidRDefault="005F4C77" w:rsidP="009A4996">
      <w:pPr>
        <w:widowControl w:val="0"/>
        <w:autoSpaceDE w:val="0"/>
        <w:autoSpaceDN w:val="0"/>
        <w:spacing w:after="0" w:line="276" w:lineRule="auto"/>
        <w:jc w:val="both"/>
        <w:rPr>
          <w:rFonts w:ascii="Verdana" w:hAnsi="Verdana" w:cs="Arial"/>
          <w:color w:val="000000" w:themeColor="text1"/>
          <w:shd w:val="clear" w:color="auto" w:fill="FFFFFF"/>
        </w:rPr>
      </w:pPr>
      <w:r>
        <w:rPr>
          <w:rFonts w:ascii="Verdana" w:hAnsi="Verdana" w:cs="Arial"/>
          <w:shd w:val="clear" w:color="auto" w:fill="FFFFFF"/>
          <w:lang w:val="es-ES"/>
        </w:rPr>
        <w:t xml:space="preserve">Sobre la aplicación de la Ley de garantías en el marco de la celebración de contratos del artículo 355 de la Constitución Política y los convenios de asociación del Decreto 092 de 2017, la Subdirección se ha pronunciado en los conceptos C-584 del 24 de junio de 2025, C-986 del 23 de agosto de 2025, C-1015 del 4 de septiembre de 2025, C-1186 del 19 de septiembre de 2025, entre otros entre otros. </w:t>
      </w:r>
      <w:r w:rsidRPr="00FF007A">
        <w:rPr>
          <w:rFonts w:ascii="Verdana" w:hAnsi="Verdana" w:cs="Arial"/>
        </w:rPr>
        <w:t xml:space="preserve">Estos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1" w:history="1">
        <w:r w:rsidRPr="004A4F18">
          <w:rPr>
            <w:rFonts w:ascii="Verdana" w:hAnsi="Verdana" w:cs="Arial"/>
            <w:color w:val="0563C1" w:themeColor="hyperlink"/>
            <w:u w:val="single"/>
            <w:shd w:val="clear" w:color="auto" w:fill="FFFFFF"/>
          </w:rPr>
          <w:t>https://relatoria.colombiacompra.gov.co/busqueda/conceptos</w:t>
        </w:r>
      </w:hyperlink>
      <w:r w:rsidRPr="004A4F18">
        <w:rPr>
          <w:rFonts w:ascii="Verdana" w:hAnsi="Verdana" w:cs="Arial"/>
          <w:shd w:val="clear" w:color="auto" w:fill="FFFFFF"/>
        </w:rPr>
        <w:t>.</w:t>
      </w:r>
      <w:r w:rsidRPr="009A4996">
        <w:rPr>
          <w:rFonts w:ascii="Verdana" w:hAnsi="Verdana" w:cs="Arial"/>
          <w:color w:val="FF0000"/>
          <w:shd w:val="clear" w:color="auto" w:fill="FFFFFF"/>
        </w:rPr>
        <w:t xml:space="preserve"> </w:t>
      </w:r>
      <w:r w:rsidRPr="009A4996">
        <w:rPr>
          <w:rFonts w:ascii="Verdana" w:hAnsi="Verdana" w:cs="Arial"/>
          <w:color w:val="000000" w:themeColor="text1"/>
          <w:shd w:val="clear" w:color="auto" w:fill="FFFFFF"/>
        </w:rPr>
        <w:t> </w:t>
      </w:r>
    </w:p>
    <w:p w14:paraId="39D51CA9" w14:textId="77777777" w:rsidR="009A4996" w:rsidRPr="009A4996" w:rsidRDefault="009A4996" w:rsidP="004513DD">
      <w:pPr>
        <w:widowControl w:val="0"/>
        <w:autoSpaceDE w:val="0"/>
        <w:autoSpaceDN w:val="0"/>
        <w:spacing w:after="0" w:line="276" w:lineRule="auto"/>
        <w:jc w:val="both"/>
        <w:rPr>
          <w:rFonts w:ascii="Verdana" w:eastAsia="Calibri" w:hAnsi="Verdana" w:cs="Arial"/>
          <w:color w:val="000000" w:themeColor="text1"/>
          <w:lang w:eastAsia="es-ES_tradnl"/>
        </w:rPr>
      </w:pPr>
    </w:p>
    <w:p w14:paraId="3B7A1617" w14:textId="77777777" w:rsidR="005F4C77" w:rsidRPr="00FB6C33" w:rsidRDefault="005F4C77" w:rsidP="004513DD">
      <w:pPr>
        <w:spacing w:after="0" w:line="276" w:lineRule="auto"/>
        <w:jc w:val="both"/>
        <w:rPr>
          <w:rFonts w:ascii="Verdana" w:hAnsi="Verdana"/>
        </w:rPr>
      </w:pPr>
      <w:bookmarkStart w:id="19" w:name="_Hlk197462763"/>
      <w:bookmarkStart w:id="20" w:name="_Hlk197529996"/>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5AE3A89" w14:textId="77777777" w:rsidR="005F4C77" w:rsidRPr="008E4F36" w:rsidRDefault="005F4C77" w:rsidP="005F4C77">
      <w:pPr>
        <w:spacing w:after="0" w:line="276" w:lineRule="auto"/>
        <w:jc w:val="both"/>
        <w:rPr>
          <w:rFonts w:ascii="Verdana" w:eastAsia="Calibri" w:hAnsi="Verdana" w:cs="Times New Roman"/>
        </w:rPr>
      </w:pPr>
    </w:p>
    <w:p w14:paraId="18086CDE" w14:textId="77777777" w:rsidR="005F4C77" w:rsidRDefault="005F4C77" w:rsidP="005F4C77">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164544FC" w14:textId="77777777" w:rsidR="005F4C77" w:rsidRPr="004513DD" w:rsidRDefault="005F4C77" w:rsidP="005F4C77">
      <w:pPr>
        <w:spacing w:after="0" w:line="256" w:lineRule="auto"/>
        <w:rPr>
          <w:rFonts w:ascii="Verdana" w:eastAsia="Times New Roman" w:hAnsi="Verdana" w:cs="Arial"/>
          <w:sz w:val="24"/>
          <w:szCs w:val="24"/>
        </w:rPr>
      </w:pPr>
    </w:p>
    <w:bookmarkEnd w:id="19"/>
    <w:bookmarkEnd w:id="20"/>
    <w:p w14:paraId="7A744432" w14:textId="0E2E7973" w:rsidR="005F4C77" w:rsidRDefault="008767AE" w:rsidP="005F4C77">
      <w:pPr>
        <w:spacing w:after="0" w:line="276" w:lineRule="auto"/>
        <w:jc w:val="center"/>
        <w:rPr>
          <w:rFonts w:ascii="Verdana" w:hAnsi="Verdana"/>
          <w:lang w:val="es-ES_tradnl"/>
        </w:rPr>
      </w:pPr>
      <w:r>
        <w:rPr>
          <w:rFonts w:ascii="Verdana" w:hAnsi="Verdana"/>
          <w:noProof/>
          <w:lang w:val="es-ES_tradnl"/>
        </w:rPr>
        <w:drawing>
          <wp:inline distT="0" distB="0" distL="0" distR="0" wp14:anchorId="27F5F62A" wp14:editId="2C4677F9">
            <wp:extent cx="3639058" cy="1343212"/>
            <wp:effectExtent l="0" t="0" r="0" b="0"/>
            <wp:docPr id="175213311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133110"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F4C77" w:rsidRPr="00D53651" w14:paraId="59E2585C" w14:textId="77777777" w:rsidTr="007B562E">
        <w:trPr>
          <w:trHeight w:val="315"/>
        </w:trPr>
        <w:tc>
          <w:tcPr>
            <w:tcW w:w="893" w:type="dxa"/>
            <w:vAlign w:val="center"/>
            <w:hideMark/>
          </w:tcPr>
          <w:p w14:paraId="59692B66" w14:textId="77777777" w:rsidR="005F4C77" w:rsidRPr="00D53651" w:rsidRDefault="005F4C77" w:rsidP="007B562E">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32B2BE00" w14:textId="77777777" w:rsidR="005F4C77" w:rsidRPr="00D53651" w:rsidRDefault="005F4C77" w:rsidP="007B562E">
            <w:pPr>
              <w:spacing w:line="276" w:lineRule="auto"/>
              <w:jc w:val="both"/>
              <w:rPr>
                <w:rFonts w:ascii="Verdana" w:hAnsi="Verdana"/>
                <w:sz w:val="16"/>
                <w:szCs w:val="16"/>
              </w:rPr>
            </w:pPr>
            <w:r>
              <w:rPr>
                <w:rFonts w:ascii="Verdana" w:hAnsi="Verdana"/>
                <w:sz w:val="16"/>
                <w:szCs w:val="16"/>
              </w:rPr>
              <w:t>Gloria Elizabeth Arango Builes</w:t>
            </w:r>
          </w:p>
          <w:p w14:paraId="0E2FC697" w14:textId="77777777" w:rsidR="005F4C77" w:rsidRPr="00D53651" w:rsidRDefault="005F4C77" w:rsidP="007B562E">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5F4C77" w:rsidRPr="00D53651" w14:paraId="1493FF94" w14:textId="77777777" w:rsidTr="007B562E">
        <w:trPr>
          <w:trHeight w:val="330"/>
        </w:trPr>
        <w:tc>
          <w:tcPr>
            <w:tcW w:w="893" w:type="dxa"/>
            <w:vAlign w:val="center"/>
            <w:hideMark/>
          </w:tcPr>
          <w:p w14:paraId="5B64A287" w14:textId="77777777" w:rsidR="005F4C77" w:rsidRPr="00D53651" w:rsidRDefault="005F4C77" w:rsidP="007B562E">
            <w:pPr>
              <w:spacing w:line="276" w:lineRule="auto"/>
              <w:jc w:val="both"/>
              <w:rPr>
                <w:rFonts w:ascii="Verdana" w:hAnsi="Verdana"/>
                <w:sz w:val="16"/>
                <w:szCs w:val="16"/>
              </w:rPr>
            </w:pPr>
            <w:r w:rsidRPr="00D53651">
              <w:rPr>
                <w:rFonts w:ascii="Verdana" w:hAnsi="Verdana"/>
                <w:sz w:val="16"/>
                <w:szCs w:val="16"/>
              </w:rPr>
              <w:lastRenderedPageBreak/>
              <w:t>Revisó:</w:t>
            </w:r>
          </w:p>
        </w:tc>
        <w:tc>
          <w:tcPr>
            <w:tcW w:w="5628" w:type="dxa"/>
            <w:tcBorders>
              <w:top w:val="dotted" w:sz="4" w:space="0" w:color="7F7F7F"/>
              <w:left w:val="nil"/>
              <w:bottom w:val="dotted" w:sz="4" w:space="0" w:color="7F7F7F"/>
              <w:right w:val="nil"/>
            </w:tcBorders>
            <w:vAlign w:val="center"/>
            <w:hideMark/>
          </w:tcPr>
          <w:p w14:paraId="3EBBFE78" w14:textId="77777777" w:rsidR="005F4C77" w:rsidRPr="00D53651" w:rsidRDefault="005F4C77" w:rsidP="007B562E">
            <w:pPr>
              <w:spacing w:line="276" w:lineRule="auto"/>
              <w:jc w:val="both"/>
              <w:rPr>
                <w:rFonts w:ascii="Verdana" w:hAnsi="Verdana"/>
                <w:sz w:val="16"/>
                <w:szCs w:val="16"/>
              </w:rPr>
            </w:pPr>
            <w:r>
              <w:rPr>
                <w:rFonts w:ascii="Verdana" w:hAnsi="Verdana"/>
                <w:sz w:val="16"/>
                <w:szCs w:val="16"/>
              </w:rPr>
              <w:t>Diana Lucía Saavedra Castañeda</w:t>
            </w:r>
          </w:p>
          <w:p w14:paraId="4D1E0AE0" w14:textId="77777777" w:rsidR="005F4C77" w:rsidRPr="00D53651" w:rsidRDefault="005F4C77" w:rsidP="007B562E">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5F4C77" w:rsidRPr="00D53651" w14:paraId="328B1C72" w14:textId="77777777" w:rsidTr="007B562E">
        <w:trPr>
          <w:trHeight w:val="300"/>
        </w:trPr>
        <w:tc>
          <w:tcPr>
            <w:tcW w:w="893" w:type="dxa"/>
            <w:vAlign w:val="center"/>
            <w:hideMark/>
          </w:tcPr>
          <w:p w14:paraId="0CC0A031" w14:textId="77777777" w:rsidR="005F4C77" w:rsidRPr="00D53651" w:rsidRDefault="005F4C77" w:rsidP="007B562E">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4CE3FF5" w14:textId="77777777" w:rsidR="005F4C77" w:rsidRPr="00D53651" w:rsidRDefault="005F4C77" w:rsidP="007B562E">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077870C6" w14:textId="77777777" w:rsidR="005F4C77" w:rsidRPr="00D53651" w:rsidRDefault="005F4C77" w:rsidP="007B562E">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1DCF03F4" w14:textId="77777777" w:rsidR="005F4C77" w:rsidRPr="004513DD" w:rsidRDefault="005F4C77" w:rsidP="005F4C77">
      <w:pPr>
        <w:rPr>
          <w:rFonts w:ascii="Verdana" w:hAnsi="Verdana"/>
        </w:rPr>
      </w:pPr>
    </w:p>
    <w:p w14:paraId="29D76682" w14:textId="77777777" w:rsidR="005F4C77" w:rsidRPr="0044528D" w:rsidRDefault="005F4C77" w:rsidP="005F4C77">
      <w:pPr>
        <w:spacing w:after="0"/>
        <w:rPr>
          <w:rFonts w:ascii="Verdana" w:hAnsi="Verdana"/>
        </w:rPr>
      </w:pPr>
    </w:p>
    <w:p w14:paraId="47844BEA" w14:textId="77777777" w:rsidR="005F4C77" w:rsidRPr="004513DD" w:rsidRDefault="005F4C77" w:rsidP="005F4C77">
      <w:pPr>
        <w:rPr>
          <w:rFonts w:ascii="Verdana" w:hAnsi="Verdana"/>
        </w:rPr>
      </w:pPr>
    </w:p>
    <w:p w14:paraId="0F293BF4" w14:textId="6399B817" w:rsidR="00127233" w:rsidRPr="004513DD" w:rsidRDefault="00127233" w:rsidP="005F4C77">
      <w:pPr>
        <w:rPr>
          <w:rFonts w:ascii="Verdana" w:hAnsi="Verdana"/>
        </w:rPr>
      </w:pPr>
    </w:p>
    <w:sectPr w:rsidR="00127233" w:rsidRPr="004513DD"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CA908" w14:textId="77777777" w:rsidR="009E3E0D" w:rsidRDefault="009E3E0D" w:rsidP="004A1847">
      <w:pPr>
        <w:spacing w:after="0" w:line="240" w:lineRule="auto"/>
      </w:pPr>
      <w:r>
        <w:separator/>
      </w:r>
    </w:p>
  </w:endnote>
  <w:endnote w:type="continuationSeparator" w:id="0">
    <w:p w14:paraId="5346ECEE" w14:textId="77777777" w:rsidR="009E3E0D" w:rsidRDefault="009E3E0D" w:rsidP="004A1847">
      <w:pPr>
        <w:spacing w:after="0" w:line="240" w:lineRule="auto"/>
      </w:pPr>
      <w:r>
        <w:continuationSeparator/>
      </w:r>
    </w:p>
  </w:endnote>
  <w:endnote w:type="continuationNotice" w:id="1">
    <w:p w14:paraId="0432A504" w14:textId="77777777" w:rsidR="009E3E0D" w:rsidRDefault="009E3E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A0825" w14:textId="77777777" w:rsidR="009E3E0D" w:rsidRDefault="009E3E0D" w:rsidP="004A1847">
      <w:pPr>
        <w:spacing w:after="0" w:line="240" w:lineRule="auto"/>
      </w:pPr>
      <w:r>
        <w:separator/>
      </w:r>
    </w:p>
  </w:footnote>
  <w:footnote w:type="continuationSeparator" w:id="0">
    <w:p w14:paraId="3450A35F" w14:textId="77777777" w:rsidR="009E3E0D" w:rsidRDefault="009E3E0D" w:rsidP="004A1847">
      <w:pPr>
        <w:spacing w:after="0" w:line="240" w:lineRule="auto"/>
      </w:pPr>
      <w:r>
        <w:continuationSeparator/>
      </w:r>
    </w:p>
  </w:footnote>
  <w:footnote w:type="continuationNotice" w:id="1">
    <w:p w14:paraId="2EE84962" w14:textId="77777777" w:rsidR="009E3E0D" w:rsidRDefault="009E3E0D">
      <w:pPr>
        <w:spacing w:after="0" w:line="240" w:lineRule="auto"/>
      </w:pPr>
    </w:p>
  </w:footnote>
  <w:footnote w:id="2">
    <w:p w14:paraId="210EA448" w14:textId="77777777" w:rsidR="005F4C77" w:rsidRPr="00D42A84" w:rsidRDefault="005F4C77" w:rsidP="005F4C77">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Gaceta del Congreso de la República No. 71 del 2005.</w:t>
      </w:r>
    </w:p>
    <w:p w14:paraId="49C1118F" w14:textId="77777777" w:rsidR="005F4C77" w:rsidRPr="00D42A84" w:rsidRDefault="005F4C77" w:rsidP="005F4C77">
      <w:pPr>
        <w:pStyle w:val="Textonotapie"/>
        <w:ind w:firstLine="709"/>
        <w:rPr>
          <w:rFonts w:ascii="Verdana" w:hAnsi="Verdana" w:cs="Arial"/>
          <w:sz w:val="16"/>
          <w:szCs w:val="16"/>
        </w:rPr>
      </w:pPr>
    </w:p>
  </w:footnote>
  <w:footnote w:id="3">
    <w:p w14:paraId="0ECB65A8" w14:textId="77777777" w:rsidR="005F4C77" w:rsidRDefault="005F4C77" w:rsidP="005F4C77">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Corte Constitucional, Sentencia C- 1153 de 2005, M.P. Marco Gerardo Monroy Cabra.</w:t>
      </w:r>
    </w:p>
    <w:p w14:paraId="2C07952E" w14:textId="77777777" w:rsidR="005F4C77" w:rsidRPr="002817AD" w:rsidRDefault="005F4C77" w:rsidP="005F4C77">
      <w:pPr>
        <w:pStyle w:val="Textonotapie"/>
        <w:ind w:firstLine="709"/>
        <w:rPr>
          <w:rFonts w:ascii="Verdana" w:hAnsi="Verdana" w:cs="Arial"/>
          <w:sz w:val="16"/>
          <w:szCs w:val="16"/>
        </w:rPr>
      </w:pPr>
    </w:p>
  </w:footnote>
  <w:footnote w:id="4">
    <w:p w14:paraId="39F2D390" w14:textId="77777777" w:rsidR="005F4C77" w:rsidRPr="00D42A84" w:rsidRDefault="005F4C77" w:rsidP="005F4C77">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33AB0A96" w14:textId="77777777" w:rsidR="005F4C77" w:rsidRPr="00D42A84" w:rsidRDefault="005F4C77" w:rsidP="005F4C77">
      <w:pPr>
        <w:pStyle w:val="Textonotapie"/>
        <w:ind w:firstLine="709"/>
        <w:jc w:val="both"/>
        <w:rPr>
          <w:rFonts w:ascii="Verdana" w:hAnsi="Verdana" w:cs="Arial"/>
          <w:sz w:val="16"/>
          <w:szCs w:val="16"/>
        </w:rPr>
      </w:pPr>
    </w:p>
  </w:footnote>
  <w:footnote w:id="5">
    <w:p w14:paraId="43C1FD13" w14:textId="77777777" w:rsidR="005F4C77" w:rsidRPr="00D42A84" w:rsidRDefault="005F4C77" w:rsidP="005F4C77">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Radicado: 2001-0148-01 y, Consejo de Estado. Sala de lo Contencioso Administrativo. Sección Tercera. Sentencia de 20 de noviembre de 2001. Radicado: 2001-0130-01(PI), entre otras.</w:t>
      </w:r>
    </w:p>
    <w:p w14:paraId="0416A0EA" w14:textId="77777777" w:rsidR="005F4C77" w:rsidRPr="00D42A84" w:rsidRDefault="005F4C77" w:rsidP="005F4C77">
      <w:pPr>
        <w:pStyle w:val="Textonotapie"/>
        <w:ind w:firstLine="709"/>
        <w:jc w:val="both"/>
        <w:rPr>
          <w:rFonts w:ascii="Verdana" w:hAnsi="Verdana" w:cs="Arial"/>
          <w:sz w:val="16"/>
          <w:szCs w:val="16"/>
          <w:lang w:val="es-CO"/>
        </w:rPr>
      </w:pPr>
    </w:p>
  </w:footnote>
  <w:footnote w:id="6">
    <w:p w14:paraId="7327F0C5" w14:textId="77777777" w:rsidR="005F4C77" w:rsidRPr="002817AD" w:rsidRDefault="005F4C77" w:rsidP="005F4C77">
      <w:pPr>
        <w:pStyle w:val="Textonotapie"/>
        <w:ind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Consejo de Estado, Sala de Consulta y Servicio Civil de fecha 24 de julio de 2013, radicado 2166, Consejero Ponente: Álvaro Namén Vargas</w:t>
      </w:r>
      <w:r w:rsidRPr="002817AD">
        <w:rPr>
          <w:rFonts w:ascii="Verdana" w:hAnsi="Verdana" w:cs="Arial"/>
          <w:sz w:val="16"/>
          <w:szCs w:val="16"/>
        </w:rPr>
        <w:t xml:space="preserve">.  </w:t>
      </w:r>
    </w:p>
    <w:p w14:paraId="5E4CA582" w14:textId="77777777" w:rsidR="005F4C77" w:rsidRPr="002817AD" w:rsidRDefault="005F4C77" w:rsidP="005F4C77">
      <w:pPr>
        <w:pStyle w:val="Textonotapie"/>
        <w:ind w:firstLine="709"/>
        <w:jc w:val="both"/>
        <w:rPr>
          <w:rFonts w:ascii="Verdana" w:hAnsi="Verdana" w:cs="Arial"/>
          <w:sz w:val="16"/>
          <w:szCs w:val="16"/>
        </w:rPr>
      </w:pPr>
    </w:p>
  </w:footnote>
  <w:footnote w:id="7">
    <w:p w14:paraId="3D765474" w14:textId="77777777" w:rsidR="005F4C77" w:rsidRPr="00D42A84" w:rsidRDefault="005F4C77" w:rsidP="005F4C77">
      <w:pPr>
        <w:spacing w:after="0" w:line="240" w:lineRule="auto"/>
        <w:ind w:firstLine="709"/>
        <w:jc w:val="both"/>
        <w:rPr>
          <w:rFonts w:ascii="Verdana" w:eastAsia="Times New Roman"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2" w:name="33"/>
      <w:r w:rsidRPr="00D42A84">
        <w:rPr>
          <w:rFonts w:ascii="Verdana" w:eastAsia="Times New Roman" w:hAnsi="Verdana" w:cs="Arial"/>
          <w:sz w:val="16"/>
          <w:szCs w:val="16"/>
        </w:rPr>
        <w:t>Artículo 33. Restricciones a la contratación pública.</w:t>
      </w:r>
      <w:bookmarkEnd w:id="2"/>
      <w:r w:rsidRPr="00D42A84">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F92B303" w14:textId="77777777" w:rsidR="005F4C77" w:rsidRPr="00D42A84" w:rsidRDefault="005F4C77" w:rsidP="005F4C77">
      <w:pPr>
        <w:spacing w:after="0" w:line="240" w:lineRule="auto"/>
        <w:ind w:firstLine="709"/>
        <w:jc w:val="both"/>
        <w:rPr>
          <w:rFonts w:ascii="Verdana" w:eastAsia="Times New Roman" w:hAnsi="Verdana" w:cs="Arial"/>
          <w:sz w:val="16"/>
          <w:szCs w:val="16"/>
        </w:rPr>
      </w:pPr>
    </w:p>
    <w:p w14:paraId="39EA883B" w14:textId="77777777" w:rsidR="005F4C77" w:rsidRPr="00D42A84" w:rsidRDefault="005F4C77" w:rsidP="005F4C77">
      <w:pPr>
        <w:spacing w:after="0" w:line="240" w:lineRule="auto"/>
        <w:ind w:firstLine="709"/>
        <w:jc w:val="both"/>
        <w:rPr>
          <w:rFonts w:ascii="Verdana" w:eastAsia="Times New Roman" w:hAnsi="Verdana" w:cs="Arial"/>
          <w:sz w:val="16"/>
          <w:szCs w:val="16"/>
        </w:rPr>
      </w:pPr>
      <w:r w:rsidRPr="00D42A84">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57908EF" w14:textId="77777777" w:rsidR="005F4C77" w:rsidRPr="00D42A84" w:rsidRDefault="005F4C77" w:rsidP="005F4C77">
      <w:pPr>
        <w:spacing w:after="0" w:line="240" w:lineRule="auto"/>
        <w:ind w:firstLine="709"/>
        <w:jc w:val="both"/>
        <w:rPr>
          <w:rFonts w:ascii="Verdana" w:eastAsia="Times New Roman" w:hAnsi="Verdana" w:cs="Arial"/>
          <w:sz w:val="16"/>
          <w:szCs w:val="16"/>
        </w:rPr>
      </w:pPr>
    </w:p>
  </w:footnote>
  <w:footnote w:id="8">
    <w:p w14:paraId="3F58C04C" w14:textId="77777777" w:rsidR="005F4C77" w:rsidRDefault="005F4C77" w:rsidP="005F4C77">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ES"/>
        </w:rPr>
        <w:t xml:space="preserve">[25] </w:t>
      </w:r>
      <w:r w:rsidRPr="00D42A84">
        <w:rPr>
          <w:rFonts w:ascii="Verdana" w:hAnsi="Verdana" w:cs="Arial"/>
          <w:sz w:val="16"/>
          <w:szCs w:val="16"/>
        </w:rPr>
        <w:t>Cfr. Consejo de Estado. Sección Tercera. Sentencia de 3 de diciembre de 2007. Radicados: 24.715, 25.206, 25.409, 24.524, 27.834, 25.410, 26.105, 28.244, 31.447 -acumulados-”.</w:t>
      </w:r>
    </w:p>
    <w:p w14:paraId="4AD5E6AB" w14:textId="77777777" w:rsidR="005F4C77" w:rsidRPr="00D42A84" w:rsidRDefault="005F4C77" w:rsidP="005F4C77">
      <w:pPr>
        <w:pStyle w:val="Textonotapie"/>
        <w:ind w:right="51" w:firstLine="709"/>
        <w:contextualSpacing/>
        <w:jc w:val="both"/>
        <w:rPr>
          <w:rFonts w:ascii="Verdana" w:hAnsi="Verdana" w:cs="Arial"/>
          <w:sz w:val="16"/>
          <w:szCs w:val="16"/>
        </w:rPr>
      </w:pPr>
    </w:p>
  </w:footnote>
  <w:footnote w:id="9">
    <w:p w14:paraId="0AFF1DC5" w14:textId="77777777" w:rsidR="005F4C77" w:rsidRPr="00D42A84" w:rsidRDefault="005F4C77" w:rsidP="005F4C77">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5" w:name="_Hlk74294506"/>
      <w:r w:rsidRPr="00D42A84">
        <w:rPr>
          <w:rFonts w:ascii="Verdana" w:hAnsi="Verdana" w:cs="Arial"/>
          <w:sz w:val="16"/>
          <w:szCs w:val="16"/>
        </w:rPr>
        <w:t>“</w:t>
      </w:r>
      <w:r>
        <w:rPr>
          <w:rFonts w:ascii="Verdana" w:hAnsi="Verdana" w:cs="Arial"/>
          <w:sz w:val="16"/>
          <w:szCs w:val="16"/>
        </w:rPr>
        <w:t>(</w:t>
      </w:r>
      <w:r w:rsidRPr="00D42A84">
        <w:rPr>
          <w:rFonts w:ascii="Verdana" w:hAnsi="Verdana" w:cs="Arial"/>
          <w:sz w:val="16"/>
          <w:szCs w:val="16"/>
          <w:lang w:val="es-ES"/>
        </w:rPr>
        <w:t>26</w:t>
      </w:r>
      <w:r>
        <w:rPr>
          <w:rFonts w:ascii="Verdana" w:hAnsi="Verdana" w:cs="Arial"/>
          <w:sz w:val="16"/>
          <w:szCs w:val="16"/>
          <w:lang w:val="es-ES"/>
        </w:rPr>
        <w:t>)</w:t>
      </w:r>
      <w:r w:rsidRPr="00D42A84">
        <w:rPr>
          <w:rFonts w:ascii="Verdana" w:hAnsi="Verdana" w:cs="Arial"/>
          <w:sz w:val="16"/>
          <w:szCs w:val="16"/>
          <w:lang w:val="es-ES"/>
        </w:rPr>
        <w:t xml:space="preserve"> </w:t>
      </w:r>
      <w:bookmarkEnd w:id="5"/>
      <w:r w:rsidRPr="00D42A84">
        <w:rPr>
          <w:rFonts w:ascii="Verdana" w:hAnsi="Verdana" w:cs="Arial"/>
          <w:sz w:val="16"/>
          <w:szCs w:val="16"/>
        </w:rPr>
        <w:t>Al respecto ver el concepto 1712 de 2 de febrero de 2006. Consejo de Estado Sala de Consulta y Servicio Civil”.</w:t>
      </w:r>
    </w:p>
    <w:p w14:paraId="7825B467" w14:textId="77777777" w:rsidR="005F4C77" w:rsidRPr="00B93D47" w:rsidRDefault="005F4C77" w:rsidP="005F4C77">
      <w:pPr>
        <w:pStyle w:val="Textonotapie"/>
        <w:ind w:right="51" w:firstLine="709"/>
        <w:contextualSpacing/>
        <w:jc w:val="both"/>
        <w:rPr>
          <w:rFonts w:ascii="Verdana" w:hAnsi="Verdana" w:cs="Arial"/>
          <w:sz w:val="16"/>
          <w:szCs w:val="16"/>
        </w:rPr>
      </w:pPr>
    </w:p>
  </w:footnote>
  <w:footnote w:id="10">
    <w:p w14:paraId="5986C934" w14:textId="77777777" w:rsidR="005F4C77" w:rsidRPr="00B93D47" w:rsidRDefault="005F4C77" w:rsidP="005F4C77">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22E1BE69" w14:textId="77777777" w:rsidR="005F4C77" w:rsidRPr="00B93D47" w:rsidRDefault="005F4C77" w:rsidP="005F4C77">
      <w:pPr>
        <w:pStyle w:val="Textonotapie"/>
        <w:ind w:firstLine="709"/>
        <w:contextualSpacing/>
        <w:jc w:val="both"/>
        <w:rPr>
          <w:rFonts w:ascii="Verdana" w:hAnsi="Verdana" w:cs="Arial"/>
          <w:sz w:val="16"/>
          <w:szCs w:val="16"/>
        </w:rPr>
      </w:pPr>
    </w:p>
  </w:footnote>
  <w:footnote w:id="11">
    <w:p w14:paraId="495298E9" w14:textId="77777777" w:rsidR="005F4C77" w:rsidRPr="00B93D47" w:rsidRDefault="005F4C77" w:rsidP="005F4C77">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12">
    <w:p w14:paraId="00C10986" w14:textId="77777777" w:rsidR="005F4C77" w:rsidRPr="00B93D47" w:rsidRDefault="005F4C77" w:rsidP="005F4C77">
      <w:pPr>
        <w:pStyle w:val="Textonotapie"/>
        <w:ind w:firstLine="709"/>
        <w:contextualSpacing/>
        <w:jc w:val="both"/>
        <w:rPr>
          <w:rFonts w:ascii="Verdana" w:hAnsi="Verdana" w:cs="Arial"/>
          <w:sz w:val="16"/>
          <w:szCs w:val="16"/>
        </w:rPr>
      </w:pPr>
    </w:p>
    <w:p w14:paraId="08971C38" w14:textId="77777777" w:rsidR="005F4C77" w:rsidRDefault="005F4C77" w:rsidP="005F4C77">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p w14:paraId="28224F36" w14:textId="77777777" w:rsidR="005F4C77" w:rsidRPr="00B93D47" w:rsidRDefault="005F4C77" w:rsidP="005F4C77">
      <w:pPr>
        <w:pStyle w:val="Textonotapie"/>
        <w:ind w:firstLine="709"/>
        <w:contextualSpacing/>
        <w:jc w:val="both"/>
        <w:rPr>
          <w:rFonts w:ascii="Verdana" w:hAnsi="Verdana" w:cs="Arial"/>
          <w:sz w:val="16"/>
          <w:szCs w:val="16"/>
          <w:lang w:val="es-ES"/>
        </w:rPr>
      </w:pPr>
    </w:p>
  </w:footnote>
  <w:footnote w:id="13">
    <w:p w14:paraId="474598CE" w14:textId="77777777" w:rsidR="005F4C77" w:rsidRDefault="005F4C77" w:rsidP="005F4C77">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w:t>
      </w:r>
      <w:r>
        <w:rPr>
          <w:rFonts w:ascii="Verdana" w:hAnsi="Verdana" w:cs="Arial"/>
          <w:sz w:val="16"/>
          <w:szCs w:val="16"/>
          <w:lang w:val="es-ES"/>
        </w:rPr>
        <w:t xml:space="preserve">(…) </w:t>
      </w:r>
      <w:r w:rsidRPr="00B93D47">
        <w:rPr>
          <w:rFonts w:ascii="Verdana" w:hAnsi="Verdana" w:cs="Arial"/>
          <w:sz w:val="16"/>
          <w:szCs w:val="16"/>
          <w:lang w:val="es-ES"/>
        </w:rPr>
        <w:t xml:space="preserve">A este respecto, cabe recordar que el artículo 860 del Código de Comercio regula la licitación en el derecho privado”. </w:t>
      </w:r>
    </w:p>
    <w:p w14:paraId="5403F249" w14:textId="77777777" w:rsidR="005F4C77" w:rsidRPr="00B93D47" w:rsidRDefault="005F4C77" w:rsidP="005F4C77">
      <w:pPr>
        <w:pStyle w:val="Textonotapie"/>
        <w:ind w:firstLine="709"/>
        <w:contextualSpacing/>
        <w:jc w:val="both"/>
        <w:rPr>
          <w:rFonts w:ascii="Verdana" w:hAnsi="Verdana" w:cs="Arial"/>
          <w:sz w:val="16"/>
          <w:szCs w:val="16"/>
          <w:lang w:val="es-ES"/>
        </w:rPr>
      </w:pPr>
    </w:p>
  </w:footnote>
  <w:footnote w:id="14">
    <w:p w14:paraId="3672BBC7" w14:textId="77777777" w:rsidR="005F4C77" w:rsidRPr="00B93D47" w:rsidRDefault="005F4C77" w:rsidP="005F4C77">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5">
    <w:p w14:paraId="6A9A924A" w14:textId="77777777" w:rsidR="005F4C77" w:rsidRDefault="005F4C77" w:rsidP="005F4C77">
      <w:pPr>
        <w:pStyle w:val="Textonotapie"/>
        <w:contextualSpacing/>
        <w:jc w:val="both"/>
        <w:rPr>
          <w:rFonts w:ascii="Verdana" w:hAnsi="Verdana" w:cs="Arial"/>
          <w:sz w:val="16"/>
          <w:szCs w:val="16"/>
        </w:rPr>
      </w:pPr>
    </w:p>
    <w:p w14:paraId="46EB0849" w14:textId="77777777" w:rsidR="005F4C77" w:rsidRDefault="005F4C77" w:rsidP="005F4C77">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Pr>
          <w:rFonts w:ascii="Verdana" w:hAnsi="Verdana" w:cs="Arial"/>
          <w:sz w:val="16"/>
          <w:szCs w:val="16"/>
        </w:rPr>
        <w:t xml:space="preserve">Ibidem </w:t>
      </w:r>
    </w:p>
    <w:p w14:paraId="41A9A579" w14:textId="77777777" w:rsidR="005F4C77" w:rsidRPr="00B93D47" w:rsidRDefault="005F4C77" w:rsidP="005F4C77">
      <w:pPr>
        <w:pStyle w:val="Textonotapie"/>
        <w:ind w:firstLine="709"/>
        <w:contextualSpacing/>
        <w:jc w:val="both"/>
        <w:rPr>
          <w:rFonts w:ascii="Verdana" w:hAnsi="Verdana" w:cs="Arial"/>
          <w:sz w:val="16"/>
          <w:szCs w:val="16"/>
        </w:rPr>
      </w:pPr>
    </w:p>
  </w:footnote>
  <w:footnote w:id="16">
    <w:p w14:paraId="243DDB57" w14:textId="77777777" w:rsidR="005F4C77" w:rsidRPr="00B93D47" w:rsidRDefault="005F4C77" w:rsidP="005F4C77">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7">
    <w:p w14:paraId="72F45483" w14:textId="77777777" w:rsidR="00382CF7" w:rsidRPr="00B36BA8" w:rsidRDefault="00382CF7" w:rsidP="00382CF7">
      <w:pPr>
        <w:pStyle w:val="Textonotapie"/>
        <w:ind w:firstLine="709"/>
        <w:contextualSpacing/>
        <w:jc w:val="both"/>
        <w:rPr>
          <w:rFonts w:ascii="Verdana" w:hAnsi="Verdana" w:cs="Arial"/>
          <w:sz w:val="18"/>
          <w:szCs w:val="18"/>
        </w:rPr>
      </w:pPr>
      <w:r w:rsidRPr="00B36BA8">
        <w:rPr>
          <w:rStyle w:val="Refdenotaalpie"/>
          <w:rFonts w:ascii="Verdana" w:hAnsi="Verdana"/>
          <w:sz w:val="18"/>
          <w:szCs w:val="18"/>
        </w:rPr>
        <w:footnoteRef/>
      </w:r>
      <w:r w:rsidRPr="00B36BA8">
        <w:rPr>
          <w:rFonts w:ascii="Verdana" w:hAnsi="Verdana"/>
          <w:sz w:val="18"/>
          <w:szCs w:val="18"/>
        </w:rPr>
        <w:t xml:space="preserve"> </w:t>
      </w:r>
      <w:r w:rsidRPr="00B36BA8">
        <w:rPr>
          <w:rFonts w:ascii="Verdana" w:hAnsi="Verdana" w:cs="Arial"/>
          <w:sz w:val="18"/>
          <w:szCs w:val="18"/>
        </w:rPr>
        <w:t>Consejo de Estado -Sección Tercera-. Sentencia del 21 de febrero de 2025. Radicación Número: 68.280. CP: José Roberto Sáchica Méndez.</w:t>
      </w:r>
    </w:p>
    <w:p w14:paraId="225B227F" w14:textId="77777777" w:rsidR="00382CF7" w:rsidRPr="00B36BA8" w:rsidRDefault="00382CF7" w:rsidP="00382CF7">
      <w:pPr>
        <w:pStyle w:val="Textonotapie"/>
        <w:ind w:firstLine="709"/>
        <w:contextualSpacing/>
        <w:jc w:val="both"/>
        <w:rPr>
          <w:rFonts w:ascii="Verdana" w:hAnsi="Verdana" w:cs="Arial"/>
          <w:sz w:val="18"/>
          <w:szCs w:val="18"/>
        </w:rPr>
      </w:pPr>
    </w:p>
  </w:footnote>
  <w:footnote w:id="18">
    <w:p w14:paraId="1D473430" w14:textId="77777777" w:rsidR="00382CF7" w:rsidRPr="00B36BA8" w:rsidRDefault="00382CF7" w:rsidP="00382CF7">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sz w:val="18"/>
          <w:szCs w:val="18"/>
          <w:vertAlign w:val="superscript"/>
        </w:rPr>
        <w:t xml:space="preserve"> </w:t>
      </w:r>
      <w:r w:rsidRPr="00B36BA8">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4FA9C4F1" w14:textId="77777777" w:rsidR="00382CF7" w:rsidRPr="00B36BA8" w:rsidRDefault="00382CF7" w:rsidP="00382CF7">
      <w:pPr>
        <w:pStyle w:val="Textonotapie"/>
        <w:ind w:firstLine="709"/>
        <w:contextualSpacing/>
        <w:jc w:val="both"/>
        <w:rPr>
          <w:rFonts w:ascii="Verdana" w:hAnsi="Verdana" w:cs="Arial"/>
          <w:sz w:val="18"/>
          <w:szCs w:val="18"/>
        </w:rPr>
      </w:pPr>
    </w:p>
  </w:footnote>
  <w:footnote w:id="19">
    <w:p w14:paraId="3EF53189" w14:textId="77777777" w:rsidR="00382CF7" w:rsidRPr="00B36BA8" w:rsidRDefault="00382CF7" w:rsidP="00382CF7">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cs="Arial"/>
          <w:sz w:val="18"/>
          <w:szCs w:val="18"/>
          <w:vertAlign w:val="superscript"/>
        </w:rPr>
        <w:t xml:space="preserve"> </w:t>
      </w:r>
      <w:r w:rsidRPr="00B36BA8">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5F7A2265" w14:textId="77777777" w:rsidR="00382CF7" w:rsidRPr="00B36BA8" w:rsidRDefault="00382CF7" w:rsidP="00382CF7">
      <w:pPr>
        <w:pStyle w:val="Textonotapie"/>
        <w:ind w:firstLine="709"/>
        <w:contextualSpacing/>
        <w:jc w:val="both"/>
        <w:rPr>
          <w:rFonts w:ascii="Verdana" w:hAnsi="Verdana" w:cs="Arial"/>
          <w:sz w:val="18"/>
          <w:szCs w:val="18"/>
        </w:rPr>
      </w:pPr>
      <w:r w:rsidRPr="00B36BA8">
        <w:rPr>
          <w:rFonts w:ascii="Verdana" w:hAnsi="Verdana" w:cs="Arial"/>
          <w:sz w:val="18"/>
          <w:szCs w:val="18"/>
        </w:rPr>
        <w:t>[…]”.</w:t>
      </w:r>
    </w:p>
    <w:p w14:paraId="6B865D6C" w14:textId="77777777" w:rsidR="00382CF7" w:rsidRPr="00B36BA8" w:rsidRDefault="00382CF7" w:rsidP="00382CF7">
      <w:pPr>
        <w:pStyle w:val="Textonotapie"/>
        <w:ind w:firstLine="709"/>
        <w:contextualSpacing/>
        <w:jc w:val="both"/>
        <w:rPr>
          <w:rFonts w:ascii="Verdana" w:hAnsi="Verdana" w:cs="Arial"/>
          <w:sz w:val="18"/>
          <w:szCs w:val="18"/>
        </w:rPr>
      </w:pPr>
    </w:p>
  </w:footnote>
  <w:footnote w:id="20">
    <w:p w14:paraId="1CBAE52F" w14:textId="77777777" w:rsidR="00382CF7" w:rsidRPr="00B36BA8" w:rsidRDefault="00382CF7" w:rsidP="00382CF7">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cs="Arial"/>
          <w:sz w:val="18"/>
          <w:szCs w:val="18"/>
          <w:vertAlign w:val="superscript"/>
        </w:rPr>
        <w:t xml:space="preserve"> </w:t>
      </w:r>
      <w:r w:rsidRPr="00B36BA8">
        <w:rPr>
          <w:rFonts w:ascii="Verdana" w:hAnsi="Verdana" w:cs="Arial"/>
          <w:sz w:val="18"/>
          <w:szCs w:val="18"/>
        </w:rPr>
        <w:t>Código Civil: “Artículo 27. Cuando el sentido de la ley sea claro, no se desatenderá su tenor a pretexto de consultar su espíritu”.</w:t>
      </w:r>
    </w:p>
  </w:footnote>
  <w:footnote w:id="21">
    <w:p w14:paraId="48F6F3BF" w14:textId="77777777" w:rsidR="00382CF7" w:rsidRPr="00B36BA8" w:rsidRDefault="00382CF7" w:rsidP="00382CF7">
      <w:pPr>
        <w:pStyle w:val="Textonotapie"/>
        <w:ind w:firstLine="709"/>
        <w:contextualSpacing/>
        <w:jc w:val="both"/>
        <w:rPr>
          <w:rFonts w:ascii="Verdana" w:hAnsi="Verdana"/>
          <w:sz w:val="18"/>
          <w:szCs w:val="18"/>
          <w:lang w:val="es-CO"/>
        </w:rPr>
      </w:pPr>
      <w:r w:rsidRPr="00B36BA8">
        <w:rPr>
          <w:rStyle w:val="Refdenotaalpie"/>
          <w:rFonts w:ascii="Verdana" w:hAnsi="Verdana"/>
          <w:sz w:val="18"/>
          <w:szCs w:val="18"/>
        </w:rPr>
        <w:footnoteRef/>
      </w:r>
      <w:r w:rsidRPr="00B36BA8">
        <w:rPr>
          <w:rFonts w:ascii="Verdana" w:hAnsi="Verdana"/>
          <w:sz w:val="18"/>
          <w:szCs w:val="18"/>
          <w:lang w:val="es-CO"/>
        </w:rPr>
        <w:t xml:space="preserve"> Consejo de Estado, Sección Tercera. Auto del 4 de octubre de 2024. Exp. 70.313. C.P: Fredy Ibarra Martínez.</w:t>
      </w:r>
    </w:p>
  </w:footnote>
  <w:footnote w:id="22">
    <w:p w14:paraId="44F1BEA7" w14:textId="77777777" w:rsidR="00382CF7" w:rsidRPr="00B36BA8" w:rsidRDefault="00382CF7" w:rsidP="00382CF7">
      <w:pPr>
        <w:pStyle w:val="Textonotapie"/>
        <w:ind w:firstLine="709"/>
        <w:contextualSpacing/>
        <w:jc w:val="both"/>
        <w:rPr>
          <w:rFonts w:ascii="Verdana" w:hAnsi="Verdana"/>
          <w:sz w:val="18"/>
          <w:szCs w:val="18"/>
          <w:lang w:val="es-CO"/>
        </w:rPr>
      </w:pPr>
      <w:r w:rsidRPr="00B36BA8">
        <w:rPr>
          <w:rStyle w:val="Refdenotaalpie"/>
          <w:rFonts w:ascii="Verdana" w:hAnsi="Verdana"/>
          <w:sz w:val="18"/>
          <w:szCs w:val="18"/>
        </w:rPr>
        <w:footnoteRef/>
      </w:r>
      <w:r w:rsidRPr="00B36BA8">
        <w:rPr>
          <w:rFonts w:ascii="Verdana" w:hAnsi="Verdana"/>
          <w:sz w:val="18"/>
          <w:szCs w:val="18"/>
        </w:rPr>
        <w:t xml:space="preserve"> La parte resolutiva del auto dispone lo siguiente; “</w:t>
      </w:r>
      <w:r w:rsidRPr="00B36BA8">
        <w:rPr>
          <w:rFonts w:ascii="Verdana" w:hAnsi="Verdana"/>
          <w:b/>
          <w:sz w:val="18"/>
          <w:szCs w:val="18"/>
          <w:lang w:val="es-CO"/>
        </w:rPr>
        <w:t xml:space="preserve">PRIMERO: DECRETAR </w:t>
      </w:r>
      <w:r w:rsidRPr="00B36BA8">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36BA8">
        <w:rPr>
          <w:rFonts w:ascii="Verdana" w:hAnsi="Verdana"/>
          <w:i/>
          <w:sz w:val="18"/>
          <w:szCs w:val="18"/>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36BA8">
        <w:rPr>
          <w:rFonts w:ascii="Verdana" w:hAnsi="Verdana"/>
          <w:sz w:val="18"/>
          <w:szCs w:val="18"/>
          <w:lang w:val="es-CO"/>
        </w:rPr>
        <w:t xml:space="preserve">, por las razones expuestas en precedencia. </w:t>
      </w:r>
    </w:p>
    <w:p w14:paraId="092BE576" w14:textId="77777777" w:rsidR="00382CF7" w:rsidRPr="00B36BA8" w:rsidRDefault="00382CF7" w:rsidP="00382CF7">
      <w:pPr>
        <w:pStyle w:val="Textonotapie"/>
        <w:ind w:firstLine="709"/>
        <w:contextualSpacing/>
        <w:jc w:val="both"/>
        <w:rPr>
          <w:rFonts w:ascii="Verdana" w:hAnsi="Verdana"/>
          <w:sz w:val="18"/>
          <w:szCs w:val="18"/>
          <w:lang w:val="es-CO"/>
        </w:rPr>
      </w:pPr>
      <w:r w:rsidRPr="00B36BA8">
        <w:rPr>
          <w:rFonts w:ascii="Verdana" w:hAnsi="Verdana"/>
          <w:b/>
          <w:sz w:val="18"/>
          <w:szCs w:val="18"/>
          <w:lang w:val="es-CO"/>
        </w:rPr>
        <w:t xml:space="preserve">SEGUNDO: DECRETAR </w:t>
      </w:r>
      <w:r w:rsidRPr="00B36BA8">
        <w:rPr>
          <w:rFonts w:ascii="Verdana" w:hAnsi="Verdana"/>
          <w:sz w:val="18"/>
          <w:szCs w:val="18"/>
          <w:lang w:val="es-CO"/>
        </w:rPr>
        <w:t>la suspensión provisional de la expresión “</w:t>
      </w:r>
      <w:r w:rsidRPr="00B36BA8">
        <w:rPr>
          <w:rFonts w:ascii="Verdana" w:hAnsi="Verdana"/>
          <w:i/>
          <w:sz w:val="18"/>
          <w:szCs w:val="18"/>
          <w:lang w:val="es-CO"/>
        </w:rPr>
        <w:t>contratos</w:t>
      </w:r>
      <w:r w:rsidRPr="00B36BA8">
        <w:rPr>
          <w:rFonts w:ascii="Verdana" w:hAnsi="Verdana"/>
          <w:sz w:val="18"/>
          <w:szCs w:val="18"/>
          <w:lang w:val="es-CO"/>
        </w:rPr>
        <w:t xml:space="preserve">” y del párrafo </w:t>
      </w:r>
      <w:r w:rsidRPr="00B36BA8">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36BA8">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3">
    <w:p w14:paraId="740E9CB5" w14:textId="77777777" w:rsidR="00382CF7" w:rsidRPr="00B36BA8" w:rsidRDefault="00382CF7" w:rsidP="00382CF7">
      <w:pPr>
        <w:spacing w:after="0" w:line="240" w:lineRule="auto"/>
        <w:ind w:firstLine="709"/>
        <w:contextualSpacing/>
        <w:jc w:val="both"/>
        <w:rPr>
          <w:rFonts w:ascii="Verdana" w:eastAsia="Times New Roman" w:hAnsi="Verdana" w:cs="Times New Roman"/>
          <w:sz w:val="18"/>
          <w:szCs w:val="18"/>
          <w:lang w:eastAsia="es-ES"/>
        </w:rPr>
      </w:pPr>
      <w:r w:rsidRPr="00B36BA8">
        <w:rPr>
          <w:rStyle w:val="Refdenotaalpie"/>
          <w:rFonts w:ascii="Verdana" w:hAnsi="Verdana"/>
          <w:sz w:val="18"/>
          <w:szCs w:val="18"/>
        </w:rPr>
        <w:footnoteRef/>
      </w:r>
      <w:r w:rsidRPr="00B36BA8">
        <w:rPr>
          <w:rFonts w:ascii="Verdana" w:hAnsi="Verdana"/>
          <w:sz w:val="18"/>
          <w:szCs w:val="18"/>
        </w:rPr>
        <w:t xml:space="preserve"> </w:t>
      </w:r>
      <w:r w:rsidRPr="00B36BA8">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B36BA8">
        <w:rPr>
          <w:rFonts w:ascii="Verdana" w:hAnsi="Verdana"/>
          <w:sz w:val="18"/>
          <w:szCs w:val="18"/>
        </w:rPr>
        <w:t xml:space="preserve">La parte de la providencia señala: </w:t>
      </w:r>
      <w:r w:rsidRPr="00B36BA8">
        <w:rPr>
          <w:rFonts w:ascii="Verdana" w:eastAsia="Times New Roman" w:hAnsi="Verdana"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6F9EB879" w14:textId="77777777" w:rsidR="00382CF7" w:rsidRPr="00B36BA8" w:rsidRDefault="00382CF7" w:rsidP="00382CF7">
      <w:pPr>
        <w:spacing w:after="0" w:line="240" w:lineRule="auto"/>
        <w:ind w:firstLine="709"/>
        <w:contextualSpacing/>
        <w:jc w:val="both"/>
        <w:rPr>
          <w:rFonts w:ascii="Verdana" w:eastAsia="Times New Roman" w:hAnsi="Verdana" w:cs="Times New Roman"/>
          <w:sz w:val="18"/>
          <w:szCs w:val="18"/>
          <w:lang w:eastAsia="es-ES"/>
        </w:rPr>
      </w:pPr>
    </w:p>
  </w:footnote>
  <w:footnote w:id="24">
    <w:p w14:paraId="3717E960" w14:textId="77777777" w:rsidR="00382CF7" w:rsidRPr="00454929" w:rsidRDefault="00382CF7" w:rsidP="00382CF7">
      <w:pPr>
        <w:pStyle w:val="Textonotapie"/>
        <w:ind w:firstLine="709"/>
        <w:rPr>
          <w:rFonts w:ascii="Verdana" w:hAnsi="Verdana"/>
          <w:sz w:val="16"/>
          <w:szCs w:val="16"/>
          <w:lang w:val="es-CO"/>
        </w:rPr>
      </w:pPr>
      <w:r w:rsidRPr="00B36BA8">
        <w:rPr>
          <w:rStyle w:val="Refdenotaalpie"/>
          <w:rFonts w:ascii="Verdana" w:hAnsi="Verdana"/>
          <w:sz w:val="18"/>
          <w:szCs w:val="18"/>
        </w:rPr>
        <w:footnoteRef/>
      </w:r>
      <w:r w:rsidRPr="00B36BA8">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5">
    <w:p w14:paraId="74145DE9" w14:textId="77777777" w:rsidR="005F4C77" w:rsidRPr="00B47839" w:rsidRDefault="005F4C77" w:rsidP="005F4C77">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Concepto del 3 de septiembre de 2019, con radicado No. 2201913000006512.</w:t>
      </w:r>
    </w:p>
    <w:p w14:paraId="4C63B485" w14:textId="77777777" w:rsidR="005F4C77" w:rsidRPr="00B47839" w:rsidRDefault="005F4C77" w:rsidP="005F4C77">
      <w:pPr>
        <w:pStyle w:val="Textonotapie"/>
        <w:ind w:firstLine="708"/>
        <w:jc w:val="both"/>
        <w:rPr>
          <w:rFonts w:ascii="Verdana" w:hAnsi="Verdana" w:cs="Arial"/>
          <w:sz w:val="16"/>
          <w:szCs w:val="16"/>
        </w:rPr>
      </w:pPr>
    </w:p>
  </w:footnote>
  <w:footnote w:id="26">
    <w:p w14:paraId="28113C57" w14:textId="77777777" w:rsidR="005F4C77" w:rsidRPr="00B47839" w:rsidRDefault="005F4C77" w:rsidP="005F4C77">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27">
    <w:p w14:paraId="3844B045" w14:textId="77777777" w:rsidR="005F4C77" w:rsidRPr="00B47839" w:rsidRDefault="005F4C77" w:rsidP="005F4C77">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Cfr. Concepto del 21 de agosto de 2019, dictado dentro del radicado No. 2201913000006047.</w:t>
      </w:r>
    </w:p>
    <w:p w14:paraId="3E2B18AA" w14:textId="77777777" w:rsidR="005F4C77" w:rsidRPr="00B47839" w:rsidRDefault="005F4C77" w:rsidP="005F4C77">
      <w:pPr>
        <w:pStyle w:val="Textonotapie"/>
        <w:ind w:firstLine="708"/>
        <w:jc w:val="both"/>
        <w:rPr>
          <w:rFonts w:ascii="Verdana" w:hAnsi="Verdana" w:cs="Arial"/>
          <w:color w:val="000000" w:themeColor="text1"/>
          <w:sz w:val="16"/>
          <w:szCs w:val="16"/>
        </w:rPr>
      </w:pPr>
    </w:p>
  </w:footnote>
  <w:footnote w:id="28">
    <w:p w14:paraId="165E042F" w14:textId="77777777" w:rsidR="005F4C77" w:rsidRPr="00B47839" w:rsidRDefault="005F4C77" w:rsidP="005F4C77">
      <w:pPr>
        <w:pStyle w:val="Textonotapie"/>
        <w:ind w:firstLine="708"/>
        <w:jc w:val="both"/>
        <w:rPr>
          <w:rFonts w:ascii="Verdana" w:hAnsi="Verdana" w:cs="Arial"/>
          <w:color w:val="000000" w:themeColor="text1"/>
          <w:sz w:val="16"/>
          <w:szCs w:val="16"/>
          <w:lang w:val="es-ES"/>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Concepto del 24 de febrero de 2005. Radicado:1626, C.P. Gloria Duque Hernández.</w:t>
      </w:r>
    </w:p>
  </w:footnote>
  <w:footnote w:id="29">
    <w:p w14:paraId="2FD32B0F" w14:textId="77777777" w:rsidR="005F4C77" w:rsidRPr="00B47839" w:rsidRDefault="005F4C77" w:rsidP="005F4C77">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2B92"/>
    <w:rsid w:val="000D0334"/>
    <w:rsid w:val="000D5DA7"/>
    <w:rsid w:val="000F6486"/>
    <w:rsid w:val="00116940"/>
    <w:rsid w:val="00125105"/>
    <w:rsid w:val="00127233"/>
    <w:rsid w:val="0015699B"/>
    <w:rsid w:val="0018691B"/>
    <w:rsid w:val="001A33BF"/>
    <w:rsid w:val="001E4177"/>
    <w:rsid w:val="001F0B24"/>
    <w:rsid w:val="001F7DC6"/>
    <w:rsid w:val="0022400B"/>
    <w:rsid w:val="002421BB"/>
    <w:rsid w:val="0025796E"/>
    <w:rsid w:val="002630F1"/>
    <w:rsid w:val="002707A2"/>
    <w:rsid w:val="00284A7F"/>
    <w:rsid w:val="002951A0"/>
    <w:rsid w:val="002962BC"/>
    <w:rsid w:val="002A0574"/>
    <w:rsid w:val="002A093D"/>
    <w:rsid w:val="002A0DD0"/>
    <w:rsid w:val="002A49AC"/>
    <w:rsid w:val="002A64FD"/>
    <w:rsid w:val="002C1DA9"/>
    <w:rsid w:val="002C7A84"/>
    <w:rsid w:val="002E2BF8"/>
    <w:rsid w:val="002E4FD9"/>
    <w:rsid w:val="002F77FD"/>
    <w:rsid w:val="0030657A"/>
    <w:rsid w:val="00322A85"/>
    <w:rsid w:val="00324168"/>
    <w:rsid w:val="00330834"/>
    <w:rsid w:val="003448F4"/>
    <w:rsid w:val="00374F5E"/>
    <w:rsid w:val="00377E3E"/>
    <w:rsid w:val="00382CF7"/>
    <w:rsid w:val="003A779E"/>
    <w:rsid w:val="003D0F4D"/>
    <w:rsid w:val="003D5B0D"/>
    <w:rsid w:val="003E0499"/>
    <w:rsid w:val="003E4F80"/>
    <w:rsid w:val="003E6439"/>
    <w:rsid w:val="003F3941"/>
    <w:rsid w:val="003F437E"/>
    <w:rsid w:val="00406575"/>
    <w:rsid w:val="00414C74"/>
    <w:rsid w:val="0042722E"/>
    <w:rsid w:val="0044528D"/>
    <w:rsid w:val="004513DD"/>
    <w:rsid w:val="00466E39"/>
    <w:rsid w:val="004A1847"/>
    <w:rsid w:val="004A305D"/>
    <w:rsid w:val="004A4F18"/>
    <w:rsid w:val="004F21C4"/>
    <w:rsid w:val="004F685F"/>
    <w:rsid w:val="005566E8"/>
    <w:rsid w:val="00574867"/>
    <w:rsid w:val="00587F61"/>
    <w:rsid w:val="00591460"/>
    <w:rsid w:val="005A65E0"/>
    <w:rsid w:val="005C3777"/>
    <w:rsid w:val="005C5CDC"/>
    <w:rsid w:val="005D476C"/>
    <w:rsid w:val="005F4C77"/>
    <w:rsid w:val="006200BF"/>
    <w:rsid w:val="006219F8"/>
    <w:rsid w:val="006302F7"/>
    <w:rsid w:val="00646B9F"/>
    <w:rsid w:val="00665D70"/>
    <w:rsid w:val="006900D9"/>
    <w:rsid w:val="00706C16"/>
    <w:rsid w:val="007340C3"/>
    <w:rsid w:val="0074223A"/>
    <w:rsid w:val="0075235A"/>
    <w:rsid w:val="00756841"/>
    <w:rsid w:val="007649AB"/>
    <w:rsid w:val="00771D0C"/>
    <w:rsid w:val="007833AC"/>
    <w:rsid w:val="007A4F54"/>
    <w:rsid w:val="007B268C"/>
    <w:rsid w:val="007B7171"/>
    <w:rsid w:val="007C0C0F"/>
    <w:rsid w:val="007C3DC2"/>
    <w:rsid w:val="007E5497"/>
    <w:rsid w:val="00806F5F"/>
    <w:rsid w:val="00820278"/>
    <w:rsid w:val="008258C9"/>
    <w:rsid w:val="00844AE9"/>
    <w:rsid w:val="00867F95"/>
    <w:rsid w:val="008767AE"/>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4996"/>
    <w:rsid w:val="009B2D26"/>
    <w:rsid w:val="009C71FA"/>
    <w:rsid w:val="009C72E7"/>
    <w:rsid w:val="009C7F7E"/>
    <w:rsid w:val="009D3058"/>
    <w:rsid w:val="009E3E0D"/>
    <w:rsid w:val="009F3A13"/>
    <w:rsid w:val="00A122D3"/>
    <w:rsid w:val="00A14468"/>
    <w:rsid w:val="00A17F13"/>
    <w:rsid w:val="00A20739"/>
    <w:rsid w:val="00A23AF9"/>
    <w:rsid w:val="00A33C78"/>
    <w:rsid w:val="00A538D4"/>
    <w:rsid w:val="00AB0ADB"/>
    <w:rsid w:val="00B00C0E"/>
    <w:rsid w:val="00B01B1A"/>
    <w:rsid w:val="00B0381D"/>
    <w:rsid w:val="00B10400"/>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7942"/>
    <w:rsid w:val="00D130A8"/>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F4C7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F4C7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D2DFB4-AB43-415C-A21D-132275CAAA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29</Pages>
  <Words>9854</Words>
  <Characters>52227</Characters>
  <Application>Microsoft Office Word</Application>
  <DocSecurity>0</DocSecurity>
  <Lines>949</Lines>
  <Paragraphs>169</Paragraphs>
  <ScaleCrop>false</ScaleCrop>
  <Company/>
  <LinksUpToDate>false</LinksUpToDate>
  <CharactersWithSpaces>61912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2025-12-26T14:51:00Z</dcterms:created>
  <dcterms:modified xsi:type="dcterms:W3CDTF">2025-12-26T15:43:00Z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