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98C1D" w14:textId="77777777" w:rsidR="004E464F" w:rsidRDefault="004E464F" w:rsidP="004E464F">
      <w:pPr>
        <w:spacing w:before="120" w:after="120" w:line="276" w:lineRule="auto"/>
        <w:jc w:val="both"/>
        <w:rPr>
          <w:rFonts w:ascii="Verdana" w:eastAsia="Calibri" w:hAnsi="Verdana" w:cs="Arial"/>
        </w:rPr>
      </w:pPr>
      <w:bookmarkStart w:id="0" w:name="_Hlk143780582"/>
      <w:r w:rsidRPr="009A07F1">
        <w:rPr>
          <w:rFonts w:ascii="Verdana" w:hAnsi="Verdana" w:cs="Arial"/>
          <w:b/>
          <w:lang w:val="es-MX" w:eastAsia="es-ES"/>
        </w:rPr>
        <w:t>PRINCIPIO DE ECONOMÍA – artículo 25 Ley 80 de 1993</w:t>
      </w:r>
    </w:p>
    <w:p w14:paraId="7021303D" w14:textId="77777777" w:rsidR="004E464F" w:rsidRPr="009A07F1" w:rsidRDefault="004E464F" w:rsidP="004E464F">
      <w:pPr>
        <w:spacing w:before="120" w:after="120" w:line="240" w:lineRule="auto"/>
        <w:jc w:val="both"/>
        <w:rPr>
          <w:rFonts w:ascii="Verdana" w:eastAsia="Times New Roman" w:hAnsi="Verdana" w:cs="Arial"/>
          <w:color w:val="000000" w:themeColor="text1"/>
          <w:sz w:val="20"/>
          <w:szCs w:val="20"/>
        </w:rPr>
      </w:pPr>
      <w:r w:rsidRPr="009A07F1">
        <w:rPr>
          <w:rFonts w:ascii="Verdana" w:eastAsia="Calibri" w:hAnsi="Verdana" w:cs="Arial"/>
          <w:sz w:val="20"/>
          <w:szCs w:val="20"/>
        </w:rPr>
        <w:t>En aplicación del principio de economía, consagrado en</w:t>
      </w:r>
      <w:r w:rsidRPr="009A07F1">
        <w:rPr>
          <w:rFonts w:ascii="Verdana" w:eastAsia="Times New Roman" w:hAnsi="Verdana" w:cs="Arial"/>
          <w:color w:val="000000" w:themeColor="text1"/>
          <w:sz w:val="20"/>
          <w:szCs w:val="20"/>
        </w:rPr>
        <w:t xml:space="preserve"> el numeral primero del artículo 25 de la Ley 80 de 1993, deben cumplirse los procedimientos y etapas estrictamente necesarios para asegurar la selección objetiva de la propuesta más favorable, por lo que se señalarán términos preclusivos y perentorios para las diferentes etapas del proceso de selección. En virtud de este principio, las partes del proceso de contratación, así como los funcionarios públicos, se encuentran obligados a respetar y acatar tales etapas.</w:t>
      </w:r>
    </w:p>
    <w:p w14:paraId="4444902B" w14:textId="77777777" w:rsidR="004E464F" w:rsidRDefault="004E464F" w:rsidP="004E464F">
      <w:pPr>
        <w:spacing w:after="0" w:line="240" w:lineRule="auto"/>
        <w:jc w:val="both"/>
        <w:rPr>
          <w:rFonts w:ascii="Verdana" w:eastAsia="Geomanist Light" w:hAnsi="Verdana" w:cs="Arial"/>
          <w:b/>
          <w:bCs/>
          <w:lang w:val="es-ES"/>
        </w:rPr>
      </w:pPr>
    </w:p>
    <w:p w14:paraId="155B8CC7" w14:textId="77777777" w:rsidR="004E464F" w:rsidRPr="007E1698" w:rsidRDefault="004E464F" w:rsidP="004E464F">
      <w:pPr>
        <w:spacing w:after="0" w:line="240" w:lineRule="auto"/>
        <w:jc w:val="both"/>
        <w:rPr>
          <w:rFonts w:ascii="Verdana" w:eastAsia="Geomanist Light" w:hAnsi="Verdana" w:cs="Arial"/>
          <w:b/>
          <w:bCs/>
          <w:lang w:val="es-ES"/>
        </w:rPr>
      </w:pPr>
      <w:r w:rsidRPr="007E1698">
        <w:rPr>
          <w:rFonts w:ascii="Verdana" w:eastAsia="Geomanist Light" w:hAnsi="Verdana" w:cs="Arial"/>
          <w:b/>
          <w:bCs/>
          <w:lang w:val="es-ES"/>
        </w:rPr>
        <w:t>PUBLICIDAD – Procesos de contratación – Cronograma – Horario – Actividad contractual</w:t>
      </w:r>
    </w:p>
    <w:p w14:paraId="743468E2" w14:textId="77777777" w:rsidR="004E464F" w:rsidRPr="007E1698" w:rsidRDefault="004E464F" w:rsidP="004E464F">
      <w:pPr>
        <w:spacing w:after="0" w:line="240" w:lineRule="auto"/>
        <w:jc w:val="both"/>
        <w:rPr>
          <w:rFonts w:ascii="Verdana" w:eastAsia="Geomanist Light" w:hAnsi="Verdana" w:cs="Arial"/>
          <w:lang w:val="es-ES"/>
        </w:rPr>
      </w:pPr>
    </w:p>
    <w:p w14:paraId="19A8A7F4" w14:textId="77777777" w:rsidR="004E464F" w:rsidRPr="009A07F1" w:rsidRDefault="004E464F" w:rsidP="004E464F">
      <w:pPr>
        <w:spacing w:before="120" w:after="120" w:line="240" w:lineRule="auto"/>
        <w:jc w:val="both"/>
        <w:rPr>
          <w:rFonts w:ascii="Verdana" w:eastAsia="Calibri" w:hAnsi="Verdana" w:cs="Arial"/>
          <w:sz w:val="20"/>
          <w:szCs w:val="20"/>
        </w:rPr>
      </w:pPr>
      <w:r>
        <w:rPr>
          <w:rFonts w:ascii="Verdana" w:eastAsia="Calibri" w:hAnsi="Verdana" w:cs="Arial"/>
          <w:sz w:val="20"/>
          <w:szCs w:val="20"/>
        </w:rPr>
        <w:t xml:space="preserve">[…] </w:t>
      </w:r>
      <w:r w:rsidRPr="00721899">
        <w:rPr>
          <w:rFonts w:ascii="Verdana" w:eastAsia="Calibri" w:hAnsi="Verdana" w:cs="Arial"/>
          <w:sz w:val="20"/>
          <w:szCs w:val="20"/>
        </w:rPr>
        <w:t xml:space="preserve">Esto implica que, para dar aplicación a la anterior regla, las entidades deberán establecer, en la respectiva invitación o pliego de condiciones, el lapso durante el cual recibirán ofertas, definiendo expresamente la hora hasta la cual recibirán las ofertas, de tal manera que este pueda ser conocido con anticipación por los interesados. </w:t>
      </w:r>
      <w:r w:rsidRPr="0055588F">
        <w:rPr>
          <w:rFonts w:ascii="Verdana" w:eastAsia="Calibri" w:hAnsi="Verdana" w:cs="Arial"/>
          <w:sz w:val="20"/>
          <w:szCs w:val="20"/>
        </w:rPr>
        <w:t>Por lo anterior, las fechas, horas y plazos de los procesos de contratación se encuentran regulados en el cronograma que establezca la entidad al hacer la invitación a participar o publicar el pliego de condiciones. Sin embargo, los artículos 2.2.1.1.1.7.1 y 2.2.1.1.2.2.1. del Decreto 1082 de 2015 precisan un término y horario para la publicación de las actividades contractuales</w:t>
      </w:r>
      <w:r w:rsidRPr="009A07F1">
        <w:rPr>
          <w:rFonts w:ascii="Verdana" w:eastAsia="Calibri" w:hAnsi="Verdana" w:cs="Arial"/>
          <w:sz w:val="20"/>
          <w:szCs w:val="20"/>
        </w:rPr>
        <w:t xml:space="preserve">. </w:t>
      </w:r>
    </w:p>
    <w:p w14:paraId="76400D3C" w14:textId="77777777" w:rsidR="004E464F" w:rsidRPr="007E1698" w:rsidRDefault="004E464F" w:rsidP="004E464F">
      <w:pPr>
        <w:spacing w:after="0" w:line="240" w:lineRule="auto"/>
        <w:jc w:val="both"/>
        <w:rPr>
          <w:rFonts w:ascii="Verdana" w:eastAsia="Geomanist Light" w:hAnsi="Verdana" w:cs="Arial"/>
          <w:sz w:val="20"/>
          <w:szCs w:val="20"/>
          <w:lang w:val="es-ES"/>
        </w:rPr>
      </w:pPr>
    </w:p>
    <w:p w14:paraId="1248AF96" w14:textId="77777777" w:rsidR="004E464F" w:rsidRPr="009A07F1" w:rsidRDefault="004E464F" w:rsidP="004E464F">
      <w:pPr>
        <w:spacing w:line="240" w:lineRule="auto"/>
        <w:contextualSpacing/>
        <w:jc w:val="both"/>
        <w:rPr>
          <w:rFonts w:ascii="Verdana" w:eastAsia="Geomanist Light" w:hAnsi="Verdana" w:cs="Arial"/>
          <w:b/>
          <w:bCs/>
          <w:lang w:val="es-ES"/>
        </w:rPr>
      </w:pPr>
      <w:r w:rsidRPr="009A07F1">
        <w:rPr>
          <w:rFonts w:ascii="Verdana" w:eastAsia="Geomanist Light" w:hAnsi="Verdana" w:cs="Arial"/>
          <w:b/>
          <w:bCs/>
          <w:lang w:val="es-ES"/>
        </w:rPr>
        <w:t>TÉRMINOS O PLAZOS DE LAS ETAPAS DEL PROCESO DE SELECCIÓN CONTRACTUAL – Preclusivos y perentorios</w:t>
      </w:r>
    </w:p>
    <w:p w14:paraId="0984B97B" w14:textId="77777777" w:rsidR="004E464F" w:rsidRPr="004D1C50" w:rsidRDefault="004E464F" w:rsidP="004E464F">
      <w:pPr>
        <w:spacing w:line="240" w:lineRule="auto"/>
        <w:contextualSpacing/>
        <w:jc w:val="both"/>
        <w:rPr>
          <w:rFonts w:ascii="Verdana" w:eastAsia="Geomanist Light" w:hAnsi="Verdana" w:cs="Arial"/>
          <w:sz w:val="20"/>
          <w:szCs w:val="20"/>
          <w:lang w:val="es-ES"/>
        </w:rPr>
      </w:pPr>
    </w:p>
    <w:p w14:paraId="43CC48B3" w14:textId="77777777" w:rsidR="004E464F" w:rsidRPr="009A07F1" w:rsidRDefault="004E464F" w:rsidP="004E464F">
      <w:pPr>
        <w:spacing w:before="120" w:after="120" w:line="240" w:lineRule="auto"/>
        <w:jc w:val="both"/>
        <w:rPr>
          <w:rFonts w:ascii="Verdana" w:eastAsia="Calibri" w:hAnsi="Verdana" w:cs="Arial"/>
          <w:sz w:val="20"/>
          <w:szCs w:val="20"/>
        </w:rPr>
      </w:pPr>
      <w:r w:rsidRPr="009A07F1">
        <w:rPr>
          <w:rFonts w:ascii="Verdana" w:eastAsia="Calibri" w:hAnsi="Verdana" w:cs="Arial"/>
          <w:sz w:val="20"/>
          <w:szCs w:val="20"/>
        </w:rPr>
        <w:t xml:space="preserve">“[…] Las condiciones de participación previstas en los pliegos de condiciones o sus equivalentes, deben ser lo suficientemente claras  para que los interesados tengan en cuenta los plazos y término con el que disponen para elaborar sus ofertas, así como el plazo que se tomará la entidad para estudiarlas y el término en que procederá a la adjudicación o declaratoria de desierta, al punto que, si no se acatan, las consecuencias para uno u otro serán determinantes, tales como rechazar la propuesta por extemporánea o perder la facultad para adjudicar si no se hace en el tiempo previsto. </w:t>
      </w:r>
    </w:p>
    <w:p w14:paraId="0F0DCA88" w14:textId="77777777" w:rsidR="004E464F" w:rsidRDefault="004E464F" w:rsidP="004E464F">
      <w:pPr>
        <w:spacing w:after="0" w:line="240" w:lineRule="auto"/>
        <w:jc w:val="both"/>
        <w:rPr>
          <w:rFonts w:ascii="Verdana" w:eastAsia="Geomanist Light" w:hAnsi="Verdana" w:cs="Arial"/>
          <w:sz w:val="20"/>
          <w:szCs w:val="20"/>
          <w:lang w:val="es-ES_tradnl"/>
        </w:rPr>
      </w:pPr>
    </w:p>
    <w:p w14:paraId="1F1F6C2B" w14:textId="77777777" w:rsidR="004E464F" w:rsidRPr="009A07F1" w:rsidRDefault="004E464F" w:rsidP="004E464F">
      <w:pPr>
        <w:spacing w:after="0" w:line="240" w:lineRule="auto"/>
        <w:jc w:val="both"/>
        <w:rPr>
          <w:rFonts w:ascii="Verdana" w:hAnsi="Verdana" w:cs="Arial"/>
          <w:b/>
          <w:lang w:val="es-MX" w:eastAsia="es-ES"/>
        </w:rPr>
      </w:pPr>
      <w:r w:rsidRPr="009A07F1">
        <w:rPr>
          <w:rFonts w:ascii="Verdana" w:hAnsi="Verdana" w:cs="Arial"/>
          <w:b/>
          <w:lang w:val="es-MX" w:eastAsia="es-ES"/>
        </w:rPr>
        <w:t>CRONOGRAMA – Definición – Importancia</w:t>
      </w:r>
    </w:p>
    <w:p w14:paraId="13858045" w14:textId="77777777" w:rsidR="004E464F" w:rsidRDefault="004E464F" w:rsidP="004E464F">
      <w:pPr>
        <w:spacing w:after="0" w:line="240" w:lineRule="auto"/>
        <w:jc w:val="both"/>
        <w:rPr>
          <w:rFonts w:ascii="Verdana" w:hAnsi="Verdana" w:cs="Arial"/>
          <w:bCs/>
          <w:lang w:val="es-MX" w:eastAsia="es-ES"/>
        </w:rPr>
      </w:pPr>
    </w:p>
    <w:p w14:paraId="039697F5" w14:textId="77777777" w:rsidR="004E464F" w:rsidRPr="009A07F1" w:rsidRDefault="004E464F" w:rsidP="004E464F">
      <w:pPr>
        <w:spacing w:before="120" w:after="120" w:line="240" w:lineRule="auto"/>
        <w:jc w:val="both"/>
        <w:rPr>
          <w:rFonts w:ascii="Verdana" w:eastAsia="Calibri" w:hAnsi="Verdana" w:cs="Arial"/>
          <w:sz w:val="20"/>
          <w:szCs w:val="20"/>
        </w:rPr>
      </w:pPr>
      <w:r w:rsidRPr="009A07F1">
        <w:rPr>
          <w:rFonts w:ascii="Verdana" w:eastAsia="Calibri" w:hAnsi="Verdana" w:cs="Arial"/>
          <w:sz w:val="20"/>
          <w:szCs w:val="20"/>
        </w:rPr>
        <w:t xml:space="preserve">“[…] el artículo 2.2.1.1.1.3.1, literal 11 del 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w:t>
      </w:r>
      <w:r w:rsidRPr="009A07F1">
        <w:rPr>
          <w:rFonts w:ascii="Verdana" w:eastAsia="Calibri" w:hAnsi="Verdana" w:cs="Arial"/>
          <w:sz w:val="20"/>
          <w:szCs w:val="20"/>
        </w:rPr>
        <w:lastRenderedPageBreak/>
        <w:t xml:space="preserve">estipulados sin que haya lugar a observaciones ni interpretaciones sobre las fechas establecidas. </w:t>
      </w:r>
    </w:p>
    <w:p w14:paraId="43505105" w14:textId="77777777" w:rsidR="004E464F" w:rsidRPr="009A07F1" w:rsidRDefault="004E464F" w:rsidP="004E464F">
      <w:pPr>
        <w:spacing w:after="0" w:line="240" w:lineRule="auto"/>
        <w:jc w:val="both"/>
        <w:rPr>
          <w:rFonts w:ascii="Verdana" w:eastAsia="Geomanist Light" w:hAnsi="Verdana" w:cs="Arial"/>
          <w:sz w:val="20"/>
          <w:szCs w:val="20"/>
        </w:rPr>
      </w:pPr>
    </w:p>
    <w:p w14:paraId="7B40FD70" w14:textId="77777777" w:rsidR="004E464F" w:rsidRPr="009A07F1" w:rsidRDefault="004E464F" w:rsidP="004E464F">
      <w:pPr>
        <w:spacing w:after="0" w:line="240" w:lineRule="auto"/>
        <w:jc w:val="both"/>
        <w:rPr>
          <w:rFonts w:ascii="Verdana" w:eastAsia="Geomanist Light" w:hAnsi="Verdana" w:cs="Arial"/>
          <w:b/>
          <w:bCs/>
          <w:sz w:val="20"/>
          <w:szCs w:val="20"/>
          <w:lang w:val="es-ES_tradnl"/>
        </w:rPr>
      </w:pPr>
      <w:r w:rsidRPr="007F31BF">
        <w:rPr>
          <w:rFonts w:ascii="Verdana" w:eastAsia="Geomanist Light" w:hAnsi="Verdana" w:cs="Arial"/>
          <w:b/>
          <w:bCs/>
          <w:sz w:val="20"/>
          <w:szCs w:val="20"/>
          <w:lang w:val="es-ES_tradnl"/>
        </w:rPr>
        <w:t>PRINCIPIO DE TRANSPARENCIA</w:t>
      </w:r>
      <w:r>
        <w:rPr>
          <w:rFonts w:ascii="Verdana" w:eastAsia="Geomanist Light" w:hAnsi="Verdana" w:cs="Arial"/>
          <w:b/>
          <w:bCs/>
          <w:sz w:val="20"/>
          <w:szCs w:val="20"/>
          <w:lang w:val="es-ES_tradnl"/>
        </w:rPr>
        <w:t xml:space="preserve"> </w:t>
      </w:r>
      <w:r w:rsidRPr="004D1C50">
        <w:rPr>
          <w:rFonts w:ascii="Verdana" w:eastAsia="Geomanist Light" w:hAnsi="Verdana" w:cs="Arial"/>
          <w:b/>
          <w:bCs/>
          <w:sz w:val="20"/>
          <w:szCs w:val="20"/>
          <w:lang w:val="es-ES"/>
        </w:rPr>
        <w:t>–</w:t>
      </w:r>
      <w:r w:rsidRPr="009A07F1">
        <w:rPr>
          <w:rFonts w:ascii="Verdana" w:eastAsia="Geomanist Light" w:hAnsi="Verdana" w:cs="Arial"/>
          <w:b/>
          <w:bCs/>
          <w:sz w:val="20"/>
          <w:szCs w:val="20"/>
          <w:lang w:val="es-ES_tradnl"/>
        </w:rPr>
        <w:t xml:space="preserve"> Reglas aplicables a la presentación de ofertas</w:t>
      </w:r>
    </w:p>
    <w:p w14:paraId="07479C9D" w14:textId="77777777" w:rsidR="004E464F" w:rsidRDefault="004E464F" w:rsidP="004E464F">
      <w:pPr>
        <w:spacing w:after="0" w:line="240" w:lineRule="auto"/>
        <w:jc w:val="both"/>
        <w:rPr>
          <w:rFonts w:ascii="Verdana" w:eastAsia="Geomanist Light" w:hAnsi="Verdana" w:cs="Arial"/>
          <w:sz w:val="20"/>
          <w:szCs w:val="20"/>
          <w:lang w:val="es-ES_tradnl"/>
        </w:rPr>
      </w:pPr>
    </w:p>
    <w:p w14:paraId="614FEE4D" w14:textId="77777777" w:rsidR="004E464F" w:rsidRDefault="004E464F" w:rsidP="004E464F">
      <w:pPr>
        <w:spacing w:after="0" w:line="240" w:lineRule="auto"/>
        <w:jc w:val="both"/>
        <w:rPr>
          <w:rFonts w:ascii="Verdana" w:eastAsia="Calibri" w:hAnsi="Verdana" w:cs="Arial"/>
          <w:sz w:val="20"/>
          <w:szCs w:val="20"/>
        </w:rPr>
      </w:pPr>
      <w:r w:rsidRPr="009A07F1">
        <w:rPr>
          <w:rFonts w:ascii="Verdana" w:eastAsia="Calibri" w:hAnsi="Verdana" w:cs="Arial"/>
          <w:sz w:val="20"/>
          <w:szCs w:val="20"/>
        </w:rPr>
        <w:t>“[…] de conformidad con los mandatos derivados del principio de transparencia, consagrado en el artículo 24 de la Ley 80 de 1993, y lo dispuesto en el artículo 2.2.1.1.2.1.3 del Decreto 1082 de 2015,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 o pliego de condiciones, el lapso durante el cual recibirán ofertas, definiendo expresamente la hora hasta la cual recibirán las ofertas, de tal manera que este pueda ser conocido con anticipación por los interesados.</w:t>
      </w:r>
    </w:p>
    <w:p w14:paraId="5275F3D0" w14:textId="77777777" w:rsidR="004E464F" w:rsidRDefault="004E464F" w:rsidP="004E464F">
      <w:pPr>
        <w:spacing w:after="0" w:line="240" w:lineRule="auto"/>
        <w:jc w:val="both"/>
        <w:rPr>
          <w:rFonts w:ascii="Verdana" w:eastAsia="Calibri" w:hAnsi="Verdana" w:cs="Arial"/>
          <w:sz w:val="20"/>
          <w:szCs w:val="20"/>
        </w:rPr>
      </w:pPr>
    </w:p>
    <w:p w14:paraId="1217455D" w14:textId="77777777" w:rsidR="004E464F" w:rsidRDefault="004E464F" w:rsidP="004E464F">
      <w:pPr>
        <w:spacing w:after="0" w:line="240" w:lineRule="auto"/>
        <w:jc w:val="both"/>
        <w:rPr>
          <w:rFonts w:ascii="Verdana" w:eastAsia="Calibri" w:hAnsi="Verdana" w:cs="Arial"/>
          <w:sz w:val="20"/>
          <w:szCs w:val="20"/>
        </w:rPr>
      </w:pPr>
    </w:p>
    <w:p w14:paraId="21CCA940" w14:textId="77777777" w:rsidR="004E464F" w:rsidRDefault="004E464F" w:rsidP="004E464F">
      <w:pPr>
        <w:spacing w:after="0" w:line="240" w:lineRule="auto"/>
        <w:jc w:val="both"/>
        <w:rPr>
          <w:rFonts w:ascii="Verdana" w:eastAsia="Calibri" w:hAnsi="Verdana" w:cs="Arial"/>
          <w:sz w:val="20"/>
          <w:szCs w:val="20"/>
        </w:rPr>
      </w:pPr>
    </w:p>
    <w:p w14:paraId="4385B306" w14:textId="77777777" w:rsidR="004E464F" w:rsidRDefault="004E464F" w:rsidP="004E464F">
      <w:pPr>
        <w:spacing w:after="0" w:line="240" w:lineRule="auto"/>
        <w:jc w:val="both"/>
        <w:rPr>
          <w:rFonts w:ascii="Verdana" w:eastAsia="Calibri" w:hAnsi="Verdana" w:cs="Arial"/>
          <w:sz w:val="20"/>
          <w:szCs w:val="20"/>
        </w:rPr>
      </w:pPr>
    </w:p>
    <w:p w14:paraId="7B31BE8C" w14:textId="77777777" w:rsidR="004E464F" w:rsidRDefault="004E464F" w:rsidP="004E464F">
      <w:pPr>
        <w:spacing w:after="0" w:line="240" w:lineRule="auto"/>
        <w:jc w:val="both"/>
        <w:rPr>
          <w:rFonts w:ascii="Verdana" w:eastAsia="Calibri" w:hAnsi="Verdana" w:cs="Arial"/>
          <w:sz w:val="20"/>
          <w:szCs w:val="20"/>
        </w:rPr>
      </w:pPr>
    </w:p>
    <w:p w14:paraId="3E680B1A" w14:textId="77777777" w:rsidR="004E464F" w:rsidRDefault="004E464F" w:rsidP="004E464F">
      <w:pPr>
        <w:spacing w:after="0" w:line="240" w:lineRule="auto"/>
        <w:jc w:val="both"/>
        <w:rPr>
          <w:rFonts w:ascii="Verdana" w:eastAsia="Calibri" w:hAnsi="Verdana" w:cs="Arial"/>
          <w:sz w:val="20"/>
          <w:szCs w:val="20"/>
        </w:rPr>
      </w:pPr>
    </w:p>
    <w:p w14:paraId="387EC33B" w14:textId="77777777" w:rsidR="004E464F" w:rsidRDefault="004E464F" w:rsidP="004E464F">
      <w:pPr>
        <w:spacing w:after="0" w:line="240" w:lineRule="auto"/>
        <w:jc w:val="both"/>
        <w:rPr>
          <w:rFonts w:ascii="Verdana" w:eastAsia="Calibri" w:hAnsi="Verdana" w:cs="Arial"/>
          <w:sz w:val="20"/>
          <w:szCs w:val="20"/>
        </w:rPr>
      </w:pPr>
    </w:p>
    <w:p w14:paraId="72147FA7" w14:textId="77777777" w:rsidR="004E464F" w:rsidRDefault="004E464F" w:rsidP="004E464F">
      <w:pPr>
        <w:spacing w:after="0" w:line="240" w:lineRule="auto"/>
        <w:jc w:val="both"/>
        <w:rPr>
          <w:rFonts w:ascii="Verdana" w:eastAsia="Calibri" w:hAnsi="Verdana" w:cs="Arial"/>
          <w:sz w:val="20"/>
          <w:szCs w:val="20"/>
        </w:rPr>
      </w:pPr>
    </w:p>
    <w:p w14:paraId="177225FA" w14:textId="77777777" w:rsidR="004E464F" w:rsidRDefault="004E464F" w:rsidP="004E464F">
      <w:pPr>
        <w:spacing w:after="0" w:line="240" w:lineRule="auto"/>
        <w:jc w:val="both"/>
        <w:rPr>
          <w:rFonts w:ascii="Verdana" w:eastAsia="Calibri" w:hAnsi="Verdana" w:cs="Arial"/>
          <w:sz w:val="20"/>
          <w:szCs w:val="20"/>
        </w:rPr>
      </w:pPr>
    </w:p>
    <w:p w14:paraId="1127A87D" w14:textId="77777777" w:rsidR="004E464F" w:rsidRDefault="004E464F" w:rsidP="004E464F">
      <w:pPr>
        <w:spacing w:after="0" w:line="240" w:lineRule="auto"/>
        <w:jc w:val="both"/>
        <w:rPr>
          <w:rFonts w:ascii="Verdana" w:eastAsia="Calibri" w:hAnsi="Verdana" w:cs="Arial"/>
          <w:sz w:val="20"/>
          <w:szCs w:val="20"/>
        </w:rPr>
      </w:pPr>
    </w:p>
    <w:p w14:paraId="39776D85" w14:textId="77777777" w:rsidR="004E464F" w:rsidRDefault="004E464F" w:rsidP="004E464F">
      <w:pPr>
        <w:spacing w:after="0" w:line="240" w:lineRule="auto"/>
        <w:jc w:val="both"/>
        <w:rPr>
          <w:rFonts w:ascii="Verdana" w:eastAsia="Calibri" w:hAnsi="Verdana" w:cs="Arial"/>
          <w:sz w:val="20"/>
          <w:szCs w:val="20"/>
        </w:rPr>
      </w:pPr>
    </w:p>
    <w:p w14:paraId="35B1644E" w14:textId="77777777" w:rsidR="004E464F" w:rsidRDefault="004E464F" w:rsidP="004E464F">
      <w:pPr>
        <w:spacing w:after="0" w:line="240" w:lineRule="auto"/>
        <w:jc w:val="both"/>
        <w:rPr>
          <w:rFonts w:ascii="Verdana" w:eastAsia="Calibri" w:hAnsi="Verdana" w:cs="Arial"/>
          <w:sz w:val="20"/>
          <w:szCs w:val="20"/>
        </w:rPr>
      </w:pPr>
    </w:p>
    <w:p w14:paraId="7161C7C5" w14:textId="77777777" w:rsidR="004E464F" w:rsidRDefault="004E464F" w:rsidP="004E464F">
      <w:pPr>
        <w:spacing w:after="0" w:line="240" w:lineRule="auto"/>
        <w:jc w:val="both"/>
        <w:rPr>
          <w:rFonts w:ascii="Verdana" w:eastAsia="Calibri" w:hAnsi="Verdana" w:cs="Arial"/>
          <w:sz w:val="20"/>
          <w:szCs w:val="20"/>
        </w:rPr>
      </w:pPr>
    </w:p>
    <w:p w14:paraId="4F39BCB0" w14:textId="77777777" w:rsidR="004E464F" w:rsidRDefault="004E464F" w:rsidP="004E464F">
      <w:pPr>
        <w:spacing w:after="0" w:line="240" w:lineRule="auto"/>
        <w:jc w:val="both"/>
        <w:rPr>
          <w:rFonts w:ascii="Verdana" w:eastAsia="Calibri" w:hAnsi="Verdana" w:cs="Arial"/>
          <w:sz w:val="20"/>
          <w:szCs w:val="20"/>
        </w:rPr>
      </w:pPr>
    </w:p>
    <w:p w14:paraId="750889F8" w14:textId="77777777" w:rsidR="004E464F" w:rsidRDefault="004E464F" w:rsidP="004E464F">
      <w:pPr>
        <w:spacing w:after="0" w:line="240" w:lineRule="auto"/>
        <w:jc w:val="both"/>
        <w:rPr>
          <w:rFonts w:ascii="Verdana" w:eastAsia="Calibri" w:hAnsi="Verdana" w:cs="Arial"/>
          <w:sz w:val="20"/>
          <w:szCs w:val="20"/>
        </w:rPr>
      </w:pPr>
    </w:p>
    <w:p w14:paraId="63A1EDB9" w14:textId="77777777" w:rsidR="004E464F" w:rsidRDefault="004E464F" w:rsidP="004E464F">
      <w:pPr>
        <w:spacing w:after="0" w:line="240" w:lineRule="auto"/>
        <w:jc w:val="both"/>
        <w:rPr>
          <w:rFonts w:ascii="Verdana" w:eastAsia="Calibri" w:hAnsi="Verdana" w:cs="Arial"/>
          <w:sz w:val="20"/>
          <w:szCs w:val="20"/>
        </w:rPr>
      </w:pPr>
    </w:p>
    <w:p w14:paraId="5629AB25" w14:textId="77777777" w:rsidR="004E464F" w:rsidRDefault="004E464F" w:rsidP="004E464F">
      <w:pPr>
        <w:spacing w:after="0" w:line="240" w:lineRule="auto"/>
        <w:jc w:val="both"/>
        <w:rPr>
          <w:rFonts w:ascii="Verdana" w:eastAsia="Calibri" w:hAnsi="Verdana" w:cs="Arial"/>
          <w:sz w:val="20"/>
          <w:szCs w:val="20"/>
        </w:rPr>
      </w:pPr>
    </w:p>
    <w:p w14:paraId="17979B96" w14:textId="77777777" w:rsidR="004E464F" w:rsidRDefault="004E464F" w:rsidP="004E464F">
      <w:pPr>
        <w:spacing w:after="0" w:line="240" w:lineRule="auto"/>
        <w:jc w:val="both"/>
        <w:rPr>
          <w:rFonts w:ascii="Verdana" w:eastAsia="Calibri" w:hAnsi="Verdana" w:cs="Arial"/>
          <w:sz w:val="20"/>
          <w:szCs w:val="20"/>
        </w:rPr>
      </w:pPr>
    </w:p>
    <w:p w14:paraId="2E38879C" w14:textId="77777777" w:rsidR="004E464F" w:rsidRDefault="004E464F" w:rsidP="004E464F">
      <w:pPr>
        <w:spacing w:after="0" w:line="240" w:lineRule="auto"/>
        <w:jc w:val="both"/>
        <w:rPr>
          <w:rFonts w:ascii="Verdana" w:eastAsia="Calibri" w:hAnsi="Verdana" w:cs="Arial"/>
          <w:sz w:val="20"/>
          <w:szCs w:val="20"/>
        </w:rPr>
      </w:pPr>
    </w:p>
    <w:p w14:paraId="49B73567" w14:textId="77777777" w:rsidR="004E464F" w:rsidRDefault="004E464F" w:rsidP="004E464F">
      <w:pPr>
        <w:spacing w:after="0" w:line="240" w:lineRule="auto"/>
        <w:jc w:val="both"/>
        <w:rPr>
          <w:rFonts w:ascii="Verdana" w:eastAsia="Calibri" w:hAnsi="Verdana" w:cs="Arial"/>
          <w:sz w:val="20"/>
          <w:szCs w:val="20"/>
        </w:rPr>
      </w:pPr>
    </w:p>
    <w:p w14:paraId="14888012" w14:textId="77777777" w:rsidR="004E464F" w:rsidRDefault="004E464F" w:rsidP="004E464F">
      <w:pPr>
        <w:spacing w:after="0" w:line="240" w:lineRule="auto"/>
        <w:jc w:val="both"/>
        <w:rPr>
          <w:rFonts w:ascii="Verdana" w:eastAsia="Calibri" w:hAnsi="Verdana" w:cs="Arial"/>
          <w:sz w:val="20"/>
          <w:szCs w:val="20"/>
        </w:rPr>
      </w:pPr>
    </w:p>
    <w:p w14:paraId="53A5E93C" w14:textId="77777777" w:rsidR="004E464F" w:rsidRDefault="004E464F" w:rsidP="004E464F">
      <w:pPr>
        <w:spacing w:after="0" w:line="240" w:lineRule="auto"/>
        <w:jc w:val="both"/>
        <w:rPr>
          <w:rFonts w:ascii="Verdana" w:eastAsia="Calibri" w:hAnsi="Verdana" w:cs="Arial"/>
          <w:sz w:val="20"/>
          <w:szCs w:val="20"/>
        </w:rPr>
      </w:pPr>
    </w:p>
    <w:p w14:paraId="1EF19391" w14:textId="77777777" w:rsidR="004E464F" w:rsidRDefault="004E464F" w:rsidP="004E464F">
      <w:pPr>
        <w:spacing w:after="0" w:line="240" w:lineRule="auto"/>
        <w:jc w:val="both"/>
        <w:rPr>
          <w:rFonts w:ascii="Verdana" w:eastAsia="Calibri" w:hAnsi="Verdana" w:cs="Arial"/>
          <w:sz w:val="20"/>
          <w:szCs w:val="20"/>
        </w:rPr>
      </w:pPr>
    </w:p>
    <w:p w14:paraId="34B6E350" w14:textId="77777777" w:rsidR="004E464F" w:rsidRDefault="004E464F" w:rsidP="004E464F">
      <w:pPr>
        <w:spacing w:after="0" w:line="240" w:lineRule="auto"/>
        <w:jc w:val="both"/>
        <w:rPr>
          <w:rFonts w:ascii="Verdana" w:eastAsia="Calibri" w:hAnsi="Verdana" w:cs="Arial"/>
          <w:sz w:val="20"/>
          <w:szCs w:val="20"/>
        </w:rPr>
      </w:pPr>
    </w:p>
    <w:p w14:paraId="673B5265" w14:textId="77777777" w:rsidR="004E464F" w:rsidRDefault="004E464F" w:rsidP="004E464F">
      <w:pPr>
        <w:spacing w:after="0" w:line="240" w:lineRule="auto"/>
        <w:jc w:val="both"/>
        <w:rPr>
          <w:rFonts w:ascii="Verdana" w:eastAsia="Calibri" w:hAnsi="Verdana" w:cs="Arial"/>
          <w:sz w:val="20"/>
          <w:szCs w:val="20"/>
        </w:rPr>
      </w:pPr>
    </w:p>
    <w:p w14:paraId="69D4E0D4" w14:textId="77777777" w:rsidR="004E464F" w:rsidRDefault="004E464F" w:rsidP="004E464F">
      <w:pPr>
        <w:spacing w:after="0" w:line="240" w:lineRule="auto"/>
        <w:jc w:val="both"/>
        <w:rPr>
          <w:rFonts w:ascii="Verdana" w:eastAsia="Calibri" w:hAnsi="Verdana" w:cs="Arial"/>
          <w:sz w:val="20"/>
          <w:szCs w:val="20"/>
        </w:rPr>
      </w:pPr>
    </w:p>
    <w:p w14:paraId="26C213B0" w14:textId="77777777" w:rsidR="004E464F" w:rsidRDefault="004E464F" w:rsidP="004E464F">
      <w:pPr>
        <w:spacing w:after="0" w:line="240" w:lineRule="auto"/>
        <w:jc w:val="both"/>
        <w:rPr>
          <w:rFonts w:ascii="Verdana" w:eastAsia="Calibri" w:hAnsi="Verdana" w:cs="Arial"/>
          <w:sz w:val="20"/>
          <w:szCs w:val="20"/>
        </w:rPr>
      </w:pPr>
    </w:p>
    <w:p w14:paraId="1468C46D" w14:textId="240C43BD" w:rsidR="00C15139" w:rsidRDefault="00C15139" w:rsidP="00C15139">
      <w:pPr>
        <w:spacing w:after="0"/>
        <w:rPr>
          <w:rFonts w:ascii="Verdana" w:hAnsi="Verdana"/>
        </w:rPr>
      </w:pPr>
      <w:r w:rsidRPr="0024624F">
        <w:rPr>
          <w:rFonts w:ascii="Verdana" w:hAnsi="Verdana"/>
        </w:rPr>
        <w:lastRenderedPageBreak/>
        <w:t xml:space="preserve">Bogotá D.C., </w:t>
      </w:r>
      <w:r w:rsidR="00112F4A">
        <w:rPr>
          <w:rFonts w:ascii="Verdana" w:hAnsi="Verdana"/>
        </w:rPr>
        <w:t>3 de diciembre de 2025</w:t>
      </w:r>
      <w:r w:rsidRPr="000E2B93">
        <w:rPr>
          <w:rFonts w:ascii="Verdana" w:hAnsi="Verdana"/>
        </w:rPr>
        <w:tab/>
      </w:r>
      <w:r w:rsidRPr="000E2B93">
        <w:rPr>
          <w:rFonts w:ascii="Verdana" w:hAnsi="Verdana"/>
        </w:rPr>
        <w:br/>
      </w:r>
    </w:p>
    <w:p w14:paraId="07B08B53" w14:textId="55381F36" w:rsidR="0080724B" w:rsidRDefault="0080724B" w:rsidP="0080724B">
      <w:pPr>
        <w:spacing w:after="0" w:line="240" w:lineRule="auto"/>
        <w:jc w:val="both"/>
        <w:rPr>
          <w:rFonts w:ascii="Verdana" w:eastAsia="Calibri" w:hAnsi="Verdana" w:cs="Arial"/>
          <w:sz w:val="20"/>
          <w:szCs w:val="20"/>
        </w:rPr>
      </w:pPr>
    </w:p>
    <w:p w14:paraId="5B6ABC70" w14:textId="65123A26" w:rsidR="0080724B" w:rsidRPr="00A81AD8" w:rsidRDefault="00112F4A" w:rsidP="0080724B">
      <w:pPr>
        <w:spacing w:after="0" w:line="240" w:lineRule="auto"/>
        <w:rPr>
          <w:rFonts w:ascii="Verdana" w:eastAsia="Calibri" w:hAnsi="Verdana" w:cs="Arial"/>
          <w:lang w:val="es-MX" w:eastAsia="es-ES"/>
        </w:rPr>
      </w:pPr>
      <w:r w:rsidRPr="00112F4A">
        <w:rPr>
          <w:rFonts w:ascii="Verdana" w:eastAsia="Calibri" w:hAnsi="Verdana" w:cs="Arial"/>
          <w:b/>
          <w:bCs/>
          <w:lang w:val="es-MX" w:eastAsia="es-ES"/>
        </w:rPr>
        <w:drawing>
          <wp:anchor distT="0" distB="0" distL="114300" distR="114300" simplePos="0" relativeHeight="251658240" behindDoc="1" locked="0" layoutInCell="1" allowOverlap="1" wp14:anchorId="3DAD135B" wp14:editId="1EF5A424">
            <wp:simplePos x="0" y="0"/>
            <wp:positionH relativeFrom="margin">
              <wp:posOffset>2716454</wp:posOffset>
            </wp:positionH>
            <wp:positionV relativeFrom="paragraph">
              <wp:posOffset>3531</wp:posOffset>
            </wp:positionV>
            <wp:extent cx="2537529" cy="799111"/>
            <wp:effectExtent l="0" t="0" r="0" b="1270"/>
            <wp:wrapNone/>
            <wp:docPr id="144533255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33255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45334" cy="801569"/>
                    </a:xfrm>
                    <a:prstGeom prst="rect">
                      <a:avLst/>
                    </a:prstGeom>
                  </pic:spPr>
                </pic:pic>
              </a:graphicData>
            </a:graphic>
            <wp14:sizeRelH relativeFrom="margin">
              <wp14:pctWidth>0</wp14:pctWidth>
            </wp14:sizeRelH>
            <wp14:sizeRelV relativeFrom="margin">
              <wp14:pctHeight>0</wp14:pctHeight>
            </wp14:sizeRelV>
          </wp:anchor>
        </w:drawing>
      </w:r>
      <w:r w:rsidR="0080724B" w:rsidRPr="00A81AD8">
        <w:rPr>
          <w:rFonts w:ascii="Verdana" w:eastAsia="Calibri" w:hAnsi="Verdana" w:cs="Arial"/>
          <w:lang w:val="es-MX" w:eastAsia="es-ES"/>
        </w:rPr>
        <w:t>Señor</w:t>
      </w:r>
    </w:p>
    <w:p w14:paraId="28CBEC48" w14:textId="593FB30A" w:rsidR="0080724B" w:rsidRPr="00A81AD8" w:rsidRDefault="0080724B" w:rsidP="0080724B">
      <w:pPr>
        <w:spacing w:after="0" w:line="240" w:lineRule="auto"/>
        <w:rPr>
          <w:rFonts w:ascii="Verdana" w:eastAsia="Calibri" w:hAnsi="Verdana" w:cs="Arial"/>
          <w:b/>
          <w:bCs/>
          <w:lang w:val="es-MX" w:eastAsia="es-ES"/>
        </w:rPr>
      </w:pPr>
      <w:r w:rsidRPr="008B4042">
        <w:rPr>
          <w:rFonts w:ascii="Verdana" w:eastAsia="Calibri" w:hAnsi="Verdana" w:cs="Arial"/>
          <w:b/>
          <w:bCs/>
          <w:lang w:val="es-MX" w:eastAsia="es-ES"/>
        </w:rPr>
        <w:t>Juan Sebastian Olaya Perdomo</w:t>
      </w:r>
      <w:r w:rsidR="00112F4A" w:rsidRPr="00112F4A">
        <w:rPr>
          <w:noProof/>
        </w:rPr>
        <w:t xml:space="preserve"> </w:t>
      </w:r>
    </w:p>
    <w:p w14:paraId="32344699" w14:textId="77777777" w:rsidR="0080724B" w:rsidRPr="00A81AD8" w:rsidRDefault="0080724B" w:rsidP="0080724B">
      <w:pPr>
        <w:spacing w:after="0" w:line="240" w:lineRule="auto"/>
        <w:rPr>
          <w:rFonts w:ascii="Verdana" w:eastAsia="Calibri" w:hAnsi="Verdana" w:cs="Arial"/>
          <w:b/>
          <w:bCs/>
          <w:lang w:val="es-MX" w:eastAsia="es-ES"/>
        </w:rPr>
      </w:pPr>
      <w:hyperlink r:id="rId11" w:history="1">
        <w:r w:rsidRPr="00B20EEE">
          <w:rPr>
            <w:rStyle w:val="Hipervnculo"/>
            <w:rFonts w:ascii="Verdana" w:hAnsi="Verdana"/>
          </w:rPr>
          <w:t>juanseolaya@gmail.com</w:t>
        </w:r>
      </w:hyperlink>
    </w:p>
    <w:p w14:paraId="1A851727" w14:textId="77777777" w:rsidR="0080724B" w:rsidRPr="00A81AD8" w:rsidRDefault="0080724B" w:rsidP="0080724B">
      <w:pPr>
        <w:spacing w:after="0" w:line="240" w:lineRule="auto"/>
        <w:rPr>
          <w:rFonts w:ascii="Verdana" w:eastAsia="Calibri" w:hAnsi="Verdana" w:cs="Arial"/>
          <w:lang w:val="pt-BR" w:eastAsia="es-ES"/>
        </w:rPr>
      </w:pPr>
      <w:r>
        <w:rPr>
          <w:rFonts w:ascii="Verdana" w:eastAsia="Calibri" w:hAnsi="Verdana" w:cs="Arial"/>
          <w:lang w:val="es-MX" w:eastAsia="es-ES"/>
        </w:rPr>
        <w:t>Cali, Valle del Cauca</w:t>
      </w:r>
    </w:p>
    <w:p w14:paraId="7ED5F626" w14:textId="77777777" w:rsidR="0080724B" w:rsidRDefault="0080724B" w:rsidP="0080724B">
      <w:pPr>
        <w:spacing w:after="0" w:line="240" w:lineRule="auto"/>
        <w:rPr>
          <w:rFonts w:ascii="Verdana" w:eastAsia="Calibri" w:hAnsi="Verdana" w:cs="Arial"/>
          <w:lang w:val="pt-BR" w:eastAsia="es-ES"/>
        </w:rPr>
      </w:pPr>
    </w:p>
    <w:p w14:paraId="71511ED7" w14:textId="77777777" w:rsidR="0080724B" w:rsidRDefault="0080724B" w:rsidP="0080724B">
      <w:pPr>
        <w:spacing w:after="0" w:line="240" w:lineRule="auto"/>
        <w:rPr>
          <w:rFonts w:ascii="Verdana" w:eastAsia="Calibri" w:hAnsi="Verdana" w:cs="Arial"/>
          <w:lang w:val="pt-BR" w:eastAsia="es-ES"/>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398"/>
      </w:tblGrid>
      <w:tr w:rsidR="0080724B" w:rsidRPr="009322DA" w14:paraId="042C7B7D" w14:textId="77777777" w:rsidTr="00F20E16">
        <w:trPr>
          <w:trHeight w:val="723"/>
        </w:trPr>
        <w:tc>
          <w:tcPr>
            <w:tcW w:w="2835" w:type="dxa"/>
          </w:tcPr>
          <w:p w14:paraId="501914DE" w14:textId="77777777" w:rsidR="0080724B" w:rsidRDefault="0080724B">
            <w:pPr>
              <w:jc w:val="both"/>
              <w:rPr>
                <w:rFonts w:ascii="Verdana" w:hAnsi="Verdana" w:cs="Arial"/>
                <w:b/>
                <w:bCs/>
                <w:lang w:val="es-ES_tradnl" w:eastAsia="es-ES_tradnl"/>
              </w:rPr>
            </w:pPr>
          </w:p>
          <w:p w14:paraId="6D425EBD" w14:textId="77777777" w:rsidR="0080724B" w:rsidRPr="009322DA" w:rsidRDefault="0080724B">
            <w:pPr>
              <w:jc w:val="both"/>
              <w:rPr>
                <w:rFonts w:ascii="Verdana" w:hAnsi="Verdana" w:cs="Arial"/>
                <w:b/>
                <w:bCs/>
                <w:lang w:val="es-ES_tradnl" w:eastAsia="es-ES_tradnl"/>
              </w:rPr>
            </w:pPr>
          </w:p>
        </w:tc>
        <w:tc>
          <w:tcPr>
            <w:tcW w:w="6398" w:type="dxa"/>
            <w:hideMark/>
          </w:tcPr>
          <w:p w14:paraId="26396D8D" w14:textId="77777777" w:rsidR="0080724B" w:rsidRPr="009322DA" w:rsidRDefault="0080724B">
            <w:pPr>
              <w:jc w:val="both"/>
              <w:rPr>
                <w:rFonts w:ascii="Verdana" w:hAnsi="Verdana" w:cs="Arial"/>
                <w:b/>
                <w:bCs/>
                <w:lang w:val="es-ES" w:eastAsia="es-ES"/>
              </w:rPr>
            </w:pPr>
            <w:r w:rsidRPr="009322DA">
              <w:rPr>
                <w:rFonts w:ascii="Verdana" w:hAnsi="Verdana" w:cs="Arial"/>
                <w:b/>
                <w:bCs/>
                <w:lang w:val="es-ES" w:eastAsia="es-ES"/>
              </w:rPr>
              <w:t xml:space="preserve">Concepto C- </w:t>
            </w:r>
            <w:r>
              <w:rPr>
                <w:rFonts w:ascii="Verdana" w:hAnsi="Verdana" w:cs="Arial"/>
                <w:b/>
                <w:bCs/>
                <w:lang w:val="es-ES" w:eastAsia="es-ES"/>
              </w:rPr>
              <w:t xml:space="preserve">1699 </w:t>
            </w:r>
            <w:r w:rsidRPr="009322DA">
              <w:rPr>
                <w:rFonts w:ascii="Verdana" w:hAnsi="Verdana" w:cs="Arial"/>
                <w:b/>
                <w:bCs/>
                <w:lang w:val="es-ES" w:eastAsia="es-ES"/>
              </w:rPr>
              <w:t>de 202</w:t>
            </w:r>
            <w:r>
              <w:rPr>
                <w:rFonts w:ascii="Verdana" w:hAnsi="Verdana" w:cs="Arial"/>
                <w:b/>
                <w:bCs/>
                <w:lang w:val="es-ES" w:eastAsia="es-ES"/>
              </w:rPr>
              <w:t>5</w:t>
            </w:r>
          </w:p>
        </w:tc>
      </w:tr>
      <w:tr w:rsidR="0080724B" w:rsidRPr="009322DA" w14:paraId="67370E81" w14:textId="77777777">
        <w:trPr>
          <w:trHeight w:val="999"/>
        </w:trPr>
        <w:tc>
          <w:tcPr>
            <w:tcW w:w="2835" w:type="dxa"/>
            <w:hideMark/>
          </w:tcPr>
          <w:p w14:paraId="398A25E7" w14:textId="77777777" w:rsidR="0080724B" w:rsidRPr="009322DA" w:rsidRDefault="0080724B">
            <w:pPr>
              <w:jc w:val="both"/>
              <w:rPr>
                <w:rFonts w:ascii="Verdana" w:hAnsi="Verdana" w:cs="Arial"/>
                <w:lang w:val="es-ES_tradnl" w:eastAsia="es-ES_tradnl"/>
              </w:rPr>
            </w:pPr>
            <w:r w:rsidRPr="009322DA">
              <w:rPr>
                <w:rFonts w:ascii="Verdana" w:hAnsi="Verdana" w:cs="Arial"/>
                <w:b/>
                <w:lang w:val="es-ES_tradnl" w:eastAsia="es-ES_tradnl"/>
              </w:rPr>
              <w:t>Temas:</w:t>
            </w:r>
            <w:r w:rsidRPr="009322DA">
              <w:rPr>
                <w:rFonts w:ascii="Verdana" w:hAnsi="Verdana" w:cs="Arial"/>
                <w:lang w:val="es-ES_tradnl" w:eastAsia="es-ES_tradnl"/>
              </w:rPr>
              <w:t xml:space="preserve">                   </w:t>
            </w:r>
          </w:p>
        </w:tc>
        <w:tc>
          <w:tcPr>
            <w:tcW w:w="6398" w:type="dxa"/>
          </w:tcPr>
          <w:p w14:paraId="03DCF14E" w14:textId="77777777" w:rsidR="0080724B" w:rsidRPr="009A07F1" w:rsidRDefault="0080724B">
            <w:pPr>
              <w:jc w:val="both"/>
              <w:rPr>
                <w:rFonts w:ascii="Verdana" w:hAnsi="Verdana" w:cs="Arial"/>
                <w:bCs/>
                <w:lang w:val="es-MX" w:eastAsia="es-ES"/>
              </w:rPr>
            </w:pPr>
            <w:r w:rsidRPr="001B2D32">
              <w:rPr>
                <w:rFonts w:ascii="Verdana" w:hAnsi="Verdana" w:cs="Arial"/>
                <w:bCs/>
                <w:lang w:val="es-MX" w:eastAsia="es-ES"/>
              </w:rPr>
              <w:t xml:space="preserve">PRINCIPIO DE ECONOMÍA – artículo 25 Ley 80 de 1993/ </w:t>
            </w:r>
            <w:r w:rsidRPr="009A07F1">
              <w:rPr>
                <w:rFonts w:ascii="Verdana" w:eastAsia="Geomanist Light" w:hAnsi="Verdana" w:cs="Arial"/>
                <w:lang w:val="es-ES"/>
              </w:rPr>
              <w:t>PUBLICIDAD – Procesos de contratación – Cronograma – Horario – Actividad contractual</w:t>
            </w:r>
            <w:r>
              <w:rPr>
                <w:rFonts w:ascii="Verdana" w:eastAsia="Geomanist Light" w:hAnsi="Verdana" w:cs="Arial"/>
                <w:lang w:val="es-ES"/>
              </w:rPr>
              <w:t xml:space="preserve">/ </w:t>
            </w:r>
            <w:r w:rsidRPr="001B2D32">
              <w:rPr>
                <w:rFonts w:ascii="Verdana" w:hAnsi="Verdana" w:cs="Arial"/>
                <w:bCs/>
                <w:lang w:val="es-MX" w:eastAsia="es-ES"/>
              </w:rPr>
              <w:t xml:space="preserve">TÉRMINOS O PLAZOS DE LAS ETAPAS DEL PROCESO DE SELECCIÓN CONTRACTUAL – Preclusivos y perentorios/ CRONOGRAMA – Definición – Importancia / </w:t>
            </w:r>
            <w:r w:rsidRPr="009A07F1">
              <w:rPr>
                <w:rFonts w:ascii="Verdana" w:hAnsi="Verdana" w:cs="Arial"/>
                <w:bCs/>
                <w:lang w:val="es-MX" w:eastAsia="es-ES"/>
              </w:rPr>
              <w:t>PRINCIPIO DE TRANSPARENCIA – Reglas aplicables a la presentación de ofertas</w:t>
            </w:r>
            <w:r>
              <w:rPr>
                <w:rFonts w:ascii="Verdana" w:hAnsi="Verdana" w:cs="Arial"/>
                <w:bCs/>
                <w:lang w:val="es-MX" w:eastAsia="es-ES"/>
              </w:rPr>
              <w:t>.</w:t>
            </w:r>
          </w:p>
          <w:p w14:paraId="4E21DD68" w14:textId="77777777" w:rsidR="0080724B" w:rsidRPr="001B2D32" w:rsidRDefault="0080724B">
            <w:pPr>
              <w:jc w:val="both"/>
              <w:rPr>
                <w:rFonts w:ascii="Verdana" w:hAnsi="Verdana" w:cs="Arial"/>
                <w:bCs/>
                <w:lang w:val="es-MX" w:eastAsia="es-ES"/>
              </w:rPr>
            </w:pPr>
            <w:r w:rsidRPr="001B2D32">
              <w:rPr>
                <w:rFonts w:ascii="Verdana" w:hAnsi="Verdana" w:cs="Arial"/>
                <w:bCs/>
                <w:lang w:val="es-MX" w:eastAsia="es-ES"/>
              </w:rPr>
              <w:t xml:space="preserve"> </w:t>
            </w:r>
          </w:p>
          <w:p w14:paraId="0437AEBC" w14:textId="77777777" w:rsidR="0080724B" w:rsidRPr="00EB3000" w:rsidRDefault="0080724B">
            <w:pPr>
              <w:jc w:val="both"/>
              <w:rPr>
                <w:rFonts w:ascii="Verdana" w:hAnsi="Verdana" w:cs="Arial"/>
                <w:lang w:val="es-ES_tradnl" w:eastAsia="es-ES"/>
              </w:rPr>
            </w:pPr>
          </w:p>
        </w:tc>
      </w:tr>
      <w:tr w:rsidR="0080724B" w:rsidRPr="009322DA" w14:paraId="5D8AF4CC" w14:textId="77777777">
        <w:trPr>
          <w:trHeight w:val="597"/>
        </w:trPr>
        <w:tc>
          <w:tcPr>
            <w:tcW w:w="2835" w:type="dxa"/>
            <w:hideMark/>
          </w:tcPr>
          <w:p w14:paraId="46344B25" w14:textId="77777777" w:rsidR="0080724B" w:rsidRPr="009322DA" w:rsidRDefault="0080724B">
            <w:pPr>
              <w:jc w:val="both"/>
              <w:rPr>
                <w:rFonts w:ascii="Verdana" w:hAnsi="Verdana" w:cs="Arial"/>
                <w:b/>
                <w:lang w:val="es-ES_tradnl" w:eastAsia="es-ES_tradnl"/>
              </w:rPr>
            </w:pPr>
            <w:r w:rsidRPr="009322DA">
              <w:rPr>
                <w:rFonts w:ascii="Verdana" w:hAnsi="Verdana" w:cs="Arial"/>
                <w:b/>
                <w:lang w:val="es-ES_tradnl" w:eastAsia="es-ES_tradnl"/>
              </w:rPr>
              <w:t>Radicación:</w:t>
            </w:r>
            <w:r w:rsidRPr="009322DA">
              <w:rPr>
                <w:rFonts w:ascii="Verdana" w:hAnsi="Verdana" w:cs="Arial"/>
                <w:lang w:val="es-ES_tradnl" w:eastAsia="es-ES_tradnl"/>
              </w:rPr>
              <w:t xml:space="preserve">               </w:t>
            </w:r>
          </w:p>
        </w:tc>
        <w:tc>
          <w:tcPr>
            <w:tcW w:w="6398" w:type="dxa"/>
          </w:tcPr>
          <w:p w14:paraId="5F33B3F0" w14:textId="77777777" w:rsidR="0080724B" w:rsidRPr="009322DA" w:rsidRDefault="0080724B">
            <w:pPr>
              <w:jc w:val="both"/>
              <w:rPr>
                <w:rFonts w:ascii="Verdana" w:hAnsi="Verdana" w:cs="Arial"/>
                <w:lang w:val="es-ES_tradnl" w:eastAsia="es-ES_tradnl"/>
              </w:rPr>
            </w:pPr>
            <w:r w:rsidRPr="009322DA">
              <w:rPr>
                <w:rFonts w:ascii="Verdana" w:hAnsi="Verdana" w:cs="Arial"/>
                <w:lang w:val="es-ES_tradnl" w:eastAsia="es-ES_tradnl"/>
              </w:rPr>
              <w:t xml:space="preserve">Respuesta a consulta con radicado No. </w:t>
            </w:r>
            <w:r w:rsidRPr="00162A1F">
              <w:rPr>
                <w:rFonts w:ascii="Verdana" w:hAnsi="Verdana"/>
                <w:lang w:eastAsia="es-ES_tradnl"/>
              </w:rPr>
              <w:t>1_2025_11_18_012955</w:t>
            </w:r>
            <w:r>
              <w:rPr>
                <w:rFonts w:ascii="Verdana" w:hAnsi="Verdana"/>
                <w:lang w:eastAsia="es-ES_tradnl"/>
              </w:rPr>
              <w:t>.</w:t>
            </w:r>
          </w:p>
        </w:tc>
      </w:tr>
    </w:tbl>
    <w:p w14:paraId="36DE248E" w14:textId="77777777" w:rsidR="0080724B" w:rsidRPr="009322DA" w:rsidRDefault="0080724B" w:rsidP="0080724B">
      <w:pPr>
        <w:spacing w:after="0" w:line="240" w:lineRule="auto"/>
        <w:jc w:val="both"/>
        <w:rPr>
          <w:rFonts w:ascii="Verdana" w:eastAsia="Calibri" w:hAnsi="Verdana" w:cs="Arial"/>
          <w:lang w:val="es-ES_tradnl" w:eastAsia="es-ES_tradnl"/>
        </w:rPr>
      </w:pPr>
    </w:p>
    <w:p w14:paraId="032D2B63" w14:textId="77777777" w:rsidR="0080724B" w:rsidRPr="009322DA" w:rsidRDefault="0080724B" w:rsidP="0080724B">
      <w:pPr>
        <w:spacing w:after="0" w:line="240" w:lineRule="auto"/>
        <w:jc w:val="both"/>
        <w:rPr>
          <w:rFonts w:ascii="Verdana" w:eastAsia="Calibri" w:hAnsi="Verdana" w:cs="Arial"/>
          <w:lang w:val="es-ES_tradnl" w:eastAsia="es-ES_tradnl"/>
        </w:rPr>
      </w:pPr>
    </w:p>
    <w:p w14:paraId="76E63999" w14:textId="77777777" w:rsidR="0080724B" w:rsidRPr="009322DA" w:rsidRDefault="0080724B" w:rsidP="0080724B">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Estimad</w:t>
      </w:r>
      <w:r>
        <w:rPr>
          <w:rFonts w:ascii="Verdana" w:eastAsia="Calibri" w:hAnsi="Verdana" w:cs="Arial"/>
          <w:lang w:val="es-ES" w:eastAsia="es-ES"/>
        </w:rPr>
        <w:t>o</w:t>
      </w:r>
      <w:r w:rsidRPr="009322DA">
        <w:rPr>
          <w:rFonts w:ascii="Verdana" w:eastAsia="Calibri" w:hAnsi="Verdana" w:cs="Arial"/>
          <w:lang w:val="es-ES" w:eastAsia="es-ES"/>
        </w:rPr>
        <w:t xml:space="preserve"> señor</w:t>
      </w:r>
      <w:r>
        <w:rPr>
          <w:rFonts w:ascii="Verdana" w:eastAsia="Calibri" w:hAnsi="Verdana" w:cs="Arial"/>
          <w:lang w:val="es-ES" w:eastAsia="es-ES"/>
        </w:rPr>
        <w:t xml:space="preserve"> Olaya: </w:t>
      </w:r>
      <w:r w:rsidRPr="009322DA">
        <w:rPr>
          <w:rFonts w:ascii="Verdana" w:eastAsia="Calibri" w:hAnsi="Verdana" w:cs="Arial"/>
          <w:lang w:val="es-ES" w:eastAsia="es-ES"/>
        </w:rPr>
        <w:t xml:space="preserve"> </w:t>
      </w:r>
    </w:p>
    <w:p w14:paraId="793C8B1B" w14:textId="77777777" w:rsidR="0080724B" w:rsidRPr="009322DA" w:rsidRDefault="0080724B" w:rsidP="0080724B">
      <w:pPr>
        <w:tabs>
          <w:tab w:val="left" w:pos="3768"/>
        </w:tabs>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ab/>
      </w:r>
    </w:p>
    <w:p w14:paraId="22B18A90" w14:textId="05366AC6" w:rsidR="0080724B" w:rsidRPr="009322DA" w:rsidRDefault="0080724B" w:rsidP="0080724B">
      <w:pPr>
        <w:spacing w:after="0" w:line="276" w:lineRule="auto"/>
        <w:jc w:val="both"/>
        <w:rPr>
          <w:rFonts w:ascii="Verdana" w:eastAsia="Calibri" w:hAnsi="Verdana" w:cs="Arial"/>
          <w:lang w:val="es-ES" w:eastAsia="es-ES"/>
        </w:rPr>
      </w:pPr>
      <w:r w:rsidRPr="00834451">
        <w:rPr>
          <w:rFonts w:ascii="Verdana" w:eastAsia="Calibri" w:hAnsi="Verdana" w:cs="Arial"/>
          <w:lang w:val="es-ES" w:eastAsia="es-ES"/>
        </w:rPr>
        <w:t>En ejercicio de la competencia otorgada por los artículos 3, numeral 5º, y 11, numeral 8º, del Decreto Ley 4170 de 2011, así como lo establecido en el artículo 4 de la Resolución 469 de 2025 expedida por esta Entidad, la Agencia Nacional de Contratación Pública – Colombia Compra Eficiente responde su solicitud de concepto del 1</w:t>
      </w:r>
      <w:r>
        <w:rPr>
          <w:rFonts w:ascii="Verdana" w:eastAsia="Calibri" w:hAnsi="Verdana" w:cs="Arial"/>
          <w:lang w:val="es-ES" w:eastAsia="es-ES"/>
        </w:rPr>
        <w:t>8</w:t>
      </w:r>
      <w:r w:rsidRPr="00834451">
        <w:rPr>
          <w:rFonts w:ascii="Verdana" w:eastAsia="Calibri" w:hAnsi="Verdana" w:cs="Arial"/>
          <w:lang w:val="es-ES" w:eastAsia="es-ES"/>
        </w:rPr>
        <w:t xml:space="preserve"> de noviembre de 2025, en la cual consulta sobre lo siguiente:</w:t>
      </w:r>
    </w:p>
    <w:p w14:paraId="101D849E" w14:textId="77777777" w:rsidR="0080724B" w:rsidRPr="009322DA" w:rsidRDefault="0080724B" w:rsidP="0080724B">
      <w:pPr>
        <w:spacing w:after="0" w:line="240" w:lineRule="auto"/>
        <w:ind w:left="709" w:right="709"/>
        <w:jc w:val="both"/>
        <w:rPr>
          <w:rFonts w:ascii="Verdana" w:eastAsia="Century Gothic" w:hAnsi="Verdana" w:cs="Century Gothic"/>
          <w:sz w:val="20"/>
          <w:szCs w:val="20"/>
          <w:lang w:val="es-ES"/>
        </w:rPr>
      </w:pPr>
      <w:bookmarkStart w:id="1" w:name="_Hlk95313578"/>
    </w:p>
    <w:p w14:paraId="57754DC1" w14:textId="77777777" w:rsidR="0080724B" w:rsidRPr="00593ED8" w:rsidRDefault="0080724B" w:rsidP="0080724B">
      <w:pPr>
        <w:spacing w:line="240" w:lineRule="auto"/>
        <w:ind w:left="709" w:right="680"/>
        <w:jc w:val="both"/>
        <w:rPr>
          <w:rFonts w:ascii="Verdana" w:eastAsia="Century Gothic" w:hAnsi="Verdana" w:cs="Century Gothic"/>
          <w:sz w:val="20"/>
          <w:szCs w:val="20"/>
          <w:lang w:val="es-MX"/>
        </w:rPr>
      </w:pPr>
      <w:r w:rsidRPr="004D70FC">
        <w:rPr>
          <w:rFonts w:ascii="Verdana" w:eastAsia="Century Gothic" w:hAnsi="Verdana" w:cs="Century Gothic"/>
          <w:sz w:val="20"/>
          <w:szCs w:val="20"/>
          <w:lang w:val="es-ES"/>
        </w:rPr>
        <w:t>“</w:t>
      </w:r>
      <w:bookmarkEnd w:id="1"/>
      <w:r w:rsidRPr="00593ED8">
        <w:rPr>
          <w:rFonts w:ascii="Verdana" w:eastAsia="Century Gothic" w:hAnsi="Verdana" w:cs="Century Gothic"/>
          <w:sz w:val="20"/>
          <w:szCs w:val="20"/>
          <w:lang w:val="es-MX"/>
        </w:rPr>
        <w:t>Cordial Saludo,</w:t>
      </w:r>
    </w:p>
    <w:p w14:paraId="5AAEAD3F" w14:textId="77777777" w:rsidR="00F20E16" w:rsidRDefault="0080724B" w:rsidP="00F20E16">
      <w:pPr>
        <w:spacing w:line="240" w:lineRule="auto"/>
        <w:ind w:left="709" w:right="680"/>
        <w:jc w:val="both"/>
        <w:rPr>
          <w:rFonts w:ascii="Verdana" w:eastAsia="Century Gothic" w:hAnsi="Verdana" w:cs="Century Gothic"/>
          <w:sz w:val="20"/>
          <w:szCs w:val="20"/>
          <w:lang w:val="es-ES"/>
        </w:rPr>
      </w:pPr>
      <w:r w:rsidRPr="00593ED8">
        <w:rPr>
          <w:rFonts w:ascii="Verdana" w:eastAsia="Century Gothic" w:hAnsi="Verdana" w:cs="Century Gothic"/>
          <w:sz w:val="20"/>
          <w:szCs w:val="20"/>
          <w:lang w:val="es-MX"/>
        </w:rPr>
        <w:t>Solicito amablemente me den un concepto sobre el tiempo de ley que se debe</w:t>
      </w:r>
      <w:r>
        <w:rPr>
          <w:rFonts w:ascii="Verdana" w:eastAsia="Century Gothic" w:hAnsi="Verdana" w:cs="Century Gothic"/>
          <w:sz w:val="20"/>
          <w:szCs w:val="20"/>
          <w:lang w:val="es-MX"/>
        </w:rPr>
        <w:t xml:space="preserve"> </w:t>
      </w:r>
      <w:r w:rsidRPr="00593ED8">
        <w:rPr>
          <w:rFonts w:ascii="Verdana" w:eastAsia="Century Gothic" w:hAnsi="Verdana" w:cs="Century Gothic"/>
          <w:sz w:val="20"/>
          <w:szCs w:val="20"/>
          <w:lang w:val="es-MX"/>
        </w:rPr>
        <w:t>determinar como mínimo para la presentación de ofertas en la licitación publica,</w:t>
      </w:r>
      <w:r>
        <w:rPr>
          <w:rFonts w:ascii="Verdana" w:eastAsia="Century Gothic" w:hAnsi="Verdana" w:cs="Century Gothic"/>
          <w:sz w:val="20"/>
          <w:szCs w:val="20"/>
          <w:lang w:val="es-MX"/>
        </w:rPr>
        <w:t xml:space="preserve"> </w:t>
      </w:r>
      <w:r w:rsidRPr="00593ED8">
        <w:rPr>
          <w:rFonts w:ascii="Verdana" w:eastAsia="Century Gothic" w:hAnsi="Verdana" w:cs="Century Gothic"/>
          <w:sz w:val="20"/>
          <w:szCs w:val="20"/>
          <w:lang w:val="es-MX"/>
        </w:rPr>
        <w:t>selecion abreviada y concurso de méritos. Y su soporte legal</w:t>
      </w:r>
      <w:r>
        <w:rPr>
          <w:rFonts w:ascii="Verdana" w:eastAsia="Century Gothic" w:hAnsi="Verdana" w:cs="Century Gothic"/>
          <w:sz w:val="20"/>
          <w:szCs w:val="20"/>
          <w:lang w:val="es-ES"/>
        </w:rPr>
        <w:t>.” [sic]</w:t>
      </w:r>
    </w:p>
    <w:p w14:paraId="679C4522" w14:textId="12C2EA99" w:rsidR="0080724B" w:rsidRPr="009322DA" w:rsidRDefault="0080724B" w:rsidP="00F20E16">
      <w:pPr>
        <w:spacing w:line="240" w:lineRule="auto"/>
        <w:ind w:right="49"/>
        <w:jc w:val="both"/>
        <w:rPr>
          <w:rFonts w:ascii="Verdana" w:eastAsia="Calibri" w:hAnsi="Verdana" w:cs="Arial"/>
          <w:szCs w:val="24"/>
          <w:lang w:val="es-ES_tradnl" w:eastAsia="es-ES_tradnl"/>
        </w:rPr>
      </w:pPr>
      <w:r w:rsidRPr="009322DA">
        <w:rPr>
          <w:rFonts w:ascii="Verdana" w:eastAsia="Calibri" w:hAnsi="Verdana" w:cs="Arial"/>
          <w:lang w:val="es-ES" w:eastAsia="es-ES"/>
        </w:rPr>
        <w:lastRenderedPageBreak/>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22DA">
        <w:rPr>
          <w:rFonts w:ascii="Verdana" w:eastAsia="Calibri" w:hAnsi="Verdana" w:cs="Arial"/>
          <w:szCs w:val="24"/>
          <w:lang w:val="es-ES_tradnl" w:eastAsia="es-ES_tradnl"/>
        </w:rPr>
        <w:tab/>
      </w:r>
    </w:p>
    <w:p w14:paraId="711520B6" w14:textId="77777777" w:rsidR="0080724B" w:rsidRPr="009322DA" w:rsidRDefault="0080724B" w:rsidP="0080724B">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294CD84" w14:textId="77777777" w:rsidR="0080724B" w:rsidRPr="009322DA" w:rsidRDefault="0080724B" w:rsidP="0080724B">
      <w:pPr>
        <w:spacing w:after="0" w:line="276" w:lineRule="auto"/>
        <w:ind w:firstLine="709"/>
        <w:jc w:val="both"/>
        <w:rPr>
          <w:rFonts w:ascii="Verdana" w:eastAsia="Calibri" w:hAnsi="Verdana" w:cs="Arial"/>
          <w:lang w:val="es-ES" w:eastAsia="es-ES"/>
        </w:rPr>
      </w:pPr>
    </w:p>
    <w:p w14:paraId="319D3445" w14:textId="77777777" w:rsidR="0080724B" w:rsidRPr="009322DA" w:rsidRDefault="0080724B" w:rsidP="0080724B">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Problema planteado:</w:t>
      </w:r>
    </w:p>
    <w:p w14:paraId="76EB0372" w14:textId="77777777" w:rsidR="0080724B" w:rsidRPr="009322DA" w:rsidRDefault="0080724B" w:rsidP="0080724B">
      <w:pPr>
        <w:tabs>
          <w:tab w:val="left" w:pos="426"/>
        </w:tabs>
        <w:spacing w:after="0" w:line="276" w:lineRule="auto"/>
        <w:jc w:val="both"/>
        <w:rPr>
          <w:rFonts w:ascii="Verdana" w:eastAsia="Century Gothic" w:hAnsi="Verdana" w:cs="Century Gothic"/>
          <w:lang w:val="es-ES"/>
        </w:rPr>
      </w:pPr>
    </w:p>
    <w:p w14:paraId="30F01816" w14:textId="78360666" w:rsidR="0080724B" w:rsidRPr="009322DA" w:rsidRDefault="0080724B" w:rsidP="0080724B">
      <w:pPr>
        <w:spacing w:after="0" w:line="276" w:lineRule="auto"/>
        <w:jc w:val="both"/>
        <w:rPr>
          <w:rFonts w:ascii="Verdana" w:eastAsia="Century Gothic" w:hAnsi="Verdana" w:cs="Century Gothic"/>
        </w:rPr>
      </w:pPr>
      <w:r w:rsidRPr="3278CCE9">
        <w:rPr>
          <w:rFonts w:ascii="Verdana" w:eastAsia="Century Gothic" w:hAnsi="Verdana" w:cs="Century Gothic"/>
        </w:rPr>
        <w:t>De acuerdo con el contenido de su solicitud, esta Agencia resolverá los siguientes problemas jurídicos</w:t>
      </w:r>
      <w:r w:rsidRPr="003F32BE">
        <w:rPr>
          <w:rFonts w:ascii="Verdana" w:eastAsia="Century Gothic" w:hAnsi="Verdana" w:cs="Century Gothic"/>
        </w:rPr>
        <w:t xml:space="preserve">: </w:t>
      </w:r>
      <w:r w:rsidRPr="009A07F1">
        <w:rPr>
          <w:rFonts w:ascii="Verdana" w:eastAsia="Century Gothic" w:hAnsi="Verdana" w:cs="Century Gothic"/>
        </w:rPr>
        <w:t xml:space="preserve">¿Existe </w:t>
      </w:r>
      <w:r w:rsidRPr="009A07F1">
        <w:rPr>
          <w:rFonts w:ascii="Verdana" w:eastAsia="Century Gothic" w:hAnsi="Verdana" w:cs="Century Gothic"/>
          <w:lang w:val="es-MX"/>
        </w:rPr>
        <w:t>normativa</w:t>
      </w:r>
      <w:r w:rsidR="006B664A">
        <w:rPr>
          <w:rFonts w:ascii="Verdana" w:eastAsia="Century Gothic" w:hAnsi="Verdana" w:cs="Century Gothic"/>
          <w:lang w:val="es-MX"/>
        </w:rPr>
        <w:t xml:space="preserve"> que regule</w:t>
      </w:r>
      <w:r w:rsidR="00B46D7E">
        <w:rPr>
          <w:rFonts w:ascii="Verdana" w:eastAsia="Century Gothic" w:hAnsi="Verdana" w:cs="Century Gothic"/>
          <w:lang w:val="es-MX"/>
        </w:rPr>
        <w:t xml:space="preserve"> los términos </w:t>
      </w:r>
      <w:r w:rsidR="00EA1E20">
        <w:rPr>
          <w:rFonts w:ascii="Verdana" w:eastAsia="Century Gothic" w:hAnsi="Verdana" w:cs="Century Gothic"/>
          <w:lang w:val="es-MX"/>
        </w:rPr>
        <w:t xml:space="preserve">para la presentación de ofertas en la modalidad de </w:t>
      </w:r>
      <w:r w:rsidR="00B46D7E">
        <w:rPr>
          <w:rFonts w:ascii="Verdana" w:eastAsia="Century Gothic" w:hAnsi="Verdana" w:cs="Century Gothic"/>
          <w:lang w:val="es-MX"/>
        </w:rPr>
        <w:t>licitación</w:t>
      </w:r>
      <w:r w:rsidR="00EA1E20">
        <w:rPr>
          <w:rFonts w:ascii="Verdana" w:eastAsia="Century Gothic" w:hAnsi="Verdana" w:cs="Century Gothic"/>
          <w:lang w:val="es-MX"/>
        </w:rPr>
        <w:t xml:space="preserve"> </w:t>
      </w:r>
      <w:r w:rsidR="00B46D7E">
        <w:rPr>
          <w:rFonts w:ascii="Verdana" w:eastAsia="Century Gothic" w:hAnsi="Verdana" w:cs="Century Gothic"/>
          <w:lang w:val="es-MX"/>
        </w:rPr>
        <w:t>pública</w:t>
      </w:r>
      <w:r w:rsidR="00EA1E20">
        <w:rPr>
          <w:rFonts w:ascii="Verdana" w:eastAsia="Century Gothic" w:hAnsi="Verdana" w:cs="Century Gothic"/>
          <w:lang w:val="es-MX"/>
        </w:rPr>
        <w:t xml:space="preserve">, </w:t>
      </w:r>
      <w:r w:rsidR="006B664A">
        <w:rPr>
          <w:rFonts w:ascii="Verdana" w:eastAsia="Century Gothic" w:hAnsi="Verdana" w:cs="Century Gothic"/>
          <w:lang w:val="es-MX"/>
        </w:rPr>
        <w:t xml:space="preserve">selección abreviada y concurso de méritos? </w:t>
      </w:r>
    </w:p>
    <w:p w14:paraId="05D8DE96" w14:textId="77777777" w:rsidR="0080724B" w:rsidRPr="009322DA" w:rsidRDefault="0080724B" w:rsidP="00DA17DD">
      <w:pPr>
        <w:spacing w:after="0" w:line="240" w:lineRule="auto"/>
        <w:jc w:val="both"/>
        <w:rPr>
          <w:rFonts w:ascii="Verdana" w:eastAsia="Calibri" w:hAnsi="Verdana" w:cs="Arial"/>
          <w:lang w:val="es-ES"/>
        </w:rPr>
      </w:pPr>
    </w:p>
    <w:p w14:paraId="548EF734" w14:textId="43D3388B" w:rsidR="00107362" w:rsidRDefault="0080724B" w:rsidP="00DA17DD">
      <w:pPr>
        <w:numPr>
          <w:ilvl w:val="0"/>
          <w:numId w:val="16"/>
        </w:numPr>
        <w:tabs>
          <w:tab w:val="left" w:pos="142"/>
          <w:tab w:val="left" w:pos="284"/>
        </w:tabs>
        <w:spacing w:after="120" w:line="240" w:lineRule="auto"/>
        <w:ind w:left="0" w:firstLine="0"/>
        <w:contextualSpacing/>
        <w:jc w:val="both"/>
        <w:rPr>
          <w:rFonts w:ascii="Verdana" w:eastAsia="Century Gothic" w:hAnsi="Verdana" w:cs="Century Gothic"/>
          <w:b/>
          <w:bCs/>
          <w:lang w:val="es-ES"/>
        </w:rPr>
      </w:pPr>
      <w:r w:rsidRPr="00F873A3">
        <w:rPr>
          <w:rFonts w:ascii="Verdana" w:eastAsia="Century Gothic" w:hAnsi="Verdana" w:cs="Century Gothic"/>
          <w:b/>
          <w:bCs/>
          <w:lang w:val="es-ES"/>
        </w:rPr>
        <w:t>Respuesta:</w:t>
      </w:r>
    </w:p>
    <w:p w14:paraId="560D6E6A" w14:textId="77777777" w:rsidR="00DA17DD" w:rsidRPr="00F873A3" w:rsidRDefault="00DA17DD" w:rsidP="00DA17DD">
      <w:pPr>
        <w:tabs>
          <w:tab w:val="left" w:pos="142"/>
          <w:tab w:val="left" w:pos="284"/>
        </w:tabs>
        <w:spacing w:after="120" w:line="240"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724B" w:rsidRPr="009322DA" w14:paraId="70B620A9" w14:textId="77777777">
        <w:tc>
          <w:tcPr>
            <w:tcW w:w="8828" w:type="dxa"/>
            <w:tcBorders>
              <w:top w:val="dotted" w:sz="4" w:space="0" w:color="auto"/>
              <w:left w:val="dotted" w:sz="4" w:space="0" w:color="auto"/>
              <w:bottom w:val="dotted" w:sz="4" w:space="0" w:color="auto"/>
              <w:right w:val="dotted" w:sz="4" w:space="0" w:color="auto"/>
            </w:tcBorders>
          </w:tcPr>
          <w:p w14:paraId="1ACE6A9C" w14:textId="77777777" w:rsidR="00DA17DD" w:rsidRDefault="0080724B" w:rsidP="00DA17DD">
            <w:pPr>
              <w:tabs>
                <w:tab w:val="left" w:pos="27"/>
                <w:tab w:val="left" w:pos="142"/>
              </w:tabs>
              <w:spacing w:after="120"/>
              <w:ind w:firstLine="28"/>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t xml:space="preserve">En el ordenamiento jurídico colombiano existen disposiciones normativas que fijan plazos mínimos específicos para ciertas etapas del proceso, dependiendo de la modalidad de selección, para el caso en concreto abordaremos los términos para la presentación de ofertas, </w:t>
            </w:r>
            <w:r>
              <w:rPr>
                <w:rFonts w:ascii="Verdana" w:eastAsia="Times New Roman" w:hAnsi="Verdana" w:cs="Arial"/>
                <w:color w:val="000000" w:themeColor="text1"/>
              </w:rPr>
              <w:t xml:space="preserve">en </w:t>
            </w:r>
            <w:r w:rsidRPr="0046765C">
              <w:rPr>
                <w:rFonts w:ascii="Verdana" w:eastAsia="Times New Roman" w:hAnsi="Verdana" w:cs="Arial"/>
                <w:color w:val="000000" w:themeColor="text1"/>
              </w:rPr>
              <w:t>la</w:t>
            </w:r>
            <w:r>
              <w:rPr>
                <w:rFonts w:ascii="Verdana" w:eastAsia="Times New Roman" w:hAnsi="Verdana" w:cs="Arial"/>
                <w:color w:val="000000" w:themeColor="text1"/>
              </w:rPr>
              <w:t>s modalidades de</w:t>
            </w:r>
            <w:r w:rsidRPr="0046765C">
              <w:rPr>
                <w:rFonts w:ascii="Verdana" w:eastAsia="Times New Roman" w:hAnsi="Verdana" w:cs="Arial"/>
                <w:color w:val="000000" w:themeColor="text1"/>
              </w:rPr>
              <w:t xml:space="preserve"> licitación </w:t>
            </w:r>
            <w:r w:rsidRPr="00D91AA3">
              <w:rPr>
                <w:rFonts w:ascii="Verdana" w:eastAsia="Times New Roman" w:hAnsi="Verdana" w:cs="Arial"/>
                <w:color w:val="000000" w:themeColor="text1"/>
              </w:rPr>
              <w:t>pública</w:t>
            </w:r>
            <w:r w:rsidRPr="0046765C">
              <w:rPr>
                <w:rFonts w:ascii="Verdana" w:eastAsia="Times New Roman" w:hAnsi="Verdana" w:cs="Arial"/>
                <w:color w:val="000000" w:themeColor="text1"/>
              </w:rPr>
              <w:t xml:space="preserve">, </w:t>
            </w:r>
            <w:r w:rsidRPr="00D91AA3">
              <w:rPr>
                <w:rFonts w:ascii="Verdana" w:eastAsia="Times New Roman" w:hAnsi="Verdana" w:cs="Arial"/>
                <w:color w:val="000000" w:themeColor="text1"/>
              </w:rPr>
              <w:t>selección</w:t>
            </w:r>
            <w:r w:rsidRPr="0046765C">
              <w:rPr>
                <w:rFonts w:ascii="Verdana" w:eastAsia="Times New Roman" w:hAnsi="Verdana" w:cs="Arial"/>
                <w:color w:val="000000" w:themeColor="text1"/>
              </w:rPr>
              <w:t xml:space="preserve"> abreviada y concurso de méritos, </w:t>
            </w:r>
            <w:r w:rsidRPr="003C229E">
              <w:rPr>
                <w:rFonts w:ascii="Verdana" w:eastAsia="Times New Roman" w:hAnsi="Verdana" w:cs="Arial"/>
                <w:color w:val="000000" w:themeColor="text1"/>
              </w:rPr>
              <w:t xml:space="preserve">al respecto es preciso indicar que el Estatuto General de la Contratación de la Administración Pública y sus normas modificatorias y reglamentarias no contemplan un plazo mínimo entre la publicación de la resolución de apertura del proceso y la entrega de propuestas para el caso de las modalidades </w:t>
            </w:r>
            <w:r>
              <w:rPr>
                <w:rFonts w:ascii="Verdana" w:eastAsia="Times New Roman" w:hAnsi="Verdana" w:cs="Arial"/>
                <w:color w:val="000000" w:themeColor="text1"/>
              </w:rPr>
              <w:t>objeto de su solicitud</w:t>
            </w:r>
            <w:r w:rsidRPr="003C229E">
              <w:rPr>
                <w:rFonts w:ascii="Verdana" w:eastAsia="Times New Roman" w:hAnsi="Verdana" w:cs="Arial"/>
                <w:color w:val="000000" w:themeColor="text1"/>
              </w:rPr>
              <w:t xml:space="preserve">. Por tal </w:t>
            </w:r>
          </w:p>
          <w:p w14:paraId="028C1D06" w14:textId="65DECA57" w:rsidR="0080724B" w:rsidRDefault="0080724B" w:rsidP="00F20E16">
            <w:pPr>
              <w:tabs>
                <w:tab w:val="left" w:pos="27"/>
                <w:tab w:val="left" w:pos="142"/>
              </w:tabs>
              <w:spacing w:after="120"/>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lastRenderedPageBreak/>
              <w:t xml:space="preserve">razón, la entidad cuenta con autonomía para definirlo. </w:t>
            </w:r>
          </w:p>
          <w:p w14:paraId="2B336025" w14:textId="77777777" w:rsidR="000E57EC" w:rsidRPr="003C229E" w:rsidRDefault="000E57EC" w:rsidP="00DA17DD">
            <w:pPr>
              <w:tabs>
                <w:tab w:val="left" w:pos="27"/>
                <w:tab w:val="left" w:pos="142"/>
              </w:tabs>
              <w:spacing w:after="120"/>
              <w:ind w:firstLine="28"/>
              <w:contextualSpacing/>
              <w:jc w:val="both"/>
              <w:rPr>
                <w:rFonts w:ascii="Verdana" w:eastAsia="Times New Roman" w:hAnsi="Verdana" w:cs="Arial"/>
                <w:color w:val="000000" w:themeColor="text1"/>
              </w:rPr>
            </w:pPr>
          </w:p>
          <w:p w14:paraId="54421ADD" w14:textId="77777777" w:rsidR="0080724B" w:rsidRDefault="0080724B" w:rsidP="00DA17DD">
            <w:pPr>
              <w:tabs>
                <w:tab w:val="left" w:pos="27"/>
                <w:tab w:val="left" w:pos="142"/>
              </w:tabs>
              <w:spacing w:after="120"/>
              <w:ind w:firstLine="28"/>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t>No obstante, a continuación, se darán algunas pautas a tener en cuenta al momento de elaborar el cronograma del proceso:</w:t>
            </w:r>
          </w:p>
          <w:p w14:paraId="070D6629"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p>
          <w:p w14:paraId="2814DD28"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t xml:space="preserve">En primer lugar, para el caso de la licitación pública, el numeral quinto del artículo 30 de la ley 80 de 1993 señala que: </w:t>
            </w:r>
          </w:p>
          <w:p w14:paraId="43750C17"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p>
          <w:p w14:paraId="7C5DAFE9" w14:textId="77777777" w:rsidR="0080724B" w:rsidRPr="0046765C" w:rsidRDefault="0080724B" w:rsidP="00DA17DD">
            <w:pPr>
              <w:tabs>
                <w:tab w:val="left" w:pos="142"/>
                <w:tab w:val="left" w:pos="736"/>
              </w:tabs>
              <w:spacing w:after="120"/>
              <w:ind w:left="736" w:right="498"/>
              <w:contextualSpacing/>
              <w:jc w:val="both"/>
              <w:rPr>
                <w:rFonts w:ascii="Verdana" w:eastAsia="Times New Roman" w:hAnsi="Verdana" w:cs="Arial"/>
                <w:color w:val="000000" w:themeColor="text1"/>
                <w:sz w:val="20"/>
                <w:szCs w:val="20"/>
              </w:rPr>
            </w:pPr>
            <w:r w:rsidRPr="0046765C">
              <w:rPr>
                <w:rFonts w:ascii="Verdana" w:eastAsia="Times New Roman" w:hAnsi="Verdana" w:cs="Arial"/>
                <w:color w:val="000000" w:themeColor="text1"/>
                <w:sz w:val="20"/>
                <w:szCs w:val="20"/>
              </w:rPr>
              <w:t xml:space="preserve">(…) el plazo de la licitación, entendido como el término que debe transcurrir entre la fecha a partir de la cual se pueden presentar propuestas y la de su cierre, se señalará en los pliegos de condiciones o términos de referencia, de acuerdo con la naturaleza, objeto y cuantía del contrato. </w:t>
            </w:r>
          </w:p>
          <w:p w14:paraId="31326A84" w14:textId="77777777" w:rsidR="0080724B" w:rsidRDefault="0080724B" w:rsidP="00DA17DD">
            <w:pPr>
              <w:tabs>
                <w:tab w:val="left" w:pos="142"/>
                <w:tab w:val="left" w:pos="736"/>
              </w:tabs>
              <w:spacing w:after="120"/>
              <w:ind w:left="736" w:right="498"/>
              <w:contextualSpacing/>
              <w:jc w:val="both"/>
              <w:rPr>
                <w:rFonts w:ascii="Verdana" w:eastAsia="Times New Roman" w:hAnsi="Verdana" w:cs="Arial"/>
                <w:color w:val="000000" w:themeColor="text1"/>
                <w:sz w:val="20"/>
                <w:szCs w:val="20"/>
              </w:rPr>
            </w:pPr>
          </w:p>
          <w:p w14:paraId="57E59D8A" w14:textId="77777777" w:rsidR="006037E9" w:rsidRPr="0046765C" w:rsidRDefault="006037E9" w:rsidP="00DA17DD">
            <w:pPr>
              <w:tabs>
                <w:tab w:val="left" w:pos="142"/>
                <w:tab w:val="left" w:pos="736"/>
              </w:tabs>
              <w:spacing w:after="120"/>
              <w:ind w:left="736" w:right="498"/>
              <w:contextualSpacing/>
              <w:jc w:val="both"/>
              <w:rPr>
                <w:rFonts w:ascii="Verdana" w:eastAsia="Times New Roman" w:hAnsi="Verdana" w:cs="Arial"/>
                <w:color w:val="000000" w:themeColor="text1"/>
                <w:sz w:val="20"/>
                <w:szCs w:val="20"/>
              </w:rPr>
            </w:pPr>
          </w:p>
          <w:p w14:paraId="762D20F1" w14:textId="77777777" w:rsidR="0080724B" w:rsidRDefault="0080724B" w:rsidP="00DA17DD">
            <w:pPr>
              <w:tabs>
                <w:tab w:val="left" w:pos="142"/>
                <w:tab w:val="left" w:pos="736"/>
              </w:tabs>
              <w:spacing w:after="120"/>
              <w:ind w:left="736" w:right="498"/>
              <w:contextualSpacing/>
              <w:jc w:val="both"/>
              <w:rPr>
                <w:rFonts w:ascii="Verdana" w:eastAsia="Times New Roman" w:hAnsi="Verdana" w:cs="Arial"/>
                <w:color w:val="000000" w:themeColor="text1"/>
                <w:sz w:val="20"/>
                <w:szCs w:val="20"/>
              </w:rPr>
            </w:pPr>
            <w:r w:rsidRPr="0046765C">
              <w:rPr>
                <w:rFonts w:ascii="Verdana" w:eastAsia="Times New Roman" w:hAnsi="Verdana" w:cs="Arial"/>
                <w:color w:val="000000" w:themeColor="text1"/>
                <w:sz w:val="20"/>
                <w:szCs w:val="20"/>
              </w:rPr>
              <w:t>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del mismo. La publicación de estas adendas sólo se podrá realizar en días hábiles y horarios laborales. (énfasis fuera de texto)</w:t>
            </w:r>
          </w:p>
          <w:p w14:paraId="1AA71D20" w14:textId="77777777" w:rsidR="006037E9" w:rsidRPr="0046765C" w:rsidRDefault="006037E9" w:rsidP="00DA17DD">
            <w:pPr>
              <w:tabs>
                <w:tab w:val="left" w:pos="142"/>
                <w:tab w:val="left" w:pos="736"/>
              </w:tabs>
              <w:spacing w:after="120"/>
              <w:ind w:left="736" w:right="498"/>
              <w:contextualSpacing/>
              <w:jc w:val="both"/>
              <w:rPr>
                <w:rFonts w:ascii="Verdana" w:eastAsia="Times New Roman" w:hAnsi="Verdana" w:cs="Arial"/>
                <w:color w:val="000000" w:themeColor="text1"/>
                <w:sz w:val="20"/>
                <w:szCs w:val="20"/>
              </w:rPr>
            </w:pPr>
          </w:p>
          <w:p w14:paraId="0E45A013" w14:textId="77777777" w:rsidR="00FE5049" w:rsidRPr="003C229E" w:rsidRDefault="00FE5049" w:rsidP="00DA17DD">
            <w:pPr>
              <w:tabs>
                <w:tab w:val="left" w:pos="27"/>
                <w:tab w:val="left" w:pos="142"/>
              </w:tabs>
              <w:spacing w:after="120"/>
              <w:ind w:firstLine="709"/>
              <w:contextualSpacing/>
              <w:jc w:val="both"/>
              <w:rPr>
                <w:rFonts w:ascii="Verdana" w:eastAsia="Times New Roman" w:hAnsi="Verdana" w:cs="Arial"/>
                <w:color w:val="000000" w:themeColor="text1"/>
              </w:rPr>
            </w:pPr>
          </w:p>
          <w:p w14:paraId="3FB3CE6A" w14:textId="77777777" w:rsidR="0080724B"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t>No obstante, deben observarse las reglas previstas para la celebración de audiencia con el objeto de revisar y asignar los riesgos, así como de precisar el contenido y alcance del pliego de condiciones. Para tal efecto la ley prevé que dicha audiencia deba realizarse dentro de los tres (3) días hábiles siguientes al plazo para la presentación de propuestas. Igualmente, “el numeral 4 del artículo 30 de la Ley 80 de 1993 define el término para expedir adendas, el cual, tratándose de Licitación Pública es de tres (3) días hábiles anteriores al vencimiento del plazo para presentar ofertas.</w:t>
            </w:r>
          </w:p>
          <w:p w14:paraId="70029EDB"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p>
          <w:p w14:paraId="2F953C68" w14:textId="702A012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t xml:space="preserve">En segundo lugar, frente a la modalidad de selección abreviada, en relación con sus etapas, el artículo 2.2.1.2.1.2.20 del Decreto 1082 de 2015 señala que se rige por las normas generales del título en que se encuentra ubicado dicha norma y por las especiales contenidas en ese artículo. Allí se establece que luego de la apertura del procedimiento de selección, los interesados, en un término no mayor a tres (3) días hábiles, deben presentar una “manifestación de interés” para participar en el mismo, en la forma </w:t>
            </w:r>
            <w:r w:rsidRPr="003C229E">
              <w:rPr>
                <w:rFonts w:ascii="Verdana" w:eastAsia="Times New Roman" w:hAnsi="Verdana" w:cs="Arial"/>
                <w:color w:val="000000" w:themeColor="text1"/>
              </w:rPr>
              <w:lastRenderedPageBreak/>
              <w:t xml:space="preserve">establecida en el pliego de condiciones. A continuación, dependiendo de la cantidad de “manifestaciones de interés”, y lo previsto en el pliego de condiciones, donde se puede establecer si se opta o no por incluir la realización de un sorteo, si la entidad recibe más de diez (10) manifestaciones realizará el sorteo con las reglas establecidas en el pliego de condiciones, de manera que la entidad elija máximo diez (10) interesados, por lo que es necesario informarles los resultados del sorteo. </w:t>
            </w:r>
          </w:p>
          <w:p w14:paraId="0B3B3D92"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p>
          <w:p w14:paraId="7AB5D111"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r w:rsidRPr="003C229E">
              <w:rPr>
                <w:rFonts w:ascii="Verdana" w:eastAsia="Times New Roman" w:hAnsi="Verdana" w:cs="Arial"/>
                <w:color w:val="000000" w:themeColor="text1"/>
              </w:rPr>
              <w:t>Se aclara que, como se indicó, la entidad estatal debe establecer en el pliego de condiciones si hay o no lugar a sorteo y, de establecerlo, señalará la forma como se realizará el mismo, en los casos en que reciba más de diez (10) manifestaciones de interés. Ahora bien, cuando haya lugar al sorteo, el numeral 3 del artículo referido señala que el plazo para presentar las ofertas empezará a correr el día hábil siguiente de informar a los interesados el resultado. Además, resulta pertinente reiterar —tal como lo señaló el Concepto C</w:t>
            </w:r>
            <w:r w:rsidRPr="003C229E">
              <w:rPr>
                <w:rFonts w:ascii="Cambria Math" w:eastAsia="Times New Roman" w:hAnsi="Cambria Math" w:cs="Cambria Math"/>
                <w:color w:val="000000" w:themeColor="text1"/>
              </w:rPr>
              <w:t>‑</w:t>
            </w:r>
            <w:r w:rsidRPr="003C229E">
              <w:rPr>
                <w:rFonts w:ascii="Verdana" w:eastAsia="Times New Roman" w:hAnsi="Verdana" w:cs="Arial"/>
                <w:color w:val="000000" w:themeColor="text1"/>
              </w:rPr>
              <w:t>537 del 14 de mayo de 2025</w:t>
            </w:r>
            <w:r w:rsidRPr="003C229E">
              <w:rPr>
                <w:rFonts w:ascii="Verdana" w:eastAsia="Times New Roman" w:hAnsi="Verdana" w:cs="Verdana"/>
                <w:color w:val="000000" w:themeColor="text1"/>
              </w:rPr>
              <w:t>—</w:t>
            </w:r>
            <w:r w:rsidRPr="003C229E">
              <w:rPr>
                <w:rFonts w:ascii="Verdana" w:eastAsia="Times New Roman" w:hAnsi="Verdana" w:cs="Arial"/>
                <w:color w:val="000000" w:themeColor="text1"/>
              </w:rPr>
              <w:t xml:space="preserve"> que la que la norma no establece un plazo m</w:t>
            </w:r>
            <w:r w:rsidRPr="003C229E">
              <w:rPr>
                <w:rFonts w:ascii="Verdana" w:eastAsia="Times New Roman" w:hAnsi="Verdana" w:cs="Verdana"/>
                <w:color w:val="000000" w:themeColor="text1"/>
              </w:rPr>
              <w:t>í</w:t>
            </w:r>
            <w:r w:rsidRPr="003C229E">
              <w:rPr>
                <w:rFonts w:ascii="Verdana" w:eastAsia="Times New Roman" w:hAnsi="Verdana" w:cs="Arial"/>
                <w:color w:val="000000" w:themeColor="text1"/>
              </w:rPr>
              <w:t>nimo para presentar ofertas, por lo cual la entidad debe establecerlo en el pliego de condiciones.</w:t>
            </w:r>
          </w:p>
          <w:p w14:paraId="2C2280DF" w14:textId="77777777" w:rsidR="0080724B" w:rsidRPr="003C229E" w:rsidRDefault="0080724B" w:rsidP="00DA17DD">
            <w:pPr>
              <w:tabs>
                <w:tab w:val="left" w:pos="27"/>
                <w:tab w:val="left" w:pos="142"/>
              </w:tabs>
              <w:spacing w:after="120"/>
              <w:ind w:firstLine="709"/>
              <w:contextualSpacing/>
              <w:jc w:val="both"/>
              <w:rPr>
                <w:rFonts w:ascii="Verdana" w:eastAsia="Times New Roman" w:hAnsi="Verdana" w:cs="Arial"/>
                <w:color w:val="000000" w:themeColor="text1"/>
              </w:rPr>
            </w:pPr>
          </w:p>
          <w:p w14:paraId="42B6C30D" w14:textId="18874F45" w:rsidR="0080724B" w:rsidRDefault="0080724B" w:rsidP="00DA17DD">
            <w:pPr>
              <w:tabs>
                <w:tab w:val="left" w:pos="27"/>
                <w:tab w:val="left" w:pos="142"/>
              </w:tabs>
              <w:spacing w:after="120"/>
              <w:ind w:firstLine="709"/>
              <w:jc w:val="both"/>
              <w:rPr>
                <w:rFonts w:ascii="Verdana" w:eastAsia="Times New Roman" w:hAnsi="Verdana" w:cs="Arial"/>
                <w:color w:val="000000" w:themeColor="text1"/>
              </w:rPr>
            </w:pPr>
            <w:r w:rsidRPr="0046765C">
              <w:rPr>
                <w:rFonts w:ascii="Verdana" w:eastAsia="Times New Roman" w:hAnsi="Verdana" w:cs="Arial"/>
                <w:color w:val="000000" w:themeColor="text1"/>
              </w:rPr>
              <w:t>Finalmente, en tercer lugar, el Libro 2, Parte 2, Título 1, Capítulo 2, Sección 1, Subsección 3 del Decreto 1082 de 2015 regula las distintas modalidades del concurso de méritos, en dicho capitulo no se abordan términos que regulen la presentación de ofertas. No obstante, en relación con los términos de las diferentes etapas del proceso, el artículo 2.2.1.1.2.1.4 ejusdem</w:t>
            </w:r>
            <w:r w:rsidR="00721803">
              <w:rPr>
                <w:rFonts w:ascii="Verdana" w:eastAsia="Times New Roman" w:hAnsi="Verdana" w:cs="Arial"/>
                <w:color w:val="000000" w:themeColor="text1"/>
              </w:rPr>
              <w:t xml:space="preserve"> </w:t>
            </w:r>
            <w:r w:rsidRPr="0046765C">
              <w:rPr>
                <w:rFonts w:ascii="Verdana" w:eastAsia="Times New Roman" w:hAnsi="Verdana" w:cs="Arial"/>
                <w:color w:val="000000" w:themeColor="text1"/>
              </w:rPr>
              <w:t>únicamente establece el plazo para adelantar la etapa de observaciones al proyecto de pliego de condiciones, disponiendo que estas podrán presentarse dentro de un término de</w:t>
            </w:r>
            <w:r>
              <w:rPr>
                <w:rFonts w:ascii="Verdana" w:eastAsia="Times New Roman" w:hAnsi="Verdana" w:cs="Arial"/>
                <w:color w:val="000000" w:themeColor="text1"/>
              </w:rPr>
              <w:t xml:space="preserve"> </w:t>
            </w:r>
            <w:r w:rsidRPr="0046765C">
              <w:rPr>
                <w:rFonts w:ascii="Verdana" w:eastAsia="Times New Roman" w:hAnsi="Verdana" w:cs="Arial"/>
                <w:color w:val="000000" w:themeColor="text1"/>
              </w:rPr>
              <w:t>cinco (5) días hábiles.</w:t>
            </w:r>
            <w:r w:rsidRPr="00644E7A">
              <w:rPr>
                <w:rFonts w:ascii="Verdana" w:eastAsia="Times New Roman" w:hAnsi="Verdana" w:cs="Arial"/>
                <w:color w:val="000000" w:themeColor="text1"/>
              </w:rPr>
              <w:t xml:space="preserve"> </w:t>
            </w:r>
          </w:p>
          <w:p w14:paraId="7A93F73A" w14:textId="77777777" w:rsidR="0080724B" w:rsidRDefault="0080724B" w:rsidP="00DA17DD">
            <w:pPr>
              <w:tabs>
                <w:tab w:val="left" w:pos="27"/>
                <w:tab w:val="left" w:pos="142"/>
              </w:tabs>
              <w:spacing w:after="120"/>
              <w:ind w:firstLine="709"/>
              <w:jc w:val="both"/>
              <w:rPr>
                <w:rFonts w:ascii="Verdana" w:eastAsia="Times New Roman" w:hAnsi="Verdana" w:cs="Arial"/>
                <w:color w:val="000000" w:themeColor="text1"/>
              </w:rPr>
            </w:pPr>
            <w:r>
              <w:rPr>
                <w:rFonts w:ascii="Verdana" w:eastAsia="Calibri" w:hAnsi="Verdana" w:cs="Arial"/>
              </w:rPr>
              <w:t>En consecuencia</w:t>
            </w:r>
            <w:r w:rsidRPr="00FA53A6">
              <w:rPr>
                <w:rFonts w:ascii="Verdana" w:eastAsia="Calibri" w:hAnsi="Verdana" w:cs="Arial"/>
                <w:lang w:val="es-MX"/>
              </w:rPr>
              <w:t>, los plazos que no han sido regulados expresamente por la ley pueden ser definidos por la entidad estatal en ejercicio de su autonomía</w:t>
            </w:r>
            <w:r>
              <w:rPr>
                <w:rFonts w:ascii="Verdana" w:eastAsia="Calibri" w:hAnsi="Verdana" w:cs="Arial"/>
                <w:lang w:val="es-MX"/>
              </w:rPr>
              <w:t xml:space="preserve"> </w:t>
            </w:r>
            <w:r w:rsidRPr="00706E53">
              <w:rPr>
                <w:rFonts w:ascii="Verdana" w:eastAsia="Calibri" w:hAnsi="Verdana" w:cs="Arial"/>
                <w:lang w:val="es-MX"/>
              </w:rPr>
              <w:t>de manera discrecional y razonable en atención al objeto</w:t>
            </w:r>
            <w:r>
              <w:rPr>
                <w:rFonts w:ascii="Verdana" w:eastAsia="Calibri" w:hAnsi="Verdana" w:cs="Arial"/>
                <w:lang w:val="es-MX"/>
              </w:rPr>
              <w:t xml:space="preserve"> y</w:t>
            </w:r>
            <w:r w:rsidRPr="00706E53">
              <w:rPr>
                <w:rFonts w:ascii="Verdana" w:eastAsia="Calibri" w:hAnsi="Verdana" w:cs="Arial"/>
                <w:lang w:val="es-MX"/>
              </w:rPr>
              <w:t xml:space="preserve"> condiciones del proceso</w:t>
            </w:r>
            <w:r>
              <w:rPr>
                <w:rFonts w:ascii="Verdana" w:eastAsia="Calibri" w:hAnsi="Verdana" w:cs="Arial"/>
                <w:lang w:val="es-MX"/>
              </w:rPr>
              <w:t>,</w:t>
            </w:r>
            <w:r w:rsidRPr="00706E53">
              <w:rPr>
                <w:rFonts w:ascii="Verdana" w:eastAsia="Calibri" w:hAnsi="Verdana" w:cs="Arial"/>
                <w:lang w:val="es-MX"/>
              </w:rPr>
              <w:t xml:space="preserve"> entendiendo que existen procesos más complejos que otros y a los que se presentan un gran número de proponentes</w:t>
            </w:r>
            <w:r>
              <w:rPr>
                <w:rFonts w:ascii="Verdana" w:eastAsia="Calibri" w:hAnsi="Verdana" w:cs="Arial"/>
                <w:lang w:val="es-MX"/>
              </w:rPr>
              <w:t>.</w:t>
            </w:r>
            <w:r>
              <w:rPr>
                <w:rFonts w:ascii="Verdana" w:eastAsia="Calibri" w:hAnsi="Verdana" w:cs="Arial"/>
              </w:rPr>
              <w:t xml:space="preserve"> </w:t>
            </w:r>
            <w:r w:rsidRPr="008C2C92">
              <w:rPr>
                <w:rFonts w:ascii="Verdana" w:eastAsia="Times New Roman" w:hAnsi="Verdana" w:cs="Arial"/>
                <w:color w:val="000000" w:themeColor="text1"/>
              </w:rPr>
              <w:t>Adicionalmente, hay normas específicas del EGCAP que establecen la facultad de prorrogar plazos de algunas etapas del proceso, pero en todo caso esto debe efectuarse antes de su vencimiento.</w:t>
            </w:r>
          </w:p>
          <w:p w14:paraId="6B87D0A0" w14:textId="77777777" w:rsidR="006037E9" w:rsidRDefault="006037E9" w:rsidP="00DA17DD">
            <w:pPr>
              <w:tabs>
                <w:tab w:val="left" w:pos="27"/>
                <w:tab w:val="left" w:pos="142"/>
              </w:tabs>
              <w:spacing w:after="120"/>
              <w:ind w:firstLine="709"/>
              <w:jc w:val="both"/>
            </w:pPr>
          </w:p>
          <w:p w14:paraId="7865B3F8" w14:textId="77777777" w:rsidR="006037E9" w:rsidRPr="009322DA" w:rsidRDefault="006037E9" w:rsidP="00DA17DD">
            <w:pPr>
              <w:tabs>
                <w:tab w:val="left" w:pos="27"/>
                <w:tab w:val="left" w:pos="142"/>
              </w:tabs>
              <w:spacing w:after="120"/>
              <w:ind w:firstLine="709"/>
              <w:jc w:val="both"/>
            </w:pPr>
          </w:p>
        </w:tc>
      </w:tr>
    </w:tbl>
    <w:p w14:paraId="22C18670" w14:textId="67F5F912" w:rsidR="000E57EC" w:rsidRPr="006037E9" w:rsidRDefault="0080724B" w:rsidP="008505FA">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6037E9">
        <w:rPr>
          <w:rFonts w:ascii="Verdana" w:eastAsia="Century Gothic" w:hAnsi="Verdana" w:cs="Century Gothic"/>
          <w:b/>
          <w:bCs/>
          <w:lang w:val="es-ES"/>
        </w:rPr>
        <w:lastRenderedPageBreak/>
        <w:t>Razones de la respuesta:</w:t>
      </w:r>
    </w:p>
    <w:p w14:paraId="148017ED" w14:textId="77777777" w:rsidR="0080724B" w:rsidRDefault="0080724B" w:rsidP="0080724B">
      <w:pPr>
        <w:spacing w:after="0" w:line="276" w:lineRule="auto"/>
        <w:jc w:val="both"/>
        <w:rPr>
          <w:rFonts w:ascii="Verdana" w:eastAsia="Calibri" w:hAnsi="Verdana" w:cs="Arial"/>
          <w:lang w:val="es-ES"/>
        </w:rPr>
      </w:pPr>
      <w:r w:rsidRPr="009322DA">
        <w:rPr>
          <w:rFonts w:ascii="Verdana" w:eastAsia="Calibri" w:hAnsi="Verdana" w:cs="Arial"/>
          <w:lang w:val="es-ES"/>
        </w:rPr>
        <w:t xml:space="preserve">Lo anterior se sustenta en las siguientes consideraciones: </w:t>
      </w:r>
    </w:p>
    <w:p w14:paraId="11228AB6" w14:textId="77777777" w:rsidR="0080724B" w:rsidRDefault="0080724B" w:rsidP="0080724B">
      <w:pPr>
        <w:spacing w:after="0" w:line="276" w:lineRule="auto"/>
        <w:jc w:val="both"/>
        <w:rPr>
          <w:rFonts w:ascii="Verdana" w:eastAsia="Calibri" w:hAnsi="Verdana" w:cs="Arial"/>
          <w:lang w:val="es-ES"/>
        </w:rPr>
      </w:pPr>
    </w:p>
    <w:p w14:paraId="753010A7" w14:textId="77777777" w:rsidR="0080724B" w:rsidRDefault="0080724B" w:rsidP="00214F8B">
      <w:pPr>
        <w:spacing w:after="120" w:line="240" w:lineRule="auto"/>
        <w:jc w:val="both"/>
        <w:rPr>
          <w:rFonts w:ascii="Verdana" w:eastAsia="Calibri" w:hAnsi="Verdana" w:cs="Arial"/>
          <w:color w:val="000000"/>
          <w:szCs w:val="24"/>
          <w:lang w:eastAsia="es-ES_tradnl"/>
        </w:rPr>
      </w:pPr>
      <w:r w:rsidRPr="00EB36D9">
        <w:rPr>
          <w:rFonts w:ascii="Verdana" w:hAnsi="Verdana" w:cs="Arial"/>
          <w:color w:val="000000" w:themeColor="text1"/>
        </w:rPr>
        <w:t>El artículo 2 de la Ley 1150 de 2007 establece cinco modalidades de selección para la escogencia del contratista: 1) licitación pública, 2) selección abreviada, 3) concurso de méritos, 4) contratación directa y 5) mínima cuantía. Cada una responde a condiciones de procedencia específicas, determinadas por la naturaleza del objeto contractual, la cuantía, el grado de especialización técnica requerido y otros factores jurídicamente relevantes.</w:t>
      </w:r>
    </w:p>
    <w:p w14:paraId="4FFBBAC6" w14:textId="77777777" w:rsidR="0080724B" w:rsidRDefault="0080724B" w:rsidP="00214F8B">
      <w:pPr>
        <w:spacing w:before="120" w:after="120" w:line="240" w:lineRule="auto"/>
        <w:ind w:firstLine="709"/>
        <w:jc w:val="both"/>
        <w:rPr>
          <w:rFonts w:ascii="Verdana" w:eastAsia="Times New Roman" w:hAnsi="Verdana" w:cs="Arial"/>
          <w:color w:val="000000" w:themeColor="text1"/>
        </w:rPr>
      </w:pPr>
      <w:r w:rsidRPr="0015360A">
        <w:rPr>
          <w:rFonts w:ascii="Verdana" w:eastAsia="Calibri" w:hAnsi="Verdana" w:cs="Arial"/>
        </w:rPr>
        <w:t>En aplicación del principio de economía, consagrado en</w:t>
      </w:r>
      <w:r w:rsidRPr="008C2C92">
        <w:rPr>
          <w:rFonts w:ascii="Verdana" w:eastAsia="Times New Roman" w:hAnsi="Verdana" w:cs="Arial"/>
          <w:color w:val="000000" w:themeColor="text1"/>
        </w:rPr>
        <w:t xml:space="preserve"> el numeral primero del artículo 25 de la Ley 80 de 1993, deben cumplirse los procedimientos y etapas estrictamente necesarios para asegurar la selección objetiva de la propuesta más favorable, por lo que se señalarán términos preclusivos y perentorios para las diferentes etapas del proceso de selección. En virtud de este principio, las partes del proceso de contratación, así como los funcionarios públicos, se encuentran obligados a respetar y acatar tales etapas.</w:t>
      </w:r>
    </w:p>
    <w:p w14:paraId="07390B2F" w14:textId="77777777" w:rsidR="0080724B" w:rsidRPr="00AE7CF3" w:rsidRDefault="0080724B" w:rsidP="00214F8B">
      <w:pPr>
        <w:spacing w:after="120" w:line="240" w:lineRule="auto"/>
        <w:ind w:firstLine="709"/>
        <w:jc w:val="both"/>
        <w:rPr>
          <w:rFonts w:ascii="Verdana" w:eastAsia="Calibri" w:hAnsi="Verdana" w:cs="Arial"/>
        </w:rPr>
      </w:pPr>
      <w:r>
        <w:rPr>
          <w:rFonts w:ascii="Verdana" w:eastAsia="Calibri" w:hAnsi="Verdana" w:cs="Arial"/>
        </w:rPr>
        <w:t>Por su parte, e</w:t>
      </w:r>
      <w:r w:rsidRPr="00AE7CF3">
        <w:rPr>
          <w:rFonts w:ascii="Verdana" w:eastAsia="Calibri" w:hAnsi="Verdana" w:cs="Arial"/>
        </w:rPr>
        <w:t>l artículo 2.2.1.1.1.3.1, literal 11</w:t>
      </w:r>
      <w:r>
        <w:rPr>
          <w:rFonts w:ascii="Verdana" w:eastAsia="Calibri" w:hAnsi="Verdana" w:cs="Arial"/>
        </w:rPr>
        <w:t xml:space="preserve"> del </w:t>
      </w:r>
      <w:r w:rsidRPr="00AE7CF3">
        <w:rPr>
          <w:rFonts w:ascii="Verdana" w:eastAsia="Calibri" w:hAnsi="Verdana" w:cs="Arial"/>
        </w:rPr>
        <w:t xml:space="preserve">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estipulados sin que haya lugar a observaciones ni interpretaciones sobre las fechas establecidas. </w:t>
      </w:r>
    </w:p>
    <w:p w14:paraId="326EC7F7" w14:textId="77777777" w:rsidR="0080724B" w:rsidRDefault="0080724B" w:rsidP="00214F8B">
      <w:pPr>
        <w:spacing w:after="120" w:line="240" w:lineRule="auto"/>
        <w:ind w:firstLine="709"/>
        <w:jc w:val="both"/>
        <w:rPr>
          <w:rFonts w:ascii="Verdana" w:eastAsia="Calibri" w:hAnsi="Verdana" w:cs="Arial"/>
        </w:rPr>
      </w:pPr>
      <w:r w:rsidRPr="0046765C">
        <w:rPr>
          <w:rFonts w:ascii="Verdana" w:eastAsia="Times New Roman" w:hAnsi="Verdana" w:cs="Arial"/>
          <w:color w:val="000000" w:themeColor="text1"/>
        </w:rPr>
        <w:t xml:space="preserve">Ahora bien, en </w:t>
      </w:r>
      <w:r w:rsidRPr="00CF4A96">
        <w:rPr>
          <w:rFonts w:ascii="Verdana" w:eastAsia="Times New Roman" w:hAnsi="Verdana" w:cs="Arial"/>
          <w:color w:val="000000" w:themeColor="text1"/>
        </w:rPr>
        <w:t xml:space="preserve">el ordenamiento jurídico colombiano existen disposiciones normativas que fijan plazos mínimos específicos para ciertas etapas del proceso, dependiendo de la modalidad de selección, para el caso en concreto abordaremos los términos para la presentación de ofertas, en las modalidades de licitación pública, selección abreviada y concurso de méritos, al respecto es preciso indicar que el Estatuto General de la Contratación de la Administración Pública y sus normas modificatorias y reglamentarias no contemplan un plazo mínimo entre la publicación de la resolución de apertura del proceso y la entrega de propuestas para el caso de las modalidades objeto de su solicitud. Por tal razón, la entidad cuenta con autonomía para definirlo. </w:t>
      </w:r>
      <w:r w:rsidRPr="0046765C">
        <w:rPr>
          <w:rFonts w:ascii="Verdana" w:hAnsi="Verdana"/>
        </w:rPr>
        <w:t xml:space="preserve"> </w:t>
      </w:r>
    </w:p>
    <w:p w14:paraId="5EFA29EB" w14:textId="77777777" w:rsidR="0080724B" w:rsidRPr="0046765C" w:rsidRDefault="0080724B" w:rsidP="0080724B">
      <w:pPr>
        <w:spacing w:before="120" w:after="120" w:line="276" w:lineRule="auto"/>
        <w:ind w:firstLine="709"/>
        <w:jc w:val="both"/>
        <w:rPr>
          <w:rFonts w:ascii="Verdana" w:eastAsia="Calibri" w:hAnsi="Verdana" w:cs="Arial"/>
        </w:rPr>
      </w:pPr>
      <w:r w:rsidRPr="0046765C">
        <w:rPr>
          <w:rFonts w:ascii="Verdana" w:eastAsia="Calibri" w:hAnsi="Verdana" w:cs="Arial"/>
        </w:rPr>
        <w:t xml:space="preserve">No obstante, a </w:t>
      </w:r>
      <w:r w:rsidRPr="00020BEE">
        <w:rPr>
          <w:rFonts w:ascii="Verdana" w:eastAsia="Calibri" w:hAnsi="Verdana" w:cs="Arial"/>
        </w:rPr>
        <w:t>continuación,</w:t>
      </w:r>
      <w:r w:rsidRPr="0046765C">
        <w:rPr>
          <w:rFonts w:ascii="Verdana" w:eastAsia="Calibri" w:hAnsi="Verdana" w:cs="Arial"/>
        </w:rPr>
        <w:t xml:space="preserve"> se darán algunas pautas a tener en cuenta al momento de elaborar el cronograma del proceso:</w:t>
      </w:r>
    </w:p>
    <w:p w14:paraId="56EBD426" w14:textId="77777777" w:rsidR="00214F8B" w:rsidRDefault="00214F8B" w:rsidP="0080724B">
      <w:pPr>
        <w:pStyle w:val="Prrafodelista"/>
        <w:spacing w:before="120" w:after="120" w:line="276" w:lineRule="auto"/>
        <w:ind w:left="0" w:firstLine="709"/>
        <w:jc w:val="both"/>
        <w:rPr>
          <w:rFonts w:ascii="Verdana" w:eastAsia="Calibri" w:hAnsi="Verdana" w:cs="Arial"/>
        </w:rPr>
      </w:pPr>
    </w:p>
    <w:p w14:paraId="7A8CCDDB" w14:textId="61ADFA9E" w:rsidR="000E57EC" w:rsidRPr="0046765C" w:rsidRDefault="0080724B" w:rsidP="0080724B">
      <w:pPr>
        <w:pStyle w:val="Prrafodelista"/>
        <w:spacing w:before="120" w:after="120" w:line="276" w:lineRule="auto"/>
        <w:ind w:left="0" w:firstLine="709"/>
        <w:jc w:val="both"/>
        <w:rPr>
          <w:rFonts w:ascii="Verdana" w:eastAsia="Calibri" w:hAnsi="Verdana" w:cs="Arial"/>
          <w:lang w:val="es-CO"/>
        </w:rPr>
      </w:pPr>
      <w:r>
        <w:rPr>
          <w:rFonts w:ascii="Verdana" w:eastAsia="Calibri" w:hAnsi="Verdana" w:cs="Arial"/>
        </w:rPr>
        <w:lastRenderedPageBreak/>
        <w:t>En primer lugar, p</w:t>
      </w:r>
      <w:r w:rsidRPr="0046765C">
        <w:rPr>
          <w:rFonts w:ascii="Verdana" w:eastAsia="Calibri" w:hAnsi="Verdana" w:cs="Arial"/>
          <w:lang w:val="es-CO"/>
        </w:rPr>
        <w:t xml:space="preserve">ara el caso de la licitación pública, el numeral quinto del artículo 30 de la ley 80 de 1993 señala que: </w:t>
      </w:r>
    </w:p>
    <w:p w14:paraId="2475BA1B" w14:textId="77777777" w:rsidR="0080724B" w:rsidRPr="0046765C" w:rsidRDefault="0080724B" w:rsidP="0080724B">
      <w:pPr>
        <w:pStyle w:val="Prrafodelista"/>
        <w:spacing w:before="120" w:after="120" w:line="240" w:lineRule="auto"/>
        <w:ind w:left="567" w:right="758"/>
        <w:jc w:val="both"/>
        <w:rPr>
          <w:rFonts w:ascii="Verdana" w:eastAsia="Calibri" w:hAnsi="Verdana" w:cs="Arial"/>
          <w:sz w:val="20"/>
          <w:szCs w:val="20"/>
          <w:lang w:val="es-MX"/>
        </w:rPr>
      </w:pPr>
      <w:r>
        <w:rPr>
          <w:rFonts w:ascii="Verdana" w:eastAsia="Calibri" w:hAnsi="Verdana" w:cs="Arial"/>
          <w:sz w:val="20"/>
          <w:szCs w:val="20"/>
          <w:lang w:val="es-MX"/>
        </w:rPr>
        <w:t xml:space="preserve">(…) </w:t>
      </w:r>
      <w:r w:rsidRPr="0046765C">
        <w:rPr>
          <w:rFonts w:ascii="Verdana" w:eastAsia="Calibri" w:hAnsi="Verdana" w:cs="Arial"/>
          <w:sz w:val="20"/>
          <w:szCs w:val="20"/>
          <w:lang w:val="es-MX"/>
        </w:rPr>
        <w:t xml:space="preserve">el plazo de la licitación, entendido como </w:t>
      </w:r>
      <w:r w:rsidRPr="0046765C">
        <w:rPr>
          <w:rFonts w:ascii="Verdana" w:eastAsia="Calibri" w:hAnsi="Verdana" w:cs="Arial"/>
          <w:i/>
          <w:iCs/>
          <w:sz w:val="20"/>
          <w:szCs w:val="20"/>
          <w:lang w:val="es-MX"/>
        </w:rPr>
        <w:t>el término que debe transcurrir entre la fecha a partir de la cual se pueden presentar propuestas y la de su cierre, se señalará en los pliegos de condiciones o términos de referencia, de acuerdo con la naturaleza, objeto y cuantía del contrato.</w:t>
      </w:r>
      <w:r w:rsidRPr="0046765C">
        <w:rPr>
          <w:rFonts w:ascii="Verdana" w:eastAsia="Calibri" w:hAnsi="Verdana" w:cs="Arial"/>
          <w:sz w:val="20"/>
          <w:szCs w:val="20"/>
          <w:lang w:val="es-MX"/>
        </w:rPr>
        <w:t xml:space="preserve"> </w:t>
      </w:r>
    </w:p>
    <w:p w14:paraId="537150AF" w14:textId="77777777" w:rsidR="0080724B" w:rsidRPr="0046765C" w:rsidRDefault="0080724B" w:rsidP="0080724B">
      <w:pPr>
        <w:pStyle w:val="Prrafodelista"/>
        <w:spacing w:before="120" w:after="120" w:line="240" w:lineRule="auto"/>
        <w:ind w:left="567" w:right="758"/>
        <w:jc w:val="both"/>
        <w:rPr>
          <w:rFonts w:ascii="Verdana" w:eastAsia="Calibri" w:hAnsi="Verdana" w:cs="Arial"/>
          <w:sz w:val="20"/>
          <w:szCs w:val="20"/>
          <w:lang w:val="es-MX"/>
        </w:rPr>
      </w:pPr>
    </w:p>
    <w:p w14:paraId="3D31303A" w14:textId="77777777" w:rsidR="0080724B" w:rsidRPr="0046765C" w:rsidRDefault="0080724B" w:rsidP="0080724B">
      <w:pPr>
        <w:pStyle w:val="Prrafodelista"/>
        <w:spacing w:before="120" w:after="120" w:line="240" w:lineRule="auto"/>
        <w:ind w:left="567" w:right="758"/>
        <w:jc w:val="both"/>
        <w:rPr>
          <w:rFonts w:ascii="Verdana" w:eastAsia="Calibri" w:hAnsi="Verdana" w:cs="Arial"/>
          <w:sz w:val="20"/>
          <w:szCs w:val="20"/>
          <w:lang w:val="es-MX"/>
        </w:rPr>
      </w:pPr>
      <w:r w:rsidRPr="0046765C">
        <w:rPr>
          <w:rFonts w:ascii="Verdana" w:eastAsia="Calibri" w:hAnsi="Verdana" w:cs="Arial"/>
          <w:sz w:val="20"/>
          <w:szCs w:val="20"/>
          <w:lang w:val="es-MX"/>
        </w:rPr>
        <w:t xml:space="preserve">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del mismo. La publicación de estas adendas sólo se podrá realizar en días hábiles y horarios laborales. </w:t>
      </w:r>
      <w:r>
        <w:rPr>
          <w:rFonts w:ascii="Verdana" w:eastAsia="Calibri" w:hAnsi="Verdana" w:cs="Arial"/>
          <w:sz w:val="20"/>
          <w:szCs w:val="20"/>
          <w:lang w:val="es-MX"/>
        </w:rPr>
        <w:t>(énfasis fuera de texto)</w:t>
      </w:r>
    </w:p>
    <w:p w14:paraId="4FAD5867" w14:textId="77777777" w:rsidR="0080724B" w:rsidRPr="0046765C" w:rsidRDefault="0080724B" w:rsidP="0080724B">
      <w:pPr>
        <w:spacing w:before="120" w:after="120" w:line="276" w:lineRule="auto"/>
        <w:ind w:firstLine="709"/>
        <w:jc w:val="both"/>
        <w:rPr>
          <w:rFonts w:ascii="Verdana" w:eastAsia="Calibri" w:hAnsi="Verdana" w:cs="Arial"/>
        </w:rPr>
      </w:pPr>
      <w:r w:rsidRPr="0046765C">
        <w:rPr>
          <w:rFonts w:ascii="Verdana" w:eastAsia="Calibri" w:hAnsi="Verdana" w:cs="Arial"/>
        </w:rPr>
        <w:t>No obstante, deben observarse las reglas previstas para la celebración de audiencia con el objeto de revisar y asignar los riesgos, así como de precisar el contenido y alcance del pliego de condiciones. Para tal efecto la ley prevé que dicha audiencia deba realizarse dentro de los tres (3) días hábiles siguientes al plazo para la presentación de propuestas. Igualmente, “el numeral 4 del artículo 30 de la Ley 80 de 1993 define el término para expedir adendas, el cual, tratándose de Licitación Pública es de tres (3) días hábiles anteriores al vencimiento del plazo para presentar ofertas.</w:t>
      </w:r>
    </w:p>
    <w:p w14:paraId="48254F58" w14:textId="77777777" w:rsidR="0080724B" w:rsidRDefault="0080724B" w:rsidP="0080724B">
      <w:pPr>
        <w:spacing w:after="120" w:line="276" w:lineRule="auto"/>
        <w:ind w:firstLine="709"/>
        <w:jc w:val="both"/>
        <w:rPr>
          <w:rFonts w:ascii="Verdana" w:hAnsi="Verdana"/>
        </w:rPr>
      </w:pPr>
      <w:r w:rsidRPr="005B43DB">
        <w:rPr>
          <w:rFonts w:ascii="Verdana" w:eastAsia="Calibri" w:hAnsi="Verdana" w:cs="Arial"/>
          <w:lang w:val="es-ES"/>
        </w:rPr>
        <w:t xml:space="preserve">En segundo lugar, </w:t>
      </w:r>
      <w:r>
        <w:rPr>
          <w:rFonts w:ascii="Verdana" w:eastAsia="Calibri" w:hAnsi="Verdana" w:cs="Arial"/>
          <w:lang w:val="es-ES"/>
        </w:rPr>
        <w:t xml:space="preserve">frente a </w:t>
      </w:r>
      <w:r w:rsidRPr="0046765C">
        <w:rPr>
          <w:rFonts w:ascii="Verdana" w:hAnsi="Verdana"/>
          <w:lang w:val="es-MX"/>
        </w:rPr>
        <w:t xml:space="preserve">la </w:t>
      </w:r>
      <w:r>
        <w:rPr>
          <w:rFonts w:ascii="Verdana" w:hAnsi="Verdana"/>
          <w:lang w:val="es-MX"/>
        </w:rPr>
        <w:t xml:space="preserve">modalidad de </w:t>
      </w:r>
      <w:r w:rsidRPr="0046765C">
        <w:rPr>
          <w:rFonts w:ascii="Verdana" w:hAnsi="Verdana"/>
          <w:lang w:val="es-MX"/>
        </w:rPr>
        <w:t xml:space="preserve">selección abreviada, </w:t>
      </w:r>
      <w:bookmarkStart w:id="2" w:name="2.2.1.2.1.2.20"/>
      <w:bookmarkEnd w:id="2"/>
      <w:r w:rsidRPr="0046765C">
        <w:rPr>
          <w:rFonts w:ascii="Verdana" w:hAnsi="Verdana"/>
        </w:rPr>
        <w:t xml:space="preserve">en relación con </w:t>
      </w:r>
      <w:r>
        <w:rPr>
          <w:rFonts w:ascii="Verdana" w:hAnsi="Verdana"/>
        </w:rPr>
        <w:t>sus</w:t>
      </w:r>
      <w:r w:rsidRPr="0046765C">
        <w:rPr>
          <w:rFonts w:ascii="Verdana" w:hAnsi="Verdana"/>
        </w:rPr>
        <w:t xml:space="preserve"> etapas, el artículo 2.2.1.2.1.2.20 del Decreto 1082 de 2015 señala que se rige por las normas generales del título en que se encuentra ubicado dicha norma y por las especiales contenidas en ese artículo</w:t>
      </w:r>
      <w:r w:rsidRPr="004B0A0E">
        <w:rPr>
          <w:rStyle w:val="Refdenotaalpie"/>
          <w:rFonts w:ascii="Verdana" w:eastAsia="Calibri" w:hAnsi="Verdana" w:cs="Arial"/>
        </w:rPr>
        <w:footnoteReference w:id="1"/>
      </w:r>
      <w:r w:rsidRPr="0046765C">
        <w:rPr>
          <w:rFonts w:ascii="Verdana" w:hAnsi="Verdana"/>
        </w:rPr>
        <w:t xml:space="preserve">. Allí se establece que luego de la apertura del procedimiento de selección, los </w:t>
      </w:r>
      <w:r w:rsidRPr="0046765C">
        <w:rPr>
          <w:rFonts w:ascii="Verdana" w:hAnsi="Verdana"/>
        </w:rPr>
        <w:lastRenderedPageBreak/>
        <w:t xml:space="preserve">interesados, en un término no mayor a tres (3) días hábiles, deben presentar una “manifestación de interés” para participar en el mismo, en la forma establecida en el pliego de condiciones. A continuación, dependiendo de la cantidad de “manifestaciones de interés”, y lo previsto en el pliego de condiciones, donde se puede establecer si se opta o no por incluir la realización de un sorteo, si la entidad recibe más de diez (10) manifestaciones realizará el sorteo con las reglas establecidas en el pliego de condiciones, de manera que la entidad elija máximo diez (10) interesados, por lo que es necesario informarles los resultados del sorteo. </w:t>
      </w:r>
    </w:p>
    <w:p w14:paraId="5A61BA55" w14:textId="77777777" w:rsidR="0080724B" w:rsidRPr="0046765C" w:rsidRDefault="0080724B" w:rsidP="0080724B">
      <w:pPr>
        <w:spacing w:after="120" w:line="276" w:lineRule="auto"/>
        <w:ind w:firstLine="709"/>
        <w:jc w:val="both"/>
        <w:rPr>
          <w:rFonts w:ascii="Verdana" w:hAnsi="Verdana"/>
          <w:lang w:val="es-MX"/>
        </w:rPr>
      </w:pPr>
      <w:r w:rsidRPr="0046765C">
        <w:rPr>
          <w:rFonts w:ascii="Verdana" w:hAnsi="Verdana"/>
        </w:rPr>
        <w:t xml:space="preserve">Se aclara que, como se indicó, la entidad estatal debe establecer en el pliego de condiciones si hay o no lugar a sorteo y, de establecerlo, señalará la forma como se realizará el mismo, en los casos en que reciba más de diez (10) manifestaciones de interés. Ahora bien, cuando haya lugar al sorteo, el numeral 3 del artículo referido señala que el plazo para presentar las ofertas empezará a correr el día hábil siguiente de informar a los interesados el resultado. Además, resulta pertinente </w:t>
      </w:r>
      <w:r>
        <w:rPr>
          <w:rFonts w:ascii="Verdana" w:hAnsi="Verdana"/>
        </w:rPr>
        <w:t>reiter</w:t>
      </w:r>
      <w:r w:rsidRPr="0046765C">
        <w:rPr>
          <w:rFonts w:ascii="Verdana" w:hAnsi="Verdana"/>
        </w:rPr>
        <w:t>ar —tal como lo señaló el Concepto C</w:t>
      </w:r>
      <w:r w:rsidRPr="004B0A0E">
        <w:rPr>
          <w:rFonts w:ascii="Cambria Math" w:hAnsi="Cambria Math" w:cs="Cambria Math"/>
        </w:rPr>
        <w:t>‑</w:t>
      </w:r>
      <w:r w:rsidRPr="0046765C">
        <w:rPr>
          <w:rFonts w:ascii="Verdana" w:hAnsi="Verdana"/>
        </w:rPr>
        <w:t>537 del 14 de mayo de 2025</w:t>
      </w:r>
      <w:r w:rsidRPr="0046765C">
        <w:rPr>
          <w:rFonts w:ascii="Verdana" w:hAnsi="Verdana" w:cs="Verdana"/>
        </w:rPr>
        <w:t>—</w:t>
      </w:r>
      <w:r w:rsidRPr="0046765C">
        <w:rPr>
          <w:rFonts w:ascii="Verdana" w:hAnsi="Verdana"/>
        </w:rPr>
        <w:t xml:space="preserve"> que la que la norma no establece un plazo mínimo para presentar ofertas, por lo cual la entidad debe establecerlo en el pliego de condiciones</w:t>
      </w:r>
      <w:r w:rsidRPr="0046765C">
        <w:rPr>
          <w:rFonts w:ascii="Verdana" w:hAnsi="Verdana"/>
          <w:lang w:val="es-MX"/>
        </w:rPr>
        <w:t>.</w:t>
      </w:r>
    </w:p>
    <w:p w14:paraId="72364723" w14:textId="77777777" w:rsidR="0080724B" w:rsidRDefault="0080724B" w:rsidP="0080724B">
      <w:pPr>
        <w:spacing w:before="120" w:after="120" w:line="276" w:lineRule="auto"/>
        <w:ind w:firstLine="709"/>
        <w:jc w:val="both"/>
        <w:rPr>
          <w:rFonts w:ascii="Verdana" w:eastAsia="Calibri" w:hAnsi="Verdana" w:cs="Arial"/>
          <w:lang w:val="es-MX"/>
        </w:rPr>
      </w:pPr>
      <w:r w:rsidRPr="0046765C">
        <w:rPr>
          <w:rFonts w:ascii="Verdana" w:eastAsia="Calibri" w:hAnsi="Verdana" w:cs="Arial"/>
          <w:lang w:val="es-MX"/>
        </w:rPr>
        <w:t xml:space="preserve">Finalmente, </w:t>
      </w:r>
      <w:r w:rsidRPr="00BD1933">
        <w:rPr>
          <w:rFonts w:ascii="Verdana" w:eastAsia="Calibri" w:hAnsi="Verdana" w:cs="Arial"/>
          <w:lang w:val="es-MX"/>
        </w:rPr>
        <w:t>en tercer lugar, el Libro 2, Parte 2, Título 1, Capítulo 2, Sección 1, Subsección 3 del Decreto 1082 de 2015 regula las distintas modalidades del concurso de méritos</w:t>
      </w:r>
      <w:r>
        <w:rPr>
          <w:rFonts w:ascii="Verdana" w:eastAsia="Calibri" w:hAnsi="Verdana" w:cs="Arial"/>
          <w:lang w:val="es-MX"/>
        </w:rPr>
        <w:t>, en dicho capitulo no se abordan términos que regulen la presentación de ofertas</w:t>
      </w:r>
      <w:r w:rsidRPr="00BD1933">
        <w:rPr>
          <w:rFonts w:ascii="Verdana" w:eastAsia="Calibri" w:hAnsi="Verdana" w:cs="Arial"/>
          <w:lang w:val="es-MX"/>
        </w:rPr>
        <w:t xml:space="preserve">. </w:t>
      </w:r>
      <w:r>
        <w:rPr>
          <w:rFonts w:ascii="Verdana" w:eastAsia="Calibri" w:hAnsi="Verdana" w:cs="Arial"/>
          <w:lang w:val="es-MX"/>
        </w:rPr>
        <w:t>No obstante, e</w:t>
      </w:r>
      <w:r w:rsidRPr="00BD1933">
        <w:rPr>
          <w:rFonts w:ascii="Verdana" w:eastAsia="Calibri" w:hAnsi="Verdana" w:cs="Arial"/>
          <w:lang w:val="es-MX"/>
        </w:rPr>
        <w:t xml:space="preserve">n relación con los términos de las diferentes etapas del proceso, el artículo 2.2.1.1.2.1.4 </w:t>
      </w:r>
      <w:r w:rsidRPr="0046765C">
        <w:rPr>
          <w:rFonts w:ascii="Verdana" w:eastAsia="Calibri" w:hAnsi="Verdana" w:cs="Arial"/>
          <w:i/>
          <w:iCs/>
          <w:lang w:val="es-MX"/>
        </w:rPr>
        <w:t>ejusdem</w:t>
      </w:r>
      <w:r w:rsidRPr="00BD1933">
        <w:rPr>
          <w:rFonts w:ascii="Verdana" w:eastAsia="Calibri" w:hAnsi="Verdana" w:cs="Arial"/>
          <w:lang w:val="es-MX"/>
        </w:rPr>
        <w:t xml:space="preserve"> únicamente establece el plazo para adelantar la etapa de observaciones al proyecto de pliego de condiciones, disponiendo que estas podrán presentarse dentro de un término de</w:t>
      </w:r>
      <w:r>
        <w:rPr>
          <w:rFonts w:ascii="Verdana" w:eastAsia="Calibri" w:hAnsi="Verdana" w:cs="Arial"/>
          <w:lang w:val="es-MX"/>
        </w:rPr>
        <w:t xml:space="preserve"> </w:t>
      </w:r>
      <w:r w:rsidRPr="0046765C">
        <w:rPr>
          <w:rFonts w:ascii="Verdana" w:eastAsia="Calibri" w:hAnsi="Verdana" w:cs="Arial"/>
        </w:rPr>
        <w:t>cinco (5) días hábiles</w:t>
      </w:r>
      <w:r w:rsidRPr="0046765C">
        <w:rPr>
          <w:rFonts w:ascii="Verdana" w:eastAsia="Calibri" w:hAnsi="Verdana" w:cs="Arial"/>
          <w:lang w:val="es-MX"/>
        </w:rPr>
        <w:t xml:space="preserve">. </w:t>
      </w:r>
    </w:p>
    <w:p w14:paraId="0EE07032" w14:textId="77777777" w:rsidR="00143AF2" w:rsidRDefault="00143AF2" w:rsidP="0080724B">
      <w:pPr>
        <w:spacing w:before="120" w:after="120" w:line="276" w:lineRule="auto"/>
        <w:ind w:firstLine="709"/>
        <w:jc w:val="both"/>
        <w:rPr>
          <w:rFonts w:ascii="Verdana" w:eastAsia="Calibri" w:hAnsi="Verdana" w:cs="Arial"/>
          <w:lang w:val="es-MX"/>
        </w:rPr>
      </w:pPr>
    </w:p>
    <w:p w14:paraId="60DA2B8F" w14:textId="77777777" w:rsidR="00143AF2" w:rsidRDefault="00143AF2" w:rsidP="0080724B">
      <w:pPr>
        <w:spacing w:before="120" w:after="120" w:line="276" w:lineRule="auto"/>
        <w:ind w:firstLine="709"/>
        <w:jc w:val="both"/>
        <w:rPr>
          <w:rFonts w:ascii="Verdana" w:eastAsia="Calibri" w:hAnsi="Verdana" w:cs="Arial"/>
          <w:lang w:val="es-MX"/>
        </w:rPr>
      </w:pPr>
    </w:p>
    <w:p w14:paraId="435B3534" w14:textId="77777777" w:rsidR="00143AF2" w:rsidRDefault="00143AF2" w:rsidP="0080724B">
      <w:pPr>
        <w:spacing w:before="120" w:after="120" w:line="276" w:lineRule="auto"/>
        <w:ind w:firstLine="709"/>
        <w:jc w:val="both"/>
        <w:rPr>
          <w:rFonts w:ascii="Verdana" w:eastAsia="Calibri" w:hAnsi="Verdana" w:cs="Arial"/>
          <w:lang w:val="es-MX"/>
        </w:rPr>
      </w:pPr>
    </w:p>
    <w:p w14:paraId="47227892" w14:textId="77777777" w:rsidR="00143AF2" w:rsidRDefault="00143AF2" w:rsidP="0080724B">
      <w:pPr>
        <w:spacing w:before="120" w:after="120" w:line="276" w:lineRule="auto"/>
        <w:ind w:firstLine="709"/>
        <w:jc w:val="both"/>
        <w:rPr>
          <w:rFonts w:ascii="Verdana" w:eastAsia="Calibri" w:hAnsi="Verdana" w:cs="Arial"/>
          <w:lang w:val="es-MX"/>
        </w:rPr>
      </w:pPr>
    </w:p>
    <w:p w14:paraId="7127A965" w14:textId="77777777" w:rsidR="00143AF2" w:rsidRPr="0046765C" w:rsidRDefault="00143AF2" w:rsidP="0080724B">
      <w:pPr>
        <w:spacing w:before="120" w:after="120" w:line="276" w:lineRule="auto"/>
        <w:ind w:firstLine="709"/>
        <w:jc w:val="both"/>
        <w:rPr>
          <w:rFonts w:ascii="Verdana" w:eastAsia="Calibri" w:hAnsi="Verdana" w:cs="Arial"/>
          <w:lang w:val="es-MX"/>
        </w:rPr>
      </w:pPr>
    </w:p>
    <w:p w14:paraId="2753F803" w14:textId="77777777" w:rsidR="0080724B" w:rsidRPr="0046765C" w:rsidRDefault="0080724B" w:rsidP="0080724B">
      <w:pPr>
        <w:spacing w:after="120" w:line="276" w:lineRule="auto"/>
        <w:ind w:firstLine="709"/>
        <w:jc w:val="both"/>
        <w:rPr>
          <w:rFonts w:ascii="Verdana" w:eastAsia="Calibri" w:hAnsi="Verdana" w:cs="Arial"/>
        </w:rPr>
      </w:pPr>
      <w:r w:rsidRPr="0046765C">
        <w:rPr>
          <w:rFonts w:ascii="Verdana" w:eastAsia="Calibri" w:hAnsi="Verdana" w:cs="Arial"/>
        </w:rPr>
        <w:lastRenderedPageBreak/>
        <w:t>En todo caso, cada proceso de contratación deberá tener en cuenta lo estipulado en los diferentes acuerdos comerciales, pues algunos establecen plazos mínimos para presentar las ofertas con el fin de dar el tiempo suficiente a los interesados para preparar sus también propuestas. Por esta razón, los Documentos del Proceso deben establecer, en su Cronograma, el espacio suficiente para cumplir con esta obligación. Los Acuerdos Comerciales establecen estos plazos en días calendario. Este plazo debe contarse a partir de la fecha de la publicación del aviso de convocatoria y hasta el día en que vence el término para presentar ofertas en el respectivo Proceso de Contratación</w:t>
      </w:r>
      <w:r>
        <w:rPr>
          <w:rStyle w:val="Refdenotaalpie"/>
          <w:rFonts w:ascii="Verdana" w:eastAsia="Calibri" w:hAnsi="Verdana" w:cs="Arial"/>
        </w:rPr>
        <w:footnoteReference w:id="2"/>
      </w:r>
      <w:r>
        <w:rPr>
          <w:rFonts w:ascii="Verdana" w:eastAsia="Calibri" w:hAnsi="Verdana" w:cs="Arial"/>
        </w:rPr>
        <w:t>.</w:t>
      </w:r>
    </w:p>
    <w:p w14:paraId="5B5E4CF3" w14:textId="77777777" w:rsidR="0080724B" w:rsidRDefault="0080724B" w:rsidP="00E57AA8">
      <w:pPr>
        <w:spacing w:after="120" w:line="240" w:lineRule="auto"/>
        <w:ind w:firstLine="709"/>
        <w:jc w:val="both"/>
        <w:rPr>
          <w:rFonts w:ascii="Verdana" w:eastAsia="Times New Roman" w:hAnsi="Verdana" w:cs="Arial"/>
          <w:color w:val="000000" w:themeColor="text1"/>
        </w:rPr>
      </w:pPr>
      <w:r>
        <w:rPr>
          <w:rFonts w:ascii="Verdana" w:eastAsia="Calibri" w:hAnsi="Verdana" w:cs="Arial"/>
        </w:rPr>
        <w:t>En consecuencia</w:t>
      </w:r>
      <w:r w:rsidRPr="00FA53A6">
        <w:rPr>
          <w:rFonts w:ascii="Verdana" w:eastAsia="Calibri" w:hAnsi="Verdana" w:cs="Arial"/>
          <w:lang w:val="es-MX"/>
        </w:rPr>
        <w:t>, los plazos que no han sido regulados expresamente por la ley pueden ser definidos por la entidad estatal en ejercicio de su autonomía</w:t>
      </w:r>
      <w:r>
        <w:rPr>
          <w:rFonts w:ascii="Verdana" w:eastAsia="Calibri" w:hAnsi="Verdana" w:cs="Arial"/>
          <w:lang w:val="es-MX"/>
        </w:rPr>
        <w:t xml:space="preserve"> </w:t>
      </w:r>
      <w:r w:rsidRPr="00706E53">
        <w:rPr>
          <w:rFonts w:ascii="Verdana" w:eastAsia="Calibri" w:hAnsi="Verdana" w:cs="Arial"/>
          <w:lang w:val="es-MX"/>
        </w:rPr>
        <w:t>de manera discrecional y razonable en atención al objeto</w:t>
      </w:r>
      <w:r>
        <w:rPr>
          <w:rFonts w:ascii="Verdana" w:eastAsia="Calibri" w:hAnsi="Verdana" w:cs="Arial"/>
          <w:lang w:val="es-MX"/>
        </w:rPr>
        <w:t xml:space="preserve"> y</w:t>
      </w:r>
      <w:r w:rsidRPr="00706E53">
        <w:rPr>
          <w:rFonts w:ascii="Verdana" w:eastAsia="Calibri" w:hAnsi="Verdana" w:cs="Arial"/>
          <w:lang w:val="es-MX"/>
        </w:rPr>
        <w:t xml:space="preserve"> condiciones del proceso</w:t>
      </w:r>
      <w:r>
        <w:rPr>
          <w:rFonts w:ascii="Verdana" w:eastAsia="Calibri" w:hAnsi="Verdana" w:cs="Arial"/>
          <w:lang w:val="es-MX"/>
        </w:rPr>
        <w:t>,</w:t>
      </w:r>
      <w:r w:rsidRPr="00706E53">
        <w:rPr>
          <w:rFonts w:ascii="Verdana" w:eastAsia="Calibri" w:hAnsi="Verdana" w:cs="Arial"/>
          <w:lang w:val="es-MX"/>
        </w:rPr>
        <w:t xml:space="preserve"> entendiendo que existen procesos más complejos que otros y a los que se presentan un gran número de proponentes</w:t>
      </w:r>
      <w:r>
        <w:rPr>
          <w:rFonts w:ascii="Verdana" w:eastAsia="Calibri" w:hAnsi="Verdana" w:cs="Arial"/>
          <w:lang w:val="es-MX"/>
        </w:rPr>
        <w:t>.</w:t>
      </w:r>
      <w:r>
        <w:rPr>
          <w:rFonts w:ascii="Verdana" w:eastAsia="Calibri" w:hAnsi="Verdana" w:cs="Arial"/>
        </w:rPr>
        <w:t xml:space="preserve"> </w:t>
      </w:r>
      <w:r w:rsidRPr="008C2C92">
        <w:rPr>
          <w:rFonts w:ascii="Verdana" w:eastAsia="Times New Roman" w:hAnsi="Verdana" w:cs="Arial"/>
          <w:color w:val="000000" w:themeColor="text1"/>
        </w:rPr>
        <w:t xml:space="preserve">Adicionalmente, hay normas específicas del EGCAP que establecen la facultad de prorrogar plazos de algunas etapas del proceso, pero en todo caso esto debe efectuarse antes de su vencimiento. </w:t>
      </w:r>
    </w:p>
    <w:p w14:paraId="4BBAF984" w14:textId="77777777" w:rsidR="0080724B" w:rsidRDefault="0080724B" w:rsidP="00E57AA8">
      <w:pPr>
        <w:spacing w:after="120" w:line="240" w:lineRule="auto"/>
        <w:ind w:firstLine="709"/>
        <w:jc w:val="both"/>
        <w:rPr>
          <w:rFonts w:ascii="Verdana" w:eastAsia="Times New Roman" w:hAnsi="Verdana" w:cs="Arial"/>
          <w:color w:val="000000" w:themeColor="text1"/>
        </w:rPr>
      </w:pPr>
      <w:r w:rsidRPr="00676756">
        <w:rPr>
          <w:rFonts w:ascii="Verdana" w:eastAsia="Calibri" w:hAnsi="Verdana" w:cs="Arial"/>
        </w:rPr>
        <w:t>Finalmente</w:t>
      </w:r>
      <w:r>
        <w:rPr>
          <w:rFonts w:ascii="Verdana" w:eastAsia="Calibri" w:hAnsi="Verdana" w:cs="Arial"/>
        </w:rPr>
        <w:t xml:space="preserve">, </w:t>
      </w:r>
      <w:r w:rsidRPr="00676756">
        <w:rPr>
          <w:rFonts w:ascii="Verdana" w:eastAsia="Calibri" w:hAnsi="Verdana" w:cs="Arial"/>
        </w:rPr>
        <w:t>de conformidad con los mandatos derivados del principio de transparencia, consagrado en el artículo 24 de la Ley 80 de 1993, y lo dispuesto en el artículo 2.2.1.1.2.1.3 del Decreto 1082 de 2015</w:t>
      </w:r>
      <w:r w:rsidRPr="00547EFD">
        <w:rPr>
          <w:vertAlign w:val="superscript"/>
        </w:rPr>
        <w:footnoteReference w:id="3"/>
      </w:r>
      <w:r w:rsidRPr="00676756">
        <w:rPr>
          <w:rFonts w:ascii="Verdana" w:eastAsia="Calibri" w:hAnsi="Verdana" w:cs="Arial"/>
        </w:rPr>
        <w:t>,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w:t>
      </w:r>
      <w:r>
        <w:rPr>
          <w:rFonts w:ascii="Verdana" w:eastAsia="Calibri" w:hAnsi="Verdana" w:cs="Arial"/>
        </w:rPr>
        <w:t xml:space="preserve"> o pliego de condiciones</w:t>
      </w:r>
      <w:r w:rsidRPr="00676756">
        <w:rPr>
          <w:rFonts w:ascii="Verdana" w:eastAsia="Calibri" w:hAnsi="Verdana" w:cs="Arial"/>
        </w:rPr>
        <w:t xml:space="preserve">, el lapso durante el cual recibirán ofertas, definiendo expresamente la hora hasta la cual recibirán las ofertas, de tal manera que este pueda ser conocido con anticipación por los interesados. </w:t>
      </w:r>
      <w:r>
        <w:rPr>
          <w:rFonts w:ascii="Verdana" w:eastAsia="Times New Roman" w:hAnsi="Verdana" w:cs="Arial"/>
          <w:color w:val="000000" w:themeColor="text1"/>
        </w:rPr>
        <w:t xml:space="preserve">Por lo anterior, </w:t>
      </w:r>
      <w:r w:rsidRPr="000525F8">
        <w:rPr>
          <w:rFonts w:ascii="Verdana" w:eastAsia="Times New Roman" w:hAnsi="Verdana" w:cs="Arial"/>
          <w:color w:val="000000" w:themeColor="text1"/>
        </w:rPr>
        <w:t xml:space="preserve">las fechas, horas y plazos de los procesos de contratación se encuentran regulados en el </w:t>
      </w:r>
      <w:r w:rsidRPr="000525F8">
        <w:rPr>
          <w:rFonts w:ascii="Verdana" w:eastAsia="Times New Roman" w:hAnsi="Verdana" w:cs="Arial"/>
          <w:color w:val="000000" w:themeColor="text1"/>
        </w:rPr>
        <w:lastRenderedPageBreak/>
        <w:t xml:space="preserve">cronograma que establezca la entidad al hacer la invitación a participar o publicar el pliego de condiciones. Sin embargo, los artículos 2.2.1.1.1.7.1 y 2.2.1.1.2.2.1. del Decreto 1082 de 2015 precisan un término y horario para la publicación de las actividades contractuales. </w:t>
      </w:r>
    </w:p>
    <w:p w14:paraId="65A6F900" w14:textId="77777777" w:rsidR="000E57EC" w:rsidRDefault="000E57EC" w:rsidP="0080724B">
      <w:pPr>
        <w:spacing w:after="120" w:line="276" w:lineRule="auto"/>
        <w:ind w:firstLine="709"/>
        <w:jc w:val="both"/>
        <w:rPr>
          <w:rFonts w:ascii="Verdana" w:eastAsia="Times New Roman" w:hAnsi="Verdana" w:cs="Arial"/>
          <w:color w:val="000000" w:themeColor="text1"/>
        </w:rPr>
      </w:pPr>
    </w:p>
    <w:p w14:paraId="16A4E35E" w14:textId="77777777" w:rsidR="0080724B" w:rsidRPr="009322DA" w:rsidRDefault="0080724B" w:rsidP="0080724B">
      <w:pPr>
        <w:jc w:val="both"/>
        <w:rPr>
          <w:rFonts w:ascii="Verdana" w:eastAsia="Calibri" w:hAnsi="Verdana" w:cs="Arial"/>
          <w:b/>
          <w:bCs/>
        </w:rPr>
      </w:pPr>
      <w:r w:rsidRPr="00676756">
        <w:rPr>
          <w:rFonts w:ascii="Verdana" w:eastAsia="Calibri" w:hAnsi="Verdana" w:cs="Arial"/>
        </w:rPr>
        <w:t xml:space="preserve">   </w:t>
      </w:r>
      <w:r w:rsidRPr="009322D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0724B" w:rsidRPr="009322DA" w14:paraId="0B1D54C2"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4EB340EC" w14:textId="77777777" w:rsidR="0080724B" w:rsidRPr="004F5EEA" w:rsidRDefault="0080724B">
            <w:pPr>
              <w:pStyle w:val="Prrafodelista"/>
              <w:numPr>
                <w:ilvl w:val="0"/>
                <w:numId w:val="17"/>
              </w:numPr>
              <w:jc w:val="both"/>
              <w:rPr>
                <w:rFonts w:ascii="Verdana" w:eastAsia="Calibri" w:hAnsi="Verdana" w:cs="Arial"/>
                <w:bCs/>
              </w:rPr>
            </w:pPr>
            <w:r w:rsidRPr="004F5EEA">
              <w:rPr>
                <w:rFonts w:ascii="Verdana" w:eastAsia="Calibri" w:hAnsi="Verdana" w:cs="Arial"/>
                <w:bCs/>
              </w:rPr>
              <w:t xml:space="preserve">Ley 80 de 1993, articulo </w:t>
            </w:r>
            <w:r>
              <w:rPr>
                <w:rFonts w:ascii="Verdana" w:eastAsia="Calibri" w:hAnsi="Verdana" w:cs="Arial"/>
                <w:bCs/>
              </w:rPr>
              <w:t>25</w:t>
            </w:r>
            <w:r w:rsidRPr="004F5EEA">
              <w:rPr>
                <w:rFonts w:ascii="Verdana" w:eastAsia="Calibri" w:hAnsi="Verdana" w:cs="Arial"/>
                <w:bCs/>
              </w:rPr>
              <w:t xml:space="preserve"> </w:t>
            </w:r>
          </w:p>
          <w:p w14:paraId="4DCE8B47" w14:textId="77777777" w:rsidR="0080724B" w:rsidRPr="0046765C" w:rsidRDefault="0080724B">
            <w:pPr>
              <w:pStyle w:val="Prrafodelista"/>
              <w:numPr>
                <w:ilvl w:val="0"/>
                <w:numId w:val="17"/>
              </w:numPr>
              <w:rPr>
                <w:rFonts w:ascii="Verdana" w:eastAsia="Calibri" w:hAnsi="Verdana" w:cs="Arial"/>
                <w:bCs/>
              </w:rPr>
            </w:pPr>
            <w:r w:rsidRPr="004F5EEA">
              <w:rPr>
                <w:rFonts w:ascii="Verdana" w:eastAsia="Calibri" w:hAnsi="Verdana" w:cs="Arial"/>
                <w:bCs/>
              </w:rPr>
              <w:t>Decreto 1082 de 2015, artículo</w:t>
            </w:r>
            <w:r>
              <w:rPr>
                <w:rFonts w:ascii="Verdana" w:eastAsia="Calibri" w:hAnsi="Verdana" w:cs="Arial"/>
                <w:bCs/>
              </w:rPr>
              <w:t>s</w:t>
            </w:r>
            <w:r w:rsidRPr="004F5EEA">
              <w:rPr>
                <w:rFonts w:ascii="Verdana" w:eastAsia="Calibri" w:hAnsi="Verdana" w:cs="Arial"/>
                <w:bCs/>
              </w:rPr>
              <w:t xml:space="preserve"> </w:t>
            </w:r>
            <w:r w:rsidRPr="0046765C">
              <w:rPr>
                <w:rFonts w:ascii="Verdana" w:eastAsia="Calibri" w:hAnsi="Verdana" w:cs="Arial"/>
                <w:bCs/>
              </w:rPr>
              <w:t>Artículo 2.2.1.2.1.2.20., Artículo 2.2.1.1.2.1.3.</w:t>
            </w:r>
          </w:p>
          <w:p w14:paraId="07C21211" w14:textId="77777777" w:rsidR="0080724B" w:rsidRPr="0046765C" w:rsidRDefault="0080724B">
            <w:pPr>
              <w:pStyle w:val="Prrafodelista"/>
              <w:numPr>
                <w:ilvl w:val="0"/>
                <w:numId w:val="17"/>
              </w:numPr>
              <w:jc w:val="both"/>
              <w:rPr>
                <w:rFonts w:ascii="Verdana" w:eastAsia="Calibri" w:hAnsi="Verdana" w:cs="Arial"/>
                <w:bCs/>
              </w:rPr>
            </w:pPr>
            <w:r w:rsidRPr="00644E7A">
              <w:rPr>
                <w:rFonts w:ascii="Verdana" w:hAnsi="Verdana" w:cs="Arial"/>
                <w:color w:val="000000" w:themeColor="text1"/>
              </w:rPr>
              <w:t>Ley 1150 de 2007, artículo 2.</w:t>
            </w:r>
          </w:p>
          <w:p w14:paraId="7E2FCECC" w14:textId="364D2BDB" w:rsidR="0080724B" w:rsidRPr="00775458" w:rsidRDefault="0080724B" w:rsidP="00F03E39">
            <w:pPr>
              <w:pStyle w:val="Textonotapie"/>
              <w:numPr>
                <w:ilvl w:val="0"/>
                <w:numId w:val="17"/>
              </w:numPr>
              <w:rPr>
                <w:rFonts w:ascii="Verdana" w:hAnsi="Verdana" w:cs="Arial"/>
              </w:rPr>
            </w:pPr>
            <w:r w:rsidRPr="0046765C">
              <w:rPr>
                <w:rFonts w:ascii="Verdana" w:hAnsi="Verdana"/>
                <w:sz w:val="22"/>
                <w:szCs w:val="22"/>
              </w:rPr>
              <w:t xml:space="preserve">Manual para el manejo de los acuerdos comerciales en Procesos De Contratación disponible en: </w:t>
            </w:r>
            <w:hyperlink r:id="rId12" w:history="1">
              <w:r w:rsidRPr="0046765C">
                <w:rPr>
                  <w:rStyle w:val="Hipervnculo"/>
                  <w:rFonts w:ascii="Verdana" w:hAnsi="Verdana"/>
                  <w:sz w:val="22"/>
                  <w:szCs w:val="22"/>
                </w:rPr>
                <w:t>https://www.colombiacompra.gov.co/wp-content/uploads/2024/08/manual_para_el_manejo_de_acuerdos_comerciales_vf.pdf</w:t>
              </w:r>
            </w:hyperlink>
          </w:p>
        </w:tc>
      </w:tr>
    </w:tbl>
    <w:p w14:paraId="7F4958A2" w14:textId="77777777" w:rsidR="0080724B" w:rsidRPr="009322DA" w:rsidRDefault="0080724B" w:rsidP="0080724B">
      <w:pPr>
        <w:tabs>
          <w:tab w:val="left" w:pos="142"/>
          <w:tab w:val="left" w:pos="284"/>
        </w:tabs>
        <w:spacing w:after="0" w:line="276" w:lineRule="auto"/>
        <w:jc w:val="both"/>
        <w:rPr>
          <w:rFonts w:ascii="Verdana" w:eastAsia="Calibri" w:hAnsi="Verdana" w:cs="Arial"/>
        </w:rPr>
      </w:pPr>
    </w:p>
    <w:p w14:paraId="3BDA4DF7" w14:textId="77777777" w:rsidR="0080724B" w:rsidRPr="009322DA" w:rsidRDefault="0080724B" w:rsidP="0080724B">
      <w:pPr>
        <w:tabs>
          <w:tab w:val="left" w:pos="142"/>
          <w:tab w:val="left" w:pos="284"/>
        </w:tabs>
        <w:spacing w:after="0" w:line="276" w:lineRule="auto"/>
        <w:jc w:val="both"/>
        <w:rPr>
          <w:rFonts w:ascii="Verdana" w:eastAsia="Century Gothic" w:hAnsi="Verdana" w:cs="Century Gothic"/>
          <w:b/>
          <w:bCs/>
          <w:lang w:val="es-ES"/>
        </w:rPr>
      </w:pPr>
      <w:r w:rsidRPr="00F50092">
        <w:rPr>
          <w:rFonts w:ascii="Verdana" w:eastAsia="Calibri" w:hAnsi="Verdana" w:cs="Arial"/>
          <w:b/>
          <w:bCs/>
        </w:rPr>
        <w:t>5.</w:t>
      </w:r>
      <w:r>
        <w:rPr>
          <w:rFonts w:ascii="Verdana" w:eastAsia="Calibri" w:hAnsi="Verdana" w:cs="Arial"/>
        </w:rPr>
        <w:t xml:space="preserve"> </w:t>
      </w:r>
      <w:r w:rsidRPr="009322DA">
        <w:rPr>
          <w:rFonts w:ascii="Verdana" w:eastAsia="Century Gothic" w:hAnsi="Verdana" w:cs="Century Gothic"/>
          <w:b/>
          <w:bCs/>
          <w:lang w:val="es-ES"/>
        </w:rPr>
        <w:t>Doctrina de la Agencia Nacional de Contratación Pública:</w:t>
      </w:r>
    </w:p>
    <w:p w14:paraId="2EC664B1" w14:textId="77777777" w:rsidR="00A9671E" w:rsidRDefault="00A9671E" w:rsidP="0080724B">
      <w:pPr>
        <w:widowControl w:val="0"/>
        <w:autoSpaceDE w:val="0"/>
        <w:autoSpaceDN w:val="0"/>
        <w:spacing w:after="0" w:line="276" w:lineRule="auto"/>
        <w:jc w:val="both"/>
        <w:rPr>
          <w:rFonts w:ascii="Verdana" w:eastAsia="Calibri" w:hAnsi="Verdana" w:cs="Arial"/>
          <w:shd w:val="clear" w:color="auto" w:fill="FFFFFF"/>
        </w:rPr>
      </w:pPr>
    </w:p>
    <w:p w14:paraId="7EF174D9" w14:textId="601207E9" w:rsidR="0080724B" w:rsidRPr="000C14B8" w:rsidRDefault="0080724B" w:rsidP="0080724B">
      <w:pPr>
        <w:widowControl w:val="0"/>
        <w:autoSpaceDE w:val="0"/>
        <w:autoSpaceDN w:val="0"/>
        <w:spacing w:after="0" w:line="276" w:lineRule="auto"/>
        <w:jc w:val="both"/>
        <w:rPr>
          <w:rFonts w:ascii="Verdana" w:hAnsi="Verdana" w:cs="Arial"/>
          <w:color w:val="000000" w:themeColor="text1"/>
          <w:shd w:val="clear" w:color="auto" w:fill="FFFFFF"/>
          <w:lang w:val="es-ES"/>
        </w:rPr>
      </w:pPr>
      <w:r w:rsidRPr="00C269C0">
        <w:rPr>
          <w:rFonts w:ascii="Verdana" w:eastAsia="Calibri" w:hAnsi="Verdana" w:cs="Arial"/>
          <w:shd w:val="clear" w:color="auto" w:fill="FFFFFF"/>
        </w:rPr>
        <w:t>L</w:t>
      </w:r>
      <w:r w:rsidRPr="00C269C0">
        <w:rPr>
          <w:rFonts w:ascii="Verdana" w:eastAsia="Calibri" w:hAnsi="Verdana" w:cs="Arial"/>
          <w:shd w:val="clear" w:color="auto" w:fill="FFFFFF"/>
          <w:lang w:val="es-ES"/>
        </w:rPr>
        <w:t xml:space="preserve">a Agencia Nacional de Contratación Pública – Colombia Compra Eficiente, </w:t>
      </w:r>
      <w:r>
        <w:rPr>
          <w:rFonts w:ascii="Verdana" w:eastAsia="Calibri" w:hAnsi="Verdana" w:cs="Arial"/>
          <w:shd w:val="clear" w:color="auto" w:fill="FFFFFF"/>
          <w:lang w:val="es-ES"/>
        </w:rPr>
        <w:t>se ha pronunciado sobre el cronograma en los procesos de contratación</w:t>
      </w:r>
      <w:r w:rsidRPr="00C269C0">
        <w:rPr>
          <w:rFonts w:ascii="Verdana" w:eastAsia="Calibri" w:hAnsi="Verdana" w:cs="Arial"/>
          <w:shd w:val="clear" w:color="auto" w:fill="FFFFFF"/>
          <w:lang w:val="es-ES"/>
        </w:rPr>
        <w:t xml:space="preserve"> en los conceptos</w:t>
      </w:r>
      <w:r>
        <w:rPr>
          <w:rFonts w:ascii="Verdana" w:eastAsia="Calibri" w:hAnsi="Verdana" w:cs="Arial"/>
          <w:shd w:val="clear" w:color="auto" w:fill="FFFFFF"/>
          <w:lang w:val="es-ES"/>
        </w:rPr>
        <w:t xml:space="preserve"> </w:t>
      </w:r>
      <w:r w:rsidRPr="0046765C">
        <w:rPr>
          <w:rFonts w:ascii="Verdana" w:eastAsia="Calibri" w:hAnsi="Verdana" w:cs="Arial"/>
          <w:shd w:val="clear" w:color="auto" w:fill="FFFFFF"/>
        </w:rPr>
        <w:t>4201912000006747</w:t>
      </w:r>
      <w:r>
        <w:rPr>
          <w:rFonts w:ascii="Verdana" w:eastAsia="Calibri" w:hAnsi="Verdana" w:cs="Arial"/>
          <w:shd w:val="clear" w:color="auto" w:fill="FFFFFF"/>
        </w:rPr>
        <w:t xml:space="preserve"> del 12 de noviembre de 2019</w:t>
      </w:r>
      <w:r w:rsidRPr="0046765C">
        <w:rPr>
          <w:rFonts w:ascii="Verdana" w:eastAsia="Calibri" w:hAnsi="Verdana" w:cs="Arial"/>
          <w:shd w:val="clear" w:color="auto" w:fill="FFFFFF"/>
        </w:rPr>
        <w:t>,</w:t>
      </w:r>
      <w:r>
        <w:rPr>
          <w:rFonts w:ascii="Verdana" w:eastAsia="Calibri" w:hAnsi="Verdana" w:cs="Arial"/>
          <w:b/>
          <w:bCs/>
          <w:shd w:val="clear" w:color="auto" w:fill="FFFFFF"/>
        </w:rPr>
        <w:t xml:space="preserve"> </w:t>
      </w:r>
      <w:r>
        <w:rPr>
          <w:rFonts w:ascii="Verdana" w:eastAsia="Calibri" w:hAnsi="Verdana" w:cs="Arial"/>
          <w:shd w:val="clear" w:color="auto" w:fill="FFFFFF"/>
          <w:lang w:val="es-ES"/>
        </w:rPr>
        <w:t xml:space="preserve">C- 218 del 13 de julio de 2023, C- 065 del 20 de mayo de 2024, C- 284 del 08 de julio de 2024, C- 299 del 21 de agosto de 2024, C- 393 del 09 de septiembre de 2024, C- 415 del 12 de septiembre de 2024, C- 432 del 16 de septiembre de 2024, C- 493 del 01 de octubre de 2024, C- 782 del 18 de noviembre de 2024, C- 793 del 18 de noviembre de 2024, C- 861 del 12 de diciembre de 2024, </w:t>
      </w:r>
      <w:r w:rsidRPr="001C0FB8">
        <w:rPr>
          <w:rFonts w:ascii="Verdana" w:eastAsia="Calibri" w:hAnsi="Verdana" w:cs="Arial"/>
          <w:shd w:val="clear" w:color="auto" w:fill="FFFFFF"/>
        </w:rPr>
        <w:t>C – 537 de</w:t>
      </w:r>
      <w:r>
        <w:rPr>
          <w:rFonts w:ascii="Verdana" w:eastAsia="Calibri" w:hAnsi="Verdana" w:cs="Arial"/>
          <w:shd w:val="clear" w:color="auto" w:fill="FFFFFF"/>
        </w:rPr>
        <w:t>l 14 de mayo de</w:t>
      </w:r>
      <w:r w:rsidRPr="001C0FB8">
        <w:rPr>
          <w:rFonts w:ascii="Verdana" w:eastAsia="Calibri" w:hAnsi="Verdana" w:cs="Arial"/>
          <w:shd w:val="clear" w:color="auto" w:fill="FFFFFF"/>
        </w:rPr>
        <w:t xml:space="preserve"> 2025</w:t>
      </w:r>
      <w:r>
        <w:rPr>
          <w:rFonts w:ascii="Verdana" w:eastAsia="Calibri" w:hAnsi="Verdana" w:cs="Arial"/>
          <w:shd w:val="clear" w:color="auto" w:fill="FFFFFF"/>
          <w:lang w:val="es-ES"/>
        </w:rPr>
        <w:t xml:space="preserve"> y C-1420 del </w:t>
      </w:r>
      <w:r>
        <w:rPr>
          <w:rFonts w:ascii="Verdana" w:hAnsi="Verdana"/>
        </w:rPr>
        <w:t xml:space="preserve">21 de octubre de 2025. </w:t>
      </w:r>
      <w:r w:rsidRPr="3F2B4452">
        <w:rPr>
          <w:rFonts w:ascii="Verdana" w:eastAsia="Calibri" w:hAnsi="Verdana" w:cs="Arial"/>
          <w:lang w:val="es-ES" w:eastAsia="es-ES"/>
        </w:rPr>
        <w:t>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/busqueda/conceptos</w:t>
      </w:r>
    </w:p>
    <w:p w14:paraId="101C9302" w14:textId="77777777" w:rsidR="0080724B" w:rsidRPr="00505CD6" w:rsidRDefault="0080724B" w:rsidP="0080724B">
      <w:pPr>
        <w:widowControl w:val="0"/>
        <w:autoSpaceDE w:val="0"/>
        <w:autoSpaceDN w:val="0"/>
        <w:spacing w:after="0" w:line="276" w:lineRule="auto"/>
        <w:jc w:val="both"/>
        <w:rPr>
          <w:rFonts w:ascii="Verdana" w:hAnsi="Verdana" w:cs="Arial"/>
          <w:color w:val="000000" w:themeColor="text1"/>
          <w:shd w:val="clear" w:color="auto" w:fill="FFFFFF"/>
        </w:rPr>
      </w:pPr>
    </w:p>
    <w:p w14:paraId="32FF8DFC" w14:textId="77777777" w:rsidR="0043266A" w:rsidRDefault="0043266A" w:rsidP="0080724B">
      <w:pPr>
        <w:spacing w:after="0"/>
        <w:jc w:val="both"/>
        <w:rPr>
          <w:rFonts w:ascii="Verdana" w:hAnsi="Verdana" w:cs="Arial"/>
          <w:color w:val="000000" w:themeColor="text1"/>
          <w:shd w:val="clear" w:color="auto" w:fill="FFFFFF"/>
        </w:rPr>
      </w:pPr>
    </w:p>
    <w:p w14:paraId="652A2C90" w14:textId="77777777" w:rsidR="0043266A" w:rsidRDefault="0043266A" w:rsidP="0080724B">
      <w:pPr>
        <w:spacing w:after="0"/>
        <w:jc w:val="both"/>
        <w:rPr>
          <w:rFonts w:ascii="Verdana" w:hAnsi="Verdana" w:cs="Arial"/>
          <w:color w:val="000000" w:themeColor="text1"/>
          <w:shd w:val="clear" w:color="auto" w:fill="FFFFFF"/>
        </w:rPr>
      </w:pPr>
    </w:p>
    <w:p w14:paraId="795B767F" w14:textId="77777777" w:rsidR="0043266A" w:rsidRDefault="0043266A" w:rsidP="0080724B">
      <w:pPr>
        <w:spacing w:after="0"/>
        <w:jc w:val="both"/>
        <w:rPr>
          <w:rFonts w:ascii="Verdana" w:hAnsi="Verdana" w:cs="Arial"/>
          <w:color w:val="000000" w:themeColor="text1"/>
          <w:shd w:val="clear" w:color="auto" w:fill="FFFFFF"/>
        </w:rPr>
      </w:pPr>
    </w:p>
    <w:p w14:paraId="3340760A" w14:textId="1DFC7684" w:rsidR="0080724B" w:rsidRDefault="0080724B" w:rsidP="0080724B">
      <w:pPr>
        <w:spacing w:after="0"/>
        <w:jc w:val="both"/>
      </w:pPr>
      <w:r>
        <w:rPr>
          <w:rFonts w:ascii="Verdana" w:hAnsi="Verdana" w:cs="Arial"/>
          <w:color w:val="000000" w:themeColor="text1"/>
          <w:shd w:val="clear" w:color="auto" w:fill="FFFFFF"/>
        </w:rPr>
        <w:lastRenderedPageBreak/>
        <w:t>T</w:t>
      </w:r>
      <w:r w:rsidRPr="000F7C08">
        <w:rPr>
          <w:rFonts w:ascii="Verdana" w:hAnsi="Verdana" w:cs="Arial"/>
          <w:color w:val="000000" w:themeColor="text1"/>
          <w:shd w:val="clear" w:color="auto" w:fill="FFFFFF"/>
        </w:rPr>
        <w:t>e informamos que ya se encuentra disponible la </w:t>
      </w:r>
      <w:r w:rsidRPr="000F7C08">
        <w:rPr>
          <w:rFonts w:ascii="Verdana" w:hAnsi="Verdana" w:cs="Arial"/>
          <w:b/>
          <w:bCs/>
          <w:color w:val="000000" w:themeColor="text1"/>
          <w:shd w:val="clear" w:color="auto" w:fill="FFFFFF"/>
        </w:rPr>
        <w:t>Cartilla para incentivar y fortalecer el acceso a las compras y contratación pública de los pueblos y comunidades étnicas en Colombia.</w:t>
      </w:r>
      <w:r w:rsidRPr="000F7C08">
        <w:rPr>
          <w:rFonts w:ascii="Verdana" w:hAnsi="Verdana" w:cs="Arial"/>
          <w:color w:val="000000" w:themeColor="text1"/>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Dirección URL original: https://www.colombiacompra.gov.co/manuales-guias-y-pliegos-tipo/manuales-y-guias/cartilla-para-incentivar-y-fortalecer-el-acceso-las. Haga clic o pulse si confía en este vínculo." w:history="1">
        <w:r w:rsidRPr="000F7C08">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AFD2DF5" w14:textId="77777777" w:rsidR="0080724B" w:rsidRDefault="0080724B" w:rsidP="0080724B">
      <w:pPr>
        <w:spacing w:after="0"/>
        <w:jc w:val="both"/>
      </w:pPr>
    </w:p>
    <w:p w14:paraId="6DD8DF0D" w14:textId="77777777" w:rsidR="0080724B" w:rsidRPr="00116940" w:rsidRDefault="0080724B" w:rsidP="0080724B">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3F1E7C4" w14:textId="77777777" w:rsidR="0080724B" w:rsidRPr="00116940" w:rsidRDefault="0080724B" w:rsidP="0080724B">
      <w:pPr>
        <w:spacing w:after="0"/>
        <w:jc w:val="both"/>
        <w:rPr>
          <w:rFonts w:ascii="Verdana" w:hAnsi="Verdana"/>
        </w:rPr>
      </w:pPr>
    </w:p>
    <w:p w14:paraId="62550F5C" w14:textId="77777777" w:rsidR="0080724B" w:rsidRPr="00116940" w:rsidRDefault="0080724B" w:rsidP="0080724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43B2F5C" w14:textId="77777777" w:rsidR="0080724B" w:rsidRPr="00116940" w:rsidRDefault="0080724B" w:rsidP="0080724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D94CEB1" w14:textId="77777777" w:rsidR="0080724B" w:rsidRPr="00116940" w:rsidRDefault="0080724B" w:rsidP="0080724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70CA0FEC" w14:textId="77777777" w:rsidR="0080724B" w:rsidRPr="00116940" w:rsidRDefault="0080724B" w:rsidP="0080724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2D1D6B6" w14:textId="77777777" w:rsidR="0080724B" w:rsidRPr="00116940" w:rsidRDefault="0080724B" w:rsidP="0080724B">
      <w:pPr>
        <w:spacing w:after="0" w:line="240" w:lineRule="auto"/>
        <w:ind w:left="720"/>
        <w:jc w:val="both"/>
        <w:rPr>
          <w:rFonts w:ascii="Verdana" w:hAnsi="Verdana"/>
        </w:rPr>
      </w:pPr>
    </w:p>
    <w:p w14:paraId="1726AEE7" w14:textId="77777777" w:rsidR="0080724B" w:rsidRPr="00116940" w:rsidRDefault="0080724B" w:rsidP="0080724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210A2E5" w14:textId="77777777" w:rsidR="0080724B" w:rsidRPr="00116940" w:rsidRDefault="0080724B" w:rsidP="0080724B">
      <w:pPr>
        <w:spacing w:after="0" w:line="240" w:lineRule="auto"/>
        <w:rPr>
          <w:rFonts w:ascii="Verdana" w:hAnsi="Verdana"/>
        </w:rPr>
      </w:pPr>
    </w:p>
    <w:p w14:paraId="1345EFE7" w14:textId="77777777" w:rsidR="0080724B" w:rsidRPr="00116940" w:rsidRDefault="0080724B" w:rsidP="0080724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D113A0B" w14:textId="77777777" w:rsidR="0080724B" w:rsidRPr="00116940" w:rsidRDefault="0080724B" w:rsidP="0080724B">
      <w:pPr>
        <w:spacing w:after="0" w:line="240" w:lineRule="auto"/>
        <w:jc w:val="both"/>
        <w:rPr>
          <w:rFonts w:ascii="Verdana" w:hAnsi="Verdana"/>
        </w:rPr>
      </w:pPr>
    </w:p>
    <w:p w14:paraId="18ECC2FE" w14:textId="77777777" w:rsidR="0080724B" w:rsidRPr="00116940" w:rsidRDefault="0080724B" w:rsidP="0080724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E013BA7" w14:textId="77777777" w:rsidR="0080724B" w:rsidRPr="00116940" w:rsidRDefault="0080724B" w:rsidP="0080724B">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205A440C" w14:textId="77777777" w:rsidR="0080724B" w:rsidRPr="00116940" w:rsidRDefault="0080724B" w:rsidP="0080724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D58AAAC" w14:textId="766599AE" w:rsidR="0080724B" w:rsidRPr="00FE5A24" w:rsidRDefault="0080724B" w:rsidP="0080724B">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w:t>
      </w:r>
      <w:r w:rsidRPr="00FE5A24">
        <w:rPr>
          <w:rFonts w:ascii="Verdana" w:hAnsi="Verdana" w:cs="Arial"/>
          <w:color w:val="000000" w:themeColor="text1"/>
        </w:rPr>
        <w:lastRenderedPageBreak/>
        <w:t xml:space="preserve">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D986A1E" w14:textId="77777777" w:rsidR="0080724B" w:rsidRPr="00FE5A24" w:rsidRDefault="0080724B" w:rsidP="0080724B">
      <w:pPr>
        <w:widowControl w:val="0"/>
        <w:autoSpaceDE w:val="0"/>
        <w:autoSpaceDN w:val="0"/>
        <w:spacing w:after="0" w:line="276" w:lineRule="auto"/>
        <w:jc w:val="both"/>
        <w:rPr>
          <w:rFonts w:ascii="Verdana" w:hAnsi="Verdana" w:cs="Arial"/>
          <w:color w:val="000000" w:themeColor="text1"/>
        </w:rPr>
      </w:pPr>
    </w:p>
    <w:p w14:paraId="4B2BCE60" w14:textId="77777777" w:rsidR="0080724B" w:rsidRPr="005B7C42" w:rsidRDefault="0080724B" w:rsidP="0080724B">
      <w:pPr>
        <w:spacing w:after="0" w:line="276" w:lineRule="auto"/>
        <w:jc w:val="both"/>
        <w:rPr>
          <w:rFonts w:ascii="Verdana" w:eastAsia="Times New Roman" w:hAnsi="Verdana" w:cs="Arial"/>
          <w:lang w:eastAsia="es-CO"/>
        </w:rPr>
      </w:pPr>
      <w:bookmarkStart w:id="3" w:name="_Hlk117695077"/>
      <w:r w:rsidRPr="005B7C42">
        <w:rPr>
          <w:rFonts w:ascii="Verdana" w:eastAsia="Times New Roman" w:hAnsi="Verdana" w:cs="Arial"/>
          <w:lang w:eastAsia="es-CO"/>
        </w:rPr>
        <w:t>Atentamente,</w:t>
      </w:r>
    </w:p>
    <w:bookmarkEnd w:id="3"/>
    <w:p w14:paraId="6A990BAB" w14:textId="27209C94" w:rsidR="0080724B" w:rsidRDefault="00291C18" w:rsidP="0080724B">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2923A54C" wp14:editId="57890BA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4C991E1D" w14:textId="77777777" w:rsidR="0080724B" w:rsidRDefault="0080724B" w:rsidP="0080724B">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724B" w:rsidRPr="00F03E39" w14:paraId="7003B0A5" w14:textId="77777777">
        <w:trPr>
          <w:trHeight w:val="315"/>
        </w:trPr>
        <w:tc>
          <w:tcPr>
            <w:tcW w:w="893" w:type="dxa"/>
            <w:vAlign w:val="center"/>
            <w:hideMark/>
          </w:tcPr>
          <w:p w14:paraId="2925226B" w14:textId="77777777" w:rsidR="0080724B" w:rsidRPr="00F03E39" w:rsidRDefault="0080724B">
            <w:pPr>
              <w:spacing w:line="276" w:lineRule="auto"/>
              <w:rPr>
                <w:rFonts w:ascii="Verdana" w:eastAsia="Times New Roman" w:hAnsi="Verdana" w:cs="Arial"/>
                <w:color w:val="000000"/>
                <w:sz w:val="12"/>
                <w:szCs w:val="12"/>
                <w:lang w:val="es-ES" w:eastAsia="es-ES"/>
              </w:rPr>
            </w:pPr>
            <w:r w:rsidRPr="00F03E39">
              <w:rPr>
                <w:rFonts w:ascii="Verdana" w:eastAsia="Times New Roman" w:hAnsi="Verdana" w:cs="Arial"/>
                <w:color w:val="000000"/>
                <w:sz w:val="12"/>
                <w:szCs w:val="12"/>
                <w:lang w:val="es-ES" w:eastAsia="es-ES"/>
              </w:rPr>
              <w:t>Elaboró:</w:t>
            </w:r>
          </w:p>
        </w:tc>
        <w:tc>
          <w:tcPr>
            <w:tcW w:w="5628" w:type="dxa"/>
            <w:tcBorders>
              <w:top w:val="nil"/>
              <w:left w:val="nil"/>
              <w:bottom w:val="dotted" w:sz="4" w:space="0" w:color="7F7F7F" w:themeColor="text1" w:themeTint="80"/>
              <w:right w:val="nil"/>
            </w:tcBorders>
            <w:vAlign w:val="center"/>
            <w:hideMark/>
          </w:tcPr>
          <w:p w14:paraId="10A61B38" w14:textId="77777777" w:rsidR="0080724B" w:rsidRPr="00F03E39" w:rsidRDefault="0080724B">
            <w:pPr>
              <w:spacing w:line="276" w:lineRule="auto"/>
              <w:rPr>
                <w:rFonts w:ascii="Verdana" w:eastAsia="Arial" w:hAnsi="Verdana" w:cs="Arial"/>
                <w:color w:val="000000"/>
                <w:sz w:val="12"/>
                <w:szCs w:val="12"/>
              </w:rPr>
            </w:pPr>
            <w:r w:rsidRPr="00F03E39">
              <w:rPr>
                <w:rFonts w:ascii="Verdana" w:eastAsia="Times New Roman" w:hAnsi="Verdana" w:cs="Arial"/>
                <w:color w:val="000000"/>
                <w:sz w:val="12"/>
                <w:szCs w:val="12"/>
              </w:rPr>
              <w:t>María Joshira Nieto Manzano</w:t>
            </w:r>
          </w:p>
          <w:p w14:paraId="4F6EFD99" w14:textId="77777777" w:rsidR="0080724B" w:rsidRPr="00F03E39" w:rsidRDefault="0080724B">
            <w:pPr>
              <w:spacing w:line="276" w:lineRule="auto"/>
              <w:rPr>
                <w:rFonts w:ascii="Verdana" w:eastAsia="Arial" w:hAnsi="Verdana" w:cs="Arial"/>
                <w:color w:val="000000"/>
                <w:sz w:val="12"/>
                <w:szCs w:val="12"/>
              </w:rPr>
            </w:pPr>
            <w:r w:rsidRPr="00F03E39">
              <w:rPr>
                <w:rFonts w:ascii="Verdana" w:eastAsia="Arial" w:hAnsi="Verdana" w:cs="Arial"/>
                <w:color w:val="000000"/>
                <w:sz w:val="12"/>
                <w:szCs w:val="12"/>
              </w:rPr>
              <w:t>Contratista de la Subdirección de Gestión Contractual</w:t>
            </w:r>
          </w:p>
        </w:tc>
      </w:tr>
      <w:tr w:rsidR="0080724B" w:rsidRPr="00F03E39" w14:paraId="74FBBADD" w14:textId="77777777">
        <w:trPr>
          <w:trHeight w:val="330"/>
        </w:trPr>
        <w:tc>
          <w:tcPr>
            <w:tcW w:w="893" w:type="dxa"/>
            <w:vAlign w:val="center"/>
            <w:hideMark/>
          </w:tcPr>
          <w:p w14:paraId="589C9084" w14:textId="77777777" w:rsidR="0080724B" w:rsidRPr="00F03E39" w:rsidRDefault="0080724B">
            <w:pPr>
              <w:spacing w:line="276" w:lineRule="auto"/>
              <w:rPr>
                <w:rFonts w:ascii="Verdana" w:eastAsia="Times New Roman" w:hAnsi="Verdana" w:cs="Arial"/>
                <w:color w:val="000000"/>
                <w:sz w:val="12"/>
                <w:szCs w:val="12"/>
                <w:lang w:val="es-ES" w:eastAsia="es-ES"/>
              </w:rPr>
            </w:pPr>
            <w:r w:rsidRPr="00F03E39">
              <w:rPr>
                <w:rFonts w:ascii="Verdana" w:eastAsia="Times New Roman" w:hAnsi="Verdana" w:cs="Arial"/>
                <w:color w:val="000000"/>
                <w:sz w:val="12"/>
                <w:szCs w:val="12"/>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610B6C" w14:textId="77777777" w:rsidR="0080724B" w:rsidRPr="00F03E39" w:rsidRDefault="0080724B">
            <w:pPr>
              <w:spacing w:line="276" w:lineRule="auto"/>
              <w:rPr>
                <w:rFonts w:ascii="Verdana" w:eastAsia="Times New Roman" w:hAnsi="Verdana" w:cs="Arial"/>
                <w:color w:val="000000"/>
                <w:sz w:val="12"/>
                <w:szCs w:val="12"/>
              </w:rPr>
            </w:pPr>
            <w:r w:rsidRPr="00F03E39">
              <w:rPr>
                <w:rFonts w:ascii="Verdana" w:eastAsia="Times New Roman" w:hAnsi="Verdana" w:cs="Arial"/>
                <w:color w:val="000000" w:themeColor="text1"/>
                <w:sz w:val="12"/>
                <w:szCs w:val="12"/>
              </w:rPr>
              <w:t>Juan Carlos González Vásquez</w:t>
            </w:r>
          </w:p>
          <w:p w14:paraId="6AFFDE30" w14:textId="77777777" w:rsidR="0080724B" w:rsidRPr="00F03E39" w:rsidRDefault="0080724B">
            <w:pPr>
              <w:spacing w:line="276" w:lineRule="auto"/>
              <w:textAlignment w:val="baseline"/>
              <w:rPr>
                <w:rFonts w:ascii="Verdana" w:eastAsia="Times New Roman" w:hAnsi="Verdana" w:cs="Arial"/>
                <w:color w:val="000000"/>
                <w:sz w:val="12"/>
                <w:szCs w:val="12"/>
              </w:rPr>
            </w:pPr>
            <w:r w:rsidRPr="00F03E39">
              <w:rPr>
                <w:rFonts w:ascii="Verdana" w:eastAsia="Times New Roman" w:hAnsi="Verdana" w:cs="Arial"/>
                <w:color w:val="000000"/>
                <w:sz w:val="12"/>
                <w:szCs w:val="12"/>
              </w:rPr>
              <w:t>Contratista de la Subdirección de Gestión Contractual</w:t>
            </w:r>
          </w:p>
        </w:tc>
      </w:tr>
      <w:tr w:rsidR="0080724B" w:rsidRPr="00F03E39" w14:paraId="1C84E3DC" w14:textId="77777777">
        <w:trPr>
          <w:trHeight w:val="300"/>
        </w:trPr>
        <w:tc>
          <w:tcPr>
            <w:tcW w:w="893" w:type="dxa"/>
            <w:vAlign w:val="center"/>
          </w:tcPr>
          <w:p w14:paraId="783CB1FC" w14:textId="77777777" w:rsidR="0080724B" w:rsidRPr="00F03E39" w:rsidRDefault="0080724B">
            <w:pPr>
              <w:spacing w:line="276" w:lineRule="auto"/>
              <w:rPr>
                <w:rFonts w:ascii="Verdana" w:eastAsia="Times New Roman" w:hAnsi="Verdana" w:cs="Arial"/>
                <w:color w:val="000000"/>
                <w:sz w:val="12"/>
                <w:szCs w:val="12"/>
                <w:lang w:val="es-ES" w:eastAsia="es-ES"/>
              </w:rPr>
            </w:pPr>
            <w:r w:rsidRPr="00F03E39">
              <w:rPr>
                <w:rFonts w:ascii="Verdana" w:eastAsia="Times New Roman" w:hAnsi="Verdana" w:cs="Arial"/>
                <w:color w:val="000000"/>
                <w:sz w:val="12"/>
                <w:szCs w:val="12"/>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84FA92" w14:textId="77777777" w:rsidR="0080724B" w:rsidRPr="00F03E39" w:rsidRDefault="0080724B">
            <w:pPr>
              <w:spacing w:line="276" w:lineRule="auto"/>
              <w:rPr>
                <w:rFonts w:ascii="Verdana" w:eastAsia="Times New Roman" w:hAnsi="Verdana" w:cs="Arial"/>
                <w:color w:val="000000"/>
                <w:sz w:val="12"/>
                <w:szCs w:val="12"/>
              </w:rPr>
            </w:pPr>
            <w:r w:rsidRPr="00F03E39">
              <w:rPr>
                <w:rFonts w:ascii="Verdana" w:eastAsia="Times New Roman" w:hAnsi="Verdana" w:cs="Arial"/>
                <w:color w:val="000000"/>
                <w:sz w:val="12"/>
                <w:szCs w:val="12"/>
              </w:rPr>
              <w:t>Carolina Quintero Gacharná</w:t>
            </w:r>
          </w:p>
          <w:p w14:paraId="478D8DC7" w14:textId="77777777" w:rsidR="0080724B" w:rsidRPr="00F03E39" w:rsidRDefault="0080724B">
            <w:pPr>
              <w:spacing w:line="276" w:lineRule="auto"/>
              <w:rPr>
                <w:rFonts w:ascii="Verdana" w:eastAsia="Times New Roman" w:hAnsi="Verdana" w:cs="Arial"/>
                <w:color w:val="000000"/>
                <w:sz w:val="12"/>
                <w:szCs w:val="12"/>
              </w:rPr>
            </w:pPr>
            <w:r w:rsidRPr="00F03E39">
              <w:rPr>
                <w:rFonts w:ascii="Verdana" w:eastAsia="Times New Roman" w:hAnsi="Verdana" w:cs="Arial"/>
                <w:color w:val="000000"/>
                <w:sz w:val="12"/>
                <w:szCs w:val="12"/>
              </w:rPr>
              <w:t>Subdirectora de Gestión Contractual ANCP – CCE</w:t>
            </w:r>
          </w:p>
        </w:tc>
      </w:tr>
      <w:bookmarkEnd w:id="0"/>
    </w:tbl>
    <w:p w14:paraId="31263D39" w14:textId="77777777" w:rsidR="0080724B" w:rsidRPr="0035417C" w:rsidRDefault="0080724B" w:rsidP="0080724B">
      <w:pPr>
        <w:spacing w:after="0"/>
        <w:rPr>
          <w:rFonts w:ascii="Verdana" w:hAnsi="Verdana"/>
          <w:lang w:val="es-ES"/>
        </w:rPr>
      </w:pPr>
    </w:p>
    <w:sectPr w:rsidR="0080724B" w:rsidRPr="0035417C" w:rsidSect="00F57440">
      <w:headerReference w:type="default" r:id="rId18"/>
      <w:footerReference w:type="default" r:id="rId19"/>
      <w:pgSz w:w="12240" w:h="15840" w:code="1"/>
      <w:pgMar w:top="1417" w:right="1701" w:bottom="1417" w:left="1701" w:header="709" w:footer="12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55798" w14:textId="77777777" w:rsidR="00441E52" w:rsidRDefault="00441E52" w:rsidP="004A1847">
      <w:pPr>
        <w:spacing w:after="0" w:line="240" w:lineRule="auto"/>
      </w:pPr>
      <w:r>
        <w:separator/>
      </w:r>
    </w:p>
  </w:endnote>
  <w:endnote w:type="continuationSeparator" w:id="0">
    <w:p w14:paraId="2F06D0B5" w14:textId="77777777" w:rsidR="00441E52" w:rsidRDefault="00441E5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FF93B" w14:textId="77777777" w:rsidR="00441E52" w:rsidRDefault="00441E52" w:rsidP="004A1847">
      <w:pPr>
        <w:spacing w:after="0" w:line="240" w:lineRule="auto"/>
      </w:pPr>
      <w:r>
        <w:separator/>
      </w:r>
    </w:p>
  </w:footnote>
  <w:footnote w:type="continuationSeparator" w:id="0">
    <w:p w14:paraId="4879966F" w14:textId="77777777" w:rsidR="00441E52" w:rsidRDefault="00441E52" w:rsidP="004A1847">
      <w:pPr>
        <w:spacing w:after="0" w:line="240" w:lineRule="auto"/>
      </w:pPr>
      <w:r>
        <w:continuationSeparator/>
      </w:r>
    </w:p>
  </w:footnote>
  <w:footnote w:id="1">
    <w:p w14:paraId="0D1EF38B" w14:textId="77777777" w:rsidR="00C634C4" w:rsidRPr="00143AF2" w:rsidRDefault="00C634C4" w:rsidP="0080724B">
      <w:pPr>
        <w:pStyle w:val="Textonotapie"/>
        <w:ind w:firstLine="708"/>
        <w:jc w:val="both"/>
        <w:rPr>
          <w:rFonts w:ascii="Verdana" w:hAnsi="Verdana"/>
          <w:sz w:val="12"/>
          <w:szCs w:val="12"/>
        </w:rPr>
      </w:pPr>
    </w:p>
    <w:p w14:paraId="49A92765" w14:textId="1793688F" w:rsidR="0080724B" w:rsidRPr="00143AF2" w:rsidRDefault="0080724B" w:rsidP="0080724B">
      <w:pPr>
        <w:pStyle w:val="Textonotapie"/>
        <w:ind w:firstLine="708"/>
        <w:jc w:val="both"/>
        <w:rPr>
          <w:rFonts w:ascii="Verdana" w:hAnsi="Verdana"/>
          <w:sz w:val="12"/>
          <w:szCs w:val="12"/>
          <w:lang w:val="es-CO"/>
        </w:rPr>
      </w:pPr>
      <w:r w:rsidRPr="00143AF2">
        <w:rPr>
          <w:rStyle w:val="Refdenotaalpie"/>
          <w:rFonts w:ascii="Verdana" w:hAnsi="Verdana"/>
          <w:sz w:val="12"/>
          <w:szCs w:val="12"/>
        </w:rPr>
        <w:footnoteRef/>
      </w:r>
      <w:r w:rsidRPr="00143AF2">
        <w:rPr>
          <w:rFonts w:ascii="Verdana" w:hAnsi="Verdana"/>
          <w:sz w:val="12"/>
          <w:szCs w:val="12"/>
        </w:rPr>
        <w:t xml:space="preserve"> </w:t>
      </w:r>
      <w:r w:rsidRPr="00143AF2">
        <w:rPr>
          <w:rFonts w:ascii="Verdana" w:hAnsi="Verdana"/>
          <w:sz w:val="12"/>
          <w:szCs w:val="12"/>
          <w:lang w:val="es-CO"/>
        </w:rPr>
        <w:t xml:space="preserve">Decreto 1082 de 2015. Artículo 2.2.1.2.1.2.20. Procedimiento para la selección abreviada de menor cuantía. Además de las normas generales establecidas en el presente título, las siguientes reglas son aplicables a la selección abreviada de menor cuantía: </w:t>
      </w:r>
    </w:p>
    <w:p w14:paraId="79591E76" w14:textId="77777777" w:rsidR="0080724B" w:rsidRPr="00143AF2" w:rsidRDefault="0080724B" w:rsidP="0080724B">
      <w:pPr>
        <w:pStyle w:val="Textonotapie"/>
        <w:spacing w:after="120"/>
        <w:ind w:firstLine="709"/>
        <w:jc w:val="both"/>
        <w:rPr>
          <w:rFonts w:ascii="Verdana" w:hAnsi="Verdana"/>
          <w:sz w:val="12"/>
          <w:szCs w:val="12"/>
          <w:lang w:val="es-CO"/>
        </w:rPr>
      </w:pPr>
      <w:r w:rsidRPr="00143AF2">
        <w:rPr>
          <w:rFonts w:ascii="Verdana" w:hAnsi="Verdana"/>
          <w:sz w:val="12"/>
          <w:szCs w:val="12"/>
          <w:lang w:val="es-CO"/>
        </w:rPr>
        <w:t xml:space="preserve">1. En un término no mayor a tres (3) días hábiles contados a partir de la fecha de apertura del Proceso de Contratación los interesados deben manifestar su intención de participar, a través del mecanismo establecido para el efecto en los pliegos de condiciones. </w:t>
      </w:r>
    </w:p>
    <w:p w14:paraId="6AF28DB9" w14:textId="77777777" w:rsidR="0080724B" w:rsidRPr="00143AF2" w:rsidRDefault="0080724B" w:rsidP="0080724B">
      <w:pPr>
        <w:pStyle w:val="Textonotapie"/>
        <w:spacing w:after="120"/>
        <w:ind w:firstLine="709"/>
        <w:jc w:val="both"/>
        <w:rPr>
          <w:rFonts w:ascii="Verdana" w:hAnsi="Verdana"/>
          <w:sz w:val="12"/>
          <w:szCs w:val="12"/>
          <w:lang w:val="es-CO"/>
        </w:rPr>
      </w:pPr>
      <w:r w:rsidRPr="00143AF2">
        <w:rPr>
          <w:rFonts w:ascii="Verdana" w:hAnsi="Verdana"/>
          <w:sz w:val="12"/>
          <w:szCs w:val="12"/>
          <w:lang w:val="es-CO"/>
        </w:rPr>
        <w:t xml:space="preserve">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 </w:t>
      </w:r>
    </w:p>
    <w:p w14:paraId="7633F1F5" w14:textId="77777777" w:rsidR="0080724B" w:rsidRPr="00143AF2" w:rsidRDefault="0080724B" w:rsidP="0080724B">
      <w:pPr>
        <w:pStyle w:val="Textonotapie"/>
        <w:spacing w:after="120"/>
        <w:ind w:firstLine="709"/>
        <w:jc w:val="both"/>
        <w:rPr>
          <w:rFonts w:ascii="Verdana" w:hAnsi="Verdana"/>
          <w:sz w:val="12"/>
          <w:szCs w:val="12"/>
          <w:lang w:val="es-CO"/>
        </w:rPr>
      </w:pPr>
      <w:r w:rsidRPr="00143AF2">
        <w:rPr>
          <w:rFonts w:ascii="Verdana" w:hAnsi="Verdana"/>
          <w:sz w:val="12"/>
          <w:szCs w:val="12"/>
          <w:lang w:val="es-CO"/>
        </w:rPr>
        <w:t xml:space="preserve">3. Si hay lugar a sorteo, el plazo para la presentación de las ofertas empezará a correr el día hábil siguiente a la fecha en la cual la Entidad Estatal informe a los interesados el resultado del sorteo. </w:t>
      </w:r>
    </w:p>
    <w:p w14:paraId="41D638AB" w14:textId="77777777" w:rsidR="0080724B" w:rsidRPr="00143AF2" w:rsidRDefault="0080724B" w:rsidP="0080724B">
      <w:pPr>
        <w:pStyle w:val="Textonotapie"/>
        <w:spacing w:after="120"/>
        <w:ind w:firstLine="709"/>
        <w:jc w:val="both"/>
        <w:rPr>
          <w:sz w:val="12"/>
          <w:szCs w:val="12"/>
          <w:lang w:val="es-ES"/>
        </w:rPr>
      </w:pPr>
      <w:r w:rsidRPr="00143AF2">
        <w:rPr>
          <w:rFonts w:ascii="Verdana" w:hAnsi="Verdana"/>
          <w:sz w:val="12"/>
          <w:szCs w:val="12"/>
          <w:lang w:val="es-CO"/>
        </w:rPr>
        <w:t>4. La Entidad Estatal debe publicar el informe de evaluación de ofertas durante tres (3) días hábiles”</w:t>
      </w:r>
    </w:p>
  </w:footnote>
  <w:footnote w:id="2">
    <w:p w14:paraId="5248CAEB" w14:textId="77777777" w:rsidR="0080724B" w:rsidRPr="00C634C4" w:rsidRDefault="0080724B" w:rsidP="0080724B">
      <w:pPr>
        <w:pStyle w:val="Textonotapie"/>
        <w:rPr>
          <w:rFonts w:ascii="Verdana" w:hAnsi="Verdana"/>
          <w:sz w:val="16"/>
          <w:szCs w:val="16"/>
          <w:lang w:val="es-ES"/>
        </w:rPr>
      </w:pPr>
      <w:r>
        <w:rPr>
          <w:rStyle w:val="Refdenotaalpie"/>
        </w:rPr>
        <w:footnoteRef/>
      </w:r>
      <w:r>
        <w:t xml:space="preserve"> </w:t>
      </w:r>
      <w:r w:rsidRPr="00C634C4">
        <w:rPr>
          <w:rFonts w:ascii="Verdana" w:hAnsi="Verdana"/>
          <w:sz w:val="16"/>
          <w:szCs w:val="16"/>
        </w:rPr>
        <w:t xml:space="preserve">Manual para el manejo de los acuerdos comerciales en Procesos De Contratación disponible en: </w:t>
      </w:r>
      <w:hyperlink r:id="rId1" w:history="1">
        <w:r w:rsidRPr="00C634C4">
          <w:rPr>
            <w:rStyle w:val="Hipervnculo"/>
            <w:rFonts w:ascii="Verdana" w:hAnsi="Verdana"/>
            <w:sz w:val="16"/>
            <w:szCs w:val="16"/>
          </w:rPr>
          <w:t>https://www.colombiacompra.gov.co/wp-content/uploads/2024/08/manual_para_el_manejo_de_acuerdos_comerciales_vf.pdf</w:t>
        </w:r>
      </w:hyperlink>
    </w:p>
  </w:footnote>
  <w:footnote w:id="3">
    <w:p w14:paraId="4D9D6832" w14:textId="77777777" w:rsidR="0080724B" w:rsidRPr="00C634C4" w:rsidRDefault="0080724B" w:rsidP="0080724B">
      <w:pPr>
        <w:pStyle w:val="Textonotapie"/>
        <w:ind w:firstLine="708"/>
        <w:jc w:val="both"/>
        <w:rPr>
          <w:rFonts w:ascii="Verdana" w:hAnsi="Verdana" w:cs="Arial"/>
          <w:color w:val="000000"/>
          <w:sz w:val="16"/>
          <w:szCs w:val="16"/>
        </w:rPr>
      </w:pPr>
    </w:p>
    <w:p w14:paraId="2AB3234D" w14:textId="77777777" w:rsidR="0080724B" w:rsidRPr="00FD08C0" w:rsidRDefault="0080724B" w:rsidP="0080724B">
      <w:pPr>
        <w:pStyle w:val="Textonotapie"/>
        <w:ind w:firstLine="708"/>
        <w:jc w:val="both"/>
        <w:rPr>
          <w:rFonts w:ascii="Verdana" w:hAnsi="Verdana" w:cs="Arial"/>
          <w:color w:val="000000"/>
          <w:sz w:val="12"/>
          <w:szCs w:val="12"/>
        </w:rPr>
      </w:pPr>
      <w:r w:rsidRPr="00C634C4">
        <w:rPr>
          <w:rStyle w:val="Refdenotaalpie"/>
          <w:rFonts w:ascii="Verdana" w:hAnsi="Verdana" w:cs="Arial"/>
          <w:color w:val="000000"/>
          <w:sz w:val="16"/>
          <w:szCs w:val="16"/>
        </w:rPr>
        <w:footnoteRef/>
      </w:r>
      <w:r w:rsidRPr="00C634C4">
        <w:rPr>
          <w:rFonts w:ascii="Verdana" w:hAnsi="Verdana" w:cs="Arial"/>
          <w:color w:val="000000"/>
          <w:sz w:val="16"/>
          <w:szCs w:val="16"/>
        </w:rPr>
        <w:t xml:space="preserve"> </w:t>
      </w:r>
      <w:r w:rsidRPr="00FD08C0">
        <w:rPr>
          <w:rFonts w:ascii="Verdana" w:hAnsi="Verdana" w:cs="Arial"/>
          <w:color w:val="000000"/>
          <w:sz w:val="12"/>
          <w:szCs w:val="12"/>
        </w:rPr>
        <w:t xml:space="preserve">“Artículo 2.2.1.1.2.1.3. Pliegos de condiciones. Los pliegos de condiciones deben contener por lo menos la siguiente información: </w:t>
      </w:r>
    </w:p>
    <w:p w14:paraId="355E1259" w14:textId="77777777" w:rsidR="0080724B" w:rsidRPr="00FD08C0" w:rsidRDefault="0080724B" w:rsidP="0080724B">
      <w:pPr>
        <w:pStyle w:val="Textonotapie"/>
        <w:ind w:firstLine="708"/>
        <w:jc w:val="both"/>
        <w:rPr>
          <w:rFonts w:ascii="Verdana" w:hAnsi="Verdana" w:cs="Arial"/>
          <w:color w:val="000000"/>
          <w:sz w:val="12"/>
          <w:szCs w:val="12"/>
        </w:rPr>
      </w:pPr>
      <w:r w:rsidRPr="00FD08C0">
        <w:rPr>
          <w:rFonts w:ascii="Verdana" w:hAnsi="Verdana" w:cs="Arial"/>
          <w:color w:val="000000"/>
          <w:sz w:val="12"/>
          <w:szCs w:val="12"/>
        </w:rPr>
        <w:t>[…]</w:t>
      </w:r>
    </w:p>
    <w:p w14:paraId="74F29DD8" w14:textId="77777777" w:rsidR="0080724B" w:rsidRPr="00FD08C0" w:rsidRDefault="0080724B" w:rsidP="0080724B">
      <w:pPr>
        <w:pStyle w:val="Textonotapie"/>
        <w:ind w:firstLine="708"/>
        <w:jc w:val="both"/>
        <w:rPr>
          <w:rFonts w:ascii="Verdana" w:hAnsi="Verdana" w:cs="Arial"/>
          <w:color w:val="000000"/>
          <w:sz w:val="12"/>
          <w:szCs w:val="12"/>
        </w:rPr>
      </w:pPr>
      <w:r w:rsidRPr="00FD08C0">
        <w:rPr>
          <w:rFonts w:ascii="Verdana" w:hAnsi="Verdana" w:cs="Arial"/>
          <w:color w:val="000000"/>
          <w:sz w:val="12"/>
          <w:szCs w:val="12"/>
        </w:rPr>
        <w:t xml:space="preserve">5. Las reglas aplicables a la presentación de las ofertas, su evaluación y a la adjudicación del contrato. </w:t>
      </w:r>
    </w:p>
    <w:p w14:paraId="1A9E6C8B" w14:textId="77777777" w:rsidR="0080724B" w:rsidRPr="00FD08C0" w:rsidRDefault="0080724B" w:rsidP="0080724B">
      <w:pPr>
        <w:pStyle w:val="Textonotapie"/>
        <w:ind w:firstLine="708"/>
        <w:jc w:val="both"/>
        <w:rPr>
          <w:rFonts w:ascii="Verdana" w:hAnsi="Verdana" w:cs="Arial"/>
          <w:color w:val="000000"/>
          <w:sz w:val="12"/>
          <w:szCs w:val="12"/>
        </w:rPr>
      </w:pPr>
      <w:r w:rsidRPr="00FD08C0">
        <w:rPr>
          <w:rFonts w:ascii="Verdana" w:hAnsi="Verdana" w:cs="Arial"/>
          <w:color w:val="000000"/>
          <w:sz w:val="12"/>
          <w:szCs w:val="12"/>
        </w:rPr>
        <w:t>[…]</w:t>
      </w:r>
    </w:p>
    <w:p w14:paraId="4AB6DAC0" w14:textId="77777777" w:rsidR="0080724B" w:rsidRPr="00FD08C0" w:rsidRDefault="0080724B" w:rsidP="0080724B">
      <w:pPr>
        <w:pStyle w:val="Textonotapie"/>
        <w:ind w:firstLine="708"/>
        <w:jc w:val="both"/>
        <w:rPr>
          <w:rFonts w:ascii="Verdana" w:hAnsi="Verdana" w:cs="Arial"/>
          <w:color w:val="000000"/>
          <w:sz w:val="12"/>
          <w:szCs w:val="12"/>
        </w:rPr>
      </w:pPr>
      <w:r w:rsidRPr="00FD08C0">
        <w:rPr>
          <w:rFonts w:ascii="Verdana" w:hAnsi="Verdana" w:cs="Arial"/>
          <w:color w:val="000000"/>
          <w:sz w:val="12"/>
          <w:szCs w:val="12"/>
        </w:rPr>
        <w:t>14. El Cronograma”.</w:t>
      </w:r>
    </w:p>
    <w:p w14:paraId="63F2D1D0" w14:textId="77777777" w:rsidR="0080724B" w:rsidRPr="00721CE1" w:rsidRDefault="0080724B" w:rsidP="0080724B">
      <w:pPr>
        <w:pStyle w:val="Textonotapie"/>
        <w:ind w:firstLine="708"/>
        <w:jc w:val="both"/>
        <w:rPr>
          <w:rFonts w:ascii="Arial" w:hAnsi="Arial" w:cs="Arial"/>
          <w:color w:val="000000"/>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58191178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61420745" name="Imagen 1461420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11.5pt;height:11.5pt" o:bullet="t">
        <v:imagedata r:id="rId1" o:title="mso1B13"/>
      </v:shape>
    </w:pict>
  </w:numPicBullet>
  <w:abstractNum w:abstractNumId="0" w15:restartNumberingAfterBreak="0">
    <w:nsid w:val="01C06310"/>
    <w:multiLevelType w:val="multilevel"/>
    <w:tmpl w:val="18BC47B4"/>
    <w:lvl w:ilvl="0">
      <w:start w:val="1"/>
      <w:numFmt w:val="decimal"/>
      <w:lvlText w:val="%1."/>
      <w:lvlJc w:val="left"/>
      <w:pPr>
        <w:ind w:left="6601" w:hanging="360"/>
      </w:pPr>
      <w:rPr>
        <w:rFonts w:hint="default"/>
        <w:b/>
        <w:color w:val="000000" w:themeColor="text1"/>
      </w:rPr>
    </w:lvl>
    <w:lvl w:ilvl="1">
      <w:start w:val="2"/>
      <w:numFmt w:val="decimal"/>
      <w:isLgl/>
      <w:lvlText w:val="%1.%2"/>
      <w:lvlJc w:val="left"/>
      <w:pPr>
        <w:ind w:left="6241" w:hanging="360"/>
      </w:pPr>
      <w:rPr>
        <w:rFonts w:hint="default"/>
      </w:rPr>
    </w:lvl>
    <w:lvl w:ilvl="2">
      <w:start w:val="1"/>
      <w:numFmt w:val="decimal"/>
      <w:isLgl/>
      <w:lvlText w:val="%1.%2.%3"/>
      <w:lvlJc w:val="left"/>
      <w:pPr>
        <w:ind w:left="6961" w:hanging="720"/>
      </w:pPr>
      <w:rPr>
        <w:rFonts w:hint="default"/>
      </w:rPr>
    </w:lvl>
    <w:lvl w:ilvl="3">
      <w:start w:val="1"/>
      <w:numFmt w:val="decimal"/>
      <w:isLgl/>
      <w:lvlText w:val="%1.%2.%3.%4"/>
      <w:lvlJc w:val="left"/>
      <w:pPr>
        <w:ind w:left="6961" w:hanging="720"/>
      </w:pPr>
      <w:rPr>
        <w:rFonts w:hint="default"/>
      </w:rPr>
    </w:lvl>
    <w:lvl w:ilvl="4">
      <w:start w:val="1"/>
      <w:numFmt w:val="decimal"/>
      <w:isLgl/>
      <w:lvlText w:val="%1.%2.%3.%4.%5"/>
      <w:lvlJc w:val="left"/>
      <w:pPr>
        <w:ind w:left="7321" w:hanging="1080"/>
      </w:pPr>
      <w:rPr>
        <w:rFonts w:hint="default"/>
      </w:rPr>
    </w:lvl>
    <w:lvl w:ilvl="5">
      <w:start w:val="1"/>
      <w:numFmt w:val="decimal"/>
      <w:isLgl/>
      <w:lvlText w:val="%1.%2.%3.%4.%5.%6"/>
      <w:lvlJc w:val="left"/>
      <w:pPr>
        <w:ind w:left="7321" w:hanging="1080"/>
      </w:pPr>
      <w:rPr>
        <w:rFonts w:hint="default"/>
      </w:rPr>
    </w:lvl>
    <w:lvl w:ilvl="6">
      <w:start w:val="1"/>
      <w:numFmt w:val="decimal"/>
      <w:isLgl/>
      <w:lvlText w:val="%1.%2.%3.%4.%5.%6.%7"/>
      <w:lvlJc w:val="left"/>
      <w:pPr>
        <w:ind w:left="7681" w:hanging="1440"/>
      </w:pPr>
      <w:rPr>
        <w:rFonts w:hint="default"/>
      </w:rPr>
    </w:lvl>
    <w:lvl w:ilvl="7">
      <w:start w:val="1"/>
      <w:numFmt w:val="decimal"/>
      <w:isLgl/>
      <w:lvlText w:val="%1.%2.%3.%4.%5.%6.%7.%8"/>
      <w:lvlJc w:val="left"/>
      <w:pPr>
        <w:ind w:left="7681" w:hanging="1440"/>
      </w:pPr>
      <w:rPr>
        <w:rFonts w:hint="default"/>
      </w:rPr>
    </w:lvl>
    <w:lvl w:ilvl="8">
      <w:start w:val="1"/>
      <w:numFmt w:val="decimal"/>
      <w:isLgl/>
      <w:lvlText w:val="%1.%2.%3.%4.%5.%6.%7.%8.%9"/>
      <w:lvlJc w:val="left"/>
      <w:pPr>
        <w:ind w:left="8041" w:hanging="1800"/>
      </w:pPr>
      <w:rPr>
        <w:rFont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924635"/>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0951B8"/>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699816028">
    <w:abstractNumId w:val="0"/>
  </w:num>
  <w:num w:numId="17" w16cid:durableId="1548108540">
    <w:abstractNumId w:val="3"/>
  </w:num>
  <w:num w:numId="18" w16cid:durableId="11349823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57EC"/>
    <w:rsid w:val="000F6486"/>
    <w:rsid w:val="00107362"/>
    <w:rsid w:val="00112F4A"/>
    <w:rsid w:val="00116940"/>
    <w:rsid w:val="00121CD8"/>
    <w:rsid w:val="00125105"/>
    <w:rsid w:val="00127233"/>
    <w:rsid w:val="00143AF2"/>
    <w:rsid w:val="0015699B"/>
    <w:rsid w:val="00193334"/>
    <w:rsid w:val="001A33BF"/>
    <w:rsid w:val="001E4177"/>
    <w:rsid w:val="001F0B24"/>
    <w:rsid w:val="001F7DC6"/>
    <w:rsid w:val="00214F8B"/>
    <w:rsid w:val="0022400B"/>
    <w:rsid w:val="002421BB"/>
    <w:rsid w:val="0025796E"/>
    <w:rsid w:val="002707A2"/>
    <w:rsid w:val="002749A1"/>
    <w:rsid w:val="00291C18"/>
    <w:rsid w:val="002951A0"/>
    <w:rsid w:val="002962BC"/>
    <w:rsid w:val="002A093D"/>
    <w:rsid w:val="002A0DD0"/>
    <w:rsid w:val="002A49AC"/>
    <w:rsid w:val="002A64FD"/>
    <w:rsid w:val="002C206F"/>
    <w:rsid w:val="002C7A84"/>
    <w:rsid w:val="002E2BF8"/>
    <w:rsid w:val="002E4FD9"/>
    <w:rsid w:val="002F0E6A"/>
    <w:rsid w:val="0030657A"/>
    <w:rsid w:val="00322A85"/>
    <w:rsid w:val="00324168"/>
    <w:rsid w:val="00330834"/>
    <w:rsid w:val="00341FA6"/>
    <w:rsid w:val="00343CD7"/>
    <w:rsid w:val="003448F4"/>
    <w:rsid w:val="00374F5E"/>
    <w:rsid w:val="00377E3E"/>
    <w:rsid w:val="003A779E"/>
    <w:rsid w:val="003D0F4D"/>
    <w:rsid w:val="003D5B0D"/>
    <w:rsid w:val="003E0499"/>
    <w:rsid w:val="003E4F80"/>
    <w:rsid w:val="003E6439"/>
    <w:rsid w:val="003F3941"/>
    <w:rsid w:val="003F622B"/>
    <w:rsid w:val="00406575"/>
    <w:rsid w:val="00414C74"/>
    <w:rsid w:val="0042722E"/>
    <w:rsid w:val="0043266A"/>
    <w:rsid w:val="00441E52"/>
    <w:rsid w:val="0044528D"/>
    <w:rsid w:val="00445B73"/>
    <w:rsid w:val="00466E39"/>
    <w:rsid w:val="00485E79"/>
    <w:rsid w:val="004A1847"/>
    <w:rsid w:val="004A305D"/>
    <w:rsid w:val="004A4920"/>
    <w:rsid w:val="004D737A"/>
    <w:rsid w:val="004E464F"/>
    <w:rsid w:val="004F21C4"/>
    <w:rsid w:val="004F685F"/>
    <w:rsid w:val="00513046"/>
    <w:rsid w:val="0052012A"/>
    <w:rsid w:val="005566E8"/>
    <w:rsid w:val="00574867"/>
    <w:rsid w:val="00591460"/>
    <w:rsid w:val="005A65E0"/>
    <w:rsid w:val="005C3777"/>
    <w:rsid w:val="005C5CDC"/>
    <w:rsid w:val="005D476C"/>
    <w:rsid w:val="006037E9"/>
    <w:rsid w:val="006200BF"/>
    <w:rsid w:val="006219F8"/>
    <w:rsid w:val="006302F7"/>
    <w:rsid w:val="00646B9F"/>
    <w:rsid w:val="00665D70"/>
    <w:rsid w:val="006900D9"/>
    <w:rsid w:val="006901A7"/>
    <w:rsid w:val="00692D06"/>
    <w:rsid w:val="006B5BA7"/>
    <w:rsid w:val="006B664A"/>
    <w:rsid w:val="00706C16"/>
    <w:rsid w:val="00721803"/>
    <w:rsid w:val="007340C3"/>
    <w:rsid w:val="0075235A"/>
    <w:rsid w:val="00754F7C"/>
    <w:rsid w:val="00756841"/>
    <w:rsid w:val="007649AB"/>
    <w:rsid w:val="00771D0C"/>
    <w:rsid w:val="007833AC"/>
    <w:rsid w:val="007B268C"/>
    <w:rsid w:val="007B7171"/>
    <w:rsid w:val="007C0C0F"/>
    <w:rsid w:val="007C3DC2"/>
    <w:rsid w:val="007E5497"/>
    <w:rsid w:val="00806F5F"/>
    <w:rsid w:val="0080724B"/>
    <w:rsid w:val="00820278"/>
    <w:rsid w:val="008258C9"/>
    <w:rsid w:val="00844AE9"/>
    <w:rsid w:val="008564C0"/>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4EA7"/>
    <w:rsid w:val="009B2D26"/>
    <w:rsid w:val="009C71FA"/>
    <w:rsid w:val="009C72E7"/>
    <w:rsid w:val="009C7F7E"/>
    <w:rsid w:val="009D3058"/>
    <w:rsid w:val="009F3A13"/>
    <w:rsid w:val="00A122D3"/>
    <w:rsid w:val="00A14468"/>
    <w:rsid w:val="00A17F13"/>
    <w:rsid w:val="00A20739"/>
    <w:rsid w:val="00A23AF9"/>
    <w:rsid w:val="00A269F9"/>
    <w:rsid w:val="00A33C78"/>
    <w:rsid w:val="00A570D4"/>
    <w:rsid w:val="00A9671E"/>
    <w:rsid w:val="00AB0ADB"/>
    <w:rsid w:val="00B00C0E"/>
    <w:rsid w:val="00B01B1A"/>
    <w:rsid w:val="00B0381D"/>
    <w:rsid w:val="00B44A47"/>
    <w:rsid w:val="00B46D7E"/>
    <w:rsid w:val="00B72CD3"/>
    <w:rsid w:val="00B72FFF"/>
    <w:rsid w:val="00B8000B"/>
    <w:rsid w:val="00B9142D"/>
    <w:rsid w:val="00BC3D36"/>
    <w:rsid w:val="00BD54A6"/>
    <w:rsid w:val="00BD7F72"/>
    <w:rsid w:val="00BF7425"/>
    <w:rsid w:val="00C04FB3"/>
    <w:rsid w:val="00C11D8B"/>
    <w:rsid w:val="00C15139"/>
    <w:rsid w:val="00C330EB"/>
    <w:rsid w:val="00C50D69"/>
    <w:rsid w:val="00C53632"/>
    <w:rsid w:val="00C5365C"/>
    <w:rsid w:val="00C634C4"/>
    <w:rsid w:val="00C754BE"/>
    <w:rsid w:val="00C76B1C"/>
    <w:rsid w:val="00C925AC"/>
    <w:rsid w:val="00CB6357"/>
    <w:rsid w:val="00CC1B26"/>
    <w:rsid w:val="00D27CE9"/>
    <w:rsid w:val="00D361FD"/>
    <w:rsid w:val="00D423A2"/>
    <w:rsid w:val="00D44E26"/>
    <w:rsid w:val="00D520D8"/>
    <w:rsid w:val="00D63AC2"/>
    <w:rsid w:val="00D7383B"/>
    <w:rsid w:val="00D7788A"/>
    <w:rsid w:val="00DA17DD"/>
    <w:rsid w:val="00DA231B"/>
    <w:rsid w:val="00DC39FC"/>
    <w:rsid w:val="00DF19DD"/>
    <w:rsid w:val="00DF5254"/>
    <w:rsid w:val="00E02524"/>
    <w:rsid w:val="00E16408"/>
    <w:rsid w:val="00E20894"/>
    <w:rsid w:val="00E245AB"/>
    <w:rsid w:val="00E246CA"/>
    <w:rsid w:val="00E2764C"/>
    <w:rsid w:val="00E27F2E"/>
    <w:rsid w:val="00E50AFE"/>
    <w:rsid w:val="00E57AA8"/>
    <w:rsid w:val="00E75C92"/>
    <w:rsid w:val="00E771DC"/>
    <w:rsid w:val="00E8772A"/>
    <w:rsid w:val="00E90F6B"/>
    <w:rsid w:val="00E92C27"/>
    <w:rsid w:val="00EA0E3D"/>
    <w:rsid w:val="00EA1E20"/>
    <w:rsid w:val="00EC38A7"/>
    <w:rsid w:val="00EE1AA8"/>
    <w:rsid w:val="00F03E39"/>
    <w:rsid w:val="00F20E16"/>
    <w:rsid w:val="00F23FEA"/>
    <w:rsid w:val="00F31EDC"/>
    <w:rsid w:val="00F341EE"/>
    <w:rsid w:val="00F462B3"/>
    <w:rsid w:val="00F5664F"/>
    <w:rsid w:val="00F57440"/>
    <w:rsid w:val="00F666C4"/>
    <w:rsid w:val="00F76AFC"/>
    <w:rsid w:val="00F873A3"/>
    <w:rsid w:val="00FA47C0"/>
    <w:rsid w:val="00FB5DD1"/>
    <w:rsid w:val="00FC2B5D"/>
    <w:rsid w:val="00FD08C0"/>
    <w:rsid w:val="00FE504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182148A-739A-4D48-A5E8-076C22B68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0724B"/>
    <w:pPr>
      <w:spacing w:line="240" w:lineRule="exact"/>
    </w:pPr>
    <w:rPr>
      <w:vertAlign w:val="superscript"/>
    </w:rPr>
  </w:style>
  <w:style w:type="table" w:customStyle="1" w:styleId="Tablaconcuadrcula1">
    <w:name w:val="Tabla con cuadrícula1"/>
    <w:basedOn w:val="Tablanormal"/>
    <w:next w:val="Tablaconcuadrcula"/>
    <w:uiPriority w:val="39"/>
    <w:qFormat/>
    <w:rsid w:val="008072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0724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4/08/manual_para_el_manejo_de_acuerdos_comerciales_vf.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manual_para_el_manejo_de_acuerdos_comerciales_vf.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DF007E9-FF7E-4B7A-AFC8-37928CA66A6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64</TotalTime>
  <Pages>13</Pages>
  <Words>3909</Words>
  <Characters>21500</Characters>
  <Application>Microsoft Office Word</Application>
  <DocSecurity>0</DocSecurity>
  <Lines>179</Lines>
  <Paragraphs>50</Paragraphs>
  <ScaleCrop>false</ScaleCrop>
  <Company/>
  <LinksUpToDate>false</LinksUpToDate>
  <CharactersWithSpaces>25359</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3014768</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vt:lpwstr>
      </vt:variant>
      <vt:variant>
        <vt:lpwstr/>
      </vt:variant>
      <vt:variant>
        <vt:i4>6815760</vt:i4>
      </vt:variant>
      <vt:variant>
        <vt:i4>3</vt:i4>
      </vt:variant>
      <vt:variant>
        <vt:i4>0</vt:i4>
      </vt:variant>
      <vt:variant>
        <vt:i4>5</vt:i4>
      </vt:variant>
      <vt:variant>
        <vt:lpwstr>https://www.colombiacompra.gov.co/wp-content/uploads/2024/08/manual_para_el_manejo_de_acuerdos_comerciales_vf.pdf</vt:lpwstr>
      </vt:variant>
      <vt:variant>
        <vt:lpwstr/>
      </vt:variant>
      <vt:variant>
        <vt:i4>1114148</vt:i4>
      </vt:variant>
      <vt:variant>
        <vt:i4>0</vt:i4>
      </vt:variant>
      <vt:variant>
        <vt:i4>0</vt:i4>
      </vt:variant>
      <vt:variant>
        <vt:i4>5</vt:i4>
      </vt:variant>
      <vt:variant>
        <vt:lpwstr>mailto:juanseolaya@gmail.com</vt:lpwstr>
      </vt:variant>
      <vt:variant>
        <vt:lpwstr/>
      </vt:variant>
      <vt:variant>
        <vt:i4>6815760</vt:i4>
      </vt:variant>
      <vt:variant>
        <vt:i4>0</vt:i4>
      </vt:variant>
      <vt:variant>
        <vt:i4>0</vt:i4>
      </vt:variant>
      <vt:variant>
        <vt:i4>5</vt:i4>
      </vt:variant>
      <vt:variant>
        <vt:lpwstr>https://www.colombiacompra.gov.co/wp-content/uploads/2024/08/manual_para_el_manejo_de_acuerdos_comerciales_vf.pdf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MARIA JOSHIRA NIETO MANZANO</cp:lastModifiedBy>
  <cp:revision>18</cp:revision>
  <cp:lastPrinted>2023-01-10T21:18:00Z</cp:lastPrinted>
  <dcterms:created xsi:type="dcterms:W3CDTF">2025-12-03T13:10:00Z</dcterms:created>
  <dcterms:modified xsi:type="dcterms:W3CDTF">2025-12-03T22:44:00Z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