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DDF17" w14:textId="3BF45F42" w:rsidR="000E3953" w:rsidRPr="000E3953" w:rsidRDefault="000E3953" w:rsidP="000E3953">
      <w:pPr>
        <w:spacing w:after="0"/>
        <w:jc w:val="both"/>
        <w:rPr>
          <w:rFonts w:ascii="Verdana" w:hAnsi="Verdana"/>
        </w:rPr>
      </w:pPr>
      <w:bookmarkStart w:id="0" w:name="_Hlk143780582"/>
      <w:r w:rsidRPr="000E3953">
        <w:rPr>
          <w:rFonts w:ascii="Verdana" w:eastAsia="Aptos" w:hAnsi="Verdana" w:cs="Arial"/>
          <w:b/>
          <w:color w:val="000000"/>
          <w:kern w:val="2"/>
          <w:lang w:val="es-ES_tradnl"/>
          <w14:ligatures w14:val="standardContextual"/>
        </w:rPr>
        <w:t>DOCUMENTOS TIPO – Fundamento normativo</w:t>
      </w:r>
    </w:p>
    <w:p w14:paraId="1164532B" w14:textId="77777777" w:rsidR="000E3953" w:rsidRPr="000E3953" w:rsidRDefault="000E3953" w:rsidP="000E3953">
      <w:pPr>
        <w:spacing w:after="0" w:line="276" w:lineRule="auto"/>
        <w:jc w:val="both"/>
        <w:rPr>
          <w:rFonts w:ascii="Verdana" w:eastAsia="Aptos" w:hAnsi="Verdana" w:cs="Arial"/>
          <w:b/>
          <w:color w:val="000000"/>
          <w:kern w:val="2"/>
          <w:lang w:val="es-ES_tradnl"/>
          <w14:ligatures w14:val="standardContextual"/>
        </w:rPr>
      </w:pPr>
    </w:p>
    <w:p w14:paraId="50D75BFB" w14:textId="77777777" w:rsidR="000E3953" w:rsidRPr="000E3953" w:rsidRDefault="000E3953" w:rsidP="000E3953">
      <w:pPr>
        <w:snapToGrid w:val="0"/>
        <w:spacing w:after="0" w:line="240" w:lineRule="auto"/>
        <w:jc w:val="both"/>
        <w:rPr>
          <w:rFonts w:ascii="Verdana" w:eastAsia="Calibri" w:hAnsi="Verdana" w:cs="Times New Roman"/>
          <w:kern w:val="2"/>
          <w:sz w:val="20"/>
          <w:szCs w:val="20"/>
          <w:lang w:val="es-ES_tradnl"/>
          <w14:ligatures w14:val="standardContextual"/>
        </w:rPr>
      </w:pPr>
      <w:r w:rsidRPr="000E3953">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70F09156" w14:textId="77777777" w:rsidR="000E3953" w:rsidRPr="000E3953" w:rsidRDefault="000E3953" w:rsidP="000E3953">
      <w:pPr>
        <w:spacing w:after="0" w:line="276" w:lineRule="auto"/>
        <w:jc w:val="both"/>
        <w:rPr>
          <w:rFonts w:ascii="Verdana" w:eastAsia="Aptos" w:hAnsi="Verdana" w:cs="Arial"/>
          <w:b/>
          <w:color w:val="000000"/>
          <w:kern w:val="2"/>
          <w:lang w:val="es-ES_tradnl"/>
          <w14:ligatures w14:val="standardContextual"/>
        </w:rPr>
      </w:pPr>
    </w:p>
    <w:p w14:paraId="58047252" w14:textId="77777777" w:rsidR="000E3953" w:rsidRPr="000E3953" w:rsidRDefault="000E3953" w:rsidP="000E3953">
      <w:pPr>
        <w:spacing w:after="0" w:line="276" w:lineRule="auto"/>
        <w:jc w:val="both"/>
        <w:rPr>
          <w:rFonts w:ascii="Verdana" w:eastAsia="Aptos" w:hAnsi="Verdana" w:cs="Arial"/>
          <w:b/>
          <w:color w:val="000000"/>
          <w:kern w:val="2"/>
          <w:lang w:val="es-ES_tradnl"/>
          <w14:ligatures w14:val="standardContextual"/>
        </w:rPr>
      </w:pPr>
      <w:r w:rsidRPr="000E3953">
        <w:rPr>
          <w:rFonts w:ascii="Verdana" w:eastAsia="Aptos" w:hAnsi="Verdana" w:cs="Arial"/>
          <w:b/>
          <w:color w:val="000000"/>
          <w:kern w:val="2"/>
          <w:lang w:val="es-ES_tradnl"/>
          <w14:ligatures w14:val="standardContextual"/>
        </w:rPr>
        <w:t>DOCUMENTOS TIPO – Infraestructura de transporte – Ámbito de aplicación – Experiencia</w:t>
      </w:r>
    </w:p>
    <w:p w14:paraId="3DA2AB26" w14:textId="77777777" w:rsidR="000E3953" w:rsidRPr="000E3953" w:rsidRDefault="000E3953" w:rsidP="000E3953">
      <w:pPr>
        <w:spacing w:after="0" w:line="276" w:lineRule="auto"/>
        <w:jc w:val="both"/>
        <w:rPr>
          <w:rFonts w:ascii="Verdana" w:eastAsia="Aptos" w:hAnsi="Verdana" w:cs="Arial"/>
          <w:b/>
          <w:color w:val="000000"/>
          <w:kern w:val="2"/>
          <w:lang w:val="es-ES_tradnl"/>
          <w14:ligatures w14:val="standardContextual"/>
        </w:rPr>
      </w:pPr>
    </w:p>
    <w:p w14:paraId="248CB835" w14:textId="781E9B0C" w:rsidR="000E3953" w:rsidRPr="000E3953" w:rsidRDefault="000E3953" w:rsidP="6C69C62C">
      <w:pPr>
        <w:snapToGrid w:val="0"/>
        <w:spacing w:after="0" w:line="240" w:lineRule="auto"/>
        <w:jc w:val="both"/>
        <w:rPr>
          <w:rFonts w:ascii="Verdana" w:eastAsia="Times New Roman" w:hAnsi="Verdana" w:cs="Aptos"/>
          <w:i/>
          <w:iCs/>
          <w:color w:val="000000"/>
          <w:sz w:val="20"/>
          <w:szCs w:val="20"/>
          <w:lang w:val="es-ES" w:eastAsia="es-MX"/>
        </w:rPr>
      </w:pPr>
      <w:r w:rsidRPr="6C69C62C">
        <w:rPr>
          <w:rFonts w:ascii="Verdana" w:eastAsia="Times New Roman" w:hAnsi="Verdana" w:cs="Aptos"/>
          <w:color w:val="000000" w:themeColor="text1"/>
          <w:sz w:val="20"/>
          <w:szCs w:val="20"/>
          <w:lang w:val="es-ES" w:eastAsia="es-MX"/>
        </w:rPr>
        <w:t xml:space="preserve">[…] </w:t>
      </w:r>
      <w:r w:rsidR="00275E8C" w:rsidRPr="00275E8C">
        <w:rPr>
          <w:rFonts w:ascii="Verdana" w:eastAsia="Times New Roman" w:hAnsi="Verdana" w:cs="Aptos"/>
          <w:color w:val="000000" w:themeColor="text1"/>
          <w:sz w:val="20"/>
          <w:szCs w:val="20"/>
          <w:lang w:val="es-ES" w:eastAsia="es-MX"/>
        </w:rPr>
        <w:t xml:space="preserve">el numeral 3.5 “EXPERIENCIA” del documento base de los documentos tipo de infraestructura de transporte indica que los proponentes deben acreditar la experiencia a través de los siguientes documentos: i) la información consignada en el RUP para aquellos que estén obligados a tenerlo, </w:t>
      </w:r>
      <w:proofErr w:type="spellStart"/>
      <w:r w:rsidR="00275E8C" w:rsidRPr="00275E8C">
        <w:rPr>
          <w:rFonts w:ascii="Verdana" w:eastAsia="Times New Roman" w:hAnsi="Verdana" w:cs="Aptos"/>
          <w:color w:val="000000" w:themeColor="text1"/>
          <w:sz w:val="20"/>
          <w:szCs w:val="20"/>
          <w:lang w:val="es-ES" w:eastAsia="es-MX"/>
        </w:rPr>
        <w:t>ii</w:t>
      </w:r>
      <w:proofErr w:type="spellEnd"/>
      <w:r w:rsidR="00275E8C" w:rsidRPr="00275E8C">
        <w:rPr>
          <w:rFonts w:ascii="Verdana" w:eastAsia="Times New Roman" w:hAnsi="Verdana" w:cs="Aptos"/>
          <w:color w:val="000000" w:themeColor="text1"/>
          <w:sz w:val="20"/>
          <w:szCs w:val="20"/>
          <w:lang w:val="es-ES" w:eastAsia="es-MX"/>
        </w:rPr>
        <w:t>) la presentación el Formato 3 – Experiencia para todos los proponentes y (</w:t>
      </w:r>
      <w:proofErr w:type="spellStart"/>
      <w:r w:rsidR="00275E8C" w:rsidRPr="00275E8C">
        <w:rPr>
          <w:rFonts w:ascii="Verdana" w:eastAsia="Times New Roman" w:hAnsi="Verdana" w:cs="Aptos"/>
          <w:color w:val="000000" w:themeColor="text1"/>
          <w:sz w:val="20"/>
          <w:szCs w:val="20"/>
          <w:lang w:val="es-ES" w:eastAsia="es-MX"/>
        </w:rPr>
        <w:t>iii</w:t>
      </w:r>
      <w:proofErr w:type="spellEnd"/>
      <w:r w:rsidR="00275E8C" w:rsidRPr="00275E8C">
        <w:rPr>
          <w:rFonts w:ascii="Verdana" w:eastAsia="Times New Roman" w:hAnsi="Verdana" w:cs="Aptos"/>
          <w:color w:val="000000" w:themeColor="text1"/>
          <w:sz w:val="20"/>
          <w:szCs w:val="20"/>
          <w:lang w:val="es-ES" w:eastAsia="es-MX"/>
        </w:rPr>
        <w:t>) alguno de los documentos válidos para la acreditación de la experiencia señalados en el numeral 3.5.6 cuando se requiera la verificación de información del proponente adicional a la contenida en el RUP. Adicionalmente, en el numeral 3.5.5 “ACREDITACIÓN DE LA EXPERIENCIA REQUERIDA” se señala la información que deben presentar los proponentes para efectos de acreditar la experiencia en cada uno de los contratos que se presenten.</w:t>
      </w:r>
    </w:p>
    <w:p w14:paraId="45839635" w14:textId="77777777" w:rsidR="000E3953" w:rsidRPr="000E3953" w:rsidRDefault="000E3953" w:rsidP="000E3953">
      <w:pPr>
        <w:spacing w:after="0" w:line="276" w:lineRule="auto"/>
        <w:jc w:val="both"/>
        <w:rPr>
          <w:rFonts w:ascii="Verdana" w:eastAsia="Aptos" w:hAnsi="Verdana" w:cs="Arial"/>
          <w:b/>
          <w:color w:val="000000"/>
          <w:kern w:val="2"/>
          <w:lang w:val="es-ES_tradnl"/>
          <w14:ligatures w14:val="standardContextual"/>
        </w:rPr>
      </w:pPr>
    </w:p>
    <w:p w14:paraId="642637A2" w14:textId="77777777" w:rsidR="000E3953" w:rsidRPr="000E3953" w:rsidRDefault="000E3953" w:rsidP="000E3953">
      <w:pPr>
        <w:spacing w:line="276" w:lineRule="auto"/>
        <w:contextualSpacing/>
        <w:jc w:val="both"/>
        <w:rPr>
          <w:rFonts w:ascii="Verdana" w:eastAsia="Aptos" w:hAnsi="Verdana" w:cs="Arial"/>
          <w:b/>
          <w:bCs/>
          <w:color w:val="000000"/>
          <w:kern w:val="2"/>
          <w:lang w:val="es-ES_tradnl"/>
          <w14:ligatures w14:val="standardContextual"/>
        </w:rPr>
      </w:pPr>
      <w:r w:rsidRPr="000E3953">
        <w:rPr>
          <w:rFonts w:ascii="Verdana" w:eastAsia="Aptos" w:hAnsi="Verdana" w:cs="Arial"/>
          <w:b/>
          <w:bCs/>
          <w:color w:val="000000"/>
          <w:kern w:val="2"/>
          <w:lang w:val="es-ES_tradnl"/>
          <w14:ligatures w14:val="standardContextual"/>
        </w:rPr>
        <w:t xml:space="preserve">DOCUMENTOS TIPO DE INFRAESTRUCTURA DE TRANSPORTE – Directrices técnicas particulares – </w:t>
      </w:r>
      <w:r w:rsidRPr="000E3953">
        <w:rPr>
          <w:rFonts w:ascii="Verdana" w:eastAsia="Aptos" w:hAnsi="Verdana" w:cs="Times New Roman"/>
          <w:b/>
          <w:bCs/>
          <w:kern w:val="2"/>
          <w:lang w:val="es-ES_tradnl"/>
          <w14:ligatures w14:val="standardContextual"/>
        </w:rPr>
        <w:t>Estabilización de suelos con productos químicos no tradicionales</w:t>
      </w:r>
    </w:p>
    <w:p w14:paraId="29312D86" w14:textId="77777777" w:rsidR="000E3953" w:rsidRPr="000E3953" w:rsidRDefault="000E3953" w:rsidP="000E3953">
      <w:pPr>
        <w:spacing w:line="276" w:lineRule="auto"/>
        <w:contextualSpacing/>
        <w:jc w:val="both"/>
        <w:rPr>
          <w:rFonts w:ascii="Verdana" w:eastAsia="Aptos" w:hAnsi="Verdana" w:cs="Arial"/>
          <w:color w:val="000000"/>
          <w:kern w:val="2"/>
          <w:lang w:val="es-ES_tradnl"/>
          <w14:ligatures w14:val="standardContextual"/>
        </w:rPr>
      </w:pPr>
    </w:p>
    <w:p w14:paraId="5EAC4831" w14:textId="5439A088" w:rsidR="000E3953" w:rsidRPr="00BA7051" w:rsidRDefault="000E3953" w:rsidP="00BA7051">
      <w:pPr>
        <w:spacing w:after="0" w:line="240" w:lineRule="auto"/>
        <w:jc w:val="both"/>
        <w:rPr>
          <w:rFonts w:ascii="Verdana" w:eastAsia="Aptos" w:hAnsi="Verdana" w:cs="Times New Roman"/>
          <w:kern w:val="2"/>
          <w:sz w:val="20"/>
          <w:szCs w:val="20"/>
          <w:lang w:val="es-ES_tradnl"/>
          <w14:ligatures w14:val="standardContextual"/>
        </w:rPr>
      </w:pPr>
      <w:r w:rsidRPr="00BA7051">
        <w:rPr>
          <w:rFonts w:ascii="Verdana" w:eastAsia="Aptos" w:hAnsi="Verdana" w:cs="Times New Roman"/>
          <w:kern w:val="2"/>
          <w:sz w:val="20"/>
          <w:szCs w:val="20"/>
          <w:lang w:val="es-ES_tradnl"/>
          <w14:ligatures w14:val="standardContextual"/>
        </w:rPr>
        <w:t>[…]</w:t>
      </w:r>
      <w:r w:rsidR="00275E8C" w:rsidRPr="00BA7051">
        <w:rPr>
          <w:sz w:val="20"/>
          <w:szCs w:val="20"/>
        </w:rPr>
        <w:t xml:space="preserve"> </w:t>
      </w:r>
      <w:r w:rsidR="00486A48" w:rsidRPr="00BA7051">
        <w:rPr>
          <w:rFonts w:ascii="Verdana" w:eastAsia="Aptos" w:hAnsi="Verdana" w:cs="Times New Roman"/>
          <w:kern w:val="2"/>
          <w:sz w:val="20"/>
          <w:szCs w:val="20"/>
          <w:lang w:val="es-ES_tradnl"/>
          <w14:ligatures w14:val="standardContextual"/>
        </w:rPr>
        <w:t>es necesario aclarar que la Resolución 4561, emitida por el Instituto Nacional de Vías –INVIAS– el 29 de noviembre de 2022, incluye las “Especificaciones Generales de Construcción de Carreteras”, y establece en su artículo 237-22 la norma que corresponde a la “</w:t>
      </w:r>
      <w:r w:rsidR="00486A48" w:rsidRPr="00BA7051">
        <w:rPr>
          <w:rFonts w:ascii="Verdana" w:eastAsia="Aptos" w:hAnsi="Verdana" w:cs="Times New Roman"/>
          <w:i/>
          <w:iCs/>
          <w:kern w:val="2"/>
          <w:sz w:val="20"/>
          <w:szCs w:val="20"/>
          <w:lang w:val="es-ES_tradnl"/>
          <w14:ligatures w14:val="standardContextual"/>
        </w:rPr>
        <w:t>Estabilización de suelos con productos químicos no tradicionales</w:t>
      </w:r>
      <w:r w:rsidR="00486A48" w:rsidRPr="00BA7051">
        <w:rPr>
          <w:rFonts w:ascii="Verdana" w:eastAsia="Aptos" w:hAnsi="Verdana" w:cs="Times New Roman"/>
          <w:kern w:val="2"/>
          <w:sz w:val="20"/>
          <w:szCs w:val="20"/>
          <w:lang w:val="es-ES_tradnl"/>
          <w14:ligatures w14:val="standardContextual"/>
        </w:rPr>
        <w:t>”, que como se indica en la propia descripción:</w:t>
      </w:r>
    </w:p>
    <w:p w14:paraId="125A69D4" w14:textId="77777777" w:rsidR="000E3953" w:rsidRPr="00BA7051" w:rsidRDefault="000E3953" w:rsidP="00BA7051">
      <w:pPr>
        <w:spacing w:after="0" w:line="240" w:lineRule="auto"/>
        <w:jc w:val="both"/>
        <w:rPr>
          <w:rFonts w:ascii="Verdana" w:eastAsia="Aptos" w:hAnsi="Verdana" w:cs="Times New Roman"/>
          <w:kern w:val="2"/>
          <w:sz w:val="20"/>
          <w:szCs w:val="20"/>
          <w:lang w:val="es-ES_tradnl"/>
          <w14:ligatures w14:val="standardContextual"/>
        </w:rPr>
      </w:pPr>
      <w:r w:rsidRPr="00BA7051">
        <w:rPr>
          <w:rFonts w:ascii="Verdana" w:eastAsia="Aptos" w:hAnsi="Verdana" w:cs="Times New Roman"/>
          <w:kern w:val="2"/>
          <w:sz w:val="20"/>
          <w:szCs w:val="20"/>
          <w:lang w:val="es-ES_tradnl"/>
          <w14:ligatures w14:val="standardContextual"/>
        </w:rPr>
        <w:t>[…]</w:t>
      </w:r>
    </w:p>
    <w:p w14:paraId="5955F35A" w14:textId="77777777" w:rsidR="00486A48" w:rsidRPr="00BA7051" w:rsidRDefault="00486A48" w:rsidP="00BA7051">
      <w:pPr>
        <w:spacing w:after="0" w:line="240" w:lineRule="auto"/>
        <w:jc w:val="both"/>
        <w:rPr>
          <w:rFonts w:ascii="Verdana" w:eastAsia="Aptos" w:hAnsi="Verdana" w:cs="Times New Roman"/>
          <w:kern w:val="2"/>
          <w:sz w:val="20"/>
          <w:szCs w:val="20"/>
          <w:lang w:val="es-ES_tradnl"/>
          <w14:ligatures w14:val="standardContextual"/>
        </w:rPr>
      </w:pPr>
      <w:r w:rsidRPr="00BA7051">
        <w:rPr>
          <w:rFonts w:ascii="Verdana" w:eastAsia="Aptos" w:hAnsi="Verdana" w:cs="Times New Roman"/>
          <w:kern w:val="2"/>
          <w:sz w:val="20"/>
          <w:szCs w:val="20"/>
          <w:lang w:val="es-ES_tradnl"/>
          <w14:ligatures w14:val="standardContextual"/>
        </w:rPr>
        <w:t>Como puede apreciarse, su propósito principal es incluirlas como “Especificaciones Generales de Construcción”, permitiendo así su implementación en la infraestructura de transporte en Colombia, tal y como se indica en su artículo segundo:</w:t>
      </w:r>
    </w:p>
    <w:p w14:paraId="13B85B07" w14:textId="77777777" w:rsidR="000E3953" w:rsidRPr="00BA7051" w:rsidRDefault="000E3953" w:rsidP="00BA7051">
      <w:pPr>
        <w:spacing w:after="0" w:line="240" w:lineRule="auto"/>
        <w:jc w:val="both"/>
        <w:rPr>
          <w:rFonts w:ascii="Verdana" w:eastAsia="Aptos" w:hAnsi="Verdana" w:cs="Times New Roman"/>
          <w:kern w:val="2"/>
          <w:sz w:val="20"/>
          <w:szCs w:val="20"/>
          <w:lang w:val="es-ES_tradnl"/>
          <w14:ligatures w14:val="standardContextual"/>
        </w:rPr>
      </w:pPr>
      <w:r w:rsidRPr="00BA7051">
        <w:rPr>
          <w:rFonts w:ascii="Verdana" w:eastAsia="Aptos" w:hAnsi="Verdana" w:cs="Times New Roman"/>
          <w:kern w:val="2"/>
          <w:sz w:val="20"/>
          <w:szCs w:val="20"/>
          <w:lang w:val="es-ES_tradnl"/>
          <w14:ligatures w14:val="standardContextual"/>
        </w:rPr>
        <w:t>[…]</w:t>
      </w:r>
    </w:p>
    <w:p w14:paraId="61D7AD12" w14:textId="77777777" w:rsidR="00BA7051" w:rsidRPr="00BA7051" w:rsidRDefault="00486A48" w:rsidP="00BA7051">
      <w:pPr>
        <w:spacing w:after="0" w:line="240" w:lineRule="auto"/>
        <w:jc w:val="both"/>
        <w:rPr>
          <w:rFonts w:ascii="Verdana" w:eastAsia="Aptos" w:hAnsi="Verdana" w:cs="Times New Roman"/>
          <w:kern w:val="2"/>
          <w:sz w:val="20"/>
          <w:szCs w:val="20"/>
          <w:lang w:val="es-ES_tradnl"/>
          <w14:ligatures w14:val="standardContextual"/>
        </w:rPr>
      </w:pPr>
      <w:r w:rsidRPr="00BA7051">
        <w:rPr>
          <w:rFonts w:ascii="Verdana" w:eastAsia="Aptos" w:hAnsi="Verdana" w:cs="Times New Roman"/>
          <w:kern w:val="2"/>
          <w:sz w:val="20"/>
          <w:szCs w:val="20"/>
          <w:lang w:val="es-ES_tradnl"/>
          <w14:ligatures w14:val="standardContextual"/>
        </w:rPr>
        <w:t>Esta resolución es similar a las Resoluciones 1376 de 2014 y 6044 de 2024 del INVIAS, que adoptan o ajustan las Especificaciones Generales de Construcción de Carreteras. Su aplicación se centra en la ejecución de las obras de Infraestructura de Transporte, por lo que no resultaría práctico incluirlas en las matrices de experiencia del sector como actividades particulares por su extenso contenido.</w:t>
      </w:r>
    </w:p>
    <w:p w14:paraId="470AF3AB" w14:textId="1C75083E" w:rsidR="00486A48" w:rsidRPr="00BA7051" w:rsidRDefault="00BA7051" w:rsidP="00BA7051">
      <w:pPr>
        <w:spacing w:after="0" w:line="240" w:lineRule="auto"/>
        <w:jc w:val="both"/>
        <w:rPr>
          <w:rFonts w:ascii="Verdana" w:eastAsia="Aptos" w:hAnsi="Verdana" w:cs="Times New Roman"/>
          <w:kern w:val="2"/>
          <w:sz w:val="20"/>
          <w:szCs w:val="20"/>
          <w:lang w:val="es-ES_tradnl"/>
          <w14:ligatures w14:val="standardContextual"/>
        </w:rPr>
      </w:pPr>
      <w:r w:rsidRPr="00BA7051">
        <w:rPr>
          <w:rFonts w:ascii="Verdana" w:eastAsia="Aptos" w:hAnsi="Verdana" w:cs="Times New Roman"/>
          <w:kern w:val="2"/>
          <w:sz w:val="20"/>
          <w:szCs w:val="20"/>
          <w:lang w:val="es-ES_tradnl"/>
          <w14:ligatures w14:val="standardContextual"/>
        </w:rPr>
        <w:t>[…]</w:t>
      </w:r>
      <w:r w:rsidR="00486A48" w:rsidRPr="00BA7051">
        <w:rPr>
          <w:rFonts w:ascii="Verdana" w:eastAsia="Aptos" w:hAnsi="Verdana" w:cs="Times New Roman"/>
          <w:kern w:val="2"/>
          <w:sz w:val="20"/>
          <w:szCs w:val="20"/>
          <w:lang w:val="es-ES_tradnl"/>
          <w14:ligatures w14:val="standardContextual"/>
        </w:rPr>
        <w:t xml:space="preserve"> </w:t>
      </w:r>
    </w:p>
    <w:p w14:paraId="745E314A" w14:textId="4F9DFE11" w:rsidR="000E3953" w:rsidRPr="00BA7051" w:rsidRDefault="000E3953" w:rsidP="00BA7051">
      <w:pPr>
        <w:spacing w:after="0" w:line="240" w:lineRule="auto"/>
        <w:jc w:val="both"/>
        <w:rPr>
          <w:rFonts w:ascii="Verdana" w:eastAsia="Aptos" w:hAnsi="Verdana" w:cs="Times New Roman"/>
          <w:kern w:val="2"/>
          <w:sz w:val="20"/>
          <w:szCs w:val="20"/>
          <w:lang w:val="es-ES_tradnl"/>
          <w14:ligatures w14:val="standardContextual"/>
        </w:rPr>
      </w:pPr>
      <w:r w:rsidRPr="00BA7051">
        <w:rPr>
          <w:rFonts w:ascii="Verdana" w:eastAsia="Aptos" w:hAnsi="Verdana" w:cs="Times New Roman"/>
          <w:kern w:val="2"/>
          <w:sz w:val="20"/>
          <w:szCs w:val="20"/>
          <w:lang w:val="es-ES_tradnl"/>
          <w14:ligatures w14:val="standardContextual"/>
        </w:rPr>
        <w:lastRenderedPageBreak/>
        <w:t>[…]</w:t>
      </w:r>
      <w:r w:rsidR="00165855" w:rsidRPr="00BA7051">
        <w:rPr>
          <w:rFonts w:ascii="Verdana" w:eastAsia="Aptos" w:hAnsi="Verdana" w:cs="Times New Roman"/>
          <w:sz w:val="20"/>
          <w:szCs w:val="20"/>
          <w:lang w:val="es-ES_tradnl"/>
        </w:rPr>
        <w:t>las Entidades Estatales que adelanten procesos de selección pueden agregar estas especificaciones técnicas en el Anexo 1 “</w:t>
      </w:r>
      <w:r w:rsidR="00165855" w:rsidRPr="00BA7051">
        <w:rPr>
          <w:rFonts w:ascii="Verdana" w:eastAsia="Aptos" w:hAnsi="Verdana" w:cs="Times New Roman"/>
          <w:i/>
          <w:iCs/>
          <w:sz w:val="20"/>
          <w:szCs w:val="20"/>
          <w:lang w:val="es-ES_tradnl"/>
        </w:rPr>
        <w:t>ANEXO TÉCNICO LICITACIÓN DE OBRA PÚBLICA DE INFRAESTRUCTURA DE TRANSPORTE (VERSIÓN 4</w:t>
      </w:r>
      <w:r w:rsidR="00165855" w:rsidRPr="00BA7051">
        <w:rPr>
          <w:rFonts w:ascii="Verdana" w:eastAsia="Aptos" w:hAnsi="Verdana" w:cs="Times New Roman"/>
          <w:sz w:val="20"/>
          <w:szCs w:val="20"/>
          <w:lang w:val="es-ES_tradnl"/>
        </w:rPr>
        <w:t>)” de los documentos tipo, que en su “</w:t>
      </w:r>
      <w:r w:rsidR="00165855" w:rsidRPr="00BA7051">
        <w:rPr>
          <w:rFonts w:ascii="Verdana" w:eastAsia="Aptos" w:hAnsi="Verdana" w:cs="Times New Roman"/>
          <w:i/>
          <w:iCs/>
          <w:sz w:val="20"/>
          <w:szCs w:val="20"/>
          <w:lang w:val="es-ES_tradnl"/>
        </w:rPr>
        <w:t>Capítulo 12 - Notas Técnicas específicas para el proyecto”</w:t>
      </w:r>
      <w:r w:rsidR="00BA7051" w:rsidRPr="00BA7051">
        <w:rPr>
          <w:rFonts w:ascii="Verdana" w:eastAsia="Aptos" w:hAnsi="Verdana" w:cs="Times New Roman"/>
          <w:i/>
          <w:iCs/>
          <w:sz w:val="20"/>
          <w:szCs w:val="20"/>
          <w:lang w:val="es-ES_tradnl"/>
        </w:rPr>
        <w:t xml:space="preserve">, </w:t>
      </w:r>
      <w:r w:rsidR="00BA7051" w:rsidRPr="00BA7051">
        <w:rPr>
          <w:rFonts w:ascii="Verdana" w:eastAsia="Aptos" w:hAnsi="Verdana" w:cs="Times New Roman"/>
          <w:sz w:val="20"/>
          <w:szCs w:val="20"/>
          <w:lang w:val="es-ES_tradnl"/>
        </w:rPr>
        <w:t>indica</w:t>
      </w:r>
      <w:r w:rsidRPr="00BA7051">
        <w:rPr>
          <w:rFonts w:ascii="Verdana" w:eastAsia="Aptos" w:hAnsi="Verdana" w:cs="Times New Roman"/>
          <w:kern w:val="2"/>
          <w:sz w:val="20"/>
          <w:szCs w:val="20"/>
          <w:lang w:val="es-ES_tradnl"/>
          <w14:ligatures w14:val="standardContextual"/>
        </w:rPr>
        <w:t>: […]</w:t>
      </w:r>
    </w:p>
    <w:p w14:paraId="5C95D59F" w14:textId="77777777" w:rsidR="000E3953" w:rsidRPr="000E3953" w:rsidRDefault="000E3953" w:rsidP="000E3953">
      <w:pPr>
        <w:spacing w:line="276" w:lineRule="auto"/>
        <w:contextualSpacing/>
        <w:jc w:val="both"/>
        <w:rPr>
          <w:rFonts w:ascii="Verdana" w:eastAsia="Aptos" w:hAnsi="Verdana" w:cs="Arial"/>
          <w:color w:val="000000"/>
          <w:kern w:val="2"/>
          <w:lang w:val="es-ES_tradnl"/>
          <w14:ligatures w14:val="standardContextual"/>
        </w:rPr>
      </w:pPr>
    </w:p>
    <w:p w14:paraId="7B312AC5" w14:textId="77777777" w:rsidR="000E3953" w:rsidRPr="000E3953" w:rsidRDefault="000E3953" w:rsidP="000E3953">
      <w:pPr>
        <w:spacing w:line="276" w:lineRule="auto"/>
        <w:contextualSpacing/>
        <w:jc w:val="both"/>
        <w:rPr>
          <w:rFonts w:ascii="Verdana" w:eastAsia="Aptos" w:hAnsi="Verdana" w:cs="Arial"/>
          <w:b/>
          <w:bCs/>
          <w:color w:val="000000"/>
          <w:kern w:val="2"/>
          <w:lang w:val="es-ES_tradnl"/>
          <w14:ligatures w14:val="standardContextual"/>
        </w:rPr>
      </w:pPr>
      <w:r w:rsidRPr="000E3953">
        <w:rPr>
          <w:rFonts w:ascii="Verdana" w:eastAsia="Aptos" w:hAnsi="Verdana" w:cs="Arial"/>
          <w:b/>
          <w:bCs/>
          <w:color w:val="000000"/>
          <w:kern w:val="2"/>
          <w:lang w:val="es-ES_tradnl"/>
          <w14:ligatures w14:val="standardContextual"/>
        </w:rPr>
        <w:t>DOCUMENTOS TIPO DE INFRAESTRUCTURA DE TRANSPORTE – Experiencia adicional – Bienes o servicios ajenos a la obra pública</w:t>
      </w:r>
    </w:p>
    <w:p w14:paraId="2842CAFE" w14:textId="77777777" w:rsidR="000E3953" w:rsidRPr="000E3953" w:rsidRDefault="000E3953" w:rsidP="000E3953">
      <w:pPr>
        <w:spacing w:after="0" w:line="240" w:lineRule="auto"/>
        <w:rPr>
          <w:rFonts w:ascii="Verdana" w:eastAsia="Geomanist Light" w:hAnsi="Verdana" w:cs="Arial"/>
          <w:lang w:val="es-ES_tradnl"/>
        </w:rPr>
      </w:pPr>
    </w:p>
    <w:p w14:paraId="25723CD4" w14:textId="66138985" w:rsidR="000E3953" w:rsidRPr="00BA7051" w:rsidRDefault="000E3953" w:rsidP="000E3953">
      <w:pPr>
        <w:spacing w:after="0" w:line="240" w:lineRule="auto"/>
        <w:jc w:val="both"/>
        <w:rPr>
          <w:rFonts w:ascii="Verdana" w:eastAsia="Aptos" w:hAnsi="Verdana" w:cs="Times New Roman"/>
          <w:kern w:val="2"/>
          <w:sz w:val="20"/>
          <w:szCs w:val="20"/>
          <w:lang w:val="es-ES_tradnl"/>
          <w14:ligatures w14:val="standardContextual"/>
        </w:rPr>
      </w:pPr>
      <w:r w:rsidRPr="00BA7051">
        <w:rPr>
          <w:rFonts w:ascii="Verdana" w:eastAsia="Aptos" w:hAnsi="Verdana" w:cs="Times New Roman"/>
          <w:kern w:val="2"/>
          <w:sz w:val="20"/>
          <w:szCs w:val="20"/>
          <w:lang w:val="es-ES_tradnl"/>
          <w14:ligatures w14:val="standardContextual"/>
        </w:rPr>
        <w:t xml:space="preserve">[…] </w:t>
      </w:r>
      <w:r w:rsidR="00BA7051" w:rsidRPr="00BA7051">
        <w:rPr>
          <w:rFonts w:ascii="Verdana" w:eastAsia="Aptos" w:hAnsi="Verdana" w:cs="Times New Roman"/>
          <w:kern w:val="2"/>
          <w:sz w:val="20"/>
          <w:szCs w:val="20"/>
          <w:lang w:val="es-ES_tradnl"/>
          <w14:ligatures w14:val="standardContextual"/>
        </w:rPr>
        <w:t xml:space="preserve">es importante mencionar que los documentos tipo expedidos por la Agencia, deben ser adoptados cuando las actividades requeridas por las Entidades Estatales están incluidas en la matriz de experiencia. Sin embargo, si excepcionalmente las entidades necesitan incluir “experiencia adicional” para garantizar la idoneidad técnica de los proponentes en procesos de selección, pueden seguir lo descrito en el literal H del numeral </w:t>
      </w:r>
      <w:r w:rsidR="00BA7051" w:rsidRPr="00BA7051">
        <w:rPr>
          <w:rFonts w:ascii="Verdana" w:eastAsia="Aptos" w:hAnsi="Verdana" w:cs="Times New Roman"/>
          <w:i/>
          <w:iCs/>
          <w:kern w:val="2"/>
          <w:sz w:val="20"/>
          <w:szCs w:val="20"/>
          <w:lang w:val="es-ES_tradnl"/>
          <w14:ligatures w14:val="standardContextual"/>
        </w:rPr>
        <w:t>3.5.2 “CARACTERÍSTICAS DE LOS CONTRATOS PRESENTADOS PARA ACREDITAR LA EXPERIENCIA EXIGIDA”</w:t>
      </w:r>
      <w:r w:rsidR="00BA7051" w:rsidRPr="00BA7051">
        <w:rPr>
          <w:rFonts w:ascii="Verdana" w:eastAsia="Aptos" w:hAnsi="Verdana" w:cs="Times New Roman"/>
          <w:kern w:val="2"/>
          <w:sz w:val="20"/>
          <w:szCs w:val="20"/>
          <w:lang w:val="es-ES_tradnl"/>
          <w14:ligatures w14:val="standardContextual"/>
        </w:rPr>
        <w:t xml:space="preserve"> del documento base del sector transporte, que establece: […]</w:t>
      </w:r>
    </w:p>
    <w:p w14:paraId="2A946097" w14:textId="4BD84B60" w:rsidR="000E3953" w:rsidRPr="00BA7051" w:rsidRDefault="000E3953" w:rsidP="000E3953">
      <w:pPr>
        <w:spacing w:after="0" w:line="240" w:lineRule="auto"/>
        <w:jc w:val="both"/>
        <w:rPr>
          <w:rFonts w:ascii="Verdana" w:eastAsia="Aptos" w:hAnsi="Verdana" w:cs="Calibri"/>
          <w:color w:val="000000"/>
          <w:sz w:val="20"/>
          <w:szCs w:val="20"/>
          <w:lang w:val="es-MX"/>
        </w:rPr>
      </w:pPr>
    </w:p>
    <w:p w14:paraId="194A56F3" w14:textId="3C95C375" w:rsidR="000E3953" w:rsidRPr="00BA7051" w:rsidRDefault="000E3953" w:rsidP="000E3953">
      <w:pPr>
        <w:spacing w:after="0" w:line="240" w:lineRule="auto"/>
        <w:jc w:val="both"/>
        <w:rPr>
          <w:rFonts w:ascii="Verdana" w:eastAsia="Aptos" w:hAnsi="Verdana" w:cs="Times New Roman"/>
          <w:kern w:val="2"/>
          <w:sz w:val="20"/>
          <w:szCs w:val="20"/>
          <w:lang w:val="es-ES_tradnl"/>
          <w14:ligatures w14:val="standardContextual"/>
        </w:rPr>
      </w:pPr>
      <w:r w:rsidRPr="00BA7051">
        <w:rPr>
          <w:rFonts w:ascii="Verdana" w:eastAsia="Aptos" w:hAnsi="Verdana" w:cs="Times New Roman"/>
          <w:kern w:val="2"/>
          <w:sz w:val="20"/>
          <w:szCs w:val="20"/>
          <w:lang w:val="es-ES_tradnl"/>
          <w14:ligatures w14:val="standardContextual"/>
        </w:rPr>
        <w:t xml:space="preserve">[…] </w:t>
      </w:r>
      <w:r w:rsidR="00BA7051" w:rsidRPr="00BA7051">
        <w:rPr>
          <w:rFonts w:ascii="Verdana" w:eastAsia="Aptos" w:hAnsi="Verdana" w:cs="Times New Roman"/>
          <w:kern w:val="2"/>
          <w:sz w:val="20"/>
          <w:szCs w:val="20"/>
          <w:lang w:val="es-ES_tradnl"/>
          <w14:ligatures w14:val="standardContextual"/>
        </w:rPr>
        <w:t>es importante indicar que la Resolución 455 del 10 de septiembre de 2024, "</w:t>
      </w:r>
      <w:r w:rsidR="00BA7051" w:rsidRPr="00BA7051">
        <w:rPr>
          <w:rFonts w:ascii="Verdana" w:eastAsia="Aptos" w:hAnsi="Verdana" w:cs="Times New Roman"/>
          <w:i/>
          <w:iCs/>
          <w:kern w:val="2"/>
          <w:sz w:val="20"/>
          <w:szCs w:val="20"/>
          <w:lang w:val="es-ES_tradnl"/>
          <w14:ligatures w14:val="standardContextual"/>
        </w:rPr>
        <w:t>Por la cual se adopta la versión 4 de los Documentos Tipo para los procesos de selección de licitación de obra pública del sector de infraestructura de transporte y se deroga la Resolución 240 de 2020”,</w:t>
      </w:r>
      <w:r w:rsidR="00BA7051" w:rsidRPr="00BA7051">
        <w:rPr>
          <w:rFonts w:ascii="Verdana" w:eastAsia="Aptos" w:hAnsi="Verdana" w:cs="Times New Roman"/>
          <w:kern w:val="2"/>
          <w:sz w:val="20"/>
          <w:szCs w:val="20"/>
          <w:lang w:val="es-ES_tradnl"/>
          <w14:ligatures w14:val="standardContextual"/>
        </w:rPr>
        <w:t xml:space="preserve"> incluye aclaraciones importantes sobre los “Bienes o servicios adicionales a la obra pública de infraestructura de transporte”. Así, el artículo 4 de la Resolución indica: […]</w:t>
      </w:r>
    </w:p>
    <w:p w14:paraId="53F676CD" w14:textId="77777777" w:rsidR="000E3953" w:rsidRPr="000E3953" w:rsidRDefault="000E3953" w:rsidP="000E3953">
      <w:pPr>
        <w:spacing w:after="0" w:line="240" w:lineRule="auto"/>
        <w:rPr>
          <w:rFonts w:ascii="Verdana" w:eastAsia="Calibri" w:hAnsi="Verdana" w:cs="Times New Roman"/>
          <w:lang w:val="es-ES_tradnl"/>
        </w:rPr>
      </w:pPr>
    </w:p>
    <w:p w14:paraId="31387E1A" w14:textId="77777777" w:rsidR="000E3953" w:rsidRPr="000E3953" w:rsidRDefault="000E3953" w:rsidP="000E3953">
      <w:pPr>
        <w:spacing w:after="0" w:line="240" w:lineRule="auto"/>
        <w:rPr>
          <w:rFonts w:ascii="Verdana" w:eastAsia="Calibri" w:hAnsi="Verdana" w:cs="Times New Roman"/>
          <w:lang w:val="es-ES_tradnl"/>
        </w:rPr>
      </w:pPr>
    </w:p>
    <w:p w14:paraId="5F4A66F0" w14:textId="77777777" w:rsidR="000E3953" w:rsidRPr="000E3953" w:rsidRDefault="000E3953" w:rsidP="000E3953">
      <w:pPr>
        <w:spacing w:after="0" w:line="240" w:lineRule="auto"/>
        <w:rPr>
          <w:rFonts w:ascii="Verdana" w:eastAsia="Calibri" w:hAnsi="Verdana" w:cs="Times New Roman"/>
          <w:lang w:val="es-ES_tradnl"/>
        </w:rPr>
      </w:pPr>
    </w:p>
    <w:p w14:paraId="445BE792" w14:textId="77777777" w:rsidR="000E3953" w:rsidRPr="000E3953" w:rsidRDefault="000E3953" w:rsidP="000E3953">
      <w:pPr>
        <w:spacing w:after="0" w:line="240" w:lineRule="auto"/>
        <w:rPr>
          <w:rFonts w:ascii="Verdana" w:eastAsia="Calibri" w:hAnsi="Verdana" w:cs="Times New Roman"/>
          <w:lang w:val="es-ES_tradnl"/>
        </w:rPr>
      </w:pPr>
    </w:p>
    <w:p w14:paraId="14CF927A" w14:textId="77777777" w:rsidR="000E3953" w:rsidRPr="000E3953" w:rsidRDefault="000E3953" w:rsidP="000E3953">
      <w:pPr>
        <w:spacing w:after="0" w:line="240" w:lineRule="auto"/>
        <w:rPr>
          <w:rFonts w:ascii="Verdana" w:eastAsia="Calibri" w:hAnsi="Verdana" w:cs="Times New Roman"/>
          <w:lang w:val="es-ES_tradnl"/>
        </w:rPr>
      </w:pPr>
    </w:p>
    <w:p w14:paraId="7A32FBE7" w14:textId="77777777" w:rsidR="000E3953" w:rsidRPr="000E3953" w:rsidRDefault="000E3953" w:rsidP="000E3953">
      <w:pPr>
        <w:spacing w:after="0" w:line="240" w:lineRule="auto"/>
        <w:rPr>
          <w:rFonts w:ascii="Verdana" w:eastAsia="Calibri" w:hAnsi="Verdana" w:cs="Times New Roman"/>
          <w:lang w:val="es-ES_tradnl"/>
        </w:rPr>
      </w:pPr>
    </w:p>
    <w:p w14:paraId="10F6C5DB" w14:textId="77777777" w:rsidR="000E3953" w:rsidRPr="000E3953" w:rsidRDefault="000E3953" w:rsidP="000E3953">
      <w:pPr>
        <w:spacing w:after="0" w:line="240" w:lineRule="auto"/>
        <w:jc w:val="both"/>
        <w:rPr>
          <w:rFonts w:ascii="Verdana" w:eastAsia="Calibri" w:hAnsi="Verdana" w:cs="Times New Roman"/>
          <w:lang w:val="es-ES_tradnl"/>
        </w:rPr>
      </w:pPr>
    </w:p>
    <w:p w14:paraId="66111CA0" w14:textId="77777777" w:rsidR="000E3953" w:rsidRPr="000E3953" w:rsidRDefault="000E3953" w:rsidP="000E3953">
      <w:pPr>
        <w:spacing w:after="0" w:line="240" w:lineRule="auto"/>
        <w:jc w:val="both"/>
        <w:rPr>
          <w:rFonts w:ascii="Verdana" w:eastAsia="Calibri" w:hAnsi="Verdana" w:cs="Times New Roman"/>
          <w:lang w:val="es-ES_tradnl"/>
        </w:rPr>
      </w:pPr>
    </w:p>
    <w:p w14:paraId="39841D90" w14:textId="77777777" w:rsidR="000E3953" w:rsidRPr="000E3953" w:rsidRDefault="000E3953" w:rsidP="000E3953">
      <w:pPr>
        <w:spacing w:after="0" w:line="240" w:lineRule="auto"/>
        <w:jc w:val="both"/>
        <w:rPr>
          <w:rFonts w:ascii="Verdana" w:eastAsia="Calibri" w:hAnsi="Verdana" w:cs="Times New Roman"/>
          <w:lang w:val="es-ES_tradnl"/>
        </w:rPr>
      </w:pPr>
    </w:p>
    <w:p w14:paraId="1C6EE552" w14:textId="77777777" w:rsidR="000E3953" w:rsidRPr="000E3953" w:rsidRDefault="000E3953" w:rsidP="000E3953">
      <w:pPr>
        <w:spacing w:after="0" w:line="240" w:lineRule="auto"/>
        <w:jc w:val="both"/>
        <w:rPr>
          <w:rFonts w:ascii="Verdana" w:eastAsia="Calibri" w:hAnsi="Verdana" w:cs="Times New Roman"/>
          <w:lang w:val="es-ES_tradnl"/>
        </w:rPr>
      </w:pPr>
    </w:p>
    <w:p w14:paraId="6560439E" w14:textId="77777777" w:rsidR="000E3953" w:rsidRPr="000E3953" w:rsidRDefault="000E3953" w:rsidP="000E3953">
      <w:pPr>
        <w:spacing w:after="0" w:line="240" w:lineRule="auto"/>
        <w:jc w:val="both"/>
        <w:rPr>
          <w:rFonts w:ascii="Verdana" w:eastAsia="Calibri" w:hAnsi="Verdana" w:cs="Times New Roman"/>
          <w:lang w:val="es-ES_tradnl"/>
        </w:rPr>
      </w:pPr>
    </w:p>
    <w:p w14:paraId="390EF385" w14:textId="77777777" w:rsidR="000E3953" w:rsidRPr="000E3953" w:rsidRDefault="000E3953" w:rsidP="000E3953">
      <w:pPr>
        <w:spacing w:after="0" w:line="240" w:lineRule="auto"/>
        <w:jc w:val="both"/>
        <w:rPr>
          <w:rFonts w:ascii="Verdana" w:eastAsia="Calibri" w:hAnsi="Verdana" w:cs="Times New Roman"/>
          <w:lang w:val="es-ES_tradnl"/>
        </w:rPr>
      </w:pPr>
    </w:p>
    <w:p w14:paraId="0DA0F71B" w14:textId="77777777" w:rsidR="000E3953" w:rsidRPr="000E3953" w:rsidRDefault="000E3953" w:rsidP="000E3953">
      <w:pPr>
        <w:spacing w:after="0" w:line="240" w:lineRule="auto"/>
        <w:jc w:val="both"/>
        <w:rPr>
          <w:rFonts w:ascii="Verdana" w:eastAsia="Calibri" w:hAnsi="Verdana" w:cs="Times New Roman"/>
          <w:lang w:val="es-ES_tradnl"/>
        </w:rPr>
      </w:pPr>
    </w:p>
    <w:p w14:paraId="73348CB7" w14:textId="77777777" w:rsidR="000E3953" w:rsidRPr="000E3953" w:rsidRDefault="000E3953" w:rsidP="000E3953">
      <w:pPr>
        <w:spacing w:after="0" w:line="240" w:lineRule="auto"/>
        <w:jc w:val="both"/>
        <w:rPr>
          <w:rFonts w:ascii="Verdana" w:eastAsia="Calibri" w:hAnsi="Verdana" w:cs="Times New Roman"/>
          <w:lang w:val="es-ES_tradnl"/>
        </w:rPr>
      </w:pPr>
    </w:p>
    <w:p w14:paraId="42073461" w14:textId="77777777" w:rsidR="000E3953" w:rsidRPr="000E3953" w:rsidRDefault="000E3953" w:rsidP="000E3953">
      <w:pPr>
        <w:spacing w:after="0" w:line="240" w:lineRule="auto"/>
        <w:jc w:val="both"/>
        <w:rPr>
          <w:rFonts w:ascii="Verdana" w:eastAsia="Calibri" w:hAnsi="Verdana" w:cs="Times New Roman"/>
          <w:lang w:val="es-ES_tradnl"/>
        </w:rPr>
      </w:pPr>
    </w:p>
    <w:p w14:paraId="2971364C" w14:textId="77777777" w:rsidR="000E3953" w:rsidRPr="000E3953" w:rsidRDefault="000E3953" w:rsidP="000E3953">
      <w:pPr>
        <w:spacing w:after="0" w:line="240" w:lineRule="auto"/>
        <w:jc w:val="both"/>
        <w:rPr>
          <w:rFonts w:ascii="Verdana" w:eastAsia="Calibri" w:hAnsi="Verdana" w:cs="Times New Roman"/>
          <w:lang w:val="es-ES_tradnl"/>
        </w:rPr>
      </w:pPr>
    </w:p>
    <w:p w14:paraId="773CB8E7" w14:textId="77777777" w:rsidR="000E3953" w:rsidRPr="000E3953" w:rsidRDefault="000E3953" w:rsidP="000E3953">
      <w:pPr>
        <w:spacing w:after="0" w:line="240" w:lineRule="auto"/>
        <w:jc w:val="both"/>
        <w:rPr>
          <w:rFonts w:ascii="Verdana" w:eastAsia="Calibri" w:hAnsi="Verdana" w:cs="Times New Roman"/>
          <w:lang w:val="es-ES_tradnl"/>
        </w:rPr>
      </w:pPr>
    </w:p>
    <w:p w14:paraId="6F8E7811" w14:textId="77777777" w:rsidR="000E3953" w:rsidRPr="000E3953" w:rsidRDefault="000E3953" w:rsidP="000E3953">
      <w:pPr>
        <w:spacing w:after="0" w:line="240" w:lineRule="auto"/>
        <w:jc w:val="both"/>
        <w:rPr>
          <w:rFonts w:ascii="Verdana" w:eastAsia="Calibri" w:hAnsi="Verdana" w:cs="Times New Roman"/>
          <w:lang w:val="es-ES_tradnl"/>
        </w:rPr>
      </w:pPr>
    </w:p>
    <w:p w14:paraId="47A111A5" w14:textId="77777777" w:rsidR="000E3953" w:rsidRDefault="000E3953" w:rsidP="000E3953">
      <w:pPr>
        <w:spacing w:after="0" w:line="240" w:lineRule="auto"/>
        <w:jc w:val="both"/>
        <w:rPr>
          <w:rFonts w:ascii="Verdana" w:eastAsia="Calibri" w:hAnsi="Verdana" w:cs="Times New Roman"/>
          <w:lang w:val="es-ES_tradnl"/>
        </w:rPr>
      </w:pPr>
    </w:p>
    <w:p w14:paraId="336E840D" w14:textId="77777777" w:rsidR="000E3953" w:rsidRPr="000E3953" w:rsidRDefault="000E3953" w:rsidP="000E3953">
      <w:pPr>
        <w:spacing w:after="0" w:line="240" w:lineRule="auto"/>
        <w:jc w:val="both"/>
        <w:rPr>
          <w:rFonts w:ascii="Verdana" w:eastAsia="Calibri" w:hAnsi="Verdana" w:cs="Times New Roman"/>
          <w:lang w:val="es-ES_tradnl"/>
        </w:rPr>
      </w:pPr>
    </w:p>
    <w:p w14:paraId="5E71D0B1" w14:textId="39170F64" w:rsidR="000E3953" w:rsidRPr="000E3953" w:rsidRDefault="000E3953" w:rsidP="000E3953">
      <w:pPr>
        <w:spacing w:after="0" w:line="240" w:lineRule="auto"/>
        <w:jc w:val="both"/>
        <w:rPr>
          <w:rFonts w:ascii="Verdana" w:eastAsia="Calibri" w:hAnsi="Verdana" w:cs="Arial"/>
          <w:lang w:val="es-ES_tradnl" w:eastAsia="es-ES"/>
        </w:rPr>
      </w:pPr>
      <w:r w:rsidRPr="0024624F">
        <w:rPr>
          <w:rFonts w:ascii="Verdana" w:hAnsi="Verdana"/>
        </w:rPr>
        <w:lastRenderedPageBreak/>
        <w:t xml:space="preserve">Bogotá D.C., </w:t>
      </w:r>
      <w:r w:rsidR="00E315B6">
        <w:rPr>
          <w:rFonts w:ascii="Verdana" w:hAnsi="Verdana"/>
        </w:rPr>
        <w:t xml:space="preserve">16 </w:t>
      </w:r>
      <w:proofErr w:type="gramStart"/>
      <w:r w:rsidR="00E315B6">
        <w:rPr>
          <w:rFonts w:ascii="Verdana" w:hAnsi="Verdana"/>
        </w:rPr>
        <w:t>Diciembre</w:t>
      </w:r>
      <w:proofErr w:type="gramEnd"/>
      <w:r w:rsidR="00E315B6">
        <w:rPr>
          <w:rFonts w:ascii="Verdana" w:hAnsi="Verdana"/>
        </w:rPr>
        <w:t xml:space="preserve"> 2025</w:t>
      </w:r>
    </w:p>
    <w:p w14:paraId="1C3B4078" w14:textId="5CA7C10C" w:rsidR="000E3953" w:rsidRPr="000E3953" w:rsidRDefault="00E315B6" w:rsidP="00E315B6">
      <w:pPr>
        <w:spacing w:after="0" w:line="240" w:lineRule="auto"/>
        <w:jc w:val="right"/>
        <w:rPr>
          <w:rFonts w:ascii="Verdana" w:eastAsia="Calibri" w:hAnsi="Verdana" w:cs="Arial"/>
          <w:lang w:val="es-ES_tradnl" w:eastAsia="es-ES"/>
        </w:rPr>
      </w:pPr>
      <w:r w:rsidRPr="00E315B6">
        <w:rPr>
          <w:rFonts w:ascii="Verdana" w:eastAsia="Calibri" w:hAnsi="Verdana" w:cs="Arial"/>
          <w:noProof/>
          <w:lang w:val="es-ES_tradnl" w:eastAsia="es-ES"/>
        </w:rPr>
        <w:drawing>
          <wp:inline distT="0" distB="0" distL="0" distR="0" wp14:anchorId="65F3578B" wp14:editId="650192A7">
            <wp:extent cx="2362200" cy="694365"/>
            <wp:effectExtent l="0" t="0" r="0" b="0"/>
            <wp:docPr id="49370543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05431" name="Imagen 1" descr="Texto&#10;&#10;El contenido generado por IA puede ser incorrecto."/>
                    <pic:cNvPicPr/>
                  </pic:nvPicPr>
                  <pic:blipFill>
                    <a:blip r:embed="rId10"/>
                    <a:stretch>
                      <a:fillRect/>
                    </a:stretch>
                  </pic:blipFill>
                  <pic:spPr>
                    <a:xfrm>
                      <a:off x="0" y="0"/>
                      <a:ext cx="2370899" cy="696922"/>
                    </a:xfrm>
                    <a:prstGeom prst="rect">
                      <a:avLst/>
                    </a:prstGeom>
                  </pic:spPr>
                </pic:pic>
              </a:graphicData>
            </a:graphic>
          </wp:inline>
        </w:drawing>
      </w:r>
    </w:p>
    <w:p w14:paraId="31F35F91" w14:textId="77777777" w:rsidR="000E3953" w:rsidRPr="000E3953" w:rsidRDefault="000E3953" w:rsidP="000E3953">
      <w:pPr>
        <w:spacing w:after="0" w:line="240" w:lineRule="auto"/>
        <w:jc w:val="both"/>
        <w:rPr>
          <w:rFonts w:ascii="Verdana" w:eastAsia="Calibri" w:hAnsi="Verdana" w:cs="Arial"/>
          <w:lang w:val="es-ES_tradnl" w:eastAsia="es-ES"/>
        </w:rPr>
      </w:pPr>
      <w:r w:rsidRPr="000E3953">
        <w:rPr>
          <w:rFonts w:ascii="Verdana" w:eastAsia="Calibri" w:hAnsi="Verdana" w:cs="Arial"/>
          <w:lang w:val="es-ES_tradnl" w:eastAsia="es-ES"/>
        </w:rPr>
        <w:t>Señor</w:t>
      </w:r>
    </w:p>
    <w:p w14:paraId="60A60202" w14:textId="77777777" w:rsidR="000E3953" w:rsidRPr="000E3953" w:rsidRDefault="000E3953" w:rsidP="000E3953">
      <w:pPr>
        <w:spacing w:after="0" w:line="240" w:lineRule="auto"/>
        <w:rPr>
          <w:rFonts w:ascii="Verdana" w:eastAsia="Calibri" w:hAnsi="Verdana" w:cs="Arial"/>
          <w:b/>
          <w:bCs/>
          <w:lang w:val="es-ES" w:eastAsia="es-ES"/>
        </w:rPr>
      </w:pPr>
      <w:r w:rsidRPr="000E3953">
        <w:rPr>
          <w:rFonts w:ascii="Verdana" w:eastAsia="Calibri" w:hAnsi="Verdana" w:cs="Arial"/>
          <w:b/>
          <w:bCs/>
          <w:lang w:val="es-ES" w:eastAsia="es-ES"/>
        </w:rPr>
        <w:t>Ricardo Latorre Rico</w:t>
      </w:r>
    </w:p>
    <w:p w14:paraId="5BA7F9BD" w14:textId="77777777" w:rsidR="000E3953" w:rsidRPr="000E3953" w:rsidRDefault="000E3953" w:rsidP="000E3953">
      <w:pPr>
        <w:spacing w:after="0" w:line="240" w:lineRule="auto"/>
        <w:rPr>
          <w:rFonts w:ascii="Verdana" w:eastAsia="Calibri" w:hAnsi="Verdana" w:cs="Arial"/>
          <w:lang w:val="es-ES_tradnl" w:eastAsia="es-ES"/>
        </w:rPr>
      </w:pPr>
      <w:r w:rsidRPr="000E3953">
        <w:rPr>
          <w:rFonts w:ascii="Verdana" w:eastAsia="Calibri" w:hAnsi="Verdana" w:cs="Arial"/>
          <w:lang w:val="es-ES_tradnl" w:eastAsia="es-ES"/>
        </w:rPr>
        <w:t>Bogotá, D.C.</w:t>
      </w:r>
    </w:p>
    <w:p w14:paraId="5624C0E5" w14:textId="77777777" w:rsidR="000E3953" w:rsidRPr="000E3953" w:rsidRDefault="000E3953" w:rsidP="000E3953">
      <w:pPr>
        <w:spacing w:after="0" w:line="240" w:lineRule="auto"/>
        <w:rPr>
          <w:rFonts w:ascii="Verdana" w:eastAsia="Calibri" w:hAnsi="Verdana" w:cs="Arial"/>
          <w:b/>
          <w:bCs/>
          <w:lang w:val="es-ES_tradnl" w:eastAsia="es-ES_tradnl"/>
        </w:rPr>
      </w:pPr>
    </w:p>
    <w:p w14:paraId="5B08E6FC" w14:textId="77777777" w:rsidR="000E3953" w:rsidRPr="000E3953" w:rsidRDefault="000E3953" w:rsidP="000E3953">
      <w:pPr>
        <w:spacing w:after="0" w:line="240" w:lineRule="auto"/>
        <w:rPr>
          <w:rFonts w:ascii="Verdana" w:eastAsia="Calibri" w:hAnsi="Verdana" w:cs="Arial"/>
          <w:b/>
          <w:bCs/>
          <w:lang w:val="es-ES_tradnl" w:eastAsia="es-ES_tradnl"/>
        </w:rPr>
      </w:pPr>
    </w:p>
    <w:tbl>
      <w:tblPr>
        <w:tblStyle w:val="Tablaconcuadrcula1"/>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0E3953" w:rsidRPr="000E3953" w14:paraId="4841DA2C" w14:textId="77777777" w:rsidTr="00FB249F">
        <w:trPr>
          <w:trHeight w:val="884"/>
        </w:trPr>
        <w:tc>
          <w:tcPr>
            <w:tcW w:w="2689" w:type="dxa"/>
          </w:tcPr>
          <w:p w14:paraId="7F922A8F" w14:textId="77777777" w:rsidR="000E3953" w:rsidRPr="000E3953" w:rsidRDefault="000E3953" w:rsidP="000E3953">
            <w:pPr>
              <w:spacing w:line="240" w:lineRule="exact"/>
              <w:jc w:val="both"/>
              <w:rPr>
                <w:rFonts w:ascii="Verdana" w:eastAsia="Calibri" w:hAnsi="Verdana" w:cs="Arial"/>
                <w:b/>
                <w:bCs/>
                <w:lang w:val="es-ES_tradnl" w:eastAsia="es-ES_tradnl"/>
              </w:rPr>
            </w:pPr>
          </w:p>
        </w:tc>
        <w:tc>
          <w:tcPr>
            <w:tcW w:w="6100" w:type="dxa"/>
          </w:tcPr>
          <w:p w14:paraId="2577A810" w14:textId="77777777" w:rsidR="000E3953" w:rsidRPr="000E3953" w:rsidRDefault="000E3953" w:rsidP="000E3953">
            <w:pPr>
              <w:spacing w:line="240" w:lineRule="exact"/>
              <w:jc w:val="both"/>
              <w:rPr>
                <w:rFonts w:ascii="Verdana" w:eastAsia="Calibri" w:hAnsi="Verdana" w:cs="Arial"/>
                <w:b/>
                <w:bCs/>
                <w:lang w:val="es-ES_tradnl" w:eastAsia="es-ES"/>
              </w:rPr>
            </w:pPr>
            <w:r w:rsidRPr="000E3953">
              <w:rPr>
                <w:rFonts w:ascii="Verdana" w:eastAsia="Calibri" w:hAnsi="Verdana" w:cs="Arial"/>
                <w:b/>
                <w:bCs/>
                <w:lang w:val="es-ES_tradnl" w:eastAsia="es-ES"/>
              </w:rPr>
              <w:t>Concepto C – 1700 de 2025</w:t>
            </w:r>
          </w:p>
          <w:p w14:paraId="7A7727E1" w14:textId="77777777" w:rsidR="000E3953" w:rsidRPr="000E3953" w:rsidRDefault="000E3953" w:rsidP="000E3953">
            <w:pPr>
              <w:tabs>
                <w:tab w:val="left" w:pos="1137"/>
              </w:tabs>
              <w:spacing w:line="240" w:lineRule="exact"/>
              <w:rPr>
                <w:rFonts w:ascii="Verdana" w:eastAsia="Calibri" w:hAnsi="Verdana" w:cs="Arial"/>
                <w:lang w:val="es-ES_tradnl" w:eastAsia="es-ES"/>
              </w:rPr>
            </w:pPr>
            <w:r w:rsidRPr="000E3953">
              <w:rPr>
                <w:rFonts w:ascii="Verdana" w:eastAsia="Calibri" w:hAnsi="Verdana" w:cs="Arial"/>
                <w:lang w:val="es-ES_tradnl" w:eastAsia="es-ES"/>
              </w:rPr>
              <w:tab/>
            </w:r>
          </w:p>
        </w:tc>
      </w:tr>
      <w:tr w:rsidR="000E3953" w:rsidRPr="000E3953" w14:paraId="0E23BEB0" w14:textId="77777777" w:rsidTr="00FB249F">
        <w:trPr>
          <w:trHeight w:val="884"/>
        </w:trPr>
        <w:tc>
          <w:tcPr>
            <w:tcW w:w="2689" w:type="dxa"/>
          </w:tcPr>
          <w:p w14:paraId="215BB881" w14:textId="77777777" w:rsidR="000E3953" w:rsidRPr="000E3953" w:rsidRDefault="000E3953" w:rsidP="000E3953">
            <w:pPr>
              <w:spacing w:line="240" w:lineRule="exact"/>
              <w:jc w:val="both"/>
              <w:rPr>
                <w:rFonts w:ascii="Verdana" w:eastAsia="Calibri" w:hAnsi="Verdana" w:cs="Arial"/>
                <w:lang w:val="es-ES_tradnl" w:eastAsia="es-ES_tradnl"/>
              </w:rPr>
            </w:pPr>
            <w:r w:rsidRPr="000E3953">
              <w:rPr>
                <w:rFonts w:ascii="Verdana" w:eastAsia="Calibri" w:hAnsi="Verdana" w:cs="Arial"/>
                <w:b/>
                <w:lang w:val="es-ES_tradnl" w:eastAsia="es-ES_tradnl"/>
              </w:rPr>
              <w:t>Temas:</w:t>
            </w:r>
            <w:r w:rsidRPr="000E3953">
              <w:rPr>
                <w:rFonts w:ascii="Verdana" w:eastAsia="Calibri" w:hAnsi="Verdana" w:cs="Arial"/>
                <w:lang w:val="es-ES_tradnl" w:eastAsia="es-ES_tradnl"/>
              </w:rPr>
              <w:t xml:space="preserve">                   </w:t>
            </w:r>
          </w:p>
        </w:tc>
        <w:tc>
          <w:tcPr>
            <w:tcW w:w="6100" w:type="dxa"/>
          </w:tcPr>
          <w:p w14:paraId="56C203A1" w14:textId="77777777" w:rsidR="000E3953" w:rsidRPr="000E3953" w:rsidRDefault="000E3953" w:rsidP="000E3953">
            <w:pPr>
              <w:spacing w:line="276" w:lineRule="auto"/>
              <w:contextualSpacing/>
              <w:jc w:val="both"/>
              <w:rPr>
                <w:rFonts w:ascii="Verdana" w:eastAsia="Aptos" w:hAnsi="Verdana" w:cs="Arial"/>
                <w:bCs/>
                <w:color w:val="000000"/>
                <w:lang w:val="es-ES_tradnl"/>
              </w:rPr>
            </w:pPr>
            <w:r w:rsidRPr="000E3953">
              <w:rPr>
                <w:rFonts w:ascii="Verdana" w:eastAsia="Aptos" w:hAnsi="Verdana" w:cs="Arial"/>
                <w:bCs/>
                <w:color w:val="000000"/>
                <w:lang w:val="es-ES_tradnl"/>
              </w:rPr>
              <w:t xml:space="preserve">DOCUMENTOS TIPO – Fundamento normativo / DOCUMENTOS TIPO – Infraestructura de transporte – Ámbito de aplicación – Experiencia / DOCUMENTOS TIPO DE INFRAESTRUCTURA DE TRANSPORTE – Directrices técnicas particulares – </w:t>
            </w:r>
            <w:r w:rsidRPr="000E3953">
              <w:rPr>
                <w:rFonts w:ascii="Verdana" w:eastAsia="Aptos" w:hAnsi="Verdana" w:cs="Times New Roman"/>
                <w:bCs/>
                <w:lang w:val="es-ES_tradnl"/>
              </w:rPr>
              <w:t xml:space="preserve">Estabilización de suelos con productos químicos no tradicionales / </w:t>
            </w:r>
            <w:r w:rsidRPr="000E3953">
              <w:rPr>
                <w:rFonts w:ascii="Verdana" w:eastAsia="Aptos" w:hAnsi="Verdana" w:cs="Arial"/>
                <w:bCs/>
                <w:color w:val="000000"/>
                <w:lang w:val="es-ES_tradnl"/>
              </w:rPr>
              <w:t>DOCUMENTOS TIPO DE INFRAESTRUCTURA DE TRANSPORTE – Experiencia adicional – Bienes o servicios ajenos a la obra pública</w:t>
            </w:r>
          </w:p>
          <w:p w14:paraId="6C121E5D" w14:textId="77777777" w:rsidR="000E3953" w:rsidRPr="000E3953" w:rsidRDefault="000E3953" w:rsidP="000E3953">
            <w:pPr>
              <w:spacing w:line="276" w:lineRule="auto"/>
              <w:contextualSpacing/>
              <w:jc w:val="both"/>
              <w:rPr>
                <w:rFonts w:ascii="Verdana" w:eastAsia="Aptos" w:hAnsi="Verdana" w:cs="Arial"/>
                <w:bCs/>
                <w:color w:val="000000"/>
                <w:lang w:val="es-ES_tradnl"/>
              </w:rPr>
            </w:pPr>
          </w:p>
        </w:tc>
      </w:tr>
      <w:tr w:rsidR="000E3953" w:rsidRPr="000E3953" w14:paraId="55DFA27B" w14:textId="77777777" w:rsidTr="00FB249F">
        <w:tc>
          <w:tcPr>
            <w:tcW w:w="2689" w:type="dxa"/>
          </w:tcPr>
          <w:p w14:paraId="0C5724CE" w14:textId="77777777" w:rsidR="000E3953" w:rsidRPr="000E3953" w:rsidRDefault="000E3953" w:rsidP="000E3953">
            <w:pPr>
              <w:spacing w:line="240" w:lineRule="exact"/>
              <w:jc w:val="both"/>
              <w:rPr>
                <w:rFonts w:ascii="Verdana" w:eastAsia="Calibri" w:hAnsi="Verdana" w:cs="Arial"/>
                <w:b/>
                <w:lang w:val="es-ES_tradnl" w:eastAsia="es-ES_tradnl"/>
              </w:rPr>
            </w:pPr>
            <w:r w:rsidRPr="000E3953">
              <w:rPr>
                <w:rFonts w:ascii="Verdana" w:eastAsia="Calibri" w:hAnsi="Verdana" w:cs="Arial"/>
                <w:b/>
                <w:lang w:val="es-ES_tradnl" w:eastAsia="es-ES_tradnl"/>
              </w:rPr>
              <w:t>Radicación:</w:t>
            </w:r>
            <w:r w:rsidRPr="000E3953">
              <w:rPr>
                <w:rFonts w:ascii="Verdana" w:eastAsia="Calibri" w:hAnsi="Verdana" w:cs="Arial"/>
                <w:lang w:val="es-ES_tradnl" w:eastAsia="es-ES_tradnl"/>
              </w:rPr>
              <w:t xml:space="preserve">               </w:t>
            </w:r>
          </w:p>
        </w:tc>
        <w:tc>
          <w:tcPr>
            <w:tcW w:w="6100" w:type="dxa"/>
          </w:tcPr>
          <w:p w14:paraId="062BB587" w14:textId="77777777" w:rsidR="000E3953" w:rsidRPr="000E3953" w:rsidRDefault="000E3953" w:rsidP="000E3953">
            <w:pPr>
              <w:spacing w:line="240" w:lineRule="exact"/>
              <w:jc w:val="both"/>
              <w:rPr>
                <w:rFonts w:ascii="Verdana" w:eastAsia="Calibri" w:hAnsi="Verdana" w:cs="Arial"/>
                <w:lang w:val="es-ES_tradnl" w:eastAsia="es-ES_tradnl"/>
              </w:rPr>
            </w:pPr>
            <w:r w:rsidRPr="000E3953">
              <w:rPr>
                <w:rFonts w:ascii="Verdana" w:eastAsia="Calibri" w:hAnsi="Verdana" w:cs="Arial"/>
                <w:lang w:val="es-ES_tradnl" w:eastAsia="es-ES_tradnl"/>
              </w:rPr>
              <w:t>Respuesta a consulta con radicado No. 1_2025_11_17_012954</w:t>
            </w:r>
          </w:p>
        </w:tc>
      </w:tr>
    </w:tbl>
    <w:p w14:paraId="7F69297D" w14:textId="77777777" w:rsidR="000E3953" w:rsidRPr="000E3953" w:rsidRDefault="000E3953" w:rsidP="000E3953">
      <w:pPr>
        <w:spacing w:after="0" w:line="240" w:lineRule="auto"/>
        <w:jc w:val="both"/>
        <w:rPr>
          <w:rFonts w:ascii="Verdana" w:eastAsia="Calibri" w:hAnsi="Verdana" w:cs="Arial"/>
          <w:lang w:val="es-ES_tradnl" w:eastAsia="es-ES_tradnl"/>
        </w:rPr>
      </w:pPr>
    </w:p>
    <w:p w14:paraId="00699454" w14:textId="77777777" w:rsidR="000E3953" w:rsidRPr="000E3953" w:rsidRDefault="000E3953" w:rsidP="000E3953">
      <w:pPr>
        <w:spacing w:after="0" w:line="240" w:lineRule="auto"/>
        <w:jc w:val="both"/>
        <w:rPr>
          <w:rFonts w:ascii="Verdana" w:eastAsia="Calibri" w:hAnsi="Verdana" w:cs="Arial"/>
          <w:lang w:val="es-ES_tradnl" w:eastAsia="es-ES_tradnl"/>
        </w:rPr>
      </w:pPr>
    </w:p>
    <w:p w14:paraId="6D6C0DFD" w14:textId="77777777" w:rsidR="000E3953" w:rsidRPr="000E3953" w:rsidRDefault="000E3953" w:rsidP="000E3953">
      <w:pPr>
        <w:spacing w:after="0" w:line="276" w:lineRule="auto"/>
        <w:jc w:val="both"/>
        <w:rPr>
          <w:rFonts w:ascii="Verdana" w:eastAsia="Calibri" w:hAnsi="Verdana" w:cs="Arial"/>
          <w:lang w:val="es-ES" w:eastAsia="es-ES"/>
        </w:rPr>
      </w:pPr>
      <w:r w:rsidRPr="000E3953">
        <w:rPr>
          <w:rFonts w:ascii="Verdana" w:eastAsia="Calibri" w:hAnsi="Verdana" w:cs="Arial"/>
          <w:lang w:val="es-ES" w:eastAsia="es-ES"/>
        </w:rPr>
        <w:t xml:space="preserve">Estimado señor Latorre Rico: </w:t>
      </w:r>
    </w:p>
    <w:p w14:paraId="65619AF2" w14:textId="77777777" w:rsidR="000E3953" w:rsidRPr="000E3953" w:rsidRDefault="000E3953" w:rsidP="000E3953">
      <w:pPr>
        <w:tabs>
          <w:tab w:val="left" w:pos="3768"/>
        </w:tabs>
        <w:spacing w:after="0" w:line="276" w:lineRule="auto"/>
        <w:jc w:val="both"/>
        <w:rPr>
          <w:rFonts w:ascii="Verdana" w:eastAsia="Calibri" w:hAnsi="Verdana" w:cs="Arial"/>
          <w:lang w:val="es-ES_tradnl" w:eastAsia="es-ES"/>
        </w:rPr>
      </w:pPr>
      <w:r w:rsidRPr="000E3953">
        <w:rPr>
          <w:rFonts w:ascii="Verdana" w:eastAsia="Calibri" w:hAnsi="Verdana" w:cs="Arial"/>
          <w:lang w:val="es-ES_tradnl" w:eastAsia="es-ES"/>
        </w:rPr>
        <w:tab/>
      </w:r>
    </w:p>
    <w:p w14:paraId="6C821DB0" w14:textId="77777777" w:rsidR="000E3953" w:rsidRPr="000E3953" w:rsidRDefault="000E3953" w:rsidP="000E3953">
      <w:pPr>
        <w:snapToGrid w:val="0"/>
        <w:spacing w:after="0" w:line="276" w:lineRule="auto"/>
        <w:jc w:val="both"/>
        <w:rPr>
          <w:rFonts w:ascii="Verdana" w:eastAsia="Calibri" w:hAnsi="Verdana" w:cs="Arial"/>
          <w:lang w:val="es-ES_tradnl" w:eastAsia="es-ES"/>
        </w:rPr>
      </w:pPr>
      <w:r w:rsidRPr="000E3953">
        <w:rPr>
          <w:rFonts w:ascii="Verdana" w:eastAsia="Calibri" w:hAnsi="Verdana" w:cs="Arial"/>
          <w:lang w:val="es-ES_tradnl" w:eastAsia="es-ES"/>
        </w:rPr>
        <w:t>En ejercicio de la competencia otorgada por los artículos 3, numeral 5º, y 11, numeral 8º, del Decreto Ley 4170 de 2011,</w:t>
      </w:r>
      <w:r w:rsidRPr="000E3953">
        <w:rPr>
          <w:rFonts w:ascii="Verdana" w:eastAsia="Arial MT" w:hAnsi="Verdana" w:cs="Arial MT"/>
          <w:lang w:val="es-ES_tradnl" w:eastAsia="es-ES"/>
        </w:rPr>
        <w:t xml:space="preserve"> </w:t>
      </w:r>
      <w:r w:rsidRPr="000E3953">
        <w:rPr>
          <w:rFonts w:ascii="Verdana" w:eastAsia="Calibri" w:hAnsi="Verdana" w:cs="Arial"/>
          <w:lang w:val="es-ES_tradnl"/>
        </w:rPr>
        <w:t xml:space="preserve">así como lo establecido en el artículo 4 de la Resolución 1707 de 2018 expedida por esta Entidad, </w:t>
      </w:r>
      <w:r w:rsidRPr="000E3953">
        <w:rPr>
          <w:rFonts w:ascii="Verdana" w:eastAsia="Calibri" w:hAnsi="Verdana" w:cs="Arial"/>
          <w:lang w:val="es-ES_tradnl" w:eastAsia="es-ES"/>
        </w:rPr>
        <w:t>la Agencia Nacional de Contratación Pública –Colombia Compra Eficiente– responde su solicitud de consulta de fecha 17 de noviembre de 2025. En relación con los documentos tipo, usted pregunta lo siguiente:</w:t>
      </w:r>
    </w:p>
    <w:p w14:paraId="56B9D8BB" w14:textId="77777777" w:rsidR="000E3953" w:rsidRPr="000E3953" w:rsidRDefault="000E3953" w:rsidP="000E3953">
      <w:pPr>
        <w:tabs>
          <w:tab w:val="left" w:pos="142"/>
          <w:tab w:val="left" w:pos="1275"/>
        </w:tabs>
        <w:snapToGrid w:val="0"/>
        <w:spacing w:after="0" w:line="276" w:lineRule="auto"/>
        <w:jc w:val="both"/>
        <w:rPr>
          <w:rFonts w:ascii="Verdana" w:eastAsia="Century Gothic" w:hAnsi="Verdana" w:cs="Century Gothic"/>
          <w:b/>
          <w:bCs/>
          <w:lang w:val="es-ES_tradnl"/>
        </w:rPr>
      </w:pPr>
      <w:r w:rsidRPr="000E3953">
        <w:rPr>
          <w:rFonts w:ascii="Verdana" w:eastAsia="Century Gothic" w:hAnsi="Verdana" w:cs="Century Gothic"/>
          <w:b/>
          <w:bCs/>
          <w:lang w:val="es-ES_tradnl"/>
        </w:rPr>
        <w:tab/>
      </w:r>
      <w:r w:rsidRPr="000E3953">
        <w:rPr>
          <w:rFonts w:ascii="Verdana" w:eastAsia="Century Gothic" w:hAnsi="Verdana" w:cs="Century Gothic"/>
          <w:b/>
          <w:bCs/>
          <w:lang w:val="es-ES_tradnl"/>
        </w:rPr>
        <w:tab/>
      </w:r>
    </w:p>
    <w:p w14:paraId="32BC5813" w14:textId="77777777" w:rsidR="000E3953" w:rsidRPr="000E3953" w:rsidRDefault="000E3953" w:rsidP="000E3953">
      <w:pPr>
        <w:snapToGrid w:val="0"/>
        <w:spacing w:after="0" w:line="240" w:lineRule="auto"/>
        <w:ind w:left="720" w:right="709"/>
        <w:jc w:val="both"/>
        <w:rPr>
          <w:rFonts w:ascii="Verdana" w:eastAsia="Century Gothic" w:hAnsi="Verdana" w:cs="Century Gothic"/>
          <w:sz w:val="21"/>
          <w:szCs w:val="21"/>
          <w:lang w:val="es-ES"/>
        </w:rPr>
      </w:pPr>
      <w:r w:rsidRPr="000E3953">
        <w:rPr>
          <w:rFonts w:ascii="Verdana" w:eastAsia="Century Gothic" w:hAnsi="Verdana" w:cs="Century Gothic"/>
          <w:sz w:val="21"/>
          <w:szCs w:val="21"/>
          <w:lang w:val="es-ES"/>
        </w:rPr>
        <w:t xml:space="preserve">“Con el debido respeto, solicito a Colombia Compra Eficiente emitir su concepto técnico-jurídico respecto a la validez de exigir, en pliegos regidos por el Documento Tipo de infraestructura vial, experiencia en </w:t>
      </w:r>
      <w:r w:rsidRPr="000E3953">
        <w:rPr>
          <w:rFonts w:ascii="Verdana" w:eastAsia="Century Gothic" w:hAnsi="Verdana" w:cs="Century Gothic"/>
          <w:sz w:val="21"/>
          <w:szCs w:val="21"/>
          <w:lang w:val="es-ES"/>
        </w:rPr>
        <w:lastRenderedPageBreak/>
        <w:t xml:space="preserve">la ejecución de actividades de estabilización de suelos con productos químicos no tradicionales—regulados por la Resolución 237-22 de </w:t>
      </w:r>
      <w:proofErr w:type="spellStart"/>
      <w:r w:rsidRPr="000E3953">
        <w:rPr>
          <w:rFonts w:ascii="Verdana" w:eastAsia="Century Gothic" w:hAnsi="Verdana" w:cs="Century Gothic"/>
          <w:sz w:val="21"/>
          <w:szCs w:val="21"/>
          <w:lang w:val="es-ES"/>
        </w:rPr>
        <w:t>Invías</w:t>
      </w:r>
      <w:proofErr w:type="spellEnd"/>
      <w:r w:rsidRPr="000E3953">
        <w:rPr>
          <w:rFonts w:ascii="Verdana" w:eastAsia="Century Gothic" w:hAnsi="Verdana" w:cs="Century Gothic"/>
          <w:sz w:val="21"/>
          <w:szCs w:val="21"/>
          <w:lang w:val="es-ES"/>
        </w:rPr>
        <w:t>—como actividad secundaria/accesoria, con fundamento en el literal A, inciso i, aun cuando esta actividad no se encuentra expresamente en la Matriz 1 ni en su glosario.</w:t>
      </w:r>
    </w:p>
    <w:p w14:paraId="7E8B9815" w14:textId="77777777" w:rsidR="000E3953" w:rsidRPr="000E3953" w:rsidRDefault="000E3953" w:rsidP="000E3953">
      <w:pPr>
        <w:snapToGrid w:val="0"/>
        <w:spacing w:after="0" w:line="240" w:lineRule="auto"/>
        <w:ind w:left="720" w:right="709"/>
        <w:jc w:val="both"/>
        <w:rPr>
          <w:rFonts w:ascii="Verdana" w:eastAsia="Century Gothic" w:hAnsi="Verdana" w:cs="Century Gothic"/>
          <w:sz w:val="21"/>
          <w:szCs w:val="21"/>
          <w:lang w:val="es-ES"/>
        </w:rPr>
      </w:pPr>
      <w:r w:rsidRPr="000E3953">
        <w:rPr>
          <w:rFonts w:ascii="Verdana" w:eastAsia="Century Gothic" w:hAnsi="Verdana" w:cs="Century Gothic"/>
          <w:sz w:val="21"/>
          <w:szCs w:val="21"/>
          <w:lang w:val="es-ES"/>
        </w:rPr>
        <w:t>Agradezco pronunciamiento claro sobre:</w:t>
      </w:r>
    </w:p>
    <w:p w14:paraId="4C564CE6" w14:textId="77777777" w:rsidR="000E3953" w:rsidRPr="000E3953" w:rsidRDefault="000E3953" w:rsidP="000E3953">
      <w:pPr>
        <w:snapToGrid w:val="0"/>
        <w:spacing w:after="0" w:line="240" w:lineRule="auto"/>
        <w:ind w:left="720" w:right="709"/>
        <w:jc w:val="both"/>
        <w:rPr>
          <w:rFonts w:ascii="Verdana" w:eastAsia="Century Gothic" w:hAnsi="Verdana" w:cs="Century Gothic"/>
          <w:sz w:val="21"/>
          <w:szCs w:val="21"/>
          <w:lang w:val="es-ES"/>
        </w:rPr>
      </w:pPr>
    </w:p>
    <w:p w14:paraId="25D0E35B" w14:textId="77777777" w:rsidR="000E3953" w:rsidRPr="000E3953" w:rsidRDefault="000E3953" w:rsidP="000E3953">
      <w:pPr>
        <w:snapToGrid w:val="0"/>
        <w:spacing w:after="0" w:line="240" w:lineRule="auto"/>
        <w:ind w:left="720" w:right="709"/>
        <w:jc w:val="both"/>
        <w:rPr>
          <w:rFonts w:ascii="Verdana" w:eastAsia="Century Gothic" w:hAnsi="Verdana" w:cs="Century Gothic"/>
          <w:sz w:val="21"/>
          <w:szCs w:val="21"/>
          <w:lang w:val="es-ES"/>
        </w:rPr>
      </w:pPr>
      <w:r w:rsidRPr="000E3953">
        <w:rPr>
          <w:rFonts w:ascii="Verdana" w:eastAsia="Century Gothic" w:hAnsi="Verdana" w:cs="Century Gothic"/>
          <w:sz w:val="21"/>
          <w:szCs w:val="21"/>
          <w:lang w:val="es-ES"/>
        </w:rPr>
        <w:t>•</w:t>
      </w:r>
      <w:r w:rsidRPr="000E3953">
        <w:rPr>
          <w:rFonts w:ascii="Verdana" w:eastAsia="Century Gothic" w:hAnsi="Verdana" w:cs="Century Gothic"/>
          <w:sz w:val="21"/>
          <w:szCs w:val="21"/>
          <w:lang w:val="es-ES"/>
        </w:rPr>
        <w:tab/>
        <w:t xml:space="preserve">Si es </w:t>
      </w:r>
      <w:proofErr w:type="gramStart"/>
      <w:r w:rsidRPr="000E3953">
        <w:rPr>
          <w:rFonts w:ascii="Verdana" w:eastAsia="Century Gothic" w:hAnsi="Verdana" w:cs="Century Gothic"/>
          <w:sz w:val="21"/>
          <w:szCs w:val="21"/>
          <w:lang w:val="es-ES"/>
        </w:rPr>
        <w:t>jurídicamente y técnicamente</w:t>
      </w:r>
      <w:proofErr w:type="gramEnd"/>
      <w:r w:rsidRPr="000E3953">
        <w:rPr>
          <w:rFonts w:ascii="Verdana" w:eastAsia="Century Gothic" w:hAnsi="Verdana" w:cs="Century Gothic"/>
          <w:sz w:val="21"/>
          <w:szCs w:val="21"/>
          <w:lang w:val="es-ES"/>
        </w:rPr>
        <w:t xml:space="preserve"> válido exigir esta experiencia, siempre que esté adecuadamente justificada en estudios previos y fundamentada en normativa sectorial y en los principios de innovación consagrados en la Ley 1682 de 2013, que promueve la adopción de tecnologías eficientes y sostenibles en infraestructura de transporte.</w:t>
      </w:r>
    </w:p>
    <w:p w14:paraId="59AEDEB1" w14:textId="77777777" w:rsidR="000E3953" w:rsidRPr="000E3953" w:rsidRDefault="000E3953" w:rsidP="000E3953">
      <w:pPr>
        <w:snapToGrid w:val="0"/>
        <w:spacing w:after="0" w:line="240" w:lineRule="auto"/>
        <w:ind w:left="720" w:right="709"/>
        <w:jc w:val="both"/>
        <w:rPr>
          <w:rFonts w:ascii="Verdana" w:eastAsia="Century Gothic" w:hAnsi="Verdana" w:cs="Century Gothic"/>
          <w:sz w:val="21"/>
          <w:szCs w:val="21"/>
          <w:lang w:val="es-ES"/>
        </w:rPr>
      </w:pPr>
      <w:r w:rsidRPr="000E3953">
        <w:rPr>
          <w:rFonts w:ascii="Verdana" w:eastAsia="Century Gothic" w:hAnsi="Verdana" w:cs="Century Gothic"/>
          <w:sz w:val="21"/>
          <w:szCs w:val="21"/>
          <w:lang w:val="es-ES"/>
        </w:rPr>
        <w:t>•</w:t>
      </w:r>
      <w:r w:rsidRPr="000E3953">
        <w:rPr>
          <w:rFonts w:ascii="Verdana" w:eastAsia="Century Gothic" w:hAnsi="Verdana" w:cs="Century Gothic"/>
          <w:sz w:val="21"/>
          <w:szCs w:val="21"/>
          <w:lang w:val="es-ES"/>
        </w:rPr>
        <w:tab/>
        <w:t xml:space="preserve">Si resulta necesario actualizar la Matriz 1 y el Documento Tipo, ante la omisión de estas tecnologías reconocidas por </w:t>
      </w:r>
      <w:proofErr w:type="spellStart"/>
      <w:r w:rsidRPr="000E3953">
        <w:rPr>
          <w:rFonts w:ascii="Verdana" w:eastAsia="Century Gothic" w:hAnsi="Verdana" w:cs="Century Gothic"/>
          <w:sz w:val="21"/>
          <w:szCs w:val="21"/>
          <w:lang w:val="es-ES"/>
        </w:rPr>
        <w:t>Invías</w:t>
      </w:r>
      <w:proofErr w:type="spellEnd"/>
      <w:r w:rsidRPr="000E3953">
        <w:rPr>
          <w:rFonts w:ascii="Verdana" w:eastAsia="Century Gothic" w:hAnsi="Verdana" w:cs="Century Gothic"/>
          <w:sz w:val="21"/>
          <w:szCs w:val="21"/>
          <w:lang w:val="es-ES"/>
        </w:rPr>
        <w:t>, para garantizar seguridad jurídica, selección objetiva y conformidad con el marco innovador de la ley”.</w:t>
      </w:r>
    </w:p>
    <w:p w14:paraId="24A214D4" w14:textId="77777777" w:rsidR="000E3953" w:rsidRPr="000E3953" w:rsidRDefault="000E3953" w:rsidP="000E3953">
      <w:pPr>
        <w:snapToGrid w:val="0"/>
        <w:spacing w:after="0" w:line="240" w:lineRule="auto"/>
        <w:ind w:left="720" w:right="709"/>
        <w:jc w:val="both"/>
        <w:rPr>
          <w:rFonts w:ascii="Verdana" w:eastAsia="Century Gothic" w:hAnsi="Verdana" w:cs="Century Gothic"/>
          <w:lang w:val="es-ES_tradnl"/>
        </w:rPr>
      </w:pPr>
    </w:p>
    <w:p w14:paraId="7905CB66" w14:textId="77777777" w:rsidR="000E3953" w:rsidRPr="000E3953" w:rsidRDefault="000E3953" w:rsidP="000E3953">
      <w:pPr>
        <w:spacing w:after="120" w:line="276" w:lineRule="auto"/>
        <w:ind w:firstLine="709"/>
        <w:jc w:val="both"/>
        <w:rPr>
          <w:rFonts w:ascii="Verdana" w:eastAsia="Calibri" w:hAnsi="Verdana" w:cs="Arial"/>
          <w:lang w:val="es-ES" w:eastAsia="es-ES"/>
        </w:rPr>
      </w:pPr>
      <w:r w:rsidRPr="000E3953">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E3953">
        <w:rPr>
          <w:rFonts w:ascii="Calibri" w:eastAsia="Calibri" w:hAnsi="Calibri" w:cs="Times New Roman"/>
        </w:rPr>
        <w:tab/>
      </w:r>
    </w:p>
    <w:p w14:paraId="6E5905B5" w14:textId="77777777" w:rsidR="000E3953" w:rsidRPr="000E3953" w:rsidRDefault="000E3953" w:rsidP="000E3953">
      <w:pPr>
        <w:snapToGrid w:val="0"/>
        <w:spacing w:after="0" w:line="276" w:lineRule="auto"/>
        <w:ind w:firstLine="709"/>
        <w:jc w:val="both"/>
        <w:rPr>
          <w:rFonts w:ascii="Verdana" w:eastAsia="Calibri" w:hAnsi="Verdana" w:cs="Arial"/>
          <w:lang w:val="es-ES_tradnl" w:eastAsia="es-ES"/>
        </w:rPr>
      </w:pPr>
      <w:r w:rsidRPr="000E3953">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83CE21E" w14:textId="77777777" w:rsidR="000E3953" w:rsidRPr="000E3953" w:rsidRDefault="000E3953" w:rsidP="000E3953">
      <w:pPr>
        <w:snapToGrid w:val="0"/>
        <w:spacing w:after="0" w:line="276" w:lineRule="auto"/>
        <w:ind w:firstLine="709"/>
        <w:jc w:val="both"/>
        <w:rPr>
          <w:rFonts w:ascii="Verdana" w:eastAsia="Calibri" w:hAnsi="Verdana" w:cs="Arial"/>
          <w:lang w:val="es-ES_tradnl" w:eastAsia="es-ES"/>
        </w:rPr>
      </w:pPr>
    </w:p>
    <w:p w14:paraId="02BB925C" w14:textId="77777777" w:rsidR="000E3953" w:rsidRPr="000E3953" w:rsidRDefault="000E3953" w:rsidP="000E39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E3953">
        <w:rPr>
          <w:rFonts w:ascii="Verdana" w:eastAsia="Century Gothic" w:hAnsi="Verdana" w:cs="Century Gothic"/>
          <w:b/>
          <w:bCs/>
          <w:lang w:val="es-ES_tradnl"/>
        </w:rPr>
        <w:t>Problema planteado:</w:t>
      </w:r>
    </w:p>
    <w:p w14:paraId="70EA97C1" w14:textId="77777777" w:rsidR="000E3953" w:rsidRPr="000E3953" w:rsidRDefault="000E3953" w:rsidP="000E3953">
      <w:pPr>
        <w:tabs>
          <w:tab w:val="left" w:pos="426"/>
        </w:tabs>
        <w:snapToGrid w:val="0"/>
        <w:spacing w:after="0" w:line="276" w:lineRule="auto"/>
        <w:jc w:val="both"/>
        <w:rPr>
          <w:rFonts w:ascii="Verdana" w:eastAsia="Century Gothic" w:hAnsi="Verdana" w:cs="Century Gothic"/>
          <w:lang w:val="es-ES_tradnl"/>
        </w:rPr>
      </w:pPr>
    </w:p>
    <w:p w14:paraId="72CCBA21" w14:textId="77777777" w:rsidR="000E3953" w:rsidRPr="000E3953" w:rsidRDefault="000E3953" w:rsidP="000E3953">
      <w:pPr>
        <w:snapToGrid w:val="0"/>
        <w:spacing w:after="0" w:line="276" w:lineRule="auto"/>
        <w:jc w:val="both"/>
        <w:rPr>
          <w:rFonts w:ascii="Verdana" w:eastAsia="Century Gothic" w:hAnsi="Verdana" w:cs="Century Gothic"/>
          <w:lang w:val="es-ES"/>
        </w:rPr>
      </w:pPr>
      <w:r w:rsidRPr="000E3953">
        <w:rPr>
          <w:rFonts w:ascii="Verdana" w:eastAsia="Century Gothic" w:hAnsi="Verdana" w:cs="Century Gothic"/>
          <w:lang w:val="es-ES"/>
        </w:rPr>
        <w:lastRenderedPageBreak/>
        <w:t xml:space="preserve">De acuerdo con el contenido de su solicitud, esta Agencia resolverá el siguiente problema jurídico: ¿cuál es el alcance de la </w:t>
      </w:r>
      <w:r w:rsidRPr="000E3953">
        <w:rPr>
          <w:rFonts w:ascii="Verdana" w:eastAsia="Century Gothic" w:hAnsi="Verdana" w:cs="Century Gothic"/>
          <w:sz w:val="21"/>
          <w:szCs w:val="21"/>
          <w:lang w:val="es-ES"/>
        </w:rPr>
        <w:t>experiencia en la ejecución de actividades de estabilización de suelos con productos químicos no tradicionales en el marco de los documentos tipo de infraestructura de transporte?</w:t>
      </w:r>
    </w:p>
    <w:p w14:paraId="330D6DDD" w14:textId="77777777" w:rsidR="000E3953" w:rsidRPr="000E3953" w:rsidRDefault="000E3953" w:rsidP="000E3953">
      <w:pPr>
        <w:snapToGrid w:val="0"/>
        <w:spacing w:after="0" w:line="276" w:lineRule="auto"/>
        <w:jc w:val="both"/>
        <w:rPr>
          <w:rFonts w:ascii="Verdana" w:eastAsia="Century Gothic" w:hAnsi="Verdana" w:cs="Century Gothic"/>
          <w:lang w:val="es-ES_tradnl"/>
        </w:rPr>
      </w:pPr>
    </w:p>
    <w:p w14:paraId="253C8417" w14:textId="77777777" w:rsidR="000E3953" w:rsidRPr="000E3953" w:rsidRDefault="000E3953" w:rsidP="000E39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E3953">
        <w:rPr>
          <w:rFonts w:ascii="Verdana" w:eastAsia="Century Gothic" w:hAnsi="Verdana" w:cs="Century Gothic"/>
          <w:b/>
          <w:bCs/>
          <w:lang w:val="es-ES_tradnl"/>
        </w:rPr>
        <w:t>Respuesta:</w:t>
      </w:r>
    </w:p>
    <w:p w14:paraId="1DA420CD" w14:textId="77777777" w:rsidR="000E3953" w:rsidRPr="000E3953" w:rsidRDefault="000E3953" w:rsidP="000E3953">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E3953" w:rsidRPr="000E3953" w14:paraId="422C997F" w14:textId="77777777" w:rsidTr="00FB249F">
        <w:tc>
          <w:tcPr>
            <w:tcW w:w="8828" w:type="dxa"/>
          </w:tcPr>
          <w:p w14:paraId="3C8B2606" w14:textId="77777777" w:rsidR="000E3953" w:rsidRPr="000E3953" w:rsidRDefault="000E3953" w:rsidP="000E3953">
            <w:pPr>
              <w:spacing w:after="120" w:line="276" w:lineRule="auto"/>
              <w:jc w:val="both"/>
              <w:rPr>
                <w:rFonts w:ascii="Verdana" w:eastAsia="Aptos" w:hAnsi="Verdana" w:cs="Times New Roman"/>
                <w:lang w:val="es-ES_tradnl"/>
              </w:rPr>
            </w:pPr>
            <w:r w:rsidRPr="000E3953">
              <w:rPr>
                <w:rFonts w:ascii="Verdana" w:eastAsia="Aptos" w:hAnsi="Verdana" w:cs="Times New Roman"/>
                <w:lang w:val="es-ES_tradnl"/>
              </w:rPr>
              <w:t>La Resolución 4561, emitida por el Instituto Nacional de Vías –INVIAS– el 29 de noviembre de 2022, incluye las “Especificaciones Generales de Construcción de Carreteras”, y establece en su artículo 237-22 la norma que corresponde a la “</w:t>
            </w:r>
            <w:r w:rsidRPr="000E3953">
              <w:rPr>
                <w:rFonts w:ascii="Verdana" w:eastAsia="Aptos" w:hAnsi="Verdana" w:cs="Times New Roman"/>
                <w:i/>
                <w:iCs/>
                <w:lang w:val="es-ES_tradnl"/>
              </w:rPr>
              <w:t>Estabilización de suelos con productos químicos no tradicionales</w:t>
            </w:r>
            <w:r w:rsidRPr="000E3953">
              <w:rPr>
                <w:rFonts w:ascii="Verdana" w:eastAsia="Aptos" w:hAnsi="Verdana" w:cs="Times New Roman"/>
                <w:lang w:val="es-ES_tradnl"/>
              </w:rPr>
              <w:t xml:space="preserve">”. Esta resolución es similar a las Resoluciones 1376 de 2014 y 6044 de 2024 del INVIAS, que adoptan o ajustan las Especificaciones Generales de Construcción de Carreteras. Su aplicación se centra en la ejecución de las obras de Infraestructura de Transporte, por lo que no resultaría práctico incluirlas en las matrices de experiencia del sector como actividades particulares por su extenso contenido. </w:t>
            </w:r>
          </w:p>
          <w:p w14:paraId="413E8DF2" w14:textId="77777777" w:rsidR="000E3953" w:rsidRPr="000E3953" w:rsidRDefault="000E3953" w:rsidP="000E3953">
            <w:pPr>
              <w:spacing w:after="120" w:line="276" w:lineRule="auto"/>
              <w:ind w:firstLine="709"/>
              <w:jc w:val="both"/>
              <w:rPr>
                <w:rFonts w:ascii="Verdana" w:eastAsia="Aptos" w:hAnsi="Verdana" w:cs="Times New Roman"/>
                <w:i/>
                <w:iCs/>
                <w:lang w:val="es-ES_tradnl"/>
              </w:rPr>
            </w:pPr>
            <w:r w:rsidRPr="000E3953">
              <w:rPr>
                <w:rFonts w:ascii="Verdana" w:eastAsia="Aptos" w:hAnsi="Verdana" w:cs="Times New Roman"/>
                <w:lang w:val="es-ES_tradnl"/>
              </w:rPr>
              <w:t>En las mesas de trabajo que se realizaron con el propio INVIAS para la modificación de los documentos tipo del sector transporte, no fue necesario discutirlas. En este sentido, las Entidades Estatales que adelanten procesos de selección pueden agregar estas especificaciones técnicas en el Anexo 1 “</w:t>
            </w:r>
            <w:r w:rsidRPr="000E3953">
              <w:rPr>
                <w:rFonts w:ascii="Verdana" w:eastAsia="Aptos" w:hAnsi="Verdana" w:cs="Times New Roman"/>
                <w:i/>
                <w:iCs/>
                <w:lang w:val="es-ES_tradnl"/>
              </w:rPr>
              <w:t>ANEXO TÉCNICO LICITACIÓN DE OBRA PÚBLICA DE INFRAESTRUCTURA DE TRANSPORTE (VERSIÓN 4</w:t>
            </w:r>
            <w:r w:rsidRPr="000E3953">
              <w:rPr>
                <w:rFonts w:ascii="Verdana" w:eastAsia="Aptos" w:hAnsi="Verdana" w:cs="Times New Roman"/>
                <w:lang w:val="es-ES_tradnl"/>
              </w:rPr>
              <w:t>)” de los documentos tipo, que en su “</w:t>
            </w:r>
            <w:r w:rsidRPr="000E3953">
              <w:rPr>
                <w:rFonts w:ascii="Verdana" w:eastAsia="Aptos" w:hAnsi="Verdana" w:cs="Times New Roman"/>
                <w:i/>
                <w:iCs/>
                <w:lang w:val="es-ES_tradnl"/>
              </w:rPr>
              <w:t>Capítulo 12 - Notas Técnicas específicas para el proyecto”.</w:t>
            </w:r>
          </w:p>
          <w:p w14:paraId="17D8479F" w14:textId="77777777" w:rsidR="000E3953" w:rsidRPr="000E3953" w:rsidRDefault="000E3953" w:rsidP="000E3953">
            <w:pPr>
              <w:spacing w:after="120" w:line="276" w:lineRule="auto"/>
              <w:ind w:firstLine="709"/>
              <w:jc w:val="both"/>
              <w:rPr>
                <w:rFonts w:ascii="Verdana" w:eastAsia="Aptos" w:hAnsi="Verdana" w:cs="Times New Roman"/>
                <w:lang w:val="es-ES_tradnl"/>
              </w:rPr>
            </w:pPr>
            <w:r w:rsidRPr="000E3953">
              <w:rPr>
                <w:rFonts w:ascii="Verdana" w:eastAsia="Aptos" w:hAnsi="Verdana" w:cs="Times New Roman"/>
                <w:lang w:val="es-ES_tradnl"/>
              </w:rPr>
              <w:t xml:space="preserve">Por su parte, los documentos tipo expedidos por la Agencia Nacional de Contratación Pública, deben ser adoptados cuando las actividades requeridas por las Entidades Estatales están incluidas en la matriz de experiencia. Sin embargo, si excepcionalmente las entidades necesitan incluir “experiencia adicional” para garantizar la idoneidad técnica de los proponentes en procesos de selección, pueden seguir lo descrito en el literal H del numeral </w:t>
            </w:r>
            <w:r w:rsidRPr="000E3953">
              <w:rPr>
                <w:rFonts w:ascii="Verdana" w:eastAsia="Aptos" w:hAnsi="Verdana" w:cs="Times New Roman"/>
                <w:i/>
                <w:iCs/>
                <w:lang w:val="es-ES_tradnl"/>
              </w:rPr>
              <w:t>3.5.2 “CARACTERÍSTICAS DE LOS CONTRATOS PRESENTADOS PARA ACREDITAR LA EXPERIENCIA EXIGIDA”</w:t>
            </w:r>
            <w:r w:rsidRPr="000E3953">
              <w:rPr>
                <w:rFonts w:ascii="Verdana" w:eastAsia="Aptos" w:hAnsi="Verdana" w:cs="Times New Roman"/>
                <w:lang w:val="es-ES_tradnl"/>
              </w:rPr>
              <w:t xml:space="preserve"> del documento base del sector transporte.</w:t>
            </w:r>
          </w:p>
          <w:p w14:paraId="5F4055E8" w14:textId="77777777" w:rsidR="000E3953" w:rsidRPr="000E3953" w:rsidRDefault="000E3953" w:rsidP="000E3953">
            <w:pPr>
              <w:spacing w:after="120" w:line="276" w:lineRule="auto"/>
              <w:ind w:firstLine="709"/>
              <w:jc w:val="both"/>
              <w:rPr>
                <w:rFonts w:ascii="Verdana" w:eastAsia="Aptos" w:hAnsi="Verdana" w:cs="Times New Roman"/>
                <w:lang w:val="es-ES_tradnl"/>
              </w:rPr>
            </w:pPr>
            <w:r w:rsidRPr="000E3953">
              <w:rPr>
                <w:rFonts w:ascii="Verdana" w:eastAsia="Aptos" w:hAnsi="Verdana" w:cs="Times New Roman"/>
                <w:bCs/>
                <w:lang w:val="es-ES_tradnl"/>
              </w:rPr>
              <w:t xml:space="preserve">En todo caso, conforme a lo establecido en la Resolución 455 de 2024 </w:t>
            </w:r>
            <w:r w:rsidRPr="000E3953">
              <w:rPr>
                <w:rFonts w:ascii="Verdana" w:eastAsia="Aptos" w:hAnsi="Verdana" w:cs="Times New Roman"/>
                <w:lang w:val="es-ES_tradnl"/>
              </w:rPr>
              <w:t>"</w:t>
            </w:r>
            <w:r w:rsidRPr="000E3953">
              <w:rPr>
                <w:rFonts w:ascii="Verdana" w:eastAsia="Aptos" w:hAnsi="Verdana" w:cs="Times New Roman"/>
                <w:i/>
                <w:iCs/>
                <w:lang w:val="es-ES_tradnl"/>
              </w:rPr>
              <w:t xml:space="preserve">Por la cual se adopta la versión 4 de los Documentos Tipo para los procesos de selección de licitación de obra pública del sector de infraestructura de </w:t>
            </w:r>
            <w:r w:rsidRPr="000E3953">
              <w:rPr>
                <w:rFonts w:ascii="Verdana" w:eastAsia="Aptos" w:hAnsi="Verdana" w:cs="Times New Roman"/>
                <w:i/>
                <w:iCs/>
                <w:lang w:val="es-ES_tradnl"/>
              </w:rPr>
              <w:lastRenderedPageBreak/>
              <w:t>transporte y se deroga la Resolución 240 de 2020”,</w:t>
            </w:r>
            <w:r w:rsidRPr="000E3953">
              <w:rPr>
                <w:rFonts w:ascii="Verdana" w:eastAsia="Aptos" w:hAnsi="Verdana" w:cs="Times New Roman"/>
                <w:lang w:val="es-ES_tradnl"/>
              </w:rPr>
              <w:t xml:space="preserve"> </w:t>
            </w:r>
            <w:r w:rsidRPr="000E3953">
              <w:rPr>
                <w:rFonts w:ascii="Verdana" w:eastAsia="Aptos" w:hAnsi="Verdana" w:cs="Times New Roman"/>
                <w:bCs/>
                <w:lang w:val="es-ES_tradnl"/>
              </w:rPr>
              <w:t>expedida por esta Agencia, la inclusión de requisitos de experiencia adicionales que estén plenamente justificados</w:t>
            </w:r>
            <w:r w:rsidRPr="000E3953">
              <w:rPr>
                <w:rFonts w:ascii="Verdana" w:eastAsia="Aptos" w:hAnsi="Verdana" w:cs="Times New Roman"/>
                <w:lang w:val="es-ES_tradnl"/>
              </w:rPr>
              <w:t xml:space="preserve"> es aceptable, con la condición de que no se modifiquen los elementos contenidos en los documentos tipo y se garantice la pluralidad de oferentes y la libre concurrencia.</w:t>
            </w:r>
          </w:p>
        </w:tc>
      </w:tr>
    </w:tbl>
    <w:p w14:paraId="44096C69" w14:textId="77777777" w:rsidR="000E3953" w:rsidRPr="000E3953" w:rsidRDefault="000E3953" w:rsidP="000E3953">
      <w:pPr>
        <w:tabs>
          <w:tab w:val="left" w:pos="142"/>
          <w:tab w:val="left" w:pos="284"/>
        </w:tabs>
        <w:snapToGrid w:val="0"/>
        <w:spacing w:after="0" w:line="276" w:lineRule="auto"/>
        <w:jc w:val="both"/>
        <w:rPr>
          <w:rFonts w:ascii="Verdana" w:eastAsia="Century Gothic" w:hAnsi="Verdana" w:cs="Century Gothic"/>
          <w:b/>
          <w:bCs/>
          <w:lang w:val="es-ES_tradnl"/>
        </w:rPr>
      </w:pPr>
    </w:p>
    <w:p w14:paraId="3890D8BA" w14:textId="77777777" w:rsidR="000E3953" w:rsidRPr="000E3953" w:rsidRDefault="000E3953" w:rsidP="000E39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E3953">
        <w:rPr>
          <w:rFonts w:ascii="Verdana" w:eastAsia="Century Gothic" w:hAnsi="Verdana" w:cs="Century Gothic"/>
          <w:b/>
          <w:bCs/>
          <w:lang w:val="es-ES_tradnl"/>
        </w:rPr>
        <w:t>Razones de la respuesta:</w:t>
      </w:r>
    </w:p>
    <w:p w14:paraId="27D73695" w14:textId="77777777" w:rsidR="000E3953" w:rsidRPr="000E3953" w:rsidRDefault="000E3953" w:rsidP="000E3953">
      <w:pPr>
        <w:snapToGrid w:val="0"/>
        <w:spacing w:after="0" w:line="276" w:lineRule="auto"/>
        <w:jc w:val="both"/>
        <w:rPr>
          <w:rFonts w:ascii="Verdana" w:eastAsia="Calibri" w:hAnsi="Verdana" w:cs="Arial"/>
          <w:lang w:val="es-ES_tradnl"/>
        </w:rPr>
      </w:pPr>
    </w:p>
    <w:p w14:paraId="0655B1E6" w14:textId="77777777" w:rsidR="000E3953" w:rsidRPr="000E3953" w:rsidRDefault="000E3953" w:rsidP="000E3953">
      <w:pPr>
        <w:snapToGrid w:val="0"/>
        <w:spacing w:after="0" w:line="276" w:lineRule="auto"/>
        <w:jc w:val="both"/>
        <w:rPr>
          <w:rFonts w:ascii="Verdana" w:eastAsia="Calibri" w:hAnsi="Verdana" w:cs="Arial"/>
          <w:lang w:val="es-ES_tradnl"/>
        </w:rPr>
      </w:pPr>
      <w:r w:rsidRPr="000E3953">
        <w:rPr>
          <w:rFonts w:ascii="Verdana" w:eastAsia="Calibri" w:hAnsi="Verdana" w:cs="Arial"/>
          <w:lang w:val="es-ES_tradnl"/>
        </w:rPr>
        <w:t xml:space="preserve">Lo anterior se sustenta en las siguientes consideraciones: </w:t>
      </w:r>
    </w:p>
    <w:p w14:paraId="209667C6" w14:textId="77777777" w:rsidR="000E3953" w:rsidRPr="000E3953" w:rsidRDefault="000E3953" w:rsidP="000E3953">
      <w:pPr>
        <w:snapToGrid w:val="0"/>
        <w:spacing w:after="0" w:line="276" w:lineRule="auto"/>
        <w:jc w:val="both"/>
        <w:rPr>
          <w:rFonts w:ascii="Verdana" w:eastAsia="Calibri" w:hAnsi="Verdana" w:cs="Arial"/>
          <w:lang w:val="es-ES_tradnl"/>
        </w:rPr>
      </w:pPr>
    </w:p>
    <w:p w14:paraId="4517D8A4" w14:textId="77777777" w:rsidR="000E3953" w:rsidRPr="000E3953" w:rsidRDefault="000E3953" w:rsidP="000E3953">
      <w:pPr>
        <w:snapToGrid w:val="0"/>
        <w:spacing w:after="0" w:line="276" w:lineRule="auto"/>
        <w:jc w:val="both"/>
        <w:rPr>
          <w:rFonts w:ascii="Verdana" w:eastAsia="Calibri" w:hAnsi="Verdana" w:cs="Arial"/>
          <w:lang w:val="es-ES_tradnl"/>
        </w:rPr>
      </w:pPr>
      <w:r w:rsidRPr="000E3953">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3EDEF0E2" w14:textId="77777777" w:rsidR="000E3953" w:rsidRPr="000E3953" w:rsidRDefault="000E3953" w:rsidP="000E3953">
      <w:pPr>
        <w:snapToGrid w:val="0"/>
        <w:spacing w:before="120" w:after="0" w:line="276" w:lineRule="auto"/>
        <w:ind w:firstLine="709"/>
        <w:jc w:val="both"/>
        <w:rPr>
          <w:rFonts w:ascii="Verdana" w:eastAsia="Calibri" w:hAnsi="Verdana" w:cs="Times New Roman"/>
          <w:lang w:val="es-ES"/>
        </w:rPr>
      </w:pPr>
      <w:r w:rsidRPr="000E3953">
        <w:rPr>
          <w:rFonts w:ascii="Verdana" w:eastAsia="Calibri" w:hAnsi="Verdana" w:cs="Arial"/>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09CBD7C2" w14:textId="77777777" w:rsidR="000E3953" w:rsidRPr="000E3953" w:rsidRDefault="000E3953" w:rsidP="000E3953">
      <w:pPr>
        <w:snapToGrid w:val="0"/>
        <w:spacing w:before="120" w:after="0" w:line="276" w:lineRule="auto"/>
        <w:ind w:firstLine="709"/>
        <w:jc w:val="both"/>
        <w:rPr>
          <w:rFonts w:ascii="Verdana" w:eastAsia="Calibri" w:hAnsi="Verdana" w:cs="Arial"/>
          <w:lang w:val="es-ES_tradnl"/>
        </w:rPr>
      </w:pPr>
      <w:r w:rsidRPr="000E3953">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0E3953">
        <w:rPr>
          <w:rFonts w:ascii="Verdana" w:eastAsia="Calibri" w:hAnsi="Verdana" w:cs="Times New Roman"/>
          <w:vertAlign w:val="superscript"/>
          <w:lang w:val="es-ES_tradnl"/>
        </w:rPr>
        <w:footnoteReference w:id="1"/>
      </w:r>
      <w:r w:rsidRPr="000E3953">
        <w:rPr>
          <w:rFonts w:ascii="Verdana" w:eastAsia="Calibri" w:hAnsi="Verdana" w:cs="Times New Roman"/>
          <w:lang w:val="es-ES_tradnl"/>
        </w:rPr>
        <w:t xml:space="preserve"> </w:t>
      </w:r>
    </w:p>
    <w:p w14:paraId="6C20F628" w14:textId="77777777" w:rsidR="000E3953" w:rsidRPr="000E3953" w:rsidRDefault="000E3953" w:rsidP="000E3953">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000E3953">
        <w:rPr>
          <w:rFonts w:ascii="Verdana" w:eastAsia="Times New Roman" w:hAnsi="Verdana" w:cs="Arial"/>
          <w:kern w:val="2"/>
          <w:shd w:val="clear" w:color="auto" w:fill="FFFFFF"/>
          <w:lang w:val="es-ES" w:eastAsia="es-ES"/>
          <w14:ligatures w14:val="standardContextual"/>
        </w:rPr>
        <w:lastRenderedPageBreak/>
        <w:t>Es importante resaltar que, en virtud de la regla de inalterabilidad, los Documentos Tipo solo pueden ser modificados en los aspectos en que estos lo permitan. Esto corresponde a aquellos apartados que se encuentran entre corchetes y resaltados en gris –</w:t>
      </w:r>
      <w:r w:rsidRPr="000E3953">
        <w:rPr>
          <w:rFonts w:ascii="Verdana" w:eastAsia="Times New Roman" w:hAnsi="Verdana" w:cs="Arial"/>
          <w:kern w:val="2"/>
          <w:highlight w:val="lightGray"/>
          <w:shd w:val="clear" w:color="auto" w:fill="FFFFFF"/>
          <w:lang w:val="es-ES" w:eastAsia="es-ES"/>
          <w14:ligatures w14:val="standardContextual"/>
        </w:rPr>
        <w:t>[texto]</w:t>
      </w:r>
      <w:r w:rsidRPr="000E3953">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47903DB7" w14:textId="77777777" w:rsidR="000E3953" w:rsidRPr="000E3953" w:rsidRDefault="000E3953" w:rsidP="000E3953">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0E3953">
        <w:rPr>
          <w:rFonts w:ascii="Verdana" w:eastAsia="Times New Roman" w:hAnsi="Verdana" w:cs="Arial"/>
          <w:kern w:val="2"/>
          <w:shd w:val="clear" w:color="auto" w:fill="FFFFFF"/>
          <w:lang w:val="es-ES_tradnl" w:eastAsia="es-ES"/>
          <w14:ligatures w14:val="standardContextual"/>
        </w:rPr>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039C5F97" w14:textId="77777777" w:rsidR="000E3953" w:rsidRPr="000E3953" w:rsidRDefault="000E3953" w:rsidP="000E3953">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0E3953">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210BC99F" w14:textId="77777777" w:rsidR="000E3953" w:rsidRPr="000E3953" w:rsidRDefault="000E3953" w:rsidP="000E3953">
      <w:pPr>
        <w:snapToGrid w:val="0"/>
        <w:spacing w:after="120" w:line="276" w:lineRule="auto"/>
        <w:ind w:firstLine="709"/>
        <w:jc w:val="both"/>
        <w:rPr>
          <w:rFonts w:ascii="Verdana" w:eastAsia="Calibri" w:hAnsi="Verdana" w:cs="Times New Roman"/>
          <w:lang w:val="es-ES"/>
        </w:rPr>
      </w:pPr>
      <w:r w:rsidRPr="000E3953">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0E3953">
        <w:rPr>
          <w:rFonts w:ascii="Verdana" w:eastAsia="Calibri" w:hAnsi="Verdana" w:cs="Times New Roman"/>
          <w:lang w:val="es-ES"/>
        </w:rPr>
        <w:t>ii</w:t>
      </w:r>
      <w:proofErr w:type="spellEnd"/>
      <w:r w:rsidRPr="000E3953">
        <w:rPr>
          <w:rFonts w:ascii="Verdana" w:eastAsia="Calibri" w:hAnsi="Verdana" w:cs="Times New Roman"/>
          <w:lang w:val="es-ES"/>
        </w:rPr>
        <w:t xml:space="preserve">) la actividad a contratar y </w:t>
      </w:r>
      <w:proofErr w:type="spellStart"/>
      <w:r w:rsidRPr="000E3953">
        <w:rPr>
          <w:rFonts w:ascii="Verdana" w:eastAsia="Calibri" w:hAnsi="Verdana" w:cs="Times New Roman"/>
          <w:lang w:val="es-ES"/>
        </w:rPr>
        <w:t>iii</w:t>
      </w:r>
      <w:proofErr w:type="spellEnd"/>
      <w:r w:rsidRPr="000E3953">
        <w:rPr>
          <w:rFonts w:ascii="Verdana" w:eastAsia="Calibri" w:hAnsi="Verdana" w:cs="Times New Roman"/>
          <w:lang w:val="es-ES"/>
        </w:rPr>
        <w:t>) la cuantía del proceso de contratación.</w:t>
      </w:r>
    </w:p>
    <w:p w14:paraId="5C42A137" w14:textId="77777777" w:rsidR="000E3953" w:rsidRPr="000E3953" w:rsidRDefault="000E3953" w:rsidP="000E3953">
      <w:pPr>
        <w:snapToGrid w:val="0"/>
        <w:spacing w:after="0" w:line="276" w:lineRule="auto"/>
        <w:ind w:firstLine="709"/>
        <w:jc w:val="both"/>
        <w:rPr>
          <w:rFonts w:ascii="Verdana" w:eastAsia="Times New Roman" w:hAnsi="Verdana" w:cs="Aptos"/>
          <w:i/>
          <w:iCs/>
          <w:color w:val="000000"/>
          <w:lang w:val="es-ES_tradnl" w:eastAsia="es-MX"/>
        </w:rPr>
      </w:pPr>
      <w:r w:rsidRPr="000E3953">
        <w:rPr>
          <w:rFonts w:ascii="Verdana" w:eastAsia="Times New Roman" w:hAnsi="Verdana" w:cs="Aptos"/>
          <w:color w:val="000000"/>
          <w:lang w:val="es-ES_tradnl" w:eastAsia="es-MX"/>
        </w:rPr>
        <w:t>Por su parte, el numeral 3.5 “EXPERIENCIA” del documento base de los documentos tipo de infraestructura de transporte indica que los proponentes deben acreditar la experiencia a través de los siguientes documentos:</w:t>
      </w:r>
      <w:r w:rsidRPr="000E3953">
        <w:rPr>
          <w:rFonts w:ascii="Verdana" w:eastAsia="Aptos" w:hAnsi="Verdana" w:cs="Aptos"/>
          <w:color w:val="000000"/>
          <w:lang w:val="es-MX"/>
        </w:rPr>
        <w:t xml:space="preserve"> </w:t>
      </w:r>
      <w:r w:rsidRPr="000E3953">
        <w:rPr>
          <w:rFonts w:ascii="Verdana" w:eastAsia="Times New Roman" w:hAnsi="Verdana" w:cs="Aptos"/>
          <w:color w:val="000000"/>
          <w:lang w:val="es-MX" w:eastAsia="es-MX"/>
        </w:rPr>
        <w:t xml:space="preserve">i) la información consignada en el RUP para aquellos que estén obligados a tenerlo, </w:t>
      </w:r>
      <w:proofErr w:type="spellStart"/>
      <w:r w:rsidRPr="000E3953">
        <w:rPr>
          <w:rFonts w:ascii="Verdana" w:eastAsia="Times New Roman" w:hAnsi="Verdana" w:cs="Aptos"/>
          <w:color w:val="000000"/>
          <w:lang w:val="es-MX" w:eastAsia="es-MX"/>
        </w:rPr>
        <w:t>ii</w:t>
      </w:r>
      <w:proofErr w:type="spellEnd"/>
      <w:r w:rsidRPr="000E3953">
        <w:rPr>
          <w:rFonts w:ascii="Verdana" w:eastAsia="Times New Roman" w:hAnsi="Verdana" w:cs="Aptos"/>
          <w:color w:val="000000"/>
          <w:lang w:val="es-MX" w:eastAsia="es-MX"/>
        </w:rPr>
        <w:t>) la presentación el Formato 3 – Experiencia para todos los proponentes y (</w:t>
      </w:r>
      <w:proofErr w:type="spellStart"/>
      <w:r w:rsidRPr="000E3953">
        <w:rPr>
          <w:rFonts w:ascii="Verdana" w:eastAsia="Times New Roman" w:hAnsi="Verdana" w:cs="Aptos"/>
          <w:color w:val="000000"/>
          <w:lang w:val="es-MX" w:eastAsia="es-MX"/>
        </w:rPr>
        <w:t>iii</w:t>
      </w:r>
      <w:proofErr w:type="spellEnd"/>
      <w:r w:rsidRPr="000E3953">
        <w:rPr>
          <w:rFonts w:ascii="Verdana" w:eastAsia="Times New Roman" w:hAnsi="Verdana" w:cs="Aptos"/>
          <w:color w:val="000000"/>
          <w:lang w:val="es-MX" w:eastAsia="es-MX"/>
        </w:rPr>
        <w:t xml:space="preserve">) alguno de los documentos válidos para la acreditación de la experiencia señalados en el numeral 3.5.6 cuando se requiera la verificación de información del proponente adicional a la contenida en el RUP. </w:t>
      </w:r>
      <w:r w:rsidRPr="000E3953">
        <w:rPr>
          <w:rFonts w:ascii="Verdana" w:eastAsia="Times New Roman" w:hAnsi="Verdana" w:cs="Aptos"/>
          <w:color w:val="000000"/>
          <w:lang w:val="es-ES" w:eastAsia="es-MX"/>
        </w:rPr>
        <w:t xml:space="preserve">Adicionalmente, en el numeral </w:t>
      </w:r>
      <w:r w:rsidRPr="000E3953">
        <w:rPr>
          <w:rFonts w:ascii="Verdana" w:eastAsia="Times New Roman" w:hAnsi="Verdana" w:cs="Aptos"/>
          <w:iCs/>
          <w:color w:val="000000"/>
          <w:lang w:val="es-ES" w:eastAsia="es-MX"/>
        </w:rPr>
        <w:t xml:space="preserve">3.5.5 “ACREDITACIÓN DE LA EXPERIENCIA REQUERIDA” se </w:t>
      </w:r>
      <w:r w:rsidRPr="000E3953">
        <w:rPr>
          <w:rFonts w:ascii="Verdana" w:eastAsia="Times New Roman" w:hAnsi="Verdana" w:cs="Aptos"/>
          <w:color w:val="000000"/>
          <w:lang w:val="es-ES" w:eastAsia="es-MX"/>
        </w:rPr>
        <w:t xml:space="preserve">señala la información que deben presentar los proponentes para efectos de acreditar la experiencia en cada uno de los contratos que se presenten. </w:t>
      </w:r>
    </w:p>
    <w:p w14:paraId="032FADA0" w14:textId="77777777" w:rsidR="000E3953" w:rsidRPr="000E3953" w:rsidRDefault="000E3953" w:rsidP="000E3953">
      <w:pPr>
        <w:spacing w:before="120" w:after="0" w:line="276" w:lineRule="auto"/>
        <w:ind w:firstLine="709"/>
        <w:jc w:val="both"/>
        <w:rPr>
          <w:rFonts w:ascii="Verdana" w:eastAsia="Aptos" w:hAnsi="Verdana" w:cs="Times New Roman"/>
          <w:kern w:val="2"/>
          <w:lang w:val="es-ES_tradnl"/>
          <w14:ligatures w14:val="standardContextual"/>
        </w:rPr>
      </w:pPr>
      <w:r w:rsidRPr="000E3953">
        <w:rPr>
          <w:rFonts w:ascii="Verdana" w:eastAsia="Aptos" w:hAnsi="Verdana" w:cs="Times New Roman"/>
          <w:kern w:val="2"/>
          <w:lang w:val="es-ES_tradnl"/>
          <w14:ligatures w14:val="standardContextual"/>
        </w:rPr>
        <w:lastRenderedPageBreak/>
        <w:t>Ahora bien, es necesario aclarar que la Resolución 4561, emitida por el Instituto Nacional de Vías –INVIAS– el 29 de noviembre de 2022, incluye las “Especificaciones Generales de Construcción de Carreteras”, y establece en su artículo 237-22 la norma que corresponde a la “</w:t>
      </w:r>
      <w:r w:rsidRPr="000E3953">
        <w:rPr>
          <w:rFonts w:ascii="Verdana" w:eastAsia="Aptos" w:hAnsi="Verdana" w:cs="Times New Roman"/>
          <w:i/>
          <w:iCs/>
          <w:kern w:val="2"/>
          <w:lang w:val="es-ES_tradnl"/>
          <w14:ligatures w14:val="standardContextual"/>
        </w:rPr>
        <w:t>Estabilización de suelos con productos químicos no tradicionales</w:t>
      </w:r>
      <w:r w:rsidRPr="000E3953">
        <w:rPr>
          <w:rFonts w:ascii="Verdana" w:eastAsia="Aptos" w:hAnsi="Verdana" w:cs="Times New Roman"/>
          <w:kern w:val="2"/>
          <w:lang w:val="es-ES_tradnl"/>
          <w14:ligatures w14:val="standardContextual"/>
        </w:rPr>
        <w:t>”, que como se indica en la propia descripción:</w:t>
      </w:r>
    </w:p>
    <w:p w14:paraId="57248327" w14:textId="77777777" w:rsidR="000E3953" w:rsidRPr="000E3953" w:rsidRDefault="000E3953" w:rsidP="000E3953">
      <w:pPr>
        <w:spacing w:after="0" w:line="276" w:lineRule="auto"/>
        <w:jc w:val="both"/>
        <w:rPr>
          <w:rFonts w:ascii="Verdana" w:eastAsia="Aptos" w:hAnsi="Verdana" w:cs="Times New Roman"/>
          <w:kern w:val="2"/>
          <w:lang w:val="es-ES_tradnl"/>
          <w14:ligatures w14:val="standardContextual"/>
        </w:rPr>
      </w:pPr>
    </w:p>
    <w:p w14:paraId="2EC85992" w14:textId="77777777" w:rsidR="000E3953" w:rsidRPr="000E3953" w:rsidRDefault="000E3953" w:rsidP="000E3953">
      <w:pPr>
        <w:spacing w:after="0" w:line="240" w:lineRule="auto"/>
        <w:ind w:left="709" w:right="709"/>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kern w:val="2"/>
          <w:sz w:val="21"/>
          <w:szCs w:val="21"/>
          <w:lang w:val="es-ES_tradnl"/>
          <w14:ligatures w14:val="standardContextual"/>
        </w:rPr>
        <w:t>“Esta especificación consiste en los lineamientos, metodologías y protocolos de utilización de productos químicos no tradicionales, para la estabilización de suelos de subrasante o materiales existentes en las vías de bajos volúmenes de tránsito (NT1 de acuerdo con la Tabla 100-1 del artículo 100, Ámbitos de aplicación, términos y definiciones), utilizados como fundación, capa estabilizada no estructural o capa estabilizada estructural de un pavimento, de acuerdo con las dimensiones, lineamientos y secciones indicados en los documentos del proyecto y aprobados por el interventor”.</w:t>
      </w:r>
    </w:p>
    <w:p w14:paraId="5720FDD2" w14:textId="77777777" w:rsidR="000E3953" w:rsidRPr="000E3953" w:rsidRDefault="000E3953" w:rsidP="000E3953">
      <w:pPr>
        <w:spacing w:after="0" w:line="276" w:lineRule="auto"/>
        <w:jc w:val="both"/>
        <w:rPr>
          <w:rFonts w:ascii="Verdana" w:eastAsia="Aptos" w:hAnsi="Verdana" w:cs="Times New Roman"/>
          <w:kern w:val="2"/>
          <w:lang w:val="es-ES_tradnl"/>
          <w14:ligatures w14:val="standardContextual"/>
        </w:rPr>
      </w:pPr>
    </w:p>
    <w:p w14:paraId="27B63B94" w14:textId="77777777" w:rsidR="000E3953" w:rsidRPr="000E3953" w:rsidRDefault="000E3953" w:rsidP="000E3953">
      <w:pPr>
        <w:spacing w:after="0" w:line="276" w:lineRule="auto"/>
        <w:ind w:firstLine="709"/>
        <w:jc w:val="both"/>
        <w:rPr>
          <w:rFonts w:ascii="Verdana" w:eastAsia="Aptos" w:hAnsi="Verdana" w:cs="Times New Roman"/>
          <w:kern w:val="2"/>
          <w:lang w:val="es-ES_tradnl"/>
          <w14:ligatures w14:val="standardContextual"/>
        </w:rPr>
      </w:pPr>
      <w:r w:rsidRPr="000E3953">
        <w:rPr>
          <w:rFonts w:ascii="Verdana" w:eastAsia="Aptos" w:hAnsi="Verdana" w:cs="Times New Roman"/>
          <w:kern w:val="2"/>
          <w:lang w:val="es-ES_tradnl"/>
          <w14:ligatures w14:val="standardContextual"/>
        </w:rPr>
        <w:t>Como puede apreciarse, su propósito principal es incluirlas como “Especificaciones Generales de Construcción”, permitiendo así su implementación en la infraestructura de transporte en Colombia, tal y como se indica en su artículo segundo:</w:t>
      </w:r>
    </w:p>
    <w:p w14:paraId="151871E3" w14:textId="77777777" w:rsidR="000E3953" w:rsidRPr="000E3953" w:rsidRDefault="000E3953" w:rsidP="000E3953">
      <w:pPr>
        <w:spacing w:after="0" w:line="276" w:lineRule="auto"/>
        <w:jc w:val="both"/>
        <w:rPr>
          <w:rFonts w:ascii="Verdana" w:eastAsia="Aptos" w:hAnsi="Verdana" w:cs="Times New Roman"/>
          <w:kern w:val="2"/>
          <w:lang w:val="es-ES_tradnl"/>
          <w14:ligatures w14:val="standardContextual"/>
        </w:rPr>
      </w:pPr>
    </w:p>
    <w:p w14:paraId="65D5D220" w14:textId="77777777" w:rsidR="000E3953" w:rsidRPr="000E3953" w:rsidRDefault="000E3953" w:rsidP="000E3953">
      <w:pPr>
        <w:spacing w:after="0" w:line="240" w:lineRule="auto"/>
        <w:ind w:left="709" w:right="709"/>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kern w:val="2"/>
          <w:sz w:val="21"/>
          <w:szCs w:val="21"/>
          <w:lang w:val="es-ES_tradnl"/>
          <w14:ligatures w14:val="standardContextual"/>
        </w:rPr>
        <w:t>“Adoptar la Normatividad Técnica para los proyectos de infraestructura de la Red Vial Nacional, tomando el documento denominado “ESPECIFICACIONES GENERALES DE CONSTRUCCIÓN DE CARRETERAS”, elaborado por el Instituto Nacional de Vías – INVIAS, e INCLUIR cuatro (4) artículos, quedando conformado por un total de Ciento Cinco (105), así […]”</w:t>
      </w:r>
    </w:p>
    <w:p w14:paraId="56EB0C76" w14:textId="77777777" w:rsidR="000E3953" w:rsidRPr="000E3953" w:rsidRDefault="000E3953" w:rsidP="000E3953">
      <w:pPr>
        <w:spacing w:after="0" w:line="276" w:lineRule="auto"/>
        <w:jc w:val="both"/>
        <w:rPr>
          <w:rFonts w:ascii="Verdana" w:eastAsia="Aptos" w:hAnsi="Verdana" w:cs="Times New Roman"/>
          <w:kern w:val="2"/>
          <w:lang w:val="es-ES_tradnl"/>
          <w14:ligatures w14:val="standardContextual"/>
        </w:rPr>
      </w:pPr>
    </w:p>
    <w:p w14:paraId="1249E7DB" w14:textId="77777777" w:rsidR="000E3953" w:rsidRPr="000E3953" w:rsidRDefault="000E3953" w:rsidP="000E3953">
      <w:pPr>
        <w:spacing w:after="120" w:line="276" w:lineRule="auto"/>
        <w:ind w:firstLine="709"/>
        <w:jc w:val="both"/>
        <w:rPr>
          <w:rFonts w:ascii="Verdana" w:eastAsia="Aptos" w:hAnsi="Verdana" w:cs="Times New Roman"/>
          <w:kern w:val="2"/>
          <w:lang w:val="es-ES_tradnl"/>
          <w14:ligatures w14:val="standardContextual"/>
        </w:rPr>
      </w:pPr>
      <w:r w:rsidRPr="000E3953">
        <w:rPr>
          <w:rFonts w:ascii="Verdana" w:eastAsia="Aptos" w:hAnsi="Verdana" w:cs="Times New Roman"/>
          <w:kern w:val="2"/>
          <w:lang w:val="es-ES_tradnl"/>
          <w14:ligatures w14:val="standardContextual"/>
        </w:rPr>
        <w:t xml:space="preserve">Esta resolución es similar a las Resoluciones 1376 de 2014 y 6044 de 2024 del INVIAS, que adoptan o ajustan las Especificaciones Generales de Construcción de Carreteras. Su aplicación se centra en la ejecución de las obras de Infraestructura de Transporte, por lo que no resultaría práctico incluirlas en las matrices de experiencia del sector como actividades particulares por su extenso contenido. </w:t>
      </w:r>
    </w:p>
    <w:p w14:paraId="38507FFF" w14:textId="77777777" w:rsidR="000E3953" w:rsidRPr="000E3953" w:rsidRDefault="000E3953" w:rsidP="000E3953">
      <w:pPr>
        <w:spacing w:after="0" w:line="276" w:lineRule="auto"/>
        <w:ind w:firstLine="709"/>
        <w:jc w:val="both"/>
        <w:rPr>
          <w:rFonts w:ascii="Verdana" w:eastAsia="Aptos" w:hAnsi="Verdana" w:cs="Times New Roman"/>
          <w:kern w:val="2"/>
          <w:lang w:val="es-ES_tradnl"/>
          <w14:ligatures w14:val="standardContextual"/>
        </w:rPr>
      </w:pPr>
      <w:r w:rsidRPr="000E3953">
        <w:rPr>
          <w:rFonts w:ascii="Verdana" w:eastAsia="Aptos" w:hAnsi="Verdana" w:cs="Times New Roman"/>
          <w:kern w:val="2"/>
          <w:lang w:val="es-ES_tradnl"/>
          <w14:ligatures w14:val="standardContextual"/>
        </w:rPr>
        <w:t xml:space="preserve">En las mesas de trabajo que se realizaron con el propio INVIAS para la modificación de los documentos tipo del sector transporte, no fue necesario discutirlas. En este sentido, las Entidades Estatales que adelanten procesos de </w:t>
      </w:r>
      <w:r w:rsidRPr="000E3953">
        <w:rPr>
          <w:rFonts w:ascii="Verdana" w:eastAsia="Aptos" w:hAnsi="Verdana" w:cs="Times New Roman"/>
          <w:kern w:val="2"/>
          <w:lang w:val="es-ES_tradnl"/>
          <w14:ligatures w14:val="standardContextual"/>
        </w:rPr>
        <w:lastRenderedPageBreak/>
        <w:t>selección pueden agregar estas especificaciones técnicas en el Anexo 1 “</w:t>
      </w:r>
      <w:r w:rsidRPr="000E3953">
        <w:rPr>
          <w:rFonts w:ascii="Verdana" w:eastAsia="Aptos" w:hAnsi="Verdana" w:cs="Times New Roman"/>
          <w:i/>
          <w:iCs/>
          <w:kern w:val="2"/>
          <w:lang w:val="es-ES_tradnl"/>
          <w14:ligatures w14:val="standardContextual"/>
        </w:rPr>
        <w:t>ANEXO TÉCNICO LICITACIÓN DE OBRA PÚBLICA DE INFRAESTRUCTURA DE TRANSPORTE (VERSIÓN 4</w:t>
      </w:r>
      <w:r w:rsidRPr="000E3953">
        <w:rPr>
          <w:rFonts w:ascii="Verdana" w:eastAsia="Aptos" w:hAnsi="Verdana" w:cs="Times New Roman"/>
          <w:kern w:val="2"/>
          <w:lang w:val="es-ES_tradnl"/>
          <w14:ligatures w14:val="standardContextual"/>
        </w:rPr>
        <w:t>)” de los documentos tipo, que en su “</w:t>
      </w:r>
      <w:r w:rsidRPr="000E3953">
        <w:rPr>
          <w:rFonts w:ascii="Verdana" w:eastAsia="Aptos" w:hAnsi="Verdana" w:cs="Times New Roman"/>
          <w:i/>
          <w:iCs/>
          <w:kern w:val="2"/>
          <w:lang w:val="es-ES_tradnl"/>
          <w14:ligatures w14:val="standardContextual"/>
        </w:rPr>
        <w:t>Capítulo 12 - Notas Técnicas específicas para el proyecto”,</w:t>
      </w:r>
      <w:r w:rsidRPr="000E3953">
        <w:rPr>
          <w:rFonts w:ascii="Verdana" w:eastAsia="Aptos" w:hAnsi="Verdana" w:cs="Times New Roman"/>
          <w:kern w:val="2"/>
          <w:lang w:val="es-ES_tradnl"/>
          <w14:ligatures w14:val="standardContextual"/>
        </w:rPr>
        <w:t xml:space="preserve"> indica:</w:t>
      </w:r>
    </w:p>
    <w:p w14:paraId="034B1F66" w14:textId="77777777" w:rsidR="000E3953" w:rsidRPr="000E3953" w:rsidRDefault="000E3953" w:rsidP="000E3953">
      <w:pPr>
        <w:spacing w:after="0" w:line="276" w:lineRule="auto"/>
        <w:jc w:val="both"/>
        <w:rPr>
          <w:rFonts w:ascii="Verdana" w:eastAsia="Aptos" w:hAnsi="Verdana" w:cs="Times New Roman"/>
          <w:kern w:val="2"/>
          <w:lang w:val="es-ES_tradnl"/>
          <w14:ligatures w14:val="standardContextual"/>
        </w:rPr>
      </w:pPr>
    </w:p>
    <w:p w14:paraId="740043A6" w14:textId="77777777" w:rsidR="000E3953" w:rsidRPr="000E3953" w:rsidRDefault="000E3953" w:rsidP="000E3953">
      <w:pPr>
        <w:spacing w:after="0" w:line="240" w:lineRule="auto"/>
        <w:ind w:left="709" w:right="709"/>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kern w:val="2"/>
          <w:sz w:val="21"/>
          <w:szCs w:val="21"/>
          <w:lang w:val="es-ES_tradnl"/>
          <w14:ligatures w14:val="standardContextual"/>
        </w:rPr>
        <w:t>“[</w:t>
      </w:r>
      <w:r w:rsidRPr="000E3953">
        <w:rPr>
          <w:rFonts w:ascii="Verdana" w:eastAsia="Aptos" w:hAnsi="Verdana" w:cs="Times New Roman"/>
          <w:kern w:val="2"/>
          <w:sz w:val="21"/>
          <w:szCs w:val="21"/>
          <w:highlight w:val="lightGray"/>
          <w:lang w:val="es-ES_tradnl"/>
          <w14:ligatures w14:val="standardContextual"/>
        </w:rPr>
        <w:t>La entidad debe verificar si aplican directrices técnicas particulares. Por ejemplo: Especificaciones Generales de Construcción del INVÍAS vigentes</w:t>
      </w:r>
      <w:r w:rsidRPr="000E3953">
        <w:rPr>
          <w:rFonts w:ascii="Verdana" w:eastAsia="Aptos" w:hAnsi="Verdana" w:cs="Times New Roman"/>
          <w:kern w:val="2"/>
          <w:sz w:val="21"/>
          <w:szCs w:val="21"/>
          <w:lang w:val="es-ES_tradnl"/>
          <w14:ligatures w14:val="standardContextual"/>
        </w:rPr>
        <w:t>]”</w:t>
      </w:r>
    </w:p>
    <w:p w14:paraId="49302EF8" w14:textId="77777777" w:rsidR="000E3953" w:rsidRPr="000E3953" w:rsidRDefault="000E3953" w:rsidP="000E3953">
      <w:pPr>
        <w:spacing w:after="0" w:line="276" w:lineRule="auto"/>
        <w:jc w:val="both"/>
        <w:rPr>
          <w:rFonts w:ascii="Verdana" w:eastAsia="Aptos" w:hAnsi="Verdana" w:cs="Times New Roman"/>
          <w:kern w:val="2"/>
          <w:lang w:val="es-ES_tradnl"/>
          <w14:ligatures w14:val="standardContextual"/>
        </w:rPr>
      </w:pPr>
    </w:p>
    <w:p w14:paraId="5886ADA5" w14:textId="77777777" w:rsidR="000E3953" w:rsidRPr="000E3953" w:rsidRDefault="000E3953" w:rsidP="000E3953">
      <w:pPr>
        <w:spacing w:after="0" w:line="276" w:lineRule="auto"/>
        <w:ind w:firstLine="709"/>
        <w:jc w:val="both"/>
        <w:rPr>
          <w:rFonts w:ascii="Verdana" w:eastAsia="Aptos" w:hAnsi="Verdana" w:cs="Times New Roman"/>
          <w:kern w:val="2"/>
          <w:lang w:val="es-ES_tradnl"/>
          <w14:ligatures w14:val="standardContextual"/>
        </w:rPr>
      </w:pPr>
      <w:r w:rsidRPr="000E3953">
        <w:rPr>
          <w:rFonts w:ascii="Verdana" w:eastAsia="Aptos" w:hAnsi="Verdana" w:cs="Times New Roman"/>
          <w:kern w:val="2"/>
          <w:lang w:val="es-ES_tradnl"/>
          <w14:ligatures w14:val="standardContextual"/>
        </w:rPr>
        <w:t xml:space="preserve">Por otro parte, es importante mencionar que los documentos tipo expedidos por la Agencia, deben ser adoptados cuando las actividades requeridas por las Entidades Estatales están incluidas en la matriz de experiencia. Sin embargo, si excepcionalmente las entidades necesitan incluir “experiencia adicional” para garantizar la idoneidad técnica de los proponentes en procesos de selección, pueden seguir lo descrito en el literal H del numeral </w:t>
      </w:r>
      <w:r w:rsidRPr="000E3953">
        <w:rPr>
          <w:rFonts w:ascii="Verdana" w:eastAsia="Aptos" w:hAnsi="Verdana" w:cs="Times New Roman"/>
          <w:i/>
          <w:iCs/>
          <w:kern w:val="2"/>
          <w:lang w:val="es-ES_tradnl"/>
          <w14:ligatures w14:val="standardContextual"/>
        </w:rPr>
        <w:t>3.5.2 “CARACTERÍSTICAS DE LOS CONTRATOS PRESENTADOS PARA ACREDITAR LA EXPERIENCIA EXIGIDA”</w:t>
      </w:r>
      <w:r w:rsidRPr="000E3953">
        <w:rPr>
          <w:rFonts w:ascii="Verdana" w:eastAsia="Aptos" w:hAnsi="Verdana" w:cs="Times New Roman"/>
          <w:kern w:val="2"/>
          <w:lang w:val="es-ES_tradnl"/>
          <w14:ligatures w14:val="standardContextual"/>
        </w:rPr>
        <w:t xml:space="preserve"> del documento base del sector transporte, que establece:</w:t>
      </w:r>
    </w:p>
    <w:p w14:paraId="41C06CB5" w14:textId="77777777" w:rsidR="000E3953" w:rsidRPr="000E3953" w:rsidRDefault="000E3953" w:rsidP="000E3953">
      <w:pPr>
        <w:spacing w:after="0" w:line="276" w:lineRule="auto"/>
        <w:jc w:val="both"/>
        <w:rPr>
          <w:rFonts w:ascii="Verdana" w:eastAsia="Aptos" w:hAnsi="Verdana" w:cs="Times New Roman"/>
          <w:kern w:val="2"/>
          <w:lang w:val="es-ES_tradnl"/>
          <w14:ligatures w14:val="standardContextual"/>
        </w:rPr>
      </w:pPr>
    </w:p>
    <w:p w14:paraId="0E172676" w14:textId="77777777" w:rsidR="000E3953" w:rsidRPr="000E3953" w:rsidRDefault="000E3953" w:rsidP="000E3953">
      <w:pPr>
        <w:snapToGrid w:val="0"/>
        <w:spacing w:after="0" w:line="240" w:lineRule="auto"/>
        <w:ind w:left="709" w:right="709"/>
        <w:jc w:val="both"/>
        <w:rPr>
          <w:rFonts w:ascii="Verdana" w:eastAsia="Times New Roman" w:hAnsi="Verdana" w:cs="Arial"/>
          <w:color w:val="000000"/>
          <w:sz w:val="21"/>
          <w:szCs w:val="21"/>
          <w:lang w:val="es-ES_tradnl" w:eastAsia="es-ES"/>
        </w:rPr>
      </w:pPr>
      <w:r w:rsidRPr="000E3953">
        <w:rPr>
          <w:rFonts w:ascii="Verdana" w:eastAsia="Aptos" w:hAnsi="Verdana" w:cs="Calibri"/>
          <w:color w:val="000000"/>
          <w:sz w:val="21"/>
          <w:szCs w:val="21"/>
          <w:lang w:val="es-MX"/>
        </w:rPr>
        <w:t>“</w:t>
      </w:r>
      <w:r w:rsidRPr="000E3953">
        <w:rPr>
          <w:rFonts w:ascii="Verdana" w:eastAsia="Aptos" w:hAnsi="Verdana" w:cs="Calibri"/>
          <w:color w:val="000000"/>
          <w:sz w:val="21"/>
          <w:szCs w:val="21"/>
          <w:highlight w:val="lightGray"/>
          <w:lang w:val="es-MX"/>
        </w:rPr>
        <w:t>[</w:t>
      </w:r>
      <w:r w:rsidRPr="000E3953">
        <w:rPr>
          <w:rFonts w:ascii="Verdana" w:eastAsia="Times New Roman" w:hAnsi="Verdana" w:cs="Calibri"/>
          <w:color w:val="000000"/>
          <w:sz w:val="21"/>
          <w:szCs w:val="21"/>
          <w:highlight w:val="lightGray"/>
          <w:lang w:val="es-MX" w:eastAsia="es-ES"/>
        </w:rPr>
        <w:t xml:space="preserve">Cuando el objeto contractual incluya bienes o servicios ajenos a la obra pública de infraestructura de transporte y de manera excepcional se requiere incluir experiencia adicional para evaluar la idoneidad respecto de dichos bienes o servicios, la Entidad </w:t>
      </w:r>
      <w:r w:rsidRPr="000E3953">
        <w:rPr>
          <w:rFonts w:ascii="Verdana" w:eastAsia="Times New Roman" w:hAnsi="Verdana" w:cs="Calibri"/>
          <w:color w:val="000000"/>
          <w:sz w:val="21"/>
          <w:szCs w:val="21"/>
          <w:highlight w:val="lightGray"/>
          <w:lang w:val="es-ES_tradnl" w:eastAsia="es-ES"/>
        </w:rPr>
        <w:t>verificará si estos están incorporados en otros Documentos Tipo. En este caso, la Entidad observará las reglas de combinación de experiencia definidas en el literal A) de este numeral y, por tanto, la Entidad no podrá definir requisitos de experiencia distintos a los determinados por esta Agencia.</w:t>
      </w:r>
      <w:r w:rsidRPr="000E3953">
        <w:rPr>
          <w:rFonts w:ascii="Verdana" w:eastAsia="Times New Roman" w:hAnsi="Verdana" w:cs="Calibri"/>
          <w:color w:val="000000"/>
          <w:sz w:val="21"/>
          <w:szCs w:val="21"/>
          <w:highlight w:val="lightGray"/>
          <w:lang w:val="es-MX" w:eastAsia="es-ES"/>
        </w:rPr>
        <w:t xml:space="preserve"> En todo caso, si el objeto contractual contempla bienes o servicios ajenos que no están </w:t>
      </w:r>
      <w:r w:rsidRPr="000E3953">
        <w:rPr>
          <w:rFonts w:ascii="Verdana" w:eastAsia="Times New Roman" w:hAnsi="Verdana" w:cs="Calibri"/>
          <w:color w:val="000000"/>
          <w:sz w:val="21"/>
          <w:szCs w:val="21"/>
          <w:lang w:val="es-MX" w:eastAsia="es-ES"/>
        </w:rPr>
        <w:t>regulados en los Documentos Tipo, la Entidad Estatal aplicará los parámetros del artículo 4 de la Resolución 465 de 2024</w:t>
      </w:r>
      <w:r w:rsidRPr="000E3953">
        <w:rPr>
          <w:rFonts w:ascii="Verdana" w:eastAsia="Times New Roman" w:hAnsi="Verdana" w:cs="Arial"/>
          <w:color w:val="000000"/>
          <w:sz w:val="21"/>
          <w:szCs w:val="21"/>
          <w:lang w:val="es-MX" w:eastAsia="es-ES"/>
        </w:rPr>
        <w:t>. […]</w:t>
      </w:r>
      <w:r w:rsidRPr="000E3953">
        <w:rPr>
          <w:rFonts w:ascii="Verdana" w:eastAsia="Times New Roman" w:hAnsi="Verdana" w:cs="Arial"/>
          <w:color w:val="000000"/>
          <w:sz w:val="21"/>
          <w:szCs w:val="21"/>
          <w:lang w:val="es-ES_tradnl" w:eastAsia="es-ES"/>
        </w:rPr>
        <w:t>”</w:t>
      </w:r>
    </w:p>
    <w:p w14:paraId="292B3404" w14:textId="77777777" w:rsidR="000E3953" w:rsidRPr="000E3953" w:rsidRDefault="000E3953" w:rsidP="000E3953">
      <w:pPr>
        <w:spacing w:after="120" w:line="276" w:lineRule="auto"/>
        <w:ind w:left="1070"/>
        <w:contextualSpacing/>
        <w:jc w:val="both"/>
        <w:rPr>
          <w:rFonts w:ascii="Verdana" w:eastAsia="Calibri" w:hAnsi="Verdana" w:cs="Arial"/>
          <w:color w:val="000000"/>
          <w:lang w:val="es-ES_tradnl" w:eastAsia="es-ES"/>
        </w:rPr>
      </w:pPr>
    </w:p>
    <w:p w14:paraId="79774B4D" w14:textId="77777777" w:rsidR="000E3953" w:rsidRPr="000E3953" w:rsidRDefault="000E3953" w:rsidP="000E3953">
      <w:pPr>
        <w:spacing w:after="0" w:line="276" w:lineRule="auto"/>
        <w:ind w:firstLine="709"/>
        <w:contextualSpacing/>
        <w:jc w:val="both"/>
        <w:rPr>
          <w:rFonts w:ascii="Verdana" w:eastAsia="Aptos" w:hAnsi="Verdana" w:cs="Times New Roman"/>
          <w:kern w:val="2"/>
          <w:lang w:val="es-ES_tradnl"/>
          <w14:ligatures w14:val="standardContextual"/>
        </w:rPr>
      </w:pPr>
      <w:r w:rsidRPr="000E3953">
        <w:rPr>
          <w:rFonts w:ascii="Verdana" w:eastAsia="Aptos" w:hAnsi="Verdana" w:cs="Times New Roman"/>
          <w:kern w:val="2"/>
          <w:lang w:val="es-ES_tradnl"/>
          <w14:ligatures w14:val="standardContextual"/>
        </w:rPr>
        <w:t>Adicionalmente, debe considerarse lo establecido en el literal H del documento base, ya mencionado con anterioridad, que señala:</w:t>
      </w:r>
    </w:p>
    <w:p w14:paraId="7090BE9C" w14:textId="77777777" w:rsidR="000E3953" w:rsidRPr="000E3953" w:rsidRDefault="000E3953" w:rsidP="000E3953">
      <w:pPr>
        <w:spacing w:after="120" w:line="276" w:lineRule="auto"/>
        <w:contextualSpacing/>
        <w:jc w:val="both"/>
        <w:rPr>
          <w:rFonts w:ascii="Verdana" w:eastAsia="Aptos" w:hAnsi="Verdana" w:cs="Times New Roman"/>
          <w:kern w:val="2"/>
          <w:lang w:val="es-ES_tradnl"/>
          <w14:ligatures w14:val="standardContextual"/>
        </w:rPr>
      </w:pPr>
    </w:p>
    <w:p w14:paraId="7BED4767" w14:textId="77777777" w:rsidR="000E3953" w:rsidRPr="000E3953" w:rsidRDefault="000E3953" w:rsidP="000E3953">
      <w:pPr>
        <w:spacing w:after="120" w:line="240" w:lineRule="auto"/>
        <w:ind w:left="709" w:right="709"/>
        <w:jc w:val="both"/>
        <w:rPr>
          <w:rFonts w:ascii="Verdana" w:eastAsia="Times New Roman" w:hAnsi="Verdana" w:cs="Aptos"/>
          <w:color w:val="000000"/>
          <w:sz w:val="21"/>
          <w:szCs w:val="21"/>
          <w:highlight w:val="lightGray"/>
          <w:lang w:val="es-MX" w:eastAsia="es-ES"/>
        </w:rPr>
      </w:pPr>
      <w:r w:rsidRPr="000E3953">
        <w:rPr>
          <w:rFonts w:ascii="Verdana" w:eastAsia="Times New Roman" w:hAnsi="Verdana" w:cs="Aptos"/>
          <w:color w:val="000000"/>
          <w:sz w:val="21"/>
          <w:szCs w:val="21"/>
          <w:lang w:val="es-MX" w:eastAsia="es-ES"/>
        </w:rPr>
        <w:t>“</w:t>
      </w:r>
      <w:r w:rsidRPr="000E3953">
        <w:rPr>
          <w:rFonts w:ascii="Verdana" w:eastAsia="Times New Roman" w:hAnsi="Verdana" w:cs="Aptos"/>
          <w:color w:val="000000"/>
          <w:sz w:val="21"/>
          <w:szCs w:val="21"/>
          <w:highlight w:val="lightGray"/>
          <w:lang w:val="es-MX" w:eastAsia="es-ES"/>
        </w:rPr>
        <w:t>[…] la Entidad no puede requerir experiencia adicional que incluya volúmenes o cantidades de obra específica expresada en SMMLV.</w:t>
      </w:r>
    </w:p>
    <w:p w14:paraId="58D92770" w14:textId="77777777" w:rsidR="000E3953" w:rsidRPr="000E3953" w:rsidRDefault="000E3953" w:rsidP="000E3953">
      <w:pPr>
        <w:spacing w:after="120" w:line="240" w:lineRule="auto"/>
        <w:ind w:left="709" w:right="709"/>
        <w:jc w:val="both"/>
        <w:rPr>
          <w:rFonts w:ascii="Verdana" w:eastAsia="Aptos" w:hAnsi="Verdana" w:cs="Aptos"/>
          <w:color w:val="000000"/>
          <w:sz w:val="21"/>
          <w:szCs w:val="21"/>
          <w:lang w:val="es-MX"/>
        </w:rPr>
      </w:pPr>
      <w:r w:rsidRPr="000E3953">
        <w:rPr>
          <w:rFonts w:ascii="Verdana" w:eastAsia="Times New Roman" w:hAnsi="Verdana" w:cs="Aptos"/>
          <w:color w:val="000000"/>
          <w:sz w:val="21"/>
          <w:szCs w:val="21"/>
          <w:highlight w:val="lightGray"/>
          <w:lang w:val="es-MX" w:eastAsia="es-ES"/>
        </w:rPr>
        <w:t xml:space="preserve">La Entidad tampoco puede exigir experiencia general o específica adicional a la señalada en la Matriz 1 – Experiencia relacionada con </w:t>
      </w:r>
      <w:r w:rsidRPr="000E3953">
        <w:rPr>
          <w:rFonts w:ascii="Verdana" w:eastAsia="Times New Roman" w:hAnsi="Verdana" w:cs="Aptos"/>
          <w:color w:val="000000"/>
          <w:sz w:val="21"/>
          <w:szCs w:val="21"/>
          <w:highlight w:val="lightGray"/>
          <w:lang w:val="es-MX" w:eastAsia="es-ES"/>
        </w:rPr>
        <w:lastRenderedPageBreak/>
        <w:t>Planes de Manejo Ambiental, Planes de Manejo de Tránsito o el Plan de Adaptación de la Guía Ambiental, porque no son bienes o servicios ajenos a la obra pública de infraestructura de transporte]</w:t>
      </w:r>
    </w:p>
    <w:p w14:paraId="1DCAD89E" w14:textId="77777777" w:rsidR="000E3953" w:rsidRPr="000E3953" w:rsidRDefault="000E3953" w:rsidP="000E3953">
      <w:pPr>
        <w:spacing w:after="120" w:line="240" w:lineRule="auto"/>
        <w:ind w:left="709" w:right="709"/>
        <w:jc w:val="both"/>
        <w:rPr>
          <w:rFonts w:ascii="Verdana" w:eastAsia="Times New Roman" w:hAnsi="Verdana" w:cs="Aptos"/>
          <w:color w:val="000000"/>
          <w:sz w:val="21"/>
          <w:szCs w:val="21"/>
          <w:highlight w:val="lightGray"/>
          <w:lang w:val="es-MX" w:eastAsia="es-ES"/>
        </w:rPr>
      </w:pPr>
      <w:r w:rsidRPr="000E3953">
        <w:rPr>
          <w:rFonts w:ascii="Verdana" w:eastAsia="Times New Roman" w:hAnsi="Verdana" w:cs="Aptos"/>
          <w:color w:val="000000"/>
          <w:sz w:val="21"/>
          <w:szCs w:val="21"/>
          <w:highlight w:val="lightGray"/>
          <w:lang w:val="es-MX" w:eastAsia="es-ES"/>
        </w:rPr>
        <w:t xml:space="preserve">Nota: Lo anterior sin perjuicio de la obligación que tienen las entidades de cumplir con unos requisitos mínimos frente a las “obras ajenas a la infraestructura de transporte”, los cuales deben ser claramente consignados en los estudios previos, en caso que se considere su pertinencia y con fundamento en aspectos de conveniencia técnicos y económicos suficientes que determinen que la experiencia incluida en documentos tipo existentes es insuficiente de cara a la complejidad o grado de especialidad que comporta el objeto a contratar. </w:t>
      </w:r>
    </w:p>
    <w:p w14:paraId="09E4F294" w14:textId="77777777" w:rsidR="000E3953" w:rsidRPr="000E3953" w:rsidRDefault="000E3953" w:rsidP="000E3953">
      <w:pPr>
        <w:spacing w:after="0" w:line="240" w:lineRule="auto"/>
        <w:ind w:left="709" w:right="709"/>
        <w:jc w:val="both"/>
        <w:rPr>
          <w:rFonts w:ascii="Verdana" w:eastAsia="Times New Roman" w:hAnsi="Verdana" w:cs="Aptos"/>
          <w:color w:val="000000"/>
          <w:sz w:val="21"/>
          <w:szCs w:val="21"/>
          <w:highlight w:val="lightGray"/>
          <w:lang w:val="es-MX" w:eastAsia="es-ES"/>
        </w:rPr>
      </w:pPr>
      <w:r w:rsidRPr="000E3953">
        <w:rPr>
          <w:rFonts w:ascii="Verdana" w:eastAsia="Times New Roman" w:hAnsi="Verdana" w:cs="Aptos"/>
          <w:color w:val="000000"/>
          <w:sz w:val="21"/>
          <w:szCs w:val="21"/>
          <w:highlight w:val="lightGray"/>
          <w:lang w:val="es-MX" w:eastAsia="es-ES"/>
        </w:rPr>
        <w:t>La entidad debe demostrar que la experiencia adicional, “obra ajena a la infraestructura de Transporte”, no se encuentra incluida en las matrices de los sectores adoptados por la Agencia y adicionalmente, que esta experiencia requerida responde a las condiciones de mercado, específicamente a las características del proceso de selección a contratar, las cuales deberían estar consignadas en el respectivo estudio de mercado y con la consideración de usar los Documentos Tipo.</w:t>
      </w:r>
      <w:r w:rsidRPr="000E3953">
        <w:rPr>
          <w:rFonts w:ascii="Verdana" w:eastAsia="Times New Roman" w:hAnsi="Verdana" w:cs="Aptos"/>
          <w:color w:val="000000"/>
          <w:sz w:val="21"/>
          <w:szCs w:val="21"/>
          <w:lang w:val="es-MX" w:eastAsia="es-ES"/>
        </w:rPr>
        <w:t>”</w:t>
      </w:r>
    </w:p>
    <w:p w14:paraId="2F3ACEB0" w14:textId="77777777" w:rsidR="000E3953" w:rsidRPr="000E3953" w:rsidRDefault="000E3953" w:rsidP="000E3953">
      <w:pPr>
        <w:spacing w:after="0" w:line="276" w:lineRule="auto"/>
        <w:jc w:val="both"/>
        <w:rPr>
          <w:rFonts w:ascii="Verdana" w:eastAsia="Aptos" w:hAnsi="Verdana" w:cs="Times New Roman"/>
          <w:kern w:val="2"/>
          <w:lang w:val="es-ES_tradnl"/>
          <w14:ligatures w14:val="standardContextual"/>
        </w:rPr>
      </w:pPr>
    </w:p>
    <w:p w14:paraId="7E18153E" w14:textId="77777777" w:rsidR="000E3953" w:rsidRPr="000E3953" w:rsidRDefault="000E3953" w:rsidP="000E3953">
      <w:pPr>
        <w:spacing w:after="0" w:line="276" w:lineRule="auto"/>
        <w:ind w:firstLine="709"/>
        <w:jc w:val="both"/>
        <w:rPr>
          <w:rFonts w:ascii="Verdana" w:eastAsia="Aptos" w:hAnsi="Verdana" w:cs="Times New Roman"/>
          <w:kern w:val="2"/>
          <w:lang w:val="es-ES_tradnl"/>
          <w14:ligatures w14:val="standardContextual"/>
        </w:rPr>
      </w:pPr>
      <w:r w:rsidRPr="000E3953">
        <w:rPr>
          <w:rFonts w:ascii="Verdana" w:eastAsia="Aptos" w:hAnsi="Verdana" w:cs="Times New Roman"/>
          <w:kern w:val="2"/>
          <w:lang w:val="es-ES_tradnl"/>
          <w14:ligatures w14:val="standardContextual"/>
        </w:rPr>
        <w:t>Finalmente, es importante indicar que la Resolución 455 del 10 de septiembre de 2024, "</w:t>
      </w:r>
      <w:r w:rsidRPr="000E3953">
        <w:rPr>
          <w:rFonts w:ascii="Verdana" w:eastAsia="Aptos" w:hAnsi="Verdana" w:cs="Times New Roman"/>
          <w:i/>
          <w:iCs/>
          <w:kern w:val="2"/>
          <w:lang w:val="es-ES_tradnl"/>
          <w14:ligatures w14:val="standardContextual"/>
        </w:rPr>
        <w:t>Por la cual se adopta la versión 4 de los Documentos Tipo para los procesos de selección de licitación de obra pública del sector de infraestructura de transporte y se deroga la Resolución 240 de 2020”,</w:t>
      </w:r>
      <w:r w:rsidRPr="000E3953">
        <w:rPr>
          <w:rFonts w:ascii="Verdana" w:eastAsia="Aptos" w:hAnsi="Verdana" w:cs="Times New Roman"/>
          <w:kern w:val="2"/>
          <w:lang w:val="es-ES_tradnl"/>
          <w14:ligatures w14:val="standardContextual"/>
        </w:rPr>
        <w:t xml:space="preserve"> incluye aclaraciones importantes sobre los “Bienes o servicios adicionales a la obra pública de infraestructura de transporte”. Así, el artículo 4 de la Resolución indica:</w:t>
      </w:r>
    </w:p>
    <w:p w14:paraId="7CF3ED85" w14:textId="77777777" w:rsidR="000E3953" w:rsidRPr="000E3953" w:rsidRDefault="000E3953" w:rsidP="000E3953">
      <w:pPr>
        <w:spacing w:after="120" w:line="276" w:lineRule="auto"/>
        <w:contextualSpacing/>
        <w:jc w:val="both"/>
        <w:rPr>
          <w:rFonts w:ascii="Verdana" w:eastAsia="Aptos" w:hAnsi="Verdana" w:cs="Times New Roman"/>
          <w:kern w:val="2"/>
          <w:lang w:val="es-ES_tradnl"/>
          <w14:ligatures w14:val="standardContextual"/>
        </w:rPr>
      </w:pPr>
    </w:p>
    <w:p w14:paraId="34EC0D37" w14:textId="77777777" w:rsidR="000E3953" w:rsidRPr="000E3953" w:rsidRDefault="000E3953" w:rsidP="000E3953">
      <w:pPr>
        <w:adjustRightInd w:val="0"/>
        <w:snapToGrid w:val="0"/>
        <w:spacing w:after="0" w:line="240" w:lineRule="auto"/>
        <w:ind w:left="709" w:right="709"/>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kern w:val="2"/>
          <w:sz w:val="21"/>
          <w:szCs w:val="21"/>
          <w:lang w:val="es-ES_tradnl"/>
          <w14:ligatures w14:val="standardContextual"/>
        </w:rPr>
        <w:t>“</w:t>
      </w:r>
      <w:r w:rsidRPr="000E3953">
        <w:rPr>
          <w:rFonts w:ascii="Verdana" w:eastAsia="Aptos" w:hAnsi="Verdana" w:cs="Times New Roman"/>
          <w:b/>
          <w:bCs/>
          <w:kern w:val="2"/>
          <w:sz w:val="21"/>
          <w:szCs w:val="21"/>
          <w:lang w:val="es-ES_tradnl"/>
          <w14:ligatures w14:val="standardContextual"/>
        </w:rPr>
        <w:t>Artículo 4. Obras, bienes o servicios adicionales a la obra pública de infraestructura de transporte.</w:t>
      </w:r>
      <w:r w:rsidRPr="000E3953">
        <w:rPr>
          <w:rFonts w:ascii="Verdana" w:eastAsia="Aptos" w:hAnsi="Verdana" w:cs="Times New Roman"/>
          <w:kern w:val="2"/>
          <w:sz w:val="21"/>
          <w:szCs w:val="21"/>
          <w:lang w:val="es-ES_tradnl"/>
          <w14:ligatures w14:val="standardContextual"/>
        </w:rPr>
        <w:t xml:space="preserve"> Cuando el objeto contractual incluya obras, bienes o servicios adicionales a la obra pública de infraestructura de transporte, la entidad estatal deberá aplicar los documentos tipo. Si de manera excepcional requiere incluir experiencia adicional para evaluar la idoneidad respecto de los bienes o servicios adicionales a la obra pública de infraestructura de transporte, deberá seguir los siguientes parámetros:</w:t>
      </w:r>
    </w:p>
    <w:p w14:paraId="5EC3C13C" w14:textId="77777777" w:rsidR="000E3953" w:rsidRPr="000E3953" w:rsidRDefault="000E3953" w:rsidP="000E3953">
      <w:pPr>
        <w:adjustRightInd w:val="0"/>
        <w:snapToGrid w:val="0"/>
        <w:spacing w:after="0" w:line="240" w:lineRule="auto"/>
        <w:ind w:left="709" w:right="709"/>
        <w:jc w:val="both"/>
        <w:rPr>
          <w:rFonts w:ascii="Verdana" w:eastAsia="Aptos" w:hAnsi="Verdana" w:cs="Times New Roman"/>
          <w:kern w:val="2"/>
          <w:sz w:val="21"/>
          <w:szCs w:val="21"/>
          <w:lang w:val="es-ES_tradnl"/>
          <w14:ligatures w14:val="standardContextual"/>
        </w:rPr>
      </w:pPr>
    </w:p>
    <w:p w14:paraId="16D8F4DD" w14:textId="77777777" w:rsidR="000E3953" w:rsidRPr="000E3953" w:rsidRDefault="000E3953" w:rsidP="000E3953">
      <w:pPr>
        <w:numPr>
          <w:ilvl w:val="0"/>
          <w:numId w:val="18"/>
        </w:numPr>
        <w:adjustRightInd w:val="0"/>
        <w:snapToGrid w:val="0"/>
        <w:spacing w:after="0" w:line="240" w:lineRule="auto"/>
        <w:ind w:left="709" w:right="709" w:firstLine="0"/>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kern w:val="2"/>
          <w:sz w:val="21"/>
          <w:szCs w:val="21"/>
          <w:lang w:val="es-ES_tradnl"/>
          <w14:ligatures w14:val="standardContextual"/>
        </w:rPr>
        <w:t xml:space="preserve">Demostrar en los estudios previos que ha verificado las condiciones de mercado para la contratación de las obras, bienes o servicios adicionales al componente de obra pública, de tal manera que la experiencia adicional que se exija para tales bienes o servicios </w:t>
      </w:r>
      <w:r w:rsidRPr="000E3953">
        <w:rPr>
          <w:rFonts w:ascii="Verdana" w:eastAsia="Aptos" w:hAnsi="Verdana" w:cs="Times New Roman"/>
          <w:kern w:val="2"/>
          <w:sz w:val="21"/>
          <w:szCs w:val="21"/>
          <w:lang w:val="es-ES_tradnl"/>
          <w14:ligatures w14:val="standardContextual"/>
        </w:rPr>
        <w:lastRenderedPageBreak/>
        <w:t>procure la pluralidad de oferentes y no limite la concurrencia al proceso de contratación.</w:t>
      </w:r>
    </w:p>
    <w:p w14:paraId="1C368280" w14:textId="77777777" w:rsidR="000E3953" w:rsidRPr="000E3953" w:rsidRDefault="000E3953" w:rsidP="000E3953">
      <w:pPr>
        <w:adjustRightInd w:val="0"/>
        <w:snapToGrid w:val="0"/>
        <w:spacing w:after="0" w:line="240" w:lineRule="auto"/>
        <w:ind w:left="709" w:right="709"/>
        <w:jc w:val="both"/>
        <w:rPr>
          <w:rFonts w:ascii="Verdana" w:eastAsia="Aptos" w:hAnsi="Verdana" w:cs="Times New Roman"/>
          <w:kern w:val="2"/>
          <w:sz w:val="21"/>
          <w:szCs w:val="21"/>
          <w:lang w:val="es-ES_tradnl"/>
          <w14:ligatures w14:val="standardContextual"/>
        </w:rPr>
      </w:pPr>
    </w:p>
    <w:p w14:paraId="72393586" w14:textId="77777777" w:rsidR="000E3953" w:rsidRPr="000E3953" w:rsidRDefault="000E3953" w:rsidP="000E3953">
      <w:pPr>
        <w:adjustRightInd w:val="0"/>
        <w:snapToGrid w:val="0"/>
        <w:spacing w:after="0" w:line="240" w:lineRule="auto"/>
        <w:ind w:left="709" w:right="709"/>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kern w:val="2"/>
          <w:sz w:val="21"/>
          <w:szCs w:val="21"/>
          <w:lang w:val="es-ES_tradnl"/>
          <w14:ligatures w14:val="standardContextual"/>
        </w:rPr>
        <w:t>Para tal efecto, la entidad realizará el estudio previo y el análisis del sector en los términos de los artículos 2.2.1.1.1.6.1 y 2.2.1.1.1.6.2 del Decreto 1082 de 2015, o la norma que los adicione, complemente o sustituya.</w:t>
      </w:r>
    </w:p>
    <w:p w14:paraId="17C74B65" w14:textId="77777777" w:rsidR="000E3953" w:rsidRPr="000E3953" w:rsidRDefault="000E3953" w:rsidP="000E3953">
      <w:pPr>
        <w:adjustRightInd w:val="0"/>
        <w:snapToGrid w:val="0"/>
        <w:spacing w:after="0" w:line="240" w:lineRule="auto"/>
        <w:ind w:right="709"/>
        <w:jc w:val="both"/>
        <w:rPr>
          <w:rFonts w:ascii="Verdana" w:eastAsia="Aptos" w:hAnsi="Verdana" w:cs="Times New Roman"/>
          <w:kern w:val="2"/>
          <w:sz w:val="21"/>
          <w:szCs w:val="21"/>
          <w:lang w:val="es-ES_tradnl"/>
          <w14:ligatures w14:val="standardContextual"/>
        </w:rPr>
      </w:pPr>
    </w:p>
    <w:p w14:paraId="53A422F4" w14:textId="77777777" w:rsidR="000E3953" w:rsidRPr="000E3953" w:rsidRDefault="000E3953" w:rsidP="000E3953">
      <w:pPr>
        <w:numPr>
          <w:ilvl w:val="0"/>
          <w:numId w:val="18"/>
        </w:numPr>
        <w:adjustRightInd w:val="0"/>
        <w:snapToGrid w:val="0"/>
        <w:spacing w:after="0" w:line="240" w:lineRule="auto"/>
        <w:ind w:left="709" w:right="709" w:firstLine="0"/>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kern w:val="2"/>
          <w:sz w:val="21"/>
          <w:szCs w:val="21"/>
          <w:lang w:val="es-ES_tradnl"/>
          <w14:ligatures w14:val="standardContextual"/>
        </w:rPr>
        <w:t>Conservar los requisitos exigidos en los documentos tipo.</w:t>
      </w:r>
    </w:p>
    <w:p w14:paraId="5ADDCC7F" w14:textId="77777777" w:rsidR="000E3953" w:rsidRPr="000E3953" w:rsidRDefault="000E3953" w:rsidP="000E3953">
      <w:pPr>
        <w:adjustRightInd w:val="0"/>
        <w:snapToGrid w:val="0"/>
        <w:spacing w:after="0" w:line="240" w:lineRule="auto"/>
        <w:ind w:right="709"/>
        <w:jc w:val="both"/>
        <w:rPr>
          <w:rFonts w:ascii="Verdana" w:eastAsia="Aptos" w:hAnsi="Verdana" w:cs="Times New Roman"/>
          <w:kern w:val="2"/>
          <w:sz w:val="21"/>
          <w:szCs w:val="21"/>
          <w:lang w:val="es-ES_tradnl"/>
          <w14:ligatures w14:val="standardContextual"/>
        </w:rPr>
      </w:pPr>
    </w:p>
    <w:p w14:paraId="09FB0685" w14:textId="77777777" w:rsidR="000E3953" w:rsidRPr="000E3953" w:rsidRDefault="000E3953" w:rsidP="000E3953">
      <w:pPr>
        <w:numPr>
          <w:ilvl w:val="0"/>
          <w:numId w:val="18"/>
        </w:numPr>
        <w:adjustRightInd w:val="0"/>
        <w:snapToGrid w:val="0"/>
        <w:spacing w:after="0" w:line="240" w:lineRule="auto"/>
        <w:ind w:left="709" w:right="709" w:firstLine="0"/>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kern w:val="2"/>
          <w:sz w:val="21"/>
          <w:szCs w:val="21"/>
          <w:lang w:val="es-ES_tradnl"/>
          <w14:ligatures w14:val="standardContextual"/>
        </w:rPr>
        <w:t>Abstenerse de pedir experiencia exclusiva con entidades estatales, experiencia previa en un territorio específico, limitada en el tiempo o que incluya volúmenes o cantidades de obra específica.</w:t>
      </w:r>
    </w:p>
    <w:p w14:paraId="7E35E2BF" w14:textId="77777777" w:rsidR="000E3953" w:rsidRPr="000E3953" w:rsidRDefault="000E3953" w:rsidP="000E3953">
      <w:pPr>
        <w:adjustRightInd w:val="0"/>
        <w:snapToGrid w:val="0"/>
        <w:spacing w:after="0" w:line="240" w:lineRule="auto"/>
        <w:ind w:right="709"/>
        <w:jc w:val="both"/>
        <w:rPr>
          <w:rFonts w:ascii="Verdana" w:eastAsia="Aptos" w:hAnsi="Verdana" w:cs="Times New Roman"/>
          <w:kern w:val="2"/>
          <w:sz w:val="21"/>
          <w:szCs w:val="21"/>
          <w:lang w:val="es-ES_tradnl"/>
          <w14:ligatures w14:val="standardContextual"/>
        </w:rPr>
      </w:pPr>
    </w:p>
    <w:p w14:paraId="7448AFB2" w14:textId="77777777" w:rsidR="000E3953" w:rsidRPr="000E3953" w:rsidRDefault="000E3953" w:rsidP="000E3953">
      <w:pPr>
        <w:numPr>
          <w:ilvl w:val="0"/>
          <w:numId w:val="18"/>
        </w:numPr>
        <w:adjustRightInd w:val="0"/>
        <w:snapToGrid w:val="0"/>
        <w:spacing w:after="0" w:line="240" w:lineRule="auto"/>
        <w:ind w:left="709" w:right="709" w:firstLine="0"/>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kern w:val="2"/>
          <w:sz w:val="21"/>
          <w:szCs w:val="21"/>
          <w:lang w:val="es-ES_tradnl"/>
          <w14:ligatures w14:val="standardContextual"/>
        </w:rPr>
        <w:t>Clasificar la experiencia requerida solo hasta el tercer nivel del Clasificador de Bienes y Servicios e incluir exclusivamente los códigos que estén relacionados directamente con el objeto a contratar.</w:t>
      </w:r>
    </w:p>
    <w:p w14:paraId="238938AD" w14:textId="77777777" w:rsidR="000E3953" w:rsidRPr="000E3953" w:rsidRDefault="000E3953" w:rsidP="000E3953">
      <w:pPr>
        <w:adjustRightInd w:val="0"/>
        <w:snapToGrid w:val="0"/>
        <w:spacing w:after="0" w:line="240" w:lineRule="auto"/>
        <w:ind w:left="709" w:right="709"/>
        <w:jc w:val="both"/>
        <w:rPr>
          <w:rFonts w:ascii="Verdana" w:eastAsia="Aptos" w:hAnsi="Verdana" w:cs="Times New Roman"/>
          <w:kern w:val="2"/>
          <w:sz w:val="21"/>
          <w:szCs w:val="21"/>
          <w:lang w:val="es-ES_tradnl"/>
          <w14:ligatures w14:val="standardContextual"/>
        </w:rPr>
      </w:pPr>
    </w:p>
    <w:p w14:paraId="625005CF" w14:textId="77777777" w:rsidR="000E3953" w:rsidRPr="000E3953" w:rsidRDefault="000E3953" w:rsidP="000E3953">
      <w:pPr>
        <w:adjustRightInd w:val="0"/>
        <w:snapToGrid w:val="0"/>
        <w:spacing w:after="0" w:line="240" w:lineRule="auto"/>
        <w:ind w:left="709" w:right="709"/>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b/>
          <w:bCs/>
          <w:kern w:val="2"/>
          <w:sz w:val="21"/>
          <w:szCs w:val="21"/>
          <w:lang w:val="es-ES_tradnl"/>
          <w14:ligatures w14:val="standardContextual"/>
        </w:rPr>
        <w:t>Parágrafo 1°.</w:t>
      </w:r>
      <w:r w:rsidRPr="000E3953">
        <w:rPr>
          <w:rFonts w:ascii="Verdana" w:eastAsia="Aptos" w:hAnsi="Verdana" w:cs="Times New Roman"/>
          <w:kern w:val="2"/>
          <w:sz w:val="21"/>
          <w:szCs w:val="21"/>
          <w:lang w:val="es-ES_tradnl"/>
          <w14:ligatures w14:val="standardContextual"/>
        </w:rPr>
        <w:t xml:space="preserve"> En los casos en que el objeto contractual incluya actividades que son abarcadas por otros documentos tipo, la Entidad Estatal aplicará las reglas de combinación de experiencia previstas en el numeral 3.5.2 del documento base.</w:t>
      </w:r>
    </w:p>
    <w:p w14:paraId="32FBC28C" w14:textId="77777777" w:rsidR="000E3953" w:rsidRPr="000E3953" w:rsidRDefault="000E3953" w:rsidP="000E3953">
      <w:pPr>
        <w:adjustRightInd w:val="0"/>
        <w:snapToGrid w:val="0"/>
        <w:spacing w:after="0" w:line="240" w:lineRule="auto"/>
        <w:ind w:left="709" w:right="709"/>
        <w:jc w:val="both"/>
        <w:rPr>
          <w:rFonts w:ascii="Verdana" w:eastAsia="Aptos" w:hAnsi="Verdana" w:cs="Times New Roman"/>
          <w:kern w:val="2"/>
          <w:sz w:val="21"/>
          <w:szCs w:val="21"/>
          <w:lang w:val="es-ES_tradnl"/>
          <w14:ligatures w14:val="standardContextual"/>
        </w:rPr>
      </w:pPr>
    </w:p>
    <w:p w14:paraId="7F63415C" w14:textId="77777777" w:rsidR="000E3953" w:rsidRPr="000E3953" w:rsidRDefault="000E3953" w:rsidP="000E3953">
      <w:pPr>
        <w:adjustRightInd w:val="0"/>
        <w:snapToGrid w:val="0"/>
        <w:spacing w:after="0" w:line="240" w:lineRule="auto"/>
        <w:ind w:left="709" w:right="709"/>
        <w:jc w:val="both"/>
        <w:rPr>
          <w:rFonts w:ascii="Verdana" w:eastAsia="Aptos" w:hAnsi="Verdana" w:cs="Times New Roman"/>
          <w:kern w:val="2"/>
          <w:sz w:val="21"/>
          <w:szCs w:val="21"/>
          <w:lang w:val="es-ES_tradnl"/>
          <w14:ligatures w14:val="standardContextual"/>
        </w:rPr>
      </w:pPr>
      <w:r w:rsidRPr="000E3953">
        <w:rPr>
          <w:rFonts w:ascii="Verdana" w:eastAsia="Aptos" w:hAnsi="Verdana" w:cs="Times New Roman"/>
          <w:b/>
          <w:bCs/>
          <w:kern w:val="2"/>
          <w:sz w:val="21"/>
          <w:szCs w:val="21"/>
          <w:lang w:val="es-ES_tradnl"/>
          <w14:ligatures w14:val="standardContextual"/>
        </w:rPr>
        <w:t>Parágrafo 2°.</w:t>
      </w:r>
      <w:r w:rsidRPr="000E3953">
        <w:rPr>
          <w:rFonts w:ascii="Verdana" w:eastAsia="Aptos" w:hAnsi="Verdana" w:cs="Times New Roman"/>
          <w:kern w:val="2"/>
          <w:sz w:val="21"/>
          <w:szCs w:val="21"/>
          <w:lang w:val="es-ES_tradnl"/>
          <w14:ligatures w14:val="standardContextual"/>
        </w:rPr>
        <w:t xml:space="preserve"> Para los efectos de este artículo se entiende por "obras, bienes o servicios adicionales" aquellas actividades que no están incluidas en la matriz de experiencia de los documentos tipo de infraestructura de transporte aplicable, pero que están relacionadas con el contrato a ejecutar. Por ejemplo, en caso de que el proyecto de obra pública a ejecutar esté relacionado con infraestructura de transporte, pero, además, con proyectos de agua potable y saneamiento básico o con proyectos de infraestructura social, el servicio adicional serán las actividades de obra pública en infraestructura de agua potable y saneamiento básico o las actividades de obra pública de infraestructura social”.</w:t>
      </w:r>
    </w:p>
    <w:p w14:paraId="1DCF51B9" w14:textId="77777777" w:rsidR="000E3953" w:rsidRPr="000E3953" w:rsidRDefault="000E3953" w:rsidP="000E3953">
      <w:pPr>
        <w:spacing w:after="120" w:line="276" w:lineRule="auto"/>
        <w:contextualSpacing/>
        <w:jc w:val="both"/>
        <w:rPr>
          <w:rFonts w:ascii="Verdana" w:eastAsia="Aptos" w:hAnsi="Verdana" w:cs="Times New Roman"/>
          <w:kern w:val="2"/>
          <w:lang w:val="es-ES_tradnl"/>
          <w14:ligatures w14:val="standardContextual"/>
        </w:rPr>
      </w:pPr>
    </w:p>
    <w:p w14:paraId="357EDDE1" w14:textId="77777777" w:rsidR="000E3953" w:rsidRPr="000E3953" w:rsidRDefault="000E3953" w:rsidP="000E3953">
      <w:pPr>
        <w:spacing w:after="0" w:line="276" w:lineRule="auto"/>
        <w:ind w:firstLine="709"/>
        <w:jc w:val="both"/>
        <w:rPr>
          <w:rFonts w:ascii="Verdana" w:eastAsia="Aptos" w:hAnsi="Verdana" w:cs="Times New Roman"/>
          <w:kern w:val="2"/>
          <w:lang w:val="es-ES_tradnl"/>
          <w14:ligatures w14:val="standardContextual"/>
        </w:rPr>
      </w:pPr>
      <w:r w:rsidRPr="000E3953">
        <w:rPr>
          <w:rFonts w:ascii="Verdana" w:eastAsia="Aptos" w:hAnsi="Verdana" w:cs="Times New Roman"/>
          <w:bCs/>
          <w:kern w:val="2"/>
          <w:lang w:val="es-ES_tradnl"/>
          <w14:ligatures w14:val="standardContextual"/>
        </w:rPr>
        <w:t>En conclusión, conforme a lo establecido en la Resolución 455 de 2024 expedida por esta Agencia, la inclusión de requisitos de experiencia adicionales que estén plenamente justificados</w:t>
      </w:r>
      <w:r w:rsidRPr="000E3953">
        <w:rPr>
          <w:rFonts w:ascii="Verdana" w:eastAsia="Aptos" w:hAnsi="Verdana" w:cs="Times New Roman"/>
          <w:kern w:val="2"/>
          <w:lang w:val="es-ES_tradnl"/>
          <w14:ligatures w14:val="standardContextual"/>
        </w:rPr>
        <w:t xml:space="preserve"> es aceptable, con la condición de que no se modifiquen los elementos contenidos en los documentos tipo y se garantice la pluralidad de oferentes y la libre concurrencia.</w:t>
      </w:r>
    </w:p>
    <w:p w14:paraId="5F12D901" w14:textId="77777777" w:rsidR="000E3953" w:rsidRPr="000E3953" w:rsidRDefault="000E3953" w:rsidP="000E3953">
      <w:pPr>
        <w:spacing w:after="0" w:line="276" w:lineRule="auto"/>
        <w:ind w:firstLine="709"/>
        <w:jc w:val="both"/>
        <w:rPr>
          <w:rFonts w:ascii="Verdana" w:eastAsia="Calibri" w:hAnsi="Verdana" w:cs="Arial"/>
          <w:color w:val="000000"/>
        </w:rPr>
      </w:pPr>
    </w:p>
    <w:p w14:paraId="711BD427" w14:textId="77777777" w:rsidR="000E3953" w:rsidRPr="000E3953" w:rsidRDefault="000E3953" w:rsidP="000E39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E3953">
        <w:rPr>
          <w:rFonts w:ascii="Verdana" w:eastAsia="Century Gothic" w:hAnsi="Verdana" w:cs="Century Gothic"/>
          <w:b/>
          <w:bCs/>
          <w:lang w:val="es-ES_tradnl"/>
        </w:rPr>
        <w:t>Referencias normativas, jurisprudenciales y otras fuentes:</w:t>
      </w:r>
    </w:p>
    <w:p w14:paraId="53A6BF5F" w14:textId="77777777" w:rsidR="000E3953" w:rsidRPr="000E3953" w:rsidRDefault="000E3953" w:rsidP="000E3953">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1"/>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0E3953" w:rsidRPr="000E3953" w14:paraId="6E8982FC" w14:textId="77777777" w:rsidTr="00FB249F">
        <w:trPr>
          <w:trHeight w:val="870"/>
        </w:trPr>
        <w:tc>
          <w:tcPr>
            <w:tcW w:w="8647" w:type="dxa"/>
          </w:tcPr>
          <w:p w14:paraId="3F088C3C" w14:textId="77777777" w:rsidR="000E3953" w:rsidRPr="000E3953" w:rsidRDefault="000E3953" w:rsidP="000E3953">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0E3953">
              <w:rPr>
                <w:rFonts w:ascii="Verdana" w:eastAsia="Calibri" w:hAnsi="Verdana" w:cs="Arial"/>
                <w:lang w:val="es-ES_tradnl"/>
              </w:rPr>
              <w:t>Ley 2022 de 2020, artículo 1.</w:t>
            </w:r>
          </w:p>
          <w:p w14:paraId="45F8A2C7" w14:textId="77777777" w:rsidR="000E3953" w:rsidRPr="000E3953" w:rsidRDefault="000E3953" w:rsidP="000E3953">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0E3953">
              <w:rPr>
                <w:rFonts w:ascii="Verdana" w:eastAsia="Aptos" w:hAnsi="Verdana" w:cs="Arial"/>
                <w:lang w:val="es-ES_tradnl"/>
              </w:rPr>
              <w:t xml:space="preserve">Documentos tipo de infraestructura de transporte. Disponibles en: </w:t>
            </w:r>
            <w:hyperlink r:id="rId11" w:history="1">
              <w:r w:rsidRPr="000E3953">
                <w:rPr>
                  <w:rFonts w:ascii="Verdana" w:eastAsia="Aptos" w:hAnsi="Verdana" w:cs="Arial"/>
                  <w:color w:val="0000FF"/>
                  <w:u w:val="single"/>
                  <w:lang w:val="es-ES_tradnl"/>
                </w:rPr>
                <w:t>https://www.colombiacompra.gov.co/normativa-y-relatoria/documentos-tipo</w:t>
              </w:r>
            </w:hyperlink>
            <w:r w:rsidRPr="000E3953">
              <w:rPr>
                <w:rFonts w:ascii="Verdana" w:eastAsia="Aptos" w:hAnsi="Verdana" w:cs="Arial"/>
                <w:lang w:val="es-ES_tradnl"/>
              </w:rPr>
              <w:t>.</w:t>
            </w:r>
            <w:r w:rsidRPr="000E3953">
              <w:rPr>
                <w:rFonts w:ascii="Verdana" w:eastAsia="Aptos" w:hAnsi="Verdana" w:cs="Arial"/>
                <w:vertAlign w:val="superscript"/>
                <w:lang w:val="es-ES_tradnl"/>
              </w:rPr>
              <w:t xml:space="preserve"> </w:t>
            </w:r>
          </w:p>
        </w:tc>
      </w:tr>
    </w:tbl>
    <w:p w14:paraId="2C72DD75" w14:textId="77777777" w:rsidR="000E3953" w:rsidRPr="000E3953" w:rsidRDefault="000E3953" w:rsidP="000E3953">
      <w:pPr>
        <w:widowControl w:val="0"/>
        <w:autoSpaceDE w:val="0"/>
        <w:autoSpaceDN w:val="0"/>
        <w:snapToGrid w:val="0"/>
        <w:spacing w:after="0" w:line="276" w:lineRule="auto"/>
        <w:jc w:val="both"/>
        <w:rPr>
          <w:rFonts w:ascii="Verdana" w:eastAsia="Calibri" w:hAnsi="Verdana" w:cs="Arial"/>
          <w:lang w:val="es-ES_tradnl"/>
        </w:rPr>
      </w:pPr>
    </w:p>
    <w:p w14:paraId="4DA69829" w14:textId="77777777" w:rsidR="000E3953" w:rsidRPr="000E3953" w:rsidRDefault="000E3953" w:rsidP="000E3953">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0E3953">
        <w:rPr>
          <w:rFonts w:ascii="Verdana" w:eastAsia="Century Gothic" w:hAnsi="Verdana" w:cs="Century Gothic"/>
          <w:b/>
          <w:bCs/>
          <w:lang w:val="es-ES_tradnl"/>
        </w:rPr>
        <w:t>Doctrina de la Agencia Nacional de Contratación Pública:</w:t>
      </w:r>
    </w:p>
    <w:p w14:paraId="0B2841C0" w14:textId="77777777" w:rsidR="000E3953" w:rsidRPr="000E3953" w:rsidRDefault="000E3953" w:rsidP="000E3953">
      <w:pPr>
        <w:widowControl w:val="0"/>
        <w:autoSpaceDE w:val="0"/>
        <w:autoSpaceDN w:val="0"/>
        <w:snapToGrid w:val="0"/>
        <w:spacing w:after="0" w:line="276" w:lineRule="auto"/>
        <w:jc w:val="both"/>
        <w:rPr>
          <w:rFonts w:ascii="Verdana" w:eastAsia="Calibri" w:hAnsi="Verdana" w:cs="Arial"/>
          <w:lang w:val="es-ES_tradnl"/>
        </w:rPr>
      </w:pPr>
    </w:p>
    <w:p w14:paraId="226F28F6" w14:textId="77777777" w:rsidR="000E3953" w:rsidRPr="000E3953" w:rsidRDefault="000E3953" w:rsidP="000E3953">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0E3953">
        <w:rPr>
          <w:rFonts w:ascii="Verdana" w:eastAsia="Calibri" w:hAnsi="Verdana" w:cs="Arial"/>
          <w:kern w:val="2"/>
          <w:shd w:val="clear" w:color="auto" w:fill="FFFFFF"/>
          <w:lang w:val="es-ES_tradnl"/>
          <w14:ligatures w14:val="standardContextual"/>
        </w:rPr>
        <w:t xml:space="preserve">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entre otros. </w:t>
      </w:r>
      <w:r w:rsidRPr="000E3953">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0E3953">
          <w:rPr>
            <w:rFonts w:ascii="Verdana" w:eastAsia="Times New Roman" w:hAnsi="Verdana" w:cs="Arial"/>
            <w:kern w:val="2"/>
            <w:shd w:val="clear" w:color="auto" w:fill="FFFFFF"/>
            <w:lang w:val="es-ES"/>
            <w14:ligatures w14:val="standardContextual"/>
          </w:rPr>
          <w:t>https://relatoria.colombiacompra.gov.co/</w:t>
        </w:r>
      </w:hyperlink>
      <w:r w:rsidRPr="000E3953">
        <w:rPr>
          <w:rFonts w:ascii="Verdana" w:eastAsia="Times New Roman" w:hAnsi="Verdana" w:cs="Arial"/>
          <w:kern w:val="2"/>
          <w:shd w:val="clear" w:color="auto" w:fill="FFFFFF"/>
          <w:lang w:val="es-ES"/>
          <w14:ligatures w14:val="standardContextual"/>
        </w:rPr>
        <w:t>.</w:t>
      </w:r>
    </w:p>
    <w:p w14:paraId="1D83206A" w14:textId="77777777" w:rsidR="000E3953" w:rsidRPr="000E3953" w:rsidRDefault="000E3953" w:rsidP="000E3953">
      <w:pPr>
        <w:spacing w:after="0" w:line="240" w:lineRule="auto"/>
        <w:jc w:val="both"/>
        <w:rPr>
          <w:rFonts w:ascii="Verdana" w:eastAsia="Calibri" w:hAnsi="Verdana" w:cs="Arial"/>
          <w:color w:val="000000"/>
          <w:kern w:val="2"/>
          <w:shd w:val="clear" w:color="auto" w:fill="FFFFFF"/>
          <w:lang w:val="es-ES_tradnl"/>
          <w14:ligatures w14:val="standardContextual"/>
        </w:rPr>
      </w:pPr>
    </w:p>
    <w:p w14:paraId="4A7F3B14" w14:textId="77777777" w:rsidR="000E3953" w:rsidRPr="000E3953" w:rsidRDefault="000E3953" w:rsidP="000E3953">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0E3953">
        <w:rPr>
          <w:rFonts w:ascii="Verdana" w:eastAsia="Calibri" w:hAnsi="Verdana" w:cs="Arial"/>
          <w:kern w:val="2"/>
          <w:shd w:val="clear" w:color="auto" w:fill="FFFFFF"/>
          <w:lang w:val="es-ES_tradnl"/>
          <w14:ligatures w14:val="standardContextual"/>
        </w:rPr>
        <w:t>La</w:t>
      </w:r>
      <w:r w:rsidRPr="000E3953">
        <w:rPr>
          <w:rFonts w:ascii="Verdana" w:eastAsia="Calibri" w:hAnsi="Verdana" w:cs="Arial"/>
          <w:b/>
          <w:bCs/>
          <w:kern w:val="2"/>
          <w:shd w:val="clear" w:color="auto" w:fill="FFFFFF"/>
          <w:lang w:val="es-ES_tradnl"/>
          <w14:ligatures w14:val="standardContextual"/>
        </w:rPr>
        <w:t xml:space="preserve"> Agencia Nacional de Contratación Pública - Colombia Compra </w:t>
      </w:r>
      <w:r w:rsidRPr="000E3953">
        <w:rPr>
          <w:rFonts w:ascii="Verdana" w:eastAsia="Calibri" w:hAnsi="Verdana" w:cs="Arial"/>
          <w:b/>
          <w:bCs/>
          <w:kern w:val="2"/>
          <w:shd w:val="clear" w:color="auto" w:fill="FFFFFF"/>
          <w:lang w:val="es-ES_tradnl"/>
          <w14:ligatures w14:val="standardContextual"/>
        </w:rPr>
        <w:lastRenderedPageBreak/>
        <w:t>Eficiente</w:t>
      </w:r>
      <w:r w:rsidRPr="000E3953">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0E3953">
        <w:rPr>
          <w:rFonts w:ascii="Verdana" w:eastAsia="Calibri" w:hAnsi="Verdana" w:cs="Arial"/>
          <w:b/>
          <w:bCs/>
          <w:kern w:val="2"/>
          <w:shd w:val="clear" w:color="auto" w:fill="FFFFFF"/>
          <w:lang w:val="es-ES_tradnl"/>
          <w14:ligatures w14:val="standardContextual"/>
        </w:rPr>
        <w:t>Documentos Tipo</w:t>
      </w:r>
      <w:r w:rsidRPr="000E3953">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0E3953">
        <w:rPr>
          <w:rFonts w:ascii="Verdana" w:eastAsia="Calibri" w:hAnsi="Verdana" w:cs="Arial"/>
          <w:b/>
          <w:bCs/>
          <w:kern w:val="2"/>
          <w:shd w:val="clear" w:color="auto" w:fill="FFFFFF"/>
          <w:lang w:val="es-ES_tradnl"/>
          <w14:ligatures w14:val="standardContextual"/>
        </w:rPr>
        <w:t>transparencia</w:t>
      </w:r>
      <w:r w:rsidRPr="000E3953">
        <w:rPr>
          <w:rFonts w:ascii="Verdana" w:eastAsia="Calibri" w:hAnsi="Verdana" w:cs="Arial"/>
          <w:kern w:val="2"/>
          <w:shd w:val="clear" w:color="auto" w:fill="FFFFFF"/>
          <w:lang w:val="es-ES_tradnl"/>
          <w14:ligatures w14:val="standardContextual"/>
        </w:rPr>
        <w:t> y promover un proceso de </w:t>
      </w:r>
      <w:r w:rsidRPr="000E3953">
        <w:rPr>
          <w:rFonts w:ascii="Verdana" w:eastAsia="Calibri" w:hAnsi="Verdana" w:cs="Arial"/>
          <w:b/>
          <w:bCs/>
          <w:kern w:val="2"/>
          <w:shd w:val="clear" w:color="auto" w:fill="FFFFFF"/>
          <w:lang w:val="es-ES_tradnl"/>
          <w14:ligatures w14:val="standardContextual"/>
        </w:rPr>
        <w:t>selección objetiva</w:t>
      </w:r>
      <w:r w:rsidRPr="000E3953">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0E0A4D6E" w14:textId="77777777" w:rsidR="000E3953" w:rsidRPr="000E3953" w:rsidRDefault="000E3953" w:rsidP="000E3953">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3C491C4D" w14:textId="77777777" w:rsidR="000E3953" w:rsidRPr="000E3953" w:rsidRDefault="000E3953" w:rsidP="000E3953">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0E3953">
        <w:rPr>
          <w:rFonts w:ascii="Verdana" w:eastAsia="Calibri" w:hAnsi="Verdana" w:cs="Arial"/>
          <w:kern w:val="2"/>
          <w:shd w:val="clear" w:color="auto" w:fill="FFFFFF"/>
          <w:lang w:val="es-ES"/>
          <w14:ligatures w14:val="standardContextual"/>
        </w:rPr>
        <w:t>También, le contamos que ya se encuentra disponible la </w:t>
      </w:r>
      <w:r w:rsidRPr="000E3953">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0E3953">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E3953">
        <w:rPr>
          <w:rFonts w:ascii="Verdana" w:eastAsia="Calibri" w:hAnsi="Verdana" w:cs="Arial"/>
          <w:kern w:val="2"/>
          <w:shd w:val="clear" w:color="auto" w:fill="FFFFFF"/>
          <w:lang w:val="es-ES"/>
          <w14:ligatures w14:val="standardContextual"/>
        </w:rPr>
        <w:t>Wayúu</w:t>
      </w:r>
      <w:proofErr w:type="spellEnd"/>
      <w:r w:rsidRPr="000E3953">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0E3953">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0E3953">
        <w:rPr>
          <w:rFonts w:ascii="Verdana" w:eastAsia="Calibri" w:hAnsi="Verdana" w:cs="Arial"/>
          <w:kern w:val="2"/>
          <w:u w:val="single"/>
          <w:shd w:val="clear" w:color="auto" w:fill="FFFFFF"/>
          <w:lang w:val="es-ES"/>
          <w14:ligatures w14:val="standardContextual"/>
        </w:rPr>
        <w:t>.</w:t>
      </w:r>
    </w:p>
    <w:p w14:paraId="5BCF774F" w14:textId="77777777" w:rsidR="000E3953" w:rsidRPr="000E3953" w:rsidRDefault="000E3953" w:rsidP="000E3953">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4120FA86" w14:textId="77777777" w:rsidR="000E3953" w:rsidRPr="000E3953" w:rsidRDefault="000E3953" w:rsidP="000E3953">
      <w:pPr>
        <w:spacing w:after="0" w:line="276" w:lineRule="auto"/>
        <w:jc w:val="both"/>
        <w:rPr>
          <w:rFonts w:ascii="Verdana" w:eastAsia="Calibri" w:hAnsi="Verdana" w:cs="Times New Roman"/>
          <w:kern w:val="2"/>
          <w:lang w:val="es-ES_tradnl"/>
          <w14:ligatures w14:val="standardContextual"/>
        </w:rPr>
      </w:pPr>
      <w:r w:rsidRPr="000E3953">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2937C4F1" w14:textId="77777777" w:rsidR="000E3953" w:rsidRPr="000E3953" w:rsidRDefault="000E3953" w:rsidP="000E3953">
      <w:pPr>
        <w:spacing w:after="0" w:line="240" w:lineRule="auto"/>
        <w:jc w:val="both"/>
        <w:rPr>
          <w:rFonts w:ascii="Verdana" w:eastAsia="Calibri" w:hAnsi="Verdana" w:cs="Times New Roman"/>
          <w:kern w:val="2"/>
          <w:lang w:val="es-ES_tradnl"/>
          <w14:ligatures w14:val="standardContextual"/>
        </w:rPr>
      </w:pPr>
    </w:p>
    <w:p w14:paraId="5B8B185B" w14:textId="77777777" w:rsidR="000E3953" w:rsidRPr="000E3953" w:rsidRDefault="000E3953" w:rsidP="000E3953">
      <w:pPr>
        <w:spacing w:after="0" w:line="240" w:lineRule="auto"/>
        <w:jc w:val="both"/>
        <w:rPr>
          <w:rFonts w:ascii="Verdana" w:eastAsia="Calibri" w:hAnsi="Verdana" w:cs="Times New Roman"/>
          <w:kern w:val="2"/>
          <w:lang w:val="es-ES_tradnl"/>
          <w14:ligatures w14:val="standardContextual"/>
        </w:rPr>
      </w:pPr>
      <w:r w:rsidRPr="000E3953">
        <w:rPr>
          <w:rFonts w:ascii="Verdana" w:eastAsia="Calibri" w:hAnsi="Verdana" w:cs="Times New Roman"/>
          <w:kern w:val="2"/>
          <w:lang w:val="es-ES_tradnl"/>
          <w14:ligatures w14:val="standardContextual"/>
        </w:rPr>
        <w:t xml:space="preserve">X: </w:t>
      </w:r>
      <w:r w:rsidRPr="000E3953">
        <w:rPr>
          <w:rFonts w:ascii="Verdana" w:eastAsia="Calibri" w:hAnsi="Verdana" w:cs="Times New Roman"/>
          <w:kern w:val="2"/>
          <w:u w:val="single"/>
          <w:lang w:val="es-ES_tradnl"/>
          <w14:ligatures w14:val="standardContextual"/>
        </w:rPr>
        <w:t>@colombiacompra</w:t>
      </w:r>
      <w:r w:rsidRPr="000E3953">
        <w:rPr>
          <w:rFonts w:ascii="Verdana" w:eastAsia="Calibri" w:hAnsi="Verdana" w:cs="Times New Roman"/>
          <w:kern w:val="2"/>
          <w:lang w:val="es-ES_tradnl"/>
          <w14:ligatures w14:val="standardContextual"/>
        </w:rPr>
        <w:t xml:space="preserve"> </w:t>
      </w:r>
    </w:p>
    <w:p w14:paraId="02324DDA" w14:textId="77777777" w:rsidR="000E3953" w:rsidRPr="000E3953" w:rsidRDefault="000E3953" w:rsidP="000E3953">
      <w:pPr>
        <w:spacing w:after="0" w:line="240" w:lineRule="auto"/>
        <w:jc w:val="both"/>
        <w:rPr>
          <w:rFonts w:ascii="Verdana" w:eastAsia="Calibri" w:hAnsi="Verdana" w:cs="Times New Roman"/>
          <w:kern w:val="2"/>
          <w:lang w:val="es-ES"/>
          <w14:ligatures w14:val="standardContextual"/>
        </w:rPr>
      </w:pPr>
      <w:r w:rsidRPr="000E3953">
        <w:rPr>
          <w:rFonts w:ascii="Verdana" w:eastAsia="Calibri" w:hAnsi="Verdana" w:cs="Times New Roman"/>
          <w:kern w:val="2"/>
          <w:lang w:val="es-ES"/>
          <w14:ligatures w14:val="standardContextual"/>
        </w:rPr>
        <w:t xml:space="preserve">Facebook: </w:t>
      </w:r>
      <w:proofErr w:type="spellStart"/>
      <w:r w:rsidRPr="000E3953">
        <w:rPr>
          <w:rFonts w:ascii="Verdana" w:eastAsia="Calibri" w:hAnsi="Verdana" w:cs="Times New Roman"/>
          <w:kern w:val="2"/>
          <w:u w:val="single"/>
          <w:lang w:val="es-ES"/>
          <w14:ligatures w14:val="standardContextual"/>
        </w:rPr>
        <w:t>ColombiaCompraEficiente</w:t>
      </w:r>
      <w:proofErr w:type="spellEnd"/>
    </w:p>
    <w:p w14:paraId="5EE16229" w14:textId="77777777" w:rsidR="000E3953" w:rsidRPr="000E3953" w:rsidRDefault="000E3953" w:rsidP="000E3953">
      <w:pPr>
        <w:spacing w:after="0" w:line="240" w:lineRule="auto"/>
        <w:jc w:val="both"/>
        <w:rPr>
          <w:rFonts w:ascii="Verdana" w:eastAsia="Calibri" w:hAnsi="Verdana" w:cs="Times New Roman"/>
          <w:kern w:val="2"/>
          <w:lang w:val="es-ES_tradnl"/>
          <w14:ligatures w14:val="standardContextual"/>
        </w:rPr>
      </w:pPr>
      <w:r w:rsidRPr="000E3953">
        <w:rPr>
          <w:rFonts w:ascii="Verdana" w:eastAsia="Calibri" w:hAnsi="Verdana" w:cs="Times New Roman"/>
          <w:kern w:val="2"/>
          <w:lang w:val="es-ES_tradnl"/>
          <w14:ligatures w14:val="standardContextual"/>
        </w:rPr>
        <w:t xml:space="preserve">LinkedIn: </w:t>
      </w:r>
      <w:r w:rsidRPr="000E3953">
        <w:rPr>
          <w:rFonts w:ascii="Verdana" w:eastAsia="Calibri" w:hAnsi="Verdana" w:cs="Times New Roman"/>
          <w:kern w:val="2"/>
          <w:u w:val="single"/>
          <w:lang w:val="es-ES_tradnl"/>
          <w14:ligatures w14:val="standardContextual"/>
        </w:rPr>
        <w:t>Agencia Nacional de Contratación Pública - Colombia Compra Eficiente</w:t>
      </w:r>
      <w:r w:rsidRPr="000E3953">
        <w:rPr>
          <w:rFonts w:ascii="Verdana" w:eastAsia="Calibri" w:hAnsi="Verdana" w:cs="Times New Roman"/>
          <w:kern w:val="2"/>
          <w:lang w:val="es-ES_tradnl"/>
          <w14:ligatures w14:val="standardContextual"/>
        </w:rPr>
        <w:t xml:space="preserve"> Instagram: </w:t>
      </w:r>
      <w:r w:rsidRPr="000E3953">
        <w:rPr>
          <w:rFonts w:ascii="Verdana" w:eastAsia="Calibri" w:hAnsi="Verdana" w:cs="Times New Roman"/>
          <w:kern w:val="2"/>
          <w:u w:val="single"/>
          <w:lang w:val="es-ES_tradnl"/>
          <w14:ligatures w14:val="standardContextual"/>
        </w:rPr>
        <w:t>@colombiacompraeficiente_cce</w:t>
      </w:r>
    </w:p>
    <w:p w14:paraId="077FA10F" w14:textId="77777777" w:rsidR="000E3953" w:rsidRPr="000E3953" w:rsidRDefault="000E3953" w:rsidP="000E3953">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46525E9E" w14:textId="77777777" w:rsidR="000E3953" w:rsidRPr="000E3953" w:rsidRDefault="000E3953" w:rsidP="000E3953">
      <w:pPr>
        <w:widowControl w:val="0"/>
        <w:autoSpaceDE w:val="0"/>
        <w:autoSpaceDN w:val="0"/>
        <w:spacing w:after="0" w:line="276" w:lineRule="auto"/>
        <w:jc w:val="both"/>
        <w:rPr>
          <w:rFonts w:ascii="Verdana" w:eastAsia="Calibri" w:hAnsi="Verdana" w:cs="Arial"/>
          <w:kern w:val="2"/>
          <w:lang w:val="es-ES_tradnl"/>
          <w14:ligatures w14:val="standardContextual"/>
        </w:rPr>
      </w:pPr>
      <w:r w:rsidRPr="000E3953">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104A6A4" w14:textId="77777777" w:rsidR="000E3953" w:rsidRPr="000E3953" w:rsidRDefault="000E3953" w:rsidP="000E3953">
      <w:pPr>
        <w:widowControl w:val="0"/>
        <w:autoSpaceDE w:val="0"/>
        <w:autoSpaceDN w:val="0"/>
        <w:spacing w:after="0" w:line="276" w:lineRule="auto"/>
        <w:jc w:val="both"/>
        <w:rPr>
          <w:rFonts w:ascii="Verdana" w:eastAsia="Calibri" w:hAnsi="Verdana" w:cs="Arial"/>
          <w:lang w:val="es-ES_tradnl"/>
        </w:rPr>
      </w:pPr>
    </w:p>
    <w:p w14:paraId="0A79DA37" w14:textId="77777777" w:rsidR="000E3953" w:rsidRPr="000E3953" w:rsidRDefault="000E3953" w:rsidP="000E3953">
      <w:pPr>
        <w:spacing w:after="0" w:line="240" w:lineRule="auto"/>
        <w:rPr>
          <w:rFonts w:ascii="Verdana" w:eastAsia="Calibri" w:hAnsi="Verdana" w:cs="Arial"/>
          <w:lang w:val="es-ES_tradnl" w:eastAsia="es-CO"/>
        </w:rPr>
      </w:pPr>
      <w:r w:rsidRPr="000E3953">
        <w:rPr>
          <w:rFonts w:ascii="Verdana" w:eastAsia="Times New Roman" w:hAnsi="Verdana" w:cs="Arial"/>
          <w:lang w:val="es-ES_tradnl" w:eastAsia="es-CO"/>
        </w:rPr>
        <w:t>Atentamente,</w:t>
      </w:r>
      <w:r w:rsidRPr="000E3953">
        <w:rPr>
          <w:rFonts w:ascii="Verdana" w:eastAsia="Calibri" w:hAnsi="Verdana" w:cs="Arial"/>
          <w:lang w:val="es-ES_tradnl" w:eastAsia="es-CO"/>
        </w:rPr>
        <w:t xml:space="preserve"> </w:t>
      </w:r>
    </w:p>
    <w:p w14:paraId="7FB53463" w14:textId="600C0645" w:rsidR="000E3953" w:rsidRPr="000E3953" w:rsidRDefault="008F2AD6" w:rsidP="000E3953">
      <w:pPr>
        <w:spacing w:line="276" w:lineRule="auto"/>
        <w:jc w:val="center"/>
        <w:rPr>
          <w:rFonts w:ascii="Verdana" w:eastAsia="Calibri" w:hAnsi="Verdana" w:cs="Arial"/>
          <w:lang w:val="es-ES_tradnl" w:eastAsia="es-CO"/>
        </w:rPr>
      </w:pPr>
      <w:r>
        <w:rPr>
          <w:noProof/>
        </w:rPr>
        <w:lastRenderedPageBreak/>
        <w:drawing>
          <wp:inline distT="0" distB="0" distL="0" distR="0" wp14:anchorId="48597EC0" wp14:editId="2C6064FE">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80831" cy="1255006"/>
                    </a:xfrm>
                    <a:prstGeom prst="rect">
                      <a:avLst/>
                    </a:prstGeom>
                  </pic:spPr>
                </pic:pic>
              </a:graphicData>
            </a:graphic>
          </wp:inline>
        </w:drawing>
      </w:r>
    </w:p>
    <w:tbl>
      <w:tblPr>
        <w:tblStyle w:val="Tablaconcuadrcula1"/>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E3953" w:rsidRPr="000E3953" w14:paraId="7DFCE53A" w14:textId="77777777" w:rsidTr="6C69C62C">
        <w:trPr>
          <w:trHeight w:val="315"/>
        </w:trPr>
        <w:tc>
          <w:tcPr>
            <w:tcW w:w="893" w:type="dxa"/>
            <w:vAlign w:val="center"/>
            <w:hideMark/>
          </w:tcPr>
          <w:p w14:paraId="65A7B3F2" w14:textId="77777777" w:rsidR="000E3953" w:rsidRPr="000E3953" w:rsidRDefault="000E3953" w:rsidP="000E3953">
            <w:pPr>
              <w:rPr>
                <w:rFonts w:ascii="Verdana" w:eastAsia="Calibri" w:hAnsi="Verdana" w:cs="Arial"/>
                <w:sz w:val="16"/>
                <w:szCs w:val="16"/>
                <w:lang w:val="es-ES_tradnl" w:eastAsia="es-ES"/>
              </w:rPr>
            </w:pPr>
            <w:r w:rsidRPr="000E3953">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6DAF4006" w14:textId="77777777" w:rsidR="000E3953" w:rsidRPr="000E3953" w:rsidRDefault="000E3953" w:rsidP="000E3953">
            <w:pPr>
              <w:rPr>
                <w:rFonts w:ascii="Verdana" w:eastAsia="Arial" w:hAnsi="Verdana" w:cs="Arial"/>
                <w:sz w:val="16"/>
                <w:szCs w:val="16"/>
                <w:lang w:val="es-ES"/>
              </w:rPr>
            </w:pPr>
            <w:r w:rsidRPr="000E3953">
              <w:rPr>
                <w:rFonts w:ascii="Verdana" w:eastAsia="Arial" w:hAnsi="Verdana" w:cs="Arial"/>
                <w:sz w:val="16"/>
                <w:szCs w:val="16"/>
                <w:lang w:val="es-ES"/>
              </w:rPr>
              <w:t>Kevin Arlid Herrera Santa</w:t>
            </w:r>
          </w:p>
          <w:p w14:paraId="773822B5" w14:textId="77777777" w:rsidR="000E3953" w:rsidRPr="000E3953" w:rsidRDefault="000E3953" w:rsidP="000E3953">
            <w:pPr>
              <w:rPr>
                <w:rFonts w:ascii="Verdana" w:eastAsia="Arial" w:hAnsi="Verdana" w:cs="Arial"/>
                <w:sz w:val="16"/>
                <w:szCs w:val="16"/>
                <w:lang w:val="es-ES_tradnl"/>
              </w:rPr>
            </w:pPr>
            <w:r w:rsidRPr="000E3953">
              <w:rPr>
                <w:rFonts w:ascii="Verdana" w:eastAsia="Arial" w:hAnsi="Verdana" w:cs="Arial"/>
                <w:sz w:val="16"/>
                <w:szCs w:val="16"/>
                <w:lang w:val="es-ES_tradnl"/>
              </w:rPr>
              <w:t xml:space="preserve">Contratista de la Subdirección de Gestión Contractual </w:t>
            </w:r>
          </w:p>
          <w:p w14:paraId="3F9875C3" w14:textId="77777777" w:rsidR="000E3953" w:rsidRPr="000E3953" w:rsidRDefault="000E3953" w:rsidP="6C69C62C">
            <w:pPr>
              <w:rPr>
                <w:rFonts w:ascii="Verdana" w:eastAsia="Arial" w:hAnsi="Verdana" w:cs="Arial"/>
                <w:sz w:val="16"/>
                <w:szCs w:val="16"/>
                <w:lang w:val="es-ES"/>
              </w:rPr>
            </w:pPr>
            <w:r w:rsidRPr="6C69C62C">
              <w:rPr>
                <w:rFonts w:ascii="Verdana" w:eastAsia="Arial" w:hAnsi="Verdana" w:cs="Arial"/>
                <w:sz w:val="16"/>
                <w:szCs w:val="16"/>
                <w:lang w:val="es-ES"/>
              </w:rPr>
              <w:t xml:space="preserve">Lida Milena </w:t>
            </w:r>
            <w:proofErr w:type="spellStart"/>
            <w:r w:rsidRPr="6C69C62C">
              <w:rPr>
                <w:rFonts w:ascii="Verdana" w:eastAsia="Arial" w:hAnsi="Verdana" w:cs="Arial"/>
                <w:sz w:val="16"/>
                <w:szCs w:val="16"/>
                <w:lang w:val="es-ES"/>
              </w:rPr>
              <w:t>Guanumen</w:t>
            </w:r>
            <w:proofErr w:type="spellEnd"/>
            <w:r w:rsidRPr="6C69C62C">
              <w:rPr>
                <w:rFonts w:ascii="Verdana" w:eastAsia="Arial" w:hAnsi="Verdana" w:cs="Arial"/>
                <w:sz w:val="16"/>
                <w:szCs w:val="16"/>
                <w:lang w:val="es-ES"/>
              </w:rPr>
              <w:t xml:space="preserve"> Pacheco</w:t>
            </w:r>
          </w:p>
          <w:p w14:paraId="56EA84FE" w14:textId="77777777" w:rsidR="000E3953" w:rsidRPr="000E3953" w:rsidRDefault="000E3953" w:rsidP="000E3953">
            <w:pPr>
              <w:rPr>
                <w:rFonts w:ascii="Verdana" w:eastAsia="Arial" w:hAnsi="Verdana" w:cs="Arial"/>
                <w:sz w:val="16"/>
                <w:szCs w:val="16"/>
                <w:lang w:val="es-ES_tradnl"/>
              </w:rPr>
            </w:pPr>
            <w:r w:rsidRPr="000E3953">
              <w:rPr>
                <w:rFonts w:ascii="Verdana" w:eastAsia="Arial" w:hAnsi="Verdana" w:cs="Arial"/>
                <w:sz w:val="16"/>
                <w:szCs w:val="16"/>
                <w:lang w:val="es-ES_tradnl"/>
              </w:rPr>
              <w:t>Contratista de la Subdirección de Gestión Contractual</w:t>
            </w:r>
          </w:p>
        </w:tc>
      </w:tr>
      <w:tr w:rsidR="000E3953" w:rsidRPr="000E3953" w14:paraId="2739A552" w14:textId="77777777" w:rsidTr="6C69C62C">
        <w:trPr>
          <w:trHeight w:val="330"/>
        </w:trPr>
        <w:tc>
          <w:tcPr>
            <w:tcW w:w="893" w:type="dxa"/>
            <w:vAlign w:val="center"/>
            <w:hideMark/>
          </w:tcPr>
          <w:p w14:paraId="69F2E3EB" w14:textId="77777777" w:rsidR="000E3953" w:rsidRPr="000E3953" w:rsidRDefault="000E3953" w:rsidP="000E3953">
            <w:pPr>
              <w:rPr>
                <w:rFonts w:ascii="Verdana" w:eastAsia="Calibri" w:hAnsi="Verdana" w:cs="Arial"/>
                <w:sz w:val="16"/>
                <w:szCs w:val="16"/>
                <w:lang w:val="es-ES_tradnl" w:eastAsia="es-ES"/>
              </w:rPr>
            </w:pPr>
            <w:r w:rsidRPr="000E3953">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61EA655" w14:textId="77777777" w:rsidR="000E3953" w:rsidRPr="000E3953" w:rsidRDefault="000E3953" w:rsidP="000E3953">
            <w:pPr>
              <w:textAlignment w:val="baseline"/>
              <w:rPr>
                <w:rFonts w:ascii="Verdana" w:eastAsia="Times New Roman" w:hAnsi="Verdana" w:cs="Segoe UI"/>
                <w:sz w:val="16"/>
                <w:szCs w:val="16"/>
                <w:lang w:val="es-ES" w:eastAsia="es-ES"/>
              </w:rPr>
            </w:pPr>
            <w:r w:rsidRPr="000E3953">
              <w:rPr>
                <w:rFonts w:ascii="Verdana" w:eastAsia="Times New Roman" w:hAnsi="Verdana" w:cs="Segoe UI"/>
                <w:sz w:val="16"/>
                <w:szCs w:val="16"/>
                <w:lang w:val="es-ES" w:eastAsia="es-ES"/>
              </w:rPr>
              <w:t>Juan David Cárdenas Cabeza</w:t>
            </w:r>
          </w:p>
          <w:p w14:paraId="00DFDD4E" w14:textId="77777777" w:rsidR="000E3953" w:rsidRPr="000E3953" w:rsidRDefault="000E3953" w:rsidP="000E3953">
            <w:pPr>
              <w:textAlignment w:val="baseline"/>
              <w:rPr>
                <w:rFonts w:ascii="Verdana" w:eastAsia="Times New Roman" w:hAnsi="Verdana" w:cs="Segoe UI"/>
                <w:sz w:val="16"/>
                <w:szCs w:val="16"/>
                <w:lang w:val="es-ES_tradnl" w:eastAsia="es-ES_tradnl"/>
              </w:rPr>
            </w:pPr>
            <w:r w:rsidRPr="000E3953">
              <w:rPr>
                <w:rFonts w:ascii="Verdana" w:eastAsia="Times New Roman" w:hAnsi="Verdana" w:cs="Arial"/>
                <w:sz w:val="16"/>
                <w:szCs w:val="16"/>
                <w:lang w:val="es-ES_tradnl" w:eastAsia="es-ES_tradnl"/>
              </w:rPr>
              <w:t>Contratista de la Subdirección de Gestión Contractual </w:t>
            </w:r>
          </w:p>
        </w:tc>
      </w:tr>
      <w:tr w:rsidR="000E3953" w:rsidRPr="000E3953" w14:paraId="6557E1C3" w14:textId="77777777" w:rsidTr="6C69C62C">
        <w:trPr>
          <w:trHeight w:val="300"/>
        </w:trPr>
        <w:tc>
          <w:tcPr>
            <w:tcW w:w="893" w:type="dxa"/>
            <w:vAlign w:val="center"/>
          </w:tcPr>
          <w:p w14:paraId="6988062A" w14:textId="77777777" w:rsidR="000E3953" w:rsidRPr="000E3953" w:rsidRDefault="000E3953" w:rsidP="000E3953">
            <w:pPr>
              <w:rPr>
                <w:rFonts w:ascii="Verdana" w:eastAsia="Calibri" w:hAnsi="Verdana" w:cs="Arial"/>
                <w:sz w:val="16"/>
                <w:szCs w:val="16"/>
                <w:lang w:val="es-ES_tradnl" w:eastAsia="es-ES"/>
              </w:rPr>
            </w:pPr>
            <w:r w:rsidRPr="000E3953">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2617AA0" w14:textId="77777777" w:rsidR="000E3953" w:rsidRPr="000E3953" w:rsidRDefault="000E3953" w:rsidP="000E3953">
            <w:pPr>
              <w:rPr>
                <w:rFonts w:ascii="Verdana" w:eastAsia="Calibri" w:hAnsi="Verdana" w:cs="Arial"/>
                <w:sz w:val="16"/>
                <w:szCs w:val="16"/>
                <w:lang w:val="es-ES" w:eastAsia="es-ES"/>
              </w:rPr>
            </w:pPr>
            <w:r w:rsidRPr="000E3953">
              <w:rPr>
                <w:rFonts w:ascii="Verdana" w:eastAsia="Calibri" w:hAnsi="Verdana" w:cs="Arial"/>
                <w:sz w:val="16"/>
                <w:szCs w:val="16"/>
                <w:lang w:val="es-ES" w:eastAsia="es-ES"/>
              </w:rPr>
              <w:t>Carolina Quintero Gacharná</w:t>
            </w:r>
          </w:p>
          <w:p w14:paraId="10AA0393" w14:textId="77777777" w:rsidR="000E3953" w:rsidRPr="000E3953" w:rsidRDefault="000E3953" w:rsidP="000E3953">
            <w:pPr>
              <w:rPr>
                <w:rFonts w:ascii="Verdana" w:eastAsia="Calibri" w:hAnsi="Verdana" w:cs="Arial"/>
                <w:sz w:val="16"/>
                <w:szCs w:val="16"/>
                <w:lang w:val="es-ES_tradnl" w:eastAsia="es-ES"/>
              </w:rPr>
            </w:pPr>
            <w:r w:rsidRPr="000E3953">
              <w:rPr>
                <w:rFonts w:ascii="Verdana" w:eastAsia="Calibri" w:hAnsi="Verdana" w:cs="Arial"/>
                <w:sz w:val="16"/>
                <w:szCs w:val="16"/>
                <w:lang w:val="es-ES_tradnl" w:eastAsia="es-ES"/>
              </w:rPr>
              <w:t>Subdirectora de Gestión Contractual ANCP – CCE</w:t>
            </w:r>
          </w:p>
        </w:tc>
      </w:tr>
      <w:bookmarkEnd w:id="0"/>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2E1FC" w14:textId="77777777" w:rsidR="001C6396" w:rsidRDefault="001C6396" w:rsidP="004A1847">
      <w:pPr>
        <w:spacing w:after="0" w:line="240" w:lineRule="auto"/>
      </w:pPr>
      <w:r>
        <w:separator/>
      </w:r>
    </w:p>
  </w:endnote>
  <w:endnote w:type="continuationSeparator" w:id="0">
    <w:p w14:paraId="2C735CEE" w14:textId="77777777" w:rsidR="001C6396" w:rsidRDefault="001C639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AB0857" w14:textId="77777777" w:rsidR="001C6396" w:rsidRDefault="001C6396" w:rsidP="004A1847">
      <w:pPr>
        <w:spacing w:after="0" w:line="240" w:lineRule="auto"/>
      </w:pPr>
      <w:r>
        <w:separator/>
      </w:r>
    </w:p>
  </w:footnote>
  <w:footnote w:type="continuationSeparator" w:id="0">
    <w:p w14:paraId="604067E5" w14:textId="77777777" w:rsidR="001C6396" w:rsidRDefault="001C6396" w:rsidP="004A1847">
      <w:pPr>
        <w:spacing w:after="0" w:line="240" w:lineRule="auto"/>
      </w:pPr>
      <w:r>
        <w:continuationSeparator/>
      </w:r>
    </w:p>
  </w:footnote>
  <w:footnote w:id="1">
    <w:p w14:paraId="744D687C" w14:textId="77777777" w:rsidR="000E3953" w:rsidRPr="00C472FF" w:rsidRDefault="000E3953" w:rsidP="000E3953">
      <w:pPr>
        <w:pStyle w:val="fn1"/>
        <w:ind w:firstLine="709"/>
        <w:jc w:val="both"/>
        <w:rPr>
          <w:rFonts w:ascii="Verdana" w:hAnsi="Verdana"/>
          <w:sz w:val="18"/>
          <w:szCs w:val="18"/>
        </w:rPr>
      </w:pPr>
      <w:r w:rsidRPr="00C472FF">
        <w:rPr>
          <w:rStyle w:val="Refdenotaalpie"/>
          <w:rFonts w:ascii="Verdana" w:hAnsi="Verdana"/>
          <w:sz w:val="18"/>
          <w:szCs w:val="18"/>
        </w:rPr>
        <w:footnoteRef/>
      </w:r>
      <w:r w:rsidRPr="00C472FF">
        <w:rPr>
          <w:rFonts w:ascii="Verdana" w:hAnsi="Verdana"/>
          <w:sz w:val="18"/>
          <w:szCs w:val="18"/>
        </w:rPr>
        <w:t xml:space="preserve"> Estos Documentos Tipo pueden ser consultados en la página web de Colombia Compra Eficiente, a través del siguiente enlace: </w:t>
      </w:r>
      <w:hyperlink r:id="rId1" w:history="1">
        <w:r w:rsidRPr="00C472FF">
          <w:rPr>
            <w:rStyle w:val="Hipervnculo"/>
            <w:rFonts w:ascii="Verdana" w:hAnsi="Verdana"/>
            <w:sz w:val="18"/>
            <w:szCs w:val="18"/>
          </w:rPr>
          <w:t>https://www.colombiacompra.gov.co/documentos-tipo/documentos-tipo</w:t>
        </w:r>
      </w:hyperlink>
      <w:r w:rsidRPr="00C472FF">
        <w:rPr>
          <w:rFonts w:ascii="Verdana" w:hAnsi="Verdana"/>
          <w:sz w:val="18"/>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4EA712D"/>
    <w:multiLevelType w:val="hybridMultilevel"/>
    <w:tmpl w:val="65DADCA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679089576">
    <w:abstractNumId w:val="10"/>
  </w:num>
  <w:num w:numId="18" w16cid:durableId="1795097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914"/>
    <w:rsid w:val="00016F78"/>
    <w:rsid w:val="00046945"/>
    <w:rsid w:val="00061B2A"/>
    <w:rsid w:val="00082362"/>
    <w:rsid w:val="00095722"/>
    <w:rsid w:val="000A683E"/>
    <w:rsid w:val="000B19B9"/>
    <w:rsid w:val="000C032C"/>
    <w:rsid w:val="000D0334"/>
    <w:rsid w:val="000D448D"/>
    <w:rsid w:val="000D5DA7"/>
    <w:rsid w:val="000E34B5"/>
    <w:rsid w:val="000E3953"/>
    <w:rsid w:val="000F6486"/>
    <w:rsid w:val="001126C1"/>
    <w:rsid w:val="00116940"/>
    <w:rsid w:val="00125105"/>
    <w:rsid w:val="00127233"/>
    <w:rsid w:val="0015699B"/>
    <w:rsid w:val="00165855"/>
    <w:rsid w:val="001A33BF"/>
    <w:rsid w:val="001C6396"/>
    <w:rsid w:val="001E4177"/>
    <w:rsid w:val="001F0B24"/>
    <w:rsid w:val="001F7DC6"/>
    <w:rsid w:val="0022400B"/>
    <w:rsid w:val="002310A7"/>
    <w:rsid w:val="002421BB"/>
    <w:rsid w:val="0025796E"/>
    <w:rsid w:val="002707A2"/>
    <w:rsid w:val="00275E8C"/>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862E2"/>
    <w:rsid w:val="00486A48"/>
    <w:rsid w:val="004A1847"/>
    <w:rsid w:val="004A305D"/>
    <w:rsid w:val="004F21C4"/>
    <w:rsid w:val="004F685F"/>
    <w:rsid w:val="005142A1"/>
    <w:rsid w:val="005566E8"/>
    <w:rsid w:val="00556FF0"/>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B5256"/>
    <w:rsid w:val="008D180B"/>
    <w:rsid w:val="008F0EA7"/>
    <w:rsid w:val="008F2AD6"/>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A7051"/>
    <w:rsid w:val="00BA709A"/>
    <w:rsid w:val="00BC3D36"/>
    <w:rsid w:val="00BD54A6"/>
    <w:rsid w:val="00BD7F72"/>
    <w:rsid w:val="00BE4B68"/>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80B3E"/>
    <w:rsid w:val="00DA231B"/>
    <w:rsid w:val="00DC39FC"/>
    <w:rsid w:val="00DF5254"/>
    <w:rsid w:val="00E02524"/>
    <w:rsid w:val="00E16408"/>
    <w:rsid w:val="00E20894"/>
    <w:rsid w:val="00E245AB"/>
    <w:rsid w:val="00E2764C"/>
    <w:rsid w:val="00E27F2E"/>
    <w:rsid w:val="00E315B6"/>
    <w:rsid w:val="00E50AFE"/>
    <w:rsid w:val="00E75C92"/>
    <w:rsid w:val="00E771DC"/>
    <w:rsid w:val="00E8772A"/>
    <w:rsid w:val="00E90F6B"/>
    <w:rsid w:val="00E92C27"/>
    <w:rsid w:val="00EA0E3D"/>
    <w:rsid w:val="00EC38A7"/>
    <w:rsid w:val="00EE1AA8"/>
    <w:rsid w:val="00F23FEA"/>
    <w:rsid w:val="00F31EDC"/>
    <w:rsid w:val="00F462B3"/>
    <w:rsid w:val="00F511A0"/>
    <w:rsid w:val="00F5664F"/>
    <w:rsid w:val="00F666C4"/>
    <w:rsid w:val="00F66FA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6C69C62C"/>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fn1">
    <w:name w:val="fn1"/>
    <w:basedOn w:val="Normal"/>
    <w:next w:val="Textonotapie"/>
    <w:uiPriority w:val="99"/>
    <w:unhideWhenUsed/>
    <w:qFormat/>
    <w:rsid w:val="000E3953"/>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0E39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E3953"/>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F3205F6-BB14-40EA-B134-262AAF1BB5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14</Pages>
  <Words>4432</Words>
  <Characters>24736</Characters>
  <Application>Microsoft Office Word</Application>
  <DocSecurity>0</DocSecurity>
  <Lines>537</Lines>
  <Paragraphs>120</Paragraphs>
  <ScaleCrop>false</ScaleCrop>
  <Company/>
  <LinksUpToDate>false</LinksUpToDate>
  <CharactersWithSpaces>29048</CharactersWithSpaces>
  <SharedDoc>false</SharedDoc>
  <HLinks>
    <vt:vector size="24" baseType="variant">
      <vt:variant>
        <vt:i4>7733301</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ariant>
        <vt:i4>4653144</vt:i4>
      </vt:variant>
      <vt:variant>
        <vt:i4>0</vt:i4>
      </vt:variant>
      <vt:variant>
        <vt:i4>0</vt:i4>
      </vt:variant>
      <vt:variant>
        <vt:i4>5</vt:i4>
      </vt:variant>
      <vt:variant>
        <vt:lpwstr>https://www.colombiacompra.gov.co/documentos-tipo/documentos-tipo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2025-12-16T17:21:00Z</dcterms:created>
  <dcterms:modified xsi:type="dcterms:W3CDTF">2025-12-18T17:26:00Z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