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12927CA" w14:textId="77777777" w:rsidR="000D5040" w:rsidRPr="00682C93" w:rsidRDefault="000D5040" w:rsidP="000D5040">
      <w:pPr>
        <w:spacing w:after="0" w:line="240" w:lineRule="auto"/>
        <w:jc w:val="both"/>
        <w:rPr>
          <w:rFonts w:ascii="Verdana" w:hAnsi="Verdana" w:cs="Arial"/>
          <w:b/>
          <w:lang w:val="es-MX" w:eastAsia="es-ES_tradnl"/>
        </w:rPr>
      </w:pPr>
      <w:bookmarkStart w:id="0" w:name="_Hlk143780582"/>
      <w:r w:rsidRPr="00682C93">
        <w:rPr>
          <w:rFonts w:ascii="Verdana" w:hAnsi="Verdana" w:cs="Arial"/>
          <w:b/>
          <w:lang w:val="es-MX" w:eastAsia="es-ES_tradnl"/>
        </w:rPr>
        <w:t xml:space="preserve">LEY DE GARANTÍAS ELECTORALES </w:t>
      </w:r>
      <w:r w:rsidRPr="00682C93">
        <w:rPr>
          <w:rFonts w:ascii="Verdana" w:hAnsi="Verdana" w:cs="Arial"/>
          <w:b/>
          <w:bCs/>
          <w:lang w:val="es-MX" w:eastAsia="es-ES_tradnl"/>
        </w:rPr>
        <w:t>‒</w:t>
      </w:r>
      <w:r w:rsidRPr="00682C93">
        <w:rPr>
          <w:rFonts w:ascii="Verdana" w:hAnsi="Verdana" w:cs="Arial"/>
          <w:b/>
          <w:lang w:val="es-MX" w:eastAsia="es-ES_tradnl"/>
        </w:rPr>
        <w:t xml:space="preserve"> Finalidad </w:t>
      </w:r>
    </w:p>
    <w:p w14:paraId="32E8456D" w14:textId="77777777" w:rsidR="000D5040" w:rsidRDefault="000D5040" w:rsidP="000D5040">
      <w:pPr>
        <w:spacing w:after="0" w:line="240" w:lineRule="auto"/>
        <w:jc w:val="both"/>
        <w:rPr>
          <w:rFonts w:ascii="Verdana" w:hAnsi="Verdana" w:cs="Arial"/>
          <w:b/>
          <w:lang w:val="es-MX" w:eastAsia="es-ES_tradnl"/>
        </w:rPr>
      </w:pPr>
    </w:p>
    <w:p w14:paraId="13BC46A9" w14:textId="77777777" w:rsidR="000D5040" w:rsidRDefault="000D5040" w:rsidP="000D5040">
      <w:pPr>
        <w:spacing w:after="0" w:line="240" w:lineRule="auto"/>
        <w:jc w:val="both"/>
        <w:rPr>
          <w:rFonts w:ascii="Verdana" w:eastAsia="Times New Roman" w:hAnsi="Verdana" w:cs="Arial"/>
          <w:sz w:val="20"/>
          <w:lang w:val="es-MX" w:eastAsia="es-CO"/>
        </w:rPr>
      </w:pPr>
      <w:r w:rsidRPr="00682C93">
        <w:rPr>
          <w:rFonts w:ascii="Verdana" w:eastAsia="Times New Roman" w:hAnsi="Verdana" w:cs="Arial"/>
          <w:sz w:val="20"/>
          <w:lang w:val="es-MX" w:eastAsia="es-CO"/>
        </w:rPr>
        <w:t>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w:t>
      </w:r>
    </w:p>
    <w:p w14:paraId="38EF6FA0" w14:textId="77777777" w:rsidR="000D5040" w:rsidRPr="00682C93" w:rsidRDefault="000D5040" w:rsidP="000D5040">
      <w:pPr>
        <w:spacing w:after="0" w:line="240" w:lineRule="auto"/>
        <w:jc w:val="both"/>
        <w:rPr>
          <w:rFonts w:ascii="Verdana" w:hAnsi="Verdana" w:cs="Arial"/>
          <w:b/>
          <w:sz w:val="20"/>
          <w:lang w:val="es-MX" w:eastAsia="es-ES_tradnl"/>
        </w:rPr>
      </w:pPr>
    </w:p>
    <w:p w14:paraId="549A29BC" w14:textId="77777777" w:rsidR="000D5040" w:rsidRPr="00682C93" w:rsidRDefault="000D5040" w:rsidP="000D5040">
      <w:pPr>
        <w:spacing w:after="0" w:line="240" w:lineRule="auto"/>
        <w:jc w:val="both"/>
        <w:rPr>
          <w:rFonts w:ascii="Verdana" w:hAnsi="Verdana" w:cs="Arial"/>
          <w:b/>
          <w:lang w:val="es-MX" w:eastAsia="es-ES_tradnl"/>
        </w:rPr>
      </w:pPr>
      <w:r w:rsidRPr="00682C93">
        <w:rPr>
          <w:rFonts w:ascii="Verdana" w:hAnsi="Verdana" w:cs="Arial"/>
          <w:b/>
          <w:lang w:val="es-MX" w:eastAsia="es-ES_tradnl"/>
        </w:rPr>
        <w:t xml:space="preserve">LEY DE GARANTÍAS ELECTORALES </w:t>
      </w:r>
      <w:r w:rsidRPr="00682C93">
        <w:rPr>
          <w:rFonts w:ascii="Verdana" w:hAnsi="Verdana" w:cs="Arial"/>
          <w:b/>
          <w:bCs/>
          <w:lang w:val="es-MX" w:eastAsia="es-ES_tradnl"/>
        </w:rPr>
        <w:t>‒</w:t>
      </w:r>
      <w:r w:rsidRPr="00682C93">
        <w:rPr>
          <w:rFonts w:ascii="Verdana" w:hAnsi="Verdana" w:cs="Arial"/>
          <w:b/>
          <w:lang w:val="es-MX" w:eastAsia="es-ES_tradnl"/>
        </w:rPr>
        <w:t xml:space="preserve"> Tipos de restricciones </w:t>
      </w:r>
      <w:r w:rsidRPr="00682C93">
        <w:rPr>
          <w:rFonts w:ascii="Verdana" w:hAnsi="Verdana" w:cs="Arial"/>
          <w:b/>
          <w:bCs/>
          <w:lang w:val="es-MX" w:eastAsia="es-ES_tradnl"/>
        </w:rPr>
        <w:t>‒</w:t>
      </w:r>
      <w:r w:rsidRPr="00682C93">
        <w:rPr>
          <w:rFonts w:ascii="Verdana" w:hAnsi="Verdana" w:cs="Arial"/>
          <w:b/>
          <w:lang w:val="es-MX" w:eastAsia="es-ES_tradnl"/>
        </w:rPr>
        <w:t xml:space="preserve"> Ámbito temporal – celebración- límite</w:t>
      </w:r>
    </w:p>
    <w:p w14:paraId="393FFE9E" w14:textId="77777777" w:rsidR="000D5040" w:rsidRDefault="000D5040" w:rsidP="000D5040">
      <w:pPr>
        <w:spacing w:after="0" w:line="240" w:lineRule="auto"/>
        <w:jc w:val="both"/>
        <w:rPr>
          <w:rFonts w:ascii="Verdana" w:hAnsi="Verdana" w:cs="Arial"/>
          <w:b/>
          <w:lang w:val="es-MX" w:eastAsia="es-ES_tradnl"/>
        </w:rPr>
      </w:pPr>
    </w:p>
    <w:p w14:paraId="6717CDC3" w14:textId="77777777" w:rsidR="000D5040" w:rsidRPr="00E41F23" w:rsidRDefault="000D5040" w:rsidP="000D5040">
      <w:pPr>
        <w:spacing w:after="0" w:line="240" w:lineRule="auto"/>
        <w:jc w:val="both"/>
        <w:rPr>
          <w:rFonts w:ascii="Verdana" w:eastAsia="Calibri" w:hAnsi="Verdana" w:cs="Arial"/>
          <w:sz w:val="20"/>
        </w:rPr>
      </w:pPr>
      <w:r w:rsidRPr="00E41F23">
        <w:rPr>
          <w:rFonts w:ascii="Verdana" w:eastAsia="Calibri" w:hAnsi="Verdana" w:cs="Arial"/>
          <w:sz w:val="20"/>
        </w:rPr>
        <w:t xml:space="preserve">Por un lado, el </w:t>
      </w:r>
      <w:r w:rsidRPr="00E41F23">
        <w:rPr>
          <w:rFonts w:ascii="Verdana" w:eastAsia="Calibri" w:hAnsi="Verdana" w:cs="Arial"/>
          <w:i/>
          <w:iCs/>
          <w:sz w:val="20"/>
        </w:rPr>
        <w:t>artículo 33 de la Ley 996 de 2005</w:t>
      </w:r>
      <w:r w:rsidRPr="00E41F23">
        <w:rPr>
          <w:rFonts w:ascii="Verdana" w:eastAsia="Calibri" w:hAnsi="Verdana" w:cs="Arial"/>
          <w:sz w:val="20"/>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173D8DEE" w14:textId="77777777" w:rsidR="000D5040" w:rsidRPr="00E41F23" w:rsidRDefault="000D5040" w:rsidP="000D5040">
      <w:pPr>
        <w:spacing w:after="0" w:line="240" w:lineRule="auto"/>
        <w:jc w:val="both"/>
        <w:rPr>
          <w:rFonts w:ascii="Verdana" w:eastAsia="Calibri" w:hAnsi="Verdana" w:cs="Arial"/>
          <w:sz w:val="20"/>
        </w:rPr>
      </w:pPr>
    </w:p>
    <w:p w14:paraId="2F7AA001" w14:textId="77777777" w:rsidR="000D5040" w:rsidRDefault="000D5040" w:rsidP="000D5040">
      <w:pPr>
        <w:widowControl w:val="0"/>
        <w:autoSpaceDE w:val="0"/>
        <w:autoSpaceDN w:val="0"/>
        <w:spacing w:after="0" w:line="240" w:lineRule="auto"/>
        <w:ind w:right="113"/>
        <w:jc w:val="both"/>
        <w:rPr>
          <w:rFonts w:ascii="Verdana" w:eastAsia="Arial" w:hAnsi="Verdana" w:cs="Arial"/>
          <w:sz w:val="20"/>
          <w:lang w:val="es-ES" w:eastAsia="es-ES" w:bidi="es-ES"/>
        </w:rPr>
      </w:pPr>
      <w:r w:rsidRPr="00E41F23">
        <w:rPr>
          <w:rFonts w:ascii="Verdana" w:eastAsia="Calibri" w:hAnsi="Verdana" w:cs="Arial"/>
          <w:sz w:val="20"/>
        </w:rPr>
        <w:t xml:space="preserve">Por otro lado, </w:t>
      </w:r>
      <w:r w:rsidRPr="00E41F23">
        <w:rPr>
          <w:rFonts w:ascii="Verdana" w:eastAsia="Calibri" w:hAnsi="Verdana" w:cs="Arial"/>
          <w:i/>
          <w:iCs/>
          <w:sz w:val="20"/>
        </w:rPr>
        <w:t>el parágrafo del artículo 38 de la Ley 996 de 2005</w:t>
      </w:r>
      <w:r w:rsidRPr="00E41F23">
        <w:rPr>
          <w:rFonts w:ascii="Verdana" w:eastAsia="Calibri" w:hAnsi="Verdana" w:cs="Arial"/>
          <w:sz w:val="20"/>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E41F23">
        <w:rPr>
          <w:rFonts w:ascii="Verdana" w:eastAsia="Calibri" w:hAnsi="Verdana" w:cs="Arial"/>
          <w:sz w:val="20"/>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41F23">
        <w:rPr>
          <w:rFonts w:ascii="Verdana" w:eastAsia="Calibri" w:hAnsi="Verdana" w:cs="Arial"/>
          <w:sz w:val="20"/>
        </w:rPr>
        <w:t>”</w:t>
      </w:r>
      <w:r w:rsidRPr="00E41F23">
        <w:rPr>
          <w:rFonts w:ascii="Verdana" w:eastAsia="Calibri" w:hAnsi="Verdana" w:cs="Arial"/>
          <w:sz w:val="20"/>
          <w:lang w:val="es-MX"/>
        </w:rPr>
        <w:t>.</w:t>
      </w:r>
      <w:r w:rsidRPr="00E41F23">
        <w:rPr>
          <w:rFonts w:ascii="Verdana" w:eastAsia="Arial" w:hAnsi="Verdana" w:cs="Arial"/>
          <w:sz w:val="20"/>
          <w:lang w:val="es-ES" w:eastAsia="es-ES" w:bidi="es-ES"/>
        </w:rPr>
        <w:t xml:space="preserve"> </w:t>
      </w:r>
    </w:p>
    <w:p w14:paraId="0E591737" w14:textId="77777777" w:rsidR="000D5040" w:rsidRPr="00E41F23" w:rsidRDefault="000D5040" w:rsidP="000D5040">
      <w:pPr>
        <w:widowControl w:val="0"/>
        <w:autoSpaceDE w:val="0"/>
        <w:autoSpaceDN w:val="0"/>
        <w:spacing w:after="0" w:line="240" w:lineRule="auto"/>
        <w:ind w:right="113"/>
        <w:jc w:val="both"/>
        <w:rPr>
          <w:rFonts w:ascii="Verdana" w:eastAsia="Arial" w:hAnsi="Verdana" w:cs="Arial"/>
          <w:sz w:val="20"/>
          <w:lang w:val="es-ES" w:eastAsia="es-ES" w:bidi="es-ES"/>
        </w:rPr>
      </w:pPr>
    </w:p>
    <w:p w14:paraId="0ADC4C16" w14:textId="77777777" w:rsidR="000D5040" w:rsidRPr="00E41F23" w:rsidRDefault="000D5040" w:rsidP="000D5040">
      <w:pPr>
        <w:spacing w:after="0" w:line="240" w:lineRule="auto"/>
        <w:jc w:val="both"/>
        <w:rPr>
          <w:rFonts w:ascii="Verdana" w:eastAsia="Times New Roman" w:hAnsi="Verdana" w:cs="Arial"/>
          <w:bCs/>
          <w:sz w:val="20"/>
          <w:lang w:val="es-ES" w:eastAsia="es-CO"/>
        </w:rPr>
      </w:pPr>
      <w:r w:rsidRPr="00E41F23">
        <w:rPr>
          <w:rFonts w:ascii="Verdana" w:eastAsia="Times New Roman" w:hAnsi="Verdana" w:cs="Arial"/>
          <w:bCs/>
          <w:sz w:val="20"/>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E41F23">
        <w:rPr>
          <w:rFonts w:ascii="Verdana" w:eastAsia="Times New Roman" w:hAnsi="Verdana" w:cs="Arial"/>
          <w:bCs/>
          <w:sz w:val="20"/>
          <w:lang w:val="es-ES" w:eastAsia="es-CO"/>
        </w:rPr>
        <w:t xml:space="preserve">la existencia de los contratos estatales, es decir, la producción de efectos jurídicos en los términos del artículo 1501 </w:t>
      </w:r>
      <w:r w:rsidRPr="00E41F23">
        <w:rPr>
          <w:rFonts w:ascii="Verdana" w:eastAsia="Times New Roman" w:hAnsi="Verdana" w:cs="Arial"/>
          <w:bCs/>
          <w:i/>
          <w:sz w:val="20"/>
          <w:lang w:val="es-ES" w:eastAsia="es-CO"/>
        </w:rPr>
        <w:t>ibídem</w:t>
      </w:r>
      <w:r w:rsidRPr="00E41F23">
        <w:rPr>
          <w:rFonts w:ascii="Verdana" w:eastAsia="Times New Roman" w:hAnsi="Verdana" w:cs="Arial"/>
          <w:bCs/>
          <w:sz w:val="20"/>
          <w:lang w:val="es-ES" w:eastAsia="es-CO"/>
        </w:rPr>
        <w:t xml:space="preserve">,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405F96D3" w14:textId="77777777" w:rsidR="000D5040" w:rsidRPr="003F2A9C" w:rsidRDefault="000D5040" w:rsidP="000D5040">
      <w:pPr>
        <w:spacing w:after="0" w:line="240" w:lineRule="auto"/>
        <w:jc w:val="both"/>
        <w:rPr>
          <w:rFonts w:ascii="Verdana" w:hAnsi="Verdana" w:cs="Arial"/>
          <w:b/>
          <w:sz w:val="20"/>
          <w:lang w:val="es-MX" w:eastAsia="es-ES_tradnl"/>
        </w:rPr>
      </w:pPr>
    </w:p>
    <w:p w14:paraId="2E29E449" w14:textId="77777777" w:rsidR="000D5040" w:rsidRPr="00682C93" w:rsidRDefault="000D5040" w:rsidP="000D5040">
      <w:pPr>
        <w:spacing w:after="0" w:line="240" w:lineRule="auto"/>
        <w:jc w:val="both"/>
        <w:rPr>
          <w:rFonts w:ascii="Verdana" w:hAnsi="Verdana" w:cs="Arial"/>
          <w:b/>
          <w:lang w:val="es-MX" w:eastAsia="es-ES_tradnl"/>
        </w:rPr>
      </w:pPr>
      <w:r w:rsidRPr="00682C93">
        <w:rPr>
          <w:rFonts w:ascii="Verdana" w:hAnsi="Verdana" w:cs="Arial"/>
          <w:b/>
          <w:lang w:val="es-MX" w:eastAsia="es-ES_tradnl"/>
        </w:rPr>
        <w:lastRenderedPageBreak/>
        <w:t xml:space="preserve">LEY DE GARANTÍAS ELECTORALES – Prohibición artículo 33 – Contratación directa – Alcance </w:t>
      </w:r>
    </w:p>
    <w:p w14:paraId="182790E0" w14:textId="77777777" w:rsidR="000D5040" w:rsidRDefault="000D5040" w:rsidP="000D5040">
      <w:pPr>
        <w:spacing w:after="0" w:line="240" w:lineRule="auto"/>
        <w:jc w:val="both"/>
        <w:rPr>
          <w:rFonts w:ascii="Verdana" w:hAnsi="Verdana" w:cs="Arial"/>
          <w:b/>
          <w:lang w:val="es-MX" w:eastAsia="es-ES_tradnl"/>
        </w:rPr>
      </w:pPr>
    </w:p>
    <w:p w14:paraId="40ED985F" w14:textId="77777777" w:rsidR="000D5040" w:rsidRPr="00E41F23" w:rsidRDefault="000D5040" w:rsidP="000D5040">
      <w:pPr>
        <w:spacing w:after="0" w:line="240" w:lineRule="auto"/>
        <w:jc w:val="both"/>
        <w:rPr>
          <w:rFonts w:ascii="Verdana" w:eastAsia="Times New Roman" w:hAnsi="Verdana" w:cs="Arial"/>
          <w:bCs/>
          <w:sz w:val="20"/>
          <w:lang w:eastAsia="x-none"/>
        </w:rPr>
      </w:pPr>
      <w:r w:rsidRPr="00E41F23">
        <w:rPr>
          <w:rFonts w:ascii="Verdana" w:eastAsia="Times New Roman" w:hAnsi="Verdana" w:cs="Arial"/>
          <w:sz w:val="20"/>
          <w:lang w:eastAsia="x-none"/>
        </w:rPr>
        <w:t xml:space="preserve">De acuerdo con el citado concepto, la prohibición del artículo 33 de la Ley de Garantías Electorales se refiere a </w:t>
      </w:r>
      <w:r w:rsidRPr="00E41F23">
        <w:rPr>
          <w:rFonts w:ascii="Verdana" w:eastAsia="Times New Roman" w:hAnsi="Verdana" w:cs="Arial"/>
          <w:sz w:val="18"/>
          <w:szCs w:val="19"/>
          <w:lang w:eastAsia="en-GB"/>
        </w:rPr>
        <w:t>“</w:t>
      </w:r>
      <w:r w:rsidRPr="00E41F23">
        <w:rPr>
          <w:rFonts w:ascii="Verdana" w:eastAsia="Times New Roman" w:hAnsi="Verdana" w:cs="Arial"/>
          <w:sz w:val="20"/>
          <w:lang w:eastAsia="x-none"/>
        </w:rPr>
        <w:t>cualquier sistema que no implique convocatoria pública y posibilidad de pluralidad de oferentes</w:t>
      </w:r>
      <w:r w:rsidRPr="00E41F23">
        <w:rPr>
          <w:rFonts w:ascii="Verdana" w:eastAsia="Times New Roman" w:hAnsi="Verdana" w:cs="Arial"/>
          <w:sz w:val="20"/>
          <w:lang w:eastAsia="en-GB"/>
        </w:rPr>
        <w:t>”</w:t>
      </w:r>
      <w:r w:rsidRPr="00E41F23">
        <w:rPr>
          <w:rFonts w:ascii="Verdana" w:eastAsia="Times New Roman" w:hAnsi="Verdana" w:cs="Arial"/>
          <w:sz w:val="20"/>
          <w:lang w:eastAsia="x-none"/>
        </w:rPr>
        <w:t xml:space="preserve">, por lo que excluye las demás modalidades de contratación previstas en la Ley 1150 de 2007, es decir, la licitación pública, la selección abreviada, el concurso de méritos </w:t>
      </w:r>
      <w:r w:rsidRPr="00E41F23">
        <w:rPr>
          <w:rFonts w:ascii="Verdana" w:eastAsia="Times New Roman" w:hAnsi="Verdana" w:cs="Arial"/>
          <w:sz w:val="20"/>
          <w:lang w:val="es-ES_tradnl" w:eastAsia="x-none"/>
        </w:rPr>
        <w:t>y la mínima cuantía</w:t>
      </w:r>
      <w:r w:rsidRPr="00E41F23" w:rsidDel="00A85D9F">
        <w:rPr>
          <w:rFonts w:ascii="Verdana" w:eastAsia="Times New Roman" w:hAnsi="Verdana" w:cs="Arial"/>
          <w:sz w:val="20"/>
          <w:lang w:eastAsia="x-none"/>
        </w:rPr>
        <w:t xml:space="preserve"> </w:t>
      </w:r>
      <w:r w:rsidRPr="00E41F23">
        <w:rPr>
          <w:rFonts w:ascii="Verdana" w:eastAsia="Times New Roman" w:hAnsi="Verdana" w:cs="Arial"/>
          <w:sz w:val="20"/>
          <w:lang w:eastAsia="x-none"/>
        </w:rPr>
        <w:t xml:space="preserve">u otros previstos en normas especiales. Esta posición es congruente con la expedición de la Ley 1150 de 2007 que, entre otras reformas, introdujo la selección abreviada, rediseñó el concurso de méritos y sistematizó las causales de contratación directa, </w:t>
      </w:r>
      <w:r w:rsidRPr="00E41F23">
        <w:rPr>
          <w:rFonts w:ascii="Verdana" w:eastAsia="Calibri" w:hAnsi="Verdana" w:cs="Arial"/>
          <w:sz w:val="20"/>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75FB5AC9" w14:textId="77777777" w:rsidR="000D5040" w:rsidRPr="00E41F23" w:rsidRDefault="000D5040" w:rsidP="000D5040">
      <w:pPr>
        <w:spacing w:after="0" w:line="240" w:lineRule="auto"/>
        <w:jc w:val="both"/>
        <w:rPr>
          <w:rFonts w:ascii="Verdana" w:hAnsi="Verdana" w:cs="Arial"/>
          <w:b/>
          <w:lang w:eastAsia="es-ES_tradnl"/>
        </w:rPr>
      </w:pPr>
    </w:p>
    <w:p w14:paraId="46D6CEE6" w14:textId="77777777" w:rsidR="000D5040" w:rsidRPr="00682C93" w:rsidRDefault="000D5040" w:rsidP="000D5040">
      <w:pPr>
        <w:spacing w:after="0" w:line="240" w:lineRule="auto"/>
        <w:jc w:val="both"/>
        <w:rPr>
          <w:rFonts w:ascii="Verdana" w:hAnsi="Verdana" w:cs="Arial"/>
          <w:b/>
          <w:lang w:val="es-MX" w:eastAsia="es-ES_tradnl"/>
        </w:rPr>
      </w:pPr>
      <w:r w:rsidRPr="00682C93">
        <w:rPr>
          <w:rFonts w:ascii="Verdana" w:hAnsi="Verdana" w:cs="Arial"/>
          <w:b/>
          <w:lang w:val="es-MX" w:eastAsia="es-ES_tradnl"/>
        </w:rPr>
        <w:t>LEY DE GARANTÍAS ELECTORALES – Excepciones</w:t>
      </w:r>
    </w:p>
    <w:p w14:paraId="39CC2D64" w14:textId="77777777" w:rsidR="000D5040" w:rsidRPr="00E41F23" w:rsidRDefault="000D5040" w:rsidP="000D5040">
      <w:pPr>
        <w:spacing w:after="0" w:line="240" w:lineRule="auto"/>
        <w:jc w:val="both"/>
        <w:rPr>
          <w:rFonts w:ascii="Verdana" w:hAnsi="Verdana" w:cs="Arial"/>
          <w:b/>
          <w:sz w:val="20"/>
          <w:lang w:val="es-MX" w:eastAsia="es-ES_tradnl"/>
        </w:rPr>
      </w:pPr>
    </w:p>
    <w:p w14:paraId="68F61504" w14:textId="77777777" w:rsidR="000D5040" w:rsidRPr="00E41F23" w:rsidRDefault="000D5040" w:rsidP="000D5040">
      <w:pPr>
        <w:spacing w:after="0" w:line="240" w:lineRule="auto"/>
        <w:jc w:val="both"/>
        <w:rPr>
          <w:rFonts w:ascii="Verdana" w:eastAsia="Times New Roman" w:hAnsi="Verdana" w:cs="Arial"/>
          <w:bCs/>
          <w:sz w:val="20"/>
          <w:lang w:val="es-MX" w:eastAsia="es-CO"/>
        </w:rPr>
      </w:pPr>
      <w:r w:rsidRPr="00E41F23">
        <w:rPr>
          <w:rFonts w:ascii="Verdana" w:eastAsia="Times New Roman" w:hAnsi="Verdana" w:cs="Arial"/>
          <w:bCs/>
          <w:sz w:val="20"/>
          <w:lang w:val="es-MX" w:eastAsia="x-none"/>
        </w:rPr>
        <w:t>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E41F23">
        <w:rPr>
          <w:rFonts w:ascii="Verdana" w:eastAsia="Times New Roman" w:hAnsi="Verdana" w:cs="Arial"/>
          <w:bCs/>
          <w:sz w:val="20"/>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4391236E" w14:textId="77777777" w:rsidR="000D5040" w:rsidRPr="00682C93" w:rsidRDefault="000D5040" w:rsidP="000D5040">
      <w:pPr>
        <w:spacing w:after="0" w:line="240" w:lineRule="auto"/>
        <w:jc w:val="both"/>
        <w:rPr>
          <w:rFonts w:ascii="Verdana" w:hAnsi="Verdana" w:cs="Arial"/>
          <w:b/>
          <w:lang w:val="es-MX" w:eastAsia="es-ES_tradnl"/>
        </w:rPr>
      </w:pPr>
    </w:p>
    <w:p w14:paraId="3208F8CC" w14:textId="77777777" w:rsidR="000D5040" w:rsidRPr="00682C93" w:rsidRDefault="000D5040" w:rsidP="000D5040">
      <w:pPr>
        <w:spacing w:after="0" w:line="240" w:lineRule="auto"/>
        <w:jc w:val="both"/>
        <w:rPr>
          <w:rFonts w:ascii="Verdana" w:hAnsi="Verdana" w:cs="Arial"/>
          <w:b/>
          <w:lang w:val="es-MX" w:eastAsia="es-ES_tradnl"/>
        </w:rPr>
      </w:pPr>
      <w:r w:rsidRPr="00682C93">
        <w:rPr>
          <w:rFonts w:ascii="Verdana" w:hAnsi="Verdana" w:cs="Arial"/>
          <w:b/>
          <w:lang w:val="es-MX" w:eastAsia="es-ES_tradnl"/>
        </w:rPr>
        <w:t xml:space="preserve"> LEY DE GARANTÍAS ELECTORALES – Prohibición del artículo 33 – Destinatarios </w:t>
      </w:r>
    </w:p>
    <w:p w14:paraId="1D3D68AD" w14:textId="77777777" w:rsidR="000D5040" w:rsidRDefault="000D5040" w:rsidP="000D5040">
      <w:pPr>
        <w:spacing w:after="0" w:line="240" w:lineRule="auto"/>
        <w:rPr>
          <w:rFonts w:ascii="Verdana" w:hAnsi="Verdana" w:cs="Arial"/>
          <w:lang w:val="es-MX" w:eastAsia="es-ES_tradnl"/>
        </w:rPr>
      </w:pPr>
    </w:p>
    <w:p w14:paraId="57E58206" w14:textId="77777777" w:rsidR="000D5040" w:rsidRDefault="000D5040" w:rsidP="000D5040">
      <w:pPr>
        <w:spacing w:after="0" w:line="240" w:lineRule="auto"/>
        <w:jc w:val="both"/>
        <w:rPr>
          <w:rFonts w:ascii="Verdana" w:eastAsia="Calibri" w:hAnsi="Verdana" w:cs="Arial"/>
          <w:sz w:val="20"/>
          <w:lang w:val="es-MX"/>
        </w:rPr>
      </w:pPr>
      <w:r w:rsidRPr="00E41F23">
        <w:rPr>
          <w:rFonts w:ascii="Verdana" w:eastAsia="Calibri" w:hAnsi="Verdana" w:cs="Arial"/>
          <w:sz w:val="20"/>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E41F23">
        <w:rPr>
          <w:rFonts w:ascii="Verdana" w:eastAsia="Times New Roman" w:hAnsi="Verdana" w:cs="Arial"/>
          <w:bCs/>
          <w:sz w:val="20"/>
          <w:lang w:val="es-MX" w:eastAsia="x-none"/>
        </w:rPr>
        <w:t>establecimientos de crédito, las sociedades de servicios financieros y las entidades aseguradoras</w:t>
      </w:r>
      <w:r w:rsidRPr="00E41F23">
        <w:rPr>
          <w:rFonts w:ascii="Verdana" w:eastAsia="Calibri" w:hAnsi="Verdana" w:cs="Arial"/>
          <w:sz w:val="20"/>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w:t>
      </w:r>
      <w:r w:rsidRPr="00E41F23">
        <w:rPr>
          <w:rFonts w:ascii="Verdana" w:eastAsia="Calibri" w:hAnsi="Verdana" w:cs="Arial"/>
          <w:sz w:val="20"/>
          <w:lang w:val="es-MX"/>
        </w:rPr>
        <w:lastRenderedPageBreak/>
        <w:t>públicos a su cargo a nuevas personas, ni dejar de renovar los contratos existentes, pues significaría la parálisis de una actividad propia de la administración, que incluso podría desconocer los derechos fundamentales”</w:t>
      </w:r>
      <w:r>
        <w:rPr>
          <w:rFonts w:ascii="Verdana" w:eastAsia="Calibri" w:hAnsi="Verdana" w:cs="Arial"/>
          <w:sz w:val="20"/>
          <w:lang w:val="es-MX"/>
        </w:rPr>
        <w:t>.</w:t>
      </w:r>
    </w:p>
    <w:p w14:paraId="1AB9FD78" w14:textId="77777777" w:rsidR="000D5040" w:rsidRPr="008835B4" w:rsidRDefault="000D5040" w:rsidP="000D5040">
      <w:pPr>
        <w:spacing w:after="0" w:line="240" w:lineRule="auto"/>
        <w:jc w:val="both"/>
        <w:rPr>
          <w:rFonts w:ascii="Verdana" w:hAnsi="Verdana" w:cs="Arial"/>
          <w:sz w:val="20"/>
          <w:lang w:val="es-MX" w:eastAsia="es-ES_tradnl"/>
        </w:rPr>
      </w:pPr>
    </w:p>
    <w:p w14:paraId="6C3D9D89" w14:textId="77777777" w:rsidR="000D5040" w:rsidRPr="008835B4" w:rsidRDefault="000D5040" w:rsidP="000D5040">
      <w:pPr>
        <w:spacing w:after="0" w:line="240" w:lineRule="auto"/>
        <w:jc w:val="both"/>
        <w:rPr>
          <w:rFonts w:ascii="Verdana" w:eastAsia="Calibri" w:hAnsi="Verdana" w:cs="Arial"/>
          <w:b/>
          <w:color w:val="000000"/>
          <w:lang w:val="es-MX"/>
        </w:rPr>
      </w:pPr>
      <w:r w:rsidRPr="008835B4">
        <w:rPr>
          <w:rFonts w:ascii="Verdana" w:eastAsia="Calibri" w:hAnsi="Verdana" w:cs="Arial"/>
          <w:b/>
          <w:color w:val="000000"/>
          <w:lang w:val="es-MX"/>
        </w:rPr>
        <w:t xml:space="preserve">LEY DE GARANTÍAS ELECTORALES – Contratos y convenios interadministrativos – Criterio orgánico </w:t>
      </w:r>
    </w:p>
    <w:p w14:paraId="12D192C6" w14:textId="77777777" w:rsidR="000D5040" w:rsidRDefault="000D5040" w:rsidP="000D5040">
      <w:pPr>
        <w:spacing w:after="0" w:line="240" w:lineRule="auto"/>
        <w:jc w:val="both"/>
        <w:rPr>
          <w:rFonts w:ascii="Verdana" w:eastAsia="Calibri" w:hAnsi="Verdana" w:cs="Arial"/>
          <w:color w:val="000000"/>
          <w:lang w:val="es-MX"/>
        </w:rPr>
      </w:pPr>
    </w:p>
    <w:p w14:paraId="0CF86F1A" w14:textId="77777777" w:rsidR="000D5040" w:rsidRDefault="000D5040" w:rsidP="000D5040">
      <w:pPr>
        <w:spacing w:after="0" w:line="240" w:lineRule="auto"/>
        <w:jc w:val="both"/>
        <w:rPr>
          <w:rFonts w:ascii="Verdana" w:eastAsia="Calibri" w:hAnsi="Verdana" w:cs="Arial"/>
          <w:color w:val="000000"/>
          <w:sz w:val="20"/>
        </w:rPr>
      </w:pPr>
      <w:r w:rsidRPr="008835B4">
        <w:rPr>
          <w:rFonts w:ascii="Verdana" w:eastAsia="Calibri" w:hAnsi="Verdana" w:cs="Arial"/>
          <w:color w:val="000000"/>
          <w:sz w:val="20"/>
          <w:lang w:val="es-ES"/>
        </w:rPr>
        <w:t xml:space="preserve">Para tales efectos, debe precisarse que los contratos o convenios interadministrativos están determinados por un criterio orgánico, pues es necesario que los extremos de la relación contractual sean entidades públicas, </w:t>
      </w:r>
      <w:r w:rsidRPr="008835B4">
        <w:rPr>
          <w:rFonts w:ascii="Verdana" w:eastAsia="Calibri" w:hAnsi="Verdana" w:cs="Arial"/>
          <w:color w:val="000000"/>
          <w:sz w:val="20"/>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p>
    <w:p w14:paraId="31CB02A0" w14:textId="77777777" w:rsidR="000D5040" w:rsidRPr="008835B4" w:rsidRDefault="000D5040" w:rsidP="000D5040">
      <w:pPr>
        <w:spacing w:after="0" w:line="240" w:lineRule="auto"/>
        <w:jc w:val="both"/>
        <w:rPr>
          <w:rFonts w:ascii="Verdana" w:eastAsia="Calibri" w:hAnsi="Verdana" w:cs="Arial"/>
          <w:color w:val="000000"/>
          <w:sz w:val="20"/>
        </w:rPr>
      </w:pPr>
    </w:p>
    <w:p w14:paraId="54308738" w14:textId="77777777" w:rsidR="000D5040" w:rsidRDefault="000D5040" w:rsidP="000D5040">
      <w:pPr>
        <w:spacing w:after="0" w:line="240" w:lineRule="auto"/>
        <w:jc w:val="both"/>
        <w:rPr>
          <w:rFonts w:ascii="Verdana" w:eastAsia="Calibri" w:hAnsi="Verdana" w:cs="Arial"/>
          <w:color w:val="000000"/>
          <w:sz w:val="20"/>
          <w:lang w:val="es-ES_tradnl"/>
        </w:rPr>
      </w:pPr>
      <w:r w:rsidRPr="008835B4">
        <w:rPr>
          <w:rFonts w:ascii="Verdana" w:eastAsia="Calibri" w:hAnsi="Verdana" w:cs="Arial"/>
          <w:color w:val="000000"/>
          <w:sz w:val="20"/>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64C05A0A" w14:textId="77777777" w:rsidR="000D5040" w:rsidRPr="008835B4" w:rsidRDefault="000D5040" w:rsidP="000D5040">
      <w:pPr>
        <w:spacing w:after="0" w:line="240" w:lineRule="auto"/>
        <w:jc w:val="both"/>
        <w:rPr>
          <w:rFonts w:ascii="Verdana" w:eastAsia="Calibri" w:hAnsi="Verdana" w:cs="Arial"/>
          <w:color w:val="000000"/>
          <w:sz w:val="20"/>
          <w:lang w:val="es-ES_tradnl"/>
        </w:rPr>
      </w:pPr>
    </w:p>
    <w:p w14:paraId="424B24A6" w14:textId="77777777" w:rsidR="000D5040" w:rsidRPr="008835B4" w:rsidRDefault="000D5040" w:rsidP="000D5040">
      <w:pPr>
        <w:spacing w:after="0" w:line="240" w:lineRule="auto"/>
        <w:jc w:val="both"/>
        <w:rPr>
          <w:rFonts w:ascii="Verdana" w:eastAsia="Calibri" w:hAnsi="Verdana" w:cs="Arial"/>
          <w:color w:val="000000"/>
          <w:sz w:val="20"/>
          <w:lang w:val="es-ES_tradnl"/>
        </w:rPr>
      </w:pPr>
      <w:r w:rsidRPr="008835B4">
        <w:rPr>
          <w:rFonts w:ascii="Verdana" w:eastAsia="Calibri" w:hAnsi="Verdana" w:cs="Arial"/>
          <w:color w:val="000000"/>
          <w:sz w:val="20"/>
          <w:lang w:val="es-ES"/>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 Nótese que, en este caso, lo que cambia es la modalidad de selección y no la naturaleza de contrato interadministrativo.</w:t>
      </w:r>
    </w:p>
    <w:p w14:paraId="57C9C72D" w14:textId="77777777" w:rsidR="000D5040" w:rsidRPr="008835B4" w:rsidRDefault="000D5040" w:rsidP="000D5040">
      <w:pPr>
        <w:spacing w:after="0" w:line="240" w:lineRule="auto"/>
        <w:jc w:val="both"/>
        <w:rPr>
          <w:rFonts w:ascii="Verdana" w:eastAsia="Calibri" w:hAnsi="Verdana" w:cs="Arial"/>
          <w:color w:val="000000"/>
          <w:lang w:val="es-ES_tradnl"/>
        </w:rPr>
      </w:pPr>
    </w:p>
    <w:p w14:paraId="72EADF23" w14:textId="77777777" w:rsidR="000D5040" w:rsidRPr="008835B4" w:rsidRDefault="000D5040" w:rsidP="000D5040">
      <w:pPr>
        <w:spacing w:after="0" w:line="240" w:lineRule="auto"/>
        <w:jc w:val="both"/>
        <w:rPr>
          <w:rFonts w:ascii="Verdana" w:eastAsia="Calibri" w:hAnsi="Verdana" w:cs="Arial"/>
          <w:b/>
          <w:color w:val="000000"/>
          <w:lang w:val="es-MX"/>
        </w:rPr>
      </w:pPr>
      <w:r w:rsidRPr="008835B4">
        <w:rPr>
          <w:rFonts w:ascii="Verdana" w:eastAsia="Calibri" w:hAnsi="Verdana" w:cs="Arial"/>
          <w:b/>
          <w:color w:val="000000"/>
          <w:lang w:val="es-MX"/>
        </w:rPr>
        <w:t>LEY DE GARANTÍAS ELECTORALES –Restricción- Convenios interadministrativos – Postura del Consejo de Estado.</w:t>
      </w:r>
    </w:p>
    <w:p w14:paraId="377F4118" w14:textId="77777777" w:rsidR="000D5040" w:rsidRDefault="000D5040" w:rsidP="000D5040">
      <w:pPr>
        <w:spacing w:after="0" w:line="240" w:lineRule="auto"/>
        <w:jc w:val="both"/>
        <w:rPr>
          <w:rFonts w:ascii="Verdana" w:eastAsia="Calibri" w:hAnsi="Verdana" w:cs="Arial"/>
          <w:color w:val="000000"/>
        </w:rPr>
      </w:pPr>
    </w:p>
    <w:p w14:paraId="27F10778" w14:textId="77777777" w:rsidR="000D5040" w:rsidRPr="00A07EBF" w:rsidRDefault="000D5040" w:rsidP="000D5040">
      <w:pPr>
        <w:spacing w:after="0" w:line="240" w:lineRule="auto"/>
        <w:jc w:val="both"/>
        <w:rPr>
          <w:rFonts w:ascii="Verdana" w:eastAsia="Calibri" w:hAnsi="Verdana" w:cs="Arial"/>
          <w:color w:val="000000"/>
          <w:sz w:val="20"/>
        </w:rPr>
      </w:pPr>
      <w:r w:rsidRPr="00A07EBF">
        <w:rPr>
          <w:rFonts w:ascii="Verdana" w:eastAsia="Calibri" w:hAnsi="Verdana" w:cs="Arial"/>
          <w:color w:val="000000"/>
          <w:sz w:val="20"/>
        </w:rPr>
        <w:t xml:space="preserve">Finalmente, mediante sentencia del 17 de octubre de 2025, emitida por la Sala de lo Contencioso Administrativo del Consejo de Estado, dentro del expediente 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 </w:t>
      </w:r>
    </w:p>
    <w:p w14:paraId="64B84096" w14:textId="77777777" w:rsidR="000D5040" w:rsidRPr="00A07EBF" w:rsidRDefault="000D5040" w:rsidP="000D5040">
      <w:pPr>
        <w:spacing w:after="0" w:line="240" w:lineRule="auto"/>
        <w:jc w:val="both"/>
        <w:rPr>
          <w:rFonts w:ascii="Verdana" w:eastAsia="Calibri" w:hAnsi="Verdana" w:cs="Arial"/>
          <w:color w:val="000000"/>
          <w:sz w:val="20"/>
        </w:rPr>
      </w:pPr>
    </w:p>
    <w:p w14:paraId="0B92AAF7" w14:textId="77777777" w:rsidR="000D5040" w:rsidRPr="00A07EBF" w:rsidRDefault="000D5040" w:rsidP="000D5040">
      <w:pPr>
        <w:spacing w:after="0" w:line="240" w:lineRule="auto"/>
        <w:jc w:val="both"/>
        <w:rPr>
          <w:rFonts w:ascii="Verdana" w:eastAsia="Calibri" w:hAnsi="Verdana" w:cs="Arial"/>
          <w:color w:val="000000"/>
          <w:sz w:val="20"/>
        </w:rPr>
      </w:pPr>
      <w:r w:rsidRPr="00A07EBF">
        <w:rPr>
          <w:rFonts w:ascii="Verdana" w:eastAsia="Calibri" w:hAnsi="Verdana" w:cs="Arial"/>
          <w:color w:val="000000"/>
          <w:sz w:val="20"/>
        </w:rPr>
        <w:t xml:space="preserve">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 Sobre el particular, la Sala concluyó que contratos y convenios interadministrativos son figuras distintas en naturaleza, objeto y efectos, pues mientras los contratos implican obligaciones patrimoniales y contraprestación, los </w:t>
      </w:r>
      <w:r w:rsidRPr="00A07EBF">
        <w:rPr>
          <w:rFonts w:ascii="Verdana" w:eastAsia="Calibri" w:hAnsi="Verdana" w:cs="Arial"/>
          <w:color w:val="000000"/>
          <w:sz w:val="20"/>
        </w:rPr>
        <w:lastRenderedPageBreak/>
        <w:t xml:space="preserve">convenios se basan en cooperación sin ánimo económico. Por ello, la restricción legal no podía aplicarse extensivamente a los contratos. </w:t>
      </w:r>
    </w:p>
    <w:p w14:paraId="14B56B7F" w14:textId="77777777" w:rsidR="000D5040" w:rsidRPr="00A07EBF" w:rsidRDefault="000D5040" w:rsidP="000D5040">
      <w:pPr>
        <w:spacing w:after="0" w:line="240" w:lineRule="auto"/>
        <w:jc w:val="both"/>
        <w:rPr>
          <w:rFonts w:ascii="Verdana" w:eastAsia="Calibri" w:hAnsi="Verdana" w:cs="Arial"/>
          <w:color w:val="000000"/>
          <w:sz w:val="20"/>
        </w:rPr>
      </w:pPr>
    </w:p>
    <w:p w14:paraId="0EE9AF98" w14:textId="77777777" w:rsidR="000D5040" w:rsidRPr="00A07EBF" w:rsidRDefault="000D5040" w:rsidP="000D5040">
      <w:pPr>
        <w:spacing w:after="0" w:line="240" w:lineRule="auto"/>
        <w:jc w:val="both"/>
        <w:rPr>
          <w:rFonts w:ascii="Verdana" w:eastAsia="Calibri" w:hAnsi="Verdana" w:cs="Arial"/>
          <w:color w:val="000000"/>
          <w:sz w:val="20"/>
        </w:rPr>
      </w:pPr>
      <w:r w:rsidRPr="00A07EBF">
        <w:rPr>
          <w:rFonts w:ascii="Verdana" w:eastAsia="Calibri" w:hAnsi="Verdana" w:cs="Arial"/>
          <w:color w:val="000000"/>
          <w:sz w:val="20"/>
        </w:rPr>
        <w:t xml:space="preserve">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Así las cosas, a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w:t>
      </w:r>
      <w:r w:rsidRPr="00A07EBF">
        <w:rPr>
          <w:rFonts w:ascii="Verdana" w:eastAsia="Calibri" w:hAnsi="Verdana" w:cs="Arial"/>
          <w:i/>
          <w:iCs/>
          <w:color w:val="000000"/>
          <w:sz w:val="20"/>
        </w:rPr>
        <w:t>contratos interadministrativos</w:t>
      </w:r>
      <w:r w:rsidRPr="00A07EBF">
        <w:rPr>
          <w:rFonts w:ascii="Verdana" w:eastAsia="Calibri" w:hAnsi="Verdana" w:cs="Arial"/>
          <w:color w:val="000000"/>
          <w:sz w:val="20"/>
        </w:rPr>
        <w:t xml:space="preserve">, esta prohibición solo aplicaría a los convenios interadministrativos que impliquen la ejecución de recursos públicos. Conforme a lo señalado por el Consejo de Estado, cuando dos entidades públicas celebren un </w:t>
      </w:r>
      <w:r w:rsidRPr="00A07EBF">
        <w:rPr>
          <w:rFonts w:ascii="Verdana" w:eastAsia="Calibri" w:hAnsi="Verdana" w:cs="Arial"/>
          <w:i/>
          <w:iCs/>
          <w:color w:val="000000"/>
          <w:sz w:val="20"/>
        </w:rPr>
        <w:t>contrato interadministrativo,</w:t>
      </w:r>
      <w:r w:rsidRPr="00A07EBF">
        <w:rPr>
          <w:rFonts w:ascii="Verdana" w:eastAsia="Calibri" w:hAnsi="Verdana" w:cs="Arial"/>
          <w:color w:val="000000"/>
          <w:sz w:val="20"/>
        </w:rPr>
        <w:t xml:space="preserve"> independientemente del objeto, dicho contrato puede suscribirse durante el periodo preelectoral.</w:t>
      </w:r>
    </w:p>
    <w:p w14:paraId="51E41280" w14:textId="32452156" w:rsidR="000D5040" w:rsidRPr="000D5040" w:rsidRDefault="000D5040" w:rsidP="000D5040">
      <w:pPr>
        <w:spacing w:after="0" w:line="240" w:lineRule="auto"/>
        <w:jc w:val="both"/>
        <w:rPr>
          <w:rFonts w:ascii="Verdana" w:hAnsi="Verdana"/>
          <w:b/>
        </w:rPr>
      </w:pPr>
    </w:p>
    <w:p w14:paraId="5CB6D4D4" w14:textId="77777777" w:rsidR="000D5040" w:rsidRPr="000D5040" w:rsidRDefault="000D5040" w:rsidP="000D5040">
      <w:pPr>
        <w:spacing w:after="0" w:line="240" w:lineRule="auto"/>
        <w:jc w:val="both"/>
        <w:rPr>
          <w:rFonts w:ascii="Verdana" w:hAnsi="Verdana"/>
          <w:b/>
          <w:lang w:val="es-MX"/>
        </w:rPr>
      </w:pPr>
      <w:r w:rsidRPr="000D5040">
        <w:rPr>
          <w:rFonts w:ascii="Verdana" w:hAnsi="Verdana"/>
          <w:b/>
          <w:lang w:val="es-MX"/>
        </w:rPr>
        <w:t>LEY DE GARANTIAS ELECTORALES – Transferencias – Acto Administrativo – No restricción</w:t>
      </w:r>
    </w:p>
    <w:p w14:paraId="50188625" w14:textId="77777777" w:rsidR="000D5040" w:rsidRDefault="000D5040" w:rsidP="000D5040">
      <w:pPr>
        <w:spacing w:after="0" w:line="240" w:lineRule="auto"/>
        <w:jc w:val="both"/>
        <w:rPr>
          <w:rFonts w:ascii="Verdana" w:hAnsi="Verdana"/>
          <w:bCs/>
          <w:sz w:val="20"/>
        </w:rPr>
      </w:pPr>
    </w:p>
    <w:p w14:paraId="0B30BC06" w14:textId="77777777" w:rsidR="000D5040" w:rsidRDefault="000D5040" w:rsidP="000D5040">
      <w:pPr>
        <w:spacing w:after="0" w:line="240" w:lineRule="auto"/>
        <w:jc w:val="both"/>
        <w:rPr>
          <w:rFonts w:ascii="Verdana" w:hAnsi="Verdana"/>
          <w:bCs/>
          <w:sz w:val="20"/>
        </w:rPr>
      </w:pPr>
      <w:r w:rsidRPr="000D5040">
        <w:rPr>
          <w:rFonts w:ascii="Verdana" w:hAnsi="Verdana"/>
          <w:bCs/>
          <w:sz w:val="20"/>
        </w:rPr>
        <w:t xml:space="preserve">Toda inversión o transferencia de recursos que se haga mediante acto administrativo no puede asimilarse a un convenio o a un contrato interadministrativo. En este sentido, es importante precisar que los actos administrativos son declaraciones unilaterales de voluntad encaminadas a la producción de efectos jurídicos vinculantes, mientras los contratos o convenios entre entidades estatales son acuerdos de voluntad encaminadas a la producción de efectos jurídicos vinculantes. Desde esta perspectiva, la naturaleza jurídica de las transferencias que se enmarca en actos administrativo, no son asimilables a las condiciones esenciales del contrato estatal, particularmente, el acuerdo de voluntades y la generación de obligaciones bilaterales. </w:t>
      </w:r>
    </w:p>
    <w:p w14:paraId="15D442D6" w14:textId="77777777" w:rsidR="000D5040" w:rsidRDefault="000D5040" w:rsidP="000D5040">
      <w:pPr>
        <w:spacing w:after="0" w:line="240" w:lineRule="auto"/>
        <w:jc w:val="both"/>
        <w:rPr>
          <w:rFonts w:ascii="Verdana" w:hAnsi="Verdana"/>
          <w:bCs/>
          <w:sz w:val="20"/>
        </w:rPr>
      </w:pPr>
    </w:p>
    <w:p w14:paraId="0A980618" w14:textId="01077305" w:rsidR="000D5040" w:rsidRPr="000D5040" w:rsidRDefault="000D5040" w:rsidP="000D5040">
      <w:pPr>
        <w:spacing w:after="0" w:line="240" w:lineRule="auto"/>
        <w:jc w:val="both"/>
        <w:rPr>
          <w:rFonts w:ascii="Verdana" w:hAnsi="Verdana"/>
          <w:bCs/>
          <w:sz w:val="20"/>
        </w:rPr>
      </w:pPr>
      <w:r w:rsidRPr="000D5040">
        <w:rPr>
          <w:rFonts w:ascii="Verdana" w:hAnsi="Verdana"/>
          <w:bCs/>
          <w:sz w:val="20"/>
        </w:rPr>
        <w:t>En consecuencia, estas actuaciones no se encuentran comprendidas dentro de las prohibiciones previstas en los artículos 33 y 38 de la Ley 996 de 2005, que restringen la contratación directa durante los 4 meses previos a las elecciones presidenciales de todas las entidades del Estado, así como la celebración de convenios interadministrativos para la ejecución de recursos públicos en los 4 meses previos a cualquier contienda electoral. La restricción aplica exclusivamente a instrumentos contractuales que impliquen acuerdo de voluntades, no a actos administrativos de ejecución presupuestal que materializan decisiones previamente adoptadas en el marco de la planeación y programación del gasto público.</w:t>
      </w:r>
    </w:p>
    <w:p w14:paraId="210DEE74" w14:textId="1F72C14E" w:rsidR="000D5040" w:rsidRPr="000D5040" w:rsidRDefault="000D5040" w:rsidP="000D5040">
      <w:pPr>
        <w:spacing w:after="0" w:line="240" w:lineRule="auto"/>
        <w:jc w:val="both"/>
        <w:rPr>
          <w:rFonts w:ascii="Verdana" w:hAnsi="Verdana"/>
          <w:b/>
        </w:rPr>
      </w:pPr>
    </w:p>
    <w:p w14:paraId="211CAF72" w14:textId="52FBE8FD" w:rsidR="000D5040" w:rsidRDefault="000D5040" w:rsidP="000D5040">
      <w:pPr>
        <w:spacing w:after="0" w:line="240" w:lineRule="auto"/>
        <w:jc w:val="both"/>
        <w:rPr>
          <w:rFonts w:ascii="Verdana" w:hAnsi="Verdana"/>
          <w:b/>
          <w:lang w:val="es-ES"/>
        </w:rPr>
      </w:pPr>
      <w:r w:rsidRPr="000D5040">
        <w:rPr>
          <w:rFonts w:ascii="Verdana" w:hAnsi="Verdana"/>
          <w:b/>
          <w:lang w:val="es-ES"/>
        </w:rPr>
        <w:t xml:space="preserve">LEY DE GARANTÍAS ELECTORALES - </w:t>
      </w:r>
      <w:r w:rsidRPr="000D5040">
        <w:rPr>
          <w:rFonts w:ascii="Verdana" w:hAnsi="Verdana"/>
          <w:b/>
          <w:bCs/>
        </w:rPr>
        <w:t>Plan de Salud Pública de Intervenciones Colectivas</w:t>
      </w:r>
      <w:r w:rsidRPr="000D5040">
        <w:rPr>
          <w:rFonts w:ascii="Verdana" w:hAnsi="Verdana"/>
          <w:b/>
          <w:lang w:val="es-ES"/>
        </w:rPr>
        <w:t xml:space="preserve"> -PIC- Alcance – Artículo 33 - Parágrafo del artículo 38.</w:t>
      </w:r>
    </w:p>
    <w:p w14:paraId="252626E0" w14:textId="7EF36FBD" w:rsidR="000D5040" w:rsidRPr="000D5040" w:rsidRDefault="000D5040" w:rsidP="000D5040">
      <w:pPr>
        <w:spacing w:after="0" w:line="240" w:lineRule="auto"/>
        <w:jc w:val="both"/>
        <w:rPr>
          <w:rFonts w:ascii="Verdana" w:hAnsi="Verdana"/>
          <w:sz w:val="20"/>
          <w:lang w:val="es-ES"/>
        </w:rPr>
      </w:pPr>
    </w:p>
    <w:p w14:paraId="15485B2C" w14:textId="575300F3" w:rsidR="000D5040" w:rsidRPr="000D5040" w:rsidRDefault="000D5040" w:rsidP="000D5040">
      <w:pPr>
        <w:spacing w:after="0" w:line="240" w:lineRule="auto"/>
        <w:jc w:val="both"/>
        <w:rPr>
          <w:rFonts w:ascii="Verdana" w:hAnsi="Verdana"/>
          <w:bCs/>
          <w:sz w:val="20"/>
        </w:rPr>
      </w:pPr>
      <w:r w:rsidRPr="000D5040">
        <w:rPr>
          <w:rFonts w:ascii="Verdana" w:hAnsi="Verdana"/>
          <w:bCs/>
          <w:sz w:val="20"/>
        </w:rPr>
        <w:t xml:space="preserve">Teniendo en cuenta lo expuesto, la entidad, previo análisis de las excepciones, podrá proceder en tal sentido y contratar directamente a pesar de que haya iniciado el periodo </w:t>
      </w:r>
      <w:r w:rsidRPr="000D5040">
        <w:rPr>
          <w:rFonts w:ascii="Verdana" w:hAnsi="Verdana"/>
          <w:bCs/>
          <w:sz w:val="20"/>
        </w:rPr>
        <w:lastRenderedPageBreak/>
        <w:t xml:space="preserve">de garantías electorales correspondiente al artículo 33 de la Ley 996 de 2005. Con respecto a la prohibición del </w:t>
      </w:r>
      <w:r w:rsidRPr="000D5040">
        <w:rPr>
          <w:rFonts w:ascii="Verdana" w:hAnsi="Verdana"/>
          <w:bCs/>
          <w:i/>
          <w:iCs/>
          <w:sz w:val="20"/>
        </w:rPr>
        <w:t>parágrafo del artículo 38</w:t>
      </w:r>
      <w:r w:rsidRPr="000D5040">
        <w:rPr>
          <w:rFonts w:ascii="Verdana" w:hAnsi="Verdana"/>
          <w:bCs/>
          <w:sz w:val="20"/>
        </w:rPr>
        <w:t>, es necesario verificar si la contratación del PIC es llevada a cabo por los “Alcaldes, Gobernadores, Secretarios, Gerentes y Directores de las entidades del orden municipal, departamental o distrital”; así como determinar si lo que pretende adelantar es un convenio interadministrativo para la ejecución de recursos públicos. Cuando este sea el caso, operará la restricción señalada en el parágrafo y estará prohibido llevar a cabo la celebración de convenios interadministrativos</w:t>
      </w:r>
      <w:r>
        <w:rPr>
          <w:rFonts w:ascii="Verdana" w:hAnsi="Verdana"/>
          <w:bCs/>
          <w:sz w:val="20"/>
          <w:vertAlign w:val="superscript"/>
        </w:rPr>
        <w:t xml:space="preserve"> </w:t>
      </w:r>
      <w:r w:rsidRPr="000D5040">
        <w:rPr>
          <w:rFonts w:ascii="Verdana" w:hAnsi="Verdana"/>
          <w:bCs/>
          <w:sz w:val="20"/>
        </w:rPr>
        <w:t xml:space="preserve">en los cuatro meses anteriores a cualquier contienda electoral. En este aspecto, se encuentra que la restricción para la celebración de convenios interadministrativos para la ejecución de recursos públicos no puede aludirse a contratantes o contratistas, sino de partes cooperantes o colaboradoras. </w:t>
      </w:r>
      <w:r w:rsidRPr="000D5040">
        <w:rPr>
          <w:rFonts w:ascii="Verdana" w:hAnsi="Verdana"/>
          <w:bCs/>
          <w:sz w:val="20"/>
          <w:lang w:val="es-MX"/>
        </w:rPr>
        <w:t xml:space="preserve">Esta restricción se extiende a las elecciones presidenciales que se celebrarán el 31 de mayo de 2026, así como una posible segunda vuelta tres semanas después, es decir, el 21 de junio de 2026. </w:t>
      </w:r>
    </w:p>
    <w:p w14:paraId="3691FA96" w14:textId="77777777" w:rsidR="000D5040" w:rsidRDefault="000D5040" w:rsidP="000D5040">
      <w:pPr>
        <w:spacing w:after="0" w:line="240" w:lineRule="auto"/>
        <w:jc w:val="both"/>
        <w:rPr>
          <w:rFonts w:ascii="Verdana" w:hAnsi="Verdana"/>
          <w:bCs/>
          <w:sz w:val="20"/>
        </w:rPr>
      </w:pPr>
    </w:p>
    <w:p w14:paraId="13DE6973" w14:textId="16903D72" w:rsidR="000D5040" w:rsidRPr="000D5040" w:rsidRDefault="000D5040" w:rsidP="000D5040">
      <w:pPr>
        <w:spacing w:after="0" w:line="240" w:lineRule="auto"/>
        <w:jc w:val="both"/>
        <w:rPr>
          <w:rFonts w:ascii="Verdana" w:hAnsi="Verdana"/>
          <w:bCs/>
          <w:sz w:val="20"/>
        </w:rPr>
      </w:pPr>
      <w:r w:rsidRPr="000D5040">
        <w:rPr>
          <w:rFonts w:ascii="Verdana" w:hAnsi="Verdana"/>
          <w:bCs/>
          <w:sz w:val="20"/>
          <w:lang w:val="es-MX"/>
        </w:rPr>
        <w:t xml:space="preserve">En cuanto a la celebración de contratos interadministrativos ya no es aplicable la restricción del parágrafo del artículo 38, según la sentencia precitada en consideraciones previas, pero sujeto a las restricciones del artículo 33 si se adelanta la contratación de forma directa, esto es, un procedimiento no competitivo. </w:t>
      </w:r>
      <w:r w:rsidRPr="000D5040">
        <w:rPr>
          <w:rFonts w:ascii="Verdana" w:hAnsi="Verdana"/>
          <w:bCs/>
          <w:sz w:val="20"/>
        </w:rPr>
        <w:t>En todo caso, vale anotar que es responsabilidad del respectivo ente del Estado examinar en cada caso la naturaleza de las actividades que adelanta y justificar si las mismas se enmarcan en alguna de las excepciones, de manera que pueda realizar la contratación directa durante el periodo de la prohibición. Igualmente, le corresponde a cada entidad establecer si el instrumento jurídico que se pretende suscribir tiene la naturaleza de contrato o de convenio interadministrativo para la ejecución de recursos públicos. En este último supuesto, resulta aplicable la prohibición contenida en el parágrafo del artículo 38 de la Ley de Garantías Electorales, conforme se explicó.</w:t>
      </w:r>
    </w:p>
    <w:p w14:paraId="5C12A44A" w14:textId="34B978A9" w:rsidR="000D5040" w:rsidRDefault="000D5040" w:rsidP="000D5040">
      <w:pPr>
        <w:spacing w:after="0" w:line="240" w:lineRule="auto"/>
        <w:jc w:val="both"/>
        <w:rPr>
          <w:rFonts w:ascii="Verdana" w:hAnsi="Verdana"/>
          <w:b/>
        </w:rPr>
      </w:pPr>
    </w:p>
    <w:p w14:paraId="4A56CB4D" w14:textId="47779172" w:rsidR="000D5040" w:rsidRDefault="000D5040" w:rsidP="000D5040">
      <w:pPr>
        <w:spacing w:after="0" w:line="240" w:lineRule="auto"/>
        <w:jc w:val="both"/>
        <w:rPr>
          <w:rFonts w:ascii="Verdana" w:hAnsi="Verdana"/>
          <w:b/>
        </w:rPr>
      </w:pPr>
    </w:p>
    <w:p w14:paraId="5113A7F1" w14:textId="158EDEF3" w:rsidR="000D5040" w:rsidRDefault="000D5040" w:rsidP="000D5040">
      <w:pPr>
        <w:spacing w:after="0" w:line="240" w:lineRule="auto"/>
        <w:jc w:val="both"/>
        <w:rPr>
          <w:rFonts w:ascii="Verdana" w:hAnsi="Verdana"/>
          <w:b/>
        </w:rPr>
      </w:pPr>
    </w:p>
    <w:p w14:paraId="250BD045" w14:textId="125E2B8E" w:rsidR="000D5040" w:rsidRDefault="000D5040" w:rsidP="000D5040">
      <w:pPr>
        <w:spacing w:after="0" w:line="240" w:lineRule="auto"/>
        <w:jc w:val="both"/>
        <w:rPr>
          <w:rFonts w:ascii="Verdana" w:hAnsi="Verdana"/>
          <w:b/>
        </w:rPr>
      </w:pPr>
    </w:p>
    <w:p w14:paraId="41B99B43" w14:textId="31D4ED1A" w:rsidR="000D5040" w:rsidRDefault="000D5040" w:rsidP="000D5040">
      <w:pPr>
        <w:spacing w:after="0" w:line="240" w:lineRule="auto"/>
        <w:jc w:val="both"/>
        <w:rPr>
          <w:rFonts w:ascii="Verdana" w:hAnsi="Verdana"/>
          <w:b/>
        </w:rPr>
      </w:pPr>
    </w:p>
    <w:p w14:paraId="5098DE0E" w14:textId="6F43F6BA" w:rsidR="000D5040" w:rsidRDefault="000D5040" w:rsidP="000D5040">
      <w:pPr>
        <w:spacing w:after="0" w:line="240" w:lineRule="auto"/>
        <w:jc w:val="both"/>
        <w:rPr>
          <w:rFonts w:ascii="Verdana" w:hAnsi="Verdana"/>
          <w:b/>
        </w:rPr>
      </w:pPr>
    </w:p>
    <w:p w14:paraId="1D5D2340" w14:textId="1B2C6D27" w:rsidR="000D5040" w:rsidRDefault="000D5040" w:rsidP="000D5040">
      <w:pPr>
        <w:spacing w:after="0" w:line="240" w:lineRule="auto"/>
        <w:jc w:val="both"/>
        <w:rPr>
          <w:rFonts w:ascii="Verdana" w:hAnsi="Verdana"/>
          <w:b/>
        </w:rPr>
      </w:pPr>
    </w:p>
    <w:p w14:paraId="12643189" w14:textId="301762AB" w:rsidR="000D5040" w:rsidRDefault="000D5040" w:rsidP="000D5040">
      <w:pPr>
        <w:spacing w:after="0" w:line="240" w:lineRule="auto"/>
        <w:jc w:val="both"/>
        <w:rPr>
          <w:rFonts w:ascii="Verdana" w:hAnsi="Verdana"/>
          <w:b/>
        </w:rPr>
      </w:pPr>
    </w:p>
    <w:p w14:paraId="0C310713" w14:textId="1D09A064" w:rsidR="000D5040" w:rsidRDefault="000D5040" w:rsidP="000D5040">
      <w:pPr>
        <w:spacing w:after="0" w:line="240" w:lineRule="auto"/>
        <w:jc w:val="both"/>
        <w:rPr>
          <w:rFonts w:ascii="Verdana" w:hAnsi="Verdana"/>
          <w:b/>
        </w:rPr>
      </w:pPr>
    </w:p>
    <w:p w14:paraId="155AD640" w14:textId="1A8D2E9C" w:rsidR="000D5040" w:rsidRDefault="000D5040" w:rsidP="000D5040">
      <w:pPr>
        <w:spacing w:after="0" w:line="240" w:lineRule="auto"/>
        <w:jc w:val="both"/>
        <w:rPr>
          <w:rFonts w:ascii="Verdana" w:hAnsi="Verdana"/>
          <w:b/>
        </w:rPr>
      </w:pPr>
    </w:p>
    <w:p w14:paraId="3541D4AD" w14:textId="34C35198" w:rsidR="000D5040" w:rsidRDefault="000D5040" w:rsidP="000D5040">
      <w:pPr>
        <w:spacing w:after="0" w:line="240" w:lineRule="auto"/>
        <w:jc w:val="both"/>
        <w:rPr>
          <w:rFonts w:ascii="Verdana" w:hAnsi="Verdana"/>
          <w:b/>
        </w:rPr>
      </w:pPr>
    </w:p>
    <w:p w14:paraId="441DF329" w14:textId="3C73BDE6" w:rsidR="000D5040" w:rsidRDefault="000D5040" w:rsidP="000D5040">
      <w:pPr>
        <w:spacing w:after="0" w:line="240" w:lineRule="auto"/>
        <w:jc w:val="both"/>
        <w:rPr>
          <w:rFonts w:ascii="Verdana" w:hAnsi="Verdana"/>
          <w:b/>
        </w:rPr>
      </w:pPr>
    </w:p>
    <w:p w14:paraId="3F48FBE5" w14:textId="0A628B80" w:rsidR="000D5040" w:rsidRDefault="000D5040" w:rsidP="000D5040">
      <w:pPr>
        <w:spacing w:after="0" w:line="240" w:lineRule="auto"/>
        <w:jc w:val="both"/>
        <w:rPr>
          <w:rFonts w:ascii="Verdana" w:hAnsi="Verdana"/>
          <w:b/>
        </w:rPr>
      </w:pPr>
    </w:p>
    <w:p w14:paraId="018E6194" w14:textId="3577374E" w:rsidR="000D5040" w:rsidRDefault="000D5040" w:rsidP="000D5040">
      <w:pPr>
        <w:spacing w:after="0" w:line="240" w:lineRule="auto"/>
        <w:jc w:val="both"/>
        <w:rPr>
          <w:rFonts w:ascii="Verdana" w:hAnsi="Verdana"/>
          <w:b/>
        </w:rPr>
      </w:pPr>
    </w:p>
    <w:p w14:paraId="39917B49" w14:textId="2DABAC87" w:rsidR="000D5040" w:rsidRDefault="000D5040" w:rsidP="000D5040">
      <w:pPr>
        <w:spacing w:after="0" w:line="240" w:lineRule="auto"/>
        <w:jc w:val="both"/>
        <w:rPr>
          <w:rFonts w:ascii="Verdana" w:hAnsi="Verdana"/>
          <w:b/>
        </w:rPr>
      </w:pPr>
    </w:p>
    <w:p w14:paraId="2E067E27" w14:textId="1B729ED6" w:rsidR="000D5040" w:rsidRDefault="000D5040" w:rsidP="000D5040">
      <w:pPr>
        <w:spacing w:after="0" w:line="240" w:lineRule="auto"/>
        <w:jc w:val="both"/>
        <w:rPr>
          <w:rFonts w:ascii="Verdana" w:hAnsi="Verdana"/>
          <w:b/>
        </w:rPr>
      </w:pPr>
    </w:p>
    <w:p w14:paraId="17442A9F" w14:textId="77777777" w:rsidR="000D5040" w:rsidRPr="000D5040" w:rsidRDefault="000D5040" w:rsidP="000D5040">
      <w:pPr>
        <w:spacing w:after="0" w:line="240" w:lineRule="auto"/>
        <w:jc w:val="both"/>
        <w:rPr>
          <w:rFonts w:ascii="Verdana" w:hAnsi="Verdana"/>
          <w:b/>
        </w:rPr>
      </w:pPr>
    </w:p>
    <w:p w14:paraId="22BFFE7A" w14:textId="2D25D8D3" w:rsidR="00A1025E" w:rsidRDefault="004674CF" w:rsidP="00A1025E">
      <w:pPr>
        <w:spacing w:after="0"/>
        <w:rPr>
          <w:rFonts w:ascii="Verdana" w:eastAsia="Calibri" w:hAnsi="Verdana" w:cs="Arial"/>
          <w:color w:val="000000"/>
          <w:lang w:val="es-MX"/>
        </w:rPr>
      </w:pPr>
      <w:r w:rsidRPr="004674CF">
        <w:rPr>
          <w:rFonts w:ascii="Verdana" w:eastAsia="Calibri" w:hAnsi="Verdana" w:cs="Arial"/>
          <w:noProof/>
          <w:color w:val="000000"/>
          <w:lang w:val="en-US"/>
        </w:rPr>
        <w:lastRenderedPageBreak/>
        <w:drawing>
          <wp:anchor distT="0" distB="0" distL="114300" distR="114300" simplePos="0" relativeHeight="251658240" behindDoc="0" locked="0" layoutInCell="1" allowOverlap="1" wp14:anchorId="5B4B8122" wp14:editId="00F1FB7C">
            <wp:simplePos x="0" y="0"/>
            <wp:positionH relativeFrom="column">
              <wp:posOffset>2661285</wp:posOffset>
            </wp:positionH>
            <wp:positionV relativeFrom="paragraph">
              <wp:posOffset>203200</wp:posOffset>
            </wp:positionV>
            <wp:extent cx="2897505" cy="777240"/>
            <wp:effectExtent l="0" t="0" r="0" b="381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97505" cy="7772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1025E" w:rsidRPr="0024624F">
        <w:rPr>
          <w:rFonts w:ascii="Verdana" w:hAnsi="Verdana"/>
        </w:rPr>
        <w:t xml:space="preserve">Bogotá D.C., </w:t>
      </w:r>
      <w:r w:rsidR="006E2BF4">
        <w:rPr>
          <w:rFonts w:ascii="Verdana" w:hAnsi="Verdana"/>
        </w:rPr>
        <w:t>29 de diciembre de 2025</w:t>
      </w:r>
      <w:r w:rsidR="00A1025E" w:rsidRPr="000E2B93">
        <w:rPr>
          <w:rFonts w:ascii="Verdana" w:hAnsi="Verdana"/>
        </w:rPr>
        <w:br/>
      </w:r>
    </w:p>
    <w:p w14:paraId="3A926430" w14:textId="51D32B02" w:rsidR="00A1025E" w:rsidRPr="00593A5F" w:rsidRDefault="00A1025E" w:rsidP="00A1025E">
      <w:pPr>
        <w:spacing w:after="0" w:line="240" w:lineRule="auto"/>
        <w:jc w:val="both"/>
        <w:rPr>
          <w:rFonts w:ascii="Verdana" w:eastAsia="Calibri" w:hAnsi="Verdana" w:cs="Arial"/>
          <w:color w:val="000000"/>
          <w:lang w:val="es-ES"/>
        </w:rPr>
      </w:pPr>
    </w:p>
    <w:p w14:paraId="1D1A656C" w14:textId="77777777" w:rsidR="00A1025E" w:rsidRPr="000C555D" w:rsidRDefault="00A1025E" w:rsidP="00A1025E">
      <w:pPr>
        <w:spacing w:after="0" w:line="240" w:lineRule="auto"/>
        <w:jc w:val="both"/>
        <w:rPr>
          <w:rFonts w:ascii="Verdana" w:eastAsia="Calibri" w:hAnsi="Verdana" w:cs="Arial"/>
          <w:lang w:val="es-ES" w:eastAsia="es-ES"/>
        </w:rPr>
      </w:pPr>
      <w:r>
        <w:rPr>
          <w:rFonts w:ascii="Verdana" w:eastAsia="Calibri" w:hAnsi="Verdana" w:cs="Arial"/>
          <w:lang w:val="es-ES" w:eastAsia="es-ES"/>
        </w:rPr>
        <w:t>Doctora</w:t>
      </w:r>
    </w:p>
    <w:p w14:paraId="18B1ADDD" w14:textId="77777777" w:rsidR="00A1025E" w:rsidRDefault="00A1025E" w:rsidP="00A1025E">
      <w:pPr>
        <w:spacing w:after="0" w:line="240" w:lineRule="auto"/>
        <w:rPr>
          <w:rFonts w:ascii="Verdana" w:eastAsia="Calibri" w:hAnsi="Verdana" w:cs="Arial"/>
          <w:b/>
          <w:lang w:val="es-ES" w:eastAsia="es-ES"/>
        </w:rPr>
      </w:pPr>
      <w:r>
        <w:rPr>
          <w:rFonts w:ascii="Verdana" w:eastAsia="Calibri" w:hAnsi="Verdana" w:cs="Arial"/>
          <w:b/>
          <w:lang w:val="es-ES" w:eastAsia="es-ES"/>
        </w:rPr>
        <w:t>Adriana Patricia Rojas Eslava</w:t>
      </w:r>
    </w:p>
    <w:p w14:paraId="7367B1A7" w14:textId="77777777" w:rsidR="00A1025E" w:rsidRDefault="00A1025E" w:rsidP="00A1025E">
      <w:pPr>
        <w:spacing w:after="0" w:line="240" w:lineRule="auto"/>
        <w:rPr>
          <w:rFonts w:ascii="Verdana" w:eastAsia="Calibri" w:hAnsi="Verdana" w:cs="Arial"/>
          <w:lang w:val="es-ES" w:eastAsia="es-ES"/>
        </w:rPr>
      </w:pPr>
      <w:r>
        <w:rPr>
          <w:rFonts w:ascii="Verdana" w:eastAsia="Calibri" w:hAnsi="Verdana" w:cs="Arial"/>
          <w:lang w:val="es-ES" w:eastAsia="es-ES"/>
        </w:rPr>
        <w:t>Subsecretaria de Salud Pública</w:t>
      </w:r>
    </w:p>
    <w:p w14:paraId="6C17409D" w14:textId="77777777" w:rsidR="00A1025E" w:rsidRDefault="00737DF0" w:rsidP="00A1025E">
      <w:pPr>
        <w:spacing w:after="0" w:line="240" w:lineRule="auto"/>
        <w:rPr>
          <w:rFonts w:ascii="Verdana" w:eastAsia="Calibri" w:hAnsi="Verdana" w:cs="Arial"/>
          <w:lang w:val="es-ES" w:eastAsia="es-ES"/>
        </w:rPr>
      </w:pPr>
      <w:hyperlink r:id="rId12" w:history="1">
        <w:r w:rsidR="00A1025E" w:rsidRPr="003B7EED">
          <w:rPr>
            <w:rStyle w:val="Hipervnculo"/>
            <w:rFonts w:ascii="Verdana" w:eastAsia="Calibri" w:hAnsi="Verdana" w:cs="Arial"/>
            <w:lang w:val="es-ES" w:eastAsia="es-ES"/>
          </w:rPr>
          <w:t>adrianapatricia.rojas@antioquia.gov.co</w:t>
        </w:r>
      </w:hyperlink>
    </w:p>
    <w:p w14:paraId="5316A512" w14:textId="77777777" w:rsidR="00A1025E" w:rsidRDefault="00A1025E" w:rsidP="00A1025E">
      <w:pPr>
        <w:spacing w:after="0" w:line="240" w:lineRule="auto"/>
        <w:rPr>
          <w:rFonts w:ascii="Verdana" w:eastAsia="Calibri" w:hAnsi="Verdana" w:cs="Arial"/>
          <w:lang w:val="es-ES" w:eastAsia="es-ES"/>
        </w:rPr>
      </w:pPr>
      <w:r w:rsidRPr="00867D8E">
        <w:rPr>
          <w:rFonts w:ascii="Verdana" w:eastAsia="Calibri" w:hAnsi="Verdana" w:cs="Arial"/>
          <w:lang w:val="es-ES" w:eastAsia="es-ES"/>
        </w:rPr>
        <w:t>Bogotá D.C.</w:t>
      </w:r>
      <w:r>
        <w:rPr>
          <w:rFonts w:ascii="Verdana" w:eastAsia="Calibri" w:hAnsi="Verdana" w:cs="Arial"/>
          <w:lang w:val="es-ES" w:eastAsia="es-ES"/>
        </w:rPr>
        <w:t xml:space="preserve"> </w:t>
      </w:r>
    </w:p>
    <w:p w14:paraId="26C77BE2" w14:textId="77777777" w:rsidR="00A1025E" w:rsidRDefault="00A1025E" w:rsidP="00A1025E">
      <w:pPr>
        <w:spacing w:after="0" w:line="240" w:lineRule="auto"/>
        <w:rPr>
          <w:rFonts w:ascii="Verdana" w:eastAsia="Calibri" w:hAnsi="Verdana" w:cs="Arial"/>
          <w:b/>
          <w:bCs/>
          <w:color w:val="000000"/>
          <w:lang w:val="es-ES_tradnl" w:eastAsia="es-ES_tradnl"/>
        </w:rPr>
      </w:pPr>
    </w:p>
    <w:p w14:paraId="4DE8467F" w14:textId="77777777" w:rsidR="00A1025E" w:rsidRPr="00A12CB6" w:rsidRDefault="00A1025E" w:rsidP="00A1025E">
      <w:pPr>
        <w:spacing w:after="0" w:line="240" w:lineRule="auto"/>
        <w:rPr>
          <w:rFonts w:ascii="Verdana" w:eastAsia="Calibri" w:hAnsi="Verdana" w:cs="Times New Roman"/>
        </w:rPr>
      </w:pPr>
    </w:p>
    <w:p w14:paraId="62E55538" w14:textId="77777777" w:rsidR="00A1025E" w:rsidRPr="00A12CB6" w:rsidRDefault="00A1025E" w:rsidP="00A1025E">
      <w:pPr>
        <w:spacing w:after="0" w:line="256" w:lineRule="auto"/>
        <w:rPr>
          <w:rFonts w:ascii="Verdana" w:eastAsia="Calibri" w:hAnsi="Verdana" w:cs="Times New Roman"/>
          <w:b/>
          <w:bCs/>
          <w:lang w:val="es-ES"/>
        </w:rPr>
      </w:pPr>
      <w:r w:rsidRPr="00A12CB6">
        <w:rPr>
          <w:rFonts w:ascii="Verdana" w:eastAsia="Calibri" w:hAnsi="Verdana" w:cs="Times New Roman"/>
          <w:b/>
          <w:bCs/>
          <w:lang w:val="es-ES"/>
        </w:rPr>
        <w:t xml:space="preserve">                  </w:t>
      </w:r>
      <w:r>
        <w:rPr>
          <w:rFonts w:ascii="Verdana" w:eastAsia="Calibri" w:hAnsi="Verdana" w:cs="Times New Roman"/>
          <w:b/>
          <w:bCs/>
          <w:lang w:val="es-ES"/>
        </w:rPr>
        <w:t xml:space="preserve">                  Concepto C- 1703 de 2025</w:t>
      </w:r>
    </w:p>
    <w:p w14:paraId="13033271" w14:textId="77777777" w:rsidR="00A1025E" w:rsidRPr="00A12CB6" w:rsidRDefault="00A1025E" w:rsidP="00A1025E">
      <w:pPr>
        <w:spacing w:after="0" w:line="256"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A1025E" w:rsidRPr="00A12CB6" w14:paraId="744AA2B7" w14:textId="77777777" w:rsidTr="007D72B3">
        <w:trPr>
          <w:trHeight w:val="645"/>
        </w:trPr>
        <w:tc>
          <w:tcPr>
            <w:tcW w:w="2685" w:type="dxa"/>
            <w:hideMark/>
          </w:tcPr>
          <w:p w14:paraId="7CB2DE82" w14:textId="77777777" w:rsidR="00A1025E" w:rsidRPr="00A12CB6" w:rsidRDefault="00A1025E" w:rsidP="007D72B3">
            <w:pPr>
              <w:spacing w:line="256" w:lineRule="auto"/>
              <w:rPr>
                <w:rFonts w:ascii="Verdana" w:hAnsi="Verdana"/>
                <w:b/>
                <w:bCs/>
                <w:lang w:val="es-ES_tradnl"/>
              </w:rPr>
            </w:pPr>
            <w:r w:rsidRPr="00A12CB6">
              <w:rPr>
                <w:rFonts w:ascii="Verdana" w:hAnsi="Verdana"/>
                <w:b/>
                <w:bCs/>
                <w:lang w:val="es-ES_tradnl"/>
              </w:rPr>
              <w:t xml:space="preserve">Temas:                   </w:t>
            </w:r>
          </w:p>
        </w:tc>
        <w:tc>
          <w:tcPr>
            <w:tcW w:w="6241" w:type="dxa"/>
            <w:hideMark/>
          </w:tcPr>
          <w:p w14:paraId="750F09AC" w14:textId="77777777" w:rsidR="00A1025E" w:rsidRPr="00817856" w:rsidRDefault="00A1025E" w:rsidP="007D72B3">
            <w:pPr>
              <w:spacing w:line="276" w:lineRule="auto"/>
              <w:jc w:val="both"/>
              <w:rPr>
                <w:rFonts w:ascii="Verdana" w:hAnsi="Verdana" w:cs="Arial"/>
                <w:lang w:val="es-ES" w:eastAsia="es-ES_tradnl"/>
              </w:rPr>
            </w:pPr>
            <w:r w:rsidRPr="00273620">
              <w:rPr>
                <w:rFonts w:ascii="Verdana" w:hAnsi="Verdana" w:cs="Arial"/>
                <w:lang w:val="es-MX" w:eastAsia="es-ES_tradnl"/>
              </w:rPr>
              <w:t xml:space="preserve">LEY DE GARANTÍAS ELECTORALES </w:t>
            </w:r>
            <w:r w:rsidRPr="00273620">
              <w:rPr>
                <w:rFonts w:ascii="Verdana" w:hAnsi="Verdana" w:cs="Arial"/>
                <w:bCs/>
                <w:lang w:val="es-MX" w:eastAsia="es-ES_tradnl"/>
              </w:rPr>
              <w:t>‒</w:t>
            </w:r>
            <w:r w:rsidRPr="00273620">
              <w:rPr>
                <w:rFonts w:ascii="Verdana" w:hAnsi="Verdana" w:cs="Arial"/>
                <w:lang w:val="es-MX" w:eastAsia="es-ES_tradnl"/>
              </w:rPr>
              <w:t xml:space="preserve"> Finalidad / LEY DE GARANTÍAS ELECTORALES </w:t>
            </w:r>
            <w:r w:rsidRPr="00273620">
              <w:rPr>
                <w:rFonts w:ascii="Verdana" w:hAnsi="Verdana" w:cs="Arial"/>
                <w:bCs/>
                <w:lang w:val="es-MX" w:eastAsia="es-ES_tradnl"/>
              </w:rPr>
              <w:t>‒</w:t>
            </w:r>
            <w:r w:rsidRPr="00273620">
              <w:rPr>
                <w:rFonts w:ascii="Verdana" w:hAnsi="Verdana" w:cs="Arial"/>
                <w:lang w:val="es-MX" w:eastAsia="es-ES_tradnl"/>
              </w:rPr>
              <w:t xml:space="preserve"> Tipos de restricciones </w:t>
            </w:r>
            <w:r w:rsidRPr="00273620">
              <w:rPr>
                <w:rFonts w:ascii="Verdana" w:hAnsi="Verdana" w:cs="Arial"/>
                <w:bCs/>
                <w:lang w:val="es-MX" w:eastAsia="es-ES_tradnl"/>
              </w:rPr>
              <w:t>‒</w:t>
            </w:r>
            <w:r w:rsidRPr="00273620">
              <w:rPr>
                <w:rFonts w:ascii="Verdana" w:hAnsi="Verdana" w:cs="Arial"/>
                <w:lang w:val="es-MX" w:eastAsia="es-ES_tradnl"/>
              </w:rPr>
              <w:t xml:space="preserve"> Ámbito temporal</w:t>
            </w:r>
            <w:r>
              <w:rPr>
                <w:rFonts w:ascii="Verdana" w:hAnsi="Verdana" w:cs="Arial"/>
                <w:lang w:val="es-MX" w:eastAsia="es-ES_tradnl"/>
              </w:rPr>
              <w:t xml:space="preserve"> – celebración- límite / LEY DE GARANTÍAS ELECTORALES – Prohibición artículo 33 – Contratación directa – Alcance / LEY DE GARANTÍAS ELECTORALES – Excepciones / LEY DE GARANTÍAS ELECTORALES – Prohibición del artículo 33 – Destinatarios / </w:t>
            </w:r>
            <w:r w:rsidRPr="00B74FAE">
              <w:rPr>
                <w:rFonts w:ascii="Verdana" w:hAnsi="Verdana" w:cs="Arial"/>
                <w:lang w:val="es-MX" w:eastAsia="es-ES_tradnl"/>
              </w:rPr>
              <w:t>LEY DE GARANTÍAS ELECTORALES – Contratos y convenios interadministrativos – Criterio orgánico</w:t>
            </w:r>
            <w:r>
              <w:rPr>
                <w:rFonts w:ascii="Verdana" w:hAnsi="Verdana" w:cs="Arial"/>
                <w:lang w:val="es-MX" w:eastAsia="es-ES_tradnl"/>
              </w:rPr>
              <w:t xml:space="preserve"> / LEY DE GARANTÍAS ELECTORALES –Restricción- Convenios interadministrativos – Postura del Consejo de Estado / LEY DE GARANTIAS ELECTORALES – Transferencias – Acto Administrativo – No restricción / </w:t>
            </w:r>
            <w:r w:rsidRPr="00817856">
              <w:rPr>
                <w:rFonts w:ascii="Verdana" w:hAnsi="Verdana" w:cs="Arial"/>
                <w:lang w:val="es-ES" w:eastAsia="es-ES_tradnl"/>
              </w:rPr>
              <w:t xml:space="preserve">LEY DE GARANTÍAS ELECTORALES - </w:t>
            </w:r>
            <w:r w:rsidRPr="00817856">
              <w:rPr>
                <w:rFonts w:ascii="Verdana" w:hAnsi="Verdana" w:cs="Arial"/>
                <w:bCs/>
                <w:lang w:eastAsia="es-ES_tradnl"/>
              </w:rPr>
              <w:t>Plan de Salud Pública de Intervenciones Colectivas</w:t>
            </w:r>
            <w:r w:rsidRPr="00817856">
              <w:rPr>
                <w:rFonts w:ascii="Verdana" w:hAnsi="Verdana" w:cs="Arial"/>
                <w:lang w:val="es-ES" w:eastAsia="es-ES_tradnl"/>
              </w:rPr>
              <w:t xml:space="preserve"> -PIC- Alcance –</w:t>
            </w:r>
            <w:r>
              <w:rPr>
                <w:rFonts w:ascii="Verdana" w:hAnsi="Verdana" w:cs="Arial"/>
                <w:lang w:val="es-ES" w:eastAsia="es-ES_tradnl"/>
              </w:rPr>
              <w:t xml:space="preserve"> Artículo </w:t>
            </w:r>
            <w:r w:rsidRPr="00817856">
              <w:rPr>
                <w:rFonts w:ascii="Verdana" w:hAnsi="Verdana" w:cs="Arial"/>
                <w:lang w:val="es-ES" w:eastAsia="es-ES_tradnl"/>
              </w:rPr>
              <w:t>33</w:t>
            </w:r>
            <w:r>
              <w:rPr>
                <w:rFonts w:ascii="Verdana" w:hAnsi="Verdana" w:cs="Arial"/>
                <w:lang w:val="es-ES" w:eastAsia="es-ES_tradnl"/>
              </w:rPr>
              <w:t xml:space="preserve"> - P</w:t>
            </w:r>
            <w:r w:rsidRPr="00817856">
              <w:rPr>
                <w:rFonts w:ascii="Verdana" w:hAnsi="Verdana" w:cs="Arial"/>
                <w:lang w:val="es-ES" w:eastAsia="es-ES_tradnl"/>
              </w:rPr>
              <w:t>arágrafo del artículo 38</w:t>
            </w:r>
            <w:r>
              <w:rPr>
                <w:rFonts w:ascii="Verdana" w:hAnsi="Verdana" w:cs="Arial"/>
                <w:lang w:val="es-ES" w:eastAsia="es-ES_tradnl"/>
              </w:rPr>
              <w:t>.</w:t>
            </w:r>
          </w:p>
        </w:tc>
        <w:tc>
          <w:tcPr>
            <w:tcW w:w="6237" w:type="dxa"/>
          </w:tcPr>
          <w:p w14:paraId="5CF313C7" w14:textId="77777777" w:rsidR="00A1025E" w:rsidRPr="00A12CB6" w:rsidRDefault="00A1025E" w:rsidP="007D72B3">
            <w:pPr>
              <w:spacing w:line="256" w:lineRule="auto"/>
              <w:rPr>
                <w:rFonts w:ascii="Verdana" w:hAnsi="Verdana"/>
              </w:rPr>
            </w:pPr>
          </w:p>
        </w:tc>
      </w:tr>
    </w:tbl>
    <w:p w14:paraId="6E51361F" w14:textId="77777777" w:rsidR="00A1025E" w:rsidRPr="009305DC" w:rsidRDefault="00A1025E" w:rsidP="00A1025E">
      <w:pPr>
        <w:spacing w:after="0" w:line="240" w:lineRule="auto"/>
        <w:rPr>
          <w:rFonts w:ascii="Verdana" w:eastAsia="Calibri" w:hAnsi="Verdana" w:cs="Arial"/>
          <w:b/>
          <w:bCs/>
          <w:color w:val="000000"/>
          <w:lang w:eastAsia="es-ES_tradnl"/>
        </w:rPr>
      </w:pPr>
    </w:p>
    <w:p w14:paraId="3C9635FA" w14:textId="77777777" w:rsidR="00A1025E" w:rsidRPr="00593A5F" w:rsidRDefault="00A1025E" w:rsidP="00A1025E">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A1025E" w:rsidRPr="008E6AD9" w14:paraId="35848A51" w14:textId="77777777" w:rsidTr="007D72B3">
        <w:tc>
          <w:tcPr>
            <w:tcW w:w="2689" w:type="dxa"/>
          </w:tcPr>
          <w:p w14:paraId="69A19541" w14:textId="77777777" w:rsidR="00A1025E" w:rsidRPr="008E6AD9" w:rsidRDefault="00A1025E" w:rsidP="007D72B3">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76E7CBDB" w14:textId="77777777" w:rsidR="00A1025E" w:rsidRPr="00AD67E7" w:rsidRDefault="00A1025E" w:rsidP="007D72B3">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w:t>
            </w:r>
            <w:r>
              <w:rPr>
                <w:rFonts w:ascii="Verdana" w:eastAsia="Calibri" w:hAnsi="Verdana" w:cs="Arial"/>
                <w:lang w:val="es-ES_tradnl" w:eastAsia="es-ES_tradnl"/>
              </w:rPr>
              <w:t xml:space="preserve">s </w:t>
            </w:r>
            <w:r w:rsidRPr="008E6AD9">
              <w:rPr>
                <w:rFonts w:ascii="Verdana" w:eastAsia="Calibri" w:hAnsi="Verdana" w:cs="Arial"/>
                <w:lang w:val="es-ES_tradnl" w:eastAsia="es-ES_tradnl"/>
              </w:rPr>
              <w:t>No.</w:t>
            </w:r>
            <w:r>
              <w:rPr>
                <w:rFonts w:ascii="Verdana" w:eastAsia="Calibri" w:hAnsi="Verdana" w:cs="Arial"/>
                <w:lang w:val="es-ES_tradnl" w:eastAsia="es-ES_tradnl"/>
              </w:rPr>
              <w:t xml:space="preserve"> </w:t>
            </w:r>
            <w:r w:rsidRPr="00CE72C3">
              <w:rPr>
                <w:rFonts w:ascii="Verdana" w:eastAsia="Calibri" w:hAnsi="Verdana" w:cs="Arial"/>
                <w:lang w:eastAsia="es-ES_tradnl"/>
              </w:rPr>
              <w:t>1_2025_11_18_013013</w:t>
            </w:r>
          </w:p>
        </w:tc>
      </w:tr>
    </w:tbl>
    <w:p w14:paraId="38BB25B6" w14:textId="77777777" w:rsidR="00A1025E" w:rsidRPr="00593A5F" w:rsidRDefault="00A1025E" w:rsidP="00A1025E">
      <w:pPr>
        <w:spacing w:after="0" w:line="240" w:lineRule="auto"/>
        <w:jc w:val="both"/>
        <w:rPr>
          <w:rFonts w:ascii="Verdana" w:eastAsia="Calibri" w:hAnsi="Verdana" w:cs="Arial"/>
          <w:color w:val="000000"/>
          <w:lang w:val="es-ES_tradnl" w:eastAsia="es-ES_tradnl"/>
        </w:rPr>
      </w:pPr>
    </w:p>
    <w:p w14:paraId="7EA27A40" w14:textId="77777777" w:rsidR="00A1025E" w:rsidRPr="00593A5F" w:rsidRDefault="00A1025E" w:rsidP="00A1025E">
      <w:pPr>
        <w:spacing w:after="0" w:line="240" w:lineRule="auto"/>
        <w:jc w:val="both"/>
        <w:rPr>
          <w:rFonts w:ascii="Verdana" w:eastAsia="Calibri" w:hAnsi="Verdana" w:cs="Arial"/>
          <w:color w:val="000000"/>
          <w:lang w:val="es-ES_tradnl" w:eastAsia="es-ES_tradnl"/>
        </w:rPr>
      </w:pPr>
    </w:p>
    <w:p w14:paraId="3A38DFDD" w14:textId="77777777" w:rsidR="00A1025E" w:rsidRPr="008E6AD9" w:rsidRDefault="00A1025E" w:rsidP="00A1025E">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a Doctora Rojas</w:t>
      </w:r>
      <w:r w:rsidRPr="008E6AD9">
        <w:rPr>
          <w:rFonts w:ascii="Verdana" w:eastAsia="Calibri" w:hAnsi="Verdana" w:cs="Arial"/>
          <w:lang w:val="es-ES" w:eastAsia="es-ES"/>
        </w:rPr>
        <w:t xml:space="preserve">: </w:t>
      </w:r>
    </w:p>
    <w:p w14:paraId="32F0E971" w14:textId="77777777" w:rsidR="00A1025E" w:rsidRDefault="00A1025E" w:rsidP="00A1025E">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5F386AD1" w14:textId="77777777" w:rsidR="00A1025E" w:rsidRPr="00102203" w:rsidRDefault="00A1025E" w:rsidP="00A1025E">
      <w:pPr>
        <w:spacing w:after="0" w:line="276" w:lineRule="auto"/>
        <w:jc w:val="both"/>
        <w:rPr>
          <w:rFonts w:ascii="Verdana" w:eastAsia="Calibri" w:hAnsi="Verdana" w:cs="Arial"/>
          <w:bCs/>
          <w:color w:val="000000" w:themeColor="text1"/>
          <w:lang w:val="es-ES" w:eastAsia="es-ES" w:bidi="es-ES"/>
        </w:rPr>
      </w:pPr>
      <w:r w:rsidRPr="00102203">
        <w:rPr>
          <w:rFonts w:ascii="Verdana" w:eastAsia="Calibri" w:hAnsi="Verdana" w:cs="Arial"/>
          <w:bCs/>
          <w:color w:val="000000" w:themeColor="text1"/>
          <w:lang w:val="es-ES" w:eastAsia="es-ES" w:bidi="es-ES"/>
        </w:rPr>
        <w:t xml:space="preserve">En ejercicio de la competencia otorgada por los artículos 3, numeral 5º, y 11, numeral 8º, del Decreto Ley 4170 de 2011, </w:t>
      </w:r>
      <w:r w:rsidRPr="00102203">
        <w:rPr>
          <w:rFonts w:ascii="Verdana" w:eastAsia="Calibri" w:hAnsi="Verdana" w:cs="Arial"/>
          <w:bCs/>
          <w:color w:val="000000" w:themeColor="text1"/>
          <w:lang w:eastAsia="es-ES"/>
        </w:rPr>
        <w:t xml:space="preserve">así como lo establecido por la </w:t>
      </w:r>
      <w:r w:rsidRPr="00102203">
        <w:rPr>
          <w:rFonts w:ascii="Verdana" w:eastAsia="Calibri" w:hAnsi="Verdana" w:cs="Arial"/>
          <w:bCs/>
          <w:color w:val="000000" w:themeColor="text1"/>
          <w:lang w:eastAsia="es-ES"/>
        </w:rPr>
        <w:lastRenderedPageBreak/>
        <w:t xml:space="preserve">Resolución 469 de 2025 expedida por esta Entidad, </w:t>
      </w:r>
      <w:r w:rsidRPr="00102203">
        <w:rPr>
          <w:rFonts w:ascii="Verdana" w:eastAsia="Calibri" w:hAnsi="Verdana" w:cs="Arial"/>
          <w:bCs/>
          <w:color w:val="000000" w:themeColor="text1"/>
          <w:lang w:val="es-ES" w:eastAsia="es-ES" w:bidi="es-ES"/>
        </w:rPr>
        <w:t>la Agencia Nacional de Contratación Pública – Colombia Compra Eficiente– responde l</w:t>
      </w:r>
      <w:r>
        <w:rPr>
          <w:rFonts w:ascii="Verdana" w:eastAsia="Calibri" w:hAnsi="Verdana" w:cs="Arial"/>
          <w:bCs/>
          <w:color w:val="000000" w:themeColor="text1"/>
          <w:lang w:val="es-ES" w:eastAsia="es-ES" w:bidi="es-ES"/>
        </w:rPr>
        <w:t xml:space="preserve">a solicitud de consulta remitida el 18 de noviembre por competencia por la Dirección de Apoyo Fiscal del </w:t>
      </w:r>
      <w:r w:rsidRPr="00CE72C3">
        <w:rPr>
          <w:rFonts w:ascii="Verdana" w:eastAsia="Calibri" w:hAnsi="Verdana" w:cs="Arial"/>
          <w:bCs/>
          <w:color w:val="000000" w:themeColor="text1"/>
          <w:lang w:eastAsia="es-ES" w:bidi="es-ES"/>
        </w:rPr>
        <w:t>Ministerio de Hacienda y Crédito Público</w:t>
      </w:r>
      <w:r w:rsidRPr="00102203">
        <w:rPr>
          <w:rFonts w:ascii="Verdana" w:eastAsia="Calibri" w:hAnsi="Verdana" w:cs="Arial"/>
          <w:bCs/>
          <w:color w:val="000000" w:themeColor="text1"/>
          <w:lang w:val="es-ES" w:eastAsia="es-ES" w:bidi="es-ES"/>
        </w:rPr>
        <w:t xml:space="preserve">, en la cual manifiesta: </w:t>
      </w:r>
    </w:p>
    <w:p w14:paraId="1266BACE" w14:textId="77777777" w:rsidR="00A1025E" w:rsidRPr="00272A7B" w:rsidRDefault="00A1025E" w:rsidP="00A1025E">
      <w:pPr>
        <w:pStyle w:val="Prrafodelista"/>
        <w:tabs>
          <w:tab w:val="left" w:pos="142"/>
          <w:tab w:val="left" w:pos="284"/>
        </w:tabs>
        <w:spacing w:after="0" w:line="240" w:lineRule="auto"/>
        <w:ind w:left="0"/>
        <w:jc w:val="both"/>
        <w:rPr>
          <w:rFonts w:ascii="Verdana" w:eastAsia="Century Gothic" w:hAnsi="Verdana" w:cs="Century Gothic"/>
          <w:b/>
          <w:bCs/>
        </w:rPr>
      </w:pPr>
    </w:p>
    <w:p w14:paraId="0A193360" w14:textId="77777777" w:rsidR="00A1025E" w:rsidRPr="005F181C" w:rsidRDefault="00A1025E" w:rsidP="00A1025E">
      <w:pPr>
        <w:spacing w:after="0" w:line="240" w:lineRule="auto"/>
        <w:ind w:left="709" w:right="709"/>
        <w:jc w:val="both"/>
        <w:rPr>
          <w:rFonts w:ascii="Verdana" w:eastAsia="Century Gothic" w:hAnsi="Verdana" w:cs="Century Gothic"/>
          <w:sz w:val="20"/>
          <w:szCs w:val="20"/>
        </w:rPr>
      </w:pPr>
      <w:bookmarkStart w:id="1" w:name="_Hlk95313578"/>
      <w:r w:rsidRPr="00D10E3B">
        <w:rPr>
          <w:rFonts w:ascii="Verdana" w:eastAsia="Century Gothic" w:hAnsi="Verdana" w:cs="Century Gothic"/>
          <w:sz w:val="20"/>
          <w:szCs w:val="20"/>
          <w:lang w:val="es-ES"/>
        </w:rPr>
        <w:t>“</w:t>
      </w:r>
      <w:bookmarkEnd w:id="1"/>
      <w:r w:rsidRPr="00CE72C3">
        <w:rPr>
          <w:rFonts w:ascii="Verdana" w:eastAsia="Century Gothic" w:hAnsi="Verdana" w:cs="Century Gothic"/>
          <w:sz w:val="20"/>
          <w:szCs w:val="20"/>
        </w:rPr>
        <w:t>[…] 1. Aplicación de la Ley de Garantías (Ley 996 de 2005) a la transferencia de recursos hacia Entidades Territoriales y Empresas Sociales del Estado (ESE) mediante acto administrativo (resolución de transferencias de recursos). Se solicita precisar si las transferencias de recursos del orden nacional o departamental hacia las Entidades Territoriales y las Empresas Sociales del Estado (ESE), efectuadas mediante acto administrativo de asignación (resolución) producto de un Proyecto de inversión en Salud Pública presentado al Banco de Proyectos en la Plataforma MGA del Departamento Administrativo de Planeación o de recursos del Plan de Intervenciones Colectivas (PIC), se encuentran sujetas a las restricciones establecidas en la Ley 996 de 2005, particularmente las contenidas en los artículos 38 y 39 relacionadas con la prohibición de celebrar convenios o contratos interadministrativos durante el periodo preelectoral. 3. Solicitud de concepto jurídico sobre la procedencia de la contratación directa con Empresas Sociales del Estado o una Unión Temporal conformada por ESE para la ejecución del Plan de Intervenciones Colectivas (PIC), en vigencia de la Ley de Garantías y solicitamos ampliación de la aplicabilidad del criterio de Colombia Compra Eficiente, Concepto C-1124 de 2025 de la ANCP–Colombia Compra Eficiente”</w:t>
      </w:r>
    </w:p>
    <w:p w14:paraId="03D4A8BE" w14:textId="77777777" w:rsidR="00A1025E" w:rsidRPr="008E6AD9" w:rsidRDefault="00A1025E" w:rsidP="00A1025E">
      <w:pPr>
        <w:pStyle w:val="Prrafodelista"/>
        <w:tabs>
          <w:tab w:val="left" w:pos="142"/>
          <w:tab w:val="left" w:pos="284"/>
        </w:tabs>
        <w:spacing w:after="0" w:line="276" w:lineRule="auto"/>
        <w:ind w:left="0"/>
        <w:jc w:val="both"/>
        <w:rPr>
          <w:rFonts w:ascii="Verdana" w:eastAsia="Century Gothic" w:hAnsi="Verdana" w:cs="Century Gothic"/>
          <w:b/>
          <w:bCs/>
        </w:rPr>
      </w:pPr>
    </w:p>
    <w:p w14:paraId="105A43B6" w14:textId="77777777" w:rsidR="00A1025E" w:rsidRPr="00A652FF" w:rsidRDefault="00A1025E" w:rsidP="00A1025E">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71E469EA" w14:textId="77777777" w:rsidR="00A1025E" w:rsidRPr="00423BE7" w:rsidRDefault="00A1025E" w:rsidP="00A1025E">
      <w:pPr>
        <w:spacing w:after="0" w:line="276" w:lineRule="auto"/>
        <w:ind w:firstLine="708"/>
        <w:jc w:val="both"/>
        <w:rPr>
          <w:rFonts w:ascii="Verdana" w:eastAsia="Calibri" w:hAnsi="Verdana" w:cs="Arial"/>
          <w:lang w:val="es-ES" w:eastAsia="es-ES"/>
        </w:rPr>
      </w:pPr>
      <w:r w:rsidRPr="00593A5F">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w:t>
      </w:r>
      <w:r w:rsidRPr="00593A5F">
        <w:rPr>
          <w:rFonts w:ascii="Verdana" w:eastAsia="Calibri" w:hAnsi="Verdana" w:cs="Arial"/>
          <w:color w:val="000000"/>
          <w:lang w:val="es-ES" w:eastAsia="es-ES"/>
        </w:rPr>
        <w:lastRenderedPageBreak/>
        <w:t>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 xml:space="preserve">los problemas jurídicos de su consulta. </w:t>
      </w:r>
    </w:p>
    <w:p w14:paraId="62C03D2D" w14:textId="77777777" w:rsidR="00A1025E" w:rsidRPr="00593A5F" w:rsidRDefault="00A1025E" w:rsidP="00A1025E">
      <w:pPr>
        <w:spacing w:after="0" w:line="276" w:lineRule="auto"/>
        <w:ind w:firstLine="709"/>
        <w:jc w:val="both"/>
        <w:rPr>
          <w:rFonts w:ascii="Verdana" w:eastAsia="Calibri" w:hAnsi="Verdana" w:cs="Arial"/>
          <w:color w:val="000000"/>
          <w:lang w:val="es-ES" w:eastAsia="es-ES"/>
        </w:rPr>
      </w:pPr>
    </w:p>
    <w:p w14:paraId="03F7DB44" w14:textId="77777777" w:rsidR="00A1025E" w:rsidRPr="00593A5F" w:rsidRDefault="00A1025E" w:rsidP="00A1025E">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s</w:t>
      </w:r>
      <w:r w:rsidRPr="00593A5F">
        <w:rPr>
          <w:rFonts w:ascii="Verdana" w:eastAsia="Century Gothic" w:hAnsi="Verdana" w:cs="Century Gothic"/>
          <w:b/>
          <w:bCs/>
        </w:rPr>
        <w:t xml:space="preserve"> planteado</w:t>
      </w:r>
      <w:r>
        <w:rPr>
          <w:rFonts w:ascii="Verdana" w:eastAsia="Century Gothic" w:hAnsi="Verdana" w:cs="Century Gothic"/>
          <w:b/>
          <w:bCs/>
        </w:rPr>
        <w:t>s</w:t>
      </w:r>
      <w:r w:rsidRPr="00593A5F">
        <w:rPr>
          <w:rFonts w:ascii="Verdana" w:eastAsia="Century Gothic" w:hAnsi="Verdana" w:cs="Century Gothic"/>
          <w:b/>
          <w:bCs/>
        </w:rPr>
        <w:t>:</w:t>
      </w:r>
    </w:p>
    <w:p w14:paraId="56A3731A" w14:textId="77777777" w:rsidR="00A1025E" w:rsidRPr="00593A5F" w:rsidRDefault="00A1025E" w:rsidP="00A1025E">
      <w:pPr>
        <w:tabs>
          <w:tab w:val="left" w:pos="426"/>
        </w:tabs>
        <w:spacing w:after="0" w:line="276" w:lineRule="auto"/>
        <w:jc w:val="both"/>
        <w:rPr>
          <w:rFonts w:ascii="Verdana" w:eastAsia="Century Gothic" w:hAnsi="Verdana" w:cs="Century Gothic"/>
          <w:lang w:val="es-ES"/>
        </w:rPr>
      </w:pPr>
    </w:p>
    <w:p w14:paraId="57839D83" w14:textId="77777777" w:rsidR="00A1025E" w:rsidRDefault="00A1025E" w:rsidP="00A1025E">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 xml:space="preserve">los </w:t>
      </w:r>
      <w:r w:rsidRPr="00906BE9">
        <w:rPr>
          <w:rFonts w:ascii="Verdana" w:eastAsia="Century Gothic" w:hAnsi="Verdana" w:cs="Century Gothic"/>
        </w:rPr>
        <w:t>siguiente</w:t>
      </w:r>
      <w:r>
        <w:rPr>
          <w:rFonts w:ascii="Verdana" w:eastAsia="Century Gothic" w:hAnsi="Verdana" w:cs="Century Gothic"/>
        </w:rPr>
        <w:t xml:space="preserve">s </w:t>
      </w:r>
      <w:r w:rsidRPr="00906BE9">
        <w:rPr>
          <w:rFonts w:ascii="Verdana" w:eastAsia="Century Gothic" w:hAnsi="Verdana" w:cs="Century Gothic"/>
        </w:rPr>
        <w:t>problema</w:t>
      </w:r>
      <w:r>
        <w:rPr>
          <w:rFonts w:ascii="Verdana" w:eastAsia="Century Gothic" w:hAnsi="Verdana" w:cs="Century Gothic"/>
        </w:rPr>
        <w:t>s jurídicos</w:t>
      </w:r>
      <w:r w:rsidRPr="00906BE9">
        <w:rPr>
          <w:rFonts w:ascii="Verdana" w:eastAsia="Century Gothic" w:hAnsi="Verdana" w:cs="Century Gothic"/>
        </w:rPr>
        <w:t>:</w:t>
      </w:r>
      <w:r>
        <w:rPr>
          <w:rFonts w:ascii="Verdana" w:eastAsia="Century Gothic" w:hAnsi="Verdana" w:cs="Century Gothic"/>
        </w:rPr>
        <w:t xml:space="preserve"> i) </w:t>
      </w:r>
      <w:r w:rsidRPr="0001041D">
        <w:rPr>
          <w:rFonts w:ascii="Verdana" w:eastAsia="Century Gothic" w:hAnsi="Verdana" w:cs="Century Gothic"/>
        </w:rPr>
        <w:t xml:space="preserve">¿Las transferencias de recursos del orden nacional o departamental hacia Entidades Territoriales y Empresas Sociales del Estado (ESE), efectuadas mediante acto administrativo de asignación derivado de proyectos de inversión en salud pública registrados en la MGA o de recursos del Plan de Intervenciones Colectivas (PIC), </w:t>
      </w:r>
      <w:r>
        <w:rPr>
          <w:rFonts w:ascii="Verdana" w:eastAsia="Century Gothic" w:hAnsi="Verdana" w:cs="Century Gothic"/>
        </w:rPr>
        <w:t xml:space="preserve">están </w:t>
      </w:r>
      <w:r w:rsidRPr="0001041D">
        <w:rPr>
          <w:rFonts w:ascii="Verdana" w:eastAsia="Century Gothic" w:hAnsi="Verdana" w:cs="Century Gothic"/>
        </w:rPr>
        <w:t>sujetos a las restricciones de la Ley 996 de 2005?</w:t>
      </w:r>
      <w:r>
        <w:rPr>
          <w:rFonts w:ascii="Verdana" w:eastAsia="Century Gothic" w:hAnsi="Verdana" w:cs="Century Gothic"/>
        </w:rPr>
        <w:t xml:space="preserve">; ii) </w:t>
      </w:r>
      <w:r w:rsidRPr="0001041D">
        <w:rPr>
          <w:rFonts w:ascii="Verdana" w:eastAsia="Century Gothic" w:hAnsi="Verdana" w:cs="Century Gothic"/>
        </w:rPr>
        <w:t xml:space="preserve">¿Es procedente la contratación directa con Empresas Sociales del Estado o con una Unión Temporal conformada por ESE para la ejecución del Plan de Intervenciones Colectivas (PIC) durante la vigencia de la Ley 996 de 2005, y cómo debe interpretarse frente a </w:t>
      </w:r>
      <w:r>
        <w:rPr>
          <w:rFonts w:ascii="Verdana" w:eastAsia="Century Gothic" w:hAnsi="Verdana" w:cs="Century Gothic"/>
        </w:rPr>
        <w:t xml:space="preserve">la </w:t>
      </w:r>
      <w:r w:rsidRPr="0001041D">
        <w:rPr>
          <w:rFonts w:ascii="Verdana" w:eastAsia="Century Gothic" w:hAnsi="Verdana" w:cs="Century Gothic"/>
        </w:rPr>
        <w:t>contrataci</w:t>
      </w:r>
      <w:r w:rsidRPr="0001041D">
        <w:rPr>
          <w:rFonts w:ascii="Verdana" w:eastAsia="Century Gothic" w:hAnsi="Verdana" w:cs="Verdana"/>
        </w:rPr>
        <w:t>ó</w:t>
      </w:r>
      <w:r w:rsidRPr="0001041D">
        <w:rPr>
          <w:rFonts w:ascii="Verdana" w:eastAsia="Century Gothic" w:hAnsi="Verdana" w:cs="Century Gothic"/>
        </w:rPr>
        <w:t>n interadministrativa?</w:t>
      </w:r>
    </w:p>
    <w:p w14:paraId="6F3E8819" w14:textId="77777777" w:rsidR="00A1025E" w:rsidRPr="004B140F" w:rsidRDefault="00A1025E" w:rsidP="00A1025E">
      <w:pPr>
        <w:spacing w:after="0" w:line="276" w:lineRule="auto"/>
        <w:jc w:val="both"/>
        <w:rPr>
          <w:rFonts w:ascii="Verdana" w:eastAsia="Calibri" w:hAnsi="Verdana" w:cs="Arial"/>
          <w:color w:val="7030A0"/>
        </w:rPr>
      </w:pPr>
    </w:p>
    <w:p w14:paraId="4CF81B4C" w14:textId="77777777" w:rsidR="00A1025E" w:rsidRPr="00593A5F" w:rsidRDefault="00A1025E" w:rsidP="00A1025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r>
        <w:rPr>
          <w:rFonts w:ascii="Verdana" w:eastAsia="Century Gothic" w:hAnsi="Verdana" w:cs="Century Gothic"/>
          <w:b/>
          <w:bCs/>
        </w:rPr>
        <w:t>s</w:t>
      </w:r>
      <w:r w:rsidRPr="00593A5F">
        <w:rPr>
          <w:rFonts w:ascii="Verdana" w:eastAsia="Century Gothic" w:hAnsi="Verdana" w:cs="Century Gothic"/>
          <w:b/>
          <w:bCs/>
        </w:rPr>
        <w:t>:</w:t>
      </w:r>
    </w:p>
    <w:p w14:paraId="653C01F5" w14:textId="77777777" w:rsidR="00A1025E" w:rsidRPr="00593A5F" w:rsidRDefault="00A1025E" w:rsidP="00A1025E">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1025E" w:rsidRPr="00593A5F" w14:paraId="0B48E226" w14:textId="77777777" w:rsidTr="007D72B3">
        <w:trPr>
          <w:jc w:val="center"/>
        </w:trPr>
        <w:tc>
          <w:tcPr>
            <w:tcW w:w="8828" w:type="dxa"/>
          </w:tcPr>
          <w:p w14:paraId="4A23FB8E" w14:textId="77777777" w:rsidR="00A1025E" w:rsidRDefault="00A1025E" w:rsidP="007D72B3">
            <w:pPr>
              <w:spacing w:line="276" w:lineRule="auto"/>
              <w:ind w:right="51"/>
              <w:jc w:val="both"/>
              <w:rPr>
                <w:rFonts w:ascii="Verdana" w:eastAsia="Calibri" w:hAnsi="Verdana" w:cs="Arial"/>
                <w:lang w:val="es-MX"/>
              </w:rPr>
            </w:pPr>
            <w:bookmarkStart w:id="2" w:name="_Hlk171694685"/>
            <w:r>
              <w:rPr>
                <w:rFonts w:ascii="Verdana" w:eastAsia="Calibri" w:hAnsi="Verdana" w:cs="Arial"/>
                <w:lang w:val="es-MX"/>
              </w:rPr>
              <w:t xml:space="preserve">De acuerdo con los problemas jurídicos, objeto de consulta, se señala lo siguiente: </w:t>
            </w:r>
          </w:p>
          <w:p w14:paraId="61765179" w14:textId="77777777" w:rsidR="00A1025E" w:rsidRDefault="00A1025E" w:rsidP="007D72B3">
            <w:pPr>
              <w:spacing w:line="276" w:lineRule="auto"/>
              <w:jc w:val="both"/>
              <w:rPr>
                <w:rFonts w:ascii="Verdana" w:eastAsia="Calibri" w:hAnsi="Verdana" w:cs="Arial"/>
                <w:lang w:val="es-MX"/>
              </w:rPr>
            </w:pPr>
          </w:p>
          <w:p w14:paraId="13207576" w14:textId="77777777" w:rsidR="00A1025E" w:rsidRDefault="00A1025E" w:rsidP="007D72B3">
            <w:pPr>
              <w:pStyle w:val="paragraph"/>
              <w:shd w:val="clear" w:color="auto" w:fill="FFFFFF"/>
              <w:spacing w:before="0" w:beforeAutospacing="0" w:after="120" w:afterAutospacing="0" w:line="276" w:lineRule="auto"/>
              <w:jc w:val="both"/>
              <w:textAlignment w:val="baseline"/>
              <w:rPr>
                <w:rFonts w:ascii="Verdana" w:eastAsia="Calibri" w:hAnsi="Verdana" w:cs="Arial"/>
                <w:bCs/>
                <w:color w:val="000000" w:themeColor="text1"/>
                <w:sz w:val="22"/>
                <w:szCs w:val="22"/>
              </w:rPr>
            </w:pPr>
            <w:r>
              <w:rPr>
                <w:rFonts w:ascii="Verdana" w:eastAsia="Calibri" w:hAnsi="Verdana" w:cs="Arial"/>
                <w:lang w:val="es-MX"/>
              </w:rPr>
              <w:t xml:space="preserve">i. </w:t>
            </w:r>
            <w:r>
              <w:rPr>
                <w:rFonts w:ascii="Verdana" w:eastAsia="Calibri" w:hAnsi="Verdana" w:cs="Arial"/>
                <w:bCs/>
                <w:color w:val="000000" w:themeColor="text1"/>
                <w:sz w:val="22"/>
                <w:szCs w:val="22"/>
              </w:rPr>
              <w:t xml:space="preserve">Toda inversión o transferencia de recursos que se haga mediante acto administrativo no puede asimilarse a un convenio o a un contrato interadministrativo. En este sentido, es importante precisar que los actos administrativos son declaraciones unilaterales de voluntad encaminadas a la producción de efectos jurídicos vinculantes, mientras los contratos o convenios entre entidades estatales son acuerdos de voluntad encaminadas a la producción de efectos jurídicos vinculantes. </w:t>
            </w:r>
            <w:r w:rsidRPr="0024692A">
              <w:rPr>
                <w:rFonts w:ascii="Verdana" w:eastAsia="Calibri" w:hAnsi="Verdana" w:cs="Arial"/>
                <w:bCs/>
                <w:color w:val="000000" w:themeColor="text1"/>
                <w:sz w:val="22"/>
                <w:szCs w:val="22"/>
              </w:rPr>
              <w:t xml:space="preserve">Desde esta perspectiva, la naturaleza jurídica de </w:t>
            </w:r>
            <w:r>
              <w:rPr>
                <w:rFonts w:ascii="Verdana" w:eastAsia="Calibri" w:hAnsi="Verdana" w:cs="Arial"/>
                <w:bCs/>
                <w:color w:val="000000" w:themeColor="text1"/>
                <w:sz w:val="22"/>
                <w:szCs w:val="22"/>
              </w:rPr>
              <w:t xml:space="preserve">las </w:t>
            </w:r>
            <w:r w:rsidRPr="0024692A">
              <w:rPr>
                <w:rFonts w:ascii="Verdana" w:eastAsia="Calibri" w:hAnsi="Verdana" w:cs="Arial"/>
                <w:bCs/>
                <w:color w:val="000000" w:themeColor="text1"/>
                <w:sz w:val="22"/>
                <w:szCs w:val="22"/>
              </w:rPr>
              <w:t xml:space="preserve">transferencias </w:t>
            </w:r>
            <w:r>
              <w:rPr>
                <w:rFonts w:ascii="Verdana" w:eastAsia="Calibri" w:hAnsi="Verdana" w:cs="Arial"/>
                <w:bCs/>
                <w:color w:val="000000" w:themeColor="text1"/>
                <w:sz w:val="22"/>
                <w:szCs w:val="22"/>
              </w:rPr>
              <w:t xml:space="preserve">que se enmarca en </w:t>
            </w:r>
            <w:r w:rsidRPr="0024692A">
              <w:rPr>
                <w:rFonts w:ascii="Verdana" w:eastAsia="Calibri" w:hAnsi="Verdana" w:cs="Arial"/>
                <w:bCs/>
                <w:color w:val="000000" w:themeColor="text1"/>
                <w:sz w:val="22"/>
                <w:szCs w:val="22"/>
              </w:rPr>
              <w:t>acto</w:t>
            </w:r>
            <w:r>
              <w:rPr>
                <w:rFonts w:ascii="Verdana" w:eastAsia="Calibri" w:hAnsi="Verdana" w:cs="Arial"/>
                <w:bCs/>
                <w:color w:val="000000" w:themeColor="text1"/>
                <w:sz w:val="22"/>
                <w:szCs w:val="22"/>
              </w:rPr>
              <w:t>s</w:t>
            </w:r>
            <w:r w:rsidRPr="0024692A">
              <w:rPr>
                <w:rFonts w:ascii="Verdana" w:eastAsia="Calibri" w:hAnsi="Verdana" w:cs="Arial"/>
                <w:bCs/>
                <w:color w:val="000000" w:themeColor="text1"/>
                <w:sz w:val="22"/>
                <w:szCs w:val="22"/>
              </w:rPr>
              <w:t xml:space="preserve"> administrativo, </w:t>
            </w:r>
            <w:r>
              <w:rPr>
                <w:rFonts w:ascii="Verdana" w:eastAsia="Calibri" w:hAnsi="Verdana" w:cs="Arial"/>
                <w:bCs/>
                <w:color w:val="000000" w:themeColor="text1"/>
                <w:sz w:val="22"/>
                <w:szCs w:val="22"/>
              </w:rPr>
              <w:t xml:space="preserve">no son asimilables a las condiciones esenciales </w:t>
            </w:r>
            <w:r w:rsidRPr="0024692A">
              <w:rPr>
                <w:rFonts w:ascii="Verdana" w:eastAsia="Calibri" w:hAnsi="Verdana" w:cs="Arial"/>
                <w:bCs/>
                <w:color w:val="000000" w:themeColor="text1"/>
                <w:sz w:val="22"/>
                <w:szCs w:val="22"/>
              </w:rPr>
              <w:t>del contrato estatal, particularmente</w:t>
            </w:r>
            <w:r>
              <w:rPr>
                <w:rFonts w:ascii="Verdana" w:eastAsia="Calibri" w:hAnsi="Verdana" w:cs="Arial"/>
                <w:bCs/>
                <w:color w:val="000000" w:themeColor="text1"/>
                <w:sz w:val="22"/>
                <w:szCs w:val="22"/>
              </w:rPr>
              <w:t>,</w:t>
            </w:r>
            <w:r w:rsidRPr="0024692A">
              <w:rPr>
                <w:rFonts w:ascii="Verdana" w:eastAsia="Calibri" w:hAnsi="Verdana" w:cs="Arial"/>
                <w:bCs/>
                <w:color w:val="000000" w:themeColor="text1"/>
                <w:sz w:val="22"/>
                <w:szCs w:val="22"/>
              </w:rPr>
              <w:t xml:space="preserve"> el acuerdo de voluntades y la generación de obligaciones bilaterales. </w:t>
            </w:r>
          </w:p>
          <w:p w14:paraId="5F46F5EC" w14:textId="77777777" w:rsidR="00A1025E" w:rsidRPr="0024692A" w:rsidRDefault="00A1025E" w:rsidP="007D72B3">
            <w:pPr>
              <w:pStyle w:val="paragraph"/>
              <w:shd w:val="clear" w:color="auto" w:fill="FFFFFF"/>
              <w:spacing w:before="0" w:beforeAutospacing="0" w:after="120" w:afterAutospacing="0" w:line="276" w:lineRule="auto"/>
              <w:ind w:firstLine="708"/>
              <w:jc w:val="both"/>
              <w:textAlignment w:val="baseline"/>
              <w:rPr>
                <w:rFonts w:ascii="Verdana" w:eastAsia="Calibri" w:hAnsi="Verdana" w:cs="Arial"/>
                <w:bCs/>
                <w:color w:val="000000" w:themeColor="text1"/>
                <w:sz w:val="22"/>
                <w:szCs w:val="22"/>
              </w:rPr>
            </w:pPr>
            <w:r w:rsidRPr="0024692A">
              <w:rPr>
                <w:rFonts w:ascii="Verdana" w:eastAsia="Calibri" w:hAnsi="Verdana" w:cs="Arial"/>
                <w:bCs/>
                <w:color w:val="000000" w:themeColor="text1"/>
                <w:sz w:val="22"/>
                <w:szCs w:val="22"/>
              </w:rPr>
              <w:t>En consecuencia, estas actuaciones no se encuentran comprendidas dentro de las prohibiciones previstas en los artículos 3</w:t>
            </w:r>
            <w:r>
              <w:rPr>
                <w:rFonts w:ascii="Verdana" w:eastAsia="Calibri" w:hAnsi="Verdana" w:cs="Arial"/>
                <w:bCs/>
                <w:color w:val="000000" w:themeColor="text1"/>
                <w:sz w:val="22"/>
                <w:szCs w:val="22"/>
              </w:rPr>
              <w:t>3</w:t>
            </w:r>
            <w:r w:rsidRPr="0024692A">
              <w:rPr>
                <w:rFonts w:ascii="Verdana" w:eastAsia="Calibri" w:hAnsi="Verdana" w:cs="Arial"/>
                <w:bCs/>
                <w:color w:val="000000" w:themeColor="text1"/>
                <w:sz w:val="22"/>
                <w:szCs w:val="22"/>
              </w:rPr>
              <w:t xml:space="preserve"> y 3</w:t>
            </w:r>
            <w:r>
              <w:rPr>
                <w:rFonts w:ascii="Verdana" w:eastAsia="Calibri" w:hAnsi="Verdana" w:cs="Arial"/>
                <w:bCs/>
                <w:color w:val="000000" w:themeColor="text1"/>
                <w:sz w:val="22"/>
                <w:szCs w:val="22"/>
              </w:rPr>
              <w:t>8</w:t>
            </w:r>
            <w:r w:rsidRPr="0024692A">
              <w:rPr>
                <w:rFonts w:ascii="Verdana" w:eastAsia="Calibri" w:hAnsi="Verdana" w:cs="Arial"/>
                <w:bCs/>
                <w:color w:val="000000" w:themeColor="text1"/>
                <w:sz w:val="22"/>
                <w:szCs w:val="22"/>
              </w:rPr>
              <w:t xml:space="preserve"> de la Ley 996 de </w:t>
            </w:r>
            <w:r w:rsidRPr="0024692A">
              <w:rPr>
                <w:rFonts w:ascii="Verdana" w:eastAsia="Calibri" w:hAnsi="Verdana" w:cs="Arial"/>
                <w:bCs/>
                <w:color w:val="000000" w:themeColor="text1"/>
                <w:sz w:val="22"/>
                <w:szCs w:val="22"/>
              </w:rPr>
              <w:lastRenderedPageBreak/>
              <w:t xml:space="preserve">2005, que restringen </w:t>
            </w:r>
            <w:r>
              <w:rPr>
                <w:rFonts w:ascii="Verdana" w:eastAsia="Calibri" w:hAnsi="Verdana" w:cs="Arial"/>
                <w:bCs/>
                <w:color w:val="000000" w:themeColor="text1"/>
                <w:sz w:val="22"/>
                <w:szCs w:val="22"/>
              </w:rPr>
              <w:t xml:space="preserve">la contratación directa durante los 4 meses previos a las elecciones presidenciales de todas las entidades del Estado, así como </w:t>
            </w:r>
            <w:r w:rsidRPr="0024692A">
              <w:rPr>
                <w:rFonts w:ascii="Verdana" w:eastAsia="Calibri" w:hAnsi="Verdana" w:cs="Arial"/>
                <w:bCs/>
                <w:color w:val="000000" w:themeColor="text1"/>
                <w:sz w:val="22"/>
                <w:szCs w:val="22"/>
              </w:rPr>
              <w:t xml:space="preserve">la celebración de convenios </w:t>
            </w:r>
            <w:r>
              <w:rPr>
                <w:rFonts w:ascii="Verdana" w:eastAsia="Calibri" w:hAnsi="Verdana" w:cs="Arial"/>
                <w:bCs/>
                <w:color w:val="000000" w:themeColor="text1"/>
                <w:sz w:val="22"/>
                <w:szCs w:val="22"/>
              </w:rPr>
              <w:t xml:space="preserve">interadministrativos para la ejecución de recursos públicos en los 4 meses previos a cualquier contienda electoral. </w:t>
            </w:r>
            <w:r w:rsidRPr="0024692A">
              <w:rPr>
                <w:rFonts w:ascii="Verdana" w:eastAsia="Calibri" w:hAnsi="Verdana" w:cs="Arial"/>
                <w:bCs/>
                <w:color w:val="000000" w:themeColor="text1"/>
                <w:sz w:val="22"/>
                <w:szCs w:val="22"/>
              </w:rPr>
              <w:t>La restricción aplica exclusivamente a instrumentos contractuales que impliquen acuerdo de voluntades, no a actos administrativos de ejecución presupuestal que materializan decisiones previamente adoptadas en el marco de la planeación y programación del gasto público.</w:t>
            </w:r>
          </w:p>
          <w:p w14:paraId="40555891" w14:textId="77777777" w:rsidR="00A1025E" w:rsidRDefault="00A1025E" w:rsidP="007D72B3">
            <w:pPr>
              <w:pStyle w:val="paragraph"/>
              <w:shd w:val="clear" w:color="auto" w:fill="FFFFFF"/>
              <w:spacing w:before="0" w:beforeAutospacing="0" w:after="120" w:afterAutospacing="0" w:line="276" w:lineRule="auto"/>
              <w:ind w:firstLine="708"/>
              <w:jc w:val="both"/>
              <w:textAlignment w:val="baseline"/>
              <w:rPr>
                <w:rFonts w:ascii="Verdana" w:eastAsia="Calibri" w:hAnsi="Verdana" w:cs="Arial"/>
                <w:bCs/>
                <w:color w:val="000000" w:themeColor="text1"/>
                <w:sz w:val="22"/>
                <w:szCs w:val="22"/>
              </w:rPr>
            </w:pPr>
            <w:r w:rsidRPr="0024692A">
              <w:rPr>
                <w:rFonts w:ascii="Verdana" w:eastAsia="Calibri" w:hAnsi="Verdana" w:cs="Arial"/>
                <w:bCs/>
                <w:color w:val="000000" w:themeColor="text1"/>
                <w:sz w:val="22"/>
                <w:szCs w:val="22"/>
              </w:rPr>
              <w:t>No obstante, es indispensable que las resoluciones</w:t>
            </w:r>
            <w:r>
              <w:rPr>
                <w:rFonts w:ascii="Verdana" w:eastAsia="Calibri" w:hAnsi="Verdana" w:cs="Arial"/>
                <w:bCs/>
                <w:color w:val="000000" w:themeColor="text1"/>
                <w:sz w:val="22"/>
                <w:szCs w:val="22"/>
              </w:rPr>
              <w:t xml:space="preserve"> o decretos</w:t>
            </w:r>
            <w:r w:rsidRPr="0024692A">
              <w:rPr>
                <w:rFonts w:ascii="Verdana" w:eastAsia="Calibri" w:hAnsi="Verdana" w:cs="Arial"/>
                <w:bCs/>
                <w:color w:val="000000" w:themeColor="text1"/>
                <w:sz w:val="22"/>
                <w:szCs w:val="22"/>
              </w:rPr>
              <w:t xml:space="preserve"> de transferencia mantengan su carácter genuino de actos administrativos y no se utilicen como mecanismos indirectos para eludir la prohibición de celebrar convenios interadministrativos durante la vigencia de la Ley de Garantías. Mientras se preserve su naturaleza unilateral </w:t>
            </w:r>
            <w:r>
              <w:rPr>
                <w:rFonts w:ascii="Verdana" w:eastAsia="Calibri" w:hAnsi="Verdana" w:cs="Arial"/>
                <w:bCs/>
                <w:color w:val="000000" w:themeColor="text1"/>
                <w:sz w:val="22"/>
                <w:szCs w:val="22"/>
              </w:rPr>
              <w:t>y se sujetan a las reglas y condiciones en materia presupuestal definida en el ordenamiento jurídico</w:t>
            </w:r>
            <w:r w:rsidRPr="0024692A">
              <w:rPr>
                <w:rFonts w:ascii="Verdana" w:eastAsia="Calibri" w:hAnsi="Verdana" w:cs="Arial"/>
                <w:bCs/>
                <w:color w:val="000000" w:themeColor="text1"/>
                <w:sz w:val="22"/>
                <w:szCs w:val="22"/>
              </w:rPr>
              <w:t xml:space="preserve">, la expedición de estas </w:t>
            </w:r>
            <w:r>
              <w:rPr>
                <w:rFonts w:ascii="Verdana" w:eastAsia="Calibri" w:hAnsi="Verdana" w:cs="Arial"/>
                <w:bCs/>
                <w:color w:val="000000" w:themeColor="text1"/>
                <w:sz w:val="22"/>
                <w:szCs w:val="22"/>
              </w:rPr>
              <w:t xml:space="preserve">no se afectará </w:t>
            </w:r>
            <w:r w:rsidRPr="0024692A">
              <w:rPr>
                <w:rFonts w:ascii="Verdana" w:eastAsia="Calibri" w:hAnsi="Verdana" w:cs="Arial"/>
                <w:bCs/>
                <w:color w:val="000000" w:themeColor="text1"/>
                <w:sz w:val="22"/>
                <w:szCs w:val="22"/>
              </w:rPr>
              <w:t>por las restricciones de</w:t>
            </w:r>
            <w:r>
              <w:rPr>
                <w:rFonts w:ascii="Verdana" w:eastAsia="Calibri" w:hAnsi="Verdana" w:cs="Arial"/>
                <w:bCs/>
                <w:color w:val="000000" w:themeColor="text1"/>
                <w:sz w:val="22"/>
                <w:szCs w:val="22"/>
              </w:rPr>
              <w:t xml:space="preserve"> los artículos 33 y 38 de la Ley 996 de 2005. </w:t>
            </w:r>
          </w:p>
          <w:p w14:paraId="253399DB" w14:textId="77777777" w:rsidR="00A1025E" w:rsidRDefault="00A1025E" w:rsidP="007D72B3">
            <w:pPr>
              <w:spacing w:line="276" w:lineRule="auto"/>
              <w:jc w:val="both"/>
              <w:rPr>
                <w:rFonts w:ascii="Verdana" w:eastAsia="Calibri" w:hAnsi="Verdana" w:cs="Arial"/>
              </w:rPr>
            </w:pPr>
          </w:p>
          <w:p w14:paraId="47A21E9B" w14:textId="77777777" w:rsidR="00A1025E" w:rsidRPr="00FF007A" w:rsidRDefault="00A1025E" w:rsidP="007D72B3">
            <w:pPr>
              <w:spacing w:after="120" w:line="276" w:lineRule="auto"/>
              <w:jc w:val="both"/>
              <w:rPr>
                <w:rFonts w:ascii="Verdana" w:eastAsia="Arial" w:hAnsi="Verdana" w:cs="Arial"/>
                <w:bCs/>
                <w:color w:val="000000" w:themeColor="text1"/>
              </w:rPr>
            </w:pPr>
            <w:r>
              <w:rPr>
                <w:rFonts w:ascii="Verdana" w:eastAsia="Calibri" w:hAnsi="Verdana" w:cs="Arial"/>
              </w:rPr>
              <w:t xml:space="preserve">ii. </w:t>
            </w:r>
            <w:r w:rsidRPr="00FF007A">
              <w:rPr>
                <w:rFonts w:ascii="Verdana" w:eastAsia="Arial" w:hAnsi="Verdana" w:cs="Arial"/>
                <w:bCs/>
                <w:color w:val="000000" w:themeColor="text1"/>
              </w:rPr>
              <w:t xml:space="preserve">Conforme con lo expuesto, las entidades que requieran adelantar procesos de contratación directa durante el periodo de garantías electorales deberán analizar, primero, si se configuran los supuestos establecidos en </w:t>
            </w:r>
            <w:r w:rsidRPr="00FF007A">
              <w:rPr>
                <w:rFonts w:ascii="Verdana" w:eastAsia="Arial" w:hAnsi="Verdana" w:cs="Arial"/>
                <w:bCs/>
                <w:i/>
                <w:iCs/>
                <w:color w:val="000000" w:themeColor="text1"/>
              </w:rPr>
              <w:t>el artículo 33</w:t>
            </w:r>
            <w:r w:rsidRPr="00FF007A">
              <w:rPr>
                <w:rFonts w:ascii="Verdana" w:eastAsia="Arial" w:hAnsi="Verdana" w:cs="Arial"/>
                <w:bCs/>
                <w:color w:val="000000" w:themeColor="text1"/>
              </w:rPr>
              <w:t xml:space="preserve"> de la Ley 996 de 2005, es decir, si se trata de cualquier entidad pública que pretenda adelantar un proceso no competitivo. Adicionalmente, será pertinente analizar si se configura alguna de las excepciones previstas en la norma. En este caso, será relevante determinar </w:t>
            </w:r>
            <w:r>
              <w:rPr>
                <w:rFonts w:ascii="Verdana" w:eastAsia="Arial" w:hAnsi="Verdana" w:cs="Arial"/>
                <w:bCs/>
                <w:color w:val="000000" w:themeColor="text1"/>
              </w:rPr>
              <w:t xml:space="preserve">en el supuesto que plantea </w:t>
            </w:r>
            <w:r w:rsidRPr="00FF007A">
              <w:rPr>
                <w:rFonts w:ascii="Verdana" w:eastAsia="Arial" w:hAnsi="Verdana" w:cs="Arial"/>
                <w:bCs/>
                <w:color w:val="000000" w:themeColor="text1"/>
              </w:rPr>
              <w:t>si la contratación del</w:t>
            </w:r>
            <w:r>
              <w:rPr>
                <w:rFonts w:ascii="Verdana" w:eastAsia="Arial" w:hAnsi="Verdana" w:cs="Arial"/>
                <w:bCs/>
                <w:color w:val="000000" w:themeColor="text1"/>
              </w:rPr>
              <w:t xml:space="preserve"> Plan de Salud Pública de Intervenciones Colectivas -</w:t>
            </w:r>
            <w:r w:rsidRPr="00FF007A">
              <w:rPr>
                <w:rFonts w:ascii="Verdana" w:eastAsia="Arial" w:hAnsi="Verdana" w:cs="Arial"/>
                <w:bCs/>
                <w:color w:val="000000" w:themeColor="text1"/>
              </w:rPr>
              <w:t>PIC</w:t>
            </w:r>
            <w:r>
              <w:rPr>
                <w:rFonts w:ascii="Verdana" w:eastAsia="Arial" w:hAnsi="Verdana" w:cs="Arial"/>
                <w:bCs/>
                <w:color w:val="000000" w:themeColor="text1"/>
              </w:rPr>
              <w:t>-</w:t>
            </w:r>
            <w:r w:rsidRPr="00FF007A">
              <w:rPr>
                <w:rFonts w:ascii="Verdana" w:eastAsia="Arial" w:hAnsi="Verdana" w:cs="Arial"/>
                <w:bCs/>
                <w:color w:val="000000" w:themeColor="text1"/>
              </w:rPr>
              <w:t xml:space="preserve"> se realiza con ocasión a una “emergencia sanitaria” o si es llevada a cabo por “entidades sanitarias u hospitalarias”. De ser así, la entidad</w:t>
            </w:r>
            <w:r>
              <w:rPr>
                <w:rFonts w:ascii="Verdana" w:eastAsia="Arial" w:hAnsi="Verdana" w:cs="Arial"/>
                <w:bCs/>
                <w:color w:val="000000" w:themeColor="text1"/>
              </w:rPr>
              <w:t>,</w:t>
            </w:r>
            <w:r w:rsidRPr="00FF007A">
              <w:rPr>
                <w:rFonts w:ascii="Verdana" w:eastAsia="Arial" w:hAnsi="Verdana" w:cs="Arial"/>
                <w:bCs/>
                <w:color w:val="000000" w:themeColor="text1"/>
              </w:rPr>
              <w:t xml:space="preserve"> </w:t>
            </w:r>
            <w:r>
              <w:rPr>
                <w:rFonts w:ascii="Verdana" w:eastAsia="Arial" w:hAnsi="Verdana" w:cs="Arial"/>
                <w:bCs/>
                <w:color w:val="000000" w:themeColor="text1"/>
              </w:rPr>
              <w:t xml:space="preserve">previo análisis de las excepciones, podrá proceder en tal sentido y contratar directamente </w:t>
            </w:r>
            <w:r w:rsidRPr="00FF007A">
              <w:rPr>
                <w:rFonts w:ascii="Verdana" w:eastAsia="Arial" w:hAnsi="Verdana" w:cs="Arial"/>
                <w:bCs/>
                <w:color w:val="000000" w:themeColor="text1"/>
              </w:rPr>
              <w:t>a pesar de que haya iniciado el periodo de garantías electorales correspondiente al artículo 33 de la Ley 996 de 2005.</w:t>
            </w:r>
          </w:p>
          <w:p w14:paraId="317CF50E" w14:textId="77777777" w:rsidR="00A1025E" w:rsidRDefault="00A1025E" w:rsidP="007D72B3">
            <w:pPr>
              <w:spacing w:before="120" w:after="120" w:line="276" w:lineRule="auto"/>
              <w:jc w:val="both"/>
              <w:rPr>
                <w:rFonts w:ascii="Verdana" w:eastAsia="Arial" w:hAnsi="Verdana" w:cs="Arial"/>
                <w:bCs/>
                <w:color w:val="000000" w:themeColor="text1"/>
                <w:lang w:val="es-MX"/>
              </w:rPr>
            </w:pPr>
            <w:r w:rsidRPr="00FF007A">
              <w:rPr>
                <w:rFonts w:ascii="Verdana" w:eastAsia="Arial" w:hAnsi="Verdana" w:cs="Arial"/>
                <w:bCs/>
                <w:color w:val="000000" w:themeColor="text1"/>
              </w:rPr>
              <w:tab/>
            </w:r>
            <w:r>
              <w:rPr>
                <w:rFonts w:ascii="Verdana" w:eastAsia="Arial" w:hAnsi="Verdana" w:cs="Arial"/>
                <w:bCs/>
                <w:color w:val="000000" w:themeColor="text1"/>
              </w:rPr>
              <w:t>De igual modo, es importante aludir a</w:t>
            </w:r>
            <w:r w:rsidRPr="00FF007A">
              <w:rPr>
                <w:rFonts w:ascii="Verdana" w:eastAsia="Arial" w:hAnsi="Verdana" w:cs="Arial"/>
                <w:bCs/>
                <w:color w:val="000000" w:themeColor="text1"/>
              </w:rPr>
              <w:t xml:space="preserve"> la prohibición del </w:t>
            </w:r>
            <w:r w:rsidRPr="00FF007A">
              <w:rPr>
                <w:rFonts w:ascii="Verdana" w:eastAsia="Arial" w:hAnsi="Verdana" w:cs="Arial"/>
                <w:bCs/>
                <w:i/>
                <w:iCs/>
                <w:color w:val="000000" w:themeColor="text1"/>
              </w:rPr>
              <w:t>parágrafo del artículo 38</w:t>
            </w:r>
            <w:r w:rsidRPr="00FF007A">
              <w:rPr>
                <w:rFonts w:ascii="Verdana" w:eastAsia="Arial" w:hAnsi="Verdana" w:cs="Arial"/>
                <w:bCs/>
                <w:color w:val="000000" w:themeColor="text1"/>
              </w:rPr>
              <w:t xml:space="preserve">, </w:t>
            </w:r>
            <w:r>
              <w:rPr>
                <w:rFonts w:ascii="Verdana" w:eastAsia="Arial" w:hAnsi="Verdana" w:cs="Arial"/>
                <w:bCs/>
                <w:color w:val="000000" w:themeColor="text1"/>
              </w:rPr>
              <w:t>siendo</w:t>
            </w:r>
            <w:r w:rsidRPr="00FF007A">
              <w:rPr>
                <w:rFonts w:ascii="Verdana" w:eastAsia="Arial" w:hAnsi="Verdana" w:cs="Arial"/>
                <w:bCs/>
                <w:color w:val="000000" w:themeColor="text1"/>
              </w:rPr>
              <w:t xml:space="preserve"> necesario verificar si la contratación del PIC es llevada a cabo por </w:t>
            </w:r>
            <w:r>
              <w:rPr>
                <w:rFonts w:ascii="Verdana" w:eastAsia="Arial" w:hAnsi="Verdana" w:cs="Arial"/>
                <w:bCs/>
                <w:color w:val="000000" w:themeColor="text1"/>
              </w:rPr>
              <w:t xml:space="preserve">los </w:t>
            </w:r>
            <w:r w:rsidRPr="00FF007A">
              <w:rPr>
                <w:rFonts w:ascii="Verdana" w:eastAsia="Arial" w:hAnsi="Verdana" w:cs="Arial"/>
                <w:bCs/>
                <w:color w:val="000000" w:themeColor="text1"/>
              </w:rPr>
              <w:t xml:space="preserve">“Alcaldes, Gobernadores, Secretarios, Gerentes y Directores de las entidades del orden municipal, departamental o distrital”; así como determinar si lo que pretende adelantar es un convenio interadministrativo </w:t>
            </w:r>
            <w:r w:rsidRPr="00FF007A">
              <w:rPr>
                <w:rFonts w:ascii="Verdana" w:eastAsia="Arial" w:hAnsi="Verdana" w:cs="Arial"/>
                <w:bCs/>
                <w:color w:val="000000" w:themeColor="text1"/>
              </w:rPr>
              <w:lastRenderedPageBreak/>
              <w:t>para la ejecución de recursos públicos. Cuando este sea el caso, operará la restricción señalada en el parágrafo y estará prohibido llevar a cabo la c</w:t>
            </w:r>
            <w:r>
              <w:rPr>
                <w:rFonts w:ascii="Verdana" w:eastAsia="Arial" w:hAnsi="Verdana" w:cs="Arial"/>
                <w:bCs/>
                <w:color w:val="000000" w:themeColor="text1"/>
              </w:rPr>
              <w:t>elebración</w:t>
            </w:r>
            <w:r w:rsidRPr="00FF007A">
              <w:rPr>
                <w:rFonts w:ascii="Verdana" w:eastAsia="Arial" w:hAnsi="Verdana" w:cs="Arial"/>
                <w:bCs/>
                <w:color w:val="000000" w:themeColor="text1"/>
              </w:rPr>
              <w:t xml:space="preserve"> </w:t>
            </w:r>
            <w:r>
              <w:rPr>
                <w:rFonts w:ascii="Verdana" w:eastAsia="Arial" w:hAnsi="Verdana" w:cs="Arial"/>
                <w:bCs/>
                <w:color w:val="000000" w:themeColor="text1"/>
              </w:rPr>
              <w:t xml:space="preserve">de convenios interadministrativos </w:t>
            </w:r>
            <w:r w:rsidRPr="00FF007A">
              <w:rPr>
                <w:rFonts w:ascii="Verdana" w:eastAsia="Arial" w:hAnsi="Verdana" w:cs="Arial"/>
                <w:bCs/>
                <w:color w:val="000000" w:themeColor="text1"/>
              </w:rPr>
              <w:t xml:space="preserve">en los cuatro meses anteriores a cualquier contienda electoral. </w:t>
            </w:r>
            <w:r w:rsidRPr="005B0452">
              <w:rPr>
                <w:rFonts w:ascii="Verdana" w:eastAsia="Arial" w:hAnsi="Verdana" w:cs="Arial"/>
                <w:bCs/>
                <w:color w:val="000000" w:themeColor="text1"/>
              </w:rPr>
              <w:t xml:space="preserve">En este aspecto, se encuentra que la restricción para la celebración de convenios interadministrativos para la ejecución de recursos públicos no puede aludirse a contratantes o contratistas, sino de partes cooperantes o colaboradoras. </w:t>
            </w:r>
            <w:r w:rsidRPr="005B0452">
              <w:rPr>
                <w:rFonts w:ascii="Verdana" w:eastAsia="Arial" w:hAnsi="Verdana" w:cs="Arial"/>
                <w:bCs/>
                <w:color w:val="000000" w:themeColor="text1"/>
                <w:lang w:val="es-MX"/>
              </w:rPr>
              <w:t xml:space="preserve">Esta restricción se extiende a las elecciones presidenciales que se celebrarán el 31 de mayo de 2026, así como una posible segunda vuelta tres semanas después, es decir, el 21 de junio de 2026. </w:t>
            </w:r>
          </w:p>
          <w:p w14:paraId="21D1DE46" w14:textId="77777777" w:rsidR="00A1025E" w:rsidRPr="00FB2271" w:rsidRDefault="00A1025E" w:rsidP="007D72B3">
            <w:pPr>
              <w:spacing w:before="120" w:after="120" w:line="276" w:lineRule="auto"/>
              <w:jc w:val="both"/>
              <w:rPr>
                <w:rFonts w:ascii="Verdana" w:eastAsia="Arial" w:hAnsi="Verdana" w:cs="Arial"/>
                <w:bCs/>
                <w:color w:val="000000" w:themeColor="text1"/>
              </w:rPr>
            </w:pPr>
            <w:r>
              <w:rPr>
                <w:rFonts w:ascii="Verdana" w:eastAsia="Arial" w:hAnsi="Verdana" w:cs="Arial"/>
                <w:bCs/>
                <w:color w:val="000000" w:themeColor="text1"/>
                <w:lang w:val="es-MX"/>
              </w:rPr>
              <w:tab/>
              <w:t>En cuanto a la celebración de contratos interadministrativos no es aplicable la restricción del parágrafo del artículo 38, según la sentencia precitada (</w:t>
            </w:r>
            <w:r w:rsidRPr="00817856">
              <w:rPr>
                <w:rFonts w:ascii="Verdana" w:eastAsia="Arial" w:hAnsi="Verdana" w:cs="Arial"/>
                <w:bCs/>
                <w:color w:val="000000" w:themeColor="text1"/>
              </w:rPr>
              <w:t>11001-03-26-000-2023-00139-00</w:t>
            </w:r>
            <w:r>
              <w:rPr>
                <w:rFonts w:ascii="Verdana" w:eastAsia="Arial" w:hAnsi="Verdana" w:cs="Arial"/>
                <w:bCs/>
                <w:color w:val="000000" w:themeColor="text1"/>
              </w:rPr>
              <w:t xml:space="preserve">) </w:t>
            </w:r>
            <w:r>
              <w:rPr>
                <w:rFonts w:ascii="Verdana" w:eastAsia="Arial" w:hAnsi="Verdana" w:cs="Arial"/>
                <w:bCs/>
                <w:color w:val="000000" w:themeColor="text1"/>
                <w:lang w:val="es-MX"/>
              </w:rPr>
              <w:t xml:space="preserve">en las razones de la respuesta, pero sujeto a las restricciones del artículo 33 si se adelanta la contratación de forma directa, esto es, un procedimiento no competitivo. </w:t>
            </w:r>
            <w:r w:rsidRPr="005B0452">
              <w:rPr>
                <w:rFonts w:ascii="Verdana" w:eastAsia="Arial" w:hAnsi="Verdana" w:cs="Arial"/>
                <w:bCs/>
                <w:color w:val="000000" w:themeColor="text1"/>
              </w:rPr>
              <w:t>En todo caso, vale anotar que es responsabilidad del respectivo ente del Estado examinar en cada caso la naturaleza de las actividades que adelanta y justificar si las mismas se enmarcan en alguna de las excepciones, de manera que pueda realizar la contratación directa durante el periodo de la prohibición. Igualmente, le corresponde a cada entidad establecer si el instrumento jurídico que se pretende suscribir tiene la naturaleza de contrato o de convenio interadministrativo para la ejecución de recursos públicos. En este último supuesto, resulta aplicable la prohibición contenida en el parágrafo del artículo 38 de la Ley de Garantías Electorales, conforme se explicó.</w:t>
            </w:r>
          </w:p>
        </w:tc>
      </w:tr>
    </w:tbl>
    <w:p w14:paraId="0618808F" w14:textId="77777777" w:rsidR="00A1025E" w:rsidRPr="00593A5F" w:rsidRDefault="00A1025E" w:rsidP="00A1025E">
      <w:pPr>
        <w:tabs>
          <w:tab w:val="left" w:pos="142"/>
          <w:tab w:val="left" w:pos="284"/>
        </w:tabs>
        <w:spacing w:after="0" w:line="276" w:lineRule="auto"/>
        <w:jc w:val="both"/>
        <w:rPr>
          <w:rFonts w:ascii="Verdana" w:eastAsia="Century Gothic" w:hAnsi="Verdana" w:cs="Century Gothic"/>
          <w:b/>
          <w:bCs/>
          <w:lang w:val="es-ES"/>
        </w:rPr>
      </w:pPr>
    </w:p>
    <w:bookmarkEnd w:id="2"/>
    <w:p w14:paraId="75089CA0" w14:textId="77777777" w:rsidR="00A1025E" w:rsidRPr="00593A5F" w:rsidRDefault="00A1025E" w:rsidP="00A1025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w:t>
      </w:r>
      <w:r>
        <w:rPr>
          <w:rFonts w:ascii="Verdana" w:eastAsia="Century Gothic" w:hAnsi="Verdana" w:cs="Century Gothic"/>
          <w:b/>
          <w:bCs/>
        </w:rPr>
        <w:t>s</w:t>
      </w:r>
      <w:r w:rsidRPr="00593A5F">
        <w:rPr>
          <w:rFonts w:ascii="Verdana" w:eastAsia="Century Gothic" w:hAnsi="Verdana" w:cs="Century Gothic"/>
          <w:b/>
          <w:bCs/>
        </w:rPr>
        <w:t xml:space="preserve"> respuesta</w:t>
      </w:r>
      <w:r>
        <w:rPr>
          <w:rFonts w:ascii="Verdana" w:eastAsia="Century Gothic" w:hAnsi="Verdana" w:cs="Century Gothic"/>
          <w:b/>
          <w:bCs/>
        </w:rPr>
        <w:t>s</w:t>
      </w:r>
      <w:r w:rsidRPr="00593A5F">
        <w:rPr>
          <w:rFonts w:ascii="Verdana" w:eastAsia="Century Gothic" w:hAnsi="Verdana" w:cs="Century Gothic"/>
          <w:b/>
          <w:bCs/>
        </w:rPr>
        <w:t>:</w:t>
      </w:r>
    </w:p>
    <w:p w14:paraId="666DAC8B" w14:textId="77777777" w:rsidR="00A1025E" w:rsidRPr="00593A5F" w:rsidRDefault="00A1025E" w:rsidP="00A1025E">
      <w:pPr>
        <w:spacing w:after="0" w:line="276" w:lineRule="auto"/>
        <w:jc w:val="both"/>
        <w:rPr>
          <w:rFonts w:ascii="Verdana" w:eastAsia="Calibri" w:hAnsi="Verdana" w:cs="Arial"/>
          <w:color w:val="7030A0"/>
          <w:lang w:val="es-ES"/>
        </w:rPr>
      </w:pPr>
    </w:p>
    <w:p w14:paraId="18814B9B" w14:textId="77777777" w:rsidR="00A1025E" w:rsidRDefault="00A1025E" w:rsidP="00A1025E">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333E3D7F" w14:textId="77777777" w:rsidR="00A1025E" w:rsidRDefault="00A1025E" w:rsidP="00A1025E">
      <w:pPr>
        <w:spacing w:after="0" w:line="276" w:lineRule="auto"/>
        <w:jc w:val="both"/>
        <w:rPr>
          <w:rFonts w:ascii="Verdana" w:eastAsia="Calibri" w:hAnsi="Verdana" w:cs="Arial"/>
          <w:lang w:val="es-ES"/>
        </w:rPr>
      </w:pPr>
    </w:p>
    <w:p w14:paraId="75C9EFD9" w14:textId="77777777" w:rsidR="00A1025E" w:rsidRPr="002D6B43" w:rsidRDefault="00A1025E" w:rsidP="00A1025E">
      <w:pPr>
        <w:tabs>
          <w:tab w:val="left" w:pos="426"/>
        </w:tabs>
        <w:spacing w:after="120" w:line="276" w:lineRule="auto"/>
        <w:jc w:val="both"/>
        <w:rPr>
          <w:rFonts w:ascii="Verdana" w:eastAsia="Times New Roman" w:hAnsi="Verdana" w:cs="Arial"/>
          <w:lang w:eastAsia="es-CO"/>
        </w:rPr>
      </w:pPr>
      <w:r w:rsidRPr="002D6B43">
        <w:rPr>
          <w:rFonts w:ascii="Verdana" w:eastAsia="Calibri" w:hAnsi="Verdana" w:cs="Arial"/>
        </w:rPr>
        <w:t>i. El ordenamiento jurídico colombiano contempla previsiones claras para evitar la obtención de beneficios personales en asuntos propios de la administración pública</w:t>
      </w:r>
      <w:r w:rsidRPr="002D6B43">
        <w:rPr>
          <w:rFonts w:ascii="Verdana" w:eastAsia="Calibri" w:hAnsi="Verdana" w:cs="Arial"/>
          <w:i/>
        </w:rPr>
        <w:t xml:space="preserve">. </w:t>
      </w:r>
      <w:r w:rsidRPr="002D6B43">
        <w:rPr>
          <w:rFonts w:ascii="Verdana" w:eastAsia="Calibri" w:hAnsi="Verdana" w:cs="Arial"/>
        </w:rPr>
        <w:t xml:space="preserve">Por ejemplo, el artículo 127 de la Constitución Política establece una prohibición contractual a los servidores públicos y, en cuanto a aspectos </w:t>
      </w:r>
      <w:r w:rsidRPr="002D6B43">
        <w:rPr>
          <w:rFonts w:ascii="Verdana" w:eastAsia="Calibri" w:hAnsi="Verdana" w:cs="Arial"/>
        </w:rPr>
        <w:lastRenderedPageBreak/>
        <w:t>políticos, establece restricciones a ciertos empleados del Estado, incluso en época no electoral</w:t>
      </w:r>
      <w:r w:rsidRPr="001924B7">
        <w:rPr>
          <w:rFonts w:ascii="Verdana" w:hAnsi="Verdana"/>
          <w:vertAlign w:val="superscript"/>
        </w:rPr>
        <w:footnoteReference w:id="2"/>
      </w:r>
      <w:r w:rsidRPr="002D6B43">
        <w:rPr>
          <w:rFonts w:ascii="Verdana" w:eastAsia="Calibri" w:hAnsi="Verdana" w:cs="Arial"/>
        </w:rPr>
        <w:t xml:space="preserve">. </w:t>
      </w:r>
    </w:p>
    <w:p w14:paraId="5F03594E" w14:textId="77777777" w:rsidR="00A1025E" w:rsidRPr="006B14B5" w:rsidRDefault="00A1025E" w:rsidP="00A1025E">
      <w:pPr>
        <w:tabs>
          <w:tab w:val="left" w:pos="426"/>
        </w:tabs>
        <w:spacing w:after="0" w:line="276" w:lineRule="auto"/>
        <w:ind w:firstLine="709"/>
        <w:jc w:val="both"/>
        <w:rPr>
          <w:rFonts w:ascii="Verdana" w:eastAsia="Calibri" w:hAnsi="Verdana" w:cs="Arial"/>
          <w:lang w:val="es-ES_tradnl"/>
        </w:rPr>
      </w:pPr>
      <w:r w:rsidRPr="00E2397D">
        <w:rPr>
          <w:rFonts w:ascii="Verdana" w:eastAsia="Times New Roman" w:hAnsi="Verdana" w:cs="Arial"/>
          <w:lang w:eastAsia="es-CO"/>
        </w:rPr>
        <w:t>En el mismo sentido</w:t>
      </w:r>
      <w:r w:rsidRPr="00E2397D">
        <w:rPr>
          <w:rFonts w:ascii="Verdana" w:eastAsia="Times New Roman" w:hAnsi="Verdana" w:cs="Arial"/>
          <w:lang w:val="es-MX" w:eastAsia="es-CO"/>
        </w:rPr>
        <w:t xml:space="preserve">, </w:t>
      </w:r>
      <w:bookmarkStart w:id="3" w:name="_Hlk99576829"/>
      <w:r w:rsidRPr="00E2397D">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E2397D">
        <w:rPr>
          <w:rFonts w:ascii="Verdana" w:eastAsia="Times New Roman" w:hAnsi="Verdana" w:cs="Arial"/>
          <w:vertAlign w:val="superscript"/>
          <w:lang w:val="es-MX" w:eastAsia="es-CO"/>
        </w:rPr>
        <w:footnoteReference w:id="3"/>
      </w:r>
      <w:r w:rsidRPr="00E2397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E2397D">
        <w:rPr>
          <w:rFonts w:ascii="Verdana" w:eastAsia="Calibri" w:hAnsi="Verdana" w:cs="Arial"/>
          <w:lang w:val="es-ES_tradnl"/>
        </w:rPr>
        <w:t xml:space="preserve"> </w:t>
      </w:r>
      <w:bookmarkEnd w:id="3"/>
      <w:r w:rsidRPr="00E2397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1E8600BF" w14:textId="77777777" w:rsidR="00A1025E" w:rsidRPr="00E2397D" w:rsidRDefault="00A1025E" w:rsidP="00A1025E">
      <w:pPr>
        <w:spacing w:after="0" w:line="276" w:lineRule="auto"/>
        <w:ind w:right="709"/>
        <w:contextualSpacing/>
        <w:jc w:val="both"/>
        <w:rPr>
          <w:rFonts w:ascii="Verdana" w:eastAsia="Times New Roman" w:hAnsi="Verdana" w:cs="Arial"/>
          <w:lang w:val="es-ES" w:eastAsia="es-CO"/>
        </w:rPr>
      </w:pPr>
    </w:p>
    <w:p w14:paraId="15D75916" w14:textId="77777777" w:rsidR="00A1025E" w:rsidRPr="00E2397D" w:rsidRDefault="00A1025E" w:rsidP="00A1025E">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ES" w:eastAsia="es-CO"/>
        </w:rPr>
        <w:t xml:space="preserve">“[…] </w:t>
      </w:r>
      <w:r w:rsidRPr="00E2397D">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01814F3A" w14:textId="77777777" w:rsidR="00A1025E" w:rsidRDefault="00A1025E" w:rsidP="00A1025E">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58C91A51" w14:textId="77777777" w:rsidR="00A1025E" w:rsidRPr="000B35C5" w:rsidRDefault="00A1025E" w:rsidP="00A1025E">
      <w:pPr>
        <w:spacing w:after="0" w:line="240" w:lineRule="auto"/>
        <w:ind w:left="709" w:right="709"/>
        <w:contextualSpacing/>
        <w:jc w:val="both"/>
        <w:rPr>
          <w:rFonts w:ascii="Verdana" w:eastAsia="Times New Roman" w:hAnsi="Verdana" w:cs="Arial"/>
          <w:sz w:val="12"/>
          <w:szCs w:val="12"/>
          <w:lang w:val="es-MX" w:eastAsia="es-CO"/>
        </w:rPr>
      </w:pPr>
    </w:p>
    <w:p w14:paraId="360382C0" w14:textId="77777777" w:rsidR="00A1025E" w:rsidRPr="00E2397D" w:rsidRDefault="00A1025E" w:rsidP="00A1025E">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2397D">
        <w:rPr>
          <w:rFonts w:ascii="Verdana" w:eastAsia="Calibri" w:hAnsi="Verdana" w:cs="Arial"/>
          <w:sz w:val="20"/>
          <w:szCs w:val="20"/>
          <w:vertAlign w:val="superscript"/>
          <w:lang w:val="es-MX"/>
        </w:rPr>
        <w:footnoteReference w:id="4"/>
      </w:r>
    </w:p>
    <w:p w14:paraId="3FBBBF37" w14:textId="77777777" w:rsidR="00A1025E" w:rsidRPr="00E2397D" w:rsidRDefault="00A1025E" w:rsidP="00A1025E">
      <w:pPr>
        <w:spacing w:after="0" w:line="276" w:lineRule="auto"/>
        <w:ind w:firstLine="709"/>
        <w:jc w:val="both"/>
        <w:rPr>
          <w:rFonts w:ascii="Verdana" w:eastAsia="Times New Roman" w:hAnsi="Verdana" w:cs="Arial"/>
          <w:lang w:val="es-MX" w:eastAsia="es-CO"/>
        </w:rPr>
      </w:pPr>
      <w:bookmarkStart w:id="4" w:name="_Hlk78818186"/>
    </w:p>
    <w:p w14:paraId="20A3750D" w14:textId="77777777" w:rsidR="00A1025E" w:rsidRPr="00E2397D" w:rsidRDefault="00A1025E" w:rsidP="00A1025E">
      <w:pPr>
        <w:spacing w:after="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lastRenderedPageBreak/>
        <w:t>En este contexto, la Ley de Garantías Electorales establece el marco jurídico para el desarrollo de las elecciones, procurando condiciones de igualdad y transparencia para los aspirantes. Paralelamente,</w:t>
      </w:r>
      <w:r>
        <w:rPr>
          <w:rFonts w:ascii="Verdana" w:eastAsia="Times New Roman" w:hAnsi="Verdana" w:cs="Arial"/>
          <w:lang w:val="es-MX" w:eastAsia="es-CO"/>
        </w:rPr>
        <w:t xml:space="preserve"> se incluyen restricciones en las actuaciones</w:t>
      </w:r>
      <w:r w:rsidRPr="00E2397D">
        <w:rPr>
          <w:rFonts w:ascii="Verdana" w:eastAsia="Times New Roman" w:hAnsi="Verdana" w:cs="Arial"/>
          <w:lang w:val="es-MX" w:eastAsia="es-CO"/>
        </w:rPr>
        <w:t xml:space="preserve"> de los servidores públicos, evitando interferencias en la contienda electoral, así como la posible desviación de recursos públicos en aspiraciones electorales. </w:t>
      </w:r>
      <w:bookmarkEnd w:id="4"/>
      <w:r w:rsidRPr="00E2397D">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w:t>
      </w:r>
      <w:r>
        <w:rPr>
          <w:rFonts w:ascii="Verdana" w:eastAsia="Times New Roman" w:hAnsi="Verdana" w:cs="Arial"/>
          <w:lang w:val="es-MX" w:eastAsia="es-CO"/>
        </w:rPr>
        <w:t>cisó</w:t>
      </w:r>
      <w:r w:rsidRPr="00E2397D">
        <w:rPr>
          <w:rFonts w:ascii="Verdana" w:eastAsia="Times New Roman" w:hAnsi="Verdana" w:cs="Arial"/>
          <w:lang w:val="es-MX" w:eastAsia="es-CO"/>
        </w:rPr>
        <w:t>:</w:t>
      </w:r>
    </w:p>
    <w:p w14:paraId="39CE45EB" w14:textId="77777777" w:rsidR="00A1025E" w:rsidRPr="00886C02" w:rsidRDefault="00A1025E" w:rsidP="00A1025E">
      <w:pPr>
        <w:spacing w:after="0" w:line="276" w:lineRule="auto"/>
        <w:ind w:firstLine="709"/>
        <w:jc w:val="both"/>
        <w:rPr>
          <w:rFonts w:ascii="Verdana" w:eastAsia="Times New Roman" w:hAnsi="Verdana" w:cs="Arial"/>
          <w:lang w:val="es-MX" w:eastAsia="es-CO"/>
        </w:rPr>
      </w:pPr>
    </w:p>
    <w:p w14:paraId="395D2C2D" w14:textId="77777777" w:rsidR="00A1025E" w:rsidRPr="00E2397D" w:rsidRDefault="00A1025E" w:rsidP="00A1025E">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46749217" w14:textId="77777777" w:rsidR="00A1025E" w:rsidRPr="000B35C5" w:rsidRDefault="00A1025E" w:rsidP="00A1025E">
      <w:pPr>
        <w:spacing w:after="0" w:line="240" w:lineRule="auto"/>
        <w:ind w:right="709"/>
        <w:contextualSpacing/>
        <w:jc w:val="both"/>
        <w:rPr>
          <w:rFonts w:ascii="Verdana" w:eastAsia="Times New Roman" w:hAnsi="Verdana" w:cs="Arial"/>
          <w:sz w:val="12"/>
          <w:szCs w:val="12"/>
          <w:lang w:val="es-MX" w:eastAsia="es-CO"/>
        </w:rPr>
      </w:pPr>
    </w:p>
    <w:p w14:paraId="01154ABC" w14:textId="77777777" w:rsidR="00A1025E" w:rsidRPr="00E2397D" w:rsidRDefault="00A1025E" w:rsidP="00A1025E">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La jurisprudencia de la Corte Constitucional</w:t>
      </w:r>
      <w:r w:rsidRPr="00E2397D">
        <w:rPr>
          <w:rFonts w:ascii="Verdana" w:eastAsia="Times New Roman" w:hAnsi="Verdana" w:cs="Arial"/>
          <w:sz w:val="20"/>
          <w:szCs w:val="20"/>
          <w:vertAlign w:val="superscript"/>
          <w:lang w:val="es-MX" w:eastAsia="es-CO"/>
        </w:rPr>
        <w:footnoteReference w:id="5"/>
      </w:r>
      <w:r w:rsidRPr="00E2397D">
        <w:rPr>
          <w:rFonts w:ascii="Verdana" w:eastAsia="Times New Roman" w:hAnsi="Verdana" w:cs="Arial"/>
          <w:sz w:val="20"/>
          <w:szCs w:val="20"/>
          <w:lang w:val="es-MX" w:eastAsia="es-CO"/>
        </w:rPr>
        <w:t> y del Consejo de Estado</w:t>
      </w:r>
      <w:r w:rsidRPr="00E2397D">
        <w:rPr>
          <w:rFonts w:ascii="Verdana" w:eastAsia="Times New Roman" w:hAnsi="Verdana" w:cs="Arial"/>
          <w:sz w:val="20"/>
          <w:szCs w:val="20"/>
          <w:vertAlign w:val="superscript"/>
          <w:lang w:val="es-MX" w:eastAsia="es-CO"/>
        </w:rPr>
        <w:footnoteReference w:id="6"/>
      </w:r>
      <w:r w:rsidRPr="00E2397D">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2397D">
        <w:rPr>
          <w:rFonts w:ascii="Verdana" w:eastAsia="Times New Roman" w:hAnsi="Verdana" w:cs="Arial"/>
          <w:sz w:val="20"/>
          <w:szCs w:val="20"/>
          <w:vertAlign w:val="superscript"/>
          <w:lang w:val="es-MX" w:eastAsia="es-CO"/>
        </w:rPr>
        <w:footnoteReference w:id="7"/>
      </w:r>
      <w:r w:rsidRPr="00E2397D">
        <w:rPr>
          <w:rFonts w:ascii="Verdana" w:eastAsia="Times New Roman" w:hAnsi="Verdana" w:cs="Arial"/>
          <w:sz w:val="20"/>
          <w:szCs w:val="20"/>
          <w:lang w:val="es-MX" w:eastAsia="es-CO"/>
        </w:rPr>
        <w:t>.</w:t>
      </w:r>
    </w:p>
    <w:p w14:paraId="28E0C1A0" w14:textId="77777777" w:rsidR="00A1025E" w:rsidRPr="00E2397D" w:rsidRDefault="00A1025E" w:rsidP="00A1025E">
      <w:pPr>
        <w:spacing w:after="0" w:line="276" w:lineRule="auto"/>
        <w:jc w:val="both"/>
        <w:rPr>
          <w:rFonts w:ascii="Verdana" w:eastAsia="Calibri" w:hAnsi="Verdana" w:cs="Arial"/>
          <w:bCs/>
          <w:lang w:val="es-ES_tradnl"/>
        </w:rPr>
      </w:pPr>
    </w:p>
    <w:p w14:paraId="5170DADC" w14:textId="77777777" w:rsidR="00A1025E" w:rsidRDefault="00A1025E" w:rsidP="00A1025E">
      <w:pPr>
        <w:spacing w:after="0" w:line="276" w:lineRule="auto"/>
        <w:ind w:firstLine="709"/>
        <w:jc w:val="both"/>
        <w:rPr>
          <w:rFonts w:ascii="Verdana" w:eastAsia="Arial" w:hAnsi="Verdana" w:cs="Arial"/>
          <w:lang w:val="es-ES" w:eastAsia="es-ES" w:bidi="es-ES"/>
        </w:rPr>
      </w:pPr>
      <w:r w:rsidRPr="00E2397D">
        <w:rPr>
          <w:rFonts w:ascii="Verdana" w:eastAsia="Times New Roman" w:hAnsi="Verdana" w:cs="Arial"/>
          <w:lang w:val="es-MX" w:eastAsia="es-CO"/>
        </w:rPr>
        <w:t>De</w:t>
      </w:r>
      <w:r w:rsidRPr="00E2397D">
        <w:rPr>
          <w:rFonts w:ascii="Verdana" w:eastAsia="Arial" w:hAnsi="Verdana" w:cs="Arial"/>
          <w:lang w:val="es-ES" w:eastAsia="es-ES" w:bidi="es-ES"/>
        </w:rPr>
        <w:t xml:space="preserve"> conformidad con lo anterior, </w:t>
      </w:r>
      <w:bookmarkStart w:id="5" w:name="_Hlk77236098"/>
      <w:bookmarkStart w:id="6" w:name="_Hlk100679383"/>
      <w:r w:rsidRPr="00E2397D">
        <w:rPr>
          <w:rFonts w:ascii="Verdana" w:eastAsia="Arial" w:hAnsi="Verdana" w:cs="Arial"/>
          <w:lang w:val="es-ES" w:eastAsia="es-ES" w:bidi="es-ES"/>
        </w:rPr>
        <w:t>la L</w:t>
      </w:r>
      <w:r>
        <w:rPr>
          <w:rFonts w:ascii="Verdana" w:eastAsia="Arial" w:hAnsi="Verdana" w:cs="Arial"/>
          <w:lang w:val="es-ES" w:eastAsia="es-ES" w:bidi="es-ES"/>
        </w:rPr>
        <w:t>ey de Garantías Electorales estableció</w:t>
      </w:r>
      <w:r w:rsidRPr="00E2397D">
        <w:rPr>
          <w:rFonts w:ascii="Verdana" w:eastAsia="Arial" w:hAnsi="Verdana" w:cs="Arial"/>
          <w:lang w:val="es-ES" w:eastAsia="es-ES" w:bidi="es-ES"/>
        </w:rPr>
        <w:t xml:space="preserve"> una serie de regulaciones y prohibiciones dirigidas a los servidores públicos. Con </w:t>
      </w:r>
      <w:r w:rsidRPr="00E2397D">
        <w:rPr>
          <w:rFonts w:ascii="Verdana" w:eastAsia="Arial" w:hAnsi="Verdana" w:cs="Arial"/>
          <w:lang w:val="es-ES" w:eastAsia="es-ES" w:bidi="es-ES"/>
        </w:rPr>
        <w:lastRenderedPageBreak/>
        <w:t xml:space="preserve">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7189170D" w14:textId="77777777" w:rsidR="00A1025E" w:rsidRPr="00E2397D" w:rsidRDefault="00A1025E" w:rsidP="00A1025E">
      <w:pPr>
        <w:spacing w:after="0" w:line="276" w:lineRule="auto"/>
        <w:ind w:firstLine="709"/>
        <w:jc w:val="both"/>
        <w:rPr>
          <w:rFonts w:ascii="Verdana" w:eastAsia="Arial" w:hAnsi="Verdana" w:cs="Arial"/>
          <w:lang w:val="es-ES" w:eastAsia="es-ES" w:bidi="es-ES"/>
        </w:rPr>
      </w:pPr>
    </w:p>
    <w:p w14:paraId="33465040" w14:textId="77777777" w:rsidR="00A1025E" w:rsidRPr="00E2397D" w:rsidRDefault="00A1025E" w:rsidP="00A1025E">
      <w:pPr>
        <w:spacing w:after="120" w:line="276" w:lineRule="auto"/>
        <w:jc w:val="both"/>
        <w:rPr>
          <w:rFonts w:ascii="Verdana" w:eastAsia="Arial" w:hAnsi="Verdana" w:cs="Arial"/>
          <w:lang w:val="es-ES" w:eastAsia="es-ES" w:bidi="es-ES"/>
        </w:rPr>
      </w:pPr>
      <w:r w:rsidRPr="00E2397D">
        <w:rPr>
          <w:rFonts w:ascii="Verdana" w:eastAsia="Arial" w:hAnsi="Verdana" w:cs="Arial"/>
          <w:lang w:val="es-ES" w:eastAsia="es-ES" w:bidi="es-ES"/>
        </w:rPr>
        <w:t>ii. Precisado el propósito de la Ley, 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5"/>
    </w:p>
    <w:p w14:paraId="2B816AE9" w14:textId="77777777" w:rsidR="00A1025E" w:rsidRPr="00E2397D" w:rsidRDefault="00A1025E" w:rsidP="00A1025E">
      <w:pPr>
        <w:spacing w:after="120" w:line="276" w:lineRule="auto"/>
        <w:ind w:firstLine="708"/>
        <w:jc w:val="both"/>
        <w:rPr>
          <w:rFonts w:ascii="Verdana" w:eastAsia="Calibri" w:hAnsi="Verdana" w:cs="Arial"/>
        </w:rPr>
      </w:pPr>
      <w:r w:rsidRPr="00E2397D">
        <w:rPr>
          <w:rFonts w:ascii="Verdana" w:eastAsia="Calibri" w:hAnsi="Verdana" w:cs="Arial"/>
        </w:rPr>
        <w:t xml:space="preserve">Por un lado, el </w:t>
      </w:r>
      <w:r w:rsidRPr="00E2397D">
        <w:rPr>
          <w:rFonts w:ascii="Verdana" w:eastAsia="Calibri" w:hAnsi="Verdana" w:cs="Arial"/>
          <w:i/>
          <w:iCs/>
        </w:rPr>
        <w:t>artículo 33 de la Ley 996 de 2005</w:t>
      </w:r>
      <w:r w:rsidRPr="00E2397D">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E2397D">
        <w:rPr>
          <w:rFonts w:ascii="Verdana" w:eastAsia="Calibri" w:hAnsi="Verdana" w:cs="Arial"/>
          <w:vertAlign w:val="superscript"/>
        </w:rPr>
        <w:footnoteReference w:id="8"/>
      </w:r>
      <w:r w:rsidRPr="00E2397D">
        <w:rPr>
          <w:rFonts w:ascii="Verdana" w:eastAsia="Calibri" w:hAnsi="Verdana" w:cs="Arial"/>
        </w:rPr>
        <w:t>.</w:t>
      </w:r>
    </w:p>
    <w:p w14:paraId="1EEF474F" w14:textId="77777777" w:rsidR="00A1025E" w:rsidRDefault="00A1025E" w:rsidP="00A1025E">
      <w:pPr>
        <w:widowControl w:val="0"/>
        <w:autoSpaceDE w:val="0"/>
        <w:autoSpaceDN w:val="0"/>
        <w:spacing w:after="120" w:line="276" w:lineRule="auto"/>
        <w:ind w:right="113" w:firstLine="709"/>
        <w:jc w:val="both"/>
        <w:rPr>
          <w:rFonts w:ascii="Verdana" w:eastAsia="Arial" w:hAnsi="Verdana" w:cs="Arial"/>
          <w:lang w:val="es-ES" w:eastAsia="es-ES" w:bidi="es-ES"/>
        </w:rPr>
      </w:pPr>
      <w:r w:rsidRPr="00E2397D">
        <w:rPr>
          <w:rFonts w:ascii="Verdana" w:eastAsia="Calibri" w:hAnsi="Verdana" w:cs="Arial"/>
        </w:rPr>
        <w:t xml:space="preserve">Por otro lado, </w:t>
      </w:r>
      <w:r w:rsidRPr="00E2397D">
        <w:rPr>
          <w:rFonts w:ascii="Verdana" w:eastAsia="Calibri" w:hAnsi="Verdana" w:cs="Arial"/>
          <w:i/>
          <w:iCs/>
        </w:rPr>
        <w:t>el parágrafo del artículo 38 de la Ley 996 de 2005</w:t>
      </w:r>
      <w:r w:rsidRPr="00E2397D">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E2397D">
        <w:rPr>
          <w:rFonts w:ascii="Verdana" w:eastAsia="Calibri" w:hAnsi="Verdana" w:cs="Arial"/>
          <w:lang w:val="es-MX"/>
        </w:rPr>
        <w:t xml:space="preserve">celebrar convenios interadministrativos para la ejecución de recursos públicos, ni participar, promover y destinar recursos públicos de las entidades a su cargo, como tampoco de las que participen como miembros de sus juntas directivas, en o para reuniones de carácter </w:t>
      </w:r>
      <w:r w:rsidRPr="00E2397D">
        <w:rPr>
          <w:rFonts w:ascii="Verdana" w:eastAsia="Calibri" w:hAnsi="Verdana" w:cs="Arial"/>
          <w:lang w:val="es-MX"/>
        </w:rPr>
        <w:lastRenderedPageBreak/>
        <w:t>proselitista</w:t>
      </w:r>
      <w:r w:rsidRPr="00E2397D">
        <w:rPr>
          <w:rFonts w:ascii="Verdana" w:eastAsia="Calibri" w:hAnsi="Verdana" w:cs="Arial"/>
        </w:rPr>
        <w:t>”</w:t>
      </w:r>
      <w:bookmarkEnd w:id="6"/>
      <w:r w:rsidRPr="00E2397D">
        <w:rPr>
          <w:rFonts w:ascii="Verdana" w:eastAsia="Calibri" w:hAnsi="Verdana" w:cs="Arial"/>
          <w:vertAlign w:val="superscript"/>
        </w:rPr>
        <w:footnoteReference w:id="9"/>
      </w:r>
      <w:r w:rsidRPr="00E2397D">
        <w:rPr>
          <w:rFonts w:ascii="Verdana" w:eastAsia="Calibri" w:hAnsi="Verdana" w:cs="Arial"/>
          <w:lang w:val="es-MX"/>
        </w:rPr>
        <w:t>.</w:t>
      </w:r>
      <w:r w:rsidRPr="00E2397D">
        <w:rPr>
          <w:rFonts w:ascii="Verdana" w:eastAsia="Arial" w:hAnsi="Verdana" w:cs="Arial"/>
          <w:lang w:val="es-ES" w:eastAsia="es-ES" w:bidi="es-ES"/>
        </w:rPr>
        <w:t xml:space="preserve"> </w:t>
      </w:r>
    </w:p>
    <w:p w14:paraId="5C8F734B" w14:textId="77777777" w:rsidR="00A1025E" w:rsidRDefault="00A1025E" w:rsidP="00A1025E">
      <w:pPr>
        <w:spacing w:after="120" w:line="276" w:lineRule="auto"/>
        <w:ind w:firstLine="708"/>
        <w:jc w:val="both"/>
        <w:rPr>
          <w:rFonts w:ascii="Verdana" w:eastAsia="Times New Roman" w:hAnsi="Verdana" w:cs="Arial"/>
          <w:bCs/>
          <w:lang w:eastAsia="es-CO"/>
        </w:rPr>
      </w:pPr>
      <w:r>
        <w:rPr>
          <w:rFonts w:ascii="Verdana" w:eastAsia="Times New Roman" w:hAnsi="Verdana" w:cs="Arial"/>
          <w:bCs/>
          <w:lang w:val="es-MX" w:eastAsia="es-CO"/>
        </w:rPr>
        <w:t>Para entender el momento de aplicación de estas restricciones, es preciso señalar que el vocablo “celebrar” es definido por el Diccionario Panhispánico del Español Jurídico como:</w:t>
      </w:r>
      <w:r w:rsidRPr="00116894">
        <w:rPr>
          <w:rFonts w:ascii="Verdana" w:eastAsia="Times New Roman" w:hAnsi="Verdana" w:cs="Arial"/>
          <w:bCs/>
          <w:lang w:val="es-MX" w:eastAsia="es-CO"/>
        </w:rPr>
        <w:t xml:space="preserve"> “</w:t>
      </w:r>
      <w:r w:rsidRPr="00116894">
        <w:rPr>
          <w:rFonts w:ascii="Verdana" w:eastAsia="Times New Roman" w:hAnsi="Verdana" w:cs="Arial"/>
          <w:bCs/>
          <w:lang w:eastAsia="es-CO"/>
        </w:rPr>
        <w:t>1. </w:t>
      </w:r>
      <w:r w:rsidRPr="00116894">
        <w:rPr>
          <w:rFonts w:ascii="Verdana" w:eastAsia="Times New Roman" w:hAnsi="Verdana" w:cs="Arial"/>
          <w:bCs/>
          <w:i/>
          <w:iCs/>
          <w:lang w:eastAsia="es-CO"/>
        </w:rPr>
        <w:t>Gral.</w:t>
      </w:r>
      <w:r>
        <w:rPr>
          <w:rFonts w:ascii="Verdana" w:eastAsia="Times New Roman" w:hAnsi="Verdana" w:cs="Arial"/>
          <w:bCs/>
          <w:lang w:eastAsia="es-CO"/>
        </w:rPr>
        <w:t xml:space="preserve"> </w:t>
      </w:r>
      <w:r w:rsidRPr="00116894">
        <w:rPr>
          <w:rFonts w:ascii="Verdana" w:eastAsia="Times New Roman" w:hAnsi="Verdana" w:cs="Arial"/>
          <w:bCs/>
          <w:lang w:eastAsia="es-CO"/>
        </w:rPr>
        <w:t>Otorgar o firmar un contrato. 2</w:t>
      </w:r>
      <w:r>
        <w:rPr>
          <w:rFonts w:ascii="Verdana" w:eastAsia="Times New Roman" w:hAnsi="Verdana" w:cs="Arial"/>
          <w:bCs/>
          <w:lang w:eastAsia="es-CO"/>
        </w:rPr>
        <w:t xml:space="preserve">. </w:t>
      </w:r>
      <w:r w:rsidRPr="00116894">
        <w:rPr>
          <w:rFonts w:ascii="Verdana" w:eastAsia="Times New Roman" w:hAnsi="Verdana" w:cs="Arial"/>
          <w:bCs/>
          <w:i/>
          <w:iCs/>
          <w:lang w:eastAsia="es-CO"/>
        </w:rPr>
        <w:t>Proc.</w:t>
      </w:r>
      <w:r>
        <w:rPr>
          <w:rFonts w:ascii="Verdana" w:eastAsia="Times New Roman" w:hAnsi="Verdana" w:cs="Arial"/>
          <w:bCs/>
          <w:lang w:eastAsia="es-CO"/>
        </w:rPr>
        <w:t xml:space="preserve"> </w:t>
      </w:r>
      <w:r w:rsidRPr="00116894">
        <w:rPr>
          <w:rFonts w:ascii="Verdana" w:eastAsia="Times New Roman" w:hAnsi="Verdana" w:cs="Arial"/>
          <w:bCs/>
          <w:lang w:eastAsia="es-CO"/>
        </w:rPr>
        <w:t>Realizar los actos procesa</w:t>
      </w:r>
      <w:r>
        <w:rPr>
          <w:rFonts w:ascii="Verdana" w:eastAsia="Times New Roman" w:hAnsi="Verdana" w:cs="Arial"/>
          <w:bCs/>
          <w:lang w:eastAsia="es-CO"/>
        </w:rPr>
        <w:t xml:space="preserve">les propios de un juicio o vista”. Dentro de las dos definiciones, la que se acerca a la expresión “celebrar” en el contexto de la Ley de Garantías Electorales es la primera, esto es, al perfeccionamiento del contrato. </w:t>
      </w:r>
    </w:p>
    <w:p w14:paraId="0646FD09" w14:textId="77777777" w:rsidR="00A1025E" w:rsidRDefault="00A1025E" w:rsidP="00A1025E">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447D82">
        <w:rPr>
          <w:rFonts w:ascii="Verdana" w:eastAsia="Times New Roman" w:hAnsi="Verdana" w:cs="Arial"/>
          <w:bCs/>
          <w:lang w:val="es-ES" w:eastAsia="es-CO"/>
        </w:rPr>
        <w:t xml:space="preserve">la existencia de los contratos estatales, es decir, la producción de efectos jurídicos en los términos del artículo 1501 </w:t>
      </w:r>
      <w:r w:rsidRPr="00447D82">
        <w:rPr>
          <w:rFonts w:ascii="Verdana" w:eastAsia="Times New Roman" w:hAnsi="Verdana" w:cs="Arial"/>
          <w:bCs/>
          <w:i/>
          <w:lang w:val="es-ES" w:eastAsia="es-CO"/>
        </w:rPr>
        <w:t>ib</w:t>
      </w:r>
      <w:r>
        <w:rPr>
          <w:rFonts w:ascii="Verdana" w:eastAsia="Times New Roman" w:hAnsi="Verdana" w:cs="Arial"/>
          <w:bCs/>
          <w:i/>
          <w:lang w:val="es-ES" w:eastAsia="es-CO"/>
        </w:rPr>
        <w:t>i</w:t>
      </w:r>
      <w:r w:rsidRPr="00447D82">
        <w:rPr>
          <w:rFonts w:ascii="Verdana" w:eastAsia="Times New Roman" w:hAnsi="Verdana" w:cs="Arial"/>
          <w:bCs/>
          <w:i/>
          <w:lang w:val="es-ES" w:eastAsia="es-CO"/>
        </w:rPr>
        <w:t>dem</w:t>
      </w:r>
      <w:r w:rsidRPr="00447D82">
        <w:rPr>
          <w:rFonts w:ascii="Verdana" w:eastAsia="Times New Roman" w:hAnsi="Verdana" w:cs="Arial"/>
          <w:bCs/>
          <w:lang w:val="es-ES" w:eastAsia="es-CO"/>
        </w:rPr>
        <w:t>, depende de la regulación del inciso primero d</w:t>
      </w:r>
      <w:r>
        <w:rPr>
          <w:rFonts w:ascii="Verdana" w:eastAsia="Times New Roman" w:hAnsi="Verdana" w:cs="Arial"/>
          <w:bCs/>
          <w:lang w:val="es-ES" w:eastAsia="es-CO"/>
        </w:rPr>
        <w:t>e los artículos 39 y 41 de la Ley 80 de 1993</w:t>
      </w:r>
      <w:r w:rsidRPr="00447D82">
        <w:rPr>
          <w:rFonts w:ascii="Verdana" w:eastAsia="Times New Roman" w:hAnsi="Verdana" w:cs="Arial"/>
          <w:bCs/>
          <w:lang w:val="es-ES" w:eastAsia="es-CO"/>
        </w:rPr>
        <w:t>.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w:t>
      </w:r>
      <w:r>
        <w:rPr>
          <w:rFonts w:ascii="Verdana" w:eastAsia="Times New Roman" w:hAnsi="Verdana" w:cs="Arial"/>
          <w:bCs/>
          <w:lang w:val="es-ES" w:eastAsia="es-CO"/>
        </w:rPr>
        <w:t xml:space="preserve"> </w:t>
      </w:r>
    </w:p>
    <w:p w14:paraId="6C65EE40" w14:textId="77777777" w:rsidR="00A1025E" w:rsidRDefault="00A1025E" w:rsidP="00A1025E">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1D71FEFE" w14:textId="77777777" w:rsidR="00A1025E" w:rsidRPr="00894384" w:rsidRDefault="00A1025E" w:rsidP="00A1025E">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lastRenderedPageBreak/>
        <w:t xml:space="preserve">Asimismo, </w:t>
      </w:r>
      <w:r>
        <w:rPr>
          <w:rFonts w:ascii="Verdana" w:eastAsia="Times New Roman" w:hAnsi="Verdana" w:cs="Arial"/>
          <w:bCs/>
          <w:lang w:val="es-MX" w:eastAsia="es-CO"/>
        </w:rPr>
        <w:t>c</w:t>
      </w:r>
      <w:r w:rsidRPr="00894384">
        <w:rPr>
          <w:rFonts w:ascii="Verdana" w:eastAsia="Times New Roman" w:hAnsi="Verdana" w:cs="Arial"/>
          <w:bCs/>
          <w:lang w:val="es-MX" w:eastAsia="es-CO"/>
        </w:rPr>
        <w:t>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r w:rsidRPr="00894384">
        <w:rPr>
          <w:rFonts w:ascii="Verdana" w:eastAsia="Times New Roman" w:hAnsi="Verdana" w:cs="Arial"/>
          <w:bCs/>
          <w:vertAlign w:val="superscript"/>
          <w:lang w:val="es-MX" w:eastAsia="es-CO"/>
        </w:rPr>
        <w:footnoteReference w:id="10"/>
      </w:r>
      <w:r w:rsidRPr="00894384">
        <w:rPr>
          <w:rFonts w:ascii="Verdana" w:eastAsia="Times New Roman" w:hAnsi="Verdana" w:cs="Arial"/>
          <w:bCs/>
          <w:lang w:val="es-MX" w:eastAsia="es-CO"/>
        </w:rPr>
        <w:t xml:space="preserve">. </w:t>
      </w:r>
    </w:p>
    <w:p w14:paraId="395025EC" w14:textId="77777777" w:rsidR="00A1025E" w:rsidRPr="00E2397D" w:rsidRDefault="00A1025E" w:rsidP="00A1025E">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E2397D">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w:t>
      </w:r>
      <w:r>
        <w:rPr>
          <w:rFonts w:ascii="Verdana" w:eastAsia="Arial" w:hAnsi="Verdana" w:cs="Arial"/>
          <w:lang w:val="es-ES" w:eastAsia="es-ES" w:bidi="es-ES"/>
        </w:rPr>
        <w:t>era</w:t>
      </w:r>
      <w:r w:rsidRPr="00E2397D">
        <w:rPr>
          <w:rFonts w:ascii="Verdana" w:eastAsia="Arial" w:hAnsi="Verdana" w:cs="Arial"/>
          <w:lang w:val="es-ES" w:eastAsia="es-ES" w:bidi="es-ES"/>
        </w:rPr>
        <w:t>:</w:t>
      </w:r>
    </w:p>
    <w:p w14:paraId="52CBABCB" w14:textId="77777777" w:rsidR="00A1025E" w:rsidRPr="00E2397D" w:rsidRDefault="00A1025E" w:rsidP="00A1025E">
      <w:pPr>
        <w:widowControl w:val="0"/>
        <w:autoSpaceDE w:val="0"/>
        <w:autoSpaceDN w:val="0"/>
        <w:spacing w:after="0" w:line="276" w:lineRule="auto"/>
        <w:ind w:left="805" w:right="812"/>
        <w:contextualSpacing/>
        <w:jc w:val="both"/>
        <w:rPr>
          <w:rFonts w:ascii="Verdana" w:eastAsia="Arial" w:hAnsi="Verdana" w:cs="Arial"/>
          <w:lang w:val="es-ES" w:eastAsia="es-ES" w:bidi="es-ES"/>
        </w:rPr>
      </w:pPr>
    </w:p>
    <w:p w14:paraId="6A8A7B83" w14:textId="77777777" w:rsidR="00A1025E" w:rsidRPr="00E2397D" w:rsidRDefault="00A1025E" w:rsidP="00A1025E">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E2397D">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9" w:name="_Hlk76109421"/>
      <w:r w:rsidRPr="00E2397D">
        <w:rPr>
          <w:rFonts w:ascii="Verdana" w:eastAsia="Arial" w:hAnsi="Verdana" w:cs="Arial"/>
          <w:sz w:val="20"/>
          <w:szCs w:val="20"/>
          <w:lang w:eastAsia="es-ES" w:bidi="es-ES"/>
        </w:rPr>
        <w:t>se integran parcialmente</w:t>
      </w:r>
      <w:bookmarkEnd w:id="9"/>
      <w:r w:rsidRPr="00E2397D">
        <w:rPr>
          <w:rFonts w:ascii="Verdana" w:eastAsia="Arial" w:hAnsi="Verdana" w:cs="Arial"/>
          <w:sz w:val="20"/>
          <w:szCs w:val="20"/>
          <w:lang w:eastAsia="es-ES" w:bidi="es-ES"/>
        </w:rPr>
        <w:t>,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E2397D">
        <w:rPr>
          <w:rFonts w:ascii="Verdana" w:eastAsia="Arial" w:hAnsi="Verdana" w:cs="Arial"/>
          <w:sz w:val="20"/>
          <w:szCs w:val="20"/>
          <w:vertAlign w:val="superscript"/>
          <w:lang w:eastAsia="es-ES" w:bidi="es-ES"/>
        </w:rPr>
        <w:footnoteReference w:id="11"/>
      </w:r>
    </w:p>
    <w:p w14:paraId="5DB13897" w14:textId="77777777" w:rsidR="00A1025E" w:rsidRPr="00E2397D" w:rsidRDefault="00A1025E" w:rsidP="00A1025E">
      <w:pPr>
        <w:widowControl w:val="0"/>
        <w:autoSpaceDE w:val="0"/>
        <w:autoSpaceDN w:val="0"/>
        <w:spacing w:after="0" w:line="276" w:lineRule="auto"/>
        <w:contextualSpacing/>
        <w:rPr>
          <w:rFonts w:ascii="Verdana" w:eastAsia="Arial" w:hAnsi="Verdana" w:cs="Arial"/>
          <w:lang w:val="es-ES" w:eastAsia="es-ES" w:bidi="es-ES"/>
        </w:rPr>
      </w:pPr>
    </w:p>
    <w:p w14:paraId="72D4D730" w14:textId="77777777" w:rsidR="00A1025E" w:rsidRPr="00E2397D" w:rsidRDefault="00A1025E" w:rsidP="00A1025E">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De conformidad con lo anterior, </w:t>
      </w:r>
      <w:bookmarkStart w:id="10" w:name="_Hlk77236420"/>
      <w:bookmarkStart w:id="11" w:name="_Hlk78818435"/>
      <w:bookmarkStart w:id="12" w:name="_Hlk75780333"/>
      <w:r w:rsidRPr="00E2397D">
        <w:rPr>
          <w:rFonts w:ascii="Verdana" w:eastAsia="Arial" w:hAnsi="Verdana" w:cs="Arial"/>
          <w:lang w:val="es-ES" w:eastAsia="es-ES" w:bidi="es-ES"/>
        </w:rPr>
        <w:t xml:space="preserve">la Ley 996 de 2005 establece dos (2) tipos de restricciones en materia de contratación, las cuales coinciden parcialmente. </w:t>
      </w:r>
      <w:r w:rsidRPr="00E2397D">
        <w:rPr>
          <w:rFonts w:ascii="Verdana" w:eastAsia="Arial" w:hAnsi="Verdana" w:cs="Arial"/>
          <w:i/>
          <w:lang w:val="es-ES" w:eastAsia="es-ES" w:bidi="es-ES"/>
        </w:rPr>
        <w:t>En primer lugar</w:t>
      </w:r>
      <w:r w:rsidRPr="00E2397D">
        <w:rPr>
          <w:rFonts w:ascii="Verdana" w:eastAsia="Arial" w:hAnsi="Verdana" w:cs="Arial"/>
          <w:lang w:val="es-ES" w:eastAsia="es-ES" w:bidi="es-ES"/>
        </w:rPr>
        <w:t xml:space="preserve">, la del artículo 33 que </w:t>
      </w:r>
      <w:r>
        <w:rPr>
          <w:rFonts w:ascii="Verdana" w:eastAsia="Arial" w:hAnsi="Verdana" w:cs="Arial"/>
          <w:lang w:val="es-ES" w:eastAsia="es-ES" w:bidi="es-ES"/>
        </w:rPr>
        <w:t xml:space="preserve">aplica </w:t>
      </w:r>
      <w:r w:rsidRPr="00E2397D">
        <w:rPr>
          <w:rFonts w:ascii="Verdana" w:eastAsia="Arial" w:hAnsi="Verdana" w:cs="Arial"/>
          <w:lang w:val="es-ES" w:eastAsia="es-ES" w:bidi="es-ES"/>
        </w:rPr>
        <w:t xml:space="preserve">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w:t>
      </w:r>
      <w:r w:rsidRPr="00E2397D">
        <w:rPr>
          <w:rFonts w:ascii="Verdana" w:eastAsia="Arial" w:hAnsi="Verdana" w:cs="Arial"/>
          <w:lang w:val="es-ES" w:eastAsia="es-ES" w:bidi="es-ES"/>
        </w:rPr>
        <w:lastRenderedPageBreak/>
        <w:t xml:space="preserve">más altas, de conformidad con el artículo 190 de la Constitución Política. Para estos efectos, la restricción se extenderá hasta la fecha en la que se realice la segunda vuelta. </w:t>
      </w:r>
      <w:r w:rsidRPr="00E2397D">
        <w:rPr>
          <w:rFonts w:ascii="Verdana" w:eastAsia="Arial" w:hAnsi="Verdana" w:cs="Arial"/>
          <w:i/>
          <w:lang w:val="es-ES" w:eastAsia="es-ES" w:bidi="es-ES"/>
        </w:rPr>
        <w:t>En segundo lugar</w:t>
      </w:r>
      <w:r w:rsidRPr="00E2397D">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10"/>
    </w:p>
    <w:bookmarkEnd w:id="11"/>
    <w:p w14:paraId="6A504093" w14:textId="77777777" w:rsidR="00A1025E" w:rsidRPr="00E2397D" w:rsidRDefault="00A1025E" w:rsidP="00A1025E">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Ambas restricciones no son excluyentes, lo que permite concluir que</w:t>
      </w:r>
      <w:r>
        <w:rPr>
          <w:rFonts w:ascii="Verdana" w:eastAsia="Arial" w:hAnsi="Verdana" w:cs="Arial"/>
          <w:lang w:val="es-ES" w:eastAsia="es-ES" w:bidi="es-ES"/>
        </w:rPr>
        <w:t>,</w:t>
      </w:r>
      <w:r w:rsidRPr="00E2397D">
        <w:rPr>
          <w:rFonts w:ascii="Verdana" w:eastAsia="Arial" w:hAnsi="Verdana" w:cs="Arial"/>
          <w:lang w:val="es-ES" w:eastAsia="es-ES" w:bidi="es-ES"/>
        </w:rPr>
        <w:t xml:space="preserv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bookmarkEnd w:id="12"/>
    <w:p w14:paraId="23CA3639" w14:textId="77777777" w:rsidR="00A1025E" w:rsidRDefault="00A1025E" w:rsidP="00A1025E">
      <w:pPr>
        <w:spacing w:after="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Esto excepto para el Vicepresidente que no haya ejercido la presidencia o que la haya ejercido por un tiempo inferior a tres (3) meses durante el respectivo cuatrienio, en forma continua o discontinua, conforme al artículo 197 de la Constitución Política. </w:t>
      </w:r>
    </w:p>
    <w:p w14:paraId="1F8EF4FD" w14:textId="77777777" w:rsidR="00A1025E" w:rsidRPr="00E2397D" w:rsidRDefault="00A1025E" w:rsidP="00A1025E">
      <w:pPr>
        <w:spacing w:after="0" w:line="276" w:lineRule="auto"/>
        <w:ind w:firstLine="708"/>
        <w:jc w:val="both"/>
        <w:rPr>
          <w:rFonts w:ascii="Verdana" w:eastAsia="Arial" w:hAnsi="Verdana" w:cs="Arial"/>
          <w:lang w:val="es-ES" w:eastAsia="es-ES" w:bidi="es-ES"/>
        </w:rPr>
      </w:pPr>
      <w:r w:rsidRPr="00E2397D">
        <w:rPr>
          <w:rFonts w:ascii="Verdana" w:eastAsia="Arial" w:hAnsi="Verdana" w:cs="Arial"/>
          <w:lang w:val="es-ES" w:eastAsia="es-ES" w:bidi="es-ES"/>
        </w:rPr>
        <w:t xml:space="preserve"> </w:t>
      </w:r>
      <w:bookmarkStart w:id="13" w:name="_Hlk78820161"/>
    </w:p>
    <w:p w14:paraId="4A593DF0" w14:textId="77777777" w:rsidR="00A1025E" w:rsidRPr="0057193B" w:rsidRDefault="00A1025E" w:rsidP="00A1025E">
      <w:pPr>
        <w:spacing w:line="276" w:lineRule="auto"/>
        <w:jc w:val="both"/>
        <w:rPr>
          <w:rFonts w:ascii="Verdana" w:eastAsia="Times New Roman" w:hAnsi="Verdana" w:cs="Arial"/>
          <w:bCs/>
          <w:lang w:val="es-MX" w:eastAsia="es-CO"/>
        </w:rPr>
      </w:pPr>
      <w:r>
        <w:rPr>
          <w:rFonts w:ascii="Verdana" w:eastAsia="Arial" w:hAnsi="Verdana" w:cs="Arial"/>
          <w:lang w:val="es-ES" w:eastAsia="es-ES" w:bidi="es-ES"/>
        </w:rPr>
        <w:t>iii.</w:t>
      </w:r>
      <w:r w:rsidRPr="0057193B">
        <w:rPr>
          <w:rFonts w:ascii="Verdana" w:eastAsia="Arial" w:hAnsi="Verdana" w:cs="Arial"/>
          <w:lang w:val="es-ES" w:eastAsia="es-ES" w:bidi="es-ES"/>
        </w:rPr>
        <w:t xml:space="preserve"> </w:t>
      </w:r>
      <w:bookmarkEnd w:id="13"/>
      <w:r w:rsidRPr="0057193B">
        <w:rPr>
          <w:rFonts w:ascii="Verdana" w:eastAsia="Times New Roman" w:hAnsi="Verdana" w:cs="Arial"/>
          <w:bCs/>
          <w:lang w:val="es-MX" w:eastAsia="x-none"/>
        </w:rPr>
        <w:t xml:space="preserve">El ámbito material de la prohibición contenida en el artículo 33 de la ley 996 de 2005 está delimitado por la expresión </w:t>
      </w:r>
      <w:r>
        <w:rPr>
          <w:rFonts w:ascii="Verdana" w:eastAsia="Calibri" w:hAnsi="Verdana" w:cs="Arial"/>
          <w:bCs/>
          <w:sz w:val="20"/>
          <w:szCs w:val="20"/>
          <w:lang w:val="es-MX"/>
        </w:rPr>
        <w:t>“</w:t>
      </w:r>
      <w:r w:rsidRPr="0057193B">
        <w:rPr>
          <w:rFonts w:ascii="Verdana" w:eastAsia="Times New Roman" w:hAnsi="Verdana" w:cs="Arial"/>
          <w:bCs/>
          <w:lang w:val="es-MX" w:eastAsia="x-none"/>
        </w:rPr>
        <w:t>queda prohibida la contratación directa</w:t>
      </w:r>
      <w:r>
        <w:rPr>
          <w:rFonts w:ascii="Verdana" w:eastAsia="Calibri" w:hAnsi="Verdana" w:cs="Arial"/>
          <w:sz w:val="20"/>
          <w:szCs w:val="20"/>
          <w:lang w:val="es-MX"/>
        </w:rPr>
        <w:t>”</w:t>
      </w:r>
      <w:r w:rsidRPr="0057193B">
        <w:rPr>
          <w:rFonts w:ascii="Verdana" w:eastAsia="Times New Roman" w:hAnsi="Verdana" w:cs="Arial"/>
          <w:bCs/>
          <w:lang w:val="es-MX" w:eastAsia="x-none"/>
        </w:rPr>
        <w:t xml:space="preserve">. </w:t>
      </w:r>
      <w:r w:rsidRPr="0057193B">
        <w:rPr>
          <w:rFonts w:ascii="Verdana" w:eastAsia="Times New Roman" w:hAnsi="Verdana" w:cs="Arial"/>
          <w:lang w:val="es-MX" w:eastAsia="es-CO"/>
        </w:rPr>
        <w:t xml:space="preserve"> A propósito de </w:t>
      </w:r>
      <w:r w:rsidRPr="0057193B">
        <w:rPr>
          <w:rFonts w:ascii="Verdana" w:eastAsia="Times New Roman" w:hAnsi="Verdana" w:cs="Arial"/>
          <w:lang w:eastAsia="es-CO"/>
        </w:rPr>
        <w:t>esta restricción de la Ley de Garantías Electorales, la Sala de Consulta y Servicio Civil del Consejo de Estado ha considerado que:</w:t>
      </w:r>
    </w:p>
    <w:p w14:paraId="5CAA0A96" w14:textId="77777777" w:rsidR="00A1025E" w:rsidRPr="00817856" w:rsidRDefault="00A1025E" w:rsidP="00A1025E">
      <w:pPr>
        <w:spacing w:after="0" w:line="240" w:lineRule="auto"/>
        <w:ind w:left="708" w:right="709"/>
        <w:jc w:val="both"/>
        <w:rPr>
          <w:rFonts w:ascii="Verdana" w:eastAsia="Calibri" w:hAnsi="Verdana" w:cs="Arial"/>
          <w:sz w:val="20"/>
          <w:szCs w:val="20"/>
          <w:lang w:val="es-MX"/>
        </w:rPr>
      </w:pPr>
    </w:p>
    <w:p w14:paraId="0264F3A3" w14:textId="77777777" w:rsidR="00A1025E" w:rsidRPr="00817856" w:rsidRDefault="00A1025E" w:rsidP="00A1025E">
      <w:pPr>
        <w:spacing w:after="120" w:line="240" w:lineRule="auto"/>
        <w:ind w:left="709" w:right="709"/>
        <w:jc w:val="both"/>
        <w:rPr>
          <w:rFonts w:ascii="Verdana" w:eastAsia="Calibri" w:hAnsi="Verdana" w:cs="Arial"/>
          <w:sz w:val="20"/>
          <w:szCs w:val="20"/>
          <w:lang w:val="es-MX"/>
        </w:rPr>
      </w:pPr>
      <w:r w:rsidRPr="00817856">
        <w:rPr>
          <w:rFonts w:ascii="Verdana" w:eastAsia="Calibri" w:hAnsi="Verdana" w:cs="Arial"/>
          <w:sz w:val="20"/>
          <w:szCs w:val="20"/>
          <w:lang w:val="es-MX"/>
        </w:rPr>
        <w:lastRenderedPageBreak/>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817856">
        <w:rPr>
          <w:rFonts w:ascii="Verdana" w:eastAsia="Times New Roman" w:hAnsi="Verdana" w:cs="Arial"/>
          <w:sz w:val="20"/>
          <w:szCs w:val="20"/>
          <w:vertAlign w:val="superscript"/>
          <w:lang w:eastAsia="es-CO"/>
        </w:rPr>
        <w:footnoteReference w:id="12"/>
      </w:r>
      <w:r w:rsidRPr="00817856">
        <w:rPr>
          <w:rFonts w:ascii="Verdana" w:eastAsia="Calibri" w:hAnsi="Verdana" w:cs="Arial"/>
          <w:sz w:val="20"/>
          <w:szCs w:val="20"/>
          <w:lang w:val="es-MX"/>
        </w:rPr>
        <w:t>.</w:t>
      </w:r>
    </w:p>
    <w:p w14:paraId="75E37134" w14:textId="77777777" w:rsidR="00A1025E" w:rsidRPr="00817856" w:rsidRDefault="00A1025E" w:rsidP="00A1025E">
      <w:pPr>
        <w:spacing w:after="0" w:line="240" w:lineRule="auto"/>
        <w:ind w:left="708" w:right="709"/>
        <w:jc w:val="both"/>
        <w:rPr>
          <w:rFonts w:ascii="Verdana" w:eastAsia="Calibri" w:hAnsi="Verdana" w:cs="Arial"/>
          <w:sz w:val="20"/>
          <w:szCs w:val="20"/>
          <w:lang w:val="es-MX"/>
        </w:rPr>
      </w:pPr>
      <w:r w:rsidRPr="00817856">
        <w:rPr>
          <w:rFonts w:ascii="Verdana" w:eastAsia="Calibri" w:hAnsi="Verdana" w:cs="Arial"/>
          <w:sz w:val="20"/>
          <w:szCs w:val="20"/>
          <w:lang w:val="es-MX"/>
        </w:rPr>
        <w:t>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817856">
        <w:rPr>
          <w:rFonts w:ascii="Verdana" w:eastAsia="Times New Roman" w:hAnsi="Verdana" w:cs="Arial"/>
          <w:sz w:val="20"/>
          <w:szCs w:val="20"/>
          <w:vertAlign w:val="superscript"/>
          <w:lang w:val="es-MX"/>
        </w:rPr>
        <w:footnoteReference w:id="13"/>
      </w:r>
      <w:r w:rsidRPr="00817856">
        <w:rPr>
          <w:rFonts w:ascii="Verdana" w:eastAsia="Times New Roman" w:hAnsi="Verdana" w:cs="Arial"/>
          <w:sz w:val="20"/>
          <w:szCs w:val="20"/>
          <w:vertAlign w:val="superscript"/>
          <w:lang w:val="es-MX"/>
        </w:rPr>
        <w:t>.</w:t>
      </w:r>
      <w:r w:rsidRPr="00817856">
        <w:rPr>
          <w:rFonts w:ascii="Verdana" w:eastAsia="Calibri"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817856">
        <w:rPr>
          <w:rFonts w:ascii="Verdana" w:eastAsia="Times New Roman" w:hAnsi="Verdana" w:cs="Arial"/>
          <w:sz w:val="20"/>
          <w:szCs w:val="20"/>
          <w:vertAlign w:val="superscript"/>
          <w:lang w:eastAsia="es-CO"/>
        </w:rPr>
        <w:footnoteReference w:id="14"/>
      </w:r>
      <w:r w:rsidRPr="00817856">
        <w:rPr>
          <w:rFonts w:ascii="Verdana" w:eastAsia="Calibri" w:hAnsi="Verdana" w:cs="Arial"/>
          <w:sz w:val="20"/>
          <w:szCs w:val="20"/>
          <w:lang w:val="es-MX"/>
        </w:rPr>
        <w:t xml:space="preserve"> .</w:t>
      </w:r>
    </w:p>
    <w:p w14:paraId="317AD28D" w14:textId="77777777" w:rsidR="00A1025E" w:rsidRPr="0057193B" w:rsidRDefault="00A1025E" w:rsidP="00A1025E">
      <w:pPr>
        <w:shd w:val="clear" w:color="auto" w:fill="FFFFFF"/>
        <w:spacing w:after="0" w:line="276" w:lineRule="auto"/>
        <w:ind w:firstLine="709"/>
        <w:jc w:val="both"/>
        <w:rPr>
          <w:rFonts w:ascii="Verdana" w:eastAsia="Times New Roman" w:hAnsi="Verdana" w:cs="Arial"/>
          <w:lang w:eastAsia="x-none"/>
        </w:rPr>
      </w:pPr>
    </w:p>
    <w:p w14:paraId="4FEC42F7" w14:textId="77777777" w:rsidR="00A1025E" w:rsidRPr="0057193B" w:rsidRDefault="00A1025E" w:rsidP="00A1025E">
      <w:pPr>
        <w:spacing w:after="120" w:line="276" w:lineRule="auto"/>
        <w:ind w:firstLine="708"/>
        <w:jc w:val="both"/>
        <w:rPr>
          <w:rFonts w:ascii="Verdana" w:eastAsia="Times New Roman" w:hAnsi="Verdana" w:cs="Arial"/>
          <w:bCs/>
          <w:lang w:eastAsia="x-none"/>
        </w:rPr>
      </w:pPr>
      <w:r w:rsidRPr="0057193B">
        <w:rPr>
          <w:rFonts w:ascii="Verdana" w:eastAsia="Times New Roman" w:hAnsi="Verdana" w:cs="Arial"/>
          <w:lang w:eastAsia="x-none"/>
        </w:rPr>
        <w:t xml:space="preserve">De acuerdo con el citado concepto, la prohibición del artículo 33 de la Ley de Garantías Electorales se refiere a </w:t>
      </w:r>
      <w:r>
        <w:rPr>
          <w:rFonts w:ascii="Verdana" w:eastAsia="Times New Roman" w:hAnsi="Verdana" w:cs="Arial"/>
          <w:sz w:val="19"/>
          <w:szCs w:val="19"/>
          <w:lang w:eastAsia="en-GB"/>
        </w:rPr>
        <w:t>“</w:t>
      </w:r>
      <w:r w:rsidRPr="0057193B">
        <w:rPr>
          <w:rFonts w:ascii="Verdana" w:eastAsia="Times New Roman" w:hAnsi="Verdana" w:cs="Arial"/>
          <w:lang w:eastAsia="x-none"/>
        </w:rPr>
        <w:t>cualquier sistema que no implique convocatoria pública y posibilidad de pluralidad de oferentes</w:t>
      </w:r>
      <w:r>
        <w:rPr>
          <w:rFonts w:ascii="Verdana" w:eastAsia="Times New Roman" w:hAnsi="Verdana" w:cs="Arial"/>
          <w:lang w:eastAsia="en-GB"/>
        </w:rPr>
        <w:t>”</w:t>
      </w:r>
      <w:r w:rsidRPr="0057193B">
        <w:rPr>
          <w:rFonts w:ascii="Verdana" w:eastAsia="Times New Roman" w:hAnsi="Verdana" w:cs="Arial"/>
          <w:lang w:eastAsia="x-none"/>
        </w:rPr>
        <w:t xml:space="preserve">, por lo que excluye las demás modalidades de contratación previstas en la Ley 1150 de 2007, es decir, la licitación pública, la selección abreviada, el concurso de méritos </w:t>
      </w:r>
      <w:r w:rsidRPr="0057193B">
        <w:rPr>
          <w:rFonts w:ascii="Verdana" w:eastAsia="Times New Roman" w:hAnsi="Verdana" w:cs="Arial"/>
          <w:lang w:val="es-ES_tradnl" w:eastAsia="x-none"/>
        </w:rPr>
        <w:t>y la mínima cuantía</w:t>
      </w:r>
      <w:r w:rsidRPr="0057193B" w:rsidDel="00A85D9F">
        <w:rPr>
          <w:rFonts w:ascii="Verdana" w:eastAsia="Times New Roman" w:hAnsi="Verdana" w:cs="Arial"/>
          <w:lang w:eastAsia="x-none"/>
        </w:rPr>
        <w:t xml:space="preserve"> </w:t>
      </w:r>
      <w:r w:rsidRPr="0057193B">
        <w:rPr>
          <w:rFonts w:ascii="Verdana" w:eastAsia="Times New Roman" w:hAnsi="Verdana" w:cs="Arial"/>
          <w:lang w:eastAsia="x-none"/>
        </w:rPr>
        <w:t>u otros previstos en normas especiales. Esta posición es congruente con la expedición de la Ley 1150 de 2007 que, entre otras reformas, introdujo la selección abreviada, rediseñó el concurso de méritos</w:t>
      </w:r>
      <w:r w:rsidRPr="0057193B">
        <w:rPr>
          <w:rFonts w:ascii="Verdana" w:eastAsia="Times New Roman" w:hAnsi="Verdana" w:cs="Arial"/>
          <w:vertAlign w:val="superscript"/>
          <w:lang w:val="en-GB" w:eastAsia="x-none"/>
        </w:rPr>
        <w:footnoteReference w:id="15"/>
      </w:r>
      <w:r w:rsidRPr="0057193B">
        <w:rPr>
          <w:rFonts w:ascii="Verdana" w:eastAsia="Times New Roman" w:hAnsi="Verdana" w:cs="Arial"/>
          <w:lang w:eastAsia="x-none"/>
        </w:rPr>
        <w:t xml:space="preserve"> y sistematizó las causales de contratación directa</w:t>
      </w:r>
      <w:r w:rsidRPr="0057193B">
        <w:rPr>
          <w:rFonts w:ascii="Verdana" w:eastAsia="Times New Roman" w:hAnsi="Verdana" w:cs="Arial"/>
          <w:vertAlign w:val="superscript"/>
          <w:lang w:val="en-GB" w:eastAsia="x-none"/>
        </w:rPr>
        <w:footnoteReference w:id="16"/>
      </w:r>
      <w:r w:rsidRPr="0057193B">
        <w:rPr>
          <w:rFonts w:ascii="Verdana" w:eastAsia="Times New Roman" w:hAnsi="Verdana" w:cs="Arial"/>
          <w:lang w:eastAsia="x-none"/>
        </w:rPr>
        <w:t xml:space="preserve">, </w:t>
      </w:r>
      <w:r w:rsidRPr="0057193B">
        <w:rPr>
          <w:rFonts w:ascii="Verdana" w:eastAsia="Calibri" w:hAnsi="Verdana" w:cs="Arial"/>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35D1CC1B" w14:textId="77777777" w:rsidR="00A1025E" w:rsidRPr="0057193B" w:rsidRDefault="00A1025E" w:rsidP="00A1025E">
      <w:pPr>
        <w:spacing w:after="120" w:line="276" w:lineRule="auto"/>
        <w:ind w:firstLine="708"/>
        <w:jc w:val="both"/>
        <w:rPr>
          <w:rFonts w:ascii="Verdana" w:eastAsia="Times New Roman" w:hAnsi="Verdana" w:cs="Arial"/>
          <w:lang w:val="es-MX" w:eastAsia="x-none"/>
        </w:rPr>
      </w:pPr>
      <w:r w:rsidRPr="0057193B">
        <w:rPr>
          <w:rFonts w:ascii="Verdana" w:eastAsia="Times New Roman" w:hAnsi="Verdana" w:cs="Arial"/>
          <w:lang w:eastAsia="x-none"/>
        </w:rPr>
        <w:t xml:space="preserve">De esta forma, con fundamento en la evolución de la normativa sobre la contratación pública, se ha depurado la noción de </w:t>
      </w:r>
      <w:r>
        <w:rPr>
          <w:rFonts w:ascii="Verdana" w:eastAsia="Times New Roman" w:hAnsi="Verdana" w:cs="Arial"/>
          <w:sz w:val="19"/>
          <w:szCs w:val="19"/>
          <w:lang w:eastAsia="en-GB"/>
        </w:rPr>
        <w:t>“</w:t>
      </w:r>
      <w:r w:rsidRPr="0057193B">
        <w:rPr>
          <w:rFonts w:ascii="Verdana" w:eastAsia="Times New Roman" w:hAnsi="Verdana" w:cs="Arial"/>
          <w:lang w:eastAsia="x-none"/>
        </w:rPr>
        <w:t>contratación directa</w:t>
      </w:r>
      <w:r>
        <w:rPr>
          <w:rFonts w:ascii="Verdana" w:eastAsia="Times New Roman" w:hAnsi="Verdana" w:cs="Arial"/>
          <w:lang w:eastAsia="en-GB"/>
        </w:rPr>
        <w:t>”</w:t>
      </w:r>
      <w:r w:rsidRPr="0057193B">
        <w:rPr>
          <w:rFonts w:ascii="Verdana" w:eastAsia="Times New Roman" w:hAnsi="Verdana" w:cs="Arial"/>
          <w:lang w:eastAsia="x-none"/>
        </w:rPr>
        <w:t xml:space="preserve">, </w:t>
      </w:r>
      <w:r w:rsidRPr="0057193B">
        <w:rPr>
          <w:rFonts w:ascii="Verdana" w:eastAsia="Times New Roman" w:hAnsi="Verdana" w:cs="Arial"/>
          <w:lang w:eastAsia="x-none"/>
        </w:rPr>
        <w:lastRenderedPageBreak/>
        <w:t>precisando el Consejo de Estad</w:t>
      </w:r>
      <w:r>
        <w:rPr>
          <w:rFonts w:ascii="Verdana" w:eastAsia="Times New Roman" w:hAnsi="Verdana" w:cs="Arial"/>
          <w:lang w:eastAsia="x-none"/>
        </w:rPr>
        <w:t>o –en el concepto citado– que, “</w:t>
      </w:r>
      <w:r w:rsidRPr="0057193B">
        <w:rPr>
          <w:rFonts w:ascii="Verdana" w:eastAsia="Times New Roman" w:hAnsi="Verdana" w:cs="Arial"/>
          <w:lang w:eastAsia="x-none"/>
        </w:rPr>
        <w:t>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57193B">
        <w:rPr>
          <w:rFonts w:ascii="Verdana" w:eastAsia="Times New Roman" w:hAnsi="Verdana" w:cs="Arial"/>
          <w:vertAlign w:val="superscript"/>
          <w:lang w:val="en-GB" w:eastAsia="x-none"/>
        </w:rPr>
        <w:footnoteReference w:id="17"/>
      </w:r>
      <w:r w:rsidRPr="0057193B">
        <w:rPr>
          <w:rFonts w:ascii="Verdana" w:eastAsia="Times New Roman" w:hAnsi="Verdana" w:cs="Arial"/>
          <w:lang w:eastAsia="x-none"/>
        </w:rPr>
        <w:t>, han establecido sistemas de contratación que implican convocatoria pública y participación de varios oferentes</w:t>
      </w:r>
      <w:r>
        <w:rPr>
          <w:rFonts w:ascii="Verdana" w:eastAsia="Times New Roman" w:hAnsi="Verdana" w:cs="Arial"/>
          <w:lang w:eastAsia="en-GB"/>
        </w:rPr>
        <w:t>”</w:t>
      </w:r>
      <w:r w:rsidRPr="0057193B">
        <w:rPr>
          <w:rFonts w:ascii="Verdana" w:eastAsia="Times New Roman" w:hAnsi="Verdana" w:cs="Arial"/>
          <w:lang w:eastAsia="x-none"/>
        </w:rPr>
        <w:t xml:space="preserve">. </w:t>
      </w:r>
    </w:p>
    <w:p w14:paraId="4C90017F" w14:textId="77777777" w:rsidR="00A1025E" w:rsidRPr="0057193B" w:rsidRDefault="00A1025E" w:rsidP="00A1025E">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x-none"/>
        </w:rPr>
        <w:t>E</w:t>
      </w:r>
      <w:r w:rsidRPr="0057193B">
        <w:rPr>
          <w:rFonts w:ascii="Verdana" w:eastAsia="Times New Roman" w:hAnsi="Verdana" w:cs="Arial"/>
          <w:lang w:eastAsia="x-none"/>
        </w:rPr>
        <w:t>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r w:rsidRPr="0057193B">
        <w:rPr>
          <w:rFonts w:ascii="Verdana" w:eastAsia="Times New Roman" w:hAnsi="Verdana" w:cs="Arial"/>
          <w:vertAlign w:val="superscript"/>
          <w:lang w:eastAsia="x-none"/>
        </w:rPr>
        <w:footnoteReference w:id="18"/>
      </w:r>
      <w:r w:rsidRPr="0057193B">
        <w:rPr>
          <w:rFonts w:ascii="Verdana" w:eastAsia="Times New Roman" w:hAnsi="Verdana" w:cs="Arial"/>
          <w:lang w:eastAsia="x-none"/>
        </w:rPr>
        <w:t xml:space="preserve">. </w:t>
      </w:r>
    </w:p>
    <w:p w14:paraId="4B964F3C" w14:textId="77777777" w:rsidR="00A1025E" w:rsidRPr="0057193B" w:rsidRDefault="00A1025E" w:rsidP="00A1025E">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es-CO"/>
        </w:rPr>
        <w:t>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606A926D" w14:textId="77777777" w:rsidR="00A1025E" w:rsidRPr="0057193B" w:rsidRDefault="00A1025E" w:rsidP="00A1025E">
      <w:pPr>
        <w:spacing w:after="120" w:line="276" w:lineRule="auto"/>
        <w:ind w:firstLine="708"/>
        <w:jc w:val="both"/>
        <w:rPr>
          <w:rFonts w:ascii="Verdana" w:eastAsia="Times New Roman" w:hAnsi="Verdana" w:cs="Arial"/>
          <w:bCs/>
          <w:lang w:val="es-MX" w:eastAsia="x-none"/>
        </w:rPr>
      </w:pPr>
      <w:r w:rsidRPr="0057193B">
        <w:rPr>
          <w:rFonts w:ascii="Verdana" w:eastAsia="Times New Roman" w:hAnsi="Verdana" w:cs="Arial"/>
          <w:bCs/>
          <w:lang w:val="es-MX" w:eastAsia="x-none"/>
        </w:rPr>
        <w:t xml:space="preserve"> Así las cosas, ha de entenderse que, para los efectos de la Ley de Garantías Electorales y, en particular, para la prohibición o restricción tempora</w:t>
      </w:r>
      <w:r>
        <w:rPr>
          <w:rFonts w:ascii="Verdana" w:eastAsia="Times New Roman" w:hAnsi="Verdana" w:cs="Arial"/>
          <w:bCs/>
          <w:lang w:val="es-MX" w:eastAsia="x-none"/>
        </w:rPr>
        <w:t>l contenida en su artículo 33, “contratación directa”</w:t>
      </w:r>
      <w:r w:rsidRPr="0057193B">
        <w:rPr>
          <w:rFonts w:ascii="Verdana" w:eastAsia="Times New Roman" w:hAnsi="Verdana" w:cs="Arial"/>
          <w:bCs/>
          <w:lang w:val="es-MX" w:eastAsia="x-none"/>
        </w:rPr>
        <w:t xml:space="preserve"> es cualquier sistema de selección o procedimiento de contratación utilizado por las entidades estatales </w:t>
      </w:r>
      <w:r w:rsidRPr="0057193B">
        <w:rPr>
          <w:rFonts w:ascii="Verdana" w:eastAsia="Times New Roman" w:hAnsi="Verdana" w:cs="Arial"/>
          <w:bCs/>
          <w:lang w:val="es-MX" w:eastAsia="x-none"/>
        </w:rPr>
        <w:lastRenderedPageBreak/>
        <w:t>que no incluya la convocatoria pública en alguna de sus etapas, ni permita la participación de una pluralidad de oferentes</w:t>
      </w:r>
      <w:r w:rsidRPr="0057193B">
        <w:rPr>
          <w:rFonts w:ascii="Verdana" w:eastAsia="Times New Roman" w:hAnsi="Verdana" w:cs="Arial"/>
          <w:vertAlign w:val="superscript"/>
          <w:lang w:eastAsia="x-none"/>
        </w:rPr>
        <w:footnoteReference w:id="19"/>
      </w:r>
      <w:r w:rsidRPr="0057193B">
        <w:rPr>
          <w:rFonts w:ascii="Verdana" w:eastAsia="Times New Roman" w:hAnsi="Verdana" w:cs="Arial"/>
          <w:bCs/>
          <w:lang w:val="es-MX" w:eastAsia="x-none"/>
        </w:rPr>
        <w:t>.</w:t>
      </w:r>
      <w:r w:rsidRPr="0057193B">
        <w:rPr>
          <w:rFonts w:ascii="Verdana" w:eastAsia="Times New Roman" w:hAnsi="Verdana" w:cs="Arial"/>
          <w:vertAlign w:val="superscript"/>
          <w:lang w:eastAsia="x-none"/>
        </w:rPr>
        <w:t xml:space="preserve"> </w:t>
      </w:r>
    </w:p>
    <w:p w14:paraId="7380536F" w14:textId="77777777" w:rsidR="00A1025E" w:rsidRPr="0057193B" w:rsidRDefault="00A1025E" w:rsidP="00A1025E">
      <w:pPr>
        <w:spacing w:after="120" w:line="276" w:lineRule="auto"/>
        <w:ind w:firstLine="708"/>
        <w:jc w:val="both"/>
        <w:rPr>
          <w:rFonts w:ascii="Verdana" w:eastAsia="Times New Roman" w:hAnsi="Verdana" w:cs="Arial"/>
          <w:lang w:eastAsia="x-none"/>
        </w:rPr>
      </w:pPr>
      <w:r w:rsidRPr="0057193B">
        <w:rPr>
          <w:rFonts w:ascii="Verdana" w:eastAsia="Times New Roman"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sidRPr="0057193B">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1D0DC27C" w14:textId="77777777" w:rsidR="00A1025E" w:rsidRPr="00447D82" w:rsidRDefault="00A1025E" w:rsidP="00A1025E">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es-CO"/>
        </w:rPr>
        <w:t>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r w:rsidRPr="0057193B">
        <w:rPr>
          <w:rFonts w:ascii="Verdana" w:eastAsia="Times New Roman" w:hAnsi="Verdana" w:cs="Arial"/>
          <w:bCs/>
          <w:vertAlign w:val="superscript"/>
          <w:lang w:val="es-MX" w:eastAsia="es-CO"/>
        </w:rPr>
        <w:footnoteReference w:id="20"/>
      </w:r>
      <w:r w:rsidRPr="0057193B">
        <w:rPr>
          <w:rFonts w:ascii="Verdana" w:eastAsia="Times New Roman" w:hAnsi="Verdana" w:cs="Arial"/>
          <w:bCs/>
          <w:lang w:val="es-MX" w:eastAsia="es-CO"/>
        </w:rPr>
        <w:t>. Además, también es posible que contratos celebrados previamente se continúen ejecutando con normalidad.</w:t>
      </w:r>
      <w:r>
        <w:rPr>
          <w:rFonts w:ascii="Verdana" w:eastAsia="Times New Roman" w:hAnsi="Verdana" w:cs="Arial"/>
          <w:bCs/>
          <w:lang w:val="es-MX" w:eastAsia="es-CO"/>
        </w:rPr>
        <w:t xml:space="preserve"> </w:t>
      </w:r>
    </w:p>
    <w:p w14:paraId="33EADDF3" w14:textId="77777777" w:rsidR="00A1025E" w:rsidRPr="0057193B" w:rsidRDefault="00A1025E" w:rsidP="00A1025E">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x-none"/>
        </w:rPr>
        <w:t>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57193B">
        <w:rPr>
          <w:rFonts w:ascii="Verdana" w:eastAsia="Times New Roman" w:hAnsi="Verdana" w:cs="Arial"/>
          <w:bCs/>
          <w:lang w:val="es-MX" w:eastAsia="es-CO"/>
        </w:rPr>
        <w:t xml:space="preserve"> Es responsabilidad del respectivo ente del Estado, examinar en cada caso la naturaleza de las actividades que </w:t>
      </w:r>
      <w:r w:rsidRPr="0057193B">
        <w:rPr>
          <w:rFonts w:ascii="Verdana" w:eastAsia="Times New Roman" w:hAnsi="Verdana" w:cs="Arial"/>
          <w:bCs/>
          <w:lang w:val="es-MX" w:eastAsia="es-CO"/>
        </w:rPr>
        <w:lastRenderedPageBreak/>
        <w:t>adelanta y determinar si las mismas se enmarcan en alguna de las mencionadas excepciones, de manera que se le permita realizar la contratación que necesite en forma directa.</w:t>
      </w:r>
    </w:p>
    <w:p w14:paraId="54517104" w14:textId="77777777" w:rsidR="00A1025E" w:rsidRPr="0057193B" w:rsidRDefault="00A1025E" w:rsidP="00A1025E">
      <w:pPr>
        <w:spacing w:after="120" w:line="276" w:lineRule="auto"/>
        <w:ind w:firstLine="709"/>
        <w:jc w:val="both"/>
        <w:rPr>
          <w:rFonts w:ascii="Verdana" w:eastAsia="Times New Roman" w:hAnsi="Verdana" w:cs="Arial"/>
          <w:bCs/>
          <w:lang w:val="es-MX" w:eastAsia="x-none"/>
        </w:rPr>
      </w:pPr>
      <w:r w:rsidRPr="0057193B">
        <w:rPr>
          <w:rFonts w:ascii="Verdana" w:eastAsia="Times New Roman" w:hAnsi="Verdana" w:cs="Arial"/>
          <w:bCs/>
          <w:lang w:val="es-MX" w:eastAsia="x-none"/>
        </w:rPr>
        <w:t>En esta labor es importante tener en cuenta, como lo anotó la Corte Constitucional, en Sentencia C-11</w:t>
      </w:r>
      <w:r>
        <w:rPr>
          <w:rFonts w:ascii="Verdana" w:eastAsia="Times New Roman" w:hAnsi="Verdana" w:cs="Arial"/>
          <w:bCs/>
          <w:lang w:val="es-MX" w:eastAsia="x-none"/>
        </w:rPr>
        <w:t>53 de noviembre 11 de 2005 que “</w:t>
      </w:r>
      <w:r w:rsidRPr="0057193B">
        <w:rPr>
          <w:rFonts w:ascii="Verdana" w:eastAsia="Times New Roman" w:hAnsi="Verdana" w:cs="Arial"/>
          <w:bCs/>
          <w:lang w:val="es-MX" w:eastAsia="x-none"/>
        </w:rPr>
        <w:t>si bien la limitación garantiza la igualdad de condiciones, también es necesario que tal limitación que pretende la igualdad no termine yendo en detrimento de intereses públicos, cuya garantía está en cabeza del ejecutivo, como son los inmersos en las excepciones para</w:t>
      </w:r>
      <w:r>
        <w:rPr>
          <w:rFonts w:ascii="Verdana" w:eastAsia="Times New Roman" w:hAnsi="Verdana" w:cs="Arial"/>
          <w:bCs/>
          <w:lang w:val="es-MX" w:eastAsia="x-none"/>
        </w:rPr>
        <w:t xml:space="preserve"> la prohibición de contratación”</w:t>
      </w:r>
      <w:r w:rsidRPr="0057193B">
        <w:rPr>
          <w:rFonts w:ascii="Verdana" w:eastAsia="Calibri" w:hAnsi="Verdana" w:cs="Arial"/>
          <w:vertAlign w:val="superscript"/>
          <w:lang w:val="es-MX"/>
        </w:rPr>
        <w:footnoteReference w:id="21"/>
      </w:r>
      <w:r w:rsidRPr="0057193B">
        <w:rPr>
          <w:rFonts w:ascii="Verdana" w:eastAsia="Times New Roman"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53699A11" w14:textId="77777777" w:rsidR="00A1025E" w:rsidRPr="0057193B" w:rsidRDefault="00A1025E" w:rsidP="00A1025E">
      <w:pPr>
        <w:spacing w:after="0" w:line="276" w:lineRule="auto"/>
        <w:ind w:firstLine="708"/>
        <w:jc w:val="both"/>
        <w:rPr>
          <w:rFonts w:ascii="Verdana" w:eastAsia="Times New Roman" w:hAnsi="Verdana" w:cs="Arial"/>
          <w:bCs/>
          <w:lang w:val="es-MX" w:eastAsia="x-none"/>
        </w:rPr>
      </w:pPr>
      <w:r w:rsidRPr="0057193B">
        <w:rPr>
          <w:rFonts w:ascii="Verdana" w:eastAsia="Times New Roman" w:hAnsi="Verdana" w:cs="Arial"/>
          <w:bCs/>
          <w:lang w:val="es-MX" w:eastAsia="x-none"/>
        </w:rPr>
        <w:t>En relación con los destinatarios de la restricción analizada, el artículo 33 de la Ley 996 de 2005 los señala expresamente</w:t>
      </w:r>
      <w:r>
        <w:rPr>
          <w:rFonts w:ascii="Verdana" w:eastAsia="Times New Roman" w:hAnsi="Verdana" w:cs="Arial"/>
          <w:bCs/>
          <w:lang w:val="es-MX" w:eastAsia="x-none"/>
        </w:rPr>
        <w:t>, en el sentido de que son “todos los entes del Estado”</w:t>
      </w:r>
      <w:r w:rsidRPr="0057193B">
        <w:rPr>
          <w:rFonts w:ascii="Verdana" w:eastAsia="Times New Roman" w:hAnsi="Verdana" w:cs="Arial"/>
          <w:bCs/>
          <w:lang w:val="es-MX" w:eastAsia="x-none"/>
        </w:rPr>
        <w:t>, expresión que contempla a los diferentes organismos o entidades autorizadas por la ley para suscribir contratos.</w:t>
      </w:r>
      <w:r w:rsidRPr="0057193B">
        <w:rPr>
          <w:rFonts w:ascii="Verdana" w:eastAsia="Calibri" w:hAnsi="Verdana" w:cs="Arial"/>
          <w:sz w:val="24"/>
          <w:lang w:val="es-MX"/>
        </w:rPr>
        <w:t xml:space="preserve"> </w:t>
      </w:r>
      <w:r w:rsidRPr="0057193B">
        <w:rPr>
          <w:rFonts w:ascii="Verdana" w:eastAsia="Times New Roman" w:hAnsi="Verdana" w:cs="Arial"/>
          <w:bCs/>
          <w:lang w:val="es-MX" w:eastAsia="x-none"/>
        </w:rPr>
        <w:t>En efecto, tal como lo ha sostenido el</w:t>
      </w:r>
      <w:r>
        <w:rPr>
          <w:rFonts w:ascii="Verdana" w:eastAsia="Times New Roman" w:hAnsi="Verdana" w:cs="Arial"/>
          <w:bCs/>
          <w:lang w:val="es-MX" w:eastAsia="x-none"/>
        </w:rPr>
        <w:t xml:space="preserve"> Consejo de Estado, el vocablo “todos”</w:t>
      </w:r>
      <w:r w:rsidRPr="0057193B">
        <w:rPr>
          <w:rFonts w:ascii="Verdana" w:eastAsia="Times New Roman" w:hAnsi="Verdana" w:cs="Arial"/>
          <w:bCs/>
          <w:lang w:val="es-MX" w:eastAsia="x-none"/>
        </w:rPr>
        <w:t xml:space="preserve"> utilizado por el legislador comprende</w:t>
      </w:r>
      <w:r w:rsidRPr="0057193B">
        <w:rPr>
          <w:rFonts w:ascii="Verdana" w:eastAsia="Calibri" w:hAnsi="Verdana" w:cs="Arial"/>
          <w:sz w:val="24"/>
          <w:lang w:val="es-MX"/>
        </w:rPr>
        <w:t xml:space="preserve"> </w:t>
      </w:r>
      <w:r w:rsidRPr="0057193B">
        <w:rPr>
          <w:rFonts w:ascii="Verdana" w:eastAsia="Times New Roman" w:hAnsi="Verdana" w:cs="Arial"/>
          <w:bCs/>
          <w:lang w:val="es-MX"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r w:rsidRPr="0057193B">
        <w:rPr>
          <w:rFonts w:ascii="Verdana" w:eastAsia="Times New Roman" w:hAnsi="Verdana" w:cs="Arial"/>
          <w:bCs/>
          <w:lang w:val="es-ES_tradnl" w:eastAsia="x-none"/>
        </w:rPr>
        <w:t xml:space="preserve">La Sala de Consulta y Servicio Civil del Consejo de Estado, en Concepto 1727 de fecha 20 de febrero de 2006, consideró que: </w:t>
      </w:r>
    </w:p>
    <w:p w14:paraId="1548626F" w14:textId="77777777" w:rsidR="00A1025E" w:rsidRPr="0057193B" w:rsidRDefault="00A1025E" w:rsidP="00A1025E">
      <w:pPr>
        <w:spacing w:after="0" w:line="276" w:lineRule="auto"/>
        <w:jc w:val="both"/>
        <w:rPr>
          <w:rFonts w:ascii="Verdana" w:eastAsia="Times New Roman" w:hAnsi="Verdana" w:cs="Arial"/>
          <w:bCs/>
          <w:lang w:val="es-MX" w:eastAsia="x-none"/>
        </w:rPr>
      </w:pPr>
    </w:p>
    <w:p w14:paraId="14F4F127" w14:textId="77777777" w:rsidR="00A1025E" w:rsidRPr="0057193B" w:rsidRDefault="00A1025E" w:rsidP="00A1025E">
      <w:pPr>
        <w:spacing w:after="0" w:line="240" w:lineRule="auto"/>
        <w:ind w:left="708" w:right="709"/>
        <w:jc w:val="both"/>
        <w:rPr>
          <w:rFonts w:ascii="Verdana" w:eastAsia="Times New Roman" w:hAnsi="Verdana" w:cs="Arial"/>
          <w:bCs/>
          <w:sz w:val="21"/>
          <w:szCs w:val="21"/>
          <w:lang w:val="es-MX" w:eastAsia="es-CO"/>
        </w:rPr>
      </w:pPr>
      <w:r w:rsidRPr="0057193B">
        <w:rPr>
          <w:rFonts w:ascii="Verdana" w:eastAsia="Times New Roman" w:hAnsi="Verdana" w:cs="Arial"/>
          <w:bCs/>
          <w:sz w:val="21"/>
          <w:szCs w:val="21"/>
          <w:lang w:val="es-MX" w:eastAsia="x-none"/>
        </w:rPr>
        <w:t xml:space="preserve">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w:t>
      </w:r>
      <w:r w:rsidRPr="0057193B">
        <w:rPr>
          <w:rFonts w:ascii="Verdana" w:eastAsia="Times New Roman" w:hAnsi="Verdana" w:cs="Arial"/>
          <w:bCs/>
          <w:sz w:val="21"/>
          <w:szCs w:val="21"/>
          <w:lang w:val="es-MX" w:eastAsia="x-none"/>
        </w:rPr>
        <w:lastRenderedPageBreak/>
        <w:t>a los municipios prestadores directos, incluyendo las excepciones contenidas en el segundo inciso de esta norma</w:t>
      </w:r>
      <w:r w:rsidRPr="0057193B">
        <w:rPr>
          <w:rFonts w:ascii="Verdana" w:eastAsia="Times New Roman" w:hAnsi="Verdana" w:cs="Arial"/>
          <w:bCs/>
          <w:sz w:val="21"/>
          <w:szCs w:val="21"/>
          <w:vertAlign w:val="superscript"/>
          <w:lang w:val="es-MX" w:eastAsia="x-none"/>
        </w:rPr>
        <w:footnoteReference w:id="22"/>
      </w:r>
      <w:r w:rsidRPr="0057193B">
        <w:rPr>
          <w:rFonts w:ascii="Verdana" w:eastAsia="Times New Roman" w:hAnsi="Verdana" w:cs="Arial"/>
          <w:bCs/>
          <w:sz w:val="21"/>
          <w:szCs w:val="21"/>
          <w:lang w:val="es-MX" w:eastAsia="x-none"/>
        </w:rPr>
        <w:t>.</w:t>
      </w:r>
      <w:r w:rsidRPr="0057193B">
        <w:rPr>
          <w:rFonts w:ascii="Verdana" w:eastAsia="Times New Roman" w:hAnsi="Verdana" w:cs="Arial"/>
          <w:bCs/>
          <w:sz w:val="21"/>
          <w:szCs w:val="21"/>
          <w:lang w:val="es-MX" w:eastAsia="es-CO"/>
        </w:rPr>
        <w:t xml:space="preserve"> </w:t>
      </w:r>
    </w:p>
    <w:p w14:paraId="13D41AD2" w14:textId="77777777" w:rsidR="00A1025E" w:rsidRPr="0057193B" w:rsidRDefault="00A1025E" w:rsidP="00A1025E">
      <w:pPr>
        <w:spacing w:after="0" w:line="276" w:lineRule="auto"/>
        <w:ind w:firstLine="708"/>
        <w:jc w:val="both"/>
        <w:rPr>
          <w:rFonts w:ascii="Verdana" w:eastAsia="Times New Roman" w:hAnsi="Verdana" w:cs="Arial"/>
          <w:bCs/>
          <w:lang w:val="es-MX" w:eastAsia="es-CO"/>
        </w:rPr>
      </w:pPr>
    </w:p>
    <w:p w14:paraId="4B159FDD" w14:textId="77777777" w:rsidR="00A1025E" w:rsidRPr="0057193B" w:rsidRDefault="00A1025E" w:rsidP="00A1025E">
      <w:pPr>
        <w:spacing w:after="0" w:line="276" w:lineRule="auto"/>
        <w:ind w:firstLine="708"/>
        <w:jc w:val="both"/>
        <w:rPr>
          <w:rFonts w:ascii="Verdana" w:eastAsia="Calibri" w:hAnsi="Verdana" w:cs="Arial"/>
          <w:lang w:val="es-MX"/>
        </w:rPr>
      </w:pPr>
      <w:r w:rsidRPr="0057193B">
        <w:rPr>
          <w:rFonts w:ascii="Verdana" w:eastAsia="Times New Roman" w:hAnsi="Verdana" w:cs="Arial"/>
          <w:bCs/>
          <w:lang w:val="es-MX" w:eastAsia="x-none"/>
        </w:rPr>
        <w:t>De igual forma, en Concepto con radicado 1738 del 6 de abril de 2006, esa m</w:t>
      </w:r>
      <w:r>
        <w:rPr>
          <w:rFonts w:ascii="Verdana" w:eastAsia="Times New Roman" w:hAnsi="Verdana" w:cs="Arial"/>
          <w:bCs/>
          <w:lang w:val="es-MX" w:eastAsia="x-none"/>
        </w:rPr>
        <w:t>isma Corporación manifestó que “</w:t>
      </w:r>
      <w:r w:rsidRPr="0057193B">
        <w:rPr>
          <w:rFonts w:ascii="Verdana" w:eastAsia="Times New Roman" w:hAnsi="Verdana" w:cs="Arial"/>
          <w:bCs/>
          <w:lang w:val="es-MX" w:eastAsia="x-none"/>
        </w:rPr>
        <w:t xml:space="preserve">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w:t>
      </w:r>
      <w:r>
        <w:rPr>
          <w:rFonts w:ascii="Verdana" w:eastAsia="Times New Roman" w:hAnsi="Verdana" w:cs="Arial"/>
          <w:bCs/>
          <w:lang w:val="es-MX" w:eastAsia="x-none"/>
        </w:rPr>
        <w:t>ambas partes, por el Legislador”</w:t>
      </w:r>
      <w:r w:rsidRPr="0057193B">
        <w:rPr>
          <w:rFonts w:ascii="Verdana" w:eastAsia="Calibri" w:hAnsi="Verdana" w:cs="Arial"/>
          <w:sz w:val="24"/>
          <w:vertAlign w:val="superscript"/>
          <w:lang w:val="es-MX"/>
        </w:rPr>
        <w:footnoteReference w:id="23"/>
      </w:r>
      <w:r w:rsidRPr="0057193B">
        <w:rPr>
          <w:rFonts w:ascii="Verdana" w:eastAsia="Times New Roman" w:hAnsi="Verdana" w:cs="Arial"/>
          <w:bCs/>
          <w:lang w:val="es-MX" w:eastAsia="x-none"/>
        </w:rPr>
        <w:t>.</w:t>
      </w:r>
      <w:r w:rsidRPr="0057193B">
        <w:rPr>
          <w:rFonts w:ascii="Verdana" w:eastAsia="Calibri" w:hAnsi="Verdana" w:cs="Arial"/>
          <w:lang w:val="es-MX"/>
        </w:rPr>
        <w:t xml:space="preserve"> Además, la Sala de Consulta y Servicio Civil del Consejo de Estado realizó la siguiente distinción, retomando el pronunciamiento de la misma sala del 20 de febrero de 2006, citado anteriormente:</w:t>
      </w:r>
    </w:p>
    <w:p w14:paraId="17A2B642" w14:textId="77777777" w:rsidR="00A1025E" w:rsidRPr="0057193B" w:rsidRDefault="00A1025E" w:rsidP="00A1025E">
      <w:pPr>
        <w:spacing w:after="0" w:line="276" w:lineRule="auto"/>
        <w:jc w:val="both"/>
        <w:rPr>
          <w:rFonts w:ascii="Verdana" w:eastAsia="Calibri" w:hAnsi="Verdana" w:cs="Arial"/>
          <w:lang w:val="es-MX"/>
        </w:rPr>
      </w:pPr>
    </w:p>
    <w:p w14:paraId="5836B4B4" w14:textId="77777777" w:rsidR="00A1025E" w:rsidRPr="001924B7" w:rsidRDefault="00A1025E" w:rsidP="00A1025E">
      <w:pPr>
        <w:spacing w:after="0" w:line="240" w:lineRule="auto"/>
        <w:ind w:left="708" w:right="709"/>
        <w:jc w:val="both"/>
        <w:rPr>
          <w:rFonts w:ascii="Verdana" w:eastAsia="Calibri" w:hAnsi="Verdana" w:cs="Arial"/>
          <w:sz w:val="20"/>
          <w:szCs w:val="20"/>
          <w:lang w:val="es-MX"/>
        </w:rPr>
      </w:pPr>
      <w:r w:rsidRPr="001924B7">
        <w:rPr>
          <w:rFonts w:ascii="Verdana" w:eastAsia="Calibri" w:hAnsi="Verdana" w:cs="Arial"/>
          <w:sz w:val="20"/>
          <w:szCs w:val="20"/>
          <w:lang w:val="es-MX"/>
        </w:rPr>
        <w:t>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45BF361B" w14:textId="77777777" w:rsidR="00A1025E" w:rsidRPr="001924B7" w:rsidRDefault="00A1025E" w:rsidP="00A1025E">
      <w:pPr>
        <w:spacing w:after="0" w:line="240" w:lineRule="auto"/>
        <w:ind w:left="708" w:right="709"/>
        <w:jc w:val="both"/>
        <w:rPr>
          <w:rFonts w:ascii="Verdana" w:eastAsia="Calibri" w:hAnsi="Verdana" w:cs="Arial"/>
          <w:sz w:val="20"/>
          <w:szCs w:val="20"/>
          <w:lang w:val="es-MX"/>
        </w:rPr>
      </w:pPr>
    </w:p>
    <w:p w14:paraId="538B860B" w14:textId="77777777" w:rsidR="00A1025E" w:rsidRPr="001924B7" w:rsidRDefault="00A1025E" w:rsidP="00A1025E">
      <w:pPr>
        <w:spacing w:after="0" w:line="240" w:lineRule="auto"/>
        <w:ind w:left="708" w:right="709"/>
        <w:jc w:val="both"/>
        <w:rPr>
          <w:rFonts w:ascii="Verdana" w:eastAsia="Calibri" w:hAnsi="Verdana" w:cs="Arial"/>
          <w:sz w:val="20"/>
          <w:szCs w:val="20"/>
          <w:lang w:val="es-MX"/>
        </w:rPr>
      </w:pPr>
      <w:r w:rsidRPr="001924B7">
        <w:rPr>
          <w:rFonts w:ascii="Verdana" w:eastAsia="Times New Roman" w:hAnsi="Verdana" w:cs="Arial"/>
          <w:bCs/>
          <w:sz w:val="20"/>
          <w:szCs w:val="20"/>
          <w:lang w:val="es-MX" w:eastAsia="x-none"/>
        </w:rPr>
        <w:t xml:space="preserve">Aplicando este razonamiento a los establecimientos de crédito, a las sociedades de servicios financieros y a las entidades aseguradoras, </w:t>
      </w:r>
      <w:r w:rsidRPr="001924B7">
        <w:rPr>
          <w:rFonts w:ascii="Verdana" w:eastAsia="Times New Roman" w:hAnsi="Verdana" w:cs="Arial"/>
          <w:bCs/>
          <w:sz w:val="20"/>
          <w:szCs w:val="20"/>
          <w:lang w:val="es-MX" w:eastAsia="x-none"/>
        </w:rPr>
        <w:lastRenderedPageBreak/>
        <w:t>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sidRPr="001924B7">
        <w:rPr>
          <w:rFonts w:ascii="Verdana" w:eastAsia="Calibri" w:hAnsi="Verdana" w:cs="Arial"/>
          <w:sz w:val="20"/>
          <w:szCs w:val="20"/>
          <w:vertAlign w:val="superscript"/>
          <w:lang w:val="es-MX"/>
        </w:rPr>
        <w:footnoteReference w:id="24"/>
      </w:r>
      <w:r w:rsidRPr="001924B7">
        <w:rPr>
          <w:rFonts w:ascii="Verdana" w:eastAsia="Times New Roman" w:hAnsi="Verdana" w:cs="Arial"/>
          <w:bCs/>
          <w:sz w:val="20"/>
          <w:szCs w:val="20"/>
          <w:lang w:val="es-MX" w:eastAsia="x-none"/>
        </w:rPr>
        <w:t>.</w:t>
      </w:r>
    </w:p>
    <w:p w14:paraId="2AA244D7" w14:textId="77777777" w:rsidR="00A1025E" w:rsidRPr="0057193B" w:rsidRDefault="00A1025E" w:rsidP="00A1025E">
      <w:pPr>
        <w:spacing w:after="0" w:line="276" w:lineRule="auto"/>
        <w:jc w:val="both"/>
        <w:rPr>
          <w:rFonts w:ascii="Verdana" w:eastAsia="Calibri" w:hAnsi="Verdana" w:cs="Arial"/>
          <w:lang w:val="es-MX"/>
        </w:rPr>
      </w:pPr>
    </w:p>
    <w:p w14:paraId="2E37B4B6" w14:textId="77777777" w:rsidR="00A1025E" w:rsidRPr="0057193B" w:rsidRDefault="00A1025E" w:rsidP="00A1025E">
      <w:pPr>
        <w:spacing w:after="120" w:line="276" w:lineRule="auto"/>
        <w:ind w:firstLine="709"/>
        <w:jc w:val="both"/>
        <w:rPr>
          <w:rFonts w:ascii="Verdana" w:eastAsia="Times New Roman" w:hAnsi="Verdana" w:cs="Arial"/>
          <w:lang w:eastAsia="es-CO"/>
        </w:rPr>
      </w:pPr>
      <w:r w:rsidRPr="0057193B">
        <w:rPr>
          <w:rFonts w:ascii="Verdana" w:eastAsia="Calibri" w:hAnsi="Verdana" w:cs="Arial"/>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57193B">
        <w:rPr>
          <w:rFonts w:ascii="Verdana" w:eastAsia="Times New Roman" w:hAnsi="Verdana" w:cs="Arial"/>
          <w:bCs/>
          <w:lang w:val="es-MX" w:eastAsia="x-none"/>
        </w:rPr>
        <w:t>establecimientos de crédito, las sociedades de servicios financieros y las entidades aseguradoras</w:t>
      </w:r>
      <w:r w:rsidRPr="0057193B">
        <w:rPr>
          <w:rFonts w:ascii="Verdana" w:eastAsia="Calibri" w:hAnsi="Verdana" w:cs="Arial"/>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w:t>
      </w:r>
      <w:r>
        <w:rPr>
          <w:rFonts w:ascii="Verdana" w:eastAsia="Calibri" w:hAnsi="Verdana" w:cs="Arial"/>
          <w:lang w:val="es-MX"/>
        </w:rPr>
        <w:t>“</w:t>
      </w:r>
      <w:r w:rsidRPr="0057193B">
        <w:rPr>
          <w:rFonts w:ascii="Verdana" w:eastAsia="Calibri" w:hAnsi="Verdana" w:cs="Arial"/>
          <w:lang w:val="es-MX"/>
        </w:rPr>
        <w:t>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Pr>
          <w:rFonts w:ascii="Verdana" w:eastAsia="Calibri" w:hAnsi="Verdana" w:cs="Arial"/>
          <w:lang w:val="es-MX"/>
        </w:rPr>
        <w:t>”</w:t>
      </w:r>
      <w:r w:rsidRPr="0057193B">
        <w:rPr>
          <w:rFonts w:ascii="Verdana" w:eastAsia="Calibri" w:hAnsi="Verdana" w:cs="Arial"/>
          <w:vertAlign w:val="superscript"/>
          <w:lang w:val="es-MX"/>
        </w:rPr>
        <w:footnoteReference w:id="25"/>
      </w:r>
      <w:r w:rsidRPr="0057193B">
        <w:rPr>
          <w:rFonts w:ascii="Verdana" w:eastAsia="Calibri" w:hAnsi="Verdana" w:cs="Arial"/>
          <w:lang w:val="es-MX"/>
        </w:rPr>
        <w:t>.</w:t>
      </w:r>
      <w:r w:rsidRPr="0057193B">
        <w:rPr>
          <w:rFonts w:ascii="Verdana" w:eastAsia="Times New Roman" w:hAnsi="Verdana" w:cs="Arial"/>
          <w:lang w:eastAsia="es-CO"/>
        </w:rPr>
        <w:t xml:space="preserve"> </w:t>
      </w:r>
    </w:p>
    <w:p w14:paraId="2A1C8455" w14:textId="77777777" w:rsidR="00A1025E" w:rsidRDefault="00A1025E" w:rsidP="00A1025E">
      <w:pPr>
        <w:spacing w:after="120" w:line="276" w:lineRule="auto"/>
        <w:ind w:firstLine="709"/>
        <w:jc w:val="both"/>
        <w:rPr>
          <w:rFonts w:ascii="Verdana" w:eastAsia="Times New Roman" w:hAnsi="Verdana" w:cs="Arial"/>
          <w:bCs/>
          <w:lang w:val="es-MX" w:eastAsia="x-none"/>
        </w:rPr>
      </w:pPr>
      <w:r w:rsidRPr="0057193B">
        <w:rPr>
          <w:rFonts w:ascii="Verdana" w:eastAsia="Times New Roman" w:hAnsi="Verdana" w:cs="Arial"/>
          <w:lang w:eastAsia="es-CO"/>
        </w:rPr>
        <w:t>Sin perjuicio de estos pronunciamientos de la Sala de Consulta y Servicio Civil</w:t>
      </w:r>
      <w:r w:rsidRPr="0057193B">
        <w:rPr>
          <w:rFonts w:ascii="Verdana" w:eastAsia="Calibri" w:hAnsi="Verdana" w:cs="Arial"/>
          <w:lang w:val="es-MX"/>
        </w:rPr>
        <w:t xml:space="preserve">, como la ha señalado esa misma Corporación, la restricción prevista en la Ley 996 de 2005 </w:t>
      </w:r>
      <w:r w:rsidRPr="0057193B">
        <w:rPr>
          <w:rFonts w:ascii="Verdana" w:eastAsia="Times New Roman" w:hAnsi="Verdana" w:cs="Arial"/>
          <w:bCs/>
          <w:lang w:val="es-MX" w:eastAsia="x-none"/>
        </w:rPr>
        <w:t>cobija a cualquier entidad pública independiente del régimen jurídico, que pueda mediante la contratación directa romper el equilibrio entre los candidatos en desarrollo de las elecciones presidenciales. Tampoco existe un supuesto de exoneración a la prohibición por tener un régimen especial de los actos o contratos</w:t>
      </w:r>
      <w:r>
        <w:rPr>
          <w:rFonts w:ascii="Verdana" w:eastAsia="Times New Roman" w:hAnsi="Verdana" w:cs="Arial"/>
          <w:bCs/>
          <w:lang w:val="es-MX" w:eastAsia="x-none"/>
        </w:rPr>
        <w:t xml:space="preserve"> o por la ejecución de un cierto tipo de recursos en sus contrataciones</w:t>
      </w:r>
      <w:r w:rsidRPr="0057193B">
        <w:rPr>
          <w:rFonts w:ascii="Verdana" w:eastAsia="Times New Roman" w:hAnsi="Verdana" w:cs="Arial"/>
          <w:bCs/>
          <w:lang w:val="es-MX" w:eastAsia="x-none"/>
        </w:rPr>
        <w:t>, pues, la posibilidad de que lo</w:t>
      </w:r>
      <w:r>
        <w:rPr>
          <w:rFonts w:ascii="Verdana" w:eastAsia="Times New Roman" w:hAnsi="Verdana" w:cs="Arial"/>
          <w:bCs/>
          <w:lang w:val="es-MX" w:eastAsia="x-none"/>
        </w:rPr>
        <w:t>s entes del Estado usen</w:t>
      </w:r>
      <w:r w:rsidRPr="0057193B">
        <w:rPr>
          <w:rFonts w:ascii="Verdana" w:eastAsia="Times New Roman" w:hAnsi="Verdana" w:cs="Arial"/>
          <w:bCs/>
          <w:lang w:val="es-MX" w:eastAsia="x-none"/>
        </w:rPr>
        <w:t xml:space="preserve"> la contratación con fines políticos, esto es, con la intención de influir a los electores y alterar la voluntad popular en las contiendas electorales, puede presentarse </w:t>
      </w:r>
      <w:r w:rsidRPr="0057193B">
        <w:rPr>
          <w:rFonts w:ascii="Verdana" w:eastAsia="Times New Roman" w:hAnsi="Verdana" w:cs="Arial"/>
          <w:bCs/>
          <w:lang w:val="es-MX" w:eastAsia="x-none"/>
        </w:rPr>
        <w:lastRenderedPageBreak/>
        <w:t>tanto en la contratación regulada por la Ley 80 de 1993 como en la regida por normas especiales.</w:t>
      </w:r>
    </w:p>
    <w:p w14:paraId="230D7F08" w14:textId="77777777" w:rsidR="00A1025E" w:rsidRDefault="00A1025E" w:rsidP="00A1025E">
      <w:pPr>
        <w:spacing w:after="120" w:line="276" w:lineRule="auto"/>
        <w:ind w:firstLine="709"/>
        <w:jc w:val="both"/>
        <w:rPr>
          <w:rFonts w:ascii="Verdana" w:eastAsia="Times New Roman" w:hAnsi="Verdana" w:cs="Arial"/>
          <w:bCs/>
          <w:lang w:val="es-MX" w:eastAsia="x-none" w:bidi="es-ES"/>
        </w:rPr>
      </w:pPr>
      <w:r>
        <w:rPr>
          <w:rFonts w:ascii="Verdana" w:eastAsia="Times New Roman" w:hAnsi="Verdana" w:cs="Arial"/>
          <w:bCs/>
          <w:lang w:val="es-MX" w:eastAsia="x-none"/>
        </w:rPr>
        <w:t xml:space="preserve">Teniendo en cuenta lo expuesto previamente, todos lo entes del Estado, independiente del régimen jurídico aplicable, están sujetos a la restricción del artículo 33 de la Ley 996 de 2005, es decir, no podrán adelantar sistema que implique contratación directa respecto de </w:t>
      </w:r>
      <w:r w:rsidRPr="00355EA0">
        <w:rPr>
          <w:rFonts w:ascii="Verdana" w:eastAsia="Times New Roman" w:hAnsi="Verdana" w:cs="Arial"/>
          <w:bCs/>
          <w:lang w:val="es-MX" w:eastAsia="x-none" w:bidi="es-ES"/>
        </w:rPr>
        <w:t xml:space="preserve">las elecciones presidenciales, dentro de los cuatro (4) meses anteriores a la celebración de los comicios, salvo </w:t>
      </w:r>
      <w:r>
        <w:rPr>
          <w:rFonts w:ascii="Verdana" w:eastAsia="Times New Roman" w:hAnsi="Verdana" w:cs="Arial"/>
          <w:bCs/>
          <w:lang w:val="es-MX" w:eastAsia="x-none" w:bidi="es-ES"/>
        </w:rPr>
        <w:t xml:space="preserve">las </w:t>
      </w:r>
      <w:r w:rsidRPr="00355EA0">
        <w:rPr>
          <w:rFonts w:ascii="Verdana" w:eastAsia="Times New Roman" w:hAnsi="Verdana" w:cs="Arial"/>
          <w:bCs/>
          <w:lang w:val="es-MX" w:eastAsia="x-none" w:bidi="es-ES"/>
        </w:rPr>
        <w:t>excepciones</w:t>
      </w:r>
      <w:r>
        <w:rPr>
          <w:rFonts w:ascii="Verdana" w:eastAsia="Times New Roman" w:hAnsi="Verdana" w:cs="Arial"/>
          <w:bCs/>
          <w:lang w:val="es-MX" w:eastAsia="x-none" w:bidi="es-ES"/>
        </w:rPr>
        <w:t xml:space="preserve"> dispuestas en esta</w:t>
      </w:r>
      <w:r w:rsidRPr="00355EA0">
        <w:rPr>
          <w:rFonts w:ascii="Verdana" w:eastAsia="Times New Roman" w:hAnsi="Verdana" w:cs="Arial"/>
          <w:bCs/>
          <w:lang w:val="es-MX" w:eastAsia="x-none" w:bidi="es-ES"/>
        </w:rPr>
        <w:t xml:space="preserve">. </w:t>
      </w:r>
      <w:r>
        <w:rPr>
          <w:rFonts w:ascii="Verdana" w:eastAsia="Times New Roman" w:hAnsi="Verdana" w:cs="Arial"/>
          <w:bCs/>
          <w:lang w:val="es-MX" w:eastAsia="x-none"/>
        </w:rPr>
        <w:t>En este sentido, los entes del Estado independiente de su régimen especial no podrán celebrar contratos de forma directa desde el 31 de enero de 2026, teniendo en cuenta que la Resolución 02580 del 5 de marzo de 2025 de la Registraduría Nacional del Estado Civil dispuso que las elecciones presidenciales se celebrarán el 31 de mayo de 2026.</w:t>
      </w:r>
    </w:p>
    <w:p w14:paraId="57CF1AB0" w14:textId="77777777" w:rsidR="00A1025E" w:rsidRPr="00A63F17" w:rsidRDefault="00A1025E" w:rsidP="00A1025E">
      <w:pPr>
        <w:spacing w:after="120" w:line="276" w:lineRule="auto"/>
        <w:ind w:firstLine="709"/>
        <w:jc w:val="both"/>
        <w:rPr>
          <w:rFonts w:ascii="Verdana" w:eastAsia="Times New Roman" w:hAnsi="Verdana" w:cs="Arial"/>
          <w:bCs/>
          <w:lang w:val="es-MX" w:eastAsia="x-none"/>
        </w:rPr>
      </w:pPr>
      <w:r w:rsidRPr="00355EA0">
        <w:rPr>
          <w:rFonts w:ascii="Verdana" w:eastAsia="Times New Roman" w:hAnsi="Verdana" w:cs="Arial"/>
          <w:bCs/>
          <w:lang w:val="es-MX" w:eastAsia="x-none" w:bidi="es-ES"/>
        </w:rPr>
        <w:t>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w:t>
      </w:r>
      <w:r>
        <w:rPr>
          <w:rFonts w:ascii="Verdana" w:eastAsia="Times New Roman" w:hAnsi="Verdana" w:cs="Arial"/>
          <w:bCs/>
          <w:lang w:val="es-MX" w:eastAsia="x-none" w:bidi="es-ES"/>
        </w:rPr>
        <w:t>, que, de acuerdo con lo expuesto, se celebraría el 21 de junio de 2026.</w:t>
      </w:r>
    </w:p>
    <w:p w14:paraId="3F3FC866" w14:textId="77777777" w:rsidR="00A1025E" w:rsidRPr="003B7D6C" w:rsidRDefault="00A1025E" w:rsidP="00A1025E">
      <w:pPr>
        <w:spacing w:after="120" w:line="276" w:lineRule="auto"/>
        <w:ind w:firstLine="709"/>
        <w:jc w:val="both"/>
        <w:rPr>
          <w:rFonts w:ascii="Verdana" w:eastAsia="Times New Roman" w:hAnsi="Verdana" w:cs="Arial"/>
          <w:bCs/>
          <w:lang w:eastAsia="x-none"/>
        </w:rPr>
      </w:pPr>
      <w:r>
        <w:rPr>
          <w:rFonts w:ascii="Verdana" w:eastAsia="Times New Roman" w:hAnsi="Verdana" w:cs="Arial"/>
          <w:bCs/>
          <w:lang w:val="es-MX" w:eastAsia="x-none"/>
        </w:rPr>
        <w:t xml:space="preserve">Esto, sin perjuicio de </w:t>
      </w:r>
      <w:r w:rsidRPr="0057193B">
        <w:rPr>
          <w:rFonts w:ascii="Verdana" w:eastAsia="Times New Roman" w:hAnsi="Verdana" w:cs="Arial"/>
          <w:bCs/>
          <w:lang w:val="es-MX" w:eastAsia="x-none"/>
        </w:rPr>
        <w:t>las excepciones a la prohibición establecidas en el inciso</w:t>
      </w:r>
      <w:r>
        <w:rPr>
          <w:rFonts w:ascii="Verdana" w:eastAsia="Times New Roman" w:hAnsi="Verdana" w:cs="Arial"/>
          <w:bCs/>
          <w:lang w:val="es-MX" w:eastAsia="x-none"/>
        </w:rPr>
        <w:t xml:space="preserve"> segundo del mismo artículo 33, como son: </w:t>
      </w:r>
      <w:r w:rsidRPr="00333EDB">
        <w:rPr>
          <w:rFonts w:ascii="Verdana" w:eastAsia="Times New Roman" w:hAnsi="Verdana" w:cs="Arial"/>
          <w:bCs/>
          <w:lang w:val="es-MX" w:eastAsia="x-none"/>
        </w:rPr>
        <w:t>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0CF7D191" w14:textId="77777777" w:rsidR="00A1025E" w:rsidRPr="004C2E9A" w:rsidRDefault="00A1025E" w:rsidP="00A1025E">
      <w:pPr>
        <w:spacing w:after="120" w:line="276" w:lineRule="auto"/>
        <w:ind w:firstLine="709"/>
        <w:jc w:val="both"/>
        <w:rPr>
          <w:rFonts w:ascii="Verdana" w:eastAsia="Times New Roman" w:hAnsi="Verdana" w:cs="Arial"/>
          <w:bCs/>
          <w:lang w:val="es-MX" w:eastAsia="x-none"/>
        </w:rPr>
      </w:pPr>
      <w:r w:rsidRPr="0057193B">
        <w:rPr>
          <w:rFonts w:ascii="Verdana" w:eastAsia="Times New Roman" w:hAnsi="Verdana" w:cs="Arial"/>
          <w:bCs/>
          <w:lang w:val="es-MX" w:eastAsia="x-none"/>
        </w:rPr>
        <w:t>Finalmente, se reitera, c</w:t>
      </w:r>
      <w:r w:rsidRPr="0057193B">
        <w:rPr>
          <w:rFonts w:ascii="Verdana" w:eastAsia="Times New Roman" w:hAnsi="Verdana" w:cs="Arial"/>
          <w:bCs/>
          <w:lang w:val="es-MX" w:eastAsia="es-CO"/>
        </w:rPr>
        <w:t xml:space="preserve">omo en otras oportunidades lo ha manifestado esta Agencia, que las prórrogas, modificaciones o adiciones de los contratos suscritos antes de la entrada en vigor de las prohibiciones anotadas, así como la cesión de los mismos, pueden tener lugar en el período de aplicación de la Ley </w:t>
      </w:r>
      <w:r w:rsidRPr="0057193B">
        <w:rPr>
          <w:rFonts w:ascii="Verdana" w:eastAsia="Times New Roman" w:hAnsi="Verdana" w:cs="Arial"/>
          <w:bCs/>
          <w:lang w:val="es-MX" w:eastAsia="es-CO"/>
        </w:rPr>
        <w:lastRenderedPageBreak/>
        <w:t>de Garantías, sin que ello haga nugatoria la restricción de la contratación directa y siempre que cumplan los principios de planeación, transparencia y responsabilidad</w:t>
      </w:r>
      <w:r w:rsidRPr="0057193B">
        <w:rPr>
          <w:rFonts w:ascii="Verdana" w:eastAsia="Times New Roman" w:hAnsi="Verdana" w:cs="Arial"/>
          <w:bCs/>
          <w:vertAlign w:val="superscript"/>
          <w:lang w:val="es-MX" w:eastAsia="es-CO"/>
        </w:rPr>
        <w:footnoteReference w:id="26"/>
      </w:r>
      <w:r w:rsidRPr="0057193B">
        <w:rPr>
          <w:rFonts w:ascii="Verdana" w:eastAsia="Times New Roman" w:hAnsi="Verdana" w:cs="Arial"/>
          <w:bCs/>
          <w:lang w:val="es-MX" w:eastAsia="es-CO"/>
        </w:rPr>
        <w:t>. Además, también es posible que contratos celebrados previamente se continúen ejecutando con normalidad.</w:t>
      </w:r>
    </w:p>
    <w:p w14:paraId="1A2F595B" w14:textId="77777777" w:rsidR="00A1025E" w:rsidRDefault="00A1025E" w:rsidP="00A1025E">
      <w:pPr>
        <w:spacing w:after="120" w:line="276" w:lineRule="auto"/>
        <w:jc w:val="both"/>
        <w:rPr>
          <w:rFonts w:ascii="Verdana" w:eastAsia="Arial" w:hAnsi="Verdana" w:cs="Arial"/>
          <w:lang w:val="es-ES" w:eastAsia="es-ES" w:bidi="es-ES"/>
        </w:rPr>
      </w:pPr>
    </w:p>
    <w:p w14:paraId="2583BBF2" w14:textId="77777777" w:rsidR="00A1025E" w:rsidRPr="00667CD6" w:rsidRDefault="00A1025E" w:rsidP="00A1025E">
      <w:pPr>
        <w:spacing w:after="120" w:line="276" w:lineRule="auto"/>
        <w:jc w:val="both"/>
        <w:rPr>
          <w:rFonts w:ascii="Verdana" w:hAnsi="Verdana" w:cs="Arial"/>
          <w:lang w:val="es-ES"/>
        </w:rPr>
      </w:pPr>
      <w:r>
        <w:rPr>
          <w:rFonts w:ascii="Verdana" w:eastAsia="Arial" w:hAnsi="Verdana" w:cs="Arial"/>
          <w:lang w:val="es-ES" w:eastAsia="es-ES" w:bidi="es-ES"/>
        </w:rPr>
        <w:t xml:space="preserve">iv. </w:t>
      </w:r>
      <w:r w:rsidRPr="00667CD6">
        <w:rPr>
          <w:rFonts w:ascii="Verdana" w:hAnsi="Verdana" w:cs="Arial"/>
          <w:lang w:val="es-ES"/>
        </w:rPr>
        <w:t xml:space="preserve">Ahora bien, respecto del alcance del parágrafo </w:t>
      </w:r>
      <w:r w:rsidRPr="00667CD6">
        <w:rPr>
          <w:rFonts w:ascii="Verdana" w:hAnsi="Verdana" w:cs="Arial"/>
        </w:rPr>
        <w:t xml:space="preserve">del artículo 38 de la Ley 996 de 2005, esta prohibición dispone </w:t>
      </w:r>
      <w:r>
        <w:rPr>
          <w:rFonts w:ascii="Verdana" w:hAnsi="Verdana" w:cs="Arial"/>
        </w:rPr>
        <w:t xml:space="preserve">en primera medida </w:t>
      </w:r>
      <w:r w:rsidRPr="00667CD6">
        <w:rPr>
          <w:rFonts w:ascii="Verdana" w:hAnsi="Verdana" w:cs="Arial"/>
        </w:rPr>
        <w:t xml:space="preserve">que: “[l]os Gobernadores, Alcaldes Municipales y/o Distritales, Secretarios, Gerentes y directores de Entidades Descentralizadas del orden Municipal, Departamental o Distrital, dentro de los cuatro (4) meses anteriores a las elecciones, no podrán celebrar </w:t>
      </w:r>
      <w:r w:rsidRPr="00667CD6">
        <w:rPr>
          <w:rFonts w:ascii="Verdana" w:hAnsi="Verdana" w:cs="Arial"/>
          <w:i/>
          <w:iCs/>
        </w:rPr>
        <w:t>convenios interadministrativos</w:t>
      </w:r>
      <w:r w:rsidRPr="00667CD6">
        <w:rPr>
          <w:rFonts w:ascii="Verdana" w:hAnsi="Verdana" w:cs="Arial"/>
        </w:rPr>
        <w:t xml:space="preserve"> </w:t>
      </w:r>
      <w:r w:rsidRPr="00667CD6">
        <w:rPr>
          <w:rFonts w:ascii="Verdana" w:hAnsi="Verdana" w:cs="Arial"/>
          <w:i/>
          <w:iCs/>
        </w:rPr>
        <w:t>para la ejecución de recursos públicos</w:t>
      </w:r>
      <w:r w:rsidRPr="00667CD6">
        <w:rPr>
          <w:rFonts w:ascii="Verdana" w:hAnsi="Verdana" w:cs="Arial"/>
        </w:rPr>
        <w:t>”.</w:t>
      </w:r>
      <w:r w:rsidRPr="00667CD6">
        <w:rPr>
          <w:rFonts w:ascii="Verdana" w:eastAsia="Times New Roman" w:hAnsi="Verdana" w:cs="Arial"/>
          <w:lang w:val="es-MX" w:eastAsia="x-none"/>
        </w:rPr>
        <w:t xml:space="preserve"> [Énfasis fuera del texto original]</w:t>
      </w:r>
    </w:p>
    <w:p w14:paraId="49CDFC1E" w14:textId="77777777" w:rsidR="00A1025E" w:rsidRPr="00667CD6" w:rsidRDefault="00A1025E" w:rsidP="00A1025E">
      <w:pPr>
        <w:spacing w:after="120" w:line="276" w:lineRule="auto"/>
        <w:ind w:firstLine="709"/>
        <w:jc w:val="both"/>
        <w:rPr>
          <w:rFonts w:ascii="Verdana" w:hAnsi="Verdana" w:cs="Arial"/>
          <w:lang w:eastAsia="es-ES"/>
        </w:rPr>
      </w:pPr>
      <w:r w:rsidRPr="2035D652">
        <w:rPr>
          <w:rFonts w:ascii="Verdana" w:eastAsia="Times New Roman" w:hAnsi="Verdana" w:cs="Arial"/>
          <w:lang w:val="es-ES" w:eastAsia="es-ES"/>
        </w:rPr>
        <w:t xml:space="preserve">Para tales efectos, debe precisarse que </w:t>
      </w:r>
      <w:r w:rsidRPr="00667CD6">
        <w:rPr>
          <w:rFonts w:ascii="Verdana" w:eastAsia="Times New Roman" w:hAnsi="Verdana" w:cs="Arial"/>
          <w:color w:val="000000" w:themeColor="text1"/>
          <w:lang w:val="es-ES" w:eastAsia="es-CO"/>
        </w:rPr>
        <w:t xml:space="preserve">los contratos o convenios interadministrativos están determinados por un criterio orgánico, pues es necesario que los extremos de la relación contractual sean entidades públicas, </w:t>
      </w:r>
      <w:r w:rsidRPr="00667CD6">
        <w:rPr>
          <w:rFonts w:ascii="Verdana" w:hAnsi="Verdana" w:cs="Arial"/>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sidRPr="00667CD6">
        <w:rPr>
          <w:rFonts w:ascii="Verdana" w:hAnsi="Verdana" w:cs="Arial"/>
          <w:vertAlign w:val="superscript"/>
          <w:lang w:eastAsia="es-ES"/>
        </w:rPr>
        <w:footnoteReference w:id="27"/>
      </w:r>
      <w:r w:rsidRPr="00667CD6">
        <w:rPr>
          <w:rFonts w:ascii="Verdana" w:hAnsi="Verdana" w:cs="Arial"/>
          <w:lang w:eastAsia="es-ES"/>
        </w:rPr>
        <w:t>.</w:t>
      </w:r>
    </w:p>
    <w:p w14:paraId="7E4DF67E" w14:textId="77777777" w:rsidR="00A1025E" w:rsidRPr="00667CD6" w:rsidRDefault="00A1025E" w:rsidP="00A1025E">
      <w:pPr>
        <w:spacing w:after="120" w:line="276" w:lineRule="auto"/>
        <w:ind w:firstLine="709"/>
        <w:jc w:val="both"/>
        <w:rPr>
          <w:rFonts w:ascii="Verdana" w:hAnsi="Verdana" w:cs="Arial"/>
          <w:color w:val="000000" w:themeColor="text1"/>
          <w:lang w:val="es-ES_tradnl"/>
        </w:rPr>
      </w:pPr>
      <w:r w:rsidRPr="00667CD6">
        <w:rPr>
          <w:rFonts w:ascii="Verdana" w:hAnsi="Verdana" w:cs="Arial"/>
          <w:color w:val="000000" w:themeColor="text1"/>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0FF639AF" w14:textId="77777777" w:rsidR="00A1025E" w:rsidRPr="00667CD6" w:rsidRDefault="00A1025E" w:rsidP="00A1025E">
      <w:pPr>
        <w:spacing w:before="120" w:after="0" w:line="276" w:lineRule="auto"/>
        <w:ind w:firstLine="708"/>
        <w:jc w:val="both"/>
        <w:rPr>
          <w:rFonts w:ascii="Verdana" w:hAnsi="Verdana" w:cs="Arial"/>
          <w:lang w:val="es-ES_tradnl"/>
        </w:rPr>
      </w:pPr>
      <w:r w:rsidRPr="2035D652">
        <w:rPr>
          <w:rFonts w:ascii="Verdana" w:hAnsi="Verdana" w:cs="Arial"/>
          <w:lang w:val="es-ES"/>
        </w:rPr>
        <w:t xml:space="preserve">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w:t>
      </w:r>
      <w:r w:rsidRPr="2035D652">
        <w:rPr>
          <w:rFonts w:ascii="Verdana" w:hAnsi="Verdana" w:cs="Arial"/>
          <w:lang w:val="es-ES"/>
        </w:rPr>
        <w:lastRenderedPageBreak/>
        <w:t>en la ley o en sus reglamentos, a menos que, según las excepciones previstas en dicha Ley, deba adelantarse un procedimiento susceptible de pluralidad de oferentes</w:t>
      </w:r>
      <w:r w:rsidRPr="2035D652">
        <w:rPr>
          <w:rFonts w:ascii="Verdana" w:hAnsi="Verdana" w:cs="Arial"/>
          <w:vertAlign w:val="superscript"/>
          <w:lang w:val="es-ES"/>
        </w:rPr>
        <w:footnoteReference w:id="28"/>
      </w:r>
      <w:r w:rsidRPr="2035D652">
        <w:rPr>
          <w:rFonts w:ascii="Verdana" w:hAnsi="Verdana" w:cs="Arial"/>
          <w:lang w:val="es-ES"/>
        </w:rPr>
        <w:t>. Nótese que, en este caso, lo que cambia es la modalidad de selección y no la naturaleza de contrato interadministrativo.</w:t>
      </w:r>
    </w:p>
    <w:p w14:paraId="740FB66D" w14:textId="77777777" w:rsidR="00A1025E" w:rsidRPr="00667CD6" w:rsidRDefault="00A1025E" w:rsidP="00A1025E">
      <w:pPr>
        <w:spacing w:before="120" w:after="0" w:line="276" w:lineRule="auto"/>
        <w:ind w:firstLine="708"/>
        <w:jc w:val="both"/>
        <w:rPr>
          <w:rFonts w:ascii="Verdana" w:hAnsi="Verdana" w:cs="Arial"/>
          <w:lang w:val="es-ES_tradnl"/>
        </w:rPr>
      </w:pPr>
      <w:r w:rsidRPr="2035D652">
        <w:rPr>
          <w:rFonts w:ascii="Verdana" w:hAnsi="Verdana" w:cs="Arial"/>
          <w:lang w:val="es-ES"/>
        </w:rPr>
        <w:t>Además, es necesario tener en cuenta que para que un contrato o convenio interadministrativo exista debe cumplir con los siguientes elementos: acuerdo sobre el objeto y la contraprestación y que conste por escrito</w:t>
      </w:r>
      <w:r w:rsidRPr="2035D652">
        <w:rPr>
          <w:rFonts w:ascii="Verdana" w:hAnsi="Verdana" w:cs="Arial"/>
          <w:vertAlign w:val="superscript"/>
          <w:lang w:val="es-ES"/>
        </w:rPr>
        <w:footnoteReference w:id="29"/>
      </w:r>
      <w:r w:rsidRPr="2035D652">
        <w:rPr>
          <w:rFonts w:ascii="Verdana" w:hAnsi="Verdana" w:cs="Arial"/>
          <w:lang w:val="es-ES"/>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19D67B38" w14:textId="77777777" w:rsidR="00A1025E" w:rsidRPr="00667CD6" w:rsidRDefault="00A1025E" w:rsidP="00A1025E">
      <w:pPr>
        <w:spacing w:before="120" w:after="0" w:line="276" w:lineRule="auto"/>
        <w:ind w:firstLine="708"/>
        <w:jc w:val="both"/>
        <w:rPr>
          <w:rFonts w:ascii="Verdana" w:hAnsi="Verdana"/>
          <w:sz w:val="24"/>
          <w:szCs w:val="24"/>
          <w:lang w:eastAsia="es-CO"/>
        </w:rPr>
      </w:pPr>
      <w:r w:rsidRPr="2035D652">
        <w:rPr>
          <w:rFonts w:ascii="Verdana" w:hAnsi="Verdana" w:cs="Arial"/>
          <w:lang w:val="es-ES"/>
        </w:rPr>
        <w:t>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diferente</w:t>
      </w:r>
      <w:r w:rsidRPr="2035D652">
        <w:rPr>
          <w:rFonts w:ascii="Verdana" w:hAnsi="Verdana" w:cs="Arial"/>
          <w:vertAlign w:val="superscript"/>
          <w:lang w:val="es-ES"/>
        </w:rPr>
        <w:footnoteReference w:id="30"/>
      </w:r>
      <w:r w:rsidRPr="2035D652">
        <w:rPr>
          <w:rFonts w:ascii="Verdana" w:hAnsi="Verdana" w:cs="Arial"/>
          <w:lang w:val="es-ES"/>
        </w:rPr>
        <w:t>, pues, de acuerdo con lo anotado, esta clase de acuerdos de voluntades se definen por un criterio orgánico, por lo que uno de sus elementos esenciales es que en los extremos de la relación jurídico negocial concurran personas de derecho público</w:t>
      </w:r>
      <w:r w:rsidRPr="00667CD6">
        <w:rPr>
          <w:rFonts w:ascii="Verdana" w:hAnsi="Verdana"/>
          <w:sz w:val="24"/>
          <w:szCs w:val="24"/>
          <w:lang w:eastAsia="es-CO"/>
        </w:rPr>
        <w:t>.</w:t>
      </w:r>
    </w:p>
    <w:p w14:paraId="5441E47D" w14:textId="77777777" w:rsidR="00A1025E" w:rsidRDefault="00A1025E" w:rsidP="00A1025E">
      <w:pPr>
        <w:spacing w:before="120" w:after="0" w:line="276" w:lineRule="auto"/>
        <w:ind w:firstLine="708"/>
        <w:jc w:val="both"/>
        <w:rPr>
          <w:rFonts w:ascii="Verdana" w:eastAsia="Times New Roman" w:hAnsi="Verdana" w:cs="Arial"/>
          <w:lang w:val="es-MX" w:eastAsia="es-CO"/>
        </w:rPr>
      </w:pPr>
      <w:r w:rsidRPr="00667CD6">
        <w:rPr>
          <w:rFonts w:ascii="Verdana" w:eastAsia="Arial" w:hAnsi="Verdana" w:cs="Arial"/>
          <w:lang w:val="es-MX" w:eastAsia="es-ES" w:bidi="es-ES"/>
        </w:rPr>
        <w:t>De esta manera, se</w:t>
      </w:r>
      <w:r w:rsidRPr="00667CD6">
        <w:rPr>
          <w:rFonts w:ascii="Verdana" w:eastAsia="Times New Roman" w:hAnsi="Verdana" w:cs="Arial"/>
          <w:lang w:eastAsia="es-CO"/>
        </w:rPr>
        <w:t xml:space="preserve"> observa entonces que </w:t>
      </w:r>
      <w:r w:rsidRPr="00667CD6">
        <w:rPr>
          <w:rFonts w:ascii="Verdana" w:eastAsia="Times New Roman" w:hAnsi="Verdana" w:cs="Arial"/>
          <w:lang w:val="es-MX" w:eastAsia="es-CO"/>
        </w:rPr>
        <w:t xml:space="preserve">el parágrafo del artículo 38 de la Ley 996 de 2005 prohíbe a los Alcaldes, Gobernadores, Secretarios, Gerentes y Directores de las entidades del orden municipal, departamental o distrital celebrar </w:t>
      </w:r>
      <w:r w:rsidRPr="00667CD6">
        <w:rPr>
          <w:rFonts w:ascii="Verdana" w:eastAsia="Times New Roman" w:hAnsi="Verdana" w:cs="Arial"/>
          <w:i/>
          <w:iCs/>
          <w:lang w:val="es-MX" w:eastAsia="es-CO"/>
        </w:rPr>
        <w:t>convenios interadministrativos</w:t>
      </w:r>
      <w:r w:rsidRPr="00667CD6">
        <w:rPr>
          <w:rFonts w:ascii="Verdana" w:eastAsia="Times New Roman" w:hAnsi="Verdana" w:cs="Arial"/>
          <w:lang w:val="es-MX" w:eastAsia="es-CO"/>
        </w:rPr>
        <w:t xml:space="preserve"> para la ejecución de recursos públicos. En este sentido, si una o ambas partes de la relación contractual es una entidad </w:t>
      </w:r>
      <w:r w:rsidRPr="00667CD6">
        <w:rPr>
          <w:rFonts w:ascii="Verdana" w:eastAsia="Times New Roman" w:hAnsi="Verdana" w:cs="Arial"/>
          <w:lang w:val="es-MX" w:eastAsia="es-CO"/>
        </w:rPr>
        <w:lastRenderedPageBreak/>
        <w:t xml:space="preserve">de aquellas descritas en el parágrafo </w:t>
      </w:r>
      <w:r w:rsidRPr="00667CD6">
        <w:rPr>
          <w:rFonts w:ascii="Verdana" w:eastAsia="Times New Roman" w:hAnsi="Verdana" w:cs="Arial"/>
          <w:i/>
          <w:lang w:val="es-MX" w:eastAsia="es-CO"/>
        </w:rPr>
        <w:t>ibidem</w:t>
      </w:r>
      <w:r w:rsidRPr="00667CD6">
        <w:rPr>
          <w:rFonts w:ascii="Verdana" w:eastAsia="Times New Roman" w:hAnsi="Verdana" w:cs="Arial"/>
          <w:lang w:val="es-MX" w:eastAsia="es-CO"/>
        </w:rPr>
        <w:t xml:space="preserve">, </w:t>
      </w:r>
      <w:r>
        <w:rPr>
          <w:rFonts w:ascii="Verdana" w:eastAsia="Times New Roman" w:hAnsi="Verdana" w:cs="Arial"/>
          <w:lang w:val="es-MX" w:eastAsia="es-CO"/>
        </w:rPr>
        <w:t xml:space="preserve">es decir, </w:t>
      </w:r>
      <w:r w:rsidRPr="00E60AD8">
        <w:rPr>
          <w:rFonts w:ascii="Verdana" w:eastAsia="Times New Roman" w:hAnsi="Verdana" w:cs="Arial"/>
          <w:lang w:eastAsia="es-CO"/>
        </w:rPr>
        <w:t>alcaldías, gobernaciones, secretarías de despacho, así como entidades</w:t>
      </w:r>
      <w:r>
        <w:rPr>
          <w:rFonts w:ascii="Verdana" w:eastAsia="Times New Roman" w:hAnsi="Verdana" w:cs="Arial"/>
          <w:lang w:eastAsia="es-CO"/>
        </w:rPr>
        <w:t xml:space="preserve"> descentralizadas por servicios del orden municipal, departamental o distrital</w:t>
      </w:r>
      <w:r w:rsidRPr="00E60AD8">
        <w:rPr>
          <w:rFonts w:ascii="Verdana" w:eastAsia="Times New Roman" w:hAnsi="Verdana" w:cs="Arial"/>
          <w:lang w:eastAsia="es-CO"/>
        </w:rPr>
        <w:t xml:space="preserve"> </w:t>
      </w:r>
      <w:r w:rsidRPr="00667CD6">
        <w:rPr>
          <w:rFonts w:ascii="Verdana" w:eastAsia="Times New Roman" w:hAnsi="Verdana" w:cs="Arial"/>
          <w:lang w:val="es-MX" w:eastAsia="es-CO"/>
        </w:rPr>
        <w:t xml:space="preserve">no podrá celebrar tales </w:t>
      </w:r>
      <w:r w:rsidRPr="00667CD6">
        <w:rPr>
          <w:rFonts w:ascii="Verdana" w:eastAsia="Times New Roman" w:hAnsi="Verdana" w:cs="Arial"/>
          <w:i/>
          <w:iCs/>
          <w:lang w:val="es-MX" w:eastAsia="es-CO"/>
        </w:rPr>
        <w:t>convenios</w:t>
      </w:r>
      <w:r w:rsidRPr="00667CD6">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7EE784BF" w14:textId="77777777" w:rsidR="00A1025E" w:rsidRPr="00E60AD8" w:rsidRDefault="00A1025E" w:rsidP="00A1025E">
      <w:pPr>
        <w:spacing w:before="120" w:after="0" w:line="276" w:lineRule="auto"/>
        <w:ind w:firstLine="708"/>
        <w:jc w:val="both"/>
        <w:rPr>
          <w:rFonts w:ascii="Verdana" w:eastAsia="Calibri" w:hAnsi="Verdana" w:cs="Arial"/>
          <w:color w:val="000000"/>
        </w:rPr>
      </w:pPr>
      <w:r>
        <w:rPr>
          <w:rFonts w:ascii="Verdana" w:eastAsia="Times New Roman" w:hAnsi="Verdana" w:cs="Arial"/>
          <w:lang w:val="es-MX" w:eastAsia="es-CO"/>
        </w:rPr>
        <w:t xml:space="preserve">En este aspecto, se destaca que uno de los sujetos de aplicación de dicha restricción son las entidades descentralizadas por servicios, </w:t>
      </w:r>
      <w:r>
        <w:rPr>
          <w:rFonts w:ascii="Verdana" w:eastAsia="Times New Roman" w:hAnsi="Verdana" w:cs="Arial"/>
          <w:lang w:eastAsia="es-CO"/>
        </w:rPr>
        <w:t xml:space="preserve">las cuales </w:t>
      </w:r>
      <w:r w:rsidRPr="004A1A19">
        <w:rPr>
          <w:rFonts w:ascii="Verdana" w:eastAsia="Calibri" w:hAnsi="Verdana" w:cs="Arial"/>
          <w:color w:val="000000"/>
        </w:rPr>
        <w:t>–sin perjuicio del control de tutela– tienen personería jurídica, autonomía administrativa y patrimonio propio.</w:t>
      </w:r>
      <w:r w:rsidRPr="004A1A19">
        <w:rPr>
          <w:rFonts w:ascii="Verdana" w:eastAsia="Calibri" w:hAnsi="Verdana" w:cs="Arial"/>
          <w:b/>
          <w:bCs/>
          <w:color w:val="000000"/>
        </w:rPr>
        <w:t xml:space="preserve"> </w:t>
      </w:r>
      <w:r>
        <w:rPr>
          <w:rFonts w:ascii="Verdana" w:eastAsia="Calibri" w:hAnsi="Verdana" w:cs="Arial"/>
          <w:color w:val="000000"/>
        </w:rPr>
        <w:t xml:space="preserve">Dentro de la categoría amplia de entidades descentralizadas por servicios se encuentran las Empresas Industriales y Comerciales del Estado, los establecimientos públicos, las sociedades públicas, las sociedades de economía mixta, las empresas sociales del Estado, entre otras entidades. </w:t>
      </w:r>
    </w:p>
    <w:p w14:paraId="12DC7E76" w14:textId="77777777" w:rsidR="00A1025E" w:rsidRDefault="00A1025E" w:rsidP="00A1025E">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val="es-MX" w:eastAsia="es-CO"/>
        </w:rPr>
        <w:t>Respecto del alcance de esta prohibición la Circular Externa No. 006 de 2025 expedida por la ANCP -CCE, en los literales ii) y iv) del numeral 2</w:t>
      </w:r>
      <w:r w:rsidRPr="00667CD6">
        <w:rPr>
          <w:rFonts w:ascii="Verdana" w:eastAsia="Times New Roman" w:hAnsi="Verdana" w:cs="Arial"/>
          <w:lang w:eastAsia="es-CO"/>
        </w:rPr>
        <w:t>,</w:t>
      </w:r>
      <w:r w:rsidRPr="00667CD6">
        <w:rPr>
          <w:rFonts w:ascii="Verdana" w:eastAsia="Times New Roman" w:hAnsi="Verdana" w:cs="Arial"/>
          <w:lang w:val="es-MX" w:eastAsia="es-CO"/>
        </w:rPr>
        <w:t xml:space="preserve"> indica que el </w:t>
      </w:r>
      <w:r w:rsidRPr="00667CD6">
        <w:rPr>
          <w:rFonts w:ascii="Verdana" w:eastAsia="Times New Roman" w:hAnsi="Verdana" w:cs="Arial"/>
          <w:lang w:eastAsia="es-CO"/>
        </w:rPr>
        <w:t xml:space="preserve">parágrafo del artículo 38 de la Ley 996 de 2005 cobija expresamente a los </w:t>
      </w:r>
      <w:r w:rsidRPr="00667CD6">
        <w:rPr>
          <w:rFonts w:ascii="Verdana" w:eastAsia="Times New Roman" w:hAnsi="Verdana" w:cs="Arial"/>
          <w:i/>
          <w:iCs/>
          <w:lang w:eastAsia="es-CO"/>
        </w:rPr>
        <w:t>convenios interadministrativos</w:t>
      </w:r>
      <w:r w:rsidRPr="00667CD6">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667CD6">
        <w:rPr>
          <w:rFonts w:ascii="Verdana" w:eastAsia="Times New Roman" w:hAnsi="Verdana" w:cs="Arial"/>
          <w:i/>
          <w:iCs/>
          <w:lang w:eastAsia="es-CO"/>
        </w:rPr>
        <w:t>“aunque se configure alguno de los supuestos de excepción que señaló el inciso final del artículo 33”.</w:t>
      </w:r>
      <w:r w:rsidRPr="00667CD6">
        <w:rPr>
          <w:rFonts w:ascii="Verdana" w:eastAsia="Times New Roman" w:hAnsi="Verdana" w:cs="Arial"/>
          <w:lang w:eastAsia="es-CO"/>
        </w:rPr>
        <w:t xml:space="preserve"> </w:t>
      </w:r>
    </w:p>
    <w:p w14:paraId="2FEC3E13" w14:textId="77777777" w:rsidR="00A1025E" w:rsidRPr="00667CD6" w:rsidRDefault="00A1025E" w:rsidP="00A1025E">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Sin embargo, el ámbito de aplicación de la restricción prevista en el parágrafo del artículo 38 de la Ley 996 de 2005 </w:t>
      </w:r>
      <w:r>
        <w:rPr>
          <w:rFonts w:ascii="Verdana" w:eastAsia="Times New Roman" w:hAnsi="Verdana" w:cs="Arial"/>
          <w:lang w:eastAsia="es-CO"/>
        </w:rPr>
        <w:t>comprende</w:t>
      </w:r>
      <w:r w:rsidRPr="00667CD6">
        <w:rPr>
          <w:rFonts w:ascii="Verdana" w:eastAsia="Times New Roman" w:hAnsi="Verdana" w:cs="Arial"/>
          <w:lang w:eastAsia="es-CO"/>
        </w:rPr>
        <w:t xml:space="preserve"> a los </w:t>
      </w:r>
      <w:r w:rsidRPr="00667CD6">
        <w:rPr>
          <w:rFonts w:ascii="Verdana" w:eastAsia="Times New Roman" w:hAnsi="Verdana" w:cs="Arial"/>
          <w:i/>
          <w:iCs/>
          <w:lang w:eastAsia="es-CO"/>
        </w:rPr>
        <w:t>convenios interadministrativos</w:t>
      </w:r>
      <w:r w:rsidRPr="00667CD6">
        <w:rPr>
          <w:rFonts w:ascii="Verdana" w:eastAsia="Times New Roman" w:hAnsi="Verdana" w:cs="Arial"/>
          <w:lang w:eastAsia="es-CO"/>
        </w:rPr>
        <w:t xml:space="preserve"> en los que </w:t>
      </w:r>
      <w:r>
        <w:rPr>
          <w:rFonts w:ascii="Verdana" w:eastAsia="Times New Roman" w:hAnsi="Verdana" w:cs="Arial"/>
          <w:lang w:eastAsia="es-CO"/>
        </w:rPr>
        <w:t>exista</w:t>
      </w:r>
      <w:r w:rsidRPr="00667CD6">
        <w:rPr>
          <w:rFonts w:ascii="Verdana" w:eastAsia="Times New Roman" w:hAnsi="Verdana" w:cs="Arial"/>
          <w:lang w:eastAsia="es-CO"/>
        </w:rPr>
        <w:t xml:space="preserve"> </w:t>
      </w:r>
      <w:r w:rsidRPr="00667CD6">
        <w:rPr>
          <w:rFonts w:ascii="Verdana" w:eastAsia="Times New Roman" w:hAnsi="Verdana" w:cs="Arial"/>
          <w:i/>
          <w:iCs/>
          <w:lang w:eastAsia="es-CO"/>
        </w:rPr>
        <w:t>ejecución de recursos públicos</w:t>
      </w:r>
      <w:r>
        <w:rPr>
          <w:rFonts w:ascii="Verdana" w:eastAsia="Times New Roman" w:hAnsi="Verdana" w:cs="Arial"/>
          <w:lang w:eastAsia="es-CO"/>
        </w:rPr>
        <w:t>, sin importar de que estos sean en dinero o en especie, ya que la norma no distingue</w:t>
      </w:r>
      <w:r w:rsidRPr="00667CD6">
        <w:rPr>
          <w:rFonts w:ascii="Verdana" w:eastAsia="Times New Roman" w:hAnsi="Verdana" w:cs="Arial"/>
          <w:lang w:eastAsia="es-CO"/>
        </w:rPr>
        <w:t xml:space="preserve">. </w:t>
      </w:r>
      <w:r w:rsidRPr="00C016C8">
        <w:rPr>
          <w:rFonts w:ascii="Verdana" w:eastAsia="Times New Roman" w:hAnsi="Verdana" w:cs="Arial"/>
          <w:lang w:val="es-ES" w:eastAsia="es-CO"/>
        </w:rPr>
        <w:t>Lo anterior conforme a la directriz interpretativa del artículo 31 del Código Civil, según la cual “Lo favorable u odioso de una disposición no se tomará en cuenta para ampliar o restringir su interpretación. La extensión que deba darse a toda ley se determinará por su genuino sentido, y según las reglas de interpretación precedentes”</w:t>
      </w:r>
      <w:r>
        <w:rPr>
          <w:rStyle w:val="Refdenotaalpie"/>
          <w:rFonts w:ascii="Verdana" w:hAnsi="Verdana" w:cs="Arial"/>
          <w:lang w:val="es-ES"/>
        </w:rPr>
        <w:footnoteReference w:id="31"/>
      </w:r>
      <w:r>
        <w:rPr>
          <w:rFonts w:ascii="Verdana" w:eastAsia="Times New Roman" w:hAnsi="Verdana" w:cs="Arial"/>
          <w:lang w:val="es-ES" w:eastAsia="es-CO"/>
        </w:rPr>
        <w:t>.</w:t>
      </w:r>
      <w:r w:rsidRPr="00667CD6">
        <w:rPr>
          <w:rFonts w:ascii="Verdana" w:eastAsia="Times New Roman" w:hAnsi="Verdana" w:cs="Arial"/>
          <w:lang w:eastAsia="es-CO"/>
        </w:rPr>
        <w:t xml:space="preserve"> </w:t>
      </w:r>
      <w:r>
        <w:rPr>
          <w:rFonts w:ascii="Verdana" w:eastAsia="Times New Roman" w:hAnsi="Verdana" w:cs="Arial"/>
          <w:lang w:eastAsia="es-CO"/>
        </w:rPr>
        <w:t xml:space="preserve">Por ello, en el Concepto </w:t>
      </w:r>
      <w:r w:rsidRPr="00C016C8">
        <w:rPr>
          <w:rFonts w:ascii="Verdana" w:eastAsia="Times New Roman" w:hAnsi="Verdana" w:cs="Arial"/>
          <w:lang w:eastAsia="es-CO"/>
        </w:rPr>
        <w:t>2201913000006634</w:t>
      </w:r>
      <w:r>
        <w:rPr>
          <w:rFonts w:ascii="Verdana" w:eastAsia="Times New Roman" w:hAnsi="Verdana" w:cs="Arial"/>
          <w:lang w:eastAsia="es-CO"/>
        </w:rPr>
        <w:t xml:space="preserve"> del 6 de septiembre </w:t>
      </w:r>
      <w:r>
        <w:rPr>
          <w:rFonts w:ascii="Verdana" w:eastAsia="Times New Roman" w:hAnsi="Verdana" w:cs="Arial"/>
          <w:lang w:eastAsia="es-CO"/>
        </w:rPr>
        <w:lastRenderedPageBreak/>
        <w:t xml:space="preserve">de 2019, la Agencia sostuvo que la ejecución de recursos no se agota en el “[…] </w:t>
      </w:r>
      <w:r w:rsidRPr="00C016C8">
        <w:rPr>
          <w:rFonts w:ascii="Verdana" w:eastAsia="Times New Roman" w:hAnsi="Verdana" w:cs="Arial"/>
          <w:lang w:eastAsia="es-CO"/>
        </w:rPr>
        <w:t>el dinero que integra el ciclo presupuestal de la entidad</w:t>
      </w:r>
      <w:r>
        <w:rPr>
          <w:rFonts w:ascii="Verdana" w:eastAsia="Times New Roman" w:hAnsi="Verdana" w:cs="Arial"/>
          <w:lang w:eastAsia="es-CO"/>
        </w:rPr>
        <w:t xml:space="preserve"> […]”, pues “[…] </w:t>
      </w:r>
      <w:r w:rsidRPr="00C016C8">
        <w:rPr>
          <w:rFonts w:ascii="Verdana" w:eastAsia="Times New Roman" w:hAnsi="Verdana" w:cs="Arial"/>
          <w:lang w:eastAsia="es-CO"/>
        </w:rPr>
        <w:t xml:space="preserve">también los bienes muebles, inmuebles y personal hacen parte del concepto de </w:t>
      </w:r>
      <w:r>
        <w:rPr>
          <w:rFonts w:ascii="Verdana" w:eastAsia="Times New Roman" w:hAnsi="Verdana" w:cs="Arial"/>
          <w:lang w:eastAsia="es-CO"/>
        </w:rPr>
        <w:t>‘</w:t>
      </w:r>
      <w:r w:rsidRPr="00C016C8">
        <w:rPr>
          <w:rFonts w:ascii="Verdana" w:eastAsia="Times New Roman" w:hAnsi="Verdana" w:cs="Arial"/>
          <w:lang w:eastAsia="es-CO"/>
        </w:rPr>
        <w:t>recursos públicos</w:t>
      </w:r>
      <w:r>
        <w:rPr>
          <w:rFonts w:ascii="Verdana" w:eastAsia="Times New Roman" w:hAnsi="Verdana" w:cs="Arial"/>
          <w:lang w:eastAsia="es-CO"/>
        </w:rPr>
        <w:t>’”.</w:t>
      </w:r>
    </w:p>
    <w:p w14:paraId="15162424" w14:textId="77777777" w:rsidR="00A1025E" w:rsidRPr="00667CD6" w:rsidRDefault="00A1025E" w:rsidP="00A1025E">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De esta manera, conforme a lo dispuesto en la Circular referida, si se suscriben </w:t>
      </w:r>
      <w:r w:rsidRPr="00667CD6">
        <w:rPr>
          <w:rFonts w:ascii="Verdana" w:eastAsia="Times New Roman" w:hAnsi="Verdana" w:cs="Arial"/>
          <w:i/>
          <w:iCs/>
          <w:lang w:eastAsia="es-CO"/>
        </w:rPr>
        <w:t>convenios interadministrativos para la ejecución de recursos públicos</w:t>
      </w:r>
      <w:r w:rsidRPr="00667CD6">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667CD6">
        <w:rPr>
          <w:rFonts w:ascii="Verdana" w:eastAsia="Times New Roman" w:hAnsi="Verdana" w:cs="Arial"/>
          <w:i/>
          <w:iCs/>
          <w:lang w:eastAsia="es-CO"/>
        </w:rPr>
        <w:t>ibidem</w:t>
      </w:r>
      <w:r w:rsidRPr="00667CD6">
        <w:rPr>
          <w:rFonts w:ascii="Verdana" w:eastAsia="Times New Roman" w:hAnsi="Verdana" w:cs="Arial"/>
          <w:lang w:eastAsia="es-CO"/>
        </w:rPr>
        <w:t>, independientemente de que se configure alguno de los supuestos de excepción que señaló el inciso final del artículo 33, es decir, que se trate de:</w:t>
      </w:r>
      <w:r w:rsidRPr="00667CD6">
        <w:rPr>
          <w:rFonts w:ascii="Verdana" w:hAnsi="Verdana" w:cs="Arial"/>
          <w:bCs/>
          <w:lang w:val="es-MX" w:eastAsia="x-none"/>
        </w:rPr>
        <w:t xml:space="preserve">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667CD6">
        <w:rPr>
          <w:rFonts w:ascii="Verdana" w:hAnsi="Verdana" w:cs="Arial"/>
          <w:bCs/>
          <w:lang w:val="es-MX" w:eastAsia="es-CO"/>
        </w:rPr>
        <w:t xml:space="preserve"> </w:t>
      </w:r>
      <w:r w:rsidRPr="00667CD6">
        <w:rPr>
          <w:rFonts w:ascii="Verdana" w:eastAsia="Times New Roman" w:hAnsi="Verdana" w:cs="Arial"/>
          <w:lang w:eastAsia="es-CO"/>
        </w:rPr>
        <w:t xml:space="preserve">  </w:t>
      </w:r>
    </w:p>
    <w:p w14:paraId="0D752643" w14:textId="77777777" w:rsidR="00A1025E" w:rsidRPr="00667CD6" w:rsidRDefault="00A1025E" w:rsidP="00A1025E">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En este punto, </w:t>
      </w:r>
      <w:r>
        <w:rPr>
          <w:rFonts w:ascii="Verdana" w:eastAsia="Times New Roman" w:hAnsi="Verdana" w:cs="Arial"/>
          <w:lang w:eastAsia="es-CO"/>
        </w:rPr>
        <w:t>teniendo en cuenta lo señalado en el contenido de su petición</w:t>
      </w:r>
      <w:r w:rsidRPr="00667CD6">
        <w:rPr>
          <w:rFonts w:ascii="Verdana" w:eastAsia="Times New Roman" w:hAnsi="Verdana" w:cs="Arial"/>
          <w:lang w:eastAsia="es-CO"/>
        </w:rPr>
        <w:t xml:space="preserve">, vale la pena destacar que </w:t>
      </w:r>
      <w:r w:rsidRPr="00667CD6">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667CD6">
        <w:rPr>
          <w:rFonts w:ascii="Verdana" w:hAnsi="Verdana" w:cs="Arial"/>
        </w:rPr>
        <w:t xml:space="preserve">numeral 16.2 de la Circular Externa Única de 2022 expedida por la Agencia Nacional de Contratación Pública </w:t>
      </w:r>
      <w:r>
        <w:rPr>
          <w:rFonts w:ascii="Verdana" w:hAnsi="Verdana" w:cs="Arial"/>
        </w:rPr>
        <w:t xml:space="preserve">– </w:t>
      </w:r>
      <w:r w:rsidRPr="00667CD6">
        <w:rPr>
          <w:rFonts w:ascii="Verdana" w:hAnsi="Verdana" w:cs="Arial"/>
        </w:rPr>
        <w:t>Colombia Compra Eficiente, concretamente, respecto de los siguientes apartes normativos</w:t>
      </w:r>
      <w:r w:rsidRPr="00667CD6">
        <w:rPr>
          <w:rFonts w:ascii="Verdana" w:hAnsi="Verdana" w:cs="Arial"/>
          <w:vertAlign w:val="superscript"/>
        </w:rPr>
        <w:footnoteReference w:id="32"/>
      </w:r>
      <w:r w:rsidRPr="00667CD6">
        <w:rPr>
          <w:rFonts w:ascii="Verdana" w:hAnsi="Verdana" w:cs="Arial"/>
        </w:rPr>
        <w:t xml:space="preserve">: </w:t>
      </w:r>
    </w:p>
    <w:p w14:paraId="6249A01F" w14:textId="77777777" w:rsidR="00A1025E" w:rsidRPr="00667CD6" w:rsidRDefault="00A1025E" w:rsidP="00A1025E">
      <w:pPr>
        <w:spacing w:after="0" w:line="276" w:lineRule="auto"/>
        <w:ind w:firstLine="709"/>
        <w:jc w:val="both"/>
        <w:rPr>
          <w:rFonts w:ascii="Verdana" w:hAnsi="Verdana" w:cs="Arial"/>
        </w:rPr>
      </w:pPr>
    </w:p>
    <w:p w14:paraId="3D909F8D" w14:textId="77777777" w:rsidR="00A1025E" w:rsidRPr="00667CD6" w:rsidRDefault="00A1025E" w:rsidP="00A1025E">
      <w:pPr>
        <w:spacing w:after="120" w:line="240" w:lineRule="auto"/>
        <w:ind w:left="709" w:right="709"/>
        <w:jc w:val="both"/>
        <w:rPr>
          <w:rFonts w:ascii="Verdana" w:hAnsi="Verdana" w:cs="Arial"/>
          <w:sz w:val="20"/>
          <w:szCs w:val="20"/>
        </w:rPr>
      </w:pPr>
      <w:r>
        <w:rPr>
          <w:rFonts w:ascii="Verdana" w:hAnsi="Verdana" w:cs="Arial"/>
          <w:sz w:val="20"/>
          <w:szCs w:val="20"/>
          <w:lang w:val="es-MX"/>
        </w:rPr>
        <w:lastRenderedPageBreak/>
        <w:t>“</w:t>
      </w:r>
      <w:r w:rsidRPr="00667CD6">
        <w:rPr>
          <w:rFonts w:ascii="Verdana" w:hAnsi="Verdana" w:cs="Arial"/>
          <w:sz w:val="20"/>
          <w:szCs w:val="20"/>
          <w:lang w:val="es-MX"/>
        </w:rPr>
        <w:t>i)</w:t>
      </w:r>
      <w:r w:rsidRPr="00667CD6">
        <w:rPr>
          <w:rFonts w:ascii="Verdana" w:hAnsi="Verdana" w:cs="Arial"/>
          <w:sz w:val="20"/>
          <w:szCs w:val="20"/>
        </w:rPr>
        <w:t xml:space="preserve"> el inciso segundo 2 que dispone: </w:t>
      </w:r>
      <w:r>
        <w:rPr>
          <w:rFonts w:ascii="Verdana" w:hAnsi="Verdana" w:cs="Arial"/>
          <w:sz w:val="20"/>
          <w:szCs w:val="20"/>
        </w:rPr>
        <w:t>‘</w:t>
      </w:r>
      <w:r w:rsidRPr="00667CD6">
        <w:rPr>
          <w:rFonts w:ascii="Verdana" w:hAnsi="Verdana" w:cs="Arial"/>
          <w:sz w:val="20"/>
          <w:szCs w:val="20"/>
        </w:rPr>
        <w:t>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Pr>
          <w:rFonts w:ascii="Verdana" w:hAnsi="Verdana" w:cs="Arial"/>
          <w:sz w:val="20"/>
          <w:szCs w:val="20"/>
        </w:rPr>
        <w:t>’</w:t>
      </w:r>
      <w:r w:rsidRPr="00667CD6">
        <w:rPr>
          <w:rFonts w:ascii="Verdana" w:hAnsi="Verdana" w:cs="Arial"/>
          <w:sz w:val="20"/>
          <w:szCs w:val="20"/>
        </w:rPr>
        <w:t xml:space="preserve"> y, </w:t>
      </w:r>
    </w:p>
    <w:p w14:paraId="7045B957" w14:textId="77777777" w:rsidR="00A1025E" w:rsidRPr="00667CD6" w:rsidRDefault="00A1025E" w:rsidP="00A1025E">
      <w:pPr>
        <w:spacing w:after="0" w:line="240" w:lineRule="auto"/>
        <w:ind w:left="709" w:right="709"/>
        <w:jc w:val="both"/>
        <w:rPr>
          <w:rFonts w:ascii="Verdana" w:hAnsi="Verdana" w:cs="Arial"/>
          <w:sz w:val="20"/>
          <w:szCs w:val="20"/>
        </w:rPr>
      </w:pPr>
      <w:r w:rsidRPr="00667CD6">
        <w:rPr>
          <w:rFonts w:ascii="Verdana" w:hAnsi="Verdana" w:cs="Arial"/>
          <w:sz w:val="20"/>
          <w:szCs w:val="20"/>
        </w:rPr>
        <w:t xml:space="preserve">ii) la expresión y el siguiente párrafo contenidos en el inciso cuarto </w:t>
      </w:r>
      <w:r>
        <w:rPr>
          <w:rFonts w:ascii="Verdana" w:hAnsi="Verdana" w:cs="Arial"/>
          <w:sz w:val="20"/>
          <w:szCs w:val="20"/>
        </w:rPr>
        <w:t>‘</w:t>
      </w:r>
      <w:r w:rsidRPr="00667CD6">
        <w:rPr>
          <w:rFonts w:ascii="Verdana" w:hAnsi="Verdana" w:cs="Arial"/>
          <w:sz w:val="20"/>
          <w:szCs w:val="20"/>
        </w:rPr>
        <w:t>contratos</w:t>
      </w:r>
      <w:r>
        <w:rPr>
          <w:rFonts w:ascii="Verdana" w:hAnsi="Verdana" w:cs="Arial"/>
          <w:sz w:val="20"/>
          <w:szCs w:val="20"/>
        </w:rPr>
        <w:t>’</w:t>
      </w:r>
      <w:r w:rsidRPr="00667CD6">
        <w:rPr>
          <w:rFonts w:ascii="Verdana" w:hAnsi="Verdana" w:cs="Arial"/>
          <w:sz w:val="20"/>
          <w:szCs w:val="20"/>
        </w:rPr>
        <w:t xml:space="preserve"> y </w:t>
      </w:r>
      <w:r>
        <w:rPr>
          <w:rFonts w:ascii="Verdana" w:hAnsi="Verdana" w:cs="Arial"/>
          <w:sz w:val="20"/>
          <w:szCs w:val="20"/>
        </w:rPr>
        <w:t>‘</w:t>
      </w:r>
      <w:r w:rsidRPr="00667CD6">
        <w:rPr>
          <w:rFonts w:ascii="Verdana" w:hAnsi="Verdana" w:cs="Arial"/>
          <w:sz w:val="20"/>
          <w:szCs w:val="20"/>
        </w:rPr>
        <w:t>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r>
        <w:rPr>
          <w:rFonts w:ascii="Verdana" w:hAnsi="Verdana" w:cs="Arial"/>
          <w:sz w:val="20"/>
          <w:szCs w:val="20"/>
        </w:rPr>
        <w:t>’”</w:t>
      </w:r>
      <w:r w:rsidRPr="00667CD6">
        <w:rPr>
          <w:rFonts w:ascii="Verdana" w:hAnsi="Verdana" w:cs="Arial"/>
          <w:sz w:val="20"/>
          <w:szCs w:val="20"/>
        </w:rPr>
        <w:t xml:space="preserve">. </w:t>
      </w:r>
    </w:p>
    <w:p w14:paraId="3DE425A2" w14:textId="77777777" w:rsidR="00A1025E" w:rsidRPr="00667CD6" w:rsidRDefault="00A1025E" w:rsidP="00A1025E">
      <w:pPr>
        <w:spacing w:after="0" w:line="276" w:lineRule="auto"/>
        <w:ind w:left="709" w:right="709"/>
        <w:jc w:val="both"/>
        <w:rPr>
          <w:rFonts w:ascii="Verdana" w:hAnsi="Verdana" w:cs="Arial"/>
        </w:rPr>
      </w:pPr>
    </w:p>
    <w:p w14:paraId="74848866" w14:textId="77777777" w:rsidR="00A1025E" w:rsidRPr="00667CD6" w:rsidRDefault="00A1025E" w:rsidP="00A1025E">
      <w:pPr>
        <w:spacing w:after="120" w:line="276" w:lineRule="auto"/>
        <w:ind w:firstLine="709"/>
        <w:jc w:val="both"/>
        <w:rPr>
          <w:rFonts w:ascii="Verdana" w:eastAsia="Arial" w:hAnsi="Verdana" w:cs="Arial"/>
          <w:i/>
          <w:iCs/>
          <w:lang w:eastAsia="es-ES" w:bidi="es-ES"/>
        </w:rPr>
      </w:pPr>
      <w:r w:rsidRPr="00667CD6">
        <w:rPr>
          <w:rFonts w:ascii="Verdana" w:eastAsia="Arial" w:hAnsi="Verdana" w:cs="Arial"/>
          <w:lang w:val="es-MX" w:eastAsia="es-ES" w:bidi="es-ES"/>
        </w:rPr>
        <w:t xml:space="preserve">De conformidad con los argumentos de dicha providencia, se parte de la distinción entre los conceptos </w:t>
      </w:r>
      <w:r w:rsidRPr="00667CD6">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667CD6">
        <w:rPr>
          <w:rFonts w:ascii="Verdana" w:hAnsi="Verdana"/>
          <w:sz w:val="24"/>
          <w:szCs w:val="24"/>
          <w:lang w:eastAsia="es-CO"/>
        </w:rPr>
        <w:t xml:space="preserve"> </w:t>
      </w:r>
      <w:r w:rsidRPr="00667CD6">
        <w:rPr>
          <w:rFonts w:ascii="Verdana" w:eastAsia="Arial" w:hAnsi="Verdana" w:cs="Arial"/>
          <w:lang w:eastAsia="es-ES" w:bidi="es-ES"/>
        </w:rPr>
        <w:t xml:space="preserve">En este sentido, en relación con el parágrafo del artículo 38 de la Ley 996 de 2005 concluyó que </w:t>
      </w:r>
      <w:r w:rsidRPr="00667CD6">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667CD6">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667CD6">
        <w:rPr>
          <w:rFonts w:ascii="Verdana" w:eastAsia="Arial" w:hAnsi="Verdana" w:cs="Arial"/>
          <w:i/>
          <w:iCs/>
          <w:lang w:eastAsia="es-ES" w:bidi="es-ES"/>
        </w:rPr>
        <w:t>“con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w:t>
      </w:r>
      <w:r>
        <w:rPr>
          <w:rFonts w:ascii="Verdana" w:eastAsia="Arial" w:hAnsi="Verdana" w:cs="Arial"/>
          <w:lang w:eastAsia="es-ES" w:bidi="es-ES"/>
        </w:rPr>
        <w:t>”</w:t>
      </w:r>
      <w:r w:rsidRPr="00667CD6">
        <w:rPr>
          <w:rFonts w:ascii="Verdana" w:eastAsia="Arial" w:hAnsi="Verdana" w:cs="Arial"/>
          <w:i/>
          <w:iCs/>
          <w:lang w:eastAsia="es-ES" w:bidi="es-ES"/>
        </w:rPr>
        <w:t xml:space="preserve">. </w:t>
      </w:r>
    </w:p>
    <w:p w14:paraId="1B719503" w14:textId="77777777" w:rsidR="00A1025E" w:rsidRPr="00667CD6" w:rsidRDefault="00A1025E" w:rsidP="00A1025E">
      <w:pPr>
        <w:spacing w:after="120" w:line="276" w:lineRule="auto"/>
        <w:ind w:firstLine="709"/>
        <w:jc w:val="both"/>
        <w:rPr>
          <w:rFonts w:ascii="Verdana" w:eastAsia="Arial" w:hAnsi="Verdana" w:cs="Arial"/>
          <w:lang w:eastAsia="es-ES" w:bidi="es-ES"/>
        </w:rPr>
      </w:pPr>
      <w:r w:rsidRPr="00667CD6">
        <w:rPr>
          <w:rFonts w:ascii="Verdana" w:eastAsia="Arial" w:hAnsi="Verdana" w:cs="Arial"/>
          <w:lang w:eastAsia="es-ES" w:bidi="es-ES"/>
        </w:rPr>
        <w:t>De igual manera, mediante auto del 6 de noviembre de 2025, el Consejo de Estado, Subsección A de la Sección Tercera, decretó</w:t>
      </w:r>
      <w:r w:rsidRPr="00667CD6">
        <w:rPr>
          <w:rFonts w:ascii="Verdana" w:eastAsia="Arial" w:hAnsi="Verdana" w:cs="Arial"/>
          <w:b/>
          <w:bCs/>
          <w:lang w:eastAsia="es-ES" w:bidi="es-ES"/>
        </w:rPr>
        <w:t xml:space="preserve"> </w:t>
      </w:r>
      <w:r w:rsidRPr="00667CD6">
        <w:rPr>
          <w:rFonts w:ascii="Verdana" w:eastAsia="Arial" w:hAnsi="Verdana" w:cs="Arial"/>
          <w:lang w:eastAsia="es-ES" w:bidi="es-ES"/>
        </w:rPr>
        <w:t xml:space="preserve">la suspensión provisional de los apartes cuestionados del inciso segundo y del inciso cuarto del numeral 16.2 de la Circular Externa Única, versión 3 del 27 de diciembre de 2023, expedida por la Agencia Nacional de Contratación Pública – Colombia Compra </w:t>
      </w:r>
      <w:r w:rsidRPr="00667CD6">
        <w:rPr>
          <w:rFonts w:ascii="Verdana" w:eastAsia="Arial" w:hAnsi="Verdana" w:cs="Arial"/>
          <w:lang w:eastAsia="es-ES" w:bidi="es-ES"/>
        </w:rPr>
        <w:lastRenderedPageBreak/>
        <w:t>Eficiente relacionados con los contratos interadministrativos</w:t>
      </w:r>
      <w:r w:rsidRPr="00667CD6">
        <w:rPr>
          <w:rFonts w:ascii="Verdana" w:eastAsia="Arial" w:hAnsi="Verdana" w:cs="Arial"/>
          <w:vertAlign w:val="superscript"/>
          <w:lang w:eastAsia="es-ES" w:bidi="es-ES"/>
        </w:rPr>
        <w:footnoteReference w:id="33"/>
      </w:r>
      <w:r w:rsidRPr="00667CD6">
        <w:rPr>
          <w:rFonts w:ascii="Verdana" w:eastAsia="Arial" w:hAnsi="Verdana" w:cs="Arial"/>
          <w:lang w:eastAsia="es-ES" w:bidi="es-ES"/>
        </w:rPr>
        <w:t xml:space="preserve">. Para tales efectos, el alto tribunal resaltó la interpretación restrictiva de las normas que contienen prohibiciones, como la del parágrafo del artículo 38 de la Ley 996 de 2005, por manera que se excluye la analogía legis o iuris y la interpretación extensiva y reiteró los argumentos sobre la diferencia entre contratos y convenios interadministrativos. </w:t>
      </w:r>
    </w:p>
    <w:p w14:paraId="6F6E538D" w14:textId="77777777" w:rsidR="00A1025E" w:rsidRDefault="00A1025E" w:rsidP="00A1025E">
      <w:pPr>
        <w:spacing w:after="120" w:line="276" w:lineRule="auto"/>
        <w:ind w:firstLine="709"/>
        <w:jc w:val="both"/>
        <w:rPr>
          <w:rFonts w:ascii="Verdana" w:eastAsia="Times New Roman" w:hAnsi="Verdana" w:cs="Times New Roman"/>
          <w:lang w:eastAsia="es-ES"/>
        </w:rPr>
      </w:pPr>
      <w:r w:rsidRPr="31E4E861">
        <w:rPr>
          <w:rFonts w:ascii="Verdana" w:eastAsia="Arial" w:hAnsi="Verdana" w:cs="Arial"/>
          <w:lang w:eastAsia="es-ES" w:bidi="es-ES"/>
        </w:rPr>
        <w:t>Finalmente, mediante sentencia del 17 de octubre de 2025, emitida por la S</w:t>
      </w:r>
      <w:r>
        <w:rPr>
          <w:rFonts w:ascii="Verdana" w:eastAsia="Arial" w:hAnsi="Verdana" w:cs="Arial"/>
          <w:lang w:eastAsia="es-ES" w:bidi="es-ES"/>
        </w:rPr>
        <w:t xml:space="preserve">ección Tercera del </w:t>
      </w:r>
      <w:r w:rsidRPr="31E4E861">
        <w:rPr>
          <w:rFonts w:ascii="Verdana" w:eastAsia="Arial" w:hAnsi="Verdana" w:cs="Arial"/>
          <w:lang w:eastAsia="es-ES" w:bidi="es-ES"/>
        </w:rPr>
        <w:t xml:space="preserve">Consejo de Estado, dentro del expediente </w:t>
      </w:r>
      <w:r w:rsidRPr="31E4E861">
        <w:rPr>
          <w:rFonts w:ascii="Verdana" w:eastAsia="Times New Roman" w:hAnsi="Verdana" w:cs="Times New Roman"/>
          <w:lang w:eastAsia="es-ES"/>
        </w:rPr>
        <w:t>11001-03-26-000-2023-00139-00, se declaró la nulidad parcial del numeral 16.2 de la Circular Externa Única de 2022 expedida por la Agencia Nacional de Contratación Pública - Colombia Compra Eficiente que indicaba: “Esta restricción es aplicable tanto a los convenios como a los</w:t>
      </w:r>
      <w:r>
        <w:rPr>
          <w:rFonts w:ascii="Verdana" w:eastAsia="Times New Roman" w:hAnsi="Verdana" w:cs="Times New Roman"/>
          <w:lang w:eastAsia="es-ES"/>
        </w:rPr>
        <w:t xml:space="preserve"> contratos interadministrativos […]</w:t>
      </w:r>
      <w:r w:rsidRPr="31E4E861">
        <w:rPr>
          <w:rFonts w:ascii="Verdana" w:eastAsia="Times New Roman" w:hAnsi="Verdana" w:cs="Times New Roman"/>
          <w:lang w:eastAsia="es-ES"/>
        </w:rPr>
        <w:t xml:space="preserve">”. </w:t>
      </w:r>
    </w:p>
    <w:p w14:paraId="768842A7" w14:textId="77777777" w:rsidR="00A1025E" w:rsidRDefault="00A1025E" w:rsidP="00A1025E">
      <w:pPr>
        <w:spacing w:after="120" w:line="276" w:lineRule="auto"/>
        <w:ind w:firstLine="709"/>
        <w:jc w:val="both"/>
        <w:rPr>
          <w:rFonts w:ascii="Verdana" w:eastAsia="Times New Roman" w:hAnsi="Verdana" w:cs="Times New Roman"/>
          <w:lang w:eastAsia="es-ES"/>
        </w:rPr>
      </w:pPr>
      <w:r w:rsidRPr="2035D652">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2035D652">
        <w:rPr>
          <w:rStyle w:val="Refdenotaalpie"/>
          <w:rFonts w:ascii="Verdana" w:eastAsia="Times New Roman" w:hAnsi="Verdana" w:cs="Times New Roman"/>
          <w:lang w:eastAsia="es-ES"/>
        </w:rPr>
        <w:footnoteReference w:id="34"/>
      </w:r>
      <w:r w:rsidRPr="2035D652">
        <w:rPr>
          <w:rFonts w:ascii="Verdana" w:eastAsia="Times New Roman" w:hAnsi="Verdana" w:cs="Times New Roman"/>
          <w:lang w:eastAsia="es-ES"/>
        </w:rPr>
        <w:t xml:space="preserve">. Sobre el </w:t>
      </w:r>
      <w:r w:rsidRPr="2035D652">
        <w:rPr>
          <w:rFonts w:ascii="Verdana" w:eastAsia="Times New Roman" w:hAnsi="Verdana" w:cs="Times New Roman"/>
          <w:lang w:eastAsia="es-ES"/>
        </w:rPr>
        <w:lastRenderedPageBreak/>
        <w:t xml:space="preserve">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6471F960" w14:textId="77777777" w:rsidR="00A1025E" w:rsidRDefault="00A1025E" w:rsidP="00A1025E">
      <w:pPr>
        <w:spacing w:after="120" w:line="276" w:lineRule="auto"/>
        <w:ind w:firstLine="709"/>
        <w:jc w:val="both"/>
        <w:rPr>
          <w:rFonts w:ascii="Verdana" w:eastAsia="Times New Roman" w:hAnsi="Verdana" w:cs="Arial"/>
          <w:lang w:eastAsia="es-CO"/>
        </w:rPr>
      </w:pPr>
      <w:r w:rsidRPr="2035D652">
        <w:rPr>
          <w:rFonts w:ascii="Verdana" w:eastAsia="Times New Roman" w:hAnsi="Verdana" w:cs="Times New Roman"/>
          <w:lang w:eastAsia="es-ES"/>
        </w:rPr>
        <w:t xml:space="preserve">A juicio de la Sala, aunque el propósito de la Circular Externa era legítimo </w:t>
      </w:r>
      <w:r>
        <w:rPr>
          <w:rFonts w:ascii="Verdana" w:eastAsia="Times New Roman" w:hAnsi="Verdana" w:cs="Times New Roman"/>
          <w:lang w:eastAsia="es-ES"/>
        </w:rPr>
        <w:t>–</w:t>
      </w:r>
      <w:r w:rsidRPr="2035D652">
        <w:rPr>
          <w:rFonts w:ascii="Verdana" w:eastAsia="Times New Roman" w:hAnsi="Verdana" w:cs="Times New Roman"/>
          <w:lang w:eastAsia="es-ES"/>
        </w:rPr>
        <w:t>evitar el uso indebido de recursos en época electoral</w:t>
      </w:r>
      <w:r>
        <w:rPr>
          <w:rFonts w:ascii="Verdana" w:eastAsia="Times New Roman" w:hAnsi="Verdana" w:cs="Times New Roman"/>
          <w:lang w:eastAsia="es-ES"/>
        </w:rPr>
        <w:t>–</w:t>
      </w:r>
      <w:r w:rsidRPr="2035D652">
        <w:rPr>
          <w:rFonts w:ascii="Verdana" w:eastAsia="Times New Roman" w:hAnsi="Verdana" w:cs="Times New Roman"/>
          <w:lang w:eastAsia="es-ES"/>
        </w:rPr>
        <w:t>, el numeral 16.2. desconoció el alcance literal del artículo 38 de la Ley 996 de 2005 y los límites de la potestad reglamentaria, lo que configuró un vicio de contenido.</w:t>
      </w:r>
      <w:r>
        <w:rPr>
          <w:rFonts w:ascii="Verdana" w:eastAsia="Times New Roman" w:hAnsi="Verdana" w:cs="Times New Roman"/>
          <w:lang w:eastAsia="es-ES"/>
        </w:rPr>
        <w:t xml:space="preserve"> </w:t>
      </w:r>
      <w:r w:rsidRPr="00667CD6">
        <w:rPr>
          <w:rFonts w:ascii="Verdana" w:eastAsia="Times New Roman" w:hAnsi="Verdana" w:cs="Arial"/>
          <w:lang w:eastAsia="es-CO"/>
        </w:rPr>
        <w:t>Así las cosas, a la luz de lo expuesto por el Consejo de Estado</w:t>
      </w:r>
      <w:r>
        <w:rPr>
          <w:rFonts w:ascii="Verdana" w:eastAsia="Times New Roman" w:hAnsi="Verdana" w:cs="Arial"/>
          <w:lang w:eastAsia="es-CO"/>
        </w:rPr>
        <w:t xml:space="preserve">, </w:t>
      </w:r>
      <w:r w:rsidRPr="2035D652">
        <w:rPr>
          <w:rFonts w:ascii="Verdana" w:eastAsia="Times New Roman" w:hAnsi="Verdana" w:cs="Arial"/>
          <w:lang w:eastAsia="es-CO"/>
        </w:rPr>
        <w:t>en la sentencia expedida por la Sección Tercera de la Sala de lo Contencioso Administrativo del 17 de octubre de 2025</w:t>
      </w:r>
      <w:r>
        <w:rPr>
          <w:rFonts w:ascii="Verdana" w:eastAsia="Times New Roman" w:hAnsi="Verdana" w:cs="Arial"/>
          <w:lang w:eastAsia="es-CO"/>
        </w:rPr>
        <w:t>,</w:t>
      </w:r>
      <w:r w:rsidRPr="00667CD6">
        <w:rPr>
          <w:rFonts w:ascii="Verdana" w:eastAsia="Times New Roman" w:hAnsi="Verdana" w:cs="Arial"/>
          <w:lang w:eastAsia="es-CO"/>
        </w:rPr>
        <w:t xml:space="preserve"> en los autos del 4 de octubre de 2024 y 6 de noviembre de 2025, no resultaría aplicable la prohibición del parágrafo del artículo 38 de la Ley de Garantías Electorales a los </w:t>
      </w:r>
      <w:r w:rsidRPr="00667CD6">
        <w:rPr>
          <w:rFonts w:ascii="Verdana" w:eastAsia="Times New Roman" w:hAnsi="Verdana" w:cs="Arial"/>
          <w:i/>
          <w:iCs/>
          <w:lang w:eastAsia="es-CO"/>
        </w:rPr>
        <w:t>contratos interadministrativos</w:t>
      </w:r>
      <w:r>
        <w:rPr>
          <w:rFonts w:ascii="Verdana" w:eastAsia="Times New Roman" w:hAnsi="Verdana" w:cs="Arial"/>
          <w:lang w:eastAsia="es-CO"/>
        </w:rPr>
        <w:t>, esta prohibición solo aplicaría a los convenios interadministrativos que impliquen la ejecución de recursos públicos</w:t>
      </w:r>
      <w:r>
        <w:rPr>
          <w:rStyle w:val="Refdenotaalpie"/>
          <w:rFonts w:ascii="Verdana" w:eastAsia="Times New Roman" w:hAnsi="Verdana" w:cs="Arial"/>
          <w:lang w:eastAsia="es-CO"/>
        </w:rPr>
        <w:footnoteReference w:id="35"/>
      </w:r>
      <w:r>
        <w:rPr>
          <w:rFonts w:ascii="Verdana" w:eastAsia="Times New Roman" w:hAnsi="Verdana" w:cs="Arial"/>
          <w:lang w:eastAsia="es-CO"/>
        </w:rPr>
        <w:t>. C</w:t>
      </w:r>
      <w:r w:rsidRPr="00667CD6">
        <w:rPr>
          <w:rFonts w:ascii="Verdana" w:eastAsia="Times New Roman" w:hAnsi="Verdana" w:cs="Arial"/>
          <w:lang w:eastAsia="es-CO"/>
        </w:rPr>
        <w:t xml:space="preserve">onforme a lo señalado por el Consejo de Estado, cuando dos entidades públicas celebren un </w:t>
      </w:r>
      <w:r w:rsidRPr="00667CD6">
        <w:rPr>
          <w:rFonts w:ascii="Verdana" w:eastAsia="Times New Roman" w:hAnsi="Verdana" w:cs="Arial"/>
          <w:i/>
          <w:iCs/>
          <w:lang w:eastAsia="es-CO"/>
        </w:rPr>
        <w:t>contrato interadministrativo,</w:t>
      </w:r>
      <w:r w:rsidRPr="00667CD6">
        <w:rPr>
          <w:rFonts w:ascii="Verdana" w:eastAsia="Times New Roman" w:hAnsi="Verdana" w:cs="Arial"/>
          <w:lang w:eastAsia="es-CO"/>
        </w:rPr>
        <w:t xml:space="preserve"> independientemente del objeto, dicho contrato puede suscribirse durante el periodo preelectoral.</w:t>
      </w:r>
    </w:p>
    <w:p w14:paraId="0378C9B2" w14:textId="77777777" w:rsidR="00A1025E" w:rsidRDefault="00A1025E" w:rsidP="00A1025E">
      <w:pPr>
        <w:spacing w:after="120" w:line="276" w:lineRule="auto"/>
        <w:ind w:firstLine="708"/>
        <w:jc w:val="both"/>
        <w:rPr>
          <w:rFonts w:ascii="Verdana" w:eastAsia="Times New Roman" w:hAnsi="Verdana" w:cs="Arial"/>
          <w:lang w:eastAsia="es-CO"/>
        </w:rPr>
      </w:pPr>
      <w:r>
        <w:rPr>
          <w:rFonts w:ascii="Verdana" w:eastAsia="Times New Roman" w:hAnsi="Verdana" w:cs="Arial"/>
          <w:lang w:eastAsia="es-CO"/>
        </w:rPr>
        <w:t>En este aspecto, se encuentra que la restricción para la celebración de convenios interadministrativos para la ejecución de recursos públicos no puede aludirse a contratantes o contratistas, sino de partes cooperantes o colaboradoras. Así mismo, aplica para cualquier tipo de elección, lo que implica que la restricción del parágrafo del artículo 38</w:t>
      </w:r>
      <w:r>
        <w:rPr>
          <w:rFonts w:ascii="Verdana" w:eastAsia="Times New Roman" w:hAnsi="Verdana" w:cs="Arial"/>
          <w:bCs/>
          <w:lang w:val="es-MX" w:eastAsia="x-none"/>
        </w:rPr>
        <w:t xml:space="preserve"> aplica desde el 8 de noviembre de 2025, teniendo en cuenta que la Resolución 02580 del 5 de marzo de 2025 de la Registraduría Nacional del Estado Civil dispuso que las elecciones de senado y cámara se celebrarán el 8 de marzo de 2026. Esta restricción se extiende a las elecciones presidenciales que se celebrarán el 31 de mayo de 2026, así como una posible segunda vuelta tres semanas después, es decir, el 21 de junio de 2026. </w:t>
      </w:r>
    </w:p>
    <w:p w14:paraId="4BDE61C5" w14:textId="77777777" w:rsidR="00A1025E" w:rsidRPr="00B13882" w:rsidRDefault="00A1025E" w:rsidP="00A1025E">
      <w:pPr>
        <w:spacing w:after="12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lastRenderedPageBreak/>
        <w:t xml:space="preserve"> </w:t>
      </w:r>
      <w:r w:rsidRPr="605533EB">
        <w:rPr>
          <w:rFonts w:ascii="Verdana" w:eastAsia="Times New Roman" w:hAnsi="Verdana" w:cs="Arial"/>
          <w:lang w:eastAsia="es-CO"/>
        </w:rPr>
        <w:t xml:space="preserve">No </w:t>
      </w:r>
      <w:r>
        <w:rPr>
          <w:rFonts w:ascii="Verdana" w:eastAsia="Times New Roman" w:hAnsi="Verdana" w:cs="Arial"/>
          <w:lang w:eastAsia="es-CO"/>
        </w:rPr>
        <w:t>obstante</w:t>
      </w:r>
      <w:r w:rsidRPr="605533EB">
        <w:rPr>
          <w:rFonts w:ascii="Verdana" w:eastAsia="Times New Roman" w:hAnsi="Verdana" w:cs="Arial"/>
          <w:lang w:eastAsia="es-CO"/>
        </w:rPr>
        <w:t xml:space="preserve">, es importante mencionar que aún se encuentra por definir la demanda </w:t>
      </w:r>
      <w:r w:rsidRPr="605533EB">
        <w:rPr>
          <w:rFonts w:ascii="Verdana" w:eastAsia="Calibri" w:hAnsi="Verdana" w:cs="Arial"/>
          <w:lang w:val="es-ES" w:eastAsia="es-ES"/>
        </w:rPr>
        <w:t xml:space="preserve">de nulidad simple, identificada con el Radicado número 11001-03-26-000-2025-00016-00, en la cual se cuestiona </w:t>
      </w:r>
      <w:r w:rsidRPr="605533EB">
        <w:rPr>
          <w:rFonts w:ascii="Verdana" w:eastAsia="Calibri" w:hAnsi="Verdana" w:cs="Arial"/>
          <w:lang w:eastAsia="es-ES"/>
        </w:rPr>
        <w:t>parcialmente el numeral 16.2 de la Circular Externa Única CCE-EICP-MA-06, Versión 03 del 27 de diciembre de 2023.</w:t>
      </w:r>
      <w:r w:rsidRPr="605533EB">
        <w:rPr>
          <w:rFonts w:ascii="Verdana" w:eastAsia="Calibri" w:hAnsi="Verdana" w:cs="Arial"/>
          <w:lang w:val="es-ES" w:eastAsia="es-ES"/>
        </w:rPr>
        <w:t xml:space="preserve"> </w:t>
      </w:r>
      <w:r w:rsidRPr="00667CD6">
        <w:rPr>
          <w:rFonts w:ascii="Verdana" w:eastAsia="Arial" w:hAnsi="Verdana" w:cs="Arial"/>
          <w:bCs/>
          <w:color w:val="000000" w:themeColor="text1"/>
        </w:rPr>
        <w:t xml:space="preserve">En todo caso, vale anotar que es responsabilidad del respectivo ente del Estado examinar en cada caso la naturaleza de las actividades que adelanta y justificar si las mismas se enmarcan en alguna de las excepciones, de manera que pueda realizar la contratación directa durante el periodo de la prohibición. Igualmente, le corresponde a cada entidad </w:t>
      </w:r>
      <w:r w:rsidRPr="00667CD6">
        <w:rPr>
          <w:rFonts w:ascii="Verdana" w:eastAsia="Arial" w:hAnsi="Verdana" w:cs="Arial"/>
          <w:color w:val="000000" w:themeColor="text1"/>
        </w:rPr>
        <w:t>establecer si el instrumento jurídico que se pretende suscribir tiene la naturaleza de contrato o de convenio interadministrativo para la ejecución de recursos públicos. En este último supuesto, resulta aplicable la prohibición contenida en el parágrafo del artículo 38 de la Ley de Garantías Electorales, conforme se explicó.</w:t>
      </w:r>
    </w:p>
    <w:p w14:paraId="2D598D92" w14:textId="77777777" w:rsidR="00A1025E" w:rsidRPr="00C958D1" w:rsidRDefault="00A1025E" w:rsidP="00A1025E">
      <w:pPr>
        <w:pStyle w:val="NormalWeb"/>
        <w:spacing w:before="0" w:beforeAutospacing="0" w:after="0" w:afterAutospacing="0" w:line="276" w:lineRule="auto"/>
        <w:jc w:val="both"/>
        <w:rPr>
          <w:rFonts w:ascii="Verdana" w:hAnsi="Verdana" w:cs="Arial"/>
          <w:color w:val="000000"/>
          <w:sz w:val="22"/>
          <w:szCs w:val="22"/>
        </w:rPr>
      </w:pPr>
    </w:p>
    <w:p w14:paraId="5F98ED0F" w14:textId="77777777" w:rsidR="00A1025E" w:rsidRDefault="00A1025E" w:rsidP="00A1025E">
      <w:pPr>
        <w:pStyle w:val="paragraph"/>
        <w:shd w:val="clear" w:color="auto" w:fill="FFFFFF"/>
        <w:spacing w:before="0" w:beforeAutospacing="0" w:after="120" w:afterAutospacing="0" w:line="276" w:lineRule="auto"/>
        <w:jc w:val="both"/>
        <w:textAlignment w:val="baseline"/>
        <w:rPr>
          <w:rFonts w:ascii="Verdana" w:eastAsia="Calibri" w:hAnsi="Verdana" w:cs="Arial"/>
          <w:bCs/>
          <w:color w:val="000000" w:themeColor="text1"/>
          <w:sz w:val="22"/>
          <w:szCs w:val="22"/>
        </w:rPr>
      </w:pPr>
      <w:r>
        <w:rPr>
          <w:rFonts w:ascii="Verdana" w:eastAsia="Calibri" w:hAnsi="Verdana" w:cs="Arial"/>
          <w:bCs/>
          <w:color w:val="000000" w:themeColor="text1"/>
          <w:sz w:val="22"/>
          <w:szCs w:val="22"/>
        </w:rPr>
        <w:t xml:space="preserve">v. </w:t>
      </w:r>
      <w:r w:rsidRPr="00DF3F1B">
        <w:rPr>
          <w:rFonts w:ascii="Verdana" w:eastAsia="Calibri" w:hAnsi="Verdana" w:cs="Arial"/>
          <w:bCs/>
          <w:color w:val="000000" w:themeColor="text1"/>
          <w:sz w:val="22"/>
          <w:szCs w:val="22"/>
        </w:rPr>
        <w:t xml:space="preserve">En relación con las restricciones previstas en la Ley de Garantías Electorales, resulta necesario precisar su alcance respecto de determinadas actuaciones institucionales, particularmente: </w:t>
      </w:r>
      <w:r>
        <w:rPr>
          <w:rFonts w:ascii="Verdana" w:eastAsia="Calibri" w:hAnsi="Verdana" w:cs="Arial"/>
          <w:bCs/>
          <w:color w:val="000000" w:themeColor="text1"/>
          <w:sz w:val="22"/>
          <w:szCs w:val="22"/>
        </w:rPr>
        <w:t>a</w:t>
      </w:r>
      <w:r w:rsidRPr="00DF3F1B">
        <w:rPr>
          <w:rFonts w:ascii="Verdana" w:eastAsia="Calibri" w:hAnsi="Verdana" w:cs="Arial"/>
          <w:bCs/>
          <w:color w:val="000000" w:themeColor="text1"/>
          <w:sz w:val="22"/>
          <w:szCs w:val="22"/>
        </w:rPr>
        <w:t>) las transferencias de recursos efectuadas mediante acto administrativo de asignación —incluidas aquellas asociadas a proyectos de inversión registrados en la MGA o financiados con recursos del PIC— y</w:t>
      </w:r>
      <w:r>
        <w:rPr>
          <w:rFonts w:ascii="Verdana" w:eastAsia="Calibri" w:hAnsi="Verdana" w:cs="Arial"/>
          <w:bCs/>
          <w:color w:val="000000" w:themeColor="text1"/>
          <w:sz w:val="22"/>
          <w:szCs w:val="22"/>
        </w:rPr>
        <w:t xml:space="preserve"> b</w:t>
      </w:r>
      <w:r w:rsidRPr="00DF3F1B">
        <w:rPr>
          <w:rFonts w:ascii="Verdana" w:eastAsia="Calibri" w:hAnsi="Verdana" w:cs="Arial"/>
          <w:bCs/>
          <w:color w:val="000000" w:themeColor="text1"/>
          <w:sz w:val="22"/>
          <w:szCs w:val="22"/>
        </w:rPr>
        <w:t xml:space="preserve">) la procedencia de la contratación directa con las ESE o con las Uniones Temporales conformadas por ESE para la ejecución del </w:t>
      </w:r>
      <w:r w:rsidRPr="008C5A84">
        <w:rPr>
          <w:rFonts w:ascii="Verdana" w:eastAsia="Calibri" w:hAnsi="Verdana" w:cs="Arial"/>
          <w:bCs/>
          <w:color w:val="000000" w:themeColor="text1"/>
          <w:sz w:val="22"/>
          <w:szCs w:val="22"/>
        </w:rPr>
        <w:t>Plan de Salud Pública de Intervenciones Colectivas -PIC-</w:t>
      </w:r>
      <w:r w:rsidRPr="00DF3F1B">
        <w:rPr>
          <w:rFonts w:ascii="Verdana" w:eastAsia="Calibri" w:hAnsi="Verdana" w:cs="Arial"/>
          <w:bCs/>
          <w:color w:val="000000" w:themeColor="text1"/>
          <w:sz w:val="22"/>
          <w:szCs w:val="22"/>
        </w:rPr>
        <w:t xml:space="preserve">. </w:t>
      </w:r>
    </w:p>
    <w:p w14:paraId="08CB3C2F" w14:textId="77777777" w:rsidR="00A1025E" w:rsidRDefault="00A1025E" w:rsidP="00A1025E">
      <w:pPr>
        <w:pStyle w:val="paragraph"/>
        <w:shd w:val="clear" w:color="auto" w:fill="FFFFFF"/>
        <w:spacing w:before="0" w:beforeAutospacing="0" w:after="120" w:afterAutospacing="0" w:line="276" w:lineRule="auto"/>
        <w:jc w:val="both"/>
        <w:textAlignment w:val="baseline"/>
        <w:rPr>
          <w:rFonts w:ascii="Verdana" w:eastAsia="Calibri" w:hAnsi="Verdana" w:cs="Arial"/>
          <w:bCs/>
          <w:color w:val="000000" w:themeColor="text1"/>
          <w:sz w:val="22"/>
          <w:szCs w:val="22"/>
        </w:rPr>
      </w:pPr>
      <w:r>
        <w:rPr>
          <w:rFonts w:ascii="Verdana" w:eastAsia="Calibri" w:hAnsi="Verdana" w:cs="Arial"/>
          <w:bCs/>
          <w:color w:val="000000" w:themeColor="text1"/>
          <w:sz w:val="22"/>
          <w:szCs w:val="22"/>
        </w:rPr>
        <w:tab/>
        <w:t xml:space="preserve">a) Toda </w:t>
      </w:r>
      <w:r w:rsidRPr="0024692A">
        <w:rPr>
          <w:rFonts w:ascii="Verdana" w:eastAsia="Calibri" w:hAnsi="Verdana" w:cs="Arial"/>
          <w:bCs/>
          <w:color w:val="000000" w:themeColor="text1"/>
          <w:sz w:val="22"/>
          <w:szCs w:val="22"/>
        </w:rPr>
        <w:t>transferencia de recursos efectuadas mediante acto administrativo de asignación —como las resoluciones que distribuyen recursos provenientes de proyectos de inversión registrados en la MGA o del Plan de Intervenciones Colectivas (PIC)</w:t>
      </w:r>
      <w:r>
        <w:rPr>
          <w:rFonts w:ascii="Verdana" w:eastAsia="Calibri" w:hAnsi="Verdana" w:cs="Arial"/>
          <w:bCs/>
          <w:color w:val="000000" w:themeColor="text1"/>
          <w:sz w:val="22"/>
          <w:szCs w:val="22"/>
        </w:rPr>
        <w:t xml:space="preserve"> o de cualquier otro emolumento</w:t>
      </w:r>
      <w:r w:rsidRPr="0024692A">
        <w:rPr>
          <w:rFonts w:ascii="Verdana" w:eastAsia="Calibri" w:hAnsi="Verdana" w:cs="Arial"/>
          <w:bCs/>
          <w:color w:val="000000" w:themeColor="text1"/>
          <w:sz w:val="22"/>
          <w:szCs w:val="22"/>
        </w:rPr>
        <w:t xml:space="preserve">— no configuran convenios ni contratos interadministrativos. </w:t>
      </w:r>
      <w:r>
        <w:rPr>
          <w:rFonts w:ascii="Verdana" w:eastAsia="Calibri" w:hAnsi="Verdana" w:cs="Arial"/>
          <w:bCs/>
          <w:color w:val="000000" w:themeColor="text1"/>
          <w:sz w:val="22"/>
          <w:szCs w:val="22"/>
        </w:rPr>
        <w:t xml:space="preserve">Para entender un poco más, se el artículo </w:t>
      </w:r>
      <w:r w:rsidRPr="00826EE8">
        <w:rPr>
          <w:rFonts w:ascii="Verdana" w:eastAsia="Calibri" w:hAnsi="Verdana" w:cs="Arial"/>
          <w:bCs/>
          <w:color w:val="000000" w:themeColor="text1"/>
          <w:sz w:val="22"/>
          <w:szCs w:val="22"/>
        </w:rPr>
        <w:t xml:space="preserve">2.2.6.2.1. </w:t>
      </w:r>
      <w:r>
        <w:rPr>
          <w:rFonts w:ascii="Verdana" w:eastAsia="Calibri" w:hAnsi="Verdana" w:cs="Arial"/>
          <w:bCs/>
          <w:color w:val="000000" w:themeColor="text1"/>
          <w:sz w:val="22"/>
          <w:szCs w:val="22"/>
        </w:rPr>
        <w:t>del Decreto 1082 de 2015</w:t>
      </w:r>
      <w:r>
        <w:rPr>
          <w:rStyle w:val="Refdenotaalpie"/>
          <w:rFonts w:ascii="Verdana" w:eastAsia="Calibri" w:hAnsi="Verdana" w:cs="Arial"/>
          <w:bCs/>
          <w:color w:val="000000" w:themeColor="text1"/>
          <w:sz w:val="22"/>
          <w:szCs w:val="22"/>
        </w:rPr>
        <w:footnoteReference w:id="36"/>
      </w:r>
      <w:r>
        <w:rPr>
          <w:rFonts w:ascii="Verdana" w:eastAsia="Calibri" w:hAnsi="Verdana" w:cs="Arial"/>
          <w:bCs/>
          <w:color w:val="000000" w:themeColor="text1"/>
          <w:sz w:val="22"/>
          <w:szCs w:val="22"/>
        </w:rPr>
        <w:t xml:space="preserve"> señala que los </w:t>
      </w:r>
      <w:r w:rsidRPr="00826EE8">
        <w:rPr>
          <w:rFonts w:ascii="Verdana" w:eastAsia="Calibri" w:hAnsi="Verdana" w:cs="Arial"/>
          <w:bCs/>
          <w:color w:val="000000" w:themeColor="text1"/>
          <w:sz w:val="22"/>
          <w:szCs w:val="22"/>
        </w:rPr>
        <w:t xml:space="preserve">proyectos de </w:t>
      </w:r>
      <w:r w:rsidRPr="00826EE8">
        <w:rPr>
          <w:rFonts w:ascii="Verdana" w:eastAsia="Calibri" w:hAnsi="Verdana" w:cs="Arial"/>
          <w:bCs/>
          <w:color w:val="000000" w:themeColor="text1"/>
          <w:sz w:val="22"/>
          <w:szCs w:val="22"/>
        </w:rPr>
        <w:lastRenderedPageBreak/>
        <w:t>inversión pública son iniciativas temporales que emplean recursos del Estado para crear, ampliar, mejorar o recuperar la capacidad de producción o de provisión de bienes y servicios públicos. Su clasificación depende de los lineamientos del Departamento Nacional de Planeación, que también determina los requisitos metodológicos que deben cumplir en cada fase: formulación, evaluación previa, registro, programación, ejecución, seguimiento y evaluación posterior.</w:t>
      </w:r>
      <w:r>
        <w:rPr>
          <w:rFonts w:ascii="Verdana" w:eastAsia="Calibri" w:hAnsi="Verdana" w:cs="Arial"/>
          <w:bCs/>
          <w:color w:val="000000" w:themeColor="text1"/>
          <w:sz w:val="22"/>
          <w:szCs w:val="22"/>
        </w:rPr>
        <w:t xml:space="preserve"> Así mismo, el artículo </w:t>
      </w:r>
      <w:r w:rsidRPr="00D13C5D">
        <w:rPr>
          <w:rFonts w:ascii="Verdana" w:eastAsia="Calibri" w:hAnsi="Verdana" w:cs="Arial"/>
          <w:bCs/>
          <w:color w:val="000000" w:themeColor="text1"/>
          <w:sz w:val="22"/>
          <w:szCs w:val="22"/>
        </w:rPr>
        <w:t>2.2.6.2.2</w:t>
      </w:r>
      <w:r>
        <w:rPr>
          <w:rFonts w:ascii="Verdana" w:eastAsia="Calibri" w:hAnsi="Verdana" w:cs="Arial"/>
          <w:bCs/>
          <w:color w:val="000000" w:themeColor="text1"/>
          <w:sz w:val="22"/>
          <w:szCs w:val="22"/>
        </w:rPr>
        <w:t xml:space="preserve"> del Decreto 1082 de 2015</w:t>
      </w:r>
      <w:r>
        <w:rPr>
          <w:rStyle w:val="Refdenotaalpie"/>
          <w:rFonts w:ascii="Verdana" w:eastAsia="Calibri" w:hAnsi="Verdana" w:cs="Arial"/>
          <w:bCs/>
          <w:color w:val="000000" w:themeColor="text1"/>
          <w:sz w:val="22"/>
          <w:szCs w:val="22"/>
        </w:rPr>
        <w:footnoteReference w:id="37"/>
      </w:r>
      <w:r>
        <w:rPr>
          <w:rFonts w:ascii="Verdana" w:eastAsia="Calibri" w:hAnsi="Verdana" w:cs="Arial"/>
          <w:bCs/>
          <w:color w:val="000000" w:themeColor="text1"/>
          <w:sz w:val="22"/>
          <w:szCs w:val="22"/>
        </w:rPr>
        <w:t xml:space="preserve"> dispone que el </w:t>
      </w:r>
      <w:r w:rsidRPr="00826EE8">
        <w:rPr>
          <w:rFonts w:ascii="Verdana" w:eastAsia="Calibri" w:hAnsi="Verdana" w:cs="Arial"/>
          <w:bCs/>
          <w:color w:val="000000" w:themeColor="text1"/>
          <w:sz w:val="22"/>
          <w:szCs w:val="22"/>
        </w:rPr>
        <w:t xml:space="preserve">ciclo de los proyectos de inversión pública inicia con su formulación y finaliza cuando cumplen sus objetivos, cuando la entidad ejecutora determina su conveniencia o cuando se cancela su registro. Este ciclo abarca todas las operaciones relacionadas con su gestión, conforme a las normas orgánicas de planeación y presupuesto. Además, toda la información generada durante el ciclo debe quedar registrada en el Sistema Unificado de Inversión Pública, garantizando trazabilidad y control institucional. </w:t>
      </w:r>
    </w:p>
    <w:p w14:paraId="77D0817B" w14:textId="77777777" w:rsidR="00A1025E" w:rsidRDefault="00A1025E" w:rsidP="00A1025E">
      <w:pPr>
        <w:pStyle w:val="paragraph"/>
        <w:shd w:val="clear" w:color="auto" w:fill="FFFFFF"/>
        <w:spacing w:before="0" w:beforeAutospacing="0" w:after="120" w:afterAutospacing="0" w:line="276" w:lineRule="auto"/>
        <w:jc w:val="both"/>
        <w:textAlignment w:val="baseline"/>
        <w:rPr>
          <w:rFonts w:ascii="Verdana" w:eastAsia="Calibri" w:hAnsi="Verdana" w:cs="Arial"/>
          <w:bCs/>
          <w:color w:val="000000" w:themeColor="text1"/>
          <w:sz w:val="22"/>
          <w:szCs w:val="22"/>
        </w:rPr>
      </w:pPr>
      <w:r>
        <w:rPr>
          <w:rFonts w:ascii="Verdana" w:eastAsia="Calibri" w:hAnsi="Verdana" w:cs="Arial"/>
          <w:bCs/>
          <w:color w:val="000000" w:themeColor="text1"/>
          <w:sz w:val="22"/>
          <w:szCs w:val="22"/>
        </w:rPr>
        <w:tab/>
        <w:t xml:space="preserve">De igual modo, se destaca la Resolución 737 de 2024 </w:t>
      </w:r>
      <w:r w:rsidRPr="00665485">
        <w:rPr>
          <w:rFonts w:ascii="Verdana" w:eastAsia="Calibri" w:hAnsi="Verdana" w:cs="Arial"/>
          <w:bCs/>
          <w:color w:val="000000" w:themeColor="text1"/>
          <w:sz w:val="22"/>
          <w:szCs w:val="22"/>
        </w:rPr>
        <w:t>“Por la cual se establecen las reglas para la asignación y seguimiento de los recursos que se ejecutan mediante transferencia”</w:t>
      </w:r>
      <w:r>
        <w:rPr>
          <w:rFonts w:ascii="Verdana" w:eastAsia="Calibri" w:hAnsi="Verdana" w:cs="Arial"/>
          <w:bCs/>
          <w:color w:val="000000" w:themeColor="text1"/>
          <w:sz w:val="22"/>
          <w:szCs w:val="22"/>
        </w:rPr>
        <w:t>. En el artículo 6 de dicha Resolución</w:t>
      </w:r>
      <w:r>
        <w:rPr>
          <w:rStyle w:val="Refdenotaalpie"/>
          <w:rFonts w:ascii="Verdana" w:eastAsia="Calibri" w:hAnsi="Verdana" w:cs="Arial"/>
          <w:bCs/>
          <w:color w:val="000000" w:themeColor="text1"/>
          <w:sz w:val="22"/>
          <w:szCs w:val="22"/>
        </w:rPr>
        <w:footnoteReference w:id="38"/>
      </w:r>
      <w:r>
        <w:rPr>
          <w:rFonts w:ascii="Verdana" w:eastAsia="Calibri" w:hAnsi="Verdana" w:cs="Arial"/>
          <w:bCs/>
          <w:color w:val="000000" w:themeColor="text1"/>
          <w:sz w:val="22"/>
          <w:szCs w:val="22"/>
        </w:rPr>
        <w:t xml:space="preserve"> se </w:t>
      </w:r>
      <w:r>
        <w:rPr>
          <w:rFonts w:ascii="Verdana" w:eastAsia="Calibri" w:hAnsi="Verdana" w:cs="Arial"/>
          <w:bCs/>
          <w:color w:val="000000" w:themeColor="text1"/>
          <w:sz w:val="22"/>
          <w:szCs w:val="22"/>
        </w:rPr>
        <w:lastRenderedPageBreak/>
        <w:t xml:space="preserve">establece </w:t>
      </w:r>
      <w:r w:rsidRPr="0078433B">
        <w:rPr>
          <w:rFonts w:ascii="Verdana" w:eastAsia="Calibri" w:hAnsi="Verdana" w:cs="Arial"/>
          <w:bCs/>
          <w:color w:val="000000" w:themeColor="text1"/>
          <w:sz w:val="22"/>
          <w:szCs w:val="22"/>
        </w:rPr>
        <w:t xml:space="preserve">que toda asignación de recursos mediante transferencias debe formalizarse mediante un acto administrativo que identifique a la entidad beneficiaria, el monto y la destinación de los recursos, así como los rubros presupuestales y el CDP que los respalda. También debe incluir la programación de desembolsos, las obligaciones del receptor, las condiciones de reintegro y manejo de rendimientos, la incorporación de los recursos en el presupuesto de la entidad receptora, el plazo de ejecución y los mecanismos de seguimiento por parte de la dependencia técnica del Ministerio. </w:t>
      </w:r>
    </w:p>
    <w:p w14:paraId="1504448C" w14:textId="77777777" w:rsidR="00A1025E" w:rsidRDefault="00A1025E" w:rsidP="00A1025E">
      <w:pPr>
        <w:pStyle w:val="paragraph"/>
        <w:shd w:val="clear" w:color="auto" w:fill="FFFFFF"/>
        <w:spacing w:before="0" w:beforeAutospacing="0" w:after="120" w:afterAutospacing="0" w:line="276" w:lineRule="auto"/>
        <w:ind w:firstLine="708"/>
        <w:jc w:val="both"/>
        <w:textAlignment w:val="baseline"/>
        <w:rPr>
          <w:rFonts w:ascii="Verdana" w:eastAsia="Calibri" w:hAnsi="Verdana" w:cs="Arial"/>
          <w:bCs/>
          <w:color w:val="000000" w:themeColor="text1"/>
          <w:sz w:val="22"/>
          <w:szCs w:val="22"/>
        </w:rPr>
      </w:pPr>
      <w:r>
        <w:rPr>
          <w:rFonts w:ascii="Verdana" w:eastAsia="Calibri" w:hAnsi="Verdana" w:cs="Arial"/>
          <w:bCs/>
          <w:color w:val="000000" w:themeColor="text1"/>
          <w:sz w:val="22"/>
          <w:szCs w:val="22"/>
        </w:rPr>
        <w:t>Toda inversión o transferencia de recursos que se haga mediante acto administrativo no puede asimilarse a un convenio o a un contrato interadministrativo. En este sentido, es importante precisar que los actos administrativos son declaraciones unilaterales de voluntad encaminadas a la producción de efectos jurídicos vinculantes</w:t>
      </w:r>
      <w:r>
        <w:rPr>
          <w:rStyle w:val="Refdenotaalpie"/>
          <w:rFonts w:ascii="Verdana" w:eastAsia="Calibri" w:hAnsi="Verdana" w:cs="Arial"/>
          <w:bCs/>
          <w:color w:val="000000" w:themeColor="text1"/>
          <w:sz w:val="22"/>
          <w:szCs w:val="22"/>
        </w:rPr>
        <w:footnoteReference w:id="39"/>
      </w:r>
      <w:r>
        <w:rPr>
          <w:rFonts w:ascii="Verdana" w:eastAsia="Calibri" w:hAnsi="Verdana" w:cs="Arial"/>
          <w:bCs/>
          <w:color w:val="000000" w:themeColor="text1"/>
          <w:sz w:val="22"/>
          <w:szCs w:val="22"/>
        </w:rPr>
        <w:t xml:space="preserve">, mientras los contratos o convenios entre entidades estatales son acuerdos de voluntad encaminadas a la producción de efectos jurídicos vinculantes. </w:t>
      </w:r>
      <w:r w:rsidRPr="0024692A">
        <w:rPr>
          <w:rFonts w:ascii="Verdana" w:eastAsia="Calibri" w:hAnsi="Verdana" w:cs="Arial"/>
          <w:bCs/>
          <w:color w:val="000000" w:themeColor="text1"/>
          <w:sz w:val="22"/>
          <w:szCs w:val="22"/>
        </w:rPr>
        <w:t xml:space="preserve">Desde esta perspectiva, la naturaleza jurídica de </w:t>
      </w:r>
      <w:r>
        <w:rPr>
          <w:rFonts w:ascii="Verdana" w:eastAsia="Calibri" w:hAnsi="Verdana" w:cs="Arial"/>
          <w:bCs/>
          <w:color w:val="000000" w:themeColor="text1"/>
          <w:sz w:val="22"/>
          <w:szCs w:val="22"/>
        </w:rPr>
        <w:t xml:space="preserve">las </w:t>
      </w:r>
      <w:r w:rsidRPr="0024692A">
        <w:rPr>
          <w:rFonts w:ascii="Verdana" w:eastAsia="Calibri" w:hAnsi="Verdana" w:cs="Arial"/>
          <w:bCs/>
          <w:color w:val="000000" w:themeColor="text1"/>
          <w:sz w:val="22"/>
          <w:szCs w:val="22"/>
        </w:rPr>
        <w:t xml:space="preserve">transferencias </w:t>
      </w:r>
      <w:r>
        <w:rPr>
          <w:rFonts w:ascii="Verdana" w:eastAsia="Calibri" w:hAnsi="Verdana" w:cs="Arial"/>
          <w:bCs/>
          <w:color w:val="000000" w:themeColor="text1"/>
          <w:sz w:val="22"/>
          <w:szCs w:val="22"/>
        </w:rPr>
        <w:t xml:space="preserve">que se enmarca en </w:t>
      </w:r>
      <w:r w:rsidRPr="0024692A">
        <w:rPr>
          <w:rFonts w:ascii="Verdana" w:eastAsia="Calibri" w:hAnsi="Verdana" w:cs="Arial"/>
          <w:bCs/>
          <w:color w:val="000000" w:themeColor="text1"/>
          <w:sz w:val="22"/>
          <w:szCs w:val="22"/>
        </w:rPr>
        <w:t>acto</w:t>
      </w:r>
      <w:r>
        <w:rPr>
          <w:rFonts w:ascii="Verdana" w:eastAsia="Calibri" w:hAnsi="Verdana" w:cs="Arial"/>
          <w:bCs/>
          <w:color w:val="000000" w:themeColor="text1"/>
          <w:sz w:val="22"/>
          <w:szCs w:val="22"/>
        </w:rPr>
        <w:t>s</w:t>
      </w:r>
      <w:r w:rsidRPr="0024692A">
        <w:rPr>
          <w:rFonts w:ascii="Verdana" w:eastAsia="Calibri" w:hAnsi="Verdana" w:cs="Arial"/>
          <w:bCs/>
          <w:color w:val="000000" w:themeColor="text1"/>
          <w:sz w:val="22"/>
          <w:szCs w:val="22"/>
        </w:rPr>
        <w:t xml:space="preserve"> administrativo, </w:t>
      </w:r>
      <w:r>
        <w:rPr>
          <w:rFonts w:ascii="Verdana" w:eastAsia="Calibri" w:hAnsi="Verdana" w:cs="Arial"/>
          <w:bCs/>
          <w:color w:val="000000" w:themeColor="text1"/>
          <w:sz w:val="22"/>
          <w:szCs w:val="22"/>
        </w:rPr>
        <w:t xml:space="preserve">no son asimilables a las condiciones esenciales </w:t>
      </w:r>
      <w:r w:rsidRPr="0024692A">
        <w:rPr>
          <w:rFonts w:ascii="Verdana" w:eastAsia="Calibri" w:hAnsi="Verdana" w:cs="Arial"/>
          <w:bCs/>
          <w:color w:val="000000" w:themeColor="text1"/>
          <w:sz w:val="22"/>
          <w:szCs w:val="22"/>
        </w:rPr>
        <w:t>del contrato estatal, particularmente</w:t>
      </w:r>
      <w:r>
        <w:rPr>
          <w:rFonts w:ascii="Verdana" w:eastAsia="Calibri" w:hAnsi="Verdana" w:cs="Arial"/>
          <w:bCs/>
          <w:color w:val="000000" w:themeColor="text1"/>
          <w:sz w:val="22"/>
          <w:szCs w:val="22"/>
        </w:rPr>
        <w:t>,</w:t>
      </w:r>
      <w:r w:rsidRPr="0024692A">
        <w:rPr>
          <w:rFonts w:ascii="Verdana" w:eastAsia="Calibri" w:hAnsi="Verdana" w:cs="Arial"/>
          <w:bCs/>
          <w:color w:val="000000" w:themeColor="text1"/>
          <w:sz w:val="22"/>
          <w:szCs w:val="22"/>
        </w:rPr>
        <w:t xml:space="preserve"> el acuerdo de voluntades y la generación de obligaciones bilaterales. </w:t>
      </w:r>
    </w:p>
    <w:p w14:paraId="5FC661E2" w14:textId="77777777" w:rsidR="00A1025E" w:rsidRPr="0024692A" w:rsidRDefault="00A1025E" w:rsidP="00A1025E">
      <w:pPr>
        <w:pStyle w:val="paragraph"/>
        <w:shd w:val="clear" w:color="auto" w:fill="FFFFFF"/>
        <w:spacing w:before="0" w:beforeAutospacing="0" w:after="120" w:afterAutospacing="0" w:line="276" w:lineRule="auto"/>
        <w:ind w:firstLine="708"/>
        <w:jc w:val="both"/>
        <w:textAlignment w:val="baseline"/>
        <w:rPr>
          <w:rFonts w:ascii="Verdana" w:eastAsia="Calibri" w:hAnsi="Verdana" w:cs="Arial"/>
          <w:bCs/>
          <w:color w:val="000000" w:themeColor="text1"/>
          <w:sz w:val="22"/>
          <w:szCs w:val="22"/>
        </w:rPr>
      </w:pPr>
      <w:r w:rsidRPr="0024692A">
        <w:rPr>
          <w:rFonts w:ascii="Verdana" w:eastAsia="Calibri" w:hAnsi="Verdana" w:cs="Arial"/>
          <w:bCs/>
          <w:color w:val="000000" w:themeColor="text1"/>
          <w:sz w:val="22"/>
          <w:szCs w:val="22"/>
        </w:rPr>
        <w:t>En consecuencia, estas actuaciones no se encuentran comprendidas dentro de las prohibiciones previstas en los artículos 3</w:t>
      </w:r>
      <w:r>
        <w:rPr>
          <w:rFonts w:ascii="Verdana" w:eastAsia="Calibri" w:hAnsi="Verdana" w:cs="Arial"/>
          <w:bCs/>
          <w:color w:val="000000" w:themeColor="text1"/>
          <w:sz w:val="22"/>
          <w:szCs w:val="22"/>
        </w:rPr>
        <w:t>3</w:t>
      </w:r>
      <w:r w:rsidRPr="0024692A">
        <w:rPr>
          <w:rFonts w:ascii="Verdana" w:eastAsia="Calibri" w:hAnsi="Verdana" w:cs="Arial"/>
          <w:bCs/>
          <w:color w:val="000000" w:themeColor="text1"/>
          <w:sz w:val="22"/>
          <w:szCs w:val="22"/>
        </w:rPr>
        <w:t xml:space="preserve"> y 3</w:t>
      </w:r>
      <w:r>
        <w:rPr>
          <w:rFonts w:ascii="Verdana" w:eastAsia="Calibri" w:hAnsi="Verdana" w:cs="Arial"/>
          <w:bCs/>
          <w:color w:val="000000" w:themeColor="text1"/>
          <w:sz w:val="22"/>
          <w:szCs w:val="22"/>
        </w:rPr>
        <w:t>8</w:t>
      </w:r>
      <w:r w:rsidRPr="0024692A">
        <w:rPr>
          <w:rFonts w:ascii="Verdana" w:eastAsia="Calibri" w:hAnsi="Verdana" w:cs="Arial"/>
          <w:bCs/>
          <w:color w:val="000000" w:themeColor="text1"/>
          <w:sz w:val="22"/>
          <w:szCs w:val="22"/>
        </w:rPr>
        <w:t xml:space="preserve"> de la Ley 996 de 2005, que restringen </w:t>
      </w:r>
      <w:r>
        <w:rPr>
          <w:rFonts w:ascii="Verdana" w:eastAsia="Calibri" w:hAnsi="Verdana" w:cs="Arial"/>
          <w:bCs/>
          <w:color w:val="000000" w:themeColor="text1"/>
          <w:sz w:val="22"/>
          <w:szCs w:val="22"/>
        </w:rPr>
        <w:t xml:space="preserve">la contratación directa durante los 4 meses previos a las elecciones presidenciales de todas las entidades del Estado, así como </w:t>
      </w:r>
      <w:r w:rsidRPr="0024692A">
        <w:rPr>
          <w:rFonts w:ascii="Verdana" w:eastAsia="Calibri" w:hAnsi="Verdana" w:cs="Arial"/>
          <w:bCs/>
          <w:color w:val="000000" w:themeColor="text1"/>
          <w:sz w:val="22"/>
          <w:szCs w:val="22"/>
        </w:rPr>
        <w:t xml:space="preserve">la celebración de convenios </w:t>
      </w:r>
      <w:r>
        <w:rPr>
          <w:rFonts w:ascii="Verdana" w:eastAsia="Calibri" w:hAnsi="Verdana" w:cs="Arial"/>
          <w:bCs/>
          <w:color w:val="000000" w:themeColor="text1"/>
          <w:sz w:val="22"/>
          <w:szCs w:val="22"/>
        </w:rPr>
        <w:t xml:space="preserve">interadministrativos para la ejecución de recursos públicos en los 4 meses previos a cualquier contienda electoral. </w:t>
      </w:r>
      <w:r w:rsidRPr="0024692A">
        <w:rPr>
          <w:rFonts w:ascii="Verdana" w:eastAsia="Calibri" w:hAnsi="Verdana" w:cs="Arial"/>
          <w:bCs/>
          <w:color w:val="000000" w:themeColor="text1"/>
          <w:sz w:val="22"/>
          <w:szCs w:val="22"/>
        </w:rPr>
        <w:t xml:space="preserve">La restricción aplica exclusivamente a instrumentos contractuales que impliquen acuerdo de </w:t>
      </w:r>
      <w:r w:rsidRPr="0024692A">
        <w:rPr>
          <w:rFonts w:ascii="Verdana" w:eastAsia="Calibri" w:hAnsi="Verdana" w:cs="Arial"/>
          <w:bCs/>
          <w:color w:val="000000" w:themeColor="text1"/>
          <w:sz w:val="22"/>
          <w:szCs w:val="22"/>
        </w:rPr>
        <w:lastRenderedPageBreak/>
        <w:t>voluntades, no a actos administrativos de ejecución presupuestal que materializan decisiones previamente adoptadas en el marco de la planeación y programación del gasto público.</w:t>
      </w:r>
    </w:p>
    <w:p w14:paraId="58A60FB0" w14:textId="77777777" w:rsidR="00A1025E" w:rsidRDefault="00A1025E" w:rsidP="00A1025E">
      <w:pPr>
        <w:pStyle w:val="paragraph"/>
        <w:shd w:val="clear" w:color="auto" w:fill="FFFFFF"/>
        <w:spacing w:before="0" w:beforeAutospacing="0" w:after="120" w:afterAutospacing="0" w:line="276" w:lineRule="auto"/>
        <w:ind w:firstLine="708"/>
        <w:jc w:val="both"/>
        <w:textAlignment w:val="baseline"/>
        <w:rPr>
          <w:rFonts w:ascii="Verdana" w:eastAsia="Calibri" w:hAnsi="Verdana" w:cs="Arial"/>
          <w:bCs/>
          <w:color w:val="000000" w:themeColor="text1"/>
          <w:sz w:val="22"/>
          <w:szCs w:val="22"/>
        </w:rPr>
      </w:pPr>
      <w:r w:rsidRPr="0024692A">
        <w:rPr>
          <w:rFonts w:ascii="Verdana" w:eastAsia="Calibri" w:hAnsi="Verdana" w:cs="Arial"/>
          <w:bCs/>
          <w:color w:val="000000" w:themeColor="text1"/>
          <w:sz w:val="22"/>
          <w:szCs w:val="22"/>
        </w:rPr>
        <w:t xml:space="preserve">No obstante, es indispensable que las resoluciones de transferencia mantengan su carácter genuino de actos administrativos y no se utilicen como mecanismos indirectos para eludir la prohibición de celebrar convenios interadministrativos durante la vigencia de la Ley de Garantías. Mientras se preserve su naturaleza unilateral </w:t>
      </w:r>
      <w:r>
        <w:rPr>
          <w:rFonts w:ascii="Verdana" w:eastAsia="Calibri" w:hAnsi="Verdana" w:cs="Arial"/>
          <w:bCs/>
          <w:color w:val="000000" w:themeColor="text1"/>
          <w:sz w:val="22"/>
          <w:szCs w:val="22"/>
        </w:rPr>
        <w:t>y se sujetan a las reglas y condiciones en materia presupuestal definida en el ordenamiento jurídico</w:t>
      </w:r>
      <w:r w:rsidRPr="0024692A">
        <w:rPr>
          <w:rFonts w:ascii="Verdana" w:eastAsia="Calibri" w:hAnsi="Verdana" w:cs="Arial"/>
          <w:bCs/>
          <w:color w:val="000000" w:themeColor="text1"/>
          <w:sz w:val="22"/>
          <w:szCs w:val="22"/>
        </w:rPr>
        <w:t xml:space="preserve">, la expedición de estas </w:t>
      </w:r>
      <w:r>
        <w:rPr>
          <w:rFonts w:ascii="Verdana" w:eastAsia="Calibri" w:hAnsi="Verdana" w:cs="Arial"/>
          <w:bCs/>
          <w:color w:val="000000" w:themeColor="text1"/>
          <w:sz w:val="22"/>
          <w:szCs w:val="22"/>
        </w:rPr>
        <w:t>resoluciones no se afectará</w:t>
      </w:r>
      <w:r w:rsidRPr="0024692A">
        <w:rPr>
          <w:rFonts w:ascii="Verdana" w:eastAsia="Calibri" w:hAnsi="Verdana" w:cs="Arial"/>
          <w:bCs/>
          <w:color w:val="000000" w:themeColor="text1"/>
          <w:sz w:val="22"/>
          <w:szCs w:val="22"/>
        </w:rPr>
        <w:t xml:space="preserve"> por las restricciones de</w:t>
      </w:r>
      <w:r>
        <w:rPr>
          <w:rFonts w:ascii="Verdana" w:eastAsia="Calibri" w:hAnsi="Verdana" w:cs="Arial"/>
          <w:bCs/>
          <w:color w:val="000000" w:themeColor="text1"/>
          <w:sz w:val="22"/>
          <w:szCs w:val="22"/>
        </w:rPr>
        <w:t xml:space="preserve"> los artículos 33 y 38 de la Ley 996 de 2005. </w:t>
      </w:r>
    </w:p>
    <w:p w14:paraId="75B4C50D" w14:textId="77777777" w:rsidR="00A1025E" w:rsidRPr="0078433B" w:rsidRDefault="00A1025E" w:rsidP="00A1025E">
      <w:pPr>
        <w:pStyle w:val="paragraph"/>
        <w:shd w:val="clear" w:color="auto" w:fill="FFFFFF"/>
        <w:spacing w:before="0" w:beforeAutospacing="0" w:after="120" w:afterAutospacing="0" w:line="276" w:lineRule="auto"/>
        <w:ind w:firstLine="708"/>
        <w:jc w:val="both"/>
        <w:textAlignment w:val="baseline"/>
        <w:rPr>
          <w:rFonts w:ascii="Verdana" w:eastAsia="Calibri" w:hAnsi="Verdana" w:cs="Arial"/>
          <w:bCs/>
          <w:color w:val="000000" w:themeColor="text1"/>
          <w:sz w:val="22"/>
          <w:szCs w:val="22"/>
        </w:rPr>
      </w:pPr>
      <w:r>
        <w:rPr>
          <w:rFonts w:ascii="Verdana" w:eastAsia="Calibri" w:hAnsi="Verdana" w:cs="Arial"/>
          <w:bCs/>
          <w:color w:val="000000" w:themeColor="text1"/>
          <w:sz w:val="22"/>
          <w:szCs w:val="22"/>
        </w:rPr>
        <w:t>b) En torno a l</w:t>
      </w:r>
      <w:r w:rsidRPr="0078433B">
        <w:rPr>
          <w:rFonts w:ascii="Verdana" w:eastAsia="Calibri" w:hAnsi="Verdana" w:cs="Arial"/>
          <w:bCs/>
          <w:color w:val="000000" w:themeColor="text1"/>
          <w:sz w:val="22"/>
          <w:szCs w:val="22"/>
        </w:rPr>
        <w:t xml:space="preserve">a procedencia de la contratación directa con las ESE o con las Uniones Temporales conformadas por ESE para la ejecución del </w:t>
      </w:r>
      <w:r>
        <w:rPr>
          <w:rFonts w:ascii="Verdana" w:eastAsia="Calibri" w:hAnsi="Verdana" w:cs="Arial"/>
          <w:bCs/>
          <w:color w:val="000000" w:themeColor="text1"/>
          <w:sz w:val="22"/>
          <w:szCs w:val="22"/>
        </w:rPr>
        <w:t>Plan de Salud Pública de Intervenciones Colectivas -</w:t>
      </w:r>
      <w:r w:rsidRPr="0078433B">
        <w:rPr>
          <w:rFonts w:ascii="Verdana" w:eastAsia="Calibri" w:hAnsi="Verdana" w:cs="Arial"/>
          <w:bCs/>
          <w:color w:val="000000" w:themeColor="text1"/>
          <w:sz w:val="22"/>
          <w:szCs w:val="22"/>
        </w:rPr>
        <w:t>PIC</w:t>
      </w:r>
      <w:r>
        <w:rPr>
          <w:rFonts w:ascii="Verdana" w:eastAsia="Calibri" w:hAnsi="Verdana" w:cs="Arial"/>
          <w:bCs/>
          <w:color w:val="000000" w:themeColor="text1"/>
          <w:sz w:val="22"/>
          <w:szCs w:val="22"/>
        </w:rPr>
        <w:t>-, es necesario</w:t>
      </w:r>
      <w:r w:rsidRPr="0078433B">
        <w:rPr>
          <w:rFonts w:ascii="Verdana" w:eastAsia="Calibri" w:hAnsi="Verdana" w:cs="Arial"/>
          <w:bCs/>
          <w:color w:val="000000" w:themeColor="text1"/>
          <w:sz w:val="22"/>
          <w:szCs w:val="22"/>
        </w:rPr>
        <w:t xml:space="preserve"> </w:t>
      </w:r>
      <w:r w:rsidRPr="0078433B">
        <w:rPr>
          <w:rFonts w:ascii="Verdana" w:hAnsi="Verdana" w:cs="Arial"/>
          <w:bCs/>
          <w:color w:val="000000" w:themeColor="text1"/>
          <w:sz w:val="22"/>
          <w:szCs w:val="22"/>
        </w:rPr>
        <w:t xml:space="preserve">analizar el quinto evento exceptuado de la prohibición contemplada en el inciso segundo del artículo 33 de la Ley 996 de 2005, relacionado con la contratación por parte de entidades sanitarias y hospitalarias. Para ello, el artículo 94 de la Ley 100 de 1993 dispone que “la prestación de servicios de salud en forma directa por la nación o por las entidades territoriales, se hará principalmente a través 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 </w:t>
      </w:r>
    </w:p>
    <w:p w14:paraId="32F87610" w14:textId="77777777" w:rsidR="00A1025E" w:rsidRPr="00FF007A" w:rsidRDefault="00A1025E" w:rsidP="00A1025E">
      <w:pPr>
        <w:tabs>
          <w:tab w:val="left" w:pos="426"/>
        </w:tabs>
        <w:spacing w:before="120" w:line="276" w:lineRule="auto"/>
        <w:ind w:firstLine="709"/>
        <w:jc w:val="both"/>
        <w:rPr>
          <w:rFonts w:ascii="Verdana" w:hAnsi="Verdana" w:cs="Arial"/>
          <w:color w:val="000000" w:themeColor="text1"/>
        </w:rPr>
      </w:pPr>
      <w:r w:rsidRPr="00FF007A">
        <w:rPr>
          <w:rFonts w:ascii="Verdana" w:hAnsi="Verdana" w:cs="Arial"/>
          <w:color w:val="000000" w:themeColor="text1"/>
        </w:rPr>
        <w:t>De lo anterior se desprende que, bajo la Ley 100 de 1993, dentro de la estructura de la administración pública las Empresas Sociales del Estado</w:t>
      </w:r>
      <w:r>
        <w:rPr>
          <w:rFonts w:ascii="Verdana" w:hAnsi="Verdana" w:cs="Arial"/>
          <w:color w:val="000000" w:themeColor="text1"/>
        </w:rPr>
        <w:t>, según lo dispuesto en el artículo 194 de la Ley 100 de 1993,</w:t>
      </w:r>
      <w:r w:rsidRPr="00FF007A">
        <w:rPr>
          <w:rFonts w:ascii="Verdana" w:hAnsi="Verdana" w:cs="Arial"/>
          <w:color w:val="000000" w:themeColor="text1"/>
        </w:rPr>
        <w:t xml:space="preserve"> son las entidades encargadas de prestar el servicio de salud de manera directa</w:t>
      </w:r>
      <w:r>
        <w:rPr>
          <w:rStyle w:val="Refdenotaalpie"/>
          <w:rFonts w:ascii="Verdana" w:hAnsi="Verdana" w:cs="Arial"/>
          <w:color w:val="000000" w:themeColor="text1"/>
        </w:rPr>
        <w:footnoteReference w:id="40"/>
      </w:r>
      <w:r w:rsidRPr="00FF007A">
        <w:rPr>
          <w:rFonts w:ascii="Verdana" w:hAnsi="Verdana" w:cs="Arial"/>
          <w:color w:val="000000" w:themeColor="text1"/>
        </w:rPr>
        <w:t>. Además, el mismo artículo 197</w:t>
      </w:r>
      <w:r w:rsidRPr="00FF007A">
        <w:rPr>
          <w:rFonts w:ascii="Arial" w:hAnsi="Arial" w:cs="Arial"/>
          <w:color w:val="000000" w:themeColor="text1"/>
          <w:vertAlign w:val="superscript"/>
        </w:rPr>
        <w:footnoteReference w:id="41"/>
      </w:r>
      <w:r w:rsidRPr="00FF007A">
        <w:rPr>
          <w:rFonts w:ascii="Verdana" w:hAnsi="Verdana" w:cs="Arial"/>
          <w:color w:val="000000" w:themeColor="text1"/>
        </w:rPr>
        <w:t xml:space="preserve"> estableció el deber de reestructurar y transformar en </w:t>
      </w:r>
      <w:r w:rsidRPr="00FF007A">
        <w:rPr>
          <w:rFonts w:ascii="Verdana" w:hAnsi="Verdana" w:cs="Arial"/>
          <w:color w:val="000000" w:themeColor="text1"/>
        </w:rPr>
        <w:lastRenderedPageBreak/>
        <w:t xml:space="preserve">Empresas Sociales del Estado a las entidades descentralizadas que, al momento de entrada en vigor de la ley referida, prestaban directamente este servicio. Así, se observa que la voluntad del legislador fue homogeneizar o unificar la naturaleza jurídica de las entidades públicas descentralizadas prestadoras del servicio de salud en Empresas Sociales del Estado. De ello da cuenta no solo la creación de la institución jurídica referida sino además la imposición del mandato de reestructuración de aquellas entidades. </w:t>
      </w:r>
    </w:p>
    <w:p w14:paraId="00D624D9" w14:textId="77777777" w:rsidR="00A1025E" w:rsidRPr="00FF007A" w:rsidRDefault="00A1025E" w:rsidP="00A1025E">
      <w:pPr>
        <w:spacing w:before="120" w:after="12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De otro lado, el artículo 2.8.8.1.1.3 del Decreto 780 de 2016, </w:t>
      </w:r>
      <w:r>
        <w:rPr>
          <w:rFonts w:ascii="Verdana" w:eastAsia="Arial" w:hAnsi="Verdana" w:cs="Arial"/>
          <w:bCs/>
          <w:color w:val="000000" w:themeColor="text1"/>
        </w:rPr>
        <w:t>“</w:t>
      </w:r>
      <w:r w:rsidRPr="00FF007A">
        <w:rPr>
          <w:rFonts w:ascii="Verdana" w:eastAsia="Arial" w:hAnsi="Verdana" w:cs="Arial"/>
          <w:bCs/>
          <w:color w:val="000000" w:themeColor="text1"/>
        </w:rPr>
        <w:t>Por medio del cual se expide el Decreto Único Reglamentario del Sector Salud y Protección Social</w:t>
      </w:r>
      <w:r>
        <w:rPr>
          <w:rFonts w:ascii="Verdana" w:eastAsia="Arial" w:hAnsi="Verdana" w:cs="Arial"/>
          <w:bCs/>
          <w:color w:val="000000" w:themeColor="text1"/>
        </w:rPr>
        <w:t>”</w:t>
      </w:r>
      <w:r w:rsidRPr="00FF007A">
        <w:rPr>
          <w:rFonts w:ascii="Verdana" w:eastAsia="Arial" w:hAnsi="Verdana" w:cs="Arial"/>
          <w:bCs/>
          <w:color w:val="000000" w:themeColor="text1"/>
        </w:rPr>
        <w:t xml:space="preserve">, definió a las </w:t>
      </w:r>
      <w:r w:rsidRPr="00FF007A">
        <w:rPr>
          <w:rFonts w:ascii="Verdana" w:eastAsia="Arial" w:hAnsi="Verdana" w:cs="Arial"/>
          <w:bCs/>
          <w:i/>
          <w:iCs/>
          <w:color w:val="000000" w:themeColor="text1"/>
        </w:rPr>
        <w:t>entidades sanitarias</w:t>
      </w:r>
      <w:r w:rsidRPr="00FF007A">
        <w:rPr>
          <w:rFonts w:ascii="Verdana" w:eastAsia="Arial" w:hAnsi="Verdana" w:cs="Arial"/>
          <w:bCs/>
          <w:color w:val="000000" w:themeColor="text1"/>
        </w:rPr>
        <w:t xml:space="preserve"> como</w:t>
      </w:r>
      <w:r>
        <w:rPr>
          <w:rFonts w:ascii="Verdana" w:eastAsia="Arial" w:hAnsi="Verdana" w:cs="Arial"/>
          <w:bCs/>
          <w:color w:val="000000" w:themeColor="text1"/>
        </w:rPr>
        <w:t xml:space="preserve"> las</w:t>
      </w:r>
      <w:r w:rsidRPr="00FF007A">
        <w:rPr>
          <w:rFonts w:ascii="Verdana" w:eastAsia="Arial" w:hAnsi="Verdana" w:cs="Arial"/>
          <w:bCs/>
          <w:color w:val="000000" w:themeColor="text1"/>
        </w:rPr>
        <w:t xml:space="preserve"> “Entidades del Estado que prestan servicios sanitarios o de sanidad con el propósito de preservar la salud humana y la salud pública”. El artículo citado también define las </w:t>
      </w:r>
      <w:r w:rsidRPr="00FF007A">
        <w:rPr>
          <w:rFonts w:ascii="Verdana" w:eastAsia="Arial" w:hAnsi="Verdana" w:cs="Arial"/>
          <w:bCs/>
          <w:i/>
          <w:iCs/>
          <w:color w:val="000000" w:themeColor="text1"/>
        </w:rPr>
        <w:t>autoridades sanitarias</w:t>
      </w:r>
      <w:r w:rsidRPr="00FF007A">
        <w:rPr>
          <w:rFonts w:ascii="Verdana" w:eastAsia="Arial" w:hAnsi="Verdana" w:cs="Arial"/>
          <w:bCs/>
          <w:color w:val="000000" w:themeColor="text1"/>
        </w:rPr>
        <w:t xml:space="preserve"> como </w:t>
      </w:r>
      <w:r>
        <w:rPr>
          <w:rFonts w:ascii="Verdana" w:eastAsia="Arial" w:hAnsi="Verdana" w:cs="Arial"/>
          <w:bCs/>
          <w:color w:val="000000" w:themeColor="text1"/>
        </w:rPr>
        <w:t xml:space="preserve">las </w:t>
      </w:r>
      <w:r w:rsidRPr="00FF007A">
        <w:rPr>
          <w:rFonts w:ascii="Verdana" w:eastAsia="Arial" w:hAnsi="Verdana" w:cs="Arial"/>
          <w:bCs/>
          <w:color w:val="000000" w:themeColor="text1"/>
        </w:rPr>
        <w:t>“Entidades jurídicas de carácter público con atribuciones para ejercer funciones de rectoría, regulación, inspección, vigilancia y control de los sectores público y privado en salud y adoptar medidas de prevención y seguimiento que garanticen la protección de la salud pública”</w:t>
      </w:r>
      <w:r w:rsidRPr="00FF007A">
        <w:rPr>
          <w:rFonts w:ascii="Verdana" w:eastAsia="Arial" w:hAnsi="Verdana" w:cs="Arial"/>
          <w:bCs/>
          <w:color w:val="000000" w:themeColor="text1"/>
          <w:vertAlign w:val="superscript"/>
        </w:rPr>
        <w:footnoteReference w:id="42"/>
      </w:r>
      <w:r w:rsidRPr="00FF007A">
        <w:rPr>
          <w:rFonts w:ascii="Verdana" w:eastAsia="Arial" w:hAnsi="Verdana" w:cs="Arial"/>
          <w:bCs/>
          <w:color w:val="000000" w:themeColor="text1"/>
        </w:rPr>
        <w:t xml:space="preserve">. De esta forma, </w:t>
      </w:r>
      <w:r>
        <w:rPr>
          <w:rFonts w:ascii="Verdana" w:eastAsia="Arial" w:hAnsi="Verdana" w:cs="Arial"/>
          <w:bCs/>
          <w:color w:val="000000" w:themeColor="text1"/>
        </w:rPr>
        <w:t xml:space="preserve">para efectos de la aplicación de la excepción, se debe verificar que se cumplan los requisitos del </w:t>
      </w:r>
      <w:r w:rsidRPr="00FF007A">
        <w:rPr>
          <w:rFonts w:ascii="Verdana" w:eastAsia="Arial" w:hAnsi="Verdana" w:cs="Arial"/>
          <w:bCs/>
          <w:color w:val="000000" w:themeColor="text1"/>
        </w:rPr>
        <w:t xml:space="preserve">artículo 33 de la Ley </w:t>
      </w:r>
      <w:r>
        <w:rPr>
          <w:rFonts w:ascii="Verdana" w:eastAsia="Arial" w:hAnsi="Verdana" w:cs="Arial"/>
          <w:bCs/>
          <w:color w:val="000000" w:themeColor="text1"/>
        </w:rPr>
        <w:t xml:space="preserve">996 de 2005. </w:t>
      </w:r>
    </w:p>
    <w:p w14:paraId="325054ED" w14:textId="77777777" w:rsidR="00A1025E" w:rsidRPr="00017D8E" w:rsidRDefault="00A1025E" w:rsidP="00A1025E">
      <w:pPr>
        <w:spacing w:before="120" w:after="12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Sobre lo anterior, el Consejo de Estado ha señalado que “las entidades que presten servicios tendientes a preservar la salud </w:t>
      </w:r>
      <w:r>
        <w:rPr>
          <w:rFonts w:ascii="Verdana" w:eastAsia="Arial" w:hAnsi="Verdana" w:cs="Arial"/>
          <w:bCs/>
          <w:color w:val="000000" w:themeColor="text1"/>
        </w:rPr>
        <w:t>pública</w:t>
      </w:r>
      <w:r w:rsidRPr="00FF007A">
        <w:rPr>
          <w:rFonts w:ascii="Verdana" w:eastAsia="Arial" w:hAnsi="Verdana" w:cs="Arial"/>
          <w:bCs/>
          <w:color w:val="000000" w:themeColor="text1"/>
        </w:rPr>
        <w:t xml:space="preserve"> o humana deben ser consideradas como entidades sanitarias y en principio estarían exceptuadas de la prohibición de contratación directa”</w:t>
      </w:r>
      <w:r w:rsidRPr="00FF007A">
        <w:rPr>
          <w:rStyle w:val="Refdenotaalpie"/>
          <w:rFonts w:ascii="Verdana" w:eastAsia="Arial" w:hAnsi="Verdana" w:cs="Arial"/>
          <w:bCs/>
          <w:color w:val="000000" w:themeColor="text1"/>
        </w:rPr>
        <w:footnoteReference w:id="43"/>
      </w:r>
      <w:r w:rsidRPr="00FF007A">
        <w:rPr>
          <w:rFonts w:ascii="Verdana" w:eastAsia="Arial" w:hAnsi="Verdana" w:cs="Arial"/>
          <w:bCs/>
          <w:color w:val="000000" w:themeColor="text1"/>
        </w:rPr>
        <w:t xml:space="preserve">. Sobre la excepción dirigida a las entidades hospitalarias de carácter público resaltó que “debe ser entendida solo en aquellos eventos en que ocurran emergencias sanitarias o de salubridad que requieran la atención o prestación inmediata y oportuna de los servicios de salud”, pues las excepciones buscan que la red hospitalaria no limite su actuación en la prestación del servicio de salud en eventos catastróficos o de urgencia que se presenten. En consecuencia, sostuvo que las excepciones no se </w:t>
      </w:r>
      <w:r w:rsidRPr="00FF007A">
        <w:rPr>
          <w:rFonts w:ascii="Verdana" w:eastAsia="Arial" w:hAnsi="Verdana" w:cs="Arial"/>
          <w:bCs/>
          <w:color w:val="000000" w:themeColor="text1"/>
        </w:rPr>
        <w:lastRenderedPageBreak/>
        <w:t>extienden a “los contratos que habitual y ordinariamente celebran las entidades territoriales con las entidades hospitalarias, ya que dichos órganos deben planear y desarrollar su gestión contractual con suficiente antelación para que no sea cobijada por la prohibición de contratación que establece la ley de garantías”</w:t>
      </w:r>
      <w:r w:rsidRPr="00FF007A">
        <w:rPr>
          <w:rStyle w:val="Refdenotaalpie"/>
          <w:rFonts w:ascii="Verdana" w:eastAsia="Arial" w:hAnsi="Verdana" w:cs="Arial"/>
          <w:bCs/>
          <w:color w:val="000000" w:themeColor="text1"/>
        </w:rPr>
        <w:footnoteReference w:id="44"/>
      </w:r>
      <w:r w:rsidRPr="00FF007A">
        <w:rPr>
          <w:rFonts w:ascii="Verdana" w:eastAsia="Arial" w:hAnsi="Verdana" w:cs="Arial"/>
          <w:bCs/>
          <w:color w:val="000000" w:themeColor="text1"/>
        </w:rPr>
        <w:t xml:space="preserve">. </w:t>
      </w:r>
    </w:p>
    <w:p w14:paraId="4ED6D580" w14:textId="77777777" w:rsidR="00A1025E" w:rsidRDefault="00A1025E" w:rsidP="00A1025E">
      <w:pPr>
        <w:spacing w:after="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Conforme con lo expuesto, las entidades que requieran adelantar procesos de contratación directa durante el periodo de garantías electorales deberán analizar, primero, si se configuran los supuestos establecidos en </w:t>
      </w:r>
      <w:r w:rsidRPr="00FF007A">
        <w:rPr>
          <w:rFonts w:ascii="Verdana" w:eastAsia="Arial" w:hAnsi="Verdana" w:cs="Arial"/>
          <w:bCs/>
          <w:i/>
          <w:iCs/>
          <w:color w:val="000000" w:themeColor="text1"/>
        </w:rPr>
        <w:t>el artículo 33</w:t>
      </w:r>
      <w:r w:rsidRPr="00FF007A">
        <w:rPr>
          <w:rFonts w:ascii="Verdana" w:eastAsia="Arial" w:hAnsi="Verdana" w:cs="Arial"/>
          <w:bCs/>
          <w:color w:val="000000" w:themeColor="text1"/>
        </w:rPr>
        <w:t xml:space="preserve"> de la Ley 996 de 2005, es decir, si se trata de cualquier entidad pública que pretenda adelantar un proceso no competitivo. Adicionalmente, será pertinente analizar si se configura alguna de las excepciones previstas en la norma. En este caso, será relevante determinar si la contratación del</w:t>
      </w:r>
      <w:r>
        <w:rPr>
          <w:rFonts w:ascii="Verdana" w:eastAsia="Arial" w:hAnsi="Verdana" w:cs="Arial"/>
          <w:bCs/>
          <w:color w:val="000000" w:themeColor="text1"/>
        </w:rPr>
        <w:t xml:space="preserve"> Plan de Salud Pública de Intervenciones Colectivas -</w:t>
      </w:r>
      <w:r w:rsidRPr="00FF007A">
        <w:rPr>
          <w:rFonts w:ascii="Verdana" w:eastAsia="Arial" w:hAnsi="Verdana" w:cs="Arial"/>
          <w:bCs/>
          <w:color w:val="000000" w:themeColor="text1"/>
        </w:rPr>
        <w:t>PIC</w:t>
      </w:r>
      <w:r>
        <w:rPr>
          <w:rFonts w:ascii="Verdana" w:eastAsia="Arial" w:hAnsi="Verdana" w:cs="Arial"/>
          <w:bCs/>
          <w:color w:val="000000" w:themeColor="text1"/>
        </w:rPr>
        <w:t>-</w:t>
      </w:r>
      <w:r w:rsidRPr="00FF007A">
        <w:rPr>
          <w:rFonts w:ascii="Verdana" w:eastAsia="Arial" w:hAnsi="Verdana" w:cs="Arial"/>
          <w:bCs/>
          <w:color w:val="000000" w:themeColor="text1"/>
        </w:rPr>
        <w:t xml:space="preserve"> se realiza con ocasión a una “emergencia sanitaria” o si es llevada a cabo por “entidades sanitarias u hospitalarias”. </w:t>
      </w:r>
      <w:r>
        <w:rPr>
          <w:rFonts w:ascii="Verdana" w:eastAsia="Arial" w:hAnsi="Verdana" w:cs="Arial"/>
          <w:bCs/>
          <w:color w:val="000000" w:themeColor="text1"/>
        </w:rPr>
        <w:t>Para ello, hay que exponer la definición del Plan de Salud Pública de Intervenciones Colectivas – PIC- definido en el artículo 10 de la Resolución 1597 del 2025 del Ministerio de Salud y Protección Social:</w:t>
      </w:r>
    </w:p>
    <w:p w14:paraId="22C966D5" w14:textId="77777777" w:rsidR="00A1025E" w:rsidRDefault="00A1025E" w:rsidP="00A1025E">
      <w:pPr>
        <w:spacing w:after="0" w:line="276" w:lineRule="auto"/>
        <w:ind w:firstLine="709"/>
        <w:jc w:val="both"/>
        <w:rPr>
          <w:rFonts w:ascii="Verdana" w:eastAsia="Arial" w:hAnsi="Verdana" w:cs="Arial"/>
          <w:bCs/>
          <w:color w:val="000000" w:themeColor="text1"/>
        </w:rPr>
      </w:pPr>
    </w:p>
    <w:p w14:paraId="237AB493" w14:textId="77777777" w:rsidR="00A1025E" w:rsidRPr="00542C1F" w:rsidRDefault="00A1025E" w:rsidP="00A1025E">
      <w:pPr>
        <w:pStyle w:val="Textonotapie"/>
        <w:ind w:left="709" w:right="709"/>
        <w:jc w:val="both"/>
        <w:rPr>
          <w:rFonts w:ascii="Verdana" w:hAnsi="Verdana"/>
          <w:color w:val="000000" w:themeColor="text1"/>
          <w:lang w:val="es-CO"/>
        </w:rPr>
      </w:pPr>
      <w:r w:rsidRPr="00542C1F">
        <w:rPr>
          <w:rFonts w:ascii="Verdana" w:hAnsi="Verdana"/>
          <w:color w:val="000000" w:themeColor="text1"/>
          <w:lang w:val="es-CO"/>
        </w:rPr>
        <w:t>Artículo 10. </w:t>
      </w:r>
      <w:r w:rsidRPr="00542C1F">
        <w:rPr>
          <w:rFonts w:ascii="Verdana" w:hAnsi="Verdana"/>
          <w:i/>
          <w:iCs/>
          <w:color w:val="000000" w:themeColor="text1"/>
          <w:lang w:val="es-CO"/>
        </w:rPr>
        <w:t>Definición</w:t>
      </w:r>
      <w:r w:rsidRPr="00542C1F">
        <w:rPr>
          <w:rFonts w:ascii="Verdana" w:hAnsi="Verdana"/>
          <w:color w:val="000000" w:themeColor="text1"/>
          <w:lang w:val="es-CO"/>
        </w:rPr>
        <w:t>. Conjunto de intervenciones, procedimientos o actividades de carácter gratuito, dirigidas a la población y materializadas a través de los entornos de vida cotidiana en función de las características, necesidades y potencialidades de salud en cada territorio y microterritorio.</w:t>
      </w:r>
    </w:p>
    <w:p w14:paraId="356E31E9" w14:textId="77777777" w:rsidR="00A1025E" w:rsidRPr="00542C1F" w:rsidRDefault="00A1025E" w:rsidP="00A1025E">
      <w:pPr>
        <w:spacing w:after="0" w:line="240" w:lineRule="auto"/>
        <w:ind w:left="709" w:right="709"/>
        <w:jc w:val="both"/>
        <w:rPr>
          <w:rFonts w:ascii="Verdana" w:eastAsia="Arial" w:hAnsi="Verdana" w:cs="Arial"/>
          <w:bCs/>
          <w:color w:val="000000" w:themeColor="text1"/>
          <w:sz w:val="20"/>
          <w:szCs w:val="20"/>
        </w:rPr>
      </w:pPr>
      <w:r w:rsidRPr="00542C1F">
        <w:rPr>
          <w:rFonts w:ascii="Verdana" w:hAnsi="Verdana"/>
          <w:color w:val="000000" w:themeColor="text1"/>
          <w:sz w:val="20"/>
          <w:szCs w:val="20"/>
        </w:rPr>
        <w:t>Parágrafo. Las intervenciones colectivas corresponden a las señaladas en el numeral 3.2 del Capítulo 3 del Anexo I </w:t>
      </w:r>
      <w:r w:rsidRPr="00542C1F">
        <w:rPr>
          <w:rFonts w:ascii="Verdana" w:hAnsi="Verdana"/>
          <w:i/>
          <w:iCs/>
          <w:color w:val="000000" w:themeColor="text1"/>
          <w:sz w:val="20"/>
          <w:szCs w:val="20"/>
        </w:rPr>
        <w:t>“LINEAMIENTO TÉCNICO Y OPERATIVO RUTA INTEGRAL DE ATENCIÓN PARA LA PROMOCIÓN Y MANTENIMIENTO DE LA SALUD”</w:t>
      </w:r>
      <w:r w:rsidRPr="00542C1F">
        <w:rPr>
          <w:rFonts w:ascii="Verdana" w:hAnsi="Verdana"/>
          <w:color w:val="000000" w:themeColor="text1"/>
          <w:sz w:val="20"/>
          <w:szCs w:val="20"/>
        </w:rPr>
        <w:t> de la Resolución </w:t>
      </w:r>
      <w:hyperlink r:id="rId13" w:history="1">
        <w:r w:rsidRPr="00542C1F">
          <w:rPr>
            <w:rStyle w:val="Hipervnculo"/>
            <w:rFonts w:ascii="Verdana" w:hAnsi="Verdana"/>
            <w:color w:val="000000" w:themeColor="text1"/>
            <w:sz w:val="20"/>
            <w:szCs w:val="20"/>
          </w:rPr>
          <w:t>3280</w:t>
        </w:r>
      </w:hyperlink>
      <w:r w:rsidRPr="00542C1F">
        <w:rPr>
          <w:rFonts w:ascii="Verdana" w:hAnsi="Verdana"/>
          <w:color w:val="000000" w:themeColor="text1"/>
          <w:sz w:val="20"/>
          <w:szCs w:val="20"/>
        </w:rPr>
        <w:t> de 2018 o la norma que la modifique o sustituya.</w:t>
      </w:r>
    </w:p>
    <w:p w14:paraId="5F7D8E8F" w14:textId="77777777" w:rsidR="00A1025E" w:rsidRDefault="00A1025E" w:rsidP="00A1025E">
      <w:pPr>
        <w:spacing w:after="120" w:line="276" w:lineRule="auto"/>
        <w:jc w:val="both"/>
        <w:rPr>
          <w:rFonts w:ascii="Verdana" w:eastAsia="Arial" w:hAnsi="Verdana" w:cs="Arial"/>
          <w:bCs/>
          <w:color w:val="000000" w:themeColor="text1"/>
        </w:rPr>
      </w:pPr>
    </w:p>
    <w:p w14:paraId="6ED2F8C3" w14:textId="77777777" w:rsidR="00A1025E" w:rsidRPr="00542C1F" w:rsidRDefault="00A1025E" w:rsidP="00A1025E">
      <w:pPr>
        <w:spacing w:after="120" w:line="276" w:lineRule="auto"/>
        <w:ind w:firstLine="708"/>
        <w:jc w:val="both"/>
        <w:rPr>
          <w:rFonts w:ascii="Verdana" w:eastAsia="Arial" w:hAnsi="Verdana" w:cs="Arial"/>
          <w:bCs/>
          <w:color w:val="000000" w:themeColor="text1"/>
        </w:rPr>
      </w:pPr>
      <w:r>
        <w:rPr>
          <w:rFonts w:ascii="Verdana" w:eastAsia="Arial" w:hAnsi="Verdana" w:cs="Arial"/>
          <w:bCs/>
          <w:color w:val="000000" w:themeColor="text1"/>
        </w:rPr>
        <w:t xml:space="preserve">De igual modo, el artículo 12 </w:t>
      </w:r>
      <w:r w:rsidRPr="00542C1F">
        <w:rPr>
          <w:rFonts w:ascii="Verdana" w:eastAsia="Arial" w:hAnsi="Verdana" w:cs="Arial"/>
          <w:bCs/>
          <w:color w:val="000000" w:themeColor="text1"/>
        </w:rPr>
        <w:t>de la Resolución 1597 de 2025 establece que las entidades territoriales de los órdenes departamental, distrital y municipal deben implementar el Plan de Salud Pública de Intervenciones Colectivas (PIC) mediante contratación con las Empresas Sociales del Estado (ESE) o entidades equivalentes, garantizando</w:t>
      </w:r>
      <w:r>
        <w:rPr>
          <w:rFonts w:ascii="Verdana" w:eastAsia="Arial" w:hAnsi="Verdana" w:cs="Arial"/>
          <w:bCs/>
          <w:color w:val="000000" w:themeColor="text1"/>
        </w:rPr>
        <w:t xml:space="preserve"> </w:t>
      </w:r>
      <w:r w:rsidRPr="00542C1F">
        <w:rPr>
          <w:rFonts w:ascii="Verdana" w:eastAsia="Arial" w:hAnsi="Verdana" w:cs="Arial"/>
          <w:bCs/>
          <w:color w:val="000000" w:themeColor="text1"/>
        </w:rPr>
        <w:t xml:space="preserve">territorialización y permanencia de las acciones. El PIC se ejecutará a través de Equipos Básicos de Salud y, en el nivel municipal, se consolidará en un único plan que asegure concurrencia técnica, administrativa y financiera con el departamento. Los convenios deben firmarse antes del 1° de </w:t>
      </w:r>
      <w:r w:rsidRPr="00542C1F">
        <w:rPr>
          <w:rFonts w:ascii="Verdana" w:eastAsia="Arial" w:hAnsi="Verdana" w:cs="Arial"/>
          <w:bCs/>
          <w:color w:val="000000" w:themeColor="text1"/>
        </w:rPr>
        <w:lastRenderedPageBreak/>
        <w:t>abril de cada vigencia y mantenerse hasta el 31 de marzo del año siguiente, bajo principios de continuidad y disponibilidad. Además, las ESE deben coordinar con las entidades territoriales planes de fortalecimiento institucional, y en municipios sin ESE, las intervenciones se ejecutarán directamente o mediante contratación con la ESE más cercana.</w:t>
      </w:r>
    </w:p>
    <w:p w14:paraId="2E9E3180" w14:textId="77777777" w:rsidR="00A1025E" w:rsidRDefault="00A1025E" w:rsidP="00A1025E">
      <w:pPr>
        <w:spacing w:after="120" w:line="276" w:lineRule="auto"/>
        <w:ind w:firstLine="708"/>
        <w:jc w:val="both"/>
        <w:rPr>
          <w:rFonts w:ascii="Verdana" w:eastAsia="Arial" w:hAnsi="Verdana" w:cs="Arial"/>
          <w:bCs/>
          <w:color w:val="000000" w:themeColor="text1"/>
        </w:rPr>
      </w:pPr>
      <w:r w:rsidRPr="00542C1F">
        <w:rPr>
          <w:rFonts w:ascii="Verdana" w:eastAsia="Arial" w:hAnsi="Verdana" w:cs="Arial"/>
          <w:bCs/>
          <w:color w:val="000000" w:themeColor="text1"/>
        </w:rPr>
        <w:t xml:space="preserve">La norma también regula situaciones excepcionales: desistimiento de la ESE, falta de capacidad técnica para programas de vectores y zoonosis, y contratación con universidades, ONG o instituciones privadas especializadas. Se exige coordinación con IPS, EPS, sectores públicos y privados para complementar acciones colectivas e individuales, y cumplimiento de normas como el Decreto 441 de 2022 y la Resolución 2336 de 2023. Se permite contratar actividades específicas con organizaciones comunitarias sin ánimo de lucro para abordar prioridades en salud pública, pero se prohíbe la subcontratación de las intervenciones salvo apoyos logísticos. Finalmente, se habilitan alianzas entre municipios para estrategias conjuntas de alcance regional, y el Ministerio reglamentará las condiciones de participación de </w:t>
      </w:r>
      <w:r>
        <w:rPr>
          <w:rFonts w:ascii="Verdana" w:eastAsia="Arial" w:hAnsi="Verdana" w:cs="Arial"/>
          <w:bCs/>
          <w:color w:val="000000" w:themeColor="text1"/>
        </w:rPr>
        <w:t>las organizaciones comunitarias</w:t>
      </w:r>
      <w:r>
        <w:rPr>
          <w:rStyle w:val="Refdenotaalpie"/>
          <w:rFonts w:ascii="Verdana" w:eastAsia="Arial" w:hAnsi="Verdana" w:cs="Arial"/>
          <w:bCs/>
          <w:color w:val="000000" w:themeColor="text1"/>
        </w:rPr>
        <w:footnoteReference w:id="45"/>
      </w:r>
      <w:r>
        <w:rPr>
          <w:rFonts w:ascii="Verdana" w:eastAsia="Arial" w:hAnsi="Verdana" w:cs="Arial"/>
          <w:bCs/>
          <w:color w:val="000000" w:themeColor="text1"/>
        </w:rPr>
        <w:t>.</w:t>
      </w:r>
    </w:p>
    <w:p w14:paraId="05DDBB45" w14:textId="77777777" w:rsidR="00A1025E" w:rsidRPr="00A65838" w:rsidRDefault="00A1025E" w:rsidP="00A1025E">
      <w:pPr>
        <w:spacing w:after="120" w:line="276" w:lineRule="auto"/>
        <w:ind w:firstLine="709"/>
        <w:jc w:val="both"/>
        <w:rPr>
          <w:rFonts w:ascii="Verdana" w:eastAsia="Arial" w:hAnsi="Verdana" w:cs="Arial"/>
          <w:bCs/>
          <w:color w:val="000000" w:themeColor="text1"/>
        </w:rPr>
      </w:pPr>
      <w:r>
        <w:rPr>
          <w:rFonts w:ascii="Verdana" w:eastAsia="Arial" w:hAnsi="Verdana" w:cs="Arial"/>
          <w:bCs/>
          <w:color w:val="000000" w:themeColor="text1"/>
        </w:rPr>
        <w:lastRenderedPageBreak/>
        <w:t xml:space="preserve">Teniendo en cuenta lo expuesto, </w:t>
      </w:r>
      <w:r w:rsidRPr="00FF007A">
        <w:rPr>
          <w:rFonts w:ascii="Verdana" w:eastAsia="Arial" w:hAnsi="Verdana" w:cs="Arial"/>
          <w:bCs/>
          <w:color w:val="000000" w:themeColor="text1"/>
        </w:rPr>
        <w:t>la entidad</w:t>
      </w:r>
      <w:r>
        <w:rPr>
          <w:rFonts w:ascii="Verdana" w:eastAsia="Arial" w:hAnsi="Verdana" w:cs="Arial"/>
          <w:bCs/>
          <w:color w:val="000000" w:themeColor="text1"/>
        </w:rPr>
        <w:t>,</w:t>
      </w:r>
      <w:r w:rsidRPr="00FF007A">
        <w:rPr>
          <w:rFonts w:ascii="Verdana" w:eastAsia="Arial" w:hAnsi="Verdana" w:cs="Arial"/>
          <w:bCs/>
          <w:color w:val="000000" w:themeColor="text1"/>
        </w:rPr>
        <w:t xml:space="preserve"> </w:t>
      </w:r>
      <w:r>
        <w:rPr>
          <w:rFonts w:ascii="Verdana" w:eastAsia="Arial" w:hAnsi="Verdana" w:cs="Arial"/>
          <w:bCs/>
          <w:color w:val="000000" w:themeColor="text1"/>
        </w:rPr>
        <w:t xml:space="preserve">previo análisis de las excepciones, podrá proceder en tal sentido y contratar directamente </w:t>
      </w:r>
      <w:r w:rsidRPr="00FF007A">
        <w:rPr>
          <w:rFonts w:ascii="Verdana" w:eastAsia="Arial" w:hAnsi="Verdana" w:cs="Arial"/>
          <w:bCs/>
          <w:color w:val="000000" w:themeColor="text1"/>
        </w:rPr>
        <w:t>a pesar de que haya iniciado el periodo de garantías electorales correspondiente al artículo 33 de la Ley 996 de 2005.</w:t>
      </w:r>
      <w:r>
        <w:rPr>
          <w:rFonts w:ascii="Verdana" w:eastAsia="Arial" w:hAnsi="Verdana" w:cs="Arial"/>
          <w:bCs/>
          <w:color w:val="000000" w:themeColor="text1"/>
        </w:rPr>
        <w:t xml:space="preserve"> </w:t>
      </w:r>
      <w:r w:rsidRPr="00FF007A">
        <w:rPr>
          <w:rFonts w:ascii="Verdana" w:eastAsia="Arial" w:hAnsi="Verdana" w:cs="Arial"/>
          <w:bCs/>
          <w:color w:val="000000" w:themeColor="text1"/>
        </w:rPr>
        <w:t xml:space="preserve">Con respecto a la prohibición del </w:t>
      </w:r>
      <w:r w:rsidRPr="00FF007A">
        <w:rPr>
          <w:rFonts w:ascii="Verdana" w:eastAsia="Arial" w:hAnsi="Verdana" w:cs="Arial"/>
          <w:bCs/>
          <w:i/>
          <w:iCs/>
          <w:color w:val="000000" w:themeColor="text1"/>
        </w:rPr>
        <w:t>parágrafo del artículo 38</w:t>
      </w:r>
      <w:r w:rsidRPr="00FF007A">
        <w:rPr>
          <w:rFonts w:ascii="Verdana" w:eastAsia="Arial" w:hAnsi="Verdana" w:cs="Arial"/>
          <w:bCs/>
          <w:color w:val="000000" w:themeColor="text1"/>
        </w:rPr>
        <w:t xml:space="preserve">, es necesario verificar si la contratación del PIC es llevada a cabo por </w:t>
      </w:r>
      <w:r>
        <w:rPr>
          <w:rFonts w:ascii="Verdana" w:eastAsia="Arial" w:hAnsi="Verdana" w:cs="Arial"/>
          <w:bCs/>
          <w:color w:val="000000" w:themeColor="text1"/>
        </w:rPr>
        <w:t xml:space="preserve">los </w:t>
      </w:r>
      <w:r w:rsidRPr="00FF007A">
        <w:rPr>
          <w:rFonts w:ascii="Verdana" w:eastAsia="Arial" w:hAnsi="Verdana" w:cs="Arial"/>
          <w:bCs/>
          <w:color w:val="000000" w:themeColor="text1"/>
        </w:rPr>
        <w:t>“Alcaldes, Gobernadores, Secretarios, Gerentes y Directores de las entidades del orden municipal, departamental o distrital”; así como determinar si lo que pretende adelantar es un convenio interadministrativo para la ejecución de recursos públicos. Cuando este sea el caso, operará la restricción señalada en el parágrafo y estará prohibido llevar a cabo la c</w:t>
      </w:r>
      <w:r>
        <w:rPr>
          <w:rFonts w:ascii="Verdana" w:eastAsia="Arial" w:hAnsi="Verdana" w:cs="Arial"/>
          <w:bCs/>
          <w:color w:val="000000" w:themeColor="text1"/>
        </w:rPr>
        <w:t>elebración</w:t>
      </w:r>
      <w:r w:rsidRPr="00FF007A">
        <w:rPr>
          <w:rFonts w:ascii="Verdana" w:eastAsia="Arial" w:hAnsi="Verdana" w:cs="Arial"/>
          <w:bCs/>
          <w:color w:val="000000" w:themeColor="text1"/>
        </w:rPr>
        <w:t xml:space="preserve"> </w:t>
      </w:r>
      <w:r>
        <w:rPr>
          <w:rFonts w:ascii="Verdana" w:eastAsia="Arial" w:hAnsi="Verdana" w:cs="Arial"/>
          <w:bCs/>
          <w:color w:val="000000" w:themeColor="text1"/>
        </w:rPr>
        <w:t>de convenios interadministrativos</w:t>
      </w:r>
      <w:r>
        <w:rPr>
          <w:rStyle w:val="Refdenotaalpie"/>
          <w:rFonts w:ascii="Verdana" w:eastAsia="Arial" w:hAnsi="Verdana" w:cs="Arial"/>
          <w:bCs/>
          <w:color w:val="000000" w:themeColor="text1"/>
        </w:rPr>
        <w:footnoteReference w:id="46"/>
      </w:r>
      <w:r>
        <w:rPr>
          <w:rFonts w:ascii="Verdana" w:eastAsia="Arial" w:hAnsi="Verdana" w:cs="Arial"/>
          <w:bCs/>
          <w:color w:val="000000" w:themeColor="text1"/>
        </w:rPr>
        <w:t xml:space="preserve"> </w:t>
      </w:r>
      <w:r w:rsidRPr="00FF007A">
        <w:rPr>
          <w:rFonts w:ascii="Verdana" w:eastAsia="Arial" w:hAnsi="Verdana" w:cs="Arial"/>
          <w:bCs/>
          <w:color w:val="000000" w:themeColor="text1"/>
        </w:rPr>
        <w:t xml:space="preserve">en los cuatro meses anteriores a cualquier contienda electoral. </w:t>
      </w:r>
      <w:r w:rsidRPr="005B0452">
        <w:rPr>
          <w:rFonts w:ascii="Verdana" w:eastAsia="Arial" w:hAnsi="Verdana" w:cs="Arial"/>
          <w:bCs/>
          <w:color w:val="000000" w:themeColor="text1"/>
        </w:rPr>
        <w:t xml:space="preserve">En este aspecto, se encuentra que la restricción para la celebración de convenios interadministrativos para la ejecución de recursos públicos no puede aludirse a contratantes o contratistas, sino de partes cooperantes o colaboradoras. </w:t>
      </w:r>
      <w:r w:rsidRPr="005B0452">
        <w:rPr>
          <w:rFonts w:ascii="Verdana" w:eastAsia="Arial" w:hAnsi="Verdana" w:cs="Arial"/>
          <w:bCs/>
          <w:color w:val="000000" w:themeColor="text1"/>
          <w:lang w:val="es-MX"/>
        </w:rPr>
        <w:t xml:space="preserve">Esta restricción se extiende a las elecciones presidenciales que se celebrarán el 31 de mayo de 2026, así como una posible segunda vuelta tres semanas después, es decir, el 21 de junio de 2026. </w:t>
      </w:r>
    </w:p>
    <w:p w14:paraId="2665E949" w14:textId="77777777" w:rsidR="00A1025E" w:rsidRPr="005B0452" w:rsidRDefault="00A1025E" w:rsidP="00A1025E">
      <w:pPr>
        <w:spacing w:before="120" w:after="120" w:line="276" w:lineRule="auto"/>
        <w:jc w:val="both"/>
        <w:rPr>
          <w:rFonts w:ascii="Verdana" w:eastAsia="Arial" w:hAnsi="Verdana" w:cs="Arial"/>
          <w:bCs/>
          <w:color w:val="000000" w:themeColor="text1"/>
        </w:rPr>
      </w:pPr>
      <w:r>
        <w:rPr>
          <w:rFonts w:ascii="Verdana" w:eastAsia="Arial" w:hAnsi="Verdana" w:cs="Arial"/>
          <w:bCs/>
          <w:color w:val="000000" w:themeColor="text1"/>
          <w:lang w:val="es-MX"/>
        </w:rPr>
        <w:tab/>
        <w:t xml:space="preserve">En cuanto a la celebración de contratos interadministrativos ya no es aplicable la restricción del parágrafo del artículo 38, según la sentencia precitada en consideraciones previas, pero sujeto a las restricciones del artículo 33 si se adelanta la contratación de forma directa, esto es, un procedimiento no competitivo. </w:t>
      </w:r>
      <w:r w:rsidRPr="005B0452">
        <w:rPr>
          <w:rFonts w:ascii="Verdana" w:eastAsia="Arial" w:hAnsi="Verdana" w:cs="Arial"/>
          <w:bCs/>
          <w:color w:val="000000" w:themeColor="text1"/>
        </w:rPr>
        <w:t>En todo caso, vale anotar que es responsabilidad del respectivo ente del Estado examinar en cada caso la naturaleza de las actividades que adelanta y justificar si las mismas se enmarcan en alguna de las excepciones, de manera que pueda realizar la contratación directa durante el periodo de la prohibición. Igualmente, le corresponde a cada entidad establecer si el instrumento jurídico que se pretende suscribir tiene la naturaleza de contrato o de convenio interadministrativo para la ejecución de recursos públicos. En este último supuesto, resulta aplicable la prohibición contenida en el parágrafo del artículo 38 de la Ley de Garantías Electorales, conforme se explicó.</w:t>
      </w:r>
    </w:p>
    <w:p w14:paraId="2EB3573C" w14:textId="77777777" w:rsidR="00A1025E" w:rsidRPr="008C5A84" w:rsidRDefault="00A1025E" w:rsidP="00A1025E">
      <w:pPr>
        <w:spacing w:before="120" w:after="0" w:line="276" w:lineRule="auto"/>
        <w:ind w:firstLine="709"/>
        <w:jc w:val="both"/>
        <w:rPr>
          <w:rFonts w:ascii="Verdana" w:eastAsia="Arial" w:hAnsi="Verdana" w:cs="Arial"/>
          <w:bCs/>
          <w:color w:val="000000" w:themeColor="text1"/>
        </w:rPr>
      </w:pPr>
      <w:r w:rsidRPr="00FF007A">
        <w:rPr>
          <w:rFonts w:ascii="Verdana" w:eastAsia="Calibri" w:hAnsi="Verdana" w:cs="Arial"/>
        </w:rPr>
        <w:t xml:space="preserve">En particular, </w:t>
      </w:r>
      <w:r>
        <w:rPr>
          <w:rFonts w:ascii="Verdana" w:eastAsia="Calibri" w:hAnsi="Verdana" w:cs="Arial"/>
        </w:rPr>
        <w:t>cada</w:t>
      </w:r>
      <w:r w:rsidRPr="00FF007A">
        <w:rPr>
          <w:rFonts w:ascii="Verdana" w:eastAsia="Calibri" w:hAnsi="Verdana" w:cs="Arial"/>
        </w:rPr>
        <w:t xml:space="preserve"> Entidad Estatal </w:t>
      </w:r>
      <w:r>
        <w:rPr>
          <w:rFonts w:ascii="Verdana" w:eastAsia="Calibri" w:hAnsi="Verdana" w:cs="Arial"/>
        </w:rPr>
        <w:t xml:space="preserve">deberá </w:t>
      </w:r>
      <w:r w:rsidRPr="00FF007A">
        <w:rPr>
          <w:rFonts w:ascii="Verdana" w:eastAsia="Calibri" w:hAnsi="Verdana" w:cs="Arial"/>
        </w:rPr>
        <w:t xml:space="preserve">realizar el correspondiente análisis para determinar si aplica o no una determinada excepción a la prohibición del artículo 33 de la Ley de Garantías Electorales, según la situación fáctica y jurídica particular del caso concreto, para lo cual las consideraciones </w:t>
      </w:r>
      <w:r w:rsidRPr="00FF007A">
        <w:rPr>
          <w:rFonts w:ascii="Verdana" w:eastAsia="Calibri" w:hAnsi="Verdana" w:cs="Arial"/>
        </w:rPr>
        <w:lastRenderedPageBreak/>
        <w:t>expuestas en el presente concepto constituyen un instrumento orientador. De ser es procedente la excepción, la entidad podrá realizar la contratación directa justificando las razones que avalan su procedencia</w:t>
      </w:r>
      <w:r w:rsidRPr="00FF007A">
        <w:rPr>
          <w:rFonts w:ascii="Verdana" w:hAnsi="Verdana" w:cs="Arial"/>
          <w:lang w:eastAsia="es-CO"/>
        </w:rPr>
        <w:t xml:space="preserve">. Por el contrario, si el estudio determina que no aplica excepción alguna estará vedada la celebración de contratos de manera directa. Lo anterior, sin perjuicio de la prohibición establecida en el parágrafo del artículo 38 de la Ley de Garantías Electorales. </w:t>
      </w:r>
    </w:p>
    <w:p w14:paraId="312657BD" w14:textId="77777777" w:rsidR="00A1025E" w:rsidRDefault="00A1025E" w:rsidP="00A1025E">
      <w:pPr>
        <w:pStyle w:val="paragraph"/>
        <w:shd w:val="clear" w:color="auto" w:fill="FFFFFF"/>
        <w:spacing w:before="0" w:beforeAutospacing="0" w:after="120" w:afterAutospacing="0" w:line="276" w:lineRule="auto"/>
        <w:jc w:val="both"/>
        <w:textAlignment w:val="baseline"/>
        <w:rPr>
          <w:rFonts w:ascii="Verdana" w:eastAsia="Calibri" w:hAnsi="Verdana" w:cs="Arial"/>
          <w:bCs/>
          <w:color w:val="000000" w:themeColor="text1"/>
          <w:sz w:val="22"/>
          <w:szCs w:val="22"/>
        </w:rPr>
      </w:pPr>
    </w:p>
    <w:p w14:paraId="2700B751" w14:textId="77777777" w:rsidR="00A1025E" w:rsidRPr="00F4158D" w:rsidRDefault="00A1025E" w:rsidP="00A1025E">
      <w:pPr>
        <w:pStyle w:val="paragraph"/>
        <w:shd w:val="clear" w:color="auto" w:fill="FFFFFF"/>
        <w:spacing w:before="0" w:beforeAutospacing="0" w:after="120" w:afterAutospacing="0" w:line="276" w:lineRule="auto"/>
        <w:jc w:val="both"/>
        <w:textAlignment w:val="baseline"/>
        <w:rPr>
          <w:rFonts w:ascii="Verdana" w:eastAsia="Calibri" w:hAnsi="Verdana" w:cs="Arial"/>
          <w:bCs/>
          <w:color w:val="000000" w:themeColor="text1"/>
          <w:sz w:val="22"/>
          <w:szCs w:val="22"/>
        </w:rPr>
      </w:pPr>
      <w:r>
        <w:rPr>
          <w:rFonts w:ascii="Verdana" w:eastAsia="Calibri" w:hAnsi="Verdana" w:cs="Arial"/>
          <w:bCs/>
          <w:color w:val="000000" w:themeColor="text1"/>
          <w:sz w:val="22"/>
          <w:szCs w:val="22"/>
        </w:rPr>
        <w:t xml:space="preserve">vi. </w:t>
      </w:r>
      <w:r w:rsidRPr="00F4158D">
        <w:rPr>
          <w:rFonts w:ascii="Verdana" w:eastAsia="Calibri" w:hAnsi="Verdana" w:cs="Arial"/>
          <w:bCs/>
          <w:color w:val="000000" w:themeColor="text1"/>
          <w:sz w:val="22"/>
          <w:szCs w:val="22"/>
        </w:rPr>
        <w:t xml:space="preserve">Al margen de la explicación precedente debe advertirse que el análisis requerido para resolver problemas específicos en torno a la gestión contractual de </w:t>
      </w:r>
      <w:r>
        <w:rPr>
          <w:rFonts w:ascii="Verdana" w:eastAsia="Calibri" w:hAnsi="Verdana" w:cs="Arial"/>
          <w:bCs/>
          <w:color w:val="000000" w:themeColor="text1"/>
          <w:sz w:val="22"/>
          <w:szCs w:val="22"/>
        </w:rPr>
        <w:t xml:space="preserve">las entidades públicas debe realizarse </w:t>
      </w:r>
      <w:r w:rsidRPr="00F4158D">
        <w:rPr>
          <w:rFonts w:ascii="Verdana" w:eastAsia="Calibri" w:hAnsi="Verdana" w:cs="Arial"/>
          <w:bCs/>
          <w:color w:val="000000" w:themeColor="text1"/>
          <w:sz w:val="22"/>
          <w:szCs w:val="22"/>
        </w:rPr>
        <w:t>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6185671B" w14:textId="77777777" w:rsidR="00A1025E" w:rsidRPr="00F4158D" w:rsidRDefault="00A1025E" w:rsidP="00A1025E">
      <w:pPr>
        <w:spacing w:after="0" w:line="276" w:lineRule="auto"/>
        <w:ind w:firstLine="708"/>
        <w:jc w:val="both"/>
        <w:rPr>
          <w:rFonts w:ascii="Verdana" w:hAnsi="Verdana" w:cs="Arial"/>
          <w:color w:val="000000" w:themeColor="text1"/>
        </w:rPr>
      </w:pPr>
      <w:r w:rsidRPr="00F4158D">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55D157FD" w14:textId="77777777" w:rsidR="00A1025E" w:rsidRPr="00F4158D" w:rsidRDefault="00A1025E" w:rsidP="00A1025E">
      <w:pPr>
        <w:spacing w:after="0" w:line="276" w:lineRule="auto"/>
        <w:jc w:val="both"/>
        <w:rPr>
          <w:rFonts w:ascii="Verdana" w:eastAsia="Calibri" w:hAnsi="Verdana" w:cs="Arial"/>
          <w:bCs/>
          <w:color w:val="000000" w:themeColor="text1"/>
        </w:rPr>
      </w:pPr>
      <w:r w:rsidRPr="00F4158D">
        <w:rPr>
          <w:rFonts w:ascii="Verdana" w:eastAsia="Calibri" w:hAnsi="Verdana" w:cs="Arial"/>
          <w:bCs/>
          <w:color w:val="000000" w:themeColor="text1"/>
        </w:rPr>
        <w:t xml:space="preserve"> </w:t>
      </w:r>
    </w:p>
    <w:p w14:paraId="5B29754D" w14:textId="77777777" w:rsidR="00A1025E" w:rsidRPr="00593A5F" w:rsidRDefault="00A1025E" w:rsidP="00A1025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6085F67E" w14:textId="77777777" w:rsidR="00A1025E" w:rsidRPr="00593A5F" w:rsidRDefault="00A1025E" w:rsidP="00A1025E">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1025E" w:rsidRPr="002407CE" w14:paraId="24642F9F" w14:textId="77777777" w:rsidTr="007D72B3">
        <w:trPr>
          <w:trHeight w:val="311"/>
          <w:jc w:val="center"/>
        </w:trPr>
        <w:tc>
          <w:tcPr>
            <w:tcW w:w="8647" w:type="dxa"/>
          </w:tcPr>
          <w:p w14:paraId="0E4E32B7" w14:textId="77777777" w:rsidR="00A1025E" w:rsidRDefault="00A1025E" w:rsidP="007D72B3">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Constitución Política de 1991, artículos 69, 127, 190, 197 y 286.</w:t>
            </w:r>
          </w:p>
          <w:p w14:paraId="68FC6261" w14:textId="77777777" w:rsidR="00A1025E" w:rsidRDefault="00A1025E" w:rsidP="007D72B3">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Ley 80 de 1993, artículos 2, 39 y 41.</w:t>
            </w:r>
          </w:p>
          <w:p w14:paraId="35572384" w14:textId="77777777" w:rsidR="00A1025E" w:rsidRDefault="00A1025E" w:rsidP="007D72B3">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Ley 996 de 2005, artículos 33 y 38.</w:t>
            </w:r>
          </w:p>
          <w:p w14:paraId="6AFA5797" w14:textId="77777777" w:rsidR="00A1025E" w:rsidRDefault="00A1025E" w:rsidP="007D72B3">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Ley 1150 de 2007, artículo 2.</w:t>
            </w:r>
          </w:p>
          <w:p w14:paraId="20FF377D" w14:textId="77777777" w:rsidR="00A1025E" w:rsidRDefault="00A1025E" w:rsidP="007D72B3">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lastRenderedPageBreak/>
              <w:t>Código Civil, artículos 31 y 1501.</w:t>
            </w:r>
          </w:p>
          <w:p w14:paraId="7A008528" w14:textId="77777777" w:rsidR="00A1025E" w:rsidRPr="00127474" w:rsidRDefault="00A1025E" w:rsidP="007D72B3">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127474">
              <w:rPr>
                <w:rFonts w:ascii="Verdana" w:hAnsi="Verdana" w:cs="Arial"/>
              </w:rPr>
              <w:t>Decreto 780 de 2016. Artículos 2.8.8.1.4.2, 2.8.8.1.1.3.</w:t>
            </w:r>
          </w:p>
          <w:p w14:paraId="01014C11" w14:textId="77777777" w:rsidR="00A1025E" w:rsidRPr="00127474" w:rsidRDefault="00A1025E" w:rsidP="007D72B3">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127474">
              <w:rPr>
                <w:rFonts w:ascii="Verdana" w:hAnsi="Verdana" w:cs="Arial"/>
              </w:rPr>
              <w:t>Decreto 1082 de 2015. Artículo 2.2.1.2.1.4.4.</w:t>
            </w:r>
            <w:r>
              <w:rPr>
                <w:rFonts w:ascii="Verdana" w:hAnsi="Verdana" w:cs="Arial"/>
              </w:rPr>
              <w:t xml:space="preserve">, </w:t>
            </w:r>
            <w:r w:rsidRPr="00D13C5D">
              <w:rPr>
                <w:rFonts w:ascii="Verdana" w:eastAsia="Calibri" w:hAnsi="Verdana" w:cs="Arial"/>
                <w:bCs/>
                <w:color w:val="000000" w:themeColor="text1"/>
              </w:rPr>
              <w:t>2.2.6.2.</w:t>
            </w:r>
            <w:r>
              <w:rPr>
                <w:rFonts w:ascii="Verdana" w:eastAsia="Calibri" w:hAnsi="Verdana" w:cs="Arial"/>
                <w:bCs/>
                <w:color w:val="000000" w:themeColor="text1"/>
              </w:rPr>
              <w:t xml:space="preserve">1 y </w:t>
            </w:r>
            <w:r w:rsidRPr="00D13C5D">
              <w:rPr>
                <w:rFonts w:ascii="Verdana" w:eastAsia="Calibri" w:hAnsi="Verdana" w:cs="Arial"/>
                <w:bCs/>
                <w:color w:val="000000" w:themeColor="text1"/>
              </w:rPr>
              <w:t>2.2.6.2.2</w:t>
            </w:r>
          </w:p>
          <w:p w14:paraId="29CFD775" w14:textId="77777777" w:rsidR="00A1025E" w:rsidRDefault="00A1025E" w:rsidP="007D72B3">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127474">
              <w:rPr>
                <w:rFonts w:ascii="Verdana" w:hAnsi="Verdana" w:cs="Arial"/>
              </w:rPr>
              <w:t>Resolución 1597 de 2025</w:t>
            </w:r>
            <w:r>
              <w:rPr>
                <w:rFonts w:ascii="Verdana" w:hAnsi="Verdana" w:cs="Arial"/>
              </w:rPr>
              <w:t xml:space="preserve"> del Ministerio de Salud y Protección Social</w:t>
            </w:r>
            <w:r w:rsidRPr="00127474">
              <w:rPr>
                <w:rFonts w:ascii="Verdana" w:hAnsi="Verdana" w:cs="Arial"/>
              </w:rPr>
              <w:t xml:space="preserve">. Artículos 10 y 12. </w:t>
            </w:r>
          </w:p>
          <w:p w14:paraId="25896E96" w14:textId="77777777" w:rsidR="00A1025E" w:rsidRPr="00127474" w:rsidRDefault="00A1025E" w:rsidP="007D72B3">
            <w:pPr>
              <w:pStyle w:val="Prrafodelista"/>
              <w:widowControl w:val="0"/>
              <w:numPr>
                <w:ilvl w:val="0"/>
                <w:numId w:val="17"/>
              </w:numPr>
              <w:autoSpaceDE w:val="0"/>
              <w:autoSpaceDN w:val="0"/>
              <w:spacing w:before="120" w:after="120" w:line="276" w:lineRule="auto"/>
              <w:jc w:val="both"/>
              <w:rPr>
                <w:rFonts w:ascii="Verdana" w:hAnsi="Verdana" w:cs="Arial"/>
              </w:rPr>
            </w:pPr>
            <w:r>
              <w:rPr>
                <w:rFonts w:ascii="Verdana" w:eastAsia="Calibri" w:hAnsi="Verdana" w:cs="Arial"/>
                <w:bCs/>
                <w:color w:val="000000" w:themeColor="text1"/>
              </w:rPr>
              <w:t xml:space="preserve">Resolución 737 de 2024 del Ministerio de Salud y Protección Social, artículo 6. </w:t>
            </w:r>
          </w:p>
        </w:tc>
      </w:tr>
    </w:tbl>
    <w:p w14:paraId="3283AEA8" w14:textId="77777777" w:rsidR="00A1025E" w:rsidRPr="002407CE" w:rsidRDefault="00A1025E" w:rsidP="00A1025E">
      <w:pPr>
        <w:widowControl w:val="0"/>
        <w:autoSpaceDE w:val="0"/>
        <w:autoSpaceDN w:val="0"/>
        <w:spacing w:after="0" w:line="276" w:lineRule="auto"/>
        <w:jc w:val="both"/>
        <w:rPr>
          <w:rFonts w:ascii="Verdana" w:hAnsi="Verdana" w:cs="Arial"/>
        </w:rPr>
      </w:pPr>
    </w:p>
    <w:p w14:paraId="00D03498" w14:textId="77777777" w:rsidR="00A1025E" w:rsidRPr="00593A5F" w:rsidRDefault="00A1025E" w:rsidP="00A1025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4E7E66F9" w14:textId="77777777" w:rsidR="00A1025E" w:rsidRPr="00593A5F" w:rsidRDefault="00A1025E" w:rsidP="00A1025E">
      <w:pPr>
        <w:widowControl w:val="0"/>
        <w:autoSpaceDE w:val="0"/>
        <w:autoSpaceDN w:val="0"/>
        <w:spacing w:after="0" w:line="276" w:lineRule="auto"/>
        <w:jc w:val="both"/>
        <w:rPr>
          <w:rFonts w:ascii="Verdana" w:hAnsi="Verdana" w:cs="Arial"/>
        </w:rPr>
      </w:pPr>
    </w:p>
    <w:p w14:paraId="6241460B" w14:textId="77777777" w:rsidR="00A1025E" w:rsidRPr="007D6CC8" w:rsidRDefault="00A1025E" w:rsidP="00A1025E">
      <w:pPr>
        <w:widowControl w:val="0"/>
        <w:autoSpaceDE w:val="0"/>
        <w:autoSpaceDN w:val="0"/>
        <w:spacing w:after="0" w:line="276" w:lineRule="auto"/>
        <w:jc w:val="both"/>
        <w:rPr>
          <w:rFonts w:ascii="Verdana" w:hAnsi="Verdana" w:cs="Arial"/>
          <w:shd w:val="clear" w:color="auto" w:fill="FFFFFF"/>
        </w:rPr>
      </w:pPr>
      <w:r w:rsidRPr="00177E85">
        <w:rPr>
          <w:rFonts w:ascii="Verdana" w:hAnsi="Verdana" w:cs="Arial"/>
          <w:shd w:val="clear" w:color="auto" w:fill="FFFFFF"/>
        </w:rPr>
        <w:t xml:space="preserve">Sobre la finalidad y propósito de la Ley de Garantías Electorales, la ANCP- CCE se ha pronunciado en los Conceptos 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C-317 del 25 de abril de 2025, C-510 del 4 de junio de 2025, 646 del 26 de junio de 2025, C-957 del 23 de agosto de 2025, C-975 del 28 de agosto de 2025, C-1015 del 4 de septiembre de 2025, C-1096 del 28 de agosto de 2025, C-1174 del 29 de septiembre de 2025, C- 1170 del 16 de septiembre de 2025, C-1194 del 3 de octubre de 2025, </w:t>
      </w:r>
      <w:r>
        <w:rPr>
          <w:rFonts w:ascii="Verdana" w:hAnsi="Verdana" w:cs="Arial"/>
          <w:shd w:val="clear" w:color="auto" w:fill="FFFFFF"/>
        </w:rPr>
        <w:t xml:space="preserve">C-1343 del 20 de octubre de 2025, C-1350 del 1˚ de octubre de 2025, C-1401 del 22 de octubre de 2025, C-1512 del 27 de octubre de 2025, C-1488 del 30 de octubre de 2025, C-1596 del 6 de noviembre de 2025, C-1509 del 19 de noviembre de 2025, C-1773 del 5 de diciembre de 2025, C-1646 del 17 de diciembre de 2025, </w:t>
      </w:r>
      <w:r w:rsidRPr="00177E85">
        <w:rPr>
          <w:rFonts w:ascii="Verdana" w:hAnsi="Verdana" w:cs="Arial"/>
          <w:shd w:val="clear" w:color="auto" w:fill="FFFFFF"/>
        </w:rPr>
        <w:t>entre otros</w:t>
      </w:r>
      <w:r>
        <w:rPr>
          <w:rFonts w:ascii="Verdana" w:hAnsi="Verdana"/>
        </w:rPr>
        <w:t>.</w:t>
      </w:r>
      <w:r>
        <w:rPr>
          <w:rFonts w:ascii="Verdana" w:hAnsi="Verdana" w:cs="Arial"/>
          <w:shd w:val="clear" w:color="auto" w:fill="FFFFFF"/>
        </w:rPr>
        <w:t xml:space="preserve"> </w:t>
      </w:r>
      <w:r w:rsidRPr="00185EE9">
        <w:rPr>
          <w:rFonts w:ascii="Verdana" w:eastAsia="Calibri" w:hAnsi="Verdana" w:cs="Times New Roman"/>
        </w:rPr>
        <w:t xml:space="preserve">Estos y otros conceptos se encuentran disponibles para consulta en el Sistema de Relatoría de la Agencia, en el cual también podrás encontrar jurisprudencia del Consejo de Estado, laudos </w:t>
      </w:r>
      <w:r w:rsidRPr="00185EE9">
        <w:rPr>
          <w:rFonts w:ascii="Verdana" w:eastAsia="Calibri" w:hAnsi="Verdana" w:cs="Times New Roman"/>
        </w:rPr>
        <w:lastRenderedPageBreak/>
        <w:t>arbitrales y la normativa de la contratación concordada con la doctrina de la Subdirección de Gestión Contractual, accede a través del siguiente enlace:</w:t>
      </w:r>
    </w:p>
    <w:p w14:paraId="7D29110C" w14:textId="77777777" w:rsidR="00A1025E" w:rsidRPr="00185EE9" w:rsidRDefault="00737DF0" w:rsidP="00A1025E">
      <w:pPr>
        <w:spacing w:after="0" w:line="256" w:lineRule="auto"/>
        <w:jc w:val="both"/>
        <w:rPr>
          <w:rFonts w:ascii="Verdana" w:eastAsia="Calibri" w:hAnsi="Verdana" w:cs="Times New Roman"/>
        </w:rPr>
      </w:pPr>
      <w:hyperlink r:id="rId14" w:history="1">
        <w:r w:rsidR="00A1025E" w:rsidRPr="00F14AAD">
          <w:rPr>
            <w:rStyle w:val="Hipervnculo"/>
            <w:rFonts w:ascii="Verdana" w:eastAsia="Calibri" w:hAnsi="Verdana" w:cs="Times New Roman"/>
            <w:lang w:val="es-ES"/>
          </w:rPr>
          <w:t>https://relatoria.colombiacompra.gov.co/busqueda/conceptos</w:t>
        </w:r>
      </w:hyperlink>
      <w:r w:rsidR="00A1025E" w:rsidRPr="00185EE9">
        <w:rPr>
          <w:rFonts w:ascii="Verdana" w:eastAsia="Calibri" w:hAnsi="Verdana" w:cs="Times New Roman"/>
        </w:rPr>
        <w:t xml:space="preserve">. </w:t>
      </w:r>
    </w:p>
    <w:p w14:paraId="2B7FFFA2" w14:textId="77777777" w:rsidR="00A1025E" w:rsidRPr="00096788" w:rsidRDefault="00A1025E" w:rsidP="00A1025E">
      <w:pPr>
        <w:widowControl w:val="0"/>
        <w:autoSpaceDE w:val="0"/>
        <w:autoSpaceDN w:val="0"/>
        <w:spacing w:after="0" w:line="276" w:lineRule="auto"/>
        <w:jc w:val="both"/>
        <w:rPr>
          <w:rFonts w:ascii="Verdana" w:hAnsi="Verdana" w:cs="Arial"/>
          <w:color w:val="000000" w:themeColor="text1"/>
          <w:shd w:val="clear" w:color="auto" w:fill="FFFFFF"/>
        </w:rPr>
      </w:pPr>
    </w:p>
    <w:p w14:paraId="687EB082" w14:textId="77777777" w:rsidR="00A1025E" w:rsidRDefault="00A1025E" w:rsidP="00A1025E">
      <w:pPr>
        <w:shd w:val="clear" w:color="auto" w:fill="FFFFFF"/>
        <w:spacing w:after="0" w:line="276" w:lineRule="auto"/>
        <w:jc w:val="both"/>
        <w:rPr>
          <w:rFonts w:ascii="Verdana" w:hAnsi="Verdana"/>
          <w:color w:val="000000"/>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w:t>
      </w:r>
      <w:hyperlink r:id="rId15"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sidRPr="00032009">
        <w:rPr>
          <w:rFonts w:ascii="Verdana" w:hAnsi="Verdana"/>
          <w:color w:val="000000"/>
          <w:u w:val="single"/>
        </w:rPr>
        <w:t>"</w:t>
      </w:r>
      <w:r>
        <w:rPr>
          <w:rFonts w:ascii="Verdana" w:hAnsi="Verdana"/>
          <w:color w:val="000000"/>
          <w:u w:val="single"/>
        </w:rPr>
        <w:t>.</w:t>
      </w:r>
    </w:p>
    <w:p w14:paraId="5F465014" w14:textId="77777777" w:rsidR="00A1025E" w:rsidRDefault="00A1025E" w:rsidP="00A1025E">
      <w:pPr>
        <w:shd w:val="clear" w:color="auto" w:fill="FFFFFF"/>
        <w:spacing w:after="0" w:line="276" w:lineRule="auto"/>
        <w:jc w:val="both"/>
        <w:rPr>
          <w:rFonts w:ascii="Verdana" w:hAnsi="Verdana"/>
          <w:color w:val="000000"/>
          <w:u w:val="single"/>
        </w:rPr>
      </w:pPr>
    </w:p>
    <w:p w14:paraId="277AFBD7" w14:textId="77777777" w:rsidR="00A1025E" w:rsidRPr="00593A5F" w:rsidRDefault="00A1025E" w:rsidP="00A1025E">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r>
        <w:rPr>
          <w:rFonts w:ascii="Verdana" w:hAnsi="Verdana" w:cs="Arial"/>
          <w:lang w:val="es-ES_tradnl"/>
        </w:rPr>
        <w:t xml:space="preserve"> </w:t>
      </w:r>
    </w:p>
    <w:p w14:paraId="341C2226" w14:textId="77777777" w:rsidR="00A1025E" w:rsidRPr="00593A5F" w:rsidRDefault="00A1025E" w:rsidP="00A1025E">
      <w:pPr>
        <w:widowControl w:val="0"/>
        <w:autoSpaceDE w:val="0"/>
        <w:autoSpaceDN w:val="0"/>
        <w:spacing w:after="0" w:line="276" w:lineRule="auto"/>
        <w:jc w:val="both"/>
        <w:rPr>
          <w:rFonts w:ascii="Verdana" w:hAnsi="Verdana" w:cs="Arial"/>
        </w:rPr>
      </w:pPr>
    </w:p>
    <w:p w14:paraId="3F7833D2" w14:textId="4C1AFA32" w:rsidR="00A1025E" w:rsidRDefault="00A1025E" w:rsidP="004674CF">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41FD1E17" w14:textId="77777777" w:rsidR="004674CF" w:rsidRPr="004674CF" w:rsidRDefault="004674CF" w:rsidP="004674CF">
      <w:pPr>
        <w:spacing w:after="0" w:line="240" w:lineRule="auto"/>
        <w:rPr>
          <w:rFonts w:ascii="Verdana" w:hAnsi="Verdana" w:cs="Arial"/>
          <w:lang w:eastAsia="es-CO"/>
        </w:rPr>
      </w:pPr>
    </w:p>
    <w:p w14:paraId="6F0F694E" w14:textId="0036EDBA" w:rsidR="004674CF" w:rsidRPr="004674CF" w:rsidRDefault="000D5040" w:rsidP="004674CF">
      <w:pPr>
        <w:spacing w:line="276" w:lineRule="auto"/>
        <w:jc w:val="center"/>
        <w:rPr>
          <w:rFonts w:ascii="Verdana" w:hAnsi="Verdana" w:cs="Arial"/>
          <w:color w:val="000000"/>
          <w:lang w:val="es-ES_tradnl" w:eastAsia="es-CO"/>
        </w:rPr>
      </w:pPr>
      <w:r w:rsidRPr="002C3AD6">
        <w:rPr>
          <w:rFonts w:ascii="Century Gothic" w:hAnsi="Century Gothic"/>
          <w:noProof/>
          <w:lang w:val="en-US"/>
        </w:rPr>
        <w:drawing>
          <wp:inline distT="0" distB="0" distL="0" distR="0" wp14:anchorId="1389DB9E" wp14:editId="2ABAE66F">
            <wp:extent cx="3279697" cy="1217463"/>
            <wp:effectExtent l="0" t="0" r="0" b="1905"/>
            <wp:docPr id="2"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312722" cy="1229722"/>
                    </a:xfrm>
                    <a:prstGeom prst="rect">
                      <a:avLst/>
                    </a:prstGeom>
                  </pic:spPr>
                </pic:pic>
              </a:graphicData>
            </a:graphic>
          </wp:inline>
        </w:drawing>
      </w:r>
      <w:bookmarkStart w:id="16" w:name="_GoBack"/>
      <w:bookmarkEnd w:id="16"/>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1025E" w:rsidRPr="00593A5F" w14:paraId="6ECFEBFE" w14:textId="77777777" w:rsidTr="007D72B3">
        <w:trPr>
          <w:trHeight w:val="315"/>
        </w:trPr>
        <w:tc>
          <w:tcPr>
            <w:tcW w:w="893" w:type="dxa"/>
            <w:vAlign w:val="center"/>
            <w:hideMark/>
          </w:tcPr>
          <w:p w14:paraId="35846280" w14:textId="77777777" w:rsidR="00A1025E" w:rsidRPr="003751C7" w:rsidRDefault="00A1025E" w:rsidP="007D72B3">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2C38BE6" w14:textId="77777777" w:rsidR="00A1025E" w:rsidRPr="00254A7A" w:rsidRDefault="00A1025E" w:rsidP="007D72B3">
            <w:pPr>
              <w:contextualSpacing/>
              <w:rPr>
                <w:rStyle w:val="normaltextrun"/>
                <w:rFonts w:ascii="Verdana" w:hAnsi="Verdana"/>
                <w:sz w:val="16"/>
                <w:szCs w:val="16"/>
              </w:rPr>
            </w:pPr>
            <w:r w:rsidRPr="00254A7A">
              <w:rPr>
                <w:rStyle w:val="normaltextrun"/>
                <w:rFonts w:ascii="Verdana" w:hAnsi="Verdana"/>
                <w:sz w:val="16"/>
                <w:szCs w:val="16"/>
              </w:rPr>
              <w:t>J</w:t>
            </w:r>
            <w:r>
              <w:rPr>
                <w:rStyle w:val="normaltextrun"/>
                <w:rFonts w:ascii="Verdana" w:hAnsi="Verdana"/>
                <w:sz w:val="16"/>
                <w:szCs w:val="16"/>
              </w:rPr>
              <w:t>osé Luis Sánchez Cardona</w:t>
            </w:r>
          </w:p>
          <w:p w14:paraId="12DACBFA" w14:textId="77777777" w:rsidR="00A1025E" w:rsidRPr="00254A7A" w:rsidRDefault="00A1025E" w:rsidP="007D72B3">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A1025E" w:rsidRPr="00593A5F" w14:paraId="799A76CF" w14:textId="77777777" w:rsidTr="007D72B3">
        <w:trPr>
          <w:trHeight w:val="330"/>
        </w:trPr>
        <w:tc>
          <w:tcPr>
            <w:tcW w:w="893" w:type="dxa"/>
            <w:vAlign w:val="center"/>
            <w:hideMark/>
          </w:tcPr>
          <w:p w14:paraId="399D55A0" w14:textId="77777777" w:rsidR="00A1025E" w:rsidRPr="003751C7" w:rsidRDefault="00A1025E" w:rsidP="007D72B3">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3EAB9C2" w14:textId="77777777" w:rsidR="00A1025E" w:rsidRPr="001B6B73" w:rsidRDefault="00A1025E" w:rsidP="007D72B3">
            <w:pPr>
              <w:pStyle w:val="paragraph"/>
              <w:spacing w:after="0"/>
              <w:contextualSpacing/>
              <w:textAlignment w:val="baseline"/>
              <w:rPr>
                <w:rStyle w:val="normaltextrun"/>
                <w:rFonts w:ascii="Verdana" w:hAnsi="Verdana" w:cs="Arial"/>
                <w:sz w:val="16"/>
                <w:szCs w:val="16"/>
                <w:lang w:val="es-ES_tradnl"/>
              </w:rPr>
            </w:pPr>
            <w:r w:rsidRPr="001B6B73">
              <w:rPr>
                <w:rStyle w:val="normaltextrun"/>
                <w:rFonts w:ascii="Verdana" w:hAnsi="Verdana" w:cs="Arial"/>
                <w:sz w:val="16"/>
                <w:szCs w:val="16"/>
                <w:lang w:val="es-ES_tradnl"/>
              </w:rPr>
              <w:t>Alejandro Sarmiento Cantillo</w:t>
            </w:r>
          </w:p>
          <w:p w14:paraId="3EE53120" w14:textId="77777777" w:rsidR="00A1025E" w:rsidRPr="00254A7A" w:rsidRDefault="00A1025E" w:rsidP="007D72B3">
            <w:pPr>
              <w:pStyle w:val="paragraph"/>
              <w:spacing w:before="0" w:beforeAutospacing="0" w:after="0" w:afterAutospacing="0"/>
              <w:contextualSpacing/>
              <w:textAlignment w:val="baseline"/>
              <w:rPr>
                <w:rFonts w:ascii="Verdana" w:hAnsi="Verdana" w:cs="Segoe UI"/>
                <w:sz w:val="16"/>
                <w:szCs w:val="16"/>
              </w:rPr>
            </w:pPr>
            <w:r w:rsidRPr="001B6B73">
              <w:rPr>
                <w:rStyle w:val="normaltextrun"/>
                <w:rFonts w:ascii="Verdana" w:hAnsi="Verdana" w:cs="Arial"/>
                <w:sz w:val="16"/>
                <w:szCs w:val="16"/>
                <w:lang w:val="es-ES_tradnl"/>
              </w:rPr>
              <w:t>Gestor T1 ‒ 15 de la Subdirección de Gestión Contractual</w:t>
            </w:r>
          </w:p>
        </w:tc>
      </w:tr>
      <w:tr w:rsidR="00A1025E" w:rsidRPr="00593A5F" w14:paraId="3E4A6E41" w14:textId="77777777" w:rsidTr="007D72B3">
        <w:trPr>
          <w:trHeight w:val="300"/>
        </w:trPr>
        <w:tc>
          <w:tcPr>
            <w:tcW w:w="893" w:type="dxa"/>
            <w:vAlign w:val="center"/>
          </w:tcPr>
          <w:p w14:paraId="35CCC967" w14:textId="77777777" w:rsidR="00A1025E" w:rsidRPr="003751C7" w:rsidRDefault="00A1025E" w:rsidP="007D72B3">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C5744F8" w14:textId="77777777" w:rsidR="00A1025E" w:rsidRPr="003751C7" w:rsidRDefault="00A1025E" w:rsidP="007D72B3">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Carolina Quintero Gacharná</w:t>
            </w:r>
          </w:p>
          <w:p w14:paraId="0AFD9BB0" w14:textId="77777777" w:rsidR="00A1025E" w:rsidRPr="003751C7" w:rsidRDefault="00A1025E" w:rsidP="007D72B3">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Contractual ANCP – CCE</w:t>
            </w:r>
          </w:p>
        </w:tc>
      </w:tr>
      <w:bookmarkEnd w:id="0"/>
    </w:tbl>
    <w:p w14:paraId="0F293BF4" w14:textId="02C7939D" w:rsidR="00127233" w:rsidRPr="00A1025E" w:rsidRDefault="00127233" w:rsidP="004674CF"/>
    <w:sectPr w:rsidR="00127233" w:rsidRPr="00A1025E"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D9CA6B2" w14:textId="77777777" w:rsidR="00737DF0" w:rsidRDefault="00737DF0" w:rsidP="004A1847">
      <w:pPr>
        <w:spacing w:after="0" w:line="240" w:lineRule="auto"/>
      </w:pPr>
      <w:r>
        <w:separator/>
      </w:r>
    </w:p>
  </w:endnote>
  <w:endnote w:type="continuationSeparator" w:id="0">
    <w:p w14:paraId="45C137FC" w14:textId="77777777" w:rsidR="00737DF0" w:rsidRDefault="00737DF0" w:rsidP="004A1847">
      <w:pPr>
        <w:spacing w:after="0" w:line="240" w:lineRule="auto"/>
      </w:pPr>
      <w:r>
        <w:continuationSeparator/>
      </w:r>
    </w:p>
  </w:endnote>
  <w:endnote w:type="continuationNotice" w:id="1">
    <w:p w14:paraId="74079507" w14:textId="77777777" w:rsidR="00737DF0" w:rsidRDefault="00737DF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911A32" w14:textId="6CE791A4" w:rsidR="004A1847" w:rsidRDefault="004A1847">
    <w:pPr>
      <w:pStyle w:val="Piedepgina"/>
    </w:pPr>
  </w:p>
  <w:p w14:paraId="594D6D9F" w14:textId="1697739B"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4674CF" w:rsidRPr="004674CF">
      <w:rPr>
        <w:rFonts w:ascii="Verdana" w:eastAsiaTheme="minorEastAsia" w:hAnsi="Verdana"/>
        <w:b/>
        <w:bCs/>
        <w:noProof/>
        <w:sz w:val="16"/>
        <w:szCs w:val="16"/>
      </w:rPr>
      <w:t>42</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D302E76" w14:textId="77777777" w:rsidR="00737DF0" w:rsidRDefault="00737DF0" w:rsidP="004A1847">
      <w:pPr>
        <w:spacing w:after="0" w:line="240" w:lineRule="auto"/>
      </w:pPr>
      <w:r>
        <w:separator/>
      </w:r>
    </w:p>
  </w:footnote>
  <w:footnote w:type="continuationSeparator" w:id="0">
    <w:p w14:paraId="6A568D26" w14:textId="77777777" w:rsidR="00737DF0" w:rsidRDefault="00737DF0" w:rsidP="004A1847">
      <w:pPr>
        <w:spacing w:after="0" w:line="240" w:lineRule="auto"/>
      </w:pPr>
      <w:r>
        <w:continuationSeparator/>
      </w:r>
    </w:p>
  </w:footnote>
  <w:footnote w:type="continuationNotice" w:id="1">
    <w:p w14:paraId="4E8AFAD0" w14:textId="77777777" w:rsidR="00737DF0" w:rsidRDefault="00737DF0">
      <w:pPr>
        <w:spacing w:after="0" w:line="240" w:lineRule="auto"/>
      </w:pPr>
    </w:p>
  </w:footnote>
  <w:footnote w:id="2">
    <w:p w14:paraId="25A8345B" w14:textId="77777777" w:rsidR="00A1025E" w:rsidRPr="004674CF" w:rsidRDefault="00A1025E" w:rsidP="00A1025E">
      <w:pPr>
        <w:pStyle w:val="Textonotapie"/>
        <w:ind w:firstLine="709"/>
        <w:jc w:val="both"/>
        <w:rPr>
          <w:rFonts w:ascii="Verdana" w:hAnsi="Verdana" w:cs="Arial"/>
          <w:sz w:val="16"/>
          <w:szCs w:val="16"/>
        </w:rPr>
      </w:pPr>
      <w:r w:rsidRPr="004674CF">
        <w:rPr>
          <w:rStyle w:val="Refdenotaalpie"/>
          <w:rFonts w:ascii="Verdana" w:hAnsi="Verdana" w:cs="Arial"/>
          <w:sz w:val="16"/>
          <w:szCs w:val="16"/>
        </w:rPr>
        <w:footnoteRef/>
      </w:r>
      <w:r w:rsidRPr="004674CF">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40ED5D00" w14:textId="77777777" w:rsidR="00A1025E" w:rsidRPr="004674CF" w:rsidRDefault="00A1025E" w:rsidP="00A1025E">
      <w:pPr>
        <w:pStyle w:val="Textonotapie"/>
        <w:ind w:firstLine="709"/>
        <w:jc w:val="both"/>
        <w:rPr>
          <w:rFonts w:ascii="Verdana" w:hAnsi="Verdana" w:cs="Arial"/>
          <w:sz w:val="16"/>
          <w:szCs w:val="16"/>
        </w:rPr>
      </w:pPr>
      <w:r w:rsidRPr="004674CF">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3">
    <w:p w14:paraId="6D15AFF3" w14:textId="77777777" w:rsidR="00A1025E" w:rsidRPr="004674CF" w:rsidRDefault="00A1025E" w:rsidP="00A1025E">
      <w:pPr>
        <w:pStyle w:val="Textonotapie"/>
        <w:ind w:firstLine="709"/>
        <w:jc w:val="both"/>
        <w:rPr>
          <w:rFonts w:ascii="Verdana" w:hAnsi="Verdana" w:cs="Arial"/>
          <w:sz w:val="16"/>
          <w:szCs w:val="16"/>
        </w:rPr>
      </w:pPr>
      <w:r w:rsidRPr="004674CF">
        <w:rPr>
          <w:rStyle w:val="Refdenotaalpie"/>
          <w:rFonts w:ascii="Verdana" w:hAnsi="Verdana" w:cs="Arial"/>
          <w:sz w:val="16"/>
          <w:szCs w:val="16"/>
        </w:rPr>
        <w:footnoteRef/>
      </w:r>
      <w:r w:rsidRPr="004674CF">
        <w:rPr>
          <w:rFonts w:ascii="Verdana" w:hAnsi="Verdana" w:cs="Arial"/>
          <w:sz w:val="16"/>
          <w:szCs w:val="16"/>
        </w:rPr>
        <w:t xml:space="preserve"> Gaceta del Congreso de la República No. 71 del 2005.</w:t>
      </w:r>
    </w:p>
  </w:footnote>
  <w:footnote w:id="4">
    <w:p w14:paraId="740BED24" w14:textId="77777777" w:rsidR="00A1025E" w:rsidRPr="004674CF" w:rsidRDefault="00A1025E" w:rsidP="00A1025E">
      <w:pPr>
        <w:pStyle w:val="Textonotapie"/>
        <w:ind w:firstLine="709"/>
        <w:jc w:val="both"/>
        <w:rPr>
          <w:rFonts w:ascii="Verdana" w:hAnsi="Verdana" w:cs="Arial"/>
          <w:sz w:val="16"/>
          <w:szCs w:val="16"/>
          <w:lang w:val="pt-BR"/>
        </w:rPr>
      </w:pPr>
      <w:r w:rsidRPr="004674CF">
        <w:rPr>
          <w:rStyle w:val="Refdenotaalpie"/>
          <w:rFonts w:ascii="Verdana" w:hAnsi="Verdana" w:cs="Arial"/>
          <w:sz w:val="16"/>
          <w:szCs w:val="16"/>
        </w:rPr>
        <w:footnoteRef/>
      </w:r>
      <w:r w:rsidRPr="004674CF">
        <w:rPr>
          <w:rFonts w:ascii="Verdana" w:hAnsi="Verdana" w:cs="Arial"/>
          <w:sz w:val="16"/>
          <w:szCs w:val="16"/>
          <w:lang w:val="pt-BR"/>
        </w:rPr>
        <w:t xml:space="preserve"> Corte Constitucional, Sentencia C- 1153 de 2005, M.P. Marco Gerardo Monroy Cabra.</w:t>
      </w:r>
    </w:p>
  </w:footnote>
  <w:footnote w:id="5">
    <w:p w14:paraId="089585A1" w14:textId="77777777" w:rsidR="00A1025E" w:rsidRPr="004674CF" w:rsidRDefault="00A1025E" w:rsidP="00A1025E">
      <w:pPr>
        <w:pStyle w:val="Textonotapie"/>
        <w:ind w:firstLine="709"/>
        <w:jc w:val="both"/>
        <w:rPr>
          <w:rFonts w:ascii="Verdana" w:hAnsi="Verdana" w:cs="Arial"/>
          <w:sz w:val="16"/>
          <w:szCs w:val="16"/>
          <w:lang w:val="pt-BR"/>
        </w:rPr>
      </w:pPr>
      <w:r w:rsidRPr="004674CF">
        <w:rPr>
          <w:rStyle w:val="Refdenotaalpie"/>
          <w:rFonts w:ascii="Verdana" w:hAnsi="Verdana" w:cs="Arial"/>
          <w:sz w:val="16"/>
          <w:szCs w:val="16"/>
        </w:rPr>
        <w:footnoteRef/>
      </w:r>
      <w:r w:rsidRPr="004674CF">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6">
    <w:p w14:paraId="6B34153A" w14:textId="77777777" w:rsidR="00A1025E" w:rsidRPr="004674CF" w:rsidRDefault="00A1025E" w:rsidP="00A1025E">
      <w:pPr>
        <w:pStyle w:val="Textonotapie"/>
        <w:ind w:firstLine="709"/>
        <w:jc w:val="both"/>
        <w:rPr>
          <w:rFonts w:ascii="Verdana" w:hAnsi="Verdana" w:cs="Arial"/>
          <w:sz w:val="16"/>
          <w:szCs w:val="16"/>
          <w:lang w:val="es-CO"/>
        </w:rPr>
      </w:pPr>
      <w:r w:rsidRPr="004674CF">
        <w:rPr>
          <w:rStyle w:val="Refdenotaalpie"/>
          <w:rFonts w:ascii="Verdana" w:hAnsi="Verdana" w:cs="Arial"/>
          <w:sz w:val="16"/>
          <w:szCs w:val="16"/>
        </w:rPr>
        <w:footnoteRef/>
      </w:r>
      <w:r w:rsidRPr="004674CF">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7">
    <w:p w14:paraId="481F4490" w14:textId="77777777" w:rsidR="00A1025E" w:rsidRPr="004674CF" w:rsidRDefault="00A1025E" w:rsidP="00A1025E">
      <w:pPr>
        <w:pStyle w:val="Textonotapie"/>
        <w:ind w:firstLine="709"/>
        <w:jc w:val="both"/>
        <w:rPr>
          <w:rFonts w:ascii="Verdana" w:hAnsi="Verdana" w:cs="Arial"/>
          <w:sz w:val="16"/>
          <w:szCs w:val="16"/>
        </w:rPr>
      </w:pPr>
      <w:r w:rsidRPr="004674CF">
        <w:rPr>
          <w:rStyle w:val="Refdenotaalpie"/>
          <w:rFonts w:ascii="Verdana" w:hAnsi="Verdana" w:cs="Arial"/>
          <w:sz w:val="16"/>
          <w:szCs w:val="16"/>
        </w:rPr>
        <w:footnoteRef/>
      </w:r>
      <w:r w:rsidRPr="004674CF">
        <w:rPr>
          <w:rFonts w:ascii="Verdana" w:hAnsi="Verdana" w:cs="Arial"/>
          <w:sz w:val="16"/>
          <w:szCs w:val="16"/>
        </w:rPr>
        <w:t xml:space="preserve"> Consejo de Estado, Sala de Consulta y Servicio Civil de fecha 24 de julio de 2013, radicado 2166, C. P. Álvaro Namén Vargas.  </w:t>
      </w:r>
    </w:p>
  </w:footnote>
  <w:footnote w:id="8">
    <w:p w14:paraId="729610C4" w14:textId="77777777" w:rsidR="00A1025E" w:rsidRPr="004674CF" w:rsidRDefault="00A1025E" w:rsidP="00A1025E">
      <w:pPr>
        <w:spacing w:after="0" w:line="240" w:lineRule="auto"/>
        <w:ind w:firstLine="709"/>
        <w:jc w:val="both"/>
        <w:rPr>
          <w:rFonts w:ascii="Verdana" w:eastAsia="Times New Roman" w:hAnsi="Verdana" w:cs="Arial"/>
          <w:sz w:val="16"/>
          <w:szCs w:val="16"/>
        </w:rPr>
      </w:pPr>
      <w:r w:rsidRPr="004674CF">
        <w:rPr>
          <w:rStyle w:val="Refdenotaalpie"/>
          <w:rFonts w:ascii="Verdana" w:hAnsi="Verdana" w:cs="Arial"/>
          <w:sz w:val="16"/>
          <w:szCs w:val="16"/>
        </w:rPr>
        <w:footnoteRef/>
      </w:r>
      <w:r w:rsidRPr="004674CF">
        <w:rPr>
          <w:rFonts w:ascii="Verdana" w:hAnsi="Verdana" w:cs="Arial"/>
          <w:sz w:val="16"/>
          <w:szCs w:val="16"/>
        </w:rPr>
        <w:t xml:space="preserve"> </w:t>
      </w:r>
      <w:bookmarkStart w:id="7" w:name="33"/>
      <w:r w:rsidRPr="004674CF">
        <w:rPr>
          <w:rFonts w:ascii="Verdana" w:eastAsia="Calibri" w:hAnsi="Verdana" w:cs="Arial"/>
          <w:color w:val="000000"/>
          <w:sz w:val="16"/>
          <w:szCs w:val="16"/>
        </w:rPr>
        <w:t>“</w:t>
      </w:r>
      <w:r w:rsidRPr="004674CF">
        <w:rPr>
          <w:rFonts w:ascii="Verdana" w:eastAsia="Times New Roman" w:hAnsi="Verdana" w:cs="Arial"/>
          <w:sz w:val="16"/>
          <w:szCs w:val="16"/>
        </w:rPr>
        <w:t>Artículo 33. Restricciones a la contratación pública.</w:t>
      </w:r>
      <w:bookmarkEnd w:id="7"/>
      <w:r w:rsidRPr="004674CF">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020E21D9" w14:textId="77777777" w:rsidR="00A1025E" w:rsidRPr="004674CF" w:rsidRDefault="00A1025E" w:rsidP="00A1025E">
      <w:pPr>
        <w:spacing w:after="0" w:line="240" w:lineRule="auto"/>
        <w:ind w:firstLine="709"/>
        <w:jc w:val="both"/>
        <w:rPr>
          <w:rFonts w:ascii="Verdana" w:eastAsia="Times New Roman" w:hAnsi="Verdana" w:cs="Arial"/>
          <w:sz w:val="16"/>
          <w:szCs w:val="16"/>
        </w:rPr>
      </w:pPr>
      <w:r w:rsidRPr="004674CF">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4674CF">
        <w:rPr>
          <w:rFonts w:ascii="Verdana" w:eastAsia="Calibri" w:hAnsi="Verdana" w:cs="Arial"/>
          <w:color w:val="000000"/>
          <w:sz w:val="16"/>
          <w:szCs w:val="16"/>
        </w:rPr>
        <w:t>”</w:t>
      </w:r>
      <w:r w:rsidRPr="004674CF">
        <w:rPr>
          <w:rFonts w:ascii="Verdana" w:eastAsia="Times New Roman" w:hAnsi="Verdana" w:cs="Arial"/>
          <w:sz w:val="16"/>
          <w:szCs w:val="16"/>
        </w:rPr>
        <w:t>.</w:t>
      </w:r>
    </w:p>
  </w:footnote>
  <w:footnote w:id="9">
    <w:p w14:paraId="73353202" w14:textId="77777777" w:rsidR="00A1025E" w:rsidRPr="004674CF" w:rsidRDefault="00A1025E" w:rsidP="00A1025E">
      <w:pPr>
        <w:pStyle w:val="NormalWeb"/>
        <w:spacing w:before="0" w:beforeAutospacing="0" w:after="0" w:afterAutospacing="0"/>
        <w:ind w:firstLine="709"/>
        <w:jc w:val="both"/>
        <w:rPr>
          <w:rFonts w:ascii="Verdana" w:hAnsi="Verdana" w:cs="Arial"/>
          <w:sz w:val="16"/>
          <w:szCs w:val="16"/>
          <w:lang w:val="es-MX"/>
        </w:rPr>
      </w:pPr>
      <w:r w:rsidRPr="004674CF">
        <w:rPr>
          <w:rStyle w:val="Refdenotaalpie"/>
          <w:rFonts w:ascii="Verdana" w:hAnsi="Verdana" w:cs="Arial"/>
          <w:sz w:val="16"/>
          <w:szCs w:val="16"/>
        </w:rPr>
        <w:footnoteRef/>
      </w:r>
      <w:r w:rsidRPr="004674CF">
        <w:rPr>
          <w:rFonts w:ascii="Verdana" w:hAnsi="Verdana" w:cs="Arial"/>
          <w:sz w:val="16"/>
          <w:szCs w:val="16"/>
        </w:rPr>
        <w:t xml:space="preserve"> </w:t>
      </w:r>
      <w:bookmarkStart w:id="8" w:name="38"/>
      <w:r w:rsidRPr="004674CF">
        <w:rPr>
          <w:rFonts w:ascii="Verdana" w:eastAsia="Calibri" w:hAnsi="Verdana" w:cs="Arial"/>
          <w:color w:val="000000"/>
          <w:sz w:val="16"/>
          <w:szCs w:val="16"/>
        </w:rPr>
        <w:t>“</w:t>
      </w:r>
      <w:r w:rsidRPr="004674CF">
        <w:rPr>
          <w:rFonts w:ascii="Verdana" w:hAnsi="Verdana" w:cs="Arial"/>
          <w:sz w:val="16"/>
          <w:szCs w:val="16"/>
          <w:lang w:val="es-MX"/>
        </w:rPr>
        <w:t>Artículo 38. Prohibiciones para los servidores públicos. A los empleados del Estado les está prohibido:</w:t>
      </w:r>
      <w:bookmarkEnd w:id="8"/>
      <w:r w:rsidRPr="004674CF">
        <w:rPr>
          <w:rFonts w:ascii="Verdana" w:hAnsi="Verdana" w:cs="Arial"/>
          <w:sz w:val="16"/>
          <w:szCs w:val="16"/>
          <w:lang w:val="es-MX"/>
        </w:rPr>
        <w:t xml:space="preserve"> […]</w:t>
      </w:r>
    </w:p>
    <w:p w14:paraId="5ACC6F10" w14:textId="77777777" w:rsidR="00A1025E" w:rsidRPr="004674CF" w:rsidRDefault="00A1025E" w:rsidP="00A1025E">
      <w:pPr>
        <w:pStyle w:val="NormalWeb"/>
        <w:spacing w:before="0" w:beforeAutospacing="0" w:after="0" w:afterAutospacing="0"/>
        <w:ind w:firstLine="709"/>
        <w:jc w:val="both"/>
        <w:rPr>
          <w:rFonts w:ascii="Verdana" w:hAnsi="Verdana" w:cs="Arial"/>
          <w:sz w:val="16"/>
          <w:szCs w:val="16"/>
          <w:lang w:val="es-MX"/>
        </w:rPr>
      </w:pPr>
      <w:r w:rsidRPr="004674CF">
        <w:rPr>
          <w:rStyle w:val="baj"/>
          <w:rFonts w:ascii="Verdana" w:hAnsi="Verdana" w:cs="Arial"/>
          <w:sz w:val="16"/>
          <w:szCs w:val="16"/>
          <w:lang w:val="es-MX"/>
        </w:rPr>
        <w:t>Parágrafo.</w:t>
      </w:r>
      <w:r w:rsidRPr="004674CF">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4674CF">
        <w:rPr>
          <w:rFonts w:ascii="Verdana" w:eastAsia="Calibri" w:hAnsi="Verdana" w:cs="Arial"/>
          <w:color w:val="000000"/>
          <w:sz w:val="16"/>
          <w:szCs w:val="16"/>
        </w:rPr>
        <w:t>”</w:t>
      </w:r>
      <w:r w:rsidRPr="004674CF">
        <w:rPr>
          <w:rFonts w:ascii="Verdana" w:hAnsi="Verdana" w:cs="Arial"/>
          <w:sz w:val="16"/>
          <w:szCs w:val="16"/>
          <w:lang w:val="es-MX"/>
        </w:rPr>
        <w:t>.</w:t>
      </w:r>
    </w:p>
  </w:footnote>
  <w:footnote w:id="10">
    <w:p w14:paraId="6FCD9ECA" w14:textId="77777777" w:rsidR="00A1025E" w:rsidRPr="004674CF" w:rsidRDefault="00A1025E" w:rsidP="00A1025E">
      <w:pPr>
        <w:pStyle w:val="Textonotapie"/>
        <w:ind w:firstLine="708"/>
        <w:jc w:val="both"/>
        <w:rPr>
          <w:rFonts w:ascii="Verdana" w:hAnsi="Verdana" w:cs="Arial"/>
          <w:sz w:val="16"/>
          <w:szCs w:val="16"/>
        </w:rPr>
      </w:pPr>
      <w:r w:rsidRPr="004674CF">
        <w:rPr>
          <w:rStyle w:val="Refdenotaalpie"/>
          <w:rFonts w:ascii="Verdana" w:hAnsi="Verdana" w:cs="Arial"/>
          <w:sz w:val="16"/>
          <w:szCs w:val="16"/>
        </w:rPr>
        <w:footnoteRef/>
      </w:r>
      <w:r w:rsidRPr="004674CF">
        <w:rPr>
          <w:rFonts w:ascii="Verdana" w:hAnsi="Verdana" w:cs="Arial"/>
          <w:sz w:val="16"/>
          <w:szCs w:val="16"/>
        </w:rPr>
        <w:t xml:space="preserve"> Colombia Compra Eficiente. Circular Externa Única. Numeral 16.5. </w:t>
      </w:r>
    </w:p>
  </w:footnote>
  <w:footnote w:id="11">
    <w:p w14:paraId="3E518D64" w14:textId="77777777" w:rsidR="00A1025E" w:rsidRPr="004674CF" w:rsidRDefault="00A1025E" w:rsidP="00A1025E">
      <w:pPr>
        <w:spacing w:after="0" w:line="240" w:lineRule="auto"/>
        <w:ind w:left="100" w:right="244" w:firstLine="608"/>
        <w:jc w:val="both"/>
        <w:rPr>
          <w:rFonts w:ascii="Verdana" w:hAnsi="Verdana" w:cs="Arial"/>
          <w:sz w:val="16"/>
          <w:szCs w:val="16"/>
          <w:lang w:val="es-ES"/>
        </w:rPr>
      </w:pPr>
      <w:r w:rsidRPr="004674CF">
        <w:rPr>
          <w:rStyle w:val="Refdenotaalpie"/>
          <w:rFonts w:ascii="Verdana" w:hAnsi="Verdana" w:cs="Arial"/>
          <w:sz w:val="16"/>
          <w:szCs w:val="16"/>
        </w:rPr>
        <w:footnoteRef/>
      </w:r>
      <w:r w:rsidRPr="004674CF">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2">
    <w:p w14:paraId="59A9FF48" w14:textId="77777777" w:rsidR="00A1025E" w:rsidRPr="004674CF" w:rsidRDefault="00A1025E" w:rsidP="00A1025E">
      <w:pPr>
        <w:pStyle w:val="Textonotapie"/>
        <w:ind w:right="51" w:firstLine="709"/>
        <w:jc w:val="both"/>
        <w:rPr>
          <w:rFonts w:ascii="Verdana" w:hAnsi="Verdana" w:cs="Arial"/>
          <w:sz w:val="16"/>
          <w:szCs w:val="16"/>
        </w:rPr>
      </w:pPr>
      <w:r w:rsidRPr="004674CF">
        <w:rPr>
          <w:rStyle w:val="Refdenotaalpie"/>
          <w:rFonts w:ascii="Verdana" w:hAnsi="Verdana" w:cs="Arial"/>
          <w:sz w:val="16"/>
          <w:szCs w:val="16"/>
        </w:rPr>
        <w:footnoteRef/>
      </w:r>
      <w:r w:rsidRPr="004674CF">
        <w:rPr>
          <w:rFonts w:ascii="Verdana" w:hAnsi="Verdana" w:cs="Arial"/>
          <w:sz w:val="16"/>
          <w:szCs w:val="16"/>
        </w:rPr>
        <w:t xml:space="preserve"> “</w:t>
      </w:r>
      <w:r w:rsidRPr="004674CF">
        <w:rPr>
          <w:rFonts w:ascii="Verdana" w:hAnsi="Verdana" w:cs="Arial"/>
          <w:sz w:val="16"/>
          <w:szCs w:val="16"/>
          <w:lang w:val="es-ES"/>
        </w:rPr>
        <w:t xml:space="preserve">[25] </w:t>
      </w:r>
      <w:r w:rsidRPr="004674CF">
        <w:rPr>
          <w:rFonts w:ascii="Verdana" w:hAnsi="Verdana" w:cs="Arial"/>
          <w:sz w:val="16"/>
          <w:szCs w:val="16"/>
        </w:rPr>
        <w:t>Cfr. Consejo de Estado. Sección Tercera. Sentencia de 3 de diciembre de 2007. Radicados: 24.715, 25.206, 25.409, 24.524, 27.834, 25.410, 26.105, 28.244, 31.447 -acumulados-“.</w:t>
      </w:r>
    </w:p>
  </w:footnote>
  <w:footnote w:id="13">
    <w:p w14:paraId="69B351B5" w14:textId="77777777" w:rsidR="00A1025E" w:rsidRPr="004674CF" w:rsidRDefault="00A1025E" w:rsidP="00A1025E">
      <w:pPr>
        <w:pStyle w:val="Textonotapie"/>
        <w:ind w:right="51" w:firstLine="709"/>
        <w:jc w:val="both"/>
        <w:rPr>
          <w:rFonts w:ascii="Verdana" w:hAnsi="Verdana" w:cs="Arial"/>
          <w:sz w:val="16"/>
          <w:szCs w:val="16"/>
        </w:rPr>
      </w:pPr>
      <w:r w:rsidRPr="004674CF">
        <w:rPr>
          <w:rStyle w:val="Refdenotaalpie"/>
          <w:rFonts w:ascii="Verdana" w:hAnsi="Verdana" w:cs="Arial"/>
          <w:sz w:val="16"/>
          <w:szCs w:val="16"/>
        </w:rPr>
        <w:footnoteRef/>
      </w:r>
      <w:r w:rsidRPr="004674CF">
        <w:rPr>
          <w:rFonts w:ascii="Verdana" w:hAnsi="Verdana" w:cs="Arial"/>
          <w:sz w:val="16"/>
          <w:szCs w:val="16"/>
        </w:rPr>
        <w:t xml:space="preserve"> “</w:t>
      </w:r>
      <w:r w:rsidRPr="004674CF">
        <w:rPr>
          <w:rFonts w:ascii="Verdana" w:hAnsi="Verdana" w:cs="Arial"/>
          <w:sz w:val="16"/>
          <w:szCs w:val="16"/>
          <w:lang w:val="es-ES"/>
        </w:rPr>
        <w:t xml:space="preserve">[26] </w:t>
      </w:r>
      <w:r w:rsidRPr="004674CF">
        <w:rPr>
          <w:rFonts w:ascii="Verdana" w:hAnsi="Verdana" w:cs="Arial"/>
          <w:sz w:val="16"/>
          <w:szCs w:val="16"/>
        </w:rPr>
        <w:t>Al respecto ver el concepto 1712 de 2 de febrero de 2006. Consejo de Estado Sala de Consulta y Servicio Civil”.</w:t>
      </w:r>
    </w:p>
  </w:footnote>
  <w:footnote w:id="14">
    <w:p w14:paraId="1F5283D1" w14:textId="77777777" w:rsidR="00A1025E" w:rsidRPr="004674CF" w:rsidRDefault="00A1025E" w:rsidP="00A1025E">
      <w:pPr>
        <w:pStyle w:val="Textonotapie"/>
        <w:ind w:firstLine="709"/>
        <w:jc w:val="both"/>
        <w:rPr>
          <w:rFonts w:ascii="Verdana" w:hAnsi="Verdana" w:cs="Arial"/>
          <w:sz w:val="16"/>
          <w:szCs w:val="16"/>
        </w:rPr>
      </w:pPr>
      <w:r w:rsidRPr="004674CF">
        <w:rPr>
          <w:rStyle w:val="Refdenotaalpie"/>
          <w:rFonts w:ascii="Verdana" w:hAnsi="Verdana" w:cs="Arial"/>
          <w:sz w:val="16"/>
          <w:szCs w:val="16"/>
        </w:rPr>
        <w:footnoteRef/>
      </w:r>
      <w:r w:rsidRPr="004674CF">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5">
    <w:p w14:paraId="3B97B474" w14:textId="77777777" w:rsidR="00A1025E" w:rsidRPr="004674CF" w:rsidRDefault="00A1025E" w:rsidP="00A1025E">
      <w:pPr>
        <w:pStyle w:val="Textonotapie"/>
        <w:ind w:firstLine="709"/>
        <w:jc w:val="both"/>
        <w:rPr>
          <w:rFonts w:ascii="Verdana" w:hAnsi="Verdana" w:cs="Arial"/>
          <w:sz w:val="16"/>
          <w:szCs w:val="16"/>
          <w:lang w:val="es-ES"/>
        </w:rPr>
      </w:pPr>
      <w:r w:rsidRPr="004674CF">
        <w:rPr>
          <w:rStyle w:val="Refdenotaalpie"/>
          <w:rFonts w:ascii="Verdana" w:hAnsi="Verdana" w:cs="Arial"/>
          <w:sz w:val="16"/>
          <w:szCs w:val="16"/>
        </w:rPr>
        <w:footnoteRef/>
      </w:r>
      <w:r w:rsidRPr="004674CF">
        <w:rPr>
          <w:rFonts w:ascii="Verdana" w:hAnsi="Verdana" w:cs="Arial"/>
          <w:sz w:val="16"/>
          <w:szCs w:val="16"/>
        </w:rPr>
        <w:t xml:space="preserve"> </w:t>
      </w:r>
      <w:r w:rsidRPr="004674CF">
        <w:rPr>
          <w:rFonts w:ascii="Verdana" w:hAnsi="Verdana" w:cs="Arial"/>
          <w:sz w:val="16"/>
          <w:szCs w:val="16"/>
          <w:lang w:val="es-ES"/>
        </w:rPr>
        <w:t xml:space="preserve">Artículo 2. </w:t>
      </w:r>
    </w:p>
  </w:footnote>
  <w:footnote w:id="16">
    <w:p w14:paraId="45F2A393" w14:textId="77777777" w:rsidR="00A1025E" w:rsidRPr="004674CF" w:rsidRDefault="00A1025E" w:rsidP="00A1025E">
      <w:pPr>
        <w:pStyle w:val="Textonotapie"/>
        <w:ind w:firstLine="709"/>
        <w:jc w:val="both"/>
        <w:rPr>
          <w:rFonts w:ascii="Verdana" w:hAnsi="Verdana" w:cs="Arial"/>
          <w:sz w:val="16"/>
          <w:szCs w:val="16"/>
          <w:lang w:val="es-ES"/>
        </w:rPr>
      </w:pPr>
      <w:r w:rsidRPr="004674CF">
        <w:rPr>
          <w:rStyle w:val="Refdenotaalpie"/>
          <w:rFonts w:ascii="Verdana" w:hAnsi="Verdana" w:cs="Arial"/>
          <w:sz w:val="16"/>
          <w:szCs w:val="16"/>
        </w:rPr>
        <w:footnoteRef/>
      </w:r>
      <w:r w:rsidRPr="004674CF">
        <w:rPr>
          <w:rFonts w:ascii="Verdana" w:hAnsi="Verdana" w:cs="Arial"/>
          <w:sz w:val="16"/>
          <w:szCs w:val="16"/>
        </w:rPr>
        <w:t xml:space="preserve"> </w:t>
      </w:r>
      <w:r w:rsidRPr="004674CF">
        <w:rPr>
          <w:rFonts w:ascii="Verdana" w:hAnsi="Verdana" w:cs="Arial"/>
          <w:i/>
          <w:sz w:val="16"/>
          <w:szCs w:val="16"/>
          <w:lang w:val="es-ES"/>
        </w:rPr>
        <w:t>Ídem</w:t>
      </w:r>
      <w:r w:rsidRPr="004674CF">
        <w:rPr>
          <w:rFonts w:ascii="Verdana" w:hAnsi="Verdana" w:cs="Arial"/>
          <w:sz w:val="16"/>
          <w:szCs w:val="16"/>
          <w:lang w:val="es-ES"/>
        </w:rPr>
        <w:t>.</w:t>
      </w:r>
    </w:p>
  </w:footnote>
  <w:footnote w:id="17">
    <w:p w14:paraId="087A2BA7" w14:textId="77777777" w:rsidR="00A1025E" w:rsidRPr="004674CF" w:rsidRDefault="00A1025E" w:rsidP="00A1025E">
      <w:pPr>
        <w:pStyle w:val="Textonotapie"/>
        <w:ind w:firstLine="709"/>
        <w:jc w:val="both"/>
        <w:rPr>
          <w:rFonts w:ascii="Verdana" w:hAnsi="Verdana" w:cs="Arial"/>
          <w:sz w:val="16"/>
          <w:szCs w:val="16"/>
          <w:lang w:val="es-ES"/>
        </w:rPr>
      </w:pPr>
      <w:r w:rsidRPr="004674CF">
        <w:rPr>
          <w:rStyle w:val="Refdenotaalpie"/>
          <w:rFonts w:ascii="Verdana" w:hAnsi="Verdana" w:cs="Arial"/>
          <w:sz w:val="16"/>
          <w:szCs w:val="16"/>
        </w:rPr>
        <w:footnoteRef/>
      </w:r>
      <w:r w:rsidRPr="004674CF">
        <w:rPr>
          <w:rStyle w:val="Refdenotaalpie"/>
          <w:rFonts w:ascii="Verdana" w:hAnsi="Verdana" w:cs="Arial"/>
          <w:sz w:val="16"/>
          <w:szCs w:val="16"/>
        </w:rPr>
        <w:t xml:space="preserve"> </w:t>
      </w:r>
      <w:r w:rsidRPr="004674CF">
        <w:rPr>
          <w:rFonts w:ascii="Verdana" w:hAnsi="Verdana" w:cs="Arial"/>
          <w:sz w:val="16"/>
          <w:szCs w:val="16"/>
          <w:lang w:val="es-ES"/>
        </w:rPr>
        <w:t xml:space="preserve">“[…] A este respecto, cabe recordar que el artículo 860 del Código de Comercio regula la licitación en el derecho privado”. </w:t>
      </w:r>
    </w:p>
  </w:footnote>
  <w:footnote w:id="18">
    <w:p w14:paraId="51E952B3" w14:textId="77777777" w:rsidR="00A1025E" w:rsidRPr="004674CF" w:rsidRDefault="00A1025E" w:rsidP="00A1025E">
      <w:pPr>
        <w:shd w:val="clear" w:color="auto" w:fill="FFFFFF"/>
        <w:spacing w:after="0" w:line="240" w:lineRule="auto"/>
        <w:ind w:firstLine="709"/>
        <w:jc w:val="both"/>
        <w:rPr>
          <w:rFonts w:ascii="Verdana" w:hAnsi="Verdana" w:cs="Arial"/>
          <w:sz w:val="16"/>
          <w:szCs w:val="16"/>
          <w:lang w:val="es-ES"/>
        </w:rPr>
      </w:pPr>
      <w:r w:rsidRPr="004674CF">
        <w:rPr>
          <w:rStyle w:val="Refdenotaalpie"/>
          <w:rFonts w:ascii="Verdana" w:hAnsi="Verdana" w:cs="Arial"/>
          <w:sz w:val="16"/>
          <w:szCs w:val="16"/>
        </w:rPr>
        <w:footnoteRef/>
      </w:r>
      <w:r w:rsidRPr="004674CF">
        <w:rPr>
          <w:rStyle w:val="Refdenotaalpie"/>
          <w:rFonts w:ascii="Verdana" w:hAnsi="Verdana" w:cs="Arial"/>
          <w:sz w:val="16"/>
          <w:szCs w:val="16"/>
        </w:rPr>
        <w:t xml:space="preserve"> </w:t>
      </w:r>
      <w:r w:rsidRPr="004674CF">
        <w:rPr>
          <w:rFonts w:ascii="Verdana" w:hAnsi="Verdana" w:cs="Arial"/>
          <w:sz w:val="16"/>
          <w:szCs w:val="16"/>
          <w:lang w:val="es-ES"/>
        </w:rPr>
        <w:t>Consejo de Estado. Sala de Consulta y Servicio Civil, Concepto de 8 de mayo de 2018. C.P. Álvaro Namén Vargas. Rad. 2382.</w:t>
      </w:r>
    </w:p>
  </w:footnote>
  <w:footnote w:id="19">
    <w:p w14:paraId="7F167D3B" w14:textId="77777777" w:rsidR="00A1025E" w:rsidRPr="004674CF" w:rsidRDefault="00A1025E" w:rsidP="00A1025E">
      <w:pPr>
        <w:pStyle w:val="Textonotapie"/>
        <w:ind w:firstLine="709"/>
        <w:jc w:val="both"/>
        <w:rPr>
          <w:rFonts w:ascii="Verdana" w:hAnsi="Verdana" w:cs="Arial"/>
          <w:sz w:val="16"/>
          <w:szCs w:val="16"/>
        </w:rPr>
      </w:pPr>
      <w:r w:rsidRPr="004674CF">
        <w:rPr>
          <w:rStyle w:val="Refdenotaalpie"/>
          <w:rFonts w:ascii="Verdana" w:hAnsi="Verdana" w:cs="Arial"/>
          <w:sz w:val="16"/>
          <w:szCs w:val="16"/>
        </w:rPr>
        <w:footnoteRef/>
      </w:r>
      <w:r w:rsidRPr="004674CF">
        <w:rPr>
          <w:rFonts w:ascii="Verdana" w:hAnsi="Verdana" w:cs="Arial"/>
          <w:sz w:val="16"/>
          <w:szCs w:val="16"/>
        </w:rPr>
        <w:t xml:space="preserve"> Consejo de Estado. Sala de Consulta y Servicio Civil. Concepto del 08 de mayo de 2018.</w:t>
      </w:r>
      <w:r w:rsidRPr="004674CF">
        <w:rPr>
          <w:rFonts w:ascii="Verdana" w:hAnsi="Verdana" w:cs="Arial"/>
          <w:sz w:val="16"/>
          <w:szCs w:val="16"/>
          <w:lang w:val="es-CO"/>
        </w:rPr>
        <w:t xml:space="preserve"> C.P. Álvaro Namén Vargas.</w:t>
      </w:r>
      <w:r w:rsidRPr="004674CF">
        <w:rPr>
          <w:rFonts w:ascii="Verdana" w:hAnsi="Verdana" w:cs="Arial"/>
          <w:sz w:val="16"/>
          <w:szCs w:val="16"/>
        </w:rPr>
        <w:t xml:space="preserve"> Exp. 2.382.</w:t>
      </w:r>
    </w:p>
  </w:footnote>
  <w:footnote w:id="20">
    <w:p w14:paraId="1CCF4954" w14:textId="77777777" w:rsidR="00A1025E" w:rsidRPr="004674CF" w:rsidRDefault="00A1025E" w:rsidP="00A1025E">
      <w:pPr>
        <w:pStyle w:val="Textonotapie"/>
        <w:ind w:firstLine="708"/>
        <w:jc w:val="both"/>
        <w:rPr>
          <w:rFonts w:ascii="Verdana" w:hAnsi="Verdana" w:cs="Arial"/>
          <w:sz w:val="16"/>
          <w:szCs w:val="16"/>
        </w:rPr>
      </w:pPr>
      <w:r w:rsidRPr="004674CF">
        <w:rPr>
          <w:rStyle w:val="Refdenotaalpie"/>
          <w:rFonts w:ascii="Verdana" w:hAnsi="Verdana" w:cs="Arial"/>
          <w:sz w:val="16"/>
          <w:szCs w:val="16"/>
        </w:rPr>
        <w:footnoteRef/>
      </w:r>
      <w:r w:rsidRPr="004674CF">
        <w:rPr>
          <w:rFonts w:ascii="Verdana" w:hAnsi="Verdana" w:cs="Arial"/>
          <w:sz w:val="16"/>
          <w:szCs w:val="16"/>
        </w:rPr>
        <w:t xml:space="preserve"> Colombia Compra Eficiente. Circular Externa Única. Numeral 16.5. En este sentido, la Agencia ha expresado: “[…] las prórrogas, modificaciones o adiciones, y la cesión de los contratos suscritos antes del período de la campaña electoral, pueden realizarse en cualquier tiempo antes o después del comienzo de la aplicación de la Ley de Garantías, siempre y cuando el contrato se encuentre vigente y se observen las demás disposiciones conforme a las cuales deben realizarse dichas actuaciones”.</w:t>
      </w:r>
    </w:p>
  </w:footnote>
  <w:footnote w:id="21">
    <w:p w14:paraId="573CEFF5" w14:textId="77777777" w:rsidR="00A1025E" w:rsidRPr="004674CF" w:rsidRDefault="00A1025E" w:rsidP="00A1025E">
      <w:pPr>
        <w:pStyle w:val="Textonotapie"/>
        <w:ind w:firstLine="709"/>
        <w:jc w:val="both"/>
        <w:rPr>
          <w:rFonts w:ascii="Verdana" w:hAnsi="Verdana" w:cs="Arial"/>
          <w:sz w:val="16"/>
          <w:szCs w:val="16"/>
        </w:rPr>
      </w:pPr>
      <w:r w:rsidRPr="004674CF">
        <w:rPr>
          <w:rStyle w:val="Refdenotaalpie"/>
          <w:rFonts w:ascii="Verdana" w:hAnsi="Verdana" w:cs="Arial"/>
          <w:sz w:val="16"/>
          <w:szCs w:val="16"/>
        </w:rPr>
        <w:footnoteRef/>
      </w:r>
      <w:r w:rsidRPr="004674CF">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22">
    <w:p w14:paraId="57CE7F0A" w14:textId="77777777" w:rsidR="00A1025E" w:rsidRPr="004674CF" w:rsidRDefault="00A1025E" w:rsidP="00A1025E">
      <w:pPr>
        <w:spacing w:after="0" w:line="240" w:lineRule="auto"/>
        <w:ind w:firstLine="709"/>
        <w:jc w:val="both"/>
        <w:rPr>
          <w:rFonts w:ascii="Verdana" w:hAnsi="Verdana" w:cs="Arial"/>
          <w:sz w:val="16"/>
          <w:szCs w:val="16"/>
        </w:rPr>
      </w:pPr>
      <w:r w:rsidRPr="004674CF">
        <w:rPr>
          <w:rStyle w:val="Refdenotaalpie"/>
          <w:rFonts w:ascii="Verdana" w:hAnsi="Verdana" w:cs="Arial"/>
          <w:sz w:val="16"/>
          <w:szCs w:val="16"/>
        </w:rPr>
        <w:footnoteRef/>
      </w:r>
      <w:r w:rsidRPr="004674CF">
        <w:rPr>
          <w:rFonts w:ascii="Verdana" w:hAnsi="Verdana" w:cs="Arial"/>
          <w:sz w:val="16"/>
          <w:szCs w:val="16"/>
        </w:rPr>
        <w:t xml:space="preserve"> Consejo de Estado. Sala de Consulta y Servicio Civil. Concepto de 20 de febrero de 2006. C.P. Enrique José Arboleda Perdomo. Rad. 1727.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3">
    <w:p w14:paraId="27EC9832" w14:textId="77777777" w:rsidR="00A1025E" w:rsidRPr="004674CF" w:rsidRDefault="00A1025E" w:rsidP="00A1025E">
      <w:pPr>
        <w:pStyle w:val="Textonotapie"/>
        <w:ind w:right="51" w:firstLine="709"/>
        <w:jc w:val="both"/>
        <w:rPr>
          <w:rFonts w:ascii="Verdana" w:eastAsia="Times New Roman" w:hAnsi="Verdana" w:cs="Arial"/>
          <w:bCs/>
          <w:sz w:val="16"/>
          <w:szCs w:val="16"/>
          <w:lang w:eastAsia="x-none"/>
        </w:rPr>
      </w:pPr>
      <w:r w:rsidRPr="004674CF">
        <w:rPr>
          <w:rStyle w:val="Refdenotaalpie"/>
          <w:rFonts w:ascii="Verdana" w:hAnsi="Verdana" w:cs="Arial"/>
          <w:sz w:val="16"/>
          <w:szCs w:val="16"/>
        </w:rPr>
        <w:footnoteRef/>
      </w:r>
      <w:r w:rsidRPr="004674CF">
        <w:rPr>
          <w:rFonts w:ascii="Verdana" w:hAnsi="Verdana" w:cs="Arial"/>
          <w:sz w:val="16"/>
          <w:szCs w:val="16"/>
        </w:rPr>
        <w:t xml:space="preserve"> Consejo de Estado. Sala de Consulta y Servicio Civil. Concepto de 6 de abril de 2006.C.P. Enrique José Arboleda Perdomo. </w:t>
      </w:r>
      <w:r w:rsidRPr="004674CF">
        <w:rPr>
          <w:rFonts w:ascii="Verdana" w:hAnsi="Verdana" w:cs="Arial"/>
          <w:sz w:val="16"/>
          <w:szCs w:val="16"/>
          <w:lang w:val="es-CO"/>
        </w:rPr>
        <w:t>Rad. 1738</w:t>
      </w:r>
      <w:r w:rsidRPr="004674CF">
        <w:rPr>
          <w:rFonts w:ascii="Verdana" w:eastAsia="Times New Roman" w:hAnsi="Verdana" w:cs="Arial"/>
          <w:bCs/>
          <w:sz w:val="16"/>
          <w:szCs w:val="16"/>
          <w:lang w:eastAsia="x-none"/>
        </w:rPr>
        <w:t xml:space="preserve"> “</w:t>
      </w:r>
      <w:r w:rsidRPr="004674CF">
        <w:rPr>
          <w:rFonts w:ascii="Verdana" w:hAnsi="Verdana" w:cs="Arial"/>
          <w:sz w:val="16"/>
          <w:szCs w:val="16"/>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4674CF">
        <w:rPr>
          <w:rFonts w:ascii="Verdana" w:eastAsia="Times New Roman" w:hAnsi="Verdana" w:cs="Arial"/>
          <w:bCs/>
          <w:sz w:val="16"/>
          <w:szCs w:val="16"/>
          <w:lang w:eastAsia="x-none"/>
        </w:rPr>
        <w:t>”.</w:t>
      </w:r>
    </w:p>
  </w:footnote>
  <w:footnote w:id="24">
    <w:p w14:paraId="3A978FC7" w14:textId="77777777" w:rsidR="00A1025E" w:rsidRPr="004674CF" w:rsidRDefault="00A1025E" w:rsidP="00A1025E">
      <w:pPr>
        <w:spacing w:after="0" w:line="240" w:lineRule="auto"/>
        <w:ind w:firstLine="708"/>
        <w:jc w:val="both"/>
        <w:rPr>
          <w:rFonts w:ascii="Verdana" w:hAnsi="Verdana" w:cs="Arial"/>
          <w:sz w:val="16"/>
          <w:szCs w:val="16"/>
        </w:rPr>
      </w:pPr>
      <w:r w:rsidRPr="004674CF">
        <w:rPr>
          <w:rStyle w:val="Refdenotaalpie"/>
          <w:rFonts w:ascii="Verdana" w:hAnsi="Verdana" w:cs="Arial"/>
          <w:sz w:val="16"/>
          <w:szCs w:val="16"/>
        </w:rPr>
        <w:footnoteRef/>
      </w:r>
      <w:r w:rsidRPr="004674CF">
        <w:rPr>
          <w:rFonts w:ascii="Verdana" w:hAnsi="Verdana" w:cs="Arial"/>
          <w:sz w:val="16"/>
          <w:szCs w:val="16"/>
        </w:rPr>
        <w:t xml:space="preserve"> Consejo de Estado. Sala de Consulta y Servicio Civil. Concepto de 6 de abril de 2006. C.P. Enrique José Arboleda Perdomo. Rad. 1738. </w:t>
      </w:r>
    </w:p>
  </w:footnote>
  <w:footnote w:id="25">
    <w:p w14:paraId="6373A86C" w14:textId="77777777" w:rsidR="00A1025E" w:rsidRPr="004674CF" w:rsidRDefault="00A1025E" w:rsidP="00A1025E">
      <w:pPr>
        <w:pStyle w:val="Textonotapie"/>
        <w:ind w:right="51" w:firstLine="709"/>
        <w:jc w:val="both"/>
        <w:rPr>
          <w:rFonts w:ascii="Verdana" w:hAnsi="Verdana" w:cs="Arial"/>
          <w:sz w:val="16"/>
          <w:szCs w:val="16"/>
        </w:rPr>
      </w:pPr>
      <w:r w:rsidRPr="004674CF">
        <w:rPr>
          <w:rStyle w:val="Refdenotaalpie"/>
          <w:rFonts w:ascii="Verdana" w:hAnsi="Verdana" w:cs="Arial"/>
          <w:sz w:val="16"/>
          <w:szCs w:val="16"/>
        </w:rPr>
        <w:footnoteRef/>
      </w:r>
      <w:r w:rsidRPr="004674CF">
        <w:rPr>
          <w:rFonts w:ascii="Verdana" w:hAnsi="Verdana" w:cs="Arial"/>
          <w:sz w:val="16"/>
          <w:szCs w:val="16"/>
        </w:rPr>
        <w:t xml:space="preserve"> Consejo de Estado. Sala de Consulta y Servicio Civil, ídem.</w:t>
      </w:r>
    </w:p>
  </w:footnote>
  <w:footnote w:id="26">
    <w:p w14:paraId="67111CFC" w14:textId="77777777" w:rsidR="00A1025E" w:rsidRPr="004674CF" w:rsidRDefault="00A1025E" w:rsidP="00A1025E">
      <w:pPr>
        <w:pStyle w:val="Textonotapie"/>
        <w:ind w:firstLine="708"/>
        <w:jc w:val="both"/>
        <w:rPr>
          <w:rFonts w:ascii="Arial" w:hAnsi="Arial" w:cs="Arial"/>
          <w:sz w:val="16"/>
          <w:szCs w:val="16"/>
        </w:rPr>
      </w:pPr>
      <w:r w:rsidRPr="004674CF">
        <w:rPr>
          <w:rStyle w:val="Refdenotaalpie"/>
          <w:rFonts w:ascii="Verdana" w:hAnsi="Verdana" w:cs="Arial"/>
          <w:sz w:val="16"/>
          <w:szCs w:val="16"/>
        </w:rPr>
        <w:footnoteRef/>
      </w:r>
      <w:r w:rsidRPr="004674CF">
        <w:rPr>
          <w:rFonts w:ascii="Verdana" w:hAnsi="Verdana" w:cs="Arial"/>
          <w:sz w:val="16"/>
          <w:szCs w:val="16"/>
        </w:rPr>
        <w:t xml:space="preserve"> Colombia Compra Eficiente. Circular Externa Única. Numeral 15.5.</w:t>
      </w:r>
    </w:p>
  </w:footnote>
  <w:footnote w:id="27">
    <w:p w14:paraId="1691E304" w14:textId="77777777" w:rsidR="00A1025E" w:rsidRPr="004674CF" w:rsidRDefault="00A1025E" w:rsidP="00A1025E">
      <w:pPr>
        <w:pStyle w:val="Textonotapie"/>
        <w:ind w:firstLine="709"/>
        <w:contextualSpacing/>
        <w:jc w:val="both"/>
        <w:rPr>
          <w:rFonts w:ascii="Verdana" w:hAnsi="Verdana" w:cs="Arial"/>
          <w:sz w:val="16"/>
          <w:szCs w:val="16"/>
        </w:rPr>
      </w:pPr>
      <w:r w:rsidRPr="004674CF">
        <w:rPr>
          <w:rStyle w:val="Refdenotaalpie"/>
          <w:rFonts w:ascii="Verdana" w:hAnsi="Verdana"/>
          <w:sz w:val="16"/>
          <w:szCs w:val="16"/>
        </w:rPr>
        <w:footnoteRef/>
      </w:r>
      <w:r w:rsidRPr="004674CF">
        <w:rPr>
          <w:rFonts w:ascii="Verdana" w:hAnsi="Verdana"/>
          <w:sz w:val="16"/>
          <w:szCs w:val="16"/>
        </w:rPr>
        <w:t xml:space="preserve"> </w:t>
      </w:r>
      <w:r w:rsidRPr="004674CF">
        <w:rPr>
          <w:rFonts w:ascii="Verdana" w:hAnsi="Verdana" w:cs="Arial"/>
          <w:sz w:val="16"/>
          <w:szCs w:val="16"/>
        </w:rPr>
        <w:t xml:space="preserve">Consejo de Estado -Sección Tercera-. Sentencia del 21 de febrero de 2025. CP: José Roberto Sáchica Méndez. Exp. 68.280. </w:t>
      </w:r>
    </w:p>
  </w:footnote>
  <w:footnote w:id="28">
    <w:p w14:paraId="75BEC067" w14:textId="77777777" w:rsidR="00A1025E" w:rsidRPr="004674CF" w:rsidRDefault="00A1025E" w:rsidP="00A1025E">
      <w:pPr>
        <w:pStyle w:val="Textonotapie"/>
        <w:ind w:firstLine="709"/>
        <w:contextualSpacing/>
        <w:jc w:val="both"/>
        <w:rPr>
          <w:rFonts w:ascii="Verdana" w:hAnsi="Verdana" w:cs="Arial"/>
          <w:sz w:val="16"/>
          <w:szCs w:val="16"/>
        </w:rPr>
      </w:pPr>
      <w:r w:rsidRPr="004674CF">
        <w:rPr>
          <w:rFonts w:ascii="Verdana" w:hAnsi="Verdana"/>
          <w:sz w:val="16"/>
          <w:szCs w:val="16"/>
          <w:vertAlign w:val="superscript"/>
        </w:rPr>
        <w:footnoteRef/>
      </w:r>
      <w:r w:rsidRPr="004674CF">
        <w:rPr>
          <w:rFonts w:ascii="Verdana" w:hAnsi="Verdana"/>
          <w:sz w:val="16"/>
          <w:szCs w:val="16"/>
          <w:vertAlign w:val="superscript"/>
        </w:rPr>
        <w:t xml:space="preserve"> </w:t>
      </w:r>
      <w:r w:rsidRPr="004674CF">
        <w:rPr>
          <w:rFonts w:ascii="Verdana" w:hAnsi="Verdana" w:cs="Arial"/>
          <w:sz w:val="16"/>
          <w:szCs w:val="16"/>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footnote>
  <w:footnote w:id="29">
    <w:p w14:paraId="31E83936" w14:textId="77777777" w:rsidR="00A1025E" w:rsidRPr="004674CF" w:rsidRDefault="00A1025E" w:rsidP="00A1025E">
      <w:pPr>
        <w:pStyle w:val="Textonotapie"/>
        <w:ind w:firstLine="709"/>
        <w:contextualSpacing/>
        <w:jc w:val="both"/>
        <w:rPr>
          <w:rFonts w:ascii="Verdana" w:hAnsi="Verdana" w:cs="Arial"/>
          <w:sz w:val="16"/>
          <w:szCs w:val="16"/>
        </w:rPr>
      </w:pPr>
      <w:r w:rsidRPr="004674CF">
        <w:rPr>
          <w:rFonts w:ascii="Verdana" w:hAnsi="Verdana"/>
          <w:sz w:val="16"/>
          <w:szCs w:val="16"/>
          <w:vertAlign w:val="superscript"/>
        </w:rPr>
        <w:footnoteRef/>
      </w:r>
      <w:r w:rsidRPr="004674CF">
        <w:rPr>
          <w:rFonts w:ascii="Verdana" w:hAnsi="Verdana" w:cs="Arial"/>
          <w:sz w:val="16"/>
          <w:szCs w:val="16"/>
          <w:vertAlign w:val="superscript"/>
        </w:rPr>
        <w:t xml:space="preserve"> </w:t>
      </w:r>
      <w:r w:rsidRPr="004674CF">
        <w:rPr>
          <w:rFonts w:ascii="Verdana" w:hAnsi="Verdana" w:cs="Arial"/>
          <w:sz w:val="16"/>
          <w:szCs w:val="16"/>
        </w:rPr>
        <w:t>Ley 80 de 1993: “Artículo 41. Del perfeccionamiento del contrato. Los contratos del Estado se perfeccionan cuando se logre acuerdo sobre el objeto y la contraprestación y éste se eleve a escrito.</w:t>
      </w:r>
    </w:p>
    <w:p w14:paraId="34E7A7F5" w14:textId="77777777" w:rsidR="00A1025E" w:rsidRPr="004674CF" w:rsidRDefault="00A1025E" w:rsidP="00A1025E">
      <w:pPr>
        <w:pStyle w:val="Textonotapie"/>
        <w:ind w:firstLine="709"/>
        <w:contextualSpacing/>
        <w:jc w:val="both"/>
        <w:rPr>
          <w:rFonts w:ascii="Verdana" w:hAnsi="Verdana" w:cs="Arial"/>
          <w:sz w:val="16"/>
          <w:szCs w:val="16"/>
        </w:rPr>
      </w:pPr>
      <w:r w:rsidRPr="004674CF">
        <w:rPr>
          <w:rFonts w:ascii="Verdana" w:hAnsi="Verdana" w:cs="Arial"/>
          <w:sz w:val="16"/>
          <w:szCs w:val="16"/>
        </w:rPr>
        <w:t>[…]”.</w:t>
      </w:r>
    </w:p>
  </w:footnote>
  <w:footnote w:id="30">
    <w:p w14:paraId="36232597" w14:textId="77777777" w:rsidR="00A1025E" w:rsidRPr="004674CF" w:rsidRDefault="00A1025E" w:rsidP="00A1025E">
      <w:pPr>
        <w:pStyle w:val="Textonotapie"/>
        <w:ind w:firstLine="709"/>
        <w:contextualSpacing/>
        <w:jc w:val="both"/>
        <w:rPr>
          <w:rFonts w:ascii="Verdana" w:hAnsi="Verdana" w:cs="Arial"/>
          <w:sz w:val="16"/>
          <w:szCs w:val="16"/>
        </w:rPr>
      </w:pPr>
      <w:r w:rsidRPr="004674CF">
        <w:rPr>
          <w:rFonts w:ascii="Verdana" w:hAnsi="Verdana"/>
          <w:sz w:val="16"/>
          <w:szCs w:val="16"/>
          <w:vertAlign w:val="superscript"/>
        </w:rPr>
        <w:footnoteRef/>
      </w:r>
      <w:r w:rsidRPr="004674CF">
        <w:rPr>
          <w:rFonts w:ascii="Verdana" w:hAnsi="Verdana" w:cs="Arial"/>
          <w:sz w:val="16"/>
          <w:szCs w:val="16"/>
          <w:vertAlign w:val="superscript"/>
        </w:rPr>
        <w:t xml:space="preserve"> </w:t>
      </w:r>
      <w:r w:rsidRPr="004674CF">
        <w:rPr>
          <w:rFonts w:ascii="Verdana" w:hAnsi="Verdana" w:cs="Arial"/>
          <w:sz w:val="16"/>
          <w:szCs w:val="16"/>
        </w:rPr>
        <w:t>Código Civil: “Artículo 27. Cuando el sentido de la ley sea claro, no se desatenderá su tenor a pretexto de consultar su espíritu”.</w:t>
      </w:r>
    </w:p>
  </w:footnote>
  <w:footnote w:id="31">
    <w:p w14:paraId="7D65E58C" w14:textId="77777777" w:rsidR="00A1025E" w:rsidRPr="004674CF" w:rsidRDefault="00A1025E" w:rsidP="00A1025E">
      <w:pPr>
        <w:pStyle w:val="Textonotapie"/>
        <w:ind w:firstLine="708"/>
        <w:jc w:val="both"/>
        <w:rPr>
          <w:rFonts w:ascii="Verdana" w:hAnsi="Verdana"/>
          <w:sz w:val="16"/>
          <w:szCs w:val="16"/>
          <w:lang w:val="es-ES"/>
        </w:rPr>
      </w:pPr>
      <w:r w:rsidRPr="004674CF">
        <w:rPr>
          <w:rStyle w:val="Refdenotaalpie"/>
          <w:rFonts w:ascii="Verdana" w:hAnsi="Verdana"/>
          <w:sz w:val="16"/>
          <w:szCs w:val="16"/>
        </w:rPr>
        <w:footnoteRef/>
      </w:r>
      <w:r w:rsidRPr="004674CF">
        <w:rPr>
          <w:rFonts w:ascii="Verdana" w:hAnsi="Verdana"/>
          <w:sz w:val="16"/>
          <w:szCs w:val="16"/>
        </w:rPr>
        <w:t xml:space="preserve"> </w:t>
      </w:r>
      <w:r w:rsidRPr="004674CF">
        <w:rPr>
          <w:rFonts w:ascii="Verdana" w:hAnsi="Verdana"/>
          <w:sz w:val="16"/>
          <w:szCs w:val="16"/>
          <w:lang w:val="es-ES"/>
        </w:rPr>
        <w:t xml:space="preserve">La doctrina chilena ilustra su aplicación en los siguientes términos: “La ley se ha de entender general e indistintamente. Cuando la ley no hace excepción alguna, pudiendo haberla hecho, no podemos separarnos de su disposición general por medio de una distinción que ella no ha formulado. </w:t>
      </w:r>
      <w:r w:rsidRPr="004674CF">
        <w:rPr>
          <w:rFonts w:ascii="Verdana" w:hAnsi="Verdana"/>
          <w:i/>
          <w:iCs/>
          <w:sz w:val="16"/>
          <w:szCs w:val="16"/>
          <w:lang w:val="es-ES"/>
        </w:rPr>
        <w:t>Ubi lex non distinguit nec nos distinguere debemus</w:t>
      </w:r>
      <w:r w:rsidRPr="004674CF">
        <w:rPr>
          <w:rFonts w:ascii="Verdana" w:hAnsi="Verdana"/>
          <w:sz w:val="16"/>
          <w:szCs w:val="16"/>
          <w:lang w:val="es-ES"/>
        </w:rPr>
        <w:t>, ‘donde la ley no distingue no puede el hombre distinguir’. ‘La extensión que deba dársele a la ley se determinará por su genuino sentido y según las reglas de interpretación precedentes’, dice el artículo 23.</w:t>
      </w:r>
    </w:p>
    <w:p w14:paraId="492427F1" w14:textId="77777777" w:rsidR="00A1025E" w:rsidRPr="004674CF" w:rsidRDefault="00A1025E" w:rsidP="00A1025E">
      <w:pPr>
        <w:pStyle w:val="Textonotapie"/>
        <w:ind w:firstLine="708"/>
        <w:jc w:val="both"/>
        <w:rPr>
          <w:rFonts w:ascii="Verdana" w:hAnsi="Verdana"/>
          <w:sz w:val="16"/>
          <w:szCs w:val="16"/>
          <w:lang w:val="es-CO"/>
        </w:rPr>
      </w:pPr>
      <w:r w:rsidRPr="004674CF">
        <w:rPr>
          <w:rFonts w:ascii="Verdana" w:hAnsi="Verdana"/>
          <w:sz w:val="16"/>
          <w:szCs w:val="16"/>
          <w:lang w:val="es-ES"/>
        </w:rPr>
        <w:t xml:space="preserve">En el derecho antiguo y en el derecho canónico se distinguían las leyes en favorables y odiosas, para ampliar o restringir su interpretación. </w:t>
      </w:r>
      <w:r w:rsidRPr="004674CF">
        <w:rPr>
          <w:rFonts w:ascii="Verdana" w:hAnsi="Verdana"/>
          <w:i/>
          <w:iCs/>
          <w:sz w:val="16"/>
          <w:szCs w:val="16"/>
          <w:lang w:val="es-ES"/>
        </w:rPr>
        <w:t>Odia restringí et favores convenit ampliari</w:t>
      </w:r>
      <w:r w:rsidRPr="004674CF">
        <w:rPr>
          <w:rFonts w:ascii="Verdana" w:hAnsi="Verdana"/>
          <w:sz w:val="16"/>
          <w:szCs w:val="16"/>
          <w:lang w:val="es-ES"/>
        </w:rPr>
        <w:t xml:space="preserve">. Según esto se tomaban las palabras en su más amplia y extensa significación en materia favorable y se procuraba limitar en lo posible, en caso de duda, en materia odiosa. Estas reglas de aplicación de las leyes eran contrarias a los principios de una correcta interpretación, que no tiene otro objeto que reconstruir el pensamiento del legislador y llegar por este medio al conocimiento completo de la ley. Por este motivo el Código no las admite […]” (Cfr. </w:t>
      </w:r>
      <w:r w:rsidRPr="004674CF">
        <w:rPr>
          <w:rFonts w:ascii="Verdana" w:hAnsi="Verdana"/>
          <w:sz w:val="16"/>
          <w:szCs w:val="16"/>
        </w:rPr>
        <w:t>CLARO SOLAR, Luis. Explicaciones de derecho civil chileno y comparado. Volumen I. Tomo I. Santiago: Editorial Jurídica de Chile, 2013. p. 119. Énfasis dentro del texto).</w:t>
      </w:r>
    </w:p>
  </w:footnote>
  <w:footnote w:id="32">
    <w:p w14:paraId="0B1D1A9A" w14:textId="77777777" w:rsidR="00A1025E" w:rsidRPr="004674CF" w:rsidRDefault="00A1025E" w:rsidP="00A1025E">
      <w:pPr>
        <w:pStyle w:val="Textonotapie"/>
        <w:ind w:firstLine="709"/>
        <w:contextualSpacing/>
        <w:jc w:val="both"/>
        <w:rPr>
          <w:rFonts w:ascii="Verdana" w:hAnsi="Verdana"/>
          <w:sz w:val="16"/>
          <w:szCs w:val="16"/>
          <w:lang w:val="es-CO"/>
        </w:rPr>
      </w:pPr>
      <w:r w:rsidRPr="004674CF">
        <w:rPr>
          <w:rStyle w:val="Refdenotaalpie"/>
          <w:rFonts w:ascii="Verdana" w:hAnsi="Verdana"/>
          <w:sz w:val="16"/>
          <w:szCs w:val="16"/>
        </w:rPr>
        <w:footnoteRef/>
      </w:r>
      <w:r w:rsidRPr="004674CF">
        <w:rPr>
          <w:rFonts w:ascii="Verdana" w:hAnsi="Verdana"/>
          <w:sz w:val="16"/>
          <w:szCs w:val="16"/>
          <w:lang w:val="es-CO"/>
        </w:rPr>
        <w:t xml:space="preserve"> Consejo de Estado, Sección Tercera, Subsección B. Auto del 4 de octubre de 2024. C.P: Fredy Ibarra Martínez. Exp. 70.313.</w:t>
      </w:r>
    </w:p>
  </w:footnote>
  <w:footnote w:id="33">
    <w:p w14:paraId="76923572" w14:textId="77777777" w:rsidR="00A1025E" w:rsidRPr="004674CF" w:rsidRDefault="00A1025E" w:rsidP="00A1025E">
      <w:pPr>
        <w:pStyle w:val="Textonotapie"/>
        <w:ind w:firstLine="709"/>
        <w:contextualSpacing/>
        <w:jc w:val="both"/>
        <w:rPr>
          <w:rFonts w:ascii="Verdana" w:hAnsi="Verdana"/>
          <w:sz w:val="16"/>
          <w:szCs w:val="16"/>
          <w:lang w:val="es-CO"/>
        </w:rPr>
      </w:pPr>
      <w:r w:rsidRPr="004674CF">
        <w:rPr>
          <w:rStyle w:val="Refdenotaalpie"/>
          <w:rFonts w:ascii="Verdana" w:hAnsi="Verdana"/>
          <w:sz w:val="16"/>
          <w:szCs w:val="16"/>
        </w:rPr>
        <w:footnoteRef/>
      </w:r>
      <w:r w:rsidRPr="004674CF">
        <w:rPr>
          <w:rFonts w:ascii="Verdana" w:hAnsi="Verdana"/>
          <w:sz w:val="16"/>
          <w:szCs w:val="16"/>
        </w:rPr>
        <w:t xml:space="preserve"> La parte resolutiva del auto dispone lo siguiente; “</w:t>
      </w:r>
      <w:r w:rsidRPr="004674CF">
        <w:rPr>
          <w:rFonts w:ascii="Verdana" w:hAnsi="Verdana"/>
          <w:b/>
          <w:sz w:val="16"/>
          <w:szCs w:val="16"/>
          <w:lang w:val="es-CO"/>
        </w:rPr>
        <w:t xml:space="preserve">PRIMERO: DECRETAR </w:t>
      </w:r>
      <w:r w:rsidRPr="004674CF">
        <w:rPr>
          <w:rFonts w:ascii="Verdana" w:hAnsi="Verdana"/>
          <w:sz w:val="16"/>
          <w:szCs w:val="16"/>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4674CF">
        <w:rPr>
          <w:rFonts w:ascii="Verdana" w:hAnsi="Verdana"/>
          <w:i/>
          <w:sz w:val="16"/>
          <w:szCs w:val="16"/>
          <w:lang w:val="es-CO"/>
        </w:rPr>
        <w:t>“[e]sta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4674CF">
        <w:rPr>
          <w:rFonts w:ascii="Verdana" w:hAnsi="Verdana"/>
          <w:sz w:val="16"/>
          <w:szCs w:val="16"/>
          <w:lang w:val="es-CO"/>
        </w:rPr>
        <w:t xml:space="preserve">, por las razones expuestas en precedencia. </w:t>
      </w:r>
    </w:p>
    <w:p w14:paraId="62195CC2" w14:textId="77777777" w:rsidR="00A1025E" w:rsidRPr="004674CF" w:rsidRDefault="00A1025E" w:rsidP="00A1025E">
      <w:pPr>
        <w:pStyle w:val="Textonotapie"/>
        <w:ind w:firstLine="709"/>
        <w:contextualSpacing/>
        <w:jc w:val="both"/>
        <w:rPr>
          <w:rFonts w:ascii="Verdana" w:hAnsi="Verdana"/>
          <w:sz w:val="16"/>
          <w:szCs w:val="16"/>
          <w:lang w:val="es-CO"/>
        </w:rPr>
      </w:pPr>
      <w:r w:rsidRPr="004674CF">
        <w:rPr>
          <w:rFonts w:ascii="Verdana" w:hAnsi="Verdana"/>
          <w:b/>
          <w:sz w:val="16"/>
          <w:szCs w:val="16"/>
          <w:lang w:val="es-CO"/>
        </w:rPr>
        <w:t xml:space="preserve">SEGUNDO: DECRETAR </w:t>
      </w:r>
      <w:r w:rsidRPr="004674CF">
        <w:rPr>
          <w:rFonts w:ascii="Verdana" w:hAnsi="Verdana"/>
          <w:sz w:val="16"/>
          <w:szCs w:val="16"/>
          <w:lang w:val="es-CO"/>
        </w:rPr>
        <w:t>la suspensión provisional de la expresión “</w:t>
      </w:r>
      <w:r w:rsidRPr="004674CF">
        <w:rPr>
          <w:rFonts w:ascii="Verdana" w:hAnsi="Verdana"/>
          <w:i/>
          <w:sz w:val="16"/>
          <w:szCs w:val="16"/>
          <w:lang w:val="es-CO"/>
        </w:rPr>
        <w:t>contratos</w:t>
      </w:r>
      <w:r w:rsidRPr="004674CF">
        <w:rPr>
          <w:rFonts w:ascii="Verdana" w:hAnsi="Verdana"/>
          <w:sz w:val="16"/>
          <w:szCs w:val="16"/>
          <w:lang w:val="es-CO"/>
        </w:rPr>
        <w:t xml:space="preserve">” y del párrafo </w:t>
      </w:r>
      <w:r w:rsidRPr="004674CF">
        <w:rPr>
          <w:rFonts w:ascii="Verdana" w:hAnsi="Verdana"/>
          <w:i/>
          <w:sz w:val="16"/>
          <w:szCs w:val="16"/>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4674CF">
        <w:rPr>
          <w:rFonts w:ascii="Verdana" w:hAnsi="Verdana"/>
          <w:sz w:val="16"/>
          <w:szCs w:val="16"/>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Exp. 72.424. C.P: Fernando Alexei Pardo Flórez. </w:t>
      </w:r>
    </w:p>
  </w:footnote>
  <w:footnote w:id="34">
    <w:p w14:paraId="0208728B" w14:textId="77777777" w:rsidR="00A1025E" w:rsidRPr="004674CF" w:rsidRDefault="00A1025E" w:rsidP="00A1025E">
      <w:pPr>
        <w:spacing w:after="0" w:line="240" w:lineRule="auto"/>
        <w:ind w:firstLine="709"/>
        <w:contextualSpacing/>
        <w:jc w:val="both"/>
        <w:rPr>
          <w:rFonts w:ascii="Verdana" w:eastAsia="Times New Roman" w:hAnsi="Verdana" w:cs="Times New Roman"/>
          <w:sz w:val="16"/>
          <w:szCs w:val="16"/>
          <w:lang w:eastAsia="es-ES"/>
        </w:rPr>
      </w:pPr>
      <w:r w:rsidRPr="004674CF">
        <w:rPr>
          <w:rStyle w:val="Refdenotaalpie"/>
          <w:rFonts w:ascii="Verdana" w:hAnsi="Verdana"/>
          <w:sz w:val="16"/>
          <w:szCs w:val="16"/>
        </w:rPr>
        <w:footnoteRef/>
      </w:r>
      <w:r w:rsidRPr="004674CF">
        <w:rPr>
          <w:rFonts w:ascii="Verdana" w:hAnsi="Verdana"/>
          <w:sz w:val="16"/>
          <w:szCs w:val="16"/>
        </w:rPr>
        <w:t xml:space="preserve"> </w:t>
      </w:r>
      <w:r w:rsidRPr="004674CF">
        <w:rPr>
          <w:rFonts w:ascii="Verdana" w:eastAsia="Times New Roman" w:hAnsi="Verdana" w:cs="Times New Roman"/>
          <w:sz w:val="16"/>
          <w:szCs w:val="16"/>
          <w:lang w:eastAsia="es-ES"/>
        </w:rPr>
        <w:t xml:space="preserve">Consejo de Estado. Sección Tercera. Subsección B. 17 de octubre de 2025. C.P. Fredy Ibarra Martínez. </w:t>
      </w:r>
      <w:r w:rsidRPr="004674CF">
        <w:rPr>
          <w:rFonts w:ascii="Verdana" w:hAnsi="Verdana"/>
          <w:sz w:val="16"/>
          <w:szCs w:val="16"/>
        </w:rPr>
        <w:t xml:space="preserve">La parte de la providencia señala: </w:t>
      </w:r>
      <w:r w:rsidRPr="004674CF">
        <w:rPr>
          <w:rFonts w:ascii="Verdana" w:eastAsia="Times New Roman" w:hAnsi="Verdana" w:cs="Times New Roman"/>
          <w:sz w:val="16"/>
          <w:szCs w:val="16"/>
          <w:lang w:eastAsia="es-ES"/>
        </w:rPr>
        <w:t>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footnote>
  <w:footnote w:id="35">
    <w:p w14:paraId="191EFFD6" w14:textId="77777777" w:rsidR="00A1025E" w:rsidRPr="004674CF" w:rsidRDefault="00A1025E" w:rsidP="00A1025E">
      <w:pPr>
        <w:pStyle w:val="Textonotapie"/>
        <w:ind w:firstLine="709"/>
        <w:jc w:val="both"/>
        <w:rPr>
          <w:rFonts w:ascii="Verdana" w:hAnsi="Verdana"/>
          <w:sz w:val="16"/>
          <w:szCs w:val="16"/>
          <w:lang w:val="es-CO"/>
        </w:rPr>
      </w:pPr>
      <w:r w:rsidRPr="004674CF">
        <w:rPr>
          <w:rStyle w:val="Refdenotaalpie"/>
          <w:rFonts w:ascii="Verdana" w:hAnsi="Verdana"/>
          <w:sz w:val="16"/>
          <w:szCs w:val="16"/>
        </w:rPr>
        <w:footnoteRef/>
      </w:r>
      <w:r w:rsidRPr="004674CF">
        <w:rPr>
          <w:rFonts w:ascii="Verdana" w:hAnsi="Verdana"/>
          <w:sz w:val="16"/>
          <w:szCs w:val="16"/>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 w:id="36">
    <w:p w14:paraId="55497734" w14:textId="77777777" w:rsidR="00A1025E" w:rsidRPr="004674CF" w:rsidRDefault="00A1025E" w:rsidP="00A1025E">
      <w:pPr>
        <w:pStyle w:val="Textonotapie"/>
        <w:ind w:firstLine="708"/>
        <w:jc w:val="both"/>
        <w:rPr>
          <w:rFonts w:ascii="Verdana" w:hAnsi="Verdana"/>
          <w:sz w:val="16"/>
          <w:szCs w:val="16"/>
          <w:lang w:val="es-CO"/>
        </w:rPr>
      </w:pPr>
      <w:r w:rsidRPr="004674CF">
        <w:rPr>
          <w:rStyle w:val="Refdenotaalpie"/>
          <w:rFonts w:ascii="Verdana" w:hAnsi="Verdana"/>
          <w:sz w:val="16"/>
          <w:szCs w:val="16"/>
        </w:rPr>
        <w:footnoteRef/>
      </w:r>
      <w:r w:rsidRPr="004674CF">
        <w:rPr>
          <w:rFonts w:ascii="Verdana" w:hAnsi="Verdana"/>
          <w:sz w:val="16"/>
          <w:szCs w:val="16"/>
        </w:rPr>
        <w:t xml:space="preserve"> </w:t>
      </w:r>
      <w:r w:rsidRPr="004674CF">
        <w:rPr>
          <w:rFonts w:ascii="Verdana" w:hAnsi="Verdana"/>
          <w:sz w:val="16"/>
          <w:szCs w:val="16"/>
          <w:lang w:val="es-CO"/>
        </w:rPr>
        <w:t>Artículo 2.2.6.2.1. </w:t>
      </w:r>
      <w:r w:rsidRPr="004674CF">
        <w:rPr>
          <w:rFonts w:ascii="Verdana" w:hAnsi="Verdana"/>
          <w:i/>
          <w:iCs/>
          <w:sz w:val="16"/>
          <w:szCs w:val="16"/>
          <w:lang w:val="es-CO"/>
        </w:rPr>
        <w:t>Proyectos de inversión pública.</w:t>
      </w:r>
      <w:r w:rsidRPr="004674CF">
        <w:rPr>
          <w:rFonts w:ascii="Verdana" w:hAnsi="Verdana"/>
          <w:sz w:val="16"/>
          <w:szCs w:val="16"/>
          <w:lang w:val="es-CO"/>
        </w:rPr>
        <w:t> Los proyectos de inversión pública contemplan actividades limitadas en el tiempo, que utilizan total o parcialmente recursos públicos, con el fin de crear, ampliar, mejorar o recuperar la capacidad de producción o de provisión de bienes o servicios por parte del Estado.</w:t>
      </w:r>
    </w:p>
    <w:p w14:paraId="7E6EFB26" w14:textId="77777777" w:rsidR="00A1025E" w:rsidRPr="004674CF" w:rsidRDefault="00A1025E" w:rsidP="00A1025E">
      <w:pPr>
        <w:pStyle w:val="Textonotapie"/>
        <w:ind w:firstLine="708"/>
        <w:jc w:val="both"/>
        <w:rPr>
          <w:rFonts w:ascii="Verdana" w:hAnsi="Verdana"/>
          <w:sz w:val="16"/>
          <w:szCs w:val="16"/>
          <w:lang w:val="es-CO"/>
        </w:rPr>
      </w:pPr>
      <w:r w:rsidRPr="004674CF">
        <w:rPr>
          <w:rFonts w:ascii="Verdana" w:hAnsi="Verdana"/>
          <w:sz w:val="16"/>
          <w:szCs w:val="16"/>
          <w:lang w:val="es-CO"/>
        </w:rPr>
        <w:t>Los proyectos de inversión se clasificarán de acuerdo con los lineamientos que defina el Departamento Nacional de Planeación, atendiendo las competencias de las entidades y las características inherentes al proyecto. Con fundamento en estos criterios, se determinarán los requerimientos metodológicos que deberá atender cada proyecto de inversión para su formulación, evaluación previa, registro, programación, ejecución, seguimiento y evaluación posterior.</w:t>
      </w:r>
    </w:p>
  </w:footnote>
  <w:footnote w:id="37">
    <w:p w14:paraId="02A5EB47" w14:textId="77777777" w:rsidR="00A1025E" w:rsidRPr="004674CF" w:rsidRDefault="00A1025E" w:rsidP="00A1025E">
      <w:pPr>
        <w:pStyle w:val="Textonotapie"/>
        <w:ind w:firstLine="708"/>
        <w:jc w:val="both"/>
        <w:rPr>
          <w:rFonts w:ascii="Verdana" w:hAnsi="Verdana"/>
          <w:sz w:val="16"/>
          <w:szCs w:val="16"/>
          <w:lang w:val="es-CO"/>
        </w:rPr>
      </w:pPr>
      <w:r w:rsidRPr="004674CF">
        <w:rPr>
          <w:rStyle w:val="Refdenotaalpie"/>
          <w:rFonts w:ascii="Verdana" w:hAnsi="Verdana"/>
          <w:sz w:val="16"/>
          <w:szCs w:val="16"/>
        </w:rPr>
        <w:footnoteRef/>
      </w:r>
      <w:r w:rsidRPr="004674CF">
        <w:rPr>
          <w:rFonts w:ascii="Verdana" w:hAnsi="Verdana"/>
          <w:sz w:val="16"/>
          <w:szCs w:val="16"/>
        </w:rPr>
        <w:t xml:space="preserve"> </w:t>
      </w:r>
      <w:r w:rsidRPr="004674CF">
        <w:rPr>
          <w:rFonts w:ascii="Verdana" w:hAnsi="Verdana"/>
          <w:sz w:val="16"/>
          <w:szCs w:val="16"/>
          <w:lang w:val="es-CO"/>
        </w:rPr>
        <w:t>Artículo 2.2.6.2.2. </w:t>
      </w:r>
      <w:r w:rsidRPr="004674CF">
        <w:rPr>
          <w:rFonts w:ascii="Verdana" w:hAnsi="Verdana"/>
          <w:i/>
          <w:iCs/>
          <w:sz w:val="16"/>
          <w:szCs w:val="16"/>
          <w:lang w:val="es-CO"/>
        </w:rPr>
        <w:t>Ciclo de los proyectos de inversión pública</w:t>
      </w:r>
      <w:r w:rsidRPr="004674CF">
        <w:rPr>
          <w:rFonts w:ascii="Verdana" w:hAnsi="Verdana"/>
          <w:sz w:val="16"/>
          <w:szCs w:val="16"/>
          <w:lang w:val="es-CO"/>
        </w:rPr>
        <w:t>. Es el período que inicia con la formulación del proyecto de inversión pública y termina cuando el proyecto cumpla con los objetivos y metas propuestas, cuando los análisis de conveniencia de las entidades ejecutoras de los proyectos así lo establezcan, o cuando se cancele el registro de los proyectos de inversión de conformidad con lo dispuesto en el artículo 2.2.6.3.9</w:t>
      </w:r>
      <w:r w:rsidRPr="004674CF">
        <w:rPr>
          <w:rFonts w:ascii="Verdana" w:hAnsi="Verdana"/>
          <w:b/>
          <w:bCs/>
          <w:sz w:val="16"/>
          <w:szCs w:val="16"/>
          <w:lang w:val="es-CO"/>
        </w:rPr>
        <w:t> </w:t>
      </w:r>
      <w:r w:rsidRPr="004674CF">
        <w:rPr>
          <w:rFonts w:ascii="Verdana" w:hAnsi="Verdana"/>
          <w:sz w:val="16"/>
          <w:szCs w:val="16"/>
          <w:lang w:val="es-CO"/>
        </w:rPr>
        <w:t>del presente decreto.</w:t>
      </w:r>
    </w:p>
    <w:p w14:paraId="323FA9AF" w14:textId="77777777" w:rsidR="00A1025E" w:rsidRPr="004674CF" w:rsidRDefault="00A1025E" w:rsidP="00A1025E">
      <w:pPr>
        <w:pStyle w:val="Textonotapie"/>
        <w:ind w:firstLine="708"/>
        <w:jc w:val="both"/>
        <w:rPr>
          <w:rFonts w:ascii="Verdana" w:hAnsi="Verdana"/>
          <w:sz w:val="16"/>
          <w:szCs w:val="16"/>
          <w:lang w:val="es-CO"/>
        </w:rPr>
      </w:pPr>
      <w:r w:rsidRPr="004674CF">
        <w:rPr>
          <w:rFonts w:ascii="Verdana" w:hAnsi="Verdana"/>
          <w:sz w:val="16"/>
          <w:szCs w:val="16"/>
          <w:lang w:val="es-CO"/>
        </w:rPr>
        <w:t>El ciclo de los proyectos de inversión comprenderá las operaciones y procesos relacionados con la formulación, la evaluación previa, el registro, la programación, la ejecución, el seguimiento y la evaluación posterior de los proyectos de inversión cuando esta evaluación así se determine, acorde con las previsiones contenidas en las nomas orgánicas de planeación, en las normas orgánicas de presupuesto, en las normas que establecen las funciones del Departamento Nacional de Planeación y en las disposiciones contenidas en el presente decreto.</w:t>
      </w:r>
    </w:p>
    <w:p w14:paraId="4F5D5C77" w14:textId="77777777" w:rsidR="00A1025E" w:rsidRPr="004674CF" w:rsidRDefault="00A1025E" w:rsidP="00A1025E">
      <w:pPr>
        <w:pStyle w:val="Textonotapie"/>
        <w:ind w:firstLine="708"/>
        <w:jc w:val="both"/>
        <w:rPr>
          <w:rFonts w:ascii="Verdana" w:hAnsi="Verdana"/>
          <w:sz w:val="16"/>
          <w:szCs w:val="16"/>
          <w:lang w:val="es-CO"/>
        </w:rPr>
      </w:pPr>
      <w:r w:rsidRPr="004674CF">
        <w:rPr>
          <w:rFonts w:ascii="Verdana" w:hAnsi="Verdana"/>
          <w:sz w:val="16"/>
          <w:szCs w:val="16"/>
          <w:lang w:val="es-CO"/>
        </w:rPr>
        <w:t>El Sistema Unificado de Inversión Pública deberá incorporar la información correspondiente a todas las operaciones surtidas durante el ciclo del proyecto de inversión pública.</w:t>
      </w:r>
    </w:p>
  </w:footnote>
  <w:footnote w:id="38">
    <w:p w14:paraId="4BB1336C" w14:textId="77777777" w:rsidR="00A1025E" w:rsidRPr="004674CF" w:rsidRDefault="00A1025E" w:rsidP="00A1025E">
      <w:pPr>
        <w:pStyle w:val="Textonotapie"/>
        <w:ind w:firstLine="708"/>
        <w:jc w:val="both"/>
        <w:rPr>
          <w:rFonts w:ascii="Verdana" w:hAnsi="Verdana"/>
          <w:sz w:val="16"/>
          <w:szCs w:val="16"/>
          <w:lang w:val="es-CO"/>
        </w:rPr>
      </w:pPr>
      <w:r w:rsidRPr="004674CF">
        <w:rPr>
          <w:rStyle w:val="Refdenotaalpie"/>
          <w:rFonts w:ascii="Verdana" w:hAnsi="Verdana"/>
          <w:sz w:val="16"/>
          <w:szCs w:val="16"/>
        </w:rPr>
        <w:footnoteRef/>
      </w:r>
      <w:r w:rsidRPr="004674CF">
        <w:rPr>
          <w:rFonts w:ascii="Verdana" w:hAnsi="Verdana"/>
          <w:sz w:val="16"/>
          <w:szCs w:val="16"/>
        </w:rPr>
        <w:t xml:space="preserve"> </w:t>
      </w:r>
      <w:r w:rsidRPr="004674CF">
        <w:rPr>
          <w:rFonts w:ascii="Verdana" w:hAnsi="Verdana"/>
          <w:sz w:val="16"/>
          <w:szCs w:val="16"/>
          <w:lang w:val="es-CO"/>
        </w:rPr>
        <w:t>Artículo 6. </w:t>
      </w:r>
      <w:r w:rsidRPr="004674CF">
        <w:rPr>
          <w:rFonts w:ascii="Verdana" w:hAnsi="Verdana"/>
          <w:i/>
          <w:iCs/>
          <w:sz w:val="16"/>
          <w:szCs w:val="16"/>
          <w:lang w:val="es-CO"/>
        </w:rPr>
        <w:t>Asignación de recursos mediante transferencias</w:t>
      </w:r>
      <w:r w:rsidRPr="004674CF">
        <w:rPr>
          <w:rFonts w:ascii="Verdana" w:hAnsi="Verdana"/>
          <w:sz w:val="16"/>
          <w:szCs w:val="16"/>
          <w:lang w:val="es-CO"/>
        </w:rPr>
        <w:t>. La asignación de recursos mediante transferencias deberá realizarse a través de acto administrativo que contendrá como mínimo:</w:t>
      </w:r>
    </w:p>
    <w:p w14:paraId="680E892E" w14:textId="77777777" w:rsidR="00A1025E" w:rsidRPr="004674CF" w:rsidRDefault="00A1025E" w:rsidP="00A1025E">
      <w:pPr>
        <w:pStyle w:val="Textonotapie"/>
        <w:ind w:firstLine="708"/>
        <w:jc w:val="both"/>
        <w:rPr>
          <w:rFonts w:ascii="Verdana" w:hAnsi="Verdana"/>
          <w:sz w:val="16"/>
          <w:szCs w:val="16"/>
          <w:lang w:val="es-CO"/>
        </w:rPr>
      </w:pPr>
      <w:r w:rsidRPr="004674CF">
        <w:rPr>
          <w:rFonts w:ascii="Verdana" w:hAnsi="Verdana"/>
          <w:sz w:val="16"/>
          <w:szCs w:val="16"/>
          <w:lang w:val="es-CO"/>
        </w:rPr>
        <w:t>6.1. La entidad receptora y/o beneficiaria de los recursos.</w:t>
      </w:r>
    </w:p>
    <w:p w14:paraId="10B1867A" w14:textId="77777777" w:rsidR="00A1025E" w:rsidRPr="004674CF" w:rsidRDefault="00A1025E" w:rsidP="00A1025E">
      <w:pPr>
        <w:pStyle w:val="Textonotapie"/>
        <w:ind w:firstLine="708"/>
        <w:jc w:val="both"/>
        <w:rPr>
          <w:rFonts w:ascii="Verdana" w:hAnsi="Verdana"/>
          <w:sz w:val="16"/>
          <w:szCs w:val="16"/>
          <w:lang w:val="es-CO"/>
        </w:rPr>
      </w:pPr>
      <w:r w:rsidRPr="004674CF">
        <w:rPr>
          <w:rFonts w:ascii="Verdana" w:hAnsi="Verdana"/>
          <w:sz w:val="16"/>
          <w:szCs w:val="16"/>
          <w:lang w:val="es-CO"/>
        </w:rPr>
        <w:t>6.2. El monto de los recursos a transferir.</w:t>
      </w:r>
    </w:p>
    <w:p w14:paraId="0580A4DB" w14:textId="77777777" w:rsidR="00A1025E" w:rsidRPr="004674CF" w:rsidRDefault="00A1025E" w:rsidP="00A1025E">
      <w:pPr>
        <w:pStyle w:val="Textonotapie"/>
        <w:ind w:firstLine="708"/>
        <w:jc w:val="both"/>
        <w:rPr>
          <w:rFonts w:ascii="Verdana" w:hAnsi="Verdana"/>
          <w:sz w:val="16"/>
          <w:szCs w:val="16"/>
          <w:lang w:val="es-CO"/>
        </w:rPr>
      </w:pPr>
      <w:r w:rsidRPr="004674CF">
        <w:rPr>
          <w:rFonts w:ascii="Verdana" w:hAnsi="Verdana"/>
          <w:sz w:val="16"/>
          <w:szCs w:val="16"/>
          <w:lang w:val="es-CO"/>
        </w:rPr>
        <w:t>6.3. La destinación que se debe dar a los recursos a transferir por parte de las entidades receptoras y/o beneficiarias.</w:t>
      </w:r>
    </w:p>
    <w:p w14:paraId="33411151" w14:textId="77777777" w:rsidR="00A1025E" w:rsidRPr="004674CF" w:rsidRDefault="00A1025E" w:rsidP="00A1025E">
      <w:pPr>
        <w:pStyle w:val="Textonotapie"/>
        <w:ind w:firstLine="708"/>
        <w:jc w:val="both"/>
        <w:rPr>
          <w:rFonts w:ascii="Verdana" w:hAnsi="Verdana"/>
          <w:sz w:val="16"/>
          <w:szCs w:val="16"/>
          <w:lang w:val="es-CO"/>
        </w:rPr>
      </w:pPr>
      <w:r w:rsidRPr="004674CF">
        <w:rPr>
          <w:rFonts w:ascii="Verdana" w:hAnsi="Verdana"/>
          <w:sz w:val="16"/>
          <w:szCs w:val="16"/>
          <w:lang w:val="es-CO"/>
        </w:rPr>
        <w:t>6.4. El o los rubros presupuestales destinados a la transferencia de recursos, especificando el Certificado de Disponibilidad Presupuestal (CDP) que respalda la asignación.</w:t>
      </w:r>
    </w:p>
    <w:p w14:paraId="62422D43" w14:textId="77777777" w:rsidR="00A1025E" w:rsidRPr="004674CF" w:rsidRDefault="00A1025E" w:rsidP="00A1025E">
      <w:pPr>
        <w:pStyle w:val="Textonotapie"/>
        <w:ind w:firstLine="708"/>
        <w:jc w:val="both"/>
        <w:rPr>
          <w:rFonts w:ascii="Verdana" w:hAnsi="Verdana"/>
          <w:sz w:val="16"/>
          <w:szCs w:val="16"/>
          <w:lang w:val="es-CO"/>
        </w:rPr>
      </w:pPr>
      <w:r w:rsidRPr="004674CF">
        <w:rPr>
          <w:rFonts w:ascii="Verdana" w:hAnsi="Verdana"/>
          <w:sz w:val="16"/>
          <w:szCs w:val="16"/>
          <w:lang w:val="es-CO"/>
        </w:rPr>
        <w:t>6.5. La programación de desembolsos de este Ministerio, cuando aplique. En caso de que se determinen múltiples desembolsos se deberá tener en cuenta el programa de ejecución y los requisitos que hacen exigible cada giro.</w:t>
      </w:r>
    </w:p>
    <w:p w14:paraId="1FCF3F34" w14:textId="77777777" w:rsidR="00A1025E" w:rsidRPr="004674CF" w:rsidRDefault="00A1025E" w:rsidP="00A1025E">
      <w:pPr>
        <w:pStyle w:val="Textonotapie"/>
        <w:ind w:firstLine="708"/>
        <w:jc w:val="both"/>
        <w:rPr>
          <w:rFonts w:ascii="Verdana" w:hAnsi="Verdana"/>
          <w:sz w:val="16"/>
          <w:szCs w:val="16"/>
          <w:lang w:val="es-CO"/>
        </w:rPr>
      </w:pPr>
      <w:r w:rsidRPr="004674CF">
        <w:rPr>
          <w:rFonts w:ascii="Verdana" w:hAnsi="Verdana"/>
          <w:sz w:val="16"/>
          <w:szCs w:val="16"/>
          <w:lang w:val="es-CO"/>
        </w:rPr>
        <w:t>6.6. Obligaciones de la entidad receptora y/o beneficiaria de los recursos.</w:t>
      </w:r>
    </w:p>
    <w:p w14:paraId="6CB87BE3" w14:textId="77777777" w:rsidR="00A1025E" w:rsidRPr="004674CF" w:rsidRDefault="00A1025E" w:rsidP="00A1025E">
      <w:pPr>
        <w:pStyle w:val="Textonotapie"/>
        <w:ind w:firstLine="708"/>
        <w:jc w:val="both"/>
        <w:rPr>
          <w:rFonts w:ascii="Verdana" w:hAnsi="Verdana"/>
          <w:sz w:val="16"/>
          <w:szCs w:val="16"/>
          <w:lang w:val="es-CO"/>
        </w:rPr>
      </w:pPr>
      <w:r w:rsidRPr="004674CF">
        <w:rPr>
          <w:rFonts w:ascii="Verdana" w:hAnsi="Verdana"/>
          <w:sz w:val="16"/>
          <w:szCs w:val="16"/>
          <w:lang w:val="es-CO"/>
        </w:rPr>
        <w:t>6.7. Las condiciones para el reintegro de los recursos, incluyendo lo relacionado a los rendimientos financieros.</w:t>
      </w:r>
    </w:p>
    <w:p w14:paraId="7C75B709" w14:textId="77777777" w:rsidR="00A1025E" w:rsidRPr="004674CF" w:rsidRDefault="00A1025E" w:rsidP="00A1025E">
      <w:pPr>
        <w:pStyle w:val="Textonotapie"/>
        <w:ind w:firstLine="708"/>
        <w:jc w:val="both"/>
        <w:rPr>
          <w:rFonts w:ascii="Verdana" w:hAnsi="Verdana"/>
          <w:sz w:val="16"/>
          <w:szCs w:val="16"/>
          <w:lang w:val="es-CO"/>
        </w:rPr>
      </w:pPr>
      <w:r w:rsidRPr="004674CF">
        <w:rPr>
          <w:rFonts w:ascii="Verdana" w:hAnsi="Verdana"/>
          <w:sz w:val="16"/>
          <w:szCs w:val="16"/>
          <w:lang w:val="es-CO"/>
        </w:rPr>
        <w:t>6.8. El deber de incorporar en el presupuesto de las entidades receptoras, los recursos transferidos.</w:t>
      </w:r>
    </w:p>
    <w:p w14:paraId="4AFBD2F9" w14:textId="77777777" w:rsidR="00A1025E" w:rsidRPr="004674CF" w:rsidRDefault="00A1025E" w:rsidP="00A1025E">
      <w:pPr>
        <w:pStyle w:val="Textonotapie"/>
        <w:ind w:firstLine="708"/>
        <w:jc w:val="both"/>
        <w:rPr>
          <w:rFonts w:ascii="Verdana" w:hAnsi="Verdana"/>
          <w:sz w:val="16"/>
          <w:szCs w:val="16"/>
          <w:lang w:val="es-CO"/>
        </w:rPr>
      </w:pPr>
      <w:r w:rsidRPr="004674CF">
        <w:rPr>
          <w:rFonts w:ascii="Verdana" w:hAnsi="Verdana"/>
          <w:sz w:val="16"/>
          <w:szCs w:val="16"/>
          <w:lang w:val="es-CO"/>
        </w:rPr>
        <w:t>6.9. Plazo para la ejecución de los recursos que se transfieren.</w:t>
      </w:r>
    </w:p>
    <w:p w14:paraId="39D97A4B" w14:textId="77777777" w:rsidR="00A1025E" w:rsidRPr="004674CF" w:rsidRDefault="00A1025E" w:rsidP="00A1025E">
      <w:pPr>
        <w:pStyle w:val="Textonotapie"/>
        <w:ind w:firstLine="708"/>
        <w:jc w:val="both"/>
        <w:rPr>
          <w:sz w:val="16"/>
          <w:szCs w:val="16"/>
          <w:lang w:val="es-CO"/>
        </w:rPr>
      </w:pPr>
      <w:r w:rsidRPr="004674CF">
        <w:rPr>
          <w:rFonts w:ascii="Verdana" w:hAnsi="Verdana"/>
          <w:sz w:val="16"/>
          <w:szCs w:val="16"/>
          <w:lang w:val="es-CO"/>
        </w:rPr>
        <w:t>6.10. Las condiciones para adelantar el seguimiento por parte de la dependencia técnica responsable de este Ministerio, respecto del cumplimiento del objeto de la asignación.</w:t>
      </w:r>
    </w:p>
  </w:footnote>
  <w:footnote w:id="39">
    <w:p w14:paraId="67354EEF" w14:textId="77777777" w:rsidR="00A1025E" w:rsidRPr="004674CF" w:rsidRDefault="00A1025E" w:rsidP="00A1025E">
      <w:pPr>
        <w:pStyle w:val="Textonotapie"/>
        <w:ind w:firstLine="708"/>
        <w:jc w:val="both"/>
        <w:rPr>
          <w:rFonts w:ascii="Verdana" w:hAnsi="Verdana"/>
          <w:sz w:val="16"/>
          <w:szCs w:val="16"/>
          <w:lang w:val="es-ES"/>
        </w:rPr>
      </w:pPr>
      <w:r w:rsidRPr="004674CF">
        <w:rPr>
          <w:rStyle w:val="Refdenotaalpie"/>
          <w:rFonts w:ascii="Verdana" w:hAnsi="Verdana"/>
          <w:sz w:val="16"/>
          <w:szCs w:val="16"/>
        </w:rPr>
        <w:footnoteRef/>
      </w:r>
      <w:r w:rsidRPr="004674CF">
        <w:rPr>
          <w:rFonts w:ascii="Verdana" w:hAnsi="Verdana"/>
          <w:sz w:val="16"/>
          <w:szCs w:val="16"/>
        </w:rPr>
        <w:t xml:space="preserve"> Para Berrocal Guerrero, el acto administrativo es entendido como: […] TODA </w:t>
      </w:r>
      <w:r w:rsidRPr="004674CF">
        <w:rPr>
          <w:rFonts w:ascii="Verdana" w:hAnsi="Verdana"/>
          <w:b/>
          <w:bCs/>
          <w:sz w:val="16"/>
          <w:szCs w:val="16"/>
        </w:rPr>
        <w:t>DECLARACIÓN</w:t>
      </w:r>
      <w:r w:rsidRPr="004674CF">
        <w:rPr>
          <w:rFonts w:ascii="Verdana" w:hAnsi="Verdana"/>
          <w:sz w:val="16"/>
          <w:szCs w:val="16"/>
        </w:rPr>
        <w:t xml:space="preserve"> DE VOLUNTAD, JUICIO, COGNICIÓN O DESEO QUE SE PROFIERE DE MANERA </w:t>
      </w:r>
      <w:r w:rsidRPr="004674CF">
        <w:rPr>
          <w:rFonts w:ascii="Verdana" w:hAnsi="Verdana"/>
          <w:b/>
          <w:bCs/>
          <w:sz w:val="16"/>
          <w:szCs w:val="16"/>
        </w:rPr>
        <w:t>UNILATERAL</w:t>
      </w:r>
      <w:r w:rsidRPr="004674CF">
        <w:rPr>
          <w:rFonts w:ascii="Verdana" w:hAnsi="Verdana"/>
          <w:sz w:val="16"/>
          <w:szCs w:val="16"/>
        </w:rPr>
        <w:t xml:space="preserve">, EN EJERCICIO DE LA </w:t>
      </w:r>
      <w:r w:rsidRPr="004674CF">
        <w:rPr>
          <w:rFonts w:ascii="Verdana" w:hAnsi="Verdana"/>
          <w:b/>
          <w:bCs/>
          <w:sz w:val="16"/>
          <w:szCs w:val="16"/>
        </w:rPr>
        <w:t>FUNCIÓN ADMINISTRATIVA</w:t>
      </w:r>
      <w:r w:rsidRPr="004674CF">
        <w:rPr>
          <w:rFonts w:ascii="Verdana" w:hAnsi="Verdana"/>
          <w:sz w:val="16"/>
          <w:szCs w:val="16"/>
        </w:rPr>
        <w:t xml:space="preserve">, Y PRODUCE </w:t>
      </w:r>
      <w:r w:rsidRPr="004674CF">
        <w:rPr>
          <w:rFonts w:ascii="Verdana" w:hAnsi="Verdana"/>
          <w:b/>
          <w:bCs/>
          <w:sz w:val="16"/>
          <w:szCs w:val="16"/>
        </w:rPr>
        <w:t>EFECTOS JURÍDICOS DIRECTOS O DEFINITIVOS</w:t>
      </w:r>
      <w:r w:rsidRPr="004674CF">
        <w:rPr>
          <w:rFonts w:ascii="Verdana" w:hAnsi="Verdana"/>
          <w:sz w:val="16"/>
          <w:szCs w:val="16"/>
        </w:rPr>
        <w:t xml:space="preserve"> […] (Mayúsculas y negrillas propios del texto) (</w:t>
      </w:r>
      <w:r w:rsidRPr="004674CF">
        <w:rPr>
          <w:rFonts w:ascii="Verdana" w:hAnsi="Verdana"/>
          <w:sz w:val="16"/>
          <w:szCs w:val="16"/>
          <w:lang w:val="es-ES"/>
        </w:rPr>
        <w:t>BERROCAL GUERRERO, Luis Enrique. Manual del acto administrativo. Según la Ley, la jurisprudencia y la doctrina. 7° ed. Bogotá: Librería Ediciones del Profesional Ltda, 2019, p. 114)</w:t>
      </w:r>
      <w:r w:rsidRPr="004674CF">
        <w:rPr>
          <w:rFonts w:ascii="Verdana" w:hAnsi="Verdana"/>
          <w:sz w:val="16"/>
          <w:szCs w:val="16"/>
        </w:rPr>
        <w:t xml:space="preserve">. De igual modo, Marín Cortés expresa: “[…] </w:t>
      </w:r>
      <w:r w:rsidRPr="004674CF">
        <w:rPr>
          <w:rFonts w:ascii="Verdana" w:hAnsi="Verdana"/>
          <w:sz w:val="16"/>
          <w:szCs w:val="16"/>
          <w:lang w:val="es-ES"/>
        </w:rPr>
        <w:t xml:space="preserve">i) una declaración de voluntad -y excepcionalmente la omisión que representa el silencio-, ii) de carácter unilateral, iii) que proviene de cualquier órgano del Estado cuando ejerce la función administrativa (a), o también cuando cumple funciones de control o electoral b), al igual que de los particulares cuando desempeñan las anteriores funciones públicas (c); y iv) produce efectos jurídicos” (MARÍN CORTÉS, Fabián Gonzalo. El concepto de acto administrativo. Texto inédito, p. 9).  </w:t>
      </w:r>
    </w:p>
  </w:footnote>
  <w:footnote w:id="40">
    <w:p w14:paraId="03220FCE" w14:textId="77777777" w:rsidR="00A1025E" w:rsidRPr="004674CF" w:rsidRDefault="00A1025E" w:rsidP="00A1025E">
      <w:pPr>
        <w:pStyle w:val="Textonotapie"/>
        <w:ind w:firstLine="709"/>
        <w:jc w:val="both"/>
        <w:rPr>
          <w:rFonts w:ascii="Verdana" w:hAnsi="Verdana"/>
          <w:sz w:val="16"/>
          <w:szCs w:val="16"/>
          <w:lang w:val="es-CO"/>
        </w:rPr>
      </w:pPr>
      <w:r w:rsidRPr="004674CF">
        <w:rPr>
          <w:rStyle w:val="Refdenotaalpie"/>
          <w:rFonts w:ascii="Verdana" w:hAnsi="Verdana"/>
          <w:sz w:val="16"/>
          <w:szCs w:val="16"/>
        </w:rPr>
        <w:footnoteRef/>
      </w:r>
      <w:r w:rsidRPr="004674CF">
        <w:rPr>
          <w:rFonts w:ascii="Verdana" w:hAnsi="Verdana"/>
          <w:sz w:val="16"/>
          <w:szCs w:val="16"/>
        </w:rPr>
        <w:t xml:space="preserve"> </w:t>
      </w:r>
      <w:r w:rsidRPr="004674CF">
        <w:rPr>
          <w:rFonts w:ascii="Verdana" w:hAnsi="Verdana"/>
          <w:sz w:val="16"/>
          <w:szCs w:val="16"/>
          <w:lang w:val="es-ES"/>
        </w:rPr>
        <w:t xml:space="preserve">Ley 100 de 1993. </w:t>
      </w:r>
      <w:r w:rsidRPr="004674CF">
        <w:rPr>
          <w:rFonts w:ascii="Verdana" w:hAnsi="Verdana"/>
          <w:sz w:val="16"/>
          <w:szCs w:val="16"/>
          <w:lang w:val="es-CO"/>
        </w:rPr>
        <w:t>Artículo</w:t>
      </w:r>
      <w:bookmarkStart w:id="14" w:name="194"/>
      <w:bookmarkEnd w:id="14"/>
      <w:r w:rsidRPr="004674CF">
        <w:rPr>
          <w:rFonts w:ascii="Verdana" w:hAnsi="Verdana"/>
          <w:sz w:val="16"/>
          <w:szCs w:val="16"/>
          <w:lang w:val="es-CO"/>
        </w:rPr>
        <w:t> 194. Naturaleza. La prestación de servicios de salud en forma directa por la Nación o por las entidades territoriales, se hará a través de las Empresas Sociales del Estado, que constituyen una categoría especial de entidad pública descentralizada, con personería jurídica, patrimonio propio y autonomía administrativa, creadas por la</w:t>
      </w:r>
      <w:bookmarkStart w:id="15" w:name="LPHit237"/>
      <w:bookmarkEnd w:id="15"/>
      <w:r w:rsidRPr="004674CF">
        <w:rPr>
          <w:rFonts w:ascii="Verdana" w:hAnsi="Verdana"/>
          <w:sz w:val="16"/>
          <w:szCs w:val="16"/>
          <w:lang w:val="es-CO"/>
        </w:rPr>
        <w:t> Ley o por las asambleas o concejos, según el caso, sometidas al régimen jurídico previsto en este capítulo.</w:t>
      </w:r>
    </w:p>
  </w:footnote>
  <w:footnote w:id="41">
    <w:p w14:paraId="4CC4F14E" w14:textId="77777777" w:rsidR="00A1025E" w:rsidRPr="004674CF" w:rsidRDefault="00A1025E" w:rsidP="00A1025E">
      <w:pPr>
        <w:pStyle w:val="Textonotapie"/>
        <w:ind w:firstLine="708"/>
        <w:contextualSpacing/>
        <w:jc w:val="both"/>
        <w:rPr>
          <w:rFonts w:ascii="Verdana" w:hAnsi="Verdana" w:cs="Arial"/>
          <w:color w:val="000000" w:themeColor="text1"/>
          <w:sz w:val="16"/>
          <w:szCs w:val="16"/>
          <w:lang w:val="es-CO"/>
        </w:rPr>
      </w:pPr>
      <w:r w:rsidRPr="004674CF">
        <w:rPr>
          <w:rStyle w:val="Refdenotaalpie"/>
          <w:rFonts w:ascii="Verdana" w:hAnsi="Verdana" w:cs="Arial"/>
          <w:color w:val="000000" w:themeColor="text1"/>
          <w:sz w:val="16"/>
          <w:szCs w:val="16"/>
          <w:lang w:val="es-CO"/>
        </w:rPr>
        <w:footnoteRef/>
      </w:r>
      <w:r w:rsidRPr="004674CF">
        <w:rPr>
          <w:rFonts w:ascii="Verdana" w:hAnsi="Verdana" w:cs="Arial"/>
          <w:color w:val="000000" w:themeColor="text1"/>
          <w:sz w:val="16"/>
          <w:szCs w:val="16"/>
          <w:lang w:val="es-CO"/>
        </w:rPr>
        <w:t xml:space="preserve"> “Artículo 197. Empresas sociales de salud de carácter territorial. Las entidades territoriales deberán disponer, dentro de los seis (6) meses siguientes a la fecha de vigencia de esta Ley, la reestructuración de las entidades descentralizadas cuyo objeto principal sea la prestación de servicios de salud, con el fin de adecuarlas a lo dispuesto en este capítulo”.</w:t>
      </w:r>
    </w:p>
  </w:footnote>
  <w:footnote w:id="42">
    <w:p w14:paraId="14B16EE3" w14:textId="7191CEEB" w:rsidR="00A1025E" w:rsidRPr="004674CF" w:rsidRDefault="00A1025E" w:rsidP="004674CF">
      <w:pPr>
        <w:pStyle w:val="Textonotapie"/>
        <w:ind w:firstLine="708"/>
        <w:contextualSpacing/>
        <w:jc w:val="both"/>
        <w:rPr>
          <w:rFonts w:ascii="Verdana" w:hAnsi="Verdana" w:cs="Arial"/>
          <w:color w:val="000000" w:themeColor="text1"/>
          <w:sz w:val="16"/>
          <w:szCs w:val="16"/>
          <w:lang w:val="es-CO"/>
        </w:rPr>
      </w:pPr>
      <w:r w:rsidRPr="004674CF">
        <w:rPr>
          <w:rStyle w:val="Refdenotaalpie"/>
          <w:rFonts w:ascii="Verdana" w:hAnsi="Verdana" w:cs="Arial"/>
          <w:color w:val="000000" w:themeColor="text1"/>
          <w:sz w:val="16"/>
          <w:szCs w:val="16"/>
          <w:lang w:val="es-CO"/>
        </w:rPr>
        <w:footnoteRef/>
      </w:r>
      <w:r w:rsidRPr="004674CF">
        <w:rPr>
          <w:rFonts w:ascii="Verdana" w:hAnsi="Verdana" w:cs="Arial"/>
          <w:color w:val="000000" w:themeColor="text1"/>
          <w:sz w:val="16"/>
          <w:szCs w:val="16"/>
          <w:lang w:val="es-CO"/>
        </w:rPr>
        <w:t xml:space="preserve"> El artículo 2.8.8.1.4.2 del Decreto 780 de 2016 dispone que “Para efectos de la aplicación del presente Capítulo, entiéndase por Autoridades Sanitarias del Sivigila, el Ministerio de Salud y Protección Social; el Instituto Nacional de Salud (INS); el Instituto Nacional de Vigilancia de Medicamentos y Alimentos (Invima), las Direcciones Territoriales de Salud, </w:t>
      </w:r>
      <w:r w:rsidRPr="004674CF">
        <w:rPr>
          <w:rFonts w:ascii="Verdana" w:hAnsi="Verdana" w:cs="Arial"/>
          <w:i/>
          <w:iCs/>
          <w:color w:val="000000" w:themeColor="text1"/>
          <w:sz w:val="16"/>
          <w:szCs w:val="16"/>
          <w:lang w:val="es-CO"/>
        </w:rPr>
        <w:t>y todas aquellas entidades que de acuerdo con la ley ejerzan funciones de vigilancia y control sanitario</w:t>
      </w:r>
      <w:r w:rsidRPr="004674CF">
        <w:rPr>
          <w:rFonts w:ascii="Verdana" w:hAnsi="Verdana" w:cs="Arial"/>
          <w:color w:val="000000" w:themeColor="text1"/>
          <w:sz w:val="16"/>
          <w:szCs w:val="16"/>
          <w:lang w:val="es-CO"/>
        </w:rPr>
        <w:t xml:space="preserve">, las cuales deben adoptar medidas sanitarias que garanticen la protección de la salud pública y el cumplimiento de lo dispuesto en esta norma, así como adelantar los procedimientos y aplicar las sanciones a que hubiere lugar» (Énfasis fuera de texto).  </w:t>
      </w:r>
    </w:p>
  </w:footnote>
  <w:footnote w:id="43">
    <w:p w14:paraId="75F7A851" w14:textId="77777777" w:rsidR="00A1025E" w:rsidRPr="004674CF" w:rsidRDefault="00A1025E" w:rsidP="00A1025E">
      <w:pPr>
        <w:pStyle w:val="Textonotapie"/>
        <w:ind w:firstLine="708"/>
        <w:contextualSpacing/>
        <w:jc w:val="both"/>
        <w:rPr>
          <w:rFonts w:ascii="Verdana" w:hAnsi="Verdana"/>
          <w:sz w:val="16"/>
          <w:szCs w:val="16"/>
          <w:lang w:val="es-CO"/>
        </w:rPr>
      </w:pPr>
      <w:r w:rsidRPr="004674CF">
        <w:rPr>
          <w:rStyle w:val="Refdenotaalpie"/>
          <w:rFonts w:ascii="Verdana" w:hAnsi="Verdana"/>
          <w:sz w:val="16"/>
          <w:szCs w:val="16"/>
          <w:lang w:val="es-CO"/>
        </w:rPr>
        <w:footnoteRef/>
      </w:r>
      <w:r w:rsidRPr="004674CF">
        <w:rPr>
          <w:rFonts w:ascii="Verdana" w:hAnsi="Verdana"/>
          <w:sz w:val="16"/>
          <w:szCs w:val="16"/>
          <w:lang w:val="es-CO"/>
        </w:rPr>
        <w:t xml:space="preserve"> Consejo de Estado. Sala de Consulta y Servicio Civil. Concepto del 12 de junio de 2018. Radicación: 11001-03-06-000-2018-0043-00. (2371). Consejero Ponente: Oscar Darío Amaya Navas. </w:t>
      </w:r>
    </w:p>
  </w:footnote>
  <w:footnote w:id="44">
    <w:p w14:paraId="390131EC" w14:textId="77777777" w:rsidR="00A1025E" w:rsidRPr="004674CF" w:rsidRDefault="00A1025E" w:rsidP="00A1025E">
      <w:pPr>
        <w:pStyle w:val="Textonotapie"/>
        <w:ind w:firstLine="708"/>
        <w:contextualSpacing/>
        <w:rPr>
          <w:rFonts w:ascii="Verdana" w:hAnsi="Verdana"/>
          <w:sz w:val="16"/>
          <w:szCs w:val="16"/>
          <w:lang w:val="es-CO"/>
        </w:rPr>
      </w:pPr>
      <w:r w:rsidRPr="004674CF">
        <w:rPr>
          <w:rStyle w:val="Refdenotaalpie"/>
          <w:rFonts w:ascii="Verdana" w:hAnsi="Verdana"/>
          <w:sz w:val="16"/>
          <w:szCs w:val="16"/>
          <w:lang w:val="es-CO"/>
        </w:rPr>
        <w:footnoteRef/>
      </w:r>
      <w:r w:rsidRPr="004674CF">
        <w:rPr>
          <w:rFonts w:ascii="Verdana" w:hAnsi="Verdana"/>
          <w:sz w:val="16"/>
          <w:szCs w:val="16"/>
          <w:lang w:val="es-CO"/>
        </w:rPr>
        <w:t xml:space="preserve"> Ibidem.</w:t>
      </w:r>
    </w:p>
  </w:footnote>
  <w:footnote w:id="45">
    <w:p w14:paraId="7DE5065E" w14:textId="77777777" w:rsidR="00A1025E" w:rsidRPr="004674CF" w:rsidRDefault="00A1025E" w:rsidP="00A1025E">
      <w:pPr>
        <w:pStyle w:val="Textonotapie"/>
        <w:ind w:firstLine="709"/>
        <w:jc w:val="both"/>
        <w:rPr>
          <w:rFonts w:ascii="Verdana" w:hAnsi="Verdana"/>
          <w:sz w:val="16"/>
          <w:szCs w:val="16"/>
          <w:lang w:val="es-CO"/>
        </w:rPr>
      </w:pPr>
      <w:r w:rsidRPr="004674CF">
        <w:rPr>
          <w:rStyle w:val="Refdenotaalpie"/>
          <w:rFonts w:ascii="Verdana" w:hAnsi="Verdana"/>
          <w:sz w:val="16"/>
          <w:szCs w:val="16"/>
        </w:rPr>
        <w:footnoteRef/>
      </w:r>
      <w:r w:rsidRPr="004674CF">
        <w:rPr>
          <w:rFonts w:ascii="Verdana" w:hAnsi="Verdana"/>
          <w:sz w:val="16"/>
          <w:szCs w:val="16"/>
        </w:rPr>
        <w:t xml:space="preserve"> </w:t>
      </w:r>
      <w:r w:rsidRPr="004674CF">
        <w:rPr>
          <w:rFonts w:ascii="Verdana" w:hAnsi="Verdana"/>
          <w:color w:val="000000" w:themeColor="text1"/>
          <w:sz w:val="16"/>
          <w:szCs w:val="16"/>
        </w:rPr>
        <w:t xml:space="preserve">Resolución 1597 de 2025. </w:t>
      </w:r>
      <w:r w:rsidRPr="004674CF">
        <w:rPr>
          <w:rFonts w:ascii="Verdana" w:hAnsi="Verdana"/>
          <w:sz w:val="16"/>
          <w:szCs w:val="16"/>
          <w:lang w:val="es-CO"/>
        </w:rPr>
        <w:t>Artículo 12. </w:t>
      </w:r>
      <w:r w:rsidRPr="004674CF">
        <w:rPr>
          <w:rFonts w:ascii="Verdana" w:hAnsi="Verdana"/>
          <w:i/>
          <w:iCs/>
          <w:sz w:val="16"/>
          <w:szCs w:val="16"/>
          <w:lang w:val="es-CO"/>
        </w:rPr>
        <w:t>Implementación del Plan de Salud Pública de Intervenciones Colectivas.</w:t>
      </w:r>
      <w:r w:rsidRPr="004674CF">
        <w:rPr>
          <w:rFonts w:ascii="Verdana" w:hAnsi="Verdana"/>
          <w:sz w:val="16"/>
          <w:szCs w:val="16"/>
          <w:lang w:val="es-CO"/>
        </w:rPr>
        <w:t> Las Entidades Territoriales de los órdenes departamental, distrital y municipal, o las entidades que hagan sus veces, implementarán el plan de Salud Pública de Intervenciones Colectivas, conforme con lo siguiente:</w:t>
      </w:r>
    </w:p>
    <w:p w14:paraId="563249F8" w14:textId="77777777" w:rsidR="00A1025E" w:rsidRPr="004674CF" w:rsidRDefault="00A1025E" w:rsidP="00A1025E">
      <w:pPr>
        <w:pStyle w:val="Textonotapie"/>
        <w:ind w:firstLine="709"/>
        <w:jc w:val="both"/>
        <w:rPr>
          <w:rFonts w:ascii="Verdana" w:hAnsi="Verdana"/>
          <w:sz w:val="16"/>
          <w:szCs w:val="16"/>
          <w:lang w:val="es-CO"/>
        </w:rPr>
      </w:pPr>
      <w:r w:rsidRPr="004674CF">
        <w:rPr>
          <w:rFonts w:ascii="Verdana" w:hAnsi="Verdana"/>
          <w:sz w:val="16"/>
          <w:szCs w:val="16"/>
          <w:lang w:val="es-CO"/>
        </w:rPr>
        <w:t>12.1. Las Entidades Territoriales de los órdenes departamental y distrital contratarán el Plan de Salud Pública de Intervenciones Colectivas (PIC), con las Empresas Sociales del Estado o las Entidades que hagan sus veces ubicadas en el departamento o distrito respectivamente, garantizando en su implementación la territorialización y permanencia de las acciones. </w:t>
      </w:r>
    </w:p>
    <w:p w14:paraId="624C98D1" w14:textId="77777777" w:rsidR="00A1025E" w:rsidRPr="004674CF" w:rsidRDefault="00A1025E" w:rsidP="00A1025E">
      <w:pPr>
        <w:pStyle w:val="Textonotapie"/>
        <w:ind w:firstLine="709"/>
        <w:jc w:val="both"/>
        <w:rPr>
          <w:rFonts w:ascii="Verdana" w:hAnsi="Verdana"/>
          <w:sz w:val="16"/>
          <w:szCs w:val="16"/>
          <w:lang w:val="es-CO"/>
        </w:rPr>
      </w:pPr>
      <w:r w:rsidRPr="004674CF">
        <w:rPr>
          <w:rFonts w:ascii="Verdana" w:hAnsi="Verdana"/>
          <w:sz w:val="16"/>
          <w:szCs w:val="16"/>
          <w:lang w:val="es-CO"/>
        </w:rPr>
        <w:t>12.2. Las Entidades Territoriales del orden municipal contratarán el Plan de Salud Pública de Intervenciones Colectivas (PIC), con las Empresas Sociales del Estado o las Entidades que hagan sus veces de carácter territorial municipal ubicadas en el ámbito de su jurisdicción, garantizando en su implementación la territorialización y permanencia de las acciones. </w:t>
      </w:r>
    </w:p>
    <w:p w14:paraId="2F8F6F15" w14:textId="77777777" w:rsidR="00A1025E" w:rsidRPr="004674CF" w:rsidRDefault="00A1025E" w:rsidP="00A1025E">
      <w:pPr>
        <w:pStyle w:val="Textonotapie"/>
        <w:ind w:firstLine="709"/>
        <w:jc w:val="both"/>
        <w:rPr>
          <w:rFonts w:ascii="Verdana" w:hAnsi="Verdana"/>
          <w:sz w:val="16"/>
          <w:szCs w:val="16"/>
          <w:lang w:val="es-CO"/>
        </w:rPr>
      </w:pPr>
      <w:r w:rsidRPr="004674CF">
        <w:rPr>
          <w:rFonts w:ascii="Verdana" w:hAnsi="Verdana"/>
          <w:sz w:val="16"/>
          <w:szCs w:val="16"/>
          <w:lang w:val="es-CO"/>
        </w:rPr>
        <w:t>12.3. El plan de Salud Pública de Intervenciones Colectivas será implementado a través de Equipos Básicos de Salud, que desarrollarán las acciones colectivas establecidas en la normativa vigente, en los diferentes entornos de la vida cotidiana.12.4. En el nivel municipal se implementará un único plan de Salud Pública de Intervenciones Colectivas, a través del cual se garantice la concurrencia técnica, administrativa y financiera entre las Entidades Territoriales de los órdenes departamental y municipal.</w:t>
      </w:r>
    </w:p>
    <w:p w14:paraId="2CA53459" w14:textId="77777777" w:rsidR="00A1025E" w:rsidRPr="004674CF" w:rsidRDefault="00A1025E" w:rsidP="00A1025E">
      <w:pPr>
        <w:pStyle w:val="Textonotapie"/>
        <w:ind w:firstLine="709"/>
        <w:jc w:val="both"/>
        <w:rPr>
          <w:rFonts w:ascii="Verdana" w:hAnsi="Verdana"/>
          <w:sz w:val="16"/>
          <w:szCs w:val="16"/>
          <w:lang w:val="es-CO"/>
        </w:rPr>
      </w:pPr>
      <w:r w:rsidRPr="004674CF">
        <w:rPr>
          <w:rFonts w:ascii="Verdana" w:hAnsi="Verdana"/>
          <w:sz w:val="16"/>
          <w:szCs w:val="16"/>
          <w:lang w:val="es-CO"/>
        </w:rPr>
        <w:t xml:space="preserve">12.5. Las entidades territoriales departamentales, distritales y municipales y las Empresas Sociales del Estado, ubicadas en el departamento, distrito o municipio, suscribirán un convenio o contrato para la implementación del Plan de Salud Pública de Intervenciones Colectivas y suscribirán el acta de inicio a más tardar el 1° de abril de cada vigencia, garantizando su operación y continuidad hasta el 31 de marzo de la siguiente vigencia, en el marco de los principios de continuidad y disponibilidad establecidos en la Ley </w:t>
      </w:r>
      <w:r w:rsidRPr="004674CF">
        <w:rPr>
          <w:rFonts w:ascii="Verdana" w:hAnsi="Verdana"/>
          <w:color w:val="000000" w:themeColor="text1"/>
          <w:sz w:val="16"/>
          <w:szCs w:val="16"/>
          <w:lang w:val="es-CO"/>
        </w:rPr>
        <w:t>número </w:t>
      </w:r>
      <w:hyperlink r:id="rId1" w:history="1">
        <w:r w:rsidRPr="004674CF">
          <w:rPr>
            <w:rStyle w:val="Hipervnculo"/>
            <w:rFonts w:ascii="Verdana" w:hAnsi="Verdana"/>
            <w:color w:val="000000" w:themeColor="text1"/>
            <w:sz w:val="16"/>
            <w:szCs w:val="16"/>
            <w:lang w:val="es-CO"/>
          </w:rPr>
          <w:t>1751</w:t>
        </w:r>
      </w:hyperlink>
      <w:r w:rsidRPr="004674CF">
        <w:rPr>
          <w:rFonts w:ascii="Verdana" w:hAnsi="Verdana"/>
          <w:color w:val="000000" w:themeColor="text1"/>
          <w:sz w:val="16"/>
          <w:szCs w:val="16"/>
          <w:lang w:val="es-CO"/>
        </w:rPr>
        <w:t> de 2</w:t>
      </w:r>
      <w:r w:rsidRPr="004674CF">
        <w:rPr>
          <w:rFonts w:ascii="Verdana" w:hAnsi="Verdana"/>
          <w:sz w:val="16"/>
          <w:szCs w:val="16"/>
          <w:lang w:val="es-CO"/>
        </w:rPr>
        <w:t>015 o la norma que la modifique, asegurando la ejecución de la totalidad de recursos asignados.</w:t>
      </w:r>
    </w:p>
    <w:p w14:paraId="58D60B41" w14:textId="77777777" w:rsidR="00A1025E" w:rsidRPr="004674CF" w:rsidRDefault="00A1025E" w:rsidP="00A1025E">
      <w:pPr>
        <w:pStyle w:val="Textonotapie"/>
        <w:ind w:firstLine="709"/>
        <w:jc w:val="both"/>
        <w:rPr>
          <w:rFonts w:ascii="Verdana" w:hAnsi="Verdana"/>
          <w:sz w:val="16"/>
          <w:szCs w:val="16"/>
          <w:lang w:val="es-CO"/>
        </w:rPr>
      </w:pPr>
      <w:r w:rsidRPr="004674CF">
        <w:rPr>
          <w:rFonts w:ascii="Verdana" w:hAnsi="Verdana"/>
          <w:sz w:val="16"/>
          <w:szCs w:val="16"/>
          <w:lang w:val="es-CO"/>
        </w:rPr>
        <w:t>12.6. Las Empresas Sociales del Estado o las entidades que hagan sus veces, con las cuales las entidades territoriales contraten el Plan de Salud Pública de Intervenciones Colectivas (PIC), implementarán, en coordinación con las entidades territoriales de los órdenes departamental, distrital y municipal, un plan de fortalecimiento institucional para garantizar la adecuada y efectiva ejecución del PIC, conforme a las directrices que para tal efecto emita el Ministerio de Salud y Protección Social.</w:t>
      </w:r>
    </w:p>
    <w:p w14:paraId="267A9D0C" w14:textId="77777777" w:rsidR="00A1025E" w:rsidRPr="004674CF" w:rsidRDefault="00A1025E" w:rsidP="00A1025E">
      <w:pPr>
        <w:pStyle w:val="Textonotapie"/>
        <w:ind w:firstLine="709"/>
        <w:jc w:val="both"/>
        <w:rPr>
          <w:rFonts w:ascii="Verdana" w:hAnsi="Verdana"/>
          <w:sz w:val="16"/>
          <w:szCs w:val="16"/>
          <w:lang w:val="es-CO"/>
        </w:rPr>
      </w:pPr>
      <w:r w:rsidRPr="004674CF">
        <w:rPr>
          <w:rFonts w:ascii="Verdana" w:hAnsi="Verdana"/>
          <w:sz w:val="16"/>
          <w:szCs w:val="16"/>
          <w:lang w:val="es-CO"/>
        </w:rPr>
        <w:t>12.7. En los municipios que no cuenten con Empresas Sociales del Estado o la entidad que haga sus veces en el ámbito de su jurisdicción, el municipio ejecutará de manera directa las intervenciones colectivas que no requieran para su ejecución un servicio habilitado y contratarán con la Empresa Social del Estado del municipio más cercano, aquellas intervenciones colectivas que deben prestarse a través de servicios habilitados.</w:t>
      </w:r>
    </w:p>
    <w:p w14:paraId="48E7A66E" w14:textId="77777777" w:rsidR="00A1025E" w:rsidRPr="004674CF" w:rsidRDefault="00A1025E" w:rsidP="00A1025E">
      <w:pPr>
        <w:pStyle w:val="Textonotapie"/>
        <w:ind w:firstLine="709"/>
        <w:jc w:val="both"/>
        <w:rPr>
          <w:rFonts w:ascii="Verdana" w:hAnsi="Verdana"/>
          <w:sz w:val="16"/>
          <w:szCs w:val="16"/>
          <w:lang w:val="es-CO"/>
        </w:rPr>
      </w:pPr>
      <w:r w:rsidRPr="004674CF">
        <w:rPr>
          <w:rFonts w:ascii="Verdana" w:hAnsi="Verdana"/>
          <w:sz w:val="16"/>
          <w:szCs w:val="16"/>
          <w:lang w:val="es-CO"/>
        </w:rPr>
        <w:t>12.8. Las entidades territoriales de los órdenes departamental, distrital y municipal implementarán mecanismos de coordinación con las instituciones prestadoras de servicios de salud, públicas, privadas y mixtas, las entidades promotoras de salud o quien haga sus veces, las demás entidades del sector público, el sector privado y la sociedad en general, con el fin de fortalecer la capacidad resolutiva de las acciones desarrolladas desde el plan de intervenciones colectivas en complementariedad con las intervenciones individuales del plan de beneficios en salud para la integralidad y continuidad de la atención, en el marco de los principios de concurrencia y complementariedad.</w:t>
      </w:r>
    </w:p>
    <w:p w14:paraId="79E8B854" w14:textId="77777777" w:rsidR="00A1025E" w:rsidRPr="004674CF" w:rsidRDefault="00A1025E" w:rsidP="00A1025E">
      <w:pPr>
        <w:pStyle w:val="Textonotapie"/>
        <w:ind w:firstLine="709"/>
        <w:jc w:val="both"/>
        <w:rPr>
          <w:rFonts w:ascii="Verdana" w:hAnsi="Verdana"/>
          <w:sz w:val="16"/>
          <w:szCs w:val="16"/>
          <w:lang w:val="es-CO"/>
        </w:rPr>
      </w:pPr>
      <w:r w:rsidRPr="004674CF">
        <w:rPr>
          <w:rFonts w:ascii="Verdana" w:hAnsi="Verdana"/>
          <w:sz w:val="16"/>
          <w:szCs w:val="16"/>
          <w:lang w:val="es-CO"/>
        </w:rPr>
        <w:t>12.9. En caso de que la Empresa Social del Estado o la entidad que haga sus veces desista del proceso de contratación del Plan de Salud Pública de Intervenciones Colectivas (PIC), deberá manifestarlo por escrito en un plazo de máximo quince (15) días calendario siguientes a la propuesta de contratación de la entidad territorial o la entidad que haga sus veces. En todo caso deberá evidenciarse la gestión adelantada por la entidad territorial para la contratación del PIC con la ESE, o la entidad que haga sus veces.</w:t>
      </w:r>
    </w:p>
    <w:p w14:paraId="6FF45DB5" w14:textId="77777777" w:rsidR="00A1025E" w:rsidRPr="004674CF" w:rsidRDefault="00A1025E" w:rsidP="00A1025E">
      <w:pPr>
        <w:pStyle w:val="Textonotapie"/>
        <w:ind w:firstLine="709"/>
        <w:jc w:val="both"/>
        <w:rPr>
          <w:rFonts w:ascii="Verdana" w:hAnsi="Verdana"/>
          <w:sz w:val="16"/>
          <w:szCs w:val="16"/>
          <w:lang w:val="es-CO"/>
        </w:rPr>
      </w:pPr>
      <w:r w:rsidRPr="004674CF">
        <w:rPr>
          <w:rFonts w:ascii="Verdana" w:hAnsi="Verdana"/>
          <w:sz w:val="16"/>
          <w:szCs w:val="16"/>
          <w:lang w:val="es-CO"/>
        </w:rPr>
        <w:t>12.10. En los municipios donde la única Empresa Social del Estado o la entidad que haga sus veces, haya desistido por escrito de la contratación del Plan de Salud Pública de Intervenciones Colectivas (PIC), este podrá ser contratado excepcionalmente con la ESE o quien haga sus veces, del municipio más cercano.</w:t>
      </w:r>
    </w:p>
    <w:p w14:paraId="0CBBD7E0" w14:textId="77777777" w:rsidR="00A1025E" w:rsidRPr="004674CF" w:rsidRDefault="00A1025E" w:rsidP="00A1025E">
      <w:pPr>
        <w:pStyle w:val="Textonotapie"/>
        <w:ind w:firstLine="709"/>
        <w:jc w:val="both"/>
        <w:rPr>
          <w:rFonts w:ascii="Verdana" w:hAnsi="Verdana"/>
          <w:sz w:val="16"/>
          <w:szCs w:val="16"/>
          <w:lang w:val="es-CO"/>
        </w:rPr>
      </w:pPr>
      <w:r w:rsidRPr="004674CF">
        <w:rPr>
          <w:rFonts w:ascii="Verdana" w:hAnsi="Verdana"/>
          <w:sz w:val="16"/>
          <w:szCs w:val="16"/>
          <w:lang w:val="es-CO"/>
        </w:rPr>
        <w:t>12.11. De no contar la Empresa Social del Estado o la entidad que haga sus veces con la capacidad técnica y operativa para la “gestión y operación de los programas de enfermedades transmitidas por vectores y zoonosis”, en términos del cumplimiento del perfil y experiencia del talento humano, la maquinaria y equipos incluido su mantenimiento y calibración; así como los requisitos establecidos en la normativa vigente para la manipulación de plaguicidas de acuerdo con lo descrito en los lineamientos emitidos por el Ministerio de Salud y Protección Social, estas intervenciones serán implementadas directamente por la Entidad Territorial de los órdenes departamental, distrital o municipal, de acuerdo con sus competencias legales.</w:t>
      </w:r>
    </w:p>
    <w:p w14:paraId="1D556E3D" w14:textId="77777777" w:rsidR="00A1025E" w:rsidRPr="004674CF" w:rsidRDefault="00A1025E" w:rsidP="00A1025E">
      <w:pPr>
        <w:pStyle w:val="Textonotapie"/>
        <w:ind w:firstLine="709"/>
        <w:jc w:val="both"/>
        <w:rPr>
          <w:rFonts w:ascii="Verdana" w:hAnsi="Verdana"/>
          <w:sz w:val="16"/>
          <w:szCs w:val="16"/>
          <w:lang w:val="es-CO"/>
        </w:rPr>
      </w:pPr>
      <w:r w:rsidRPr="004674CF">
        <w:rPr>
          <w:rFonts w:ascii="Verdana" w:hAnsi="Verdana"/>
          <w:sz w:val="16"/>
          <w:szCs w:val="16"/>
          <w:lang w:val="es-CO"/>
        </w:rPr>
        <w:t>12.12. Excepcionalmente, cuando la entidad territorial de los órdenes departamental, distrital o municipal no cuente con la capacidad técnica y operativa para la “gestión y operación de los programas de enfermedades transmitidas por vectores y zoonosis”, en términos del cumplimiento del perfil y experiencia del talento humano, la maquinaria y equipos incluido su mantenimiento y calibración; así como los requisitos establecidos en la normativa vigente para la manipulación de plaguicidas de acuerdo con lo descrito en los lineamientos emitidos por el Ministerio de Salud y Protección Social , estas intervenciones podrán ser contratadas a través de universidades, organizaciones no gubernamentales (ONG) o instituciones de naturaleza privada cuyo objeto social esté relacionado, previa verificación del cumplimiento de las condiciones establecidas, conforme con las disposiciones aplicables a la contratación estatal.</w:t>
      </w:r>
    </w:p>
    <w:p w14:paraId="7172E709" w14:textId="77777777" w:rsidR="00A1025E" w:rsidRPr="004674CF" w:rsidRDefault="00A1025E" w:rsidP="00A1025E">
      <w:pPr>
        <w:pStyle w:val="Textonotapie"/>
        <w:ind w:firstLine="709"/>
        <w:jc w:val="both"/>
        <w:rPr>
          <w:rFonts w:ascii="Verdana" w:hAnsi="Verdana"/>
          <w:sz w:val="16"/>
          <w:szCs w:val="16"/>
          <w:lang w:val="es-CO"/>
        </w:rPr>
      </w:pPr>
      <w:r w:rsidRPr="004674CF">
        <w:rPr>
          <w:rFonts w:ascii="Verdana" w:hAnsi="Verdana"/>
          <w:sz w:val="16"/>
          <w:szCs w:val="16"/>
          <w:lang w:val="es-CO"/>
        </w:rPr>
        <w:t xml:space="preserve">12.13. Las entidades territoriales de los órdenes departamental, distrital y municipal que celebren acuerdos de voluntades para las intervenciones colectivas deberán dar cumplimiento a lo establecido en el Decreto </w:t>
      </w:r>
      <w:r w:rsidRPr="004674CF">
        <w:rPr>
          <w:rFonts w:ascii="Verdana" w:hAnsi="Verdana"/>
          <w:color w:val="000000" w:themeColor="text1"/>
          <w:sz w:val="16"/>
          <w:szCs w:val="16"/>
          <w:lang w:val="es-CO"/>
        </w:rPr>
        <w:t>número </w:t>
      </w:r>
      <w:hyperlink r:id="rId2" w:history="1">
        <w:r w:rsidRPr="004674CF">
          <w:rPr>
            <w:rStyle w:val="Hipervnculo"/>
            <w:rFonts w:ascii="Verdana" w:hAnsi="Verdana"/>
            <w:color w:val="000000" w:themeColor="text1"/>
            <w:sz w:val="16"/>
            <w:szCs w:val="16"/>
            <w:lang w:val="es-CO"/>
          </w:rPr>
          <w:t>441</w:t>
        </w:r>
      </w:hyperlink>
      <w:r w:rsidRPr="004674CF">
        <w:rPr>
          <w:rFonts w:ascii="Verdana" w:hAnsi="Verdana"/>
          <w:color w:val="000000" w:themeColor="text1"/>
          <w:sz w:val="16"/>
          <w:szCs w:val="16"/>
          <w:lang w:val="es-CO"/>
        </w:rPr>
        <w:t> de 20</w:t>
      </w:r>
      <w:r w:rsidRPr="004674CF">
        <w:rPr>
          <w:rFonts w:ascii="Verdana" w:hAnsi="Verdana"/>
          <w:sz w:val="16"/>
          <w:szCs w:val="16"/>
          <w:lang w:val="es-CO"/>
        </w:rPr>
        <w:t>22 y Resolución número 2336 de 2023 o las normas que lo modifiquen o deroguen. </w:t>
      </w:r>
    </w:p>
    <w:p w14:paraId="60162C0B" w14:textId="77777777" w:rsidR="00A1025E" w:rsidRPr="004674CF" w:rsidRDefault="00A1025E" w:rsidP="00A1025E">
      <w:pPr>
        <w:pStyle w:val="Textonotapie"/>
        <w:ind w:firstLine="709"/>
        <w:jc w:val="both"/>
        <w:rPr>
          <w:rFonts w:ascii="Verdana" w:hAnsi="Verdana"/>
          <w:sz w:val="16"/>
          <w:szCs w:val="16"/>
          <w:lang w:val="es-CO"/>
        </w:rPr>
      </w:pPr>
      <w:r w:rsidRPr="004674CF">
        <w:rPr>
          <w:rFonts w:ascii="Verdana" w:hAnsi="Verdana"/>
          <w:sz w:val="16"/>
          <w:szCs w:val="16"/>
          <w:lang w:val="es-CO"/>
        </w:rPr>
        <w:t>12.14. Con el fin de fortalecer el abordaje comunitario en salud sexual y reproductiva, consumo de sustancias psicoactivas y otras prioridades en salud pública con poblaciones de especial interés, las entidades que implementen el Plan de Salud Pública de Intervenciones Colectivas podrán contratar actividades específicas con organizaciones de base comunitaria, sin ánimo de lucro, de acuerdo con la normativa vigente y los lineamientos que para tal efecto expida el Ministerio de Salud y Protección Social.</w:t>
      </w:r>
    </w:p>
    <w:p w14:paraId="4DA491DD" w14:textId="77777777" w:rsidR="00A1025E" w:rsidRPr="004674CF" w:rsidRDefault="00A1025E" w:rsidP="00A1025E">
      <w:pPr>
        <w:pStyle w:val="Textonotapie"/>
        <w:ind w:firstLine="709"/>
        <w:jc w:val="both"/>
        <w:rPr>
          <w:rFonts w:ascii="Verdana" w:hAnsi="Verdana"/>
          <w:sz w:val="16"/>
          <w:szCs w:val="16"/>
          <w:lang w:val="es-CO"/>
        </w:rPr>
      </w:pPr>
      <w:r w:rsidRPr="004674CF">
        <w:rPr>
          <w:rFonts w:ascii="Verdana" w:hAnsi="Verdana"/>
          <w:sz w:val="16"/>
          <w:szCs w:val="16"/>
          <w:lang w:val="es-CO"/>
        </w:rPr>
        <w:t>12.15. En ningún caso se podrán subcontratar las intervenciones colectivas del Plan de Salud Pública de Intervenciones Colectivas, salvo las actividades de apoyo, tales como adquisición de insumos, material didáctico que se pueda requerir para la ejecución directa del objeto, servicio de transporte y demás aspectos logísticos.</w:t>
      </w:r>
    </w:p>
    <w:p w14:paraId="3D7CAC65" w14:textId="77777777" w:rsidR="00A1025E" w:rsidRPr="004674CF" w:rsidRDefault="00A1025E" w:rsidP="00A1025E">
      <w:pPr>
        <w:pStyle w:val="Textonotapie"/>
        <w:ind w:firstLine="709"/>
        <w:jc w:val="both"/>
        <w:rPr>
          <w:rFonts w:ascii="Verdana" w:hAnsi="Verdana"/>
          <w:sz w:val="16"/>
          <w:szCs w:val="16"/>
          <w:lang w:val="es-CO"/>
        </w:rPr>
      </w:pPr>
      <w:r w:rsidRPr="004674CF">
        <w:rPr>
          <w:rFonts w:ascii="Verdana" w:hAnsi="Verdana"/>
          <w:sz w:val="16"/>
          <w:szCs w:val="16"/>
          <w:lang w:val="es-CO"/>
        </w:rPr>
        <w:t>12.16. Se podrán realizar alianzas entre dos o más municipios para la contratación de intervenciones colectivas en el marco de estrategias conjuntas de salud pública, que tengan un alcance regional y subregional o que permitan optimizar esfuerzos y recursos.</w:t>
      </w:r>
    </w:p>
    <w:p w14:paraId="72EE61C0" w14:textId="77777777" w:rsidR="00A1025E" w:rsidRPr="004674CF" w:rsidRDefault="00A1025E" w:rsidP="00A1025E">
      <w:pPr>
        <w:pStyle w:val="Textonotapie"/>
        <w:ind w:firstLine="709"/>
        <w:jc w:val="both"/>
        <w:rPr>
          <w:rFonts w:ascii="Verdana" w:hAnsi="Verdana"/>
          <w:sz w:val="16"/>
          <w:szCs w:val="16"/>
          <w:lang w:val="es-CO"/>
        </w:rPr>
      </w:pPr>
      <w:r w:rsidRPr="004674CF">
        <w:rPr>
          <w:rFonts w:ascii="Verdana" w:hAnsi="Verdana"/>
          <w:sz w:val="16"/>
          <w:szCs w:val="16"/>
          <w:lang w:val="es-CO"/>
        </w:rPr>
        <w:t>Parágrafo. Este Ministerio reglamentará las condiciones que deben cumplir las organizaciones de base comunitaria, sin ánimo de lucro, para el desarrollo de las actividades de abordaje comunitario.</w:t>
      </w:r>
    </w:p>
  </w:footnote>
  <w:footnote w:id="46">
    <w:p w14:paraId="3E28F265" w14:textId="77777777" w:rsidR="00A1025E" w:rsidRPr="002A760C" w:rsidRDefault="00A1025E" w:rsidP="00A1025E">
      <w:pPr>
        <w:pStyle w:val="Textonotapie"/>
        <w:ind w:firstLine="709"/>
        <w:rPr>
          <w:rFonts w:ascii="Verdana" w:hAnsi="Verdana"/>
          <w:sz w:val="16"/>
          <w:szCs w:val="16"/>
        </w:rPr>
      </w:pPr>
      <w:r w:rsidRPr="004674CF">
        <w:rPr>
          <w:rStyle w:val="Refdenotaalpie"/>
          <w:rFonts w:ascii="Verdana" w:hAnsi="Verdana"/>
          <w:sz w:val="16"/>
          <w:szCs w:val="16"/>
        </w:rPr>
        <w:footnoteRef/>
      </w:r>
      <w:r w:rsidRPr="004674CF">
        <w:rPr>
          <w:rFonts w:ascii="Verdana" w:hAnsi="Verdana"/>
          <w:sz w:val="16"/>
          <w:szCs w:val="16"/>
        </w:rPr>
        <w:t xml:space="preserve"> Esto en el entendido de la posición de la Agencia Nacional descrito en la presente comunicación.</w:t>
      </w:r>
      <w:r w:rsidRPr="003B2CAD">
        <w:rPr>
          <w:rFonts w:ascii="Verdana" w:hAnsi="Verdana"/>
          <w:sz w:val="16"/>
          <w:szCs w:val="16"/>
        </w:rPr>
        <w:t xml:space="preserve"> </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lang w:val="en-US"/>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93" type="#_x0000_t75" style="width:12.4pt;height:12.4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4CA4EFE"/>
    <w:multiLevelType w:val="hybridMultilevel"/>
    <w:tmpl w:val="535A062C"/>
    <w:lvl w:ilvl="0" w:tplc="0C0A52FC">
      <w:start w:val="1"/>
      <w:numFmt w:val="bullet"/>
      <w:lvlText w:val="•"/>
      <w:lvlJc w:val="left"/>
      <w:pPr>
        <w:tabs>
          <w:tab w:val="num" w:pos="720"/>
        </w:tabs>
        <w:ind w:left="720" w:hanging="360"/>
      </w:pPr>
      <w:rPr>
        <w:rFonts w:ascii="Arial" w:hAnsi="Arial" w:hint="default"/>
      </w:rPr>
    </w:lvl>
    <w:lvl w:ilvl="1" w:tplc="ECE23108" w:tentative="1">
      <w:start w:val="1"/>
      <w:numFmt w:val="bullet"/>
      <w:lvlText w:val="•"/>
      <w:lvlJc w:val="left"/>
      <w:pPr>
        <w:tabs>
          <w:tab w:val="num" w:pos="1440"/>
        </w:tabs>
        <w:ind w:left="1440" w:hanging="360"/>
      </w:pPr>
      <w:rPr>
        <w:rFonts w:ascii="Arial" w:hAnsi="Arial" w:hint="default"/>
      </w:rPr>
    </w:lvl>
    <w:lvl w:ilvl="2" w:tplc="5E0E9E88" w:tentative="1">
      <w:start w:val="1"/>
      <w:numFmt w:val="bullet"/>
      <w:lvlText w:val="•"/>
      <w:lvlJc w:val="left"/>
      <w:pPr>
        <w:tabs>
          <w:tab w:val="num" w:pos="2160"/>
        </w:tabs>
        <w:ind w:left="2160" w:hanging="360"/>
      </w:pPr>
      <w:rPr>
        <w:rFonts w:ascii="Arial" w:hAnsi="Arial" w:hint="default"/>
      </w:rPr>
    </w:lvl>
    <w:lvl w:ilvl="3" w:tplc="35927F38" w:tentative="1">
      <w:start w:val="1"/>
      <w:numFmt w:val="bullet"/>
      <w:lvlText w:val="•"/>
      <w:lvlJc w:val="left"/>
      <w:pPr>
        <w:tabs>
          <w:tab w:val="num" w:pos="2880"/>
        </w:tabs>
        <w:ind w:left="2880" w:hanging="360"/>
      </w:pPr>
      <w:rPr>
        <w:rFonts w:ascii="Arial" w:hAnsi="Arial" w:hint="default"/>
      </w:rPr>
    </w:lvl>
    <w:lvl w:ilvl="4" w:tplc="1CAC6EF0" w:tentative="1">
      <w:start w:val="1"/>
      <w:numFmt w:val="bullet"/>
      <w:lvlText w:val="•"/>
      <w:lvlJc w:val="left"/>
      <w:pPr>
        <w:tabs>
          <w:tab w:val="num" w:pos="3600"/>
        </w:tabs>
        <w:ind w:left="3600" w:hanging="360"/>
      </w:pPr>
      <w:rPr>
        <w:rFonts w:ascii="Arial" w:hAnsi="Arial" w:hint="default"/>
      </w:rPr>
    </w:lvl>
    <w:lvl w:ilvl="5" w:tplc="664865F0" w:tentative="1">
      <w:start w:val="1"/>
      <w:numFmt w:val="bullet"/>
      <w:lvlText w:val="•"/>
      <w:lvlJc w:val="left"/>
      <w:pPr>
        <w:tabs>
          <w:tab w:val="num" w:pos="4320"/>
        </w:tabs>
        <w:ind w:left="4320" w:hanging="360"/>
      </w:pPr>
      <w:rPr>
        <w:rFonts w:ascii="Arial" w:hAnsi="Arial" w:hint="default"/>
      </w:rPr>
    </w:lvl>
    <w:lvl w:ilvl="6" w:tplc="29840596" w:tentative="1">
      <w:start w:val="1"/>
      <w:numFmt w:val="bullet"/>
      <w:lvlText w:val="•"/>
      <w:lvlJc w:val="left"/>
      <w:pPr>
        <w:tabs>
          <w:tab w:val="num" w:pos="5040"/>
        </w:tabs>
        <w:ind w:left="5040" w:hanging="360"/>
      </w:pPr>
      <w:rPr>
        <w:rFonts w:ascii="Arial" w:hAnsi="Arial" w:hint="default"/>
      </w:rPr>
    </w:lvl>
    <w:lvl w:ilvl="7" w:tplc="B95EFAC0" w:tentative="1">
      <w:start w:val="1"/>
      <w:numFmt w:val="bullet"/>
      <w:lvlText w:val="•"/>
      <w:lvlJc w:val="left"/>
      <w:pPr>
        <w:tabs>
          <w:tab w:val="num" w:pos="5760"/>
        </w:tabs>
        <w:ind w:left="5760" w:hanging="360"/>
      </w:pPr>
      <w:rPr>
        <w:rFonts w:ascii="Arial" w:hAnsi="Arial" w:hint="default"/>
      </w:rPr>
    </w:lvl>
    <w:lvl w:ilvl="8" w:tplc="2DAC8E96"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45D54189"/>
    <w:multiLevelType w:val="hybridMultilevel"/>
    <w:tmpl w:val="41C6983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7"/>
  </w:num>
  <w:num w:numId="2">
    <w:abstractNumId w:val="2"/>
  </w:num>
  <w:num w:numId="3">
    <w:abstractNumId w:val="5"/>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5"/>
  </w:num>
  <w:num w:numId="7">
    <w:abstractNumId w:val="6"/>
  </w:num>
  <w:num w:numId="8">
    <w:abstractNumId w:val="14"/>
  </w:num>
  <w:num w:numId="9">
    <w:abstractNumId w:val="8"/>
  </w:num>
  <w:num w:numId="10">
    <w:abstractNumId w:val="13"/>
  </w:num>
  <w:num w:numId="11">
    <w:abstractNumId w:val="9"/>
  </w:num>
  <w:num w:numId="12">
    <w:abstractNumId w:val="1"/>
  </w:num>
  <w:num w:numId="13">
    <w:abstractNumId w:val="4"/>
  </w:num>
  <w:num w:numId="14">
    <w:abstractNumId w:val="16"/>
  </w:num>
  <w:num w:numId="15">
    <w:abstractNumId w:val="12"/>
  </w:num>
  <w:num w:numId="16">
    <w:abstractNumId w:val="0"/>
  </w:num>
  <w:num w:numId="17">
    <w:abstractNumId w:val="10"/>
  </w:num>
  <w:num w:numId="18">
    <w:abstractNumId w:val="11"/>
  </w:num>
  <w:num w:numId="1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1"/>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1847"/>
    <w:rsid w:val="0001041D"/>
    <w:rsid w:val="00016F78"/>
    <w:rsid w:val="00046945"/>
    <w:rsid w:val="00061B2A"/>
    <w:rsid w:val="00081367"/>
    <w:rsid w:val="00082362"/>
    <w:rsid w:val="000825A6"/>
    <w:rsid w:val="00095DAE"/>
    <w:rsid w:val="000A683E"/>
    <w:rsid w:val="000B19B9"/>
    <w:rsid w:val="000D0334"/>
    <w:rsid w:val="000D5040"/>
    <w:rsid w:val="000D5DA7"/>
    <w:rsid w:val="000F4BC5"/>
    <w:rsid w:val="000F6486"/>
    <w:rsid w:val="00102203"/>
    <w:rsid w:val="00116940"/>
    <w:rsid w:val="00125105"/>
    <w:rsid w:val="00127233"/>
    <w:rsid w:val="00127474"/>
    <w:rsid w:val="0015699B"/>
    <w:rsid w:val="001A33BF"/>
    <w:rsid w:val="001E194B"/>
    <w:rsid w:val="001E4177"/>
    <w:rsid w:val="001E5EA0"/>
    <w:rsid w:val="001F0B24"/>
    <w:rsid w:val="001F7DC6"/>
    <w:rsid w:val="0020079E"/>
    <w:rsid w:val="0022400B"/>
    <w:rsid w:val="002421BB"/>
    <w:rsid w:val="0024692A"/>
    <w:rsid w:val="0025796E"/>
    <w:rsid w:val="00261121"/>
    <w:rsid w:val="002707A2"/>
    <w:rsid w:val="002826F0"/>
    <w:rsid w:val="002845F4"/>
    <w:rsid w:val="002857D9"/>
    <w:rsid w:val="00293441"/>
    <w:rsid w:val="002951A0"/>
    <w:rsid w:val="002962BC"/>
    <w:rsid w:val="002A093D"/>
    <w:rsid w:val="002A0DD0"/>
    <w:rsid w:val="002A49AC"/>
    <w:rsid w:val="002A64FD"/>
    <w:rsid w:val="002A760C"/>
    <w:rsid w:val="002C5725"/>
    <w:rsid w:val="002C7A84"/>
    <w:rsid w:val="002E2BF8"/>
    <w:rsid w:val="002E4FD9"/>
    <w:rsid w:val="002F3CDF"/>
    <w:rsid w:val="0030657A"/>
    <w:rsid w:val="00322A85"/>
    <w:rsid w:val="00324168"/>
    <w:rsid w:val="00330834"/>
    <w:rsid w:val="003318AB"/>
    <w:rsid w:val="003448F4"/>
    <w:rsid w:val="00355EA0"/>
    <w:rsid w:val="003604F5"/>
    <w:rsid w:val="00374F5E"/>
    <w:rsid w:val="00377E3E"/>
    <w:rsid w:val="003A779E"/>
    <w:rsid w:val="003C5B9E"/>
    <w:rsid w:val="003C64B8"/>
    <w:rsid w:val="003D0F4D"/>
    <w:rsid w:val="003D1CF9"/>
    <w:rsid w:val="003D5B0D"/>
    <w:rsid w:val="003E0499"/>
    <w:rsid w:val="003E4F80"/>
    <w:rsid w:val="003E6439"/>
    <w:rsid w:val="003E6646"/>
    <w:rsid w:val="003F3941"/>
    <w:rsid w:val="00406575"/>
    <w:rsid w:val="00414C74"/>
    <w:rsid w:val="00417B5B"/>
    <w:rsid w:val="0042722E"/>
    <w:rsid w:val="00437377"/>
    <w:rsid w:val="0044528D"/>
    <w:rsid w:val="00447D22"/>
    <w:rsid w:val="00466302"/>
    <w:rsid w:val="00466E39"/>
    <w:rsid w:val="004674CF"/>
    <w:rsid w:val="00473BEB"/>
    <w:rsid w:val="00494C69"/>
    <w:rsid w:val="004A1847"/>
    <w:rsid w:val="004A305D"/>
    <w:rsid w:val="004B7D74"/>
    <w:rsid w:val="004D420F"/>
    <w:rsid w:val="004F21C4"/>
    <w:rsid w:val="004F685F"/>
    <w:rsid w:val="0053199F"/>
    <w:rsid w:val="005566E8"/>
    <w:rsid w:val="00574867"/>
    <w:rsid w:val="00580BC6"/>
    <w:rsid w:val="00591460"/>
    <w:rsid w:val="00597A19"/>
    <w:rsid w:val="005A65E0"/>
    <w:rsid w:val="005B0452"/>
    <w:rsid w:val="005C3777"/>
    <w:rsid w:val="005C5CDC"/>
    <w:rsid w:val="005C6BC8"/>
    <w:rsid w:val="005D476C"/>
    <w:rsid w:val="005E6B20"/>
    <w:rsid w:val="005F181C"/>
    <w:rsid w:val="006200BF"/>
    <w:rsid w:val="006219F8"/>
    <w:rsid w:val="006302F7"/>
    <w:rsid w:val="00646B9F"/>
    <w:rsid w:val="00656F96"/>
    <w:rsid w:val="00662D62"/>
    <w:rsid w:val="00665485"/>
    <w:rsid w:val="00665D70"/>
    <w:rsid w:val="006900D9"/>
    <w:rsid w:val="006C04F1"/>
    <w:rsid w:val="006D76F7"/>
    <w:rsid w:val="006E2BF4"/>
    <w:rsid w:val="00706C16"/>
    <w:rsid w:val="00721364"/>
    <w:rsid w:val="007317FA"/>
    <w:rsid w:val="007340C3"/>
    <w:rsid w:val="00737DF0"/>
    <w:rsid w:val="0075235A"/>
    <w:rsid w:val="00752490"/>
    <w:rsid w:val="00756841"/>
    <w:rsid w:val="007649AB"/>
    <w:rsid w:val="00771D0C"/>
    <w:rsid w:val="007744FB"/>
    <w:rsid w:val="007829E1"/>
    <w:rsid w:val="007833AC"/>
    <w:rsid w:val="0078433B"/>
    <w:rsid w:val="007A153F"/>
    <w:rsid w:val="007B268C"/>
    <w:rsid w:val="007B7171"/>
    <w:rsid w:val="007C0C0F"/>
    <w:rsid w:val="007C3DC2"/>
    <w:rsid w:val="007D3968"/>
    <w:rsid w:val="007E5497"/>
    <w:rsid w:val="00806F5F"/>
    <w:rsid w:val="00815B83"/>
    <w:rsid w:val="00817856"/>
    <w:rsid w:val="00820169"/>
    <w:rsid w:val="00820278"/>
    <w:rsid w:val="008258C9"/>
    <w:rsid w:val="00826EE8"/>
    <w:rsid w:val="00844AE9"/>
    <w:rsid w:val="00867F95"/>
    <w:rsid w:val="008835B4"/>
    <w:rsid w:val="008843B6"/>
    <w:rsid w:val="00891928"/>
    <w:rsid w:val="008934CB"/>
    <w:rsid w:val="00895356"/>
    <w:rsid w:val="008A446D"/>
    <w:rsid w:val="008B104D"/>
    <w:rsid w:val="008B25F1"/>
    <w:rsid w:val="008C571F"/>
    <w:rsid w:val="008C5A84"/>
    <w:rsid w:val="008D180B"/>
    <w:rsid w:val="008E72AF"/>
    <w:rsid w:val="008F0EA7"/>
    <w:rsid w:val="008F327E"/>
    <w:rsid w:val="00923EEF"/>
    <w:rsid w:val="009305DC"/>
    <w:rsid w:val="009419F9"/>
    <w:rsid w:val="0095685E"/>
    <w:rsid w:val="00961B09"/>
    <w:rsid w:val="00965334"/>
    <w:rsid w:val="0097093E"/>
    <w:rsid w:val="00990BF1"/>
    <w:rsid w:val="009A027F"/>
    <w:rsid w:val="009A0DFA"/>
    <w:rsid w:val="009A1C6F"/>
    <w:rsid w:val="009B2D26"/>
    <w:rsid w:val="009B7652"/>
    <w:rsid w:val="009C71FA"/>
    <w:rsid w:val="009C72E7"/>
    <w:rsid w:val="009C7F7E"/>
    <w:rsid w:val="009D3058"/>
    <w:rsid w:val="009E6333"/>
    <w:rsid w:val="009F3A13"/>
    <w:rsid w:val="00A07EBF"/>
    <w:rsid w:val="00A1025E"/>
    <w:rsid w:val="00A122D3"/>
    <w:rsid w:val="00A14468"/>
    <w:rsid w:val="00A17F13"/>
    <w:rsid w:val="00A20739"/>
    <w:rsid w:val="00A23AF9"/>
    <w:rsid w:val="00A33C78"/>
    <w:rsid w:val="00A63F17"/>
    <w:rsid w:val="00A83161"/>
    <w:rsid w:val="00A86E5C"/>
    <w:rsid w:val="00AB0ADB"/>
    <w:rsid w:val="00AD67E7"/>
    <w:rsid w:val="00B00C0E"/>
    <w:rsid w:val="00B01B1A"/>
    <w:rsid w:val="00B0381D"/>
    <w:rsid w:val="00B13882"/>
    <w:rsid w:val="00B14F11"/>
    <w:rsid w:val="00B14F36"/>
    <w:rsid w:val="00B44A47"/>
    <w:rsid w:val="00B72CD3"/>
    <w:rsid w:val="00B72FFF"/>
    <w:rsid w:val="00B7443D"/>
    <w:rsid w:val="00B944AA"/>
    <w:rsid w:val="00B95ED8"/>
    <w:rsid w:val="00BA15D8"/>
    <w:rsid w:val="00BA7A2E"/>
    <w:rsid w:val="00BC3D36"/>
    <w:rsid w:val="00BD54A6"/>
    <w:rsid w:val="00BD7F72"/>
    <w:rsid w:val="00BF6651"/>
    <w:rsid w:val="00BF7425"/>
    <w:rsid w:val="00C04FB3"/>
    <w:rsid w:val="00C11D8B"/>
    <w:rsid w:val="00C15139"/>
    <w:rsid w:val="00C330EB"/>
    <w:rsid w:val="00C50D69"/>
    <w:rsid w:val="00C5365C"/>
    <w:rsid w:val="00C67C8B"/>
    <w:rsid w:val="00C729D3"/>
    <w:rsid w:val="00C754BE"/>
    <w:rsid w:val="00C76B1C"/>
    <w:rsid w:val="00C925AC"/>
    <w:rsid w:val="00C946BF"/>
    <w:rsid w:val="00C958D1"/>
    <w:rsid w:val="00CA0E68"/>
    <w:rsid w:val="00CB6357"/>
    <w:rsid w:val="00CC1B26"/>
    <w:rsid w:val="00CD6067"/>
    <w:rsid w:val="00CE4589"/>
    <w:rsid w:val="00CE72C3"/>
    <w:rsid w:val="00CF4861"/>
    <w:rsid w:val="00D13C5D"/>
    <w:rsid w:val="00D31EC6"/>
    <w:rsid w:val="00D350D3"/>
    <w:rsid w:val="00D361FD"/>
    <w:rsid w:val="00D417C8"/>
    <w:rsid w:val="00D423A2"/>
    <w:rsid w:val="00D439FC"/>
    <w:rsid w:val="00D44E26"/>
    <w:rsid w:val="00D520D8"/>
    <w:rsid w:val="00D53F94"/>
    <w:rsid w:val="00D63AC2"/>
    <w:rsid w:val="00D7383B"/>
    <w:rsid w:val="00D7788A"/>
    <w:rsid w:val="00DA231B"/>
    <w:rsid w:val="00DC39FC"/>
    <w:rsid w:val="00DD0992"/>
    <w:rsid w:val="00DF3F1B"/>
    <w:rsid w:val="00DF5254"/>
    <w:rsid w:val="00E02524"/>
    <w:rsid w:val="00E16408"/>
    <w:rsid w:val="00E20894"/>
    <w:rsid w:val="00E245AB"/>
    <w:rsid w:val="00E2764C"/>
    <w:rsid w:val="00E27F2E"/>
    <w:rsid w:val="00E5016B"/>
    <w:rsid w:val="00E50AFE"/>
    <w:rsid w:val="00E56EE8"/>
    <w:rsid w:val="00E60AD8"/>
    <w:rsid w:val="00E75C92"/>
    <w:rsid w:val="00E760D9"/>
    <w:rsid w:val="00E771DC"/>
    <w:rsid w:val="00E8252C"/>
    <w:rsid w:val="00E83EFE"/>
    <w:rsid w:val="00E8772A"/>
    <w:rsid w:val="00E90AC3"/>
    <w:rsid w:val="00E90F6B"/>
    <w:rsid w:val="00E92C27"/>
    <w:rsid w:val="00EA0E3D"/>
    <w:rsid w:val="00EA4B5D"/>
    <w:rsid w:val="00EC38A7"/>
    <w:rsid w:val="00EE1AA8"/>
    <w:rsid w:val="00F04FFA"/>
    <w:rsid w:val="00F163B0"/>
    <w:rsid w:val="00F16BC8"/>
    <w:rsid w:val="00F23FEA"/>
    <w:rsid w:val="00F31A4A"/>
    <w:rsid w:val="00F31EDC"/>
    <w:rsid w:val="00F462B3"/>
    <w:rsid w:val="00F5664F"/>
    <w:rsid w:val="00F624DD"/>
    <w:rsid w:val="00F666C4"/>
    <w:rsid w:val="00F7339B"/>
    <w:rsid w:val="00F76AFC"/>
    <w:rsid w:val="00FA3E17"/>
    <w:rsid w:val="00FA47C0"/>
    <w:rsid w:val="00FB2271"/>
    <w:rsid w:val="00FB5DD1"/>
    <w:rsid w:val="00FC2B5D"/>
    <w:rsid w:val="00FD63E7"/>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1025E"/>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53F94"/>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53F94"/>
    <w:rPr>
      <w:rFonts w:ascii="Geomanist Light" w:hAnsi="Geomanist Light"/>
      <w:lang w:val="es-ES"/>
    </w:rPr>
  </w:style>
  <w:style w:type="character" w:customStyle="1" w:styleId="s15">
    <w:name w:val="s15"/>
    <w:basedOn w:val="Fuentedeprrafopredeter"/>
    <w:rsid w:val="00D53F94"/>
  </w:style>
  <w:style w:type="paragraph" w:styleId="Textoindependiente">
    <w:name w:val="Body Text"/>
    <w:basedOn w:val="Normal"/>
    <w:link w:val="TextoindependienteCar"/>
    <w:uiPriority w:val="1"/>
    <w:qFormat/>
    <w:rsid w:val="00D53F94"/>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D53F94"/>
    <w:rPr>
      <w:rFonts w:ascii="Verdana" w:eastAsia="Verdana" w:hAnsi="Verdana" w:cs="Verdana"/>
      <w:lang w:val="es-ES"/>
    </w:rPr>
  </w:style>
  <w:style w:type="character" w:customStyle="1" w:styleId="NormalWebCar">
    <w:name w:val="Normal (Web) Car"/>
    <w:link w:val="NormalWeb"/>
    <w:uiPriority w:val="99"/>
    <w:locked/>
    <w:rsid w:val="00D53F94"/>
    <w:rPr>
      <w:rFonts w:ascii="Times New Roman" w:eastAsia="Times New Roman" w:hAnsi="Times New Roman" w:cs="Times New Roman"/>
      <w:sz w:val="24"/>
      <w:szCs w:val="24"/>
      <w:lang w:eastAsia="es-CO"/>
    </w:rPr>
  </w:style>
  <w:style w:type="character" w:customStyle="1" w:styleId="baj">
    <w:name w:val="b_aj"/>
    <w:basedOn w:val="Fuentedeprrafopredeter"/>
    <w:rsid w:val="00D53F94"/>
  </w:style>
  <w:style w:type="character" w:styleId="Refdecomentario">
    <w:name w:val="annotation reference"/>
    <w:basedOn w:val="Fuentedeprrafopredeter"/>
    <w:uiPriority w:val="99"/>
    <w:semiHidden/>
    <w:unhideWhenUsed/>
    <w:rsid w:val="008F327E"/>
    <w:rPr>
      <w:sz w:val="16"/>
      <w:szCs w:val="16"/>
    </w:rPr>
  </w:style>
  <w:style w:type="paragraph" w:styleId="Textocomentario">
    <w:name w:val="annotation text"/>
    <w:basedOn w:val="Normal"/>
    <w:link w:val="TextocomentarioCar"/>
    <w:uiPriority w:val="99"/>
    <w:unhideWhenUsed/>
    <w:rsid w:val="008F327E"/>
    <w:pPr>
      <w:spacing w:line="240" w:lineRule="auto"/>
    </w:pPr>
    <w:rPr>
      <w:sz w:val="20"/>
      <w:szCs w:val="20"/>
    </w:rPr>
  </w:style>
  <w:style w:type="character" w:customStyle="1" w:styleId="TextocomentarioCar">
    <w:name w:val="Texto comentario Car"/>
    <w:basedOn w:val="Fuentedeprrafopredeter"/>
    <w:link w:val="Textocomentario"/>
    <w:uiPriority w:val="99"/>
    <w:rsid w:val="008F327E"/>
    <w:rPr>
      <w:sz w:val="20"/>
      <w:szCs w:val="20"/>
    </w:rPr>
  </w:style>
  <w:style w:type="paragraph" w:styleId="Asuntodelcomentario">
    <w:name w:val="annotation subject"/>
    <w:basedOn w:val="Textocomentario"/>
    <w:next w:val="Textocomentario"/>
    <w:link w:val="AsuntodelcomentarioCar"/>
    <w:uiPriority w:val="99"/>
    <w:semiHidden/>
    <w:unhideWhenUsed/>
    <w:rsid w:val="008F327E"/>
    <w:rPr>
      <w:b/>
      <w:bCs/>
    </w:rPr>
  </w:style>
  <w:style w:type="character" w:customStyle="1" w:styleId="AsuntodelcomentarioCar">
    <w:name w:val="Asunto del comentario Car"/>
    <w:basedOn w:val="TextocomentarioCar"/>
    <w:link w:val="Asuntodelcomentario"/>
    <w:uiPriority w:val="99"/>
    <w:semiHidden/>
    <w:rsid w:val="008F327E"/>
    <w:rPr>
      <w:b/>
      <w:bCs/>
      <w:sz w:val="20"/>
      <w:szCs w:val="20"/>
    </w:rPr>
  </w:style>
  <w:style w:type="table" w:customStyle="1" w:styleId="Tablaconcuadrcula1">
    <w:name w:val="Tabla con cuadrícula1"/>
    <w:basedOn w:val="Tablanormal"/>
    <w:next w:val="Tablaconcuadrcula"/>
    <w:uiPriority w:val="39"/>
    <w:qFormat/>
    <w:rsid w:val="009305DC"/>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basedOn w:val="Fuentedeprrafopredeter"/>
    <w:uiPriority w:val="99"/>
    <w:semiHidden/>
    <w:unhideWhenUsed/>
    <w:rsid w:val="00CE72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alcaldiabogota.gov.co/sisjur/normas/Norma1.jsp?dt=S&amp;i=80433"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adrianapatricia.rojas@antioquia.gov.co"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www.alcaldiabogota.gov.co/sisjur/normas/Norma1.jsp?dt=S&amp;i=122202" TargetMode="External"/><Relationship Id="rId1" Type="http://schemas.openxmlformats.org/officeDocument/2006/relationships/hyperlink" Target="https://www.alcaldiabogota.gov.co/sisjur/normas/Norma1.jsp?dt=S&amp;i=60733"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50080F-1139-4C5A-B761-592438DD35C3}"/>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1aae7ce2-01f1-44de-ad9f-ef43eb06f92c"/>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C69BDA04-A7E3-4B0A-9D76-BA11817BB639}">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16</TotalTime>
  <Pages>42</Pages>
  <Words>13433</Words>
  <Characters>76571</Characters>
  <Application>Microsoft Office Word</Application>
  <DocSecurity>0</DocSecurity>
  <Lines>638</Lines>
  <Paragraphs>179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89825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José Luis S</cp:lastModifiedBy>
  <cp:revision>3</cp:revision>
  <cp:lastPrinted>2023-01-10T21:18:00Z</cp:lastPrinted>
  <dcterms:created xsi:type="dcterms:W3CDTF">2025-12-29T12:56:00Z</dcterms:created>
  <dcterms:modified xsi:type="dcterms:W3CDTF">2025-12-30T02:00:00Z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