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331F49" w14:textId="77777777" w:rsidR="00C37701" w:rsidRPr="00123DAA" w:rsidRDefault="00C37701" w:rsidP="00C37701">
      <w:pPr>
        <w:spacing w:after="0" w:line="240" w:lineRule="auto"/>
        <w:jc w:val="both"/>
        <w:rPr>
          <w:rFonts w:ascii="Verdana" w:eastAsia="Calibri" w:hAnsi="Verdana" w:cs="Arial"/>
          <w:b/>
          <w:bCs/>
          <w:lang w:val="es-ES_tradnl" w:eastAsia="es-ES"/>
        </w:rPr>
      </w:pPr>
      <w:r w:rsidRPr="00940024">
        <w:rPr>
          <w:rFonts w:ascii="Verdana" w:eastAsia="Calibri" w:hAnsi="Verdana" w:cs="Arial"/>
          <w:b/>
          <w:bCs/>
          <w:lang w:val="es-ES_tradnl" w:eastAsia="es-ES"/>
        </w:rPr>
        <w:t>SEGURIDAD SOCIAL INTEGRAL – Verificación</w:t>
      </w:r>
    </w:p>
    <w:p w14:paraId="6543E39F" w14:textId="77777777" w:rsidR="00C37701" w:rsidRPr="00123DAA" w:rsidRDefault="00C37701" w:rsidP="00C37701">
      <w:pPr>
        <w:spacing w:after="0" w:line="240" w:lineRule="auto"/>
        <w:jc w:val="both"/>
        <w:rPr>
          <w:rFonts w:ascii="Verdana" w:eastAsia="Calibri" w:hAnsi="Verdana" w:cs="Arial"/>
          <w:sz w:val="20"/>
          <w:szCs w:val="20"/>
          <w:lang w:val="es-ES_tradnl" w:eastAsia="es-ES"/>
        </w:rPr>
      </w:pPr>
    </w:p>
    <w:p w14:paraId="78803C20" w14:textId="77777777" w:rsidR="00C37701" w:rsidRPr="00940024" w:rsidRDefault="00C37701" w:rsidP="00C37701">
      <w:pPr>
        <w:spacing w:after="0" w:line="240" w:lineRule="auto"/>
        <w:jc w:val="both"/>
        <w:rPr>
          <w:rFonts w:ascii="Verdana" w:eastAsia="Calibri" w:hAnsi="Verdana" w:cs="Arial"/>
          <w:sz w:val="20"/>
          <w:szCs w:val="20"/>
          <w:lang w:val="es-ES" w:eastAsia="es-ES"/>
        </w:rPr>
      </w:pPr>
      <w:r w:rsidRPr="00940024">
        <w:rPr>
          <w:rFonts w:ascii="Verdana" w:eastAsia="Calibri" w:hAnsi="Verdana" w:cs="Arial"/>
          <w:sz w:val="20"/>
          <w:szCs w:val="20"/>
          <w:lang w:val="es-ES" w:eastAsia="es-ES"/>
        </w:rPr>
        <w:t>La Seguridad Social es un servicio público obligatorio, cuya dirección, coordinación y control está a cargo del Estado y es prestado por entidades públicas y privadas. Mediante esta se evitan desequilibrios económicos y sociales que, de no resolverse, significarían la reducción o la pérdida de los ingresos por causa de contingencias como la enfermedad, los accidentes, la maternidad o el desempleo, entre otras. De acuerdo con la Ley 100 de 1993, modificada en lo pertinente por la Ley 2381 de 2024, el Sistema de Seguridad Social Integral en Colombia se compone de los sistemas de protección social integral para la vejez, invalidez y muerte de origen común, de salud y de riesgos laborales, así como los servicios sociales complementarios.</w:t>
      </w:r>
    </w:p>
    <w:p w14:paraId="6A8F9102" w14:textId="77777777" w:rsidR="00C37701" w:rsidRDefault="00C37701" w:rsidP="00C37701">
      <w:pPr>
        <w:spacing w:after="0" w:line="240" w:lineRule="auto"/>
        <w:jc w:val="both"/>
        <w:rPr>
          <w:rFonts w:ascii="Verdana" w:eastAsia="Calibri" w:hAnsi="Verdana" w:cs="Arial"/>
          <w:sz w:val="20"/>
          <w:szCs w:val="20"/>
          <w:lang w:val="es-ES" w:eastAsia="es-ES"/>
        </w:rPr>
      </w:pPr>
    </w:p>
    <w:p w14:paraId="20BADD75" w14:textId="77777777" w:rsidR="00C37701" w:rsidRPr="00940024" w:rsidRDefault="00C37701" w:rsidP="00C37701">
      <w:pPr>
        <w:spacing w:after="0" w:line="240" w:lineRule="auto"/>
        <w:jc w:val="both"/>
        <w:rPr>
          <w:rFonts w:ascii="Verdana" w:eastAsia="Calibri" w:hAnsi="Verdana" w:cs="Arial"/>
          <w:sz w:val="20"/>
          <w:szCs w:val="20"/>
          <w:lang w:val="es-ES" w:eastAsia="es-ES"/>
        </w:rPr>
      </w:pPr>
      <w:r w:rsidRPr="00940024">
        <w:rPr>
          <w:rFonts w:ascii="Verdana" w:eastAsia="Calibri" w:hAnsi="Verdana" w:cs="Arial"/>
          <w:sz w:val="20"/>
          <w:szCs w:val="20"/>
          <w:lang w:val="es-ES" w:eastAsia="es-ES"/>
        </w:rPr>
        <w:t>El artículo 50 de la Ley 789 de 2002 dispuso como obligación de quien quiere celebrar, renovar o liquidar contratos de cualquier naturaleza con entidades del sector público, cumplir con las obligaciones a los sistemas de salud, riesgos profesionales, pensiones y aportes a la Caja de Compensación Familiar, Instituto Colombiano de Bienestar Familiar y Servicio Nacional de Aprendizaje. Asimismo, faculta a la entidad estatal, al momento de liquidar los contratos, para verificar y dejar constancia del cumplimiento de las obligaciones del contratista frente a los aportes mencionados durante toda su vigencia, estableciendo una correcta relación entre el monto cancelado y las sumas que debió cotizar.</w:t>
      </w:r>
    </w:p>
    <w:p w14:paraId="3BCEA247" w14:textId="77777777" w:rsidR="00C37701" w:rsidRPr="00123DAA" w:rsidRDefault="00C37701" w:rsidP="00C37701">
      <w:pPr>
        <w:spacing w:after="0" w:line="240" w:lineRule="auto"/>
        <w:jc w:val="both"/>
        <w:rPr>
          <w:rFonts w:ascii="Verdana" w:eastAsia="Calibri" w:hAnsi="Verdana" w:cs="Arial"/>
          <w:sz w:val="20"/>
          <w:szCs w:val="20"/>
          <w:lang w:val="es-ES_tradnl" w:eastAsia="es-ES"/>
        </w:rPr>
      </w:pPr>
    </w:p>
    <w:p w14:paraId="0134504B" w14:textId="77777777" w:rsidR="00C37701" w:rsidRPr="00123DAA" w:rsidRDefault="00C37701" w:rsidP="00C37701">
      <w:pPr>
        <w:spacing w:after="0" w:line="240" w:lineRule="auto"/>
        <w:jc w:val="both"/>
        <w:rPr>
          <w:rFonts w:ascii="Verdana" w:eastAsia="Calibri" w:hAnsi="Verdana" w:cs="Arial"/>
          <w:sz w:val="20"/>
          <w:szCs w:val="20"/>
          <w:lang w:val="es-ES_tradnl" w:eastAsia="es-ES"/>
        </w:rPr>
      </w:pPr>
      <w:r w:rsidRPr="00940024">
        <w:rPr>
          <w:rFonts w:ascii="Verdana" w:eastAsia="Calibri" w:hAnsi="Verdana" w:cs="Arial"/>
          <w:b/>
          <w:bCs/>
          <w:lang w:val="es-ES_tradnl" w:eastAsia="es-ES"/>
        </w:rPr>
        <w:t>SEGURIDAD SOCIAL INTEGRAL – Régimen jurídico – Afiliación y aporte – Obligación legal – Ejecución del contrato</w:t>
      </w:r>
    </w:p>
    <w:p w14:paraId="4EF90032" w14:textId="77777777" w:rsidR="00C37701" w:rsidRDefault="00C37701" w:rsidP="00C37701">
      <w:pPr>
        <w:spacing w:after="0" w:line="240" w:lineRule="auto"/>
        <w:jc w:val="both"/>
        <w:rPr>
          <w:rFonts w:ascii="Verdana" w:eastAsia="Calibri" w:hAnsi="Verdana" w:cs="Arial"/>
          <w:sz w:val="20"/>
          <w:szCs w:val="20"/>
          <w:lang w:val="es-ES_tradnl" w:eastAsia="es-ES"/>
        </w:rPr>
      </w:pPr>
    </w:p>
    <w:p w14:paraId="41896BC9" w14:textId="77777777" w:rsidR="00C37701" w:rsidRPr="00940024" w:rsidRDefault="00C37701" w:rsidP="00C37701">
      <w:pPr>
        <w:spacing w:after="0" w:line="240" w:lineRule="auto"/>
        <w:jc w:val="both"/>
        <w:rPr>
          <w:rFonts w:ascii="Verdana" w:eastAsia="Calibri" w:hAnsi="Verdana" w:cs="Arial"/>
          <w:sz w:val="20"/>
          <w:szCs w:val="20"/>
          <w:lang w:val="es-ES" w:eastAsia="es-ES"/>
        </w:rPr>
      </w:pPr>
      <w:r w:rsidRPr="00940024">
        <w:rPr>
          <w:rFonts w:ascii="Verdana" w:eastAsia="Calibri" w:hAnsi="Verdana" w:cs="Arial"/>
          <w:sz w:val="20"/>
          <w:szCs w:val="20"/>
          <w:lang w:val="es-ES" w:eastAsia="es-ES"/>
        </w:rPr>
        <w:t xml:space="preserve">[…] las personas jurídicas que quieran celebrar contratos con las entidades estatales deben acreditar el pago al sistema de seguridad social de sus empleados, por eso presentarán una certificación expedida por el revisor fiscal o por el representante legal, durante un lapso equivalente al que exija el respectivo régimen de contratación para que se hubiera constituido la sociedad, el cual no será inferior a los seis (6) meses anteriores a la celebración del contrato. En este sentido, la ley señala que </w:t>
      </w:r>
      <w:r w:rsidRPr="00940024">
        <w:rPr>
          <w:rFonts w:ascii="Verdana" w:eastAsia="Calibri" w:hAnsi="Verdana" w:cs="Arial"/>
          <w:i/>
          <w:iCs/>
          <w:sz w:val="20"/>
          <w:szCs w:val="20"/>
          <w:lang w:val="es-ES" w:eastAsia="es-ES"/>
        </w:rPr>
        <w:t>para presentar la oferta</w:t>
      </w:r>
      <w:r w:rsidRPr="00940024">
        <w:rPr>
          <w:rFonts w:ascii="Verdana" w:eastAsia="Calibri" w:hAnsi="Verdana" w:cs="Arial"/>
          <w:sz w:val="20"/>
          <w:szCs w:val="20"/>
          <w:lang w:val="es-ES" w:eastAsia="es-ES"/>
        </w:rPr>
        <w:t xml:space="preserve"> las personas jurídicas deben acreditar el requisito señalado anteriormente.</w:t>
      </w:r>
    </w:p>
    <w:p w14:paraId="4FF8D95B" w14:textId="77777777" w:rsidR="00C37701" w:rsidRPr="00940024" w:rsidRDefault="00C37701" w:rsidP="00C37701">
      <w:pPr>
        <w:spacing w:after="0" w:line="240" w:lineRule="auto"/>
        <w:jc w:val="both"/>
        <w:rPr>
          <w:rFonts w:ascii="Verdana" w:eastAsia="Calibri" w:hAnsi="Verdana" w:cs="Arial"/>
          <w:sz w:val="20"/>
          <w:szCs w:val="20"/>
          <w:lang w:val="es-ES" w:eastAsia="es-ES"/>
        </w:rPr>
      </w:pPr>
    </w:p>
    <w:p w14:paraId="18B76203" w14:textId="77777777" w:rsidR="00C37701" w:rsidRPr="00940024" w:rsidRDefault="00C37701" w:rsidP="00C37701">
      <w:pPr>
        <w:spacing w:after="0" w:line="240" w:lineRule="auto"/>
        <w:jc w:val="both"/>
        <w:rPr>
          <w:rFonts w:ascii="Verdana" w:eastAsia="Calibri" w:hAnsi="Verdana" w:cs="Arial"/>
          <w:sz w:val="20"/>
          <w:szCs w:val="20"/>
          <w:lang w:val="es-ES" w:eastAsia="es-ES"/>
        </w:rPr>
      </w:pPr>
      <w:r w:rsidRPr="00940024">
        <w:rPr>
          <w:rFonts w:ascii="Verdana" w:eastAsia="Calibri" w:hAnsi="Verdana" w:cs="Arial"/>
          <w:sz w:val="20"/>
          <w:szCs w:val="20"/>
          <w:lang w:val="es-ES" w:eastAsia="es-ES"/>
        </w:rPr>
        <w:t xml:space="preserve">Esta norma fue analizada por la Sección Tercera del Consejo de Estado, que consideró que el artículo 50 de la Ley 789 de 2002 tiene por objeto evitar la evasión por parte de los empleadores de las cotizaciones al sistema de seguridad social y de los aportes parafiscales, y para lograr esa finalidad el legislador impuso a las entidades estatales la obligación de verificar, en los procesos de selección de contratistas y durante la ejecución y liquidación de los contratos, que tanto los oferentes como los contratistas hayan realizado los aportes al Sistema de Seguridad Social Integral. Por lo tanto, la jurisprudencia reiteró la necesidad de que las entidades estatales, </w:t>
      </w:r>
      <w:r w:rsidRPr="00940024">
        <w:rPr>
          <w:rFonts w:ascii="Verdana" w:eastAsia="Calibri" w:hAnsi="Verdana" w:cs="Arial"/>
          <w:i/>
          <w:iCs/>
          <w:sz w:val="20"/>
          <w:szCs w:val="20"/>
          <w:lang w:val="es-ES" w:eastAsia="es-ES"/>
        </w:rPr>
        <w:t>durante la ejecución de un contrato</w:t>
      </w:r>
      <w:r w:rsidRPr="00940024">
        <w:rPr>
          <w:rFonts w:ascii="Verdana" w:eastAsia="Calibri" w:hAnsi="Verdana" w:cs="Arial"/>
          <w:sz w:val="20"/>
          <w:szCs w:val="20"/>
          <w:lang w:val="es-ES" w:eastAsia="es-ES"/>
        </w:rPr>
        <w:t xml:space="preserve">, verifiquen el cumplimiento de las obligaciones del sistema de seguridad social por parte de los oferentes. De esta manera, el artículo 23 de la Ley 1150 de 2007 que modificó el inciso segundo del artículo 41 de la Ley 80 de 1993, incluye la obligación, </w:t>
      </w:r>
      <w:r w:rsidRPr="00940024">
        <w:rPr>
          <w:rFonts w:ascii="Verdana" w:eastAsia="Calibri" w:hAnsi="Verdana" w:cs="Arial"/>
          <w:sz w:val="20"/>
          <w:szCs w:val="20"/>
          <w:lang w:val="es-ES" w:eastAsia="es-ES"/>
        </w:rPr>
        <w:lastRenderedPageBreak/>
        <w:t>para los proponentes y contratistas, de estar a paz y salvo con los aportes parafiscales al Sistema de Seguridad Social Integral […]</w:t>
      </w:r>
    </w:p>
    <w:p w14:paraId="4E37BA6C" w14:textId="77777777" w:rsidR="00C37701" w:rsidRPr="00940024" w:rsidRDefault="00C37701" w:rsidP="00C37701">
      <w:pPr>
        <w:spacing w:after="0" w:line="240" w:lineRule="auto"/>
        <w:jc w:val="both"/>
        <w:rPr>
          <w:rFonts w:ascii="Verdana" w:eastAsia="Calibri" w:hAnsi="Verdana" w:cs="Arial"/>
          <w:sz w:val="20"/>
          <w:szCs w:val="20"/>
          <w:lang w:val="es-ES" w:eastAsia="es-ES"/>
        </w:rPr>
      </w:pPr>
    </w:p>
    <w:p w14:paraId="4AF796F4" w14:textId="77777777" w:rsidR="00C37701" w:rsidRPr="00940024" w:rsidRDefault="00C37701" w:rsidP="00C37701">
      <w:pPr>
        <w:spacing w:after="0" w:line="240" w:lineRule="auto"/>
        <w:jc w:val="both"/>
        <w:rPr>
          <w:rFonts w:ascii="Verdana" w:eastAsia="Calibri" w:hAnsi="Verdana" w:cs="Arial"/>
          <w:sz w:val="20"/>
          <w:szCs w:val="20"/>
          <w:lang w:val="es-ES" w:eastAsia="es-ES"/>
        </w:rPr>
      </w:pPr>
      <w:r w:rsidRPr="00940024">
        <w:rPr>
          <w:rFonts w:ascii="Verdana" w:eastAsia="Calibri" w:hAnsi="Verdana" w:cs="Arial"/>
          <w:sz w:val="20"/>
          <w:szCs w:val="20"/>
          <w:lang w:val="es-ES" w:eastAsia="es-ES"/>
        </w:rPr>
        <w:t>Del artículo 23 de la Ley 1150 de 2007 se concluye que si bien los proponentes y los contratistas deben estar al día en el pago al Sistema de Seguridad Social, la verificación de este requisito, por parte de las entidades estatales, se realizará como requisito para iniciar la ejecución de los contratos –inciso primero– y cuando realicen cada pago originado en el contrato estatal –parágrafo 1–, es decir, durante la ejecución del contrato. En estos términos, la obligación de estar al día en el pago al Sistema de Seguridad Social Integral es un requisito de ejecución de los contratos estatales. Sin embargo, ello no significa que no se solicite en momentos previos y posteriores a la celebración del contrato, teniendo en cuenta lo prescrito en el artículo 50 de la Ley 789 de 2002.</w:t>
      </w:r>
    </w:p>
    <w:p w14:paraId="1766E0B1" w14:textId="77777777" w:rsidR="00C37701" w:rsidRPr="00123DAA" w:rsidRDefault="00C37701" w:rsidP="00C37701">
      <w:pPr>
        <w:spacing w:after="0" w:line="240" w:lineRule="auto"/>
        <w:jc w:val="both"/>
        <w:rPr>
          <w:rFonts w:ascii="Verdana" w:eastAsia="Calibri" w:hAnsi="Verdana" w:cs="Arial"/>
          <w:sz w:val="20"/>
          <w:szCs w:val="20"/>
          <w:lang w:val="es-ES_tradnl" w:eastAsia="es-ES"/>
        </w:rPr>
      </w:pPr>
    </w:p>
    <w:p w14:paraId="60C695CE" w14:textId="77777777" w:rsidR="00C37701" w:rsidRPr="00123DAA" w:rsidRDefault="00C37701" w:rsidP="00C37701">
      <w:pPr>
        <w:spacing w:after="0" w:line="240" w:lineRule="auto"/>
        <w:jc w:val="both"/>
        <w:rPr>
          <w:rFonts w:ascii="Verdana" w:eastAsia="Calibri" w:hAnsi="Verdana" w:cs="Arial"/>
          <w:sz w:val="20"/>
          <w:szCs w:val="20"/>
          <w:lang w:val="es-ES_tradnl" w:eastAsia="es-ES"/>
        </w:rPr>
      </w:pPr>
      <w:r>
        <w:rPr>
          <w:rFonts w:ascii="Verdana" w:eastAsia="Calibri" w:hAnsi="Verdana" w:cs="Arial"/>
          <w:b/>
          <w:bCs/>
          <w:lang w:val="es-ES_tradnl" w:eastAsia="es-ES"/>
        </w:rPr>
        <w:t>LEY 2381 DE 2024 – Reglamentación – Cotizaciones – Entidades estatales – Contratos de prestación de servicios – Directrices</w:t>
      </w:r>
    </w:p>
    <w:p w14:paraId="3D6DDFD2" w14:textId="77777777" w:rsidR="00C37701" w:rsidRDefault="00C37701" w:rsidP="00C37701">
      <w:pPr>
        <w:spacing w:after="0" w:line="240" w:lineRule="auto"/>
        <w:jc w:val="both"/>
        <w:rPr>
          <w:rFonts w:ascii="Verdana" w:eastAsia="Calibri" w:hAnsi="Verdana" w:cs="Arial"/>
          <w:sz w:val="20"/>
          <w:szCs w:val="20"/>
          <w:lang w:val="es-ES_tradnl" w:eastAsia="es-ES"/>
        </w:rPr>
      </w:pPr>
    </w:p>
    <w:p w14:paraId="3B3048EA" w14:textId="77777777" w:rsidR="00C37701" w:rsidRPr="001F44FE" w:rsidRDefault="00C37701" w:rsidP="00C37701">
      <w:pPr>
        <w:spacing w:after="0" w:line="240" w:lineRule="auto"/>
        <w:jc w:val="both"/>
        <w:rPr>
          <w:rFonts w:ascii="Verdana" w:eastAsia="Calibri" w:hAnsi="Verdana" w:cs="Arial"/>
          <w:sz w:val="20"/>
          <w:szCs w:val="20"/>
          <w:lang w:eastAsia="es-ES"/>
        </w:rPr>
      </w:pPr>
      <w:r>
        <w:rPr>
          <w:rFonts w:ascii="Verdana" w:eastAsia="Calibri" w:hAnsi="Verdana" w:cs="Arial"/>
          <w:sz w:val="20"/>
          <w:szCs w:val="20"/>
          <w:lang w:val="es-ES" w:eastAsia="es-ES"/>
        </w:rPr>
        <w:t>D</w:t>
      </w:r>
      <w:r w:rsidRPr="00940024">
        <w:rPr>
          <w:rFonts w:ascii="Verdana" w:eastAsia="Calibri" w:hAnsi="Verdana" w:cs="Arial"/>
          <w:sz w:val="20"/>
          <w:szCs w:val="20"/>
          <w:lang w:val="es-ES" w:eastAsia="es-ES"/>
        </w:rPr>
        <w:t xml:space="preserve">e acuerdo con los artículos 21 de la Ley 2381 de 2024 y 2.2.4.18.7 del Decreto 514 de 2025, las cotizaciones a cargo de las entidades que suscriben contratos de prestación de servicios con personas naturales o jurídicas no rigen de forma automática con la vigencia de la reforma pensional, sino que requiere pacto expreso con los contratistas. </w:t>
      </w:r>
      <w:r w:rsidRPr="001F44FE">
        <w:rPr>
          <w:rFonts w:ascii="Verdana" w:eastAsia="Calibri" w:hAnsi="Verdana" w:cs="Arial"/>
          <w:sz w:val="20"/>
          <w:szCs w:val="20"/>
          <w:lang w:eastAsia="es-ES"/>
        </w:rPr>
        <w:t>Esto supone que, respecto de los contratos en ejecución, es indispensable realizar la modificación de las cláusulas contractuales pertinentes, con el fin de incorporar expresamente la obligación a cargo de la entidad. Ello obedece a que el contrato es el instrumento que define y delimita las obligaciones recíprocas de las partes y constituye el marco jurídico para su ejecución, por tanto, la formalización de dicha modificación asegura la coherencia entre el marco legal vigente y el contenido contractual. En cuanto a los contratos que la entidad celebre a futuro, se deberá incorporar una cláusula que refleje el acuerdo relativo a esta nueva obligación. Lo anterior, sin perjuicio de las decisiones administrativas que la entidad pueda adoptar para dar cumplimiento a lo dispuesto en esta ley y a su reglamentación.</w:t>
      </w:r>
    </w:p>
    <w:p w14:paraId="466A19BD" w14:textId="77777777" w:rsidR="00C37701" w:rsidRPr="00940024" w:rsidRDefault="00C37701" w:rsidP="00C37701">
      <w:pPr>
        <w:spacing w:after="0" w:line="240" w:lineRule="auto"/>
        <w:jc w:val="both"/>
        <w:rPr>
          <w:rFonts w:ascii="Verdana" w:eastAsia="Calibri" w:hAnsi="Verdana" w:cs="Arial"/>
          <w:sz w:val="20"/>
          <w:szCs w:val="20"/>
          <w:lang w:val="es-ES" w:eastAsia="es-ES"/>
        </w:rPr>
      </w:pPr>
    </w:p>
    <w:p w14:paraId="6F6A549A" w14:textId="77777777" w:rsidR="00C37701" w:rsidRDefault="00C37701" w:rsidP="00C37701">
      <w:pPr>
        <w:spacing w:after="0" w:line="240" w:lineRule="auto"/>
        <w:jc w:val="both"/>
        <w:rPr>
          <w:rFonts w:ascii="Verdana" w:eastAsia="Calibri" w:hAnsi="Verdana" w:cs="Arial"/>
          <w:sz w:val="20"/>
          <w:szCs w:val="20"/>
          <w:lang w:val="es-ES" w:eastAsia="es-ES"/>
        </w:rPr>
      </w:pPr>
      <w:r w:rsidRPr="00940024">
        <w:rPr>
          <w:rFonts w:ascii="Verdana" w:eastAsia="Calibri" w:hAnsi="Verdana" w:cs="Arial"/>
          <w:sz w:val="20"/>
          <w:szCs w:val="20"/>
          <w:lang w:val="es-ES" w:eastAsia="es-ES"/>
        </w:rPr>
        <w:t>De estar de acuerdo, la entidad contratante descontará de los honorarios la cotización tanto del sistema de protección social integral para la vejez, invalidez y muerte de origen común como de los sistemas de salud y riesgos laborales; además, responderá por el monto de las cotizaciones, aún en el evento de que no efectuar descuentos a los contratistas. Por el contrario, si las partes no acuerdan que el pago de los aportes al sistema de seguridad social está a cargo de la entidad contratante, los contratistas serán responsables de estos. Ello significa que, con la vigencia de la reforma pensional, la modificación de los contratos de prestación de servicios es facultativa, no obligatoria.</w:t>
      </w:r>
    </w:p>
    <w:p w14:paraId="5D3C9C31" w14:textId="77777777" w:rsidR="00C37701" w:rsidRDefault="00C37701" w:rsidP="00C37701">
      <w:pPr>
        <w:spacing w:after="0" w:line="240" w:lineRule="auto"/>
        <w:jc w:val="both"/>
        <w:rPr>
          <w:rFonts w:ascii="Verdana" w:eastAsia="Calibri" w:hAnsi="Verdana" w:cs="Arial"/>
          <w:sz w:val="20"/>
          <w:szCs w:val="20"/>
          <w:lang w:val="es-ES" w:eastAsia="es-ES"/>
        </w:rPr>
      </w:pPr>
    </w:p>
    <w:p w14:paraId="7940F491" w14:textId="77777777" w:rsidR="00C37701" w:rsidRPr="00940024" w:rsidRDefault="00C37701" w:rsidP="00C37701">
      <w:pPr>
        <w:spacing w:after="0" w:line="240" w:lineRule="auto"/>
        <w:jc w:val="both"/>
        <w:rPr>
          <w:rFonts w:ascii="Verdana" w:eastAsia="Calibri" w:hAnsi="Verdana" w:cs="Arial"/>
          <w:sz w:val="20"/>
          <w:szCs w:val="20"/>
          <w:lang w:val="es-ES" w:eastAsia="es-ES"/>
        </w:rPr>
      </w:pPr>
      <w:r w:rsidRPr="00546EB3">
        <w:rPr>
          <w:rFonts w:ascii="Verdana" w:eastAsia="Calibri" w:hAnsi="Verdana" w:cs="Arial"/>
          <w:sz w:val="20"/>
          <w:szCs w:val="20"/>
          <w:lang w:val="es-ES" w:eastAsia="es-ES"/>
        </w:rPr>
        <w:t>Con todo, en caso de que, conforme a lo dispuesto en el artículo 2.2.4.18.7 del Decreto 514 de 2025, se acuerde que la entidad contratante será la responsable de realizar las el pago de las cotizaciones, ésta deberá aplicar lo dispuesto en la Resolución 2388 de 2016</w:t>
      </w:r>
      <w:r w:rsidRPr="00546EB3">
        <w:rPr>
          <w:rFonts w:ascii="Verdana" w:eastAsia="Calibri" w:hAnsi="Verdana" w:cs="Arial"/>
          <w:sz w:val="20"/>
          <w:szCs w:val="20"/>
          <w:lang w:eastAsia="es-ES"/>
        </w:rPr>
        <w:t xml:space="preserve"> del Ministerio de Salud y Protección Social, Por medio de la cual se modifica la Resolución 2388 de 2016, </w:t>
      </w:r>
      <w:r w:rsidRPr="00546EB3">
        <w:rPr>
          <w:rFonts w:ascii="Verdana" w:eastAsia="Calibri" w:hAnsi="Verdana" w:cs="Arial"/>
          <w:i/>
          <w:iCs/>
          <w:sz w:val="20"/>
          <w:szCs w:val="20"/>
          <w:lang w:eastAsia="es-ES"/>
        </w:rPr>
        <w:t xml:space="preserve">“Por la cual se unifican las reglas para el recaudo de aportes </w:t>
      </w:r>
      <w:r w:rsidRPr="00546EB3">
        <w:rPr>
          <w:rFonts w:ascii="Verdana" w:eastAsia="Calibri" w:hAnsi="Verdana" w:cs="Arial"/>
          <w:i/>
          <w:iCs/>
          <w:sz w:val="20"/>
          <w:szCs w:val="20"/>
          <w:lang w:eastAsia="es-ES"/>
        </w:rPr>
        <w:lastRenderedPageBreak/>
        <w:t xml:space="preserve">al Sistema de Seguridad Social Integral y Parafiscales", </w:t>
      </w:r>
      <w:r w:rsidRPr="00546EB3">
        <w:rPr>
          <w:rFonts w:ascii="Verdana" w:eastAsia="Calibri" w:hAnsi="Verdana" w:cs="Arial"/>
          <w:sz w:val="20"/>
          <w:szCs w:val="20"/>
          <w:lang w:eastAsia="es-ES"/>
        </w:rPr>
        <w:t>modificada por la Resolución 467 de 25 marzo de 2025. Esta última resolución incorpora las pautas y lineamientos a seguir por parte de las entidades contratantes para realizar las cotizaciones de contratistas de prestación de servicios, a efectos de cumplir lo establecido en el artículo 21 de la Ley 2381 de 2024.</w:t>
      </w:r>
    </w:p>
    <w:p w14:paraId="4BF346AD" w14:textId="77777777" w:rsidR="00C37701" w:rsidRDefault="00C37701" w:rsidP="00C37701">
      <w:pPr>
        <w:spacing w:after="0" w:line="240" w:lineRule="auto"/>
        <w:rPr>
          <w:rFonts w:ascii="Verdana" w:eastAsia="Geomanist Light" w:hAnsi="Verdana" w:cs="Arial"/>
        </w:rPr>
      </w:pPr>
    </w:p>
    <w:p w14:paraId="4EEB392F" w14:textId="77777777" w:rsidR="00C37701" w:rsidRDefault="00C37701" w:rsidP="00C37701">
      <w:pPr>
        <w:spacing w:after="0" w:line="240" w:lineRule="auto"/>
        <w:rPr>
          <w:rFonts w:ascii="Verdana" w:eastAsia="Geomanist Light" w:hAnsi="Verdana" w:cs="Arial"/>
        </w:rPr>
      </w:pPr>
    </w:p>
    <w:p w14:paraId="30FD8DDA" w14:textId="77777777" w:rsidR="00C37701" w:rsidRDefault="00C37701" w:rsidP="00C37701">
      <w:pPr>
        <w:spacing w:after="0" w:line="240" w:lineRule="auto"/>
        <w:rPr>
          <w:rFonts w:ascii="Verdana" w:eastAsia="Geomanist Light" w:hAnsi="Verdana" w:cs="Arial"/>
        </w:rPr>
      </w:pPr>
    </w:p>
    <w:p w14:paraId="0A37AC81" w14:textId="77777777" w:rsidR="00C37701" w:rsidRDefault="00C37701" w:rsidP="00C37701">
      <w:pPr>
        <w:spacing w:after="0" w:line="240" w:lineRule="auto"/>
        <w:rPr>
          <w:rFonts w:ascii="Verdana" w:eastAsia="Geomanist Light" w:hAnsi="Verdana" w:cs="Arial"/>
        </w:rPr>
      </w:pPr>
    </w:p>
    <w:p w14:paraId="14E18F35" w14:textId="77777777" w:rsidR="00C37701" w:rsidRDefault="00C37701" w:rsidP="00C37701">
      <w:pPr>
        <w:spacing w:after="0" w:line="240" w:lineRule="auto"/>
        <w:rPr>
          <w:rFonts w:ascii="Verdana" w:eastAsia="Geomanist Light" w:hAnsi="Verdana" w:cs="Arial"/>
        </w:rPr>
      </w:pPr>
    </w:p>
    <w:p w14:paraId="2C3F9C87" w14:textId="77777777" w:rsidR="00C37701" w:rsidRDefault="00C37701" w:rsidP="00C37701">
      <w:pPr>
        <w:spacing w:after="0" w:line="240" w:lineRule="auto"/>
        <w:rPr>
          <w:rFonts w:ascii="Verdana" w:eastAsia="Geomanist Light" w:hAnsi="Verdana" w:cs="Arial"/>
        </w:rPr>
      </w:pPr>
    </w:p>
    <w:p w14:paraId="1F64AA55" w14:textId="77777777" w:rsidR="00C37701" w:rsidRDefault="00C37701" w:rsidP="00C37701">
      <w:pPr>
        <w:spacing w:after="0" w:line="240" w:lineRule="auto"/>
        <w:rPr>
          <w:rFonts w:ascii="Verdana" w:eastAsia="Geomanist Light" w:hAnsi="Verdana" w:cs="Arial"/>
        </w:rPr>
      </w:pPr>
    </w:p>
    <w:p w14:paraId="73E736B3" w14:textId="77777777" w:rsidR="00C37701" w:rsidRDefault="00C37701" w:rsidP="00C37701">
      <w:pPr>
        <w:spacing w:after="0" w:line="240" w:lineRule="auto"/>
        <w:rPr>
          <w:rFonts w:ascii="Verdana" w:eastAsia="Geomanist Light" w:hAnsi="Verdana" w:cs="Arial"/>
        </w:rPr>
      </w:pPr>
    </w:p>
    <w:p w14:paraId="082A573C" w14:textId="77777777" w:rsidR="00C37701" w:rsidRDefault="00C37701" w:rsidP="00C37701">
      <w:pPr>
        <w:spacing w:after="0" w:line="240" w:lineRule="auto"/>
        <w:rPr>
          <w:rFonts w:ascii="Verdana" w:eastAsia="Geomanist Light" w:hAnsi="Verdana" w:cs="Arial"/>
        </w:rPr>
      </w:pPr>
    </w:p>
    <w:p w14:paraId="5B6142FB" w14:textId="77777777" w:rsidR="00C37701" w:rsidRDefault="00C37701" w:rsidP="00C37701">
      <w:pPr>
        <w:spacing w:after="0" w:line="240" w:lineRule="auto"/>
        <w:rPr>
          <w:rFonts w:ascii="Verdana" w:eastAsia="Geomanist Light" w:hAnsi="Verdana" w:cs="Arial"/>
        </w:rPr>
      </w:pPr>
    </w:p>
    <w:p w14:paraId="3D537B23" w14:textId="77777777" w:rsidR="00C37701" w:rsidRDefault="00C37701" w:rsidP="00C37701">
      <w:pPr>
        <w:spacing w:after="0" w:line="240" w:lineRule="auto"/>
        <w:rPr>
          <w:rFonts w:ascii="Verdana" w:eastAsia="Geomanist Light" w:hAnsi="Verdana" w:cs="Arial"/>
        </w:rPr>
      </w:pPr>
    </w:p>
    <w:p w14:paraId="46A7D364" w14:textId="77777777" w:rsidR="00C37701" w:rsidRDefault="00C37701" w:rsidP="00C37701">
      <w:pPr>
        <w:spacing w:after="0" w:line="240" w:lineRule="auto"/>
        <w:rPr>
          <w:rFonts w:ascii="Verdana" w:eastAsia="Geomanist Light" w:hAnsi="Verdana" w:cs="Arial"/>
        </w:rPr>
      </w:pPr>
    </w:p>
    <w:p w14:paraId="2F658FD3" w14:textId="77777777" w:rsidR="00C37701" w:rsidRDefault="00C37701" w:rsidP="00C37701">
      <w:pPr>
        <w:spacing w:after="0" w:line="240" w:lineRule="auto"/>
        <w:rPr>
          <w:rFonts w:ascii="Verdana" w:eastAsia="Geomanist Light" w:hAnsi="Verdana" w:cs="Arial"/>
        </w:rPr>
      </w:pPr>
    </w:p>
    <w:p w14:paraId="664B6C17" w14:textId="77777777" w:rsidR="00C37701" w:rsidRDefault="00C37701" w:rsidP="00C37701">
      <w:pPr>
        <w:spacing w:after="0" w:line="240" w:lineRule="auto"/>
        <w:rPr>
          <w:rFonts w:ascii="Verdana" w:eastAsia="Geomanist Light" w:hAnsi="Verdana" w:cs="Arial"/>
        </w:rPr>
      </w:pPr>
    </w:p>
    <w:p w14:paraId="767E9168" w14:textId="77777777" w:rsidR="00C37701" w:rsidRDefault="00C37701" w:rsidP="00C37701">
      <w:pPr>
        <w:spacing w:after="0" w:line="240" w:lineRule="auto"/>
        <w:rPr>
          <w:rFonts w:ascii="Verdana" w:eastAsia="Geomanist Light" w:hAnsi="Verdana" w:cs="Arial"/>
        </w:rPr>
      </w:pPr>
    </w:p>
    <w:p w14:paraId="709D47ED" w14:textId="77777777" w:rsidR="00C37701" w:rsidRDefault="00C37701" w:rsidP="00C37701">
      <w:pPr>
        <w:spacing w:after="0" w:line="240" w:lineRule="auto"/>
        <w:rPr>
          <w:rFonts w:ascii="Verdana" w:eastAsia="Geomanist Light" w:hAnsi="Verdana" w:cs="Arial"/>
        </w:rPr>
      </w:pPr>
    </w:p>
    <w:p w14:paraId="5CDD46C2" w14:textId="77777777" w:rsidR="00C37701" w:rsidRDefault="00C37701" w:rsidP="00C37701">
      <w:pPr>
        <w:spacing w:after="0" w:line="240" w:lineRule="auto"/>
        <w:rPr>
          <w:rFonts w:ascii="Verdana" w:eastAsia="Geomanist Light" w:hAnsi="Verdana" w:cs="Arial"/>
        </w:rPr>
      </w:pPr>
    </w:p>
    <w:p w14:paraId="2FF05D77" w14:textId="77777777" w:rsidR="00C37701" w:rsidRDefault="00C37701" w:rsidP="00C37701">
      <w:pPr>
        <w:spacing w:after="0" w:line="240" w:lineRule="auto"/>
        <w:rPr>
          <w:rFonts w:ascii="Verdana" w:eastAsia="Geomanist Light" w:hAnsi="Verdana" w:cs="Arial"/>
        </w:rPr>
      </w:pPr>
    </w:p>
    <w:p w14:paraId="333E61AB" w14:textId="77777777" w:rsidR="00C37701" w:rsidRDefault="00C37701" w:rsidP="00C37701">
      <w:pPr>
        <w:spacing w:after="0" w:line="240" w:lineRule="auto"/>
        <w:rPr>
          <w:rFonts w:ascii="Verdana" w:eastAsia="Geomanist Light" w:hAnsi="Verdana" w:cs="Arial"/>
        </w:rPr>
      </w:pPr>
    </w:p>
    <w:p w14:paraId="7B35A2E0" w14:textId="77777777" w:rsidR="00C37701" w:rsidRDefault="00C37701" w:rsidP="00C37701">
      <w:pPr>
        <w:spacing w:after="0" w:line="240" w:lineRule="auto"/>
        <w:rPr>
          <w:rFonts w:ascii="Verdana" w:eastAsia="Geomanist Light" w:hAnsi="Verdana" w:cs="Arial"/>
        </w:rPr>
      </w:pPr>
    </w:p>
    <w:p w14:paraId="53B66FB3" w14:textId="77777777" w:rsidR="00C37701" w:rsidRDefault="00C37701" w:rsidP="00C37701">
      <w:pPr>
        <w:spacing w:after="0" w:line="240" w:lineRule="auto"/>
        <w:rPr>
          <w:rFonts w:ascii="Verdana" w:eastAsia="Geomanist Light" w:hAnsi="Verdana" w:cs="Arial"/>
        </w:rPr>
      </w:pPr>
    </w:p>
    <w:p w14:paraId="18E7F77A" w14:textId="77777777" w:rsidR="00C37701" w:rsidRDefault="00C37701" w:rsidP="00C37701">
      <w:pPr>
        <w:spacing w:after="0" w:line="240" w:lineRule="auto"/>
        <w:rPr>
          <w:rFonts w:ascii="Verdana" w:eastAsia="Geomanist Light" w:hAnsi="Verdana" w:cs="Arial"/>
        </w:rPr>
      </w:pPr>
    </w:p>
    <w:p w14:paraId="160DC7CF" w14:textId="77777777" w:rsidR="00C37701" w:rsidRDefault="00C37701" w:rsidP="00C37701">
      <w:pPr>
        <w:spacing w:after="0" w:line="240" w:lineRule="auto"/>
        <w:rPr>
          <w:rFonts w:ascii="Verdana" w:eastAsia="Geomanist Light" w:hAnsi="Verdana" w:cs="Arial"/>
        </w:rPr>
      </w:pPr>
    </w:p>
    <w:p w14:paraId="29B7046D" w14:textId="77777777" w:rsidR="00C37701" w:rsidRDefault="00C37701" w:rsidP="00C37701">
      <w:pPr>
        <w:spacing w:after="0" w:line="240" w:lineRule="auto"/>
        <w:rPr>
          <w:rFonts w:ascii="Verdana" w:eastAsia="Geomanist Light" w:hAnsi="Verdana" w:cs="Arial"/>
        </w:rPr>
      </w:pPr>
    </w:p>
    <w:p w14:paraId="4816A554" w14:textId="77777777" w:rsidR="00D851D8" w:rsidRDefault="00D851D8" w:rsidP="00C37701">
      <w:pPr>
        <w:spacing w:after="0" w:line="240" w:lineRule="auto"/>
        <w:rPr>
          <w:rFonts w:ascii="Verdana" w:eastAsia="Geomanist Light" w:hAnsi="Verdana" w:cs="Arial"/>
        </w:rPr>
      </w:pPr>
    </w:p>
    <w:p w14:paraId="2856DD4C" w14:textId="77777777" w:rsidR="00D851D8" w:rsidRDefault="00D851D8" w:rsidP="00C37701">
      <w:pPr>
        <w:spacing w:after="0" w:line="240" w:lineRule="auto"/>
        <w:rPr>
          <w:rFonts w:ascii="Verdana" w:eastAsia="Geomanist Light" w:hAnsi="Verdana" w:cs="Arial"/>
        </w:rPr>
      </w:pPr>
    </w:p>
    <w:p w14:paraId="3C6DBA6A" w14:textId="77777777" w:rsidR="00D851D8" w:rsidRDefault="00D851D8" w:rsidP="00C37701">
      <w:pPr>
        <w:spacing w:after="0" w:line="240" w:lineRule="auto"/>
        <w:rPr>
          <w:rFonts w:ascii="Verdana" w:eastAsia="Geomanist Light" w:hAnsi="Verdana" w:cs="Arial"/>
        </w:rPr>
      </w:pPr>
    </w:p>
    <w:p w14:paraId="73A93577" w14:textId="77777777" w:rsidR="00D851D8" w:rsidRDefault="00D851D8" w:rsidP="00C37701">
      <w:pPr>
        <w:spacing w:after="0" w:line="240" w:lineRule="auto"/>
        <w:rPr>
          <w:rFonts w:ascii="Verdana" w:eastAsia="Geomanist Light" w:hAnsi="Verdana" w:cs="Arial"/>
        </w:rPr>
      </w:pPr>
    </w:p>
    <w:p w14:paraId="4F54F8CC" w14:textId="77777777" w:rsidR="00D851D8" w:rsidRDefault="00D851D8" w:rsidP="00C37701">
      <w:pPr>
        <w:spacing w:after="0" w:line="240" w:lineRule="auto"/>
        <w:rPr>
          <w:rFonts w:ascii="Verdana" w:eastAsia="Geomanist Light" w:hAnsi="Verdana" w:cs="Arial"/>
        </w:rPr>
      </w:pPr>
    </w:p>
    <w:p w14:paraId="7740831D" w14:textId="77777777" w:rsidR="00D851D8" w:rsidRDefault="00D851D8" w:rsidP="00C37701">
      <w:pPr>
        <w:spacing w:after="0" w:line="240" w:lineRule="auto"/>
        <w:rPr>
          <w:rFonts w:ascii="Verdana" w:eastAsia="Geomanist Light" w:hAnsi="Verdana" w:cs="Arial"/>
        </w:rPr>
      </w:pPr>
    </w:p>
    <w:p w14:paraId="7F887DFF" w14:textId="77777777" w:rsidR="00D851D8" w:rsidRDefault="00D851D8" w:rsidP="00C37701">
      <w:pPr>
        <w:spacing w:after="0" w:line="240" w:lineRule="auto"/>
        <w:rPr>
          <w:rFonts w:ascii="Verdana" w:eastAsia="Geomanist Light" w:hAnsi="Verdana" w:cs="Arial"/>
        </w:rPr>
      </w:pPr>
    </w:p>
    <w:p w14:paraId="40DCF134" w14:textId="77777777" w:rsidR="00D851D8" w:rsidRDefault="00D851D8" w:rsidP="00C37701">
      <w:pPr>
        <w:spacing w:after="0" w:line="240" w:lineRule="auto"/>
        <w:rPr>
          <w:rFonts w:ascii="Verdana" w:eastAsia="Geomanist Light" w:hAnsi="Verdana" w:cs="Arial"/>
        </w:rPr>
      </w:pPr>
    </w:p>
    <w:p w14:paraId="6D319439" w14:textId="77777777" w:rsidR="00C37701" w:rsidRDefault="00C37701" w:rsidP="00C37701">
      <w:pPr>
        <w:spacing w:after="0" w:line="240" w:lineRule="auto"/>
        <w:rPr>
          <w:rFonts w:ascii="Verdana" w:eastAsia="Geomanist Light" w:hAnsi="Verdana" w:cs="Arial"/>
        </w:rPr>
      </w:pPr>
    </w:p>
    <w:p w14:paraId="22104B9D" w14:textId="77777777" w:rsidR="00C37701" w:rsidRDefault="00C37701" w:rsidP="00C37701">
      <w:pPr>
        <w:spacing w:after="0" w:line="240" w:lineRule="auto"/>
        <w:rPr>
          <w:rFonts w:ascii="Verdana" w:eastAsia="Geomanist Light" w:hAnsi="Verdana" w:cs="Arial"/>
        </w:rPr>
      </w:pPr>
    </w:p>
    <w:p w14:paraId="66319814" w14:textId="77777777" w:rsidR="00C37701" w:rsidRDefault="00C37701" w:rsidP="00C37701">
      <w:pPr>
        <w:spacing w:after="0" w:line="240" w:lineRule="auto"/>
        <w:rPr>
          <w:rFonts w:ascii="Verdana" w:eastAsia="Geomanist Light" w:hAnsi="Verdana" w:cs="Arial"/>
        </w:rPr>
      </w:pPr>
    </w:p>
    <w:p w14:paraId="17A43380" w14:textId="77777777" w:rsidR="00C37701" w:rsidRDefault="00C37701" w:rsidP="00C37701">
      <w:pPr>
        <w:spacing w:after="0" w:line="240" w:lineRule="auto"/>
        <w:rPr>
          <w:rFonts w:ascii="Verdana" w:eastAsia="Geomanist Light" w:hAnsi="Verdana" w:cs="Arial"/>
        </w:rPr>
      </w:pPr>
    </w:p>
    <w:p w14:paraId="11586F1F" w14:textId="77777777" w:rsidR="00C37701" w:rsidRDefault="00C37701" w:rsidP="00C37701">
      <w:pPr>
        <w:spacing w:after="0" w:line="240" w:lineRule="auto"/>
        <w:rPr>
          <w:rFonts w:ascii="Verdana" w:eastAsia="Geomanist Light" w:hAnsi="Verdana" w:cs="Arial"/>
        </w:rPr>
      </w:pPr>
    </w:p>
    <w:p w14:paraId="08ABC5E4" w14:textId="77777777" w:rsidR="00C37701" w:rsidRPr="00960F72" w:rsidRDefault="00C37701" w:rsidP="00C37701">
      <w:pPr>
        <w:spacing w:after="0" w:line="240" w:lineRule="auto"/>
        <w:rPr>
          <w:rFonts w:ascii="Verdana" w:eastAsia="Calibri" w:hAnsi="Verdana" w:cs="Arial"/>
          <w:bCs/>
          <w:sz w:val="20"/>
          <w:szCs w:val="20"/>
          <w:lang w:eastAsia="es-ES_tradnl"/>
        </w:rPr>
      </w:pPr>
      <w:r w:rsidRPr="00960F72">
        <w:rPr>
          <w:rFonts w:ascii="Verdana" w:eastAsia="Geomanist Light" w:hAnsi="Verdana" w:cs="Arial"/>
        </w:rPr>
        <w:lastRenderedPageBreak/>
        <w:t>Bogotá D.C., [Día] de [Mes.NombreCapitalizado] de [Año]</w:t>
      </w:r>
    </w:p>
    <w:p w14:paraId="40D37633" w14:textId="77777777" w:rsidR="00C37701" w:rsidRPr="00960F72" w:rsidRDefault="00C37701" w:rsidP="00C37701">
      <w:pPr>
        <w:spacing w:after="0" w:line="240" w:lineRule="auto"/>
        <w:jc w:val="both"/>
        <w:rPr>
          <w:rFonts w:ascii="Verdana" w:eastAsia="Calibri" w:hAnsi="Verdana" w:cs="Arial"/>
        </w:rPr>
      </w:pPr>
    </w:p>
    <w:p w14:paraId="0B6A491D" w14:textId="66FECEEF" w:rsidR="00C37701" w:rsidRDefault="00803F41" w:rsidP="00C37701">
      <w:pPr>
        <w:spacing w:after="0" w:line="240" w:lineRule="auto"/>
        <w:jc w:val="both"/>
        <w:rPr>
          <w:rFonts w:ascii="Verdana" w:eastAsia="Calibri" w:hAnsi="Verdana" w:cs="Arial"/>
          <w:lang w:eastAsia="es-ES"/>
        </w:rPr>
      </w:pPr>
      <w:r w:rsidRPr="00803F41">
        <w:rPr>
          <w:rFonts w:ascii="Verdana" w:eastAsia="Calibri" w:hAnsi="Verdana" w:cs="Arial"/>
          <w:noProof/>
          <w:lang w:eastAsia="es-ES"/>
        </w:rPr>
        <w:drawing>
          <wp:anchor distT="0" distB="0" distL="114300" distR="114300" simplePos="0" relativeHeight="251658240" behindDoc="1" locked="0" layoutInCell="1" allowOverlap="1" wp14:anchorId="110B36DA" wp14:editId="6EEFF205">
            <wp:simplePos x="0" y="0"/>
            <wp:positionH relativeFrom="margin">
              <wp:align>right</wp:align>
            </wp:positionH>
            <wp:positionV relativeFrom="paragraph">
              <wp:posOffset>12065</wp:posOffset>
            </wp:positionV>
            <wp:extent cx="2719070" cy="818515"/>
            <wp:effectExtent l="0" t="0" r="5080" b="635"/>
            <wp:wrapSquare wrapText="bothSides"/>
            <wp:docPr id="171497023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4970237" name=""/>
                    <pic:cNvPicPr/>
                  </pic:nvPicPr>
                  <pic:blipFill>
                    <a:blip r:embed="rId10">
                      <a:extLst>
                        <a:ext uri="{28A0092B-C50C-407E-A947-70E740481C1C}">
                          <a14:useLocalDpi xmlns:a14="http://schemas.microsoft.com/office/drawing/2010/main" val="0"/>
                        </a:ext>
                      </a:extLst>
                    </a:blip>
                    <a:stretch>
                      <a:fillRect/>
                    </a:stretch>
                  </pic:blipFill>
                  <pic:spPr>
                    <a:xfrm>
                      <a:off x="0" y="0"/>
                      <a:ext cx="2719070" cy="818515"/>
                    </a:xfrm>
                    <a:prstGeom prst="rect">
                      <a:avLst/>
                    </a:prstGeom>
                  </pic:spPr>
                </pic:pic>
              </a:graphicData>
            </a:graphic>
            <wp14:sizeRelH relativeFrom="page">
              <wp14:pctWidth>0</wp14:pctWidth>
            </wp14:sizeRelH>
            <wp14:sizeRelV relativeFrom="page">
              <wp14:pctHeight>0</wp14:pctHeight>
            </wp14:sizeRelV>
          </wp:anchor>
        </w:drawing>
      </w:r>
      <w:r w:rsidR="00C37701" w:rsidRPr="00A518F4">
        <w:rPr>
          <w:rFonts w:ascii="Verdana" w:eastAsia="Calibri" w:hAnsi="Verdana" w:cs="Arial"/>
          <w:lang w:eastAsia="es-ES"/>
        </w:rPr>
        <w:t>Seño</w:t>
      </w:r>
      <w:r w:rsidR="00C37701">
        <w:rPr>
          <w:rFonts w:ascii="Verdana" w:eastAsia="Calibri" w:hAnsi="Verdana" w:cs="Arial"/>
          <w:lang w:eastAsia="es-ES"/>
        </w:rPr>
        <w:t>ra</w:t>
      </w:r>
    </w:p>
    <w:p w14:paraId="07839510" w14:textId="0EDDCB5B" w:rsidR="00C37701" w:rsidRDefault="00C37701" w:rsidP="00C37701">
      <w:pPr>
        <w:spacing w:after="0" w:line="240" w:lineRule="auto"/>
        <w:jc w:val="both"/>
        <w:rPr>
          <w:rFonts w:ascii="Verdana" w:eastAsia="Calibri" w:hAnsi="Verdana" w:cs="Arial"/>
          <w:b/>
          <w:bCs/>
          <w:lang w:eastAsia="es-ES"/>
        </w:rPr>
      </w:pPr>
      <w:r>
        <w:rPr>
          <w:rFonts w:ascii="Verdana" w:eastAsia="Calibri" w:hAnsi="Verdana" w:cs="Arial"/>
          <w:b/>
          <w:bCs/>
          <w:lang w:eastAsia="es-ES"/>
        </w:rPr>
        <w:t>Lucía Isabel Cordero Salgado</w:t>
      </w:r>
    </w:p>
    <w:p w14:paraId="5DFA2AC7" w14:textId="0B376744" w:rsidR="00C37701" w:rsidRDefault="00C37701" w:rsidP="00C37701">
      <w:pPr>
        <w:spacing w:after="0" w:line="240" w:lineRule="auto"/>
        <w:jc w:val="both"/>
        <w:rPr>
          <w:rFonts w:ascii="Verdana" w:eastAsia="Calibri" w:hAnsi="Verdana" w:cs="Arial"/>
          <w:lang w:eastAsia="es-ES"/>
        </w:rPr>
      </w:pPr>
      <w:r>
        <w:rPr>
          <w:rFonts w:ascii="Verdana" w:eastAsia="Calibri" w:hAnsi="Verdana" w:cs="Arial"/>
          <w:lang w:eastAsia="es-ES"/>
        </w:rPr>
        <w:t xml:space="preserve">Directora Territorial Bolívar </w:t>
      </w:r>
    </w:p>
    <w:p w14:paraId="6147F553" w14:textId="194F0E29" w:rsidR="00C37701" w:rsidRPr="000C7FBB" w:rsidRDefault="00C37701" w:rsidP="00C37701">
      <w:pPr>
        <w:spacing w:after="0" w:line="240" w:lineRule="auto"/>
        <w:jc w:val="both"/>
        <w:rPr>
          <w:rFonts w:ascii="Verdana" w:eastAsia="Calibri" w:hAnsi="Verdana" w:cs="Arial"/>
          <w:lang w:eastAsia="es-ES"/>
        </w:rPr>
      </w:pPr>
      <w:r>
        <w:rPr>
          <w:rFonts w:ascii="Verdana" w:eastAsia="Calibri" w:hAnsi="Verdana" w:cs="Arial"/>
          <w:lang w:eastAsia="es-ES"/>
        </w:rPr>
        <w:t>Instituto Geográfico Agustín Codazzi</w:t>
      </w:r>
    </w:p>
    <w:p w14:paraId="094385BC" w14:textId="1FE1FF30" w:rsidR="00C37701" w:rsidRDefault="00803F41" w:rsidP="00C37701">
      <w:pPr>
        <w:spacing w:after="0" w:line="240" w:lineRule="auto"/>
        <w:rPr>
          <w:rFonts w:ascii="Verdana" w:eastAsia="Calibri" w:hAnsi="Verdana" w:cs="Arial"/>
          <w:lang w:eastAsia="es-ES"/>
        </w:rPr>
      </w:pPr>
      <w:hyperlink r:id="rId11" w:history="1">
        <w:r w:rsidRPr="00C8590A">
          <w:rPr>
            <w:rStyle w:val="Hipervnculo"/>
            <w:rFonts w:ascii="Verdana" w:eastAsia="Calibri" w:hAnsi="Verdana" w:cs="Arial"/>
            <w:lang w:eastAsia="es-ES"/>
          </w:rPr>
          <w:t>Cartagena@igac.gov.co</w:t>
        </w:r>
      </w:hyperlink>
    </w:p>
    <w:p w14:paraId="50B15FF5" w14:textId="70B1906E" w:rsidR="00803F41" w:rsidRPr="00960F72" w:rsidRDefault="00803F41" w:rsidP="00C37701">
      <w:pPr>
        <w:spacing w:after="0" w:line="240" w:lineRule="auto"/>
        <w:rPr>
          <w:rFonts w:ascii="Verdana" w:eastAsia="Calibri" w:hAnsi="Verdana" w:cs="Arial"/>
          <w:b/>
          <w:bCs/>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355"/>
        <w:gridCol w:w="6434"/>
      </w:tblGrid>
      <w:tr w:rsidR="00C37701" w:rsidRPr="00960F72" w14:paraId="60DE07ED" w14:textId="77777777" w:rsidTr="00D851D8">
        <w:trPr>
          <w:trHeight w:val="190"/>
        </w:trPr>
        <w:tc>
          <w:tcPr>
            <w:tcW w:w="2355" w:type="dxa"/>
          </w:tcPr>
          <w:p w14:paraId="7E6E29E1" w14:textId="77777777" w:rsidR="00C37701" w:rsidRPr="00960F72" w:rsidRDefault="00C37701" w:rsidP="00D851D8">
            <w:pPr>
              <w:jc w:val="both"/>
              <w:rPr>
                <w:rFonts w:ascii="Verdana" w:eastAsia="Calibri" w:hAnsi="Verdana" w:cs="Arial"/>
                <w:b/>
                <w:bCs/>
                <w:lang w:eastAsia="es-ES_tradnl"/>
              </w:rPr>
            </w:pPr>
          </w:p>
        </w:tc>
        <w:tc>
          <w:tcPr>
            <w:tcW w:w="6434" w:type="dxa"/>
          </w:tcPr>
          <w:p w14:paraId="6349907E" w14:textId="77777777" w:rsidR="00C37701" w:rsidRPr="00960F72" w:rsidRDefault="00C37701" w:rsidP="00D851D8">
            <w:pPr>
              <w:jc w:val="both"/>
              <w:rPr>
                <w:rFonts w:ascii="Verdana" w:eastAsia="Calibri" w:hAnsi="Verdana" w:cs="Arial"/>
                <w:b/>
                <w:bCs/>
                <w:lang w:eastAsia="es-ES"/>
              </w:rPr>
            </w:pPr>
            <w:r w:rsidRPr="00960F72">
              <w:rPr>
                <w:rFonts w:ascii="Verdana" w:eastAsia="Calibri" w:hAnsi="Verdana" w:cs="Arial"/>
                <w:b/>
                <w:bCs/>
                <w:lang w:eastAsia="es-ES"/>
              </w:rPr>
              <w:t>Concepto C- 1</w:t>
            </w:r>
            <w:r>
              <w:rPr>
                <w:rFonts w:ascii="Verdana" w:eastAsia="Calibri" w:hAnsi="Verdana" w:cs="Arial"/>
                <w:b/>
                <w:bCs/>
                <w:lang w:eastAsia="es-ES"/>
              </w:rPr>
              <w:t>705</w:t>
            </w:r>
            <w:r w:rsidRPr="00960F72">
              <w:rPr>
                <w:rFonts w:ascii="Verdana" w:eastAsia="Calibri" w:hAnsi="Verdana" w:cs="Arial"/>
                <w:b/>
                <w:bCs/>
                <w:lang w:eastAsia="es-ES"/>
              </w:rPr>
              <w:t xml:space="preserve"> de 2025</w:t>
            </w:r>
          </w:p>
          <w:p w14:paraId="183914C2" w14:textId="77777777" w:rsidR="00C37701" w:rsidRPr="00960F72" w:rsidRDefault="00C37701" w:rsidP="00D851D8">
            <w:pPr>
              <w:jc w:val="both"/>
              <w:rPr>
                <w:rFonts w:ascii="Verdana" w:eastAsia="Calibri" w:hAnsi="Verdana" w:cs="Arial"/>
                <w:b/>
                <w:bCs/>
                <w:lang w:eastAsia="es-ES"/>
              </w:rPr>
            </w:pPr>
          </w:p>
        </w:tc>
      </w:tr>
      <w:tr w:rsidR="00C37701" w:rsidRPr="00960F72" w14:paraId="2F494D6C" w14:textId="77777777" w:rsidTr="00D851D8">
        <w:trPr>
          <w:trHeight w:val="884"/>
        </w:trPr>
        <w:tc>
          <w:tcPr>
            <w:tcW w:w="2355" w:type="dxa"/>
          </w:tcPr>
          <w:p w14:paraId="40E30ACE" w14:textId="77777777" w:rsidR="00C37701" w:rsidRPr="00960F72" w:rsidRDefault="00C37701" w:rsidP="00D851D8">
            <w:pPr>
              <w:jc w:val="both"/>
              <w:rPr>
                <w:rFonts w:ascii="Verdana" w:eastAsia="Calibri" w:hAnsi="Verdana" w:cs="Arial"/>
                <w:lang w:eastAsia="es-ES_tradnl"/>
              </w:rPr>
            </w:pPr>
            <w:r w:rsidRPr="00960F72">
              <w:rPr>
                <w:rFonts w:ascii="Verdana" w:eastAsia="Calibri" w:hAnsi="Verdana" w:cs="Arial"/>
                <w:b/>
                <w:lang w:eastAsia="es-ES_tradnl"/>
              </w:rPr>
              <w:t>Tema:</w:t>
            </w:r>
            <w:r w:rsidRPr="00960F72">
              <w:rPr>
                <w:rFonts w:ascii="Verdana" w:eastAsia="Calibri" w:hAnsi="Verdana" w:cs="Arial"/>
                <w:lang w:eastAsia="es-ES_tradnl"/>
              </w:rPr>
              <w:t xml:space="preserve">                   </w:t>
            </w:r>
          </w:p>
        </w:tc>
        <w:tc>
          <w:tcPr>
            <w:tcW w:w="6434" w:type="dxa"/>
          </w:tcPr>
          <w:p w14:paraId="7656479D" w14:textId="4FFE5767" w:rsidR="00C37701" w:rsidRDefault="00C37701" w:rsidP="00803F41">
            <w:pPr>
              <w:spacing w:line="276" w:lineRule="auto"/>
              <w:jc w:val="both"/>
              <w:rPr>
                <w:rFonts w:ascii="Verdana" w:eastAsia="Calibri" w:hAnsi="Verdana" w:cs="Arial"/>
                <w:lang w:val="es-ES"/>
              </w:rPr>
            </w:pPr>
            <w:r w:rsidRPr="00940024">
              <w:rPr>
                <w:rFonts w:ascii="Verdana" w:eastAsia="Calibri" w:hAnsi="Verdana" w:cs="Arial"/>
                <w:lang w:val="es-ES" w:eastAsia="es-ES"/>
              </w:rPr>
              <w:t>SEGURIDAD SOCIAL INTEGRAL – Verificación / SEGURIDAD SOCIAL INTEGRAL – Régimen jurídico – Afiliación y aporte – Obligación legal – Ejecución del contrato /</w:t>
            </w:r>
            <w:r>
              <w:rPr>
                <w:rFonts w:ascii="Verdana" w:eastAsia="Calibri" w:hAnsi="Verdana" w:cs="Arial"/>
                <w:lang w:val="es-ES" w:eastAsia="es-ES"/>
              </w:rPr>
              <w:t xml:space="preserve"> </w:t>
            </w:r>
            <w:r w:rsidRPr="00940024">
              <w:rPr>
                <w:rFonts w:ascii="Verdana" w:eastAsia="Calibri" w:hAnsi="Verdana" w:cs="Arial"/>
                <w:lang w:val="es-ES" w:eastAsia="es-ES"/>
              </w:rPr>
              <w:t>LEY 2381 DE 2024 – Reglamentación – Cotizaciones – Entidades estatales</w:t>
            </w:r>
          </w:p>
          <w:p w14:paraId="7124E3EF" w14:textId="2626F020" w:rsidR="00803F41" w:rsidRPr="00960F72" w:rsidRDefault="00803F41" w:rsidP="00803F41">
            <w:pPr>
              <w:spacing w:line="276" w:lineRule="auto"/>
              <w:jc w:val="both"/>
              <w:rPr>
                <w:rFonts w:ascii="Verdana" w:eastAsia="Calibri" w:hAnsi="Verdana" w:cs="Arial"/>
                <w:lang w:eastAsia="es-ES"/>
              </w:rPr>
            </w:pPr>
          </w:p>
        </w:tc>
      </w:tr>
      <w:tr w:rsidR="00C37701" w:rsidRPr="00960F72" w14:paraId="1063143B" w14:textId="77777777" w:rsidTr="00D851D8">
        <w:tc>
          <w:tcPr>
            <w:tcW w:w="2355" w:type="dxa"/>
          </w:tcPr>
          <w:p w14:paraId="2A2BFCFB" w14:textId="77777777" w:rsidR="00C37701" w:rsidRPr="00960F72" w:rsidRDefault="00C37701" w:rsidP="00D851D8">
            <w:pPr>
              <w:jc w:val="both"/>
              <w:rPr>
                <w:rFonts w:ascii="Verdana" w:eastAsia="Calibri" w:hAnsi="Verdana" w:cs="Arial"/>
                <w:b/>
                <w:lang w:eastAsia="es-ES_tradnl"/>
              </w:rPr>
            </w:pPr>
            <w:r w:rsidRPr="00960F72">
              <w:rPr>
                <w:rFonts w:ascii="Verdana" w:eastAsia="Calibri" w:hAnsi="Verdana" w:cs="Arial"/>
                <w:b/>
                <w:lang w:eastAsia="es-ES_tradnl"/>
              </w:rPr>
              <w:t>Radicación:</w:t>
            </w:r>
            <w:r w:rsidRPr="00960F72">
              <w:rPr>
                <w:rFonts w:ascii="Verdana" w:eastAsia="Calibri" w:hAnsi="Verdana" w:cs="Arial"/>
                <w:lang w:eastAsia="es-ES_tradnl"/>
              </w:rPr>
              <w:t xml:space="preserve">               </w:t>
            </w:r>
          </w:p>
        </w:tc>
        <w:tc>
          <w:tcPr>
            <w:tcW w:w="6434" w:type="dxa"/>
          </w:tcPr>
          <w:p w14:paraId="7494ED5E" w14:textId="77777777" w:rsidR="00C37701" w:rsidRPr="00960F72" w:rsidRDefault="00C37701" w:rsidP="00D851D8">
            <w:pPr>
              <w:jc w:val="both"/>
              <w:rPr>
                <w:rFonts w:ascii="Verdana" w:eastAsia="Calibri" w:hAnsi="Verdana" w:cs="Arial"/>
                <w:lang w:eastAsia="es-ES_tradnl"/>
              </w:rPr>
            </w:pPr>
            <w:r w:rsidRPr="00960F72">
              <w:rPr>
                <w:rFonts w:ascii="Verdana" w:eastAsia="Calibri" w:hAnsi="Verdana" w:cs="Arial"/>
                <w:lang w:eastAsia="es-ES_tradnl"/>
              </w:rPr>
              <w:t xml:space="preserve">Respuesta a consulta con radicado No. </w:t>
            </w:r>
            <w:r w:rsidRPr="00C618FD">
              <w:rPr>
                <w:rFonts w:ascii="Verdana" w:eastAsia="Calibri" w:hAnsi="Verdana" w:cs="Arial"/>
                <w:lang w:eastAsia="es-ES_tradnl"/>
              </w:rPr>
              <w:t>1_2025_11_19_013026</w:t>
            </w:r>
          </w:p>
        </w:tc>
      </w:tr>
    </w:tbl>
    <w:p w14:paraId="14414FFE" w14:textId="77777777" w:rsidR="00C37701" w:rsidRPr="00960F72" w:rsidRDefault="00C37701" w:rsidP="00C37701">
      <w:pPr>
        <w:spacing w:after="0" w:line="240" w:lineRule="auto"/>
        <w:jc w:val="both"/>
        <w:rPr>
          <w:rFonts w:ascii="Verdana" w:eastAsia="Calibri" w:hAnsi="Verdana" w:cs="Arial"/>
          <w:lang w:eastAsia="es-ES_tradnl"/>
        </w:rPr>
      </w:pPr>
    </w:p>
    <w:p w14:paraId="28A678D9" w14:textId="77777777" w:rsidR="00C37701" w:rsidRPr="00960F72" w:rsidRDefault="00C37701" w:rsidP="00C37701">
      <w:pPr>
        <w:spacing w:after="0" w:line="276" w:lineRule="auto"/>
        <w:jc w:val="both"/>
        <w:rPr>
          <w:rFonts w:ascii="Verdana" w:eastAsia="Calibri" w:hAnsi="Verdana" w:cs="Arial"/>
          <w:lang w:eastAsia="es-ES"/>
        </w:rPr>
      </w:pPr>
      <w:r w:rsidRPr="00960F72">
        <w:rPr>
          <w:rFonts w:ascii="Verdana" w:eastAsia="Calibri" w:hAnsi="Verdana" w:cs="Arial"/>
          <w:lang w:eastAsia="es-ES"/>
        </w:rPr>
        <w:t>Estimad</w:t>
      </w:r>
      <w:r>
        <w:rPr>
          <w:rFonts w:ascii="Verdana" w:eastAsia="Calibri" w:hAnsi="Verdana" w:cs="Arial"/>
          <w:lang w:eastAsia="es-ES"/>
        </w:rPr>
        <w:t xml:space="preserve">a </w:t>
      </w:r>
      <w:r w:rsidRPr="00960F72">
        <w:rPr>
          <w:rFonts w:ascii="Verdana" w:eastAsia="Calibri" w:hAnsi="Verdana" w:cs="Arial"/>
          <w:lang w:eastAsia="es-ES"/>
        </w:rPr>
        <w:t>señor</w:t>
      </w:r>
      <w:r>
        <w:rPr>
          <w:rFonts w:ascii="Verdana" w:eastAsia="Calibri" w:hAnsi="Verdana" w:cs="Arial"/>
          <w:lang w:eastAsia="es-ES"/>
        </w:rPr>
        <w:t>a Cordero</w:t>
      </w:r>
      <w:r w:rsidRPr="00960F72">
        <w:rPr>
          <w:rFonts w:ascii="Verdana" w:eastAsia="Calibri" w:hAnsi="Verdana" w:cs="Arial"/>
          <w:lang w:eastAsia="es-ES"/>
        </w:rPr>
        <w:t xml:space="preserve">: </w:t>
      </w:r>
    </w:p>
    <w:p w14:paraId="1576F1CE" w14:textId="77777777" w:rsidR="00C37701" w:rsidRPr="00960F72" w:rsidRDefault="00C37701" w:rsidP="00C37701">
      <w:pPr>
        <w:tabs>
          <w:tab w:val="left" w:pos="3768"/>
        </w:tabs>
        <w:spacing w:after="0" w:line="276" w:lineRule="auto"/>
        <w:jc w:val="both"/>
        <w:rPr>
          <w:rFonts w:ascii="Verdana" w:eastAsia="Calibri" w:hAnsi="Verdana" w:cs="Arial"/>
          <w:lang w:eastAsia="es-ES"/>
        </w:rPr>
      </w:pPr>
    </w:p>
    <w:p w14:paraId="0F271E91" w14:textId="77777777" w:rsidR="00C37701" w:rsidRPr="00960F72" w:rsidRDefault="00C37701" w:rsidP="00C37701">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de consulta de fecha del </w:t>
      </w:r>
      <w:r>
        <w:rPr>
          <w:rFonts w:ascii="Verdana" w:eastAsia="Calibri" w:hAnsi="Verdana" w:cs="Arial"/>
          <w:lang w:eastAsia="es-ES"/>
        </w:rPr>
        <w:t xml:space="preserve">19 </w:t>
      </w:r>
      <w:r w:rsidRPr="00960F72">
        <w:rPr>
          <w:rFonts w:ascii="Verdana" w:eastAsia="Calibri" w:hAnsi="Verdana" w:cs="Arial"/>
          <w:lang w:eastAsia="es-ES"/>
        </w:rPr>
        <w:t xml:space="preserve">de </w:t>
      </w:r>
      <w:r>
        <w:rPr>
          <w:rFonts w:ascii="Verdana" w:eastAsia="Calibri" w:hAnsi="Verdana" w:cs="Arial"/>
          <w:lang w:eastAsia="es-ES"/>
        </w:rPr>
        <w:t>noviembre</w:t>
      </w:r>
      <w:r w:rsidRPr="00960F72">
        <w:rPr>
          <w:rFonts w:ascii="Verdana" w:eastAsia="Calibri" w:hAnsi="Verdana" w:cs="Arial"/>
          <w:lang w:eastAsia="es-ES"/>
        </w:rPr>
        <w:t xml:space="preserve"> de 2025, en la cual manifiesta lo siguiente: </w:t>
      </w:r>
    </w:p>
    <w:p w14:paraId="6ACC5306" w14:textId="77777777" w:rsidR="00C37701" w:rsidRPr="00960F72" w:rsidRDefault="00C37701" w:rsidP="00C37701">
      <w:pPr>
        <w:spacing w:after="0" w:line="276" w:lineRule="auto"/>
        <w:jc w:val="both"/>
        <w:rPr>
          <w:rFonts w:ascii="Verdana" w:eastAsia="Calibri" w:hAnsi="Verdana" w:cs="Arial"/>
          <w:lang w:eastAsia="es-ES"/>
        </w:rPr>
      </w:pPr>
    </w:p>
    <w:p w14:paraId="3B9A0FC8" w14:textId="77777777" w:rsidR="00C37701" w:rsidRPr="00C618FD" w:rsidRDefault="00C37701" w:rsidP="00C37701">
      <w:pPr>
        <w:spacing w:after="0" w:line="276" w:lineRule="auto"/>
        <w:ind w:left="709" w:right="709"/>
        <w:jc w:val="both"/>
        <w:rPr>
          <w:rFonts w:ascii="Verdana" w:eastAsia="Calibri" w:hAnsi="Verdana" w:cs="Arial"/>
          <w:lang w:eastAsia="es-ES"/>
        </w:rPr>
      </w:pPr>
      <w:r>
        <w:rPr>
          <w:rFonts w:ascii="Verdana" w:eastAsia="Calibri" w:hAnsi="Verdana" w:cs="Arial"/>
          <w:lang w:eastAsia="es-ES"/>
        </w:rPr>
        <w:t>“</w:t>
      </w:r>
      <w:r w:rsidRPr="00C618FD">
        <w:rPr>
          <w:rFonts w:ascii="Verdana" w:eastAsia="Calibri" w:hAnsi="Verdana" w:cs="Arial"/>
          <w:lang w:eastAsia="es-ES"/>
        </w:rPr>
        <w:t>¿Es posible realizar un pago por consignación de los honorarios pendientes por</w:t>
      </w:r>
      <w:r>
        <w:rPr>
          <w:rFonts w:ascii="Verdana" w:eastAsia="Calibri" w:hAnsi="Verdana" w:cs="Arial"/>
          <w:lang w:eastAsia="es-ES"/>
        </w:rPr>
        <w:t xml:space="preserve"> </w:t>
      </w:r>
      <w:r w:rsidRPr="00C618FD">
        <w:rPr>
          <w:rFonts w:ascii="Verdana" w:eastAsia="Calibri" w:hAnsi="Verdana" w:cs="Arial"/>
          <w:lang w:eastAsia="es-ES"/>
        </w:rPr>
        <w:t>cobrar, haciendo la deducción correspondiente a salud y pensión?</w:t>
      </w:r>
    </w:p>
    <w:p w14:paraId="205C3636" w14:textId="77777777" w:rsidR="00C37701" w:rsidRDefault="00C37701" w:rsidP="00C37701">
      <w:pPr>
        <w:spacing w:after="0" w:line="276" w:lineRule="auto"/>
        <w:ind w:left="709" w:right="709"/>
        <w:jc w:val="both"/>
        <w:rPr>
          <w:rFonts w:ascii="Verdana" w:eastAsia="Calibri" w:hAnsi="Verdana" w:cs="Arial"/>
          <w:lang w:eastAsia="es-ES"/>
        </w:rPr>
      </w:pPr>
      <w:r w:rsidRPr="00C618FD">
        <w:rPr>
          <w:rFonts w:ascii="Verdana" w:eastAsia="Calibri" w:hAnsi="Verdana" w:cs="Arial"/>
          <w:lang w:eastAsia="es-ES"/>
        </w:rPr>
        <w:t>¿Existe fundamento normativo o jurisprudencial aplicable a los hechos antes</w:t>
      </w:r>
      <w:r>
        <w:rPr>
          <w:rFonts w:ascii="Verdana" w:eastAsia="Calibri" w:hAnsi="Verdana" w:cs="Arial"/>
          <w:lang w:eastAsia="es-ES"/>
        </w:rPr>
        <w:t xml:space="preserve"> </w:t>
      </w:r>
      <w:r w:rsidRPr="00C618FD">
        <w:rPr>
          <w:rFonts w:ascii="Verdana" w:eastAsia="Calibri" w:hAnsi="Verdana" w:cs="Arial"/>
          <w:lang w:eastAsia="es-ES"/>
        </w:rPr>
        <w:t>señalados?</w:t>
      </w:r>
      <w:r>
        <w:rPr>
          <w:rFonts w:ascii="Verdana" w:eastAsia="Calibri" w:hAnsi="Verdana" w:cs="Arial"/>
          <w:lang w:eastAsia="es-ES"/>
        </w:rPr>
        <w:t>”</w:t>
      </w:r>
    </w:p>
    <w:p w14:paraId="0C988532" w14:textId="77777777" w:rsidR="00C37701" w:rsidRPr="00755387" w:rsidRDefault="00C37701" w:rsidP="00C37701">
      <w:pPr>
        <w:spacing w:after="0" w:line="276" w:lineRule="auto"/>
        <w:ind w:left="709" w:right="709"/>
        <w:jc w:val="both"/>
        <w:rPr>
          <w:rFonts w:ascii="Verdana" w:eastAsia="Calibri" w:hAnsi="Verdana" w:cs="Arial"/>
          <w:lang w:eastAsia="es-ES"/>
        </w:rPr>
      </w:pPr>
    </w:p>
    <w:p w14:paraId="523A7EE5" w14:textId="77777777" w:rsidR="00C37701" w:rsidRPr="00960F72" w:rsidRDefault="00C37701" w:rsidP="00C37701">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sidRPr="00960F72">
        <w:rPr>
          <w:rFonts w:ascii="Verdana" w:eastAsia="Calibri" w:hAnsi="Verdana" w:cs="Arial"/>
          <w:lang w:eastAsia="es-ES"/>
        </w:rPr>
        <w:lastRenderedPageBreak/>
        <w:t xml:space="preserve">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2922E5B8" w14:textId="77777777" w:rsidR="00C37701" w:rsidRPr="00960F72" w:rsidRDefault="00C37701" w:rsidP="00C37701">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3AD3851B" w14:textId="77777777" w:rsidR="00C37701" w:rsidRPr="00960F72" w:rsidRDefault="00C37701" w:rsidP="00C37701">
      <w:pPr>
        <w:spacing w:after="0" w:line="276" w:lineRule="auto"/>
        <w:ind w:firstLine="709"/>
        <w:jc w:val="both"/>
        <w:rPr>
          <w:rFonts w:ascii="Verdana" w:eastAsia="Calibri" w:hAnsi="Verdana" w:cs="Arial"/>
          <w:lang w:eastAsia="es-ES"/>
        </w:rPr>
      </w:pPr>
    </w:p>
    <w:p w14:paraId="5FA63EAA" w14:textId="77777777" w:rsidR="00C37701" w:rsidRPr="00960F72" w:rsidRDefault="00C37701" w:rsidP="00C3770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07BEE224" w14:textId="77777777" w:rsidR="00C37701" w:rsidRPr="00960F72" w:rsidRDefault="00C37701" w:rsidP="00C37701">
      <w:pPr>
        <w:tabs>
          <w:tab w:val="left" w:pos="426"/>
        </w:tabs>
        <w:spacing w:after="0" w:line="276" w:lineRule="auto"/>
        <w:jc w:val="both"/>
        <w:rPr>
          <w:rFonts w:ascii="Verdana" w:eastAsia="Century Gothic" w:hAnsi="Verdana" w:cs="Century Gothic"/>
        </w:rPr>
      </w:pPr>
    </w:p>
    <w:p w14:paraId="42D5828A" w14:textId="17AB8B1D" w:rsidR="00C37701" w:rsidRDefault="00C37701" w:rsidP="00C37701">
      <w:pPr>
        <w:spacing w:after="0" w:line="276" w:lineRule="auto"/>
        <w:jc w:val="both"/>
        <w:rPr>
          <w:rFonts w:ascii="Verdana" w:eastAsia="Century Gothic" w:hAnsi="Verdana" w:cs="Century Gothic"/>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w:t>
      </w:r>
      <w:r w:rsidRPr="00C618FD">
        <w:rPr>
          <w:rFonts w:ascii="Verdana" w:eastAsia="Century Gothic" w:hAnsi="Verdana" w:cs="Century Gothic"/>
        </w:rPr>
        <w:t xml:space="preserve">Es jurídicamente procedente </w:t>
      </w:r>
      <w:r w:rsidR="642AC7A1" w:rsidRPr="2384A544">
        <w:rPr>
          <w:rFonts w:ascii="Verdana" w:eastAsia="Century Gothic" w:hAnsi="Verdana" w:cs="Century Gothic"/>
        </w:rPr>
        <w:t xml:space="preserve">efectuar el pago de honorarios a favor de un contratista que aún no ha cumplido con la </w:t>
      </w:r>
      <w:r w:rsidR="32D8B1DB" w:rsidRPr="2384A544">
        <w:rPr>
          <w:rFonts w:ascii="Verdana" w:eastAsia="Century Gothic" w:hAnsi="Verdana" w:cs="Century Gothic"/>
        </w:rPr>
        <w:t>obligación</w:t>
      </w:r>
      <w:r w:rsidR="642AC7A1" w:rsidRPr="2384A544">
        <w:rPr>
          <w:rFonts w:ascii="Verdana" w:eastAsia="Century Gothic" w:hAnsi="Verdana" w:cs="Century Gothic"/>
        </w:rPr>
        <w:t xml:space="preserve"> de pago de </w:t>
      </w:r>
      <w:r w:rsidR="4F23403A" w:rsidRPr="2384A544">
        <w:rPr>
          <w:rFonts w:ascii="Verdana" w:eastAsia="Century Gothic" w:hAnsi="Verdana" w:cs="Century Gothic"/>
        </w:rPr>
        <w:t>aportes</w:t>
      </w:r>
      <w:r w:rsidR="642AC7A1" w:rsidRPr="2384A544">
        <w:rPr>
          <w:rFonts w:ascii="Verdana" w:eastAsia="Century Gothic" w:hAnsi="Verdana" w:cs="Century Gothic"/>
        </w:rPr>
        <w:t xml:space="preserve"> al sistema general de seguridad social para el </w:t>
      </w:r>
      <w:r w:rsidR="50FDDB6E" w:rsidRPr="2384A544">
        <w:rPr>
          <w:rFonts w:ascii="Verdana" w:eastAsia="Century Gothic" w:hAnsi="Verdana" w:cs="Century Gothic"/>
        </w:rPr>
        <w:t>periodo</w:t>
      </w:r>
      <w:r w:rsidR="642AC7A1" w:rsidRPr="2384A544">
        <w:rPr>
          <w:rFonts w:ascii="Verdana" w:eastAsia="Century Gothic" w:hAnsi="Verdana" w:cs="Century Gothic"/>
        </w:rPr>
        <w:t xml:space="preserve"> correspondiente a dicho pago?</w:t>
      </w:r>
    </w:p>
    <w:p w14:paraId="1C46FC53" w14:textId="77777777" w:rsidR="00803F41" w:rsidRDefault="00803F41" w:rsidP="00C37701">
      <w:pPr>
        <w:spacing w:after="0" w:line="276" w:lineRule="auto"/>
        <w:jc w:val="both"/>
        <w:rPr>
          <w:rFonts w:ascii="Verdana" w:eastAsia="Century Gothic" w:hAnsi="Verdana" w:cs="Century Gothic"/>
        </w:rPr>
      </w:pPr>
    </w:p>
    <w:p w14:paraId="13FDBAB5" w14:textId="77777777" w:rsidR="00C37701" w:rsidRPr="00960F72" w:rsidRDefault="00C37701" w:rsidP="00C37701">
      <w:pPr>
        <w:spacing w:after="0" w:line="276" w:lineRule="auto"/>
        <w:jc w:val="both"/>
        <w:rPr>
          <w:rFonts w:ascii="Verdana" w:eastAsia="Century Gothic" w:hAnsi="Verdana" w:cs="Century Gothic"/>
          <w:b/>
          <w:bCs/>
        </w:rPr>
      </w:pPr>
      <w:r w:rsidRPr="00960F72">
        <w:rPr>
          <w:rFonts w:ascii="Verdana" w:eastAsia="Century Gothic" w:hAnsi="Verdana" w:cs="Century Gothic"/>
          <w:b/>
          <w:bCs/>
        </w:rPr>
        <w:t>Respuesta:</w:t>
      </w:r>
    </w:p>
    <w:p w14:paraId="07F06BAD" w14:textId="77777777" w:rsidR="00C37701" w:rsidRPr="00960F72" w:rsidRDefault="00C37701" w:rsidP="00C37701">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37701" w:rsidRPr="00803EAF" w14:paraId="3F3A7B72" w14:textId="77777777" w:rsidTr="00D851D8">
        <w:tc>
          <w:tcPr>
            <w:tcW w:w="8828" w:type="dxa"/>
          </w:tcPr>
          <w:p w14:paraId="2D5F8EFC" w14:textId="77777777" w:rsidR="00C37701" w:rsidRDefault="00C37701" w:rsidP="00D851D8">
            <w:pPr>
              <w:spacing w:after="120" w:line="276" w:lineRule="auto"/>
              <w:jc w:val="both"/>
              <w:rPr>
                <w:rFonts w:ascii="Verdana" w:hAnsi="Verdana"/>
              </w:rPr>
            </w:pPr>
            <w:r w:rsidRPr="00803EAF">
              <w:rPr>
                <w:rFonts w:ascii="Verdana" w:hAnsi="Verdana"/>
              </w:rPr>
              <w:t xml:space="preserve">De conformidad con el régimen general aplicable a los contratos de prestación de servicios, el pago de los aportes al Sistema de Seguridad Social Integral corresponde, como regla general, al contratista en su condición de trabajador independiente, quien debe efectuar directamente sus cotizaciones de manera mensual y por mes vencido, conforme a lo dispuesto en el artículo 244 de la Ley 1955 de 2019. </w:t>
            </w:r>
          </w:p>
          <w:p w14:paraId="45FD29CC" w14:textId="77777777" w:rsidR="00C37701" w:rsidRPr="00803EAF" w:rsidRDefault="00C37701" w:rsidP="00D851D8">
            <w:pPr>
              <w:spacing w:after="120" w:line="276" w:lineRule="auto"/>
              <w:jc w:val="both"/>
              <w:rPr>
                <w:rFonts w:ascii="Verdana" w:hAnsi="Verdana"/>
              </w:rPr>
            </w:pPr>
            <w:r>
              <w:rPr>
                <w:rFonts w:ascii="Verdana" w:hAnsi="Verdana"/>
              </w:rPr>
              <w:t xml:space="preserve">      </w:t>
            </w:r>
            <w:r w:rsidRPr="00803EAF">
              <w:rPr>
                <w:rFonts w:ascii="Verdana" w:hAnsi="Verdana"/>
              </w:rPr>
              <w:t xml:space="preserve">En este sentido, las entidades estatales no se encuentran habilitadas para retener los honorarios del contratista ni para realizar de manera directa el giro de los aportes al Sistema de Seguridad Social Integral, sino que su actuación debe circunscribirse a la verificación del cumplimiento de dicha obligación </w:t>
            </w:r>
            <w:r w:rsidRPr="00803EAF">
              <w:rPr>
                <w:rFonts w:ascii="Verdana" w:hAnsi="Verdana"/>
              </w:rPr>
              <w:lastRenderedPageBreak/>
              <w:t>como requisito para la realización de los pagos derivados del contrato, en los términos del artículo 50 de la Ley 789 de 2002 y del artículo 23 de la Ley 1150 de 2007.</w:t>
            </w:r>
          </w:p>
          <w:p w14:paraId="1C393F31" w14:textId="77777777" w:rsidR="00C37701" w:rsidRDefault="00C37701" w:rsidP="00D851D8">
            <w:pPr>
              <w:spacing w:after="120" w:line="276" w:lineRule="auto"/>
              <w:jc w:val="both"/>
              <w:rPr>
                <w:rFonts w:ascii="Verdana" w:hAnsi="Verdana"/>
              </w:rPr>
            </w:pPr>
            <w:r w:rsidRPr="00803EAF">
              <w:rPr>
                <w:rFonts w:ascii="Verdana" w:hAnsi="Verdana"/>
              </w:rPr>
              <w:t xml:space="preserve">      No obstante, este régimen general </w:t>
            </w:r>
            <w:r>
              <w:rPr>
                <w:rFonts w:ascii="Verdana" w:hAnsi="Verdana"/>
              </w:rPr>
              <w:t>tuvo una modificación</w:t>
            </w:r>
            <w:r w:rsidRPr="00803EAF">
              <w:rPr>
                <w:rFonts w:ascii="Verdana" w:hAnsi="Verdana"/>
              </w:rPr>
              <w:t xml:space="preserve"> a partir de la entrada en vigor de la Ley 2381 de 2024, cuyo artículo 21 introdujo la posibilidad de que, en los contratos de prestación de servicios, el contratante asuma la responsabilidad de efectuar las cotizaciones al Sistema</w:t>
            </w:r>
            <w:r>
              <w:rPr>
                <w:rFonts w:ascii="Verdana" w:hAnsi="Verdana"/>
              </w:rPr>
              <w:t xml:space="preserve"> de Seguridad Social Integral</w:t>
            </w:r>
            <w:r w:rsidRPr="00803EAF">
              <w:rPr>
                <w:rFonts w:ascii="Verdana" w:hAnsi="Verdana"/>
              </w:rPr>
              <w:t>, siempre que ello sea expresamente acordado entre las partes. Dicha disposición fue reglamentada por el artículo 2.2.4.18.7 del Decreto 514 de 2025, el cual condiciona la asunción de esta obligación por parte del contratante a la existencia de un pacto contractual claro y previo.</w:t>
            </w:r>
          </w:p>
          <w:p w14:paraId="5B3A0A99" w14:textId="77777777" w:rsidR="00C37701" w:rsidRDefault="00C37701" w:rsidP="00D851D8">
            <w:pPr>
              <w:spacing w:after="120" w:line="276" w:lineRule="auto"/>
              <w:jc w:val="both"/>
              <w:rPr>
                <w:rFonts w:ascii="Verdana" w:hAnsi="Verdana"/>
              </w:rPr>
            </w:pPr>
            <w:r>
              <w:rPr>
                <w:rFonts w:ascii="Verdana" w:hAnsi="Verdana"/>
              </w:rPr>
              <w:t xml:space="preserve">      </w:t>
            </w:r>
            <w:r w:rsidRPr="00803EAF">
              <w:rPr>
                <w:rFonts w:ascii="Verdana" w:hAnsi="Verdana"/>
              </w:rPr>
              <w:t>De conformidad con lo señalado, las cotizaciones a cargo de las entidades que celebran contratos de prestación de servicios no operan de manera automática con ocasión de la reforma pensional, sino que requieren acuerdo expreso, lo cual supone la modificación del contrato cuando originalmente no se haya pactado dicha obligación. En ese evento, la entidad contratante queda facultada para descontar de los honorarios del contratista los aportes correspondientes a pensión, salud y riesgos laborales, y responde por la totalidad de las cotizaciones, incluso en el evento en que no se haya efectuado el descuento respectivo.</w:t>
            </w:r>
            <w:r>
              <w:rPr>
                <w:rFonts w:ascii="Verdana" w:hAnsi="Verdana"/>
              </w:rPr>
              <w:t xml:space="preserve">  </w:t>
            </w:r>
          </w:p>
          <w:p w14:paraId="5CB57A94" w14:textId="77777777" w:rsidR="00C37701" w:rsidRPr="00803EAF" w:rsidRDefault="00C37701" w:rsidP="00D851D8">
            <w:pPr>
              <w:spacing w:after="120" w:line="276" w:lineRule="auto"/>
              <w:jc w:val="both"/>
              <w:rPr>
                <w:rFonts w:ascii="Verdana" w:hAnsi="Verdana"/>
              </w:rPr>
            </w:pPr>
            <w:r>
              <w:rPr>
                <w:rFonts w:ascii="Verdana" w:hAnsi="Verdana"/>
              </w:rPr>
              <w:t xml:space="preserve">     </w:t>
            </w:r>
            <w:r w:rsidRPr="00803EAF">
              <w:rPr>
                <w:rFonts w:ascii="Verdana" w:hAnsi="Verdana"/>
              </w:rPr>
              <w:t>En atención a lo anterior, la procedencia de realizar un pago por consignación de honorarios pendientes con deducción de aportes al Sistema de Seguridad Social Integral depende de lo expresamente pactado en el contrato de prestación de servicios y del marco normativo aplicable. En efecto, cuando las partes han acordado que la entidad contratante asuma la responsabilidad de efectuar las cotizaciones, resulta jurídicamente viable que, aun cuando el pago de los honorarios se realice mediante consignación, se efectúe la deducción correspondiente y se proceda al pago de los aportes conforme a las reglas previstas en la Resolución 2388 de 2016, modificada por la Resolución 467 de 2025.</w:t>
            </w:r>
          </w:p>
          <w:p w14:paraId="392C684B" w14:textId="77777777" w:rsidR="00C37701" w:rsidRDefault="00C37701" w:rsidP="00D851D8">
            <w:pPr>
              <w:spacing w:after="120" w:line="276" w:lineRule="auto"/>
              <w:jc w:val="both"/>
              <w:rPr>
                <w:rFonts w:ascii="Verdana" w:hAnsi="Verdana"/>
              </w:rPr>
            </w:pPr>
            <w:r>
              <w:rPr>
                <w:rFonts w:ascii="Verdana" w:hAnsi="Verdana"/>
              </w:rPr>
              <w:t xml:space="preserve">       </w:t>
            </w:r>
            <w:r w:rsidRPr="00803EAF">
              <w:rPr>
                <w:rFonts w:ascii="Verdana" w:hAnsi="Verdana"/>
              </w:rPr>
              <w:t xml:space="preserve">Por el contrario, en ausencia de un acuerdo expreso que atribuya dicha obligación a la entidad contratante, el pago de los aportes al Sistema de Seguridad Social Integral continúa siendo responsabilidad exclusiva del contratista, debiendo la entidad limitarse a verificar su cumplimiento como </w:t>
            </w:r>
            <w:r w:rsidRPr="00803EAF">
              <w:rPr>
                <w:rFonts w:ascii="Verdana" w:hAnsi="Verdana"/>
              </w:rPr>
              <w:lastRenderedPageBreak/>
              <w:t>requisito para efectuar el pago de los honorarios, de conformidad con lo dispuesto en el artículo 50 de la Ley 789 de 2002 y el artículo 23 de la Ley 1150 de 2007</w:t>
            </w:r>
            <w:r>
              <w:rPr>
                <w:rFonts w:ascii="Verdana" w:hAnsi="Verdana"/>
              </w:rPr>
              <w:t>.</w:t>
            </w:r>
          </w:p>
          <w:p w14:paraId="77A9C7A1" w14:textId="3F9FC2FF" w:rsidR="00C37701" w:rsidRDefault="00C37701" w:rsidP="00D851D8">
            <w:pPr>
              <w:spacing w:after="120" w:line="276" w:lineRule="auto"/>
              <w:jc w:val="both"/>
              <w:rPr>
                <w:rFonts w:ascii="Verdana" w:hAnsi="Verdana"/>
              </w:rPr>
            </w:pPr>
            <w:r>
              <w:rPr>
                <w:rFonts w:ascii="Verdana" w:hAnsi="Verdana"/>
              </w:rPr>
              <w:t xml:space="preserve">       </w:t>
            </w:r>
            <w:r w:rsidRPr="00803EAF">
              <w:rPr>
                <w:rFonts w:ascii="Verdana" w:hAnsi="Verdana"/>
              </w:rPr>
              <w:t xml:space="preserve">En conclusión, la deducción de aportes a salud </w:t>
            </w:r>
            <w:r w:rsidR="2886EB3F" w:rsidRPr="2384A544">
              <w:rPr>
                <w:rFonts w:ascii="Verdana" w:hAnsi="Verdana"/>
              </w:rPr>
              <w:t>,</w:t>
            </w:r>
            <w:r w:rsidRPr="2384A544">
              <w:rPr>
                <w:rFonts w:ascii="Verdana" w:hAnsi="Verdana"/>
              </w:rPr>
              <w:t xml:space="preserve"> pensión</w:t>
            </w:r>
            <w:r w:rsidR="248F8306" w:rsidRPr="2384A544">
              <w:rPr>
                <w:rFonts w:ascii="Verdana" w:hAnsi="Verdana"/>
              </w:rPr>
              <w:t xml:space="preserve"> y </w:t>
            </w:r>
            <w:r w:rsidR="0063757B" w:rsidRPr="2384A544">
              <w:rPr>
                <w:rFonts w:ascii="Verdana" w:hAnsi="Verdana"/>
              </w:rPr>
              <w:t>demás</w:t>
            </w:r>
            <w:r w:rsidR="248F8306" w:rsidRPr="2384A544">
              <w:rPr>
                <w:rFonts w:ascii="Verdana" w:hAnsi="Verdana"/>
              </w:rPr>
              <w:t xml:space="preserve"> aportes parafiscales</w:t>
            </w:r>
            <w:r w:rsidRPr="00803EAF">
              <w:rPr>
                <w:rFonts w:ascii="Verdana" w:hAnsi="Verdana"/>
              </w:rPr>
              <w:t xml:space="preserve"> en un pago por consignación de honorarios solo es jurídicamente procedente cuando existe acuerdo expreso que atribuya a la entidad contratante la obligación de efectuar las cotizaciones, conforme a la Ley 2381 de 2024 y el Decreto 514 de 2025; en ausencia de dicho acuerdo, dicha deducción no resulta viable, y el pago de los aportes corresponde exclusivamente al contratista.</w:t>
            </w:r>
          </w:p>
          <w:p w14:paraId="475C6925" w14:textId="77777777" w:rsidR="00C37701" w:rsidRPr="00803EAF" w:rsidRDefault="00C37701" w:rsidP="00D851D8">
            <w:pPr>
              <w:spacing w:after="120" w:line="276" w:lineRule="auto"/>
              <w:jc w:val="both"/>
              <w:rPr>
                <w:rFonts w:ascii="Verdana" w:hAnsi="Verdana"/>
              </w:rPr>
            </w:pPr>
            <w:r>
              <w:rPr>
                <w:rFonts w:ascii="Verdana" w:hAnsi="Verdana"/>
              </w:rPr>
              <w:t xml:space="preserve">     </w:t>
            </w:r>
            <w:r w:rsidRPr="00803EAF">
              <w:rPr>
                <w:rFonts w:ascii="Verdana" w:hAnsi="Verdana"/>
              </w:rPr>
              <w:t>Finalmente, debe advertirse que el análisis aquí expuesto se realiza en términos generales y no puede entenderse como un pronunciamiento sobre situaciones particulares. En consecuencia, la aplicación de estas reglas debe ser evaluada por la entidad en el marco del contrato específico, con el apoyo de sus asesores jurídicos, sin que ello implique la validación de actuaciones concretas por parte de la Agencia Nacional de Contratación Pública – Colombia Compra Eficiente</w:t>
            </w:r>
            <w:r>
              <w:rPr>
                <w:rFonts w:ascii="Verdana" w:hAnsi="Verdana"/>
              </w:rPr>
              <w:t>.</w:t>
            </w:r>
          </w:p>
        </w:tc>
      </w:tr>
    </w:tbl>
    <w:p w14:paraId="419E976F" w14:textId="77777777" w:rsidR="00C37701" w:rsidRDefault="00C37701" w:rsidP="00C37701">
      <w:pPr>
        <w:tabs>
          <w:tab w:val="left" w:pos="142"/>
          <w:tab w:val="left" w:pos="284"/>
        </w:tabs>
        <w:spacing w:after="0" w:line="276" w:lineRule="auto"/>
        <w:jc w:val="both"/>
        <w:rPr>
          <w:rFonts w:ascii="Verdana" w:eastAsia="Century Gothic" w:hAnsi="Verdana" w:cs="Century Gothic"/>
          <w:b/>
          <w:bCs/>
        </w:rPr>
      </w:pPr>
    </w:p>
    <w:p w14:paraId="7C24610D" w14:textId="77777777" w:rsidR="00C37701" w:rsidRPr="00960F72" w:rsidRDefault="00C37701" w:rsidP="00C37701">
      <w:pPr>
        <w:tabs>
          <w:tab w:val="left" w:pos="142"/>
          <w:tab w:val="left" w:pos="284"/>
        </w:tabs>
        <w:spacing w:after="0" w:line="276" w:lineRule="auto"/>
        <w:jc w:val="both"/>
        <w:rPr>
          <w:rFonts w:ascii="Verdana" w:eastAsia="Century Gothic" w:hAnsi="Verdana" w:cs="Century Gothic"/>
          <w:b/>
          <w:bCs/>
        </w:rPr>
      </w:pPr>
    </w:p>
    <w:p w14:paraId="1AAC26DC" w14:textId="77777777" w:rsidR="00C37701" w:rsidRDefault="00C37701" w:rsidP="00C3770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Razones de la respuesta:</w:t>
      </w:r>
    </w:p>
    <w:p w14:paraId="595B9891" w14:textId="77777777" w:rsidR="00C37701" w:rsidRDefault="00C37701" w:rsidP="00C37701">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29F8D9EE" w14:textId="77777777" w:rsidR="00C37701" w:rsidRDefault="00C37701" w:rsidP="00C37701">
      <w:pPr>
        <w:spacing w:after="0" w:line="276" w:lineRule="auto"/>
        <w:jc w:val="both"/>
        <w:rPr>
          <w:rFonts w:ascii="Verdana" w:eastAsia="Calibri" w:hAnsi="Verdana" w:cs="Arial"/>
          <w:lang w:val="es-ES"/>
        </w:rPr>
      </w:pPr>
      <w:r w:rsidRPr="00045AE0">
        <w:rPr>
          <w:rFonts w:ascii="Verdana" w:eastAsia="Calibri" w:hAnsi="Verdana" w:cs="Arial"/>
          <w:lang w:val="es-ES"/>
        </w:rPr>
        <w:t xml:space="preserve">Lo anterior se sustenta en las siguientes consideraciones: </w:t>
      </w:r>
    </w:p>
    <w:p w14:paraId="4ACD3E7A" w14:textId="77777777" w:rsidR="00C37701" w:rsidRDefault="00C37701" w:rsidP="00C37701">
      <w:pPr>
        <w:spacing w:after="0" w:line="276" w:lineRule="auto"/>
        <w:jc w:val="both"/>
        <w:rPr>
          <w:rFonts w:ascii="Verdana" w:eastAsia="Calibri" w:hAnsi="Verdana" w:cs="Arial"/>
          <w:lang w:val="es-ES"/>
        </w:rPr>
      </w:pPr>
    </w:p>
    <w:p w14:paraId="3EE29EF2" w14:textId="77777777" w:rsidR="00C37701" w:rsidRPr="001F41BC" w:rsidRDefault="00C37701" w:rsidP="00C37701">
      <w:pPr>
        <w:widowControl w:val="0"/>
        <w:autoSpaceDE w:val="0"/>
        <w:autoSpaceDN w:val="0"/>
        <w:spacing w:after="120" w:line="276" w:lineRule="auto"/>
        <w:jc w:val="both"/>
        <w:rPr>
          <w:rFonts w:ascii="Verdana" w:eastAsia="Arial" w:hAnsi="Verdana" w:cs="Arial"/>
          <w:lang w:val="es-ES"/>
        </w:rPr>
      </w:pPr>
      <w:r>
        <w:rPr>
          <w:rFonts w:ascii="Verdana" w:eastAsia="Arial" w:hAnsi="Verdana" w:cs="Arial"/>
          <w:lang w:val="es-ES"/>
        </w:rPr>
        <w:t xml:space="preserve">  </w:t>
      </w:r>
      <w:r w:rsidRPr="001F41BC">
        <w:rPr>
          <w:rFonts w:ascii="Verdana" w:eastAsia="Arial" w:hAnsi="Verdana" w:cs="Arial"/>
          <w:lang w:val="es-ES"/>
        </w:rPr>
        <w:t>La Seguridad Social es un servicio público obligatorio, cuya dirección, coordinación y control está a cargo del Estado y es prestado por entidades públicas y privadas. Mediante esta se evitan desequilibrios económicos y sociales que, de no resolverse, significarían</w:t>
      </w:r>
      <w:r w:rsidRPr="001F41BC">
        <w:rPr>
          <w:rFonts w:ascii="Verdana" w:eastAsia="Arial" w:hAnsi="Verdana" w:cs="Arial"/>
          <w:spacing w:val="-6"/>
          <w:lang w:val="es-ES"/>
        </w:rPr>
        <w:t xml:space="preserve"> </w:t>
      </w:r>
      <w:r w:rsidRPr="001F41BC">
        <w:rPr>
          <w:rFonts w:ascii="Verdana" w:eastAsia="Arial" w:hAnsi="Verdana" w:cs="Arial"/>
          <w:lang w:val="es-ES"/>
        </w:rPr>
        <w:t>la</w:t>
      </w:r>
      <w:r w:rsidRPr="001F41BC">
        <w:rPr>
          <w:rFonts w:ascii="Verdana" w:eastAsia="Arial" w:hAnsi="Verdana" w:cs="Arial"/>
          <w:spacing w:val="-5"/>
          <w:lang w:val="es-ES"/>
        </w:rPr>
        <w:t xml:space="preserve"> </w:t>
      </w:r>
      <w:r w:rsidRPr="001F41BC">
        <w:rPr>
          <w:rFonts w:ascii="Verdana" w:eastAsia="Arial" w:hAnsi="Verdana" w:cs="Arial"/>
          <w:lang w:val="es-ES"/>
        </w:rPr>
        <w:t>reducción</w:t>
      </w:r>
      <w:r w:rsidRPr="001F41BC">
        <w:rPr>
          <w:rFonts w:ascii="Verdana" w:eastAsia="Arial" w:hAnsi="Verdana" w:cs="Arial"/>
          <w:spacing w:val="-6"/>
          <w:lang w:val="es-ES"/>
        </w:rPr>
        <w:t xml:space="preserve"> </w:t>
      </w:r>
      <w:r w:rsidRPr="001F41BC">
        <w:rPr>
          <w:rFonts w:ascii="Verdana" w:eastAsia="Arial" w:hAnsi="Verdana" w:cs="Arial"/>
          <w:lang w:val="es-ES"/>
        </w:rPr>
        <w:t>o</w:t>
      </w:r>
      <w:r w:rsidRPr="001F41BC">
        <w:rPr>
          <w:rFonts w:ascii="Verdana" w:eastAsia="Arial" w:hAnsi="Verdana" w:cs="Arial"/>
          <w:spacing w:val="-5"/>
          <w:lang w:val="es-ES"/>
        </w:rPr>
        <w:t xml:space="preserve"> </w:t>
      </w:r>
      <w:r w:rsidRPr="001F41BC">
        <w:rPr>
          <w:rFonts w:ascii="Verdana" w:eastAsia="Arial" w:hAnsi="Verdana" w:cs="Arial"/>
          <w:lang w:val="es-ES"/>
        </w:rPr>
        <w:t>la</w:t>
      </w:r>
      <w:r w:rsidRPr="001F41BC">
        <w:rPr>
          <w:rFonts w:ascii="Verdana" w:eastAsia="Arial" w:hAnsi="Verdana" w:cs="Arial"/>
          <w:spacing w:val="-6"/>
          <w:lang w:val="es-ES"/>
        </w:rPr>
        <w:t xml:space="preserve"> </w:t>
      </w:r>
      <w:r w:rsidRPr="001F41BC">
        <w:rPr>
          <w:rFonts w:ascii="Verdana" w:eastAsia="Arial" w:hAnsi="Verdana" w:cs="Arial"/>
          <w:lang w:val="es-ES"/>
        </w:rPr>
        <w:t>pérdida</w:t>
      </w:r>
      <w:r w:rsidRPr="001F41BC">
        <w:rPr>
          <w:rFonts w:ascii="Verdana" w:eastAsia="Arial" w:hAnsi="Verdana" w:cs="Arial"/>
          <w:spacing w:val="-4"/>
          <w:lang w:val="es-ES"/>
        </w:rPr>
        <w:t xml:space="preserve"> </w:t>
      </w:r>
      <w:r w:rsidRPr="001F41BC">
        <w:rPr>
          <w:rFonts w:ascii="Verdana" w:eastAsia="Arial" w:hAnsi="Verdana" w:cs="Arial"/>
          <w:lang w:val="es-ES"/>
        </w:rPr>
        <w:t>de</w:t>
      </w:r>
      <w:r w:rsidRPr="001F41BC">
        <w:rPr>
          <w:rFonts w:ascii="Verdana" w:eastAsia="Arial" w:hAnsi="Verdana" w:cs="Arial"/>
          <w:spacing w:val="-6"/>
          <w:lang w:val="es-ES"/>
        </w:rPr>
        <w:t xml:space="preserve"> </w:t>
      </w:r>
      <w:r w:rsidRPr="001F41BC">
        <w:rPr>
          <w:rFonts w:ascii="Verdana" w:eastAsia="Arial" w:hAnsi="Verdana" w:cs="Arial"/>
          <w:lang w:val="es-ES"/>
        </w:rPr>
        <w:t>los</w:t>
      </w:r>
      <w:r w:rsidRPr="001F41BC">
        <w:rPr>
          <w:rFonts w:ascii="Verdana" w:eastAsia="Arial" w:hAnsi="Verdana" w:cs="Arial"/>
          <w:spacing w:val="-5"/>
          <w:lang w:val="es-ES"/>
        </w:rPr>
        <w:t xml:space="preserve"> </w:t>
      </w:r>
      <w:r w:rsidRPr="001F41BC">
        <w:rPr>
          <w:rFonts w:ascii="Verdana" w:eastAsia="Arial" w:hAnsi="Verdana" w:cs="Arial"/>
          <w:lang w:val="es-ES"/>
        </w:rPr>
        <w:t>ingresos</w:t>
      </w:r>
      <w:r w:rsidRPr="001F41BC">
        <w:rPr>
          <w:rFonts w:ascii="Verdana" w:eastAsia="Arial" w:hAnsi="Verdana" w:cs="Arial"/>
          <w:spacing w:val="-4"/>
          <w:lang w:val="es-ES"/>
        </w:rPr>
        <w:t xml:space="preserve"> </w:t>
      </w:r>
      <w:r w:rsidRPr="001F41BC">
        <w:rPr>
          <w:rFonts w:ascii="Verdana" w:eastAsia="Arial" w:hAnsi="Verdana" w:cs="Arial"/>
          <w:lang w:val="es-ES"/>
        </w:rPr>
        <w:t>por</w:t>
      </w:r>
      <w:r w:rsidRPr="001F41BC">
        <w:rPr>
          <w:rFonts w:ascii="Verdana" w:eastAsia="Arial" w:hAnsi="Verdana" w:cs="Arial"/>
          <w:spacing w:val="-6"/>
          <w:lang w:val="es-ES"/>
        </w:rPr>
        <w:t xml:space="preserve"> </w:t>
      </w:r>
      <w:r w:rsidRPr="001F41BC">
        <w:rPr>
          <w:rFonts w:ascii="Verdana" w:eastAsia="Arial" w:hAnsi="Verdana" w:cs="Arial"/>
          <w:lang w:val="es-ES"/>
        </w:rPr>
        <w:t>causa</w:t>
      </w:r>
      <w:r w:rsidRPr="001F41BC">
        <w:rPr>
          <w:rFonts w:ascii="Verdana" w:eastAsia="Arial" w:hAnsi="Verdana" w:cs="Arial"/>
          <w:spacing w:val="-5"/>
          <w:lang w:val="es-ES"/>
        </w:rPr>
        <w:t xml:space="preserve"> </w:t>
      </w:r>
      <w:r w:rsidRPr="001F41BC">
        <w:rPr>
          <w:rFonts w:ascii="Verdana" w:eastAsia="Arial" w:hAnsi="Verdana" w:cs="Arial"/>
          <w:lang w:val="es-ES"/>
        </w:rPr>
        <w:t>de</w:t>
      </w:r>
      <w:r w:rsidRPr="001F41BC">
        <w:rPr>
          <w:rFonts w:ascii="Verdana" w:eastAsia="Arial" w:hAnsi="Verdana" w:cs="Arial"/>
          <w:spacing w:val="-6"/>
          <w:lang w:val="es-ES"/>
        </w:rPr>
        <w:t xml:space="preserve"> </w:t>
      </w:r>
      <w:r w:rsidRPr="001F41BC">
        <w:rPr>
          <w:rFonts w:ascii="Verdana" w:eastAsia="Arial" w:hAnsi="Verdana" w:cs="Arial"/>
          <w:lang w:val="es-ES"/>
        </w:rPr>
        <w:t>contingencias</w:t>
      </w:r>
      <w:r w:rsidRPr="001F41BC">
        <w:rPr>
          <w:rFonts w:ascii="Verdana" w:eastAsia="Arial" w:hAnsi="Verdana" w:cs="Arial"/>
          <w:spacing w:val="-5"/>
          <w:lang w:val="es-ES"/>
        </w:rPr>
        <w:t xml:space="preserve"> </w:t>
      </w:r>
      <w:r w:rsidRPr="001F41BC">
        <w:rPr>
          <w:rFonts w:ascii="Verdana" w:eastAsia="Arial" w:hAnsi="Verdana" w:cs="Arial"/>
          <w:lang w:val="es-ES"/>
        </w:rPr>
        <w:t>como</w:t>
      </w:r>
      <w:r w:rsidRPr="001F41BC">
        <w:rPr>
          <w:rFonts w:ascii="Verdana" w:eastAsia="Arial" w:hAnsi="Verdana" w:cs="Arial"/>
          <w:spacing w:val="-6"/>
          <w:lang w:val="es-ES"/>
        </w:rPr>
        <w:t xml:space="preserve"> </w:t>
      </w:r>
      <w:r w:rsidRPr="001F41BC">
        <w:rPr>
          <w:rFonts w:ascii="Verdana" w:eastAsia="Arial" w:hAnsi="Verdana" w:cs="Arial"/>
          <w:lang w:val="es-ES"/>
        </w:rPr>
        <w:t>la enfermedad,</w:t>
      </w:r>
      <w:r w:rsidRPr="001F41BC">
        <w:rPr>
          <w:rFonts w:ascii="Verdana" w:eastAsia="Arial" w:hAnsi="Verdana" w:cs="Arial"/>
          <w:spacing w:val="-8"/>
          <w:lang w:val="es-ES"/>
        </w:rPr>
        <w:t xml:space="preserve"> </w:t>
      </w:r>
      <w:r w:rsidRPr="001F41BC">
        <w:rPr>
          <w:rFonts w:ascii="Verdana" w:eastAsia="Arial" w:hAnsi="Verdana" w:cs="Arial"/>
          <w:lang w:val="es-ES"/>
        </w:rPr>
        <w:t>los</w:t>
      </w:r>
      <w:r w:rsidRPr="001F41BC">
        <w:rPr>
          <w:rFonts w:ascii="Verdana" w:eastAsia="Arial" w:hAnsi="Verdana" w:cs="Arial"/>
          <w:spacing w:val="-8"/>
          <w:lang w:val="es-ES"/>
        </w:rPr>
        <w:t xml:space="preserve"> </w:t>
      </w:r>
      <w:r w:rsidRPr="001F41BC">
        <w:rPr>
          <w:rFonts w:ascii="Verdana" w:eastAsia="Arial" w:hAnsi="Verdana" w:cs="Arial"/>
          <w:lang w:val="es-ES"/>
        </w:rPr>
        <w:t>accidentes,</w:t>
      </w:r>
      <w:r w:rsidRPr="001F41BC">
        <w:rPr>
          <w:rFonts w:ascii="Verdana" w:eastAsia="Arial" w:hAnsi="Verdana" w:cs="Arial"/>
          <w:spacing w:val="-8"/>
          <w:lang w:val="es-ES"/>
        </w:rPr>
        <w:t xml:space="preserve"> </w:t>
      </w:r>
      <w:r w:rsidRPr="001F41BC">
        <w:rPr>
          <w:rFonts w:ascii="Verdana" w:eastAsia="Arial" w:hAnsi="Verdana" w:cs="Arial"/>
          <w:lang w:val="es-ES"/>
        </w:rPr>
        <w:t>la</w:t>
      </w:r>
      <w:r w:rsidRPr="001F41BC">
        <w:rPr>
          <w:rFonts w:ascii="Verdana" w:eastAsia="Arial" w:hAnsi="Verdana" w:cs="Arial"/>
          <w:spacing w:val="-8"/>
          <w:lang w:val="es-ES"/>
        </w:rPr>
        <w:t xml:space="preserve"> </w:t>
      </w:r>
      <w:r w:rsidRPr="001F41BC">
        <w:rPr>
          <w:rFonts w:ascii="Verdana" w:eastAsia="Arial" w:hAnsi="Verdana" w:cs="Arial"/>
          <w:lang w:val="es-ES"/>
        </w:rPr>
        <w:t>maternidad</w:t>
      </w:r>
      <w:r w:rsidRPr="001F41BC">
        <w:rPr>
          <w:rFonts w:ascii="Verdana" w:eastAsia="Arial" w:hAnsi="Verdana" w:cs="Arial"/>
          <w:spacing w:val="-7"/>
          <w:lang w:val="es-ES"/>
        </w:rPr>
        <w:t xml:space="preserve"> </w:t>
      </w:r>
      <w:r w:rsidRPr="001F41BC">
        <w:rPr>
          <w:rFonts w:ascii="Verdana" w:eastAsia="Arial" w:hAnsi="Verdana" w:cs="Arial"/>
          <w:lang w:val="es-ES"/>
        </w:rPr>
        <w:t>o</w:t>
      </w:r>
      <w:r w:rsidRPr="001F41BC">
        <w:rPr>
          <w:rFonts w:ascii="Verdana" w:eastAsia="Arial" w:hAnsi="Verdana" w:cs="Arial"/>
          <w:spacing w:val="-8"/>
          <w:lang w:val="es-ES"/>
        </w:rPr>
        <w:t xml:space="preserve"> </w:t>
      </w:r>
      <w:r w:rsidRPr="001F41BC">
        <w:rPr>
          <w:rFonts w:ascii="Verdana" w:eastAsia="Arial" w:hAnsi="Verdana" w:cs="Arial"/>
          <w:lang w:val="es-ES"/>
        </w:rPr>
        <w:t>el</w:t>
      </w:r>
      <w:r w:rsidRPr="001F41BC">
        <w:rPr>
          <w:rFonts w:ascii="Verdana" w:eastAsia="Arial" w:hAnsi="Verdana" w:cs="Arial"/>
          <w:spacing w:val="-8"/>
          <w:lang w:val="es-ES"/>
        </w:rPr>
        <w:t xml:space="preserve"> </w:t>
      </w:r>
      <w:r w:rsidRPr="001F41BC">
        <w:rPr>
          <w:rFonts w:ascii="Verdana" w:eastAsia="Arial" w:hAnsi="Verdana" w:cs="Arial"/>
          <w:lang w:val="es-ES"/>
        </w:rPr>
        <w:t>desempleo,</w:t>
      </w:r>
      <w:r w:rsidRPr="001F41BC">
        <w:rPr>
          <w:rFonts w:ascii="Verdana" w:eastAsia="Arial" w:hAnsi="Verdana" w:cs="Arial"/>
          <w:spacing w:val="-8"/>
          <w:lang w:val="es-ES"/>
        </w:rPr>
        <w:t xml:space="preserve"> </w:t>
      </w:r>
      <w:r w:rsidRPr="001F41BC">
        <w:rPr>
          <w:rFonts w:ascii="Verdana" w:eastAsia="Arial" w:hAnsi="Verdana" w:cs="Arial"/>
          <w:lang w:val="es-ES"/>
        </w:rPr>
        <w:t>entre</w:t>
      </w:r>
      <w:r w:rsidRPr="001F41BC">
        <w:rPr>
          <w:rFonts w:ascii="Verdana" w:eastAsia="Arial" w:hAnsi="Verdana" w:cs="Arial"/>
          <w:spacing w:val="-8"/>
          <w:lang w:val="es-ES"/>
        </w:rPr>
        <w:t xml:space="preserve"> </w:t>
      </w:r>
      <w:r w:rsidRPr="001F41BC">
        <w:rPr>
          <w:rFonts w:ascii="Verdana" w:eastAsia="Arial" w:hAnsi="Verdana" w:cs="Arial"/>
          <w:lang w:val="es-ES"/>
        </w:rPr>
        <w:t>otras.</w:t>
      </w:r>
      <w:r w:rsidRPr="001F41BC">
        <w:rPr>
          <w:rFonts w:ascii="Verdana" w:eastAsia="Arial" w:hAnsi="Verdana" w:cs="Arial"/>
          <w:spacing w:val="-7"/>
          <w:lang w:val="es-ES"/>
        </w:rPr>
        <w:t xml:space="preserve"> </w:t>
      </w:r>
      <w:r w:rsidRPr="001F41BC">
        <w:rPr>
          <w:rFonts w:ascii="Verdana" w:eastAsia="Arial" w:hAnsi="Verdana" w:cs="Arial"/>
          <w:lang w:val="es-ES"/>
        </w:rPr>
        <w:t>De</w:t>
      </w:r>
      <w:r w:rsidRPr="001F41BC">
        <w:rPr>
          <w:rFonts w:ascii="Verdana" w:eastAsia="Arial" w:hAnsi="Verdana" w:cs="Arial"/>
          <w:spacing w:val="-8"/>
          <w:lang w:val="es-ES"/>
        </w:rPr>
        <w:t xml:space="preserve"> </w:t>
      </w:r>
      <w:r w:rsidRPr="001F41BC">
        <w:rPr>
          <w:rFonts w:ascii="Verdana" w:eastAsia="Arial" w:hAnsi="Verdana" w:cs="Arial"/>
          <w:lang w:val="es-ES"/>
        </w:rPr>
        <w:t>acuerdo</w:t>
      </w:r>
      <w:r w:rsidRPr="001F41BC">
        <w:rPr>
          <w:rFonts w:ascii="Verdana" w:eastAsia="Arial" w:hAnsi="Verdana" w:cs="Arial"/>
          <w:spacing w:val="-8"/>
          <w:lang w:val="es-ES"/>
        </w:rPr>
        <w:t xml:space="preserve"> </w:t>
      </w:r>
      <w:r w:rsidRPr="001F41BC">
        <w:rPr>
          <w:rFonts w:ascii="Verdana" w:eastAsia="Arial" w:hAnsi="Verdana" w:cs="Arial"/>
          <w:lang w:val="es-ES"/>
        </w:rPr>
        <w:t>con la Ley 100 de 1993,</w:t>
      </w:r>
      <w:r>
        <w:rPr>
          <w:rFonts w:ascii="Verdana" w:eastAsia="Arial" w:hAnsi="Verdana" w:cs="Arial"/>
          <w:lang w:val="es-ES"/>
        </w:rPr>
        <w:t xml:space="preserve"> modificada en lo pertinente por la Ley 2381 de 2024,</w:t>
      </w:r>
      <w:r w:rsidRPr="001F41BC">
        <w:rPr>
          <w:rFonts w:ascii="Verdana" w:eastAsia="Arial" w:hAnsi="Verdana" w:cs="Arial"/>
          <w:lang w:val="es-ES"/>
        </w:rPr>
        <w:t xml:space="preserve"> el Sistema de Seguridad Social Integral en Colombia se</w:t>
      </w:r>
      <w:r w:rsidRPr="001F41BC">
        <w:rPr>
          <w:rFonts w:ascii="Verdana" w:eastAsia="Arial" w:hAnsi="Verdana" w:cs="Arial"/>
          <w:spacing w:val="59"/>
          <w:lang w:val="es-ES"/>
        </w:rPr>
        <w:t xml:space="preserve"> </w:t>
      </w:r>
      <w:r w:rsidRPr="001F41BC">
        <w:rPr>
          <w:rFonts w:ascii="Verdana" w:eastAsia="Arial" w:hAnsi="Verdana" w:cs="Arial"/>
          <w:lang w:val="es-ES"/>
        </w:rPr>
        <w:t>compone de</w:t>
      </w:r>
      <w:r w:rsidRPr="001F41BC">
        <w:rPr>
          <w:rFonts w:ascii="Verdana" w:eastAsia="Arial" w:hAnsi="Verdana" w:cs="Arial"/>
          <w:spacing w:val="-11"/>
          <w:lang w:val="es-ES"/>
        </w:rPr>
        <w:t xml:space="preserve"> </w:t>
      </w:r>
      <w:r w:rsidRPr="001F41BC">
        <w:rPr>
          <w:rFonts w:ascii="Verdana" w:eastAsia="Arial" w:hAnsi="Verdana" w:cs="Arial"/>
          <w:lang w:val="es-ES"/>
        </w:rPr>
        <w:t>los</w:t>
      </w:r>
      <w:r w:rsidRPr="001F41BC">
        <w:rPr>
          <w:rFonts w:ascii="Verdana" w:eastAsia="Arial" w:hAnsi="Verdana" w:cs="Arial"/>
          <w:spacing w:val="-11"/>
          <w:lang w:val="es-ES"/>
        </w:rPr>
        <w:t xml:space="preserve"> </w:t>
      </w:r>
      <w:r w:rsidRPr="001F41BC">
        <w:rPr>
          <w:rFonts w:ascii="Verdana" w:eastAsia="Arial" w:hAnsi="Verdana" w:cs="Arial"/>
          <w:lang w:val="es-ES"/>
        </w:rPr>
        <w:t>sistemas</w:t>
      </w:r>
      <w:r w:rsidRPr="001F41BC">
        <w:rPr>
          <w:rFonts w:ascii="Verdana" w:eastAsia="Arial" w:hAnsi="Verdana" w:cs="Arial"/>
          <w:spacing w:val="-10"/>
          <w:lang w:val="es-ES"/>
        </w:rPr>
        <w:t xml:space="preserve"> </w:t>
      </w:r>
      <w:r w:rsidRPr="001F41BC">
        <w:rPr>
          <w:rFonts w:ascii="Verdana" w:eastAsia="Arial" w:hAnsi="Verdana" w:cs="Arial"/>
          <w:lang w:val="es-ES"/>
        </w:rPr>
        <w:t>de protección social integral para la vejez, invalidez y muerte de origen común,</w:t>
      </w:r>
      <w:r w:rsidRPr="001F41BC">
        <w:rPr>
          <w:rFonts w:ascii="Verdana" w:eastAsia="Arial" w:hAnsi="Verdana" w:cs="Arial"/>
          <w:spacing w:val="-11"/>
          <w:lang w:val="es-ES"/>
        </w:rPr>
        <w:t xml:space="preserve"> </w:t>
      </w:r>
      <w:r w:rsidRPr="001F41BC">
        <w:rPr>
          <w:rFonts w:ascii="Verdana" w:eastAsia="Arial" w:hAnsi="Verdana" w:cs="Arial"/>
          <w:lang w:val="es-ES"/>
        </w:rPr>
        <w:t>de</w:t>
      </w:r>
      <w:r w:rsidRPr="001F41BC">
        <w:rPr>
          <w:rFonts w:ascii="Verdana" w:eastAsia="Arial" w:hAnsi="Verdana" w:cs="Arial"/>
          <w:spacing w:val="-10"/>
          <w:lang w:val="es-ES"/>
        </w:rPr>
        <w:t xml:space="preserve"> </w:t>
      </w:r>
      <w:r w:rsidRPr="001F41BC">
        <w:rPr>
          <w:rFonts w:ascii="Verdana" w:eastAsia="Arial" w:hAnsi="Verdana" w:cs="Arial"/>
          <w:lang w:val="es-ES"/>
        </w:rPr>
        <w:t>salud</w:t>
      </w:r>
      <w:r w:rsidRPr="001F41BC">
        <w:rPr>
          <w:rFonts w:ascii="Verdana" w:eastAsia="Arial" w:hAnsi="Verdana" w:cs="Arial"/>
          <w:spacing w:val="-11"/>
          <w:lang w:val="es-ES"/>
        </w:rPr>
        <w:t xml:space="preserve"> </w:t>
      </w:r>
      <w:r w:rsidRPr="001F41BC">
        <w:rPr>
          <w:rFonts w:ascii="Verdana" w:eastAsia="Arial" w:hAnsi="Verdana" w:cs="Arial"/>
          <w:lang w:val="es-ES"/>
        </w:rPr>
        <w:t>y</w:t>
      </w:r>
      <w:r w:rsidRPr="001F41BC">
        <w:rPr>
          <w:rFonts w:ascii="Verdana" w:eastAsia="Arial" w:hAnsi="Verdana" w:cs="Arial"/>
          <w:spacing w:val="-11"/>
          <w:lang w:val="es-ES"/>
        </w:rPr>
        <w:t xml:space="preserve"> </w:t>
      </w:r>
      <w:r w:rsidRPr="001F41BC">
        <w:rPr>
          <w:rFonts w:ascii="Verdana" w:eastAsia="Arial" w:hAnsi="Verdana" w:cs="Arial"/>
          <w:lang w:val="es-ES"/>
        </w:rPr>
        <w:t>de</w:t>
      </w:r>
      <w:r w:rsidRPr="001F41BC">
        <w:rPr>
          <w:rFonts w:ascii="Verdana" w:eastAsia="Arial" w:hAnsi="Verdana" w:cs="Arial"/>
          <w:spacing w:val="-10"/>
          <w:lang w:val="es-ES"/>
        </w:rPr>
        <w:t xml:space="preserve"> </w:t>
      </w:r>
      <w:r w:rsidRPr="001F41BC">
        <w:rPr>
          <w:rFonts w:ascii="Verdana" w:eastAsia="Arial" w:hAnsi="Verdana" w:cs="Arial"/>
          <w:lang w:val="es-ES"/>
        </w:rPr>
        <w:t>riesgos</w:t>
      </w:r>
      <w:r w:rsidRPr="001F41BC">
        <w:rPr>
          <w:rFonts w:ascii="Verdana" w:eastAsia="Arial" w:hAnsi="Verdana" w:cs="Arial"/>
          <w:spacing w:val="-11"/>
          <w:lang w:val="es-ES"/>
        </w:rPr>
        <w:t xml:space="preserve"> </w:t>
      </w:r>
      <w:r w:rsidRPr="001F41BC">
        <w:rPr>
          <w:rFonts w:ascii="Verdana" w:eastAsia="Arial" w:hAnsi="Verdana" w:cs="Arial"/>
          <w:lang w:val="es-ES"/>
        </w:rPr>
        <w:t>laborales</w:t>
      </w:r>
      <w:r>
        <w:rPr>
          <w:rFonts w:ascii="Verdana" w:eastAsia="Arial" w:hAnsi="Verdana" w:cs="Arial"/>
          <w:spacing w:val="-11"/>
          <w:lang w:val="es-ES"/>
        </w:rPr>
        <w:t>, así como</w:t>
      </w:r>
      <w:r w:rsidRPr="001F41BC">
        <w:rPr>
          <w:rFonts w:ascii="Verdana" w:eastAsia="Arial" w:hAnsi="Verdana" w:cs="Arial"/>
          <w:spacing w:val="-11"/>
          <w:lang w:val="es-ES"/>
        </w:rPr>
        <w:t xml:space="preserve"> </w:t>
      </w:r>
      <w:r w:rsidRPr="001F41BC">
        <w:rPr>
          <w:rFonts w:ascii="Verdana" w:eastAsia="Arial" w:hAnsi="Verdana" w:cs="Arial"/>
          <w:lang w:val="es-ES"/>
        </w:rPr>
        <w:t>los</w:t>
      </w:r>
      <w:r w:rsidRPr="001F41BC">
        <w:rPr>
          <w:rFonts w:ascii="Verdana" w:eastAsia="Arial" w:hAnsi="Verdana" w:cs="Arial"/>
          <w:spacing w:val="-11"/>
          <w:lang w:val="es-ES"/>
        </w:rPr>
        <w:t xml:space="preserve"> </w:t>
      </w:r>
      <w:r w:rsidRPr="001F41BC">
        <w:rPr>
          <w:rFonts w:ascii="Verdana" w:eastAsia="Arial" w:hAnsi="Verdana" w:cs="Arial"/>
          <w:lang w:val="es-ES"/>
        </w:rPr>
        <w:t>servicios</w:t>
      </w:r>
      <w:r w:rsidRPr="001F41BC">
        <w:rPr>
          <w:rFonts w:ascii="Verdana" w:eastAsia="Arial" w:hAnsi="Verdana" w:cs="Arial"/>
          <w:spacing w:val="-10"/>
          <w:lang w:val="es-ES"/>
        </w:rPr>
        <w:t xml:space="preserve"> </w:t>
      </w:r>
      <w:r w:rsidRPr="001F41BC">
        <w:rPr>
          <w:rFonts w:ascii="Verdana" w:eastAsia="Arial" w:hAnsi="Verdana" w:cs="Arial"/>
          <w:lang w:val="es-ES"/>
        </w:rPr>
        <w:t>sociales complementarios.</w:t>
      </w:r>
    </w:p>
    <w:p w14:paraId="16F86E7A" w14:textId="77777777" w:rsidR="00C37701" w:rsidRPr="001F41BC" w:rsidRDefault="00C37701" w:rsidP="00C37701">
      <w:pPr>
        <w:widowControl w:val="0"/>
        <w:autoSpaceDE w:val="0"/>
        <w:autoSpaceDN w:val="0"/>
        <w:spacing w:line="276" w:lineRule="auto"/>
        <w:jc w:val="both"/>
        <w:rPr>
          <w:rFonts w:ascii="Verdana" w:eastAsia="Arial" w:hAnsi="Verdana" w:cs="Arial"/>
          <w:lang w:val="es-ES"/>
        </w:rPr>
      </w:pPr>
      <w:r w:rsidRPr="001F41BC">
        <w:rPr>
          <w:rFonts w:ascii="Verdana" w:eastAsia="Arial" w:hAnsi="Verdana" w:cs="Arial"/>
          <w:lang w:val="es-ES"/>
        </w:rPr>
        <w:tab/>
        <w:t>En materia de contratación estatal, el texto original del artículo 41 de la Ley 80 de 1993 dispuso que los requisitos para perfeccionar</w:t>
      </w:r>
      <w:r w:rsidRPr="001F41BC">
        <w:rPr>
          <w:rFonts w:ascii="Verdana" w:eastAsia="Arial" w:hAnsi="Verdana" w:cs="Arial"/>
          <w:spacing w:val="-7"/>
          <w:lang w:val="es-ES"/>
        </w:rPr>
        <w:t xml:space="preserve"> </w:t>
      </w:r>
      <w:r w:rsidRPr="001F41BC">
        <w:rPr>
          <w:rFonts w:ascii="Verdana" w:eastAsia="Arial" w:hAnsi="Verdana" w:cs="Arial"/>
          <w:lang w:val="es-ES"/>
        </w:rPr>
        <w:t>el</w:t>
      </w:r>
      <w:r w:rsidRPr="001F41BC">
        <w:rPr>
          <w:rFonts w:ascii="Verdana" w:eastAsia="Arial" w:hAnsi="Verdana" w:cs="Arial"/>
          <w:spacing w:val="-6"/>
          <w:lang w:val="es-ES"/>
        </w:rPr>
        <w:t xml:space="preserve"> </w:t>
      </w:r>
      <w:r w:rsidRPr="001F41BC">
        <w:rPr>
          <w:rFonts w:ascii="Verdana" w:eastAsia="Arial" w:hAnsi="Verdana" w:cs="Arial"/>
          <w:lang w:val="es-ES"/>
        </w:rPr>
        <w:t>contrato</w:t>
      </w:r>
      <w:r w:rsidRPr="001F41BC">
        <w:rPr>
          <w:rFonts w:ascii="Verdana" w:eastAsia="Arial" w:hAnsi="Verdana" w:cs="Arial"/>
          <w:spacing w:val="-7"/>
          <w:lang w:val="es-ES"/>
        </w:rPr>
        <w:t xml:space="preserve"> </w:t>
      </w:r>
      <w:r w:rsidRPr="001F41BC">
        <w:rPr>
          <w:rFonts w:ascii="Verdana" w:eastAsia="Arial" w:hAnsi="Verdana" w:cs="Arial"/>
          <w:lang w:val="es-ES"/>
        </w:rPr>
        <w:t>son:</w:t>
      </w:r>
      <w:r w:rsidRPr="001F41BC">
        <w:rPr>
          <w:rFonts w:ascii="Verdana" w:eastAsia="Arial" w:hAnsi="Verdana" w:cs="Arial"/>
          <w:spacing w:val="-7"/>
          <w:lang w:val="es-ES"/>
        </w:rPr>
        <w:t xml:space="preserve"> </w:t>
      </w:r>
      <w:r w:rsidRPr="001F41BC">
        <w:rPr>
          <w:rFonts w:ascii="Verdana" w:eastAsia="Arial" w:hAnsi="Verdana" w:cs="Arial"/>
          <w:lang w:val="es-ES"/>
        </w:rPr>
        <w:t>i)</w:t>
      </w:r>
      <w:r w:rsidRPr="001F41BC">
        <w:rPr>
          <w:rFonts w:ascii="Verdana" w:eastAsia="Arial" w:hAnsi="Verdana" w:cs="Arial"/>
          <w:spacing w:val="-7"/>
          <w:lang w:val="es-ES"/>
        </w:rPr>
        <w:t xml:space="preserve"> </w:t>
      </w:r>
      <w:r w:rsidRPr="001F41BC">
        <w:rPr>
          <w:rFonts w:ascii="Verdana" w:eastAsia="Arial" w:hAnsi="Verdana" w:cs="Arial"/>
          <w:lang w:val="es-ES"/>
        </w:rPr>
        <w:lastRenderedPageBreak/>
        <w:t>el</w:t>
      </w:r>
      <w:r w:rsidRPr="001F41BC">
        <w:rPr>
          <w:rFonts w:ascii="Verdana" w:eastAsia="Arial" w:hAnsi="Verdana" w:cs="Arial"/>
          <w:spacing w:val="-6"/>
          <w:lang w:val="es-ES"/>
        </w:rPr>
        <w:t xml:space="preserve"> </w:t>
      </w:r>
      <w:r w:rsidRPr="001F41BC">
        <w:rPr>
          <w:rFonts w:ascii="Verdana" w:eastAsia="Arial" w:hAnsi="Verdana" w:cs="Arial"/>
          <w:lang w:val="es-ES"/>
        </w:rPr>
        <w:t>acuerdo</w:t>
      </w:r>
      <w:r w:rsidRPr="001F41BC">
        <w:rPr>
          <w:rFonts w:ascii="Verdana" w:eastAsia="Arial" w:hAnsi="Verdana" w:cs="Arial"/>
          <w:spacing w:val="-6"/>
          <w:lang w:val="es-ES"/>
        </w:rPr>
        <w:t xml:space="preserve"> </w:t>
      </w:r>
      <w:r w:rsidRPr="001F41BC">
        <w:rPr>
          <w:rFonts w:ascii="Verdana" w:eastAsia="Arial" w:hAnsi="Verdana" w:cs="Arial"/>
          <w:lang w:val="es-ES"/>
        </w:rPr>
        <w:t>sobre</w:t>
      </w:r>
      <w:r w:rsidRPr="001F41BC">
        <w:rPr>
          <w:rFonts w:ascii="Verdana" w:eastAsia="Arial" w:hAnsi="Verdana" w:cs="Arial"/>
          <w:spacing w:val="-7"/>
          <w:lang w:val="es-ES"/>
        </w:rPr>
        <w:t xml:space="preserve"> </w:t>
      </w:r>
      <w:r w:rsidRPr="001F41BC">
        <w:rPr>
          <w:rFonts w:ascii="Verdana" w:eastAsia="Arial" w:hAnsi="Verdana" w:cs="Arial"/>
          <w:lang w:val="es-ES"/>
        </w:rPr>
        <w:t>el</w:t>
      </w:r>
      <w:r w:rsidRPr="001F41BC">
        <w:rPr>
          <w:rFonts w:ascii="Verdana" w:eastAsia="Arial" w:hAnsi="Verdana" w:cs="Arial"/>
          <w:spacing w:val="-6"/>
          <w:lang w:val="es-ES"/>
        </w:rPr>
        <w:t xml:space="preserve"> </w:t>
      </w:r>
      <w:r w:rsidRPr="001F41BC">
        <w:rPr>
          <w:rFonts w:ascii="Verdana" w:eastAsia="Arial" w:hAnsi="Verdana" w:cs="Arial"/>
          <w:lang w:val="es-ES"/>
        </w:rPr>
        <w:t>objeto</w:t>
      </w:r>
      <w:r w:rsidRPr="001F41BC">
        <w:rPr>
          <w:rFonts w:ascii="Verdana" w:eastAsia="Arial" w:hAnsi="Verdana" w:cs="Arial"/>
          <w:spacing w:val="-7"/>
          <w:lang w:val="es-ES"/>
        </w:rPr>
        <w:t xml:space="preserve"> </w:t>
      </w:r>
      <w:r w:rsidRPr="001F41BC">
        <w:rPr>
          <w:rFonts w:ascii="Verdana" w:eastAsia="Arial" w:hAnsi="Verdana" w:cs="Arial"/>
          <w:lang w:val="es-ES"/>
        </w:rPr>
        <w:t>y</w:t>
      </w:r>
      <w:r w:rsidRPr="001F41BC">
        <w:rPr>
          <w:rFonts w:ascii="Verdana" w:eastAsia="Arial" w:hAnsi="Verdana" w:cs="Arial"/>
          <w:spacing w:val="-7"/>
          <w:lang w:val="es-ES"/>
        </w:rPr>
        <w:t xml:space="preserve"> </w:t>
      </w:r>
      <w:r w:rsidRPr="001F41BC">
        <w:rPr>
          <w:rFonts w:ascii="Verdana" w:eastAsia="Arial" w:hAnsi="Verdana" w:cs="Arial"/>
          <w:lang w:val="es-ES"/>
        </w:rPr>
        <w:t>la</w:t>
      </w:r>
      <w:r w:rsidRPr="001F41BC">
        <w:rPr>
          <w:rFonts w:ascii="Verdana" w:eastAsia="Arial" w:hAnsi="Verdana" w:cs="Arial"/>
          <w:spacing w:val="-6"/>
          <w:lang w:val="es-ES"/>
        </w:rPr>
        <w:t xml:space="preserve"> </w:t>
      </w:r>
      <w:r w:rsidRPr="001F41BC">
        <w:rPr>
          <w:rFonts w:ascii="Verdana" w:eastAsia="Arial" w:hAnsi="Verdana" w:cs="Arial"/>
          <w:lang w:val="es-ES"/>
        </w:rPr>
        <w:t>contraprestación, y ii) que conste por escrito. Por su parte, para iniciar la ejecución se requiere: i) la constitución</w:t>
      </w:r>
      <w:r w:rsidRPr="001F41BC">
        <w:rPr>
          <w:rFonts w:ascii="Verdana" w:eastAsia="Arial" w:hAnsi="Verdana" w:cs="Arial"/>
          <w:spacing w:val="-16"/>
          <w:lang w:val="es-ES"/>
        </w:rPr>
        <w:t xml:space="preserve"> </w:t>
      </w:r>
      <w:r w:rsidRPr="001F41BC">
        <w:rPr>
          <w:rFonts w:ascii="Verdana" w:eastAsia="Arial" w:hAnsi="Verdana" w:cs="Arial"/>
          <w:lang w:val="es-ES"/>
        </w:rPr>
        <w:t>y</w:t>
      </w:r>
      <w:r w:rsidRPr="001F41BC">
        <w:rPr>
          <w:rFonts w:ascii="Verdana" w:eastAsia="Arial" w:hAnsi="Verdana" w:cs="Arial"/>
          <w:spacing w:val="-17"/>
          <w:lang w:val="es-ES"/>
        </w:rPr>
        <w:t xml:space="preserve"> </w:t>
      </w:r>
      <w:r w:rsidRPr="001F41BC">
        <w:rPr>
          <w:rFonts w:ascii="Verdana" w:eastAsia="Arial" w:hAnsi="Verdana" w:cs="Arial"/>
          <w:lang w:val="es-ES"/>
        </w:rPr>
        <w:t>aprobación</w:t>
      </w:r>
      <w:r w:rsidRPr="001F41BC">
        <w:rPr>
          <w:rFonts w:ascii="Verdana" w:eastAsia="Arial" w:hAnsi="Verdana" w:cs="Arial"/>
          <w:spacing w:val="-16"/>
          <w:lang w:val="es-ES"/>
        </w:rPr>
        <w:t xml:space="preserve"> </w:t>
      </w:r>
      <w:r w:rsidRPr="001F41BC">
        <w:rPr>
          <w:rFonts w:ascii="Verdana" w:eastAsia="Arial" w:hAnsi="Verdana" w:cs="Arial"/>
          <w:lang w:val="es-ES"/>
        </w:rPr>
        <w:t>de</w:t>
      </w:r>
      <w:r w:rsidRPr="001F41BC">
        <w:rPr>
          <w:rFonts w:ascii="Verdana" w:eastAsia="Arial" w:hAnsi="Verdana" w:cs="Arial"/>
          <w:spacing w:val="-16"/>
          <w:lang w:val="es-ES"/>
        </w:rPr>
        <w:t xml:space="preserve"> </w:t>
      </w:r>
      <w:r w:rsidRPr="001F41BC">
        <w:rPr>
          <w:rFonts w:ascii="Verdana" w:eastAsia="Arial" w:hAnsi="Verdana" w:cs="Arial"/>
          <w:lang w:val="es-ES"/>
        </w:rPr>
        <w:t>la</w:t>
      </w:r>
      <w:r w:rsidRPr="001F41BC">
        <w:rPr>
          <w:rFonts w:ascii="Verdana" w:eastAsia="Arial" w:hAnsi="Verdana" w:cs="Arial"/>
          <w:spacing w:val="-16"/>
          <w:lang w:val="es-ES"/>
        </w:rPr>
        <w:t xml:space="preserve"> </w:t>
      </w:r>
      <w:r w:rsidRPr="001F41BC">
        <w:rPr>
          <w:rFonts w:ascii="Verdana" w:eastAsia="Arial" w:hAnsi="Verdana" w:cs="Arial"/>
          <w:lang w:val="es-ES"/>
        </w:rPr>
        <w:t>garantía</w:t>
      </w:r>
      <w:r w:rsidRPr="001F41BC">
        <w:rPr>
          <w:rFonts w:ascii="Verdana" w:eastAsia="Arial" w:hAnsi="Verdana" w:cs="Arial"/>
          <w:spacing w:val="-16"/>
          <w:lang w:val="es-ES"/>
        </w:rPr>
        <w:t xml:space="preserve"> </w:t>
      </w:r>
      <w:r w:rsidRPr="001F41BC">
        <w:rPr>
          <w:rFonts w:ascii="Verdana" w:eastAsia="Arial" w:hAnsi="Verdana" w:cs="Arial"/>
          <w:lang w:val="es-ES"/>
        </w:rPr>
        <w:t>y</w:t>
      </w:r>
      <w:r w:rsidRPr="001F41BC">
        <w:rPr>
          <w:rFonts w:ascii="Verdana" w:eastAsia="Arial" w:hAnsi="Verdana" w:cs="Arial"/>
          <w:spacing w:val="-16"/>
          <w:lang w:val="es-ES"/>
        </w:rPr>
        <w:t xml:space="preserve"> </w:t>
      </w:r>
      <w:r w:rsidRPr="001F41BC">
        <w:rPr>
          <w:rFonts w:ascii="Verdana" w:eastAsia="Arial" w:hAnsi="Verdana" w:cs="Arial"/>
          <w:lang w:val="es-ES"/>
        </w:rPr>
        <w:t>ii)</w:t>
      </w:r>
      <w:r w:rsidRPr="001F41BC">
        <w:rPr>
          <w:rFonts w:ascii="Verdana" w:eastAsia="Arial" w:hAnsi="Verdana" w:cs="Arial"/>
          <w:spacing w:val="-16"/>
          <w:lang w:val="es-ES"/>
        </w:rPr>
        <w:t xml:space="preserve"> </w:t>
      </w:r>
      <w:r w:rsidRPr="001F41BC">
        <w:rPr>
          <w:rFonts w:ascii="Verdana" w:eastAsia="Arial" w:hAnsi="Verdana" w:cs="Arial"/>
          <w:lang w:val="es-ES"/>
        </w:rPr>
        <w:t>la</w:t>
      </w:r>
      <w:r w:rsidRPr="001F41BC">
        <w:rPr>
          <w:rFonts w:ascii="Verdana" w:eastAsia="Arial" w:hAnsi="Verdana" w:cs="Arial"/>
          <w:spacing w:val="-16"/>
          <w:lang w:val="es-ES"/>
        </w:rPr>
        <w:t xml:space="preserve"> </w:t>
      </w:r>
      <w:r w:rsidRPr="001F41BC">
        <w:rPr>
          <w:rFonts w:ascii="Verdana" w:eastAsia="Arial" w:hAnsi="Verdana" w:cs="Arial"/>
          <w:lang w:val="es-ES"/>
        </w:rPr>
        <w:t>existencia</w:t>
      </w:r>
      <w:r w:rsidRPr="001F41BC">
        <w:rPr>
          <w:rFonts w:ascii="Verdana" w:eastAsia="Arial" w:hAnsi="Verdana" w:cs="Arial"/>
          <w:spacing w:val="-16"/>
          <w:lang w:val="es-ES"/>
        </w:rPr>
        <w:t xml:space="preserve"> </w:t>
      </w:r>
      <w:r w:rsidRPr="001F41BC">
        <w:rPr>
          <w:rFonts w:ascii="Verdana" w:eastAsia="Arial" w:hAnsi="Verdana" w:cs="Arial"/>
          <w:lang w:val="es-ES"/>
        </w:rPr>
        <w:t>del</w:t>
      </w:r>
      <w:r w:rsidRPr="001F41BC">
        <w:rPr>
          <w:rFonts w:ascii="Verdana" w:eastAsia="Arial" w:hAnsi="Verdana" w:cs="Arial"/>
          <w:spacing w:val="-16"/>
          <w:lang w:val="es-ES"/>
        </w:rPr>
        <w:t xml:space="preserve"> </w:t>
      </w:r>
      <w:r w:rsidRPr="001F41BC">
        <w:rPr>
          <w:rFonts w:ascii="Verdana" w:eastAsia="Arial" w:hAnsi="Verdana" w:cs="Arial"/>
          <w:lang w:val="es-ES"/>
        </w:rPr>
        <w:t>registro</w:t>
      </w:r>
      <w:r w:rsidRPr="001F41BC">
        <w:rPr>
          <w:rFonts w:ascii="Verdana" w:eastAsia="Arial" w:hAnsi="Verdana" w:cs="Arial"/>
          <w:spacing w:val="-16"/>
          <w:lang w:val="es-ES"/>
        </w:rPr>
        <w:t xml:space="preserve"> </w:t>
      </w:r>
      <w:r w:rsidRPr="001F41BC">
        <w:rPr>
          <w:rFonts w:ascii="Verdana" w:eastAsia="Arial" w:hAnsi="Verdana" w:cs="Arial"/>
          <w:lang w:val="es-ES"/>
        </w:rPr>
        <w:t>presupuestal,</w:t>
      </w:r>
      <w:r w:rsidRPr="001F41BC">
        <w:rPr>
          <w:rFonts w:ascii="Verdana" w:eastAsia="Arial" w:hAnsi="Verdana" w:cs="Arial"/>
          <w:spacing w:val="-16"/>
          <w:lang w:val="es-ES"/>
        </w:rPr>
        <w:t xml:space="preserve"> </w:t>
      </w:r>
      <w:r w:rsidRPr="001F41BC">
        <w:rPr>
          <w:rFonts w:ascii="Verdana" w:eastAsia="Arial" w:hAnsi="Verdana" w:cs="Arial"/>
          <w:lang w:val="es-ES"/>
        </w:rPr>
        <w:t>salvo que se tratara de la contratación con recursos de vigencias fiscales futuras, de conformidad con lo previsto en la Ley Orgánica del Presupuesto, condiciones que solo son posibles cumplir una vez se haya suscrito el contrato. Posteriormente, el artículo 23 de la Ley 1150 de 2007 modificó el inciso segundo del artículo 41 de la Ley 80 de 1993, incluyendo la obligación, para los proponentes y contratistas, de acreditar estar a paz y salvo con los aportes parafiscales al Sistema de Seguridad Social</w:t>
      </w:r>
      <w:r w:rsidRPr="001F41BC">
        <w:rPr>
          <w:rFonts w:ascii="Verdana" w:eastAsia="Arial" w:hAnsi="Verdana" w:cs="Arial"/>
          <w:spacing w:val="-26"/>
          <w:lang w:val="es-ES"/>
        </w:rPr>
        <w:t xml:space="preserve"> </w:t>
      </w:r>
      <w:r w:rsidRPr="001F41BC">
        <w:rPr>
          <w:rFonts w:ascii="Verdana" w:eastAsia="Arial" w:hAnsi="Verdana" w:cs="Arial"/>
          <w:lang w:val="es-ES"/>
        </w:rPr>
        <w:t>Integral.</w:t>
      </w:r>
    </w:p>
    <w:p w14:paraId="53B2F983" w14:textId="77777777" w:rsidR="00C37701" w:rsidRPr="001F41BC" w:rsidRDefault="00C37701" w:rsidP="00C37701">
      <w:pPr>
        <w:widowControl w:val="0"/>
        <w:autoSpaceDE w:val="0"/>
        <w:autoSpaceDN w:val="0"/>
        <w:spacing w:before="120" w:line="276" w:lineRule="auto"/>
        <w:ind w:firstLine="709"/>
        <w:jc w:val="both"/>
        <w:rPr>
          <w:rFonts w:ascii="Verdana" w:eastAsia="Arial" w:hAnsi="Verdana" w:cs="Arial"/>
          <w:lang w:val="es-ES"/>
        </w:rPr>
      </w:pPr>
      <w:r w:rsidRPr="001F41BC">
        <w:rPr>
          <w:rFonts w:ascii="Verdana" w:eastAsia="Arial" w:hAnsi="Verdana" w:cs="Arial"/>
          <w:lang w:val="es-ES"/>
        </w:rPr>
        <w:t>Por su parte, el artículo 50 de la</w:t>
      </w:r>
      <w:r w:rsidRPr="001F41BC">
        <w:rPr>
          <w:rFonts w:ascii="Verdana" w:eastAsia="Arial" w:hAnsi="Verdana" w:cs="Arial"/>
          <w:spacing w:val="-17"/>
          <w:lang w:val="es-ES"/>
        </w:rPr>
        <w:t xml:space="preserve"> </w:t>
      </w:r>
      <w:r w:rsidRPr="001F41BC">
        <w:rPr>
          <w:rFonts w:ascii="Verdana" w:eastAsia="Arial" w:hAnsi="Verdana" w:cs="Arial"/>
          <w:lang w:val="es-ES"/>
        </w:rPr>
        <w:t>Ley</w:t>
      </w:r>
      <w:r w:rsidRPr="001F41BC">
        <w:rPr>
          <w:rFonts w:ascii="Verdana" w:eastAsia="Arial" w:hAnsi="Verdana" w:cs="Arial"/>
          <w:spacing w:val="-16"/>
          <w:lang w:val="es-ES"/>
        </w:rPr>
        <w:t xml:space="preserve"> </w:t>
      </w:r>
      <w:r w:rsidRPr="001F41BC">
        <w:rPr>
          <w:rFonts w:ascii="Verdana" w:eastAsia="Arial" w:hAnsi="Verdana" w:cs="Arial"/>
          <w:lang w:val="es-ES"/>
        </w:rPr>
        <w:t>789</w:t>
      </w:r>
      <w:r w:rsidRPr="001F41BC">
        <w:rPr>
          <w:rFonts w:ascii="Verdana" w:eastAsia="Arial" w:hAnsi="Verdana" w:cs="Arial"/>
          <w:spacing w:val="-16"/>
          <w:lang w:val="es-ES"/>
        </w:rPr>
        <w:t xml:space="preserve"> </w:t>
      </w:r>
      <w:r w:rsidRPr="001F41BC">
        <w:rPr>
          <w:rFonts w:ascii="Verdana" w:eastAsia="Arial" w:hAnsi="Verdana" w:cs="Arial"/>
          <w:lang w:val="es-ES"/>
        </w:rPr>
        <w:t>de</w:t>
      </w:r>
      <w:r w:rsidRPr="001F41BC">
        <w:rPr>
          <w:rFonts w:ascii="Verdana" w:eastAsia="Arial" w:hAnsi="Verdana" w:cs="Arial"/>
          <w:spacing w:val="-17"/>
          <w:lang w:val="es-ES"/>
        </w:rPr>
        <w:t xml:space="preserve"> </w:t>
      </w:r>
      <w:r w:rsidRPr="001F41BC">
        <w:rPr>
          <w:rFonts w:ascii="Verdana" w:eastAsia="Arial" w:hAnsi="Verdana" w:cs="Arial"/>
          <w:lang w:val="es-ES"/>
        </w:rPr>
        <w:t>2002</w:t>
      </w:r>
      <w:r w:rsidRPr="001F41BC">
        <w:rPr>
          <w:rFonts w:ascii="Verdana" w:eastAsia="Arial" w:hAnsi="Verdana" w:cs="Arial"/>
          <w:spacing w:val="-16"/>
          <w:lang w:val="es-ES"/>
        </w:rPr>
        <w:t xml:space="preserve"> </w:t>
      </w:r>
      <w:r w:rsidRPr="001F41BC">
        <w:rPr>
          <w:rFonts w:ascii="Verdana" w:eastAsia="Arial" w:hAnsi="Verdana" w:cs="Arial"/>
          <w:lang w:val="es-ES"/>
        </w:rPr>
        <w:t>dispuso como</w:t>
      </w:r>
      <w:r w:rsidRPr="001F41BC">
        <w:rPr>
          <w:rFonts w:ascii="Verdana" w:eastAsia="Arial" w:hAnsi="Verdana" w:cs="Arial"/>
          <w:spacing w:val="-16"/>
          <w:lang w:val="es-ES"/>
        </w:rPr>
        <w:t xml:space="preserve"> </w:t>
      </w:r>
      <w:r w:rsidRPr="001F41BC">
        <w:rPr>
          <w:rFonts w:ascii="Verdana" w:eastAsia="Arial" w:hAnsi="Verdana" w:cs="Arial"/>
          <w:lang w:val="es-ES"/>
        </w:rPr>
        <w:t>obligación</w:t>
      </w:r>
      <w:r w:rsidRPr="001F41BC">
        <w:rPr>
          <w:rFonts w:ascii="Verdana" w:eastAsia="Arial" w:hAnsi="Verdana" w:cs="Arial"/>
          <w:spacing w:val="-16"/>
          <w:lang w:val="es-ES"/>
        </w:rPr>
        <w:t xml:space="preserve"> </w:t>
      </w:r>
      <w:r w:rsidRPr="001F41BC">
        <w:rPr>
          <w:rFonts w:ascii="Verdana" w:eastAsia="Arial" w:hAnsi="Verdana" w:cs="Arial"/>
          <w:lang w:val="es-ES"/>
        </w:rPr>
        <w:t>de</w:t>
      </w:r>
      <w:r w:rsidRPr="001F41BC">
        <w:rPr>
          <w:rFonts w:ascii="Verdana" w:eastAsia="Arial" w:hAnsi="Verdana" w:cs="Arial"/>
          <w:spacing w:val="-16"/>
          <w:lang w:val="es-ES"/>
        </w:rPr>
        <w:t xml:space="preserve"> </w:t>
      </w:r>
      <w:r w:rsidRPr="001F41BC">
        <w:rPr>
          <w:rFonts w:ascii="Verdana" w:eastAsia="Arial" w:hAnsi="Verdana" w:cs="Arial"/>
          <w:lang w:val="es-ES"/>
        </w:rPr>
        <w:t>quien</w:t>
      </w:r>
      <w:r w:rsidRPr="001F41BC">
        <w:rPr>
          <w:rFonts w:ascii="Verdana" w:eastAsia="Arial" w:hAnsi="Verdana" w:cs="Arial"/>
          <w:spacing w:val="-17"/>
          <w:lang w:val="es-ES"/>
        </w:rPr>
        <w:t xml:space="preserve"> </w:t>
      </w:r>
      <w:r w:rsidRPr="001F41BC">
        <w:rPr>
          <w:rFonts w:ascii="Verdana" w:eastAsia="Arial" w:hAnsi="Verdana" w:cs="Arial"/>
          <w:lang w:val="es-ES"/>
        </w:rPr>
        <w:t xml:space="preserve">quiere </w:t>
      </w:r>
      <w:r w:rsidRPr="001F41BC">
        <w:rPr>
          <w:rFonts w:ascii="Verdana" w:eastAsia="Arial" w:hAnsi="Verdana" w:cs="Arial"/>
          <w:i/>
          <w:iCs/>
          <w:lang w:val="es-ES"/>
        </w:rPr>
        <w:t>celebrar, renovar o liquidar</w:t>
      </w:r>
      <w:r w:rsidRPr="001F41BC">
        <w:rPr>
          <w:rFonts w:ascii="Verdana" w:eastAsia="Arial" w:hAnsi="Verdana" w:cs="Arial"/>
          <w:lang w:val="es-ES"/>
        </w:rPr>
        <w:t xml:space="preserve"> contratos de cualquier naturaleza con entidades del sector público, cumplir con las obligaciones a los sistemas de salud, riesgos profesionales, pensiones y aportes a la Caja de Compensación Familiar, Instituto Colombiano de Bienestar Familiar y Servicio Nacional de Aprendizaje. Asimismo, faculta a la entidad estatal, al momento de </w:t>
      </w:r>
      <w:r w:rsidRPr="001F41BC">
        <w:rPr>
          <w:rFonts w:ascii="Verdana" w:eastAsia="Arial" w:hAnsi="Verdana" w:cs="Arial"/>
          <w:i/>
          <w:iCs/>
          <w:lang w:val="es-ES"/>
        </w:rPr>
        <w:t>liquidar</w:t>
      </w:r>
      <w:r w:rsidRPr="001F41BC">
        <w:rPr>
          <w:rFonts w:ascii="Verdana" w:eastAsia="Arial" w:hAnsi="Verdana" w:cs="Arial"/>
          <w:lang w:val="es-ES"/>
        </w:rPr>
        <w:t xml:space="preserve"> los contratos, para verificar y dejar constancia del cumplimiento de las obligaciones del contratista frente a los aportes mencionados durante</w:t>
      </w:r>
      <w:r w:rsidRPr="001F41BC">
        <w:rPr>
          <w:rFonts w:ascii="Verdana" w:eastAsia="Arial" w:hAnsi="Verdana" w:cs="Arial"/>
          <w:spacing w:val="-5"/>
          <w:lang w:val="es-ES"/>
        </w:rPr>
        <w:t xml:space="preserve"> </w:t>
      </w:r>
      <w:r w:rsidRPr="001F41BC">
        <w:rPr>
          <w:rFonts w:ascii="Verdana" w:eastAsia="Arial" w:hAnsi="Verdana" w:cs="Arial"/>
          <w:lang w:val="es-ES"/>
        </w:rPr>
        <w:t>toda</w:t>
      </w:r>
      <w:r w:rsidRPr="001F41BC">
        <w:rPr>
          <w:rFonts w:ascii="Verdana" w:eastAsia="Arial" w:hAnsi="Verdana" w:cs="Arial"/>
          <w:spacing w:val="-4"/>
          <w:lang w:val="es-ES"/>
        </w:rPr>
        <w:t xml:space="preserve"> </w:t>
      </w:r>
      <w:r w:rsidRPr="001F41BC">
        <w:rPr>
          <w:rFonts w:ascii="Verdana" w:eastAsia="Arial" w:hAnsi="Verdana" w:cs="Arial"/>
          <w:lang w:val="es-ES"/>
        </w:rPr>
        <w:t>su</w:t>
      </w:r>
      <w:r w:rsidRPr="001F41BC">
        <w:rPr>
          <w:rFonts w:ascii="Verdana" w:eastAsia="Arial" w:hAnsi="Verdana" w:cs="Arial"/>
          <w:spacing w:val="-5"/>
          <w:lang w:val="es-ES"/>
        </w:rPr>
        <w:t xml:space="preserve"> </w:t>
      </w:r>
      <w:r w:rsidRPr="001F41BC">
        <w:rPr>
          <w:rFonts w:ascii="Verdana" w:eastAsia="Arial" w:hAnsi="Verdana" w:cs="Arial"/>
          <w:lang w:val="es-ES"/>
        </w:rPr>
        <w:t>vigencia,</w:t>
      </w:r>
      <w:r w:rsidRPr="001F41BC">
        <w:rPr>
          <w:rFonts w:ascii="Verdana" w:eastAsia="Arial" w:hAnsi="Verdana" w:cs="Arial"/>
          <w:spacing w:val="-4"/>
          <w:lang w:val="es-ES"/>
        </w:rPr>
        <w:t xml:space="preserve"> </w:t>
      </w:r>
      <w:r w:rsidRPr="001F41BC">
        <w:rPr>
          <w:rFonts w:ascii="Verdana" w:eastAsia="Arial" w:hAnsi="Verdana" w:cs="Arial"/>
          <w:lang w:val="es-ES"/>
        </w:rPr>
        <w:t>estableciendo</w:t>
      </w:r>
      <w:r w:rsidRPr="001F41BC">
        <w:rPr>
          <w:rFonts w:ascii="Verdana" w:eastAsia="Arial" w:hAnsi="Verdana" w:cs="Arial"/>
          <w:spacing w:val="-5"/>
          <w:lang w:val="es-ES"/>
        </w:rPr>
        <w:t xml:space="preserve"> </w:t>
      </w:r>
      <w:r w:rsidRPr="001F41BC">
        <w:rPr>
          <w:rFonts w:ascii="Verdana" w:eastAsia="Arial" w:hAnsi="Verdana" w:cs="Arial"/>
          <w:lang w:val="es-ES"/>
        </w:rPr>
        <w:t>una</w:t>
      </w:r>
      <w:r w:rsidRPr="001F41BC">
        <w:rPr>
          <w:rFonts w:ascii="Verdana" w:eastAsia="Arial" w:hAnsi="Verdana" w:cs="Arial"/>
          <w:spacing w:val="-4"/>
          <w:lang w:val="es-ES"/>
        </w:rPr>
        <w:t xml:space="preserve"> </w:t>
      </w:r>
      <w:r w:rsidRPr="001F41BC">
        <w:rPr>
          <w:rFonts w:ascii="Verdana" w:eastAsia="Arial" w:hAnsi="Verdana" w:cs="Arial"/>
          <w:lang w:val="es-ES"/>
        </w:rPr>
        <w:t>correcta</w:t>
      </w:r>
      <w:r w:rsidRPr="001F41BC">
        <w:rPr>
          <w:rFonts w:ascii="Verdana" w:eastAsia="Arial" w:hAnsi="Verdana" w:cs="Arial"/>
          <w:spacing w:val="-4"/>
          <w:lang w:val="es-ES"/>
        </w:rPr>
        <w:t xml:space="preserve"> </w:t>
      </w:r>
      <w:r w:rsidRPr="001F41BC">
        <w:rPr>
          <w:rFonts w:ascii="Verdana" w:eastAsia="Arial" w:hAnsi="Verdana" w:cs="Arial"/>
          <w:lang w:val="es-ES"/>
        </w:rPr>
        <w:t>relación</w:t>
      </w:r>
      <w:r w:rsidRPr="001F41BC">
        <w:rPr>
          <w:rFonts w:ascii="Verdana" w:eastAsia="Arial" w:hAnsi="Verdana" w:cs="Arial"/>
          <w:spacing w:val="-5"/>
          <w:lang w:val="es-ES"/>
        </w:rPr>
        <w:t xml:space="preserve"> </w:t>
      </w:r>
      <w:r w:rsidRPr="001F41BC">
        <w:rPr>
          <w:rFonts w:ascii="Verdana" w:eastAsia="Arial" w:hAnsi="Verdana" w:cs="Arial"/>
          <w:lang w:val="es-ES"/>
        </w:rPr>
        <w:t>entre</w:t>
      </w:r>
      <w:r w:rsidRPr="001F41BC">
        <w:rPr>
          <w:rFonts w:ascii="Verdana" w:eastAsia="Arial" w:hAnsi="Verdana" w:cs="Arial"/>
          <w:spacing w:val="-4"/>
          <w:lang w:val="es-ES"/>
        </w:rPr>
        <w:t xml:space="preserve"> </w:t>
      </w:r>
      <w:r w:rsidRPr="001F41BC">
        <w:rPr>
          <w:rFonts w:ascii="Verdana" w:eastAsia="Arial" w:hAnsi="Verdana" w:cs="Arial"/>
          <w:lang w:val="es-ES"/>
        </w:rPr>
        <w:t>el</w:t>
      </w:r>
      <w:r w:rsidRPr="001F41BC">
        <w:rPr>
          <w:rFonts w:ascii="Verdana" w:eastAsia="Arial" w:hAnsi="Verdana" w:cs="Arial"/>
          <w:spacing w:val="-5"/>
          <w:lang w:val="es-ES"/>
        </w:rPr>
        <w:t xml:space="preserve"> </w:t>
      </w:r>
      <w:r w:rsidRPr="001F41BC">
        <w:rPr>
          <w:rFonts w:ascii="Verdana" w:eastAsia="Arial" w:hAnsi="Verdana" w:cs="Arial"/>
          <w:lang w:val="es-ES"/>
        </w:rPr>
        <w:t>monto</w:t>
      </w:r>
      <w:r w:rsidRPr="001F41BC">
        <w:rPr>
          <w:rFonts w:ascii="Verdana" w:eastAsia="Arial" w:hAnsi="Verdana" w:cs="Arial"/>
          <w:spacing w:val="-4"/>
          <w:lang w:val="es-ES"/>
        </w:rPr>
        <w:t xml:space="preserve"> </w:t>
      </w:r>
      <w:r w:rsidRPr="001F41BC">
        <w:rPr>
          <w:rFonts w:ascii="Verdana" w:eastAsia="Arial" w:hAnsi="Verdana" w:cs="Arial"/>
          <w:lang w:val="es-ES"/>
        </w:rPr>
        <w:t>cancelado y las sumas que debió</w:t>
      </w:r>
      <w:r w:rsidRPr="001F41BC">
        <w:rPr>
          <w:rFonts w:ascii="Verdana" w:eastAsia="Arial" w:hAnsi="Verdana" w:cs="Arial"/>
          <w:spacing w:val="-6"/>
          <w:lang w:val="es-ES"/>
        </w:rPr>
        <w:t xml:space="preserve"> </w:t>
      </w:r>
      <w:r w:rsidRPr="001F41BC">
        <w:rPr>
          <w:rFonts w:ascii="Verdana" w:eastAsia="Arial" w:hAnsi="Verdana" w:cs="Arial"/>
          <w:lang w:val="es-ES"/>
        </w:rPr>
        <w:t>cotizar</w:t>
      </w:r>
      <w:r w:rsidRPr="001F41BC">
        <w:rPr>
          <w:rStyle w:val="Refdenotaalpie"/>
          <w:rFonts w:ascii="Verdana" w:eastAsia="Arial" w:hAnsi="Verdana" w:cs="Arial"/>
          <w:lang w:val="es-ES"/>
        </w:rPr>
        <w:footnoteReference w:id="2"/>
      </w:r>
      <w:r w:rsidRPr="001F41BC">
        <w:rPr>
          <w:rFonts w:ascii="Verdana" w:eastAsia="Arial" w:hAnsi="Verdana" w:cs="Arial"/>
          <w:lang w:val="es-ES"/>
        </w:rPr>
        <w:t>.</w:t>
      </w:r>
    </w:p>
    <w:p w14:paraId="141B0377" w14:textId="77777777" w:rsidR="00C37701" w:rsidRPr="001F41BC" w:rsidRDefault="00C37701" w:rsidP="00C37701">
      <w:pPr>
        <w:widowControl w:val="0"/>
        <w:autoSpaceDE w:val="0"/>
        <w:autoSpaceDN w:val="0"/>
        <w:spacing w:before="120" w:line="276" w:lineRule="auto"/>
        <w:ind w:firstLine="709"/>
        <w:jc w:val="both"/>
        <w:rPr>
          <w:rFonts w:ascii="Verdana" w:eastAsia="Arial" w:hAnsi="Verdana" w:cs="Arial"/>
          <w:lang w:val="es-ES"/>
        </w:rPr>
      </w:pPr>
      <w:r w:rsidRPr="001F41BC">
        <w:rPr>
          <w:rFonts w:ascii="Verdana" w:eastAsia="Arial" w:hAnsi="Verdana" w:cs="Arial"/>
          <w:lang w:val="es-ES"/>
        </w:rPr>
        <w:lastRenderedPageBreak/>
        <w:t>Además, aclara que las personas jurídicas que quieran celebrar contratos con las entidades estatales deben acreditar el pago al sistema de seguridad social de sus empleados, por eso presentarán una certificación expedida por el revisor fiscal o por el representante legal, durante un lapso equivalente al que exija el respectivo régimen de contratación para que se hubiera constituido la sociedad, el cual no será inferior a los seis (6) meses anteriores a la celebración del contrato. En este sentido, la ley señala que</w:t>
      </w:r>
      <w:r w:rsidRPr="001F41BC">
        <w:rPr>
          <w:rFonts w:ascii="Verdana" w:eastAsia="Arial" w:hAnsi="Verdana" w:cs="Arial"/>
          <w:spacing w:val="-10"/>
          <w:lang w:val="es-ES"/>
        </w:rPr>
        <w:t xml:space="preserve"> </w:t>
      </w:r>
      <w:r w:rsidRPr="001F41BC">
        <w:rPr>
          <w:rFonts w:ascii="Verdana" w:eastAsia="Arial" w:hAnsi="Verdana" w:cs="Arial"/>
          <w:i/>
          <w:iCs/>
          <w:lang w:val="es-ES"/>
        </w:rPr>
        <w:t>para</w:t>
      </w:r>
      <w:r w:rsidRPr="001F41BC">
        <w:rPr>
          <w:rFonts w:ascii="Verdana" w:eastAsia="Arial" w:hAnsi="Verdana" w:cs="Arial"/>
          <w:i/>
          <w:iCs/>
          <w:spacing w:val="-10"/>
          <w:lang w:val="es-ES"/>
        </w:rPr>
        <w:t xml:space="preserve"> </w:t>
      </w:r>
      <w:r w:rsidRPr="001F41BC">
        <w:rPr>
          <w:rFonts w:ascii="Verdana" w:eastAsia="Arial" w:hAnsi="Verdana" w:cs="Arial"/>
          <w:i/>
          <w:iCs/>
          <w:lang w:val="es-ES"/>
        </w:rPr>
        <w:t>presentar</w:t>
      </w:r>
      <w:r w:rsidRPr="001F41BC">
        <w:rPr>
          <w:rFonts w:ascii="Verdana" w:eastAsia="Arial" w:hAnsi="Verdana" w:cs="Arial"/>
          <w:i/>
          <w:iCs/>
          <w:spacing w:val="-10"/>
          <w:lang w:val="es-ES"/>
        </w:rPr>
        <w:t xml:space="preserve"> </w:t>
      </w:r>
      <w:r w:rsidRPr="001F41BC">
        <w:rPr>
          <w:rFonts w:ascii="Verdana" w:eastAsia="Arial" w:hAnsi="Verdana" w:cs="Arial"/>
          <w:i/>
          <w:iCs/>
          <w:lang w:val="es-ES"/>
        </w:rPr>
        <w:t>la</w:t>
      </w:r>
      <w:r w:rsidRPr="001F41BC">
        <w:rPr>
          <w:rFonts w:ascii="Verdana" w:eastAsia="Arial" w:hAnsi="Verdana" w:cs="Arial"/>
          <w:i/>
          <w:iCs/>
          <w:spacing w:val="-10"/>
          <w:lang w:val="es-ES"/>
        </w:rPr>
        <w:t xml:space="preserve"> </w:t>
      </w:r>
      <w:r w:rsidRPr="001F41BC">
        <w:rPr>
          <w:rFonts w:ascii="Verdana" w:eastAsia="Arial" w:hAnsi="Verdana" w:cs="Arial"/>
          <w:i/>
          <w:iCs/>
          <w:lang w:val="es-ES"/>
        </w:rPr>
        <w:t>oferta</w:t>
      </w:r>
      <w:r w:rsidRPr="001F41BC">
        <w:rPr>
          <w:rFonts w:ascii="Verdana" w:eastAsia="Arial" w:hAnsi="Verdana" w:cs="Arial"/>
          <w:spacing w:val="-9"/>
          <w:lang w:val="es-ES"/>
        </w:rPr>
        <w:t xml:space="preserve"> </w:t>
      </w:r>
      <w:r w:rsidRPr="001F41BC">
        <w:rPr>
          <w:rFonts w:ascii="Verdana" w:eastAsia="Arial" w:hAnsi="Verdana" w:cs="Arial"/>
          <w:lang w:val="es-ES"/>
        </w:rPr>
        <w:t>las</w:t>
      </w:r>
      <w:r w:rsidRPr="001F41BC">
        <w:rPr>
          <w:rFonts w:ascii="Verdana" w:eastAsia="Arial" w:hAnsi="Verdana" w:cs="Arial"/>
          <w:spacing w:val="-10"/>
          <w:lang w:val="es-ES"/>
        </w:rPr>
        <w:t xml:space="preserve"> </w:t>
      </w:r>
      <w:r w:rsidRPr="001F41BC">
        <w:rPr>
          <w:rFonts w:ascii="Verdana" w:eastAsia="Arial" w:hAnsi="Verdana" w:cs="Arial"/>
          <w:lang w:val="es-ES"/>
        </w:rPr>
        <w:t>personas</w:t>
      </w:r>
      <w:r w:rsidRPr="001F41BC">
        <w:rPr>
          <w:rFonts w:ascii="Verdana" w:eastAsia="Arial" w:hAnsi="Verdana" w:cs="Arial"/>
          <w:spacing w:val="-10"/>
          <w:lang w:val="es-ES"/>
        </w:rPr>
        <w:t xml:space="preserve"> </w:t>
      </w:r>
      <w:r w:rsidRPr="001F41BC">
        <w:rPr>
          <w:rFonts w:ascii="Verdana" w:eastAsia="Arial" w:hAnsi="Verdana" w:cs="Arial"/>
          <w:lang w:val="es-ES"/>
        </w:rPr>
        <w:t>jurídicas</w:t>
      </w:r>
      <w:r w:rsidRPr="001F41BC">
        <w:rPr>
          <w:rFonts w:ascii="Verdana" w:eastAsia="Arial" w:hAnsi="Verdana" w:cs="Arial"/>
          <w:spacing w:val="-10"/>
          <w:lang w:val="es-ES"/>
        </w:rPr>
        <w:t xml:space="preserve"> </w:t>
      </w:r>
      <w:r w:rsidRPr="001F41BC">
        <w:rPr>
          <w:rFonts w:ascii="Verdana" w:eastAsia="Arial" w:hAnsi="Verdana" w:cs="Arial"/>
          <w:lang w:val="es-ES"/>
        </w:rPr>
        <w:t>deben</w:t>
      </w:r>
      <w:r w:rsidRPr="001F41BC">
        <w:rPr>
          <w:rFonts w:ascii="Verdana" w:eastAsia="Arial" w:hAnsi="Verdana" w:cs="Arial"/>
          <w:spacing w:val="-9"/>
          <w:lang w:val="es-ES"/>
        </w:rPr>
        <w:t xml:space="preserve"> </w:t>
      </w:r>
      <w:r w:rsidRPr="001F41BC">
        <w:rPr>
          <w:rFonts w:ascii="Verdana" w:eastAsia="Arial" w:hAnsi="Verdana" w:cs="Arial"/>
          <w:lang w:val="es-ES"/>
        </w:rPr>
        <w:t>acreditar</w:t>
      </w:r>
      <w:r w:rsidRPr="001F41BC">
        <w:rPr>
          <w:rFonts w:ascii="Verdana" w:eastAsia="Arial" w:hAnsi="Verdana" w:cs="Arial"/>
          <w:spacing w:val="-10"/>
          <w:lang w:val="es-ES"/>
        </w:rPr>
        <w:t xml:space="preserve"> </w:t>
      </w:r>
      <w:r w:rsidRPr="001F41BC">
        <w:rPr>
          <w:rFonts w:ascii="Verdana" w:eastAsia="Arial" w:hAnsi="Verdana" w:cs="Arial"/>
          <w:lang w:val="es-ES"/>
        </w:rPr>
        <w:t>el</w:t>
      </w:r>
      <w:r w:rsidRPr="001F41BC">
        <w:rPr>
          <w:rFonts w:ascii="Verdana" w:eastAsia="Arial" w:hAnsi="Verdana" w:cs="Arial"/>
          <w:spacing w:val="-10"/>
          <w:lang w:val="es-ES"/>
        </w:rPr>
        <w:t xml:space="preserve"> </w:t>
      </w:r>
      <w:r w:rsidRPr="001F41BC">
        <w:rPr>
          <w:rFonts w:ascii="Verdana" w:eastAsia="Arial" w:hAnsi="Verdana" w:cs="Arial"/>
          <w:lang w:val="es-ES"/>
        </w:rPr>
        <w:t>requisito</w:t>
      </w:r>
      <w:r w:rsidRPr="001F41BC">
        <w:rPr>
          <w:rFonts w:ascii="Verdana" w:eastAsia="Arial" w:hAnsi="Verdana" w:cs="Arial"/>
          <w:spacing w:val="-10"/>
          <w:lang w:val="es-ES"/>
        </w:rPr>
        <w:t xml:space="preserve"> </w:t>
      </w:r>
      <w:r w:rsidRPr="001F41BC">
        <w:rPr>
          <w:rFonts w:ascii="Verdana" w:eastAsia="Arial" w:hAnsi="Verdana" w:cs="Arial"/>
          <w:lang w:val="es-ES"/>
        </w:rPr>
        <w:t>señalado anteriormente.</w:t>
      </w:r>
    </w:p>
    <w:p w14:paraId="6B609CC8" w14:textId="77777777" w:rsidR="00C37701" w:rsidRPr="001F41BC" w:rsidRDefault="00C37701" w:rsidP="00C37701">
      <w:pPr>
        <w:widowControl w:val="0"/>
        <w:autoSpaceDE w:val="0"/>
        <w:autoSpaceDN w:val="0"/>
        <w:spacing w:before="70" w:after="0" w:line="276" w:lineRule="auto"/>
        <w:ind w:firstLine="708"/>
        <w:jc w:val="both"/>
        <w:rPr>
          <w:rFonts w:ascii="Verdana" w:eastAsia="Arial" w:hAnsi="Verdana" w:cs="Arial"/>
          <w:lang w:val="es-ES"/>
        </w:rPr>
      </w:pPr>
      <w:r w:rsidRPr="001F41BC">
        <w:rPr>
          <w:rFonts w:ascii="Verdana" w:eastAsia="Arial" w:hAnsi="Verdana" w:cs="Arial"/>
          <w:lang w:val="es-ES"/>
        </w:rPr>
        <w:t>Esta norma fue analizada por la Sección Tercera del Consejo de Estado, que consideró</w:t>
      </w:r>
      <w:r w:rsidRPr="001F41BC">
        <w:rPr>
          <w:rFonts w:ascii="Verdana" w:eastAsia="Arial" w:hAnsi="Verdana" w:cs="Arial"/>
          <w:spacing w:val="-6"/>
          <w:lang w:val="es-ES"/>
        </w:rPr>
        <w:t xml:space="preserve"> </w:t>
      </w:r>
      <w:r w:rsidRPr="001F41BC">
        <w:rPr>
          <w:rFonts w:ascii="Verdana" w:eastAsia="Arial" w:hAnsi="Verdana" w:cs="Arial"/>
          <w:lang w:val="es-ES"/>
        </w:rPr>
        <w:t>que</w:t>
      </w:r>
      <w:r w:rsidRPr="001F41BC">
        <w:rPr>
          <w:rFonts w:ascii="Verdana" w:eastAsia="Arial" w:hAnsi="Verdana" w:cs="Arial"/>
          <w:spacing w:val="-6"/>
          <w:lang w:val="es-ES"/>
        </w:rPr>
        <w:t xml:space="preserve"> </w:t>
      </w:r>
      <w:r w:rsidRPr="001F41BC">
        <w:rPr>
          <w:rFonts w:ascii="Verdana" w:eastAsia="Arial" w:hAnsi="Verdana" w:cs="Arial"/>
          <w:lang w:val="es-ES"/>
        </w:rPr>
        <w:t>el</w:t>
      </w:r>
      <w:r w:rsidRPr="001F41BC">
        <w:rPr>
          <w:rFonts w:ascii="Verdana" w:eastAsia="Arial" w:hAnsi="Verdana" w:cs="Arial"/>
          <w:spacing w:val="-5"/>
          <w:lang w:val="es-ES"/>
        </w:rPr>
        <w:t xml:space="preserve"> </w:t>
      </w:r>
      <w:r w:rsidRPr="001F41BC">
        <w:rPr>
          <w:rFonts w:ascii="Verdana" w:eastAsia="Arial" w:hAnsi="Verdana" w:cs="Arial"/>
          <w:lang w:val="es-ES"/>
        </w:rPr>
        <w:t>artículo</w:t>
      </w:r>
      <w:r w:rsidRPr="001F41BC">
        <w:rPr>
          <w:rFonts w:ascii="Verdana" w:eastAsia="Arial" w:hAnsi="Verdana" w:cs="Arial"/>
          <w:spacing w:val="-6"/>
          <w:lang w:val="es-ES"/>
        </w:rPr>
        <w:t xml:space="preserve"> </w:t>
      </w:r>
      <w:r w:rsidRPr="001F41BC">
        <w:rPr>
          <w:rFonts w:ascii="Verdana" w:eastAsia="Arial" w:hAnsi="Verdana" w:cs="Arial"/>
          <w:lang w:val="es-ES"/>
        </w:rPr>
        <w:t>50</w:t>
      </w:r>
      <w:r w:rsidRPr="001F41BC">
        <w:rPr>
          <w:rFonts w:ascii="Verdana" w:eastAsia="Arial" w:hAnsi="Verdana" w:cs="Arial"/>
          <w:spacing w:val="-6"/>
          <w:lang w:val="es-ES"/>
        </w:rPr>
        <w:t xml:space="preserve"> </w:t>
      </w:r>
      <w:r w:rsidRPr="001F41BC">
        <w:rPr>
          <w:rFonts w:ascii="Verdana" w:eastAsia="Arial" w:hAnsi="Verdana" w:cs="Arial"/>
          <w:lang w:val="es-ES"/>
        </w:rPr>
        <w:t>de</w:t>
      </w:r>
      <w:r w:rsidRPr="001F41BC">
        <w:rPr>
          <w:rFonts w:ascii="Verdana" w:eastAsia="Arial" w:hAnsi="Verdana" w:cs="Arial"/>
          <w:spacing w:val="-5"/>
          <w:lang w:val="es-ES"/>
        </w:rPr>
        <w:t xml:space="preserve"> </w:t>
      </w:r>
      <w:r w:rsidRPr="001F41BC">
        <w:rPr>
          <w:rFonts w:ascii="Verdana" w:eastAsia="Arial" w:hAnsi="Verdana" w:cs="Arial"/>
          <w:lang w:val="es-ES"/>
        </w:rPr>
        <w:t>la</w:t>
      </w:r>
      <w:r w:rsidRPr="001F41BC">
        <w:rPr>
          <w:rFonts w:ascii="Verdana" w:eastAsia="Arial" w:hAnsi="Verdana" w:cs="Arial"/>
          <w:spacing w:val="-6"/>
          <w:lang w:val="es-ES"/>
        </w:rPr>
        <w:t xml:space="preserve"> </w:t>
      </w:r>
      <w:r w:rsidRPr="001F41BC">
        <w:rPr>
          <w:rFonts w:ascii="Verdana" w:eastAsia="Arial" w:hAnsi="Verdana" w:cs="Arial"/>
          <w:lang w:val="es-ES"/>
        </w:rPr>
        <w:t>Ley</w:t>
      </w:r>
      <w:r w:rsidRPr="001F41BC">
        <w:rPr>
          <w:rFonts w:ascii="Verdana" w:eastAsia="Arial" w:hAnsi="Verdana" w:cs="Arial"/>
          <w:spacing w:val="-5"/>
          <w:lang w:val="es-ES"/>
        </w:rPr>
        <w:t xml:space="preserve"> </w:t>
      </w:r>
      <w:r w:rsidRPr="001F41BC">
        <w:rPr>
          <w:rFonts w:ascii="Verdana" w:eastAsia="Arial" w:hAnsi="Verdana" w:cs="Arial"/>
          <w:lang w:val="es-ES"/>
        </w:rPr>
        <w:t>789</w:t>
      </w:r>
      <w:r w:rsidRPr="001F41BC">
        <w:rPr>
          <w:rFonts w:ascii="Verdana" w:eastAsia="Arial" w:hAnsi="Verdana" w:cs="Arial"/>
          <w:spacing w:val="-6"/>
          <w:lang w:val="es-ES"/>
        </w:rPr>
        <w:t xml:space="preserve"> </w:t>
      </w:r>
      <w:r w:rsidRPr="001F41BC">
        <w:rPr>
          <w:rFonts w:ascii="Verdana" w:eastAsia="Arial" w:hAnsi="Verdana" w:cs="Arial"/>
          <w:lang w:val="es-ES"/>
        </w:rPr>
        <w:t>de</w:t>
      </w:r>
      <w:r w:rsidRPr="001F41BC">
        <w:rPr>
          <w:rFonts w:ascii="Verdana" w:eastAsia="Arial" w:hAnsi="Verdana" w:cs="Arial"/>
          <w:spacing w:val="-6"/>
          <w:lang w:val="es-ES"/>
        </w:rPr>
        <w:t xml:space="preserve"> </w:t>
      </w:r>
      <w:r w:rsidRPr="001F41BC">
        <w:rPr>
          <w:rFonts w:ascii="Verdana" w:eastAsia="Arial" w:hAnsi="Verdana" w:cs="Arial"/>
          <w:lang w:val="es-ES"/>
        </w:rPr>
        <w:t>2002</w:t>
      </w:r>
      <w:r w:rsidRPr="001F41BC">
        <w:rPr>
          <w:rFonts w:ascii="Verdana" w:eastAsia="Arial" w:hAnsi="Verdana" w:cs="Arial"/>
          <w:spacing w:val="-5"/>
          <w:lang w:val="es-ES"/>
        </w:rPr>
        <w:t xml:space="preserve"> </w:t>
      </w:r>
      <w:r w:rsidRPr="001F41BC">
        <w:rPr>
          <w:rFonts w:ascii="Verdana" w:eastAsia="Arial" w:hAnsi="Verdana" w:cs="Arial"/>
          <w:lang w:val="es-ES"/>
        </w:rPr>
        <w:t>tiene</w:t>
      </w:r>
      <w:r w:rsidRPr="001F41BC">
        <w:rPr>
          <w:rFonts w:ascii="Verdana" w:eastAsia="Arial" w:hAnsi="Verdana" w:cs="Arial"/>
          <w:spacing w:val="-5"/>
          <w:lang w:val="es-ES"/>
        </w:rPr>
        <w:t xml:space="preserve"> </w:t>
      </w:r>
      <w:r w:rsidRPr="001F41BC">
        <w:rPr>
          <w:rFonts w:ascii="Verdana" w:eastAsia="Arial" w:hAnsi="Verdana" w:cs="Arial"/>
          <w:lang w:val="es-ES"/>
        </w:rPr>
        <w:t>por</w:t>
      </w:r>
      <w:r w:rsidRPr="001F41BC">
        <w:rPr>
          <w:rFonts w:ascii="Verdana" w:eastAsia="Arial" w:hAnsi="Verdana" w:cs="Arial"/>
          <w:spacing w:val="-6"/>
          <w:lang w:val="es-ES"/>
        </w:rPr>
        <w:t xml:space="preserve"> </w:t>
      </w:r>
      <w:r w:rsidRPr="001F41BC">
        <w:rPr>
          <w:rFonts w:ascii="Verdana" w:eastAsia="Arial" w:hAnsi="Verdana" w:cs="Arial"/>
          <w:lang w:val="es-ES"/>
        </w:rPr>
        <w:t>objeto</w:t>
      </w:r>
      <w:r w:rsidRPr="001F41BC">
        <w:rPr>
          <w:rFonts w:ascii="Verdana" w:eastAsia="Arial" w:hAnsi="Verdana" w:cs="Arial"/>
          <w:spacing w:val="-5"/>
          <w:lang w:val="es-ES"/>
        </w:rPr>
        <w:t xml:space="preserve"> </w:t>
      </w:r>
      <w:r w:rsidRPr="001F41BC">
        <w:rPr>
          <w:rFonts w:ascii="Verdana" w:eastAsia="Arial" w:hAnsi="Verdana" w:cs="Arial"/>
          <w:lang w:val="es-ES"/>
        </w:rPr>
        <w:t>evitar</w:t>
      </w:r>
      <w:r w:rsidRPr="001F41BC">
        <w:rPr>
          <w:rFonts w:ascii="Verdana" w:eastAsia="Arial" w:hAnsi="Verdana" w:cs="Arial"/>
          <w:spacing w:val="-6"/>
          <w:lang w:val="es-ES"/>
        </w:rPr>
        <w:t xml:space="preserve"> </w:t>
      </w:r>
      <w:r w:rsidRPr="001F41BC">
        <w:rPr>
          <w:rFonts w:ascii="Verdana" w:eastAsia="Arial" w:hAnsi="Verdana" w:cs="Arial"/>
          <w:lang w:val="es-ES"/>
        </w:rPr>
        <w:t>la</w:t>
      </w:r>
      <w:r w:rsidRPr="001F41BC">
        <w:rPr>
          <w:rFonts w:ascii="Verdana" w:eastAsia="Arial" w:hAnsi="Verdana" w:cs="Arial"/>
          <w:spacing w:val="-5"/>
          <w:lang w:val="es-ES"/>
        </w:rPr>
        <w:t xml:space="preserve"> </w:t>
      </w:r>
      <w:r w:rsidRPr="001F41BC">
        <w:rPr>
          <w:rFonts w:ascii="Verdana" w:eastAsia="Arial" w:hAnsi="Verdana" w:cs="Arial"/>
          <w:lang w:val="es-ES"/>
        </w:rPr>
        <w:t>evasión</w:t>
      </w:r>
      <w:r w:rsidRPr="001F41BC">
        <w:rPr>
          <w:rFonts w:ascii="Verdana" w:eastAsia="Arial" w:hAnsi="Verdana" w:cs="Arial"/>
          <w:spacing w:val="-6"/>
          <w:lang w:val="es-ES"/>
        </w:rPr>
        <w:t xml:space="preserve"> </w:t>
      </w:r>
      <w:r w:rsidRPr="001F41BC">
        <w:rPr>
          <w:rFonts w:ascii="Verdana" w:eastAsia="Arial" w:hAnsi="Verdana" w:cs="Arial"/>
          <w:lang w:val="es-ES"/>
        </w:rPr>
        <w:t>por parte de los empleadores de las cotizaciones al sistema de seguridad social y de los aportes parafiscales, y para lograr esa finalidad el legislador impuso a las entidades estatales la obligación de verificar, en los procesos de selección de contratistas y durante la ejecución y liquidación de los contratos, que tanto los oferentes como los contratistas</w:t>
      </w:r>
      <w:r w:rsidRPr="001F41BC">
        <w:rPr>
          <w:rFonts w:ascii="Verdana" w:eastAsia="Arial" w:hAnsi="Verdana" w:cs="Arial"/>
          <w:spacing w:val="-9"/>
          <w:lang w:val="es-ES"/>
        </w:rPr>
        <w:t xml:space="preserve"> </w:t>
      </w:r>
      <w:r w:rsidRPr="001F41BC">
        <w:rPr>
          <w:rFonts w:ascii="Verdana" w:eastAsia="Arial" w:hAnsi="Verdana" w:cs="Arial"/>
          <w:lang w:val="es-ES"/>
        </w:rPr>
        <w:t>hayan</w:t>
      </w:r>
      <w:r w:rsidRPr="001F41BC">
        <w:rPr>
          <w:rFonts w:ascii="Verdana" w:eastAsia="Arial" w:hAnsi="Verdana" w:cs="Arial"/>
          <w:spacing w:val="-8"/>
          <w:lang w:val="es-ES"/>
        </w:rPr>
        <w:t xml:space="preserve"> </w:t>
      </w:r>
      <w:r w:rsidRPr="001F41BC">
        <w:rPr>
          <w:rFonts w:ascii="Verdana" w:eastAsia="Arial" w:hAnsi="Verdana" w:cs="Arial"/>
          <w:lang w:val="es-ES"/>
        </w:rPr>
        <w:t>realizado</w:t>
      </w:r>
      <w:r w:rsidRPr="001F41BC">
        <w:rPr>
          <w:rFonts w:ascii="Verdana" w:eastAsia="Arial" w:hAnsi="Verdana" w:cs="Arial"/>
          <w:spacing w:val="-8"/>
          <w:lang w:val="es-ES"/>
        </w:rPr>
        <w:t xml:space="preserve"> </w:t>
      </w:r>
      <w:r w:rsidRPr="001F41BC">
        <w:rPr>
          <w:rFonts w:ascii="Verdana" w:eastAsia="Arial" w:hAnsi="Verdana" w:cs="Arial"/>
          <w:lang w:val="es-ES"/>
        </w:rPr>
        <w:t>los</w:t>
      </w:r>
      <w:r w:rsidRPr="001F41BC">
        <w:rPr>
          <w:rFonts w:ascii="Verdana" w:eastAsia="Arial" w:hAnsi="Verdana" w:cs="Arial"/>
          <w:spacing w:val="-8"/>
          <w:lang w:val="es-ES"/>
        </w:rPr>
        <w:t xml:space="preserve"> </w:t>
      </w:r>
      <w:r w:rsidRPr="001F41BC">
        <w:rPr>
          <w:rFonts w:ascii="Verdana" w:eastAsia="Arial" w:hAnsi="Verdana" w:cs="Arial"/>
          <w:lang w:val="es-ES"/>
        </w:rPr>
        <w:t>aportes</w:t>
      </w:r>
      <w:r w:rsidRPr="001F41BC">
        <w:rPr>
          <w:rFonts w:ascii="Verdana" w:eastAsia="Arial" w:hAnsi="Verdana" w:cs="Arial"/>
          <w:spacing w:val="-9"/>
          <w:lang w:val="es-ES"/>
        </w:rPr>
        <w:t xml:space="preserve"> </w:t>
      </w:r>
      <w:r w:rsidRPr="001F41BC">
        <w:rPr>
          <w:rFonts w:ascii="Verdana" w:eastAsia="Arial" w:hAnsi="Verdana" w:cs="Arial"/>
          <w:lang w:val="es-ES"/>
        </w:rPr>
        <w:t>al</w:t>
      </w:r>
      <w:r w:rsidRPr="001F41BC">
        <w:rPr>
          <w:rFonts w:ascii="Verdana" w:eastAsia="Arial" w:hAnsi="Verdana" w:cs="Arial"/>
          <w:spacing w:val="-8"/>
          <w:lang w:val="es-ES"/>
        </w:rPr>
        <w:t xml:space="preserve"> </w:t>
      </w:r>
      <w:r w:rsidRPr="001F41BC">
        <w:rPr>
          <w:rFonts w:ascii="Verdana" w:eastAsia="Arial" w:hAnsi="Verdana" w:cs="Arial"/>
          <w:lang w:val="es-ES"/>
        </w:rPr>
        <w:t>Sistema</w:t>
      </w:r>
      <w:r w:rsidRPr="001F41BC">
        <w:rPr>
          <w:rFonts w:ascii="Verdana" w:eastAsia="Arial" w:hAnsi="Verdana" w:cs="Arial"/>
          <w:spacing w:val="-7"/>
          <w:lang w:val="es-ES"/>
        </w:rPr>
        <w:t xml:space="preserve"> </w:t>
      </w:r>
      <w:r w:rsidRPr="001F41BC">
        <w:rPr>
          <w:rFonts w:ascii="Verdana" w:eastAsia="Arial" w:hAnsi="Verdana" w:cs="Arial"/>
          <w:lang w:val="es-ES"/>
        </w:rPr>
        <w:t>de</w:t>
      </w:r>
      <w:r w:rsidRPr="001F41BC">
        <w:rPr>
          <w:rFonts w:ascii="Verdana" w:eastAsia="Arial" w:hAnsi="Verdana" w:cs="Arial"/>
          <w:spacing w:val="-8"/>
          <w:lang w:val="es-ES"/>
        </w:rPr>
        <w:t xml:space="preserve"> </w:t>
      </w:r>
      <w:r w:rsidRPr="001F41BC">
        <w:rPr>
          <w:rFonts w:ascii="Verdana" w:eastAsia="Arial" w:hAnsi="Verdana" w:cs="Arial"/>
          <w:lang w:val="es-ES"/>
        </w:rPr>
        <w:t>Seguridad</w:t>
      </w:r>
      <w:r w:rsidRPr="001F41BC">
        <w:rPr>
          <w:rFonts w:ascii="Verdana" w:eastAsia="Arial" w:hAnsi="Verdana" w:cs="Arial"/>
          <w:spacing w:val="-7"/>
          <w:lang w:val="es-ES"/>
        </w:rPr>
        <w:t xml:space="preserve"> </w:t>
      </w:r>
      <w:r w:rsidRPr="001F41BC">
        <w:rPr>
          <w:rFonts w:ascii="Verdana" w:eastAsia="Arial" w:hAnsi="Verdana" w:cs="Arial"/>
          <w:lang w:val="es-ES"/>
        </w:rPr>
        <w:t>Social</w:t>
      </w:r>
      <w:r w:rsidRPr="001F41BC">
        <w:rPr>
          <w:rFonts w:ascii="Verdana" w:eastAsia="Arial" w:hAnsi="Verdana" w:cs="Arial"/>
          <w:spacing w:val="-7"/>
          <w:lang w:val="es-ES"/>
        </w:rPr>
        <w:t xml:space="preserve"> </w:t>
      </w:r>
      <w:r w:rsidRPr="001F41BC">
        <w:rPr>
          <w:rFonts w:ascii="Verdana" w:eastAsia="Arial" w:hAnsi="Verdana" w:cs="Arial"/>
          <w:lang w:val="es-ES"/>
        </w:rPr>
        <w:t>Integral</w:t>
      </w:r>
      <w:r w:rsidRPr="001F41BC">
        <w:rPr>
          <w:rStyle w:val="Refdenotaalpie"/>
          <w:rFonts w:ascii="Verdana" w:eastAsia="Arial" w:hAnsi="Verdana" w:cs="Arial"/>
          <w:lang w:val="es-ES"/>
        </w:rPr>
        <w:footnoteReference w:id="3"/>
      </w:r>
      <w:r w:rsidRPr="001F41BC">
        <w:rPr>
          <w:rFonts w:ascii="Verdana" w:eastAsia="Arial" w:hAnsi="Verdana" w:cs="Arial"/>
          <w:sz w:val="21"/>
          <w:lang w:val="es-ES"/>
        </w:rPr>
        <w:t>.</w:t>
      </w:r>
      <w:r w:rsidRPr="001F41BC">
        <w:rPr>
          <w:rFonts w:ascii="Verdana" w:eastAsia="Arial" w:hAnsi="Verdana" w:cs="Arial"/>
          <w:spacing w:val="-8"/>
          <w:sz w:val="21"/>
          <w:lang w:val="es-ES"/>
        </w:rPr>
        <w:t xml:space="preserve"> </w:t>
      </w:r>
      <w:r w:rsidRPr="001F41BC">
        <w:rPr>
          <w:rFonts w:ascii="Verdana" w:eastAsia="Arial" w:hAnsi="Verdana" w:cs="Arial"/>
          <w:lang w:val="es-ES"/>
        </w:rPr>
        <w:t>Por</w:t>
      </w:r>
      <w:r w:rsidRPr="001F41BC">
        <w:rPr>
          <w:rFonts w:ascii="Verdana" w:eastAsia="Arial" w:hAnsi="Verdana" w:cs="Arial"/>
          <w:spacing w:val="-8"/>
          <w:lang w:val="es-ES"/>
        </w:rPr>
        <w:t xml:space="preserve"> </w:t>
      </w:r>
      <w:r w:rsidRPr="001F41BC">
        <w:rPr>
          <w:rFonts w:ascii="Verdana" w:eastAsia="Arial" w:hAnsi="Verdana" w:cs="Arial"/>
          <w:lang w:val="es-ES"/>
        </w:rPr>
        <w:t xml:space="preserve">lo tanto, la jurisprudencia reiteró la necesidad de que las entidades estatales, </w:t>
      </w:r>
      <w:r w:rsidRPr="001F41BC">
        <w:rPr>
          <w:rFonts w:ascii="Verdana" w:eastAsia="Arial" w:hAnsi="Verdana" w:cs="Arial"/>
          <w:i/>
          <w:iCs/>
          <w:lang w:val="es-ES"/>
        </w:rPr>
        <w:t>durante la ejecución de un contrato</w:t>
      </w:r>
      <w:r w:rsidRPr="001F41BC">
        <w:rPr>
          <w:rFonts w:ascii="Verdana" w:eastAsia="Arial" w:hAnsi="Verdana" w:cs="Arial"/>
          <w:lang w:val="es-ES"/>
        </w:rPr>
        <w:t>, verifiquen el cumplimiento de las obligaciones del sistema de seguridad</w:t>
      </w:r>
      <w:r w:rsidRPr="001F41BC">
        <w:rPr>
          <w:rFonts w:ascii="Verdana" w:eastAsia="Arial" w:hAnsi="Verdana" w:cs="Arial"/>
          <w:spacing w:val="-18"/>
          <w:lang w:val="es-ES"/>
        </w:rPr>
        <w:t xml:space="preserve"> </w:t>
      </w:r>
      <w:r w:rsidRPr="001F41BC">
        <w:rPr>
          <w:rFonts w:ascii="Verdana" w:eastAsia="Arial" w:hAnsi="Verdana" w:cs="Arial"/>
          <w:lang w:val="es-ES"/>
        </w:rPr>
        <w:t>social</w:t>
      </w:r>
      <w:r w:rsidRPr="001F41BC">
        <w:rPr>
          <w:rFonts w:ascii="Verdana" w:eastAsia="Arial" w:hAnsi="Verdana" w:cs="Arial"/>
          <w:spacing w:val="-17"/>
          <w:lang w:val="es-ES"/>
        </w:rPr>
        <w:t xml:space="preserve"> </w:t>
      </w:r>
      <w:r w:rsidRPr="001F41BC">
        <w:rPr>
          <w:rFonts w:ascii="Verdana" w:eastAsia="Arial" w:hAnsi="Verdana" w:cs="Arial"/>
          <w:lang w:val="es-ES"/>
        </w:rPr>
        <w:t>por</w:t>
      </w:r>
      <w:r w:rsidRPr="001F41BC">
        <w:rPr>
          <w:rFonts w:ascii="Verdana" w:eastAsia="Arial" w:hAnsi="Verdana" w:cs="Arial"/>
          <w:spacing w:val="-17"/>
          <w:lang w:val="es-ES"/>
        </w:rPr>
        <w:t xml:space="preserve"> </w:t>
      </w:r>
      <w:r w:rsidRPr="001F41BC">
        <w:rPr>
          <w:rFonts w:ascii="Verdana" w:eastAsia="Arial" w:hAnsi="Verdana" w:cs="Arial"/>
          <w:lang w:val="es-ES"/>
        </w:rPr>
        <w:t>parte</w:t>
      </w:r>
      <w:r w:rsidRPr="001F41BC">
        <w:rPr>
          <w:rFonts w:ascii="Verdana" w:eastAsia="Arial" w:hAnsi="Verdana" w:cs="Arial"/>
          <w:spacing w:val="-18"/>
          <w:lang w:val="es-ES"/>
        </w:rPr>
        <w:t xml:space="preserve"> </w:t>
      </w:r>
      <w:r w:rsidRPr="001F41BC">
        <w:rPr>
          <w:rFonts w:ascii="Verdana" w:eastAsia="Arial" w:hAnsi="Verdana" w:cs="Arial"/>
          <w:lang w:val="es-ES"/>
        </w:rPr>
        <w:t>de</w:t>
      </w:r>
      <w:r w:rsidRPr="001F41BC">
        <w:rPr>
          <w:rFonts w:ascii="Verdana" w:eastAsia="Arial" w:hAnsi="Verdana" w:cs="Arial"/>
          <w:spacing w:val="-17"/>
          <w:lang w:val="es-ES"/>
        </w:rPr>
        <w:t xml:space="preserve"> </w:t>
      </w:r>
      <w:r w:rsidRPr="001F41BC">
        <w:rPr>
          <w:rFonts w:ascii="Verdana" w:eastAsia="Arial" w:hAnsi="Verdana" w:cs="Arial"/>
          <w:lang w:val="es-ES"/>
        </w:rPr>
        <w:t>los</w:t>
      </w:r>
      <w:r w:rsidRPr="001F41BC">
        <w:rPr>
          <w:rFonts w:ascii="Verdana" w:eastAsia="Arial" w:hAnsi="Verdana" w:cs="Arial"/>
          <w:spacing w:val="-17"/>
          <w:lang w:val="es-ES"/>
        </w:rPr>
        <w:t xml:space="preserve"> </w:t>
      </w:r>
      <w:r w:rsidRPr="001F41BC">
        <w:rPr>
          <w:rFonts w:ascii="Verdana" w:eastAsia="Arial" w:hAnsi="Verdana" w:cs="Arial"/>
          <w:lang w:val="es-ES"/>
        </w:rPr>
        <w:t>oferentes.</w:t>
      </w:r>
      <w:r w:rsidRPr="001F41BC">
        <w:rPr>
          <w:rFonts w:ascii="Verdana" w:eastAsia="Arial" w:hAnsi="Verdana" w:cs="Arial"/>
          <w:spacing w:val="-16"/>
          <w:lang w:val="es-ES"/>
        </w:rPr>
        <w:t xml:space="preserve"> </w:t>
      </w:r>
      <w:r w:rsidRPr="001F41BC">
        <w:rPr>
          <w:rFonts w:ascii="Verdana" w:eastAsia="Arial" w:hAnsi="Verdana" w:cs="Arial"/>
          <w:lang w:val="es-ES"/>
        </w:rPr>
        <w:t>De</w:t>
      </w:r>
      <w:r w:rsidRPr="001F41BC">
        <w:rPr>
          <w:rFonts w:ascii="Verdana" w:eastAsia="Arial" w:hAnsi="Verdana" w:cs="Arial"/>
          <w:spacing w:val="-18"/>
          <w:lang w:val="es-ES"/>
        </w:rPr>
        <w:t xml:space="preserve"> </w:t>
      </w:r>
      <w:r w:rsidRPr="001F41BC">
        <w:rPr>
          <w:rFonts w:ascii="Verdana" w:eastAsia="Arial" w:hAnsi="Verdana" w:cs="Arial"/>
          <w:lang w:val="es-ES"/>
        </w:rPr>
        <w:t>esta</w:t>
      </w:r>
      <w:r w:rsidRPr="001F41BC">
        <w:rPr>
          <w:rFonts w:ascii="Verdana" w:eastAsia="Arial" w:hAnsi="Verdana" w:cs="Arial"/>
          <w:spacing w:val="-17"/>
          <w:lang w:val="es-ES"/>
        </w:rPr>
        <w:t xml:space="preserve"> </w:t>
      </w:r>
      <w:r w:rsidRPr="001F41BC">
        <w:rPr>
          <w:rFonts w:ascii="Verdana" w:eastAsia="Arial" w:hAnsi="Verdana" w:cs="Arial"/>
          <w:lang w:val="es-ES"/>
        </w:rPr>
        <w:t>manera,</w:t>
      </w:r>
      <w:r w:rsidRPr="001F41BC">
        <w:rPr>
          <w:rFonts w:ascii="Verdana" w:eastAsia="Arial" w:hAnsi="Verdana" w:cs="Arial"/>
          <w:spacing w:val="-17"/>
          <w:lang w:val="es-ES"/>
        </w:rPr>
        <w:t xml:space="preserve"> </w:t>
      </w:r>
      <w:r w:rsidRPr="001F41BC">
        <w:rPr>
          <w:rFonts w:ascii="Verdana" w:eastAsia="Arial" w:hAnsi="Verdana" w:cs="Arial"/>
          <w:lang w:val="es-ES"/>
        </w:rPr>
        <w:t>el</w:t>
      </w:r>
      <w:r w:rsidRPr="001F41BC">
        <w:rPr>
          <w:rFonts w:ascii="Verdana" w:eastAsia="Arial" w:hAnsi="Verdana" w:cs="Arial"/>
          <w:spacing w:val="-18"/>
          <w:lang w:val="es-ES"/>
        </w:rPr>
        <w:t xml:space="preserve"> </w:t>
      </w:r>
      <w:r w:rsidRPr="001F41BC">
        <w:rPr>
          <w:rFonts w:ascii="Verdana" w:eastAsia="Arial" w:hAnsi="Verdana" w:cs="Arial"/>
          <w:lang w:val="es-ES"/>
        </w:rPr>
        <w:t>artículo</w:t>
      </w:r>
      <w:r w:rsidRPr="001F41BC">
        <w:rPr>
          <w:rFonts w:ascii="Verdana" w:eastAsia="Arial" w:hAnsi="Verdana" w:cs="Arial"/>
          <w:spacing w:val="-17"/>
          <w:lang w:val="es-ES"/>
        </w:rPr>
        <w:t xml:space="preserve"> </w:t>
      </w:r>
      <w:r w:rsidRPr="001F41BC">
        <w:rPr>
          <w:rFonts w:ascii="Verdana" w:eastAsia="Arial" w:hAnsi="Verdana" w:cs="Arial"/>
          <w:lang w:val="es-ES"/>
        </w:rPr>
        <w:t>23</w:t>
      </w:r>
      <w:r w:rsidRPr="001F41BC">
        <w:rPr>
          <w:rFonts w:ascii="Verdana" w:eastAsia="Arial" w:hAnsi="Verdana" w:cs="Arial"/>
          <w:spacing w:val="-17"/>
          <w:lang w:val="es-ES"/>
        </w:rPr>
        <w:t xml:space="preserve"> </w:t>
      </w:r>
      <w:r w:rsidRPr="001F41BC">
        <w:rPr>
          <w:rFonts w:ascii="Verdana" w:eastAsia="Arial" w:hAnsi="Verdana" w:cs="Arial"/>
          <w:lang w:val="es-ES"/>
        </w:rPr>
        <w:t>de</w:t>
      </w:r>
      <w:r w:rsidRPr="001F41BC">
        <w:rPr>
          <w:rFonts w:ascii="Verdana" w:eastAsia="Arial" w:hAnsi="Verdana" w:cs="Arial"/>
          <w:spacing w:val="-17"/>
          <w:lang w:val="es-ES"/>
        </w:rPr>
        <w:t xml:space="preserve"> </w:t>
      </w:r>
      <w:r w:rsidRPr="001F41BC">
        <w:rPr>
          <w:rFonts w:ascii="Verdana" w:eastAsia="Arial" w:hAnsi="Verdana" w:cs="Arial"/>
          <w:lang w:val="es-ES"/>
        </w:rPr>
        <w:t>la</w:t>
      </w:r>
      <w:r w:rsidRPr="001F41BC">
        <w:rPr>
          <w:rFonts w:ascii="Verdana" w:eastAsia="Arial" w:hAnsi="Verdana" w:cs="Arial"/>
          <w:spacing w:val="-18"/>
          <w:lang w:val="es-ES"/>
        </w:rPr>
        <w:t xml:space="preserve"> </w:t>
      </w:r>
      <w:r w:rsidRPr="001F41BC">
        <w:rPr>
          <w:rFonts w:ascii="Verdana" w:eastAsia="Arial" w:hAnsi="Verdana" w:cs="Arial"/>
          <w:lang w:val="es-ES"/>
        </w:rPr>
        <w:t>Ley</w:t>
      </w:r>
      <w:r w:rsidRPr="001F41BC">
        <w:rPr>
          <w:rFonts w:ascii="Verdana" w:eastAsia="Arial" w:hAnsi="Verdana" w:cs="Arial"/>
          <w:spacing w:val="-17"/>
          <w:lang w:val="es-ES"/>
        </w:rPr>
        <w:t xml:space="preserve"> </w:t>
      </w:r>
      <w:r w:rsidRPr="001F41BC">
        <w:rPr>
          <w:rFonts w:ascii="Verdana" w:eastAsia="Arial" w:hAnsi="Verdana" w:cs="Arial"/>
          <w:lang w:val="es-ES"/>
        </w:rPr>
        <w:t>1150 de 2007 que modificó el inciso segundo del artículo 41 de la Ley 80 de 1993, incluye la obligación, para los proponentes y contratistas, de estar a paz y salvo con los aportes parafiscales al Sistema de Seguridad Social Integral, al</w:t>
      </w:r>
      <w:r w:rsidRPr="001F41BC">
        <w:rPr>
          <w:rFonts w:ascii="Verdana" w:eastAsia="Arial" w:hAnsi="Verdana" w:cs="Arial"/>
          <w:spacing w:val="-16"/>
          <w:lang w:val="es-ES"/>
        </w:rPr>
        <w:t xml:space="preserve"> </w:t>
      </w:r>
      <w:r w:rsidRPr="001F41BC">
        <w:rPr>
          <w:rFonts w:ascii="Verdana" w:eastAsia="Arial" w:hAnsi="Verdana" w:cs="Arial"/>
          <w:lang w:val="es-ES"/>
        </w:rPr>
        <w:t>señalar:</w:t>
      </w:r>
    </w:p>
    <w:p w14:paraId="746B9977" w14:textId="77777777" w:rsidR="00C37701" w:rsidRPr="001F41BC" w:rsidRDefault="00C37701" w:rsidP="00C37701">
      <w:pPr>
        <w:widowControl w:val="0"/>
        <w:autoSpaceDE w:val="0"/>
        <w:autoSpaceDN w:val="0"/>
        <w:spacing w:before="1" w:after="0" w:line="276" w:lineRule="auto"/>
        <w:rPr>
          <w:rFonts w:ascii="Verdana" w:eastAsia="Arial" w:hAnsi="Verdana" w:cs="Arial"/>
          <w:lang w:val="es-ES"/>
        </w:rPr>
      </w:pPr>
    </w:p>
    <w:p w14:paraId="5EEB7153" w14:textId="77777777" w:rsidR="00C37701" w:rsidRPr="00472F0E" w:rsidRDefault="00C37701" w:rsidP="00C37701">
      <w:pPr>
        <w:widowControl w:val="0"/>
        <w:autoSpaceDE w:val="0"/>
        <w:autoSpaceDN w:val="0"/>
        <w:spacing w:before="1" w:line="240" w:lineRule="auto"/>
        <w:ind w:left="709" w:right="709"/>
        <w:jc w:val="both"/>
        <w:rPr>
          <w:rFonts w:ascii="Verdana" w:eastAsia="Arial" w:hAnsi="Verdana" w:cs="Arial"/>
          <w:sz w:val="20"/>
          <w:szCs w:val="20"/>
          <w:lang w:val="es-ES"/>
        </w:rPr>
      </w:pPr>
      <w:r w:rsidRPr="00472F0E">
        <w:rPr>
          <w:rFonts w:ascii="Verdana" w:eastAsia="Arial" w:hAnsi="Verdana" w:cs="Arial"/>
          <w:sz w:val="20"/>
          <w:szCs w:val="20"/>
          <w:lang w:val="es-ES"/>
        </w:rPr>
        <w:t>“Para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09676A2D" w14:textId="77777777" w:rsidR="00C37701" w:rsidRPr="00472F0E" w:rsidRDefault="00C37701" w:rsidP="00C37701">
      <w:pPr>
        <w:widowControl w:val="0"/>
        <w:autoSpaceDE w:val="0"/>
        <w:autoSpaceDN w:val="0"/>
        <w:spacing w:before="120" w:line="240" w:lineRule="auto"/>
        <w:ind w:left="709" w:right="709"/>
        <w:jc w:val="both"/>
        <w:rPr>
          <w:rFonts w:ascii="Verdana" w:eastAsia="Arial" w:hAnsi="Verdana" w:cs="Arial"/>
          <w:sz w:val="20"/>
          <w:szCs w:val="20"/>
          <w:lang w:val="es-ES"/>
        </w:rPr>
      </w:pPr>
      <w:r w:rsidRPr="00472F0E">
        <w:rPr>
          <w:rFonts w:ascii="Verdana" w:eastAsia="Arial" w:hAnsi="Verdana" w:cs="Arial"/>
          <w:sz w:val="20"/>
          <w:szCs w:val="20"/>
          <w:lang w:val="es-ES"/>
        </w:rPr>
        <w:t xml:space="preserve">Parágrafo 1. El requisito establecido en la parte final del inciso segundo de este artículo deberá acreditarse para la realización de cada pago derivado </w:t>
      </w:r>
      <w:r w:rsidRPr="00472F0E">
        <w:rPr>
          <w:rFonts w:ascii="Verdana" w:eastAsia="Arial" w:hAnsi="Verdana" w:cs="Arial"/>
          <w:sz w:val="20"/>
          <w:szCs w:val="20"/>
          <w:lang w:val="es-ES"/>
        </w:rPr>
        <w:lastRenderedPageBreak/>
        <w:t>del contrato estatal.</w:t>
      </w:r>
    </w:p>
    <w:p w14:paraId="5F60FED6" w14:textId="77777777" w:rsidR="00C37701" w:rsidRPr="00472F0E" w:rsidRDefault="00C37701" w:rsidP="00C37701">
      <w:pPr>
        <w:widowControl w:val="0"/>
        <w:autoSpaceDE w:val="0"/>
        <w:autoSpaceDN w:val="0"/>
        <w:spacing w:before="120" w:after="0" w:line="240" w:lineRule="auto"/>
        <w:ind w:left="709" w:right="709"/>
        <w:jc w:val="both"/>
        <w:rPr>
          <w:rFonts w:ascii="Verdana" w:eastAsia="Arial" w:hAnsi="Verdana" w:cs="Arial"/>
          <w:sz w:val="20"/>
          <w:szCs w:val="20"/>
          <w:lang w:val="es-ES"/>
        </w:rPr>
      </w:pPr>
      <w:r w:rsidRPr="00472F0E">
        <w:rPr>
          <w:rFonts w:ascii="Verdana" w:eastAsia="Arial" w:hAnsi="Verdana" w:cs="Arial"/>
          <w:sz w:val="20"/>
          <w:szCs w:val="20"/>
          <w:lang w:val="es-ES"/>
        </w:rPr>
        <w:t>El servidor público que sin justa causa no verifique el pago de los aportes a que</w:t>
      </w:r>
      <w:r w:rsidRPr="00472F0E">
        <w:rPr>
          <w:rFonts w:ascii="Verdana" w:eastAsia="Arial" w:hAnsi="Verdana" w:cs="Arial"/>
          <w:spacing w:val="-8"/>
          <w:sz w:val="20"/>
          <w:szCs w:val="20"/>
          <w:lang w:val="es-ES"/>
        </w:rPr>
        <w:t xml:space="preserve"> </w:t>
      </w:r>
      <w:r w:rsidRPr="00472F0E">
        <w:rPr>
          <w:rFonts w:ascii="Verdana" w:eastAsia="Arial" w:hAnsi="Verdana" w:cs="Arial"/>
          <w:sz w:val="20"/>
          <w:szCs w:val="20"/>
          <w:lang w:val="es-ES"/>
        </w:rPr>
        <w:t>se</w:t>
      </w:r>
      <w:r w:rsidRPr="00472F0E">
        <w:rPr>
          <w:rFonts w:ascii="Verdana" w:eastAsia="Arial" w:hAnsi="Verdana" w:cs="Arial"/>
          <w:spacing w:val="-7"/>
          <w:sz w:val="20"/>
          <w:szCs w:val="20"/>
          <w:lang w:val="es-ES"/>
        </w:rPr>
        <w:t xml:space="preserve"> </w:t>
      </w:r>
      <w:r w:rsidRPr="00472F0E">
        <w:rPr>
          <w:rFonts w:ascii="Verdana" w:eastAsia="Arial" w:hAnsi="Verdana" w:cs="Arial"/>
          <w:sz w:val="20"/>
          <w:szCs w:val="20"/>
          <w:lang w:val="es-ES"/>
        </w:rPr>
        <w:t>refiere</w:t>
      </w:r>
      <w:r w:rsidRPr="00472F0E">
        <w:rPr>
          <w:rFonts w:ascii="Verdana" w:eastAsia="Arial" w:hAnsi="Verdana" w:cs="Arial"/>
          <w:spacing w:val="-8"/>
          <w:sz w:val="20"/>
          <w:szCs w:val="20"/>
          <w:lang w:val="es-ES"/>
        </w:rPr>
        <w:t xml:space="preserve"> </w:t>
      </w:r>
      <w:r w:rsidRPr="00472F0E">
        <w:rPr>
          <w:rFonts w:ascii="Verdana" w:eastAsia="Arial" w:hAnsi="Verdana" w:cs="Arial"/>
          <w:sz w:val="20"/>
          <w:szCs w:val="20"/>
          <w:lang w:val="es-ES"/>
        </w:rPr>
        <w:t>el</w:t>
      </w:r>
      <w:r w:rsidRPr="00472F0E">
        <w:rPr>
          <w:rFonts w:ascii="Verdana" w:eastAsia="Arial" w:hAnsi="Verdana" w:cs="Arial"/>
          <w:spacing w:val="-7"/>
          <w:sz w:val="20"/>
          <w:szCs w:val="20"/>
          <w:lang w:val="es-ES"/>
        </w:rPr>
        <w:t xml:space="preserve"> </w:t>
      </w:r>
      <w:r w:rsidRPr="00472F0E">
        <w:rPr>
          <w:rFonts w:ascii="Verdana" w:eastAsia="Arial" w:hAnsi="Verdana" w:cs="Arial"/>
          <w:sz w:val="20"/>
          <w:szCs w:val="20"/>
          <w:lang w:val="es-ES"/>
        </w:rPr>
        <w:t>presente</w:t>
      </w:r>
      <w:r w:rsidRPr="00472F0E">
        <w:rPr>
          <w:rFonts w:ascii="Verdana" w:eastAsia="Arial" w:hAnsi="Verdana" w:cs="Arial"/>
          <w:spacing w:val="-8"/>
          <w:sz w:val="20"/>
          <w:szCs w:val="20"/>
          <w:lang w:val="es-ES"/>
        </w:rPr>
        <w:t xml:space="preserve"> </w:t>
      </w:r>
      <w:r w:rsidRPr="00472F0E">
        <w:rPr>
          <w:rFonts w:ascii="Verdana" w:eastAsia="Arial" w:hAnsi="Verdana" w:cs="Arial"/>
          <w:sz w:val="20"/>
          <w:szCs w:val="20"/>
          <w:lang w:val="es-ES"/>
        </w:rPr>
        <w:t>artículo,</w:t>
      </w:r>
      <w:r w:rsidRPr="00472F0E">
        <w:rPr>
          <w:rFonts w:ascii="Verdana" w:eastAsia="Arial" w:hAnsi="Verdana" w:cs="Arial"/>
          <w:spacing w:val="-7"/>
          <w:sz w:val="20"/>
          <w:szCs w:val="20"/>
          <w:lang w:val="es-ES"/>
        </w:rPr>
        <w:t xml:space="preserve"> </w:t>
      </w:r>
      <w:r w:rsidRPr="00472F0E">
        <w:rPr>
          <w:rFonts w:ascii="Verdana" w:eastAsia="Arial" w:hAnsi="Verdana" w:cs="Arial"/>
          <w:sz w:val="20"/>
          <w:szCs w:val="20"/>
          <w:lang w:val="es-ES"/>
        </w:rPr>
        <w:t>incurrirá</w:t>
      </w:r>
      <w:r w:rsidRPr="00472F0E">
        <w:rPr>
          <w:rFonts w:ascii="Verdana" w:eastAsia="Arial" w:hAnsi="Verdana" w:cs="Arial"/>
          <w:spacing w:val="-7"/>
          <w:sz w:val="20"/>
          <w:szCs w:val="20"/>
          <w:lang w:val="es-ES"/>
        </w:rPr>
        <w:t xml:space="preserve"> </w:t>
      </w:r>
      <w:r w:rsidRPr="00472F0E">
        <w:rPr>
          <w:rFonts w:ascii="Verdana" w:eastAsia="Arial" w:hAnsi="Verdana" w:cs="Arial"/>
          <w:sz w:val="20"/>
          <w:szCs w:val="20"/>
          <w:lang w:val="es-ES"/>
        </w:rPr>
        <w:t>en</w:t>
      </w:r>
      <w:r w:rsidRPr="00472F0E">
        <w:rPr>
          <w:rFonts w:ascii="Verdana" w:eastAsia="Arial" w:hAnsi="Verdana" w:cs="Arial"/>
          <w:spacing w:val="-8"/>
          <w:sz w:val="20"/>
          <w:szCs w:val="20"/>
          <w:lang w:val="es-ES"/>
        </w:rPr>
        <w:t xml:space="preserve"> </w:t>
      </w:r>
      <w:r w:rsidRPr="00472F0E">
        <w:rPr>
          <w:rFonts w:ascii="Verdana" w:eastAsia="Arial" w:hAnsi="Verdana" w:cs="Arial"/>
          <w:sz w:val="20"/>
          <w:szCs w:val="20"/>
          <w:lang w:val="es-ES"/>
        </w:rPr>
        <w:t>causal</w:t>
      </w:r>
      <w:r w:rsidRPr="00472F0E">
        <w:rPr>
          <w:rFonts w:ascii="Verdana" w:eastAsia="Arial" w:hAnsi="Verdana" w:cs="Arial"/>
          <w:spacing w:val="-7"/>
          <w:sz w:val="20"/>
          <w:szCs w:val="20"/>
          <w:lang w:val="es-ES"/>
        </w:rPr>
        <w:t xml:space="preserve"> </w:t>
      </w:r>
      <w:r w:rsidRPr="00472F0E">
        <w:rPr>
          <w:rFonts w:ascii="Verdana" w:eastAsia="Arial" w:hAnsi="Verdana" w:cs="Arial"/>
          <w:sz w:val="20"/>
          <w:szCs w:val="20"/>
          <w:lang w:val="es-ES"/>
        </w:rPr>
        <w:t>de</w:t>
      </w:r>
      <w:r w:rsidRPr="00472F0E">
        <w:rPr>
          <w:rFonts w:ascii="Verdana" w:eastAsia="Arial" w:hAnsi="Verdana" w:cs="Arial"/>
          <w:spacing w:val="-8"/>
          <w:sz w:val="20"/>
          <w:szCs w:val="20"/>
          <w:lang w:val="es-ES"/>
        </w:rPr>
        <w:t xml:space="preserve"> </w:t>
      </w:r>
      <w:r w:rsidRPr="00472F0E">
        <w:rPr>
          <w:rFonts w:ascii="Verdana" w:eastAsia="Arial" w:hAnsi="Verdana" w:cs="Arial"/>
          <w:sz w:val="20"/>
          <w:szCs w:val="20"/>
          <w:lang w:val="es-ES"/>
        </w:rPr>
        <w:t>mala</w:t>
      </w:r>
      <w:r w:rsidRPr="00472F0E">
        <w:rPr>
          <w:rFonts w:ascii="Verdana" w:eastAsia="Arial" w:hAnsi="Verdana" w:cs="Arial"/>
          <w:spacing w:val="-7"/>
          <w:sz w:val="20"/>
          <w:szCs w:val="20"/>
          <w:lang w:val="es-ES"/>
        </w:rPr>
        <w:t xml:space="preserve"> </w:t>
      </w:r>
      <w:r w:rsidRPr="00472F0E">
        <w:rPr>
          <w:rFonts w:ascii="Verdana" w:eastAsia="Arial" w:hAnsi="Verdana" w:cs="Arial"/>
          <w:sz w:val="20"/>
          <w:szCs w:val="20"/>
          <w:lang w:val="es-ES"/>
        </w:rPr>
        <w:t>conducta,</w:t>
      </w:r>
      <w:r w:rsidRPr="00472F0E">
        <w:rPr>
          <w:rFonts w:ascii="Verdana" w:eastAsia="Arial" w:hAnsi="Verdana" w:cs="Arial"/>
          <w:spacing w:val="-8"/>
          <w:sz w:val="20"/>
          <w:szCs w:val="20"/>
          <w:lang w:val="es-ES"/>
        </w:rPr>
        <w:t xml:space="preserve"> </w:t>
      </w:r>
      <w:r w:rsidRPr="00472F0E">
        <w:rPr>
          <w:rFonts w:ascii="Verdana" w:eastAsia="Arial" w:hAnsi="Verdana" w:cs="Arial"/>
          <w:sz w:val="20"/>
          <w:szCs w:val="20"/>
          <w:lang w:val="es-ES"/>
        </w:rPr>
        <w:t>que será sancionada con arreglo al régimen disciplinario</w:t>
      </w:r>
      <w:r w:rsidRPr="00472F0E">
        <w:rPr>
          <w:rFonts w:ascii="Verdana" w:eastAsia="Arial" w:hAnsi="Verdana" w:cs="Arial"/>
          <w:spacing w:val="-12"/>
          <w:sz w:val="20"/>
          <w:szCs w:val="20"/>
          <w:lang w:val="es-ES"/>
        </w:rPr>
        <w:t xml:space="preserve"> </w:t>
      </w:r>
      <w:r w:rsidRPr="00472F0E">
        <w:rPr>
          <w:rFonts w:ascii="Verdana" w:eastAsia="Arial" w:hAnsi="Verdana" w:cs="Arial"/>
          <w:sz w:val="20"/>
          <w:szCs w:val="20"/>
          <w:lang w:val="es-ES"/>
        </w:rPr>
        <w:t>vigente”.</w:t>
      </w:r>
    </w:p>
    <w:p w14:paraId="271D4451" w14:textId="77777777" w:rsidR="00C37701" w:rsidRPr="001F41BC" w:rsidRDefault="00C37701" w:rsidP="00C37701">
      <w:pPr>
        <w:widowControl w:val="0"/>
        <w:autoSpaceDE w:val="0"/>
        <w:autoSpaceDN w:val="0"/>
        <w:spacing w:after="0" w:line="276" w:lineRule="auto"/>
        <w:ind w:left="709" w:right="709"/>
        <w:jc w:val="both"/>
        <w:rPr>
          <w:rFonts w:ascii="Verdana" w:eastAsia="Arial" w:hAnsi="Verdana" w:cs="Arial"/>
          <w:lang w:val="es-ES"/>
        </w:rPr>
      </w:pPr>
    </w:p>
    <w:p w14:paraId="28D29279" w14:textId="77777777" w:rsidR="00C37701" w:rsidRDefault="00C37701" w:rsidP="00C37701">
      <w:pPr>
        <w:widowControl w:val="0"/>
        <w:autoSpaceDE w:val="0"/>
        <w:autoSpaceDN w:val="0"/>
        <w:spacing w:after="0" w:line="276" w:lineRule="auto"/>
        <w:ind w:firstLine="709"/>
        <w:jc w:val="both"/>
        <w:rPr>
          <w:rFonts w:ascii="Verdana" w:eastAsia="Arial" w:hAnsi="Verdana" w:cs="Arial"/>
          <w:lang w:val="es-ES"/>
        </w:rPr>
      </w:pPr>
      <w:r w:rsidRPr="001F41BC">
        <w:rPr>
          <w:rFonts w:ascii="Verdana" w:eastAsia="Arial" w:hAnsi="Verdana" w:cs="Arial"/>
          <w:lang w:val="es-ES"/>
        </w:rPr>
        <w:t>Del artículo 23 de la Ley 1150 de 2007 se concluye que</w:t>
      </w:r>
      <w:r>
        <w:rPr>
          <w:rFonts w:ascii="Verdana" w:eastAsia="Arial" w:hAnsi="Verdana" w:cs="Arial"/>
          <w:lang w:val="es-ES"/>
        </w:rPr>
        <w:t>,</w:t>
      </w:r>
      <w:r w:rsidRPr="001F41BC">
        <w:rPr>
          <w:rFonts w:ascii="Verdana" w:eastAsia="Arial" w:hAnsi="Verdana" w:cs="Arial"/>
          <w:lang w:val="es-ES"/>
        </w:rPr>
        <w:t xml:space="preserve"> si bien los proponentes y los contratistas deben estar al día en el pago al Sistema de Seguridad Social, la verificación de este requisito, por parte de las entidades estatales, se realizará como requisito para iniciar la ejecución de los contratos –inciso primero– y cuando realicen cada pago originado en el contrato estatal –parágrafo 1–, es decir, durante la ejecución del contrato. En estos términos, la obligación de estar al día en el pago al Sistema de Seguridad Social Integral es un requisito de ejecución de los contratos estatales. Sin embargo, ello no significa que no se solicite en momentos previos y posteriores a la celebración del contrato, teniendo en cuenta lo prescrito en el artículo 50 de la Ley 789 de 2002. </w:t>
      </w:r>
    </w:p>
    <w:p w14:paraId="3149E487" w14:textId="77777777" w:rsidR="00C37701" w:rsidRPr="001F41BC" w:rsidRDefault="00C37701" w:rsidP="00C37701">
      <w:pPr>
        <w:widowControl w:val="0"/>
        <w:autoSpaceDE w:val="0"/>
        <w:autoSpaceDN w:val="0"/>
        <w:spacing w:after="0" w:line="276" w:lineRule="auto"/>
        <w:ind w:firstLine="709"/>
        <w:jc w:val="both"/>
        <w:rPr>
          <w:rFonts w:ascii="Verdana" w:eastAsia="Arial" w:hAnsi="Verdana" w:cs="Arial"/>
          <w:lang w:val="es-ES"/>
        </w:rPr>
      </w:pPr>
    </w:p>
    <w:p w14:paraId="7AD0EE33" w14:textId="77777777" w:rsidR="00C37701" w:rsidRPr="001F41BC" w:rsidRDefault="00C37701" w:rsidP="00C37701">
      <w:pPr>
        <w:widowControl w:val="0"/>
        <w:autoSpaceDE w:val="0"/>
        <w:autoSpaceDN w:val="0"/>
        <w:spacing w:after="120" w:line="276" w:lineRule="auto"/>
        <w:jc w:val="both"/>
        <w:rPr>
          <w:rFonts w:ascii="Verdana" w:eastAsia="Arial" w:hAnsi="Verdana" w:cs="Arial"/>
          <w:lang w:val="es-ES"/>
        </w:rPr>
      </w:pPr>
      <w:r>
        <w:rPr>
          <w:rFonts w:ascii="Verdana" w:eastAsia="Arial" w:hAnsi="Verdana" w:cs="Arial"/>
          <w:lang w:val="es-ES"/>
        </w:rPr>
        <w:t xml:space="preserve">ii. </w:t>
      </w:r>
      <w:r w:rsidRPr="001F41BC">
        <w:rPr>
          <w:rFonts w:ascii="Verdana" w:eastAsia="Arial" w:hAnsi="Verdana" w:cs="Arial"/>
          <w:lang w:val="es-ES"/>
        </w:rPr>
        <w:t>De esta manera, integrando las diferentes disposiciones que regulan el deber de acreditar el cumplimiento de las obligaciones relacionadas con el Sistema de Seguridad Social Integral, en concreto, el artículo 50 de la Ley 789 de 2002 y el artículo 41 de la Ley 80 de 1993, modificado por el artículo 23 de la Ley 1150 de 2007, es posible concluir</w:t>
      </w:r>
      <w:r w:rsidRPr="001F41BC" w:rsidDel="006B64E9">
        <w:rPr>
          <w:rFonts w:ascii="Verdana" w:eastAsia="Arial" w:hAnsi="Verdana" w:cs="Arial"/>
          <w:lang w:val="es-ES"/>
        </w:rPr>
        <w:t xml:space="preserve"> </w:t>
      </w:r>
      <w:r w:rsidRPr="001F41BC">
        <w:rPr>
          <w:rFonts w:ascii="Verdana" w:eastAsia="Arial" w:hAnsi="Verdana" w:cs="Arial"/>
          <w:lang w:val="es-ES"/>
        </w:rPr>
        <w:t xml:space="preserve">que la acreditación de dicho requisito se realiza en diferentes momentos del proceso contractual, tal como se detalla a continuación. </w:t>
      </w:r>
    </w:p>
    <w:p w14:paraId="3C4F0E98" w14:textId="77777777" w:rsidR="00C37701" w:rsidRPr="001F41BC" w:rsidRDefault="00C37701" w:rsidP="00C37701">
      <w:pPr>
        <w:widowControl w:val="0"/>
        <w:autoSpaceDE w:val="0"/>
        <w:autoSpaceDN w:val="0"/>
        <w:spacing w:before="120" w:after="120" w:line="276" w:lineRule="auto"/>
        <w:ind w:firstLine="709"/>
        <w:jc w:val="both"/>
        <w:rPr>
          <w:rFonts w:ascii="Verdana" w:eastAsia="Arial" w:hAnsi="Verdana" w:cs="Arial"/>
          <w:lang w:val="es-ES"/>
        </w:rPr>
      </w:pPr>
      <w:r w:rsidRPr="001F41BC">
        <w:rPr>
          <w:rFonts w:ascii="Verdana" w:eastAsia="Arial" w:hAnsi="Verdana" w:cs="Arial"/>
          <w:bCs/>
          <w:lang w:val="es-ES"/>
        </w:rPr>
        <w:t>1.</w:t>
      </w:r>
      <w:r w:rsidRPr="001F41BC">
        <w:rPr>
          <w:rFonts w:ascii="Verdana" w:eastAsia="Arial" w:hAnsi="Verdana" w:cs="Arial"/>
          <w:lang w:val="es-ES"/>
        </w:rPr>
        <w:t xml:space="preserve"> </w:t>
      </w:r>
      <w:r w:rsidRPr="001F41BC">
        <w:rPr>
          <w:rFonts w:ascii="Verdana" w:eastAsia="Arial" w:hAnsi="Verdana" w:cs="Arial"/>
          <w:i/>
          <w:iCs/>
          <w:lang w:val="es-ES"/>
        </w:rPr>
        <w:t>Para presentar la oferta</w:t>
      </w:r>
      <w:r w:rsidRPr="001F41BC">
        <w:rPr>
          <w:rFonts w:ascii="Verdana" w:eastAsia="Arial" w:hAnsi="Verdana" w:cs="Arial"/>
          <w:lang w:val="es-ES"/>
        </w:rPr>
        <w:t xml:space="preserve"> los proponentes deben acreditar el pago de los aportes de sus</w:t>
      </w:r>
      <w:r w:rsidRPr="001F41BC">
        <w:rPr>
          <w:rFonts w:ascii="Verdana" w:eastAsia="Arial" w:hAnsi="Verdana" w:cs="Arial"/>
          <w:spacing w:val="-6"/>
          <w:lang w:val="es-ES"/>
        </w:rPr>
        <w:t xml:space="preserve"> </w:t>
      </w:r>
      <w:r w:rsidRPr="001F41BC">
        <w:rPr>
          <w:rFonts w:ascii="Verdana" w:eastAsia="Arial" w:hAnsi="Verdana" w:cs="Arial"/>
          <w:lang w:val="es-ES"/>
        </w:rPr>
        <w:t>empleados,</w:t>
      </w:r>
      <w:r w:rsidRPr="001F41BC">
        <w:rPr>
          <w:rFonts w:ascii="Verdana" w:eastAsia="Arial" w:hAnsi="Verdana" w:cs="Arial"/>
          <w:spacing w:val="-6"/>
          <w:lang w:val="es-ES"/>
        </w:rPr>
        <w:t xml:space="preserve"> </w:t>
      </w:r>
      <w:r w:rsidRPr="001F41BC">
        <w:rPr>
          <w:rFonts w:ascii="Verdana" w:eastAsia="Arial" w:hAnsi="Verdana" w:cs="Arial"/>
          <w:lang w:val="es-ES"/>
        </w:rPr>
        <w:t>mediante</w:t>
      </w:r>
      <w:r w:rsidRPr="001F41BC">
        <w:rPr>
          <w:rFonts w:ascii="Verdana" w:eastAsia="Arial" w:hAnsi="Verdana" w:cs="Arial"/>
          <w:spacing w:val="-6"/>
          <w:lang w:val="es-ES"/>
        </w:rPr>
        <w:t xml:space="preserve"> </w:t>
      </w:r>
      <w:r w:rsidRPr="001F41BC">
        <w:rPr>
          <w:rFonts w:ascii="Verdana" w:eastAsia="Arial" w:hAnsi="Verdana" w:cs="Arial"/>
          <w:lang w:val="es-ES"/>
        </w:rPr>
        <w:t>certificación</w:t>
      </w:r>
      <w:r w:rsidRPr="001F41BC">
        <w:rPr>
          <w:rFonts w:ascii="Verdana" w:eastAsia="Arial" w:hAnsi="Verdana" w:cs="Arial"/>
          <w:spacing w:val="-6"/>
          <w:lang w:val="es-ES"/>
        </w:rPr>
        <w:t xml:space="preserve"> </w:t>
      </w:r>
      <w:r w:rsidRPr="001F41BC">
        <w:rPr>
          <w:rFonts w:ascii="Verdana" w:eastAsia="Arial" w:hAnsi="Verdana" w:cs="Arial"/>
          <w:lang w:val="es-ES"/>
        </w:rPr>
        <w:t>expedida</w:t>
      </w:r>
      <w:r w:rsidRPr="001F41BC">
        <w:rPr>
          <w:rFonts w:ascii="Verdana" w:eastAsia="Arial" w:hAnsi="Verdana" w:cs="Arial"/>
          <w:spacing w:val="-6"/>
          <w:lang w:val="es-ES"/>
        </w:rPr>
        <w:t xml:space="preserve"> </w:t>
      </w:r>
      <w:r w:rsidRPr="001F41BC">
        <w:rPr>
          <w:rFonts w:ascii="Verdana" w:eastAsia="Arial" w:hAnsi="Verdana" w:cs="Arial"/>
          <w:lang w:val="es-ES"/>
        </w:rPr>
        <w:t>por</w:t>
      </w:r>
      <w:r w:rsidRPr="001F41BC">
        <w:rPr>
          <w:rFonts w:ascii="Verdana" w:eastAsia="Arial" w:hAnsi="Verdana" w:cs="Arial"/>
          <w:spacing w:val="-6"/>
          <w:lang w:val="es-ES"/>
        </w:rPr>
        <w:t xml:space="preserve"> </w:t>
      </w:r>
      <w:r w:rsidRPr="001F41BC">
        <w:rPr>
          <w:rFonts w:ascii="Verdana" w:eastAsia="Arial" w:hAnsi="Verdana" w:cs="Arial"/>
          <w:lang w:val="es-ES"/>
        </w:rPr>
        <w:t>el</w:t>
      </w:r>
      <w:r w:rsidRPr="001F41BC">
        <w:rPr>
          <w:rFonts w:ascii="Verdana" w:eastAsia="Arial" w:hAnsi="Verdana" w:cs="Arial"/>
          <w:spacing w:val="-6"/>
          <w:lang w:val="es-ES"/>
        </w:rPr>
        <w:t xml:space="preserve"> </w:t>
      </w:r>
      <w:r w:rsidRPr="001F41BC">
        <w:rPr>
          <w:rFonts w:ascii="Verdana" w:eastAsia="Arial" w:hAnsi="Verdana" w:cs="Arial"/>
          <w:lang w:val="es-ES"/>
        </w:rPr>
        <w:t>revisor</w:t>
      </w:r>
      <w:r w:rsidRPr="001F41BC">
        <w:rPr>
          <w:rFonts w:ascii="Verdana" w:eastAsia="Arial" w:hAnsi="Verdana" w:cs="Arial"/>
          <w:spacing w:val="-6"/>
          <w:lang w:val="es-ES"/>
        </w:rPr>
        <w:t xml:space="preserve"> </w:t>
      </w:r>
      <w:r w:rsidRPr="001F41BC">
        <w:rPr>
          <w:rFonts w:ascii="Verdana" w:eastAsia="Arial" w:hAnsi="Verdana" w:cs="Arial"/>
          <w:lang w:val="es-ES"/>
        </w:rPr>
        <w:t>fiscal,</w:t>
      </w:r>
      <w:r w:rsidRPr="001F41BC">
        <w:rPr>
          <w:rFonts w:ascii="Verdana" w:eastAsia="Arial" w:hAnsi="Verdana" w:cs="Arial"/>
          <w:spacing w:val="-5"/>
          <w:lang w:val="es-ES"/>
        </w:rPr>
        <w:t xml:space="preserve"> </w:t>
      </w:r>
      <w:r w:rsidRPr="001F41BC">
        <w:rPr>
          <w:rFonts w:ascii="Verdana" w:eastAsia="Arial" w:hAnsi="Verdana" w:cs="Arial"/>
          <w:lang w:val="es-ES"/>
        </w:rPr>
        <w:t>cuando</w:t>
      </w:r>
      <w:r w:rsidRPr="001F41BC">
        <w:rPr>
          <w:rFonts w:ascii="Verdana" w:eastAsia="Arial" w:hAnsi="Verdana" w:cs="Arial"/>
          <w:spacing w:val="-6"/>
          <w:lang w:val="es-ES"/>
        </w:rPr>
        <w:t xml:space="preserve"> </w:t>
      </w:r>
      <w:r w:rsidRPr="001F41BC">
        <w:rPr>
          <w:rFonts w:ascii="Verdana" w:eastAsia="Arial" w:hAnsi="Verdana" w:cs="Arial"/>
          <w:lang w:val="es-ES"/>
        </w:rPr>
        <w:t>este</w:t>
      </w:r>
      <w:r w:rsidRPr="001F41BC">
        <w:rPr>
          <w:rFonts w:ascii="Verdana" w:eastAsia="Arial" w:hAnsi="Verdana" w:cs="Arial"/>
          <w:spacing w:val="-6"/>
          <w:lang w:val="es-ES"/>
        </w:rPr>
        <w:t xml:space="preserve"> </w:t>
      </w:r>
      <w:r w:rsidRPr="001F41BC">
        <w:rPr>
          <w:rFonts w:ascii="Verdana" w:eastAsia="Arial" w:hAnsi="Verdana" w:cs="Arial"/>
          <w:lang w:val="es-ES"/>
        </w:rPr>
        <w:t>exista de</w:t>
      </w:r>
      <w:r w:rsidRPr="001F41BC">
        <w:rPr>
          <w:rFonts w:ascii="Verdana" w:eastAsia="Arial" w:hAnsi="Verdana" w:cs="Arial"/>
          <w:spacing w:val="-9"/>
          <w:lang w:val="es-ES"/>
        </w:rPr>
        <w:t xml:space="preserve"> </w:t>
      </w:r>
      <w:r w:rsidRPr="001F41BC">
        <w:rPr>
          <w:rFonts w:ascii="Verdana" w:eastAsia="Arial" w:hAnsi="Verdana" w:cs="Arial"/>
          <w:lang w:val="es-ES"/>
        </w:rPr>
        <w:t>acuerdo</w:t>
      </w:r>
      <w:r w:rsidRPr="001F41BC">
        <w:rPr>
          <w:rFonts w:ascii="Verdana" w:eastAsia="Arial" w:hAnsi="Verdana" w:cs="Arial"/>
          <w:spacing w:val="-8"/>
          <w:lang w:val="es-ES"/>
        </w:rPr>
        <w:t xml:space="preserve"> </w:t>
      </w:r>
      <w:r w:rsidRPr="001F41BC">
        <w:rPr>
          <w:rFonts w:ascii="Verdana" w:eastAsia="Arial" w:hAnsi="Verdana" w:cs="Arial"/>
          <w:lang w:val="es-ES"/>
        </w:rPr>
        <w:t>con</w:t>
      </w:r>
      <w:r w:rsidRPr="001F41BC">
        <w:rPr>
          <w:rFonts w:ascii="Verdana" w:eastAsia="Arial" w:hAnsi="Verdana" w:cs="Arial"/>
          <w:spacing w:val="-8"/>
          <w:lang w:val="es-ES"/>
        </w:rPr>
        <w:t xml:space="preserve"> </w:t>
      </w:r>
      <w:r w:rsidRPr="001F41BC">
        <w:rPr>
          <w:rFonts w:ascii="Verdana" w:eastAsia="Arial" w:hAnsi="Verdana" w:cs="Arial"/>
          <w:lang w:val="es-ES"/>
        </w:rPr>
        <w:t>los</w:t>
      </w:r>
      <w:r w:rsidRPr="001F41BC">
        <w:rPr>
          <w:rFonts w:ascii="Verdana" w:eastAsia="Arial" w:hAnsi="Verdana" w:cs="Arial"/>
          <w:spacing w:val="-8"/>
          <w:lang w:val="es-ES"/>
        </w:rPr>
        <w:t xml:space="preserve"> </w:t>
      </w:r>
      <w:r w:rsidRPr="001F41BC">
        <w:rPr>
          <w:rFonts w:ascii="Verdana" w:eastAsia="Arial" w:hAnsi="Verdana" w:cs="Arial"/>
          <w:lang w:val="es-ES"/>
        </w:rPr>
        <w:t>requerimientos</w:t>
      </w:r>
      <w:r w:rsidRPr="001F41BC">
        <w:rPr>
          <w:rFonts w:ascii="Verdana" w:eastAsia="Arial" w:hAnsi="Verdana" w:cs="Arial"/>
          <w:spacing w:val="-9"/>
          <w:lang w:val="es-ES"/>
        </w:rPr>
        <w:t xml:space="preserve"> </w:t>
      </w:r>
      <w:r w:rsidRPr="001F41BC">
        <w:rPr>
          <w:rFonts w:ascii="Verdana" w:eastAsia="Arial" w:hAnsi="Verdana" w:cs="Arial"/>
          <w:lang w:val="es-ES"/>
        </w:rPr>
        <w:t>de</w:t>
      </w:r>
      <w:r w:rsidRPr="001F41BC">
        <w:rPr>
          <w:rFonts w:ascii="Verdana" w:eastAsia="Arial" w:hAnsi="Verdana" w:cs="Arial"/>
          <w:spacing w:val="-8"/>
          <w:lang w:val="es-ES"/>
        </w:rPr>
        <w:t xml:space="preserve"> </w:t>
      </w:r>
      <w:r w:rsidRPr="001F41BC">
        <w:rPr>
          <w:rFonts w:ascii="Verdana" w:eastAsia="Arial" w:hAnsi="Verdana" w:cs="Arial"/>
          <w:lang w:val="es-ES"/>
        </w:rPr>
        <w:t>ley,</w:t>
      </w:r>
      <w:r w:rsidRPr="001F41BC">
        <w:rPr>
          <w:rFonts w:ascii="Verdana" w:eastAsia="Arial" w:hAnsi="Verdana" w:cs="Arial"/>
          <w:spacing w:val="-8"/>
          <w:lang w:val="es-ES"/>
        </w:rPr>
        <w:t xml:space="preserve"> </w:t>
      </w:r>
      <w:r w:rsidRPr="001F41BC">
        <w:rPr>
          <w:rFonts w:ascii="Verdana" w:eastAsia="Arial" w:hAnsi="Verdana" w:cs="Arial"/>
          <w:lang w:val="es-ES"/>
        </w:rPr>
        <w:t>o</w:t>
      </w:r>
      <w:r w:rsidRPr="001F41BC">
        <w:rPr>
          <w:rFonts w:ascii="Verdana" w:eastAsia="Arial" w:hAnsi="Verdana" w:cs="Arial"/>
          <w:spacing w:val="-8"/>
          <w:lang w:val="es-ES"/>
        </w:rPr>
        <w:t xml:space="preserve"> </w:t>
      </w:r>
      <w:r w:rsidRPr="001F41BC">
        <w:rPr>
          <w:rFonts w:ascii="Verdana" w:eastAsia="Arial" w:hAnsi="Verdana" w:cs="Arial"/>
          <w:lang w:val="es-ES"/>
        </w:rPr>
        <w:t>por</w:t>
      </w:r>
      <w:r w:rsidRPr="001F41BC">
        <w:rPr>
          <w:rFonts w:ascii="Verdana" w:eastAsia="Arial" w:hAnsi="Verdana" w:cs="Arial"/>
          <w:spacing w:val="-9"/>
          <w:lang w:val="es-ES"/>
        </w:rPr>
        <w:t xml:space="preserve"> </w:t>
      </w:r>
      <w:r w:rsidRPr="001F41BC">
        <w:rPr>
          <w:rFonts w:ascii="Verdana" w:eastAsia="Arial" w:hAnsi="Verdana" w:cs="Arial"/>
          <w:lang w:val="es-ES"/>
        </w:rPr>
        <w:t>el</w:t>
      </w:r>
      <w:r w:rsidRPr="001F41BC">
        <w:rPr>
          <w:rFonts w:ascii="Verdana" w:eastAsia="Arial" w:hAnsi="Verdana" w:cs="Arial"/>
          <w:spacing w:val="-8"/>
          <w:lang w:val="es-ES"/>
        </w:rPr>
        <w:t xml:space="preserve"> </w:t>
      </w:r>
      <w:r w:rsidRPr="001F41BC">
        <w:rPr>
          <w:rFonts w:ascii="Verdana" w:eastAsia="Arial" w:hAnsi="Verdana" w:cs="Arial"/>
          <w:lang w:val="es-ES"/>
        </w:rPr>
        <w:t>representante</w:t>
      </w:r>
      <w:r w:rsidRPr="001F41BC">
        <w:rPr>
          <w:rFonts w:ascii="Verdana" w:eastAsia="Arial" w:hAnsi="Verdana" w:cs="Arial"/>
          <w:spacing w:val="-8"/>
          <w:lang w:val="es-ES"/>
        </w:rPr>
        <w:t xml:space="preserve"> </w:t>
      </w:r>
      <w:r w:rsidRPr="001F41BC">
        <w:rPr>
          <w:rFonts w:ascii="Verdana" w:eastAsia="Arial" w:hAnsi="Verdana" w:cs="Arial"/>
          <w:lang w:val="es-ES"/>
        </w:rPr>
        <w:t>legal,</w:t>
      </w:r>
      <w:r w:rsidRPr="001F41BC">
        <w:rPr>
          <w:rFonts w:ascii="Verdana" w:eastAsia="Arial" w:hAnsi="Verdana" w:cs="Arial"/>
          <w:spacing w:val="-8"/>
          <w:lang w:val="es-ES"/>
        </w:rPr>
        <w:t xml:space="preserve"> </w:t>
      </w:r>
      <w:r w:rsidRPr="001F41BC">
        <w:rPr>
          <w:rFonts w:ascii="Verdana" w:eastAsia="Arial" w:hAnsi="Verdana" w:cs="Arial"/>
          <w:lang w:val="es-ES"/>
        </w:rPr>
        <w:t>durante</w:t>
      </w:r>
      <w:r w:rsidRPr="001F41BC">
        <w:rPr>
          <w:rFonts w:ascii="Verdana" w:eastAsia="Arial" w:hAnsi="Verdana" w:cs="Arial"/>
          <w:spacing w:val="-9"/>
          <w:lang w:val="es-ES"/>
        </w:rPr>
        <w:t xml:space="preserve"> </w:t>
      </w:r>
      <w:r w:rsidRPr="001F41BC">
        <w:rPr>
          <w:rFonts w:ascii="Verdana" w:eastAsia="Arial" w:hAnsi="Verdana" w:cs="Arial"/>
          <w:lang w:val="es-ES"/>
        </w:rPr>
        <w:t>un</w:t>
      </w:r>
      <w:r w:rsidRPr="001F41BC">
        <w:rPr>
          <w:rFonts w:ascii="Verdana" w:eastAsia="Arial" w:hAnsi="Verdana" w:cs="Arial"/>
          <w:spacing w:val="-8"/>
          <w:lang w:val="es-ES"/>
        </w:rPr>
        <w:t xml:space="preserve"> </w:t>
      </w:r>
      <w:r w:rsidRPr="001F41BC">
        <w:rPr>
          <w:rFonts w:ascii="Verdana" w:eastAsia="Arial" w:hAnsi="Verdana" w:cs="Arial"/>
          <w:lang w:val="es-ES"/>
        </w:rPr>
        <w:t>lapso equivalente al que exija el respectivo régimen de contratación para el que se hubiera constituido la sociedad, el cual, en todo caso, no será inferior a los seis (6) meses anteriores a la celebración del contrato</w:t>
      </w:r>
      <w:r w:rsidRPr="001F41BC">
        <w:rPr>
          <w:rStyle w:val="Refdenotaalpie"/>
          <w:rFonts w:ascii="Verdana" w:eastAsia="Arial" w:hAnsi="Verdana" w:cs="Arial"/>
          <w:lang w:val="es-ES"/>
        </w:rPr>
        <w:footnoteReference w:id="4"/>
      </w:r>
      <w:r w:rsidRPr="001F41BC">
        <w:rPr>
          <w:rFonts w:ascii="Verdana" w:eastAsia="Arial" w:hAnsi="Verdana" w:cs="Arial"/>
          <w:lang w:val="es-ES"/>
        </w:rPr>
        <w:t>. Si bien este certificado no es un requisito</w:t>
      </w:r>
      <w:r w:rsidRPr="001F41BC">
        <w:rPr>
          <w:rFonts w:ascii="Verdana" w:eastAsia="Arial" w:hAnsi="Verdana" w:cs="Arial"/>
          <w:spacing w:val="45"/>
          <w:lang w:val="es-ES"/>
        </w:rPr>
        <w:t xml:space="preserve"> </w:t>
      </w:r>
      <w:r w:rsidRPr="001F41BC">
        <w:rPr>
          <w:rFonts w:ascii="Verdana" w:eastAsia="Arial" w:hAnsi="Verdana" w:cs="Arial"/>
          <w:lang w:val="es-ES"/>
        </w:rPr>
        <w:t xml:space="preserve">para perfeccionar ni para </w:t>
      </w:r>
      <w:r w:rsidRPr="001F41BC">
        <w:rPr>
          <w:rFonts w:ascii="Verdana" w:eastAsia="Arial" w:hAnsi="Verdana" w:cs="Arial"/>
          <w:lang w:val="es-ES"/>
        </w:rPr>
        <w:lastRenderedPageBreak/>
        <w:t xml:space="preserve">ejecutarlo, sí lo es para admitir la oferta en el procedimiento de selección. Cabe señalar que la acreditación en los términos indicado solo procede frente a las </w:t>
      </w:r>
      <w:r w:rsidRPr="001F41BC">
        <w:rPr>
          <w:rFonts w:ascii="Verdana" w:eastAsia="Arial" w:hAnsi="Verdana" w:cs="Arial"/>
          <w:i/>
          <w:iCs/>
          <w:lang w:val="es-ES"/>
        </w:rPr>
        <w:t xml:space="preserve">personas jurídicas </w:t>
      </w:r>
      <w:r w:rsidRPr="001F41BC">
        <w:rPr>
          <w:rFonts w:ascii="Verdana" w:eastAsia="Arial" w:hAnsi="Verdana" w:cs="Arial"/>
          <w:lang w:val="es-ES"/>
        </w:rPr>
        <w:t>–Ley 789 de 2002, art. 50, inciso 3°–.</w:t>
      </w:r>
    </w:p>
    <w:p w14:paraId="3FEF9EA2" w14:textId="77777777" w:rsidR="00C37701" w:rsidRPr="001F41BC" w:rsidRDefault="00C37701" w:rsidP="00C37701">
      <w:pPr>
        <w:widowControl w:val="0"/>
        <w:autoSpaceDE w:val="0"/>
        <w:autoSpaceDN w:val="0"/>
        <w:spacing w:after="120" w:line="276" w:lineRule="auto"/>
        <w:jc w:val="both"/>
        <w:rPr>
          <w:rFonts w:ascii="Verdana" w:eastAsia="Arial" w:hAnsi="Verdana" w:cs="Arial"/>
          <w:lang w:val="es-ES"/>
        </w:rPr>
      </w:pPr>
      <w:r w:rsidRPr="001F41BC">
        <w:rPr>
          <w:rFonts w:ascii="Verdana" w:eastAsia="Arial" w:hAnsi="Verdana" w:cs="Arial"/>
          <w:lang w:val="es-ES"/>
        </w:rPr>
        <w:tab/>
      </w:r>
      <w:r w:rsidRPr="001F41BC">
        <w:rPr>
          <w:rFonts w:ascii="Verdana" w:eastAsia="Arial" w:hAnsi="Verdana" w:cs="Arial"/>
          <w:bCs/>
          <w:lang w:val="es-ES"/>
        </w:rPr>
        <w:t>2.</w:t>
      </w:r>
      <w:r w:rsidRPr="001F41BC">
        <w:rPr>
          <w:rFonts w:ascii="Verdana" w:eastAsia="Arial" w:hAnsi="Verdana" w:cs="Arial"/>
          <w:lang w:val="es-ES"/>
        </w:rPr>
        <w:t xml:space="preserve"> En el momento del </w:t>
      </w:r>
      <w:r w:rsidRPr="001F41BC">
        <w:rPr>
          <w:rFonts w:ascii="Verdana" w:eastAsia="Arial" w:hAnsi="Verdana" w:cs="Arial"/>
          <w:i/>
          <w:iCs/>
          <w:lang w:val="es-ES"/>
        </w:rPr>
        <w:t>perfeccionamiento del contrato estatal</w:t>
      </w:r>
      <w:r w:rsidRPr="001F41BC">
        <w:rPr>
          <w:rFonts w:ascii="Verdana" w:eastAsia="Arial" w:hAnsi="Verdana" w:cs="Arial"/>
          <w:lang w:val="es-ES"/>
        </w:rPr>
        <w:t>, se hace necesario que la entidad pública verifique que se encuentra a paz y salvo del pago de seguridad social. En este sentido, esta obligación legal no se constituye en un elemento de existencia del contrato estatal, puesto que el artículo 41 define que los requisitos de perfeccionamiento son el objeto, precio y solemnidad por escrito. Sin embargo, el legislador estableció que para la celebración del contrato debía acreditarse el cumplimiento de este requisito.</w:t>
      </w:r>
    </w:p>
    <w:p w14:paraId="66A57647" w14:textId="77777777" w:rsidR="00C37701" w:rsidRPr="001F41BC" w:rsidRDefault="00C37701" w:rsidP="00C37701">
      <w:pPr>
        <w:widowControl w:val="0"/>
        <w:autoSpaceDE w:val="0"/>
        <w:autoSpaceDN w:val="0"/>
        <w:spacing w:after="120" w:line="276" w:lineRule="auto"/>
        <w:jc w:val="both"/>
        <w:rPr>
          <w:rFonts w:ascii="Verdana" w:eastAsia="Arial" w:hAnsi="Verdana" w:cs="Arial"/>
          <w:lang w:val="es-ES"/>
        </w:rPr>
      </w:pPr>
      <w:r w:rsidRPr="001F41BC">
        <w:rPr>
          <w:rFonts w:ascii="Verdana" w:eastAsia="Arial" w:hAnsi="Verdana" w:cs="Arial"/>
          <w:lang w:val="es-ES"/>
        </w:rPr>
        <w:tab/>
      </w:r>
      <w:r w:rsidRPr="001F41BC">
        <w:rPr>
          <w:rFonts w:ascii="Verdana" w:eastAsia="Arial" w:hAnsi="Verdana" w:cs="Arial"/>
          <w:bCs/>
          <w:lang w:val="es-ES"/>
        </w:rPr>
        <w:t>3.</w:t>
      </w:r>
      <w:r w:rsidRPr="001F41BC">
        <w:rPr>
          <w:rFonts w:ascii="Verdana" w:eastAsia="Arial" w:hAnsi="Verdana" w:cs="Arial"/>
          <w:lang w:val="es-ES"/>
        </w:rPr>
        <w:t xml:space="preserve"> El pago de los aportes de seguridad social es un </w:t>
      </w:r>
      <w:r w:rsidRPr="001F41BC">
        <w:rPr>
          <w:rFonts w:ascii="Verdana" w:eastAsia="Arial" w:hAnsi="Verdana" w:cs="Arial"/>
          <w:i/>
          <w:iCs/>
          <w:lang w:val="es-ES"/>
        </w:rPr>
        <w:t>requisito de ejecución</w:t>
      </w:r>
      <w:r w:rsidRPr="001F41BC">
        <w:rPr>
          <w:rFonts w:ascii="Verdana" w:eastAsia="Arial" w:hAnsi="Verdana" w:cs="Arial"/>
          <w:lang w:val="es-ES"/>
        </w:rPr>
        <w:t xml:space="preserve"> del contrato, es decir, es un elemento </w:t>
      </w:r>
      <w:r w:rsidRPr="001F41BC">
        <w:rPr>
          <w:rFonts w:ascii="Verdana" w:eastAsia="Arial" w:hAnsi="Verdana" w:cs="Arial"/>
          <w:i/>
          <w:lang w:val="es-ES"/>
        </w:rPr>
        <w:t>sine qua non</w:t>
      </w:r>
      <w:r w:rsidRPr="001F41BC">
        <w:rPr>
          <w:rFonts w:ascii="Verdana" w:eastAsia="Arial" w:hAnsi="Verdana" w:cs="Arial"/>
          <w:lang w:val="es-ES"/>
        </w:rPr>
        <w:t xml:space="preserve"> para que las partes puedan empezar a cumplir con las obligaciones contractuales, de acuerdo con el artículo 23 de la Ley 1150 de 2007 –inciso primero–. Sin perjuicio de lo anterior, es posible que la entidad estatal, atendiendo a las circunstancias de cada caso, considere que con los documentos mediante los cuales se acreditó el cumplimiento de este requisito para la celebración del contrato, también sean idóneos para entender que se encuentra acreditado para iniciar la ejecución, lo anterior atendiendo a principios como el de economía. Sin embargo, como se indicó, ello dependerá de cada caso, pues usualmente entre el momento del perfeccionamiento del contrato y el inicio de la ejecución no suelen pasar muchos días, por lo que dependiendo de cada caso se analizará si con los documentos presentados para suscribir el contrato puede entenderse cumplido el requisito para el momento de iniciar la ejecución.  </w:t>
      </w:r>
    </w:p>
    <w:p w14:paraId="74B7824B" w14:textId="77777777" w:rsidR="00C37701" w:rsidRPr="001F41BC" w:rsidRDefault="00C37701" w:rsidP="00C37701">
      <w:pPr>
        <w:widowControl w:val="0"/>
        <w:autoSpaceDE w:val="0"/>
        <w:autoSpaceDN w:val="0"/>
        <w:spacing w:after="120" w:line="276" w:lineRule="auto"/>
        <w:ind w:firstLine="709"/>
        <w:jc w:val="both"/>
        <w:rPr>
          <w:rFonts w:ascii="Verdana" w:eastAsia="Arial" w:hAnsi="Verdana" w:cs="Arial"/>
          <w:lang w:val="es-ES"/>
        </w:rPr>
      </w:pPr>
      <w:r w:rsidRPr="001F41BC">
        <w:rPr>
          <w:rFonts w:ascii="Verdana" w:eastAsia="Arial" w:hAnsi="Verdana" w:cs="Arial"/>
          <w:bCs/>
          <w:lang w:val="es-ES"/>
        </w:rPr>
        <w:t>4.</w:t>
      </w:r>
      <w:r w:rsidRPr="001F41BC">
        <w:rPr>
          <w:rFonts w:ascii="Verdana" w:eastAsia="Arial" w:hAnsi="Verdana" w:cs="Arial"/>
          <w:lang w:val="es-ES"/>
        </w:rPr>
        <w:t xml:space="preserve"> </w:t>
      </w:r>
      <w:r w:rsidRPr="001F41BC">
        <w:rPr>
          <w:rFonts w:ascii="Verdana" w:eastAsia="Arial" w:hAnsi="Verdana" w:cs="Arial"/>
          <w:i/>
          <w:iCs/>
          <w:lang w:val="es-ES"/>
        </w:rPr>
        <w:t>Durante la ejecución del contrato</w:t>
      </w:r>
      <w:r w:rsidRPr="001F41BC">
        <w:rPr>
          <w:rFonts w:ascii="Verdana" w:eastAsia="Arial" w:hAnsi="Verdana" w:cs="Arial"/>
          <w:lang w:val="es-ES"/>
        </w:rPr>
        <w:t xml:space="preserve">, la entidad estatal debe verificar el pago a los aportes a seguridad social, verificación que deberá efectuar para realizar cada pago originado en el contrato –parágrafo 1, art. 41 de la Ley 80 de 1993, modificado por el art. 23 de la Ley 1150 de 2007. </w:t>
      </w:r>
    </w:p>
    <w:p w14:paraId="3F0E64CB" w14:textId="77777777" w:rsidR="00C37701" w:rsidRPr="001F41BC" w:rsidRDefault="00C37701" w:rsidP="00C37701">
      <w:pPr>
        <w:widowControl w:val="0"/>
        <w:autoSpaceDE w:val="0"/>
        <w:autoSpaceDN w:val="0"/>
        <w:spacing w:after="120" w:line="276" w:lineRule="auto"/>
        <w:jc w:val="both"/>
        <w:rPr>
          <w:rFonts w:ascii="Verdana" w:eastAsia="Arial" w:hAnsi="Verdana" w:cs="Arial"/>
          <w:lang w:val="es-ES"/>
        </w:rPr>
      </w:pPr>
      <w:r w:rsidRPr="001F41BC">
        <w:rPr>
          <w:rFonts w:ascii="Verdana" w:eastAsia="Arial" w:hAnsi="Verdana" w:cs="Arial"/>
          <w:lang w:val="es-ES"/>
        </w:rPr>
        <w:tab/>
      </w:r>
      <w:r w:rsidRPr="001F41BC">
        <w:rPr>
          <w:rFonts w:ascii="Verdana" w:eastAsia="Arial" w:hAnsi="Verdana" w:cs="Arial"/>
          <w:bCs/>
          <w:lang w:val="es-ES"/>
        </w:rPr>
        <w:t>5.</w:t>
      </w:r>
      <w:r w:rsidRPr="001F41BC">
        <w:rPr>
          <w:rFonts w:ascii="Verdana" w:eastAsia="Arial" w:hAnsi="Verdana" w:cs="Arial"/>
          <w:lang w:val="es-ES"/>
        </w:rPr>
        <w:t xml:space="preserve"> Finalmente,</w:t>
      </w:r>
      <w:r w:rsidRPr="001F41BC">
        <w:rPr>
          <w:rFonts w:ascii="Verdana" w:eastAsia="Arial" w:hAnsi="Verdana" w:cs="Arial"/>
          <w:spacing w:val="-4"/>
          <w:lang w:val="es-ES"/>
        </w:rPr>
        <w:t xml:space="preserve"> </w:t>
      </w:r>
      <w:r w:rsidRPr="001F41BC">
        <w:rPr>
          <w:rFonts w:ascii="Verdana" w:eastAsia="Arial" w:hAnsi="Verdana" w:cs="Arial"/>
          <w:lang w:val="es-ES"/>
        </w:rPr>
        <w:t>en</w:t>
      </w:r>
      <w:r w:rsidRPr="001F41BC">
        <w:rPr>
          <w:rFonts w:ascii="Verdana" w:eastAsia="Arial" w:hAnsi="Verdana" w:cs="Arial"/>
          <w:spacing w:val="-6"/>
          <w:lang w:val="es-ES"/>
        </w:rPr>
        <w:t xml:space="preserve"> </w:t>
      </w:r>
      <w:r w:rsidRPr="001F41BC">
        <w:rPr>
          <w:rFonts w:ascii="Verdana" w:eastAsia="Arial" w:hAnsi="Verdana" w:cs="Arial"/>
          <w:lang w:val="es-ES"/>
        </w:rPr>
        <w:t>virtud</w:t>
      </w:r>
      <w:r w:rsidRPr="001F41BC">
        <w:rPr>
          <w:rFonts w:ascii="Verdana" w:eastAsia="Arial" w:hAnsi="Verdana" w:cs="Arial"/>
          <w:spacing w:val="-5"/>
          <w:lang w:val="es-ES"/>
        </w:rPr>
        <w:t xml:space="preserve"> </w:t>
      </w:r>
      <w:r w:rsidRPr="001F41BC">
        <w:rPr>
          <w:rFonts w:ascii="Verdana" w:eastAsia="Arial" w:hAnsi="Verdana" w:cs="Arial"/>
          <w:lang w:val="es-ES"/>
        </w:rPr>
        <w:t>del</w:t>
      </w:r>
      <w:r w:rsidRPr="001F41BC">
        <w:rPr>
          <w:rFonts w:ascii="Verdana" w:eastAsia="Arial" w:hAnsi="Verdana" w:cs="Arial"/>
          <w:spacing w:val="-6"/>
          <w:lang w:val="es-ES"/>
        </w:rPr>
        <w:t xml:space="preserve"> </w:t>
      </w:r>
      <w:r w:rsidRPr="001F41BC">
        <w:rPr>
          <w:rFonts w:ascii="Verdana" w:eastAsia="Arial" w:hAnsi="Verdana" w:cs="Arial"/>
          <w:lang w:val="es-ES"/>
        </w:rPr>
        <w:t>artículo</w:t>
      </w:r>
      <w:r w:rsidRPr="001F41BC">
        <w:rPr>
          <w:rFonts w:ascii="Verdana" w:eastAsia="Arial" w:hAnsi="Verdana" w:cs="Arial"/>
          <w:spacing w:val="-6"/>
          <w:lang w:val="es-ES"/>
        </w:rPr>
        <w:t xml:space="preserve"> </w:t>
      </w:r>
      <w:r w:rsidRPr="001F41BC">
        <w:rPr>
          <w:rFonts w:ascii="Verdana" w:eastAsia="Arial" w:hAnsi="Verdana" w:cs="Arial"/>
          <w:lang w:val="es-ES"/>
        </w:rPr>
        <w:t>50</w:t>
      </w:r>
      <w:r w:rsidRPr="001F41BC">
        <w:rPr>
          <w:rFonts w:ascii="Verdana" w:eastAsia="Arial" w:hAnsi="Verdana" w:cs="Arial"/>
          <w:spacing w:val="-5"/>
          <w:lang w:val="es-ES"/>
        </w:rPr>
        <w:t xml:space="preserve"> </w:t>
      </w:r>
      <w:r w:rsidRPr="001F41BC">
        <w:rPr>
          <w:rFonts w:ascii="Verdana" w:eastAsia="Arial" w:hAnsi="Verdana" w:cs="Arial"/>
          <w:lang w:val="es-ES"/>
        </w:rPr>
        <w:t>de</w:t>
      </w:r>
      <w:r w:rsidRPr="001F41BC">
        <w:rPr>
          <w:rFonts w:ascii="Verdana" w:eastAsia="Arial" w:hAnsi="Verdana" w:cs="Arial"/>
          <w:spacing w:val="-6"/>
          <w:lang w:val="es-ES"/>
        </w:rPr>
        <w:t xml:space="preserve"> </w:t>
      </w:r>
      <w:r w:rsidRPr="001F41BC">
        <w:rPr>
          <w:rFonts w:ascii="Verdana" w:eastAsia="Arial" w:hAnsi="Verdana" w:cs="Arial"/>
          <w:lang w:val="es-ES"/>
        </w:rPr>
        <w:t>la</w:t>
      </w:r>
      <w:r w:rsidRPr="001F41BC">
        <w:rPr>
          <w:rFonts w:ascii="Verdana" w:eastAsia="Arial" w:hAnsi="Verdana" w:cs="Arial"/>
          <w:spacing w:val="-6"/>
          <w:lang w:val="es-ES"/>
        </w:rPr>
        <w:t xml:space="preserve"> </w:t>
      </w:r>
      <w:r w:rsidRPr="001F41BC">
        <w:rPr>
          <w:rFonts w:ascii="Verdana" w:eastAsia="Arial" w:hAnsi="Verdana" w:cs="Arial"/>
          <w:lang w:val="es-ES"/>
        </w:rPr>
        <w:t>Ley</w:t>
      </w:r>
      <w:r w:rsidRPr="001F41BC">
        <w:rPr>
          <w:rFonts w:ascii="Verdana" w:eastAsia="Arial" w:hAnsi="Verdana" w:cs="Arial"/>
          <w:spacing w:val="-5"/>
          <w:lang w:val="es-ES"/>
        </w:rPr>
        <w:t xml:space="preserve"> </w:t>
      </w:r>
      <w:r w:rsidRPr="001F41BC">
        <w:rPr>
          <w:rFonts w:ascii="Verdana" w:eastAsia="Arial" w:hAnsi="Verdana" w:cs="Arial"/>
          <w:lang w:val="es-ES"/>
        </w:rPr>
        <w:t>789</w:t>
      </w:r>
      <w:r w:rsidRPr="001F41BC">
        <w:rPr>
          <w:rFonts w:ascii="Verdana" w:eastAsia="Arial" w:hAnsi="Verdana" w:cs="Arial"/>
          <w:spacing w:val="-6"/>
          <w:lang w:val="es-ES"/>
        </w:rPr>
        <w:t xml:space="preserve"> </w:t>
      </w:r>
      <w:r w:rsidRPr="001F41BC">
        <w:rPr>
          <w:rFonts w:ascii="Verdana" w:eastAsia="Arial" w:hAnsi="Verdana" w:cs="Arial"/>
          <w:lang w:val="es-ES"/>
        </w:rPr>
        <w:t>de</w:t>
      </w:r>
      <w:r w:rsidRPr="001F41BC">
        <w:rPr>
          <w:rFonts w:ascii="Verdana" w:eastAsia="Arial" w:hAnsi="Verdana" w:cs="Arial"/>
          <w:spacing w:val="-5"/>
          <w:lang w:val="es-ES"/>
        </w:rPr>
        <w:t xml:space="preserve"> </w:t>
      </w:r>
      <w:r w:rsidRPr="001F41BC">
        <w:rPr>
          <w:rFonts w:ascii="Verdana" w:eastAsia="Arial" w:hAnsi="Verdana" w:cs="Arial"/>
          <w:lang w:val="es-ES"/>
        </w:rPr>
        <w:t>2002,</w:t>
      </w:r>
      <w:r w:rsidRPr="001F41BC">
        <w:rPr>
          <w:rFonts w:ascii="Verdana" w:eastAsia="Arial" w:hAnsi="Verdana" w:cs="Arial"/>
          <w:spacing w:val="-6"/>
          <w:lang w:val="es-ES"/>
        </w:rPr>
        <w:t xml:space="preserve"> </w:t>
      </w:r>
      <w:r w:rsidRPr="001F41BC">
        <w:rPr>
          <w:rFonts w:ascii="Verdana" w:eastAsia="Arial" w:hAnsi="Verdana" w:cs="Arial"/>
          <w:lang w:val="es-ES"/>
        </w:rPr>
        <w:t>la</w:t>
      </w:r>
      <w:r w:rsidRPr="001F41BC">
        <w:rPr>
          <w:rFonts w:ascii="Verdana" w:eastAsia="Arial" w:hAnsi="Verdana" w:cs="Arial"/>
          <w:spacing w:val="-6"/>
          <w:lang w:val="es-ES"/>
        </w:rPr>
        <w:t xml:space="preserve"> </w:t>
      </w:r>
      <w:r w:rsidRPr="001F41BC">
        <w:rPr>
          <w:rFonts w:ascii="Verdana" w:eastAsia="Arial" w:hAnsi="Verdana" w:cs="Arial"/>
          <w:lang w:val="es-ES"/>
        </w:rPr>
        <w:t>entidad</w:t>
      </w:r>
      <w:r w:rsidRPr="001F41BC">
        <w:rPr>
          <w:rFonts w:ascii="Verdana" w:eastAsia="Arial" w:hAnsi="Verdana" w:cs="Arial"/>
          <w:spacing w:val="-5"/>
          <w:lang w:val="es-ES"/>
        </w:rPr>
        <w:t xml:space="preserve"> </w:t>
      </w:r>
      <w:r w:rsidRPr="001F41BC">
        <w:rPr>
          <w:rFonts w:ascii="Verdana" w:eastAsia="Arial" w:hAnsi="Verdana" w:cs="Arial"/>
          <w:lang w:val="es-ES"/>
        </w:rPr>
        <w:t xml:space="preserve">verificará, tanto para las personas naturales como para las jurídicas, la realización de los aportes al Sistema de Seguridad Social Integral, al </w:t>
      </w:r>
      <w:r w:rsidRPr="001F41BC">
        <w:rPr>
          <w:rFonts w:ascii="Verdana" w:eastAsia="Arial" w:hAnsi="Verdana" w:cs="Arial"/>
          <w:i/>
          <w:iCs/>
          <w:lang w:val="es-ES"/>
        </w:rPr>
        <w:t>momento de su liquidación</w:t>
      </w:r>
      <w:r w:rsidRPr="001F41BC">
        <w:rPr>
          <w:rFonts w:ascii="Verdana" w:eastAsia="Arial" w:hAnsi="Verdana" w:cs="Arial"/>
          <w:lang w:val="es-ES"/>
        </w:rPr>
        <w:t xml:space="preserve">, y dejarán constancia del cumplimiento de las obligaciones del </w:t>
      </w:r>
      <w:r w:rsidRPr="001F41BC">
        <w:rPr>
          <w:rFonts w:ascii="Verdana" w:eastAsia="Arial" w:hAnsi="Verdana" w:cs="Arial"/>
          <w:lang w:val="es-ES"/>
        </w:rPr>
        <w:lastRenderedPageBreak/>
        <w:t>contratista frente a los aportes mencionados durante toda su vigencia, estableciendo una correcta relación entre el monto cancelado y las sumas que debieron</w:t>
      </w:r>
      <w:r w:rsidRPr="001F41BC">
        <w:rPr>
          <w:rFonts w:ascii="Verdana" w:eastAsia="Arial" w:hAnsi="Verdana" w:cs="Arial"/>
          <w:spacing w:val="-9"/>
          <w:lang w:val="es-ES"/>
        </w:rPr>
        <w:t xml:space="preserve"> </w:t>
      </w:r>
      <w:r w:rsidRPr="001F41BC">
        <w:rPr>
          <w:rFonts w:ascii="Verdana" w:eastAsia="Arial" w:hAnsi="Verdana" w:cs="Arial"/>
          <w:lang w:val="es-ES"/>
        </w:rPr>
        <w:t>cotizar.</w:t>
      </w:r>
    </w:p>
    <w:p w14:paraId="263D88CE" w14:textId="77777777" w:rsidR="00C37701" w:rsidRDefault="00C37701" w:rsidP="00C37701">
      <w:pPr>
        <w:widowControl w:val="0"/>
        <w:autoSpaceDE w:val="0"/>
        <w:autoSpaceDN w:val="0"/>
        <w:spacing w:after="0" w:line="276" w:lineRule="auto"/>
        <w:ind w:firstLine="709"/>
        <w:jc w:val="both"/>
        <w:rPr>
          <w:rFonts w:ascii="Verdana" w:eastAsia="Arial" w:hAnsi="Verdana" w:cs="Arial"/>
          <w:lang w:val="es-ES"/>
        </w:rPr>
      </w:pPr>
      <w:r w:rsidRPr="001F41BC">
        <w:rPr>
          <w:rFonts w:ascii="Verdana" w:eastAsia="Arial" w:hAnsi="Verdana" w:cs="Arial"/>
          <w:lang w:val="es-ES"/>
        </w:rPr>
        <w:t xml:space="preserve"> A partir de las reglas mencionadas, se evidencia que estar al día en el pago de las obligaciones relacionadas con el Sistema de Seguridad Social Integral</w:t>
      </w:r>
      <w:r w:rsidRPr="001F41BC" w:rsidDel="00822685">
        <w:rPr>
          <w:rFonts w:ascii="Verdana" w:eastAsia="Arial" w:hAnsi="Verdana" w:cs="Arial"/>
          <w:lang w:val="es-ES"/>
        </w:rPr>
        <w:t xml:space="preserve"> </w:t>
      </w:r>
      <w:r w:rsidRPr="001F41BC">
        <w:rPr>
          <w:rFonts w:ascii="Verdana" w:eastAsia="Arial" w:hAnsi="Verdana" w:cs="Arial"/>
          <w:lang w:val="es-ES"/>
        </w:rPr>
        <w:t xml:space="preserve">es un requisito cuya verificación debe realizarse en distintos momentos del proceso contractual. Además, dicha verificación deberá efectuarse en relación con todos los contratos que celebren las entidades estatales independientemente de su naturaleza o modalidad de selección. </w:t>
      </w:r>
      <w:bookmarkStart w:id="0" w:name="_Hlk80881612"/>
    </w:p>
    <w:p w14:paraId="21B5FE23" w14:textId="77777777" w:rsidR="00C37701" w:rsidRDefault="00C37701" w:rsidP="00C37701">
      <w:pPr>
        <w:widowControl w:val="0"/>
        <w:autoSpaceDE w:val="0"/>
        <w:autoSpaceDN w:val="0"/>
        <w:spacing w:after="0" w:line="276" w:lineRule="auto"/>
        <w:ind w:firstLine="709"/>
        <w:jc w:val="both"/>
        <w:rPr>
          <w:rFonts w:ascii="Verdana" w:eastAsia="Arial" w:hAnsi="Verdana" w:cs="Arial"/>
          <w:lang w:val="es-ES"/>
        </w:rPr>
      </w:pPr>
    </w:p>
    <w:p w14:paraId="5DE33A23" w14:textId="77777777" w:rsidR="00C37701" w:rsidRDefault="00C37701" w:rsidP="00C37701">
      <w:pPr>
        <w:widowControl w:val="0"/>
        <w:autoSpaceDE w:val="0"/>
        <w:autoSpaceDN w:val="0"/>
        <w:spacing w:line="276" w:lineRule="auto"/>
        <w:jc w:val="both"/>
        <w:rPr>
          <w:rFonts w:ascii="Verdana" w:eastAsia="Arial" w:hAnsi="Verdana" w:cs="Arial"/>
          <w:lang w:val="es-ES"/>
        </w:rPr>
      </w:pPr>
      <w:r>
        <w:rPr>
          <w:rFonts w:ascii="Verdana" w:eastAsia="Arial" w:hAnsi="Verdana" w:cs="Arial"/>
          <w:lang w:val="es-ES"/>
        </w:rPr>
        <w:t xml:space="preserve">iii. Ahora bien, la Ley 2381 de 2024 transforma el sistema de pensiones en el </w:t>
      </w:r>
      <w:r w:rsidRPr="00191494">
        <w:rPr>
          <w:rFonts w:ascii="Verdana" w:eastAsia="Arial" w:hAnsi="Verdana" w:cs="Arial"/>
          <w:lang w:val="es-ES"/>
        </w:rPr>
        <w:t>sistema de protección social integral para la vejez, invalidez y muerte de origen común</w:t>
      </w:r>
      <w:r>
        <w:rPr>
          <w:rFonts w:ascii="Verdana" w:eastAsia="Arial" w:hAnsi="Verdana" w:cs="Arial"/>
          <w:lang w:val="es-ES"/>
        </w:rPr>
        <w:t xml:space="preserve">. Para efectos de las cotizaciones, el artículo 21 </w:t>
      </w:r>
      <w:r w:rsidRPr="00191494">
        <w:rPr>
          <w:rFonts w:ascii="Verdana" w:eastAsia="Arial" w:hAnsi="Verdana" w:cs="Arial"/>
          <w:i/>
          <w:iCs/>
          <w:lang w:val="es-ES"/>
        </w:rPr>
        <w:t>ibidem</w:t>
      </w:r>
      <w:r>
        <w:rPr>
          <w:rFonts w:ascii="Verdana" w:eastAsia="Arial" w:hAnsi="Verdana" w:cs="Arial"/>
          <w:lang w:val="es-ES"/>
        </w:rPr>
        <w:t xml:space="preserve"> dispone que “</w:t>
      </w:r>
      <w:r w:rsidRPr="00191494">
        <w:rPr>
          <w:rFonts w:ascii="Verdana" w:eastAsia="Arial" w:hAnsi="Verdana" w:cs="Arial"/>
          <w:lang w:val="es-ES"/>
        </w:rPr>
        <w:t>Responsabilidad por el pago de las cotizaciones. El(la) empleador(a), contratante de prestación de servicios o contratista, será responsable de realizar la cotización al Sistema de Protección Social Integral para la Vejez, invalidez y sobreviviente</w:t>
      </w:r>
      <w:r>
        <w:rPr>
          <w:rFonts w:ascii="Verdana" w:eastAsia="Arial" w:hAnsi="Verdana" w:cs="Arial"/>
          <w:lang w:val="es-ES"/>
        </w:rPr>
        <w:t>” –inciso 1–, de manera que “</w:t>
      </w:r>
      <w:r w:rsidRPr="00191494">
        <w:rPr>
          <w:rFonts w:ascii="Verdana" w:eastAsia="Arial" w:hAnsi="Verdana" w:cs="Arial"/>
          <w:lang w:val="es-ES"/>
        </w:rPr>
        <w:t>El(la) empleador(a), contratante de prestación de servicios o contratista asumirá el porcentaje que le corresponde y descontará el porcentaje del salario y/o honorarios a cargo del(la) trabajador(a) o contratista, en el momento del pago, si a ello hubiere lugar</w:t>
      </w:r>
      <w:r>
        <w:rPr>
          <w:rFonts w:ascii="Verdana" w:eastAsia="Arial" w:hAnsi="Verdana" w:cs="Arial"/>
          <w:lang w:val="es-ES"/>
        </w:rPr>
        <w:t>” –inciso 2–</w:t>
      </w:r>
      <w:r w:rsidRPr="00191494">
        <w:rPr>
          <w:rFonts w:ascii="Verdana" w:eastAsia="Arial" w:hAnsi="Verdana" w:cs="Arial"/>
          <w:lang w:val="es-ES"/>
        </w:rPr>
        <w:t>.</w:t>
      </w:r>
      <w:r>
        <w:rPr>
          <w:rFonts w:ascii="Verdana" w:eastAsia="Arial" w:hAnsi="Verdana" w:cs="Arial"/>
          <w:lang w:val="es-ES"/>
        </w:rPr>
        <w:t xml:space="preserve"> Con anterioridad a la reforma, donde el pago de la seguridad social en los contratos de prestación de servicios era responsabilidad exclusiva del contratista, la norma citada permite que la cotización del </w:t>
      </w:r>
      <w:r w:rsidRPr="00191494">
        <w:rPr>
          <w:rFonts w:ascii="Verdana" w:eastAsia="Arial" w:hAnsi="Verdana" w:cs="Arial"/>
          <w:lang w:val="es-ES"/>
        </w:rPr>
        <w:t>sistema de protección social integral para la vejez, invalidez y muerte de origen común</w:t>
      </w:r>
      <w:r>
        <w:rPr>
          <w:rFonts w:ascii="Verdana" w:eastAsia="Arial" w:hAnsi="Verdana" w:cs="Arial"/>
          <w:lang w:val="es-ES"/>
        </w:rPr>
        <w:t xml:space="preserve"> esté a cargo de la entidad contratante</w:t>
      </w:r>
      <w:r>
        <w:rPr>
          <w:rStyle w:val="Refdenotaalpie"/>
          <w:rFonts w:ascii="Verdana" w:eastAsia="Arial" w:hAnsi="Verdana" w:cs="Arial"/>
          <w:lang w:val="es-ES"/>
        </w:rPr>
        <w:footnoteReference w:id="5"/>
      </w:r>
      <w:r>
        <w:rPr>
          <w:rFonts w:ascii="Verdana" w:eastAsia="Arial" w:hAnsi="Verdana" w:cs="Arial"/>
          <w:lang w:val="es-ES"/>
        </w:rPr>
        <w:t xml:space="preserve">. </w:t>
      </w:r>
    </w:p>
    <w:p w14:paraId="713A3E1C" w14:textId="77777777" w:rsidR="00C37701" w:rsidRDefault="00C37701" w:rsidP="00C37701">
      <w:pPr>
        <w:widowControl w:val="0"/>
        <w:autoSpaceDE w:val="0"/>
        <w:autoSpaceDN w:val="0"/>
        <w:spacing w:after="0" w:line="276" w:lineRule="auto"/>
        <w:ind w:firstLine="708"/>
        <w:jc w:val="both"/>
        <w:rPr>
          <w:rFonts w:ascii="Verdana" w:eastAsia="Arial" w:hAnsi="Verdana" w:cs="Arial"/>
          <w:lang w:val="es-ES"/>
        </w:rPr>
      </w:pPr>
      <w:r>
        <w:rPr>
          <w:rFonts w:ascii="Verdana" w:eastAsia="Arial" w:hAnsi="Verdana" w:cs="Arial"/>
          <w:lang w:val="es-ES"/>
        </w:rPr>
        <w:lastRenderedPageBreak/>
        <w:t>Así, el artículo 21 de la Ley 2381 de 2024 indica que “</w:t>
      </w:r>
      <w:r w:rsidRPr="005134B9">
        <w:rPr>
          <w:rFonts w:ascii="Verdana" w:eastAsia="Arial" w:hAnsi="Verdana" w:cs="Arial"/>
          <w:lang w:val="es-ES"/>
        </w:rPr>
        <w:t>El(la) empleador(a)</w:t>
      </w:r>
      <w:r>
        <w:rPr>
          <w:rFonts w:ascii="Verdana" w:eastAsia="Arial" w:hAnsi="Verdana" w:cs="Arial"/>
          <w:lang w:val="es-ES"/>
        </w:rPr>
        <w:t>,</w:t>
      </w:r>
      <w:r w:rsidRPr="005134B9">
        <w:rPr>
          <w:rFonts w:ascii="Verdana" w:eastAsia="Arial" w:hAnsi="Verdana" w:cs="Arial"/>
          <w:lang w:val="es-ES"/>
        </w:rPr>
        <w:t xml:space="preserve"> contratante de prestación de servicios o contratista responderá por la totalidad de la cotización aún en el evento de que no hubiere efectuado el descuento al(la) trabajador(a), o afiliado</w:t>
      </w:r>
      <w:r>
        <w:rPr>
          <w:rFonts w:ascii="Verdana" w:eastAsia="Arial" w:hAnsi="Verdana" w:cs="Arial"/>
          <w:lang w:val="es-ES"/>
        </w:rPr>
        <w:t>” –inciso 3–. En todo caso, “</w:t>
      </w:r>
      <w:r w:rsidRPr="005134B9">
        <w:rPr>
          <w:rFonts w:ascii="Verdana" w:eastAsia="Arial" w:hAnsi="Verdana" w:cs="Arial"/>
          <w:lang w:val="es-ES"/>
        </w:rPr>
        <w:t>El(la) trabajador(a) independiente es el responsable de su propio pago. Los aportes podrán ser realizados por terceros a favor del afiliado sin que tal hecho implique por sí solo la existencia de una relación laboral, sin que por ello se entiendan habilitadas formas de contratación prohibidas expresamente por la ley</w:t>
      </w:r>
      <w:r>
        <w:rPr>
          <w:rFonts w:ascii="Verdana" w:eastAsia="Arial" w:hAnsi="Verdana" w:cs="Arial"/>
          <w:lang w:val="es-ES"/>
        </w:rPr>
        <w:t xml:space="preserve"> […]” –inciso 4–. Por lo demás, l</w:t>
      </w:r>
      <w:r w:rsidRPr="007610FC">
        <w:rPr>
          <w:rFonts w:ascii="Verdana" w:eastAsia="Arial" w:hAnsi="Verdana" w:cs="Arial"/>
          <w:lang w:val="es-ES"/>
        </w:rPr>
        <w:t>as cotizaciones que no se consignen dentro de los plazos señalados para el efecto gener</w:t>
      </w:r>
      <w:r>
        <w:rPr>
          <w:rFonts w:ascii="Verdana" w:eastAsia="Arial" w:hAnsi="Verdana" w:cs="Arial"/>
          <w:lang w:val="es-ES"/>
        </w:rPr>
        <w:t>an</w:t>
      </w:r>
      <w:r w:rsidRPr="007610FC">
        <w:rPr>
          <w:rFonts w:ascii="Verdana" w:eastAsia="Arial" w:hAnsi="Verdana" w:cs="Arial"/>
          <w:lang w:val="es-ES"/>
        </w:rPr>
        <w:t xml:space="preserve"> interés moratorio</w:t>
      </w:r>
      <w:r>
        <w:rPr>
          <w:rFonts w:ascii="Verdana" w:eastAsia="Arial" w:hAnsi="Verdana" w:cs="Arial"/>
          <w:lang w:val="es-ES"/>
        </w:rPr>
        <w:t xml:space="preserve">, el cual </w:t>
      </w:r>
      <w:r w:rsidRPr="007610FC">
        <w:rPr>
          <w:rFonts w:ascii="Verdana" w:eastAsia="Arial" w:hAnsi="Verdana" w:cs="Arial"/>
          <w:lang w:val="es-ES"/>
        </w:rPr>
        <w:t>se abonará proporcionalmente al fondo de reparto del Componente de Prima Media o en la cuenta individual del Componente Complementario de Ahorro Individual, según corresponda</w:t>
      </w:r>
      <w:r>
        <w:rPr>
          <w:rFonts w:ascii="Verdana" w:eastAsia="Arial" w:hAnsi="Verdana" w:cs="Arial"/>
          <w:lang w:val="es-ES"/>
        </w:rPr>
        <w:t xml:space="preserve"> –incisos 5 y 6–.</w:t>
      </w:r>
      <w:r w:rsidRPr="007610FC">
        <w:rPr>
          <w:rFonts w:ascii="Verdana" w:eastAsia="Arial" w:hAnsi="Verdana" w:cs="Arial"/>
          <w:lang w:val="es-ES"/>
        </w:rPr>
        <w:t xml:space="preserve"> </w:t>
      </w:r>
      <w:r>
        <w:rPr>
          <w:rFonts w:ascii="Verdana" w:eastAsia="Arial" w:hAnsi="Verdana" w:cs="Arial"/>
          <w:lang w:val="es-ES"/>
        </w:rPr>
        <w:t xml:space="preserve">Dicha norma está reglamentada en el artículo </w:t>
      </w:r>
      <w:r w:rsidRPr="00341036">
        <w:rPr>
          <w:rFonts w:ascii="Verdana" w:eastAsia="Arial" w:hAnsi="Verdana" w:cs="Arial"/>
          <w:lang w:val="es-ES"/>
        </w:rPr>
        <w:t>2.2.4.18.7</w:t>
      </w:r>
      <w:r>
        <w:rPr>
          <w:rFonts w:ascii="Verdana" w:eastAsia="Arial" w:hAnsi="Verdana" w:cs="Arial"/>
          <w:lang w:val="es-ES"/>
        </w:rPr>
        <w:t xml:space="preserve"> del Decreto 514 de 2025 en los siguientes términos:</w:t>
      </w:r>
    </w:p>
    <w:p w14:paraId="626D9981" w14:textId="77777777" w:rsidR="00C37701" w:rsidRDefault="00C37701" w:rsidP="00C37701">
      <w:pPr>
        <w:widowControl w:val="0"/>
        <w:autoSpaceDE w:val="0"/>
        <w:autoSpaceDN w:val="0"/>
        <w:spacing w:after="0" w:line="276" w:lineRule="auto"/>
        <w:ind w:firstLine="708"/>
        <w:jc w:val="both"/>
        <w:rPr>
          <w:rFonts w:ascii="Verdana" w:eastAsia="Arial" w:hAnsi="Verdana" w:cs="Arial"/>
          <w:lang w:val="es-ES"/>
        </w:rPr>
      </w:pPr>
    </w:p>
    <w:p w14:paraId="21A6C1E8" w14:textId="77777777" w:rsidR="00C37701" w:rsidRPr="00A063E0" w:rsidRDefault="00C37701" w:rsidP="00C37701">
      <w:pPr>
        <w:widowControl w:val="0"/>
        <w:autoSpaceDE w:val="0"/>
        <w:autoSpaceDN w:val="0"/>
        <w:spacing w:line="240" w:lineRule="auto"/>
        <w:ind w:left="709" w:right="709"/>
        <w:jc w:val="both"/>
        <w:rPr>
          <w:rFonts w:ascii="Verdana" w:eastAsia="Arial" w:hAnsi="Verdana" w:cs="Arial"/>
          <w:sz w:val="20"/>
          <w:szCs w:val="20"/>
          <w:lang w:val="es-ES"/>
        </w:rPr>
      </w:pPr>
      <w:r w:rsidRPr="00A063E0">
        <w:rPr>
          <w:rFonts w:ascii="Verdana" w:eastAsia="Arial" w:hAnsi="Verdana" w:cs="Arial"/>
          <w:sz w:val="20"/>
          <w:szCs w:val="20"/>
          <w:lang w:val="es-ES"/>
        </w:rPr>
        <w:t>“En el marco de lo dispuesto por el artículo 21 de la Ley 2381 de 2024 cuando se celebren contratos de prestación de servicios el contratante y el contratista podrán acordar que será responsabilidad del contratante realizar la cotización al Sistema de Protección Social Integral para la Vejez, Invalidez y Muerte de origen común.</w:t>
      </w:r>
    </w:p>
    <w:p w14:paraId="1569A52B" w14:textId="77777777" w:rsidR="00C37701" w:rsidRPr="00A063E0" w:rsidRDefault="00C37701" w:rsidP="00C37701">
      <w:pPr>
        <w:widowControl w:val="0"/>
        <w:autoSpaceDE w:val="0"/>
        <w:autoSpaceDN w:val="0"/>
        <w:spacing w:line="240" w:lineRule="auto"/>
        <w:ind w:left="709" w:right="709"/>
        <w:jc w:val="both"/>
        <w:rPr>
          <w:rFonts w:ascii="Verdana" w:eastAsia="Arial" w:hAnsi="Verdana" w:cs="Arial"/>
          <w:sz w:val="20"/>
          <w:szCs w:val="20"/>
          <w:lang w:val="es-ES"/>
        </w:rPr>
      </w:pPr>
      <w:r w:rsidRPr="00A063E0">
        <w:rPr>
          <w:rFonts w:ascii="Verdana" w:eastAsia="Arial" w:hAnsi="Verdana" w:cs="Arial"/>
          <w:sz w:val="20"/>
          <w:szCs w:val="20"/>
          <w:lang w:val="es-ES"/>
        </w:rPr>
        <w:t>En este evento y, en virtud del principio de integralidad que rige el Sistema de Seguridad Social Integral, el contratante no solo será responsable de descontar de los honorarios del contratista, en el momento de su pago, el porcentaje de la cotización correspondiente al Sistema de Protección Social Integral para la Vejez, Invalidez y Muerte de origen común, sino además, los porcentajes de cotización correspondientes a los Sistemas Generales de Seguridad Social en Salud y de Riesgos Laborales.</w:t>
      </w:r>
    </w:p>
    <w:p w14:paraId="10F22BD4" w14:textId="77777777" w:rsidR="00C37701" w:rsidRPr="00A063E0" w:rsidRDefault="00C37701" w:rsidP="00C37701">
      <w:pPr>
        <w:widowControl w:val="0"/>
        <w:autoSpaceDE w:val="0"/>
        <w:autoSpaceDN w:val="0"/>
        <w:spacing w:line="240" w:lineRule="auto"/>
        <w:ind w:left="709" w:right="709"/>
        <w:jc w:val="both"/>
        <w:rPr>
          <w:rFonts w:ascii="Verdana" w:eastAsia="Arial" w:hAnsi="Verdana" w:cs="Arial"/>
          <w:sz w:val="20"/>
          <w:szCs w:val="20"/>
          <w:lang w:val="es-ES"/>
        </w:rPr>
      </w:pPr>
      <w:r w:rsidRPr="00A063E0">
        <w:rPr>
          <w:rFonts w:ascii="Verdana" w:eastAsia="Arial" w:hAnsi="Verdana" w:cs="Arial"/>
          <w:sz w:val="20"/>
          <w:szCs w:val="20"/>
          <w:lang w:val="es-ES"/>
        </w:rPr>
        <w:t>El contratante responderá por la totalidad de las cotizaciones a pensiones, salud y riesgos laborales, aún en el evento de que no hubiere efectuado el descuento al contratista.</w:t>
      </w:r>
    </w:p>
    <w:p w14:paraId="35882940" w14:textId="77777777" w:rsidR="00C37701" w:rsidRPr="00A063E0" w:rsidRDefault="00C37701" w:rsidP="00C37701">
      <w:pPr>
        <w:widowControl w:val="0"/>
        <w:autoSpaceDE w:val="0"/>
        <w:autoSpaceDN w:val="0"/>
        <w:spacing w:after="0" w:line="240" w:lineRule="auto"/>
        <w:ind w:left="709" w:right="709"/>
        <w:jc w:val="both"/>
        <w:rPr>
          <w:rFonts w:ascii="Verdana" w:eastAsia="Arial" w:hAnsi="Verdana" w:cs="Arial"/>
          <w:sz w:val="20"/>
          <w:szCs w:val="20"/>
          <w:lang w:val="es-ES"/>
        </w:rPr>
      </w:pPr>
      <w:r w:rsidRPr="00A063E0">
        <w:rPr>
          <w:rFonts w:ascii="Verdana" w:eastAsia="Arial" w:hAnsi="Verdana" w:cs="Arial"/>
          <w:sz w:val="20"/>
          <w:szCs w:val="20"/>
          <w:lang w:val="es-ES"/>
        </w:rPr>
        <w:t xml:space="preserve">Parágrafo 1°. En caso de que no se acuerde que el pago de los aportes al </w:t>
      </w:r>
      <w:r w:rsidRPr="00A063E0">
        <w:rPr>
          <w:rFonts w:ascii="Verdana" w:eastAsia="Arial" w:hAnsi="Verdana" w:cs="Arial"/>
          <w:sz w:val="20"/>
          <w:szCs w:val="20"/>
          <w:lang w:val="es-ES"/>
        </w:rPr>
        <w:lastRenderedPageBreak/>
        <w:t>Sistema de Seguridad Social Integral quedará a cargo del contratante, el contratista seguirá siendo el responsable de su propio pago”.</w:t>
      </w:r>
    </w:p>
    <w:p w14:paraId="43A34FCC" w14:textId="77777777" w:rsidR="00C37701" w:rsidRDefault="00C37701" w:rsidP="00C37701">
      <w:pPr>
        <w:widowControl w:val="0"/>
        <w:autoSpaceDE w:val="0"/>
        <w:autoSpaceDN w:val="0"/>
        <w:spacing w:after="0" w:line="276" w:lineRule="auto"/>
        <w:jc w:val="both"/>
        <w:rPr>
          <w:rFonts w:ascii="Verdana" w:eastAsia="Arial" w:hAnsi="Verdana" w:cs="Arial"/>
          <w:lang w:val="es-ES"/>
        </w:rPr>
      </w:pPr>
    </w:p>
    <w:p w14:paraId="6B390CE3" w14:textId="77777777" w:rsidR="00C37701" w:rsidRPr="00691A81" w:rsidRDefault="00C37701" w:rsidP="00C37701">
      <w:pPr>
        <w:widowControl w:val="0"/>
        <w:autoSpaceDE w:val="0"/>
        <w:autoSpaceDN w:val="0"/>
        <w:spacing w:after="120" w:line="276" w:lineRule="auto"/>
        <w:jc w:val="both"/>
        <w:rPr>
          <w:rFonts w:ascii="Verdana" w:eastAsia="Arial" w:hAnsi="Verdana" w:cs="Arial"/>
        </w:rPr>
      </w:pPr>
      <w:r>
        <w:rPr>
          <w:rFonts w:ascii="Verdana" w:eastAsia="Arial" w:hAnsi="Verdana" w:cs="Arial"/>
          <w:lang w:val="es-ES"/>
        </w:rPr>
        <w:tab/>
        <w:t>De esta manera, las cotizaciones a cargo de las entidades que suscriben contratos de prestación de servicios no rigen de forma automática con la vigencia de la reforma pensional, sino que requiere pacto expreso con los contratistas.</w:t>
      </w:r>
      <w:r w:rsidRPr="00691A81">
        <w:rPr>
          <w:rFonts w:ascii="Verdana" w:eastAsia="Arial" w:hAnsi="Verdana" w:cs="Arial"/>
        </w:rPr>
        <w:t xml:space="preserve"> </w:t>
      </w:r>
      <w:r w:rsidRPr="00726727">
        <w:rPr>
          <w:rFonts w:ascii="Verdana" w:eastAsia="Arial" w:hAnsi="Verdana" w:cs="Arial"/>
        </w:rPr>
        <w:t xml:space="preserve">Esto supone que, respecto de los contratos en ejecución, </w:t>
      </w:r>
      <w:r>
        <w:rPr>
          <w:rFonts w:ascii="Verdana" w:eastAsia="Arial" w:hAnsi="Verdana" w:cs="Arial"/>
        </w:rPr>
        <w:t xml:space="preserve">es </w:t>
      </w:r>
      <w:r w:rsidRPr="00F379A9">
        <w:rPr>
          <w:rFonts w:ascii="Verdana" w:eastAsia="Arial" w:hAnsi="Verdana" w:cs="Arial"/>
        </w:rPr>
        <w:t>indispensable realizar la modificación de las cláusulas contractuales pertinentes, con el fin de incorporar expresamente la obligación a cargo de la entidad. E</w:t>
      </w:r>
      <w:r>
        <w:rPr>
          <w:rFonts w:ascii="Verdana" w:eastAsia="Arial" w:hAnsi="Verdana" w:cs="Arial"/>
        </w:rPr>
        <w:t>llo</w:t>
      </w:r>
      <w:r w:rsidRPr="00F379A9">
        <w:rPr>
          <w:rFonts w:ascii="Verdana" w:eastAsia="Arial" w:hAnsi="Verdana" w:cs="Arial"/>
        </w:rPr>
        <w:t xml:space="preserve"> obedece a que el contrato es el instrumento que define y delimita las obligaciones recíprocas de las partes y constituye el marco jurídico para su ejecución</w:t>
      </w:r>
      <w:r>
        <w:rPr>
          <w:rFonts w:ascii="Verdana" w:eastAsia="Arial" w:hAnsi="Verdana" w:cs="Arial"/>
        </w:rPr>
        <w:t>, por tanto, l</w:t>
      </w:r>
      <w:r w:rsidRPr="00F379A9">
        <w:rPr>
          <w:rFonts w:ascii="Verdana" w:eastAsia="Arial" w:hAnsi="Verdana" w:cs="Arial"/>
        </w:rPr>
        <w:t xml:space="preserve">a formalización de dicha modificación asegura la coherencia entre el marco legal vigente y el contenido contractual. En cuanto a los contratos que la entidad celebre </w:t>
      </w:r>
      <w:r>
        <w:rPr>
          <w:rFonts w:ascii="Verdana" w:eastAsia="Arial" w:hAnsi="Verdana" w:cs="Arial"/>
        </w:rPr>
        <w:t xml:space="preserve">a </w:t>
      </w:r>
      <w:r w:rsidRPr="00F379A9">
        <w:rPr>
          <w:rFonts w:ascii="Verdana" w:eastAsia="Arial" w:hAnsi="Verdana" w:cs="Arial"/>
        </w:rPr>
        <w:t xml:space="preserve">futuro, </w:t>
      </w:r>
      <w:r>
        <w:rPr>
          <w:rFonts w:ascii="Verdana" w:eastAsia="Arial" w:hAnsi="Verdana" w:cs="Arial"/>
        </w:rPr>
        <w:t>se deberá</w:t>
      </w:r>
      <w:r w:rsidRPr="00F379A9">
        <w:rPr>
          <w:rFonts w:ascii="Verdana" w:eastAsia="Arial" w:hAnsi="Verdana" w:cs="Arial"/>
        </w:rPr>
        <w:t xml:space="preserve"> incorporar una cláusula que refleje el acuerdo relativo a esta nueva obligación</w:t>
      </w:r>
      <w:r>
        <w:rPr>
          <w:rFonts w:ascii="Verdana" w:eastAsia="Arial" w:hAnsi="Verdana" w:cs="Arial"/>
        </w:rPr>
        <w:t>. L</w:t>
      </w:r>
      <w:r w:rsidRPr="00F379A9">
        <w:rPr>
          <w:rFonts w:ascii="Verdana" w:eastAsia="Arial" w:hAnsi="Verdana" w:cs="Arial"/>
        </w:rPr>
        <w:t>o anterior</w:t>
      </w:r>
      <w:r>
        <w:rPr>
          <w:rFonts w:ascii="Verdana" w:eastAsia="Arial" w:hAnsi="Verdana" w:cs="Arial"/>
        </w:rPr>
        <w:t>,</w:t>
      </w:r>
      <w:r w:rsidRPr="00F379A9">
        <w:rPr>
          <w:rFonts w:ascii="Verdana" w:eastAsia="Arial" w:hAnsi="Verdana" w:cs="Arial"/>
        </w:rPr>
        <w:t xml:space="preserve"> sin perjuicio de las decisiones administrativas que la entidad pueda adoptar para dar cumplimiento a l</w:t>
      </w:r>
      <w:r>
        <w:rPr>
          <w:rFonts w:ascii="Verdana" w:eastAsia="Arial" w:hAnsi="Verdana" w:cs="Arial"/>
        </w:rPr>
        <w:t>o dispuesto en esta</w:t>
      </w:r>
      <w:r w:rsidRPr="00F379A9">
        <w:rPr>
          <w:rFonts w:ascii="Verdana" w:eastAsia="Arial" w:hAnsi="Verdana" w:cs="Arial"/>
        </w:rPr>
        <w:t xml:space="preserve"> ley y </w:t>
      </w:r>
      <w:r>
        <w:rPr>
          <w:rFonts w:ascii="Verdana" w:eastAsia="Arial" w:hAnsi="Verdana" w:cs="Arial"/>
        </w:rPr>
        <w:t xml:space="preserve">a su </w:t>
      </w:r>
      <w:r w:rsidRPr="00F379A9">
        <w:rPr>
          <w:rFonts w:ascii="Verdana" w:eastAsia="Arial" w:hAnsi="Verdana" w:cs="Arial"/>
        </w:rPr>
        <w:t>reglamentación</w:t>
      </w:r>
      <w:r>
        <w:rPr>
          <w:rFonts w:ascii="Verdana" w:eastAsia="Arial" w:hAnsi="Verdana" w:cs="Arial"/>
        </w:rPr>
        <w:t>.</w:t>
      </w:r>
    </w:p>
    <w:p w14:paraId="06B0611F" w14:textId="77777777" w:rsidR="00C37701" w:rsidRDefault="00C37701" w:rsidP="00C37701">
      <w:pPr>
        <w:widowControl w:val="0"/>
        <w:autoSpaceDE w:val="0"/>
        <w:autoSpaceDN w:val="0"/>
        <w:spacing w:after="120" w:line="276" w:lineRule="auto"/>
        <w:ind w:firstLine="851"/>
        <w:jc w:val="both"/>
        <w:rPr>
          <w:rFonts w:ascii="Verdana" w:eastAsia="Arial" w:hAnsi="Verdana" w:cs="Arial"/>
          <w:lang w:val="es-ES"/>
        </w:rPr>
      </w:pPr>
      <w:r>
        <w:rPr>
          <w:rFonts w:ascii="Verdana" w:eastAsia="Arial" w:hAnsi="Verdana" w:cs="Arial"/>
          <w:lang w:val="es-ES"/>
        </w:rPr>
        <w:t xml:space="preserve">Así, en caso de acordarse que el pago de los aportes </w:t>
      </w:r>
      <w:r w:rsidRPr="003800EA">
        <w:rPr>
          <w:rFonts w:ascii="Verdana" w:eastAsia="Arial" w:hAnsi="Verdana" w:cs="Arial"/>
          <w:sz w:val="21"/>
          <w:szCs w:val="21"/>
          <w:lang w:val="es-ES"/>
        </w:rPr>
        <w:t>al Sistema de Seguridad Social Integral quedará a cargo de</w:t>
      </w:r>
      <w:r>
        <w:rPr>
          <w:rFonts w:ascii="Verdana" w:eastAsia="Arial" w:hAnsi="Verdana" w:cs="Arial"/>
          <w:lang w:val="es-ES"/>
        </w:rPr>
        <w:t xml:space="preserve"> la entidad contratante, descontará de los honorarios la cotización tanto del </w:t>
      </w:r>
      <w:r w:rsidRPr="00191494">
        <w:rPr>
          <w:rFonts w:ascii="Verdana" w:eastAsia="Arial" w:hAnsi="Verdana" w:cs="Arial"/>
          <w:lang w:val="es-ES"/>
        </w:rPr>
        <w:t>sistema de protección social integral para la vejez, invalidez y muerte de origen común</w:t>
      </w:r>
      <w:r>
        <w:rPr>
          <w:rFonts w:ascii="Verdana" w:eastAsia="Arial" w:hAnsi="Verdana" w:cs="Arial"/>
          <w:lang w:val="es-ES"/>
        </w:rPr>
        <w:t xml:space="preserve"> como de los sistemas de salud y riesgos laborales; además, responderá por el monto de las cotizaciones, </w:t>
      </w:r>
      <w:r w:rsidRPr="001D27BC">
        <w:rPr>
          <w:rFonts w:ascii="Verdana" w:eastAsia="Arial" w:hAnsi="Verdana" w:cs="Arial"/>
          <w:lang w:val="es-ES"/>
        </w:rPr>
        <w:t xml:space="preserve">aún en el evento de </w:t>
      </w:r>
      <w:r>
        <w:rPr>
          <w:rFonts w:ascii="Verdana" w:eastAsia="Arial" w:hAnsi="Verdana" w:cs="Arial"/>
          <w:lang w:val="es-ES"/>
        </w:rPr>
        <w:t>no efectuar</w:t>
      </w:r>
      <w:r w:rsidRPr="001D27BC">
        <w:rPr>
          <w:rFonts w:ascii="Verdana" w:eastAsia="Arial" w:hAnsi="Verdana" w:cs="Arial"/>
          <w:lang w:val="es-ES"/>
        </w:rPr>
        <w:t xml:space="preserve"> descuento</w:t>
      </w:r>
      <w:r>
        <w:rPr>
          <w:rFonts w:ascii="Verdana" w:eastAsia="Arial" w:hAnsi="Verdana" w:cs="Arial"/>
          <w:lang w:val="es-ES"/>
        </w:rPr>
        <w:t>s</w:t>
      </w:r>
      <w:r w:rsidRPr="001D27BC">
        <w:rPr>
          <w:rFonts w:ascii="Verdana" w:eastAsia="Arial" w:hAnsi="Verdana" w:cs="Arial"/>
          <w:lang w:val="es-ES"/>
        </w:rPr>
        <w:t xml:space="preserve"> a</w:t>
      </w:r>
      <w:r>
        <w:rPr>
          <w:rFonts w:ascii="Verdana" w:eastAsia="Arial" w:hAnsi="Verdana" w:cs="Arial"/>
          <w:lang w:val="es-ES"/>
        </w:rPr>
        <w:t xml:space="preserve"> </w:t>
      </w:r>
      <w:r w:rsidRPr="001D27BC">
        <w:rPr>
          <w:rFonts w:ascii="Verdana" w:eastAsia="Arial" w:hAnsi="Verdana" w:cs="Arial"/>
          <w:lang w:val="es-ES"/>
        </w:rPr>
        <w:t>l</w:t>
      </w:r>
      <w:r>
        <w:rPr>
          <w:rFonts w:ascii="Verdana" w:eastAsia="Arial" w:hAnsi="Verdana" w:cs="Arial"/>
          <w:lang w:val="es-ES"/>
        </w:rPr>
        <w:t>os</w:t>
      </w:r>
      <w:r w:rsidRPr="001D27BC">
        <w:rPr>
          <w:rFonts w:ascii="Verdana" w:eastAsia="Arial" w:hAnsi="Verdana" w:cs="Arial"/>
          <w:lang w:val="es-ES"/>
        </w:rPr>
        <w:t xml:space="preserve"> contratista</w:t>
      </w:r>
      <w:r>
        <w:rPr>
          <w:rFonts w:ascii="Verdana" w:eastAsia="Arial" w:hAnsi="Verdana" w:cs="Arial"/>
          <w:lang w:val="es-ES"/>
        </w:rPr>
        <w:t>s. Por el contrario, si las partes no acuerdan que el pago de los aportes al sistema de seguridad social está a cargo de la entidad contratante, los contratistas serán responsables de estos. Ello significa que, con la vigencia de la reforma pensional, la modificación de los contratos de prestación de servicios es facultativa, no obligatoria.</w:t>
      </w:r>
    </w:p>
    <w:p w14:paraId="378A9118" w14:textId="77777777" w:rsidR="00C37701" w:rsidRDefault="00C37701" w:rsidP="00C37701">
      <w:pPr>
        <w:widowControl w:val="0"/>
        <w:autoSpaceDE w:val="0"/>
        <w:autoSpaceDN w:val="0"/>
        <w:spacing w:line="276" w:lineRule="auto"/>
        <w:ind w:firstLine="708"/>
        <w:jc w:val="both"/>
        <w:rPr>
          <w:rFonts w:ascii="Verdana" w:eastAsia="Arial" w:hAnsi="Verdana" w:cs="Arial"/>
        </w:rPr>
      </w:pPr>
      <w:r>
        <w:rPr>
          <w:rFonts w:ascii="Verdana" w:eastAsia="Arial" w:hAnsi="Verdana" w:cs="Arial"/>
          <w:lang w:val="es-ES"/>
        </w:rPr>
        <w:t xml:space="preserve">Con todo, en caso de que, conforme a lo dispuesto en el artículo </w:t>
      </w:r>
      <w:r w:rsidRPr="00341036">
        <w:rPr>
          <w:rFonts w:ascii="Verdana" w:eastAsia="Arial" w:hAnsi="Verdana" w:cs="Arial"/>
          <w:lang w:val="es-ES"/>
        </w:rPr>
        <w:t>2.2.4.18.7</w:t>
      </w:r>
      <w:r>
        <w:rPr>
          <w:rFonts w:ascii="Verdana" w:eastAsia="Arial" w:hAnsi="Verdana" w:cs="Arial"/>
          <w:lang w:val="es-ES"/>
        </w:rPr>
        <w:t xml:space="preserve"> del Decreto 514 de 2025, se acuerde que la entidad contratante será la responsable de realizar el pago de las cotizaciones, ésta deberá aplicar lo dispuesto en la Resolución 2388 de 2016</w:t>
      </w:r>
      <w:r>
        <w:rPr>
          <w:rFonts w:ascii="Verdana" w:eastAsia="Arial" w:hAnsi="Verdana" w:cs="Arial"/>
        </w:rPr>
        <w:t xml:space="preserve"> del Ministerio de Salud y Protección Social, </w:t>
      </w:r>
      <w:r w:rsidRPr="00225440">
        <w:rPr>
          <w:rFonts w:ascii="Verdana" w:eastAsia="Arial" w:hAnsi="Verdana" w:cs="Arial"/>
        </w:rPr>
        <w:t xml:space="preserve">Por medio de la cual se modifica la </w:t>
      </w:r>
      <w:r>
        <w:rPr>
          <w:rFonts w:ascii="Verdana" w:eastAsia="Arial" w:hAnsi="Verdana" w:cs="Arial"/>
        </w:rPr>
        <w:t>R</w:t>
      </w:r>
      <w:r w:rsidRPr="00225440">
        <w:rPr>
          <w:rFonts w:ascii="Verdana" w:eastAsia="Arial" w:hAnsi="Verdana" w:cs="Arial"/>
        </w:rPr>
        <w:t xml:space="preserve">esolución 2388 de 2016, </w:t>
      </w:r>
      <w:r w:rsidRPr="00225440">
        <w:rPr>
          <w:rFonts w:ascii="Verdana" w:eastAsia="Arial" w:hAnsi="Verdana" w:cs="Arial"/>
          <w:i/>
          <w:iCs/>
        </w:rPr>
        <w:t>“Por la cual se</w:t>
      </w:r>
      <w:r>
        <w:rPr>
          <w:rFonts w:ascii="Verdana" w:eastAsia="Arial" w:hAnsi="Verdana" w:cs="Arial"/>
          <w:i/>
          <w:iCs/>
        </w:rPr>
        <w:t xml:space="preserve"> </w:t>
      </w:r>
      <w:r w:rsidRPr="00225440">
        <w:rPr>
          <w:rFonts w:ascii="Verdana" w:eastAsia="Arial" w:hAnsi="Verdana" w:cs="Arial"/>
          <w:i/>
          <w:iCs/>
        </w:rPr>
        <w:t>unifican las reglas para el recaudo de aportes al Sistema de Seguridad Social</w:t>
      </w:r>
      <w:r>
        <w:rPr>
          <w:rFonts w:ascii="Verdana" w:eastAsia="Arial" w:hAnsi="Verdana" w:cs="Arial"/>
          <w:i/>
          <w:iCs/>
        </w:rPr>
        <w:t xml:space="preserve"> </w:t>
      </w:r>
      <w:r w:rsidRPr="00225440">
        <w:rPr>
          <w:rFonts w:ascii="Verdana" w:eastAsia="Arial" w:hAnsi="Verdana" w:cs="Arial"/>
          <w:i/>
          <w:iCs/>
        </w:rPr>
        <w:t>Integral y Parafiscales"</w:t>
      </w:r>
      <w:r>
        <w:rPr>
          <w:rFonts w:ascii="Verdana" w:eastAsia="Arial" w:hAnsi="Verdana" w:cs="Arial"/>
          <w:i/>
          <w:iCs/>
        </w:rPr>
        <w:t xml:space="preserve">, </w:t>
      </w:r>
      <w:r>
        <w:rPr>
          <w:rFonts w:ascii="Verdana" w:eastAsia="Arial" w:hAnsi="Verdana" w:cs="Arial"/>
        </w:rPr>
        <w:t xml:space="preserve">modificada por la Resolución 467 de 25 marzo de 2025. Esta última resolución incorpora las pautas y lineamientos a seguir por parte de las entidades contratantes para realizar las cotizaciones de contratistas de </w:t>
      </w:r>
      <w:r>
        <w:rPr>
          <w:rFonts w:ascii="Verdana" w:eastAsia="Arial" w:hAnsi="Verdana" w:cs="Arial"/>
        </w:rPr>
        <w:lastRenderedPageBreak/>
        <w:t xml:space="preserve">prestación de servicios, a efectos de cumplir lo establecido en el artículo 21 de la Ley 2381 de 2024. </w:t>
      </w:r>
    </w:p>
    <w:p w14:paraId="59ED0D59" w14:textId="77777777" w:rsidR="00C37701" w:rsidRDefault="00C37701" w:rsidP="00C37701">
      <w:pPr>
        <w:widowControl w:val="0"/>
        <w:autoSpaceDE w:val="0"/>
        <w:autoSpaceDN w:val="0"/>
        <w:spacing w:line="276" w:lineRule="auto"/>
        <w:ind w:firstLine="708"/>
        <w:jc w:val="both"/>
        <w:rPr>
          <w:rFonts w:ascii="Verdana" w:hAnsi="Verdana" w:cs="Arial"/>
        </w:rPr>
      </w:pPr>
      <w:r>
        <w:rPr>
          <w:rFonts w:ascii="Verdana" w:eastAsia="Arial" w:hAnsi="Verdana" w:cs="Arial"/>
          <w:lang w:val="es-ES"/>
        </w:rPr>
        <w:t xml:space="preserve">Por otro lado, se precisa que los artículos 21 de la Ley 2381 de 2024 y </w:t>
      </w:r>
      <w:r w:rsidRPr="00341036">
        <w:rPr>
          <w:rFonts w:ascii="Verdana" w:eastAsia="Arial" w:hAnsi="Verdana" w:cs="Arial"/>
          <w:lang w:val="es-ES"/>
        </w:rPr>
        <w:t>2.2.4.18.7</w:t>
      </w:r>
      <w:r>
        <w:rPr>
          <w:rFonts w:ascii="Verdana" w:eastAsia="Arial" w:hAnsi="Verdana" w:cs="Arial"/>
          <w:lang w:val="es-ES"/>
        </w:rPr>
        <w:t xml:space="preserve"> del Decreto 514 de 2025 son aplicables tanto a los contratos de prestación de servicios con personas naturales como a aquellos suscritos con personas jurídicas, pues de las normas citadas no se desprende un trato diferencial al respecto. </w:t>
      </w:r>
      <w:r>
        <w:rPr>
          <w:rFonts w:ascii="Verdana" w:hAnsi="Verdana" w:cs="Arial"/>
        </w:rPr>
        <w:t xml:space="preserve">Aunque </w:t>
      </w:r>
      <w:r w:rsidRPr="001D2AE5">
        <w:rPr>
          <w:rFonts w:ascii="Verdana" w:eastAsia="Calibri" w:hAnsi="Verdana" w:cs="Arial"/>
          <w:bCs/>
          <w:lang w:val="es-MX" w:eastAsia="es-ES_tradnl"/>
        </w:rPr>
        <w:t>el artículo 32.3</w:t>
      </w:r>
      <w:r>
        <w:rPr>
          <w:rFonts w:ascii="Verdana" w:eastAsia="Calibri" w:hAnsi="Verdana" w:cs="Arial"/>
          <w:bCs/>
          <w:lang w:val="es-MX" w:eastAsia="es-ES_tradnl"/>
        </w:rPr>
        <w:t xml:space="preserve"> del EGCAP dispone que “[…]</w:t>
      </w:r>
      <w:r w:rsidRPr="00D932B3">
        <w:rPr>
          <w:rFonts w:ascii="Verdana" w:eastAsia="Calibri" w:hAnsi="Verdana" w:cs="Arial"/>
          <w:bCs/>
          <w:lang w:val="es-MX" w:eastAsia="es-ES_tradnl"/>
        </w:rPr>
        <w:t xml:space="preserve"> </w:t>
      </w:r>
      <w:r w:rsidRPr="00DB2931">
        <w:rPr>
          <w:rFonts w:ascii="Verdana" w:eastAsia="Calibri" w:hAnsi="Verdana" w:cs="Arial"/>
          <w:bCs/>
          <w:lang w:val="es-MX" w:eastAsia="es-ES_tradnl"/>
        </w:rPr>
        <w:t>sólo podrán celebrarse con personas naturales cuando dichas actividades no puedan realizarse con personal de planta o requieran conocimientos especializados</w:t>
      </w:r>
      <w:r>
        <w:rPr>
          <w:rFonts w:ascii="Verdana" w:eastAsia="Calibri" w:hAnsi="Verdana" w:cs="Arial"/>
          <w:bCs/>
          <w:lang w:val="es-MX" w:eastAsia="es-ES_tradnl"/>
        </w:rPr>
        <w:t xml:space="preserve">”, </w:t>
      </w:r>
      <w:r>
        <w:rPr>
          <w:rFonts w:ascii="Verdana" w:hAnsi="Verdana" w:cs="Arial"/>
        </w:rPr>
        <w:t>la Sección Tercera del Consejo de Estado también ha sostenido que “</w:t>
      </w:r>
      <w:r w:rsidRPr="001F45BC">
        <w:rPr>
          <w:rFonts w:ascii="Verdana" w:hAnsi="Verdana" w:cs="Arial"/>
        </w:rPr>
        <w:t xml:space="preserve">Es posible su celebración con personas naturales o con personas jurídicas. Con personas naturales cuando se trate de desarrollar actividades relacionadas con la administración o el funcionamiento de la entidad que no puedan realizarse con personal de planta o requieran conocimientos especializados. Y, </w:t>
      </w:r>
      <w:r w:rsidRPr="001F45BC">
        <w:rPr>
          <w:rFonts w:ascii="Verdana" w:hAnsi="Verdana" w:cs="Arial"/>
          <w:i/>
          <w:iCs/>
        </w:rPr>
        <w:t>no obstante que la norma no lo señala, es conforme a derecho concluir que también es admisible suscribir este tipo de contratos con personas jurídicas</w:t>
      </w:r>
      <w:r>
        <w:rPr>
          <w:rFonts w:ascii="Verdana" w:hAnsi="Verdana" w:cs="Arial"/>
        </w:rPr>
        <w:t xml:space="preserve"> […]”</w:t>
      </w:r>
      <w:r>
        <w:rPr>
          <w:rStyle w:val="Refdenotaalpie"/>
          <w:rFonts w:ascii="Verdana" w:hAnsi="Verdana" w:cs="Arial"/>
        </w:rPr>
        <w:footnoteReference w:id="6"/>
      </w:r>
      <w:r>
        <w:rPr>
          <w:rFonts w:ascii="Verdana" w:hAnsi="Verdana" w:cs="Arial"/>
        </w:rPr>
        <w:t xml:space="preserve"> (Énfasis fuera de texto)</w:t>
      </w:r>
      <w:bookmarkEnd w:id="0"/>
      <w:r>
        <w:rPr>
          <w:rFonts w:ascii="Verdana" w:hAnsi="Verdana" w:cs="Arial"/>
        </w:rPr>
        <w:t>.</w:t>
      </w:r>
    </w:p>
    <w:p w14:paraId="7626020B" w14:textId="77777777" w:rsidR="00C37701" w:rsidRDefault="00C37701" w:rsidP="00C37701">
      <w:pPr>
        <w:widowControl w:val="0"/>
        <w:autoSpaceDE w:val="0"/>
        <w:autoSpaceDN w:val="0"/>
        <w:spacing w:after="120" w:line="276" w:lineRule="auto"/>
        <w:ind w:firstLine="709"/>
        <w:jc w:val="both"/>
        <w:rPr>
          <w:rFonts w:ascii="Verdana" w:hAnsi="Verdana" w:cs="Arial"/>
        </w:rPr>
      </w:pPr>
      <w:r>
        <w:rPr>
          <w:rFonts w:ascii="Verdana" w:hAnsi="Verdana" w:cs="Arial"/>
        </w:rPr>
        <w:t>Finalmente, es pertinente indicar que el artículo 94 de la Ley 2381 de 2024 establece que</w:t>
      </w:r>
      <w:r w:rsidRPr="00FB01E9">
        <w:rPr>
          <w:rFonts w:ascii="Arial" w:hAnsi="Arial" w:cs="Arial"/>
          <w:color w:val="333333"/>
          <w:shd w:val="clear" w:color="auto" w:fill="FFFFFF"/>
        </w:rPr>
        <w:t xml:space="preserve"> </w:t>
      </w:r>
      <w:r>
        <w:rPr>
          <w:rFonts w:ascii="Verdana" w:hAnsi="Verdana" w:cs="Arial"/>
        </w:rPr>
        <w:t>e</w:t>
      </w:r>
      <w:r w:rsidRPr="00FB01E9">
        <w:rPr>
          <w:rFonts w:ascii="Verdana" w:hAnsi="Verdana" w:cs="Arial"/>
        </w:rPr>
        <w:t xml:space="preserve">l Sistema de Protección Social Integral para la Vejez, </w:t>
      </w:r>
      <w:r w:rsidRPr="00FB01E9">
        <w:rPr>
          <w:rFonts w:ascii="Verdana" w:hAnsi="Verdana" w:cs="Arial"/>
        </w:rPr>
        <w:lastRenderedPageBreak/>
        <w:t xml:space="preserve">Invalidez y Muerte de origen común, previsto en </w:t>
      </w:r>
      <w:r>
        <w:rPr>
          <w:rFonts w:ascii="Verdana" w:hAnsi="Verdana" w:cs="Arial"/>
        </w:rPr>
        <w:t>dicha</w:t>
      </w:r>
      <w:r w:rsidRPr="00FB01E9">
        <w:rPr>
          <w:rFonts w:ascii="Verdana" w:hAnsi="Verdana" w:cs="Arial"/>
        </w:rPr>
        <w:t xml:space="preserve"> ley, entrará en vigor el 01</w:t>
      </w:r>
      <w:r>
        <w:rPr>
          <w:rFonts w:ascii="Verdana" w:hAnsi="Verdana" w:cs="Arial"/>
        </w:rPr>
        <w:t xml:space="preserve"> </w:t>
      </w:r>
      <w:r w:rsidRPr="00FB01E9">
        <w:rPr>
          <w:rFonts w:ascii="Verdana" w:hAnsi="Verdana" w:cs="Arial"/>
        </w:rPr>
        <w:t>de julio de 2025</w:t>
      </w:r>
      <w:r>
        <w:rPr>
          <w:rFonts w:ascii="Verdana" w:hAnsi="Verdana" w:cs="Arial"/>
        </w:rPr>
        <w:t xml:space="preserve">. No obstante, debe tenerse en cuenta que mediante Auto 841 del 17 de junio de 2025 proferido dentro del </w:t>
      </w:r>
      <w:r w:rsidRPr="00CF1337">
        <w:rPr>
          <w:rFonts w:ascii="Verdana" w:hAnsi="Verdana" w:cs="Arial"/>
        </w:rPr>
        <w:t>proceso D-15989, relacionado con la revisión de constitucionalidad de la Ley 2381 de 2024 la Corte Constitucional, por unanimidad, adoptó</w:t>
      </w:r>
      <w:r>
        <w:rPr>
          <w:rFonts w:ascii="Verdana" w:hAnsi="Verdana" w:cs="Arial"/>
        </w:rPr>
        <w:t xml:space="preserve">, entre otras, la </w:t>
      </w:r>
      <w:r w:rsidRPr="00CF1337">
        <w:rPr>
          <w:rFonts w:ascii="Verdana" w:hAnsi="Verdana" w:cs="Arial"/>
        </w:rPr>
        <w:t>decisión</w:t>
      </w:r>
      <w:r>
        <w:rPr>
          <w:rFonts w:ascii="Verdana" w:hAnsi="Verdana" w:cs="Arial"/>
        </w:rPr>
        <w:t xml:space="preserve"> de</w:t>
      </w:r>
      <w:r w:rsidRPr="003D6F14">
        <w:t xml:space="preserve"> </w:t>
      </w:r>
      <w:r>
        <w:rPr>
          <w:rFonts w:ascii="Verdana" w:hAnsi="Verdana" w:cs="Arial"/>
        </w:rPr>
        <w:t xml:space="preserve"> suspender </w:t>
      </w:r>
      <w:r w:rsidRPr="003D6F14">
        <w:rPr>
          <w:rFonts w:ascii="Verdana" w:hAnsi="Verdana" w:cs="Arial"/>
        </w:rPr>
        <w:t xml:space="preserve">a partir de </w:t>
      </w:r>
      <w:r>
        <w:rPr>
          <w:rFonts w:ascii="Verdana" w:hAnsi="Verdana" w:cs="Arial"/>
        </w:rPr>
        <w:t>la</w:t>
      </w:r>
      <w:r w:rsidRPr="003D6F14">
        <w:rPr>
          <w:rFonts w:ascii="Verdana" w:hAnsi="Verdana" w:cs="Arial"/>
        </w:rPr>
        <w:t xml:space="preserve"> fecha de </w:t>
      </w:r>
      <w:r>
        <w:rPr>
          <w:rFonts w:ascii="Verdana" w:hAnsi="Verdana" w:cs="Arial"/>
        </w:rPr>
        <w:t>dicha</w:t>
      </w:r>
      <w:r w:rsidRPr="003D6F14">
        <w:rPr>
          <w:rFonts w:ascii="Verdana" w:hAnsi="Verdana" w:cs="Arial"/>
        </w:rPr>
        <w:t xml:space="preserve"> decisión la entrada en vigencia de las normas de la Ley 2381 de 2024 hasta el día hábil siguiente a la fecha en la cual la Sala Plena decida definitivamente sobre la constitucionalidad de</w:t>
      </w:r>
      <w:r>
        <w:rPr>
          <w:rFonts w:ascii="Verdana" w:hAnsi="Verdana" w:cs="Arial"/>
        </w:rPr>
        <w:t xml:space="preserve"> esta</w:t>
      </w:r>
      <w:r w:rsidRPr="003D6F14">
        <w:rPr>
          <w:rFonts w:ascii="Verdana" w:hAnsi="Verdana" w:cs="Arial"/>
        </w:rPr>
        <w:t xml:space="preserve"> ley</w:t>
      </w:r>
      <w:r>
        <w:rPr>
          <w:rFonts w:ascii="Verdana" w:hAnsi="Verdana" w:cs="Arial"/>
        </w:rPr>
        <w:t>,</w:t>
      </w:r>
      <w:r w:rsidRPr="003D6F14">
        <w:rPr>
          <w:rFonts w:ascii="Verdana" w:hAnsi="Verdana" w:cs="Arial"/>
        </w:rPr>
        <w:t xml:space="preserve"> salvo lo que se refiere a lo dispuesto en los artículos 12, parágrafo transitorio y 76 de la citada ley. </w:t>
      </w:r>
      <w:r>
        <w:rPr>
          <w:rFonts w:ascii="Verdana" w:hAnsi="Verdana" w:cs="Arial"/>
        </w:rPr>
        <w:t>Para tales efectos, indicó que e</w:t>
      </w:r>
      <w:r w:rsidRPr="003D6F14">
        <w:rPr>
          <w:rFonts w:ascii="Verdana" w:hAnsi="Verdana" w:cs="Arial"/>
        </w:rPr>
        <w:t>l Congreso de la República, en el marco del trámite legislativo correspondiente, podrá definir un nuevo término de entrada en vigencia integral de la Ley 2381 de 2024.</w:t>
      </w:r>
      <w:r>
        <w:rPr>
          <w:rFonts w:ascii="Verdana" w:hAnsi="Verdana" w:cs="Arial"/>
        </w:rPr>
        <w:t xml:space="preserve"> </w:t>
      </w:r>
    </w:p>
    <w:p w14:paraId="2B2963B9" w14:textId="71E98486" w:rsidR="00C37701" w:rsidRDefault="00C37701" w:rsidP="00C37701">
      <w:pPr>
        <w:widowControl w:val="0"/>
        <w:autoSpaceDE w:val="0"/>
        <w:autoSpaceDN w:val="0"/>
        <w:spacing w:after="120" w:line="276" w:lineRule="auto"/>
        <w:ind w:firstLine="709"/>
        <w:jc w:val="both"/>
        <w:rPr>
          <w:rFonts w:ascii="Verdana" w:hAnsi="Verdana" w:cs="Arial"/>
        </w:rPr>
      </w:pPr>
      <w:r>
        <w:rPr>
          <w:rFonts w:ascii="Verdana" w:hAnsi="Verdana" w:cs="Arial"/>
        </w:rPr>
        <w:t xml:space="preserve">En este sentido, actualmente la entrada en vigencia de la Ley 2381 de 2024, excepto los artículos 12, parágrafo transitorio y 76, se encuentra suspendida hasta tanto la Corte Constitucional se pronuncie definitivamente sobre la constitucionalidad de la misma.  </w:t>
      </w:r>
    </w:p>
    <w:p w14:paraId="6DE37045" w14:textId="77777777" w:rsidR="00C37701" w:rsidRPr="008415A2" w:rsidRDefault="00C37701" w:rsidP="00C37701">
      <w:pPr>
        <w:spacing w:after="120" w:line="276" w:lineRule="auto"/>
        <w:jc w:val="both"/>
        <w:rPr>
          <w:rFonts w:ascii="Verdana" w:hAnsi="Verdana"/>
        </w:rPr>
      </w:pPr>
      <w:r>
        <w:rPr>
          <w:rFonts w:ascii="Verdana" w:eastAsia="Calibri" w:hAnsi="Verdana" w:cs="Arial"/>
          <w:bCs/>
          <w:color w:val="000000" w:themeColor="text1"/>
        </w:rPr>
        <w:t xml:space="preserve">iv. </w:t>
      </w:r>
      <w:r w:rsidRPr="00E853DE">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956EC85" w14:textId="77777777" w:rsidR="00C37701" w:rsidRPr="00185EE9" w:rsidRDefault="00C37701" w:rsidP="00C37701">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26BC820F" w14:textId="77777777" w:rsidR="00C37701" w:rsidRPr="008415A2" w:rsidRDefault="00C37701" w:rsidP="00C37701">
      <w:pPr>
        <w:spacing w:after="0" w:line="276" w:lineRule="auto"/>
        <w:jc w:val="both"/>
        <w:rPr>
          <w:rFonts w:ascii="Verdana" w:hAnsi="Verdana"/>
        </w:rPr>
      </w:pPr>
    </w:p>
    <w:p w14:paraId="3F8E4358" w14:textId="26CA72F4" w:rsidR="00C37701" w:rsidRPr="00803F41" w:rsidRDefault="00C37701" w:rsidP="00803F4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37701" w:rsidRPr="002407CE" w14:paraId="79DA7F3D" w14:textId="77777777" w:rsidTr="00D851D8">
        <w:trPr>
          <w:trHeight w:val="870"/>
          <w:jc w:val="center"/>
        </w:trPr>
        <w:tc>
          <w:tcPr>
            <w:tcW w:w="8647" w:type="dxa"/>
          </w:tcPr>
          <w:p w14:paraId="4FBA4AB4" w14:textId="77777777" w:rsidR="00C37701" w:rsidRDefault="00C37701" w:rsidP="00C3770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 32 y 41.</w:t>
            </w:r>
          </w:p>
          <w:p w14:paraId="38D0BD06" w14:textId="77777777" w:rsidR="00C37701" w:rsidRDefault="00C37701" w:rsidP="00C3770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789 de 2002, artículo 50.</w:t>
            </w:r>
          </w:p>
          <w:p w14:paraId="3AF05CA8" w14:textId="77777777" w:rsidR="00C37701" w:rsidRDefault="00C37701" w:rsidP="00C3770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2381 de 2024, artículos 7 y 21.</w:t>
            </w:r>
          </w:p>
          <w:p w14:paraId="321F6BD4" w14:textId="77777777" w:rsidR="00C37701" w:rsidRPr="00990018" w:rsidRDefault="00C37701" w:rsidP="00C3770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Decreto 514 de 2025, artículo </w:t>
            </w:r>
            <w:r w:rsidRPr="00F40825">
              <w:rPr>
                <w:rFonts w:ascii="Verdana" w:hAnsi="Verdana" w:cs="Arial"/>
              </w:rPr>
              <w:t>2.2.4.18.7</w:t>
            </w:r>
            <w:r>
              <w:rPr>
                <w:rFonts w:ascii="Verdana" w:hAnsi="Verdana" w:cs="Arial"/>
              </w:rPr>
              <w:t>.</w:t>
            </w:r>
          </w:p>
          <w:p w14:paraId="7A7872D6" w14:textId="77777777" w:rsidR="00C37701" w:rsidRPr="00990018" w:rsidRDefault="00C37701" w:rsidP="00C37701">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sidRPr="007E3FCB">
              <w:rPr>
                <w:rFonts w:ascii="Verdana" w:hAnsi="Verdana" w:cs="Arial"/>
              </w:rPr>
              <w:t xml:space="preserve">Resoluciones </w:t>
            </w:r>
            <w:r w:rsidRPr="007E3FCB">
              <w:rPr>
                <w:rFonts w:ascii="Verdana" w:eastAsia="Arial" w:hAnsi="Verdana" w:cs="Arial"/>
              </w:rPr>
              <w:t>2388 de 2016 y 467 de 2025 del Ministerio de Salud y Protección Social.</w:t>
            </w:r>
          </w:p>
        </w:tc>
      </w:tr>
    </w:tbl>
    <w:p w14:paraId="4E503EF8" w14:textId="77777777" w:rsidR="00C37701" w:rsidRPr="002407CE" w:rsidRDefault="00C37701" w:rsidP="00C37701">
      <w:pPr>
        <w:widowControl w:val="0"/>
        <w:autoSpaceDE w:val="0"/>
        <w:autoSpaceDN w:val="0"/>
        <w:spacing w:after="0" w:line="276" w:lineRule="auto"/>
        <w:jc w:val="both"/>
        <w:rPr>
          <w:rFonts w:ascii="Verdana" w:hAnsi="Verdana" w:cs="Arial"/>
        </w:rPr>
      </w:pPr>
    </w:p>
    <w:p w14:paraId="6823CA02" w14:textId="0735E3D7" w:rsidR="00C37701" w:rsidRPr="00803F41" w:rsidRDefault="00C37701" w:rsidP="00803F4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40099BBF" w14:textId="77777777" w:rsidR="00C37701" w:rsidRPr="00ED0098" w:rsidRDefault="00C37701" w:rsidP="00C37701">
      <w:pPr>
        <w:widowControl w:val="0"/>
        <w:autoSpaceDE w:val="0"/>
        <w:autoSpaceDN w:val="0"/>
        <w:spacing w:after="0" w:line="276" w:lineRule="auto"/>
        <w:jc w:val="both"/>
        <w:rPr>
          <w:rStyle w:val="normaltextrun"/>
          <w:rFonts w:ascii="Verdana" w:hAnsi="Verdana" w:cs="Arial"/>
          <w:shd w:val="clear" w:color="auto" w:fill="FFFFFF"/>
        </w:rPr>
      </w:pPr>
      <w:r w:rsidRPr="00F6599C">
        <w:rPr>
          <w:rFonts w:ascii="Verdana" w:hAnsi="Verdana" w:cs="Arial"/>
          <w:shd w:val="clear" w:color="auto" w:fill="FFFFFF"/>
        </w:rPr>
        <w:t>Esta Subdirección se ha pronunciado sobre el régimen de seguridad social en los Conceptos 42019130000005594 de 30 de septiembre de 2019, 4201913000006384 de 21 de octubre de 2019, 4201912000007492 de 17 de diciembre de 2019, C-040 de 5 de febrero de 2020, C-042 de 5 de febrero de 2020, C-134 del 7 de abril 2021, C-038 del 1° de marzo de 2022, C-712 del 13 de octubre del 2022, C-192 del 13 de junio del 2023, C-054 del 19 de abril del 2023, C-423 del 12 de octubre de 2023</w:t>
      </w:r>
      <w:r>
        <w:rPr>
          <w:rFonts w:ascii="Verdana" w:hAnsi="Verdana" w:cs="Arial"/>
          <w:shd w:val="clear" w:color="auto" w:fill="FFFFFF"/>
        </w:rPr>
        <w:t>,</w:t>
      </w:r>
      <w:r w:rsidRPr="00F6599C">
        <w:rPr>
          <w:rFonts w:ascii="Verdana" w:hAnsi="Verdana" w:cs="Arial"/>
          <w:shd w:val="clear" w:color="auto" w:fill="FFFFFF"/>
        </w:rPr>
        <w:t xml:space="preserve"> C-448 del 26 de diciembre de 2023</w:t>
      </w:r>
      <w:r>
        <w:rPr>
          <w:rFonts w:ascii="Verdana" w:hAnsi="Verdana" w:cs="Arial"/>
          <w:shd w:val="clear" w:color="auto" w:fill="FFFFFF"/>
        </w:rPr>
        <w:t xml:space="preserve"> y C-655 del 17 de junio de 2025</w:t>
      </w:r>
      <w:r w:rsidRPr="00F6599C">
        <w:rPr>
          <w:rFonts w:ascii="Verdana" w:hAnsi="Verdana" w:cs="Arial"/>
          <w:shd w:val="clear" w:color="auto" w:fill="FFFFFF"/>
        </w:rPr>
        <w:t>. Estos y otros se encuentran disponibles para consulta en el Sistema de relatoría de la Agencia, al cual puede accederse a través del siguiente enlace:</w:t>
      </w:r>
      <w:r>
        <w:rPr>
          <w:rStyle w:val="normaltextrun"/>
          <w:rFonts w:ascii="Verdana" w:hAnsi="Verdana" w:cs="Arial"/>
          <w:shd w:val="clear" w:color="auto" w:fill="FFFFFF"/>
        </w:rPr>
        <w:t xml:space="preserve"> </w:t>
      </w:r>
      <w:hyperlink r:id="rId12" w:history="1">
        <w:r w:rsidRPr="001F47FD">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4BA8D33D" w14:textId="77777777" w:rsidR="00C37701" w:rsidRPr="00096788" w:rsidRDefault="00C37701" w:rsidP="00C37701">
      <w:pPr>
        <w:widowControl w:val="0"/>
        <w:autoSpaceDE w:val="0"/>
        <w:autoSpaceDN w:val="0"/>
        <w:spacing w:after="0" w:line="276" w:lineRule="auto"/>
        <w:jc w:val="both"/>
        <w:rPr>
          <w:rFonts w:ascii="Verdana" w:hAnsi="Verdana" w:cs="Arial"/>
          <w:color w:val="000000" w:themeColor="text1"/>
          <w:shd w:val="clear" w:color="auto" w:fill="FFFFFF"/>
        </w:rPr>
      </w:pPr>
    </w:p>
    <w:p w14:paraId="26BCB7BC" w14:textId="77777777" w:rsidR="00C37701" w:rsidRPr="00505CD6" w:rsidRDefault="00C37701" w:rsidP="00C37701">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30E16257" w14:textId="77777777" w:rsidR="00C37701" w:rsidRPr="00505CD6" w:rsidRDefault="00C37701" w:rsidP="00C37701">
      <w:pPr>
        <w:widowControl w:val="0"/>
        <w:autoSpaceDE w:val="0"/>
        <w:autoSpaceDN w:val="0"/>
        <w:spacing w:after="0" w:line="276" w:lineRule="auto"/>
        <w:jc w:val="both"/>
        <w:rPr>
          <w:rFonts w:ascii="Verdana" w:hAnsi="Verdana" w:cs="Arial"/>
        </w:rPr>
      </w:pPr>
    </w:p>
    <w:p w14:paraId="1D9EF2E2" w14:textId="67064E6A" w:rsidR="00C37701" w:rsidRPr="00803F41" w:rsidRDefault="00C37701" w:rsidP="00803F41">
      <w:pPr>
        <w:spacing w:after="0" w:line="276" w:lineRule="auto"/>
        <w:jc w:val="both"/>
        <w:rPr>
          <w:rFonts w:ascii="Verdana" w:hAnsi="Verdana"/>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10C6E360" w14:textId="23D916B2" w:rsidR="00C37701" w:rsidRPr="00803F41" w:rsidRDefault="00803F41" w:rsidP="00803F41">
      <w:pPr>
        <w:spacing w:line="276" w:lineRule="auto"/>
        <w:jc w:val="center"/>
        <w:rPr>
          <w:noProof/>
        </w:rPr>
      </w:pPr>
      <w:r>
        <w:rPr>
          <w:noProof/>
        </w:rPr>
        <w:drawing>
          <wp:inline distT="0" distB="0" distL="0" distR="0" wp14:anchorId="39FD03A4" wp14:editId="74F63195">
            <wp:extent cx="1880922" cy="694267"/>
            <wp:effectExtent l="0" t="0" r="5080" b="0"/>
            <wp:docPr id="387729134"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729134"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1899854" cy="70125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37701" w:rsidRPr="00D53651" w14:paraId="34706512" w14:textId="77777777" w:rsidTr="00D851D8">
        <w:trPr>
          <w:trHeight w:val="315"/>
        </w:trPr>
        <w:tc>
          <w:tcPr>
            <w:tcW w:w="893" w:type="dxa"/>
            <w:vAlign w:val="center"/>
            <w:hideMark/>
          </w:tcPr>
          <w:p w14:paraId="390D95BE" w14:textId="77777777" w:rsidR="00C37701" w:rsidRPr="00D53651" w:rsidRDefault="00C37701" w:rsidP="00D851D8">
            <w:pPr>
              <w:spacing w:line="276" w:lineRule="auto"/>
              <w:jc w:val="both"/>
              <w:rPr>
                <w:rFonts w:ascii="Verdana" w:hAnsi="Verdana"/>
                <w:sz w:val="16"/>
                <w:szCs w:val="16"/>
              </w:rPr>
            </w:pPr>
            <w:r w:rsidRPr="00D53651">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593678E2" w14:textId="77777777" w:rsidR="00C37701" w:rsidRPr="00D53651" w:rsidRDefault="00C37701" w:rsidP="00D851D8">
            <w:pPr>
              <w:spacing w:line="276" w:lineRule="auto"/>
              <w:jc w:val="both"/>
              <w:rPr>
                <w:rFonts w:ascii="Verdana" w:hAnsi="Verdana"/>
                <w:sz w:val="16"/>
                <w:szCs w:val="16"/>
              </w:rPr>
            </w:pPr>
            <w:r>
              <w:rPr>
                <w:rFonts w:ascii="Verdana" w:hAnsi="Verdana"/>
                <w:sz w:val="16"/>
                <w:szCs w:val="16"/>
              </w:rPr>
              <w:t>Gloria Elizabeth Arango Builes</w:t>
            </w:r>
            <w:r w:rsidRPr="00D53651">
              <w:rPr>
                <w:rFonts w:ascii="Verdana" w:hAnsi="Verdana"/>
                <w:sz w:val="16"/>
                <w:szCs w:val="16"/>
              </w:rPr>
              <w:t xml:space="preserve"> </w:t>
            </w:r>
          </w:p>
          <w:p w14:paraId="19C84E4B" w14:textId="77777777" w:rsidR="00C37701" w:rsidRPr="00D53651" w:rsidRDefault="00C37701" w:rsidP="00D851D8">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C37701" w:rsidRPr="00D53651" w14:paraId="2487332E" w14:textId="77777777" w:rsidTr="00D851D8">
        <w:trPr>
          <w:trHeight w:val="330"/>
        </w:trPr>
        <w:tc>
          <w:tcPr>
            <w:tcW w:w="893" w:type="dxa"/>
            <w:vAlign w:val="center"/>
            <w:hideMark/>
          </w:tcPr>
          <w:p w14:paraId="56E22480" w14:textId="77777777" w:rsidR="00C37701" w:rsidRPr="00D53651" w:rsidRDefault="00C37701" w:rsidP="00D851D8">
            <w:pPr>
              <w:spacing w:line="276" w:lineRule="auto"/>
              <w:jc w:val="both"/>
              <w:rPr>
                <w:rFonts w:ascii="Verdana" w:hAnsi="Verdana"/>
                <w:sz w:val="16"/>
                <w:szCs w:val="16"/>
              </w:rPr>
            </w:pPr>
            <w:r w:rsidRPr="00D53651">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3C9F2ED9" w14:textId="77777777" w:rsidR="00C37701" w:rsidRPr="00D53651" w:rsidRDefault="00C37701" w:rsidP="00D851D8">
            <w:pPr>
              <w:spacing w:line="276" w:lineRule="auto"/>
              <w:jc w:val="both"/>
              <w:rPr>
                <w:rFonts w:ascii="Verdana" w:hAnsi="Verdana"/>
                <w:sz w:val="16"/>
                <w:szCs w:val="16"/>
              </w:rPr>
            </w:pPr>
            <w:r>
              <w:rPr>
                <w:rFonts w:ascii="Verdana" w:hAnsi="Verdana"/>
                <w:sz w:val="16"/>
                <w:szCs w:val="16"/>
              </w:rPr>
              <w:t>Juan Carlos González Vásquez</w:t>
            </w:r>
            <w:r w:rsidRPr="00D53651">
              <w:rPr>
                <w:rFonts w:ascii="Verdana" w:hAnsi="Verdana"/>
                <w:sz w:val="16"/>
                <w:szCs w:val="16"/>
              </w:rPr>
              <w:t xml:space="preserve"> </w:t>
            </w:r>
          </w:p>
          <w:p w14:paraId="41D50756" w14:textId="77777777" w:rsidR="00C37701" w:rsidRPr="00D53651" w:rsidRDefault="00C37701" w:rsidP="00D851D8">
            <w:pPr>
              <w:spacing w:line="276" w:lineRule="auto"/>
              <w:jc w:val="both"/>
              <w:rPr>
                <w:rFonts w:ascii="Verdana" w:hAnsi="Verdana"/>
                <w:sz w:val="16"/>
                <w:szCs w:val="16"/>
              </w:rPr>
            </w:pPr>
            <w:r w:rsidRPr="00D53651">
              <w:rPr>
                <w:rFonts w:ascii="Verdana" w:hAnsi="Verdana"/>
                <w:sz w:val="16"/>
                <w:szCs w:val="16"/>
              </w:rPr>
              <w:lastRenderedPageBreak/>
              <w:t>Contratista de la Subdirección de Gestión Contractual </w:t>
            </w:r>
          </w:p>
        </w:tc>
      </w:tr>
      <w:tr w:rsidR="00C37701" w:rsidRPr="00D53651" w14:paraId="2CA1A2A3" w14:textId="77777777" w:rsidTr="00D851D8">
        <w:trPr>
          <w:trHeight w:val="300"/>
        </w:trPr>
        <w:tc>
          <w:tcPr>
            <w:tcW w:w="893" w:type="dxa"/>
            <w:vAlign w:val="center"/>
            <w:hideMark/>
          </w:tcPr>
          <w:p w14:paraId="71C32361" w14:textId="77777777" w:rsidR="00C37701" w:rsidRPr="00D53651" w:rsidRDefault="00C37701" w:rsidP="00D851D8">
            <w:pPr>
              <w:spacing w:line="276" w:lineRule="auto"/>
              <w:jc w:val="both"/>
              <w:rPr>
                <w:rFonts w:ascii="Verdana" w:hAnsi="Verdana"/>
                <w:sz w:val="16"/>
                <w:szCs w:val="16"/>
              </w:rPr>
            </w:pPr>
            <w:r w:rsidRPr="00D53651">
              <w:rPr>
                <w:rFonts w:ascii="Verdana" w:hAnsi="Verdana"/>
                <w:sz w:val="16"/>
                <w:szCs w:val="16"/>
              </w:rPr>
              <w:lastRenderedPageBreak/>
              <w:t>Aprobó:</w:t>
            </w:r>
          </w:p>
        </w:tc>
        <w:tc>
          <w:tcPr>
            <w:tcW w:w="5628" w:type="dxa"/>
            <w:tcBorders>
              <w:top w:val="dotted" w:sz="4" w:space="0" w:color="7F7F7F"/>
              <w:left w:val="nil"/>
              <w:bottom w:val="dotted" w:sz="4" w:space="0" w:color="7F7F7F"/>
              <w:right w:val="nil"/>
            </w:tcBorders>
            <w:vAlign w:val="center"/>
            <w:hideMark/>
          </w:tcPr>
          <w:p w14:paraId="66313EDD" w14:textId="20A642C9" w:rsidR="00C37701" w:rsidRPr="00D53651" w:rsidRDefault="00C37701" w:rsidP="00D851D8">
            <w:pPr>
              <w:spacing w:line="276" w:lineRule="auto"/>
              <w:jc w:val="both"/>
              <w:rPr>
                <w:rFonts w:ascii="Verdana" w:hAnsi="Verdana"/>
                <w:sz w:val="16"/>
                <w:szCs w:val="16"/>
                <w:lang w:val="pt-BR"/>
              </w:rPr>
            </w:pPr>
            <w:r>
              <w:rPr>
                <w:rFonts w:ascii="Verdana" w:hAnsi="Verdana"/>
                <w:sz w:val="16"/>
                <w:szCs w:val="16"/>
                <w:lang w:val="pt-BR"/>
              </w:rPr>
              <w:t>Carolina Quintero Gacharná</w:t>
            </w:r>
          </w:p>
          <w:p w14:paraId="0A45A398" w14:textId="14045A7A" w:rsidR="00C37701" w:rsidRPr="00D53651" w:rsidRDefault="00C37701" w:rsidP="00D851D8">
            <w:pPr>
              <w:spacing w:line="276" w:lineRule="auto"/>
              <w:jc w:val="both"/>
              <w:rPr>
                <w:rFonts w:ascii="Verdana" w:hAnsi="Verdana"/>
                <w:sz w:val="16"/>
                <w:szCs w:val="16"/>
                <w:lang w:val="pt-BR"/>
              </w:rPr>
            </w:pPr>
            <w:r w:rsidRPr="00D53651">
              <w:rPr>
                <w:rFonts w:ascii="Verdana" w:hAnsi="Verdana"/>
                <w:sz w:val="16"/>
                <w:szCs w:val="16"/>
              </w:rPr>
              <w:t>Subdirectora</w:t>
            </w:r>
            <w:r w:rsidRPr="00D53651">
              <w:rPr>
                <w:rFonts w:ascii="Verdana" w:hAnsi="Verdana"/>
                <w:sz w:val="16"/>
                <w:szCs w:val="16"/>
                <w:lang w:val="pt-BR"/>
              </w:rPr>
              <w:t xml:space="preserve"> de Gestión Contratual ANCP – CCE</w:t>
            </w:r>
            <w:r>
              <w:rPr>
                <w:rFonts w:ascii="Verdana" w:hAnsi="Verdana"/>
                <w:sz w:val="16"/>
                <w:szCs w:val="16"/>
                <w:lang w:val="pt-BR"/>
              </w:rPr>
              <w:t xml:space="preserve"> </w:t>
            </w:r>
          </w:p>
        </w:tc>
      </w:tr>
    </w:tbl>
    <w:p w14:paraId="4FE90554" w14:textId="77777777" w:rsidR="00C37701" w:rsidRPr="000931E9" w:rsidRDefault="00C37701" w:rsidP="00C37701"/>
    <w:p w14:paraId="397E579C" w14:textId="77777777" w:rsidR="00C37701" w:rsidRPr="0044528D" w:rsidRDefault="00C37701" w:rsidP="00C37701">
      <w:pPr>
        <w:spacing w:after="0"/>
        <w:rPr>
          <w:rFonts w:ascii="Verdana" w:hAnsi="Verdana"/>
        </w:rPr>
      </w:pPr>
    </w:p>
    <w:p w14:paraId="3EF3CB52" w14:textId="77777777" w:rsidR="00C37701" w:rsidRPr="00FA01E0" w:rsidRDefault="00C37701" w:rsidP="00C37701">
      <w:pPr>
        <w:spacing w:after="0" w:line="276" w:lineRule="auto"/>
        <w:jc w:val="both"/>
        <w:rPr>
          <w:rFonts w:ascii="Verdana" w:eastAsia="Calibri" w:hAnsi="Verdana" w:cs="Arial"/>
          <w:lang w:val="es-ES"/>
        </w:rPr>
      </w:pPr>
    </w:p>
    <w:p w14:paraId="29CBE5DA" w14:textId="77777777" w:rsidR="00C37701" w:rsidRPr="004F240F" w:rsidRDefault="00C37701" w:rsidP="00C37701"/>
    <w:p w14:paraId="0F293BF4" w14:textId="44365096" w:rsidR="00127233" w:rsidRPr="00C37701" w:rsidRDefault="00127233" w:rsidP="00C37701"/>
    <w:sectPr w:rsidR="00127233" w:rsidRPr="00C37701"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2289D9" w14:textId="77777777" w:rsidR="00FB16BF" w:rsidRDefault="00FB16BF" w:rsidP="004A1847">
      <w:pPr>
        <w:spacing w:after="0" w:line="240" w:lineRule="auto"/>
      </w:pPr>
      <w:r>
        <w:separator/>
      </w:r>
    </w:p>
  </w:endnote>
  <w:endnote w:type="continuationSeparator" w:id="0">
    <w:p w14:paraId="6DAA5139" w14:textId="77777777" w:rsidR="00FB16BF" w:rsidRDefault="00FB16BF" w:rsidP="004A1847">
      <w:pPr>
        <w:spacing w:after="0" w:line="240" w:lineRule="auto"/>
      </w:pPr>
      <w:r>
        <w:continuationSeparator/>
      </w:r>
    </w:p>
  </w:endnote>
  <w:endnote w:type="continuationNotice" w:id="1">
    <w:p w14:paraId="6A564ACA" w14:textId="77777777" w:rsidR="00FB16BF" w:rsidRDefault="00FB16B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4346B8" w14:textId="77777777" w:rsidR="00FB16BF" w:rsidRDefault="00FB16BF" w:rsidP="004A1847">
      <w:pPr>
        <w:spacing w:after="0" w:line="240" w:lineRule="auto"/>
      </w:pPr>
      <w:r>
        <w:separator/>
      </w:r>
    </w:p>
  </w:footnote>
  <w:footnote w:type="continuationSeparator" w:id="0">
    <w:p w14:paraId="6577F092" w14:textId="77777777" w:rsidR="00FB16BF" w:rsidRDefault="00FB16BF" w:rsidP="004A1847">
      <w:pPr>
        <w:spacing w:after="0" w:line="240" w:lineRule="auto"/>
      </w:pPr>
      <w:r>
        <w:continuationSeparator/>
      </w:r>
    </w:p>
  </w:footnote>
  <w:footnote w:type="continuationNotice" w:id="1">
    <w:p w14:paraId="6869ECE3" w14:textId="77777777" w:rsidR="00FB16BF" w:rsidRDefault="00FB16BF">
      <w:pPr>
        <w:spacing w:after="0" w:line="240" w:lineRule="auto"/>
      </w:pPr>
    </w:p>
  </w:footnote>
  <w:footnote w:id="2">
    <w:p w14:paraId="54BAE976" w14:textId="77777777" w:rsidR="00C37701" w:rsidRPr="001F41BC" w:rsidRDefault="00C37701" w:rsidP="00C37701">
      <w:pPr>
        <w:widowControl w:val="0"/>
        <w:autoSpaceDE w:val="0"/>
        <w:autoSpaceDN w:val="0"/>
        <w:spacing w:after="0"/>
        <w:ind w:firstLine="708"/>
        <w:jc w:val="both"/>
        <w:rPr>
          <w:rFonts w:ascii="Verdana" w:eastAsia="Arial" w:hAnsi="Verdana" w:cs="Arial"/>
          <w:sz w:val="16"/>
          <w:szCs w:val="16"/>
          <w:lang w:val="es-ES"/>
        </w:rPr>
      </w:pPr>
      <w:r w:rsidRPr="001F41BC">
        <w:rPr>
          <w:rStyle w:val="Refdenotaalpie"/>
          <w:rFonts w:ascii="Verdana" w:hAnsi="Verdana" w:cs="Arial"/>
          <w:sz w:val="16"/>
          <w:szCs w:val="16"/>
        </w:rPr>
        <w:footnoteRef/>
      </w:r>
      <w:r w:rsidRPr="001F41BC">
        <w:rPr>
          <w:rFonts w:ascii="Verdana" w:hAnsi="Verdana" w:cs="Arial"/>
          <w:sz w:val="16"/>
          <w:szCs w:val="16"/>
        </w:rPr>
        <w:t xml:space="preserve"> </w:t>
      </w:r>
      <w:r w:rsidRPr="001F41BC">
        <w:rPr>
          <w:rFonts w:ascii="Verdana" w:eastAsia="Arial" w:hAnsi="Verdana" w:cs="Arial"/>
          <w:sz w:val="16"/>
          <w:szCs w:val="16"/>
          <w:lang w:val="es-ES"/>
        </w:rPr>
        <w:t>Ley 789 de 2002: “Artículo 50. Control a la evasión de los recursos parafiscales. La celebración, renovación o liquidación por parte de un particular, de contratos de cualquier naturaleza con Entidades del sector público, requerirá para el efecto, del cumplimiento por parte del contratista de</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sus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obligaciones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con</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los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sistemas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salud,</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riesgos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profesionales,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pensiones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y</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aportes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a</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Cajas de Compensación Familiar, Instituto Colombiano de Bienestar Familiar y Servicio Nacional de Aprendizaje,</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cuando</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a</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ello</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haya</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lugar.</w:t>
      </w:r>
      <w:r w:rsidRPr="001F41BC">
        <w:rPr>
          <w:rFonts w:ascii="Verdana" w:eastAsia="Arial" w:hAnsi="Verdana" w:cs="Arial"/>
          <w:spacing w:val="-11"/>
          <w:sz w:val="16"/>
          <w:szCs w:val="16"/>
          <w:lang w:val="es-ES"/>
        </w:rPr>
        <w:t xml:space="preserve"> </w:t>
      </w:r>
      <w:r w:rsidRPr="001F41BC">
        <w:rPr>
          <w:rFonts w:ascii="Verdana" w:eastAsia="Arial" w:hAnsi="Verdana" w:cs="Arial"/>
          <w:sz w:val="16"/>
          <w:szCs w:val="16"/>
          <w:lang w:val="es-ES"/>
        </w:rPr>
        <w:t>Las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Entidades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públicas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en</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el</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momento</w:t>
      </w:r>
      <w:r w:rsidRPr="001F41BC">
        <w:rPr>
          <w:rFonts w:ascii="Verdana" w:eastAsia="Arial" w:hAnsi="Verdana" w:cs="Arial"/>
          <w:spacing w:val="-11"/>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liquidar</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los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contratos deberán verificar y dejar constancia del cumplimiento de las obligaciones del contratista frente a los aportes mencionados durante toda su vigencia, estableciendo una correcta relación entre el monto cancelado y las sumas que debieron haber sido</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cotizadas.</w:t>
      </w:r>
    </w:p>
    <w:p w14:paraId="219B4815" w14:textId="77777777" w:rsidR="00C37701" w:rsidRPr="001F41BC" w:rsidRDefault="00C37701" w:rsidP="00C37701">
      <w:pPr>
        <w:widowControl w:val="0"/>
        <w:autoSpaceDE w:val="0"/>
        <w:autoSpaceDN w:val="0"/>
        <w:spacing w:after="0"/>
        <w:ind w:firstLine="708"/>
        <w:jc w:val="both"/>
        <w:rPr>
          <w:rFonts w:ascii="Verdana" w:eastAsia="Arial" w:hAnsi="Verdana" w:cs="Arial"/>
          <w:sz w:val="16"/>
          <w:szCs w:val="16"/>
          <w:lang w:val="es-ES"/>
        </w:rPr>
      </w:pPr>
      <w:r w:rsidRPr="001F41BC">
        <w:rPr>
          <w:rFonts w:ascii="Verdana" w:eastAsia="Arial" w:hAnsi="Verdana" w:cs="Arial"/>
          <w:sz w:val="16"/>
          <w:szCs w:val="16"/>
          <w:lang w:val="es-ES"/>
        </w:rPr>
        <w:t>En el evento en que no se hubieran realizado totalmente los aportes correspondientes, la Entidad pública deberá retener las sumas adeudadas al sistema en el momento de la liquidación y efectuará el giro directo de dichos recursos a los correspondientes sistemas con prioridad a los regímenes de salud y pensiones, conforme lo define el reglamento.</w:t>
      </w:r>
    </w:p>
    <w:p w14:paraId="5D291CE7" w14:textId="77777777" w:rsidR="00C37701" w:rsidRPr="001F41BC" w:rsidRDefault="00C37701" w:rsidP="00C37701">
      <w:pPr>
        <w:widowControl w:val="0"/>
        <w:autoSpaceDE w:val="0"/>
        <w:autoSpaceDN w:val="0"/>
        <w:spacing w:after="0"/>
        <w:ind w:firstLine="708"/>
        <w:jc w:val="both"/>
        <w:rPr>
          <w:rFonts w:ascii="Verdana" w:eastAsia="Arial" w:hAnsi="Verdana" w:cs="Arial"/>
          <w:sz w:val="16"/>
          <w:szCs w:val="16"/>
          <w:lang w:val="es-ES"/>
        </w:rPr>
      </w:pPr>
      <w:r w:rsidRPr="001F41BC">
        <w:rPr>
          <w:rFonts w:ascii="Verdana" w:eastAsia="Arial" w:hAnsi="Verdana" w:cs="Arial"/>
          <w:sz w:val="16"/>
          <w:szCs w:val="16"/>
          <w:lang w:val="es-ES"/>
        </w:rPr>
        <w:t>Cuando</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la</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contratación</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se</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realice</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con</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personas</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jurídicas,</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se</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deberá</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acreditar</w:t>
      </w:r>
      <w:r w:rsidRPr="001F41BC">
        <w:rPr>
          <w:rFonts w:ascii="Verdana" w:eastAsia="Arial" w:hAnsi="Verdana" w:cs="Arial"/>
          <w:spacing w:val="-7"/>
          <w:sz w:val="16"/>
          <w:szCs w:val="16"/>
          <w:lang w:val="es-ES"/>
        </w:rPr>
        <w:t xml:space="preserve"> </w:t>
      </w:r>
      <w:r w:rsidRPr="001F41BC">
        <w:rPr>
          <w:rFonts w:ascii="Verdana" w:eastAsia="Arial" w:hAnsi="Verdana" w:cs="Arial"/>
          <w:sz w:val="16"/>
          <w:szCs w:val="16"/>
          <w:lang w:val="es-ES"/>
        </w:rPr>
        <w:t>el</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pago</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8"/>
          <w:sz w:val="16"/>
          <w:szCs w:val="16"/>
          <w:lang w:val="es-ES"/>
        </w:rPr>
        <w:t xml:space="preserve"> </w:t>
      </w:r>
      <w:r w:rsidRPr="001F41BC">
        <w:rPr>
          <w:rFonts w:ascii="Verdana" w:eastAsia="Arial" w:hAnsi="Verdana" w:cs="Arial"/>
          <w:sz w:val="16"/>
          <w:szCs w:val="16"/>
          <w:lang w:val="es-ES"/>
        </w:rPr>
        <w:t>los aportes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sus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empleados,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a</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los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sistemas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mencionados</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mediante</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certificación</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expedida</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por</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el</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revisor fiscal, cuando este exista de acuerdo con los requerimientos de ley, o por el representante legal durante un lapso equivalente al que exija el respectivo régimen de contratación para que se hubiera constituido la sociedad, el cual en todo caso no será inferior a los seis (6) meses anteriores a la celebración del contrato. En el evento en que la sociedad no tenga más de seis (6) meses de constituida, deberá acreditar los pagos a partir de la fecha de su</w:t>
      </w:r>
      <w:r w:rsidRPr="001F41BC">
        <w:rPr>
          <w:rFonts w:ascii="Verdana" w:eastAsia="Arial" w:hAnsi="Verdana" w:cs="Arial"/>
          <w:spacing w:val="-20"/>
          <w:sz w:val="16"/>
          <w:szCs w:val="16"/>
          <w:lang w:val="es-ES"/>
        </w:rPr>
        <w:t xml:space="preserve"> </w:t>
      </w:r>
      <w:r w:rsidRPr="001F41BC">
        <w:rPr>
          <w:rFonts w:ascii="Verdana" w:eastAsia="Arial" w:hAnsi="Verdana" w:cs="Arial"/>
          <w:sz w:val="16"/>
          <w:szCs w:val="16"/>
          <w:lang w:val="es-ES"/>
        </w:rPr>
        <w:t>constitución.</w:t>
      </w:r>
    </w:p>
    <w:p w14:paraId="0D46AA81" w14:textId="77777777" w:rsidR="00C37701" w:rsidRPr="001F41BC" w:rsidRDefault="00C37701" w:rsidP="00C37701">
      <w:pPr>
        <w:pStyle w:val="Textonotapie"/>
        <w:jc w:val="both"/>
        <w:rPr>
          <w:rFonts w:ascii="Verdana" w:eastAsia="Arial" w:hAnsi="Verdana" w:cs="Arial"/>
          <w:sz w:val="16"/>
          <w:szCs w:val="16"/>
          <w:lang w:val="es-ES"/>
        </w:rPr>
      </w:pPr>
      <w:r w:rsidRPr="001F41BC">
        <w:rPr>
          <w:rFonts w:ascii="Verdana" w:eastAsia="Arial" w:hAnsi="Verdana" w:cs="Arial"/>
          <w:sz w:val="16"/>
          <w:szCs w:val="16"/>
          <w:lang w:val="es-ES"/>
        </w:rPr>
        <w:tab/>
        <w:t>Para</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la</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presentación</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ofertas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por</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parte</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de</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personas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jurídicas</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será</w:t>
      </w:r>
      <w:r w:rsidRPr="001F41BC">
        <w:rPr>
          <w:rFonts w:ascii="Verdana" w:eastAsia="Arial" w:hAnsi="Verdana" w:cs="Arial"/>
          <w:spacing w:val="-10"/>
          <w:sz w:val="16"/>
          <w:szCs w:val="16"/>
          <w:lang w:val="es-ES"/>
        </w:rPr>
        <w:t xml:space="preserve"> </w:t>
      </w:r>
      <w:r w:rsidRPr="001F41BC">
        <w:rPr>
          <w:rFonts w:ascii="Verdana" w:eastAsia="Arial" w:hAnsi="Verdana" w:cs="Arial"/>
          <w:sz w:val="16"/>
          <w:szCs w:val="16"/>
          <w:lang w:val="es-ES"/>
        </w:rPr>
        <w:t>indispensable</w:t>
      </w:r>
      <w:r w:rsidRPr="001F41BC">
        <w:rPr>
          <w:rFonts w:ascii="Verdana" w:eastAsia="Arial" w:hAnsi="Verdana" w:cs="Arial"/>
          <w:spacing w:val="-9"/>
          <w:sz w:val="16"/>
          <w:szCs w:val="16"/>
          <w:lang w:val="es-ES"/>
        </w:rPr>
        <w:t xml:space="preserve"> </w:t>
      </w:r>
      <w:r w:rsidRPr="001F41BC">
        <w:rPr>
          <w:rFonts w:ascii="Verdana" w:eastAsia="Arial" w:hAnsi="Verdana" w:cs="Arial"/>
          <w:sz w:val="16"/>
          <w:szCs w:val="16"/>
          <w:lang w:val="es-ES"/>
        </w:rPr>
        <w:t>acreditar el requisito señalado anteriormente. El funcionario que no deje constancia de la verificación del cumplimiento de este requisito incurrirá en causal de mala</w:t>
      </w:r>
      <w:r w:rsidRPr="001F41BC">
        <w:rPr>
          <w:rFonts w:ascii="Verdana" w:eastAsia="Arial" w:hAnsi="Verdana" w:cs="Arial"/>
          <w:spacing w:val="-12"/>
          <w:sz w:val="16"/>
          <w:szCs w:val="16"/>
          <w:lang w:val="es-ES"/>
        </w:rPr>
        <w:t xml:space="preserve"> </w:t>
      </w:r>
      <w:r w:rsidRPr="001F41BC">
        <w:rPr>
          <w:rFonts w:ascii="Verdana" w:eastAsia="Arial" w:hAnsi="Verdana" w:cs="Arial"/>
          <w:sz w:val="16"/>
          <w:szCs w:val="16"/>
          <w:lang w:val="es-ES"/>
        </w:rPr>
        <w:t>conducta”.</w:t>
      </w:r>
    </w:p>
  </w:footnote>
  <w:footnote w:id="3">
    <w:p w14:paraId="6B07CF82" w14:textId="77777777" w:rsidR="00C37701" w:rsidRPr="001F41BC" w:rsidRDefault="00C37701" w:rsidP="00C37701">
      <w:pPr>
        <w:pStyle w:val="Textonotapie"/>
        <w:ind w:firstLine="708"/>
        <w:jc w:val="both"/>
        <w:rPr>
          <w:rFonts w:ascii="Verdana" w:eastAsia="Arial" w:hAnsi="Verdana" w:cs="Arial"/>
          <w:sz w:val="16"/>
          <w:szCs w:val="16"/>
          <w:lang w:val="es-ES"/>
        </w:rPr>
      </w:pPr>
      <w:r w:rsidRPr="001F41BC">
        <w:rPr>
          <w:rStyle w:val="Refdenotaalpie"/>
          <w:rFonts w:ascii="Verdana" w:hAnsi="Verdana" w:cs="Arial"/>
          <w:sz w:val="16"/>
          <w:szCs w:val="16"/>
        </w:rPr>
        <w:footnoteRef/>
      </w:r>
      <w:r w:rsidRPr="001F41BC">
        <w:rPr>
          <w:rFonts w:ascii="Verdana" w:hAnsi="Verdana" w:cs="Arial"/>
          <w:sz w:val="16"/>
          <w:szCs w:val="16"/>
        </w:rPr>
        <w:t xml:space="preserve"> </w:t>
      </w:r>
      <w:r w:rsidRPr="001F41BC">
        <w:rPr>
          <w:rFonts w:ascii="Verdana" w:eastAsia="Arial" w:hAnsi="Verdana" w:cs="Arial"/>
          <w:sz w:val="16"/>
          <w:szCs w:val="16"/>
          <w:lang w:val="es-ES"/>
        </w:rPr>
        <w:t>Consejo de Estado. Sección Tercera. Subsección C. Sentencia del 8 de junio de 2011. Exp. 20001-23-31-000-2005-00409-01(AP), C.P. Enrique Gil Botero.</w:t>
      </w:r>
    </w:p>
  </w:footnote>
  <w:footnote w:id="4">
    <w:p w14:paraId="25B0945B" w14:textId="77777777" w:rsidR="00C37701" w:rsidRPr="001F41BC" w:rsidRDefault="00C37701" w:rsidP="00C37701">
      <w:pPr>
        <w:pStyle w:val="Textonotapie"/>
        <w:ind w:firstLine="708"/>
        <w:jc w:val="both"/>
        <w:rPr>
          <w:rFonts w:ascii="Verdana" w:hAnsi="Verdana" w:cs="Arial"/>
          <w:sz w:val="16"/>
          <w:szCs w:val="16"/>
          <w:lang w:val="es-CO"/>
        </w:rPr>
      </w:pPr>
      <w:r w:rsidRPr="001F41BC">
        <w:rPr>
          <w:rStyle w:val="Refdenotaalpie"/>
          <w:rFonts w:ascii="Verdana" w:hAnsi="Verdana" w:cs="Arial"/>
          <w:sz w:val="16"/>
          <w:szCs w:val="16"/>
        </w:rPr>
        <w:footnoteRef/>
      </w:r>
      <w:r w:rsidRPr="001F41BC">
        <w:rPr>
          <w:rFonts w:ascii="Verdana" w:hAnsi="Verdana" w:cs="Arial"/>
          <w:sz w:val="16"/>
          <w:szCs w:val="16"/>
        </w:rPr>
        <w:t xml:space="preserve"> Respecto a la revisoría fiscal de las sociedades extranjeras con sucursal en Colombia, el artículo 472.6 del Código de Comercio dispone que </w:t>
      </w:r>
      <w:r w:rsidRPr="001F41BC">
        <w:rPr>
          <w:rFonts w:ascii="Verdana" w:hAnsi="Verdana" w:cs="Arial"/>
          <w:sz w:val="16"/>
          <w:szCs w:val="16"/>
          <w:lang w:val="es-CO"/>
        </w:rPr>
        <w:t xml:space="preserve">la resolución o acto en que la sociedad acuerda establecer negocios permanentes en Colombia expresará “La designación del revisor fiscal, quien será persona natural con residencia permanente en Colombia”. </w:t>
      </w:r>
    </w:p>
    <w:p w14:paraId="023830B8" w14:textId="77777777" w:rsidR="00C37701" w:rsidRPr="001F41BC" w:rsidRDefault="00C37701" w:rsidP="00C37701">
      <w:pPr>
        <w:pStyle w:val="Textonotapie"/>
        <w:ind w:firstLine="708"/>
        <w:jc w:val="both"/>
        <w:rPr>
          <w:rFonts w:ascii="Verdana" w:hAnsi="Verdana" w:cs="Arial"/>
          <w:sz w:val="16"/>
          <w:szCs w:val="16"/>
        </w:rPr>
      </w:pPr>
      <w:r w:rsidRPr="001F41BC">
        <w:rPr>
          <w:rFonts w:ascii="Verdana" w:hAnsi="Verdana" w:cs="Arial"/>
          <w:sz w:val="16"/>
          <w:szCs w:val="16"/>
          <w:lang w:val="es-CO"/>
        </w:rPr>
        <w:t xml:space="preserve">Por lo demás, el artículo el artículo 489 </w:t>
      </w:r>
      <w:r w:rsidRPr="001F41BC">
        <w:rPr>
          <w:rFonts w:ascii="Verdana" w:hAnsi="Verdana" w:cs="Arial"/>
          <w:i/>
          <w:iCs/>
          <w:sz w:val="16"/>
          <w:szCs w:val="16"/>
          <w:lang w:val="es-CO"/>
        </w:rPr>
        <w:t>ibidem</w:t>
      </w:r>
      <w:r w:rsidRPr="001F41BC">
        <w:rPr>
          <w:rFonts w:ascii="Verdana" w:hAnsi="Verdana" w:cs="Arial"/>
          <w:sz w:val="16"/>
          <w:szCs w:val="16"/>
          <w:lang w:val="es-CO"/>
        </w:rPr>
        <w:t xml:space="preserve"> prescribe que “Los revisores fiscales de las sociedades domiciliadas en el exterior se sujetarán, en lo pertinente, a las disposiciones de este Código sobre los revisores fiscales de las sociedades domiciliadas en el país”. Además, agrega lo siguiente: “Estos revisores deberán, además, informar a la correspondiente Superintendencia cualquier irregularidad de las que puedan ser causales de suspensión o de revocación del permiso de funcionamiento de tales sociedades”.</w:t>
      </w:r>
    </w:p>
  </w:footnote>
  <w:footnote w:id="5">
    <w:p w14:paraId="40B1A529" w14:textId="77777777" w:rsidR="00C37701" w:rsidRPr="00D808AA" w:rsidRDefault="00C37701" w:rsidP="00C37701">
      <w:pPr>
        <w:pStyle w:val="Textonotapie"/>
        <w:ind w:firstLine="708"/>
        <w:jc w:val="both"/>
        <w:rPr>
          <w:rFonts w:ascii="Verdana" w:hAnsi="Verdana"/>
          <w:sz w:val="16"/>
          <w:szCs w:val="16"/>
        </w:rPr>
      </w:pPr>
      <w:r w:rsidRPr="00D808AA">
        <w:rPr>
          <w:rStyle w:val="Refdenotaalpie"/>
          <w:rFonts w:ascii="Verdana" w:hAnsi="Verdana"/>
          <w:sz w:val="16"/>
          <w:szCs w:val="16"/>
        </w:rPr>
        <w:footnoteRef/>
      </w:r>
      <w:r w:rsidRPr="00D808AA">
        <w:rPr>
          <w:rFonts w:ascii="Verdana" w:hAnsi="Verdana"/>
          <w:sz w:val="16"/>
          <w:szCs w:val="16"/>
        </w:rPr>
        <w:t xml:space="preserve"> En </w:t>
      </w:r>
      <w:r>
        <w:rPr>
          <w:rFonts w:ascii="Verdana" w:hAnsi="Verdana"/>
          <w:sz w:val="16"/>
          <w:szCs w:val="16"/>
        </w:rPr>
        <w:t>concordancia, el artículo 7 de la Ley 2381 de 2024 precisa lo siguiente: “</w:t>
      </w:r>
      <w:r w:rsidRPr="00D808AA">
        <w:rPr>
          <w:rFonts w:ascii="Verdana" w:hAnsi="Verdana"/>
          <w:sz w:val="16"/>
          <w:szCs w:val="16"/>
        </w:rPr>
        <w:t>Corresponde a los(as) Empleadores(as) y contratantes de prestación de servicios dentro del Sistema de Protección Social Integral para la Vejez, invalidez y muerte de origen común:</w:t>
      </w:r>
    </w:p>
    <w:p w14:paraId="7A19F713" w14:textId="77777777" w:rsidR="00C37701" w:rsidRPr="00D808AA" w:rsidRDefault="00C37701" w:rsidP="00C37701">
      <w:pPr>
        <w:pStyle w:val="Textonotapie"/>
        <w:ind w:firstLine="708"/>
        <w:jc w:val="both"/>
        <w:rPr>
          <w:rFonts w:ascii="Verdana" w:hAnsi="Verdana"/>
          <w:sz w:val="16"/>
          <w:szCs w:val="16"/>
        </w:rPr>
      </w:pPr>
      <w:r w:rsidRPr="00D808AA">
        <w:rPr>
          <w:rFonts w:ascii="Verdana" w:hAnsi="Verdana"/>
          <w:sz w:val="16"/>
          <w:szCs w:val="16"/>
        </w:rPr>
        <w:t>1) Realizar el pago de su aporte y del aporte de los(as) trabajadores(as) o contratistas de prestación de servicios a su servicio en el Pilar Contributivo. Para tal efecto, descontará del salario, y/o honorarios de cada persona, al momento de su pago, el monto de las cotizaciones obligatorias y realizará el descuento de las cotizaciones voluntarias que expresamente haya autorizado por escrito el(la) trabajador(a) o contratista de prestación de servicios.</w:t>
      </w:r>
    </w:p>
    <w:p w14:paraId="51289B4C" w14:textId="77777777" w:rsidR="00C37701" w:rsidRPr="00D808AA" w:rsidRDefault="00C37701" w:rsidP="00C37701">
      <w:pPr>
        <w:pStyle w:val="Textonotapie"/>
        <w:ind w:firstLine="708"/>
        <w:jc w:val="both"/>
        <w:rPr>
          <w:rFonts w:ascii="Verdana" w:hAnsi="Verdana"/>
          <w:sz w:val="16"/>
          <w:szCs w:val="16"/>
        </w:rPr>
      </w:pPr>
      <w:r w:rsidRPr="00D808AA">
        <w:rPr>
          <w:rFonts w:ascii="Verdana" w:hAnsi="Verdana"/>
          <w:sz w:val="16"/>
          <w:szCs w:val="16"/>
        </w:rPr>
        <w:t>2) Efectuar el pago de las cotizaciones a través de los mecanismos de recaudo establecidos, dentro de los plazos que determine el Gobierno nacional.</w:t>
      </w:r>
    </w:p>
    <w:p w14:paraId="1DDA9524" w14:textId="77777777" w:rsidR="00C37701" w:rsidRPr="00D808AA" w:rsidRDefault="00C37701" w:rsidP="00C37701">
      <w:pPr>
        <w:pStyle w:val="Textonotapie"/>
        <w:ind w:firstLine="708"/>
        <w:jc w:val="both"/>
        <w:rPr>
          <w:rFonts w:ascii="Verdana" w:hAnsi="Verdana"/>
          <w:sz w:val="16"/>
          <w:szCs w:val="16"/>
        </w:rPr>
      </w:pPr>
      <w:r w:rsidRPr="00D808AA">
        <w:rPr>
          <w:rFonts w:ascii="Verdana" w:hAnsi="Verdana"/>
          <w:sz w:val="16"/>
          <w:szCs w:val="16"/>
        </w:rPr>
        <w:t>3) Reportar y mantener actualizada toda la información que se requiera para la correcta y adecuada liquidación y pago de las contribuciones parafiscales del Sistema de Protección Integral para la Vejez.</w:t>
      </w:r>
    </w:p>
    <w:p w14:paraId="65985A72" w14:textId="77777777" w:rsidR="00C37701" w:rsidRPr="00D808AA" w:rsidRDefault="00C37701" w:rsidP="00C37701">
      <w:pPr>
        <w:pStyle w:val="Textonotapie"/>
        <w:ind w:firstLine="708"/>
        <w:jc w:val="both"/>
        <w:rPr>
          <w:rFonts w:ascii="Verdana" w:hAnsi="Verdana"/>
          <w:sz w:val="16"/>
          <w:szCs w:val="16"/>
        </w:rPr>
      </w:pPr>
      <w:r w:rsidRPr="00D808AA">
        <w:rPr>
          <w:rFonts w:ascii="Verdana" w:hAnsi="Verdana"/>
          <w:sz w:val="16"/>
          <w:szCs w:val="16"/>
        </w:rPr>
        <w:t>4) Responder por la totalidad del aporte aún en el evento que no hubiere efectuado el descuento a él(la) trabajador(a) o contratista de prestación de servicios con las sanciones a que haya lugar en caso de incumplimiento.</w:t>
      </w:r>
    </w:p>
    <w:p w14:paraId="20D2B57C" w14:textId="77777777" w:rsidR="00C37701" w:rsidRPr="00D808AA" w:rsidRDefault="00C37701" w:rsidP="00C37701">
      <w:pPr>
        <w:pStyle w:val="Textonotapie"/>
        <w:ind w:firstLine="708"/>
        <w:jc w:val="both"/>
        <w:rPr>
          <w:rFonts w:ascii="Verdana" w:hAnsi="Verdana"/>
          <w:sz w:val="16"/>
          <w:szCs w:val="16"/>
        </w:rPr>
      </w:pPr>
      <w:r w:rsidRPr="00D808AA">
        <w:rPr>
          <w:rFonts w:ascii="Verdana" w:hAnsi="Verdana"/>
          <w:sz w:val="16"/>
          <w:szCs w:val="16"/>
        </w:rPr>
        <w:t>5) Facilitar el acceso a información oportuna relacionada con la elección del fondo de pensiones de ahorro individual de preferencia de los afiliados, respetar su decisión y abstenerse de realizar afiliaciones o modificaciones sin su consentimiento.</w:t>
      </w:r>
    </w:p>
    <w:p w14:paraId="4E89295E" w14:textId="77777777" w:rsidR="00C37701" w:rsidRPr="00D808AA" w:rsidRDefault="00C37701" w:rsidP="00C37701">
      <w:pPr>
        <w:pStyle w:val="Textonotapie"/>
        <w:ind w:firstLine="708"/>
        <w:jc w:val="both"/>
        <w:rPr>
          <w:rFonts w:ascii="Verdana" w:hAnsi="Verdana"/>
          <w:sz w:val="16"/>
          <w:szCs w:val="16"/>
          <w:lang w:val="es-CO"/>
        </w:rPr>
      </w:pPr>
      <w:r w:rsidRPr="00D808AA">
        <w:rPr>
          <w:rFonts w:ascii="Verdana" w:hAnsi="Verdana"/>
          <w:sz w:val="16"/>
          <w:szCs w:val="16"/>
        </w:rPr>
        <w:t>6) Informar las novedades laborales de sus trabajadores o contratistas de prestación de servicios a la entidad a la cual están afiliados, en materias tales como ingreso base de cotización y sus cambios, las vinculaciones y retiros de trabajadores; así mismo, informar a los trabajadores y contratistas de prestación de servicios sobre las garantías y las obligaciones que les asisten en el Sistema General de Seguridad Social</w:t>
      </w:r>
      <w:r>
        <w:rPr>
          <w:rFonts w:ascii="Verdana" w:hAnsi="Verdana"/>
          <w:sz w:val="16"/>
          <w:szCs w:val="16"/>
        </w:rPr>
        <w:t>”</w:t>
      </w:r>
      <w:r w:rsidRPr="00D808AA">
        <w:rPr>
          <w:rFonts w:ascii="Verdana" w:hAnsi="Verdana"/>
          <w:sz w:val="16"/>
          <w:szCs w:val="16"/>
        </w:rPr>
        <w:t>.</w:t>
      </w:r>
    </w:p>
  </w:footnote>
  <w:footnote w:id="6">
    <w:p w14:paraId="7F04D462" w14:textId="77777777" w:rsidR="00C37701" w:rsidRPr="001F45BC" w:rsidRDefault="00C37701" w:rsidP="00C37701">
      <w:pPr>
        <w:pStyle w:val="Textonotapie"/>
        <w:ind w:firstLine="708"/>
        <w:jc w:val="both"/>
        <w:rPr>
          <w:rFonts w:ascii="Verdana" w:hAnsi="Verdana"/>
          <w:sz w:val="16"/>
          <w:szCs w:val="16"/>
        </w:rPr>
      </w:pPr>
      <w:r w:rsidRPr="001F45BC">
        <w:rPr>
          <w:rStyle w:val="Refdenotaalpie"/>
          <w:rFonts w:ascii="Verdana" w:hAnsi="Verdana"/>
          <w:sz w:val="16"/>
          <w:szCs w:val="16"/>
        </w:rPr>
        <w:footnoteRef/>
      </w:r>
      <w:r w:rsidRPr="001F45BC">
        <w:rPr>
          <w:rFonts w:ascii="Verdana" w:hAnsi="Verdana"/>
          <w:sz w:val="16"/>
          <w:szCs w:val="16"/>
        </w:rPr>
        <w:t xml:space="preserve"> </w:t>
      </w:r>
      <w:r>
        <w:rPr>
          <w:rFonts w:ascii="Verdana" w:hAnsi="Verdana"/>
          <w:sz w:val="16"/>
          <w:szCs w:val="16"/>
        </w:rPr>
        <w:t xml:space="preserve">CONSEJO DE ESTADO. Sección Tercera. Sentencia del 3 de diciembre de 2007. Exp. 24715. C.P. </w:t>
      </w:r>
      <w:r w:rsidRPr="001F45BC">
        <w:rPr>
          <w:rFonts w:ascii="Verdana" w:hAnsi="Verdana"/>
          <w:sz w:val="16"/>
          <w:szCs w:val="16"/>
        </w:rPr>
        <w:t>Ruth Stella Correa Palacio</w:t>
      </w:r>
      <w:r>
        <w:rPr>
          <w:rFonts w:ascii="Verdana" w:hAnsi="Verdana"/>
          <w:sz w:val="16"/>
          <w:szCs w:val="16"/>
        </w:rPr>
        <w:t xml:space="preserve">. Para la doctrina, </w:t>
      </w:r>
      <w:r w:rsidRPr="007E478B">
        <w:rPr>
          <w:rFonts w:ascii="Verdana" w:hAnsi="Verdana"/>
          <w:sz w:val="16"/>
          <w:szCs w:val="16"/>
        </w:rPr>
        <w:t>“[…] al decir la norma que ‘estos contratos sólo podrán celebrarse con personas naturales (…)’, ello no significa que solo autorice su celebración con estos sujetos; es decir que no prohíbe que las personas jurídicas también suscriban contratos de prestación de servicios. Precisado lo anterior, resulta válido entender […] que el aparte normativo en cuestión consagra límites sobre la celebración de contratos de prestación de servicios con personas naturales, no con personas jurídicas. Expresado en otras palabras, la exigencia de que únicamente tales contratos se celebren cuando las actividades de administración o funcionamiento de las entidad ‘no puedan realizarse con personal de planta o requieran conocimientos especializados’ opera solo para la suscripción de contratos de prestación de servicios con personas naturales, no solo porque el referido numeral así lo prevé textualmente, sino porque lo que se busca evitar con tal norma es que, a través de dichos contratos, se constituyan las llamadas ‘nóminas paralelas’, es decir, cargas económicas adicionales para las entidades públicas, que se producen por la duplicación de un cargo de planta a través de la celebración de contratos de prestación de servicios con personas naturales. Si bien podría pensarse que la externalización de ciertas labores administrativas o de funcionamiento, mediante la celebración de tales contratos con personas jurídicas, también ofrece el riesgo de que se repita la actividad de algunos empleos o se vacíen ciertas competencias de la entidad, estos son defectos del funcionamiento del contrato de prestación de servicios que deben evitarse en la práctica, para garantizar los principios que orientan la actividad contractual del Estado. Sin embargo, lo cierto es que el numeral 3 del artículo 32 de la Ley 80 de 1993 permite indirectamente que se celebren contratos de prestación de servicios con personas jurídicas, a pesar de que haya personal de planta que pueda encargarse de las labores que se contratan o aunque estas últimas no requieran conocimientos especializados”</w:t>
      </w:r>
      <w:r>
        <w:rPr>
          <w:rFonts w:ascii="Verdana" w:hAnsi="Verdana"/>
          <w:sz w:val="16"/>
          <w:szCs w:val="16"/>
        </w:rPr>
        <w:t xml:space="preserve"> (Cfr. </w:t>
      </w:r>
      <w:r w:rsidRPr="007E478B">
        <w:rPr>
          <w:rFonts w:ascii="Verdana" w:hAnsi="Verdana"/>
          <w:sz w:val="16"/>
          <w:szCs w:val="16"/>
        </w:rPr>
        <w:t xml:space="preserve">DÍAZ DÍEZ, Cristian Andrés &amp; GÓMEZ VELÁSQUEZ, Alejandro. El contrato de prestación de servicios en el estatuto general de contratación de la administración pública: un tipo contractual de compleja celebración. Consultado el </w:t>
      </w:r>
      <w:r>
        <w:rPr>
          <w:rFonts w:ascii="Verdana" w:hAnsi="Verdana"/>
          <w:sz w:val="16"/>
          <w:szCs w:val="16"/>
        </w:rPr>
        <w:t xml:space="preserve">11 de junio de 2025 </w:t>
      </w:r>
      <w:r w:rsidRPr="007E478B">
        <w:rPr>
          <w:rFonts w:ascii="Verdana" w:hAnsi="Verdana"/>
          <w:sz w:val="16"/>
          <w:szCs w:val="16"/>
        </w:rPr>
        <w:t xml:space="preserve">en la página web </w:t>
      </w:r>
      <w:hyperlink r:id="rId1" w:anchor="fn22" w:history="1">
        <w:r w:rsidRPr="001F47FD">
          <w:rPr>
            <w:rStyle w:val="Hipervnculo"/>
            <w:rFonts w:ascii="Verdana" w:hAnsi="Verdana"/>
            <w:sz w:val="16"/>
            <w:szCs w:val="16"/>
          </w:rPr>
          <w:t>https://revistas.javeriana.edu.co/files-articulos/VJ/139%20(2019-II)/82562148007/#fn22</w:t>
        </w:r>
      </w:hyperlink>
      <w:r>
        <w:rPr>
          <w:rFonts w:ascii="Verdana" w:hAnsi="Verdana"/>
          <w:sz w:val="16"/>
          <w:szCs w:val="16"/>
        </w:rPr>
        <w:t>)</w:t>
      </w:r>
      <w:r w:rsidRPr="007E478B">
        <w:rPr>
          <w:rFonts w:ascii="Verdana" w:hAnsi="Verdana"/>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4DDC6F0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120999834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D021C"/>
    <w:rsid w:val="001E4177"/>
    <w:rsid w:val="001F0B24"/>
    <w:rsid w:val="001F7DC6"/>
    <w:rsid w:val="0022400B"/>
    <w:rsid w:val="002421BB"/>
    <w:rsid w:val="0025796E"/>
    <w:rsid w:val="002707A2"/>
    <w:rsid w:val="0027624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00F0"/>
    <w:rsid w:val="004135D4"/>
    <w:rsid w:val="00414C74"/>
    <w:rsid w:val="0042722E"/>
    <w:rsid w:val="0044528D"/>
    <w:rsid w:val="00466E39"/>
    <w:rsid w:val="004A1847"/>
    <w:rsid w:val="004A305D"/>
    <w:rsid w:val="004D0FDD"/>
    <w:rsid w:val="004F21C4"/>
    <w:rsid w:val="004F685F"/>
    <w:rsid w:val="0054715C"/>
    <w:rsid w:val="005566E8"/>
    <w:rsid w:val="00574867"/>
    <w:rsid w:val="00591460"/>
    <w:rsid w:val="005A65E0"/>
    <w:rsid w:val="005B1DBD"/>
    <w:rsid w:val="005C3777"/>
    <w:rsid w:val="005C5CDC"/>
    <w:rsid w:val="005D476C"/>
    <w:rsid w:val="006200BF"/>
    <w:rsid w:val="006219F8"/>
    <w:rsid w:val="006302F7"/>
    <w:rsid w:val="0063757B"/>
    <w:rsid w:val="00646B9F"/>
    <w:rsid w:val="00665D70"/>
    <w:rsid w:val="006900D9"/>
    <w:rsid w:val="00706C16"/>
    <w:rsid w:val="007340C3"/>
    <w:rsid w:val="0075235A"/>
    <w:rsid w:val="00756841"/>
    <w:rsid w:val="007649AB"/>
    <w:rsid w:val="00766B46"/>
    <w:rsid w:val="00771D0C"/>
    <w:rsid w:val="007833AC"/>
    <w:rsid w:val="007B268C"/>
    <w:rsid w:val="007B7171"/>
    <w:rsid w:val="007C0C0F"/>
    <w:rsid w:val="007C3DC2"/>
    <w:rsid w:val="007E5497"/>
    <w:rsid w:val="00803F41"/>
    <w:rsid w:val="00806F5F"/>
    <w:rsid w:val="00820278"/>
    <w:rsid w:val="008258C9"/>
    <w:rsid w:val="00844AE9"/>
    <w:rsid w:val="00867F95"/>
    <w:rsid w:val="008843B6"/>
    <w:rsid w:val="00891928"/>
    <w:rsid w:val="008A446D"/>
    <w:rsid w:val="008A5359"/>
    <w:rsid w:val="008B25F1"/>
    <w:rsid w:val="008D180B"/>
    <w:rsid w:val="008E0828"/>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538D4"/>
    <w:rsid w:val="00A6203B"/>
    <w:rsid w:val="00A94744"/>
    <w:rsid w:val="00AB0ADB"/>
    <w:rsid w:val="00AE4F93"/>
    <w:rsid w:val="00B00C0E"/>
    <w:rsid w:val="00B01B1A"/>
    <w:rsid w:val="00B0381D"/>
    <w:rsid w:val="00B44A47"/>
    <w:rsid w:val="00B47FD6"/>
    <w:rsid w:val="00B72CD3"/>
    <w:rsid w:val="00B72FFF"/>
    <w:rsid w:val="00BC3D36"/>
    <w:rsid w:val="00BD54A6"/>
    <w:rsid w:val="00BD7F72"/>
    <w:rsid w:val="00BF7425"/>
    <w:rsid w:val="00C04FB3"/>
    <w:rsid w:val="00C11D8B"/>
    <w:rsid w:val="00C15139"/>
    <w:rsid w:val="00C330EB"/>
    <w:rsid w:val="00C33A2B"/>
    <w:rsid w:val="00C37701"/>
    <w:rsid w:val="00C50D69"/>
    <w:rsid w:val="00C5365C"/>
    <w:rsid w:val="00C754BE"/>
    <w:rsid w:val="00C76B1C"/>
    <w:rsid w:val="00C925AC"/>
    <w:rsid w:val="00CB6357"/>
    <w:rsid w:val="00CC1B26"/>
    <w:rsid w:val="00CF7942"/>
    <w:rsid w:val="00D361FD"/>
    <w:rsid w:val="00D423A2"/>
    <w:rsid w:val="00D44E26"/>
    <w:rsid w:val="00D520D8"/>
    <w:rsid w:val="00D63AC2"/>
    <w:rsid w:val="00D7383B"/>
    <w:rsid w:val="00D7788A"/>
    <w:rsid w:val="00D851D8"/>
    <w:rsid w:val="00DA231B"/>
    <w:rsid w:val="00DC39FC"/>
    <w:rsid w:val="00DF5254"/>
    <w:rsid w:val="00E02524"/>
    <w:rsid w:val="00E150C0"/>
    <w:rsid w:val="00E16408"/>
    <w:rsid w:val="00E20894"/>
    <w:rsid w:val="00E245AB"/>
    <w:rsid w:val="00E2764C"/>
    <w:rsid w:val="00E27F2E"/>
    <w:rsid w:val="00E50AFE"/>
    <w:rsid w:val="00E75C92"/>
    <w:rsid w:val="00E771DC"/>
    <w:rsid w:val="00E8772A"/>
    <w:rsid w:val="00E90F6B"/>
    <w:rsid w:val="00E91400"/>
    <w:rsid w:val="00E92C27"/>
    <w:rsid w:val="00EA0E3D"/>
    <w:rsid w:val="00EC38A7"/>
    <w:rsid w:val="00EE1A9F"/>
    <w:rsid w:val="00EE1AA8"/>
    <w:rsid w:val="00EF6275"/>
    <w:rsid w:val="00F23FEA"/>
    <w:rsid w:val="00F31EDC"/>
    <w:rsid w:val="00F462B3"/>
    <w:rsid w:val="00F5664F"/>
    <w:rsid w:val="00F56B4F"/>
    <w:rsid w:val="00F666C4"/>
    <w:rsid w:val="00F744B3"/>
    <w:rsid w:val="00F76AFC"/>
    <w:rsid w:val="00FA47C0"/>
    <w:rsid w:val="00FB16BF"/>
    <w:rsid w:val="00FB5DD1"/>
    <w:rsid w:val="00FC2B5D"/>
    <w:rsid w:val="00FD6FEA"/>
    <w:rsid w:val="00FF0CE5"/>
    <w:rsid w:val="00FF1449"/>
    <w:rsid w:val="00FF7963"/>
    <w:rsid w:val="071B8F93"/>
    <w:rsid w:val="09908A09"/>
    <w:rsid w:val="0FF4CCA8"/>
    <w:rsid w:val="13CFC91B"/>
    <w:rsid w:val="19A2EC2C"/>
    <w:rsid w:val="1F7A4DC9"/>
    <w:rsid w:val="2384A544"/>
    <w:rsid w:val="248F8306"/>
    <w:rsid w:val="2859CA1B"/>
    <w:rsid w:val="2886EB3F"/>
    <w:rsid w:val="32A4F9CF"/>
    <w:rsid w:val="32D8B1DB"/>
    <w:rsid w:val="356CEDFD"/>
    <w:rsid w:val="4F23403A"/>
    <w:rsid w:val="50FDDB6E"/>
    <w:rsid w:val="5BC8D79C"/>
    <w:rsid w:val="642AC7A1"/>
    <w:rsid w:val="69614A15"/>
    <w:rsid w:val="726A4BDD"/>
    <w:rsid w:val="7479584A"/>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DF14CD7-673F-4984-BDFE-849E6CF11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37701"/>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C37701"/>
    <w:rPr>
      <w:rFonts w:ascii="Geomanist Light" w:hAnsi="Geomanist Light"/>
      <w:lang w:val="es-ES"/>
    </w:rPr>
  </w:style>
  <w:style w:type="paragraph" w:styleId="Textocomentario">
    <w:name w:val="annotation text"/>
    <w:basedOn w:val="Normal"/>
    <w:link w:val="TextocomentarioCar"/>
    <w:uiPriority w:val="99"/>
    <w:unhideWhenUsed/>
    <w:rsid w:val="00B47FD6"/>
    <w:pPr>
      <w:spacing w:line="240" w:lineRule="auto"/>
    </w:pPr>
    <w:rPr>
      <w:sz w:val="20"/>
      <w:szCs w:val="20"/>
    </w:rPr>
  </w:style>
  <w:style w:type="character" w:customStyle="1" w:styleId="TextocomentarioCar">
    <w:name w:val="Texto comentario Car"/>
    <w:basedOn w:val="Fuentedeprrafopredeter"/>
    <w:link w:val="Textocomentario"/>
    <w:uiPriority w:val="99"/>
    <w:rsid w:val="00B47FD6"/>
    <w:rPr>
      <w:sz w:val="20"/>
      <w:szCs w:val="20"/>
    </w:rPr>
  </w:style>
  <w:style w:type="character" w:styleId="Refdecomentario">
    <w:name w:val="annotation reference"/>
    <w:basedOn w:val="Fuentedeprrafopredeter"/>
    <w:uiPriority w:val="99"/>
    <w:semiHidden/>
    <w:unhideWhenUsed/>
    <w:rsid w:val="00B47FD6"/>
    <w:rPr>
      <w:sz w:val="16"/>
      <w:szCs w:val="16"/>
    </w:rPr>
  </w:style>
  <w:style w:type="paragraph" w:styleId="Asuntodelcomentario">
    <w:name w:val="annotation subject"/>
    <w:basedOn w:val="Textocomentario"/>
    <w:next w:val="Textocomentario"/>
    <w:link w:val="AsuntodelcomentarioCar"/>
    <w:uiPriority w:val="99"/>
    <w:semiHidden/>
    <w:unhideWhenUsed/>
    <w:rsid w:val="004D0FDD"/>
    <w:rPr>
      <w:b/>
      <w:bCs/>
    </w:rPr>
  </w:style>
  <w:style w:type="character" w:customStyle="1" w:styleId="AsuntodelcomentarioCar">
    <w:name w:val="Asunto del comentario Car"/>
    <w:basedOn w:val="TextocomentarioCar"/>
    <w:link w:val="Asuntodelcomentario"/>
    <w:uiPriority w:val="99"/>
    <w:semiHidden/>
    <w:rsid w:val="004D0FD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artagena@igac.gov.co"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revistas.javeriana.edu.co/files-articulos/VJ/139%20(2019-II)/82562148007/"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9D3B6E9A-A5BB-4BD1-8F3F-EE9FBAF96B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TotalTime>
  <Pages>18</Pages>
  <Words>5686</Words>
  <Characters>29971</Characters>
  <Application>Microsoft Office Word</Application>
  <DocSecurity>0</DocSecurity>
  <Lines>587</Lines>
  <Paragraphs>107</Paragraphs>
  <ScaleCrop>false</ScaleCrop>
  <Company/>
  <LinksUpToDate>false</LinksUpToDate>
  <CharactersWithSpaces>35550</CharactersWithSpaces>
  <SharedDoc>false</SharedDoc>
  <HLinks>
    <vt:vector size="12" baseType="variant">
      <vt:variant>
        <vt:i4>7471218</vt:i4>
      </vt:variant>
      <vt:variant>
        <vt:i4>0</vt:i4>
      </vt:variant>
      <vt:variant>
        <vt:i4>0</vt:i4>
      </vt:variant>
      <vt:variant>
        <vt:i4>5</vt:i4>
      </vt:variant>
      <vt:variant>
        <vt:lpwstr>https://relatoria.colombiacompra.gov.co/busqueda/conceptos</vt:lpwstr>
      </vt:variant>
      <vt:variant>
        <vt:lpwstr/>
      </vt:variant>
      <vt:variant>
        <vt:i4>7602219</vt:i4>
      </vt:variant>
      <vt:variant>
        <vt:i4>0</vt:i4>
      </vt:variant>
      <vt:variant>
        <vt:i4>0</vt:i4>
      </vt:variant>
      <vt:variant>
        <vt:i4>5</vt:i4>
      </vt:variant>
      <vt:variant>
        <vt:lpwstr>https://revistas.javeriana.edu.co/files-articulos/VJ/139 (2019-II)/82562148007/</vt:lpwstr>
      </vt:variant>
      <vt:variant>
        <vt:lpwstr>fn22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3</cp:revision>
  <cp:lastPrinted>2023-01-10T21:18:00Z</cp:lastPrinted>
  <dcterms:created xsi:type="dcterms:W3CDTF">2025-12-23T22:20:00Z</dcterms:created>
  <dcterms:modified xsi:type="dcterms:W3CDTF">2025-12-24T15:53:00Z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