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BC7BD0" w14:textId="3A48619F" w:rsidR="0095275C" w:rsidRPr="0095275C" w:rsidRDefault="0095275C" w:rsidP="00C15139">
      <w:pPr>
        <w:spacing w:after="0"/>
        <w:rPr>
          <w:rFonts w:ascii="Verdana" w:eastAsia="Calibri" w:hAnsi="Verdana" w:cs="Arial"/>
          <w:b/>
          <w:bCs/>
          <w:lang w:val="es-ES" w:eastAsia="es-ES"/>
        </w:rPr>
      </w:pPr>
      <w:bookmarkStart w:id="0" w:name="_Hlk143780582"/>
      <w:r w:rsidRPr="0095275C">
        <w:rPr>
          <w:rFonts w:ascii="Verdana" w:eastAsia="Calibri" w:hAnsi="Verdana" w:cs="Arial"/>
          <w:b/>
          <w:bCs/>
          <w:lang w:val="es-ES" w:eastAsia="es-ES"/>
        </w:rPr>
        <w:t xml:space="preserve">CONTRATO DE PRESTACIÓN DE SERVICIOS – Definición – Requisitos – fundamento normativo </w:t>
      </w:r>
    </w:p>
    <w:p w14:paraId="05D5E98E" w14:textId="7A6DA96D" w:rsidR="0095275C" w:rsidRDefault="0095275C" w:rsidP="00C15139">
      <w:pPr>
        <w:spacing w:after="0"/>
        <w:rPr>
          <w:rFonts w:ascii="Verdana" w:eastAsia="Calibri" w:hAnsi="Verdana" w:cs="Arial"/>
          <w:lang w:val="es-ES" w:eastAsia="es-ES"/>
        </w:rPr>
      </w:pPr>
    </w:p>
    <w:p w14:paraId="7964BDD7" w14:textId="77777777" w:rsidR="0095275C" w:rsidRPr="00097DBE" w:rsidRDefault="0095275C" w:rsidP="0095275C">
      <w:pPr>
        <w:widowControl w:val="0"/>
        <w:autoSpaceDE w:val="0"/>
        <w:autoSpaceDN w:val="0"/>
        <w:spacing w:after="0" w:line="276" w:lineRule="auto"/>
        <w:jc w:val="both"/>
        <w:rPr>
          <w:rFonts w:ascii="Verdana" w:eastAsia="Calibri" w:hAnsi="Verdana" w:cs="Arial"/>
          <w:lang w:val="es-ES"/>
        </w:rPr>
      </w:pPr>
      <w:r w:rsidRPr="00097DBE">
        <w:rPr>
          <w:rFonts w:ascii="Verdana" w:eastAsia="Calibri" w:hAnsi="Verdana" w:cs="Arial"/>
          <w:lang w:val="es-ES"/>
        </w:rPr>
        <w:t>Para empezar, el contrato de prestación de servicios es un contrato estatal típico que está regulado en el numeral 3 del artículo 32 de la Ley 80 de 1993:</w:t>
      </w:r>
    </w:p>
    <w:p w14:paraId="28D3E522" w14:textId="77777777" w:rsidR="0095275C" w:rsidRPr="0054725F" w:rsidRDefault="0095275C" w:rsidP="0095275C">
      <w:pPr>
        <w:spacing w:before="100" w:beforeAutospacing="1" w:after="100" w:afterAutospacing="1" w:line="270" w:lineRule="atLeast"/>
        <w:ind w:left="851" w:right="758"/>
        <w:jc w:val="both"/>
        <w:rPr>
          <w:rFonts w:ascii="Verdana" w:eastAsia="Times New Roman" w:hAnsi="Verdana" w:cs="Open Sans"/>
          <w:sz w:val="20"/>
          <w:szCs w:val="20"/>
          <w:lang w:eastAsia="es-CO"/>
        </w:rPr>
      </w:pPr>
      <w:r w:rsidRPr="0054725F">
        <w:rPr>
          <w:rFonts w:ascii="Verdana" w:eastAsia="Times New Roman" w:hAnsi="Verdana" w:cs="Open Sans"/>
          <w:sz w:val="20"/>
          <w:szCs w:val="20"/>
          <w:lang w:eastAsia="es-CO"/>
        </w:rPr>
        <w:t>Son contratos de prestación de servicios los que celebren las entidades estatales para desarrollar actividades relacionadas con la administración o funcionamiento de la entidad. Estos contratos sólo podrán celebrarse con personas naturales cuando dichas actividades </w:t>
      </w:r>
      <w:r w:rsidRPr="0054725F">
        <w:rPr>
          <w:rFonts w:ascii="Verdana" w:eastAsia="Times New Roman" w:hAnsi="Verdana" w:cs="Open Sans"/>
          <w:sz w:val="20"/>
          <w:szCs w:val="20"/>
          <w:u w:val="single"/>
          <w:lang w:eastAsia="es-CO"/>
        </w:rPr>
        <w:t>no puedan realizarse con personal de planta</w:t>
      </w:r>
      <w:r w:rsidRPr="0054725F">
        <w:rPr>
          <w:rFonts w:ascii="Verdana" w:eastAsia="Times New Roman" w:hAnsi="Verdana" w:cs="Open Sans"/>
          <w:sz w:val="20"/>
          <w:szCs w:val="20"/>
          <w:lang w:eastAsia="es-CO"/>
        </w:rPr>
        <w:t> o requieran conocimientos especializados.</w:t>
      </w:r>
    </w:p>
    <w:p w14:paraId="6409FEEC" w14:textId="77777777" w:rsidR="0095275C" w:rsidRPr="0054725F" w:rsidRDefault="0095275C" w:rsidP="0095275C">
      <w:pPr>
        <w:spacing w:before="100" w:beforeAutospacing="1" w:after="100" w:afterAutospacing="1" w:line="270" w:lineRule="atLeast"/>
        <w:ind w:left="851" w:right="758"/>
        <w:jc w:val="both"/>
        <w:rPr>
          <w:rFonts w:ascii="Verdana" w:eastAsia="Times New Roman" w:hAnsi="Verdana" w:cs="Open Sans"/>
          <w:sz w:val="20"/>
          <w:szCs w:val="20"/>
          <w:lang w:eastAsia="es-CO"/>
        </w:rPr>
      </w:pPr>
      <w:r w:rsidRPr="0054725F">
        <w:rPr>
          <w:rFonts w:ascii="Verdana" w:eastAsia="Times New Roman" w:hAnsi="Verdana" w:cs="Open Sans"/>
          <w:sz w:val="20"/>
          <w:szCs w:val="20"/>
          <w:u w:val="single"/>
          <w:lang w:eastAsia="es-CO"/>
        </w:rPr>
        <w:t>En ningún caso</w:t>
      </w:r>
      <w:r w:rsidRPr="0054725F">
        <w:rPr>
          <w:rFonts w:ascii="Verdana" w:eastAsia="Times New Roman" w:hAnsi="Verdana" w:cs="Open Sans"/>
          <w:sz w:val="20"/>
          <w:szCs w:val="20"/>
          <w:lang w:eastAsia="es-CO"/>
        </w:rPr>
        <w:t> estos contratos</w:t>
      </w:r>
      <w:r w:rsidRPr="0054725F">
        <w:rPr>
          <w:rFonts w:ascii="Verdana" w:eastAsia="Times New Roman" w:hAnsi="Verdana" w:cs="Open Sans"/>
          <w:sz w:val="20"/>
          <w:szCs w:val="20"/>
          <w:u w:val="single"/>
          <w:lang w:eastAsia="es-CO"/>
        </w:rPr>
        <w:t> generan relación laboral ni prestaciones sociales</w:t>
      </w:r>
      <w:r w:rsidRPr="0054725F">
        <w:rPr>
          <w:rFonts w:ascii="Verdana" w:eastAsia="Times New Roman" w:hAnsi="Verdana" w:cs="Open Sans"/>
          <w:sz w:val="20"/>
          <w:szCs w:val="20"/>
          <w:lang w:eastAsia="es-CO"/>
        </w:rPr>
        <w:t> y se celebrarán por el término estrictamente indispensable.</w:t>
      </w:r>
    </w:p>
    <w:p w14:paraId="5C09A751" w14:textId="6E859F10" w:rsidR="0095275C" w:rsidRDefault="0095275C" w:rsidP="0095275C">
      <w:pPr>
        <w:spacing w:after="0"/>
        <w:jc w:val="both"/>
        <w:rPr>
          <w:rFonts w:ascii="Verdana" w:eastAsia="Calibri" w:hAnsi="Verdana" w:cs="Arial"/>
          <w:lang w:val="es-ES" w:eastAsia="es-ES"/>
        </w:rPr>
      </w:pPr>
      <w:r w:rsidRPr="00097DBE">
        <w:rPr>
          <w:rFonts w:ascii="Verdana" w:eastAsia="Calibri" w:hAnsi="Verdana" w:cs="Arial"/>
          <w:lang w:val="es-ES"/>
        </w:rPr>
        <w:t xml:space="preserve">Su modalidad de selección se encuentra establecida en el </w:t>
      </w:r>
      <w:r w:rsidRPr="00097DBE">
        <w:rPr>
          <w:rFonts w:ascii="Verdana" w:eastAsia="Calibri" w:hAnsi="Verdana" w:cs="Arial"/>
          <w:lang w:val="es-ES_tradnl"/>
        </w:rPr>
        <w:t xml:space="preserve">artículo 2, numeral 4º, literal h), de la Ley 1150 de 2007 como </w:t>
      </w:r>
      <w:r>
        <w:rPr>
          <w:rFonts w:ascii="Verdana" w:eastAsia="Calibri" w:hAnsi="Verdana" w:cs="Arial"/>
          <w:color w:val="000000" w:themeColor="text1"/>
          <w:lang w:val="es-ES_tradnl"/>
        </w:rPr>
        <w:t xml:space="preserve">contratación directa, y aquella es reglamentada en el </w:t>
      </w:r>
      <w:r w:rsidRPr="00C7507B">
        <w:rPr>
          <w:rFonts w:ascii="Verdana" w:eastAsia="Calibri" w:hAnsi="Verdana" w:cs="Arial"/>
        </w:rPr>
        <w:t>artículo 2.2.1.2.1.4.9 del Decreto 1082 de 2015</w:t>
      </w:r>
      <w:r>
        <w:rPr>
          <w:rFonts w:ascii="Verdana" w:eastAsia="Calibri" w:hAnsi="Verdana" w:cs="Arial"/>
        </w:rPr>
        <w:t xml:space="preserve">, del que se resalta </w:t>
      </w:r>
      <w:r w:rsidRPr="00BE021E">
        <w:rPr>
          <w:rFonts w:ascii="Verdana" w:hAnsi="Verdana" w:cs="Arial"/>
        </w:rPr>
        <w:t>la obligación de las entidades estatales de verificar la idoneidad de las personas con las que se celebrará este tipo de contratos</w:t>
      </w:r>
    </w:p>
    <w:p w14:paraId="1F17D417" w14:textId="77777777" w:rsidR="0095275C" w:rsidRDefault="0095275C" w:rsidP="00C15139">
      <w:pPr>
        <w:spacing w:after="0"/>
        <w:rPr>
          <w:rFonts w:ascii="Verdana" w:eastAsia="Calibri" w:hAnsi="Verdana" w:cs="Arial"/>
          <w:lang w:val="es-ES" w:eastAsia="es-ES"/>
        </w:rPr>
      </w:pPr>
    </w:p>
    <w:p w14:paraId="0FDF06BB" w14:textId="17342845" w:rsidR="0095275C" w:rsidRPr="0095275C" w:rsidRDefault="0095275C" w:rsidP="00C15139">
      <w:pPr>
        <w:spacing w:after="0"/>
        <w:rPr>
          <w:rFonts w:ascii="Verdana" w:eastAsia="Calibri" w:hAnsi="Verdana" w:cs="Arial"/>
          <w:b/>
          <w:bCs/>
          <w:lang w:val="es-ES" w:eastAsia="es-ES"/>
        </w:rPr>
      </w:pPr>
      <w:r w:rsidRPr="0095275C">
        <w:rPr>
          <w:rFonts w:ascii="Verdana" w:eastAsia="Calibri" w:hAnsi="Verdana" w:cs="Arial"/>
          <w:b/>
          <w:bCs/>
          <w:lang w:val="es-ES" w:eastAsia="es-ES"/>
        </w:rPr>
        <w:t xml:space="preserve">CONTRATO DE PRESTACIÓN DE SERVICIOS - Simultaneidad </w:t>
      </w:r>
    </w:p>
    <w:p w14:paraId="46F9917E" w14:textId="270D54AA" w:rsidR="0095275C" w:rsidRDefault="0095275C" w:rsidP="00C15139">
      <w:pPr>
        <w:spacing w:after="0"/>
        <w:rPr>
          <w:rFonts w:ascii="Verdana" w:eastAsia="Calibri" w:hAnsi="Verdana" w:cs="Arial"/>
          <w:lang w:val="es-ES" w:eastAsia="es-ES"/>
        </w:rPr>
      </w:pPr>
    </w:p>
    <w:p w14:paraId="4FE093AD" w14:textId="77777777" w:rsidR="0095275C" w:rsidRPr="00140995" w:rsidRDefault="0095275C" w:rsidP="0095275C">
      <w:pPr>
        <w:pStyle w:val="Textoindependiente"/>
        <w:spacing w:line="276" w:lineRule="auto"/>
        <w:jc w:val="both"/>
        <w:rPr>
          <w:rFonts w:ascii="Verdana" w:hAnsi="Verdana"/>
          <w:color w:val="000000" w:themeColor="text1"/>
        </w:rPr>
      </w:pPr>
      <w:r w:rsidRPr="00140995">
        <w:rPr>
          <w:rFonts w:ascii="Verdana" w:hAnsi="Verdana"/>
          <w:color w:val="000000" w:themeColor="text1"/>
        </w:rPr>
        <w:t xml:space="preserve">De conformidad con lo anterior, puede concluirse que la prohibición del artículo 128 de la Constitución política de Colombia no es aplicable a los contratos de prestación de servicios, en tanto según el artículo 32 de la Ley 80 de 1993, estos contratos no comportan una relación laboral, sino que son fruto de la libre autonomía de la voluntad de los contratantes, por consiguiente, el contratista no es considerado un servidor público, al no tener un vínculo de subordinación con el Estado, elemento propio de un contrato laboral. </w:t>
      </w:r>
    </w:p>
    <w:p w14:paraId="758E218C" w14:textId="77777777" w:rsidR="0095275C" w:rsidRPr="00140995" w:rsidRDefault="0095275C" w:rsidP="0095275C">
      <w:pPr>
        <w:pStyle w:val="Textoindependiente"/>
        <w:spacing w:line="276" w:lineRule="auto"/>
        <w:jc w:val="both"/>
        <w:rPr>
          <w:rFonts w:ascii="Verdana" w:eastAsia="Calibri" w:hAnsi="Verdana"/>
        </w:rPr>
      </w:pPr>
      <w:r w:rsidRPr="00140995">
        <w:rPr>
          <w:rFonts w:ascii="Verdana" w:hAnsi="Verdana"/>
          <w:color w:val="000000" w:themeColor="text1"/>
        </w:rPr>
        <w:t xml:space="preserve">En este contexto, los contratistas de prestación de servicios se encuentran por fuera del ámbito de aplicación el artículo 128 de la Constitución, al no ser titulares de un empleo público, lo que supone que es válido que una persona suscriba varios contratos de prestación de servicios con el Estado, no existiendo una disposición que así lo prohíba.  </w:t>
      </w:r>
      <w:r w:rsidRPr="00140995">
        <w:rPr>
          <w:rFonts w:ascii="Verdana" w:eastAsia="Calibri" w:hAnsi="Verdana"/>
        </w:rPr>
        <w:t>Esto por supuesto dependerá de que, el contratista no se encuentre incurso en alguna otra causal de inhabilidad o incompatibilidad con las entidades públicas, en las condiciones explicadas.</w:t>
      </w:r>
    </w:p>
    <w:p w14:paraId="5B7DEBB2" w14:textId="08732A1A" w:rsidR="0095275C" w:rsidRPr="0095275C" w:rsidRDefault="0095275C" w:rsidP="00C15139">
      <w:pPr>
        <w:spacing w:after="0"/>
        <w:rPr>
          <w:rFonts w:ascii="Verdana" w:eastAsia="Calibri" w:hAnsi="Verdana" w:cs="Arial"/>
          <w:b/>
          <w:bCs/>
          <w:lang w:val="es-ES" w:eastAsia="es-ES"/>
        </w:rPr>
      </w:pPr>
      <w:r w:rsidRPr="0095275C">
        <w:rPr>
          <w:rFonts w:ascii="Verdana" w:eastAsia="Calibri" w:hAnsi="Verdana" w:cs="Arial"/>
          <w:b/>
          <w:bCs/>
          <w:lang w:val="es-ES" w:eastAsia="es-ES"/>
        </w:rPr>
        <w:lastRenderedPageBreak/>
        <w:t>LEY DE GARANTÍAS – Restricción contratación directa</w:t>
      </w:r>
    </w:p>
    <w:p w14:paraId="4522E569" w14:textId="77777777" w:rsidR="0095275C" w:rsidRDefault="0095275C" w:rsidP="00C15139">
      <w:pPr>
        <w:spacing w:after="0"/>
        <w:rPr>
          <w:rFonts w:ascii="Verdana" w:eastAsia="Calibri" w:hAnsi="Verdana" w:cs="Arial"/>
          <w:lang w:val="es-ES" w:eastAsia="es-ES"/>
        </w:rPr>
      </w:pPr>
    </w:p>
    <w:p w14:paraId="076ADF31" w14:textId="66C7CF4C" w:rsidR="0095275C" w:rsidRDefault="0095275C" w:rsidP="0095275C">
      <w:pPr>
        <w:spacing w:after="0"/>
        <w:jc w:val="both"/>
        <w:rPr>
          <w:rFonts w:ascii="Verdana" w:hAnsi="Verdana"/>
        </w:rPr>
      </w:pPr>
      <w:r w:rsidRPr="0076238D">
        <w:rPr>
          <w:rFonts w:ascii="Verdana" w:eastAsia="Times New Roman" w:hAnsi="Verdana" w:cs="Open Sans"/>
          <w:lang w:eastAsia="es-CO"/>
        </w:rPr>
        <w:t>Como se puede observar, el artículo 33 de la Ley 996 de 2205 prohíbe la contratación directa por parte de todos los entes estatales durante los cuatro (4) meses anteriores a las elecciones presidenciales y dispone las excepciones a dicha prohibición. Así, su ámbito de prohibición está delimitado por la expresión “queda prohibida la contratación directa” y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Pr>
          <w:rFonts w:ascii="Verdana" w:eastAsia="Times New Roman" w:hAnsi="Verdana" w:cs="Open Sans"/>
          <w:lang w:eastAsia="es-CO"/>
        </w:rPr>
        <w:t>.</w:t>
      </w:r>
    </w:p>
    <w:p w14:paraId="7ACFF419" w14:textId="77777777" w:rsidR="0095275C" w:rsidRDefault="0095275C" w:rsidP="00C15139">
      <w:pPr>
        <w:spacing w:after="0"/>
        <w:rPr>
          <w:rFonts w:ascii="Verdana" w:hAnsi="Verdana"/>
        </w:rPr>
      </w:pPr>
    </w:p>
    <w:p w14:paraId="6A6256C0" w14:textId="77777777" w:rsidR="0095275C" w:rsidRDefault="0095275C" w:rsidP="00C15139">
      <w:pPr>
        <w:spacing w:after="0"/>
        <w:rPr>
          <w:rFonts w:ascii="Verdana" w:hAnsi="Verdana"/>
        </w:rPr>
      </w:pPr>
    </w:p>
    <w:p w14:paraId="755E2FAF" w14:textId="77777777" w:rsidR="0095275C" w:rsidRDefault="0095275C" w:rsidP="00C15139">
      <w:pPr>
        <w:spacing w:after="0"/>
        <w:rPr>
          <w:rFonts w:ascii="Verdana" w:hAnsi="Verdana"/>
        </w:rPr>
      </w:pPr>
    </w:p>
    <w:p w14:paraId="0910BC4A" w14:textId="77777777" w:rsidR="0095275C" w:rsidRDefault="0095275C" w:rsidP="00C15139">
      <w:pPr>
        <w:spacing w:after="0"/>
        <w:rPr>
          <w:rFonts w:ascii="Verdana" w:hAnsi="Verdana"/>
        </w:rPr>
      </w:pPr>
    </w:p>
    <w:p w14:paraId="3A9E9715" w14:textId="77777777" w:rsidR="0095275C" w:rsidRDefault="0095275C" w:rsidP="00C15139">
      <w:pPr>
        <w:spacing w:after="0"/>
        <w:rPr>
          <w:rFonts w:ascii="Verdana" w:hAnsi="Verdana"/>
        </w:rPr>
      </w:pPr>
    </w:p>
    <w:p w14:paraId="1343F0BA" w14:textId="77777777" w:rsidR="0095275C" w:rsidRDefault="0095275C" w:rsidP="00C15139">
      <w:pPr>
        <w:spacing w:after="0"/>
        <w:rPr>
          <w:rFonts w:ascii="Verdana" w:hAnsi="Verdana"/>
        </w:rPr>
      </w:pPr>
    </w:p>
    <w:p w14:paraId="59F9D471" w14:textId="77777777" w:rsidR="0095275C" w:rsidRDefault="0095275C" w:rsidP="00C15139">
      <w:pPr>
        <w:spacing w:after="0"/>
        <w:rPr>
          <w:rFonts w:ascii="Verdana" w:hAnsi="Verdana"/>
        </w:rPr>
      </w:pPr>
    </w:p>
    <w:p w14:paraId="22E35DEF" w14:textId="77777777" w:rsidR="0095275C" w:rsidRDefault="0095275C" w:rsidP="00C15139">
      <w:pPr>
        <w:spacing w:after="0"/>
        <w:rPr>
          <w:rFonts w:ascii="Verdana" w:hAnsi="Verdana"/>
        </w:rPr>
      </w:pPr>
    </w:p>
    <w:p w14:paraId="555D3389" w14:textId="77777777" w:rsidR="0095275C" w:rsidRDefault="0095275C" w:rsidP="00C15139">
      <w:pPr>
        <w:spacing w:after="0"/>
        <w:rPr>
          <w:rFonts w:ascii="Verdana" w:hAnsi="Verdana"/>
        </w:rPr>
      </w:pPr>
    </w:p>
    <w:p w14:paraId="4F4D1A03" w14:textId="77777777" w:rsidR="0095275C" w:rsidRDefault="0095275C" w:rsidP="00C15139">
      <w:pPr>
        <w:spacing w:after="0"/>
        <w:rPr>
          <w:rFonts w:ascii="Verdana" w:hAnsi="Verdana"/>
        </w:rPr>
      </w:pPr>
    </w:p>
    <w:p w14:paraId="7ECBF956" w14:textId="77777777" w:rsidR="0095275C" w:rsidRDefault="0095275C" w:rsidP="00C15139">
      <w:pPr>
        <w:spacing w:after="0"/>
        <w:rPr>
          <w:rFonts w:ascii="Verdana" w:hAnsi="Verdana"/>
        </w:rPr>
      </w:pPr>
    </w:p>
    <w:p w14:paraId="3561341D" w14:textId="77777777" w:rsidR="0095275C" w:rsidRDefault="0095275C" w:rsidP="00C15139">
      <w:pPr>
        <w:spacing w:after="0"/>
        <w:rPr>
          <w:rFonts w:ascii="Verdana" w:hAnsi="Verdana"/>
        </w:rPr>
      </w:pPr>
    </w:p>
    <w:p w14:paraId="74098EBD" w14:textId="77777777" w:rsidR="0095275C" w:rsidRDefault="0095275C" w:rsidP="00C15139">
      <w:pPr>
        <w:spacing w:after="0"/>
        <w:rPr>
          <w:rFonts w:ascii="Verdana" w:hAnsi="Verdana"/>
        </w:rPr>
      </w:pPr>
    </w:p>
    <w:p w14:paraId="33495F59" w14:textId="77777777" w:rsidR="0095275C" w:rsidRDefault="0095275C" w:rsidP="00C15139">
      <w:pPr>
        <w:spacing w:after="0"/>
        <w:rPr>
          <w:rFonts w:ascii="Verdana" w:hAnsi="Verdana"/>
        </w:rPr>
      </w:pPr>
    </w:p>
    <w:p w14:paraId="26759C2B" w14:textId="1A6894DE" w:rsidR="0095275C" w:rsidRDefault="0095275C" w:rsidP="00C15139">
      <w:pPr>
        <w:spacing w:after="0"/>
        <w:rPr>
          <w:rFonts w:ascii="Verdana" w:hAnsi="Verdana"/>
        </w:rPr>
      </w:pPr>
    </w:p>
    <w:p w14:paraId="3923BE99" w14:textId="2B53C508" w:rsidR="0095275C" w:rsidRDefault="0095275C" w:rsidP="00C15139">
      <w:pPr>
        <w:spacing w:after="0"/>
        <w:rPr>
          <w:rFonts w:ascii="Verdana" w:hAnsi="Verdana"/>
        </w:rPr>
      </w:pPr>
    </w:p>
    <w:p w14:paraId="47BA8864" w14:textId="5A0F3EEA" w:rsidR="0095275C" w:rsidRDefault="0095275C" w:rsidP="00C15139">
      <w:pPr>
        <w:spacing w:after="0"/>
        <w:rPr>
          <w:rFonts w:ascii="Verdana" w:hAnsi="Verdana"/>
        </w:rPr>
      </w:pPr>
    </w:p>
    <w:p w14:paraId="15ED8801" w14:textId="54873E8B" w:rsidR="0095275C" w:rsidRDefault="0095275C" w:rsidP="00C15139">
      <w:pPr>
        <w:spacing w:after="0"/>
        <w:rPr>
          <w:rFonts w:ascii="Verdana" w:hAnsi="Verdana"/>
        </w:rPr>
      </w:pPr>
    </w:p>
    <w:p w14:paraId="63772C77" w14:textId="6DF1C67E" w:rsidR="0095275C" w:rsidRDefault="0095275C" w:rsidP="00C15139">
      <w:pPr>
        <w:spacing w:after="0"/>
        <w:rPr>
          <w:rFonts w:ascii="Verdana" w:hAnsi="Verdana"/>
        </w:rPr>
      </w:pPr>
    </w:p>
    <w:p w14:paraId="6F58B3E0" w14:textId="38F98BFD" w:rsidR="0095275C" w:rsidRDefault="0095275C" w:rsidP="00C15139">
      <w:pPr>
        <w:spacing w:after="0"/>
        <w:rPr>
          <w:rFonts w:ascii="Verdana" w:hAnsi="Verdana"/>
        </w:rPr>
      </w:pPr>
    </w:p>
    <w:p w14:paraId="587C4D3D" w14:textId="33ABFF51" w:rsidR="0095275C" w:rsidRDefault="0095275C" w:rsidP="00C15139">
      <w:pPr>
        <w:spacing w:after="0"/>
        <w:rPr>
          <w:rFonts w:ascii="Verdana" w:hAnsi="Verdana"/>
        </w:rPr>
      </w:pPr>
    </w:p>
    <w:p w14:paraId="686E9E51" w14:textId="76BC65BC" w:rsidR="0095275C" w:rsidRDefault="0095275C" w:rsidP="00C15139">
      <w:pPr>
        <w:spacing w:after="0"/>
        <w:rPr>
          <w:rFonts w:ascii="Verdana" w:hAnsi="Verdana"/>
        </w:rPr>
      </w:pPr>
    </w:p>
    <w:p w14:paraId="3497D51C" w14:textId="77777777" w:rsidR="0095275C" w:rsidRDefault="0095275C" w:rsidP="00C15139">
      <w:pPr>
        <w:spacing w:after="0"/>
        <w:rPr>
          <w:rFonts w:ascii="Verdana" w:hAnsi="Verdana"/>
        </w:rPr>
      </w:pPr>
    </w:p>
    <w:p w14:paraId="362E396A" w14:textId="77777777" w:rsidR="0095275C" w:rsidRDefault="0095275C" w:rsidP="00C15139">
      <w:pPr>
        <w:spacing w:after="0"/>
        <w:rPr>
          <w:rFonts w:ascii="Verdana" w:hAnsi="Verdana"/>
        </w:rPr>
      </w:pPr>
    </w:p>
    <w:p w14:paraId="68AFE210" w14:textId="77777777" w:rsidR="0095275C" w:rsidRDefault="0095275C" w:rsidP="00C15139">
      <w:pPr>
        <w:spacing w:after="0"/>
        <w:rPr>
          <w:rFonts w:ascii="Verdana" w:hAnsi="Verdana"/>
        </w:rPr>
      </w:pPr>
    </w:p>
    <w:p w14:paraId="61CD55DB" w14:textId="77777777" w:rsidR="0095275C" w:rsidRDefault="0095275C" w:rsidP="00C15139">
      <w:pPr>
        <w:spacing w:after="0"/>
        <w:rPr>
          <w:rFonts w:ascii="Verdana" w:hAnsi="Verdana"/>
        </w:rPr>
      </w:pPr>
    </w:p>
    <w:p w14:paraId="1468C46D" w14:textId="3E8079CC" w:rsidR="00C15139" w:rsidRPr="0024624F" w:rsidRDefault="0095275C" w:rsidP="00C15139">
      <w:pPr>
        <w:spacing w:after="0"/>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071F49E6" wp14:editId="4A471856">
            <wp:simplePos x="0" y="0"/>
            <wp:positionH relativeFrom="column">
              <wp:posOffset>2773925</wp:posOffset>
            </wp:positionH>
            <wp:positionV relativeFrom="paragraph">
              <wp:posOffset>2540</wp:posOffset>
            </wp:positionV>
            <wp:extent cx="2686050" cy="8255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extLst>
                        <a:ext uri="{28A0092B-C50C-407E-A947-70E740481C1C}">
                          <a14:useLocalDpi xmlns:a14="http://schemas.microsoft.com/office/drawing/2010/main" val="0"/>
                        </a:ext>
                      </a:extLst>
                    </a:blip>
                    <a:stretch>
                      <a:fillRect/>
                    </a:stretch>
                  </pic:blipFill>
                  <pic:spPr>
                    <a:xfrm>
                      <a:off x="0" y="0"/>
                      <a:ext cx="2686050" cy="825500"/>
                    </a:xfrm>
                    <a:prstGeom prst="rect">
                      <a:avLst/>
                    </a:prstGeom>
                  </pic:spPr>
                </pic:pic>
              </a:graphicData>
            </a:graphic>
            <wp14:sizeRelH relativeFrom="page">
              <wp14:pctWidth>0</wp14:pctWidth>
            </wp14:sizeRelH>
            <wp14:sizeRelV relativeFrom="page">
              <wp14:pctHeight>0</wp14:pctHeight>
            </wp14:sizeRelV>
          </wp:anchor>
        </w:drawing>
      </w:r>
      <w:r w:rsidR="00C15139" w:rsidRPr="0024624F">
        <w:rPr>
          <w:rFonts w:ascii="Verdana" w:hAnsi="Verdana"/>
        </w:rPr>
        <w:t xml:space="preserve">Bogotá D.C., </w:t>
      </w:r>
      <w:r>
        <w:rPr>
          <w:rFonts w:ascii="Verdana" w:hAnsi="Verdana"/>
        </w:rPr>
        <w:t>26 Diciembre 2025</w:t>
      </w:r>
      <w:r w:rsidR="00C15139" w:rsidRPr="000E2B93">
        <w:rPr>
          <w:rFonts w:ascii="Verdana" w:hAnsi="Verdana"/>
        </w:rPr>
        <w:tab/>
      </w:r>
      <w:r w:rsidR="00C15139" w:rsidRPr="000E2B93">
        <w:rPr>
          <w:rFonts w:ascii="Verdana" w:hAnsi="Verdana"/>
        </w:rPr>
        <w:br/>
      </w:r>
      <w:r w:rsidR="00C15139" w:rsidRPr="0024624F">
        <w:rPr>
          <w:rFonts w:ascii="Verdana" w:hAnsi="Verdana"/>
        </w:rPr>
        <w:tab/>
      </w:r>
    </w:p>
    <w:p w14:paraId="12443EE0" w14:textId="77777777" w:rsidR="00C15139" w:rsidRPr="0024624F" w:rsidRDefault="00C15139" w:rsidP="00C15139">
      <w:pPr>
        <w:spacing w:after="0"/>
        <w:rPr>
          <w:rFonts w:ascii="Verdana" w:hAnsi="Verdana"/>
        </w:rPr>
      </w:pPr>
    </w:p>
    <w:bookmarkEnd w:id="0"/>
    <w:p w14:paraId="72020E03" w14:textId="77777777" w:rsidR="0096798D" w:rsidRPr="00B96799" w:rsidRDefault="0096798D" w:rsidP="0096798D">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53E06CF8" w14:textId="77777777" w:rsidR="0096798D" w:rsidRPr="00B96799" w:rsidRDefault="0096798D" w:rsidP="0096798D">
      <w:pPr>
        <w:spacing w:after="0" w:line="240" w:lineRule="auto"/>
        <w:rPr>
          <w:rFonts w:ascii="Verdana" w:eastAsia="Calibri" w:hAnsi="Verdana" w:cs="Arial"/>
          <w:b/>
          <w:lang w:val="es-ES" w:eastAsia="es-ES"/>
        </w:rPr>
      </w:pPr>
      <w:r w:rsidRPr="1DAB9D50">
        <w:rPr>
          <w:rFonts w:ascii="Verdana" w:eastAsia="Calibri" w:hAnsi="Verdana" w:cs="Arial"/>
          <w:b/>
          <w:lang w:val="es-ES" w:eastAsia="es-ES"/>
        </w:rPr>
        <w:t>Juan Guillermo Alzate Henao</w:t>
      </w:r>
    </w:p>
    <w:p w14:paraId="63C144E0" w14:textId="77777777" w:rsidR="0096798D" w:rsidRPr="00B96799" w:rsidRDefault="0096798D" w:rsidP="0096798D">
      <w:pPr>
        <w:spacing w:after="0" w:line="240" w:lineRule="auto"/>
        <w:rPr>
          <w:rFonts w:ascii="Verdana" w:eastAsia="Calibri" w:hAnsi="Verdana" w:cs="Arial"/>
          <w:u w:val="single"/>
          <w:lang w:val="es-ES" w:eastAsia="es-ES"/>
        </w:rPr>
      </w:pPr>
      <w:r>
        <w:rPr>
          <w:rFonts w:ascii="Verdana" w:eastAsia="Calibri" w:hAnsi="Verdana" w:cs="Arial"/>
          <w:u w:val="single"/>
          <w:lang w:val="es-ES" w:eastAsia="es-ES"/>
        </w:rPr>
        <w:t>Juan.alzate</w:t>
      </w:r>
      <w:r w:rsidRPr="007B165C">
        <w:rPr>
          <w:rFonts w:ascii="Verdana" w:eastAsia="Calibri" w:hAnsi="Verdana" w:cs="Arial"/>
          <w:u w:val="single"/>
          <w:lang w:val="es-ES" w:eastAsia="es-ES"/>
        </w:rPr>
        <w:t>@</w:t>
      </w:r>
      <w:r>
        <w:rPr>
          <w:rFonts w:ascii="Verdana" w:eastAsia="Calibri" w:hAnsi="Verdana" w:cs="Arial"/>
          <w:u w:val="single"/>
          <w:lang w:val="es-ES" w:eastAsia="es-ES"/>
        </w:rPr>
        <w:t>yahoo</w:t>
      </w:r>
      <w:r w:rsidRPr="007B165C">
        <w:rPr>
          <w:rFonts w:ascii="Verdana" w:eastAsia="Calibri" w:hAnsi="Verdana" w:cs="Arial"/>
          <w:u w:val="single"/>
          <w:lang w:val="es-ES" w:eastAsia="es-ES"/>
        </w:rPr>
        <w:t>.com</w:t>
      </w:r>
    </w:p>
    <w:p w14:paraId="087C3CF7" w14:textId="77777777" w:rsidR="0096798D" w:rsidRPr="00B96799" w:rsidRDefault="0096798D" w:rsidP="0096798D">
      <w:pPr>
        <w:spacing w:after="0" w:line="240" w:lineRule="auto"/>
        <w:rPr>
          <w:rFonts w:ascii="Verdana" w:eastAsia="Calibri" w:hAnsi="Verdana" w:cs="Arial"/>
          <w:b/>
          <w:bCs/>
          <w:lang w:val="es-ES" w:eastAsia="es-ES"/>
        </w:rPr>
      </w:pPr>
      <w:r>
        <w:rPr>
          <w:rFonts w:ascii="Verdana" w:eastAsia="Calibri" w:hAnsi="Verdana" w:cs="Arial"/>
          <w:lang w:val="es-ES" w:eastAsia="es-ES"/>
        </w:rPr>
        <w:t>Bogotá</w:t>
      </w:r>
      <w:r w:rsidRPr="00B96799">
        <w:rPr>
          <w:rFonts w:ascii="Verdana" w:eastAsia="Calibri" w:hAnsi="Verdana" w:cs="Arial"/>
          <w:lang w:val="es-ES" w:eastAsia="es-ES"/>
        </w:rPr>
        <w:t>, Cundinamarca</w:t>
      </w:r>
    </w:p>
    <w:p w14:paraId="213B7F50" w14:textId="77777777" w:rsidR="0096798D" w:rsidRPr="00593A5F" w:rsidRDefault="0096798D" w:rsidP="0096798D">
      <w:pPr>
        <w:spacing w:after="0" w:line="240" w:lineRule="auto"/>
        <w:rPr>
          <w:rFonts w:ascii="Verdana" w:eastAsia="Calibri" w:hAnsi="Verdana" w:cs="Arial"/>
          <w:b/>
          <w:bCs/>
          <w:color w:val="000000"/>
          <w:lang w:val="es-ES_tradnl" w:eastAsia="es-ES_tradnl"/>
        </w:rPr>
      </w:pPr>
    </w:p>
    <w:p w14:paraId="028FE0A8" w14:textId="77777777" w:rsidR="0096798D" w:rsidRPr="00593A5F" w:rsidRDefault="0096798D" w:rsidP="0096798D">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6798D" w:rsidRPr="00593A5F" w14:paraId="542917C8" w14:textId="77777777" w:rsidTr="004C3274">
        <w:trPr>
          <w:trHeight w:val="884"/>
        </w:trPr>
        <w:tc>
          <w:tcPr>
            <w:tcW w:w="2689" w:type="dxa"/>
          </w:tcPr>
          <w:p w14:paraId="64AA302C" w14:textId="77777777" w:rsidR="0096798D" w:rsidRPr="00C00976" w:rsidRDefault="0096798D" w:rsidP="004C3274">
            <w:pPr>
              <w:jc w:val="both"/>
              <w:rPr>
                <w:rFonts w:ascii="Verdana" w:eastAsia="Calibri" w:hAnsi="Verdana" w:cs="Arial"/>
                <w:b/>
                <w:bCs/>
                <w:color w:val="7030A0"/>
                <w:lang w:val="es-ES_tradnl" w:eastAsia="es-ES_tradnl"/>
              </w:rPr>
            </w:pPr>
          </w:p>
        </w:tc>
        <w:tc>
          <w:tcPr>
            <w:tcW w:w="6100" w:type="dxa"/>
          </w:tcPr>
          <w:p w14:paraId="7006E917" w14:textId="77777777" w:rsidR="0096798D" w:rsidRPr="00C00976" w:rsidRDefault="0096798D" w:rsidP="004C3274">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Concepto C-</w:t>
            </w:r>
            <w:r>
              <w:rPr>
                <w:rFonts w:ascii="Verdana" w:eastAsia="Calibri" w:hAnsi="Verdana" w:cs="Arial"/>
                <w:b/>
                <w:bCs/>
                <w:lang w:val="es-ES" w:eastAsia="es-ES"/>
              </w:rPr>
              <w:t>1706</w:t>
            </w:r>
            <w:r w:rsidRPr="00C00976">
              <w:rPr>
                <w:rFonts w:ascii="Verdana" w:eastAsia="Calibri" w:hAnsi="Verdana" w:cs="Arial"/>
                <w:b/>
                <w:bCs/>
                <w:color w:val="7030A0"/>
                <w:lang w:val="es-ES" w:eastAsia="es-ES"/>
              </w:rPr>
              <w:t xml:space="preserve"> </w:t>
            </w:r>
            <w:r w:rsidRPr="00247BDE">
              <w:rPr>
                <w:rFonts w:ascii="Verdana" w:eastAsia="Calibri" w:hAnsi="Verdana" w:cs="Arial"/>
                <w:b/>
                <w:bCs/>
                <w:lang w:val="es-ES" w:eastAsia="es-ES"/>
              </w:rPr>
              <w:t>de</w:t>
            </w:r>
            <w:r>
              <w:rPr>
                <w:rFonts w:ascii="Verdana" w:eastAsia="Calibri" w:hAnsi="Verdana" w:cs="Arial"/>
                <w:b/>
                <w:bCs/>
                <w:lang w:val="es-ES" w:eastAsia="es-ES"/>
              </w:rPr>
              <w:t xml:space="preserve"> 2025</w:t>
            </w:r>
          </w:p>
        </w:tc>
      </w:tr>
      <w:tr w:rsidR="0096798D" w:rsidRPr="00593A5F" w14:paraId="1AB12DC9" w14:textId="77777777" w:rsidTr="004C3274">
        <w:trPr>
          <w:trHeight w:val="884"/>
        </w:trPr>
        <w:tc>
          <w:tcPr>
            <w:tcW w:w="2689" w:type="dxa"/>
          </w:tcPr>
          <w:p w14:paraId="47823A62" w14:textId="77777777" w:rsidR="0096798D" w:rsidRPr="00141FE3" w:rsidRDefault="0096798D" w:rsidP="004C3274">
            <w:pPr>
              <w:jc w:val="both"/>
              <w:rPr>
                <w:rFonts w:ascii="Verdana" w:eastAsia="Calibri" w:hAnsi="Verdana" w:cs="Arial"/>
                <w:lang w:val="es-ES_tradnl" w:eastAsia="es-ES_tradnl"/>
              </w:rPr>
            </w:pPr>
            <w:r w:rsidRPr="00141FE3">
              <w:rPr>
                <w:rFonts w:ascii="Verdana" w:eastAsia="Calibri" w:hAnsi="Verdana" w:cs="Arial"/>
                <w:b/>
                <w:lang w:val="es-ES_tradnl" w:eastAsia="es-ES_tradnl"/>
              </w:rPr>
              <w:t>Temas:</w:t>
            </w:r>
            <w:r w:rsidRPr="00141FE3">
              <w:rPr>
                <w:rFonts w:ascii="Verdana" w:eastAsia="Calibri" w:hAnsi="Verdana" w:cs="Arial"/>
                <w:lang w:val="es-ES_tradnl" w:eastAsia="es-ES_tradnl"/>
              </w:rPr>
              <w:t xml:space="preserve">                   </w:t>
            </w:r>
          </w:p>
        </w:tc>
        <w:tc>
          <w:tcPr>
            <w:tcW w:w="6100" w:type="dxa"/>
          </w:tcPr>
          <w:p w14:paraId="6A069C90" w14:textId="77777777" w:rsidR="0096798D" w:rsidRPr="00141FE3" w:rsidRDefault="0096798D" w:rsidP="004C3274">
            <w:pPr>
              <w:spacing w:line="276" w:lineRule="auto"/>
              <w:jc w:val="both"/>
              <w:rPr>
                <w:rFonts w:ascii="Verdana" w:eastAsia="Calibri" w:hAnsi="Verdana" w:cs="Arial"/>
                <w:lang w:val="es-ES" w:eastAsia="es-ES"/>
              </w:rPr>
            </w:pPr>
            <w:r w:rsidRPr="00230237">
              <w:rPr>
                <w:rFonts w:ascii="Verdana" w:eastAsia="Calibri" w:hAnsi="Verdana" w:cs="Arial"/>
                <w:lang w:val="es-ES" w:eastAsia="es-ES"/>
              </w:rPr>
              <w:t>CONTRATO DE PRESTACIÓN DE SERVICIOS – Definición – Requisitos – fundamento normativo / CONTRATO DE PRESTACIÓN DE SERVICIOS - Simultaneidad / LEY DE GARANTÍAS – Restricción contratación directa</w:t>
            </w:r>
          </w:p>
        </w:tc>
      </w:tr>
      <w:tr w:rsidR="0096798D" w:rsidRPr="00593A5F" w14:paraId="7A504B7C" w14:textId="77777777" w:rsidTr="004C3274">
        <w:tc>
          <w:tcPr>
            <w:tcW w:w="2689" w:type="dxa"/>
          </w:tcPr>
          <w:p w14:paraId="1A3639F6" w14:textId="77777777" w:rsidR="0096798D" w:rsidRPr="00141FE3" w:rsidRDefault="0096798D" w:rsidP="004C3274">
            <w:pPr>
              <w:jc w:val="both"/>
              <w:rPr>
                <w:rFonts w:ascii="Verdana" w:eastAsia="Calibri" w:hAnsi="Verdana" w:cs="Arial"/>
                <w:b/>
                <w:lang w:val="es-ES_tradnl" w:eastAsia="es-ES_tradnl"/>
              </w:rPr>
            </w:pPr>
            <w:r w:rsidRPr="00141FE3">
              <w:rPr>
                <w:rFonts w:ascii="Verdana" w:eastAsia="Calibri" w:hAnsi="Verdana" w:cs="Arial"/>
                <w:b/>
                <w:lang w:val="es-ES_tradnl" w:eastAsia="es-ES_tradnl"/>
              </w:rPr>
              <w:t>Radicación:</w:t>
            </w:r>
            <w:r w:rsidRPr="00141FE3">
              <w:rPr>
                <w:rFonts w:ascii="Verdana" w:eastAsia="Calibri" w:hAnsi="Verdana" w:cs="Arial"/>
                <w:lang w:val="es-ES_tradnl" w:eastAsia="es-ES_tradnl"/>
              </w:rPr>
              <w:t xml:space="preserve">               </w:t>
            </w:r>
          </w:p>
        </w:tc>
        <w:tc>
          <w:tcPr>
            <w:tcW w:w="6100" w:type="dxa"/>
          </w:tcPr>
          <w:p w14:paraId="2D5A3FDA" w14:textId="77777777" w:rsidR="0096798D" w:rsidRPr="00141FE3" w:rsidRDefault="0096798D" w:rsidP="004C3274">
            <w:pPr>
              <w:jc w:val="both"/>
              <w:rPr>
                <w:rFonts w:ascii="Verdana" w:eastAsia="Calibri" w:hAnsi="Verdana" w:cs="Arial"/>
                <w:lang w:val="es-ES_tradnl" w:eastAsia="es-ES_tradnl"/>
              </w:rPr>
            </w:pPr>
            <w:r w:rsidRPr="00141FE3">
              <w:rPr>
                <w:rFonts w:ascii="Verdana" w:eastAsia="Calibri" w:hAnsi="Verdana" w:cs="Arial"/>
                <w:lang w:val="es-ES_tradnl" w:eastAsia="es-ES_tradnl"/>
              </w:rPr>
              <w:t xml:space="preserve">Respuesta a consulta con radicado No. </w:t>
            </w:r>
            <w:r w:rsidRPr="00B23F7F">
              <w:rPr>
                <w:rFonts w:ascii="Verdana" w:eastAsia="Calibri" w:hAnsi="Verdana" w:cs="Arial"/>
                <w:lang w:val="es-ES_tradnl" w:eastAsia="es-ES_tradnl"/>
              </w:rPr>
              <w:t>1_2025_11_19_013028</w:t>
            </w:r>
          </w:p>
        </w:tc>
      </w:tr>
    </w:tbl>
    <w:p w14:paraId="756CC436" w14:textId="77777777" w:rsidR="0096798D" w:rsidRPr="00593A5F" w:rsidRDefault="0096798D" w:rsidP="0096798D">
      <w:pPr>
        <w:spacing w:after="0" w:line="240" w:lineRule="auto"/>
        <w:jc w:val="both"/>
        <w:rPr>
          <w:rFonts w:ascii="Verdana" w:eastAsia="Calibri" w:hAnsi="Verdana" w:cs="Arial"/>
          <w:color w:val="000000"/>
          <w:lang w:val="es-ES_tradnl" w:eastAsia="es-ES_tradnl"/>
        </w:rPr>
      </w:pPr>
    </w:p>
    <w:p w14:paraId="68B048AC" w14:textId="77777777" w:rsidR="0096798D" w:rsidRPr="00593A5F" w:rsidRDefault="0096798D" w:rsidP="0096798D">
      <w:pPr>
        <w:spacing w:after="0" w:line="240" w:lineRule="auto"/>
        <w:jc w:val="both"/>
        <w:rPr>
          <w:rFonts w:ascii="Verdana" w:eastAsia="Calibri" w:hAnsi="Verdana" w:cs="Arial"/>
          <w:color w:val="000000"/>
          <w:lang w:val="es-ES_tradnl" w:eastAsia="es-ES_tradnl"/>
        </w:rPr>
      </w:pPr>
    </w:p>
    <w:p w14:paraId="4DE0CE78" w14:textId="77777777" w:rsidR="0096798D" w:rsidRDefault="0096798D" w:rsidP="0096798D">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 xml:space="preserve">Estimado </w:t>
      </w:r>
      <w:r w:rsidRPr="00AF2427">
        <w:rPr>
          <w:rFonts w:ascii="Verdana" w:eastAsia="Calibri" w:hAnsi="Verdana" w:cs="Arial"/>
          <w:lang w:val="es-ES" w:eastAsia="es-ES"/>
        </w:rPr>
        <w:t xml:space="preserve">señor </w:t>
      </w:r>
      <w:r>
        <w:rPr>
          <w:rFonts w:ascii="Verdana" w:eastAsia="Calibri" w:hAnsi="Verdana" w:cs="Arial"/>
          <w:lang w:val="es-ES" w:eastAsia="es-ES"/>
        </w:rPr>
        <w:t>Alzate</w:t>
      </w:r>
      <w:r w:rsidRPr="00AF2427">
        <w:rPr>
          <w:rFonts w:ascii="Verdana" w:eastAsia="Calibri" w:hAnsi="Verdana" w:cs="Arial"/>
          <w:lang w:val="es-ES" w:eastAsia="es-ES"/>
        </w:rPr>
        <w:t xml:space="preserve">: </w:t>
      </w:r>
    </w:p>
    <w:p w14:paraId="445D9F38" w14:textId="77777777" w:rsidR="0096798D" w:rsidRDefault="0096798D" w:rsidP="0096798D">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6B20813" w14:textId="77777777" w:rsidR="0096798D" w:rsidRPr="00593A5F" w:rsidRDefault="0096798D" w:rsidP="0096798D">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 xml:space="preserve">la Agencia Nacional de Contratación Pública </w:t>
      </w:r>
      <w:r w:rsidRPr="005012D9">
        <w:rPr>
          <w:rFonts w:ascii="Verdana" w:eastAsia="Calibri" w:hAnsi="Verdana" w:cs="Arial"/>
          <w:lang w:val="es-ES" w:eastAsia="es-ES"/>
        </w:rPr>
        <w:t>– Colombia Compra Eficiente– responde su solicitud de consulta</w:t>
      </w:r>
      <w:r>
        <w:rPr>
          <w:rFonts w:ascii="Verdana" w:eastAsia="Calibri" w:hAnsi="Verdana" w:cs="Arial"/>
          <w:lang w:val="es-ES" w:eastAsia="es-ES"/>
        </w:rPr>
        <w:t xml:space="preserve"> trasladada por el Departamento Administrativo de la Función Pública el</w:t>
      </w:r>
      <w:r w:rsidRPr="005012D9">
        <w:rPr>
          <w:rFonts w:ascii="Verdana" w:eastAsia="Calibri" w:hAnsi="Verdana" w:cs="Arial"/>
          <w:lang w:val="es-ES" w:eastAsia="es-ES"/>
        </w:rPr>
        <w:t xml:space="preserve"> 1</w:t>
      </w:r>
      <w:r>
        <w:rPr>
          <w:rFonts w:ascii="Verdana" w:eastAsia="Calibri" w:hAnsi="Verdana" w:cs="Arial"/>
          <w:lang w:val="es-ES" w:eastAsia="es-ES"/>
        </w:rPr>
        <w:t>9</w:t>
      </w:r>
      <w:r w:rsidRPr="005012D9">
        <w:rPr>
          <w:rFonts w:ascii="Verdana" w:eastAsia="Calibri" w:hAnsi="Verdana" w:cs="Arial"/>
          <w:lang w:val="es-ES" w:eastAsia="es-ES"/>
        </w:rPr>
        <w:t xml:space="preserve"> de </w:t>
      </w:r>
      <w:r>
        <w:rPr>
          <w:rFonts w:ascii="Verdana" w:eastAsia="Calibri" w:hAnsi="Verdana" w:cs="Arial"/>
          <w:lang w:val="es-ES" w:eastAsia="es-ES"/>
        </w:rPr>
        <w:t>noviembre</w:t>
      </w:r>
      <w:r w:rsidRPr="005012D9">
        <w:rPr>
          <w:rFonts w:ascii="Verdana" w:eastAsia="Calibri" w:hAnsi="Verdana" w:cs="Arial"/>
          <w:lang w:val="es-ES" w:eastAsia="es-ES"/>
        </w:rPr>
        <w:t xml:space="preserve"> de 2025, en la cual manifiesta lo siguiente: </w:t>
      </w:r>
    </w:p>
    <w:p w14:paraId="06ECADDA" w14:textId="77777777" w:rsidR="0096798D" w:rsidRPr="00272A7B" w:rsidRDefault="0096798D" w:rsidP="0096798D">
      <w:pPr>
        <w:pStyle w:val="Prrafodelista"/>
        <w:tabs>
          <w:tab w:val="left" w:pos="142"/>
          <w:tab w:val="left" w:pos="284"/>
        </w:tabs>
        <w:spacing w:line="276" w:lineRule="auto"/>
        <w:ind w:left="0"/>
        <w:jc w:val="both"/>
        <w:rPr>
          <w:rFonts w:ascii="Verdana" w:eastAsia="Century Gothic" w:hAnsi="Verdana" w:cs="Century Gothic"/>
          <w:b/>
          <w:bCs/>
        </w:rPr>
      </w:pPr>
    </w:p>
    <w:p w14:paraId="40D63BB8" w14:textId="77777777" w:rsidR="0096798D" w:rsidRPr="00230237" w:rsidRDefault="0096798D" w:rsidP="0096798D">
      <w:pPr>
        <w:pStyle w:val="Prrafodelista"/>
        <w:tabs>
          <w:tab w:val="left" w:pos="142"/>
          <w:tab w:val="left" w:pos="709"/>
        </w:tabs>
        <w:spacing w:line="276" w:lineRule="auto"/>
        <w:ind w:left="709" w:right="758" w:hanging="142"/>
        <w:jc w:val="both"/>
        <w:rPr>
          <w:rFonts w:ascii="Verdana" w:eastAsia="Century Gothic" w:hAnsi="Verdana" w:cs="Century Gothic"/>
          <w:b/>
          <w:bCs/>
          <w:sz w:val="20"/>
          <w:szCs w:val="20"/>
        </w:rPr>
      </w:pPr>
      <w:r w:rsidRPr="00230237">
        <w:rPr>
          <w:rFonts w:ascii="Verdana" w:hAnsi="Verdana"/>
          <w:sz w:val="20"/>
          <w:szCs w:val="20"/>
        </w:rPr>
        <w:t xml:space="preserve">“Solicito su amable ayuda con el concepto relacionado en el asunto y que paso a detallar: Historicamente en la FGN no se contaba con la figura personal contratista en el área administrativa, eventualmente se publicaban procesos de contratación en SECOP II para las empresas con el fin de prestar un servicio complementario. A pesar de la amplia planta admininistrativa y mayormente nombrada en provisionalidad, desde el año 2024 que ingresaron nuevos directivos de libre nombramiento y remoción, se está incrementando el ingreso de personal contratista en algunas dependencias, para desempeñar labores operativas de apoyo, </w:t>
      </w:r>
      <w:r w:rsidRPr="00230237">
        <w:rPr>
          <w:rFonts w:ascii="Verdana" w:hAnsi="Verdana"/>
          <w:sz w:val="20"/>
          <w:szCs w:val="20"/>
        </w:rPr>
        <w:lastRenderedPageBreak/>
        <w:t>como asesores e incluso de coordinación, adjunto hoja de vida SIGEP de ejemplo. Ante esta situación solicito respetuosamente:¿Si en la entidad o en la misma dependencia, existe personal de planta (propiedad o provisional) calificado, bajo que circunstancias se podría contatar de forma directa o con contratos de prestación de servicios a personal externo? ¿Un contratista puede tener más de un contrato con varias entidades del estado en el mismo periodo de tiempo y en actividades que se requieran destinación de tiempo completo? ¿Se puede renovar a la misma persona, para cada año un nuevo contrato de prestación de servicios de asesoria profesional o de otra indole? ¿A un contratista se le pueden asignar funciones de coordinación de equipos de servidores de planta (propiedad y provisional)? ¿Se puede asignar un contrato dentro de la ley de garantías o que el contrato incluya fechas dentro de la vigencia de la ley?”</w:t>
      </w:r>
    </w:p>
    <w:p w14:paraId="75BDCC2B" w14:textId="77777777" w:rsidR="0096798D" w:rsidRDefault="0096798D" w:rsidP="0096798D">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D4E9505" w14:textId="77777777" w:rsidR="0096798D" w:rsidRDefault="0096798D" w:rsidP="0096798D">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 xml:space="preserve">los </w:t>
      </w:r>
      <w:r w:rsidRPr="00141FE3">
        <w:rPr>
          <w:rFonts w:ascii="Verdana" w:eastAsia="Calibri" w:hAnsi="Verdana" w:cs="Arial"/>
          <w:lang w:val="es-ES" w:eastAsia="es-ES"/>
        </w:rPr>
        <w:t xml:space="preserve">problemas jurídicos de </w:t>
      </w:r>
      <w:r>
        <w:rPr>
          <w:rFonts w:ascii="Verdana" w:eastAsia="Calibri" w:hAnsi="Verdana" w:cs="Arial"/>
          <w:color w:val="000000"/>
          <w:lang w:val="es-ES" w:eastAsia="es-ES"/>
        </w:rPr>
        <w:t>su</w:t>
      </w:r>
      <w:r w:rsidRPr="00593A5F">
        <w:rPr>
          <w:rFonts w:ascii="Verdana" w:eastAsia="Calibri" w:hAnsi="Verdana" w:cs="Arial"/>
          <w:color w:val="000000"/>
          <w:lang w:val="es-ES" w:eastAsia="es-ES"/>
        </w:rPr>
        <w:t xml:space="preserve"> consulta. </w:t>
      </w:r>
    </w:p>
    <w:p w14:paraId="1AB79CFD" w14:textId="77777777" w:rsidR="0096798D" w:rsidRPr="00593A5F" w:rsidRDefault="0096798D" w:rsidP="0096798D">
      <w:pPr>
        <w:spacing w:after="0" w:line="276" w:lineRule="auto"/>
        <w:ind w:firstLine="709"/>
        <w:jc w:val="both"/>
        <w:rPr>
          <w:rFonts w:ascii="Verdana" w:eastAsia="Calibri" w:hAnsi="Verdana" w:cs="Arial"/>
          <w:color w:val="000000"/>
          <w:lang w:val="es-ES" w:eastAsia="es-ES"/>
        </w:rPr>
      </w:pPr>
    </w:p>
    <w:p w14:paraId="110E43EB" w14:textId="77777777" w:rsidR="0096798D" w:rsidRPr="00593A5F" w:rsidRDefault="0096798D" w:rsidP="0096798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6B505613" w14:textId="77777777" w:rsidR="0096798D" w:rsidRPr="00593A5F" w:rsidRDefault="0096798D" w:rsidP="0096798D">
      <w:pPr>
        <w:tabs>
          <w:tab w:val="left" w:pos="426"/>
        </w:tabs>
        <w:spacing w:after="0" w:line="276" w:lineRule="auto"/>
        <w:jc w:val="both"/>
        <w:rPr>
          <w:rFonts w:ascii="Verdana" w:eastAsia="Century Gothic" w:hAnsi="Verdana" w:cs="Century Gothic"/>
          <w:lang w:val="es-ES"/>
        </w:rPr>
      </w:pPr>
    </w:p>
    <w:p w14:paraId="04031097" w14:textId="77777777" w:rsidR="0096798D" w:rsidRPr="00593A5F" w:rsidRDefault="0096798D" w:rsidP="0096798D">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w:t>
      </w:r>
      <w:r>
        <w:rPr>
          <w:rFonts w:ascii="Verdana" w:eastAsia="Century Gothic" w:hAnsi="Verdana" w:cs="Century Gothic"/>
        </w:rPr>
        <w:t>los</w:t>
      </w:r>
      <w:r w:rsidRPr="00593A5F">
        <w:rPr>
          <w:rFonts w:ascii="Verdana" w:eastAsia="Century Gothic" w:hAnsi="Verdana" w:cs="Century Gothic"/>
        </w:rPr>
        <w:t xml:space="preserve"> siguiente</w:t>
      </w:r>
      <w:r>
        <w:rPr>
          <w:rFonts w:ascii="Verdana" w:eastAsia="Century Gothic" w:hAnsi="Verdana" w:cs="Century Gothic"/>
        </w:rPr>
        <w:t>s</w:t>
      </w:r>
      <w:r w:rsidRPr="00593A5F">
        <w:rPr>
          <w:rFonts w:ascii="Verdana" w:eastAsia="Century Gothic" w:hAnsi="Verdana" w:cs="Century Gothic"/>
        </w:rPr>
        <w:t xml:space="preserve"> problemas jurídico</w:t>
      </w:r>
      <w:r>
        <w:rPr>
          <w:rFonts w:ascii="Verdana" w:eastAsia="Century Gothic" w:hAnsi="Verdana" w:cs="Century Gothic"/>
        </w:rPr>
        <w:t>s</w:t>
      </w:r>
      <w:r w:rsidRPr="00593A5F">
        <w:rPr>
          <w:rFonts w:ascii="Verdana" w:eastAsia="Century Gothic" w:hAnsi="Verdana" w:cs="Century Gothic"/>
        </w:rPr>
        <w:t>:</w:t>
      </w:r>
      <w:r>
        <w:rPr>
          <w:rFonts w:ascii="Verdana" w:eastAsia="Century Gothic" w:hAnsi="Verdana" w:cs="Century Gothic"/>
        </w:rPr>
        <w:t xml:space="preserve"> i)</w:t>
      </w:r>
      <w:r w:rsidRPr="00593A5F">
        <w:rPr>
          <w:rFonts w:ascii="Verdana" w:eastAsia="Century Gothic" w:hAnsi="Verdana" w:cs="Century Gothic"/>
        </w:rPr>
        <w:t xml:space="preserve"> </w:t>
      </w:r>
      <w:r w:rsidRPr="00141FE3">
        <w:rPr>
          <w:rFonts w:ascii="Verdana" w:eastAsia="Century Gothic" w:hAnsi="Verdana" w:cs="Century Gothic"/>
        </w:rPr>
        <w:t xml:space="preserve">¿cuál es el fundamento normativo para la celebración de </w:t>
      </w:r>
      <w:r w:rsidRPr="00141FE3">
        <w:rPr>
          <w:rFonts w:ascii="Verdana" w:eastAsia="Century Gothic" w:hAnsi="Verdana" w:cs="Century Gothic"/>
        </w:rPr>
        <w:lastRenderedPageBreak/>
        <w:t>contratos de prestación de servicios de entidades estatales con personas naturales?</w:t>
      </w:r>
      <w:r>
        <w:rPr>
          <w:rFonts w:ascii="Verdana" w:eastAsia="Century Gothic" w:hAnsi="Verdana" w:cs="Century Gothic"/>
        </w:rPr>
        <w:t xml:space="preserve"> ii) </w:t>
      </w:r>
      <w:r w:rsidRPr="00141FE3">
        <w:rPr>
          <w:rFonts w:ascii="Verdana" w:eastAsia="Century Gothic" w:hAnsi="Verdana" w:cs="Century Gothic"/>
        </w:rPr>
        <w:t>¿es posible que una persona natural celebre contratos de prestación de servicios con diferentes entidades estatales en simultáneo?</w:t>
      </w:r>
      <w:r>
        <w:rPr>
          <w:rFonts w:ascii="Verdana" w:eastAsia="Century Gothic" w:hAnsi="Verdana" w:cs="Century Gothic"/>
        </w:rPr>
        <w:t xml:space="preserve"> iii) ¿La restricción de contratación directa establecida en el artículo 33 de la Ley 996 de 2005 afecta los contratos de prestación de servicios de las entidades estatales?</w:t>
      </w:r>
    </w:p>
    <w:p w14:paraId="04A023BC" w14:textId="77777777" w:rsidR="0096798D" w:rsidRPr="00593A5F" w:rsidRDefault="0096798D" w:rsidP="0096798D">
      <w:pPr>
        <w:spacing w:after="0" w:line="276" w:lineRule="auto"/>
        <w:jc w:val="both"/>
        <w:rPr>
          <w:rFonts w:ascii="Verdana" w:eastAsia="Calibri" w:hAnsi="Verdana" w:cs="Arial"/>
          <w:color w:val="7030A0"/>
          <w:lang w:val="es-ES"/>
        </w:rPr>
      </w:pPr>
    </w:p>
    <w:p w14:paraId="0E87A397" w14:textId="77777777" w:rsidR="0096798D" w:rsidRPr="00593A5F" w:rsidRDefault="0096798D" w:rsidP="0096798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49B857E" w14:textId="77777777" w:rsidR="0096798D" w:rsidRPr="00593A5F" w:rsidRDefault="0096798D" w:rsidP="0096798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6798D" w:rsidRPr="00593A5F" w14:paraId="1979F0A2" w14:textId="77777777" w:rsidTr="004C3274">
        <w:tc>
          <w:tcPr>
            <w:tcW w:w="8828" w:type="dxa"/>
            <w:shd w:val="clear" w:color="auto" w:fill="auto"/>
          </w:tcPr>
          <w:p w14:paraId="5D5CD7A3" w14:textId="77777777" w:rsidR="0096798D" w:rsidRPr="003053B5" w:rsidRDefault="0096798D" w:rsidP="0096798D">
            <w:pPr>
              <w:pStyle w:val="Prrafodelista"/>
              <w:widowControl w:val="0"/>
              <w:numPr>
                <w:ilvl w:val="0"/>
                <w:numId w:val="19"/>
              </w:numPr>
              <w:autoSpaceDE w:val="0"/>
              <w:autoSpaceDN w:val="0"/>
              <w:spacing w:line="276" w:lineRule="auto"/>
              <w:ind w:left="31" w:firstLine="284"/>
              <w:jc w:val="both"/>
              <w:rPr>
                <w:rFonts w:ascii="Verdana" w:eastAsia="Calibri" w:hAnsi="Verdana" w:cs="Arial"/>
              </w:rPr>
            </w:pPr>
            <w:r w:rsidRPr="003053B5">
              <w:rPr>
                <w:rFonts w:ascii="Verdana" w:eastAsia="Calibri" w:hAnsi="Verdana" w:cs="Arial"/>
              </w:rPr>
              <w:t>el contrato de prestación de servicios es un contrato estatal típico que está regulado en el numeral 3 del artículo 32 de la Ley 80 de 1993:</w:t>
            </w:r>
          </w:p>
          <w:p w14:paraId="4DC97024" w14:textId="77777777" w:rsidR="0096798D" w:rsidRPr="0054725F" w:rsidRDefault="0096798D" w:rsidP="004C3274">
            <w:pPr>
              <w:spacing w:before="100" w:beforeAutospacing="1" w:after="100" w:afterAutospacing="1" w:line="276" w:lineRule="auto"/>
              <w:ind w:left="851" w:right="758"/>
              <w:jc w:val="both"/>
              <w:rPr>
                <w:rFonts w:ascii="Verdana" w:eastAsia="Times New Roman" w:hAnsi="Verdana" w:cs="Open Sans"/>
                <w:sz w:val="20"/>
                <w:szCs w:val="20"/>
                <w:lang w:eastAsia="es-CO"/>
              </w:rPr>
            </w:pPr>
            <w:r w:rsidRPr="0054725F">
              <w:rPr>
                <w:rFonts w:ascii="Verdana" w:eastAsia="Times New Roman" w:hAnsi="Verdana" w:cs="Open Sans"/>
                <w:sz w:val="20"/>
                <w:szCs w:val="20"/>
                <w:lang w:eastAsia="es-CO"/>
              </w:rPr>
              <w:t>Son contratos de prestación de servicios los que celebren las entidades estatales para desarrollar actividades relacionadas con la administración o funcionamiento de la entidad. Estos contratos sólo podrán celebrarse con personas naturales cuando dichas actividades </w:t>
            </w:r>
            <w:r w:rsidRPr="0054725F">
              <w:rPr>
                <w:rFonts w:ascii="Verdana" w:eastAsia="Times New Roman" w:hAnsi="Verdana" w:cs="Open Sans"/>
                <w:sz w:val="20"/>
                <w:szCs w:val="20"/>
                <w:u w:val="single"/>
                <w:lang w:eastAsia="es-CO"/>
              </w:rPr>
              <w:t>no puedan realizarse con personal de planta</w:t>
            </w:r>
            <w:r w:rsidRPr="0054725F">
              <w:rPr>
                <w:rFonts w:ascii="Verdana" w:eastAsia="Times New Roman" w:hAnsi="Verdana" w:cs="Open Sans"/>
                <w:sz w:val="20"/>
                <w:szCs w:val="20"/>
                <w:lang w:eastAsia="es-CO"/>
              </w:rPr>
              <w:t> o requieran conocimientos especializados.</w:t>
            </w:r>
          </w:p>
          <w:p w14:paraId="43DFEC72" w14:textId="77777777" w:rsidR="0096798D" w:rsidRPr="0054725F" w:rsidRDefault="0096798D" w:rsidP="004C3274">
            <w:pPr>
              <w:spacing w:before="100" w:beforeAutospacing="1" w:after="100" w:afterAutospacing="1" w:line="276" w:lineRule="auto"/>
              <w:ind w:left="851" w:right="758"/>
              <w:jc w:val="both"/>
              <w:rPr>
                <w:rFonts w:ascii="Verdana" w:eastAsia="Times New Roman" w:hAnsi="Verdana" w:cs="Open Sans"/>
                <w:sz w:val="20"/>
                <w:szCs w:val="20"/>
                <w:lang w:eastAsia="es-CO"/>
              </w:rPr>
            </w:pPr>
            <w:r w:rsidRPr="0054725F">
              <w:rPr>
                <w:rFonts w:ascii="Verdana" w:eastAsia="Times New Roman" w:hAnsi="Verdana" w:cs="Open Sans"/>
                <w:sz w:val="20"/>
                <w:szCs w:val="20"/>
                <w:u w:val="single"/>
                <w:lang w:eastAsia="es-CO"/>
              </w:rPr>
              <w:t>En ningún caso</w:t>
            </w:r>
            <w:r w:rsidRPr="0054725F">
              <w:rPr>
                <w:rFonts w:ascii="Verdana" w:eastAsia="Times New Roman" w:hAnsi="Verdana" w:cs="Open Sans"/>
                <w:sz w:val="20"/>
                <w:szCs w:val="20"/>
                <w:lang w:eastAsia="es-CO"/>
              </w:rPr>
              <w:t> estos contratos</w:t>
            </w:r>
            <w:r w:rsidRPr="0054725F">
              <w:rPr>
                <w:rFonts w:ascii="Verdana" w:eastAsia="Times New Roman" w:hAnsi="Verdana" w:cs="Open Sans"/>
                <w:sz w:val="20"/>
                <w:szCs w:val="20"/>
                <w:u w:val="single"/>
                <w:lang w:eastAsia="es-CO"/>
              </w:rPr>
              <w:t> generan relación laboral ni prestaciones sociales</w:t>
            </w:r>
            <w:r w:rsidRPr="0054725F">
              <w:rPr>
                <w:rFonts w:ascii="Verdana" w:eastAsia="Times New Roman" w:hAnsi="Verdana" w:cs="Open Sans"/>
                <w:sz w:val="20"/>
                <w:szCs w:val="20"/>
                <w:lang w:eastAsia="es-CO"/>
              </w:rPr>
              <w:t> y se celebrarán por el término estrictamente indispensable.</w:t>
            </w:r>
          </w:p>
          <w:p w14:paraId="007EA351" w14:textId="23768F45" w:rsidR="0096798D" w:rsidRDefault="0096798D" w:rsidP="004C3274">
            <w:pPr>
              <w:spacing w:line="276" w:lineRule="auto"/>
              <w:jc w:val="both"/>
              <w:rPr>
                <w:rFonts w:ascii="Verdana" w:hAnsi="Verdana" w:cs="Arial"/>
              </w:rPr>
            </w:pPr>
            <w:r w:rsidRPr="003053B5">
              <w:rPr>
                <w:rFonts w:ascii="Verdana" w:eastAsia="Calibri" w:hAnsi="Verdana" w:cs="Arial"/>
                <w:lang w:val="es-ES"/>
              </w:rPr>
              <w:t xml:space="preserve">Su modalidad de selección se encuentra establecida en el </w:t>
            </w:r>
            <w:r w:rsidRPr="1DAB9D50">
              <w:rPr>
                <w:rFonts w:ascii="Verdana" w:eastAsia="Calibri" w:hAnsi="Verdana" w:cs="Arial"/>
                <w:lang w:val="es-ES"/>
              </w:rPr>
              <w:t xml:space="preserve">artículo 2, numeral 4º, literal h), de la Ley 1150 de 2007 como </w:t>
            </w:r>
            <w:r w:rsidRPr="1DAB9D50">
              <w:rPr>
                <w:rFonts w:ascii="Verdana" w:eastAsia="Calibri" w:hAnsi="Verdana" w:cs="Arial"/>
                <w:color w:val="000000" w:themeColor="text1"/>
                <w:lang w:val="es-ES"/>
              </w:rPr>
              <w:t xml:space="preserve">contratación directa, y aquella es reglamentada en el </w:t>
            </w:r>
            <w:r w:rsidRPr="003053B5">
              <w:rPr>
                <w:rFonts w:ascii="Verdana" w:eastAsia="Calibri" w:hAnsi="Verdana" w:cs="Arial"/>
              </w:rPr>
              <w:t xml:space="preserve">artículo 2.2.1.2.1.4.9 del Decreto 1082 de 2015, del que se resalta </w:t>
            </w:r>
            <w:r w:rsidRPr="003053B5">
              <w:rPr>
                <w:rFonts w:ascii="Verdana" w:hAnsi="Verdana" w:cs="Arial"/>
              </w:rPr>
              <w:t xml:space="preserve">la obligación de las entidades estatales de verificar la idoneidad </w:t>
            </w:r>
            <w:r w:rsidR="30DC66A8" w:rsidRPr="1DAB9D50">
              <w:rPr>
                <w:rFonts w:ascii="Verdana" w:hAnsi="Verdana" w:cs="Arial"/>
              </w:rPr>
              <w:t>o experiencia relacionadas y que el contratista este en capacidad de ejecutar el objeto pactado</w:t>
            </w:r>
            <w:r>
              <w:rPr>
                <w:rFonts w:ascii="Verdana" w:hAnsi="Verdana" w:cs="Arial"/>
              </w:rPr>
              <w:t>.</w:t>
            </w:r>
          </w:p>
          <w:p w14:paraId="154BFBFF" w14:textId="77777777" w:rsidR="0096798D" w:rsidRDefault="0096798D" w:rsidP="004C3274">
            <w:pPr>
              <w:spacing w:line="276" w:lineRule="auto"/>
              <w:jc w:val="both"/>
              <w:rPr>
                <w:rFonts w:ascii="Verdana" w:eastAsia="Calibri" w:hAnsi="Verdana" w:cs="Arial"/>
                <w:color w:val="7030A0"/>
                <w:lang w:val="es-ES"/>
              </w:rPr>
            </w:pPr>
          </w:p>
          <w:p w14:paraId="1F0F2781" w14:textId="6178328D" w:rsidR="0096798D" w:rsidRPr="003053B5" w:rsidRDefault="0096798D" w:rsidP="0096798D">
            <w:pPr>
              <w:pStyle w:val="Prrafodelista"/>
              <w:numPr>
                <w:ilvl w:val="0"/>
                <w:numId w:val="19"/>
              </w:numPr>
              <w:spacing w:line="276" w:lineRule="auto"/>
              <w:ind w:left="31" w:firstLine="142"/>
              <w:jc w:val="both"/>
              <w:rPr>
                <w:rFonts w:ascii="Verdana" w:eastAsia="Calibri" w:hAnsi="Verdana" w:cs="Arial"/>
                <w:color w:val="7030A0"/>
              </w:rPr>
            </w:pPr>
            <w:r w:rsidRPr="1DAB9D50">
              <w:rPr>
                <w:rFonts w:ascii="Verdana" w:hAnsi="Verdana"/>
              </w:rPr>
              <w:t>Analizado el conjunto de disposiciones que integran el régimen de inhabilidades e incompatibilidades para la contratación estatal, así como los requisitos y límites de los contratos de prestación de servicios profesionales, no se advierte una disposición que limite el número de contratos de prestación de servicios que puede suscribir o ejecutar una persona de manera simultánea</w:t>
            </w:r>
            <w:r w:rsidR="72BEC318" w:rsidRPr="1DAB9D50">
              <w:rPr>
                <w:rFonts w:ascii="Verdana" w:hAnsi="Verdana"/>
              </w:rPr>
              <w:t xml:space="preserve"> más allá de verificar la citada idoneidad o experiencia y capacidad para ejecutar el objeto contractual</w:t>
            </w:r>
            <w:r w:rsidRPr="1DAB9D50">
              <w:rPr>
                <w:rFonts w:ascii="Verdana" w:hAnsi="Verdana"/>
              </w:rPr>
              <w:t>.</w:t>
            </w:r>
          </w:p>
          <w:p w14:paraId="64730650" w14:textId="77777777" w:rsidR="0096798D" w:rsidRDefault="0096798D" w:rsidP="004C3274">
            <w:pPr>
              <w:spacing w:line="276" w:lineRule="auto"/>
              <w:jc w:val="both"/>
              <w:rPr>
                <w:rFonts w:ascii="Verdana" w:eastAsia="Calibri" w:hAnsi="Verdana" w:cs="Arial"/>
              </w:rPr>
            </w:pPr>
          </w:p>
          <w:p w14:paraId="2BC6184F" w14:textId="77777777" w:rsidR="0096798D" w:rsidRPr="00230237" w:rsidRDefault="0096798D" w:rsidP="0096798D">
            <w:pPr>
              <w:pStyle w:val="Prrafodelista"/>
              <w:numPr>
                <w:ilvl w:val="0"/>
                <w:numId w:val="19"/>
              </w:numPr>
              <w:spacing w:after="120" w:line="276" w:lineRule="auto"/>
              <w:ind w:left="31" w:firstLine="567"/>
              <w:jc w:val="both"/>
              <w:rPr>
                <w:rFonts w:ascii="Verdana" w:eastAsia="Times New Roman" w:hAnsi="Verdana" w:cs="Open Sans"/>
                <w:lang w:eastAsia="es-CO"/>
              </w:rPr>
            </w:pPr>
            <w:r>
              <w:rPr>
                <w:rFonts w:ascii="Verdana" w:eastAsia="Times New Roman" w:hAnsi="Verdana" w:cs="Open Sans"/>
                <w:lang w:eastAsia="es-CO"/>
              </w:rPr>
              <w:lastRenderedPageBreak/>
              <w:t>E</w:t>
            </w:r>
            <w:r w:rsidRPr="00230237">
              <w:rPr>
                <w:rFonts w:ascii="Verdana" w:eastAsia="Times New Roman" w:hAnsi="Verdana" w:cs="Open Sans"/>
                <w:lang w:eastAsia="es-CO"/>
              </w:rPr>
              <w:t>l artículo 33 de la Ley 996 de 2205 prohíbe la contratación directa por parte de todos los entes estatales durante los cuatro (4) meses anteriores a las elecciones presidenciales y dispone las excepciones a dicha prohibición. Así, su ámbito de prohibición está delimitado por la expresión “queda prohibida la contratación directa” y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Pr>
                <w:rStyle w:val="Refdenotaalpie"/>
                <w:rFonts w:ascii="Verdana" w:eastAsia="Times New Roman" w:hAnsi="Verdana" w:cs="Open Sans"/>
                <w:lang w:eastAsia="es-CO"/>
              </w:rPr>
              <w:footnoteReference w:id="2"/>
            </w:r>
            <w:r w:rsidRPr="00230237">
              <w:rPr>
                <w:rFonts w:ascii="Verdana" w:eastAsia="Times New Roman" w:hAnsi="Verdana" w:cs="Open Sans"/>
                <w:lang w:eastAsia="es-CO"/>
              </w:rPr>
              <w:t>.</w:t>
            </w:r>
          </w:p>
          <w:p w14:paraId="699F6218" w14:textId="77777777" w:rsidR="0096798D" w:rsidRPr="0076238D" w:rsidRDefault="0096798D" w:rsidP="004C3274">
            <w:pPr>
              <w:spacing w:after="120" w:line="276" w:lineRule="auto"/>
              <w:ind w:firstLine="708"/>
              <w:jc w:val="both"/>
              <w:rPr>
                <w:rFonts w:ascii="Verdana" w:hAnsi="Verdana"/>
              </w:rPr>
            </w:pPr>
            <w:r w:rsidRPr="0076238D">
              <w:rPr>
                <w:rFonts w:ascii="Verdana" w:eastAsia="Times New Roman" w:hAnsi="Verdana" w:cs="Open Sans"/>
                <w:lang w:eastAsia="es-CO"/>
              </w:rPr>
              <w:t xml:space="preserve">Por su parte, </w:t>
            </w:r>
            <w:r w:rsidRPr="0076238D">
              <w:rPr>
                <w:rFonts w:ascii="Verdana" w:hAnsi="Verdana"/>
              </w:rPr>
              <w:t>los destinatarios de la prohibición están expresamente señalados como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w:t>
            </w:r>
          </w:p>
          <w:p w14:paraId="228312EE" w14:textId="77777777" w:rsidR="0096798D" w:rsidRPr="00230237" w:rsidRDefault="0096798D" w:rsidP="004C3274">
            <w:pPr>
              <w:spacing w:line="276" w:lineRule="auto"/>
              <w:jc w:val="both"/>
              <w:rPr>
                <w:rFonts w:ascii="Verdana" w:eastAsia="Calibri" w:hAnsi="Verdana" w:cs="Arial"/>
              </w:rPr>
            </w:pPr>
            <w:r w:rsidRPr="00230237">
              <w:rPr>
                <w:rFonts w:ascii="Verdana" w:eastAsia="Times New Roman" w:hAnsi="Verdana" w:cs="Open Sans"/>
                <w:lang w:eastAsia="es-CO"/>
              </w:rPr>
              <w:t>De lo anterior se desprende que la restricción aplica, sin perjuicio de las excepciones establecidas en la misma ley, para celebrar cualquier contrato de forma directa, esto es, sin que exista un proceso abierto y competitivo. Así, esta restricción aplica a los contratos de prestación de servicios dado que su modalidad de selección es la contratación directa. Por tanto, no son materia de la prohibición las demás modalidades de selección previstas en la Ley 1150 de 2007, es decir, la licitación pública, el concurso de méritos, la selección abreviada y la contratación de mínima cuantía, razón por la cual en el período preelectoral de que trata la disposición las entidades públicas pueden seguir contratando bajo estos sistemas.</w:t>
            </w:r>
          </w:p>
        </w:tc>
      </w:tr>
    </w:tbl>
    <w:p w14:paraId="761124DB" w14:textId="77777777" w:rsidR="0096798D" w:rsidRDefault="0096798D" w:rsidP="0096798D">
      <w:pPr>
        <w:tabs>
          <w:tab w:val="left" w:pos="142"/>
          <w:tab w:val="left" w:pos="284"/>
        </w:tabs>
        <w:spacing w:after="0" w:line="276" w:lineRule="auto"/>
        <w:jc w:val="both"/>
        <w:rPr>
          <w:rFonts w:ascii="Verdana" w:eastAsia="Century Gothic" w:hAnsi="Verdana" w:cs="Century Gothic"/>
          <w:b/>
          <w:bCs/>
          <w:lang w:val="es-ES"/>
        </w:rPr>
      </w:pPr>
    </w:p>
    <w:p w14:paraId="2E49C9C6" w14:textId="77777777" w:rsidR="00DF1849" w:rsidRDefault="00DF1849" w:rsidP="0096798D">
      <w:pPr>
        <w:tabs>
          <w:tab w:val="left" w:pos="142"/>
          <w:tab w:val="left" w:pos="284"/>
        </w:tabs>
        <w:spacing w:after="0" w:line="276" w:lineRule="auto"/>
        <w:jc w:val="both"/>
        <w:rPr>
          <w:rFonts w:ascii="Verdana" w:eastAsia="Century Gothic" w:hAnsi="Verdana" w:cs="Century Gothic"/>
          <w:b/>
          <w:bCs/>
          <w:lang w:val="es-ES"/>
        </w:rPr>
      </w:pPr>
    </w:p>
    <w:p w14:paraId="11527D61" w14:textId="77777777" w:rsidR="00DF1849" w:rsidRPr="00593A5F" w:rsidRDefault="00DF1849" w:rsidP="0096798D">
      <w:pPr>
        <w:tabs>
          <w:tab w:val="left" w:pos="142"/>
          <w:tab w:val="left" w:pos="284"/>
        </w:tabs>
        <w:spacing w:after="0" w:line="276" w:lineRule="auto"/>
        <w:jc w:val="both"/>
        <w:rPr>
          <w:rFonts w:ascii="Verdana" w:eastAsia="Century Gothic" w:hAnsi="Verdana" w:cs="Century Gothic"/>
          <w:b/>
          <w:bCs/>
          <w:lang w:val="es-ES"/>
        </w:rPr>
      </w:pPr>
    </w:p>
    <w:p w14:paraId="0ABFD3A2" w14:textId="77777777" w:rsidR="0096798D" w:rsidRPr="00593A5F" w:rsidRDefault="0096798D" w:rsidP="0096798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lastRenderedPageBreak/>
        <w:t>Razones de la respuesta:</w:t>
      </w:r>
    </w:p>
    <w:p w14:paraId="7C269AE1" w14:textId="77777777" w:rsidR="0096798D" w:rsidRPr="00593A5F" w:rsidRDefault="0096798D" w:rsidP="0096798D">
      <w:pPr>
        <w:spacing w:after="0" w:line="276" w:lineRule="auto"/>
        <w:jc w:val="both"/>
        <w:rPr>
          <w:rFonts w:ascii="Verdana" w:eastAsia="Calibri" w:hAnsi="Verdana" w:cs="Arial"/>
          <w:color w:val="7030A0"/>
          <w:lang w:val="es-ES"/>
        </w:rPr>
      </w:pPr>
    </w:p>
    <w:p w14:paraId="7010B04F" w14:textId="77777777" w:rsidR="0096798D" w:rsidRDefault="0096798D" w:rsidP="0096798D">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4B48A93B" w14:textId="77777777" w:rsidR="0096798D" w:rsidRDefault="0096798D" w:rsidP="0096798D">
      <w:pPr>
        <w:spacing w:after="0" w:line="276" w:lineRule="auto"/>
        <w:jc w:val="both"/>
        <w:rPr>
          <w:rFonts w:ascii="Verdana" w:eastAsia="Calibri" w:hAnsi="Verdana" w:cs="Arial"/>
          <w:lang w:val="es-ES"/>
        </w:rPr>
      </w:pPr>
    </w:p>
    <w:p w14:paraId="3D9110E1" w14:textId="77777777" w:rsidR="0096798D" w:rsidRPr="003053B5" w:rsidRDefault="0096798D" w:rsidP="0096798D">
      <w:pPr>
        <w:pStyle w:val="Prrafodelista"/>
        <w:numPr>
          <w:ilvl w:val="0"/>
          <w:numId w:val="18"/>
        </w:numPr>
        <w:spacing w:after="0" w:line="276" w:lineRule="auto"/>
        <w:jc w:val="both"/>
        <w:rPr>
          <w:rFonts w:ascii="Verdana" w:eastAsia="Calibri" w:hAnsi="Verdana" w:cs="Arial"/>
          <w:u w:val="single"/>
        </w:rPr>
      </w:pPr>
      <w:r w:rsidRPr="003053B5">
        <w:rPr>
          <w:rFonts w:ascii="Verdana" w:eastAsia="Calibri" w:hAnsi="Verdana" w:cs="Arial"/>
          <w:u w:val="single"/>
        </w:rPr>
        <w:t>Fundamento normativo y características del contrato de prestación de servicios</w:t>
      </w:r>
    </w:p>
    <w:p w14:paraId="0141566B" w14:textId="77777777" w:rsidR="0096798D" w:rsidRDefault="0096798D" w:rsidP="0096798D">
      <w:pPr>
        <w:spacing w:after="0" w:line="276" w:lineRule="auto"/>
        <w:jc w:val="both"/>
        <w:rPr>
          <w:rFonts w:ascii="Verdana" w:eastAsia="Calibri" w:hAnsi="Verdana" w:cs="Arial"/>
          <w:color w:val="7030A0"/>
          <w:lang w:val="es-ES"/>
        </w:rPr>
      </w:pPr>
    </w:p>
    <w:p w14:paraId="429CEFB5" w14:textId="77777777" w:rsidR="0096798D" w:rsidRPr="00097DBE" w:rsidRDefault="0096798D" w:rsidP="0096798D">
      <w:pPr>
        <w:widowControl w:val="0"/>
        <w:autoSpaceDE w:val="0"/>
        <w:autoSpaceDN w:val="0"/>
        <w:spacing w:after="0" w:line="276" w:lineRule="auto"/>
        <w:jc w:val="both"/>
        <w:rPr>
          <w:rFonts w:ascii="Verdana" w:eastAsia="Calibri" w:hAnsi="Verdana" w:cs="Arial"/>
          <w:lang w:val="es-ES"/>
        </w:rPr>
      </w:pPr>
      <w:r w:rsidRPr="00097DBE">
        <w:rPr>
          <w:rFonts w:ascii="Verdana" w:eastAsia="Calibri" w:hAnsi="Verdana" w:cs="Arial"/>
          <w:lang w:val="es-ES"/>
        </w:rPr>
        <w:t>Para empezar, el contrato de prestación de servicios es un contrato estatal típico que está regulado en el numeral 3 del artículo 32 de la Ley 80 de 1993:</w:t>
      </w:r>
    </w:p>
    <w:p w14:paraId="19A4CC5F" w14:textId="77777777" w:rsidR="0096798D" w:rsidRPr="0054725F" w:rsidRDefault="0096798D" w:rsidP="0096798D">
      <w:pPr>
        <w:spacing w:before="100" w:beforeAutospacing="1" w:after="100" w:afterAutospacing="1" w:line="270" w:lineRule="atLeast"/>
        <w:ind w:left="851" w:right="758"/>
        <w:jc w:val="both"/>
        <w:rPr>
          <w:rFonts w:ascii="Verdana" w:eastAsia="Times New Roman" w:hAnsi="Verdana" w:cs="Open Sans"/>
          <w:sz w:val="20"/>
          <w:szCs w:val="20"/>
          <w:lang w:eastAsia="es-CO"/>
        </w:rPr>
      </w:pPr>
      <w:r w:rsidRPr="0054725F">
        <w:rPr>
          <w:rFonts w:ascii="Verdana" w:eastAsia="Times New Roman" w:hAnsi="Verdana" w:cs="Open Sans"/>
          <w:sz w:val="20"/>
          <w:szCs w:val="20"/>
          <w:lang w:eastAsia="es-CO"/>
        </w:rPr>
        <w:t>Son contratos de prestación de servicios los que celebren las entidades estatales para desarrollar actividades relacionadas con la administración o funcionamiento de la entidad. Estos contratos sólo podrán celebrarse con personas naturales cuando dichas actividades </w:t>
      </w:r>
      <w:r w:rsidRPr="0054725F">
        <w:rPr>
          <w:rFonts w:ascii="Verdana" w:eastAsia="Times New Roman" w:hAnsi="Verdana" w:cs="Open Sans"/>
          <w:sz w:val="20"/>
          <w:szCs w:val="20"/>
          <w:u w:val="single"/>
          <w:lang w:eastAsia="es-CO"/>
        </w:rPr>
        <w:t>no puedan realizarse con personal de planta</w:t>
      </w:r>
      <w:r w:rsidRPr="0054725F">
        <w:rPr>
          <w:rFonts w:ascii="Verdana" w:eastAsia="Times New Roman" w:hAnsi="Verdana" w:cs="Open Sans"/>
          <w:sz w:val="20"/>
          <w:szCs w:val="20"/>
          <w:lang w:eastAsia="es-CO"/>
        </w:rPr>
        <w:t> o requieran conocimientos especializados.</w:t>
      </w:r>
    </w:p>
    <w:p w14:paraId="624120BE" w14:textId="77777777" w:rsidR="0096798D" w:rsidRPr="0054725F" w:rsidRDefault="0096798D" w:rsidP="0096798D">
      <w:pPr>
        <w:spacing w:before="100" w:beforeAutospacing="1" w:after="100" w:afterAutospacing="1" w:line="270" w:lineRule="atLeast"/>
        <w:ind w:left="851" w:right="758"/>
        <w:jc w:val="both"/>
        <w:rPr>
          <w:rFonts w:ascii="Verdana" w:eastAsia="Times New Roman" w:hAnsi="Verdana" w:cs="Open Sans"/>
          <w:sz w:val="20"/>
          <w:szCs w:val="20"/>
          <w:lang w:eastAsia="es-CO"/>
        </w:rPr>
      </w:pPr>
      <w:r w:rsidRPr="0054725F">
        <w:rPr>
          <w:rFonts w:ascii="Verdana" w:eastAsia="Times New Roman" w:hAnsi="Verdana" w:cs="Open Sans"/>
          <w:sz w:val="20"/>
          <w:szCs w:val="20"/>
          <w:u w:val="single"/>
          <w:lang w:eastAsia="es-CO"/>
        </w:rPr>
        <w:t>En ningún caso</w:t>
      </w:r>
      <w:r w:rsidRPr="0054725F">
        <w:rPr>
          <w:rFonts w:ascii="Verdana" w:eastAsia="Times New Roman" w:hAnsi="Verdana" w:cs="Open Sans"/>
          <w:sz w:val="20"/>
          <w:szCs w:val="20"/>
          <w:lang w:eastAsia="es-CO"/>
        </w:rPr>
        <w:t> estos contratos</w:t>
      </w:r>
      <w:r w:rsidRPr="0054725F">
        <w:rPr>
          <w:rFonts w:ascii="Verdana" w:eastAsia="Times New Roman" w:hAnsi="Verdana" w:cs="Open Sans"/>
          <w:sz w:val="20"/>
          <w:szCs w:val="20"/>
          <w:u w:val="single"/>
          <w:lang w:eastAsia="es-CO"/>
        </w:rPr>
        <w:t> generan relación laboral ni prestaciones sociales</w:t>
      </w:r>
      <w:r w:rsidRPr="0054725F">
        <w:rPr>
          <w:rFonts w:ascii="Verdana" w:eastAsia="Times New Roman" w:hAnsi="Verdana" w:cs="Open Sans"/>
          <w:sz w:val="20"/>
          <w:szCs w:val="20"/>
          <w:lang w:eastAsia="es-CO"/>
        </w:rPr>
        <w:t> y se celebrarán por el término estrictamente indispensable.</w:t>
      </w:r>
    </w:p>
    <w:p w14:paraId="7791F6C1" w14:textId="77777777" w:rsidR="0096798D" w:rsidRDefault="0096798D" w:rsidP="0096798D">
      <w:pPr>
        <w:widowControl w:val="0"/>
        <w:autoSpaceDE w:val="0"/>
        <w:autoSpaceDN w:val="0"/>
        <w:spacing w:after="0" w:line="276" w:lineRule="auto"/>
        <w:jc w:val="both"/>
        <w:rPr>
          <w:rFonts w:ascii="Verdana" w:eastAsia="Calibri" w:hAnsi="Verdana" w:cs="Arial"/>
        </w:rPr>
      </w:pPr>
      <w:r w:rsidRPr="00097DBE">
        <w:rPr>
          <w:rFonts w:ascii="Verdana" w:eastAsia="Calibri" w:hAnsi="Verdana" w:cs="Arial"/>
          <w:lang w:val="es-ES"/>
        </w:rPr>
        <w:t xml:space="preserve">Su modalidad de selección se encuentra establecida en el </w:t>
      </w:r>
      <w:r w:rsidRPr="00097DBE">
        <w:rPr>
          <w:rFonts w:ascii="Verdana" w:eastAsia="Calibri" w:hAnsi="Verdana" w:cs="Arial"/>
          <w:lang w:val="es-ES_tradnl"/>
        </w:rPr>
        <w:t xml:space="preserve">artículo 2, numeral 4º, literal h), de la Ley 1150 de 2007 como </w:t>
      </w:r>
      <w:r>
        <w:rPr>
          <w:rFonts w:ascii="Verdana" w:eastAsia="Calibri" w:hAnsi="Verdana" w:cs="Arial"/>
          <w:color w:val="000000" w:themeColor="text1"/>
          <w:lang w:val="es-ES_tradnl"/>
        </w:rPr>
        <w:t xml:space="preserve">contratación directa, y aquella es reglamentada en el </w:t>
      </w:r>
      <w:bookmarkStart w:id="1" w:name="_Hlk197360180"/>
      <w:r w:rsidRPr="00C7507B">
        <w:rPr>
          <w:rFonts w:ascii="Verdana" w:eastAsia="Calibri" w:hAnsi="Verdana" w:cs="Arial"/>
        </w:rPr>
        <w:t xml:space="preserve">artículo 2.2.1.2.1.4.9 </w:t>
      </w:r>
      <w:bookmarkEnd w:id="1"/>
      <w:r w:rsidRPr="00C7507B">
        <w:rPr>
          <w:rFonts w:ascii="Verdana" w:eastAsia="Calibri" w:hAnsi="Verdana" w:cs="Arial"/>
        </w:rPr>
        <w:t>del Decreto 1082 de 2015</w:t>
      </w:r>
      <w:r>
        <w:rPr>
          <w:rFonts w:ascii="Verdana" w:eastAsia="Calibri" w:hAnsi="Verdana" w:cs="Arial"/>
        </w:rPr>
        <w:t xml:space="preserve">, del que se resalta </w:t>
      </w:r>
      <w:r w:rsidRPr="00BE021E">
        <w:rPr>
          <w:rFonts w:ascii="Verdana" w:hAnsi="Verdana" w:cs="Arial"/>
        </w:rPr>
        <w:t>la obligación de las entidades estatales de verificar la idoneidad de las personas con las que se celebrará este tipo de contratos</w:t>
      </w:r>
      <w:r>
        <w:rPr>
          <w:rFonts w:ascii="Verdana" w:eastAsia="Calibri" w:hAnsi="Verdana" w:cs="Arial"/>
        </w:rPr>
        <w:t>:</w:t>
      </w:r>
    </w:p>
    <w:p w14:paraId="35B4533C" w14:textId="77777777" w:rsidR="0096798D" w:rsidRPr="00010947" w:rsidRDefault="0096798D" w:rsidP="0096798D">
      <w:pPr>
        <w:shd w:val="clear" w:color="auto" w:fill="FFFFFF"/>
        <w:spacing w:before="100" w:beforeAutospacing="1" w:after="100" w:afterAutospacing="1" w:line="240" w:lineRule="auto"/>
        <w:ind w:left="851" w:right="758"/>
        <w:jc w:val="both"/>
        <w:rPr>
          <w:rFonts w:ascii="Verdana" w:eastAsia="Times New Roman" w:hAnsi="Verdana" w:cs="Times New Roman"/>
          <w:sz w:val="20"/>
          <w:szCs w:val="20"/>
          <w:lang w:eastAsia="es-CO"/>
        </w:rPr>
      </w:pPr>
      <w:r w:rsidRPr="00010947">
        <w:rPr>
          <w:rFonts w:ascii="Verdana" w:eastAsia="Times New Roman" w:hAnsi="Verdana" w:cs="Times New Roman"/>
          <w:sz w:val="20"/>
          <w:szCs w:val="20"/>
          <w:lang w:eastAsia="es-CO"/>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61E9E7DB" w14:textId="77777777" w:rsidR="0096798D" w:rsidRPr="00010947" w:rsidRDefault="0096798D" w:rsidP="0096798D">
      <w:pPr>
        <w:shd w:val="clear" w:color="auto" w:fill="FFFFFF"/>
        <w:spacing w:before="100" w:beforeAutospacing="1" w:after="100" w:afterAutospacing="1" w:line="240" w:lineRule="auto"/>
        <w:ind w:left="851" w:right="758"/>
        <w:jc w:val="both"/>
        <w:rPr>
          <w:rFonts w:ascii="Verdana" w:eastAsia="Times New Roman" w:hAnsi="Verdana" w:cs="Times New Roman"/>
          <w:sz w:val="20"/>
          <w:szCs w:val="20"/>
          <w:lang w:eastAsia="es-CO"/>
        </w:rPr>
      </w:pPr>
      <w:r w:rsidRPr="00010947">
        <w:rPr>
          <w:rFonts w:ascii="Verdana" w:eastAsia="Times New Roman" w:hAnsi="Verdana" w:cs="Times New Roman"/>
          <w:sz w:val="20"/>
          <w:szCs w:val="20"/>
          <w:lang w:eastAsia="es-CO"/>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6570AC33" w14:textId="77777777" w:rsidR="0096798D" w:rsidRPr="00010947" w:rsidRDefault="0096798D" w:rsidP="0096798D">
      <w:pPr>
        <w:shd w:val="clear" w:color="auto" w:fill="FFFFFF"/>
        <w:spacing w:before="100" w:beforeAutospacing="1" w:after="100" w:afterAutospacing="1" w:line="240" w:lineRule="auto"/>
        <w:ind w:left="851" w:right="758"/>
        <w:jc w:val="both"/>
        <w:rPr>
          <w:rFonts w:ascii="Verdana" w:eastAsia="Times New Roman" w:hAnsi="Verdana" w:cs="Times New Roman"/>
          <w:sz w:val="20"/>
          <w:szCs w:val="20"/>
          <w:lang w:eastAsia="es-CO"/>
        </w:rPr>
      </w:pPr>
      <w:r w:rsidRPr="00010947">
        <w:rPr>
          <w:rFonts w:ascii="Verdana" w:eastAsia="Times New Roman" w:hAnsi="Verdana" w:cs="Times New Roman"/>
          <w:sz w:val="20"/>
          <w:szCs w:val="20"/>
          <w:lang w:eastAsia="es-CO"/>
        </w:rPr>
        <w:lastRenderedPageBreak/>
        <w:t>La Entidad Estatal, para la contratación de trabajos artísticos que solamente puedan encomendarse a determinadas personas naturales, debe justificar esta situación en los estudios y documentos previos.</w:t>
      </w:r>
    </w:p>
    <w:p w14:paraId="2E8B1318" w14:textId="77777777" w:rsidR="0096798D" w:rsidRPr="00BE021E" w:rsidRDefault="0096798D" w:rsidP="0096798D">
      <w:pPr>
        <w:spacing w:after="120" w:line="276" w:lineRule="auto"/>
        <w:ind w:right="51" w:firstLine="709"/>
        <w:jc w:val="both"/>
        <w:rPr>
          <w:rFonts w:ascii="Verdana" w:eastAsia="Calibri" w:hAnsi="Verdana" w:cs="Arial"/>
          <w:sz w:val="21"/>
          <w:szCs w:val="21"/>
        </w:rPr>
      </w:pPr>
      <w:r w:rsidRPr="00BE021E">
        <w:rPr>
          <w:rFonts w:ascii="Verdana" w:eastAsia="Calibri" w:hAnsi="Verdana" w:cs="Arial"/>
          <w:sz w:val="21"/>
          <w:szCs w:val="21"/>
        </w:rPr>
        <w:t xml:space="preserve">Se resalta que </w:t>
      </w:r>
      <w:r w:rsidRPr="00BE021E">
        <w:rPr>
          <w:rFonts w:ascii="Verdana" w:hAnsi="Verdana" w:cs="Arial"/>
        </w:rPr>
        <w:t xml:space="preserve">cada entidad estatal tiene la facultad de definir los requisitos habilitantes para la contratación en los documentos previos de acuerdo con las características y la naturaleza del contrato, atendiendo siempre a los principios de planeación, transparencia y selección objetiva. En virtud de los cuales, la Entidad estatal al definir la necesidad a satisfacer con la contratación de prestación de servicios profesionales, debe establecer el objeto contractual, las obligaciones que lo desarrollan y el perfil requerido para dar cumplimiento a los mismos. </w:t>
      </w:r>
    </w:p>
    <w:p w14:paraId="28684F25" w14:textId="77777777" w:rsidR="0096798D" w:rsidRPr="00D42531" w:rsidRDefault="0096798D" w:rsidP="0096798D">
      <w:pPr>
        <w:spacing w:after="0" w:line="276" w:lineRule="auto"/>
        <w:jc w:val="both"/>
        <w:rPr>
          <w:rFonts w:ascii="Verdana" w:eastAsia="Calibri" w:hAnsi="Verdana" w:cs="Arial"/>
          <w:color w:val="7030A0"/>
          <w:lang w:val="es-ES"/>
        </w:rPr>
      </w:pPr>
      <w:r w:rsidRPr="00BE021E">
        <w:rPr>
          <w:rFonts w:ascii="Verdana" w:hAnsi="Verdana" w:cs="Arial"/>
        </w:rPr>
        <w:tab/>
        <w:t xml:space="preserve">Una vez establecidos los requisitos habilitantes y las demás características de la contratación en los documentos previos, a cada entidad estatal le corresponde </w:t>
      </w:r>
      <w:r w:rsidRPr="00BE021E">
        <w:rPr>
          <w:rFonts w:ascii="Verdana" w:hAnsi="Verdana" w:cs="Arial"/>
          <w:lang w:val="es-ES"/>
        </w:rPr>
        <w:t>verificar la idoneidad de las personas que pretendan celebrar contratos de prestación de servicios profesionales, de acuerdo con las características, el alcance del objeto del contrato y el perfil establecido.</w:t>
      </w:r>
    </w:p>
    <w:p w14:paraId="44B10699" w14:textId="77777777" w:rsidR="0096798D" w:rsidRDefault="0096798D" w:rsidP="0096798D">
      <w:pPr>
        <w:spacing w:after="120" w:line="276" w:lineRule="auto"/>
        <w:ind w:firstLine="709"/>
        <w:jc w:val="both"/>
        <w:rPr>
          <w:rFonts w:ascii="Verdana" w:eastAsia="Calibri" w:hAnsi="Verdana" w:cs="Arial"/>
          <w:color w:val="000000"/>
          <w:lang w:val="es-ES_tradnl" w:eastAsia="es-ES_tradnl"/>
        </w:rPr>
      </w:pPr>
      <w:r w:rsidRPr="000F5D0F">
        <w:rPr>
          <w:rFonts w:ascii="Verdana" w:eastAsia="Calibri" w:hAnsi="Verdana" w:cs="Arial"/>
          <w:color w:val="000000"/>
          <w:lang w:val="es-ES_tradnl" w:eastAsia="es-ES_tradnl"/>
        </w:rPr>
        <w:t>A</w:t>
      </w:r>
      <w:r>
        <w:rPr>
          <w:rFonts w:ascii="Verdana" w:eastAsia="Calibri" w:hAnsi="Verdana" w:cs="Arial"/>
          <w:color w:val="000000"/>
          <w:lang w:val="es-ES_tradnl" w:eastAsia="es-ES_tradnl"/>
        </w:rPr>
        <w:t>sí, a</w:t>
      </w:r>
      <w:r w:rsidRPr="000F5D0F">
        <w:rPr>
          <w:rFonts w:ascii="Verdana" w:eastAsia="Calibri" w:hAnsi="Verdana" w:cs="Arial"/>
          <w:color w:val="000000"/>
          <w:lang w:val="es-ES_tradnl" w:eastAsia="es-ES_tradnl"/>
        </w:rPr>
        <w:t xml:space="preserve"> partir de estos enunciados normativos, entre otros, de carácter legal y reglamentario, que complementan su regulación, </w:t>
      </w:r>
      <w:r>
        <w:rPr>
          <w:rFonts w:ascii="Verdana" w:eastAsia="Calibri" w:hAnsi="Verdana" w:cs="Arial"/>
          <w:color w:val="000000"/>
          <w:lang w:val="es-ES_tradnl" w:eastAsia="es-ES_tradnl"/>
        </w:rPr>
        <w:t>así como de pronunciamientos jurisprudenciales</w:t>
      </w:r>
      <w:r>
        <w:rPr>
          <w:rStyle w:val="Refdenotaalpie"/>
          <w:rFonts w:ascii="Verdana" w:eastAsia="Calibri" w:hAnsi="Verdana" w:cs="Arial"/>
          <w:color w:val="000000"/>
          <w:lang w:val="es-ES_tradnl" w:eastAsia="es-ES_tradnl"/>
        </w:rPr>
        <w:footnoteReference w:id="3"/>
      </w:r>
      <w:r w:rsidRPr="000F5D0F">
        <w:rPr>
          <w:rFonts w:ascii="Verdana" w:eastAsia="Calibri" w:hAnsi="Verdana" w:cs="Arial"/>
          <w:color w:val="000000"/>
          <w:lang w:val="es-ES_tradnl" w:eastAsia="es-ES_tradnl"/>
        </w:rPr>
        <w:t>, es posible señalar las siguientes características del contrato de prestación de servicios:</w:t>
      </w:r>
    </w:p>
    <w:p w14:paraId="5656F259" w14:textId="77777777" w:rsidR="0096798D" w:rsidRDefault="0096798D" w:rsidP="0096798D">
      <w:pPr>
        <w:pStyle w:val="Prrafodelista"/>
        <w:numPr>
          <w:ilvl w:val="0"/>
          <w:numId w:val="17"/>
        </w:numPr>
        <w:spacing w:after="0"/>
        <w:ind w:left="0" w:firstLine="709"/>
        <w:jc w:val="both"/>
        <w:rPr>
          <w:rFonts w:ascii="Verdana" w:eastAsia="Calibri" w:hAnsi="Verdana" w:cs="Arial"/>
        </w:rPr>
      </w:pPr>
      <w:r w:rsidRPr="00C7507B">
        <w:rPr>
          <w:rFonts w:ascii="Verdana" w:eastAsia="Calibri" w:hAnsi="Verdana" w:cs="Arial"/>
        </w:rPr>
        <w:t>Solo puede celebrarse para realizar “actividades relacionadas con la administración o funcionamiento de la entidad”, es decir, que hagan parte de su giro ordinario o quehacer cotidiano</w:t>
      </w:r>
      <w:r w:rsidRPr="00C7507B">
        <w:rPr>
          <w:rStyle w:val="Refdenotaalpie"/>
          <w:rFonts w:ascii="Verdana" w:eastAsia="Calibri" w:hAnsi="Verdana" w:cs="Arial"/>
        </w:rPr>
        <w:footnoteReference w:id="4"/>
      </w:r>
      <w:r w:rsidRPr="00C7507B">
        <w:rPr>
          <w:rFonts w:ascii="Verdana" w:eastAsia="Calibri" w:hAnsi="Verdana" w:cs="Arial"/>
        </w:rPr>
        <w:t xml:space="preserve">; </w:t>
      </w:r>
    </w:p>
    <w:p w14:paraId="609C2735" w14:textId="77777777" w:rsidR="0096798D" w:rsidRPr="00C7507B" w:rsidRDefault="0096798D" w:rsidP="0096798D">
      <w:pPr>
        <w:pStyle w:val="Prrafodelista"/>
        <w:numPr>
          <w:ilvl w:val="0"/>
          <w:numId w:val="17"/>
        </w:numPr>
        <w:spacing w:after="0"/>
        <w:ind w:left="0" w:firstLine="720"/>
        <w:jc w:val="both"/>
        <w:rPr>
          <w:rFonts w:ascii="Verdana" w:eastAsia="Calibri" w:hAnsi="Verdana" w:cs="Arial"/>
        </w:rPr>
      </w:pPr>
      <w:r w:rsidRPr="00C7507B">
        <w:rPr>
          <w:rFonts w:ascii="Verdana" w:eastAsia="Calibri" w:hAnsi="Verdana" w:cs="Arial"/>
        </w:rPr>
        <w:t xml:space="preserve">Respecto del tipo de personas que pueden ser contratadas, admite que se suscriba con personas naturales o jurídicas. Sin embargo, cuando se celebre con personas naturales la Entidad Estatal debe justificar, en los estudios previos, que las actividades “no puedan realizarse con personal de planta o requieran conocimientos especializados”; </w:t>
      </w:r>
    </w:p>
    <w:p w14:paraId="61990527" w14:textId="77777777" w:rsidR="0096798D" w:rsidRPr="00870929" w:rsidRDefault="0096798D" w:rsidP="0096798D">
      <w:pPr>
        <w:pStyle w:val="Prrafodelista"/>
        <w:numPr>
          <w:ilvl w:val="0"/>
          <w:numId w:val="17"/>
        </w:numPr>
        <w:spacing w:after="120" w:line="276" w:lineRule="auto"/>
        <w:ind w:left="0" w:firstLine="709"/>
        <w:jc w:val="both"/>
        <w:rPr>
          <w:rFonts w:ascii="Verdana" w:hAnsi="Verdana" w:cs="Arial"/>
          <w:noProof/>
          <w:lang w:val="es-ES_tradnl"/>
        </w:rPr>
      </w:pPr>
      <w:r w:rsidRPr="00870929">
        <w:rPr>
          <w:rFonts w:ascii="Verdana" w:hAnsi="Verdana" w:cs="Arial"/>
          <w:noProof/>
          <w:lang w:val="es-ES_tradnl"/>
        </w:rPr>
        <w:t xml:space="preserve">Si bien se celebran para obtener la prestación personal de un servicio, se diferencian del contrato de trabajo en que quien celebra el contrato de prestación de servicios debe mantener autonomía e independencia en la </w:t>
      </w:r>
      <w:r w:rsidRPr="00870929">
        <w:rPr>
          <w:rFonts w:ascii="Verdana" w:hAnsi="Verdana" w:cs="Arial"/>
          <w:noProof/>
          <w:lang w:val="es-ES_tradnl"/>
        </w:rPr>
        <w:lastRenderedPageBreak/>
        <w:t xml:space="preserve">ejecución de la labor, lo que significa que no debe existir </w:t>
      </w:r>
      <w:r w:rsidRPr="00870929">
        <w:rPr>
          <w:rFonts w:ascii="Verdana" w:hAnsi="Verdana" w:cs="Arial"/>
          <w:i/>
          <w:noProof/>
          <w:lang w:val="es-ES_tradnl"/>
        </w:rPr>
        <w:t xml:space="preserve">subordinación </w:t>
      </w:r>
      <w:r w:rsidRPr="00870929">
        <w:rPr>
          <w:rFonts w:ascii="Verdana" w:hAnsi="Verdana" w:cs="Arial"/>
          <w:iCs/>
          <w:noProof/>
          <w:lang w:val="es-ES_tradnl"/>
        </w:rPr>
        <w:t>ni</w:t>
      </w:r>
      <w:r w:rsidRPr="00870929">
        <w:rPr>
          <w:rFonts w:ascii="Verdana" w:hAnsi="Verdana" w:cs="Arial"/>
          <w:i/>
          <w:noProof/>
          <w:lang w:val="es-ES_tradnl"/>
        </w:rPr>
        <w:t xml:space="preserve"> dependencia</w:t>
      </w:r>
      <w:r w:rsidRPr="00870929">
        <w:rPr>
          <w:rFonts w:ascii="Verdana" w:hAnsi="Verdana" w:cs="Arial"/>
          <w:iCs/>
          <w:noProof/>
          <w:lang w:val="es-ES_tradnl"/>
        </w:rPr>
        <w:t>,</w:t>
      </w:r>
      <w:r w:rsidRPr="00870929">
        <w:rPr>
          <w:rFonts w:ascii="Verdana" w:hAnsi="Verdana" w:cs="Arial"/>
          <w:noProof/>
          <w:lang w:val="es-ES_tradnl"/>
        </w:rPr>
        <w:t xml:space="preserve"> que es uno de los elementos constitutivos del vínculo laboral</w:t>
      </w:r>
      <w:r w:rsidRPr="000F5D0F">
        <w:rPr>
          <w:noProof/>
          <w:vertAlign w:val="superscript"/>
          <w:lang w:val="es-ES_tradnl"/>
        </w:rPr>
        <w:footnoteReference w:id="5"/>
      </w:r>
      <w:r w:rsidRPr="00870929">
        <w:rPr>
          <w:rFonts w:ascii="Verdana" w:hAnsi="Verdana" w:cs="Arial"/>
          <w:noProof/>
          <w:lang w:val="es-ES_tradnl"/>
        </w:rPr>
        <w:t xml:space="preserve">. </w:t>
      </w:r>
    </w:p>
    <w:p w14:paraId="46678E65" w14:textId="77777777" w:rsidR="0096798D" w:rsidRPr="005616DA" w:rsidRDefault="0096798D" w:rsidP="0096798D">
      <w:pPr>
        <w:spacing w:after="120" w:line="276" w:lineRule="auto"/>
        <w:jc w:val="both"/>
        <w:rPr>
          <w:rFonts w:ascii="Verdana" w:hAnsi="Verdana" w:cs="Arial"/>
          <w:noProof/>
          <w:lang w:val="es-ES_tradnl"/>
        </w:rPr>
      </w:pPr>
      <w:r w:rsidRPr="00870929">
        <w:rPr>
          <w:rFonts w:ascii="Verdana" w:hAnsi="Verdana" w:cs="Arial"/>
          <w:noProof/>
          <w:lang w:val="es-ES_tradnl"/>
        </w:rPr>
        <w:t xml:space="preserve">Por lo anterior, el artículo 32, numeral 3º, de la Ley 80 de 1993 establece que “En ningún caso estos contratos generan relación laboral ni prestaciones sociales”. Este inciso, más que un enunciado que aluda al “ser”, se refiere al “deber ser”, pues debe interpretarse en el sentido de que los contratos de prestación de servicios profesionales </w:t>
      </w:r>
      <w:r w:rsidRPr="00870929">
        <w:rPr>
          <w:rFonts w:ascii="Verdana" w:hAnsi="Verdana" w:cs="Arial"/>
          <w:i/>
          <w:noProof/>
          <w:lang w:val="es-ES_tradnl"/>
        </w:rPr>
        <w:t>no pueden</w:t>
      </w:r>
      <w:r w:rsidRPr="00870929">
        <w:rPr>
          <w:rFonts w:ascii="Verdana" w:hAnsi="Verdana" w:cs="Arial"/>
          <w:noProof/>
          <w:lang w:val="es-ES_tradnl"/>
        </w:rPr>
        <w:t xml:space="preserve"> generar relación laboral, ni dar lugar a que las Entidades Estatales paguen por su cuenta los aportes al Sistema de Seguridad Social Integral del contratista. Tal como se indicó, no puede existir subordinación y dependencia; entonces, la relación laboral está proscrita y el contratista es quien, como “trabajador independiente” –como lo califican las normas de la seguridad social– debe cotizar por su cuenta y riesgo al Sistema de Seguridad Social Integral</w:t>
      </w:r>
      <w:r w:rsidRPr="000F5D0F">
        <w:rPr>
          <w:noProof/>
          <w:vertAlign w:val="superscript"/>
          <w:lang w:val="es-ES_tradnl"/>
        </w:rPr>
        <w:footnoteReference w:id="6"/>
      </w:r>
      <w:r w:rsidRPr="00870929">
        <w:rPr>
          <w:rFonts w:ascii="Verdana" w:hAnsi="Verdana" w:cs="Arial"/>
          <w:noProof/>
          <w:lang w:val="es-ES_tradnl"/>
        </w:rPr>
        <w:t xml:space="preserve">. </w:t>
      </w:r>
    </w:p>
    <w:p w14:paraId="0DCEA1BF" w14:textId="77777777" w:rsidR="0096798D" w:rsidRPr="00870929" w:rsidRDefault="0096798D" w:rsidP="0096798D">
      <w:pPr>
        <w:pStyle w:val="Prrafodelista"/>
        <w:numPr>
          <w:ilvl w:val="0"/>
          <w:numId w:val="17"/>
        </w:numPr>
        <w:spacing w:after="120" w:line="276" w:lineRule="auto"/>
        <w:ind w:left="0" w:firstLine="720"/>
        <w:jc w:val="both"/>
        <w:rPr>
          <w:rFonts w:ascii="Verdana" w:eastAsia="Calibri" w:hAnsi="Verdana" w:cs="Arial"/>
          <w:color w:val="000000"/>
          <w:lang w:val="es-ES_tradnl" w:eastAsia="es-ES_tradnl"/>
        </w:rPr>
      </w:pPr>
      <w:r w:rsidRPr="00870929">
        <w:rPr>
          <w:rFonts w:ascii="Verdana" w:hAnsi="Verdana" w:cs="Arial"/>
          <w:noProof/>
          <w:lang w:val="es-ES_tradnl"/>
        </w:rPr>
        <w:t xml:space="preserve">Deben ser temporales. La </w:t>
      </w:r>
      <w:r w:rsidRPr="00870929">
        <w:rPr>
          <w:rFonts w:ascii="Verdana" w:eastAsia="Arial" w:hAnsi="Verdana" w:cs="Arial"/>
          <w:color w:val="000000"/>
        </w:rPr>
        <w:t>Sentencia de Unificación Jurisprudencial de 09 de septiembre de 2021, proferida por el Consejo de Estado</w:t>
      </w:r>
      <w:r w:rsidRPr="000F5D0F">
        <w:rPr>
          <w:bCs/>
          <w:vertAlign w:val="superscript"/>
        </w:rPr>
        <w:footnoteReference w:id="7"/>
      </w:r>
      <w:r w:rsidRPr="00870929">
        <w:rPr>
          <w:rFonts w:ascii="Verdana" w:hAnsi="Verdana" w:cs="Arial"/>
          <w:noProof/>
          <w:lang w:val="es-ES_tradnl"/>
        </w:rPr>
        <w:t xml:space="preserve">, frente a la duración del contrato de prestación de servicios señaló que, solo puede celebrarse por un “término estrictamente indispensable”. En ese entendido, la citada sentencia unificó el sentido y alcance del término estrictamente indispensable como “aquel que aparece expresamente estipulado en la minuta del contrato de prestación de servicios, que de acuerdo con los razonamientos </w:t>
      </w:r>
      <w:r w:rsidRPr="00870929">
        <w:rPr>
          <w:rFonts w:ascii="Verdana" w:hAnsi="Verdana" w:cs="Arial"/>
          <w:noProof/>
          <w:lang w:val="es-ES_tradnl"/>
        </w:rPr>
        <w:lastRenderedPageBreak/>
        <w:t>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p>
    <w:p w14:paraId="4B1FC2D3" w14:textId="77777777" w:rsidR="0096798D" w:rsidRPr="00097DBE" w:rsidRDefault="0096798D" w:rsidP="0096798D">
      <w:pPr>
        <w:pStyle w:val="Prrafodelista"/>
        <w:numPr>
          <w:ilvl w:val="0"/>
          <w:numId w:val="17"/>
        </w:numPr>
        <w:spacing w:after="120" w:line="276" w:lineRule="auto"/>
        <w:ind w:left="0" w:firstLine="720"/>
        <w:jc w:val="both"/>
        <w:rPr>
          <w:rFonts w:ascii="Verdana" w:eastAsia="Calibri" w:hAnsi="Verdana" w:cs="Arial"/>
          <w:lang w:eastAsia="es-ES"/>
        </w:rPr>
      </w:pPr>
      <w:r w:rsidRPr="09A8E430">
        <w:rPr>
          <w:rFonts w:ascii="Verdana" w:eastAsia="Calibri" w:hAnsi="Verdana" w:cs="Arial"/>
          <w:color w:val="000000"/>
          <w:lang w:eastAsia="es-ES"/>
        </w:rPr>
        <w:t xml:space="preserve">Los contratos de prestación de servicios constituyen un </w:t>
      </w:r>
      <w:r w:rsidRPr="09A8E430">
        <w:rPr>
          <w:rFonts w:ascii="Verdana" w:eastAsia="Calibri" w:hAnsi="Verdana" w:cs="Arial"/>
          <w:i/>
          <w:color w:val="000000"/>
          <w:lang w:eastAsia="es-ES"/>
        </w:rPr>
        <w:t>género</w:t>
      </w:r>
      <w:r w:rsidRPr="09A8E430">
        <w:rPr>
          <w:rFonts w:ascii="Verdana" w:eastAsia="Calibri" w:hAnsi="Verdana" w:cs="Arial"/>
          <w:color w:val="000000"/>
          <w:lang w:eastAsia="es-ES"/>
        </w:rPr>
        <w:t xml:space="preserve"> que incluye, como </w:t>
      </w:r>
      <w:r w:rsidRPr="09A8E430">
        <w:rPr>
          <w:rFonts w:ascii="Verdana" w:eastAsia="Calibri" w:hAnsi="Verdana" w:cs="Arial"/>
          <w:i/>
          <w:color w:val="000000"/>
          <w:lang w:eastAsia="es-ES"/>
        </w:rPr>
        <w:t>especies</w:t>
      </w:r>
      <w:r w:rsidRPr="09A8E430">
        <w:rPr>
          <w:rFonts w:ascii="Verdana" w:eastAsia="Calibri" w:hAnsi="Verdana" w:cs="Arial"/>
          <w:color w:val="000000"/>
          <w:lang w:eastAsia="es-ES"/>
        </w:rPr>
        <w:t>, los contratos de prestación de servicios profesionales, los contratos de prestación de servicios de apoyo a la gestión y los contratos de prestación de servicios artísticos que solo pueden encomendarse a determinadas personas naturales</w:t>
      </w:r>
      <w:r w:rsidRPr="09A8E430">
        <w:rPr>
          <w:vertAlign w:val="superscript"/>
          <w:lang w:eastAsia="es-ES"/>
        </w:rPr>
        <w:footnoteReference w:id="8"/>
      </w:r>
      <w:r w:rsidRPr="09A8E430">
        <w:rPr>
          <w:rFonts w:ascii="Verdana" w:eastAsia="Calibri" w:hAnsi="Verdana" w:cs="Arial"/>
          <w:color w:val="000000"/>
          <w:lang w:eastAsia="es-ES"/>
        </w:rPr>
        <w:t xml:space="preserve">. La diferencia entre el contrato de prestación de servicios </w:t>
      </w:r>
      <w:r w:rsidRPr="09A8E430">
        <w:rPr>
          <w:rFonts w:ascii="Verdana" w:eastAsia="Calibri" w:hAnsi="Verdana" w:cs="Arial"/>
          <w:i/>
          <w:color w:val="000000"/>
          <w:lang w:eastAsia="es-ES"/>
        </w:rPr>
        <w:t>profesionales</w:t>
      </w:r>
      <w:r w:rsidRPr="09A8E430">
        <w:rPr>
          <w:rFonts w:ascii="Verdana" w:eastAsia="Calibri" w:hAnsi="Verdana" w:cs="Arial"/>
          <w:color w:val="000000"/>
          <w:lang w:eastAsia="es-ES"/>
        </w:rPr>
        <w:t xml:space="preserve"> con las otras dos especies del género en el cual se ubican radica en su contenido intelectual intangible y, al mismo tiempo, en la formación </w:t>
      </w:r>
      <w:r w:rsidRPr="09A8E430">
        <w:rPr>
          <w:rFonts w:ascii="Verdana" w:eastAsia="Calibri" w:hAnsi="Verdana" w:cs="Arial"/>
          <w:lang w:eastAsia="es-ES"/>
        </w:rPr>
        <w:t>profesional que se exige para desempeñar la labor</w:t>
      </w:r>
      <w:r w:rsidRPr="09A8E430">
        <w:rPr>
          <w:vertAlign w:val="superscript"/>
          <w:lang w:eastAsia="es-ES"/>
        </w:rPr>
        <w:footnoteReference w:id="9"/>
      </w:r>
      <w:r w:rsidRPr="09A8E430">
        <w:rPr>
          <w:rFonts w:ascii="Verdana" w:eastAsia="Calibri" w:hAnsi="Verdana" w:cs="Arial"/>
          <w:lang w:eastAsia="es-ES"/>
        </w:rPr>
        <w:t>.</w:t>
      </w:r>
    </w:p>
    <w:p w14:paraId="1C81F976" w14:textId="77777777" w:rsidR="0096798D" w:rsidRPr="008D2F8A" w:rsidRDefault="0096798D" w:rsidP="0096798D">
      <w:pPr>
        <w:pStyle w:val="Prrafodelista"/>
        <w:widowControl w:val="0"/>
        <w:numPr>
          <w:ilvl w:val="0"/>
          <w:numId w:val="17"/>
        </w:numPr>
        <w:autoSpaceDE w:val="0"/>
        <w:autoSpaceDN w:val="0"/>
        <w:spacing w:after="0" w:line="276" w:lineRule="auto"/>
        <w:ind w:left="0" w:firstLine="720"/>
        <w:jc w:val="both"/>
        <w:rPr>
          <w:rFonts w:ascii="Verdana" w:eastAsia="Calibri" w:hAnsi="Verdana" w:cs="Arial"/>
          <w:color w:val="7030A0"/>
        </w:rPr>
      </w:pPr>
      <w:r w:rsidRPr="00097DBE">
        <w:rPr>
          <w:rFonts w:ascii="Verdana" w:hAnsi="Verdana" w:cs="Arial"/>
          <w:noProof/>
          <w:lang w:val="es-ES_tradnl"/>
        </w:rPr>
        <w:t xml:space="preserve">Se celebran a través de la modalidad de contratación directa, independientemente de la cuantía y del tipo de servicio profesional, siempre que su objeto no sea la consultoría. Esto por cuanto, como lo indicó </w:t>
      </w:r>
      <w:r w:rsidRPr="00097DBE">
        <w:rPr>
          <w:rFonts w:ascii="Verdana" w:eastAsia="Arial" w:hAnsi="Verdana" w:cs="Arial"/>
        </w:rPr>
        <w:t>Sentencia de Unificación Jurisprudencial de 09 de septiembre de 2021, proferida por el Consejo de Estado</w:t>
      </w:r>
      <w:r w:rsidRPr="00097DBE">
        <w:rPr>
          <w:bCs/>
          <w:vertAlign w:val="superscript"/>
        </w:rPr>
        <w:footnoteReference w:id="10"/>
      </w:r>
      <w:r w:rsidRPr="00097DBE">
        <w:rPr>
          <w:rFonts w:ascii="Verdana" w:hAnsi="Verdana" w:cs="Arial"/>
          <w:noProof/>
          <w:lang w:val="es-ES_tradnl"/>
        </w:rPr>
        <w:t xml:space="preserve">, si bien en ambos existe un componente intelectual y profesional, el objeto del contrato de consultoría es especial y debe celebrarse, por regla general, mediante </w:t>
      </w:r>
      <w:r w:rsidRPr="00870929">
        <w:rPr>
          <w:rFonts w:ascii="Verdana" w:hAnsi="Verdana" w:cs="Arial"/>
          <w:noProof/>
          <w:lang w:val="es-ES_tradnl"/>
        </w:rPr>
        <w:t>un concurso de méritos</w:t>
      </w:r>
      <w:r w:rsidRPr="000F5D0F">
        <w:rPr>
          <w:noProof/>
          <w:vertAlign w:val="superscript"/>
          <w:lang w:val="es-ES_tradnl"/>
        </w:rPr>
        <w:footnoteReference w:id="11"/>
      </w:r>
      <w:r w:rsidRPr="00870929">
        <w:rPr>
          <w:rFonts w:ascii="Verdana" w:hAnsi="Verdana" w:cs="Arial"/>
          <w:noProof/>
          <w:lang w:val="es-ES_tradnl"/>
        </w:rPr>
        <w:t xml:space="preserve">. Esto también se deriva </w:t>
      </w:r>
      <w:r w:rsidRPr="00870929">
        <w:rPr>
          <w:rFonts w:ascii="Verdana" w:hAnsi="Verdana" w:cs="Arial"/>
          <w:noProof/>
          <w:lang w:val="es-ES_tradnl"/>
        </w:rPr>
        <w:lastRenderedPageBreak/>
        <w:t>d</w:t>
      </w:r>
      <w:r w:rsidRPr="00870929">
        <w:rPr>
          <w:rFonts w:ascii="Verdana" w:eastAsia="Calibri" w:hAnsi="Verdana" w:cs="Arial"/>
          <w:color w:val="000000" w:themeColor="text1"/>
          <w:lang w:val="es-ES_tradnl"/>
        </w:rPr>
        <w:t>el artículo 2, numeral 4º, literal h) de la Ley 1150 de 2007, al señalar que procede la contratación directa para la prestación de servicios profesionales y de apoyo a la gestión o para la ejecución de trabajos artísticos que solo pueden encomendarse a determinadas personas.</w:t>
      </w:r>
    </w:p>
    <w:p w14:paraId="414BF16B" w14:textId="77777777" w:rsidR="0096798D" w:rsidRPr="008D2F8A" w:rsidRDefault="0096798D" w:rsidP="0096798D">
      <w:pPr>
        <w:pStyle w:val="Prrafodelista"/>
        <w:numPr>
          <w:ilvl w:val="0"/>
          <w:numId w:val="17"/>
        </w:numPr>
        <w:spacing w:after="120" w:line="276" w:lineRule="auto"/>
        <w:ind w:left="0" w:firstLine="720"/>
        <w:jc w:val="both"/>
        <w:rPr>
          <w:rFonts w:ascii="Verdana" w:hAnsi="Verdana" w:cs="Arial"/>
          <w:noProof/>
          <w:lang w:val="es-ES_tradnl"/>
        </w:rPr>
      </w:pPr>
      <w:r w:rsidRPr="008D2F8A">
        <w:rPr>
          <w:rFonts w:ascii="Verdana" w:hAnsi="Verdana" w:cs="Arial"/>
          <w:noProof/>
          <w:lang w:val="es-ES_tradnl"/>
        </w:rPr>
        <w:t>Para su celebración no se requiere expedir un acto administrativo de justificación de la contratación directa</w:t>
      </w:r>
      <w:r w:rsidRPr="000F5D0F">
        <w:rPr>
          <w:noProof/>
          <w:vertAlign w:val="superscript"/>
          <w:lang w:val="es-ES_tradnl"/>
        </w:rPr>
        <w:footnoteReference w:id="12"/>
      </w:r>
      <w:r w:rsidRPr="008D2F8A">
        <w:rPr>
          <w:rFonts w:ascii="Verdana" w:hAnsi="Verdana" w:cs="Arial"/>
          <w:noProof/>
          <w:lang w:val="es-ES_tradnl"/>
        </w:rPr>
        <w:t>.</w:t>
      </w:r>
    </w:p>
    <w:p w14:paraId="19796FA3" w14:textId="77777777" w:rsidR="0096798D" w:rsidRPr="008D2F8A" w:rsidRDefault="0096798D" w:rsidP="0096798D">
      <w:pPr>
        <w:pStyle w:val="Prrafodelista"/>
        <w:numPr>
          <w:ilvl w:val="0"/>
          <w:numId w:val="17"/>
        </w:numPr>
        <w:spacing w:after="120" w:line="276" w:lineRule="auto"/>
        <w:ind w:left="0" w:firstLine="698"/>
        <w:jc w:val="both"/>
        <w:rPr>
          <w:rFonts w:ascii="Verdana" w:hAnsi="Verdana" w:cs="Arial"/>
          <w:noProof/>
          <w:lang w:val="es-ES_tradnl"/>
        </w:rPr>
      </w:pPr>
      <w:r w:rsidRPr="008D2F8A">
        <w:rPr>
          <w:rFonts w:ascii="Verdana" w:hAnsi="Verdana" w:cs="Arial"/>
          <w:noProof/>
          <w:lang w:val="es-ES_tradnl"/>
        </w:rPr>
        <w:t>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w:t>
      </w:r>
      <w:r w:rsidRPr="000F5D0F">
        <w:rPr>
          <w:noProof/>
          <w:vertAlign w:val="superscript"/>
          <w:lang w:val="es-ES_tradnl"/>
        </w:rPr>
        <w:footnoteReference w:id="13"/>
      </w:r>
      <w:r w:rsidRPr="008D2F8A">
        <w:rPr>
          <w:rFonts w:ascii="Verdana" w:hAnsi="Verdana" w:cs="Arial"/>
          <w:noProof/>
          <w:lang w:val="es-ES_tradnl"/>
        </w:rPr>
        <w:t>.</w:t>
      </w:r>
    </w:p>
    <w:p w14:paraId="62BC8AEB" w14:textId="77777777" w:rsidR="0096798D" w:rsidRPr="008D2F8A" w:rsidRDefault="0096798D" w:rsidP="0096798D">
      <w:pPr>
        <w:pStyle w:val="Prrafodelista"/>
        <w:numPr>
          <w:ilvl w:val="0"/>
          <w:numId w:val="17"/>
        </w:numPr>
        <w:spacing w:after="120" w:line="276" w:lineRule="auto"/>
        <w:ind w:left="0" w:firstLine="698"/>
        <w:jc w:val="both"/>
        <w:rPr>
          <w:rFonts w:ascii="Verdana" w:hAnsi="Verdana" w:cs="Arial"/>
          <w:noProof/>
          <w:lang w:val="es-ES_tradnl"/>
        </w:rPr>
      </w:pPr>
      <w:r w:rsidRPr="008D2F8A">
        <w:rPr>
          <w:rFonts w:ascii="Verdana" w:hAnsi="Verdana" w:cs="Arial"/>
          <w:noProof/>
          <w:lang w:val="es-ES_tradnl"/>
        </w:rPr>
        <w:t>No es obligatoria la liquidación de estos contratos, como lo establece el artículo 217 del Decreto 019 de 2012, que modificó el artículo 60 de la Ley 80 de 1993</w:t>
      </w:r>
      <w:r w:rsidRPr="000F5D0F">
        <w:rPr>
          <w:noProof/>
          <w:vertAlign w:val="superscript"/>
          <w:lang w:val="es-ES_tradnl"/>
        </w:rPr>
        <w:footnoteReference w:id="14"/>
      </w:r>
      <w:r w:rsidRPr="008D2F8A">
        <w:rPr>
          <w:rFonts w:ascii="Verdana" w:hAnsi="Verdana" w:cs="Arial"/>
          <w:noProof/>
          <w:lang w:val="es-ES_tradnl"/>
        </w:rPr>
        <w:t>.</w:t>
      </w:r>
    </w:p>
    <w:p w14:paraId="762A36E1" w14:textId="77777777" w:rsidR="0096798D" w:rsidRPr="008D2F8A" w:rsidRDefault="0096798D" w:rsidP="0096798D">
      <w:pPr>
        <w:pStyle w:val="Prrafodelista"/>
        <w:numPr>
          <w:ilvl w:val="0"/>
          <w:numId w:val="17"/>
        </w:numPr>
        <w:spacing w:after="120" w:line="276" w:lineRule="auto"/>
        <w:ind w:left="0" w:firstLine="720"/>
        <w:jc w:val="both"/>
        <w:rPr>
          <w:rFonts w:ascii="Verdana" w:hAnsi="Verdana" w:cs="Arial"/>
          <w:noProof/>
          <w:lang w:val="es-ES_tradnl"/>
        </w:rPr>
      </w:pPr>
      <w:r w:rsidRPr="008D2F8A">
        <w:rPr>
          <w:rFonts w:ascii="Verdana" w:hAnsi="Verdana" w:cs="Arial"/>
          <w:noProof/>
          <w:lang w:val="es-ES_tradnl"/>
        </w:rPr>
        <w:lastRenderedPageBreak/>
        <w:t>Para su celebración el contratista no requiere estar inscrito en el Registro Único de Proponentes –en adelante RUP–, como lo señala el artículo 6 de la Ley 1150 de 2007</w:t>
      </w:r>
      <w:r w:rsidRPr="000F5D0F">
        <w:rPr>
          <w:noProof/>
          <w:vertAlign w:val="superscript"/>
          <w:lang w:val="es-ES_tradnl"/>
        </w:rPr>
        <w:footnoteReference w:id="15"/>
      </w:r>
      <w:r w:rsidRPr="008D2F8A">
        <w:rPr>
          <w:rFonts w:ascii="Verdana" w:hAnsi="Verdana" w:cs="Arial"/>
          <w:noProof/>
          <w:lang w:val="es-ES_tradnl"/>
        </w:rPr>
        <w:t>.</w:t>
      </w:r>
    </w:p>
    <w:p w14:paraId="4C8849F4" w14:textId="77777777" w:rsidR="0096798D" w:rsidRPr="008D2F8A" w:rsidRDefault="0096798D" w:rsidP="0096798D">
      <w:pPr>
        <w:pStyle w:val="Prrafodelista"/>
        <w:numPr>
          <w:ilvl w:val="0"/>
          <w:numId w:val="17"/>
        </w:numPr>
        <w:spacing w:after="120" w:line="276" w:lineRule="auto"/>
        <w:jc w:val="both"/>
        <w:rPr>
          <w:rFonts w:ascii="Verdana" w:hAnsi="Verdana" w:cs="Arial"/>
          <w:noProof/>
          <w:lang w:val="es-ES_tradnl"/>
        </w:rPr>
      </w:pPr>
      <w:r w:rsidRPr="008D2F8A">
        <w:rPr>
          <w:rFonts w:ascii="Verdana" w:hAnsi="Verdana" w:cs="Arial"/>
          <w:noProof/>
          <w:lang w:val="es-ES_tradnl"/>
        </w:rPr>
        <w:t>No es obligtoria la exigencia de garantías</w:t>
      </w:r>
      <w:r w:rsidRPr="000F5D0F">
        <w:rPr>
          <w:noProof/>
          <w:vertAlign w:val="superscript"/>
          <w:lang w:val="es-ES_tradnl"/>
        </w:rPr>
        <w:footnoteReference w:id="16"/>
      </w:r>
      <w:r w:rsidRPr="008D2F8A">
        <w:rPr>
          <w:rFonts w:ascii="Verdana" w:hAnsi="Verdana" w:cs="Arial"/>
          <w:noProof/>
          <w:lang w:val="es-ES_tradnl"/>
        </w:rPr>
        <w:t>.</w:t>
      </w:r>
    </w:p>
    <w:p w14:paraId="2389E4FE" w14:textId="77777777" w:rsidR="0096798D" w:rsidRPr="008D2F8A" w:rsidRDefault="0096798D" w:rsidP="0096798D">
      <w:pPr>
        <w:pStyle w:val="Prrafodelista"/>
        <w:numPr>
          <w:ilvl w:val="0"/>
          <w:numId w:val="17"/>
        </w:numPr>
        <w:spacing w:after="120" w:line="276" w:lineRule="auto"/>
        <w:ind w:left="0" w:firstLine="709"/>
        <w:jc w:val="both"/>
        <w:rPr>
          <w:rFonts w:ascii="Verdana" w:hAnsi="Verdana" w:cs="Arial"/>
          <w:noProof/>
          <w:lang w:val="es-ES_tradnl"/>
        </w:rPr>
      </w:pPr>
      <w:r w:rsidRPr="008D2F8A">
        <w:rPr>
          <w:rFonts w:ascii="Verdana" w:hAnsi="Verdana" w:cs="Arial"/>
          <w:noProof/>
          <w:lang w:val="es-ES_tradnl"/>
        </w:rPr>
        <w:t>Como los demás contratos estatales, se trata de un contrato solemne que debe constar por escrito y debe ser publicado en el SECOP.</w:t>
      </w:r>
    </w:p>
    <w:p w14:paraId="7C22A575" w14:textId="77777777" w:rsidR="0096798D" w:rsidRDefault="0096798D" w:rsidP="0096798D">
      <w:pPr>
        <w:spacing w:after="0" w:line="276" w:lineRule="auto"/>
        <w:jc w:val="both"/>
        <w:rPr>
          <w:rFonts w:ascii="Verdana" w:eastAsia="Calibri" w:hAnsi="Verdana" w:cs="Arial"/>
          <w:color w:val="7030A0"/>
          <w:lang w:val="es-ES"/>
        </w:rPr>
      </w:pPr>
    </w:p>
    <w:p w14:paraId="58327AC1" w14:textId="77777777" w:rsidR="0096798D" w:rsidRPr="00140995" w:rsidRDefault="0096798D" w:rsidP="0096798D">
      <w:pPr>
        <w:spacing w:after="0" w:line="276" w:lineRule="auto"/>
        <w:jc w:val="both"/>
        <w:rPr>
          <w:rFonts w:ascii="Verdana" w:hAnsi="Verdana" w:cs="Arial"/>
        </w:rPr>
      </w:pPr>
      <w:r w:rsidRPr="00140995">
        <w:rPr>
          <w:rFonts w:ascii="Verdana" w:eastAsia="Calibri" w:hAnsi="Verdana" w:cs="Arial"/>
          <w:lang w:val="es-ES"/>
        </w:rPr>
        <w:t xml:space="preserve">Adicionalmente, se señala que el Decreto 1068 de 2015 incluyó dos restricciones para los contratos de prestación de servicios. La primera, la prohibición de celebrar contratos con objetos iguales a relaciones contractuales vigentes salvo autorización expresa del jefe de la entidad, dispuesta en el último aparte del artículo </w:t>
      </w:r>
      <w:bookmarkStart w:id="3" w:name="_Hlk197360258"/>
      <w:r w:rsidRPr="00140995">
        <w:rPr>
          <w:rFonts w:ascii="Verdana" w:eastAsia="Calibri" w:hAnsi="Verdana" w:cs="Arial"/>
          <w:lang w:val="es-ES"/>
        </w:rPr>
        <w:t xml:space="preserve">2.8.4.4.5. </w:t>
      </w:r>
      <w:bookmarkEnd w:id="3"/>
      <w:r w:rsidRPr="00140995">
        <w:rPr>
          <w:rFonts w:ascii="Verdana" w:eastAsia="Calibri" w:hAnsi="Verdana" w:cs="Arial"/>
          <w:lang w:val="es-ES"/>
        </w:rPr>
        <w:t xml:space="preserve">según el cual </w:t>
      </w:r>
      <w:r w:rsidRPr="00140995">
        <w:rPr>
          <w:rFonts w:ascii="Verdana" w:eastAsia="Calibri" w:hAnsi="Verdana" w:cs="Arial"/>
          <w:i/>
          <w:iCs/>
          <w:lang w:val="es-ES"/>
        </w:rPr>
        <w:t>“</w:t>
      </w:r>
      <w:r w:rsidRPr="00140995">
        <w:rPr>
          <w:rFonts w:ascii="Verdana" w:hAnsi="Verdana" w:cs="Arial"/>
          <w:i/>
          <w:iCs/>
        </w:rPr>
        <w:t xml:space="preserve">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 </w:t>
      </w:r>
      <w:r w:rsidRPr="00140995">
        <w:rPr>
          <w:rFonts w:ascii="Verdana" w:hAnsi="Verdana" w:cs="Arial"/>
        </w:rPr>
        <w:t xml:space="preserve">La segunda, la prohibición de pactar la remuneración por valor mensual superior a la remuneración total mensual del jefe de la entidad, dispuesta en el artículo </w:t>
      </w:r>
      <w:bookmarkStart w:id="4" w:name="_Hlk197360264"/>
      <w:r w:rsidRPr="00140995">
        <w:rPr>
          <w:rFonts w:ascii="Verdana" w:hAnsi="Verdana" w:cs="Arial"/>
        </w:rPr>
        <w:t>2.8.4.4.6.:</w:t>
      </w:r>
      <w:bookmarkEnd w:id="4"/>
    </w:p>
    <w:p w14:paraId="239C24B1" w14:textId="77777777" w:rsidR="0096798D" w:rsidRPr="00140995" w:rsidRDefault="0096798D" w:rsidP="0096798D">
      <w:pPr>
        <w:spacing w:after="0" w:line="273" w:lineRule="atLeast"/>
        <w:ind w:left="851" w:right="616"/>
        <w:jc w:val="both"/>
        <w:rPr>
          <w:rFonts w:ascii="Verdana" w:eastAsia="Times New Roman" w:hAnsi="Verdana" w:cs="Arial"/>
          <w:color w:val="000000"/>
          <w:sz w:val="20"/>
          <w:szCs w:val="20"/>
          <w:lang w:eastAsia="es-CO"/>
        </w:rPr>
      </w:pPr>
      <w:r w:rsidRPr="00140995">
        <w:rPr>
          <w:rFonts w:ascii="Verdana" w:eastAsia="Times New Roman" w:hAnsi="Verdana" w:cs="Arial"/>
          <w:color w:val="000000"/>
          <w:sz w:val="20"/>
          <w:szCs w:val="20"/>
          <w:lang w:eastAsia="es-CO"/>
        </w:rPr>
        <w:t xml:space="preserve">Está prohibido el pacto de remuneración para pago de servicios personales calificados con personas naturales, o jurídicas, encaminados a la prestación de servicios en forma continua para atender asuntos propios </w:t>
      </w:r>
      <w:r w:rsidRPr="00140995">
        <w:rPr>
          <w:rFonts w:ascii="Verdana" w:eastAsia="Times New Roman" w:hAnsi="Verdana" w:cs="Arial"/>
          <w:color w:val="000000"/>
          <w:sz w:val="20"/>
          <w:szCs w:val="20"/>
          <w:lang w:eastAsia="es-CO"/>
        </w:rPr>
        <w:lastRenderedPageBreak/>
        <w:t>de la respectiva entidad, por valor mensual superior a la remuneración total mensual establecida para el jefe de la entidad. </w:t>
      </w:r>
    </w:p>
    <w:p w14:paraId="38386754" w14:textId="77777777" w:rsidR="0096798D" w:rsidRPr="00140995" w:rsidRDefault="0096798D" w:rsidP="0096798D">
      <w:pPr>
        <w:spacing w:after="0" w:line="273" w:lineRule="atLeast"/>
        <w:ind w:left="851" w:right="616"/>
        <w:jc w:val="both"/>
        <w:rPr>
          <w:rFonts w:ascii="Verdana" w:eastAsia="Times New Roman" w:hAnsi="Verdana" w:cs="Arial"/>
          <w:color w:val="000000"/>
          <w:sz w:val="20"/>
          <w:szCs w:val="20"/>
          <w:lang w:eastAsia="es-CO"/>
        </w:rPr>
      </w:pPr>
      <w:r w:rsidRPr="00140995">
        <w:rPr>
          <w:rFonts w:ascii="Verdana" w:eastAsia="Times New Roman" w:hAnsi="Verdana" w:cs="Arial"/>
          <w:color w:val="000000"/>
          <w:sz w:val="20"/>
          <w:szCs w:val="20"/>
          <w:lang w:eastAsia="es-CO"/>
        </w:rPr>
        <w:t>  </w:t>
      </w:r>
    </w:p>
    <w:p w14:paraId="66E0D0DD" w14:textId="77777777" w:rsidR="0096798D" w:rsidRPr="00140995" w:rsidRDefault="0096798D" w:rsidP="0096798D">
      <w:pPr>
        <w:spacing w:after="0" w:line="273" w:lineRule="atLeast"/>
        <w:ind w:left="851" w:right="616"/>
        <w:jc w:val="both"/>
        <w:rPr>
          <w:rFonts w:ascii="Verdana" w:eastAsia="Times New Roman" w:hAnsi="Verdana" w:cs="Arial"/>
          <w:color w:val="000000"/>
          <w:sz w:val="20"/>
          <w:szCs w:val="20"/>
          <w:lang w:eastAsia="es-CO"/>
        </w:rPr>
      </w:pPr>
      <w:r w:rsidRPr="00140995">
        <w:rPr>
          <w:rFonts w:ascii="Verdana" w:eastAsia="Times New Roman" w:hAnsi="Verdana" w:cs="Arial"/>
          <w:b/>
          <w:bCs/>
          <w:color w:val="000000"/>
          <w:sz w:val="20"/>
          <w:szCs w:val="20"/>
          <w:lang w:eastAsia="es-CO"/>
        </w:rPr>
        <w:t>Parágrafo 1°.</w:t>
      </w:r>
      <w:r w:rsidRPr="00140995">
        <w:rPr>
          <w:rFonts w:ascii="Verdana" w:eastAsia="Times New Roman" w:hAnsi="Verdana" w:cs="Arial"/>
          <w:color w:val="000000"/>
          <w:sz w:val="20"/>
          <w:szCs w:val="20"/>
          <w:lang w:eastAsia="es-CO"/>
        </w:rPr>
        <w:t> Se entiende por remuneración total mensual del jefe de la entidad, la que corresponda a este en cada uno de dichos períodos, sin que en ningún caso puedan tenerse en consideración los factores prestacionales. </w:t>
      </w:r>
    </w:p>
    <w:p w14:paraId="59B995D6" w14:textId="77777777" w:rsidR="0096798D" w:rsidRPr="00140995" w:rsidRDefault="0096798D" w:rsidP="0096798D">
      <w:pPr>
        <w:spacing w:after="0" w:line="273" w:lineRule="atLeast"/>
        <w:ind w:left="851" w:right="616"/>
        <w:jc w:val="both"/>
        <w:rPr>
          <w:rFonts w:ascii="Verdana" w:eastAsia="Times New Roman" w:hAnsi="Verdana" w:cs="Arial"/>
          <w:color w:val="000000"/>
          <w:sz w:val="20"/>
          <w:szCs w:val="20"/>
          <w:lang w:eastAsia="es-CO"/>
        </w:rPr>
      </w:pPr>
      <w:r w:rsidRPr="00140995">
        <w:rPr>
          <w:rFonts w:ascii="Verdana" w:eastAsia="Times New Roman" w:hAnsi="Verdana" w:cs="Arial"/>
          <w:color w:val="000000"/>
          <w:sz w:val="20"/>
          <w:szCs w:val="20"/>
          <w:lang w:eastAsia="es-CO"/>
        </w:rPr>
        <w:t>  </w:t>
      </w:r>
    </w:p>
    <w:p w14:paraId="3FB60DA1" w14:textId="77777777" w:rsidR="0096798D" w:rsidRPr="00140995" w:rsidRDefault="0096798D" w:rsidP="0096798D">
      <w:pPr>
        <w:spacing w:after="0" w:line="273" w:lineRule="atLeast"/>
        <w:ind w:left="851" w:right="616"/>
        <w:jc w:val="both"/>
        <w:rPr>
          <w:rFonts w:ascii="Verdana" w:eastAsia="Times New Roman" w:hAnsi="Verdana" w:cs="Arial"/>
          <w:color w:val="000000"/>
          <w:sz w:val="20"/>
          <w:szCs w:val="20"/>
          <w:lang w:eastAsia="es-CO"/>
        </w:rPr>
      </w:pPr>
      <w:r w:rsidRPr="00140995">
        <w:rPr>
          <w:rFonts w:ascii="Verdana" w:eastAsia="Times New Roman" w:hAnsi="Verdana" w:cs="Arial"/>
          <w:b/>
          <w:bCs/>
          <w:color w:val="000000"/>
          <w:sz w:val="20"/>
          <w:szCs w:val="20"/>
          <w:lang w:eastAsia="es-CO"/>
        </w:rPr>
        <w:t>Parágrafo 2°.</w:t>
      </w:r>
      <w:r w:rsidRPr="00140995">
        <w:rPr>
          <w:rFonts w:ascii="Verdana" w:eastAsia="Times New Roman" w:hAnsi="Verdana" w:cs="Arial"/>
          <w:color w:val="000000"/>
          <w:sz w:val="20"/>
          <w:szCs w:val="20"/>
          <w:lang w:eastAsia="es-CO"/>
        </w:rPr>
        <w:t> Los servicios a que hace referencia el presente artículo corresponden exclusivamente a aquellos comprendidos en el concepto de “remuneración servicios técnicos” desarrollado en el decreto de liquidación del presupuesto general de la Nación, con independencia del presupuesto con cargo al cual se realice su pago. </w:t>
      </w:r>
    </w:p>
    <w:p w14:paraId="4635BFFD" w14:textId="77777777" w:rsidR="0096798D" w:rsidRPr="00140995" w:rsidRDefault="0096798D" w:rsidP="0096798D">
      <w:pPr>
        <w:spacing w:after="0" w:line="273" w:lineRule="atLeast"/>
        <w:ind w:left="851" w:right="616"/>
        <w:jc w:val="both"/>
        <w:rPr>
          <w:rFonts w:ascii="Verdana" w:eastAsia="Times New Roman" w:hAnsi="Verdana" w:cs="Arial"/>
          <w:color w:val="000000"/>
          <w:sz w:val="20"/>
          <w:szCs w:val="20"/>
          <w:lang w:eastAsia="es-CO"/>
        </w:rPr>
      </w:pPr>
      <w:r w:rsidRPr="00140995">
        <w:rPr>
          <w:rFonts w:ascii="Verdana" w:eastAsia="Times New Roman" w:hAnsi="Verdana" w:cs="Arial"/>
          <w:color w:val="000000"/>
          <w:sz w:val="20"/>
          <w:szCs w:val="20"/>
          <w:lang w:eastAsia="es-CO"/>
        </w:rPr>
        <w:t>  </w:t>
      </w:r>
    </w:p>
    <w:p w14:paraId="17133956" w14:textId="77777777" w:rsidR="0096798D" w:rsidRPr="00140995" w:rsidRDefault="0096798D" w:rsidP="0096798D">
      <w:pPr>
        <w:spacing w:after="0" w:line="273" w:lineRule="atLeast"/>
        <w:ind w:left="851" w:right="616"/>
        <w:jc w:val="both"/>
        <w:rPr>
          <w:rFonts w:ascii="Verdana" w:eastAsia="Times New Roman" w:hAnsi="Verdana" w:cs="Arial"/>
          <w:color w:val="000000"/>
          <w:sz w:val="20"/>
          <w:szCs w:val="20"/>
          <w:lang w:eastAsia="es-CO"/>
        </w:rPr>
      </w:pPr>
      <w:r w:rsidRPr="00140995">
        <w:rPr>
          <w:rFonts w:ascii="Verdana" w:eastAsia="Times New Roman" w:hAnsi="Verdana" w:cs="Arial"/>
          <w:b/>
          <w:bCs/>
          <w:color w:val="000000"/>
          <w:sz w:val="20"/>
          <w:szCs w:val="20"/>
          <w:lang w:eastAsia="es-CO"/>
        </w:rPr>
        <w:t>Parágrafo 3°.</w:t>
      </w:r>
      <w:r w:rsidRPr="00140995">
        <w:rPr>
          <w:rFonts w:ascii="Verdana" w:eastAsia="Times New Roman" w:hAnsi="Verdana" w:cs="Arial"/>
          <w:color w:val="000000"/>
          <w:sz w:val="20"/>
          <w:szCs w:val="20"/>
          <w:lang w:eastAsia="es-CO"/>
        </w:rPr>
        <w:t> De manera excepcional, para aquellos eventos en los que se requiera contratar servicios altamente calificados, podrán pactarse honorarios superiores a la remuneración total mensual establecida para el jefe de la entidad, los cuales no podrán exceder del valor total mensual de remuneración del jefe de la entidad incluidos los factores prestacionales y las contribuciones inherentes a la nómina, relacionadas con seguridad social y parafiscales a cargo del empleador. En estos eventos el Representante Legal de la entidad deberá certificar el cumplimiento de los siguientes aspectos: 1. Justificar la necesidad del servicio personal altamente calificado. 2. Indicar las características y calidades específicas, altamente calificadas, que reúne el contratista para la ejecución del contrato, y 3. Determinar las características de los productos y/o servicios que se espera obtener. </w:t>
      </w:r>
    </w:p>
    <w:p w14:paraId="578B4559" w14:textId="77777777" w:rsidR="0096798D" w:rsidRPr="00140995" w:rsidRDefault="0096798D" w:rsidP="0096798D">
      <w:pPr>
        <w:spacing w:after="0" w:line="273" w:lineRule="atLeast"/>
        <w:ind w:left="851" w:right="616"/>
        <w:jc w:val="both"/>
        <w:rPr>
          <w:rFonts w:ascii="Verdana" w:eastAsia="Times New Roman" w:hAnsi="Verdana" w:cs="Arial"/>
          <w:color w:val="000000"/>
          <w:sz w:val="20"/>
          <w:szCs w:val="20"/>
          <w:lang w:eastAsia="es-CO"/>
        </w:rPr>
      </w:pPr>
      <w:r w:rsidRPr="00140995">
        <w:rPr>
          <w:rFonts w:ascii="Verdana" w:eastAsia="Times New Roman" w:hAnsi="Verdana" w:cs="Arial"/>
          <w:color w:val="000000"/>
          <w:sz w:val="20"/>
          <w:szCs w:val="20"/>
          <w:lang w:eastAsia="es-CO"/>
        </w:rPr>
        <w:t>  </w:t>
      </w:r>
    </w:p>
    <w:p w14:paraId="14F04E83" w14:textId="77777777" w:rsidR="0096798D" w:rsidRPr="00140995" w:rsidRDefault="0096798D" w:rsidP="0096798D">
      <w:pPr>
        <w:spacing w:after="0" w:line="273" w:lineRule="atLeast"/>
        <w:ind w:left="851" w:right="616"/>
        <w:jc w:val="both"/>
        <w:rPr>
          <w:rFonts w:ascii="Verdana" w:eastAsia="Times New Roman" w:hAnsi="Verdana" w:cs="Arial"/>
          <w:color w:val="000000"/>
          <w:sz w:val="20"/>
          <w:szCs w:val="20"/>
          <w:lang w:eastAsia="es-CO"/>
        </w:rPr>
      </w:pPr>
      <w:r w:rsidRPr="00140995">
        <w:rPr>
          <w:rFonts w:ascii="Verdana" w:eastAsia="Times New Roman" w:hAnsi="Verdana" w:cs="Arial"/>
          <w:b/>
          <w:bCs/>
          <w:color w:val="000000"/>
          <w:sz w:val="20"/>
          <w:szCs w:val="20"/>
          <w:lang w:eastAsia="es-CO"/>
        </w:rPr>
        <w:t>Parágrafo 4°.</w:t>
      </w:r>
      <w:r w:rsidRPr="00140995">
        <w:rPr>
          <w:rFonts w:ascii="Verdana" w:eastAsia="Times New Roman" w:hAnsi="Verdana" w:cs="Arial"/>
          <w:color w:val="000000"/>
          <w:sz w:val="20"/>
          <w:szCs w:val="20"/>
          <w:lang w:eastAsia="es-CO"/>
        </w:rPr>
        <w:t> Se entiende por servicios altamente calificados aquellos requeridos en situaciones de alto nivel de especialidad, complejidad y detalle. </w:t>
      </w:r>
    </w:p>
    <w:p w14:paraId="6200AFA2" w14:textId="77777777" w:rsidR="0096798D" w:rsidRPr="00140995" w:rsidRDefault="0096798D" w:rsidP="0096798D">
      <w:pPr>
        <w:spacing w:after="0" w:line="276" w:lineRule="auto"/>
        <w:jc w:val="both"/>
        <w:rPr>
          <w:rFonts w:ascii="Verdana" w:eastAsia="Calibri" w:hAnsi="Verdana" w:cs="Arial"/>
          <w:lang w:val="es-ES"/>
        </w:rPr>
      </w:pPr>
    </w:p>
    <w:p w14:paraId="4F5ED4F5" w14:textId="77777777" w:rsidR="0096798D" w:rsidRPr="00140995" w:rsidRDefault="0096798D" w:rsidP="0096798D">
      <w:pPr>
        <w:pStyle w:val="Prrafodelista"/>
        <w:numPr>
          <w:ilvl w:val="0"/>
          <w:numId w:val="18"/>
        </w:numPr>
        <w:spacing w:after="0" w:line="276" w:lineRule="auto"/>
        <w:jc w:val="both"/>
        <w:rPr>
          <w:rFonts w:ascii="Verdana" w:eastAsia="Calibri" w:hAnsi="Verdana" w:cs="Arial"/>
          <w:u w:val="single"/>
        </w:rPr>
      </w:pPr>
      <w:r w:rsidRPr="00140995">
        <w:rPr>
          <w:rFonts w:ascii="Verdana" w:hAnsi="Verdana"/>
          <w:u w:val="single"/>
        </w:rPr>
        <w:t>Prohibición de percibir doble asignación presupuestal y posibilidad de celebrar contratos de prestación de</w:t>
      </w:r>
      <w:r w:rsidRPr="00140995">
        <w:rPr>
          <w:rFonts w:ascii="Verdana" w:hAnsi="Verdana"/>
          <w:spacing w:val="-4"/>
          <w:u w:val="single"/>
        </w:rPr>
        <w:t xml:space="preserve"> </w:t>
      </w:r>
      <w:r w:rsidRPr="00140995">
        <w:rPr>
          <w:rFonts w:ascii="Verdana" w:hAnsi="Verdana"/>
          <w:u w:val="single"/>
        </w:rPr>
        <w:t xml:space="preserve">servicios de manera simultánea </w:t>
      </w:r>
    </w:p>
    <w:p w14:paraId="041CA58E" w14:textId="77777777" w:rsidR="0096798D" w:rsidRPr="00140995" w:rsidRDefault="0096798D" w:rsidP="0096798D">
      <w:pPr>
        <w:spacing w:after="0" w:line="276" w:lineRule="auto"/>
        <w:jc w:val="both"/>
        <w:rPr>
          <w:rFonts w:ascii="Verdana" w:eastAsia="Calibri" w:hAnsi="Verdana" w:cs="Arial"/>
          <w:lang w:val="es-ES"/>
        </w:rPr>
      </w:pPr>
    </w:p>
    <w:p w14:paraId="5A07F74D" w14:textId="77777777" w:rsidR="0096798D" w:rsidRPr="00140995" w:rsidRDefault="0096798D" w:rsidP="0096798D">
      <w:pPr>
        <w:pStyle w:val="Textoindependiente"/>
        <w:spacing w:line="276" w:lineRule="auto"/>
        <w:jc w:val="both"/>
        <w:rPr>
          <w:rFonts w:ascii="Verdana" w:hAnsi="Verdana"/>
        </w:rPr>
      </w:pPr>
      <w:r w:rsidRPr="00140995">
        <w:rPr>
          <w:rFonts w:ascii="Verdana" w:hAnsi="Verdana"/>
          <w:lang w:val="es-ES_tradnl"/>
        </w:rPr>
        <w:t xml:space="preserve">Analizado el conjunto de disposiciones que integran el régimen de inhabilidades e incompatibilidades para la contratación estatal, así como los requisitos y límites de los contratos de prestación de servicios profesionales, no se advierte una disposición que limite el número de contratos de prestación de servicios que puede suscribir o ejecutar una persona de manera simultánea. No obstante, se </w:t>
      </w:r>
      <w:r w:rsidRPr="00140995">
        <w:rPr>
          <w:rFonts w:ascii="Verdana" w:hAnsi="Verdana"/>
          <w:lang w:val="es-ES_tradnl"/>
        </w:rPr>
        <w:lastRenderedPageBreak/>
        <w:t xml:space="preserve">debe advertir que, en el ordenamiento jurídico colombiano, </w:t>
      </w:r>
      <w:r w:rsidRPr="00140995">
        <w:rPr>
          <w:rFonts w:ascii="Verdana" w:hAnsi="Verdana"/>
        </w:rPr>
        <w:t>históricamente se ha prohibido que una misma persona reciba doble salario proveniente del tesoro público</w:t>
      </w:r>
      <w:r w:rsidRPr="00140995">
        <w:rPr>
          <w:rStyle w:val="Refdenotaalpie"/>
          <w:rFonts w:ascii="Verdana" w:hAnsi="Verdana"/>
        </w:rPr>
        <w:footnoteReference w:id="17"/>
      </w:r>
      <w:r w:rsidRPr="00140995">
        <w:rPr>
          <w:rFonts w:ascii="Verdana" w:hAnsi="Verdana"/>
        </w:rPr>
        <w:t>,  tal como en su momento lo señalaron el artículo 1 de la Ley 78 de 1931</w:t>
      </w:r>
      <w:r w:rsidRPr="00140995">
        <w:rPr>
          <w:rStyle w:val="Refdenotaalpie"/>
          <w:rFonts w:ascii="Verdana" w:hAnsi="Verdana"/>
        </w:rPr>
        <w:footnoteReference w:id="18"/>
      </w:r>
      <w:r w:rsidRPr="00140995">
        <w:rPr>
          <w:rFonts w:ascii="Verdana" w:hAnsi="Verdana"/>
        </w:rPr>
        <w:t xml:space="preserve"> y el 23 del Acto Legislativo No. 1 de 1936</w:t>
      </w:r>
      <w:r w:rsidRPr="00140995">
        <w:rPr>
          <w:rStyle w:val="Refdenotaalpie"/>
          <w:rFonts w:ascii="Verdana" w:hAnsi="Verdana"/>
        </w:rPr>
        <w:footnoteReference w:id="19"/>
      </w:r>
      <w:r w:rsidRPr="00140995">
        <w:rPr>
          <w:rFonts w:ascii="Verdana" w:hAnsi="Verdana"/>
        </w:rPr>
        <w:t xml:space="preserve">, donde se prohibió la acumulación de cargos remunerados en un solo funcionario oficial y se reiteró la prohibición de que una misma persona devengara simultáneamente dos o más asignaciones de la nación, los departamentos y los municipios. La Constitución Política de Colombia de 1991, en el artículo 128, incluye, de igual forma, la prohibición de recibir más de una asignación que provenga del tesoro público, en los siguientes términos: </w:t>
      </w:r>
    </w:p>
    <w:p w14:paraId="7EA72015" w14:textId="77777777" w:rsidR="0096798D" w:rsidRPr="00D42531" w:rsidRDefault="0096798D" w:rsidP="0096798D">
      <w:pPr>
        <w:spacing w:before="94"/>
        <w:ind w:left="1008" w:right="732"/>
        <w:jc w:val="both"/>
        <w:rPr>
          <w:rFonts w:ascii="Verdana" w:hAnsi="Verdana" w:cs="Arial"/>
          <w:color w:val="000000" w:themeColor="text1"/>
          <w:sz w:val="20"/>
          <w:szCs w:val="20"/>
        </w:rPr>
      </w:pPr>
      <w:r w:rsidRPr="00D42531">
        <w:rPr>
          <w:rFonts w:ascii="Verdana" w:hAnsi="Verdana" w:cs="Arial"/>
          <w:color w:val="000000" w:themeColor="text1"/>
          <w:sz w:val="20"/>
          <w:szCs w:val="20"/>
        </w:rPr>
        <w:t>Artículo 128. Nadie podrá desempeñar simultáneamente más de un empleo público ni recibir más de una asignación que provenga del tesoro público, o de empresas o de instituciones en las que tenga parte mayoritaria el Estado, salvo los casos expresamente determinados por la ley.</w:t>
      </w:r>
    </w:p>
    <w:p w14:paraId="6C86C109" w14:textId="77777777" w:rsidR="0096798D" w:rsidRPr="00140995" w:rsidRDefault="0096798D" w:rsidP="0096798D">
      <w:pPr>
        <w:ind w:left="1008" w:right="740"/>
        <w:jc w:val="both"/>
        <w:rPr>
          <w:rFonts w:ascii="Verdana" w:hAnsi="Verdana" w:cs="Arial"/>
          <w:color w:val="000000" w:themeColor="text1"/>
          <w:sz w:val="20"/>
          <w:szCs w:val="20"/>
        </w:rPr>
      </w:pPr>
      <w:r w:rsidRPr="00D42531">
        <w:rPr>
          <w:rFonts w:ascii="Verdana" w:hAnsi="Verdana" w:cs="Arial"/>
          <w:color w:val="000000" w:themeColor="text1"/>
          <w:sz w:val="20"/>
          <w:szCs w:val="20"/>
        </w:rPr>
        <w:t>Entiéndese por tesoro público el de la Nación, el de las entidades territoriales y el de las descentralizadas</w:t>
      </w:r>
    </w:p>
    <w:p w14:paraId="08A85668" w14:textId="77777777" w:rsidR="0096798D" w:rsidRPr="00140995" w:rsidRDefault="0096798D" w:rsidP="0096798D">
      <w:pPr>
        <w:pStyle w:val="Textoindependiente"/>
        <w:spacing w:line="276" w:lineRule="auto"/>
        <w:ind w:firstLine="709"/>
        <w:jc w:val="both"/>
        <w:rPr>
          <w:rFonts w:ascii="Verdana" w:hAnsi="Verdana"/>
          <w:color w:val="000000" w:themeColor="text1"/>
        </w:rPr>
      </w:pPr>
      <w:r w:rsidRPr="00140995">
        <w:rPr>
          <w:rFonts w:ascii="Verdana" w:hAnsi="Verdana"/>
          <w:color w:val="000000" w:themeColor="text1"/>
        </w:rPr>
        <w:t>Esta norma se desarrolló a través del artículo 19 de la Ley 4 de 1992</w:t>
      </w:r>
      <w:r w:rsidRPr="00140995">
        <w:rPr>
          <w:rStyle w:val="Refdenotaalpie"/>
          <w:rFonts w:ascii="Verdana" w:hAnsi="Verdana"/>
          <w:color w:val="000000" w:themeColor="text1"/>
        </w:rPr>
        <w:footnoteReference w:id="20"/>
      </w:r>
      <w:r w:rsidRPr="00140995">
        <w:rPr>
          <w:rFonts w:ascii="Verdana" w:hAnsi="Verdana"/>
          <w:color w:val="000000" w:themeColor="text1"/>
        </w:rPr>
        <w:t xml:space="preserve">, precisando la prohibición del artículo 128, y, señalando unas situaciones exceptuadas en los que una misma persona puede recibir simultáneamente doble asignación presupuestal. No obstante, sobre esta prohibición es posible afirmar que, la misma tiene por destinatarias a las personas que ejercen empleos </w:t>
      </w:r>
      <w:r w:rsidRPr="00140995">
        <w:rPr>
          <w:rFonts w:ascii="Verdana" w:hAnsi="Verdana"/>
          <w:color w:val="000000" w:themeColor="text1"/>
        </w:rPr>
        <w:lastRenderedPageBreak/>
        <w:t>públicos. Al respecto, ha tenido la oportunidad de pronunciarse la Sala de Consulta y Servicio Civil del Consejo de Estado, quien en concepto No 1.344, del 10 de mayo de 2001, señaló lo siguiente:</w:t>
      </w:r>
    </w:p>
    <w:p w14:paraId="3D07890E" w14:textId="77777777" w:rsidR="0096798D" w:rsidRPr="00010947" w:rsidRDefault="0096798D" w:rsidP="0096798D">
      <w:pPr>
        <w:ind w:left="709" w:right="709"/>
        <w:jc w:val="both"/>
        <w:rPr>
          <w:rFonts w:ascii="Verdana" w:hAnsi="Verdana"/>
          <w:sz w:val="20"/>
          <w:szCs w:val="20"/>
        </w:rPr>
      </w:pPr>
      <w:r w:rsidRPr="00D42531">
        <w:rPr>
          <w:rFonts w:ascii="Verdana" w:hAnsi="Verdana"/>
          <w:sz w:val="20"/>
          <w:szCs w:val="20"/>
        </w:rPr>
        <w:t>«De los presupuestos de la definición legal y de los elementos analizados, se concluye que particulares que colaboran con el Estado mediante un contrato de prestación de servicios o cualquier otro, tipificado en la ley 80 de l993 o producto de la autonomía de la voluntad, no  están subsumidos en el contexto de la función pública, ni son, por tanto, servidores públicos y, por lo mismo, no reciben “asignación” en los términos establecidos, lo que hace imposible aplicarles el régimen de estos. Estas consideraciones y las expuestas en los puntos anteriores, permiten concluir que los artículos 128 de la Constitución Política y 19 de la ley 4ª de 1992, no son aplicables al particular que celebra contratos con una entidad estatal. No sobra advertir, que no existe norma que establezca incompatibilidad al respecto por lo que, conforme al artículo 6° constitucional, al particular contratista sólo le es exigible responsabilidad ante las autoridades por infringir la Constitución y la ley, en los términos que ellas señalen, circunstancia que impide, por lo demás, toda aplicación analógica o extensiva de las prohibiciones establecidas para los servidores públicos. Por lo demás, el artículo 8° ibídem regula lo relativo a las inhabilidades e incompatibilidades para participar en licitaciones o concursos y para celebrar contratos con las entidades estatales. Estas mismas razones explican la inexistencia de incompatibilidad para que una misma persona natural celebre más de un contrato de prestación de servicios»</w:t>
      </w:r>
      <w:r w:rsidRPr="00D42531">
        <w:rPr>
          <w:rStyle w:val="Refdenotaalpie"/>
          <w:rFonts w:ascii="Verdana" w:hAnsi="Verdana"/>
          <w:sz w:val="20"/>
          <w:szCs w:val="20"/>
        </w:rPr>
        <w:footnoteReference w:id="21"/>
      </w:r>
      <w:r w:rsidRPr="00D42531">
        <w:rPr>
          <w:rFonts w:ascii="Verdana" w:hAnsi="Verdana"/>
          <w:sz w:val="20"/>
          <w:szCs w:val="20"/>
        </w:rPr>
        <w:t>.</w:t>
      </w:r>
    </w:p>
    <w:p w14:paraId="6521BD8B" w14:textId="77777777" w:rsidR="0096798D" w:rsidRPr="00140995" w:rsidRDefault="0096798D" w:rsidP="0096798D">
      <w:pPr>
        <w:pStyle w:val="Textoindependiente"/>
        <w:spacing w:line="276" w:lineRule="auto"/>
        <w:ind w:firstLine="408"/>
        <w:jc w:val="both"/>
        <w:rPr>
          <w:rFonts w:ascii="Verdana" w:hAnsi="Verdana"/>
          <w:color w:val="000000" w:themeColor="text1"/>
        </w:rPr>
      </w:pPr>
      <w:r w:rsidRPr="00140995">
        <w:rPr>
          <w:rFonts w:ascii="Verdana" w:hAnsi="Verdana"/>
          <w:color w:val="000000" w:themeColor="text1"/>
        </w:rPr>
        <w:t xml:space="preserve">De conformidad con lo anterior, puede concluirse que la prohibición del artículo 128 de la Constitución política de Colombia no es aplicable a los contratos de prestación de servicios, en tanto según el artículo 32 de la Ley 80 de 1993, estos contratos no comportan una relación laboral, sino que son fruto de la libre autonomía de la voluntad de los contratantes, por consiguiente, el contratista no es considerado un servidor público, al no tener un vínculo de subordinación con el Estado, elemento propio de un contrato laboral. </w:t>
      </w:r>
    </w:p>
    <w:p w14:paraId="5A716712" w14:textId="77777777" w:rsidR="0096798D" w:rsidRPr="00140995" w:rsidRDefault="0096798D" w:rsidP="0096798D">
      <w:pPr>
        <w:pStyle w:val="Textoindependiente"/>
        <w:spacing w:line="276" w:lineRule="auto"/>
        <w:ind w:firstLine="708"/>
        <w:jc w:val="both"/>
        <w:rPr>
          <w:rFonts w:ascii="Verdana" w:eastAsia="Calibri" w:hAnsi="Verdana"/>
        </w:rPr>
      </w:pPr>
      <w:r w:rsidRPr="00140995">
        <w:rPr>
          <w:rFonts w:ascii="Verdana" w:hAnsi="Verdana"/>
          <w:color w:val="000000" w:themeColor="text1"/>
        </w:rPr>
        <w:t xml:space="preserve">En este contexto, los contratistas de prestación de servicios se encuentran por fuera del ámbito de aplicación el artículo 128 de la Constitución, al no ser titulares de un empleo público, lo que supone que es válido que una persona suscriba varios contratos de prestación de servicios con el Estado, no existiendo una disposición que así lo prohíba.  </w:t>
      </w:r>
      <w:bookmarkStart w:id="5" w:name="OLE_LINK103"/>
      <w:bookmarkStart w:id="6" w:name="OLE_LINK104"/>
      <w:bookmarkStart w:id="7" w:name="_Hlk75804655"/>
      <w:bookmarkStart w:id="8" w:name="_Hlk94689439"/>
      <w:bookmarkEnd w:id="5"/>
      <w:bookmarkEnd w:id="6"/>
      <w:r w:rsidRPr="00140995">
        <w:rPr>
          <w:rFonts w:ascii="Verdana" w:eastAsia="Calibri" w:hAnsi="Verdana"/>
        </w:rPr>
        <w:t xml:space="preserve">Esto por supuesto dependerá de que, el </w:t>
      </w:r>
      <w:r w:rsidRPr="00140995">
        <w:rPr>
          <w:rFonts w:ascii="Verdana" w:eastAsia="Calibri" w:hAnsi="Verdana"/>
        </w:rPr>
        <w:lastRenderedPageBreak/>
        <w:t>contratista no se encuentre incurso en alguna otra causal de inhabilidad o incompatibilidad con las entidades públicas, en las condiciones explicadas.</w:t>
      </w:r>
      <w:bookmarkEnd w:id="7"/>
    </w:p>
    <w:p w14:paraId="53397A70" w14:textId="5C1E4F60" w:rsidR="0096798D" w:rsidRDefault="0096798D" w:rsidP="0096798D">
      <w:pPr>
        <w:spacing w:after="120" w:line="276" w:lineRule="auto"/>
        <w:ind w:firstLine="709"/>
        <w:jc w:val="both"/>
        <w:rPr>
          <w:rFonts w:ascii="Verdana" w:eastAsia="Calibri" w:hAnsi="Verdana" w:cs="Arial"/>
        </w:rPr>
      </w:pPr>
      <w:r w:rsidRPr="00140995">
        <w:rPr>
          <w:rFonts w:ascii="Verdana" w:eastAsia="Calibri" w:hAnsi="Verdana" w:cs="Arial"/>
        </w:rPr>
        <w:t>De otro lado, es necesario considerar que, el artículo 1603 del Código Civil dispone que «Los contratos deben ejecutarse de buena fe, y por consiguiente obligan no solo a lo que en ellos se expresa, sino a todas las cosas que emanan precisamente de la naturaleza de la obligación, o que por ley pertenecen a ella». Esto resulta relevante debido a que, el postulado de la buena fe supone se ve representado en el deber de evitar conflictos de interés que perjudiquen a las o la entidad contratante, toda vez que la violación de este principio podría devenir en un incumplimiento contractual</w:t>
      </w:r>
      <w:bookmarkEnd w:id="8"/>
      <w:r w:rsidRPr="00140995">
        <w:rPr>
          <w:rStyle w:val="Refdenotaalpie"/>
          <w:rFonts w:ascii="Verdana" w:eastAsia="Calibri" w:hAnsi="Verdana" w:cs="Arial"/>
        </w:rPr>
        <w:footnoteReference w:id="22"/>
      </w:r>
      <w:r w:rsidRPr="00140995">
        <w:rPr>
          <w:rFonts w:ascii="Verdana" w:eastAsia="Calibri" w:hAnsi="Verdana" w:cs="Arial"/>
        </w:rPr>
        <w:t xml:space="preserve">.  </w:t>
      </w:r>
    </w:p>
    <w:p w14:paraId="5F1AEADC" w14:textId="77777777" w:rsidR="0096798D" w:rsidRDefault="0096798D" w:rsidP="0096798D">
      <w:pPr>
        <w:pStyle w:val="Prrafodelista"/>
        <w:numPr>
          <w:ilvl w:val="0"/>
          <w:numId w:val="18"/>
        </w:numPr>
        <w:spacing w:after="120" w:line="276" w:lineRule="auto"/>
        <w:jc w:val="both"/>
        <w:rPr>
          <w:rFonts w:ascii="Verdana" w:eastAsia="Calibri" w:hAnsi="Verdana" w:cs="Arial"/>
          <w:u w:val="single"/>
        </w:rPr>
      </w:pPr>
      <w:r w:rsidRPr="00F113CB">
        <w:rPr>
          <w:rFonts w:ascii="Verdana" w:eastAsia="Calibri" w:hAnsi="Verdana" w:cs="Arial"/>
          <w:u w:val="single"/>
        </w:rPr>
        <w:t>Restricción de contratación directa artículo 33 de la Ley de Garantías Electorales (Ley 996 de 2005)</w:t>
      </w:r>
    </w:p>
    <w:p w14:paraId="26B0E166" w14:textId="77777777" w:rsidR="0096798D" w:rsidRPr="0076238D" w:rsidRDefault="0096798D" w:rsidP="0096798D">
      <w:pPr>
        <w:spacing w:after="0" w:line="276" w:lineRule="auto"/>
        <w:jc w:val="both"/>
        <w:rPr>
          <w:rFonts w:ascii="Verdana" w:hAnsi="Verdana" w:cs="BCDHEE+Verdana"/>
          <w:color w:val="000000"/>
        </w:rPr>
      </w:pPr>
      <w:r>
        <w:rPr>
          <w:rFonts w:ascii="Verdana" w:hAnsi="Verdana" w:cs="BCDHEE+Verdana"/>
          <w:color w:val="000000"/>
        </w:rPr>
        <w:t>La r</w:t>
      </w:r>
      <w:r w:rsidRPr="0076238D">
        <w:rPr>
          <w:rFonts w:ascii="Verdana" w:hAnsi="Verdana" w:cs="BCDHEE+Verdana"/>
          <w:color w:val="000000"/>
        </w:rPr>
        <w:t>estricción a la contratación directa se encuentra en el artículo 33 de la Ley 996 de 2005, como sigue:</w:t>
      </w:r>
    </w:p>
    <w:p w14:paraId="6AC3D9F9" w14:textId="77777777" w:rsidR="0096798D" w:rsidRPr="00A545DE" w:rsidRDefault="0096798D" w:rsidP="0096798D">
      <w:pPr>
        <w:pStyle w:val="Prrafodelista"/>
        <w:spacing w:after="0" w:line="276" w:lineRule="auto"/>
        <w:ind w:left="1080"/>
        <w:jc w:val="both"/>
        <w:rPr>
          <w:rFonts w:ascii="Verdana" w:eastAsia="Arial" w:hAnsi="Verdana" w:cs="Arial"/>
          <w:lang w:eastAsia="es-ES" w:bidi="es-ES"/>
        </w:rPr>
      </w:pPr>
    </w:p>
    <w:p w14:paraId="768E1014" w14:textId="77777777" w:rsidR="0096798D" w:rsidRPr="0076238D" w:rsidRDefault="0096798D" w:rsidP="0096798D">
      <w:pPr>
        <w:pStyle w:val="Prrafodelista"/>
        <w:spacing w:after="0" w:line="240" w:lineRule="auto"/>
        <w:ind w:left="1080" w:right="703"/>
        <w:jc w:val="both"/>
        <w:rPr>
          <w:rFonts w:ascii="Verdana" w:eastAsia="Times New Roman" w:hAnsi="Verdana" w:cs="Open Sans"/>
          <w:sz w:val="20"/>
          <w:szCs w:val="20"/>
          <w:lang w:eastAsia="es-CO"/>
        </w:rPr>
      </w:pPr>
      <w:bookmarkStart w:id="9" w:name="33"/>
      <w:r w:rsidRPr="0076238D">
        <w:rPr>
          <w:rFonts w:ascii="Verdana" w:eastAsia="Times New Roman" w:hAnsi="Verdana" w:cs="Open Sans"/>
          <w:b/>
          <w:bCs/>
          <w:sz w:val="20"/>
          <w:szCs w:val="20"/>
          <w:lang w:eastAsia="es-CO"/>
        </w:rPr>
        <w:t>“ARTÍCULO 33. RESTRICCIONES A LA CONTRATACIÓN PÚBLICA.</w:t>
      </w:r>
      <w:bookmarkEnd w:id="9"/>
      <w:r w:rsidRPr="0076238D">
        <w:rPr>
          <w:rFonts w:ascii="Verdana" w:eastAsia="Times New Roman" w:hAnsi="Verdana" w:cs="Open Sans"/>
          <w:sz w:val="20"/>
          <w:szCs w:val="20"/>
          <w:lang w:eastAsia="es-CO"/>
        </w:rPr>
        <w:t>  Durante los cuatro (4) meses anteriores a la elección presidencial y hasta la realización de la elección en la segunda vuelta, si fuere el caso, queda prohibida la contratación directa por parte de todos los entes del Estado.</w:t>
      </w:r>
    </w:p>
    <w:p w14:paraId="430BBB50" w14:textId="77777777" w:rsidR="0096798D" w:rsidRPr="0076238D" w:rsidRDefault="0096798D" w:rsidP="0096798D">
      <w:pPr>
        <w:pStyle w:val="Prrafodelista"/>
        <w:spacing w:after="0" w:line="240" w:lineRule="auto"/>
        <w:ind w:left="1080" w:right="703"/>
        <w:jc w:val="both"/>
        <w:rPr>
          <w:rFonts w:ascii="Verdana" w:eastAsia="Times New Roman" w:hAnsi="Verdana" w:cs="Open Sans"/>
          <w:sz w:val="20"/>
          <w:szCs w:val="20"/>
          <w:lang w:eastAsia="es-CO"/>
        </w:rPr>
      </w:pPr>
    </w:p>
    <w:p w14:paraId="341DC335" w14:textId="77777777" w:rsidR="0096798D" w:rsidRPr="0076238D" w:rsidRDefault="0096798D" w:rsidP="0096798D">
      <w:pPr>
        <w:pStyle w:val="Prrafodelista"/>
        <w:spacing w:after="0" w:line="240" w:lineRule="auto"/>
        <w:ind w:left="1080" w:right="703"/>
        <w:jc w:val="both"/>
        <w:rPr>
          <w:rFonts w:ascii="Verdana" w:eastAsia="Times New Roman" w:hAnsi="Verdana" w:cs="Open Sans"/>
          <w:sz w:val="20"/>
          <w:szCs w:val="20"/>
          <w:lang w:eastAsia="es-CO"/>
        </w:rPr>
      </w:pPr>
      <w:r w:rsidRPr="0076238D">
        <w:rPr>
          <w:rFonts w:ascii="Verdana" w:eastAsia="Times New Roman" w:hAnsi="Verdana" w:cs="Open Sans"/>
          <w:sz w:val="20"/>
          <w:szCs w:val="20"/>
          <w:lang w:eastAsia="es-CO"/>
        </w:rPr>
        <w:t xml:space="preserve">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w:t>
      </w:r>
      <w:r w:rsidRPr="0076238D">
        <w:rPr>
          <w:rFonts w:ascii="Verdana" w:eastAsia="Times New Roman" w:hAnsi="Verdana" w:cs="Open Sans"/>
          <w:sz w:val="20"/>
          <w:szCs w:val="20"/>
          <w:lang w:eastAsia="es-CO"/>
        </w:rPr>
        <w:lastRenderedPageBreak/>
        <w:t>casos de fuerza mayor, y los que deban realizar las entidades sanitarias y hospitalarias”.</w:t>
      </w:r>
    </w:p>
    <w:p w14:paraId="74D6853E" w14:textId="77777777" w:rsidR="0096798D" w:rsidRPr="0076238D" w:rsidRDefault="0096798D" w:rsidP="0096798D">
      <w:pPr>
        <w:pStyle w:val="Prrafodelista"/>
        <w:spacing w:after="0" w:line="276" w:lineRule="auto"/>
        <w:ind w:left="1080" w:right="618"/>
        <w:jc w:val="both"/>
        <w:rPr>
          <w:rFonts w:ascii="Verdana" w:eastAsia="Times New Roman" w:hAnsi="Verdana" w:cs="Open Sans"/>
          <w:lang w:eastAsia="es-CO"/>
        </w:rPr>
      </w:pPr>
    </w:p>
    <w:p w14:paraId="64C2962E" w14:textId="77777777" w:rsidR="0096798D" w:rsidRPr="0076238D" w:rsidRDefault="0096798D" w:rsidP="0096798D">
      <w:pPr>
        <w:spacing w:after="120" w:line="276" w:lineRule="auto"/>
        <w:ind w:firstLine="708"/>
        <w:jc w:val="both"/>
        <w:rPr>
          <w:rFonts w:ascii="Verdana" w:eastAsia="Times New Roman" w:hAnsi="Verdana" w:cs="Open Sans"/>
          <w:lang w:eastAsia="es-CO"/>
        </w:rPr>
      </w:pPr>
      <w:r w:rsidRPr="0076238D">
        <w:rPr>
          <w:rFonts w:ascii="Verdana" w:eastAsia="Times New Roman" w:hAnsi="Verdana" w:cs="Open Sans"/>
          <w:lang w:eastAsia="es-CO"/>
        </w:rPr>
        <w:t>Como se puede observar, el artículo 33 de la Ley 996 de 2205 prohíbe la contratación directa por parte de todos los entes estatales durante los cuatro (4) meses anteriores a las elecciones presidenciales y dispone las excepciones a dicha prohibición. Así, su ámbito de prohibición está delimitado por la expresión “queda prohibida la contratación directa” y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Pr>
          <w:rStyle w:val="Refdenotaalpie"/>
          <w:rFonts w:ascii="Verdana" w:eastAsia="Times New Roman" w:hAnsi="Verdana" w:cs="Open Sans"/>
          <w:lang w:eastAsia="es-CO"/>
        </w:rPr>
        <w:footnoteReference w:id="23"/>
      </w:r>
      <w:r w:rsidRPr="0076238D">
        <w:rPr>
          <w:rFonts w:ascii="Verdana" w:eastAsia="Times New Roman" w:hAnsi="Verdana" w:cs="Open Sans"/>
          <w:lang w:eastAsia="es-CO"/>
        </w:rPr>
        <w:t>.</w:t>
      </w:r>
    </w:p>
    <w:p w14:paraId="180849E4" w14:textId="77777777" w:rsidR="0096798D" w:rsidRPr="0076238D" w:rsidRDefault="0096798D" w:rsidP="0096798D">
      <w:pPr>
        <w:spacing w:after="120" w:line="276" w:lineRule="auto"/>
        <w:ind w:firstLine="708"/>
        <w:jc w:val="both"/>
        <w:rPr>
          <w:rFonts w:ascii="Verdana" w:hAnsi="Verdana"/>
        </w:rPr>
      </w:pPr>
      <w:r w:rsidRPr="0076238D">
        <w:rPr>
          <w:rFonts w:ascii="Verdana" w:eastAsia="Times New Roman" w:hAnsi="Verdana" w:cs="Open Sans"/>
          <w:lang w:eastAsia="es-CO"/>
        </w:rPr>
        <w:t xml:space="preserve">Por su parte, </w:t>
      </w:r>
      <w:r w:rsidRPr="0076238D">
        <w:rPr>
          <w:rFonts w:ascii="Verdana" w:hAnsi="Verdana"/>
        </w:rPr>
        <w:t>los destinatarios de la prohibición están expresamente señalados como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w:t>
      </w:r>
    </w:p>
    <w:p w14:paraId="110767E1" w14:textId="77777777" w:rsidR="0096798D" w:rsidRPr="0076238D" w:rsidRDefault="0096798D" w:rsidP="0096798D">
      <w:pPr>
        <w:spacing w:after="120" w:line="276" w:lineRule="auto"/>
        <w:ind w:firstLine="708"/>
        <w:jc w:val="both"/>
        <w:rPr>
          <w:rFonts w:ascii="Verdana" w:eastAsia="Times New Roman" w:hAnsi="Verdana" w:cs="Open Sans"/>
          <w:lang w:eastAsia="es-CO"/>
        </w:rPr>
      </w:pPr>
      <w:r w:rsidRPr="0076238D">
        <w:rPr>
          <w:rFonts w:ascii="Verdana" w:eastAsia="Times New Roman" w:hAnsi="Verdana" w:cs="Open Sans"/>
          <w:lang w:eastAsia="es-CO"/>
        </w:rPr>
        <w:t>De lo anterior se desprende que la restricción aplica, sin perjuicio de las excepciones establecidas en la misma ley, para celebrar cualquier contrato de forma directa, esto es, sin que exista un proceso abierto y competitivo.</w:t>
      </w:r>
      <w:r>
        <w:rPr>
          <w:rFonts w:ascii="Verdana" w:eastAsia="Times New Roman" w:hAnsi="Verdana" w:cs="Open Sans"/>
          <w:lang w:eastAsia="es-CO"/>
        </w:rPr>
        <w:t xml:space="preserve"> Así, esta restricción aplica a los contratos de prestación de servicios dado que su modalidad de selección es la contratación directa.</w:t>
      </w:r>
      <w:r w:rsidRPr="0076238D">
        <w:rPr>
          <w:rFonts w:ascii="Verdana" w:eastAsia="Times New Roman" w:hAnsi="Verdana" w:cs="Open Sans"/>
          <w:lang w:eastAsia="es-CO"/>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 período preelectoral de que trata la disposición las entidades públicas pueden seguir contratando bajo estos sistemas.</w:t>
      </w:r>
    </w:p>
    <w:p w14:paraId="6428D11E" w14:textId="77777777" w:rsidR="0096798D" w:rsidRDefault="0096798D" w:rsidP="0096798D">
      <w:pPr>
        <w:spacing w:after="0" w:line="276" w:lineRule="auto"/>
        <w:ind w:firstLine="708"/>
        <w:jc w:val="both"/>
        <w:rPr>
          <w:rFonts w:ascii="Verdana" w:hAnsi="Verdana"/>
        </w:rPr>
      </w:pPr>
      <w:r w:rsidRPr="0076238D">
        <w:rPr>
          <w:rFonts w:ascii="Verdana" w:hAnsi="Verdana"/>
        </w:rPr>
        <w:lastRenderedPageBreak/>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p>
    <w:p w14:paraId="0CEB5673" w14:textId="77777777" w:rsidR="0096798D" w:rsidRDefault="0096798D" w:rsidP="0096798D">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es-CO"/>
        </w:rPr>
        <w:t xml:space="preserve">Adicionalmente, </w:t>
      </w:r>
      <w:r w:rsidRPr="00B3605D">
        <w:rPr>
          <w:rFonts w:ascii="Verdana" w:eastAsia="Times New Roman" w:hAnsi="Verdana" w:cs="Arial"/>
          <w:bCs/>
          <w:lang w:val="es-MX" w:eastAsia="es-CO"/>
        </w:rPr>
        <w:t xml:space="preserve">como en otras oportunidades </w:t>
      </w:r>
      <w:r w:rsidRPr="00894384">
        <w:rPr>
          <w:rFonts w:ascii="Verdana" w:eastAsia="Times New Roman" w:hAnsi="Verdana" w:cs="Arial"/>
          <w:bCs/>
          <w:lang w:val="es-MX" w:eastAsia="es-CO"/>
        </w:rPr>
        <w:t>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w:t>
      </w:r>
      <w:r>
        <w:rPr>
          <w:rFonts w:ascii="Verdana" w:eastAsia="Times New Roman" w:hAnsi="Verdana" w:cs="Arial"/>
          <w:bCs/>
          <w:lang w:val="es-MX" w:eastAsia="es-CO"/>
        </w:rPr>
        <w:t xml:space="preserve"> las disposiciones que rigen dichas actuaciones así como</w:t>
      </w:r>
      <w:r w:rsidRPr="00894384">
        <w:rPr>
          <w:rFonts w:ascii="Verdana" w:eastAsia="Times New Roman" w:hAnsi="Verdana" w:cs="Arial"/>
          <w:bCs/>
          <w:lang w:val="es-MX" w:eastAsia="es-CO"/>
        </w:rPr>
        <w:t xml:space="preserve"> los principios de planeación, transparencia y responsabilidad. </w:t>
      </w:r>
    </w:p>
    <w:p w14:paraId="3B60387E" w14:textId="77777777" w:rsidR="0096798D" w:rsidRDefault="0096798D" w:rsidP="0096798D">
      <w:pPr>
        <w:autoSpaceDE w:val="0"/>
        <w:autoSpaceDN w:val="0"/>
        <w:adjustRightInd w:val="0"/>
        <w:spacing w:after="0" w:line="240" w:lineRule="auto"/>
        <w:ind w:firstLine="708"/>
        <w:jc w:val="both"/>
        <w:rPr>
          <w:rFonts w:ascii="Verdana" w:eastAsia="Times New Roman" w:hAnsi="Verdana" w:cs="Arial"/>
          <w:bCs/>
          <w:lang w:val="es-ES" w:eastAsia="es-CO"/>
        </w:rPr>
      </w:pPr>
      <w:r w:rsidRPr="00947721">
        <w:rPr>
          <w:rFonts w:ascii="Verdana" w:hAnsi="Verdana" w:cs="BCDHEE+Verdana"/>
          <w:color w:val="000000"/>
        </w:rPr>
        <w:t xml:space="preserve">Finalmente, sobre las fechas en que aplica la Ley de garantías, se debe tener en cuenta que el </w:t>
      </w:r>
      <w:r w:rsidRPr="00DE5508">
        <w:rPr>
          <w:rFonts w:ascii="Verdana" w:hAnsi="Verdana" w:cs="BCDHEE+Verdana"/>
          <w:color w:val="000000"/>
        </w:rPr>
        <w:t>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4 meses anteriores a la elección presidencial, es decir desde el 31 de enero de 2026 y hasta el momento de la celebración de la segunda vuelta, si fuere el caso, queda prohibida la contratación directa por parte de todos los entes del Estado</w:t>
      </w:r>
      <w:r>
        <w:rPr>
          <w:rFonts w:ascii="BCDHEE+Verdana" w:hAnsi="BCDHEE+Verdana" w:cs="BCDHEE+Verdana"/>
          <w:color w:val="000000"/>
        </w:rPr>
        <w:t>.</w:t>
      </w:r>
    </w:p>
    <w:p w14:paraId="756414E2" w14:textId="77777777" w:rsidR="0096798D" w:rsidRPr="00230237" w:rsidRDefault="0096798D" w:rsidP="0096798D">
      <w:pPr>
        <w:autoSpaceDE w:val="0"/>
        <w:autoSpaceDN w:val="0"/>
        <w:adjustRightInd w:val="0"/>
        <w:spacing w:after="0" w:line="240" w:lineRule="auto"/>
        <w:ind w:firstLine="708"/>
        <w:jc w:val="both"/>
        <w:rPr>
          <w:rFonts w:ascii="Verdana" w:eastAsia="Times New Roman" w:hAnsi="Verdana" w:cs="Arial"/>
          <w:bCs/>
          <w:lang w:val="es-ES" w:eastAsia="es-CO"/>
        </w:rPr>
      </w:pPr>
    </w:p>
    <w:p w14:paraId="1B821D83" w14:textId="77777777" w:rsidR="0096798D" w:rsidRDefault="0096798D" w:rsidP="0096798D">
      <w:pPr>
        <w:widowControl w:val="0"/>
        <w:autoSpaceDE w:val="0"/>
        <w:autoSpaceDN w:val="0"/>
        <w:spacing w:after="0" w:line="276" w:lineRule="auto"/>
        <w:ind w:right="176" w:firstLine="708"/>
        <w:jc w:val="both"/>
        <w:rPr>
          <w:rFonts w:ascii="Verdana" w:hAnsi="Verdana"/>
        </w:rPr>
      </w:pPr>
      <w:r w:rsidRPr="0076238D">
        <w:rPr>
          <w:rFonts w:ascii="Verdana" w:hAnsi="Verdana"/>
        </w:rPr>
        <w:t xml:space="preserve">Dentro de este marco, corresponde a cada entidad pública, en ejercicio de su competencia y previa valoración de los elementos fácticos y jurídicos, así como de las disposiciones legales mencionadas, determinar su gestión contractual durante la aplicación de las restricciones de la Ley de Garantías Electorales.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w:t>
      </w:r>
      <w:r w:rsidRPr="0076238D">
        <w:rPr>
          <w:rFonts w:ascii="Verdana" w:hAnsi="Verdana"/>
        </w:rPr>
        <w:lastRenderedPageBreak/>
        <w:t>cada Entidad definirá la forma de adelantar su gestión contractual, sin que sea atribución de Colombia Compra Eficiente validar sus actuaciones.</w:t>
      </w:r>
    </w:p>
    <w:p w14:paraId="69B2E45B" w14:textId="77777777" w:rsidR="0096798D" w:rsidRPr="00230237" w:rsidRDefault="0096798D" w:rsidP="0096798D">
      <w:pPr>
        <w:widowControl w:val="0"/>
        <w:autoSpaceDE w:val="0"/>
        <w:autoSpaceDN w:val="0"/>
        <w:spacing w:after="0" w:line="276" w:lineRule="auto"/>
        <w:ind w:right="176" w:firstLine="708"/>
        <w:jc w:val="both"/>
        <w:rPr>
          <w:rFonts w:ascii="Verdana" w:hAnsi="Verdana"/>
        </w:rPr>
      </w:pPr>
    </w:p>
    <w:p w14:paraId="0EEF78FD" w14:textId="77777777" w:rsidR="0096798D" w:rsidRPr="00593A5F" w:rsidRDefault="0096798D" w:rsidP="0096798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1401340A" w14:textId="77777777" w:rsidR="0096798D" w:rsidRPr="00593A5F" w:rsidRDefault="0096798D" w:rsidP="0096798D">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6798D" w:rsidRPr="00593A5F" w14:paraId="29819351" w14:textId="77777777" w:rsidTr="004C3274">
        <w:trPr>
          <w:trHeight w:val="870"/>
        </w:trPr>
        <w:tc>
          <w:tcPr>
            <w:tcW w:w="8647" w:type="dxa"/>
          </w:tcPr>
          <w:p w14:paraId="0D362AF8" w14:textId="77777777" w:rsidR="0096798D" w:rsidRDefault="0096798D" w:rsidP="0096798D">
            <w:pPr>
              <w:pStyle w:val="Prrafodelista"/>
              <w:numPr>
                <w:ilvl w:val="0"/>
                <w:numId w:val="20"/>
              </w:numPr>
              <w:rPr>
                <w:rFonts w:ascii="Verdana" w:hAnsi="Verdana"/>
              </w:rPr>
            </w:pPr>
            <w:r w:rsidRPr="00141FE3">
              <w:rPr>
                <w:rFonts w:ascii="Verdana" w:hAnsi="Verdana"/>
              </w:rPr>
              <w:t xml:space="preserve">Ley 80 de 1993, artículos 8, </w:t>
            </w:r>
            <w:r>
              <w:rPr>
                <w:rFonts w:ascii="Verdana" w:hAnsi="Verdana"/>
              </w:rPr>
              <w:t xml:space="preserve">13, </w:t>
            </w:r>
            <w:r w:rsidRPr="00141FE3">
              <w:rPr>
                <w:rFonts w:ascii="Verdana" w:hAnsi="Verdana"/>
              </w:rPr>
              <w:t>14,</w:t>
            </w:r>
            <w:r>
              <w:rPr>
                <w:rFonts w:ascii="Verdana" w:hAnsi="Verdana"/>
              </w:rPr>
              <w:t>17,</w:t>
            </w:r>
            <w:r w:rsidRPr="00141FE3">
              <w:rPr>
                <w:rFonts w:ascii="Verdana" w:hAnsi="Verdana"/>
              </w:rPr>
              <w:t xml:space="preserve"> 32</w:t>
            </w:r>
            <w:r>
              <w:rPr>
                <w:rFonts w:ascii="Verdana" w:hAnsi="Verdana"/>
              </w:rPr>
              <w:t>, 40 45.</w:t>
            </w:r>
          </w:p>
          <w:p w14:paraId="721B1C92" w14:textId="77777777" w:rsidR="0096798D" w:rsidRDefault="0096798D" w:rsidP="0096798D">
            <w:pPr>
              <w:pStyle w:val="Prrafodelista"/>
              <w:numPr>
                <w:ilvl w:val="0"/>
                <w:numId w:val="20"/>
              </w:numPr>
              <w:rPr>
                <w:rFonts w:ascii="Verdana" w:hAnsi="Verdana"/>
              </w:rPr>
            </w:pPr>
            <w:r>
              <w:rPr>
                <w:rFonts w:ascii="Verdana" w:hAnsi="Verdana"/>
              </w:rPr>
              <w:t>Ley 996 de 2005, artículo 33</w:t>
            </w:r>
          </w:p>
          <w:p w14:paraId="1523FAE3" w14:textId="77777777" w:rsidR="0096798D" w:rsidRDefault="0096798D" w:rsidP="0096798D">
            <w:pPr>
              <w:pStyle w:val="Prrafodelista"/>
              <w:numPr>
                <w:ilvl w:val="0"/>
                <w:numId w:val="20"/>
              </w:numPr>
              <w:rPr>
                <w:rFonts w:ascii="Verdana" w:hAnsi="Verdana"/>
              </w:rPr>
            </w:pPr>
            <w:r w:rsidRPr="00141FE3">
              <w:rPr>
                <w:rFonts w:ascii="Verdana" w:hAnsi="Verdana"/>
              </w:rPr>
              <w:t>Ley 1150 de 2007, artículo 2, numeral 4, literal h; artículo 6</w:t>
            </w:r>
          </w:p>
          <w:p w14:paraId="205C9508" w14:textId="77777777" w:rsidR="0096798D" w:rsidRDefault="0096798D" w:rsidP="0096798D">
            <w:pPr>
              <w:pStyle w:val="Prrafodelista"/>
              <w:numPr>
                <w:ilvl w:val="0"/>
                <w:numId w:val="20"/>
              </w:numPr>
              <w:rPr>
                <w:rFonts w:ascii="Verdana" w:hAnsi="Verdana"/>
              </w:rPr>
            </w:pPr>
            <w:r w:rsidRPr="00141FE3">
              <w:rPr>
                <w:rFonts w:ascii="Verdana" w:hAnsi="Verdana"/>
              </w:rPr>
              <w:t>Decreto 1082 de 2015, artículo 2.2.1.2.1.4.9</w:t>
            </w:r>
          </w:p>
          <w:p w14:paraId="1ACE2116" w14:textId="77777777" w:rsidR="0096798D" w:rsidRPr="00141FE3" w:rsidRDefault="0096798D" w:rsidP="0096798D">
            <w:pPr>
              <w:pStyle w:val="Prrafodelista"/>
              <w:numPr>
                <w:ilvl w:val="0"/>
                <w:numId w:val="20"/>
              </w:numPr>
              <w:rPr>
                <w:rFonts w:ascii="Verdana" w:hAnsi="Verdana"/>
              </w:rPr>
            </w:pPr>
            <w:r w:rsidRPr="00141FE3">
              <w:rPr>
                <w:rFonts w:ascii="Verdana" w:hAnsi="Verdana"/>
              </w:rPr>
              <w:t xml:space="preserve">Decreto 1068 de 2015, artículos </w:t>
            </w:r>
            <w:r w:rsidRPr="00141FE3">
              <w:rPr>
                <w:rFonts w:ascii="Verdana" w:eastAsia="Calibri" w:hAnsi="Verdana" w:cs="Arial"/>
              </w:rPr>
              <w:t xml:space="preserve">2.8.4.4.5. y </w:t>
            </w:r>
            <w:r w:rsidRPr="00141FE3">
              <w:rPr>
                <w:rFonts w:ascii="Verdana" w:hAnsi="Verdana" w:cs="Arial"/>
              </w:rPr>
              <w:t>2.8.4.4.6.</w:t>
            </w:r>
          </w:p>
          <w:p w14:paraId="70D7FFE9" w14:textId="77777777" w:rsidR="0096798D" w:rsidRPr="00141FE3" w:rsidRDefault="0096798D" w:rsidP="0096798D">
            <w:pPr>
              <w:pStyle w:val="Prrafodelista"/>
              <w:numPr>
                <w:ilvl w:val="0"/>
                <w:numId w:val="20"/>
              </w:numPr>
              <w:rPr>
                <w:rFonts w:ascii="Verdana" w:hAnsi="Verdana"/>
              </w:rPr>
            </w:pPr>
            <w:r w:rsidRPr="00141FE3">
              <w:rPr>
                <w:rFonts w:ascii="Verdana" w:hAnsi="Verdana" w:cs="Arial"/>
              </w:rPr>
              <w:t xml:space="preserve">Código Civil, artículo </w:t>
            </w:r>
            <w:r>
              <w:rPr>
                <w:rFonts w:ascii="Verdana" w:hAnsi="Verdana" w:cs="Arial"/>
              </w:rPr>
              <w:t xml:space="preserve">1602, </w:t>
            </w:r>
            <w:r w:rsidRPr="00141FE3">
              <w:rPr>
                <w:rFonts w:ascii="Verdana" w:hAnsi="Verdana" w:cs="Arial"/>
              </w:rPr>
              <w:t>1603</w:t>
            </w:r>
            <w:r>
              <w:rPr>
                <w:rFonts w:ascii="Verdana" w:hAnsi="Verdana" w:cs="Arial"/>
              </w:rPr>
              <w:t>, 1625</w:t>
            </w:r>
          </w:p>
        </w:tc>
      </w:tr>
    </w:tbl>
    <w:p w14:paraId="6AFD6610" w14:textId="77777777" w:rsidR="0096798D" w:rsidRPr="00593A5F" w:rsidRDefault="0096798D" w:rsidP="0096798D">
      <w:pPr>
        <w:widowControl w:val="0"/>
        <w:autoSpaceDE w:val="0"/>
        <w:autoSpaceDN w:val="0"/>
        <w:spacing w:after="0" w:line="276" w:lineRule="auto"/>
        <w:jc w:val="both"/>
        <w:rPr>
          <w:rFonts w:ascii="Verdana" w:hAnsi="Verdana" w:cs="Arial"/>
        </w:rPr>
      </w:pPr>
    </w:p>
    <w:p w14:paraId="16415346" w14:textId="77777777" w:rsidR="0096798D" w:rsidRDefault="0096798D" w:rsidP="0096798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32467CA" w14:textId="77777777" w:rsidR="0096798D" w:rsidRDefault="0096798D" w:rsidP="0096798D">
      <w:pPr>
        <w:tabs>
          <w:tab w:val="left" w:pos="142"/>
          <w:tab w:val="left" w:pos="284"/>
        </w:tabs>
        <w:spacing w:after="0" w:line="276" w:lineRule="auto"/>
        <w:jc w:val="both"/>
        <w:rPr>
          <w:rFonts w:ascii="Verdana" w:eastAsia="Century Gothic" w:hAnsi="Verdana" w:cs="Century Gothic"/>
          <w:b/>
          <w:bCs/>
          <w:lang w:val="es-ES"/>
        </w:rPr>
      </w:pPr>
    </w:p>
    <w:p w14:paraId="06AE958A" w14:textId="77777777" w:rsidR="0096798D" w:rsidRPr="00140995" w:rsidRDefault="0096798D" w:rsidP="0096798D">
      <w:pPr>
        <w:tabs>
          <w:tab w:val="left" w:pos="142"/>
          <w:tab w:val="left" w:pos="284"/>
        </w:tabs>
        <w:spacing w:after="0" w:line="276" w:lineRule="auto"/>
        <w:jc w:val="both"/>
        <w:rPr>
          <w:rStyle w:val="normaltextrun"/>
          <w:rFonts w:ascii="Verdana" w:eastAsia="Century Gothic" w:hAnsi="Verdana" w:cs="Century Gothic"/>
          <w:b/>
          <w:bCs/>
          <w:lang w:val="es-ES"/>
        </w:rPr>
      </w:pPr>
      <w:r w:rsidRPr="00097DBE">
        <w:rPr>
          <w:rStyle w:val="normaltextrun"/>
          <w:rFonts w:ascii="Verdana" w:hAnsi="Verdana" w:cs="Arial"/>
          <w:shd w:val="clear" w:color="auto" w:fill="FFFFFF"/>
          <w:lang w:val="es-ES"/>
        </w:rPr>
        <w:t>Sobre las características de los contratos de prestación de servicios se pronunció esta Subdirección en los conceptos</w:t>
      </w:r>
      <w:r>
        <w:rPr>
          <w:rStyle w:val="normaltextrun"/>
          <w:rFonts w:ascii="Verdana" w:hAnsi="Verdana" w:cs="Arial"/>
          <w:shd w:val="clear" w:color="auto" w:fill="FFFFFF"/>
          <w:lang w:val="es-ES"/>
        </w:rPr>
        <w:t xml:space="preserve"> C-024 del 3 de marzo de 2022</w:t>
      </w:r>
      <w:r w:rsidRPr="00097DBE">
        <w:rPr>
          <w:rStyle w:val="normaltextrun"/>
          <w:rFonts w:ascii="Verdana" w:hAnsi="Verdana" w:cs="Calibri"/>
          <w:shd w:val="clear" w:color="auto" w:fill="FFFFFF"/>
        </w:rPr>
        <w:t xml:space="preserve"> C-311 de 21 de agosto de 2024, </w:t>
      </w:r>
      <w:r>
        <w:rPr>
          <w:rStyle w:val="normaltextrun"/>
          <w:rFonts w:ascii="Verdana" w:hAnsi="Verdana" w:cs="Calibri"/>
          <w:shd w:val="clear" w:color="auto" w:fill="FFFFFF"/>
        </w:rPr>
        <w:t xml:space="preserve">C-327 del 26 de agosto de 2024, </w:t>
      </w:r>
      <w:r w:rsidRPr="00097DBE">
        <w:rPr>
          <w:rStyle w:val="normaltextrun"/>
          <w:rFonts w:ascii="Verdana" w:hAnsi="Verdana" w:cs="Calibri"/>
          <w:shd w:val="clear" w:color="auto" w:fill="FFFFFF"/>
        </w:rPr>
        <w:t>C- 604 de 25 de octubre de 2024,</w:t>
      </w:r>
      <w:r>
        <w:rPr>
          <w:rStyle w:val="normaltextrun"/>
          <w:rFonts w:ascii="Verdana" w:hAnsi="Verdana" w:cs="Calibri"/>
          <w:shd w:val="clear" w:color="auto" w:fill="FFFFFF"/>
        </w:rPr>
        <w:t xml:space="preserve"> C-849 del 19 de diciembre de 2024,</w:t>
      </w:r>
      <w:r w:rsidRPr="00097DBE">
        <w:rPr>
          <w:rStyle w:val="normaltextrun"/>
          <w:rFonts w:ascii="Verdana" w:hAnsi="Verdana" w:cs="Calibri"/>
          <w:shd w:val="clear" w:color="auto" w:fill="FFFFFF"/>
        </w:rPr>
        <w:t xml:space="preserve"> C-028 del 5 de febrero de 2025, C-037 de 20 de febrero de 2025</w:t>
      </w:r>
      <w:r>
        <w:rPr>
          <w:rStyle w:val="normaltextrun"/>
          <w:rFonts w:ascii="Verdana" w:hAnsi="Verdana" w:cs="Calibri"/>
          <w:shd w:val="clear" w:color="auto" w:fill="FFFFFF"/>
        </w:rPr>
        <w:t xml:space="preserve">, C-140 del 14 de marzo de 2025. </w:t>
      </w:r>
      <w:r w:rsidRPr="00BA1192">
        <w:rPr>
          <w:rFonts w:ascii="Verdana" w:eastAsia="Calibri" w:hAnsi="Verdana" w:cs="Arial"/>
          <w:lang w:val="es-ES_tradnl" w:eastAsia="es-ES_tradnl"/>
        </w:rPr>
        <w:t>Sobre el régimen de inhabilidades e incompatibilidades esta Subdirección se pronunció en los</w:t>
      </w:r>
      <w:r w:rsidRPr="00BA1192">
        <w:rPr>
          <w:rFonts w:ascii="Verdana" w:eastAsia="Calibri" w:hAnsi="Verdana" w:cs="Arial"/>
          <w:lang w:val="es-MX"/>
        </w:rPr>
        <w:t xml:space="preserve"> C−410 del 7 de julio de 2021,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 la respuesta </w:t>
      </w:r>
      <w:r w:rsidRPr="00BA1192">
        <w:rPr>
          <w:rFonts w:ascii="Verdana" w:hAnsi="Verdana" w:cs="Arial"/>
        </w:rPr>
        <w:t xml:space="preserve">al radicado </w:t>
      </w:r>
      <w:r w:rsidRPr="00BA1192">
        <w:rPr>
          <w:rFonts w:ascii="Verdana" w:eastAsia="Aptos" w:hAnsi="Verdana" w:cs="Calibri"/>
        </w:rPr>
        <w:t>P20240308002646 del 24 de abril de 2024,</w:t>
      </w:r>
      <w:r w:rsidRPr="00BA1192">
        <w:rPr>
          <w:rFonts w:ascii="Verdana" w:eastAsia="Calibri" w:hAnsi="Verdana" w:cs="Arial"/>
          <w:lang w:val="es-MX"/>
        </w:rPr>
        <w:t xml:space="preserve"> el C-039 del 23 de abril de 2024, </w:t>
      </w:r>
      <w:r w:rsidRPr="00BA1192">
        <w:rPr>
          <w:rFonts w:ascii="Verdana" w:hAnsi="Verdana" w:cs="Arial"/>
        </w:rPr>
        <w:t xml:space="preserve">C-085 del 3 de marzo de 2025 y </w:t>
      </w:r>
      <w:r w:rsidRPr="00BA1192">
        <w:rPr>
          <w:rFonts w:ascii="Verdana" w:eastAsia="Aptos" w:hAnsi="Verdana" w:cs="Calibri"/>
        </w:rPr>
        <w:t>C-170 del 19 de marzo de 2025.</w:t>
      </w:r>
      <w:r w:rsidRPr="00A1554D">
        <w:rPr>
          <w:rStyle w:val="normaltextrun"/>
          <w:rFonts w:ascii="Verdana" w:hAnsi="Verdana" w:cs="Arial"/>
          <w:shd w:val="clear" w:color="auto" w:fill="FFFFFF"/>
          <w:lang w:val="es-ES"/>
        </w:rPr>
        <w:t>Es</w:t>
      </w:r>
      <w:r w:rsidRPr="00A1554D">
        <w:rPr>
          <w:rFonts w:ascii="Verdana" w:hAnsi="Verdana"/>
        </w:rPr>
        <w:t xml:space="preserve">tos y otros conceptos se encuentran disponibles para consulta en el Sistema de </w:t>
      </w:r>
      <w:r>
        <w:rPr>
          <w:rFonts w:ascii="Verdana" w:hAnsi="Verdana"/>
        </w:rPr>
        <w:t>r</w:t>
      </w:r>
      <w:r w:rsidRPr="00A1554D">
        <w:rPr>
          <w:rFonts w:ascii="Verdana" w:hAnsi="Verdana"/>
        </w:rPr>
        <w:t>elatoría de la Agencia, al cual se puede acceder a través del siguiente enlace:</w:t>
      </w:r>
      <w:r w:rsidRPr="00A1554D">
        <w:rPr>
          <w:rStyle w:val="normaltextrun"/>
          <w:rFonts w:ascii="Verdana" w:hAnsi="Verdana" w:cs="Arial"/>
          <w:shd w:val="clear" w:color="auto" w:fill="FFFFFF"/>
          <w:lang w:val="es-ES"/>
        </w:rPr>
        <w:t xml:space="preserve"> </w:t>
      </w:r>
      <w:hyperlink r:id="rId11" w:history="1">
        <w:r w:rsidRPr="00A1554D">
          <w:rPr>
            <w:rStyle w:val="Hipervnculo"/>
            <w:rFonts w:ascii="Verdana" w:hAnsi="Verdana" w:cs="Arial"/>
            <w:shd w:val="clear" w:color="auto" w:fill="FFFFFF"/>
            <w:lang w:val="es-ES"/>
          </w:rPr>
          <w:t>https://relatoria.colombiacompra.gov.co/busqueda/conceptos</w:t>
        </w:r>
      </w:hyperlink>
      <w:r>
        <w:rPr>
          <w:rStyle w:val="normaltextrun"/>
          <w:rFonts w:ascii="Verdana" w:hAnsi="Verdana" w:cs="Arial"/>
          <w:color w:val="FF0000"/>
          <w:shd w:val="clear" w:color="auto" w:fill="FFFFFF"/>
          <w:lang w:val="es-ES"/>
        </w:rPr>
        <w:t xml:space="preserve">. </w:t>
      </w:r>
    </w:p>
    <w:p w14:paraId="72AB8AD9" w14:textId="77777777" w:rsidR="0096798D" w:rsidRDefault="0096798D" w:rsidP="0096798D">
      <w:pPr>
        <w:spacing w:after="0" w:line="240" w:lineRule="auto"/>
        <w:jc w:val="both"/>
        <w:rPr>
          <w:rStyle w:val="normaltextrun"/>
          <w:rFonts w:cs="Arial"/>
          <w:color w:val="000000" w:themeColor="text1"/>
          <w:shd w:val="clear" w:color="auto" w:fill="FFFFFF"/>
          <w:lang w:val="es-ES"/>
        </w:rPr>
      </w:pPr>
    </w:p>
    <w:p w14:paraId="39FA9E1E" w14:textId="77777777" w:rsidR="0096798D" w:rsidRPr="003E2460" w:rsidRDefault="0096798D" w:rsidP="0096798D">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5E90C554" w14:textId="77777777" w:rsidR="0096798D" w:rsidRPr="003E2460" w:rsidRDefault="0096798D" w:rsidP="0096798D">
      <w:pPr>
        <w:spacing w:after="0" w:line="240" w:lineRule="auto"/>
        <w:jc w:val="both"/>
        <w:rPr>
          <w:rFonts w:ascii="Verdana" w:hAnsi="Verdana"/>
        </w:rPr>
      </w:pPr>
    </w:p>
    <w:p w14:paraId="72EF1EF3" w14:textId="77777777" w:rsidR="0096798D" w:rsidRPr="003E2460" w:rsidRDefault="0096798D" w:rsidP="0096798D">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5A833EA5" w14:textId="77777777" w:rsidR="0096798D" w:rsidRPr="003E2460" w:rsidRDefault="0096798D" w:rsidP="0096798D">
      <w:pPr>
        <w:spacing w:after="0" w:line="240" w:lineRule="auto"/>
        <w:jc w:val="both"/>
        <w:rPr>
          <w:rFonts w:ascii="Verdana" w:hAnsi="Verdana"/>
        </w:rPr>
      </w:pPr>
      <w:r w:rsidRPr="003E2460">
        <w:rPr>
          <w:rFonts w:ascii="Verdana" w:hAnsi="Verdana"/>
        </w:rPr>
        <w:t xml:space="preserve">Facebook: </w:t>
      </w:r>
      <w:r w:rsidRPr="003E2460">
        <w:rPr>
          <w:rStyle w:val="Hipervnculo"/>
          <w:rFonts w:ascii="Verdana" w:hAnsi="Verdana"/>
          <w:color w:val="4472C4" w:themeColor="accent1"/>
        </w:rPr>
        <w:t>ColombiaCompraEficiente</w:t>
      </w:r>
    </w:p>
    <w:p w14:paraId="78072F35" w14:textId="77777777" w:rsidR="0096798D" w:rsidRPr="003E2460" w:rsidRDefault="0096798D" w:rsidP="0096798D">
      <w:pPr>
        <w:spacing w:after="0" w:line="240" w:lineRule="auto"/>
        <w:jc w:val="both"/>
        <w:rPr>
          <w:rFonts w:ascii="Verdana" w:hAnsi="Verdana"/>
        </w:rPr>
      </w:pPr>
      <w:r w:rsidRPr="003E2460">
        <w:rPr>
          <w:rFonts w:ascii="Verdana" w:hAnsi="Verdana"/>
        </w:rPr>
        <w:lastRenderedPageBreak/>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46AAFA57" w14:textId="77777777" w:rsidR="0096798D" w:rsidRPr="00593A5F" w:rsidRDefault="0096798D" w:rsidP="0096798D">
      <w:pPr>
        <w:widowControl w:val="0"/>
        <w:autoSpaceDE w:val="0"/>
        <w:autoSpaceDN w:val="0"/>
        <w:spacing w:after="0" w:line="276" w:lineRule="auto"/>
        <w:jc w:val="both"/>
        <w:rPr>
          <w:rFonts w:ascii="Verdana" w:hAnsi="Verdana" w:cs="Arial"/>
        </w:rPr>
      </w:pPr>
    </w:p>
    <w:p w14:paraId="2852BFA3" w14:textId="77777777" w:rsidR="0096798D" w:rsidRPr="00593A5F" w:rsidRDefault="0096798D" w:rsidP="0096798D">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098E9680" w14:textId="77777777" w:rsidR="0096798D" w:rsidRPr="00593A5F" w:rsidRDefault="0096798D" w:rsidP="0096798D">
      <w:pPr>
        <w:widowControl w:val="0"/>
        <w:autoSpaceDE w:val="0"/>
        <w:autoSpaceDN w:val="0"/>
        <w:spacing w:after="0" w:line="276" w:lineRule="auto"/>
        <w:jc w:val="both"/>
        <w:rPr>
          <w:rFonts w:ascii="Verdana" w:hAnsi="Verdana" w:cs="Arial"/>
        </w:rPr>
      </w:pPr>
    </w:p>
    <w:p w14:paraId="3E306E83" w14:textId="77777777" w:rsidR="0096798D" w:rsidRPr="00593A5F" w:rsidRDefault="0096798D" w:rsidP="0096798D">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630C7267" w14:textId="27803AD1" w:rsidR="0096798D" w:rsidRPr="00593A5F" w:rsidRDefault="0095275C" w:rsidP="0096798D">
      <w:pPr>
        <w:spacing w:line="276" w:lineRule="auto"/>
        <w:jc w:val="center"/>
        <w:rPr>
          <w:rFonts w:ascii="Verdana" w:hAnsi="Verdana" w:cs="Arial"/>
          <w:color w:val="000000"/>
          <w:lang w:val="es-ES_tradnl" w:eastAsia="es-CO"/>
        </w:rPr>
      </w:pPr>
      <w:r>
        <w:rPr>
          <w:noProof/>
        </w:rPr>
        <w:drawing>
          <wp:inline distT="0" distB="0" distL="0" distR="0" wp14:anchorId="7D5D1DFE" wp14:editId="785490B5">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6737"/>
      </w:tblGrid>
      <w:tr w:rsidR="0096798D" w:rsidRPr="00593A5F" w14:paraId="50FFDE67" w14:textId="77777777" w:rsidTr="004C3274">
        <w:trPr>
          <w:trHeight w:val="315"/>
        </w:trPr>
        <w:tc>
          <w:tcPr>
            <w:tcW w:w="893" w:type="dxa"/>
            <w:vAlign w:val="center"/>
            <w:hideMark/>
          </w:tcPr>
          <w:p w14:paraId="6F8DB8F3" w14:textId="77777777" w:rsidR="0096798D" w:rsidRPr="003751C7" w:rsidRDefault="0096798D" w:rsidP="004C327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hideMark/>
          </w:tcPr>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21"/>
            </w:tblGrid>
            <w:tr w:rsidR="0096798D" w:rsidRPr="00991EA6" w14:paraId="0A10DB0B" w14:textId="77777777" w:rsidTr="004C3274">
              <w:trPr>
                <w:trHeight w:val="315"/>
              </w:trPr>
              <w:tc>
                <w:tcPr>
                  <w:tcW w:w="6521" w:type="dxa"/>
                  <w:tcBorders>
                    <w:top w:val="nil"/>
                    <w:left w:val="nil"/>
                    <w:bottom w:val="dotted" w:sz="4" w:space="0" w:color="7F7F7F" w:themeColor="text1" w:themeTint="80"/>
                    <w:right w:val="nil"/>
                  </w:tcBorders>
                  <w:vAlign w:val="center"/>
                  <w:hideMark/>
                </w:tcPr>
                <w:p w14:paraId="2AFD32D2" w14:textId="77777777" w:rsidR="0096798D" w:rsidRPr="00991EA6" w:rsidRDefault="0096798D" w:rsidP="004C3274">
                  <w:pPr>
                    <w:contextualSpacing/>
                    <w:rPr>
                      <w:rFonts w:ascii="Verdana" w:eastAsia="Arial" w:hAnsi="Verdana" w:cs="Arial"/>
                      <w:sz w:val="16"/>
                      <w:szCs w:val="16"/>
                    </w:rPr>
                  </w:pPr>
                  <w:r w:rsidRPr="00991EA6">
                    <w:rPr>
                      <w:rFonts w:ascii="Verdana" w:eastAsia="Arial" w:hAnsi="Verdana" w:cs="Arial"/>
                      <w:sz w:val="16"/>
                      <w:szCs w:val="16"/>
                    </w:rPr>
                    <w:t>Catalina Cubides Estupiñan</w:t>
                  </w:r>
                </w:p>
                <w:p w14:paraId="4E937589" w14:textId="77777777" w:rsidR="0096798D" w:rsidRPr="00991EA6" w:rsidRDefault="0096798D" w:rsidP="004C3274">
                  <w:pPr>
                    <w:contextualSpacing/>
                    <w:rPr>
                      <w:rFonts w:ascii="Verdana" w:eastAsia="Arial" w:hAnsi="Verdana" w:cs="Arial"/>
                      <w:sz w:val="16"/>
                      <w:szCs w:val="16"/>
                    </w:rPr>
                  </w:pPr>
                  <w:r w:rsidRPr="00991EA6">
                    <w:rPr>
                      <w:rStyle w:val="normaltextrun"/>
                      <w:rFonts w:ascii="Verdana" w:eastAsia="Arial" w:hAnsi="Verdana" w:cs="Arial"/>
                      <w:sz w:val="16"/>
                      <w:szCs w:val="16"/>
                    </w:rPr>
                    <w:t>Contratista de la Subdirección de Gestión Contractual</w:t>
                  </w:r>
                </w:p>
              </w:tc>
            </w:tr>
          </w:tbl>
          <w:p w14:paraId="43AFF968" w14:textId="77777777" w:rsidR="0096798D" w:rsidRPr="003751C7" w:rsidRDefault="0096798D" w:rsidP="004C3274">
            <w:pPr>
              <w:contextualSpacing/>
              <w:rPr>
                <w:rFonts w:ascii="Verdana" w:eastAsia="Arial" w:hAnsi="Verdana" w:cs="Arial"/>
                <w:sz w:val="16"/>
                <w:szCs w:val="16"/>
              </w:rPr>
            </w:pPr>
          </w:p>
        </w:tc>
      </w:tr>
      <w:tr w:rsidR="0096798D" w:rsidRPr="00593A5F" w14:paraId="4FE33B63" w14:textId="77777777" w:rsidTr="004C3274">
        <w:trPr>
          <w:trHeight w:val="330"/>
        </w:trPr>
        <w:tc>
          <w:tcPr>
            <w:tcW w:w="893" w:type="dxa"/>
            <w:vAlign w:val="center"/>
            <w:hideMark/>
          </w:tcPr>
          <w:p w14:paraId="0303E42C" w14:textId="77777777" w:rsidR="0096798D" w:rsidRPr="003751C7" w:rsidRDefault="0096798D" w:rsidP="004C327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hideMark/>
          </w:tcPr>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21"/>
            </w:tblGrid>
            <w:tr w:rsidR="0096798D" w:rsidRPr="00991EA6" w14:paraId="5B7430E2" w14:textId="77777777" w:rsidTr="004C3274">
              <w:trPr>
                <w:trHeight w:val="330"/>
              </w:trPr>
              <w:tc>
                <w:tcPr>
                  <w:tcW w:w="6521" w:type="dxa"/>
                  <w:tcBorders>
                    <w:top w:val="dotted" w:sz="4" w:space="0" w:color="7F7F7F" w:themeColor="text1" w:themeTint="80"/>
                    <w:left w:val="nil"/>
                    <w:bottom w:val="dotted" w:sz="4" w:space="0" w:color="7F7F7F" w:themeColor="text1" w:themeTint="80"/>
                    <w:right w:val="nil"/>
                  </w:tcBorders>
                  <w:vAlign w:val="center"/>
                  <w:hideMark/>
                </w:tcPr>
                <w:p w14:paraId="47551BCA" w14:textId="77777777" w:rsidR="0096798D" w:rsidRPr="00991EA6" w:rsidRDefault="0096798D" w:rsidP="004C3274">
                  <w:pPr>
                    <w:pStyle w:val="paragraph"/>
                    <w:spacing w:before="0" w:beforeAutospacing="0" w:after="0" w:afterAutospacing="0"/>
                    <w:contextualSpacing/>
                    <w:textAlignment w:val="baseline"/>
                    <w:rPr>
                      <w:rFonts w:ascii="Verdana" w:hAnsi="Verdana" w:cs="Segoe UI"/>
                      <w:sz w:val="16"/>
                      <w:szCs w:val="16"/>
                    </w:rPr>
                  </w:pPr>
                  <w:r w:rsidRPr="00991EA6">
                    <w:rPr>
                      <w:rStyle w:val="normaltextrun"/>
                      <w:rFonts w:ascii="Verdana" w:hAnsi="Verdana" w:cs="Arial"/>
                      <w:sz w:val="16"/>
                      <w:szCs w:val="16"/>
                      <w:lang w:val="es-ES"/>
                    </w:rPr>
                    <w:t xml:space="preserve">Juan </w:t>
                  </w:r>
                  <w:r>
                    <w:rPr>
                      <w:rStyle w:val="normaltextrun"/>
                      <w:rFonts w:ascii="Verdana" w:hAnsi="Verdana" w:cs="Arial"/>
                      <w:sz w:val="16"/>
                      <w:szCs w:val="16"/>
                      <w:lang w:val="es-ES"/>
                    </w:rPr>
                    <w:t>Carlos Gonzalez Vasquez</w:t>
                  </w:r>
                </w:p>
                <w:p w14:paraId="2717E9E1" w14:textId="77777777" w:rsidR="0096798D" w:rsidRPr="00991EA6" w:rsidRDefault="0096798D" w:rsidP="004C3274">
                  <w:pPr>
                    <w:pStyle w:val="paragraph"/>
                    <w:spacing w:before="0" w:beforeAutospacing="0" w:after="0" w:afterAutospacing="0"/>
                    <w:contextualSpacing/>
                    <w:textAlignment w:val="baseline"/>
                    <w:rPr>
                      <w:rFonts w:ascii="Verdana" w:hAnsi="Verdana" w:cs="Segoe UI"/>
                      <w:sz w:val="16"/>
                      <w:szCs w:val="16"/>
                    </w:rPr>
                  </w:pPr>
                  <w:r w:rsidRPr="00991EA6">
                    <w:rPr>
                      <w:rStyle w:val="normaltextrun"/>
                      <w:rFonts w:ascii="Verdana" w:hAnsi="Verdana" w:cs="Arial"/>
                      <w:sz w:val="16"/>
                      <w:szCs w:val="16"/>
                      <w:lang w:val="es-ES"/>
                    </w:rPr>
                    <w:t>Contratista de la Subdirección de Gestión Contractual</w:t>
                  </w:r>
                  <w:r w:rsidRPr="00991EA6">
                    <w:rPr>
                      <w:rStyle w:val="eop"/>
                      <w:rFonts w:ascii="Verdana" w:hAnsi="Verdana" w:cs="Arial"/>
                      <w:sz w:val="16"/>
                      <w:szCs w:val="16"/>
                    </w:rPr>
                    <w:t> </w:t>
                  </w:r>
                </w:p>
              </w:tc>
            </w:tr>
          </w:tbl>
          <w:p w14:paraId="13842745" w14:textId="77777777" w:rsidR="0096798D" w:rsidRPr="003751C7" w:rsidRDefault="0096798D" w:rsidP="004C3274">
            <w:pPr>
              <w:pStyle w:val="paragraph"/>
              <w:spacing w:before="0" w:beforeAutospacing="0" w:after="0" w:afterAutospacing="0"/>
              <w:contextualSpacing/>
              <w:textAlignment w:val="baseline"/>
              <w:rPr>
                <w:rFonts w:ascii="Verdana" w:hAnsi="Verdana" w:cs="Segoe UI"/>
                <w:sz w:val="16"/>
                <w:szCs w:val="16"/>
              </w:rPr>
            </w:pPr>
          </w:p>
        </w:tc>
      </w:tr>
      <w:tr w:rsidR="0096798D" w:rsidRPr="00593A5F" w14:paraId="473F90F6" w14:textId="77777777" w:rsidTr="004C3274">
        <w:trPr>
          <w:trHeight w:val="300"/>
        </w:trPr>
        <w:tc>
          <w:tcPr>
            <w:tcW w:w="893" w:type="dxa"/>
            <w:vAlign w:val="center"/>
          </w:tcPr>
          <w:p w14:paraId="5B6A1D14" w14:textId="77777777" w:rsidR="0096798D" w:rsidRPr="003751C7" w:rsidRDefault="0096798D" w:rsidP="004C3274">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0EA797C" w14:textId="77777777" w:rsidR="0096798D" w:rsidRPr="003751C7" w:rsidRDefault="0096798D" w:rsidP="004C3274">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Carolina Quintero Gacharná</w:t>
            </w:r>
          </w:p>
          <w:p w14:paraId="0E434F22" w14:textId="77777777" w:rsidR="0096798D" w:rsidRPr="003751C7" w:rsidRDefault="0096798D" w:rsidP="004C3274">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Contractual ANCP – CCE</w:t>
            </w:r>
          </w:p>
        </w:tc>
      </w:tr>
    </w:tbl>
    <w:p w14:paraId="6CA8FD63" w14:textId="77777777" w:rsidR="0096798D" w:rsidRPr="00593A5F" w:rsidRDefault="0096798D" w:rsidP="0096798D">
      <w:pPr>
        <w:spacing w:after="0" w:line="240" w:lineRule="auto"/>
        <w:rPr>
          <w:rFonts w:ascii="Verdana" w:eastAsia="Times New Roman" w:hAnsi="Verdana" w:cs="Arial"/>
          <w:sz w:val="24"/>
          <w:szCs w:val="24"/>
          <w:lang w:eastAsia="es-ES"/>
        </w:rPr>
      </w:pPr>
    </w:p>
    <w:p w14:paraId="2A0DBEDE" w14:textId="77777777" w:rsidR="0096798D" w:rsidRPr="00871B59" w:rsidRDefault="0096798D" w:rsidP="0096798D"/>
    <w:p w14:paraId="6C6026E2" w14:textId="77777777" w:rsidR="0096798D" w:rsidRPr="00CB670B" w:rsidRDefault="0096798D" w:rsidP="0096798D"/>
    <w:p w14:paraId="0F293BF4" w14:textId="1F7F0006" w:rsidR="00127233" w:rsidRPr="0015699B" w:rsidRDefault="00127233" w:rsidP="0096798D">
      <w:pPr>
        <w:spacing w:after="0"/>
        <w:rPr>
          <w:rFonts w:ascii="Verdana" w:eastAsia="Times New Roman" w:hAnsi="Verdana" w:cs="Segoe UI"/>
          <w:lang w:eastAsia="es-CO"/>
        </w:rPr>
      </w:pPr>
    </w:p>
    <w:sectPr w:rsidR="00127233" w:rsidRPr="0015699B"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0EB60A" w14:textId="77777777" w:rsidR="0067677F" w:rsidRDefault="0067677F" w:rsidP="004A1847">
      <w:pPr>
        <w:spacing w:after="0" w:line="240" w:lineRule="auto"/>
      </w:pPr>
      <w:r>
        <w:separator/>
      </w:r>
    </w:p>
  </w:endnote>
  <w:endnote w:type="continuationSeparator" w:id="0">
    <w:p w14:paraId="7273A5C7" w14:textId="77777777" w:rsidR="0067677F" w:rsidRDefault="0067677F" w:rsidP="004A1847">
      <w:pPr>
        <w:spacing w:after="0" w:line="240" w:lineRule="auto"/>
      </w:pPr>
      <w:r>
        <w:continuationSeparator/>
      </w:r>
    </w:p>
  </w:endnote>
  <w:endnote w:type="continuationNotice" w:id="1">
    <w:p w14:paraId="28F704D2" w14:textId="77777777" w:rsidR="0067677F" w:rsidRDefault="0067677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BCDHEE+Verdana">
    <w:altName w:val="Verdana"/>
    <w:panose1 w:val="00000000000000000000"/>
    <w:charset w:val="00"/>
    <w:family w:val="swiss"/>
    <w:notTrueType/>
    <w:pitch w:val="default"/>
    <w:sig w:usb0="00000003" w:usb1="00000000" w:usb2="00000000" w:usb3="00000000" w:csb0="00000001" w:csb1="00000000"/>
  </w:font>
  <w:font w:name="Aptos">
    <w:altName w:val="Calibri"/>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C6A3F2" w14:textId="77777777" w:rsidR="0067677F" w:rsidRDefault="0067677F" w:rsidP="004A1847">
      <w:pPr>
        <w:spacing w:after="0" w:line="240" w:lineRule="auto"/>
      </w:pPr>
      <w:r>
        <w:separator/>
      </w:r>
    </w:p>
  </w:footnote>
  <w:footnote w:type="continuationSeparator" w:id="0">
    <w:p w14:paraId="6768589A" w14:textId="77777777" w:rsidR="0067677F" w:rsidRDefault="0067677F" w:rsidP="004A1847">
      <w:pPr>
        <w:spacing w:after="0" w:line="240" w:lineRule="auto"/>
      </w:pPr>
      <w:r>
        <w:continuationSeparator/>
      </w:r>
    </w:p>
  </w:footnote>
  <w:footnote w:type="continuationNotice" w:id="1">
    <w:p w14:paraId="305EE9C4" w14:textId="77777777" w:rsidR="0067677F" w:rsidRDefault="0067677F">
      <w:pPr>
        <w:spacing w:after="0" w:line="240" w:lineRule="auto"/>
      </w:pPr>
    </w:p>
  </w:footnote>
  <w:footnote w:id="2">
    <w:p w14:paraId="69266045" w14:textId="77777777" w:rsidR="0096798D" w:rsidRPr="00C05384" w:rsidRDefault="0096798D" w:rsidP="0096798D">
      <w:pPr>
        <w:pStyle w:val="Textonotapie"/>
        <w:ind w:firstLine="709"/>
        <w:jc w:val="both"/>
        <w:rPr>
          <w:rFonts w:ascii="Verdana" w:hAnsi="Verdana"/>
          <w:sz w:val="16"/>
          <w:szCs w:val="16"/>
          <w:lang w:val="es-ES"/>
        </w:rPr>
      </w:pPr>
      <w:r w:rsidRPr="00C05384">
        <w:rPr>
          <w:rStyle w:val="Refdenotaalpie"/>
          <w:rFonts w:ascii="Verdana" w:hAnsi="Verdana"/>
          <w:sz w:val="16"/>
          <w:szCs w:val="16"/>
        </w:rPr>
        <w:footnoteRef/>
      </w:r>
      <w:r w:rsidRPr="00C05384">
        <w:rPr>
          <w:rFonts w:ascii="Verdana" w:hAnsi="Verdana"/>
          <w:sz w:val="16"/>
          <w:szCs w:val="16"/>
        </w:rPr>
        <w:t xml:space="preserve"> Consejo de Estado. Sala de Consulta y Servicio Civil. Concepto del 08 de mayo de 2018. Exp. 2.382. C.P. Álvaro Namén Vargas.</w:t>
      </w:r>
    </w:p>
  </w:footnote>
  <w:footnote w:id="3">
    <w:p w14:paraId="00482358" w14:textId="77777777" w:rsidR="0096798D" w:rsidRPr="00097DBE" w:rsidRDefault="0096798D" w:rsidP="0096798D">
      <w:pPr>
        <w:pStyle w:val="Textonotapie"/>
        <w:ind w:firstLine="708"/>
        <w:jc w:val="both"/>
        <w:rPr>
          <w:rFonts w:ascii="Verdana" w:hAnsi="Verdana" w:cs="Arial"/>
          <w:sz w:val="16"/>
          <w:szCs w:val="16"/>
          <w:lang w:val="es-ES"/>
        </w:rPr>
      </w:pPr>
      <w:r w:rsidRPr="00097DBE">
        <w:rPr>
          <w:rStyle w:val="Refdenotaalpie"/>
          <w:rFonts w:ascii="Verdana" w:hAnsi="Verdana"/>
          <w:sz w:val="16"/>
          <w:szCs w:val="16"/>
        </w:rPr>
        <w:footnoteRef/>
      </w:r>
      <w:r w:rsidRPr="00097DBE">
        <w:rPr>
          <w:rFonts w:ascii="Verdana" w:hAnsi="Verdana"/>
          <w:sz w:val="16"/>
          <w:szCs w:val="16"/>
        </w:rPr>
        <w:t xml:space="preserve"> </w:t>
      </w:r>
      <w:bookmarkStart w:id="2" w:name="_Hlk192845550"/>
      <w:r w:rsidRPr="00097DBE">
        <w:rPr>
          <w:rFonts w:ascii="Verdana" w:hAnsi="Verdana" w:cs="Arial"/>
          <w:sz w:val="16"/>
          <w:szCs w:val="16"/>
        </w:rPr>
        <w:t>Consejo de Estado. Sección Segunda. Sentencia del 9 de septiembre de 2021. Expediente No. 05001-23-33-000-2013-01143-01(1317-16). M.P. Dra. Sandra Lisset Ibarra Vélez</w:t>
      </w:r>
      <w:bookmarkEnd w:id="2"/>
      <w:r w:rsidRPr="00097DBE">
        <w:rPr>
          <w:rFonts w:ascii="Verdana" w:hAnsi="Verdana" w:cs="Arial"/>
          <w:sz w:val="16"/>
          <w:szCs w:val="16"/>
        </w:rPr>
        <w:t>.</w:t>
      </w:r>
    </w:p>
    <w:p w14:paraId="6A808623" w14:textId="77777777" w:rsidR="0096798D" w:rsidRPr="00097DBE" w:rsidRDefault="0096798D" w:rsidP="0096798D">
      <w:pPr>
        <w:pStyle w:val="Textonotapie"/>
        <w:rPr>
          <w:rFonts w:ascii="Verdana" w:hAnsi="Verdana"/>
          <w:sz w:val="16"/>
          <w:szCs w:val="16"/>
          <w:lang w:val="es-ES"/>
        </w:rPr>
      </w:pPr>
    </w:p>
  </w:footnote>
  <w:footnote w:id="4">
    <w:p w14:paraId="5FA6DC22" w14:textId="77777777" w:rsidR="0096798D" w:rsidRPr="00A56FFA" w:rsidRDefault="0096798D" w:rsidP="0096798D">
      <w:pPr>
        <w:pStyle w:val="Textonotapie"/>
        <w:ind w:firstLine="708"/>
        <w:jc w:val="both"/>
        <w:rPr>
          <w:rFonts w:ascii="Verdana" w:hAnsi="Verdana" w:cs="Arial"/>
          <w:sz w:val="18"/>
          <w:szCs w:val="18"/>
          <w:lang w:val="es-ES"/>
        </w:rPr>
      </w:pPr>
      <w:r w:rsidRPr="00097DBE">
        <w:rPr>
          <w:rStyle w:val="Refdenotaalpie"/>
          <w:rFonts w:ascii="Verdana" w:hAnsi="Verdana" w:cs="Arial"/>
          <w:sz w:val="16"/>
          <w:szCs w:val="16"/>
        </w:rPr>
        <w:footnoteRef/>
      </w:r>
      <w:r w:rsidRPr="00097DBE">
        <w:rPr>
          <w:rFonts w:ascii="Verdana" w:hAnsi="Verdana" w:cs="Arial"/>
          <w:sz w:val="16"/>
          <w:szCs w:val="16"/>
        </w:rPr>
        <w:t xml:space="preserve"> Así lo señaló el Consejo de Estado en la sentencia de unificación en mención, al indicar que “cualquier contrato de prestación de servicios tiene por objeto genérico “desarrollar actividades relacionadas con la administración o funcionamiento de la entidad”.</w:t>
      </w:r>
    </w:p>
  </w:footnote>
  <w:footnote w:id="5">
    <w:p w14:paraId="1F57F067" w14:textId="77777777" w:rsidR="0096798D" w:rsidRPr="00097DBE" w:rsidRDefault="0096798D" w:rsidP="0096798D">
      <w:pPr>
        <w:pStyle w:val="Textonotapie"/>
        <w:ind w:firstLine="708"/>
        <w:contextualSpacing/>
        <w:jc w:val="both"/>
        <w:rPr>
          <w:rFonts w:ascii="Verdana" w:hAnsi="Verdana" w:cs="Arial"/>
          <w:sz w:val="16"/>
          <w:szCs w:val="16"/>
          <w:lang w:val="es-ES"/>
        </w:rPr>
      </w:pPr>
      <w:r w:rsidRPr="00097DBE">
        <w:rPr>
          <w:rStyle w:val="Refdenotaalpie"/>
          <w:rFonts w:ascii="Verdana" w:hAnsi="Verdana" w:cs="Arial"/>
          <w:sz w:val="16"/>
          <w:szCs w:val="16"/>
        </w:rPr>
        <w:footnoteRef/>
      </w:r>
      <w:r w:rsidRPr="00097DBE">
        <w:rPr>
          <w:rFonts w:ascii="Verdana" w:hAnsi="Verdana" w:cs="Arial"/>
          <w:sz w:val="16"/>
          <w:szCs w:val="16"/>
        </w:rPr>
        <w:t xml:space="preserve"> </w:t>
      </w:r>
      <w:r w:rsidRPr="00097DBE">
        <w:rPr>
          <w:rFonts w:ascii="Verdana" w:hAnsi="Verdana" w:cs="Arial"/>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p w14:paraId="0BAE500D" w14:textId="77777777" w:rsidR="0096798D" w:rsidRPr="00097DBE" w:rsidRDefault="0096798D" w:rsidP="0096798D">
      <w:pPr>
        <w:pStyle w:val="Textonotapie"/>
        <w:ind w:firstLine="709"/>
        <w:contextualSpacing/>
        <w:jc w:val="both"/>
        <w:rPr>
          <w:rFonts w:ascii="Verdana" w:hAnsi="Verdana" w:cs="Arial"/>
          <w:sz w:val="16"/>
          <w:szCs w:val="16"/>
          <w:lang w:val="es-ES"/>
        </w:rPr>
      </w:pPr>
    </w:p>
  </w:footnote>
  <w:footnote w:id="6">
    <w:p w14:paraId="3941B1C7" w14:textId="77777777" w:rsidR="0096798D" w:rsidRPr="00097DBE" w:rsidRDefault="0096798D" w:rsidP="0096798D">
      <w:pPr>
        <w:pStyle w:val="Textonotapie"/>
        <w:ind w:firstLine="709"/>
        <w:contextualSpacing/>
        <w:jc w:val="both"/>
        <w:rPr>
          <w:rFonts w:ascii="Verdana" w:hAnsi="Verdana" w:cs="Arial"/>
          <w:sz w:val="16"/>
          <w:szCs w:val="16"/>
          <w:lang w:val="es-ES"/>
        </w:rPr>
      </w:pPr>
      <w:r w:rsidRPr="00097DBE">
        <w:rPr>
          <w:rStyle w:val="Refdenotaalpie"/>
          <w:rFonts w:ascii="Verdana" w:hAnsi="Verdana" w:cs="Arial"/>
          <w:sz w:val="16"/>
          <w:szCs w:val="16"/>
        </w:rPr>
        <w:footnoteRef/>
      </w:r>
      <w:r w:rsidRPr="00097DBE">
        <w:rPr>
          <w:rFonts w:ascii="Verdana" w:hAnsi="Verdana" w:cs="Arial"/>
          <w:sz w:val="16"/>
          <w:szCs w:val="16"/>
        </w:rPr>
        <w:t xml:space="preserve"> </w:t>
      </w:r>
      <w:r w:rsidRPr="00097DBE">
        <w:rPr>
          <w:rFonts w:ascii="Verdana" w:hAnsi="Verdana" w:cs="Arial"/>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284DFBD5" w14:textId="77777777" w:rsidR="0096798D" w:rsidRPr="00097DBE" w:rsidRDefault="0096798D" w:rsidP="0096798D">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52C2DA5E" w14:textId="77777777" w:rsidR="0096798D" w:rsidRPr="00097DBE" w:rsidRDefault="0096798D" w:rsidP="0096798D">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El Gobierno nacional reglamentará el mecanismo para realizar la mensualización de que trata el presente artículo.</w:t>
      </w:r>
    </w:p>
    <w:p w14:paraId="184026A3" w14:textId="77777777" w:rsidR="0096798D" w:rsidRPr="003172B0" w:rsidRDefault="0096798D" w:rsidP="0096798D">
      <w:pPr>
        <w:pStyle w:val="Textonotapie"/>
        <w:ind w:firstLine="709"/>
        <w:contextualSpacing/>
        <w:jc w:val="both"/>
        <w:rPr>
          <w:rFonts w:ascii="Verdana" w:hAnsi="Verdana" w:cs="Arial"/>
          <w:sz w:val="16"/>
          <w:szCs w:val="16"/>
          <w:lang w:val="es-CO"/>
        </w:rPr>
      </w:pPr>
      <w:r w:rsidRPr="003172B0">
        <w:rPr>
          <w:rFonts w:ascii="Verdana" w:hAnsi="Verdana" w:cs="Arial"/>
          <w:sz w:val="16"/>
          <w:szCs w:val="16"/>
          <w:lang w:val="es-CO"/>
        </w:rPr>
        <w:t>[…]”.</w:t>
      </w:r>
    </w:p>
  </w:footnote>
  <w:footnote w:id="7">
    <w:p w14:paraId="7016F090" w14:textId="77777777" w:rsidR="0096798D" w:rsidRPr="00C0717E" w:rsidRDefault="0096798D" w:rsidP="0096798D">
      <w:pPr>
        <w:spacing w:after="0" w:line="240" w:lineRule="auto"/>
        <w:contextualSpacing/>
        <w:jc w:val="both"/>
        <w:rPr>
          <w:rFonts w:ascii="Verdana" w:hAnsi="Verdana"/>
          <w:sz w:val="18"/>
          <w:szCs w:val="18"/>
        </w:rPr>
      </w:pPr>
    </w:p>
  </w:footnote>
  <w:footnote w:id="8">
    <w:p w14:paraId="3B17AABD" w14:textId="77777777" w:rsidR="0096798D" w:rsidRPr="00097DBE" w:rsidRDefault="0096798D" w:rsidP="0096798D">
      <w:pPr>
        <w:pStyle w:val="Textonotapie"/>
        <w:ind w:firstLine="709"/>
        <w:contextualSpacing/>
        <w:jc w:val="both"/>
        <w:rPr>
          <w:rFonts w:ascii="Verdana" w:hAnsi="Verdana" w:cs="Arial"/>
          <w:color w:val="000000"/>
          <w:sz w:val="16"/>
          <w:szCs w:val="16"/>
          <w:lang w:val="es-ES"/>
        </w:rPr>
      </w:pPr>
      <w:r w:rsidRPr="00097DBE">
        <w:rPr>
          <w:rStyle w:val="Refdenotaalpie"/>
          <w:rFonts w:ascii="Verdana" w:hAnsi="Verdana" w:cs="Arial"/>
          <w:color w:val="000000"/>
          <w:sz w:val="16"/>
          <w:szCs w:val="16"/>
        </w:rPr>
        <w:footnoteRef/>
      </w:r>
      <w:r w:rsidRPr="00097DBE">
        <w:rPr>
          <w:rFonts w:ascii="Verdana" w:hAnsi="Verdana" w:cs="Arial"/>
          <w:color w:val="000000"/>
          <w:sz w:val="16"/>
          <w:szCs w:val="16"/>
        </w:rPr>
        <w:t xml:space="preserve"> </w:t>
      </w:r>
      <w:r w:rsidRPr="00097DBE">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15FDFA31" w14:textId="77777777" w:rsidR="0096798D" w:rsidRPr="00097DBE" w:rsidRDefault="0096798D" w:rsidP="0096798D">
      <w:pPr>
        <w:pStyle w:val="Textonotapie"/>
        <w:ind w:firstLine="709"/>
        <w:contextualSpacing/>
        <w:jc w:val="both"/>
        <w:rPr>
          <w:rFonts w:ascii="Verdana" w:hAnsi="Verdana" w:cs="Arial"/>
          <w:color w:val="000000"/>
          <w:sz w:val="16"/>
          <w:szCs w:val="16"/>
          <w:lang w:val="es-ES"/>
        </w:rPr>
      </w:pPr>
      <w:r w:rsidRPr="00097DBE">
        <w:rPr>
          <w:rFonts w:ascii="Verdana" w:hAnsi="Verdana" w:cs="Arial"/>
          <w:color w:val="000000"/>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4B73E1FF" w14:textId="77777777" w:rsidR="0096798D" w:rsidRPr="00097DBE" w:rsidRDefault="0096798D" w:rsidP="0096798D">
      <w:pPr>
        <w:pStyle w:val="Textonotapie"/>
        <w:ind w:firstLine="709"/>
        <w:contextualSpacing/>
        <w:jc w:val="both"/>
        <w:rPr>
          <w:rFonts w:ascii="Verdana" w:hAnsi="Verdana" w:cs="Arial"/>
          <w:color w:val="000000"/>
          <w:sz w:val="16"/>
          <w:szCs w:val="16"/>
          <w:lang w:val="es-ES"/>
        </w:rPr>
      </w:pPr>
      <w:r w:rsidRPr="00097DBE">
        <w:rPr>
          <w:rFonts w:ascii="Verdana" w:hAnsi="Verdana" w:cs="Arial"/>
          <w:color w:val="000000"/>
          <w:sz w:val="16"/>
          <w:szCs w:val="16"/>
          <w:lang w:val="es-ES"/>
        </w:rPr>
        <w:t>La Entidad Estatal, para la contratación de trabajos artísticos que solamente puedan en­comendarse a determinadas personas naturales, debe justificar esta situación en los estudios y documentos previos”.</w:t>
      </w:r>
    </w:p>
    <w:p w14:paraId="37B1D651" w14:textId="77777777" w:rsidR="0096798D" w:rsidRPr="00C0717E" w:rsidRDefault="0096798D" w:rsidP="0096798D">
      <w:pPr>
        <w:pStyle w:val="Textonotapie"/>
        <w:ind w:firstLine="709"/>
        <w:contextualSpacing/>
        <w:jc w:val="both"/>
        <w:rPr>
          <w:rFonts w:ascii="Verdana" w:hAnsi="Verdana" w:cs="Arial"/>
          <w:color w:val="000000"/>
          <w:sz w:val="18"/>
          <w:szCs w:val="18"/>
          <w:lang w:val="es-ES"/>
        </w:rPr>
      </w:pPr>
    </w:p>
  </w:footnote>
  <w:footnote w:id="9">
    <w:p w14:paraId="3C77C3BB" w14:textId="77777777" w:rsidR="0096798D" w:rsidRPr="00097DBE" w:rsidRDefault="0096798D" w:rsidP="0096798D">
      <w:pPr>
        <w:pStyle w:val="Textonotapie"/>
        <w:ind w:firstLine="709"/>
        <w:contextualSpacing/>
        <w:jc w:val="both"/>
        <w:rPr>
          <w:rFonts w:ascii="Verdana" w:hAnsi="Verdana" w:cs="Arial"/>
          <w:color w:val="000000"/>
          <w:sz w:val="16"/>
          <w:szCs w:val="16"/>
          <w:lang w:val="es-ES"/>
        </w:rPr>
      </w:pPr>
      <w:r w:rsidRPr="00097DBE">
        <w:rPr>
          <w:rStyle w:val="Refdenotaalpie"/>
          <w:rFonts w:ascii="Verdana" w:hAnsi="Verdana" w:cs="Arial"/>
          <w:color w:val="000000"/>
          <w:sz w:val="16"/>
          <w:szCs w:val="16"/>
        </w:rPr>
        <w:footnoteRef/>
      </w:r>
      <w:r w:rsidRPr="00097DBE">
        <w:rPr>
          <w:rFonts w:ascii="Verdana" w:hAnsi="Verdana" w:cs="Arial"/>
          <w:color w:val="000000"/>
          <w:sz w:val="16"/>
          <w:szCs w:val="16"/>
        </w:rPr>
        <w:t xml:space="preserve"> </w:t>
      </w:r>
      <w:r w:rsidRPr="00097DBE">
        <w:rPr>
          <w:rFonts w:ascii="Verdana" w:hAnsi="Verdana" w:cs="Arial"/>
          <w:color w:val="000000"/>
          <w:sz w:val="16"/>
          <w:szCs w:val="16"/>
          <w:lang w:val="es-ES"/>
        </w:rPr>
        <w:t>Consejo de Estado. Sección Tercera. Subsección C. Sentencia del 2 de diciembre de 2013. Exp. 41719. Consejero Ponente: Jaime Orlando Santofimio Gamboa.</w:t>
      </w:r>
    </w:p>
  </w:footnote>
  <w:footnote w:id="10">
    <w:p w14:paraId="599CC2C3" w14:textId="77777777" w:rsidR="0096798D" w:rsidRPr="00097DBE" w:rsidRDefault="0096798D" w:rsidP="0096798D">
      <w:pPr>
        <w:spacing w:after="0" w:line="240" w:lineRule="auto"/>
        <w:contextualSpacing/>
        <w:jc w:val="both"/>
        <w:rPr>
          <w:rFonts w:ascii="Verdana" w:hAnsi="Verdana"/>
          <w:sz w:val="16"/>
          <w:szCs w:val="16"/>
        </w:rPr>
      </w:pPr>
    </w:p>
  </w:footnote>
  <w:footnote w:id="11">
    <w:p w14:paraId="6DE886E8" w14:textId="77777777" w:rsidR="0096798D" w:rsidRPr="00097DBE" w:rsidRDefault="0096798D" w:rsidP="0096798D">
      <w:pPr>
        <w:pStyle w:val="Textonotapie"/>
        <w:ind w:firstLine="709"/>
        <w:contextualSpacing/>
        <w:jc w:val="both"/>
        <w:rPr>
          <w:rFonts w:ascii="Verdana" w:hAnsi="Verdana" w:cs="Arial"/>
          <w:sz w:val="16"/>
          <w:szCs w:val="16"/>
        </w:rPr>
      </w:pPr>
      <w:r w:rsidRPr="00097DBE">
        <w:rPr>
          <w:rStyle w:val="Refdenotaalpie"/>
          <w:rFonts w:ascii="Verdana" w:hAnsi="Verdana" w:cs="Arial"/>
          <w:sz w:val="16"/>
          <w:szCs w:val="16"/>
        </w:rPr>
        <w:footnoteRef/>
      </w:r>
      <w:r w:rsidRPr="00097DBE">
        <w:rPr>
          <w:rFonts w:ascii="Verdana" w:hAnsi="Verdana" w:cs="Arial"/>
          <w:sz w:val="16"/>
          <w:szCs w:val="16"/>
        </w:rPr>
        <w:t xml:space="preserve"> </w:t>
      </w:r>
      <w:r w:rsidRPr="00097DBE">
        <w:rPr>
          <w:rFonts w:ascii="Verdana" w:hAnsi="Verdana" w:cs="Arial"/>
          <w:sz w:val="16"/>
          <w:szCs w:val="16"/>
          <w:lang w:val="es-ES"/>
        </w:rPr>
        <w:t>Consejo de Estado. Sección Tercera. Subsección C. Sentencia de Unificación del 2 de diciembre de 2013. Exp. 41.719. C.P. Jaime Orlando Santofimio Gamboa.</w:t>
      </w:r>
      <w:r w:rsidRPr="00097DBE">
        <w:rPr>
          <w:rFonts w:ascii="Verdana" w:hAnsi="Verdana" w:cs="Arial"/>
          <w:sz w:val="16"/>
          <w:szCs w:val="16"/>
        </w:rPr>
        <w:t xml:space="preserve"> </w:t>
      </w:r>
    </w:p>
    <w:p w14:paraId="0C8C6AD8" w14:textId="77777777" w:rsidR="0096798D" w:rsidRPr="00097DBE" w:rsidRDefault="0096798D" w:rsidP="0096798D">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Además,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01EB9DFD" w14:textId="77777777" w:rsidR="0096798D" w:rsidRPr="00097DBE" w:rsidRDefault="0096798D" w:rsidP="0096798D">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Son también contratos de consultoría los que tienen por objeto la interventoría, asesoría, gerencia de obra o de proyectos, dirección, programación y la ejecución de diseños, planos, anteproyectos y proyectos.</w:t>
      </w:r>
    </w:p>
    <w:p w14:paraId="4718AB42" w14:textId="77777777" w:rsidR="0096798D" w:rsidRPr="00097DBE" w:rsidRDefault="0096798D" w:rsidP="0096798D">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Ninguna orden del interventor de una obra podrá darse verbalmente. Es obligatorio para el interventor entregar por escrito sus órdenes o sugerencias y ellas deben enmarcarse dentro de los términos del respectivo contrato”.</w:t>
      </w:r>
    </w:p>
    <w:p w14:paraId="186ECD3C" w14:textId="77777777" w:rsidR="0096798D" w:rsidRPr="00097DBE" w:rsidRDefault="0096798D" w:rsidP="0096798D">
      <w:pPr>
        <w:pStyle w:val="Textonotapie"/>
        <w:ind w:firstLine="709"/>
        <w:contextualSpacing/>
        <w:jc w:val="both"/>
        <w:rPr>
          <w:rFonts w:ascii="Verdana" w:hAnsi="Verdana" w:cs="Arial"/>
          <w:sz w:val="16"/>
          <w:szCs w:val="16"/>
          <w:lang w:val="es-ES"/>
        </w:rPr>
      </w:pPr>
    </w:p>
  </w:footnote>
  <w:footnote w:id="12">
    <w:p w14:paraId="6DC4417F" w14:textId="77777777" w:rsidR="0096798D" w:rsidRPr="00097DBE" w:rsidRDefault="0096798D" w:rsidP="0096798D">
      <w:pPr>
        <w:pStyle w:val="Textonotapie"/>
        <w:ind w:firstLine="709"/>
        <w:contextualSpacing/>
        <w:jc w:val="both"/>
        <w:rPr>
          <w:rFonts w:ascii="Verdana" w:hAnsi="Verdana" w:cs="Arial"/>
          <w:sz w:val="16"/>
          <w:szCs w:val="16"/>
          <w:lang w:val="es-ES"/>
        </w:rPr>
      </w:pPr>
      <w:r w:rsidRPr="00097DBE">
        <w:rPr>
          <w:rStyle w:val="Refdenotaalpie"/>
          <w:rFonts w:ascii="Verdana" w:hAnsi="Verdana" w:cs="Arial"/>
          <w:sz w:val="16"/>
          <w:szCs w:val="16"/>
        </w:rPr>
        <w:footnoteRef/>
      </w:r>
      <w:r w:rsidRPr="00097DBE">
        <w:rPr>
          <w:rFonts w:ascii="Verdana" w:hAnsi="Verdana" w:cs="Arial"/>
          <w:sz w:val="16"/>
          <w:szCs w:val="16"/>
        </w:rPr>
        <w:t xml:space="preserve"> </w:t>
      </w:r>
      <w:r w:rsidRPr="00097DBE">
        <w:rPr>
          <w:rFonts w:ascii="Verdana" w:hAnsi="Verdana" w:cs="Arial"/>
          <w:sz w:val="16"/>
          <w:szCs w:val="16"/>
          <w:lang w:val="es-ES"/>
        </w:rPr>
        <w:t>Así lo dispone el artículo 2.2.1.2.1.4.1. del Decreto 1082 de 2015: “La Entidad Estatal debe señalar en un acto administrativo la justificación para contratar bajo la modalidad de contratación directa, el cual debe contener:</w:t>
      </w:r>
    </w:p>
    <w:p w14:paraId="1D11A903" w14:textId="77777777" w:rsidR="0096798D" w:rsidRPr="00097DBE" w:rsidRDefault="0096798D" w:rsidP="0096798D">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1. La causal que invoca para contratar directamente.</w:t>
      </w:r>
    </w:p>
    <w:p w14:paraId="498DA5F1" w14:textId="77777777" w:rsidR="0096798D" w:rsidRPr="00097DBE" w:rsidRDefault="0096798D" w:rsidP="0096798D">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2. El objeto del contrato.</w:t>
      </w:r>
    </w:p>
    <w:p w14:paraId="5A23DDD3" w14:textId="77777777" w:rsidR="0096798D" w:rsidRPr="00097DBE" w:rsidRDefault="0096798D" w:rsidP="0096798D">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3. El presupuesto para la contratación y las condiciones que exigirá al contratista.</w:t>
      </w:r>
    </w:p>
    <w:p w14:paraId="2D01C83D" w14:textId="77777777" w:rsidR="0096798D" w:rsidRPr="00C0717E" w:rsidRDefault="0096798D" w:rsidP="0096798D">
      <w:pPr>
        <w:pStyle w:val="Textonotapie"/>
        <w:ind w:firstLine="709"/>
        <w:contextualSpacing/>
        <w:jc w:val="both"/>
        <w:rPr>
          <w:rFonts w:ascii="Verdana" w:hAnsi="Verdana" w:cs="Arial"/>
          <w:sz w:val="18"/>
          <w:szCs w:val="18"/>
          <w:lang w:val="es-ES"/>
        </w:rPr>
      </w:pPr>
      <w:r w:rsidRPr="00097DBE">
        <w:rPr>
          <w:rFonts w:ascii="Verdana" w:hAnsi="Verdana" w:cs="Arial"/>
          <w:sz w:val="16"/>
          <w:szCs w:val="16"/>
          <w:lang w:val="es-ES"/>
        </w:rPr>
        <w:t>4. El lugar en el cual los interesados pueden consultar los estudios y documentos previos</w:t>
      </w:r>
      <w:r w:rsidRPr="00C0717E">
        <w:rPr>
          <w:rFonts w:ascii="Verdana" w:hAnsi="Verdana" w:cs="Arial"/>
          <w:sz w:val="18"/>
          <w:szCs w:val="18"/>
          <w:lang w:val="es-ES"/>
        </w:rPr>
        <w:t>.</w:t>
      </w:r>
    </w:p>
    <w:p w14:paraId="386B84CF" w14:textId="77777777" w:rsidR="0096798D" w:rsidRPr="00441AF3" w:rsidRDefault="0096798D" w:rsidP="0096798D">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13">
    <w:p w14:paraId="0FD2B8F7" w14:textId="77777777" w:rsidR="0096798D" w:rsidRPr="00441AF3" w:rsidRDefault="0096798D" w:rsidP="0096798D">
      <w:pPr>
        <w:pStyle w:val="Textonotapie"/>
        <w:contextualSpacing/>
        <w:jc w:val="both"/>
        <w:rPr>
          <w:rFonts w:ascii="Verdana" w:hAnsi="Verdana" w:cs="Arial"/>
          <w:sz w:val="16"/>
          <w:szCs w:val="16"/>
        </w:rPr>
      </w:pPr>
    </w:p>
    <w:p w14:paraId="220EA550" w14:textId="77777777" w:rsidR="0096798D" w:rsidRPr="00441AF3" w:rsidRDefault="0096798D" w:rsidP="0096798D">
      <w:pPr>
        <w:pStyle w:val="Textonotapie"/>
        <w:ind w:firstLine="709"/>
        <w:contextualSpacing/>
        <w:jc w:val="both"/>
        <w:rPr>
          <w:rFonts w:ascii="Verdana" w:hAnsi="Verdana" w:cs="Arial"/>
          <w:sz w:val="16"/>
          <w:szCs w:val="16"/>
          <w:lang w:val="es-ES"/>
        </w:rPr>
      </w:pPr>
      <w:r w:rsidRPr="00441AF3">
        <w:rPr>
          <w:rStyle w:val="Refdenotaalpie"/>
          <w:rFonts w:ascii="Verdana" w:hAnsi="Verdana" w:cs="Arial"/>
          <w:sz w:val="16"/>
          <w:szCs w:val="16"/>
        </w:rPr>
        <w:footnoteRef/>
      </w:r>
      <w:r w:rsidRPr="00441AF3">
        <w:rPr>
          <w:rFonts w:ascii="Verdana" w:hAnsi="Verdana" w:cs="Arial"/>
          <w:sz w:val="16"/>
          <w:szCs w:val="16"/>
        </w:rPr>
        <w:t xml:space="preserve"> </w:t>
      </w:r>
      <w:r w:rsidRPr="00441AF3">
        <w:rPr>
          <w:rFonts w:ascii="Verdana" w:hAnsi="Verdana" w:cs="Arial"/>
          <w:sz w:val="16"/>
          <w:szCs w:val="16"/>
          <w:lang w:val="es-ES"/>
        </w:rPr>
        <w:t xml:space="preserve">La norma expresa: “Art. 14. </w:t>
      </w:r>
      <w:r w:rsidRPr="00441AF3">
        <w:rPr>
          <w:rFonts w:ascii="Verdana" w:hAnsi="Verdana" w:cs="Arial"/>
          <w:sz w:val="16"/>
          <w:szCs w:val="16"/>
        </w:rPr>
        <w:t>P</w:t>
      </w:r>
      <w:r w:rsidRPr="00441AF3">
        <w:rPr>
          <w:rFonts w:ascii="Verdana" w:hAnsi="Verdana" w:cs="Arial"/>
          <w:sz w:val="16"/>
          <w:szCs w:val="16"/>
          <w:lang w:val="es-ES"/>
        </w:rPr>
        <w:t>ara el cumplimiento de los fines de la contratación, las entidades estatales al celebrar un contrato:</w:t>
      </w:r>
    </w:p>
    <w:p w14:paraId="26E8AFC7" w14:textId="77777777" w:rsidR="0096798D" w:rsidRPr="00441AF3" w:rsidRDefault="0096798D" w:rsidP="0096798D">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w:t>
      </w:r>
    </w:p>
    <w:p w14:paraId="47AC243C" w14:textId="77777777" w:rsidR="0096798D" w:rsidRPr="00441AF3" w:rsidRDefault="0096798D" w:rsidP="0096798D">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31F6DB74" w14:textId="77777777" w:rsidR="0096798D" w:rsidRPr="00441AF3" w:rsidRDefault="0096798D" w:rsidP="0096798D">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Las entidades estatales podrán pactar estas cláusulas en los contratos de suministro y de prestación de servicios.</w:t>
      </w:r>
    </w:p>
    <w:p w14:paraId="664DB9D2" w14:textId="77777777" w:rsidR="0096798D" w:rsidRPr="00441AF3" w:rsidRDefault="0096798D" w:rsidP="0096798D">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w:t>
      </w:r>
    </w:p>
    <w:p w14:paraId="4EDE8E78" w14:textId="77777777" w:rsidR="0096798D" w:rsidRPr="00441AF3" w:rsidRDefault="0096798D" w:rsidP="0096798D">
      <w:pPr>
        <w:pStyle w:val="Textonotapie"/>
        <w:ind w:firstLine="709"/>
        <w:contextualSpacing/>
        <w:jc w:val="both"/>
        <w:rPr>
          <w:rFonts w:ascii="Verdana" w:hAnsi="Verdana" w:cs="Arial"/>
          <w:sz w:val="16"/>
          <w:szCs w:val="16"/>
          <w:lang w:val="es-ES"/>
        </w:rPr>
      </w:pPr>
    </w:p>
  </w:footnote>
  <w:footnote w:id="14">
    <w:p w14:paraId="4B0C81FC" w14:textId="77777777" w:rsidR="0096798D" w:rsidRPr="00441AF3" w:rsidRDefault="0096798D" w:rsidP="0096798D">
      <w:pPr>
        <w:pStyle w:val="Textonotapie"/>
        <w:ind w:firstLine="709"/>
        <w:contextualSpacing/>
        <w:jc w:val="both"/>
        <w:rPr>
          <w:rFonts w:ascii="Verdana" w:hAnsi="Verdana" w:cs="Arial"/>
          <w:sz w:val="16"/>
          <w:szCs w:val="16"/>
          <w:lang w:val="es-ES"/>
        </w:rPr>
      </w:pPr>
      <w:r w:rsidRPr="00441AF3">
        <w:rPr>
          <w:rStyle w:val="Refdenotaalpie"/>
          <w:rFonts w:ascii="Verdana" w:hAnsi="Verdana" w:cs="Arial"/>
          <w:sz w:val="16"/>
          <w:szCs w:val="16"/>
        </w:rPr>
        <w:footnoteRef/>
      </w:r>
      <w:r w:rsidRPr="00441AF3">
        <w:rPr>
          <w:rFonts w:ascii="Verdana" w:hAnsi="Verdana" w:cs="Arial"/>
          <w:sz w:val="16"/>
          <w:szCs w:val="16"/>
        </w:rPr>
        <w:t xml:space="preserve"> </w:t>
      </w:r>
      <w:r w:rsidRPr="00441AF3">
        <w:rPr>
          <w:rFonts w:ascii="Verdana" w:hAnsi="Verdana" w:cs="Arial"/>
          <w:sz w:val="16"/>
          <w:szCs w:val="16"/>
          <w:lang w:val="es-ES"/>
        </w:rPr>
        <w:t>La norma dispone: “La liquidación a que se refiere el presente artículo no será obligatoria en los contratos de prestación de servicios profesionales y de apoyo a la gestión”.</w:t>
      </w:r>
    </w:p>
    <w:p w14:paraId="39E38C12" w14:textId="77777777" w:rsidR="0096798D" w:rsidRPr="00441AF3" w:rsidRDefault="0096798D" w:rsidP="0096798D">
      <w:pPr>
        <w:pStyle w:val="Textonotapie"/>
        <w:ind w:firstLine="709"/>
        <w:contextualSpacing/>
        <w:jc w:val="both"/>
        <w:rPr>
          <w:rFonts w:ascii="Verdana" w:hAnsi="Verdana" w:cs="Arial"/>
          <w:sz w:val="16"/>
          <w:szCs w:val="16"/>
          <w:lang w:val="es-ES"/>
        </w:rPr>
      </w:pPr>
    </w:p>
  </w:footnote>
  <w:footnote w:id="15">
    <w:p w14:paraId="69815B1D" w14:textId="77777777" w:rsidR="0096798D" w:rsidRPr="00441AF3" w:rsidRDefault="0096798D" w:rsidP="0096798D">
      <w:pPr>
        <w:pStyle w:val="Textonotapie"/>
        <w:ind w:firstLine="709"/>
        <w:contextualSpacing/>
        <w:jc w:val="both"/>
        <w:rPr>
          <w:rFonts w:ascii="Verdana" w:hAnsi="Verdana" w:cs="Arial"/>
          <w:sz w:val="16"/>
          <w:szCs w:val="16"/>
        </w:rPr>
      </w:pPr>
      <w:r w:rsidRPr="00441AF3">
        <w:rPr>
          <w:rStyle w:val="Refdenotaalpie"/>
          <w:rFonts w:ascii="Verdana" w:hAnsi="Verdana" w:cs="Arial"/>
          <w:sz w:val="16"/>
          <w:szCs w:val="16"/>
        </w:rPr>
        <w:footnoteRef/>
      </w:r>
      <w:r w:rsidRPr="00441AF3">
        <w:rPr>
          <w:rFonts w:ascii="Verdana" w:hAnsi="Verdana" w:cs="Arial"/>
          <w:sz w:val="16"/>
          <w:szCs w:val="16"/>
        </w:rPr>
        <w:t xml:space="preserve"> Según dicho artículo: “Art.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229159CE" w14:textId="77777777" w:rsidR="0096798D" w:rsidRPr="00C0717E" w:rsidRDefault="0096798D" w:rsidP="0096798D">
      <w:pPr>
        <w:pStyle w:val="Textonotapie"/>
        <w:ind w:firstLine="709"/>
        <w:contextualSpacing/>
        <w:jc w:val="both"/>
        <w:rPr>
          <w:rFonts w:ascii="Verdana" w:hAnsi="Verdana" w:cs="Arial"/>
          <w:sz w:val="18"/>
          <w:szCs w:val="18"/>
        </w:rPr>
      </w:pPr>
      <w:r w:rsidRPr="00441AF3">
        <w:rPr>
          <w:rFonts w:ascii="Verdana" w:hAnsi="Verdana" w:cs="Arial"/>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3D2EE763" w14:textId="77777777" w:rsidR="0096798D" w:rsidRPr="00C0717E" w:rsidRDefault="0096798D" w:rsidP="0096798D">
      <w:pPr>
        <w:pStyle w:val="Textonotapie"/>
        <w:ind w:firstLine="709"/>
        <w:contextualSpacing/>
        <w:jc w:val="both"/>
        <w:rPr>
          <w:rFonts w:ascii="Verdana" w:hAnsi="Verdana" w:cs="Arial"/>
          <w:sz w:val="18"/>
          <w:szCs w:val="18"/>
        </w:rPr>
      </w:pPr>
      <w:r w:rsidRPr="00C0717E">
        <w:rPr>
          <w:rFonts w:ascii="Verdana" w:hAnsi="Verdana" w:cs="Arial"/>
          <w:sz w:val="18"/>
          <w:szCs w:val="18"/>
        </w:rPr>
        <w:t>[…]”.</w:t>
      </w:r>
    </w:p>
    <w:p w14:paraId="4B6F999B" w14:textId="77777777" w:rsidR="0096798D" w:rsidRPr="00C0717E" w:rsidRDefault="0096798D" w:rsidP="0096798D">
      <w:pPr>
        <w:pStyle w:val="Textonotapie"/>
        <w:ind w:firstLine="709"/>
        <w:contextualSpacing/>
        <w:jc w:val="both"/>
        <w:rPr>
          <w:rFonts w:ascii="Verdana" w:hAnsi="Verdana" w:cs="Arial"/>
          <w:sz w:val="18"/>
          <w:szCs w:val="18"/>
          <w:lang w:val="es-ES"/>
        </w:rPr>
      </w:pPr>
    </w:p>
  </w:footnote>
  <w:footnote w:id="16">
    <w:p w14:paraId="1364A494" w14:textId="77777777" w:rsidR="0096798D" w:rsidRPr="00441AF3" w:rsidRDefault="0096798D" w:rsidP="0096798D">
      <w:pPr>
        <w:pStyle w:val="Textonotapie"/>
        <w:contextualSpacing/>
        <w:jc w:val="both"/>
        <w:rPr>
          <w:rFonts w:ascii="Verdana" w:hAnsi="Verdana" w:cs="Arial"/>
          <w:sz w:val="16"/>
          <w:szCs w:val="16"/>
          <w:lang w:val="es-ES"/>
        </w:rPr>
      </w:pPr>
      <w:r w:rsidRPr="00441AF3">
        <w:rPr>
          <w:rStyle w:val="Refdenotaalpie"/>
          <w:rFonts w:ascii="Verdana" w:hAnsi="Verdana" w:cs="Arial"/>
          <w:sz w:val="16"/>
          <w:szCs w:val="16"/>
        </w:rPr>
        <w:footnoteRef/>
      </w:r>
      <w:r w:rsidRPr="00441AF3">
        <w:rPr>
          <w:rFonts w:ascii="Verdana" w:hAnsi="Verdana" w:cs="Arial"/>
          <w:sz w:val="16"/>
          <w:szCs w:val="16"/>
        </w:rPr>
        <w:t xml:space="preserve"> </w:t>
      </w:r>
      <w:r w:rsidRPr="00441AF3">
        <w:rPr>
          <w:rFonts w:ascii="Verdana" w:hAnsi="Verdana" w:cs="Arial"/>
          <w:sz w:val="16"/>
          <w:szCs w:val="16"/>
          <w:lang w:val="es-ES"/>
        </w:rPr>
        <w:t>Así lo establece el Decreto 1082 de 2015: “Artículo 2.2.1.2.1.4.5. No obligatoriedad de garantías. En la contratación directa la exigencia de garantías establecidas en la Sección 3, que comprende los artículos 2.2.1.2.3.1.1 al 2.2.1.2.3.5.1. del presente decreto no es obligatoria y la justificación para exigirlas o no debe estar en los estudios y documentos previos”.</w:t>
      </w:r>
    </w:p>
    <w:p w14:paraId="170A905E" w14:textId="77777777" w:rsidR="0096798D" w:rsidRPr="00441AF3" w:rsidRDefault="0096798D" w:rsidP="0096798D">
      <w:pPr>
        <w:pStyle w:val="Textonotapie"/>
        <w:ind w:firstLine="709"/>
        <w:contextualSpacing/>
        <w:jc w:val="both"/>
        <w:rPr>
          <w:rFonts w:ascii="Verdana" w:hAnsi="Verdana" w:cs="Arial"/>
          <w:sz w:val="16"/>
          <w:szCs w:val="16"/>
          <w:lang w:val="es-ES"/>
        </w:rPr>
      </w:pPr>
    </w:p>
  </w:footnote>
  <w:footnote w:id="17">
    <w:p w14:paraId="0B512E62" w14:textId="77777777" w:rsidR="0096798D" w:rsidRPr="00140995" w:rsidRDefault="0096798D" w:rsidP="0096798D">
      <w:pPr>
        <w:pStyle w:val="Textonotapie"/>
        <w:ind w:firstLine="708"/>
        <w:jc w:val="both"/>
        <w:rPr>
          <w:rFonts w:ascii="Verdana" w:hAnsi="Verdana" w:cs="Arial"/>
          <w:color w:val="000000" w:themeColor="text1"/>
          <w:sz w:val="16"/>
          <w:szCs w:val="16"/>
        </w:rPr>
      </w:pPr>
      <w:r w:rsidRPr="00140995">
        <w:rPr>
          <w:rFonts w:ascii="Verdana" w:hAnsi="Verdana" w:cs="Arial"/>
          <w:color w:val="000000" w:themeColor="text1"/>
          <w:sz w:val="16"/>
          <w:szCs w:val="16"/>
          <w:vertAlign w:val="superscript"/>
        </w:rPr>
        <w:footnoteRef/>
      </w:r>
      <w:r w:rsidRPr="00140995">
        <w:rPr>
          <w:rFonts w:ascii="Verdana" w:hAnsi="Verdana" w:cs="Arial"/>
          <w:color w:val="000000" w:themeColor="text1"/>
          <w:sz w:val="16"/>
          <w:szCs w:val="16"/>
        </w:rPr>
        <w:t xml:space="preserve"> Constitución Política de 1886: «Artículo 64.- Nadie podrá recibir dos sueldos del Tesoro público, salvo lo que para casos especiales determinen las leyes».</w:t>
      </w:r>
    </w:p>
    <w:p w14:paraId="446D1CF9" w14:textId="77777777" w:rsidR="0096798D" w:rsidRPr="00D42531" w:rsidRDefault="0096798D" w:rsidP="0096798D">
      <w:pPr>
        <w:pStyle w:val="Textonotapie"/>
        <w:ind w:firstLine="708"/>
        <w:jc w:val="both"/>
        <w:rPr>
          <w:rFonts w:ascii="Verdana" w:hAnsi="Verdana" w:cs="Arial"/>
          <w:color w:val="000000" w:themeColor="text1"/>
          <w:sz w:val="16"/>
          <w:szCs w:val="16"/>
          <w:lang w:val="es-CO"/>
        </w:rPr>
      </w:pPr>
    </w:p>
  </w:footnote>
  <w:footnote w:id="18">
    <w:p w14:paraId="28FD5F37" w14:textId="77777777" w:rsidR="0096798D" w:rsidRPr="00140995" w:rsidRDefault="0096798D" w:rsidP="0096798D">
      <w:pPr>
        <w:spacing w:after="0" w:line="240" w:lineRule="auto"/>
        <w:ind w:left="300" w:right="434" w:firstLine="720"/>
        <w:jc w:val="both"/>
        <w:rPr>
          <w:rFonts w:ascii="Verdana" w:hAnsi="Verdana" w:cs="Arial"/>
          <w:color w:val="000000" w:themeColor="text1"/>
          <w:sz w:val="16"/>
          <w:szCs w:val="16"/>
        </w:rPr>
      </w:pPr>
      <w:r w:rsidRPr="00140995">
        <w:rPr>
          <w:rStyle w:val="Refdenotaalpie"/>
          <w:rFonts w:ascii="Verdana" w:hAnsi="Verdana" w:cs="Arial"/>
          <w:color w:val="000000" w:themeColor="text1"/>
          <w:sz w:val="16"/>
          <w:szCs w:val="16"/>
        </w:rPr>
        <w:footnoteRef/>
      </w:r>
      <w:r w:rsidRPr="00140995">
        <w:rPr>
          <w:rFonts w:ascii="Verdana" w:hAnsi="Verdana" w:cs="Arial"/>
          <w:color w:val="000000" w:themeColor="text1"/>
          <w:sz w:val="16"/>
          <w:szCs w:val="16"/>
        </w:rPr>
        <w:t xml:space="preserve"> Ley 78 de 1931: “Artículo 1°: Entiéndese por tesoro público el dinero que, a cualquier título, ingrese a las oficinas públicas, sean nacionales, departamentales o municipales.</w:t>
      </w:r>
    </w:p>
    <w:p w14:paraId="1B3A83E5" w14:textId="77777777" w:rsidR="0096798D" w:rsidRPr="00140995" w:rsidRDefault="0096798D" w:rsidP="0096798D">
      <w:pPr>
        <w:spacing w:after="0" w:line="240" w:lineRule="auto"/>
        <w:ind w:left="300" w:right="474"/>
        <w:jc w:val="both"/>
        <w:rPr>
          <w:rFonts w:ascii="Verdana" w:hAnsi="Verdana" w:cs="Arial"/>
          <w:color w:val="000000" w:themeColor="text1"/>
          <w:sz w:val="16"/>
          <w:szCs w:val="16"/>
        </w:rPr>
      </w:pPr>
      <w:r w:rsidRPr="00140995">
        <w:rPr>
          <w:rFonts w:ascii="Verdana" w:hAnsi="Verdana" w:cs="Arial"/>
          <w:color w:val="000000" w:themeColor="text1"/>
          <w:sz w:val="16"/>
          <w:szCs w:val="16"/>
        </w:rPr>
        <w:t>“En consecuencia, la prohibición de que trata el artículo 64 de la Constitución comprende a los individuos que devengan simultáneamente sueldos de la nación, del departamento o del municipio”.</w:t>
      </w:r>
    </w:p>
  </w:footnote>
  <w:footnote w:id="19">
    <w:p w14:paraId="2EE2A389" w14:textId="77777777" w:rsidR="0096798D" w:rsidRPr="00140995" w:rsidRDefault="0096798D" w:rsidP="0096798D">
      <w:pPr>
        <w:spacing w:after="0" w:line="240" w:lineRule="auto"/>
        <w:ind w:firstLine="708"/>
        <w:jc w:val="both"/>
        <w:rPr>
          <w:rFonts w:ascii="Verdana" w:hAnsi="Verdana" w:cs="Arial"/>
          <w:sz w:val="16"/>
          <w:szCs w:val="16"/>
          <w:vertAlign w:val="superscript"/>
        </w:rPr>
      </w:pPr>
      <w:r w:rsidRPr="00140995">
        <w:rPr>
          <w:rStyle w:val="Refdenotaalpie"/>
          <w:rFonts w:ascii="Verdana" w:hAnsi="Verdana" w:cs="Arial"/>
          <w:color w:val="000000" w:themeColor="text1"/>
          <w:sz w:val="16"/>
          <w:szCs w:val="16"/>
        </w:rPr>
        <w:footnoteRef/>
      </w:r>
      <w:r w:rsidRPr="00140995">
        <w:rPr>
          <w:rStyle w:val="Refdenotaalpie"/>
          <w:rFonts w:ascii="Verdana" w:hAnsi="Verdana" w:cs="Arial"/>
          <w:sz w:val="16"/>
          <w:szCs w:val="16"/>
        </w:rPr>
        <w:t xml:space="preserve"> Acto legislativo No. 1 de 1936: </w:t>
      </w:r>
      <w:r w:rsidRPr="00140995">
        <w:rPr>
          <w:rStyle w:val="Refdenotaalpie"/>
          <w:rFonts w:ascii="Verdana" w:hAnsi="Verdana"/>
          <w:sz w:val="16"/>
          <w:szCs w:val="16"/>
        </w:rPr>
        <w:t>«</w:t>
      </w:r>
      <w:r w:rsidRPr="00140995">
        <w:rPr>
          <w:rStyle w:val="Refdenotaalpie"/>
          <w:rFonts w:ascii="Verdana" w:hAnsi="Verdana" w:cs="Arial"/>
          <w:sz w:val="16"/>
          <w:szCs w:val="16"/>
        </w:rPr>
        <w:t>Artículo 23: Nadie podrá recibir más de una asignación que provenga del Tesoro Público o de empresas o instituciones en que tenga parte principal el Estado, salvo lo que para casos especiales determinen las leyes. Entiéndese por Tesoro Público el de la Nación, los Departamentos y los Municipios</w:t>
      </w:r>
      <w:r w:rsidRPr="00140995">
        <w:rPr>
          <w:rStyle w:val="Refdenotaalpie"/>
          <w:rFonts w:ascii="Verdana" w:hAnsi="Verdana"/>
          <w:sz w:val="16"/>
          <w:szCs w:val="16"/>
        </w:rPr>
        <w:t>»</w:t>
      </w:r>
      <w:r w:rsidRPr="00140995">
        <w:rPr>
          <w:rStyle w:val="Refdenotaalpie"/>
          <w:rFonts w:ascii="Verdana" w:hAnsi="Verdana" w:cs="Arial"/>
          <w:sz w:val="16"/>
          <w:szCs w:val="16"/>
        </w:rPr>
        <w:t>.</w:t>
      </w:r>
    </w:p>
  </w:footnote>
  <w:footnote w:id="20">
    <w:p w14:paraId="47A89337" w14:textId="77777777" w:rsidR="0096798D" w:rsidRPr="00140995" w:rsidRDefault="0096798D" w:rsidP="0096798D">
      <w:pPr>
        <w:spacing w:after="0" w:line="240" w:lineRule="auto"/>
        <w:ind w:firstLine="708"/>
        <w:jc w:val="both"/>
        <w:rPr>
          <w:rFonts w:ascii="Verdana" w:hAnsi="Verdana" w:cs="Arial"/>
          <w:color w:val="000000" w:themeColor="text1"/>
          <w:sz w:val="16"/>
          <w:szCs w:val="16"/>
        </w:rPr>
      </w:pPr>
      <w:r w:rsidRPr="00140995">
        <w:rPr>
          <w:rStyle w:val="Refdenotaalpie"/>
          <w:rFonts w:ascii="Verdana" w:hAnsi="Verdana" w:cs="Arial"/>
          <w:color w:val="000000" w:themeColor="text1"/>
          <w:sz w:val="16"/>
          <w:szCs w:val="16"/>
        </w:rPr>
        <w:footnoteRef/>
      </w:r>
      <w:r w:rsidRPr="00140995">
        <w:rPr>
          <w:rFonts w:ascii="Verdana" w:hAnsi="Verdana" w:cs="Arial"/>
          <w:color w:val="000000" w:themeColor="text1"/>
          <w:sz w:val="16"/>
          <w:szCs w:val="16"/>
        </w:rPr>
        <w:t xml:space="preserve"> «Artículo 19. Nadie podrá desempeñar simultáneamente más de un empleo público, ni recibir más de una asignación que provenga del Tesoro Público, o de empresas o de instituciones en las que tenga parte mayoritaria el Estado. Exceptúense las siguientes</w:t>
      </w:r>
      <w:r w:rsidRPr="00140995">
        <w:rPr>
          <w:rFonts w:ascii="Verdana" w:hAnsi="Verdana" w:cs="Arial"/>
          <w:color w:val="000000" w:themeColor="text1"/>
          <w:spacing w:val="-2"/>
          <w:sz w:val="16"/>
          <w:szCs w:val="16"/>
        </w:rPr>
        <w:t xml:space="preserve"> </w:t>
      </w:r>
      <w:r w:rsidRPr="00140995">
        <w:rPr>
          <w:rFonts w:ascii="Verdana" w:hAnsi="Verdana" w:cs="Arial"/>
          <w:color w:val="000000" w:themeColor="text1"/>
          <w:sz w:val="16"/>
          <w:szCs w:val="16"/>
        </w:rPr>
        <w:t>asignaciones: a) Las que reciban los profesores universitarios que se desempeñen como asesores de la Rama</w:t>
      </w:r>
      <w:r w:rsidRPr="00140995">
        <w:rPr>
          <w:rFonts w:ascii="Verdana" w:hAnsi="Verdana" w:cs="Arial"/>
          <w:color w:val="000000" w:themeColor="text1"/>
          <w:spacing w:val="-5"/>
          <w:sz w:val="16"/>
          <w:szCs w:val="16"/>
        </w:rPr>
        <w:t xml:space="preserve"> </w:t>
      </w:r>
      <w:r w:rsidRPr="00140995">
        <w:rPr>
          <w:rFonts w:ascii="Verdana" w:hAnsi="Verdana" w:cs="Arial"/>
          <w:color w:val="000000" w:themeColor="text1"/>
          <w:sz w:val="16"/>
          <w:szCs w:val="16"/>
        </w:rPr>
        <w:t>Legislativa; b)Las percibidas por el personal con asignación de retiro o pensión militar o policial de la Fuerza</w:t>
      </w:r>
      <w:r w:rsidRPr="00140995">
        <w:rPr>
          <w:rFonts w:ascii="Verdana" w:hAnsi="Verdana" w:cs="Arial"/>
          <w:color w:val="000000" w:themeColor="text1"/>
          <w:spacing w:val="-5"/>
          <w:sz w:val="16"/>
          <w:szCs w:val="16"/>
        </w:rPr>
        <w:t xml:space="preserve"> </w:t>
      </w:r>
      <w:r w:rsidRPr="00140995">
        <w:rPr>
          <w:rFonts w:ascii="Verdana" w:hAnsi="Verdana" w:cs="Arial"/>
          <w:color w:val="000000" w:themeColor="text1"/>
          <w:sz w:val="16"/>
          <w:szCs w:val="16"/>
        </w:rPr>
        <w:t>Pública; c) Las percibidas por concepto de sustitución</w:t>
      </w:r>
      <w:r w:rsidRPr="00140995">
        <w:rPr>
          <w:rFonts w:ascii="Verdana" w:hAnsi="Verdana" w:cs="Arial"/>
          <w:color w:val="000000" w:themeColor="text1"/>
          <w:spacing w:val="-8"/>
          <w:sz w:val="16"/>
          <w:szCs w:val="16"/>
        </w:rPr>
        <w:t xml:space="preserve"> </w:t>
      </w:r>
      <w:r w:rsidRPr="00140995">
        <w:rPr>
          <w:rFonts w:ascii="Verdana" w:hAnsi="Verdana" w:cs="Arial"/>
          <w:color w:val="000000" w:themeColor="text1"/>
          <w:sz w:val="16"/>
          <w:szCs w:val="16"/>
        </w:rPr>
        <w:t>pensional; d) Los honorarios percibidos por concepto de</w:t>
      </w:r>
      <w:r w:rsidRPr="00140995">
        <w:rPr>
          <w:rFonts w:ascii="Verdana" w:hAnsi="Verdana" w:cs="Arial"/>
          <w:color w:val="000000" w:themeColor="text1"/>
          <w:spacing w:val="-8"/>
          <w:sz w:val="16"/>
          <w:szCs w:val="16"/>
        </w:rPr>
        <w:t xml:space="preserve"> </w:t>
      </w:r>
      <w:r w:rsidRPr="00140995">
        <w:rPr>
          <w:rFonts w:ascii="Verdana" w:hAnsi="Verdana" w:cs="Arial"/>
          <w:color w:val="000000" w:themeColor="text1"/>
          <w:sz w:val="16"/>
          <w:szCs w:val="16"/>
        </w:rPr>
        <w:t>hora-cátedra; e)Los honorarios percibidos por concepto de servicios profesionales de</w:t>
      </w:r>
      <w:r w:rsidRPr="00140995">
        <w:rPr>
          <w:rFonts w:ascii="Verdana" w:hAnsi="Verdana" w:cs="Arial"/>
          <w:color w:val="000000" w:themeColor="text1"/>
          <w:spacing w:val="-18"/>
          <w:sz w:val="16"/>
          <w:szCs w:val="16"/>
        </w:rPr>
        <w:t xml:space="preserve"> </w:t>
      </w:r>
      <w:r w:rsidRPr="00140995">
        <w:rPr>
          <w:rFonts w:ascii="Verdana" w:hAnsi="Verdana" w:cs="Arial"/>
          <w:color w:val="000000" w:themeColor="text1"/>
          <w:sz w:val="16"/>
          <w:szCs w:val="16"/>
        </w:rPr>
        <w:t>salud; f)Los honorarios percibidos por los miembros de las Juntas Directivas, en razón de su asistencia a las mismas, siempre que no se trate de más de dos</w:t>
      </w:r>
      <w:r w:rsidRPr="00140995">
        <w:rPr>
          <w:rFonts w:ascii="Verdana" w:hAnsi="Verdana" w:cs="Arial"/>
          <w:color w:val="000000" w:themeColor="text1"/>
          <w:spacing w:val="-21"/>
          <w:sz w:val="16"/>
          <w:szCs w:val="16"/>
        </w:rPr>
        <w:t xml:space="preserve"> </w:t>
      </w:r>
      <w:r w:rsidRPr="00140995">
        <w:rPr>
          <w:rFonts w:ascii="Verdana" w:hAnsi="Verdana" w:cs="Arial"/>
          <w:color w:val="000000" w:themeColor="text1"/>
          <w:sz w:val="16"/>
          <w:szCs w:val="16"/>
        </w:rPr>
        <w:t>juntas; g) Las que a la fecha de entrar en vigencia la presente Ley beneficien a los servidores oficiales docentes</w:t>
      </w:r>
      <w:r w:rsidRPr="00140995">
        <w:rPr>
          <w:rFonts w:ascii="Verdana" w:hAnsi="Verdana" w:cs="Arial"/>
          <w:color w:val="000000" w:themeColor="text1"/>
          <w:spacing w:val="-4"/>
          <w:sz w:val="16"/>
          <w:szCs w:val="16"/>
        </w:rPr>
        <w:t xml:space="preserve"> </w:t>
      </w:r>
      <w:r w:rsidRPr="00140995">
        <w:rPr>
          <w:rFonts w:ascii="Verdana" w:hAnsi="Verdana" w:cs="Arial"/>
          <w:color w:val="000000" w:themeColor="text1"/>
          <w:sz w:val="16"/>
          <w:szCs w:val="16"/>
        </w:rPr>
        <w:t>pensionados.</w:t>
      </w:r>
    </w:p>
    <w:p w14:paraId="292473A8" w14:textId="77777777" w:rsidR="0096798D" w:rsidRPr="00996366" w:rsidRDefault="0096798D" w:rsidP="0096798D">
      <w:pPr>
        <w:pStyle w:val="Prrafodelista"/>
        <w:widowControl w:val="0"/>
        <w:tabs>
          <w:tab w:val="left" w:pos="1308"/>
        </w:tabs>
        <w:autoSpaceDE w:val="0"/>
        <w:autoSpaceDN w:val="0"/>
        <w:ind w:left="0" w:firstLine="709"/>
        <w:contextualSpacing w:val="0"/>
        <w:jc w:val="both"/>
        <w:rPr>
          <w:rFonts w:ascii="Arial" w:hAnsi="Arial" w:cs="Arial"/>
          <w:color w:val="000000" w:themeColor="text1"/>
          <w:sz w:val="19"/>
          <w:szCs w:val="19"/>
        </w:rPr>
      </w:pPr>
      <w:r w:rsidRPr="00140995">
        <w:rPr>
          <w:rFonts w:ascii="Verdana" w:hAnsi="Verdana" w:cs="Arial"/>
          <w:color w:val="000000" w:themeColor="text1"/>
          <w:sz w:val="16"/>
          <w:szCs w:val="16"/>
        </w:rPr>
        <w:t>»Parágrafo. No se podrán recibir honorarios que sumados correspondan a más de ocho (8) horas diarias de trabajo a varias entidades».</w:t>
      </w:r>
    </w:p>
  </w:footnote>
  <w:footnote w:id="21">
    <w:p w14:paraId="7675C33A" w14:textId="77777777" w:rsidR="0096798D" w:rsidRPr="00996366" w:rsidRDefault="0096798D" w:rsidP="0096798D">
      <w:pPr>
        <w:pStyle w:val="Textonotapie"/>
        <w:ind w:firstLine="708"/>
        <w:jc w:val="both"/>
        <w:rPr>
          <w:rFonts w:ascii="Arial" w:hAnsi="Arial" w:cs="Arial"/>
          <w:sz w:val="19"/>
          <w:szCs w:val="19"/>
        </w:rPr>
      </w:pPr>
      <w:r w:rsidRPr="00996366">
        <w:rPr>
          <w:rStyle w:val="Refdenotaalpie"/>
          <w:rFonts w:ascii="Arial" w:hAnsi="Arial" w:cs="Arial"/>
          <w:sz w:val="19"/>
          <w:szCs w:val="19"/>
        </w:rPr>
        <w:footnoteRef/>
      </w:r>
      <w:r w:rsidRPr="00996366">
        <w:rPr>
          <w:rFonts w:ascii="Arial" w:hAnsi="Arial" w:cs="Arial"/>
          <w:sz w:val="19"/>
          <w:szCs w:val="19"/>
        </w:rPr>
        <w:t xml:space="preserve"> </w:t>
      </w:r>
      <w:r w:rsidRPr="00140995">
        <w:rPr>
          <w:rFonts w:ascii="Verdana" w:hAnsi="Verdana" w:cs="Arial"/>
          <w:sz w:val="16"/>
          <w:szCs w:val="16"/>
        </w:rPr>
        <w:t>Consejo de Estado. Sala de Consulta y Servicio Civil. Concepto del 10 de mayo de 2001. Exp. No. 1344. C.P. Flavio Augusto Rodríguez Arce.</w:t>
      </w:r>
    </w:p>
  </w:footnote>
  <w:footnote w:id="22">
    <w:p w14:paraId="1ECF880D" w14:textId="77777777" w:rsidR="0096798D" w:rsidRPr="00092E52" w:rsidRDefault="0096798D" w:rsidP="0096798D">
      <w:pPr>
        <w:pStyle w:val="Textonotapie"/>
        <w:ind w:firstLine="708"/>
        <w:jc w:val="both"/>
        <w:rPr>
          <w:rFonts w:ascii="Verdana" w:hAnsi="Verdana" w:cs="Arial"/>
          <w:sz w:val="16"/>
          <w:szCs w:val="16"/>
        </w:rPr>
      </w:pPr>
      <w:r w:rsidRPr="00140995">
        <w:rPr>
          <w:rStyle w:val="Refdenotaalpie"/>
          <w:rFonts w:ascii="Verdana" w:hAnsi="Verdana" w:cs="Arial"/>
          <w:sz w:val="16"/>
          <w:szCs w:val="16"/>
        </w:rPr>
        <w:footnoteRef/>
      </w:r>
      <w:r w:rsidRPr="00140995">
        <w:rPr>
          <w:rFonts w:ascii="Verdana" w:hAnsi="Verdana" w:cs="Arial"/>
          <w:sz w:val="16"/>
          <w:szCs w:val="16"/>
        </w:rPr>
        <w:t xml:space="preserve"> Para la jurispr</w:t>
      </w:r>
      <w:r w:rsidRPr="00092E52">
        <w:rPr>
          <w:rFonts w:ascii="Verdana" w:hAnsi="Verdana" w:cs="Arial"/>
          <w:sz w:val="16"/>
          <w:szCs w:val="16"/>
        </w:rPr>
        <w:t>udencia, «La expresión "buena fé" (bona fides) indica que las personas deben celebrar sus negocios, cumplir sus obligaciones y, en general, emplear con los demás una conducta leal. La lealtad en el derecho se desdobla en dos direcciones: primeramente, cada persona tiene el deber de emplear para con los demás una conducta leal, una conducta ajustada a las exigencias del decoro social; en segundo término, cada cual tiene el derecho de esperar de los demás esa misma lealtad. Trátase de una lealtad (o buena fé) activa, si consideramos la manera de obrar para con los demás, y de una lealtad pasiva, si consideramos el derecho que cada cual tiene de confiar en que los demás obren con nosotros decorosamente». Por el contrario, «[…] obra de mala fé quien pretende obtener ventajas o beneficios sin una suficiente dosis de probidad o pulcritud; vale decir, si se pretende obtener algo no autorizado por la buena costumbre. Desde luego, toda persona trata de obtener ventajas en sus transacciones. Pero quien pretende obtener tales ventajas obrando en sentido contrario a la buena costumbre, actúa de mala fé. El hombre de buena fé trata del obtener ventajas, pero éstas se encuentran autorizadas por la buena costumbre» (Cfr. CORTE SUPREMA DE JUSTICIA. Sala de Casación Civil. Sentencia del 23 de junio de 1958. M.P. Arturo Valencia Zea. Publicada en la Gaceta Judicial Nº LXXXVIII. p. 233).</w:t>
      </w:r>
    </w:p>
  </w:footnote>
  <w:footnote w:id="23">
    <w:p w14:paraId="1AA3177E" w14:textId="77777777" w:rsidR="0096798D" w:rsidRPr="00C05384" w:rsidRDefault="0096798D" w:rsidP="0096798D">
      <w:pPr>
        <w:pStyle w:val="Textonotapie"/>
        <w:ind w:firstLine="709"/>
        <w:jc w:val="both"/>
        <w:rPr>
          <w:rFonts w:ascii="Verdana" w:hAnsi="Verdana"/>
          <w:sz w:val="16"/>
          <w:szCs w:val="16"/>
          <w:lang w:val="es-ES"/>
        </w:rPr>
      </w:pPr>
      <w:r w:rsidRPr="00C05384">
        <w:rPr>
          <w:rStyle w:val="Refdenotaalpie"/>
          <w:rFonts w:ascii="Verdana" w:hAnsi="Verdana"/>
          <w:sz w:val="16"/>
          <w:szCs w:val="16"/>
        </w:rPr>
        <w:footnoteRef/>
      </w:r>
      <w:r w:rsidRPr="00C05384">
        <w:rPr>
          <w:rFonts w:ascii="Verdana" w:hAnsi="Verdana"/>
          <w:sz w:val="16"/>
          <w:szCs w:val="16"/>
        </w:rPr>
        <w:t xml:space="preserve"> Consejo de Estado. Sala de Consulta y Servicio Civil. Concepto del 08 de mayo de 2018. Exp. 2.382. C.P. Álvaro Namén Vargas.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2.2pt;height:12.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BE7758F"/>
    <w:multiLevelType w:val="hybridMultilevel"/>
    <w:tmpl w:val="15860DC0"/>
    <w:lvl w:ilvl="0" w:tplc="F4EA7E54">
      <w:start w:val="1"/>
      <w:numFmt w:val="lowerRoman"/>
      <w:lvlText w:val="%1)"/>
      <w:lvlJc w:val="left"/>
      <w:pPr>
        <w:ind w:left="1440" w:hanging="720"/>
      </w:pPr>
      <w:rPr>
        <w:rFonts w:hint="default"/>
        <w:color w:val="auto"/>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AAF0DA7"/>
    <w:multiLevelType w:val="hybridMultilevel"/>
    <w:tmpl w:val="A4B43DCC"/>
    <w:lvl w:ilvl="0" w:tplc="2F1A6926">
      <w:start w:val="1"/>
      <w:numFmt w:val="lowerRoman"/>
      <w:lvlText w:val="%1."/>
      <w:lvlJc w:val="left"/>
      <w:pPr>
        <w:ind w:left="1080" w:hanging="720"/>
      </w:pPr>
      <w:rPr>
        <w:rFonts w:hint="default"/>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470F4BF1"/>
    <w:multiLevelType w:val="hybridMultilevel"/>
    <w:tmpl w:val="38BC026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4EFB3685"/>
    <w:multiLevelType w:val="hybridMultilevel"/>
    <w:tmpl w:val="67F22258"/>
    <w:lvl w:ilvl="0" w:tplc="A75265A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6"/>
  </w:num>
  <w:num w:numId="7">
    <w:abstractNumId w:val="6"/>
  </w:num>
  <w:num w:numId="8">
    <w:abstractNumId w:val="15"/>
  </w:num>
  <w:num w:numId="9">
    <w:abstractNumId w:val="8"/>
  </w:num>
  <w:num w:numId="10">
    <w:abstractNumId w:val="14"/>
  </w:num>
  <w:num w:numId="11">
    <w:abstractNumId w:val="9"/>
  </w:num>
  <w:num w:numId="12">
    <w:abstractNumId w:val="1"/>
  </w:num>
  <w:num w:numId="13">
    <w:abstractNumId w:val="3"/>
  </w:num>
  <w:num w:numId="14">
    <w:abstractNumId w:val="17"/>
  </w:num>
  <w:num w:numId="15">
    <w:abstractNumId w:val="13"/>
  </w:num>
  <w:num w:numId="16">
    <w:abstractNumId w:val="0"/>
  </w:num>
  <w:num w:numId="17">
    <w:abstractNumId w:val="4"/>
  </w:num>
  <w:num w:numId="18">
    <w:abstractNumId w:val="12"/>
  </w:num>
  <w:num w:numId="19">
    <w:abstractNumId w:val="10"/>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81D44"/>
    <w:rsid w:val="004A1847"/>
    <w:rsid w:val="004A305D"/>
    <w:rsid w:val="004F21C4"/>
    <w:rsid w:val="004F685F"/>
    <w:rsid w:val="00547020"/>
    <w:rsid w:val="005566E8"/>
    <w:rsid w:val="00574867"/>
    <w:rsid w:val="00591460"/>
    <w:rsid w:val="005A65E0"/>
    <w:rsid w:val="005C3777"/>
    <w:rsid w:val="005C5CDC"/>
    <w:rsid w:val="005D476C"/>
    <w:rsid w:val="006200BF"/>
    <w:rsid w:val="006219F8"/>
    <w:rsid w:val="006302F7"/>
    <w:rsid w:val="00646B9F"/>
    <w:rsid w:val="00665D70"/>
    <w:rsid w:val="0067677F"/>
    <w:rsid w:val="006900D9"/>
    <w:rsid w:val="00706C16"/>
    <w:rsid w:val="007340C3"/>
    <w:rsid w:val="0075235A"/>
    <w:rsid w:val="00756841"/>
    <w:rsid w:val="007649AB"/>
    <w:rsid w:val="00771D0C"/>
    <w:rsid w:val="007833AC"/>
    <w:rsid w:val="00786626"/>
    <w:rsid w:val="007B268C"/>
    <w:rsid w:val="007B7171"/>
    <w:rsid w:val="007C0C0F"/>
    <w:rsid w:val="007C3DC2"/>
    <w:rsid w:val="007E5497"/>
    <w:rsid w:val="00806F5F"/>
    <w:rsid w:val="00820278"/>
    <w:rsid w:val="008258C9"/>
    <w:rsid w:val="00844AE9"/>
    <w:rsid w:val="00852E5D"/>
    <w:rsid w:val="00867F95"/>
    <w:rsid w:val="008843B6"/>
    <w:rsid w:val="00891928"/>
    <w:rsid w:val="008A446D"/>
    <w:rsid w:val="008B25F1"/>
    <w:rsid w:val="008D180B"/>
    <w:rsid w:val="008F0EA7"/>
    <w:rsid w:val="00923EEF"/>
    <w:rsid w:val="009419F9"/>
    <w:rsid w:val="0095275C"/>
    <w:rsid w:val="0095685E"/>
    <w:rsid w:val="00961B09"/>
    <w:rsid w:val="00965334"/>
    <w:rsid w:val="0096798D"/>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E07FA"/>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1805"/>
    <w:rsid w:val="00DF1849"/>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4D916CF"/>
    <w:rsid w:val="19A2EC2C"/>
    <w:rsid w:val="1DAB9D50"/>
    <w:rsid w:val="2859CA1B"/>
    <w:rsid w:val="30DC66A8"/>
    <w:rsid w:val="32A4F9CF"/>
    <w:rsid w:val="356CEDFD"/>
    <w:rsid w:val="39F3AEAC"/>
    <w:rsid w:val="42C145D4"/>
    <w:rsid w:val="657FE089"/>
    <w:rsid w:val="69614A15"/>
    <w:rsid w:val="72BEC318"/>
    <w:rsid w:val="7B6D35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6798D"/>
    <w:pPr>
      <w:spacing w:line="240" w:lineRule="exact"/>
    </w:pPr>
    <w:rPr>
      <w:vertAlign w:val="superscript"/>
    </w:rPr>
  </w:style>
  <w:style w:type="paragraph" w:styleId="Textoindependiente">
    <w:name w:val="Body Text"/>
    <w:basedOn w:val="Normal"/>
    <w:link w:val="TextoindependienteCar"/>
    <w:uiPriority w:val="1"/>
    <w:unhideWhenUsed/>
    <w:qFormat/>
    <w:rsid w:val="0096798D"/>
    <w:pPr>
      <w:spacing w:after="120"/>
    </w:pPr>
  </w:style>
  <w:style w:type="character" w:customStyle="1" w:styleId="TextoindependienteCar">
    <w:name w:val="Texto independiente Car"/>
    <w:basedOn w:val="Fuentedeprrafopredeter"/>
    <w:link w:val="Textoindependiente"/>
    <w:uiPriority w:val="1"/>
    <w:rsid w:val="0096798D"/>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6798D"/>
    <w:rPr>
      <w:rFonts w:ascii="Geomanist Light" w:hAnsi="Geomanist Light"/>
      <w:lang w:val="es-ES"/>
    </w:rPr>
  </w:style>
  <w:style w:type="paragraph" w:styleId="Textocomentario">
    <w:name w:val="annotation text"/>
    <w:basedOn w:val="Normal"/>
    <w:link w:val="TextocomentarioCar"/>
    <w:uiPriority w:val="99"/>
    <w:semiHidden/>
    <w:unhideWhenUsed/>
    <w:rsid w:val="00786626"/>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786626"/>
    <w:rPr>
      <w:sz w:val="20"/>
      <w:szCs w:val="20"/>
    </w:rPr>
  </w:style>
  <w:style w:type="character" w:styleId="Refdecomentario">
    <w:name w:val="annotation reference"/>
    <w:basedOn w:val="Fuentedeprrafopredeter"/>
    <w:uiPriority w:val="99"/>
    <w:semiHidden/>
    <w:unhideWhenUsed/>
    <w:rsid w:val="00786626"/>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tmp"/><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6002CBF-33E7-4B12-B679-767F35BF3B00}"/>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20</Pages>
  <Words>5624</Words>
  <Characters>30934</Characters>
  <Application>Microsoft Office Word</Application>
  <DocSecurity>0</DocSecurity>
  <Lines>257</Lines>
  <Paragraphs>72</Paragraphs>
  <ScaleCrop>false</ScaleCrop>
  <Company/>
  <LinksUpToDate>false</LinksUpToDate>
  <CharactersWithSpaces>36486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3</cp:revision>
  <cp:lastPrinted>2023-01-10T21:18:00Z</cp:lastPrinted>
  <dcterms:created xsi:type="dcterms:W3CDTF">2025-12-26T17:16:00Z</dcterms:created>
  <dcterms:modified xsi:type="dcterms:W3CDTF">2025-12-28T16:39:00Z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