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472631" w14:textId="77777777" w:rsidR="0086345B" w:rsidRPr="0086345B" w:rsidRDefault="0086345B" w:rsidP="0086345B">
      <w:pPr>
        <w:spacing w:after="0" w:line="240" w:lineRule="auto"/>
        <w:jc w:val="both"/>
        <w:rPr>
          <w:rFonts w:ascii="Verdana" w:hAnsi="Verdana" w:cs="Arial"/>
          <w:b/>
          <w:lang w:eastAsia="es-ES"/>
        </w:rPr>
      </w:pPr>
      <w:bookmarkStart w:id="0" w:name="_Hlk143780582"/>
      <w:bookmarkStart w:id="1" w:name="_GoBack"/>
      <w:bookmarkEnd w:id="1"/>
      <w:r w:rsidRPr="0086345B">
        <w:rPr>
          <w:rFonts w:ascii="Verdana" w:hAnsi="Verdana" w:cs="Arial"/>
          <w:b/>
          <w:lang w:eastAsia="es-ES"/>
        </w:rPr>
        <w:t>ARTÍCULO 355 DE LA CONSTITUCIÓN POLÍTICA – Formas de colaboración o coope</w:t>
      </w:r>
      <w:r w:rsidRPr="0086345B">
        <w:rPr>
          <w:rFonts w:ascii="Verdana" w:hAnsi="Verdana" w:cs="Arial"/>
          <w:b/>
          <w:lang w:eastAsia="es-ES"/>
        </w:rPr>
        <w:t xml:space="preserve">ración – Estado y particulares </w:t>
      </w:r>
    </w:p>
    <w:p w14:paraId="5522B300" w14:textId="4050BD5C" w:rsidR="0086345B" w:rsidRDefault="0086345B" w:rsidP="0086345B">
      <w:pPr>
        <w:spacing w:after="0" w:line="240" w:lineRule="auto"/>
        <w:jc w:val="both"/>
        <w:rPr>
          <w:rFonts w:ascii="Verdana" w:hAnsi="Verdana" w:cs="Arial"/>
          <w:b/>
          <w:lang w:eastAsia="es-ES"/>
        </w:rPr>
      </w:pPr>
    </w:p>
    <w:p w14:paraId="590ECE00" w14:textId="4F6900EE" w:rsidR="0086345B" w:rsidRPr="0086345B" w:rsidRDefault="0086345B" w:rsidP="0086345B">
      <w:pPr>
        <w:spacing w:after="0" w:line="240" w:lineRule="auto"/>
        <w:jc w:val="both"/>
        <w:rPr>
          <w:rFonts w:ascii="Verdana" w:hAnsi="Verdana" w:cs="Arial"/>
          <w:sz w:val="20"/>
          <w:lang w:val="es-MX" w:eastAsia="es-ES"/>
        </w:rPr>
      </w:pPr>
      <w:r w:rsidRPr="0086345B">
        <w:rPr>
          <w:rFonts w:ascii="Verdana" w:hAnsi="Verdana" w:cs="Arial"/>
          <w:sz w:val="20"/>
          <w:lang w:val="es-MX" w:eastAsia="es-ES"/>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747D45BD" w14:textId="77777777" w:rsidR="0086345B" w:rsidRPr="0086345B" w:rsidRDefault="0086345B" w:rsidP="0086345B">
      <w:pPr>
        <w:spacing w:after="0" w:line="240" w:lineRule="auto"/>
        <w:jc w:val="both"/>
        <w:rPr>
          <w:rFonts w:ascii="Verdana" w:hAnsi="Verdana" w:cs="Arial"/>
          <w:b/>
          <w:lang w:val="es-MX" w:eastAsia="es-ES"/>
        </w:rPr>
      </w:pPr>
    </w:p>
    <w:p w14:paraId="4F43234E" w14:textId="5F89C4D4" w:rsidR="0086345B" w:rsidRDefault="0086345B" w:rsidP="0086345B">
      <w:pPr>
        <w:spacing w:after="0" w:line="240" w:lineRule="auto"/>
        <w:jc w:val="both"/>
        <w:rPr>
          <w:rFonts w:ascii="Verdana" w:hAnsi="Verdana" w:cs="Arial"/>
          <w:b/>
          <w:lang w:eastAsia="es-ES"/>
        </w:rPr>
      </w:pPr>
      <w:r w:rsidRPr="0086345B">
        <w:rPr>
          <w:rFonts w:ascii="Verdana" w:hAnsi="Verdana" w:cs="Arial"/>
          <w:b/>
          <w:lang w:eastAsia="es-ES"/>
        </w:rPr>
        <w:t>DECRETO 092 DE 2017 – Convenios de interés púb</w:t>
      </w:r>
      <w:r w:rsidRPr="0086345B">
        <w:rPr>
          <w:rFonts w:ascii="Verdana" w:hAnsi="Verdana" w:cs="Arial"/>
          <w:b/>
          <w:lang w:eastAsia="es-ES"/>
        </w:rPr>
        <w:t xml:space="preserve">lico – Convenios de asociación </w:t>
      </w:r>
    </w:p>
    <w:p w14:paraId="629EF5E0" w14:textId="179EA9A8" w:rsidR="0086345B" w:rsidRDefault="0086345B" w:rsidP="0086345B">
      <w:pPr>
        <w:spacing w:after="0" w:line="240" w:lineRule="auto"/>
        <w:jc w:val="both"/>
        <w:rPr>
          <w:rFonts w:ascii="Verdana" w:hAnsi="Verdana" w:cs="Arial"/>
          <w:b/>
          <w:lang w:eastAsia="es-ES"/>
        </w:rPr>
      </w:pPr>
    </w:p>
    <w:p w14:paraId="3CDF614E" w14:textId="467C257B" w:rsidR="0086345B" w:rsidRDefault="0086345B" w:rsidP="0086345B">
      <w:pPr>
        <w:spacing w:after="0" w:line="240" w:lineRule="auto"/>
        <w:jc w:val="both"/>
        <w:rPr>
          <w:rFonts w:ascii="Verdana" w:hAnsi="Verdana" w:cs="Arial"/>
          <w:sz w:val="20"/>
          <w:lang w:val="es-MX" w:eastAsia="es-ES"/>
        </w:rPr>
      </w:pPr>
      <w:r w:rsidRPr="0086345B">
        <w:rPr>
          <w:rFonts w:ascii="Verdana" w:hAnsi="Verdana" w:cs="Arial"/>
          <w:sz w:val="20"/>
          <w:lang w:val="es-MX" w:eastAsia="es-ES"/>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86345B">
        <w:rPr>
          <w:rFonts w:ascii="Verdana" w:hAnsi="Verdana" w:cs="Arial"/>
          <w:i/>
          <w:iCs/>
          <w:sz w:val="20"/>
          <w:lang w:val="es-MX" w:eastAsia="es-ES"/>
        </w:rPr>
        <w:t>contratos de colaboración</w:t>
      </w:r>
      <w:r w:rsidRPr="0086345B">
        <w:rPr>
          <w:rFonts w:ascii="Verdana" w:hAnsi="Verdana" w:cs="Arial"/>
          <w:sz w:val="20"/>
          <w:lang w:val="es-MX" w:eastAsia="es-ES"/>
        </w:rPr>
        <w:t xml:space="preserve"> o de interés público, con el fin impulsar programas y actividades de interés público de acuerdo con el Plan Nacional o los planes seccionales de desarrollo, en los términos del artículo 355 de la Constitución Política; y ii) los </w:t>
      </w:r>
      <w:r w:rsidRPr="0086345B">
        <w:rPr>
          <w:rFonts w:ascii="Verdana" w:hAnsi="Verdana" w:cs="Arial"/>
          <w:i/>
          <w:iCs/>
          <w:sz w:val="20"/>
          <w:lang w:val="es-MX" w:eastAsia="es-ES"/>
        </w:rPr>
        <w:t>convenios de asociación</w:t>
      </w:r>
      <w:r w:rsidRPr="0086345B">
        <w:rPr>
          <w:rFonts w:ascii="Verdana" w:hAnsi="Verdana" w:cs="Arial"/>
          <w:sz w:val="20"/>
          <w:lang w:val="es-MX" w:eastAsia="es-ES"/>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86345B">
        <w:rPr>
          <w:rFonts w:ascii="Verdana" w:hAnsi="Verdana" w:cs="Arial"/>
          <w:i/>
          <w:iCs/>
          <w:sz w:val="20"/>
          <w:lang w:val="es-MX" w:eastAsia="es-ES"/>
        </w:rPr>
        <w:t>ibidem</w:t>
      </w:r>
      <w:r w:rsidRPr="0086345B">
        <w:rPr>
          <w:rFonts w:ascii="Verdana" w:hAnsi="Verdana" w:cs="Arial"/>
          <w:sz w:val="20"/>
          <w:lang w:val="es-MX" w:eastAsia="es-ES"/>
        </w:rPr>
        <w:t xml:space="preserve">. Es posible diferenciar, pues, los </w:t>
      </w:r>
      <w:r w:rsidRPr="0086345B">
        <w:rPr>
          <w:rFonts w:ascii="Verdana" w:hAnsi="Verdana" w:cs="Arial"/>
          <w:i/>
          <w:iCs/>
          <w:sz w:val="20"/>
          <w:lang w:val="es-MX" w:eastAsia="es-ES"/>
        </w:rPr>
        <w:t>convenios de asociación</w:t>
      </w:r>
      <w:r w:rsidRPr="0086345B">
        <w:rPr>
          <w:rFonts w:ascii="Verdana" w:hAnsi="Verdana" w:cs="Arial"/>
          <w:sz w:val="20"/>
          <w:lang w:val="es-MX" w:eastAsia="es-ES"/>
        </w:rPr>
        <w:t xml:space="preserve">, regulados en el artículo 5, de los </w:t>
      </w:r>
      <w:r w:rsidRPr="0086345B">
        <w:rPr>
          <w:rFonts w:ascii="Verdana" w:hAnsi="Verdana" w:cs="Arial"/>
          <w:i/>
          <w:iCs/>
          <w:sz w:val="20"/>
          <w:lang w:val="es-MX" w:eastAsia="es-ES"/>
        </w:rPr>
        <w:t>contratos de colaboración</w:t>
      </w:r>
      <w:r w:rsidRPr="0086345B">
        <w:rPr>
          <w:rFonts w:ascii="Verdana" w:hAnsi="Verdana" w:cs="Arial"/>
          <w:sz w:val="20"/>
          <w:lang w:val="es-MX" w:eastAsia="es-ES"/>
        </w:rPr>
        <w:t>, establecidos en el artículo 2 del Decreto 092 de 2017</w:t>
      </w:r>
      <w:r>
        <w:rPr>
          <w:rFonts w:ascii="Verdana" w:hAnsi="Verdana" w:cs="Arial"/>
          <w:sz w:val="20"/>
          <w:lang w:val="es-MX" w:eastAsia="es-ES"/>
        </w:rPr>
        <w:t>.</w:t>
      </w:r>
    </w:p>
    <w:p w14:paraId="23B6C703" w14:textId="77777777" w:rsidR="0086345B" w:rsidRPr="0086345B" w:rsidRDefault="0086345B" w:rsidP="0086345B">
      <w:pPr>
        <w:spacing w:after="0" w:line="240" w:lineRule="auto"/>
        <w:jc w:val="both"/>
        <w:rPr>
          <w:rFonts w:ascii="Verdana" w:hAnsi="Verdana" w:cs="Arial"/>
          <w:lang w:eastAsia="es-ES"/>
        </w:rPr>
      </w:pPr>
    </w:p>
    <w:p w14:paraId="13096EBB" w14:textId="77777777" w:rsidR="0086345B" w:rsidRPr="0086345B" w:rsidRDefault="0086345B" w:rsidP="0086345B">
      <w:pPr>
        <w:spacing w:after="0" w:line="240" w:lineRule="auto"/>
        <w:jc w:val="both"/>
        <w:rPr>
          <w:rFonts w:ascii="Verdana" w:hAnsi="Verdana" w:cs="Arial"/>
          <w:b/>
          <w:lang w:val="es-ES" w:eastAsia="es-ES"/>
        </w:rPr>
      </w:pPr>
      <w:r w:rsidRPr="0086345B">
        <w:rPr>
          <w:rFonts w:ascii="Verdana" w:hAnsi="Verdana" w:cs="Arial"/>
          <w:b/>
          <w:lang w:eastAsia="es-ES"/>
        </w:rPr>
        <w:t xml:space="preserve"> CONVENIOS DE ASOCIACIÓN – Artículo 5 del Decreto 092 de 2017 – Artículo 96 de la Ley 489 de 1998 – Requisitos </w:t>
      </w:r>
    </w:p>
    <w:p w14:paraId="1DB114B0" w14:textId="0C9E3555" w:rsidR="0086345B" w:rsidRDefault="0086345B" w:rsidP="0086345B">
      <w:pPr>
        <w:spacing w:after="0" w:line="240" w:lineRule="auto"/>
        <w:jc w:val="both"/>
        <w:rPr>
          <w:rFonts w:ascii="Verdana" w:hAnsi="Verdana" w:cs="Arial"/>
          <w:b/>
          <w:lang w:val="es-ES" w:eastAsia="es-ES"/>
        </w:rPr>
      </w:pPr>
    </w:p>
    <w:p w14:paraId="788879AB" w14:textId="12D3978A" w:rsidR="003A681A" w:rsidRDefault="003A681A" w:rsidP="003A681A">
      <w:pPr>
        <w:spacing w:after="0" w:line="240" w:lineRule="auto"/>
        <w:jc w:val="both"/>
        <w:rPr>
          <w:rFonts w:ascii="Verdana" w:hAnsi="Verdana" w:cs="Arial"/>
          <w:sz w:val="20"/>
          <w:lang w:val="es-MX" w:eastAsia="es-ES"/>
        </w:rPr>
      </w:pPr>
      <w:r w:rsidRPr="003A681A">
        <w:rPr>
          <w:rFonts w:ascii="Verdana" w:hAnsi="Verdana" w:cs="Arial"/>
          <w:sz w:val="20"/>
          <w:lang w:val="es-MX" w:eastAsia="es-ES"/>
        </w:rPr>
        <w:t xml:space="preserve">Los </w:t>
      </w:r>
      <w:r w:rsidRPr="003A681A">
        <w:rPr>
          <w:rFonts w:ascii="Verdana" w:hAnsi="Verdana" w:cs="Arial"/>
          <w:i/>
          <w:iCs/>
          <w:sz w:val="20"/>
          <w:lang w:val="es-MX" w:eastAsia="es-ES"/>
        </w:rPr>
        <w:t>convenios de asociación</w:t>
      </w:r>
      <w:r w:rsidRPr="003A681A">
        <w:rPr>
          <w:rFonts w:ascii="Verdana" w:hAnsi="Verdana" w:cs="Arial"/>
          <w:sz w:val="20"/>
          <w:lang w:val="es-MX" w:eastAsia="es-ES"/>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 Autónomo. </w:t>
      </w:r>
    </w:p>
    <w:p w14:paraId="5A6931F8" w14:textId="77777777" w:rsidR="003A681A" w:rsidRPr="003A681A" w:rsidRDefault="003A681A" w:rsidP="003A681A">
      <w:pPr>
        <w:spacing w:after="0" w:line="240" w:lineRule="auto"/>
        <w:jc w:val="both"/>
        <w:rPr>
          <w:rFonts w:ascii="Verdana" w:hAnsi="Verdana" w:cs="Arial"/>
          <w:sz w:val="20"/>
          <w:lang w:val="es-MX" w:eastAsia="es-ES"/>
        </w:rPr>
      </w:pPr>
    </w:p>
    <w:p w14:paraId="26B0819E" w14:textId="32BB6E8C" w:rsidR="003A681A" w:rsidRDefault="003A681A" w:rsidP="003A681A">
      <w:pPr>
        <w:spacing w:after="0" w:line="240" w:lineRule="auto"/>
        <w:jc w:val="both"/>
        <w:rPr>
          <w:rFonts w:ascii="Verdana" w:hAnsi="Verdana" w:cs="Arial"/>
          <w:sz w:val="20"/>
          <w:lang w:val="es-MX" w:eastAsia="es-ES"/>
        </w:rPr>
      </w:pPr>
      <w:r w:rsidRPr="003A681A">
        <w:rPr>
          <w:rFonts w:ascii="Verdana" w:hAnsi="Verdana" w:cs="Arial"/>
          <w:sz w:val="20"/>
          <w:lang w:val="es-MX" w:eastAsia="es-ES"/>
        </w:rPr>
        <w:t xml:space="preserve">En estos convenios no existe contraprestación o pago, sino aportes, los cuales están dirigidos, exclusivamente, a lograr la ejecución del convenio y no a remunerar la </w:t>
      </w:r>
      <w:r w:rsidRPr="003A681A">
        <w:rPr>
          <w:rFonts w:ascii="Verdana" w:hAnsi="Verdana" w:cs="Arial"/>
          <w:sz w:val="20"/>
          <w:lang w:val="es-MX" w:eastAsia="es-ES"/>
        </w:rPr>
        <w:lastRenderedPageBreak/>
        <w:t xml:space="preserve">actividad o actuaciones del asociado. De todos modos, la entidad debe adelantar un proceso competitivo, salvo cuando la ESAL comprometa recursos en dinero para la ejecución de estas actividades, en una proporción no inferior al 30% del valor total del convenio. </w:t>
      </w:r>
    </w:p>
    <w:p w14:paraId="5B8CBE7C" w14:textId="77777777" w:rsidR="003A681A" w:rsidRPr="003A681A" w:rsidRDefault="003A681A" w:rsidP="003A681A">
      <w:pPr>
        <w:spacing w:after="0" w:line="240" w:lineRule="auto"/>
        <w:jc w:val="both"/>
        <w:rPr>
          <w:rFonts w:ascii="Verdana" w:hAnsi="Verdana" w:cs="Arial"/>
          <w:sz w:val="20"/>
          <w:lang w:val="es-MX" w:eastAsia="es-ES"/>
        </w:rPr>
      </w:pPr>
    </w:p>
    <w:p w14:paraId="5C6964D6" w14:textId="77777777" w:rsidR="003A681A" w:rsidRPr="003A681A" w:rsidRDefault="003A681A" w:rsidP="003A681A">
      <w:pPr>
        <w:spacing w:after="0" w:line="240" w:lineRule="auto"/>
        <w:jc w:val="both"/>
        <w:rPr>
          <w:rFonts w:ascii="Verdana" w:hAnsi="Verdana" w:cs="Arial"/>
          <w:sz w:val="20"/>
          <w:lang w:val="es-MX" w:eastAsia="es-ES"/>
        </w:rPr>
      </w:pPr>
      <w:r w:rsidRPr="003A681A">
        <w:rPr>
          <w:rFonts w:ascii="Verdana" w:hAnsi="Verdana" w:cs="Arial"/>
          <w:sz w:val="20"/>
          <w:lang w:val="es-MX" w:eastAsia="es-ES"/>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2C70C5BD" w14:textId="77777777" w:rsidR="003A681A" w:rsidRPr="003A681A" w:rsidRDefault="003A681A" w:rsidP="0086345B">
      <w:pPr>
        <w:spacing w:after="0" w:line="240" w:lineRule="auto"/>
        <w:jc w:val="both"/>
        <w:rPr>
          <w:rFonts w:ascii="Verdana" w:hAnsi="Verdana" w:cs="Arial"/>
          <w:b/>
          <w:lang w:val="es-MX" w:eastAsia="es-ES"/>
        </w:rPr>
      </w:pPr>
    </w:p>
    <w:p w14:paraId="7B819DD3" w14:textId="77777777" w:rsidR="0086345B" w:rsidRPr="0086345B" w:rsidRDefault="0086345B" w:rsidP="0086345B">
      <w:pPr>
        <w:spacing w:after="0" w:line="240" w:lineRule="auto"/>
        <w:jc w:val="both"/>
        <w:rPr>
          <w:rFonts w:ascii="Verdana" w:hAnsi="Verdana" w:cs="Arial"/>
          <w:b/>
          <w:lang w:val="es-ES" w:eastAsia="es-ES"/>
        </w:rPr>
      </w:pPr>
      <w:r w:rsidRPr="0086345B">
        <w:rPr>
          <w:rFonts w:ascii="Verdana" w:hAnsi="Verdana" w:cs="Arial"/>
          <w:b/>
          <w:lang w:val="es-ES" w:eastAsia="es-ES"/>
        </w:rPr>
        <w:t>CONVENIOS DE ASOCIACIÓN – Requisitos – Nueva Guía para la contratación con Entidades Sin Ánimo de</w:t>
      </w:r>
      <w:r w:rsidRPr="0086345B">
        <w:rPr>
          <w:rFonts w:ascii="Verdana" w:hAnsi="Verdana" w:cs="Arial"/>
          <w:b/>
          <w:lang w:val="es-ES" w:eastAsia="es-ES"/>
        </w:rPr>
        <w:t xml:space="preserve"> Lucro y reconocida idoneidad </w:t>
      </w:r>
    </w:p>
    <w:p w14:paraId="20950EA5" w14:textId="0CBF713F" w:rsidR="0086345B" w:rsidRDefault="0086345B" w:rsidP="0086345B">
      <w:pPr>
        <w:spacing w:after="0" w:line="240" w:lineRule="auto"/>
        <w:jc w:val="both"/>
        <w:rPr>
          <w:rFonts w:ascii="Verdana" w:hAnsi="Verdana" w:cs="Arial"/>
          <w:b/>
          <w:lang w:val="es-ES" w:eastAsia="es-ES"/>
        </w:rPr>
      </w:pPr>
    </w:p>
    <w:p w14:paraId="276834F6" w14:textId="0C8D1B0A" w:rsidR="003A681A" w:rsidRPr="003A681A" w:rsidRDefault="003A681A" w:rsidP="003A681A">
      <w:pPr>
        <w:spacing w:after="0" w:line="240" w:lineRule="auto"/>
        <w:jc w:val="both"/>
        <w:rPr>
          <w:rFonts w:ascii="Verdana" w:hAnsi="Verdana" w:cs="Arial"/>
          <w:sz w:val="20"/>
          <w:lang w:eastAsia="es-ES"/>
        </w:rPr>
      </w:pPr>
      <w:r w:rsidRPr="003A681A">
        <w:rPr>
          <w:rFonts w:ascii="Verdana" w:hAnsi="Verdana" w:cs="Arial"/>
          <w:sz w:val="20"/>
          <w:lang w:val="es-MX" w:eastAsia="es-ES"/>
        </w:rPr>
        <w:t xml:space="preserve">A partir de lo expuesto, se encuentra que en la Nueva </w:t>
      </w:r>
      <w:r w:rsidRPr="003A681A">
        <w:rPr>
          <w:rFonts w:ascii="Verdana" w:hAnsi="Verdana" w:cs="Arial"/>
          <w:bCs/>
          <w:sz w:val="20"/>
          <w:lang w:eastAsia="es-ES"/>
        </w:rPr>
        <w:t>“</w:t>
      </w:r>
      <w:r w:rsidRPr="003A681A">
        <w:rPr>
          <w:rFonts w:ascii="Verdana" w:hAnsi="Verdana" w:cs="Arial"/>
          <w:bCs/>
          <w:i/>
          <w:iCs/>
          <w:sz w:val="20"/>
          <w:lang w:eastAsia="es-ES"/>
        </w:rPr>
        <w:t xml:space="preserve">Guía para la contratación con entidades privadas sin ánimo de lucro y de reconocida idoneidad” </w:t>
      </w:r>
      <w:r w:rsidRPr="003A681A">
        <w:rPr>
          <w:rFonts w:ascii="Verdana" w:hAnsi="Verdana" w:cs="Arial"/>
          <w:sz w:val="20"/>
          <w:lang w:val="es-MX" w:eastAsia="es-ES"/>
        </w:rPr>
        <w:t>se establece tres condiciones para contratar mediante convenios de asociación: en primer lugar, e</w:t>
      </w:r>
      <w:r w:rsidRPr="003A681A">
        <w:rPr>
          <w:rFonts w:ascii="Verdana" w:hAnsi="Verdana" w:cs="Arial"/>
          <w:sz w:val="20"/>
          <w:lang w:eastAsia="es-ES"/>
        </w:rPr>
        <w:t>l convenio de asociación debe suscribirse mediante un proceso competitivo con Entidades Privadas Sin Ánimo de Lucro de reconocida idoneidad, con la condición de que el aporte de la Entidad Privada Sin Ánimo de Lucro sea inferior al 30% en dinero propio o de cooperación internacional. En segundo lugar, la suscripción del convenio de asociación del convenio de asociación no está sujeto a un proceso competitivo cuando la Entidad Privada Sin Ánimo de Lucro comprometa recursos en dinero propio o de cooperación internacional para la ejecución de las actividades en un porcentaje no inferior al 30% del valor total del convenio. Por último, si más de una Entidad Privada Sin Ánimo de Lucro promete recursos en dinero para el desarrollo de las actividades del convenio de asociación en un porcentaje no inferior al 30% del valor total del convenio, la Entidad debe seleccionar de forma objetiva y con justificación las razones para dicha selección.</w:t>
      </w:r>
    </w:p>
    <w:p w14:paraId="1C52F5F9" w14:textId="77777777" w:rsidR="003A681A" w:rsidRPr="0086345B" w:rsidRDefault="003A681A" w:rsidP="0086345B">
      <w:pPr>
        <w:spacing w:after="0" w:line="240" w:lineRule="auto"/>
        <w:jc w:val="both"/>
        <w:rPr>
          <w:rFonts w:ascii="Verdana" w:hAnsi="Verdana" w:cs="Arial"/>
          <w:b/>
          <w:lang w:val="es-ES" w:eastAsia="es-ES"/>
        </w:rPr>
      </w:pPr>
    </w:p>
    <w:p w14:paraId="5FF21DF6" w14:textId="77777777" w:rsidR="0086345B" w:rsidRPr="0086345B" w:rsidRDefault="0086345B" w:rsidP="0086345B">
      <w:pPr>
        <w:spacing w:after="0" w:line="240" w:lineRule="auto"/>
        <w:jc w:val="both"/>
        <w:rPr>
          <w:rFonts w:ascii="Verdana" w:hAnsi="Verdana" w:cs="Arial"/>
          <w:b/>
          <w:lang w:val="es-ES" w:eastAsia="es-ES"/>
        </w:rPr>
      </w:pPr>
      <w:r w:rsidRPr="0086345B">
        <w:rPr>
          <w:rFonts w:ascii="Verdana" w:hAnsi="Verdana" w:cs="Arial"/>
          <w:b/>
          <w:lang w:val="es-ES" w:eastAsia="es-ES"/>
        </w:rPr>
        <w:t>INTEGRACIÓN NORMATIVA – Convenios de asociación – Reglas – Aplicación</w:t>
      </w:r>
      <w:r w:rsidRPr="0086345B">
        <w:rPr>
          <w:rFonts w:ascii="Verdana" w:hAnsi="Verdana" w:cs="Arial"/>
          <w:b/>
          <w:lang w:val="es-ES" w:eastAsia="es-ES"/>
        </w:rPr>
        <w:t xml:space="preserve"> de las normas presupuestales </w:t>
      </w:r>
    </w:p>
    <w:p w14:paraId="76934F2D" w14:textId="7420FF21" w:rsidR="0086345B" w:rsidRDefault="0086345B" w:rsidP="0086345B">
      <w:pPr>
        <w:spacing w:after="0" w:line="240" w:lineRule="auto"/>
        <w:jc w:val="both"/>
        <w:rPr>
          <w:rFonts w:ascii="Verdana" w:hAnsi="Verdana" w:cs="Arial"/>
          <w:b/>
          <w:lang w:val="es-ES" w:eastAsia="es-ES"/>
        </w:rPr>
      </w:pPr>
    </w:p>
    <w:p w14:paraId="032B8F1C" w14:textId="589196A7" w:rsidR="003A681A" w:rsidRPr="003A681A" w:rsidRDefault="003A681A" w:rsidP="003A681A">
      <w:pPr>
        <w:spacing w:after="0" w:line="240" w:lineRule="auto"/>
        <w:jc w:val="both"/>
        <w:rPr>
          <w:rFonts w:ascii="Verdana" w:hAnsi="Verdana" w:cs="Arial"/>
          <w:sz w:val="20"/>
          <w:lang w:val="es-ES" w:eastAsia="es-ES"/>
        </w:rPr>
      </w:pPr>
      <w:r w:rsidRPr="003A681A">
        <w:rPr>
          <w:rFonts w:ascii="Verdana" w:hAnsi="Verdana" w:cs="Arial"/>
          <w:sz w:val="20"/>
          <w:lang w:val="es-ES" w:eastAsia="es-ES"/>
        </w:rPr>
        <w:t>Se destaca que el artículo 7° del Decreto 092 de 2017 no se limita únicamente a reiterar los principios generales que orientan la contratación pública y otros aspectos, sino que también incorpora de manera expresa la referencia a las normas presupuestales. Esta doble vinculación resalta la importancia de entender la contratación no solo como un proceso regido por principios de transparencia, eficiencia y responsabilidad, sino también como una actividad que debe ajustarse estrictamente a las disposiciones presupuestales que garantizan la sostenibilidad y legalidad del gasto público.</w:t>
      </w:r>
    </w:p>
    <w:p w14:paraId="644D706A" w14:textId="77777777" w:rsidR="003A681A" w:rsidRPr="003A681A" w:rsidRDefault="003A681A" w:rsidP="003A681A">
      <w:pPr>
        <w:spacing w:after="0" w:line="240" w:lineRule="auto"/>
        <w:jc w:val="both"/>
        <w:rPr>
          <w:rFonts w:ascii="Verdana" w:hAnsi="Verdana" w:cs="Arial"/>
          <w:sz w:val="20"/>
          <w:lang w:val="es-ES" w:eastAsia="es-ES"/>
        </w:rPr>
      </w:pPr>
    </w:p>
    <w:p w14:paraId="391DD3DA" w14:textId="77777777" w:rsidR="003A681A" w:rsidRPr="003A681A" w:rsidRDefault="003A681A" w:rsidP="003A681A">
      <w:pPr>
        <w:spacing w:after="0" w:line="240" w:lineRule="auto"/>
        <w:jc w:val="both"/>
        <w:rPr>
          <w:rFonts w:ascii="Verdana" w:hAnsi="Verdana" w:cs="Arial"/>
          <w:sz w:val="20"/>
          <w:lang w:val="es-ES" w:eastAsia="es-ES"/>
        </w:rPr>
      </w:pPr>
      <w:r w:rsidRPr="003A681A">
        <w:rPr>
          <w:rFonts w:ascii="Verdana" w:hAnsi="Verdana" w:cs="Arial"/>
          <w:sz w:val="20"/>
          <w:lang w:val="es-ES" w:eastAsia="es-ES"/>
        </w:rPr>
        <w:t xml:space="preserve">En consecuencia, al momento de suscribir convenios de asociación resulta indispensable considerar las reglas presupuestales aplicables, pues estas determinan la disponibilidad de recursos, los límites de ejecución y las condiciones de legalidad del compromiso </w:t>
      </w:r>
      <w:r w:rsidRPr="003A681A">
        <w:rPr>
          <w:rFonts w:ascii="Verdana" w:hAnsi="Verdana" w:cs="Arial"/>
          <w:sz w:val="20"/>
          <w:lang w:val="es-ES" w:eastAsia="es-ES"/>
        </w:rPr>
        <w:lastRenderedPageBreak/>
        <w:t xml:space="preserve">adquirido. La observancia de dichas normas asegura que los convenios no solo cumplan con los fines de la contratación pública, sino que además se enmarquen en normas presupuestales responsables, aspecto que será objeto de análisis detallado en el apartado siguiente. </w:t>
      </w:r>
    </w:p>
    <w:p w14:paraId="30E89198" w14:textId="77777777" w:rsidR="003A681A" w:rsidRPr="0086345B" w:rsidRDefault="003A681A" w:rsidP="0086345B">
      <w:pPr>
        <w:spacing w:after="0" w:line="240" w:lineRule="auto"/>
        <w:jc w:val="both"/>
        <w:rPr>
          <w:rFonts w:ascii="Verdana" w:hAnsi="Verdana" w:cs="Arial"/>
          <w:b/>
          <w:lang w:val="es-ES" w:eastAsia="es-ES"/>
        </w:rPr>
      </w:pPr>
    </w:p>
    <w:p w14:paraId="3BAD6CB4" w14:textId="77777777" w:rsidR="003A681A" w:rsidRDefault="0086345B" w:rsidP="0086345B">
      <w:pPr>
        <w:spacing w:after="0" w:line="240" w:lineRule="auto"/>
        <w:jc w:val="both"/>
        <w:rPr>
          <w:rFonts w:ascii="Verdana" w:hAnsi="Verdana" w:cs="Arial"/>
          <w:b/>
          <w:bCs/>
          <w:lang w:val="es-ES" w:eastAsia="es-ES"/>
        </w:rPr>
      </w:pPr>
      <w:r w:rsidRPr="0086345B">
        <w:rPr>
          <w:rFonts w:ascii="Verdana" w:hAnsi="Verdana" w:cs="Arial"/>
          <w:b/>
          <w:bCs/>
          <w:lang w:val="es-ES" w:eastAsia="es-ES"/>
        </w:rPr>
        <w:t>PRINCI</w:t>
      </w:r>
      <w:r w:rsidR="003A681A">
        <w:rPr>
          <w:rFonts w:ascii="Verdana" w:hAnsi="Verdana" w:cs="Arial"/>
          <w:b/>
          <w:bCs/>
          <w:lang w:val="es-ES" w:eastAsia="es-ES"/>
        </w:rPr>
        <w:t xml:space="preserve">PIO DE ANUALIDAD – Fundamento </w:t>
      </w:r>
    </w:p>
    <w:p w14:paraId="0A5FBFEF" w14:textId="77777777" w:rsidR="003A681A" w:rsidRDefault="003A681A" w:rsidP="0086345B">
      <w:pPr>
        <w:spacing w:after="0" w:line="240" w:lineRule="auto"/>
        <w:jc w:val="both"/>
        <w:rPr>
          <w:rFonts w:ascii="Verdana" w:hAnsi="Verdana" w:cs="Arial"/>
          <w:b/>
          <w:bCs/>
          <w:lang w:val="es-ES" w:eastAsia="es-ES"/>
        </w:rPr>
      </w:pPr>
    </w:p>
    <w:p w14:paraId="2BED053D" w14:textId="21967811" w:rsidR="003A681A" w:rsidRDefault="00D56B89" w:rsidP="00D56B89">
      <w:pPr>
        <w:spacing w:after="0" w:line="240" w:lineRule="auto"/>
        <w:jc w:val="both"/>
        <w:rPr>
          <w:rFonts w:ascii="Verdana" w:hAnsi="Verdana" w:cs="Arial"/>
          <w:bCs/>
          <w:sz w:val="20"/>
          <w:lang w:val="es-ES" w:eastAsia="es-ES"/>
        </w:rPr>
      </w:pPr>
      <w:r w:rsidRPr="00D56B89">
        <w:rPr>
          <w:rFonts w:ascii="Verdana" w:hAnsi="Verdana" w:cs="Arial"/>
          <w:bCs/>
          <w:sz w:val="20"/>
          <w:lang w:val="es-ES" w:eastAsia="es-ES"/>
        </w:rPr>
        <w:t>Las entidades estatales deben sujetarse a los principios que rigen el sistema presupuestal, entre los cuales se encuentra el de anualidad del gasto público. Este principio encuentra fundamento constitucional en el artículo 346 superior que contiene el régimen general del presupuesto de rentas y la ley de apropiaciones, que deberá presentarse al Congreso dentro de los primeros diez días de cada legislatura, elaborarse y aprobarse dentro de un marco de sostenibilidad fiscal y corresponder al Plan Nacional de Desarrollo. De conformidad con la misma norma constitucional, el presupuesto tiene vigencia anual y, por tanto, tienen como finalidad fijar los gastos y las rentas nacionales del Estado para la respectiva vigencia fiscal anual.</w:t>
      </w:r>
    </w:p>
    <w:p w14:paraId="2488F3D4" w14:textId="77777777" w:rsidR="00D56B89" w:rsidRPr="00D56B89" w:rsidRDefault="00D56B89" w:rsidP="00D56B89">
      <w:pPr>
        <w:spacing w:after="0" w:line="240" w:lineRule="auto"/>
        <w:jc w:val="both"/>
        <w:rPr>
          <w:rFonts w:ascii="Verdana" w:hAnsi="Verdana" w:cs="Arial"/>
          <w:bCs/>
          <w:sz w:val="20"/>
          <w:lang w:val="es-ES" w:eastAsia="es-ES"/>
        </w:rPr>
      </w:pPr>
    </w:p>
    <w:p w14:paraId="36A15728" w14:textId="77777777" w:rsidR="003A681A" w:rsidRDefault="0086345B" w:rsidP="0086345B">
      <w:pPr>
        <w:spacing w:after="0" w:line="240" w:lineRule="auto"/>
        <w:jc w:val="both"/>
        <w:rPr>
          <w:rFonts w:ascii="Verdana" w:hAnsi="Verdana" w:cs="Arial"/>
          <w:b/>
          <w:lang w:val="es-ES" w:eastAsia="es-ES"/>
        </w:rPr>
      </w:pPr>
      <w:r w:rsidRPr="0086345B">
        <w:rPr>
          <w:rFonts w:ascii="Verdana" w:hAnsi="Verdana" w:cs="Arial"/>
          <w:b/>
          <w:bCs/>
          <w:lang w:val="es-ES" w:eastAsia="es-ES"/>
        </w:rPr>
        <w:t>PRINCIPIO DE ANUALIDAD</w:t>
      </w:r>
      <w:r w:rsidR="003A681A">
        <w:rPr>
          <w:rFonts w:ascii="Verdana" w:hAnsi="Verdana" w:cs="Arial"/>
          <w:b/>
          <w:lang w:val="es-ES" w:eastAsia="es-ES"/>
        </w:rPr>
        <w:t xml:space="preserve"> – Excepciones </w:t>
      </w:r>
    </w:p>
    <w:p w14:paraId="4C99E1E9" w14:textId="77777777" w:rsidR="003A681A" w:rsidRDefault="003A681A" w:rsidP="0086345B">
      <w:pPr>
        <w:spacing w:after="0" w:line="240" w:lineRule="auto"/>
        <w:jc w:val="both"/>
        <w:rPr>
          <w:rFonts w:ascii="Verdana" w:hAnsi="Verdana" w:cs="Arial"/>
          <w:b/>
          <w:lang w:val="es-ES" w:eastAsia="es-ES"/>
        </w:rPr>
      </w:pPr>
    </w:p>
    <w:p w14:paraId="495E8BB5" w14:textId="703ABADE" w:rsidR="003A681A" w:rsidRDefault="003A681A" w:rsidP="0086345B">
      <w:pPr>
        <w:spacing w:after="0" w:line="240" w:lineRule="auto"/>
        <w:jc w:val="both"/>
        <w:rPr>
          <w:rFonts w:ascii="Verdana" w:hAnsi="Verdana" w:cs="Arial"/>
          <w:sz w:val="20"/>
          <w:lang w:eastAsia="es-ES"/>
        </w:rPr>
      </w:pPr>
      <w:r w:rsidRPr="003A681A">
        <w:rPr>
          <w:rFonts w:ascii="Verdana" w:hAnsi="Verdana" w:cs="Arial"/>
          <w:sz w:val="20"/>
          <w:lang w:val="es-ES_tradnl" w:eastAsia="es-ES"/>
        </w:rPr>
        <w:t xml:space="preserve">Dentro de los mecanismos presupuestales que constituyen excepciones al principio de anualidad se identifican: i) las vigencias futuras, ii) las cuentas por pagar y iii) las reservas presupuestales. Las </w:t>
      </w:r>
      <w:r w:rsidRPr="003A681A">
        <w:rPr>
          <w:rFonts w:ascii="Verdana" w:hAnsi="Verdana" w:cs="Arial"/>
          <w:i/>
          <w:iCs/>
          <w:sz w:val="20"/>
          <w:lang w:val="es-ES_tradnl" w:eastAsia="es-ES"/>
        </w:rPr>
        <w:t>primeras</w:t>
      </w:r>
      <w:r w:rsidRPr="003A681A">
        <w:rPr>
          <w:rFonts w:ascii="Verdana" w:hAnsi="Verdana" w:cs="Arial"/>
          <w:sz w:val="20"/>
          <w:lang w:val="es-ES_tradnl" w:eastAsia="es-ES"/>
        </w:rPr>
        <w:t>, de conformidad con el artículo 23 del Estatuto Orgánico del Presupuesto</w:t>
      </w:r>
      <w:r w:rsidRPr="003A681A">
        <w:rPr>
          <w:rFonts w:ascii="Verdana" w:hAnsi="Verdana" w:cs="Arial"/>
          <w:i/>
          <w:iCs/>
          <w:sz w:val="20"/>
          <w:lang w:val="es-ES_tradnl" w:eastAsia="es-ES"/>
        </w:rPr>
        <w:t xml:space="preserve">, </w:t>
      </w:r>
      <w:r w:rsidRPr="003A681A">
        <w:rPr>
          <w:rFonts w:ascii="Verdana" w:hAnsi="Verdana" w:cs="Arial"/>
          <w:sz w:val="20"/>
          <w:lang w:val="es-ES_tradnl" w:eastAsia="es-ES"/>
        </w:rPr>
        <w:t>se</w:t>
      </w:r>
      <w:r w:rsidRPr="003A681A">
        <w:rPr>
          <w:rFonts w:ascii="Verdana" w:hAnsi="Verdana" w:cs="Arial"/>
          <w:i/>
          <w:iCs/>
          <w:sz w:val="20"/>
          <w:lang w:val="es-ES_tradnl" w:eastAsia="es-ES"/>
        </w:rPr>
        <w:t xml:space="preserve"> </w:t>
      </w:r>
      <w:r w:rsidRPr="003A681A">
        <w:rPr>
          <w:rFonts w:ascii="Verdana" w:hAnsi="Verdana" w:cs="Arial"/>
          <w:sz w:val="20"/>
          <w:lang w:val="es-ES_tradnl" w:eastAsia="es-ES"/>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3A681A">
        <w:rPr>
          <w:rFonts w:ascii="Verdana" w:hAnsi="Verdana" w:cs="Arial"/>
          <w:sz w:val="20"/>
          <w:lang w:eastAsia="es-ES"/>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Pr>
          <w:rFonts w:ascii="Verdana" w:hAnsi="Verdana" w:cs="Arial"/>
          <w:sz w:val="20"/>
          <w:lang w:eastAsia="es-ES"/>
        </w:rPr>
        <w:t>.</w:t>
      </w:r>
    </w:p>
    <w:p w14:paraId="08432D1B" w14:textId="77777777" w:rsidR="003A681A" w:rsidRPr="003A681A" w:rsidRDefault="003A681A" w:rsidP="0086345B">
      <w:pPr>
        <w:spacing w:after="0" w:line="240" w:lineRule="auto"/>
        <w:jc w:val="both"/>
        <w:rPr>
          <w:rFonts w:ascii="Verdana" w:hAnsi="Verdana" w:cs="Arial"/>
          <w:sz w:val="20"/>
          <w:lang w:val="es-ES" w:eastAsia="es-ES"/>
        </w:rPr>
      </w:pPr>
    </w:p>
    <w:p w14:paraId="0F299606" w14:textId="02875CB0" w:rsidR="003A681A" w:rsidRPr="00D56B89" w:rsidRDefault="0086345B" w:rsidP="00D56B89">
      <w:pPr>
        <w:spacing w:after="0" w:line="240" w:lineRule="auto"/>
        <w:jc w:val="both"/>
        <w:rPr>
          <w:rFonts w:ascii="Verdana" w:hAnsi="Verdana" w:cs="Arial"/>
          <w:b/>
          <w:lang w:val="es-ES" w:eastAsia="es-ES"/>
        </w:rPr>
      </w:pPr>
      <w:r w:rsidRPr="0086345B">
        <w:rPr>
          <w:rFonts w:ascii="Verdana" w:hAnsi="Verdana" w:cs="Arial"/>
          <w:b/>
          <w:lang w:val="es-ES" w:eastAsia="es-ES"/>
        </w:rPr>
        <w:t xml:space="preserve">VIGENCIAS FUTURAS – Tipos </w:t>
      </w:r>
    </w:p>
    <w:p w14:paraId="404773BD" w14:textId="77777777" w:rsidR="003A681A" w:rsidRDefault="003A681A" w:rsidP="003A681A">
      <w:pPr>
        <w:shd w:val="clear" w:color="auto" w:fill="FFFFFF"/>
        <w:spacing w:after="0" w:line="240" w:lineRule="auto"/>
        <w:ind w:right="51"/>
        <w:jc w:val="both"/>
        <w:rPr>
          <w:rFonts w:ascii="Verdana" w:eastAsia="Calibri" w:hAnsi="Verdana" w:cs="Arial"/>
          <w:color w:val="000000" w:themeColor="text1"/>
          <w:sz w:val="20"/>
        </w:rPr>
      </w:pPr>
    </w:p>
    <w:p w14:paraId="7642E589" w14:textId="5A31B707" w:rsidR="003A681A" w:rsidRPr="003A681A" w:rsidRDefault="003A681A" w:rsidP="003A681A">
      <w:pPr>
        <w:shd w:val="clear" w:color="auto" w:fill="FFFFFF"/>
        <w:spacing w:after="0" w:line="240" w:lineRule="auto"/>
        <w:ind w:right="51"/>
        <w:jc w:val="both"/>
        <w:rPr>
          <w:rFonts w:ascii="Verdana" w:eastAsia="Calibri" w:hAnsi="Verdana" w:cs="Arial"/>
          <w:color w:val="000000" w:themeColor="text1"/>
          <w:sz w:val="20"/>
        </w:rPr>
      </w:pPr>
      <w:r w:rsidRPr="003A681A">
        <w:rPr>
          <w:rFonts w:ascii="Verdana" w:eastAsia="Calibri" w:hAnsi="Verdana" w:cs="Arial"/>
          <w:color w:val="000000" w:themeColor="text1"/>
          <w:sz w:val="20"/>
        </w:rPr>
        <w:t>Sobre la distinción entre las vigencias futuras ordinarias y las excepcionales el Consejo de Estado señaló que “</w:t>
      </w:r>
      <w:r w:rsidRPr="003A681A">
        <w:rPr>
          <w:rFonts w:ascii="Verdana" w:hAnsi="Verdana" w:cs="Symbol"/>
          <w:sz w:val="20"/>
        </w:rPr>
        <w:t>la diferencia fundamental entre las vigencias futuras ordinarias y las vigencias futuras excepcionales, radica, esencialmente, en que en las primeras la ejecución se inicia con el presupuesto de la vigencia en curso, mientras que en las excepcionales, se afecta el presupuesto de vigencias futuras, sin apropiación en el presupuesto del año en que se concede la autorización</w:t>
      </w:r>
      <w:r w:rsidRPr="003A681A">
        <w:rPr>
          <w:rFonts w:ascii="Verdana" w:eastAsia="Calibri" w:hAnsi="Verdana" w:cs="Arial"/>
          <w:sz w:val="20"/>
        </w:rPr>
        <w:t>”</w:t>
      </w:r>
    </w:p>
    <w:p w14:paraId="028C3409" w14:textId="77777777" w:rsidR="003A681A" w:rsidRPr="0086345B" w:rsidRDefault="003A681A" w:rsidP="007A7FF9">
      <w:pPr>
        <w:spacing w:after="0"/>
        <w:ind w:left="708" w:hanging="708"/>
        <w:rPr>
          <w:rFonts w:ascii="Verdana" w:hAnsi="Verdana"/>
          <w:lang w:val="es-ES"/>
        </w:rPr>
      </w:pPr>
    </w:p>
    <w:p w14:paraId="3954962C" w14:textId="2E63E285" w:rsidR="007A7FF9" w:rsidRPr="00E55C32" w:rsidRDefault="004404FA" w:rsidP="007A7FF9">
      <w:pPr>
        <w:spacing w:after="0"/>
        <w:ind w:left="708" w:hanging="708"/>
        <w:rPr>
          <w:rFonts w:ascii="Verdana" w:hAnsi="Verdana"/>
        </w:rPr>
      </w:pPr>
      <w:r w:rsidRPr="004404FA">
        <w:rPr>
          <w:rFonts w:ascii="Verdana" w:hAnsi="Verdana"/>
          <w:noProof/>
          <w:lang w:val="en-US"/>
        </w:rPr>
        <w:lastRenderedPageBreak/>
        <w:drawing>
          <wp:anchor distT="0" distB="0" distL="114300" distR="114300" simplePos="0" relativeHeight="251658240" behindDoc="0" locked="0" layoutInCell="1" allowOverlap="1" wp14:anchorId="7754C623" wp14:editId="6E574812">
            <wp:simplePos x="0" y="0"/>
            <wp:positionH relativeFrom="margin">
              <wp:align>right</wp:align>
            </wp:positionH>
            <wp:positionV relativeFrom="paragraph">
              <wp:posOffset>271145</wp:posOffset>
            </wp:positionV>
            <wp:extent cx="2787015" cy="77152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87015" cy="771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A7FF9" w:rsidRPr="0024624F">
        <w:rPr>
          <w:rFonts w:ascii="Verdana" w:hAnsi="Verdana"/>
        </w:rPr>
        <w:t xml:space="preserve">Bogotá D.C., </w:t>
      </w:r>
      <w:r>
        <w:rPr>
          <w:rFonts w:ascii="Verdana" w:hAnsi="Verdana"/>
        </w:rPr>
        <w:t>22 de diciembre de 2025</w:t>
      </w:r>
      <w:r w:rsidR="007A7FF9" w:rsidRPr="000E2B93">
        <w:rPr>
          <w:rFonts w:ascii="Verdana" w:hAnsi="Verdana"/>
        </w:rPr>
        <w:tab/>
      </w:r>
      <w:r w:rsidR="007A7FF9" w:rsidRPr="000E2B93">
        <w:rPr>
          <w:rFonts w:ascii="Verdana" w:hAnsi="Verdana"/>
        </w:rPr>
        <w:br/>
      </w:r>
    </w:p>
    <w:p w14:paraId="7D11F810" w14:textId="77777777" w:rsidR="007A7FF9" w:rsidRPr="00E55C32" w:rsidRDefault="007A7FF9" w:rsidP="007A7FF9">
      <w:pPr>
        <w:spacing w:after="0" w:line="240" w:lineRule="auto"/>
        <w:rPr>
          <w:rFonts w:ascii="Verdana" w:hAnsi="Verdana"/>
        </w:rPr>
      </w:pPr>
    </w:p>
    <w:p w14:paraId="35667519" w14:textId="77777777" w:rsidR="007A7FF9" w:rsidRPr="00E55C32" w:rsidRDefault="007A7FF9" w:rsidP="007A7FF9">
      <w:pPr>
        <w:spacing w:after="0" w:line="240" w:lineRule="auto"/>
        <w:rPr>
          <w:rFonts w:ascii="Verdana" w:eastAsia="Calibri" w:hAnsi="Verdana" w:cs="Times New Roman"/>
          <w:lang w:val="es-MX"/>
        </w:rPr>
      </w:pPr>
      <w:r w:rsidRPr="00E55C32">
        <w:rPr>
          <w:rFonts w:ascii="Verdana" w:eastAsia="Calibri" w:hAnsi="Verdana" w:cs="Times New Roman"/>
          <w:lang w:val="es-MX"/>
        </w:rPr>
        <w:t>Señor</w:t>
      </w:r>
    </w:p>
    <w:p w14:paraId="36A72084" w14:textId="77777777" w:rsidR="007A7FF9" w:rsidRPr="00E55C32" w:rsidRDefault="007A7FF9" w:rsidP="007A7FF9">
      <w:pPr>
        <w:spacing w:after="0" w:line="240" w:lineRule="auto"/>
        <w:ind w:left="1416" w:hanging="1416"/>
        <w:rPr>
          <w:rFonts w:ascii="Verdana" w:eastAsia="Calibri" w:hAnsi="Verdana" w:cs="Times New Roman"/>
          <w:b/>
          <w:lang w:val="es-MX"/>
        </w:rPr>
      </w:pPr>
      <w:r w:rsidRPr="00E55C32">
        <w:rPr>
          <w:rFonts w:ascii="Verdana" w:eastAsia="Calibri" w:hAnsi="Verdana" w:cs="Times New Roman"/>
          <w:b/>
          <w:lang w:val="es-MX"/>
        </w:rPr>
        <w:t>José Luis Beltrán Suárez</w:t>
      </w:r>
    </w:p>
    <w:p w14:paraId="44973907" w14:textId="77777777" w:rsidR="007A7FF9" w:rsidRPr="00E55C32" w:rsidRDefault="00F91FC3" w:rsidP="007A7FF9">
      <w:pPr>
        <w:spacing w:after="0" w:line="240" w:lineRule="auto"/>
        <w:rPr>
          <w:rFonts w:ascii="Verdana" w:hAnsi="Verdana"/>
        </w:rPr>
      </w:pPr>
      <w:hyperlink r:id="rId12" w:history="1">
        <w:r w:rsidR="007A7FF9" w:rsidRPr="00851633">
          <w:rPr>
            <w:rStyle w:val="Hipervnculo"/>
            <w:rFonts w:ascii="Verdana" w:hAnsi="Verdana"/>
          </w:rPr>
          <w:t>jlbeltransuarez@gmail.com</w:t>
        </w:r>
      </w:hyperlink>
      <w:r w:rsidR="007A7FF9">
        <w:rPr>
          <w:rFonts w:ascii="Verdana" w:hAnsi="Verdana"/>
        </w:rPr>
        <w:t xml:space="preserve"> </w:t>
      </w:r>
    </w:p>
    <w:p w14:paraId="7873898C" w14:textId="77777777" w:rsidR="007A7FF9" w:rsidRPr="00E55C32" w:rsidRDefault="007A7FF9" w:rsidP="007A7FF9">
      <w:pPr>
        <w:spacing w:after="0" w:line="240" w:lineRule="auto"/>
        <w:rPr>
          <w:rFonts w:ascii="Verdana" w:eastAsia="Calibri" w:hAnsi="Verdana" w:cs="Times New Roman"/>
        </w:rPr>
      </w:pPr>
      <w:r w:rsidRPr="00E55C32">
        <w:rPr>
          <w:rFonts w:ascii="Verdana" w:eastAsia="Calibri" w:hAnsi="Verdana" w:cs="Times New Roman"/>
        </w:rPr>
        <w:t>Bogotá D.C.</w:t>
      </w:r>
    </w:p>
    <w:p w14:paraId="0370AF0F" w14:textId="77777777" w:rsidR="007A7FF9" w:rsidRPr="00B57A1B" w:rsidRDefault="007A7FF9" w:rsidP="007A7FF9">
      <w:pPr>
        <w:spacing w:after="0" w:line="240" w:lineRule="auto"/>
        <w:rPr>
          <w:rFonts w:ascii="Verdana" w:eastAsia="Calibri" w:hAnsi="Verdana" w:cs="Times New Roman"/>
        </w:rPr>
      </w:pPr>
    </w:p>
    <w:p w14:paraId="14F874D8" w14:textId="77777777" w:rsidR="007A7FF9" w:rsidRPr="00B57A1B" w:rsidRDefault="007A7FF9" w:rsidP="007A7FF9">
      <w:pPr>
        <w:spacing w:after="0" w:line="240" w:lineRule="auto"/>
        <w:rPr>
          <w:rFonts w:ascii="Verdana" w:eastAsia="Calibri" w:hAnsi="Verdana" w:cs="Times New Roman"/>
        </w:rPr>
      </w:pPr>
    </w:p>
    <w:p w14:paraId="1AA74442" w14:textId="77777777" w:rsidR="007A7FF9" w:rsidRPr="00B57A1B" w:rsidRDefault="007A7FF9" w:rsidP="007A7FF9">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C–1709</w:t>
      </w:r>
      <w:r w:rsidRPr="00B57A1B">
        <w:rPr>
          <w:rFonts w:ascii="Verdana" w:eastAsia="Calibri" w:hAnsi="Verdana" w:cs="Times New Roman"/>
          <w:b/>
          <w:bCs/>
          <w:lang w:val="es-ES"/>
        </w:rPr>
        <w:t xml:space="preserve"> de 2025</w:t>
      </w:r>
    </w:p>
    <w:p w14:paraId="1DF25DE3" w14:textId="77777777" w:rsidR="007A7FF9" w:rsidRPr="00B57A1B" w:rsidRDefault="007A7FF9" w:rsidP="007A7FF9">
      <w:pPr>
        <w:spacing w:after="0" w:line="256" w:lineRule="auto"/>
        <w:ind w:left="1416" w:hanging="1416"/>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7A7FF9" w:rsidRPr="00B57A1B" w14:paraId="4377B446" w14:textId="77777777" w:rsidTr="008034A0">
        <w:trPr>
          <w:trHeight w:val="645"/>
        </w:trPr>
        <w:tc>
          <w:tcPr>
            <w:tcW w:w="2685" w:type="dxa"/>
            <w:hideMark/>
          </w:tcPr>
          <w:p w14:paraId="760892FF" w14:textId="77777777" w:rsidR="007A7FF9" w:rsidRPr="00B57A1B" w:rsidRDefault="007A7FF9" w:rsidP="008034A0">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41FC300E" w14:textId="77777777" w:rsidR="007A7FF9" w:rsidRPr="0017376D" w:rsidRDefault="007A7FF9" w:rsidP="008034A0">
            <w:pPr>
              <w:spacing w:line="276" w:lineRule="auto"/>
              <w:jc w:val="both"/>
              <w:rPr>
                <w:rFonts w:ascii="Verdana" w:hAnsi="Verdana" w:cs="Arial"/>
                <w:lang w:val="es-ES" w:eastAsia="es-ES"/>
              </w:rPr>
            </w:pPr>
            <w:r w:rsidRPr="006420BD">
              <w:rPr>
                <w:rFonts w:ascii="Verdana" w:hAnsi="Verdana" w:cs="Arial"/>
                <w:lang w:eastAsia="es-ES"/>
              </w:rPr>
              <w:t xml:space="preserve">ARTÍCULO 355 DE LA CONSTITUCIÓN POLÍTICA – Formas de colaboración o cooperación – Estado y particulares / DECRETO 092 DE 2017 – Convenios de interés público – Convenios de asociación / </w:t>
            </w:r>
            <w:r>
              <w:rPr>
                <w:rFonts w:ascii="Verdana" w:hAnsi="Verdana" w:cs="Arial"/>
                <w:lang w:eastAsia="es-ES"/>
              </w:rPr>
              <w:t xml:space="preserve">CONVENIOS DE ASOCIACIÓN – </w:t>
            </w:r>
            <w:r w:rsidRPr="0017376D">
              <w:rPr>
                <w:rFonts w:ascii="Verdana" w:hAnsi="Verdana" w:cs="Arial"/>
                <w:lang w:eastAsia="es-ES"/>
              </w:rPr>
              <w:t xml:space="preserve">Artículo 5 del Decreto 092 de 2017 – Artículo 96 de la Ley 489 de 1998 – Requisitos </w:t>
            </w:r>
            <w:r w:rsidRPr="0017376D">
              <w:rPr>
                <w:rFonts w:ascii="Verdana" w:hAnsi="Verdana" w:cs="Arial"/>
                <w:lang w:val="es-ES" w:eastAsia="es-ES"/>
              </w:rPr>
              <w:t xml:space="preserve">/ </w:t>
            </w:r>
            <w:r>
              <w:rPr>
                <w:rFonts w:ascii="Verdana" w:hAnsi="Verdana" w:cs="Arial"/>
                <w:lang w:val="es-ES" w:eastAsia="es-ES"/>
              </w:rPr>
              <w:t xml:space="preserve">CONVENIOS DE ASOCIACIÓN – Requisitos – Nueva Guía para la contratación con Entidades Sin Ánimo de Lucro y reconocida idoneidad / </w:t>
            </w:r>
            <w:r w:rsidRPr="0017376D">
              <w:rPr>
                <w:rFonts w:ascii="Verdana" w:hAnsi="Verdana" w:cs="Arial"/>
                <w:lang w:val="es-ES" w:eastAsia="es-ES"/>
              </w:rPr>
              <w:t xml:space="preserve">INTEGRACIÓN NORMATIVA – Convenios de asociación </w:t>
            </w:r>
            <w:r>
              <w:rPr>
                <w:rFonts w:ascii="Verdana" w:hAnsi="Verdana" w:cs="Arial"/>
                <w:lang w:val="es-ES" w:eastAsia="es-ES"/>
              </w:rPr>
              <w:t>–</w:t>
            </w:r>
            <w:r w:rsidRPr="0017376D">
              <w:rPr>
                <w:rFonts w:ascii="Verdana" w:hAnsi="Verdana" w:cs="Arial"/>
                <w:lang w:val="es-ES" w:eastAsia="es-ES"/>
              </w:rPr>
              <w:t xml:space="preserve"> Reglas</w:t>
            </w:r>
            <w:r>
              <w:rPr>
                <w:rFonts w:ascii="Verdana" w:hAnsi="Verdana" w:cs="Arial"/>
                <w:lang w:val="es-ES" w:eastAsia="es-ES"/>
              </w:rPr>
              <w:t xml:space="preserve"> – Aplicación de las normas presupuestales / </w:t>
            </w:r>
            <w:r w:rsidRPr="0017376D">
              <w:rPr>
                <w:rFonts w:ascii="Verdana" w:hAnsi="Verdana" w:cs="Arial"/>
                <w:bCs/>
                <w:lang w:val="es-ES" w:eastAsia="es-ES"/>
              </w:rPr>
              <w:t>PRINCIPIO DE ANUALIDAD – Fundamento / PRINCIPIO DE ANUALIDAD</w:t>
            </w:r>
            <w:r w:rsidRPr="0017376D">
              <w:rPr>
                <w:rFonts w:ascii="Verdana" w:hAnsi="Verdana" w:cs="Arial"/>
                <w:lang w:val="es-ES" w:eastAsia="es-ES"/>
              </w:rPr>
              <w:t xml:space="preserve"> – Excepciones / VIGENCIAS FUTURAS – Tipos </w:t>
            </w:r>
          </w:p>
          <w:p w14:paraId="02CC66D3" w14:textId="77777777" w:rsidR="007A7FF9" w:rsidRPr="00B57A1B" w:rsidRDefault="007A7FF9" w:rsidP="008034A0">
            <w:pPr>
              <w:spacing w:line="276" w:lineRule="auto"/>
              <w:jc w:val="both"/>
              <w:rPr>
                <w:rFonts w:ascii="Verdana" w:hAnsi="Verdana" w:cs="Arial"/>
                <w:lang w:val="es-ES" w:eastAsia="es-ES"/>
              </w:rPr>
            </w:pPr>
          </w:p>
        </w:tc>
        <w:tc>
          <w:tcPr>
            <w:tcW w:w="6237" w:type="dxa"/>
          </w:tcPr>
          <w:p w14:paraId="7691690B" w14:textId="77777777" w:rsidR="007A7FF9" w:rsidRPr="00B57A1B" w:rsidRDefault="007A7FF9" w:rsidP="008034A0">
            <w:pPr>
              <w:spacing w:line="256" w:lineRule="auto"/>
              <w:rPr>
                <w:rFonts w:ascii="Verdana" w:hAnsi="Verdana"/>
              </w:rPr>
            </w:pPr>
          </w:p>
        </w:tc>
      </w:tr>
      <w:tr w:rsidR="007A7FF9" w:rsidRPr="00B57A1B" w14:paraId="00F2DD3E" w14:textId="77777777" w:rsidTr="008034A0">
        <w:tc>
          <w:tcPr>
            <w:tcW w:w="2685" w:type="dxa"/>
          </w:tcPr>
          <w:p w14:paraId="624BB3C6" w14:textId="77777777" w:rsidR="007A7FF9" w:rsidRPr="00B57A1B" w:rsidRDefault="007A7FF9" w:rsidP="008034A0">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0D3CA4AD" w14:textId="77777777" w:rsidR="007A7FF9" w:rsidRPr="002F4390" w:rsidRDefault="007A7FF9" w:rsidP="008034A0">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E55C32">
              <w:rPr>
                <w:rFonts w:ascii="Verdana" w:hAnsi="Verdana"/>
              </w:rPr>
              <w:t>1_2025_11_19_013041</w:t>
            </w:r>
          </w:p>
          <w:p w14:paraId="6A8629FB" w14:textId="77777777" w:rsidR="007A7FF9" w:rsidRPr="00B57A1B" w:rsidRDefault="007A7FF9" w:rsidP="008034A0">
            <w:pPr>
              <w:spacing w:line="257" w:lineRule="auto"/>
              <w:jc w:val="both"/>
              <w:rPr>
                <w:rFonts w:ascii="Verdana" w:hAnsi="Verdana"/>
              </w:rPr>
            </w:pPr>
          </w:p>
          <w:p w14:paraId="380577AC" w14:textId="77777777" w:rsidR="007A7FF9" w:rsidRPr="00B57A1B" w:rsidRDefault="007A7FF9" w:rsidP="008034A0">
            <w:pPr>
              <w:spacing w:line="257" w:lineRule="auto"/>
              <w:jc w:val="both"/>
              <w:rPr>
                <w:rFonts w:ascii="Verdana" w:hAnsi="Verdana"/>
              </w:rPr>
            </w:pPr>
          </w:p>
        </w:tc>
        <w:tc>
          <w:tcPr>
            <w:tcW w:w="6237" w:type="dxa"/>
          </w:tcPr>
          <w:p w14:paraId="44CCD421" w14:textId="77777777" w:rsidR="007A7FF9" w:rsidRPr="00B57A1B" w:rsidRDefault="007A7FF9" w:rsidP="008034A0">
            <w:pPr>
              <w:spacing w:line="256" w:lineRule="auto"/>
              <w:rPr>
                <w:rFonts w:ascii="Verdana" w:hAnsi="Verdana"/>
                <w:lang w:val="es-ES_tradnl"/>
              </w:rPr>
            </w:pPr>
          </w:p>
        </w:tc>
      </w:tr>
    </w:tbl>
    <w:p w14:paraId="001E528B" w14:textId="77777777" w:rsidR="007A7FF9" w:rsidRPr="00B57A1B" w:rsidRDefault="007A7FF9" w:rsidP="007A7FF9">
      <w:pPr>
        <w:spacing w:after="0" w:line="256" w:lineRule="auto"/>
        <w:rPr>
          <w:rFonts w:ascii="Verdana" w:eastAsia="Calibri" w:hAnsi="Verdana" w:cs="Times New Roman"/>
          <w:lang w:val="es-ES"/>
        </w:rPr>
      </w:pPr>
      <w:r w:rsidRPr="00B57A1B">
        <w:rPr>
          <w:rFonts w:ascii="Verdana" w:eastAsia="Calibri" w:hAnsi="Verdana" w:cs="Times New Roman"/>
          <w:lang w:val="es-ES"/>
        </w:rPr>
        <w:t>Estimado</w:t>
      </w:r>
      <w:r>
        <w:rPr>
          <w:rFonts w:ascii="Verdana" w:eastAsia="Calibri" w:hAnsi="Verdana" w:cs="Times New Roman"/>
          <w:lang w:val="es-ES"/>
        </w:rPr>
        <w:t xml:space="preserve"> Señor Beltrán</w:t>
      </w:r>
      <w:r w:rsidRPr="00B57A1B">
        <w:rPr>
          <w:rFonts w:ascii="Verdana" w:eastAsia="Calibri" w:hAnsi="Verdana" w:cs="Times New Roman"/>
          <w:lang w:val="es-ES"/>
        </w:rPr>
        <w:t xml:space="preserve">: </w:t>
      </w:r>
    </w:p>
    <w:p w14:paraId="265148C2" w14:textId="77777777" w:rsidR="007A7FF9" w:rsidRPr="00B57A1B" w:rsidRDefault="007A7FF9" w:rsidP="007A7FF9">
      <w:pPr>
        <w:spacing w:after="0" w:line="256" w:lineRule="auto"/>
        <w:rPr>
          <w:rFonts w:ascii="Verdana" w:eastAsia="Calibri" w:hAnsi="Verdana" w:cs="Times New Roman"/>
          <w:lang w:val="es-ES"/>
        </w:rPr>
      </w:pPr>
    </w:p>
    <w:p w14:paraId="17610A8A" w14:textId="77777777" w:rsidR="007A7FF9" w:rsidRDefault="007A7FF9" w:rsidP="007A7FF9">
      <w:pPr>
        <w:spacing w:after="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de consulta del 19 de noviembre de 2025</w:t>
      </w:r>
      <w:r w:rsidRPr="00B57A1B">
        <w:rPr>
          <w:rFonts w:ascii="Verdana" w:eastAsia="Calibri" w:hAnsi="Verdana" w:cs="Times New Roman"/>
          <w:bCs/>
          <w:lang w:val="es-ES" w:bidi="es-ES"/>
        </w:rPr>
        <w:t xml:space="preserve">, en la cual manifiesta: </w:t>
      </w:r>
    </w:p>
    <w:p w14:paraId="00DE05DC" w14:textId="77777777" w:rsidR="007A7FF9" w:rsidRPr="00E55C32" w:rsidRDefault="007A7FF9" w:rsidP="007A7FF9">
      <w:pPr>
        <w:spacing w:after="0" w:line="240" w:lineRule="auto"/>
        <w:ind w:right="709"/>
        <w:jc w:val="both"/>
        <w:rPr>
          <w:rFonts w:ascii="Verdana" w:eastAsia="Calibri" w:hAnsi="Verdana" w:cs="Times New Roman"/>
          <w:bCs/>
          <w:sz w:val="20"/>
          <w:szCs w:val="20"/>
          <w:lang w:bidi="es-ES"/>
        </w:rPr>
      </w:pPr>
    </w:p>
    <w:p w14:paraId="60938576" w14:textId="77777777" w:rsidR="007A7FF9" w:rsidRPr="00E55C32" w:rsidRDefault="007A7FF9" w:rsidP="007A7FF9">
      <w:pPr>
        <w:spacing w:after="0" w:line="240" w:lineRule="auto"/>
        <w:ind w:left="720"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lastRenderedPageBreak/>
        <w:t>“</w:t>
      </w:r>
      <w:r w:rsidRPr="00E55C32">
        <w:rPr>
          <w:rFonts w:ascii="Verdana" w:eastAsia="Calibri" w:hAnsi="Verdana" w:cs="Times New Roman"/>
          <w:bCs/>
          <w:sz w:val="20"/>
          <w:szCs w:val="20"/>
          <w:lang w:bidi="es-ES"/>
        </w:rPr>
        <w:t xml:space="preserve">El objeto del convenio sería garantizar la alimentación y el cuidado integral de adultos mayores, entendiendo que se trata de un servicio esencial y permanente, cuya necesidad no cesa, según lo establecido en las siguientes normas: </w:t>
      </w:r>
    </w:p>
    <w:p w14:paraId="1673F715" w14:textId="77777777" w:rsidR="007A7FF9" w:rsidRPr="00E55C32" w:rsidRDefault="007A7FF9" w:rsidP="007A7FF9">
      <w:pPr>
        <w:numPr>
          <w:ilvl w:val="0"/>
          <w:numId w:val="20"/>
        </w:numPr>
        <w:spacing w:after="0" w:line="240" w:lineRule="auto"/>
        <w:ind w:left="720" w:right="709" w:hanging="360"/>
        <w:jc w:val="both"/>
        <w:rPr>
          <w:rFonts w:ascii="Verdana" w:eastAsia="Calibri" w:hAnsi="Verdana" w:cs="Times New Roman"/>
          <w:bCs/>
          <w:sz w:val="20"/>
          <w:szCs w:val="20"/>
          <w:lang w:bidi="es-ES"/>
        </w:rPr>
      </w:pPr>
      <w:r w:rsidRPr="00E55C32">
        <w:rPr>
          <w:rFonts w:ascii="Verdana" w:eastAsia="Calibri" w:hAnsi="Verdana" w:cs="Times New Roman"/>
          <w:bCs/>
          <w:sz w:val="20"/>
          <w:szCs w:val="20"/>
          <w:lang w:bidi="es-ES"/>
        </w:rPr>
        <w:t xml:space="preserve">Ley 1251 de 2008: Establece el marco para proteger a los adultos mayores del maltrato, explotación y abuso. </w:t>
      </w:r>
    </w:p>
    <w:p w14:paraId="79DA9F31" w14:textId="77777777" w:rsidR="007A7FF9" w:rsidRPr="00E55C32" w:rsidRDefault="007A7FF9" w:rsidP="007A7FF9">
      <w:pPr>
        <w:numPr>
          <w:ilvl w:val="0"/>
          <w:numId w:val="20"/>
        </w:numPr>
        <w:spacing w:after="0" w:line="240" w:lineRule="auto"/>
        <w:ind w:left="720" w:right="709" w:hanging="360"/>
        <w:jc w:val="both"/>
        <w:rPr>
          <w:rFonts w:ascii="Verdana" w:eastAsia="Calibri" w:hAnsi="Verdana" w:cs="Times New Roman"/>
          <w:bCs/>
          <w:sz w:val="20"/>
          <w:szCs w:val="20"/>
          <w:lang w:bidi="es-ES"/>
        </w:rPr>
      </w:pPr>
      <w:r w:rsidRPr="00E55C32">
        <w:rPr>
          <w:rFonts w:ascii="Verdana" w:eastAsia="Calibri" w:hAnsi="Verdana" w:cs="Times New Roman"/>
          <w:bCs/>
          <w:sz w:val="20"/>
          <w:szCs w:val="20"/>
          <w:lang w:bidi="es-ES"/>
        </w:rPr>
        <w:t xml:space="preserve">Ley 1850 de 2017: Sanciona el abandono y maltrato a personas mayores de 60 años, y establece la obligación de asistencia alimentaria, la cual puede ser fijada por las comisarías de familia si no hay acuerdo. </w:t>
      </w:r>
    </w:p>
    <w:p w14:paraId="531A0E57" w14:textId="77777777" w:rsidR="007A7FF9" w:rsidRPr="0027002C" w:rsidRDefault="007A7FF9" w:rsidP="007A7FF9">
      <w:pPr>
        <w:numPr>
          <w:ilvl w:val="0"/>
          <w:numId w:val="20"/>
        </w:numPr>
        <w:spacing w:after="0" w:line="240" w:lineRule="auto"/>
        <w:ind w:left="720" w:right="709" w:hanging="360"/>
        <w:jc w:val="both"/>
        <w:rPr>
          <w:rFonts w:ascii="Verdana" w:eastAsia="Calibri" w:hAnsi="Verdana" w:cs="Times New Roman"/>
          <w:bCs/>
          <w:sz w:val="20"/>
          <w:szCs w:val="20"/>
          <w:lang w:bidi="es-ES"/>
        </w:rPr>
      </w:pPr>
      <w:r w:rsidRPr="00E55C32">
        <w:rPr>
          <w:rFonts w:ascii="Verdana" w:eastAsia="Calibri" w:hAnsi="Verdana" w:cs="Times New Roman"/>
          <w:bCs/>
          <w:sz w:val="20"/>
          <w:szCs w:val="20"/>
          <w:lang w:bidi="es-ES"/>
        </w:rPr>
        <w:t xml:space="preserve">Ley 2055 de 2020: Define el derecho a un sistema integral de cuidados que incluye salud, servicios sociales, seguridad alimentaria y nutricional, agua, vestuario y vivienda, promoviendo la permanencia del adulto mayor en su hogar y el mantenimiento de su independencia. </w:t>
      </w:r>
    </w:p>
    <w:p w14:paraId="29A4FD0B" w14:textId="77777777" w:rsidR="007A7FF9" w:rsidRPr="00E55C32" w:rsidRDefault="007A7FF9" w:rsidP="007A7FF9">
      <w:pPr>
        <w:spacing w:after="0" w:line="240" w:lineRule="auto"/>
        <w:ind w:left="720" w:right="709"/>
        <w:jc w:val="both"/>
        <w:rPr>
          <w:rFonts w:ascii="Verdana" w:eastAsia="Calibri" w:hAnsi="Verdana" w:cs="Times New Roman"/>
          <w:bCs/>
          <w:sz w:val="20"/>
          <w:szCs w:val="20"/>
          <w:lang w:bidi="es-ES"/>
        </w:rPr>
      </w:pPr>
      <w:r w:rsidRPr="00E55C32">
        <w:rPr>
          <w:rFonts w:ascii="Verdana" w:eastAsia="Calibri" w:hAnsi="Verdana" w:cs="Times New Roman"/>
          <w:bCs/>
          <w:sz w:val="20"/>
          <w:szCs w:val="20"/>
          <w:lang w:bidi="es-ES"/>
        </w:rPr>
        <w:t xml:space="preserve">Adicionalmente, la jurisprudencia de la Corte Constitucional ha reconocido el derecho fundamental al cuidado y a la protección social integral de los adultos mayores vulnerables, estableciendo la obligación estatal de garantizar servicios de cuidado a largo plazo sin costo, y definiendo criterios para que las EPS provean cuidadores cuando se cumplan ciertas condiciones (Sentencia T-016 de 2025). </w:t>
      </w:r>
    </w:p>
    <w:p w14:paraId="398C55E1" w14:textId="77777777" w:rsidR="007A7FF9" w:rsidRPr="00E55C32" w:rsidRDefault="007A7FF9" w:rsidP="007A7FF9">
      <w:pPr>
        <w:spacing w:after="0" w:line="240" w:lineRule="auto"/>
        <w:ind w:left="720" w:right="709"/>
        <w:jc w:val="both"/>
        <w:rPr>
          <w:rFonts w:ascii="Verdana" w:eastAsia="Calibri" w:hAnsi="Verdana" w:cs="Times New Roman"/>
          <w:bCs/>
          <w:sz w:val="20"/>
          <w:szCs w:val="20"/>
          <w:lang w:bidi="es-ES"/>
        </w:rPr>
      </w:pPr>
      <w:r w:rsidRPr="00E55C32">
        <w:rPr>
          <w:rFonts w:ascii="Verdana" w:eastAsia="Calibri" w:hAnsi="Verdana" w:cs="Times New Roman"/>
          <w:bCs/>
          <w:sz w:val="20"/>
          <w:szCs w:val="20"/>
          <w:lang w:bidi="es-ES"/>
        </w:rPr>
        <w:t xml:space="preserve">Nuestra inquietud principal radica en determinar la procedencia y viabilidad de suscribir dicho convenio, teniendo en cuenta que su ejecución se extenderá más allá del año 2025. Esto, en consideración del principio de anualidad presupuestal, que establece que el presupuesto debe estimarse y ejecutarse dentro del período anual, del 1 de enero al 31 de diciembre, conforme al Decreto 111 de 1996 (Estatuto Orgánico de Presupuesto, Artículo 12) y la Constitución Política </w:t>
      </w:r>
      <w:r>
        <w:rPr>
          <w:rFonts w:ascii="Verdana" w:eastAsia="Calibri" w:hAnsi="Verdana" w:cs="Times New Roman"/>
          <w:bCs/>
          <w:sz w:val="20"/>
          <w:szCs w:val="20"/>
          <w:lang w:bidi="es-ES"/>
        </w:rPr>
        <w:t>de Colombia (Artículo 346)”</w:t>
      </w:r>
    </w:p>
    <w:p w14:paraId="57C76C22" w14:textId="77777777" w:rsidR="007A7FF9" w:rsidRPr="00812F2C" w:rsidRDefault="007A7FF9" w:rsidP="007A7FF9">
      <w:pPr>
        <w:spacing w:after="0" w:line="240" w:lineRule="auto"/>
        <w:ind w:left="709" w:right="709"/>
        <w:jc w:val="both"/>
        <w:rPr>
          <w:rFonts w:ascii="Verdana" w:eastAsia="Calibri" w:hAnsi="Verdana" w:cs="Times New Roman"/>
          <w:bCs/>
          <w:sz w:val="21"/>
          <w:szCs w:val="21"/>
          <w:lang w:bidi="es-ES"/>
        </w:rPr>
      </w:pPr>
    </w:p>
    <w:p w14:paraId="188C3490" w14:textId="77777777" w:rsidR="007A7FF9" w:rsidRPr="00B57A1B" w:rsidRDefault="007A7FF9" w:rsidP="007A7FF9">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5C9347B" w14:textId="77777777" w:rsidR="007A7FF9" w:rsidRPr="00B57A1B" w:rsidRDefault="007A7FF9" w:rsidP="007A7FF9">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lastRenderedPageBreak/>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de su consulta. </w:t>
      </w:r>
    </w:p>
    <w:p w14:paraId="22EF270E" w14:textId="77777777" w:rsidR="007A7FF9" w:rsidRPr="00B57A1B" w:rsidRDefault="007A7FF9" w:rsidP="007A7FF9">
      <w:pPr>
        <w:spacing w:after="0" w:line="256" w:lineRule="auto"/>
        <w:rPr>
          <w:rFonts w:ascii="Verdana" w:eastAsia="Calibri" w:hAnsi="Verdana" w:cs="Times New Roman"/>
          <w:lang w:val="es-ES"/>
        </w:rPr>
      </w:pPr>
    </w:p>
    <w:p w14:paraId="4BBA0BCB" w14:textId="77777777" w:rsidR="007A7FF9" w:rsidRPr="00B57A1B" w:rsidRDefault="007A7FF9" w:rsidP="007A7FF9">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3B633E11" w14:textId="77777777" w:rsidR="007A7FF9" w:rsidRPr="00B57A1B" w:rsidRDefault="007A7FF9" w:rsidP="007A7FF9">
      <w:pPr>
        <w:spacing w:after="0" w:line="256" w:lineRule="auto"/>
        <w:rPr>
          <w:rFonts w:ascii="Verdana" w:eastAsia="Calibri" w:hAnsi="Verdana" w:cs="Times New Roman"/>
        </w:rPr>
      </w:pPr>
    </w:p>
    <w:p w14:paraId="6950EB6A" w14:textId="77777777" w:rsidR="007A7FF9" w:rsidRPr="00886DAE" w:rsidRDefault="007A7FF9" w:rsidP="007A7FF9">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el siguiente problema jurídico</w:t>
      </w:r>
      <w:r>
        <w:rPr>
          <w:rFonts w:ascii="Verdana" w:eastAsia="Calibri" w:hAnsi="Verdana" w:cs="Times New Roman"/>
          <w:iCs/>
          <w:lang w:val="es-ES"/>
        </w:rPr>
        <w:t>: ¿</w:t>
      </w:r>
      <w:r w:rsidRPr="00886DAE">
        <w:rPr>
          <w:rFonts w:ascii="Verdana" w:eastAsia="Calibri" w:hAnsi="Verdana" w:cs="Times New Roman"/>
          <w:iCs/>
          <w:lang w:val="es-ES"/>
        </w:rPr>
        <w:t>Es jurídicamente procedente y financieramente viable suscribir un convenio</w:t>
      </w:r>
      <w:r>
        <w:rPr>
          <w:rFonts w:ascii="Verdana" w:eastAsia="Calibri" w:hAnsi="Verdana" w:cs="Times New Roman"/>
          <w:iCs/>
          <w:lang w:val="es-ES"/>
        </w:rPr>
        <w:t xml:space="preserve"> de asociación</w:t>
      </w:r>
      <w:r w:rsidRPr="00886DAE">
        <w:rPr>
          <w:rFonts w:ascii="Verdana" w:eastAsia="Calibri" w:hAnsi="Verdana" w:cs="Times New Roman"/>
          <w:iCs/>
          <w:lang w:val="es-ES"/>
        </w:rPr>
        <w:t xml:space="preserve"> cuya ejecución se extienda más allá del año 2025, considerando el principio de anualidad presupuestal</w:t>
      </w:r>
      <w:r>
        <w:rPr>
          <w:rFonts w:ascii="Verdana" w:eastAsia="Calibri" w:hAnsi="Verdana" w:cs="Times New Roman"/>
          <w:iCs/>
          <w:lang w:val="es-ES"/>
        </w:rPr>
        <w:t>?</w:t>
      </w:r>
    </w:p>
    <w:p w14:paraId="60642828" w14:textId="77777777" w:rsidR="007A7FF9" w:rsidRPr="00B57A1B" w:rsidRDefault="007A7FF9" w:rsidP="007A7FF9">
      <w:pPr>
        <w:spacing w:after="0" w:line="276" w:lineRule="auto"/>
        <w:jc w:val="both"/>
        <w:rPr>
          <w:rFonts w:ascii="Verdana" w:eastAsia="Calibri" w:hAnsi="Verdana" w:cs="Times New Roman"/>
          <w:i/>
          <w:iCs/>
          <w:lang w:val="es-ES"/>
        </w:rPr>
      </w:pPr>
    </w:p>
    <w:p w14:paraId="7D6580E3" w14:textId="77777777" w:rsidR="007A7FF9" w:rsidRPr="00B57A1B" w:rsidRDefault="007A7FF9" w:rsidP="007A7FF9">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3A0E760F" w14:textId="77777777" w:rsidR="007A7FF9" w:rsidRPr="00B57A1B" w:rsidRDefault="007A7FF9" w:rsidP="007A7FF9">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7A7FF9" w:rsidRPr="00B57A1B" w14:paraId="3792446E" w14:textId="77777777" w:rsidTr="008034A0">
        <w:trPr>
          <w:trHeight w:val="345"/>
          <w:jc w:val="center"/>
        </w:trPr>
        <w:tc>
          <w:tcPr>
            <w:tcW w:w="8784" w:type="dxa"/>
            <w:tcBorders>
              <w:bottom w:val="single" w:sz="4" w:space="0" w:color="auto"/>
            </w:tcBorders>
          </w:tcPr>
          <w:p w14:paraId="57D3DF03" w14:textId="77777777" w:rsidR="007A7FF9" w:rsidRPr="00B8103B" w:rsidRDefault="007A7FF9" w:rsidP="008034A0">
            <w:pPr>
              <w:tabs>
                <w:tab w:val="left" w:pos="709"/>
              </w:tabs>
              <w:snapToGrid w:val="0"/>
              <w:spacing w:before="120" w:line="276" w:lineRule="auto"/>
              <w:jc w:val="both"/>
              <w:rPr>
                <w:rFonts w:ascii="Verdana" w:eastAsia="Calibri" w:hAnsi="Verdana" w:cs="Times New Roman"/>
              </w:rPr>
            </w:pPr>
            <w:r>
              <w:rPr>
                <w:rFonts w:ascii="Verdana" w:eastAsia="Calibri" w:hAnsi="Verdana" w:cs="Times New Roman"/>
              </w:rPr>
              <w:t xml:space="preserve">En cuanto al problema jurídico, objeto de consulta, se señala que </w:t>
            </w:r>
            <w:r>
              <w:rPr>
                <w:rFonts w:ascii="Verdana" w:eastAsia="Calibri" w:hAnsi="Verdana" w:cs="Arial"/>
                <w:lang w:val="es-ES"/>
              </w:rPr>
              <w:t>e</w:t>
            </w:r>
            <w:r w:rsidRPr="00AE420E">
              <w:rPr>
                <w:rFonts w:ascii="Verdana" w:eastAsia="Calibri" w:hAnsi="Verdana" w:cs="Arial"/>
                <w:lang w:val="es-ES"/>
              </w:rPr>
              <w:t>l artículo 7°</w:t>
            </w:r>
            <w:r>
              <w:rPr>
                <w:rFonts w:ascii="Verdana" w:eastAsia="Calibri" w:hAnsi="Verdana" w:cs="Arial"/>
                <w:lang w:val="es-ES"/>
              </w:rPr>
              <w:t xml:space="preserve"> del Decreto 092 de 2017</w:t>
            </w:r>
            <w:r w:rsidRPr="00AE420E">
              <w:rPr>
                <w:rFonts w:ascii="Verdana" w:eastAsia="Calibri" w:hAnsi="Verdana" w:cs="Arial"/>
                <w:lang w:val="es-ES"/>
              </w:rPr>
              <w:t xml:space="preserve"> no se limita únicamente a reiterar los principios generales que orientan la contratación pública</w:t>
            </w:r>
            <w:r>
              <w:rPr>
                <w:rFonts w:ascii="Verdana" w:eastAsia="Calibri" w:hAnsi="Verdana" w:cs="Arial"/>
                <w:lang w:val="es-ES"/>
              </w:rPr>
              <w:t xml:space="preserve"> y otros aspectos que deben regirse los convenios de asociación y los contratos de interés público</w:t>
            </w:r>
            <w:r w:rsidRPr="00AE420E">
              <w:rPr>
                <w:rFonts w:ascii="Verdana" w:eastAsia="Calibri" w:hAnsi="Verdana" w:cs="Arial"/>
                <w:lang w:val="es-ES"/>
              </w:rPr>
              <w:t>, sino que también incorpora de manera expresa la referencia a las normas presupuestales. Esta doble vinculación resalta la importancia de entender la contratación no solo como un proceso regido por principios de transparencia, eficiencia y responsabilidad, sino también como una actividad que debe ajustarse est</w:t>
            </w:r>
            <w:r>
              <w:rPr>
                <w:rFonts w:ascii="Verdana" w:eastAsia="Calibri" w:hAnsi="Verdana" w:cs="Arial"/>
                <w:lang w:val="es-ES"/>
              </w:rPr>
              <w:t>rictamente a las disposiciones presupuestales</w:t>
            </w:r>
            <w:r w:rsidRPr="00AE420E">
              <w:rPr>
                <w:rFonts w:ascii="Verdana" w:eastAsia="Calibri" w:hAnsi="Verdana" w:cs="Arial"/>
                <w:lang w:val="es-ES"/>
              </w:rPr>
              <w:t xml:space="preserve"> que garantizan la sostenibilidad y legalidad del gasto público.</w:t>
            </w:r>
          </w:p>
          <w:p w14:paraId="761F4D74" w14:textId="77777777" w:rsidR="007A7FF9" w:rsidRPr="0017376D" w:rsidRDefault="007A7FF9" w:rsidP="008034A0">
            <w:pPr>
              <w:spacing w:before="120" w:after="120" w:line="276" w:lineRule="auto"/>
              <w:ind w:firstLine="708"/>
              <w:jc w:val="both"/>
              <w:rPr>
                <w:rFonts w:ascii="Verdana" w:eastAsia="Calibri" w:hAnsi="Verdana" w:cs="Arial"/>
                <w:lang w:val="es-ES"/>
              </w:rPr>
            </w:pPr>
            <w:r w:rsidRPr="00AE420E">
              <w:rPr>
                <w:rFonts w:ascii="Verdana" w:eastAsia="Calibri" w:hAnsi="Verdana" w:cs="Arial"/>
                <w:lang w:val="es-ES"/>
              </w:rPr>
              <w:t>En consecuencia, al momento de suscribir convenios de asociación</w:t>
            </w:r>
            <w:r>
              <w:rPr>
                <w:rFonts w:ascii="Verdana" w:eastAsia="Calibri" w:hAnsi="Verdana" w:cs="Arial"/>
                <w:lang w:val="es-ES"/>
              </w:rPr>
              <w:t xml:space="preserve"> regulados en el Decreto 092 de 2017 y el artículo 96 de la Ley 489 de 1998,</w:t>
            </w:r>
            <w:r w:rsidRPr="00AE420E">
              <w:rPr>
                <w:rFonts w:ascii="Verdana" w:eastAsia="Calibri" w:hAnsi="Verdana" w:cs="Arial"/>
                <w:lang w:val="es-ES"/>
              </w:rPr>
              <w:t xml:space="preserve"> resulta indispensable considerar las reglas presupuestales aplicables, pues estas determinan la disponibilidad de recursos, los límites de ejecución y las condiciones de legalidad del compromiso adquirido. La observancia de dichas normas asegura que los convenios no solo cumplan con los fines de la contratación pública, sino</w:t>
            </w:r>
            <w:r>
              <w:rPr>
                <w:rFonts w:ascii="Verdana" w:eastAsia="Calibri" w:hAnsi="Verdana" w:cs="Arial"/>
                <w:lang w:val="es-ES"/>
              </w:rPr>
              <w:t xml:space="preserve"> que además se enmarquen en normas presupuestales responsables</w:t>
            </w:r>
            <w:r w:rsidRPr="00AE420E">
              <w:rPr>
                <w:rFonts w:ascii="Verdana" w:eastAsia="Calibri" w:hAnsi="Verdana" w:cs="Arial"/>
                <w:lang w:val="es-ES"/>
              </w:rPr>
              <w:t>.</w:t>
            </w:r>
            <w:r>
              <w:rPr>
                <w:rFonts w:ascii="Verdana" w:eastAsia="Calibri" w:hAnsi="Verdana" w:cs="Arial"/>
                <w:lang w:val="es-ES"/>
              </w:rPr>
              <w:t xml:space="preserve"> En tal sentido, </w:t>
            </w:r>
            <w:r w:rsidRPr="002C632B">
              <w:rPr>
                <w:rFonts w:ascii="Verdana" w:eastAsia="Calibri" w:hAnsi="Verdana" w:cs="Arial"/>
                <w:color w:val="000000" w:themeColor="text1"/>
                <w:lang w:val="es-ES_tradnl"/>
              </w:rPr>
              <w:t xml:space="preserve">las entidades estatales deben planear </w:t>
            </w:r>
            <w:r>
              <w:rPr>
                <w:rFonts w:ascii="Verdana" w:eastAsia="Calibri" w:hAnsi="Verdana" w:cs="Arial"/>
                <w:color w:val="000000" w:themeColor="text1"/>
                <w:lang w:val="es-ES_tradnl"/>
              </w:rPr>
              <w:t xml:space="preserve">la suscripción o celebración de convenios de asociación, con </w:t>
            </w:r>
            <w:r w:rsidRPr="002C632B">
              <w:rPr>
                <w:rFonts w:ascii="Verdana" w:eastAsia="Calibri" w:hAnsi="Verdana" w:cs="Arial"/>
                <w:color w:val="000000" w:themeColor="text1"/>
                <w:lang w:val="es-ES_tradnl"/>
              </w:rPr>
              <w:t xml:space="preserve">fundamento en el principio de la anualidad del gasto, de manera que sus </w:t>
            </w:r>
            <w:r w:rsidRPr="002C632B">
              <w:rPr>
                <w:rFonts w:ascii="Verdana" w:eastAsia="Calibri" w:hAnsi="Verdana" w:cs="Arial"/>
                <w:color w:val="000000" w:themeColor="text1"/>
                <w:lang w:val="es-ES_tradnl"/>
              </w:rPr>
              <w:lastRenderedPageBreak/>
              <w:t xml:space="preserve">compromisos presupuestales deben ser ejecutados dentro de la vigencia fiscal comprendida entre el 1 de enero y el 31 de diciembre. Sin embargo, como excepción a este principio se establecen </w:t>
            </w:r>
            <w:r w:rsidRPr="002C632B">
              <w:rPr>
                <w:rFonts w:ascii="Verdana" w:eastAsia="Calibri" w:hAnsi="Verdana" w:cs="Arial"/>
                <w:color w:val="000000" w:themeColor="text1"/>
              </w:rPr>
              <w:t xml:space="preserve">mecanismos presupuestales dentro de los cuales se encuentran las vigencias futuras, que permite asumir compromisos que afecten el presupuesto de vigencias posteriores. </w:t>
            </w:r>
            <w:r w:rsidRPr="002E718F">
              <w:rPr>
                <w:rFonts w:ascii="Verdana" w:eastAsia="Arial" w:hAnsi="Verdana" w:cs="Arial"/>
                <w:bCs/>
              </w:rPr>
              <w:t xml:space="preserve">De igual manera, como excepción a este principio se encuentran las cuentas por pagar y las reservas presupuestales, que tienen unos procedimientos particulares para su configuración. </w:t>
            </w:r>
          </w:p>
          <w:p w14:paraId="29EB5367" w14:textId="77777777" w:rsidR="007A7FF9" w:rsidRDefault="007A7FF9" w:rsidP="008034A0">
            <w:pPr>
              <w:shd w:val="clear" w:color="auto" w:fill="FFFFFF"/>
              <w:spacing w:after="120" w:line="276" w:lineRule="auto"/>
              <w:ind w:right="51" w:firstLine="709"/>
              <w:jc w:val="both"/>
              <w:rPr>
                <w:rFonts w:ascii="Verdana" w:eastAsia="Calibri" w:hAnsi="Verdana" w:cs="Arial"/>
                <w:color w:val="000000" w:themeColor="text1"/>
              </w:rPr>
            </w:pPr>
            <w:r w:rsidRPr="002C632B">
              <w:rPr>
                <w:rFonts w:ascii="Verdana" w:eastAsia="Calibri" w:hAnsi="Verdana" w:cs="Arial"/>
                <w:color w:val="000000" w:themeColor="text1"/>
              </w:rPr>
              <w:t>De esta manera, en caso de que en la etapa de planeación la entidad evidencie que el co</w:t>
            </w:r>
            <w:r>
              <w:rPr>
                <w:rFonts w:ascii="Verdana" w:eastAsia="Calibri" w:hAnsi="Verdana" w:cs="Arial"/>
                <w:color w:val="000000" w:themeColor="text1"/>
              </w:rPr>
              <w:t xml:space="preserve">nvenio de asociación </w:t>
            </w:r>
            <w:r w:rsidRPr="002C632B">
              <w:rPr>
                <w:rFonts w:ascii="Verdana" w:eastAsia="Calibri" w:hAnsi="Verdana" w:cs="Arial"/>
                <w:color w:val="000000" w:themeColor="text1"/>
              </w:rPr>
              <w:t>a ejecutar exceda la vigencia fiscal correspondiente, deberá atender las previsiones legales sobre las excepciones al principio de anualidad del gasto</w:t>
            </w:r>
            <w:r w:rsidRPr="002C632B">
              <w:rPr>
                <w:rFonts w:ascii="Verdana" w:eastAsia="Arial" w:hAnsi="Verdana" w:cs="Arial"/>
                <w:bCs/>
              </w:rPr>
              <w:t xml:space="preserve"> y determinar cual resulta aplicable al caso en concreto</w:t>
            </w:r>
            <w:r w:rsidRPr="002C632B">
              <w:rPr>
                <w:rFonts w:ascii="Verdana" w:eastAsia="Calibri" w:hAnsi="Verdana" w:cs="Arial"/>
                <w:color w:val="000000" w:themeColor="text1"/>
              </w:rPr>
              <w:t xml:space="preserve">. Dichas excepciones deben estar debidamente justificadas, cumplir con los requisitos establecidos por la normativa vigente y seguir los procedimientos correspondientes para su autorizaciones y ejecución, conforme a lo descrito en este concepto.  </w:t>
            </w:r>
          </w:p>
          <w:p w14:paraId="43EB5E6D" w14:textId="77777777" w:rsidR="007A7FF9" w:rsidRPr="001D14CA" w:rsidRDefault="007A7FF9" w:rsidP="008034A0">
            <w:pPr>
              <w:spacing w:after="12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0157F8B8" w14:textId="77777777" w:rsidR="007A7FF9" w:rsidRPr="00B57A1B" w:rsidRDefault="007A7FF9" w:rsidP="007A7FF9">
      <w:pPr>
        <w:spacing w:after="0" w:line="276" w:lineRule="auto"/>
        <w:jc w:val="both"/>
        <w:rPr>
          <w:rFonts w:ascii="Verdana" w:eastAsia="Calibri" w:hAnsi="Verdana" w:cs="Arial"/>
          <w:bCs/>
          <w:color w:val="000000" w:themeColor="text1"/>
        </w:rPr>
      </w:pPr>
    </w:p>
    <w:p w14:paraId="26ED6CA2" w14:textId="77777777" w:rsidR="007A7FF9" w:rsidRPr="00B57A1B" w:rsidRDefault="007A7FF9" w:rsidP="007A7FF9">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7D6D48C2" w14:textId="77777777" w:rsidR="007A7FF9" w:rsidRPr="00B57A1B" w:rsidRDefault="007A7FF9" w:rsidP="007A7FF9">
      <w:pPr>
        <w:spacing w:after="0" w:line="256" w:lineRule="auto"/>
        <w:rPr>
          <w:rFonts w:ascii="Verdana" w:eastAsia="Calibri" w:hAnsi="Verdana" w:cs="Times New Roman"/>
          <w:b/>
          <w:bCs/>
          <w:lang w:val="es-ES"/>
        </w:rPr>
      </w:pPr>
    </w:p>
    <w:p w14:paraId="648D31DF" w14:textId="77777777" w:rsidR="007A7FF9" w:rsidRPr="00B57A1B" w:rsidRDefault="007A7FF9" w:rsidP="007A7FF9">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17BF361E" w14:textId="77777777" w:rsidR="007A7FF9" w:rsidRPr="00415608" w:rsidRDefault="007A7FF9" w:rsidP="007A7FF9">
      <w:pPr>
        <w:spacing w:after="0" w:line="276" w:lineRule="auto"/>
        <w:jc w:val="both"/>
        <w:rPr>
          <w:rFonts w:ascii="Verdana" w:eastAsia="Calibri" w:hAnsi="Verdana" w:cs="Arial"/>
          <w:lang w:val="es-ES"/>
        </w:rPr>
      </w:pPr>
      <w:bookmarkStart w:id="2" w:name="_Hlk78820161"/>
    </w:p>
    <w:p w14:paraId="1D8BEB47" w14:textId="77777777" w:rsidR="007A7FF9" w:rsidRPr="00F17EB6" w:rsidRDefault="007A7FF9" w:rsidP="007A7FF9">
      <w:pPr>
        <w:spacing w:after="120" w:line="276" w:lineRule="auto"/>
        <w:jc w:val="both"/>
        <w:rPr>
          <w:rFonts w:ascii="Verdana" w:eastAsia="Calibri" w:hAnsi="Verdana" w:cs="Arial"/>
          <w:color w:val="000000"/>
          <w:lang w:val="es-MX"/>
        </w:rPr>
      </w:pPr>
      <w:r>
        <w:rPr>
          <w:rFonts w:ascii="Verdana" w:eastAsia="Calibri" w:hAnsi="Verdana" w:cs="Arial"/>
          <w:bCs/>
          <w:lang w:val="es-ES_tradnl"/>
        </w:rPr>
        <w:t>i.</w:t>
      </w:r>
      <w:r>
        <w:rPr>
          <w:rFonts w:ascii="Verdana" w:eastAsia="Calibri" w:hAnsi="Verdana" w:cs="Arial"/>
          <w:color w:val="000000"/>
          <w:lang w:val="es-MX"/>
        </w:rPr>
        <w:t xml:space="preserve"> </w:t>
      </w:r>
      <w:r w:rsidRPr="00F17EB6">
        <w:rPr>
          <w:rFonts w:ascii="Verdana" w:eastAsia="Calibri" w:hAnsi="Verdana" w:cs="Arial"/>
          <w:color w:val="000000"/>
          <w:lang w:val="es-MX"/>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w:t>
      </w:r>
      <w:r>
        <w:rPr>
          <w:rFonts w:ascii="Verdana" w:eastAsia="Calibri" w:hAnsi="Verdana" w:cs="Arial"/>
          <w:color w:val="000000"/>
          <w:lang w:val="es-MX"/>
        </w:rPr>
        <w:t>,</w:t>
      </w:r>
      <w:r w:rsidRPr="00F17EB6">
        <w:rPr>
          <w:rFonts w:ascii="Verdana" w:eastAsia="Calibri" w:hAnsi="Verdana" w:cs="Arial"/>
          <w:color w:val="000000"/>
          <w:lang w:val="es-MX"/>
        </w:rPr>
        <w:t xml:space="preserve"> con el fin de impulsar programas y actividades de interés público </w:t>
      </w:r>
      <w:r w:rsidRPr="00F17EB6">
        <w:rPr>
          <w:rFonts w:ascii="Verdana" w:eastAsia="Calibri" w:hAnsi="Verdana" w:cs="Arial"/>
          <w:color w:val="000000"/>
          <w:lang w:val="es-MX"/>
        </w:rPr>
        <w:lastRenderedPageBreak/>
        <w:t>acordes con el plan nacional y los planes seccionales de desarrollo</w:t>
      </w:r>
      <w:r w:rsidRPr="00F17EB6">
        <w:rPr>
          <w:rFonts w:ascii="Verdana" w:eastAsia="Calibri" w:hAnsi="Verdana" w:cs="Arial"/>
          <w:color w:val="000000"/>
          <w:vertAlign w:val="superscript"/>
          <w:lang w:val="es-MX"/>
        </w:rPr>
        <w:footnoteReference w:id="1"/>
      </w:r>
      <w:r w:rsidRPr="00F17EB6">
        <w:rPr>
          <w:rFonts w:ascii="Verdana" w:eastAsia="Calibri" w:hAnsi="Verdana" w:cs="Arial"/>
          <w:color w:val="000000"/>
          <w:lang w:val="es-MX"/>
        </w:rPr>
        <w:t>.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F17EB6">
        <w:rPr>
          <w:rFonts w:ascii="Verdana" w:eastAsia="Calibri" w:hAnsi="Verdana" w:cs="Arial"/>
          <w:color w:val="000000"/>
          <w:vertAlign w:val="superscript"/>
          <w:lang w:val="es-MX"/>
        </w:rPr>
        <w:footnoteReference w:id="2"/>
      </w:r>
      <w:r w:rsidRPr="00F17EB6">
        <w:rPr>
          <w:rFonts w:ascii="Verdana" w:eastAsia="Calibri" w:hAnsi="Verdana" w:cs="Arial"/>
          <w:color w:val="000000"/>
          <w:lang w:val="es-MX"/>
        </w:rPr>
        <w:t>. Ambas figuras tienen como fin desarrollar conjuntamente actividades relacionadas con los cometidos y funciones legales asignadas a la entidad.</w:t>
      </w:r>
    </w:p>
    <w:p w14:paraId="1BCDB61F" w14:textId="77777777" w:rsidR="007A7FF9" w:rsidRPr="00D91C0D" w:rsidRDefault="007A7FF9" w:rsidP="007A7FF9">
      <w:pPr>
        <w:spacing w:after="120" w:line="276" w:lineRule="auto"/>
        <w:ind w:firstLine="709"/>
        <w:jc w:val="both"/>
        <w:rPr>
          <w:rFonts w:ascii="Verdana" w:eastAsia="Calibri" w:hAnsi="Verdana" w:cs="Arial"/>
          <w:color w:val="000000"/>
          <w:lang w:val="es-MX"/>
        </w:rPr>
      </w:pPr>
      <w:r w:rsidRPr="00F17EB6">
        <w:rPr>
          <w:rFonts w:ascii="Verdana" w:eastAsia="Calibri" w:hAnsi="Verdana" w:cs="Arial"/>
          <w:color w:val="000000"/>
          <w:lang w:val="es-MX"/>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xml:space="preserve"> o de interés público, con el fin impulsar programas y actividades de interés público de acuerdo con el Plan Nacional o los planes seccionales de desarrollo, en los términos del artículo 355 de la Constitución Política; y ii)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F17EB6">
        <w:rPr>
          <w:rFonts w:ascii="Verdana" w:eastAsia="Calibri" w:hAnsi="Verdana" w:cs="Arial"/>
          <w:i/>
          <w:iCs/>
          <w:color w:val="000000"/>
          <w:lang w:val="es-MX"/>
        </w:rPr>
        <w:t>ibidem</w:t>
      </w:r>
      <w:r w:rsidRPr="00F17EB6">
        <w:rPr>
          <w:rFonts w:ascii="Verdana" w:eastAsia="Calibri" w:hAnsi="Verdana" w:cs="Arial"/>
          <w:color w:val="000000"/>
          <w:lang w:val="es-MX"/>
        </w:rPr>
        <w:t xml:space="preserve">. Es posible diferenciar, pues,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regulados en el artículo 5, de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establecidos en el artículo 2 del Decreto 092 de 2017</w:t>
      </w:r>
      <w:r w:rsidRPr="00F17EB6">
        <w:rPr>
          <w:rFonts w:ascii="Verdana" w:eastAsia="Calibri" w:hAnsi="Verdana" w:cs="Arial"/>
          <w:color w:val="000000"/>
          <w:vertAlign w:val="superscript"/>
          <w:lang w:val="es-MX"/>
        </w:rPr>
        <w:footnoteReference w:id="3"/>
      </w:r>
      <w:r w:rsidRPr="00F17EB6">
        <w:rPr>
          <w:rFonts w:ascii="Verdana" w:eastAsia="Calibri" w:hAnsi="Verdana" w:cs="Arial"/>
          <w:color w:val="000000"/>
          <w:lang w:val="es-MX"/>
        </w:rPr>
        <w:t xml:space="preserve">. </w:t>
      </w:r>
      <w:r w:rsidRPr="00A745FA">
        <w:rPr>
          <w:rFonts w:ascii="Verdana" w:eastAsia="Calibri" w:hAnsi="Verdana" w:cs="Arial"/>
          <w:color w:val="000000"/>
        </w:rPr>
        <w:t xml:space="preserve">Al respecto, La Sala de Consulta y Servicio Civil del Consejo de Estado haciendo un análisis del Decreto 777 de 1992 y asimilándolo en el Decreto 092 de 2017, estableció diferencias entre los contratos de apoyo y los convenios de asociación, expresando: </w:t>
      </w:r>
    </w:p>
    <w:p w14:paraId="3DD086FF" w14:textId="77777777" w:rsidR="007A7FF9" w:rsidRPr="00A745FA" w:rsidRDefault="007A7FF9" w:rsidP="007A7FF9">
      <w:pPr>
        <w:spacing w:after="0" w:line="276" w:lineRule="auto"/>
        <w:ind w:firstLine="708"/>
        <w:jc w:val="both"/>
        <w:rPr>
          <w:rFonts w:ascii="Verdana" w:eastAsia="Calibri" w:hAnsi="Verdana"/>
          <w:bCs/>
          <w:iCs/>
          <w:color w:val="000000"/>
        </w:rPr>
      </w:pPr>
    </w:p>
    <w:p w14:paraId="03D7C646" w14:textId="77777777" w:rsidR="007A7FF9" w:rsidRPr="008C1758" w:rsidRDefault="007A7FF9" w:rsidP="007A7FF9">
      <w:pPr>
        <w:spacing w:after="0" w:line="240" w:lineRule="auto"/>
        <w:ind w:left="709" w:right="709"/>
        <w:jc w:val="both"/>
        <w:rPr>
          <w:rFonts w:ascii="Verdana" w:eastAsia="Calibri" w:hAnsi="Verdana"/>
          <w:bCs/>
          <w:iCs/>
          <w:color w:val="000000"/>
          <w:sz w:val="20"/>
          <w:szCs w:val="20"/>
        </w:rPr>
      </w:pPr>
      <w:r>
        <w:rPr>
          <w:rFonts w:ascii="Verdana" w:eastAsia="Calibri" w:hAnsi="Verdana"/>
          <w:color w:val="000000"/>
          <w:sz w:val="20"/>
          <w:szCs w:val="20"/>
          <w:lang w:val="es-ES"/>
        </w:rPr>
        <w:lastRenderedPageBreak/>
        <w:t>“</w:t>
      </w:r>
      <w:r w:rsidRPr="008C1758">
        <w:rPr>
          <w:rFonts w:ascii="Verdana" w:eastAsia="Calibri" w:hAnsi="Verdana"/>
          <w:bCs/>
          <w:iCs/>
          <w:color w:val="000000"/>
          <w:sz w:val="20"/>
          <w:szCs w:val="20"/>
        </w:rPr>
        <w:t>1ª) Los contratos de apoyo se celebran con personas jurídicas privadas sin ánimo de lucro. Los contratos de asociación se celebran con personas jurídicas privadas con o sin ánimo de lucro.</w:t>
      </w:r>
    </w:p>
    <w:p w14:paraId="07DE128C" w14:textId="77777777" w:rsidR="007A7FF9" w:rsidRPr="008C1758" w:rsidRDefault="007A7FF9" w:rsidP="007A7FF9">
      <w:pPr>
        <w:spacing w:after="0" w:line="240" w:lineRule="auto"/>
        <w:ind w:left="709" w:right="709"/>
        <w:jc w:val="both"/>
        <w:rPr>
          <w:rFonts w:ascii="Verdana" w:eastAsia="Calibri" w:hAnsi="Verdana"/>
          <w:bCs/>
          <w:iCs/>
          <w:color w:val="000000"/>
          <w:sz w:val="20"/>
          <w:szCs w:val="20"/>
        </w:rPr>
      </w:pPr>
    </w:p>
    <w:p w14:paraId="6D7A314A" w14:textId="77777777" w:rsidR="007A7FF9" w:rsidRPr="008C1758" w:rsidRDefault="007A7FF9" w:rsidP="007A7FF9">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bCs/>
          <w:iCs/>
          <w:color w:val="000000"/>
          <w:sz w:val="20"/>
          <w:szCs w:val="20"/>
        </w:rPr>
        <w:t>2ª) Los contratos de apoyo se celebran para impulsar programas y actividades de interés público acordes con los planes de desarrollo. Los contratos de asociación se pueden celebrar con esa finalidad, pero también para el desarrollo conjunto de actividades en relación con los cometidos y funciones asignadas legalmente a las entidades estatales.</w:t>
      </w:r>
    </w:p>
    <w:p w14:paraId="03C1D913" w14:textId="77777777" w:rsidR="007A7FF9" w:rsidRPr="008C1758" w:rsidRDefault="007A7FF9" w:rsidP="007A7FF9">
      <w:pPr>
        <w:spacing w:after="0" w:line="240" w:lineRule="auto"/>
        <w:ind w:left="709" w:right="709"/>
        <w:jc w:val="both"/>
        <w:rPr>
          <w:rFonts w:ascii="Verdana" w:eastAsia="Calibri" w:hAnsi="Verdana"/>
          <w:bCs/>
          <w:iCs/>
          <w:color w:val="000000"/>
          <w:sz w:val="20"/>
          <w:szCs w:val="20"/>
        </w:rPr>
      </w:pPr>
    </w:p>
    <w:p w14:paraId="3EB164AD" w14:textId="77777777" w:rsidR="007A7FF9" w:rsidRPr="008C1758" w:rsidRDefault="007A7FF9" w:rsidP="007A7FF9">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cs="Arial"/>
          <w:bCs/>
          <w:iCs/>
          <w:color w:val="000000"/>
          <w:sz w:val="20"/>
          <w:szCs w:val="20"/>
        </w:rPr>
        <w:t xml:space="preserve">3ª) Los contratos de apoyo se celebran con cargo al respectivo presupuesto de la entidad pública. En los contratos de asociación se deben determinar, como señala el inciso segundo del citado artículo </w:t>
      </w:r>
      <w:r w:rsidRPr="004608D1">
        <w:rPr>
          <w:rFonts w:ascii="Verdana" w:eastAsia="Calibri" w:hAnsi="Verdana" w:cs="Arial"/>
          <w:bCs/>
          <w:iCs/>
          <w:color w:val="000000"/>
          <w:sz w:val="20"/>
          <w:szCs w:val="20"/>
        </w:rPr>
        <w:t>96, los</w:t>
      </w:r>
      <w:r w:rsidRPr="008C1758">
        <w:rPr>
          <w:rFonts w:ascii="Verdana" w:eastAsia="Calibri" w:hAnsi="Verdana" w:cs="Arial"/>
          <w:bCs/>
          <w:iCs/>
          <w:color w:val="000000"/>
          <w:sz w:val="20"/>
          <w:szCs w:val="20"/>
        </w:rPr>
        <w:t xml:space="preserve"> </w:t>
      </w:r>
      <w:r w:rsidRPr="008C1758">
        <w:rPr>
          <w:rFonts w:ascii="Verdana" w:eastAsia="Calibri" w:hAnsi="Verdana" w:cs="Arial"/>
          <w:bCs/>
          <w:i/>
          <w:iCs/>
          <w:color w:val="000000"/>
          <w:sz w:val="20"/>
          <w:szCs w:val="20"/>
        </w:rPr>
        <w:t>“aportes”</w:t>
      </w:r>
      <w:r w:rsidRPr="008C1758">
        <w:rPr>
          <w:rFonts w:ascii="Verdana" w:eastAsia="Calibri" w:hAnsi="Verdana" w:cs="Arial"/>
          <w:bCs/>
          <w:iCs/>
          <w:color w:val="000000"/>
          <w:sz w:val="20"/>
          <w:szCs w:val="20"/>
        </w:rPr>
        <w:t xml:space="preserve"> tanto de la entidad pública como de la persona jurídica particular</w:t>
      </w:r>
      <w:r>
        <w:rPr>
          <w:rFonts w:ascii="Verdana" w:eastAsia="Calibri" w:hAnsi="Verdana" w:cs="Arial"/>
          <w:color w:val="000000"/>
          <w:sz w:val="20"/>
          <w:szCs w:val="20"/>
        </w:rPr>
        <w:t>”</w:t>
      </w:r>
      <w:r w:rsidRPr="008C1758">
        <w:rPr>
          <w:rFonts w:ascii="Verdana" w:eastAsia="Calibri" w:hAnsi="Verdana" w:cs="Arial"/>
          <w:bCs/>
          <w:iCs/>
          <w:color w:val="000000"/>
          <w:sz w:val="20"/>
          <w:szCs w:val="20"/>
          <w:vertAlign w:val="superscript"/>
        </w:rPr>
        <w:footnoteReference w:id="4"/>
      </w:r>
      <w:r w:rsidRPr="008C1758">
        <w:rPr>
          <w:rFonts w:ascii="Verdana" w:eastAsia="Calibri" w:hAnsi="Verdana" w:cs="Arial"/>
          <w:bCs/>
          <w:iCs/>
          <w:color w:val="000000"/>
          <w:sz w:val="20"/>
          <w:szCs w:val="20"/>
        </w:rPr>
        <w:t>.</w:t>
      </w:r>
    </w:p>
    <w:p w14:paraId="36701238" w14:textId="77777777" w:rsidR="007A7FF9" w:rsidRPr="00A745FA" w:rsidRDefault="007A7FF9" w:rsidP="007A7FF9">
      <w:pPr>
        <w:spacing w:after="0" w:line="276" w:lineRule="auto"/>
        <w:ind w:firstLine="708"/>
        <w:jc w:val="both"/>
        <w:rPr>
          <w:rFonts w:ascii="Verdana" w:eastAsia="Calibri" w:hAnsi="Verdana" w:cs="Arial"/>
          <w:color w:val="000000"/>
          <w:lang w:val="es-MX"/>
        </w:rPr>
      </w:pPr>
    </w:p>
    <w:p w14:paraId="0477D23A" w14:textId="77777777" w:rsidR="007A7FF9" w:rsidRDefault="007A7FF9" w:rsidP="007A7FF9">
      <w:pPr>
        <w:spacing w:after="120" w:line="276" w:lineRule="auto"/>
        <w:ind w:firstLine="708"/>
        <w:jc w:val="both"/>
        <w:rPr>
          <w:rFonts w:ascii="Verdana" w:eastAsia="Calibri" w:hAnsi="Verdana" w:cs="Arial"/>
          <w:color w:val="000000"/>
          <w:lang w:val="es-MX"/>
        </w:rPr>
      </w:pPr>
      <w:r w:rsidRPr="00F17EB6">
        <w:rPr>
          <w:rFonts w:ascii="Verdana" w:eastAsia="Calibri" w:hAnsi="Verdana" w:cs="Arial"/>
          <w:color w:val="000000"/>
          <w:lang w:val="es-MX"/>
        </w:rPr>
        <w:t xml:space="preserve">Los </w:t>
      </w:r>
      <w:r w:rsidRPr="00F17EB6">
        <w:rPr>
          <w:rFonts w:ascii="Verdana" w:eastAsia="Calibri" w:hAnsi="Verdana" w:cs="Arial"/>
          <w:i/>
          <w:iCs/>
          <w:color w:val="000000"/>
          <w:lang w:val="es-MX"/>
        </w:rPr>
        <w:t>contratos</w:t>
      </w:r>
      <w:r>
        <w:rPr>
          <w:rFonts w:ascii="Verdana" w:eastAsia="Calibri" w:hAnsi="Verdana" w:cs="Arial"/>
          <w:i/>
          <w:iCs/>
          <w:color w:val="000000"/>
          <w:lang w:val="es-MX"/>
        </w:rPr>
        <w:t xml:space="preserve"> o convenios</w:t>
      </w:r>
      <w:r w:rsidRPr="00F17EB6">
        <w:rPr>
          <w:rFonts w:ascii="Verdana" w:eastAsia="Calibri" w:hAnsi="Verdana" w:cs="Arial"/>
          <w:i/>
          <w:iCs/>
          <w:color w:val="000000"/>
          <w:lang w:val="es-MX"/>
        </w:rPr>
        <w:t xml:space="preserve"> de colaboración </w:t>
      </w:r>
      <w:r w:rsidRPr="00F17EB6">
        <w:rPr>
          <w:rFonts w:ascii="Verdana" w:eastAsia="Calibri" w:hAnsi="Verdana" w:cs="Arial"/>
          <w:color w:val="000000"/>
          <w:lang w:val="es-MX"/>
        </w:rPr>
        <w:t xml:space="preserve">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w:t>
      </w:r>
    </w:p>
    <w:bookmarkEnd w:id="2"/>
    <w:p w14:paraId="03C8B36C" w14:textId="77777777" w:rsidR="007A7FF9" w:rsidRDefault="007A7FF9" w:rsidP="007A7FF9">
      <w:pPr>
        <w:shd w:val="clear" w:color="auto" w:fill="FFFFFF"/>
        <w:spacing w:after="120" w:line="276" w:lineRule="auto"/>
        <w:ind w:firstLine="708"/>
        <w:jc w:val="both"/>
        <w:textAlignment w:val="baseline"/>
        <w:rPr>
          <w:rFonts w:ascii="Verdana" w:eastAsia="Calibri" w:hAnsi="Verdana" w:cs="Arial"/>
          <w:color w:val="000000" w:themeColor="text1"/>
        </w:rPr>
      </w:pPr>
      <w:r w:rsidRPr="00D44070">
        <w:rPr>
          <w:rFonts w:ascii="Verdana" w:eastAsia="Calibri" w:hAnsi="Verdana" w:cs="Arial"/>
          <w:color w:val="000000" w:themeColor="text1"/>
        </w:rPr>
        <w:t xml:space="preserve">De otro lado, los </w:t>
      </w:r>
      <w:r w:rsidRPr="00D44070">
        <w:rPr>
          <w:rFonts w:ascii="Verdana" w:eastAsia="Calibri" w:hAnsi="Verdana" w:cs="Arial"/>
          <w:i/>
          <w:iCs/>
          <w:color w:val="000000" w:themeColor="text1"/>
        </w:rPr>
        <w:t xml:space="preserve">convenios de asociación </w:t>
      </w:r>
      <w:r w:rsidRPr="00D44070">
        <w:rPr>
          <w:rFonts w:ascii="Verdana" w:eastAsia="Calibri" w:hAnsi="Verdana" w:cs="Arial"/>
          <w:color w:val="000000" w:themeColor="text1"/>
        </w:rPr>
        <w:t>– a los cuales hace referencia en su consulta – “[…]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E277D4">
        <w:rPr>
          <w:rFonts w:ascii="Verdana" w:hAnsi="Verdana"/>
          <w:vertAlign w:val="superscript"/>
        </w:rPr>
        <w:footnoteReference w:id="5"/>
      </w:r>
      <w:r w:rsidRPr="00D44070">
        <w:rPr>
          <w:rFonts w:ascii="Verdana" w:eastAsia="Calibri" w:hAnsi="Verdana" w:cs="Arial"/>
          <w:color w:val="000000" w:themeColor="text1"/>
        </w:rPr>
        <w:t xml:space="preserve">. En estos convenios – al igual que en los contratos de colaboración antes explicados – no existe contraprestación o pago, sino aportes, los cuales están dirigidos, exclusivamente, a lograr la ejecución del convenio no a remunerar la actividad o actuaciones del asociado. </w:t>
      </w:r>
      <w:r>
        <w:rPr>
          <w:rFonts w:ascii="Verdana" w:eastAsia="Calibri" w:hAnsi="Verdana" w:cs="Arial"/>
          <w:color w:val="000000" w:themeColor="text1"/>
        </w:rPr>
        <w:t xml:space="preserve">Para analizar un poco sobre este tipo de convenios se desarrollará el siguiente apartado. </w:t>
      </w:r>
    </w:p>
    <w:p w14:paraId="4597DA20" w14:textId="77777777" w:rsidR="007A7FF9" w:rsidRDefault="007A7FF9" w:rsidP="007A7FF9">
      <w:pPr>
        <w:shd w:val="clear" w:color="auto" w:fill="FFFFFF"/>
        <w:spacing w:after="120" w:line="276" w:lineRule="auto"/>
        <w:jc w:val="both"/>
        <w:textAlignment w:val="baseline"/>
        <w:rPr>
          <w:rFonts w:ascii="Verdana" w:eastAsia="Calibri" w:hAnsi="Verdana" w:cs="Arial"/>
          <w:color w:val="000000" w:themeColor="text1"/>
        </w:rPr>
      </w:pPr>
    </w:p>
    <w:p w14:paraId="6D97D7B0" w14:textId="77777777" w:rsidR="007A7FF9" w:rsidRDefault="007A7FF9" w:rsidP="007A7FF9">
      <w:pPr>
        <w:spacing w:after="120" w:line="276" w:lineRule="auto"/>
        <w:jc w:val="both"/>
        <w:rPr>
          <w:rFonts w:ascii="Verdana" w:eastAsia="Calibri" w:hAnsi="Verdana" w:cs="Arial"/>
          <w:lang w:val="es-MX"/>
        </w:rPr>
      </w:pPr>
      <w:r>
        <w:rPr>
          <w:rFonts w:ascii="Verdana" w:eastAsia="Calibri" w:hAnsi="Verdana" w:cs="Arial"/>
          <w:bCs/>
          <w:color w:val="000000"/>
        </w:rPr>
        <w:lastRenderedPageBreak/>
        <w:t xml:space="preserve">ii. </w:t>
      </w:r>
      <w:r w:rsidRPr="00E9090B">
        <w:rPr>
          <w:rFonts w:ascii="Verdana" w:eastAsia="Calibri" w:hAnsi="Verdana" w:cs="Arial"/>
          <w:lang w:val="es-MX"/>
        </w:rPr>
        <w:t xml:space="preserve">Los </w:t>
      </w:r>
      <w:r w:rsidRPr="00E9090B">
        <w:rPr>
          <w:rFonts w:ascii="Verdana" w:eastAsia="Calibri" w:hAnsi="Verdana" w:cs="Arial"/>
          <w:i/>
          <w:iCs/>
          <w:lang w:val="es-MX"/>
        </w:rPr>
        <w:t>convenios de asociación</w:t>
      </w:r>
      <w:r w:rsidRPr="00E9090B">
        <w:rPr>
          <w:rFonts w:ascii="Verdana" w:eastAsia="Calibri" w:hAnsi="Verdana" w:cs="Arial"/>
          <w:lang w:val="es-MX"/>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w:t>
      </w:r>
      <w:r>
        <w:rPr>
          <w:rFonts w:ascii="Verdana" w:eastAsia="Calibri" w:hAnsi="Verdana" w:cs="Arial"/>
          <w:lang w:val="es-MX"/>
        </w:rPr>
        <w:t xml:space="preserve"> Autónomo</w:t>
      </w:r>
      <w:r w:rsidRPr="00E9090B">
        <w:rPr>
          <w:rFonts w:ascii="Verdana" w:eastAsia="Calibri" w:hAnsi="Verdana" w:cs="Arial"/>
          <w:lang w:val="es-MX"/>
        </w:rPr>
        <w:t xml:space="preserve">. </w:t>
      </w:r>
    </w:p>
    <w:p w14:paraId="753A6183" w14:textId="77777777" w:rsidR="007A7FF9" w:rsidRPr="00E9090B" w:rsidRDefault="007A7FF9" w:rsidP="007A7FF9">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En estos convenios no existe contraprestación o pago, sino aportes, los cuales están dirigidos, 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30% del valor total del convenio. </w:t>
      </w:r>
    </w:p>
    <w:p w14:paraId="5BBBD20E" w14:textId="77777777" w:rsidR="007A7FF9" w:rsidRPr="00E9090B" w:rsidRDefault="007A7FF9" w:rsidP="007A7FF9">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De conformidad con el inciso segundo del artículo 96 de la Ley 489 de 1998, en est</w:t>
      </w:r>
      <w:r>
        <w:rPr>
          <w:rFonts w:ascii="Verdana" w:eastAsia="Calibri" w:hAnsi="Verdana" w:cs="Arial"/>
          <w:lang w:val="es-MX"/>
        </w:rPr>
        <w:t>os convenios debe determinarse “</w:t>
      </w:r>
      <w:r w:rsidRPr="00E9090B">
        <w:rPr>
          <w:rFonts w:ascii="Verdana" w:eastAsia="Calibri" w:hAnsi="Verdana" w:cs="Arial"/>
          <w:lang w:val="es-MX"/>
        </w:rPr>
        <w:t>con precisión su objeto, término, obligaciones de las partes, aportes, coordinación y todos aquellos aspecto</w:t>
      </w:r>
      <w:r>
        <w:rPr>
          <w:rFonts w:ascii="Verdana" w:eastAsia="Calibri" w:hAnsi="Verdana" w:cs="Arial"/>
          <w:lang w:val="es-MX"/>
        </w:rPr>
        <w:t>s que se consideren pertinentes”</w:t>
      </w:r>
      <w:r w:rsidRPr="00E9090B">
        <w:rPr>
          <w:rFonts w:ascii="Verdana" w:eastAsia="Calibri" w:hAnsi="Verdana" w:cs="Arial"/>
          <w:lang w:val="es-MX"/>
        </w:rPr>
        <w:t xml:space="preserve">,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4F76397A" w14:textId="77777777" w:rsidR="007A7FF9" w:rsidRPr="00E9090B" w:rsidRDefault="007A7FF9" w:rsidP="007A7FF9">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La normativa vigente no impide que varias entidades suscriban conjuntamente el convenio de asociación ni tampoco que dos o más ESAL pueden hacerlo a través de las figuras asociativas autorizadas por la ley, por ejemplo, la unión temporal o el consorcio. Sin embargo, comoquiera que el artículo 96 de la Ley 489 de 1998 determina que el convenio debe buscar el desarrollo conjunto de actividades relacionadas con los cometidos y funciones que la ley les asigna a las entidades estatales involucradas, es necesario que las funciones legales de las entidades estatales que suscriben conjuntamente el convenio coincidan de alguna de tal manera que, los cometidos funcionales de una y otra entidad se relacionen con el objeto del convenio.  </w:t>
      </w:r>
    </w:p>
    <w:p w14:paraId="0587E7B9" w14:textId="77777777" w:rsidR="007A7FF9" w:rsidRPr="00E9090B" w:rsidRDefault="007A7FF9" w:rsidP="007A7FF9">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Igualmente, considerando que los convenios de asociación “no estarán sujetos a competencia cuando la entidad sin ánimo de lucro comprometa recursos en dinero para la ejecución de esas actividades en una proporción no </w:t>
      </w:r>
      <w:r w:rsidRPr="00E9090B">
        <w:rPr>
          <w:rFonts w:ascii="Verdana" w:eastAsia="Calibri" w:hAnsi="Verdana" w:cs="Arial"/>
          <w:lang w:val="es-MX"/>
        </w:rPr>
        <w:lastRenderedPageBreak/>
        <w:t>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r w:rsidRPr="00E9090B">
        <w:rPr>
          <w:rFonts w:ascii="Verdana" w:eastAsia="Calibri" w:hAnsi="Verdana" w:cs="Arial"/>
          <w:vertAlign w:val="superscript"/>
          <w:lang w:val="es-MX"/>
        </w:rPr>
        <w:footnoteReference w:id="6"/>
      </w:r>
      <w:r w:rsidRPr="00E9090B">
        <w:rPr>
          <w:rFonts w:ascii="Verdana" w:eastAsia="Calibri" w:hAnsi="Verdana" w:cs="Arial"/>
          <w:lang w:val="es-MX"/>
        </w:rPr>
        <w:t>.</w:t>
      </w:r>
    </w:p>
    <w:p w14:paraId="49D154FC" w14:textId="77777777" w:rsidR="007A7FF9" w:rsidRPr="00E9090B" w:rsidRDefault="007A7FF9" w:rsidP="007A7FF9">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La noción “seleccionar de forma objetiva”, contenida en la disposición </w:t>
      </w:r>
      <w:r w:rsidRPr="00E9090B">
        <w:rPr>
          <w:rFonts w:ascii="Verdana" w:eastAsia="Calibri" w:hAnsi="Verdana" w:cs="Arial"/>
          <w:i/>
          <w:iCs/>
          <w:lang w:val="es-MX"/>
        </w:rPr>
        <w:t xml:space="preserve">sub examine </w:t>
      </w:r>
      <w:r w:rsidRPr="00E9090B">
        <w:rPr>
          <w:rFonts w:ascii="Verdana" w:eastAsia="Calibri" w:hAnsi="Verdana" w:cs="Arial"/>
          <w:lang w:val="es-MX"/>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92 de 2017.</w:t>
      </w:r>
    </w:p>
    <w:p w14:paraId="7EB62AE6" w14:textId="77777777" w:rsidR="007A7FF9" w:rsidRDefault="007A7FF9" w:rsidP="007A7FF9">
      <w:pPr>
        <w:spacing w:after="120" w:line="276" w:lineRule="auto"/>
        <w:ind w:firstLine="708"/>
        <w:jc w:val="both"/>
        <w:textAlignment w:val="baseline"/>
        <w:rPr>
          <w:rFonts w:ascii="Verdana" w:eastAsia="Calibri" w:hAnsi="Verdana" w:cs="Arial"/>
          <w:lang w:val="es-MX"/>
        </w:rPr>
      </w:pPr>
      <w:r w:rsidRPr="00E9090B">
        <w:rPr>
          <w:rFonts w:ascii="Verdana" w:eastAsia="Arial" w:hAnsi="Verdana" w:cs="Arial"/>
          <w:lang w:val="es-ES"/>
        </w:rPr>
        <w:t>En suma, las entidades estatales son autónomas en la configuración del proceso competitivo en desarrollo del artículo 5 del Decreto 092 de 2017. En todo caso, el proceso competitivo que definan las entidades estatales para sus convenios de asociación debe garantizar que esté relacionado con las funciones de la entidad, la libre concurrencia y la pluralidad de interesados y la comparación objetiva de las ofertas. Este procedimiento puede ser análogo a otros donde existe competencia, como la licitación pública</w:t>
      </w:r>
      <w:r>
        <w:rPr>
          <w:rFonts w:ascii="Verdana" w:eastAsia="Calibri" w:hAnsi="Verdana" w:cs="Arial"/>
          <w:lang w:val="es-MX"/>
        </w:rPr>
        <w:t>.</w:t>
      </w:r>
    </w:p>
    <w:p w14:paraId="2D98B437" w14:textId="77777777" w:rsidR="007A7FF9" w:rsidRPr="003356E7" w:rsidRDefault="007A7FF9" w:rsidP="007A7FF9">
      <w:pPr>
        <w:spacing w:after="120" w:line="276" w:lineRule="auto"/>
        <w:ind w:firstLine="708"/>
        <w:jc w:val="both"/>
        <w:textAlignment w:val="baseline"/>
        <w:rPr>
          <w:rFonts w:ascii="Verdana" w:eastAsia="Calibri" w:hAnsi="Verdana" w:cs="Arial"/>
        </w:rPr>
      </w:pPr>
      <w:r>
        <w:rPr>
          <w:rFonts w:ascii="Verdana" w:eastAsia="Calibri" w:hAnsi="Verdana" w:cs="Arial"/>
          <w:lang w:val="es-MX"/>
        </w:rPr>
        <w:t xml:space="preserve">A partir de lo expuesto, se encuentra que en la Nueva </w:t>
      </w:r>
      <w:r w:rsidRPr="00886DAE">
        <w:rPr>
          <w:rFonts w:ascii="Verdana" w:eastAsia="Calibri" w:hAnsi="Verdana" w:cs="Arial"/>
          <w:bCs/>
        </w:rPr>
        <w:t>“</w:t>
      </w:r>
      <w:r w:rsidRPr="00886DAE">
        <w:rPr>
          <w:rFonts w:ascii="Verdana" w:eastAsia="Calibri" w:hAnsi="Verdana" w:cs="Arial"/>
          <w:bCs/>
          <w:i/>
          <w:iCs/>
        </w:rPr>
        <w:t>Guía para la contratación con entidades privadas sin ánimo de lucro y de reconocida idoneidad”</w:t>
      </w:r>
      <w:r>
        <w:rPr>
          <w:rFonts w:ascii="Verdana" w:eastAsia="Calibri" w:hAnsi="Verdana" w:cs="Arial"/>
          <w:bCs/>
          <w:i/>
          <w:iCs/>
        </w:rPr>
        <w:t xml:space="preserve"> </w:t>
      </w:r>
      <w:r>
        <w:rPr>
          <w:rFonts w:ascii="Verdana" w:eastAsia="Calibri" w:hAnsi="Verdana" w:cs="Arial"/>
          <w:lang w:val="es-MX"/>
        </w:rPr>
        <w:t>se establece tres condiciones para contratar mediante convenios de asociación: en primer lugar, e</w:t>
      </w:r>
      <w:r w:rsidRPr="0033599C">
        <w:rPr>
          <w:rFonts w:ascii="Verdana" w:eastAsia="Calibri" w:hAnsi="Verdana" w:cs="Arial"/>
        </w:rPr>
        <w:t xml:space="preserve">l </w:t>
      </w:r>
      <w:r>
        <w:rPr>
          <w:rFonts w:ascii="Verdana" w:eastAsia="Calibri" w:hAnsi="Verdana" w:cs="Arial"/>
        </w:rPr>
        <w:t xml:space="preserve">convenio de asociación debe suscribirse mediante un proceso competitivo </w:t>
      </w:r>
      <w:r w:rsidRPr="0033599C">
        <w:rPr>
          <w:rFonts w:ascii="Verdana" w:eastAsia="Calibri" w:hAnsi="Verdana" w:cs="Arial"/>
        </w:rPr>
        <w:t>con</w:t>
      </w:r>
      <w:r>
        <w:rPr>
          <w:rFonts w:ascii="Verdana" w:eastAsia="Calibri" w:hAnsi="Verdana" w:cs="Arial"/>
        </w:rPr>
        <w:t xml:space="preserve"> </w:t>
      </w:r>
      <w:r w:rsidRPr="0033599C">
        <w:rPr>
          <w:rFonts w:ascii="Verdana" w:eastAsia="Calibri" w:hAnsi="Verdana" w:cs="Arial"/>
        </w:rPr>
        <w:t>Entidades Privadas Sin Ánimo de Lucro de</w:t>
      </w:r>
      <w:r>
        <w:rPr>
          <w:rFonts w:ascii="Verdana" w:eastAsia="Calibri" w:hAnsi="Verdana" w:cs="Arial"/>
        </w:rPr>
        <w:t xml:space="preserve"> </w:t>
      </w:r>
      <w:r w:rsidRPr="0033599C">
        <w:rPr>
          <w:rFonts w:ascii="Verdana" w:eastAsia="Calibri" w:hAnsi="Verdana" w:cs="Arial"/>
        </w:rPr>
        <w:lastRenderedPageBreak/>
        <w:t xml:space="preserve">reconocida idoneidad, </w:t>
      </w:r>
      <w:r>
        <w:rPr>
          <w:rFonts w:ascii="Verdana" w:eastAsia="Calibri" w:hAnsi="Verdana" w:cs="Arial"/>
        </w:rPr>
        <w:t xml:space="preserve">con la condición de que el </w:t>
      </w:r>
      <w:r w:rsidRPr="0033599C">
        <w:rPr>
          <w:rFonts w:ascii="Verdana" w:eastAsia="Calibri" w:hAnsi="Verdana" w:cs="Arial"/>
        </w:rPr>
        <w:t>aporte de la Entidad Privada Sin Ánimo de</w:t>
      </w:r>
      <w:r>
        <w:rPr>
          <w:rFonts w:ascii="Verdana" w:eastAsia="Calibri" w:hAnsi="Verdana" w:cs="Arial"/>
        </w:rPr>
        <w:t xml:space="preserve"> </w:t>
      </w:r>
      <w:r w:rsidRPr="0033599C">
        <w:rPr>
          <w:rFonts w:ascii="Verdana" w:eastAsia="Calibri" w:hAnsi="Verdana" w:cs="Arial"/>
        </w:rPr>
        <w:t>Lucro sea inferior al 30% en dinero propio o</w:t>
      </w:r>
      <w:r>
        <w:rPr>
          <w:rFonts w:ascii="Verdana" w:eastAsia="Calibri" w:hAnsi="Verdana" w:cs="Arial"/>
        </w:rPr>
        <w:t xml:space="preserve"> </w:t>
      </w:r>
      <w:r w:rsidRPr="0033599C">
        <w:rPr>
          <w:rFonts w:ascii="Verdana" w:eastAsia="Calibri" w:hAnsi="Verdana" w:cs="Arial"/>
        </w:rPr>
        <w:t>de cooperación internacional.</w:t>
      </w:r>
      <w:r>
        <w:rPr>
          <w:rFonts w:ascii="Verdana" w:eastAsia="Calibri" w:hAnsi="Verdana" w:cs="Arial"/>
        </w:rPr>
        <w:t xml:space="preserve"> En segundo lugar, la suscripción del convenio de asociación d</w:t>
      </w:r>
      <w:r w:rsidRPr="0033599C">
        <w:rPr>
          <w:rFonts w:ascii="Verdana" w:eastAsia="Calibri" w:hAnsi="Verdana" w:cs="Arial"/>
        </w:rPr>
        <w:t>el convenio de asociación</w:t>
      </w:r>
      <w:r>
        <w:rPr>
          <w:rFonts w:ascii="Verdana" w:eastAsia="Calibri" w:hAnsi="Verdana" w:cs="Arial"/>
        </w:rPr>
        <w:t xml:space="preserve"> no está </w:t>
      </w:r>
      <w:r w:rsidRPr="0033599C">
        <w:rPr>
          <w:rFonts w:ascii="Verdana" w:eastAsia="Calibri" w:hAnsi="Verdana" w:cs="Arial"/>
        </w:rPr>
        <w:t>sujeto a un proceso competitivo</w:t>
      </w:r>
      <w:r>
        <w:rPr>
          <w:rFonts w:ascii="Verdana" w:eastAsia="Calibri" w:hAnsi="Verdana" w:cs="Arial"/>
        </w:rPr>
        <w:t xml:space="preserve"> </w:t>
      </w:r>
      <w:r w:rsidRPr="0033599C">
        <w:rPr>
          <w:rFonts w:ascii="Verdana" w:eastAsia="Calibri" w:hAnsi="Verdana" w:cs="Arial"/>
        </w:rPr>
        <w:t>cuando la Entidad Privada Sin Ánimo de Lucro</w:t>
      </w:r>
      <w:r>
        <w:rPr>
          <w:rFonts w:ascii="Verdana" w:eastAsia="Calibri" w:hAnsi="Verdana" w:cs="Arial"/>
        </w:rPr>
        <w:t xml:space="preserve"> </w:t>
      </w:r>
      <w:r w:rsidRPr="0033599C">
        <w:rPr>
          <w:rFonts w:ascii="Verdana" w:eastAsia="Calibri" w:hAnsi="Verdana" w:cs="Arial"/>
        </w:rPr>
        <w:t>comprometa recursos en dinero propio o de</w:t>
      </w:r>
      <w:r>
        <w:rPr>
          <w:rFonts w:ascii="Verdana" w:eastAsia="Calibri" w:hAnsi="Verdana" w:cs="Arial"/>
        </w:rPr>
        <w:t xml:space="preserve"> </w:t>
      </w:r>
      <w:r w:rsidRPr="0033599C">
        <w:rPr>
          <w:rFonts w:ascii="Verdana" w:eastAsia="Calibri" w:hAnsi="Verdana" w:cs="Arial"/>
        </w:rPr>
        <w:t>cooperación internacional para la ejecución</w:t>
      </w:r>
      <w:r>
        <w:rPr>
          <w:rFonts w:ascii="Verdana" w:eastAsia="Calibri" w:hAnsi="Verdana" w:cs="Arial"/>
        </w:rPr>
        <w:t xml:space="preserve"> </w:t>
      </w:r>
      <w:r w:rsidRPr="0033599C">
        <w:rPr>
          <w:rFonts w:ascii="Verdana" w:eastAsia="Calibri" w:hAnsi="Verdana" w:cs="Arial"/>
        </w:rPr>
        <w:t>de las actividades en un porcentaje no inferior</w:t>
      </w:r>
      <w:r>
        <w:rPr>
          <w:rFonts w:ascii="Verdana" w:eastAsia="Calibri" w:hAnsi="Verdana" w:cs="Arial"/>
        </w:rPr>
        <w:t xml:space="preserve"> </w:t>
      </w:r>
      <w:r w:rsidRPr="0033599C">
        <w:rPr>
          <w:rFonts w:ascii="Verdana" w:eastAsia="Calibri" w:hAnsi="Verdana" w:cs="Arial"/>
        </w:rPr>
        <w:t>al 3</w:t>
      </w:r>
      <w:r>
        <w:rPr>
          <w:rFonts w:ascii="Verdana" w:eastAsia="Calibri" w:hAnsi="Verdana" w:cs="Arial"/>
        </w:rPr>
        <w:t>0% del valor total del convenio. Por último, s</w:t>
      </w:r>
      <w:r w:rsidRPr="0033599C">
        <w:rPr>
          <w:rFonts w:ascii="Verdana" w:eastAsia="Calibri" w:hAnsi="Verdana" w:cs="Arial"/>
        </w:rPr>
        <w:t>i más de una Entidad Privada Sin Ánimo</w:t>
      </w:r>
      <w:r>
        <w:rPr>
          <w:rFonts w:ascii="Verdana" w:eastAsia="Calibri" w:hAnsi="Verdana" w:cs="Arial"/>
        </w:rPr>
        <w:t xml:space="preserve"> </w:t>
      </w:r>
      <w:r w:rsidRPr="0033599C">
        <w:rPr>
          <w:rFonts w:ascii="Verdana" w:eastAsia="Calibri" w:hAnsi="Verdana" w:cs="Arial"/>
        </w:rPr>
        <w:t>de Lucro promete recursos en dinero para el</w:t>
      </w:r>
      <w:r>
        <w:rPr>
          <w:rFonts w:ascii="Verdana" w:eastAsia="Calibri" w:hAnsi="Verdana" w:cs="Arial"/>
        </w:rPr>
        <w:t xml:space="preserve"> </w:t>
      </w:r>
      <w:r w:rsidRPr="0033599C">
        <w:rPr>
          <w:rFonts w:ascii="Verdana" w:eastAsia="Calibri" w:hAnsi="Verdana" w:cs="Arial"/>
        </w:rPr>
        <w:t>desarrollo de las actividades del convenio de</w:t>
      </w:r>
      <w:r>
        <w:rPr>
          <w:rFonts w:ascii="Verdana" w:eastAsia="Calibri" w:hAnsi="Verdana" w:cs="Arial"/>
        </w:rPr>
        <w:t xml:space="preserve"> </w:t>
      </w:r>
      <w:r w:rsidRPr="0033599C">
        <w:rPr>
          <w:rFonts w:ascii="Verdana" w:eastAsia="Calibri" w:hAnsi="Verdana" w:cs="Arial"/>
        </w:rPr>
        <w:t>asociación en un porcentaje no inferior al 30%</w:t>
      </w:r>
      <w:r>
        <w:rPr>
          <w:rFonts w:ascii="Verdana" w:eastAsia="Calibri" w:hAnsi="Verdana" w:cs="Arial"/>
        </w:rPr>
        <w:t xml:space="preserve"> </w:t>
      </w:r>
      <w:r w:rsidRPr="0033599C">
        <w:rPr>
          <w:rFonts w:ascii="Verdana" w:eastAsia="Calibri" w:hAnsi="Verdana" w:cs="Arial"/>
        </w:rPr>
        <w:t xml:space="preserve">del valor total del convenio, la Entidad </w:t>
      </w:r>
      <w:r>
        <w:rPr>
          <w:rFonts w:ascii="Verdana" w:eastAsia="Calibri" w:hAnsi="Verdana" w:cs="Arial"/>
        </w:rPr>
        <w:t>debe</w:t>
      </w:r>
      <w:r w:rsidRPr="0033599C">
        <w:rPr>
          <w:rFonts w:ascii="Verdana" w:eastAsia="Calibri" w:hAnsi="Verdana" w:cs="Arial"/>
        </w:rPr>
        <w:t xml:space="preserve"> seleccionar </w:t>
      </w:r>
      <w:r>
        <w:rPr>
          <w:rFonts w:ascii="Verdana" w:eastAsia="Calibri" w:hAnsi="Verdana" w:cs="Arial"/>
        </w:rPr>
        <w:t xml:space="preserve">de forma objetiva y con justificación las razones </w:t>
      </w:r>
      <w:r w:rsidRPr="0033599C">
        <w:rPr>
          <w:rFonts w:ascii="Verdana" w:eastAsia="Calibri" w:hAnsi="Verdana" w:cs="Arial"/>
        </w:rPr>
        <w:t>para dicha</w:t>
      </w:r>
      <w:r>
        <w:rPr>
          <w:rFonts w:ascii="Verdana" w:eastAsia="Calibri" w:hAnsi="Verdana" w:cs="Arial"/>
        </w:rPr>
        <w:t xml:space="preserve"> </w:t>
      </w:r>
      <w:r w:rsidRPr="003356E7">
        <w:rPr>
          <w:rFonts w:ascii="Verdana" w:eastAsia="Calibri" w:hAnsi="Verdana" w:cs="Arial"/>
        </w:rPr>
        <w:t>selección</w:t>
      </w:r>
      <w:r w:rsidRPr="003356E7">
        <w:rPr>
          <w:rFonts w:ascii="Verdana" w:eastAsia="Calibri" w:hAnsi="Verdana" w:cs="Arial"/>
          <w:bCs/>
          <w:i/>
          <w:iCs/>
          <w:vertAlign w:val="superscript"/>
        </w:rPr>
        <w:footnoteReference w:id="7"/>
      </w:r>
      <w:r w:rsidRPr="003356E7">
        <w:rPr>
          <w:rFonts w:ascii="Verdana" w:eastAsia="Calibri" w:hAnsi="Verdana" w:cs="Arial"/>
        </w:rPr>
        <w:t>.</w:t>
      </w:r>
    </w:p>
    <w:p w14:paraId="564662CB" w14:textId="77777777" w:rsidR="007A7FF9" w:rsidRPr="00E9090B" w:rsidRDefault="007A7FF9" w:rsidP="007A7FF9">
      <w:pPr>
        <w:spacing w:after="120" w:line="276" w:lineRule="auto"/>
        <w:ind w:firstLine="709"/>
        <w:jc w:val="both"/>
        <w:rPr>
          <w:rFonts w:ascii="Verdana" w:eastAsia="Calibri" w:hAnsi="Verdana" w:cs="Arial"/>
          <w:lang w:val="es-MX"/>
        </w:rPr>
      </w:pPr>
      <w:r w:rsidRPr="00E9090B">
        <w:rPr>
          <w:rFonts w:ascii="Verdana" w:eastAsia="Calibri" w:hAnsi="Verdana" w:cs="Arial"/>
          <w:lang w:val="es-MX"/>
        </w:rPr>
        <w:t>Ahora bien, el Consejo de Estado, en el Auto del 6 de agosto de 2019 de la Sección Tercera, Subsección A –Exp. 62.003–, estudió la solicitud de suspensión provisional</w:t>
      </w:r>
      <w:r w:rsidRPr="00E9090B">
        <w:rPr>
          <w:rFonts w:ascii="Verdana" w:eastAsia="Calibri" w:hAnsi="Verdana" w:cs="Arial"/>
          <w:vertAlign w:val="superscript"/>
          <w:lang w:val="es-MX"/>
        </w:rPr>
        <w:footnoteReference w:id="8"/>
      </w:r>
      <w:r w:rsidRPr="00E9090B">
        <w:rPr>
          <w:rFonts w:ascii="Verdana" w:eastAsia="Calibri" w:hAnsi="Verdana" w:cs="Arial"/>
          <w:lang w:val="es-MX"/>
        </w:rPr>
        <w:t xml:space="preserve"> del inciso 2 del artículo 1, literales a y c del artículo 2, inciso 5 del artículo 2, inciso 2 del artículo 3, inciso final del artículo 4 y artículo 5 del Decreto 092 de 2017. No obstante, sobre esta última norma concluyó que el análisis de esta disposición debe realizarse a profundidad para establecer si efectivamente existe una contradicción normativa que implique que se afectó la competencia del legislador. En consecuencia, negó la solicitud de suspensión provisional frente a la última disposición relacionada con los convenios de asociación, reservando el análisis sobre la legalidad de dicho artículo a la sentencia de fondo. Por tanto, si se pretende realizar un </w:t>
      </w:r>
      <w:r w:rsidRPr="00E9090B">
        <w:rPr>
          <w:rFonts w:ascii="Verdana" w:eastAsia="Calibri" w:hAnsi="Verdana" w:cs="Arial"/>
          <w:i/>
          <w:iCs/>
          <w:lang w:val="es-MX"/>
        </w:rPr>
        <w:t>convenio de asociación</w:t>
      </w:r>
      <w:r w:rsidRPr="00E9090B">
        <w:rPr>
          <w:rFonts w:ascii="Verdana" w:eastAsia="Calibri" w:hAnsi="Verdana" w:cs="Arial"/>
          <w:lang w:val="es-MX"/>
        </w:rPr>
        <w:t xml:space="preserve"> con ESAL de reconocida idoneidad para el cumplimiento de las funciones que la ley les asigna a las entidades públicas, debe aplicarse lo dispuesto en el artículo 5 del Decreto 092 de 2017. </w:t>
      </w:r>
      <w:r w:rsidRPr="00E9090B">
        <w:rPr>
          <w:rFonts w:ascii="Verdana" w:eastAsia="Calibri" w:hAnsi="Verdana" w:cs="Arial"/>
          <w:lang w:val="es-ES_tradnl"/>
        </w:rPr>
        <w:t>En todo caso, conviene precisar que mediante Auto del 15 de marzo de 2022</w:t>
      </w:r>
      <w:r w:rsidRPr="00E9090B">
        <w:rPr>
          <w:rFonts w:ascii="Verdana" w:eastAsia="Calibri" w:hAnsi="Verdana" w:cs="Arial"/>
          <w:vertAlign w:val="superscript"/>
          <w:lang w:val="es-ES_tradnl"/>
        </w:rPr>
        <w:footnoteReference w:id="9"/>
      </w:r>
      <w:r w:rsidRPr="00E9090B">
        <w:rPr>
          <w:rFonts w:ascii="Verdana" w:eastAsia="Calibri" w:hAnsi="Verdana" w:cs="Arial"/>
          <w:lang w:val="es-ES_tradnl"/>
        </w:rPr>
        <w:t xml:space="preserve">, el Consejo de Estado levantó la medida cautelar de </w:t>
      </w:r>
      <w:r w:rsidRPr="00E9090B">
        <w:rPr>
          <w:rFonts w:ascii="Verdana" w:eastAsia="Calibri" w:hAnsi="Verdana" w:cs="Arial"/>
          <w:lang w:val="es-ES_tradnl"/>
        </w:rPr>
        <w:lastRenderedPageBreak/>
        <w:t>suspensión provisional respecto del inciso 2 del artículo 1 y el inciso 2 del artículo 3, del Decreto 092 de 2007, por lo que surten en la actualidad efectos jurídicos</w:t>
      </w:r>
      <w:r w:rsidRPr="00E9090B">
        <w:rPr>
          <w:rFonts w:ascii="Verdana" w:eastAsia="Calibri" w:hAnsi="Verdana" w:cs="Arial"/>
          <w:vertAlign w:val="superscript"/>
          <w:lang w:val="es-ES_tradnl"/>
        </w:rPr>
        <w:footnoteReference w:id="10"/>
      </w:r>
      <w:r w:rsidRPr="00E9090B">
        <w:rPr>
          <w:rFonts w:ascii="Verdana" w:eastAsia="Calibri" w:hAnsi="Verdana" w:cs="Arial"/>
          <w:lang w:val="es-ES_tradnl"/>
        </w:rPr>
        <w:t>.</w:t>
      </w:r>
    </w:p>
    <w:p w14:paraId="6548E427" w14:textId="77777777" w:rsidR="007A7FF9" w:rsidRPr="00E9090B" w:rsidRDefault="007A7FF9" w:rsidP="007A7FF9">
      <w:pPr>
        <w:spacing w:before="120" w:after="0" w:line="276" w:lineRule="auto"/>
        <w:ind w:firstLine="708"/>
        <w:jc w:val="both"/>
        <w:textAlignment w:val="baseline"/>
        <w:rPr>
          <w:rFonts w:ascii="Verdana" w:eastAsia="Calibri" w:hAnsi="Verdana" w:cs="Arial"/>
          <w:lang w:val="es-ES_tradnl" w:eastAsia="es-ES_tradnl"/>
        </w:rPr>
      </w:pPr>
      <w:r w:rsidRPr="00E9090B">
        <w:rPr>
          <w:rFonts w:ascii="Verdana" w:eastAsia="Calibri" w:hAnsi="Verdana" w:cs="Arial"/>
          <w:lang w:val="es-MX"/>
        </w:rPr>
        <w:t xml:space="preserve">Como se explicó, en relación con los convenios de asociación, el artículo 5 del citado Decreto establece que el proceso para la selección de la ESAL, por regla general, debe estar sujeto a competencia; salvo en aquellos casos en que </w:t>
      </w:r>
      <w:r w:rsidRPr="00E9090B">
        <w:rPr>
          <w:rFonts w:ascii="Verdana" w:eastAsia="Calibri" w:hAnsi="Verdana" w:cs="Arial"/>
          <w:i/>
          <w:iCs/>
          <w:lang w:val="es-MX"/>
        </w:rPr>
        <w:t>una</w:t>
      </w:r>
      <w:r w:rsidRPr="00E9090B">
        <w:rPr>
          <w:rFonts w:ascii="Verdana" w:eastAsia="Calibri" w:hAnsi="Verdana" w:cs="Arial"/>
          <w:lang w:val="es-MX"/>
        </w:rPr>
        <w:t xml:space="preserve"> entidad sin ánimo de lucro comprometa recursos en dinero por un valor igual o superior al 30% del valor total del convenio</w:t>
      </w:r>
      <w:r w:rsidRPr="00E9090B">
        <w:rPr>
          <w:rFonts w:ascii="Verdana" w:eastAsia="Calibri" w:hAnsi="Verdana" w:cs="Arial"/>
          <w:vertAlign w:val="superscript"/>
          <w:lang w:val="es-MX"/>
        </w:rPr>
        <w:footnoteReference w:id="11"/>
      </w:r>
      <w:r w:rsidRPr="00E9090B">
        <w:rPr>
          <w:rFonts w:ascii="Verdana" w:eastAsia="Calibri" w:hAnsi="Verdana" w:cs="Arial"/>
          <w:lang w:val="es-MX"/>
        </w:rPr>
        <w:t>, y siempre que la entidad estatal verifique previamente que no existe ninguna otra entidad sin ánimo de lucro que ofrezca aportes en dinero iguales o superiores al 30%, ya que en este último evento también deberá adelantar un proceso competitivo. De hecho, en relación con la naturaleza y cuantía de los convenios, la norma anteriormente citada no prohíbe la celebración de convenios en que la ESAL aporte menos del 30% o cuando aporten recursos en especie. En efecto, solo indica que en esos casos la entidad estatal debe acudir al proceso competitivo para seleccionar a la entidad sin ánimo de lucro con la cual celebrará el respectivo convenio.</w:t>
      </w:r>
    </w:p>
    <w:p w14:paraId="3865A747" w14:textId="77777777" w:rsidR="007A7FF9" w:rsidRPr="00E9090B" w:rsidRDefault="007A7FF9" w:rsidP="007A7FF9">
      <w:pPr>
        <w:spacing w:before="120" w:after="120" w:line="276" w:lineRule="auto"/>
        <w:ind w:firstLine="709"/>
        <w:jc w:val="both"/>
        <w:rPr>
          <w:rFonts w:ascii="Verdana" w:eastAsia="Calibri" w:hAnsi="Verdana" w:cs="Arial"/>
          <w:lang w:val="es-ES_tradnl"/>
        </w:rPr>
      </w:pPr>
      <w:r w:rsidRPr="00E9090B">
        <w:rPr>
          <w:rFonts w:ascii="Verdana" w:eastAsia="Calibri" w:hAnsi="Verdana" w:cs="Arial"/>
          <w:lang w:val="es-ES_tradnl" w:eastAsia="es-ES_tradnl"/>
        </w:rPr>
        <w:t xml:space="preserve">Finalmente, sintetizando lo expresado en relación con los </w:t>
      </w:r>
      <w:r w:rsidRPr="00E9090B">
        <w:rPr>
          <w:rFonts w:ascii="Verdana" w:eastAsia="Calibri" w:hAnsi="Verdana" w:cs="Arial"/>
          <w:i/>
          <w:iCs/>
          <w:lang w:val="es-ES_tradnl" w:eastAsia="es-ES_tradnl"/>
        </w:rPr>
        <w:t xml:space="preserve">convenios de </w:t>
      </w:r>
      <w:r w:rsidRPr="00E9090B">
        <w:rPr>
          <w:rFonts w:ascii="Verdana" w:eastAsia="Calibri" w:hAnsi="Verdana" w:cs="Arial"/>
          <w:lang w:val="es-ES_tradnl" w:eastAsia="es-ES_tradnl"/>
        </w:rPr>
        <w:t xml:space="preserve">asociación, la finalidad de los aportes está dirigido concretamente a lograr la ejecución del convenio. De todos modos, la entidad deberá adelantar un proceso competitivo, salvo cuando la ESAL comprometa recursos en dinero para la </w:t>
      </w:r>
      <w:r w:rsidRPr="00E9090B">
        <w:rPr>
          <w:rFonts w:ascii="Verdana" w:eastAsia="Calibri" w:hAnsi="Verdana" w:cs="Arial"/>
          <w:lang w:val="es-ES_tradnl" w:eastAsia="es-ES_tradnl"/>
        </w:rPr>
        <w:lastRenderedPageBreak/>
        <w:t xml:space="preserve">ejecución de estas actividades, en una proporción no inferior al 30% del valor total del convenio. Así, </w:t>
      </w:r>
      <w:r w:rsidRPr="00E9090B">
        <w:rPr>
          <w:rFonts w:ascii="Verdana" w:eastAsia="Calibri" w:hAnsi="Verdana" w:cs="Arial"/>
          <w:lang w:val="es-ES_tradnl"/>
        </w:rPr>
        <w:t xml:space="preserve">si se pretende suscribir un </w:t>
      </w:r>
      <w:r w:rsidRPr="00E9090B">
        <w:rPr>
          <w:rFonts w:ascii="Verdana" w:eastAsia="Calibri" w:hAnsi="Verdana" w:cs="Arial"/>
          <w:i/>
          <w:iCs/>
          <w:lang w:val="es-ES_tradnl"/>
        </w:rPr>
        <w:t>convenio de asociación</w:t>
      </w:r>
      <w:r w:rsidRPr="00E9090B">
        <w:rPr>
          <w:rFonts w:ascii="Verdana" w:eastAsia="Calibri" w:hAnsi="Verdana" w:cs="Arial"/>
          <w:lang w:val="es-ES_tradnl"/>
        </w:rPr>
        <w:t xml:space="preserve"> con una ESAL de reconocida idoneidad para el cumplimiento de las funciones que la ley les asigna a las entidades públicas, deben aplicar lo dispuesto en el artículo 5 del Decreto 92 de 2017. Como se estableció </w:t>
      </w:r>
      <w:r w:rsidRPr="00E9090B">
        <w:rPr>
          <w:rFonts w:ascii="Verdana" w:eastAsia="Calibri" w:hAnsi="Verdana" w:cs="Arial"/>
          <w:i/>
          <w:iCs/>
          <w:lang w:val="es-ES_tradnl"/>
        </w:rPr>
        <w:t>supra</w:t>
      </w:r>
      <w:r w:rsidRPr="00E9090B">
        <w:rPr>
          <w:rFonts w:ascii="Verdana" w:eastAsia="Calibri" w:hAnsi="Verdana" w:cs="Arial"/>
          <w:lang w:val="es-ES_tradnl"/>
        </w:rPr>
        <w:t xml:space="preserve">, este artículo dispone que el proceso para la escogencia de la ESAL, por regla general, debe estar sujeto a competencia. </w:t>
      </w:r>
    </w:p>
    <w:p w14:paraId="2ECF12FB" w14:textId="77777777" w:rsidR="007A7FF9" w:rsidRPr="00E9090B" w:rsidRDefault="007A7FF9" w:rsidP="007A7FF9">
      <w:pPr>
        <w:spacing w:before="120" w:after="120" w:line="276" w:lineRule="auto"/>
        <w:ind w:firstLine="709"/>
        <w:jc w:val="both"/>
        <w:rPr>
          <w:rFonts w:ascii="Verdana" w:eastAsia="Calibri" w:hAnsi="Verdana" w:cs="Arial"/>
          <w:lang w:val="es-ES"/>
        </w:rPr>
      </w:pPr>
      <w:r w:rsidRPr="00E9090B">
        <w:rPr>
          <w:rFonts w:ascii="Verdana" w:eastAsia="Calibri" w:hAnsi="Verdana" w:cs="Arial"/>
          <w:lang w:val="es-ES"/>
        </w:rPr>
        <w:t xml:space="preserve">Esto, salvo en aquellos casos en los que una ESAL manifieste su compromiso de aportar recursos en dinero por un valor igual o superior al 30% del valor total del convenio, con la condición de que no existan otras ESAL que ofrezca aportes en monto igual o superior a dicho porcentaje, pues en este evento también se tendría que realizar un proceso competitivo. Finalmente, dada la regla concreta y específica establecida en la norma, si los aportes no son en dinero, sino únicamente en especie, esto es, bienes diferentes o no equivalente al dinero, no se dará aplicación a dicha regla y el proceso de selección será competitivo. </w:t>
      </w:r>
    </w:p>
    <w:p w14:paraId="5917E5E6" w14:textId="77777777" w:rsidR="007A7FF9" w:rsidRPr="003356E7" w:rsidRDefault="007A7FF9" w:rsidP="007A7FF9">
      <w:pPr>
        <w:spacing w:after="0" w:line="276" w:lineRule="auto"/>
        <w:ind w:firstLine="709"/>
        <w:jc w:val="both"/>
        <w:textAlignment w:val="baseline"/>
        <w:rPr>
          <w:rFonts w:ascii="Verdana" w:eastAsia="Calibri" w:hAnsi="Verdana" w:cs="Arial"/>
          <w:lang w:val="es-ES"/>
        </w:rPr>
      </w:pPr>
      <w:r w:rsidRPr="00E9090B">
        <w:rPr>
          <w:rFonts w:ascii="Verdana" w:eastAsia="Calibri" w:hAnsi="Verdana" w:cs="Arial"/>
          <w:lang w:val="es-ES"/>
        </w:rPr>
        <w:t xml:space="preserve">En ese contexto, cuando el aporte de la ESAL al convenio de asociación, que se realizará con una entidad estatal bajo los términos del artículo 5 del Decreto 092 de 2017, no sea en dinero, sino en especie, esto es, con bienes tangibles e intangibles distintos al dinero o que no sean equivalentes a este, en los términos indicados en el párrafo anterior, </w:t>
      </w:r>
      <w:r w:rsidRPr="00E9090B">
        <w:rPr>
          <w:rFonts w:ascii="Verdana" w:eastAsia="Calibri" w:hAnsi="Verdana" w:cs="Arial"/>
          <w:i/>
          <w:iCs/>
          <w:lang w:val="es-ES"/>
        </w:rPr>
        <w:t>no</w:t>
      </w:r>
      <w:r w:rsidRPr="00E9090B">
        <w:rPr>
          <w:rFonts w:ascii="Verdana" w:eastAsia="Calibri" w:hAnsi="Verdana" w:cs="Arial"/>
          <w:lang w:val="es-ES"/>
        </w:rPr>
        <w:t xml:space="preserve"> se aplicará la regla que determina que si el aporte de recursos en dinero es igual o superior a un 30% del valor del convenio, este se podrá celebrar de forma directa, por lo que deberá adelantarse un proceso competitivo. No obstante, se precisa que no significa que no puedan hacerse aportes en especie, sino que como mínimo debe realizarse un aporte en dinero del 30% del valor del convenio de asociación para que pueda aplicar la selección directa de la ESAL, siempre que no haya otra entidad privada sin ánimo de lucro que realice el mismo ofrecimiento.</w:t>
      </w:r>
      <w:r>
        <w:rPr>
          <w:rFonts w:ascii="Verdana" w:eastAsia="Calibri" w:hAnsi="Verdana" w:cs="Arial"/>
          <w:lang w:val="es-ES"/>
        </w:rPr>
        <w:t xml:space="preserve"> </w:t>
      </w:r>
      <w:r w:rsidRPr="00E9090B">
        <w:rPr>
          <w:rFonts w:ascii="Verdana" w:eastAsia="Calibri" w:hAnsi="Verdana" w:cs="Arial"/>
          <w:bCs/>
          <w:lang w:val="es-MX"/>
        </w:rPr>
        <w:t xml:space="preserve">Ahora bien, </w:t>
      </w:r>
      <w:r w:rsidRPr="00E9090B">
        <w:rPr>
          <w:rFonts w:ascii="Verdana" w:eastAsia="Calibri" w:hAnsi="Verdana" w:cs="Arial"/>
          <w:bCs/>
          <w:lang w:val="es-ES_tradnl"/>
        </w:rPr>
        <w:t>frente a la regulación sumaria de los contratos del artículo 355 de la Constitución y los convenios de asociación, los artículos 6, 7 y 8 del Decreto 092 de 2017 disponen:</w:t>
      </w:r>
    </w:p>
    <w:p w14:paraId="04DB83AC" w14:textId="77777777" w:rsidR="007A7FF9" w:rsidRPr="003356E7" w:rsidRDefault="007A7FF9" w:rsidP="007A7FF9">
      <w:pPr>
        <w:spacing w:after="0" w:line="276" w:lineRule="auto"/>
        <w:ind w:firstLine="709"/>
        <w:jc w:val="both"/>
        <w:rPr>
          <w:rFonts w:ascii="Verdana" w:eastAsia="Calibri" w:hAnsi="Verdana" w:cs="Arial"/>
          <w:bCs/>
          <w:lang w:val="es-ES"/>
        </w:rPr>
      </w:pPr>
    </w:p>
    <w:p w14:paraId="74570C29" w14:textId="77777777" w:rsidR="007A7FF9" w:rsidRPr="00B74143" w:rsidRDefault="007A7FF9" w:rsidP="007A7FF9">
      <w:pPr>
        <w:spacing w:after="0" w:line="240" w:lineRule="auto"/>
        <w:ind w:left="709" w:right="709"/>
        <w:jc w:val="both"/>
        <w:rPr>
          <w:rFonts w:ascii="Verdana" w:eastAsia="Calibri" w:hAnsi="Verdana" w:cs="Arial"/>
          <w:sz w:val="20"/>
          <w:szCs w:val="20"/>
          <w:lang w:val="es-ES_tradnl"/>
        </w:rPr>
      </w:pPr>
      <w:r w:rsidRPr="00B74143">
        <w:rPr>
          <w:rFonts w:ascii="Verdana" w:eastAsia="Calibri" w:hAnsi="Verdana" w:cs="Arial"/>
          <w:sz w:val="20"/>
          <w:szCs w:val="20"/>
          <w:lang w:val="es-ES_tradnl"/>
        </w:rPr>
        <w:t xml:space="preserve">“Artículo 6°. Prohibiciones, inhabilidades e incompatibilidades. Las prohibiciones, inhabilidades e incompatibilidades establecidas en la Constitución y en las Leyes 80 de 1993, 1150 de 2007 y 1474 de 2011, y en las normas que las modifiquen, aclaren, adicionen o sustituyan, o en </w:t>
      </w:r>
      <w:r w:rsidRPr="00B74143">
        <w:rPr>
          <w:rFonts w:ascii="Verdana" w:eastAsia="Calibri" w:hAnsi="Verdana" w:cs="Arial"/>
          <w:sz w:val="20"/>
          <w:szCs w:val="20"/>
          <w:lang w:val="es-ES_tradnl"/>
        </w:rPr>
        <w:lastRenderedPageBreak/>
        <w:t>cualquier otra norma especial, son aplicables a la contratación a la que hace referencia el presente decreto.</w:t>
      </w:r>
    </w:p>
    <w:p w14:paraId="4A7A8751" w14:textId="77777777" w:rsidR="007A7FF9" w:rsidRPr="00B74143" w:rsidRDefault="007A7FF9" w:rsidP="007A7FF9">
      <w:pPr>
        <w:spacing w:after="0" w:line="240" w:lineRule="auto"/>
        <w:ind w:left="709" w:right="709"/>
        <w:jc w:val="both"/>
        <w:rPr>
          <w:rFonts w:ascii="Verdana" w:eastAsia="Calibri" w:hAnsi="Verdana" w:cs="Arial"/>
          <w:sz w:val="20"/>
          <w:szCs w:val="20"/>
          <w:lang w:val="es-ES_tradnl"/>
        </w:rPr>
      </w:pPr>
    </w:p>
    <w:p w14:paraId="59A6032B" w14:textId="77777777" w:rsidR="007A7FF9" w:rsidRPr="00B74143" w:rsidRDefault="007A7FF9" w:rsidP="007A7FF9">
      <w:pPr>
        <w:spacing w:after="0" w:line="240" w:lineRule="auto"/>
        <w:ind w:left="709" w:right="709"/>
        <w:jc w:val="both"/>
        <w:rPr>
          <w:rFonts w:ascii="Verdana" w:eastAsia="Calibri" w:hAnsi="Verdana" w:cs="Arial"/>
          <w:sz w:val="20"/>
          <w:szCs w:val="20"/>
          <w:lang w:val="es-ES_tradnl"/>
        </w:rPr>
      </w:pPr>
      <w:r w:rsidRPr="00B74143">
        <w:rPr>
          <w:rFonts w:ascii="Verdana" w:eastAsia="Calibri" w:hAnsi="Verdana" w:cs="Arial"/>
          <w:sz w:val="20"/>
          <w:szCs w:val="20"/>
          <w:lang w:val="es-ES_tradnl"/>
        </w:rPr>
        <w:t>Artículo 7°. Aplicación de los principios de la contratación estatal. La contratación a la que hace referencia el presente decreto está sujeta a los principios de la contratación estatal y a las normas presupuestales aplicables […]</w:t>
      </w:r>
    </w:p>
    <w:p w14:paraId="50D4732B" w14:textId="77777777" w:rsidR="007A7FF9" w:rsidRPr="00B74143" w:rsidRDefault="007A7FF9" w:rsidP="007A7FF9">
      <w:pPr>
        <w:spacing w:after="0" w:line="240" w:lineRule="auto"/>
        <w:ind w:left="709" w:right="709"/>
        <w:jc w:val="both"/>
        <w:rPr>
          <w:rFonts w:ascii="Verdana" w:eastAsia="Calibri" w:hAnsi="Verdana" w:cs="Arial"/>
          <w:sz w:val="20"/>
          <w:szCs w:val="20"/>
          <w:lang w:val="es-ES_tradnl"/>
        </w:rPr>
      </w:pPr>
    </w:p>
    <w:p w14:paraId="01531DB4" w14:textId="77777777" w:rsidR="007A7FF9" w:rsidRPr="00B74143" w:rsidRDefault="007A7FF9" w:rsidP="007A7FF9">
      <w:pPr>
        <w:spacing w:after="0" w:line="240" w:lineRule="auto"/>
        <w:ind w:left="709" w:right="709"/>
        <w:jc w:val="both"/>
        <w:rPr>
          <w:rFonts w:ascii="Verdana" w:eastAsia="Calibri" w:hAnsi="Verdana" w:cs="Arial"/>
          <w:sz w:val="20"/>
          <w:szCs w:val="20"/>
          <w:lang w:val="es-ES_tradnl"/>
        </w:rPr>
      </w:pPr>
      <w:r w:rsidRPr="00B74143">
        <w:rPr>
          <w:rFonts w:ascii="Verdana" w:eastAsia="Calibri" w:hAnsi="Verdana" w:cs="Arial"/>
          <w:sz w:val="20"/>
          <w:szCs w:val="20"/>
          <w:lang w:val="es-ES_tradnl"/>
        </w:rPr>
        <w:t xml:space="preserve">Artículo 8°. Aplicación de normas generales del sistema de contratación pública. La contratación a la que hace referencia el presente decreto está sujeta a las normas generales aplicables a la contratación pública excepto en lo reglamentado en el presente decreto”. </w:t>
      </w:r>
    </w:p>
    <w:p w14:paraId="6CA73723" w14:textId="77777777" w:rsidR="007A7FF9" w:rsidRPr="00E9090B" w:rsidRDefault="007A7FF9" w:rsidP="007A7FF9">
      <w:pPr>
        <w:spacing w:after="0" w:line="276" w:lineRule="auto"/>
        <w:ind w:firstLine="709"/>
        <w:jc w:val="both"/>
        <w:rPr>
          <w:rFonts w:ascii="Arial" w:eastAsia="Calibri" w:hAnsi="Arial" w:cs="Arial"/>
          <w:bCs/>
          <w:lang w:val="es-MX"/>
        </w:rPr>
      </w:pPr>
    </w:p>
    <w:p w14:paraId="65FB351F" w14:textId="77777777" w:rsidR="007A7FF9" w:rsidRPr="00E9090B" w:rsidRDefault="007A7FF9" w:rsidP="007A7FF9">
      <w:pPr>
        <w:spacing w:after="120" w:line="276" w:lineRule="auto"/>
        <w:ind w:firstLine="709"/>
        <w:jc w:val="both"/>
        <w:rPr>
          <w:rFonts w:ascii="Verdana" w:eastAsia="Calibri" w:hAnsi="Verdana" w:cs="Arial"/>
          <w:bCs/>
        </w:rPr>
      </w:pPr>
      <w:r w:rsidRPr="00E9090B">
        <w:rPr>
          <w:rFonts w:ascii="Verdana" w:eastAsia="Calibri" w:hAnsi="Verdana" w:cs="Arial"/>
          <w:bCs/>
        </w:rPr>
        <w:t xml:space="preserve">Estas normas integran las lagunas o vacíos normativos del reglamento autónomo, y se aplican a todo lo que no esté expresamente regulado en él. Por ello no es posible aplicar ninguna de las disposiciones anteriormente citadas en temas como la competencia para celebrar los contratos del artículo 355 de la Constitución y la indelegabilidad de la autorización –art. 2–, la idoneidad de las ESAL –art. 3–, su registro en el SECOP –art. 9– y la inaplicación del registro único de proponentes –art. 10–. </w:t>
      </w:r>
    </w:p>
    <w:p w14:paraId="7131D1EE" w14:textId="77777777" w:rsidR="007A7FF9" w:rsidRPr="00E9090B" w:rsidRDefault="007A7FF9" w:rsidP="007A7FF9">
      <w:pPr>
        <w:spacing w:before="120" w:after="120" w:line="276" w:lineRule="auto"/>
        <w:ind w:firstLine="708"/>
        <w:jc w:val="both"/>
        <w:rPr>
          <w:rFonts w:ascii="Verdana" w:eastAsia="Calibri" w:hAnsi="Verdana" w:cs="Arial"/>
        </w:rPr>
      </w:pPr>
      <w:r w:rsidRPr="00E9090B">
        <w:rPr>
          <w:rFonts w:ascii="Verdana" w:eastAsia="Rockwell" w:hAnsi="Verdana" w:cs="Arial"/>
          <w:lang w:eastAsia="es-CO"/>
        </w:rPr>
        <w:t xml:space="preserve">Sobre la interpretación de estos artículos del </w:t>
      </w:r>
      <w:r w:rsidRPr="00E9090B">
        <w:rPr>
          <w:rFonts w:ascii="Verdana" w:eastAsia="Calibri" w:hAnsi="Verdana" w:cs="Arial"/>
        </w:rPr>
        <w:t xml:space="preserve">Decreto 092 de 2017, </w:t>
      </w:r>
      <w:r w:rsidRPr="00E9090B">
        <w:rPr>
          <w:rFonts w:ascii="Verdana" w:eastAsia="Rockwell" w:hAnsi="Verdana" w:cs="Arial"/>
          <w:lang w:eastAsia="es-CO"/>
        </w:rPr>
        <w:t>esta Agencia en el</w:t>
      </w:r>
      <w:r w:rsidRPr="00E9090B">
        <w:rPr>
          <w:rFonts w:ascii="Verdana" w:eastAsia="Calibri" w:hAnsi="Verdana" w:cs="Arial"/>
        </w:rPr>
        <w:t xml:space="preserve"> Concepto C-223 del 29 de abril de 2020 señaló que cuando el artículo 8 menciona a las “[…] normas generales aplicables a la contratación pública […]”, bien podrían referirse a las disposiciones comunes del Estatuto General –</w:t>
      </w:r>
      <w:r w:rsidRPr="00E9090B">
        <w:rPr>
          <w:rFonts w:ascii="Verdana" w:eastAsia="Calibri" w:hAnsi="Verdana" w:cs="Arial"/>
          <w:i/>
          <w:iCs/>
        </w:rPr>
        <w:t>remisión parcial latu sensu</w:t>
      </w:r>
      <w:r w:rsidRPr="00E9090B">
        <w:rPr>
          <w:rFonts w:ascii="Verdana" w:eastAsia="Calibri" w:hAnsi="Verdana" w:cs="Arial"/>
        </w:rPr>
        <w:t>– o a la totalidad de la Ley 80 de 1993 –</w:t>
      </w:r>
      <w:r w:rsidRPr="00E9090B">
        <w:rPr>
          <w:rFonts w:ascii="Verdana" w:eastAsia="Calibri" w:hAnsi="Verdana" w:cs="Arial"/>
          <w:i/>
          <w:iCs/>
        </w:rPr>
        <w:t>remisión integral</w:t>
      </w:r>
      <w:r w:rsidRPr="00E9090B">
        <w:rPr>
          <w:rFonts w:ascii="Verdana" w:eastAsia="Calibri" w:hAnsi="Verdana" w:cs="Arial"/>
        </w:rPr>
        <w:t xml:space="preserve">–. En esta medida, determinar el alcance de la remisión del artículo 8 del Decreto 092 requiere considerar que no hay lugar a distinguir entre normas de carácter general o especial dentro del Estatuto de Contratación de la Administración Pública, ya que de la competencia dispuesta en el inciso final del artículo 150 de la Constitución Política se desprende que todas estas disposiciones regulan con el mismo grado de generalidad la actividad contractual del Estado.     </w:t>
      </w:r>
    </w:p>
    <w:p w14:paraId="1F4F9857" w14:textId="77777777" w:rsidR="007A7FF9" w:rsidRPr="00E9090B" w:rsidRDefault="007A7FF9" w:rsidP="007A7FF9">
      <w:pPr>
        <w:spacing w:before="120" w:after="120" w:line="276" w:lineRule="auto"/>
        <w:ind w:firstLine="708"/>
        <w:jc w:val="both"/>
        <w:rPr>
          <w:rFonts w:ascii="Verdana" w:eastAsia="Calibri" w:hAnsi="Verdana" w:cs="Arial"/>
          <w:lang w:val="es-ES"/>
        </w:rPr>
      </w:pPr>
      <w:r w:rsidRPr="00E9090B">
        <w:rPr>
          <w:rFonts w:ascii="Verdana" w:eastAsia="Calibri" w:hAnsi="Verdana" w:cs="Arial"/>
          <w:lang w:val="es-ES"/>
        </w:rPr>
        <w:t xml:space="preserve">Por ello, considerando que la Ley 80 de 1993 tiene el mismo grado de generalidad, se concluyó que el artículo 8 del Decreto 092 de 2017 remite integralmente al Estatuto de Contratación. Esta remisión alcanza tanto el régimen de inhabilidades e incompatibilidades como los principios aplicables a la contratación estatal. Por tanto, los artículos 6, 7 y 8 del reglamento autónomo </w:t>
      </w:r>
      <w:r w:rsidRPr="00E9090B">
        <w:rPr>
          <w:rFonts w:ascii="Verdana" w:eastAsia="Calibri" w:hAnsi="Verdana" w:cs="Arial"/>
          <w:lang w:val="es-ES"/>
        </w:rPr>
        <w:lastRenderedPageBreak/>
        <w:t xml:space="preserve">deben interpretarse en bloque, es decir, aplicando la Ley 80 de 1993 a todo supuesto que no esté expresamente regulado en el Decreto 092 de 2017.  </w:t>
      </w:r>
    </w:p>
    <w:p w14:paraId="4B940544" w14:textId="77777777" w:rsidR="007A7FF9" w:rsidRPr="00AE420E" w:rsidRDefault="007A7FF9" w:rsidP="007A7FF9">
      <w:pPr>
        <w:spacing w:before="120" w:after="120" w:line="276" w:lineRule="auto"/>
        <w:ind w:firstLine="708"/>
        <w:jc w:val="both"/>
        <w:rPr>
          <w:rFonts w:ascii="Verdana" w:eastAsia="Calibri" w:hAnsi="Verdana" w:cs="Arial"/>
          <w:lang w:val="es-ES"/>
        </w:rPr>
      </w:pPr>
      <w:r>
        <w:rPr>
          <w:rFonts w:ascii="Verdana" w:eastAsia="Calibri" w:hAnsi="Verdana" w:cs="Arial"/>
          <w:lang w:val="es-ES"/>
        </w:rPr>
        <w:t>Se destaca que e</w:t>
      </w:r>
      <w:r w:rsidRPr="00AE420E">
        <w:rPr>
          <w:rFonts w:ascii="Verdana" w:eastAsia="Calibri" w:hAnsi="Verdana" w:cs="Arial"/>
          <w:lang w:val="es-ES"/>
        </w:rPr>
        <w:t>l artículo 7°</w:t>
      </w:r>
      <w:r>
        <w:rPr>
          <w:rFonts w:ascii="Verdana" w:eastAsia="Calibri" w:hAnsi="Verdana" w:cs="Arial"/>
          <w:lang w:val="es-ES"/>
        </w:rPr>
        <w:t xml:space="preserve"> del Decreto 092 de 2017</w:t>
      </w:r>
      <w:r w:rsidRPr="00AE420E">
        <w:rPr>
          <w:rFonts w:ascii="Verdana" w:eastAsia="Calibri" w:hAnsi="Verdana" w:cs="Arial"/>
          <w:lang w:val="es-ES"/>
        </w:rPr>
        <w:t xml:space="preserve"> no se limita únicamente a reiterar los principios generales que orientan la contratación pública</w:t>
      </w:r>
      <w:r>
        <w:rPr>
          <w:rFonts w:ascii="Verdana" w:eastAsia="Calibri" w:hAnsi="Verdana" w:cs="Arial"/>
          <w:lang w:val="es-ES"/>
        </w:rPr>
        <w:t xml:space="preserve"> y otros aspectos</w:t>
      </w:r>
      <w:r w:rsidRPr="00AE420E">
        <w:rPr>
          <w:rFonts w:ascii="Verdana" w:eastAsia="Calibri" w:hAnsi="Verdana" w:cs="Arial"/>
          <w:lang w:val="es-ES"/>
        </w:rPr>
        <w:t>, sino que también incorpora de manera expresa la referencia a las normas presupuestales. Esta doble vinculación resalta la importancia de entender la contratación no solo como un proceso regido por principios de transparencia, eficiencia y responsabilidad, sino también como una actividad que debe ajustarse est</w:t>
      </w:r>
      <w:r>
        <w:rPr>
          <w:rFonts w:ascii="Verdana" w:eastAsia="Calibri" w:hAnsi="Verdana" w:cs="Arial"/>
          <w:lang w:val="es-ES"/>
        </w:rPr>
        <w:t>rictamente a las disposiciones presupuestales</w:t>
      </w:r>
      <w:r w:rsidRPr="00AE420E">
        <w:rPr>
          <w:rFonts w:ascii="Verdana" w:eastAsia="Calibri" w:hAnsi="Verdana" w:cs="Arial"/>
          <w:lang w:val="es-ES"/>
        </w:rPr>
        <w:t xml:space="preserve"> que garantizan la sostenibilidad y legalidad del gasto público.</w:t>
      </w:r>
    </w:p>
    <w:p w14:paraId="089ADC5F" w14:textId="77777777" w:rsidR="007A7FF9" w:rsidRDefault="007A7FF9" w:rsidP="007A7FF9">
      <w:pPr>
        <w:spacing w:before="120" w:after="120" w:line="276" w:lineRule="auto"/>
        <w:ind w:firstLine="708"/>
        <w:jc w:val="both"/>
        <w:rPr>
          <w:rFonts w:ascii="Verdana" w:eastAsia="Calibri" w:hAnsi="Verdana" w:cs="Arial"/>
          <w:lang w:val="es-ES"/>
        </w:rPr>
      </w:pPr>
      <w:r w:rsidRPr="00AE420E">
        <w:rPr>
          <w:rFonts w:ascii="Verdana" w:eastAsia="Calibri" w:hAnsi="Verdana" w:cs="Arial"/>
          <w:lang w:val="es-ES"/>
        </w:rPr>
        <w:t>En consecuencia, al momento de suscribir convenios de asociación resulta indispensable considerar las reglas presupuestales aplicables, pues estas determinan la disponibilidad de recursos, los límites de ejecución y las condiciones de legalidad del compromiso adquirido. La observancia de dichas normas asegura que los convenios no solo cumplan con los fines de la contratación pública, sino</w:t>
      </w:r>
      <w:r>
        <w:rPr>
          <w:rFonts w:ascii="Verdana" w:eastAsia="Calibri" w:hAnsi="Verdana" w:cs="Arial"/>
          <w:lang w:val="es-ES"/>
        </w:rPr>
        <w:t xml:space="preserve"> que además se enmarquen en normas presupuestales responsables</w:t>
      </w:r>
      <w:r w:rsidRPr="00AE420E">
        <w:rPr>
          <w:rFonts w:ascii="Verdana" w:eastAsia="Calibri" w:hAnsi="Verdana" w:cs="Arial"/>
          <w:lang w:val="es-ES"/>
        </w:rPr>
        <w:t>, aspecto que será objeto de análisis detallado en el apartado siguiente.</w:t>
      </w:r>
      <w:r>
        <w:rPr>
          <w:rFonts w:ascii="Verdana" w:eastAsia="Calibri" w:hAnsi="Verdana" w:cs="Arial"/>
          <w:lang w:val="es-ES"/>
        </w:rPr>
        <w:t xml:space="preserve"> </w:t>
      </w:r>
    </w:p>
    <w:p w14:paraId="3804D3BF" w14:textId="77777777" w:rsidR="007A7FF9" w:rsidRPr="00AE420E" w:rsidRDefault="007A7FF9" w:rsidP="007A7FF9">
      <w:pPr>
        <w:spacing w:after="120" w:line="276" w:lineRule="auto"/>
        <w:jc w:val="both"/>
        <w:rPr>
          <w:rFonts w:ascii="Verdana" w:eastAsia="Aptos" w:hAnsi="Verdana" w:cs="Arial"/>
          <w:shd w:val="clear" w:color="auto" w:fill="FFFFFF"/>
          <w:lang w:val="es-ES"/>
        </w:rPr>
      </w:pPr>
    </w:p>
    <w:p w14:paraId="2C3C18CF" w14:textId="77777777" w:rsidR="007A7FF9" w:rsidRPr="002C632B" w:rsidRDefault="007A7FF9" w:rsidP="007A7FF9">
      <w:pPr>
        <w:shd w:val="clear" w:color="auto" w:fill="FFFFFF" w:themeFill="background1"/>
        <w:spacing w:after="120" w:line="276" w:lineRule="auto"/>
        <w:ind w:right="51"/>
        <w:jc w:val="both"/>
        <w:rPr>
          <w:rFonts w:ascii="Verdana" w:eastAsia="Calibri" w:hAnsi="Verdana" w:cs="Arial"/>
          <w:color w:val="000000" w:themeColor="text1"/>
          <w:lang w:val="es-ES"/>
        </w:rPr>
      </w:pPr>
      <w:r>
        <w:rPr>
          <w:rFonts w:ascii="Verdana" w:eastAsia="Aptos" w:hAnsi="Verdana" w:cs="Arial"/>
          <w:shd w:val="clear" w:color="auto" w:fill="FFFFFF"/>
        </w:rPr>
        <w:t xml:space="preserve">iii. </w:t>
      </w:r>
      <w:r w:rsidRPr="002C632B">
        <w:rPr>
          <w:rFonts w:ascii="Verdana" w:eastAsia="Calibri" w:hAnsi="Verdana" w:cs="Arial"/>
          <w:color w:val="000000" w:themeColor="text1"/>
          <w:lang w:val="es-ES"/>
        </w:rPr>
        <w:t xml:space="preserve">Las entidades estatales deben sujetarse a los principios que rigen el sistema presupuestal, entre los cuales se encuentra el de anualidad del gasto público. Este principio encuentra fundamento constitucional </w:t>
      </w:r>
      <w:bookmarkStart w:id="3" w:name="_Hlk65717879"/>
      <w:r w:rsidRPr="002C632B">
        <w:rPr>
          <w:rFonts w:ascii="Verdana" w:eastAsia="Calibri" w:hAnsi="Verdana" w:cs="Arial"/>
          <w:color w:val="000000" w:themeColor="text1"/>
          <w:lang w:val="es-ES"/>
        </w:rPr>
        <w:t>en el artículo 346 superior que contiene el régimen general del presupuesto de rentas y la ley de apropiaciones</w:t>
      </w:r>
      <w:r w:rsidRPr="002C632B">
        <w:rPr>
          <w:rFonts w:ascii="Verdana" w:eastAsia="Calibri" w:hAnsi="Verdana" w:cs="Arial"/>
          <w:color w:val="000000" w:themeColor="text1"/>
          <w:vertAlign w:val="superscript"/>
          <w:lang w:val="es-ES"/>
        </w:rPr>
        <w:footnoteReference w:id="12"/>
      </w:r>
      <w:r w:rsidRPr="002C632B">
        <w:rPr>
          <w:rFonts w:ascii="Verdana" w:eastAsia="Calibri" w:hAnsi="Verdana" w:cs="Arial"/>
          <w:color w:val="000000" w:themeColor="text1"/>
          <w:lang w:val="es-ES"/>
        </w:rPr>
        <w:t>, que deberá presentarse al Congreso dentro de los primeros diez días de cada legislatura, elaborarse y aprobarse dentro de un marco de sostenibilidad fiscal y corresponder al Plan Nacional de Desarrollo</w:t>
      </w:r>
      <w:r w:rsidRPr="002C632B">
        <w:rPr>
          <w:rFonts w:ascii="Verdana" w:eastAsia="Calibri" w:hAnsi="Verdana" w:cs="Arial"/>
          <w:color w:val="000000" w:themeColor="text1"/>
          <w:vertAlign w:val="superscript"/>
          <w:lang w:val="es-ES"/>
        </w:rPr>
        <w:footnoteReference w:id="13"/>
      </w:r>
      <w:r w:rsidRPr="002C632B">
        <w:rPr>
          <w:rFonts w:ascii="Verdana" w:eastAsia="Calibri" w:hAnsi="Verdana" w:cs="Arial"/>
          <w:color w:val="000000" w:themeColor="text1"/>
          <w:lang w:val="es-ES"/>
        </w:rPr>
        <w:t xml:space="preserve">. De </w:t>
      </w:r>
      <w:r w:rsidRPr="002C632B">
        <w:rPr>
          <w:rFonts w:ascii="Verdana" w:eastAsia="Calibri" w:hAnsi="Verdana" w:cs="Arial"/>
          <w:color w:val="000000" w:themeColor="text1"/>
          <w:lang w:val="es-ES"/>
        </w:rPr>
        <w:lastRenderedPageBreak/>
        <w:t>conformidad con la misma norma constitucional, el presupuesto tiene vigencia anual y, por tanto, tienen como finalidad fijar los gastos y las rentas nacionales del Estado para la respectiva vigencia fiscal anual</w:t>
      </w:r>
      <w:bookmarkEnd w:id="3"/>
      <w:r w:rsidRPr="002C632B">
        <w:rPr>
          <w:rFonts w:ascii="Verdana" w:eastAsia="Calibri" w:hAnsi="Verdana" w:cs="Arial"/>
          <w:color w:val="000000" w:themeColor="text1"/>
          <w:lang w:val="es-ES"/>
        </w:rPr>
        <w:t xml:space="preserve">. </w:t>
      </w:r>
    </w:p>
    <w:p w14:paraId="18908F8C" w14:textId="77777777" w:rsidR="007A7FF9" w:rsidRPr="002C632B" w:rsidRDefault="007A7FF9" w:rsidP="007A7FF9">
      <w:pPr>
        <w:shd w:val="clear" w:color="auto" w:fill="FFFFFF"/>
        <w:spacing w:after="120" w:line="276" w:lineRule="auto"/>
        <w:ind w:right="51" w:firstLine="709"/>
        <w:jc w:val="both"/>
        <w:rPr>
          <w:rFonts w:ascii="Verdana" w:eastAsia="Calibri" w:hAnsi="Verdana" w:cs="Arial"/>
          <w:lang w:val="es-ES_tradnl"/>
        </w:rPr>
      </w:pPr>
      <w:r w:rsidRPr="002C632B">
        <w:rPr>
          <w:rFonts w:ascii="Verdana" w:eastAsia="Calibri" w:hAnsi="Verdana" w:cs="Arial"/>
          <w:color w:val="000000" w:themeColor="text1"/>
          <w:lang w:val="es-ES_tradnl"/>
        </w:rPr>
        <w:t xml:space="preserve">En armonía con lo anterior, el Estatuto Orgánico del Presupuesto consagra este principio en el artículo 14 consistente en que </w:t>
      </w:r>
      <w:r>
        <w:rPr>
          <w:rFonts w:ascii="Verdana" w:eastAsia="Calibri" w:hAnsi="Verdana" w:cs="Arial"/>
          <w:lang w:val="es-ES_tradnl"/>
        </w:rPr>
        <w:t>“</w:t>
      </w:r>
      <w:r w:rsidRPr="002C632B">
        <w:rPr>
          <w:rFonts w:ascii="Verdana" w:eastAsia="Calibri" w:hAnsi="Verdana" w:cs="Arial"/>
          <w:color w:val="000000" w:themeColor="text1"/>
          <w:lang w:val="es-ES_tradnl"/>
        </w:rPr>
        <w:t>Después del 31 de diciembre no podrán asumirse compromisos con cargo a las apropiaciones del año fiscal que se cierra en esa fecha y los saldos de apropiación no afectados por compromisos caducarán sin excepción</w:t>
      </w:r>
      <w:r>
        <w:rPr>
          <w:rFonts w:ascii="Verdana" w:eastAsia="Calibri" w:hAnsi="Verdana" w:cs="Arial"/>
          <w:lang w:val="es-ES_tradnl"/>
        </w:rPr>
        <w:t>”</w:t>
      </w:r>
      <w:r w:rsidRPr="002C632B">
        <w:rPr>
          <w:rFonts w:ascii="Verdana" w:eastAsia="Calibri" w:hAnsi="Verdana" w:cs="Arial"/>
          <w:color w:val="000000" w:themeColor="text1"/>
          <w:lang w:val="es-ES_tradnl"/>
        </w:rPr>
        <w:t>. Es decir, los gastos previ</w:t>
      </w:r>
      <w:r>
        <w:rPr>
          <w:rFonts w:ascii="Verdana" w:eastAsia="Calibri" w:hAnsi="Verdana" w:cs="Arial"/>
          <w:color w:val="000000" w:themeColor="text1"/>
          <w:lang w:val="es-ES_tradnl"/>
        </w:rPr>
        <w:t xml:space="preserve">stos en el presupuesto anual </w:t>
      </w:r>
      <w:r w:rsidRPr="002C632B">
        <w:rPr>
          <w:rFonts w:ascii="Verdana" w:eastAsia="Calibri" w:hAnsi="Verdana" w:cs="Arial"/>
          <w:color w:val="000000" w:themeColor="text1"/>
          <w:lang w:val="es-ES_tradnl"/>
        </w:rPr>
        <w:t>deben ejecutar</w:t>
      </w:r>
      <w:r>
        <w:rPr>
          <w:rFonts w:ascii="Verdana" w:eastAsia="Calibri" w:hAnsi="Verdana" w:cs="Arial"/>
          <w:color w:val="000000" w:themeColor="text1"/>
          <w:lang w:val="es-ES_tradnl"/>
        </w:rPr>
        <w:t>se</w:t>
      </w:r>
      <w:r w:rsidRPr="002C632B">
        <w:rPr>
          <w:rFonts w:ascii="Verdana" w:eastAsia="Calibri" w:hAnsi="Verdana" w:cs="Arial"/>
          <w:color w:val="000000" w:themeColor="text1"/>
          <w:lang w:val="es-ES_tradnl"/>
        </w:rPr>
        <w:t xml:space="preserve"> dentro de una vigencia fiscal comprendida entre el 1 de enero y el 31 de diciembre</w:t>
      </w:r>
      <w:r w:rsidRPr="002C632B">
        <w:rPr>
          <w:rFonts w:ascii="Verdana" w:eastAsia="Calibri" w:hAnsi="Verdana" w:cs="Arial"/>
          <w:color w:val="000000" w:themeColor="text1"/>
          <w:vertAlign w:val="superscript"/>
          <w:lang w:val="es-ES_tradnl"/>
        </w:rPr>
        <w:footnoteReference w:id="14"/>
      </w:r>
      <w:r w:rsidRPr="002C632B">
        <w:rPr>
          <w:rFonts w:ascii="Verdana" w:eastAsia="Calibri" w:hAnsi="Verdana" w:cs="Arial"/>
          <w:color w:val="000000" w:themeColor="text1"/>
          <w:lang w:val="es-ES_tradnl"/>
        </w:rPr>
        <w:t>.</w:t>
      </w:r>
      <w:r w:rsidRPr="002C632B">
        <w:rPr>
          <w:rFonts w:ascii="Verdana" w:eastAsia="Calibri" w:hAnsi="Verdana" w:cs="Arial"/>
          <w:color w:val="000000" w:themeColor="text1"/>
        </w:rPr>
        <w:t xml:space="preserve"> En el mismo sentido, </w:t>
      </w:r>
      <w:r w:rsidRPr="002C632B">
        <w:rPr>
          <w:rFonts w:ascii="Verdana" w:eastAsia="Calibri" w:hAnsi="Verdana" w:cs="Arial"/>
          <w:color w:val="000000" w:themeColor="text1"/>
          <w:lang w:val="es-ES_tradnl"/>
        </w:rPr>
        <w:t xml:space="preserve">el artículo 89 </w:t>
      </w:r>
      <w:r w:rsidRPr="002C632B">
        <w:rPr>
          <w:rFonts w:ascii="Verdana" w:eastAsia="Calibri" w:hAnsi="Verdana" w:cs="Arial"/>
          <w:i/>
          <w:iCs/>
          <w:color w:val="000000" w:themeColor="text1"/>
          <w:lang w:val="es-ES_tradnl"/>
        </w:rPr>
        <w:t>ibidem</w:t>
      </w:r>
      <w:r w:rsidRPr="002C632B">
        <w:rPr>
          <w:rFonts w:ascii="Verdana" w:eastAsia="Calibri" w:hAnsi="Verdana" w:cs="Arial"/>
          <w:color w:val="000000" w:themeColor="text1"/>
          <w:lang w:val="es-ES_tradnl"/>
        </w:rPr>
        <w:t xml:space="preserve"> consolida al principio de anualidad como regla general en la ejecución del gasto al establecer que </w:t>
      </w:r>
      <w:r>
        <w:rPr>
          <w:rFonts w:ascii="Verdana" w:eastAsia="Calibri" w:hAnsi="Verdana" w:cs="Arial"/>
          <w:lang w:val="es-ES_tradnl"/>
        </w:rPr>
        <w:t>“</w:t>
      </w:r>
      <w:r w:rsidRPr="002C632B">
        <w:rPr>
          <w:rFonts w:ascii="Verdana" w:eastAsia="Calibri" w:hAnsi="Verdana" w:cs="Arial"/>
          <w:color w:val="000000" w:themeColor="text1"/>
          <w:lang w:val="es-ES_tradnl"/>
        </w:rPr>
        <w:t>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contracreditarse</w:t>
      </w:r>
      <w:r>
        <w:rPr>
          <w:rFonts w:ascii="Verdana" w:eastAsia="Calibri" w:hAnsi="Verdana" w:cs="Arial"/>
          <w:lang w:val="es-ES_tradnl"/>
        </w:rPr>
        <w:t>”</w:t>
      </w:r>
      <w:r w:rsidRPr="002C632B">
        <w:rPr>
          <w:rFonts w:ascii="Verdana" w:eastAsia="Calibri" w:hAnsi="Verdana" w:cs="Arial"/>
          <w:lang w:val="es-ES_tradnl"/>
        </w:rPr>
        <w:t xml:space="preserve">. </w:t>
      </w:r>
    </w:p>
    <w:p w14:paraId="7CDFB93C" w14:textId="77777777" w:rsidR="007A7FF9" w:rsidRPr="002C632B" w:rsidRDefault="007A7FF9" w:rsidP="007A7FF9">
      <w:pPr>
        <w:shd w:val="clear" w:color="auto" w:fill="FFFFFF"/>
        <w:spacing w:after="120" w:line="276" w:lineRule="auto"/>
        <w:ind w:right="51" w:firstLine="709"/>
        <w:jc w:val="both"/>
        <w:rPr>
          <w:rFonts w:ascii="Verdana" w:eastAsia="Calibri" w:hAnsi="Verdana" w:cs="Arial"/>
          <w:lang w:val="es-ES_tradnl"/>
        </w:rPr>
      </w:pPr>
      <w:r w:rsidRPr="002C632B">
        <w:rPr>
          <w:rFonts w:ascii="Verdana" w:eastAsia="Calibri" w:hAnsi="Verdana" w:cs="Arial"/>
          <w:lang w:val="es-ES_tradnl"/>
        </w:rPr>
        <w:t>A su turno, el artículo 8 de la Ley 819 de 2003 consagra el principi</w:t>
      </w:r>
      <w:r>
        <w:rPr>
          <w:rFonts w:ascii="Verdana" w:eastAsia="Calibri" w:hAnsi="Verdana" w:cs="Arial"/>
          <w:lang w:val="es-ES_tradnl"/>
        </w:rPr>
        <w:t>o de anualidad al disponer que “</w:t>
      </w:r>
      <w:r w:rsidRPr="002C632B">
        <w:rPr>
          <w:rFonts w:ascii="Verdana" w:eastAsia="Calibri" w:hAnsi="Verdana" w:cs="Arial"/>
          <w:lang w:val="es-ES_tradnl"/>
        </w:rPr>
        <w:t>l</w:t>
      </w:r>
      <w:r w:rsidRPr="002C632B">
        <w:rPr>
          <w:rFonts w:ascii="Verdana" w:eastAsia="Calibri" w:hAnsi="Verdana" w:cs="Arial"/>
        </w:rPr>
        <w:t xml:space="preserve">a preparación y elaboración del Presupuesto General de la Nación y el de las entidades territoriales, deberá sujetarse a los correspondientes Marcos Fiscales de Mediano Plazo de manera que las apropiaciones presupuestales aprobadas por el Congreso de la República, las </w:t>
      </w:r>
      <w:r w:rsidRPr="002C632B">
        <w:rPr>
          <w:rFonts w:ascii="Verdana" w:eastAsia="Calibri" w:hAnsi="Verdana" w:cs="Arial"/>
        </w:rPr>
        <w:lastRenderedPageBreak/>
        <w:t>Asambleas y los Concejos, puedan ejecutarse en su totalidad durante la vigencia fiscal correspondiente</w:t>
      </w:r>
      <w:r>
        <w:rPr>
          <w:rFonts w:ascii="Verdana" w:eastAsia="Calibri" w:hAnsi="Verdana" w:cs="Arial"/>
        </w:rPr>
        <w:t>”</w:t>
      </w:r>
      <w:r w:rsidRPr="002C632B">
        <w:rPr>
          <w:rFonts w:ascii="Verdana" w:eastAsia="Calibri" w:hAnsi="Verdana" w:cs="Arial"/>
        </w:rPr>
        <w:t>.</w:t>
      </w:r>
    </w:p>
    <w:p w14:paraId="2DD228A9" w14:textId="77777777" w:rsidR="007A7FF9" w:rsidRPr="002C632B" w:rsidRDefault="007A7FF9" w:rsidP="007A7FF9">
      <w:pPr>
        <w:shd w:val="clear" w:color="auto" w:fill="FFFFFF" w:themeFill="background1"/>
        <w:spacing w:after="120" w:line="276" w:lineRule="auto"/>
        <w:ind w:right="51" w:firstLine="709"/>
        <w:jc w:val="both"/>
        <w:rPr>
          <w:rFonts w:ascii="Verdana" w:eastAsia="Calibri" w:hAnsi="Verdana" w:cs="Arial"/>
          <w:color w:val="000000" w:themeColor="text1"/>
          <w:lang w:val="es-ES"/>
        </w:rPr>
      </w:pPr>
      <w:r w:rsidRPr="002C632B">
        <w:rPr>
          <w:rFonts w:ascii="Verdana" w:eastAsia="Calibri" w:hAnsi="Verdana" w:cs="Arial"/>
          <w:color w:val="000000" w:themeColor="text1"/>
          <w:lang w:val="es-ES"/>
        </w:rPr>
        <w:t>En este contexto, la anualidad del gasto es uno de los principios rectores de la actividad contractual pública, conforme al cual las entidades deben planear sus contrataciones de manera que sus compromisos contractuales sean 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w:t>
      </w:r>
    </w:p>
    <w:p w14:paraId="726EAA97" w14:textId="77777777" w:rsidR="007A7FF9" w:rsidRDefault="007A7FF9" w:rsidP="007A7FF9">
      <w:pPr>
        <w:shd w:val="clear" w:color="auto" w:fill="FFFFFF"/>
        <w:spacing w:after="120" w:line="276" w:lineRule="auto"/>
        <w:ind w:right="51" w:firstLine="709"/>
        <w:jc w:val="both"/>
        <w:rPr>
          <w:rFonts w:ascii="Verdana" w:eastAsia="Calibri" w:hAnsi="Verdana" w:cs="Arial"/>
          <w:color w:val="000000" w:themeColor="text1"/>
        </w:rPr>
      </w:pPr>
      <w:r w:rsidRPr="002C632B">
        <w:rPr>
          <w:rFonts w:ascii="Verdana" w:eastAsia="Calibri" w:hAnsi="Verdana" w:cs="Arial"/>
          <w:color w:val="000000" w:themeColor="text1"/>
          <w:lang w:val="es-ES_tradnl"/>
        </w:rPr>
        <w:t xml:space="preserve">No obstante, conforme lo ha señalado el Consejo de Estado, el principio de anualidad no es absoluto </w:t>
      </w:r>
      <w:r w:rsidRPr="002C632B">
        <w:rPr>
          <w:rFonts w:ascii="Verdana" w:eastAsia="Calibri" w:hAnsi="Verdana" w:cs="Arial"/>
          <w:color w:val="000000" w:themeColor="text1"/>
        </w:rPr>
        <w:t xml:space="preserve">en </w:t>
      </w:r>
      <w:r>
        <w:rPr>
          <w:rFonts w:ascii="Verdana" w:eastAsia="Calibri" w:hAnsi="Verdana" w:cs="Arial"/>
        </w:rPr>
        <w:t>“</w:t>
      </w:r>
      <w:r w:rsidRPr="002C632B">
        <w:rPr>
          <w:rFonts w:ascii="Verdana" w:eastAsia="Calibri" w:hAnsi="Verdana" w:cs="Arial"/>
          <w:color w:val="000000" w:themeColor="text1"/>
        </w:rPr>
        <w:t>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Pr>
          <w:rFonts w:ascii="Verdana" w:eastAsia="Calibri" w:hAnsi="Verdana" w:cs="Arial"/>
          <w:color w:val="000000" w:themeColor="text1"/>
        </w:rPr>
        <w:t>”</w:t>
      </w:r>
      <w:r w:rsidRPr="002C632B">
        <w:rPr>
          <w:rFonts w:ascii="Verdana" w:eastAsia="Calibri" w:hAnsi="Verdana" w:cs="Arial"/>
          <w:vertAlign w:val="superscript"/>
          <w:lang w:val="es-ES_tradnl"/>
        </w:rPr>
        <w:footnoteReference w:id="15"/>
      </w:r>
      <w:r w:rsidRPr="002C632B">
        <w:rPr>
          <w:rFonts w:ascii="Verdana" w:eastAsia="Calibri" w:hAnsi="Verdana" w:cs="Arial"/>
          <w:lang w:val="es-ES_tradnl"/>
        </w:rPr>
        <w:t>.</w:t>
      </w:r>
      <w:r w:rsidRPr="002C632B">
        <w:rPr>
          <w:rFonts w:ascii="Verdana" w:eastAsia="Calibri" w:hAnsi="Verdana" w:cs="Arial"/>
          <w:color w:val="000000" w:themeColor="text1"/>
        </w:rPr>
        <w:t xml:space="preserve"> </w:t>
      </w:r>
      <w:r>
        <w:rPr>
          <w:rFonts w:ascii="Verdana" w:eastAsia="Calibri" w:hAnsi="Verdana" w:cs="Arial"/>
          <w:color w:val="000000" w:themeColor="text1"/>
        </w:rPr>
        <w:t>Así mismo, la doctrina expresa:</w:t>
      </w:r>
    </w:p>
    <w:p w14:paraId="1A9362D6" w14:textId="77777777" w:rsidR="007A7FF9" w:rsidRDefault="007A7FF9" w:rsidP="007A7FF9">
      <w:pPr>
        <w:shd w:val="clear" w:color="auto" w:fill="FFFFFF"/>
        <w:spacing w:after="120" w:line="240" w:lineRule="auto"/>
        <w:ind w:left="709" w:right="709" w:firstLine="709"/>
        <w:jc w:val="both"/>
        <w:rPr>
          <w:rFonts w:ascii="Verdana" w:eastAsia="Calibri" w:hAnsi="Verdana" w:cs="Arial"/>
          <w:color w:val="000000" w:themeColor="text1"/>
        </w:rPr>
      </w:pPr>
    </w:p>
    <w:p w14:paraId="23436883" w14:textId="77777777" w:rsidR="007A7FF9" w:rsidRPr="00B74143" w:rsidRDefault="007A7FF9" w:rsidP="007A7FF9">
      <w:pPr>
        <w:autoSpaceDE w:val="0"/>
        <w:autoSpaceDN w:val="0"/>
        <w:adjustRightInd w:val="0"/>
        <w:spacing w:after="0" w:line="240" w:lineRule="auto"/>
        <w:ind w:left="709" w:right="709"/>
        <w:jc w:val="both"/>
        <w:rPr>
          <w:rFonts w:ascii="Verdana" w:hAnsi="Verdana" w:cs="Times-Roman"/>
          <w:sz w:val="20"/>
          <w:szCs w:val="20"/>
        </w:rPr>
      </w:pPr>
      <w:r w:rsidRPr="00B74143">
        <w:rPr>
          <w:rFonts w:ascii="Verdana" w:hAnsi="Verdana" w:cs="Times-Roman"/>
          <w:sz w:val="20"/>
          <w:szCs w:val="20"/>
        </w:rPr>
        <w:t>Varias excepciones se presentan al momento de efectuar el cierre presupuestal, operación realizada al finalizar cada vigencia presupuestal en la cual se analiza la ejecución de las partidas así como el estado de las finanzas de la entidad respectiva que puede terminar en un balance de superávit, equilibrado o deficitario.</w:t>
      </w:r>
    </w:p>
    <w:p w14:paraId="6C0D28FA" w14:textId="77777777" w:rsidR="007A7FF9" w:rsidRPr="00B74143" w:rsidRDefault="007A7FF9" w:rsidP="007A7FF9">
      <w:pPr>
        <w:autoSpaceDE w:val="0"/>
        <w:autoSpaceDN w:val="0"/>
        <w:adjustRightInd w:val="0"/>
        <w:spacing w:after="0" w:line="240" w:lineRule="auto"/>
        <w:ind w:left="709" w:right="709"/>
        <w:jc w:val="both"/>
        <w:rPr>
          <w:rFonts w:ascii="Verdana" w:hAnsi="Verdana" w:cs="Times-Roman"/>
          <w:sz w:val="20"/>
          <w:szCs w:val="20"/>
        </w:rPr>
      </w:pPr>
      <w:r w:rsidRPr="00B74143">
        <w:rPr>
          <w:rFonts w:ascii="Verdana" w:hAnsi="Verdana" w:cs="Times-Roman"/>
          <w:sz w:val="20"/>
          <w:szCs w:val="20"/>
        </w:rPr>
        <w:t>Según el principio de anualidad del presupuesto y en desarrollo del principio de eficacia de la Administración Pública contenido en el artículo 209 C.P., tenemos que el resultado que debería aparecer al cierre fiscal es que las partidas presupuestales que fueron aprobadas por la ley de presupuesto fueron debidamente comprometidas y canceladas.</w:t>
      </w:r>
    </w:p>
    <w:p w14:paraId="4FE9F249" w14:textId="77777777" w:rsidR="007A7FF9" w:rsidRPr="00B74143" w:rsidRDefault="007A7FF9" w:rsidP="007A7FF9">
      <w:pPr>
        <w:autoSpaceDE w:val="0"/>
        <w:autoSpaceDN w:val="0"/>
        <w:adjustRightInd w:val="0"/>
        <w:spacing w:after="0" w:line="240" w:lineRule="auto"/>
        <w:ind w:left="709" w:right="709"/>
        <w:jc w:val="both"/>
        <w:rPr>
          <w:rFonts w:ascii="Verdana" w:hAnsi="Verdana" w:cs="Times-Roman"/>
          <w:sz w:val="20"/>
          <w:szCs w:val="20"/>
        </w:rPr>
      </w:pPr>
      <w:r w:rsidRPr="00B74143">
        <w:rPr>
          <w:rFonts w:ascii="Verdana" w:hAnsi="Verdana" w:cs="Times-Roman"/>
          <w:sz w:val="20"/>
          <w:szCs w:val="20"/>
        </w:rPr>
        <w:t>Sin embargo, en la práctica presupuestal muchas veces no es posible cancelar una partida dentro de su respectiva vigencia presupuestal. Piénsese a guisa de ejemplo en un contrato de construcción de una carretera que se termina por fuera del tiempo inicialmente convenido (</w:t>
      </w:r>
      <w:r w:rsidRPr="00B74143">
        <w:rPr>
          <w:rFonts w:ascii="Verdana" w:hAnsi="Verdana" w:cs="Times-Italic"/>
          <w:i/>
          <w:iCs/>
          <w:sz w:val="20"/>
          <w:szCs w:val="20"/>
        </w:rPr>
        <w:t>v.gr</w:t>
      </w:r>
      <w:r w:rsidRPr="00B74143">
        <w:rPr>
          <w:rFonts w:ascii="Verdana" w:hAnsi="Verdana" w:cs="Times-Roman"/>
          <w:sz w:val="20"/>
          <w:szCs w:val="20"/>
        </w:rPr>
        <w:t>. el 25 diciembre de 2004), porque las condiciones climáticas impidieron la ejecución de este durante dos o tres meses, y habrá de entregarse la obra terminada por fuera de la vigencia presupuestal en que fue aprobada la partida.</w:t>
      </w:r>
      <w:r w:rsidRPr="00B74143">
        <w:rPr>
          <w:rFonts w:ascii="Times-Roman" w:hAnsi="Times-Roman" w:cs="Times-Roman"/>
          <w:sz w:val="20"/>
          <w:szCs w:val="20"/>
        </w:rPr>
        <w:t xml:space="preserve"> </w:t>
      </w:r>
      <w:r w:rsidRPr="00B74143">
        <w:rPr>
          <w:rFonts w:ascii="Verdana" w:hAnsi="Verdana" w:cs="Times-Roman"/>
          <w:sz w:val="20"/>
          <w:szCs w:val="20"/>
        </w:rPr>
        <w:t xml:space="preserve">El contrato por la prórroga o suspensión, según fuere el caso, habría de extenderse hasta el 30 de marzo, razón por la cual no podrá la administración cancelar la obligación correspondiente en la </w:t>
      </w:r>
      <w:r w:rsidRPr="00B74143">
        <w:rPr>
          <w:rFonts w:ascii="Verdana" w:hAnsi="Verdana" w:cs="Times-Roman"/>
          <w:sz w:val="20"/>
          <w:szCs w:val="20"/>
        </w:rPr>
        <w:lastRenderedPageBreak/>
        <w:t>vigencia presupuestal originaria sino en la que se entregó la obra completamente ejecutada.</w:t>
      </w:r>
    </w:p>
    <w:p w14:paraId="5D00B0E9" w14:textId="77777777" w:rsidR="007A7FF9" w:rsidRPr="00B74143" w:rsidRDefault="007A7FF9" w:rsidP="007A7FF9">
      <w:pPr>
        <w:autoSpaceDE w:val="0"/>
        <w:autoSpaceDN w:val="0"/>
        <w:adjustRightInd w:val="0"/>
        <w:spacing w:after="0" w:line="240" w:lineRule="auto"/>
        <w:ind w:left="709" w:right="709"/>
        <w:jc w:val="both"/>
        <w:rPr>
          <w:rFonts w:ascii="Verdana" w:hAnsi="Verdana" w:cs="Times-Roman"/>
          <w:sz w:val="20"/>
          <w:szCs w:val="20"/>
        </w:rPr>
      </w:pPr>
      <w:r w:rsidRPr="00B74143">
        <w:rPr>
          <w:rFonts w:ascii="Verdana" w:hAnsi="Verdana" w:cs="Times-Roman"/>
          <w:sz w:val="20"/>
          <w:szCs w:val="20"/>
        </w:rPr>
        <w:t>Por este tipo de circunstancias surgen las excepciones al principio de anualidad, como son: las reservas de apropiación (ra), las reservas de trámite negocial (rtn), los pasivos exigibles por vigencias expiradas (peve) y las vigencias futuras (vf), esta última figura puede presentarse tanto de forma ordinaria como excepcionales. Es de resaltar que aun cuando las vigencias futuras son una excepción al principio de anualidad, esta no aparece en el proceso de cierre presupuestal, sino que tiene su origen en el proceso de aprobación del presupuesto y tiene implicaciones para el debido perfeccionamiento o ejecución del contrato</w:t>
      </w:r>
      <w:r w:rsidRPr="00B74143">
        <w:rPr>
          <w:rStyle w:val="Refdenotaalpie"/>
          <w:rFonts w:ascii="Verdana" w:hAnsi="Verdana" w:cs="Times-Roman"/>
          <w:sz w:val="20"/>
          <w:szCs w:val="20"/>
        </w:rPr>
        <w:footnoteReference w:id="16"/>
      </w:r>
      <w:r w:rsidRPr="00B74143">
        <w:rPr>
          <w:rFonts w:ascii="Verdana" w:hAnsi="Verdana" w:cs="Times-Roman"/>
          <w:sz w:val="20"/>
          <w:szCs w:val="20"/>
        </w:rPr>
        <w:t>.</w:t>
      </w:r>
    </w:p>
    <w:p w14:paraId="7E8FC50A" w14:textId="77777777" w:rsidR="007A7FF9" w:rsidRPr="002C632B" w:rsidRDefault="007A7FF9" w:rsidP="007A7FF9">
      <w:pPr>
        <w:autoSpaceDE w:val="0"/>
        <w:autoSpaceDN w:val="0"/>
        <w:adjustRightInd w:val="0"/>
        <w:spacing w:after="0" w:line="240" w:lineRule="auto"/>
        <w:jc w:val="both"/>
        <w:rPr>
          <w:rFonts w:ascii="Verdana" w:hAnsi="Verdana" w:cs="Times-Roman"/>
          <w:sz w:val="21"/>
          <w:szCs w:val="21"/>
        </w:rPr>
      </w:pPr>
    </w:p>
    <w:p w14:paraId="6C870E23" w14:textId="77777777" w:rsidR="007A7FF9" w:rsidRPr="002C632B" w:rsidRDefault="007A7FF9" w:rsidP="007A7FF9">
      <w:pPr>
        <w:shd w:val="clear" w:color="auto" w:fill="FFFFFF"/>
        <w:spacing w:after="120" w:line="276" w:lineRule="auto"/>
        <w:ind w:right="51" w:firstLine="709"/>
        <w:jc w:val="both"/>
        <w:rPr>
          <w:rFonts w:ascii="Verdana" w:eastAsia="Calibri" w:hAnsi="Verdana" w:cs="Arial"/>
          <w:lang w:val="es-ES_tradnl"/>
        </w:rPr>
      </w:pPr>
      <w:r w:rsidRPr="002C632B">
        <w:rPr>
          <w:rFonts w:ascii="Verdana" w:eastAsia="Calibri" w:hAnsi="Verdana" w:cs="Arial"/>
          <w:color w:val="000000" w:themeColor="text1"/>
          <w:lang w:val="es-ES_tradnl"/>
        </w:rPr>
        <w:t xml:space="preserve">Dentro de los mecanismos presupuestales que constituyen excepciones al principio de anualidad se identifican: i) las vigencias futuras, ii) las cuentas por pagar y iii) las reservas presupuestales. Las </w:t>
      </w:r>
      <w:r w:rsidRPr="002C632B">
        <w:rPr>
          <w:rFonts w:ascii="Verdana" w:eastAsia="Calibri" w:hAnsi="Verdana" w:cs="Arial"/>
          <w:i/>
          <w:iCs/>
          <w:color w:val="000000" w:themeColor="text1"/>
          <w:lang w:val="es-ES_tradnl"/>
        </w:rPr>
        <w:t>primeras</w:t>
      </w:r>
      <w:r w:rsidRPr="002C632B">
        <w:rPr>
          <w:rFonts w:ascii="Verdana" w:eastAsia="Calibri" w:hAnsi="Verdana" w:cs="Arial"/>
          <w:color w:val="000000" w:themeColor="text1"/>
          <w:lang w:val="es-ES_tradnl"/>
        </w:rPr>
        <w:t>, de conformidad con el artículo 23 del Estatuto Orgánico del Presupuesto</w:t>
      </w:r>
      <w:r w:rsidRPr="002C632B">
        <w:rPr>
          <w:rFonts w:ascii="Verdana" w:eastAsia="Calibri" w:hAnsi="Verdana" w:cs="Arial"/>
          <w:color w:val="000000" w:themeColor="text1"/>
          <w:vertAlign w:val="superscript"/>
          <w:lang w:val="es-ES_tradnl"/>
        </w:rPr>
        <w:footnoteReference w:id="17"/>
      </w:r>
      <w:r w:rsidRPr="002C632B">
        <w:rPr>
          <w:rFonts w:ascii="Verdana" w:eastAsia="Calibri" w:hAnsi="Verdana" w:cs="Arial"/>
          <w:i/>
          <w:iCs/>
          <w:color w:val="000000" w:themeColor="text1"/>
          <w:lang w:val="es-ES_tradnl"/>
        </w:rPr>
        <w:t xml:space="preserve">, </w:t>
      </w:r>
      <w:r w:rsidRPr="002C632B">
        <w:rPr>
          <w:rFonts w:ascii="Verdana" w:eastAsia="Calibri" w:hAnsi="Verdana" w:cs="Arial"/>
          <w:color w:val="000000" w:themeColor="text1"/>
          <w:lang w:val="es-ES_tradnl"/>
        </w:rPr>
        <w:t>se</w:t>
      </w:r>
      <w:r w:rsidRPr="002C632B">
        <w:rPr>
          <w:rFonts w:ascii="Verdana" w:eastAsia="Calibri" w:hAnsi="Verdana" w:cs="Arial"/>
          <w:i/>
          <w:iCs/>
          <w:color w:val="000000" w:themeColor="text1"/>
          <w:lang w:val="es-ES_tradnl"/>
        </w:rPr>
        <w:t xml:space="preserve"> </w:t>
      </w:r>
      <w:r w:rsidRPr="002C632B">
        <w:rPr>
          <w:rFonts w:ascii="Verdana" w:eastAsia="Calibri" w:hAnsi="Verdana" w:cs="Arial"/>
          <w:color w:val="000000" w:themeColor="text1"/>
          <w:lang w:val="es-ES_tradnl"/>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w:t>
      </w:r>
      <w:r>
        <w:rPr>
          <w:rFonts w:ascii="Verdana" w:eastAsia="Calibri" w:hAnsi="Verdana" w:cs="Arial"/>
          <w:color w:val="000000" w:themeColor="text1"/>
          <w:lang w:val="es-ES_tradnl"/>
        </w:rPr>
        <w:t xml:space="preserve">guientes vigencias. Sobre esta institución </w:t>
      </w:r>
      <w:r w:rsidRPr="002C632B">
        <w:rPr>
          <w:rFonts w:ascii="Verdana" w:eastAsia="Calibri" w:hAnsi="Verdana" w:cs="Arial"/>
          <w:color w:val="000000" w:themeColor="text1"/>
          <w:lang w:val="es-ES_tradnl"/>
        </w:rPr>
        <w:t xml:space="preserve">el Consejo de Estado precisó que </w:t>
      </w:r>
      <w:r>
        <w:rPr>
          <w:rFonts w:ascii="Verdana" w:eastAsia="Calibri" w:hAnsi="Verdana" w:cs="Arial"/>
          <w:lang w:val="es-ES_tradnl"/>
        </w:rPr>
        <w:t>“</w:t>
      </w:r>
      <w:r w:rsidRPr="002C632B">
        <w:rPr>
          <w:rFonts w:ascii="Verdana" w:eastAsia="Calibri" w:hAnsi="Verdana" w:cs="Arial"/>
          <w:color w:val="000000" w:themeColor="text1"/>
        </w:rPr>
        <w:t xml:space="preserve">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w:t>
      </w:r>
      <w:r w:rsidRPr="002C632B">
        <w:rPr>
          <w:rFonts w:ascii="Verdana" w:eastAsia="Calibri" w:hAnsi="Verdana" w:cs="Arial"/>
          <w:color w:val="000000" w:themeColor="text1"/>
        </w:rPr>
        <w:lastRenderedPageBreak/>
        <w:t>obligaciones con cargo a ellas, así como también disponer de los recursos financieros, y de esa manera garantizar el avance y conclusión de proyectos plurianuales</w:t>
      </w:r>
      <w:r>
        <w:rPr>
          <w:rFonts w:ascii="Verdana" w:eastAsia="Calibri" w:hAnsi="Verdana" w:cs="Arial"/>
        </w:rPr>
        <w:t>”</w:t>
      </w:r>
      <w:r w:rsidRPr="002C632B">
        <w:rPr>
          <w:rFonts w:ascii="Verdana" w:eastAsia="Calibri" w:hAnsi="Verdana" w:cs="Arial"/>
          <w:vertAlign w:val="superscript"/>
          <w:lang w:val="es-ES_tradnl"/>
        </w:rPr>
        <w:footnoteReference w:id="18"/>
      </w:r>
      <w:r w:rsidRPr="002C632B">
        <w:rPr>
          <w:rFonts w:ascii="Verdana" w:eastAsia="Calibri" w:hAnsi="Verdana" w:cs="Arial"/>
          <w:lang w:val="es-ES_tradnl"/>
        </w:rPr>
        <w:t xml:space="preserve">. </w:t>
      </w:r>
    </w:p>
    <w:p w14:paraId="14363826" w14:textId="77777777" w:rsidR="007A7FF9" w:rsidRPr="002C632B" w:rsidRDefault="007A7FF9" w:rsidP="007A7FF9">
      <w:pPr>
        <w:shd w:val="clear" w:color="auto" w:fill="FFFFFF"/>
        <w:spacing w:after="120" w:line="276" w:lineRule="auto"/>
        <w:ind w:right="51" w:firstLine="709"/>
        <w:jc w:val="both"/>
        <w:rPr>
          <w:rFonts w:ascii="Verdana" w:eastAsia="Calibri" w:hAnsi="Verdana" w:cs="Arial"/>
          <w:color w:val="000000" w:themeColor="text1"/>
        </w:rPr>
      </w:pPr>
      <w:r w:rsidRPr="002C632B">
        <w:rPr>
          <w:rFonts w:ascii="Verdana" w:eastAsia="Calibri" w:hAnsi="Verdana" w:cs="Arial"/>
          <w:color w:val="000000" w:themeColor="text1"/>
        </w:rPr>
        <w:t xml:space="preserve">La Ley 813 de 2003 establece en sus artículos 10° y 11° dos tipos de vigencias futuras: i) las vigencias futuras ordinarias, según la cual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vigencias futuras excepcionales, en virtud de la cual el Confis,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7F14BEC7" w14:textId="77777777" w:rsidR="007A7FF9" w:rsidRPr="002C632B" w:rsidRDefault="007A7FF9" w:rsidP="007A7FF9">
      <w:pPr>
        <w:shd w:val="clear" w:color="auto" w:fill="FFFFFF"/>
        <w:spacing w:after="120" w:line="276" w:lineRule="auto"/>
        <w:ind w:right="51" w:firstLine="709"/>
        <w:jc w:val="both"/>
        <w:rPr>
          <w:rFonts w:ascii="Verdana" w:eastAsia="Calibri" w:hAnsi="Verdana" w:cs="Arial"/>
          <w:color w:val="000000" w:themeColor="text1"/>
        </w:rPr>
      </w:pPr>
      <w:r w:rsidRPr="002C632B">
        <w:rPr>
          <w:rFonts w:ascii="Verdana" w:eastAsia="Calibri" w:hAnsi="Verdana" w:cs="Arial"/>
          <w:color w:val="000000" w:themeColor="text1"/>
        </w:rPr>
        <w:t xml:space="preserve">Por su parte, el artículo 12 </w:t>
      </w:r>
      <w:r w:rsidRPr="002C632B">
        <w:rPr>
          <w:rFonts w:ascii="Verdana" w:eastAsia="Calibri" w:hAnsi="Verdana" w:cs="Arial"/>
          <w:i/>
          <w:iCs/>
          <w:color w:val="000000" w:themeColor="text1"/>
        </w:rPr>
        <w:t>ibidem</w:t>
      </w:r>
      <w:r w:rsidRPr="002C632B">
        <w:rPr>
          <w:rFonts w:ascii="Verdana" w:eastAsia="Calibri" w:hAnsi="Verdana" w:cs="Arial"/>
          <w:color w:val="000000" w:themeColor="text1"/>
        </w:rPr>
        <w:t xml:space="preserve"> se refiere a las vigencias futuras ordinarias para entidades territoriales cuya autorización será impartida por la asamblea o concejo respectivo, a iniciativa del gobierno local, previa aprobación por el Confis territorial o el órgano que haga sus veces. Las vigencias futuras excepcionales para entidades territoriales se encuentran establecida en la Ley 1483 de 2011.  </w:t>
      </w:r>
    </w:p>
    <w:p w14:paraId="59E7C23E" w14:textId="77777777" w:rsidR="007A7FF9" w:rsidRPr="002C632B" w:rsidRDefault="007A7FF9" w:rsidP="007A7FF9">
      <w:pPr>
        <w:shd w:val="clear" w:color="auto" w:fill="FFFFFF"/>
        <w:spacing w:after="120" w:line="276" w:lineRule="auto"/>
        <w:ind w:right="51" w:firstLine="709"/>
        <w:jc w:val="both"/>
        <w:rPr>
          <w:rFonts w:ascii="Verdana" w:eastAsia="Calibri" w:hAnsi="Verdana" w:cs="Arial"/>
          <w:color w:val="000000" w:themeColor="text1"/>
        </w:rPr>
      </w:pPr>
      <w:r w:rsidRPr="002C632B">
        <w:rPr>
          <w:rFonts w:ascii="Verdana" w:eastAsia="Calibri" w:hAnsi="Verdana" w:cs="Arial"/>
          <w:color w:val="000000" w:themeColor="text1"/>
        </w:rPr>
        <w:t xml:space="preserve">Sobre la distinción entre las vigencias futuras ordinarias y las excepcionales el Consejo de Estado señaló que </w:t>
      </w:r>
      <w:r>
        <w:rPr>
          <w:rFonts w:ascii="Verdana" w:eastAsia="Calibri" w:hAnsi="Verdana" w:cs="Arial"/>
          <w:color w:val="000000" w:themeColor="text1"/>
        </w:rPr>
        <w:t>“</w:t>
      </w:r>
      <w:r w:rsidRPr="002C632B">
        <w:rPr>
          <w:rFonts w:ascii="Verdana" w:hAnsi="Verdana" w:cs="Symbol"/>
        </w:rPr>
        <w:t>la diferencia fundamental entre las vigencias futuras ordinarias y las vigencias futuras excepcionales, radica, esencialmente, en que en las primeras la ejecución se inicia con el presupuesto de la vigencia en curso, mientras que en las excepcionales, se afecta el presupuesto de vigencias futuras, sin apropiación en el presupuesto del año en que se concede la autorización</w:t>
      </w:r>
      <w:r>
        <w:rPr>
          <w:rFonts w:ascii="Verdana" w:eastAsia="Calibri" w:hAnsi="Verdana" w:cs="Arial"/>
        </w:rPr>
        <w:t>”</w:t>
      </w:r>
      <w:r w:rsidRPr="002C632B">
        <w:rPr>
          <w:rFonts w:ascii="Verdana" w:eastAsia="Calibri" w:hAnsi="Verdana" w:cs="Arial"/>
          <w:vertAlign w:val="superscript"/>
          <w:lang w:val="es-ES_tradnl"/>
        </w:rPr>
        <w:footnoteReference w:id="19"/>
      </w:r>
      <w:r w:rsidRPr="002C632B">
        <w:rPr>
          <w:rFonts w:ascii="Verdana" w:hAnsi="Verdana" w:cs="Symbol"/>
        </w:rPr>
        <w:t>.</w:t>
      </w:r>
    </w:p>
    <w:p w14:paraId="2B13985F" w14:textId="77777777" w:rsidR="007A7FF9" w:rsidRPr="002C632B" w:rsidRDefault="007A7FF9" w:rsidP="007A7FF9">
      <w:pPr>
        <w:shd w:val="clear" w:color="auto" w:fill="FFFFFF"/>
        <w:spacing w:after="120" w:line="276" w:lineRule="auto"/>
        <w:ind w:right="51" w:firstLine="709"/>
        <w:jc w:val="both"/>
        <w:rPr>
          <w:rFonts w:ascii="Verdana" w:eastAsia="Calibri" w:hAnsi="Verdana" w:cs="Arial"/>
          <w:color w:val="000000" w:themeColor="text1"/>
          <w:lang w:val="es-ES"/>
        </w:rPr>
      </w:pPr>
      <w:r w:rsidRPr="002C632B">
        <w:rPr>
          <w:rFonts w:ascii="Verdana" w:eastAsia="Calibri" w:hAnsi="Verdana" w:cs="Arial"/>
          <w:color w:val="000000" w:themeColor="text1"/>
          <w:lang w:val="es-ES_tradnl"/>
        </w:rPr>
        <w:t xml:space="preserve">Las </w:t>
      </w:r>
      <w:r w:rsidRPr="002C632B">
        <w:rPr>
          <w:rFonts w:ascii="Verdana" w:eastAsia="Calibri" w:hAnsi="Verdana" w:cs="Arial"/>
          <w:i/>
          <w:iCs/>
          <w:color w:val="000000" w:themeColor="text1"/>
          <w:lang w:val="es-ES_tradnl"/>
        </w:rPr>
        <w:t xml:space="preserve">cuentas por pagar </w:t>
      </w:r>
      <w:r w:rsidRPr="002C632B">
        <w:rPr>
          <w:rFonts w:ascii="Verdana" w:eastAsia="Calibri" w:hAnsi="Verdana" w:cs="Arial"/>
          <w:color w:val="000000" w:themeColor="text1"/>
          <w:lang w:val="es-ES_tradnl"/>
        </w:rPr>
        <w:t>consisten en obligaciones cumplidas en la vigencia actual,</w:t>
      </w:r>
      <w:r w:rsidRPr="002C632B">
        <w:rPr>
          <w:rFonts w:ascii="Verdana" w:eastAsia="Calibri" w:hAnsi="Verdana" w:cs="Arial"/>
          <w:color w:val="000000" w:themeColor="text1"/>
          <w:sz w:val="19"/>
          <w:szCs w:val="19"/>
        </w:rPr>
        <w:t xml:space="preserve"> </w:t>
      </w:r>
      <w:r w:rsidRPr="002C632B">
        <w:rPr>
          <w:rFonts w:ascii="Verdana" w:eastAsia="Calibri" w:hAnsi="Verdana" w:cs="Arial"/>
          <w:color w:val="000000" w:themeColor="text1"/>
        </w:rPr>
        <w:t>correspondientes a los anticipos pactados en los contratos y a la entrega de bienes y servicios,</w:t>
      </w:r>
      <w:r w:rsidRPr="002C632B">
        <w:rPr>
          <w:rFonts w:ascii="Verdana" w:eastAsia="Calibri" w:hAnsi="Verdana" w:cs="Arial"/>
          <w:color w:val="000000" w:themeColor="text1"/>
          <w:lang w:val="es-ES_tradnl"/>
        </w:rPr>
        <w:t xml:space="preserve"> de las cuales solo se encuentra pendiente el pago de </w:t>
      </w:r>
      <w:r w:rsidRPr="002C632B">
        <w:rPr>
          <w:rFonts w:ascii="Verdana" w:eastAsia="Calibri" w:hAnsi="Verdana" w:cs="Arial"/>
          <w:color w:val="000000" w:themeColor="text1"/>
          <w:lang w:val="es-ES_tradnl"/>
        </w:rPr>
        <w:lastRenderedPageBreak/>
        <w:t>acuerdo con los compromisos presupuestales adquiridos por la entidad</w:t>
      </w:r>
      <w:r w:rsidRPr="002C632B">
        <w:rPr>
          <w:rFonts w:ascii="Verdana" w:eastAsia="Calibri" w:hAnsi="Verdana" w:cs="Arial"/>
          <w:color w:val="000000" w:themeColor="text1"/>
          <w:vertAlign w:val="superscript"/>
          <w:lang w:val="es-ES_tradnl"/>
        </w:rPr>
        <w:footnoteReference w:id="20"/>
      </w:r>
      <w:r w:rsidRPr="002C632B">
        <w:rPr>
          <w:rFonts w:ascii="Verdana" w:eastAsia="Calibri" w:hAnsi="Verdana" w:cs="Arial"/>
          <w:color w:val="000000" w:themeColor="text1"/>
          <w:lang w:val="es-ES_tradnl"/>
        </w:rPr>
        <w:t xml:space="preserve">. Y las </w:t>
      </w:r>
      <w:r w:rsidRPr="002C632B">
        <w:rPr>
          <w:rFonts w:ascii="Verdana" w:eastAsia="Calibri" w:hAnsi="Verdana" w:cs="Arial"/>
          <w:i/>
          <w:iCs/>
          <w:color w:val="000000" w:themeColor="text1"/>
          <w:lang w:val="es-ES_tradnl"/>
        </w:rPr>
        <w:t xml:space="preserve">terceras, </w:t>
      </w:r>
      <w:r w:rsidRPr="002C632B">
        <w:rPr>
          <w:rFonts w:ascii="Verdana" w:eastAsia="Calibri" w:hAnsi="Verdana" w:cs="Arial"/>
          <w:color w:val="000000" w:themeColor="text1"/>
          <w:lang w:val="es-ES_tradnl"/>
        </w:rPr>
        <w:t xml:space="preserve">las </w:t>
      </w:r>
      <w:r w:rsidRPr="002C632B">
        <w:rPr>
          <w:rFonts w:ascii="Verdana" w:eastAsia="Calibri" w:hAnsi="Verdana" w:cs="Arial"/>
          <w:i/>
          <w:iCs/>
          <w:color w:val="000000" w:themeColor="text1"/>
          <w:lang w:val="es-ES_tradnl"/>
        </w:rPr>
        <w:t>reservas presupuestales</w:t>
      </w:r>
      <w:bookmarkStart w:id="6" w:name="_Hlk93517351"/>
      <w:r w:rsidRPr="002C632B">
        <w:rPr>
          <w:rFonts w:ascii="Verdana" w:eastAsia="Calibri" w:hAnsi="Verdana" w:cs="Arial"/>
          <w:color w:val="000000" w:themeColor="text1"/>
          <w:lang w:val="es-ES_tradnl"/>
        </w:rPr>
        <w:t xml:space="preserve"> </w:t>
      </w:r>
      <w:r w:rsidRPr="002C632B">
        <w:rPr>
          <w:rFonts w:ascii="Verdana" w:eastAsia="Calibri" w:hAnsi="Verdana" w:cs="Arial"/>
          <w:color w:val="000000" w:themeColor="text1"/>
          <w:lang w:val="es-ES"/>
        </w:rPr>
        <w:t>suponen que «Al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sidRPr="002C632B">
        <w:rPr>
          <w:rFonts w:ascii="Verdana" w:eastAsia="Calibri" w:hAnsi="Verdana" w:cs="Arial"/>
          <w:color w:val="000000" w:themeColor="text1"/>
          <w:vertAlign w:val="superscript"/>
          <w:lang w:val="es-ES"/>
        </w:rPr>
        <w:footnoteReference w:id="21"/>
      </w:r>
      <w:r w:rsidRPr="002C632B">
        <w:rPr>
          <w:rFonts w:ascii="Verdana" w:eastAsia="Calibri" w:hAnsi="Verdana" w:cs="Arial"/>
          <w:color w:val="000000" w:themeColor="text1"/>
          <w:lang w:val="es-ES"/>
        </w:rPr>
        <w:t xml:space="preserve">. </w:t>
      </w:r>
      <w:bookmarkEnd w:id="6"/>
    </w:p>
    <w:p w14:paraId="29C931CE" w14:textId="77777777" w:rsidR="007A7FF9" w:rsidRPr="002C632B" w:rsidRDefault="007A7FF9" w:rsidP="007A7FF9">
      <w:pPr>
        <w:shd w:val="clear" w:color="auto" w:fill="FFFFFF"/>
        <w:spacing w:after="120" w:line="276" w:lineRule="auto"/>
        <w:ind w:right="51" w:firstLine="709"/>
        <w:jc w:val="both"/>
        <w:rPr>
          <w:rFonts w:ascii="Verdana" w:eastAsia="Calibri" w:hAnsi="Verdana" w:cs="Arial"/>
          <w:sz w:val="21"/>
          <w:szCs w:val="21"/>
          <w:lang w:val="es-ES_tradnl"/>
        </w:rPr>
      </w:pPr>
      <w:r w:rsidRPr="002C632B">
        <w:rPr>
          <w:rFonts w:ascii="Verdana" w:eastAsia="Calibri" w:hAnsi="Verdana" w:cs="Arial"/>
          <w:color w:val="000000" w:themeColor="text1"/>
          <w:lang w:val="es-ES_tradnl"/>
        </w:rPr>
        <w:t>En virtud de lo anterior, las entidades estatales pueden solicitar reservas presupuestales cuando habiendo adquirido compromisos en una vigencia fiscal, a 31 de diciembre no se han cumplido en su totalidad, y, por tanto, debe continuarse con la respectiva ejecución en la siguiente vigencia. Las reservas presupuestales deben constituirse a más tardar el 20 de enero de cada año en los términos indicados por el Decreto 1068 de 2015</w:t>
      </w:r>
      <w:r w:rsidRPr="002C632B">
        <w:rPr>
          <w:rFonts w:ascii="Verdana" w:eastAsia="Calibri" w:hAnsi="Verdana" w:cs="Arial"/>
          <w:color w:val="000000" w:themeColor="text1"/>
          <w:vertAlign w:val="superscript"/>
          <w:lang w:val="es-ES_tradnl"/>
        </w:rPr>
        <w:footnoteReference w:id="22"/>
      </w:r>
      <w:r w:rsidRPr="002C632B">
        <w:rPr>
          <w:rFonts w:ascii="Verdana" w:eastAsia="Calibri" w:hAnsi="Verdana" w:cs="Arial"/>
          <w:color w:val="000000" w:themeColor="text1"/>
          <w:lang w:val="es-ES_tradnl"/>
        </w:rPr>
        <w:t xml:space="preserve">. </w:t>
      </w:r>
    </w:p>
    <w:p w14:paraId="268875A4" w14:textId="77777777" w:rsidR="007A7FF9" w:rsidRPr="002C632B" w:rsidRDefault="007A7FF9" w:rsidP="007A7FF9">
      <w:pPr>
        <w:shd w:val="clear" w:color="auto" w:fill="FFFFFF"/>
        <w:spacing w:after="120" w:line="276" w:lineRule="auto"/>
        <w:ind w:right="51" w:firstLine="709"/>
        <w:jc w:val="both"/>
        <w:rPr>
          <w:rFonts w:ascii="Verdana" w:eastAsia="Calibri" w:hAnsi="Verdana" w:cs="Arial"/>
          <w:color w:val="000000" w:themeColor="text1"/>
        </w:rPr>
      </w:pPr>
      <w:r w:rsidRPr="002C632B">
        <w:rPr>
          <w:rFonts w:ascii="Verdana" w:eastAsia="Calibri" w:hAnsi="Verdana" w:cs="Arial"/>
          <w:color w:val="000000" w:themeColor="text1"/>
          <w:lang w:val="es-ES_tradnl"/>
        </w:rPr>
        <w:t xml:space="preserve">Sin embargo, es necesario tener en cuenta que las entidades no pueden solicitar reservas presupuestales en cualquier situación, ya que al ser un mecanismo excepcional su uso se encuentra restringido por lo que deberán estar debidamente justificadas. Esto significa que su constitución no puede obedecer a una indebida planeación contractual, pues como se anotó, tanto el régimen presupuestal como el contractual público se desarrolla sobre la base del principio de planeación. En este sentido, las reservas presupuestales no pueden ser empleadas como una herramienta ordinaria de ejecución presupuestal puesto que están concebidas como </w:t>
      </w:r>
      <w:r>
        <w:rPr>
          <w:rFonts w:ascii="Verdana" w:eastAsia="Calibri" w:hAnsi="Verdana" w:cs="Arial"/>
          <w:color w:val="000000" w:themeColor="text1"/>
          <w:lang w:val="es-ES_tradnl"/>
        </w:rPr>
        <w:t>“</w:t>
      </w:r>
      <w:r w:rsidRPr="002C632B">
        <w:rPr>
          <w:rFonts w:ascii="Verdana" w:eastAsia="Calibri" w:hAnsi="Verdana" w:cs="Arial"/>
          <w:color w:val="000000" w:themeColor="text1"/>
        </w:rPr>
        <w:t>un instrumento de uso esporádico y justificado únicamente en situaciones atípicas que impiden la ejecución de los compromisos en las fechas inicialmente previstas para ello, dentro de la misma vigencia a aquella en que el compromiso se celebró</w:t>
      </w:r>
      <w:r>
        <w:rPr>
          <w:rFonts w:ascii="Verdana" w:eastAsia="Calibri" w:hAnsi="Verdana" w:cs="Arial"/>
          <w:color w:val="000000" w:themeColor="text1"/>
        </w:rPr>
        <w:t>”</w:t>
      </w:r>
      <w:r w:rsidRPr="002C632B">
        <w:rPr>
          <w:rFonts w:ascii="Verdana" w:eastAsia="Calibri" w:hAnsi="Verdana" w:cs="Arial"/>
          <w:color w:val="000000" w:themeColor="text1"/>
          <w:vertAlign w:val="superscript"/>
          <w:lang w:val="es-ES"/>
        </w:rPr>
        <w:footnoteReference w:id="23"/>
      </w:r>
      <w:r w:rsidRPr="002C632B">
        <w:rPr>
          <w:rFonts w:ascii="Verdana" w:eastAsia="Calibri" w:hAnsi="Verdana" w:cs="Arial"/>
          <w:color w:val="000000" w:themeColor="text1"/>
        </w:rPr>
        <w:t>.</w:t>
      </w:r>
    </w:p>
    <w:p w14:paraId="5C15EB32" w14:textId="77777777" w:rsidR="007A7FF9" w:rsidRPr="002C632B" w:rsidRDefault="007A7FF9" w:rsidP="007A7FF9">
      <w:pPr>
        <w:shd w:val="clear" w:color="auto" w:fill="FFFFFF"/>
        <w:spacing w:after="120" w:line="276" w:lineRule="auto"/>
        <w:ind w:right="51" w:firstLine="709"/>
        <w:jc w:val="both"/>
        <w:rPr>
          <w:rFonts w:ascii="Verdana" w:eastAsia="Calibri" w:hAnsi="Verdana" w:cs="Arial"/>
          <w:color w:val="000000" w:themeColor="text1"/>
          <w:lang w:val="es-ES"/>
        </w:rPr>
      </w:pPr>
      <w:r w:rsidRPr="002C632B">
        <w:rPr>
          <w:rFonts w:ascii="Verdana" w:eastAsia="Calibri" w:hAnsi="Verdana" w:cs="Arial"/>
          <w:color w:val="000000" w:themeColor="text1"/>
        </w:rPr>
        <w:t xml:space="preserve">Respecto de la distinción entre las reservas presupuestales y las vigencias futuras debe señalarse que contrario a estas últimas, </w:t>
      </w:r>
      <w:r>
        <w:rPr>
          <w:rFonts w:ascii="Verdana" w:eastAsia="Calibri" w:hAnsi="Verdana" w:cs="Arial"/>
          <w:color w:val="000000" w:themeColor="text1"/>
        </w:rPr>
        <w:t>“</w:t>
      </w:r>
      <w:r w:rsidRPr="002C632B">
        <w:rPr>
          <w:rFonts w:ascii="Verdana" w:eastAsia="Calibri" w:hAnsi="Verdana" w:cs="Arial"/>
          <w:color w:val="000000" w:themeColor="text1"/>
        </w:rPr>
        <w:t xml:space="preserve">la reserva presupuestal </w:t>
      </w:r>
      <w:r w:rsidRPr="002C632B">
        <w:rPr>
          <w:rFonts w:ascii="Verdana" w:eastAsia="Calibri" w:hAnsi="Verdana" w:cs="Arial"/>
          <w:color w:val="000000" w:themeColor="text1"/>
        </w:rPr>
        <w:lastRenderedPageBreak/>
        <w:t>supone la existencia de un compromiso presupuestal legalmente adquirido, en otras palabras, de la existencia de un acto o contrato expedido y perfeccionado por las autoridades públicas</w:t>
      </w:r>
      <w:r>
        <w:rPr>
          <w:rFonts w:ascii="Verdana" w:eastAsia="Calibri" w:hAnsi="Verdana" w:cs="Arial"/>
          <w:color w:val="000000" w:themeColor="text1"/>
          <w:lang w:val="es-ES"/>
        </w:rPr>
        <w:t>”</w:t>
      </w:r>
      <w:r w:rsidRPr="002C632B">
        <w:rPr>
          <w:rFonts w:ascii="Verdana" w:eastAsia="Calibri" w:hAnsi="Verdana" w:cs="Arial"/>
          <w:color w:val="000000" w:themeColor="text1"/>
        </w:rPr>
        <w:t xml:space="preserve">. En cambio, en las vigencias futuras se realiza una autorización que afecta presupuestos futuros que </w:t>
      </w:r>
      <w:r>
        <w:rPr>
          <w:rFonts w:ascii="Verdana" w:eastAsia="Calibri" w:hAnsi="Verdana" w:cs="Arial"/>
          <w:color w:val="000000" w:themeColor="text1"/>
          <w:lang w:val="es-ES"/>
        </w:rPr>
        <w:t>“</w:t>
      </w:r>
      <w:r w:rsidRPr="002C632B">
        <w:rPr>
          <w:rFonts w:ascii="Verdana" w:eastAsia="Calibri" w:hAnsi="Verdana" w:cs="Arial"/>
          <w:color w:val="000000" w:themeColor="text1"/>
        </w:rPr>
        <w:t>se formaliza antes de que se aprueben las vigencias en las que se van a ejecutar y la vida jurídica de tales autorizaciones se prolonga a lo largo de varias vigencias</w:t>
      </w:r>
      <w:r>
        <w:rPr>
          <w:rFonts w:ascii="Verdana" w:eastAsia="Calibri" w:hAnsi="Verdana" w:cs="Arial"/>
          <w:color w:val="000000" w:themeColor="text1"/>
        </w:rPr>
        <w:t>”</w:t>
      </w:r>
      <w:r w:rsidRPr="002C632B">
        <w:rPr>
          <w:rFonts w:ascii="Verdana" w:eastAsia="Calibri" w:hAnsi="Verdana" w:cs="Arial"/>
          <w:color w:val="000000" w:themeColor="text1"/>
          <w:vertAlign w:val="superscript"/>
          <w:lang w:val="es-ES"/>
        </w:rPr>
        <w:footnoteReference w:id="24"/>
      </w:r>
      <w:r w:rsidRPr="002C632B">
        <w:rPr>
          <w:rFonts w:ascii="Verdana" w:eastAsia="Calibri" w:hAnsi="Verdana" w:cs="Arial"/>
          <w:color w:val="000000" w:themeColor="text1"/>
        </w:rPr>
        <w:t xml:space="preserve">. </w:t>
      </w:r>
    </w:p>
    <w:p w14:paraId="4FECB61A" w14:textId="77777777" w:rsidR="007A7FF9" w:rsidRPr="002C632B" w:rsidRDefault="007A7FF9" w:rsidP="007A7FF9">
      <w:pPr>
        <w:shd w:val="clear" w:color="auto" w:fill="FFFFFF"/>
        <w:spacing w:after="120" w:line="276" w:lineRule="auto"/>
        <w:ind w:right="51" w:firstLine="709"/>
        <w:jc w:val="both"/>
        <w:rPr>
          <w:rFonts w:ascii="Verdana" w:eastAsia="Calibri" w:hAnsi="Verdana" w:cs="Arial"/>
          <w:color w:val="000000" w:themeColor="text1"/>
          <w:lang w:val="es-ES_tradnl"/>
        </w:rPr>
      </w:pPr>
      <w:r w:rsidRPr="002C632B">
        <w:rPr>
          <w:rFonts w:ascii="Verdana" w:eastAsia="Calibri" w:hAnsi="Verdana" w:cs="Arial"/>
          <w:color w:val="000000" w:themeColor="text1"/>
          <w:lang w:val="es-ES_tradnl"/>
        </w:rPr>
        <w:t xml:space="preserve">Finalmente, es importante hacer referencia a los </w:t>
      </w:r>
      <w:r>
        <w:rPr>
          <w:rFonts w:ascii="Verdana" w:eastAsia="Calibri" w:hAnsi="Verdana" w:cs="Arial"/>
          <w:color w:val="000000" w:themeColor="text1"/>
          <w:lang w:val="es-ES_tradnl"/>
        </w:rPr>
        <w:t>“</w:t>
      </w:r>
      <w:r w:rsidRPr="002C632B">
        <w:rPr>
          <w:rFonts w:ascii="Verdana" w:eastAsia="Calibri" w:hAnsi="Verdana" w:cs="Arial"/>
          <w:color w:val="000000" w:themeColor="text1"/>
          <w:lang w:val="es-ES_tradnl"/>
        </w:rPr>
        <w:t>pagos de pasivos exigibles – vigencias expiradas</w:t>
      </w:r>
      <w:r>
        <w:rPr>
          <w:rFonts w:ascii="Verdana" w:eastAsia="Calibri" w:hAnsi="Verdana" w:cs="Arial"/>
          <w:color w:val="000000" w:themeColor="text1"/>
          <w:lang w:val="es-ES"/>
        </w:rPr>
        <w:t xml:space="preserve">” </w:t>
      </w:r>
      <w:r w:rsidRPr="002C632B">
        <w:rPr>
          <w:rFonts w:ascii="Verdana" w:eastAsia="Calibri" w:hAnsi="Verdana" w:cs="Arial"/>
          <w:color w:val="000000" w:themeColor="text1"/>
          <w:lang w:val="es-ES_tradnl"/>
        </w:rPr>
        <w:t xml:space="preserve">que procede en los casos en los que </w:t>
      </w:r>
      <w:r w:rsidRPr="002C632B">
        <w:rPr>
          <w:rFonts w:ascii="Verdana" w:eastAsia="Calibri" w:hAnsi="Verdana" w:cs="Arial"/>
          <w:sz w:val="21"/>
          <w:szCs w:val="21"/>
          <w:lang w:val="es-ES_tradnl"/>
        </w:rPr>
        <w:t>no se haya constituido la reserva presupuestal o la cuenta por pagar o cuando habiéndose constituido no se realizó el pago respectivo</w:t>
      </w:r>
      <w:r w:rsidRPr="002C632B">
        <w:rPr>
          <w:rFonts w:ascii="Verdana" w:eastAsia="Calibri" w:hAnsi="Verdana" w:cs="Arial"/>
          <w:color w:val="000000" w:themeColor="text1"/>
          <w:lang w:val="es-ES_tradnl"/>
        </w:rPr>
        <w:t xml:space="preserve">. El artículo 49 de la Ley 2159 de 2021 </w:t>
      </w:r>
      <w:r>
        <w:rPr>
          <w:rFonts w:ascii="Verdana" w:eastAsia="Calibri" w:hAnsi="Verdana" w:cs="Arial"/>
          <w:color w:val="000000" w:themeColor="text1"/>
          <w:lang w:val="es-ES_tradnl"/>
        </w:rPr>
        <w:t>“</w:t>
      </w:r>
      <w:r w:rsidRPr="002C632B">
        <w:rPr>
          <w:rFonts w:ascii="Verdana" w:eastAsia="Calibri" w:hAnsi="Verdana" w:cs="Arial"/>
          <w:color w:val="000000" w:themeColor="text1"/>
          <w:lang w:val="es-ES"/>
        </w:rPr>
        <w:t xml:space="preserve">Por </w:t>
      </w:r>
      <w:r w:rsidRPr="002C632B">
        <w:rPr>
          <w:rFonts w:ascii="Verdana" w:eastAsia="Calibri" w:hAnsi="Verdana" w:cs="Arial"/>
          <w:color w:val="000000" w:themeColor="text1"/>
          <w:lang w:val="es-ES_tradnl"/>
        </w:rPr>
        <w:t>la cual se decreta el presupuesto de rentas y recursos de capital y ley de apropiaciones para la vigencia fiscal del 1° de enero al 31 de diciembre de 2022</w:t>
      </w:r>
      <w:r>
        <w:rPr>
          <w:rFonts w:ascii="Verdana" w:eastAsia="Calibri" w:hAnsi="Verdana" w:cs="Arial"/>
          <w:color w:val="000000" w:themeColor="text1"/>
          <w:lang w:val="es-ES_tradnl"/>
        </w:rPr>
        <w:t>”</w:t>
      </w:r>
      <w:r w:rsidRPr="002C632B">
        <w:rPr>
          <w:rFonts w:ascii="Verdana" w:eastAsia="Calibri" w:hAnsi="Verdana" w:cs="Arial"/>
          <w:color w:val="000000" w:themeColor="text1"/>
          <w:lang w:val="es-ES_tradnl"/>
        </w:rPr>
        <w:t xml:space="preserve"> regula esta </w:t>
      </w:r>
      <w:r>
        <w:rPr>
          <w:rFonts w:ascii="Verdana" w:eastAsia="Calibri" w:hAnsi="Verdana" w:cs="Arial"/>
          <w:color w:val="000000" w:themeColor="text1"/>
          <w:lang w:val="es-ES_tradnl"/>
        </w:rPr>
        <w:t>institución</w:t>
      </w:r>
      <w:r w:rsidRPr="002C632B">
        <w:rPr>
          <w:rFonts w:ascii="Verdana" w:eastAsia="Calibri" w:hAnsi="Verdana" w:cs="Arial"/>
          <w:color w:val="000000" w:themeColor="text1"/>
          <w:lang w:val="es-ES_tradnl"/>
        </w:rPr>
        <w:t xml:space="preserve"> de la siguiente manera: </w:t>
      </w:r>
    </w:p>
    <w:p w14:paraId="4712F496" w14:textId="77777777" w:rsidR="007A7FF9" w:rsidRPr="00B74143" w:rsidRDefault="007A7FF9" w:rsidP="007A7FF9">
      <w:pPr>
        <w:spacing w:after="0"/>
        <w:ind w:left="709" w:right="709"/>
        <w:jc w:val="both"/>
        <w:rPr>
          <w:rFonts w:ascii="Verdana" w:eastAsia="Calibri" w:hAnsi="Verdana" w:cs="Arial"/>
          <w:i/>
          <w:iCs/>
          <w:sz w:val="20"/>
          <w:szCs w:val="20"/>
          <w:lang w:val="es-ES"/>
        </w:rPr>
      </w:pPr>
      <w:r w:rsidRPr="00B74143">
        <w:rPr>
          <w:rFonts w:ascii="Verdana" w:eastAsia="Calibri" w:hAnsi="Verdana" w:cs="Arial"/>
          <w:sz w:val="20"/>
          <w:szCs w:val="20"/>
          <w:lang w:val="es-ES"/>
        </w:rPr>
        <w:t xml:space="preserve">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cuenta por pagar correspondiente, se podrá hacer el pago bajo el concepto de </w:t>
      </w:r>
      <w:r w:rsidRPr="00B74143">
        <w:rPr>
          <w:rFonts w:ascii="Verdana" w:eastAsia="Calibri" w:hAnsi="Verdana" w:cs="Arial"/>
          <w:i/>
          <w:iCs/>
          <w:sz w:val="20"/>
          <w:szCs w:val="20"/>
          <w:lang w:val="es-ES"/>
        </w:rPr>
        <w:t xml:space="preserve">"Pago de Pasivos Exigibles - Vigencias Expiradas". </w:t>
      </w:r>
    </w:p>
    <w:p w14:paraId="3D3E02F9" w14:textId="77777777" w:rsidR="007A7FF9" w:rsidRPr="00B74143" w:rsidRDefault="007A7FF9" w:rsidP="007A7FF9">
      <w:pPr>
        <w:spacing w:after="0"/>
        <w:ind w:left="709" w:right="709"/>
        <w:jc w:val="both"/>
        <w:rPr>
          <w:rFonts w:ascii="Verdana" w:eastAsia="Calibri" w:hAnsi="Verdana" w:cs="Arial"/>
          <w:sz w:val="20"/>
          <w:szCs w:val="20"/>
          <w:lang w:val="es-ES_tradnl"/>
        </w:rPr>
      </w:pPr>
    </w:p>
    <w:p w14:paraId="0F04D431" w14:textId="77777777" w:rsidR="007A7FF9" w:rsidRPr="00B74143" w:rsidRDefault="007A7FF9" w:rsidP="007A7FF9">
      <w:pPr>
        <w:spacing w:after="0"/>
        <w:ind w:left="709" w:right="709"/>
        <w:jc w:val="both"/>
        <w:rPr>
          <w:rFonts w:ascii="Verdana" w:eastAsia="Calibri" w:hAnsi="Verdana" w:cs="Arial"/>
          <w:sz w:val="20"/>
          <w:szCs w:val="20"/>
          <w:lang w:val="es-ES_tradnl"/>
        </w:rPr>
      </w:pPr>
      <w:r w:rsidRPr="00B74143">
        <w:rPr>
          <w:rFonts w:ascii="Verdana" w:eastAsia="Calibri" w:hAnsi="Verdana" w:cs="Arial"/>
          <w:sz w:val="20"/>
          <w:szCs w:val="20"/>
          <w:lang w:val="es-ES_tradnl"/>
        </w:rPr>
        <w:t xml:space="preserve">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474D0516" w14:textId="77777777" w:rsidR="007A7FF9" w:rsidRPr="00B74143" w:rsidRDefault="007A7FF9" w:rsidP="007A7FF9">
      <w:pPr>
        <w:spacing w:after="0"/>
        <w:ind w:left="709" w:right="709"/>
        <w:jc w:val="both"/>
        <w:rPr>
          <w:rFonts w:ascii="Verdana" w:eastAsia="Calibri" w:hAnsi="Verdana" w:cs="Arial"/>
          <w:sz w:val="20"/>
          <w:szCs w:val="20"/>
          <w:lang w:val="es-ES"/>
        </w:rPr>
      </w:pPr>
    </w:p>
    <w:p w14:paraId="70C8FA0D" w14:textId="77777777" w:rsidR="007A7FF9" w:rsidRPr="00B74143" w:rsidRDefault="007A7FF9" w:rsidP="007A7FF9">
      <w:pPr>
        <w:spacing w:after="0"/>
        <w:ind w:left="709" w:right="709"/>
        <w:jc w:val="both"/>
        <w:rPr>
          <w:rFonts w:ascii="Verdana" w:eastAsia="Calibri" w:hAnsi="Verdana" w:cs="Arial"/>
          <w:sz w:val="20"/>
          <w:szCs w:val="20"/>
          <w:lang w:val="es-ES"/>
        </w:rPr>
      </w:pPr>
      <w:r w:rsidRPr="00B74143">
        <w:rPr>
          <w:rFonts w:ascii="Verdana" w:eastAsia="Calibri" w:hAnsi="Verdana" w:cs="Arial"/>
          <w:sz w:val="20"/>
          <w:szCs w:val="20"/>
          <w:lang w:val="es-ES"/>
        </w:rPr>
        <w:t xml:space="preserve">El mecanismo previsto en el primer inciso de este artículo también procederá cuando se trate del cumplimiento de una obligación originada en la ley, exigible en vigencias anteriores, aun sin que medie certificado de disponibilidad presupuestal ni registro presupuestal. </w:t>
      </w:r>
    </w:p>
    <w:p w14:paraId="692DB57D" w14:textId="77777777" w:rsidR="007A7FF9" w:rsidRPr="00B74143" w:rsidRDefault="007A7FF9" w:rsidP="007A7FF9">
      <w:pPr>
        <w:spacing w:after="0"/>
        <w:ind w:left="709" w:right="709"/>
        <w:jc w:val="both"/>
        <w:rPr>
          <w:rFonts w:ascii="Verdana" w:eastAsia="Calibri" w:hAnsi="Verdana" w:cs="Arial"/>
          <w:sz w:val="20"/>
          <w:szCs w:val="20"/>
          <w:lang w:val="es-ES"/>
        </w:rPr>
      </w:pPr>
    </w:p>
    <w:p w14:paraId="1998647D" w14:textId="77777777" w:rsidR="007A7FF9" w:rsidRPr="00B74143" w:rsidRDefault="007A7FF9" w:rsidP="007A7FF9">
      <w:pPr>
        <w:spacing w:after="0"/>
        <w:ind w:left="709" w:right="709"/>
        <w:jc w:val="both"/>
        <w:rPr>
          <w:rFonts w:ascii="Verdana" w:eastAsia="Calibri" w:hAnsi="Verdana" w:cs="Arial"/>
          <w:sz w:val="20"/>
          <w:szCs w:val="20"/>
          <w:lang w:val="es-ES"/>
        </w:rPr>
      </w:pPr>
      <w:r w:rsidRPr="00B74143">
        <w:rPr>
          <w:rFonts w:ascii="Verdana" w:eastAsia="Calibri" w:hAnsi="Verdana" w:cs="Arial"/>
          <w:sz w:val="20"/>
          <w:szCs w:val="20"/>
          <w:lang w:val="es-ES"/>
        </w:rPr>
        <w:t xml:space="preserve">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w:t>
      </w:r>
      <w:r w:rsidRPr="00B74143">
        <w:rPr>
          <w:rFonts w:ascii="Verdana" w:eastAsia="Calibri" w:hAnsi="Verdana" w:cs="Arial"/>
          <w:sz w:val="20"/>
          <w:szCs w:val="20"/>
          <w:lang w:val="es-ES"/>
        </w:rPr>
        <w:lastRenderedPageBreak/>
        <w:t>deberá ser remitido a la Contrataría General de la República. […] (Cursiva fuera de texto).</w:t>
      </w:r>
    </w:p>
    <w:p w14:paraId="0653CE5B" w14:textId="77777777" w:rsidR="007A7FF9" w:rsidRDefault="007A7FF9" w:rsidP="007A7FF9">
      <w:pPr>
        <w:shd w:val="clear" w:color="auto" w:fill="FFFFFF"/>
        <w:spacing w:after="120" w:line="276" w:lineRule="auto"/>
        <w:ind w:right="51" w:firstLine="709"/>
        <w:jc w:val="both"/>
        <w:rPr>
          <w:rFonts w:ascii="Verdana" w:eastAsia="Calibri" w:hAnsi="Verdana" w:cs="Arial"/>
          <w:color w:val="000000" w:themeColor="text1"/>
          <w:lang w:val="es-ES_tradnl"/>
        </w:rPr>
      </w:pPr>
    </w:p>
    <w:p w14:paraId="58201C59" w14:textId="77777777" w:rsidR="007A7FF9" w:rsidRPr="002C632B" w:rsidRDefault="007A7FF9" w:rsidP="007A7FF9">
      <w:pPr>
        <w:shd w:val="clear" w:color="auto" w:fill="FFFFFF"/>
        <w:spacing w:after="120" w:line="276" w:lineRule="auto"/>
        <w:ind w:right="51" w:firstLine="709"/>
        <w:jc w:val="both"/>
        <w:rPr>
          <w:rFonts w:ascii="Verdana" w:eastAsia="Calibri" w:hAnsi="Verdana" w:cs="Arial"/>
          <w:color w:val="000000" w:themeColor="text1"/>
          <w:lang w:val="es-ES_tradnl"/>
        </w:rPr>
      </w:pPr>
      <w:r w:rsidRPr="002C632B">
        <w:rPr>
          <w:rFonts w:ascii="Verdana" w:eastAsia="Calibri" w:hAnsi="Verdana" w:cs="Arial"/>
          <w:color w:val="000000" w:themeColor="text1"/>
          <w:lang w:val="es-ES_tradnl"/>
        </w:rPr>
        <w:t xml:space="preserve">En este sentido, el pago de </w:t>
      </w:r>
      <w:r>
        <w:rPr>
          <w:rFonts w:ascii="Verdana" w:eastAsia="Calibri" w:hAnsi="Verdana" w:cs="Arial"/>
          <w:color w:val="000000" w:themeColor="text1"/>
          <w:lang w:val="es-ES_tradnl"/>
        </w:rPr>
        <w:t>“</w:t>
      </w:r>
      <w:r w:rsidRPr="002C632B">
        <w:rPr>
          <w:rFonts w:ascii="Verdana" w:eastAsia="Calibri" w:hAnsi="Verdana" w:cs="Arial"/>
          <w:color w:val="000000" w:themeColor="text1"/>
          <w:lang w:val="es-ES_tradnl"/>
        </w:rPr>
        <w:t>pasivos – vigencias expiradas</w:t>
      </w:r>
      <w:r>
        <w:rPr>
          <w:rFonts w:ascii="Verdana" w:eastAsia="Calibri" w:hAnsi="Verdana" w:cs="Arial"/>
          <w:color w:val="000000" w:themeColor="text1"/>
          <w:lang w:val="es-ES_tradnl"/>
        </w:rPr>
        <w:t>”</w:t>
      </w:r>
      <w:r w:rsidRPr="002C632B">
        <w:rPr>
          <w:rFonts w:ascii="Verdana" w:eastAsia="Calibri" w:hAnsi="Verdana" w:cs="Arial"/>
          <w:color w:val="000000" w:themeColor="text1"/>
          <w:lang w:val="es-ES_tradnl"/>
        </w:rPr>
        <w:t xml:space="preserve"> procederán cuando se cumplan los parámetros antes expuestos para las entidades que se rigen por dicha Ley. En los demás casos, se deberán atender las normas presupuestales particulares que lo regulen, atendiendo a la naturaleza de la entidad pública. </w:t>
      </w:r>
    </w:p>
    <w:p w14:paraId="62EC7160" w14:textId="77777777" w:rsidR="007A7FF9" w:rsidRPr="00B8103B" w:rsidRDefault="007A7FF9" w:rsidP="007A7FF9">
      <w:pPr>
        <w:spacing w:before="120" w:after="120" w:line="276" w:lineRule="auto"/>
        <w:ind w:right="79" w:firstLine="743"/>
        <w:jc w:val="both"/>
        <w:rPr>
          <w:rFonts w:ascii="Verdana" w:eastAsia="Arial" w:hAnsi="Verdana" w:cs="Arial"/>
          <w:bCs/>
        </w:rPr>
      </w:pPr>
      <w:r>
        <w:rPr>
          <w:rFonts w:ascii="Verdana" w:eastAsia="Calibri" w:hAnsi="Verdana" w:cs="Arial"/>
          <w:color w:val="000000" w:themeColor="text1"/>
          <w:lang w:val="es-ES_tradnl"/>
        </w:rPr>
        <w:t>Teniendo en cuenta, el objeto de la consulta</w:t>
      </w:r>
      <w:r w:rsidRPr="002C632B">
        <w:rPr>
          <w:rFonts w:ascii="Verdana" w:eastAsia="Calibri" w:hAnsi="Verdana" w:cs="Arial"/>
          <w:color w:val="000000" w:themeColor="text1"/>
          <w:lang w:val="es-ES_tradnl"/>
        </w:rPr>
        <w:t xml:space="preserve">, las entidades estatales deben planear </w:t>
      </w:r>
      <w:r>
        <w:rPr>
          <w:rFonts w:ascii="Verdana" w:eastAsia="Calibri" w:hAnsi="Verdana" w:cs="Arial"/>
          <w:color w:val="000000" w:themeColor="text1"/>
          <w:lang w:val="es-ES_tradnl"/>
        </w:rPr>
        <w:t xml:space="preserve">la suscripción o celebración de convenios de asociación, con </w:t>
      </w:r>
      <w:r w:rsidRPr="002C632B">
        <w:rPr>
          <w:rFonts w:ascii="Verdana" w:eastAsia="Calibri" w:hAnsi="Verdana" w:cs="Arial"/>
          <w:color w:val="000000" w:themeColor="text1"/>
          <w:lang w:val="es-ES_tradnl"/>
        </w:rPr>
        <w:t xml:space="preserve">fundamento en el principio de la anualidad del gasto, de manera que sus compromisos presupuestales deben ser ejecutados dentro de la vigencia fiscal comprendida entre el 1 de enero y el 31 de diciembre. Sin embargo, como excepción a este principio se establecen </w:t>
      </w:r>
      <w:r w:rsidRPr="002C632B">
        <w:rPr>
          <w:rFonts w:ascii="Verdana" w:eastAsia="Calibri" w:hAnsi="Verdana" w:cs="Arial"/>
          <w:color w:val="000000" w:themeColor="text1"/>
        </w:rPr>
        <w:t xml:space="preserve">mecanismos presupuestales dentro de los cuales se encuentran las vigencias futuras, que permite asumir compromisos que afecten el presupuesto de vigencias posteriores. </w:t>
      </w:r>
      <w:r w:rsidRPr="002E718F">
        <w:rPr>
          <w:rFonts w:ascii="Verdana" w:eastAsia="Arial" w:hAnsi="Verdana" w:cs="Arial"/>
          <w:bCs/>
        </w:rPr>
        <w:t xml:space="preserve">De igual manera, como excepción a este principio se encuentran las cuentas por pagar y las reservas presupuestales, que tienen unos procedimientos particulares para su configuración. </w:t>
      </w:r>
    </w:p>
    <w:p w14:paraId="23C6510F" w14:textId="77777777" w:rsidR="007A7FF9" w:rsidRDefault="007A7FF9" w:rsidP="007A7FF9">
      <w:pPr>
        <w:shd w:val="clear" w:color="auto" w:fill="FFFFFF"/>
        <w:spacing w:after="0" w:line="276" w:lineRule="auto"/>
        <w:ind w:right="51" w:firstLine="709"/>
        <w:jc w:val="both"/>
        <w:rPr>
          <w:rFonts w:ascii="Verdana" w:eastAsia="Calibri" w:hAnsi="Verdana" w:cs="Arial"/>
          <w:color w:val="000000" w:themeColor="text1"/>
        </w:rPr>
      </w:pPr>
      <w:r w:rsidRPr="002C632B">
        <w:rPr>
          <w:rFonts w:ascii="Verdana" w:eastAsia="Calibri" w:hAnsi="Verdana" w:cs="Arial"/>
          <w:color w:val="000000" w:themeColor="text1"/>
        </w:rPr>
        <w:t>De esta manera, en caso de que en la etapa de planeación la entidad evidencie que el co</w:t>
      </w:r>
      <w:r>
        <w:rPr>
          <w:rFonts w:ascii="Verdana" w:eastAsia="Calibri" w:hAnsi="Verdana" w:cs="Arial"/>
          <w:color w:val="000000" w:themeColor="text1"/>
        </w:rPr>
        <w:t xml:space="preserve">nvenio de asociación </w:t>
      </w:r>
      <w:r w:rsidRPr="002C632B">
        <w:rPr>
          <w:rFonts w:ascii="Verdana" w:eastAsia="Calibri" w:hAnsi="Verdana" w:cs="Arial"/>
          <w:color w:val="000000" w:themeColor="text1"/>
        </w:rPr>
        <w:t>a ejecutar exceda la vigencia fiscal correspondiente, deberá atender las previsiones legales sobre las excepciones al principio de anualidad del gasto</w:t>
      </w:r>
      <w:r w:rsidRPr="002C632B">
        <w:rPr>
          <w:rFonts w:ascii="Verdana" w:eastAsia="Arial" w:hAnsi="Verdana" w:cs="Arial"/>
          <w:bCs/>
        </w:rPr>
        <w:t xml:space="preserve"> y determinar cual resulta aplicable al caso en concreto</w:t>
      </w:r>
      <w:r w:rsidRPr="002C632B">
        <w:rPr>
          <w:rFonts w:ascii="Verdana" w:eastAsia="Calibri" w:hAnsi="Verdana" w:cs="Arial"/>
          <w:color w:val="000000" w:themeColor="text1"/>
        </w:rPr>
        <w:t xml:space="preserve">. Dichas excepciones deben estar debidamente justificadas, cumplir con los requisitos establecidos por la normativa vigente y seguir los procedimientos correspondientes para su autorizaciones y ejecución, conforme a lo descrito en este concepto.  </w:t>
      </w:r>
    </w:p>
    <w:p w14:paraId="0A20767B" w14:textId="77777777" w:rsidR="007A7FF9" w:rsidRPr="00AE420E" w:rsidRDefault="007A7FF9" w:rsidP="007A7FF9">
      <w:pPr>
        <w:shd w:val="clear" w:color="auto" w:fill="FFFFFF"/>
        <w:spacing w:after="0" w:line="276" w:lineRule="auto"/>
        <w:ind w:right="51" w:firstLine="709"/>
        <w:jc w:val="both"/>
        <w:rPr>
          <w:rFonts w:ascii="Verdana" w:eastAsia="Calibri" w:hAnsi="Verdana" w:cs="Arial"/>
          <w:color w:val="000000" w:themeColor="text1"/>
        </w:rPr>
      </w:pPr>
    </w:p>
    <w:p w14:paraId="1A6E11D8" w14:textId="77777777" w:rsidR="007A7FF9" w:rsidRPr="00B16AC6" w:rsidRDefault="007A7FF9" w:rsidP="007A7FF9">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iv.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procedencia de convenios de asociación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w:t>
      </w:r>
      <w:r w:rsidRPr="00B17041">
        <w:rPr>
          <w:rFonts w:ascii="Verdana" w:hAnsi="Verdana" w:cs="Arial"/>
          <w:lang w:val="es-ES_tradnl" w:eastAsia="es-ES"/>
        </w:rPr>
        <w:lastRenderedPageBreak/>
        <w:t>de situaciones particulares corresponde a los interesados adoptar la decisión correspondiente y, en caso de conflicto, a las autoridades judiciales, fiscales y disciplinarias.</w:t>
      </w:r>
    </w:p>
    <w:p w14:paraId="0BAF580D" w14:textId="77777777" w:rsidR="007A7FF9" w:rsidRPr="00B17041" w:rsidRDefault="007A7FF9" w:rsidP="007A7FF9">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0D19043" w14:textId="77777777" w:rsidR="007A7FF9" w:rsidRPr="00CD0DCD" w:rsidRDefault="007A7FF9" w:rsidP="007A7FF9">
      <w:pPr>
        <w:spacing w:after="0" w:line="276" w:lineRule="auto"/>
        <w:jc w:val="both"/>
        <w:rPr>
          <w:rFonts w:ascii="Verdana" w:eastAsia="Calibri" w:hAnsi="Verdana" w:cs="Arial"/>
          <w:lang w:val="es-ES" w:eastAsia="es-MX"/>
        </w:rPr>
      </w:pPr>
    </w:p>
    <w:p w14:paraId="62983441" w14:textId="77777777" w:rsidR="007A7FF9" w:rsidRPr="00B57A1B" w:rsidRDefault="007A7FF9" w:rsidP="007A7FF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Pr>
          <w:rFonts w:ascii="Verdana" w:eastAsia="Century Gothic" w:hAnsi="Verdana" w:cs="Century Gothic"/>
          <w:b/>
          <w:bCs/>
          <w:lang w:val="es-ES"/>
        </w:rPr>
        <w:t>Referencias normativas</w:t>
      </w:r>
    </w:p>
    <w:p w14:paraId="04197A42" w14:textId="77777777" w:rsidR="007A7FF9" w:rsidRPr="00B57A1B" w:rsidRDefault="007A7FF9" w:rsidP="007A7FF9">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A7FF9" w:rsidRPr="00B57A1B" w14:paraId="00F07978" w14:textId="77777777" w:rsidTr="008034A0">
        <w:trPr>
          <w:trHeight w:val="487"/>
          <w:jc w:val="center"/>
        </w:trPr>
        <w:tc>
          <w:tcPr>
            <w:tcW w:w="8647" w:type="dxa"/>
          </w:tcPr>
          <w:p w14:paraId="6073E4E1" w14:textId="77777777" w:rsidR="007A7FF9" w:rsidRDefault="007A7FF9" w:rsidP="007A7FF9">
            <w:pPr>
              <w:pStyle w:val="Prrafodelista"/>
              <w:widowControl w:val="0"/>
              <w:numPr>
                <w:ilvl w:val="0"/>
                <w:numId w:val="19"/>
              </w:numPr>
              <w:autoSpaceDE w:val="0"/>
              <w:autoSpaceDN w:val="0"/>
              <w:spacing w:before="120" w:after="120" w:line="276" w:lineRule="auto"/>
              <w:ind w:left="714" w:hanging="357"/>
              <w:contextualSpacing w:val="0"/>
              <w:jc w:val="both"/>
              <w:rPr>
                <w:rFonts w:ascii="Verdana" w:eastAsia="Arial MT" w:hAnsi="Verdana" w:cs="Arial"/>
                <w:lang w:eastAsia="es-ES" w:bidi="es-ES"/>
              </w:rPr>
            </w:pPr>
            <w:r>
              <w:rPr>
                <w:rFonts w:ascii="Verdana" w:eastAsia="Arial MT" w:hAnsi="Verdana" w:cs="Arial"/>
                <w:lang w:eastAsia="es-ES" w:bidi="es-ES"/>
              </w:rPr>
              <w:t xml:space="preserve">Constitución Política, artículos 346 y 355. </w:t>
            </w:r>
          </w:p>
          <w:p w14:paraId="592080B3" w14:textId="77777777" w:rsidR="007A7FF9" w:rsidRPr="008A5497" w:rsidRDefault="007A7FF9" w:rsidP="007A7FF9">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8A5497">
              <w:rPr>
                <w:rFonts w:ascii="Verdana" w:eastAsia="Arial MT" w:hAnsi="Verdana" w:cs="Arial"/>
                <w:lang w:eastAsia="es-ES" w:bidi="es-ES"/>
              </w:rPr>
              <w:t xml:space="preserve">Decreto 111 de 1996, artículo 23.  </w:t>
            </w:r>
          </w:p>
          <w:p w14:paraId="4EF6419F" w14:textId="77777777" w:rsidR="007A7FF9" w:rsidRPr="008A5497" w:rsidRDefault="007A7FF9" w:rsidP="007A7FF9">
            <w:pPr>
              <w:pStyle w:val="Prrafodelista"/>
              <w:numPr>
                <w:ilvl w:val="0"/>
                <w:numId w:val="19"/>
              </w:numPr>
              <w:spacing w:after="120"/>
              <w:contextualSpacing w:val="0"/>
              <w:rPr>
                <w:rFonts w:ascii="Verdana" w:eastAsia="Arial MT" w:hAnsi="Verdana" w:cs="Arial"/>
                <w:lang w:eastAsia="es-ES" w:bidi="es-ES"/>
              </w:rPr>
            </w:pPr>
            <w:r w:rsidRPr="008A5497">
              <w:rPr>
                <w:rFonts w:ascii="Verdana" w:eastAsia="Arial MT" w:hAnsi="Verdana" w:cs="Arial"/>
                <w:lang w:eastAsia="es-ES" w:bidi="es-ES"/>
              </w:rPr>
              <w:t xml:space="preserve">Ley 489 de 1998, artículo 96. </w:t>
            </w:r>
          </w:p>
          <w:p w14:paraId="58404E7F" w14:textId="77777777" w:rsidR="007A7FF9" w:rsidRPr="008A5497" w:rsidRDefault="007A7FF9" w:rsidP="007A7FF9">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8A5497">
              <w:rPr>
                <w:rFonts w:ascii="Verdana" w:eastAsia="Arial MT" w:hAnsi="Verdana" w:cs="Arial"/>
                <w:lang w:eastAsia="es-ES" w:bidi="es-ES"/>
              </w:rPr>
              <w:t>La Ley 813 de 2003: Artículos 8, 10, 11 y 12.</w:t>
            </w:r>
          </w:p>
          <w:p w14:paraId="361040E5" w14:textId="77777777" w:rsidR="007A7FF9" w:rsidRPr="008A5497" w:rsidRDefault="007A7FF9" w:rsidP="007A7FF9">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8A5497">
              <w:rPr>
                <w:rFonts w:ascii="Verdana" w:eastAsia="Arial MT" w:hAnsi="Verdana" w:cs="Arial"/>
                <w:lang w:eastAsia="es-ES" w:bidi="es-ES"/>
              </w:rPr>
              <w:t>Ley 1483 de 2011.</w:t>
            </w:r>
          </w:p>
          <w:p w14:paraId="2896541B" w14:textId="77777777" w:rsidR="007A7FF9" w:rsidRPr="008A5497" w:rsidRDefault="007A7FF9" w:rsidP="007A7FF9">
            <w:pPr>
              <w:pStyle w:val="Prrafodelista"/>
              <w:numPr>
                <w:ilvl w:val="0"/>
                <w:numId w:val="19"/>
              </w:numPr>
              <w:rPr>
                <w:rFonts w:ascii="Verdana" w:eastAsia="Arial MT" w:hAnsi="Verdana" w:cs="Arial"/>
                <w:lang w:eastAsia="es-ES" w:bidi="es-ES"/>
              </w:rPr>
            </w:pPr>
            <w:r w:rsidRPr="008A5497">
              <w:rPr>
                <w:rFonts w:ascii="Verdana" w:eastAsia="Arial MT" w:hAnsi="Verdana" w:cs="Arial"/>
                <w:lang w:eastAsia="es-ES" w:bidi="es-ES"/>
              </w:rPr>
              <w:t xml:space="preserve">Decreto 092 de 2017. </w:t>
            </w:r>
          </w:p>
          <w:p w14:paraId="2A254B27" w14:textId="77777777" w:rsidR="007A7FF9" w:rsidRPr="008A5497" w:rsidRDefault="007A7FF9" w:rsidP="007A7FF9">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8A5497">
              <w:rPr>
                <w:rFonts w:ascii="Verdana" w:eastAsia="Arial MT" w:hAnsi="Verdana" w:cs="Arial"/>
                <w:lang w:eastAsia="es-ES" w:bidi="es-ES"/>
              </w:rPr>
              <w:t xml:space="preserve">Ley 2159 de 2021, artículo 49. </w:t>
            </w:r>
          </w:p>
          <w:p w14:paraId="73C0EB9C" w14:textId="77777777" w:rsidR="007A7FF9" w:rsidRPr="008A5497" w:rsidRDefault="007A7FF9" w:rsidP="007A7FF9">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8A5497">
              <w:rPr>
                <w:rFonts w:ascii="Verdana" w:eastAsia="Arial MT" w:hAnsi="Verdana" w:cs="Arial"/>
                <w:lang w:eastAsia="es-ES" w:bidi="es-ES"/>
              </w:rPr>
              <w:t xml:space="preserve">Decreto 1068 de 2015: Artículo 2.8.3.4. </w:t>
            </w:r>
          </w:p>
          <w:p w14:paraId="4B1BB4B6" w14:textId="77777777" w:rsidR="007A7FF9" w:rsidRPr="009A3571" w:rsidRDefault="007A7FF9" w:rsidP="007A7FF9">
            <w:pPr>
              <w:pStyle w:val="Prrafodelista"/>
              <w:widowControl w:val="0"/>
              <w:numPr>
                <w:ilvl w:val="0"/>
                <w:numId w:val="19"/>
              </w:numPr>
              <w:autoSpaceDE w:val="0"/>
              <w:autoSpaceDN w:val="0"/>
              <w:spacing w:before="120" w:after="120" w:line="276" w:lineRule="auto"/>
              <w:contextualSpacing w:val="0"/>
              <w:jc w:val="both"/>
              <w:rPr>
                <w:rFonts w:ascii="Verdana" w:eastAsia="Arial MT" w:hAnsi="Verdana" w:cs="Arial"/>
                <w:lang w:eastAsia="es-ES" w:bidi="es-ES"/>
              </w:rPr>
            </w:pPr>
            <w:r w:rsidRPr="009A3571">
              <w:rPr>
                <w:rFonts w:ascii="Verdana" w:eastAsia="Arial MT" w:hAnsi="Verdana" w:cs="Arial"/>
                <w:lang w:eastAsia="es-ES" w:bidi="es-ES"/>
              </w:rPr>
              <w:t>Agencia Nacional de Contratación Pública –Colombia Compra Eficiente. Guía para la contratación con entidades privadas sin ánimo de lucro y de reconocida idoneida</w:t>
            </w:r>
            <w:r>
              <w:rPr>
                <w:rFonts w:ascii="Verdana" w:eastAsia="Arial MT" w:hAnsi="Verdana" w:cs="Arial"/>
                <w:lang w:eastAsia="es-ES" w:bidi="es-ES"/>
              </w:rPr>
              <w:t>d, 2025. Disponible en línea:</w:t>
            </w:r>
            <w:r>
              <w:t xml:space="preserve"> </w:t>
            </w:r>
            <w:hyperlink r:id="rId13" w:history="1">
              <w:r w:rsidRPr="007008C8">
                <w:rPr>
                  <w:rStyle w:val="Hipervnculo"/>
                  <w:rFonts w:ascii="Verdana" w:eastAsia="Arial MT" w:hAnsi="Verdana" w:cs="Arial"/>
                  <w:lang w:eastAsia="es-ES" w:bidi="es-ES"/>
                </w:rPr>
                <w:t>https://www.colombiacompra.gov.co/archivos/manual/guia-para-la-contratacion-con-entidades-sin-animo-de-lucro-y-de-reconocida-idoneidad</w:t>
              </w:r>
            </w:hyperlink>
            <w:r>
              <w:rPr>
                <w:rFonts w:ascii="Verdana" w:eastAsia="Arial MT" w:hAnsi="Verdana" w:cs="Arial"/>
                <w:lang w:eastAsia="es-ES" w:bidi="es-ES"/>
              </w:rPr>
              <w:t xml:space="preserve">  </w:t>
            </w:r>
          </w:p>
        </w:tc>
      </w:tr>
    </w:tbl>
    <w:p w14:paraId="2470B1C9" w14:textId="77777777" w:rsidR="007A7FF9" w:rsidRPr="00B57A1B" w:rsidRDefault="007A7FF9" w:rsidP="007A7FF9">
      <w:pPr>
        <w:widowControl w:val="0"/>
        <w:autoSpaceDE w:val="0"/>
        <w:autoSpaceDN w:val="0"/>
        <w:spacing w:after="0" w:line="276" w:lineRule="auto"/>
        <w:jc w:val="both"/>
        <w:rPr>
          <w:rFonts w:ascii="Verdana" w:hAnsi="Verdana" w:cs="Arial"/>
        </w:rPr>
      </w:pPr>
    </w:p>
    <w:p w14:paraId="1261208C" w14:textId="77777777" w:rsidR="007A7FF9" w:rsidRPr="00B57A1B" w:rsidRDefault="007A7FF9" w:rsidP="007A7FF9">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332A6680" w14:textId="77777777" w:rsidR="007A7FF9" w:rsidRPr="00B57A1B" w:rsidRDefault="007A7FF9" w:rsidP="007A7FF9">
      <w:pPr>
        <w:widowControl w:val="0"/>
        <w:autoSpaceDE w:val="0"/>
        <w:autoSpaceDN w:val="0"/>
        <w:spacing w:after="0" w:line="276" w:lineRule="auto"/>
        <w:jc w:val="both"/>
        <w:rPr>
          <w:rFonts w:ascii="Verdana" w:hAnsi="Verdana" w:cs="Arial"/>
        </w:rPr>
      </w:pPr>
    </w:p>
    <w:p w14:paraId="7CAB1134" w14:textId="77777777" w:rsidR="007A7FF9" w:rsidRPr="006745D3" w:rsidRDefault="007A7FF9" w:rsidP="007A7FF9">
      <w:pPr>
        <w:widowControl w:val="0"/>
        <w:autoSpaceDE w:val="0"/>
        <w:autoSpaceDN w:val="0"/>
        <w:spacing w:after="0" w:line="276" w:lineRule="auto"/>
        <w:jc w:val="both"/>
        <w:rPr>
          <w:rFonts w:ascii="Verdana" w:eastAsia="Calibri" w:hAnsi="Verdana" w:cs="Arial"/>
          <w:b/>
          <w:bCs/>
          <w:lang w:val="es-ES" w:eastAsia="es-ES"/>
        </w:rPr>
      </w:pPr>
      <w:r w:rsidRPr="00B57A1B">
        <w:rPr>
          <w:rFonts w:ascii="Verdana" w:hAnsi="Verdana" w:cs="Arial"/>
          <w:shd w:val="clear" w:color="auto" w:fill="FFFFFF"/>
        </w:rPr>
        <w:lastRenderedPageBreak/>
        <w:t>Esta Subdirección se ha pronunciado sobre</w:t>
      </w:r>
      <w:r>
        <w:rPr>
          <w:rFonts w:ascii="Verdana" w:hAnsi="Verdana" w:cs="Arial"/>
          <w:shd w:val="clear" w:color="auto" w:fill="FFFFFF"/>
        </w:rPr>
        <w:t xml:space="preserve"> el </w:t>
      </w:r>
      <w:r w:rsidRPr="0017378C">
        <w:rPr>
          <w:rFonts w:ascii="Verdana" w:hAnsi="Verdana" w:cs="Arial"/>
          <w:shd w:val="clear" w:color="auto" w:fill="FFFFFF"/>
          <w:lang w:val="es-ES"/>
        </w:rPr>
        <w:t>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C-594 del 7 de septiembre de 2020, C-670 del 22 de noviembre de 2020, C-689 del 1 de diciembre de 2020, C-724 de 14 de diciembre de 2020, C-364 de 26 de julio de 2021, C-379 de 20 de julio de 2021, C-537 del 27 de septiembre de 2021,  C-021 del 22 de febrero de 2022, C-236 del 27 de abril de 2022, C-273 del 6 de mayo de 2022, C-274 del 6 de mayo de 2022, C-291 del 18 de mayo de 2022, C-550 del 31 de agosto de 2022, C-560 del 7 de septiembre de 2022, C-853 del 9 de diciembre de 2022, C-351 del 6 de octubre de 2023, , C-064 del 24 de abril de 2024, C-080 del 7 de mayo de 2024, C-281 del 29 de octubre de 2024, C-957 del 17 de diciembre de 2024,</w:t>
      </w:r>
      <w:r w:rsidRPr="0017378C">
        <w:rPr>
          <w:rFonts w:ascii="Verdana" w:eastAsia="Calibri" w:hAnsi="Verdana" w:cs="Arial"/>
          <w:b/>
          <w:bCs/>
          <w:lang w:val="es-ES" w:eastAsia="es-ES"/>
        </w:rPr>
        <w:t xml:space="preserve"> </w:t>
      </w:r>
      <w:r>
        <w:rPr>
          <w:rFonts w:ascii="Verdana" w:eastAsia="Calibri" w:hAnsi="Verdana" w:cs="Arial"/>
          <w:lang w:val="es-ES" w:eastAsia="es-ES"/>
        </w:rPr>
        <w:t>C-875 del 13 de agosto de 2025, C-138 del 14 de marzo de 2025, C-373 del 6 de mayo de 2025,</w:t>
      </w:r>
      <w:r w:rsidRPr="0017378C">
        <w:rPr>
          <w:rFonts w:ascii="Verdana" w:eastAsia="Calibri" w:hAnsi="Verdana" w:cs="Arial"/>
          <w:b/>
          <w:bCs/>
          <w:lang w:val="es-ES" w:eastAsia="es-ES"/>
        </w:rPr>
        <w:t xml:space="preserve"> </w:t>
      </w:r>
      <w:r w:rsidRPr="0017378C">
        <w:rPr>
          <w:rFonts w:ascii="Verdana" w:hAnsi="Verdana" w:cs="Arial"/>
          <w:shd w:val="clear" w:color="auto" w:fill="FFFFFF"/>
          <w:lang w:val="es-ES"/>
        </w:rPr>
        <w:t xml:space="preserve">C-1384 del 5 de noviembre de 2025, </w:t>
      </w:r>
      <w:r>
        <w:rPr>
          <w:rFonts w:ascii="Verdana" w:hAnsi="Verdana" w:cs="Arial"/>
          <w:shd w:val="clear" w:color="auto" w:fill="FFFFFF"/>
          <w:lang w:val="es-ES"/>
        </w:rPr>
        <w:t>C-1498 del 26 de noviembre de 2025, entre</w:t>
      </w:r>
      <w:r w:rsidRPr="0017378C">
        <w:rPr>
          <w:rFonts w:ascii="Verdana" w:hAnsi="Verdana" w:cs="Arial"/>
          <w:shd w:val="clear" w:color="auto" w:fill="FFFFFF"/>
          <w:lang w:val="es-ES"/>
        </w:rPr>
        <w:t xml:space="preserve"> otros</w:t>
      </w:r>
      <w:r>
        <w:rPr>
          <w:rFonts w:ascii="Verdana" w:hAnsi="Verdana" w:cs="Arial"/>
          <w:shd w:val="clear" w:color="auto" w:fill="FFFFFF"/>
        </w:rPr>
        <w:t>.</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9BFF223" w14:textId="77777777" w:rsidR="007A7FF9" w:rsidRPr="00185EE9" w:rsidRDefault="00F91FC3" w:rsidP="007A7FF9">
      <w:pPr>
        <w:spacing w:after="0" w:line="256" w:lineRule="auto"/>
        <w:jc w:val="both"/>
        <w:rPr>
          <w:rFonts w:ascii="Verdana" w:eastAsia="Calibri" w:hAnsi="Verdana" w:cs="Times New Roman"/>
        </w:rPr>
      </w:pPr>
      <w:hyperlink r:id="rId14" w:history="1">
        <w:r w:rsidR="007A7FF9" w:rsidRPr="00F14AAD">
          <w:rPr>
            <w:rStyle w:val="Hipervnculo"/>
            <w:rFonts w:ascii="Verdana" w:eastAsia="Calibri" w:hAnsi="Verdana" w:cs="Times New Roman"/>
            <w:lang w:val="es-ES"/>
          </w:rPr>
          <w:t>https://relatoria.colombiacompra.gov.co/busqueda/conceptos</w:t>
        </w:r>
      </w:hyperlink>
      <w:r w:rsidR="007A7FF9" w:rsidRPr="00185EE9">
        <w:rPr>
          <w:rFonts w:ascii="Verdana" w:eastAsia="Calibri" w:hAnsi="Verdana" w:cs="Times New Roman"/>
        </w:rPr>
        <w:t xml:space="preserve">. </w:t>
      </w:r>
    </w:p>
    <w:p w14:paraId="63B8FCB5" w14:textId="77777777" w:rsidR="007A7FF9" w:rsidRPr="00B57A1B" w:rsidRDefault="007A7FF9" w:rsidP="007A7FF9">
      <w:pPr>
        <w:spacing w:after="0"/>
        <w:jc w:val="both"/>
        <w:rPr>
          <w:rFonts w:ascii="Verdana" w:hAnsi="Verdana"/>
        </w:rPr>
      </w:pPr>
    </w:p>
    <w:p w14:paraId="4AC39D58" w14:textId="77777777" w:rsidR="007A7FF9" w:rsidRPr="00B57A1B" w:rsidRDefault="007A7FF9" w:rsidP="007A7FF9">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4D7820E5" w14:textId="77777777" w:rsidR="007A7FF9" w:rsidRPr="00B57A1B" w:rsidRDefault="007A7FF9" w:rsidP="007A7FF9">
      <w:pPr>
        <w:spacing w:after="0" w:line="240" w:lineRule="auto"/>
        <w:jc w:val="both"/>
        <w:rPr>
          <w:rFonts w:ascii="Verdana" w:hAnsi="Verdana"/>
        </w:rPr>
      </w:pPr>
    </w:p>
    <w:p w14:paraId="1492C890" w14:textId="77777777" w:rsidR="007A7FF9" w:rsidRPr="00B57A1B" w:rsidRDefault="007A7FF9" w:rsidP="007A7FF9">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 xml:space="preserve">Este concepto tiene el alcance previsto en el artículo 28 del Código de Procedimiento Administrativo y de lo Contencioso Administrativo y las </w:t>
      </w:r>
      <w:r w:rsidRPr="00B57A1B">
        <w:rPr>
          <w:rFonts w:ascii="Verdana" w:eastAsia="Calibri" w:hAnsi="Verdana" w:cs="Times New Roman"/>
          <w:lang w:val="es-ES_tradnl"/>
        </w:rPr>
        <w:lastRenderedPageBreak/>
        <w:t>expresiones utilizadas con mayúscula inicial deben ser entendidas con el significado que les otorga el artículo 2.2.1.1.1.3.1 del Decreto 1082 de 2015.</w:t>
      </w:r>
    </w:p>
    <w:p w14:paraId="5E24E7D8" w14:textId="77777777" w:rsidR="007A7FF9" w:rsidRPr="00B57A1B" w:rsidRDefault="007A7FF9" w:rsidP="007A7FF9">
      <w:pPr>
        <w:spacing w:after="0" w:line="256" w:lineRule="auto"/>
        <w:jc w:val="both"/>
        <w:rPr>
          <w:rFonts w:ascii="Verdana" w:eastAsia="Calibri" w:hAnsi="Verdana" w:cs="Times New Roman"/>
        </w:rPr>
      </w:pPr>
    </w:p>
    <w:p w14:paraId="48DF37C3" w14:textId="77777777" w:rsidR="007A7FF9" w:rsidRDefault="007A7FF9" w:rsidP="007A7FF9">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366B1C11" w14:textId="77777777" w:rsidR="007A7FF9" w:rsidRDefault="007A7FF9" w:rsidP="007A7FF9">
      <w:pPr>
        <w:spacing w:after="0" w:line="256" w:lineRule="auto"/>
        <w:rPr>
          <w:rFonts w:ascii="Century Gothic" w:hAnsi="Century Gothic"/>
          <w:noProof/>
          <w:lang w:val="en-US"/>
        </w:rPr>
      </w:pPr>
    </w:p>
    <w:p w14:paraId="4620850D" w14:textId="7E7D37DE" w:rsidR="007A7FF9" w:rsidRDefault="0086345B" w:rsidP="007A7FF9">
      <w:pPr>
        <w:spacing w:after="0" w:line="256" w:lineRule="auto"/>
        <w:jc w:val="center"/>
        <w:rPr>
          <w:noProof/>
          <w:lang w:val="en-US"/>
        </w:rPr>
      </w:pPr>
      <w:r w:rsidRPr="002C3AD6">
        <w:rPr>
          <w:rFonts w:ascii="Century Gothic" w:hAnsi="Century Gothic"/>
          <w:noProof/>
          <w:lang w:val="en-US"/>
        </w:rPr>
        <w:drawing>
          <wp:inline distT="0" distB="0" distL="0" distR="0" wp14:anchorId="24D541F3" wp14:editId="244FDC53">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312722" cy="1229722"/>
                    </a:xfrm>
                    <a:prstGeom prst="rect">
                      <a:avLst/>
                    </a:prstGeom>
                  </pic:spPr>
                </pic:pic>
              </a:graphicData>
            </a:graphic>
          </wp:inline>
        </w:drawing>
      </w:r>
    </w:p>
    <w:p w14:paraId="689D2B7F" w14:textId="77777777" w:rsidR="007A7FF9" w:rsidRDefault="007A7FF9" w:rsidP="007A7FF9">
      <w:pPr>
        <w:spacing w:after="0" w:line="256" w:lineRule="auto"/>
        <w:jc w:val="center"/>
        <w:rPr>
          <w:rFonts w:ascii="Verdana" w:eastAsia="Times New Roman" w:hAnsi="Verdana" w:cs="Arial"/>
          <w:noProof/>
          <w:sz w:val="24"/>
          <w:szCs w:val="24"/>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7A7FF9" w:rsidRPr="00B57A1B" w14:paraId="0A5DBBD8" w14:textId="77777777" w:rsidTr="008034A0">
        <w:trPr>
          <w:trHeight w:val="409"/>
        </w:trPr>
        <w:tc>
          <w:tcPr>
            <w:tcW w:w="817" w:type="dxa"/>
            <w:tcBorders>
              <w:top w:val="nil"/>
              <w:left w:val="nil"/>
              <w:bottom w:val="nil"/>
              <w:right w:val="nil"/>
            </w:tcBorders>
            <w:vAlign w:val="center"/>
            <w:hideMark/>
          </w:tcPr>
          <w:p w14:paraId="709A96ED" w14:textId="77777777" w:rsidR="007A7FF9" w:rsidRPr="00B57A1B" w:rsidRDefault="007A7FF9" w:rsidP="008034A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759D0299" w14:textId="77777777" w:rsidR="007A7FF9" w:rsidRPr="00B57A1B" w:rsidRDefault="007A7FF9" w:rsidP="008034A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23799534" w14:textId="77777777" w:rsidR="007A7FF9" w:rsidRPr="00B57A1B" w:rsidRDefault="007A7FF9" w:rsidP="008034A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7A7FF9" w:rsidRPr="00B57A1B" w14:paraId="0361ECAA" w14:textId="77777777" w:rsidTr="008034A0">
        <w:trPr>
          <w:trHeight w:val="409"/>
        </w:trPr>
        <w:tc>
          <w:tcPr>
            <w:tcW w:w="817" w:type="dxa"/>
            <w:tcBorders>
              <w:top w:val="nil"/>
              <w:left w:val="nil"/>
              <w:bottom w:val="nil"/>
              <w:right w:val="nil"/>
            </w:tcBorders>
            <w:vAlign w:val="center"/>
            <w:hideMark/>
          </w:tcPr>
          <w:p w14:paraId="48FBF9AD" w14:textId="77777777" w:rsidR="007A7FF9" w:rsidRPr="00B57A1B" w:rsidRDefault="007A7FF9" w:rsidP="008034A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5A64222" w14:textId="77777777" w:rsidR="007A7FF9" w:rsidRPr="00B57A1B" w:rsidRDefault="007A7FF9" w:rsidP="008034A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5643D57C" w14:textId="77777777" w:rsidR="007A7FF9" w:rsidRPr="00B57A1B" w:rsidRDefault="007A7FF9" w:rsidP="008034A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7A7FF9" w:rsidRPr="00B57A1B" w14:paraId="64F669B7" w14:textId="77777777" w:rsidTr="008034A0">
        <w:trPr>
          <w:trHeight w:val="389"/>
        </w:trPr>
        <w:tc>
          <w:tcPr>
            <w:tcW w:w="817" w:type="dxa"/>
            <w:tcBorders>
              <w:top w:val="nil"/>
              <w:left w:val="nil"/>
              <w:bottom w:val="nil"/>
              <w:right w:val="nil"/>
            </w:tcBorders>
            <w:vAlign w:val="center"/>
            <w:hideMark/>
          </w:tcPr>
          <w:p w14:paraId="5EC0D779" w14:textId="77777777" w:rsidR="007A7FF9" w:rsidRPr="00B57A1B" w:rsidRDefault="007A7FF9" w:rsidP="008034A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717331F" w14:textId="77777777" w:rsidR="007A7FF9" w:rsidRPr="00B57A1B" w:rsidRDefault="007A7FF9" w:rsidP="008034A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4010F0E5" w14:textId="77777777" w:rsidR="007A7FF9" w:rsidRPr="00B57A1B" w:rsidRDefault="007A7FF9" w:rsidP="008034A0">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5C427A3B" w14:textId="77777777" w:rsidR="007A7FF9" w:rsidRPr="0024624F" w:rsidRDefault="007A7FF9" w:rsidP="007A7FF9">
      <w:pPr>
        <w:spacing w:after="0"/>
        <w:rPr>
          <w:rFonts w:ascii="Verdana" w:hAnsi="Verdana"/>
        </w:rPr>
      </w:pPr>
    </w:p>
    <w:bookmarkEnd w:id="0"/>
    <w:p w14:paraId="49C89D86" w14:textId="43181324" w:rsidR="0051097E" w:rsidRPr="0024624F" w:rsidRDefault="0051097E" w:rsidP="0051097E">
      <w:pPr>
        <w:spacing w:after="0"/>
        <w:rPr>
          <w:rFonts w:ascii="Verdana" w:hAnsi="Verdana"/>
        </w:rPr>
      </w:pPr>
    </w:p>
    <w:p w14:paraId="0F293BF4" w14:textId="17BD4B0D" w:rsidR="00127233" w:rsidRPr="0051097E" w:rsidRDefault="00127233" w:rsidP="0051097E"/>
    <w:sectPr w:rsidR="00127233" w:rsidRPr="0051097E"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68A750" w14:textId="77777777" w:rsidR="00F91FC3" w:rsidRDefault="00F91FC3" w:rsidP="004A1847">
      <w:pPr>
        <w:spacing w:after="0" w:line="240" w:lineRule="auto"/>
      </w:pPr>
      <w:r>
        <w:separator/>
      </w:r>
    </w:p>
  </w:endnote>
  <w:endnote w:type="continuationSeparator" w:id="0">
    <w:p w14:paraId="44188DF1" w14:textId="77777777" w:rsidR="00F91FC3" w:rsidRDefault="00F91FC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Rockwell">
    <w:panose1 w:val="02060603020205020403"/>
    <w:charset w:val="00"/>
    <w:family w:val="roman"/>
    <w:pitch w:val="variable"/>
    <w:sig w:usb0="00000003" w:usb1="00000000" w:usb2="00000000" w:usb3="00000000" w:csb0="00000001" w:csb1="00000000"/>
  </w:font>
  <w:font w:name="Aptos">
    <w:altName w:val="Calibri"/>
    <w:charset w:val="00"/>
    <w:family w:val="swiss"/>
    <w:pitch w:val="variable"/>
    <w:sig w:usb0="20000287" w:usb1="00000003" w:usb2="00000000" w:usb3="00000000" w:csb0="0000019F" w:csb1="00000000"/>
  </w:font>
  <w:font w:name="Times-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B4E88" w:rsidRDefault="004B4E88">
    <w:pPr>
      <w:pStyle w:val="Piedepgina"/>
    </w:pPr>
  </w:p>
  <w:p w14:paraId="594D6D9F" w14:textId="312A3DBB" w:rsidR="004B4E88" w:rsidRPr="00174B77" w:rsidRDefault="004B4E8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56B89" w:rsidRPr="00D56B89">
      <w:rPr>
        <w:rFonts w:ascii="Verdana" w:eastAsiaTheme="minorEastAsia" w:hAnsi="Verdana"/>
        <w:b/>
        <w:bCs/>
        <w:noProof/>
        <w:sz w:val="16"/>
        <w:szCs w:val="16"/>
      </w:rPr>
      <w:t>26</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4B4E88" w:rsidRDefault="004B4E8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4B4E88" w:rsidRPr="00E41027" w:rsidRDefault="004B4E8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4B4E88" w:rsidRDefault="004B4E8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9B5EF8" w14:textId="77777777" w:rsidR="00F91FC3" w:rsidRDefault="00F91FC3" w:rsidP="004A1847">
      <w:pPr>
        <w:spacing w:after="0" w:line="240" w:lineRule="auto"/>
      </w:pPr>
      <w:r>
        <w:separator/>
      </w:r>
    </w:p>
  </w:footnote>
  <w:footnote w:type="continuationSeparator" w:id="0">
    <w:p w14:paraId="30305BFD" w14:textId="77777777" w:rsidR="00F91FC3" w:rsidRDefault="00F91FC3" w:rsidP="004A1847">
      <w:pPr>
        <w:spacing w:after="0" w:line="240" w:lineRule="auto"/>
      </w:pPr>
      <w:r>
        <w:continuationSeparator/>
      </w:r>
    </w:p>
  </w:footnote>
  <w:footnote w:id="1">
    <w:p w14:paraId="6439BC8D" w14:textId="77777777" w:rsidR="007A7FF9" w:rsidRPr="0086345B" w:rsidRDefault="007A7FF9" w:rsidP="007A7FF9">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Sobre esta norma consultar los conceptos del 8 de octubre de 2019, con radicado 2201913000007532, y del 20 de diciembre de 2019, cuyo radicado es el No. 4201913000008240.</w:t>
      </w:r>
    </w:p>
  </w:footnote>
  <w:footnote w:id="2">
    <w:p w14:paraId="16035513" w14:textId="77777777" w:rsidR="007A7FF9" w:rsidRPr="0086345B" w:rsidRDefault="007A7FF9" w:rsidP="007A7FF9">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18E38A4E" w14:textId="77777777" w:rsidR="007A7FF9" w:rsidRPr="0086345B" w:rsidRDefault="007A7FF9" w:rsidP="007A7FF9">
      <w:pPr>
        <w:pStyle w:val="Textonotapie"/>
        <w:ind w:firstLine="708"/>
        <w:jc w:val="both"/>
        <w:rPr>
          <w:rFonts w:ascii="Verdana" w:hAnsi="Verdana" w:cs="Arial"/>
          <w:color w:val="000000"/>
          <w:sz w:val="16"/>
          <w:szCs w:val="16"/>
        </w:rPr>
      </w:pPr>
      <w:r w:rsidRPr="0086345B">
        <w:rPr>
          <w:rFonts w:ascii="Verdana" w:hAnsi="Verdana" w:cs="Arial"/>
          <w:color w:val="000000"/>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footnote>
  <w:footnote w:id="3">
    <w:p w14:paraId="6C3D81FD" w14:textId="77777777" w:rsidR="007A7FF9" w:rsidRPr="0086345B" w:rsidRDefault="007A7FF9" w:rsidP="007A7FF9">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En el concepto emitido el 5 de febrero de 2019, dentro del radicado No. 2201913000000663, se dijo: «[l]os convenios de asociación del artículo 5 son distintos a los contratos de colaboración del artículo 2 del Decreto 092 de 2017».</w:t>
      </w:r>
    </w:p>
  </w:footnote>
  <w:footnote w:id="4">
    <w:p w14:paraId="0EB0B4D5" w14:textId="77777777" w:rsidR="007A7FF9" w:rsidRPr="0086345B" w:rsidRDefault="007A7FF9" w:rsidP="007A7FF9">
      <w:pPr>
        <w:pStyle w:val="Textonotapie"/>
        <w:ind w:firstLine="708"/>
        <w:jc w:val="both"/>
        <w:rPr>
          <w:rFonts w:ascii="Verdana" w:hAnsi="Verdana"/>
          <w:sz w:val="16"/>
          <w:szCs w:val="16"/>
        </w:rPr>
      </w:pPr>
      <w:r w:rsidRPr="0086345B">
        <w:rPr>
          <w:rStyle w:val="Refdenotaalpie"/>
          <w:rFonts w:ascii="Verdana" w:hAnsi="Verdana"/>
          <w:sz w:val="16"/>
          <w:szCs w:val="16"/>
        </w:rPr>
        <w:footnoteRef/>
      </w:r>
      <w:r w:rsidRPr="0086345B">
        <w:rPr>
          <w:rFonts w:ascii="Verdana" w:hAnsi="Verdana"/>
          <w:sz w:val="16"/>
          <w:szCs w:val="16"/>
        </w:rPr>
        <w:t xml:space="preserve"> Consejo De Estado. Sala de Consulta y Servicio Civil. Concepto del 30 de mayo de 2017. C.P. Edgar González López. Rad. 2.319. </w:t>
      </w:r>
    </w:p>
  </w:footnote>
  <w:footnote w:id="5">
    <w:p w14:paraId="2C1614D7" w14:textId="77777777" w:rsidR="007A7FF9" w:rsidRPr="0086345B" w:rsidRDefault="007A7FF9" w:rsidP="007A7FF9">
      <w:pPr>
        <w:pStyle w:val="Textonotapie"/>
        <w:ind w:firstLine="709"/>
        <w:jc w:val="both"/>
        <w:rPr>
          <w:rFonts w:ascii="Verdana" w:hAnsi="Verdana" w:cs="Arial"/>
          <w:color w:val="000000" w:themeColor="text1"/>
          <w:sz w:val="16"/>
          <w:szCs w:val="16"/>
        </w:rPr>
      </w:pPr>
      <w:r w:rsidRPr="0086345B">
        <w:rPr>
          <w:rStyle w:val="Refdenotaalpie"/>
          <w:rFonts w:ascii="Verdana" w:hAnsi="Verdana" w:cs="Arial"/>
          <w:color w:val="000000" w:themeColor="text1"/>
          <w:sz w:val="16"/>
          <w:szCs w:val="16"/>
        </w:rPr>
        <w:footnoteRef/>
      </w:r>
      <w:r w:rsidRPr="0086345B">
        <w:rPr>
          <w:rFonts w:ascii="Verdana" w:hAnsi="Verdana" w:cs="Arial"/>
          <w:color w:val="000000" w:themeColor="text1"/>
          <w:sz w:val="16"/>
          <w:szCs w:val="16"/>
        </w:rPr>
        <w:t xml:space="preserve"> Agencia Nacional de Contratación Pública – Colombia Compra Eficiente. Concepto del 3 de septiembre de 2019, con radicado No. 2201913000006512.</w:t>
      </w:r>
    </w:p>
    <w:p w14:paraId="662A3E31" w14:textId="77777777" w:rsidR="007A7FF9" w:rsidRPr="0086345B" w:rsidRDefault="007A7FF9" w:rsidP="007A7FF9">
      <w:pPr>
        <w:pStyle w:val="Textonotapie"/>
        <w:ind w:firstLine="709"/>
        <w:jc w:val="both"/>
        <w:rPr>
          <w:rFonts w:ascii="Verdana" w:hAnsi="Verdana" w:cs="Arial"/>
          <w:color w:val="000000" w:themeColor="text1"/>
          <w:sz w:val="16"/>
          <w:szCs w:val="16"/>
        </w:rPr>
      </w:pPr>
    </w:p>
  </w:footnote>
  <w:footnote w:id="6">
    <w:p w14:paraId="7DA0BF94" w14:textId="77777777" w:rsidR="007A7FF9" w:rsidRPr="0086345B" w:rsidRDefault="007A7FF9" w:rsidP="007A7FF9">
      <w:pPr>
        <w:pStyle w:val="Textonotapie"/>
        <w:ind w:firstLine="708"/>
        <w:jc w:val="both"/>
        <w:rPr>
          <w:rFonts w:ascii="Verdana" w:hAnsi="Verdana" w:cs="Arial"/>
          <w:color w:val="000000"/>
          <w:sz w:val="16"/>
          <w:szCs w:val="16"/>
          <w:lang w:val="es-ES"/>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Concepto del 19 de noviembre de 2019, emitido en el radicado No. 2201913000008611.</w:t>
      </w:r>
    </w:p>
  </w:footnote>
  <w:footnote w:id="7">
    <w:p w14:paraId="1AE2928B" w14:textId="77777777" w:rsidR="007A7FF9" w:rsidRPr="0086345B" w:rsidRDefault="007A7FF9" w:rsidP="007A7FF9">
      <w:pPr>
        <w:pStyle w:val="Textonotapie"/>
        <w:ind w:firstLine="708"/>
        <w:rPr>
          <w:rFonts w:ascii="Verdana" w:hAnsi="Verdana"/>
          <w:sz w:val="16"/>
          <w:szCs w:val="16"/>
          <w:lang w:val="es-ES"/>
        </w:rPr>
      </w:pPr>
      <w:r w:rsidRPr="0086345B">
        <w:rPr>
          <w:rStyle w:val="Refdenotaalpie"/>
          <w:rFonts w:ascii="Verdana" w:hAnsi="Verdana"/>
          <w:sz w:val="16"/>
          <w:szCs w:val="16"/>
        </w:rPr>
        <w:footnoteRef/>
      </w:r>
      <w:r w:rsidRPr="0086345B">
        <w:rPr>
          <w:rFonts w:ascii="Verdana" w:hAnsi="Verdana"/>
          <w:sz w:val="16"/>
          <w:szCs w:val="16"/>
        </w:rPr>
        <w:t xml:space="preserve"> Agencia Nacional de Contratación Pública –Colombia Compra Eficiente. </w:t>
      </w:r>
      <w:r w:rsidRPr="0086345B">
        <w:rPr>
          <w:rFonts w:ascii="Verdana" w:hAnsi="Verdana"/>
          <w:bCs/>
          <w:iCs/>
          <w:sz w:val="16"/>
          <w:szCs w:val="16"/>
          <w:lang w:val="es-CO"/>
        </w:rPr>
        <w:t>Guía para la contratación con entidades privadas sin ánimo de lucro y de reconocida idoneidad, 2025. p. 14.</w:t>
      </w:r>
      <w:r w:rsidRPr="0086345B">
        <w:rPr>
          <w:rFonts w:ascii="Verdana" w:hAnsi="Verdana"/>
          <w:bCs/>
          <w:i/>
          <w:iCs/>
          <w:sz w:val="16"/>
          <w:szCs w:val="16"/>
          <w:lang w:val="es-CO"/>
        </w:rPr>
        <w:t xml:space="preserve"> </w:t>
      </w:r>
    </w:p>
  </w:footnote>
  <w:footnote w:id="8">
    <w:p w14:paraId="011CA90E" w14:textId="77777777" w:rsidR="007A7FF9" w:rsidRPr="0086345B" w:rsidRDefault="007A7FF9" w:rsidP="007A7FF9">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14:paraId="438E274C" w14:textId="77777777" w:rsidR="007A7FF9" w:rsidRPr="0086345B" w:rsidRDefault="007A7FF9" w:rsidP="007A7FF9">
      <w:pPr>
        <w:pStyle w:val="Textonotapie"/>
        <w:ind w:firstLine="708"/>
        <w:jc w:val="both"/>
        <w:rPr>
          <w:rFonts w:ascii="Verdana" w:hAnsi="Verdana" w:cs="Arial"/>
          <w:color w:val="000000"/>
          <w:sz w:val="16"/>
          <w:szCs w:val="16"/>
        </w:rPr>
      </w:pPr>
    </w:p>
  </w:footnote>
  <w:footnote w:id="9">
    <w:p w14:paraId="3F8664B4" w14:textId="77777777" w:rsidR="007A7FF9" w:rsidRPr="0086345B" w:rsidRDefault="007A7FF9" w:rsidP="007A7FF9">
      <w:pPr>
        <w:pStyle w:val="Textonotapie"/>
        <w:ind w:firstLine="708"/>
        <w:jc w:val="both"/>
        <w:rPr>
          <w:rFonts w:ascii="Verdana" w:hAnsi="Verdana" w:cs="Arial"/>
          <w:sz w:val="16"/>
          <w:szCs w:val="16"/>
          <w:lang w:val="es-ES"/>
        </w:rPr>
      </w:pPr>
      <w:r w:rsidRPr="0086345B">
        <w:rPr>
          <w:rStyle w:val="Refdenotaalpie"/>
          <w:rFonts w:ascii="Verdana" w:hAnsi="Verdana" w:cs="Arial"/>
          <w:sz w:val="16"/>
          <w:szCs w:val="16"/>
        </w:rPr>
        <w:footnoteRef/>
      </w:r>
      <w:r w:rsidRPr="0086345B">
        <w:rPr>
          <w:rFonts w:ascii="Verdana" w:hAnsi="Verdana" w:cs="Arial"/>
          <w:sz w:val="16"/>
          <w:szCs w:val="16"/>
        </w:rPr>
        <w:t xml:space="preserve"> </w:t>
      </w:r>
      <w:r w:rsidRPr="0086345B">
        <w:rPr>
          <w:rFonts w:ascii="Verdana" w:hAnsi="Verdana" w:cs="Arial"/>
          <w:sz w:val="16"/>
          <w:szCs w:val="16"/>
          <w:lang w:val="es-ES"/>
        </w:rPr>
        <w:t>Consejo de Estado. Sala Plena. Auto del 15 de marzo de 2022. Consejera Ponente: Rocío Araujo Oñate. Expediente: 62.003. En esta decisión, en efecto, se decidió: “REVOCAR los numerales primero y tercero de la parte resolutiva del auto proferido el 6 de agosto de 2019, que suspendieron de manera provisional los efectos del inciso segundo del artículo 1 y del inciso segundo del artículo 3 del Decreto 92 de 2017, respectivamente, y en su lugar NEGAR la medida cautelar”, y “CONFIRMAR LA SUSPENSIÓN PROVISIONAL de los literales a) y c) del artículo segundo y el inciso quinto de la misma norma, así como del inciso final del artículo 4 del Decreto 92 de 2017, por las razones expuestas”.</w:t>
      </w:r>
    </w:p>
    <w:p w14:paraId="21D22762" w14:textId="77777777" w:rsidR="007A7FF9" w:rsidRPr="0086345B" w:rsidRDefault="007A7FF9" w:rsidP="007A7FF9">
      <w:pPr>
        <w:pStyle w:val="Textonotapie"/>
        <w:ind w:firstLine="708"/>
        <w:jc w:val="both"/>
        <w:rPr>
          <w:rFonts w:ascii="Verdana" w:hAnsi="Verdana" w:cs="Arial"/>
          <w:sz w:val="16"/>
          <w:szCs w:val="16"/>
          <w:lang w:val="es-ES"/>
        </w:rPr>
      </w:pPr>
    </w:p>
  </w:footnote>
  <w:footnote w:id="10">
    <w:p w14:paraId="163D93DA" w14:textId="77777777" w:rsidR="007A7FF9" w:rsidRPr="0086345B" w:rsidRDefault="007A7FF9" w:rsidP="007A7FF9">
      <w:pPr>
        <w:spacing w:after="0" w:line="240" w:lineRule="auto"/>
        <w:ind w:firstLine="708"/>
        <w:jc w:val="both"/>
        <w:textAlignment w:val="baseline"/>
        <w:rPr>
          <w:rFonts w:ascii="Verdana" w:hAnsi="Verdana" w:cs="Arial"/>
          <w:sz w:val="16"/>
          <w:szCs w:val="16"/>
        </w:rPr>
      </w:pPr>
      <w:r w:rsidRPr="0086345B">
        <w:rPr>
          <w:rStyle w:val="Refdenotaalpie"/>
          <w:rFonts w:ascii="Verdana" w:hAnsi="Verdana" w:cs="Arial"/>
          <w:sz w:val="16"/>
          <w:szCs w:val="16"/>
        </w:rPr>
        <w:footnoteRef/>
      </w:r>
      <w:r w:rsidRPr="0086345B">
        <w:rPr>
          <w:rFonts w:ascii="Verdana" w:hAnsi="Verdana" w:cs="Arial"/>
          <w:sz w:val="16"/>
          <w:szCs w:val="16"/>
        </w:rPr>
        <w:t xml:space="preserve"> </w:t>
      </w:r>
      <w:r w:rsidRPr="0086345B">
        <w:rPr>
          <w:rFonts w:ascii="Verdana" w:eastAsia="Calibri" w:hAnsi="Verdana" w:cs="Arial"/>
          <w:color w:val="000000"/>
          <w:sz w:val="16"/>
          <w:szCs w:val="16"/>
          <w:lang w:val="es-MX"/>
        </w:rPr>
        <w:t>E</w:t>
      </w:r>
      <w:r w:rsidRPr="0086345B">
        <w:rPr>
          <w:rFonts w:ascii="Verdana" w:eastAsia="Calibri" w:hAnsi="Verdana" w:cs="Arial"/>
          <w:sz w:val="16"/>
          <w:szCs w:val="16"/>
          <w:lang w:val="es-ES_tradnl" w:eastAsia="es-ES_tradnl"/>
        </w:rPr>
        <w:t xml:space="preserve">n armonía con lo anterior, las siguientes son las conclusiones que dedujo esta Agencia en relación con los </w:t>
      </w:r>
      <w:r w:rsidRPr="0086345B">
        <w:rPr>
          <w:rFonts w:ascii="Verdana" w:eastAsia="Calibri" w:hAnsi="Verdana" w:cs="Arial"/>
          <w:i/>
          <w:iCs/>
          <w:sz w:val="16"/>
          <w:szCs w:val="16"/>
          <w:lang w:val="es-ES_tradnl" w:eastAsia="es-ES_tradnl"/>
        </w:rPr>
        <w:t>contratos de colaboración</w:t>
      </w:r>
      <w:r w:rsidRPr="0086345B">
        <w:rPr>
          <w:rFonts w:ascii="Verdana" w:eastAsia="Calibri" w:hAnsi="Verdana" w:cs="Arial"/>
          <w:sz w:val="16"/>
          <w:szCs w:val="16"/>
          <w:lang w:val="es-ES_tradnl" w:eastAsia="es-ES_tradnl"/>
        </w:rPr>
        <w:t>, tal como se expresa, por ejemplo, en el concepto C-529 del 11 de agosto de 2020: “</w:t>
      </w:r>
      <w:r w:rsidRPr="0086345B">
        <w:rPr>
          <w:rFonts w:ascii="Verdana" w:eastAsia="Calibri" w:hAnsi="Verdana" w:cs="Arial"/>
          <w:color w:val="000000"/>
          <w:sz w:val="16"/>
          <w:szCs w:val="16"/>
          <w:lang w:val="es-MX"/>
        </w:rPr>
        <w:t>En este orden de ideas,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deben contratar con ESAL de reconocida idoneidad, como ya se dijo, realizando un proceso competitivo, y teniendo en cuenta, se insiste, las siguientes características: i) no se debe condicionar el proceso de contratación a la inexistencia de oferta en el mercado de bienes y servicios; ii) tampoco se debe condicionar a que la contratación con las ESAL garantice la optimización de los recursos públicos en términos de eficiencia, eficacia, economía y manejo del riesgo; iii) el objeto del contrato debe estar acorde con el plan nacional o seccional de desarrollo; iv) no se puede condicionar únicamente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establezca una relación conmutativa en el cual haya una contraprestación directa a favor de la entidad, ni instrucciones precisas dadas por esta al contratista para cumplir con el objeto del contrato”.</w:t>
      </w:r>
    </w:p>
  </w:footnote>
  <w:footnote w:id="11">
    <w:p w14:paraId="535DBCFB" w14:textId="77777777" w:rsidR="007A7FF9" w:rsidRPr="0086345B" w:rsidRDefault="007A7FF9" w:rsidP="007A7FF9">
      <w:pPr>
        <w:pStyle w:val="Textonotapie"/>
        <w:ind w:firstLine="708"/>
        <w:jc w:val="both"/>
        <w:rPr>
          <w:rFonts w:ascii="Verdana" w:hAnsi="Verdana" w:cs="Arial"/>
          <w:color w:val="000000"/>
          <w:sz w:val="16"/>
          <w:szCs w:val="16"/>
        </w:rPr>
      </w:pPr>
      <w:r w:rsidRPr="0086345B">
        <w:rPr>
          <w:rStyle w:val="Refdenotaalpie"/>
          <w:rFonts w:ascii="Verdana" w:hAnsi="Verdana" w:cs="Arial"/>
          <w:color w:val="000000"/>
          <w:sz w:val="16"/>
          <w:szCs w:val="16"/>
        </w:rPr>
        <w:footnoteRef/>
      </w:r>
      <w:r w:rsidRPr="0086345B">
        <w:rPr>
          <w:rFonts w:ascii="Verdana" w:hAnsi="Verdana" w:cs="Arial"/>
          <w:color w:val="000000"/>
          <w:sz w:val="16"/>
          <w:szCs w:val="16"/>
        </w:rPr>
        <w:t xml:space="preserve"> Decreto 092,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12">
    <w:p w14:paraId="4E27B828" w14:textId="77777777" w:rsidR="007A7FF9" w:rsidRPr="0086345B" w:rsidRDefault="007A7FF9" w:rsidP="007A7FF9">
      <w:pPr>
        <w:pStyle w:val="Textonotapie"/>
        <w:ind w:firstLine="708"/>
        <w:jc w:val="both"/>
        <w:rPr>
          <w:rFonts w:ascii="Verdana" w:hAnsi="Verdana" w:cs="Arial"/>
          <w:sz w:val="16"/>
          <w:szCs w:val="16"/>
        </w:rPr>
      </w:pPr>
      <w:r w:rsidRPr="0086345B">
        <w:rPr>
          <w:rStyle w:val="Refdenotaalpie"/>
          <w:rFonts w:ascii="Verdana" w:hAnsi="Verdana" w:cs="Arial"/>
          <w:sz w:val="16"/>
          <w:szCs w:val="16"/>
        </w:rPr>
        <w:footnoteRef/>
      </w:r>
      <w:r w:rsidRPr="0086345B">
        <w:rPr>
          <w:rFonts w:ascii="Verdana" w:hAnsi="Verdana" w:cs="Arial"/>
          <w:sz w:val="16"/>
          <w:szCs w:val="16"/>
        </w:rPr>
        <w:t xml:space="preserve"> “El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aparato estatal”. PEÑA GONZÁLEZ, Edilberto. Principios e instituciones presupuestales en Colombia, en: Estudios Socio-Jurídicos, Bogotá (Colombia), 9 (1), enero-junio de 2007, p. 248 y 250.</w:t>
      </w:r>
    </w:p>
  </w:footnote>
  <w:footnote w:id="13">
    <w:p w14:paraId="64D0C19A" w14:textId="77777777" w:rsidR="007A7FF9" w:rsidRPr="0086345B" w:rsidRDefault="007A7FF9" w:rsidP="007A7FF9">
      <w:pPr>
        <w:pStyle w:val="Textonotapie"/>
        <w:ind w:firstLine="708"/>
        <w:jc w:val="both"/>
        <w:rPr>
          <w:rFonts w:ascii="Verdana" w:hAnsi="Verdana" w:cs="Arial"/>
          <w:sz w:val="16"/>
          <w:szCs w:val="16"/>
        </w:rPr>
      </w:pPr>
      <w:r w:rsidRPr="0086345B">
        <w:rPr>
          <w:rStyle w:val="Refdenotaalpie"/>
          <w:rFonts w:ascii="Verdana" w:hAnsi="Verdana" w:cs="Arial"/>
          <w:sz w:val="16"/>
          <w:szCs w:val="16"/>
        </w:rPr>
        <w:footnoteRef/>
      </w:r>
      <w:r w:rsidRPr="0086345B">
        <w:rPr>
          <w:rFonts w:ascii="Verdana" w:hAnsi="Verdana" w:cs="Arial"/>
          <w:sz w:val="16"/>
          <w:szCs w:val="16"/>
        </w:rPr>
        <w:t xml:space="preserve"> De conformidad con lo dispuesto en el artículo 10 del Decreto 111 de 1996 “La Ley Anual sobre el Presupuesto General de la Nación es el instrumento para el cumplimiento de los planes y programas de desarrollo económico y social” </w:t>
      </w:r>
    </w:p>
    <w:p w14:paraId="37A02070" w14:textId="77777777" w:rsidR="007A7FF9" w:rsidRPr="0086345B" w:rsidRDefault="007A7FF9" w:rsidP="007A7FF9">
      <w:pPr>
        <w:pStyle w:val="Textonotapie"/>
        <w:ind w:firstLine="708"/>
        <w:jc w:val="both"/>
        <w:rPr>
          <w:rFonts w:ascii="Verdana" w:hAnsi="Verdana" w:cs="Arial"/>
          <w:sz w:val="16"/>
          <w:szCs w:val="16"/>
        </w:rPr>
      </w:pPr>
      <w:r w:rsidRPr="0086345B">
        <w:rPr>
          <w:rFonts w:ascii="Verdana" w:hAnsi="Verdana" w:cs="Arial"/>
          <w:sz w:val="16"/>
          <w:szCs w:val="16"/>
        </w:rPr>
        <w:t>A su turno, el artículo 11 del mismo Decreto indica que “El Presupuesto General de la Nación se compone de las siguientes partes:</w:t>
      </w:r>
    </w:p>
    <w:p w14:paraId="15094D52" w14:textId="77777777" w:rsidR="007A7FF9" w:rsidRPr="0086345B" w:rsidRDefault="007A7FF9" w:rsidP="007A7FF9">
      <w:pPr>
        <w:pStyle w:val="Textonotapie"/>
        <w:ind w:firstLine="708"/>
        <w:jc w:val="both"/>
        <w:rPr>
          <w:rFonts w:ascii="Verdana" w:hAnsi="Verdana" w:cs="Arial"/>
          <w:sz w:val="16"/>
          <w:szCs w:val="16"/>
        </w:rPr>
      </w:pPr>
      <w:r w:rsidRPr="0086345B">
        <w:rPr>
          <w:rFonts w:ascii="Verdana" w:hAnsi="Verdana" w:cs="Arial"/>
          <w:sz w:val="16"/>
          <w:szCs w:val="16"/>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20E7F418" w14:textId="77777777" w:rsidR="007A7FF9" w:rsidRPr="0086345B" w:rsidRDefault="007A7FF9" w:rsidP="007A7FF9">
      <w:pPr>
        <w:pStyle w:val="Textonotapie"/>
        <w:ind w:firstLine="708"/>
        <w:jc w:val="both"/>
        <w:rPr>
          <w:rFonts w:ascii="Verdana" w:hAnsi="Verdana" w:cs="Arial"/>
          <w:sz w:val="16"/>
          <w:szCs w:val="16"/>
        </w:rPr>
      </w:pPr>
      <w:r w:rsidRPr="0086345B">
        <w:rPr>
          <w:rFonts w:ascii="Verdana" w:hAnsi="Verdana" w:cs="Arial"/>
          <w:sz w:val="16"/>
          <w:szCs w:val="16"/>
        </w:rPr>
        <w:t>b) El Presupuesto de Gastos o Ley de Apropiaciones. Incluirá las apropiaciones para la Rama Judicial, la Rama Legislativa, la Fiscalía General de la Nación, la Procuraduría General de la Nación, la Defensoría del Pueblo, la Contraloría General de la República, la Registraduría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7D8C041F" w14:textId="77777777" w:rsidR="007A7FF9" w:rsidRPr="0086345B" w:rsidRDefault="007A7FF9" w:rsidP="007A7FF9">
      <w:pPr>
        <w:pStyle w:val="Textonotapie"/>
        <w:ind w:firstLine="708"/>
        <w:jc w:val="both"/>
        <w:rPr>
          <w:rFonts w:ascii="Verdana" w:hAnsi="Verdana" w:cs="Arial"/>
          <w:sz w:val="16"/>
          <w:szCs w:val="16"/>
          <w:lang w:val="es-CO"/>
        </w:rPr>
      </w:pPr>
      <w:r w:rsidRPr="0086345B">
        <w:rPr>
          <w:rFonts w:ascii="Verdana" w:hAnsi="Verdana" w:cs="Arial"/>
          <w:sz w:val="16"/>
          <w:szCs w:val="16"/>
        </w:rPr>
        <w:t xml:space="preserve"> c) Disposiciones generales. Corresponde a las normas tendientes a asegurar la correcta ejecución del Presupuesto General de la Nación, las cuales regirán únicamente para el año fiscal para el cual se expidan.»</w:t>
      </w:r>
    </w:p>
  </w:footnote>
  <w:footnote w:id="14">
    <w:p w14:paraId="7F871D6F" w14:textId="77777777" w:rsidR="007A7FF9" w:rsidRPr="0086345B" w:rsidRDefault="007A7FF9" w:rsidP="007A7FF9">
      <w:pPr>
        <w:pStyle w:val="Textonotapie"/>
        <w:ind w:firstLine="709"/>
        <w:jc w:val="both"/>
        <w:rPr>
          <w:rFonts w:ascii="Verdana" w:hAnsi="Verdana"/>
          <w:sz w:val="16"/>
          <w:szCs w:val="16"/>
          <w:lang w:val="es-CO"/>
        </w:rPr>
      </w:pPr>
      <w:r w:rsidRPr="0086345B">
        <w:rPr>
          <w:rStyle w:val="Refdenotaalpie"/>
          <w:rFonts w:ascii="Verdana" w:hAnsi="Verdana" w:cs="Arial"/>
          <w:sz w:val="16"/>
          <w:szCs w:val="16"/>
        </w:rPr>
        <w:footnoteRef/>
      </w:r>
      <w:r w:rsidRPr="0086345B">
        <w:rPr>
          <w:rFonts w:ascii="Verdana" w:hAnsi="Verdana" w:cs="Arial"/>
          <w:sz w:val="16"/>
          <w:szCs w:val="16"/>
        </w:rPr>
        <w:t xml:space="preserve"> Decreto 1068 de 2015 “</w:t>
      </w:r>
      <w:r w:rsidRPr="0086345B">
        <w:rPr>
          <w:rFonts w:ascii="Verdana" w:hAnsi="Verdana" w:cs="Arial"/>
          <w:sz w:val="16"/>
          <w:szCs w:val="16"/>
          <w:lang w:val="es-CO"/>
        </w:rPr>
        <w:t>Artículo </w:t>
      </w:r>
      <w:bookmarkStart w:id="4" w:name="2.8.3.4"/>
      <w:bookmarkEnd w:id="4"/>
      <w:r w:rsidRPr="0086345B">
        <w:rPr>
          <w:rFonts w:ascii="Verdana" w:hAnsi="Verdana" w:cs="Arial"/>
          <w:sz w:val="16"/>
          <w:szCs w:val="16"/>
          <w:lang w:val="es-CO"/>
        </w:rPr>
        <w:t>2.8.3.4. </w:t>
      </w:r>
      <w:r w:rsidRPr="0086345B">
        <w:rPr>
          <w:rFonts w:ascii="Verdana" w:hAnsi="Verdana" w:cs="Arial"/>
          <w:i/>
          <w:iCs/>
          <w:sz w:val="16"/>
          <w:szCs w:val="16"/>
          <w:lang w:val="es-CO"/>
        </w:rPr>
        <w:t>Anualidad.</w:t>
      </w:r>
      <w:r w:rsidRPr="0086345B">
        <w:rPr>
          <w:rFonts w:ascii="Verdana" w:hAnsi="Verdana" w:cs="Arial"/>
          <w:sz w:val="16"/>
          <w:szCs w:val="16"/>
          <w:lang w:val="es-CO"/>
        </w:rPr>
        <w:t>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p>
  </w:footnote>
  <w:footnote w:id="15">
    <w:p w14:paraId="7D81150B" w14:textId="77777777" w:rsidR="007A7FF9" w:rsidRPr="0086345B" w:rsidRDefault="007A7FF9" w:rsidP="007A7FF9">
      <w:pPr>
        <w:pStyle w:val="Textonotapie"/>
        <w:ind w:right="49" w:firstLine="708"/>
        <w:jc w:val="both"/>
        <w:rPr>
          <w:rFonts w:ascii="Verdana" w:hAnsi="Verdana" w:cs="Arial"/>
          <w:color w:val="000000"/>
          <w:sz w:val="16"/>
          <w:szCs w:val="16"/>
        </w:rPr>
      </w:pPr>
      <w:r w:rsidRPr="0086345B">
        <w:rPr>
          <w:rStyle w:val="Refdenotaalpie"/>
          <w:rFonts w:ascii="Verdana" w:hAnsi="Verdana"/>
          <w:sz w:val="16"/>
          <w:szCs w:val="16"/>
        </w:rPr>
        <w:footnoteRef/>
      </w:r>
      <w:r w:rsidRPr="0086345B">
        <w:rPr>
          <w:rFonts w:ascii="Verdana" w:hAnsi="Verdana"/>
          <w:sz w:val="16"/>
          <w:szCs w:val="16"/>
        </w:rPr>
        <w:t xml:space="preserve"> </w:t>
      </w:r>
      <w:r w:rsidRPr="0086345B">
        <w:rPr>
          <w:rFonts w:ascii="Verdana" w:hAnsi="Verdana" w:cs="Arial"/>
          <w:color w:val="000000"/>
          <w:sz w:val="16"/>
          <w:szCs w:val="16"/>
        </w:rPr>
        <w:t>Consejo de Estado. Sección Primera. Sentencia del 1 de febrero de 2018. Radicado Nro.</w:t>
      </w:r>
      <w:r w:rsidRPr="0086345B">
        <w:rPr>
          <w:rFonts w:ascii="Verdana" w:hAnsi="Verdana" w:cs="Arial"/>
          <w:color w:val="000000"/>
          <w:sz w:val="16"/>
          <w:szCs w:val="16"/>
          <w:lang w:val="es-CO"/>
        </w:rPr>
        <w:t xml:space="preserve"> 08001-2331-000-2010-00987-01</w:t>
      </w:r>
      <w:r w:rsidRPr="0086345B">
        <w:rPr>
          <w:rFonts w:ascii="Verdana" w:hAnsi="Verdana" w:cs="Arial"/>
          <w:color w:val="000000"/>
          <w:sz w:val="16"/>
          <w:szCs w:val="16"/>
        </w:rPr>
        <w:t xml:space="preserve">. C.P. </w:t>
      </w:r>
      <w:r w:rsidRPr="0086345B">
        <w:rPr>
          <w:rFonts w:ascii="Verdana" w:hAnsi="Verdana" w:cs="Arial"/>
          <w:color w:val="000000"/>
          <w:sz w:val="16"/>
          <w:szCs w:val="16"/>
          <w:lang w:val="es-CO"/>
        </w:rPr>
        <w:t>Oswaldo Giraldo López</w:t>
      </w:r>
    </w:p>
    <w:p w14:paraId="5C115296" w14:textId="77777777" w:rsidR="007A7FF9" w:rsidRPr="0086345B" w:rsidRDefault="007A7FF9" w:rsidP="007A7FF9">
      <w:pPr>
        <w:pStyle w:val="Textonotapie"/>
        <w:jc w:val="both"/>
        <w:rPr>
          <w:rFonts w:ascii="Verdana" w:hAnsi="Verdana"/>
          <w:sz w:val="16"/>
          <w:szCs w:val="16"/>
          <w:lang w:val="es-CO"/>
        </w:rPr>
      </w:pPr>
    </w:p>
  </w:footnote>
  <w:footnote w:id="16">
    <w:p w14:paraId="1F9A2D9E" w14:textId="77777777" w:rsidR="007A7FF9" w:rsidRPr="0086345B" w:rsidRDefault="007A7FF9" w:rsidP="007A7FF9">
      <w:pPr>
        <w:pStyle w:val="Textonotapie"/>
        <w:ind w:firstLine="708"/>
        <w:jc w:val="both"/>
        <w:rPr>
          <w:rFonts w:ascii="Verdana" w:hAnsi="Verdana"/>
          <w:sz w:val="16"/>
          <w:szCs w:val="16"/>
          <w:lang w:val="es-ES"/>
        </w:rPr>
      </w:pPr>
      <w:r w:rsidRPr="0086345B">
        <w:rPr>
          <w:rStyle w:val="Refdenotaalpie"/>
          <w:rFonts w:ascii="Verdana" w:hAnsi="Verdana"/>
          <w:sz w:val="16"/>
          <w:szCs w:val="16"/>
        </w:rPr>
        <w:footnoteRef/>
      </w:r>
      <w:r w:rsidRPr="0086345B">
        <w:rPr>
          <w:rFonts w:ascii="Verdana" w:hAnsi="Verdana"/>
          <w:sz w:val="16"/>
          <w:szCs w:val="16"/>
        </w:rPr>
        <w:t xml:space="preserve">NARANJO FLORES, Carlos Eduardo; CELY CUBIDES, Diego Mauricio. Las excepciones al principio de anualidad en la contratación estatal. Bogotá: Revista de Derecho Fiscal Universidad Externado de Colombia, 2008, no 4. pp. 250-251. </w:t>
      </w:r>
    </w:p>
  </w:footnote>
  <w:footnote w:id="17">
    <w:p w14:paraId="78D4DA2A" w14:textId="77777777" w:rsidR="007A7FF9" w:rsidRPr="0086345B" w:rsidRDefault="007A7FF9" w:rsidP="007A7FF9">
      <w:pPr>
        <w:pStyle w:val="Textonotapie"/>
        <w:ind w:firstLine="709"/>
        <w:jc w:val="both"/>
        <w:rPr>
          <w:rFonts w:ascii="Verdana" w:hAnsi="Verdana" w:cs="Arial"/>
          <w:sz w:val="16"/>
          <w:szCs w:val="16"/>
          <w:lang w:val="es-CO"/>
        </w:rPr>
      </w:pPr>
      <w:r w:rsidRPr="0086345B">
        <w:rPr>
          <w:rStyle w:val="Refdenotaalpie"/>
          <w:rFonts w:ascii="Verdana" w:hAnsi="Verdana" w:cs="Arial"/>
          <w:sz w:val="16"/>
          <w:szCs w:val="16"/>
        </w:rPr>
        <w:footnoteRef/>
      </w:r>
      <w:r w:rsidRPr="0086345B">
        <w:rPr>
          <w:rFonts w:ascii="Verdana" w:hAnsi="Verdana" w:cs="Arial"/>
          <w:sz w:val="16"/>
          <w:szCs w:val="16"/>
        </w:rPr>
        <w:t xml:space="preserve"> </w:t>
      </w:r>
      <w:bookmarkStart w:id="5" w:name="23"/>
      <w:r w:rsidRPr="0086345B">
        <w:rPr>
          <w:rFonts w:ascii="Verdana" w:eastAsia="Calibri" w:hAnsi="Verdana" w:cs="Arial"/>
          <w:sz w:val="16"/>
          <w:szCs w:val="16"/>
          <w:lang w:val="es-ES_tradnl"/>
        </w:rPr>
        <w:t>“</w:t>
      </w:r>
      <w:r w:rsidRPr="0086345B">
        <w:rPr>
          <w:rFonts w:ascii="Verdana" w:hAnsi="Verdana" w:cs="Arial"/>
          <w:sz w:val="16"/>
          <w:szCs w:val="16"/>
          <w:lang w:val="es-CO"/>
        </w:rPr>
        <w:t>Artículo 23.</w:t>
      </w:r>
      <w:bookmarkEnd w:id="5"/>
      <w:r w:rsidRPr="0086345B">
        <w:rPr>
          <w:rFonts w:ascii="Verdana" w:hAnsi="Verdana" w:cs="Arial"/>
          <w:sz w:val="16"/>
          <w:szCs w:val="16"/>
          <w:lang w:val="es-CO"/>
        </w:rPr>
        <w:t xml:space="preserve"> El 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18C2804F" w14:textId="77777777" w:rsidR="007A7FF9" w:rsidRPr="0086345B" w:rsidRDefault="007A7FF9" w:rsidP="007A7FF9">
      <w:pPr>
        <w:pStyle w:val="Textonotapie"/>
        <w:ind w:firstLine="567"/>
        <w:jc w:val="both"/>
        <w:rPr>
          <w:rFonts w:ascii="Verdana" w:hAnsi="Verdana" w:cs="Arial"/>
          <w:sz w:val="16"/>
          <w:szCs w:val="16"/>
          <w:lang w:val="es-CO"/>
        </w:rPr>
      </w:pPr>
      <w:r w:rsidRPr="0086345B">
        <w:rPr>
          <w:rFonts w:ascii="Verdana" w:hAnsi="Verdana" w:cs="Arial"/>
          <w:sz w:val="16"/>
          <w:szCs w:val="16"/>
          <w:lang w:val="es-CO"/>
        </w:rPr>
        <w:t>a) El monto máximo de vigencias futuras, el plazo y las condiciones de las mismas consulte las metas plurianuales del Marco Fiscal de Mediano Plazo de que trata el artículo </w:t>
      </w:r>
      <w:hyperlink r:id="rId1" w:anchor="1" w:history="1">
        <w:r w:rsidRPr="0086345B">
          <w:rPr>
            <w:rStyle w:val="Hipervnculo"/>
            <w:rFonts w:ascii="Verdana" w:hAnsi="Verdana" w:cs="Arial"/>
            <w:sz w:val="16"/>
            <w:szCs w:val="16"/>
            <w:lang w:val="es-CO"/>
          </w:rPr>
          <w:t>1</w:t>
        </w:r>
      </w:hyperlink>
      <w:r w:rsidRPr="0086345B">
        <w:rPr>
          <w:rFonts w:ascii="Verdana" w:hAnsi="Verdana" w:cs="Arial"/>
          <w:sz w:val="16"/>
          <w:szCs w:val="16"/>
          <w:lang w:val="es-CO"/>
        </w:rPr>
        <w:t>o de esta ley;</w:t>
      </w:r>
    </w:p>
    <w:p w14:paraId="78C124B2" w14:textId="77777777" w:rsidR="007A7FF9" w:rsidRPr="0086345B" w:rsidRDefault="007A7FF9" w:rsidP="007A7FF9">
      <w:pPr>
        <w:pStyle w:val="Textonotapie"/>
        <w:ind w:firstLine="567"/>
        <w:jc w:val="both"/>
        <w:rPr>
          <w:rFonts w:ascii="Verdana" w:hAnsi="Verdana" w:cs="Arial"/>
          <w:sz w:val="16"/>
          <w:szCs w:val="16"/>
          <w:lang w:val="es-CO"/>
        </w:rPr>
      </w:pPr>
      <w:r w:rsidRPr="0086345B">
        <w:rPr>
          <w:rFonts w:ascii="Verdana" w:hAnsi="Verdana" w:cs="Arial"/>
          <w:sz w:val="16"/>
          <w:szCs w:val="16"/>
          <w:lang w:val="es-CO"/>
        </w:rPr>
        <w:t>b) Como mínimo, de las vigencias futuras que se soliciten se deberá contar con apropiación del quince por ciento (15%) en la vigencia fiscal en la que estas sean autorizadas;</w:t>
      </w:r>
    </w:p>
    <w:p w14:paraId="24A9C43D" w14:textId="77777777" w:rsidR="007A7FF9" w:rsidRPr="0086345B" w:rsidRDefault="007A7FF9" w:rsidP="007A7FF9">
      <w:pPr>
        <w:pStyle w:val="Textonotapie"/>
        <w:ind w:firstLine="567"/>
        <w:jc w:val="both"/>
        <w:rPr>
          <w:rFonts w:ascii="Verdana" w:hAnsi="Verdana" w:cs="Arial"/>
          <w:sz w:val="16"/>
          <w:szCs w:val="16"/>
          <w:lang w:val="es-CO"/>
        </w:rPr>
      </w:pPr>
      <w:r w:rsidRPr="0086345B">
        <w:rPr>
          <w:rFonts w:ascii="Verdana" w:hAnsi="Verdana" w:cs="Arial"/>
          <w:sz w:val="16"/>
          <w:szCs w:val="16"/>
          <w:lang w:val="es-CO"/>
        </w:rPr>
        <w:t>c) Cuando se trate de proyectos de inversión nacional deberá obtenerse el concepto previo y favorable del Departamento Nacional de Planeación y del Ministerio del ramo.</w:t>
      </w:r>
    </w:p>
    <w:p w14:paraId="1FDA3081" w14:textId="77777777" w:rsidR="007A7FF9" w:rsidRPr="0086345B" w:rsidRDefault="007A7FF9" w:rsidP="007A7FF9">
      <w:pPr>
        <w:pStyle w:val="Textonotapie"/>
        <w:jc w:val="both"/>
        <w:rPr>
          <w:rFonts w:ascii="Verdana" w:hAnsi="Verdana" w:cs="Arial"/>
          <w:sz w:val="16"/>
          <w:szCs w:val="16"/>
          <w:lang w:val="es-CO"/>
        </w:rPr>
      </w:pPr>
      <w:r w:rsidRPr="0086345B">
        <w:rPr>
          <w:rFonts w:ascii="Verdana" w:hAnsi="Verdana" w:cs="Arial"/>
          <w:sz w:val="16"/>
          <w:szCs w:val="16"/>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10837E43" w14:textId="77777777" w:rsidR="007A7FF9" w:rsidRPr="0086345B" w:rsidRDefault="007A7FF9" w:rsidP="007A7FF9">
      <w:pPr>
        <w:pStyle w:val="Textonotapie"/>
        <w:jc w:val="both"/>
        <w:rPr>
          <w:rFonts w:ascii="Verdana" w:hAnsi="Verdana" w:cs="Arial"/>
          <w:sz w:val="16"/>
          <w:szCs w:val="16"/>
          <w:lang w:val="es-CO"/>
        </w:rPr>
      </w:pPr>
      <w:r w:rsidRPr="0086345B">
        <w:rPr>
          <w:rFonts w:ascii="Verdana" w:hAnsi="Verdana" w:cs="Arial"/>
          <w:sz w:val="16"/>
          <w:szCs w:val="16"/>
          <w:lang w:val="es-CO"/>
        </w:rPr>
        <w:t>Esta disposición también se aplicará a las entidades de que trata el artículo 9o de la presente ley. El Gobierno reglamentará la materia.</w:t>
      </w:r>
    </w:p>
    <w:p w14:paraId="1F8F8910" w14:textId="77777777" w:rsidR="007A7FF9" w:rsidRPr="0086345B" w:rsidRDefault="007A7FF9" w:rsidP="007A7FF9">
      <w:pPr>
        <w:pStyle w:val="Textonotapie"/>
        <w:ind w:firstLine="709"/>
        <w:jc w:val="both"/>
        <w:rPr>
          <w:rFonts w:ascii="Verdana" w:hAnsi="Verdana" w:cs="Arial"/>
          <w:sz w:val="16"/>
          <w:szCs w:val="16"/>
          <w:lang w:val="es-CO"/>
        </w:rPr>
      </w:pPr>
      <w:r w:rsidRPr="0086345B">
        <w:rPr>
          <w:rFonts w:ascii="Verdana" w:hAnsi="Verdana" w:cs="Arial"/>
          <w:sz w:val="16"/>
          <w:szCs w:val="16"/>
          <w:lang w:val="es-CO"/>
        </w:rPr>
        <w:t>El Ministerio de Hacienda y Crédito Público, Dirección General del Presupuesto Público Nacional, incluirá en los proyectos de presupuesto las asignaciones necesarias para darle cumplimiento a lo dispuesto en este artículo. […]</w:t>
      </w:r>
      <w:r w:rsidRPr="0086345B">
        <w:rPr>
          <w:rFonts w:ascii="Verdana" w:eastAsia="Calibri" w:hAnsi="Verdana" w:cs="Arial"/>
          <w:sz w:val="16"/>
          <w:szCs w:val="16"/>
          <w:lang w:val="es-ES_tradnl"/>
        </w:rPr>
        <w:t>”</w:t>
      </w:r>
    </w:p>
  </w:footnote>
  <w:footnote w:id="18">
    <w:p w14:paraId="6089F18B" w14:textId="77777777" w:rsidR="007A7FF9" w:rsidRPr="0086345B" w:rsidRDefault="007A7FF9" w:rsidP="007A7FF9">
      <w:pPr>
        <w:pStyle w:val="Textonotapie"/>
        <w:ind w:firstLine="567"/>
        <w:jc w:val="both"/>
        <w:rPr>
          <w:rFonts w:ascii="Verdana" w:hAnsi="Verdana" w:cs="Arial"/>
          <w:sz w:val="16"/>
          <w:szCs w:val="16"/>
          <w:lang w:val="es-CO"/>
        </w:rPr>
      </w:pPr>
      <w:r w:rsidRPr="0086345B">
        <w:rPr>
          <w:rStyle w:val="Refdenotaalpie"/>
          <w:rFonts w:ascii="Verdana" w:hAnsi="Verdana" w:cs="Arial"/>
          <w:sz w:val="16"/>
          <w:szCs w:val="16"/>
        </w:rPr>
        <w:footnoteRef/>
      </w:r>
      <w:r w:rsidRPr="0086345B">
        <w:rPr>
          <w:rFonts w:ascii="Verdana" w:hAnsi="Verdana" w:cs="Arial"/>
          <w:sz w:val="16"/>
          <w:szCs w:val="16"/>
        </w:rPr>
        <w:t xml:space="preserve"> Consejo de Estado. Sección Primera. Sentencia del 1 de febrero de 2018. Radicado Nro. 08001-2331-000-2010-00987-01. C.P. Oswaldo Giraldo López</w:t>
      </w:r>
    </w:p>
  </w:footnote>
  <w:footnote w:id="19">
    <w:p w14:paraId="27044D52" w14:textId="77777777" w:rsidR="007A7FF9" w:rsidRPr="0086345B" w:rsidRDefault="007A7FF9" w:rsidP="007A7FF9">
      <w:pPr>
        <w:pStyle w:val="Textonotapie"/>
        <w:ind w:firstLine="709"/>
        <w:jc w:val="both"/>
        <w:rPr>
          <w:rFonts w:ascii="Verdana" w:hAnsi="Verdana" w:cs="Arial"/>
          <w:b/>
          <w:sz w:val="16"/>
          <w:szCs w:val="16"/>
          <w:lang w:val="es-ES"/>
        </w:rPr>
      </w:pPr>
      <w:r w:rsidRPr="0086345B">
        <w:rPr>
          <w:rStyle w:val="Refdenotaalpie"/>
          <w:rFonts w:ascii="Verdana" w:hAnsi="Verdana"/>
          <w:sz w:val="16"/>
          <w:szCs w:val="16"/>
        </w:rPr>
        <w:footnoteRef/>
      </w:r>
      <w:r w:rsidRPr="0086345B">
        <w:rPr>
          <w:rFonts w:ascii="Verdana" w:hAnsi="Verdana"/>
          <w:sz w:val="16"/>
          <w:szCs w:val="16"/>
        </w:rPr>
        <w:t xml:space="preserve"> </w:t>
      </w:r>
      <w:r w:rsidRPr="0086345B">
        <w:rPr>
          <w:rFonts w:ascii="Verdana" w:hAnsi="Verdana" w:cs="Arial"/>
          <w:sz w:val="16"/>
          <w:szCs w:val="16"/>
        </w:rPr>
        <w:t xml:space="preserve">Consejo de Estado. Sección Tercera, Subsección C. Sentencia del 12 de agosto de 2014. Radicado Nro. </w:t>
      </w:r>
      <w:r w:rsidRPr="0086345B">
        <w:rPr>
          <w:rFonts w:ascii="Verdana" w:hAnsi="Verdana" w:cs="Arial"/>
          <w:bCs/>
          <w:sz w:val="16"/>
          <w:szCs w:val="16"/>
          <w:lang w:val="es-ES"/>
        </w:rPr>
        <w:t xml:space="preserve">05001-23-31-000-1998-01350-01(28565) </w:t>
      </w:r>
      <w:r w:rsidRPr="0086345B">
        <w:rPr>
          <w:rFonts w:ascii="Verdana" w:hAnsi="Verdana" w:cs="Arial"/>
          <w:sz w:val="16"/>
          <w:szCs w:val="16"/>
        </w:rPr>
        <w:t>C.P. Enrique Gil Botero</w:t>
      </w:r>
    </w:p>
  </w:footnote>
  <w:footnote w:id="20">
    <w:p w14:paraId="6B1704E0" w14:textId="77777777" w:rsidR="007A7FF9" w:rsidRPr="0086345B" w:rsidRDefault="007A7FF9" w:rsidP="007A7FF9">
      <w:pPr>
        <w:pStyle w:val="Textonotapie"/>
        <w:ind w:firstLine="709"/>
        <w:jc w:val="both"/>
        <w:rPr>
          <w:rFonts w:ascii="Verdana" w:eastAsia="Calibri" w:hAnsi="Verdana" w:cs="Arial"/>
          <w:sz w:val="16"/>
          <w:szCs w:val="16"/>
          <w:lang w:val="es-ES_tradnl"/>
        </w:rPr>
      </w:pPr>
      <w:r w:rsidRPr="0086345B">
        <w:rPr>
          <w:rStyle w:val="Refdenotaalpie"/>
          <w:rFonts w:ascii="Verdana" w:hAnsi="Verdana"/>
          <w:sz w:val="16"/>
          <w:szCs w:val="16"/>
        </w:rPr>
        <w:footnoteRef/>
      </w:r>
      <w:r w:rsidRPr="0086345B">
        <w:rPr>
          <w:rFonts w:ascii="Verdana" w:hAnsi="Verdana"/>
          <w:sz w:val="16"/>
          <w:szCs w:val="16"/>
        </w:rPr>
        <w:t xml:space="preserve"> </w:t>
      </w:r>
      <w:r w:rsidRPr="0086345B">
        <w:rPr>
          <w:rFonts w:ascii="Verdana" w:hAnsi="Verdana" w:cs="Arial"/>
          <w:sz w:val="16"/>
          <w:szCs w:val="16"/>
        </w:rPr>
        <w:t xml:space="preserve">Conforme al Artículo 89 del </w:t>
      </w:r>
      <w:r w:rsidRPr="0086345B">
        <w:rPr>
          <w:rFonts w:ascii="Verdana" w:eastAsia="Calibri" w:hAnsi="Verdana" w:cs="Arial"/>
          <w:color w:val="000000" w:themeColor="text1"/>
          <w:sz w:val="16"/>
          <w:szCs w:val="16"/>
          <w:lang w:val="es-ES"/>
        </w:rPr>
        <w:t>Estatuto Orgánico del Presupuesto</w:t>
      </w:r>
      <w:r w:rsidRPr="0086345B">
        <w:rPr>
          <w:rFonts w:ascii="Verdana" w:eastAsia="Times New Roman" w:hAnsi="Verdana" w:cs="Arial"/>
          <w:color w:val="4B4949"/>
          <w:sz w:val="16"/>
          <w:szCs w:val="16"/>
          <w:lang w:val="es-CO" w:eastAsia="es-ES_tradnl"/>
        </w:rPr>
        <w:t xml:space="preserve"> </w:t>
      </w:r>
      <w:r w:rsidRPr="0086345B">
        <w:rPr>
          <w:rFonts w:ascii="Verdana" w:eastAsia="Calibri" w:hAnsi="Verdana" w:cs="Arial"/>
          <w:sz w:val="16"/>
          <w:szCs w:val="16"/>
          <w:lang w:val="es-CO"/>
        </w:rPr>
        <w:t>“</w:t>
      </w:r>
      <w:r w:rsidRPr="0086345B">
        <w:rPr>
          <w:rFonts w:ascii="Verdana" w:eastAsia="Calibri" w:hAnsi="Verdana" w:cs="Arial"/>
          <w:sz w:val="16"/>
          <w:szCs w:val="16"/>
          <w:lang w:val="es-ES_tradnl"/>
        </w:rPr>
        <w:t xml:space="preserve">[…] </w:t>
      </w:r>
      <w:r w:rsidRPr="0086345B">
        <w:rPr>
          <w:rFonts w:ascii="Verdana" w:eastAsia="Times New Roman" w:hAnsi="Verdana" w:cs="Arial"/>
          <w:color w:val="4B4949"/>
          <w:sz w:val="16"/>
          <w:szCs w:val="16"/>
          <w:lang w:val="es-CO" w:eastAsia="es-ES_tradnl"/>
        </w:rPr>
        <w:t>c</w:t>
      </w:r>
      <w:r w:rsidRPr="0086345B">
        <w:rPr>
          <w:rFonts w:ascii="Verdana" w:eastAsia="Calibri" w:hAnsi="Verdana" w:cs="Arial"/>
          <w:color w:val="000000" w:themeColor="text1"/>
          <w:sz w:val="16"/>
          <w:szCs w:val="16"/>
          <w:lang w:val="es-CO"/>
        </w:rPr>
        <w:t>ada órgano constituirá al 31 de diciembre del año cuentas por pagar con las obligaciones correspondientes a los anticipos pactados en los contratos y a la entrega de bienes y servicios</w:t>
      </w:r>
      <w:r w:rsidRPr="0086345B">
        <w:rPr>
          <w:rFonts w:ascii="Verdana" w:eastAsia="Calibri" w:hAnsi="Verdana" w:cs="Arial"/>
          <w:sz w:val="16"/>
          <w:szCs w:val="16"/>
          <w:lang w:val="es-ES_tradnl"/>
        </w:rPr>
        <w:t>”.</w:t>
      </w:r>
    </w:p>
  </w:footnote>
  <w:footnote w:id="21">
    <w:p w14:paraId="6D22E727" w14:textId="77777777" w:rsidR="007A7FF9" w:rsidRPr="0086345B" w:rsidRDefault="007A7FF9" w:rsidP="007A7FF9">
      <w:pPr>
        <w:pStyle w:val="Textonotapie"/>
        <w:ind w:firstLine="709"/>
        <w:jc w:val="both"/>
        <w:rPr>
          <w:rFonts w:ascii="Verdana" w:hAnsi="Verdana" w:cs="Arial"/>
          <w:sz w:val="16"/>
          <w:szCs w:val="16"/>
          <w:lang w:val="es-CO"/>
        </w:rPr>
      </w:pPr>
      <w:r w:rsidRPr="0086345B">
        <w:rPr>
          <w:rStyle w:val="Refdenotaalpie"/>
          <w:rFonts w:ascii="Verdana" w:hAnsi="Verdana"/>
          <w:sz w:val="16"/>
          <w:szCs w:val="16"/>
        </w:rPr>
        <w:footnoteRef/>
      </w:r>
      <w:r w:rsidRPr="0086345B">
        <w:rPr>
          <w:rFonts w:ascii="Verdana" w:hAnsi="Verdana"/>
          <w:sz w:val="16"/>
          <w:szCs w:val="16"/>
        </w:rPr>
        <w:t xml:space="preserve"> </w:t>
      </w:r>
      <w:r w:rsidRPr="0086345B">
        <w:rPr>
          <w:rFonts w:ascii="Verdana" w:eastAsia="Calibri" w:hAnsi="Verdana" w:cs="Arial"/>
          <w:color w:val="000000" w:themeColor="text1"/>
          <w:sz w:val="16"/>
          <w:szCs w:val="16"/>
          <w:lang w:val="es-ES"/>
        </w:rPr>
        <w:t>Artículo 89 del Estatuto Orgánico del Presupuesto</w:t>
      </w:r>
    </w:p>
  </w:footnote>
  <w:footnote w:id="22">
    <w:p w14:paraId="6F0AC504" w14:textId="77777777" w:rsidR="007A7FF9" w:rsidRPr="0086345B" w:rsidRDefault="007A7FF9" w:rsidP="007A7FF9">
      <w:pPr>
        <w:pStyle w:val="Textonotapie"/>
        <w:ind w:firstLine="709"/>
        <w:jc w:val="both"/>
        <w:rPr>
          <w:rFonts w:ascii="Verdana" w:hAnsi="Verdana"/>
          <w:sz w:val="16"/>
          <w:szCs w:val="16"/>
          <w:lang w:val="es-CO"/>
        </w:rPr>
      </w:pPr>
      <w:r w:rsidRPr="0086345B">
        <w:rPr>
          <w:rStyle w:val="Refdenotaalpie"/>
          <w:rFonts w:ascii="Verdana" w:hAnsi="Verdana"/>
          <w:sz w:val="16"/>
          <w:szCs w:val="16"/>
        </w:rPr>
        <w:footnoteRef/>
      </w:r>
      <w:r w:rsidRPr="0086345B">
        <w:rPr>
          <w:rFonts w:ascii="Verdana" w:hAnsi="Verdana"/>
          <w:sz w:val="16"/>
          <w:szCs w:val="16"/>
        </w:rPr>
        <w:t xml:space="preserve"> </w:t>
      </w:r>
      <w:r w:rsidRPr="0086345B">
        <w:rPr>
          <w:rFonts w:ascii="Verdana" w:eastAsia="Calibri" w:hAnsi="Verdana" w:cs="Arial"/>
          <w:sz w:val="16"/>
          <w:szCs w:val="16"/>
          <w:lang w:val="es-ES_tradnl"/>
        </w:rPr>
        <w:t>“</w:t>
      </w:r>
      <w:r w:rsidRPr="0086345B">
        <w:rPr>
          <w:rFonts w:ascii="Verdana" w:hAnsi="Verdana" w:cs="Arial"/>
          <w:sz w:val="16"/>
          <w:szCs w:val="16"/>
          <w:lang w:val="es-CO"/>
        </w:rPr>
        <w:t>Artículo </w:t>
      </w:r>
      <w:bookmarkStart w:id="7" w:name="2.8.1.7.3.2"/>
      <w:bookmarkEnd w:id="7"/>
      <w:r w:rsidRPr="0086345B">
        <w:rPr>
          <w:rFonts w:ascii="Verdana" w:hAnsi="Verdana" w:cs="Arial"/>
          <w:sz w:val="16"/>
          <w:szCs w:val="16"/>
          <w:lang w:val="es-CO"/>
        </w:rPr>
        <w:t>2.8.1.7.3.2. </w:t>
      </w:r>
      <w:r w:rsidRPr="0086345B">
        <w:rPr>
          <w:rFonts w:ascii="Verdana" w:hAnsi="Verdana" w:cs="Arial"/>
          <w:i/>
          <w:iCs/>
          <w:sz w:val="16"/>
          <w:szCs w:val="16"/>
          <w:lang w:val="es-CO"/>
        </w:rPr>
        <w:t>Constitución de reservas presupuestales y cuentas por pagar. </w:t>
      </w:r>
      <w:r w:rsidRPr="0086345B">
        <w:rPr>
          <w:rFonts w:ascii="Verdana" w:hAnsi="Verdana" w:cs="Arial"/>
          <w:sz w:val="16"/>
          <w:szCs w:val="16"/>
          <w:lang w:val="es-CO"/>
        </w:rPr>
        <w:t>A más tardar el 20 de enero de cada año, los órganos que conforman el Presupuesto General de la Nación constituirán las reservas presupuestales y cuentas por pagar de la respectiva sección presupuestal correspondientes a la vigencia fiscal anterior, de conformidad con los saldos registrados a 31 de diciembre a través del Sistema Integrado de Información Financiera SIIF Nación. En dicho plazo, solo se podrán efectuar los ajustes a que haya lugar para la constitución de las reserves presupuestales y de las cuentas por pagar, sin que en ningún caso se puedan registrar nuevos compromisos ni obligaciones</w:t>
      </w:r>
      <w:r w:rsidRPr="0086345B">
        <w:rPr>
          <w:rFonts w:ascii="Verdana" w:eastAsia="Calibri" w:hAnsi="Verdana" w:cs="Arial"/>
          <w:sz w:val="16"/>
          <w:szCs w:val="16"/>
          <w:lang w:val="es-CO"/>
        </w:rPr>
        <w:t>”</w:t>
      </w:r>
      <w:r w:rsidRPr="0086345B">
        <w:rPr>
          <w:rFonts w:ascii="Verdana" w:hAnsi="Verdana" w:cs="Arial"/>
          <w:sz w:val="16"/>
          <w:szCs w:val="16"/>
          <w:lang w:val="es-CO"/>
        </w:rPr>
        <w:t>.</w:t>
      </w:r>
    </w:p>
  </w:footnote>
  <w:footnote w:id="23">
    <w:p w14:paraId="0B35226B" w14:textId="77777777" w:rsidR="007A7FF9" w:rsidRPr="0086345B" w:rsidRDefault="007A7FF9" w:rsidP="007A7FF9">
      <w:pPr>
        <w:pStyle w:val="Textonotapie"/>
        <w:ind w:firstLine="709"/>
        <w:jc w:val="both"/>
        <w:rPr>
          <w:rFonts w:ascii="Verdana" w:hAnsi="Verdana" w:cs="Arial"/>
          <w:sz w:val="16"/>
          <w:szCs w:val="16"/>
          <w:lang w:val="es-CO"/>
        </w:rPr>
      </w:pPr>
      <w:r w:rsidRPr="0086345B">
        <w:rPr>
          <w:rStyle w:val="Refdenotaalpie"/>
          <w:rFonts w:ascii="Verdana" w:hAnsi="Verdana" w:cs="Arial"/>
          <w:sz w:val="16"/>
          <w:szCs w:val="16"/>
        </w:rPr>
        <w:footnoteRef/>
      </w:r>
      <w:r w:rsidRPr="0086345B">
        <w:rPr>
          <w:rFonts w:ascii="Verdana" w:hAnsi="Verdana" w:cs="Arial"/>
          <w:sz w:val="16"/>
          <w:szCs w:val="16"/>
        </w:rPr>
        <w:t xml:space="preserve"> </w:t>
      </w:r>
      <w:r w:rsidRPr="0086345B">
        <w:rPr>
          <w:rFonts w:ascii="Verdana" w:hAnsi="Verdana" w:cs="Arial"/>
          <w:sz w:val="16"/>
          <w:szCs w:val="16"/>
          <w:lang w:val="es-CO"/>
        </w:rPr>
        <w:t xml:space="preserve">Contraloría General de la República. Circular Externa 43 de 2008 </w:t>
      </w:r>
    </w:p>
  </w:footnote>
  <w:footnote w:id="24">
    <w:p w14:paraId="10760F02" w14:textId="77777777" w:rsidR="007A7FF9" w:rsidRPr="00236256" w:rsidRDefault="007A7FF9" w:rsidP="007A7FF9">
      <w:pPr>
        <w:pStyle w:val="Textonotapie"/>
        <w:ind w:right="49" w:firstLine="708"/>
        <w:jc w:val="both"/>
        <w:rPr>
          <w:rFonts w:ascii="Verdana" w:hAnsi="Verdana" w:cs="Arial"/>
          <w:color w:val="000000"/>
          <w:sz w:val="11"/>
          <w:szCs w:val="11"/>
        </w:rPr>
      </w:pPr>
      <w:r w:rsidRPr="0086345B">
        <w:rPr>
          <w:rStyle w:val="Refdenotaalpie"/>
          <w:rFonts w:ascii="Verdana" w:hAnsi="Verdana"/>
          <w:sz w:val="16"/>
          <w:szCs w:val="16"/>
        </w:rPr>
        <w:footnoteRef/>
      </w:r>
      <w:r w:rsidRPr="0086345B">
        <w:rPr>
          <w:rFonts w:ascii="Verdana" w:hAnsi="Verdana"/>
          <w:sz w:val="16"/>
          <w:szCs w:val="16"/>
        </w:rPr>
        <w:t xml:space="preserve"> </w:t>
      </w:r>
      <w:r w:rsidRPr="0086345B">
        <w:rPr>
          <w:rFonts w:ascii="Verdana" w:hAnsi="Verdana" w:cs="Arial"/>
          <w:color w:val="000000"/>
          <w:sz w:val="16"/>
          <w:szCs w:val="16"/>
        </w:rPr>
        <w:t>Consejo de Estado. Sección Primera. Sentencia del 1 de febrero de 2018. Radicado Nro.</w:t>
      </w:r>
      <w:r w:rsidRPr="0086345B">
        <w:rPr>
          <w:rFonts w:ascii="Verdana" w:hAnsi="Verdana" w:cs="Arial"/>
          <w:color w:val="000000"/>
          <w:sz w:val="16"/>
          <w:szCs w:val="16"/>
          <w:lang w:val="es-CO"/>
        </w:rPr>
        <w:t xml:space="preserve"> 08001-2331-000-2010-00987-01</w:t>
      </w:r>
      <w:r w:rsidRPr="0086345B">
        <w:rPr>
          <w:rFonts w:ascii="Verdana" w:hAnsi="Verdana" w:cs="Arial"/>
          <w:color w:val="000000"/>
          <w:sz w:val="16"/>
          <w:szCs w:val="16"/>
        </w:rPr>
        <w:t xml:space="preserve">. C.P. </w:t>
      </w:r>
      <w:r w:rsidRPr="0086345B">
        <w:rPr>
          <w:rFonts w:ascii="Verdana" w:hAnsi="Verdana" w:cs="Arial"/>
          <w:color w:val="000000"/>
          <w:sz w:val="16"/>
          <w:szCs w:val="16"/>
          <w:lang w:val="es-CO"/>
        </w:rPr>
        <w:t>Oswaldo Giraldo López</w:t>
      </w:r>
      <w:r w:rsidRPr="0086345B">
        <w:rPr>
          <w:rFonts w:ascii="Verdana" w:hAnsi="Verdana" w:cs="Arial"/>
          <w:color w:val="000000"/>
          <w:sz w:val="16"/>
          <w:szCs w:val="16"/>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4B4E88" w:rsidRDefault="004B4E8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4B4E88" w:rsidRDefault="004B4E88">
    <w:pPr>
      <w:pStyle w:val="Encabezado"/>
    </w:pPr>
  </w:p>
  <w:p w14:paraId="5E18350A" w14:textId="705F7B76" w:rsidR="004B4E88" w:rsidRPr="004A305D" w:rsidRDefault="004B4E88" w:rsidP="00B01B1A">
    <w:pPr>
      <w:spacing w:after="0" w:line="120" w:lineRule="auto"/>
      <w:rPr>
        <w:rFonts w:ascii="Century Gothic" w:eastAsia="Geo" w:hAnsi="Century Gothic" w:cs="Geo"/>
        <w:sz w:val="16"/>
        <w:szCs w:val="16"/>
        <w:lang w:eastAsia="es-CO"/>
      </w:rPr>
    </w:pPr>
  </w:p>
  <w:p w14:paraId="211B7F5D" w14:textId="77777777" w:rsidR="004B4E88" w:rsidRDefault="004B4E88" w:rsidP="00844AE9">
    <w:pPr>
      <w:spacing w:after="0" w:line="240" w:lineRule="auto"/>
      <w:rPr>
        <w:rFonts w:ascii="Verdana" w:hAnsi="Verdana"/>
        <w:sz w:val="24"/>
        <w:szCs w:val="24"/>
      </w:rPr>
    </w:pPr>
  </w:p>
  <w:p w14:paraId="5A0054B1" w14:textId="77777777" w:rsidR="004B4E88" w:rsidRPr="00C925AC" w:rsidRDefault="004B4E88" w:rsidP="00844AE9">
    <w:pPr>
      <w:spacing w:after="0" w:line="240" w:lineRule="auto"/>
      <w:rPr>
        <w:rFonts w:ascii="Verdana" w:hAnsi="Verdana"/>
        <w:sz w:val="24"/>
        <w:szCs w:val="24"/>
      </w:rPr>
    </w:pPr>
  </w:p>
  <w:p w14:paraId="1FD1C243" w14:textId="37C5500A" w:rsidR="004B4E88" w:rsidRPr="00C925AC" w:rsidRDefault="004B4E8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45pt;height:11.45pt" o:bullet="t">
        <v:imagedata r:id="rId1" o:title="mso1B13"/>
      </v:shape>
    </w:pict>
  </w:numPicBullet>
  <w:abstractNum w:abstractNumId="0" w15:restartNumberingAfterBreak="0">
    <w:nsid w:val="C74D28F4"/>
    <w:multiLevelType w:val="hybridMultilevel"/>
    <w:tmpl w:val="7707893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6"/>
  </w:num>
  <w:num w:numId="8">
    <w:abstractNumId w:val="13"/>
  </w:num>
  <w:num w:numId="9">
    <w:abstractNumId w:val="8"/>
  </w:num>
  <w:num w:numId="10">
    <w:abstractNumId w:val="12"/>
  </w:num>
  <w:num w:numId="11">
    <w:abstractNumId w:val="9"/>
  </w:num>
  <w:num w:numId="12">
    <w:abstractNumId w:val="1"/>
  </w:num>
  <w:num w:numId="13">
    <w:abstractNumId w:val="3"/>
  </w:num>
  <w:num w:numId="14">
    <w:abstractNumId w:val="15"/>
  </w:num>
  <w:num w:numId="15">
    <w:abstractNumId w:val="11"/>
  </w:num>
  <w:num w:numId="16">
    <w:abstractNumId w:val="4"/>
  </w:num>
  <w:num w:numId="17">
    <w:abstractNumId w:val="10"/>
  </w:num>
  <w:num w:numId="18">
    <w:abstractNumId w:val="16"/>
  </w:num>
  <w:num w:numId="19">
    <w:abstractNumId w:val="17"/>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6826"/>
    <w:rsid w:val="00016F78"/>
    <w:rsid w:val="00046945"/>
    <w:rsid w:val="00057D54"/>
    <w:rsid w:val="00061B2A"/>
    <w:rsid w:val="00082362"/>
    <w:rsid w:val="000A683E"/>
    <w:rsid w:val="000B088D"/>
    <w:rsid w:val="000B19B9"/>
    <w:rsid w:val="000B2F1D"/>
    <w:rsid w:val="000D0334"/>
    <w:rsid w:val="000D5DA7"/>
    <w:rsid w:val="000F6486"/>
    <w:rsid w:val="00106EB5"/>
    <w:rsid w:val="00116940"/>
    <w:rsid w:val="00125105"/>
    <w:rsid w:val="00126B92"/>
    <w:rsid w:val="00127233"/>
    <w:rsid w:val="0015699B"/>
    <w:rsid w:val="0017376D"/>
    <w:rsid w:val="001A0A3B"/>
    <w:rsid w:val="001A33BF"/>
    <w:rsid w:val="001D14CA"/>
    <w:rsid w:val="001E4177"/>
    <w:rsid w:val="001F0B24"/>
    <w:rsid w:val="001F1310"/>
    <w:rsid w:val="001F7DC6"/>
    <w:rsid w:val="0022400B"/>
    <w:rsid w:val="002421BB"/>
    <w:rsid w:val="0025796E"/>
    <w:rsid w:val="0027002C"/>
    <w:rsid w:val="002707A2"/>
    <w:rsid w:val="002951A0"/>
    <w:rsid w:val="002962BC"/>
    <w:rsid w:val="002A093D"/>
    <w:rsid w:val="002A0DD0"/>
    <w:rsid w:val="002A49AC"/>
    <w:rsid w:val="002A64FD"/>
    <w:rsid w:val="002B1EF4"/>
    <w:rsid w:val="002B72B5"/>
    <w:rsid w:val="002B730F"/>
    <w:rsid w:val="002C7A84"/>
    <w:rsid w:val="002E2BF8"/>
    <w:rsid w:val="002E4FD9"/>
    <w:rsid w:val="002E6104"/>
    <w:rsid w:val="002F4390"/>
    <w:rsid w:val="002F4750"/>
    <w:rsid w:val="0030657A"/>
    <w:rsid w:val="00322A85"/>
    <w:rsid w:val="00324168"/>
    <w:rsid w:val="00330834"/>
    <w:rsid w:val="003356E7"/>
    <w:rsid w:val="0033599C"/>
    <w:rsid w:val="003448F4"/>
    <w:rsid w:val="003504CF"/>
    <w:rsid w:val="0037015E"/>
    <w:rsid w:val="00374F5E"/>
    <w:rsid w:val="00377E3E"/>
    <w:rsid w:val="00397E8F"/>
    <w:rsid w:val="003A681A"/>
    <w:rsid w:val="003A779E"/>
    <w:rsid w:val="003D0F4D"/>
    <w:rsid w:val="003D5B0D"/>
    <w:rsid w:val="003E0499"/>
    <w:rsid w:val="003E1AFE"/>
    <w:rsid w:val="003E4F80"/>
    <w:rsid w:val="003E6439"/>
    <w:rsid w:val="003F3941"/>
    <w:rsid w:val="00406575"/>
    <w:rsid w:val="00414C74"/>
    <w:rsid w:val="0042722E"/>
    <w:rsid w:val="004404FA"/>
    <w:rsid w:val="0044528D"/>
    <w:rsid w:val="00466E39"/>
    <w:rsid w:val="004811C8"/>
    <w:rsid w:val="004A1847"/>
    <w:rsid w:val="004A305D"/>
    <w:rsid w:val="004B4E88"/>
    <w:rsid w:val="004D62C6"/>
    <w:rsid w:val="004E3BC3"/>
    <w:rsid w:val="004F21C4"/>
    <w:rsid w:val="004F685F"/>
    <w:rsid w:val="00503FCD"/>
    <w:rsid w:val="0051097E"/>
    <w:rsid w:val="00552660"/>
    <w:rsid w:val="005566E8"/>
    <w:rsid w:val="00574867"/>
    <w:rsid w:val="00591460"/>
    <w:rsid w:val="005A65E0"/>
    <w:rsid w:val="005C3777"/>
    <w:rsid w:val="005C5CDC"/>
    <w:rsid w:val="005D476C"/>
    <w:rsid w:val="006200BF"/>
    <w:rsid w:val="006219F8"/>
    <w:rsid w:val="006302F7"/>
    <w:rsid w:val="0063475B"/>
    <w:rsid w:val="006420BD"/>
    <w:rsid w:val="00646B9F"/>
    <w:rsid w:val="00665D70"/>
    <w:rsid w:val="006745D3"/>
    <w:rsid w:val="006827DE"/>
    <w:rsid w:val="006900D9"/>
    <w:rsid w:val="00706C16"/>
    <w:rsid w:val="007340C3"/>
    <w:rsid w:val="0075235A"/>
    <w:rsid w:val="00756841"/>
    <w:rsid w:val="0076049D"/>
    <w:rsid w:val="007649AB"/>
    <w:rsid w:val="00771D0C"/>
    <w:rsid w:val="007833AC"/>
    <w:rsid w:val="007A1830"/>
    <w:rsid w:val="007A7FF9"/>
    <w:rsid w:val="007B268C"/>
    <w:rsid w:val="007B7171"/>
    <w:rsid w:val="007C0C0F"/>
    <w:rsid w:val="007C3DC2"/>
    <w:rsid w:val="007D5B3F"/>
    <w:rsid w:val="007E5497"/>
    <w:rsid w:val="00806F5F"/>
    <w:rsid w:val="00820278"/>
    <w:rsid w:val="008258C9"/>
    <w:rsid w:val="00844AE9"/>
    <w:rsid w:val="0086345B"/>
    <w:rsid w:val="00867F95"/>
    <w:rsid w:val="008843B6"/>
    <w:rsid w:val="00886DAE"/>
    <w:rsid w:val="00891928"/>
    <w:rsid w:val="008A446D"/>
    <w:rsid w:val="008A5497"/>
    <w:rsid w:val="008B1BD7"/>
    <w:rsid w:val="008B25F1"/>
    <w:rsid w:val="008D180B"/>
    <w:rsid w:val="008F0EA7"/>
    <w:rsid w:val="008F3DCB"/>
    <w:rsid w:val="00923EEF"/>
    <w:rsid w:val="009419F9"/>
    <w:rsid w:val="0095685E"/>
    <w:rsid w:val="00957C34"/>
    <w:rsid w:val="00961B09"/>
    <w:rsid w:val="00965334"/>
    <w:rsid w:val="0097093E"/>
    <w:rsid w:val="0097106B"/>
    <w:rsid w:val="0098174A"/>
    <w:rsid w:val="009A0DFA"/>
    <w:rsid w:val="009A3571"/>
    <w:rsid w:val="009B2D26"/>
    <w:rsid w:val="009B4089"/>
    <w:rsid w:val="009C71FA"/>
    <w:rsid w:val="009C72E7"/>
    <w:rsid w:val="009C7F7E"/>
    <w:rsid w:val="009D3058"/>
    <w:rsid w:val="009F3A13"/>
    <w:rsid w:val="00A122D3"/>
    <w:rsid w:val="00A14468"/>
    <w:rsid w:val="00A17F13"/>
    <w:rsid w:val="00A20739"/>
    <w:rsid w:val="00A23AF9"/>
    <w:rsid w:val="00A33C78"/>
    <w:rsid w:val="00AB0ADB"/>
    <w:rsid w:val="00AE420E"/>
    <w:rsid w:val="00B00C0E"/>
    <w:rsid w:val="00B01B1A"/>
    <w:rsid w:val="00B16B6B"/>
    <w:rsid w:val="00B44A47"/>
    <w:rsid w:val="00B72CD3"/>
    <w:rsid w:val="00B72FFF"/>
    <w:rsid w:val="00B8103B"/>
    <w:rsid w:val="00BC3D36"/>
    <w:rsid w:val="00BD54A6"/>
    <w:rsid w:val="00BD7F72"/>
    <w:rsid w:val="00BF7425"/>
    <w:rsid w:val="00C04FB3"/>
    <w:rsid w:val="00C11D8B"/>
    <w:rsid w:val="00C330EB"/>
    <w:rsid w:val="00C50D69"/>
    <w:rsid w:val="00C5365C"/>
    <w:rsid w:val="00C754BE"/>
    <w:rsid w:val="00C76B1C"/>
    <w:rsid w:val="00C805E2"/>
    <w:rsid w:val="00C925AC"/>
    <w:rsid w:val="00CB6357"/>
    <w:rsid w:val="00CC1B26"/>
    <w:rsid w:val="00D361FD"/>
    <w:rsid w:val="00D423A2"/>
    <w:rsid w:val="00D44E26"/>
    <w:rsid w:val="00D520D8"/>
    <w:rsid w:val="00D532F2"/>
    <w:rsid w:val="00D56B89"/>
    <w:rsid w:val="00D62B39"/>
    <w:rsid w:val="00D63AC2"/>
    <w:rsid w:val="00D7383B"/>
    <w:rsid w:val="00D7788A"/>
    <w:rsid w:val="00D85536"/>
    <w:rsid w:val="00DA231B"/>
    <w:rsid w:val="00DB442D"/>
    <w:rsid w:val="00DC39FC"/>
    <w:rsid w:val="00DF2A39"/>
    <w:rsid w:val="00DF5254"/>
    <w:rsid w:val="00E02524"/>
    <w:rsid w:val="00E16408"/>
    <w:rsid w:val="00E20894"/>
    <w:rsid w:val="00E245AB"/>
    <w:rsid w:val="00E2764C"/>
    <w:rsid w:val="00E27F2E"/>
    <w:rsid w:val="00E42599"/>
    <w:rsid w:val="00E456B3"/>
    <w:rsid w:val="00E50AFE"/>
    <w:rsid w:val="00E55C32"/>
    <w:rsid w:val="00E75C92"/>
    <w:rsid w:val="00E771DC"/>
    <w:rsid w:val="00E8772A"/>
    <w:rsid w:val="00E90F6B"/>
    <w:rsid w:val="00E92C27"/>
    <w:rsid w:val="00EA0E3D"/>
    <w:rsid w:val="00EA2550"/>
    <w:rsid w:val="00EC38A7"/>
    <w:rsid w:val="00EE1AA8"/>
    <w:rsid w:val="00F11799"/>
    <w:rsid w:val="00F23FEA"/>
    <w:rsid w:val="00F27B7B"/>
    <w:rsid w:val="00F31EDC"/>
    <w:rsid w:val="00F462B3"/>
    <w:rsid w:val="00F54E0C"/>
    <w:rsid w:val="00F5664F"/>
    <w:rsid w:val="00F666C4"/>
    <w:rsid w:val="00F76AFC"/>
    <w:rsid w:val="00F8569A"/>
    <w:rsid w:val="00F91FC3"/>
    <w:rsid w:val="00F93BFD"/>
    <w:rsid w:val="00FA47C0"/>
    <w:rsid w:val="00FB5DD1"/>
    <w:rsid w:val="00FB6EFD"/>
    <w:rsid w:val="00FC2B5D"/>
    <w:rsid w:val="00FD0452"/>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7FF9"/>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la-contratacion-con-entidades-sin-animo-de-lucro-y-de-reconocida-idoneidad"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lbeltransuarez@g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179_199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2.xml><?xml version="1.0" encoding="utf-8"?>
<ds:datastoreItem xmlns:ds="http://schemas.openxmlformats.org/officeDocument/2006/customXml" ds:itemID="{7C1BE94E-8785-40D9-A49C-6BB61FDCA8FB}"/>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57DD5A9D-7D66-4485-89E4-7984705538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26</Pages>
  <Words>8315</Words>
  <Characters>47402</Characters>
  <Application>Microsoft Office Word</Application>
  <DocSecurity>0</DocSecurity>
  <Lines>395</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4</cp:revision>
  <cp:lastPrinted>2023-01-10T21:18:00Z</cp:lastPrinted>
  <dcterms:created xsi:type="dcterms:W3CDTF">2025-12-22T15:09:00Z</dcterms:created>
  <dcterms:modified xsi:type="dcterms:W3CDTF">2025-12-23T03:01:00Z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