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BEC01" w14:textId="77777777" w:rsidR="00F2340A" w:rsidRPr="00F252D7" w:rsidRDefault="00F2340A" w:rsidP="00F2340A">
      <w:pPr>
        <w:spacing w:after="0" w:line="240" w:lineRule="auto"/>
        <w:contextualSpacing/>
        <w:jc w:val="both"/>
        <w:rPr>
          <w:rFonts w:ascii="Verdana" w:eastAsia="Calibri" w:hAnsi="Verdana" w:cs="Arial"/>
          <w:b/>
          <w:noProof/>
          <w:lang w:val="es-ES_tradnl" w:eastAsia="es-ES_tradnl"/>
        </w:rPr>
      </w:pPr>
      <w:bookmarkStart w:id="0" w:name="_Hlk143780582"/>
      <w:r w:rsidRPr="00F252D7">
        <w:rPr>
          <w:rFonts w:ascii="Verdana" w:eastAsia="Calibri" w:hAnsi="Verdana" w:cs="Arial"/>
          <w:b/>
          <w:noProof/>
          <w:lang w:val="es-ES_tradnl" w:eastAsia="es-ES_tradnl"/>
        </w:rPr>
        <w:t xml:space="preserve">PLANEACIÓN CONTRACTUAL – Noción </w:t>
      </w:r>
    </w:p>
    <w:p w14:paraId="59998F78" w14:textId="77777777" w:rsidR="00F2340A" w:rsidRPr="00F252D7" w:rsidRDefault="00F2340A" w:rsidP="00F2340A">
      <w:pPr>
        <w:spacing w:after="0" w:line="240" w:lineRule="auto"/>
        <w:contextualSpacing/>
        <w:jc w:val="both"/>
        <w:rPr>
          <w:rFonts w:ascii="Verdana" w:eastAsia="Calibri" w:hAnsi="Verdana" w:cs="Arial"/>
          <w:b/>
          <w:noProof/>
          <w:sz w:val="20"/>
          <w:szCs w:val="20"/>
          <w:lang w:val="es-ES_tradnl" w:eastAsia="es-ES_tradnl"/>
        </w:rPr>
      </w:pPr>
    </w:p>
    <w:p w14:paraId="7321D5C4" w14:textId="77777777" w:rsidR="00F2340A" w:rsidRPr="00F252D7" w:rsidRDefault="00F2340A" w:rsidP="00F2340A">
      <w:pPr>
        <w:spacing w:after="0" w:line="240" w:lineRule="auto"/>
        <w:contextualSpacing/>
        <w:jc w:val="both"/>
        <w:rPr>
          <w:rFonts w:ascii="Verdana" w:eastAsia="Calibri" w:hAnsi="Verdana" w:cs="Arial"/>
          <w:bCs/>
          <w:sz w:val="20"/>
          <w:szCs w:val="20"/>
          <w:lang w:val="es-ES_tradnl" w:eastAsia="es-MX"/>
        </w:rPr>
      </w:pPr>
      <w:r w:rsidRPr="00F252D7">
        <w:rPr>
          <w:rFonts w:ascii="Verdana" w:eastAsia="Calibri" w:hAnsi="Verdana" w:cs="Arial"/>
          <w:bCs/>
          <w:sz w:val="20"/>
          <w:szCs w:val="20"/>
          <w:lang w:val="es-ES_tradnl"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7412C4F9" w14:textId="77777777" w:rsidR="00F2340A" w:rsidRPr="00F252D7" w:rsidRDefault="00F2340A" w:rsidP="00F2340A">
      <w:pPr>
        <w:spacing w:after="0" w:line="240" w:lineRule="auto"/>
        <w:contextualSpacing/>
        <w:jc w:val="both"/>
        <w:rPr>
          <w:rFonts w:ascii="Verdana" w:eastAsia="Times New Roman" w:hAnsi="Verdana" w:cs="Arial"/>
          <w:sz w:val="20"/>
          <w:szCs w:val="20"/>
          <w:lang w:val="es-ES_tradnl" w:eastAsia="es-MX"/>
        </w:rPr>
      </w:pPr>
    </w:p>
    <w:p w14:paraId="0F1B7F91" w14:textId="77777777" w:rsidR="00F2340A" w:rsidRPr="00F252D7" w:rsidRDefault="00F2340A" w:rsidP="00F2340A">
      <w:pPr>
        <w:spacing w:after="0" w:line="240" w:lineRule="auto"/>
        <w:contextualSpacing/>
        <w:jc w:val="both"/>
        <w:rPr>
          <w:rFonts w:ascii="Verdana" w:eastAsia="Calibri" w:hAnsi="Verdana" w:cs="Arial"/>
          <w:bCs/>
          <w:sz w:val="20"/>
          <w:szCs w:val="20"/>
          <w:lang w:val="es-MX" w:eastAsia="es-ES_tradnl"/>
        </w:rPr>
      </w:pPr>
      <w:r w:rsidRPr="00F252D7">
        <w:rPr>
          <w:rFonts w:ascii="Verdana" w:eastAsia="Calibri" w:hAnsi="Verdana" w:cs="Arial"/>
          <w:bCs/>
          <w:sz w:val="20"/>
          <w:szCs w:val="20"/>
          <w:lang w:val="es-MX" w:eastAsia="es-ES_tradnl"/>
        </w:rPr>
        <w:t>El Estatuto General de Contratación de la Administración Pública – EGCAP –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p>
    <w:p w14:paraId="2CF9A1F0" w14:textId="77777777" w:rsidR="00F2340A" w:rsidRPr="00F252D7" w:rsidRDefault="00F2340A" w:rsidP="00F2340A">
      <w:pPr>
        <w:spacing w:after="0" w:line="240" w:lineRule="auto"/>
        <w:contextualSpacing/>
        <w:jc w:val="both"/>
        <w:rPr>
          <w:rFonts w:ascii="Verdana" w:eastAsia="Calibri" w:hAnsi="Verdana" w:cs="Arial"/>
          <w:b/>
          <w:noProof/>
          <w:sz w:val="20"/>
          <w:szCs w:val="20"/>
          <w:lang w:val="es-ES_tradnl" w:eastAsia="es-ES_tradnl"/>
        </w:rPr>
      </w:pPr>
    </w:p>
    <w:p w14:paraId="7FC639DE" w14:textId="77777777" w:rsidR="00F2340A" w:rsidRPr="00F252D7" w:rsidRDefault="00F2340A" w:rsidP="00F2340A">
      <w:pPr>
        <w:spacing w:after="0" w:line="240" w:lineRule="auto"/>
        <w:contextualSpacing/>
        <w:jc w:val="both"/>
        <w:rPr>
          <w:rFonts w:ascii="Verdana" w:eastAsia="Times New Roman" w:hAnsi="Verdana" w:cs="Arial"/>
          <w:b/>
          <w:bCs/>
          <w:lang w:eastAsia="es-ES_tradnl"/>
        </w:rPr>
      </w:pPr>
      <w:r w:rsidRPr="00F252D7">
        <w:rPr>
          <w:rFonts w:ascii="Verdana" w:eastAsia="Times New Roman" w:hAnsi="Verdana" w:cs="Arial"/>
          <w:b/>
          <w:bCs/>
          <w:lang w:eastAsia="es-ES_tradnl"/>
        </w:rPr>
        <w:t>ESTUDIOS PREVIOS – Análisis del sector – Planeación en los procesos de contratación pública</w:t>
      </w:r>
    </w:p>
    <w:p w14:paraId="72A6F700" w14:textId="77777777" w:rsidR="00F2340A" w:rsidRPr="00F252D7" w:rsidRDefault="00F2340A" w:rsidP="00F2340A">
      <w:pPr>
        <w:spacing w:after="0" w:line="240" w:lineRule="auto"/>
        <w:contextualSpacing/>
        <w:jc w:val="both"/>
        <w:rPr>
          <w:rFonts w:ascii="Verdana" w:eastAsia="Times New Roman" w:hAnsi="Verdana" w:cs="Arial"/>
          <w:sz w:val="20"/>
          <w:szCs w:val="20"/>
          <w:lang w:eastAsia="es-ES_tradnl"/>
        </w:rPr>
      </w:pPr>
    </w:p>
    <w:p w14:paraId="0A5EB6DC" w14:textId="77777777" w:rsidR="00F2340A" w:rsidRDefault="00F2340A" w:rsidP="00F2340A">
      <w:pPr>
        <w:spacing w:after="0" w:line="240" w:lineRule="auto"/>
        <w:contextualSpacing/>
        <w:jc w:val="both"/>
        <w:rPr>
          <w:rFonts w:ascii="Verdana" w:eastAsia="Times New Roman" w:hAnsi="Verdana" w:cs="Arial"/>
          <w:sz w:val="20"/>
          <w:szCs w:val="20"/>
          <w:lang w:val="es-ES_tradnl" w:eastAsia="es-MX"/>
        </w:rPr>
      </w:pPr>
      <w:r w:rsidRPr="00F252D7">
        <w:rPr>
          <w:rFonts w:ascii="Verdana" w:eastAsia="Calibri" w:hAnsi="Verdana" w:cs="Arial"/>
          <w:sz w:val="20"/>
          <w:szCs w:val="20"/>
          <w:lang w:eastAsia="es-ES_tradnl"/>
        </w:rPr>
        <w:t xml:space="preserve">[…] </w:t>
      </w:r>
      <w:r w:rsidRPr="00F252D7">
        <w:rPr>
          <w:rFonts w:ascii="Verdana" w:eastAsia="Times New Roman" w:hAnsi="Verdana" w:cs="Arial"/>
          <w:sz w:val="20"/>
          <w:szCs w:val="20"/>
          <w:lang w:val="es-ES_tradnl" w:eastAsia="es-MX"/>
        </w:rPr>
        <w:t xml:space="preserve">antes de iniciar un procedimiento de selección, la Entidad Estatal podrá determinar con los estudios previos: i) la verdadera necesidad de la celebración del contrato; </w:t>
      </w:r>
      <w:proofErr w:type="spellStart"/>
      <w:r w:rsidRPr="00F252D7">
        <w:rPr>
          <w:rFonts w:ascii="Verdana" w:eastAsia="Times New Roman" w:hAnsi="Verdana" w:cs="Arial"/>
          <w:sz w:val="20"/>
          <w:szCs w:val="20"/>
          <w:lang w:val="es-ES_tradnl" w:eastAsia="es-MX"/>
        </w:rPr>
        <w:t>ii</w:t>
      </w:r>
      <w:proofErr w:type="spellEnd"/>
      <w:r w:rsidRPr="00F252D7">
        <w:rPr>
          <w:rFonts w:ascii="Verdana" w:eastAsia="Times New Roman" w:hAnsi="Verdana" w:cs="Arial"/>
          <w:sz w:val="20"/>
          <w:szCs w:val="20"/>
          <w:lang w:val="es-ES_tradnl" w:eastAsia="es-MX"/>
        </w:rPr>
        <w:t xml:space="preserve">) las modalidades existentes para satisfacer esa necesidad y las razones que justifiquen la modalidad o tipo contractual que se escoja; </w:t>
      </w:r>
      <w:proofErr w:type="spellStart"/>
      <w:r w:rsidRPr="00F252D7">
        <w:rPr>
          <w:rFonts w:ascii="Verdana" w:eastAsia="Times New Roman" w:hAnsi="Verdana" w:cs="Arial"/>
          <w:sz w:val="20"/>
          <w:szCs w:val="20"/>
          <w:lang w:val="es-ES_tradnl" w:eastAsia="es-MX"/>
        </w:rPr>
        <w:t>iii</w:t>
      </w:r>
      <w:proofErr w:type="spellEnd"/>
      <w:r w:rsidRPr="00F252D7">
        <w:rPr>
          <w:rFonts w:ascii="Verdana" w:eastAsia="Times New Roman" w:hAnsi="Verdana" w:cs="Arial"/>
          <w:sz w:val="20"/>
          <w:szCs w:val="20"/>
          <w:lang w:val="es-ES_tradnl" w:eastAsia="es-MX"/>
        </w:rPr>
        <w:t xml:space="preserve">) las calidades, especificaciones, cantidades y demás características que puedan o deban reunir los bienes, las obras o los servicios cuya contratación se haya determinado necesaria, </w:t>
      </w:r>
      <w:proofErr w:type="spellStart"/>
      <w:r w:rsidRPr="00F252D7">
        <w:rPr>
          <w:rFonts w:ascii="Verdana" w:eastAsia="Times New Roman" w:hAnsi="Verdana" w:cs="Arial"/>
          <w:sz w:val="20"/>
          <w:szCs w:val="20"/>
          <w:lang w:val="es-ES_tradnl" w:eastAsia="es-MX"/>
        </w:rPr>
        <w:t>iv</w:t>
      </w:r>
      <w:proofErr w:type="spellEnd"/>
      <w:r w:rsidRPr="00F252D7">
        <w:rPr>
          <w:rFonts w:ascii="Verdana" w:eastAsia="Times New Roman" w:hAnsi="Verdana" w:cs="Arial"/>
          <w:sz w:val="20"/>
          <w:szCs w:val="20"/>
          <w:lang w:val="es-ES_tradnl" w:eastAsia="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F252D7">
        <w:rPr>
          <w:rFonts w:ascii="Verdana" w:eastAsia="Times New Roman" w:hAnsi="Verdana" w:cs="Arial"/>
          <w:sz w:val="20"/>
          <w:szCs w:val="20"/>
          <w:lang w:val="es-ES_tradnl" w:eastAsia="es-MX"/>
        </w:rPr>
        <w:t>vii</w:t>
      </w:r>
      <w:proofErr w:type="spellEnd"/>
      <w:r w:rsidRPr="00F252D7">
        <w:rPr>
          <w:rFonts w:ascii="Verdana" w:eastAsia="Times New Roman" w:hAnsi="Verdana" w:cs="Arial"/>
          <w:sz w:val="20"/>
          <w:szCs w:val="20"/>
          <w:lang w:val="es-ES_tradnl" w:eastAsia="es-MX"/>
        </w:rPr>
        <w:t xml:space="preserve">) los procedimientos, trámites y requisitos que deban satisfacerse, reunirse u obtenerse para llevar a cabo la selección del respectivo contratista y la celebración del contrato que se pretenda celebrar. La consideración de todos estos aspectos </w:t>
      </w:r>
      <w:r w:rsidRPr="00F252D7">
        <w:rPr>
          <w:rFonts w:ascii="Verdana" w:eastAsia="Calibri" w:hAnsi="Verdana" w:cs="Arial"/>
          <w:bCs/>
          <w:sz w:val="20"/>
          <w:szCs w:val="20"/>
          <w:lang w:val="es-ES_tradnl" w:eastAsia="es-MX"/>
        </w:rPr>
        <w:t xml:space="preserve">permite que los contratos resultantes de la planeación cuenten con el sustento técnico, económico y jurídico que incidirá </w:t>
      </w:r>
      <w:r w:rsidRPr="00F252D7">
        <w:rPr>
          <w:rFonts w:ascii="Verdana" w:eastAsia="Times New Roman" w:hAnsi="Verdana" w:cs="Arial"/>
          <w:sz w:val="20"/>
          <w:szCs w:val="20"/>
          <w:lang w:val="es-ES_tradnl" w:eastAsia="es-MX"/>
        </w:rPr>
        <w:t>en una adecuada ejecución.</w:t>
      </w:r>
    </w:p>
    <w:p w14:paraId="6E99D323" w14:textId="77777777" w:rsidR="00F2340A" w:rsidRDefault="00F2340A" w:rsidP="00F2340A">
      <w:pPr>
        <w:spacing w:after="0" w:line="240" w:lineRule="auto"/>
        <w:contextualSpacing/>
        <w:jc w:val="both"/>
        <w:rPr>
          <w:rFonts w:ascii="Verdana" w:eastAsia="Times New Roman" w:hAnsi="Verdana" w:cs="Arial"/>
          <w:sz w:val="20"/>
          <w:szCs w:val="20"/>
          <w:lang w:val="es-ES_tradnl" w:eastAsia="es-MX"/>
        </w:rPr>
      </w:pPr>
    </w:p>
    <w:p w14:paraId="1E45CEEB" w14:textId="77777777" w:rsidR="00F2340A" w:rsidRPr="006D4F5F" w:rsidRDefault="00F2340A" w:rsidP="00F2340A">
      <w:pPr>
        <w:spacing w:after="0" w:line="240" w:lineRule="auto"/>
        <w:contextualSpacing/>
        <w:rPr>
          <w:rFonts w:ascii="Verdana" w:eastAsia="Times New Roman" w:hAnsi="Verdana" w:cs="Arial"/>
          <w:b/>
          <w:bCs/>
          <w:lang w:eastAsia="es-ES_tradnl"/>
        </w:rPr>
      </w:pPr>
      <w:r w:rsidRPr="006D4F5F">
        <w:rPr>
          <w:rFonts w:ascii="Verdana" w:eastAsia="Times New Roman" w:hAnsi="Verdana" w:cs="Arial"/>
          <w:b/>
          <w:bCs/>
          <w:lang w:eastAsia="es-ES_tradnl"/>
        </w:rPr>
        <w:t>ESTUDIOS PREVIOS – Estudio del mercado</w:t>
      </w:r>
    </w:p>
    <w:p w14:paraId="771FC1BE" w14:textId="77777777" w:rsidR="00F2340A" w:rsidRPr="006D4F5F" w:rsidRDefault="00F2340A" w:rsidP="00F2340A">
      <w:pPr>
        <w:spacing w:after="0" w:line="240" w:lineRule="auto"/>
        <w:contextualSpacing/>
        <w:jc w:val="both"/>
        <w:rPr>
          <w:rFonts w:ascii="Verdana" w:eastAsia="Calibri" w:hAnsi="Verdana" w:cs="Arial"/>
          <w:sz w:val="20"/>
          <w:szCs w:val="20"/>
          <w:lang w:val="es-ES" w:eastAsia="es-ES_tradnl"/>
        </w:rPr>
      </w:pPr>
    </w:p>
    <w:p w14:paraId="185894F4" w14:textId="77777777" w:rsidR="00F2340A" w:rsidRPr="006D4F5F" w:rsidRDefault="00F2340A" w:rsidP="00F2340A">
      <w:pPr>
        <w:spacing w:after="0" w:line="240" w:lineRule="auto"/>
        <w:contextualSpacing/>
        <w:jc w:val="both"/>
        <w:rPr>
          <w:rFonts w:ascii="Verdana" w:eastAsia="Calibri" w:hAnsi="Verdana" w:cs="Arial"/>
          <w:sz w:val="20"/>
          <w:szCs w:val="20"/>
          <w:lang w:val="es-ES" w:eastAsia="es-ES_tradnl"/>
        </w:rPr>
      </w:pPr>
      <w:r w:rsidRPr="006D4F5F">
        <w:rPr>
          <w:rFonts w:ascii="Verdana" w:eastAsia="Calibri" w:hAnsi="Verdana" w:cs="Arial"/>
          <w:sz w:val="20"/>
          <w:szCs w:val="20"/>
          <w:lang w:val="es-ES" w:eastAsia="es-ES_tradnl"/>
        </w:rPr>
        <w:t xml:space="preserve">Por último, el </w:t>
      </w:r>
      <w:r w:rsidRPr="006D4F5F">
        <w:rPr>
          <w:rFonts w:ascii="Verdana" w:eastAsia="Calibri" w:hAnsi="Verdana" w:cs="Arial"/>
          <w:i/>
          <w:iCs/>
          <w:sz w:val="20"/>
          <w:szCs w:val="20"/>
          <w:lang w:val="es-ES" w:eastAsia="es-ES_tradnl"/>
        </w:rPr>
        <w:t xml:space="preserve">estudio del mercado, </w:t>
      </w:r>
      <w:r w:rsidRPr="006D4F5F">
        <w:rPr>
          <w:rFonts w:ascii="Verdana" w:eastAsia="Calibri" w:hAnsi="Verdana" w:cs="Arial"/>
          <w:sz w:val="20"/>
          <w:szCs w:val="20"/>
          <w:lang w:val="es-ES" w:eastAsia="es-ES_tradnl"/>
        </w:rPr>
        <w:t xml:space="preserve">al cual hace referencia en su consulta, permite comprender la dinámica de los precios y establecer el presupuesto oficial de la contratación, el cual comprende la realización de un análisis de los diferentes precios de los bienes o servicios a contratar que se registran en el mercado, los cuales pueden </w:t>
      </w:r>
      <w:r w:rsidRPr="006D4F5F">
        <w:rPr>
          <w:rFonts w:ascii="Verdana" w:eastAsia="Calibri" w:hAnsi="Verdana" w:cs="Arial"/>
          <w:sz w:val="20"/>
          <w:szCs w:val="20"/>
          <w:lang w:val="es-ES" w:eastAsia="es-ES_tradnl"/>
        </w:rPr>
        <w:lastRenderedPageBreak/>
        <w:t xml:space="preserve">consultarse a través de mecanismos como la solicitud de cotizaciones, la consulta de bases de datos especializadas y el análisis de precios históricos. Este estudio de mercado debe responder claramente cuáles son las dinámicas de precio y, de esta manera, establecer el presupuesto oficial del proceso de contratación. </w:t>
      </w:r>
    </w:p>
    <w:p w14:paraId="19572318" w14:textId="77777777" w:rsidR="00F2340A" w:rsidRPr="006D4F5F" w:rsidRDefault="00F2340A" w:rsidP="00F2340A">
      <w:pPr>
        <w:spacing w:after="0" w:line="240" w:lineRule="auto"/>
        <w:contextualSpacing/>
        <w:jc w:val="both"/>
        <w:rPr>
          <w:rFonts w:ascii="Verdana" w:eastAsia="Calibri" w:hAnsi="Verdana" w:cs="Arial"/>
          <w:sz w:val="20"/>
          <w:szCs w:val="20"/>
          <w:lang w:val="es-ES" w:eastAsia="es-ES_tradnl"/>
        </w:rPr>
      </w:pPr>
    </w:p>
    <w:p w14:paraId="3EEA0A03" w14:textId="77777777" w:rsidR="00F2340A" w:rsidRDefault="00F2340A" w:rsidP="00F2340A">
      <w:pPr>
        <w:spacing w:after="0" w:line="240" w:lineRule="auto"/>
        <w:contextualSpacing/>
        <w:jc w:val="both"/>
        <w:rPr>
          <w:rFonts w:ascii="Verdana" w:eastAsia="Calibri" w:hAnsi="Verdana" w:cs="Arial"/>
          <w:sz w:val="20"/>
          <w:szCs w:val="20"/>
          <w:lang w:val="es-ES" w:eastAsia="es-ES_tradnl"/>
        </w:rPr>
      </w:pPr>
      <w:r w:rsidRPr="006D4F5F">
        <w:rPr>
          <w:rFonts w:ascii="Verdana" w:eastAsia="Calibri" w:hAnsi="Verdana" w:cs="Arial"/>
          <w:sz w:val="20"/>
          <w:szCs w:val="20"/>
          <w:lang w:val="es-ES" w:eastAsia="es-ES_tradnl"/>
        </w:rPr>
        <w:t xml:space="preserve">En relación con la </w:t>
      </w:r>
      <w:r w:rsidRPr="006D4F5F">
        <w:rPr>
          <w:rFonts w:ascii="Verdana" w:eastAsia="Calibri" w:hAnsi="Verdana" w:cs="Arial"/>
          <w:i/>
          <w:iCs/>
          <w:sz w:val="20"/>
          <w:szCs w:val="20"/>
          <w:lang w:val="es-ES" w:eastAsia="es-ES_tradnl"/>
        </w:rPr>
        <w:t>revisión de precios</w:t>
      </w:r>
      <w:r w:rsidRPr="006D4F5F">
        <w:rPr>
          <w:rFonts w:ascii="Verdana" w:eastAsia="Calibri" w:hAnsi="Verdana" w:cs="Arial"/>
          <w:sz w:val="20"/>
          <w:szCs w:val="20"/>
          <w:lang w:val="es-ES" w:eastAsia="es-ES_tradnl"/>
        </w:rPr>
        <w:t xml:space="preserve"> por solicitud de cotizaciones, la Guía recomienda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 como, por ejemplo, especificaciones técnicas del bien o servicio a contratar, plazo del contrato, así como toda aquella información relevante que incida en el precio del bien o servicio. Así mismo, se indica que, al recibir las cotizaciones, debe verificarse la ocurrencia de circunstancias que eventualmente pueden distorsionar los precios del mercado, como ofertas especiales de almacenes de cadena, fenómenos de escasez o abundancia del producto, entre otros aspectos. </w:t>
      </w:r>
    </w:p>
    <w:p w14:paraId="338EFB11" w14:textId="77777777" w:rsidR="00F2340A" w:rsidRPr="00F252D7" w:rsidRDefault="00F2340A" w:rsidP="00F2340A">
      <w:pPr>
        <w:spacing w:after="0" w:line="240" w:lineRule="auto"/>
        <w:contextualSpacing/>
        <w:jc w:val="both"/>
        <w:rPr>
          <w:rFonts w:ascii="Verdana" w:eastAsia="Calibri" w:hAnsi="Verdana" w:cs="Arial"/>
          <w:b/>
          <w:noProof/>
          <w:sz w:val="20"/>
          <w:szCs w:val="20"/>
          <w:lang w:val="es-ES_tradnl" w:eastAsia="es-ES_tradnl"/>
        </w:rPr>
      </w:pPr>
    </w:p>
    <w:p w14:paraId="0F429D2F" w14:textId="77777777" w:rsidR="00F2340A" w:rsidRPr="00F6440A" w:rsidRDefault="00F2340A" w:rsidP="00F2340A">
      <w:pPr>
        <w:spacing w:after="0" w:line="240" w:lineRule="auto"/>
        <w:contextualSpacing/>
        <w:jc w:val="both"/>
        <w:rPr>
          <w:rFonts w:ascii="Verdana" w:eastAsia="Times New Roman" w:hAnsi="Verdana" w:cs="Arial"/>
          <w:b/>
          <w:bCs/>
          <w:lang w:eastAsia="es-ES_tradnl"/>
        </w:rPr>
      </w:pPr>
      <w:r w:rsidRPr="00F6440A">
        <w:rPr>
          <w:rFonts w:ascii="Verdana" w:eastAsia="Times New Roman" w:hAnsi="Verdana" w:cs="Arial"/>
          <w:b/>
          <w:bCs/>
          <w:lang w:eastAsia="es-ES_tradnl"/>
        </w:rPr>
        <w:t>ESTUDIOS PREVIOS – Metodologías – Cotizaciones – Autonomía</w:t>
      </w:r>
    </w:p>
    <w:p w14:paraId="0994DE08" w14:textId="77777777" w:rsidR="00F2340A" w:rsidRPr="00867100" w:rsidRDefault="00F2340A" w:rsidP="00F2340A">
      <w:pPr>
        <w:spacing w:after="0" w:line="240" w:lineRule="auto"/>
        <w:jc w:val="both"/>
        <w:rPr>
          <w:rFonts w:ascii="Verdana" w:eastAsia="Times New Roman" w:hAnsi="Verdana" w:cs="Arial"/>
          <w:noProof/>
          <w:highlight w:val="yellow"/>
          <w:lang w:val="es-ES_tradnl" w:eastAsia="es-ES_tradnl"/>
        </w:rPr>
      </w:pPr>
    </w:p>
    <w:p w14:paraId="2F169719" w14:textId="77777777" w:rsidR="00F2340A" w:rsidRDefault="00F2340A" w:rsidP="00F2340A">
      <w:pPr>
        <w:spacing w:after="0" w:line="240" w:lineRule="auto"/>
        <w:jc w:val="both"/>
        <w:rPr>
          <w:rFonts w:ascii="Verdana" w:eastAsia="Times New Roman" w:hAnsi="Verdana" w:cs="Arial"/>
          <w:sz w:val="20"/>
          <w:szCs w:val="20"/>
          <w:lang w:val="es-ES_tradnl" w:eastAsia="es-MX"/>
        </w:rPr>
      </w:pPr>
      <w:r w:rsidRPr="00275981">
        <w:rPr>
          <w:rFonts w:ascii="Verdana" w:eastAsia="Times New Roman" w:hAnsi="Verdana" w:cs="Arial"/>
          <w:sz w:val="20"/>
          <w:szCs w:val="20"/>
          <w:lang w:val="es-ES_tradnl" w:eastAsia="es-MX"/>
        </w:rPr>
        <w:t>En primer lugar, 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w:t>
      </w:r>
    </w:p>
    <w:p w14:paraId="10AF6AC8" w14:textId="77777777" w:rsidR="00F2340A" w:rsidRPr="00275981" w:rsidRDefault="00F2340A" w:rsidP="00F2340A">
      <w:pPr>
        <w:spacing w:after="0" w:line="240" w:lineRule="auto"/>
        <w:jc w:val="both"/>
        <w:rPr>
          <w:rFonts w:ascii="Verdana" w:eastAsia="Times New Roman" w:hAnsi="Verdana" w:cs="Arial"/>
          <w:sz w:val="20"/>
          <w:szCs w:val="20"/>
          <w:lang w:val="es-ES_tradnl" w:eastAsia="es-MX"/>
        </w:rPr>
      </w:pPr>
    </w:p>
    <w:p w14:paraId="34A0462F" w14:textId="77777777" w:rsidR="00F2340A" w:rsidRPr="00F252D7" w:rsidRDefault="00F2340A" w:rsidP="00F2340A">
      <w:pPr>
        <w:spacing w:after="0" w:line="240" w:lineRule="auto"/>
        <w:jc w:val="both"/>
        <w:rPr>
          <w:rFonts w:ascii="Verdana" w:eastAsia="Times New Roman" w:hAnsi="Verdana" w:cs="Arial"/>
          <w:noProof/>
          <w:lang w:val="es-ES" w:eastAsia="es-ES_tradnl"/>
        </w:rPr>
      </w:pPr>
      <w:r w:rsidRPr="00275981">
        <w:rPr>
          <w:rFonts w:ascii="Verdana" w:eastAsia="Times New Roman" w:hAnsi="Verdana" w:cs="Arial"/>
          <w:sz w:val="20"/>
          <w:szCs w:val="20"/>
          <w:lang w:val="es-ES_tradnl" w:eastAsia="es-MX"/>
        </w:rPr>
        <w:t>De acuerdo con la “Guía para la Elaboración de Estudios del Sector” expedida por Agencia Nacional de Contratación Pública – Colombia Compra Eficiente, allí se establecen varias metodologías, como las cotizaciones, que son un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no obstante, las Entidades Públicas gozan de autonomía razonada, a la hora de aplicar una metodología para elaborar el Estudio del Sector, para lo cual dentro de su Manual de Contratación establecerán aquella que consideren pertinente,  siempre y cuando acaten la Ley 1150 de 2007 y el Decreto 1082 de 2015 frente a esta materia.</w:t>
      </w:r>
    </w:p>
    <w:p w14:paraId="03B15684" w14:textId="77777777" w:rsidR="00F2340A" w:rsidRPr="00F252D7" w:rsidRDefault="00F2340A" w:rsidP="00F2340A">
      <w:pPr>
        <w:spacing w:after="0" w:line="240" w:lineRule="auto"/>
        <w:jc w:val="both"/>
        <w:rPr>
          <w:rFonts w:ascii="Verdana" w:eastAsia="Times New Roman" w:hAnsi="Verdana" w:cs="Arial"/>
          <w:noProof/>
          <w:lang w:val="es-ES_tradnl" w:eastAsia="es-ES_tradnl"/>
        </w:rPr>
      </w:pPr>
    </w:p>
    <w:p w14:paraId="4550A679" w14:textId="77777777" w:rsidR="00F2340A" w:rsidRPr="00F252D7" w:rsidRDefault="00F2340A" w:rsidP="00F2340A">
      <w:pPr>
        <w:spacing w:after="0" w:line="240" w:lineRule="auto"/>
        <w:jc w:val="both"/>
        <w:rPr>
          <w:rFonts w:ascii="Verdana" w:eastAsia="Times New Roman" w:hAnsi="Verdana" w:cs="Arial"/>
          <w:noProof/>
          <w:lang w:val="es-ES_tradnl" w:eastAsia="es-ES_tradnl"/>
        </w:rPr>
      </w:pPr>
    </w:p>
    <w:p w14:paraId="420F435A" w14:textId="77777777" w:rsidR="00F2340A" w:rsidRPr="00F252D7" w:rsidRDefault="00F2340A" w:rsidP="00F2340A">
      <w:pPr>
        <w:spacing w:after="0" w:line="240" w:lineRule="auto"/>
        <w:jc w:val="both"/>
        <w:rPr>
          <w:rFonts w:ascii="Verdana" w:eastAsia="Times New Roman" w:hAnsi="Verdana" w:cs="Arial"/>
          <w:noProof/>
          <w:lang w:val="es-ES_tradnl" w:eastAsia="es-ES_tradnl"/>
        </w:rPr>
      </w:pPr>
    </w:p>
    <w:p w14:paraId="5E97B3E7" w14:textId="77777777" w:rsidR="00F2340A" w:rsidRPr="00F252D7" w:rsidRDefault="00F2340A" w:rsidP="00F2340A">
      <w:pPr>
        <w:spacing w:after="0" w:line="240" w:lineRule="auto"/>
        <w:jc w:val="both"/>
        <w:rPr>
          <w:rFonts w:ascii="Verdana" w:eastAsia="Times New Roman" w:hAnsi="Verdana" w:cs="Arial"/>
          <w:noProof/>
          <w:lang w:val="es-ES_tradnl" w:eastAsia="es-ES_tradnl"/>
        </w:rPr>
      </w:pPr>
    </w:p>
    <w:p w14:paraId="7CDD8772" w14:textId="77777777" w:rsidR="00F2340A" w:rsidRPr="00F252D7" w:rsidRDefault="00F2340A" w:rsidP="00F2340A">
      <w:pPr>
        <w:spacing w:after="0" w:line="240" w:lineRule="auto"/>
        <w:jc w:val="both"/>
        <w:rPr>
          <w:rFonts w:ascii="Verdana" w:eastAsia="Times New Roman" w:hAnsi="Verdana" w:cs="Arial"/>
          <w:noProof/>
          <w:lang w:val="es-ES_tradnl" w:eastAsia="es-ES_tradnl"/>
        </w:rPr>
      </w:pPr>
    </w:p>
    <w:p w14:paraId="59A21B25" w14:textId="77777777" w:rsidR="00F2340A" w:rsidRPr="00F252D7" w:rsidRDefault="00F2340A" w:rsidP="00F2340A">
      <w:pPr>
        <w:spacing w:after="0" w:line="240" w:lineRule="auto"/>
        <w:jc w:val="both"/>
        <w:rPr>
          <w:rFonts w:ascii="Verdana" w:eastAsia="Times New Roman" w:hAnsi="Verdana" w:cs="Arial"/>
          <w:noProof/>
          <w:lang w:val="es-ES_tradnl" w:eastAsia="es-ES_tradnl"/>
        </w:rPr>
      </w:pPr>
    </w:p>
    <w:p w14:paraId="3AF848A9" w14:textId="77777777" w:rsidR="00F2340A" w:rsidRPr="00F252D7" w:rsidRDefault="00F2340A" w:rsidP="00F2340A">
      <w:pPr>
        <w:spacing w:after="0" w:line="240" w:lineRule="auto"/>
        <w:jc w:val="both"/>
        <w:rPr>
          <w:rFonts w:ascii="Verdana" w:eastAsia="Times New Roman" w:hAnsi="Verdana" w:cs="Arial"/>
          <w:noProof/>
          <w:lang w:val="es-ES_tradnl" w:eastAsia="es-ES_tradnl"/>
        </w:rPr>
      </w:pPr>
    </w:p>
    <w:p w14:paraId="62085CA6" w14:textId="77777777" w:rsidR="00F2340A" w:rsidRPr="00F252D7" w:rsidRDefault="00F2340A" w:rsidP="00F2340A">
      <w:pPr>
        <w:spacing w:after="0" w:line="240" w:lineRule="auto"/>
        <w:jc w:val="both"/>
        <w:rPr>
          <w:rFonts w:ascii="Verdana" w:eastAsia="Times New Roman" w:hAnsi="Verdana" w:cs="Arial"/>
          <w:noProof/>
          <w:lang w:val="es-ES_tradnl" w:eastAsia="es-ES_tradnl"/>
        </w:rPr>
      </w:pPr>
    </w:p>
    <w:p w14:paraId="75D743AA" w14:textId="77777777" w:rsidR="00F2340A" w:rsidRPr="00F252D7" w:rsidRDefault="00F2340A" w:rsidP="00F2340A">
      <w:pPr>
        <w:spacing w:after="0" w:line="240" w:lineRule="auto"/>
        <w:jc w:val="both"/>
        <w:rPr>
          <w:rFonts w:ascii="Verdana" w:eastAsia="Times New Roman" w:hAnsi="Verdana" w:cs="Arial"/>
          <w:noProof/>
          <w:lang w:val="es-ES_tradnl" w:eastAsia="es-ES_tradnl"/>
        </w:rPr>
      </w:pPr>
    </w:p>
    <w:p w14:paraId="67FECD49" w14:textId="4DC82647" w:rsidR="00F2340A" w:rsidRDefault="00F2340A" w:rsidP="00F2340A">
      <w:pPr>
        <w:spacing w:after="0" w:line="240" w:lineRule="auto"/>
        <w:jc w:val="both"/>
        <w:rPr>
          <w:rFonts w:ascii="Verdana" w:eastAsia="Times New Roman" w:hAnsi="Verdana" w:cs="Arial"/>
          <w:noProof/>
          <w:lang w:val="es-ES_tradnl" w:eastAsia="es-ES_tradnl"/>
        </w:rPr>
      </w:pPr>
      <w:r w:rsidRPr="00254C94">
        <w:rPr>
          <w:rFonts w:ascii="Verdana" w:eastAsia="Times New Roman" w:hAnsi="Verdana" w:cs="Arial"/>
          <w:noProof/>
          <w:lang w:val="es-ES_tradnl" w:eastAsia="es-ES_tradnl"/>
        </w:rPr>
        <w:lastRenderedPageBreak/>
        <w:t xml:space="preserve">Bogotá D.C., </w:t>
      </w:r>
      <w:r w:rsidR="000F044A">
        <w:rPr>
          <w:rFonts w:ascii="Verdana" w:eastAsia="Times New Roman" w:hAnsi="Verdana" w:cs="Arial"/>
          <w:noProof/>
          <w:lang w:val="es-ES_tradnl" w:eastAsia="es-ES_tradnl"/>
        </w:rPr>
        <w:t>19 de diciembre de 2025</w:t>
      </w:r>
    </w:p>
    <w:p w14:paraId="1DE2A95F" w14:textId="77777777" w:rsidR="000F044A" w:rsidRDefault="000F044A" w:rsidP="00F2340A">
      <w:pPr>
        <w:spacing w:after="0" w:line="240" w:lineRule="auto"/>
        <w:jc w:val="both"/>
        <w:rPr>
          <w:rFonts w:ascii="Verdana" w:eastAsia="Times New Roman" w:hAnsi="Verdana" w:cs="Arial"/>
          <w:noProof/>
          <w:lang w:val="es-ES_tradnl" w:eastAsia="es-ES_tradnl"/>
        </w:rPr>
      </w:pPr>
    </w:p>
    <w:p w14:paraId="5CDD09C8" w14:textId="25579439" w:rsidR="000F044A" w:rsidRDefault="001242A3" w:rsidP="001242A3">
      <w:pPr>
        <w:spacing w:after="0" w:line="240" w:lineRule="auto"/>
        <w:jc w:val="right"/>
        <w:rPr>
          <w:rFonts w:ascii="Verdana" w:eastAsia="Times New Roman" w:hAnsi="Verdana" w:cs="Arial"/>
          <w:noProof/>
          <w:lang w:val="es-ES_tradnl" w:eastAsia="es-ES_tradnl"/>
        </w:rPr>
      </w:pPr>
      <w:r w:rsidRPr="001242A3">
        <w:rPr>
          <w:rFonts w:ascii="Verdana" w:eastAsia="Times New Roman" w:hAnsi="Verdana" w:cs="Arial"/>
          <w:noProof/>
          <w:lang w:val="es-ES_tradnl" w:eastAsia="es-ES_tradnl"/>
        </w:rPr>
        <w:drawing>
          <wp:inline distT="0" distB="0" distL="0" distR="0" wp14:anchorId="2BDE26D3" wp14:editId="07557A5E">
            <wp:extent cx="3410426" cy="981212"/>
            <wp:effectExtent l="0" t="0" r="0" b="9525"/>
            <wp:docPr id="43905932"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05932" name="Imagen 1" descr="Interfaz de usuario gráfica, Texto&#10;&#10;El contenido generado por IA puede ser incorrecto."/>
                    <pic:cNvPicPr/>
                  </pic:nvPicPr>
                  <pic:blipFill>
                    <a:blip r:embed="rId11"/>
                    <a:stretch>
                      <a:fillRect/>
                    </a:stretch>
                  </pic:blipFill>
                  <pic:spPr>
                    <a:xfrm>
                      <a:off x="0" y="0"/>
                      <a:ext cx="3410426" cy="981212"/>
                    </a:xfrm>
                    <a:prstGeom prst="rect">
                      <a:avLst/>
                    </a:prstGeom>
                  </pic:spPr>
                </pic:pic>
              </a:graphicData>
            </a:graphic>
          </wp:inline>
        </w:drawing>
      </w:r>
    </w:p>
    <w:p w14:paraId="5D424708" w14:textId="77777777" w:rsidR="00F2340A" w:rsidRPr="00F252D7" w:rsidRDefault="00F2340A" w:rsidP="0027282C">
      <w:pPr>
        <w:spacing w:after="0" w:line="240" w:lineRule="auto"/>
        <w:rPr>
          <w:rFonts w:ascii="Verdana" w:eastAsia="Times New Roman" w:hAnsi="Verdana" w:cs="Arial"/>
          <w:noProof/>
          <w:lang w:val="es-ES_tradnl" w:eastAsia="es-ES_tradnl"/>
        </w:rPr>
      </w:pPr>
    </w:p>
    <w:p w14:paraId="52ABF63E" w14:textId="77777777" w:rsidR="00F2340A" w:rsidRPr="00F252D7" w:rsidRDefault="00F2340A" w:rsidP="00F2340A">
      <w:pPr>
        <w:spacing w:after="0" w:line="240" w:lineRule="auto"/>
        <w:jc w:val="both"/>
        <w:rPr>
          <w:rFonts w:ascii="Verdana" w:eastAsia="Calibri" w:hAnsi="Verdana" w:cs="Arial"/>
          <w:lang w:val="es-ES" w:eastAsia="es-ES_tradnl"/>
        </w:rPr>
      </w:pPr>
      <w:r w:rsidRPr="00F252D7">
        <w:rPr>
          <w:rFonts w:ascii="Verdana" w:eastAsia="Calibri" w:hAnsi="Verdana" w:cs="Arial"/>
          <w:lang w:val="es-ES" w:eastAsia="es-ES_tradnl"/>
        </w:rPr>
        <w:t>Señor</w:t>
      </w:r>
    </w:p>
    <w:p w14:paraId="2A12776D" w14:textId="77777777" w:rsidR="00F2340A" w:rsidRPr="00B24185" w:rsidRDefault="00F2340A" w:rsidP="00F2340A">
      <w:pPr>
        <w:spacing w:after="0" w:line="240" w:lineRule="auto"/>
        <w:rPr>
          <w:rFonts w:ascii="Verdana" w:eastAsia="Calibri" w:hAnsi="Verdana" w:cs="Arial"/>
          <w:b/>
          <w:bCs/>
          <w:lang w:val="es-ES" w:eastAsia="es-ES_tradnl"/>
        </w:rPr>
      </w:pPr>
      <w:r w:rsidRPr="00B24185">
        <w:rPr>
          <w:rFonts w:ascii="Verdana" w:eastAsia="Calibri" w:hAnsi="Verdana" w:cs="Arial"/>
          <w:b/>
          <w:bCs/>
          <w:lang w:val="es-ES" w:eastAsia="es-ES_tradnl"/>
        </w:rPr>
        <w:t>Leonardo Fabio Montero Rodriguez</w:t>
      </w:r>
    </w:p>
    <w:p w14:paraId="217C4E57" w14:textId="77777777" w:rsidR="00F2340A" w:rsidRPr="00B24185" w:rsidRDefault="00F2340A" w:rsidP="00F2340A">
      <w:pPr>
        <w:spacing w:after="0" w:line="240" w:lineRule="auto"/>
        <w:rPr>
          <w:rFonts w:ascii="Verdana" w:eastAsia="Calibri" w:hAnsi="Verdana" w:cs="Arial"/>
          <w:lang w:val="es-ES" w:eastAsia="es-ES_tradnl"/>
        </w:rPr>
      </w:pPr>
      <w:r w:rsidRPr="00B24185">
        <w:rPr>
          <w:rFonts w:ascii="Verdana" w:eastAsia="Calibri" w:hAnsi="Verdana" w:cs="Arial"/>
          <w:lang w:val="es-ES" w:eastAsia="es-ES_tradnl"/>
        </w:rPr>
        <w:t>lmontero@sdis.gov.co</w:t>
      </w:r>
    </w:p>
    <w:p w14:paraId="38D62CDB" w14:textId="77777777" w:rsidR="00F2340A" w:rsidRPr="00F252D7" w:rsidRDefault="00F2340A" w:rsidP="00F2340A">
      <w:pPr>
        <w:spacing w:after="0" w:line="240" w:lineRule="auto"/>
        <w:rPr>
          <w:rFonts w:ascii="Verdana" w:eastAsia="Calibri" w:hAnsi="Verdana" w:cs="Arial"/>
          <w:lang w:val="es-ES_tradnl" w:eastAsia="es-ES_tradnl"/>
        </w:rPr>
      </w:pPr>
      <w:r w:rsidRPr="00F252D7">
        <w:rPr>
          <w:rFonts w:ascii="Verdana" w:eastAsia="Calibri" w:hAnsi="Verdana" w:cs="Arial"/>
          <w:bCs/>
          <w:lang w:val="es-ES_tradnl" w:eastAsia="es-ES_tradnl"/>
        </w:rPr>
        <w:t>Ciudad</w:t>
      </w:r>
    </w:p>
    <w:p w14:paraId="0B83B1D1" w14:textId="77777777" w:rsidR="00F2340A" w:rsidRPr="00F252D7" w:rsidRDefault="00F2340A" w:rsidP="00F2340A">
      <w:pPr>
        <w:spacing w:after="0" w:line="240" w:lineRule="auto"/>
        <w:rPr>
          <w:rFonts w:ascii="Verdana" w:eastAsia="Calibri" w:hAnsi="Verdana" w:cs="Arial"/>
          <w:lang w:val="es-ES_tradnl" w:eastAsia="es-ES_tradnl"/>
        </w:rPr>
      </w:pPr>
    </w:p>
    <w:p w14:paraId="564953C0" w14:textId="77777777" w:rsidR="00F2340A" w:rsidRPr="00F252D7" w:rsidRDefault="00F2340A" w:rsidP="00F2340A">
      <w:pPr>
        <w:spacing w:after="0" w:line="240" w:lineRule="auto"/>
        <w:rPr>
          <w:rFonts w:ascii="Verdana" w:eastAsia="Calibri" w:hAnsi="Verdana" w:cs="Arial"/>
          <w:lang w:val="es-ES_tradnl" w:eastAsia="es-ES_tradnl"/>
        </w:rPr>
      </w:pPr>
    </w:p>
    <w:p w14:paraId="561EC8C3" w14:textId="77777777" w:rsidR="00F2340A" w:rsidRPr="00F252D7" w:rsidRDefault="00F2340A" w:rsidP="00F2340A">
      <w:pPr>
        <w:spacing w:after="0" w:line="240" w:lineRule="auto"/>
        <w:ind w:left="2694"/>
        <w:rPr>
          <w:rFonts w:ascii="Verdana" w:eastAsia="Calibri" w:hAnsi="Verdana" w:cs="Arial"/>
          <w:b/>
          <w:bCs/>
          <w:lang w:val="es-ES" w:eastAsia="es-ES_tradnl"/>
        </w:rPr>
      </w:pPr>
      <w:r w:rsidRPr="00F252D7">
        <w:rPr>
          <w:rFonts w:ascii="Verdana" w:eastAsia="Calibri" w:hAnsi="Verdana" w:cs="Arial"/>
          <w:b/>
          <w:bCs/>
          <w:lang w:val="es-ES" w:eastAsia="es-ES_tradnl"/>
        </w:rPr>
        <w:t>Concepto C-</w:t>
      </w:r>
      <w:r>
        <w:rPr>
          <w:rFonts w:ascii="Verdana" w:eastAsia="Calibri" w:hAnsi="Verdana" w:cs="Arial"/>
          <w:b/>
          <w:bCs/>
          <w:lang w:val="es-ES" w:eastAsia="es-ES_tradnl"/>
        </w:rPr>
        <w:t>1714</w:t>
      </w:r>
      <w:r w:rsidRPr="00F252D7">
        <w:rPr>
          <w:rFonts w:ascii="Verdana" w:eastAsia="Calibri" w:hAnsi="Verdana" w:cs="Arial"/>
          <w:b/>
          <w:bCs/>
          <w:lang w:val="es-ES" w:eastAsia="es-ES_tradnl"/>
        </w:rPr>
        <w:t xml:space="preserve"> de 202</w:t>
      </w:r>
      <w:r>
        <w:rPr>
          <w:rFonts w:ascii="Verdana" w:eastAsia="Calibri" w:hAnsi="Verdana" w:cs="Arial"/>
          <w:b/>
          <w:bCs/>
          <w:lang w:val="es-ES" w:eastAsia="es-ES_tradnl"/>
        </w:rPr>
        <w:t>5</w:t>
      </w:r>
    </w:p>
    <w:p w14:paraId="7608BCC6" w14:textId="77777777" w:rsidR="00F2340A" w:rsidRPr="00F252D7" w:rsidRDefault="00F2340A" w:rsidP="00F2340A">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F2340A" w:rsidRPr="00F252D7" w14:paraId="13751ADE" w14:textId="77777777" w:rsidTr="008F7EA1">
        <w:trPr>
          <w:jc w:val="right"/>
        </w:trPr>
        <w:tc>
          <w:tcPr>
            <w:tcW w:w="1838" w:type="dxa"/>
          </w:tcPr>
          <w:p w14:paraId="483EF343" w14:textId="77777777" w:rsidR="00F2340A" w:rsidRPr="00F252D7" w:rsidRDefault="00F2340A" w:rsidP="008F7EA1">
            <w:pPr>
              <w:jc w:val="center"/>
              <w:rPr>
                <w:rFonts w:ascii="Verdana" w:eastAsia="Calibri" w:hAnsi="Verdana" w:cs="Arial"/>
                <w:lang w:val="es-ES_tradnl" w:eastAsia="es-ES_tradnl"/>
              </w:rPr>
            </w:pPr>
            <w:r w:rsidRPr="00F252D7">
              <w:rPr>
                <w:rFonts w:ascii="Verdana" w:eastAsia="Calibri" w:hAnsi="Verdana" w:cs="Arial"/>
                <w:b/>
                <w:lang w:val="es-ES_tradnl" w:eastAsia="es-ES_tradnl"/>
              </w:rPr>
              <w:t>Temas:</w:t>
            </w:r>
          </w:p>
        </w:tc>
        <w:tc>
          <w:tcPr>
            <w:tcW w:w="6237" w:type="dxa"/>
          </w:tcPr>
          <w:p w14:paraId="32072A95" w14:textId="77777777" w:rsidR="00F2340A" w:rsidRDefault="00F2340A" w:rsidP="008F7EA1">
            <w:pPr>
              <w:jc w:val="both"/>
              <w:textAlignment w:val="baseline"/>
              <w:rPr>
                <w:rFonts w:ascii="Verdana" w:eastAsia="Times New Roman" w:hAnsi="Verdana" w:cs="Arial"/>
                <w:lang w:eastAsia="es-ES_tradnl"/>
              </w:rPr>
            </w:pPr>
            <w:r w:rsidRPr="00F252D7">
              <w:rPr>
                <w:rFonts w:ascii="Verdana" w:eastAsia="Times New Roman" w:hAnsi="Verdana" w:cs="Arial"/>
                <w:lang w:eastAsia="es-ES_tradnl"/>
              </w:rPr>
              <w:t>PLANEACIÓN – Estudios previos / ESTUDIOS PREVIOS – Análisis del sector – Planeación en los procesos de contratación pública /</w:t>
            </w:r>
            <w:r>
              <w:t xml:space="preserve"> </w:t>
            </w:r>
            <w:r w:rsidRPr="00352F58">
              <w:rPr>
                <w:rFonts w:ascii="Verdana" w:eastAsia="Times New Roman" w:hAnsi="Verdana" w:cs="Arial"/>
                <w:lang w:eastAsia="es-ES_tradnl"/>
              </w:rPr>
              <w:t>ESTUDIOS PREVIOS – Estudio del mercado</w:t>
            </w:r>
            <w:r>
              <w:rPr>
                <w:rFonts w:ascii="Verdana" w:eastAsia="Times New Roman" w:hAnsi="Verdana" w:cs="Arial"/>
                <w:lang w:eastAsia="es-ES_tradnl"/>
              </w:rPr>
              <w:t xml:space="preserve"> /</w:t>
            </w:r>
            <w:r w:rsidRPr="00F252D7">
              <w:rPr>
                <w:rFonts w:ascii="Verdana" w:eastAsia="Times New Roman" w:hAnsi="Verdana" w:cs="Arial"/>
                <w:lang w:eastAsia="es-ES_tradnl"/>
              </w:rPr>
              <w:t xml:space="preserve"> </w:t>
            </w:r>
            <w:r w:rsidRPr="00F6440A">
              <w:rPr>
                <w:rFonts w:ascii="Verdana" w:eastAsia="Times New Roman" w:hAnsi="Verdana" w:cs="Arial"/>
                <w:lang w:eastAsia="es-ES_tradnl"/>
              </w:rPr>
              <w:t>ESTUDIOS PREVIOS – Metodologías – Cotizaciones – Autonomía</w:t>
            </w:r>
          </w:p>
          <w:p w14:paraId="57F9566B" w14:textId="77777777" w:rsidR="00F2340A" w:rsidRPr="00F252D7" w:rsidRDefault="00F2340A" w:rsidP="008F7EA1">
            <w:pPr>
              <w:jc w:val="both"/>
              <w:textAlignment w:val="baseline"/>
              <w:rPr>
                <w:rFonts w:ascii="Verdana" w:eastAsia="Times New Roman" w:hAnsi="Verdana" w:cs="Arial"/>
                <w:lang w:val="es-ES_tradnl" w:eastAsia="es-ES_tradnl"/>
              </w:rPr>
            </w:pPr>
          </w:p>
        </w:tc>
      </w:tr>
      <w:tr w:rsidR="00F2340A" w:rsidRPr="00F252D7" w14:paraId="35C69F57" w14:textId="77777777" w:rsidTr="008F7EA1">
        <w:trPr>
          <w:jc w:val="right"/>
        </w:trPr>
        <w:tc>
          <w:tcPr>
            <w:tcW w:w="1838" w:type="dxa"/>
          </w:tcPr>
          <w:p w14:paraId="0E9481E1" w14:textId="77777777" w:rsidR="00F2340A" w:rsidRPr="00F252D7" w:rsidRDefault="00F2340A" w:rsidP="008F7EA1">
            <w:pPr>
              <w:jc w:val="center"/>
              <w:rPr>
                <w:rFonts w:ascii="Verdana" w:eastAsia="Calibri" w:hAnsi="Verdana" w:cs="Arial"/>
                <w:b/>
                <w:lang w:val="es-ES" w:eastAsia="es-ES_tradnl"/>
              </w:rPr>
            </w:pPr>
            <w:r w:rsidRPr="00F252D7">
              <w:rPr>
                <w:rFonts w:ascii="Verdana" w:eastAsia="Calibri" w:hAnsi="Verdana" w:cs="Arial"/>
                <w:b/>
                <w:lang w:val="es-ES" w:eastAsia="es-ES_tradnl"/>
              </w:rPr>
              <w:t>Radicación:</w:t>
            </w:r>
          </w:p>
        </w:tc>
        <w:tc>
          <w:tcPr>
            <w:tcW w:w="6237" w:type="dxa"/>
          </w:tcPr>
          <w:p w14:paraId="7247564C" w14:textId="77777777" w:rsidR="00F2340A" w:rsidRPr="00F252D7" w:rsidRDefault="00F2340A" w:rsidP="008F7EA1">
            <w:pPr>
              <w:jc w:val="both"/>
              <w:rPr>
                <w:rFonts w:ascii="Verdana" w:eastAsia="Calibri" w:hAnsi="Verdana" w:cs="Arial"/>
                <w:lang w:val="es-ES" w:eastAsia="es-ES_tradnl"/>
              </w:rPr>
            </w:pPr>
            <w:r w:rsidRPr="00F252D7">
              <w:rPr>
                <w:rFonts w:ascii="Verdana" w:eastAsia="Calibri" w:hAnsi="Verdana" w:cs="Arial"/>
                <w:lang w:val="es-ES" w:eastAsia="es-ES_tradnl"/>
              </w:rPr>
              <w:t xml:space="preserve">Respuesta a consulta radicado No. </w:t>
            </w:r>
            <w:r w:rsidRPr="008B77FE">
              <w:rPr>
                <w:rFonts w:ascii="Verdana" w:eastAsia="Times New Roman" w:hAnsi="Verdana" w:cs="Arial"/>
                <w:lang w:eastAsia="es-ES_tradnl"/>
              </w:rPr>
              <w:t>1_2025_11_19_013059</w:t>
            </w:r>
          </w:p>
        </w:tc>
      </w:tr>
    </w:tbl>
    <w:p w14:paraId="1FDB9EA7" w14:textId="77777777" w:rsidR="00F2340A" w:rsidRPr="00F252D7" w:rsidRDefault="00F2340A" w:rsidP="00F2340A">
      <w:pPr>
        <w:spacing w:after="0" w:line="240" w:lineRule="auto"/>
        <w:jc w:val="both"/>
        <w:rPr>
          <w:rFonts w:ascii="Verdana" w:eastAsia="Calibri" w:hAnsi="Verdana" w:cs="Arial"/>
          <w:lang w:val="es-ES_tradnl" w:eastAsia="es-ES_tradnl"/>
        </w:rPr>
      </w:pPr>
    </w:p>
    <w:p w14:paraId="47624289" w14:textId="77777777" w:rsidR="00F2340A" w:rsidRPr="00F252D7" w:rsidRDefault="00F2340A" w:rsidP="00F2340A">
      <w:pPr>
        <w:spacing w:after="0" w:line="240" w:lineRule="auto"/>
        <w:jc w:val="both"/>
        <w:rPr>
          <w:rFonts w:ascii="Verdana" w:eastAsia="Calibri" w:hAnsi="Verdana" w:cs="Arial"/>
          <w:lang w:val="es-ES_tradnl" w:eastAsia="es-ES_tradnl"/>
        </w:rPr>
      </w:pPr>
    </w:p>
    <w:p w14:paraId="1F9F61C1" w14:textId="77777777" w:rsidR="00F2340A" w:rsidRPr="00F252D7" w:rsidRDefault="00F2340A" w:rsidP="00FE365D">
      <w:pPr>
        <w:spacing w:after="0" w:line="240" w:lineRule="auto"/>
        <w:contextualSpacing/>
        <w:jc w:val="both"/>
        <w:rPr>
          <w:rFonts w:ascii="Verdana" w:eastAsia="Calibri" w:hAnsi="Verdana" w:cs="Arial"/>
          <w:bCs/>
          <w:lang w:val="es-ES_tradnl" w:eastAsia="es-ES_tradnl"/>
        </w:rPr>
      </w:pPr>
      <w:r w:rsidRPr="00F252D7">
        <w:rPr>
          <w:rFonts w:ascii="Verdana" w:eastAsia="Calibri" w:hAnsi="Verdana" w:cs="Arial"/>
          <w:lang w:val="es-ES_tradnl" w:eastAsia="es-ES_tradnl"/>
        </w:rPr>
        <w:t xml:space="preserve">Estimado señor </w:t>
      </w:r>
      <w:r>
        <w:rPr>
          <w:rFonts w:ascii="Verdana" w:eastAsia="Calibri" w:hAnsi="Verdana" w:cs="Arial"/>
          <w:lang w:val="es-ES_tradnl" w:eastAsia="es-ES_tradnl"/>
        </w:rPr>
        <w:t>Montero</w:t>
      </w:r>
      <w:r w:rsidRPr="00F252D7">
        <w:rPr>
          <w:rFonts w:ascii="Verdana" w:eastAsia="Calibri" w:hAnsi="Verdana" w:cs="Arial"/>
          <w:bCs/>
          <w:lang w:val="es-ES_tradnl" w:eastAsia="es-ES_tradnl"/>
        </w:rPr>
        <w:t>:</w:t>
      </w:r>
    </w:p>
    <w:p w14:paraId="4075F6BD" w14:textId="77777777" w:rsidR="00F2340A" w:rsidRPr="00F252D7" w:rsidRDefault="00F2340A" w:rsidP="0027282C">
      <w:pPr>
        <w:spacing w:after="0" w:line="276" w:lineRule="auto"/>
        <w:jc w:val="both"/>
        <w:rPr>
          <w:rFonts w:ascii="Verdana" w:eastAsia="Calibri" w:hAnsi="Verdana" w:cs="Arial"/>
          <w:lang w:val="es-ES_tradnl" w:eastAsia="es-ES_tradnl"/>
        </w:rPr>
      </w:pPr>
    </w:p>
    <w:p w14:paraId="08879165" w14:textId="77777777" w:rsidR="00F2340A" w:rsidRPr="00F252D7" w:rsidRDefault="00F2340A" w:rsidP="00FE365D">
      <w:pPr>
        <w:spacing w:after="0" w:line="276" w:lineRule="auto"/>
        <w:jc w:val="both"/>
        <w:rPr>
          <w:rFonts w:ascii="Verdana" w:eastAsia="Calibri" w:hAnsi="Verdana" w:cs="Arial"/>
          <w:lang w:val="es-ES" w:eastAsia="es-ES_tradnl"/>
        </w:rPr>
      </w:pPr>
      <w:r w:rsidRPr="00F252D7">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w:t>
      </w:r>
      <w:r>
        <w:rPr>
          <w:rFonts w:ascii="Verdana" w:eastAsia="Calibri" w:hAnsi="Verdana" w:cs="Arial"/>
          <w:lang w:val="es-ES" w:eastAsia="es-ES_tradnl"/>
        </w:rPr>
        <w:t xml:space="preserve"> 19</w:t>
      </w:r>
      <w:r w:rsidRPr="00F252D7">
        <w:rPr>
          <w:rFonts w:ascii="Verdana" w:eastAsia="Calibri" w:hAnsi="Verdana" w:cs="Arial"/>
          <w:lang w:val="es-ES" w:eastAsia="es-ES_tradnl"/>
        </w:rPr>
        <w:t xml:space="preserve"> de </w:t>
      </w:r>
      <w:r>
        <w:rPr>
          <w:rFonts w:ascii="Verdana" w:eastAsia="Calibri" w:hAnsi="Verdana" w:cs="Arial"/>
          <w:lang w:val="es-ES" w:eastAsia="es-ES_tradnl"/>
        </w:rPr>
        <w:t>noviembre</w:t>
      </w:r>
      <w:r w:rsidRPr="00F252D7">
        <w:rPr>
          <w:rFonts w:ascii="Verdana" w:eastAsia="Calibri" w:hAnsi="Verdana" w:cs="Arial"/>
          <w:lang w:val="es-ES" w:eastAsia="es-ES_tradnl"/>
        </w:rPr>
        <w:t xml:space="preserve"> de 202</w:t>
      </w:r>
      <w:r>
        <w:rPr>
          <w:rFonts w:ascii="Verdana" w:eastAsia="Calibri" w:hAnsi="Verdana" w:cs="Arial"/>
          <w:lang w:val="es-ES" w:eastAsia="es-ES_tradnl"/>
        </w:rPr>
        <w:t>5</w:t>
      </w:r>
      <w:r w:rsidRPr="00F252D7">
        <w:rPr>
          <w:rFonts w:ascii="Verdana" w:eastAsia="Calibri" w:hAnsi="Verdana" w:cs="Arial"/>
          <w:lang w:val="es-ES" w:eastAsia="es-ES_tradnl"/>
        </w:rPr>
        <w:t>, en la cual manifiesta lo siguiente:</w:t>
      </w:r>
    </w:p>
    <w:p w14:paraId="53E19646" w14:textId="77777777" w:rsidR="00F2340A" w:rsidRPr="00F252D7" w:rsidRDefault="00F2340A" w:rsidP="00FE365D">
      <w:pPr>
        <w:spacing w:after="0" w:line="276" w:lineRule="auto"/>
        <w:jc w:val="both"/>
        <w:rPr>
          <w:rFonts w:ascii="Verdana" w:eastAsia="Calibri" w:hAnsi="Verdana" w:cs="Arial"/>
          <w:b/>
          <w:szCs w:val="24"/>
          <w:lang w:val="es-ES_tradnl" w:eastAsia="es-ES_tradnl"/>
        </w:rPr>
      </w:pPr>
    </w:p>
    <w:p w14:paraId="104ED951" w14:textId="77777777" w:rsidR="00F2340A" w:rsidRPr="00FE365D" w:rsidRDefault="00F2340A" w:rsidP="00F2340A">
      <w:pPr>
        <w:spacing w:after="0" w:line="240" w:lineRule="auto"/>
        <w:ind w:left="709" w:right="709"/>
        <w:contextualSpacing/>
        <w:jc w:val="both"/>
        <w:rPr>
          <w:rFonts w:ascii="Verdana" w:eastAsia="Times New Roman" w:hAnsi="Verdana" w:cs="Arial"/>
          <w:sz w:val="20"/>
          <w:szCs w:val="20"/>
          <w:lang w:eastAsia="es-ES_tradnl"/>
        </w:rPr>
      </w:pPr>
      <w:r w:rsidRPr="00FE365D">
        <w:rPr>
          <w:rFonts w:ascii="Verdana" w:eastAsia="Times New Roman" w:hAnsi="Verdana" w:cs="Arial"/>
          <w:sz w:val="20"/>
          <w:szCs w:val="20"/>
          <w:lang w:eastAsia="es-ES_tradnl"/>
        </w:rPr>
        <w:t xml:space="preserve">“En atención a los recientes cambios en la elaboración de estudios de sector y estudios de mercado, solicitamos a ustedes aclarar los lineamientos aplicables para determinar el precio de referencia del bien o servicio a adquirir, conforme a lo dispuesto en el artículo 2.2.1.1.1.6.1 del Decreto 1082 de 2015 y la Guía para la Elaboración de Estudios del Sector publicada por Colombia Compra Eficiente. Específicamente, requerimos </w:t>
      </w:r>
      <w:r w:rsidRPr="00FE365D">
        <w:rPr>
          <w:rFonts w:ascii="Verdana" w:eastAsia="Times New Roman" w:hAnsi="Verdana" w:cs="Arial"/>
          <w:sz w:val="20"/>
          <w:szCs w:val="20"/>
          <w:lang w:eastAsia="es-ES_tradnl"/>
        </w:rPr>
        <w:lastRenderedPageBreak/>
        <w:t>saber si, una vez obtenidas entre tres (3) y siete (7) cotizaciones, debemos aplicar análisis cuantitativos (medidas de tendencia central y dispersión) para definir el precio de referencia, tal como lo indica la Guía, o si la entidad cuenta con autonomía para implementar un modelo propio que establezca el precio tope, siempre que se garantice el cumplimiento de los principios de transparencia, economía y eficacia previstos en la Ley 1150 de 2007.”.</w:t>
      </w:r>
    </w:p>
    <w:p w14:paraId="3BF3C2C1"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eastAsia="es-ES_tradnl"/>
        </w:rPr>
      </w:pPr>
    </w:p>
    <w:p w14:paraId="11834726" w14:textId="77777777" w:rsidR="00F2340A" w:rsidRPr="00F252D7" w:rsidRDefault="00F2340A" w:rsidP="00F2340A">
      <w:pPr>
        <w:spacing w:after="120" w:line="276" w:lineRule="auto"/>
        <w:ind w:firstLine="709"/>
        <w:jc w:val="both"/>
        <w:rPr>
          <w:rFonts w:ascii="Verdana" w:eastAsia="Calibri" w:hAnsi="Verdana" w:cs="Arial"/>
          <w:color w:val="000000"/>
          <w:szCs w:val="24"/>
          <w:lang w:val="es-ES_tradnl" w:eastAsia="es-ES_tradnl"/>
        </w:rPr>
      </w:pPr>
      <w:r w:rsidRPr="00F252D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252D7">
        <w:rPr>
          <w:rFonts w:ascii="Verdana" w:eastAsia="Calibri" w:hAnsi="Verdana" w:cs="Arial"/>
          <w:color w:val="000000"/>
          <w:szCs w:val="24"/>
          <w:lang w:val="es-ES_tradnl" w:eastAsia="es-ES_tradnl"/>
        </w:rPr>
        <w:tab/>
      </w:r>
    </w:p>
    <w:p w14:paraId="744D38E5" w14:textId="77777777" w:rsidR="00F2340A" w:rsidRPr="00F252D7" w:rsidRDefault="00F2340A" w:rsidP="00F2340A">
      <w:pPr>
        <w:spacing w:after="0" w:line="276" w:lineRule="auto"/>
        <w:ind w:firstLine="709"/>
        <w:jc w:val="both"/>
        <w:rPr>
          <w:rFonts w:ascii="Verdana" w:eastAsia="Calibri" w:hAnsi="Verdana" w:cs="Arial"/>
          <w:lang w:val="es-ES" w:eastAsia="es-ES"/>
        </w:rPr>
      </w:pPr>
      <w:r w:rsidRPr="00F252D7">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el</w:t>
      </w:r>
      <w:r w:rsidRPr="00F252D7">
        <w:rPr>
          <w:rFonts w:ascii="Verdana" w:eastAsia="Calibri" w:hAnsi="Verdana" w:cs="Arial"/>
          <w:lang w:val="es-ES" w:eastAsia="es-ES"/>
        </w:rPr>
        <w:t xml:space="preserve"> </w:t>
      </w:r>
      <w:r>
        <w:rPr>
          <w:rFonts w:ascii="Verdana" w:eastAsia="Calibri" w:hAnsi="Verdana" w:cs="Arial"/>
          <w:lang w:val="es-ES" w:eastAsia="es-ES"/>
        </w:rPr>
        <w:t xml:space="preserve">siguiente </w:t>
      </w:r>
      <w:r w:rsidRPr="00F252D7">
        <w:rPr>
          <w:rFonts w:ascii="Verdana" w:eastAsia="Calibri" w:hAnsi="Verdana" w:cs="Arial"/>
          <w:lang w:val="es-ES" w:eastAsia="es-ES"/>
        </w:rPr>
        <w:t xml:space="preserve">problema jurídico de su consulta. </w:t>
      </w:r>
    </w:p>
    <w:p w14:paraId="518C9CF4" w14:textId="77777777" w:rsidR="00F2340A" w:rsidRPr="00F252D7" w:rsidRDefault="00F2340A" w:rsidP="00F2340A">
      <w:pPr>
        <w:spacing w:after="0" w:line="276" w:lineRule="auto"/>
        <w:contextualSpacing/>
        <w:jc w:val="both"/>
        <w:rPr>
          <w:rFonts w:ascii="Verdana" w:eastAsia="Times New Roman" w:hAnsi="Verdana" w:cs="Arial"/>
          <w:szCs w:val="24"/>
          <w:lang w:val="es-ES_tradnl" w:eastAsia="es-ES_tradnl"/>
        </w:rPr>
      </w:pPr>
    </w:p>
    <w:p w14:paraId="1A6E2EE9" w14:textId="77777777" w:rsidR="00F2340A" w:rsidRPr="00F252D7" w:rsidRDefault="00F2340A" w:rsidP="00F2340A">
      <w:pPr>
        <w:tabs>
          <w:tab w:val="left" w:pos="0"/>
          <w:tab w:val="left" w:pos="284"/>
        </w:tabs>
        <w:spacing w:after="0" w:line="276" w:lineRule="auto"/>
        <w:contextualSpacing/>
        <w:jc w:val="both"/>
        <w:rPr>
          <w:rFonts w:ascii="Verdana" w:eastAsia="Calibri" w:hAnsi="Verdana" w:cs="Arial"/>
          <w:b/>
          <w:lang w:val="es-ES_tradnl"/>
        </w:rPr>
      </w:pPr>
      <w:r w:rsidRPr="00F252D7">
        <w:rPr>
          <w:rFonts w:ascii="Verdana" w:eastAsia="Calibri" w:hAnsi="Verdana" w:cs="Arial"/>
          <w:b/>
          <w:lang w:val="es-ES_tradnl"/>
        </w:rPr>
        <w:t>1. Problema planteado:</w:t>
      </w:r>
    </w:p>
    <w:p w14:paraId="100A5433" w14:textId="77777777" w:rsidR="00F2340A" w:rsidRPr="00F252D7" w:rsidRDefault="00F2340A" w:rsidP="00F2340A">
      <w:pPr>
        <w:tabs>
          <w:tab w:val="left" w:pos="0"/>
          <w:tab w:val="left" w:pos="284"/>
        </w:tabs>
        <w:spacing w:after="0" w:line="276" w:lineRule="auto"/>
        <w:contextualSpacing/>
        <w:jc w:val="both"/>
        <w:rPr>
          <w:rFonts w:ascii="Verdana" w:eastAsia="Calibri" w:hAnsi="Verdana" w:cs="Arial"/>
          <w:b/>
          <w:lang w:val="es-ES_tradnl"/>
        </w:rPr>
      </w:pPr>
    </w:p>
    <w:p w14:paraId="774CDACD" w14:textId="77777777" w:rsidR="00F2340A" w:rsidRPr="00F252D7" w:rsidRDefault="00F2340A" w:rsidP="00F2340A">
      <w:pPr>
        <w:spacing w:after="0" w:line="276" w:lineRule="auto"/>
        <w:jc w:val="both"/>
        <w:rPr>
          <w:rFonts w:ascii="Verdana" w:eastAsia="Century Gothic" w:hAnsi="Verdana" w:cs="Century Gothic"/>
        </w:rPr>
      </w:pPr>
      <w:r w:rsidRPr="00F252D7">
        <w:rPr>
          <w:rFonts w:ascii="Verdana" w:eastAsia="Century Gothic" w:hAnsi="Verdana" w:cs="Century Gothic"/>
        </w:rPr>
        <w:t>De acuerdo con el contenido de su solicitud, esta Agencia resolverá el siguiente problema jurídico: ¿</w:t>
      </w:r>
      <w:r>
        <w:rPr>
          <w:rFonts w:ascii="Verdana" w:eastAsia="Century Gothic" w:hAnsi="Verdana" w:cs="Century Gothic"/>
        </w:rPr>
        <w:t xml:space="preserve">Cómo se determina el valor del </w:t>
      </w:r>
      <w:r w:rsidRPr="07D7AD4D">
        <w:rPr>
          <w:rFonts w:ascii="Verdana" w:eastAsia="Century Gothic" w:hAnsi="Verdana" w:cs="Century Gothic"/>
        </w:rPr>
        <w:t xml:space="preserve">presupuesto oficial </w:t>
      </w:r>
      <w:r>
        <w:rPr>
          <w:rFonts w:ascii="Verdana" w:eastAsia="Century Gothic" w:hAnsi="Verdana" w:cs="Century Gothic"/>
        </w:rPr>
        <w:t>en los estudios previos</w:t>
      </w:r>
      <w:r w:rsidRPr="07D7AD4D">
        <w:rPr>
          <w:rFonts w:ascii="Verdana" w:eastAsia="Century Gothic" w:hAnsi="Verdana" w:cs="Century Gothic"/>
        </w:rPr>
        <w:t xml:space="preserve"> de un proceso de contratación</w:t>
      </w:r>
      <w:r w:rsidRPr="00F252D7">
        <w:rPr>
          <w:rFonts w:ascii="Verdana" w:eastAsia="Century Gothic" w:hAnsi="Verdana" w:cs="Century Gothic"/>
        </w:rPr>
        <w:t xml:space="preserve">? </w:t>
      </w:r>
    </w:p>
    <w:p w14:paraId="5A72E61A" w14:textId="77777777" w:rsidR="00F2340A" w:rsidRPr="00F252D7" w:rsidRDefault="00F2340A" w:rsidP="00F2340A">
      <w:pPr>
        <w:spacing w:after="0" w:line="276" w:lineRule="auto"/>
        <w:ind w:firstLine="709"/>
        <w:jc w:val="both"/>
        <w:rPr>
          <w:rFonts w:ascii="Verdana" w:eastAsia="Calibri" w:hAnsi="Verdana" w:cs="Arial"/>
          <w:lang w:val="es-ES" w:eastAsia="es-ES_tradnl"/>
        </w:rPr>
      </w:pPr>
    </w:p>
    <w:p w14:paraId="04F26890" w14:textId="77777777" w:rsidR="00F2340A" w:rsidRPr="00F252D7" w:rsidRDefault="00F2340A" w:rsidP="00F2340A">
      <w:pPr>
        <w:tabs>
          <w:tab w:val="left" w:pos="142"/>
          <w:tab w:val="left" w:pos="284"/>
        </w:tabs>
        <w:spacing w:after="0" w:line="276" w:lineRule="auto"/>
        <w:jc w:val="both"/>
        <w:rPr>
          <w:rFonts w:ascii="Verdana" w:eastAsia="Century Gothic" w:hAnsi="Verdana" w:cs="Century Gothic"/>
          <w:b/>
          <w:bCs/>
        </w:rPr>
      </w:pPr>
      <w:r w:rsidRPr="00F252D7">
        <w:rPr>
          <w:rFonts w:ascii="Verdana" w:eastAsia="Century Gothic" w:hAnsi="Verdana" w:cs="Century Gothic"/>
          <w:b/>
          <w:bCs/>
        </w:rPr>
        <w:t>2. Respuesta:</w:t>
      </w:r>
    </w:p>
    <w:p w14:paraId="62A20C1D" w14:textId="77777777" w:rsidR="00F2340A" w:rsidRPr="00F252D7" w:rsidRDefault="00F2340A" w:rsidP="00F2340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2340A" w:rsidRPr="00F252D7" w14:paraId="64743F87" w14:textId="77777777" w:rsidTr="008F7EA1">
        <w:tc>
          <w:tcPr>
            <w:tcW w:w="8828" w:type="dxa"/>
          </w:tcPr>
          <w:p w14:paraId="7DB7B063" w14:textId="77777777" w:rsidR="00F2340A" w:rsidRPr="00F252D7" w:rsidRDefault="00F2340A" w:rsidP="008F7EA1">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t>En primer lugar, d</w:t>
            </w:r>
            <w:r w:rsidRPr="00594D84">
              <w:rPr>
                <w:rFonts w:ascii="Verdana" w:eastAsia="Calibri" w:hAnsi="Verdana" w:cs="Arial"/>
                <w:szCs w:val="24"/>
                <w:lang w:val="es-ES" w:eastAsia="es-ES_tradnl"/>
              </w:rPr>
              <w:t xml:space="preserve">esde la etapa de planeación, en la fase precontractual, las Entidades Estatales deben calcular el presupuesto oficial, mediante la </w:t>
            </w:r>
            <w:r w:rsidRPr="00594D84">
              <w:rPr>
                <w:rFonts w:ascii="Verdana" w:eastAsia="Calibri" w:hAnsi="Verdana" w:cs="Arial"/>
                <w:szCs w:val="24"/>
                <w:lang w:val="es-ES" w:eastAsia="es-ES_tradnl"/>
              </w:rPr>
              <w:lastRenderedPageBreak/>
              <w:t>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w:t>
            </w:r>
          </w:p>
          <w:p w14:paraId="0AF6CFD6" w14:textId="77777777" w:rsidR="00F2340A" w:rsidRDefault="00F2340A" w:rsidP="008F7EA1">
            <w:pPr>
              <w:spacing w:after="120" w:line="276" w:lineRule="auto"/>
              <w:ind w:firstLine="708"/>
              <w:jc w:val="both"/>
              <w:rPr>
                <w:rFonts w:ascii="Verdana" w:eastAsia="Calibri" w:hAnsi="Verdana" w:cs="Arial"/>
                <w:szCs w:val="24"/>
                <w:lang w:val="es-ES" w:eastAsia="es-ES_tradnl"/>
              </w:rPr>
            </w:pPr>
            <w:r w:rsidRPr="00594D84">
              <w:rPr>
                <w:rFonts w:ascii="Verdana" w:eastAsia="Times New Roman" w:hAnsi="Verdana" w:cs="Arial"/>
                <w:lang w:eastAsia="es-ES_tradnl"/>
              </w:rPr>
              <w:t>De</w:t>
            </w:r>
            <w:r w:rsidRPr="00F252D7">
              <w:rPr>
                <w:rFonts w:ascii="Verdana" w:eastAsia="Calibri" w:hAnsi="Verdana" w:cs="Arial"/>
                <w:szCs w:val="24"/>
                <w:lang w:val="es-ES" w:eastAsia="es-ES_tradnl"/>
              </w:rPr>
              <w:t xml:space="preserve"> acuerdo con la </w:t>
            </w:r>
            <w:r w:rsidRPr="00F252D7">
              <w:rPr>
                <w:rFonts w:ascii="Verdana" w:eastAsia="Calibri" w:hAnsi="Verdana" w:cs="Arial"/>
                <w:bCs/>
                <w:lang w:val="es-ES_tradnl" w:eastAsia="es-MX"/>
              </w:rPr>
              <w:t xml:space="preserve">“Guía para la Elaboración de Estudios del Sector” expedida por Agencia Nacional de Contratación Pública – Colombia Compra Eficiente, </w:t>
            </w:r>
            <w:r>
              <w:rPr>
                <w:rFonts w:ascii="Verdana" w:eastAsia="Calibri" w:hAnsi="Verdana" w:cs="Arial"/>
                <w:bCs/>
                <w:lang w:val="es-ES_tradnl" w:eastAsia="es-MX"/>
              </w:rPr>
              <w:t xml:space="preserve">allí se establecen varias metodologías, como las cotizaciones, que </w:t>
            </w:r>
            <w:r w:rsidRPr="006D4F5F">
              <w:rPr>
                <w:rFonts w:ascii="Verdana" w:eastAsia="Calibri" w:hAnsi="Verdana" w:cs="Arial"/>
                <w:szCs w:val="24"/>
                <w:lang w:val="es-ES" w:eastAsia="es-ES_tradnl"/>
              </w:rPr>
              <w:t>son un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r>
              <w:rPr>
                <w:rFonts w:ascii="Verdana" w:eastAsia="Calibri" w:hAnsi="Verdana" w:cs="Arial"/>
                <w:szCs w:val="24"/>
                <w:lang w:val="es-ES" w:eastAsia="es-ES_tradnl"/>
              </w:rPr>
              <w:t xml:space="preserve">; no obstante, las Entidades Públicas gozan de autonomía </w:t>
            </w:r>
            <w:r w:rsidRPr="008A306B">
              <w:rPr>
                <w:rFonts w:ascii="Verdana" w:eastAsia="Calibri" w:hAnsi="Verdana" w:cs="Arial"/>
                <w:szCs w:val="24"/>
                <w:lang w:eastAsia="es-ES_tradnl"/>
              </w:rPr>
              <w:t xml:space="preserve">razonada, a la hora de </w:t>
            </w:r>
            <w:r>
              <w:rPr>
                <w:rFonts w:ascii="Verdana" w:eastAsia="Calibri" w:hAnsi="Verdana" w:cs="Arial"/>
                <w:szCs w:val="24"/>
                <w:lang w:eastAsia="es-ES_tradnl"/>
              </w:rPr>
              <w:t>aplicar una metodología para elaborar el Estudio del Sector, para lo cual dentro de su Manual de Contratación establecerán aquella que consideren pertinente,  siempre y cuando acaten la</w:t>
            </w:r>
            <w:r w:rsidRPr="008A306B">
              <w:rPr>
                <w:rFonts w:ascii="Verdana" w:eastAsia="Calibri" w:hAnsi="Verdana" w:cs="Arial"/>
                <w:szCs w:val="24"/>
                <w:lang w:eastAsia="es-ES_tradnl"/>
              </w:rPr>
              <w:t xml:space="preserve"> Ley 1150 de 2007 y el Decreto 1082 de 2015</w:t>
            </w:r>
            <w:r>
              <w:rPr>
                <w:rFonts w:ascii="Verdana" w:eastAsia="Calibri" w:hAnsi="Verdana" w:cs="Arial"/>
                <w:szCs w:val="24"/>
                <w:lang w:val="es-ES" w:eastAsia="es-ES_tradnl"/>
              </w:rPr>
              <w:t xml:space="preserve"> frente a esta materia.</w:t>
            </w:r>
          </w:p>
          <w:p w14:paraId="3990009C" w14:textId="77777777" w:rsidR="00F2340A" w:rsidRPr="00F252D7" w:rsidRDefault="00F2340A" w:rsidP="008F7EA1">
            <w:pPr>
              <w:spacing w:line="276" w:lineRule="auto"/>
              <w:ind w:firstLine="708"/>
              <w:jc w:val="both"/>
              <w:rPr>
                <w:rFonts w:ascii="Verdana" w:eastAsia="Calibri" w:hAnsi="Verdana" w:cs="Arial"/>
                <w:color w:val="7030A0"/>
              </w:rPr>
            </w:pPr>
            <w:r w:rsidRPr="00F252D7">
              <w:rPr>
                <w:rFonts w:ascii="Verdana" w:eastAsia="Times New Roman" w:hAnsi="Verdana" w:cs="Arial"/>
                <w:lang w:eastAsia="es-ES_tradnl"/>
              </w:rPr>
              <w:t xml:space="preserve">Sin perjuicio de las aclaraciones anteriores, debe advertirse que es la entidad contratante, al momento de adelantar su actividad contractual, quien debe determinar lo correspondiente a </w:t>
            </w:r>
            <w:r>
              <w:rPr>
                <w:rFonts w:ascii="Verdana" w:eastAsia="Times New Roman" w:hAnsi="Verdana" w:cs="Arial"/>
                <w:lang w:eastAsia="es-ES_tradnl"/>
              </w:rPr>
              <w:t>sus procesos de contratación</w:t>
            </w:r>
            <w:r w:rsidRPr="00F252D7">
              <w:rPr>
                <w:rFonts w:ascii="Verdana" w:eastAsia="Times New Roman" w:hAnsi="Verdana" w:cs="Arial"/>
                <w:lang w:eastAsia="es-ES_tradnl"/>
              </w:rPr>
              <w:t>. Dado esto, y en atención al alcance la función consultiva atribuida a esta Agencia, lo aquí mencionado no constituye un juicio de valor sobre un proceso contractual particular.</w:t>
            </w:r>
          </w:p>
        </w:tc>
      </w:tr>
    </w:tbl>
    <w:p w14:paraId="5AB61C98" w14:textId="77777777" w:rsidR="00F2340A" w:rsidRPr="00F252D7" w:rsidRDefault="00F2340A" w:rsidP="00F2340A">
      <w:pPr>
        <w:spacing w:after="0" w:line="276" w:lineRule="auto"/>
        <w:contextualSpacing/>
        <w:jc w:val="both"/>
        <w:rPr>
          <w:rFonts w:ascii="Verdana" w:eastAsia="Times New Roman" w:hAnsi="Verdana" w:cs="Arial"/>
          <w:lang w:eastAsia="es-ES_tradnl"/>
        </w:rPr>
      </w:pPr>
    </w:p>
    <w:p w14:paraId="1773EB68" w14:textId="77777777" w:rsidR="00F2340A" w:rsidRPr="00F252D7" w:rsidRDefault="00F2340A" w:rsidP="00F2340A">
      <w:pPr>
        <w:tabs>
          <w:tab w:val="left" w:pos="142"/>
          <w:tab w:val="left" w:pos="284"/>
        </w:tabs>
        <w:spacing w:after="0" w:line="276" w:lineRule="auto"/>
        <w:jc w:val="both"/>
        <w:rPr>
          <w:rFonts w:ascii="Verdana" w:eastAsia="Century Gothic" w:hAnsi="Verdana" w:cs="Century Gothic"/>
          <w:b/>
          <w:bCs/>
          <w:lang w:val="es-ES"/>
        </w:rPr>
      </w:pPr>
      <w:r w:rsidRPr="00F252D7">
        <w:rPr>
          <w:rFonts w:ascii="Verdana" w:eastAsia="Century Gothic" w:hAnsi="Verdana" w:cs="Century Gothic"/>
          <w:b/>
          <w:bCs/>
          <w:lang w:val="es-ES"/>
        </w:rPr>
        <w:t>3. Razones de la respuesta:</w:t>
      </w:r>
    </w:p>
    <w:p w14:paraId="551AB5BE" w14:textId="77777777" w:rsidR="00F2340A" w:rsidRPr="00F252D7" w:rsidRDefault="00F2340A" w:rsidP="00F2340A">
      <w:pPr>
        <w:spacing w:after="0" w:line="276" w:lineRule="auto"/>
        <w:jc w:val="both"/>
        <w:rPr>
          <w:rFonts w:ascii="Verdana" w:eastAsia="Calibri" w:hAnsi="Verdana" w:cs="Arial"/>
          <w:color w:val="7030A0"/>
          <w:lang w:val="es-ES"/>
        </w:rPr>
      </w:pPr>
    </w:p>
    <w:p w14:paraId="7CBB265E" w14:textId="77777777" w:rsidR="00F2340A" w:rsidRPr="00F252D7" w:rsidRDefault="00F2340A" w:rsidP="00F2340A">
      <w:pPr>
        <w:spacing w:after="0" w:line="276" w:lineRule="auto"/>
        <w:jc w:val="both"/>
        <w:rPr>
          <w:rFonts w:ascii="Verdana" w:eastAsia="Calibri" w:hAnsi="Verdana" w:cs="Arial"/>
          <w:lang w:val="es-ES"/>
        </w:rPr>
      </w:pPr>
      <w:r w:rsidRPr="00F252D7">
        <w:rPr>
          <w:rFonts w:ascii="Verdana" w:eastAsia="Calibri" w:hAnsi="Verdana" w:cs="Arial"/>
          <w:lang w:val="es-ES"/>
        </w:rPr>
        <w:t xml:space="preserve">Lo anterior se sustenta en las siguientes consideraciones: </w:t>
      </w:r>
    </w:p>
    <w:p w14:paraId="32BBD704" w14:textId="77777777" w:rsidR="00F2340A" w:rsidRPr="00F252D7" w:rsidRDefault="00F2340A" w:rsidP="00F2340A">
      <w:pPr>
        <w:spacing w:after="0" w:line="276" w:lineRule="auto"/>
        <w:contextualSpacing/>
        <w:jc w:val="both"/>
        <w:rPr>
          <w:rFonts w:ascii="Verdana" w:eastAsia="Times New Roman" w:hAnsi="Verdana" w:cs="Arial"/>
          <w:lang w:val="es-ES" w:eastAsia="es-ES_tradnl"/>
        </w:rPr>
      </w:pPr>
    </w:p>
    <w:p w14:paraId="21D1744B" w14:textId="14F93BEA" w:rsidR="0027282C" w:rsidRPr="00F252D7" w:rsidRDefault="00F2340A" w:rsidP="00FE365D">
      <w:pPr>
        <w:spacing w:after="120" w:line="276" w:lineRule="auto"/>
        <w:jc w:val="both"/>
        <w:rPr>
          <w:rFonts w:ascii="Verdana" w:eastAsia="Times New Roman" w:hAnsi="Verdana" w:cs="Arial"/>
          <w:lang w:val="es-ES_tradnl" w:eastAsia="es-MX"/>
        </w:rPr>
      </w:pPr>
      <w:bookmarkStart w:id="1" w:name="_Hlk54011258"/>
      <w:r w:rsidRPr="00F252D7">
        <w:rPr>
          <w:rFonts w:ascii="Verdana" w:eastAsia="Calibri" w:hAnsi="Verdana" w:cs="Arial"/>
          <w:bCs/>
          <w:lang w:val="es-ES_tradnl" w:eastAsia="es-MX"/>
        </w:rPr>
        <w:t xml:space="preserve">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w:t>
      </w:r>
      <w:r w:rsidRPr="00F252D7">
        <w:rPr>
          <w:rFonts w:ascii="Verdana" w:eastAsia="Calibri" w:hAnsi="Verdana" w:cs="Arial"/>
          <w:bCs/>
          <w:lang w:val="es-ES_tradnl" w:eastAsia="es-MX"/>
        </w:rPr>
        <w:lastRenderedPageBreak/>
        <w:t>los intereses y fines públicos inmersos en la contratación de las Entidades Estatales</w:t>
      </w:r>
      <w:bookmarkEnd w:id="1"/>
      <w:r w:rsidRPr="00F252D7">
        <w:rPr>
          <w:rFonts w:ascii="Verdana" w:eastAsia="Calibri" w:hAnsi="Verdana" w:cs="Arial"/>
          <w:bCs/>
          <w:lang w:val="es-ES_tradnl" w:eastAsia="es-MX"/>
        </w:rPr>
        <w:t>.</w:t>
      </w:r>
      <w:r w:rsidR="0027282C">
        <w:rPr>
          <w:rFonts w:ascii="Verdana" w:eastAsia="Calibri" w:hAnsi="Verdana" w:cs="Arial"/>
          <w:bCs/>
          <w:lang w:val="es-MX" w:eastAsia="es-ES_tradnl"/>
        </w:rPr>
        <w:tab/>
      </w:r>
    </w:p>
    <w:p w14:paraId="2FA3A728" w14:textId="20BC9577" w:rsidR="00F2340A" w:rsidRPr="00F252D7" w:rsidRDefault="0027282C" w:rsidP="00FE365D">
      <w:pPr>
        <w:spacing w:after="120" w:line="276" w:lineRule="auto"/>
        <w:contextualSpacing/>
        <w:jc w:val="both"/>
        <w:rPr>
          <w:rFonts w:ascii="Verdana" w:eastAsia="Calibri" w:hAnsi="Verdana" w:cs="Arial"/>
          <w:bCs/>
          <w:lang w:val="es-ES" w:eastAsia="es-ES_tradnl"/>
        </w:rPr>
      </w:pPr>
      <w:r>
        <w:rPr>
          <w:rFonts w:ascii="Verdana" w:eastAsia="Times New Roman" w:hAnsi="Verdana" w:cs="Arial"/>
          <w:lang w:val="es-ES_tradnl" w:eastAsia="es-MX"/>
        </w:rPr>
        <w:tab/>
      </w:r>
      <w:r w:rsidR="00F2340A" w:rsidRPr="00F252D7">
        <w:rPr>
          <w:rFonts w:ascii="Verdana" w:eastAsia="Calibri" w:hAnsi="Verdana" w:cs="Arial"/>
          <w:bCs/>
          <w:lang w:val="es-MX" w:eastAsia="es-ES_tradnl"/>
        </w:rPr>
        <w:t xml:space="preserve">El Estatuto General de Contratación de la Administración Pública – EGCAP –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345082B2" w14:textId="77777777" w:rsidR="00F2340A" w:rsidRPr="00F252D7" w:rsidRDefault="00F2340A" w:rsidP="00F2340A">
      <w:pPr>
        <w:spacing w:after="0" w:line="276" w:lineRule="auto"/>
        <w:ind w:firstLine="709"/>
        <w:jc w:val="both"/>
        <w:rPr>
          <w:rFonts w:ascii="Verdana" w:eastAsia="Calibri" w:hAnsi="Verdana" w:cs="Arial"/>
          <w:bCs/>
          <w:lang w:val="es-ES" w:eastAsia="es-ES_tradnl"/>
        </w:rPr>
      </w:pPr>
    </w:p>
    <w:p w14:paraId="0FB2C65A" w14:textId="77777777" w:rsidR="00F2340A" w:rsidRPr="00F252D7" w:rsidRDefault="00F2340A" w:rsidP="00F2340A">
      <w:pPr>
        <w:spacing w:after="0" w:line="240" w:lineRule="auto"/>
        <w:ind w:left="709" w:right="709"/>
        <w:contextualSpacing/>
        <w:jc w:val="both"/>
        <w:rPr>
          <w:rFonts w:ascii="Verdana" w:eastAsia="Calibri" w:hAnsi="Verdana" w:cs="Arial"/>
          <w:sz w:val="21"/>
          <w:szCs w:val="21"/>
          <w:lang w:val="es-MX" w:eastAsia="es-ES_tradnl"/>
        </w:rPr>
      </w:pPr>
      <w:r w:rsidRPr="00F252D7">
        <w:rPr>
          <w:rFonts w:ascii="Verdana" w:eastAsia="Calibri" w:hAnsi="Verdana" w:cs="Arial"/>
          <w:sz w:val="21"/>
          <w:szCs w:val="21"/>
          <w:lang w:val="es-MX" w:eastAsia="es-ES_tradnl"/>
        </w:rPr>
        <w:t>“7o. La conveniencia o inconveniencia del objeto a contratar y las autorizaciones y aprobaciones para ello, se analizarán o impartirán con antelación al inicio del proceso de selección del contratista o al de la firma del contrato, según el caso.</w:t>
      </w:r>
    </w:p>
    <w:p w14:paraId="58701C72" w14:textId="77777777" w:rsidR="00F2340A" w:rsidRPr="00F252D7" w:rsidRDefault="00F2340A" w:rsidP="00F2340A">
      <w:pPr>
        <w:spacing w:after="0" w:line="240" w:lineRule="auto"/>
        <w:ind w:left="709" w:right="709"/>
        <w:contextualSpacing/>
        <w:jc w:val="both"/>
        <w:rPr>
          <w:rFonts w:ascii="Verdana" w:eastAsia="Calibri" w:hAnsi="Verdana" w:cs="Arial"/>
          <w:sz w:val="21"/>
          <w:szCs w:val="21"/>
          <w:lang w:val="es-MX" w:eastAsia="es-ES_tradnl"/>
        </w:rPr>
      </w:pPr>
    </w:p>
    <w:p w14:paraId="600032A1" w14:textId="77777777" w:rsidR="00F2340A" w:rsidRPr="00F252D7" w:rsidRDefault="00F2340A" w:rsidP="00F2340A">
      <w:pPr>
        <w:spacing w:after="0" w:line="240" w:lineRule="auto"/>
        <w:ind w:left="709" w:right="709"/>
        <w:contextualSpacing/>
        <w:jc w:val="both"/>
        <w:rPr>
          <w:rFonts w:ascii="Verdana" w:eastAsia="Calibri" w:hAnsi="Verdana" w:cs="Arial"/>
          <w:sz w:val="21"/>
          <w:szCs w:val="21"/>
          <w:lang w:val="es-MX" w:eastAsia="es-ES_tradnl"/>
        </w:rPr>
      </w:pPr>
      <w:r w:rsidRPr="00F252D7">
        <w:rPr>
          <w:rFonts w:ascii="Verdana" w:eastAsia="Calibri" w:hAnsi="Verdana" w:cs="Arial"/>
          <w:sz w:val="21"/>
          <w:szCs w:val="21"/>
          <w:lang w:val="es-MX" w:eastAsia="es-ES_tradnl"/>
        </w:rPr>
        <w:t>[…]</w:t>
      </w:r>
    </w:p>
    <w:p w14:paraId="02A335F1" w14:textId="77777777" w:rsidR="00F2340A" w:rsidRPr="00F252D7" w:rsidRDefault="00F2340A" w:rsidP="00F2340A">
      <w:pPr>
        <w:spacing w:after="0" w:line="240" w:lineRule="auto"/>
        <w:ind w:left="709" w:right="709"/>
        <w:contextualSpacing/>
        <w:jc w:val="both"/>
        <w:rPr>
          <w:rFonts w:ascii="Verdana" w:eastAsia="Calibri" w:hAnsi="Verdana" w:cs="Arial"/>
          <w:sz w:val="21"/>
          <w:szCs w:val="21"/>
          <w:lang w:val="es-MX" w:eastAsia="es-ES_tradnl"/>
        </w:rPr>
      </w:pPr>
    </w:p>
    <w:p w14:paraId="4A58FDCC" w14:textId="77777777" w:rsidR="00F2340A" w:rsidRPr="00F252D7" w:rsidRDefault="00F2340A" w:rsidP="00F2340A">
      <w:pPr>
        <w:spacing w:after="0" w:line="240" w:lineRule="auto"/>
        <w:ind w:left="709" w:right="709"/>
        <w:contextualSpacing/>
        <w:jc w:val="both"/>
        <w:rPr>
          <w:rFonts w:ascii="Verdana" w:eastAsia="Calibri" w:hAnsi="Verdana" w:cs="Arial"/>
          <w:sz w:val="21"/>
          <w:szCs w:val="21"/>
          <w:lang w:val="es-MX" w:eastAsia="es-ES_tradnl"/>
        </w:rPr>
      </w:pPr>
      <w:r w:rsidRPr="00F252D7">
        <w:rPr>
          <w:rFonts w:ascii="Verdana" w:eastAsia="Calibri" w:hAnsi="Verdana" w:cs="Arial"/>
          <w:sz w:val="21"/>
          <w:szCs w:val="21"/>
          <w:lang w:val="es-MX" w:eastAsia="es-ES_tradnl"/>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530D4B22" w14:textId="77777777" w:rsidR="00F2340A" w:rsidRPr="00F252D7" w:rsidRDefault="00F2340A" w:rsidP="00F2340A">
      <w:pPr>
        <w:spacing w:after="0" w:line="240" w:lineRule="auto"/>
        <w:ind w:left="709" w:right="709"/>
        <w:contextualSpacing/>
        <w:jc w:val="both"/>
        <w:rPr>
          <w:rFonts w:ascii="Verdana" w:eastAsia="Calibri" w:hAnsi="Verdana" w:cs="Arial"/>
          <w:sz w:val="21"/>
          <w:szCs w:val="21"/>
          <w:lang w:val="es-MX" w:eastAsia="es-ES_tradnl"/>
        </w:rPr>
      </w:pPr>
    </w:p>
    <w:p w14:paraId="400847E5" w14:textId="77777777" w:rsidR="00F2340A" w:rsidRPr="00F252D7" w:rsidRDefault="00F2340A" w:rsidP="00F2340A">
      <w:pPr>
        <w:spacing w:after="0" w:line="240" w:lineRule="auto"/>
        <w:ind w:left="709" w:right="709"/>
        <w:contextualSpacing/>
        <w:jc w:val="both"/>
        <w:rPr>
          <w:rFonts w:ascii="Verdana" w:eastAsia="Calibri" w:hAnsi="Verdana" w:cs="Arial"/>
          <w:sz w:val="21"/>
          <w:szCs w:val="21"/>
          <w:lang w:val="es-MX" w:eastAsia="es-ES_tradnl"/>
        </w:rPr>
      </w:pPr>
      <w:r w:rsidRPr="00F252D7">
        <w:rPr>
          <w:rFonts w:ascii="Verdana" w:eastAsia="Calibri" w:hAnsi="Verdana" w:cs="Arial"/>
          <w:sz w:val="21"/>
          <w:szCs w:val="21"/>
          <w:lang w:val="es-MX" w:eastAsia="es-ES_tradnl"/>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18BAEF4A" w14:textId="77777777" w:rsidR="00F2340A" w:rsidRPr="00F252D7" w:rsidRDefault="00F2340A" w:rsidP="00F2340A">
      <w:pPr>
        <w:spacing w:after="0" w:line="240" w:lineRule="auto"/>
        <w:ind w:left="709" w:right="709"/>
        <w:contextualSpacing/>
        <w:jc w:val="both"/>
        <w:rPr>
          <w:rFonts w:ascii="Verdana" w:eastAsia="Calibri" w:hAnsi="Verdana" w:cs="Arial"/>
          <w:sz w:val="21"/>
          <w:szCs w:val="21"/>
          <w:lang w:val="es-MX" w:eastAsia="es-ES_tradnl"/>
        </w:rPr>
      </w:pPr>
    </w:p>
    <w:p w14:paraId="567AAE37"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3B7A66FF"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p>
    <w:p w14:paraId="61CE1781"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14. Las entidades incluirán en sus presupuestos anuales una apropiación global destinada a cubrir los costos imprevistos </w:t>
      </w:r>
      <w:r w:rsidRPr="00F252D7">
        <w:rPr>
          <w:rFonts w:ascii="Verdana" w:eastAsia="Times New Roman" w:hAnsi="Verdana" w:cs="Arial"/>
          <w:sz w:val="21"/>
          <w:szCs w:val="21"/>
          <w:lang w:val="es-ES_tradnl" w:eastAsia="es-MX"/>
        </w:rPr>
        <w:lastRenderedPageBreak/>
        <w:t>ocasionados por los retardos en los pagos, así como los que se originen en la revisión de los precios pactados por razón de los cambios o alteraciones en las condiciones iniciales de los contratos por ellas celebrados […]”.</w:t>
      </w:r>
    </w:p>
    <w:p w14:paraId="3A68AC05" w14:textId="77777777" w:rsidR="00F2340A" w:rsidRPr="00F252D7" w:rsidRDefault="00F2340A" w:rsidP="00F2340A">
      <w:pPr>
        <w:spacing w:after="0" w:line="276" w:lineRule="auto"/>
        <w:jc w:val="both"/>
        <w:rPr>
          <w:rFonts w:ascii="Verdana" w:eastAsia="Times New Roman" w:hAnsi="Verdana" w:cs="Arial"/>
          <w:lang w:val="es-ES_tradnl" w:eastAsia="es-MX"/>
        </w:rPr>
      </w:pPr>
    </w:p>
    <w:p w14:paraId="5C9C14D4" w14:textId="77777777" w:rsidR="00F2340A" w:rsidRPr="00F252D7" w:rsidRDefault="00F2340A" w:rsidP="00FE365D">
      <w:pPr>
        <w:spacing w:after="0" w:line="276" w:lineRule="auto"/>
        <w:ind w:firstLine="708"/>
        <w:contextualSpacing/>
        <w:jc w:val="both"/>
        <w:rPr>
          <w:rFonts w:ascii="Verdana" w:eastAsia="Times New Roman" w:hAnsi="Verdana" w:cs="Arial"/>
          <w:lang w:val="es-ES_tradnl" w:eastAsia="es-MX"/>
        </w:rPr>
      </w:pPr>
      <w:r w:rsidRPr="00F252D7">
        <w:rPr>
          <w:rFonts w:ascii="Verdana" w:eastAsia="Times New Roman" w:hAnsi="Verdana" w:cs="Arial"/>
          <w:lang w:val="es-ES_tradnl" w:eastAsia="es-MX"/>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F252D7">
        <w:rPr>
          <w:rFonts w:ascii="Geomanist Light" w:hAnsi="Geomanist Light"/>
          <w:vertAlign w:val="superscript"/>
          <w:lang w:val="es-ES" w:eastAsia="es-MX"/>
        </w:rPr>
        <w:footnoteReference w:id="1"/>
      </w:r>
      <w:r w:rsidRPr="00F252D7">
        <w:rPr>
          <w:rFonts w:ascii="Verdana" w:eastAsia="Times New Roman" w:hAnsi="Verdana" w:cs="Arial"/>
          <w:lang w:val="es-ES_tradnl" w:eastAsia="es-MX"/>
        </w:rPr>
        <w:t>. En congruencia con el artículo 25 de la Ley 80 de 1993, el Decreto Único Reglamentario del Sector Administrativo de Planeación Nacional –Decreto 1082 de 2015–, dispone en el artículo 2.2.1.1.2.1.1 el contenido mínimo de los estudios y documentos previos:</w:t>
      </w:r>
    </w:p>
    <w:p w14:paraId="6AD80120" w14:textId="77777777" w:rsidR="00F2340A" w:rsidRPr="00F252D7" w:rsidRDefault="00F2340A" w:rsidP="00F2340A">
      <w:pPr>
        <w:spacing w:after="0" w:line="276" w:lineRule="auto"/>
        <w:rPr>
          <w:rFonts w:ascii="Verdana" w:eastAsia="Times New Roman" w:hAnsi="Verdana" w:cs="Arial"/>
          <w:lang w:val="es-ES_tradnl" w:eastAsia="es-CO"/>
        </w:rPr>
      </w:pPr>
    </w:p>
    <w:p w14:paraId="7BB008FB"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2B5575CD"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p>
    <w:p w14:paraId="0895139D"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1. La descripción de la necesidad que la Entidad Estatal pretende satisfacer con el Proceso de Contratación. </w:t>
      </w:r>
      <w:r w:rsidRPr="00F252D7">
        <w:rPr>
          <w:rFonts w:ascii="Arial" w:eastAsia="Times New Roman" w:hAnsi="Arial" w:cs="Arial"/>
          <w:sz w:val="21"/>
          <w:szCs w:val="21"/>
          <w:lang w:val="es-ES_tradnl" w:eastAsia="es-MX"/>
        </w:rPr>
        <w:t>​</w:t>
      </w:r>
    </w:p>
    <w:p w14:paraId="5A1E3537"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p>
    <w:p w14:paraId="53EC6E40"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2. El objeto a contratar, con sus especificaciones, las autorizaciones, permisos y licencias requeridos para su ejecución, y cuando el contrato incluye diseño y construcción, los documentos técnicos para el desarrollo del proyecto. </w:t>
      </w:r>
    </w:p>
    <w:p w14:paraId="304E5CFA"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p>
    <w:p w14:paraId="4951A07C"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3. La modalidad de selección del contratista y su justificación, incluyendo los fundamentos jurídicos. </w:t>
      </w:r>
    </w:p>
    <w:p w14:paraId="5B86A1B1"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p>
    <w:p w14:paraId="56F5EBAD"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 w:eastAsia="es-MX"/>
        </w:rPr>
      </w:pPr>
      <w:r w:rsidRPr="67DE658D">
        <w:rPr>
          <w:rFonts w:ascii="Verdana" w:eastAsia="Times New Roman" w:hAnsi="Verdana" w:cs="Arial"/>
          <w:sz w:val="21"/>
          <w:szCs w:val="21"/>
          <w:lang w:val="es-ES" w:eastAsia="es-MX"/>
        </w:rPr>
        <w:lastRenderedPageBreak/>
        <w:t xml:space="preserve">4. El valor estimado del contrato y la justificación </w:t>
      </w:r>
      <w:proofErr w:type="gramStart"/>
      <w:r w:rsidRPr="67DE658D">
        <w:rPr>
          <w:rFonts w:ascii="Verdana" w:eastAsia="Times New Roman" w:hAnsi="Verdana" w:cs="Arial"/>
          <w:sz w:val="21"/>
          <w:szCs w:val="21"/>
          <w:lang w:val="es-ES" w:eastAsia="es-MX"/>
        </w:rPr>
        <w:t>del mismo</w:t>
      </w:r>
      <w:proofErr w:type="gramEnd"/>
      <w:r w:rsidRPr="67DE658D">
        <w:rPr>
          <w:rFonts w:ascii="Verdana" w:eastAsia="Times New Roman" w:hAnsi="Verdana" w:cs="Arial"/>
          <w:sz w:val="21"/>
          <w:szCs w:val="21"/>
          <w:lang w:val="es-ES" w:eastAsia="es-MX"/>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335F26A9"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p>
    <w:p w14:paraId="645B00ED"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5. Los criterios para seleccionar la oferta más favorable. </w:t>
      </w:r>
    </w:p>
    <w:p w14:paraId="123F74A5"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p>
    <w:p w14:paraId="276A8AAD"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6. El análisis de Riesgo y la forma de mitigarlo. </w:t>
      </w:r>
    </w:p>
    <w:p w14:paraId="3D56D32F"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p>
    <w:p w14:paraId="46F07EBA"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7. Las garantías que la Entidad Estatal contempla exigir en el proceso de contratación. </w:t>
      </w:r>
    </w:p>
    <w:p w14:paraId="133A7872"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p>
    <w:p w14:paraId="452B5CD8"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8. La indicación de si el proceso de contratación está cobijado por un acuerdo comercial. </w:t>
      </w:r>
    </w:p>
    <w:p w14:paraId="2B95A37C"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p>
    <w:p w14:paraId="26AD9DCC" w14:textId="77777777" w:rsidR="00F2340A" w:rsidRPr="00F252D7" w:rsidRDefault="00F2340A" w:rsidP="00F2340A">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El presente artículo no es aplicable a la contratación por mínima cuantía”.</w:t>
      </w:r>
    </w:p>
    <w:p w14:paraId="6D8B551A" w14:textId="77777777" w:rsidR="00F2340A" w:rsidRPr="00F252D7" w:rsidRDefault="00F2340A" w:rsidP="00F2340A">
      <w:pPr>
        <w:widowControl w:val="0"/>
        <w:tabs>
          <w:tab w:val="left" w:pos="1305"/>
        </w:tabs>
        <w:autoSpaceDE w:val="0"/>
        <w:autoSpaceDN w:val="0"/>
        <w:spacing w:after="0" w:line="276" w:lineRule="auto"/>
        <w:ind w:left="828" w:right="822"/>
        <w:rPr>
          <w:rFonts w:ascii="Verdana" w:eastAsia="Calibri" w:hAnsi="Verdana" w:cs="Arial"/>
          <w:lang w:val="es-MX" w:eastAsia="es-ES_tradnl"/>
        </w:rPr>
      </w:pPr>
    </w:p>
    <w:p w14:paraId="28431B66" w14:textId="3518F609" w:rsidR="000D2545" w:rsidRPr="00F252D7" w:rsidRDefault="00F2340A" w:rsidP="00FE365D">
      <w:pPr>
        <w:spacing w:after="120" w:line="276" w:lineRule="auto"/>
        <w:ind w:firstLine="357"/>
        <w:jc w:val="both"/>
        <w:rPr>
          <w:rFonts w:ascii="Verdana" w:eastAsia="Times New Roman" w:hAnsi="Verdana" w:cs="Arial"/>
          <w:lang w:val="es-ES" w:eastAsia="es-MX"/>
        </w:rPr>
      </w:pPr>
      <w:bookmarkStart w:id="2" w:name="_Hlk54011351"/>
      <w:r w:rsidRPr="67DE658D">
        <w:rPr>
          <w:rFonts w:ascii="Verdana" w:eastAsia="Times New Roman" w:hAnsi="Verdana" w:cs="Arial"/>
          <w:lang w:val="es-ES" w:eastAsia="es-MX"/>
        </w:rPr>
        <w:t xml:space="preserve">De esta manera, antes de iniciar un procedimiento de selección, la Entidad Estatal podrá determinar con los estudios previos: i) la verdadera necesidad de la celebración del contrato; </w:t>
      </w:r>
      <w:proofErr w:type="spellStart"/>
      <w:r w:rsidRPr="67DE658D">
        <w:rPr>
          <w:rFonts w:ascii="Verdana" w:eastAsia="Times New Roman" w:hAnsi="Verdana" w:cs="Arial"/>
          <w:lang w:val="es-ES" w:eastAsia="es-MX"/>
        </w:rPr>
        <w:t>ii</w:t>
      </w:r>
      <w:proofErr w:type="spellEnd"/>
      <w:r w:rsidRPr="67DE658D">
        <w:rPr>
          <w:rFonts w:ascii="Verdana" w:eastAsia="Times New Roman" w:hAnsi="Verdana" w:cs="Arial"/>
          <w:lang w:val="es-ES" w:eastAsia="es-MX"/>
        </w:rPr>
        <w:t xml:space="preserve">) las modalidades existentes para satisfacer esa necesidad y las razones que justifiquen la modalidad o tipo contractual que se escoja; </w:t>
      </w:r>
      <w:proofErr w:type="spellStart"/>
      <w:r w:rsidRPr="67DE658D">
        <w:rPr>
          <w:rFonts w:ascii="Verdana" w:eastAsia="Times New Roman" w:hAnsi="Verdana" w:cs="Arial"/>
          <w:lang w:val="es-ES" w:eastAsia="es-MX"/>
        </w:rPr>
        <w:t>iii</w:t>
      </w:r>
      <w:proofErr w:type="spellEnd"/>
      <w:r w:rsidRPr="67DE658D">
        <w:rPr>
          <w:rFonts w:ascii="Verdana" w:eastAsia="Times New Roman" w:hAnsi="Verdana" w:cs="Arial"/>
          <w:lang w:val="es-ES" w:eastAsia="es-MX"/>
        </w:rPr>
        <w:t xml:space="preserve">) las calidades, especificaciones, cantidades y demás características que puedan o deban reunir los bienes, las obras o los servicios cuya contratación se haya determinado necesaria, </w:t>
      </w:r>
      <w:proofErr w:type="spellStart"/>
      <w:r w:rsidRPr="67DE658D">
        <w:rPr>
          <w:rFonts w:ascii="Verdana" w:eastAsia="Times New Roman" w:hAnsi="Verdana" w:cs="Arial"/>
          <w:lang w:val="es-ES" w:eastAsia="es-MX"/>
        </w:rPr>
        <w:t>iv</w:t>
      </w:r>
      <w:proofErr w:type="spellEnd"/>
      <w:r w:rsidRPr="67DE658D">
        <w:rPr>
          <w:rFonts w:ascii="Verdana" w:eastAsia="Times New Roman" w:hAnsi="Verdana" w:cs="Arial"/>
          <w:lang w:val="es-ES" w:eastAsia="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67DE658D">
        <w:rPr>
          <w:rFonts w:ascii="Verdana" w:eastAsia="Times New Roman" w:hAnsi="Verdana" w:cs="Arial"/>
          <w:lang w:val="es-ES" w:eastAsia="es-MX"/>
        </w:rPr>
        <w:t>vii</w:t>
      </w:r>
      <w:proofErr w:type="spellEnd"/>
      <w:r w:rsidRPr="67DE658D">
        <w:rPr>
          <w:rFonts w:ascii="Verdana" w:eastAsia="Times New Roman" w:hAnsi="Verdana" w:cs="Arial"/>
          <w:lang w:val="es-ES" w:eastAsia="es-MX"/>
        </w:rPr>
        <w:t xml:space="preserve">) los procedimientos, trámites y requisitos que deban satisfacerse, reunirse u obtenerse para llevar a cabo la selección del respectivo contratista y la celebración del contrato que se pretenda celebrar. La consideración de todos estos aspectos </w:t>
      </w:r>
      <w:bookmarkEnd w:id="2"/>
      <w:r w:rsidRPr="67DE658D">
        <w:rPr>
          <w:rFonts w:ascii="Verdana" w:eastAsia="Calibri" w:hAnsi="Verdana" w:cs="Arial"/>
          <w:lang w:val="es-ES" w:eastAsia="es-MX"/>
        </w:rPr>
        <w:t xml:space="preserve">permite que los contratos resultantes de la planeación cuenten con el sustento técnico, económico y jurídico que incidirá </w:t>
      </w:r>
      <w:r w:rsidRPr="67DE658D">
        <w:rPr>
          <w:rFonts w:ascii="Verdana" w:eastAsia="Times New Roman" w:hAnsi="Verdana" w:cs="Arial"/>
          <w:lang w:val="es-ES" w:eastAsia="es-MX"/>
        </w:rPr>
        <w:t>en una adecuada ejecución.</w:t>
      </w:r>
    </w:p>
    <w:p w14:paraId="0E8A0163" w14:textId="296C0992" w:rsidR="000D2545" w:rsidRPr="00F252D7" w:rsidRDefault="00F2340A" w:rsidP="00FE365D">
      <w:pPr>
        <w:spacing w:after="120" w:line="276" w:lineRule="auto"/>
        <w:ind w:firstLine="357"/>
        <w:jc w:val="both"/>
        <w:rPr>
          <w:rFonts w:ascii="Verdana" w:eastAsia="Times New Roman" w:hAnsi="Verdana" w:cs="Arial"/>
          <w:lang w:val="es-ES_tradnl" w:eastAsia="es-MX"/>
        </w:rPr>
      </w:pPr>
      <w:r w:rsidRPr="00F252D7">
        <w:rPr>
          <w:rFonts w:ascii="Verdana" w:eastAsia="Times New Roman" w:hAnsi="Verdana" w:cs="Arial"/>
          <w:lang w:val="es-ES_tradnl" w:eastAsia="es-MX"/>
        </w:rPr>
        <w:lastRenderedPageBreak/>
        <w:t>Más allá del cumplimiento de la normativa, “los estudios y documentos previos son el soporte para elaborar el proyecto de pliegos, los pliegos de condiciones, y el contrato”</w:t>
      </w:r>
      <w:r w:rsidRPr="00F252D7">
        <w:rPr>
          <w:rFonts w:ascii="Geomanist Light" w:hAnsi="Geomanist Light"/>
          <w:vertAlign w:val="superscript"/>
          <w:lang w:val="es-ES" w:eastAsia="es-MX"/>
        </w:rPr>
        <w:footnoteReference w:id="2"/>
      </w:r>
      <w:r w:rsidRPr="00F252D7">
        <w:rPr>
          <w:rFonts w:ascii="Verdana" w:eastAsia="Times New Roman" w:hAnsi="Verdana" w:cs="Arial"/>
          <w:lang w:val="es-ES_tradnl" w:eastAsia="es-MX"/>
        </w:rPr>
        <w:t xml:space="preserve">, por lo que deben publicarse en la etapa precontractual y sirven de motivación para los documentos expedidos unilateralmente por la Entidad Estatal tales como el acto administrativo de apertura, los pliegos de condiciones y el acto de adjudicación, entre otros. En ese sentido, </w:t>
      </w:r>
      <w:bookmarkStart w:id="4" w:name="_Hlk54011438"/>
      <w:r w:rsidRPr="00F252D7">
        <w:rPr>
          <w:rFonts w:ascii="Verdana" w:eastAsia="Times New Roman" w:hAnsi="Verdana" w:cs="Arial"/>
          <w:lang w:val="es-ES_tradnl" w:eastAsia="es-MX"/>
        </w:rPr>
        <w:t>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4"/>
      <w:r w:rsidRPr="00F252D7">
        <w:rPr>
          <w:rFonts w:ascii="Geomanist Light" w:hAnsi="Geomanist Light"/>
          <w:vertAlign w:val="superscript"/>
          <w:lang w:val="es-ES" w:eastAsia="es-MX"/>
        </w:rPr>
        <w:footnoteReference w:id="3"/>
      </w:r>
      <w:r w:rsidRPr="00F252D7">
        <w:rPr>
          <w:rFonts w:ascii="Verdana" w:eastAsia="Times New Roman" w:hAnsi="Verdana" w:cs="Arial"/>
          <w:lang w:val="es-ES_tradnl" w:eastAsia="es-MX"/>
        </w:rPr>
        <w:t>.</w:t>
      </w:r>
    </w:p>
    <w:p w14:paraId="381031F8" w14:textId="51FB878B" w:rsidR="000D2545" w:rsidRPr="00F252D7" w:rsidRDefault="00F2340A" w:rsidP="00FE365D">
      <w:pPr>
        <w:spacing w:after="120" w:line="276" w:lineRule="auto"/>
        <w:ind w:firstLine="357"/>
        <w:jc w:val="both"/>
        <w:rPr>
          <w:rFonts w:ascii="Verdana" w:eastAsia="Times New Roman" w:hAnsi="Verdana" w:cs="Arial"/>
          <w:szCs w:val="24"/>
          <w:lang w:val="es-ES" w:eastAsia="es-ES_tradnl"/>
        </w:rPr>
      </w:pPr>
      <w:r w:rsidRPr="00F252D7">
        <w:rPr>
          <w:rFonts w:ascii="Verdana" w:eastAsia="Times New Roman" w:hAnsi="Verdana" w:cs="Arial"/>
          <w:szCs w:val="24"/>
          <w:lang w:val="es-ES" w:eastAsia="es-ES_tradnl"/>
        </w:rPr>
        <w:t xml:space="preserve">Ahora bien, el numeral 12 del artículo 25 de la Ley 80 de 1993, antes citado, establece el deber de las entidades de realizar estudios previos en dos (2) momentos específicos: i) previo a la apertura de un proceso de selección y </w:t>
      </w:r>
      <w:proofErr w:type="spellStart"/>
      <w:r w:rsidRPr="00F252D7">
        <w:rPr>
          <w:rFonts w:ascii="Verdana" w:eastAsia="Times New Roman" w:hAnsi="Verdana" w:cs="Arial"/>
          <w:szCs w:val="24"/>
          <w:lang w:val="es-ES" w:eastAsia="es-ES_tradnl"/>
        </w:rPr>
        <w:t>ii</w:t>
      </w:r>
      <w:proofErr w:type="spellEnd"/>
      <w:r w:rsidRPr="00F252D7">
        <w:rPr>
          <w:rFonts w:ascii="Verdana" w:eastAsia="Times New Roman" w:hAnsi="Verdana" w:cs="Arial"/>
          <w:szCs w:val="24"/>
          <w:lang w:val="es-ES" w:eastAsia="es-ES_tradnl"/>
        </w:rPr>
        <w:t xml:space="preserve">) previo a la firma del contrato en el caso en que la modalidad de selección sea contratación directa. </w:t>
      </w:r>
    </w:p>
    <w:p w14:paraId="1748E889" w14:textId="12458DE7" w:rsidR="000D2545" w:rsidRPr="00F252D7" w:rsidRDefault="00F2340A" w:rsidP="00FE365D">
      <w:pPr>
        <w:spacing w:after="120" w:line="276" w:lineRule="auto"/>
        <w:ind w:firstLine="357"/>
        <w:jc w:val="both"/>
        <w:rPr>
          <w:rFonts w:ascii="Verdana" w:eastAsia="Calibri" w:hAnsi="Verdana" w:cs="Arial"/>
          <w:bCs/>
          <w:lang w:val="es-ES_tradnl" w:eastAsia="es-MX"/>
        </w:rPr>
      </w:pPr>
      <w:r w:rsidRPr="00F252D7">
        <w:rPr>
          <w:rFonts w:ascii="Verdana" w:eastAsia="Times New Roman" w:hAnsi="Verdana" w:cs="Arial"/>
          <w:lang w:val="es-ES_tradnl" w:eastAsia="es-MX"/>
        </w:rPr>
        <w:t xml:space="preserve">Por otra parte, conforme se desprende de los numerales 2 y 4 del artículo 2.2.1.1.2.1.1 del Decreto 1082 de 2015, uno de los aspectos principales que deben abarcar los estudios previos es la determinación del objeto a contratar con sus especificaciones y el valor estimado del contrato aparejado de su respectiva justificación. </w:t>
      </w:r>
      <w:r w:rsidRPr="00F252D7">
        <w:rPr>
          <w:rFonts w:ascii="Verdana" w:eastAsia="Calibri" w:hAnsi="Verdana" w:cs="Arial"/>
          <w:bCs/>
          <w:lang w:val="es-ES_tradnl" w:eastAsia="es-MX"/>
        </w:rPr>
        <w:t xml:space="preserve">Para estos efectos resulta relevante </w:t>
      </w:r>
      <w:bookmarkStart w:id="5" w:name="_Hlk139465916"/>
      <w:r w:rsidRPr="00F252D7">
        <w:rPr>
          <w:rFonts w:ascii="Verdana" w:eastAsia="Calibri" w:hAnsi="Verdana" w:cs="Arial"/>
          <w:bCs/>
          <w:lang w:val="es-ES_tradnl" w:eastAsia="es-MX"/>
        </w:rPr>
        <w:t xml:space="preserve">la información recolectada en el marco del </w:t>
      </w:r>
      <w:r w:rsidRPr="00F252D7">
        <w:rPr>
          <w:rFonts w:ascii="Verdana" w:eastAsia="Calibri" w:hAnsi="Verdana" w:cs="Arial"/>
          <w:bCs/>
          <w:i/>
          <w:iCs/>
          <w:lang w:val="es-ES_tradnl" w:eastAsia="es-MX"/>
        </w:rPr>
        <w:t>estudio del mercado</w:t>
      </w:r>
      <w:r w:rsidRPr="00F252D7">
        <w:rPr>
          <w:rFonts w:ascii="Verdana" w:eastAsia="Calibri" w:hAnsi="Verdana" w:cs="Arial"/>
          <w:bCs/>
          <w:lang w:val="es-ES_tradnl" w:eastAsia="es-MX"/>
        </w:rPr>
        <w:t xml:space="preserve">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En este sentido, el análisis del sector de las perspectivas legal, comercial, financiera, organizacional, técnica, y de análisis de Riesgo, al que se refiere el artículo </w:t>
      </w:r>
      <w:bookmarkStart w:id="6" w:name="_Hlk36117416"/>
      <w:r w:rsidRPr="00F252D7">
        <w:rPr>
          <w:rFonts w:ascii="Verdana" w:eastAsia="Calibri" w:hAnsi="Verdana" w:cs="Arial"/>
          <w:bCs/>
          <w:lang w:val="es-ES_tradnl" w:eastAsia="es-MX"/>
        </w:rPr>
        <w:t>2.2.1.1.1.6.1 del Decreto 1082 de 2015</w:t>
      </w:r>
      <w:bookmarkEnd w:id="6"/>
      <w:r w:rsidRPr="00F252D7">
        <w:rPr>
          <w:rFonts w:ascii="Verdana" w:eastAsia="Calibri" w:hAnsi="Verdana" w:cs="Arial"/>
          <w:bCs/>
          <w:lang w:val="es-ES_tradnl" w:eastAsia="es-MX"/>
        </w:rPr>
        <w:t xml:space="preserve">, constituye un insumo importante para determinar factores que pudieran determinar el valor del </w:t>
      </w:r>
      <w:r w:rsidRPr="00F252D7">
        <w:rPr>
          <w:rFonts w:ascii="Verdana" w:eastAsia="Calibri" w:hAnsi="Verdana" w:cs="Arial"/>
          <w:bCs/>
          <w:lang w:val="es-ES_tradnl" w:eastAsia="es-MX"/>
        </w:rPr>
        <w:lastRenderedPageBreak/>
        <w:t>contrato y orientar a la entidad en torno al monto de la disponibilidad presupuestal que requiere para realizar la contratación</w:t>
      </w:r>
      <w:bookmarkEnd w:id="5"/>
      <w:r w:rsidRPr="00F252D7">
        <w:rPr>
          <w:rFonts w:ascii="Geomanist Light" w:eastAsia="Calibri" w:hAnsi="Geomanist Light"/>
          <w:bCs/>
          <w:vertAlign w:val="superscript"/>
          <w:lang w:val="es-ES" w:eastAsia="es-MX"/>
        </w:rPr>
        <w:footnoteReference w:id="4"/>
      </w:r>
      <w:r w:rsidRPr="00F252D7">
        <w:rPr>
          <w:rFonts w:ascii="Verdana" w:eastAsia="Calibri" w:hAnsi="Verdana" w:cs="Arial"/>
          <w:bCs/>
          <w:lang w:val="es-ES_tradnl" w:eastAsia="es-MX"/>
        </w:rPr>
        <w:t xml:space="preserve">. </w:t>
      </w:r>
    </w:p>
    <w:p w14:paraId="54EA7BA3" w14:textId="56A15A24" w:rsidR="000D2545" w:rsidRPr="00F252D7" w:rsidRDefault="00F2340A" w:rsidP="00FE365D">
      <w:pPr>
        <w:spacing w:after="120" w:line="276" w:lineRule="auto"/>
        <w:ind w:firstLine="357"/>
        <w:jc w:val="both"/>
        <w:rPr>
          <w:rFonts w:ascii="Verdana" w:eastAsia="Calibri" w:hAnsi="Verdana" w:cs="Arial"/>
          <w:lang w:val="es-ES" w:eastAsia="es-MX"/>
        </w:rPr>
      </w:pPr>
      <w:r w:rsidRPr="41260AC2">
        <w:rPr>
          <w:rFonts w:ascii="Verdana" w:eastAsia="Calibri" w:hAnsi="Verdana" w:cs="Arial"/>
          <w:lang w:val="es-ES" w:eastAsia="es-MX"/>
        </w:rPr>
        <w:t xml:space="preserve">De acuerdo con la norma citada, </w:t>
      </w:r>
      <w:bookmarkStart w:id="7" w:name="_Hlk36140682"/>
      <w:r w:rsidRPr="41260AC2">
        <w:rPr>
          <w:rFonts w:ascii="Verdana" w:eastAsia="Calibri" w:hAnsi="Verdana" w:cs="Arial"/>
          <w:lang w:val="es-ES" w:eastAsia="es-MX"/>
        </w:rPr>
        <w:t>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5741F4B3" w14:textId="2585A547" w:rsidR="000D2545" w:rsidRPr="00F252D7" w:rsidRDefault="00F2340A" w:rsidP="00FE365D">
      <w:pPr>
        <w:spacing w:after="120" w:line="276" w:lineRule="auto"/>
        <w:ind w:firstLine="357"/>
        <w:jc w:val="both"/>
        <w:rPr>
          <w:rFonts w:ascii="Verdana" w:eastAsia="Calibri" w:hAnsi="Verdana" w:cs="Arial"/>
          <w:bCs/>
          <w:lang w:val="es-ES_tradnl" w:eastAsia="es-MX"/>
        </w:rPr>
      </w:pPr>
      <w:r w:rsidRPr="00F252D7">
        <w:rPr>
          <w:rFonts w:ascii="Verdana" w:eastAsia="Calibri" w:hAnsi="Verdana" w:cs="Arial"/>
          <w:bCs/>
          <w:lang w:val="es-ES_tradnl" w:eastAsia="es-MX"/>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5D62C4C7" w14:textId="686F02B7" w:rsidR="000D2545" w:rsidRPr="00F252D7" w:rsidRDefault="00F2340A" w:rsidP="00FE365D">
      <w:pPr>
        <w:spacing w:after="120" w:line="276" w:lineRule="auto"/>
        <w:ind w:firstLine="357"/>
        <w:jc w:val="both"/>
        <w:rPr>
          <w:rFonts w:ascii="Verdana" w:eastAsia="Calibri" w:hAnsi="Verdana" w:cs="Arial"/>
          <w:lang w:val="es-ES" w:eastAsia="es-MX"/>
        </w:rPr>
      </w:pPr>
      <w:r w:rsidRPr="58B0B659">
        <w:rPr>
          <w:rFonts w:ascii="Verdana" w:eastAsia="Calibri" w:hAnsi="Verdana" w:cs="Arial"/>
          <w:lang w:val="es-ES" w:eastAsia="es-MX"/>
        </w:rPr>
        <w:t xml:space="preserve">Dicho análisis facilita tanto el conocimiento del sector, desde una perspectiva multidisciplinaria, como de los proveedores disponibles en el mercado para satisfacer la necesidad de la entidad contratante. Igualmente,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cómo las Entidades Estatales y los particulares adquieren esos bienes, obras o servicios para extraer las mejores prácticas e información para el Proceso de Contratación y así </w:t>
      </w:r>
      <w:r w:rsidRPr="58B0B659">
        <w:rPr>
          <w:rFonts w:ascii="Verdana" w:eastAsia="Calibri" w:hAnsi="Verdana" w:cs="Arial"/>
          <w:lang w:val="es-ES" w:eastAsia="es-MX"/>
        </w:rPr>
        <w:lastRenderedPageBreak/>
        <w:t xml:space="preserve">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5A650F97" w14:textId="68B77449" w:rsidR="000838D9" w:rsidRPr="00F252D7" w:rsidRDefault="00F2340A" w:rsidP="00FE365D">
      <w:pPr>
        <w:spacing w:after="120" w:line="276" w:lineRule="auto"/>
        <w:ind w:firstLine="360"/>
        <w:contextualSpacing/>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F252D7">
        <w:rPr>
          <w:rFonts w:ascii="Verdana" w:eastAsia="Times New Roman" w:hAnsi="Verdana" w:cs="Arial"/>
          <w:lang w:val="es-ES_tradnl" w:eastAsia="es-CO"/>
        </w:rPr>
        <w:t xml:space="preserve">son autónomas para estructurarlo, para lo cual deberán cumplir lo dispuesto en el artículo </w:t>
      </w:r>
      <w:r w:rsidRPr="00F252D7">
        <w:rPr>
          <w:rFonts w:ascii="Verdana" w:eastAsia="Calibri" w:hAnsi="Verdana" w:cs="Arial"/>
          <w:bCs/>
          <w:lang w:val="es-ES_tradnl" w:eastAsia="es-MX"/>
        </w:rPr>
        <w:t xml:space="preserve">2.2.1.1.1.6.1 del Decreto 1082 de 2015 y realizar un análisis integral de planeación que </w:t>
      </w:r>
      <w:r w:rsidRPr="00F252D7">
        <w:rPr>
          <w:rFonts w:ascii="Verdana" w:eastAsia="Times New Roman" w:hAnsi="Verdana" w:cs="Arial"/>
          <w:lang w:val="es-ES_tradnl" w:eastAsia="es-MX"/>
        </w:rPr>
        <w:t xml:space="preserve">sirva de sustento a la decisión de </w:t>
      </w:r>
      <w:r w:rsidRPr="00F252D7">
        <w:rPr>
          <w:rFonts w:ascii="Verdana" w:eastAsia="Times New Roman" w:hAnsi="Verdana" w:cs="Arial"/>
          <w:bCs/>
          <w:lang w:val="es-ES_tradnl" w:eastAsia="es-MX"/>
        </w:rPr>
        <w:t>realizar un Proceso de Contratación.</w:t>
      </w:r>
    </w:p>
    <w:p w14:paraId="6522C596" w14:textId="25417271" w:rsidR="000838D9" w:rsidRDefault="00F2340A" w:rsidP="00FE365D">
      <w:pPr>
        <w:spacing w:after="120" w:line="276" w:lineRule="auto"/>
        <w:ind w:firstLine="360"/>
        <w:contextualSpacing/>
        <w:jc w:val="both"/>
        <w:rPr>
          <w:rFonts w:ascii="Verdana" w:eastAsia="Calibri" w:hAnsi="Verdana" w:cs="Arial"/>
          <w:bCs/>
          <w:szCs w:val="24"/>
          <w:lang w:val="es-ES" w:eastAsia="es-ES_tradnl"/>
        </w:rPr>
      </w:pPr>
      <w:bookmarkStart w:id="8" w:name="_Hlk139466113"/>
      <w:bookmarkEnd w:id="7"/>
      <w:r w:rsidRPr="00F252D7">
        <w:rPr>
          <w:rFonts w:ascii="Verdana" w:eastAsia="Calibri" w:hAnsi="Verdana" w:cs="Arial"/>
          <w:bCs/>
          <w:lang w:val="es-ES_tradnl" w:eastAsia="es-MX"/>
        </w:rPr>
        <w:t>La Agencia Nacional de Contratación Pública – Colombia Compra Eficiente dispone de una “Guía para la Elaboración de Estudios del Sector”</w:t>
      </w:r>
      <w:r w:rsidRPr="00F252D7">
        <w:rPr>
          <w:rFonts w:ascii="Verdana" w:eastAsia="Times New Roman" w:hAnsi="Verdana" w:cs="Arial"/>
          <w:vertAlign w:val="superscript"/>
          <w:lang w:val="es-ES_tradnl" w:eastAsia="es-CO"/>
        </w:rPr>
        <w:t xml:space="preserve"> </w:t>
      </w:r>
      <w:r w:rsidRPr="00F252D7">
        <w:rPr>
          <w:rFonts w:ascii="Geomanist Light" w:eastAsia="Times New Roman" w:hAnsi="Geomanist Light"/>
          <w:vertAlign w:val="superscript"/>
          <w:lang w:val="es-ES" w:eastAsia="es-CO"/>
        </w:rPr>
        <w:footnoteReference w:id="5"/>
      </w:r>
      <w:r w:rsidRPr="00F252D7">
        <w:rPr>
          <w:rFonts w:ascii="Verdana" w:eastAsia="Calibri" w:hAnsi="Verdana" w:cs="Arial"/>
          <w:bCs/>
          <w:lang w:val="es-ES_tradnl" w:eastAsia="es-MX"/>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bookmarkEnd w:id="8"/>
      <w:r w:rsidRPr="00F252D7">
        <w:rPr>
          <w:rFonts w:ascii="Verdana" w:eastAsia="Calibri" w:hAnsi="Verdana" w:cs="Arial"/>
          <w:bCs/>
          <w:lang w:val="es-ES_tradnl" w:eastAsia="es-MX"/>
        </w:rPr>
        <w:t xml:space="preserve"> </w:t>
      </w:r>
      <w:r w:rsidRPr="00F252D7">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F252D7">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00DD247C" w14:textId="717BB1CD" w:rsidR="000838D9" w:rsidRPr="00FE365D" w:rsidRDefault="00F2340A" w:rsidP="00FE365D">
      <w:pPr>
        <w:spacing w:after="120" w:line="276" w:lineRule="auto"/>
        <w:ind w:firstLine="360"/>
        <w:contextualSpacing/>
        <w:jc w:val="both"/>
        <w:rPr>
          <w:rFonts w:ascii="Verdana" w:eastAsia="Calibri" w:hAnsi="Verdana" w:cs="Arial"/>
          <w:lang w:eastAsia="es-MX"/>
        </w:rPr>
      </w:pPr>
      <w:r w:rsidRPr="003E2550">
        <w:rPr>
          <w:rFonts w:ascii="Verdana" w:eastAsia="Calibri" w:hAnsi="Verdana" w:cs="Arial"/>
          <w:lang w:eastAsia="es-MX"/>
        </w:rPr>
        <w:t xml:space="preserve">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 </w:t>
      </w:r>
    </w:p>
    <w:p w14:paraId="032077EB" w14:textId="5C330504" w:rsidR="000838D9" w:rsidRPr="00FE365D" w:rsidRDefault="00F2340A" w:rsidP="00FE365D">
      <w:pPr>
        <w:spacing w:after="120" w:line="276" w:lineRule="auto"/>
        <w:ind w:firstLine="360"/>
        <w:contextualSpacing/>
        <w:jc w:val="both"/>
        <w:rPr>
          <w:rFonts w:ascii="Verdana" w:hAnsi="Verdana"/>
          <w:lang w:eastAsia="es-ES_tradnl"/>
        </w:rPr>
      </w:pPr>
      <w:r w:rsidRPr="003E2550">
        <w:rPr>
          <w:rFonts w:ascii="Verdana" w:eastAsia="Calibri" w:hAnsi="Verdana" w:cs="Arial"/>
          <w:szCs w:val="24"/>
          <w:lang w:val="es-ES_tradnl" w:eastAsia="es-ES_tradnl"/>
        </w:rPr>
        <w:lastRenderedPageBreak/>
        <w:t xml:space="preserve">Así mismo, en </w:t>
      </w:r>
      <w:bookmarkStart w:id="9" w:name="_Hlk139466181"/>
      <w:r w:rsidRPr="003E2550">
        <w:rPr>
          <w:rFonts w:ascii="Verdana" w:eastAsia="Calibri" w:hAnsi="Verdana" w:cs="Arial"/>
          <w:szCs w:val="24"/>
          <w:lang w:val="es-ES_tradnl" w:eastAsia="es-ES_tradnl"/>
        </w:rPr>
        <w:t xml:space="preserve">la Guía se indica que como parte de la estructura del estudio del sector se debe realizar un análisis del comportamiento del gasto histórico, el estudio de la oferta y el estudio del mercado. </w:t>
      </w:r>
      <w:bookmarkStart w:id="10" w:name="_Hlk78204338"/>
      <w:bookmarkEnd w:id="9"/>
      <w:r w:rsidRPr="003E2550">
        <w:rPr>
          <w:rFonts w:ascii="Verdana" w:eastAsia="Calibri" w:hAnsi="Verdana" w:cs="Arial"/>
          <w:lang w:eastAsia="es-ES_tradnl"/>
        </w:rPr>
        <w:t>D</w:t>
      </w:r>
      <w:r w:rsidRPr="003E2550">
        <w:rPr>
          <w:rFonts w:ascii="Verdana" w:hAnsi="Verdana"/>
          <w:lang w:eastAsia="es-ES_tradnl"/>
        </w:rPr>
        <w:t>e forma puntual, la Guía indica que “la Entidad Estatal debe identificar los proveedores en el mercado del bien o servicio, así como sus principales características como tamaño empresarial, ubicación, esquemas de producción y comportamiento financiero”.</w:t>
      </w:r>
      <w:bookmarkEnd w:id="10"/>
      <w:r w:rsidRPr="003E2550">
        <w:rPr>
          <w:rFonts w:ascii="Verdana" w:hAnsi="Verdana"/>
          <w:lang w:eastAsia="es-ES_tradnl"/>
        </w:rPr>
        <w:t xml:space="preserve"> </w:t>
      </w:r>
    </w:p>
    <w:p w14:paraId="427A6F58" w14:textId="77777777" w:rsidR="00F2340A" w:rsidRPr="003E2550" w:rsidRDefault="00F2340A" w:rsidP="00FE365D">
      <w:pPr>
        <w:spacing w:after="120" w:line="276" w:lineRule="auto"/>
        <w:ind w:firstLine="360"/>
        <w:contextualSpacing/>
        <w:jc w:val="both"/>
        <w:rPr>
          <w:rFonts w:ascii="Verdana" w:eastAsia="Calibri" w:hAnsi="Verdana" w:cs="Arial"/>
          <w:szCs w:val="24"/>
          <w:lang w:eastAsia="es-ES_tradnl"/>
        </w:rPr>
      </w:pPr>
      <w:r w:rsidRPr="003E2550">
        <w:rPr>
          <w:rFonts w:ascii="Verdana" w:eastAsia="Calibri" w:hAnsi="Verdana" w:cs="Arial"/>
          <w:szCs w:val="24"/>
          <w:lang w:eastAsia="es-ES_tradnl"/>
        </w:rPr>
        <w:t xml:space="preserve">Ahora bien, </w:t>
      </w:r>
      <w:bookmarkStart w:id="11" w:name="_Hlk139466204"/>
      <w:r w:rsidRPr="003E2550">
        <w:rPr>
          <w:rFonts w:ascii="Verdana" w:eastAsia="Calibri" w:hAnsi="Verdana" w:cs="Arial"/>
          <w:szCs w:val="24"/>
          <w:lang w:eastAsia="es-ES_tradnl"/>
        </w:rPr>
        <w:t xml:space="preserve">respecto a el </w:t>
      </w:r>
      <w:r w:rsidRPr="003E2550">
        <w:rPr>
          <w:rFonts w:ascii="Verdana" w:eastAsia="Calibri" w:hAnsi="Verdana" w:cs="Arial"/>
          <w:i/>
          <w:szCs w:val="24"/>
          <w:lang w:eastAsia="es-ES_tradnl"/>
        </w:rPr>
        <w:t xml:space="preserve">estudio del mercado, </w:t>
      </w:r>
      <w:r w:rsidRPr="003E2550">
        <w:rPr>
          <w:rFonts w:ascii="Verdana" w:eastAsia="Calibri" w:hAnsi="Verdana" w:cs="Arial"/>
          <w:szCs w:val="24"/>
          <w:lang w:eastAsia="es-ES_tradnl"/>
        </w:rPr>
        <w:t>este se encuentra inmerso dentro del análisis del sector y permite comprender la dinámica de los precios y establecer el presupuesto oficial de la contratación, el cual incluye la realización de un análisis de los diferentes precios de los bienes o servicios a contratar que se registran en el mercado, los cuales pueden consultarse a través de mecanismos como:</w:t>
      </w:r>
    </w:p>
    <w:p w14:paraId="6E0E5803" w14:textId="77777777" w:rsidR="00F2340A" w:rsidRDefault="00F2340A" w:rsidP="00F2340A">
      <w:pPr>
        <w:pStyle w:val="Prrafodelista"/>
        <w:numPr>
          <w:ilvl w:val="0"/>
          <w:numId w:val="19"/>
        </w:numPr>
        <w:spacing w:after="120" w:line="276" w:lineRule="auto"/>
        <w:jc w:val="both"/>
        <w:rPr>
          <w:rFonts w:ascii="Verdana" w:eastAsia="Calibri" w:hAnsi="Verdana" w:cs="Arial"/>
          <w:szCs w:val="24"/>
          <w:lang w:eastAsia="es-ES_tradnl"/>
        </w:rPr>
      </w:pPr>
      <w:r>
        <w:rPr>
          <w:rFonts w:ascii="Verdana" w:eastAsia="Calibri" w:hAnsi="Verdana" w:cs="Arial"/>
          <w:szCs w:val="24"/>
          <w:lang w:eastAsia="es-ES_tradnl"/>
        </w:rPr>
        <w:t>R</w:t>
      </w:r>
      <w:r w:rsidRPr="00A34454">
        <w:rPr>
          <w:rFonts w:ascii="Verdana" w:eastAsia="Calibri" w:hAnsi="Verdana" w:cs="Arial"/>
          <w:szCs w:val="24"/>
          <w:lang w:eastAsia="es-ES_tradnl"/>
        </w:rPr>
        <w:t>evisión de precios</w:t>
      </w:r>
      <w:r w:rsidRPr="006D7828">
        <w:rPr>
          <w:rFonts w:ascii="Verdana" w:eastAsia="Calibri" w:hAnsi="Verdana" w:cs="Arial"/>
          <w:szCs w:val="24"/>
          <w:lang w:eastAsia="es-ES_tradnl"/>
        </w:rPr>
        <w:t xml:space="preserve"> por solicitud de cotizaciones</w:t>
      </w:r>
      <w:r>
        <w:rPr>
          <w:rFonts w:ascii="Verdana" w:eastAsia="Calibri" w:hAnsi="Verdana" w:cs="Arial"/>
          <w:szCs w:val="24"/>
          <w:lang w:eastAsia="es-ES_tradnl"/>
        </w:rPr>
        <w:t xml:space="preserve">: </w:t>
      </w:r>
      <w:r w:rsidRPr="006D7828">
        <w:rPr>
          <w:rFonts w:ascii="Verdana" w:eastAsia="Calibri" w:hAnsi="Verdana" w:cs="Arial"/>
          <w:szCs w:val="24"/>
          <w:lang w:eastAsia="es-ES_tradnl"/>
        </w:rPr>
        <w:t>la Guía recomienda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w:t>
      </w:r>
      <w:r>
        <w:rPr>
          <w:rFonts w:ascii="Verdana" w:eastAsia="Calibri" w:hAnsi="Verdana" w:cs="Arial"/>
          <w:szCs w:val="24"/>
          <w:lang w:eastAsia="es-ES_tradnl"/>
        </w:rPr>
        <w:t>.</w:t>
      </w:r>
    </w:p>
    <w:p w14:paraId="37534B26" w14:textId="77777777" w:rsidR="00F2340A" w:rsidRPr="00A34454" w:rsidRDefault="00F2340A" w:rsidP="00F2340A">
      <w:pPr>
        <w:pStyle w:val="Prrafodelista"/>
        <w:spacing w:after="120" w:line="276" w:lineRule="auto"/>
        <w:ind w:left="2220"/>
        <w:jc w:val="both"/>
        <w:rPr>
          <w:rFonts w:ascii="Verdana" w:eastAsia="Calibri" w:hAnsi="Verdana" w:cs="Arial"/>
          <w:szCs w:val="24"/>
          <w:lang w:eastAsia="es-ES_tradnl"/>
        </w:rPr>
      </w:pPr>
      <w:r w:rsidRPr="00A34454">
        <w:rPr>
          <w:rFonts w:ascii="Verdana" w:eastAsia="Calibri" w:hAnsi="Verdana" w:cs="Arial"/>
          <w:szCs w:val="24"/>
          <w:lang w:eastAsia="es-ES_tradnl"/>
        </w:rPr>
        <w:t xml:space="preserve">Así mismo, se indica que, al recibir las cotizaciones, debe verificarse la ocurrencia de circunstancias que eventualmente pueden distorsionar los precios del mercado, como ofertas especiales de almacenes de cadena, fenómenos de escasez o abundancia del producto, entre otros aspectos. </w:t>
      </w:r>
    </w:p>
    <w:p w14:paraId="1176C58D" w14:textId="77777777" w:rsidR="00F2340A" w:rsidRDefault="00F2340A" w:rsidP="00F2340A">
      <w:pPr>
        <w:pStyle w:val="Prrafodelista"/>
        <w:spacing w:after="120" w:line="276" w:lineRule="auto"/>
        <w:ind w:left="2220"/>
        <w:jc w:val="both"/>
        <w:rPr>
          <w:rFonts w:ascii="Verdana" w:eastAsia="Calibri" w:hAnsi="Verdana" w:cs="Arial"/>
          <w:szCs w:val="24"/>
          <w:lang w:eastAsia="es-ES_tradnl"/>
        </w:rPr>
      </w:pPr>
    </w:p>
    <w:p w14:paraId="14857669" w14:textId="77777777" w:rsidR="00F2340A" w:rsidRDefault="00F2340A" w:rsidP="00F2340A">
      <w:pPr>
        <w:pStyle w:val="Prrafodelista"/>
        <w:numPr>
          <w:ilvl w:val="0"/>
          <w:numId w:val="19"/>
        </w:numPr>
        <w:spacing w:after="120" w:line="276" w:lineRule="auto"/>
        <w:jc w:val="both"/>
        <w:rPr>
          <w:rFonts w:ascii="Verdana" w:eastAsia="Calibri" w:hAnsi="Verdana" w:cs="Arial"/>
          <w:szCs w:val="24"/>
          <w:lang w:eastAsia="es-ES_tradnl"/>
        </w:rPr>
      </w:pPr>
      <w:r>
        <w:rPr>
          <w:rFonts w:ascii="Verdana" w:eastAsia="Calibri" w:hAnsi="Verdana" w:cs="Arial"/>
          <w:szCs w:val="24"/>
          <w:lang w:eastAsia="es-ES_tradnl"/>
        </w:rPr>
        <w:t>R</w:t>
      </w:r>
      <w:r w:rsidRPr="00A34454">
        <w:rPr>
          <w:rFonts w:ascii="Verdana" w:eastAsia="Calibri" w:hAnsi="Verdana" w:cs="Arial"/>
          <w:szCs w:val="24"/>
          <w:lang w:eastAsia="es-ES_tradnl"/>
        </w:rPr>
        <w:t>evisión de bases de datos especializadas</w:t>
      </w:r>
      <w:r>
        <w:rPr>
          <w:rFonts w:ascii="Verdana" w:eastAsia="Calibri" w:hAnsi="Verdana" w:cs="Arial"/>
          <w:szCs w:val="24"/>
          <w:lang w:eastAsia="es-ES_tradnl"/>
        </w:rPr>
        <w:t>:</w:t>
      </w:r>
      <w:r w:rsidRPr="006D7828">
        <w:rPr>
          <w:rFonts w:ascii="Verdana" w:eastAsia="Calibri" w:hAnsi="Verdana" w:cs="Arial"/>
          <w:szCs w:val="24"/>
          <w:lang w:eastAsia="es-ES_tradnl"/>
        </w:rPr>
        <w:t xml:space="preserve"> la Guía señala que es conveniente adelantarla cuando por las condiciones del mercado del bien o servicio a contratar se requiera, y el responsable deberá dejar constancia de las consultas realizadas y de los precios que soportan su estudio. Las bases de datos consultadas deben ser especializadas y representativas en el mercado del bien o servicio a contratar. </w:t>
      </w:r>
    </w:p>
    <w:p w14:paraId="5F1C58DC" w14:textId="77777777" w:rsidR="00F2340A" w:rsidRDefault="00F2340A" w:rsidP="00F2340A">
      <w:pPr>
        <w:pStyle w:val="Prrafodelista"/>
        <w:spacing w:after="120" w:line="276" w:lineRule="auto"/>
        <w:ind w:left="2220"/>
        <w:jc w:val="both"/>
        <w:rPr>
          <w:rFonts w:ascii="Verdana" w:eastAsia="Calibri" w:hAnsi="Verdana" w:cs="Arial"/>
          <w:szCs w:val="24"/>
          <w:lang w:eastAsia="es-ES_tradnl"/>
        </w:rPr>
      </w:pPr>
    </w:p>
    <w:p w14:paraId="5D89CB08" w14:textId="77777777" w:rsidR="00F2340A" w:rsidRDefault="00F2340A" w:rsidP="00F2340A">
      <w:pPr>
        <w:pStyle w:val="Prrafodelista"/>
        <w:numPr>
          <w:ilvl w:val="0"/>
          <w:numId w:val="19"/>
        </w:numPr>
        <w:spacing w:after="120" w:line="276" w:lineRule="auto"/>
        <w:jc w:val="both"/>
        <w:rPr>
          <w:rFonts w:ascii="Verdana" w:eastAsia="Calibri" w:hAnsi="Verdana" w:cs="Arial"/>
          <w:szCs w:val="24"/>
          <w:lang w:eastAsia="es-ES_tradnl"/>
        </w:rPr>
      </w:pPr>
      <w:r>
        <w:rPr>
          <w:rFonts w:ascii="Verdana" w:eastAsia="Calibri" w:hAnsi="Verdana" w:cs="Arial"/>
          <w:szCs w:val="24"/>
          <w:lang w:eastAsia="es-ES_tradnl"/>
        </w:rPr>
        <w:t>R</w:t>
      </w:r>
      <w:r w:rsidRPr="006D7828">
        <w:rPr>
          <w:rFonts w:ascii="Verdana" w:eastAsia="Calibri" w:hAnsi="Verdana" w:cs="Arial"/>
          <w:szCs w:val="24"/>
          <w:lang w:eastAsia="es-ES_tradnl"/>
        </w:rPr>
        <w:t xml:space="preserve">evisión de precios históricos se sugiere verificar la variación de los precios históricos derivados del índice de precios al consumidor en cada año, examinando si se han presentado fenómenos económicos que hayan implicado fluctuaciones importantes en el comercio del bien o servicio, siempre que las características del bien o servicio sean las mismas entre una contratación y otra.  </w:t>
      </w:r>
    </w:p>
    <w:bookmarkEnd w:id="11"/>
    <w:p w14:paraId="0A3EED51" w14:textId="77777777" w:rsidR="00F2340A" w:rsidRPr="009E579A" w:rsidRDefault="00F2340A" w:rsidP="00F2340A">
      <w:pPr>
        <w:pStyle w:val="Prrafodelista"/>
        <w:spacing w:after="120" w:line="276" w:lineRule="auto"/>
        <w:jc w:val="both"/>
        <w:rPr>
          <w:rFonts w:ascii="Verdana" w:eastAsia="Calibri" w:hAnsi="Verdana" w:cs="Arial"/>
          <w:szCs w:val="24"/>
          <w:lang w:eastAsia="es-ES_tradnl"/>
        </w:rPr>
      </w:pPr>
    </w:p>
    <w:p w14:paraId="52A4F6AB" w14:textId="53029D88" w:rsidR="000838D9" w:rsidRPr="00FE365D" w:rsidRDefault="00F2340A" w:rsidP="00FE365D">
      <w:pPr>
        <w:spacing w:after="120" w:line="276" w:lineRule="auto"/>
        <w:ind w:firstLine="360"/>
        <w:jc w:val="both"/>
        <w:rPr>
          <w:rFonts w:ascii="Verdana" w:eastAsia="Calibri" w:hAnsi="Verdana" w:cs="Arial"/>
          <w:szCs w:val="24"/>
          <w:lang w:eastAsia="es-ES_tradnl"/>
        </w:rPr>
      </w:pPr>
      <w:bookmarkStart w:id="12" w:name="_Hlk139466471"/>
      <w:r w:rsidRPr="003E2550">
        <w:rPr>
          <w:rFonts w:ascii="Verdana" w:eastAsia="Calibri" w:hAnsi="Verdana" w:cs="Arial"/>
          <w:szCs w:val="24"/>
          <w:lang w:eastAsia="es-ES_tradnl"/>
        </w:rPr>
        <w:t xml:space="preserve">Como se observa, la “Guía de Elaboración de Estudios del Sector” recomienda como mecanismo para la elaboración de </w:t>
      </w:r>
      <w:r w:rsidRPr="003E2550">
        <w:rPr>
          <w:rFonts w:ascii="Verdana" w:eastAsia="Calibri" w:hAnsi="Verdana" w:cs="Arial"/>
          <w:i/>
          <w:szCs w:val="24"/>
          <w:lang w:eastAsia="es-ES_tradnl"/>
        </w:rPr>
        <w:t>estudios del mercado</w:t>
      </w:r>
      <w:r w:rsidRPr="003E2550">
        <w:rPr>
          <w:rFonts w:ascii="Verdana" w:eastAsia="Calibri" w:hAnsi="Verdana" w:cs="Arial"/>
          <w:szCs w:val="24"/>
          <w:lang w:eastAsia="es-ES_tradnl"/>
        </w:rPr>
        <w:t>, que sirvan para entender la dinámica de los precios y establecer el presupuesto oficial de la contratación, requerir a los potenciales proveedores a fin de que remitan la información necesaria para determinar diversos aspectos de los bienes o servicios a contratar, entre ellos su valor, especificaciones técnicas, el plazo, entre otra información relevante. En principio, que un potencial proveedor participe en estos estudios del mercado, remitiendo cotizaciones por citar un ejemplo, no implica que en el futuro no pueda participar del Proceso de Contratación que se adelante; ni tampoco estas son vinculantes para la entidad contratante.</w:t>
      </w:r>
      <w:bookmarkEnd w:id="12"/>
    </w:p>
    <w:p w14:paraId="45A753F2" w14:textId="15229FB3" w:rsidR="000838D9" w:rsidRPr="00FE365D" w:rsidRDefault="00F2340A" w:rsidP="00FE365D">
      <w:pPr>
        <w:spacing w:after="120" w:line="276" w:lineRule="auto"/>
        <w:ind w:firstLine="360"/>
        <w:jc w:val="both"/>
        <w:rPr>
          <w:rFonts w:ascii="Verdana" w:eastAsia="Times New Roman" w:hAnsi="Verdana" w:cs="Arial"/>
          <w:szCs w:val="24"/>
          <w:lang w:eastAsia="es-ES_tradnl"/>
        </w:rPr>
      </w:pPr>
      <w:r w:rsidRPr="003E2550">
        <w:rPr>
          <w:rFonts w:ascii="Verdana" w:eastAsia="Calibri" w:hAnsi="Verdana" w:cs="Arial"/>
          <w:szCs w:val="24"/>
          <w:lang w:eastAsia="es-ES_tradnl"/>
        </w:rPr>
        <w:t>En ese orden de ideas,</w:t>
      </w:r>
      <w:r w:rsidRPr="003E2550">
        <w:rPr>
          <w:rFonts w:ascii="Verdana" w:eastAsia="Calibri" w:hAnsi="Verdana" w:cs="Arial"/>
          <w:szCs w:val="24"/>
          <w:lang w:val="es-ES_tradnl" w:eastAsia="es-ES_tradnl"/>
        </w:rPr>
        <w:t xml:space="preserve"> el análisis del sector </w:t>
      </w:r>
      <w:r w:rsidRPr="003E2550">
        <w:rPr>
          <w:rFonts w:ascii="Verdana" w:eastAsia="Times New Roman" w:hAnsi="Verdana" w:cs="Arial"/>
          <w:szCs w:val="24"/>
          <w:lang w:val="es-ES_tradnl" w:eastAsia="es-ES_tradnl"/>
        </w:rPr>
        <w:t xml:space="preserve">parte de un estudio desde una perspectiva multidisciplinaria, que implica los aspectos generales del mercado, el análisis de la demanda y de la oferta, así como el estudio del mercado que le permite a la entidad entender el mercado del bien, obra o servicio que pretenden adquirir, así como identificar los factores que inciden en el valor del contrato, tales como el análisis de precios, las cargas tributarias, la tasa de cambio, las garantías, los gastos de transporte, etc. Este análisis se </w:t>
      </w:r>
      <w:r w:rsidRPr="003E2550">
        <w:rPr>
          <w:rFonts w:ascii="Verdana" w:eastAsia="Times New Roman" w:hAnsi="Verdana" w:cs="Arial"/>
          <w:szCs w:val="24"/>
          <w:lang w:eastAsia="es-ES_tradnl"/>
        </w:rPr>
        <w:t xml:space="preserve">debe consignar en los Documentos del Proceso, bien sea en los estudios previos o en la información soporte de estos. </w:t>
      </w:r>
    </w:p>
    <w:p w14:paraId="24E5EEEB" w14:textId="77777777" w:rsidR="00F2340A" w:rsidRPr="003E2550" w:rsidRDefault="00F2340A" w:rsidP="00FE365D">
      <w:pPr>
        <w:spacing w:after="120" w:line="276" w:lineRule="auto"/>
        <w:ind w:firstLine="360"/>
        <w:jc w:val="both"/>
        <w:rPr>
          <w:rFonts w:ascii="Verdana" w:eastAsia="Calibri" w:hAnsi="Verdana" w:cs="Arial"/>
          <w:szCs w:val="24"/>
          <w:lang w:eastAsia="es-ES_tradnl"/>
        </w:rPr>
      </w:pPr>
      <w:r w:rsidRPr="003E2550">
        <w:rPr>
          <w:rFonts w:ascii="Verdana" w:eastAsia="Times New Roman" w:hAnsi="Verdana" w:cs="Arial"/>
          <w:szCs w:val="24"/>
          <w:lang w:eastAsia="es-ES_tradnl"/>
        </w:rPr>
        <w:t xml:space="preserve">En conclusión, las entidades estales son autónomas para establecer en su Manual de Contratación la </w:t>
      </w:r>
      <w:r w:rsidRPr="003E2550">
        <w:rPr>
          <w:rFonts w:ascii="Verdana" w:eastAsia="Calibri" w:hAnsi="Verdana" w:cs="Arial"/>
          <w:szCs w:val="24"/>
          <w:lang w:eastAsia="es-ES_tradnl"/>
        </w:rPr>
        <w:t xml:space="preserve">metodología para elaborar el Estudio del Sector y en especial la forma como desarrollar los estudios de mercado, siempre y cuando acaten la Ley 1150 de 2007 y el Decreto 1082 de 2015 frente a esta materia, estableciendo siempre </w:t>
      </w:r>
      <w:r w:rsidRPr="003E2550">
        <w:rPr>
          <w:rFonts w:ascii="Verdana" w:eastAsia="Times New Roman" w:hAnsi="Verdana" w:cs="Arial"/>
          <w:szCs w:val="24"/>
          <w:lang w:eastAsia="es-ES_tradnl"/>
        </w:rPr>
        <w:t>argumentos financieros que permitirán escoger el mejor precio de conformidad con los criterios establecidos por la misma.</w:t>
      </w:r>
    </w:p>
    <w:p w14:paraId="240B6319" w14:textId="77777777" w:rsidR="00F2340A" w:rsidRPr="00F252D7" w:rsidRDefault="00F2340A" w:rsidP="00F2340A">
      <w:pPr>
        <w:ind w:left="720"/>
        <w:contextualSpacing/>
        <w:rPr>
          <w:rFonts w:ascii="Verdana" w:eastAsia="Calibri" w:hAnsi="Verdana" w:cs="Arial"/>
          <w:szCs w:val="24"/>
          <w:lang w:val="es-ES" w:eastAsia="es-ES_tradnl"/>
        </w:rPr>
      </w:pPr>
    </w:p>
    <w:p w14:paraId="63E5729F" w14:textId="77777777" w:rsidR="00F2340A" w:rsidRPr="00F252D7" w:rsidRDefault="00F2340A" w:rsidP="00F2340A">
      <w:pPr>
        <w:tabs>
          <w:tab w:val="left" w:pos="142"/>
          <w:tab w:val="left" w:pos="284"/>
        </w:tabs>
        <w:spacing w:after="0" w:line="276" w:lineRule="auto"/>
        <w:jc w:val="both"/>
        <w:rPr>
          <w:rFonts w:ascii="Verdana" w:eastAsia="Century Gothic" w:hAnsi="Verdana" w:cs="Century Gothic"/>
          <w:b/>
          <w:bCs/>
        </w:rPr>
      </w:pPr>
      <w:r w:rsidRPr="00F252D7">
        <w:rPr>
          <w:rFonts w:ascii="Verdana" w:eastAsia="Century Gothic" w:hAnsi="Verdana" w:cs="Century Gothic"/>
          <w:b/>
          <w:bCs/>
        </w:rPr>
        <w:t>4. Referencias normativas, jurisprudenciales y otras fuentes:</w:t>
      </w:r>
    </w:p>
    <w:p w14:paraId="746B34F8" w14:textId="77777777" w:rsidR="00F2340A" w:rsidRPr="00F252D7" w:rsidRDefault="00F2340A" w:rsidP="00F2340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2340A" w:rsidRPr="00F252D7" w14:paraId="0D824185" w14:textId="77777777" w:rsidTr="008F7EA1">
        <w:trPr>
          <w:trHeight w:val="870"/>
        </w:trPr>
        <w:tc>
          <w:tcPr>
            <w:tcW w:w="8647" w:type="dxa"/>
          </w:tcPr>
          <w:p w14:paraId="4FDC0DEC" w14:textId="77777777" w:rsidR="00F2340A" w:rsidRPr="00F252D7" w:rsidRDefault="00F2340A" w:rsidP="008F7EA1">
            <w:pPr>
              <w:widowControl w:val="0"/>
              <w:numPr>
                <w:ilvl w:val="0"/>
                <w:numId w:val="16"/>
              </w:numPr>
              <w:autoSpaceDE w:val="0"/>
              <w:autoSpaceDN w:val="0"/>
              <w:spacing w:after="120" w:line="276" w:lineRule="auto"/>
              <w:contextualSpacing/>
              <w:jc w:val="both"/>
              <w:rPr>
                <w:rFonts w:ascii="Verdana" w:hAnsi="Verdana" w:cs="Arial"/>
                <w:lang w:val="es-ES"/>
              </w:rPr>
            </w:pPr>
            <w:r w:rsidRPr="00F252D7">
              <w:rPr>
                <w:rFonts w:ascii="Verdana" w:hAnsi="Verdana" w:cs="Arial"/>
                <w:lang w:val="es-ES"/>
              </w:rPr>
              <w:t xml:space="preserve">Ley 80 de 1993, artículo 25. </w:t>
            </w:r>
          </w:p>
          <w:p w14:paraId="480EEC14" w14:textId="77777777" w:rsidR="00F2340A" w:rsidRPr="00F252D7" w:rsidRDefault="00F2340A" w:rsidP="008F7EA1">
            <w:pPr>
              <w:widowControl w:val="0"/>
              <w:numPr>
                <w:ilvl w:val="0"/>
                <w:numId w:val="16"/>
              </w:numPr>
              <w:autoSpaceDE w:val="0"/>
              <w:autoSpaceDN w:val="0"/>
              <w:spacing w:after="120" w:line="276" w:lineRule="auto"/>
              <w:contextualSpacing/>
              <w:jc w:val="both"/>
              <w:rPr>
                <w:rFonts w:ascii="Verdana" w:hAnsi="Verdana" w:cs="Arial"/>
                <w:lang w:val="es-ES"/>
              </w:rPr>
            </w:pPr>
            <w:r w:rsidRPr="00F252D7">
              <w:rPr>
                <w:rFonts w:ascii="Verdana" w:hAnsi="Verdana" w:cs="Arial"/>
                <w:lang w:val="es-ES"/>
              </w:rPr>
              <w:t>Decreto 1082 de 2015, artículos 2.2.1.1.2.1.1. y 2.2.1.1.1.6.1.</w:t>
            </w:r>
          </w:p>
          <w:p w14:paraId="7F8390D5" w14:textId="77777777" w:rsidR="00F2340A" w:rsidRPr="00F252D7" w:rsidRDefault="00F2340A" w:rsidP="008F7EA1">
            <w:pPr>
              <w:widowControl w:val="0"/>
              <w:numPr>
                <w:ilvl w:val="0"/>
                <w:numId w:val="16"/>
              </w:numPr>
              <w:autoSpaceDE w:val="0"/>
              <w:autoSpaceDN w:val="0"/>
              <w:spacing w:after="120" w:line="276" w:lineRule="auto"/>
              <w:contextualSpacing/>
              <w:jc w:val="both"/>
              <w:rPr>
                <w:rFonts w:ascii="Verdana" w:hAnsi="Verdana" w:cs="Arial"/>
                <w:lang w:val="es-ES"/>
              </w:rPr>
            </w:pPr>
            <w:r w:rsidRPr="00F252D7">
              <w:rPr>
                <w:rFonts w:ascii="Verdana" w:hAnsi="Verdana" w:cs="Arial"/>
              </w:rPr>
              <w:t xml:space="preserve">Consejo de Estado. Sección Tercera. Subsección B. Sentencia del 31 de agosto de 2011. </w:t>
            </w:r>
            <w:proofErr w:type="spellStart"/>
            <w:r w:rsidRPr="00F252D7">
              <w:rPr>
                <w:rFonts w:ascii="Verdana" w:hAnsi="Verdana" w:cs="Arial"/>
              </w:rPr>
              <w:t>Exp</w:t>
            </w:r>
            <w:proofErr w:type="spellEnd"/>
            <w:r w:rsidRPr="00F252D7">
              <w:rPr>
                <w:rFonts w:ascii="Verdana" w:hAnsi="Verdana" w:cs="Arial"/>
              </w:rPr>
              <w:t>. 18.080.</w:t>
            </w:r>
          </w:p>
          <w:p w14:paraId="755825D9" w14:textId="77777777" w:rsidR="00F2340A" w:rsidRPr="00F252D7" w:rsidRDefault="00F2340A" w:rsidP="008F7EA1">
            <w:pPr>
              <w:widowControl w:val="0"/>
              <w:numPr>
                <w:ilvl w:val="0"/>
                <w:numId w:val="16"/>
              </w:numPr>
              <w:tabs>
                <w:tab w:val="left" w:pos="8419"/>
              </w:tabs>
              <w:autoSpaceDE w:val="0"/>
              <w:autoSpaceDN w:val="0"/>
              <w:spacing w:after="120" w:line="276" w:lineRule="auto"/>
              <w:jc w:val="both"/>
              <w:rPr>
                <w:rFonts w:ascii="Verdana" w:hAnsi="Verdana" w:cs="Arial"/>
                <w:lang w:val="es-ES"/>
              </w:rPr>
            </w:pPr>
            <w:r w:rsidRPr="00F252D7">
              <w:rPr>
                <w:rFonts w:ascii="Verdana" w:hAnsi="Verdana" w:cs="Arial"/>
                <w:lang w:val="es-ES"/>
              </w:rPr>
              <w:t xml:space="preserve">Colombia Compra Eficiente, Guía de Elaboración de Estudios de Sector - GEES del 24 de junio de 2022. Disponible en: </w:t>
            </w:r>
            <w:r w:rsidRPr="00F252D7">
              <w:rPr>
                <w:rFonts w:ascii="Geomanist Light" w:hAnsi="Geomanist Light"/>
                <w:lang w:val="es-ES"/>
              </w:rPr>
              <w:t xml:space="preserve"> </w:t>
            </w:r>
            <w:r w:rsidRPr="00F252D7">
              <w:rPr>
                <w:rFonts w:ascii="Verdana" w:hAnsi="Verdana" w:cs="Arial"/>
                <w:lang w:val="es-ES"/>
              </w:rPr>
              <w:t>chrome-extension://efaidnbmnnnibpcajpcglclefindmkaj/https://www.colombiacompra.gov.co/sites/cce_public/files/cce_documentos/cce-eicp-gi-18._gees_v.2_2.pdf</w:t>
            </w:r>
          </w:p>
          <w:p w14:paraId="51B0FA61" w14:textId="77777777" w:rsidR="00F2340A" w:rsidRPr="00F252D7" w:rsidRDefault="00F2340A" w:rsidP="008F7EA1">
            <w:pPr>
              <w:widowControl w:val="0"/>
              <w:numPr>
                <w:ilvl w:val="0"/>
                <w:numId w:val="16"/>
              </w:numPr>
              <w:tabs>
                <w:tab w:val="left" w:pos="8419"/>
              </w:tabs>
              <w:autoSpaceDE w:val="0"/>
              <w:autoSpaceDN w:val="0"/>
              <w:spacing w:after="120" w:line="276" w:lineRule="auto"/>
              <w:jc w:val="both"/>
              <w:rPr>
                <w:rFonts w:ascii="Verdana" w:hAnsi="Verdana" w:cs="Arial"/>
                <w:lang w:val="es-ES"/>
              </w:rPr>
            </w:pPr>
            <w:r w:rsidRPr="00F252D7">
              <w:rPr>
                <w:rFonts w:ascii="Verdana" w:hAnsi="Verdana" w:cs="Arial"/>
                <w:lang w:val="es-ES"/>
              </w:rPr>
              <w:t>DEIK ACOSTAMADIEDO, Carolina, Guía de Contratación Estatal: Deber de planeación y modalidades de selección, Buenos Aires, 2015.</w:t>
            </w:r>
          </w:p>
        </w:tc>
      </w:tr>
    </w:tbl>
    <w:p w14:paraId="59183C78" w14:textId="77777777" w:rsidR="00F2340A" w:rsidRPr="00F252D7" w:rsidRDefault="00F2340A" w:rsidP="00F2340A">
      <w:pPr>
        <w:tabs>
          <w:tab w:val="left" w:pos="142"/>
          <w:tab w:val="left" w:pos="284"/>
        </w:tabs>
        <w:spacing w:after="0" w:line="276" w:lineRule="auto"/>
        <w:jc w:val="both"/>
        <w:rPr>
          <w:rFonts w:ascii="Verdana" w:eastAsia="Century Gothic" w:hAnsi="Verdana" w:cs="Century Gothic"/>
          <w:b/>
          <w:bCs/>
        </w:rPr>
      </w:pPr>
    </w:p>
    <w:p w14:paraId="11D4A76E" w14:textId="77777777" w:rsidR="00F2340A" w:rsidRPr="00F252D7" w:rsidRDefault="00F2340A" w:rsidP="00F2340A">
      <w:pPr>
        <w:tabs>
          <w:tab w:val="left" w:pos="142"/>
          <w:tab w:val="left" w:pos="284"/>
        </w:tabs>
        <w:spacing w:after="0" w:line="276" w:lineRule="auto"/>
        <w:jc w:val="both"/>
        <w:rPr>
          <w:rFonts w:ascii="Verdana" w:eastAsia="Century Gothic" w:hAnsi="Verdana" w:cs="Century Gothic"/>
          <w:b/>
          <w:bCs/>
          <w:lang w:val="es-ES"/>
        </w:rPr>
      </w:pPr>
      <w:r w:rsidRPr="00F252D7">
        <w:rPr>
          <w:rFonts w:ascii="Verdana" w:eastAsia="Century Gothic" w:hAnsi="Verdana" w:cs="Century Gothic"/>
          <w:b/>
          <w:bCs/>
        </w:rPr>
        <w:t xml:space="preserve">5. </w:t>
      </w:r>
      <w:r w:rsidRPr="00F252D7">
        <w:rPr>
          <w:rFonts w:ascii="Verdana" w:eastAsia="Century Gothic" w:hAnsi="Verdana" w:cs="Century Gothic"/>
          <w:b/>
          <w:bCs/>
          <w:lang w:val="es-ES"/>
        </w:rPr>
        <w:t>Doctrina de la Agencia Nacional de Contratación Pública:</w:t>
      </w:r>
    </w:p>
    <w:p w14:paraId="2627E6A7" w14:textId="77777777" w:rsidR="00F2340A" w:rsidRPr="00F252D7" w:rsidRDefault="00F2340A" w:rsidP="00F2340A">
      <w:pPr>
        <w:spacing w:after="0" w:line="276" w:lineRule="auto"/>
        <w:ind w:firstLine="709"/>
        <w:jc w:val="both"/>
        <w:rPr>
          <w:rFonts w:ascii="Verdana" w:eastAsia="Times New Roman" w:hAnsi="Verdana" w:cs="Arial"/>
          <w:szCs w:val="24"/>
          <w:lang w:val="es-ES" w:eastAsia="es-ES_tradnl"/>
        </w:rPr>
      </w:pPr>
    </w:p>
    <w:p w14:paraId="63C85747" w14:textId="77777777" w:rsidR="00F2340A" w:rsidRPr="00F252D7" w:rsidRDefault="00F2340A" w:rsidP="00F2340A">
      <w:pPr>
        <w:widowControl w:val="0"/>
        <w:autoSpaceDE w:val="0"/>
        <w:autoSpaceDN w:val="0"/>
        <w:spacing w:after="0" w:line="276" w:lineRule="auto"/>
        <w:jc w:val="both"/>
        <w:rPr>
          <w:rFonts w:ascii="Verdana" w:hAnsi="Verdana" w:cs="Arial"/>
          <w:color w:val="000000" w:themeColor="text1"/>
          <w:shd w:val="clear" w:color="auto" w:fill="FFFFFF"/>
          <w:lang w:val="es-ES"/>
        </w:rPr>
      </w:pPr>
      <w:r w:rsidRPr="00F252D7">
        <w:rPr>
          <w:rFonts w:ascii="Verdana" w:eastAsia="Calibri" w:hAnsi="Verdana" w:cs="Arial"/>
          <w:lang w:val="es-ES_tradnl" w:eastAsia="es-ES_tradnl"/>
        </w:rPr>
        <w:t xml:space="preserve">Sobre el deber de elaborar análisis del sector frente a procesos de contratación se pronunció esta Subdirección en los conceptos 2202013000000037 del 7 de enero de 2020, C-223 del 29 de abril de 2020 y C-148 de 2021. Igualmente, se reiteran los </w:t>
      </w:r>
      <w:r>
        <w:rPr>
          <w:rFonts w:ascii="Verdana" w:eastAsia="Calibri" w:hAnsi="Verdana" w:cs="Arial"/>
          <w:lang w:val="es-ES_tradnl" w:eastAsia="es-ES_tradnl"/>
        </w:rPr>
        <w:t>c</w:t>
      </w:r>
      <w:r w:rsidRPr="00F252D7">
        <w:rPr>
          <w:rFonts w:ascii="Verdana" w:eastAsia="Calibri" w:hAnsi="Verdana" w:cs="Arial"/>
          <w:lang w:val="es-ES_tradnl" w:eastAsia="es-ES_tradnl"/>
        </w:rPr>
        <w:t xml:space="preserve">onceptos C-387 del 23 de junio de 2020, </w:t>
      </w:r>
      <w:r w:rsidRPr="00F252D7">
        <w:rPr>
          <w:rFonts w:ascii="Verdana" w:eastAsia="Calibri" w:hAnsi="Verdana" w:cs="Arial"/>
          <w:lang w:eastAsia="es-ES_tradnl"/>
        </w:rPr>
        <w:t xml:space="preserve">C-415 del 7 de julio </w:t>
      </w:r>
      <w:r w:rsidRPr="00F252D7">
        <w:rPr>
          <w:rFonts w:ascii="Verdana" w:eastAsia="Calibri" w:hAnsi="Verdana" w:cs="Arial"/>
          <w:lang w:val="es-ES_tradnl" w:eastAsia="es-ES_tradnl"/>
        </w:rPr>
        <w:t>de 2020</w:t>
      </w:r>
      <w:r w:rsidRPr="00F252D7">
        <w:rPr>
          <w:rFonts w:ascii="Verdana" w:eastAsia="Calibri" w:hAnsi="Verdana" w:cs="Arial"/>
          <w:lang w:eastAsia="es-ES_tradnl"/>
        </w:rPr>
        <w:t xml:space="preserve">, C-443 del 7 de julio de 2020, </w:t>
      </w:r>
      <w:r w:rsidRPr="00F252D7">
        <w:rPr>
          <w:rFonts w:ascii="Verdana" w:eastAsia="Times New Roman" w:hAnsi="Verdana" w:cs="Arial"/>
          <w:lang w:eastAsia="es-ES_tradnl"/>
        </w:rPr>
        <w:t>C-387 del 23 de junio de 2020</w:t>
      </w:r>
      <w:r w:rsidRPr="00F252D7">
        <w:rPr>
          <w:rFonts w:ascii="Verdana" w:eastAsia="Calibri" w:hAnsi="Verdana" w:cs="Arial"/>
          <w:lang w:val="es-ES_tradnl" w:eastAsia="es-ES_tradnl"/>
        </w:rPr>
        <w:t xml:space="preserve">, C-223 del 29 de abril de 2020, C-671 de 2020 de 23 de noviembre de 2020, C-215 del 12 de mayo de 2021, C-742 del 27 de diciembre de 2021, </w:t>
      </w:r>
      <w:r w:rsidRPr="00F252D7">
        <w:rPr>
          <w:rFonts w:ascii="Verdana" w:eastAsia="Calibri" w:hAnsi="Verdana" w:cs="Arial"/>
          <w:lang w:val="es-ES" w:eastAsia="es-ES_tradnl"/>
        </w:rPr>
        <w:t>C-519 del 13 de septiembre de 2022, C-716 del 15 de noviembre de 2022, C-856 del 13 de diciembre de 2022, C-235 del 5 de julio de 2023</w:t>
      </w:r>
      <w:r>
        <w:rPr>
          <w:rFonts w:ascii="Verdana" w:eastAsia="Calibri" w:hAnsi="Verdana" w:cs="Arial"/>
          <w:lang w:val="es-ES" w:eastAsia="es-ES_tradnl"/>
        </w:rPr>
        <w:t>, C-258 del 12 de agosto de 2024</w:t>
      </w:r>
      <w:r w:rsidRPr="00F252D7">
        <w:rPr>
          <w:rFonts w:ascii="Verdana" w:eastAsia="Calibri" w:hAnsi="Verdana" w:cs="Arial"/>
          <w:lang w:val="es-ES" w:eastAsia="es-ES_tradnl"/>
        </w:rPr>
        <w:t>.</w:t>
      </w:r>
      <w:r>
        <w:rPr>
          <w:rFonts w:ascii="Verdana" w:eastAsia="Calibri" w:hAnsi="Verdana" w:cs="Arial"/>
          <w:lang w:val="es-ES" w:eastAsia="es-ES_tradnl"/>
        </w:rPr>
        <w:t xml:space="preserve"> Por otra parte, sobre la </w:t>
      </w:r>
      <w:r w:rsidRPr="006849F1">
        <w:rPr>
          <w:rFonts w:ascii="Verdana" w:hAnsi="Verdana" w:cs="Arial"/>
          <w:shd w:val="clear" w:color="auto" w:fill="FFFFFF"/>
          <w:lang w:val="es-ES"/>
        </w:rPr>
        <w:t>determinación</w:t>
      </w:r>
      <w:r>
        <w:rPr>
          <w:rFonts w:ascii="Verdana" w:hAnsi="Verdana" w:cs="Arial"/>
          <w:shd w:val="clear" w:color="auto" w:fill="FFFFFF"/>
          <w:lang w:val="es-ES"/>
        </w:rPr>
        <w:t xml:space="preserve"> y verificación</w:t>
      </w:r>
      <w:r w:rsidRPr="006849F1">
        <w:rPr>
          <w:rFonts w:ascii="Verdana" w:hAnsi="Verdana" w:cs="Arial"/>
          <w:shd w:val="clear" w:color="auto" w:fill="FFFFFF"/>
          <w:lang w:val="es-ES"/>
        </w:rPr>
        <w:t xml:space="preserve"> del precio o valor en los contratos estatales</w:t>
      </w:r>
      <w:r>
        <w:rPr>
          <w:rFonts w:ascii="Verdana" w:hAnsi="Verdana" w:cs="Arial"/>
          <w:shd w:val="clear" w:color="auto" w:fill="FFFFFF"/>
          <w:lang w:val="es-ES"/>
        </w:rPr>
        <w:t xml:space="preserve"> se pronunció</w:t>
      </w:r>
      <w:r w:rsidRPr="006849F1">
        <w:rPr>
          <w:rFonts w:ascii="Verdana" w:hAnsi="Verdana" w:cs="Arial"/>
          <w:shd w:val="clear" w:color="auto" w:fill="FFFFFF"/>
          <w:lang w:val="es-ES"/>
        </w:rPr>
        <w:t xml:space="preserve"> en los conceptos</w:t>
      </w:r>
      <w:r w:rsidRPr="006849F1">
        <w:rPr>
          <w:rFonts w:ascii="Verdana" w:hAnsi="Verdana" w:cs="Calibri"/>
          <w:shd w:val="clear" w:color="auto" w:fill="FFFFFF"/>
        </w:rPr>
        <w:t xml:space="preserve"> </w:t>
      </w:r>
      <w:r w:rsidRPr="006849F1">
        <w:rPr>
          <w:rFonts w:ascii="Verdana" w:hAnsi="Verdana" w:cs="Arial"/>
          <w:shd w:val="clear" w:color="auto" w:fill="FFFFFF"/>
          <w:lang w:val="es-ES"/>
        </w:rPr>
        <w:t xml:space="preserve">C-064 del 28 de febrero de 2020, C-150 del 18 de marzo de 2020, C-075 del 26 de marzo de 2020, C-180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w:t>
      </w:r>
      <w:r>
        <w:rPr>
          <w:rFonts w:ascii="Verdana" w:hAnsi="Verdana" w:cs="Arial"/>
          <w:shd w:val="clear" w:color="auto" w:fill="FFFFFF"/>
          <w:lang w:val="es-ES"/>
        </w:rPr>
        <w:t xml:space="preserve">, </w:t>
      </w:r>
      <w:r w:rsidRPr="006849F1">
        <w:rPr>
          <w:rFonts w:ascii="Verdana" w:hAnsi="Verdana" w:cs="Arial"/>
          <w:shd w:val="clear" w:color="auto" w:fill="FFFFFF"/>
          <w:lang w:val="es-ES"/>
        </w:rPr>
        <w:t>C-288 del 14 de julio de 2023,</w:t>
      </w:r>
      <w:r>
        <w:rPr>
          <w:rFonts w:ascii="Verdana" w:hAnsi="Verdana" w:cs="Arial"/>
          <w:shd w:val="clear" w:color="auto" w:fill="FFFFFF"/>
          <w:lang w:val="es-ES"/>
        </w:rPr>
        <w:t xml:space="preserve"> C-167 del 23 de julio de 2024, C-1018 del 6 de </w:t>
      </w:r>
      <w:r>
        <w:rPr>
          <w:rFonts w:ascii="Verdana" w:hAnsi="Verdana" w:cs="Arial"/>
          <w:shd w:val="clear" w:color="auto" w:fill="FFFFFF"/>
          <w:lang w:val="es-ES"/>
        </w:rPr>
        <w:lastRenderedPageBreak/>
        <w:t>enero de 2025, C-212 del 28 de marzo de 2025</w:t>
      </w:r>
      <w:r>
        <w:rPr>
          <w:rFonts w:ascii="Verdana" w:eastAsia="Calibri" w:hAnsi="Verdana" w:cs="Arial"/>
          <w:lang w:val="es-ES" w:eastAsia="es-ES_tradnl"/>
        </w:rPr>
        <w:t xml:space="preserve">, C-980 del 29 de agosto de 2025 y C-1437 del 29 de octubre de 2025. </w:t>
      </w:r>
      <w:r w:rsidRPr="00F252D7">
        <w:rPr>
          <w:rFonts w:ascii="Verdana" w:eastAsia="Calibri" w:hAnsi="Verdana" w:cs="Arial"/>
          <w:lang w:val="es-ES" w:eastAsia="es-ES_tradnl"/>
        </w:rPr>
        <w:t>Estos</w:t>
      </w:r>
      <w:r w:rsidRPr="00F252D7">
        <w:rPr>
          <w:rFonts w:ascii="Verdana" w:hAnsi="Verdana"/>
        </w:rPr>
        <w:t xml:space="preserve"> y otros conceptos se encuentran disponibles para consulta en el Sistema de relatoría de la Agencia, al cual se puede acceder a través del siguiente enlace:</w:t>
      </w:r>
      <w:r w:rsidRPr="00F252D7">
        <w:rPr>
          <w:rFonts w:ascii="Verdana" w:hAnsi="Verdana" w:cs="Arial"/>
          <w:shd w:val="clear" w:color="auto" w:fill="FFFFFF"/>
          <w:lang w:val="es-ES"/>
        </w:rPr>
        <w:t xml:space="preserve"> </w:t>
      </w:r>
      <w:hyperlink r:id="rId12" w:history="1">
        <w:r w:rsidRPr="00F252D7">
          <w:rPr>
            <w:rFonts w:ascii="Verdana" w:hAnsi="Verdana" w:cs="Arial"/>
            <w:color w:val="0563C1" w:themeColor="hyperlink"/>
            <w:u w:val="single"/>
            <w:shd w:val="clear" w:color="auto" w:fill="FFFFFF"/>
            <w:lang w:val="es-ES"/>
          </w:rPr>
          <w:t>https://relatoria.colombiacompra.gov.co/busqueda/conceptos</w:t>
        </w:r>
      </w:hyperlink>
    </w:p>
    <w:p w14:paraId="17C92AFE" w14:textId="77777777" w:rsidR="00F2340A" w:rsidRPr="00F252D7" w:rsidRDefault="00F2340A" w:rsidP="00F2340A">
      <w:pPr>
        <w:widowControl w:val="0"/>
        <w:autoSpaceDE w:val="0"/>
        <w:autoSpaceDN w:val="0"/>
        <w:spacing w:after="0" w:line="276" w:lineRule="auto"/>
        <w:jc w:val="both"/>
        <w:rPr>
          <w:rFonts w:ascii="Verdana" w:hAnsi="Verdana" w:cs="Arial"/>
          <w:color w:val="000000" w:themeColor="text1"/>
          <w:shd w:val="clear" w:color="auto" w:fill="FFFFFF"/>
          <w:lang w:val="es-ES"/>
        </w:rPr>
      </w:pPr>
    </w:p>
    <w:bookmarkEnd w:id="0"/>
    <w:p w14:paraId="1B8310D7" w14:textId="77777777" w:rsidR="00F2340A" w:rsidRPr="00DE3734" w:rsidRDefault="00F2340A" w:rsidP="00F2340A">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DE3734">
        <w:rPr>
          <w:rFonts w:ascii="Verdana" w:eastAsia="Calibri" w:hAnsi="Verdana" w:cs="Arial"/>
          <w:color w:val="000000" w:themeColor="text1"/>
          <w:shd w:val="clear" w:color="auto" w:fill="FFFFFF"/>
        </w:rPr>
        <w:t>También le contamos que ya se encuentra disponible la </w:t>
      </w:r>
      <w:r w:rsidRPr="00DE3734">
        <w:rPr>
          <w:rFonts w:ascii="Verdana" w:eastAsia="Calibri"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DE3734">
        <w:rPr>
          <w:rFonts w:ascii="Verdana" w:eastAsia="Calibri"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E3734">
        <w:rPr>
          <w:rFonts w:ascii="Verdana" w:eastAsia="Calibri" w:hAnsi="Verdana" w:cs="Arial"/>
          <w:color w:val="000000" w:themeColor="text1"/>
          <w:shd w:val="clear" w:color="auto" w:fill="FFFFFF"/>
        </w:rPr>
        <w:t>Wayúu</w:t>
      </w:r>
      <w:proofErr w:type="spellEnd"/>
      <w:r w:rsidRPr="00DE3734">
        <w:rPr>
          <w:rFonts w:ascii="Verdana" w:eastAsia="Calibri" w:hAnsi="Verdana" w:cs="Arial"/>
          <w:color w:val="000000" w:themeColor="text1"/>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DE3734">
          <w:rPr>
            <w:rFonts w:ascii="Verdana" w:eastAsia="Calibri" w:hAnsi="Verdana" w:cs="Arial"/>
            <w:color w:val="0563C1" w:themeColor="hyperlink"/>
            <w:u w:val="single"/>
            <w:shd w:val="clear" w:color="auto" w:fill="FFFFFF"/>
          </w:rPr>
          <w:t>Guía de lineamientos de transparencia y selección objetiva para el departamento de La Guajira – Objetivo sexto constitucional de la Sentencia T-302 del 2017</w:t>
        </w:r>
      </w:hyperlink>
    </w:p>
    <w:p w14:paraId="0E29D549" w14:textId="77777777" w:rsidR="00F2340A" w:rsidRPr="00DE3734" w:rsidRDefault="00F2340A" w:rsidP="00F2340A">
      <w:pPr>
        <w:widowControl w:val="0"/>
        <w:autoSpaceDE w:val="0"/>
        <w:autoSpaceDN w:val="0"/>
        <w:spacing w:after="0" w:line="276" w:lineRule="auto"/>
        <w:jc w:val="both"/>
        <w:rPr>
          <w:rFonts w:ascii="Verdana" w:eastAsia="Calibri" w:hAnsi="Verdana" w:cs="Arial"/>
          <w:color w:val="000000" w:themeColor="text1"/>
          <w:shd w:val="clear" w:color="auto" w:fill="FFFFFF"/>
        </w:rPr>
      </w:pPr>
    </w:p>
    <w:p w14:paraId="75E80870" w14:textId="77777777" w:rsidR="00F2340A" w:rsidRPr="00DE3734" w:rsidRDefault="00F2340A" w:rsidP="00F2340A">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DE3734">
        <w:rPr>
          <w:rFonts w:ascii="Verdana" w:eastAsia="Calibri" w:hAnsi="Verdana" w:cs="Arial"/>
          <w:color w:val="000000" w:themeColor="text1"/>
          <w:shd w:val="clear" w:color="auto" w:fill="FFFFFF"/>
        </w:rPr>
        <w:t xml:space="preserve">Por último, lo invitamos a seguirnos en las redes sociales en las cuales se difunde información institucional: </w:t>
      </w:r>
    </w:p>
    <w:p w14:paraId="6198B65C" w14:textId="77777777" w:rsidR="00F2340A" w:rsidRPr="00DE3734" w:rsidRDefault="00F2340A" w:rsidP="00F2340A">
      <w:pPr>
        <w:widowControl w:val="0"/>
        <w:autoSpaceDE w:val="0"/>
        <w:autoSpaceDN w:val="0"/>
        <w:spacing w:after="0" w:line="276" w:lineRule="auto"/>
        <w:jc w:val="both"/>
        <w:rPr>
          <w:rFonts w:ascii="Verdana" w:eastAsia="Calibri" w:hAnsi="Verdana" w:cs="Arial"/>
          <w:color w:val="000000" w:themeColor="text1"/>
          <w:shd w:val="clear" w:color="auto" w:fill="FFFFFF"/>
        </w:rPr>
      </w:pPr>
    </w:p>
    <w:p w14:paraId="3A98C30F" w14:textId="77777777" w:rsidR="00F2340A" w:rsidRPr="00DE3734" w:rsidRDefault="00F2340A" w:rsidP="00F2340A">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DE3734">
        <w:rPr>
          <w:rFonts w:ascii="Verdana" w:eastAsia="Calibri" w:hAnsi="Verdana" w:cs="Arial"/>
          <w:color w:val="000000" w:themeColor="text1"/>
          <w:shd w:val="clear" w:color="auto" w:fill="FFFFFF"/>
        </w:rPr>
        <w:t xml:space="preserve">Twitter: </w:t>
      </w:r>
      <w:r w:rsidRPr="00DE3734">
        <w:rPr>
          <w:rFonts w:ascii="Verdana" w:eastAsia="Calibri" w:hAnsi="Verdana" w:cs="Arial"/>
          <w:color w:val="000000" w:themeColor="text1"/>
          <w:u w:val="single"/>
          <w:shd w:val="clear" w:color="auto" w:fill="FFFFFF"/>
        </w:rPr>
        <w:t>@colombiacompra</w:t>
      </w:r>
      <w:r w:rsidRPr="00DE3734">
        <w:rPr>
          <w:rFonts w:ascii="Verdana" w:eastAsia="Calibri" w:hAnsi="Verdana" w:cs="Arial"/>
          <w:color w:val="000000" w:themeColor="text1"/>
          <w:shd w:val="clear" w:color="auto" w:fill="FFFFFF"/>
        </w:rPr>
        <w:t xml:space="preserve"> </w:t>
      </w:r>
    </w:p>
    <w:p w14:paraId="117FF5E9" w14:textId="77777777" w:rsidR="00F2340A" w:rsidRPr="00DE3734" w:rsidRDefault="00F2340A" w:rsidP="00F2340A">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DE3734">
        <w:rPr>
          <w:rFonts w:ascii="Verdana" w:eastAsia="Calibri" w:hAnsi="Verdana" w:cs="Arial"/>
          <w:color w:val="000000" w:themeColor="text1"/>
          <w:shd w:val="clear" w:color="auto" w:fill="FFFFFF"/>
        </w:rPr>
        <w:t xml:space="preserve">Facebook: </w:t>
      </w:r>
      <w:proofErr w:type="spellStart"/>
      <w:r w:rsidRPr="00DE3734">
        <w:rPr>
          <w:rFonts w:ascii="Verdana" w:eastAsia="Calibri" w:hAnsi="Verdana" w:cs="Arial"/>
          <w:color w:val="000000" w:themeColor="text1"/>
          <w:u w:val="single"/>
          <w:shd w:val="clear" w:color="auto" w:fill="FFFFFF"/>
        </w:rPr>
        <w:t>ColombiaCompraEficiente</w:t>
      </w:r>
      <w:proofErr w:type="spellEnd"/>
    </w:p>
    <w:p w14:paraId="7509AEDA" w14:textId="77777777" w:rsidR="00F2340A" w:rsidRPr="00DE3734" w:rsidRDefault="00F2340A" w:rsidP="00F2340A">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DE3734">
        <w:rPr>
          <w:rFonts w:ascii="Verdana" w:eastAsia="Calibri" w:hAnsi="Verdana" w:cs="Arial"/>
          <w:color w:val="000000" w:themeColor="text1"/>
          <w:shd w:val="clear" w:color="auto" w:fill="FFFFFF"/>
        </w:rPr>
        <w:t xml:space="preserve">LinkedIn: </w:t>
      </w:r>
      <w:r w:rsidRPr="00DE3734">
        <w:rPr>
          <w:rFonts w:ascii="Verdana" w:eastAsia="Calibri" w:hAnsi="Verdana" w:cs="Arial"/>
          <w:color w:val="000000" w:themeColor="text1"/>
          <w:u w:val="single"/>
          <w:shd w:val="clear" w:color="auto" w:fill="FFFFFF"/>
        </w:rPr>
        <w:t>Agencia Nacional de Contratación Pública - Colombia Compra Eficiente</w:t>
      </w:r>
      <w:r w:rsidRPr="00DE3734">
        <w:rPr>
          <w:rFonts w:ascii="Verdana" w:eastAsia="Calibri" w:hAnsi="Verdana" w:cs="Arial"/>
          <w:color w:val="000000" w:themeColor="text1"/>
          <w:shd w:val="clear" w:color="auto" w:fill="FFFFFF"/>
        </w:rPr>
        <w:t xml:space="preserve"> Instagram: </w:t>
      </w:r>
      <w:r w:rsidRPr="00DE3734">
        <w:rPr>
          <w:rFonts w:ascii="Verdana" w:eastAsia="Calibri" w:hAnsi="Verdana" w:cs="Arial"/>
          <w:color w:val="000000" w:themeColor="text1"/>
          <w:u w:val="single"/>
          <w:shd w:val="clear" w:color="auto" w:fill="FFFFFF"/>
        </w:rPr>
        <w:t>@colombiacompraeficiente_cce</w:t>
      </w:r>
    </w:p>
    <w:p w14:paraId="0F85DEC7" w14:textId="77777777" w:rsidR="00F2340A" w:rsidRPr="00DE3734" w:rsidRDefault="00F2340A" w:rsidP="00F2340A">
      <w:pPr>
        <w:widowControl w:val="0"/>
        <w:autoSpaceDE w:val="0"/>
        <w:autoSpaceDN w:val="0"/>
        <w:spacing w:after="0" w:line="276" w:lineRule="auto"/>
        <w:jc w:val="both"/>
        <w:rPr>
          <w:rFonts w:ascii="Verdana" w:eastAsia="Calibri" w:hAnsi="Verdana" w:cs="Arial"/>
        </w:rPr>
      </w:pPr>
    </w:p>
    <w:p w14:paraId="1DC03C41" w14:textId="77777777" w:rsidR="00F2340A" w:rsidRPr="00DE3734" w:rsidRDefault="00F2340A" w:rsidP="00F2340A">
      <w:pPr>
        <w:widowControl w:val="0"/>
        <w:autoSpaceDE w:val="0"/>
        <w:autoSpaceDN w:val="0"/>
        <w:spacing w:after="0" w:line="276" w:lineRule="auto"/>
        <w:jc w:val="both"/>
        <w:rPr>
          <w:rFonts w:ascii="Verdana" w:eastAsia="Calibri" w:hAnsi="Verdana" w:cs="Arial"/>
          <w:lang w:val="es-ES_tradnl"/>
        </w:rPr>
      </w:pPr>
      <w:r w:rsidRPr="00DE3734">
        <w:rPr>
          <w:rFonts w:ascii="Verdana" w:eastAsia="Calibri" w:hAnsi="Verdana" w:cs="Arial"/>
        </w:rPr>
        <w:t xml:space="preserve">Este concepto tiene el alcance previsto en el artículo 28 del Código de Procedimiento Administrativo y de lo Contencioso Administrativo </w:t>
      </w:r>
      <w:r w:rsidRPr="00DE3734">
        <w:rPr>
          <w:rFonts w:ascii="Verdana" w:eastAsia="Calibri" w:hAnsi="Verdana" w:cs="Arial"/>
          <w:lang w:val="es-ES_tradnl"/>
        </w:rPr>
        <w:t>y las expresiones aquí utilizadas con mayúscula inicial deben ser entendidas con el significado que les otorga el artículo 2.2.1.1.1.3.1. del Decreto 1082 de 2015.</w:t>
      </w:r>
    </w:p>
    <w:p w14:paraId="72D459C9" w14:textId="77777777" w:rsidR="00F2340A" w:rsidRPr="00DE3734" w:rsidRDefault="00F2340A" w:rsidP="00F2340A">
      <w:pPr>
        <w:widowControl w:val="0"/>
        <w:autoSpaceDE w:val="0"/>
        <w:autoSpaceDN w:val="0"/>
        <w:spacing w:after="0" w:line="276" w:lineRule="auto"/>
        <w:jc w:val="both"/>
        <w:rPr>
          <w:rFonts w:ascii="Verdana" w:eastAsia="Calibri" w:hAnsi="Verdana" w:cs="Arial"/>
        </w:rPr>
      </w:pPr>
    </w:p>
    <w:p w14:paraId="57855B7F" w14:textId="77777777" w:rsidR="00F2340A" w:rsidRPr="00DE3734" w:rsidRDefault="00F2340A" w:rsidP="00F2340A">
      <w:pPr>
        <w:spacing w:after="0" w:line="240" w:lineRule="auto"/>
        <w:rPr>
          <w:rFonts w:ascii="Verdana" w:eastAsia="Calibri" w:hAnsi="Verdana" w:cs="Arial"/>
          <w:lang w:eastAsia="es-CO"/>
        </w:rPr>
      </w:pPr>
      <w:r w:rsidRPr="00DE3734">
        <w:rPr>
          <w:rFonts w:ascii="Verdana" w:eastAsia="Times New Roman" w:hAnsi="Verdana" w:cs="Arial"/>
          <w:lang w:eastAsia="es-CO"/>
        </w:rPr>
        <w:t>Atentamente,</w:t>
      </w:r>
      <w:r w:rsidRPr="00DE3734">
        <w:rPr>
          <w:rFonts w:ascii="Verdana" w:eastAsia="Calibri" w:hAnsi="Verdana" w:cs="Arial"/>
          <w:lang w:eastAsia="es-CO"/>
        </w:rPr>
        <w:t xml:space="preserve"> </w:t>
      </w:r>
    </w:p>
    <w:p w14:paraId="3213EB22" w14:textId="502BBBE3" w:rsidR="00F2340A" w:rsidRPr="00DE3734" w:rsidRDefault="0076389F" w:rsidP="00F2340A">
      <w:pPr>
        <w:spacing w:line="276" w:lineRule="auto"/>
        <w:jc w:val="center"/>
        <w:rPr>
          <w:rFonts w:ascii="Verdana" w:eastAsia="Calibri" w:hAnsi="Verdana" w:cs="Arial"/>
          <w:color w:val="000000"/>
          <w:lang w:val="es-ES_tradnl" w:eastAsia="es-CO"/>
        </w:rPr>
      </w:pPr>
      <w:r w:rsidRPr="002C3AD6">
        <w:rPr>
          <w:rFonts w:ascii="Century Gothic" w:hAnsi="Century Gothic"/>
          <w:noProof/>
        </w:rPr>
        <w:lastRenderedPageBreak/>
        <w:drawing>
          <wp:inline distT="0" distB="0" distL="0" distR="0" wp14:anchorId="38D3DF83" wp14:editId="33327B9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2"/>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2340A" w:rsidRPr="00DE3734" w14:paraId="0FCF022C" w14:textId="77777777" w:rsidTr="008F7EA1">
        <w:trPr>
          <w:trHeight w:val="315"/>
        </w:trPr>
        <w:tc>
          <w:tcPr>
            <w:tcW w:w="893" w:type="dxa"/>
            <w:vAlign w:val="center"/>
            <w:hideMark/>
          </w:tcPr>
          <w:p w14:paraId="41304294" w14:textId="77777777" w:rsidR="00F2340A" w:rsidRPr="00DE3734" w:rsidRDefault="00F2340A" w:rsidP="008F7EA1">
            <w:pPr>
              <w:spacing w:after="255"/>
              <w:contextualSpacing/>
              <w:rPr>
                <w:rFonts w:ascii="Verdana" w:hAnsi="Verdana"/>
                <w:sz w:val="16"/>
                <w:szCs w:val="16"/>
                <w:lang w:val="es-ES" w:eastAsia="es-ES"/>
              </w:rPr>
            </w:pPr>
            <w:r w:rsidRPr="00DE3734">
              <w:rPr>
                <w:rFonts w:ascii="Verdana" w:hAnsi="Verdana"/>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3770FB0" w14:textId="77777777" w:rsidR="00F2340A" w:rsidRPr="00DE3734" w:rsidRDefault="00F2340A" w:rsidP="008F7EA1">
            <w:pPr>
              <w:spacing w:after="255"/>
              <w:contextualSpacing/>
              <w:rPr>
                <w:rFonts w:ascii="Verdana" w:hAnsi="Verdana"/>
                <w:sz w:val="16"/>
                <w:szCs w:val="16"/>
                <w:lang w:val="pt-BR" w:eastAsia="es-ES"/>
              </w:rPr>
            </w:pPr>
            <w:r w:rsidRPr="00DE3734">
              <w:rPr>
                <w:rFonts w:ascii="Verdana" w:hAnsi="Verdana"/>
                <w:sz w:val="16"/>
                <w:szCs w:val="16"/>
                <w:lang w:val="pt-BR" w:eastAsia="es-ES"/>
              </w:rPr>
              <w:t>Ximena Ríos López</w:t>
            </w:r>
          </w:p>
          <w:p w14:paraId="39A1D0AB" w14:textId="77777777" w:rsidR="00F2340A" w:rsidRPr="00DE3734" w:rsidRDefault="00F2340A" w:rsidP="008F7EA1">
            <w:pPr>
              <w:spacing w:after="255"/>
              <w:contextualSpacing/>
              <w:rPr>
                <w:rFonts w:ascii="Verdana" w:hAnsi="Verdana"/>
                <w:sz w:val="16"/>
                <w:szCs w:val="16"/>
                <w:lang w:val="pt-BR" w:eastAsia="es-ES"/>
              </w:rPr>
            </w:pPr>
            <w:r w:rsidRPr="00DE3734">
              <w:rPr>
                <w:rFonts w:ascii="Verdana" w:hAnsi="Verdana"/>
                <w:sz w:val="16"/>
                <w:szCs w:val="16"/>
                <w:lang w:val="pt-BR" w:eastAsia="es-ES"/>
              </w:rPr>
              <w:t xml:space="preserve">Gestor T1 ‒ 11 de </w:t>
            </w:r>
            <w:proofErr w:type="spellStart"/>
            <w:r w:rsidRPr="00DE3734">
              <w:rPr>
                <w:rFonts w:ascii="Verdana" w:hAnsi="Verdana"/>
                <w:sz w:val="16"/>
                <w:szCs w:val="16"/>
                <w:lang w:val="pt-BR" w:eastAsia="es-ES"/>
              </w:rPr>
              <w:t>la</w:t>
            </w:r>
            <w:proofErr w:type="spellEnd"/>
            <w:r w:rsidRPr="00DE3734">
              <w:rPr>
                <w:rFonts w:ascii="Verdana" w:hAnsi="Verdana"/>
                <w:sz w:val="16"/>
                <w:szCs w:val="16"/>
                <w:lang w:val="pt-BR" w:eastAsia="es-ES"/>
              </w:rPr>
              <w:t xml:space="preserve"> </w:t>
            </w:r>
            <w:proofErr w:type="spellStart"/>
            <w:r w:rsidRPr="00DE3734">
              <w:rPr>
                <w:rFonts w:ascii="Verdana" w:hAnsi="Verdana"/>
                <w:sz w:val="16"/>
                <w:szCs w:val="16"/>
                <w:lang w:val="pt-BR" w:eastAsia="es-ES"/>
              </w:rPr>
              <w:t>Subdirección</w:t>
            </w:r>
            <w:proofErr w:type="spellEnd"/>
            <w:r w:rsidRPr="00DE3734">
              <w:rPr>
                <w:rFonts w:ascii="Verdana" w:hAnsi="Verdana"/>
                <w:sz w:val="16"/>
                <w:szCs w:val="16"/>
                <w:lang w:val="pt-BR" w:eastAsia="es-ES"/>
              </w:rPr>
              <w:t xml:space="preserve"> de Gestión </w:t>
            </w:r>
            <w:proofErr w:type="spellStart"/>
            <w:r w:rsidRPr="00DE3734">
              <w:rPr>
                <w:rFonts w:ascii="Verdana" w:hAnsi="Verdana"/>
                <w:sz w:val="16"/>
                <w:szCs w:val="16"/>
                <w:lang w:val="pt-BR" w:eastAsia="es-ES"/>
              </w:rPr>
              <w:t>Contractual</w:t>
            </w:r>
            <w:proofErr w:type="spellEnd"/>
          </w:p>
        </w:tc>
      </w:tr>
      <w:tr w:rsidR="00F2340A" w:rsidRPr="00DE3734" w14:paraId="6DC5EC28" w14:textId="77777777" w:rsidTr="008F7EA1">
        <w:trPr>
          <w:trHeight w:val="330"/>
        </w:trPr>
        <w:tc>
          <w:tcPr>
            <w:tcW w:w="893" w:type="dxa"/>
            <w:vAlign w:val="center"/>
            <w:hideMark/>
          </w:tcPr>
          <w:p w14:paraId="1393017E" w14:textId="77777777" w:rsidR="00F2340A" w:rsidRPr="00DE3734" w:rsidRDefault="00F2340A" w:rsidP="008F7EA1">
            <w:pPr>
              <w:spacing w:after="255"/>
              <w:contextualSpacing/>
              <w:rPr>
                <w:rFonts w:ascii="Verdana" w:hAnsi="Verdana"/>
                <w:sz w:val="16"/>
                <w:szCs w:val="16"/>
                <w:lang w:val="es-ES" w:eastAsia="es-ES"/>
              </w:rPr>
            </w:pPr>
            <w:r w:rsidRPr="00DE3734">
              <w:rPr>
                <w:rFonts w:ascii="Verdana" w:hAnsi="Verdana"/>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ACF866" w14:textId="77777777" w:rsidR="00F2340A" w:rsidRPr="00DE3734" w:rsidRDefault="00F2340A" w:rsidP="008F7EA1">
            <w:pPr>
              <w:spacing w:after="255"/>
              <w:contextualSpacing/>
              <w:rPr>
                <w:rFonts w:ascii="Verdana" w:hAnsi="Verdana"/>
                <w:sz w:val="16"/>
                <w:szCs w:val="16"/>
                <w:lang w:val="pt-BR" w:eastAsia="es-ES"/>
              </w:rPr>
            </w:pPr>
            <w:r>
              <w:rPr>
                <w:rFonts w:ascii="Verdana" w:hAnsi="Verdana"/>
                <w:sz w:val="16"/>
                <w:szCs w:val="16"/>
                <w:lang w:val="pt-BR" w:eastAsia="es-ES"/>
              </w:rPr>
              <w:t>Diana Saavedra</w:t>
            </w:r>
          </w:p>
          <w:p w14:paraId="4BC20851" w14:textId="77777777" w:rsidR="00F2340A" w:rsidRPr="00DE3734" w:rsidRDefault="00F2340A" w:rsidP="008F7EA1">
            <w:pPr>
              <w:spacing w:after="255"/>
              <w:contextualSpacing/>
              <w:rPr>
                <w:rFonts w:ascii="Verdana" w:hAnsi="Verdana"/>
                <w:sz w:val="16"/>
                <w:szCs w:val="16"/>
                <w:lang w:val="pt-BR" w:eastAsia="es-ES"/>
              </w:rPr>
            </w:pPr>
            <w:r w:rsidRPr="00DE3734">
              <w:rPr>
                <w:rFonts w:ascii="Verdana" w:hAnsi="Verdana"/>
                <w:sz w:val="16"/>
                <w:szCs w:val="16"/>
                <w:lang w:val="pt-BR" w:eastAsia="es-ES"/>
              </w:rPr>
              <w:t xml:space="preserve">Contratista de </w:t>
            </w:r>
            <w:proofErr w:type="spellStart"/>
            <w:r w:rsidRPr="00DE3734">
              <w:rPr>
                <w:rFonts w:ascii="Verdana" w:hAnsi="Verdana"/>
                <w:sz w:val="16"/>
                <w:szCs w:val="16"/>
                <w:lang w:val="pt-BR" w:eastAsia="es-ES"/>
              </w:rPr>
              <w:t>la</w:t>
            </w:r>
            <w:proofErr w:type="spellEnd"/>
            <w:r w:rsidRPr="00DE3734">
              <w:rPr>
                <w:rFonts w:ascii="Verdana" w:hAnsi="Verdana"/>
                <w:sz w:val="16"/>
                <w:szCs w:val="16"/>
                <w:lang w:val="pt-BR" w:eastAsia="es-ES"/>
              </w:rPr>
              <w:t xml:space="preserve"> </w:t>
            </w:r>
            <w:proofErr w:type="spellStart"/>
            <w:r w:rsidRPr="00DE3734">
              <w:rPr>
                <w:rFonts w:ascii="Verdana" w:hAnsi="Verdana"/>
                <w:sz w:val="16"/>
                <w:szCs w:val="16"/>
                <w:lang w:val="pt-BR" w:eastAsia="es-ES"/>
              </w:rPr>
              <w:t>Subdirección</w:t>
            </w:r>
            <w:proofErr w:type="spellEnd"/>
            <w:r w:rsidRPr="00DE3734">
              <w:rPr>
                <w:rFonts w:ascii="Verdana" w:hAnsi="Verdana"/>
                <w:sz w:val="16"/>
                <w:szCs w:val="16"/>
                <w:lang w:val="pt-BR" w:eastAsia="es-ES"/>
              </w:rPr>
              <w:t xml:space="preserve"> de Gestión </w:t>
            </w:r>
            <w:proofErr w:type="spellStart"/>
            <w:r w:rsidRPr="00DE3734">
              <w:rPr>
                <w:rFonts w:ascii="Verdana" w:hAnsi="Verdana"/>
                <w:sz w:val="16"/>
                <w:szCs w:val="16"/>
                <w:lang w:val="pt-BR" w:eastAsia="es-ES"/>
              </w:rPr>
              <w:t>Contractual</w:t>
            </w:r>
            <w:proofErr w:type="spellEnd"/>
            <w:r w:rsidRPr="00DE3734">
              <w:rPr>
                <w:rFonts w:ascii="Verdana" w:hAnsi="Verdana"/>
                <w:sz w:val="16"/>
                <w:szCs w:val="16"/>
                <w:lang w:val="pt-BR" w:eastAsia="es-ES"/>
              </w:rPr>
              <w:t> </w:t>
            </w:r>
          </w:p>
        </w:tc>
      </w:tr>
      <w:tr w:rsidR="00F2340A" w:rsidRPr="00DE3734" w14:paraId="46FD10F1" w14:textId="77777777" w:rsidTr="008F7EA1">
        <w:trPr>
          <w:trHeight w:val="300"/>
        </w:trPr>
        <w:tc>
          <w:tcPr>
            <w:tcW w:w="893" w:type="dxa"/>
            <w:vAlign w:val="center"/>
            <w:hideMark/>
          </w:tcPr>
          <w:p w14:paraId="5D01A77A" w14:textId="77777777" w:rsidR="00F2340A" w:rsidRPr="00DE3734" w:rsidRDefault="00F2340A" w:rsidP="008F7EA1">
            <w:pPr>
              <w:spacing w:after="255"/>
              <w:contextualSpacing/>
              <w:rPr>
                <w:rFonts w:ascii="Verdana" w:hAnsi="Verdana"/>
                <w:sz w:val="16"/>
                <w:szCs w:val="16"/>
                <w:lang w:val="es-ES" w:eastAsia="es-ES"/>
              </w:rPr>
            </w:pPr>
            <w:r w:rsidRPr="00DE3734">
              <w:rPr>
                <w:rFonts w:ascii="Verdana" w:hAnsi="Verdana"/>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82D15B" w14:textId="77777777" w:rsidR="00F2340A" w:rsidRPr="00DE3734" w:rsidRDefault="00F2340A" w:rsidP="008F7EA1">
            <w:pPr>
              <w:spacing w:after="255"/>
              <w:contextualSpacing/>
              <w:rPr>
                <w:rFonts w:ascii="Verdana" w:hAnsi="Verdana"/>
                <w:sz w:val="16"/>
                <w:szCs w:val="16"/>
                <w:lang w:val="pt-BR" w:eastAsia="es-ES"/>
              </w:rPr>
            </w:pPr>
            <w:r w:rsidRPr="00DE3734">
              <w:rPr>
                <w:rFonts w:ascii="Verdana" w:hAnsi="Verdana"/>
                <w:sz w:val="16"/>
                <w:szCs w:val="16"/>
                <w:lang w:val="pt-BR" w:eastAsia="es-ES"/>
              </w:rPr>
              <w:t>Carolina Quintero Gacharná</w:t>
            </w:r>
          </w:p>
          <w:p w14:paraId="6CA66852" w14:textId="77777777" w:rsidR="00F2340A" w:rsidRPr="00DE3734" w:rsidRDefault="00F2340A" w:rsidP="008F7EA1">
            <w:pPr>
              <w:spacing w:after="255"/>
              <w:contextualSpacing/>
              <w:rPr>
                <w:rFonts w:ascii="Verdana" w:hAnsi="Verdana"/>
                <w:sz w:val="16"/>
                <w:szCs w:val="16"/>
                <w:lang w:val="pt-BR" w:eastAsia="es-ES"/>
              </w:rPr>
            </w:pPr>
            <w:r w:rsidRPr="00DE3734">
              <w:rPr>
                <w:rFonts w:ascii="Verdana" w:hAnsi="Verdana"/>
                <w:sz w:val="16"/>
                <w:szCs w:val="16"/>
                <w:lang w:eastAsia="es-ES"/>
              </w:rPr>
              <w:t>Subdirectora</w:t>
            </w:r>
            <w:r w:rsidRPr="00DE3734">
              <w:rPr>
                <w:rFonts w:ascii="Verdana" w:hAnsi="Verdana"/>
                <w:sz w:val="16"/>
                <w:szCs w:val="16"/>
                <w:lang w:val="pt-BR" w:eastAsia="es-ES"/>
              </w:rPr>
              <w:t xml:space="preserve"> de Gestión Contractual ANCP – CCE</w:t>
            </w:r>
          </w:p>
        </w:tc>
      </w:tr>
    </w:tbl>
    <w:p w14:paraId="757FD0D4" w14:textId="77777777" w:rsidR="00F2340A" w:rsidRPr="00DE3734" w:rsidRDefault="00F2340A" w:rsidP="00F2340A">
      <w:pPr>
        <w:spacing w:after="0" w:line="240" w:lineRule="auto"/>
        <w:rPr>
          <w:rFonts w:ascii="Verdana" w:eastAsia="Times New Roman" w:hAnsi="Verdana" w:cs="Arial"/>
          <w:sz w:val="24"/>
          <w:szCs w:val="24"/>
          <w:lang w:eastAsia="es-ES"/>
        </w:rPr>
      </w:pPr>
    </w:p>
    <w:p w14:paraId="437B48B4" w14:textId="77777777" w:rsidR="00F2340A" w:rsidRPr="00DE3734" w:rsidRDefault="00F2340A" w:rsidP="00F2340A">
      <w:pPr>
        <w:spacing w:line="256" w:lineRule="auto"/>
        <w:rPr>
          <w:rFonts w:ascii="Calibri" w:eastAsia="Calibri" w:hAnsi="Calibri" w:cs="Times New Roman"/>
        </w:rPr>
      </w:pPr>
      <w:r w:rsidRPr="00DE3734">
        <w:rPr>
          <w:rFonts w:ascii="Calibri" w:eastAsia="Calibri" w:hAnsi="Calibri" w:cs="Times New Roman"/>
        </w:rPr>
        <w:t xml:space="preserve"> </w:t>
      </w:r>
    </w:p>
    <w:p w14:paraId="6BA10C9C" w14:textId="77777777" w:rsidR="00F2340A" w:rsidRPr="00EB5968" w:rsidRDefault="00F2340A" w:rsidP="00F2340A">
      <w:pPr>
        <w:widowControl w:val="0"/>
        <w:autoSpaceDE w:val="0"/>
        <w:autoSpaceDN w:val="0"/>
        <w:spacing w:after="0" w:line="276" w:lineRule="auto"/>
        <w:jc w:val="both"/>
      </w:pPr>
    </w:p>
    <w:p w14:paraId="1C6DBA1B" w14:textId="77777777" w:rsidR="00F2340A" w:rsidRPr="00F62BEE" w:rsidRDefault="00F2340A" w:rsidP="00F2340A"/>
    <w:p w14:paraId="0F293BF4" w14:textId="207A35DF" w:rsidR="00127233" w:rsidRPr="00F2340A" w:rsidRDefault="00127233" w:rsidP="00F2340A"/>
    <w:sectPr w:rsidR="00127233" w:rsidRPr="00F2340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36D6E0" w14:textId="77777777" w:rsidR="00293375" w:rsidRDefault="00293375" w:rsidP="004A1847">
      <w:pPr>
        <w:spacing w:after="0" w:line="240" w:lineRule="auto"/>
      </w:pPr>
      <w:r>
        <w:separator/>
      </w:r>
    </w:p>
  </w:endnote>
  <w:endnote w:type="continuationSeparator" w:id="0">
    <w:p w14:paraId="04ABDFF7" w14:textId="77777777" w:rsidR="00293375" w:rsidRDefault="0029337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2809D2" w14:textId="77777777" w:rsidR="00293375" w:rsidRDefault="00293375" w:rsidP="004A1847">
      <w:pPr>
        <w:spacing w:after="0" w:line="240" w:lineRule="auto"/>
      </w:pPr>
      <w:r>
        <w:separator/>
      </w:r>
    </w:p>
  </w:footnote>
  <w:footnote w:type="continuationSeparator" w:id="0">
    <w:p w14:paraId="0E2C0A7D" w14:textId="77777777" w:rsidR="00293375" w:rsidRDefault="00293375" w:rsidP="004A1847">
      <w:pPr>
        <w:spacing w:after="0" w:line="240" w:lineRule="auto"/>
      </w:pPr>
      <w:r>
        <w:continuationSeparator/>
      </w:r>
    </w:p>
  </w:footnote>
  <w:footnote w:id="1">
    <w:p w14:paraId="2F062841" w14:textId="77777777" w:rsidR="00F2340A" w:rsidRPr="000405DB" w:rsidRDefault="00F2340A" w:rsidP="00F2340A">
      <w:pPr>
        <w:spacing w:after="0" w:line="240" w:lineRule="auto"/>
        <w:ind w:firstLine="707"/>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position w:val="6"/>
          <w:sz w:val="10"/>
          <w:szCs w:val="10"/>
        </w:rPr>
        <w:t xml:space="preserve"> </w:t>
      </w:r>
      <w:r w:rsidRPr="000405DB">
        <w:rPr>
          <w:rFonts w:ascii="Verdana" w:hAnsi="Verdana" w:cs="Arial"/>
          <w:sz w:val="10"/>
          <w:szCs w:val="10"/>
        </w:rPr>
        <w:t>DEIK ACOSTAMADIEDO, Carolina, Guía de Contratación Estatal: Deber de planeación y modalidades de selección, Buenos Aires, 2015, p. 59.</w:t>
      </w:r>
    </w:p>
    <w:p w14:paraId="1A432154" w14:textId="77777777" w:rsidR="00F2340A" w:rsidRPr="000405DB" w:rsidRDefault="00F2340A" w:rsidP="00F2340A">
      <w:pPr>
        <w:pStyle w:val="Textonotapie"/>
        <w:contextualSpacing/>
        <w:jc w:val="both"/>
        <w:rPr>
          <w:rFonts w:ascii="Verdana" w:hAnsi="Verdana" w:cs="Arial"/>
          <w:sz w:val="10"/>
          <w:szCs w:val="10"/>
        </w:rPr>
      </w:pPr>
    </w:p>
  </w:footnote>
  <w:footnote w:id="2">
    <w:p w14:paraId="1C625395" w14:textId="77777777" w:rsidR="00F2340A" w:rsidRPr="000405DB" w:rsidRDefault="00F2340A" w:rsidP="00F2340A">
      <w:pPr>
        <w:pStyle w:val="Textoindependiente"/>
        <w:spacing w:after="0" w:line="240" w:lineRule="auto"/>
        <w:ind w:firstLine="709"/>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“Artículo </w:t>
      </w:r>
      <w:bookmarkStart w:id="3" w:name="_Hlk54173885"/>
      <w:r w:rsidRPr="000405DB">
        <w:rPr>
          <w:rFonts w:ascii="Verdana" w:hAnsi="Verdana" w:cs="Arial"/>
          <w:sz w:val="10"/>
          <w:szCs w:val="10"/>
        </w:rPr>
        <w:t>2.2.1.1.2.1.1</w:t>
      </w:r>
      <w:bookmarkEnd w:id="3"/>
      <w:r w:rsidRPr="000405DB">
        <w:rPr>
          <w:rFonts w:ascii="Verdana" w:hAnsi="Verdana" w:cs="Arial"/>
          <w:sz w:val="10"/>
          <w:szCs w:val="10"/>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032D3A39" w14:textId="77777777" w:rsidR="00F2340A" w:rsidRPr="000405DB" w:rsidRDefault="00F2340A" w:rsidP="00F2340A">
      <w:pPr>
        <w:pStyle w:val="Textoindependiente"/>
        <w:spacing w:after="0" w:line="240" w:lineRule="auto"/>
        <w:ind w:firstLine="709"/>
        <w:contextualSpacing/>
        <w:jc w:val="both"/>
        <w:rPr>
          <w:rFonts w:ascii="Verdana" w:hAnsi="Verdana" w:cs="Arial"/>
          <w:sz w:val="10"/>
          <w:szCs w:val="10"/>
        </w:rPr>
      </w:pPr>
    </w:p>
    <w:p w14:paraId="791F4DEF" w14:textId="77777777" w:rsidR="00F2340A" w:rsidRPr="000405DB" w:rsidRDefault="00F2340A" w:rsidP="00F2340A">
      <w:pPr>
        <w:pStyle w:val="Textonotapie"/>
        <w:ind w:firstLine="709"/>
        <w:contextualSpacing/>
        <w:jc w:val="both"/>
        <w:rPr>
          <w:rFonts w:ascii="Verdana" w:hAnsi="Verdana" w:cs="Arial"/>
          <w:sz w:val="10"/>
          <w:szCs w:val="10"/>
        </w:rPr>
      </w:pPr>
    </w:p>
  </w:footnote>
  <w:footnote w:id="3">
    <w:p w14:paraId="40FDB0A1" w14:textId="77777777" w:rsidR="00F2340A" w:rsidRPr="000405DB" w:rsidRDefault="00F2340A" w:rsidP="00F2340A">
      <w:pPr>
        <w:pStyle w:val="Textoindependiente"/>
        <w:spacing w:after="0" w:line="240" w:lineRule="auto"/>
        <w:ind w:firstLine="709"/>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Consejo de Estado. Sección Tercera. Subsección B. Sentencia del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p w14:paraId="5F6DE322" w14:textId="77777777" w:rsidR="00F2340A" w:rsidRPr="000405DB" w:rsidRDefault="00F2340A" w:rsidP="00F2340A">
      <w:pPr>
        <w:pStyle w:val="Textonotapie"/>
        <w:contextualSpacing/>
        <w:jc w:val="both"/>
        <w:rPr>
          <w:rFonts w:ascii="Verdana" w:hAnsi="Verdana" w:cs="Arial"/>
          <w:sz w:val="10"/>
          <w:szCs w:val="10"/>
        </w:rPr>
      </w:pPr>
    </w:p>
  </w:footnote>
  <w:footnote w:id="4">
    <w:p w14:paraId="15AF769B" w14:textId="77777777" w:rsidR="00F2340A" w:rsidRPr="000405DB" w:rsidRDefault="00F2340A" w:rsidP="00F2340A">
      <w:pPr>
        <w:pStyle w:val="Textonotapie"/>
        <w:ind w:firstLine="708"/>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5">
    <w:p w14:paraId="0765D754" w14:textId="77777777" w:rsidR="00F2340A" w:rsidRPr="000405DB" w:rsidRDefault="00F2340A" w:rsidP="00F2340A">
      <w:pPr>
        <w:pStyle w:val="Textonotapie"/>
        <w:ind w:firstLine="708"/>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Colombia Compra Eficiente. </w:t>
      </w:r>
      <w:r w:rsidRPr="000405DB">
        <w:rPr>
          <w:rFonts w:ascii="Verdana" w:eastAsia="Calibri" w:hAnsi="Verdana" w:cs="Arial"/>
          <w:bCs/>
          <w:sz w:val="10"/>
          <w:szCs w:val="10"/>
          <w:lang w:val="es-ES_tradnl" w:eastAsia="es-ES_tradnl"/>
        </w:rPr>
        <w:t>Guía de Elaboración de Estudios del Sector</w:t>
      </w:r>
      <w:r w:rsidRPr="000405DB">
        <w:rPr>
          <w:rFonts w:ascii="Verdana" w:hAnsi="Verdana" w:cs="Arial"/>
          <w:sz w:val="10"/>
          <w:szCs w:val="10"/>
        </w:rPr>
        <w:t xml:space="preserve">. Disponible en: </w:t>
      </w:r>
      <w:hyperlink r:id="rId1" w:history="1">
        <w:r w:rsidRPr="000405DB">
          <w:rPr>
            <w:rStyle w:val="Hipervnculo"/>
            <w:rFonts w:ascii="Verdana" w:hAnsi="Verdana" w:cs="Arial"/>
            <w:sz w:val="10"/>
            <w:szCs w:val="10"/>
          </w:rPr>
          <w:t>https://www.colombiacompra.gov.co/manuales-guias-y-pliegos-tipo/manuales-y-guias</w:t>
        </w:r>
      </w:hyperlink>
      <w:r w:rsidRPr="000405DB">
        <w:rPr>
          <w:rFonts w:ascii="Verdana" w:hAnsi="Verdana" w:cs="Arial"/>
          <w:sz w:val="10"/>
          <w:szCs w:val="10"/>
        </w:rPr>
        <w:t xml:space="preserve"> </w:t>
      </w:r>
    </w:p>
    <w:p w14:paraId="69025BC6" w14:textId="77777777" w:rsidR="00F2340A" w:rsidRPr="000405DB" w:rsidRDefault="00F2340A" w:rsidP="00F2340A">
      <w:pPr>
        <w:pStyle w:val="Textonotapie"/>
        <w:ind w:firstLine="708"/>
        <w:contextualSpacing/>
        <w:jc w:val="both"/>
        <w:rPr>
          <w:rFonts w:ascii="Verdana" w:hAnsi="Verdana" w:cs="Arial"/>
          <w:sz w:val="10"/>
          <w:szCs w:val="10"/>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70F4636"/>
    <w:multiLevelType w:val="hybridMultilevel"/>
    <w:tmpl w:val="806AD1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C466FB6"/>
    <w:multiLevelType w:val="hybridMultilevel"/>
    <w:tmpl w:val="E168DEFA"/>
    <w:lvl w:ilvl="0" w:tplc="240A0017">
      <w:start w:val="1"/>
      <w:numFmt w:val="lowerLetter"/>
      <w:lvlText w:val="%1)"/>
      <w:lvlJc w:val="left"/>
      <w:pPr>
        <w:ind w:left="2220" w:hanging="360"/>
      </w:pPr>
    </w:lvl>
    <w:lvl w:ilvl="1" w:tplc="240A0019" w:tentative="1">
      <w:start w:val="1"/>
      <w:numFmt w:val="lowerLetter"/>
      <w:lvlText w:val="%2."/>
      <w:lvlJc w:val="left"/>
      <w:pPr>
        <w:ind w:left="2940" w:hanging="360"/>
      </w:pPr>
    </w:lvl>
    <w:lvl w:ilvl="2" w:tplc="240A001B" w:tentative="1">
      <w:start w:val="1"/>
      <w:numFmt w:val="lowerRoman"/>
      <w:lvlText w:val="%3."/>
      <w:lvlJc w:val="right"/>
      <w:pPr>
        <w:ind w:left="3660" w:hanging="180"/>
      </w:pPr>
    </w:lvl>
    <w:lvl w:ilvl="3" w:tplc="240A000F" w:tentative="1">
      <w:start w:val="1"/>
      <w:numFmt w:val="decimal"/>
      <w:lvlText w:val="%4."/>
      <w:lvlJc w:val="left"/>
      <w:pPr>
        <w:ind w:left="4380" w:hanging="360"/>
      </w:pPr>
    </w:lvl>
    <w:lvl w:ilvl="4" w:tplc="240A0019" w:tentative="1">
      <w:start w:val="1"/>
      <w:numFmt w:val="lowerLetter"/>
      <w:lvlText w:val="%5."/>
      <w:lvlJc w:val="left"/>
      <w:pPr>
        <w:ind w:left="5100" w:hanging="360"/>
      </w:pPr>
    </w:lvl>
    <w:lvl w:ilvl="5" w:tplc="240A001B" w:tentative="1">
      <w:start w:val="1"/>
      <w:numFmt w:val="lowerRoman"/>
      <w:lvlText w:val="%6."/>
      <w:lvlJc w:val="right"/>
      <w:pPr>
        <w:ind w:left="5820" w:hanging="180"/>
      </w:pPr>
    </w:lvl>
    <w:lvl w:ilvl="6" w:tplc="240A000F" w:tentative="1">
      <w:start w:val="1"/>
      <w:numFmt w:val="decimal"/>
      <w:lvlText w:val="%7."/>
      <w:lvlJc w:val="left"/>
      <w:pPr>
        <w:ind w:left="6540" w:hanging="360"/>
      </w:pPr>
    </w:lvl>
    <w:lvl w:ilvl="7" w:tplc="240A0019" w:tentative="1">
      <w:start w:val="1"/>
      <w:numFmt w:val="lowerLetter"/>
      <w:lvlText w:val="%8."/>
      <w:lvlJc w:val="left"/>
      <w:pPr>
        <w:ind w:left="7260" w:hanging="360"/>
      </w:pPr>
    </w:lvl>
    <w:lvl w:ilvl="8" w:tplc="240A001B" w:tentative="1">
      <w:start w:val="1"/>
      <w:numFmt w:val="lowerRoman"/>
      <w:lvlText w:val="%9."/>
      <w:lvlJc w:val="right"/>
      <w:pPr>
        <w:ind w:left="7980" w:hanging="180"/>
      </w:pPr>
    </w:lvl>
  </w:abstractNum>
  <w:abstractNum w:abstractNumId="11" w15:restartNumberingAfterBreak="0">
    <w:nsid w:val="53D97B18"/>
    <w:multiLevelType w:val="hybridMultilevel"/>
    <w:tmpl w:val="874AA1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0"/>
  </w:num>
  <w:num w:numId="13" w16cid:durableId="1512908409">
    <w:abstractNumId w:val="3"/>
  </w:num>
  <w:num w:numId="14" w16cid:durableId="895897244">
    <w:abstractNumId w:val="16"/>
  </w:num>
  <w:num w:numId="15" w16cid:durableId="390349800">
    <w:abstractNumId w:val="12"/>
  </w:num>
  <w:num w:numId="16" w16cid:durableId="679089576">
    <w:abstractNumId w:val="9"/>
  </w:num>
  <w:num w:numId="17" w16cid:durableId="986321315">
    <w:abstractNumId w:val="11"/>
  </w:num>
  <w:num w:numId="18" w16cid:durableId="894588073">
    <w:abstractNumId w:val="2"/>
  </w:num>
  <w:num w:numId="19" w16cid:durableId="4722185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38D9"/>
    <w:rsid w:val="000A683E"/>
    <w:rsid w:val="000B19B9"/>
    <w:rsid w:val="000D0334"/>
    <w:rsid w:val="000D2545"/>
    <w:rsid w:val="000D5DA7"/>
    <w:rsid w:val="000F044A"/>
    <w:rsid w:val="000F6486"/>
    <w:rsid w:val="00116940"/>
    <w:rsid w:val="001242A3"/>
    <w:rsid w:val="00125105"/>
    <w:rsid w:val="00127233"/>
    <w:rsid w:val="0015699B"/>
    <w:rsid w:val="001A33BF"/>
    <w:rsid w:val="001E4177"/>
    <w:rsid w:val="001F0B24"/>
    <w:rsid w:val="001F7DC6"/>
    <w:rsid w:val="0022400B"/>
    <w:rsid w:val="002421BB"/>
    <w:rsid w:val="0025796E"/>
    <w:rsid w:val="002707A2"/>
    <w:rsid w:val="0027282C"/>
    <w:rsid w:val="0029337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2E21"/>
    <w:rsid w:val="003A779E"/>
    <w:rsid w:val="003B7833"/>
    <w:rsid w:val="003D0F4D"/>
    <w:rsid w:val="003D5B0D"/>
    <w:rsid w:val="003E0499"/>
    <w:rsid w:val="003E2550"/>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F26AB"/>
    <w:rsid w:val="006200BF"/>
    <w:rsid w:val="006219F8"/>
    <w:rsid w:val="006302F7"/>
    <w:rsid w:val="00646B9F"/>
    <w:rsid w:val="00665D70"/>
    <w:rsid w:val="00672514"/>
    <w:rsid w:val="006900D9"/>
    <w:rsid w:val="006F666B"/>
    <w:rsid w:val="00706C16"/>
    <w:rsid w:val="007340C3"/>
    <w:rsid w:val="00740FF4"/>
    <w:rsid w:val="0075235A"/>
    <w:rsid w:val="00756841"/>
    <w:rsid w:val="0076389F"/>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E6B43"/>
    <w:rsid w:val="00B00C0E"/>
    <w:rsid w:val="00B01B1A"/>
    <w:rsid w:val="00B0381D"/>
    <w:rsid w:val="00B44A47"/>
    <w:rsid w:val="00B72CD3"/>
    <w:rsid w:val="00B72FFF"/>
    <w:rsid w:val="00B951D8"/>
    <w:rsid w:val="00BC3D36"/>
    <w:rsid w:val="00BD54A6"/>
    <w:rsid w:val="00BD7351"/>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40A"/>
    <w:rsid w:val="00F23FEA"/>
    <w:rsid w:val="00F31EDC"/>
    <w:rsid w:val="00F462B3"/>
    <w:rsid w:val="00F5664F"/>
    <w:rsid w:val="00F666C4"/>
    <w:rsid w:val="00F76AFC"/>
    <w:rsid w:val="00FA47C0"/>
    <w:rsid w:val="00FB5DD1"/>
    <w:rsid w:val="00FC2B5D"/>
    <w:rsid w:val="00FE365D"/>
    <w:rsid w:val="00FF1449"/>
    <w:rsid w:val="00FF7963"/>
    <w:rsid w:val="071B8F93"/>
    <w:rsid w:val="09908A09"/>
    <w:rsid w:val="0FF4CCA8"/>
    <w:rsid w:val="13CFC91B"/>
    <w:rsid w:val="19A2EC2C"/>
    <w:rsid w:val="2859CA1B"/>
    <w:rsid w:val="32A4F9CF"/>
    <w:rsid w:val="356CEDFD"/>
    <w:rsid w:val="58B0B659"/>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99"/>
    <w:semiHidden/>
    <w:unhideWhenUsed/>
    <w:rsid w:val="00F2340A"/>
    <w:pPr>
      <w:spacing w:after="120"/>
    </w:pPr>
  </w:style>
  <w:style w:type="character" w:customStyle="1" w:styleId="TextoindependienteCar">
    <w:name w:val="Texto independiente Car"/>
    <w:basedOn w:val="Fuentedeprrafopredeter"/>
    <w:link w:val="Textoindependiente"/>
    <w:uiPriority w:val="99"/>
    <w:semiHidden/>
    <w:rsid w:val="00F2340A"/>
  </w:style>
  <w:style w:type="paragraph" w:customStyle="1" w:styleId="Appelnotedebasde">
    <w:name w:val="Appel note de bas de..."/>
    <w:basedOn w:val="Normal"/>
    <w:link w:val="Refdenotaalpie"/>
    <w:uiPriority w:val="99"/>
    <w:rsid w:val="00F2340A"/>
    <w:pPr>
      <w:spacing w:line="240" w:lineRule="exact"/>
    </w:pPr>
    <w:rPr>
      <w:vertAlign w:val="superscript"/>
    </w:rPr>
  </w:style>
  <w:style w:type="table" w:customStyle="1" w:styleId="Tablaconcuadrcula2">
    <w:name w:val="Tabla con cuadrícula2"/>
    <w:basedOn w:val="Tablanormal"/>
    <w:next w:val="Tablaconcuadrcula"/>
    <w:uiPriority w:val="39"/>
    <w:qFormat/>
    <w:rsid w:val="00F2340A"/>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2340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C21FC6F3-D909-41B6-A429-F52EF55389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1E8BAD-0287-4487-B28E-5390E6EFC2C9}">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16</Pages>
  <Words>5232</Words>
  <Characters>28780</Characters>
  <Application>Microsoft Office Word</Application>
  <DocSecurity>0</DocSecurity>
  <Lines>587</Lines>
  <Paragraphs>116</Paragraphs>
  <ScaleCrop>false</ScaleCrop>
  <Company/>
  <LinksUpToDate>false</LinksUpToDate>
  <CharactersWithSpaces>33896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2025-12-31T15:25:00Z</dcterms:created>
  <dcterms:modified xsi:type="dcterms:W3CDTF">2025-12-31T15:35:00Z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