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491BFC8" w14:textId="77777777" w:rsidR="0090232F" w:rsidRPr="0090232F" w:rsidRDefault="0090232F" w:rsidP="0090232F">
      <w:pPr>
        <w:spacing w:after="0" w:line="240" w:lineRule="auto"/>
        <w:jc w:val="both"/>
        <w:rPr>
          <w:rFonts w:ascii="Verdana" w:hAnsi="Verdana" w:cs="Arial"/>
          <w:b/>
          <w:lang w:val="es-MX"/>
        </w:rPr>
      </w:pPr>
      <w:bookmarkStart w:id="0" w:name="_Hlk143780582"/>
      <w:bookmarkStart w:id="1" w:name="_GoBack"/>
      <w:bookmarkEnd w:id="1"/>
      <w:r w:rsidRPr="0090232F">
        <w:rPr>
          <w:rFonts w:ascii="Verdana" w:hAnsi="Verdana" w:cs="Arial"/>
          <w:b/>
          <w:lang w:val="es-MX"/>
        </w:rPr>
        <w:t xml:space="preserve">INHABILIDADES E INCOMPATIBILIDADES ─ Definición ─ fundamento – clases </w:t>
      </w:r>
    </w:p>
    <w:p w14:paraId="467752B8" w14:textId="77777777" w:rsidR="0090232F" w:rsidRPr="0090232F" w:rsidRDefault="0090232F" w:rsidP="0090232F">
      <w:pPr>
        <w:spacing w:after="0" w:line="240" w:lineRule="auto"/>
        <w:jc w:val="both"/>
        <w:rPr>
          <w:rFonts w:ascii="Verdana" w:hAnsi="Verdana" w:cs="Arial"/>
          <w:b/>
          <w:lang w:val="es-MX"/>
        </w:rPr>
      </w:pPr>
    </w:p>
    <w:p w14:paraId="6AAD285F" w14:textId="77777777" w:rsidR="0090232F" w:rsidRPr="0090232F" w:rsidRDefault="0090232F" w:rsidP="0090232F">
      <w:pPr>
        <w:spacing w:after="0" w:line="240" w:lineRule="auto"/>
        <w:jc w:val="both"/>
        <w:rPr>
          <w:rFonts w:ascii="Verdana" w:hAnsi="Verdana" w:cs="Arial"/>
          <w:sz w:val="20"/>
          <w:lang w:val="es-MX"/>
        </w:rPr>
      </w:pPr>
      <w:r w:rsidRPr="0090232F">
        <w:rPr>
          <w:rFonts w:ascii="Verdana" w:hAnsi="Verdana" w:cs="Arial"/>
          <w:sz w:val="20"/>
          <w:lang w:val="es-MX"/>
        </w:rPr>
        <w:t>Las inhabilidades e incompatibilidades pueden enfocarse en varios asuntos: en primer lugar, se encuentran las inhabilidades e incompatibilidades que impiden que u</w:t>
      </w:r>
      <w:r w:rsidRPr="0090232F">
        <w:rPr>
          <w:rFonts w:ascii="Verdana" w:hAnsi="Verdana" w:cs="Arial"/>
          <w:sz w:val="20"/>
        </w:rPr>
        <w:t xml:space="preserve">na persona sea elegida, designada para un cargo público, como también en ciertos eventos impiden que la persona se encuentre vinculada a la función pública continúe en ella; en segundo lugar, se hallan las inhabilidades e incompatibilidades para el ejercicio de una profesión, las cuales se constituyen </w:t>
      </w:r>
      <w:r w:rsidRPr="0090232F">
        <w:rPr>
          <w:rFonts w:ascii="Verdana" w:hAnsi="Verdana" w:cs="Arial"/>
          <w:sz w:val="20"/>
          <w:lang w:val="es-MX"/>
        </w:rPr>
        <w:t xml:space="preserve">en restricciones que impiden el ejercicio de una profesión que encuentran sustento en el artículo 26 de la Constitución Política; en tercer lugar, se encuentra el régimen de inhabilidades e incompatibilidades en la contratación estatal, que busca limitar la celebración de contratos, así como evitar que siga contratando por una inhabilidad o incompatibilidad sobreviniente. De acuerdo a lo expuesto, se señala que la Agencia Nacional de Contratación Pública es competente para resolver consultas sobre normas del sistema de compras y contratación públicas que establezca inhabilidades e incompatibilidades para contratar con el Estado. </w:t>
      </w:r>
    </w:p>
    <w:p w14:paraId="0FF2A1F3" w14:textId="77777777" w:rsidR="0090232F" w:rsidRPr="0090232F" w:rsidRDefault="0090232F" w:rsidP="0090232F">
      <w:pPr>
        <w:spacing w:after="0" w:line="240" w:lineRule="auto"/>
        <w:jc w:val="both"/>
        <w:rPr>
          <w:rFonts w:ascii="Verdana" w:hAnsi="Verdana" w:cs="Arial"/>
          <w:b/>
          <w:lang w:val="es-MX"/>
        </w:rPr>
      </w:pPr>
    </w:p>
    <w:p w14:paraId="6A3BAE28" w14:textId="77777777" w:rsidR="0090232F" w:rsidRPr="0090232F" w:rsidRDefault="0090232F" w:rsidP="0090232F">
      <w:pPr>
        <w:spacing w:after="0" w:line="240" w:lineRule="auto"/>
        <w:jc w:val="both"/>
        <w:rPr>
          <w:rFonts w:ascii="Verdana" w:hAnsi="Verdana" w:cs="Arial"/>
          <w:b/>
          <w:lang w:val="es-MX"/>
        </w:rPr>
      </w:pPr>
      <w:r w:rsidRPr="0090232F">
        <w:rPr>
          <w:rFonts w:ascii="Verdana" w:hAnsi="Verdana" w:cs="Arial"/>
          <w:b/>
          <w:lang w:val="es-MX"/>
        </w:rPr>
        <w:t xml:space="preserve">INHABILIDADES E INCOMPATIBILIDADES - Finalidad ─ Limitación capacidad contractual </w:t>
      </w:r>
    </w:p>
    <w:p w14:paraId="0E952E4B" w14:textId="77777777" w:rsidR="0090232F" w:rsidRPr="0090232F" w:rsidRDefault="0090232F" w:rsidP="0090232F">
      <w:pPr>
        <w:spacing w:after="0" w:line="240" w:lineRule="auto"/>
        <w:jc w:val="both"/>
        <w:rPr>
          <w:rFonts w:ascii="Verdana" w:hAnsi="Verdana" w:cs="Arial"/>
          <w:b/>
          <w:lang w:val="es-MX"/>
        </w:rPr>
      </w:pPr>
    </w:p>
    <w:p w14:paraId="0C1DAD18" w14:textId="77777777" w:rsidR="0090232F" w:rsidRPr="0090232F" w:rsidRDefault="0090232F" w:rsidP="0090232F">
      <w:pPr>
        <w:spacing w:after="0" w:line="240" w:lineRule="auto"/>
        <w:jc w:val="both"/>
        <w:rPr>
          <w:rFonts w:ascii="Verdana" w:eastAsia="Calibri" w:hAnsi="Verdana" w:cs="Arial"/>
          <w:sz w:val="20"/>
          <w:lang w:val="es-MX"/>
        </w:rPr>
      </w:pPr>
      <w:r w:rsidRPr="0090232F">
        <w:rPr>
          <w:rFonts w:ascii="Verdana" w:eastAsia="Calibri" w:hAnsi="Verdana" w:cs="Arial"/>
          <w:sz w:val="20"/>
          <w:lang w:val="es-MX"/>
        </w:rPr>
        <w:t>Para ello, hay que precisar que, el régimen de inhabilidades para contratar con el Estado es un conjunto de restricciones establecidas por el constituyente o por el legislador que afectan directamente la capacidad de las personas para establecer relaciones contractuales con el Estado, que pueden resultar de condenas, sanciones o situaciones previamente establecidas por el ordenamiento jurídico. En esta medida, la Corte Constitucional explica que “las inhabilidades representan una limitación a la capacidad para contratar con las entidades del Estado y obedecen a la falta de aptitud o a la carencia de una cualidad, calidad o requisito en el sujeto incapacitado quien por esta razón no podrá hacer parte de una relación contractual”.</w:t>
      </w:r>
    </w:p>
    <w:p w14:paraId="69862DE2" w14:textId="77777777" w:rsidR="0090232F" w:rsidRPr="0090232F" w:rsidRDefault="0090232F" w:rsidP="0090232F">
      <w:pPr>
        <w:spacing w:after="0" w:line="240" w:lineRule="auto"/>
        <w:jc w:val="both"/>
        <w:rPr>
          <w:rFonts w:ascii="Verdana" w:hAnsi="Verdana" w:cs="Arial"/>
          <w:b/>
          <w:lang w:val="es-MX"/>
        </w:rPr>
      </w:pPr>
    </w:p>
    <w:p w14:paraId="5B9B31D5" w14:textId="77777777" w:rsidR="0090232F" w:rsidRPr="0090232F" w:rsidRDefault="0090232F" w:rsidP="0090232F">
      <w:pPr>
        <w:spacing w:after="0" w:line="240" w:lineRule="auto"/>
        <w:jc w:val="both"/>
        <w:rPr>
          <w:rFonts w:ascii="Verdana" w:hAnsi="Verdana" w:cs="Arial"/>
          <w:b/>
          <w:lang w:val="es-ES_tradnl"/>
        </w:rPr>
      </w:pPr>
      <w:r w:rsidRPr="0090232F">
        <w:rPr>
          <w:rFonts w:ascii="Verdana" w:hAnsi="Verdana" w:cs="Arial"/>
          <w:b/>
          <w:lang w:val="es-ES_tradnl"/>
        </w:rPr>
        <w:t>INHABILIDADES – Taxatividad – Principio de legalidad – Interpretación restrictiva</w:t>
      </w:r>
      <w:r w:rsidRPr="0090232F" w:rsidDel="00A75E55">
        <w:rPr>
          <w:rFonts w:ascii="Verdana" w:hAnsi="Verdana" w:cs="Arial"/>
          <w:b/>
          <w:lang w:val="es-ES_tradnl"/>
        </w:rPr>
        <w:t xml:space="preserve"> </w:t>
      </w:r>
    </w:p>
    <w:p w14:paraId="6BD3A672" w14:textId="77777777" w:rsidR="0090232F" w:rsidRPr="0090232F" w:rsidRDefault="0090232F" w:rsidP="0090232F">
      <w:pPr>
        <w:spacing w:after="0" w:line="240" w:lineRule="auto"/>
        <w:jc w:val="both"/>
        <w:rPr>
          <w:rFonts w:ascii="Verdana" w:hAnsi="Verdana" w:cs="Arial"/>
          <w:b/>
          <w:lang w:val="es-ES_tradnl"/>
        </w:rPr>
      </w:pPr>
    </w:p>
    <w:p w14:paraId="31A55D19" w14:textId="77777777" w:rsidR="0090232F" w:rsidRPr="0090232F" w:rsidRDefault="0090232F" w:rsidP="0090232F">
      <w:pPr>
        <w:spacing w:after="0" w:line="240" w:lineRule="auto"/>
        <w:jc w:val="both"/>
        <w:rPr>
          <w:rFonts w:ascii="Verdana" w:hAnsi="Verdana" w:cs="Arial"/>
          <w:sz w:val="20"/>
          <w:lang w:val="es-ES_tradnl"/>
        </w:rPr>
      </w:pPr>
      <w:r w:rsidRPr="0090232F">
        <w:rPr>
          <w:rFonts w:ascii="Verdana" w:hAnsi="Verdana" w:cs="Arial"/>
          <w:sz w:val="20"/>
          <w:lang w:val="es-ES_tradnl"/>
        </w:rPr>
        <w:t xml:space="preserve">Ahora bien, las inhabilidades e incompatibilidades al ser restricciones o límites especiales a la capacidad para presentar ofertas y celebrar contratos estatales, solo pueden tipificarse en la ley o la Constitución –o sea, deben satisfacer el principio de legalidad– y su interpretación debe ser </w:t>
      </w:r>
      <w:r w:rsidRPr="0090232F">
        <w:rPr>
          <w:rFonts w:ascii="Verdana" w:hAnsi="Verdana" w:cs="Arial"/>
          <w:i/>
          <w:iCs/>
          <w:sz w:val="20"/>
          <w:lang w:val="es-ES_tradnl"/>
        </w:rPr>
        <w:t xml:space="preserve">restrictiva, </w:t>
      </w:r>
      <w:r w:rsidRPr="0090232F">
        <w:rPr>
          <w:rFonts w:ascii="Verdana" w:hAnsi="Verdana" w:cs="Arial"/>
          <w:sz w:val="20"/>
          <w:lang w:val="es-ES_tradnl"/>
        </w:rPr>
        <w:t xml:space="preserve">pues si se admitiera una interpretación amplia, extensiva o finalista de las mismas, tales enunciados normativos contemplarían múltiples supuestos indeterminados, según el parecer o el sentido común de los operadores jurídicos, poniendo en riesgo principios como la igualdad, el debido proceso, la seguridad jurídica, la libre concurrencia y el ejercicio de la profesión u oficio. Tal ha sido la postura al interior de la jurisprudencia, tanto de la Corte Constitucional como de la Sección Tercera del Consejo de Estado. </w:t>
      </w:r>
    </w:p>
    <w:p w14:paraId="2FF16153" w14:textId="77777777" w:rsidR="0090232F" w:rsidRPr="0090232F" w:rsidRDefault="0090232F" w:rsidP="0090232F">
      <w:pPr>
        <w:spacing w:after="0" w:line="240" w:lineRule="auto"/>
        <w:jc w:val="both"/>
        <w:rPr>
          <w:rFonts w:ascii="Verdana" w:hAnsi="Verdana" w:cs="Arial"/>
          <w:sz w:val="20"/>
          <w:lang w:val="es-ES_tradnl"/>
        </w:rPr>
      </w:pPr>
    </w:p>
    <w:p w14:paraId="5A2F6D71" w14:textId="77777777" w:rsidR="0090232F" w:rsidRPr="0090232F" w:rsidRDefault="0090232F" w:rsidP="0090232F">
      <w:pPr>
        <w:spacing w:after="0" w:line="240" w:lineRule="auto"/>
        <w:jc w:val="both"/>
        <w:rPr>
          <w:rFonts w:ascii="Verdana" w:hAnsi="Verdana" w:cs="Arial"/>
          <w:sz w:val="20"/>
          <w:lang w:val="es-ES_tradnl"/>
        </w:rPr>
      </w:pPr>
      <w:r w:rsidRPr="0090232F">
        <w:rPr>
          <w:rFonts w:ascii="Verdana" w:hAnsi="Verdana" w:cs="Arial"/>
          <w:sz w:val="20"/>
          <w:lang w:val="es-ES_tradnl"/>
        </w:rPr>
        <w:lastRenderedPageBreak/>
        <w:t>En efecto, el máximo tribunal constitucional ha indicado, al tratar de precisar el sentido de este tipo de normas, que “[…] el intérprete de las disposiciones legislativas en la materia ha de ceñirse en la mayor medida posible al tenor literal y gramatical de los enunciados normativos, sin que pueda acudir prima facie a criterios interpretativos tales como la analogía, la interpretación extensiva para ampliar el alcance de las causales legalmente fijadas”.</w:t>
      </w:r>
    </w:p>
    <w:p w14:paraId="5475CB40" w14:textId="77777777" w:rsidR="0090232F" w:rsidRPr="0090232F" w:rsidRDefault="0090232F" w:rsidP="0090232F">
      <w:pPr>
        <w:spacing w:after="0" w:line="240" w:lineRule="auto"/>
        <w:jc w:val="both"/>
        <w:rPr>
          <w:rFonts w:ascii="Verdana" w:hAnsi="Verdana"/>
          <w:b/>
        </w:rPr>
      </w:pPr>
    </w:p>
    <w:p w14:paraId="7F910C46" w14:textId="77777777" w:rsidR="0090232F" w:rsidRPr="0090232F" w:rsidRDefault="0090232F" w:rsidP="0090232F">
      <w:pPr>
        <w:spacing w:after="0" w:line="240" w:lineRule="auto"/>
        <w:jc w:val="both"/>
        <w:rPr>
          <w:rFonts w:ascii="Verdana" w:hAnsi="Verdana" w:cs="Arial"/>
          <w:b/>
          <w:lang w:val="es-ES_tradnl"/>
        </w:rPr>
      </w:pPr>
      <w:r w:rsidRPr="0090232F">
        <w:rPr>
          <w:rFonts w:ascii="Verdana" w:hAnsi="Verdana" w:cs="Arial"/>
          <w:b/>
          <w:lang w:val="es-ES_tradnl"/>
        </w:rPr>
        <w:t xml:space="preserve">INHABILIDAD </w:t>
      </w:r>
      <w:r w:rsidRPr="0090232F">
        <w:rPr>
          <w:rFonts w:ascii="Verdana" w:hAnsi="Verdana" w:cs="Arial"/>
          <w:b/>
        </w:rPr>
        <w:t>E INCOMPATIBILIDAD</w:t>
      </w:r>
      <w:r w:rsidRPr="0090232F">
        <w:rPr>
          <w:rFonts w:ascii="Verdana" w:hAnsi="Verdana" w:cs="Arial"/>
          <w:b/>
          <w:lang w:val="es-ES_tradnl"/>
        </w:rPr>
        <w:t xml:space="preserve"> </w:t>
      </w:r>
      <w:r w:rsidRPr="0090232F">
        <w:rPr>
          <w:rFonts w:ascii="Verdana" w:hAnsi="Verdana" w:cs="Arial"/>
          <w:b/>
        </w:rPr>
        <w:t>–</w:t>
      </w:r>
      <w:r w:rsidRPr="0090232F">
        <w:rPr>
          <w:rFonts w:ascii="Verdana" w:hAnsi="Verdana" w:cs="Arial"/>
          <w:b/>
          <w:lang w:val="es-ES_tradnl"/>
        </w:rPr>
        <w:t xml:space="preserve"> Ley 1474 de 2011 </w:t>
      </w:r>
      <w:r w:rsidRPr="0090232F">
        <w:rPr>
          <w:rFonts w:ascii="Verdana" w:hAnsi="Verdana" w:cs="Arial"/>
          <w:b/>
        </w:rPr>
        <w:t>–</w:t>
      </w:r>
      <w:r w:rsidRPr="0090232F">
        <w:rPr>
          <w:rFonts w:ascii="Verdana" w:hAnsi="Verdana" w:cs="Arial"/>
          <w:b/>
          <w:lang w:val="es-ES_tradnl"/>
        </w:rPr>
        <w:t xml:space="preserve"> Artículo 4 </w:t>
      </w:r>
      <w:r w:rsidRPr="0090232F">
        <w:rPr>
          <w:rFonts w:ascii="Verdana" w:hAnsi="Verdana" w:cs="Arial"/>
          <w:b/>
        </w:rPr>
        <w:t>–</w:t>
      </w:r>
      <w:r w:rsidRPr="0090232F">
        <w:rPr>
          <w:rFonts w:ascii="Verdana" w:hAnsi="Verdana" w:cs="Arial"/>
          <w:b/>
          <w:lang w:val="es-ES_tradnl"/>
        </w:rPr>
        <w:t xml:space="preserve"> Ex Empleado Público </w:t>
      </w:r>
    </w:p>
    <w:p w14:paraId="20527E0D" w14:textId="7463929E" w:rsidR="0090232F" w:rsidRPr="0090232F" w:rsidRDefault="0090232F" w:rsidP="0090232F">
      <w:pPr>
        <w:spacing w:after="0" w:line="240" w:lineRule="auto"/>
        <w:jc w:val="both"/>
        <w:rPr>
          <w:rFonts w:ascii="Verdana" w:hAnsi="Verdana" w:cs="Arial"/>
          <w:sz w:val="20"/>
          <w:lang w:val="es-ES_tradnl"/>
        </w:rPr>
      </w:pPr>
    </w:p>
    <w:p w14:paraId="609089BB" w14:textId="76335752" w:rsidR="0090232F" w:rsidRPr="0090232F" w:rsidRDefault="0090232F" w:rsidP="0090232F">
      <w:pPr>
        <w:spacing w:after="0" w:line="240" w:lineRule="auto"/>
        <w:jc w:val="both"/>
        <w:rPr>
          <w:rFonts w:ascii="Verdana" w:hAnsi="Verdana" w:cs="Arial"/>
          <w:sz w:val="20"/>
        </w:rPr>
      </w:pPr>
      <w:r w:rsidRPr="0090232F">
        <w:rPr>
          <w:rFonts w:ascii="Verdana" w:hAnsi="Verdana" w:cs="Arial"/>
          <w:sz w:val="20"/>
        </w:rPr>
        <w:t>[…] la prohibición establecida en el literal f) recae en personas que hubiesen ejercido cargos en el nivel directivo en entidades del Estado y las sociedades en las cuales dichos exservidores púbicos hagan parte o estén vinculados a cualquier título, dentro de los (2) dos años siguientes al retiro del ejercicio del cargo público, cuando el contrato que pretenden suscribir (sea el exservidor público persona natural o sea la sociedad en la que estos hagan parte o estén vinculados a la persona jurídica) establezca un objeto contractual  que tenga relación directa con el sector al cual prestó sus servicios. Según el inciso segundo del literal f), dicha incompatibilidad también opera para las personas que se encuentren dentro del primer grado de consanguinidad, primero de afinidad, o primero civil del exempleado público.</w:t>
      </w:r>
    </w:p>
    <w:p w14:paraId="2AFC9FC6" w14:textId="77777777" w:rsidR="0090232F" w:rsidRPr="0090232F" w:rsidRDefault="0090232F" w:rsidP="0090232F">
      <w:pPr>
        <w:spacing w:after="0" w:line="240" w:lineRule="auto"/>
        <w:jc w:val="both"/>
        <w:rPr>
          <w:rFonts w:ascii="Verdana" w:hAnsi="Verdana" w:cs="Arial"/>
          <w:b/>
        </w:rPr>
      </w:pPr>
    </w:p>
    <w:p w14:paraId="673DE63F" w14:textId="77777777" w:rsidR="0090232F" w:rsidRPr="0090232F" w:rsidRDefault="0090232F" w:rsidP="0090232F">
      <w:pPr>
        <w:spacing w:after="0" w:line="240" w:lineRule="auto"/>
        <w:jc w:val="both"/>
        <w:rPr>
          <w:rFonts w:ascii="Verdana" w:hAnsi="Verdana" w:cs="Arial"/>
          <w:b/>
        </w:rPr>
      </w:pPr>
      <w:r w:rsidRPr="0090232F">
        <w:rPr>
          <w:rFonts w:ascii="Verdana" w:hAnsi="Verdana" w:cs="Arial"/>
          <w:b/>
        </w:rPr>
        <w:t>INHABILIDADES E INCOMPATIBILIDADES – Ley 80 de 1993 – Numeral 2, literal a) – Exservidor público – Niveles directivo, asesor o ejecutivo –</w:t>
      </w:r>
      <w:r w:rsidRPr="0090232F">
        <w:rPr>
          <w:rFonts w:ascii="Verdana" w:hAnsi="Verdana" w:cs="Arial"/>
          <w:b/>
        </w:rPr>
        <w:t xml:space="preserve"> Elemento temporal (1) un año </w:t>
      </w:r>
    </w:p>
    <w:p w14:paraId="22104769" w14:textId="77777777" w:rsidR="0090232F" w:rsidRPr="0090232F" w:rsidRDefault="0090232F" w:rsidP="0090232F">
      <w:pPr>
        <w:spacing w:after="0" w:line="240" w:lineRule="auto"/>
        <w:jc w:val="both"/>
        <w:rPr>
          <w:rFonts w:ascii="Verdana" w:hAnsi="Verdana" w:cs="Arial"/>
          <w:b/>
        </w:rPr>
      </w:pPr>
    </w:p>
    <w:p w14:paraId="0D5AF09F" w14:textId="77777777" w:rsidR="0090232F" w:rsidRPr="0090232F" w:rsidRDefault="0090232F" w:rsidP="0090232F">
      <w:pPr>
        <w:spacing w:after="0" w:line="240" w:lineRule="auto"/>
        <w:jc w:val="both"/>
        <w:rPr>
          <w:rFonts w:ascii="Verdana" w:hAnsi="Verdana" w:cs="Arial"/>
          <w:sz w:val="20"/>
        </w:rPr>
      </w:pPr>
      <w:r w:rsidRPr="0090232F">
        <w:rPr>
          <w:rFonts w:ascii="Verdana" w:hAnsi="Verdana" w:cs="Arial"/>
          <w:sz w:val="20"/>
        </w:rPr>
        <w:t xml:space="preserve">Para el caso de la incompatibilidad del literal a) los </w:t>
      </w:r>
      <w:r w:rsidRPr="0090232F">
        <w:rPr>
          <w:rFonts w:ascii="Verdana" w:hAnsi="Verdana" w:cs="Arial"/>
          <w:i/>
          <w:iCs/>
          <w:sz w:val="20"/>
        </w:rPr>
        <w:t xml:space="preserve">elementos materiales </w:t>
      </w:r>
      <w:r w:rsidRPr="0090232F">
        <w:rPr>
          <w:rFonts w:ascii="Verdana" w:hAnsi="Verdana" w:cs="Arial"/>
          <w:sz w:val="20"/>
        </w:rPr>
        <w:t xml:space="preserve">son: i) que el exservidor público hubiese integrado una junta o consejo directivo o hubiese estado vinculado laboralmente como servidor público de la entidad contratante y ii) que las funciones que hubiese desempeñado dicho exfuncionario sean del nivel directivo, asesor o ejecutivo. De otro lado, el </w:t>
      </w:r>
      <w:r w:rsidRPr="0090232F">
        <w:rPr>
          <w:rFonts w:ascii="Verdana" w:hAnsi="Verdana" w:cs="Arial"/>
          <w:i/>
          <w:iCs/>
          <w:sz w:val="20"/>
        </w:rPr>
        <w:t>elemento temporal</w:t>
      </w:r>
      <w:r w:rsidRPr="0090232F">
        <w:rPr>
          <w:rFonts w:ascii="Verdana" w:hAnsi="Verdana" w:cs="Arial"/>
          <w:sz w:val="20"/>
        </w:rPr>
        <w:t xml:space="preserve"> es que su retiro se hubiese presentado dentro del año inmediatamente anterior a la fecha de celebración del contrato que se pretende celebrar. De esta forma, para que se configure de la incompatibilidad referida, será necesario que, se presenten tanto los elementos materiales como el elemento temporal descrito. A falta de alguno de ellos, no habría configuración de dicha causal.</w:t>
      </w:r>
    </w:p>
    <w:p w14:paraId="6CD730CC" w14:textId="77777777" w:rsidR="0090232F" w:rsidRPr="0090232F" w:rsidRDefault="0090232F" w:rsidP="0090232F">
      <w:pPr>
        <w:spacing w:after="0" w:line="240" w:lineRule="auto"/>
        <w:jc w:val="both"/>
        <w:rPr>
          <w:rFonts w:ascii="Verdana" w:hAnsi="Verdana" w:cs="Arial"/>
          <w:b/>
        </w:rPr>
      </w:pPr>
    </w:p>
    <w:p w14:paraId="4A558273" w14:textId="4DFBB895" w:rsidR="0090232F" w:rsidRDefault="0090232F" w:rsidP="0090232F">
      <w:pPr>
        <w:spacing w:after="0" w:line="240" w:lineRule="auto"/>
        <w:jc w:val="both"/>
        <w:rPr>
          <w:rFonts w:ascii="Verdana" w:hAnsi="Verdana" w:cs="Arial"/>
          <w:b/>
        </w:rPr>
      </w:pPr>
      <w:r w:rsidRPr="0090232F">
        <w:rPr>
          <w:rFonts w:ascii="Verdana" w:hAnsi="Verdana" w:cs="Arial"/>
          <w:b/>
        </w:rPr>
        <w:t>INHABILIDADES E INCOMPATIBILIDADES – Ley 80 de 1993 – Numeral 2, literal f) – Contratación directa e indirecta – Exservidor público – Cargo Directivo – Elemento temporal (2) dos años.</w:t>
      </w:r>
    </w:p>
    <w:p w14:paraId="4CE50631" w14:textId="30A67C1B" w:rsidR="0090232F" w:rsidRDefault="0090232F" w:rsidP="0090232F">
      <w:pPr>
        <w:spacing w:after="0" w:line="240" w:lineRule="auto"/>
        <w:jc w:val="both"/>
        <w:rPr>
          <w:rFonts w:ascii="Verdana" w:hAnsi="Verdana" w:cs="Arial"/>
          <w:b/>
        </w:rPr>
      </w:pPr>
    </w:p>
    <w:p w14:paraId="34D46D42" w14:textId="77777777" w:rsidR="0090232F" w:rsidRPr="0090232F" w:rsidRDefault="0090232F" w:rsidP="0090232F">
      <w:pPr>
        <w:spacing w:after="0" w:line="240" w:lineRule="auto"/>
        <w:jc w:val="both"/>
        <w:rPr>
          <w:rFonts w:ascii="Verdana" w:hAnsi="Verdana" w:cs="Arial"/>
          <w:sz w:val="20"/>
        </w:rPr>
      </w:pPr>
      <w:r w:rsidRPr="0090232F">
        <w:rPr>
          <w:rFonts w:ascii="Verdana" w:hAnsi="Verdana" w:cs="Arial"/>
          <w:sz w:val="20"/>
        </w:rPr>
        <w:t xml:space="preserve">Respecto de la incompatibilidad del literal f), los </w:t>
      </w:r>
      <w:r w:rsidRPr="0090232F">
        <w:rPr>
          <w:rFonts w:ascii="Verdana" w:hAnsi="Verdana" w:cs="Arial"/>
          <w:i/>
          <w:iCs/>
          <w:sz w:val="20"/>
        </w:rPr>
        <w:t>elementos materiales</w:t>
      </w:r>
      <w:r w:rsidRPr="0090232F">
        <w:rPr>
          <w:rFonts w:ascii="Verdana" w:hAnsi="Verdana" w:cs="Arial"/>
          <w:sz w:val="20"/>
        </w:rPr>
        <w:t xml:space="preserve"> son: i) que la contratación pretendida sea directa (con el exservidor público persona natural) o sea indirecta (con la sociedad o persona jurídica en la que el exservidor público haga parte o esté vinculado a cualquier título), ii) que los cargos desempeñados por quien pretenden contratar correspondan al nivel directivo en entidades del Estado y iii) que el contrato </w:t>
      </w:r>
      <w:r w:rsidRPr="0090232F">
        <w:rPr>
          <w:rFonts w:ascii="Verdana" w:hAnsi="Verdana" w:cs="Arial"/>
          <w:sz w:val="20"/>
        </w:rPr>
        <w:lastRenderedPageBreak/>
        <w:t xml:space="preserve">pretendido tenga por objeto el desarrollo de actividades que tengan relación con el sector en cual prestaron sus servicios. Por otra parte, el </w:t>
      </w:r>
      <w:r w:rsidRPr="0090232F">
        <w:rPr>
          <w:rFonts w:ascii="Verdana" w:hAnsi="Verdana" w:cs="Arial"/>
          <w:i/>
          <w:iCs/>
          <w:sz w:val="20"/>
        </w:rPr>
        <w:t>elemento temporal</w:t>
      </w:r>
      <w:r w:rsidRPr="0090232F">
        <w:rPr>
          <w:rFonts w:ascii="Verdana" w:hAnsi="Verdana" w:cs="Arial"/>
          <w:sz w:val="20"/>
        </w:rPr>
        <w:t xml:space="preserve"> es que su retiro se hubiese presentado dentro de los dos (2) años inmediatamente anteriores a la fecha de celebración del contrato que se pretende celebrar. Igualmente, para que se predique la configuración de la incompatibilidad referida, será necesario que, se presenten tanto los elementos materiales como elemento temporal. A falta de alguno de ellos, no habría configuración de dicha causal.  </w:t>
      </w:r>
    </w:p>
    <w:p w14:paraId="7DF3D552" w14:textId="77777777" w:rsidR="0090232F" w:rsidRPr="0090232F" w:rsidRDefault="0090232F" w:rsidP="0090232F">
      <w:pPr>
        <w:spacing w:after="0" w:line="240" w:lineRule="auto"/>
        <w:jc w:val="both"/>
        <w:rPr>
          <w:rFonts w:ascii="Verdana" w:hAnsi="Verdana" w:cs="Arial"/>
          <w:sz w:val="20"/>
        </w:rPr>
      </w:pPr>
    </w:p>
    <w:p w14:paraId="025D9A9E" w14:textId="467B2472" w:rsidR="0090232F" w:rsidRDefault="0090232F" w:rsidP="0090232F">
      <w:pPr>
        <w:spacing w:after="0" w:line="240" w:lineRule="auto"/>
        <w:jc w:val="both"/>
        <w:rPr>
          <w:rFonts w:ascii="Verdana" w:hAnsi="Verdana"/>
          <w:b/>
        </w:rPr>
      </w:pPr>
    </w:p>
    <w:p w14:paraId="7D31F829" w14:textId="24998C8F" w:rsidR="0090232F" w:rsidRDefault="0090232F" w:rsidP="0090232F">
      <w:pPr>
        <w:spacing w:after="0" w:line="240" w:lineRule="auto"/>
        <w:jc w:val="both"/>
        <w:rPr>
          <w:rFonts w:ascii="Verdana" w:hAnsi="Verdana"/>
          <w:b/>
        </w:rPr>
      </w:pPr>
    </w:p>
    <w:p w14:paraId="31B21148" w14:textId="69CF8501" w:rsidR="0090232F" w:rsidRDefault="0090232F" w:rsidP="0090232F">
      <w:pPr>
        <w:spacing w:after="0" w:line="240" w:lineRule="auto"/>
        <w:jc w:val="both"/>
        <w:rPr>
          <w:rFonts w:ascii="Verdana" w:hAnsi="Verdana"/>
          <w:b/>
        </w:rPr>
      </w:pPr>
    </w:p>
    <w:p w14:paraId="592E692E" w14:textId="51DC8D72" w:rsidR="0090232F" w:rsidRDefault="0090232F" w:rsidP="0090232F">
      <w:pPr>
        <w:spacing w:after="0" w:line="240" w:lineRule="auto"/>
        <w:jc w:val="both"/>
        <w:rPr>
          <w:rFonts w:ascii="Verdana" w:hAnsi="Verdana"/>
          <w:b/>
        </w:rPr>
      </w:pPr>
    </w:p>
    <w:p w14:paraId="152B282E" w14:textId="135E0613" w:rsidR="0090232F" w:rsidRDefault="0090232F" w:rsidP="0090232F">
      <w:pPr>
        <w:spacing w:after="0" w:line="240" w:lineRule="auto"/>
        <w:jc w:val="both"/>
        <w:rPr>
          <w:rFonts w:ascii="Verdana" w:hAnsi="Verdana"/>
          <w:b/>
        </w:rPr>
      </w:pPr>
    </w:p>
    <w:p w14:paraId="191BB237" w14:textId="12BE1094" w:rsidR="0090232F" w:rsidRDefault="0090232F" w:rsidP="0090232F">
      <w:pPr>
        <w:spacing w:after="0" w:line="240" w:lineRule="auto"/>
        <w:jc w:val="both"/>
        <w:rPr>
          <w:rFonts w:ascii="Verdana" w:hAnsi="Verdana"/>
          <w:b/>
        </w:rPr>
      </w:pPr>
    </w:p>
    <w:p w14:paraId="208EBF55" w14:textId="25D71B86" w:rsidR="0090232F" w:rsidRDefault="0090232F" w:rsidP="0090232F">
      <w:pPr>
        <w:spacing w:after="0" w:line="240" w:lineRule="auto"/>
        <w:jc w:val="both"/>
        <w:rPr>
          <w:rFonts w:ascii="Verdana" w:hAnsi="Verdana"/>
          <w:b/>
        </w:rPr>
      </w:pPr>
    </w:p>
    <w:p w14:paraId="48479F53" w14:textId="3BC22E75" w:rsidR="0090232F" w:rsidRDefault="0090232F" w:rsidP="0090232F">
      <w:pPr>
        <w:spacing w:after="0" w:line="240" w:lineRule="auto"/>
        <w:jc w:val="both"/>
        <w:rPr>
          <w:rFonts w:ascii="Verdana" w:hAnsi="Verdana"/>
          <w:b/>
        </w:rPr>
      </w:pPr>
    </w:p>
    <w:p w14:paraId="237D0743" w14:textId="0AE2F1A9" w:rsidR="0090232F" w:rsidRDefault="0090232F" w:rsidP="0090232F">
      <w:pPr>
        <w:spacing w:after="0" w:line="240" w:lineRule="auto"/>
        <w:jc w:val="both"/>
        <w:rPr>
          <w:rFonts w:ascii="Verdana" w:hAnsi="Verdana"/>
          <w:b/>
        </w:rPr>
      </w:pPr>
    </w:p>
    <w:p w14:paraId="3F5D961E" w14:textId="77BAA55B" w:rsidR="0090232F" w:rsidRDefault="0090232F" w:rsidP="0090232F">
      <w:pPr>
        <w:spacing w:after="0" w:line="240" w:lineRule="auto"/>
        <w:jc w:val="both"/>
        <w:rPr>
          <w:rFonts w:ascii="Verdana" w:hAnsi="Verdana"/>
          <w:b/>
        </w:rPr>
      </w:pPr>
    </w:p>
    <w:p w14:paraId="4E668892" w14:textId="798000AF" w:rsidR="0090232F" w:rsidRDefault="0090232F" w:rsidP="0090232F">
      <w:pPr>
        <w:spacing w:after="0" w:line="240" w:lineRule="auto"/>
        <w:jc w:val="both"/>
        <w:rPr>
          <w:rFonts w:ascii="Verdana" w:hAnsi="Verdana"/>
          <w:b/>
        </w:rPr>
      </w:pPr>
    </w:p>
    <w:p w14:paraId="3EA72206" w14:textId="3FFDBC94" w:rsidR="0090232F" w:rsidRDefault="0090232F" w:rsidP="0090232F">
      <w:pPr>
        <w:spacing w:after="0" w:line="240" w:lineRule="auto"/>
        <w:jc w:val="both"/>
        <w:rPr>
          <w:rFonts w:ascii="Verdana" w:hAnsi="Verdana"/>
          <w:b/>
        </w:rPr>
      </w:pPr>
    </w:p>
    <w:p w14:paraId="043844B3" w14:textId="1FC1AA50" w:rsidR="0090232F" w:rsidRDefault="0090232F" w:rsidP="0090232F">
      <w:pPr>
        <w:spacing w:after="0" w:line="240" w:lineRule="auto"/>
        <w:jc w:val="both"/>
        <w:rPr>
          <w:rFonts w:ascii="Verdana" w:hAnsi="Verdana"/>
          <w:b/>
        </w:rPr>
      </w:pPr>
    </w:p>
    <w:p w14:paraId="63AF7B9A" w14:textId="3305C317" w:rsidR="0090232F" w:rsidRDefault="0090232F" w:rsidP="0090232F">
      <w:pPr>
        <w:spacing w:after="0" w:line="240" w:lineRule="auto"/>
        <w:jc w:val="both"/>
        <w:rPr>
          <w:rFonts w:ascii="Verdana" w:hAnsi="Verdana"/>
          <w:b/>
        </w:rPr>
      </w:pPr>
    </w:p>
    <w:p w14:paraId="7F1A1973" w14:textId="08811C89" w:rsidR="0090232F" w:rsidRDefault="0090232F" w:rsidP="0090232F">
      <w:pPr>
        <w:spacing w:after="0" w:line="240" w:lineRule="auto"/>
        <w:jc w:val="both"/>
        <w:rPr>
          <w:rFonts w:ascii="Verdana" w:hAnsi="Verdana"/>
          <w:b/>
        </w:rPr>
      </w:pPr>
    </w:p>
    <w:p w14:paraId="5C3056E9" w14:textId="3196A8C0" w:rsidR="0090232F" w:rsidRDefault="0090232F" w:rsidP="0090232F">
      <w:pPr>
        <w:spacing w:after="0" w:line="240" w:lineRule="auto"/>
        <w:jc w:val="both"/>
        <w:rPr>
          <w:rFonts w:ascii="Verdana" w:hAnsi="Verdana"/>
          <w:b/>
        </w:rPr>
      </w:pPr>
    </w:p>
    <w:p w14:paraId="7BD49873" w14:textId="78DCD525" w:rsidR="0090232F" w:rsidRDefault="0090232F" w:rsidP="0090232F">
      <w:pPr>
        <w:spacing w:after="0" w:line="240" w:lineRule="auto"/>
        <w:jc w:val="both"/>
        <w:rPr>
          <w:rFonts w:ascii="Verdana" w:hAnsi="Verdana"/>
          <w:b/>
        </w:rPr>
      </w:pPr>
    </w:p>
    <w:p w14:paraId="4AE9E4C7" w14:textId="5BAA2831" w:rsidR="0090232F" w:rsidRDefault="0090232F" w:rsidP="0090232F">
      <w:pPr>
        <w:spacing w:after="0" w:line="240" w:lineRule="auto"/>
        <w:jc w:val="both"/>
        <w:rPr>
          <w:rFonts w:ascii="Verdana" w:hAnsi="Verdana"/>
          <w:b/>
        </w:rPr>
      </w:pPr>
    </w:p>
    <w:p w14:paraId="29D4BBE4" w14:textId="4472BD93" w:rsidR="0090232F" w:rsidRDefault="0090232F" w:rsidP="0090232F">
      <w:pPr>
        <w:spacing w:after="0" w:line="240" w:lineRule="auto"/>
        <w:jc w:val="both"/>
        <w:rPr>
          <w:rFonts w:ascii="Verdana" w:hAnsi="Verdana"/>
          <w:b/>
        </w:rPr>
      </w:pPr>
    </w:p>
    <w:p w14:paraId="00DF8899" w14:textId="5876F586" w:rsidR="0090232F" w:rsidRDefault="0090232F" w:rsidP="0090232F">
      <w:pPr>
        <w:spacing w:after="0" w:line="240" w:lineRule="auto"/>
        <w:jc w:val="both"/>
        <w:rPr>
          <w:rFonts w:ascii="Verdana" w:hAnsi="Verdana"/>
          <w:b/>
        </w:rPr>
      </w:pPr>
    </w:p>
    <w:p w14:paraId="66B5F403" w14:textId="63BA96DE" w:rsidR="0090232F" w:rsidRDefault="0090232F" w:rsidP="0090232F">
      <w:pPr>
        <w:spacing w:after="0" w:line="240" w:lineRule="auto"/>
        <w:jc w:val="both"/>
        <w:rPr>
          <w:rFonts w:ascii="Verdana" w:hAnsi="Verdana"/>
          <w:b/>
        </w:rPr>
      </w:pPr>
    </w:p>
    <w:p w14:paraId="083ABDE9" w14:textId="7314D3FE" w:rsidR="0090232F" w:rsidRDefault="0090232F" w:rsidP="0090232F">
      <w:pPr>
        <w:spacing w:after="0" w:line="240" w:lineRule="auto"/>
        <w:jc w:val="both"/>
        <w:rPr>
          <w:rFonts w:ascii="Verdana" w:hAnsi="Verdana"/>
          <w:b/>
        </w:rPr>
      </w:pPr>
    </w:p>
    <w:p w14:paraId="0115A57F" w14:textId="348ED8EB" w:rsidR="0090232F" w:rsidRDefault="0090232F" w:rsidP="0090232F">
      <w:pPr>
        <w:spacing w:after="0" w:line="240" w:lineRule="auto"/>
        <w:jc w:val="both"/>
        <w:rPr>
          <w:rFonts w:ascii="Verdana" w:hAnsi="Verdana"/>
          <w:b/>
        </w:rPr>
      </w:pPr>
    </w:p>
    <w:p w14:paraId="672491FA" w14:textId="45FA6D77" w:rsidR="0090232F" w:rsidRDefault="0090232F" w:rsidP="0090232F">
      <w:pPr>
        <w:spacing w:after="0" w:line="240" w:lineRule="auto"/>
        <w:jc w:val="both"/>
        <w:rPr>
          <w:rFonts w:ascii="Verdana" w:hAnsi="Verdana"/>
          <w:b/>
        </w:rPr>
      </w:pPr>
    </w:p>
    <w:p w14:paraId="33464CA4" w14:textId="3FFE5E2C" w:rsidR="0090232F" w:rsidRDefault="0090232F" w:rsidP="0090232F">
      <w:pPr>
        <w:spacing w:after="0" w:line="240" w:lineRule="auto"/>
        <w:jc w:val="both"/>
        <w:rPr>
          <w:rFonts w:ascii="Verdana" w:hAnsi="Verdana"/>
          <w:b/>
        </w:rPr>
      </w:pPr>
    </w:p>
    <w:p w14:paraId="1C6FA40A" w14:textId="1D7BEC2C" w:rsidR="0090232F" w:rsidRDefault="0090232F" w:rsidP="0090232F">
      <w:pPr>
        <w:spacing w:after="0" w:line="240" w:lineRule="auto"/>
        <w:jc w:val="both"/>
        <w:rPr>
          <w:rFonts w:ascii="Verdana" w:hAnsi="Verdana"/>
          <w:b/>
        </w:rPr>
      </w:pPr>
    </w:p>
    <w:p w14:paraId="36201C11" w14:textId="472E037C" w:rsidR="0090232F" w:rsidRDefault="0090232F" w:rsidP="0090232F">
      <w:pPr>
        <w:spacing w:after="0" w:line="240" w:lineRule="auto"/>
        <w:jc w:val="both"/>
        <w:rPr>
          <w:rFonts w:ascii="Verdana" w:hAnsi="Verdana"/>
          <w:b/>
        </w:rPr>
      </w:pPr>
    </w:p>
    <w:p w14:paraId="4B488164" w14:textId="0EBB70C9" w:rsidR="0090232F" w:rsidRDefault="0090232F" w:rsidP="0090232F">
      <w:pPr>
        <w:spacing w:after="0" w:line="240" w:lineRule="auto"/>
        <w:jc w:val="both"/>
        <w:rPr>
          <w:rFonts w:ascii="Verdana" w:hAnsi="Verdana"/>
          <w:b/>
        </w:rPr>
      </w:pPr>
    </w:p>
    <w:p w14:paraId="47E27A1A" w14:textId="0075FB67" w:rsidR="0090232F" w:rsidRDefault="0090232F" w:rsidP="0090232F">
      <w:pPr>
        <w:spacing w:after="0" w:line="240" w:lineRule="auto"/>
        <w:jc w:val="both"/>
        <w:rPr>
          <w:rFonts w:ascii="Verdana" w:hAnsi="Verdana"/>
          <w:b/>
        </w:rPr>
      </w:pPr>
    </w:p>
    <w:p w14:paraId="493A544B" w14:textId="7F6FD6BE" w:rsidR="0090232F" w:rsidRDefault="0090232F" w:rsidP="0090232F">
      <w:pPr>
        <w:spacing w:after="0" w:line="240" w:lineRule="auto"/>
        <w:jc w:val="both"/>
        <w:rPr>
          <w:rFonts w:ascii="Verdana" w:hAnsi="Verdana"/>
          <w:b/>
        </w:rPr>
      </w:pPr>
    </w:p>
    <w:p w14:paraId="008E332F" w14:textId="64662141" w:rsidR="0090232F" w:rsidRDefault="0090232F" w:rsidP="0090232F">
      <w:pPr>
        <w:spacing w:after="0" w:line="240" w:lineRule="auto"/>
        <w:jc w:val="both"/>
        <w:rPr>
          <w:rFonts w:ascii="Verdana" w:hAnsi="Verdana"/>
          <w:b/>
        </w:rPr>
      </w:pPr>
    </w:p>
    <w:p w14:paraId="3D16B32C" w14:textId="1B6516DE" w:rsidR="0090232F" w:rsidRDefault="0090232F" w:rsidP="0090232F">
      <w:pPr>
        <w:spacing w:after="0" w:line="240" w:lineRule="auto"/>
        <w:jc w:val="both"/>
        <w:rPr>
          <w:rFonts w:ascii="Verdana" w:hAnsi="Verdana"/>
          <w:b/>
        </w:rPr>
      </w:pPr>
    </w:p>
    <w:p w14:paraId="102B09D5" w14:textId="67DA2435" w:rsidR="0090232F" w:rsidRDefault="0090232F" w:rsidP="0090232F">
      <w:pPr>
        <w:spacing w:after="0" w:line="240" w:lineRule="auto"/>
        <w:jc w:val="both"/>
        <w:rPr>
          <w:rFonts w:ascii="Verdana" w:hAnsi="Verdana"/>
          <w:b/>
        </w:rPr>
      </w:pPr>
    </w:p>
    <w:p w14:paraId="542EB989" w14:textId="5E5D4442" w:rsidR="0090232F" w:rsidRPr="0090232F" w:rsidRDefault="0090232F" w:rsidP="0090232F">
      <w:pPr>
        <w:spacing w:after="0" w:line="240" w:lineRule="auto"/>
        <w:jc w:val="both"/>
        <w:rPr>
          <w:rFonts w:ascii="Verdana" w:hAnsi="Verdana"/>
          <w:b/>
        </w:rPr>
      </w:pPr>
    </w:p>
    <w:p w14:paraId="2F74E0B7" w14:textId="76775284" w:rsidR="0040775C" w:rsidRPr="008D01FC" w:rsidRDefault="0090232F" w:rsidP="0040775C">
      <w:pPr>
        <w:spacing w:after="0"/>
        <w:rPr>
          <w:rFonts w:ascii="Verdana" w:hAnsi="Verdana"/>
        </w:rPr>
      </w:pPr>
      <w:r w:rsidRPr="0090232F">
        <w:rPr>
          <w:rFonts w:ascii="Verdana" w:hAnsi="Verdana"/>
          <w:noProof/>
          <w:lang w:val="en-US"/>
        </w:rPr>
        <w:lastRenderedPageBreak/>
        <w:drawing>
          <wp:anchor distT="0" distB="0" distL="114300" distR="114300" simplePos="0" relativeHeight="251658240" behindDoc="0" locked="0" layoutInCell="1" allowOverlap="1" wp14:anchorId="1DFC8EF8" wp14:editId="67B81F85">
            <wp:simplePos x="0" y="0"/>
            <wp:positionH relativeFrom="column">
              <wp:posOffset>2693035</wp:posOffset>
            </wp:positionH>
            <wp:positionV relativeFrom="paragraph">
              <wp:posOffset>193040</wp:posOffset>
            </wp:positionV>
            <wp:extent cx="2910840" cy="878840"/>
            <wp:effectExtent l="0" t="0" r="3810"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910840" cy="8788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0775C" w:rsidRPr="0024624F">
        <w:rPr>
          <w:rFonts w:ascii="Verdana" w:hAnsi="Verdana"/>
        </w:rPr>
        <w:t xml:space="preserve">Bogotá D.C., </w:t>
      </w:r>
      <w:r>
        <w:rPr>
          <w:rFonts w:ascii="Verdana" w:hAnsi="Verdana"/>
        </w:rPr>
        <w:t>23 de diciembre de 2025</w:t>
      </w:r>
      <w:r w:rsidR="0040775C" w:rsidRPr="000E2B93">
        <w:rPr>
          <w:rFonts w:ascii="Verdana" w:hAnsi="Verdana"/>
        </w:rPr>
        <w:tab/>
      </w:r>
      <w:r w:rsidR="0040775C" w:rsidRPr="000E2B93">
        <w:rPr>
          <w:rFonts w:ascii="Verdana" w:hAnsi="Verdana"/>
        </w:rPr>
        <w:br/>
      </w:r>
    </w:p>
    <w:p w14:paraId="31DD97EF" w14:textId="47287758" w:rsidR="0040775C" w:rsidRPr="00CD4831" w:rsidRDefault="0040775C" w:rsidP="0040775C">
      <w:pPr>
        <w:spacing w:after="0" w:line="240" w:lineRule="auto"/>
        <w:rPr>
          <w:rFonts w:ascii="Verdana" w:hAnsi="Verdana"/>
        </w:rPr>
      </w:pPr>
    </w:p>
    <w:p w14:paraId="1D1A824B" w14:textId="77777777" w:rsidR="0040775C" w:rsidRPr="00CD4831" w:rsidRDefault="0040775C" w:rsidP="0040775C">
      <w:pPr>
        <w:spacing w:after="0" w:line="240" w:lineRule="auto"/>
        <w:rPr>
          <w:rFonts w:ascii="Verdana" w:eastAsia="Calibri" w:hAnsi="Verdana" w:cs="Times New Roman"/>
          <w:lang w:val="es-MX"/>
        </w:rPr>
      </w:pPr>
      <w:r w:rsidRPr="00CD4831">
        <w:rPr>
          <w:rFonts w:ascii="Verdana" w:eastAsia="Calibri" w:hAnsi="Verdana" w:cs="Times New Roman"/>
          <w:lang w:val="es-MX"/>
        </w:rPr>
        <w:t>Señor</w:t>
      </w:r>
    </w:p>
    <w:p w14:paraId="1D054240" w14:textId="77777777" w:rsidR="0040775C" w:rsidRPr="00CD4831" w:rsidRDefault="0040775C" w:rsidP="0040775C">
      <w:pPr>
        <w:spacing w:after="0" w:line="240" w:lineRule="auto"/>
        <w:rPr>
          <w:rFonts w:ascii="Verdana" w:eastAsia="Calibri" w:hAnsi="Verdana" w:cs="Times New Roman"/>
          <w:b/>
        </w:rPr>
      </w:pPr>
      <w:r w:rsidRPr="00CD4831">
        <w:rPr>
          <w:rFonts w:ascii="Verdana" w:eastAsia="Calibri" w:hAnsi="Verdana" w:cs="Times New Roman"/>
          <w:b/>
        </w:rPr>
        <w:t>Fredy Alejandro Olmos Triana</w:t>
      </w:r>
    </w:p>
    <w:p w14:paraId="6DCB6445" w14:textId="77777777" w:rsidR="0040775C" w:rsidRPr="00CD4831" w:rsidRDefault="002E51B0" w:rsidP="0040775C">
      <w:pPr>
        <w:spacing w:after="0" w:line="240" w:lineRule="auto"/>
        <w:rPr>
          <w:rFonts w:ascii="Verdana" w:eastAsia="Calibri" w:hAnsi="Verdana" w:cs="Times New Roman"/>
        </w:rPr>
      </w:pPr>
      <w:hyperlink r:id="rId12" w:history="1">
        <w:r w:rsidR="0040775C" w:rsidRPr="00CD4831">
          <w:rPr>
            <w:rStyle w:val="Hipervnculo"/>
            <w:rFonts w:ascii="Verdana" w:eastAsia="Calibri" w:hAnsi="Verdana" w:cs="Times New Roman"/>
          </w:rPr>
          <w:t>folmostriana@gmail.com</w:t>
        </w:r>
      </w:hyperlink>
    </w:p>
    <w:p w14:paraId="2ED28ECC" w14:textId="77777777" w:rsidR="0040775C" w:rsidRDefault="0040775C" w:rsidP="0040775C">
      <w:pPr>
        <w:spacing w:after="0" w:line="240" w:lineRule="auto"/>
        <w:rPr>
          <w:rFonts w:ascii="Verdana" w:eastAsia="Calibri" w:hAnsi="Verdana" w:cs="Times New Roman"/>
        </w:rPr>
      </w:pPr>
      <w:r w:rsidRPr="00CD4831">
        <w:rPr>
          <w:rFonts w:ascii="Verdana" w:eastAsia="Calibri" w:hAnsi="Verdana" w:cs="Times New Roman"/>
        </w:rPr>
        <w:t>Bogotá D.C.</w:t>
      </w:r>
    </w:p>
    <w:p w14:paraId="5EBCF8F5" w14:textId="77777777" w:rsidR="0040775C" w:rsidRPr="00CD4831" w:rsidRDefault="0040775C" w:rsidP="0040775C">
      <w:pPr>
        <w:spacing w:after="0" w:line="240" w:lineRule="auto"/>
        <w:rPr>
          <w:rFonts w:ascii="Verdana" w:eastAsia="Calibri" w:hAnsi="Verdana" w:cs="Times New Roman"/>
        </w:rPr>
      </w:pPr>
    </w:p>
    <w:p w14:paraId="12A7A879" w14:textId="77777777" w:rsidR="0040775C" w:rsidRPr="0060163E" w:rsidRDefault="0040775C" w:rsidP="0040775C">
      <w:pPr>
        <w:spacing w:after="0" w:line="240" w:lineRule="auto"/>
        <w:rPr>
          <w:rFonts w:ascii="Verdana" w:eastAsia="Calibri" w:hAnsi="Verdana" w:cs="Times New Roman"/>
        </w:rPr>
      </w:pPr>
    </w:p>
    <w:p w14:paraId="44F6D8CA" w14:textId="77777777" w:rsidR="0040775C" w:rsidRPr="0060163E" w:rsidRDefault="0040775C" w:rsidP="0040775C">
      <w:pPr>
        <w:spacing w:after="0" w:line="240" w:lineRule="auto"/>
        <w:rPr>
          <w:rFonts w:ascii="Verdana" w:eastAsia="Calibri" w:hAnsi="Verdana" w:cs="Times New Roman"/>
          <w:b/>
          <w:bCs/>
          <w:lang w:val="es-ES"/>
        </w:rPr>
      </w:pPr>
      <w:r w:rsidRPr="0060163E">
        <w:rPr>
          <w:rFonts w:ascii="Verdana" w:eastAsia="Calibri" w:hAnsi="Verdana" w:cs="Times New Roman"/>
          <w:b/>
          <w:bCs/>
        </w:rPr>
        <w:t xml:space="preserve">                                    </w:t>
      </w:r>
      <w:r>
        <w:rPr>
          <w:rFonts w:ascii="Verdana" w:eastAsia="Calibri" w:hAnsi="Verdana" w:cs="Times New Roman"/>
          <w:b/>
          <w:bCs/>
          <w:lang w:val="es-ES"/>
        </w:rPr>
        <w:t>Concepto C– 1716</w:t>
      </w:r>
      <w:r w:rsidRPr="0060163E">
        <w:rPr>
          <w:rFonts w:ascii="Verdana" w:eastAsia="Calibri" w:hAnsi="Verdana" w:cs="Times New Roman"/>
          <w:b/>
          <w:bCs/>
          <w:lang w:val="es-ES"/>
        </w:rPr>
        <w:t xml:space="preserve"> de 2025</w:t>
      </w:r>
    </w:p>
    <w:p w14:paraId="4CE78504" w14:textId="77777777" w:rsidR="0040775C" w:rsidRPr="0060163E" w:rsidRDefault="0040775C" w:rsidP="0040775C">
      <w:pPr>
        <w:spacing w:after="0" w:line="240" w:lineRule="auto"/>
        <w:rPr>
          <w:rFonts w:ascii="Verdana" w:eastAsia="Calibri" w:hAnsi="Verdana" w:cs="Times New Roman"/>
          <w:lang w:val="es-ES_tradnl"/>
        </w:rPr>
      </w:pPr>
    </w:p>
    <w:tbl>
      <w:tblPr>
        <w:tblStyle w:val="Tablaconcuadrcula11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40775C" w:rsidRPr="0060163E" w14:paraId="2B802E75" w14:textId="77777777" w:rsidTr="008456FA">
        <w:trPr>
          <w:trHeight w:val="884"/>
        </w:trPr>
        <w:tc>
          <w:tcPr>
            <w:tcW w:w="2685" w:type="dxa"/>
            <w:hideMark/>
          </w:tcPr>
          <w:p w14:paraId="68E6B6CE" w14:textId="77777777" w:rsidR="0040775C" w:rsidRPr="0060163E" w:rsidRDefault="0040775C" w:rsidP="008456FA">
            <w:pPr>
              <w:rPr>
                <w:rFonts w:ascii="Verdana" w:hAnsi="Verdana"/>
                <w:b/>
                <w:bCs/>
                <w:lang w:val="es-ES_tradnl"/>
              </w:rPr>
            </w:pPr>
            <w:r w:rsidRPr="0060163E">
              <w:rPr>
                <w:rFonts w:ascii="Verdana" w:hAnsi="Verdana"/>
                <w:b/>
                <w:bCs/>
                <w:lang w:val="es-ES_tradnl"/>
              </w:rPr>
              <w:t xml:space="preserve">Temas:                   </w:t>
            </w:r>
          </w:p>
        </w:tc>
        <w:tc>
          <w:tcPr>
            <w:tcW w:w="6241" w:type="dxa"/>
            <w:hideMark/>
          </w:tcPr>
          <w:p w14:paraId="75FFDA32" w14:textId="77777777" w:rsidR="0040775C" w:rsidRPr="006D2BEC" w:rsidRDefault="0040775C" w:rsidP="008456FA">
            <w:pPr>
              <w:spacing w:line="276" w:lineRule="auto"/>
              <w:jc w:val="both"/>
              <w:rPr>
                <w:rFonts w:ascii="Verdana" w:hAnsi="Verdana" w:cs="Arial"/>
                <w:lang w:val="es-MX"/>
              </w:rPr>
            </w:pPr>
            <w:r w:rsidRPr="006D2BEC">
              <w:rPr>
                <w:rFonts w:ascii="Verdana" w:hAnsi="Verdana" w:cs="Arial"/>
                <w:lang w:val="es-MX"/>
              </w:rPr>
              <w:t xml:space="preserve">INHABILIDADES E INCOMPATIBILIDADES ─ Definición ─ fundamento – clases / INHABILIDADES E INCOMPATIBILIDADES - Finalidad ─ Limitación capacidad contractual </w:t>
            </w:r>
            <w:r w:rsidRPr="006D2BEC">
              <w:rPr>
                <w:rFonts w:ascii="Verdana" w:hAnsi="Verdana" w:cs="Arial"/>
                <w:lang w:val="es-ES_tradnl"/>
              </w:rPr>
              <w:t>/ INHABILIDADES – Taxatividad – Principio de legalidad – Interpretación restrictiva</w:t>
            </w:r>
            <w:r w:rsidRPr="006D2BEC" w:rsidDel="00A75E55">
              <w:rPr>
                <w:rFonts w:ascii="Verdana" w:hAnsi="Verdana" w:cs="Arial"/>
                <w:lang w:val="es-ES_tradnl"/>
              </w:rPr>
              <w:t xml:space="preserve"> </w:t>
            </w:r>
            <w:r w:rsidRPr="006D2BEC">
              <w:rPr>
                <w:rFonts w:ascii="Verdana" w:hAnsi="Verdana" w:cs="Arial"/>
                <w:lang w:val="es-ES_tradnl"/>
              </w:rPr>
              <w:t xml:space="preserve">/ </w:t>
            </w:r>
            <w:r w:rsidRPr="00531EC0">
              <w:rPr>
                <w:rFonts w:ascii="Verdana" w:hAnsi="Verdana" w:cs="Arial"/>
                <w:lang w:val="es-ES_tradnl"/>
              </w:rPr>
              <w:t xml:space="preserve">INHABILIDAD </w:t>
            </w:r>
            <w:r w:rsidRPr="00531EC0">
              <w:rPr>
                <w:rFonts w:ascii="Verdana" w:hAnsi="Verdana" w:cs="Arial"/>
              </w:rPr>
              <w:t>E INCOMPATIBILIDAD</w:t>
            </w:r>
            <w:r w:rsidRPr="00531EC0">
              <w:rPr>
                <w:rFonts w:ascii="Verdana" w:hAnsi="Verdana" w:cs="Arial"/>
                <w:lang w:val="es-ES_tradnl"/>
              </w:rPr>
              <w:t xml:space="preserve"> </w:t>
            </w:r>
            <w:r w:rsidRPr="00531EC0">
              <w:rPr>
                <w:rFonts w:ascii="Verdana" w:hAnsi="Verdana" w:cs="Arial"/>
              </w:rPr>
              <w:t>–</w:t>
            </w:r>
            <w:r w:rsidRPr="00531EC0">
              <w:rPr>
                <w:rFonts w:ascii="Verdana" w:hAnsi="Verdana" w:cs="Arial"/>
                <w:lang w:val="es-ES_tradnl"/>
              </w:rPr>
              <w:t xml:space="preserve"> Ley 1474 de 2011 </w:t>
            </w:r>
            <w:r w:rsidRPr="00531EC0">
              <w:rPr>
                <w:rFonts w:ascii="Verdana" w:hAnsi="Verdana" w:cs="Arial"/>
              </w:rPr>
              <w:t>–</w:t>
            </w:r>
            <w:r w:rsidRPr="00531EC0">
              <w:rPr>
                <w:rFonts w:ascii="Verdana" w:hAnsi="Verdana" w:cs="Arial"/>
                <w:lang w:val="es-ES_tradnl"/>
              </w:rPr>
              <w:t xml:space="preserve"> Artículo 4 </w:t>
            </w:r>
            <w:r w:rsidRPr="00531EC0">
              <w:rPr>
                <w:rFonts w:ascii="Verdana" w:hAnsi="Verdana" w:cs="Arial"/>
              </w:rPr>
              <w:t>–</w:t>
            </w:r>
            <w:r w:rsidRPr="00531EC0">
              <w:rPr>
                <w:rFonts w:ascii="Verdana" w:hAnsi="Verdana" w:cs="Arial"/>
                <w:lang w:val="es-ES_tradnl"/>
              </w:rPr>
              <w:t xml:space="preserve"> Ex Empleado Público / </w:t>
            </w:r>
            <w:r w:rsidRPr="00531EC0">
              <w:rPr>
                <w:rFonts w:ascii="Verdana" w:hAnsi="Verdana" w:cs="Arial"/>
              </w:rPr>
              <w:t>INHABILIDADES E INCOMPATIBILIDADES – Ley 80</w:t>
            </w:r>
            <w:r>
              <w:rPr>
                <w:rFonts w:ascii="Verdana" w:hAnsi="Verdana" w:cs="Arial"/>
              </w:rPr>
              <w:t xml:space="preserve"> de 1993 – Numeral 2, literal a)</w:t>
            </w:r>
            <w:r w:rsidRPr="00531EC0">
              <w:rPr>
                <w:rFonts w:ascii="Verdana" w:hAnsi="Verdana" w:cs="Arial"/>
              </w:rPr>
              <w:t xml:space="preserve"> – Exservidor público – Niveles directivo, asesor o ejecutivo – Elemento temporal (1) un año / INHABILIDADES E INCOMPATIBILIDADES – Ley 8</w:t>
            </w:r>
            <w:r>
              <w:rPr>
                <w:rFonts w:ascii="Verdana" w:hAnsi="Verdana" w:cs="Arial"/>
              </w:rPr>
              <w:t>0 de 1993 – Numeral 2, literal f</w:t>
            </w:r>
            <w:r w:rsidRPr="00531EC0">
              <w:rPr>
                <w:rFonts w:ascii="Verdana" w:hAnsi="Verdana" w:cs="Arial"/>
              </w:rPr>
              <w:t>) – Contratación directa e indirecta – Exservidor público – Cargo Directivo – Elemento temporal (2) dos años</w:t>
            </w:r>
            <w:r>
              <w:rPr>
                <w:rFonts w:ascii="Verdana" w:hAnsi="Verdana" w:cs="Arial"/>
              </w:rPr>
              <w:t>.</w:t>
            </w:r>
          </w:p>
          <w:p w14:paraId="73629670" w14:textId="77777777" w:rsidR="0040775C" w:rsidRPr="00531EC0" w:rsidRDefault="0040775C" w:rsidP="008456FA">
            <w:pPr>
              <w:jc w:val="both"/>
              <w:rPr>
                <w:rFonts w:ascii="Verdana" w:hAnsi="Verdana" w:cs="Arial"/>
                <w:lang w:val="es-MX"/>
              </w:rPr>
            </w:pPr>
          </w:p>
        </w:tc>
        <w:tc>
          <w:tcPr>
            <w:tcW w:w="6237" w:type="dxa"/>
          </w:tcPr>
          <w:p w14:paraId="283244A5" w14:textId="77777777" w:rsidR="0040775C" w:rsidRPr="006D2BEC" w:rsidRDefault="0040775C" w:rsidP="008456FA">
            <w:pPr>
              <w:rPr>
                <w:rFonts w:ascii="Verdana" w:hAnsi="Verdana"/>
              </w:rPr>
            </w:pPr>
          </w:p>
        </w:tc>
      </w:tr>
      <w:tr w:rsidR="0040775C" w:rsidRPr="0060163E" w14:paraId="598B502C" w14:textId="77777777" w:rsidTr="008456FA">
        <w:tc>
          <w:tcPr>
            <w:tcW w:w="2685" w:type="dxa"/>
          </w:tcPr>
          <w:p w14:paraId="6F83010A" w14:textId="77777777" w:rsidR="0040775C" w:rsidRPr="0060163E" w:rsidRDefault="0040775C" w:rsidP="008456FA">
            <w:pPr>
              <w:rPr>
                <w:rFonts w:ascii="Verdana" w:hAnsi="Verdana"/>
                <w:lang w:val="es-ES_tradnl"/>
              </w:rPr>
            </w:pPr>
          </w:p>
          <w:p w14:paraId="0FCBC1DD" w14:textId="77777777" w:rsidR="0040775C" w:rsidRPr="0060163E" w:rsidRDefault="0040775C" w:rsidP="008456FA">
            <w:pPr>
              <w:rPr>
                <w:rFonts w:ascii="Verdana" w:hAnsi="Verdana"/>
                <w:b/>
                <w:bCs/>
                <w:lang w:val="es-ES_tradnl"/>
              </w:rPr>
            </w:pPr>
            <w:r w:rsidRPr="0060163E">
              <w:rPr>
                <w:rFonts w:ascii="Verdana" w:hAnsi="Verdana"/>
                <w:b/>
                <w:bCs/>
                <w:lang w:val="es-ES_tradnl"/>
              </w:rPr>
              <w:t xml:space="preserve">Radicación:               </w:t>
            </w:r>
          </w:p>
        </w:tc>
        <w:tc>
          <w:tcPr>
            <w:tcW w:w="6241" w:type="dxa"/>
          </w:tcPr>
          <w:p w14:paraId="16D8FE0D" w14:textId="77777777" w:rsidR="0040775C" w:rsidRPr="0060163E" w:rsidRDefault="0040775C" w:rsidP="008456FA">
            <w:pPr>
              <w:jc w:val="both"/>
              <w:rPr>
                <w:rFonts w:ascii="Verdana" w:hAnsi="Verdana"/>
                <w:lang w:val="es-ES_tradnl"/>
              </w:rPr>
            </w:pPr>
          </w:p>
          <w:p w14:paraId="1D96E622" w14:textId="77777777" w:rsidR="0040775C" w:rsidRDefault="0040775C" w:rsidP="008456FA">
            <w:pPr>
              <w:jc w:val="both"/>
              <w:rPr>
                <w:rFonts w:ascii="Verdana" w:hAnsi="Verdana"/>
              </w:rPr>
            </w:pPr>
            <w:r w:rsidRPr="0060163E">
              <w:rPr>
                <w:rFonts w:ascii="Verdana" w:hAnsi="Verdana"/>
                <w:lang w:val="es-ES_tradnl"/>
              </w:rPr>
              <w:t>Respue</w:t>
            </w:r>
            <w:r>
              <w:rPr>
                <w:rFonts w:ascii="Verdana" w:hAnsi="Verdana"/>
                <w:lang w:val="es-ES_tradnl"/>
              </w:rPr>
              <w:t xml:space="preserve">sta a consulta con radicado </w:t>
            </w:r>
            <w:r w:rsidRPr="0023251A">
              <w:rPr>
                <w:rFonts w:ascii="Verdana" w:hAnsi="Verdana"/>
              </w:rPr>
              <w:t>1_2025_11_20_013093</w:t>
            </w:r>
          </w:p>
          <w:p w14:paraId="41075CAD" w14:textId="77777777" w:rsidR="0040775C" w:rsidRPr="0060163E" w:rsidRDefault="0040775C" w:rsidP="008456FA">
            <w:pPr>
              <w:jc w:val="both"/>
              <w:rPr>
                <w:rFonts w:ascii="Verdana" w:hAnsi="Verdana"/>
              </w:rPr>
            </w:pPr>
          </w:p>
        </w:tc>
        <w:tc>
          <w:tcPr>
            <w:tcW w:w="6237" w:type="dxa"/>
          </w:tcPr>
          <w:p w14:paraId="527B26C6" w14:textId="77777777" w:rsidR="0040775C" w:rsidRPr="0060163E" w:rsidRDefault="0040775C" w:rsidP="008456FA">
            <w:pPr>
              <w:rPr>
                <w:rFonts w:ascii="Verdana" w:hAnsi="Verdana"/>
                <w:lang w:val="es-ES_tradnl"/>
              </w:rPr>
            </w:pPr>
          </w:p>
        </w:tc>
      </w:tr>
      <w:tr w:rsidR="0040775C" w:rsidRPr="0060163E" w14:paraId="5EBF93D1" w14:textId="77777777" w:rsidTr="008456FA">
        <w:tc>
          <w:tcPr>
            <w:tcW w:w="2685" w:type="dxa"/>
          </w:tcPr>
          <w:p w14:paraId="508F8472" w14:textId="77777777" w:rsidR="0040775C" w:rsidRPr="0060163E" w:rsidRDefault="0040775C" w:rsidP="008456FA">
            <w:pPr>
              <w:rPr>
                <w:rFonts w:ascii="Verdana" w:hAnsi="Verdana"/>
                <w:lang w:val="es-ES_tradnl"/>
              </w:rPr>
            </w:pPr>
          </w:p>
        </w:tc>
        <w:tc>
          <w:tcPr>
            <w:tcW w:w="6241" w:type="dxa"/>
          </w:tcPr>
          <w:p w14:paraId="2CD8E8CD" w14:textId="77777777" w:rsidR="0040775C" w:rsidRPr="0060163E" w:rsidRDefault="0040775C" w:rsidP="008456FA">
            <w:pPr>
              <w:jc w:val="both"/>
              <w:rPr>
                <w:rFonts w:ascii="Verdana" w:hAnsi="Verdana"/>
                <w:lang w:val="es-ES_tradnl"/>
              </w:rPr>
            </w:pPr>
          </w:p>
        </w:tc>
        <w:tc>
          <w:tcPr>
            <w:tcW w:w="6237" w:type="dxa"/>
          </w:tcPr>
          <w:p w14:paraId="1867BCB8" w14:textId="77777777" w:rsidR="0040775C" w:rsidRPr="0060163E" w:rsidRDefault="0040775C" w:rsidP="008456FA">
            <w:pPr>
              <w:rPr>
                <w:rFonts w:ascii="Verdana" w:hAnsi="Verdana"/>
                <w:lang w:val="es-ES_tradnl"/>
              </w:rPr>
            </w:pPr>
          </w:p>
        </w:tc>
      </w:tr>
    </w:tbl>
    <w:p w14:paraId="7696A2DF" w14:textId="77777777" w:rsidR="0040775C" w:rsidRPr="0060163E" w:rsidRDefault="0040775C" w:rsidP="0040775C">
      <w:pPr>
        <w:spacing w:after="0" w:line="256" w:lineRule="auto"/>
        <w:rPr>
          <w:rFonts w:ascii="Verdana" w:eastAsia="Calibri" w:hAnsi="Verdana" w:cs="Times New Roman"/>
          <w:lang w:val="es-ES"/>
        </w:rPr>
      </w:pPr>
      <w:r>
        <w:rPr>
          <w:rFonts w:ascii="Verdana" w:eastAsia="Calibri" w:hAnsi="Verdana" w:cs="Times New Roman"/>
          <w:lang w:val="es-ES"/>
        </w:rPr>
        <w:t>Estimado Señor Olmos:</w:t>
      </w:r>
    </w:p>
    <w:p w14:paraId="0BF33F13" w14:textId="77777777" w:rsidR="0040775C" w:rsidRPr="0060163E" w:rsidRDefault="0040775C" w:rsidP="0040775C">
      <w:pPr>
        <w:spacing w:after="0" w:line="276" w:lineRule="auto"/>
        <w:rPr>
          <w:rFonts w:ascii="Verdana" w:eastAsia="Calibri" w:hAnsi="Verdana" w:cs="Times New Roman"/>
          <w:lang w:val="es-ES"/>
        </w:rPr>
      </w:pPr>
    </w:p>
    <w:p w14:paraId="0DC76B56" w14:textId="77777777" w:rsidR="0040775C" w:rsidRPr="008211D2" w:rsidRDefault="0040775C" w:rsidP="0040775C">
      <w:pPr>
        <w:spacing w:after="0" w:line="276" w:lineRule="auto"/>
        <w:jc w:val="both"/>
        <w:rPr>
          <w:rFonts w:ascii="Verdana" w:eastAsia="Calibri" w:hAnsi="Verdana" w:cs="Times New Roman"/>
          <w:bCs/>
          <w:lang w:val="es-ES" w:bidi="es-ES"/>
        </w:rPr>
      </w:pPr>
      <w:r w:rsidRPr="008211D2">
        <w:rPr>
          <w:rFonts w:ascii="Verdana" w:eastAsia="Calibri" w:hAnsi="Verdana" w:cs="Times New Roman"/>
          <w:bCs/>
          <w:lang w:val="es-ES" w:bidi="es-ES"/>
        </w:rPr>
        <w:t xml:space="preserve">En ejercicio de la competencia otorgada por los artículos 3, numeral 5º, y 11, numeral 8º, del Decreto Ley 4170 de 2011, </w:t>
      </w:r>
      <w:r w:rsidRPr="008211D2">
        <w:rPr>
          <w:rFonts w:ascii="Verdana" w:eastAsia="Calibri" w:hAnsi="Verdana" w:cs="Times New Roman"/>
          <w:bCs/>
        </w:rPr>
        <w:t xml:space="preserve">así como lo establecido por la Resolución 469 de 2025 expedida por esta Entidad, </w:t>
      </w:r>
      <w:r w:rsidRPr="008211D2">
        <w:rPr>
          <w:rFonts w:ascii="Verdana" w:eastAsia="Calibri" w:hAnsi="Verdana" w:cs="Times New Roman"/>
          <w:bCs/>
          <w:lang w:val="es-ES" w:bidi="es-ES"/>
        </w:rPr>
        <w:t>la Agencia Nacional de Contratación Pública – Colombia Compra Eficiente– responde la sol</w:t>
      </w:r>
      <w:r>
        <w:rPr>
          <w:rFonts w:ascii="Verdana" w:eastAsia="Calibri" w:hAnsi="Verdana" w:cs="Times New Roman"/>
          <w:bCs/>
          <w:lang w:val="es-ES" w:bidi="es-ES"/>
        </w:rPr>
        <w:t>icitud de consulta presentada el 20 de noviembre de 2025</w:t>
      </w:r>
      <w:r w:rsidRPr="008211D2">
        <w:rPr>
          <w:rFonts w:ascii="Verdana" w:eastAsia="Calibri" w:hAnsi="Verdana" w:cs="Times New Roman"/>
          <w:bCs/>
          <w:lang w:val="es-ES" w:bidi="es-ES"/>
        </w:rPr>
        <w:t xml:space="preserve">, en la cual manifiesta: </w:t>
      </w:r>
    </w:p>
    <w:p w14:paraId="366D74E5" w14:textId="77777777" w:rsidR="0040775C" w:rsidRPr="0060163E" w:rsidRDefault="0040775C" w:rsidP="0040775C">
      <w:pPr>
        <w:spacing w:after="0" w:line="276" w:lineRule="auto"/>
        <w:jc w:val="both"/>
        <w:rPr>
          <w:rFonts w:ascii="Verdana" w:eastAsia="Calibri" w:hAnsi="Verdana" w:cs="Times New Roman"/>
          <w:lang w:val="es-ES"/>
        </w:rPr>
      </w:pPr>
    </w:p>
    <w:p w14:paraId="202A46F1" w14:textId="77777777" w:rsidR="0040775C" w:rsidRPr="00CD4831" w:rsidRDefault="0040775C" w:rsidP="0040775C">
      <w:pPr>
        <w:spacing w:after="0"/>
        <w:ind w:left="709" w:right="709"/>
        <w:jc w:val="both"/>
        <w:rPr>
          <w:rFonts w:ascii="Verdana" w:eastAsia="Calibri" w:hAnsi="Verdana"/>
          <w:bCs/>
          <w:sz w:val="20"/>
          <w:szCs w:val="20"/>
        </w:rPr>
      </w:pPr>
      <w:r w:rsidRPr="00506C86">
        <w:rPr>
          <w:rFonts w:ascii="Verdana" w:eastAsia="Calibri" w:hAnsi="Verdana" w:cs="Times New Roman"/>
          <w:bCs/>
          <w:sz w:val="20"/>
          <w:szCs w:val="20"/>
        </w:rPr>
        <w:t>“</w:t>
      </w:r>
      <w:r w:rsidRPr="00CD4831">
        <w:rPr>
          <w:rFonts w:ascii="Verdana" w:eastAsia="Calibri" w:hAnsi="Verdana"/>
          <w:bCs/>
          <w:sz w:val="20"/>
          <w:szCs w:val="20"/>
        </w:rPr>
        <w:t xml:space="preserve">Solicitud: Con fundamento en lo expuesto, solicito respetuosamente a esa Dirección Jurídica emitir un concepto jurídico en el que se indique, con base en la normativa vigente y aplicable, si el profesional en cuestión se halla inhabilitado o no para suscribir el contrato de prestación de servicios con el Concejo Municipal de Pacho a partir del 1º de enero de 2026. </w:t>
      </w:r>
    </w:p>
    <w:p w14:paraId="10F0458C" w14:textId="77777777" w:rsidR="0040775C" w:rsidRPr="00CD4831" w:rsidRDefault="0040775C" w:rsidP="0040775C">
      <w:pPr>
        <w:spacing w:after="0" w:line="240" w:lineRule="auto"/>
        <w:ind w:left="709" w:right="709"/>
        <w:jc w:val="both"/>
        <w:rPr>
          <w:rFonts w:ascii="Verdana" w:eastAsia="Calibri" w:hAnsi="Verdana" w:cs="Times New Roman"/>
          <w:bCs/>
          <w:sz w:val="20"/>
          <w:szCs w:val="20"/>
        </w:rPr>
      </w:pPr>
      <w:r w:rsidRPr="00CD4831">
        <w:rPr>
          <w:rFonts w:ascii="Verdana" w:eastAsia="Calibri" w:hAnsi="Verdana" w:cs="Times New Roman"/>
          <w:bCs/>
          <w:sz w:val="20"/>
          <w:szCs w:val="20"/>
        </w:rPr>
        <w:t>Agradecemos que en su concepto se aborden las disposiciones legales pertinentes (por ejemplo, las relativas a inhabilidades por el ejercicio de funciones públicas en cargos de nivel directivo a nivel territorial) y se esclarezca de manera concreta la procedencia o improcedencia de la contratación propuesta bajo las circunstancias descritas</w:t>
      </w:r>
      <w:r>
        <w:rPr>
          <w:rFonts w:ascii="Verdana" w:eastAsia="Calibri" w:hAnsi="Verdana" w:cs="Times New Roman"/>
          <w:bCs/>
          <w:sz w:val="20"/>
          <w:szCs w:val="20"/>
        </w:rPr>
        <w:t>”</w:t>
      </w:r>
      <w:r w:rsidRPr="00CD4831">
        <w:rPr>
          <w:rFonts w:ascii="Verdana" w:eastAsia="Calibri" w:hAnsi="Verdana" w:cs="Times New Roman"/>
          <w:bCs/>
          <w:sz w:val="20"/>
          <w:szCs w:val="20"/>
        </w:rPr>
        <w:t>.</w:t>
      </w:r>
    </w:p>
    <w:p w14:paraId="6CA8D5F6" w14:textId="77777777" w:rsidR="0040775C" w:rsidRPr="008211D2" w:rsidRDefault="0040775C" w:rsidP="0040775C">
      <w:pPr>
        <w:spacing w:after="0" w:line="240" w:lineRule="auto"/>
        <w:ind w:right="709"/>
        <w:jc w:val="both"/>
        <w:rPr>
          <w:rFonts w:ascii="Verdana" w:eastAsia="Calibri" w:hAnsi="Verdana" w:cs="Times New Roman"/>
          <w:bCs/>
          <w:i/>
          <w:iCs/>
          <w:sz w:val="20"/>
          <w:szCs w:val="20"/>
        </w:rPr>
      </w:pPr>
    </w:p>
    <w:p w14:paraId="242530DC" w14:textId="77777777" w:rsidR="0040775C" w:rsidRPr="0060163E" w:rsidRDefault="0040775C" w:rsidP="0040775C">
      <w:pPr>
        <w:spacing w:after="120" w:line="276" w:lineRule="auto"/>
        <w:ind w:firstLine="709"/>
        <w:jc w:val="both"/>
        <w:rPr>
          <w:rFonts w:ascii="Verdana" w:eastAsia="Calibri" w:hAnsi="Verdana" w:cs="Times New Roman"/>
          <w:lang w:val="es-ES"/>
        </w:rPr>
      </w:pPr>
      <w:r w:rsidRPr="0060163E">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41D03061" w14:textId="77777777" w:rsidR="0040775C" w:rsidRDefault="0040775C" w:rsidP="0040775C">
      <w:pPr>
        <w:spacing w:after="0" w:line="276" w:lineRule="auto"/>
        <w:ind w:firstLine="708"/>
        <w:jc w:val="both"/>
        <w:rPr>
          <w:rFonts w:ascii="Verdana" w:eastAsia="Calibri" w:hAnsi="Verdana" w:cs="Times New Roman"/>
          <w:lang w:val="es-ES"/>
        </w:rPr>
      </w:pPr>
      <w:r w:rsidRPr="0060163E">
        <w:rPr>
          <w:rFonts w:ascii="Verdana" w:eastAsia="Calibri" w:hAnsi="Verdana" w:cs="Times New Roman"/>
          <w:lang w:val="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w:t>
      </w:r>
      <w:r>
        <w:rPr>
          <w:rFonts w:ascii="Verdana" w:eastAsia="Calibri" w:hAnsi="Verdana" w:cs="Times New Roman"/>
          <w:lang w:val="es-ES"/>
        </w:rPr>
        <w:t xml:space="preserve">s con el problema jurídico de su consulta. </w:t>
      </w:r>
    </w:p>
    <w:p w14:paraId="6ADCC583" w14:textId="77777777" w:rsidR="0040775C" w:rsidRPr="0060163E" w:rsidRDefault="0040775C" w:rsidP="0040775C">
      <w:pPr>
        <w:spacing w:after="0" w:line="276" w:lineRule="auto"/>
        <w:ind w:firstLine="708"/>
        <w:jc w:val="both"/>
        <w:rPr>
          <w:rFonts w:ascii="Verdana" w:eastAsia="Calibri" w:hAnsi="Verdana" w:cs="Times New Roman"/>
          <w:lang w:val="es-ES"/>
        </w:rPr>
      </w:pPr>
    </w:p>
    <w:p w14:paraId="32922F59" w14:textId="77777777" w:rsidR="0040775C" w:rsidRPr="0060163E" w:rsidRDefault="0040775C" w:rsidP="0040775C">
      <w:pPr>
        <w:spacing w:after="0" w:line="276" w:lineRule="auto"/>
        <w:contextualSpacing/>
        <w:rPr>
          <w:rFonts w:ascii="Verdana" w:eastAsia="Calibri" w:hAnsi="Verdana" w:cs="Times New Roman"/>
          <w:b/>
          <w:bCs/>
          <w:lang w:val="es-ES"/>
        </w:rPr>
      </w:pPr>
      <w:r>
        <w:rPr>
          <w:rFonts w:ascii="Verdana" w:eastAsia="Calibri" w:hAnsi="Verdana" w:cs="Times New Roman"/>
          <w:b/>
          <w:bCs/>
          <w:lang w:val="es-ES"/>
        </w:rPr>
        <w:t xml:space="preserve">I. </w:t>
      </w:r>
      <w:r w:rsidRPr="0060163E">
        <w:rPr>
          <w:rFonts w:ascii="Verdana" w:eastAsia="Calibri" w:hAnsi="Verdana" w:cs="Times New Roman"/>
          <w:b/>
          <w:bCs/>
          <w:lang w:val="es-ES"/>
        </w:rPr>
        <w:t>Problema planteado:</w:t>
      </w:r>
    </w:p>
    <w:p w14:paraId="2D2F2D71" w14:textId="77777777" w:rsidR="0040775C" w:rsidRPr="0060163E" w:rsidRDefault="0040775C" w:rsidP="0040775C">
      <w:pPr>
        <w:spacing w:after="0" w:line="276" w:lineRule="auto"/>
        <w:rPr>
          <w:rFonts w:ascii="Verdana" w:eastAsia="Calibri" w:hAnsi="Verdana" w:cs="Times New Roman"/>
        </w:rPr>
      </w:pPr>
    </w:p>
    <w:p w14:paraId="05EF262A" w14:textId="77777777" w:rsidR="0040775C" w:rsidRPr="00BF497E" w:rsidRDefault="0040775C" w:rsidP="0040775C">
      <w:pPr>
        <w:spacing w:after="0" w:line="276" w:lineRule="auto"/>
        <w:jc w:val="both"/>
        <w:rPr>
          <w:rFonts w:ascii="Verdana" w:eastAsia="Calibri" w:hAnsi="Verdana" w:cs="Times New Roman"/>
        </w:rPr>
      </w:pPr>
      <w:r w:rsidRPr="0060163E">
        <w:rPr>
          <w:rFonts w:ascii="Verdana" w:eastAsia="Calibri" w:hAnsi="Verdana" w:cs="Times New Roman"/>
        </w:rPr>
        <w:t xml:space="preserve">De acuerdo con el contenido de su solicitud, esta Agencia procede a resolver </w:t>
      </w:r>
      <w:r>
        <w:rPr>
          <w:rFonts w:ascii="Verdana" w:eastAsia="Calibri" w:hAnsi="Verdana" w:cs="Times New Roman"/>
        </w:rPr>
        <w:t>el siguiente problema jurídico: ¿Es procedente que una persona que ejerció</w:t>
      </w:r>
      <w:r w:rsidRPr="00D028AA">
        <w:rPr>
          <w:rFonts w:ascii="Verdana" w:eastAsia="Calibri" w:hAnsi="Verdana" w:cs="Times New Roman"/>
        </w:rPr>
        <w:t xml:space="preserve"> un </w:t>
      </w:r>
      <w:r w:rsidRPr="00D028AA">
        <w:rPr>
          <w:rFonts w:ascii="Verdana" w:eastAsia="Calibri" w:hAnsi="Verdana" w:cs="Times New Roman"/>
        </w:rPr>
        <w:lastRenderedPageBreak/>
        <w:t>cargo de nivel</w:t>
      </w:r>
      <w:r>
        <w:rPr>
          <w:rFonts w:ascii="Verdana" w:eastAsia="Calibri" w:hAnsi="Verdana" w:cs="Times New Roman"/>
        </w:rPr>
        <w:t xml:space="preserve"> directivo dentro del municipio, sea contratado por prestación de servicios en el Concejo Municipal de este?</w:t>
      </w:r>
    </w:p>
    <w:p w14:paraId="4297D221" w14:textId="77777777" w:rsidR="0040775C" w:rsidRPr="0060163E" w:rsidRDefault="0040775C" w:rsidP="0040775C">
      <w:pPr>
        <w:spacing w:after="0" w:line="276" w:lineRule="auto"/>
        <w:rPr>
          <w:rFonts w:ascii="Verdana" w:eastAsia="Calibri" w:hAnsi="Verdana" w:cs="Times New Roman"/>
        </w:rPr>
      </w:pPr>
    </w:p>
    <w:p w14:paraId="556510A8" w14:textId="77777777" w:rsidR="0040775C" w:rsidRPr="0060163E" w:rsidRDefault="0040775C" w:rsidP="0040775C">
      <w:pPr>
        <w:spacing w:after="0" w:line="276" w:lineRule="auto"/>
        <w:contextualSpacing/>
        <w:rPr>
          <w:rFonts w:ascii="Verdana" w:eastAsia="Calibri" w:hAnsi="Verdana" w:cs="Times New Roman"/>
          <w:b/>
          <w:bCs/>
          <w:lang w:val="es-ES"/>
        </w:rPr>
      </w:pPr>
      <w:r>
        <w:rPr>
          <w:rFonts w:ascii="Verdana" w:eastAsia="Calibri" w:hAnsi="Verdana" w:cs="Times New Roman"/>
          <w:b/>
          <w:bCs/>
          <w:lang w:val="es-ES"/>
        </w:rPr>
        <w:t xml:space="preserve">II. </w:t>
      </w:r>
      <w:r w:rsidRPr="0060163E">
        <w:rPr>
          <w:rFonts w:ascii="Verdana" w:eastAsia="Calibri" w:hAnsi="Verdana" w:cs="Times New Roman"/>
          <w:b/>
          <w:bCs/>
          <w:lang w:val="es-ES"/>
        </w:rPr>
        <w:t>Respuesta:</w:t>
      </w:r>
    </w:p>
    <w:p w14:paraId="213CE09D" w14:textId="77777777" w:rsidR="0040775C" w:rsidRPr="0060163E" w:rsidRDefault="0040775C" w:rsidP="0040775C">
      <w:pPr>
        <w:spacing w:after="0" w:line="276" w:lineRule="auto"/>
        <w:jc w:val="both"/>
        <w:rPr>
          <w:rFonts w:ascii="Verdana" w:eastAsia="Calibri" w:hAnsi="Verdana" w:cs="Times New Roman"/>
          <w:bCs/>
          <w:lang w:val="es-ES" w:bidi="es-ES"/>
        </w:rPr>
      </w:pPr>
    </w:p>
    <w:tbl>
      <w:tblPr>
        <w:tblStyle w:val="Tablaconcuadrcula1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0775C" w:rsidRPr="0060163E" w14:paraId="4E80D1BA" w14:textId="77777777" w:rsidTr="008456FA">
        <w:trPr>
          <w:trHeight w:val="870"/>
          <w:jc w:val="center"/>
        </w:trPr>
        <w:tc>
          <w:tcPr>
            <w:tcW w:w="8647" w:type="dxa"/>
          </w:tcPr>
          <w:p w14:paraId="3781A9DF" w14:textId="77777777" w:rsidR="0040775C" w:rsidRPr="0070090C" w:rsidRDefault="0040775C" w:rsidP="008456FA">
            <w:pPr>
              <w:spacing w:after="120" w:line="276" w:lineRule="auto"/>
              <w:jc w:val="both"/>
              <w:rPr>
                <w:rFonts w:ascii="Verdana" w:eastAsia="Arial MT" w:hAnsi="Verdana" w:cs="Arial"/>
                <w:lang w:eastAsia="es-ES" w:bidi="es-ES"/>
              </w:rPr>
            </w:pPr>
            <w:r>
              <w:rPr>
                <w:rFonts w:ascii="Verdana" w:eastAsia="Arial MT" w:hAnsi="Verdana" w:cs="Arial"/>
                <w:lang w:eastAsia="es-ES" w:bidi="es-ES"/>
              </w:rPr>
              <w:t xml:space="preserve">Teniendo en cuenta el problema jurídico, objeto de consulta, se precisa que </w:t>
            </w:r>
            <w:r>
              <w:rPr>
                <w:rFonts w:ascii="Verdana" w:eastAsia="Calibri" w:hAnsi="Verdana" w:cs="Arial"/>
                <w:color w:val="000000" w:themeColor="text1"/>
              </w:rPr>
              <w:t xml:space="preserve"> las entidades deberán evaluar si en el caso concreto se configuran los elementos materiales y temporales de las incompatibilidades establecidas en los literales a) y f) del numeral 2 del artículo 8 de la Ley 80 de 1993. Frente a lo expresado en su consulta, quien pretende suscribir el contrato de prestación de servicios con la entidad incurrirá en la incompatibilidad del literal a) si ha sido integrante de su junta o consejo directivo, o estuvo vinculado a la entidad contratante en calidad de servidor público. En cualquiera de estos supuestos, será necesario que las funciones que hubiese desempeñado como integrante de la junta o consejo, o como servidor público hayan sido en el nivel directivo, asesor o ejecutivo. Bajo este literal, el interesado no podrá celebrar el contrato de prestación de servicios, o cualquier otro con entidad pública, durante un año contado a partir de la fecha de su retiro. </w:t>
            </w:r>
          </w:p>
          <w:p w14:paraId="045EAAC1" w14:textId="77777777" w:rsidR="0040775C" w:rsidRDefault="0040775C" w:rsidP="008456FA">
            <w:pPr>
              <w:widowControl w:val="0"/>
              <w:autoSpaceDE w:val="0"/>
              <w:autoSpaceDN w:val="0"/>
              <w:spacing w:after="120" w:line="276" w:lineRule="auto"/>
              <w:ind w:right="51"/>
              <w:jc w:val="both"/>
              <w:rPr>
                <w:rFonts w:ascii="Verdana" w:hAnsi="Verdana"/>
              </w:rPr>
            </w:pPr>
            <w:r>
              <w:rPr>
                <w:rFonts w:ascii="Verdana" w:eastAsia="Calibri" w:hAnsi="Verdana" w:cs="Arial"/>
                <w:color w:val="000000" w:themeColor="text1"/>
              </w:rPr>
              <w:tab/>
              <w:t>Con respecto a la causal f), quien pretenda suscribir el contrato de prestación de servicios incurrirá en esta causal cuando se haya desempeñado como servidor público en cargos del nivel directivo de la entidad contratante. En este supuesto, además, es necesario que el contrato de prestación de servicios que pretende suscribirse tenga por objeto el desarrollo de actividades que estén relacionadas con el sector en el cual prestó dichos servicios. Esta incompatibilidad se extiende durante los dos años siguientes al ejercicio del cargo público.</w:t>
            </w:r>
          </w:p>
          <w:p w14:paraId="3EC96051" w14:textId="77777777" w:rsidR="0040775C" w:rsidRPr="0070090C" w:rsidRDefault="0040775C" w:rsidP="008456FA">
            <w:pPr>
              <w:spacing w:line="276" w:lineRule="auto"/>
              <w:ind w:firstLine="709"/>
              <w:jc w:val="both"/>
              <w:rPr>
                <w:rFonts w:ascii="Verdana" w:eastAsia="Century Gothic" w:hAnsi="Verdana" w:cs="Century Gothic"/>
                <w:bCs/>
              </w:rPr>
            </w:pPr>
            <w:r w:rsidRPr="00C23CEB">
              <w:rPr>
                <w:rFonts w:ascii="Verdana" w:eastAsia="Century Gothic" w:hAnsi="Verdana" w:cs="Century Gothic"/>
                <w:bCs/>
              </w:rPr>
              <w:t>En todo caso, debe advertirse que, corresponde a las Entidades Estatales, al verificar la capacidad jurídica de las personas con quienes pretenden suscribir contratos, determinar en cada caso concreto si se configura alguna inhabilidad, incompatibilidad o conflicto de interés. En ese sentido, la conclusión aquí expuesta no remplaza el deber de verificación de las Entidades Estatales, ni puede ser tomada como un juicio de valor sobre alguna situación de orden particular.</w:t>
            </w:r>
            <w:r>
              <w:rPr>
                <w:rFonts w:ascii="Verdana" w:eastAsia="Century Gothic" w:hAnsi="Verdana" w:cs="Century Gothic"/>
                <w:bCs/>
              </w:rPr>
              <w:t xml:space="preserve"> De forma similar, esta Agencia no tiene </w:t>
            </w:r>
            <w:r>
              <w:rPr>
                <w:rFonts w:ascii="Verdana" w:eastAsia="Century Gothic" w:hAnsi="Verdana" w:cs="Century Gothic"/>
                <w:bCs/>
              </w:rPr>
              <w:lastRenderedPageBreak/>
              <w:t>competencia para pronunciarse sobre las posibles sanciones que deberían ser impuestas en el caso particular objeto de consulta.</w:t>
            </w:r>
          </w:p>
        </w:tc>
      </w:tr>
    </w:tbl>
    <w:p w14:paraId="3EFA9F4B" w14:textId="77777777" w:rsidR="0040775C" w:rsidRPr="0070090C" w:rsidRDefault="0040775C" w:rsidP="0040775C">
      <w:pPr>
        <w:spacing w:after="0" w:line="276" w:lineRule="auto"/>
        <w:contextualSpacing/>
        <w:rPr>
          <w:rFonts w:ascii="Verdana" w:eastAsia="Calibri" w:hAnsi="Verdana" w:cs="Times New Roman"/>
          <w:b/>
          <w:bCs/>
        </w:rPr>
      </w:pPr>
    </w:p>
    <w:p w14:paraId="2FBDC81B" w14:textId="77777777" w:rsidR="0040775C" w:rsidRPr="0060163E" w:rsidRDefault="0040775C" w:rsidP="0040775C">
      <w:pPr>
        <w:spacing w:after="0" w:line="276" w:lineRule="auto"/>
        <w:contextualSpacing/>
        <w:rPr>
          <w:rFonts w:ascii="Verdana" w:eastAsia="Calibri" w:hAnsi="Verdana" w:cs="Times New Roman"/>
          <w:b/>
          <w:bCs/>
          <w:lang w:val="es-ES"/>
        </w:rPr>
      </w:pPr>
      <w:r>
        <w:rPr>
          <w:rFonts w:ascii="Verdana" w:eastAsia="Calibri" w:hAnsi="Verdana" w:cs="Times New Roman"/>
          <w:b/>
          <w:bCs/>
          <w:lang w:val="es-ES"/>
        </w:rPr>
        <w:t xml:space="preserve">III. </w:t>
      </w:r>
      <w:r w:rsidRPr="0060163E">
        <w:rPr>
          <w:rFonts w:ascii="Verdana" w:eastAsia="Calibri" w:hAnsi="Verdana" w:cs="Times New Roman"/>
          <w:b/>
          <w:bCs/>
          <w:lang w:val="es-ES"/>
        </w:rPr>
        <w:t>Razones de la respuesta:</w:t>
      </w:r>
    </w:p>
    <w:p w14:paraId="1EB26EB4" w14:textId="77777777" w:rsidR="0040775C" w:rsidRPr="0060163E" w:rsidRDefault="0040775C" w:rsidP="0040775C">
      <w:pPr>
        <w:spacing w:after="0" w:line="276" w:lineRule="auto"/>
        <w:rPr>
          <w:rFonts w:ascii="Verdana" w:eastAsia="Calibri" w:hAnsi="Verdana" w:cs="Times New Roman"/>
          <w:b/>
          <w:bCs/>
          <w:lang w:val="es-ES"/>
        </w:rPr>
      </w:pPr>
    </w:p>
    <w:p w14:paraId="3E4DC063" w14:textId="77777777" w:rsidR="0040775C" w:rsidRPr="0060163E" w:rsidRDefault="0040775C" w:rsidP="0040775C">
      <w:pPr>
        <w:spacing w:after="0" w:line="276" w:lineRule="auto"/>
        <w:jc w:val="both"/>
        <w:rPr>
          <w:rFonts w:ascii="Verdana" w:eastAsia="Calibri" w:hAnsi="Verdana" w:cs="Arial"/>
          <w:lang w:val="es-ES"/>
        </w:rPr>
      </w:pPr>
      <w:r w:rsidRPr="0060163E">
        <w:rPr>
          <w:rFonts w:ascii="Verdana" w:eastAsia="Calibri" w:hAnsi="Verdana" w:cs="Arial"/>
          <w:lang w:val="es-ES"/>
        </w:rPr>
        <w:t xml:space="preserve">Lo anterior se sustenta en las siguientes consideraciones: </w:t>
      </w:r>
    </w:p>
    <w:p w14:paraId="47DA7D5E" w14:textId="77777777" w:rsidR="0040775C" w:rsidRPr="0060163E" w:rsidRDefault="0040775C" w:rsidP="0040775C">
      <w:pPr>
        <w:spacing w:after="0" w:line="276" w:lineRule="auto"/>
        <w:jc w:val="both"/>
        <w:rPr>
          <w:rFonts w:ascii="Verdana" w:eastAsia="Calibri" w:hAnsi="Verdana" w:cs="Arial"/>
          <w:lang w:val="es-MX"/>
        </w:rPr>
      </w:pPr>
    </w:p>
    <w:p w14:paraId="24084C1A" w14:textId="77777777" w:rsidR="0040775C" w:rsidRDefault="0040775C" w:rsidP="0040775C">
      <w:pPr>
        <w:spacing w:after="0" w:line="276" w:lineRule="auto"/>
        <w:jc w:val="both"/>
        <w:rPr>
          <w:rFonts w:ascii="Verdana" w:eastAsia="Calibri" w:hAnsi="Verdana" w:cs="Arial"/>
          <w:lang w:val="es-MX"/>
        </w:rPr>
      </w:pPr>
      <w:r>
        <w:rPr>
          <w:rFonts w:ascii="Verdana" w:eastAsia="Calibri" w:hAnsi="Verdana" w:cs="Arial"/>
          <w:lang w:val="es-MX"/>
        </w:rPr>
        <w:t>i.</w:t>
      </w:r>
      <w:r w:rsidRPr="0060163E">
        <w:rPr>
          <w:rFonts w:ascii="Verdana" w:eastAsia="Calibri" w:hAnsi="Verdana" w:cs="Arial"/>
          <w:lang w:val="es-MX"/>
        </w:rPr>
        <w:t xml:space="preserve"> Las inhabilidades son circunstancias establecidas por la Constitución o la ley que impiden que personas naturales o jurídicas sean elegidas o d</w:t>
      </w:r>
      <w:r>
        <w:rPr>
          <w:rFonts w:ascii="Verdana" w:eastAsia="Calibri" w:hAnsi="Verdana" w:cs="Arial"/>
          <w:lang w:val="es-MX"/>
        </w:rPr>
        <w:t xml:space="preserve">esignadas en un cargo público, </w:t>
      </w:r>
      <w:r w:rsidRPr="0060163E">
        <w:rPr>
          <w:rFonts w:ascii="Verdana" w:eastAsia="Calibri" w:hAnsi="Verdana" w:cs="Arial"/>
          <w:lang w:val="es-MX"/>
        </w:rPr>
        <w:t>celebren contratos con el Estado</w:t>
      </w:r>
      <w:r>
        <w:rPr>
          <w:rFonts w:ascii="Verdana" w:eastAsia="Calibri" w:hAnsi="Verdana" w:cs="Arial"/>
          <w:lang w:val="es-MX"/>
        </w:rPr>
        <w:t>, o no puedan ejercer una profesión</w:t>
      </w:r>
      <w:r w:rsidRPr="0060163E">
        <w:rPr>
          <w:rFonts w:ascii="Verdana" w:eastAsia="Calibri" w:hAnsi="Verdana" w:cs="Arial"/>
          <w:lang w:val="es-MX"/>
        </w:rPr>
        <w:t xml:space="preserve">, con el objetivo de garantizar la idoneidad, imparcialidad, probidad, transparencia y moralidad de la función pública, garantizando el interés general. </w:t>
      </w:r>
      <w:r>
        <w:rPr>
          <w:rFonts w:ascii="Verdana" w:eastAsia="Calibri" w:hAnsi="Verdana" w:cs="Arial"/>
          <w:lang w:val="es-MX"/>
        </w:rPr>
        <w:t xml:space="preserve">De igual modo, en torno a la incompatibilidad, la Corte Constitucional ha señalado: </w:t>
      </w:r>
    </w:p>
    <w:p w14:paraId="6D5C49D3" w14:textId="77777777" w:rsidR="0040775C" w:rsidRDefault="0040775C" w:rsidP="0040775C">
      <w:pPr>
        <w:spacing w:after="0" w:line="276" w:lineRule="auto"/>
        <w:jc w:val="both"/>
        <w:rPr>
          <w:rFonts w:ascii="Verdana" w:eastAsia="Calibri" w:hAnsi="Verdana" w:cs="Arial"/>
          <w:lang w:val="es-MX"/>
        </w:rPr>
      </w:pPr>
    </w:p>
    <w:p w14:paraId="08890F54" w14:textId="77777777" w:rsidR="0040775C" w:rsidRDefault="0040775C" w:rsidP="0040775C">
      <w:pPr>
        <w:spacing w:after="0" w:line="240" w:lineRule="auto"/>
        <w:ind w:left="709" w:right="709"/>
        <w:jc w:val="both"/>
        <w:rPr>
          <w:rFonts w:ascii="Verdana" w:eastAsia="Calibri" w:hAnsi="Verdana" w:cs="Arial"/>
          <w:bCs/>
          <w:iCs/>
          <w:sz w:val="21"/>
          <w:szCs w:val="21"/>
          <w:lang w:val="es-ES"/>
        </w:rPr>
      </w:pPr>
      <w:r w:rsidRPr="000B4D9F">
        <w:rPr>
          <w:rFonts w:ascii="Verdana" w:eastAsia="Calibri" w:hAnsi="Verdana" w:cs="Arial"/>
          <w:sz w:val="21"/>
          <w:szCs w:val="21"/>
          <w:lang w:val="es-MX"/>
        </w:rPr>
        <w:t xml:space="preserve"> </w:t>
      </w:r>
      <w:r w:rsidRPr="000B4D9F">
        <w:rPr>
          <w:rFonts w:ascii="Verdana" w:eastAsia="Calibri" w:hAnsi="Verdana" w:cs="Arial"/>
          <w:bCs/>
          <w:iCs/>
          <w:sz w:val="21"/>
          <w:szCs w:val="21"/>
          <w:lang w:val="es-ES"/>
        </w:rPr>
        <w:t>“[…] una prohibición dirigida al titular de una función pública a quien, por ese hecho, se le impide ocuparse de ciertas actividades o ejercer, simultáneamente, las competencias propias de la función que desempeña y las correspondientes a otros cargos o empleos, en guarda del interés superior que puede verse afectado por una indebida acumulación de funciones o por la confluencia de intereses poco conciliables y capaces, en todo caso, de afectar la imparcialidad y la independencia que deben guiar las actuaciones de quien ejerce la autoridad en nombre del Estado”</w:t>
      </w:r>
      <w:r w:rsidRPr="000B4D9F">
        <w:rPr>
          <w:rFonts w:ascii="Verdana" w:eastAsia="Calibri" w:hAnsi="Verdana" w:cs="Arial"/>
          <w:bCs/>
          <w:iCs/>
          <w:sz w:val="21"/>
          <w:szCs w:val="21"/>
          <w:vertAlign w:val="superscript"/>
          <w:lang w:val="es-ES"/>
        </w:rPr>
        <w:footnoteReference w:id="1"/>
      </w:r>
      <w:r w:rsidRPr="000B4D9F">
        <w:rPr>
          <w:rFonts w:ascii="Verdana" w:eastAsia="Calibri" w:hAnsi="Verdana" w:cs="Arial"/>
          <w:bCs/>
          <w:iCs/>
          <w:sz w:val="21"/>
          <w:szCs w:val="21"/>
          <w:lang w:val="es-ES"/>
        </w:rPr>
        <w:t>.</w:t>
      </w:r>
    </w:p>
    <w:p w14:paraId="0D1DBDBE" w14:textId="77777777" w:rsidR="0040775C" w:rsidRPr="000B4D9F" w:rsidRDefault="0040775C" w:rsidP="0040775C">
      <w:pPr>
        <w:spacing w:after="0" w:line="240" w:lineRule="auto"/>
        <w:ind w:left="709" w:right="709"/>
        <w:jc w:val="both"/>
        <w:rPr>
          <w:rFonts w:ascii="Verdana" w:eastAsia="Calibri" w:hAnsi="Verdana" w:cs="Arial"/>
          <w:bCs/>
          <w:iCs/>
          <w:sz w:val="21"/>
          <w:szCs w:val="21"/>
          <w:lang w:val="es-ES_tradnl"/>
        </w:rPr>
      </w:pPr>
    </w:p>
    <w:p w14:paraId="4904ECA7" w14:textId="77777777" w:rsidR="0040775C" w:rsidRDefault="0040775C" w:rsidP="0040775C">
      <w:pPr>
        <w:spacing w:after="120" w:line="276" w:lineRule="auto"/>
        <w:ind w:firstLine="709"/>
        <w:jc w:val="both"/>
        <w:rPr>
          <w:rFonts w:ascii="Verdana" w:eastAsia="Calibri" w:hAnsi="Verdana" w:cs="Arial"/>
          <w:lang w:val="es-MX"/>
        </w:rPr>
      </w:pPr>
      <w:r>
        <w:rPr>
          <w:rFonts w:ascii="Verdana" w:eastAsia="Calibri" w:hAnsi="Verdana" w:cs="Arial"/>
          <w:lang w:val="es-MX"/>
        </w:rPr>
        <w:t>Las inhabilidades e incompatibilidades pueden enfocarse en varios asuntos: en primer lugar, se encuentran las inhabilidades e incompatibilidades que impiden que u</w:t>
      </w:r>
      <w:r w:rsidRPr="007218AE">
        <w:rPr>
          <w:rFonts w:ascii="Verdana" w:eastAsia="Calibri" w:hAnsi="Verdana" w:cs="Arial"/>
        </w:rPr>
        <w:t xml:space="preserve">na persona sea elegida, designada para un cargo público, como también en ciertos </w:t>
      </w:r>
      <w:r>
        <w:rPr>
          <w:rFonts w:ascii="Verdana" w:eastAsia="Calibri" w:hAnsi="Verdana" w:cs="Arial"/>
        </w:rPr>
        <w:t xml:space="preserve">eventos </w:t>
      </w:r>
      <w:r w:rsidRPr="007218AE">
        <w:rPr>
          <w:rFonts w:ascii="Verdana" w:eastAsia="Calibri" w:hAnsi="Verdana" w:cs="Arial"/>
        </w:rPr>
        <w:t xml:space="preserve">impiden que la persona </w:t>
      </w:r>
      <w:r>
        <w:rPr>
          <w:rFonts w:ascii="Verdana" w:eastAsia="Calibri" w:hAnsi="Verdana" w:cs="Arial"/>
        </w:rPr>
        <w:t xml:space="preserve">se encuentre </w:t>
      </w:r>
      <w:r w:rsidRPr="007218AE">
        <w:rPr>
          <w:rFonts w:ascii="Verdana" w:eastAsia="Calibri" w:hAnsi="Verdana" w:cs="Arial"/>
        </w:rPr>
        <w:t>vinculada a la f</w:t>
      </w:r>
      <w:r>
        <w:rPr>
          <w:rFonts w:ascii="Verdana" w:eastAsia="Calibri" w:hAnsi="Verdana" w:cs="Arial"/>
        </w:rPr>
        <w:t xml:space="preserve">unción pública continúe en ella; en segundo lugar, se hallan las inhabilidades e incompatibilidades para el ejercicio de una profesión, las cuales se constituyen </w:t>
      </w:r>
      <w:r>
        <w:rPr>
          <w:rFonts w:ascii="Verdana" w:eastAsia="Calibri" w:hAnsi="Verdana" w:cs="Arial"/>
          <w:lang w:val="es-MX"/>
        </w:rPr>
        <w:t xml:space="preserve">en restricciones que impiden el ejercicio de una profesión que encuentran sustento en el artículo 26 de la Constitución Política; en tercer lugar, se encuentra el régimen de inhabilidades e incompatibilidades en la contratación </w:t>
      </w:r>
      <w:r>
        <w:rPr>
          <w:rFonts w:ascii="Verdana" w:eastAsia="Calibri" w:hAnsi="Verdana" w:cs="Arial"/>
          <w:lang w:val="es-MX"/>
        </w:rPr>
        <w:lastRenderedPageBreak/>
        <w:t xml:space="preserve">estatal, que busca limitar la celebración de contratos, así como evitar que siga contratando por una inhabilidad o incompatibilidad sobreviniente. De acuerdo a lo expuesto, se señala que la Agencia Nacional de Contratación Pública es competente para resolver consultas sobre normas del sistema de compras y contratación públicas que establezca inhabilidades e incompatibilidades para contratar con el Estado. </w:t>
      </w:r>
    </w:p>
    <w:p w14:paraId="5CF79935" w14:textId="77777777" w:rsidR="0040775C" w:rsidRPr="0060163E" w:rsidRDefault="0040775C" w:rsidP="0040775C">
      <w:pPr>
        <w:spacing w:after="120" w:line="276" w:lineRule="auto"/>
        <w:ind w:firstLine="709"/>
        <w:jc w:val="both"/>
        <w:rPr>
          <w:rFonts w:ascii="Verdana" w:eastAsia="Calibri" w:hAnsi="Verdana" w:cs="Arial"/>
          <w:lang w:val="es-MX"/>
        </w:rPr>
      </w:pPr>
      <w:r>
        <w:rPr>
          <w:rFonts w:ascii="Verdana" w:eastAsia="Calibri" w:hAnsi="Verdana" w:cs="Arial"/>
          <w:lang w:val="es-MX"/>
        </w:rPr>
        <w:t>Para ello, hay que precisar que, el</w:t>
      </w:r>
      <w:r w:rsidRPr="0060163E">
        <w:rPr>
          <w:rFonts w:ascii="Verdana" w:eastAsia="Calibri" w:hAnsi="Verdana" w:cs="Arial"/>
          <w:lang w:val="es-MX"/>
        </w:rPr>
        <w:t xml:space="preserve"> régimen de inhabilidades para contratar con el Estado es un conjunto de restricciones establecidas por el constituyente o por el legislador que afectan directamente la capacidad de las personas para establecer relaciones contractuales con el Estado, que pueden resultar de condenas, sanciones o situaciones previamente establecidas por el ordenamiento jurídico. En esta medida, la Corte Constitucional explica que “las inhabilidades representan una limitación a la capacidad para contratar con las entidades del Estado y obedecen a la falta de aptitud o a la carencia de una cualidad, calidad o requisito en el sujeto incapacitado quien por esta razón no podrá hacer parte de una relación contractual”</w:t>
      </w:r>
      <w:r w:rsidRPr="0060163E">
        <w:rPr>
          <w:rFonts w:ascii="Verdana" w:eastAsia="Calibri" w:hAnsi="Verdana" w:cs="Arial"/>
          <w:vertAlign w:val="superscript"/>
          <w:lang w:val="es-MX"/>
        </w:rPr>
        <w:footnoteReference w:id="2"/>
      </w:r>
    </w:p>
    <w:p w14:paraId="21BD7E97" w14:textId="77777777" w:rsidR="0040775C" w:rsidRPr="0060163E" w:rsidRDefault="0040775C" w:rsidP="0040775C">
      <w:pPr>
        <w:spacing w:before="120" w:after="0" w:line="276" w:lineRule="auto"/>
        <w:ind w:firstLine="709"/>
        <w:jc w:val="both"/>
        <w:rPr>
          <w:rFonts w:ascii="Verdana" w:eastAsia="Calibri" w:hAnsi="Verdana" w:cs="Arial"/>
          <w:lang w:val="es-MX"/>
        </w:rPr>
      </w:pPr>
      <w:r w:rsidRPr="0060163E">
        <w:rPr>
          <w:rFonts w:ascii="Verdana" w:eastAsia="Calibri" w:hAnsi="Verdana" w:cs="Arial"/>
          <w:lang w:val="es-MX"/>
        </w:rPr>
        <w:t>La regulación de las inhabilidades que implican limitaciones a la capacidad jurídica para contratar, que desarrolla los principios de la función administrativa consagrados en el artículo 209 de la Constitución Política, con especial énfasis</w:t>
      </w:r>
      <w:r>
        <w:rPr>
          <w:rFonts w:ascii="Verdana" w:eastAsia="Calibri" w:hAnsi="Verdana" w:cs="Arial"/>
          <w:lang w:val="es-MX"/>
        </w:rPr>
        <w:t>,</w:t>
      </w:r>
      <w:r w:rsidRPr="0060163E">
        <w:rPr>
          <w:rFonts w:ascii="Verdana" w:eastAsia="Calibri" w:hAnsi="Verdana" w:cs="Arial"/>
          <w:lang w:val="es-MX"/>
        </w:rPr>
        <w:t xml:space="preserve"> el de moralidad. Así lo entiende el Consejo de Estado: </w:t>
      </w:r>
    </w:p>
    <w:p w14:paraId="7DAE35C0" w14:textId="77777777" w:rsidR="0040775C" w:rsidRPr="0060163E" w:rsidRDefault="0040775C" w:rsidP="0040775C">
      <w:pPr>
        <w:spacing w:after="0" w:line="276" w:lineRule="auto"/>
        <w:jc w:val="both"/>
        <w:rPr>
          <w:rFonts w:ascii="Verdana" w:eastAsia="Calibri" w:hAnsi="Verdana" w:cs="Arial"/>
          <w:lang w:val="es-MX"/>
        </w:rPr>
      </w:pPr>
    </w:p>
    <w:p w14:paraId="1F511138" w14:textId="77777777" w:rsidR="0040775C" w:rsidRPr="0045272C" w:rsidRDefault="0040775C" w:rsidP="0040775C">
      <w:pPr>
        <w:shd w:val="clear" w:color="auto" w:fill="FFFFFF"/>
        <w:spacing w:after="0" w:line="240" w:lineRule="auto"/>
        <w:ind w:left="709" w:right="709"/>
        <w:jc w:val="both"/>
        <w:rPr>
          <w:rFonts w:ascii="Verdana" w:eastAsia="Calibri" w:hAnsi="Verdana" w:cs="Arial"/>
          <w:sz w:val="20"/>
          <w:szCs w:val="20"/>
          <w:lang w:val="es-ES"/>
        </w:rPr>
      </w:pPr>
      <w:r w:rsidRPr="0045272C">
        <w:rPr>
          <w:rFonts w:ascii="Verdana" w:eastAsia="Calibri" w:hAnsi="Verdana" w:cs="Arial"/>
          <w:sz w:val="20"/>
          <w:szCs w:val="20"/>
          <w:lang w:val="es-ES"/>
        </w:rPr>
        <w:t>“De manera primordial en esta reflexión debe advertirse que la consagración legal de las incompatibilidades e inhabilidades en materia contractual, no es sino desarrollo del Principio de Moralidad que la Constitución Política consagra como uno de los rectores de la Función Administrativa, instituido en el artículo 209 de la Carta, toda vez que este Principio –en su carácter jurídico, ordenador y orientador del derecho– constituye la Finalidad, el Deber Ser, la Razón de Primer Orden en la cual se inspira, justifica y legitima la existencia de las normas que definen y regulan las inhabilidades e incompatibilidades.</w:t>
      </w:r>
    </w:p>
    <w:p w14:paraId="040E5E99" w14:textId="77777777" w:rsidR="0040775C" w:rsidRPr="0045272C" w:rsidRDefault="0040775C" w:rsidP="0040775C">
      <w:pPr>
        <w:shd w:val="clear" w:color="auto" w:fill="FFFFFF"/>
        <w:spacing w:after="0" w:line="240" w:lineRule="auto"/>
        <w:ind w:left="709" w:right="709"/>
        <w:jc w:val="both"/>
        <w:rPr>
          <w:rFonts w:ascii="Verdana" w:eastAsia="Calibri" w:hAnsi="Verdana" w:cs="Arial"/>
          <w:sz w:val="20"/>
          <w:szCs w:val="20"/>
          <w:lang w:val="es-ES"/>
        </w:rPr>
      </w:pPr>
    </w:p>
    <w:p w14:paraId="364FD179" w14:textId="77777777" w:rsidR="0040775C" w:rsidRPr="0045272C" w:rsidRDefault="0040775C" w:rsidP="0040775C">
      <w:pPr>
        <w:shd w:val="clear" w:color="auto" w:fill="FFFFFF"/>
        <w:spacing w:after="0" w:line="240" w:lineRule="auto"/>
        <w:ind w:left="709" w:right="709"/>
        <w:jc w:val="both"/>
        <w:rPr>
          <w:rFonts w:ascii="Verdana" w:eastAsia="Calibri" w:hAnsi="Verdana" w:cs="Arial"/>
          <w:sz w:val="20"/>
          <w:szCs w:val="20"/>
          <w:lang w:val="es-ES"/>
        </w:rPr>
      </w:pPr>
      <w:r w:rsidRPr="0045272C">
        <w:rPr>
          <w:rFonts w:ascii="Verdana" w:eastAsia="Calibri" w:hAnsi="Verdana" w:cs="Arial"/>
          <w:sz w:val="20"/>
          <w:szCs w:val="20"/>
          <w:lang w:val="es-ES"/>
        </w:rPr>
        <w:t xml:space="preserve">Adicionalmente, toda vez que la Jurisprudencia Constitucional se ha referido a la protección del Interés General como causa que legitima la estructuración legal de las incompatibilidades e inhabilidades, se puede precisar que la regulación de sus causales para contratar con el Estado debe orientarse por el Principio de Moralidad que obviamente –como es propio de todos los Principios de la Función Administrativa– se despliega </w:t>
      </w:r>
      <w:r w:rsidRPr="0045272C">
        <w:rPr>
          <w:rFonts w:ascii="Verdana" w:eastAsia="Calibri" w:hAnsi="Verdana" w:cs="Arial"/>
          <w:sz w:val="20"/>
          <w:szCs w:val="20"/>
          <w:lang w:val="es-ES"/>
        </w:rPr>
        <w:lastRenderedPageBreak/>
        <w:t>ordenado con base en la protección prevalente del interés general y, por ello, se entiende que la potestad de configuración legislativa en materia de incompatibilidades e inhabilidades para contratar con el Estado puede concretarse a través de una regla de carácter excluyente para determinados potenciales contratistas, la cual se impone entonces por razón de ese fin de interés general como regla legal prevalente, esto es que puede ser impuesta sobre el derecho individual a contratar con el Estado”</w:t>
      </w:r>
      <w:r w:rsidRPr="0045272C">
        <w:rPr>
          <w:rFonts w:ascii="Verdana" w:eastAsia="Calibri" w:hAnsi="Verdana" w:cs="Arial"/>
          <w:sz w:val="20"/>
          <w:szCs w:val="20"/>
          <w:vertAlign w:val="superscript"/>
          <w:lang w:val="es-ES"/>
        </w:rPr>
        <w:footnoteReference w:id="3"/>
      </w:r>
    </w:p>
    <w:p w14:paraId="2F23EA25" w14:textId="77777777" w:rsidR="0040775C" w:rsidRPr="0045272C" w:rsidRDefault="0040775C" w:rsidP="0040775C">
      <w:pPr>
        <w:shd w:val="clear" w:color="auto" w:fill="FFFFFF"/>
        <w:spacing w:after="0" w:line="240" w:lineRule="auto"/>
        <w:ind w:left="709" w:right="709"/>
        <w:jc w:val="both"/>
        <w:rPr>
          <w:rFonts w:ascii="Verdana" w:eastAsia="Calibri" w:hAnsi="Verdana" w:cs="Arial"/>
          <w:sz w:val="20"/>
          <w:szCs w:val="20"/>
          <w:lang w:val="es-ES"/>
        </w:rPr>
      </w:pPr>
    </w:p>
    <w:p w14:paraId="0FDA6975" w14:textId="77777777" w:rsidR="0040775C" w:rsidRPr="0060163E" w:rsidRDefault="0040775C" w:rsidP="0040775C">
      <w:pPr>
        <w:spacing w:after="0" w:line="276" w:lineRule="auto"/>
        <w:ind w:firstLine="709"/>
        <w:jc w:val="both"/>
        <w:rPr>
          <w:rFonts w:ascii="Verdana" w:eastAsia="Calibri" w:hAnsi="Verdana" w:cs="Arial"/>
          <w:lang w:val="es-MX"/>
        </w:rPr>
      </w:pPr>
      <w:r w:rsidRPr="0060163E">
        <w:rPr>
          <w:rFonts w:ascii="Verdana" w:eastAsia="Calibri" w:hAnsi="Verdana" w:cs="Arial"/>
          <w:lang w:val="es-MX"/>
        </w:rPr>
        <w:t xml:space="preserve">Así las cosas, las inhabilidades son medios que garantizan la transparencia y eficiencia en la actividad contractual del Estado, imponiendo restricciones en la personalidad jurídica, la igualdad, la libre empresa y, particularmente, en el derecho a participar en procesos de selección y celebrar contratos con el Estado. La Corte Constitucional ha reconocido que estas limitaciones deben justificarse en la salvaguarda del interés general y que su interpretación es taxativa y restrictiva: </w:t>
      </w:r>
    </w:p>
    <w:p w14:paraId="490C6314" w14:textId="77777777" w:rsidR="0040775C" w:rsidRPr="004218E1" w:rsidRDefault="0040775C" w:rsidP="0040775C">
      <w:pPr>
        <w:spacing w:after="0" w:line="276" w:lineRule="auto"/>
        <w:rPr>
          <w:rFonts w:ascii="Verdana" w:eastAsia="Times New Roman" w:hAnsi="Verdana" w:cs="Arial"/>
          <w:sz w:val="21"/>
          <w:szCs w:val="21"/>
          <w:shd w:val="clear" w:color="auto" w:fill="FFFFFF"/>
          <w:lang w:eastAsia="es-ES_tradnl"/>
        </w:rPr>
      </w:pPr>
    </w:p>
    <w:p w14:paraId="7B41CB3B" w14:textId="77777777" w:rsidR="0040775C" w:rsidRPr="0045272C" w:rsidRDefault="0040775C" w:rsidP="0040775C">
      <w:pPr>
        <w:spacing w:after="0" w:line="240" w:lineRule="auto"/>
        <w:ind w:left="709" w:right="709"/>
        <w:jc w:val="both"/>
        <w:rPr>
          <w:rFonts w:ascii="Verdana" w:eastAsia="Calibri" w:hAnsi="Verdana" w:cs="Arial"/>
          <w:sz w:val="20"/>
          <w:szCs w:val="20"/>
          <w:lang w:val="es-MX"/>
        </w:rPr>
      </w:pPr>
      <w:r w:rsidRPr="0045272C">
        <w:rPr>
          <w:rFonts w:ascii="Verdana" w:eastAsia="Calibri" w:hAnsi="Verdana" w:cs="Arial"/>
          <w:sz w:val="20"/>
          <w:szCs w:val="20"/>
          <w:lang w:val="es-MX"/>
        </w:rPr>
        <w:t>“Todo régimen de inhabilidades e incompatibilidades de suyo excluye a ciertas categorías de personas del proceso de contratación, generando incapacidades especiales, impedimentos y prohibiciones de variada naturaleza, que en cierta medida afectan el derecho a la personalidad jurídica traducido, a su turno, en el principio general de capacidad legal [CC arts. 1502 y 1503; ley 80 de 1993, art. 6]. De ordinario, como ocurre en la contratación estatal, la inobservancia del régimen de inhabilidades e incompatibilidades, se erige en causal de nulidad del contrato celebrado en esas condiciones (ley 80 de 1993, art. 44).</w:t>
      </w:r>
    </w:p>
    <w:p w14:paraId="261E95E3" w14:textId="77777777" w:rsidR="0040775C" w:rsidRPr="0045272C" w:rsidRDefault="0040775C" w:rsidP="0040775C">
      <w:pPr>
        <w:spacing w:after="0" w:line="240" w:lineRule="auto"/>
        <w:ind w:left="709" w:right="709"/>
        <w:jc w:val="both"/>
        <w:rPr>
          <w:rFonts w:ascii="Verdana" w:eastAsia="Calibri" w:hAnsi="Verdana" w:cs="Arial"/>
          <w:sz w:val="20"/>
          <w:szCs w:val="20"/>
          <w:lang w:val="es-MX"/>
        </w:rPr>
      </w:pPr>
    </w:p>
    <w:p w14:paraId="7E68FE40" w14:textId="77777777" w:rsidR="0040775C" w:rsidRPr="0045272C" w:rsidRDefault="0040775C" w:rsidP="0040775C">
      <w:pPr>
        <w:spacing w:after="0" w:line="240" w:lineRule="auto"/>
        <w:ind w:left="709" w:right="709"/>
        <w:jc w:val="both"/>
        <w:rPr>
          <w:rFonts w:ascii="Verdana" w:eastAsia="Calibri" w:hAnsi="Verdana" w:cs="Arial"/>
          <w:sz w:val="20"/>
          <w:szCs w:val="20"/>
          <w:lang w:val="es-MX"/>
        </w:rPr>
      </w:pPr>
      <w:r w:rsidRPr="0045272C">
        <w:rPr>
          <w:rFonts w:ascii="Verdana" w:eastAsia="Calibri" w:hAnsi="Verdana" w:cs="Arial"/>
          <w:sz w:val="20"/>
          <w:szCs w:val="20"/>
          <w:lang w:val="es-MX"/>
        </w:rPr>
        <w:t>El carácter reconocidamente taxativo y restrictivo de este régimen y el de las correlativas nulidades, obedece a la necesidad de salvaguardar el interés general ínsito en la contratación pública de manera que implique el menor sacrificio posible al derecho de igualdad y de reconocimiento de la personalidad jurídica de quienes aspiran a contratar con el Estado. Es evidente que si la restricción legal [incompatibilidad o inhabilidad] no se sustenta en ninguna necesidad de protección del interés general o ésta es irrazonable o desproporcionada, en esa misma medida pierde justificación constitucional como medio legítimo para restringir, en ese caso, el derecho a la igualdad y el reconocimiento de la personalidad jurídica de las personas que resultan rechazadas del ámbito contractual del Estado”</w:t>
      </w:r>
      <w:r w:rsidRPr="0045272C">
        <w:rPr>
          <w:rFonts w:ascii="Verdana" w:eastAsia="Calibri" w:hAnsi="Verdana" w:cs="Arial"/>
          <w:sz w:val="20"/>
          <w:szCs w:val="20"/>
          <w:vertAlign w:val="superscript"/>
          <w:lang w:val="es-MX"/>
        </w:rPr>
        <w:footnoteReference w:id="4"/>
      </w:r>
      <w:r w:rsidRPr="0045272C">
        <w:rPr>
          <w:rFonts w:ascii="Verdana" w:eastAsia="Calibri" w:hAnsi="Verdana" w:cs="Arial"/>
          <w:sz w:val="20"/>
          <w:szCs w:val="20"/>
          <w:lang w:val="es-MX"/>
        </w:rPr>
        <w:t xml:space="preserve">. </w:t>
      </w:r>
    </w:p>
    <w:p w14:paraId="1CEEE6D2" w14:textId="77777777" w:rsidR="0040775C" w:rsidRPr="0045272C" w:rsidRDefault="0040775C" w:rsidP="0040775C">
      <w:pPr>
        <w:spacing w:after="0" w:line="276" w:lineRule="auto"/>
        <w:ind w:right="709"/>
        <w:jc w:val="both"/>
        <w:rPr>
          <w:rFonts w:ascii="Verdana" w:eastAsia="Calibri" w:hAnsi="Verdana" w:cs="Arial"/>
          <w:sz w:val="20"/>
          <w:szCs w:val="20"/>
          <w:lang w:val="es-MX"/>
        </w:rPr>
      </w:pPr>
    </w:p>
    <w:p w14:paraId="1419CCA6" w14:textId="77777777" w:rsidR="0040775C" w:rsidRPr="0060163E" w:rsidRDefault="0040775C" w:rsidP="0040775C">
      <w:pPr>
        <w:spacing w:after="0" w:line="276" w:lineRule="auto"/>
        <w:ind w:firstLine="709"/>
        <w:jc w:val="both"/>
        <w:rPr>
          <w:rFonts w:ascii="Verdana" w:eastAsia="Calibri" w:hAnsi="Verdana" w:cs="Arial"/>
          <w:lang w:val="es-MX"/>
        </w:rPr>
      </w:pPr>
      <w:r w:rsidRPr="0060163E">
        <w:rPr>
          <w:rFonts w:ascii="Verdana" w:eastAsia="Calibri" w:hAnsi="Verdana" w:cs="Arial"/>
          <w:lang w:val="es-MX"/>
        </w:rPr>
        <w:t>Además, la Corte Constitucional explica que el legislador tiene la competencia para determinar qué hechos o situaciones generan inhabilidad para contratar, pues este régimen es un aspecto propio del Estatuto General de Contratación de la Administración Pública – en adelante EGCAP –, cuya expedición compete al Congreso de la República a la luz del artículo 150 de la Constitución Política, y que en esta materia rige el principio de legalidad:</w:t>
      </w:r>
    </w:p>
    <w:p w14:paraId="3CCCC549" w14:textId="77777777" w:rsidR="0040775C" w:rsidRPr="0060163E" w:rsidRDefault="0040775C" w:rsidP="0040775C">
      <w:pPr>
        <w:tabs>
          <w:tab w:val="left" w:pos="1532"/>
        </w:tabs>
        <w:spacing w:after="0" w:line="276" w:lineRule="auto"/>
        <w:jc w:val="both"/>
        <w:rPr>
          <w:rFonts w:ascii="Verdana" w:eastAsia="Calibri" w:hAnsi="Verdana" w:cs="Arial"/>
          <w:lang w:val="es-MX"/>
        </w:rPr>
      </w:pPr>
    </w:p>
    <w:p w14:paraId="16B95837" w14:textId="77777777" w:rsidR="0040775C" w:rsidRPr="0045272C" w:rsidRDefault="0040775C" w:rsidP="0040775C">
      <w:pPr>
        <w:spacing w:after="0" w:line="240" w:lineRule="auto"/>
        <w:ind w:left="709" w:right="709"/>
        <w:jc w:val="both"/>
        <w:rPr>
          <w:rFonts w:ascii="Verdana" w:eastAsia="Calibri" w:hAnsi="Verdana" w:cs="Arial"/>
          <w:sz w:val="20"/>
          <w:szCs w:val="20"/>
          <w:lang w:val="es-MX"/>
        </w:rPr>
      </w:pPr>
      <w:r w:rsidRPr="0045272C">
        <w:rPr>
          <w:rFonts w:ascii="Verdana" w:eastAsia="Calibri" w:hAnsi="Verdana" w:cs="Arial"/>
          <w:sz w:val="20"/>
          <w:szCs w:val="20"/>
          <w:lang w:val="es-MX"/>
        </w:rPr>
        <w:t xml:space="preserve">“Las limitaciones y restricciones que se contienen en el citado estatuto, predicables de la relación Estado-particulares y que afectan los diversos momentos de formación, celebración y ejecución de los contratos estatales, se refieren a una faceta de la actividad del Estado y en la que se contempla, en los términos de la ley, una especial modalidad de participación o colaboración de los particulares en su papel de contratistas. La ley demandada recae sobre una materia que pertenece al dominio de la esfera estatal y pública, dentro de la cual no rige el principio pro libertate, sino el de legalidad, el que ordena que la función pública debe someterse estrictamente a lo que disponga la Constitución y la ley (CP art. 6). </w:t>
      </w:r>
    </w:p>
    <w:p w14:paraId="5F79EF86" w14:textId="77777777" w:rsidR="0040775C" w:rsidRPr="0045272C" w:rsidRDefault="0040775C" w:rsidP="0040775C">
      <w:pPr>
        <w:spacing w:after="0" w:line="240" w:lineRule="auto"/>
        <w:ind w:left="709" w:right="709"/>
        <w:jc w:val="both"/>
        <w:rPr>
          <w:rFonts w:ascii="Verdana" w:eastAsia="Calibri" w:hAnsi="Verdana" w:cs="Arial"/>
          <w:sz w:val="20"/>
          <w:szCs w:val="20"/>
          <w:lang w:val="es-MX"/>
        </w:rPr>
      </w:pPr>
      <w:r w:rsidRPr="0045272C">
        <w:rPr>
          <w:rFonts w:ascii="Verdana" w:eastAsia="Calibri" w:hAnsi="Verdana" w:cs="Arial"/>
          <w:sz w:val="20"/>
          <w:szCs w:val="20"/>
          <w:lang w:val="es-MX"/>
        </w:rPr>
        <w:t xml:space="preserve">[…] </w:t>
      </w:r>
    </w:p>
    <w:p w14:paraId="63E6D4B3" w14:textId="77777777" w:rsidR="0040775C" w:rsidRPr="0045272C" w:rsidRDefault="0040775C" w:rsidP="0040775C">
      <w:pPr>
        <w:spacing w:after="0" w:line="240" w:lineRule="auto"/>
        <w:ind w:left="709" w:right="709"/>
        <w:jc w:val="both"/>
        <w:rPr>
          <w:rFonts w:ascii="Verdana" w:eastAsia="Calibri" w:hAnsi="Verdana" w:cs="Arial"/>
          <w:sz w:val="20"/>
          <w:szCs w:val="20"/>
          <w:lang w:val="es-MX"/>
        </w:rPr>
      </w:pPr>
      <w:r w:rsidRPr="0045272C">
        <w:rPr>
          <w:rFonts w:ascii="Verdana" w:eastAsia="Calibri" w:hAnsi="Verdana" w:cs="Arial"/>
          <w:sz w:val="20"/>
          <w:szCs w:val="20"/>
          <w:lang w:val="es-MX"/>
        </w:rPr>
        <w:t>Se comprende con facilidad que el régimen de inhabilidades e incompatibilidades, corresponde a una materia de normal y obligada inclusión en un estatuto contractual. El legislador, a quien se ha confiado expedir el indicado estatuto, tiene, pues, competencia para establecerlo (CP art. 150)”</w:t>
      </w:r>
      <w:r w:rsidRPr="0045272C">
        <w:rPr>
          <w:rFonts w:ascii="Verdana" w:eastAsia="Calibri" w:hAnsi="Verdana" w:cs="Arial"/>
          <w:sz w:val="20"/>
          <w:szCs w:val="20"/>
          <w:vertAlign w:val="superscript"/>
          <w:lang w:val="es-MX"/>
        </w:rPr>
        <w:footnoteReference w:id="5"/>
      </w:r>
      <w:r w:rsidRPr="0045272C">
        <w:rPr>
          <w:rFonts w:ascii="Verdana" w:eastAsia="Calibri" w:hAnsi="Verdana" w:cs="Arial"/>
          <w:sz w:val="20"/>
          <w:szCs w:val="20"/>
          <w:lang w:val="es-MX"/>
        </w:rPr>
        <w:t>.</w:t>
      </w:r>
    </w:p>
    <w:p w14:paraId="297ABBE2" w14:textId="77777777" w:rsidR="0040775C" w:rsidRPr="0045272C" w:rsidRDefault="0040775C" w:rsidP="0040775C">
      <w:pPr>
        <w:spacing w:after="0" w:line="276" w:lineRule="auto"/>
        <w:ind w:left="709" w:right="709"/>
        <w:jc w:val="both"/>
        <w:rPr>
          <w:rFonts w:ascii="Verdana" w:eastAsia="Calibri" w:hAnsi="Verdana" w:cs="Arial"/>
          <w:sz w:val="20"/>
          <w:szCs w:val="20"/>
          <w:lang w:val="es-MX"/>
        </w:rPr>
      </w:pPr>
    </w:p>
    <w:p w14:paraId="6486934F" w14:textId="77777777" w:rsidR="0040775C" w:rsidRPr="0060163E" w:rsidRDefault="0040775C" w:rsidP="0040775C">
      <w:pPr>
        <w:spacing w:after="120" w:line="276" w:lineRule="auto"/>
        <w:ind w:firstLine="709"/>
        <w:jc w:val="both"/>
        <w:rPr>
          <w:rFonts w:ascii="Verdana" w:eastAsia="Calibri" w:hAnsi="Verdana" w:cs="Arial"/>
          <w:lang w:val="es-MX"/>
        </w:rPr>
      </w:pPr>
      <w:r w:rsidRPr="0060163E">
        <w:rPr>
          <w:rFonts w:ascii="Verdana" w:eastAsia="Calibri" w:hAnsi="Verdana" w:cs="Arial"/>
          <w:lang w:val="es-MX"/>
        </w:rPr>
        <w:t>Conviene también distinguir las fuentes de las inhabilidades, las cuales han sido clasificadas en dos (2) grupos: i) inhabilidades-sanción y ii) inhabilidades-requisito. En el primer grupo se encuentran las inhabilidades que surgen como consecuencia de un proceso sancionatorio, en los ámbitos penal, disciplinario, contravencional o de pérdida de investidura. En el segundo grupo están aquellas que no devienen de un proceso sancionatorio, sino de condiciones propias de la persona y garantizan la moralidad, la imparcialidad, la eficacia y la transparencia</w:t>
      </w:r>
      <w:r w:rsidRPr="0060163E">
        <w:rPr>
          <w:rFonts w:ascii="Verdana" w:eastAsia="Calibri" w:hAnsi="Verdana" w:cs="Arial"/>
          <w:vertAlign w:val="superscript"/>
          <w:lang w:val="es-MX"/>
        </w:rPr>
        <w:footnoteReference w:id="6"/>
      </w:r>
      <w:r w:rsidRPr="0060163E">
        <w:rPr>
          <w:rFonts w:ascii="Verdana" w:eastAsia="Calibri" w:hAnsi="Verdana" w:cs="Arial"/>
          <w:lang w:val="es-MX"/>
        </w:rPr>
        <w:t>.</w:t>
      </w:r>
    </w:p>
    <w:p w14:paraId="19CE1F1C" w14:textId="77777777" w:rsidR="0040775C" w:rsidRPr="0060163E" w:rsidRDefault="0040775C" w:rsidP="0040775C">
      <w:pPr>
        <w:spacing w:before="120" w:after="120" w:line="276" w:lineRule="auto"/>
        <w:ind w:firstLine="708"/>
        <w:jc w:val="both"/>
        <w:rPr>
          <w:rFonts w:ascii="Verdana" w:eastAsia="Calibri" w:hAnsi="Verdana" w:cs="Arial"/>
          <w:lang w:val="es-MX"/>
        </w:rPr>
      </w:pPr>
      <w:r w:rsidRPr="0060163E">
        <w:rPr>
          <w:rFonts w:ascii="Verdana" w:eastAsia="Calibri" w:hAnsi="Verdana" w:cs="Arial"/>
          <w:lang w:val="es-MX"/>
        </w:rPr>
        <w:lastRenderedPageBreak/>
        <w:t>A manera de ejemplo, en materia contractual, los literales c), d) y j) del numeral 1 del artículo 8 de la Ley 80 de 1993</w:t>
      </w:r>
      <w:r w:rsidRPr="0060163E">
        <w:rPr>
          <w:rFonts w:ascii="Verdana" w:eastAsia="Calibri" w:hAnsi="Verdana" w:cs="Arial"/>
          <w:vertAlign w:val="superscript"/>
          <w:lang w:val="es-MX"/>
        </w:rPr>
        <w:footnoteReference w:id="7"/>
      </w:r>
      <w:r w:rsidRPr="0060163E">
        <w:rPr>
          <w:rFonts w:ascii="Verdana" w:eastAsia="Calibri" w:hAnsi="Verdana" w:cs="Arial"/>
          <w:lang w:val="es-MX"/>
        </w:rPr>
        <w:t xml:space="preserve"> establecen inhabilidades-sanción, </w:t>
      </w:r>
      <w:r w:rsidRPr="0060163E">
        <w:rPr>
          <w:rFonts w:ascii="Verdana" w:eastAsia="Calibri" w:hAnsi="Verdana" w:cs="Arial"/>
          <w:lang w:val="es-MX"/>
        </w:rPr>
        <w:lastRenderedPageBreak/>
        <w:t xml:space="preserve">porque la prohibición para contratar con el Estado en esos eventos es una consecuencia de una declaratoria de responsabilidad que surge luego de un proceso sancionatorio –administrativo, disciplinario o penal–; mientras que las inhabilidades de los literales f), g) y h) del numeral 1° de la norma citada establecen inhabilidades–requisito, pues no se configuran por la comisión previa de una falta o un delito que dio lugar a una declaratoria por parte de la Administración o el juez, sino de aspectos propios de la persona, derivados, por ejemplo, del parentesco o la afinidad o de la condición de servidor público. </w:t>
      </w:r>
    </w:p>
    <w:p w14:paraId="138C2DBF" w14:textId="77777777" w:rsidR="0040775C" w:rsidRPr="0060163E" w:rsidRDefault="0040775C" w:rsidP="0040775C">
      <w:pPr>
        <w:spacing w:before="120" w:after="120" w:line="276" w:lineRule="auto"/>
        <w:ind w:firstLine="709"/>
        <w:jc w:val="both"/>
        <w:rPr>
          <w:rFonts w:ascii="Verdana" w:eastAsia="Calibri" w:hAnsi="Verdana" w:cs="Arial"/>
          <w:lang w:val="es-MX"/>
        </w:rPr>
      </w:pPr>
      <w:r w:rsidRPr="0060163E">
        <w:rPr>
          <w:rFonts w:ascii="Verdana" w:eastAsia="Calibri" w:hAnsi="Verdana" w:cs="Arial"/>
          <w:lang w:val="es-MX"/>
        </w:rPr>
        <w:t xml:space="preserve">En ambos eventos, la inhabilidad tiene como fuente una situación o un hecho propio del proponente –una conducta o una condición– ajena a la oferta. La inhabilidad surge, entre otros, por su grado de parentesco o afinidad, por su condición de servidor público o por una declaratoria de responsabilidad penal, disciplinaria o sancionatoria contractual sobre él. </w:t>
      </w:r>
    </w:p>
    <w:p w14:paraId="03C3B130" w14:textId="77777777" w:rsidR="0040775C" w:rsidRPr="0060163E" w:rsidRDefault="0040775C" w:rsidP="0040775C">
      <w:pPr>
        <w:spacing w:before="120" w:after="120" w:line="276" w:lineRule="auto"/>
        <w:ind w:firstLine="709"/>
        <w:jc w:val="both"/>
        <w:rPr>
          <w:rFonts w:ascii="Verdana" w:eastAsia="Calibri" w:hAnsi="Verdana" w:cs="Arial"/>
          <w:lang w:val="es-ES_tradnl"/>
        </w:rPr>
      </w:pPr>
      <w:r w:rsidRPr="0060163E">
        <w:rPr>
          <w:rFonts w:ascii="Verdana" w:eastAsia="Calibri" w:hAnsi="Verdana" w:cs="Arial"/>
          <w:lang w:val="es-ES_tradnl"/>
        </w:rPr>
        <w:t xml:space="preserve">Ahora bien, las inhabilidades e incompatibilidades al ser restricciones o límites especiales a la capacidad para presentar ofertas y celebrar contratos estatales, solo pueden tipificarse en la ley o la Constitución –o sea, deben satisfacer el principio de legalidad– y su interpretación debe ser </w:t>
      </w:r>
      <w:r w:rsidRPr="0060163E">
        <w:rPr>
          <w:rFonts w:ascii="Verdana" w:eastAsia="Calibri" w:hAnsi="Verdana" w:cs="Arial"/>
          <w:i/>
          <w:iCs/>
          <w:lang w:val="es-ES_tradnl"/>
        </w:rPr>
        <w:t>restrictiva</w:t>
      </w:r>
      <w:r w:rsidRPr="0060163E">
        <w:rPr>
          <w:rFonts w:ascii="Verdana" w:eastAsia="Calibri" w:hAnsi="Verdana" w:cs="Arial"/>
          <w:i/>
          <w:iCs/>
          <w:vertAlign w:val="superscript"/>
          <w:lang w:val="es-ES_tradnl"/>
        </w:rPr>
        <w:footnoteReference w:id="8"/>
      </w:r>
      <w:r w:rsidRPr="0060163E">
        <w:rPr>
          <w:rFonts w:ascii="Verdana" w:eastAsia="Calibri" w:hAnsi="Verdana" w:cs="Arial"/>
          <w:i/>
          <w:iCs/>
          <w:lang w:val="es-ES_tradnl"/>
        </w:rPr>
        <w:t xml:space="preserve">, </w:t>
      </w:r>
      <w:r w:rsidRPr="0060163E">
        <w:rPr>
          <w:rFonts w:ascii="Verdana" w:eastAsia="Calibri" w:hAnsi="Verdana" w:cs="Arial"/>
          <w:lang w:val="es-ES_tradnl"/>
        </w:rPr>
        <w:t xml:space="preserve">pues si se admitiera una interpretación amplia, extensiva o finalista de las mismas, tales enunciados normativos contemplarían múltiples supuestos indeterminados, según el parecer o el sentido común de los operadores jurídicos, poniendo en riesgo principios como la igualdad, el debido proceso, la seguridad jurídica, la </w:t>
      </w:r>
      <w:r w:rsidRPr="0060163E">
        <w:rPr>
          <w:rFonts w:ascii="Verdana" w:eastAsia="Calibri" w:hAnsi="Verdana" w:cs="Arial"/>
          <w:lang w:val="es-ES_tradnl"/>
        </w:rPr>
        <w:lastRenderedPageBreak/>
        <w:t xml:space="preserve">libre concurrencia y el ejercicio de la profesión u oficio. Tal ha sido la postura al interior de la jurisprudencia, tanto de la Corte Constitucional como de la Sección Tercera del Consejo de Estado. </w:t>
      </w:r>
    </w:p>
    <w:p w14:paraId="057125C7" w14:textId="77777777" w:rsidR="0040775C" w:rsidRPr="0060163E" w:rsidRDefault="0040775C" w:rsidP="0040775C">
      <w:pPr>
        <w:spacing w:after="120" w:line="276" w:lineRule="auto"/>
        <w:ind w:firstLine="709"/>
        <w:jc w:val="both"/>
        <w:rPr>
          <w:rFonts w:ascii="Verdana" w:eastAsia="Calibri" w:hAnsi="Verdana" w:cs="Arial"/>
          <w:lang w:val="es-ES_tradnl"/>
        </w:rPr>
      </w:pPr>
      <w:r w:rsidRPr="0060163E">
        <w:rPr>
          <w:rFonts w:ascii="Verdana" w:eastAsia="Calibri" w:hAnsi="Verdana" w:cs="Arial"/>
          <w:lang w:val="es-ES_tradnl"/>
        </w:rPr>
        <w:t>En efecto, el máximo tribunal constitucional ha indicado, al tratar de precisar el sentido de este tipo de normas, que “[…] el intérprete de las disposiciones legislativas en la materia ha de ceñirse en la mayor medida posible al tenor literal y gramatical de los enunciados normativos, sin que pueda acudir prima facie a criterios interpretativos tales como la analogía, la interpretación extensiva para ampliar el alcance de las causales legalmente fijadas”</w:t>
      </w:r>
      <w:r w:rsidRPr="0060163E">
        <w:rPr>
          <w:rFonts w:ascii="Verdana" w:eastAsia="Calibri" w:hAnsi="Verdana" w:cs="Arial"/>
          <w:vertAlign w:val="superscript"/>
          <w:lang w:val="es-ES_tradnl"/>
        </w:rPr>
        <w:footnoteReference w:id="9"/>
      </w:r>
      <w:r w:rsidRPr="0060163E">
        <w:rPr>
          <w:rFonts w:ascii="Verdana" w:eastAsia="Calibri" w:hAnsi="Verdana" w:cs="Arial"/>
          <w:lang w:val="es-ES_tradnl"/>
        </w:rPr>
        <w:t xml:space="preserve">. </w:t>
      </w:r>
    </w:p>
    <w:p w14:paraId="60C304A1" w14:textId="77777777" w:rsidR="0040775C" w:rsidRPr="0060163E" w:rsidRDefault="0040775C" w:rsidP="0040775C">
      <w:pPr>
        <w:spacing w:after="0" w:line="276" w:lineRule="auto"/>
        <w:ind w:firstLine="709"/>
        <w:jc w:val="both"/>
        <w:rPr>
          <w:rFonts w:ascii="Verdana" w:eastAsia="Calibri" w:hAnsi="Verdana" w:cs="Arial"/>
          <w:lang w:val="es-ES_tradnl"/>
        </w:rPr>
      </w:pPr>
      <w:r w:rsidRPr="0060163E">
        <w:rPr>
          <w:rFonts w:ascii="Verdana" w:eastAsia="Calibri" w:hAnsi="Verdana" w:cs="Arial"/>
          <w:lang w:val="es-ES_tradnl"/>
        </w:rPr>
        <w:t>Por su parte, el Consejo de Estado ha acogido también este criterio, considerando –como expresa la Sala de Consulta y Servicio Civil–, que “La interpretación restrictiva de las normas que establecen inhabilidades constituye una aplicación del principio del Estado de Derecho previsto en el artículo 6º de la Constitución, según el cual “Los particulares sólo son responsables ante las autoridades por infringir la Constitución y las leyes” lo que se traduce en que pueden hacer todo aquello que no les esté expresamente prohibido”</w:t>
      </w:r>
      <w:r w:rsidRPr="0060163E">
        <w:rPr>
          <w:rFonts w:ascii="Verdana" w:eastAsia="Calibri" w:hAnsi="Verdana" w:cs="Arial"/>
          <w:vertAlign w:val="superscript"/>
          <w:lang w:val="es-ES_tradnl"/>
        </w:rPr>
        <w:footnoteReference w:id="10"/>
      </w:r>
      <w:r w:rsidRPr="0060163E">
        <w:rPr>
          <w:rFonts w:ascii="Verdana" w:eastAsia="Calibri" w:hAnsi="Verdana" w:cs="Arial"/>
          <w:lang w:val="es-ES_tradnl"/>
        </w:rPr>
        <w:t>. En tal sentido, la Sección Tercera ha señalado que:</w:t>
      </w:r>
    </w:p>
    <w:p w14:paraId="34957D50" w14:textId="77777777" w:rsidR="0040775C" w:rsidRPr="0060163E" w:rsidRDefault="0040775C" w:rsidP="0040775C">
      <w:pPr>
        <w:spacing w:after="0" w:line="276" w:lineRule="auto"/>
        <w:ind w:firstLine="709"/>
        <w:jc w:val="both"/>
        <w:rPr>
          <w:rFonts w:ascii="Verdana" w:eastAsia="Calibri" w:hAnsi="Verdana" w:cs="Arial"/>
          <w:lang w:val="es-ES_tradnl"/>
        </w:rPr>
      </w:pPr>
    </w:p>
    <w:p w14:paraId="65F54452" w14:textId="77777777" w:rsidR="0040775C" w:rsidRPr="0045272C" w:rsidRDefault="0040775C" w:rsidP="0040775C">
      <w:pPr>
        <w:spacing w:after="0" w:line="240" w:lineRule="auto"/>
        <w:ind w:left="709" w:right="709"/>
        <w:jc w:val="both"/>
        <w:rPr>
          <w:rFonts w:ascii="Verdana" w:eastAsia="Calibri" w:hAnsi="Verdana" w:cs="Arial"/>
          <w:sz w:val="20"/>
          <w:szCs w:val="20"/>
          <w:lang w:val="es-ES_tradnl"/>
        </w:rPr>
      </w:pPr>
      <w:r w:rsidRPr="0045272C">
        <w:rPr>
          <w:rFonts w:ascii="Verdana" w:eastAsia="Calibri" w:hAnsi="Verdana" w:cs="Arial"/>
          <w:sz w:val="20"/>
          <w:szCs w:val="20"/>
          <w:lang w:val="es-ES_tradnl"/>
        </w:rPr>
        <w:t>“[…] de conformidad con la jurisprudencia uniforme y reiterada de esta Corporación, la aplicación de las normas que contemplan inhabilidades e incompatibilidades, como en general de todas aquellas que comportan prohibiciones o limitaciones, deben responder a una interpretación restrictiva que no permite su extensión, por vía de la figura de la analogía, a supuestos no contemplados por el ordenamiento</w:t>
      </w:r>
      <w:r w:rsidRPr="0045272C">
        <w:rPr>
          <w:rFonts w:ascii="Verdana" w:eastAsia="Calibri" w:hAnsi="Verdana" w:cs="Arial"/>
          <w:sz w:val="20"/>
          <w:szCs w:val="20"/>
          <w:vertAlign w:val="superscript"/>
          <w:lang w:val="es-ES_tradnl"/>
        </w:rPr>
        <w:footnoteReference w:id="11"/>
      </w:r>
      <w:r w:rsidRPr="0045272C">
        <w:rPr>
          <w:rFonts w:ascii="Verdana" w:eastAsia="Calibri" w:hAnsi="Verdana" w:cs="Arial"/>
          <w:sz w:val="20"/>
          <w:szCs w:val="20"/>
          <w:lang w:val="es-ES_tradnl"/>
        </w:rPr>
        <w:t>.</w:t>
      </w:r>
    </w:p>
    <w:p w14:paraId="0D4AEAF7" w14:textId="77777777" w:rsidR="0040775C" w:rsidRPr="0045272C" w:rsidRDefault="0040775C" w:rsidP="0040775C">
      <w:pPr>
        <w:spacing w:after="0" w:line="240" w:lineRule="auto"/>
        <w:ind w:firstLine="709"/>
        <w:jc w:val="both"/>
        <w:rPr>
          <w:rFonts w:ascii="Verdana" w:eastAsia="Calibri" w:hAnsi="Verdana" w:cs="Arial"/>
          <w:sz w:val="20"/>
          <w:szCs w:val="20"/>
          <w:lang w:val="es-ES_tradnl"/>
        </w:rPr>
      </w:pPr>
    </w:p>
    <w:p w14:paraId="0E24ABCC" w14:textId="77777777" w:rsidR="0040775C" w:rsidRPr="0045272C" w:rsidRDefault="0040775C" w:rsidP="0040775C">
      <w:pPr>
        <w:spacing w:after="0" w:line="240" w:lineRule="auto"/>
        <w:ind w:firstLine="709"/>
        <w:jc w:val="both"/>
        <w:rPr>
          <w:rFonts w:ascii="Verdana" w:eastAsia="Calibri" w:hAnsi="Verdana" w:cs="Arial"/>
          <w:sz w:val="20"/>
          <w:szCs w:val="20"/>
          <w:lang w:val="es-ES_tradnl"/>
        </w:rPr>
      </w:pPr>
      <w:r w:rsidRPr="0045272C">
        <w:rPr>
          <w:rFonts w:ascii="Verdana" w:eastAsia="Calibri" w:hAnsi="Verdana" w:cs="Arial"/>
          <w:sz w:val="20"/>
          <w:szCs w:val="20"/>
          <w:lang w:val="es-ES_tradnl"/>
        </w:rPr>
        <w:t>También ha dicho que:</w:t>
      </w:r>
    </w:p>
    <w:p w14:paraId="2FDF6F14" w14:textId="77777777" w:rsidR="0040775C" w:rsidRPr="0045272C" w:rsidRDefault="0040775C" w:rsidP="0040775C">
      <w:pPr>
        <w:spacing w:after="0" w:line="240" w:lineRule="auto"/>
        <w:ind w:left="709" w:right="616"/>
        <w:jc w:val="both"/>
        <w:rPr>
          <w:rFonts w:ascii="Verdana" w:eastAsia="Calibri" w:hAnsi="Verdana" w:cs="Arial"/>
          <w:sz w:val="20"/>
          <w:szCs w:val="20"/>
          <w:lang w:val="es-ES"/>
        </w:rPr>
      </w:pPr>
      <w:r w:rsidRPr="0045272C">
        <w:rPr>
          <w:rFonts w:ascii="Verdana" w:eastAsia="Calibri" w:hAnsi="Verdana" w:cs="Arial"/>
          <w:sz w:val="20"/>
          <w:szCs w:val="20"/>
          <w:lang w:val="es-ES"/>
        </w:rPr>
        <w:t xml:space="preserve">[…] la aplicación de estos preceptos exige una interpretación restrictiva, dado que según el principio hermenéutico </w:t>
      </w:r>
      <w:r w:rsidRPr="0045272C">
        <w:rPr>
          <w:rFonts w:ascii="Verdana" w:eastAsia="Calibri" w:hAnsi="Verdana" w:cs="Arial"/>
          <w:i/>
          <w:iCs/>
          <w:sz w:val="20"/>
          <w:szCs w:val="20"/>
          <w:lang w:val="es-ES"/>
        </w:rPr>
        <w:t>pro libertate</w:t>
      </w:r>
      <w:r w:rsidRPr="0045272C">
        <w:rPr>
          <w:rFonts w:ascii="Verdana" w:eastAsia="Calibri" w:hAnsi="Verdana" w:cs="Arial"/>
          <w:sz w:val="20"/>
          <w:szCs w:val="20"/>
          <w:lang w:val="es-ES"/>
        </w:rPr>
        <w:t xml:space="preserve">, entre varias interpretaciones posibles de una norma que regula una inhabilidad, debe preferirse aquella que menos limita el derecho de las personas; en otros </w:t>
      </w:r>
      <w:r w:rsidRPr="0045272C">
        <w:rPr>
          <w:rFonts w:ascii="Verdana" w:eastAsia="Calibri" w:hAnsi="Verdana" w:cs="Arial"/>
          <w:sz w:val="20"/>
          <w:szCs w:val="20"/>
          <w:lang w:val="es-ES"/>
        </w:rPr>
        <w:lastRenderedPageBreak/>
        <w:t>términos, se encuentra prohibida constitucionalmente la interpretación extensiva de las causales de inhabilidad, toda vez que las palabras de la ley son la frontera que no se puede traspasar en el ejercicio hermenéutico de las mismas, pues de hacerlo se vulnerarían los derechos fundamentales al debido proceso (art. 29 CN) y a la igualdad (art. 13 Ibid.); […]”</w:t>
      </w:r>
      <w:r w:rsidRPr="0045272C">
        <w:rPr>
          <w:rFonts w:ascii="Verdana" w:eastAsia="Calibri" w:hAnsi="Verdana" w:cs="Arial"/>
          <w:sz w:val="20"/>
          <w:szCs w:val="20"/>
          <w:vertAlign w:val="superscript"/>
          <w:lang w:val="es-ES"/>
        </w:rPr>
        <w:footnoteReference w:id="12"/>
      </w:r>
      <w:r w:rsidRPr="0045272C">
        <w:rPr>
          <w:rFonts w:ascii="Verdana" w:eastAsia="Calibri" w:hAnsi="Verdana" w:cs="Arial"/>
          <w:sz w:val="20"/>
          <w:szCs w:val="20"/>
          <w:lang w:val="es-ES"/>
        </w:rPr>
        <w:t>.</w:t>
      </w:r>
    </w:p>
    <w:p w14:paraId="29B50E0F" w14:textId="77777777" w:rsidR="0040775C" w:rsidRPr="0045272C" w:rsidRDefault="0040775C" w:rsidP="0040775C">
      <w:pPr>
        <w:spacing w:after="0" w:line="276" w:lineRule="auto"/>
        <w:jc w:val="both"/>
        <w:rPr>
          <w:rFonts w:ascii="Verdana" w:eastAsia="Arial" w:hAnsi="Verdana" w:cs="Arial"/>
          <w:color w:val="000000"/>
          <w:sz w:val="20"/>
          <w:szCs w:val="20"/>
          <w:lang w:val="es-ES_tradnl"/>
        </w:rPr>
      </w:pPr>
    </w:p>
    <w:p w14:paraId="21E92D58" w14:textId="77777777" w:rsidR="0040775C" w:rsidRPr="0060163E" w:rsidRDefault="0040775C" w:rsidP="0040775C">
      <w:pPr>
        <w:spacing w:after="120" w:line="276" w:lineRule="auto"/>
        <w:ind w:firstLine="708"/>
        <w:jc w:val="both"/>
        <w:rPr>
          <w:rFonts w:ascii="Verdana" w:eastAsia="Calibri" w:hAnsi="Verdana" w:cs="Arial"/>
          <w:color w:val="000000"/>
          <w:lang w:val="es-MX"/>
        </w:rPr>
      </w:pPr>
      <w:r w:rsidRPr="0060163E">
        <w:rPr>
          <w:rFonts w:ascii="Verdana" w:eastAsia="Arial" w:hAnsi="Verdana" w:cs="Arial"/>
          <w:color w:val="000000"/>
          <w:lang w:val="es-ES_tradnl"/>
        </w:rPr>
        <w:t xml:space="preserve">Como se aprecia, el principio </w:t>
      </w:r>
      <w:r w:rsidRPr="0060163E">
        <w:rPr>
          <w:rFonts w:ascii="Verdana" w:eastAsia="Arial" w:hAnsi="Verdana" w:cs="Arial"/>
          <w:i/>
          <w:iCs/>
          <w:color w:val="000000"/>
          <w:lang w:val="es-ES_tradnl"/>
        </w:rPr>
        <w:t>pro libertate</w:t>
      </w:r>
      <w:r w:rsidRPr="0060163E">
        <w:rPr>
          <w:rFonts w:ascii="Verdana" w:eastAsia="Arial" w:hAnsi="Verdana" w:cs="Arial"/>
          <w:color w:val="000000"/>
          <w:lang w:val="es-ES_tradnl"/>
        </w:rPr>
        <w:t xml:space="preserve"> es el que debe dirigir la interpretación de las disposiciones normativas que consagran restricciones de derechos, como sucede con las causales de inhabilidad e incompatibilidad en la contratación estatal. Además, en relación con la determinación de las causales de inhabilidad e incompatibilidad, la</w:t>
      </w:r>
      <w:r w:rsidRPr="0060163E">
        <w:rPr>
          <w:rFonts w:ascii="Verdana" w:eastAsia="Calibri" w:hAnsi="Verdana" w:cs="Arial"/>
          <w:color w:val="000000"/>
          <w:lang w:val="es-MX"/>
        </w:rPr>
        <w:t xml:space="preserve"> Corte Constitucional ha resaltado que la competencia para determinar qué hechos o situaciones generan inhabilidades o incompatibilidades para contratar con el Estado la tiene el legislador, pues este régimen es un aspecto propio del Estatuto General de la Contratación de la Administración Pública, cuya expedición compete al Congreso de la República, conforme al artículo 150 de la Constitución Política, y que en esta materia rige el principio de legalidad</w:t>
      </w:r>
      <w:r w:rsidRPr="0060163E">
        <w:rPr>
          <w:rFonts w:ascii="Verdana" w:eastAsia="Calibri" w:hAnsi="Verdana" w:cs="Arial"/>
          <w:color w:val="000000"/>
          <w:vertAlign w:val="superscript"/>
          <w:lang w:val="es-MX"/>
        </w:rPr>
        <w:footnoteReference w:id="13"/>
      </w:r>
    </w:p>
    <w:p w14:paraId="097D3EEC" w14:textId="77777777" w:rsidR="0040775C" w:rsidRPr="0060163E" w:rsidRDefault="0040775C" w:rsidP="0040775C">
      <w:pPr>
        <w:spacing w:after="0" w:line="276" w:lineRule="auto"/>
        <w:ind w:firstLine="709"/>
        <w:jc w:val="both"/>
        <w:rPr>
          <w:rFonts w:ascii="Verdana" w:eastAsia="Calibri" w:hAnsi="Verdana" w:cs="Arial"/>
          <w:color w:val="000000"/>
          <w:shd w:val="clear" w:color="auto" w:fill="FFFFFF"/>
          <w:lang w:val="es-MX"/>
        </w:rPr>
      </w:pPr>
      <w:r w:rsidRPr="0060163E">
        <w:rPr>
          <w:rFonts w:ascii="Verdana" w:eastAsia="Calibri" w:hAnsi="Verdana" w:cs="Arial"/>
          <w:shd w:val="clear" w:color="auto" w:fill="FFFFFF"/>
          <w:lang w:val="es-MX"/>
        </w:rPr>
        <w:t>En este sentido, retomando una idea esbozada con anterioridad, la doctrina y la jurisprudencia son pacíficas en considerar que la creación de inhabilidades e incompatibilidades es un asunto con reserva de ley, en tanto, “[…] su previsión y desarrollo es materia exclusiva del legislador (reserva de ley), quien en virtud del principio democrático debe definir y tipificar expresamente sus causas, vigencia, naturaleza y efectos”</w:t>
      </w:r>
      <w:r w:rsidRPr="0060163E">
        <w:rPr>
          <w:rFonts w:ascii="Verdana" w:eastAsia="Calibri" w:hAnsi="Verdana" w:cs="Arial"/>
          <w:shd w:val="clear" w:color="auto" w:fill="FFFFFF"/>
          <w:vertAlign w:val="superscript"/>
          <w:lang w:val="es-MX"/>
        </w:rPr>
        <w:footnoteReference w:id="14"/>
      </w:r>
      <w:r w:rsidRPr="0060163E">
        <w:rPr>
          <w:rFonts w:ascii="Verdana" w:eastAsia="Calibri" w:hAnsi="Verdana" w:cs="Arial"/>
          <w:shd w:val="clear" w:color="auto" w:fill="FFFFFF"/>
          <w:lang w:val="es-MX"/>
        </w:rPr>
        <w:t xml:space="preserve"> En similar sentido, la Sala de Consulta y Servicio Civil del Consejo de Estado expresó </w:t>
      </w:r>
      <w:r w:rsidRPr="0060163E">
        <w:rPr>
          <w:rFonts w:ascii="Verdana" w:eastAsia="Calibri" w:hAnsi="Verdana" w:cs="Arial"/>
          <w:color w:val="000000"/>
          <w:shd w:val="clear" w:color="auto" w:fill="FFFFFF"/>
          <w:lang w:val="es-MX"/>
        </w:rPr>
        <w:t>que “[…] las causales de inhabilidad e incompatibilidad deben estar expresa y taxativamente establecidas en la Constitución o en la ley y son de aplicación e interpretación restrictivas […]”</w:t>
      </w:r>
      <w:r w:rsidRPr="0060163E">
        <w:rPr>
          <w:rFonts w:ascii="Verdana" w:eastAsia="Calibri" w:hAnsi="Verdana" w:cs="Arial"/>
          <w:color w:val="000000"/>
          <w:shd w:val="clear" w:color="auto" w:fill="FFFFFF"/>
          <w:vertAlign w:val="superscript"/>
          <w:lang w:val="es-MX"/>
        </w:rPr>
        <w:footnoteReference w:id="15"/>
      </w:r>
      <w:r w:rsidRPr="0060163E">
        <w:rPr>
          <w:rFonts w:ascii="Verdana" w:eastAsia="Calibri" w:hAnsi="Verdana" w:cs="Arial"/>
          <w:color w:val="000000"/>
          <w:shd w:val="clear" w:color="auto" w:fill="FFFFFF"/>
          <w:lang w:val="es-MX"/>
        </w:rPr>
        <w:t xml:space="preserve">. </w:t>
      </w:r>
      <w:r w:rsidRPr="0060163E">
        <w:rPr>
          <w:rFonts w:ascii="Verdana" w:eastAsia="MS Mincho" w:hAnsi="Verdana" w:cs="Arial"/>
          <w:color w:val="000000"/>
          <w:shd w:val="clear" w:color="auto" w:fill="FFFFFF"/>
          <w:lang w:val="es-MX"/>
        </w:rPr>
        <w:t xml:space="preserve">Como se observa, </w:t>
      </w:r>
      <w:r w:rsidRPr="0060163E">
        <w:rPr>
          <w:rFonts w:ascii="Verdana" w:eastAsia="MS Mincho" w:hAnsi="Verdana" w:cs="Arial"/>
          <w:color w:val="000000"/>
          <w:shd w:val="clear" w:color="auto" w:fill="FFFFFF"/>
        </w:rPr>
        <w:t xml:space="preserve">existe consenso, incluso como lo ha </w:t>
      </w:r>
      <w:r w:rsidRPr="0060163E">
        <w:rPr>
          <w:rFonts w:ascii="Verdana" w:eastAsia="MS Mincho" w:hAnsi="Verdana" w:cs="Arial"/>
          <w:color w:val="000000"/>
          <w:shd w:val="clear" w:color="auto" w:fill="FFFFFF"/>
        </w:rPr>
        <w:lastRenderedPageBreak/>
        <w:t>expresado esta Agencia en ocasiones anteriores, que la creación de inhabilidades o incompatibilidades está reservada al constituyente o al legislador.</w:t>
      </w:r>
    </w:p>
    <w:p w14:paraId="24E38ED2" w14:textId="77777777" w:rsidR="0040775C" w:rsidRPr="00FF2FD4" w:rsidRDefault="0040775C" w:rsidP="0040775C">
      <w:pPr>
        <w:spacing w:after="0" w:line="276" w:lineRule="auto"/>
        <w:jc w:val="both"/>
        <w:rPr>
          <w:rFonts w:ascii="Verdana" w:eastAsia="Calibri" w:hAnsi="Verdana" w:cs="Arial"/>
          <w:b/>
          <w:lang w:val="es-ES_tradnl"/>
        </w:rPr>
      </w:pPr>
    </w:p>
    <w:p w14:paraId="48EAD2C6" w14:textId="77777777" w:rsidR="0040775C" w:rsidRDefault="0040775C" w:rsidP="0040775C">
      <w:pPr>
        <w:spacing w:after="120" w:line="276" w:lineRule="auto"/>
        <w:jc w:val="both"/>
        <w:rPr>
          <w:rFonts w:ascii="Verdana" w:eastAsia="Arial MT" w:hAnsi="Verdana" w:cs="Arial"/>
          <w:lang w:eastAsia="es-ES" w:bidi="es-ES"/>
        </w:rPr>
      </w:pPr>
      <w:r>
        <w:rPr>
          <w:rFonts w:ascii="Verdana" w:eastAsia="Calibri" w:hAnsi="Verdana" w:cs="Arial"/>
          <w:lang w:val="es-ES"/>
        </w:rPr>
        <w:t>ii.</w:t>
      </w:r>
      <w:r w:rsidRPr="00AE22D5">
        <w:rPr>
          <w:rFonts w:ascii="Verdana" w:hAnsi="Verdana" w:cs="Arial"/>
          <w:color w:val="000000" w:themeColor="text1"/>
          <w:lang w:val="es-ES"/>
        </w:rPr>
        <w:t xml:space="preserve"> </w:t>
      </w:r>
      <w:bookmarkStart w:id="2" w:name="_Hlk213782318"/>
      <w:r w:rsidRPr="00C23CEB">
        <w:rPr>
          <w:rFonts w:ascii="Verdana" w:hAnsi="Verdana"/>
        </w:rPr>
        <w:t>Entre las incompatibilidades para contratar con el Estado se encuentra</w:t>
      </w:r>
      <w:r>
        <w:rPr>
          <w:rFonts w:ascii="Verdana" w:hAnsi="Verdana"/>
        </w:rPr>
        <w:t>n</w:t>
      </w:r>
      <w:r w:rsidRPr="00C23CEB">
        <w:rPr>
          <w:rFonts w:ascii="Verdana" w:hAnsi="Verdana"/>
        </w:rPr>
        <w:t xml:space="preserve"> la</w:t>
      </w:r>
      <w:r>
        <w:rPr>
          <w:rFonts w:ascii="Verdana" w:hAnsi="Verdana"/>
        </w:rPr>
        <w:t>s</w:t>
      </w:r>
      <w:r w:rsidRPr="00C23CEB">
        <w:rPr>
          <w:rFonts w:ascii="Verdana" w:hAnsi="Verdana"/>
        </w:rPr>
        <w:t xml:space="preserve"> prevista</w:t>
      </w:r>
      <w:r>
        <w:rPr>
          <w:rFonts w:ascii="Verdana" w:hAnsi="Verdana"/>
        </w:rPr>
        <w:t>s</w:t>
      </w:r>
      <w:r w:rsidRPr="00C23CEB">
        <w:rPr>
          <w:rFonts w:ascii="Verdana" w:hAnsi="Verdana"/>
        </w:rPr>
        <w:t xml:space="preserve"> </w:t>
      </w:r>
      <w:r>
        <w:rPr>
          <w:rFonts w:ascii="Verdana" w:eastAsia="Calibri" w:hAnsi="Verdana" w:cs="Arial"/>
          <w:color w:val="000000"/>
        </w:rPr>
        <w:t>en el artículo 8 numeral 2, literales a)</w:t>
      </w:r>
      <w:r>
        <w:rPr>
          <w:rStyle w:val="Refdenotaalpie"/>
          <w:rFonts w:ascii="Verdana" w:eastAsia="Calibri" w:hAnsi="Verdana" w:cs="Arial"/>
          <w:color w:val="000000"/>
        </w:rPr>
        <w:footnoteReference w:id="16"/>
      </w:r>
      <w:r>
        <w:rPr>
          <w:rFonts w:ascii="Verdana" w:eastAsia="Calibri" w:hAnsi="Verdana" w:cs="Arial"/>
          <w:color w:val="000000"/>
        </w:rPr>
        <w:t xml:space="preserve"> y f)</w:t>
      </w:r>
      <w:r>
        <w:rPr>
          <w:rStyle w:val="Refdenotaalpie"/>
          <w:rFonts w:ascii="Verdana" w:eastAsia="Calibri" w:hAnsi="Verdana" w:cs="Arial"/>
          <w:color w:val="000000"/>
        </w:rPr>
        <w:footnoteReference w:id="17"/>
      </w:r>
      <w:r>
        <w:rPr>
          <w:rFonts w:ascii="Verdana" w:eastAsia="Calibri" w:hAnsi="Verdana" w:cs="Arial"/>
          <w:color w:val="000000"/>
        </w:rPr>
        <w:t xml:space="preserve"> de la Ley 80 de 1993. La incompatibilidad señalada en el literal a)</w:t>
      </w:r>
      <w:r>
        <w:rPr>
          <w:rFonts w:ascii="Verdana" w:eastAsia="Calibri" w:hAnsi="Verdana" w:cs="Arial"/>
          <w:color w:val="000000" w:themeColor="text1"/>
          <w:lang w:val="es-ES_tradnl"/>
        </w:rPr>
        <w:t xml:space="preserve"> </w:t>
      </w:r>
      <w:r>
        <w:rPr>
          <w:rFonts w:ascii="Verdana" w:eastAsia="Calibri" w:hAnsi="Verdana" w:cs="Arial"/>
          <w:color w:val="000000"/>
        </w:rPr>
        <w:t xml:space="preserve">prohíbe a las entidades públicas contratar con quienes hayan sido </w:t>
      </w:r>
      <w:r>
        <w:rPr>
          <w:rFonts w:ascii="Verdana" w:eastAsia="Arial MT" w:hAnsi="Verdana" w:cs="Arial"/>
          <w:lang w:eastAsia="es-ES" w:bidi="es-ES"/>
        </w:rPr>
        <w:t xml:space="preserve">i) miembros de la junta o consejo directivo o ii) servidores públicos de la entidad contratante, en cualquiera de sus clasificaciones sean estos miembros de corporaciones públicas, sean empleados y/o trabajadores del Estado y/o de sus entidades descentralizadas territorialmente y/o por servicios, siempre que hubiesen ejercido funciones en los niveles directivo, asesor o ejecutivo. Esta incompatibilidad para contratar se extiende </w:t>
      </w:r>
      <w:r w:rsidRPr="002462C0">
        <w:rPr>
          <w:rFonts w:ascii="Verdana" w:eastAsia="Arial MT" w:hAnsi="Verdana" w:cs="Arial"/>
          <w:lang w:eastAsia="es-ES" w:bidi="es-ES"/>
        </w:rPr>
        <w:t>por el término de un (1) año, contado a partir de la fecha del retiro.</w:t>
      </w:r>
      <w:r>
        <w:rPr>
          <w:rFonts w:ascii="Verdana" w:eastAsia="Arial MT" w:hAnsi="Verdana" w:cs="Arial"/>
          <w:lang w:eastAsia="es-ES" w:bidi="es-ES"/>
        </w:rPr>
        <w:t xml:space="preserve"> </w:t>
      </w:r>
    </w:p>
    <w:p w14:paraId="73A4D084" w14:textId="77777777" w:rsidR="0040775C" w:rsidRDefault="0040775C" w:rsidP="0040775C">
      <w:pPr>
        <w:widowControl w:val="0"/>
        <w:autoSpaceDE w:val="0"/>
        <w:autoSpaceDN w:val="0"/>
        <w:spacing w:after="120" w:line="276" w:lineRule="auto"/>
        <w:ind w:firstLine="709"/>
        <w:jc w:val="both"/>
        <w:rPr>
          <w:rFonts w:ascii="Verdana" w:eastAsia="Arial MT" w:hAnsi="Verdana" w:cs="Arial"/>
          <w:lang w:eastAsia="es-ES" w:bidi="es-ES"/>
        </w:rPr>
      </w:pPr>
      <w:r>
        <w:rPr>
          <w:rFonts w:ascii="Verdana" w:eastAsia="Arial MT" w:hAnsi="Verdana" w:cs="Arial"/>
          <w:lang w:eastAsia="es-ES" w:bidi="es-ES"/>
        </w:rPr>
        <w:t>Por su parte, la prohibición establecida en el literal f) recae en personas que hubiesen ejercido cargos en el nivel directivo en entidades del Estado y las sociedades en las cuales dichos exservidores púbicos hagan parte o estén vinculados a cualquier título, dentro de los (2) dos años siguientes al retiro del ejercicio del cargo público, cuando el contrato que pretenden suscribir (sea el exservidor público persona natural o sea la sociedad en la que estos hagan parte o estén vinculados a la persona jurídica) establezca un objeto contractual  que tenga relación directa con el sector al cual prestó sus servicios. Según el inciso segundo del literal f), dicha incompatibilidad también opera para las personas que se encuentren dentro del primer grado de consanguinidad, primero de afinidad, o primero civil del exempleado público.</w:t>
      </w:r>
    </w:p>
    <w:p w14:paraId="14E048F3" w14:textId="77777777" w:rsidR="0040775C" w:rsidRDefault="0040775C" w:rsidP="0040775C">
      <w:pPr>
        <w:widowControl w:val="0"/>
        <w:autoSpaceDE w:val="0"/>
        <w:autoSpaceDN w:val="0"/>
        <w:spacing w:after="120" w:line="276" w:lineRule="auto"/>
        <w:ind w:firstLine="709"/>
        <w:jc w:val="both"/>
        <w:rPr>
          <w:rFonts w:ascii="Verdana" w:eastAsia="Arial MT" w:hAnsi="Verdana" w:cs="Arial"/>
          <w:lang w:eastAsia="es-ES" w:bidi="es-ES"/>
        </w:rPr>
      </w:pPr>
      <w:r>
        <w:rPr>
          <w:rFonts w:ascii="Verdana" w:eastAsia="Arial MT" w:hAnsi="Verdana" w:cs="Arial"/>
          <w:lang w:eastAsia="es-ES" w:bidi="es-ES"/>
        </w:rPr>
        <w:t xml:space="preserve">Según lo expuesto, para que se configuren las incompatibilidades del literal a) y el f), es necesario el cumplimiento de todos los supuestos descritos </w:t>
      </w:r>
      <w:r>
        <w:rPr>
          <w:rFonts w:ascii="Verdana" w:eastAsia="Arial MT" w:hAnsi="Verdana" w:cs="Arial"/>
          <w:lang w:eastAsia="es-ES" w:bidi="es-ES"/>
        </w:rPr>
        <w:lastRenderedPageBreak/>
        <w:t xml:space="preserve">en la norma. En otras palabras, en virtud de la aplicación restrictiva de las incompatibilidades, se deben configurar los elementos tanto materiales como temporales que exigen dichas disposiciones. </w:t>
      </w:r>
    </w:p>
    <w:p w14:paraId="7B5B4274" w14:textId="77777777" w:rsidR="0040775C" w:rsidRDefault="0040775C" w:rsidP="0040775C">
      <w:pPr>
        <w:widowControl w:val="0"/>
        <w:autoSpaceDE w:val="0"/>
        <w:autoSpaceDN w:val="0"/>
        <w:spacing w:after="120" w:line="276" w:lineRule="auto"/>
        <w:ind w:firstLine="709"/>
        <w:jc w:val="both"/>
        <w:rPr>
          <w:rFonts w:ascii="Verdana" w:eastAsia="Arial MT" w:hAnsi="Verdana" w:cs="Arial"/>
          <w:lang w:eastAsia="es-ES" w:bidi="es-ES"/>
        </w:rPr>
      </w:pPr>
      <w:r>
        <w:rPr>
          <w:rFonts w:ascii="Verdana" w:eastAsia="Arial MT" w:hAnsi="Verdana" w:cs="Arial"/>
          <w:lang w:eastAsia="es-ES" w:bidi="es-ES"/>
        </w:rPr>
        <w:t xml:space="preserve">Para el caso de la incompatibilidad del literal a) los </w:t>
      </w:r>
      <w:r w:rsidRPr="004C4082">
        <w:rPr>
          <w:rFonts w:ascii="Verdana" w:eastAsia="Arial MT" w:hAnsi="Verdana" w:cs="Arial"/>
          <w:i/>
          <w:iCs/>
          <w:lang w:eastAsia="es-ES" w:bidi="es-ES"/>
        </w:rPr>
        <w:t xml:space="preserve">elementos materiales </w:t>
      </w:r>
      <w:r>
        <w:rPr>
          <w:rFonts w:ascii="Verdana" w:eastAsia="Arial MT" w:hAnsi="Verdana" w:cs="Arial"/>
          <w:lang w:eastAsia="es-ES" w:bidi="es-ES"/>
        </w:rPr>
        <w:t xml:space="preserve">son: i) que el exservidor público hubiese integrado una junta o consejo directivo o hubiese estado vinculado laboralmente como servidor público de la entidad contratante y ii) que las funciones que hubiese desempeñado dicho exfuncionario sean del nivel directivo, asesor o ejecutivo. De otro lado, el </w:t>
      </w:r>
      <w:r w:rsidRPr="004C4082">
        <w:rPr>
          <w:rFonts w:ascii="Verdana" w:eastAsia="Arial MT" w:hAnsi="Verdana" w:cs="Arial"/>
          <w:i/>
          <w:iCs/>
          <w:lang w:eastAsia="es-ES" w:bidi="es-ES"/>
        </w:rPr>
        <w:t>elemento temporal</w:t>
      </w:r>
      <w:r>
        <w:rPr>
          <w:rFonts w:ascii="Verdana" w:eastAsia="Arial MT" w:hAnsi="Verdana" w:cs="Arial"/>
          <w:lang w:eastAsia="es-ES" w:bidi="es-ES"/>
        </w:rPr>
        <w:t xml:space="preserve"> es que su retiro se hubiese presentado dentro del año inmediatamente anterior a la fecha de celebración del contrato que se pretende celebrar. De esta forma, para que se configure de la incompatibilidad referida, será necesario que, se presenten tanto los elementos materiales como el elemento temporal descrito. A falta de alguno de ellos, no habría configuración de dicha causal.</w:t>
      </w:r>
    </w:p>
    <w:p w14:paraId="77115479" w14:textId="77777777" w:rsidR="0040775C" w:rsidRDefault="0040775C" w:rsidP="0040775C">
      <w:pPr>
        <w:widowControl w:val="0"/>
        <w:autoSpaceDE w:val="0"/>
        <w:autoSpaceDN w:val="0"/>
        <w:spacing w:after="120" w:line="276" w:lineRule="auto"/>
        <w:ind w:firstLine="709"/>
        <w:jc w:val="both"/>
        <w:rPr>
          <w:rFonts w:ascii="Verdana" w:eastAsia="Calibri" w:hAnsi="Verdana" w:cs="Arial"/>
          <w:color w:val="000000"/>
        </w:rPr>
      </w:pPr>
      <w:r>
        <w:rPr>
          <w:rFonts w:ascii="Verdana" w:eastAsia="Arial MT" w:hAnsi="Verdana" w:cs="Arial"/>
          <w:lang w:eastAsia="es-ES" w:bidi="es-ES"/>
        </w:rPr>
        <w:t xml:space="preserve">Respecto de la incompatibilidad del literal f), los </w:t>
      </w:r>
      <w:r w:rsidRPr="00D2124D">
        <w:rPr>
          <w:rFonts w:ascii="Verdana" w:eastAsia="Arial MT" w:hAnsi="Verdana" w:cs="Arial"/>
          <w:i/>
          <w:iCs/>
          <w:lang w:eastAsia="es-ES" w:bidi="es-ES"/>
        </w:rPr>
        <w:t>elementos materiales</w:t>
      </w:r>
      <w:r>
        <w:rPr>
          <w:rFonts w:ascii="Verdana" w:eastAsia="Arial MT" w:hAnsi="Verdana" w:cs="Arial"/>
          <w:lang w:eastAsia="es-ES" w:bidi="es-ES"/>
        </w:rPr>
        <w:t xml:space="preserve"> son: i) que la contratación pretendida sea directa (con el exservidor público persona natural) o sea indirecta (con la sociedad o persona jurídica en la que el exservidor público haga parte o esté vinculado a cualquier título), ii) que los cargos desempeñados por quien pretenden contratar correspondan al nivel directivo en entidades del Estado y iii) que el contrato pretendido tenga por objeto el desarrollo de actividades que tengan relación con el sector en cual prestaron sus servicios. Por otra parte, el </w:t>
      </w:r>
      <w:r w:rsidRPr="00D2124D">
        <w:rPr>
          <w:rFonts w:ascii="Verdana" w:eastAsia="Arial MT" w:hAnsi="Verdana" w:cs="Arial"/>
          <w:i/>
          <w:iCs/>
          <w:lang w:eastAsia="es-ES" w:bidi="es-ES"/>
        </w:rPr>
        <w:t>elemento temporal</w:t>
      </w:r>
      <w:r>
        <w:rPr>
          <w:rFonts w:ascii="Verdana" w:eastAsia="Arial MT" w:hAnsi="Verdana" w:cs="Arial"/>
          <w:lang w:eastAsia="es-ES" w:bidi="es-ES"/>
        </w:rPr>
        <w:t xml:space="preserve"> es que su retiro se hubiese presentado dentro de los dos (2) años inmediatamente anteriores a la fecha de celebración del contrato que se pretende celebrar. Igualmente, para que se predique la configuración de la incompatibilidad referida, será necesario que, se presenten tanto los elementos materiales como elemento temporal. A falta de alguno de ellos, no habría configuración de dicha causal.</w:t>
      </w:r>
      <w:r>
        <w:rPr>
          <w:rFonts w:ascii="Verdana" w:eastAsia="Calibri" w:hAnsi="Verdana" w:cs="Arial"/>
          <w:color w:val="000000"/>
        </w:rPr>
        <w:t xml:space="preserve">  </w:t>
      </w:r>
    </w:p>
    <w:p w14:paraId="6EE29B5E" w14:textId="77777777" w:rsidR="0040775C" w:rsidRDefault="0040775C" w:rsidP="0040775C">
      <w:pPr>
        <w:widowControl w:val="0"/>
        <w:autoSpaceDE w:val="0"/>
        <w:autoSpaceDN w:val="0"/>
        <w:spacing w:after="120" w:line="276" w:lineRule="auto"/>
        <w:ind w:firstLine="709"/>
        <w:jc w:val="both"/>
        <w:rPr>
          <w:rFonts w:ascii="Verdana" w:eastAsia="Calibri" w:hAnsi="Verdana" w:cs="Arial"/>
          <w:color w:val="000000"/>
        </w:rPr>
      </w:pPr>
      <w:r>
        <w:rPr>
          <w:rFonts w:ascii="Verdana" w:eastAsia="Calibri" w:hAnsi="Verdana" w:cs="Arial"/>
          <w:color w:val="000000"/>
        </w:rPr>
        <w:t xml:space="preserve">Dichas prohibiciones pretenden </w:t>
      </w:r>
      <w:r w:rsidRPr="00DA4452">
        <w:rPr>
          <w:rFonts w:ascii="Verdana" w:eastAsia="Calibri" w:hAnsi="Verdana" w:cs="Arial"/>
          <w:color w:val="000000"/>
        </w:rPr>
        <w:t>evitar que personas que ostenta</w:t>
      </w:r>
      <w:r>
        <w:rPr>
          <w:rFonts w:ascii="Verdana" w:eastAsia="Calibri" w:hAnsi="Verdana" w:cs="Arial"/>
          <w:color w:val="000000"/>
        </w:rPr>
        <w:t>ron</w:t>
      </w:r>
      <w:r w:rsidRPr="00DA4452">
        <w:rPr>
          <w:rFonts w:ascii="Verdana" w:eastAsia="Calibri" w:hAnsi="Verdana" w:cs="Arial"/>
          <w:color w:val="000000"/>
        </w:rPr>
        <w:t xml:space="preserve"> cargos a los que alude la norma saquen ventaja o provecho de dicha situación respecto de los demás participantes, o que puedan ejercer influencia en la celebración del contrato, violando los principios de igualdad, objetividad, moralidad y transparencia</w:t>
      </w:r>
      <w:r>
        <w:rPr>
          <w:rFonts w:ascii="Verdana" w:eastAsia="Calibri" w:hAnsi="Verdana" w:cs="Arial"/>
          <w:color w:val="000000"/>
        </w:rPr>
        <w:t>. Este fin</w:t>
      </w:r>
      <w:r w:rsidRPr="00DA4452">
        <w:rPr>
          <w:rFonts w:ascii="Verdana" w:eastAsia="Calibri" w:hAnsi="Verdana" w:cs="Arial"/>
          <w:color w:val="000000"/>
        </w:rPr>
        <w:t xml:space="preserve"> justifica la limitación en el ejercicio de ciertas actividades por los servidores públicos durante y después de</w:t>
      </w:r>
      <w:r>
        <w:rPr>
          <w:rFonts w:ascii="Verdana" w:eastAsia="Calibri" w:hAnsi="Verdana" w:cs="Arial"/>
          <w:color w:val="000000"/>
        </w:rPr>
        <w:t xml:space="preserve">l retiro </w:t>
      </w:r>
      <w:r w:rsidRPr="00DA4452">
        <w:rPr>
          <w:rFonts w:ascii="Verdana" w:eastAsia="Calibri" w:hAnsi="Verdana" w:cs="Arial"/>
          <w:color w:val="000000"/>
        </w:rPr>
        <w:t>de sus correspondientes cargos</w:t>
      </w:r>
      <w:r>
        <w:rPr>
          <w:rFonts w:ascii="Verdana" w:eastAsia="Calibri" w:hAnsi="Verdana" w:cs="Arial"/>
          <w:color w:val="000000"/>
        </w:rPr>
        <w:t xml:space="preserve">, e incluso, para el caso de la causal contenida en el literal f), la imposición de restricciones a quienes se encuentren dentro </w:t>
      </w:r>
      <w:r w:rsidRPr="002C7343">
        <w:rPr>
          <w:rFonts w:ascii="Verdana" w:eastAsia="Calibri" w:hAnsi="Verdana" w:cs="Arial"/>
          <w:color w:val="000000"/>
        </w:rPr>
        <w:t xml:space="preserve">del </w:t>
      </w:r>
      <w:r w:rsidRPr="002C7343">
        <w:rPr>
          <w:rFonts w:ascii="Verdana" w:eastAsia="Calibri" w:hAnsi="Verdana" w:cs="Arial"/>
          <w:color w:val="000000"/>
        </w:rPr>
        <w:lastRenderedPageBreak/>
        <w:t xml:space="preserve">primer grado de consanguinidad, primero de afinidad, o primero civil </w:t>
      </w:r>
      <w:r>
        <w:rPr>
          <w:rFonts w:ascii="Verdana" w:eastAsia="Calibri" w:hAnsi="Verdana" w:cs="Arial"/>
          <w:color w:val="000000"/>
        </w:rPr>
        <w:t>del</w:t>
      </w:r>
      <w:r w:rsidRPr="002C7343">
        <w:rPr>
          <w:rFonts w:ascii="Verdana" w:eastAsia="Calibri" w:hAnsi="Verdana" w:cs="Arial"/>
          <w:color w:val="000000"/>
        </w:rPr>
        <w:t xml:space="preserve"> ex servidor público</w:t>
      </w:r>
    </w:p>
    <w:p w14:paraId="066F5745" w14:textId="77777777" w:rsidR="0040775C" w:rsidRDefault="0040775C" w:rsidP="0040775C">
      <w:pPr>
        <w:widowControl w:val="0"/>
        <w:autoSpaceDE w:val="0"/>
        <w:autoSpaceDN w:val="0"/>
        <w:spacing w:after="120" w:line="276" w:lineRule="auto"/>
        <w:ind w:firstLine="709"/>
        <w:jc w:val="both"/>
        <w:rPr>
          <w:rFonts w:ascii="Verdana" w:eastAsia="Calibri" w:hAnsi="Verdana" w:cs="Arial"/>
          <w:color w:val="000000"/>
        </w:rPr>
      </w:pPr>
      <w:r>
        <w:rPr>
          <w:rFonts w:ascii="Verdana" w:eastAsia="Calibri" w:hAnsi="Verdana" w:cs="Arial"/>
          <w:color w:val="000000"/>
        </w:rPr>
        <w:t>La constitucionalidad del literal f) del numeral 2 del artículo 8 de la Ley 80 de 1993 fue examinada mediante la Sentencia C-257 del 7 de mayo de 2013</w:t>
      </w:r>
      <w:r>
        <w:rPr>
          <w:rStyle w:val="Refdenotaalpie"/>
          <w:rFonts w:ascii="Verdana" w:eastAsia="Calibri" w:hAnsi="Verdana" w:cs="Arial"/>
          <w:color w:val="000000"/>
        </w:rPr>
        <w:footnoteReference w:id="18"/>
      </w:r>
      <w:r>
        <w:rPr>
          <w:rFonts w:ascii="Verdana" w:eastAsia="Calibri" w:hAnsi="Verdana" w:cs="Arial"/>
          <w:color w:val="000000"/>
        </w:rPr>
        <w:t>, la cual resolvió demanda contra el inciso 1 del artículo 3 y el artículo 4 de la Ley 1474 de 2011, disposición que incorporó dicha causal en el Estatuto General de Contratación de la Administración Pública.  En la demanda, el ciudadano planteó argumentos orientados a que se declarara su inconstitucionalidad por cuanto consideraba que dicha norma i) violaba el derecho a la personalidad jurídica consagrado en el artículo 14 de la Constitución Política de Colombia, en razón a que impedía a las personas que hayan desempeñado una función pública como directivos contratar con el Estado precisamente en las áreas que corresponden y son más apropiados para aplicar su conocimiento, especialidad y experiencia; ii) manifestaba que la medida no es idónea dado que ya existían otros mecanismos menos gravosos para los derechos fundamentales para lograr la finalidad que persigue y está dirigida contra quienes ya no tienen injerencia; iii) además, señaló que la restricción era excesiva frente a los beneficios buscados, lo mismo que el plazo previsto si se toma en cuenta que para muchas personas la contratación pública con el Estado es la fuente de su subsistencia.</w:t>
      </w:r>
    </w:p>
    <w:p w14:paraId="787397C1" w14:textId="77777777" w:rsidR="0040775C" w:rsidRDefault="0040775C" w:rsidP="0040775C">
      <w:pPr>
        <w:widowControl w:val="0"/>
        <w:autoSpaceDE w:val="0"/>
        <w:autoSpaceDN w:val="0"/>
        <w:spacing w:after="0" w:line="276" w:lineRule="auto"/>
        <w:ind w:firstLine="709"/>
        <w:jc w:val="both"/>
        <w:rPr>
          <w:rFonts w:ascii="Verdana" w:eastAsia="Calibri" w:hAnsi="Verdana" w:cs="Arial"/>
          <w:color w:val="000000"/>
        </w:rPr>
      </w:pPr>
      <w:r>
        <w:rPr>
          <w:rFonts w:ascii="Verdana" w:eastAsia="Calibri" w:hAnsi="Verdana" w:cs="Arial"/>
          <w:color w:val="000000"/>
        </w:rPr>
        <w:t xml:space="preserve">El pronunciamiento de la Corte </w:t>
      </w:r>
      <w:r w:rsidRPr="00B460EB">
        <w:rPr>
          <w:rFonts w:ascii="Verdana" w:eastAsia="Calibri" w:hAnsi="Verdana" w:cs="Arial"/>
          <w:color w:val="000000"/>
        </w:rPr>
        <w:t>reiter</w:t>
      </w:r>
      <w:r>
        <w:rPr>
          <w:rFonts w:ascii="Verdana" w:eastAsia="Calibri" w:hAnsi="Verdana" w:cs="Arial"/>
          <w:color w:val="000000"/>
        </w:rPr>
        <w:t>ó</w:t>
      </w:r>
      <w:r w:rsidRPr="00B460EB">
        <w:rPr>
          <w:rFonts w:ascii="Verdana" w:eastAsia="Calibri" w:hAnsi="Verdana" w:cs="Arial"/>
          <w:color w:val="000000"/>
        </w:rPr>
        <w:t xml:space="preserve"> que el legislador goza en esta materia de una amplia libertad de configuración para establecer un régimen estricto de inhabilidades e incompatibilidades para los servidores públicos durante el ejercicio de sus funciones y por un tiempo razonable a partir de su retiro, especialmente en el ámbito de la contratación pública. </w:t>
      </w:r>
      <w:r>
        <w:rPr>
          <w:rFonts w:ascii="Verdana" w:eastAsia="Calibri" w:hAnsi="Verdana" w:cs="Arial"/>
          <w:color w:val="000000"/>
        </w:rPr>
        <w:t>Producto de ello son</w:t>
      </w:r>
      <w:r w:rsidRPr="00B460EB">
        <w:rPr>
          <w:rFonts w:ascii="Verdana" w:eastAsia="Calibri" w:hAnsi="Verdana" w:cs="Arial"/>
          <w:color w:val="000000"/>
        </w:rPr>
        <w:t xml:space="preserve"> las medidas legislativas </w:t>
      </w:r>
      <w:r>
        <w:rPr>
          <w:rFonts w:ascii="Verdana" w:eastAsia="Calibri" w:hAnsi="Verdana" w:cs="Arial"/>
          <w:color w:val="000000"/>
        </w:rPr>
        <w:t xml:space="preserve">que </w:t>
      </w:r>
      <w:r w:rsidRPr="00B460EB">
        <w:rPr>
          <w:rFonts w:ascii="Verdana" w:eastAsia="Calibri" w:hAnsi="Verdana" w:cs="Arial"/>
          <w:color w:val="000000"/>
        </w:rPr>
        <w:t xml:space="preserve">se han adoptado como parte esencial de una política pública </w:t>
      </w:r>
      <w:r>
        <w:rPr>
          <w:rFonts w:ascii="Verdana" w:eastAsia="Calibri" w:hAnsi="Verdana" w:cs="Arial"/>
          <w:color w:val="000000"/>
        </w:rPr>
        <w:t>que tiene como propósito esencial el de</w:t>
      </w:r>
      <w:r w:rsidRPr="00B460EB">
        <w:rPr>
          <w:rFonts w:ascii="Verdana" w:eastAsia="Calibri" w:hAnsi="Verdana" w:cs="Arial"/>
          <w:color w:val="000000"/>
        </w:rPr>
        <w:t xml:space="preserve"> erradicar y prevenir no solo posibles actos corrupción, sino la de proscribir ventajas y privilegios que entrañan grave desconocimiento de los fines del </w:t>
      </w:r>
      <w:r>
        <w:rPr>
          <w:rFonts w:ascii="Verdana" w:eastAsia="Calibri" w:hAnsi="Verdana" w:cs="Arial"/>
          <w:color w:val="000000"/>
        </w:rPr>
        <w:t>E</w:t>
      </w:r>
      <w:r w:rsidRPr="00B460EB">
        <w:rPr>
          <w:rFonts w:ascii="Verdana" w:eastAsia="Calibri" w:hAnsi="Verdana" w:cs="Arial"/>
          <w:color w:val="000000"/>
        </w:rPr>
        <w:t xml:space="preserve">stado, de los principios de la función pública y de los derechos de los ciudadanos en materia de contratación estatal. </w:t>
      </w:r>
      <w:r>
        <w:rPr>
          <w:rFonts w:ascii="Verdana" w:eastAsia="Calibri" w:hAnsi="Verdana" w:cs="Arial"/>
          <w:color w:val="000000"/>
        </w:rPr>
        <w:t>Para la Corte Constitucional dicha política pública:</w:t>
      </w:r>
    </w:p>
    <w:p w14:paraId="0591AEF8" w14:textId="77777777" w:rsidR="0040775C" w:rsidRDefault="0040775C" w:rsidP="0040775C">
      <w:pPr>
        <w:widowControl w:val="0"/>
        <w:autoSpaceDE w:val="0"/>
        <w:autoSpaceDN w:val="0"/>
        <w:spacing w:after="0" w:line="276" w:lineRule="auto"/>
        <w:ind w:firstLine="709"/>
        <w:jc w:val="both"/>
        <w:rPr>
          <w:rFonts w:ascii="Verdana" w:eastAsia="Calibri" w:hAnsi="Verdana" w:cs="Arial"/>
          <w:color w:val="000000"/>
        </w:rPr>
      </w:pPr>
    </w:p>
    <w:p w14:paraId="40F20A47" w14:textId="77777777" w:rsidR="0040775C" w:rsidRPr="00472C94" w:rsidRDefault="0040775C" w:rsidP="0040775C">
      <w:pPr>
        <w:spacing w:after="0" w:line="240" w:lineRule="auto"/>
        <w:ind w:left="709" w:right="709"/>
        <w:jc w:val="both"/>
        <w:rPr>
          <w:rFonts w:ascii="Verdana" w:eastAsia="Calibri" w:hAnsi="Verdana" w:cs="Arial"/>
          <w:color w:val="000000"/>
          <w:sz w:val="20"/>
          <w:szCs w:val="20"/>
        </w:rPr>
      </w:pPr>
      <w:r w:rsidRPr="00472C94">
        <w:rPr>
          <w:rFonts w:ascii="Verdana" w:eastAsia="Calibri" w:hAnsi="Verdana" w:cs="Arial"/>
          <w:color w:val="000000"/>
          <w:sz w:val="20"/>
          <w:szCs w:val="20"/>
        </w:rPr>
        <w:t xml:space="preserve">“[…] responde a una continuidad histórica, desde su consagración en el artículo 8 de la Ley 80 de 1993 y que se ha ordenado a establecer rigurosos mecanismos de prevención de prácticas indeseables en la </w:t>
      </w:r>
      <w:r w:rsidRPr="00472C94">
        <w:rPr>
          <w:rFonts w:ascii="Verdana" w:eastAsia="Calibri" w:hAnsi="Verdana" w:cs="Arial"/>
          <w:color w:val="000000"/>
          <w:sz w:val="20"/>
          <w:szCs w:val="20"/>
        </w:rPr>
        <w:lastRenderedPageBreak/>
        <w:t>contratación pública. Por ello resulta constitucionalmente admisible establecer una inhabilidad para contratar con el Estado a los ex servidores públicos que ejercieron funciones directivas y a las sociedades en que en estos o sus parientes hagan parte y la entidad del estado a la cual estuvo vinculado como directivo.</w:t>
      </w:r>
    </w:p>
    <w:p w14:paraId="208129C0" w14:textId="77777777" w:rsidR="0040775C" w:rsidRPr="00472C94" w:rsidRDefault="0040775C" w:rsidP="0040775C">
      <w:pPr>
        <w:spacing w:after="0" w:line="240" w:lineRule="auto"/>
        <w:ind w:left="709" w:right="709"/>
        <w:jc w:val="both"/>
        <w:rPr>
          <w:rFonts w:ascii="Verdana" w:eastAsia="Calibri" w:hAnsi="Verdana" w:cs="Arial"/>
          <w:color w:val="000000"/>
          <w:sz w:val="20"/>
          <w:szCs w:val="20"/>
        </w:rPr>
      </w:pPr>
    </w:p>
    <w:p w14:paraId="162B6A11" w14:textId="77777777" w:rsidR="0040775C" w:rsidRPr="00472C94" w:rsidRDefault="0040775C" w:rsidP="0040775C">
      <w:pPr>
        <w:spacing w:after="0" w:line="240" w:lineRule="auto"/>
        <w:ind w:left="709" w:right="709"/>
        <w:jc w:val="both"/>
        <w:rPr>
          <w:rFonts w:ascii="Verdana" w:eastAsia="Calibri" w:hAnsi="Verdana" w:cs="Arial"/>
          <w:color w:val="000000"/>
          <w:sz w:val="20"/>
          <w:szCs w:val="20"/>
        </w:rPr>
      </w:pPr>
      <w:r w:rsidRPr="00472C94">
        <w:rPr>
          <w:rFonts w:ascii="Verdana" w:eastAsia="Calibri" w:hAnsi="Verdana" w:cs="Arial"/>
          <w:color w:val="000000"/>
          <w:sz w:val="20"/>
          <w:szCs w:val="20"/>
        </w:rPr>
        <w:t xml:space="preserve">No puede perderse de vista que la norma acusada establece la inhabilidad para contratar, directa o indirectamente, a quienes hayan ejercido cargos en el nivel directivo en entidades del Estado, o sus parientes, y las sociedades en las cuales estos hagan parte o estén vinculados a cualquier título. Es claro que la norma señala que la inhabilidad se aplica en relación con aquellos servidores públicos que desempeñaron funciones de dirección para evitar que puedan utilizar los vínculos, influencia y ascendencia que estos ex directivos -o sus familiares cercanos -puedan tener con la entidad y sus funcionarios encargados de los procesos de selección, precisamente por el rol de jerarquía y mando que ejerció, con lo cual se trata de poner a salvo los principios constitucionales de la administración pública ya referidos.” [SIC]. </w:t>
      </w:r>
    </w:p>
    <w:p w14:paraId="1A90D450" w14:textId="77777777" w:rsidR="0040775C" w:rsidRPr="00B460EB" w:rsidRDefault="0040775C" w:rsidP="0040775C">
      <w:pPr>
        <w:spacing w:after="0" w:line="240" w:lineRule="auto"/>
        <w:ind w:left="709" w:right="709"/>
        <w:jc w:val="both"/>
        <w:rPr>
          <w:rFonts w:ascii="Verdana" w:eastAsia="Calibri" w:hAnsi="Verdana" w:cs="Arial"/>
          <w:color w:val="000000"/>
          <w:sz w:val="21"/>
          <w:szCs w:val="21"/>
        </w:rPr>
      </w:pPr>
    </w:p>
    <w:p w14:paraId="412DB523" w14:textId="77777777" w:rsidR="0040775C" w:rsidRDefault="0040775C" w:rsidP="0040775C">
      <w:pPr>
        <w:widowControl w:val="0"/>
        <w:autoSpaceDE w:val="0"/>
        <w:autoSpaceDN w:val="0"/>
        <w:spacing w:after="120" w:line="276" w:lineRule="auto"/>
        <w:ind w:right="51"/>
        <w:jc w:val="both"/>
        <w:rPr>
          <w:rFonts w:ascii="Verdana" w:eastAsia="Calibri" w:hAnsi="Verdana" w:cs="Arial"/>
          <w:color w:val="000000" w:themeColor="text1"/>
        </w:rPr>
      </w:pPr>
      <w:r>
        <w:rPr>
          <w:rFonts w:ascii="Verdana" w:eastAsia="Calibri" w:hAnsi="Verdana" w:cs="Arial"/>
          <w:color w:val="000000" w:themeColor="text1"/>
        </w:rPr>
        <w:tab/>
        <w:t xml:space="preserve">En virtud de lo expuesto, las entidades deberán evaluar si en el caso concreto se configuran los elementos materiales y temporales de las incompatibilidades establecidas en los literales a) y f) del numeral 2 del artículo 8 de la Ley 80 de 1993. Frente a lo expresado en su consulta, quien pretende suscribir el contrato de prestación de servicios con la entidad incurrirá en la incompatibilidad del literal a) si ha sido integrante de su junta o consejo directivo, o estuvo vinculado a la entidad contratante en calidad de servidor público. En cualquiera de estos supuestos, será necesario que las funciones que hubiese desempeñado como integrante de la junta o consejo, o como servidor público hayan sido en el nivel directivo, asesor o ejecutivo. Bajo este literal, el interesado no podrá celebrar el contrato de prestación de servicios, o cualquier otro con entidad pública, durante un año contado a partir de la fecha de su retiro. </w:t>
      </w:r>
    </w:p>
    <w:p w14:paraId="118AE2C6" w14:textId="77777777" w:rsidR="0040775C" w:rsidRDefault="0040775C" w:rsidP="0040775C">
      <w:pPr>
        <w:widowControl w:val="0"/>
        <w:autoSpaceDE w:val="0"/>
        <w:autoSpaceDN w:val="0"/>
        <w:spacing w:after="120" w:line="276" w:lineRule="auto"/>
        <w:ind w:right="51"/>
        <w:jc w:val="both"/>
        <w:rPr>
          <w:rFonts w:ascii="Verdana" w:hAnsi="Verdana"/>
        </w:rPr>
      </w:pPr>
      <w:r>
        <w:rPr>
          <w:rFonts w:ascii="Verdana" w:eastAsia="Calibri" w:hAnsi="Verdana" w:cs="Arial"/>
          <w:color w:val="000000" w:themeColor="text1"/>
        </w:rPr>
        <w:tab/>
        <w:t xml:space="preserve">Con respecto a la causal f), quien pretenda suscribir el contrato de prestación de servicios incurrirá en esta causal cuando se haya desempeñado como servidor público en cargos del nivel directivo de la entidad contratante. En este supuesto, además, es necesario que el contrato de prestación de servicios que pretende suscribirse tenga por objeto el desarrollo de actividades que estén relacionadas con el sector en el cual prestó dichos servicios. Esta incompatibilidad se extiende durante los dos años siguientes al ejercicio del </w:t>
      </w:r>
      <w:r>
        <w:rPr>
          <w:rFonts w:ascii="Verdana" w:eastAsia="Calibri" w:hAnsi="Verdana" w:cs="Arial"/>
          <w:color w:val="000000" w:themeColor="text1"/>
        </w:rPr>
        <w:lastRenderedPageBreak/>
        <w:t>cargo público.</w:t>
      </w:r>
    </w:p>
    <w:p w14:paraId="182A7E5A" w14:textId="77777777" w:rsidR="0040775C" w:rsidRPr="00B53BF2" w:rsidRDefault="0040775C" w:rsidP="0040775C">
      <w:pPr>
        <w:spacing w:after="0" w:line="276" w:lineRule="auto"/>
        <w:ind w:firstLine="709"/>
        <w:jc w:val="both"/>
        <w:rPr>
          <w:rFonts w:ascii="Verdana" w:eastAsia="Century Gothic" w:hAnsi="Verdana" w:cs="Century Gothic"/>
          <w:bCs/>
        </w:rPr>
      </w:pPr>
      <w:r w:rsidRPr="00C23CEB">
        <w:rPr>
          <w:rFonts w:ascii="Verdana" w:eastAsia="Century Gothic" w:hAnsi="Verdana" w:cs="Century Gothic"/>
          <w:bCs/>
        </w:rPr>
        <w:t>En todo caso, debe advertirse que, corresponde a las Entidades Estatales, al verificar la capacidad jurídica de las personas con quienes pretenden suscribir contratos, determinar en cada caso concreto si se configura alguna inhabilidad, incompatibilidad o conflicto de interés. En ese sentido, la conclusión aquí expuesta no remplaza el deber de verificación de las Entidades Estatales, ni puede ser tomada como un juicio de valor sobre alguna situación de orden particular.</w:t>
      </w:r>
      <w:r>
        <w:rPr>
          <w:rFonts w:ascii="Verdana" w:eastAsia="Century Gothic" w:hAnsi="Verdana" w:cs="Century Gothic"/>
          <w:bCs/>
        </w:rPr>
        <w:t xml:space="preserve"> De forma similar, esta Agencia no tiene competencia para pronunciarse sobre las posibles sanciones que deberían ser impuestas en el caso particular objeto de consulta.</w:t>
      </w:r>
    </w:p>
    <w:bookmarkEnd w:id="2"/>
    <w:p w14:paraId="313E13EB" w14:textId="77777777" w:rsidR="0040775C" w:rsidRPr="0023251A" w:rsidRDefault="0040775C" w:rsidP="0040775C">
      <w:pPr>
        <w:spacing w:after="0" w:line="276" w:lineRule="auto"/>
        <w:jc w:val="both"/>
        <w:rPr>
          <w:rFonts w:ascii="Verdana" w:eastAsia="Times New Roman" w:hAnsi="Verdana" w:cs="Arial"/>
          <w:color w:val="000000"/>
          <w:lang w:val="es-ES" w:eastAsia="es-ES"/>
        </w:rPr>
      </w:pPr>
    </w:p>
    <w:p w14:paraId="358EF451" w14:textId="77777777" w:rsidR="0040775C" w:rsidRPr="00DB2A80" w:rsidRDefault="0040775C" w:rsidP="0040775C">
      <w:pPr>
        <w:spacing w:after="120" w:line="276" w:lineRule="auto"/>
        <w:jc w:val="both"/>
        <w:rPr>
          <w:rFonts w:ascii="Verdana" w:hAnsi="Verdana"/>
        </w:rPr>
      </w:pPr>
      <w:r>
        <w:rPr>
          <w:rFonts w:ascii="Verdana" w:eastAsia="Arial" w:hAnsi="Verdana" w:cs="Arial"/>
          <w:lang w:val="es-ES_tradnl"/>
        </w:rPr>
        <w:t xml:space="preserve">iii. </w:t>
      </w:r>
      <w:r w:rsidRPr="00DB2A80">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83F8804" w14:textId="77777777" w:rsidR="0040775C" w:rsidRPr="00DB2A80" w:rsidRDefault="0040775C" w:rsidP="0040775C">
      <w:pPr>
        <w:spacing w:after="0" w:line="276" w:lineRule="auto"/>
        <w:ind w:firstLine="708"/>
        <w:jc w:val="both"/>
        <w:rPr>
          <w:rFonts w:ascii="Verdana" w:eastAsia="Calibri" w:hAnsi="Verdana" w:cs="Arial"/>
          <w:bCs/>
          <w:color w:val="000000" w:themeColor="text1"/>
        </w:rPr>
      </w:pPr>
      <w:r w:rsidRPr="00DB2A80">
        <w:rPr>
          <w:rFonts w:ascii="Verdana" w:eastAsia="Calibri" w:hAnsi="Verdana" w:cs="Arial"/>
          <w:bCs/>
          <w:color w:val="000000" w:themeColor="text1"/>
        </w:rPr>
        <w:t xml:space="preserve">Dentro de este marco, </w:t>
      </w:r>
      <w:r>
        <w:rPr>
          <w:rFonts w:ascii="Verdana" w:eastAsia="Calibri" w:hAnsi="Verdana" w:cs="Arial"/>
          <w:bCs/>
          <w:color w:val="000000" w:themeColor="text1"/>
        </w:rPr>
        <w:t xml:space="preserve">el consultante </w:t>
      </w:r>
      <w:r w:rsidRPr="00DB2A80">
        <w:rPr>
          <w:rFonts w:ascii="Verdana" w:eastAsia="Calibri" w:hAnsi="Verdana" w:cs="Arial"/>
          <w:bCs/>
          <w:color w:val="000000" w:themeColor="text1"/>
        </w:rPr>
        <w:t xml:space="preserve">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4851CAF5" w14:textId="77777777" w:rsidR="0040775C" w:rsidRPr="00DB2A80" w:rsidRDefault="0040775C" w:rsidP="0040775C">
      <w:pPr>
        <w:spacing w:after="0" w:line="276" w:lineRule="auto"/>
        <w:jc w:val="both"/>
        <w:rPr>
          <w:rFonts w:ascii="Verdana" w:eastAsia="Arial" w:hAnsi="Verdana" w:cs="Arial"/>
        </w:rPr>
      </w:pPr>
    </w:p>
    <w:p w14:paraId="04E3FA1D" w14:textId="77777777" w:rsidR="0040775C" w:rsidRPr="0060163E" w:rsidRDefault="0040775C" w:rsidP="0040775C">
      <w:pPr>
        <w:spacing w:after="0" w:line="276" w:lineRule="auto"/>
        <w:contextualSpacing/>
        <w:rPr>
          <w:rFonts w:ascii="Verdana" w:eastAsia="Calibri" w:hAnsi="Verdana" w:cs="Times New Roman"/>
          <w:b/>
          <w:bCs/>
          <w:lang w:val="es-ES"/>
        </w:rPr>
      </w:pPr>
      <w:r>
        <w:rPr>
          <w:rFonts w:ascii="Verdana" w:eastAsia="Calibri" w:hAnsi="Verdana" w:cs="Times New Roman"/>
          <w:b/>
          <w:bCs/>
          <w:lang w:val="es-ES"/>
        </w:rPr>
        <w:t xml:space="preserve">IV. </w:t>
      </w:r>
      <w:r w:rsidRPr="0060163E">
        <w:rPr>
          <w:rFonts w:ascii="Verdana" w:eastAsia="Calibri" w:hAnsi="Verdana" w:cs="Times New Roman"/>
          <w:b/>
          <w:bCs/>
          <w:lang w:val="es-ES"/>
        </w:rPr>
        <w:t>Referencias normativas, jurisprudenciales y otras fuentes:</w:t>
      </w:r>
    </w:p>
    <w:p w14:paraId="38FEED99" w14:textId="77777777" w:rsidR="0040775C" w:rsidRPr="0060163E" w:rsidRDefault="0040775C" w:rsidP="0040775C">
      <w:pPr>
        <w:widowControl w:val="0"/>
        <w:autoSpaceDE w:val="0"/>
        <w:autoSpaceDN w:val="0"/>
        <w:spacing w:after="0" w:line="276" w:lineRule="auto"/>
        <w:jc w:val="both"/>
        <w:rPr>
          <w:rFonts w:ascii="Verdana" w:hAnsi="Verdana" w:cs="Arial"/>
        </w:rPr>
      </w:pPr>
    </w:p>
    <w:tbl>
      <w:tblPr>
        <w:tblStyle w:val="Tablaconcuadrcula1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0775C" w:rsidRPr="0060163E" w14:paraId="61B91F3B" w14:textId="77777777" w:rsidTr="008456FA">
        <w:trPr>
          <w:trHeight w:val="487"/>
          <w:jc w:val="center"/>
        </w:trPr>
        <w:tc>
          <w:tcPr>
            <w:tcW w:w="8647" w:type="dxa"/>
          </w:tcPr>
          <w:p w14:paraId="26EDCFDD" w14:textId="77777777" w:rsidR="0040775C" w:rsidRDefault="0040775C" w:rsidP="0040775C">
            <w:pPr>
              <w:numPr>
                <w:ilvl w:val="0"/>
                <w:numId w:val="19"/>
              </w:numPr>
              <w:spacing w:before="120" w:after="120" w:line="276" w:lineRule="auto"/>
              <w:ind w:left="567" w:hanging="357"/>
              <w:jc w:val="both"/>
              <w:rPr>
                <w:rFonts w:ascii="Verdana" w:hAnsi="Verdana" w:cs="Arial"/>
                <w:lang w:val="es-ES"/>
              </w:rPr>
            </w:pPr>
            <w:r>
              <w:rPr>
                <w:rFonts w:ascii="Verdana" w:hAnsi="Verdana" w:cs="Arial"/>
                <w:lang w:val="es-ES"/>
              </w:rPr>
              <w:t>Ley 80 de 1993, artículos 8 y 9.</w:t>
            </w:r>
          </w:p>
          <w:p w14:paraId="0C4C1D7E" w14:textId="77777777" w:rsidR="0040775C" w:rsidRPr="00083922" w:rsidRDefault="0040775C" w:rsidP="0040775C">
            <w:pPr>
              <w:numPr>
                <w:ilvl w:val="0"/>
                <w:numId w:val="19"/>
              </w:numPr>
              <w:spacing w:before="120" w:after="120" w:line="276" w:lineRule="auto"/>
              <w:ind w:left="567"/>
              <w:jc w:val="both"/>
              <w:rPr>
                <w:rFonts w:ascii="Verdana" w:hAnsi="Verdana" w:cs="Arial"/>
                <w:lang w:val="es-ES"/>
              </w:rPr>
            </w:pPr>
            <w:r w:rsidRPr="00083922">
              <w:rPr>
                <w:rFonts w:ascii="Verdana" w:hAnsi="Verdana" w:cs="Arial"/>
                <w:lang w:val="es-ES"/>
              </w:rPr>
              <w:lastRenderedPageBreak/>
              <w:t xml:space="preserve">Consejo de Estado. Sección Tercera. Subsección A. Sentencia del 13 de noviembre de 2013. Exp. 25.646. C.P. Mauricio Fajardo Gómez. </w:t>
            </w:r>
          </w:p>
          <w:p w14:paraId="5F1413D5" w14:textId="77777777" w:rsidR="0040775C" w:rsidRPr="00083922" w:rsidRDefault="0040775C" w:rsidP="0040775C">
            <w:pPr>
              <w:numPr>
                <w:ilvl w:val="0"/>
                <w:numId w:val="19"/>
              </w:numPr>
              <w:spacing w:before="120" w:after="120" w:line="276" w:lineRule="auto"/>
              <w:ind w:left="567"/>
              <w:jc w:val="both"/>
              <w:rPr>
                <w:rFonts w:ascii="Verdana" w:hAnsi="Verdana" w:cs="Arial"/>
                <w:lang w:val="es-ES"/>
              </w:rPr>
            </w:pPr>
            <w:r w:rsidRPr="00083922">
              <w:rPr>
                <w:rFonts w:ascii="Verdana" w:hAnsi="Verdana" w:cs="Arial"/>
                <w:lang w:val="es-ES"/>
              </w:rPr>
              <w:t xml:space="preserve">Consejo de Estado. Sección Tercera. Subsección B. Sentencia del 12 de diciembre de 2014. Exp. 26496. C.P. Ramiro Pazos Guerrero. </w:t>
            </w:r>
          </w:p>
          <w:p w14:paraId="2049C0E7" w14:textId="77777777" w:rsidR="0040775C" w:rsidRPr="00083922" w:rsidRDefault="0040775C" w:rsidP="0040775C">
            <w:pPr>
              <w:numPr>
                <w:ilvl w:val="0"/>
                <w:numId w:val="19"/>
              </w:numPr>
              <w:spacing w:before="120" w:after="120" w:line="276" w:lineRule="auto"/>
              <w:ind w:left="567"/>
              <w:jc w:val="both"/>
              <w:rPr>
                <w:rFonts w:ascii="Verdana" w:hAnsi="Verdana" w:cs="Arial"/>
                <w:lang w:val="es-ES"/>
              </w:rPr>
            </w:pPr>
            <w:r w:rsidRPr="00083922">
              <w:rPr>
                <w:rFonts w:ascii="Verdana" w:hAnsi="Verdana" w:cs="Arial"/>
                <w:lang w:val="es-ES"/>
              </w:rPr>
              <w:t>Consejo de Estado. Sala de Consulta y Servicio Civil. Concepto del 30 de abril de 2015. Exp. 2251. C.P. Álvaro Namén Vargas.</w:t>
            </w:r>
          </w:p>
          <w:p w14:paraId="487A0E52" w14:textId="77777777" w:rsidR="0040775C" w:rsidRPr="00083922" w:rsidRDefault="0040775C" w:rsidP="0040775C">
            <w:pPr>
              <w:numPr>
                <w:ilvl w:val="0"/>
                <w:numId w:val="19"/>
              </w:numPr>
              <w:spacing w:before="120" w:after="120" w:line="276" w:lineRule="auto"/>
              <w:ind w:left="567"/>
              <w:jc w:val="both"/>
              <w:rPr>
                <w:rFonts w:ascii="Verdana" w:hAnsi="Verdana" w:cs="Arial"/>
                <w:lang w:val="es-ES"/>
              </w:rPr>
            </w:pPr>
            <w:r w:rsidRPr="00083922">
              <w:rPr>
                <w:rFonts w:ascii="Verdana" w:hAnsi="Verdana" w:cs="Arial"/>
                <w:lang w:val="es-ES"/>
              </w:rPr>
              <w:t>Consejo de Estado. Sección Tercera. Subsección A. Sentencia del 24 de junio de 2015. Exp. 40.635. C.P. Hernán Andrade Rincón (E).</w:t>
            </w:r>
          </w:p>
          <w:p w14:paraId="0D8446AB" w14:textId="77777777" w:rsidR="0040775C" w:rsidRPr="00083922" w:rsidRDefault="0040775C" w:rsidP="0040775C">
            <w:pPr>
              <w:numPr>
                <w:ilvl w:val="0"/>
                <w:numId w:val="19"/>
              </w:numPr>
              <w:spacing w:before="120" w:after="120" w:line="276" w:lineRule="auto"/>
              <w:ind w:left="567"/>
              <w:jc w:val="both"/>
              <w:rPr>
                <w:rFonts w:ascii="Verdana" w:hAnsi="Verdana" w:cs="Arial"/>
                <w:lang w:val="es-ES"/>
              </w:rPr>
            </w:pPr>
            <w:r w:rsidRPr="00083922">
              <w:rPr>
                <w:rFonts w:ascii="Verdana" w:hAnsi="Verdana" w:cs="Arial"/>
                <w:lang w:val="es-ES"/>
              </w:rPr>
              <w:t>Consejo de Estado. Sección Tercera. Subsección C. Sentencia del 22 de mayo de 2013. Exp. 24.057. C.P. Olga Mélida Valle De De La Hoz.</w:t>
            </w:r>
          </w:p>
          <w:p w14:paraId="2697D0A9" w14:textId="77777777" w:rsidR="0040775C" w:rsidRPr="00083922" w:rsidRDefault="0040775C" w:rsidP="0040775C">
            <w:pPr>
              <w:numPr>
                <w:ilvl w:val="0"/>
                <w:numId w:val="19"/>
              </w:numPr>
              <w:spacing w:before="120" w:after="120" w:line="276" w:lineRule="auto"/>
              <w:ind w:left="567"/>
              <w:jc w:val="both"/>
              <w:rPr>
                <w:rFonts w:ascii="Verdana" w:hAnsi="Verdana" w:cs="Arial"/>
                <w:lang w:val="es-ES"/>
              </w:rPr>
            </w:pPr>
            <w:r w:rsidRPr="00083922">
              <w:rPr>
                <w:rFonts w:ascii="Verdana" w:hAnsi="Verdana" w:cs="Arial"/>
                <w:lang w:val="es-ES"/>
              </w:rPr>
              <w:t>Corte Constitucional. Sentencia C-415 de 1994. M.P. Eduardo Cifuentes Muñoz.</w:t>
            </w:r>
          </w:p>
          <w:p w14:paraId="292CA243" w14:textId="77777777" w:rsidR="0040775C" w:rsidRPr="00083922" w:rsidRDefault="0040775C" w:rsidP="0040775C">
            <w:pPr>
              <w:numPr>
                <w:ilvl w:val="0"/>
                <w:numId w:val="19"/>
              </w:numPr>
              <w:spacing w:before="120" w:after="120" w:line="276" w:lineRule="auto"/>
              <w:ind w:left="567"/>
              <w:jc w:val="both"/>
              <w:rPr>
                <w:rFonts w:ascii="Verdana" w:hAnsi="Verdana" w:cs="Arial"/>
                <w:lang w:val="es-ES"/>
              </w:rPr>
            </w:pPr>
            <w:r w:rsidRPr="00083922">
              <w:rPr>
                <w:rFonts w:ascii="Verdana" w:hAnsi="Verdana" w:cs="Arial"/>
                <w:lang w:val="es-ES"/>
              </w:rPr>
              <w:t xml:space="preserve">Corte Constitucional. Sentencia C-181 de 1997. M.P. Fabio Morón Díaz. </w:t>
            </w:r>
          </w:p>
          <w:p w14:paraId="3059A707" w14:textId="77777777" w:rsidR="0040775C" w:rsidRPr="00083922" w:rsidRDefault="0040775C" w:rsidP="0040775C">
            <w:pPr>
              <w:numPr>
                <w:ilvl w:val="0"/>
                <w:numId w:val="19"/>
              </w:numPr>
              <w:spacing w:before="120" w:after="120" w:line="276" w:lineRule="auto"/>
              <w:ind w:left="567"/>
              <w:jc w:val="both"/>
              <w:rPr>
                <w:rFonts w:ascii="Verdana" w:hAnsi="Verdana" w:cs="Arial"/>
                <w:lang w:val="es-ES"/>
              </w:rPr>
            </w:pPr>
            <w:r w:rsidRPr="00083922">
              <w:rPr>
                <w:rFonts w:ascii="Verdana" w:hAnsi="Verdana" w:cs="Arial"/>
                <w:lang w:val="es-ES"/>
              </w:rPr>
              <w:t xml:space="preserve">Corte Constitucional. Sentencia T-1039 de 2006. M.P. Humberto Sierra Porto </w:t>
            </w:r>
          </w:p>
          <w:p w14:paraId="7A698457" w14:textId="77777777" w:rsidR="0040775C" w:rsidRPr="00083922" w:rsidRDefault="0040775C" w:rsidP="0040775C">
            <w:pPr>
              <w:numPr>
                <w:ilvl w:val="0"/>
                <w:numId w:val="19"/>
              </w:numPr>
              <w:spacing w:before="120" w:after="120" w:line="276" w:lineRule="auto"/>
              <w:ind w:left="567"/>
              <w:jc w:val="both"/>
              <w:rPr>
                <w:rFonts w:ascii="Verdana" w:hAnsi="Verdana" w:cs="Arial"/>
                <w:lang w:val="es-ES"/>
              </w:rPr>
            </w:pPr>
            <w:r w:rsidRPr="00083922">
              <w:rPr>
                <w:rFonts w:ascii="Verdana" w:hAnsi="Verdana" w:cs="Arial"/>
                <w:lang w:val="es-ES"/>
              </w:rPr>
              <w:t>Corte Constitucional. Sentencia C-1016 de 2012. M.P. Jorge Iván Palacio.</w:t>
            </w:r>
          </w:p>
          <w:p w14:paraId="3D0704C7" w14:textId="77777777" w:rsidR="0040775C" w:rsidRPr="00083922" w:rsidRDefault="0040775C" w:rsidP="0040775C">
            <w:pPr>
              <w:numPr>
                <w:ilvl w:val="0"/>
                <w:numId w:val="19"/>
              </w:numPr>
              <w:spacing w:before="120" w:after="120" w:line="276" w:lineRule="auto"/>
              <w:ind w:left="567"/>
              <w:jc w:val="both"/>
              <w:rPr>
                <w:rFonts w:ascii="Verdana" w:hAnsi="Verdana" w:cs="Arial"/>
                <w:lang w:val="es-ES"/>
              </w:rPr>
            </w:pPr>
            <w:r w:rsidRPr="00083922">
              <w:rPr>
                <w:rFonts w:ascii="Verdana" w:hAnsi="Verdana" w:cs="Arial"/>
                <w:lang w:val="es-ES"/>
              </w:rPr>
              <w:t>Consejo de Estado. Sala de Consulta y Servicio Civil. Concepto del 29 de abril de 1998. Rad. 1097. C.P. Augusto Trejos Jaramillo.</w:t>
            </w:r>
          </w:p>
          <w:p w14:paraId="514F13D8" w14:textId="77777777" w:rsidR="0040775C" w:rsidRPr="0086382A" w:rsidRDefault="0040775C" w:rsidP="0040775C">
            <w:pPr>
              <w:numPr>
                <w:ilvl w:val="0"/>
                <w:numId w:val="19"/>
              </w:numPr>
              <w:spacing w:before="120" w:after="120" w:line="276" w:lineRule="auto"/>
              <w:ind w:left="567"/>
              <w:jc w:val="both"/>
              <w:rPr>
                <w:rFonts w:ascii="Verdana" w:hAnsi="Verdana" w:cs="Arial"/>
                <w:lang w:val="es-ES"/>
              </w:rPr>
            </w:pPr>
            <w:r w:rsidRPr="00083922">
              <w:rPr>
                <w:rFonts w:ascii="Verdana" w:hAnsi="Verdana" w:cs="Arial"/>
                <w:lang w:val="es-ES"/>
              </w:rPr>
              <w:t>DAVILA VINUEZA, Luis Guillermo Régimen jurídico de la contratación estatal: aproximación crítica a Ley 80 de 1993. 3ª ed. Bogotá: Legis, 2016.</w:t>
            </w:r>
          </w:p>
        </w:tc>
      </w:tr>
    </w:tbl>
    <w:p w14:paraId="15F00B81" w14:textId="77777777" w:rsidR="0040775C" w:rsidRPr="0060163E" w:rsidRDefault="0040775C" w:rsidP="0040775C">
      <w:pPr>
        <w:spacing w:after="0" w:line="276" w:lineRule="auto"/>
        <w:ind w:left="360"/>
        <w:contextualSpacing/>
        <w:rPr>
          <w:rFonts w:ascii="Verdana" w:eastAsia="Calibri" w:hAnsi="Verdana" w:cs="Times New Roman"/>
          <w:b/>
          <w:bCs/>
          <w:lang w:val="es-ES"/>
        </w:rPr>
      </w:pPr>
    </w:p>
    <w:p w14:paraId="34F60B03" w14:textId="77777777" w:rsidR="0040775C" w:rsidRPr="0060163E" w:rsidRDefault="0040775C" w:rsidP="0040775C">
      <w:pPr>
        <w:spacing w:after="0" w:line="276" w:lineRule="auto"/>
        <w:contextualSpacing/>
        <w:rPr>
          <w:rFonts w:ascii="Verdana" w:eastAsia="Calibri" w:hAnsi="Verdana" w:cs="Times New Roman"/>
          <w:b/>
          <w:bCs/>
          <w:lang w:val="es-ES"/>
        </w:rPr>
      </w:pPr>
      <w:r>
        <w:rPr>
          <w:rFonts w:ascii="Verdana" w:eastAsia="Calibri" w:hAnsi="Verdana" w:cs="Times New Roman"/>
          <w:b/>
          <w:bCs/>
          <w:lang w:val="es-ES"/>
        </w:rPr>
        <w:t xml:space="preserve">V. </w:t>
      </w:r>
      <w:r w:rsidRPr="0060163E">
        <w:rPr>
          <w:rFonts w:ascii="Verdana" w:eastAsia="Calibri" w:hAnsi="Verdana" w:cs="Times New Roman"/>
          <w:b/>
          <w:bCs/>
          <w:lang w:val="es-ES"/>
        </w:rPr>
        <w:t>Doctrina de la Agencia Nacional de Contratación Pública:</w:t>
      </w:r>
    </w:p>
    <w:p w14:paraId="5E113FF0" w14:textId="77777777" w:rsidR="0040775C" w:rsidRPr="0060163E" w:rsidRDefault="0040775C" w:rsidP="0040775C">
      <w:pPr>
        <w:spacing w:after="0" w:line="276" w:lineRule="auto"/>
        <w:rPr>
          <w:rFonts w:ascii="Verdana" w:eastAsia="Calibri" w:hAnsi="Verdana" w:cs="Times New Roman"/>
          <w:lang w:val="es-ES"/>
        </w:rPr>
      </w:pPr>
    </w:p>
    <w:p w14:paraId="56CECFD3" w14:textId="77777777" w:rsidR="0040775C" w:rsidRPr="00913D97" w:rsidRDefault="0040775C" w:rsidP="0040775C">
      <w:pPr>
        <w:widowControl w:val="0"/>
        <w:autoSpaceDE w:val="0"/>
        <w:autoSpaceDN w:val="0"/>
        <w:spacing w:after="0" w:line="276" w:lineRule="auto"/>
        <w:jc w:val="both"/>
        <w:rPr>
          <w:rFonts w:ascii="Verdana" w:hAnsi="Verdana" w:cs="Arial"/>
          <w:shd w:val="clear" w:color="auto" w:fill="FFFFFF"/>
          <w:lang w:val="es-ES"/>
        </w:rPr>
      </w:pPr>
      <w:r w:rsidRPr="0060163E">
        <w:rPr>
          <w:rFonts w:ascii="Verdana" w:hAnsi="Verdana" w:cs="Arial"/>
          <w:shd w:val="clear" w:color="auto" w:fill="FFFFFF"/>
          <w:lang w:val="es-ES"/>
        </w:rPr>
        <w:t xml:space="preserve">Esta Subdirección se ha pronunciado sobre </w:t>
      </w:r>
      <w:r>
        <w:rPr>
          <w:rFonts w:ascii="Verdana" w:hAnsi="Verdana" w:cs="Arial"/>
          <w:shd w:val="clear" w:color="auto" w:fill="FFFFFF"/>
          <w:lang w:val="es-ES"/>
        </w:rPr>
        <w:t xml:space="preserve">las inhabilidades e incompatibilidades </w:t>
      </w:r>
      <w:r w:rsidRPr="0060163E">
        <w:rPr>
          <w:rFonts w:ascii="Verdana" w:hAnsi="Verdana" w:cs="Arial"/>
          <w:shd w:val="clear" w:color="auto" w:fill="FFFFFF"/>
          <w:lang w:val="es-ES"/>
        </w:rPr>
        <w:t>en algunos conceptos, tales como:</w:t>
      </w:r>
      <w:r w:rsidRPr="0060163E">
        <w:rPr>
          <w:rFonts w:ascii="Arial" w:eastAsia="Calibri" w:hAnsi="Arial" w:cs="Arial"/>
          <w:lang w:val="es-MX"/>
        </w:rPr>
        <w:t xml:space="preserve"> </w:t>
      </w:r>
      <w:r w:rsidRPr="0060163E">
        <w:rPr>
          <w:rFonts w:ascii="Verdana" w:hAnsi="Verdana" w:cs="Arial"/>
          <w:shd w:val="clear" w:color="auto" w:fill="FFFFFF"/>
          <w:lang w:val="es-MX"/>
        </w:rPr>
        <w:t xml:space="preserve">radicados No. 4201912000004765 de 29 de agosto de 2019, 4201913000005694 del 3 de octubre de 2019, 4201912000006288 del 7 de septiembre de 2019, 4201912000006259 del 13 de noviembre de 2019, 4201913000006917 del 21 de noviembre de 2019, 4201912000006978 del 25 de noviembre de 2019, </w:t>
      </w:r>
      <w:r w:rsidRPr="0060163E">
        <w:rPr>
          <w:rFonts w:ascii="Verdana" w:hAnsi="Verdana" w:cs="Arial"/>
          <w:shd w:val="clear" w:color="auto" w:fill="FFFFFF"/>
          <w:lang w:val="es-MX"/>
        </w:rPr>
        <w:lastRenderedPageBreak/>
        <w:t xml:space="preserve">4201912000007291 del 3 de diciembre de 2019, 4201912000007281 del 5 de diciembre de 2019, 4201912000007060 del 11 de diciembre de 2019, 4201912000007512 del 16  diciembre de 2019, 4201912000008460 del 14 de febrero de 2020, C−032 del 19 de febrero de 2020,  C−402 del 26 de junio de 2020, C−365 del 30 de junio de 2020, C−386 del 24 de julio de 2020, C-585 del 14 de septiembre de 2020, C–592 del 14 de septiembre de 2020, C−551 de 24 de septiembre de 2020, C−709 del 7 de diciembre de 2020, C–721 de 14 de diciembre de 2020, C–004 del 12 de febrero de 2021, C–815 del 18 de febrero de 2021, C–047 del 8 de marzo de 2021, C–113 del 30 de marzo de 2021, C–122 del 30 de marzo de 2021, C–178 del 28 de abril de 2021, C-293 del 28 de agosto de 2021, </w:t>
      </w:r>
      <w:r w:rsidRPr="0060163E">
        <w:rPr>
          <w:rFonts w:ascii="Verdana" w:hAnsi="Verdana" w:cs="Arial"/>
          <w:shd w:val="clear" w:color="auto" w:fill="FFFFFF"/>
          <w:lang w:val="es-ES"/>
        </w:rPr>
        <w:t>C-449 del 31 de agosto de 2021, C-028 del 28 de febrero de 2022, C-318 del 18 de mayo de 2022, C-252 del 30 de mayo de 2022, C-619 del 27 de septiembre de 2022, C-731 de 10 de noviembre de 2022, C-059 de 13 de junio de 2023, C-352 del 22 de diciembre de 2023, C-010 del 31 de enero de 2024, C-023 del 26 de febrero de 2024, C-035 del 24 de abril de 2024, C-039 del 23 de abril de 2024, C-041 del 29 de mayo de 2024, C-067 del 16 de mayo de 2024, C-078 del 4 de junio de 2024, C-289 del 15 de agosto de 2023, C-172 de 25 de julio de 2024, C-271 del 22 de julio de 2024, C-904 del 9 de diciembre de 2024,</w:t>
      </w:r>
      <w:r>
        <w:rPr>
          <w:rFonts w:ascii="Verdana" w:hAnsi="Verdana" w:cs="Arial"/>
          <w:shd w:val="clear" w:color="auto" w:fill="FFFFFF"/>
          <w:lang w:val="es-ES"/>
        </w:rPr>
        <w:t xml:space="preserve"> C-170 del 19 de marzo de 2025, C-392 del 8 de mayo de 2025, C-632 del 2 de julio de 2025, C-710 del 15 de julio de 2025, </w:t>
      </w:r>
      <w:r w:rsidRPr="00913D97">
        <w:rPr>
          <w:rFonts w:ascii="Verdana" w:hAnsi="Verdana" w:cs="Arial"/>
          <w:shd w:val="clear" w:color="auto" w:fill="FFFFFF"/>
          <w:lang w:val="es-ES"/>
        </w:rPr>
        <w:t xml:space="preserve">C-731 del 21 de agosto de 2025, </w:t>
      </w:r>
      <w:r>
        <w:rPr>
          <w:rFonts w:ascii="Verdana" w:hAnsi="Verdana" w:cs="Arial"/>
          <w:shd w:val="clear" w:color="auto" w:fill="FFFFFF"/>
          <w:lang w:val="es-ES"/>
        </w:rPr>
        <w:t xml:space="preserve">C-1058 del 5 de septiembre de 2025, C-1233 del 10 de octubre de 2025, C-1388 del 30 de octubre de 2025, C-1390 del 4 de noviembre de 2025, </w:t>
      </w:r>
      <w:r w:rsidRPr="00640340">
        <w:rPr>
          <w:rFonts w:ascii="Verdana" w:hAnsi="Verdana" w:cs="Arial"/>
          <w:shd w:val="clear" w:color="auto" w:fill="FFFFFF"/>
          <w:lang w:val="es-ES"/>
        </w:rPr>
        <w:t>entre otros.</w:t>
      </w:r>
      <w:r>
        <w:rPr>
          <w:rFonts w:ascii="Verdana" w:hAnsi="Verdana" w:cs="Arial"/>
          <w:shd w:val="clear" w:color="auto" w:fill="FFFFFF"/>
          <w:lang w:val="es-ES"/>
        </w:rPr>
        <w:t xml:space="preserve"> En torno a las causales de los literales a) y f) del numeral 2 del artículo 8 de la Ley 80 de 1993 se exponen los siguientes conceptos C-624 del 30 de octubre de 2024, </w:t>
      </w:r>
      <w:r w:rsidRPr="00B53BF2">
        <w:rPr>
          <w:rFonts w:ascii="Verdana" w:hAnsi="Verdana" w:cs="Arial"/>
          <w:shd w:val="clear" w:color="auto" w:fill="FFFFFF"/>
          <w:lang w:val="es-ES"/>
        </w:rPr>
        <w:t>C-1233 del 10 de octubre de 2025, C-1390 del 4 de noviembre de 2025, entre otros.</w:t>
      </w:r>
      <w:r>
        <w:rPr>
          <w:rFonts w:ascii="Verdana" w:hAnsi="Verdana" w:cs="Arial"/>
          <w:shd w:val="clear" w:color="auto" w:fill="FFFFFF"/>
          <w:lang w:val="es-ES"/>
        </w:rPr>
        <w:t xml:space="preserve"> </w:t>
      </w:r>
      <w:r w:rsidRPr="0060163E">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r>
        <w:rPr>
          <w:rFonts w:ascii="Verdana" w:eastAsia="Calibri" w:hAnsi="Verdana" w:cs="Times New Roman"/>
        </w:rPr>
        <w:t xml:space="preserve"> </w:t>
      </w:r>
      <w:hyperlink r:id="rId13" w:history="1">
        <w:r w:rsidRPr="0060163E">
          <w:rPr>
            <w:rFonts w:ascii="Verdana" w:eastAsia="Calibri" w:hAnsi="Verdana" w:cs="Times New Roman"/>
            <w:color w:val="0000FF"/>
            <w:u w:val="single"/>
            <w:lang w:val="es-ES"/>
          </w:rPr>
          <w:t>https://relatoria.colombiacompra.gov.co/busqueda/conceptos</w:t>
        </w:r>
      </w:hyperlink>
      <w:r w:rsidRPr="0060163E">
        <w:rPr>
          <w:rFonts w:ascii="Verdana" w:eastAsia="Calibri" w:hAnsi="Verdana" w:cs="Times New Roman"/>
        </w:rPr>
        <w:t xml:space="preserve">. </w:t>
      </w:r>
    </w:p>
    <w:p w14:paraId="5707B23C" w14:textId="77777777" w:rsidR="0040775C" w:rsidRPr="0060163E" w:rsidRDefault="0040775C" w:rsidP="0040775C">
      <w:pPr>
        <w:spacing w:after="0" w:line="276" w:lineRule="auto"/>
        <w:jc w:val="both"/>
        <w:rPr>
          <w:rFonts w:ascii="Verdana" w:hAnsi="Verdana"/>
        </w:rPr>
      </w:pPr>
    </w:p>
    <w:p w14:paraId="5D4D86CE" w14:textId="77777777" w:rsidR="0040775C" w:rsidRPr="00DB2A80" w:rsidRDefault="0040775C" w:rsidP="0040775C">
      <w:pPr>
        <w:spacing w:after="0" w:line="256" w:lineRule="auto"/>
        <w:jc w:val="both"/>
        <w:rPr>
          <w:rFonts w:ascii="Verdana" w:eastAsia="Calibri" w:hAnsi="Verdana" w:cs="Times New Roman"/>
        </w:rPr>
      </w:pPr>
      <w:r w:rsidRPr="00DB2A80">
        <w:rPr>
          <w:rFonts w:ascii="Verdana" w:eastAsia="Calibri" w:hAnsi="Verdana" w:cs="Times New Roman"/>
        </w:rPr>
        <w:t xml:space="preserve">Te informamos que ya se encuentra disponible la </w:t>
      </w:r>
      <w:r w:rsidRPr="00DB2A80">
        <w:rPr>
          <w:rFonts w:ascii="Verdana" w:eastAsia="Calibri" w:hAnsi="Verdana" w:cs="Times New Roman"/>
          <w:b/>
          <w:bCs/>
        </w:rPr>
        <w:t xml:space="preserve">Guía de lineamientos de transparencia y selección objetiva para el departamento de La Guajira – Objetivo sexto constitucional de la Sentencia T-302 del 2017. </w:t>
      </w:r>
      <w:r w:rsidRPr="00DB2A80">
        <w:rPr>
          <w:rFonts w:ascii="Verdana" w:eastAsia="Calibri" w:hAnsi="Verdana" w:cs="Times New Roman"/>
        </w:rPr>
        <w:t xml:space="preserve">Esta Guía se expedide en el marco del cumplimiento de la orden proferida por la Honorable </w:t>
      </w:r>
      <w:r w:rsidRPr="00DB2A80">
        <w:rPr>
          <w:rFonts w:ascii="Verdana" w:eastAsia="Calibri" w:hAnsi="Verdana" w:cs="Times New Roman"/>
        </w:rPr>
        <w:lastRenderedPageBreak/>
        <w:t xml:space="preserve">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Guía de lineamientos de transparencia y selección objetiva para el departamento de La Guajira – Objetivo sexto constitucional de la Sentencia T-302 del 2017". </w:t>
      </w:r>
    </w:p>
    <w:p w14:paraId="023972F8" w14:textId="77777777" w:rsidR="0040775C" w:rsidRPr="00DB2A80" w:rsidRDefault="0040775C" w:rsidP="0040775C">
      <w:pPr>
        <w:spacing w:after="0" w:line="256" w:lineRule="auto"/>
        <w:jc w:val="both"/>
        <w:rPr>
          <w:rFonts w:ascii="Verdana" w:eastAsia="Calibri" w:hAnsi="Verdana" w:cs="Times New Roman"/>
        </w:rPr>
      </w:pPr>
    </w:p>
    <w:p w14:paraId="70FC374F" w14:textId="77777777" w:rsidR="0040775C" w:rsidRPr="00DB2A80" w:rsidRDefault="0040775C" w:rsidP="0040775C">
      <w:pPr>
        <w:spacing w:after="0" w:line="256" w:lineRule="auto"/>
        <w:jc w:val="both"/>
        <w:rPr>
          <w:rFonts w:ascii="Verdana" w:eastAsia="Calibri" w:hAnsi="Verdana" w:cs="Times New Roman"/>
          <w:bCs/>
          <w:lang w:val="es-ES_tradnl"/>
        </w:rPr>
      </w:pPr>
      <w:r w:rsidRPr="00DB2A80">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16E2B9C8" w14:textId="77777777" w:rsidR="0040775C" w:rsidRPr="00DB2A80" w:rsidRDefault="0040775C" w:rsidP="0040775C">
      <w:pPr>
        <w:spacing w:after="0" w:line="256" w:lineRule="auto"/>
        <w:jc w:val="both"/>
        <w:rPr>
          <w:rFonts w:ascii="Verdana" w:eastAsia="Calibri" w:hAnsi="Verdana" w:cs="Times New Roman"/>
        </w:rPr>
      </w:pPr>
    </w:p>
    <w:p w14:paraId="12FDDD3D" w14:textId="77777777" w:rsidR="0040775C" w:rsidRPr="00DB2A80" w:rsidRDefault="0040775C" w:rsidP="0040775C">
      <w:pPr>
        <w:spacing w:after="0" w:line="256" w:lineRule="auto"/>
        <w:jc w:val="both"/>
        <w:rPr>
          <w:rFonts w:ascii="Verdana" w:eastAsia="Calibri" w:hAnsi="Verdana" w:cs="Times New Roman"/>
        </w:rPr>
      </w:pPr>
      <w:r w:rsidRPr="00DB2A80">
        <w:rPr>
          <w:rFonts w:ascii="Verdana" w:eastAsia="Calibri" w:hAnsi="Verdana" w:cs="Times New Roman"/>
        </w:rPr>
        <w:t>Atentamente,</w:t>
      </w:r>
    </w:p>
    <w:p w14:paraId="301D2DC0" w14:textId="77777777" w:rsidR="0040775C" w:rsidRDefault="0040775C" w:rsidP="0040775C">
      <w:pPr>
        <w:spacing w:after="0" w:line="256" w:lineRule="auto"/>
        <w:rPr>
          <w:rFonts w:ascii="Century Gothic" w:hAnsi="Century Gothic"/>
          <w:noProof/>
          <w:lang w:val="en-US"/>
        </w:rPr>
      </w:pPr>
    </w:p>
    <w:p w14:paraId="6A70E841" w14:textId="16158277" w:rsidR="0040775C" w:rsidRDefault="0090232F" w:rsidP="0040775C">
      <w:pPr>
        <w:spacing w:after="0" w:line="256" w:lineRule="auto"/>
        <w:jc w:val="center"/>
        <w:rPr>
          <w:rFonts w:ascii="Century Gothic" w:hAnsi="Century Gothic"/>
          <w:noProof/>
          <w:lang w:val="en-US"/>
        </w:rPr>
      </w:pPr>
      <w:r w:rsidRPr="002C3AD6">
        <w:rPr>
          <w:rFonts w:ascii="Century Gothic" w:hAnsi="Century Gothic"/>
          <w:noProof/>
          <w:lang w:val="en-US"/>
        </w:rPr>
        <w:drawing>
          <wp:inline distT="0" distB="0" distL="0" distR="0" wp14:anchorId="523AC63A" wp14:editId="33D38559">
            <wp:extent cx="3359650" cy="1304290"/>
            <wp:effectExtent l="0" t="0" r="0" b="0"/>
            <wp:docPr id="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4"/>
                    <a:stretch>
                      <a:fillRect/>
                    </a:stretch>
                  </pic:blipFill>
                  <pic:spPr>
                    <a:xfrm>
                      <a:off x="0" y="0"/>
                      <a:ext cx="3401869" cy="1320680"/>
                    </a:xfrm>
                    <a:prstGeom prst="rect">
                      <a:avLst/>
                    </a:prstGeom>
                  </pic:spPr>
                </pic:pic>
              </a:graphicData>
            </a:graphic>
          </wp:inline>
        </w:drawing>
      </w:r>
    </w:p>
    <w:p w14:paraId="088AE6B9" w14:textId="77777777" w:rsidR="0040775C" w:rsidRPr="00DB2A80" w:rsidRDefault="0040775C" w:rsidP="0040775C">
      <w:pPr>
        <w:spacing w:after="0" w:line="256" w:lineRule="auto"/>
        <w:rPr>
          <w:rFonts w:ascii="Century Gothic" w:hAnsi="Century Gothic"/>
          <w:noProof/>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40775C" w:rsidRPr="00DB2A80" w14:paraId="050E0333" w14:textId="77777777" w:rsidTr="008456FA">
        <w:trPr>
          <w:trHeight w:val="409"/>
        </w:trPr>
        <w:tc>
          <w:tcPr>
            <w:tcW w:w="817" w:type="dxa"/>
            <w:tcBorders>
              <w:top w:val="nil"/>
              <w:left w:val="nil"/>
              <w:bottom w:val="nil"/>
              <w:right w:val="nil"/>
            </w:tcBorders>
            <w:vAlign w:val="center"/>
            <w:hideMark/>
          </w:tcPr>
          <w:p w14:paraId="53C20A44" w14:textId="77777777" w:rsidR="0040775C" w:rsidRPr="00DB2A80" w:rsidRDefault="0040775C" w:rsidP="008456FA">
            <w:pPr>
              <w:spacing w:after="0" w:line="256" w:lineRule="auto"/>
              <w:rPr>
                <w:rFonts w:ascii="Verdana" w:eastAsia="Calibri" w:hAnsi="Verdana" w:cs="Times New Roman"/>
                <w:sz w:val="16"/>
                <w:szCs w:val="16"/>
              </w:rPr>
            </w:pPr>
            <w:r w:rsidRPr="00DB2A80">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5610C258" w14:textId="77777777" w:rsidR="0040775C" w:rsidRPr="00DB2A80" w:rsidRDefault="0040775C" w:rsidP="008456FA">
            <w:pPr>
              <w:spacing w:after="0" w:line="256" w:lineRule="auto"/>
              <w:rPr>
                <w:rFonts w:ascii="Verdana" w:eastAsia="Calibri" w:hAnsi="Verdana" w:cs="Times New Roman"/>
                <w:sz w:val="16"/>
                <w:szCs w:val="16"/>
              </w:rPr>
            </w:pPr>
            <w:r w:rsidRPr="00DB2A80">
              <w:rPr>
                <w:rFonts w:ascii="Verdana" w:eastAsia="Calibri" w:hAnsi="Verdana" w:cs="Times New Roman"/>
                <w:sz w:val="16"/>
                <w:szCs w:val="16"/>
              </w:rPr>
              <w:t>José Luis Sánchez Cardona</w:t>
            </w:r>
          </w:p>
          <w:p w14:paraId="5BFC9C88" w14:textId="77777777" w:rsidR="0040775C" w:rsidRPr="00DB2A80" w:rsidRDefault="0040775C" w:rsidP="008456FA">
            <w:pPr>
              <w:spacing w:after="0" w:line="256" w:lineRule="auto"/>
              <w:rPr>
                <w:rFonts w:ascii="Verdana" w:eastAsia="Calibri" w:hAnsi="Verdana" w:cs="Times New Roman"/>
                <w:sz w:val="16"/>
                <w:szCs w:val="16"/>
              </w:rPr>
            </w:pPr>
            <w:r w:rsidRPr="00DB2A80">
              <w:rPr>
                <w:rFonts w:ascii="Verdana" w:eastAsia="Calibri" w:hAnsi="Verdana" w:cs="Times New Roman"/>
                <w:sz w:val="16"/>
                <w:szCs w:val="16"/>
              </w:rPr>
              <w:t>Contratista de la Subdirección de Gestión Contractual</w:t>
            </w:r>
          </w:p>
        </w:tc>
      </w:tr>
      <w:tr w:rsidR="0040775C" w:rsidRPr="00DB2A80" w14:paraId="70723EC4" w14:textId="77777777" w:rsidTr="008456FA">
        <w:trPr>
          <w:trHeight w:val="409"/>
        </w:trPr>
        <w:tc>
          <w:tcPr>
            <w:tcW w:w="817" w:type="dxa"/>
            <w:tcBorders>
              <w:top w:val="nil"/>
              <w:left w:val="nil"/>
              <w:bottom w:val="nil"/>
              <w:right w:val="nil"/>
            </w:tcBorders>
            <w:vAlign w:val="center"/>
            <w:hideMark/>
          </w:tcPr>
          <w:p w14:paraId="059D5D53" w14:textId="77777777" w:rsidR="0040775C" w:rsidRPr="00DB2A80" w:rsidRDefault="0040775C" w:rsidP="008456FA">
            <w:pPr>
              <w:spacing w:after="0" w:line="256" w:lineRule="auto"/>
              <w:rPr>
                <w:rFonts w:ascii="Verdana" w:eastAsia="Calibri" w:hAnsi="Verdana" w:cs="Times New Roman"/>
                <w:sz w:val="16"/>
                <w:szCs w:val="16"/>
              </w:rPr>
            </w:pPr>
            <w:r w:rsidRPr="00DB2A80">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0111E98F" w14:textId="77777777" w:rsidR="0040775C" w:rsidRPr="00DB2A80" w:rsidRDefault="0040775C" w:rsidP="008456FA">
            <w:pPr>
              <w:spacing w:after="0" w:line="256" w:lineRule="auto"/>
              <w:rPr>
                <w:rFonts w:ascii="Verdana" w:eastAsia="Calibri" w:hAnsi="Verdana" w:cs="Times New Roman"/>
                <w:sz w:val="16"/>
                <w:szCs w:val="16"/>
              </w:rPr>
            </w:pPr>
            <w:r w:rsidRPr="00DB2A80">
              <w:rPr>
                <w:rFonts w:ascii="Verdana" w:eastAsia="Calibri" w:hAnsi="Verdana" w:cs="Times New Roman"/>
                <w:sz w:val="16"/>
                <w:szCs w:val="16"/>
              </w:rPr>
              <w:t>Alejandro Sarmiento Cantillo</w:t>
            </w:r>
          </w:p>
          <w:p w14:paraId="2739D377" w14:textId="77777777" w:rsidR="0040775C" w:rsidRPr="00DB2A80" w:rsidRDefault="0040775C" w:rsidP="008456FA">
            <w:pPr>
              <w:spacing w:after="0" w:line="256" w:lineRule="auto"/>
              <w:rPr>
                <w:rFonts w:ascii="Verdana" w:eastAsia="Calibri" w:hAnsi="Verdana" w:cs="Times New Roman"/>
                <w:sz w:val="16"/>
                <w:szCs w:val="16"/>
              </w:rPr>
            </w:pPr>
            <w:r w:rsidRPr="00DB2A80">
              <w:rPr>
                <w:rFonts w:ascii="Verdana" w:eastAsia="Calibri" w:hAnsi="Verdana" w:cs="Times New Roman"/>
                <w:sz w:val="16"/>
                <w:szCs w:val="16"/>
              </w:rPr>
              <w:t>Gestor T1-15 de la Subdirección de Gestión Contractual </w:t>
            </w:r>
          </w:p>
        </w:tc>
      </w:tr>
      <w:tr w:rsidR="0040775C" w:rsidRPr="00DB2A80" w14:paraId="3BD3E399" w14:textId="77777777" w:rsidTr="008456FA">
        <w:trPr>
          <w:trHeight w:val="389"/>
        </w:trPr>
        <w:tc>
          <w:tcPr>
            <w:tcW w:w="817" w:type="dxa"/>
            <w:tcBorders>
              <w:top w:val="nil"/>
              <w:left w:val="nil"/>
              <w:bottom w:val="nil"/>
              <w:right w:val="nil"/>
            </w:tcBorders>
            <w:vAlign w:val="center"/>
            <w:hideMark/>
          </w:tcPr>
          <w:p w14:paraId="69DED5EE" w14:textId="77777777" w:rsidR="0040775C" w:rsidRPr="00DB2A80" w:rsidRDefault="0040775C" w:rsidP="008456FA">
            <w:pPr>
              <w:spacing w:after="0" w:line="256" w:lineRule="auto"/>
              <w:rPr>
                <w:rFonts w:ascii="Verdana" w:eastAsia="Calibri" w:hAnsi="Verdana" w:cs="Times New Roman"/>
                <w:sz w:val="16"/>
                <w:szCs w:val="16"/>
              </w:rPr>
            </w:pPr>
            <w:r w:rsidRPr="00DB2A80">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24C20346" w14:textId="77777777" w:rsidR="0040775C" w:rsidRPr="00DB2A80" w:rsidRDefault="0040775C" w:rsidP="008456FA">
            <w:pPr>
              <w:spacing w:after="0" w:line="256" w:lineRule="auto"/>
              <w:rPr>
                <w:rFonts w:ascii="Verdana" w:eastAsia="Calibri" w:hAnsi="Verdana" w:cs="Times New Roman"/>
                <w:sz w:val="16"/>
                <w:szCs w:val="16"/>
              </w:rPr>
            </w:pPr>
            <w:r w:rsidRPr="00DB2A80">
              <w:rPr>
                <w:rFonts w:ascii="Verdana" w:eastAsia="Calibri" w:hAnsi="Verdana" w:cs="Times New Roman"/>
                <w:sz w:val="16"/>
                <w:szCs w:val="16"/>
              </w:rPr>
              <w:t>Carolina Quintero Gacharná</w:t>
            </w:r>
          </w:p>
          <w:p w14:paraId="420458EA" w14:textId="77777777" w:rsidR="0040775C" w:rsidRPr="00DB2A80" w:rsidRDefault="0040775C" w:rsidP="008456FA">
            <w:pPr>
              <w:spacing w:after="0" w:line="256" w:lineRule="auto"/>
              <w:rPr>
                <w:rFonts w:ascii="Verdana" w:eastAsia="Calibri" w:hAnsi="Verdana" w:cs="Times New Roman"/>
                <w:sz w:val="16"/>
                <w:szCs w:val="16"/>
              </w:rPr>
            </w:pPr>
            <w:r w:rsidRPr="00DB2A80">
              <w:rPr>
                <w:rFonts w:ascii="Verdana" w:eastAsia="Calibri" w:hAnsi="Verdana" w:cs="Times New Roman"/>
                <w:sz w:val="16"/>
                <w:szCs w:val="16"/>
              </w:rPr>
              <w:t>Subdirectora de Gestión Contractual ANCP – CCE</w:t>
            </w:r>
          </w:p>
        </w:tc>
      </w:tr>
    </w:tbl>
    <w:p w14:paraId="4ACF2F36" w14:textId="77777777" w:rsidR="0040775C" w:rsidRPr="00492C00" w:rsidRDefault="0040775C" w:rsidP="0040775C">
      <w:pPr>
        <w:rPr>
          <w:rFonts w:ascii="Verdana" w:hAnsi="Verdana"/>
        </w:rPr>
      </w:pPr>
    </w:p>
    <w:p w14:paraId="0953012A" w14:textId="77777777" w:rsidR="0040775C" w:rsidRPr="00273BF5" w:rsidRDefault="0040775C" w:rsidP="0040775C"/>
    <w:p w14:paraId="506053DE" w14:textId="77777777" w:rsidR="0040775C" w:rsidRPr="0024624F" w:rsidRDefault="0040775C" w:rsidP="0040775C">
      <w:pPr>
        <w:spacing w:after="0"/>
        <w:rPr>
          <w:rFonts w:ascii="Verdana" w:hAnsi="Verdana"/>
        </w:rPr>
      </w:pPr>
    </w:p>
    <w:bookmarkEnd w:id="0"/>
    <w:p w14:paraId="5D64733D" w14:textId="0836FC1C" w:rsidR="007A1830" w:rsidRPr="0040775C" w:rsidRDefault="007A1830" w:rsidP="0040775C"/>
    <w:sectPr w:rsidR="007A1830" w:rsidRPr="0040775C"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08C980D" w14:textId="77777777" w:rsidR="002E51B0" w:rsidRDefault="002E51B0" w:rsidP="004A1847">
      <w:pPr>
        <w:spacing w:after="0" w:line="240" w:lineRule="auto"/>
      </w:pPr>
      <w:r>
        <w:separator/>
      </w:r>
    </w:p>
  </w:endnote>
  <w:endnote w:type="continuationSeparator" w:id="0">
    <w:p w14:paraId="52019588" w14:textId="77777777" w:rsidR="002E51B0" w:rsidRDefault="002E51B0"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altName w:val="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Geomanist Bold">
    <w:altName w:val="Arial"/>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911A32" w14:textId="6CE791A4" w:rsidR="004A1847" w:rsidRDefault="004A1847">
    <w:pPr>
      <w:pStyle w:val="Piedepgina"/>
    </w:pPr>
  </w:p>
  <w:p w14:paraId="594D6D9F" w14:textId="261239F3"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90232F" w:rsidRPr="0090232F">
      <w:rPr>
        <w:rFonts w:ascii="Verdana" w:eastAsiaTheme="minorEastAsia" w:hAnsi="Verdana"/>
        <w:b/>
        <w:bCs/>
        <w:noProof/>
        <w:sz w:val="16"/>
        <w:szCs w:val="16"/>
      </w:rPr>
      <w:t>22</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46D7CAE9" w:rsidR="00A31A76" w:rsidRDefault="00A31A76">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3</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21-10-2025</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D69E649" w14:textId="77777777" w:rsidR="002E51B0" w:rsidRDefault="002E51B0" w:rsidP="004A1847">
      <w:pPr>
        <w:spacing w:after="0" w:line="240" w:lineRule="auto"/>
      </w:pPr>
      <w:r>
        <w:separator/>
      </w:r>
    </w:p>
  </w:footnote>
  <w:footnote w:type="continuationSeparator" w:id="0">
    <w:p w14:paraId="5702C8E4" w14:textId="77777777" w:rsidR="002E51B0" w:rsidRDefault="002E51B0" w:rsidP="004A1847">
      <w:pPr>
        <w:spacing w:after="0" w:line="240" w:lineRule="auto"/>
      </w:pPr>
      <w:r>
        <w:continuationSeparator/>
      </w:r>
    </w:p>
  </w:footnote>
  <w:footnote w:id="1">
    <w:p w14:paraId="416100FB" w14:textId="77777777" w:rsidR="0040775C" w:rsidRPr="00DB7B3E" w:rsidRDefault="0040775C" w:rsidP="0040775C">
      <w:pPr>
        <w:pStyle w:val="Textonotapie"/>
        <w:ind w:firstLine="708"/>
        <w:jc w:val="both"/>
        <w:rPr>
          <w:rFonts w:ascii="Verdana" w:hAnsi="Verdana"/>
          <w:sz w:val="16"/>
          <w:szCs w:val="16"/>
        </w:rPr>
      </w:pPr>
      <w:r w:rsidRPr="00DB7B3E">
        <w:rPr>
          <w:rFonts w:ascii="Verdana" w:hAnsi="Verdana"/>
          <w:sz w:val="16"/>
          <w:szCs w:val="16"/>
          <w:vertAlign w:val="superscript"/>
        </w:rPr>
        <w:footnoteRef/>
      </w:r>
      <w:r w:rsidRPr="00DB7B3E">
        <w:rPr>
          <w:rFonts w:ascii="Verdana" w:hAnsi="Verdana"/>
          <w:sz w:val="16"/>
          <w:szCs w:val="16"/>
        </w:rPr>
        <w:t xml:space="preserve"> Corte Constitucional. Sentencia C-181 de 1997. M.P. Fabio Morón Díaz. Ver también las Sentencias C-540 de 2001, C-893 de 2003 y C-903 de 2008, entre otras.</w:t>
      </w:r>
    </w:p>
  </w:footnote>
  <w:footnote w:id="2">
    <w:p w14:paraId="416F8183" w14:textId="77777777" w:rsidR="0040775C" w:rsidRPr="00E34BBF" w:rsidRDefault="0040775C" w:rsidP="0040775C">
      <w:pPr>
        <w:pStyle w:val="Textonotapie"/>
        <w:ind w:firstLine="708"/>
        <w:jc w:val="both"/>
        <w:rPr>
          <w:rFonts w:ascii="Verdana" w:hAnsi="Verdana"/>
          <w:sz w:val="16"/>
          <w:szCs w:val="16"/>
          <w:lang w:val="pt-BR"/>
        </w:rPr>
      </w:pPr>
      <w:r w:rsidRPr="00E34BBF">
        <w:rPr>
          <w:rStyle w:val="Refdenotaalpie"/>
          <w:rFonts w:ascii="Verdana" w:hAnsi="Verdana"/>
          <w:sz w:val="16"/>
          <w:szCs w:val="16"/>
        </w:rPr>
        <w:footnoteRef/>
      </w:r>
      <w:r w:rsidRPr="00E34BBF">
        <w:rPr>
          <w:rFonts w:ascii="Verdana" w:hAnsi="Verdana"/>
          <w:sz w:val="16"/>
          <w:szCs w:val="16"/>
          <w:lang w:val="pt-BR"/>
        </w:rPr>
        <w:t xml:space="preserve"> Corte Constitucional. Sentencia C-1016 de 2012. M.P. Jorge Iván Palacio.</w:t>
      </w:r>
    </w:p>
  </w:footnote>
  <w:footnote w:id="3">
    <w:p w14:paraId="6DC860BE" w14:textId="77777777" w:rsidR="0040775C" w:rsidRDefault="0040775C" w:rsidP="0040775C">
      <w:pPr>
        <w:pStyle w:val="Textonotapie"/>
        <w:ind w:firstLine="708"/>
        <w:jc w:val="both"/>
        <w:rPr>
          <w:rFonts w:ascii="Verdana" w:hAnsi="Verdana"/>
          <w:sz w:val="16"/>
          <w:szCs w:val="16"/>
          <w:lang w:val="pt-BR"/>
        </w:rPr>
      </w:pPr>
      <w:r w:rsidRPr="00E34BBF">
        <w:rPr>
          <w:rStyle w:val="Refdenotaalpie"/>
          <w:rFonts w:ascii="Verdana" w:hAnsi="Verdana"/>
          <w:sz w:val="16"/>
          <w:szCs w:val="16"/>
        </w:rPr>
        <w:footnoteRef/>
      </w:r>
      <w:r w:rsidRPr="00E34BBF">
        <w:rPr>
          <w:rFonts w:ascii="Verdana" w:hAnsi="Verdana"/>
          <w:sz w:val="16"/>
          <w:szCs w:val="16"/>
        </w:rPr>
        <w:t xml:space="preserve"> </w:t>
      </w:r>
      <w:r>
        <w:rPr>
          <w:rFonts w:ascii="Verdana" w:hAnsi="Verdana"/>
          <w:sz w:val="16"/>
          <w:szCs w:val="16"/>
        </w:rPr>
        <w:t>Consejo d</w:t>
      </w:r>
      <w:r w:rsidRPr="00E34BBF">
        <w:rPr>
          <w:rFonts w:ascii="Verdana" w:hAnsi="Verdana"/>
          <w:sz w:val="16"/>
          <w:szCs w:val="16"/>
        </w:rPr>
        <w:t xml:space="preserve">e Estado. Sección Tercera. Subsección A. Sentencia del 13 de noviembre de 2013. </w:t>
      </w:r>
      <w:r w:rsidRPr="00E34BBF">
        <w:rPr>
          <w:rFonts w:ascii="Verdana" w:hAnsi="Verdana"/>
          <w:sz w:val="16"/>
          <w:szCs w:val="16"/>
          <w:lang w:val="pt-BR"/>
        </w:rPr>
        <w:t xml:space="preserve">Rad. 25.646. C.P. Mauricio Fajardo Gómez. </w:t>
      </w:r>
    </w:p>
    <w:p w14:paraId="3B345747" w14:textId="77777777" w:rsidR="0040775C" w:rsidRPr="00E34BBF" w:rsidRDefault="0040775C" w:rsidP="0040775C">
      <w:pPr>
        <w:pStyle w:val="Textonotapie"/>
        <w:ind w:firstLine="708"/>
        <w:jc w:val="both"/>
        <w:rPr>
          <w:rFonts w:ascii="Verdana" w:hAnsi="Verdana"/>
          <w:sz w:val="16"/>
          <w:szCs w:val="16"/>
          <w:lang w:val="pt-BR"/>
        </w:rPr>
      </w:pPr>
      <w:r w:rsidRPr="00E34BBF">
        <w:rPr>
          <w:rFonts w:ascii="Verdana" w:hAnsi="Verdana"/>
          <w:sz w:val="16"/>
          <w:szCs w:val="16"/>
          <w:lang w:val="pt-BR"/>
        </w:rPr>
        <w:t xml:space="preserve"> </w:t>
      </w:r>
    </w:p>
  </w:footnote>
  <w:footnote w:id="4">
    <w:p w14:paraId="62051B2E" w14:textId="77777777" w:rsidR="0040775C" w:rsidRPr="00E34BBF" w:rsidRDefault="0040775C" w:rsidP="0040775C">
      <w:pPr>
        <w:pStyle w:val="Textonotapie"/>
        <w:ind w:firstLine="708"/>
        <w:jc w:val="both"/>
        <w:rPr>
          <w:rFonts w:ascii="Verdana" w:hAnsi="Verdana"/>
          <w:sz w:val="16"/>
          <w:szCs w:val="16"/>
          <w:lang w:val="pt-BR"/>
        </w:rPr>
      </w:pPr>
      <w:r w:rsidRPr="00E34BBF">
        <w:rPr>
          <w:rStyle w:val="Refdenotaalpie"/>
          <w:rFonts w:ascii="Verdana" w:hAnsi="Verdana"/>
          <w:sz w:val="16"/>
          <w:szCs w:val="16"/>
        </w:rPr>
        <w:footnoteRef/>
      </w:r>
      <w:r w:rsidRPr="00E34BBF">
        <w:rPr>
          <w:rFonts w:ascii="Verdana" w:hAnsi="Verdana"/>
          <w:sz w:val="16"/>
          <w:szCs w:val="16"/>
          <w:lang w:val="pt-BR"/>
        </w:rPr>
        <w:t xml:space="preserve"> Corte Constitucional. Sentencia C-415 de 1994. M.P. Eduardo Cifuentes Muñoz.</w:t>
      </w:r>
    </w:p>
  </w:footnote>
  <w:footnote w:id="5">
    <w:p w14:paraId="78F08C20" w14:textId="77777777" w:rsidR="0040775C" w:rsidRDefault="0040775C" w:rsidP="0040775C">
      <w:pPr>
        <w:pStyle w:val="Textonotapie"/>
        <w:ind w:firstLine="708"/>
        <w:jc w:val="both"/>
        <w:rPr>
          <w:rFonts w:ascii="Verdana" w:hAnsi="Verdana"/>
          <w:sz w:val="16"/>
          <w:szCs w:val="16"/>
          <w:lang w:val="pt-BR"/>
        </w:rPr>
      </w:pPr>
      <w:r w:rsidRPr="00E34BBF">
        <w:rPr>
          <w:rStyle w:val="Refdenotaalpie"/>
          <w:rFonts w:ascii="Verdana" w:hAnsi="Verdana"/>
          <w:sz w:val="16"/>
          <w:szCs w:val="16"/>
        </w:rPr>
        <w:footnoteRef/>
      </w:r>
      <w:r w:rsidRPr="00E34BBF">
        <w:rPr>
          <w:rFonts w:ascii="Verdana" w:hAnsi="Verdana"/>
          <w:sz w:val="16"/>
          <w:szCs w:val="16"/>
          <w:lang w:val="pt-BR"/>
        </w:rPr>
        <w:t xml:space="preserve"> Ibídem.</w:t>
      </w:r>
    </w:p>
    <w:p w14:paraId="3F3C8E5A" w14:textId="77777777" w:rsidR="0040775C" w:rsidRPr="00E34BBF" w:rsidRDefault="0040775C" w:rsidP="0040775C">
      <w:pPr>
        <w:pStyle w:val="Textonotapie"/>
        <w:ind w:firstLine="708"/>
        <w:jc w:val="both"/>
        <w:rPr>
          <w:rFonts w:ascii="Verdana" w:hAnsi="Verdana"/>
          <w:sz w:val="16"/>
          <w:szCs w:val="16"/>
          <w:lang w:val="pt-BR"/>
        </w:rPr>
      </w:pPr>
    </w:p>
  </w:footnote>
  <w:footnote w:id="6">
    <w:p w14:paraId="112DEDBD" w14:textId="77777777" w:rsidR="0040775C" w:rsidRDefault="0040775C" w:rsidP="0040775C">
      <w:pPr>
        <w:pStyle w:val="Textonotapie"/>
        <w:ind w:firstLine="708"/>
        <w:jc w:val="both"/>
        <w:rPr>
          <w:rFonts w:ascii="Verdana" w:hAnsi="Verdana"/>
          <w:sz w:val="16"/>
          <w:szCs w:val="16"/>
          <w:lang w:val="es-CO"/>
        </w:rPr>
      </w:pPr>
      <w:r w:rsidRPr="00E34BBF">
        <w:rPr>
          <w:rStyle w:val="Refdenotaalpie"/>
          <w:rFonts w:ascii="Verdana" w:hAnsi="Verdana"/>
          <w:sz w:val="16"/>
          <w:szCs w:val="16"/>
        </w:rPr>
        <w:footnoteRef/>
      </w:r>
      <w:r w:rsidRPr="00E34BBF">
        <w:rPr>
          <w:rFonts w:ascii="Verdana" w:hAnsi="Verdana"/>
          <w:sz w:val="16"/>
          <w:szCs w:val="16"/>
          <w:lang w:val="pt-BR"/>
        </w:rPr>
        <w:t xml:space="preserve"> Corte Constitucional. </w:t>
      </w:r>
      <w:r w:rsidRPr="00E34BBF">
        <w:rPr>
          <w:rFonts w:ascii="Verdana" w:hAnsi="Verdana"/>
          <w:sz w:val="16"/>
          <w:szCs w:val="16"/>
        </w:rPr>
        <w:t xml:space="preserve">Sentencia C-780 de 2001. </w:t>
      </w:r>
      <w:r w:rsidRPr="00E34BBF">
        <w:rPr>
          <w:rFonts w:ascii="Verdana" w:hAnsi="Verdana"/>
          <w:sz w:val="16"/>
          <w:szCs w:val="16"/>
          <w:lang w:val="es-CO"/>
        </w:rPr>
        <w:t xml:space="preserve">M.P. Jaime Córdoba Triviño. </w:t>
      </w:r>
    </w:p>
    <w:p w14:paraId="2A061360" w14:textId="77777777" w:rsidR="0040775C" w:rsidRPr="00E34BBF" w:rsidRDefault="0040775C" w:rsidP="0040775C">
      <w:pPr>
        <w:pStyle w:val="Textonotapie"/>
        <w:ind w:firstLine="708"/>
        <w:jc w:val="both"/>
        <w:rPr>
          <w:rFonts w:ascii="Verdana" w:hAnsi="Verdana"/>
          <w:sz w:val="16"/>
          <w:szCs w:val="16"/>
          <w:lang w:val="es-CO"/>
        </w:rPr>
      </w:pPr>
    </w:p>
  </w:footnote>
  <w:footnote w:id="7">
    <w:p w14:paraId="462207B1" w14:textId="77777777" w:rsidR="0040775C" w:rsidRPr="00E34BBF" w:rsidRDefault="0040775C" w:rsidP="0040775C">
      <w:pPr>
        <w:pStyle w:val="NormalWeb"/>
        <w:spacing w:before="0" w:beforeAutospacing="0" w:after="0" w:afterAutospacing="0"/>
        <w:ind w:firstLine="708"/>
        <w:jc w:val="both"/>
        <w:rPr>
          <w:rFonts w:ascii="Verdana" w:eastAsia="Calibri" w:hAnsi="Verdana" w:cs="Arial"/>
          <w:sz w:val="16"/>
          <w:szCs w:val="16"/>
          <w:lang w:val="es-ES" w:eastAsia="en-US"/>
        </w:rPr>
      </w:pPr>
      <w:r w:rsidRPr="00E34BBF">
        <w:rPr>
          <w:rStyle w:val="Refdenotaalpie"/>
          <w:rFonts w:ascii="Verdana" w:hAnsi="Verdana"/>
          <w:sz w:val="16"/>
          <w:szCs w:val="16"/>
        </w:rPr>
        <w:footnoteRef/>
      </w:r>
      <w:r w:rsidRPr="00E34BBF">
        <w:rPr>
          <w:rFonts w:ascii="Verdana" w:hAnsi="Verdana"/>
          <w:sz w:val="16"/>
          <w:szCs w:val="16"/>
        </w:rPr>
        <w:t xml:space="preserve"> </w:t>
      </w:r>
      <w:r>
        <w:rPr>
          <w:rFonts w:ascii="Verdana" w:eastAsia="Calibri" w:hAnsi="Verdana" w:cs="Arial"/>
          <w:sz w:val="16"/>
          <w:szCs w:val="16"/>
          <w:lang w:val="es-ES" w:eastAsia="en-US"/>
        </w:rPr>
        <w:t>Ley 80 de 1993: “</w:t>
      </w:r>
      <w:r w:rsidRPr="00E34BBF">
        <w:rPr>
          <w:rFonts w:ascii="Verdana" w:eastAsia="Calibri" w:hAnsi="Verdana" w:cs="Arial"/>
          <w:sz w:val="16"/>
          <w:szCs w:val="16"/>
          <w:lang w:val="es-ES" w:eastAsia="en-US"/>
        </w:rPr>
        <w:t>Artículo 8: 1o. Son inhábiles para participar en licitaciones o concursos y para celebrar contratos con las entidades estatales: </w:t>
      </w:r>
    </w:p>
    <w:p w14:paraId="228DE586" w14:textId="77777777" w:rsidR="0040775C" w:rsidRPr="00E34BBF" w:rsidRDefault="0040775C" w:rsidP="0040775C">
      <w:pPr>
        <w:pStyle w:val="NormalWeb"/>
        <w:spacing w:before="0" w:beforeAutospacing="0" w:after="0" w:afterAutospacing="0"/>
        <w:jc w:val="both"/>
        <w:rPr>
          <w:rFonts w:ascii="Verdana" w:eastAsia="Calibri" w:hAnsi="Verdana" w:cs="Arial"/>
          <w:sz w:val="16"/>
          <w:szCs w:val="16"/>
          <w:lang w:val="es-ES" w:eastAsia="en-US"/>
        </w:rPr>
      </w:pPr>
      <w:r>
        <w:rPr>
          <w:rFonts w:ascii="Verdana" w:eastAsia="Calibri" w:hAnsi="Verdana" w:cs="Arial"/>
          <w:sz w:val="16"/>
          <w:szCs w:val="16"/>
          <w:lang w:val="es-ES" w:eastAsia="en-US"/>
        </w:rPr>
        <w:t>  </w:t>
      </w:r>
      <w:r>
        <w:rPr>
          <w:rFonts w:ascii="Verdana" w:eastAsia="Calibri" w:hAnsi="Verdana" w:cs="Arial"/>
          <w:sz w:val="16"/>
          <w:szCs w:val="16"/>
          <w:lang w:val="es-ES" w:eastAsia="en-US"/>
        </w:rPr>
        <w:tab/>
      </w:r>
      <w:r w:rsidRPr="00E34BBF">
        <w:rPr>
          <w:rFonts w:ascii="Verdana" w:eastAsia="Calibri" w:hAnsi="Verdana" w:cs="Arial"/>
          <w:sz w:val="16"/>
          <w:szCs w:val="16"/>
          <w:lang w:val="es-ES" w:eastAsia="en-US"/>
        </w:rPr>
        <w:t>a) Las personas que se hallen inhabilitadas para contratar por la Constitución y las leyes. </w:t>
      </w:r>
    </w:p>
    <w:p w14:paraId="38AAFF73" w14:textId="77777777" w:rsidR="0040775C" w:rsidRPr="00E34BBF" w:rsidRDefault="0040775C" w:rsidP="0040775C">
      <w:pPr>
        <w:pStyle w:val="NormalWeb"/>
        <w:spacing w:before="0" w:beforeAutospacing="0" w:after="0" w:afterAutospacing="0"/>
        <w:jc w:val="both"/>
        <w:rPr>
          <w:rFonts w:ascii="Verdana" w:eastAsia="Calibri" w:hAnsi="Verdana" w:cs="Arial"/>
          <w:sz w:val="16"/>
          <w:szCs w:val="16"/>
          <w:lang w:val="es-ES" w:eastAsia="en-US"/>
        </w:rPr>
      </w:pPr>
      <w:r>
        <w:rPr>
          <w:rFonts w:ascii="Verdana" w:eastAsia="Calibri" w:hAnsi="Verdana" w:cs="Arial"/>
          <w:sz w:val="16"/>
          <w:szCs w:val="16"/>
          <w:lang w:val="es-ES" w:eastAsia="en-US"/>
        </w:rPr>
        <w:t>  </w:t>
      </w:r>
      <w:r>
        <w:rPr>
          <w:rFonts w:ascii="Verdana" w:eastAsia="Calibri" w:hAnsi="Verdana" w:cs="Arial"/>
          <w:sz w:val="16"/>
          <w:szCs w:val="16"/>
          <w:lang w:val="es-ES" w:eastAsia="en-US"/>
        </w:rPr>
        <w:tab/>
      </w:r>
      <w:r w:rsidRPr="00E34BBF">
        <w:rPr>
          <w:rFonts w:ascii="Verdana" w:eastAsia="Calibri" w:hAnsi="Verdana" w:cs="Arial"/>
          <w:sz w:val="16"/>
          <w:szCs w:val="16"/>
          <w:lang w:val="es-ES" w:eastAsia="en-US"/>
        </w:rPr>
        <w:t>b) Quienes participaron en las licitaciones o concursos o celebraron los contratos de que trata el literal anterior estando inhabilitados. </w:t>
      </w:r>
    </w:p>
    <w:p w14:paraId="1316BA58" w14:textId="77777777" w:rsidR="0040775C" w:rsidRPr="00E34BBF" w:rsidRDefault="0040775C" w:rsidP="0040775C">
      <w:pPr>
        <w:pStyle w:val="NormalWeb"/>
        <w:spacing w:before="0" w:beforeAutospacing="0" w:after="0" w:afterAutospacing="0"/>
        <w:jc w:val="both"/>
        <w:rPr>
          <w:rFonts w:ascii="Verdana" w:eastAsia="Calibri" w:hAnsi="Verdana" w:cs="Arial"/>
          <w:sz w:val="16"/>
          <w:szCs w:val="16"/>
          <w:lang w:val="es-ES" w:eastAsia="en-US"/>
        </w:rPr>
      </w:pPr>
      <w:r>
        <w:rPr>
          <w:rFonts w:ascii="Verdana" w:eastAsia="Calibri" w:hAnsi="Verdana" w:cs="Arial"/>
          <w:sz w:val="16"/>
          <w:szCs w:val="16"/>
          <w:lang w:val="es-ES" w:eastAsia="en-US"/>
        </w:rPr>
        <w:t>  </w:t>
      </w:r>
      <w:r>
        <w:rPr>
          <w:rFonts w:ascii="Verdana" w:eastAsia="Calibri" w:hAnsi="Verdana" w:cs="Arial"/>
          <w:sz w:val="16"/>
          <w:szCs w:val="16"/>
          <w:lang w:val="es-ES" w:eastAsia="en-US"/>
        </w:rPr>
        <w:tab/>
      </w:r>
      <w:r w:rsidRPr="00E34BBF">
        <w:rPr>
          <w:rFonts w:ascii="Verdana" w:eastAsia="Calibri" w:hAnsi="Verdana" w:cs="Arial"/>
          <w:sz w:val="16"/>
          <w:szCs w:val="16"/>
          <w:lang w:val="es-ES" w:eastAsia="en-US"/>
        </w:rPr>
        <w:t>c) Quienes dieron lugar a la declaratoria de caducidad. </w:t>
      </w:r>
    </w:p>
    <w:p w14:paraId="69F77418" w14:textId="77777777" w:rsidR="0040775C" w:rsidRPr="00E34BBF" w:rsidRDefault="0040775C" w:rsidP="0040775C">
      <w:pPr>
        <w:pStyle w:val="NormalWeb"/>
        <w:spacing w:before="0" w:beforeAutospacing="0" w:after="0" w:afterAutospacing="0"/>
        <w:jc w:val="both"/>
        <w:rPr>
          <w:rFonts w:ascii="Verdana" w:eastAsia="Calibri" w:hAnsi="Verdana" w:cs="Arial"/>
          <w:sz w:val="16"/>
          <w:szCs w:val="16"/>
          <w:lang w:val="es-ES" w:eastAsia="en-US"/>
        </w:rPr>
      </w:pPr>
      <w:r>
        <w:rPr>
          <w:rFonts w:ascii="Verdana" w:eastAsia="Calibri" w:hAnsi="Verdana" w:cs="Arial"/>
          <w:sz w:val="16"/>
          <w:szCs w:val="16"/>
          <w:lang w:val="es-ES" w:eastAsia="en-US"/>
        </w:rPr>
        <w:t>  </w:t>
      </w:r>
      <w:r>
        <w:rPr>
          <w:rFonts w:ascii="Verdana" w:eastAsia="Calibri" w:hAnsi="Verdana" w:cs="Arial"/>
          <w:sz w:val="16"/>
          <w:szCs w:val="16"/>
          <w:lang w:val="es-ES" w:eastAsia="en-US"/>
        </w:rPr>
        <w:tab/>
      </w:r>
      <w:r w:rsidRPr="00E34BBF">
        <w:rPr>
          <w:rFonts w:ascii="Verdana" w:eastAsia="Calibri" w:hAnsi="Verdana" w:cs="Arial"/>
          <w:sz w:val="16"/>
          <w:szCs w:val="16"/>
          <w:lang w:val="es-ES" w:eastAsia="en-US"/>
        </w:rPr>
        <w:t>d) Quienes en sentencia judicial hayan sido condenados a la pena accesoria de interdicción de derechos y funciones públicas y quienes hayan sido sancionados disciplinariamente con destitución. </w:t>
      </w:r>
    </w:p>
    <w:p w14:paraId="552DAA6A" w14:textId="77777777" w:rsidR="0040775C" w:rsidRPr="00E34BBF" w:rsidRDefault="0040775C" w:rsidP="0040775C">
      <w:pPr>
        <w:pStyle w:val="NormalWeb"/>
        <w:spacing w:before="0" w:beforeAutospacing="0" w:after="0" w:afterAutospacing="0"/>
        <w:jc w:val="both"/>
        <w:rPr>
          <w:rFonts w:ascii="Verdana" w:eastAsia="Calibri" w:hAnsi="Verdana" w:cs="Arial"/>
          <w:sz w:val="16"/>
          <w:szCs w:val="16"/>
          <w:lang w:val="es-ES" w:eastAsia="en-US"/>
        </w:rPr>
      </w:pPr>
      <w:r>
        <w:rPr>
          <w:rFonts w:ascii="Verdana" w:eastAsia="Calibri" w:hAnsi="Verdana" w:cs="Arial"/>
          <w:sz w:val="16"/>
          <w:szCs w:val="16"/>
          <w:lang w:val="es-ES" w:eastAsia="en-US"/>
        </w:rPr>
        <w:t>  </w:t>
      </w:r>
      <w:r>
        <w:rPr>
          <w:rFonts w:ascii="Verdana" w:eastAsia="Calibri" w:hAnsi="Verdana" w:cs="Arial"/>
          <w:sz w:val="16"/>
          <w:szCs w:val="16"/>
          <w:lang w:val="es-ES" w:eastAsia="en-US"/>
        </w:rPr>
        <w:tab/>
      </w:r>
      <w:r w:rsidRPr="00E34BBF">
        <w:rPr>
          <w:rFonts w:ascii="Verdana" w:eastAsia="Calibri" w:hAnsi="Verdana" w:cs="Arial"/>
          <w:sz w:val="16"/>
          <w:szCs w:val="16"/>
          <w:lang w:val="es-ES" w:eastAsia="en-US"/>
        </w:rPr>
        <w:t>e) Quienes sin justa causa se abstengan de suscribir el contrato estatal adjudicado. </w:t>
      </w:r>
    </w:p>
    <w:p w14:paraId="53EF7B59" w14:textId="77777777" w:rsidR="0040775C" w:rsidRPr="00E34BBF" w:rsidRDefault="0040775C" w:rsidP="0040775C">
      <w:pPr>
        <w:pStyle w:val="NormalWeb"/>
        <w:spacing w:before="0" w:beforeAutospacing="0" w:after="0" w:afterAutospacing="0"/>
        <w:jc w:val="both"/>
        <w:rPr>
          <w:rFonts w:ascii="Verdana" w:eastAsia="Calibri" w:hAnsi="Verdana" w:cs="Arial"/>
          <w:sz w:val="16"/>
          <w:szCs w:val="16"/>
          <w:lang w:val="es-ES" w:eastAsia="en-US"/>
        </w:rPr>
      </w:pPr>
      <w:r>
        <w:rPr>
          <w:rFonts w:ascii="Verdana" w:eastAsia="Calibri" w:hAnsi="Verdana" w:cs="Arial"/>
          <w:sz w:val="16"/>
          <w:szCs w:val="16"/>
          <w:lang w:val="es-ES" w:eastAsia="en-US"/>
        </w:rPr>
        <w:t>  </w:t>
      </w:r>
      <w:r>
        <w:rPr>
          <w:rFonts w:ascii="Verdana" w:eastAsia="Calibri" w:hAnsi="Verdana" w:cs="Arial"/>
          <w:sz w:val="16"/>
          <w:szCs w:val="16"/>
          <w:lang w:val="es-ES" w:eastAsia="en-US"/>
        </w:rPr>
        <w:tab/>
      </w:r>
      <w:r w:rsidRPr="00E34BBF">
        <w:rPr>
          <w:rFonts w:ascii="Verdana" w:eastAsia="Calibri" w:hAnsi="Verdana" w:cs="Arial"/>
          <w:sz w:val="16"/>
          <w:szCs w:val="16"/>
          <w:lang w:val="es-ES" w:eastAsia="en-US"/>
        </w:rPr>
        <w:t>f) Los servidores públicos. </w:t>
      </w:r>
    </w:p>
    <w:p w14:paraId="255BF32E" w14:textId="77777777" w:rsidR="0040775C" w:rsidRPr="00E34BBF" w:rsidRDefault="0040775C" w:rsidP="0040775C">
      <w:pPr>
        <w:pStyle w:val="NormalWeb"/>
        <w:spacing w:before="0" w:beforeAutospacing="0" w:after="0" w:afterAutospacing="0"/>
        <w:jc w:val="both"/>
        <w:rPr>
          <w:rFonts w:ascii="Verdana" w:eastAsia="Calibri" w:hAnsi="Verdana" w:cs="Arial"/>
          <w:sz w:val="16"/>
          <w:szCs w:val="16"/>
          <w:lang w:val="es-ES" w:eastAsia="en-US"/>
        </w:rPr>
      </w:pPr>
      <w:r>
        <w:rPr>
          <w:rFonts w:ascii="Verdana" w:eastAsia="Calibri" w:hAnsi="Verdana" w:cs="Arial"/>
          <w:sz w:val="16"/>
          <w:szCs w:val="16"/>
          <w:lang w:val="es-ES" w:eastAsia="en-US"/>
        </w:rPr>
        <w:t>  </w:t>
      </w:r>
      <w:r>
        <w:rPr>
          <w:rFonts w:ascii="Verdana" w:eastAsia="Calibri" w:hAnsi="Verdana" w:cs="Arial"/>
          <w:sz w:val="16"/>
          <w:szCs w:val="16"/>
          <w:lang w:val="es-ES" w:eastAsia="en-US"/>
        </w:rPr>
        <w:tab/>
      </w:r>
      <w:r w:rsidRPr="00E34BBF">
        <w:rPr>
          <w:rFonts w:ascii="Verdana" w:eastAsia="Calibri" w:hAnsi="Verdana" w:cs="Arial"/>
          <w:sz w:val="16"/>
          <w:szCs w:val="16"/>
          <w:lang w:val="es-ES" w:eastAsia="en-US"/>
        </w:rPr>
        <w:t>g) Quienes sean cónyuges o compañeros permanentes y quienes se encuentren dentro del segundo grado de consanguinidad o segundo de afinidad con cualquier otra persona que formalmente haya presentado propuesta para una misma licitación o concurso. </w:t>
      </w:r>
    </w:p>
    <w:p w14:paraId="538CEA20" w14:textId="77777777" w:rsidR="0040775C" w:rsidRPr="00E34BBF" w:rsidRDefault="0040775C" w:rsidP="0040775C">
      <w:pPr>
        <w:pStyle w:val="NormalWeb"/>
        <w:spacing w:before="0" w:beforeAutospacing="0" w:after="0" w:afterAutospacing="0"/>
        <w:ind w:firstLine="708"/>
        <w:jc w:val="both"/>
        <w:rPr>
          <w:rFonts w:ascii="Verdana" w:eastAsia="Calibri" w:hAnsi="Verdana" w:cs="Arial"/>
          <w:sz w:val="16"/>
          <w:szCs w:val="16"/>
          <w:lang w:val="es-ES" w:eastAsia="en-US"/>
        </w:rPr>
      </w:pPr>
      <w:r w:rsidRPr="00E34BBF">
        <w:rPr>
          <w:rFonts w:ascii="Verdana" w:eastAsia="Calibri" w:hAnsi="Verdana" w:cs="Arial"/>
          <w:sz w:val="16"/>
          <w:szCs w:val="16"/>
          <w:lang w:val="es-ES" w:eastAsia="en-US"/>
        </w:rPr>
        <w:t>h) Las sociedades distintas de las anónimas abiertas, en las cuales el representante legal o cualquiera de sus socios tenga parentesco en segundo grado de consanguinidad o segundo de afinidad con el representante legal o con cualquiera de los socios de una sociedad que formalmente haya presentado propuesta, para una misma licitación o concurso. </w:t>
      </w:r>
    </w:p>
    <w:p w14:paraId="5FFEB33A" w14:textId="77777777" w:rsidR="0040775C" w:rsidRPr="00E34BBF" w:rsidRDefault="0040775C" w:rsidP="0040775C">
      <w:pPr>
        <w:pStyle w:val="NormalWeb"/>
        <w:spacing w:before="0" w:beforeAutospacing="0" w:after="0" w:afterAutospacing="0"/>
        <w:jc w:val="both"/>
        <w:rPr>
          <w:rFonts w:ascii="Verdana" w:eastAsia="Calibri" w:hAnsi="Verdana" w:cs="Arial"/>
          <w:sz w:val="16"/>
          <w:szCs w:val="16"/>
          <w:lang w:val="es-ES" w:eastAsia="en-US"/>
        </w:rPr>
      </w:pPr>
      <w:r>
        <w:rPr>
          <w:rFonts w:ascii="Verdana" w:eastAsia="Calibri" w:hAnsi="Verdana" w:cs="Arial"/>
          <w:sz w:val="16"/>
          <w:szCs w:val="16"/>
          <w:lang w:val="es-ES" w:eastAsia="en-US"/>
        </w:rPr>
        <w:t>  </w:t>
      </w:r>
      <w:r>
        <w:rPr>
          <w:rFonts w:ascii="Verdana" w:eastAsia="Calibri" w:hAnsi="Verdana" w:cs="Arial"/>
          <w:sz w:val="16"/>
          <w:szCs w:val="16"/>
          <w:lang w:val="es-ES" w:eastAsia="en-US"/>
        </w:rPr>
        <w:tab/>
      </w:r>
      <w:r w:rsidRPr="00E34BBF">
        <w:rPr>
          <w:rFonts w:ascii="Verdana" w:eastAsia="Calibri" w:hAnsi="Verdana" w:cs="Arial"/>
          <w:sz w:val="16"/>
          <w:szCs w:val="16"/>
          <w:lang w:val="es-ES" w:eastAsia="en-US"/>
        </w:rPr>
        <w:t>i) Los socios de sociedades de personas a las cuales se haya declarado la caducidad, así como las sociedades de personas de las que aquellos formen parte con posterioridad a dicha declaratoria. </w:t>
      </w:r>
    </w:p>
    <w:p w14:paraId="492E9D99" w14:textId="77777777" w:rsidR="0040775C" w:rsidRPr="00E34BBF" w:rsidRDefault="0040775C" w:rsidP="0040775C">
      <w:pPr>
        <w:pStyle w:val="NormalWeb"/>
        <w:spacing w:before="0" w:beforeAutospacing="0" w:after="0" w:afterAutospacing="0"/>
        <w:jc w:val="both"/>
        <w:rPr>
          <w:rFonts w:ascii="Verdana" w:eastAsia="Calibri" w:hAnsi="Verdana" w:cs="Arial"/>
          <w:sz w:val="16"/>
          <w:szCs w:val="16"/>
          <w:lang w:val="es-ES" w:eastAsia="en-US"/>
        </w:rPr>
      </w:pPr>
      <w:r>
        <w:rPr>
          <w:rFonts w:ascii="Verdana" w:eastAsia="Calibri" w:hAnsi="Verdana" w:cs="Arial"/>
          <w:sz w:val="16"/>
          <w:szCs w:val="16"/>
          <w:lang w:val="es-ES" w:eastAsia="en-US"/>
        </w:rPr>
        <w:t>  </w:t>
      </w:r>
      <w:r>
        <w:rPr>
          <w:rFonts w:ascii="Verdana" w:eastAsia="Calibri" w:hAnsi="Verdana" w:cs="Arial"/>
          <w:sz w:val="16"/>
          <w:szCs w:val="16"/>
          <w:lang w:val="es-ES" w:eastAsia="en-US"/>
        </w:rPr>
        <w:tab/>
      </w:r>
      <w:r w:rsidRPr="00E34BBF">
        <w:rPr>
          <w:rFonts w:ascii="Verdana" w:eastAsia="Calibri" w:hAnsi="Verdana" w:cs="Arial"/>
          <w:sz w:val="16"/>
          <w:szCs w:val="16"/>
          <w:lang w:val="es-ES" w:eastAsia="en-US"/>
        </w:rPr>
        <w:t>Las inhabilidades a que se refieren los literales c), d) e i) se extenderán por un término de cinco (5) años contado a partir de la fecha de ejecutoria del acto que declaró la caducidad, o de la sentencia que impuso la pena, o del acto que dispuso la destitución; las previstas en los literales b) y e), se extenderán por un término de cinco (5) años contado a partir de la fecha de ocurrencia del hecho de la participación en la licitación o concurso, o de la de celebración del contrato, o de la de expiración del plazo para su firma. </w:t>
      </w:r>
    </w:p>
    <w:p w14:paraId="1C60D525" w14:textId="77777777" w:rsidR="0040775C" w:rsidRPr="00E34BBF" w:rsidRDefault="0040775C" w:rsidP="0040775C">
      <w:pPr>
        <w:pStyle w:val="NormalWeb"/>
        <w:spacing w:before="0" w:beforeAutospacing="0" w:after="0" w:afterAutospacing="0"/>
        <w:jc w:val="both"/>
        <w:rPr>
          <w:rFonts w:ascii="Verdana" w:eastAsia="Calibri" w:hAnsi="Verdana" w:cs="Arial"/>
          <w:sz w:val="16"/>
          <w:szCs w:val="16"/>
          <w:lang w:val="es-ES" w:eastAsia="en-US"/>
        </w:rPr>
      </w:pPr>
      <w:r>
        <w:rPr>
          <w:rFonts w:ascii="Verdana" w:eastAsia="Calibri" w:hAnsi="Verdana" w:cs="Arial"/>
          <w:sz w:val="16"/>
          <w:szCs w:val="16"/>
          <w:lang w:val="es-ES" w:eastAsia="en-US"/>
        </w:rPr>
        <w:t>  </w:t>
      </w:r>
      <w:r>
        <w:rPr>
          <w:rFonts w:ascii="Verdana" w:eastAsia="Calibri" w:hAnsi="Verdana" w:cs="Arial"/>
          <w:sz w:val="16"/>
          <w:szCs w:val="16"/>
          <w:lang w:val="es-ES" w:eastAsia="en-US"/>
        </w:rPr>
        <w:tab/>
      </w:r>
      <w:r w:rsidRPr="00E34BBF">
        <w:rPr>
          <w:rFonts w:ascii="Verdana" w:eastAsia="Calibri" w:hAnsi="Verdana" w:cs="Arial"/>
          <w:sz w:val="16"/>
          <w:szCs w:val="16"/>
          <w:lang w:val="es-ES" w:eastAsia="en-US"/>
        </w:rPr>
        <w:t>j) Las personas naturales que hayan sido declaradas responsables judicialmente por la comisión de delitos contra la Administración pública, o de cualquiera de los delitos o faltas contempladas por la Ley 1474 de 2011 y sus normas modificatorias o de cualquiera de las conductas delictivas contempladas por las convenciones o tratados de lucha contra la corrupción suscritos y ratificados por Colombia, así como las personas jurídicas que hayan sido declaradas responsables administrativamente por la conducta de soborno transnacional.  </w:t>
      </w:r>
    </w:p>
    <w:p w14:paraId="49DDA8C2" w14:textId="77777777" w:rsidR="0040775C" w:rsidRPr="00E34BBF" w:rsidRDefault="0040775C" w:rsidP="0040775C">
      <w:pPr>
        <w:pStyle w:val="NormalWeb"/>
        <w:spacing w:before="0" w:beforeAutospacing="0" w:after="0" w:afterAutospacing="0"/>
        <w:jc w:val="both"/>
        <w:rPr>
          <w:rFonts w:ascii="Verdana" w:eastAsia="Calibri" w:hAnsi="Verdana" w:cs="Arial"/>
          <w:sz w:val="16"/>
          <w:szCs w:val="16"/>
          <w:lang w:val="es-ES" w:eastAsia="en-US"/>
        </w:rPr>
      </w:pPr>
      <w:r>
        <w:rPr>
          <w:rFonts w:ascii="Verdana" w:eastAsia="Calibri" w:hAnsi="Verdana" w:cs="Arial"/>
          <w:sz w:val="16"/>
          <w:szCs w:val="16"/>
          <w:lang w:val="es-ES" w:eastAsia="en-US"/>
        </w:rPr>
        <w:t> </w:t>
      </w:r>
      <w:r>
        <w:rPr>
          <w:rFonts w:ascii="Verdana" w:eastAsia="Calibri" w:hAnsi="Verdana" w:cs="Arial"/>
          <w:sz w:val="16"/>
          <w:szCs w:val="16"/>
          <w:lang w:val="es-ES" w:eastAsia="en-US"/>
        </w:rPr>
        <w:tab/>
      </w:r>
      <w:r w:rsidRPr="00E34BBF">
        <w:rPr>
          <w:rFonts w:ascii="Verdana" w:eastAsia="Calibri" w:hAnsi="Verdana" w:cs="Arial"/>
          <w:sz w:val="16"/>
          <w:szCs w:val="16"/>
          <w:lang w:val="es-ES" w:eastAsia="en-US"/>
        </w:rPr>
        <w:t>Esta inhabilidad procederá preventivamente aún en los casos en los que esté pendiente la decisión sobre la impugnación de la sentencia condenatoria. Asimismo, la inhabilidad se extenderá a las sociedades de las que hagan parte dichas personas en calidad de administradores, represen</w:t>
      </w:r>
      <w:r w:rsidRPr="00E34BBF">
        <w:rPr>
          <w:rFonts w:ascii="Verdana" w:eastAsia="Calibri" w:hAnsi="Verdana" w:cs="Arial"/>
          <w:sz w:val="16"/>
          <w:szCs w:val="16"/>
          <w:lang w:val="es-ES" w:eastAsia="en-US"/>
        </w:rPr>
        <w:softHyphen/>
        <w:t>tantes legales, miembros de junta directiva o de socios controlantes, a sus matrices y a sus subordinadas, a los grupos empresariales a los que estas pertenezcan cuando la conducta delictiva haya sido parte de una política del grupo y a las sucursales de sociedades extranjeras, con ex</w:t>
      </w:r>
      <w:r w:rsidRPr="00E34BBF">
        <w:rPr>
          <w:rFonts w:ascii="Verdana" w:eastAsia="Calibri" w:hAnsi="Verdana" w:cs="Arial"/>
          <w:sz w:val="16"/>
          <w:szCs w:val="16"/>
          <w:lang w:val="es-ES" w:eastAsia="en-US"/>
        </w:rPr>
        <w:softHyphen/>
        <w:t>cepción de las sociedades anónimas abiertas. También se considerarán inhabilitadas para contratar, las personas jurídicas sobre las cuales se haya ordenado la suspensión de la perso</w:t>
      </w:r>
      <w:r w:rsidRPr="00E34BBF">
        <w:rPr>
          <w:rFonts w:ascii="Verdana" w:eastAsia="Calibri" w:hAnsi="Verdana" w:cs="Arial"/>
          <w:sz w:val="16"/>
          <w:szCs w:val="16"/>
          <w:lang w:val="es-ES" w:eastAsia="en-US"/>
        </w:rPr>
        <w:softHyphen/>
        <w:t>nería jurídica en los términos de ley, o cuyos representantes legales, ad</w:t>
      </w:r>
      <w:r w:rsidRPr="00E34BBF">
        <w:rPr>
          <w:rFonts w:ascii="Verdana" w:eastAsia="Calibri" w:hAnsi="Verdana" w:cs="Arial"/>
          <w:sz w:val="16"/>
          <w:szCs w:val="16"/>
          <w:lang w:val="es-ES" w:eastAsia="en-US"/>
        </w:rPr>
        <w:softHyphen/>
        <w:t>ministradores de hecho o de derecho, miembros de junta directiva o sus socios controlantes, sus matrices, subordinadas y/o las sucursales de sociedades extranjeras, hayan sido beneficiados con la aplicación de un principio de oportunidad por cualquier delito contra la Administración pública o el patrimonio del Estado.  La inhabilidad prevista en este literal se extenderá de forma perma</w:t>
      </w:r>
      <w:r w:rsidRPr="00E34BBF">
        <w:rPr>
          <w:rFonts w:ascii="Verdana" w:eastAsia="Calibri" w:hAnsi="Verdana" w:cs="Arial"/>
          <w:sz w:val="16"/>
          <w:szCs w:val="16"/>
          <w:lang w:val="es-ES" w:eastAsia="en-US"/>
        </w:rPr>
        <w:softHyphen/>
        <w:t>nente a las sociedades de las que hagan parte dichas personas en las calidades presentadas en los incisos anteriores, y se aplicará de igual forma a las personas naturales que hayan sido declaradas responsables judicialmente por la comisión de delitos mencionados en este literal. </w:t>
      </w:r>
    </w:p>
    <w:p w14:paraId="579FFCC8" w14:textId="77777777" w:rsidR="0040775C" w:rsidRPr="00E34BBF" w:rsidRDefault="0040775C" w:rsidP="0040775C">
      <w:pPr>
        <w:pStyle w:val="NormalWeb"/>
        <w:spacing w:before="0" w:beforeAutospacing="0" w:after="0" w:afterAutospacing="0"/>
        <w:jc w:val="both"/>
        <w:rPr>
          <w:rFonts w:ascii="Verdana" w:eastAsia="Calibri" w:hAnsi="Verdana" w:cs="Arial"/>
          <w:sz w:val="16"/>
          <w:szCs w:val="16"/>
          <w:lang w:val="es-ES" w:eastAsia="en-US"/>
        </w:rPr>
      </w:pPr>
      <w:r w:rsidRPr="00E34BBF">
        <w:rPr>
          <w:rFonts w:ascii="Verdana" w:eastAsia="Calibri" w:hAnsi="Verdana" w:cs="Arial"/>
          <w:sz w:val="16"/>
          <w:szCs w:val="16"/>
          <w:lang w:val="es-ES" w:eastAsia="en-US"/>
        </w:rPr>
        <w:t>[…]</w:t>
      </w:r>
    </w:p>
    <w:p w14:paraId="2FB16A7C" w14:textId="77777777" w:rsidR="0040775C" w:rsidRPr="00E34BBF" w:rsidRDefault="0040775C" w:rsidP="0040775C">
      <w:pPr>
        <w:pStyle w:val="NormalWeb"/>
        <w:spacing w:before="0" w:beforeAutospacing="0" w:after="0" w:afterAutospacing="0"/>
        <w:ind w:firstLine="708"/>
        <w:jc w:val="both"/>
        <w:rPr>
          <w:rFonts w:ascii="Verdana" w:eastAsia="Calibri" w:hAnsi="Verdana" w:cs="Arial"/>
          <w:sz w:val="16"/>
          <w:szCs w:val="16"/>
          <w:lang w:val="es-ES" w:eastAsia="en-US"/>
        </w:rPr>
      </w:pPr>
      <w:r w:rsidRPr="00E34BBF">
        <w:rPr>
          <w:rFonts w:ascii="Verdana" w:eastAsia="Calibri" w:hAnsi="Verdana" w:cs="Arial"/>
          <w:sz w:val="16"/>
          <w:szCs w:val="16"/>
          <w:lang w:val="es-ES" w:eastAsia="en-US"/>
        </w:rPr>
        <w:t>2o. Tampoco podrán participar en licitaciones o concursos ni celebrar contratos estatales con la entidad respectiva: </w:t>
      </w:r>
    </w:p>
    <w:p w14:paraId="444EEB1E" w14:textId="77777777" w:rsidR="0040775C" w:rsidRPr="00E34BBF" w:rsidRDefault="0040775C" w:rsidP="0040775C">
      <w:pPr>
        <w:pStyle w:val="NormalWeb"/>
        <w:spacing w:before="0" w:beforeAutospacing="0" w:after="0" w:afterAutospacing="0"/>
        <w:jc w:val="both"/>
        <w:rPr>
          <w:rFonts w:ascii="Verdana" w:eastAsia="Calibri" w:hAnsi="Verdana" w:cs="Arial"/>
          <w:sz w:val="16"/>
          <w:szCs w:val="16"/>
          <w:lang w:val="es-ES" w:eastAsia="en-US"/>
        </w:rPr>
      </w:pPr>
      <w:r>
        <w:rPr>
          <w:rFonts w:ascii="Verdana" w:eastAsia="Calibri" w:hAnsi="Verdana" w:cs="Arial"/>
          <w:sz w:val="16"/>
          <w:szCs w:val="16"/>
          <w:lang w:val="es-ES" w:eastAsia="en-US"/>
        </w:rPr>
        <w:t>  </w:t>
      </w:r>
      <w:r>
        <w:rPr>
          <w:rFonts w:ascii="Verdana" w:eastAsia="Calibri" w:hAnsi="Verdana" w:cs="Arial"/>
          <w:sz w:val="16"/>
          <w:szCs w:val="16"/>
          <w:lang w:val="es-ES" w:eastAsia="en-US"/>
        </w:rPr>
        <w:tab/>
      </w:r>
      <w:r w:rsidRPr="00E34BBF">
        <w:rPr>
          <w:rFonts w:ascii="Verdana" w:eastAsia="Calibri" w:hAnsi="Verdana" w:cs="Arial"/>
          <w:sz w:val="16"/>
          <w:szCs w:val="16"/>
          <w:lang w:val="es-ES" w:eastAsia="en-US"/>
        </w:rPr>
        <w:t>a) Quienes fueron miembros de la junta o consejo directivo o servidores públicos de la entidad contratante. Esta incompatibilidad solo comprende a quienes desempeñaron funciones en los niveles directivo, asesor o ejecutivo y se extiende por el término de un (1) año, contado a partir de la fecha del retiro. </w:t>
      </w:r>
    </w:p>
    <w:p w14:paraId="229EB019" w14:textId="77777777" w:rsidR="0040775C" w:rsidRPr="00E34BBF" w:rsidRDefault="0040775C" w:rsidP="0040775C">
      <w:pPr>
        <w:pStyle w:val="NormalWeb"/>
        <w:spacing w:before="0" w:beforeAutospacing="0" w:after="0" w:afterAutospacing="0"/>
        <w:jc w:val="both"/>
        <w:rPr>
          <w:rFonts w:ascii="Verdana" w:eastAsia="Calibri" w:hAnsi="Verdana" w:cs="Arial"/>
          <w:sz w:val="16"/>
          <w:szCs w:val="16"/>
          <w:lang w:val="es-ES" w:eastAsia="en-US"/>
        </w:rPr>
      </w:pPr>
      <w:r>
        <w:rPr>
          <w:rFonts w:ascii="Verdana" w:eastAsia="Calibri" w:hAnsi="Verdana" w:cs="Arial"/>
          <w:sz w:val="16"/>
          <w:szCs w:val="16"/>
          <w:lang w:val="es-ES" w:eastAsia="en-US"/>
        </w:rPr>
        <w:t>  </w:t>
      </w:r>
      <w:r>
        <w:rPr>
          <w:rFonts w:ascii="Verdana" w:eastAsia="Calibri" w:hAnsi="Verdana" w:cs="Arial"/>
          <w:sz w:val="16"/>
          <w:szCs w:val="16"/>
          <w:lang w:val="es-ES" w:eastAsia="en-US"/>
        </w:rPr>
        <w:tab/>
      </w:r>
      <w:r w:rsidRPr="00E34BBF">
        <w:rPr>
          <w:rFonts w:ascii="Verdana" w:eastAsia="Calibri" w:hAnsi="Verdana" w:cs="Arial"/>
          <w:sz w:val="16"/>
          <w:szCs w:val="16"/>
          <w:lang w:val="es-ES" w:eastAsia="en-US"/>
        </w:rPr>
        <w:t>b) Las personas que tengan vínculos de parentesco, hasta el segundo grado de consanguinidad, segundo de afinidad o primero civil con los servidores públicos de los niveles directivo, asesor, ejecutivo o con los miembros de la junta o consejo directivo, o con las personas que ejerzan el control interno o fiscal de la entidad contratante. </w:t>
      </w:r>
    </w:p>
    <w:p w14:paraId="3CD66C86" w14:textId="77777777" w:rsidR="0040775C" w:rsidRPr="00E34BBF" w:rsidRDefault="0040775C" w:rsidP="0040775C">
      <w:pPr>
        <w:pStyle w:val="NormalWeb"/>
        <w:spacing w:before="0" w:beforeAutospacing="0" w:after="0" w:afterAutospacing="0"/>
        <w:jc w:val="both"/>
        <w:rPr>
          <w:rFonts w:ascii="Verdana" w:eastAsia="Calibri" w:hAnsi="Verdana" w:cs="Arial"/>
          <w:sz w:val="16"/>
          <w:szCs w:val="16"/>
          <w:lang w:val="es-ES" w:eastAsia="en-US"/>
        </w:rPr>
      </w:pPr>
      <w:r>
        <w:rPr>
          <w:rFonts w:ascii="Verdana" w:eastAsia="Calibri" w:hAnsi="Verdana" w:cs="Arial"/>
          <w:sz w:val="16"/>
          <w:szCs w:val="16"/>
          <w:lang w:val="es-ES" w:eastAsia="en-US"/>
        </w:rPr>
        <w:t>  </w:t>
      </w:r>
      <w:r>
        <w:rPr>
          <w:rFonts w:ascii="Verdana" w:eastAsia="Calibri" w:hAnsi="Verdana" w:cs="Arial"/>
          <w:sz w:val="16"/>
          <w:szCs w:val="16"/>
          <w:lang w:val="es-ES" w:eastAsia="en-US"/>
        </w:rPr>
        <w:tab/>
      </w:r>
      <w:r w:rsidRPr="00E34BBF">
        <w:rPr>
          <w:rFonts w:ascii="Verdana" w:eastAsia="Calibri" w:hAnsi="Verdana" w:cs="Arial"/>
          <w:sz w:val="16"/>
          <w:szCs w:val="16"/>
          <w:lang w:val="es-ES" w:eastAsia="en-US"/>
        </w:rPr>
        <w:t>c) El cónyuge, compañero o compañera permanente del servidor público en los niveles directivo, asesor, ejecutivo, o de un miembro de la junta o consejo directivo, o de quien ejerza funciones de control interno o de control fiscal. </w:t>
      </w:r>
    </w:p>
    <w:p w14:paraId="090E286D" w14:textId="77777777" w:rsidR="0040775C" w:rsidRPr="00E34BBF" w:rsidRDefault="0040775C" w:rsidP="0040775C">
      <w:pPr>
        <w:pStyle w:val="NormalWeb"/>
        <w:spacing w:before="0" w:beforeAutospacing="0" w:after="0" w:afterAutospacing="0"/>
        <w:jc w:val="both"/>
        <w:rPr>
          <w:rFonts w:ascii="Verdana" w:eastAsia="Calibri" w:hAnsi="Verdana" w:cs="Arial"/>
          <w:sz w:val="16"/>
          <w:szCs w:val="16"/>
          <w:lang w:val="es-ES" w:eastAsia="en-US"/>
        </w:rPr>
      </w:pPr>
      <w:r>
        <w:rPr>
          <w:rFonts w:ascii="Verdana" w:eastAsia="Calibri" w:hAnsi="Verdana" w:cs="Arial"/>
          <w:sz w:val="16"/>
          <w:szCs w:val="16"/>
          <w:lang w:val="es-ES" w:eastAsia="en-US"/>
        </w:rPr>
        <w:t>  </w:t>
      </w:r>
      <w:r>
        <w:rPr>
          <w:rFonts w:ascii="Verdana" w:eastAsia="Calibri" w:hAnsi="Verdana" w:cs="Arial"/>
          <w:sz w:val="16"/>
          <w:szCs w:val="16"/>
          <w:lang w:val="es-ES" w:eastAsia="en-US"/>
        </w:rPr>
        <w:tab/>
      </w:r>
      <w:r w:rsidRPr="00E34BBF">
        <w:rPr>
          <w:rFonts w:ascii="Verdana" w:eastAsia="Calibri" w:hAnsi="Verdana" w:cs="Arial"/>
          <w:sz w:val="16"/>
          <w:szCs w:val="16"/>
          <w:lang w:val="es-ES" w:eastAsia="en-US"/>
        </w:rPr>
        <w:t>d) Las corporaciones, asociaciones, fundaciones y las sociedades anónimas que no tengan el carácter de abiertas, así como las sociedades de responsabilidad limitada y las demás sociedades de personas en las que el servidor público en los niveles directivo, asesor o ejecutivo, o el miembro de la junta o consejo directivo, o el cónyuge, compañero o compañera permanente o los parientes hasta el segundo grado de consanguinidad, afinidad o civil de cualquiera de ellos, tenga participación o desempeñe cargos de dirección o manejo. </w:t>
      </w:r>
    </w:p>
    <w:p w14:paraId="7F31859B" w14:textId="77777777" w:rsidR="0040775C" w:rsidRPr="00E34BBF" w:rsidRDefault="0040775C" w:rsidP="0040775C">
      <w:pPr>
        <w:pStyle w:val="NormalWeb"/>
        <w:spacing w:before="0" w:beforeAutospacing="0" w:after="0" w:afterAutospacing="0"/>
        <w:jc w:val="both"/>
        <w:rPr>
          <w:rFonts w:ascii="Verdana" w:eastAsia="Calibri" w:hAnsi="Verdana" w:cs="Arial"/>
          <w:sz w:val="16"/>
          <w:szCs w:val="16"/>
          <w:lang w:val="es-ES" w:eastAsia="en-US"/>
        </w:rPr>
      </w:pPr>
      <w:r>
        <w:rPr>
          <w:rFonts w:ascii="Verdana" w:eastAsia="Calibri" w:hAnsi="Verdana" w:cs="Arial"/>
          <w:sz w:val="16"/>
          <w:szCs w:val="16"/>
          <w:lang w:val="es-ES" w:eastAsia="en-US"/>
        </w:rPr>
        <w:t>  </w:t>
      </w:r>
      <w:r>
        <w:rPr>
          <w:rFonts w:ascii="Verdana" w:eastAsia="Calibri" w:hAnsi="Verdana" w:cs="Arial"/>
          <w:sz w:val="16"/>
          <w:szCs w:val="16"/>
          <w:lang w:val="es-ES" w:eastAsia="en-US"/>
        </w:rPr>
        <w:tab/>
      </w:r>
      <w:r w:rsidRPr="00E34BBF">
        <w:rPr>
          <w:rFonts w:ascii="Verdana" w:eastAsia="Calibri" w:hAnsi="Verdana" w:cs="Arial"/>
          <w:sz w:val="16"/>
          <w:szCs w:val="16"/>
          <w:lang w:val="es-ES" w:eastAsia="en-US"/>
        </w:rPr>
        <w:t>e) Los miembros de las juntas o consejos directivos. Esta incompatibilidad sólo se predica respecto de la entidad a la cual prestan sus servicios y de las del sector administrativo al que la misma esté adscrita o vinculada. </w:t>
      </w:r>
    </w:p>
    <w:p w14:paraId="29DF8B5D" w14:textId="77777777" w:rsidR="0040775C" w:rsidRDefault="0040775C" w:rsidP="0040775C">
      <w:pPr>
        <w:pStyle w:val="NormalWeb"/>
        <w:spacing w:before="0" w:beforeAutospacing="0" w:after="0" w:afterAutospacing="0"/>
        <w:ind w:firstLine="708"/>
        <w:jc w:val="both"/>
        <w:rPr>
          <w:rFonts w:ascii="Verdana" w:eastAsia="Calibri" w:hAnsi="Verdana" w:cs="Arial"/>
          <w:sz w:val="16"/>
          <w:szCs w:val="16"/>
          <w:lang w:val="pt-BR" w:eastAsia="en-US"/>
        </w:rPr>
      </w:pPr>
      <w:r w:rsidRPr="00E34BBF">
        <w:rPr>
          <w:rFonts w:ascii="Verdana" w:eastAsia="Calibri" w:hAnsi="Verdana" w:cs="Arial"/>
          <w:sz w:val="16"/>
          <w:szCs w:val="16"/>
          <w:lang w:val="es-ES" w:eastAsia="en-US"/>
        </w:rPr>
        <w:t>f) Directa o indirectamente las personas que hayan ejercido cargos en el nivel directivo en entidades del Estado y las sociedades en las cuales estos hagan parte o estén vinculados a cualquier título, durante los dos (2) años siguientes al retiro del ejercicio del cargo público, cuando el objeto que desarrollen tenga relación con el sector al cual prestaron sus servicios. Esta incompatibilidad también operará para las personas que se encuentren dentro del primer grado de consanguinidad, primero de afinidad, o primer</w:t>
      </w:r>
      <w:r>
        <w:rPr>
          <w:rFonts w:ascii="Verdana" w:eastAsia="Calibri" w:hAnsi="Verdana" w:cs="Arial"/>
          <w:sz w:val="16"/>
          <w:szCs w:val="16"/>
          <w:lang w:val="es-ES" w:eastAsia="en-US"/>
        </w:rPr>
        <w:t>o civil del ex empleado público”</w:t>
      </w:r>
      <w:r w:rsidRPr="00E34BBF">
        <w:rPr>
          <w:rFonts w:ascii="Verdana" w:eastAsia="Calibri" w:hAnsi="Verdana" w:cs="Arial"/>
          <w:sz w:val="16"/>
          <w:szCs w:val="16"/>
          <w:lang w:val="es-ES" w:eastAsia="en-US"/>
        </w:rPr>
        <w:t xml:space="preserve">. </w:t>
      </w:r>
      <w:r w:rsidRPr="00E34BBF">
        <w:rPr>
          <w:rFonts w:ascii="Verdana" w:eastAsia="Calibri" w:hAnsi="Verdana" w:cs="Arial"/>
          <w:sz w:val="16"/>
          <w:szCs w:val="16"/>
          <w:lang w:val="pt-BR" w:eastAsia="en-US"/>
        </w:rPr>
        <w:t xml:space="preserve">(…). </w:t>
      </w:r>
    </w:p>
    <w:p w14:paraId="7FF23297" w14:textId="77777777" w:rsidR="0040775C" w:rsidRPr="0045272C" w:rsidRDefault="0040775C" w:rsidP="0040775C">
      <w:pPr>
        <w:pStyle w:val="NormalWeb"/>
        <w:spacing w:before="0" w:beforeAutospacing="0" w:after="0" w:afterAutospacing="0"/>
        <w:ind w:firstLine="708"/>
        <w:jc w:val="both"/>
        <w:rPr>
          <w:rFonts w:ascii="Verdana" w:eastAsia="Calibri" w:hAnsi="Verdana" w:cs="Arial"/>
          <w:sz w:val="16"/>
          <w:szCs w:val="16"/>
          <w:lang w:val="pt-BR" w:eastAsia="en-US"/>
        </w:rPr>
      </w:pPr>
    </w:p>
  </w:footnote>
  <w:footnote w:id="8">
    <w:p w14:paraId="098BD9D3" w14:textId="77777777" w:rsidR="0040775C" w:rsidRPr="00E34BBF" w:rsidRDefault="0040775C" w:rsidP="0040775C">
      <w:pPr>
        <w:pStyle w:val="Textonotapie"/>
        <w:ind w:firstLine="708"/>
        <w:jc w:val="both"/>
        <w:rPr>
          <w:rFonts w:ascii="Verdana" w:hAnsi="Verdana"/>
          <w:sz w:val="16"/>
          <w:szCs w:val="16"/>
          <w:lang w:val="pt-BR"/>
        </w:rPr>
      </w:pPr>
      <w:r w:rsidRPr="00E34BBF">
        <w:rPr>
          <w:rStyle w:val="Refdenotaalpie"/>
          <w:rFonts w:ascii="Verdana" w:hAnsi="Verdana"/>
          <w:sz w:val="16"/>
          <w:szCs w:val="16"/>
        </w:rPr>
        <w:footnoteRef/>
      </w:r>
      <w:r w:rsidRPr="00E34BBF">
        <w:rPr>
          <w:rFonts w:ascii="Verdana" w:hAnsi="Verdana"/>
          <w:sz w:val="16"/>
          <w:szCs w:val="16"/>
          <w:lang w:val="pt-BR"/>
        </w:rPr>
        <w:t xml:space="preserve"> </w:t>
      </w:r>
      <w:r w:rsidRPr="00E34BBF">
        <w:rPr>
          <w:rFonts w:ascii="Verdana" w:hAnsi="Verdana" w:cs="Arial"/>
          <w:sz w:val="16"/>
          <w:szCs w:val="16"/>
          <w:lang w:val="pt-BR"/>
        </w:rPr>
        <w:t>Ibídem. p. 69.</w:t>
      </w:r>
    </w:p>
  </w:footnote>
  <w:footnote w:id="9">
    <w:p w14:paraId="553016A5" w14:textId="77777777" w:rsidR="0040775C" w:rsidRDefault="0040775C" w:rsidP="0040775C">
      <w:pPr>
        <w:pStyle w:val="Textonotapie"/>
        <w:ind w:firstLine="708"/>
        <w:jc w:val="both"/>
        <w:rPr>
          <w:rFonts w:ascii="Verdana" w:hAnsi="Verdana" w:cs="Arial"/>
          <w:sz w:val="16"/>
          <w:szCs w:val="16"/>
          <w:lang w:val="es-ES"/>
        </w:rPr>
      </w:pPr>
      <w:r w:rsidRPr="00E34BBF">
        <w:rPr>
          <w:rStyle w:val="Refdenotaalpie"/>
          <w:rFonts w:ascii="Verdana" w:hAnsi="Verdana"/>
          <w:sz w:val="16"/>
          <w:szCs w:val="16"/>
        </w:rPr>
        <w:footnoteRef/>
      </w:r>
      <w:r w:rsidRPr="00E34BBF">
        <w:rPr>
          <w:rFonts w:ascii="Verdana" w:hAnsi="Verdana"/>
          <w:sz w:val="16"/>
          <w:szCs w:val="16"/>
          <w:lang w:val="pt-BR"/>
        </w:rPr>
        <w:t xml:space="preserve"> </w:t>
      </w:r>
      <w:r w:rsidRPr="00E34BBF">
        <w:rPr>
          <w:rFonts w:ascii="Verdana" w:hAnsi="Verdana" w:cs="Arial"/>
          <w:sz w:val="16"/>
          <w:szCs w:val="16"/>
          <w:lang w:val="pt-BR"/>
        </w:rPr>
        <w:t xml:space="preserve">Corte Constitucional. Sentencia T-1039 de 2006. M.P. Humberto Sierra Porto. </w:t>
      </w:r>
      <w:r w:rsidRPr="00E34BBF">
        <w:rPr>
          <w:rFonts w:ascii="Verdana" w:hAnsi="Verdana" w:cs="Arial"/>
          <w:sz w:val="16"/>
          <w:szCs w:val="16"/>
          <w:lang w:val="es-ES"/>
        </w:rPr>
        <w:t xml:space="preserve">La Corte Constitucional ha mantenido este criterio en las sentencias: C-903 de 2008. M.P. Jaime Araujo Rentería; C-101 de 2018. M.P. Gloria Stella Ortiz Delgado; entre otras. </w:t>
      </w:r>
    </w:p>
    <w:p w14:paraId="30E18B1D" w14:textId="77777777" w:rsidR="0040775C" w:rsidRPr="00E34BBF" w:rsidRDefault="0040775C" w:rsidP="0040775C">
      <w:pPr>
        <w:pStyle w:val="Textonotapie"/>
        <w:ind w:firstLine="708"/>
        <w:jc w:val="both"/>
        <w:rPr>
          <w:rFonts w:ascii="Verdana" w:hAnsi="Verdana" w:cs="Arial"/>
          <w:sz w:val="16"/>
          <w:szCs w:val="16"/>
          <w:lang w:val="es-ES"/>
        </w:rPr>
      </w:pPr>
    </w:p>
  </w:footnote>
  <w:footnote w:id="10">
    <w:p w14:paraId="57A2A2D6" w14:textId="77777777" w:rsidR="0040775C" w:rsidRDefault="0040775C" w:rsidP="0040775C">
      <w:pPr>
        <w:pStyle w:val="Textonotapie"/>
        <w:ind w:firstLine="708"/>
        <w:jc w:val="both"/>
        <w:rPr>
          <w:rFonts w:ascii="Verdana" w:hAnsi="Verdana" w:cs="Arial"/>
          <w:sz w:val="16"/>
          <w:szCs w:val="16"/>
          <w:lang w:val="es-ES"/>
        </w:rPr>
      </w:pPr>
      <w:r w:rsidRPr="00E34BBF">
        <w:rPr>
          <w:rStyle w:val="Refdenotaalpie"/>
          <w:rFonts w:ascii="Verdana" w:hAnsi="Verdana"/>
          <w:sz w:val="16"/>
          <w:szCs w:val="16"/>
        </w:rPr>
        <w:footnoteRef/>
      </w:r>
      <w:r w:rsidRPr="00E34BBF">
        <w:rPr>
          <w:rFonts w:ascii="Verdana" w:hAnsi="Verdana"/>
          <w:sz w:val="16"/>
          <w:szCs w:val="16"/>
        </w:rPr>
        <w:t xml:space="preserve"> </w:t>
      </w:r>
      <w:r>
        <w:rPr>
          <w:rFonts w:ascii="Verdana" w:hAnsi="Verdana" w:cs="Arial"/>
          <w:sz w:val="16"/>
          <w:szCs w:val="16"/>
          <w:lang w:val="es-ES"/>
        </w:rPr>
        <w:t>Consejo d</w:t>
      </w:r>
      <w:r w:rsidRPr="00E34BBF">
        <w:rPr>
          <w:rFonts w:ascii="Verdana" w:hAnsi="Verdana" w:cs="Arial"/>
          <w:sz w:val="16"/>
          <w:szCs w:val="16"/>
          <w:lang w:val="es-ES"/>
        </w:rPr>
        <w:t>e Estado. Sala de Consulta y Servicio Civil. Concepto del 30 de abril de 2015. Exp. 2251. C.P. Álvaro Namén Vargas.</w:t>
      </w:r>
    </w:p>
    <w:p w14:paraId="154DDAA4" w14:textId="77777777" w:rsidR="0040775C" w:rsidRPr="0045272C" w:rsidRDefault="0040775C" w:rsidP="0040775C">
      <w:pPr>
        <w:pStyle w:val="Textonotapie"/>
        <w:ind w:firstLine="708"/>
        <w:jc w:val="both"/>
        <w:rPr>
          <w:rFonts w:ascii="Verdana" w:hAnsi="Verdana" w:cs="Arial"/>
          <w:sz w:val="16"/>
          <w:szCs w:val="16"/>
          <w:lang w:val="es-ES"/>
        </w:rPr>
      </w:pPr>
    </w:p>
  </w:footnote>
  <w:footnote w:id="11">
    <w:p w14:paraId="66C97275" w14:textId="77777777" w:rsidR="0040775C" w:rsidRDefault="0040775C" w:rsidP="0040775C">
      <w:pPr>
        <w:pStyle w:val="Textonotapie"/>
        <w:ind w:firstLine="708"/>
        <w:jc w:val="both"/>
        <w:rPr>
          <w:rFonts w:ascii="Verdana" w:hAnsi="Verdana" w:cs="Arial"/>
          <w:sz w:val="16"/>
          <w:szCs w:val="16"/>
        </w:rPr>
      </w:pPr>
      <w:r w:rsidRPr="00E34BBF">
        <w:rPr>
          <w:rStyle w:val="Refdenotaalpie"/>
          <w:rFonts w:ascii="Verdana" w:hAnsi="Verdana"/>
          <w:sz w:val="16"/>
          <w:szCs w:val="16"/>
        </w:rPr>
        <w:footnoteRef/>
      </w:r>
      <w:r w:rsidRPr="00E34BBF">
        <w:rPr>
          <w:rFonts w:ascii="Verdana" w:hAnsi="Verdana"/>
          <w:sz w:val="16"/>
          <w:szCs w:val="16"/>
        </w:rPr>
        <w:t xml:space="preserve"> </w:t>
      </w:r>
      <w:r>
        <w:rPr>
          <w:rFonts w:ascii="Verdana" w:hAnsi="Verdana" w:cs="Arial"/>
          <w:sz w:val="16"/>
          <w:szCs w:val="16"/>
        </w:rPr>
        <w:t>Consejo d</w:t>
      </w:r>
      <w:r w:rsidRPr="00E34BBF">
        <w:rPr>
          <w:rFonts w:ascii="Verdana" w:hAnsi="Verdana" w:cs="Arial"/>
          <w:sz w:val="16"/>
          <w:szCs w:val="16"/>
        </w:rPr>
        <w:t>e Estado. Sección Tercera. Subsección A. Sentencia del 24 de junio de 2015. Exp. 40.635. C.P. Hernán Andrade Rincón (E).</w:t>
      </w:r>
    </w:p>
    <w:p w14:paraId="5938EB23" w14:textId="77777777" w:rsidR="0040775C" w:rsidRPr="0045272C" w:rsidRDefault="0040775C" w:rsidP="0040775C">
      <w:pPr>
        <w:pStyle w:val="Textonotapie"/>
        <w:ind w:firstLine="708"/>
        <w:jc w:val="both"/>
        <w:rPr>
          <w:rFonts w:ascii="Verdana" w:hAnsi="Verdana" w:cs="Arial"/>
          <w:sz w:val="16"/>
          <w:szCs w:val="16"/>
        </w:rPr>
      </w:pPr>
    </w:p>
  </w:footnote>
  <w:footnote w:id="12">
    <w:p w14:paraId="77A1887C" w14:textId="77777777" w:rsidR="0040775C" w:rsidRPr="00E34BBF" w:rsidRDefault="0040775C" w:rsidP="0040775C">
      <w:pPr>
        <w:pStyle w:val="Textonotapie"/>
        <w:ind w:firstLine="708"/>
        <w:jc w:val="both"/>
        <w:rPr>
          <w:rFonts w:ascii="Verdana" w:hAnsi="Verdana"/>
          <w:sz w:val="16"/>
          <w:szCs w:val="16"/>
          <w:lang w:val="es-ES_tradnl"/>
        </w:rPr>
      </w:pPr>
      <w:r w:rsidRPr="00E34BBF">
        <w:rPr>
          <w:rStyle w:val="Refdenotaalpie"/>
          <w:rFonts w:ascii="Verdana" w:hAnsi="Verdana"/>
          <w:sz w:val="16"/>
          <w:szCs w:val="16"/>
        </w:rPr>
        <w:footnoteRef/>
      </w:r>
      <w:r w:rsidRPr="00E34BBF">
        <w:rPr>
          <w:rFonts w:ascii="Verdana" w:hAnsi="Verdana"/>
          <w:sz w:val="16"/>
          <w:szCs w:val="16"/>
        </w:rPr>
        <w:t xml:space="preserve"> </w:t>
      </w:r>
      <w:r>
        <w:rPr>
          <w:rFonts w:ascii="Verdana" w:hAnsi="Verdana" w:cs="Arial"/>
          <w:sz w:val="16"/>
          <w:szCs w:val="16"/>
        </w:rPr>
        <w:t>Consejo d</w:t>
      </w:r>
      <w:r w:rsidRPr="00E34BBF">
        <w:rPr>
          <w:rFonts w:ascii="Verdana" w:hAnsi="Verdana" w:cs="Arial"/>
          <w:sz w:val="16"/>
          <w:szCs w:val="16"/>
        </w:rPr>
        <w:t>e Estado. Sección Tercera. Subsección C. Sentencia del 22 de mayo de 2013. Rad. 24.057. C.P. Olga Mélida Valle De De La Hoz.</w:t>
      </w:r>
    </w:p>
  </w:footnote>
  <w:footnote w:id="13">
    <w:p w14:paraId="0AFDF709" w14:textId="77777777" w:rsidR="0040775C" w:rsidRPr="0045272C" w:rsidRDefault="0040775C" w:rsidP="0040775C">
      <w:pPr>
        <w:pStyle w:val="Textonotapie"/>
        <w:ind w:firstLine="708"/>
        <w:jc w:val="both"/>
        <w:rPr>
          <w:rFonts w:ascii="Verdana" w:hAnsi="Verdana" w:cs="Arial"/>
          <w:sz w:val="16"/>
          <w:szCs w:val="16"/>
          <w:lang w:val="pt-BR"/>
        </w:rPr>
      </w:pPr>
      <w:r w:rsidRPr="00E34BBF">
        <w:rPr>
          <w:rStyle w:val="Refdenotaalpie"/>
          <w:rFonts w:ascii="Verdana" w:hAnsi="Verdana"/>
          <w:sz w:val="16"/>
          <w:szCs w:val="16"/>
        </w:rPr>
        <w:footnoteRef/>
      </w:r>
      <w:r w:rsidRPr="00E34BBF">
        <w:rPr>
          <w:rFonts w:ascii="Verdana" w:hAnsi="Verdana"/>
          <w:sz w:val="16"/>
          <w:szCs w:val="16"/>
          <w:lang w:val="pt-BR"/>
        </w:rPr>
        <w:t xml:space="preserve"> </w:t>
      </w:r>
      <w:r w:rsidRPr="00E34BBF">
        <w:rPr>
          <w:rFonts w:ascii="Verdana" w:hAnsi="Verdana" w:cs="Arial"/>
          <w:sz w:val="16"/>
          <w:szCs w:val="16"/>
          <w:lang w:val="pt-BR"/>
        </w:rPr>
        <w:t>Corte Constitucional. Sentencia C-415 de 1994. M.P. Eduardo Cifuentes Muñoz.</w:t>
      </w:r>
    </w:p>
  </w:footnote>
  <w:footnote w:id="14">
    <w:p w14:paraId="4BFABCA8" w14:textId="77777777" w:rsidR="0040775C" w:rsidRPr="0045272C" w:rsidRDefault="0040775C" w:rsidP="0040775C">
      <w:pPr>
        <w:pStyle w:val="Textonotapie"/>
        <w:ind w:firstLine="708"/>
        <w:jc w:val="both"/>
        <w:rPr>
          <w:rFonts w:ascii="Verdana" w:hAnsi="Verdana" w:cs="Arial"/>
          <w:color w:val="000000"/>
          <w:sz w:val="16"/>
          <w:szCs w:val="16"/>
        </w:rPr>
      </w:pPr>
      <w:r w:rsidRPr="00E34BBF">
        <w:rPr>
          <w:rStyle w:val="Refdenotaalpie"/>
          <w:rFonts w:ascii="Verdana" w:hAnsi="Verdana"/>
          <w:sz w:val="16"/>
          <w:szCs w:val="16"/>
        </w:rPr>
        <w:footnoteRef/>
      </w:r>
      <w:r w:rsidRPr="00E34BBF">
        <w:rPr>
          <w:rFonts w:ascii="Verdana" w:hAnsi="Verdana"/>
          <w:sz w:val="16"/>
          <w:szCs w:val="16"/>
          <w:lang w:val="pt-BR"/>
        </w:rPr>
        <w:t xml:space="preserve"> </w:t>
      </w:r>
      <w:r>
        <w:rPr>
          <w:rFonts w:ascii="Verdana" w:hAnsi="Verdana" w:cs="Arial"/>
          <w:color w:val="000000"/>
          <w:sz w:val="16"/>
          <w:szCs w:val="16"/>
          <w:lang w:val="pt-BR"/>
        </w:rPr>
        <w:t>Consejo de Estado. Sección Tercera. Subsección B</w:t>
      </w:r>
      <w:r w:rsidRPr="00E34BBF">
        <w:rPr>
          <w:rFonts w:ascii="Verdana" w:hAnsi="Verdana" w:cs="Arial"/>
          <w:color w:val="000000"/>
          <w:sz w:val="16"/>
          <w:szCs w:val="16"/>
          <w:lang w:val="pt-BR"/>
        </w:rPr>
        <w:t xml:space="preserve">. Sentencia del 12 de diciembre de 2014. Exp. 26496. C.P. Ramiro Pazos Guerrero. </w:t>
      </w:r>
      <w:r w:rsidRPr="00E34BBF">
        <w:rPr>
          <w:rFonts w:ascii="Verdana" w:hAnsi="Verdana" w:cs="Arial"/>
          <w:color w:val="000000"/>
          <w:sz w:val="16"/>
          <w:szCs w:val="16"/>
        </w:rPr>
        <w:t>En similar sentido, la doctrina expresa que: “[…] las causales de inhabilidad e incompatibilidad resultan ser las que la ley de manera expresa señala, no siendo factible para las entidades estatales, crearlas en los pliegos de condiciones que elaboran (DAVILA VINUEZA, Luis Guillermo Régimen jurídico de la contratación estatal: aproximación crítica a Ley 80 de 1993. 3ª ed. Bogotá: Legis, 2016. p. 149.</w:t>
      </w:r>
    </w:p>
  </w:footnote>
  <w:footnote w:id="15">
    <w:p w14:paraId="6D244F32" w14:textId="77777777" w:rsidR="0040775C" w:rsidRPr="00E34BBF" w:rsidRDefault="0040775C" w:rsidP="0040775C">
      <w:pPr>
        <w:pStyle w:val="Textonotapie"/>
        <w:ind w:firstLine="708"/>
        <w:jc w:val="both"/>
        <w:rPr>
          <w:rFonts w:ascii="Verdana" w:hAnsi="Verdana"/>
          <w:sz w:val="16"/>
          <w:szCs w:val="16"/>
          <w:lang w:val="es-ES_tradnl"/>
        </w:rPr>
      </w:pPr>
      <w:r w:rsidRPr="00E34BBF">
        <w:rPr>
          <w:rStyle w:val="Refdenotaalpie"/>
          <w:rFonts w:ascii="Verdana" w:hAnsi="Verdana"/>
          <w:sz w:val="16"/>
          <w:szCs w:val="16"/>
        </w:rPr>
        <w:footnoteRef/>
      </w:r>
      <w:r w:rsidRPr="00E34BBF">
        <w:rPr>
          <w:rFonts w:ascii="Verdana" w:hAnsi="Verdana"/>
          <w:sz w:val="16"/>
          <w:szCs w:val="16"/>
        </w:rPr>
        <w:t xml:space="preserve"> </w:t>
      </w:r>
      <w:r>
        <w:rPr>
          <w:rFonts w:ascii="Verdana" w:hAnsi="Verdana" w:cs="Arial"/>
          <w:color w:val="000000"/>
          <w:sz w:val="16"/>
          <w:szCs w:val="16"/>
        </w:rPr>
        <w:t>Consejo d</w:t>
      </w:r>
      <w:r w:rsidRPr="00E34BBF">
        <w:rPr>
          <w:rFonts w:ascii="Verdana" w:hAnsi="Verdana" w:cs="Arial"/>
          <w:color w:val="000000"/>
          <w:sz w:val="16"/>
          <w:szCs w:val="16"/>
        </w:rPr>
        <w:t>e Estado. Sala de Consulta y Servicio Civil. Concepto del 29 de abril de 1998. Rad. 1097. C.P. Augusto Trejos Jaramillo.</w:t>
      </w:r>
    </w:p>
  </w:footnote>
  <w:footnote w:id="16">
    <w:p w14:paraId="24FF2D06" w14:textId="77777777" w:rsidR="0040775C" w:rsidRPr="00BA0618" w:rsidRDefault="0040775C" w:rsidP="0040775C">
      <w:pPr>
        <w:pStyle w:val="Textonotapie"/>
        <w:ind w:firstLine="708"/>
        <w:jc w:val="both"/>
        <w:rPr>
          <w:rFonts w:ascii="Verdana" w:hAnsi="Verdana"/>
          <w:sz w:val="16"/>
          <w:szCs w:val="16"/>
        </w:rPr>
      </w:pPr>
      <w:r w:rsidRPr="00BA0618">
        <w:rPr>
          <w:rStyle w:val="Refdenotaalpie"/>
          <w:rFonts w:ascii="Verdana" w:hAnsi="Verdana"/>
          <w:sz w:val="16"/>
          <w:szCs w:val="16"/>
        </w:rPr>
        <w:footnoteRef/>
      </w:r>
      <w:r w:rsidRPr="00BA0618">
        <w:rPr>
          <w:rFonts w:ascii="Verdana" w:hAnsi="Verdana"/>
          <w:sz w:val="16"/>
          <w:szCs w:val="16"/>
        </w:rPr>
        <w:t xml:space="preserve"> Ley 80 de 1993, Artículo 8.2. “Tampoco podrán participar en licitaciones o </w:t>
      </w:r>
      <w:r w:rsidRPr="00BA0618">
        <w:rPr>
          <w:rFonts w:ascii="Verdana" w:hAnsi="Verdana"/>
          <w:sz w:val="16"/>
          <w:szCs w:val="16"/>
          <w:u w:val="single"/>
        </w:rPr>
        <w:t>concursos</w:t>
      </w:r>
      <w:r w:rsidRPr="00BA0618">
        <w:rPr>
          <w:rFonts w:ascii="Verdana" w:hAnsi="Verdana"/>
          <w:sz w:val="16"/>
          <w:szCs w:val="16"/>
        </w:rPr>
        <w:t> ni celebrar contratos estatales con la entidad respectiva:</w:t>
      </w:r>
    </w:p>
    <w:p w14:paraId="6C6EFC65" w14:textId="77777777" w:rsidR="0040775C" w:rsidRPr="00BA0618" w:rsidRDefault="0040775C" w:rsidP="0040775C">
      <w:pPr>
        <w:pStyle w:val="Textonotapie"/>
        <w:jc w:val="both"/>
        <w:rPr>
          <w:rFonts w:ascii="Verdana" w:hAnsi="Verdana"/>
          <w:sz w:val="16"/>
          <w:szCs w:val="16"/>
        </w:rPr>
      </w:pPr>
      <w:r w:rsidRPr="00BA0618">
        <w:rPr>
          <w:rFonts w:ascii="Verdana" w:hAnsi="Verdana"/>
          <w:sz w:val="16"/>
          <w:szCs w:val="16"/>
        </w:rPr>
        <w:t>a</w:t>
      </w:r>
      <w:bookmarkStart w:id="3" w:name="8.2.a"/>
      <w:bookmarkEnd w:id="3"/>
      <w:r w:rsidRPr="00BA0618">
        <w:rPr>
          <w:rFonts w:ascii="Verdana" w:hAnsi="Verdana"/>
          <w:sz w:val="16"/>
          <w:szCs w:val="16"/>
        </w:rPr>
        <w:t>) Quienes fueron miembros de la junta o consejo directivo o servidores públicos de la entidad contratante. Esta incompatibilidad sólo comprende a quienes desempeñaron funciones en los niveles directivo, asesor o ejecutivo y se extiende por el término de un (1) año, contado a partir de la fecha del retiro”.</w:t>
      </w:r>
    </w:p>
  </w:footnote>
  <w:footnote w:id="17">
    <w:p w14:paraId="78D597E3" w14:textId="77777777" w:rsidR="0040775C" w:rsidRPr="00BA0618" w:rsidRDefault="0040775C" w:rsidP="0040775C">
      <w:pPr>
        <w:pStyle w:val="Textonotapie"/>
        <w:ind w:firstLine="708"/>
        <w:jc w:val="both"/>
        <w:rPr>
          <w:rFonts w:ascii="Verdana" w:hAnsi="Verdana"/>
          <w:sz w:val="16"/>
          <w:szCs w:val="16"/>
          <w:lang w:val="es-CO"/>
        </w:rPr>
      </w:pPr>
      <w:r w:rsidRPr="00BA0618">
        <w:rPr>
          <w:rStyle w:val="Refdenotaalpie"/>
          <w:rFonts w:ascii="Verdana" w:hAnsi="Verdana"/>
          <w:sz w:val="16"/>
          <w:szCs w:val="16"/>
        </w:rPr>
        <w:footnoteRef/>
      </w:r>
      <w:r w:rsidRPr="00BA0618">
        <w:rPr>
          <w:rFonts w:ascii="Verdana" w:hAnsi="Verdana"/>
          <w:sz w:val="16"/>
          <w:szCs w:val="16"/>
        </w:rPr>
        <w:t xml:space="preserve"> Ley 80 de 1993, “Artículo 8.2. […] </w:t>
      </w:r>
      <w:r w:rsidRPr="00BA0618">
        <w:rPr>
          <w:rFonts w:ascii="Verdana" w:hAnsi="Verdana"/>
          <w:sz w:val="16"/>
          <w:szCs w:val="16"/>
          <w:lang w:val="es-CO"/>
        </w:rPr>
        <w:t>f) Literal adicionado por el art. 4, Ley 1474 de 2011. Directa o indirectamente las personas que hayan ejercido cargos en el nivel directivo en entidades del Estado y las sociedades en las cuales estos hagan parte o estén vinculados a cualquier título, durante los dos (2) años siguientes al retiro del ejercicio del cargo público, cuando el objeto que desarrollen tenga relación con el sector al cual prestaron sus servicios”.</w:t>
      </w:r>
    </w:p>
    <w:p w14:paraId="3530E091" w14:textId="77777777" w:rsidR="0040775C" w:rsidRPr="00BA0618" w:rsidRDefault="0040775C" w:rsidP="0040775C">
      <w:pPr>
        <w:pStyle w:val="Textonotapie"/>
        <w:ind w:firstLine="708"/>
        <w:jc w:val="both"/>
        <w:rPr>
          <w:rFonts w:ascii="Verdana" w:hAnsi="Verdana"/>
          <w:sz w:val="16"/>
          <w:szCs w:val="16"/>
          <w:lang w:val="es-ES"/>
        </w:rPr>
      </w:pPr>
      <w:r w:rsidRPr="00BA0618">
        <w:rPr>
          <w:rFonts w:ascii="Verdana" w:hAnsi="Verdana"/>
          <w:sz w:val="16"/>
          <w:szCs w:val="16"/>
          <w:lang w:val="es-ES"/>
        </w:rPr>
        <w:t>Esta incompatibilidad también operará para las personas que se encuentren dentro del primer grado de consanguinidad, primero de afinidad, o primero civil del ex-empleado público.</w:t>
      </w:r>
    </w:p>
  </w:footnote>
  <w:footnote w:id="18">
    <w:p w14:paraId="2F23F351" w14:textId="77777777" w:rsidR="0040775C" w:rsidRPr="00BA0618" w:rsidRDefault="0040775C" w:rsidP="0040775C">
      <w:pPr>
        <w:pStyle w:val="Textonotapie"/>
        <w:ind w:firstLine="708"/>
        <w:jc w:val="both"/>
        <w:rPr>
          <w:rFonts w:ascii="Verdana" w:hAnsi="Verdana"/>
          <w:sz w:val="16"/>
          <w:szCs w:val="16"/>
          <w:lang w:val="es-CO"/>
        </w:rPr>
      </w:pPr>
      <w:r w:rsidRPr="00BA0618">
        <w:rPr>
          <w:rStyle w:val="Refdenotaalpie"/>
          <w:rFonts w:ascii="Verdana" w:hAnsi="Verdana"/>
          <w:sz w:val="16"/>
          <w:szCs w:val="16"/>
        </w:rPr>
        <w:footnoteRef/>
      </w:r>
      <w:r w:rsidRPr="00BA0618">
        <w:rPr>
          <w:rFonts w:ascii="Verdana" w:hAnsi="Verdana"/>
          <w:sz w:val="16"/>
          <w:szCs w:val="16"/>
        </w:rPr>
        <w:t xml:space="preserve"> </w:t>
      </w:r>
      <w:r w:rsidRPr="00BA0618">
        <w:rPr>
          <w:rFonts w:ascii="Verdana" w:hAnsi="Verdana"/>
          <w:sz w:val="16"/>
          <w:szCs w:val="16"/>
          <w:lang w:val="es-CO"/>
        </w:rPr>
        <w:t>Corte Constitucional. Sentencia C-257 del 7 de mayo de 2013. M.P. Jaime Córdoba Triviño</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lang w:val="en-US"/>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7" type="#_x0000_t75" style="width:11.6pt;height:11.6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C4D239F"/>
    <w:multiLevelType w:val="hybridMultilevel"/>
    <w:tmpl w:val="620CC4F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CA48279"/>
    <w:multiLevelType w:val="hybridMultilevel"/>
    <w:tmpl w:val="61658ABD"/>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8"/>
  </w:num>
  <w:num w:numId="2">
    <w:abstractNumId w:val="2"/>
  </w:num>
  <w:num w:numId="3">
    <w:abstractNumId w:val="6"/>
  </w:num>
  <w:num w:numId="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5"/>
  </w:num>
  <w:num w:numId="7">
    <w:abstractNumId w:val="7"/>
  </w:num>
  <w:num w:numId="8">
    <w:abstractNumId w:val="14"/>
  </w:num>
  <w:num w:numId="9">
    <w:abstractNumId w:val="9"/>
  </w:num>
  <w:num w:numId="10">
    <w:abstractNumId w:val="13"/>
  </w:num>
  <w:num w:numId="11">
    <w:abstractNumId w:val="10"/>
  </w:num>
  <w:num w:numId="12">
    <w:abstractNumId w:val="1"/>
  </w:num>
  <w:num w:numId="13">
    <w:abstractNumId w:val="4"/>
  </w:num>
  <w:num w:numId="14">
    <w:abstractNumId w:val="16"/>
  </w:num>
  <w:num w:numId="15">
    <w:abstractNumId w:val="12"/>
  </w:num>
  <w:num w:numId="16">
    <w:abstractNumId w:val="5"/>
  </w:num>
  <w:num w:numId="17">
    <w:abstractNumId w:val="11"/>
  </w:num>
  <w:num w:numId="18">
    <w:abstractNumId w:val="17"/>
  </w:num>
  <w:num w:numId="19">
    <w:abstractNumId w:val="3"/>
  </w:num>
  <w:num w:numId="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1"/>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1847"/>
    <w:rsid w:val="000152F3"/>
    <w:rsid w:val="00016F78"/>
    <w:rsid w:val="00044C99"/>
    <w:rsid w:val="00046945"/>
    <w:rsid w:val="00061B2A"/>
    <w:rsid w:val="000711CF"/>
    <w:rsid w:val="00082362"/>
    <w:rsid w:val="00083922"/>
    <w:rsid w:val="000A683E"/>
    <w:rsid w:val="000B19B9"/>
    <w:rsid w:val="000D0334"/>
    <w:rsid w:val="000D5DA7"/>
    <w:rsid w:val="000F6486"/>
    <w:rsid w:val="00104066"/>
    <w:rsid w:val="00105C57"/>
    <w:rsid w:val="00116940"/>
    <w:rsid w:val="00125105"/>
    <w:rsid w:val="00127233"/>
    <w:rsid w:val="001328F3"/>
    <w:rsid w:val="0015699B"/>
    <w:rsid w:val="00194E97"/>
    <w:rsid w:val="001A33BF"/>
    <w:rsid w:val="001E2E05"/>
    <w:rsid w:val="001E4177"/>
    <w:rsid w:val="001F0B24"/>
    <w:rsid w:val="001F7DC6"/>
    <w:rsid w:val="0022400B"/>
    <w:rsid w:val="0023251A"/>
    <w:rsid w:val="002421BB"/>
    <w:rsid w:val="0025796E"/>
    <w:rsid w:val="002707A2"/>
    <w:rsid w:val="00273BF5"/>
    <w:rsid w:val="0028778F"/>
    <w:rsid w:val="002951A0"/>
    <w:rsid w:val="002962BC"/>
    <w:rsid w:val="002A093D"/>
    <w:rsid w:val="002A0DD0"/>
    <w:rsid w:val="002A49AC"/>
    <w:rsid w:val="002A64FD"/>
    <w:rsid w:val="002B730F"/>
    <w:rsid w:val="002C7A84"/>
    <w:rsid w:val="002E2BF8"/>
    <w:rsid w:val="002E4FD9"/>
    <w:rsid w:val="002E51B0"/>
    <w:rsid w:val="0030657A"/>
    <w:rsid w:val="00316053"/>
    <w:rsid w:val="00322A85"/>
    <w:rsid w:val="00324168"/>
    <w:rsid w:val="00330834"/>
    <w:rsid w:val="003448F4"/>
    <w:rsid w:val="00374F5E"/>
    <w:rsid w:val="00377E3E"/>
    <w:rsid w:val="00381BAB"/>
    <w:rsid w:val="003A779E"/>
    <w:rsid w:val="003D0F4D"/>
    <w:rsid w:val="003D5B0D"/>
    <w:rsid w:val="003E0499"/>
    <w:rsid w:val="003E4F80"/>
    <w:rsid w:val="003E6439"/>
    <w:rsid w:val="003F3941"/>
    <w:rsid w:val="00406575"/>
    <w:rsid w:val="0040775C"/>
    <w:rsid w:val="004140B3"/>
    <w:rsid w:val="00414C74"/>
    <w:rsid w:val="0042722E"/>
    <w:rsid w:val="0044528D"/>
    <w:rsid w:val="004555EA"/>
    <w:rsid w:val="00466E39"/>
    <w:rsid w:val="00494F04"/>
    <w:rsid w:val="004A1847"/>
    <w:rsid w:val="004A305D"/>
    <w:rsid w:val="004B3DAC"/>
    <w:rsid w:val="004F21C4"/>
    <w:rsid w:val="004F685F"/>
    <w:rsid w:val="00531EC0"/>
    <w:rsid w:val="005566E8"/>
    <w:rsid w:val="00574867"/>
    <w:rsid w:val="00591460"/>
    <w:rsid w:val="005A65E0"/>
    <w:rsid w:val="005C0881"/>
    <w:rsid w:val="005C3777"/>
    <w:rsid w:val="005C5CDC"/>
    <w:rsid w:val="005D476C"/>
    <w:rsid w:val="005F20A4"/>
    <w:rsid w:val="00603C5B"/>
    <w:rsid w:val="006200BF"/>
    <w:rsid w:val="0062143E"/>
    <w:rsid w:val="006219F8"/>
    <w:rsid w:val="006302F7"/>
    <w:rsid w:val="00646B9F"/>
    <w:rsid w:val="00665D70"/>
    <w:rsid w:val="00684F67"/>
    <w:rsid w:val="006900D9"/>
    <w:rsid w:val="006A2BE4"/>
    <w:rsid w:val="0070090C"/>
    <w:rsid w:val="007025D7"/>
    <w:rsid w:val="00706C16"/>
    <w:rsid w:val="00731F30"/>
    <w:rsid w:val="007340C3"/>
    <w:rsid w:val="0075235A"/>
    <w:rsid w:val="00756841"/>
    <w:rsid w:val="007649AB"/>
    <w:rsid w:val="00771D0C"/>
    <w:rsid w:val="007833AC"/>
    <w:rsid w:val="00795086"/>
    <w:rsid w:val="007A1830"/>
    <w:rsid w:val="007B268C"/>
    <w:rsid w:val="007B7171"/>
    <w:rsid w:val="007C0C0F"/>
    <w:rsid w:val="007C3DC2"/>
    <w:rsid w:val="007D3058"/>
    <w:rsid w:val="007E5497"/>
    <w:rsid w:val="00806F5F"/>
    <w:rsid w:val="00820278"/>
    <w:rsid w:val="008258C9"/>
    <w:rsid w:val="00844AE9"/>
    <w:rsid w:val="0086382A"/>
    <w:rsid w:val="00867F95"/>
    <w:rsid w:val="008843B6"/>
    <w:rsid w:val="00891928"/>
    <w:rsid w:val="008A446D"/>
    <w:rsid w:val="008B25F1"/>
    <w:rsid w:val="008D180B"/>
    <w:rsid w:val="008F0EA7"/>
    <w:rsid w:val="008F17DC"/>
    <w:rsid w:val="008F4334"/>
    <w:rsid w:val="008F6705"/>
    <w:rsid w:val="0090232F"/>
    <w:rsid w:val="00923EEF"/>
    <w:rsid w:val="009419F9"/>
    <w:rsid w:val="00950B6F"/>
    <w:rsid w:val="0095685E"/>
    <w:rsid w:val="00961B09"/>
    <w:rsid w:val="00965334"/>
    <w:rsid w:val="0097093E"/>
    <w:rsid w:val="009A0486"/>
    <w:rsid w:val="009A0DFA"/>
    <w:rsid w:val="009B2D26"/>
    <w:rsid w:val="009C71FA"/>
    <w:rsid w:val="009C72E7"/>
    <w:rsid w:val="009C7F7E"/>
    <w:rsid w:val="009D3058"/>
    <w:rsid w:val="009F3A13"/>
    <w:rsid w:val="00A0334B"/>
    <w:rsid w:val="00A122D3"/>
    <w:rsid w:val="00A14468"/>
    <w:rsid w:val="00A17F13"/>
    <w:rsid w:val="00A20739"/>
    <w:rsid w:val="00A23AF9"/>
    <w:rsid w:val="00A31A76"/>
    <w:rsid w:val="00A33C78"/>
    <w:rsid w:val="00A73F45"/>
    <w:rsid w:val="00A87F3B"/>
    <w:rsid w:val="00AB0ADB"/>
    <w:rsid w:val="00B00C0E"/>
    <w:rsid w:val="00B01B1A"/>
    <w:rsid w:val="00B44A47"/>
    <w:rsid w:val="00B53ADF"/>
    <w:rsid w:val="00B53BF2"/>
    <w:rsid w:val="00B54271"/>
    <w:rsid w:val="00B72CD3"/>
    <w:rsid w:val="00B72FFF"/>
    <w:rsid w:val="00B74092"/>
    <w:rsid w:val="00BB7A69"/>
    <w:rsid w:val="00BC3D36"/>
    <w:rsid w:val="00BC70CB"/>
    <w:rsid w:val="00BD54A6"/>
    <w:rsid w:val="00BD7F72"/>
    <w:rsid w:val="00BF3C9E"/>
    <w:rsid w:val="00BF5C08"/>
    <w:rsid w:val="00BF7425"/>
    <w:rsid w:val="00C04FB3"/>
    <w:rsid w:val="00C11D8B"/>
    <w:rsid w:val="00C330EB"/>
    <w:rsid w:val="00C50D69"/>
    <w:rsid w:val="00C5365C"/>
    <w:rsid w:val="00C754BE"/>
    <w:rsid w:val="00C76B1C"/>
    <w:rsid w:val="00C925AC"/>
    <w:rsid w:val="00CA6A8E"/>
    <w:rsid w:val="00CB6357"/>
    <w:rsid w:val="00CC1B26"/>
    <w:rsid w:val="00CD4831"/>
    <w:rsid w:val="00CF1B9D"/>
    <w:rsid w:val="00D028AA"/>
    <w:rsid w:val="00D06146"/>
    <w:rsid w:val="00D0699E"/>
    <w:rsid w:val="00D334DD"/>
    <w:rsid w:val="00D361FD"/>
    <w:rsid w:val="00D423A2"/>
    <w:rsid w:val="00D44E26"/>
    <w:rsid w:val="00D520D8"/>
    <w:rsid w:val="00D62B9C"/>
    <w:rsid w:val="00D6367D"/>
    <w:rsid w:val="00D63AC2"/>
    <w:rsid w:val="00D7383B"/>
    <w:rsid w:val="00D7788A"/>
    <w:rsid w:val="00D86E98"/>
    <w:rsid w:val="00DA231B"/>
    <w:rsid w:val="00DC39FC"/>
    <w:rsid w:val="00DC7CCB"/>
    <w:rsid w:val="00DF5254"/>
    <w:rsid w:val="00E02524"/>
    <w:rsid w:val="00E16408"/>
    <w:rsid w:val="00E20894"/>
    <w:rsid w:val="00E245AB"/>
    <w:rsid w:val="00E2764C"/>
    <w:rsid w:val="00E27F2E"/>
    <w:rsid w:val="00E41358"/>
    <w:rsid w:val="00E50AFE"/>
    <w:rsid w:val="00E75C92"/>
    <w:rsid w:val="00E771DC"/>
    <w:rsid w:val="00E8772A"/>
    <w:rsid w:val="00E90F6B"/>
    <w:rsid w:val="00E92C27"/>
    <w:rsid w:val="00EA0E3D"/>
    <w:rsid w:val="00EC38A7"/>
    <w:rsid w:val="00ED33FB"/>
    <w:rsid w:val="00EE1AA8"/>
    <w:rsid w:val="00EF5E13"/>
    <w:rsid w:val="00EF647F"/>
    <w:rsid w:val="00F23FEA"/>
    <w:rsid w:val="00F27B7B"/>
    <w:rsid w:val="00F31EDC"/>
    <w:rsid w:val="00F462B3"/>
    <w:rsid w:val="00F5664F"/>
    <w:rsid w:val="00F666C4"/>
    <w:rsid w:val="00F76AFC"/>
    <w:rsid w:val="00F948E6"/>
    <w:rsid w:val="00FA47C0"/>
    <w:rsid w:val="00FB5DD1"/>
    <w:rsid w:val="00FC2B5D"/>
    <w:rsid w:val="00FD520C"/>
    <w:rsid w:val="00FF1449"/>
    <w:rsid w:val="00FF7963"/>
    <w:rsid w:val="09908A09"/>
    <w:rsid w:val="19A2EC2C"/>
    <w:rsid w:val="2859CA1B"/>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5113DB00-9368-47DE-A928-A008ACB961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0232F"/>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UnresolvedMention">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7A1830"/>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7A183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73F45"/>
    <w:rPr>
      <w:rFonts w:ascii="Geomanist Light" w:hAnsi="Geomanist Light"/>
      <w:lang w:val="es-ES"/>
    </w:rPr>
  </w:style>
  <w:style w:type="character" w:customStyle="1" w:styleId="NormalWebCar">
    <w:name w:val="Normal (Web) Car"/>
    <w:link w:val="NormalWeb"/>
    <w:uiPriority w:val="99"/>
    <w:locked/>
    <w:rsid w:val="00273BF5"/>
    <w:rPr>
      <w:rFonts w:ascii="Times New Roman" w:eastAsia="Times New Roman" w:hAnsi="Times New Roman" w:cs="Times New Roman"/>
      <w:sz w:val="24"/>
      <w:szCs w:val="24"/>
      <w:lang w:eastAsia="es-CO"/>
    </w:rPr>
  </w:style>
  <w:style w:type="table" w:customStyle="1" w:styleId="Tablaconcuadrcula11">
    <w:name w:val="Tabla con cuadrícula11"/>
    <w:basedOn w:val="Tablanormal"/>
    <w:next w:val="Tablaconcuadrcula"/>
    <w:uiPriority w:val="39"/>
    <w:qFormat/>
    <w:rsid w:val="00273B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
    <w:name w:val="Tabla con cuadrícula111"/>
    <w:basedOn w:val="Tablanormal"/>
    <w:next w:val="Tablaconcuadrcula"/>
    <w:uiPriority w:val="39"/>
    <w:qFormat/>
    <w:rsid w:val="00273BF5"/>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ennegrita">
    <w:name w:val="Strong"/>
    <w:basedOn w:val="Fuentedeprrafopredeter"/>
    <w:uiPriority w:val="22"/>
    <w:qFormat/>
    <w:rsid w:val="00273BF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808545951">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folmostriana@gmail.co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EA1779-B633-49F3-B399-2D666B14222D}"/>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f802891c-ec6d-4a7d-9065-8c7796b72d37"/>
    <ds:schemaRef ds:uri="43a3329e-f091-4e15-9abe-66bee8419108"/>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0798E956-A13D-4D2D-B9A5-23D3C2DA6A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22</Pages>
  <Words>6590</Words>
  <Characters>37565</Characters>
  <Application>Microsoft Office Word</Application>
  <DocSecurity>0</DocSecurity>
  <Lines>313</Lines>
  <Paragraphs>88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José Luis S</cp:lastModifiedBy>
  <cp:revision>3</cp:revision>
  <cp:lastPrinted>2023-01-10T21:18:00Z</cp:lastPrinted>
  <dcterms:created xsi:type="dcterms:W3CDTF">2025-12-23T20:04:00Z</dcterms:created>
  <dcterms:modified xsi:type="dcterms:W3CDTF">2025-12-23T20:33:00Z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