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C09AE2" w14:textId="77777777" w:rsidR="00636A67" w:rsidRPr="00560A01" w:rsidRDefault="00636A67" w:rsidP="00636A67">
      <w:pPr>
        <w:spacing w:after="0" w:line="276" w:lineRule="auto"/>
        <w:jc w:val="both"/>
        <w:rPr>
          <w:rFonts w:ascii="Verdana" w:eastAsia="Calibri" w:hAnsi="Verdana" w:cs="Arial"/>
          <w:b/>
          <w:bCs/>
          <w:lang w:val="es-ES_tradnl"/>
        </w:rPr>
      </w:pPr>
      <w:bookmarkStart w:id="0" w:name="_Hlk143780582"/>
      <w:r w:rsidRPr="00560A01">
        <w:rPr>
          <w:rFonts w:ascii="Verdana" w:eastAsia="Calibri" w:hAnsi="Verdana" w:cs="Arial"/>
          <w:b/>
          <w:bCs/>
          <w:lang w:val="es-ES_tradnl"/>
        </w:rPr>
        <w:t xml:space="preserve">DOCUMENTOS TIPO – Fundamento normativo – Obligatoriedad </w:t>
      </w:r>
    </w:p>
    <w:p w14:paraId="30028A06" w14:textId="77777777" w:rsidR="00636A67" w:rsidRPr="00560A01" w:rsidRDefault="00636A67" w:rsidP="00636A67">
      <w:pPr>
        <w:spacing w:after="0" w:line="276" w:lineRule="auto"/>
        <w:jc w:val="both"/>
        <w:rPr>
          <w:rFonts w:ascii="Verdana" w:eastAsia="Calibri" w:hAnsi="Verdana" w:cs="Arial"/>
          <w:b/>
          <w:bCs/>
          <w:sz w:val="20"/>
          <w:szCs w:val="20"/>
          <w:lang w:val="es-ES_tradnl"/>
        </w:rPr>
      </w:pPr>
    </w:p>
    <w:p w14:paraId="6C75CB50" w14:textId="77777777" w:rsidR="00636A67" w:rsidRPr="00560A01" w:rsidRDefault="00636A67" w:rsidP="00636A67">
      <w:pPr>
        <w:tabs>
          <w:tab w:val="left" w:pos="709"/>
        </w:tabs>
        <w:spacing w:after="0" w:line="240" w:lineRule="auto"/>
        <w:jc w:val="both"/>
        <w:rPr>
          <w:rFonts w:ascii="Verdana" w:eastAsia="Calibri" w:hAnsi="Verdana" w:cs="Arial"/>
          <w:sz w:val="20"/>
          <w:szCs w:val="20"/>
          <w:lang w:val="es-ES"/>
        </w:rPr>
      </w:pPr>
      <w:r w:rsidRPr="00560A01">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E05B2AC" w14:textId="77777777" w:rsidR="00636A67" w:rsidRPr="00560A01" w:rsidRDefault="00636A67" w:rsidP="00636A67">
      <w:pPr>
        <w:spacing w:after="0" w:line="276" w:lineRule="auto"/>
        <w:jc w:val="both"/>
        <w:rPr>
          <w:rFonts w:ascii="Verdana" w:eastAsia="Calibri" w:hAnsi="Verdana" w:cs="Arial"/>
          <w:b/>
          <w:bCs/>
          <w:lang w:val="es-ES_tradnl"/>
        </w:rPr>
      </w:pPr>
    </w:p>
    <w:p w14:paraId="3BA45F01" w14:textId="77777777" w:rsidR="00636A67" w:rsidRPr="00560A01" w:rsidRDefault="00636A67" w:rsidP="00636A67">
      <w:pPr>
        <w:spacing w:after="0" w:line="240" w:lineRule="auto"/>
        <w:jc w:val="both"/>
        <w:rPr>
          <w:rFonts w:ascii="Verdana" w:eastAsia="Calibri" w:hAnsi="Verdana" w:cs="Arial"/>
          <w:b/>
          <w:bCs/>
          <w:kern w:val="2"/>
          <w:lang w:val="es-ES_tradnl"/>
          <w14:ligatures w14:val="standardContextual"/>
        </w:rPr>
      </w:pPr>
      <w:r w:rsidRPr="00560A01">
        <w:rPr>
          <w:rFonts w:ascii="Verdana" w:eastAsia="Calibri" w:hAnsi="Verdana" w:cs="Arial"/>
          <w:b/>
          <w:bCs/>
          <w:lang w:val="es-ES_tradnl"/>
        </w:rPr>
        <w:t>DOCUMENTOS TIPO – Infraestructura social – Sector educativo</w:t>
      </w:r>
      <w:r w:rsidRPr="00560A01">
        <w:rPr>
          <w:rFonts w:ascii="Verdana" w:eastAsia="Calibri" w:hAnsi="Verdana" w:cs="Arial"/>
          <w:b/>
          <w:bCs/>
          <w:kern w:val="2"/>
          <w:lang w:val="es-ES_tradnl"/>
          <w14:ligatures w14:val="standardContextual"/>
        </w:rPr>
        <w:t>, salud, cultura, recreación y deporte</w:t>
      </w:r>
    </w:p>
    <w:p w14:paraId="2BDD8035" w14:textId="77777777" w:rsidR="00636A67" w:rsidRPr="00560A01" w:rsidRDefault="00636A67" w:rsidP="00636A67">
      <w:pPr>
        <w:spacing w:after="0" w:line="276" w:lineRule="auto"/>
        <w:jc w:val="both"/>
        <w:rPr>
          <w:rFonts w:ascii="Verdana" w:eastAsia="Calibri" w:hAnsi="Verdana" w:cs="Arial"/>
          <w:b/>
          <w:bCs/>
          <w:color w:val="000000"/>
          <w:lang w:eastAsia="es-ES_tradnl"/>
        </w:rPr>
      </w:pPr>
    </w:p>
    <w:p w14:paraId="6B8C38BC" w14:textId="77777777" w:rsidR="00636A67" w:rsidRPr="00560A01" w:rsidRDefault="00636A67" w:rsidP="00636A67">
      <w:pPr>
        <w:spacing w:after="0" w:line="240" w:lineRule="auto"/>
        <w:jc w:val="both"/>
        <w:rPr>
          <w:rFonts w:ascii="Verdana" w:eastAsia="Aptos" w:hAnsi="Verdana" w:cs="Arial"/>
          <w:kern w:val="2"/>
          <w:sz w:val="20"/>
          <w:szCs w:val="20"/>
          <w14:ligatures w14:val="standardContextual"/>
        </w:rPr>
      </w:pPr>
      <w:r w:rsidRPr="00560A01">
        <w:rPr>
          <w:rFonts w:ascii="Verdana" w:eastAsia="Calibri" w:hAnsi="Verdana" w:cs="Arial"/>
          <w:kern w:val="2"/>
          <w:sz w:val="20"/>
          <w:szCs w:val="20"/>
          <w14:ligatures w14:val="standardContextual"/>
        </w:rPr>
        <w:t xml:space="preserve">(…)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560A01">
        <w:rPr>
          <w:rFonts w:ascii="Verdana" w:eastAsia="Aptos" w:hAnsi="Verdana" w:cs="Times New Roman"/>
          <w:kern w:val="2"/>
          <w:sz w:val="20"/>
          <w:szCs w:val="20"/>
          <w14:ligatures w14:val="standardContextual"/>
        </w:rPr>
        <w:t>Estas Resolución, en el artículo 2, adoptan el "</w:t>
      </w:r>
      <w:r w:rsidRPr="00560A01">
        <w:rPr>
          <w:rFonts w:ascii="Verdana" w:eastAsia="Aptos" w:hAnsi="Verdana" w:cs="Times New Roman"/>
          <w:i/>
          <w:iCs/>
          <w:kern w:val="2"/>
          <w:sz w:val="20"/>
          <w:szCs w:val="20"/>
          <w14:ligatures w14:val="standardContextual"/>
        </w:rPr>
        <w:t xml:space="preserve">Anexo -Glosario" y la "Matriz – Experiencia” </w:t>
      </w:r>
      <w:r w:rsidRPr="00560A01">
        <w:rPr>
          <w:rFonts w:ascii="Verdana" w:eastAsia="Aptos" w:hAnsi="Verdana" w:cs="Times New Roman"/>
          <w:kern w:val="2"/>
          <w:sz w:val="20"/>
          <w:szCs w:val="20"/>
          <w14:ligatures w14:val="standardContextual"/>
        </w:rPr>
        <w:t>para proyectos de infraestructura social en cada uno de los sectores señalados</w:t>
      </w:r>
      <w:r w:rsidRPr="00560A01">
        <w:rPr>
          <w:rFonts w:ascii="Verdana" w:eastAsia="Aptos" w:hAnsi="Verdana" w:cs="Times New Roman"/>
          <w:bCs/>
          <w:kern w:val="2"/>
          <w:sz w:val="20"/>
          <w:szCs w:val="20"/>
          <w14:ligatures w14:val="standardContextual"/>
        </w:rPr>
        <w:t xml:space="preserve">. </w:t>
      </w:r>
      <w:r w:rsidRPr="00560A01">
        <w:rPr>
          <w:rFonts w:ascii="Verdana" w:eastAsia="Aptos" w:hAnsi="Verdana" w:cs="Times New Roman"/>
          <w:kern w:val="2"/>
          <w:sz w:val="20"/>
          <w:szCs w:val="20"/>
          <w14:ligatures w14:val="standardContextual"/>
        </w:rPr>
        <w:t xml:space="preserve">Estos dos (2) documentos definen el alcance para cada sector específicamente. </w:t>
      </w:r>
    </w:p>
    <w:p w14:paraId="7D696912" w14:textId="77777777" w:rsidR="00636A67" w:rsidRPr="00560A01" w:rsidRDefault="00636A67" w:rsidP="00636A67">
      <w:pPr>
        <w:widowControl w:val="0"/>
        <w:autoSpaceDE w:val="0"/>
        <w:autoSpaceDN w:val="0"/>
        <w:spacing w:after="0" w:line="276" w:lineRule="auto"/>
        <w:jc w:val="both"/>
        <w:rPr>
          <w:rFonts w:ascii="Verdana" w:eastAsia="Calibri" w:hAnsi="Verdana" w:cs="Times New Roman"/>
          <w:lang w:val="es-ES"/>
        </w:rPr>
      </w:pPr>
    </w:p>
    <w:p w14:paraId="4FF0E394" w14:textId="77777777" w:rsidR="00636A67" w:rsidRPr="00560A01" w:rsidRDefault="00636A67" w:rsidP="00636A67">
      <w:pPr>
        <w:pStyle w:val="Textoindependiente"/>
        <w:spacing w:after="0" w:line="240" w:lineRule="auto"/>
        <w:jc w:val="both"/>
        <w:rPr>
          <w:rFonts w:ascii="Verdana" w:eastAsia="Calibri" w:hAnsi="Verdana"/>
          <w:b/>
          <w:bCs/>
          <w:lang w:val="es-ES_tradnl"/>
        </w:rPr>
      </w:pPr>
      <w:r w:rsidRPr="00560A01">
        <w:rPr>
          <w:rFonts w:ascii="Verdana" w:eastAsia="Calibri" w:hAnsi="Verdana"/>
          <w:b/>
        </w:rPr>
        <w:t>DOCUMENTOS TIPO – Formulario 1 – Presupuesto Oficial – Propuesta económica</w:t>
      </w:r>
    </w:p>
    <w:p w14:paraId="67579156" w14:textId="77777777" w:rsidR="00636A67" w:rsidRPr="00560A01" w:rsidRDefault="00636A67" w:rsidP="00636A67">
      <w:pPr>
        <w:pStyle w:val="Textoindependiente"/>
        <w:spacing w:after="0"/>
        <w:jc w:val="both"/>
        <w:rPr>
          <w:rFonts w:ascii="Verdana" w:eastAsia="Calibri" w:hAnsi="Verdana"/>
          <w:b/>
          <w:bCs/>
          <w:lang w:val="es-ES_tradnl"/>
        </w:rPr>
      </w:pPr>
    </w:p>
    <w:p w14:paraId="256F71A7" w14:textId="77777777" w:rsidR="00636A67" w:rsidRPr="00560A01" w:rsidRDefault="00636A67" w:rsidP="00636A67">
      <w:pPr>
        <w:widowControl w:val="0"/>
        <w:autoSpaceDE w:val="0"/>
        <w:autoSpaceDN w:val="0"/>
        <w:spacing w:after="0" w:line="240" w:lineRule="auto"/>
        <w:jc w:val="both"/>
        <w:rPr>
          <w:rFonts w:ascii="Verdana" w:eastAsia="Calibri" w:hAnsi="Verdana" w:cs="Arial"/>
          <w:sz w:val="20"/>
          <w:szCs w:val="20"/>
        </w:rPr>
      </w:pPr>
      <w:r w:rsidRPr="00560A01">
        <w:rPr>
          <w:rFonts w:ascii="Verdana" w:eastAsia="Calibri" w:hAnsi="Verdana" w:cs="Arial"/>
          <w:sz w:val="20"/>
          <w:szCs w:val="20"/>
          <w:lang w:val="es-ES"/>
        </w:rPr>
        <w:t xml:space="preserve">Este Formulario tiene dos connotaciones: i) por un lado, </w:t>
      </w:r>
      <w:r w:rsidRPr="00560A01">
        <w:rPr>
          <w:rFonts w:ascii="Verdana" w:eastAsia="Calibri" w:hAnsi="Verdana" w:cs="Arial"/>
          <w:sz w:val="20"/>
          <w:szCs w:val="20"/>
        </w:rPr>
        <w:t xml:space="preserve">es el formulario sobre el cual la entidad estructura y presenta el presupuesto oficial del procedimiento de contratación; y </w:t>
      </w:r>
      <w:proofErr w:type="spellStart"/>
      <w:r w:rsidRPr="00560A01">
        <w:rPr>
          <w:rFonts w:ascii="Verdana" w:eastAsia="Calibri" w:hAnsi="Verdana" w:cs="Arial"/>
          <w:sz w:val="20"/>
          <w:szCs w:val="20"/>
        </w:rPr>
        <w:t>ii</w:t>
      </w:r>
      <w:proofErr w:type="spellEnd"/>
      <w:r w:rsidRPr="00560A01">
        <w:rPr>
          <w:rFonts w:ascii="Verdana" w:eastAsia="Calibri" w:hAnsi="Verdana" w:cs="Arial"/>
          <w:sz w:val="20"/>
          <w:szCs w:val="20"/>
        </w:rPr>
        <w:t>) por el otro, es el formulario sobre el cual los proponentes elaborarán y presentarán su oferta económica. El propósito de esto es evitar la duplicidad de información y permitir que las propuestas económicas sean evaluadas con las variables, cantidades, unidades de medida y reglas consideradas por la entidad al estructurar su presupuesto oficial.</w:t>
      </w:r>
    </w:p>
    <w:p w14:paraId="3F67CC3D" w14:textId="77777777" w:rsidR="00636A67" w:rsidRPr="00560A01" w:rsidRDefault="00636A67" w:rsidP="00636A67">
      <w:pPr>
        <w:spacing w:after="0"/>
        <w:jc w:val="both"/>
        <w:rPr>
          <w:rFonts w:ascii="Verdana" w:hAnsi="Verdana" w:cs="Arial"/>
          <w:b/>
        </w:rPr>
      </w:pPr>
    </w:p>
    <w:p w14:paraId="0C131F53" w14:textId="77777777" w:rsidR="00636A67" w:rsidRPr="00560A01" w:rsidRDefault="00636A67" w:rsidP="00636A67">
      <w:pPr>
        <w:pStyle w:val="Textoindependiente"/>
        <w:spacing w:after="0"/>
        <w:jc w:val="both"/>
        <w:rPr>
          <w:rFonts w:ascii="Verdana" w:eastAsia="Calibri" w:hAnsi="Verdana"/>
          <w:sz w:val="20"/>
          <w:szCs w:val="20"/>
          <w:lang w:val="es-ES_tradnl" w:eastAsia="es-ES_tradnl"/>
        </w:rPr>
      </w:pPr>
      <w:r w:rsidRPr="00560A01">
        <w:rPr>
          <w:rFonts w:ascii="Verdana" w:eastAsia="Calibri" w:hAnsi="Verdana"/>
          <w:b/>
          <w:bCs/>
          <w:lang w:val="es-ES_tradnl"/>
        </w:rPr>
        <w:t xml:space="preserve">FORMULARIO 1 </w:t>
      </w:r>
      <w:r w:rsidRPr="00560A01">
        <w:rPr>
          <w:rFonts w:ascii="Verdana" w:eastAsia="Calibri" w:hAnsi="Verdana"/>
          <w:b/>
          <w:color w:val="000000" w:themeColor="text1"/>
        </w:rPr>
        <w:t>– Notas 1, 2 y 3 – Precios unitarios Inalterabilidad</w:t>
      </w:r>
    </w:p>
    <w:p w14:paraId="54A55A7D" w14:textId="77777777" w:rsidR="00636A67" w:rsidRPr="00560A01" w:rsidRDefault="00636A67" w:rsidP="00636A67">
      <w:pPr>
        <w:pStyle w:val="Textoindependiente"/>
        <w:spacing w:after="0"/>
        <w:jc w:val="both"/>
        <w:rPr>
          <w:rFonts w:ascii="Verdana" w:eastAsia="Calibri" w:hAnsi="Verdana"/>
          <w:sz w:val="20"/>
          <w:szCs w:val="20"/>
          <w:lang w:val="es-ES_tradnl" w:eastAsia="es-ES_tradnl"/>
        </w:rPr>
      </w:pPr>
    </w:p>
    <w:p w14:paraId="668D551C" w14:textId="77777777" w:rsidR="00636A67" w:rsidRPr="00560A01" w:rsidRDefault="00636A67" w:rsidP="00636A67">
      <w:pPr>
        <w:widowControl w:val="0"/>
        <w:autoSpaceDE w:val="0"/>
        <w:autoSpaceDN w:val="0"/>
        <w:spacing w:after="0" w:line="240" w:lineRule="auto"/>
        <w:jc w:val="both"/>
        <w:rPr>
          <w:rFonts w:ascii="Verdana" w:eastAsia="Calibri" w:hAnsi="Verdana" w:cs="Arial"/>
          <w:sz w:val="20"/>
          <w:szCs w:val="20"/>
          <w:lang w:val="es-ES"/>
        </w:rPr>
      </w:pPr>
      <w:r w:rsidRPr="00560A01">
        <w:rPr>
          <w:rFonts w:ascii="Verdana" w:eastAsia="Calibri" w:hAnsi="Verdana" w:cs="Arial"/>
          <w:sz w:val="20"/>
          <w:szCs w:val="20"/>
          <w:lang w:val="es-ES"/>
        </w:rPr>
        <w:t xml:space="preserve">[…] en la hoja 1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560A01">
        <w:rPr>
          <w:rFonts w:ascii="Verdana" w:eastAsia="Calibri" w:hAnsi="Verdana" w:cs="Arial"/>
          <w:sz w:val="20"/>
          <w:szCs w:val="20"/>
          <w:lang w:val="es-ES"/>
        </w:rPr>
        <w:t>ii</w:t>
      </w:r>
      <w:proofErr w:type="spellEnd"/>
      <w:r w:rsidRPr="00560A01">
        <w:rPr>
          <w:rFonts w:ascii="Verdana" w:eastAsia="Calibri" w:hAnsi="Verdana" w:cs="Arial"/>
          <w:sz w:val="20"/>
          <w:szCs w:val="20"/>
          <w:lang w:val="es-ES"/>
        </w:rPr>
        <w:t xml:space="preserve">) imprevistos y </w:t>
      </w:r>
      <w:proofErr w:type="spellStart"/>
      <w:r w:rsidRPr="00560A01">
        <w:rPr>
          <w:rFonts w:ascii="Verdana" w:eastAsia="Calibri" w:hAnsi="Verdana" w:cs="Arial"/>
          <w:sz w:val="20"/>
          <w:szCs w:val="20"/>
          <w:lang w:val="es-ES"/>
        </w:rPr>
        <w:t>iii</w:t>
      </w:r>
      <w:proofErr w:type="spellEnd"/>
      <w:r w:rsidRPr="00560A01">
        <w:rPr>
          <w:rFonts w:ascii="Verdana" w:eastAsia="Calibri" w:hAnsi="Verdana" w:cs="Arial"/>
          <w:sz w:val="20"/>
          <w:szCs w:val="20"/>
          <w:lang w:val="es-ES"/>
        </w:rPr>
        <w:t>) utilidad cuando el proceso de contratación sea por precios unitarios.</w:t>
      </w:r>
    </w:p>
    <w:p w14:paraId="5706FBFF" w14:textId="77777777" w:rsidR="00636A67" w:rsidRPr="00560A01" w:rsidRDefault="00636A67" w:rsidP="00636A67">
      <w:pPr>
        <w:widowControl w:val="0"/>
        <w:autoSpaceDE w:val="0"/>
        <w:autoSpaceDN w:val="0"/>
        <w:spacing w:after="0" w:line="240" w:lineRule="auto"/>
        <w:jc w:val="both"/>
        <w:rPr>
          <w:rFonts w:ascii="Verdana" w:eastAsia="Calibri" w:hAnsi="Verdana" w:cs="Arial"/>
          <w:sz w:val="20"/>
          <w:szCs w:val="20"/>
          <w:lang w:val="es-ES"/>
        </w:rPr>
      </w:pPr>
    </w:p>
    <w:p w14:paraId="41FE43E6" w14:textId="77777777" w:rsidR="00636A67" w:rsidRPr="00560A01" w:rsidRDefault="00636A67" w:rsidP="00636A67">
      <w:pPr>
        <w:widowControl w:val="0"/>
        <w:autoSpaceDE w:val="0"/>
        <w:autoSpaceDN w:val="0"/>
        <w:spacing w:after="0" w:line="240" w:lineRule="auto"/>
        <w:jc w:val="both"/>
        <w:rPr>
          <w:rFonts w:ascii="Verdana" w:eastAsia="Calibri" w:hAnsi="Verdana" w:cs="Arial"/>
          <w:sz w:val="20"/>
          <w:szCs w:val="20"/>
          <w:lang w:val="es-ES"/>
        </w:rPr>
      </w:pPr>
      <w:r w:rsidRPr="00560A01">
        <w:rPr>
          <w:rFonts w:ascii="Verdana" w:eastAsia="Calibri" w:hAnsi="Verdana"/>
          <w:sz w:val="20"/>
          <w:szCs w:val="20"/>
          <w:lang w:val="es-ES_tradnl" w:eastAsia="es-ES_tradnl"/>
        </w:rPr>
        <w:lastRenderedPageBreak/>
        <w:t>En este sentido, reiterando el principio de inalterabilidad, las entidades solo pueden modificar aquello que el documento tipo permita. Por ello, debido a que la primera hoja del Formulario 1 – Formulario del Presupuesto Oficial no permite su modificación en los procesos estructurados por precios unitarios, no será posible omitir alguno de los componentes del A.I.U. Bajo ese entendido, las entidades no podrán eliminar o modificar la fila correspondiente al imprevisto, ni eliminar o modificar las «Nota 1 a 3» que versan sobre el uso de precios unitarios con componentes del A.I.U.</w:t>
      </w:r>
    </w:p>
    <w:p w14:paraId="527F955C" w14:textId="77777777" w:rsidR="00636A67" w:rsidRPr="00560A01" w:rsidRDefault="00636A67" w:rsidP="00636A67">
      <w:pPr>
        <w:pStyle w:val="Textoindependiente"/>
        <w:spacing w:after="0"/>
        <w:jc w:val="both"/>
        <w:rPr>
          <w:rFonts w:ascii="Verdana" w:eastAsia="Calibri" w:hAnsi="Verdana"/>
          <w:sz w:val="20"/>
          <w:szCs w:val="20"/>
          <w:lang w:val="es-ES_tradnl" w:eastAsia="es-ES_tradnl"/>
        </w:rPr>
      </w:pPr>
    </w:p>
    <w:p w14:paraId="0391DD37" w14:textId="77777777" w:rsidR="00636A67" w:rsidRPr="00560A01" w:rsidRDefault="00636A67" w:rsidP="00636A67">
      <w:pPr>
        <w:spacing w:after="0"/>
        <w:jc w:val="both"/>
        <w:rPr>
          <w:rFonts w:ascii="Verdana" w:hAnsi="Verdana" w:cs="Arial"/>
          <w:b/>
        </w:rPr>
      </w:pPr>
      <w:r w:rsidRPr="00560A01">
        <w:rPr>
          <w:rFonts w:ascii="Verdana" w:hAnsi="Verdana" w:cs="Arial"/>
          <w:b/>
        </w:rPr>
        <w:t>FORMULARIO 1 – Nota 2 – Alcance – Finalidad</w:t>
      </w:r>
    </w:p>
    <w:p w14:paraId="0DE044F3" w14:textId="77777777" w:rsidR="00636A67" w:rsidRPr="00560A01" w:rsidRDefault="00636A67" w:rsidP="00636A67">
      <w:pPr>
        <w:spacing w:after="0" w:line="240" w:lineRule="auto"/>
        <w:jc w:val="both"/>
        <w:rPr>
          <w:rFonts w:ascii="Verdana" w:eastAsia="Times New Roman" w:hAnsi="Verdana" w:cs="Arial"/>
          <w:bCs/>
          <w:color w:val="000000" w:themeColor="text1"/>
          <w:sz w:val="20"/>
          <w:szCs w:val="20"/>
          <w:lang w:eastAsia="es-ES_tradnl"/>
        </w:rPr>
      </w:pPr>
    </w:p>
    <w:p w14:paraId="6FC1DA11" w14:textId="77777777" w:rsidR="00636A67" w:rsidRPr="00560A01" w:rsidRDefault="00636A67" w:rsidP="00636A67">
      <w:pPr>
        <w:pStyle w:val="Encabezado"/>
        <w:tabs>
          <w:tab w:val="center" w:pos="709"/>
        </w:tabs>
        <w:jc w:val="both"/>
        <w:rPr>
          <w:rFonts w:ascii="Verdana" w:eastAsia="Calibri" w:hAnsi="Verdana" w:cs="Arial"/>
          <w:color w:val="000000" w:themeColor="text1"/>
          <w:sz w:val="20"/>
          <w:szCs w:val="20"/>
        </w:rPr>
      </w:pPr>
      <w:r w:rsidRPr="00560A01">
        <w:rPr>
          <w:rFonts w:ascii="Verdana" w:eastAsia="Calibri" w:hAnsi="Verdana" w:cs="Arial"/>
          <w:color w:val="000000" w:themeColor="text1"/>
          <w:sz w:val="20"/>
          <w:szCs w:val="20"/>
        </w:rPr>
        <w:tab/>
        <w:t xml:space="preserve">De acuerdo con la nota señalada, cuando la fracción decimal del peso sea: i) sea igual o superior a 5, se aproximará al entero siguiente del peso; y </w:t>
      </w:r>
      <w:proofErr w:type="spellStart"/>
      <w:r w:rsidRPr="00560A01">
        <w:rPr>
          <w:rFonts w:ascii="Verdana" w:eastAsia="Calibri" w:hAnsi="Verdana" w:cs="Arial"/>
          <w:color w:val="000000" w:themeColor="text1"/>
          <w:sz w:val="20"/>
          <w:szCs w:val="20"/>
        </w:rPr>
        <w:t>ii</w:t>
      </w:r>
      <w:proofErr w:type="spellEnd"/>
      <w:r w:rsidRPr="00560A01">
        <w:rPr>
          <w:rFonts w:ascii="Verdana" w:eastAsia="Calibri" w:hAnsi="Verdana" w:cs="Arial"/>
          <w:color w:val="000000" w:themeColor="text1"/>
          <w:sz w:val="20"/>
          <w:szCs w:val="20"/>
        </w:rPr>
        <w:t xml:space="preserve">) cuando la fracción decimal del peso sea inferior a 5, se aproximará por defecto al número entero del peso. Esta regla constituye un parámetro objetivo y obligatorio para la determinación del valor final del peso, de modo que su aplicación no admite excepciones, interpretaciones alternativas ni adaptaciones discrecionales por parte de la Entidad. En consecuencia, la Entidad debe aplicar la nota exactamente en los términos descritos, sin alterar su sentido ni modificar los resultados que de ella se derivan, evitando prácticas que contravengan lo dispuesto, como redondear hacia abajo cuando corresponde hacerlo hacia arriba o cualquier otro ajuste que distorsione el criterio técnico establecido. </w:t>
      </w:r>
    </w:p>
    <w:p w14:paraId="7AD7BC6D" w14:textId="77777777" w:rsidR="00636A67" w:rsidRPr="00560A01" w:rsidRDefault="00636A67" w:rsidP="00636A67">
      <w:pPr>
        <w:pStyle w:val="Textoindependiente"/>
        <w:spacing w:after="0" w:line="240" w:lineRule="auto"/>
        <w:jc w:val="both"/>
        <w:rPr>
          <w:rFonts w:ascii="Verdana" w:eastAsia="Calibri" w:hAnsi="Verdana"/>
          <w:sz w:val="20"/>
          <w:szCs w:val="20"/>
        </w:rPr>
      </w:pPr>
    </w:p>
    <w:p w14:paraId="4164A459" w14:textId="77777777" w:rsidR="00636A67" w:rsidRPr="00560A01" w:rsidRDefault="00636A67" w:rsidP="00636A67">
      <w:pPr>
        <w:pStyle w:val="Textoindependiente"/>
        <w:spacing w:after="0" w:line="240" w:lineRule="auto"/>
        <w:jc w:val="both"/>
        <w:rPr>
          <w:rFonts w:ascii="Verdana" w:eastAsia="Calibri" w:hAnsi="Verdana"/>
          <w:sz w:val="20"/>
          <w:szCs w:val="20"/>
        </w:rPr>
      </w:pPr>
      <w:r w:rsidRPr="00560A01">
        <w:rPr>
          <w:rFonts w:ascii="Verdana" w:eastAsia="Calibri" w:hAnsi="Verdana"/>
          <w:sz w:val="20"/>
          <w:szCs w:val="20"/>
        </w:rPr>
        <w:t>(…)</w:t>
      </w:r>
    </w:p>
    <w:p w14:paraId="4D01C2D2" w14:textId="77777777" w:rsidR="00636A67" w:rsidRPr="00560A01" w:rsidRDefault="00636A67" w:rsidP="00636A67">
      <w:pPr>
        <w:pStyle w:val="Textoindependiente"/>
        <w:spacing w:after="0" w:line="240" w:lineRule="auto"/>
        <w:jc w:val="both"/>
        <w:rPr>
          <w:rFonts w:ascii="Verdana" w:eastAsia="Calibri" w:hAnsi="Verdana"/>
          <w:b/>
          <w:bCs/>
          <w:sz w:val="20"/>
          <w:szCs w:val="20"/>
        </w:rPr>
      </w:pPr>
    </w:p>
    <w:p w14:paraId="579BDFFC" w14:textId="77777777" w:rsidR="00636A67" w:rsidRPr="00560A01" w:rsidRDefault="00636A67" w:rsidP="00636A67">
      <w:pPr>
        <w:pStyle w:val="Textoindependiente"/>
        <w:spacing w:after="0" w:line="240" w:lineRule="auto"/>
        <w:jc w:val="both"/>
        <w:rPr>
          <w:rFonts w:ascii="Verdana" w:eastAsia="Calibri" w:hAnsi="Verdana"/>
          <w:sz w:val="20"/>
          <w:szCs w:val="20"/>
          <w:lang w:val="es-ES_tradnl" w:eastAsia="es-ES_tradnl"/>
        </w:rPr>
      </w:pPr>
      <w:r w:rsidRPr="00560A01">
        <w:rPr>
          <w:rFonts w:ascii="Verdana" w:eastAsia="Calibri" w:hAnsi="Verdana"/>
          <w:sz w:val="20"/>
          <w:szCs w:val="20"/>
          <w:lang w:val="es-ES_tradnl" w:eastAsia="es-ES_tradnl"/>
        </w:rPr>
        <w:t>De acuerdo con la regla del literal B es posible concluir que el ajuste al peso de que trata la Nota 2 del Formulario 1 da lugar a correcciones aritméticas de la oferta económica, y este ajuste recae sobre los precios unitarios, pues, la regla señala: “El ajuste al peso ya sea por exceso o por defecto de los precios unitarios contenidos en la propuesta económica”.</w:t>
      </w:r>
    </w:p>
    <w:p w14:paraId="11EC9D64" w14:textId="77777777" w:rsidR="00636A67" w:rsidRPr="00560A01" w:rsidRDefault="00636A67" w:rsidP="00636A67">
      <w:pPr>
        <w:pStyle w:val="Textoindependiente"/>
        <w:spacing w:after="0" w:line="240" w:lineRule="auto"/>
        <w:jc w:val="both"/>
        <w:rPr>
          <w:rFonts w:ascii="Verdana" w:eastAsia="Calibri" w:hAnsi="Verdana"/>
          <w:sz w:val="20"/>
          <w:szCs w:val="20"/>
          <w:lang w:val="es-ES_tradnl" w:eastAsia="es-ES_tradnl"/>
        </w:rPr>
      </w:pPr>
    </w:p>
    <w:p w14:paraId="3D5ECCCF" w14:textId="77777777" w:rsidR="00636A67" w:rsidRPr="00560A01" w:rsidRDefault="00636A67" w:rsidP="00636A67">
      <w:pPr>
        <w:pStyle w:val="Textoindependiente"/>
        <w:spacing w:after="0" w:line="240" w:lineRule="auto"/>
        <w:jc w:val="both"/>
        <w:rPr>
          <w:rFonts w:ascii="Verdana" w:eastAsia="Calibri" w:hAnsi="Verdana"/>
          <w:b/>
          <w:bCs/>
          <w:sz w:val="20"/>
          <w:szCs w:val="20"/>
          <w:lang w:val="es-ES_tradnl" w:eastAsia="es-ES_tradnl"/>
        </w:rPr>
      </w:pPr>
      <w:r w:rsidRPr="00560A01">
        <w:rPr>
          <w:rFonts w:ascii="Verdana" w:eastAsia="Calibri" w:hAnsi="Verdana"/>
          <w:sz w:val="20"/>
          <w:szCs w:val="20"/>
          <w:lang w:val="es-ES_tradnl" w:eastAsia="es-ES_tradnl"/>
        </w:rPr>
        <w:t>Cabe resaltar que la finalidad de la corrección aritmética es determinar el valor real de la oferta económica, en aras de garantizar los principios de igualdad y selección objetiva, razón por la cual, de acuerdo con lo señalado en el inciso final del numeral 4.1.2 del Documento base, el efecto de la corrección por ajuste al peso o de la corrección de errores aritméticos es que el valor total corregido será el que se tendrá en cuenta para la asignación de puntaje.  Esto es congruente con el numeral 4.1 que señala que para calificar el factor de la oferta económica se tendrá en cuenta el valor total indicado en la propuesta económica o el obtenido de la corrección aritmética.</w:t>
      </w:r>
    </w:p>
    <w:p w14:paraId="78E405FA" w14:textId="77777777" w:rsidR="00636A67" w:rsidRPr="00F14F70" w:rsidRDefault="00636A67" w:rsidP="00636A67">
      <w:pPr>
        <w:spacing w:after="0" w:line="240" w:lineRule="auto"/>
        <w:rPr>
          <w:rFonts w:ascii="Verdana" w:eastAsia="Times New Roman" w:hAnsi="Verdana" w:cs="Times New Roman"/>
          <w:color w:val="000000"/>
          <w:sz w:val="20"/>
          <w:szCs w:val="20"/>
          <w:lang w:eastAsia="es-CO"/>
        </w:rPr>
      </w:pPr>
    </w:p>
    <w:p w14:paraId="5EC62D6C" w14:textId="77777777" w:rsidR="00636A67" w:rsidRPr="00F14F70" w:rsidRDefault="00636A67" w:rsidP="00636A67">
      <w:pPr>
        <w:spacing w:after="0" w:line="240" w:lineRule="auto"/>
        <w:rPr>
          <w:rFonts w:ascii="Verdana" w:eastAsia="Times New Roman" w:hAnsi="Verdana" w:cs="Times New Roman"/>
          <w:color w:val="000000"/>
          <w:sz w:val="20"/>
          <w:szCs w:val="20"/>
          <w:lang w:eastAsia="es-CO"/>
        </w:rPr>
      </w:pPr>
    </w:p>
    <w:p w14:paraId="73C96DC2" w14:textId="77777777" w:rsidR="00636A67" w:rsidRPr="00F14F70" w:rsidRDefault="00636A67" w:rsidP="00636A67">
      <w:pPr>
        <w:spacing w:after="0" w:line="240" w:lineRule="auto"/>
        <w:rPr>
          <w:rFonts w:ascii="Verdana" w:eastAsia="Times New Roman" w:hAnsi="Verdana" w:cs="Times New Roman"/>
          <w:color w:val="000000"/>
          <w:sz w:val="20"/>
          <w:szCs w:val="20"/>
          <w:lang w:eastAsia="es-CO"/>
        </w:rPr>
      </w:pPr>
    </w:p>
    <w:p w14:paraId="1184B067" w14:textId="77777777" w:rsidR="00636A67" w:rsidRPr="00F14F70" w:rsidRDefault="00636A67" w:rsidP="00636A67">
      <w:pPr>
        <w:spacing w:after="0" w:line="240" w:lineRule="auto"/>
        <w:rPr>
          <w:rFonts w:ascii="Verdana" w:eastAsia="Times New Roman" w:hAnsi="Verdana" w:cs="Times New Roman"/>
          <w:color w:val="000000"/>
          <w:sz w:val="20"/>
          <w:szCs w:val="20"/>
          <w:lang w:eastAsia="es-CO"/>
        </w:rPr>
      </w:pPr>
    </w:p>
    <w:p w14:paraId="2A701BBD" w14:textId="77777777" w:rsidR="00636A67" w:rsidRPr="00F14F70" w:rsidRDefault="00636A67" w:rsidP="00636A67">
      <w:pPr>
        <w:spacing w:after="0" w:line="240" w:lineRule="auto"/>
        <w:rPr>
          <w:rFonts w:ascii="Verdana" w:eastAsia="Times New Roman" w:hAnsi="Verdana" w:cs="Times New Roman"/>
          <w:color w:val="000000"/>
          <w:sz w:val="20"/>
          <w:szCs w:val="20"/>
          <w:lang w:eastAsia="es-CO"/>
        </w:rPr>
      </w:pPr>
    </w:p>
    <w:p w14:paraId="29E4DD9B" w14:textId="77777777" w:rsidR="00636A67" w:rsidRPr="00F14F70" w:rsidRDefault="00636A67" w:rsidP="00636A67">
      <w:pPr>
        <w:spacing w:after="0" w:line="240" w:lineRule="auto"/>
        <w:rPr>
          <w:rFonts w:ascii="Verdana" w:eastAsia="Times New Roman" w:hAnsi="Verdana" w:cs="Times New Roman"/>
          <w:color w:val="000000"/>
          <w:sz w:val="20"/>
          <w:szCs w:val="20"/>
          <w:lang w:eastAsia="es-CO"/>
        </w:rPr>
      </w:pPr>
    </w:p>
    <w:p w14:paraId="50C675F8" w14:textId="77777777" w:rsidR="00636A67" w:rsidRPr="00F14F70" w:rsidRDefault="00636A67" w:rsidP="00636A67">
      <w:pPr>
        <w:spacing w:after="0" w:line="240" w:lineRule="auto"/>
        <w:rPr>
          <w:rFonts w:ascii="Verdana" w:eastAsia="Times New Roman" w:hAnsi="Verdana" w:cs="Times New Roman"/>
          <w:color w:val="000000"/>
          <w:lang w:eastAsia="es-CO"/>
        </w:rPr>
      </w:pPr>
    </w:p>
    <w:p w14:paraId="68A882D5" w14:textId="323C180C" w:rsidR="00636A67" w:rsidRDefault="00636A67" w:rsidP="00636A67">
      <w:pPr>
        <w:spacing w:after="0" w:line="240" w:lineRule="auto"/>
        <w:rPr>
          <w:rFonts w:ascii="Verdana" w:eastAsia="Calibri" w:hAnsi="Verdana" w:cs="Vrinda"/>
        </w:rPr>
      </w:pPr>
      <w:r w:rsidRPr="00F14F70">
        <w:rPr>
          <w:rFonts w:ascii="Verdana" w:eastAsia="Calibri" w:hAnsi="Verdana" w:cs="Vrinda"/>
        </w:rPr>
        <w:lastRenderedPageBreak/>
        <w:t xml:space="preserve">Bogotá D.C., </w:t>
      </w:r>
      <w:r w:rsidR="002E31A2">
        <w:rPr>
          <w:rFonts w:ascii="Verdana" w:eastAsia="Calibri" w:hAnsi="Verdana" w:cs="Vrinda"/>
        </w:rPr>
        <w:t xml:space="preserve">17 </w:t>
      </w:r>
      <w:proofErr w:type="gramStart"/>
      <w:r w:rsidR="002E31A2">
        <w:rPr>
          <w:rFonts w:ascii="Verdana" w:eastAsia="Calibri" w:hAnsi="Verdana" w:cs="Vrinda"/>
        </w:rPr>
        <w:t>Diciembre</w:t>
      </w:r>
      <w:proofErr w:type="gramEnd"/>
      <w:r w:rsidR="002E31A2">
        <w:rPr>
          <w:rFonts w:ascii="Verdana" w:eastAsia="Calibri" w:hAnsi="Verdana" w:cs="Vrinda"/>
        </w:rPr>
        <w:t xml:space="preserve"> 2025</w:t>
      </w:r>
    </w:p>
    <w:p w14:paraId="27EEA3A4" w14:textId="77C49175" w:rsidR="002E31A2" w:rsidRDefault="002E31A2" w:rsidP="00636A67">
      <w:pPr>
        <w:spacing w:after="0" w:line="240" w:lineRule="auto"/>
        <w:rPr>
          <w:rFonts w:ascii="Verdana" w:eastAsia="Calibri" w:hAnsi="Verdana" w:cs="Vrinda"/>
        </w:rPr>
      </w:pPr>
    </w:p>
    <w:p w14:paraId="279BFC75" w14:textId="46734ACB" w:rsidR="002E31A2" w:rsidRPr="00F14F70" w:rsidRDefault="00560A01" w:rsidP="00636A67">
      <w:pPr>
        <w:spacing w:after="0" w:line="240" w:lineRule="auto"/>
        <w:rPr>
          <w:rFonts w:ascii="Verdana" w:eastAsia="Calibri" w:hAnsi="Verdana" w:cs="Arial"/>
          <w:kern w:val="2"/>
          <w:lang w:val="es-ES" w:eastAsia="es-ES"/>
          <w14:ligatures w14:val="standardContextual"/>
        </w:rPr>
      </w:pPr>
      <w:r w:rsidRPr="002E31A2">
        <w:rPr>
          <w:rFonts w:ascii="Verdana" w:eastAsia="Calibri" w:hAnsi="Verdana" w:cs="Arial"/>
          <w:noProof/>
          <w:kern w:val="2"/>
          <w:lang w:val="es-ES" w:eastAsia="es-ES"/>
          <w14:ligatures w14:val="standardContextual"/>
        </w:rPr>
        <w:drawing>
          <wp:anchor distT="0" distB="0" distL="114300" distR="114300" simplePos="0" relativeHeight="251658240" behindDoc="0" locked="0" layoutInCell="1" allowOverlap="1" wp14:anchorId="7B1243D4" wp14:editId="50091DB2">
            <wp:simplePos x="0" y="0"/>
            <wp:positionH relativeFrom="margin">
              <wp:align>right</wp:align>
            </wp:positionH>
            <wp:positionV relativeFrom="paragraph">
              <wp:posOffset>12065</wp:posOffset>
            </wp:positionV>
            <wp:extent cx="2794556" cy="1002323"/>
            <wp:effectExtent l="0" t="0" r="6350" b="7620"/>
            <wp:wrapSquare wrapText="bothSides"/>
            <wp:docPr id="10777459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745903"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94556" cy="1002323"/>
                    </a:xfrm>
                    <a:prstGeom prst="rect">
                      <a:avLst/>
                    </a:prstGeom>
                  </pic:spPr>
                </pic:pic>
              </a:graphicData>
            </a:graphic>
            <wp14:sizeRelH relativeFrom="page">
              <wp14:pctWidth>0</wp14:pctWidth>
            </wp14:sizeRelH>
            <wp14:sizeRelV relativeFrom="page">
              <wp14:pctHeight>0</wp14:pctHeight>
            </wp14:sizeRelV>
          </wp:anchor>
        </w:drawing>
      </w:r>
    </w:p>
    <w:p w14:paraId="23B01A1F" w14:textId="77777777" w:rsidR="00636A67" w:rsidRPr="00F14F70" w:rsidRDefault="00636A67" w:rsidP="00636A67">
      <w:pPr>
        <w:spacing w:after="0" w:line="240" w:lineRule="auto"/>
        <w:rPr>
          <w:rFonts w:ascii="Verdana" w:eastAsia="Calibri" w:hAnsi="Verdana" w:cs="Arial"/>
          <w:kern w:val="2"/>
          <w:lang w:val="es-ES" w:eastAsia="es-ES"/>
          <w14:ligatures w14:val="standardContextual"/>
        </w:rPr>
      </w:pPr>
    </w:p>
    <w:p w14:paraId="35E6CA97" w14:textId="77777777" w:rsidR="00636A67" w:rsidRPr="00F14F70" w:rsidRDefault="00636A67" w:rsidP="00636A67">
      <w:pPr>
        <w:spacing w:after="0" w:line="240" w:lineRule="auto"/>
        <w:rPr>
          <w:rFonts w:ascii="Verdana" w:eastAsia="Aptos" w:hAnsi="Verdana" w:cs="Times New Roman"/>
          <w:kern w:val="2"/>
          <w14:ligatures w14:val="standardContextual"/>
        </w:rPr>
      </w:pPr>
      <w:r w:rsidRPr="00F14F70">
        <w:rPr>
          <w:rFonts w:ascii="Verdana" w:eastAsia="Calibri" w:hAnsi="Verdana" w:cs="Arial"/>
          <w:kern w:val="2"/>
          <w:lang w:val="es-ES" w:eastAsia="es-ES"/>
          <w14:ligatures w14:val="standardContextual"/>
        </w:rPr>
        <w:t>Señora</w:t>
      </w:r>
    </w:p>
    <w:p w14:paraId="71F6C697" w14:textId="77777777" w:rsidR="00636A67" w:rsidRPr="00F14F70" w:rsidRDefault="00636A67" w:rsidP="00636A67">
      <w:pPr>
        <w:spacing w:after="0" w:line="240" w:lineRule="auto"/>
        <w:rPr>
          <w:rFonts w:ascii="Verdana" w:eastAsia="Calibri" w:hAnsi="Verdana" w:cs="Arial"/>
          <w:b/>
          <w:bCs/>
          <w:kern w:val="2"/>
          <w:lang w:eastAsia="es-ES_tradnl"/>
          <w14:ligatures w14:val="standardContextual"/>
        </w:rPr>
      </w:pPr>
      <w:r w:rsidRPr="00F14F70">
        <w:rPr>
          <w:rFonts w:ascii="Verdana" w:eastAsia="Calibri" w:hAnsi="Verdana" w:cs="Arial"/>
          <w:b/>
          <w:bCs/>
          <w:kern w:val="2"/>
          <w:lang w:eastAsia="es-ES_tradnl"/>
          <w14:ligatures w14:val="standardContextual"/>
        </w:rPr>
        <w:t>Marcela Blanco</w:t>
      </w:r>
    </w:p>
    <w:p w14:paraId="232D707D" w14:textId="77777777" w:rsidR="00636A67" w:rsidRPr="00F14F70" w:rsidRDefault="00636A67" w:rsidP="00636A67">
      <w:pPr>
        <w:spacing w:after="0" w:line="240" w:lineRule="auto"/>
        <w:rPr>
          <w:rFonts w:ascii="Verdana" w:eastAsia="Calibri" w:hAnsi="Verdana" w:cs="Arial"/>
          <w:lang w:val="es-ES_tradnl" w:eastAsia="es-ES_tradnl"/>
        </w:rPr>
      </w:pPr>
      <w:r w:rsidRPr="00F14F70">
        <w:rPr>
          <w:rFonts w:ascii="Verdana" w:eastAsia="Calibri" w:hAnsi="Verdana" w:cs="Arial"/>
          <w:kern w:val="2"/>
          <w:lang w:eastAsia="es-ES_tradnl"/>
          <w14:ligatures w14:val="standardContextual"/>
        </w:rPr>
        <w:t>Tunja, Boyacá</w:t>
      </w:r>
    </w:p>
    <w:p w14:paraId="214138F7" w14:textId="77777777" w:rsidR="00636A67" w:rsidRPr="00F14F70" w:rsidRDefault="00636A67" w:rsidP="00636A67">
      <w:pPr>
        <w:spacing w:after="0" w:line="240" w:lineRule="auto"/>
        <w:rPr>
          <w:rFonts w:ascii="Verdana" w:eastAsia="Calibri" w:hAnsi="Verdana" w:cs="Arial"/>
          <w:b/>
          <w:bCs/>
          <w:lang w:val="es-ES_tradnl" w:eastAsia="es-ES_tradnl"/>
        </w:rPr>
      </w:pPr>
    </w:p>
    <w:p w14:paraId="5E330F21" w14:textId="77777777" w:rsidR="00636A67" w:rsidRPr="00F14F70" w:rsidRDefault="00636A67" w:rsidP="00636A67">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636A67" w:rsidRPr="001817D8" w14:paraId="70E53E28" w14:textId="77777777" w:rsidTr="00A16055">
        <w:trPr>
          <w:trHeight w:val="229"/>
        </w:trPr>
        <w:tc>
          <w:tcPr>
            <w:tcW w:w="1985" w:type="dxa"/>
          </w:tcPr>
          <w:p w14:paraId="67D8560E" w14:textId="77777777" w:rsidR="00636A67" w:rsidRPr="00F14F70" w:rsidRDefault="00636A67" w:rsidP="00A16055">
            <w:pPr>
              <w:jc w:val="both"/>
              <w:rPr>
                <w:rFonts w:ascii="Verdana" w:eastAsia="Calibri" w:hAnsi="Verdana" w:cs="Arial"/>
                <w:b/>
                <w:bCs/>
                <w:lang w:val="es-ES_tradnl" w:eastAsia="es-ES_tradnl"/>
              </w:rPr>
            </w:pPr>
          </w:p>
        </w:tc>
        <w:tc>
          <w:tcPr>
            <w:tcW w:w="6383" w:type="dxa"/>
          </w:tcPr>
          <w:p w14:paraId="716A3498" w14:textId="77777777" w:rsidR="00636A67" w:rsidRPr="00F14F70" w:rsidRDefault="00636A67" w:rsidP="00A16055">
            <w:pPr>
              <w:jc w:val="both"/>
              <w:rPr>
                <w:rFonts w:ascii="Verdana" w:eastAsia="Calibri" w:hAnsi="Verdana" w:cs="Arial"/>
                <w:b/>
                <w:bCs/>
                <w:lang w:val="es-ES" w:eastAsia="es-ES"/>
              </w:rPr>
            </w:pPr>
            <w:r w:rsidRPr="00F14F70">
              <w:rPr>
                <w:rFonts w:ascii="Verdana" w:eastAsia="Calibri" w:hAnsi="Verdana" w:cs="Arial"/>
                <w:b/>
                <w:bCs/>
                <w:lang w:val="es-ES" w:eastAsia="es-ES"/>
              </w:rPr>
              <w:t>Concepto C-1717 de 2025</w:t>
            </w:r>
          </w:p>
          <w:p w14:paraId="12709F70" w14:textId="77777777" w:rsidR="00636A67" w:rsidRPr="00F14F70" w:rsidRDefault="00636A67" w:rsidP="00A16055">
            <w:pPr>
              <w:jc w:val="both"/>
              <w:rPr>
                <w:rFonts w:ascii="Verdana" w:eastAsia="Calibri" w:hAnsi="Verdana" w:cs="Arial"/>
                <w:b/>
                <w:bCs/>
                <w:lang w:val="es-ES" w:eastAsia="es-ES"/>
              </w:rPr>
            </w:pPr>
          </w:p>
          <w:p w14:paraId="05A134AD" w14:textId="77777777" w:rsidR="00636A67" w:rsidRPr="00F14F70" w:rsidRDefault="00636A67" w:rsidP="00A16055">
            <w:pPr>
              <w:jc w:val="both"/>
              <w:rPr>
                <w:rFonts w:ascii="Verdana" w:eastAsia="Calibri" w:hAnsi="Verdana" w:cs="Arial"/>
                <w:b/>
                <w:bCs/>
                <w:lang w:val="es-ES" w:eastAsia="es-ES"/>
              </w:rPr>
            </w:pPr>
          </w:p>
          <w:p w14:paraId="146E920A" w14:textId="77777777" w:rsidR="00636A67" w:rsidRPr="00F14F70" w:rsidRDefault="00636A67" w:rsidP="00A16055">
            <w:pPr>
              <w:jc w:val="both"/>
              <w:rPr>
                <w:rFonts w:ascii="Verdana" w:eastAsia="Calibri" w:hAnsi="Verdana" w:cs="Arial"/>
                <w:b/>
                <w:bCs/>
                <w:lang w:val="es-ES" w:eastAsia="es-ES"/>
              </w:rPr>
            </w:pPr>
          </w:p>
        </w:tc>
      </w:tr>
      <w:tr w:rsidR="00636A67" w:rsidRPr="001817D8" w14:paraId="355D3DB9" w14:textId="77777777" w:rsidTr="00A16055">
        <w:trPr>
          <w:trHeight w:val="884"/>
        </w:trPr>
        <w:tc>
          <w:tcPr>
            <w:tcW w:w="1985" w:type="dxa"/>
          </w:tcPr>
          <w:p w14:paraId="258E6B09" w14:textId="77777777" w:rsidR="00636A67" w:rsidRPr="00560A01" w:rsidRDefault="00636A67" w:rsidP="00A16055">
            <w:pPr>
              <w:jc w:val="both"/>
              <w:rPr>
                <w:rFonts w:ascii="Verdana" w:eastAsia="Calibri" w:hAnsi="Verdana" w:cs="Arial"/>
                <w:lang w:val="es-ES_tradnl" w:eastAsia="es-ES_tradnl"/>
              </w:rPr>
            </w:pPr>
            <w:r w:rsidRPr="00560A01">
              <w:rPr>
                <w:rFonts w:ascii="Verdana" w:eastAsia="Calibri" w:hAnsi="Verdana" w:cs="Arial"/>
                <w:b/>
                <w:lang w:val="es-ES_tradnl" w:eastAsia="es-ES_tradnl"/>
              </w:rPr>
              <w:t>Temas:</w:t>
            </w:r>
            <w:r w:rsidRPr="00560A01">
              <w:rPr>
                <w:rFonts w:ascii="Verdana" w:eastAsia="Calibri" w:hAnsi="Verdana" w:cs="Arial"/>
                <w:lang w:val="es-ES_tradnl" w:eastAsia="es-ES_tradnl"/>
              </w:rPr>
              <w:t xml:space="preserve">                   </w:t>
            </w:r>
          </w:p>
        </w:tc>
        <w:tc>
          <w:tcPr>
            <w:tcW w:w="6383" w:type="dxa"/>
          </w:tcPr>
          <w:p w14:paraId="63ACFE53" w14:textId="77777777" w:rsidR="00636A67" w:rsidRPr="00560A01" w:rsidRDefault="00636A67" w:rsidP="00A16055">
            <w:pPr>
              <w:jc w:val="both"/>
              <w:rPr>
                <w:rFonts w:ascii="Verdana" w:hAnsi="Verdana" w:cs="Arial"/>
              </w:rPr>
            </w:pPr>
            <w:r w:rsidRPr="00560A01">
              <w:rPr>
                <w:rFonts w:ascii="Verdana" w:eastAsia="Calibri" w:hAnsi="Verdana" w:cs="Arial"/>
                <w:lang w:val="es-ES_tradnl"/>
              </w:rPr>
              <w:t>DOCUMENTOS TIPO – Fundamento normativo – Obligatoriedad / DOCUMENTOS TIPO – Infraestructura social – Sector educativo</w:t>
            </w:r>
            <w:r w:rsidRPr="00560A01">
              <w:rPr>
                <w:rFonts w:ascii="Verdana" w:eastAsia="Calibri" w:hAnsi="Verdana" w:cs="Arial"/>
                <w:kern w:val="2"/>
                <w:lang w:val="es-ES_tradnl"/>
                <w14:ligatures w14:val="standardContextual"/>
              </w:rPr>
              <w:t xml:space="preserve">, salud, cultura, recreación y deporte / </w:t>
            </w:r>
            <w:r w:rsidRPr="00560A01">
              <w:rPr>
                <w:rFonts w:ascii="Verdana" w:eastAsia="Calibri" w:hAnsi="Verdana"/>
              </w:rPr>
              <w:t xml:space="preserve">DOCUMENTOS TIPO – Formulario 1 – Presupuesto Oficial – Propuesta económica / </w:t>
            </w:r>
            <w:r w:rsidRPr="00560A01">
              <w:rPr>
                <w:rFonts w:ascii="Verdana" w:eastAsia="Calibri" w:hAnsi="Verdana"/>
                <w:lang w:val="es-ES_tradnl"/>
              </w:rPr>
              <w:t xml:space="preserve">FORMULARIO 1 </w:t>
            </w:r>
            <w:r w:rsidRPr="00560A01">
              <w:rPr>
                <w:rFonts w:ascii="Verdana" w:eastAsia="Calibri" w:hAnsi="Verdana"/>
                <w:color w:val="000000" w:themeColor="text1"/>
              </w:rPr>
              <w:t xml:space="preserve">– Notas 1, 2 y 3 – Precios unitarios Inalterabilidad / </w:t>
            </w:r>
            <w:r w:rsidRPr="00560A01">
              <w:rPr>
                <w:rFonts w:ascii="Verdana" w:hAnsi="Verdana" w:cs="Arial"/>
              </w:rPr>
              <w:t>FORMULARIO 1 – Nota 2 – Alcance – Finalidad</w:t>
            </w:r>
          </w:p>
          <w:p w14:paraId="7EA5AFFB" w14:textId="77777777" w:rsidR="00636A67" w:rsidRPr="00560A01" w:rsidRDefault="00636A67" w:rsidP="00A16055">
            <w:pPr>
              <w:widowControl w:val="0"/>
              <w:autoSpaceDE w:val="0"/>
              <w:autoSpaceDN w:val="0"/>
              <w:jc w:val="both"/>
              <w:rPr>
                <w:rFonts w:ascii="Verdana" w:eastAsia="Calibri" w:hAnsi="Verdana" w:cs="Times New Roman"/>
                <w:highlight w:val="yellow"/>
                <w:lang w:val="es-ES"/>
              </w:rPr>
            </w:pPr>
            <w:r w:rsidRPr="00560A01">
              <w:rPr>
                <w:rFonts w:ascii="Verdana" w:eastAsia="Calibri" w:hAnsi="Verdana" w:cs="Times New Roman"/>
                <w:highlight w:val="yellow"/>
                <w:lang w:val="es-ES"/>
              </w:rPr>
              <w:t xml:space="preserve"> </w:t>
            </w:r>
          </w:p>
        </w:tc>
      </w:tr>
      <w:tr w:rsidR="00636A67" w:rsidRPr="001817D8" w14:paraId="54E2B468" w14:textId="77777777" w:rsidTr="00A16055">
        <w:tc>
          <w:tcPr>
            <w:tcW w:w="1985" w:type="dxa"/>
          </w:tcPr>
          <w:p w14:paraId="5515C0B1" w14:textId="77777777" w:rsidR="00636A67" w:rsidRPr="00F14F70" w:rsidRDefault="00636A67" w:rsidP="00A16055">
            <w:pPr>
              <w:jc w:val="both"/>
              <w:rPr>
                <w:rFonts w:ascii="Verdana" w:eastAsia="Calibri" w:hAnsi="Verdana" w:cs="Arial"/>
                <w:b/>
                <w:lang w:val="es-ES_tradnl" w:eastAsia="es-ES_tradnl"/>
              </w:rPr>
            </w:pPr>
            <w:r w:rsidRPr="00F14F70">
              <w:rPr>
                <w:rFonts w:ascii="Verdana" w:eastAsia="Calibri" w:hAnsi="Verdana" w:cs="Arial"/>
                <w:b/>
                <w:lang w:val="es-ES_tradnl" w:eastAsia="es-ES_tradnl"/>
              </w:rPr>
              <w:t>Radicación:</w:t>
            </w:r>
            <w:r w:rsidRPr="00F14F70">
              <w:rPr>
                <w:rFonts w:ascii="Verdana" w:eastAsia="Calibri" w:hAnsi="Verdana" w:cs="Arial"/>
                <w:lang w:val="es-ES_tradnl" w:eastAsia="es-ES_tradnl"/>
              </w:rPr>
              <w:t xml:space="preserve">               </w:t>
            </w:r>
          </w:p>
        </w:tc>
        <w:tc>
          <w:tcPr>
            <w:tcW w:w="6383" w:type="dxa"/>
          </w:tcPr>
          <w:p w14:paraId="3E8E2203" w14:textId="77777777" w:rsidR="00636A67" w:rsidRPr="00F14F70" w:rsidRDefault="00636A67" w:rsidP="00A16055">
            <w:pPr>
              <w:jc w:val="both"/>
              <w:rPr>
                <w:rFonts w:ascii="Verdana" w:eastAsia="Calibri" w:hAnsi="Verdana" w:cs="Arial"/>
                <w:lang w:val="es-ES_tradnl" w:eastAsia="es-ES_tradnl"/>
              </w:rPr>
            </w:pPr>
            <w:r w:rsidRPr="00F14F70">
              <w:rPr>
                <w:rFonts w:ascii="Verdana" w:eastAsia="Calibri" w:hAnsi="Verdana" w:cs="Arial"/>
                <w:lang w:val="es-ES_tradnl" w:eastAsia="es-ES_tradnl"/>
              </w:rPr>
              <w:t>Respuesta a consulta con radicado No. 1_2025_11_20_013075</w:t>
            </w:r>
          </w:p>
          <w:p w14:paraId="6DBBB384" w14:textId="77777777" w:rsidR="00636A67" w:rsidRPr="00F14F70" w:rsidRDefault="00636A67" w:rsidP="00A16055">
            <w:pPr>
              <w:ind w:left="3" w:hanging="3"/>
              <w:jc w:val="both"/>
              <w:rPr>
                <w:rFonts w:ascii="Verdana" w:eastAsia="Calibri" w:hAnsi="Verdana" w:cs="Arial"/>
                <w:lang w:val="es-ES_tradnl" w:eastAsia="es-ES_tradnl"/>
              </w:rPr>
            </w:pPr>
          </w:p>
        </w:tc>
      </w:tr>
    </w:tbl>
    <w:p w14:paraId="182FD160" w14:textId="77777777" w:rsidR="00636A67" w:rsidRPr="00F14F70" w:rsidRDefault="00636A67" w:rsidP="00636A67">
      <w:pPr>
        <w:spacing w:after="0" w:line="240" w:lineRule="auto"/>
        <w:jc w:val="both"/>
        <w:rPr>
          <w:rFonts w:ascii="Verdana" w:eastAsia="Calibri" w:hAnsi="Verdana" w:cs="Arial"/>
          <w:lang w:val="es-ES_tradnl" w:eastAsia="es-ES_tradnl"/>
        </w:rPr>
      </w:pPr>
    </w:p>
    <w:p w14:paraId="7D80104F" w14:textId="77777777" w:rsidR="00636A67" w:rsidRPr="00F14F70" w:rsidRDefault="00636A67" w:rsidP="00636A67">
      <w:pPr>
        <w:spacing w:after="0" w:line="276" w:lineRule="auto"/>
        <w:jc w:val="both"/>
        <w:rPr>
          <w:rFonts w:ascii="Verdana" w:eastAsia="Calibri" w:hAnsi="Verdana" w:cs="Arial"/>
          <w:lang w:val="es-ES" w:eastAsia="es-ES"/>
        </w:rPr>
      </w:pPr>
      <w:r w:rsidRPr="00F14F70">
        <w:rPr>
          <w:rFonts w:ascii="Verdana" w:eastAsia="Calibri" w:hAnsi="Verdana" w:cs="Arial"/>
          <w:lang w:val="es-ES" w:eastAsia="es-ES"/>
        </w:rPr>
        <w:t xml:space="preserve">Estimada señora Blanco: </w:t>
      </w:r>
    </w:p>
    <w:p w14:paraId="34FEAEFF" w14:textId="77777777" w:rsidR="00636A67" w:rsidRPr="00F14F70" w:rsidRDefault="00636A67" w:rsidP="00636A67">
      <w:pPr>
        <w:tabs>
          <w:tab w:val="left" w:pos="3768"/>
        </w:tabs>
        <w:spacing w:after="0" w:line="276" w:lineRule="auto"/>
        <w:jc w:val="both"/>
        <w:rPr>
          <w:rFonts w:ascii="Verdana" w:eastAsia="Calibri" w:hAnsi="Verdana" w:cs="Arial"/>
          <w:lang w:val="es-ES" w:eastAsia="es-ES"/>
        </w:rPr>
      </w:pPr>
      <w:r w:rsidRPr="00F14F70">
        <w:rPr>
          <w:rFonts w:ascii="Verdana" w:eastAsia="Calibri" w:hAnsi="Verdana" w:cs="Arial"/>
          <w:lang w:val="es-ES" w:eastAsia="es-ES"/>
        </w:rPr>
        <w:tab/>
      </w:r>
    </w:p>
    <w:p w14:paraId="298C2FB3" w14:textId="77777777" w:rsidR="00636A67" w:rsidRPr="00F14F70" w:rsidRDefault="00636A67" w:rsidP="00636A67">
      <w:pPr>
        <w:spacing w:after="0" w:line="276" w:lineRule="auto"/>
        <w:jc w:val="both"/>
        <w:rPr>
          <w:rFonts w:ascii="Verdana" w:eastAsia="Calibri" w:hAnsi="Verdana" w:cs="Arial"/>
          <w:lang w:val="es-ES" w:eastAsia="es-ES"/>
        </w:rPr>
      </w:pPr>
      <w:r w:rsidRPr="00F14F70">
        <w:rPr>
          <w:rFonts w:ascii="Verdana" w:eastAsia="Calibri" w:hAnsi="Verdana" w:cs="Arial"/>
          <w:lang w:val="es-ES" w:eastAsia="es-ES"/>
        </w:rPr>
        <w:t>En ejercicio de la competencia otorgada por los artículos 3, numeral 5º, y 11, numeral 8º, del Decreto Ley 4170 de 2011,</w:t>
      </w:r>
      <w:r w:rsidRPr="00F14F70">
        <w:rPr>
          <w:rFonts w:ascii="Verdana" w:eastAsia="Arial MT" w:hAnsi="Verdana" w:cs="Arial MT"/>
          <w:lang w:val="es-ES" w:eastAsia="es-ES"/>
        </w:rPr>
        <w:t xml:space="preserve"> </w:t>
      </w:r>
      <w:r w:rsidRPr="00F14F70">
        <w:rPr>
          <w:rFonts w:ascii="Verdana" w:eastAsia="Calibri" w:hAnsi="Verdana" w:cs="Arial"/>
        </w:rPr>
        <w:t xml:space="preserve">así como lo establecido en el artículo 4 de la Resolución 1707 de 2018 expedida por esta Entidad, </w:t>
      </w:r>
      <w:r w:rsidRPr="00F14F70">
        <w:rPr>
          <w:rFonts w:ascii="Verdana" w:eastAsia="Calibri" w:hAnsi="Verdana" w:cs="Arial"/>
          <w:lang w:val="es-ES" w:eastAsia="es-ES"/>
        </w:rPr>
        <w:t>la Agencia Nacional de Contratación Pública – Colombia Compra Eficiente– responde su solicitud de consulta del 19 de noviembre de 2025, en las cuales manifiesta lo siguiente:</w:t>
      </w:r>
    </w:p>
    <w:p w14:paraId="020EAF50" w14:textId="77777777" w:rsidR="00636A67" w:rsidRPr="00F14F70" w:rsidRDefault="00636A67" w:rsidP="00636A67">
      <w:pPr>
        <w:spacing w:after="0" w:line="276" w:lineRule="auto"/>
        <w:jc w:val="both"/>
        <w:rPr>
          <w:rFonts w:ascii="Verdana" w:eastAsia="Calibri" w:hAnsi="Verdana" w:cs="Arial"/>
          <w:lang w:val="es-ES" w:eastAsia="es-ES"/>
        </w:rPr>
      </w:pPr>
    </w:p>
    <w:p w14:paraId="086835E8" w14:textId="77777777" w:rsidR="00636A67" w:rsidRPr="00F14F70" w:rsidRDefault="00636A67" w:rsidP="00636A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hAnsi="Verdana" w:cs="Arial"/>
          <w:color w:val="000000"/>
          <w:sz w:val="21"/>
          <w:szCs w:val="21"/>
          <w:lang w:val="es-MX"/>
          <w14:ligatures w14:val="standardContextual"/>
        </w:rPr>
      </w:pPr>
      <w:r w:rsidRPr="00F14F70">
        <w:rPr>
          <w:rFonts w:ascii="Verdana" w:eastAsia="Aptos" w:hAnsi="Verdana" w:cs="Arial"/>
          <w:color w:val="000000"/>
          <w:sz w:val="21"/>
          <w:szCs w:val="21"/>
          <w14:ligatures w14:val="standardContextual"/>
        </w:rPr>
        <w:t>“A</w:t>
      </w:r>
      <w:r w:rsidRPr="001817D8">
        <w:rPr>
          <w:rFonts w:ascii="Verdana" w:hAnsi="Verdana" w:cs="Verdana"/>
          <w:color w:val="0B2C08"/>
          <w:sz w:val="21"/>
          <w:szCs w:val="21"/>
          <w:lang w:val="es-MX"/>
          <w14:ligatures w14:val="standardContextual"/>
        </w:rPr>
        <w:t>l diligenciar el formulario 1 del presupuesto de los pliegos tipo para infraestructura social, hay una nota que dice que se debe aproximar por encima si es</w:t>
      </w:r>
      <w:r w:rsidRPr="00F14F70">
        <w:rPr>
          <w:rFonts w:ascii="Verdana" w:hAnsi="Verdana" w:cs="Verdana"/>
          <w:color w:val="0B2C08"/>
          <w:sz w:val="21"/>
          <w:szCs w:val="21"/>
          <w:lang w:val="es-MX"/>
          <w14:ligatures w14:val="standardContextual"/>
        </w:rPr>
        <w:t xml:space="preserve"> </w:t>
      </w:r>
      <w:r w:rsidRPr="001817D8">
        <w:rPr>
          <w:rFonts w:ascii="Verdana" w:hAnsi="Verdana" w:cs="Verdana"/>
          <w:color w:val="0B2C08"/>
          <w:sz w:val="21"/>
          <w:szCs w:val="21"/>
          <w:lang w:val="es-MX"/>
          <w14:ligatures w14:val="standardContextual"/>
        </w:rPr>
        <w:t>más de 5 y por debajo si es menos de 5, para para dejar 2 decimales, al hacer el redondeo como</w:t>
      </w:r>
      <w:r w:rsidRPr="00F14F70">
        <w:rPr>
          <w:rFonts w:ascii="Verdana" w:hAnsi="Verdana" w:cs="Verdana"/>
          <w:color w:val="0B2C08"/>
          <w:sz w:val="21"/>
          <w:szCs w:val="21"/>
          <w:lang w:val="es-MX"/>
          <w14:ligatures w14:val="standardContextual"/>
        </w:rPr>
        <w:t xml:space="preserve"> </w:t>
      </w:r>
      <w:r w:rsidRPr="001817D8">
        <w:rPr>
          <w:rFonts w:ascii="Verdana" w:hAnsi="Verdana" w:cs="Verdana"/>
          <w:color w:val="0B2C08"/>
          <w:sz w:val="21"/>
          <w:szCs w:val="21"/>
          <w:lang w:val="es-MX"/>
          <w14:ligatures w14:val="standardContextual"/>
        </w:rPr>
        <w:t>lo pide la nota, se sobrepasa el presupuesto oficial aprobado en el proyecto de inversión por 260</w:t>
      </w:r>
      <w:r w:rsidRPr="00F14F70">
        <w:rPr>
          <w:rFonts w:ascii="Verdana" w:hAnsi="Verdana" w:cs="Verdana"/>
          <w:color w:val="0B2C08"/>
          <w:sz w:val="21"/>
          <w:szCs w:val="21"/>
          <w:lang w:val="es-MX"/>
          <w14:ligatures w14:val="standardContextual"/>
        </w:rPr>
        <w:t xml:space="preserve"> </w:t>
      </w:r>
      <w:r w:rsidRPr="001817D8">
        <w:rPr>
          <w:rFonts w:ascii="Verdana" w:hAnsi="Verdana" w:cs="Verdana"/>
          <w:color w:val="0B2C08"/>
          <w:sz w:val="21"/>
          <w:szCs w:val="21"/>
          <w:lang w:val="es-MX"/>
          <w14:ligatures w14:val="standardContextual"/>
        </w:rPr>
        <w:t xml:space="preserve">pesos, por lo cual no podría tramitar el proceso, en ese orden </w:t>
      </w:r>
      <w:r w:rsidRPr="001817D8">
        <w:rPr>
          <w:rFonts w:ascii="Verdana" w:hAnsi="Verdana" w:cs="Verdana"/>
          <w:color w:val="0B2C08"/>
          <w:sz w:val="21"/>
          <w:szCs w:val="21"/>
          <w:lang w:val="es-MX"/>
          <w14:ligatures w14:val="standardContextual"/>
        </w:rPr>
        <w:lastRenderedPageBreak/>
        <w:t>de ideas no se podría redondear</w:t>
      </w:r>
      <w:r w:rsidRPr="00F14F70">
        <w:rPr>
          <w:rFonts w:ascii="Verdana" w:hAnsi="Verdana" w:cs="Verdana"/>
          <w:color w:val="0B2C08"/>
          <w:sz w:val="21"/>
          <w:szCs w:val="21"/>
          <w:lang w:val="es-MX"/>
          <w14:ligatures w14:val="standardContextual"/>
        </w:rPr>
        <w:t xml:space="preserve"> </w:t>
      </w:r>
      <w:r w:rsidRPr="001817D8">
        <w:rPr>
          <w:rFonts w:ascii="Verdana" w:hAnsi="Verdana" w:cs="Verdana"/>
          <w:color w:val="0B2C08"/>
          <w:sz w:val="21"/>
          <w:szCs w:val="21"/>
          <w:lang w:val="es-MX"/>
          <w14:ligatures w14:val="standardContextual"/>
        </w:rPr>
        <w:t>por debajo para no sobrepasar el valor del presupuesto oficial?</w:t>
      </w:r>
      <w:r w:rsidRPr="00F14F70">
        <w:rPr>
          <w:rFonts w:ascii="Verdana" w:eastAsia="Aptos" w:hAnsi="Verdana" w:cs="Arial"/>
          <w:color w:val="000000"/>
          <w:sz w:val="21"/>
          <w:szCs w:val="21"/>
          <w14:ligatures w14:val="standardContextual"/>
        </w:rPr>
        <w:t xml:space="preserve">”(sic).  </w:t>
      </w:r>
    </w:p>
    <w:p w14:paraId="20E8AE59" w14:textId="77777777" w:rsidR="00636A67" w:rsidRPr="00F14F70" w:rsidRDefault="00636A67" w:rsidP="00636A67">
      <w:pPr>
        <w:spacing w:after="0" w:line="276" w:lineRule="auto"/>
        <w:jc w:val="both"/>
        <w:rPr>
          <w:rFonts w:ascii="Verdana" w:eastAsia="Calibri" w:hAnsi="Verdana" w:cs="Arial"/>
          <w:lang w:val="es-ES" w:eastAsia="es-ES"/>
        </w:rPr>
      </w:pPr>
    </w:p>
    <w:p w14:paraId="1975451F" w14:textId="77777777" w:rsidR="00636A67" w:rsidRPr="00F14F70" w:rsidRDefault="00636A67" w:rsidP="00636A67">
      <w:pPr>
        <w:spacing w:after="120" w:line="276" w:lineRule="auto"/>
        <w:ind w:firstLine="709"/>
        <w:jc w:val="both"/>
        <w:rPr>
          <w:rFonts w:ascii="Verdana" w:eastAsia="Calibri" w:hAnsi="Verdana" w:cs="Arial"/>
          <w:color w:val="000000"/>
          <w:lang w:val="es-ES" w:eastAsia="es-ES"/>
        </w:rPr>
      </w:pPr>
      <w:r w:rsidRPr="00F14F70">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14F70">
        <w:rPr>
          <w:rFonts w:ascii="Verdana" w:eastAsia="Calibri" w:hAnsi="Verdana" w:cs="Arial"/>
          <w:color w:val="000000"/>
          <w:szCs w:val="24"/>
          <w:lang w:val="es-ES_tradnl" w:eastAsia="es-ES_tradnl"/>
        </w:rPr>
        <w:tab/>
      </w:r>
    </w:p>
    <w:p w14:paraId="42E974B7" w14:textId="77777777" w:rsidR="00636A67" w:rsidRPr="00F14F70" w:rsidRDefault="00636A67" w:rsidP="00636A67">
      <w:pPr>
        <w:spacing w:after="0" w:line="276" w:lineRule="auto"/>
        <w:ind w:firstLine="709"/>
        <w:jc w:val="both"/>
        <w:rPr>
          <w:rFonts w:ascii="Verdana" w:eastAsia="Calibri" w:hAnsi="Verdana" w:cs="Arial"/>
          <w:color w:val="000000"/>
          <w:lang w:val="es-ES" w:eastAsia="es-ES"/>
        </w:rPr>
      </w:pPr>
      <w:r w:rsidRPr="00F14F70">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F14F70">
        <w:rPr>
          <w:rFonts w:ascii="Verdana" w:eastAsia="Calibri" w:hAnsi="Verdana" w:cs="Arial"/>
          <w:color w:val="7030A0"/>
          <w:lang w:val="es-ES" w:eastAsia="es-ES"/>
        </w:rPr>
        <w:t xml:space="preserve"> </w:t>
      </w:r>
      <w:r w:rsidRPr="00F14F70">
        <w:rPr>
          <w:rFonts w:ascii="Verdana" w:eastAsia="Calibri" w:hAnsi="Verdana" w:cs="Arial"/>
          <w:color w:val="000000"/>
          <w:lang w:val="es-ES" w:eastAsia="es-ES"/>
        </w:rPr>
        <w:t>problema</w:t>
      </w:r>
      <w:r w:rsidRPr="00F14F70">
        <w:rPr>
          <w:rFonts w:ascii="Verdana" w:eastAsia="Calibri" w:hAnsi="Verdana" w:cs="Arial"/>
          <w:color w:val="7030A0"/>
          <w:lang w:val="es-ES" w:eastAsia="es-ES"/>
        </w:rPr>
        <w:t xml:space="preserve"> </w:t>
      </w:r>
      <w:r w:rsidRPr="00F14F70">
        <w:rPr>
          <w:rFonts w:ascii="Verdana" w:eastAsia="Calibri" w:hAnsi="Verdana" w:cs="Arial"/>
          <w:color w:val="000000"/>
          <w:lang w:val="es-ES" w:eastAsia="es-ES"/>
        </w:rPr>
        <w:t>jurídico</w:t>
      </w:r>
      <w:r w:rsidRPr="00F14F70">
        <w:rPr>
          <w:rFonts w:ascii="Verdana" w:eastAsia="Calibri" w:hAnsi="Verdana" w:cs="Arial"/>
          <w:color w:val="7030A0"/>
          <w:lang w:val="es-ES" w:eastAsia="es-ES"/>
        </w:rPr>
        <w:t xml:space="preserve"> </w:t>
      </w:r>
      <w:r w:rsidRPr="00F14F70">
        <w:rPr>
          <w:rFonts w:ascii="Verdana" w:eastAsia="Calibri" w:hAnsi="Verdana" w:cs="Arial"/>
          <w:color w:val="000000"/>
          <w:lang w:val="es-ES" w:eastAsia="es-ES"/>
        </w:rPr>
        <w:t xml:space="preserve">de su consulta. </w:t>
      </w:r>
    </w:p>
    <w:p w14:paraId="112F6664" w14:textId="77777777" w:rsidR="00636A67" w:rsidRPr="00F14F70" w:rsidRDefault="00636A67" w:rsidP="00636A67">
      <w:pPr>
        <w:spacing w:after="0" w:line="276" w:lineRule="auto"/>
        <w:jc w:val="both"/>
        <w:rPr>
          <w:rFonts w:ascii="Verdana" w:eastAsia="Calibri" w:hAnsi="Verdana" w:cs="Arial"/>
          <w:lang w:val="es-ES" w:eastAsia="es-ES"/>
        </w:rPr>
      </w:pPr>
    </w:p>
    <w:p w14:paraId="6277B449" w14:textId="77777777" w:rsidR="00636A67" w:rsidRPr="00F14F70" w:rsidRDefault="00636A67" w:rsidP="00636A67">
      <w:pPr>
        <w:numPr>
          <w:ilvl w:val="0"/>
          <w:numId w:val="17"/>
        </w:numPr>
        <w:tabs>
          <w:tab w:val="left" w:pos="142"/>
          <w:tab w:val="left" w:pos="284"/>
        </w:tabs>
        <w:spacing w:after="0" w:line="276" w:lineRule="auto"/>
        <w:jc w:val="both"/>
        <w:rPr>
          <w:rFonts w:ascii="Verdana" w:eastAsia="Century Gothic" w:hAnsi="Verdana" w:cs="Century Gothic"/>
          <w:b/>
          <w:bCs/>
        </w:rPr>
      </w:pPr>
      <w:r w:rsidRPr="00F14F70">
        <w:rPr>
          <w:rFonts w:ascii="Verdana" w:eastAsia="Century Gothic" w:hAnsi="Verdana" w:cs="Century Gothic"/>
          <w:b/>
          <w:bCs/>
        </w:rPr>
        <w:t>Problema planteado:</w:t>
      </w:r>
    </w:p>
    <w:p w14:paraId="254C49EF" w14:textId="77777777" w:rsidR="00636A67" w:rsidRPr="00F14F70" w:rsidRDefault="00636A67" w:rsidP="00636A67">
      <w:pPr>
        <w:tabs>
          <w:tab w:val="left" w:pos="426"/>
        </w:tabs>
        <w:spacing w:after="0" w:line="276" w:lineRule="auto"/>
        <w:jc w:val="both"/>
        <w:rPr>
          <w:rFonts w:ascii="Verdana" w:eastAsia="Century Gothic" w:hAnsi="Verdana" w:cs="Century Gothic"/>
          <w:lang w:val="es-ES"/>
        </w:rPr>
      </w:pPr>
    </w:p>
    <w:p w14:paraId="7ABD2180" w14:textId="77777777" w:rsidR="00636A67" w:rsidRPr="00F14F70" w:rsidRDefault="00636A67" w:rsidP="00636A67">
      <w:pPr>
        <w:spacing w:after="0" w:line="276" w:lineRule="auto"/>
        <w:jc w:val="both"/>
        <w:rPr>
          <w:rFonts w:ascii="Verdana" w:eastAsia="Calibri" w:hAnsi="Verdana" w:cs="Arial"/>
          <w:bCs/>
          <w:lang w:val="es-ES_tradnl" w:eastAsia="es-ES_tradnl"/>
        </w:rPr>
      </w:pPr>
      <w:r w:rsidRPr="00F14F70">
        <w:rPr>
          <w:rFonts w:ascii="Verdana" w:eastAsia="Century Gothic" w:hAnsi="Verdana" w:cs="Century Gothic"/>
        </w:rPr>
        <w:t xml:space="preserve">De acuerdo con el contenido de su solicitud, en relación con los documentos tipo de licitación de obra pública de infraestructura social, esta Agencia resolverá </w:t>
      </w:r>
      <w:r>
        <w:rPr>
          <w:rFonts w:ascii="Verdana" w:eastAsia="Century Gothic" w:hAnsi="Verdana" w:cs="Century Gothic"/>
        </w:rPr>
        <w:t>el</w:t>
      </w:r>
      <w:r w:rsidRPr="00F14F70">
        <w:rPr>
          <w:rFonts w:ascii="Verdana" w:eastAsia="Century Gothic" w:hAnsi="Verdana" w:cs="Century Gothic"/>
        </w:rPr>
        <w:t xml:space="preserve"> siguiente problema jurídico: </w:t>
      </w:r>
      <w:r>
        <w:rPr>
          <w:rFonts w:ascii="Verdana" w:eastAsia="Century Gothic" w:hAnsi="Verdana" w:cs="Century Gothic"/>
        </w:rPr>
        <w:t xml:space="preserve">De acuerdo con el contenido de la Nota 2. Contenida en el Formulario 1 – Formulario del Presupuesto oficial ¿es posible realizar el redondeo por defecto al número entero del peso, cuando procede realizarse por exceso al número entero siguiente? </w:t>
      </w:r>
    </w:p>
    <w:p w14:paraId="44BB16DF" w14:textId="77777777" w:rsidR="00636A67" w:rsidRPr="00F14F70" w:rsidRDefault="00636A67" w:rsidP="00636A67">
      <w:pPr>
        <w:spacing w:after="0" w:line="276" w:lineRule="auto"/>
        <w:jc w:val="both"/>
        <w:rPr>
          <w:rFonts w:ascii="Verdana" w:eastAsia="Century Gothic" w:hAnsi="Verdana" w:cs="Century Gothic"/>
        </w:rPr>
      </w:pPr>
    </w:p>
    <w:p w14:paraId="58694E17" w14:textId="77777777" w:rsidR="00636A67" w:rsidRPr="00F14F70" w:rsidRDefault="00636A67" w:rsidP="00636A67">
      <w:pPr>
        <w:tabs>
          <w:tab w:val="left" w:pos="142"/>
          <w:tab w:val="left" w:pos="284"/>
        </w:tabs>
        <w:spacing w:after="0" w:line="276" w:lineRule="auto"/>
        <w:contextualSpacing/>
        <w:jc w:val="both"/>
        <w:rPr>
          <w:rFonts w:ascii="Verdana" w:eastAsia="Century Gothic" w:hAnsi="Verdana" w:cs="Century Gothic"/>
          <w:b/>
          <w:bCs/>
          <w:lang w:val="es-ES"/>
        </w:rPr>
      </w:pPr>
      <w:r w:rsidRPr="00F14F70">
        <w:rPr>
          <w:rFonts w:ascii="Verdana" w:eastAsia="Century Gothic" w:hAnsi="Verdana" w:cs="Century Gothic"/>
          <w:b/>
          <w:bCs/>
          <w:lang w:val="es-ES"/>
        </w:rPr>
        <w:t>2. Respuestas:</w:t>
      </w:r>
    </w:p>
    <w:p w14:paraId="5AE5A378" w14:textId="77777777" w:rsidR="00636A67" w:rsidRPr="00F14F70" w:rsidRDefault="00636A67" w:rsidP="00636A67">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36A67" w:rsidRPr="001817D8" w14:paraId="42DE6533" w14:textId="77777777" w:rsidTr="00A16055">
        <w:trPr>
          <w:trHeight w:val="40"/>
        </w:trPr>
        <w:tc>
          <w:tcPr>
            <w:tcW w:w="8828" w:type="dxa"/>
            <w:tcBorders>
              <w:top w:val="dotted" w:sz="4" w:space="0" w:color="auto"/>
              <w:left w:val="dotted" w:sz="4" w:space="0" w:color="auto"/>
              <w:bottom w:val="dotted" w:sz="4" w:space="0" w:color="auto"/>
              <w:right w:val="dotted" w:sz="4" w:space="0" w:color="auto"/>
            </w:tcBorders>
          </w:tcPr>
          <w:p w14:paraId="36BD07A3" w14:textId="77777777" w:rsidR="00636A67" w:rsidRPr="00F14F70" w:rsidRDefault="00636A67" w:rsidP="00A16055">
            <w:pPr>
              <w:widowControl w:val="0"/>
              <w:autoSpaceDE w:val="0"/>
              <w:autoSpaceDN w:val="0"/>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E</w:t>
            </w:r>
            <w:r w:rsidRPr="00F14F70">
              <w:rPr>
                <w:rFonts w:ascii="Verdana" w:eastAsia="Arial" w:hAnsi="Verdana" w:cs="Arial"/>
                <w:lang w:val="es-ES" w:eastAsia="es-ES" w:bidi="es-ES"/>
              </w:rPr>
              <w:t xml:space="preserve">n la hoja 1 del “Formulario 1 – Formulario de Presupuesto oficial” se señala que en los procesos de contratación estructurados por precios unitarios aplican </w:t>
            </w:r>
            <w:r w:rsidRPr="00F14F70">
              <w:rPr>
                <w:rFonts w:ascii="Verdana" w:eastAsia="Arial" w:hAnsi="Verdana" w:cs="Arial"/>
                <w:lang w:val="es-ES" w:eastAsia="es-ES" w:bidi="es-ES"/>
              </w:rPr>
              <w:lastRenderedPageBreak/>
              <w:t xml:space="preserve">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F14F70">
              <w:rPr>
                <w:rFonts w:ascii="Verdana" w:eastAsia="Arial" w:hAnsi="Verdana" w:cs="Arial"/>
                <w:lang w:val="es-ES" w:eastAsia="es-ES" w:bidi="es-ES"/>
              </w:rPr>
              <w:t>ii</w:t>
            </w:r>
            <w:proofErr w:type="spellEnd"/>
            <w:r w:rsidRPr="00F14F70">
              <w:rPr>
                <w:rFonts w:ascii="Verdana" w:eastAsia="Arial" w:hAnsi="Verdana" w:cs="Arial"/>
                <w:lang w:val="es-ES" w:eastAsia="es-ES" w:bidi="es-ES"/>
              </w:rPr>
              <w:t xml:space="preserve">) imprevistos y </w:t>
            </w:r>
            <w:proofErr w:type="spellStart"/>
            <w:r w:rsidRPr="00F14F70">
              <w:rPr>
                <w:rFonts w:ascii="Verdana" w:eastAsia="Arial" w:hAnsi="Verdana" w:cs="Arial"/>
                <w:lang w:val="es-ES" w:eastAsia="es-ES" w:bidi="es-ES"/>
              </w:rPr>
              <w:t>iii</w:t>
            </w:r>
            <w:proofErr w:type="spellEnd"/>
            <w:r w:rsidRPr="00F14F70">
              <w:rPr>
                <w:rFonts w:ascii="Verdana" w:eastAsia="Arial" w:hAnsi="Verdana" w:cs="Arial"/>
                <w:lang w:val="es-ES" w:eastAsia="es-ES" w:bidi="es-ES"/>
              </w:rPr>
              <w:t>) utilidad cuando el proceso de contratación sea por precios unitarios.</w:t>
            </w:r>
          </w:p>
          <w:p w14:paraId="0CDAD847" w14:textId="77777777" w:rsidR="00636A67" w:rsidRPr="00F14F70" w:rsidRDefault="00636A67" w:rsidP="00A16055">
            <w:pPr>
              <w:widowControl w:val="0"/>
              <w:autoSpaceDE w:val="0"/>
              <w:autoSpaceDN w:val="0"/>
              <w:spacing w:after="120" w:line="276" w:lineRule="auto"/>
              <w:ind w:firstLine="709"/>
              <w:jc w:val="both"/>
              <w:rPr>
                <w:rFonts w:ascii="Verdana" w:eastAsia="Arial" w:hAnsi="Verdana" w:cs="Arial"/>
                <w:lang w:val="es-ES" w:eastAsia="es-ES" w:bidi="es-ES"/>
              </w:rPr>
            </w:pPr>
            <w:r w:rsidRPr="00A16055">
              <w:rPr>
                <w:rFonts w:ascii="Verdana" w:eastAsia="Arial" w:hAnsi="Verdana" w:cs="Arial"/>
                <w:lang w:val="es-ES" w:eastAsia="es-ES" w:bidi="es-ES"/>
              </w:rPr>
              <w:t xml:space="preserve">En este sentido, </w:t>
            </w:r>
            <w:r>
              <w:rPr>
                <w:rFonts w:ascii="Verdana" w:eastAsia="Arial" w:hAnsi="Verdana" w:cs="Arial"/>
                <w:lang w:val="es-ES" w:eastAsia="es-ES" w:bidi="es-ES"/>
              </w:rPr>
              <w:t xml:space="preserve">de acuerdo con el </w:t>
            </w:r>
            <w:r w:rsidRPr="00A16055">
              <w:rPr>
                <w:rFonts w:ascii="Verdana" w:eastAsia="Arial" w:hAnsi="Verdana" w:cs="Arial"/>
                <w:lang w:val="es-ES" w:eastAsia="es-ES" w:bidi="es-ES"/>
              </w:rPr>
              <w:t>principio de inalterabilidad</w:t>
            </w:r>
            <w:r>
              <w:rPr>
                <w:rFonts w:ascii="Verdana" w:eastAsia="Arial" w:hAnsi="Verdana" w:cs="Arial"/>
                <w:lang w:val="es-ES" w:eastAsia="es-ES" w:bidi="es-ES"/>
              </w:rPr>
              <w:t xml:space="preserve"> que recae sobre los documentos tipo</w:t>
            </w:r>
            <w:r w:rsidRPr="00A16055">
              <w:rPr>
                <w:rFonts w:ascii="Verdana" w:eastAsia="Arial" w:hAnsi="Verdana" w:cs="Arial"/>
                <w:lang w:val="es-ES" w:eastAsia="es-ES" w:bidi="es-ES"/>
              </w:rPr>
              <w:t xml:space="preserve">, las entidades solo pueden modificar aquello que el documento tipo permita. Por ello, debido a que la primera hoja del Formulario 1 – Formulario del Presupuesto Oficial no permite su modificación en los procesos estructurados por precios unitarios, no será posible omitir alguno de los componentes del A.I.U. </w:t>
            </w:r>
            <w:r>
              <w:rPr>
                <w:rFonts w:ascii="Verdana" w:eastAsia="Arial" w:hAnsi="Verdana" w:cs="Arial"/>
                <w:lang w:val="es-ES" w:eastAsia="es-ES" w:bidi="es-ES"/>
              </w:rPr>
              <w:t>B</w:t>
            </w:r>
            <w:r w:rsidRPr="00A16055">
              <w:rPr>
                <w:rFonts w:ascii="Verdana" w:eastAsia="Arial" w:hAnsi="Verdana" w:cs="Arial"/>
                <w:lang w:val="es-ES" w:eastAsia="es-ES" w:bidi="es-ES"/>
              </w:rPr>
              <w:t xml:space="preserve">ajo ese entendido, las entidades no podrán eliminar o modificar la fila correspondiente al imprevisto, ni eliminar o modificar las </w:t>
            </w:r>
            <w:r w:rsidRPr="00F14F70">
              <w:rPr>
                <w:rFonts w:ascii="Verdana" w:eastAsia="Arial" w:hAnsi="Verdana" w:cs="Arial"/>
                <w:lang w:val="es-ES" w:eastAsia="es-ES" w:bidi="es-ES"/>
              </w:rPr>
              <w:t>“</w:t>
            </w:r>
            <w:r w:rsidRPr="00A16055">
              <w:rPr>
                <w:rFonts w:ascii="Verdana" w:eastAsia="Arial" w:hAnsi="Verdana" w:cs="Arial"/>
                <w:lang w:val="es-ES" w:eastAsia="es-ES" w:bidi="es-ES"/>
              </w:rPr>
              <w:t>Nota 1 a 3</w:t>
            </w:r>
            <w:r w:rsidRPr="00F14F70">
              <w:rPr>
                <w:rFonts w:ascii="Verdana" w:eastAsia="Arial" w:hAnsi="Verdana" w:cs="Arial"/>
                <w:lang w:val="es-ES" w:eastAsia="es-ES" w:bidi="es-ES"/>
              </w:rPr>
              <w:t>”</w:t>
            </w:r>
            <w:r w:rsidRPr="00A16055">
              <w:rPr>
                <w:rFonts w:ascii="Verdana" w:eastAsia="Arial" w:hAnsi="Verdana" w:cs="Arial"/>
                <w:lang w:val="es-ES" w:eastAsia="es-ES" w:bidi="es-ES"/>
              </w:rPr>
              <w:t xml:space="preserve"> que versan sobre el uso de precios unitarios con componentes del A.I.U.</w:t>
            </w:r>
          </w:p>
          <w:p w14:paraId="42A7CA06" w14:textId="77777777" w:rsidR="00636A67" w:rsidRDefault="00636A67" w:rsidP="00A16055">
            <w:pPr>
              <w:spacing w:after="120" w:line="276" w:lineRule="auto"/>
              <w:ind w:firstLine="708"/>
              <w:jc w:val="both"/>
              <w:rPr>
                <w:rFonts w:ascii="Verdana" w:hAnsi="Verdana" w:cs="Arial"/>
                <w:color w:val="000000" w:themeColor="text1"/>
              </w:rPr>
            </w:pPr>
            <w:r>
              <w:rPr>
                <w:rFonts w:ascii="Verdana" w:eastAsia="Arial" w:hAnsi="Verdana" w:cs="Arial"/>
                <w:lang w:val="es-ES" w:eastAsia="es-ES" w:bidi="es-ES"/>
              </w:rPr>
              <w:t xml:space="preserve">Para efectos del problema jurídico planteado en este concepto, debe indicarse que, </w:t>
            </w:r>
            <w:r>
              <w:rPr>
                <w:rFonts w:ascii="Verdana" w:hAnsi="Verdana" w:cs="Arial"/>
                <w:color w:val="000000" w:themeColor="text1"/>
              </w:rPr>
              <w:t>l</w:t>
            </w:r>
            <w:r w:rsidRPr="00A16055">
              <w:rPr>
                <w:rFonts w:ascii="Verdana" w:hAnsi="Verdana" w:cs="Arial"/>
                <w:color w:val="000000" w:themeColor="text1"/>
              </w:rPr>
              <w:t xml:space="preserve">a Nota 2 del </w:t>
            </w:r>
            <w:r>
              <w:rPr>
                <w:rFonts w:ascii="Verdana" w:hAnsi="Verdana" w:cs="Arial"/>
                <w:color w:val="000000" w:themeColor="text1"/>
              </w:rPr>
              <w:t>“</w:t>
            </w:r>
            <w:r w:rsidRPr="00A16055">
              <w:rPr>
                <w:rFonts w:ascii="Verdana" w:hAnsi="Verdana" w:cs="Arial"/>
                <w:color w:val="000000" w:themeColor="text1"/>
              </w:rPr>
              <w:t>Formulario 1 – Formulario de Presupuesto oficial</w:t>
            </w:r>
            <w:r>
              <w:rPr>
                <w:rFonts w:ascii="Verdana" w:hAnsi="Verdana" w:cs="Arial"/>
                <w:color w:val="000000" w:themeColor="text1"/>
              </w:rPr>
              <w:t>”</w:t>
            </w:r>
            <w:r w:rsidRPr="00A16055">
              <w:rPr>
                <w:rFonts w:ascii="Verdana" w:hAnsi="Verdana" w:cs="Arial"/>
                <w:color w:val="000000" w:themeColor="text1"/>
              </w:rPr>
              <w:t xml:space="preserve"> se refiere a la aproximación de las fracciones decimales al número entero más cercano</w:t>
            </w:r>
            <w:r>
              <w:rPr>
                <w:rFonts w:ascii="Verdana" w:hAnsi="Verdana" w:cs="Arial"/>
                <w:color w:val="000000" w:themeColor="text1"/>
              </w:rPr>
              <w:t>.</w:t>
            </w:r>
          </w:p>
          <w:p w14:paraId="39FE24CB" w14:textId="09B11EEA" w:rsidR="00636A67" w:rsidRPr="001817D8" w:rsidRDefault="00636A67" w:rsidP="00A16055">
            <w:pPr>
              <w:spacing w:after="120" w:line="276" w:lineRule="auto"/>
              <w:ind w:firstLine="708"/>
              <w:jc w:val="both"/>
              <w:rPr>
                <w:rFonts w:ascii="Verdana" w:eastAsia="Times New Roman" w:hAnsi="Verdana" w:cs="Arial"/>
                <w:sz w:val="21"/>
                <w:szCs w:val="21"/>
              </w:rPr>
            </w:pPr>
            <w:r w:rsidRPr="00A16055">
              <w:rPr>
                <w:rFonts w:ascii="Verdana" w:eastAsia="Calibri" w:hAnsi="Verdana" w:cs="Arial"/>
                <w:color w:val="000000" w:themeColor="text1"/>
              </w:rPr>
              <w:t xml:space="preserve">De acuerdo con la nota, cuando la fracción decimal del peso: i) sea igual o superior a 5, se aproximará al entero siguiente del peso; y </w:t>
            </w:r>
            <w:proofErr w:type="spellStart"/>
            <w:r w:rsidRPr="00A16055">
              <w:rPr>
                <w:rFonts w:ascii="Verdana" w:eastAsia="Calibri" w:hAnsi="Verdana" w:cs="Arial"/>
                <w:color w:val="000000" w:themeColor="text1"/>
              </w:rPr>
              <w:t>ii</w:t>
            </w:r>
            <w:proofErr w:type="spellEnd"/>
            <w:r w:rsidRPr="00A16055">
              <w:rPr>
                <w:rFonts w:ascii="Verdana" w:eastAsia="Calibri" w:hAnsi="Verdana" w:cs="Arial"/>
                <w:color w:val="000000" w:themeColor="text1"/>
              </w:rPr>
              <w:t>) cuando la fracción decimal del peso sea inferior a 5, se aproximará por defecto al número entero del peso. Esta regla constituye un parámetro objetivo y obligatorio para la determinación del valor final del peso, de modo que su aplicación no admite excepciones, interpretaciones alternativas ni adaptaciones discrecionales por parte de la Entidad. En consecuencia, la Entidad debe aplicar la nota exactamente en los términos descritos, sin alterar su sentido ni modificar los resultados que de ella se derivan, evitando prácticas que contravengan lo dispuesto, como redondear hacia abajo cuando corresponde hacerlo hacia arriba o cualquier otro ajuste que distorsione el criterio técnico establecido</w:t>
            </w:r>
            <w:r>
              <w:rPr>
                <w:rFonts w:ascii="Verdana" w:eastAsia="Calibri" w:hAnsi="Verdana" w:cs="Arial"/>
                <w:color w:val="000000" w:themeColor="text1"/>
              </w:rPr>
              <w:t xml:space="preserve">. </w:t>
            </w:r>
          </w:p>
          <w:p w14:paraId="65D646B4" w14:textId="77777777" w:rsidR="00636A67" w:rsidRPr="001817D8" w:rsidRDefault="00636A67" w:rsidP="00A16055">
            <w:pPr>
              <w:pStyle w:val="Encabezado"/>
              <w:tabs>
                <w:tab w:val="center" w:pos="709"/>
              </w:tabs>
              <w:spacing w:after="120" w:line="276" w:lineRule="auto"/>
              <w:jc w:val="both"/>
              <w:rPr>
                <w:rFonts w:ascii="Verdana" w:hAnsi="Verdana" w:cs="Arial"/>
                <w:iCs/>
                <w:color w:val="000000" w:themeColor="text1"/>
                <w:sz w:val="21"/>
                <w:szCs w:val="21"/>
                <w:lang w:eastAsia="es-CO"/>
              </w:rPr>
            </w:pPr>
            <w:r w:rsidRPr="00A16055">
              <w:rPr>
                <w:rFonts w:ascii="Verdana" w:eastAsia="Calibri" w:hAnsi="Verdana" w:cs="Arial"/>
                <w:color w:val="000000" w:themeColor="text1"/>
              </w:rPr>
              <w:tab/>
            </w:r>
            <w:r>
              <w:rPr>
                <w:rFonts w:ascii="Verdana" w:eastAsia="Calibri" w:hAnsi="Verdana" w:cs="Arial"/>
                <w:color w:val="000000" w:themeColor="text1"/>
              </w:rPr>
              <w:tab/>
              <w:t>Aunado a lo anterior, p</w:t>
            </w:r>
            <w:r w:rsidRPr="00A16055">
              <w:rPr>
                <w:rFonts w:ascii="Verdana" w:eastAsia="Calibri" w:hAnsi="Verdana" w:cs="Arial"/>
                <w:color w:val="000000" w:themeColor="text1"/>
              </w:rPr>
              <w:t>ara determinar el alcance de esta nota, conviene acudir al numeral 4.1.2. del</w:t>
            </w:r>
            <w:r>
              <w:rPr>
                <w:rFonts w:ascii="Verdana" w:eastAsia="Calibri" w:hAnsi="Verdana" w:cs="Arial"/>
                <w:color w:val="000000" w:themeColor="text1"/>
              </w:rPr>
              <w:t xml:space="preserve"> documento base</w:t>
            </w:r>
            <w:r w:rsidRPr="00A16055">
              <w:rPr>
                <w:rFonts w:ascii="Verdana" w:eastAsia="Calibri" w:hAnsi="Verdana" w:cs="Arial"/>
                <w:color w:val="000000" w:themeColor="text1"/>
              </w:rPr>
              <w:t xml:space="preserve">, </w:t>
            </w:r>
            <w:r>
              <w:rPr>
                <w:rFonts w:ascii="Verdana" w:eastAsia="Calibri" w:hAnsi="Verdana" w:cs="Arial"/>
                <w:color w:val="000000" w:themeColor="text1"/>
              </w:rPr>
              <w:t>el</w:t>
            </w:r>
            <w:r w:rsidRPr="00A16055">
              <w:rPr>
                <w:rFonts w:ascii="Verdana" w:eastAsia="Calibri" w:hAnsi="Verdana" w:cs="Arial"/>
                <w:color w:val="000000" w:themeColor="text1"/>
              </w:rPr>
              <w:t xml:space="preserve"> cual, trata sobre las correcciones aritméticas de las propuestas económicas</w:t>
            </w:r>
            <w:r>
              <w:rPr>
                <w:rFonts w:ascii="Verdana" w:eastAsia="Calibri" w:hAnsi="Verdana" w:cs="Arial"/>
                <w:color w:val="000000" w:themeColor="text1"/>
              </w:rPr>
              <w:t xml:space="preserve">. </w:t>
            </w:r>
            <w:r w:rsidRPr="00A16055">
              <w:rPr>
                <w:rFonts w:ascii="Verdana" w:hAnsi="Verdana" w:cs="Arial"/>
              </w:rPr>
              <w:t xml:space="preserve">De acuerdo con la regla del literal B </w:t>
            </w:r>
            <w:r>
              <w:rPr>
                <w:rFonts w:ascii="Verdana" w:hAnsi="Verdana" w:cs="Arial"/>
              </w:rPr>
              <w:t xml:space="preserve"> de ese numeral, </w:t>
            </w:r>
            <w:r w:rsidRPr="00A16055">
              <w:rPr>
                <w:rFonts w:ascii="Verdana" w:hAnsi="Verdana" w:cs="Arial"/>
              </w:rPr>
              <w:t xml:space="preserve">es posible concluir que el ajuste al peso de </w:t>
            </w:r>
            <w:r w:rsidRPr="00A16055">
              <w:rPr>
                <w:rFonts w:ascii="Verdana" w:hAnsi="Verdana" w:cs="Arial"/>
              </w:rPr>
              <w:lastRenderedPageBreak/>
              <w:t xml:space="preserve">que trata la Nota 2 del Formulario 1 da lugar a correcciones aritméticas de la oferta económica, y este ajuste recae sobre los precios unitarios, pues, la regla señala: </w:t>
            </w:r>
            <w:r>
              <w:rPr>
                <w:rFonts w:ascii="Verdana" w:hAnsi="Verdana" w:cs="Arial"/>
              </w:rPr>
              <w:t>“</w:t>
            </w:r>
            <w:r w:rsidRPr="00A16055">
              <w:rPr>
                <w:rFonts w:ascii="Verdana" w:hAnsi="Verdana" w:cs="Arial"/>
              </w:rPr>
              <w:t xml:space="preserve">El ajuste al peso ya sea por exceso o por defecto de los </w:t>
            </w:r>
            <w:r w:rsidRPr="00A16055">
              <w:rPr>
                <w:rFonts w:ascii="Verdana" w:hAnsi="Verdana" w:cs="Arial"/>
                <w:i/>
              </w:rPr>
              <w:t>precios unitarios</w:t>
            </w:r>
            <w:r w:rsidRPr="00A16055">
              <w:rPr>
                <w:rFonts w:ascii="Verdana" w:hAnsi="Verdana" w:cs="Arial"/>
              </w:rPr>
              <w:t xml:space="preserve"> contenidos en la propuesta económica</w:t>
            </w:r>
            <w:r>
              <w:rPr>
                <w:rFonts w:ascii="Verdana" w:hAnsi="Verdana" w:cs="Arial"/>
              </w:rPr>
              <w:t>”.</w:t>
            </w:r>
          </w:p>
          <w:p w14:paraId="686341C1" w14:textId="77777777" w:rsidR="00636A67" w:rsidRPr="00F14F70" w:rsidRDefault="00636A67" w:rsidP="00A16055">
            <w:pPr>
              <w:spacing w:line="276" w:lineRule="auto"/>
              <w:ind w:firstLine="709"/>
              <w:jc w:val="both"/>
              <w:rPr>
                <w:rFonts w:ascii="Verdana" w:hAnsi="Verdana" w:cs="Arial"/>
              </w:rPr>
            </w:pPr>
            <w:r w:rsidRPr="001817D8">
              <w:rPr>
                <w:rFonts w:ascii="Verdana" w:eastAsia="Calibri" w:hAnsi="Verdana" w:cs="Arial"/>
                <w:color w:val="000000" w:themeColor="text1"/>
              </w:rPr>
              <w:t xml:space="preserve">Cabe resaltar que la finalidad de la corrección aritmética es determinar el valor real de la oferta económica, en aras de garantizar los principios de igualdad y selección objetiva, razón por la cual, de acuerdo con lo señalado en el inciso final del numeral 4.1.2 del Documento base, el efecto de la corrección por ajuste al peso o de la corrección de errores aritméticos es que el valor total corregido será el que se tendrá en cuenta para la asignación de puntaje.  Esto es congruente con el numeral 4.1 que señala que para calificar el factor de la oferta económica se tendrá en cuenta el valor total indicado en la propuesta económica o el obtenido de la corrección aritmética. </w:t>
            </w:r>
          </w:p>
        </w:tc>
      </w:tr>
    </w:tbl>
    <w:p w14:paraId="68DD386E" w14:textId="77777777" w:rsidR="00636A67" w:rsidRPr="00F14F70" w:rsidRDefault="00636A67" w:rsidP="00636A67">
      <w:pPr>
        <w:tabs>
          <w:tab w:val="left" w:pos="142"/>
          <w:tab w:val="left" w:pos="284"/>
        </w:tabs>
        <w:spacing w:after="0" w:line="276" w:lineRule="auto"/>
        <w:jc w:val="both"/>
        <w:rPr>
          <w:rFonts w:ascii="Verdana" w:eastAsia="Century Gothic" w:hAnsi="Verdana" w:cs="Century Gothic"/>
          <w:b/>
          <w:bCs/>
          <w:lang w:val="es-ES"/>
        </w:rPr>
      </w:pPr>
    </w:p>
    <w:p w14:paraId="09CACB2D" w14:textId="77777777" w:rsidR="00636A67" w:rsidRPr="00F14F70" w:rsidRDefault="00636A67" w:rsidP="00636A67">
      <w:pPr>
        <w:tabs>
          <w:tab w:val="left" w:pos="142"/>
          <w:tab w:val="left" w:pos="284"/>
        </w:tabs>
        <w:spacing w:after="0" w:line="276" w:lineRule="auto"/>
        <w:jc w:val="both"/>
        <w:rPr>
          <w:rFonts w:ascii="Verdana" w:eastAsia="Century Gothic" w:hAnsi="Verdana" w:cs="Century Gothic"/>
          <w:b/>
          <w:bCs/>
          <w:lang w:val="es-ES"/>
        </w:rPr>
      </w:pPr>
      <w:r w:rsidRPr="00F14F70">
        <w:rPr>
          <w:rFonts w:ascii="Verdana" w:eastAsia="Century Gothic" w:hAnsi="Verdana" w:cs="Century Gothic"/>
          <w:b/>
          <w:bCs/>
          <w:lang w:val="es-ES"/>
        </w:rPr>
        <w:t>3. Razones de la respuesta:</w:t>
      </w:r>
    </w:p>
    <w:p w14:paraId="43E13073" w14:textId="77777777" w:rsidR="00636A67" w:rsidRPr="00F14F70" w:rsidRDefault="00636A67" w:rsidP="00636A67">
      <w:pPr>
        <w:spacing w:after="0" w:line="276" w:lineRule="auto"/>
        <w:jc w:val="both"/>
        <w:rPr>
          <w:rFonts w:ascii="Verdana" w:eastAsia="Calibri" w:hAnsi="Verdana" w:cs="Arial"/>
          <w:lang w:val="es-ES"/>
        </w:rPr>
      </w:pPr>
    </w:p>
    <w:p w14:paraId="310C80F9" w14:textId="77777777" w:rsidR="00636A67" w:rsidRPr="00F14F70" w:rsidRDefault="00636A67" w:rsidP="00636A67">
      <w:pPr>
        <w:spacing w:after="0" w:line="276" w:lineRule="auto"/>
        <w:jc w:val="both"/>
        <w:rPr>
          <w:rFonts w:ascii="Verdana" w:eastAsia="Calibri" w:hAnsi="Verdana" w:cs="Arial"/>
          <w:lang w:val="es-ES"/>
        </w:rPr>
      </w:pPr>
      <w:r w:rsidRPr="00F14F70">
        <w:rPr>
          <w:rFonts w:ascii="Verdana" w:eastAsia="Calibri" w:hAnsi="Verdana" w:cs="Arial"/>
          <w:lang w:val="es-ES"/>
        </w:rPr>
        <w:t xml:space="preserve">Lo anterior se sustenta en las siguientes consideraciones: </w:t>
      </w:r>
    </w:p>
    <w:p w14:paraId="47BC9817" w14:textId="77777777" w:rsidR="00636A67" w:rsidRPr="00F14F70" w:rsidRDefault="00636A67" w:rsidP="00636A67">
      <w:pPr>
        <w:widowControl w:val="0"/>
        <w:autoSpaceDE w:val="0"/>
        <w:autoSpaceDN w:val="0"/>
        <w:spacing w:after="0" w:line="276" w:lineRule="auto"/>
        <w:jc w:val="both"/>
        <w:rPr>
          <w:rFonts w:ascii="Verdana" w:eastAsia="Calibri" w:hAnsi="Verdana" w:cs="Times New Roman"/>
          <w:lang w:val="es-ES"/>
        </w:rPr>
      </w:pPr>
      <w:bookmarkStart w:id="1" w:name="_Hlk113022941"/>
    </w:p>
    <w:p w14:paraId="292376B6" w14:textId="77777777" w:rsidR="00636A67" w:rsidRPr="00F14F70" w:rsidRDefault="00636A67" w:rsidP="00636A67">
      <w:pPr>
        <w:spacing w:after="120" w:line="276" w:lineRule="auto"/>
        <w:jc w:val="both"/>
        <w:rPr>
          <w:rFonts w:ascii="Verdana" w:eastAsia="Aptos" w:hAnsi="Verdana" w:cs="Arial"/>
          <w:kern w:val="2"/>
          <w14:ligatures w14:val="standardContextual"/>
        </w:rPr>
      </w:pPr>
      <w:r w:rsidRPr="00F14F70">
        <w:rPr>
          <w:rFonts w:ascii="Verdana" w:eastAsia="Aptos" w:hAnsi="Verdana" w:cs="Arial"/>
          <w:kern w:val="2"/>
          <w14:ligatures w14:val="standardContextu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08DDB1D" w14:textId="77777777" w:rsidR="00636A67" w:rsidRPr="00F14F70" w:rsidRDefault="00636A67" w:rsidP="00636A67">
      <w:pPr>
        <w:spacing w:after="120" w:line="276" w:lineRule="auto"/>
        <w:ind w:firstLine="708"/>
        <w:jc w:val="both"/>
        <w:rPr>
          <w:rFonts w:ascii="Verdana" w:eastAsia="Aptos" w:hAnsi="Verdana" w:cs="Arial"/>
          <w:kern w:val="2"/>
          <w14:ligatures w14:val="standardContextual"/>
        </w:rPr>
      </w:pPr>
      <w:r w:rsidRPr="00F14F70">
        <w:rPr>
          <w:rFonts w:ascii="Verdana" w:eastAsia="Aptos" w:hAnsi="Verdana" w:cs="Arial"/>
          <w:kern w:val="2"/>
          <w:lang w:val="es-ES"/>
          <w14:ligatures w14:val="standardContextual"/>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D1BCDCF" w14:textId="77777777" w:rsidR="00636A67" w:rsidRPr="00F14F70" w:rsidRDefault="00636A67" w:rsidP="00636A67">
      <w:pPr>
        <w:spacing w:after="120" w:line="276" w:lineRule="auto"/>
        <w:ind w:firstLine="708"/>
        <w:jc w:val="both"/>
        <w:rPr>
          <w:rFonts w:ascii="Verdana" w:eastAsia="Aptos" w:hAnsi="Verdana" w:cs="Arial"/>
          <w:kern w:val="2"/>
          <w14:ligatures w14:val="standardContextual"/>
        </w:rPr>
      </w:pPr>
      <w:r w:rsidRPr="00F14F70">
        <w:rPr>
          <w:rFonts w:ascii="Verdana" w:eastAsia="Aptos" w:hAnsi="Verdana" w:cs="Arial"/>
          <w:kern w:val="2"/>
          <w14:ligatures w14:val="standardContextual"/>
        </w:rPr>
        <w:lastRenderedPageBreak/>
        <w:t xml:space="preserve">En relación con su solicitud, debe indicarse que, </w:t>
      </w:r>
      <w:r w:rsidRPr="00F14F70">
        <w:rPr>
          <w:rFonts w:ascii="Verdana" w:eastAsia="Calibri" w:hAnsi="Verdana" w:cs="Arial"/>
          <w:kern w:val="2"/>
          <w:lang w:val="es-MX"/>
          <w14:ligatures w14:val="standardContextual"/>
        </w:rPr>
        <w:t xml:space="preserve">la Agencia Nacional de Contratación Pública – Colombia Compra </w:t>
      </w:r>
      <w:r w:rsidRPr="00F14F70">
        <w:rPr>
          <w:rFonts w:ascii="Verdana" w:eastAsia="Calibri" w:hAnsi="Verdana" w:cs="Arial"/>
          <w:kern w:val="2"/>
          <w14:ligatures w14:val="standardContextual"/>
        </w:rPr>
        <w:t xml:space="preserve">Eficiente expidió la Resolución 219 </w:t>
      </w:r>
      <w:r w:rsidRPr="00F14F70">
        <w:rPr>
          <w:rFonts w:ascii="Verdana" w:eastAsia="Calibri" w:hAnsi="Verdana" w:cs="Arial"/>
          <w:bCs/>
          <w:kern w:val="2"/>
          <w14:ligatures w14:val="standardContextual"/>
        </w:rPr>
        <w:t xml:space="preserve">del 6 de agosto </w:t>
      </w:r>
      <w:r w:rsidRPr="00F14F70">
        <w:rPr>
          <w:rFonts w:ascii="Verdana" w:eastAsia="Calibri" w:hAnsi="Verdana" w:cs="Arial"/>
          <w:kern w:val="2"/>
          <w14:ligatures w14:val="standardContextual"/>
        </w:rPr>
        <w:t xml:space="preserve">de 2021, </w:t>
      </w:r>
      <w:r w:rsidRPr="00F14F70">
        <w:rPr>
          <w:rFonts w:ascii="Verdana" w:eastAsia="Calibri" w:hAnsi="Verdana" w:cs="Arial"/>
          <w:i/>
          <w:iCs/>
          <w:kern w:val="2"/>
          <w14:ligatures w14:val="standardContextual"/>
        </w:rPr>
        <w:t xml:space="preserve">“Por la cual se adoptan los documentos tipo para los procesos de licitación de obra pública de infraestructura social”. </w:t>
      </w:r>
      <w:r w:rsidRPr="00F14F70">
        <w:rPr>
          <w:rFonts w:ascii="Verdana" w:eastAsia="Calibri" w:hAnsi="Verdana" w:cs="Arial"/>
          <w:kern w:val="2"/>
          <w14:ligatures w14:val="standardContextual"/>
        </w:rPr>
        <w:t xml:space="preserve">Mediante esa Resolución, </w:t>
      </w:r>
      <w:r w:rsidRPr="00F14F70">
        <w:rPr>
          <w:rFonts w:ascii="Verdana" w:eastAsia="Calibri" w:hAnsi="Verdana" w:cs="Arial"/>
          <w:bCs/>
          <w:kern w:val="2"/>
          <w14:ligatures w14:val="standardContextual"/>
        </w:rPr>
        <w:t xml:space="preserve">se adoptaron los documentos tipo que aplican </w:t>
      </w:r>
      <w:r w:rsidRPr="00F14F70">
        <w:rPr>
          <w:rFonts w:ascii="Verdana" w:eastAsia="Calibri" w:hAnsi="Verdana" w:cs="Arial"/>
          <w:kern w:val="2"/>
          <w14:ligatures w14:val="standardContextual"/>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5EB37C14" w14:textId="77777777" w:rsidR="00636A67" w:rsidRPr="00F14F70" w:rsidRDefault="00636A67" w:rsidP="00636A67">
      <w:pPr>
        <w:spacing w:after="120" w:line="276" w:lineRule="auto"/>
        <w:ind w:firstLine="708"/>
        <w:jc w:val="both"/>
        <w:rPr>
          <w:rFonts w:ascii="Verdana" w:eastAsia="Aptos" w:hAnsi="Verdana" w:cs="Arial"/>
          <w:kern w:val="2"/>
          <w14:ligatures w14:val="standardContextual"/>
        </w:rPr>
      </w:pPr>
      <w:r w:rsidRPr="00F14F70">
        <w:rPr>
          <w:rFonts w:ascii="Verdana" w:eastAsia="Calibri" w:hAnsi="Verdana" w:cs="Arial"/>
          <w:kern w:val="2"/>
          <w14:ligatures w14:val="standardContextual"/>
        </w:rPr>
        <w:t xml:space="preserve">En consecuencia, en materia de infraestructura social debe tenerse en cuenta que existen dos (2) clases de documentos tipo que se integran en cada proceso: i) los documentos </w:t>
      </w:r>
      <w:r w:rsidRPr="00F14F70">
        <w:rPr>
          <w:rFonts w:ascii="Verdana" w:eastAsia="Calibri" w:hAnsi="Verdana" w:cs="Arial"/>
          <w:i/>
          <w:kern w:val="2"/>
          <w14:ligatures w14:val="standardContextual"/>
        </w:rPr>
        <w:t>transversales</w:t>
      </w:r>
      <w:r w:rsidRPr="00F14F70">
        <w:rPr>
          <w:rFonts w:ascii="Verdana" w:eastAsia="Calibri" w:hAnsi="Verdana" w:cs="Arial"/>
          <w:kern w:val="2"/>
          <w14:ligatures w14:val="standardContextual"/>
        </w:rPr>
        <w:t xml:space="preserve"> a todos los sectores de infraestructura social, es decir, el documento base, los anexos, los formatos, los formularios y las matrices adoptados mediante la Resolución No. 219 de 2021; y </w:t>
      </w:r>
      <w:proofErr w:type="spellStart"/>
      <w:r w:rsidRPr="00F14F70">
        <w:rPr>
          <w:rFonts w:ascii="Verdana" w:eastAsia="Calibri" w:hAnsi="Verdana" w:cs="Arial"/>
          <w:kern w:val="2"/>
          <w14:ligatures w14:val="standardContextual"/>
        </w:rPr>
        <w:t>ii</w:t>
      </w:r>
      <w:proofErr w:type="spellEnd"/>
      <w:r w:rsidRPr="00F14F70">
        <w:rPr>
          <w:rFonts w:ascii="Verdana" w:eastAsia="Calibri" w:hAnsi="Verdana" w:cs="Arial"/>
          <w:kern w:val="2"/>
          <w14:ligatures w14:val="standardContextual"/>
        </w:rPr>
        <w:t xml:space="preserve">) los documentos tipo </w:t>
      </w:r>
      <w:r w:rsidRPr="00F14F70">
        <w:rPr>
          <w:rFonts w:ascii="Verdana" w:eastAsia="Calibri" w:hAnsi="Verdana" w:cs="Arial"/>
          <w:i/>
          <w:kern w:val="2"/>
          <w14:ligatures w14:val="standardContextual"/>
        </w:rPr>
        <w:t>complementarios</w:t>
      </w:r>
      <w:r w:rsidRPr="00F14F70">
        <w:rPr>
          <w:rFonts w:ascii="Verdana" w:eastAsia="Calibri" w:hAnsi="Verdana" w:cs="Arial"/>
          <w:iCs/>
          <w:kern w:val="2"/>
          <w14:ligatures w14:val="standardContextual"/>
        </w:rPr>
        <w:t>,</w:t>
      </w:r>
      <w:r w:rsidRPr="00F14F70">
        <w:rPr>
          <w:rFonts w:ascii="Verdana" w:eastAsia="Calibri" w:hAnsi="Verdana" w:cs="Arial"/>
          <w:i/>
          <w:kern w:val="2"/>
          <w14:ligatures w14:val="standardContextual"/>
        </w:rPr>
        <w:t xml:space="preserve"> </w:t>
      </w:r>
      <w:r w:rsidRPr="00F14F70">
        <w:rPr>
          <w:rFonts w:ascii="Verdana" w:eastAsia="Calibri" w:hAnsi="Verdana" w:cs="Arial"/>
          <w:kern w:val="2"/>
          <w14:ligatures w14:val="standardContextual"/>
        </w:rPr>
        <w:t xml:space="preserve">referentes a la matriz de experiencia y el glosario, los cuales han sido acogidos en la resolución para cada sector específico. </w:t>
      </w:r>
    </w:p>
    <w:p w14:paraId="26ABEB1A" w14:textId="77777777" w:rsidR="00636A67" w:rsidRPr="00F14F70" w:rsidRDefault="00636A67" w:rsidP="00636A67">
      <w:pPr>
        <w:spacing w:after="120" w:line="276" w:lineRule="auto"/>
        <w:ind w:firstLine="708"/>
        <w:jc w:val="both"/>
        <w:rPr>
          <w:rFonts w:ascii="Verdana" w:eastAsia="Aptos" w:hAnsi="Verdana" w:cs="Arial"/>
          <w:kern w:val="2"/>
          <w14:ligatures w14:val="standardContextual"/>
        </w:rPr>
      </w:pPr>
      <w:r w:rsidRPr="00F14F70">
        <w:rPr>
          <w:rFonts w:ascii="Verdana" w:eastAsia="Calibri" w:hAnsi="Verdana" w:cs="Arial"/>
          <w:kern w:val="2"/>
          <w14:ligatures w14:val="standardContextual"/>
        </w:rPr>
        <w:t xml:space="preserve">En este orden de ideas,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F14F70">
        <w:rPr>
          <w:rFonts w:ascii="Verdana" w:eastAsia="Aptos" w:hAnsi="Verdana" w:cs="Times New Roman"/>
          <w:kern w:val="2"/>
          <w14:ligatures w14:val="standardContextual"/>
        </w:rPr>
        <w:t>Estas Resolución, en el artículo 2, adoptan el "</w:t>
      </w:r>
      <w:r w:rsidRPr="00F14F70">
        <w:rPr>
          <w:rFonts w:ascii="Verdana" w:eastAsia="Aptos" w:hAnsi="Verdana" w:cs="Times New Roman"/>
          <w:i/>
          <w:iCs/>
          <w:kern w:val="2"/>
          <w14:ligatures w14:val="standardContextual"/>
        </w:rPr>
        <w:t xml:space="preserve">Anexo -Glosario" y la "Matriz – Experiencia” </w:t>
      </w:r>
      <w:r w:rsidRPr="00F14F70">
        <w:rPr>
          <w:rFonts w:ascii="Verdana" w:eastAsia="Aptos" w:hAnsi="Verdana" w:cs="Times New Roman"/>
          <w:kern w:val="2"/>
          <w14:ligatures w14:val="standardContextual"/>
        </w:rPr>
        <w:t>para proyectos de infraestructura social en cada uno de los sectores señalados</w:t>
      </w:r>
      <w:r w:rsidRPr="00F14F70">
        <w:rPr>
          <w:rFonts w:ascii="Verdana" w:eastAsia="Aptos" w:hAnsi="Verdana" w:cs="Times New Roman"/>
          <w:bCs/>
          <w:kern w:val="2"/>
          <w14:ligatures w14:val="standardContextual"/>
        </w:rPr>
        <w:t xml:space="preserve">. </w:t>
      </w:r>
      <w:r w:rsidRPr="00F14F70">
        <w:rPr>
          <w:rFonts w:ascii="Verdana" w:eastAsia="Aptos" w:hAnsi="Verdana" w:cs="Times New Roman"/>
          <w:kern w:val="2"/>
          <w14:ligatures w14:val="standardContextual"/>
        </w:rPr>
        <w:t xml:space="preserve">Estos dos (2) documentos definen el alcance para cada sector específicamente. </w:t>
      </w:r>
    </w:p>
    <w:p w14:paraId="2C670423" w14:textId="77777777" w:rsidR="00636A67" w:rsidRPr="00F14F70" w:rsidRDefault="00636A67" w:rsidP="00636A67">
      <w:pPr>
        <w:widowControl w:val="0"/>
        <w:autoSpaceDE w:val="0"/>
        <w:autoSpaceDN w:val="0"/>
        <w:spacing w:after="120" w:line="276" w:lineRule="auto"/>
        <w:ind w:firstLine="708"/>
        <w:jc w:val="both"/>
        <w:rPr>
          <w:rFonts w:ascii="Verdana" w:eastAsia="Calibri" w:hAnsi="Verdana" w:cs="Times New Roman"/>
          <w:lang w:val="es-ES"/>
        </w:rPr>
      </w:pPr>
      <w:r w:rsidRPr="00F14F70">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F14F70">
        <w:rPr>
          <w:rFonts w:ascii="Verdana" w:eastAsia="Calibri" w:hAnsi="Verdana" w:cs="Times New Roman"/>
          <w:shd w:val="clear" w:color="auto" w:fill="E8E8E8"/>
          <w:lang w:val="es-ES"/>
        </w:rPr>
        <w:t>–[texto]–,</w:t>
      </w:r>
      <w:r w:rsidRPr="00F14F70">
        <w:rPr>
          <w:rFonts w:ascii="Verdana" w:eastAsia="Calibri" w:hAnsi="Verdana" w:cs="Times New Roman"/>
          <w:lang w:val="es-ES"/>
        </w:rPr>
        <w:t xml:space="preserve"> para lo cual deberán observarse las </w:t>
      </w:r>
      <w:r w:rsidRPr="00F14F70">
        <w:rPr>
          <w:rFonts w:ascii="Verdana" w:eastAsia="Calibri" w:hAnsi="Verdana" w:cs="Times New Roman"/>
          <w:lang w:val="es-ES"/>
        </w:rPr>
        <w:lastRenderedPageBreak/>
        <w:t>instrucciones contenidas en los mismos para su diligenciamiento.</w:t>
      </w:r>
    </w:p>
    <w:p w14:paraId="07167554" w14:textId="77777777" w:rsidR="00636A67" w:rsidRPr="00F14F70" w:rsidRDefault="00636A67" w:rsidP="00636A67">
      <w:pPr>
        <w:widowControl w:val="0"/>
        <w:autoSpaceDE w:val="0"/>
        <w:autoSpaceDN w:val="0"/>
        <w:spacing w:after="120" w:line="276" w:lineRule="auto"/>
        <w:ind w:firstLine="708"/>
        <w:jc w:val="both"/>
        <w:rPr>
          <w:rFonts w:ascii="Verdana" w:eastAsia="Calibri" w:hAnsi="Verdana" w:cs="Times New Roman"/>
          <w:lang w:val="es-ES"/>
        </w:rPr>
      </w:pPr>
      <w:r w:rsidRPr="00F14F70">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039FDD5A" w14:textId="77777777" w:rsidR="00636A67" w:rsidRPr="00F14F70" w:rsidRDefault="00636A67" w:rsidP="00636A67">
      <w:pPr>
        <w:widowControl w:val="0"/>
        <w:autoSpaceDE w:val="0"/>
        <w:autoSpaceDN w:val="0"/>
        <w:spacing w:after="120" w:line="276" w:lineRule="auto"/>
        <w:ind w:firstLine="708"/>
        <w:jc w:val="both"/>
        <w:rPr>
          <w:rFonts w:ascii="Verdana" w:hAnsi="Verdana" w:cs="Arial"/>
          <w:bCs/>
          <w:lang w:val="es-MX"/>
        </w:rPr>
      </w:pPr>
      <w:r w:rsidRPr="00F14F70">
        <w:rPr>
          <w:rFonts w:ascii="Verdana" w:hAnsi="Verdana" w:cs="Arial"/>
          <w:lang w:val="es-ES_tradnl"/>
        </w:rPr>
        <w:t>Los</w:t>
      </w:r>
      <w:r w:rsidRPr="00F14F70">
        <w:rPr>
          <w:rFonts w:ascii="Verdana" w:hAnsi="Verdana" w:cs="Arial"/>
          <w:bCs/>
          <w:lang w:val="es-ES_tradnl"/>
        </w:rPr>
        <w:t xml:space="preserve"> documentos tipo de licitación de obra pública de infraestructura social </w:t>
      </w:r>
      <w:r w:rsidRPr="00F14F70">
        <w:rPr>
          <w:rFonts w:ascii="Verdana" w:eastAsia="Calibri" w:hAnsi="Verdana" w:cs="Arial"/>
        </w:rPr>
        <w:t xml:space="preserve">contempla el </w:t>
      </w:r>
      <w:r w:rsidRPr="00F14F70">
        <w:rPr>
          <w:rFonts w:ascii="Verdana" w:eastAsia="Arial" w:hAnsi="Verdana" w:cs="Arial"/>
          <w:lang w:val="es-ES" w:eastAsia="es-ES" w:bidi="es-ES"/>
        </w:rPr>
        <w:t>“Formulario 1 - Formulario de Presupuesto Oficial</w:t>
      </w:r>
      <w:r w:rsidRPr="00F14F70">
        <w:rPr>
          <w:rFonts w:ascii="Verdana" w:eastAsia="Calibri" w:hAnsi="Verdana" w:cs="Arial"/>
          <w:lang w:val="es-ES" w:eastAsia="es-ES" w:bidi="es-ES"/>
        </w:rPr>
        <w:t>”</w:t>
      </w:r>
      <w:r w:rsidRPr="00F14F70">
        <w:rPr>
          <w:rFonts w:ascii="Verdana" w:eastAsia="Arial" w:hAnsi="Verdana" w:cs="Arial"/>
          <w:lang w:val="es-ES" w:eastAsia="es-ES" w:bidi="es-ES"/>
        </w:rPr>
        <w:t>, empleado por</w:t>
      </w:r>
      <w:r w:rsidRPr="00F14F70">
        <w:rPr>
          <w:rFonts w:ascii="Verdana" w:eastAsia="Arial" w:hAnsi="Verdana" w:cs="Arial"/>
          <w:lang w:eastAsia="es-ES" w:bidi="es-ES"/>
        </w:rPr>
        <w:t xml:space="preserve"> la entidad para elaborar y presentar el presupuesto oficial -hoja 1-, y mediante el cual el proponente estructura la oferta económica -hoja 2-. </w:t>
      </w:r>
      <w:r w:rsidRPr="00F14F70">
        <w:rPr>
          <w:rFonts w:ascii="Verdana" w:eastAsia="Calibri" w:hAnsi="Verdana" w:cs="Arial"/>
          <w:lang w:val="es-ES"/>
        </w:rPr>
        <w:t>Este formulario lo prepara la entidad en la etapa de planeación y le permite definir el valor oficial estimado del proceso de contratación. Por tanto, las entidades estatales, para su elaboración, deben tener en cuenta diferentes variables, como el objeto, alcance, obras a ejecutar, actividades, cantidades, particularidades de la zona de ejecución del proyecto, disponibilidad y distancia de fuentes de materiales, entre otros.</w:t>
      </w:r>
    </w:p>
    <w:p w14:paraId="26FB8443" w14:textId="77777777" w:rsidR="00636A67" w:rsidRPr="00F14F70" w:rsidRDefault="00636A67" w:rsidP="00636A67">
      <w:pPr>
        <w:widowControl w:val="0"/>
        <w:autoSpaceDE w:val="0"/>
        <w:autoSpaceDN w:val="0"/>
        <w:spacing w:before="120" w:after="120" w:line="276" w:lineRule="auto"/>
        <w:ind w:firstLine="709"/>
        <w:jc w:val="both"/>
        <w:rPr>
          <w:rFonts w:ascii="Verdana" w:eastAsia="Calibri" w:hAnsi="Verdana" w:cs="Arial"/>
        </w:rPr>
      </w:pPr>
      <w:r w:rsidRPr="00F14F70">
        <w:rPr>
          <w:rFonts w:ascii="Verdana" w:eastAsia="Calibri" w:hAnsi="Verdana" w:cs="Arial"/>
          <w:lang w:val="es-ES"/>
        </w:rPr>
        <w:t xml:space="preserve">Este Formulario tiene dos connotaciones: i) por un lado, </w:t>
      </w:r>
      <w:r w:rsidRPr="00F14F70">
        <w:rPr>
          <w:rFonts w:ascii="Verdana" w:eastAsia="Calibri" w:hAnsi="Verdana" w:cs="Arial"/>
        </w:rPr>
        <w:t xml:space="preserve">es el formulario sobre el cual la entidad estructura y presenta el presupuesto oficial del procedimiento de contratación; y </w:t>
      </w:r>
      <w:proofErr w:type="spellStart"/>
      <w:r w:rsidRPr="00F14F70">
        <w:rPr>
          <w:rFonts w:ascii="Verdana" w:eastAsia="Calibri" w:hAnsi="Verdana" w:cs="Arial"/>
        </w:rPr>
        <w:t>ii</w:t>
      </w:r>
      <w:proofErr w:type="spellEnd"/>
      <w:r w:rsidRPr="00F14F70">
        <w:rPr>
          <w:rFonts w:ascii="Verdana" w:eastAsia="Calibri" w:hAnsi="Verdana" w:cs="Arial"/>
        </w:rPr>
        <w:t>) por el otro, es el formulario sobre el cual los proponentes elaborarán y presentarán su oferta económica. El propósito de esto es evitar la duplicidad de información y permitir que las propuestas económicas sean evaluadas con las variables, cantidades, unidades de medida y reglas consideradas por la entidad al estructurar su presupuesto oficial.</w:t>
      </w:r>
    </w:p>
    <w:p w14:paraId="1A0DCB85" w14:textId="77777777" w:rsidR="00636A67" w:rsidRPr="00F14F70" w:rsidRDefault="00636A67" w:rsidP="00636A67">
      <w:pPr>
        <w:widowControl w:val="0"/>
        <w:autoSpaceDE w:val="0"/>
        <w:autoSpaceDN w:val="0"/>
        <w:spacing w:before="120" w:after="120" w:line="276" w:lineRule="auto"/>
        <w:ind w:firstLine="709"/>
        <w:jc w:val="both"/>
        <w:rPr>
          <w:rFonts w:ascii="Verdana" w:eastAsia="Arial" w:hAnsi="Verdana" w:cs="Arial"/>
          <w:iCs/>
          <w:lang w:val="es-ES" w:eastAsia="es-ES" w:bidi="es-ES"/>
        </w:rPr>
      </w:pPr>
      <w:r w:rsidRPr="00F14F70">
        <w:rPr>
          <w:rFonts w:ascii="Verdana" w:eastAsia="Arial" w:hAnsi="Verdana" w:cs="Arial"/>
          <w:lang w:val="es-ES" w:eastAsia="es-ES" w:bidi="es-ES"/>
        </w:rPr>
        <w:t xml:space="preserve">En ese contexto, se tiene que en la primera hoja del Formulario 1, que corresponde al presupuesto oficial, la entidad debe enlistar los </w:t>
      </w:r>
      <w:r w:rsidRPr="00F14F70">
        <w:rPr>
          <w:rFonts w:ascii="Verdana" w:eastAsia="Arial" w:hAnsi="Verdana" w:cs="Arial"/>
          <w:i/>
          <w:lang w:val="es-ES" w:eastAsia="es-ES" w:bidi="es-ES"/>
        </w:rPr>
        <w:t xml:space="preserve">ítems de pago </w:t>
      </w:r>
      <w:r w:rsidRPr="00F14F70">
        <w:rPr>
          <w:rFonts w:ascii="Verdana" w:eastAsia="Arial" w:hAnsi="Verdana" w:cs="Arial"/>
          <w:lang w:val="es-ES" w:eastAsia="es-ES" w:bidi="es-ES"/>
        </w:rPr>
        <w:t xml:space="preserve">de los bienes, obras o servicios que se requieren para la ejecución de la obra pública de infraestructura social que se contrata. Además, es posible establecer: i) sus especificaciones generales y particulares, </w:t>
      </w:r>
      <w:proofErr w:type="spellStart"/>
      <w:r w:rsidRPr="00F14F70">
        <w:rPr>
          <w:rFonts w:ascii="Verdana" w:eastAsia="Arial" w:hAnsi="Verdana" w:cs="Arial"/>
          <w:lang w:val="es-ES" w:eastAsia="es-ES" w:bidi="es-ES"/>
        </w:rPr>
        <w:t>ii</w:t>
      </w:r>
      <w:proofErr w:type="spellEnd"/>
      <w:r w:rsidRPr="00F14F70">
        <w:rPr>
          <w:rFonts w:ascii="Verdana" w:eastAsia="Arial" w:hAnsi="Verdana" w:cs="Arial"/>
          <w:lang w:val="es-ES" w:eastAsia="es-ES" w:bidi="es-ES"/>
        </w:rPr>
        <w:t xml:space="preserve">) la descripción, </w:t>
      </w:r>
      <w:proofErr w:type="spellStart"/>
      <w:r w:rsidRPr="00F14F70">
        <w:rPr>
          <w:rFonts w:ascii="Verdana" w:eastAsia="Arial" w:hAnsi="Verdana" w:cs="Arial"/>
          <w:lang w:val="es-ES" w:eastAsia="es-ES" w:bidi="es-ES"/>
        </w:rPr>
        <w:t>iii</w:t>
      </w:r>
      <w:proofErr w:type="spellEnd"/>
      <w:r w:rsidRPr="00F14F70">
        <w:rPr>
          <w:rFonts w:ascii="Verdana" w:eastAsia="Arial" w:hAnsi="Verdana" w:cs="Arial"/>
          <w:lang w:val="es-ES" w:eastAsia="es-ES" w:bidi="es-ES"/>
        </w:rPr>
        <w:t xml:space="preserve">) la unidad de medida, </w:t>
      </w:r>
      <w:proofErr w:type="spellStart"/>
      <w:r w:rsidRPr="00F14F70">
        <w:rPr>
          <w:rFonts w:ascii="Verdana" w:eastAsia="Arial" w:hAnsi="Verdana" w:cs="Arial"/>
          <w:lang w:val="es-ES" w:eastAsia="es-ES" w:bidi="es-ES"/>
        </w:rPr>
        <w:t>iv</w:t>
      </w:r>
      <w:proofErr w:type="spellEnd"/>
      <w:r w:rsidRPr="00F14F70">
        <w:rPr>
          <w:rFonts w:ascii="Verdana" w:eastAsia="Arial" w:hAnsi="Verdana" w:cs="Arial"/>
          <w:lang w:val="es-ES" w:eastAsia="es-ES" w:bidi="es-ES"/>
        </w:rPr>
        <w:t xml:space="preserve">) la cantidad, v) el valor unitario y vi) el valor total de los </w:t>
      </w:r>
      <w:r w:rsidRPr="00F14F70">
        <w:rPr>
          <w:rFonts w:ascii="Verdana" w:eastAsia="Arial" w:hAnsi="Verdana" w:cs="Arial"/>
          <w:i/>
          <w:lang w:val="es-ES" w:eastAsia="es-ES" w:bidi="es-ES"/>
        </w:rPr>
        <w:t>ítems.</w:t>
      </w:r>
    </w:p>
    <w:p w14:paraId="1E45643E" w14:textId="77777777" w:rsidR="00636A67" w:rsidRPr="00F14F70" w:rsidRDefault="00636A67" w:rsidP="00636A67">
      <w:pPr>
        <w:widowControl w:val="0"/>
        <w:autoSpaceDE w:val="0"/>
        <w:autoSpaceDN w:val="0"/>
        <w:spacing w:before="120" w:after="120" w:line="276" w:lineRule="auto"/>
        <w:ind w:firstLine="709"/>
        <w:jc w:val="both"/>
        <w:rPr>
          <w:rFonts w:ascii="Verdana" w:eastAsia="Arial" w:hAnsi="Verdana" w:cs="Arial"/>
          <w:lang w:val="es-ES" w:eastAsia="es-ES" w:bidi="es-ES"/>
        </w:rPr>
      </w:pPr>
      <w:r w:rsidRPr="00F14F70">
        <w:rPr>
          <w:rFonts w:ascii="Verdana" w:eastAsia="Arial" w:hAnsi="Verdana" w:cs="Arial"/>
          <w:iCs/>
          <w:lang w:val="es-ES" w:eastAsia="es-ES" w:bidi="es-ES"/>
        </w:rPr>
        <w:t xml:space="preserve">En el marco del ejercicio de planeación, la entidad podrá determinar la necesidad de establecer algunos valores topes para algunos </w:t>
      </w:r>
      <w:r w:rsidRPr="00F14F70">
        <w:rPr>
          <w:rFonts w:ascii="Verdana" w:eastAsia="Arial" w:hAnsi="Verdana" w:cs="Arial"/>
          <w:i/>
          <w:lang w:val="es-ES" w:eastAsia="es-ES" w:bidi="es-ES"/>
        </w:rPr>
        <w:t xml:space="preserve">ítems, </w:t>
      </w:r>
      <w:r w:rsidRPr="00F14F70">
        <w:rPr>
          <w:rFonts w:ascii="Verdana" w:eastAsia="Arial" w:hAnsi="Verdana" w:cs="Arial"/>
          <w:iCs/>
          <w:lang w:val="es-ES" w:eastAsia="es-ES" w:bidi="es-ES"/>
        </w:rPr>
        <w:t>los cuales no podrán ser excedidos por los proponentes al presentar sus ofertas.</w:t>
      </w:r>
      <w:r w:rsidRPr="00F14F70">
        <w:rPr>
          <w:rFonts w:ascii="Verdana" w:eastAsia="Arial" w:hAnsi="Verdana" w:cs="Arial"/>
          <w:lang w:val="es-ES" w:eastAsia="es-ES" w:bidi="es-ES"/>
        </w:rPr>
        <w:t xml:space="preserve"> La inclusión que hace la entidad de valores que no deben ser excedidos por los proponentes </w:t>
      </w:r>
      <w:r w:rsidRPr="00F14F70">
        <w:rPr>
          <w:rFonts w:ascii="Verdana" w:eastAsia="Arial" w:hAnsi="Verdana" w:cs="Arial"/>
          <w:lang w:val="es-ES" w:eastAsia="es-ES" w:bidi="es-ES"/>
        </w:rPr>
        <w:lastRenderedPageBreak/>
        <w:t xml:space="preserve">al presentar sus ofertas no es una práctica generalizada ni obligatoria para todas las entidades, por cuanto la inclusión de estos </w:t>
      </w:r>
      <w:r w:rsidRPr="00F14F70">
        <w:rPr>
          <w:rFonts w:ascii="Verdana" w:eastAsia="Arial" w:hAnsi="Verdana" w:cs="Arial"/>
          <w:i/>
          <w:lang w:val="es-ES" w:eastAsia="es-ES" w:bidi="es-ES"/>
        </w:rPr>
        <w:t>ítems</w:t>
      </w:r>
      <w:r w:rsidRPr="00F14F70">
        <w:rPr>
          <w:rFonts w:ascii="Verdana" w:eastAsia="Arial" w:hAnsi="Verdana" w:cs="Arial"/>
          <w:lang w:val="es-ES" w:eastAsia="es-ES" w:bidi="es-ES"/>
        </w:rPr>
        <w:t xml:space="preserve"> debe estar justificada en situaciones y eventos particulares de determinados procedimientos de contratación. Cuando las entidades estructuran el Formulario 1, incluyendo este tipo de </w:t>
      </w:r>
      <w:r w:rsidRPr="00F14F70">
        <w:rPr>
          <w:rFonts w:ascii="Verdana" w:eastAsia="Arial" w:hAnsi="Verdana" w:cs="Arial"/>
          <w:i/>
          <w:lang w:val="es-ES" w:eastAsia="es-ES" w:bidi="es-ES"/>
        </w:rPr>
        <w:t>ítems</w:t>
      </w:r>
      <w:r w:rsidRPr="00F14F70">
        <w:rPr>
          <w:rFonts w:ascii="Verdana" w:eastAsia="Arial" w:hAnsi="Verdana" w:cs="Arial"/>
          <w:lang w:val="es-ES" w:eastAsia="es-ES" w:bidi="es-ES"/>
        </w:rPr>
        <w:t xml:space="preserve"> y justificando su decisión, los proponentes deben incluirlos dentro de la oferta económica sin exceder el valor que la entidad ha definido, so pena del rechazo de la propuesta</w:t>
      </w:r>
      <w:r w:rsidRPr="00F14F70">
        <w:rPr>
          <w:rFonts w:ascii="Verdana" w:eastAsia="Arial" w:hAnsi="Verdana" w:cs="Arial"/>
          <w:vertAlign w:val="superscript"/>
          <w:lang w:val="es-ES" w:eastAsia="es-ES" w:bidi="es-ES"/>
        </w:rPr>
        <w:footnoteReference w:id="1"/>
      </w:r>
      <w:r w:rsidRPr="00F14F70">
        <w:rPr>
          <w:rFonts w:ascii="Verdana" w:eastAsia="Arial" w:hAnsi="Verdana" w:cs="Arial"/>
          <w:lang w:val="es-ES" w:eastAsia="es-ES" w:bidi="es-ES"/>
        </w:rPr>
        <w:t>.</w:t>
      </w:r>
    </w:p>
    <w:p w14:paraId="67235778" w14:textId="77777777" w:rsidR="00636A67" w:rsidRPr="00F14F70" w:rsidRDefault="00636A67" w:rsidP="00636A67">
      <w:pPr>
        <w:widowControl w:val="0"/>
        <w:autoSpaceDE w:val="0"/>
        <w:autoSpaceDN w:val="0"/>
        <w:spacing w:after="120" w:line="276" w:lineRule="auto"/>
        <w:ind w:firstLine="709"/>
        <w:jc w:val="both"/>
        <w:rPr>
          <w:rFonts w:ascii="Verdana" w:eastAsia="Arial" w:hAnsi="Verdana" w:cs="Arial"/>
          <w:lang w:val="es-ES" w:eastAsia="es-ES" w:bidi="es-ES"/>
        </w:rPr>
      </w:pPr>
      <w:r w:rsidRPr="00F14F70">
        <w:rPr>
          <w:rFonts w:ascii="Verdana" w:eastAsia="Arial" w:hAnsi="Verdana" w:cs="Arial"/>
          <w:lang w:val="es-ES" w:eastAsia="es-ES" w:bidi="es-ES"/>
        </w:rPr>
        <w:t xml:space="preserve">De igual manera, en la hoja 1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F14F70">
        <w:rPr>
          <w:rFonts w:ascii="Verdana" w:eastAsia="Arial" w:hAnsi="Verdana" w:cs="Arial"/>
          <w:lang w:val="es-ES" w:eastAsia="es-ES" w:bidi="es-ES"/>
        </w:rPr>
        <w:t>ii</w:t>
      </w:r>
      <w:proofErr w:type="spellEnd"/>
      <w:r w:rsidRPr="00F14F70">
        <w:rPr>
          <w:rFonts w:ascii="Verdana" w:eastAsia="Arial" w:hAnsi="Verdana" w:cs="Arial"/>
          <w:lang w:val="es-ES" w:eastAsia="es-ES" w:bidi="es-ES"/>
        </w:rPr>
        <w:t xml:space="preserve">) imprevistos y </w:t>
      </w:r>
      <w:proofErr w:type="spellStart"/>
      <w:r w:rsidRPr="00F14F70">
        <w:rPr>
          <w:rFonts w:ascii="Verdana" w:eastAsia="Arial" w:hAnsi="Verdana" w:cs="Arial"/>
          <w:lang w:val="es-ES" w:eastAsia="es-ES" w:bidi="es-ES"/>
        </w:rPr>
        <w:t>iii</w:t>
      </w:r>
      <w:proofErr w:type="spellEnd"/>
      <w:r w:rsidRPr="00F14F70">
        <w:rPr>
          <w:rFonts w:ascii="Verdana" w:eastAsia="Arial" w:hAnsi="Verdana" w:cs="Arial"/>
          <w:lang w:val="es-ES" w:eastAsia="es-ES" w:bidi="es-ES"/>
        </w:rPr>
        <w:t>) utilidad cuando el proceso de contratación sea por precios unitarios.</w:t>
      </w:r>
    </w:p>
    <w:p w14:paraId="51DF723B" w14:textId="77777777" w:rsidR="00636A67" w:rsidRPr="00F14F70" w:rsidRDefault="00636A67" w:rsidP="00636A67">
      <w:pPr>
        <w:widowControl w:val="0"/>
        <w:autoSpaceDE w:val="0"/>
        <w:autoSpaceDN w:val="0"/>
        <w:spacing w:after="120" w:line="276" w:lineRule="auto"/>
        <w:ind w:firstLine="709"/>
        <w:jc w:val="both"/>
        <w:rPr>
          <w:rFonts w:ascii="Verdana" w:eastAsia="Arial" w:hAnsi="Verdana" w:cs="Arial"/>
          <w:lang w:val="es-ES" w:eastAsia="es-ES" w:bidi="es-ES"/>
        </w:rPr>
      </w:pPr>
      <w:r w:rsidRPr="001817D8">
        <w:rPr>
          <w:rFonts w:ascii="Verdana" w:eastAsia="Arial" w:hAnsi="Verdana" w:cs="Arial"/>
          <w:lang w:val="es-ES" w:eastAsia="es-ES" w:bidi="es-ES"/>
        </w:rPr>
        <w:t xml:space="preserve">En este sentido, reiterando el principio de inalterabilidad, las entidades solo pueden modificar aquello que el documento tipo permita. Por ello, debido a que la primera hoja del Formulario 1 – Formulario del Presupuesto Oficial no permite su modificación en los procesos estructurados por precios unitarios, no será posible omitir alguno de los componentes del A.I.U. Bajo ese entendido, las entidades no podrán eliminar o modificar la fila correspondiente al imprevisto, ni eliminar o modificar las </w:t>
      </w:r>
      <w:r w:rsidRPr="00F14F70">
        <w:rPr>
          <w:rFonts w:ascii="Verdana" w:eastAsia="Arial" w:hAnsi="Verdana" w:cs="Arial"/>
          <w:lang w:val="es-ES" w:eastAsia="es-ES" w:bidi="es-ES"/>
        </w:rPr>
        <w:t>“</w:t>
      </w:r>
      <w:r w:rsidRPr="001817D8">
        <w:rPr>
          <w:rFonts w:ascii="Verdana" w:eastAsia="Arial" w:hAnsi="Verdana" w:cs="Arial"/>
          <w:lang w:val="es-ES" w:eastAsia="es-ES" w:bidi="es-ES"/>
        </w:rPr>
        <w:t>Nota 1 a 3</w:t>
      </w:r>
      <w:r w:rsidRPr="00F14F70">
        <w:rPr>
          <w:rFonts w:ascii="Verdana" w:eastAsia="Arial" w:hAnsi="Verdana" w:cs="Arial"/>
          <w:lang w:val="es-ES" w:eastAsia="es-ES" w:bidi="es-ES"/>
        </w:rPr>
        <w:t>”</w:t>
      </w:r>
      <w:r w:rsidRPr="001817D8">
        <w:rPr>
          <w:rFonts w:ascii="Verdana" w:eastAsia="Arial" w:hAnsi="Verdana" w:cs="Arial"/>
          <w:lang w:val="es-ES" w:eastAsia="es-ES" w:bidi="es-ES"/>
        </w:rPr>
        <w:t xml:space="preserve"> que versan sobre el uso de precios unitarios con componentes del A.I.U.</w:t>
      </w:r>
    </w:p>
    <w:p w14:paraId="042E20E5" w14:textId="77777777" w:rsidR="00636A67" w:rsidRPr="00F14F70" w:rsidRDefault="00636A67" w:rsidP="00636A67">
      <w:pPr>
        <w:widowControl w:val="0"/>
        <w:autoSpaceDE w:val="0"/>
        <w:autoSpaceDN w:val="0"/>
        <w:spacing w:after="120" w:line="276" w:lineRule="auto"/>
        <w:ind w:firstLine="709"/>
        <w:jc w:val="both"/>
        <w:rPr>
          <w:rFonts w:ascii="Verdana" w:eastAsia="Arial" w:hAnsi="Verdana" w:cs="Arial"/>
          <w:lang w:val="es-ES" w:eastAsia="es-ES" w:bidi="es-ES"/>
        </w:rPr>
      </w:pPr>
      <w:r w:rsidRPr="001817D8">
        <w:rPr>
          <w:rFonts w:ascii="Verdana" w:eastAsia="Arial" w:hAnsi="Verdana" w:cs="Arial"/>
          <w:lang w:val="es-ES" w:eastAsia="es-ES" w:bidi="es-ES"/>
        </w:rPr>
        <w:t>De otra</w:t>
      </w:r>
      <w:r w:rsidRPr="00F14F70">
        <w:rPr>
          <w:rFonts w:ascii="Verdana" w:eastAsia="Arial" w:hAnsi="Verdana" w:cs="Arial"/>
          <w:lang w:eastAsia="es-ES" w:bidi="es-ES"/>
        </w:rPr>
        <w:t xml:space="preserve"> parte, </w:t>
      </w:r>
      <w:r w:rsidRPr="00F14F70">
        <w:rPr>
          <w:rFonts w:ascii="Verdana" w:eastAsia="Arial" w:hAnsi="Verdana" w:cs="Arial"/>
          <w:lang w:val="es-ES" w:eastAsia="es-ES" w:bidi="es-ES"/>
        </w:rPr>
        <w:t>en los documentos tipo para procesos de licitación pública de obras de infraestructura social, el “Formulario 1</w:t>
      </w:r>
      <w:r w:rsidRPr="00F14F70">
        <w:rPr>
          <w:rFonts w:ascii="Verdana" w:hAnsi="Verdana" w:cs="Arial"/>
          <w:lang w:val="es-ES" w:eastAsia="es-ES" w:bidi="es-ES"/>
        </w:rPr>
        <w:t>” en su segunda pestaña en Excel, titulada “Formulario 1 propuesta económica”</w:t>
      </w:r>
      <w:r w:rsidRPr="00F14F70">
        <w:rPr>
          <w:rFonts w:ascii="Verdana" w:eastAsia="Arial" w:hAnsi="Verdana" w:cs="Arial"/>
          <w:lang w:val="es-ES" w:eastAsia="es-ES" w:bidi="es-ES"/>
        </w:rPr>
        <w:t xml:space="preserve"> señala en la parte superior </w:t>
      </w:r>
      <w:r w:rsidRPr="00F14F70">
        <w:rPr>
          <w:rFonts w:ascii="Verdana" w:eastAsia="Arial" w:hAnsi="Verdana" w:cs="Arial"/>
          <w:lang w:val="es-ES" w:eastAsia="es-ES" w:bidi="es-ES"/>
        </w:rPr>
        <w:lastRenderedPageBreak/>
        <w:t>derecha: “</w:t>
      </w:r>
      <w:r w:rsidRPr="00F14F70">
        <w:rPr>
          <w:rFonts w:ascii="Verdana" w:eastAsia="Arial" w:hAnsi="Verdana" w:cs="Arial"/>
          <w:highlight w:val="lightGray"/>
          <w:lang w:val="es-ES" w:eastAsia="es-ES" w:bidi="es-ES"/>
        </w:rPr>
        <w:t>[La entidad puede utilizar este formulario de presentación de propuesta económica de forma detallada, sin perjuicio que la entidad pueda modificarlo o establecer la presentación de la oferta económica con un formulario distinto al indicado.]</w:t>
      </w:r>
      <w:r w:rsidRPr="00F14F70">
        <w:rPr>
          <w:rFonts w:ascii="Verdana" w:eastAsia="Arial" w:hAnsi="Verdana" w:cs="Arial"/>
          <w:lang w:val="es-ES" w:eastAsia="es-ES" w:bidi="es-ES"/>
        </w:rPr>
        <w:t xml:space="preserve">”. </w:t>
      </w:r>
      <w:r w:rsidRPr="00F14F70">
        <w:rPr>
          <w:rFonts w:ascii="Verdana" w:hAnsi="Verdana" w:cs="Arial"/>
          <w:color w:val="000000"/>
          <w:lang w:val="es-ES_tradnl"/>
        </w:rPr>
        <w:t>Igualmente, se indica que los proponentes emplearán el formulario establecido por la entidad para determinar su propuesta económica conforme al Formulario 1 - Presupuesto Oficial publicado por la Entidad. Esto</w:t>
      </w:r>
      <w:r w:rsidRPr="00F14F70">
        <w:rPr>
          <w:rFonts w:ascii="Verdana" w:hAnsi="Verdana" w:cs="Arial"/>
          <w:lang w:val="es-ES_tradnl"/>
        </w:rPr>
        <w:t xml:space="preserve"> significa </w:t>
      </w:r>
      <w:r w:rsidRPr="00F14F70">
        <w:rPr>
          <w:rFonts w:ascii="Verdana" w:hAnsi="Verdana" w:cs="Arial"/>
          <w:lang w:val="es-ES"/>
        </w:rPr>
        <w:t>que las entidades pueden diseñar un formulario para que los proponentes presenten su oferta económica, sin que sea obligatorio sujetarse al formulario que los documentos tipo proponen para el efecto.</w:t>
      </w:r>
      <w:r w:rsidRPr="00F14F70">
        <w:rPr>
          <w:rFonts w:ascii="Verdana" w:eastAsia="Arial" w:hAnsi="Verdana" w:cs="Arial"/>
          <w:bCs/>
          <w:lang w:val="es-ES"/>
        </w:rPr>
        <w:t xml:space="preserve"> En todo caso, el proponente deberá emplear el formulario que establezca la entidad. </w:t>
      </w:r>
    </w:p>
    <w:p w14:paraId="78B0B466" w14:textId="77777777" w:rsidR="00636A67" w:rsidRPr="00F14F70" w:rsidRDefault="00636A67" w:rsidP="00636A67">
      <w:pPr>
        <w:widowControl w:val="0"/>
        <w:autoSpaceDE w:val="0"/>
        <w:autoSpaceDN w:val="0"/>
        <w:spacing w:before="120" w:after="120" w:line="276" w:lineRule="auto"/>
        <w:ind w:firstLine="709"/>
        <w:jc w:val="both"/>
        <w:rPr>
          <w:rFonts w:ascii="Verdana" w:eastAsia="Arial" w:hAnsi="Verdana" w:cs="Arial"/>
          <w:bCs/>
          <w:lang w:val="es-ES"/>
        </w:rPr>
      </w:pPr>
      <w:r w:rsidRPr="00F14F70">
        <w:rPr>
          <w:rFonts w:ascii="Verdana" w:eastAsia="Arial" w:hAnsi="Verdana" w:cs="Arial"/>
          <w:bCs/>
          <w:lang w:val="es-ES"/>
        </w:rPr>
        <w:t xml:space="preserve">Lo anterior es concordante con lo dispuesto en el numeral 4.1 del Documento Base, que establece que la entidad “debe configurar el formato de oferta económica que se encuentra en el Formulario 1 – Formulario de Presupuesto Oficial, para que sea diligenciado por los proponentes”. En tales términos, la presentación de la oferta económica por parte del proponente se realizará teniendo en cuenta el formato determinado por la entidad, sea el que configure de acuerdo con el Formulario 1 o aquel que disponga sobre el particular. Adicionalmente, los proponentes al presentar su oferta deberán ceñirse a las reglas para la presentación de oferta establecidas en los numerales 2.3 y 4.1 del Documento Base, así como observar el análisis de precios unitarios, procurando no ofertar por encima de los valores tope establecidos por la entidad para algunos de los ítems, en caso de que se opte por dicha regulación.  </w:t>
      </w:r>
    </w:p>
    <w:p w14:paraId="2E05AAA3" w14:textId="77777777" w:rsidR="00636A67" w:rsidRPr="00F14F70" w:rsidRDefault="00636A67" w:rsidP="00636A67">
      <w:pPr>
        <w:widowControl w:val="0"/>
        <w:autoSpaceDE w:val="0"/>
        <w:autoSpaceDN w:val="0"/>
        <w:spacing w:before="120" w:after="120" w:line="276" w:lineRule="auto"/>
        <w:ind w:firstLine="709"/>
        <w:jc w:val="both"/>
        <w:rPr>
          <w:rFonts w:ascii="Verdana" w:hAnsi="Verdana" w:cs="Arial"/>
          <w:lang w:val="es-ES"/>
        </w:rPr>
      </w:pPr>
      <w:r w:rsidRPr="00F14F70">
        <w:rPr>
          <w:rFonts w:ascii="Verdana" w:eastAsia="Arial" w:hAnsi="Verdana" w:cs="Arial"/>
          <w:bCs/>
          <w:lang w:val="es-ES"/>
        </w:rPr>
        <w:t>Así las cosas, los oferentes deben usar la segunda pestaña del “Formulario 1 – Formulario de Presupuesto</w:t>
      </w:r>
      <w:r w:rsidRPr="00F14F70">
        <w:rPr>
          <w:rFonts w:ascii="Verdana" w:hAnsi="Verdana" w:cs="Arial"/>
          <w:lang w:val="es-ES"/>
        </w:rPr>
        <w:t xml:space="preserve"> Oficial” puesta a disposición en formato Excel por la respectiva entidad, titulada “propuesta económica”, sin perjuicio de que las entidades estatales modifiquen o establezcan la presentación de la oferta económica en un formulario distinto.</w:t>
      </w:r>
    </w:p>
    <w:p w14:paraId="2A6FF32D" w14:textId="77777777" w:rsidR="00636A67" w:rsidRPr="001817D8" w:rsidRDefault="00636A67" w:rsidP="00636A67">
      <w:pPr>
        <w:spacing w:after="0" w:line="276" w:lineRule="auto"/>
        <w:ind w:firstLine="708"/>
        <w:jc w:val="both"/>
        <w:rPr>
          <w:rFonts w:ascii="Verdana" w:hAnsi="Verdana" w:cs="Arial"/>
          <w:color w:val="000000" w:themeColor="text1"/>
        </w:rPr>
      </w:pPr>
      <w:r w:rsidRPr="00F14F70">
        <w:rPr>
          <w:rFonts w:ascii="Verdana" w:hAnsi="Verdana" w:cs="Arial"/>
          <w:lang w:val="es-ES"/>
        </w:rPr>
        <w:t xml:space="preserve">Ahora bien, para responder </w:t>
      </w:r>
      <w:r>
        <w:rPr>
          <w:rFonts w:ascii="Verdana" w:hAnsi="Verdana" w:cs="Arial"/>
          <w:lang w:val="es-ES"/>
        </w:rPr>
        <w:t>e</w:t>
      </w:r>
      <w:r w:rsidRPr="00F14F70">
        <w:rPr>
          <w:rFonts w:ascii="Verdana" w:hAnsi="Verdana" w:cs="Arial"/>
          <w:lang w:val="es-ES"/>
        </w:rPr>
        <w:t xml:space="preserve">l </w:t>
      </w:r>
      <w:r>
        <w:rPr>
          <w:rFonts w:ascii="Verdana" w:hAnsi="Verdana" w:cs="Arial"/>
          <w:lang w:val="es-ES"/>
        </w:rPr>
        <w:t xml:space="preserve">primer </w:t>
      </w:r>
      <w:r w:rsidRPr="00F14F70">
        <w:rPr>
          <w:rFonts w:ascii="Verdana" w:hAnsi="Verdana" w:cs="Arial"/>
          <w:lang w:val="es-ES"/>
        </w:rPr>
        <w:t xml:space="preserve">problema </w:t>
      </w:r>
      <w:r>
        <w:rPr>
          <w:rFonts w:ascii="Verdana" w:hAnsi="Verdana" w:cs="Arial"/>
          <w:lang w:val="es-ES"/>
        </w:rPr>
        <w:t xml:space="preserve">jurídico </w:t>
      </w:r>
      <w:r w:rsidRPr="00F14F70">
        <w:rPr>
          <w:rFonts w:ascii="Verdana" w:hAnsi="Verdana" w:cs="Arial"/>
          <w:lang w:val="es-ES"/>
        </w:rPr>
        <w:t xml:space="preserve">planteado en este concepto, debe indicarse que </w:t>
      </w:r>
      <w:r>
        <w:rPr>
          <w:rFonts w:ascii="Verdana" w:hAnsi="Verdana" w:cs="Arial"/>
          <w:color w:val="000000" w:themeColor="text1"/>
        </w:rPr>
        <w:t>l</w:t>
      </w:r>
      <w:r w:rsidRPr="001817D8">
        <w:rPr>
          <w:rFonts w:ascii="Verdana" w:hAnsi="Verdana" w:cs="Arial"/>
          <w:color w:val="000000" w:themeColor="text1"/>
        </w:rPr>
        <w:t xml:space="preserve">a Nota 2 del </w:t>
      </w:r>
      <w:r>
        <w:rPr>
          <w:rFonts w:ascii="Verdana" w:hAnsi="Verdana" w:cs="Arial"/>
          <w:color w:val="000000" w:themeColor="text1"/>
        </w:rPr>
        <w:t>“</w:t>
      </w:r>
      <w:r w:rsidRPr="001817D8">
        <w:rPr>
          <w:rFonts w:ascii="Verdana" w:hAnsi="Verdana" w:cs="Arial"/>
          <w:color w:val="000000" w:themeColor="text1"/>
        </w:rPr>
        <w:t>Formulario 1 – Formulario de Presupuesto oficial</w:t>
      </w:r>
      <w:r>
        <w:rPr>
          <w:rFonts w:ascii="Verdana" w:hAnsi="Verdana" w:cs="Arial"/>
          <w:color w:val="000000" w:themeColor="text1"/>
        </w:rPr>
        <w:t>”</w:t>
      </w:r>
      <w:r w:rsidRPr="001817D8">
        <w:rPr>
          <w:rFonts w:ascii="Verdana" w:hAnsi="Verdana" w:cs="Arial"/>
          <w:color w:val="000000" w:themeColor="text1"/>
        </w:rPr>
        <w:t xml:space="preserve"> se refiere a la aproximación de las fracciones decimales al número entero más cercano, de la siguiente manera:</w:t>
      </w:r>
    </w:p>
    <w:p w14:paraId="23D0D586" w14:textId="77777777" w:rsidR="00636A67" w:rsidRPr="001817D8" w:rsidRDefault="00636A67" w:rsidP="00636A67">
      <w:pPr>
        <w:pStyle w:val="Prrafodelista"/>
        <w:spacing w:after="0" w:line="276" w:lineRule="auto"/>
        <w:jc w:val="both"/>
        <w:rPr>
          <w:rFonts w:ascii="Verdana" w:hAnsi="Verdana" w:cs="Arial"/>
          <w:color w:val="000000" w:themeColor="text1"/>
        </w:rPr>
      </w:pPr>
    </w:p>
    <w:p w14:paraId="1D9C36CB" w14:textId="77777777" w:rsidR="00636A67" w:rsidRPr="001817D8" w:rsidRDefault="00636A67" w:rsidP="00636A67">
      <w:pPr>
        <w:spacing w:after="0" w:line="276" w:lineRule="auto"/>
        <w:ind w:left="709" w:right="709"/>
        <w:jc w:val="both"/>
        <w:rPr>
          <w:rFonts w:ascii="Verdana" w:eastAsia="Times New Roman" w:hAnsi="Verdana" w:cs="Arial"/>
          <w:sz w:val="21"/>
          <w:szCs w:val="21"/>
        </w:rPr>
      </w:pPr>
      <w:r>
        <w:rPr>
          <w:rFonts w:ascii="Verdana" w:eastAsia="Times New Roman" w:hAnsi="Verdana" w:cs="Arial"/>
          <w:b/>
          <w:bCs/>
          <w:sz w:val="21"/>
          <w:szCs w:val="21"/>
        </w:rPr>
        <w:t>“</w:t>
      </w:r>
      <w:r w:rsidRPr="001817D8">
        <w:rPr>
          <w:rFonts w:ascii="Verdana" w:eastAsia="Times New Roman" w:hAnsi="Verdana" w:cs="Arial"/>
          <w:b/>
          <w:bCs/>
          <w:sz w:val="21"/>
          <w:szCs w:val="21"/>
        </w:rPr>
        <w:t>NOTA 2</w:t>
      </w:r>
      <w:r w:rsidRPr="001817D8">
        <w:rPr>
          <w:rFonts w:ascii="Verdana" w:eastAsia="Times New Roman" w:hAnsi="Verdana" w:cs="Arial"/>
          <w:sz w:val="21"/>
          <w:szCs w:val="21"/>
        </w:rPr>
        <w:t xml:space="preserve">: Cuando la fracción decimal del peso sea igual o superior a 5 se aproximará por exceso al número entero siguiente del peso y </w:t>
      </w:r>
      <w:r w:rsidRPr="001817D8">
        <w:rPr>
          <w:rFonts w:ascii="Verdana" w:eastAsia="Times New Roman" w:hAnsi="Verdana" w:cs="Arial"/>
          <w:sz w:val="21"/>
          <w:szCs w:val="21"/>
        </w:rPr>
        <w:lastRenderedPageBreak/>
        <w:t>cuando la fracción decimal del peso sea inferior a 5 se aproximará por defecto al número entero del peso</w:t>
      </w:r>
      <w:r>
        <w:rPr>
          <w:rFonts w:ascii="Verdana" w:eastAsia="Times New Roman" w:hAnsi="Verdana" w:cs="Arial"/>
          <w:sz w:val="21"/>
          <w:szCs w:val="21"/>
        </w:rPr>
        <w:t xml:space="preserve">”. </w:t>
      </w:r>
      <w:r w:rsidRPr="001817D8">
        <w:rPr>
          <w:rFonts w:ascii="Verdana" w:eastAsia="Times New Roman" w:hAnsi="Verdana" w:cs="Arial"/>
          <w:sz w:val="21"/>
          <w:szCs w:val="21"/>
        </w:rPr>
        <w:t xml:space="preserve"> </w:t>
      </w:r>
    </w:p>
    <w:p w14:paraId="0CEEDDAB" w14:textId="77777777" w:rsidR="00636A67" w:rsidRDefault="00636A67" w:rsidP="00636A67">
      <w:pPr>
        <w:pStyle w:val="Prrafodelista"/>
        <w:spacing w:after="0" w:line="276" w:lineRule="auto"/>
        <w:jc w:val="both"/>
        <w:rPr>
          <w:rFonts w:ascii="Verdana" w:eastAsia="Times New Roman" w:hAnsi="Verdana" w:cs="Arial"/>
          <w:bCs/>
          <w:color w:val="000000" w:themeColor="text1"/>
          <w:sz w:val="21"/>
          <w:szCs w:val="21"/>
          <w:lang w:eastAsia="es-ES_tradnl"/>
        </w:rPr>
      </w:pPr>
    </w:p>
    <w:p w14:paraId="42BAAD62" w14:textId="4C136C85" w:rsidR="00636A67" w:rsidRDefault="00636A67" w:rsidP="00636A67">
      <w:pPr>
        <w:pStyle w:val="Encabezado"/>
        <w:tabs>
          <w:tab w:val="center" w:pos="709"/>
        </w:tabs>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r>
      <w:r>
        <w:rPr>
          <w:rFonts w:ascii="Verdana" w:eastAsia="Calibri" w:hAnsi="Verdana" w:cs="Arial"/>
          <w:color w:val="000000" w:themeColor="text1"/>
        </w:rPr>
        <w:tab/>
      </w:r>
      <w:r w:rsidRPr="001817D8">
        <w:rPr>
          <w:rFonts w:ascii="Verdana" w:eastAsia="Calibri" w:hAnsi="Verdana" w:cs="Arial"/>
          <w:color w:val="000000" w:themeColor="text1"/>
        </w:rPr>
        <w:t xml:space="preserve">De acuerdo con la nota señalada, cuando la fracción decimal del peso: i) sea igual o superior a 5, se aproximará al entero siguiente del peso; y </w:t>
      </w:r>
      <w:proofErr w:type="spellStart"/>
      <w:r w:rsidRPr="001817D8">
        <w:rPr>
          <w:rFonts w:ascii="Verdana" w:eastAsia="Calibri" w:hAnsi="Verdana" w:cs="Arial"/>
          <w:color w:val="000000" w:themeColor="text1"/>
        </w:rPr>
        <w:t>ii</w:t>
      </w:r>
      <w:proofErr w:type="spellEnd"/>
      <w:r w:rsidRPr="001817D8">
        <w:rPr>
          <w:rFonts w:ascii="Verdana" w:eastAsia="Calibri" w:hAnsi="Verdana" w:cs="Arial"/>
          <w:color w:val="000000" w:themeColor="text1"/>
        </w:rPr>
        <w:t>) cuando la fracción decimal del peso sea inferior a 5, se aproximará por defecto al número entero del peso. Esta regla constituye un parámetro objetivo y obligatorio para la determinación del valor final del peso, de modo que su aplicación no admite excepciones, interpretaciones alternativas ni adaptaciones discrecionales por parte de la Entidad. En consecuencia, la Entidad debe aplicar la nota exactamente en los términos descritos, sin alterar su sentido ni modificar los resultados que de ella se derivan, evitando prácticas que contravengan lo dispuesto, como redondear hacia abajo cuando corresponde hacerlo hacia arriba o cualquier otro ajuste que distorsione el criterio técnico establecido</w:t>
      </w:r>
      <w:r>
        <w:rPr>
          <w:rFonts w:ascii="Verdana" w:eastAsia="Calibri" w:hAnsi="Verdana" w:cs="Arial"/>
          <w:color w:val="000000" w:themeColor="text1"/>
        </w:rPr>
        <w:t xml:space="preserve">. </w:t>
      </w:r>
    </w:p>
    <w:p w14:paraId="0E9A4E4A" w14:textId="77777777" w:rsidR="00636A67" w:rsidRPr="001817D8" w:rsidRDefault="00636A67" w:rsidP="00636A67">
      <w:pPr>
        <w:pStyle w:val="Encabezado"/>
        <w:tabs>
          <w:tab w:val="center" w:pos="709"/>
        </w:tabs>
        <w:spacing w:line="276" w:lineRule="auto"/>
        <w:jc w:val="both"/>
        <w:rPr>
          <w:rFonts w:ascii="Verdana" w:eastAsia="Calibri" w:hAnsi="Verdana" w:cs="Arial"/>
          <w:color w:val="000000" w:themeColor="text1"/>
        </w:rPr>
      </w:pPr>
      <w:r w:rsidRPr="001817D8">
        <w:rPr>
          <w:rFonts w:ascii="Verdana" w:eastAsia="Calibri" w:hAnsi="Verdana" w:cs="Arial"/>
          <w:color w:val="000000" w:themeColor="text1"/>
        </w:rPr>
        <w:tab/>
      </w:r>
      <w:r>
        <w:rPr>
          <w:rFonts w:ascii="Verdana" w:eastAsia="Calibri" w:hAnsi="Verdana" w:cs="Arial"/>
          <w:color w:val="000000" w:themeColor="text1"/>
        </w:rPr>
        <w:tab/>
        <w:t>Aunado a lo anterior, p</w:t>
      </w:r>
      <w:r w:rsidRPr="001817D8">
        <w:rPr>
          <w:rFonts w:ascii="Verdana" w:eastAsia="Calibri" w:hAnsi="Verdana" w:cs="Arial"/>
          <w:color w:val="000000" w:themeColor="text1"/>
        </w:rPr>
        <w:t>ara determinar el alcance de esta nota, conviene acudir al numeral 4.1 del Documento Base, el cual, contiene las reglas referentes a la oferta económica.</w:t>
      </w:r>
      <w:r w:rsidRPr="001817D8">
        <w:rPr>
          <w:rFonts w:ascii="Verdana" w:hAnsi="Verdana" w:cs="Arial"/>
          <w:color w:val="000000" w:themeColor="text1"/>
        </w:rPr>
        <w:t xml:space="preserve"> </w:t>
      </w:r>
      <w:r w:rsidRPr="001817D8">
        <w:rPr>
          <w:rFonts w:ascii="Verdana" w:eastAsia="Calibri" w:hAnsi="Verdana" w:cs="Arial"/>
          <w:color w:val="000000" w:themeColor="text1"/>
        </w:rPr>
        <w:t>Una de estas reglas es la señalada en el numeral 4.1.2. del mismo documento, la cual, trata sobre las correcciones aritméticas de las propuestas económicas, de la siguiente manera:</w:t>
      </w:r>
    </w:p>
    <w:p w14:paraId="50BA1D83" w14:textId="77777777" w:rsidR="00636A67" w:rsidRPr="001817D8" w:rsidRDefault="00636A67" w:rsidP="00636A67">
      <w:pPr>
        <w:pStyle w:val="Encabezado"/>
        <w:spacing w:line="276" w:lineRule="auto"/>
        <w:ind w:left="720"/>
        <w:jc w:val="both"/>
        <w:rPr>
          <w:rFonts w:ascii="Verdana" w:hAnsi="Verdana" w:cs="Arial"/>
          <w:color w:val="000000" w:themeColor="text1"/>
          <w:u w:val="single"/>
        </w:rPr>
      </w:pPr>
    </w:p>
    <w:p w14:paraId="0F0B0003" w14:textId="77777777" w:rsidR="00636A67" w:rsidRPr="001817D8" w:rsidRDefault="00636A67" w:rsidP="00636A67">
      <w:pPr>
        <w:pStyle w:val="Ttulo3"/>
        <w:spacing w:before="0" w:after="0" w:line="240" w:lineRule="auto"/>
        <w:ind w:left="709" w:right="709"/>
        <w:jc w:val="both"/>
        <w:rPr>
          <w:rFonts w:ascii="Verdana" w:hAnsi="Verdana"/>
          <w:b/>
          <w:bCs/>
          <w:color w:val="000000" w:themeColor="text1"/>
          <w:sz w:val="21"/>
          <w:szCs w:val="21"/>
          <w:lang w:val="es-MX"/>
        </w:rPr>
      </w:pPr>
      <w:bookmarkStart w:id="2" w:name="_Toc67583329"/>
      <w:bookmarkStart w:id="3" w:name="_Toc78789471"/>
      <w:bookmarkStart w:id="4" w:name="_Toc107858560"/>
      <w:r>
        <w:rPr>
          <w:rFonts w:ascii="Verdana" w:hAnsi="Verdana"/>
          <w:b/>
          <w:bCs/>
          <w:color w:val="000000" w:themeColor="text1"/>
          <w:sz w:val="21"/>
          <w:szCs w:val="21"/>
          <w:lang w:val="es-MX"/>
        </w:rPr>
        <w:t>“</w:t>
      </w:r>
      <w:r w:rsidRPr="001817D8">
        <w:rPr>
          <w:rFonts w:ascii="Verdana" w:hAnsi="Verdana"/>
          <w:b/>
          <w:bCs/>
          <w:color w:val="000000" w:themeColor="text1"/>
          <w:sz w:val="21"/>
          <w:szCs w:val="21"/>
          <w:lang w:val="es-MX"/>
        </w:rPr>
        <w:t>4.1.2 CORRECCIONES ARITMÉTICAS</w:t>
      </w:r>
      <w:bookmarkEnd w:id="2"/>
      <w:bookmarkEnd w:id="3"/>
      <w:bookmarkEnd w:id="4"/>
      <w:r w:rsidRPr="001817D8">
        <w:rPr>
          <w:rFonts w:ascii="Verdana" w:hAnsi="Verdana"/>
          <w:b/>
          <w:bCs/>
          <w:color w:val="000000" w:themeColor="text1"/>
          <w:sz w:val="21"/>
          <w:szCs w:val="21"/>
          <w:lang w:val="es-MX"/>
        </w:rPr>
        <w:t xml:space="preserve"> </w:t>
      </w:r>
    </w:p>
    <w:p w14:paraId="340C2944" w14:textId="77777777" w:rsidR="00636A67" w:rsidRPr="001817D8" w:rsidRDefault="00636A67" w:rsidP="00636A67">
      <w:pPr>
        <w:spacing w:after="120" w:line="240" w:lineRule="auto"/>
        <w:ind w:left="709" w:right="709"/>
        <w:jc w:val="both"/>
        <w:textAlignment w:val="baseline"/>
        <w:rPr>
          <w:rFonts w:ascii="Verdana" w:hAnsi="Verdana" w:cs="Arial"/>
          <w:iCs/>
          <w:color w:val="000000" w:themeColor="text1"/>
          <w:sz w:val="21"/>
          <w:szCs w:val="21"/>
          <w:lang w:eastAsia="es-CO"/>
        </w:rPr>
      </w:pPr>
      <w:r w:rsidRPr="001817D8">
        <w:rPr>
          <w:rFonts w:ascii="Verdana" w:hAnsi="Verdana" w:cs="Arial"/>
          <w:iCs/>
          <w:color w:val="000000" w:themeColor="text1"/>
          <w:sz w:val="21"/>
          <w:szCs w:val="21"/>
          <w:lang w:eastAsia="es-CO"/>
        </w:rPr>
        <w:t>La Entidad solo efectuará correcciones aritméticas originadas por: </w:t>
      </w:r>
    </w:p>
    <w:p w14:paraId="5197D5B1" w14:textId="77777777" w:rsidR="00636A67" w:rsidRPr="001817D8" w:rsidRDefault="00636A67" w:rsidP="00636A67">
      <w:pPr>
        <w:spacing w:after="120" w:line="240" w:lineRule="auto"/>
        <w:ind w:left="992" w:right="709" w:hanging="283"/>
        <w:jc w:val="both"/>
        <w:textAlignment w:val="baseline"/>
        <w:rPr>
          <w:rFonts w:ascii="Verdana" w:hAnsi="Verdana" w:cs="Arial"/>
          <w:iCs/>
          <w:color w:val="000000" w:themeColor="text1"/>
          <w:sz w:val="21"/>
          <w:szCs w:val="21"/>
          <w:lang w:eastAsia="es-CO"/>
        </w:rPr>
      </w:pPr>
      <w:r w:rsidRPr="001817D8">
        <w:rPr>
          <w:rFonts w:ascii="Verdana" w:hAnsi="Verdana" w:cs="Arial"/>
          <w:iCs/>
          <w:color w:val="000000" w:themeColor="text1"/>
          <w:sz w:val="21"/>
          <w:szCs w:val="21"/>
          <w:lang w:eastAsia="es-CO"/>
        </w:rPr>
        <w:t>A. Las operaciones aritméticas a que haya lugar en la propuesta económica, cuando exista un error que surja de un cálculo meramente aritmético cuando la operación ha sido erróneamente realizada. </w:t>
      </w:r>
    </w:p>
    <w:p w14:paraId="48EDC5C9" w14:textId="77777777" w:rsidR="00636A67" w:rsidRPr="001817D8" w:rsidRDefault="00636A67" w:rsidP="00636A67">
      <w:pPr>
        <w:spacing w:after="120" w:line="240" w:lineRule="auto"/>
        <w:ind w:left="992" w:right="709" w:hanging="283"/>
        <w:jc w:val="both"/>
        <w:textAlignment w:val="baseline"/>
        <w:rPr>
          <w:rFonts w:ascii="Verdana" w:hAnsi="Verdana" w:cs="Arial"/>
          <w:iCs/>
          <w:color w:val="000000" w:themeColor="text1"/>
          <w:sz w:val="21"/>
          <w:szCs w:val="21"/>
          <w:lang w:eastAsia="es-CO"/>
        </w:rPr>
      </w:pPr>
      <w:r w:rsidRPr="001817D8">
        <w:rPr>
          <w:rFonts w:ascii="Verdana" w:hAnsi="Verdana" w:cs="Arial"/>
          <w:iCs/>
          <w:color w:val="000000" w:themeColor="text1"/>
          <w:sz w:val="21"/>
          <w:szCs w:val="21"/>
          <w:lang w:eastAsia="es-CO"/>
        </w:rPr>
        <w:t>B. El ajuste al peso ya sea por exceso o por defecto de los precios unitarios contenidos en la propuesta económica y del valor del IVA, así: cuando la fracción decimal del peso sea igual o superior a punto cinco (0.5) se aproximará por exceso al número entero siguiente del peso y cuando la fracción decimal del peso sea inferior a punto cinco (0.5) se aproximará por defecto al número entero. </w:t>
      </w:r>
    </w:p>
    <w:p w14:paraId="64C98BBB" w14:textId="77777777" w:rsidR="00636A67" w:rsidRPr="001817D8" w:rsidRDefault="00636A67" w:rsidP="00636A67">
      <w:pPr>
        <w:tabs>
          <w:tab w:val="left" w:pos="8647"/>
        </w:tabs>
        <w:spacing w:after="0" w:line="240" w:lineRule="auto"/>
        <w:ind w:left="709" w:right="709"/>
        <w:jc w:val="both"/>
        <w:textAlignment w:val="baseline"/>
        <w:rPr>
          <w:rFonts w:ascii="Verdana" w:hAnsi="Verdana" w:cs="Arial"/>
          <w:iCs/>
          <w:color w:val="000000" w:themeColor="text1"/>
          <w:sz w:val="21"/>
          <w:szCs w:val="21"/>
          <w:lang w:eastAsia="es-CO"/>
        </w:rPr>
      </w:pPr>
      <w:r>
        <w:rPr>
          <w:rFonts w:ascii="Verdana" w:hAnsi="Verdana" w:cs="Arial"/>
          <w:iCs/>
          <w:color w:val="000000" w:themeColor="text1"/>
          <w:sz w:val="21"/>
          <w:szCs w:val="21"/>
          <w:lang w:eastAsia="es-CO"/>
        </w:rPr>
        <w:t xml:space="preserve">    </w:t>
      </w:r>
      <w:r w:rsidRPr="001817D8">
        <w:rPr>
          <w:rFonts w:ascii="Verdana" w:hAnsi="Verdana" w:cs="Arial"/>
          <w:iCs/>
          <w:color w:val="000000" w:themeColor="text1"/>
          <w:sz w:val="21"/>
          <w:szCs w:val="21"/>
          <w:lang w:eastAsia="es-CO"/>
        </w:rPr>
        <w:t xml:space="preserve">La Entidad a partir del valor total corregido de las propuestas </w:t>
      </w:r>
      <w:r>
        <w:rPr>
          <w:rFonts w:ascii="Verdana" w:hAnsi="Verdana" w:cs="Arial"/>
          <w:iCs/>
          <w:color w:val="000000" w:themeColor="text1"/>
          <w:sz w:val="21"/>
          <w:szCs w:val="21"/>
          <w:lang w:eastAsia="es-CO"/>
        </w:rPr>
        <w:t xml:space="preserve">    </w:t>
      </w:r>
      <w:r w:rsidRPr="001817D8">
        <w:rPr>
          <w:rFonts w:ascii="Verdana" w:hAnsi="Verdana" w:cs="Arial"/>
          <w:iCs/>
          <w:color w:val="000000" w:themeColor="text1"/>
          <w:sz w:val="21"/>
          <w:szCs w:val="21"/>
          <w:lang w:eastAsia="es-CO"/>
        </w:rPr>
        <w:t>asignará el puntaje de conformidad con el proceso del numeral 4.1.4</w:t>
      </w:r>
      <w:r>
        <w:rPr>
          <w:rFonts w:ascii="Verdana" w:hAnsi="Verdana" w:cs="Arial"/>
          <w:iCs/>
          <w:color w:val="000000" w:themeColor="text1"/>
          <w:sz w:val="21"/>
          <w:szCs w:val="21"/>
          <w:lang w:eastAsia="es-CO"/>
        </w:rPr>
        <w:t>”</w:t>
      </w:r>
      <w:r w:rsidRPr="001817D8">
        <w:rPr>
          <w:rFonts w:ascii="Verdana" w:hAnsi="Verdana" w:cs="Arial"/>
          <w:iCs/>
          <w:color w:val="000000" w:themeColor="text1"/>
          <w:sz w:val="21"/>
          <w:szCs w:val="21"/>
          <w:lang w:eastAsia="es-CO"/>
        </w:rPr>
        <w:t>. </w:t>
      </w:r>
    </w:p>
    <w:p w14:paraId="23026B5D" w14:textId="77777777" w:rsidR="00636A67" w:rsidRPr="001817D8" w:rsidRDefault="00636A67" w:rsidP="00636A67">
      <w:pPr>
        <w:spacing w:after="0" w:line="276" w:lineRule="auto"/>
        <w:ind w:left="709" w:right="709"/>
        <w:jc w:val="both"/>
        <w:rPr>
          <w:rFonts w:ascii="Verdana" w:hAnsi="Verdana"/>
        </w:rPr>
      </w:pPr>
    </w:p>
    <w:p w14:paraId="2EDD8DE0" w14:textId="77777777" w:rsidR="00636A67" w:rsidRPr="001817D8" w:rsidRDefault="00636A67" w:rsidP="00636A67">
      <w:pPr>
        <w:spacing w:after="120" w:line="276" w:lineRule="auto"/>
        <w:ind w:firstLine="709"/>
        <w:jc w:val="both"/>
        <w:rPr>
          <w:rFonts w:ascii="Verdana" w:hAnsi="Verdana" w:cs="Arial"/>
        </w:rPr>
      </w:pPr>
      <w:bookmarkStart w:id="5" w:name="_Hlk57053692"/>
      <w:r w:rsidRPr="001817D8">
        <w:rPr>
          <w:rFonts w:ascii="Verdana" w:hAnsi="Verdana" w:cs="Arial"/>
        </w:rPr>
        <w:lastRenderedPageBreak/>
        <w:t xml:space="preserve">De acuerdo con la regla del literal B es posible concluir que el ajuste al peso de que trata la Nota 2 del Formulario 1 da lugar a correcciones aritméticas de la oferta económica, y este ajuste recae sobre los precios unitarios, pues, la regla señala: </w:t>
      </w:r>
      <w:r>
        <w:rPr>
          <w:rFonts w:ascii="Verdana" w:hAnsi="Verdana" w:cs="Arial"/>
        </w:rPr>
        <w:t>“</w:t>
      </w:r>
      <w:r w:rsidRPr="001817D8">
        <w:rPr>
          <w:rFonts w:ascii="Verdana" w:hAnsi="Verdana" w:cs="Arial"/>
        </w:rPr>
        <w:t xml:space="preserve">El ajuste al peso ya sea por exceso o por defecto de los </w:t>
      </w:r>
      <w:r w:rsidRPr="001817D8">
        <w:rPr>
          <w:rFonts w:ascii="Verdana" w:hAnsi="Verdana" w:cs="Arial"/>
          <w:i/>
        </w:rPr>
        <w:t>precios unitarios</w:t>
      </w:r>
      <w:r w:rsidRPr="001817D8">
        <w:rPr>
          <w:rFonts w:ascii="Verdana" w:hAnsi="Verdana" w:cs="Arial"/>
        </w:rPr>
        <w:t xml:space="preserve"> contenidos en la propuesta económica</w:t>
      </w:r>
      <w:r>
        <w:rPr>
          <w:rFonts w:ascii="Verdana" w:hAnsi="Verdana" w:cs="Arial"/>
        </w:rPr>
        <w:t>”.</w:t>
      </w:r>
    </w:p>
    <w:p w14:paraId="0498A1F8" w14:textId="77777777" w:rsidR="00636A67" w:rsidRPr="001817D8" w:rsidRDefault="00636A67" w:rsidP="00636A67">
      <w:pPr>
        <w:spacing w:after="120" w:line="276" w:lineRule="auto"/>
        <w:ind w:firstLine="708"/>
        <w:jc w:val="both"/>
        <w:rPr>
          <w:rFonts w:ascii="Verdana" w:hAnsi="Verdana" w:cs="Arial"/>
          <w:color w:val="000000" w:themeColor="text1"/>
        </w:rPr>
      </w:pPr>
      <w:r w:rsidRPr="001817D8">
        <w:rPr>
          <w:rFonts w:ascii="Verdana" w:eastAsia="Arial" w:hAnsi="Verdana" w:cs="Arial"/>
        </w:rPr>
        <w:t>Cabe resaltar que la finalidad de la corrección aritmética es determinar el valor real de la oferta económica</w:t>
      </w:r>
      <w:r w:rsidRPr="001817D8">
        <w:rPr>
          <w:rFonts w:ascii="Verdana" w:hAnsi="Verdana" w:cs="Arial"/>
          <w:color w:val="000000" w:themeColor="text1"/>
        </w:rPr>
        <w:t xml:space="preserve">, en aras de garantizar los principios de igualdad y selección objetiva, razón por la cual, de acuerdo con lo señalado en el inciso final del numeral 4.1.2 del Documento base, el efecto de la corrección por ajuste al peso o de la corrección de errores aritméticos es que el valor total corregido será el que se tendrá en cuenta para la asignación de puntaje.  Esto es congruente con el numeral 4.1 que señala que para </w:t>
      </w:r>
      <w:r w:rsidRPr="001817D8">
        <w:rPr>
          <w:rFonts w:ascii="Verdana" w:hAnsi="Verdana" w:cs="Arial"/>
        </w:rPr>
        <w:t xml:space="preserve">calificar el factor de la oferta económica se tendrá en cuenta el valor total indicado en la propuesta económica o </w:t>
      </w:r>
      <w:r w:rsidRPr="001817D8">
        <w:rPr>
          <w:rFonts w:ascii="Verdana" w:hAnsi="Verdana" w:cs="Arial"/>
          <w:i/>
        </w:rPr>
        <w:t>el obtenido de la corrección aritmética.</w:t>
      </w:r>
      <w:r w:rsidRPr="001817D8">
        <w:rPr>
          <w:rFonts w:ascii="Verdana" w:hAnsi="Verdana" w:cs="Arial"/>
        </w:rPr>
        <w:t xml:space="preserve"> </w:t>
      </w:r>
    </w:p>
    <w:bookmarkEnd w:id="5"/>
    <w:p w14:paraId="6E8A6788" w14:textId="77777777" w:rsidR="00636A67" w:rsidRPr="001817D8" w:rsidRDefault="00636A67" w:rsidP="00636A67">
      <w:pPr>
        <w:spacing w:after="0" w:line="276" w:lineRule="auto"/>
        <w:ind w:firstLine="708"/>
        <w:jc w:val="both"/>
        <w:rPr>
          <w:rFonts w:ascii="Verdana" w:hAnsi="Verdana" w:cs="Arial"/>
        </w:rPr>
      </w:pPr>
      <w:r w:rsidRPr="001817D8">
        <w:rPr>
          <w:rFonts w:ascii="Verdana" w:hAnsi="Verdana" w:cs="Arial"/>
        </w:rPr>
        <w:t>De igual modo</w:t>
      </w:r>
      <w:r w:rsidRPr="001817D8">
        <w:rPr>
          <w:rFonts w:ascii="Verdana" w:hAnsi="Verdana" w:cs="Arial"/>
          <w:color w:val="000000" w:themeColor="text1"/>
        </w:rPr>
        <w:t xml:space="preserve">, conviene tener en cuenta que el literal A del numeral 4.1.2. del Documento Base también contempla </w:t>
      </w:r>
      <w:r w:rsidRPr="001817D8">
        <w:rPr>
          <w:rFonts w:ascii="Verdana" w:hAnsi="Verdana" w:cs="Arial"/>
          <w:i/>
          <w:color w:val="000000" w:themeColor="text1"/>
        </w:rPr>
        <w:t xml:space="preserve">todas </w:t>
      </w:r>
      <w:r w:rsidRPr="001817D8">
        <w:rPr>
          <w:rFonts w:ascii="Verdana" w:hAnsi="Verdana" w:cs="Arial"/>
          <w:color w:val="000000" w:themeColor="text1"/>
        </w:rPr>
        <w:t xml:space="preserve">las operaciones aritméticas a que haya lugar en la propuesta económica ante un error que surja de un cálculo meramente aritmético cuando la operación ha sido erróneamente realizada, por lo que es posible que tanto el valor total como los precios unitarios sean objeto de corrección aritmética. </w:t>
      </w:r>
      <w:r w:rsidRPr="001817D8">
        <w:rPr>
          <w:rFonts w:ascii="Verdana" w:hAnsi="Verdana" w:cs="Arial"/>
        </w:rPr>
        <w:t xml:space="preserve">Por lo tanto, la entidad durante la etapa de evaluación de las ofertas económicas de los proponentes habilitados debe verificar, con base en la información registrada en el </w:t>
      </w:r>
      <w:r>
        <w:rPr>
          <w:rFonts w:ascii="Verdana" w:hAnsi="Verdana" w:cs="Arial"/>
        </w:rPr>
        <w:t>“</w:t>
      </w:r>
      <w:r w:rsidRPr="001817D8">
        <w:rPr>
          <w:rFonts w:ascii="Verdana" w:hAnsi="Verdana" w:cs="Arial"/>
        </w:rPr>
        <w:t>Formulario 1 – Formulario de Presupuesto Oficial</w:t>
      </w:r>
      <w:r>
        <w:rPr>
          <w:rFonts w:ascii="Verdana" w:hAnsi="Verdana" w:cs="Arial"/>
        </w:rPr>
        <w:t>”</w:t>
      </w:r>
      <w:r w:rsidRPr="001817D8">
        <w:rPr>
          <w:rFonts w:ascii="Verdana" w:hAnsi="Verdana" w:cs="Arial"/>
        </w:rPr>
        <w:t xml:space="preserve">, cada una de las operaciones aritméticas que permitan verificar el valor real ofertado por el proponente.  La entidad debe realizar la verificación de los valores ofertados y la corrección aritmética, cuando esta se requiera, para cada una de las cifras registradas en el </w:t>
      </w:r>
      <w:r>
        <w:rPr>
          <w:rFonts w:ascii="Verdana" w:hAnsi="Verdana" w:cs="Arial"/>
        </w:rPr>
        <w:t>“</w:t>
      </w:r>
      <w:r w:rsidRPr="001817D8">
        <w:rPr>
          <w:rFonts w:ascii="Verdana" w:hAnsi="Verdana" w:cs="Arial"/>
        </w:rPr>
        <w:t>Formulario 1 – Formulario de Presupuesto Oficial</w:t>
      </w:r>
      <w:r>
        <w:rPr>
          <w:rFonts w:ascii="Verdana" w:hAnsi="Verdana" w:cs="Arial"/>
        </w:rPr>
        <w:t>”</w:t>
      </w:r>
      <w:r w:rsidRPr="001817D8">
        <w:rPr>
          <w:rFonts w:ascii="Verdana" w:hAnsi="Verdana" w:cs="Arial"/>
        </w:rPr>
        <w:t xml:space="preserve"> que tengan operaciones aritméticas y previo a seleccionar y aplicar el método de ponderación que corresponda de acuerdo con el numeral 4.1.4 del Documento Base. </w:t>
      </w:r>
    </w:p>
    <w:bookmarkEnd w:id="1"/>
    <w:p w14:paraId="4EB2AE56" w14:textId="77777777" w:rsidR="00636A67" w:rsidRPr="00F14F70" w:rsidRDefault="00636A67" w:rsidP="00636A67">
      <w:pPr>
        <w:spacing w:after="0"/>
        <w:jc w:val="both"/>
        <w:rPr>
          <w:rFonts w:ascii="Verdana" w:eastAsia="Calibri" w:hAnsi="Verdana" w:cs="Times New Roman"/>
        </w:rPr>
      </w:pPr>
    </w:p>
    <w:p w14:paraId="37D702AB" w14:textId="77777777" w:rsidR="00636A67" w:rsidRPr="00F14F70" w:rsidRDefault="00636A67" w:rsidP="00636A67">
      <w:pPr>
        <w:tabs>
          <w:tab w:val="left" w:pos="142"/>
          <w:tab w:val="left" w:pos="284"/>
        </w:tabs>
        <w:spacing w:after="0" w:line="276" w:lineRule="auto"/>
        <w:jc w:val="both"/>
        <w:rPr>
          <w:rFonts w:ascii="Verdana" w:eastAsia="Century Gothic" w:hAnsi="Verdana" w:cs="Century Gothic"/>
          <w:b/>
          <w:bCs/>
          <w:lang w:val="es-ES_tradnl"/>
        </w:rPr>
      </w:pPr>
      <w:r w:rsidRPr="00F14F70">
        <w:rPr>
          <w:rFonts w:ascii="Verdana" w:eastAsia="Century Gothic" w:hAnsi="Verdana" w:cs="Century Gothic"/>
          <w:b/>
          <w:bCs/>
          <w:lang w:val="es-ES_tradnl"/>
        </w:rPr>
        <w:t>4. Referencias normativas, jurisprudenciales y otras fuentes:</w:t>
      </w:r>
    </w:p>
    <w:p w14:paraId="4E8E2367" w14:textId="77777777" w:rsidR="00636A67" w:rsidRPr="00F14F70" w:rsidRDefault="00636A67" w:rsidP="00636A67">
      <w:pPr>
        <w:spacing w:after="0"/>
        <w:ind w:left="-15840"/>
        <w:jc w:val="both"/>
        <w:rPr>
          <w:rFonts w:ascii="Verdana" w:eastAsia="Calibri" w:hAnsi="Verdana" w:cs="Arial"/>
          <w:b/>
          <w:bCs/>
        </w:rPr>
      </w:pPr>
      <w:r w:rsidRPr="00F14F7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36A67" w:rsidRPr="001817D8" w14:paraId="4C16F56C" w14:textId="77777777" w:rsidTr="00A16055">
        <w:trPr>
          <w:trHeight w:val="870"/>
        </w:trPr>
        <w:tc>
          <w:tcPr>
            <w:tcW w:w="8647" w:type="dxa"/>
            <w:tcBorders>
              <w:top w:val="dotted" w:sz="4" w:space="0" w:color="auto"/>
              <w:left w:val="dotted" w:sz="4" w:space="0" w:color="auto"/>
              <w:bottom w:val="dotted" w:sz="4" w:space="0" w:color="auto"/>
              <w:right w:val="dotted" w:sz="4" w:space="0" w:color="auto"/>
            </w:tcBorders>
          </w:tcPr>
          <w:p w14:paraId="3DF0F29F" w14:textId="77777777" w:rsidR="00636A67" w:rsidRPr="00F14F70" w:rsidRDefault="00636A67" w:rsidP="00A16055">
            <w:pPr>
              <w:ind w:left="720"/>
              <w:contextualSpacing/>
              <w:jc w:val="both"/>
              <w:rPr>
                <w:rFonts w:ascii="Verdana" w:eastAsia="Calibri" w:hAnsi="Verdana" w:cs="Arial"/>
                <w:bCs/>
              </w:rPr>
            </w:pPr>
          </w:p>
          <w:p w14:paraId="5F988D2F" w14:textId="77777777" w:rsidR="00636A67" w:rsidRPr="00F14F70" w:rsidRDefault="00636A67" w:rsidP="00636A67">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F14F70">
              <w:rPr>
                <w:rFonts w:ascii="Verdana" w:eastAsia="Calibri" w:hAnsi="Verdana" w:cs="Arial"/>
                <w:lang w:val="es-ES_tradnl"/>
              </w:rPr>
              <w:t xml:space="preserve">Ley 2022 de 2020, artículo 1. </w:t>
            </w:r>
          </w:p>
          <w:p w14:paraId="7A6D3297" w14:textId="77777777" w:rsidR="00636A67" w:rsidRPr="00F14F70" w:rsidRDefault="00636A67" w:rsidP="00636A67">
            <w:pPr>
              <w:widowControl w:val="0"/>
              <w:numPr>
                <w:ilvl w:val="0"/>
                <w:numId w:val="16"/>
              </w:numPr>
              <w:autoSpaceDE w:val="0"/>
              <w:autoSpaceDN w:val="0"/>
              <w:spacing w:line="276" w:lineRule="auto"/>
              <w:jc w:val="both"/>
              <w:rPr>
                <w:rFonts w:ascii="Verdana" w:eastAsia="Calibri" w:hAnsi="Verdana" w:cs="Arial"/>
              </w:rPr>
            </w:pPr>
            <w:r w:rsidRPr="00F14F70">
              <w:rPr>
                <w:rFonts w:ascii="Verdana" w:eastAsia="Calibri" w:hAnsi="Verdana" w:cs="Arial"/>
              </w:rPr>
              <w:t>Ley 1150 de 2007, artículo 2.</w:t>
            </w:r>
          </w:p>
          <w:p w14:paraId="4A3AC7FC" w14:textId="77777777" w:rsidR="00636A67" w:rsidRPr="001817D8" w:rsidRDefault="00636A67" w:rsidP="00636A67">
            <w:pPr>
              <w:widowControl w:val="0"/>
              <w:numPr>
                <w:ilvl w:val="0"/>
                <w:numId w:val="16"/>
              </w:numPr>
              <w:autoSpaceDE w:val="0"/>
              <w:autoSpaceDN w:val="0"/>
              <w:spacing w:line="276" w:lineRule="auto"/>
              <w:contextualSpacing/>
              <w:jc w:val="both"/>
              <w:rPr>
                <w:rFonts w:ascii="Verdana" w:eastAsia="Calibri" w:hAnsi="Verdana" w:cs="Arial"/>
              </w:rPr>
            </w:pPr>
            <w:r w:rsidRPr="00F14F70">
              <w:rPr>
                <w:rFonts w:ascii="Verdana" w:eastAsia="Calibri" w:hAnsi="Verdana" w:cs="Arial"/>
                <w:lang w:val="es-ES_tradnl"/>
              </w:rPr>
              <w:lastRenderedPageBreak/>
              <w:t xml:space="preserve">Documentos Tipo. Disponibles en: </w:t>
            </w:r>
            <w:hyperlink r:id="rId11" w:history="1">
              <w:r w:rsidRPr="00F14F70">
                <w:rPr>
                  <w:rFonts w:ascii="Verdana" w:eastAsia="Calibri" w:hAnsi="Verdana" w:cs="Arial"/>
                  <w:color w:val="0000FF"/>
                  <w:u w:val="single"/>
                  <w:lang w:val="es-ES_tradnl"/>
                </w:rPr>
                <w:t>https://www.colombiacompra.gov.co/documentos-tipo/documentos-tipo</w:t>
              </w:r>
            </w:hyperlink>
            <w:r w:rsidRPr="00F14F70">
              <w:rPr>
                <w:rFonts w:ascii="Verdana" w:eastAsia="Calibri" w:hAnsi="Verdana" w:cs="Arial"/>
                <w:lang w:val="es-ES_tradnl"/>
              </w:rPr>
              <w:t>.</w:t>
            </w:r>
          </w:p>
        </w:tc>
      </w:tr>
    </w:tbl>
    <w:p w14:paraId="27D21923" w14:textId="77777777" w:rsidR="00636A67" w:rsidRPr="00F14F70" w:rsidRDefault="00636A67" w:rsidP="00636A67">
      <w:pPr>
        <w:tabs>
          <w:tab w:val="left" w:pos="142"/>
          <w:tab w:val="left" w:pos="284"/>
        </w:tabs>
        <w:spacing w:after="0" w:line="276" w:lineRule="auto"/>
        <w:jc w:val="both"/>
        <w:rPr>
          <w:rFonts w:ascii="Verdana" w:eastAsia="Calibri" w:hAnsi="Verdana" w:cs="Arial"/>
        </w:rPr>
      </w:pPr>
    </w:p>
    <w:p w14:paraId="421B1294" w14:textId="77777777" w:rsidR="00636A67" w:rsidRPr="00F14F70" w:rsidRDefault="00636A67" w:rsidP="00636A67">
      <w:pPr>
        <w:tabs>
          <w:tab w:val="left" w:pos="142"/>
          <w:tab w:val="left" w:pos="284"/>
        </w:tabs>
        <w:spacing w:after="0" w:line="276" w:lineRule="auto"/>
        <w:jc w:val="both"/>
        <w:rPr>
          <w:rFonts w:ascii="Verdana" w:eastAsia="Century Gothic" w:hAnsi="Verdana" w:cs="Century Gothic"/>
          <w:b/>
          <w:bCs/>
          <w:lang w:val="es-ES"/>
        </w:rPr>
      </w:pPr>
      <w:r w:rsidRPr="00F14F70">
        <w:rPr>
          <w:rFonts w:ascii="Verdana" w:eastAsia="Calibri" w:hAnsi="Verdana" w:cs="Arial"/>
          <w:b/>
          <w:bCs/>
        </w:rPr>
        <w:t>5</w:t>
      </w:r>
      <w:r w:rsidRPr="00F14F70">
        <w:rPr>
          <w:rFonts w:ascii="Verdana" w:eastAsia="Calibri" w:hAnsi="Verdana" w:cs="Arial"/>
        </w:rPr>
        <w:t>.</w:t>
      </w:r>
      <w:r w:rsidRPr="00F14F70">
        <w:rPr>
          <w:rFonts w:ascii="Verdana" w:eastAsia="Century Gothic" w:hAnsi="Verdana" w:cs="Century Gothic"/>
          <w:b/>
          <w:bCs/>
          <w:lang w:val="es-ES"/>
        </w:rPr>
        <w:t>Doctrina de la Agencia Nacional de Contratación Pública:</w:t>
      </w:r>
    </w:p>
    <w:p w14:paraId="23A4A0D1" w14:textId="77777777" w:rsidR="00636A67" w:rsidRPr="00F14F70" w:rsidRDefault="00636A67" w:rsidP="00636A67">
      <w:pPr>
        <w:widowControl w:val="0"/>
        <w:autoSpaceDE w:val="0"/>
        <w:autoSpaceDN w:val="0"/>
        <w:spacing w:after="0" w:line="276" w:lineRule="auto"/>
        <w:jc w:val="both"/>
        <w:rPr>
          <w:rFonts w:ascii="Verdana" w:eastAsia="Calibri" w:hAnsi="Verdana" w:cs="Arial"/>
        </w:rPr>
      </w:pPr>
    </w:p>
    <w:p w14:paraId="7DBA3EB9" w14:textId="77777777" w:rsidR="00636A67" w:rsidRPr="00F14F70" w:rsidRDefault="00636A67" w:rsidP="00636A67">
      <w:pPr>
        <w:widowControl w:val="0"/>
        <w:autoSpaceDE w:val="0"/>
        <w:autoSpaceDN w:val="0"/>
        <w:spacing w:after="0" w:line="276" w:lineRule="auto"/>
        <w:jc w:val="both"/>
        <w:rPr>
          <w:rFonts w:ascii="Verdana" w:eastAsia="Times New Roman" w:hAnsi="Verdana" w:cs="Arial"/>
          <w:shd w:val="clear" w:color="auto" w:fill="FFFFFF"/>
          <w:lang w:val="es-ES_tradnl"/>
        </w:rPr>
      </w:pPr>
      <w:r w:rsidRPr="00F14F70">
        <w:rPr>
          <w:rFonts w:ascii="Verdana" w:eastAsia="Calibri" w:hAnsi="Verdana" w:cs="Arial"/>
          <w:shd w:val="clear" w:color="auto" w:fill="FFFFFF"/>
          <w:lang w:val="es-ES_tradnl"/>
        </w:rPr>
        <w:t>La Agencia Nacional de Contratación Pública – Colombia Compra Eficiente se</w:t>
      </w:r>
      <w:r w:rsidRPr="001817D8">
        <w:rPr>
          <w:rFonts w:ascii="Verdana" w:eastAsia="Aptos" w:hAnsi="Verdana" w:cs="Times New Roman"/>
        </w:rPr>
        <w:t xml:space="preserve"> </w:t>
      </w:r>
      <w:r w:rsidRPr="00F14F70">
        <w:rPr>
          <w:rFonts w:ascii="Verdana" w:eastAsia="Calibri" w:hAnsi="Verdana" w:cs="Arial"/>
          <w:shd w:val="clear" w:color="auto" w:fill="FFFFFF"/>
          <w:lang w:val="es-ES_tradnl"/>
        </w:rPr>
        <w:t xml:space="preserve">pronunció </w:t>
      </w:r>
      <w:r>
        <w:rPr>
          <w:rFonts w:ascii="Verdana" w:eastAsia="Calibri" w:hAnsi="Verdana" w:cs="Arial"/>
          <w:shd w:val="clear" w:color="auto" w:fill="FFFFFF"/>
          <w:lang w:val="es-ES_tradnl"/>
        </w:rPr>
        <w:t xml:space="preserve">sobre el alcance de la Nota 2 contenida en el Formulario 1 – Formulario del Presupuesto oficial, de los documentos tipo en los siguientes conceptos: C-113 del 22 de febrero de 2022 y C-123 del 22 de marzo de 2023, entre otros. </w:t>
      </w:r>
    </w:p>
    <w:p w14:paraId="6D054660" w14:textId="77777777" w:rsidR="00636A67" w:rsidRPr="00F14F70" w:rsidRDefault="00636A67" w:rsidP="00636A67">
      <w:pPr>
        <w:widowControl w:val="0"/>
        <w:autoSpaceDE w:val="0"/>
        <w:autoSpaceDN w:val="0"/>
        <w:spacing w:after="0" w:line="276" w:lineRule="auto"/>
        <w:jc w:val="both"/>
        <w:rPr>
          <w:rFonts w:ascii="Verdana" w:eastAsia="Times New Roman" w:hAnsi="Verdana" w:cs="Arial"/>
          <w:shd w:val="clear" w:color="auto" w:fill="FFFFFF"/>
          <w:lang w:val="es-ES_tradnl"/>
        </w:rPr>
      </w:pPr>
    </w:p>
    <w:p w14:paraId="7E69C4C9" w14:textId="77777777" w:rsidR="00636A67" w:rsidRPr="00F14F70" w:rsidRDefault="00636A67" w:rsidP="00636A67">
      <w:pPr>
        <w:widowControl w:val="0"/>
        <w:autoSpaceDE w:val="0"/>
        <w:autoSpaceDN w:val="0"/>
        <w:spacing w:after="0" w:line="276" w:lineRule="auto"/>
        <w:jc w:val="both"/>
        <w:rPr>
          <w:rFonts w:ascii="Verdana" w:eastAsia="Times New Roman" w:hAnsi="Verdana" w:cs="Arial"/>
          <w:shd w:val="clear" w:color="auto" w:fill="FFFFFF"/>
          <w:lang w:val="es-ES"/>
        </w:rPr>
      </w:pPr>
      <w:r w:rsidRPr="00F14F70">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F14F70">
          <w:rPr>
            <w:rFonts w:ascii="Verdana" w:eastAsia="Calibri" w:hAnsi="Verdana" w:cs="Arial"/>
            <w:color w:val="0000FF"/>
            <w:kern w:val="2"/>
            <w:u w:val="single"/>
            <w:shd w:val="clear" w:color="auto" w:fill="FFFFFF"/>
            <w14:ligatures w14:val="standardContextual"/>
          </w:rPr>
          <w:t>https://relatoria.colombiacompra.gov.co/</w:t>
        </w:r>
      </w:hyperlink>
      <w:r w:rsidRPr="00F14F70">
        <w:rPr>
          <w:rFonts w:ascii="Verdana" w:eastAsia="Calibri" w:hAnsi="Verdana" w:cs="Arial"/>
          <w:color w:val="0000FF"/>
          <w:kern w:val="2"/>
          <w:u w:val="single"/>
          <w:shd w:val="clear" w:color="auto" w:fill="FFFFFF"/>
          <w14:ligatures w14:val="standardContextual"/>
        </w:rPr>
        <w:t> .</w:t>
      </w:r>
    </w:p>
    <w:p w14:paraId="3AAF5339" w14:textId="77777777" w:rsidR="00636A67" w:rsidRPr="00F14F70" w:rsidRDefault="00636A67" w:rsidP="00636A67">
      <w:pPr>
        <w:spacing w:after="0" w:line="240" w:lineRule="auto"/>
        <w:jc w:val="both"/>
        <w:rPr>
          <w:rFonts w:ascii="Verdana" w:eastAsia="Calibri" w:hAnsi="Verdana" w:cs="Arial"/>
          <w:color w:val="000000"/>
          <w:shd w:val="clear" w:color="auto" w:fill="FFFFFF"/>
        </w:rPr>
      </w:pPr>
    </w:p>
    <w:bookmarkEnd w:id="0"/>
    <w:p w14:paraId="73188373" w14:textId="77777777" w:rsidR="00636A67" w:rsidRPr="00F14F70" w:rsidRDefault="00636A67" w:rsidP="00636A67">
      <w:pPr>
        <w:spacing w:after="0" w:line="240" w:lineRule="auto"/>
        <w:jc w:val="both"/>
        <w:rPr>
          <w:rFonts w:ascii="Verdana" w:eastAsia="Calibri" w:hAnsi="Verdana" w:cs="Arial"/>
          <w:color w:val="000000"/>
          <w:kern w:val="2"/>
          <w:shd w:val="clear" w:color="auto" w:fill="FFFFFF"/>
          <w14:ligatures w14:val="standardContextual"/>
        </w:rPr>
      </w:pPr>
      <w:r w:rsidRPr="00F14F70">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F14F70">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F14F70">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14F70">
        <w:rPr>
          <w:rFonts w:ascii="Verdana" w:eastAsia="Calibri" w:hAnsi="Verdana" w:cs="Arial"/>
          <w:color w:val="000000"/>
          <w:kern w:val="2"/>
          <w:shd w:val="clear" w:color="auto" w:fill="FFFFFF"/>
          <w14:ligatures w14:val="standardContextual"/>
        </w:rPr>
        <w:t>Wayúu</w:t>
      </w:r>
      <w:proofErr w:type="spellEnd"/>
      <w:r w:rsidRPr="00F14F70">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F14F70">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F14F70">
        <w:rPr>
          <w:rFonts w:ascii="Verdana" w:eastAsia="Calibri" w:hAnsi="Verdana" w:cs="Arial"/>
          <w:color w:val="000000"/>
          <w:kern w:val="2"/>
          <w:u w:val="single"/>
          <w:shd w:val="clear" w:color="auto" w:fill="FFFFFF"/>
          <w14:ligatures w14:val="standardContextual"/>
        </w:rPr>
        <w:t>"</w:t>
      </w:r>
    </w:p>
    <w:p w14:paraId="0E77D980" w14:textId="77777777" w:rsidR="00636A67" w:rsidRPr="00F14F70" w:rsidRDefault="00636A67" w:rsidP="00636A67">
      <w:pPr>
        <w:spacing w:after="0" w:line="278" w:lineRule="auto"/>
        <w:jc w:val="both"/>
        <w:rPr>
          <w:rFonts w:ascii="Verdana" w:eastAsia="Aptos" w:hAnsi="Verdana" w:cs="Times New Roman"/>
          <w:color w:val="212121"/>
          <w:kern w:val="2"/>
          <w:sz w:val="24"/>
          <w:szCs w:val="24"/>
          <w14:ligatures w14:val="standardContextual"/>
        </w:rPr>
      </w:pPr>
    </w:p>
    <w:p w14:paraId="26DFCD9B" w14:textId="77777777" w:rsidR="00636A67" w:rsidRPr="00F14F70" w:rsidRDefault="00636A67" w:rsidP="00636A67">
      <w:pPr>
        <w:spacing w:after="0" w:line="240" w:lineRule="auto"/>
        <w:jc w:val="both"/>
        <w:rPr>
          <w:rFonts w:ascii="Verdana" w:eastAsia="Calibri" w:hAnsi="Verdana" w:cs="Times New Roman"/>
          <w:kern w:val="2"/>
          <w14:ligatures w14:val="standardContextual"/>
        </w:rPr>
      </w:pPr>
      <w:r w:rsidRPr="00F14F70">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72DF7F6F" w14:textId="77777777" w:rsidR="00636A67" w:rsidRPr="00F14F70" w:rsidRDefault="00636A67" w:rsidP="00636A67">
      <w:pPr>
        <w:spacing w:after="0" w:line="240" w:lineRule="auto"/>
        <w:jc w:val="both"/>
        <w:rPr>
          <w:rFonts w:ascii="Verdana" w:eastAsia="Aptos" w:hAnsi="Verdana" w:cs="Times New Roman"/>
          <w:kern w:val="2"/>
          <w14:ligatures w14:val="standardContextual"/>
        </w:rPr>
      </w:pPr>
    </w:p>
    <w:p w14:paraId="0328B426" w14:textId="77777777" w:rsidR="00636A67" w:rsidRPr="00F14F70" w:rsidRDefault="00636A67" w:rsidP="00636A67">
      <w:pPr>
        <w:spacing w:after="0" w:line="240" w:lineRule="auto"/>
        <w:jc w:val="both"/>
        <w:rPr>
          <w:rFonts w:ascii="Verdana" w:eastAsia="Aptos" w:hAnsi="Verdana" w:cs="Times New Roman"/>
          <w:kern w:val="2"/>
          <w14:ligatures w14:val="standardContextual"/>
        </w:rPr>
      </w:pPr>
      <w:r w:rsidRPr="00F14F70">
        <w:rPr>
          <w:rFonts w:ascii="Verdana" w:eastAsia="Aptos" w:hAnsi="Verdana" w:cs="Times New Roman"/>
          <w:kern w:val="2"/>
          <w14:ligatures w14:val="standardContextual"/>
        </w:rPr>
        <w:t xml:space="preserve">Twitter: </w:t>
      </w:r>
      <w:r w:rsidRPr="00F14F70">
        <w:rPr>
          <w:rFonts w:ascii="Verdana" w:eastAsia="Calibri" w:hAnsi="Verdana" w:cs="Times New Roman"/>
          <w:color w:val="156082"/>
          <w:kern w:val="2"/>
          <w:u w:val="single"/>
          <w14:ligatures w14:val="standardContextual"/>
        </w:rPr>
        <w:t>@colombiacompra</w:t>
      </w:r>
      <w:r w:rsidRPr="00F14F70">
        <w:rPr>
          <w:rFonts w:ascii="Verdana" w:eastAsia="Calibri" w:hAnsi="Verdana" w:cs="Times New Roman"/>
          <w:color w:val="156082"/>
          <w:kern w:val="2"/>
          <w14:ligatures w14:val="standardContextual"/>
        </w:rPr>
        <w:t xml:space="preserve"> </w:t>
      </w:r>
    </w:p>
    <w:p w14:paraId="4B93BBCB" w14:textId="77777777" w:rsidR="00636A67" w:rsidRPr="00F14F70" w:rsidRDefault="00636A67" w:rsidP="00636A67">
      <w:pPr>
        <w:spacing w:after="0" w:line="240" w:lineRule="auto"/>
        <w:jc w:val="both"/>
        <w:rPr>
          <w:rFonts w:ascii="Verdana" w:eastAsia="Aptos" w:hAnsi="Verdana" w:cs="Times New Roman"/>
          <w:kern w:val="2"/>
          <w14:ligatures w14:val="standardContextual"/>
        </w:rPr>
      </w:pPr>
      <w:r w:rsidRPr="00F14F70">
        <w:rPr>
          <w:rFonts w:ascii="Verdana" w:eastAsia="Aptos" w:hAnsi="Verdana" w:cs="Times New Roman"/>
          <w:kern w:val="2"/>
          <w14:ligatures w14:val="standardContextual"/>
        </w:rPr>
        <w:t xml:space="preserve">Facebook: </w:t>
      </w:r>
      <w:proofErr w:type="spellStart"/>
      <w:r w:rsidRPr="00F14F70">
        <w:rPr>
          <w:rFonts w:ascii="Verdana" w:eastAsia="Calibri" w:hAnsi="Verdana" w:cs="Times New Roman"/>
          <w:color w:val="156082"/>
          <w:kern w:val="2"/>
          <w:u w:val="single"/>
          <w14:ligatures w14:val="standardContextual"/>
        </w:rPr>
        <w:t>ColombiaCompraEficiente</w:t>
      </w:r>
      <w:proofErr w:type="spellEnd"/>
    </w:p>
    <w:p w14:paraId="7D98381B" w14:textId="77777777" w:rsidR="00636A67" w:rsidRPr="00F14F70" w:rsidRDefault="00636A67" w:rsidP="00636A67">
      <w:pPr>
        <w:spacing w:after="0" w:line="240" w:lineRule="auto"/>
        <w:jc w:val="both"/>
        <w:rPr>
          <w:rFonts w:ascii="Verdana" w:eastAsia="Aptos" w:hAnsi="Verdana" w:cs="Times New Roman"/>
          <w:kern w:val="2"/>
          <w14:ligatures w14:val="standardContextual"/>
        </w:rPr>
      </w:pPr>
      <w:r w:rsidRPr="00F14F70">
        <w:rPr>
          <w:rFonts w:ascii="Verdana" w:eastAsia="Aptos" w:hAnsi="Verdana" w:cs="Times New Roman"/>
          <w:kern w:val="2"/>
          <w14:ligatures w14:val="standardContextual"/>
        </w:rPr>
        <w:t xml:space="preserve">LinkedIn: </w:t>
      </w:r>
      <w:r w:rsidRPr="00F14F70">
        <w:rPr>
          <w:rFonts w:ascii="Verdana" w:eastAsia="Calibri" w:hAnsi="Verdana" w:cs="Times New Roman"/>
          <w:color w:val="156082"/>
          <w:kern w:val="2"/>
          <w:u w:val="single"/>
          <w14:ligatures w14:val="standardContextual"/>
        </w:rPr>
        <w:t>Agencia Nacional de Contratación Pública - Colombia Compra Eficiente</w:t>
      </w:r>
      <w:r w:rsidRPr="00F14F70">
        <w:rPr>
          <w:rFonts w:ascii="Verdana" w:eastAsia="Calibri" w:hAnsi="Verdana" w:cs="Times New Roman"/>
          <w:color w:val="156082"/>
          <w:kern w:val="2"/>
          <w14:ligatures w14:val="standardContextual"/>
        </w:rPr>
        <w:t xml:space="preserve"> </w:t>
      </w:r>
      <w:r w:rsidRPr="00F14F70">
        <w:rPr>
          <w:rFonts w:ascii="Verdana" w:eastAsia="Aptos" w:hAnsi="Verdana" w:cs="Times New Roman"/>
          <w:kern w:val="2"/>
          <w14:ligatures w14:val="standardContextual"/>
        </w:rPr>
        <w:t xml:space="preserve">Instagram: </w:t>
      </w:r>
      <w:r w:rsidRPr="00F14F70">
        <w:rPr>
          <w:rFonts w:ascii="Verdana" w:eastAsia="Calibri" w:hAnsi="Verdana" w:cs="Times New Roman"/>
          <w:color w:val="156082"/>
          <w:kern w:val="2"/>
          <w:u w:val="single"/>
          <w14:ligatures w14:val="standardContextual"/>
        </w:rPr>
        <w:t>@colombiacompraeficiente_cce</w:t>
      </w:r>
    </w:p>
    <w:p w14:paraId="53AD6116" w14:textId="77777777" w:rsidR="00636A67" w:rsidRPr="00F14F70" w:rsidRDefault="00636A67" w:rsidP="00636A67">
      <w:pPr>
        <w:spacing w:after="0" w:line="276" w:lineRule="auto"/>
        <w:jc w:val="both"/>
        <w:rPr>
          <w:rFonts w:ascii="Verdana" w:eastAsia="Aptos" w:hAnsi="Verdana" w:cs="Times New Roman"/>
          <w:kern w:val="2"/>
          <w14:ligatures w14:val="standardContextual"/>
        </w:rPr>
      </w:pPr>
    </w:p>
    <w:p w14:paraId="3D727DCE" w14:textId="77777777" w:rsidR="00636A67" w:rsidRPr="00F14F70" w:rsidRDefault="00636A67" w:rsidP="00636A67">
      <w:pPr>
        <w:spacing w:after="0" w:line="276" w:lineRule="auto"/>
        <w:jc w:val="both"/>
        <w:rPr>
          <w:rFonts w:ascii="Verdana" w:eastAsia="Calibri" w:hAnsi="Verdana" w:cs="Times New Roman"/>
          <w:bCs/>
          <w:kern w:val="2"/>
          <w:lang w:val="es-ES_tradnl"/>
          <w14:ligatures w14:val="standardContextual"/>
        </w:rPr>
      </w:pPr>
      <w:r w:rsidRPr="00F14F70">
        <w:rPr>
          <w:rFonts w:ascii="Verdana" w:eastAsia="Calibri" w:hAnsi="Verdana" w:cs="Times New Roman"/>
          <w:kern w:val="2"/>
          <w:lang w:val="es-ES_tradnl"/>
          <w14:ligatures w14:val="standardContextua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C51287E" w14:textId="77777777" w:rsidR="00636A67" w:rsidRPr="00F14F70" w:rsidRDefault="00636A67" w:rsidP="00636A67">
      <w:pPr>
        <w:spacing w:after="0" w:line="276" w:lineRule="auto"/>
        <w:jc w:val="both"/>
        <w:rPr>
          <w:rFonts w:ascii="Verdana" w:eastAsia="Calibri" w:hAnsi="Verdana" w:cs="Times New Roman"/>
          <w:kern w:val="2"/>
          <w14:ligatures w14:val="standardContextual"/>
        </w:rPr>
      </w:pPr>
    </w:p>
    <w:p w14:paraId="008B4FC1" w14:textId="77777777" w:rsidR="00636A67" w:rsidRPr="00F14F70" w:rsidRDefault="00636A67" w:rsidP="00636A67">
      <w:pPr>
        <w:spacing w:after="0" w:line="276" w:lineRule="auto"/>
        <w:jc w:val="both"/>
        <w:rPr>
          <w:rFonts w:ascii="Verdana" w:eastAsia="Calibri" w:hAnsi="Verdana" w:cs="Times New Roman"/>
          <w:kern w:val="2"/>
          <w14:ligatures w14:val="standardContextual"/>
        </w:rPr>
      </w:pPr>
      <w:r w:rsidRPr="00F14F70">
        <w:rPr>
          <w:rFonts w:ascii="Verdana" w:eastAsia="Calibri" w:hAnsi="Verdana" w:cs="Times New Roman"/>
          <w:kern w:val="2"/>
          <w14:ligatures w14:val="standardContextual"/>
        </w:rPr>
        <w:t>Atentamente,</w:t>
      </w:r>
    </w:p>
    <w:p w14:paraId="7B7F5AD4" w14:textId="29CA67E5" w:rsidR="00636A67" w:rsidRPr="00F14F70" w:rsidRDefault="00AB0A03" w:rsidP="00636A67">
      <w:pPr>
        <w:tabs>
          <w:tab w:val="left" w:pos="1320"/>
        </w:tabs>
        <w:jc w:val="center"/>
        <w:rPr>
          <w:rFonts w:ascii="Verdana" w:eastAsia="Aptos" w:hAnsi="Verdana" w:cs="Times New Roman"/>
        </w:rPr>
      </w:pPr>
      <w:r w:rsidRPr="004D5C25">
        <w:rPr>
          <w:rFonts w:ascii="Century Gothic" w:hAnsi="Century Gothic"/>
          <w:noProof/>
        </w:rPr>
        <w:drawing>
          <wp:inline distT="0" distB="0" distL="0" distR="0" wp14:anchorId="550097E7" wp14:editId="12D05F59">
            <wp:extent cx="2488460" cy="1068309"/>
            <wp:effectExtent l="0" t="0" r="127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583509" cy="1109114"/>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6737"/>
      </w:tblGrid>
      <w:tr w:rsidR="00636A67" w:rsidRPr="001817D8" w14:paraId="2359BABB" w14:textId="77777777" w:rsidTr="00A16055">
        <w:trPr>
          <w:trHeight w:val="315"/>
        </w:trPr>
        <w:tc>
          <w:tcPr>
            <w:tcW w:w="893" w:type="dxa"/>
            <w:vAlign w:val="center"/>
            <w:hideMark/>
          </w:tcPr>
          <w:p w14:paraId="5FCC6E4D" w14:textId="77777777" w:rsidR="00636A67" w:rsidRPr="00F14F70" w:rsidRDefault="00636A67" w:rsidP="00A16055">
            <w:pPr>
              <w:rPr>
                <w:rFonts w:ascii="Verdana" w:eastAsia="Calibri" w:hAnsi="Verdana" w:cs="Arial"/>
                <w:sz w:val="16"/>
                <w:szCs w:val="16"/>
                <w:lang w:eastAsia="es-ES"/>
              </w:rPr>
            </w:pPr>
            <w:r w:rsidRPr="00F14F70">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40B06BF2" w14:textId="77777777" w:rsidR="00636A67" w:rsidRPr="00F14F70" w:rsidRDefault="00636A67" w:rsidP="00A16055">
            <w:pPr>
              <w:rPr>
                <w:rFonts w:ascii="Verdana" w:eastAsia="Arial" w:hAnsi="Verdana" w:cs="Arial"/>
                <w:sz w:val="16"/>
                <w:szCs w:val="16"/>
              </w:rPr>
            </w:pPr>
            <w:r w:rsidRPr="00F14F70">
              <w:rPr>
                <w:rFonts w:ascii="Verdana" w:eastAsia="Arial" w:hAnsi="Verdana" w:cs="Arial"/>
                <w:sz w:val="16"/>
                <w:szCs w:val="16"/>
              </w:rPr>
              <w:t xml:space="preserve">Carlos Mario </w:t>
            </w:r>
            <w:proofErr w:type="spellStart"/>
            <w:r w:rsidRPr="00F14F70">
              <w:rPr>
                <w:rFonts w:ascii="Verdana" w:eastAsia="Arial" w:hAnsi="Verdana" w:cs="Arial"/>
                <w:sz w:val="16"/>
                <w:szCs w:val="16"/>
              </w:rPr>
              <w:t>Castrillon</w:t>
            </w:r>
            <w:proofErr w:type="spellEnd"/>
            <w:r w:rsidRPr="00F14F70">
              <w:rPr>
                <w:rFonts w:ascii="Verdana" w:eastAsia="Arial" w:hAnsi="Verdana" w:cs="Arial"/>
                <w:sz w:val="16"/>
                <w:szCs w:val="16"/>
              </w:rPr>
              <w:t xml:space="preserve"> Endo </w:t>
            </w:r>
          </w:p>
          <w:p w14:paraId="4B29F2F0" w14:textId="77777777" w:rsidR="00636A67" w:rsidRPr="00F14F70" w:rsidRDefault="00636A67" w:rsidP="00A16055">
            <w:pPr>
              <w:rPr>
                <w:rFonts w:ascii="Verdana" w:eastAsia="Arial" w:hAnsi="Verdana" w:cs="Arial"/>
                <w:sz w:val="16"/>
                <w:szCs w:val="16"/>
              </w:rPr>
            </w:pPr>
            <w:r w:rsidRPr="00F14F70">
              <w:rPr>
                <w:rFonts w:ascii="Verdana" w:eastAsia="Arial" w:hAnsi="Verdana" w:cs="Arial"/>
                <w:sz w:val="16"/>
                <w:szCs w:val="16"/>
              </w:rPr>
              <w:t>Contratista de la Subdirección de Gestión Contractual</w:t>
            </w:r>
          </w:p>
        </w:tc>
      </w:tr>
      <w:tr w:rsidR="00636A67" w:rsidRPr="001817D8" w14:paraId="5C42B4A2" w14:textId="77777777" w:rsidTr="00A16055">
        <w:trPr>
          <w:trHeight w:val="330"/>
        </w:trPr>
        <w:tc>
          <w:tcPr>
            <w:tcW w:w="893" w:type="dxa"/>
            <w:vAlign w:val="center"/>
            <w:hideMark/>
          </w:tcPr>
          <w:p w14:paraId="445D4DBB" w14:textId="77777777" w:rsidR="00636A67" w:rsidRPr="00F14F70" w:rsidRDefault="00636A67" w:rsidP="00A16055">
            <w:pPr>
              <w:rPr>
                <w:rFonts w:ascii="Verdana" w:eastAsia="Calibri" w:hAnsi="Verdana" w:cs="Arial"/>
                <w:sz w:val="16"/>
                <w:szCs w:val="16"/>
                <w:lang w:eastAsia="es-ES"/>
              </w:rPr>
            </w:pPr>
            <w:r w:rsidRPr="00F14F70">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1"/>
            </w:tblGrid>
            <w:tr w:rsidR="00636A67" w:rsidRPr="001817D8" w14:paraId="59DBFB4F" w14:textId="77777777" w:rsidTr="00A16055">
              <w:trPr>
                <w:trHeight w:val="330"/>
              </w:trPr>
              <w:tc>
                <w:tcPr>
                  <w:tcW w:w="5628" w:type="dxa"/>
                  <w:tcBorders>
                    <w:top w:val="dotted" w:sz="4" w:space="0" w:color="7F7F7F"/>
                    <w:left w:val="nil"/>
                    <w:bottom w:val="dotted" w:sz="4" w:space="0" w:color="7F7F7F"/>
                    <w:right w:val="nil"/>
                  </w:tcBorders>
                  <w:vAlign w:val="center"/>
                  <w:hideMark/>
                </w:tcPr>
                <w:p w14:paraId="4A7BE8CF" w14:textId="77777777" w:rsidR="00636A67" w:rsidRPr="001817D8" w:rsidRDefault="00636A67" w:rsidP="00A16055">
                  <w:pPr>
                    <w:ind w:left="-113"/>
                    <w:rPr>
                      <w:rFonts w:ascii="Verdana" w:eastAsia="Calibri" w:hAnsi="Verdana" w:cs="Arial"/>
                      <w:sz w:val="16"/>
                      <w:szCs w:val="16"/>
                      <w:lang w:eastAsia="es-ES"/>
                    </w:rPr>
                  </w:pPr>
                  <w:r w:rsidRPr="001817D8">
                    <w:rPr>
                      <w:rFonts w:ascii="Verdana" w:eastAsia="Calibri" w:hAnsi="Verdana" w:cs="Arial"/>
                      <w:sz w:val="16"/>
                      <w:szCs w:val="16"/>
                      <w:lang w:eastAsia="es-ES"/>
                    </w:rPr>
                    <w:t>Alejandro Gamboa Cárdenas</w:t>
                  </w:r>
                </w:p>
                <w:p w14:paraId="0E9F19EE" w14:textId="77777777" w:rsidR="00636A67" w:rsidRPr="001817D8" w:rsidRDefault="00636A67" w:rsidP="00A16055">
                  <w:pPr>
                    <w:ind w:left="-113"/>
                    <w:rPr>
                      <w:rFonts w:ascii="Verdana" w:eastAsia="Calibri" w:hAnsi="Verdana" w:cs="Arial"/>
                      <w:sz w:val="16"/>
                      <w:szCs w:val="16"/>
                      <w:lang w:eastAsia="es-ES"/>
                    </w:rPr>
                  </w:pPr>
                  <w:r w:rsidRPr="001817D8">
                    <w:rPr>
                      <w:rFonts w:ascii="Verdana" w:eastAsia="Calibri" w:hAnsi="Verdana" w:cs="Arial"/>
                      <w:sz w:val="16"/>
                      <w:szCs w:val="16"/>
                      <w:lang w:eastAsia="es-ES"/>
                    </w:rPr>
                    <w:t>Contratista de la Subdirección de Gestión Contractual</w:t>
                  </w:r>
                </w:p>
                <w:p w14:paraId="08B272F1" w14:textId="77777777" w:rsidR="00636A67" w:rsidRPr="001817D8" w:rsidRDefault="00636A67" w:rsidP="00A16055">
                  <w:pPr>
                    <w:ind w:left="-113"/>
                    <w:rPr>
                      <w:rFonts w:ascii="Verdana" w:eastAsia="Calibri" w:hAnsi="Verdana" w:cs="Arial"/>
                      <w:sz w:val="16"/>
                      <w:szCs w:val="16"/>
                      <w:lang w:eastAsia="es-ES"/>
                    </w:rPr>
                  </w:pPr>
                  <w:r w:rsidRPr="001817D8">
                    <w:rPr>
                      <w:rFonts w:ascii="Verdana" w:eastAsia="Calibri" w:hAnsi="Verdana" w:cs="Arial"/>
                      <w:sz w:val="16"/>
                      <w:szCs w:val="16"/>
                      <w:lang w:eastAsia="es-ES"/>
                    </w:rPr>
                    <w:t xml:space="preserve">Juan David Cárdenas Cabeza </w:t>
                  </w:r>
                </w:p>
                <w:p w14:paraId="40F032DC" w14:textId="77777777" w:rsidR="00636A67" w:rsidRPr="00F14F70" w:rsidRDefault="00636A67" w:rsidP="00A16055">
                  <w:pPr>
                    <w:ind w:left="-113"/>
                    <w:rPr>
                      <w:rFonts w:ascii="Verdana" w:eastAsia="Times New Roman" w:hAnsi="Verdana" w:cs="Segoe UI"/>
                      <w:sz w:val="16"/>
                      <w:szCs w:val="16"/>
                      <w:lang w:val="es-ES_tradnl" w:eastAsia="es-ES_tradnl"/>
                    </w:rPr>
                  </w:pPr>
                  <w:r w:rsidRPr="001817D8">
                    <w:rPr>
                      <w:rFonts w:ascii="Verdana" w:eastAsia="Calibri" w:hAnsi="Verdana" w:cs="Arial"/>
                      <w:sz w:val="16"/>
                      <w:szCs w:val="16"/>
                      <w:lang w:eastAsia="es-ES"/>
                    </w:rPr>
                    <w:t>Contratista de la Subdirección de Gestión Contractual</w:t>
                  </w:r>
                  <w:r w:rsidRPr="00F14F70">
                    <w:rPr>
                      <w:rFonts w:ascii="Verdana" w:eastAsia="Times New Roman" w:hAnsi="Verdana" w:cs="Arial"/>
                      <w:sz w:val="16"/>
                      <w:szCs w:val="16"/>
                      <w:lang w:val="es-ES_tradnl" w:eastAsia="es-ES_tradnl"/>
                    </w:rPr>
                    <w:t> </w:t>
                  </w:r>
                </w:p>
              </w:tc>
            </w:tr>
          </w:tbl>
          <w:p w14:paraId="6744FA49" w14:textId="77777777" w:rsidR="00636A67" w:rsidRPr="00F14F70" w:rsidRDefault="00636A67" w:rsidP="00A16055">
            <w:pPr>
              <w:rPr>
                <w:rFonts w:ascii="Verdana" w:eastAsia="Times New Roman" w:hAnsi="Verdana" w:cs="Segoe UI"/>
                <w:sz w:val="16"/>
                <w:szCs w:val="16"/>
                <w:lang w:val="es-ES_tradnl" w:eastAsia="es-ES_tradnl"/>
              </w:rPr>
            </w:pPr>
          </w:p>
        </w:tc>
      </w:tr>
      <w:tr w:rsidR="00636A67" w:rsidRPr="001817D8" w14:paraId="7CAF8D5C" w14:textId="77777777" w:rsidTr="00A16055">
        <w:trPr>
          <w:trHeight w:val="300"/>
        </w:trPr>
        <w:tc>
          <w:tcPr>
            <w:tcW w:w="893" w:type="dxa"/>
            <w:vAlign w:val="center"/>
          </w:tcPr>
          <w:p w14:paraId="06189D32" w14:textId="77777777" w:rsidR="00636A67" w:rsidRPr="00F14F70" w:rsidRDefault="00636A67" w:rsidP="00A16055">
            <w:pPr>
              <w:rPr>
                <w:rFonts w:ascii="Verdana" w:eastAsia="Calibri" w:hAnsi="Verdana" w:cs="Arial"/>
                <w:sz w:val="16"/>
                <w:szCs w:val="16"/>
                <w:lang w:eastAsia="es-ES"/>
              </w:rPr>
            </w:pPr>
            <w:r w:rsidRPr="00F14F70">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95341AE" w14:textId="77777777" w:rsidR="00636A67" w:rsidRPr="00F14F70" w:rsidRDefault="00636A67" w:rsidP="00A16055">
            <w:pPr>
              <w:rPr>
                <w:rFonts w:ascii="Verdana" w:eastAsia="Calibri" w:hAnsi="Verdana" w:cs="Arial"/>
                <w:sz w:val="16"/>
                <w:szCs w:val="16"/>
                <w:lang w:eastAsia="es-ES"/>
              </w:rPr>
            </w:pPr>
            <w:r w:rsidRPr="00F14F70">
              <w:rPr>
                <w:rFonts w:ascii="Verdana" w:eastAsia="Calibri" w:hAnsi="Verdana" w:cs="Arial"/>
                <w:sz w:val="16"/>
                <w:szCs w:val="16"/>
                <w:lang w:eastAsia="es-ES"/>
              </w:rPr>
              <w:t xml:space="preserve">Carolina Quintero </w:t>
            </w:r>
            <w:proofErr w:type="spellStart"/>
            <w:r w:rsidRPr="00F14F70">
              <w:rPr>
                <w:rFonts w:ascii="Verdana" w:eastAsia="Calibri" w:hAnsi="Verdana" w:cs="Arial"/>
                <w:sz w:val="16"/>
                <w:szCs w:val="16"/>
                <w:lang w:eastAsia="es-ES"/>
              </w:rPr>
              <w:t>Gacharná</w:t>
            </w:r>
            <w:proofErr w:type="spellEnd"/>
          </w:p>
          <w:p w14:paraId="0A0BAB19" w14:textId="77777777" w:rsidR="00636A67" w:rsidRPr="00F14F70" w:rsidRDefault="00636A67" w:rsidP="00A16055">
            <w:pPr>
              <w:rPr>
                <w:rFonts w:ascii="Verdana" w:eastAsia="Calibri" w:hAnsi="Verdana" w:cs="Arial"/>
                <w:sz w:val="16"/>
                <w:szCs w:val="16"/>
                <w:lang w:eastAsia="es-ES"/>
              </w:rPr>
            </w:pPr>
            <w:r w:rsidRPr="00F14F70">
              <w:rPr>
                <w:rFonts w:ascii="Verdana" w:eastAsia="Calibri" w:hAnsi="Verdana" w:cs="Arial"/>
                <w:sz w:val="16"/>
                <w:szCs w:val="16"/>
                <w:lang w:eastAsia="es-ES"/>
              </w:rPr>
              <w:t>Subdirectora de Gestión Contractual ANCP – CCE</w:t>
            </w:r>
          </w:p>
        </w:tc>
      </w:tr>
    </w:tbl>
    <w:p w14:paraId="75CEF3DC" w14:textId="77777777" w:rsidR="00636A67" w:rsidRPr="00F14F70" w:rsidRDefault="00636A67" w:rsidP="00636A67">
      <w:pPr>
        <w:tabs>
          <w:tab w:val="left" w:pos="1320"/>
        </w:tabs>
        <w:rPr>
          <w:rFonts w:ascii="Verdana" w:hAnsi="Verdana"/>
        </w:rPr>
      </w:pPr>
    </w:p>
    <w:p w14:paraId="1F6E3F47" w14:textId="77777777" w:rsidR="00636A67" w:rsidRPr="00F14F70" w:rsidRDefault="00636A67" w:rsidP="00636A67">
      <w:pPr>
        <w:rPr>
          <w:rFonts w:ascii="Verdana" w:hAnsi="Verdana"/>
        </w:rPr>
      </w:pPr>
    </w:p>
    <w:p w14:paraId="637E401C" w14:textId="77777777" w:rsidR="00636A67" w:rsidRPr="00F14F70" w:rsidRDefault="00636A67" w:rsidP="00636A67">
      <w:pPr>
        <w:rPr>
          <w:rFonts w:ascii="Verdana" w:hAnsi="Verdana"/>
        </w:rPr>
      </w:pPr>
    </w:p>
    <w:p w14:paraId="7D6E70A6" w14:textId="77777777" w:rsidR="00636A67" w:rsidRPr="001817D8" w:rsidRDefault="00636A67" w:rsidP="00636A67">
      <w:pPr>
        <w:rPr>
          <w:rFonts w:ascii="Verdana" w:hAnsi="Verdana"/>
        </w:rPr>
      </w:pPr>
    </w:p>
    <w:p w14:paraId="0F293BF4" w14:textId="2424F580" w:rsidR="00127233" w:rsidRPr="00DF19A6" w:rsidRDefault="00127233" w:rsidP="00DF19A6"/>
    <w:sectPr w:rsidR="00127233" w:rsidRPr="00DF19A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4C640" w14:textId="77777777" w:rsidR="00D54458" w:rsidRDefault="00D54458" w:rsidP="004A1847">
      <w:pPr>
        <w:spacing w:after="0" w:line="240" w:lineRule="auto"/>
      </w:pPr>
      <w:r>
        <w:separator/>
      </w:r>
    </w:p>
  </w:endnote>
  <w:endnote w:type="continuationSeparator" w:id="0">
    <w:p w14:paraId="6A31B570" w14:textId="77777777" w:rsidR="00D54458" w:rsidRDefault="00D5445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118F95C3" w14:textId="77777777" w:rsidR="00AB0A03" w:rsidRDefault="00AB0A03">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41364" w14:textId="77777777" w:rsidR="00D54458" w:rsidRDefault="00D54458" w:rsidP="004A1847">
      <w:pPr>
        <w:spacing w:after="0" w:line="240" w:lineRule="auto"/>
      </w:pPr>
      <w:r>
        <w:separator/>
      </w:r>
    </w:p>
  </w:footnote>
  <w:footnote w:type="continuationSeparator" w:id="0">
    <w:p w14:paraId="44596BC7" w14:textId="77777777" w:rsidR="00D54458" w:rsidRDefault="00D54458" w:rsidP="004A1847">
      <w:pPr>
        <w:spacing w:after="0" w:line="240" w:lineRule="auto"/>
      </w:pPr>
      <w:r>
        <w:continuationSeparator/>
      </w:r>
    </w:p>
  </w:footnote>
  <w:footnote w:id="1">
    <w:p w14:paraId="0BF822B0" w14:textId="77777777" w:rsidR="00636A67" w:rsidRPr="000C4B4B" w:rsidRDefault="00636A67" w:rsidP="00636A67">
      <w:pPr>
        <w:spacing w:line="240" w:lineRule="auto"/>
        <w:ind w:firstLine="708"/>
        <w:jc w:val="both"/>
        <w:rPr>
          <w:rFonts w:ascii="Verdana" w:hAnsi="Verdana" w:cs="Arial"/>
          <w:sz w:val="19"/>
          <w:szCs w:val="19"/>
        </w:rPr>
      </w:pPr>
      <w:r w:rsidRPr="000C4B4B">
        <w:rPr>
          <w:rStyle w:val="Refdenotaalpie"/>
          <w:rFonts w:ascii="Verdana" w:hAnsi="Verdana" w:cs="Arial"/>
          <w:sz w:val="19"/>
          <w:szCs w:val="19"/>
        </w:rPr>
        <w:footnoteRef/>
      </w:r>
      <w:r w:rsidRPr="000C4B4B">
        <w:rPr>
          <w:rFonts w:ascii="Verdana" w:hAnsi="Verdana" w:cs="Arial"/>
          <w:sz w:val="19"/>
          <w:szCs w:val="19"/>
        </w:rPr>
        <w:t xml:space="preserve"> Así, por ejemplo, la causal de rechazo del literal P establece: “[Incluir solo cuando la forma de pago sea por precios unitarios] Superar el valor unitario de alguno o algunos de los siguientes ítems ofrecidos con respecto al valor establecido para cada ítem del presupuesto oficial: [La entidad debe incluir esta 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 </w:t>
      </w:r>
    </w:p>
    <w:p w14:paraId="49575F7A" w14:textId="77777777" w:rsidR="00636A67" w:rsidRPr="000C4B4B" w:rsidRDefault="00636A67" w:rsidP="00636A67">
      <w:pPr>
        <w:pStyle w:val="Textonotapie"/>
        <w:ind w:firstLine="708"/>
        <w:jc w:val="both"/>
        <w:rPr>
          <w:rFonts w:ascii="Verdana" w:hAnsi="Verdana" w:cs="Arial"/>
          <w:sz w:val="19"/>
          <w:szCs w:val="19"/>
          <w:lang w:val="es-CO"/>
        </w:rPr>
      </w:pPr>
      <w:r w:rsidRPr="000C4B4B">
        <w:rPr>
          <w:rFonts w:ascii="Verdana" w:hAnsi="Verdana" w:cs="Arial"/>
          <w:sz w:val="19"/>
          <w:szCs w:val="19"/>
        </w:rPr>
        <w:t>Para la aplicación de esta causal la entidad debe tener en cuenta que el valor unitario establecido en el Formulario 1 – Formulario de Presupuesto Oficial incluye el valor de AIU]”.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411DE"/>
    <w:rsid w:val="0015699B"/>
    <w:rsid w:val="001811EE"/>
    <w:rsid w:val="001914C6"/>
    <w:rsid w:val="001A33BF"/>
    <w:rsid w:val="001A35C8"/>
    <w:rsid w:val="001E4177"/>
    <w:rsid w:val="001F0B24"/>
    <w:rsid w:val="001F7DC6"/>
    <w:rsid w:val="0022400B"/>
    <w:rsid w:val="002421BB"/>
    <w:rsid w:val="0025796E"/>
    <w:rsid w:val="002707A2"/>
    <w:rsid w:val="002951A0"/>
    <w:rsid w:val="002962BC"/>
    <w:rsid w:val="002A093D"/>
    <w:rsid w:val="002A0DD0"/>
    <w:rsid w:val="002A49AC"/>
    <w:rsid w:val="002A64FD"/>
    <w:rsid w:val="002B0B62"/>
    <w:rsid w:val="002C7A84"/>
    <w:rsid w:val="002E2BF8"/>
    <w:rsid w:val="002E31A2"/>
    <w:rsid w:val="002E4FD9"/>
    <w:rsid w:val="0030657A"/>
    <w:rsid w:val="00322A85"/>
    <w:rsid w:val="00324168"/>
    <w:rsid w:val="00330834"/>
    <w:rsid w:val="003448F4"/>
    <w:rsid w:val="0036494B"/>
    <w:rsid w:val="00374F5E"/>
    <w:rsid w:val="00377E3E"/>
    <w:rsid w:val="00397AE0"/>
    <w:rsid w:val="003A779E"/>
    <w:rsid w:val="003D0F4D"/>
    <w:rsid w:val="003D5B0D"/>
    <w:rsid w:val="003E0499"/>
    <w:rsid w:val="003E4F80"/>
    <w:rsid w:val="003E6439"/>
    <w:rsid w:val="003F3941"/>
    <w:rsid w:val="00406575"/>
    <w:rsid w:val="004137AC"/>
    <w:rsid w:val="00414C74"/>
    <w:rsid w:val="0042722E"/>
    <w:rsid w:val="0044528D"/>
    <w:rsid w:val="0045734C"/>
    <w:rsid w:val="00466E39"/>
    <w:rsid w:val="004A1847"/>
    <w:rsid w:val="004A305D"/>
    <w:rsid w:val="004E6E0D"/>
    <w:rsid w:val="004F21C4"/>
    <w:rsid w:val="004F685F"/>
    <w:rsid w:val="005566E8"/>
    <w:rsid w:val="00560A01"/>
    <w:rsid w:val="00574867"/>
    <w:rsid w:val="00591460"/>
    <w:rsid w:val="005A65E0"/>
    <w:rsid w:val="005C3777"/>
    <w:rsid w:val="005C5CDC"/>
    <w:rsid w:val="005D476C"/>
    <w:rsid w:val="006200BF"/>
    <w:rsid w:val="006219F8"/>
    <w:rsid w:val="006302F7"/>
    <w:rsid w:val="00636A6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257D0"/>
    <w:rsid w:val="009419F9"/>
    <w:rsid w:val="0095685E"/>
    <w:rsid w:val="00961B09"/>
    <w:rsid w:val="00965334"/>
    <w:rsid w:val="0097093E"/>
    <w:rsid w:val="009A0DFA"/>
    <w:rsid w:val="009A1C6F"/>
    <w:rsid w:val="009B2D26"/>
    <w:rsid w:val="009C71FA"/>
    <w:rsid w:val="009C72E7"/>
    <w:rsid w:val="009C7F7E"/>
    <w:rsid w:val="009D3058"/>
    <w:rsid w:val="009F3A13"/>
    <w:rsid w:val="009F42A3"/>
    <w:rsid w:val="00A122D3"/>
    <w:rsid w:val="00A14468"/>
    <w:rsid w:val="00A14F2D"/>
    <w:rsid w:val="00A17F13"/>
    <w:rsid w:val="00A20739"/>
    <w:rsid w:val="00A23AF9"/>
    <w:rsid w:val="00A33C78"/>
    <w:rsid w:val="00AA1930"/>
    <w:rsid w:val="00AB0A03"/>
    <w:rsid w:val="00AB0ADB"/>
    <w:rsid w:val="00B00C0E"/>
    <w:rsid w:val="00B01B1A"/>
    <w:rsid w:val="00B0381D"/>
    <w:rsid w:val="00B44A47"/>
    <w:rsid w:val="00B72CD3"/>
    <w:rsid w:val="00B72FFF"/>
    <w:rsid w:val="00BA1234"/>
    <w:rsid w:val="00BC3D36"/>
    <w:rsid w:val="00BD54A6"/>
    <w:rsid w:val="00BD7F72"/>
    <w:rsid w:val="00BF7425"/>
    <w:rsid w:val="00C04FB3"/>
    <w:rsid w:val="00C11D8B"/>
    <w:rsid w:val="00C15139"/>
    <w:rsid w:val="00C2104C"/>
    <w:rsid w:val="00C330EB"/>
    <w:rsid w:val="00C50D69"/>
    <w:rsid w:val="00C5365C"/>
    <w:rsid w:val="00C754BE"/>
    <w:rsid w:val="00C76B1C"/>
    <w:rsid w:val="00C925AC"/>
    <w:rsid w:val="00CB1FDA"/>
    <w:rsid w:val="00CB6357"/>
    <w:rsid w:val="00CC1B26"/>
    <w:rsid w:val="00D361FD"/>
    <w:rsid w:val="00D423A2"/>
    <w:rsid w:val="00D44E26"/>
    <w:rsid w:val="00D520D8"/>
    <w:rsid w:val="00D54458"/>
    <w:rsid w:val="00D63AC2"/>
    <w:rsid w:val="00D7383B"/>
    <w:rsid w:val="00D7788A"/>
    <w:rsid w:val="00DA231B"/>
    <w:rsid w:val="00DB062F"/>
    <w:rsid w:val="00DC39FC"/>
    <w:rsid w:val="00DF19A6"/>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4640"/>
    <w:rsid w:val="00F23FEA"/>
    <w:rsid w:val="00F31EDC"/>
    <w:rsid w:val="00F462B3"/>
    <w:rsid w:val="00F5664F"/>
    <w:rsid w:val="00F666C4"/>
    <w:rsid w:val="00F76AFC"/>
    <w:rsid w:val="00FA2762"/>
    <w:rsid w:val="00FA47C0"/>
    <w:rsid w:val="00FB5DD1"/>
    <w:rsid w:val="00FB7928"/>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3">
    <w:name w:val="heading 3"/>
    <w:basedOn w:val="Normal"/>
    <w:next w:val="Normal"/>
    <w:link w:val="Ttulo3Car"/>
    <w:uiPriority w:val="9"/>
    <w:semiHidden/>
    <w:unhideWhenUsed/>
    <w:qFormat/>
    <w:rsid w:val="00636A67"/>
    <w:pPr>
      <w:keepNext/>
      <w:keepLines/>
      <w:spacing w:before="160" w:after="80"/>
      <w:outlineLvl w:val="2"/>
    </w:pPr>
    <w:rPr>
      <w:rFonts w:eastAsiaTheme="majorEastAsia" w:cstheme="majorBidi"/>
      <w:color w:val="2F5496"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3Car">
    <w:name w:val="Título 3 Car"/>
    <w:basedOn w:val="Fuentedeprrafopredeter"/>
    <w:link w:val="Ttulo3"/>
    <w:uiPriority w:val="9"/>
    <w:semiHidden/>
    <w:rsid w:val="00636A67"/>
    <w:rPr>
      <w:rFonts w:eastAsiaTheme="majorEastAsia" w:cstheme="majorBidi"/>
      <w:color w:val="2F5496" w:themeColor="accent1" w:themeShade="BF"/>
      <w:sz w:val="28"/>
      <w:szCs w:val="28"/>
    </w:rPr>
  </w:style>
  <w:style w:type="table" w:customStyle="1" w:styleId="Tablaconcuadrcula1">
    <w:name w:val="Tabla con cuadrícula1"/>
    <w:basedOn w:val="Tablanormal"/>
    <w:next w:val="Tablaconcuadrcula"/>
    <w:uiPriority w:val="39"/>
    <w:qFormat/>
    <w:rsid w:val="00636A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636A67"/>
    <w:pPr>
      <w:spacing w:line="240" w:lineRule="exact"/>
    </w:pPr>
    <w:rPr>
      <w:vertAlign w:val="superscript"/>
    </w:rPr>
  </w:style>
  <w:style w:type="paragraph" w:styleId="Textoindependiente">
    <w:name w:val="Body Text"/>
    <w:basedOn w:val="Normal"/>
    <w:link w:val="TextoindependienteCar"/>
    <w:uiPriority w:val="99"/>
    <w:unhideWhenUsed/>
    <w:rsid w:val="00636A67"/>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636A67"/>
    <w:rPr>
      <w:rFonts w:eastAsiaTheme="minorEastAsia"/>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36A67"/>
    <w:rPr>
      <w:rFonts w:ascii="Geomanist Light" w:hAnsi="Geomanist Light"/>
      <w:lang w:val="es-ES"/>
    </w:rPr>
  </w:style>
  <w:style w:type="character" w:styleId="Refdecomentario">
    <w:name w:val="annotation reference"/>
    <w:basedOn w:val="Fuentedeprrafopredeter"/>
    <w:uiPriority w:val="99"/>
    <w:semiHidden/>
    <w:unhideWhenUsed/>
    <w:rsid w:val="00DB062F"/>
    <w:rPr>
      <w:sz w:val="16"/>
      <w:szCs w:val="16"/>
    </w:rPr>
  </w:style>
  <w:style w:type="paragraph" w:styleId="Textocomentario">
    <w:name w:val="annotation text"/>
    <w:basedOn w:val="Normal"/>
    <w:link w:val="TextocomentarioCar"/>
    <w:uiPriority w:val="99"/>
    <w:unhideWhenUsed/>
    <w:rsid w:val="00DB062F"/>
    <w:pPr>
      <w:spacing w:line="240" w:lineRule="auto"/>
    </w:pPr>
    <w:rPr>
      <w:sz w:val="20"/>
      <w:szCs w:val="20"/>
    </w:rPr>
  </w:style>
  <w:style w:type="character" w:customStyle="1" w:styleId="TextocomentarioCar">
    <w:name w:val="Texto comentario Car"/>
    <w:basedOn w:val="Fuentedeprrafopredeter"/>
    <w:link w:val="Textocomentario"/>
    <w:uiPriority w:val="99"/>
    <w:rsid w:val="00DB062F"/>
    <w:rPr>
      <w:sz w:val="20"/>
      <w:szCs w:val="20"/>
    </w:rPr>
  </w:style>
  <w:style w:type="paragraph" w:styleId="Asuntodelcomentario">
    <w:name w:val="annotation subject"/>
    <w:basedOn w:val="Textocomentario"/>
    <w:next w:val="Textocomentario"/>
    <w:link w:val="AsuntodelcomentarioCar"/>
    <w:uiPriority w:val="99"/>
    <w:semiHidden/>
    <w:unhideWhenUsed/>
    <w:rsid w:val="00DB062F"/>
    <w:rPr>
      <w:b/>
      <w:bCs/>
    </w:rPr>
  </w:style>
  <w:style w:type="character" w:customStyle="1" w:styleId="AsuntodelcomentarioCar">
    <w:name w:val="Asunto del comentario Car"/>
    <w:basedOn w:val="TextocomentarioCar"/>
    <w:link w:val="Asuntodelcomentario"/>
    <w:uiPriority w:val="99"/>
    <w:semiHidden/>
    <w:rsid w:val="00DB062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45EA2CF-4C68-4B71-A963-EA47EE3369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14</Pages>
  <Words>4858</Words>
  <Characters>26286</Characters>
  <Application>Microsoft Office Word</Application>
  <DocSecurity>0</DocSecurity>
  <Lines>525</Lines>
  <Paragraphs>116</Paragraphs>
  <ScaleCrop>false</ScaleCrop>
  <Company/>
  <LinksUpToDate>false</LinksUpToDate>
  <CharactersWithSpaces>31028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2025-12-17T00:10:00Z</dcterms:created>
  <dcterms:modified xsi:type="dcterms:W3CDTF">2025-12-18T16:42:00Z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