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7C8D5A" w14:textId="77777777" w:rsidR="00811957" w:rsidRPr="005A39C9" w:rsidRDefault="00811957" w:rsidP="00811957">
      <w:pPr>
        <w:jc w:val="both"/>
        <w:rPr>
          <w:rFonts w:ascii="Verdana" w:eastAsia="Calibri" w:hAnsi="Verdana" w:cs="Arial"/>
          <w:b/>
          <w:bCs/>
          <w:lang w:val="es-ES_tradnl" w:eastAsia="es-ES"/>
        </w:rPr>
      </w:pPr>
      <w:bookmarkStart w:id="0" w:name="_Hlk143780582"/>
      <w:r w:rsidRPr="005A39C9">
        <w:rPr>
          <w:rFonts w:ascii="Verdana" w:eastAsia="Calibri" w:hAnsi="Verdana" w:cs="Arial"/>
          <w:b/>
          <w:bCs/>
          <w:lang w:val="es-ES_tradnl" w:eastAsia="es-ES"/>
        </w:rPr>
        <w:t xml:space="preserve">ADMINISTRACIÓN DELEGADA </w:t>
      </w:r>
      <w:r w:rsidRPr="005A39C9">
        <w:rPr>
          <w:rFonts w:ascii="Verdana" w:eastAsia="Calibri" w:hAnsi="Verdana" w:cs="Arial"/>
          <w:b/>
          <w:bCs/>
          <w:lang w:eastAsia="es-ES"/>
        </w:rPr>
        <w:t>–</w:t>
      </w:r>
      <w:r w:rsidRPr="005A39C9">
        <w:rPr>
          <w:rFonts w:ascii="Verdana" w:eastAsia="Calibri" w:hAnsi="Verdana" w:cs="Arial"/>
          <w:b/>
          <w:bCs/>
          <w:lang w:val="es-ES_tradnl" w:eastAsia="es-ES"/>
        </w:rPr>
        <w:t xml:space="preserve"> Noción </w:t>
      </w:r>
      <w:r w:rsidRPr="005A39C9">
        <w:rPr>
          <w:rFonts w:ascii="Verdana" w:eastAsia="Calibri" w:hAnsi="Verdana" w:cs="Arial"/>
          <w:b/>
          <w:bCs/>
          <w:lang w:eastAsia="es-ES"/>
        </w:rPr>
        <w:t>–</w:t>
      </w:r>
      <w:r w:rsidRPr="005A39C9">
        <w:rPr>
          <w:rFonts w:ascii="Verdana" w:eastAsia="Calibri" w:hAnsi="Verdana" w:cs="Arial"/>
          <w:b/>
          <w:bCs/>
          <w:lang w:val="es-ES_tradnl" w:eastAsia="es-ES"/>
        </w:rPr>
        <w:t xml:space="preserve"> Definición – Mandato – Administración y pago </w:t>
      </w:r>
    </w:p>
    <w:p w14:paraId="2D476A4C" w14:textId="77777777" w:rsidR="00811957" w:rsidRPr="00612C4E" w:rsidRDefault="00811957" w:rsidP="00811957">
      <w:pPr>
        <w:spacing w:after="0" w:line="240" w:lineRule="auto"/>
        <w:jc w:val="both"/>
        <w:rPr>
          <w:rFonts w:ascii="Verdana" w:eastAsia="Calibri" w:hAnsi="Verdana" w:cs="Arial"/>
          <w:b/>
          <w:bCs/>
          <w:sz w:val="20"/>
          <w:szCs w:val="20"/>
          <w:lang w:eastAsia="es-ES"/>
        </w:rPr>
      </w:pPr>
    </w:p>
    <w:p w14:paraId="27C5ACB8" w14:textId="04E857E7" w:rsidR="00811957" w:rsidRPr="00612C4E" w:rsidRDefault="00811957" w:rsidP="00811957">
      <w:pPr>
        <w:spacing w:after="0" w:line="240" w:lineRule="auto"/>
        <w:jc w:val="both"/>
        <w:rPr>
          <w:rFonts w:ascii="Verdana" w:eastAsia="Calibri" w:hAnsi="Verdana" w:cs="Arial"/>
          <w:color w:val="000000" w:themeColor="text1"/>
          <w:sz w:val="20"/>
          <w:szCs w:val="20"/>
          <w:lang w:val="es-ES"/>
        </w:rPr>
      </w:pPr>
      <w:r w:rsidRPr="00612C4E">
        <w:rPr>
          <w:rFonts w:ascii="Verdana" w:eastAsia="Calibri" w:hAnsi="Verdana" w:cs="Arial"/>
          <w:color w:val="000000" w:themeColor="text1"/>
          <w:sz w:val="20"/>
          <w:szCs w:val="20"/>
          <w:lang w:val="es-ES"/>
        </w:rPr>
        <w:t xml:space="preserve">La “administración delegada” se ha entendido, por lo menos, de dos maneras: i) como un mandato, es decir, como un negocio jurídico mediante el cual el contratista actúa en nombre y representación de la entidad contratante, y en contraprestación, la parte contratante delegante paga el costo real del objeto del contrato, adicionando un porcentaje por concepto de administración y utilidad del contratista; o </w:t>
      </w:r>
      <w:proofErr w:type="spellStart"/>
      <w:r w:rsidRPr="00612C4E">
        <w:rPr>
          <w:rFonts w:ascii="Verdana" w:eastAsia="Calibri" w:hAnsi="Verdana" w:cs="Arial"/>
          <w:color w:val="000000" w:themeColor="text1"/>
          <w:sz w:val="20"/>
          <w:szCs w:val="20"/>
          <w:lang w:val="es-ES"/>
        </w:rPr>
        <w:t>ii</w:t>
      </w:r>
      <w:proofErr w:type="spellEnd"/>
      <w:r w:rsidRPr="00612C4E">
        <w:rPr>
          <w:rFonts w:ascii="Verdana" w:eastAsia="Calibri" w:hAnsi="Verdana" w:cs="Arial"/>
          <w:color w:val="000000" w:themeColor="text1"/>
          <w:sz w:val="20"/>
          <w:szCs w:val="20"/>
          <w:lang w:val="es-ES"/>
        </w:rPr>
        <w:t xml:space="preserve">) como una modalidad de administración y pago, no necesariamente asociada al mandato. </w:t>
      </w:r>
    </w:p>
    <w:p w14:paraId="657FD0C7" w14:textId="77777777" w:rsidR="00811957" w:rsidRPr="00612C4E" w:rsidRDefault="00811957" w:rsidP="00811957">
      <w:pPr>
        <w:spacing w:after="0" w:line="240" w:lineRule="auto"/>
        <w:jc w:val="both"/>
        <w:rPr>
          <w:rFonts w:ascii="Verdana" w:eastAsia="Geomanist Light" w:hAnsi="Verdana" w:cs="Arial"/>
          <w:color w:val="000000" w:themeColor="text1"/>
          <w:sz w:val="20"/>
          <w:szCs w:val="20"/>
        </w:rPr>
      </w:pPr>
      <w:r w:rsidRPr="00612C4E">
        <w:rPr>
          <w:rFonts w:ascii="Verdana" w:eastAsia="Geomanist Light" w:hAnsi="Verdana" w:cs="Arial"/>
          <w:color w:val="201F1E"/>
          <w:sz w:val="20"/>
          <w:szCs w:val="20"/>
        </w:rPr>
        <w:t>[…]</w:t>
      </w:r>
    </w:p>
    <w:p w14:paraId="73795C80" w14:textId="77777777" w:rsidR="00811957" w:rsidRDefault="00811957" w:rsidP="00811957">
      <w:pPr>
        <w:spacing w:after="0" w:line="240" w:lineRule="auto"/>
        <w:jc w:val="both"/>
        <w:rPr>
          <w:rFonts w:ascii="Verdana" w:eastAsia="Geomanist Light" w:hAnsi="Verdana" w:cs="Arial"/>
          <w:color w:val="000000" w:themeColor="text1"/>
          <w:sz w:val="20"/>
          <w:szCs w:val="20"/>
        </w:rPr>
      </w:pPr>
    </w:p>
    <w:p w14:paraId="11DE7E28" w14:textId="77777777" w:rsidR="00811957" w:rsidRDefault="00811957" w:rsidP="00811957">
      <w:pPr>
        <w:spacing w:after="0" w:line="240" w:lineRule="auto"/>
        <w:jc w:val="both"/>
        <w:rPr>
          <w:rFonts w:ascii="Verdana" w:eastAsia="Century Gothic" w:hAnsi="Verdana" w:cs="Century Gothic"/>
          <w:color w:val="000000" w:themeColor="text1"/>
          <w:sz w:val="20"/>
          <w:szCs w:val="20"/>
        </w:rPr>
      </w:pPr>
      <w:r w:rsidRPr="00612C4E">
        <w:rPr>
          <w:rFonts w:ascii="Verdana" w:hAnsi="Verdana" w:cs="Arial"/>
          <w:bCs/>
          <w:sz w:val="20"/>
          <w:szCs w:val="20"/>
        </w:rPr>
        <w:t xml:space="preserve">Así pues, teniendo en cuenta que </w:t>
      </w:r>
      <w:r w:rsidRPr="00612C4E">
        <w:rPr>
          <w:rFonts w:ascii="Verdana" w:hAnsi="Verdana" w:cs="Arial"/>
          <w:bCs/>
          <w:sz w:val="20"/>
          <w:szCs w:val="20"/>
          <w:lang w:val="es-ES_tradnl"/>
        </w:rPr>
        <w:t xml:space="preserve">el artículo 40 de la Ley 80 de 1993 dispuso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 las entidades estatales podrán celebrar la administración delegada como forma de mandato, </w:t>
      </w:r>
      <w:r w:rsidRPr="00612C4E">
        <w:rPr>
          <w:rFonts w:ascii="Verdana" w:eastAsia="Century Gothic" w:hAnsi="Verdana" w:cs="Century Gothic"/>
          <w:color w:val="000000" w:themeColor="text1"/>
          <w:sz w:val="20"/>
          <w:szCs w:val="20"/>
        </w:rPr>
        <w:t xml:space="preserve">por el cual la entidad estatal contratante –mandante– encomienda a la entidad estatal contratista –mandataria– la administración de un proyecto. </w:t>
      </w:r>
    </w:p>
    <w:p w14:paraId="1F9A8E7D" w14:textId="77777777" w:rsidR="00811957" w:rsidRPr="00612C4E" w:rsidRDefault="00811957" w:rsidP="00811957">
      <w:pPr>
        <w:spacing w:after="0" w:line="240" w:lineRule="auto"/>
        <w:jc w:val="both"/>
        <w:rPr>
          <w:rFonts w:ascii="Verdana" w:hAnsi="Verdana" w:cs="Arial"/>
          <w:bCs/>
          <w:sz w:val="20"/>
          <w:szCs w:val="20"/>
          <w:lang w:val="es-ES_tradnl"/>
        </w:rPr>
      </w:pPr>
    </w:p>
    <w:p w14:paraId="07590F9B" w14:textId="77777777" w:rsidR="00811957" w:rsidRPr="00612C4E" w:rsidRDefault="00811957" w:rsidP="00811957">
      <w:pPr>
        <w:spacing w:after="0" w:line="240" w:lineRule="auto"/>
        <w:jc w:val="both"/>
        <w:rPr>
          <w:rFonts w:ascii="Verdana" w:eastAsia="Arial" w:hAnsi="Verdana" w:cs="Arial"/>
          <w:sz w:val="20"/>
          <w:szCs w:val="20"/>
          <w:lang w:val="es-ES"/>
        </w:rPr>
      </w:pPr>
      <w:r w:rsidRPr="00612C4E">
        <w:rPr>
          <w:rFonts w:ascii="Verdana" w:eastAsia="Arial" w:hAnsi="Verdana" w:cs="Arial"/>
          <w:sz w:val="20"/>
          <w:szCs w:val="20"/>
          <w:lang w:val="es-ES"/>
        </w:rPr>
        <w:t xml:space="preserve">Por otro lado, según se indicó, la administración delegada puede concebirse como una forma de pago de contratos como el de obra pública o el de interventoría. En efecto, dentro de la forma de pactar la metodología de ejecución y el precio de los contratos estatales de obra pública, las partes pueden emplear distintos sistemas, como, por ejemplo, i) el “precio global” –en el que se paga “a mano alzada” el objeto del contrato–; </w:t>
      </w:r>
      <w:proofErr w:type="spellStart"/>
      <w:r w:rsidRPr="00612C4E">
        <w:rPr>
          <w:rFonts w:ascii="Verdana" w:eastAsia="Arial" w:hAnsi="Verdana" w:cs="Arial"/>
          <w:sz w:val="20"/>
          <w:szCs w:val="20"/>
          <w:lang w:val="es-ES"/>
        </w:rPr>
        <w:t>ii</w:t>
      </w:r>
      <w:proofErr w:type="spellEnd"/>
      <w:r w:rsidRPr="00612C4E">
        <w:rPr>
          <w:rFonts w:ascii="Verdana" w:eastAsia="Arial" w:hAnsi="Verdana" w:cs="Arial"/>
          <w:sz w:val="20"/>
          <w:szCs w:val="20"/>
          <w:lang w:val="es-ES"/>
        </w:rPr>
        <w:t xml:space="preserve">) los “precios unitarios” –en los cuales se suelen detallar los costos directos, diferenciándolos de los costos indirectos de administración (A), imprevistos (I) y utilidades (U)–, o </w:t>
      </w:r>
      <w:proofErr w:type="spellStart"/>
      <w:r w:rsidRPr="00612C4E">
        <w:rPr>
          <w:rFonts w:ascii="Verdana" w:eastAsia="Arial" w:hAnsi="Verdana" w:cs="Arial"/>
          <w:sz w:val="20"/>
          <w:szCs w:val="20"/>
          <w:lang w:val="es-ES"/>
        </w:rPr>
        <w:t>iii</w:t>
      </w:r>
      <w:proofErr w:type="spellEnd"/>
      <w:r w:rsidRPr="00612C4E">
        <w:rPr>
          <w:rFonts w:ascii="Verdana" w:eastAsia="Arial" w:hAnsi="Verdana" w:cs="Arial"/>
          <w:sz w:val="20"/>
          <w:szCs w:val="20"/>
          <w:lang w:val="es-ES"/>
        </w:rPr>
        <w:t>) la “administración delegada”, que consiste en la modalidad en virtud de la cual el contratista recibe unos recursos destinados a cubrir los costos de un determinado proyecto –siendo lo más común que se aplique en la ejecución de obras públicas– (recursos de inversión o entregados en administración), por cuya labor obtendrá, a título de pago, unos honorarios por la administración</w:t>
      </w:r>
    </w:p>
    <w:p w14:paraId="7EB857A4" w14:textId="77777777" w:rsidR="00811957" w:rsidRDefault="00811957" w:rsidP="00811957">
      <w:pPr>
        <w:spacing w:after="0" w:line="240" w:lineRule="auto"/>
        <w:rPr>
          <w:rFonts w:ascii="Verdana" w:eastAsia="Geomanist Light" w:hAnsi="Verdana" w:cs="Arial"/>
          <w:color w:val="000000" w:themeColor="text1"/>
        </w:rPr>
      </w:pPr>
    </w:p>
    <w:p w14:paraId="01072079" w14:textId="77777777" w:rsidR="00811957" w:rsidRDefault="00811957" w:rsidP="00811957">
      <w:pPr>
        <w:spacing w:after="0" w:line="240" w:lineRule="auto"/>
        <w:rPr>
          <w:rFonts w:ascii="Verdana" w:eastAsia="Geomanist Light" w:hAnsi="Verdana" w:cs="Arial"/>
          <w:color w:val="000000" w:themeColor="text1"/>
        </w:rPr>
      </w:pPr>
    </w:p>
    <w:p w14:paraId="09757908" w14:textId="77777777" w:rsidR="00811957" w:rsidRDefault="00811957" w:rsidP="00811957">
      <w:pPr>
        <w:spacing w:after="0" w:line="240" w:lineRule="auto"/>
        <w:rPr>
          <w:rFonts w:ascii="Verdana" w:eastAsia="Geomanist Light" w:hAnsi="Verdana" w:cs="Arial"/>
          <w:color w:val="000000" w:themeColor="text1"/>
        </w:rPr>
      </w:pPr>
    </w:p>
    <w:p w14:paraId="1D70B92C" w14:textId="77777777" w:rsidR="00811957" w:rsidRDefault="00811957" w:rsidP="007579FD">
      <w:pPr>
        <w:spacing w:after="0" w:line="240" w:lineRule="auto"/>
        <w:rPr>
          <w:rFonts w:ascii="Verdana" w:eastAsia="Geomanist Light" w:hAnsi="Verdana" w:cs="Arial"/>
          <w:color w:val="000000" w:themeColor="text1"/>
        </w:rPr>
      </w:pPr>
    </w:p>
    <w:p w14:paraId="567024AA" w14:textId="77777777" w:rsidR="00EE318A" w:rsidRDefault="00EE318A" w:rsidP="007579FD">
      <w:pPr>
        <w:spacing w:after="0" w:line="240" w:lineRule="auto"/>
        <w:rPr>
          <w:rFonts w:ascii="Verdana" w:eastAsia="Geomanist Light" w:hAnsi="Verdana" w:cs="Arial"/>
          <w:color w:val="000000" w:themeColor="text1"/>
        </w:rPr>
      </w:pPr>
    </w:p>
    <w:p w14:paraId="2D558681" w14:textId="77777777" w:rsidR="00EE318A" w:rsidRDefault="00EE318A" w:rsidP="007579FD">
      <w:pPr>
        <w:spacing w:after="0" w:line="240" w:lineRule="auto"/>
        <w:rPr>
          <w:rFonts w:ascii="Verdana" w:eastAsia="Geomanist Light" w:hAnsi="Verdana" w:cs="Arial"/>
          <w:color w:val="000000" w:themeColor="text1"/>
        </w:rPr>
      </w:pPr>
    </w:p>
    <w:p w14:paraId="7205DF77" w14:textId="77777777" w:rsidR="00EE318A" w:rsidRDefault="00EE318A" w:rsidP="007579FD">
      <w:pPr>
        <w:spacing w:after="0" w:line="240" w:lineRule="auto"/>
        <w:rPr>
          <w:rFonts w:ascii="Verdana" w:eastAsia="Geomanist Light" w:hAnsi="Verdana" w:cs="Arial"/>
          <w:color w:val="000000" w:themeColor="text1"/>
        </w:rPr>
      </w:pPr>
    </w:p>
    <w:p w14:paraId="4602CDF0" w14:textId="77777777" w:rsidR="00EE318A" w:rsidRDefault="00EE318A" w:rsidP="007579FD">
      <w:pPr>
        <w:spacing w:after="0" w:line="240" w:lineRule="auto"/>
        <w:rPr>
          <w:rFonts w:ascii="Verdana" w:eastAsia="Geomanist Light" w:hAnsi="Verdana" w:cs="Arial"/>
          <w:color w:val="000000" w:themeColor="text1"/>
        </w:rPr>
      </w:pPr>
    </w:p>
    <w:p w14:paraId="23461328" w14:textId="77777777" w:rsidR="00BD2A27" w:rsidRDefault="00BD2A27" w:rsidP="00714031">
      <w:pPr>
        <w:spacing w:after="0" w:line="240" w:lineRule="auto"/>
        <w:rPr>
          <w:rFonts w:ascii="Verdana" w:eastAsia="Geomanist Light" w:hAnsi="Verdana" w:cs="Arial"/>
          <w:color w:val="000000" w:themeColor="text1"/>
        </w:rPr>
      </w:pPr>
    </w:p>
    <w:p w14:paraId="5249F3A8" w14:textId="77777777" w:rsidR="00BD2A27" w:rsidRDefault="00BD2A27" w:rsidP="00714031">
      <w:pPr>
        <w:spacing w:after="0" w:line="240" w:lineRule="auto"/>
        <w:rPr>
          <w:rFonts w:ascii="Verdana" w:eastAsia="Geomanist Light" w:hAnsi="Verdana" w:cs="Arial"/>
          <w:color w:val="000000" w:themeColor="text1"/>
        </w:rPr>
      </w:pPr>
    </w:p>
    <w:p w14:paraId="1F84283C" w14:textId="77777777" w:rsidR="00BD2A27" w:rsidRDefault="00BD2A27" w:rsidP="00714031">
      <w:pPr>
        <w:spacing w:after="0" w:line="240" w:lineRule="auto"/>
        <w:rPr>
          <w:rFonts w:ascii="Verdana" w:eastAsia="Geomanist Light" w:hAnsi="Verdana" w:cs="Arial"/>
          <w:color w:val="000000" w:themeColor="text1"/>
        </w:rPr>
      </w:pPr>
    </w:p>
    <w:p w14:paraId="4EEAF9FD" w14:textId="77777777" w:rsidR="00FD009D" w:rsidRDefault="00FD009D" w:rsidP="00714031">
      <w:pPr>
        <w:spacing w:after="0" w:line="240" w:lineRule="auto"/>
        <w:rPr>
          <w:rFonts w:ascii="Verdana" w:eastAsia="Geomanist Light" w:hAnsi="Verdana" w:cs="Arial"/>
          <w:color w:val="000000" w:themeColor="text1"/>
        </w:rPr>
      </w:pPr>
    </w:p>
    <w:p w14:paraId="4FBC6D02" w14:textId="6080F95B" w:rsidR="00714031" w:rsidRPr="00143822" w:rsidRDefault="00714031" w:rsidP="00714031">
      <w:pPr>
        <w:spacing w:after="0" w:line="240" w:lineRule="auto"/>
        <w:rPr>
          <w:rFonts w:ascii="Verdana" w:eastAsia="Geomanist Light" w:hAnsi="Verdana" w:cs="Arial"/>
          <w:color w:val="201F1E"/>
        </w:rPr>
      </w:pPr>
      <w:r w:rsidRPr="00143822">
        <w:rPr>
          <w:rFonts w:ascii="Verdana" w:eastAsia="Geomanist Light" w:hAnsi="Verdana" w:cs="Arial"/>
          <w:color w:val="000000" w:themeColor="text1"/>
        </w:rPr>
        <w:lastRenderedPageBreak/>
        <w:t>Bogotá D.C., </w:t>
      </w:r>
      <w:r w:rsidR="00A621A5">
        <w:rPr>
          <w:rFonts w:ascii="Verdana" w:eastAsia="Geomanist Light" w:hAnsi="Verdana" w:cs="Arial"/>
          <w:color w:val="000000" w:themeColor="text1"/>
        </w:rPr>
        <w:t>22 de diciembre de 2025</w:t>
      </w:r>
    </w:p>
    <w:p w14:paraId="0AAEC843" w14:textId="29071556" w:rsidR="00714031" w:rsidRPr="003C21D8" w:rsidRDefault="00714031" w:rsidP="00A621A5">
      <w:pPr>
        <w:snapToGrid w:val="0"/>
        <w:spacing w:after="0" w:line="240" w:lineRule="auto"/>
        <w:contextualSpacing/>
        <w:jc w:val="right"/>
        <w:rPr>
          <w:rFonts w:ascii="Verdana" w:eastAsia="Geomanist Light" w:hAnsi="Verdana" w:cs="Arial"/>
          <w:b/>
          <w:bCs/>
          <w:color w:val="000000"/>
          <w:sz w:val="20"/>
          <w:szCs w:val="20"/>
          <w:lang w:val="es-MX"/>
        </w:rPr>
      </w:pPr>
    </w:p>
    <w:p w14:paraId="6E456058" w14:textId="67F8BB4E" w:rsidR="00714031" w:rsidRPr="002069C6" w:rsidRDefault="00714031" w:rsidP="00714031">
      <w:pPr>
        <w:spacing w:after="0"/>
        <w:rPr>
          <w:rFonts w:ascii="Verdana" w:hAnsi="Verdana"/>
          <w:lang w:val="es-ES"/>
        </w:rPr>
      </w:pPr>
    </w:p>
    <w:p w14:paraId="768DFE09" w14:textId="0FCA5F5C" w:rsidR="00714031" w:rsidRPr="002069C6" w:rsidRDefault="005A39C9" w:rsidP="00714031">
      <w:pPr>
        <w:spacing w:after="0" w:line="240" w:lineRule="auto"/>
        <w:jc w:val="both"/>
        <w:rPr>
          <w:rFonts w:ascii="Verdana" w:eastAsia="Calibri" w:hAnsi="Verdana" w:cs="Arial"/>
          <w:color w:val="000000" w:themeColor="text1"/>
          <w:lang w:val="es-ES" w:eastAsia="es-ES"/>
        </w:rPr>
      </w:pPr>
      <w:r w:rsidRPr="00A621A5">
        <w:rPr>
          <w:rFonts w:ascii="Verdana" w:eastAsia="Geomanist Light" w:hAnsi="Verdana" w:cs="Arial"/>
          <w:b/>
          <w:bCs/>
          <w:noProof/>
          <w:color w:val="000000"/>
          <w:sz w:val="20"/>
          <w:szCs w:val="20"/>
          <w:lang w:val="es-MX"/>
        </w:rPr>
        <w:drawing>
          <wp:anchor distT="0" distB="0" distL="114300" distR="114300" simplePos="0" relativeHeight="251658240" behindDoc="0" locked="0" layoutInCell="1" allowOverlap="1" wp14:anchorId="3079A69E" wp14:editId="252BC1DD">
            <wp:simplePos x="0" y="0"/>
            <wp:positionH relativeFrom="margin">
              <wp:align>right</wp:align>
            </wp:positionH>
            <wp:positionV relativeFrom="paragraph">
              <wp:posOffset>7620</wp:posOffset>
            </wp:positionV>
            <wp:extent cx="2798445" cy="853440"/>
            <wp:effectExtent l="0" t="0" r="1905" b="3810"/>
            <wp:wrapSquare wrapText="bothSides"/>
            <wp:docPr id="7641773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98445" cy="853440"/>
                    </a:xfrm>
                    <a:prstGeom prst="rect">
                      <a:avLst/>
                    </a:prstGeom>
                    <a:noFill/>
                    <a:ln>
                      <a:noFill/>
                    </a:ln>
                  </pic:spPr>
                </pic:pic>
              </a:graphicData>
            </a:graphic>
            <wp14:sizeRelH relativeFrom="margin">
              <wp14:pctWidth>0</wp14:pctWidth>
            </wp14:sizeRelH>
          </wp:anchor>
        </w:drawing>
      </w:r>
      <w:r w:rsidR="00714031" w:rsidRPr="002069C6">
        <w:rPr>
          <w:rFonts w:ascii="Verdana" w:eastAsia="Calibri" w:hAnsi="Verdana" w:cs="Arial"/>
          <w:color w:val="000000" w:themeColor="text1"/>
          <w:lang w:val="es-ES" w:eastAsia="es-ES"/>
        </w:rPr>
        <w:t>Señor</w:t>
      </w:r>
      <w:r w:rsidR="00714031">
        <w:rPr>
          <w:rFonts w:ascii="Verdana" w:eastAsia="Calibri" w:hAnsi="Verdana" w:cs="Arial"/>
          <w:color w:val="000000" w:themeColor="text1"/>
          <w:lang w:val="es-ES" w:eastAsia="es-ES"/>
        </w:rPr>
        <w:t>a</w:t>
      </w:r>
    </w:p>
    <w:p w14:paraId="40579907" w14:textId="77777777" w:rsidR="00714031" w:rsidRPr="005A758F" w:rsidRDefault="00714031" w:rsidP="00714031">
      <w:pPr>
        <w:spacing w:after="0" w:line="240" w:lineRule="auto"/>
        <w:rPr>
          <w:rFonts w:ascii="Verdana" w:eastAsia="Calibri" w:hAnsi="Verdana" w:cs="Arial"/>
          <w:b/>
          <w:bCs/>
          <w:color w:val="000000" w:themeColor="text1"/>
          <w:lang w:eastAsia="es-ES_tradnl"/>
        </w:rPr>
      </w:pPr>
      <w:r>
        <w:rPr>
          <w:rFonts w:ascii="Verdana" w:eastAsia="Calibri" w:hAnsi="Verdana" w:cs="Arial"/>
          <w:b/>
          <w:bCs/>
          <w:color w:val="000000" w:themeColor="text1"/>
          <w:lang w:eastAsia="es-ES_tradnl"/>
        </w:rPr>
        <w:t>Liliana María Lenis Tangarife</w:t>
      </w:r>
      <w:r w:rsidRPr="005A758F">
        <w:rPr>
          <w:rFonts w:ascii="Verdana" w:eastAsia="Calibri" w:hAnsi="Verdana" w:cs="Arial"/>
          <w:b/>
          <w:bCs/>
          <w:color w:val="000000" w:themeColor="text1"/>
          <w:lang w:eastAsia="es-ES_tradnl"/>
        </w:rPr>
        <w:t xml:space="preserve"> </w:t>
      </w:r>
    </w:p>
    <w:p w14:paraId="7B9681D3" w14:textId="77777777" w:rsidR="00714031" w:rsidRDefault="00714031" w:rsidP="00714031">
      <w:pPr>
        <w:spacing w:after="0" w:line="240" w:lineRule="auto"/>
        <w:rPr>
          <w:rFonts w:ascii="Verdana" w:eastAsia="Calibri" w:hAnsi="Verdana" w:cs="Arial"/>
          <w:color w:val="000000" w:themeColor="text1"/>
          <w:lang w:eastAsia="es-ES_tradnl"/>
        </w:rPr>
      </w:pPr>
      <w:hyperlink r:id="rId12" w:history="1">
        <w:r w:rsidRPr="00AE6022">
          <w:rPr>
            <w:rStyle w:val="Hipervnculo"/>
            <w:rFonts w:ascii="Verdana" w:eastAsia="Calibri" w:hAnsi="Verdana" w:cs="Arial"/>
            <w:lang w:eastAsia="es-ES_tradnl"/>
          </w:rPr>
          <w:t>lilimaria.tangarife@gmail.com</w:t>
        </w:r>
      </w:hyperlink>
      <w:r>
        <w:rPr>
          <w:rFonts w:ascii="Verdana" w:eastAsia="Calibri" w:hAnsi="Verdana" w:cs="Arial"/>
          <w:color w:val="000000" w:themeColor="text1"/>
          <w:lang w:eastAsia="es-ES_tradnl"/>
        </w:rPr>
        <w:t xml:space="preserve"> </w:t>
      </w:r>
    </w:p>
    <w:p w14:paraId="57FF6526" w14:textId="77777777" w:rsidR="00714031" w:rsidRPr="005A758F" w:rsidRDefault="00714031" w:rsidP="00714031">
      <w:pPr>
        <w:spacing w:after="0" w:line="240" w:lineRule="auto"/>
        <w:rPr>
          <w:rFonts w:ascii="Verdana" w:eastAsia="Calibri" w:hAnsi="Verdana" w:cs="Arial"/>
          <w:color w:val="000000" w:themeColor="text1"/>
          <w:lang w:eastAsia="es-ES_tradnl"/>
        </w:rPr>
      </w:pPr>
      <w:r>
        <w:rPr>
          <w:rFonts w:ascii="Verdana" w:eastAsia="Calibri" w:hAnsi="Verdana" w:cs="Arial"/>
          <w:color w:val="000000" w:themeColor="text1"/>
          <w:lang w:eastAsia="es-ES_tradnl"/>
        </w:rPr>
        <w:t>Copacabana, Antioquia</w:t>
      </w:r>
    </w:p>
    <w:p w14:paraId="7BD8596A" w14:textId="77777777" w:rsidR="00714031" w:rsidRPr="002069C6" w:rsidRDefault="00714031" w:rsidP="00714031">
      <w:pPr>
        <w:spacing w:after="0" w:line="240" w:lineRule="auto"/>
        <w:rPr>
          <w:rFonts w:ascii="Verdana" w:eastAsia="Calibri" w:hAnsi="Verdana" w:cs="Arial"/>
          <w:color w:val="000000" w:themeColor="text1"/>
          <w:lang w:eastAsia="es-ES_tradnl"/>
        </w:rPr>
      </w:pPr>
    </w:p>
    <w:p w14:paraId="35EB25F4" w14:textId="77777777" w:rsidR="00714031" w:rsidRPr="002069C6" w:rsidRDefault="00714031" w:rsidP="00714031">
      <w:pPr>
        <w:spacing w:after="0" w:line="240" w:lineRule="auto"/>
        <w:rPr>
          <w:rFonts w:ascii="Verdana" w:eastAsia="Calibri" w:hAnsi="Verdana" w:cs="Arial"/>
          <w:b/>
          <w:bCs/>
          <w:color w:val="000000" w:themeColor="text1"/>
          <w:lang w:val="es-ES" w:eastAsia="es-ES_tradnl"/>
        </w:rPr>
      </w:pPr>
    </w:p>
    <w:tbl>
      <w:tblPr>
        <w:tblStyle w:val="Tablaconcuadrcula"/>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714031" w:rsidRPr="002069C6" w14:paraId="1F51EE69" w14:textId="77777777" w:rsidTr="00831131">
        <w:trPr>
          <w:gridAfter w:val="1"/>
          <w:wAfter w:w="4179" w:type="dxa"/>
          <w:trHeight w:val="304"/>
        </w:trPr>
        <w:tc>
          <w:tcPr>
            <w:tcW w:w="2689" w:type="dxa"/>
          </w:tcPr>
          <w:p w14:paraId="191BD198" w14:textId="77777777" w:rsidR="00714031" w:rsidRPr="002069C6" w:rsidRDefault="00714031" w:rsidP="00831131">
            <w:pPr>
              <w:jc w:val="both"/>
              <w:rPr>
                <w:rFonts w:ascii="Verdana" w:eastAsia="Calibri" w:hAnsi="Verdana" w:cs="Arial"/>
                <w:b/>
                <w:bCs/>
                <w:color w:val="000000" w:themeColor="text1"/>
                <w:lang w:val="es-ES" w:eastAsia="es-ES_tradnl"/>
              </w:rPr>
            </w:pPr>
          </w:p>
        </w:tc>
        <w:tc>
          <w:tcPr>
            <w:tcW w:w="6100" w:type="dxa"/>
          </w:tcPr>
          <w:p w14:paraId="5B44606D" w14:textId="77777777" w:rsidR="00714031" w:rsidRDefault="00714031" w:rsidP="00831131">
            <w:pPr>
              <w:jc w:val="both"/>
              <w:rPr>
                <w:rFonts w:ascii="Verdana" w:eastAsia="Calibri" w:hAnsi="Verdana" w:cs="Arial"/>
                <w:b/>
                <w:bCs/>
                <w:color w:val="000000" w:themeColor="text1"/>
                <w:lang w:val="es-ES" w:eastAsia="es-ES"/>
              </w:rPr>
            </w:pPr>
          </w:p>
          <w:p w14:paraId="693415E1" w14:textId="77777777" w:rsidR="00714031" w:rsidRPr="002069C6" w:rsidRDefault="00714031" w:rsidP="00831131">
            <w:pPr>
              <w:jc w:val="both"/>
              <w:rPr>
                <w:rFonts w:ascii="Verdana" w:eastAsia="Calibri" w:hAnsi="Verdana" w:cs="Arial"/>
                <w:b/>
                <w:bCs/>
                <w:color w:val="000000" w:themeColor="text1"/>
                <w:lang w:val="es-ES" w:eastAsia="es-ES"/>
              </w:rPr>
            </w:pPr>
            <w:r w:rsidRPr="002069C6">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1718</w:t>
            </w:r>
            <w:r w:rsidRPr="002069C6">
              <w:rPr>
                <w:rFonts w:ascii="Verdana" w:eastAsia="Calibri" w:hAnsi="Verdana" w:cs="Arial"/>
                <w:b/>
                <w:bCs/>
                <w:color w:val="000000" w:themeColor="text1"/>
                <w:lang w:val="es-ES" w:eastAsia="es-ES"/>
              </w:rPr>
              <w:t xml:space="preserve"> de 2025</w:t>
            </w:r>
          </w:p>
          <w:p w14:paraId="0E38423E" w14:textId="77777777" w:rsidR="00714031" w:rsidRPr="002069C6" w:rsidRDefault="00714031" w:rsidP="00831131">
            <w:pPr>
              <w:jc w:val="both"/>
              <w:rPr>
                <w:rFonts w:ascii="Verdana" w:eastAsia="Calibri" w:hAnsi="Verdana" w:cs="Arial"/>
                <w:b/>
                <w:bCs/>
                <w:color w:val="000000" w:themeColor="text1"/>
                <w:lang w:val="es-ES" w:eastAsia="es-ES"/>
              </w:rPr>
            </w:pPr>
          </w:p>
        </w:tc>
      </w:tr>
      <w:tr w:rsidR="00714031" w:rsidRPr="002069C6" w14:paraId="6B3D18FA" w14:textId="77777777" w:rsidTr="00831131">
        <w:trPr>
          <w:trHeight w:val="884"/>
        </w:trPr>
        <w:tc>
          <w:tcPr>
            <w:tcW w:w="2689" w:type="dxa"/>
          </w:tcPr>
          <w:p w14:paraId="2533FA3A" w14:textId="77777777" w:rsidR="00714031" w:rsidRPr="002069C6" w:rsidRDefault="00714031" w:rsidP="00831131">
            <w:pPr>
              <w:jc w:val="both"/>
              <w:rPr>
                <w:rFonts w:ascii="Verdana" w:eastAsia="Calibri" w:hAnsi="Verdana" w:cs="Arial"/>
                <w:color w:val="000000" w:themeColor="text1"/>
                <w:lang w:val="es-ES" w:eastAsia="es-ES_tradnl"/>
              </w:rPr>
            </w:pPr>
            <w:r w:rsidRPr="002069C6">
              <w:rPr>
                <w:rFonts w:ascii="Verdana" w:eastAsia="Calibri" w:hAnsi="Verdana" w:cs="Arial"/>
                <w:b/>
                <w:color w:val="000000" w:themeColor="text1"/>
                <w:lang w:val="es-ES" w:eastAsia="es-ES_tradnl"/>
              </w:rPr>
              <w:t>Temas:</w:t>
            </w:r>
            <w:r w:rsidRPr="002069C6">
              <w:rPr>
                <w:rFonts w:ascii="Verdana" w:eastAsia="Calibri" w:hAnsi="Verdana" w:cs="Arial"/>
                <w:color w:val="000000" w:themeColor="text1"/>
                <w:lang w:val="es-ES" w:eastAsia="es-ES_tradnl"/>
              </w:rPr>
              <w:t xml:space="preserve">                   </w:t>
            </w:r>
          </w:p>
        </w:tc>
        <w:tc>
          <w:tcPr>
            <w:tcW w:w="6100" w:type="dxa"/>
          </w:tcPr>
          <w:p w14:paraId="561352DE" w14:textId="77777777" w:rsidR="00714031" w:rsidRPr="002069C6" w:rsidRDefault="00714031" w:rsidP="00831131">
            <w:pPr>
              <w:spacing w:line="276" w:lineRule="auto"/>
              <w:jc w:val="both"/>
              <w:rPr>
                <w:rFonts w:ascii="Verdana" w:eastAsia="Calibri" w:hAnsi="Verdana" w:cs="Arial"/>
                <w:color w:val="000000" w:themeColor="text1"/>
                <w:lang w:val="es-ES" w:eastAsia="es-ES"/>
              </w:rPr>
            </w:pPr>
            <w:r w:rsidRPr="003248CC">
              <w:rPr>
                <w:rFonts w:ascii="Verdana" w:eastAsia="Calibri" w:hAnsi="Verdana" w:cs="Arial"/>
                <w:lang w:val="es-ES_tradnl" w:eastAsia="es-ES"/>
              </w:rPr>
              <w:t xml:space="preserve">ADMINISTRACIÓN DELEGADA </w:t>
            </w:r>
            <w:r w:rsidRPr="003248CC">
              <w:rPr>
                <w:rFonts w:ascii="Verdana" w:eastAsia="Calibri" w:hAnsi="Verdana" w:cs="Arial"/>
                <w:lang w:eastAsia="es-ES"/>
              </w:rPr>
              <w:t>–</w:t>
            </w:r>
            <w:r w:rsidRPr="003248CC">
              <w:rPr>
                <w:rFonts w:ascii="Verdana" w:eastAsia="Calibri" w:hAnsi="Verdana" w:cs="Arial"/>
                <w:lang w:val="es-ES_tradnl" w:eastAsia="es-ES"/>
              </w:rPr>
              <w:t xml:space="preserve"> Noción </w:t>
            </w:r>
            <w:r w:rsidRPr="003248CC">
              <w:rPr>
                <w:rFonts w:ascii="Verdana" w:eastAsia="Calibri" w:hAnsi="Verdana" w:cs="Arial"/>
                <w:lang w:eastAsia="es-ES"/>
              </w:rPr>
              <w:t>–</w:t>
            </w:r>
            <w:r w:rsidRPr="003248CC">
              <w:rPr>
                <w:rFonts w:ascii="Verdana" w:eastAsia="Calibri" w:hAnsi="Verdana" w:cs="Arial"/>
                <w:lang w:val="es-ES_tradnl" w:eastAsia="es-ES"/>
              </w:rPr>
              <w:t xml:space="preserve"> Definición – Mandato – Administración y pago</w:t>
            </w:r>
          </w:p>
        </w:tc>
        <w:tc>
          <w:tcPr>
            <w:tcW w:w="4179" w:type="dxa"/>
          </w:tcPr>
          <w:p w14:paraId="3E5EF9A5" w14:textId="77777777" w:rsidR="00714031" w:rsidRPr="002069C6" w:rsidRDefault="00714031" w:rsidP="00831131">
            <w:pPr>
              <w:spacing w:line="276" w:lineRule="auto"/>
              <w:jc w:val="both"/>
              <w:rPr>
                <w:rFonts w:ascii="Verdana" w:eastAsia="Calibri" w:hAnsi="Verdana" w:cs="Arial"/>
                <w:b/>
                <w:bCs/>
                <w:color w:val="000000" w:themeColor="text1"/>
                <w:lang w:val="es-ES" w:eastAsia="es-ES"/>
              </w:rPr>
            </w:pPr>
          </w:p>
          <w:p w14:paraId="5C9C1777" w14:textId="77777777" w:rsidR="00714031" w:rsidRPr="002069C6" w:rsidRDefault="00714031" w:rsidP="00831131">
            <w:pPr>
              <w:rPr>
                <w:rFonts w:ascii="Verdana" w:hAnsi="Verdana"/>
                <w:lang w:val="es-ES"/>
              </w:rPr>
            </w:pPr>
          </w:p>
        </w:tc>
      </w:tr>
      <w:tr w:rsidR="00714031" w:rsidRPr="002069C6" w14:paraId="5367B62C" w14:textId="77777777" w:rsidTr="00831131">
        <w:trPr>
          <w:gridAfter w:val="1"/>
          <w:wAfter w:w="4179" w:type="dxa"/>
          <w:trHeight w:val="360"/>
        </w:trPr>
        <w:tc>
          <w:tcPr>
            <w:tcW w:w="2689" w:type="dxa"/>
          </w:tcPr>
          <w:p w14:paraId="21F42C7A" w14:textId="77777777" w:rsidR="00714031" w:rsidRPr="002069C6" w:rsidRDefault="00714031" w:rsidP="00831131">
            <w:pPr>
              <w:jc w:val="both"/>
              <w:rPr>
                <w:rFonts w:ascii="Verdana" w:eastAsia="Calibri" w:hAnsi="Verdana" w:cs="Arial"/>
                <w:b/>
                <w:color w:val="000000" w:themeColor="text1"/>
                <w:lang w:val="es-ES" w:eastAsia="es-ES_tradnl"/>
              </w:rPr>
            </w:pPr>
            <w:r w:rsidRPr="002069C6">
              <w:rPr>
                <w:rFonts w:ascii="Verdana" w:eastAsia="Calibri" w:hAnsi="Verdana" w:cs="Arial"/>
                <w:b/>
                <w:color w:val="000000" w:themeColor="text1"/>
                <w:lang w:val="es-ES" w:eastAsia="es-ES_tradnl"/>
              </w:rPr>
              <w:t>Radicación:</w:t>
            </w:r>
            <w:r w:rsidRPr="002069C6">
              <w:rPr>
                <w:rFonts w:ascii="Verdana" w:eastAsia="Calibri" w:hAnsi="Verdana" w:cs="Arial"/>
                <w:color w:val="000000" w:themeColor="text1"/>
                <w:lang w:val="es-ES" w:eastAsia="es-ES_tradnl"/>
              </w:rPr>
              <w:t xml:space="preserve">               </w:t>
            </w:r>
          </w:p>
        </w:tc>
        <w:tc>
          <w:tcPr>
            <w:tcW w:w="6100" w:type="dxa"/>
          </w:tcPr>
          <w:p w14:paraId="2F5B0F53" w14:textId="77777777" w:rsidR="00714031" w:rsidRPr="002069C6" w:rsidRDefault="00714031" w:rsidP="00831131">
            <w:pPr>
              <w:jc w:val="both"/>
              <w:rPr>
                <w:rFonts w:ascii="Verdana" w:eastAsia="Calibri" w:hAnsi="Verdana" w:cs="Arial"/>
                <w:color w:val="000000" w:themeColor="text1"/>
                <w:lang w:val="es-ES" w:eastAsia="es-ES_tradnl"/>
              </w:rPr>
            </w:pPr>
            <w:r w:rsidRPr="002069C6">
              <w:rPr>
                <w:rFonts w:ascii="Verdana" w:eastAsia="Calibri" w:hAnsi="Verdana" w:cs="Arial"/>
                <w:color w:val="000000" w:themeColor="text1"/>
                <w:lang w:val="es-ES" w:eastAsia="es-ES_tradnl"/>
              </w:rPr>
              <w:t>Respuesta a consulta con radicado No.</w:t>
            </w:r>
            <w:r>
              <w:rPr>
                <w:rFonts w:ascii="Verdana" w:eastAsia="Calibri" w:hAnsi="Verdana" w:cs="Arial"/>
                <w:color w:val="000000" w:themeColor="text1"/>
                <w:lang w:val="es-ES" w:eastAsia="es-ES_tradnl"/>
              </w:rPr>
              <w:t xml:space="preserve"> </w:t>
            </w:r>
            <w:r w:rsidRPr="007579FD">
              <w:rPr>
                <w:rFonts w:ascii="Verdana" w:eastAsia="Calibri" w:hAnsi="Verdana" w:cs="Arial"/>
                <w:color w:val="000000" w:themeColor="text1"/>
                <w:lang w:val="es-ES" w:eastAsia="es-ES_tradnl"/>
              </w:rPr>
              <w:t>1_2025_11_20_013092</w:t>
            </w:r>
          </w:p>
        </w:tc>
      </w:tr>
    </w:tbl>
    <w:p w14:paraId="4CC499B7" w14:textId="77777777" w:rsidR="00714031" w:rsidRPr="002069C6" w:rsidRDefault="00714031" w:rsidP="00714031">
      <w:pPr>
        <w:spacing w:after="0" w:line="276" w:lineRule="auto"/>
        <w:jc w:val="both"/>
        <w:rPr>
          <w:rFonts w:ascii="Verdana" w:eastAsia="Calibri" w:hAnsi="Verdana" w:cs="Arial"/>
          <w:color w:val="000000" w:themeColor="text1"/>
          <w:lang w:val="es-ES" w:eastAsia="es-ES_tradnl"/>
        </w:rPr>
      </w:pPr>
    </w:p>
    <w:p w14:paraId="2D49D241" w14:textId="77777777" w:rsidR="00714031" w:rsidRPr="002069C6" w:rsidRDefault="00714031" w:rsidP="00714031">
      <w:pPr>
        <w:spacing w:after="0" w:line="276" w:lineRule="auto"/>
        <w:jc w:val="both"/>
        <w:rPr>
          <w:rFonts w:ascii="Verdana" w:eastAsia="Calibri" w:hAnsi="Verdana" w:cs="Arial"/>
          <w:color w:val="000000" w:themeColor="text1"/>
          <w:lang w:val="es-ES" w:eastAsia="es-ES_tradnl"/>
        </w:rPr>
      </w:pPr>
    </w:p>
    <w:p w14:paraId="0413DA1D" w14:textId="77777777" w:rsidR="00714031" w:rsidRPr="002069C6" w:rsidRDefault="00714031" w:rsidP="00714031">
      <w:pPr>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2069C6">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w:t>
      </w:r>
      <w:r w:rsidRPr="002069C6">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Lenis</w:t>
      </w:r>
      <w:r w:rsidRPr="002069C6">
        <w:rPr>
          <w:rFonts w:ascii="Verdana" w:eastAsia="Calibri" w:hAnsi="Verdana" w:cs="Arial"/>
          <w:color w:val="000000" w:themeColor="text1"/>
          <w:lang w:val="es-ES" w:eastAsia="es-ES"/>
        </w:rPr>
        <w:t xml:space="preserve">: </w:t>
      </w:r>
    </w:p>
    <w:p w14:paraId="08A33D7D" w14:textId="77777777" w:rsidR="00714031" w:rsidRPr="002069C6" w:rsidRDefault="00714031" w:rsidP="00714031">
      <w:pPr>
        <w:tabs>
          <w:tab w:val="left" w:pos="3768"/>
        </w:tabs>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ab/>
      </w:r>
    </w:p>
    <w:p w14:paraId="797AABAA" w14:textId="77777777" w:rsidR="00714031" w:rsidRPr="00192FCF" w:rsidRDefault="00714031" w:rsidP="00714031">
      <w:pPr>
        <w:spacing w:after="120" w:line="276" w:lineRule="auto"/>
        <w:jc w:val="both"/>
        <w:rPr>
          <w:rFonts w:ascii="Verdana" w:eastAsia="Century Gothic" w:hAnsi="Verdana" w:cs="Century Gothic"/>
          <w:color w:val="000000" w:themeColor="text1"/>
          <w:lang w:val="es-ES"/>
        </w:rPr>
      </w:pPr>
      <w:r w:rsidRPr="002069C6">
        <w:rPr>
          <w:rFonts w:ascii="Verdana" w:eastAsia="Calibri" w:hAnsi="Verdana" w:cs="Arial"/>
          <w:color w:val="000000" w:themeColor="text1"/>
          <w:lang w:val="es-ES" w:eastAsia="es-ES"/>
        </w:rPr>
        <w:t>En ejercicio de la competencia otorgada por los artículos 3, numeral 5º, y 11, numeral 8º, del Decreto Ley 4170 de 2011,</w:t>
      </w:r>
      <w:r w:rsidRPr="002069C6">
        <w:rPr>
          <w:rFonts w:ascii="Verdana" w:eastAsia="Arial MT" w:hAnsi="Verdana" w:cs="Arial MT"/>
          <w:color w:val="000000" w:themeColor="text1"/>
          <w:lang w:val="es-ES" w:eastAsia="es-ES"/>
        </w:rPr>
        <w:t xml:space="preserve"> </w:t>
      </w:r>
      <w:r w:rsidRPr="00143822">
        <w:rPr>
          <w:rFonts w:ascii="Verdana" w:hAnsi="Verdana" w:cs="Arial"/>
          <w:lang w:val="es-ES_tradnl"/>
        </w:rPr>
        <w:t>así como lo establecido en</w:t>
      </w:r>
      <w:r w:rsidRPr="00143822">
        <w:rPr>
          <w:rFonts w:ascii="Verdana" w:hAnsi="Verdana" w:cs="Arial"/>
        </w:rPr>
        <w:t xml:space="preserve"> la Resolución 469 de 2025 expedida por esta Entidad</w:t>
      </w:r>
      <w:r w:rsidRPr="002069C6">
        <w:rPr>
          <w:rFonts w:ascii="Verdana" w:hAnsi="Verdana" w:cs="Arial"/>
          <w:color w:val="000000" w:themeColor="text1"/>
          <w:lang w:val="es-ES"/>
        </w:rPr>
        <w:t xml:space="preserve">, la Agencia Nacional de Contratación Pública – Colombia Compra Eficiente– responde su solicitud </w:t>
      </w:r>
      <w:r>
        <w:rPr>
          <w:rFonts w:ascii="Verdana" w:hAnsi="Verdana" w:cs="Arial"/>
          <w:color w:val="000000" w:themeColor="text1"/>
          <w:lang w:val="es-ES"/>
        </w:rPr>
        <w:t xml:space="preserve">de concepto del 20 de noviembre </w:t>
      </w:r>
      <w:r w:rsidRPr="002069C6">
        <w:rPr>
          <w:rFonts w:ascii="Verdana" w:hAnsi="Verdana" w:cs="Arial"/>
          <w:color w:val="000000" w:themeColor="text1"/>
          <w:lang w:val="es-ES"/>
        </w:rPr>
        <w:t>2025, en la</w:t>
      </w:r>
      <w:r>
        <w:rPr>
          <w:rFonts w:ascii="Verdana" w:hAnsi="Verdana" w:cs="Arial"/>
          <w:color w:val="000000" w:themeColor="text1"/>
          <w:lang w:val="es-ES"/>
        </w:rPr>
        <w:t>s</w:t>
      </w:r>
      <w:r w:rsidRPr="002069C6">
        <w:rPr>
          <w:rFonts w:ascii="Verdana" w:hAnsi="Verdana" w:cs="Arial"/>
          <w:color w:val="000000" w:themeColor="text1"/>
          <w:lang w:val="es-ES"/>
        </w:rPr>
        <w:t xml:space="preserve"> cual</w:t>
      </w:r>
      <w:r>
        <w:rPr>
          <w:rFonts w:ascii="Verdana" w:hAnsi="Verdana" w:cs="Arial"/>
          <w:color w:val="000000" w:themeColor="text1"/>
          <w:lang w:val="es-ES"/>
        </w:rPr>
        <w:t>es</w:t>
      </w:r>
      <w:r w:rsidRPr="002069C6">
        <w:rPr>
          <w:rFonts w:ascii="Verdana" w:hAnsi="Verdana" w:cs="Arial"/>
          <w:color w:val="000000" w:themeColor="text1"/>
          <w:lang w:val="es-ES"/>
        </w:rPr>
        <w:t xml:space="preserve"> manifiesta lo siguiente:</w:t>
      </w:r>
      <w:r w:rsidRPr="002069C6">
        <w:rPr>
          <w:rFonts w:ascii="Verdana" w:eastAsia="Calibri" w:hAnsi="Verdana" w:cs="Arial"/>
          <w:color w:val="000000" w:themeColor="text1"/>
          <w:lang w:val="es-ES" w:eastAsia="es-ES"/>
        </w:rPr>
        <w:t xml:space="preserve"> </w:t>
      </w:r>
      <w:r w:rsidRPr="00192FCF">
        <w:rPr>
          <w:rFonts w:ascii="Verdana" w:eastAsia="Century Gothic" w:hAnsi="Verdana" w:cs="Century Gothic"/>
          <w:i/>
          <w:color w:val="000000" w:themeColor="text1"/>
          <w:lang w:val="es-ES"/>
        </w:rPr>
        <w:t>“</w:t>
      </w:r>
      <w:r w:rsidRPr="00192FCF">
        <w:rPr>
          <w:rFonts w:ascii="Verdana" w:eastAsia="Century Gothic" w:hAnsi="Verdana" w:cs="Century Gothic"/>
          <w:i/>
          <w:color w:val="000000" w:themeColor="text1"/>
        </w:rPr>
        <w:t>Solicito amablemente concepto sobre la posibilidad de Contrato Interadministrativo por administración delegada de recursos con donde se pacta contraprestación honorarios por Administración, cuando se quiere contratar para ejecutar un proyecto con recursos de destinación específica.</w:t>
      </w:r>
      <w:r w:rsidRPr="00192FCF">
        <w:rPr>
          <w:rFonts w:ascii="Verdana" w:eastAsia="Century Gothic" w:hAnsi="Verdana" w:cs="Century Gothic"/>
          <w:i/>
          <w:color w:val="000000" w:themeColor="text1"/>
          <w:lang w:val="es-ES"/>
        </w:rPr>
        <w:t>”</w:t>
      </w:r>
      <w:r w:rsidRPr="00192FCF">
        <w:rPr>
          <w:rFonts w:ascii="Verdana" w:eastAsia="Century Gothic" w:hAnsi="Verdana" w:cs="Century Gothic"/>
          <w:color w:val="000000" w:themeColor="text1"/>
          <w:lang w:val="es-ES"/>
        </w:rPr>
        <w:t xml:space="preserve"> </w:t>
      </w:r>
    </w:p>
    <w:p w14:paraId="72188EFE" w14:textId="77777777" w:rsidR="00714031" w:rsidRPr="002069C6" w:rsidRDefault="00714031" w:rsidP="00714031">
      <w:pPr>
        <w:spacing w:after="0" w:line="276" w:lineRule="auto"/>
        <w:contextualSpacing/>
        <w:jc w:val="both"/>
        <w:rPr>
          <w:rFonts w:ascii="Verdana" w:eastAsia="Calibri" w:hAnsi="Verdana" w:cs="Arial"/>
          <w:color w:val="000000" w:themeColor="text1"/>
          <w:szCs w:val="24"/>
          <w:lang w:val="es-ES" w:eastAsia="es-ES_tradnl"/>
        </w:rPr>
      </w:pPr>
      <w:r>
        <w:rPr>
          <w:rFonts w:ascii="Verdana" w:eastAsia="Calibri" w:hAnsi="Verdana" w:cs="Arial"/>
          <w:color w:val="000000" w:themeColor="text1"/>
          <w:lang w:val="es-ES" w:eastAsia="es-ES"/>
        </w:rPr>
        <w:tab/>
      </w:r>
      <w:r w:rsidRPr="002069C6">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sidRPr="002069C6">
        <w:rPr>
          <w:rFonts w:ascii="Verdana" w:eastAsia="Calibri" w:hAnsi="Verdana" w:cs="Arial"/>
          <w:color w:val="000000" w:themeColor="text1"/>
          <w:lang w:val="es-ES" w:eastAsia="es-ES"/>
        </w:rPr>
        <w:lastRenderedPageBreak/>
        <w:t xml:space="preserve">los demás participantes de la contratación pública. Esta competencia de interpretación de normas generales, por definición, no puede extenderse a la resolución de controversias, ni a brindar asesorías sobre casos puntuales. </w:t>
      </w:r>
      <w:r w:rsidRPr="002069C6">
        <w:rPr>
          <w:rFonts w:ascii="Verdana" w:eastAsia="Calibri" w:hAnsi="Verdana" w:cs="Arial"/>
          <w:color w:val="000000" w:themeColor="text1"/>
          <w:szCs w:val="24"/>
          <w:lang w:val="es-ES" w:eastAsia="es-ES_tradnl"/>
        </w:rPr>
        <w:tab/>
      </w:r>
    </w:p>
    <w:p w14:paraId="33329864" w14:textId="77777777" w:rsidR="00714031" w:rsidRPr="002069C6" w:rsidRDefault="00714031" w:rsidP="00714031">
      <w:pPr>
        <w:spacing w:before="120" w:after="120" w:line="276" w:lineRule="auto"/>
        <w:ind w:firstLine="709"/>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los</w:t>
      </w:r>
      <w:r w:rsidRPr="002069C6">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Pr="002069C6">
        <w:rPr>
          <w:rFonts w:ascii="Verdana" w:eastAsia="Calibri" w:hAnsi="Verdana" w:cs="Arial"/>
          <w:color w:val="000000" w:themeColor="text1"/>
          <w:lang w:val="es-ES" w:eastAsia="es-ES"/>
        </w:rPr>
        <w:t xml:space="preserve"> jurídico</w:t>
      </w:r>
      <w:r>
        <w:rPr>
          <w:rFonts w:ascii="Verdana" w:eastAsia="Calibri" w:hAnsi="Verdana" w:cs="Arial"/>
          <w:color w:val="000000" w:themeColor="text1"/>
          <w:lang w:val="es-ES" w:eastAsia="es-ES"/>
        </w:rPr>
        <w:t>s</w:t>
      </w:r>
      <w:r w:rsidRPr="002069C6">
        <w:rPr>
          <w:rFonts w:ascii="Verdana" w:eastAsia="Calibri" w:hAnsi="Verdana" w:cs="Arial"/>
          <w:color w:val="000000" w:themeColor="text1"/>
          <w:lang w:val="es-ES" w:eastAsia="es-ES"/>
        </w:rPr>
        <w:t xml:space="preserve"> de su consulta. </w:t>
      </w:r>
    </w:p>
    <w:p w14:paraId="370D0062" w14:textId="77777777" w:rsidR="00714031" w:rsidRPr="002069C6" w:rsidRDefault="00714031" w:rsidP="00714031">
      <w:pPr>
        <w:spacing w:after="0" w:line="276" w:lineRule="auto"/>
        <w:jc w:val="both"/>
        <w:rPr>
          <w:rFonts w:ascii="Verdana" w:eastAsia="Calibri" w:hAnsi="Verdana" w:cs="Arial"/>
          <w:color w:val="000000" w:themeColor="text1"/>
          <w:lang w:val="es-ES" w:eastAsia="es-ES"/>
        </w:rPr>
      </w:pPr>
    </w:p>
    <w:p w14:paraId="08D47118" w14:textId="77777777" w:rsidR="00714031" w:rsidRPr="002069C6" w:rsidRDefault="00714031" w:rsidP="0071403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Problema planteado:</w:t>
      </w:r>
    </w:p>
    <w:p w14:paraId="59034FC1" w14:textId="77777777" w:rsidR="00714031" w:rsidRPr="002069C6" w:rsidRDefault="00714031" w:rsidP="00714031">
      <w:pPr>
        <w:tabs>
          <w:tab w:val="left" w:pos="426"/>
        </w:tabs>
        <w:spacing w:after="0" w:line="276" w:lineRule="auto"/>
        <w:jc w:val="both"/>
        <w:rPr>
          <w:rFonts w:ascii="Verdana" w:eastAsia="Century Gothic" w:hAnsi="Verdana" w:cs="Century Gothic"/>
          <w:color w:val="000000" w:themeColor="text1"/>
          <w:lang w:val="es-ES"/>
        </w:rPr>
      </w:pPr>
    </w:p>
    <w:p w14:paraId="6F177521" w14:textId="77777777" w:rsidR="00714031" w:rsidRPr="002069C6" w:rsidRDefault="00714031" w:rsidP="00714031">
      <w:pPr>
        <w:spacing w:after="0" w:line="276" w:lineRule="auto"/>
        <w:jc w:val="both"/>
        <w:rPr>
          <w:rFonts w:ascii="Verdana" w:eastAsia="Century Gothic" w:hAnsi="Verdana" w:cs="Century Gothic"/>
          <w:color w:val="000000" w:themeColor="text1"/>
          <w:lang w:val="es-ES"/>
        </w:rPr>
      </w:pPr>
      <w:r w:rsidRPr="002069C6">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los</w:t>
      </w:r>
      <w:r w:rsidRPr="002069C6">
        <w:rPr>
          <w:rFonts w:ascii="Verdana" w:eastAsia="Century Gothic" w:hAnsi="Verdana" w:cs="Century Gothic"/>
          <w:color w:val="000000" w:themeColor="text1"/>
          <w:lang w:val="es-ES"/>
        </w:rPr>
        <w:t xml:space="preserve"> siguiente</w:t>
      </w:r>
      <w:r>
        <w:rPr>
          <w:rFonts w:ascii="Verdana" w:eastAsia="Century Gothic" w:hAnsi="Verdana" w:cs="Century Gothic"/>
          <w:color w:val="000000" w:themeColor="text1"/>
          <w:lang w:val="es-ES"/>
        </w:rPr>
        <w:t>s</w:t>
      </w:r>
      <w:r w:rsidRPr="002069C6">
        <w:rPr>
          <w:rFonts w:ascii="Verdana" w:eastAsia="Century Gothic" w:hAnsi="Verdana" w:cs="Century Gothic"/>
          <w:color w:val="000000" w:themeColor="text1"/>
          <w:lang w:val="es-ES"/>
        </w:rPr>
        <w:t xml:space="preserve"> problema</w:t>
      </w:r>
      <w:r>
        <w:rPr>
          <w:rFonts w:ascii="Verdana" w:eastAsia="Century Gothic" w:hAnsi="Verdana" w:cs="Century Gothic"/>
          <w:color w:val="000000" w:themeColor="text1"/>
          <w:lang w:val="es-ES"/>
        </w:rPr>
        <w:t>s</w:t>
      </w:r>
      <w:r w:rsidRPr="002069C6">
        <w:rPr>
          <w:rFonts w:ascii="Verdana" w:eastAsia="Century Gothic" w:hAnsi="Verdana" w:cs="Century Gothic"/>
          <w:color w:val="000000" w:themeColor="text1"/>
          <w:lang w:val="es-ES"/>
        </w:rPr>
        <w:t xml:space="preserve"> jurídico</w:t>
      </w:r>
      <w:r>
        <w:rPr>
          <w:rFonts w:ascii="Verdana" w:eastAsia="Century Gothic" w:hAnsi="Verdana" w:cs="Century Gothic"/>
          <w:color w:val="000000" w:themeColor="text1"/>
          <w:lang w:val="es-ES"/>
        </w:rPr>
        <w:t>s</w:t>
      </w:r>
      <w:r w:rsidRPr="002069C6">
        <w:rPr>
          <w:rFonts w:ascii="Verdana" w:eastAsia="Century Gothic" w:hAnsi="Verdana" w:cs="Century Gothic"/>
          <w:color w:val="000000" w:themeColor="text1"/>
          <w:lang w:val="es-ES"/>
        </w:rPr>
        <w:t xml:space="preserve">: </w:t>
      </w:r>
      <w:r>
        <w:rPr>
          <w:rFonts w:ascii="Verdana" w:eastAsia="Century Gothic" w:hAnsi="Verdana" w:cs="Century Gothic"/>
          <w:color w:val="000000" w:themeColor="text1"/>
          <w:lang w:val="es-ES"/>
        </w:rPr>
        <w:t>¿</w:t>
      </w:r>
      <w:r>
        <w:rPr>
          <w:rFonts w:ascii="Verdana" w:eastAsia="Calibri" w:hAnsi="Verdana" w:cs="Times New Roman"/>
          <w:iCs/>
          <w:lang w:val="es-ES"/>
        </w:rPr>
        <w:t xml:space="preserve">Es jurídicamente viable la celebración de un contrato interadministrativo </w:t>
      </w:r>
      <w:r>
        <w:rPr>
          <w:rFonts w:ascii="Verdana" w:eastAsia="Calibri" w:hAnsi="Verdana" w:cs="Times New Roman"/>
          <w:bCs/>
          <w:iCs/>
        </w:rPr>
        <w:t xml:space="preserve">de </w:t>
      </w:r>
      <w:r w:rsidRPr="00B57A1B">
        <w:rPr>
          <w:rFonts w:ascii="Verdana" w:eastAsia="Calibri" w:hAnsi="Verdana" w:cs="Times New Roman"/>
          <w:bCs/>
          <w:iCs/>
        </w:rPr>
        <w:t>administración delegada de recursos</w:t>
      </w:r>
      <w:r>
        <w:rPr>
          <w:rFonts w:ascii="Verdana" w:eastAsia="Calibri" w:hAnsi="Verdana" w:cs="Times New Roman"/>
          <w:bCs/>
          <w:iCs/>
        </w:rPr>
        <w:t>?</w:t>
      </w:r>
    </w:p>
    <w:p w14:paraId="71F560E8" w14:textId="77777777" w:rsidR="00714031" w:rsidRPr="002069C6" w:rsidRDefault="00714031" w:rsidP="00714031">
      <w:pPr>
        <w:spacing w:after="0" w:line="276" w:lineRule="auto"/>
        <w:jc w:val="both"/>
        <w:rPr>
          <w:rFonts w:ascii="Verdana" w:eastAsia="Calibri" w:hAnsi="Verdana" w:cs="Arial"/>
          <w:color w:val="000000" w:themeColor="text1"/>
          <w:lang w:val="es-ES"/>
        </w:rPr>
      </w:pPr>
    </w:p>
    <w:p w14:paraId="6D93901A" w14:textId="77777777" w:rsidR="00714031" w:rsidRPr="002069C6" w:rsidRDefault="00714031" w:rsidP="0071403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Respuesta:</w:t>
      </w:r>
    </w:p>
    <w:p w14:paraId="510C1DF8" w14:textId="77777777" w:rsidR="00714031" w:rsidRPr="002069C6" w:rsidRDefault="00714031" w:rsidP="00714031">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14031" w:rsidRPr="002069C6" w14:paraId="013A1A7B" w14:textId="77777777" w:rsidTr="00831131">
        <w:tc>
          <w:tcPr>
            <w:tcW w:w="8828" w:type="dxa"/>
          </w:tcPr>
          <w:p w14:paraId="58E69BEB" w14:textId="77777777" w:rsidR="00714031" w:rsidRDefault="00714031" w:rsidP="00831131">
            <w:pPr>
              <w:spacing w:after="120" w:line="276" w:lineRule="auto"/>
              <w:jc w:val="both"/>
              <w:rPr>
                <w:rFonts w:ascii="Verdana" w:eastAsia="Calibri" w:hAnsi="Verdana" w:cs="Arial"/>
                <w:color w:val="000000" w:themeColor="text1"/>
                <w:lang w:val="es-ES"/>
              </w:rPr>
            </w:pPr>
            <w:r>
              <w:rPr>
                <w:rFonts w:ascii="Verdana" w:hAnsi="Verdana" w:cs="Arial"/>
                <w:bCs/>
                <w:lang w:val="es-ES_tradnl" w:eastAsia="es-ES" w:bidi="es-ES"/>
              </w:rPr>
              <w:t>Tal como lo ha conceptuado anteriormente esta Agencia</w:t>
            </w:r>
            <w:r>
              <w:rPr>
                <w:rFonts w:ascii="Verdana" w:eastAsia="Calibri" w:hAnsi="Verdana" w:cs="Arial"/>
                <w:color w:val="000000" w:themeColor="text1"/>
                <w:lang w:val="es-ES_tradnl"/>
              </w:rPr>
              <w:t>, l</w:t>
            </w:r>
            <w:r w:rsidRPr="0591DD88">
              <w:rPr>
                <w:rFonts w:ascii="Verdana" w:eastAsia="Calibri" w:hAnsi="Verdana" w:cs="Arial"/>
                <w:color w:val="000000" w:themeColor="text1"/>
                <w:lang w:val="es-ES"/>
              </w:rPr>
              <w:t xml:space="preserve">a “administración delegada” se ha entendido, por lo menos, de dos maneras: i) como un mandato, es decir, como un negocio jurídico mediante el cual el contratista actúa en nombre y representación de la entidad contratante, y en contraprestación, la parte contratante delegante paga el costo real del objeto del contrato, adicionando un porcentaje por concepto de administración y utilidad del contratista; o </w:t>
            </w:r>
            <w:proofErr w:type="spellStart"/>
            <w:r w:rsidRPr="0591DD88">
              <w:rPr>
                <w:rFonts w:ascii="Verdana" w:eastAsia="Calibri" w:hAnsi="Verdana" w:cs="Arial"/>
                <w:color w:val="000000" w:themeColor="text1"/>
                <w:lang w:val="es-ES"/>
              </w:rPr>
              <w:t>ii</w:t>
            </w:r>
            <w:proofErr w:type="spellEnd"/>
            <w:r w:rsidRPr="0591DD88">
              <w:rPr>
                <w:rFonts w:ascii="Verdana" w:eastAsia="Calibri" w:hAnsi="Verdana" w:cs="Arial"/>
                <w:color w:val="000000" w:themeColor="text1"/>
                <w:lang w:val="es-ES"/>
              </w:rPr>
              <w:t xml:space="preserve">) como una modalidad de administración y pago, no necesariamente asociada al mandato. </w:t>
            </w:r>
          </w:p>
          <w:p w14:paraId="21F864A2" w14:textId="77777777" w:rsidR="00714031" w:rsidRPr="003248CC" w:rsidRDefault="00714031" w:rsidP="00831131">
            <w:pPr>
              <w:spacing w:after="120" w:line="276" w:lineRule="auto"/>
              <w:ind w:firstLine="708"/>
              <w:jc w:val="both"/>
              <w:rPr>
                <w:rFonts w:ascii="Verdana" w:eastAsia="Calibri" w:hAnsi="Verdana" w:cs="Arial"/>
                <w:color w:val="000000" w:themeColor="text1"/>
                <w:lang w:val="es-ES_tradnl"/>
              </w:rPr>
            </w:pPr>
            <w:r w:rsidRPr="003248CC">
              <w:rPr>
                <w:rFonts w:ascii="Verdana" w:eastAsia="Calibri" w:hAnsi="Verdana" w:cs="Arial"/>
                <w:color w:val="000000" w:themeColor="text1"/>
                <w:lang w:val="es-ES_tradnl"/>
              </w:rPr>
              <w:t xml:space="preserve">Respecto de la administración delegada como un mandato, es preciso señalar que la jurisprudencia del Consejo de Estado ha señalado que </w:t>
            </w:r>
            <w:r w:rsidRPr="003248CC">
              <w:rPr>
                <w:rFonts w:ascii="Verdana" w:eastAsia="Times New Roman" w:hAnsi="Verdana" w:cs="Arial"/>
                <w:bCs/>
                <w:lang w:val="es-ES" w:eastAsia="es-ES"/>
              </w:rPr>
              <w:t xml:space="preserve">si bien las normas del mandato se integren al contenido del contrato de obra por administración delegada no quiere decir que el contratista obre en nombre y representación del contratante frente a terceros. Además, se reitera que la representación no es un elemento de la esencia de este negocio jurídico, como se deduce del artículo 2.177 del Código Civil, que prescribe que el </w:t>
            </w:r>
            <w:r w:rsidRPr="003248CC">
              <w:rPr>
                <w:rFonts w:ascii="Verdana" w:eastAsia="Calibri" w:hAnsi="Verdana" w:cs="Arial"/>
                <w:lang w:val="es-ES_tradnl" w:eastAsia="es-ES"/>
              </w:rPr>
              <w:t>“</w:t>
            </w:r>
            <w:r w:rsidRPr="003248CC">
              <w:rPr>
                <w:rFonts w:ascii="Verdana" w:eastAsia="Times New Roman" w:hAnsi="Verdana" w:cs="Arial"/>
                <w:bCs/>
                <w:lang w:val="es-ES" w:eastAsia="es-ES"/>
              </w:rPr>
              <w:t xml:space="preserve">mandatario puede, en el ejercicio de su cargo, contratar a su propio nombre, caso en el cual no obliga respecto de terceros al mandante”. </w:t>
            </w:r>
          </w:p>
          <w:p w14:paraId="513961A8" w14:textId="77777777" w:rsidR="00714031" w:rsidRDefault="00714031" w:rsidP="00831131">
            <w:pPr>
              <w:spacing w:after="120" w:line="276" w:lineRule="auto"/>
              <w:ind w:firstLine="708"/>
              <w:jc w:val="both"/>
              <w:rPr>
                <w:rFonts w:ascii="Verdana" w:eastAsia="Arial" w:hAnsi="Verdana" w:cs="Arial"/>
                <w:lang w:val="es-ES"/>
              </w:rPr>
            </w:pPr>
            <w:r w:rsidRPr="003248CC">
              <w:rPr>
                <w:rFonts w:ascii="Verdana" w:eastAsia="Arial" w:hAnsi="Verdana" w:cs="Arial"/>
                <w:lang w:val="es-ES"/>
              </w:rPr>
              <w:lastRenderedPageBreak/>
              <w:t>Por otro lado, la administración delegada puede ser empleada somo un sistema de pago consistente en la modalidad en virtud de la cual el contratista recibe unos recursos destinados a cubrir los costos de un determinado proyecto –siendo lo más común que se aplique en la ejecución de obras públicas– (recursos de inversión o entregados en administración), por cuya labor obtendrá, a título de pago, unos honorarios por la administración.</w:t>
            </w:r>
          </w:p>
          <w:p w14:paraId="21645CD3" w14:textId="77777777" w:rsidR="00714031" w:rsidRPr="003E54E8" w:rsidRDefault="00714031" w:rsidP="00831131">
            <w:pPr>
              <w:spacing w:before="120" w:after="120" w:line="276" w:lineRule="auto"/>
              <w:ind w:firstLine="709"/>
              <w:jc w:val="both"/>
              <w:rPr>
                <w:rFonts w:ascii="Verdana" w:hAnsi="Verdana" w:cs="Arial"/>
                <w:bCs/>
              </w:rPr>
            </w:pPr>
            <w:r>
              <w:rPr>
                <w:rFonts w:ascii="Verdana" w:hAnsi="Verdana" w:cs="Arial"/>
                <w:bCs/>
              </w:rPr>
              <w:t xml:space="preserve">Conforme lo expuesto, </w:t>
            </w:r>
            <w:r>
              <w:rPr>
                <w:rFonts w:ascii="Verdana" w:hAnsi="Verdana" w:cs="Arial"/>
                <w:color w:val="000000" w:themeColor="text1"/>
                <w:lang w:val="es-ES"/>
              </w:rPr>
              <w:t xml:space="preserve">con fundamento en el principio de autonomía de la voluntad de las partes, reconocido en los artículos 13, 32 y 40 de la Ley 80 de 1993, así como en el artículo 1602 del Código Civil, </w:t>
            </w:r>
            <w:r>
              <w:rPr>
                <w:rFonts w:ascii="Verdana" w:hAnsi="Verdana" w:cs="Arial"/>
                <w:bCs/>
              </w:rPr>
              <w:t>es jurídicamente viable que las entidades celebren contratos interadministrativos en los cuales pacten la administración delegada de un proyecto como forma de pago o que se encuentre asociada a un mandato en los términos de la normativa civil y comercial</w:t>
            </w:r>
            <w:r>
              <w:rPr>
                <w:rFonts w:ascii="Verdana" w:eastAsia="Calibri" w:hAnsi="Verdana" w:cs="Arial"/>
              </w:rPr>
              <w:t>. Lo anterior implica que, en virtud de la autonomía de la voluntad, y del objeto específico del contrato, sea necesario que el contratista desarrolle acciones como la selección y contratación de personal, o la subcontratación de algunas actividades. Sin embargo, la ejecución de estos actos debe tener como finalidad dar cumplimiento a las obligaciones pactadas y lograr el objeto convenido.</w:t>
            </w:r>
          </w:p>
          <w:p w14:paraId="2249C89F" w14:textId="77777777" w:rsidR="00714031" w:rsidRDefault="00714031" w:rsidP="00831131">
            <w:pPr>
              <w:spacing w:before="120" w:after="120" w:line="276" w:lineRule="auto"/>
              <w:ind w:firstLine="709"/>
              <w:jc w:val="both"/>
              <w:rPr>
                <w:rFonts w:ascii="Verdana" w:eastAsia="Calibri" w:hAnsi="Verdana" w:cs="Arial"/>
              </w:rPr>
            </w:pPr>
            <w:r>
              <w:rPr>
                <w:rFonts w:ascii="Verdana" w:eastAsia="Calibri" w:hAnsi="Verdana" w:cs="Arial"/>
              </w:rPr>
              <w:t>Adicionalmente, en estos negocios jurídicos el contratista recibe unos recursos en administración que deben estar destinados a cubrir los costos del proyecto y, además, tendrá derecho a recibir una remuneración o pago de honorarios por dicha gestión. Sobre lo primero, es importante resaltar que los fondos que la entidad entregue al contratista son para el cumplimiento de sus funciones y obligaciones, y el administrador delegado deberá manejarlos bajo su propia responsabilidad. En esta labor, deberá rendir cuentas a la entidad y a los entes de control pues se trata de recursos públicos destinados a cumplir con un fin de esta naturaleza. En este sentido, el contratista debe cumplir obligaciones claras frente a la gestión y ejecución de los recursos que le han sido trasladados en administración.</w:t>
            </w:r>
          </w:p>
          <w:p w14:paraId="03A2378F" w14:textId="77777777" w:rsidR="00714031" w:rsidRPr="00585660" w:rsidRDefault="00714031" w:rsidP="00831131">
            <w:pPr>
              <w:spacing w:after="120" w:line="276" w:lineRule="auto"/>
              <w:ind w:firstLine="708"/>
              <w:jc w:val="both"/>
              <w:rPr>
                <w:rFonts w:ascii="Verdana" w:eastAsia="Arial" w:hAnsi="Verdana" w:cs="Arial"/>
                <w:lang w:val="es-ES"/>
              </w:rPr>
            </w:pPr>
            <w:r w:rsidRPr="003248CC">
              <w:rPr>
                <w:rFonts w:ascii="Verdana" w:eastAsia="Arial" w:hAnsi="Verdana" w:cs="Arial"/>
                <w:lang w:val="es-ES"/>
              </w:rPr>
              <w:t>En todo caso, para la celebración de los contratos interadministrativos es indispensable que la entidad ejecutora cuente con un objeto que, de acuerdo con la ley o el reglamento, sea idóneo para la ejecución de la actividad contratada, y que la administración delegada este definida o concertada en la ejecución de un objeto contractual específico</w:t>
            </w:r>
          </w:p>
        </w:tc>
      </w:tr>
    </w:tbl>
    <w:p w14:paraId="2D1696A2" w14:textId="77777777" w:rsidR="00714031" w:rsidRPr="002069C6" w:rsidRDefault="00714031" w:rsidP="00714031">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69D964C" w14:textId="77777777" w:rsidR="00714031" w:rsidRPr="002069C6" w:rsidRDefault="00714031" w:rsidP="0071403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Razones de la respuesta:</w:t>
      </w:r>
    </w:p>
    <w:p w14:paraId="769BD7F5" w14:textId="77777777" w:rsidR="00714031" w:rsidRPr="002069C6" w:rsidRDefault="00714031" w:rsidP="00714031">
      <w:pPr>
        <w:spacing w:after="0" w:line="276" w:lineRule="auto"/>
        <w:jc w:val="both"/>
        <w:rPr>
          <w:rFonts w:ascii="Verdana" w:eastAsia="Calibri" w:hAnsi="Verdana" w:cs="Arial"/>
          <w:color w:val="000000" w:themeColor="text1"/>
          <w:lang w:val="es-ES"/>
        </w:rPr>
      </w:pPr>
    </w:p>
    <w:p w14:paraId="53B8BB34" w14:textId="77777777" w:rsidR="00714031" w:rsidRPr="002069C6" w:rsidRDefault="00714031" w:rsidP="00714031">
      <w:pPr>
        <w:spacing w:after="0" w:line="276" w:lineRule="auto"/>
        <w:jc w:val="both"/>
        <w:rPr>
          <w:rFonts w:ascii="Verdana" w:eastAsia="Calibri" w:hAnsi="Verdana" w:cs="Arial"/>
          <w:color w:val="000000" w:themeColor="text1"/>
          <w:lang w:val="es-ES"/>
        </w:rPr>
      </w:pPr>
      <w:r w:rsidRPr="002069C6">
        <w:rPr>
          <w:rFonts w:ascii="Verdana" w:eastAsia="Calibri" w:hAnsi="Verdana" w:cs="Arial"/>
          <w:color w:val="000000" w:themeColor="text1"/>
          <w:lang w:val="es-ES"/>
        </w:rPr>
        <w:t xml:space="preserve">Lo anterior se sustenta en las siguientes consideraciones: </w:t>
      </w:r>
    </w:p>
    <w:p w14:paraId="70F294A0" w14:textId="77777777" w:rsidR="00714031" w:rsidRPr="002069C6" w:rsidRDefault="00714031" w:rsidP="00714031">
      <w:pPr>
        <w:spacing w:after="0" w:line="276" w:lineRule="auto"/>
        <w:jc w:val="both"/>
        <w:rPr>
          <w:rFonts w:ascii="Verdana" w:eastAsia="Calibri" w:hAnsi="Verdana" w:cs="Arial"/>
          <w:lang w:val="es-ES"/>
        </w:rPr>
      </w:pPr>
    </w:p>
    <w:p w14:paraId="253CBD0E" w14:textId="77777777" w:rsidR="00714031" w:rsidRPr="00EF3B23" w:rsidRDefault="00714031" w:rsidP="00714031">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E</w:t>
      </w:r>
      <w:r w:rsidRPr="004027CC">
        <w:rPr>
          <w:rFonts w:ascii="Verdana" w:eastAsia="Arial" w:hAnsi="Verdana" w:cs="Arial"/>
          <w:color w:val="000000" w:themeColor="text1"/>
          <w:lang w:val="es-ES_tradnl" w:eastAsia="es-ES_tradnl"/>
        </w:rPr>
        <w:t>l artículo 1º de la Ley 80 de 1993 –EGCAP</w:t>
      </w:r>
      <w:r>
        <w:rPr>
          <w:rFonts w:ascii="Verdana" w:eastAsia="Arial" w:hAnsi="Verdana" w:cs="Arial"/>
          <w:color w:val="000000" w:themeColor="text1"/>
          <w:lang w:val="es-ES_tradnl" w:eastAsia="es-ES_tradnl"/>
        </w:rPr>
        <w:t>-</w:t>
      </w:r>
      <w:r w:rsidRPr="004027CC">
        <w:rPr>
          <w:rFonts w:ascii="Verdana" w:eastAsia="Arial" w:hAnsi="Verdana" w:cs="Arial"/>
          <w:color w:val="000000" w:themeColor="text1"/>
          <w:lang w:val="es-ES_tradnl" w:eastAsia="es-ES_tradnl"/>
        </w:rPr>
        <w:t>, determina que su objetivo es disponer de reglas y principios que rigen los contratos de las entidades estatales</w:t>
      </w:r>
      <w:r>
        <w:rPr>
          <w:rFonts w:ascii="Verdana" w:eastAsia="Arial" w:hAnsi="Verdana" w:cs="Arial"/>
          <w:color w:val="000000" w:themeColor="text1"/>
          <w:lang w:val="es-ES_tradnl" w:eastAsia="es-ES_tradnl"/>
        </w:rPr>
        <w:t>. En</w:t>
      </w:r>
      <w:r w:rsidRPr="004027CC">
        <w:rPr>
          <w:rFonts w:ascii="Verdana" w:eastAsia="Arial" w:hAnsi="Verdana" w:cs="Arial"/>
          <w:color w:val="000000" w:themeColor="text1"/>
          <w:lang w:val="es-ES_tradnl" w:eastAsia="es-ES_tradnl"/>
        </w:rPr>
        <w:t xml:space="preserve"> ese sentido, el artículo 32 </w:t>
      </w:r>
      <w:r w:rsidRPr="004027CC">
        <w:rPr>
          <w:rFonts w:ascii="Verdana" w:eastAsia="Arial" w:hAnsi="Verdana" w:cs="Arial"/>
          <w:i/>
          <w:iCs/>
          <w:color w:val="000000" w:themeColor="text1"/>
          <w:lang w:val="es-ES_tradnl" w:eastAsia="es-ES_tradnl"/>
        </w:rPr>
        <w:t>ibidem</w:t>
      </w:r>
      <w:r w:rsidRPr="004027CC">
        <w:rPr>
          <w:rFonts w:ascii="Verdana" w:eastAsia="Arial" w:hAnsi="Verdana" w:cs="Arial"/>
          <w:color w:val="000000" w:themeColor="text1"/>
          <w:lang w:val="es-ES_tradnl" w:eastAsia="es-ES_tradnl"/>
        </w:rPr>
        <w:t xml:space="preserve"> define los contratos estatales como “todos los actos jurídicos, generadores de obligaciones que celebren las entidades a que se refiere este estatuto </w:t>
      </w:r>
      <w:r>
        <w:rPr>
          <w:rFonts w:ascii="Verdana" w:eastAsia="Arial" w:hAnsi="Verdana" w:cs="Arial"/>
          <w:color w:val="000000" w:themeColor="text1"/>
          <w:lang w:val="es-ES_tradnl" w:eastAsia="es-ES_tradnl"/>
        </w:rPr>
        <w:t>(</w:t>
      </w:r>
      <w:r w:rsidRPr="004027CC">
        <w:rPr>
          <w:rFonts w:ascii="Verdana" w:eastAsia="Arial" w:hAnsi="Verdana" w:cs="Arial"/>
          <w:color w:val="000000" w:themeColor="text1"/>
          <w:lang w:val="es-ES_tradnl" w:eastAsia="es-ES_tradnl"/>
        </w:rPr>
        <w:t>art. 2</w:t>
      </w:r>
      <w:r>
        <w:rPr>
          <w:rFonts w:ascii="Verdana" w:eastAsia="Arial" w:hAnsi="Verdana" w:cs="Arial"/>
          <w:color w:val="000000" w:themeColor="text1"/>
          <w:lang w:val="es-ES_tradnl" w:eastAsia="es-ES_tradnl"/>
        </w:rPr>
        <w:t>)</w:t>
      </w:r>
      <w:r w:rsidRPr="004027CC">
        <w:rPr>
          <w:rFonts w:ascii="Verdana" w:eastAsia="Arial" w:hAnsi="Verdana" w:cs="Arial"/>
          <w:color w:val="000000" w:themeColor="text1"/>
          <w:lang w:val="es-ES_tradnl" w:eastAsia="es-ES_tradnl"/>
        </w:rPr>
        <w:t xml:space="preserve">, previstos en el derecho privado o en disposiciones especiales, o derivados del ejercicio de la autonomía de la voluntad”. </w:t>
      </w:r>
    </w:p>
    <w:p w14:paraId="262D908A" w14:textId="77777777" w:rsidR="00714031" w:rsidRPr="002C3DAB" w:rsidRDefault="00714031" w:rsidP="00714031">
      <w:pPr>
        <w:widowControl w:val="0"/>
        <w:autoSpaceDE w:val="0"/>
        <w:autoSpaceDN w:val="0"/>
        <w:spacing w:before="120" w:after="120" w:line="276" w:lineRule="auto"/>
        <w:ind w:firstLine="709"/>
        <w:jc w:val="both"/>
        <w:rPr>
          <w:rFonts w:ascii="Verdana" w:eastAsia="Arial" w:hAnsi="Verdana" w:cs="Arial"/>
          <w:color w:val="000000" w:themeColor="text1"/>
          <w:lang w:val="es-ES_tradnl" w:eastAsia="es-ES_tradnl"/>
        </w:rPr>
      </w:pPr>
      <w:r>
        <w:rPr>
          <w:rFonts w:ascii="Verdana" w:eastAsia="Arial" w:hAnsi="Verdana" w:cs="Arial"/>
          <w:color w:val="000000" w:themeColor="text1"/>
          <w:lang w:val="es-ES_tradnl" w:eastAsia="es-ES_tradnl"/>
        </w:rPr>
        <w:t>En este contexto, e</w:t>
      </w:r>
      <w:r>
        <w:rPr>
          <w:rFonts w:ascii="Verdana" w:hAnsi="Verdana" w:cs="Arial"/>
          <w:bCs/>
        </w:rPr>
        <w:t>l sistema de compras públicas</w:t>
      </w:r>
      <w:r w:rsidRPr="00FB2E1F">
        <w:rPr>
          <w:rFonts w:ascii="Verdana" w:hAnsi="Verdana" w:cs="Arial"/>
          <w:bCs/>
        </w:rPr>
        <w:t xml:space="preserve"> </w:t>
      </w:r>
      <w:r>
        <w:rPr>
          <w:rFonts w:ascii="Verdana" w:hAnsi="Verdana" w:cs="Arial"/>
          <w:bCs/>
        </w:rPr>
        <w:t xml:space="preserve">puede apoyarse </w:t>
      </w:r>
      <w:r w:rsidRPr="00FB2E1F">
        <w:rPr>
          <w:rFonts w:ascii="Verdana" w:hAnsi="Verdana" w:cs="Arial"/>
          <w:bCs/>
        </w:rPr>
        <w:t xml:space="preserve">en normas de derecho civil y comercial. Respecto a las </w:t>
      </w:r>
      <w:r w:rsidRPr="00F6204E">
        <w:rPr>
          <w:rFonts w:ascii="Verdana" w:hAnsi="Verdana" w:cs="Arial"/>
          <w:bCs/>
        </w:rPr>
        <w:t>entidades sometidas a la Ley 80 de 1993</w:t>
      </w:r>
      <w:r w:rsidRPr="00FB2E1F">
        <w:rPr>
          <w:rFonts w:ascii="Verdana" w:hAnsi="Verdana" w:cs="Arial"/>
          <w:bCs/>
        </w:rPr>
        <w:t xml:space="preserve">, el inciso primero del artículo 13 dispone que “Los contratos que celebren las entidades a que se refiere el artículo 2o. del presente estatuto se regirán por las disposiciones comerciales y civiles pertinentes, salvo en las materias particularmente reguladas en esta ley”. </w:t>
      </w:r>
      <w:r>
        <w:rPr>
          <w:rFonts w:ascii="Verdana" w:hAnsi="Verdana" w:cs="Arial"/>
          <w:bCs/>
        </w:rPr>
        <w:t xml:space="preserve">Esta posición </w:t>
      </w:r>
      <w:r w:rsidRPr="00FB2E1F">
        <w:rPr>
          <w:rFonts w:ascii="Verdana" w:hAnsi="Verdana" w:cs="Arial"/>
          <w:bCs/>
        </w:rPr>
        <w:t xml:space="preserve">se reitera en el EGCAP </w:t>
      </w:r>
      <w:r>
        <w:rPr>
          <w:rFonts w:ascii="Verdana" w:hAnsi="Verdana" w:cs="Arial"/>
          <w:bCs/>
        </w:rPr>
        <w:t xml:space="preserve">al señalar </w:t>
      </w:r>
      <w:r w:rsidRPr="00FB2E1F">
        <w:rPr>
          <w:rFonts w:ascii="Verdana" w:hAnsi="Verdana" w:cs="Arial"/>
          <w:bCs/>
        </w:rPr>
        <w:t>que “Las estipulaciones de los contratos serán las que de acuerdo con las normas civiles, comerciales y las previstas en esta ley, correspondan a su esencia y naturaleza” –art. 40, inciso primero–.</w:t>
      </w:r>
    </w:p>
    <w:p w14:paraId="3D0EB86D" w14:textId="77777777" w:rsidR="00714031" w:rsidRDefault="00714031" w:rsidP="00714031">
      <w:pPr>
        <w:spacing w:after="120" w:line="276" w:lineRule="auto"/>
        <w:ind w:firstLine="709"/>
        <w:jc w:val="both"/>
        <w:rPr>
          <w:rFonts w:ascii="Verdana" w:eastAsia="Calibri" w:hAnsi="Verdana" w:cs="Arial"/>
          <w:lang w:eastAsia="es-ES_tradnl"/>
        </w:rPr>
      </w:pPr>
      <w:r>
        <w:rPr>
          <w:rFonts w:ascii="Verdana" w:eastAsia="Calibri" w:hAnsi="Verdana" w:cs="Arial"/>
          <w:lang w:eastAsia="es-ES"/>
        </w:rPr>
        <w:t xml:space="preserve">De esta manera, </w:t>
      </w:r>
      <w:bookmarkStart w:id="1" w:name="_Hlk121750642"/>
      <w:r w:rsidRPr="004027CC">
        <w:rPr>
          <w:rFonts w:ascii="Verdana" w:eastAsia="Times New Roman" w:hAnsi="Verdana" w:cs="Arial"/>
          <w:color w:val="000000" w:themeColor="text1"/>
          <w:lang w:eastAsia="es-ES_tradnl"/>
        </w:rPr>
        <w:t xml:space="preserve">las </w:t>
      </w:r>
      <w:r w:rsidRPr="004027CC">
        <w:rPr>
          <w:rFonts w:ascii="Verdana" w:eastAsia="Calibri" w:hAnsi="Verdana" w:cs="Arial"/>
          <w:lang w:eastAsia="es-ES_tradnl"/>
        </w:rPr>
        <w:t>entidades estatales regidas por el EGCAP están habilitadas para celebrar los contratos que suelen celebrar los particulares entre sí</w:t>
      </w:r>
      <w:r>
        <w:rPr>
          <w:rFonts w:ascii="Verdana" w:eastAsia="Calibri" w:hAnsi="Verdana" w:cs="Arial"/>
          <w:lang w:eastAsia="es-ES_tradnl"/>
        </w:rPr>
        <w:t>,</w:t>
      </w:r>
      <w:r w:rsidRPr="004027CC">
        <w:rPr>
          <w:rFonts w:ascii="Verdana" w:eastAsia="Calibri" w:hAnsi="Verdana" w:cs="Arial"/>
          <w:lang w:eastAsia="es-ES_tradnl"/>
        </w:rPr>
        <w:t xml:space="preserve"> en</w:t>
      </w:r>
      <w:r>
        <w:rPr>
          <w:rFonts w:ascii="Verdana" w:eastAsia="Calibri" w:hAnsi="Verdana" w:cs="Arial"/>
          <w:lang w:eastAsia="es-ES_tradnl"/>
        </w:rPr>
        <w:t xml:space="preserve"> virtud del </w:t>
      </w:r>
      <w:r w:rsidRPr="000A76FC">
        <w:rPr>
          <w:rFonts w:ascii="Verdana" w:eastAsia="Calibri" w:hAnsi="Verdana" w:cs="Arial"/>
          <w:lang w:eastAsia="es-ES"/>
        </w:rPr>
        <w:t xml:space="preserve">principio de autonomía de la voluntad </w:t>
      </w:r>
      <w:r>
        <w:rPr>
          <w:rFonts w:ascii="Verdana" w:eastAsia="Calibri" w:hAnsi="Verdana" w:cs="Arial"/>
          <w:lang w:eastAsia="es-ES"/>
        </w:rPr>
        <w:t xml:space="preserve">establecido en el </w:t>
      </w:r>
      <w:r w:rsidRPr="000A76FC">
        <w:rPr>
          <w:rFonts w:ascii="Verdana" w:eastAsia="Calibri" w:hAnsi="Verdana" w:cs="Arial"/>
          <w:lang w:eastAsia="es-ES"/>
        </w:rPr>
        <w:t>artículo 1602 del Código Civil</w:t>
      </w:r>
      <w:r w:rsidRPr="004027CC">
        <w:rPr>
          <w:rFonts w:ascii="Verdana" w:eastAsia="Calibri" w:hAnsi="Verdana" w:cs="Arial"/>
          <w:lang w:eastAsia="es-ES_tradnl"/>
        </w:rPr>
        <w:t xml:space="preserve">. En ese sentido, </w:t>
      </w:r>
      <w:bookmarkEnd w:id="1"/>
      <w:r w:rsidRPr="000A76FC">
        <w:rPr>
          <w:rFonts w:ascii="Verdana" w:eastAsia="Calibri" w:hAnsi="Verdana" w:cs="Arial"/>
          <w:lang w:eastAsia="es-ES"/>
        </w:rPr>
        <w:t xml:space="preserve">las entidades podrán </w:t>
      </w:r>
      <w:r>
        <w:rPr>
          <w:rFonts w:ascii="Verdana" w:eastAsia="Calibri" w:hAnsi="Verdana" w:cs="Arial"/>
          <w:lang w:eastAsia="es-ES"/>
        </w:rPr>
        <w:t>pactar</w:t>
      </w:r>
      <w:r w:rsidRPr="000A76FC">
        <w:rPr>
          <w:rFonts w:ascii="Verdana" w:eastAsia="Calibri" w:hAnsi="Verdana" w:cs="Arial"/>
          <w:lang w:eastAsia="es-ES"/>
        </w:rPr>
        <w:t xml:space="preserve"> </w:t>
      </w:r>
      <w:r>
        <w:rPr>
          <w:rFonts w:ascii="Verdana" w:eastAsia="Calibri" w:hAnsi="Verdana" w:cs="Arial"/>
          <w:lang w:eastAsia="es-ES"/>
        </w:rPr>
        <w:t xml:space="preserve">formas de mandato o formas de administración de recursos como </w:t>
      </w:r>
      <w:r w:rsidRPr="000A76FC">
        <w:rPr>
          <w:rFonts w:ascii="Verdana" w:eastAsia="Calibri" w:hAnsi="Verdana" w:cs="Arial"/>
          <w:lang w:eastAsia="es-ES"/>
        </w:rPr>
        <w:t xml:space="preserve">la </w:t>
      </w:r>
      <w:r w:rsidRPr="00EA3FDE">
        <w:rPr>
          <w:rFonts w:ascii="Verdana" w:eastAsia="Calibri" w:hAnsi="Verdana" w:cs="Arial"/>
          <w:i/>
          <w:lang w:eastAsia="es-ES"/>
        </w:rPr>
        <w:t>administración delegada</w:t>
      </w:r>
      <w:r w:rsidRPr="000A76FC">
        <w:rPr>
          <w:rFonts w:ascii="Verdana" w:eastAsia="Calibri" w:hAnsi="Verdana" w:cs="Arial"/>
          <w:lang w:eastAsia="es-ES"/>
        </w:rPr>
        <w:t>,</w:t>
      </w:r>
      <w:r>
        <w:rPr>
          <w:rFonts w:ascii="Verdana" w:eastAsia="Calibri" w:hAnsi="Verdana" w:cs="Arial"/>
          <w:lang w:eastAsia="es-ES"/>
        </w:rPr>
        <w:t xml:space="preserve"> </w:t>
      </w:r>
      <w:r w:rsidRPr="000A76FC">
        <w:rPr>
          <w:rFonts w:ascii="Verdana" w:eastAsia="Calibri" w:hAnsi="Verdana" w:cs="Arial"/>
          <w:lang w:eastAsia="es-ES"/>
        </w:rPr>
        <w:t>teniendo en cuenta la remisión de los</w:t>
      </w:r>
      <w:r>
        <w:rPr>
          <w:rFonts w:ascii="Verdana" w:eastAsia="Calibri" w:hAnsi="Verdana" w:cs="Arial"/>
          <w:lang w:eastAsia="es-ES"/>
        </w:rPr>
        <w:t xml:space="preserve"> artículos</w:t>
      </w:r>
      <w:r w:rsidRPr="000A76FC">
        <w:rPr>
          <w:rFonts w:ascii="Verdana" w:eastAsia="Calibri" w:hAnsi="Verdana" w:cs="Arial"/>
          <w:lang w:eastAsia="es-ES"/>
        </w:rPr>
        <w:t xml:space="preserve"> 13, 32 y 40 de la Ley 80 de 1993 a las normas comerciales y civiles</w:t>
      </w:r>
      <w:r>
        <w:rPr>
          <w:rFonts w:ascii="Verdana" w:eastAsia="Calibri" w:hAnsi="Verdana" w:cs="Arial"/>
          <w:lang w:eastAsia="es-ES"/>
        </w:rPr>
        <w:t>,</w:t>
      </w:r>
      <w:r w:rsidRPr="000A76FC">
        <w:rPr>
          <w:rFonts w:ascii="Verdana" w:eastAsia="Calibri" w:hAnsi="Verdana" w:cs="Arial"/>
          <w:lang w:eastAsia="es-ES"/>
        </w:rPr>
        <w:t xml:space="preserve"> y</w:t>
      </w:r>
      <w:r>
        <w:rPr>
          <w:rFonts w:ascii="Verdana" w:eastAsia="Calibri" w:hAnsi="Verdana" w:cs="Arial"/>
          <w:lang w:eastAsia="es-ES"/>
        </w:rPr>
        <w:t xml:space="preserve"> a</w:t>
      </w:r>
      <w:r w:rsidRPr="000A76FC">
        <w:rPr>
          <w:rFonts w:ascii="Verdana" w:eastAsia="Calibri" w:hAnsi="Verdana" w:cs="Arial"/>
          <w:lang w:eastAsia="es-ES"/>
        </w:rPr>
        <w:t xml:space="preserve"> que no se incurre en la excepción </w:t>
      </w:r>
      <w:r>
        <w:rPr>
          <w:rFonts w:ascii="Verdana" w:eastAsia="Calibri" w:hAnsi="Verdana" w:cs="Arial"/>
          <w:lang w:eastAsia="es-ES"/>
        </w:rPr>
        <w:t xml:space="preserve">a la celebración directa de contratos interadministrativos a la que se refiere </w:t>
      </w:r>
      <w:r w:rsidRPr="000A76FC">
        <w:rPr>
          <w:rFonts w:ascii="Verdana" w:eastAsia="Calibri" w:hAnsi="Verdana" w:cs="Arial"/>
          <w:lang w:eastAsia="es-ES"/>
        </w:rPr>
        <w:t>el artículo 2, numeral 4, literal c) de la Ley 1150 de 2007.</w:t>
      </w:r>
    </w:p>
    <w:p w14:paraId="78C61392" w14:textId="77777777" w:rsidR="00714031" w:rsidRPr="003248CC" w:rsidRDefault="00714031" w:rsidP="00714031">
      <w:pPr>
        <w:spacing w:after="120" w:line="276" w:lineRule="auto"/>
        <w:ind w:firstLine="709"/>
        <w:jc w:val="both"/>
        <w:rPr>
          <w:rFonts w:ascii="Verdana" w:eastAsia="Calibri" w:hAnsi="Verdana" w:cs="Arial"/>
          <w:color w:val="000000" w:themeColor="text1"/>
          <w:lang w:val="es-ES"/>
        </w:rPr>
      </w:pPr>
      <w:r>
        <w:rPr>
          <w:rFonts w:ascii="Verdana" w:hAnsi="Verdana" w:cs="Arial"/>
          <w:bCs/>
          <w:lang w:val="es-ES_tradnl" w:eastAsia="es-ES" w:bidi="es-ES"/>
        </w:rPr>
        <w:t>Tal como lo ha conceptuado anteriormente esta Agencia</w:t>
      </w:r>
      <w:r>
        <w:rPr>
          <w:rFonts w:ascii="Verdana" w:eastAsia="Calibri" w:hAnsi="Verdana" w:cs="Arial"/>
          <w:color w:val="000000" w:themeColor="text1"/>
          <w:lang w:val="es-ES_tradnl"/>
        </w:rPr>
        <w:t>, l</w:t>
      </w:r>
      <w:r w:rsidRPr="0591DD88">
        <w:rPr>
          <w:rFonts w:ascii="Verdana" w:eastAsia="Calibri" w:hAnsi="Verdana" w:cs="Arial"/>
          <w:color w:val="000000" w:themeColor="text1"/>
          <w:lang w:val="es-ES"/>
        </w:rPr>
        <w:t xml:space="preserve">a “administración delegada” se ha entendido, por lo menos, de dos maneras: i) como un mandato, es decir, como un negocio jurídico mediante el cual el contratista actúa en nombre y representación de la entidad contratante, y en contraprestación, la parte contratante delegante paga el costo real del objeto del contrato, adicionando un porcentaje por concepto de administración y utilidad del contratista; o </w:t>
      </w:r>
      <w:proofErr w:type="spellStart"/>
      <w:r w:rsidRPr="0591DD88">
        <w:rPr>
          <w:rFonts w:ascii="Verdana" w:eastAsia="Calibri" w:hAnsi="Verdana" w:cs="Arial"/>
          <w:color w:val="000000" w:themeColor="text1"/>
          <w:lang w:val="es-ES"/>
        </w:rPr>
        <w:t>ii</w:t>
      </w:r>
      <w:proofErr w:type="spellEnd"/>
      <w:r w:rsidRPr="0591DD88">
        <w:rPr>
          <w:rFonts w:ascii="Verdana" w:eastAsia="Calibri" w:hAnsi="Verdana" w:cs="Arial"/>
          <w:color w:val="000000" w:themeColor="text1"/>
          <w:lang w:val="es-ES"/>
        </w:rPr>
        <w:t xml:space="preserve">) como una modalidad de administración y pago, no necesariamente asociada al mandato. </w:t>
      </w:r>
    </w:p>
    <w:p w14:paraId="61E9D068" w14:textId="77777777" w:rsidR="00714031" w:rsidRPr="008C014B" w:rsidRDefault="00714031" w:rsidP="00714031">
      <w:pPr>
        <w:spacing w:after="0" w:line="276" w:lineRule="auto"/>
        <w:ind w:firstLine="709"/>
        <w:jc w:val="both"/>
        <w:rPr>
          <w:rFonts w:ascii="Verdana" w:eastAsia="Calibri" w:hAnsi="Verdana" w:cs="Arial"/>
          <w:color w:val="000000" w:themeColor="text1"/>
          <w:lang w:val="es-ES_tradnl"/>
        </w:rPr>
      </w:pPr>
      <w:r w:rsidRPr="003248CC">
        <w:rPr>
          <w:rFonts w:ascii="Verdana" w:eastAsia="Calibri" w:hAnsi="Verdana" w:cs="Arial"/>
          <w:color w:val="000000" w:themeColor="text1"/>
          <w:lang w:val="es-ES_tradnl"/>
        </w:rPr>
        <w:lastRenderedPageBreak/>
        <w:t xml:space="preserve">Al respecto, el Consejo de Estado se refirió a la administración delegada en el contrato de obra pública así: </w:t>
      </w:r>
    </w:p>
    <w:p w14:paraId="61ED1619" w14:textId="77777777" w:rsidR="00714031" w:rsidRPr="008C014B" w:rsidRDefault="00714031" w:rsidP="00714031">
      <w:pPr>
        <w:spacing w:after="0" w:line="276" w:lineRule="auto"/>
        <w:ind w:firstLine="709"/>
        <w:jc w:val="both"/>
        <w:rPr>
          <w:rFonts w:ascii="Verdana" w:eastAsia="Calibri" w:hAnsi="Verdana" w:cs="Arial"/>
          <w:color w:val="000000" w:themeColor="text1"/>
          <w:lang w:val="es-ES_tradnl"/>
        </w:rPr>
      </w:pPr>
    </w:p>
    <w:p w14:paraId="5F75A1A2" w14:textId="77777777" w:rsidR="00714031" w:rsidRPr="003248CC" w:rsidRDefault="00714031" w:rsidP="00714031">
      <w:pPr>
        <w:spacing w:after="0" w:line="240" w:lineRule="auto"/>
        <w:ind w:left="709" w:right="709"/>
        <w:jc w:val="both"/>
        <w:rPr>
          <w:rFonts w:ascii="Verdana" w:eastAsia="Calibri" w:hAnsi="Verdana" w:cs="Arial"/>
          <w:color w:val="000000" w:themeColor="text1"/>
          <w:sz w:val="20"/>
          <w:szCs w:val="20"/>
          <w:lang w:val="es-ES_tradnl"/>
        </w:rPr>
      </w:pPr>
      <w:r w:rsidRPr="003248CC">
        <w:rPr>
          <w:rFonts w:ascii="Verdana" w:eastAsia="Calibri" w:hAnsi="Verdana" w:cs="Arial"/>
          <w:color w:val="000000" w:themeColor="text1"/>
          <w:sz w:val="20"/>
          <w:szCs w:val="20"/>
          <w:lang w:val="es-ES_tradnl"/>
        </w:rPr>
        <w:t xml:space="preserve">“El contrato de obra pública por administración delegada no constituye una figura nueva en el derecho colombiano como que de él ya se ocupaba tanto el artículo 85 del decreto 150 de 1976, como los artículos 90 a 100 del decreto 222 de 1983. Este negocio jurídico es entendido como aquel en el que el contratista, por cuenta y riesgo de la entidad pública contratante se encarga de la ejecución del objeto convenido, o lo que es igual, bajo este sistema el contratista actúa a nombre y por cuenta del contratante delegante. </w:t>
      </w:r>
    </w:p>
    <w:p w14:paraId="3EC6BAEA" w14:textId="77777777" w:rsidR="00714031" w:rsidRDefault="00714031" w:rsidP="00714031">
      <w:pPr>
        <w:spacing w:after="0" w:line="240" w:lineRule="auto"/>
        <w:ind w:left="709" w:right="709"/>
        <w:jc w:val="both"/>
        <w:rPr>
          <w:rFonts w:ascii="Verdana" w:eastAsia="Calibri" w:hAnsi="Verdana" w:cs="Arial"/>
          <w:color w:val="000000" w:themeColor="text1"/>
          <w:sz w:val="20"/>
          <w:szCs w:val="20"/>
          <w:lang w:val="es-ES_tradnl"/>
        </w:rPr>
      </w:pPr>
      <w:r w:rsidRPr="003248CC">
        <w:rPr>
          <w:rFonts w:ascii="Verdana" w:eastAsia="Calibri" w:hAnsi="Verdana" w:cs="Arial"/>
          <w:color w:val="000000" w:themeColor="text1"/>
          <w:sz w:val="20"/>
          <w:szCs w:val="20"/>
          <w:lang w:val="es-ES_tradnl"/>
        </w:rPr>
        <w:t>Bajo este sistema la administración paga el costo real de la obra, más determinado porcentaje como retribución al contratista por concepto de honorarios de administración (en los que se incluyen costos de personal, oficinas, vehículos, desplazamientos etc.) y la utilidad”</w:t>
      </w:r>
      <w:r w:rsidRPr="003248CC">
        <w:rPr>
          <w:rFonts w:ascii="Verdana" w:eastAsia="Calibri" w:hAnsi="Verdana" w:cs="Arial"/>
          <w:color w:val="000000" w:themeColor="text1"/>
          <w:sz w:val="20"/>
          <w:szCs w:val="20"/>
          <w:vertAlign w:val="superscript"/>
          <w:lang w:val="es-ES_tradnl"/>
        </w:rPr>
        <w:footnoteReference w:id="2"/>
      </w:r>
      <w:r w:rsidRPr="003248CC">
        <w:rPr>
          <w:rFonts w:ascii="Verdana" w:eastAsia="Calibri" w:hAnsi="Verdana" w:cs="Arial"/>
          <w:color w:val="000000" w:themeColor="text1"/>
          <w:sz w:val="20"/>
          <w:szCs w:val="20"/>
          <w:lang w:val="es-ES_tradnl"/>
        </w:rPr>
        <w:t xml:space="preserve">. </w:t>
      </w:r>
    </w:p>
    <w:p w14:paraId="68FD6E89" w14:textId="77777777" w:rsidR="00714031" w:rsidRDefault="00714031" w:rsidP="00714031">
      <w:pPr>
        <w:spacing w:after="0" w:line="276" w:lineRule="auto"/>
        <w:ind w:right="709"/>
        <w:jc w:val="both"/>
        <w:rPr>
          <w:rFonts w:ascii="Verdana" w:eastAsia="Calibri" w:hAnsi="Verdana" w:cs="Arial"/>
          <w:color w:val="000000" w:themeColor="text1"/>
          <w:sz w:val="20"/>
          <w:szCs w:val="20"/>
          <w:lang w:val="es-ES_tradnl"/>
        </w:rPr>
      </w:pPr>
    </w:p>
    <w:p w14:paraId="5D865B34" w14:textId="77777777" w:rsidR="00714031" w:rsidRPr="00392F44" w:rsidRDefault="00714031" w:rsidP="00714031">
      <w:pPr>
        <w:spacing w:after="0" w:line="276" w:lineRule="auto"/>
        <w:ind w:firstLine="709"/>
        <w:jc w:val="both"/>
        <w:rPr>
          <w:rFonts w:ascii="Verdana" w:eastAsia="Calibri" w:hAnsi="Verdana" w:cs="Arial"/>
          <w:color w:val="000000" w:themeColor="text1"/>
          <w:lang w:val="es-ES_tradnl"/>
        </w:rPr>
      </w:pPr>
      <w:r w:rsidRPr="00392F44">
        <w:rPr>
          <w:rFonts w:ascii="Verdana" w:eastAsia="Calibri" w:hAnsi="Verdana" w:cs="Arial"/>
          <w:color w:val="000000" w:themeColor="text1"/>
          <w:lang w:val="es-ES_tradnl"/>
        </w:rPr>
        <w:t>En similar postura, la Sección Tercera del Consejo de Estado</w:t>
      </w:r>
      <w:r w:rsidRPr="00392F44">
        <w:rPr>
          <w:rStyle w:val="Refdenotaalpie"/>
          <w:rFonts w:ascii="Verdana" w:eastAsia="Calibri" w:hAnsi="Verdana" w:cs="Arial"/>
          <w:color w:val="000000" w:themeColor="text1"/>
          <w:lang w:val="es-ES_tradnl"/>
        </w:rPr>
        <w:footnoteReference w:id="3"/>
      </w:r>
      <w:r w:rsidRPr="00392F44">
        <w:rPr>
          <w:rFonts w:ascii="Verdana" w:eastAsia="Calibri" w:hAnsi="Verdana" w:cs="Arial"/>
          <w:color w:val="000000" w:themeColor="text1"/>
          <w:lang w:val="es-ES_tradnl"/>
        </w:rPr>
        <w:t xml:space="preserve"> ha sostenido que </w:t>
      </w:r>
    </w:p>
    <w:p w14:paraId="0665C724" w14:textId="77777777" w:rsidR="00714031" w:rsidRPr="00756C2A" w:rsidRDefault="00714031" w:rsidP="00714031">
      <w:pPr>
        <w:spacing w:after="0" w:line="276" w:lineRule="auto"/>
        <w:ind w:right="709"/>
        <w:jc w:val="both"/>
        <w:rPr>
          <w:rFonts w:ascii="Verdana" w:eastAsia="Calibri" w:hAnsi="Verdana" w:cs="Arial"/>
          <w:color w:val="000000" w:themeColor="text1"/>
          <w:sz w:val="20"/>
          <w:szCs w:val="20"/>
          <w:lang w:val="es-ES_tradnl"/>
        </w:rPr>
      </w:pPr>
    </w:p>
    <w:p w14:paraId="09955D1D" w14:textId="77777777" w:rsidR="00714031" w:rsidRPr="002309C7" w:rsidRDefault="00714031" w:rsidP="00714031">
      <w:pPr>
        <w:widowControl w:val="0"/>
        <w:spacing w:after="0" w:line="240" w:lineRule="auto"/>
        <w:ind w:left="709" w:right="709"/>
        <w:jc w:val="both"/>
        <w:rPr>
          <w:rFonts w:ascii="Verdana" w:hAnsi="Verdana"/>
          <w:sz w:val="20"/>
          <w:szCs w:val="20"/>
        </w:rPr>
      </w:pPr>
      <w:r w:rsidRPr="002309C7">
        <w:rPr>
          <w:rFonts w:ascii="Verdana" w:hAnsi="Verdana"/>
          <w:sz w:val="20"/>
          <w:szCs w:val="20"/>
        </w:rPr>
        <w:t>“(…) es entendido como aquel negocio jurídico en el que el contratista, por cuenta y riesgo del contratante, se encarga de la ejecución del objeto del convenio, a cambio de unos honorarios que pueden pactarse en forma de porcentaje sobre el valor de la obra o como precio fijo.</w:t>
      </w:r>
    </w:p>
    <w:p w14:paraId="4221DB61" w14:textId="77777777" w:rsidR="00714031" w:rsidRPr="002309C7" w:rsidRDefault="00714031" w:rsidP="00714031">
      <w:pPr>
        <w:spacing w:after="0" w:line="240" w:lineRule="auto"/>
        <w:ind w:left="709" w:right="709"/>
        <w:jc w:val="both"/>
        <w:rPr>
          <w:rFonts w:ascii="Verdana" w:hAnsi="Verdana"/>
          <w:bCs/>
          <w:sz w:val="20"/>
          <w:szCs w:val="20"/>
        </w:rPr>
      </w:pPr>
    </w:p>
    <w:p w14:paraId="27E9FAC5" w14:textId="77777777" w:rsidR="00714031" w:rsidRPr="002309C7" w:rsidRDefault="00714031" w:rsidP="00714031">
      <w:pPr>
        <w:spacing w:after="0" w:line="240" w:lineRule="auto"/>
        <w:ind w:left="709" w:right="709"/>
        <w:jc w:val="both"/>
        <w:rPr>
          <w:rFonts w:ascii="Verdana" w:hAnsi="Verdana"/>
          <w:bCs/>
          <w:sz w:val="20"/>
          <w:szCs w:val="20"/>
        </w:rPr>
      </w:pPr>
      <w:r w:rsidRPr="002309C7">
        <w:rPr>
          <w:rFonts w:ascii="Verdana" w:hAnsi="Verdana"/>
          <w:bCs/>
          <w:sz w:val="20"/>
          <w:szCs w:val="20"/>
        </w:rPr>
        <w:t>El administrador delegado, tiene como obligación esencial, la de tomar bajo su responsabilidad la dirección técnica de la obra, de conformidad con las cláusulas del respectivo contrato, la cual es de propiedad de la entidad estatal.</w:t>
      </w:r>
    </w:p>
    <w:p w14:paraId="56462BEF" w14:textId="77777777" w:rsidR="00714031" w:rsidRPr="002309C7" w:rsidRDefault="00714031" w:rsidP="00714031">
      <w:pPr>
        <w:spacing w:after="0" w:line="240" w:lineRule="auto"/>
        <w:ind w:left="709" w:right="709"/>
        <w:jc w:val="both"/>
        <w:rPr>
          <w:rFonts w:ascii="Verdana" w:hAnsi="Verdana"/>
          <w:bCs/>
          <w:sz w:val="20"/>
          <w:szCs w:val="20"/>
        </w:rPr>
      </w:pPr>
    </w:p>
    <w:p w14:paraId="5D105DE4" w14:textId="77777777" w:rsidR="00714031" w:rsidRPr="002309C7" w:rsidRDefault="00714031" w:rsidP="00714031">
      <w:pPr>
        <w:spacing w:after="0" w:line="240" w:lineRule="auto"/>
        <w:ind w:left="709" w:right="709"/>
        <w:jc w:val="both"/>
        <w:rPr>
          <w:rFonts w:ascii="Verdana" w:hAnsi="Verdana"/>
          <w:bCs/>
          <w:sz w:val="20"/>
          <w:szCs w:val="20"/>
        </w:rPr>
      </w:pPr>
      <w:r w:rsidRPr="002309C7">
        <w:rPr>
          <w:rFonts w:ascii="Verdana" w:hAnsi="Verdana"/>
          <w:bCs/>
          <w:sz w:val="20"/>
          <w:szCs w:val="20"/>
        </w:rPr>
        <w:t xml:space="preserve">En el evento de que el administrador delegado celebre subcontratos para efectos de la ejecución del objeto convenido, él será el único responsable de </w:t>
      </w:r>
      <w:proofErr w:type="gramStart"/>
      <w:r w:rsidRPr="002309C7">
        <w:rPr>
          <w:rFonts w:ascii="Verdana" w:hAnsi="Verdana"/>
          <w:bCs/>
          <w:sz w:val="20"/>
          <w:szCs w:val="20"/>
        </w:rPr>
        <w:t>los mismos</w:t>
      </w:r>
      <w:proofErr w:type="gramEnd"/>
      <w:r w:rsidRPr="002309C7">
        <w:rPr>
          <w:rStyle w:val="Refdenotaalpie"/>
          <w:rFonts w:ascii="Verdana" w:hAnsi="Verdana"/>
          <w:bCs/>
          <w:sz w:val="20"/>
          <w:szCs w:val="20"/>
        </w:rPr>
        <w:footnoteReference w:id="4"/>
      </w:r>
      <w:r w:rsidRPr="002309C7">
        <w:rPr>
          <w:rFonts w:ascii="Verdana" w:hAnsi="Verdana"/>
          <w:bCs/>
          <w:sz w:val="20"/>
          <w:szCs w:val="20"/>
        </w:rPr>
        <w:t>”.</w:t>
      </w:r>
    </w:p>
    <w:p w14:paraId="57EEED83" w14:textId="77777777" w:rsidR="00714031" w:rsidRPr="002309C7" w:rsidRDefault="00714031" w:rsidP="00714031">
      <w:pPr>
        <w:widowControl w:val="0"/>
        <w:autoSpaceDE w:val="0"/>
        <w:autoSpaceDN w:val="0"/>
        <w:spacing w:after="0" w:line="276" w:lineRule="auto"/>
        <w:ind w:firstLine="709"/>
        <w:jc w:val="both"/>
        <w:rPr>
          <w:rFonts w:ascii="Verdana" w:eastAsia="Arial" w:hAnsi="Verdana" w:cs="Arial"/>
          <w:lang w:val="es-ES"/>
        </w:rPr>
      </w:pPr>
    </w:p>
    <w:p w14:paraId="041A93D5" w14:textId="77777777" w:rsidR="00714031" w:rsidRDefault="00714031" w:rsidP="00714031">
      <w:pPr>
        <w:spacing w:after="0" w:line="276" w:lineRule="auto"/>
        <w:ind w:firstLine="708"/>
        <w:contextualSpacing/>
        <w:jc w:val="both"/>
        <w:rPr>
          <w:rFonts w:ascii="Verdana" w:eastAsia="Calibri" w:hAnsi="Verdana" w:cs="Arial"/>
        </w:rPr>
      </w:pPr>
      <w:r>
        <w:rPr>
          <w:rFonts w:ascii="Verdana" w:eastAsia="Calibri" w:hAnsi="Verdana" w:cs="Arial"/>
        </w:rPr>
        <w:t xml:space="preserve">En este contexto específico, la administración delegada </w:t>
      </w:r>
      <w:r w:rsidRPr="00F972A4">
        <w:rPr>
          <w:rFonts w:ascii="Verdana" w:eastAsia="Calibri" w:hAnsi="Verdana" w:cs="Arial"/>
        </w:rPr>
        <w:t xml:space="preserve">consiste en la modalidad </w:t>
      </w:r>
      <w:r>
        <w:rPr>
          <w:rFonts w:ascii="Verdana" w:eastAsia="Calibri" w:hAnsi="Verdana" w:cs="Arial"/>
        </w:rPr>
        <w:t xml:space="preserve">mediante la cual </w:t>
      </w:r>
      <w:r w:rsidRPr="00F972A4">
        <w:rPr>
          <w:rFonts w:ascii="Verdana" w:eastAsia="Calibri" w:hAnsi="Verdana" w:cs="Arial"/>
        </w:rPr>
        <w:t xml:space="preserve">el contratista recibe unos recursos </w:t>
      </w:r>
      <w:r>
        <w:rPr>
          <w:rFonts w:ascii="Verdana" w:eastAsia="Calibri" w:hAnsi="Verdana" w:cs="Arial"/>
        </w:rPr>
        <w:t xml:space="preserve">en administración que se encuentran </w:t>
      </w:r>
      <w:r w:rsidRPr="00F972A4">
        <w:rPr>
          <w:rFonts w:ascii="Verdana" w:eastAsia="Calibri" w:hAnsi="Verdana" w:cs="Arial"/>
        </w:rPr>
        <w:t>destinados a cubrir los costos de un determinado proyecto</w:t>
      </w:r>
      <w:r>
        <w:rPr>
          <w:rFonts w:ascii="Verdana" w:eastAsia="Calibri" w:hAnsi="Verdana" w:cs="Arial"/>
        </w:rPr>
        <w:t>. Por la ejecución de estas actividades de administración que realiza por cuenta del contratante, el contratista recibe</w:t>
      </w:r>
      <w:r w:rsidRPr="00F972A4">
        <w:rPr>
          <w:rFonts w:ascii="Verdana" w:eastAsia="Calibri" w:hAnsi="Verdana" w:cs="Arial"/>
        </w:rPr>
        <w:t xml:space="preserve"> a título de pago unos honorarios</w:t>
      </w:r>
      <w:r>
        <w:rPr>
          <w:rFonts w:ascii="Verdana" w:eastAsia="Calibri" w:hAnsi="Verdana" w:cs="Arial"/>
        </w:rPr>
        <w:t>.</w:t>
      </w:r>
    </w:p>
    <w:p w14:paraId="0AA612AC" w14:textId="77777777" w:rsidR="00714031" w:rsidRDefault="00714031" w:rsidP="00714031">
      <w:pPr>
        <w:widowControl w:val="0"/>
        <w:autoSpaceDE w:val="0"/>
        <w:autoSpaceDN w:val="0"/>
        <w:spacing w:before="120" w:after="120" w:line="276" w:lineRule="auto"/>
        <w:ind w:firstLine="709"/>
        <w:jc w:val="both"/>
        <w:rPr>
          <w:rFonts w:ascii="Verdana" w:eastAsia="Arial" w:hAnsi="Verdana" w:cs="Arial"/>
          <w:lang w:val="es-ES"/>
        </w:rPr>
      </w:pPr>
      <w:r>
        <w:rPr>
          <w:rFonts w:ascii="Verdana" w:eastAsia="Calibri" w:hAnsi="Verdana" w:cs="Arial"/>
        </w:rPr>
        <w:lastRenderedPageBreak/>
        <w:t>La administración delegada puede comprender actividades de administración y gestión de otro tipo de actividades y contratos, con lo cual es similar al contrato de mandato. Sobre este aspecto</w:t>
      </w:r>
      <w:r w:rsidRPr="003248CC">
        <w:rPr>
          <w:rFonts w:ascii="Verdana" w:eastAsia="Arial" w:hAnsi="Verdana" w:cs="Arial"/>
          <w:lang w:val="es-ES"/>
        </w:rPr>
        <w:t xml:space="preserve">, la Sección </w:t>
      </w:r>
      <w:r>
        <w:rPr>
          <w:rFonts w:ascii="Verdana" w:eastAsia="Arial" w:hAnsi="Verdana" w:cs="Arial"/>
          <w:lang w:val="es-ES"/>
        </w:rPr>
        <w:t>C</w:t>
      </w:r>
      <w:r w:rsidRPr="003248CC">
        <w:rPr>
          <w:rFonts w:ascii="Verdana" w:eastAsia="Arial" w:hAnsi="Verdana" w:cs="Arial"/>
          <w:lang w:val="es-ES"/>
        </w:rPr>
        <w:t>uarta del Consejo de Estado precisó que la administración delegada reviste de la misma esencia de la relación contractual propia del mandato, en el entendido de que el contratista representa, administra y gestiona el contrato</w:t>
      </w:r>
      <w:r w:rsidRPr="003248CC">
        <w:rPr>
          <w:rFonts w:ascii="Verdana" w:eastAsia="Arial" w:hAnsi="Verdana" w:cs="Arial"/>
          <w:vertAlign w:val="superscript"/>
          <w:lang w:val="es-ES"/>
        </w:rPr>
        <w:footnoteReference w:id="5"/>
      </w:r>
      <w:r w:rsidRPr="003248CC">
        <w:rPr>
          <w:rFonts w:ascii="Verdana" w:eastAsia="Arial" w:hAnsi="Verdana" w:cs="Arial"/>
          <w:lang w:val="es-ES"/>
        </w:rPr>
        <w:t xml:space="preserve">. Por ello, el contratista recibe como valor del contrato los recursos de inversión o entregados en administración y los honorarios, imponiéndosele, en virtud del principio de transparencia, el deber de identificar con claridad cada uno de estos valores y de rendirle cuentas a la entidad contratante, como a los órganos de control, si estos lo solicitan. </w:t>
      </w:r>
    </w:p>
    <w:p w14:paraId="2026FE1E" w14:textId="77777777" w:rsidR="00714031" w:rsidRPr="003248CC" w:rsidRDefault="00714031" w:rsidP="00714031">
      <w:pPr>
        <w:widowControl w:val="0"/>
        <w:autoSpaceDE w:val="0"/>
        <w:autoSpaceDN w:val="0"/>
        <w:spacing w:after="0" w:line="276" w:lineRule="auto"/>
        <w:ind w:firstLine="709"/>
        <w:jc w:val="both"/>
        <w:rPr>
          <w:rFonts w:ascii="Verdana" w:eastAsia="Arial" w:hAnsi="Verdana" w:cs="Arial"/>
          <w:lang w:val="es-ES"/>
        </w:rPr>
      </w:pPr>
      <w:r w:rsidRPr="003248CC">
        <w:rPr>
          <w:rFonts w:ascii="Verdana" w:eastAsia="Arial" w:hAnsi="Verdana" w:cs="Arial"/>
          <w:lang w:val="es-ES"/>
        </w:rPr>
        <w:t>Así lo ha señalado la Sala de Consulta y Servicio Civil del Consejo de Estado:</w:t>
      </w:r>
    </w:p>
    <w:p w14:paraId="12EF9021" w14:textId="77777777" w:rsidR="00714031" w:rsidRPr="003248CC" w:rsidRDefault="00714031" w:rsidP="00714031">
      <w:pPr>
        <w:spacing w:after="0" w:line="256" w:lineRule="auto"/>
        <w:ind w:left="709" w:right="760"/>
        <w:jc w:val="both"/>
        <w:rPr>
          <w:rFonts w:ascii="Verdana" w:eastAsia="Calibri" w:hAnsi="Verdana" w:cs="Arial"/>
          <w:color w:val="000000" w:themeColor="text1"/>
          <w:sz w:val="21"/>
          <w:szCs w:val="21"/>
          <w:lang w:val="es-ES_tradnl"/>
        </w:rPr>
      </w:pPr>
    </w:p>
    <w:p w14:paraId="0B79038E" w14:textId="77777777" w:rsidR="00714031" w:rsidRPr="003248CC" w:rsidRDefault="00714031" w:rsidP="00714031">
      <w:pPr>
        <w:spacing w:after="0" w:line="240" w:lineRule="auto"/>
        <w:ind w:left="709" w:right="709"/>
        <w:jc w:val="both"/>
        <w:rPr>
          <w:rFonts w:ascii="Verdana" w:eastAsia="Calibri" w:hAnsi="Verdana" w:cs="Arial"/>
          <w:color w:val="000000" w:themeColor="text1"/>
          <w:sz w:val="20"/>
          <w:szCs w:val="20"/>
          <w:lang w:val="es-ES_tradnl"/>
        </w:rPr>
      </w:pPr>
      <w:r w:rsidRPr="003248CC">
        <w:rPr>
          <w:rFonts w:ascii="Verdana" w:eastAsia="Calibri" w:hAnsi="Verdana" w:cs="Arial"/>
          <w:color w:val="000000" w:themeColor="text1"/>
          <w:sz w:val="20"/>
          <w:szCs w:val="20"/>
          <w:lang w:val="es-ES_tradnl"/>
        </w:rPr>
        <w:t xml:space="preserve">“Según la jurisprudencia del Consejo de Estado (sección tercera, sentencias de 12 de septiembre de 1994 y 23 de marzo de 1995), el sistema de administración delegada se realiza </w:t>
      </w:r>
      <w:r>
        <w:rPr>
          <w:rFonts w:ascii="Verdana" w:eastAsia="Calibri" w:hAnsi="Verdana" w:cs="Arial"/>
          <w:color w:val="000000" w:themeColor="text1"/>
          <w:sz w:val="20"/>
          <w:szCs w:val="20"/>
          <w:lang w:val="es-ES_tradnl"/>
        </w:rPr>
        <w:t>“</w:t>
      </w:r>
      <w:r w:rsidRPr="003248CC">
        <w:rPr>
          <w:rFonts w:ascii="Verdana" w:eastAsia="Calibri" w:hAnsi="Verdana" w:cs="Arial"/>
          <w:color w:val="000000" w:themeColor="text1"/>
          <w:sz w:val="20"/>
          <w:szCs w:val="20"/>
          <w:lang w:val="es-ES_tradnl"/>
        </w:rPr>
        <w:t>por cuenta y riesgo del contratante</w:t>
      </w:r>
      <w:r>
        <w:rPr>
          <w:rFonts w:ascii="Verdana" w:eastAsia="Calibri" w:hAnsi="Verdana" w:cs="Arial"/>
          <w:color w:val="000000" w:themeColor="text1"/>
          <w:sz w:val="20"/>
          <w:szCs w:val="20"/>
          <w:lang w:val="es-ES_tradnl"/>
        </w:rPr>
        <w:t>”</w:t>
      </w:r>
      <w:r w:rsidRPr="003248CC">
        <w:rPr>
          <w:rFonts w:ascii="Verdana" w:eastAsia="Calibri" w:hAnsi="Verdana" w:cs="Arial"/>
          <w:color w:val="000000" w:themeColor="text1"/>
          <w:sz w:val="20"/>
          <w:szCs w:val="20"/>
          <w:lang w:val="es-ES_tradnl"/>
        </w:rPr>
        <w:t>, por lo cual coloca al contratista en la posición de un representante que no contrae obligaciones a nombre propio sino del contratante, salvo en tratándose de subcontratos, o sea cuando el contratista encomienda la ejecución de parte del objeto del contrato a un tercero, pues en este evento el subcontratista se vincula en forma directa e independiente con el contratista.</w:t>
      </w:r>
    </w:p>
    <w:p w14:paraId="3C8A0F97" w14:textId="77777777" w:rsidR="00714031" w:rsidRPr="003248CC" w:rsidRDefault="00714031" w:rsidP="00714031">
      <w:pPr>
        <w:spacing w:after="0" w:line="240" w:lineRule="auto"/>
        <w:ind w:left="709" w:right="709"/>
        <w:jc w:val="both"/>
        <w:rPr>
          <w:rFonts w:ascii="Verdana" w:eastAsia="Calibri" w:hAnsi="Verdana" w:cs="Arial"/>
          <w:color w:val="000000" w:themeColor="text1"/>
          <w:sz w:val="20"/>
          <w:szCs w:val="20"/>
          <w:lang w:val="es-ES_tradnl"/>
        </w:rPr>
      </w:pPr>
    </w:p>
    <w:p w14:paraId="1784E5C1" w14:textId="77777777" w:rsidR="00714031" w:rsidRPr="003248CC" w:rsidRDefault="00714031" w:rsidP="00714031">
      <w:pPr>
        <w:spacing w:after="0" w:line="240" w:lineRule="auto"/>
        <w:ind w:left="709" w:right="709"/>
        <w:jc w:val="both"/>
        <w:rPr>
          <w:rFonts w:ascii="Verdana" w:eastAsia="Calibri" w:hAnsi="Verdana" w:cs="Arial"/>
          <w:color w:val="000000" w:themeColor="text1"/>
          <w:sz w:val="20"/>
          <w:szCs w:val="20"/>
          <w:lang w:val="es-ES_tradnl"/>
        </w:rPr>
      </w:pPr>
      <w:r w:rsidRPr="003248CC">
        <w:rPr>
          <w:rFonts w:ascii="Verdana" w:eastAsia="Calibri" w:hAnsi="Verdana" w:cs="Arial"/>
          <w:color w:val="000000" w:themeColor="text1"/>
          <w:sz w:val="20"/>
          <w:szCs w:val="20"/>
          <w:lang w:val="es-ES_tradnl"/>
        </w:rPr>
        <w:t>Se comprende entonces que corresponda a la entidad contratante suministrar los fondos necesarios para el cumplimiento de las funciones u obligaciones del contratista; fondos que el administrador delegado manejará bajo su propia responsabilidad, con la obligación de rendir cuentas a la entidad respectiva y a la Contraloría General de la República. Adicionalmente, también se podrán suministrar al contratista equipos y elementos de propiedad de la entidad contratante”</w:t>
      </w:r>
      <w:r w:rsidRPr="003248CC">
        <w:rPr>
          <w:rFonts w:ascii="Verdana" w:eastAsia="Calibri" w:hAnsi="Verdana" w:cs="Arial"/>
          <w:color w:val="000000" w:themeColor="text1"/>
          <w:sz w:val="20"/>
          <w:szCs w:val="20"/>
          <w:vertAlign w:val="superscript"/>
          <w:lang w:val="es-ES_tradnl"/>
        </w:rPr>
        <w:footnoteReference w:id="6"/>
      </w:r>
      <w:r w:rsidRPr="003248CC">
        <w:rPr>
          <w:rFonts w:ascii="Verdana" w:eastAsia="Calibri" w:hAnsi="Verdana" w:cs="Arial"/>
          <w:color w:val="000000" w:themeColor="text1"/>
          <w:sz w:val="20"/>
          <w:szCs w:val="20"/>
          <w:lang w:val="es-ES_tradnl"/>
        </w:rPr>
        <w:t>.</w:t>
      </w:r>
    </w:p>
    <w:p w14:paraId="606EE50B" w14:textId="77777777" w:rsidR="00714031" w:rsidRPr="003248CC" w:rsidRDefault="00714031" w:rsidP="00714031">
      <w:pPr>
        <w:widowControl w:val="0"/>
        <w:autoSpaceDE w:val="0"/>
        <w:autoSpaceDN w:val="0"/>
        <w:spacing w:after="0" w:line="276" w:lineRule="auto"/>
        <w:ind w:firstLine="709"/>
        <w:jc w:val="both"/>
        <w:rPr>
          <w:rFonts w:ascii="Verdana" w:eastAsia="Calibri" w:hAnsi="Verdana" w:cs="Arial"/>
          <w:bCs/>
          <w:color w:val="000000" w:themeColor="text1"/>
          <w:lang w:val="es-ES_tradnl"/>
        </w:rPr>
      </w:pPr>
    </w:p>
    <w:p w14:paraId="1955BF39" w14:textId="77777777" w:rsidR="00714031" w:rsidRPr="003248CC" w:rsidRDefault="00714031" w:rsidP="00714031">
      <w:pPr>
        <w:widowControl w:val="0"/>
        <w:autoSpaceDE w:val="0"/>
        <w:autoSpaceDN w:val="0"/>
        <w:spacing w:after="120" w:line="276" w:lineRule="auto"/>
        <w:ind w:firstLine="709"/>
        <w:jc w:val="both"/>
        <w:rPr>
          <w:rFonts w:ascii="Verdana" w:eastAsia="Calibri" w:hAnsi="Verdana" w:cs="Arial"/>
          <w:bCs/>
          <w:color w:val="000000" w:themeColor="text1"/>
        </w:rPr>
      </w:pPr>
      <w:r w:rsidRPr="003248CC">
        <w:rPr>
          <w:rFonts w:ascii="Verdana" w:eastAsia="Calibri" w:hAnsi="Verdana" w:cs="Arial"/>
          <w:bCs/>
          <w:color w:val="000000" w:themeColor="text1"/>
          <w:lang w:val="es-ES_tradnl"/>
        </w:rPr>
        <w:t xml:space="preserve">Posteriormente, el Consejo de Estado, en su Sala de </w:t>
      </w:r>
      <w:r>
        <w:rPr>
          <w:rFonts w:ascii="Verdana" w:eastAsia="Calibri" w:hAnsi="Verdana" w:cs="Arial"/>
          <w:bCs/>
          <w:color w:val="000000" w:themeColor="text1"/>
          <w:lang w:val="es-ES_tradnl"/>
        </w:rPr>
        <w:t>C</w:t>
      </w:r>
      <w:r w:rsidRPr="003248CC">
        <w:rPr>
          <w:rFonts w:ascii="Verdana" w:eastAsia="Calibri" w:hAnsi="Verdana" w:cs="Arial"/>
          <w:bCs/>
          <w:color w:val="000000" w:themeColor="text1"/>
          <w:lang w:val="es-ES_tradnl"/>
        </w:rPr>
        <w:t xml:space="preserve">onsulta y </w:t>
      </w:r>
      <w:r>
        <w:rPr>
          <w:rFonts w:ascii="Verdana" w:eastAsia="Calibri" w:hAnsi="Verdana" w:cs="Arial"/>
          <w:bCs/>
          <w:color w:val="000000" w:themeColor="text1"/>
          <w:lang w:val="es-ES_tradnl"/>
        </w:rPr>
        <w:t>S</w:t>
      </w:r>
      <w:r w:rsidRPr="003248CC">
        <w:rPr>
          <w:rFonts w:ascii="Verdana" w:eastAsia="Calibri" w:hAnsi="Verdana" w:cs="Arial"/>
          <w:bCs/>
          <w:color w:val="000000" w:themeColor="text1"/>
          <w:lang w:val="es-ES_tradnl"/>
        </w:rPr>
        <w:t xml:space="preserve">ervicio </w:t>
      </w:r>
      <w:r>
        <w:rPr>
          <w:rFonts w:ascii="Verdana" w:eastAsia="Calibri" w:hAnsi="Verdana" w:cs="Arial"/>
          <w:bCs/>
          <w:color w:val="000000" w:themeColor="text1"/>
          <w:lang w:val="es-ES_tradnl"/>
        </w:rPr>
        <w:t>C</w:t>
      </w:r>
      <w:r w:rsidRPr="003248CC">
        <w:rPr>
          <w:rFonts w:ascii="Verdana" w:eastAsia="Calibri" w:hAnsi="Verdana" w:cs="Arial"/>
          <w:bCs/>
          <w:color w:val="000000" w:themeColor="text1"/>
          <w:lang w:val="es-ES_tradnl"/>
        </w:rPr>
        <w:t>ivil</w:t>
      </w:r>
      <w:r w:rsidRPr="003248CC">
        <w:rPr>
          <w:rFonts w:ascii="Verdana" w:eastAsia="Calibri" w:hAnsi="Verdana" w:cs="Arial"/>
          <w:bCs/>
          <w:color w:val="000000" w:themeColor="text1"/>
          <w:vertAlign w:val="superscript"/>
          <w:lang w:val="es-ES_tradnl"/>
        </w:rPr>
        <w:footnoteReference w:id="7"/>
      </w:r>
      <w:r w:rsidRPr="003248CC">
        <w:rPr>
          <w:rFonts w:ascii="Verdana" w:eastAsia="Calibri" w:hAnsi="Verdana" w:cs="Arial"/>
          <w:bCs/>
          <w:color w:val="000000" w:themeColor="text1"/>
          <w:lang w:val="es-ES_tradnl"/>
        </w:rPr>
        <w:t>, indicó que</w:t>
      </w:r>
      <w:r>
        <w:rPr>
          <w:rFonts w:ascii="Verdana" w:eastAsia="Calibri" w:hAnsi="Verdana" w:cs="Arial"/>
          <w:bCs/>
          <w:color w:val="000000" w:themeColor="text1"/>
          <w:lang w:val="es-ES_tradnl"/>
        </w:rPr>
        <w:t xml:space="preserve"> en</w:t>
      </w:r>
      <w:r w:rsidRPr="003248CC">
        <w:rPr>
          <w:rFonts w:ascii="Verdana" w:eastAsia="Calibri" w:hAnsi="Verdana" w:cs="Arial"/>
          <w:bCs/>
          <w:color w:val="000000" w:themeColor="text1"/>
          <w:lang w:val="es-ES_tradnl"/>
        </w:rPr>
        <w:t xml:space="preserve"> </w:t>
      </w:r>
      <w:r w:rsidRPr="003248CC">
        <w:rPr>
          <w:rFonts w:ascii="Verdana" w:eastAsia="Calibri" w:hAnsi="Verdana" w:cs="Arial"/>
          <w:bCs/>
          <w:color w:val="000000" w:themeColor="text1"/>
        </w:rPr>
        <w:t xml:space="preserve">los contratos de administración delegada, se puede pactar la ejecución de un proyecto en su totalidad, donde la Entidad Estatal mantiene la titularidad de éste y de los dineros destinados para su ejecución, mientras que </w:t>
      </w:r>
      <w:r w:rsidRPr="003248CC">
        <w:rPr>
          <w:rFonts w:ascii="Verdana" w:eastAsia="Calibri" w:hAnsi="Verdana" w:cs="Arial"/>
          <w:bCs/>
          <w:color w:val="000000" w:themeColor="text1"/>
        </w:rPr>
        <w:lastRenderedPageBreak/>
        <w:t xml:space="preserve">el contratista sólo los administra y ejecuta a cambio de una contraprestación, que cuando se entrega a título de pago, se desplaza al patrimonio del contratista sin ningún condicionamiento. </w:t>
      </w:r>
    </w:p>
    <w:p w14:paraId="0995BA96" w14:textId="77777777" w:rsidR="00714031" w:rsidRPr="003248CC" w:rsidRDefault="00714031" w:rsidP="00714031">
      <w:pPr>
        <w:widowControl w:val="0"/>
        <w:autoSpaceDE w:val="0"/>
        <w:autoSpaceDN w:val="0"/>
        <w:spacing w:after="120" w:line="276" w:lineRule="auto"/>
        <w:ind w:firstLine="709"/>
        <w:jc w:val="both"/>
        <w:rPr>
          <w:rFonts w:ascii="Verdana" w:eastAsia="Arial" w:hAnsi="Verdana" w:cs="Arial"/>
          <w:lang w:val="es-ES"/>
        </w:rPr>
      </w:pPr>
      <w:r w:rsidRPr="003248CC">
        <w:rPr>
          <w:rFonts w:ascii="Verdana" w:eastAsia="Arial" w:hAnsi="Verdana" w:cs="Arial"/>
          <w:lang w:val="es-ES"/>
        </w:rPr>
        <w:t xml:space="preserve">En este contexto, </w:t>
      </w:r>
      <w:r w:rsidRPr="003248CC">
        <w:rPr>
          <w:rFonts w:ascii="Verdana" w:eastAsia="Times New Roman" w:hAnsi="Verdana" w:cs="Arial"/>
          <w:bCs/>
          <w:lang w:val="es-ES" w:eastAsia="es-ES"/>
        </w:rPr>
        <w:t>es preciso citar la sentencia del 20 de noviembre de 2020</w:t>
      </w:r>
      <w:r w:rsidRPr="003248CC">
        <w:rPr>
          <w:rFonts w:ascii="Verdana" w:eastAsia="Times New Roman" w:hAnsi="Verdana" w:cs="Arial"/>
          <w:bCs/>
          <w:vertAlign w:val="superscript"/>
          <w:lang w:val="es-ES" w:eastAsia="es-ES"/>
        </w:rPr>
        <w:footnoteReference w:id="8"/>
      </w:r>
      <w:r w:rsidRPr="003248CC">
        <w:rPr>
          <w:rFonts w:ascii="Verdana" w:eastAsia="Times New Roman" w:hAnsi="Verdana" w:cs="Arial"/>
          <w:bCs/>
          <w:lang w:val="es-ES" w:eastAsia="es-ES"/>
        </w:rPr>
        <w:t>, que reiteró que</w:t>
      </w:r>
      <w:r>
        <w:rPr>
          <w:rFonts w:ascii="Verdana" w:eastAsia="Times New Roman" w:hAnsi="Verdana" w:cs="Arial"/>
          <w:bCs/>
          <w:lang w:val="es-ES" w:eastAsia="es-ES"/>
        </w:rPr>
        <w:t>,</w:t>
      </w:r>
      <w:r w:rsidRPr="003248CC">
        <w:rPr>
          <w:rFonts w:ascii="Verdana" w:eastAsia="Times New Roman" w:hAnsi="Verdana" w:cs="Arial"/>
          <w:bCs/>
          <w:lang w:val="es-ES" w:eastAsia="es-ES"/>
        </w:rPr>
        <w:t xml:space="preserve"> si bien las normas del mandato se integren al contenido del contrato de obra por administración delegada no quiere decir que el contratista obre en nombre y representación del contratante frente a terceros. Sobre el tema, la providencia reiteró que la representación no es un elemento de la esencia de este negocio jurídico, como se deduce del artículo 2.177 del Código Civil, que prescribe que el </w:t>
      </w:r>
      <w:r w:rsidRPr="003248CC">
        <w:rPr>
          <w:rFonts w:ascii="Verdana" w:eastAsia="Calibri" w:hAnsi="Verdana" w:cs="Arial"/>
          <w:lang w:val="es-ES_tradnl" w:eastAsia="es-ES"/>
        </w:rPr>
        <w:t>“</w:t>
      </w:r>
      <w:r w:rsidRPr="003248CC">
        <w:rPr>
          <w:rFonts w:ascii="Verdana" w:eastAsia="Times New Roman" w:hAnsi="Verdana" w:cs="Arial"/>
          <w:bCs/>
          <w:lang w:val="es-ES" w:eastAsia="es-ES"/>
        </w:rPr>
        <w:t>mandatario puede, en el ejercicio de su cargo, contratar a su propio nombre, caso en el cual no obliga respecto de terceros al mandante</w:t>
      </w:r>
      <w:r w:rsidRPr="003248CC">
        <w:rPr>
          <w:rFonts w:ascii="Verdana" w:eastAsia="Calibri" w:hAnsi="Verdana" w:cs="Arial"/>
          <w:lang w:val="es-ES_tradnl" w:eastAsia="es-ES"/>
        </w:rPr>
        <w:t>”</w:t>
      </w:r>
      <w:r w:rsidRPr="003248CC">
        <w:rPr>
          <w:rFonts w:ascii="Verdana" w:eastAsia="Times New Roman" w:hAnsi="Verdana" w:cs="Arial"/>
          <w:bCs/>
          <w:lang w:val="es-ES" w:eastAsia="es-ES"/>
        </w:rPr>
        <w:t xml:space="preserve">. De igual forma, el inciso segundo del artículo 1.262 del Código de Comercio también contempla que </w:t>
      </w:r>
      <w:r w:rsidRPr="003248CC">
        <w:rPr>
          <w:rFonts w:ascii="Verdana" w:eastAsia="Calibri" w:hAnsi="Verdana" w:cs="Arial"/>
          <w:lang w:val="es-ES_tradnl" w:eastAsia="es-ES"/>
        </w:rPr>
        <w:t>“</w:t>
      </w:r>
      <w:r w:rsidRPr="003248CC">
        <w:rPr>
          <w:rFonts w:ascii="Verdana" w:eastAsia="Times New Roman" w:hAnsi="Verdana" w:cs="Arial"/>
          <w:bCs/>
          <w:lang w:val="es-ES" w:eastAsia="es-ES"/>
        </w:rPr>
        <w:t>el mandato [comercial] puede conllevar o no la representación del mandante</w:t>
      </w:r>
      <w:r w:rsidRPr="003248CC">
        <w:rPr>
          <w:rFonts w:ascii="Verdana" w:eastAsia="Calibri" w:hAnsi="Verdana" w:cs="Arial"/>
          <w:lang w:val="es-ES_tradnl" w:eastAsia="es-ES"/>
        </w:rPr>
        <w:t>”</w:t>
      </w:r>
      <w:r w:rsidRPr="003248CC">
        <w:rPr>
          <w:rFonts w:ascii="Verdana" w:eastAsia="Times New Roman" w:hAnsi="Verdana" w:cs="Arial"/>
          <w:bCs/>
          <w:lang w:val="es-ES" w:eastAsia="es-ES"/>
        </w:rPr>
        <w:t xml:space="preserve">. </w:t>
      </w:r>
    </w:p>
    <w:p w14:paraId="5023CDE7" w14:textId="77777777" w:rsidR="00714031" w:rsidRPr="003248CC" w:rsidRDefault="00714031" w:rsidP="00714031">
      <w:pPr>
        <w:spacing w:line="276" w:lineRule="auto"/>
        <w:ind w:firstLine="708"/>
        <w:jc w:val="both"/>
        <w:rPr>
          <w:rFonts w:ascii="Verdana" w:eastAsia="Times New Roman" w:hAnsi="Verdana" w:cs="Arial"/>
          <w:bCs/>
          <w:lang w:val="es-ES" w:eastAsia="es-ES"/>
        </w:rPr>
      </w:pPr>
      <w:r w:rsidRPr="003248CC">
        <w:rPr>
          <w:rFonts w:ascii="Verdana" w:eastAsia="Times New Roman" w:hAnsi="Verdana" w:cs="Arial"/>
          <w:bCs/>
          <w:lang w:val="es-ES" w:eastAsia="es-ES"/>
        </w:rPr>
        <w:t>En ese sentido, la providencia en cita indicó que el elemento esencial que se debe observar del contrato de mandato es que el mandatario obra por cuenta del mandante en cumplimiento de su gestión. Esto quiere decir que, los efectos patrimoniales de los actos que ejecute el mandatario en su administración se radican en cabeza del mandante siempre que no se exceda en los límites de su encargo, como se deduce de los artículos 2.186 del Código Civil y 1.266 del Código de Comercio</w:t>
      </w:r>
      <w:r w:rsidRPr="003248CC">
        <w:rPr>
          <w:rFonts w:ascii="Verdana" w:eastAsia="Times New Roman" w:hAnsi="Verdana" w:cs="Arial"/>
          <w:bCs/>
          <w:vertAlign w:val="superscript"/>
          <w:lang w:val="es-ES" w:eastAsia="es-ES"/>
        </w:rPr>
        <w:footnoteReference w:id="9"/>
      </w:r>
      <w:r w:rsidRPr="003248CC">
        <w:rPr>
          <w:rFonts w:ascii="Verdana" w:eastAsia="Times New Roman" w:hAnsi="Verdana" w:cs="Arial"/>
          <w:bCs/>
          <w:lang w:val="es-ES" w:eastAsia="es-ES"/>
        </w:rPr>
        <w:t xml:space="preserve">. </w:t>
      </w:r>
    </w:p>
    <w:p w14:paraId="089F06B7" w14:textId="77777777" w:rsidR="00714031" w:rsidRPr="003248CC" w:rsidRDefault="00714031" w:rsidP="00714031">
      <w:pPr>
        <w:spacing w:after="0" w:line="276" w:lineRule="auto"/>
        <w:ind w:firstLine="708"/>
        <w:jc w:val="both"/>
        <w:rPr>
          <w:rFonts w:ascii="Verdana" w:eastAsia="Times New Roman" w:hAnsi="Verdana" w:cs="Arial"/>
          <w:bCs/>
          <w:lang w:val="es-ES" w:eastAsia="es-ES"/>
        </w:rPr>
      </w:pPr>
      <w:r w:rsidRPr="003248CC">
        <w:rPr>
          <w:rFonts w:ascii="Verdana" w:eastAsia="Times New Roman" w:hAnsi="Verdana" w:cs="Arial"/>
          <w:bCs/>
          <w:lang w:val="es-ES" w:eastAsia="es-ES"/>
        </w:rPr>
        <w:t>Al respecto, la Corte Suprema de Justicia ha dicho que el mandato puede constituir representación o no, y que cuando las partes optan que se ejerza sin representación conlleva que:</w:t>
      </w:r>
    </w:p>
    <w:p w14:paraId="57D14E41" w14:textId="77777777" w:rsidR="00714031" w:rsidRPr="003248CC" w:rsidRDefault="00714031" w:rsidP="00714031">
      <w:pPr>
        <w:spacing w:after="0" w:line="276" w:lineRule="auto"/>
        <w:ind w:firstLine="708"/>
        <w:jc w:val="both"/>
        <w:rPr>
          <w:rFonts w:ascii="Verdana" w:eastAsia="Times New Roman" w:hAnsi="Verdana" w:cs="Arial"/>
          <w:bCs/>
          <w:lang w:val="es-ES" w:eastAsia="es-ES"/>
        </w:rPr>
      </w:pPr>
    </w:p>
    <w:p w14:paraId="13B40129" w14:textId="77777777" w:rsidR="00714031" w:rsidRPr="003248CC" w:rsidRDefault="00714031" w:rsidP="00714031">
      <w:pPr>
        <w:spacing w:after="0" w:line="240" w:lineRule="auto"/>
        <w:ind w:left="709" w:right="709"/>
        <w:jc w:val="both"/>
        <w:rPr>
          <w:rFonts w:ascii="Verdana" w:eastAsia="Times New Roman" w:hAnsi="Verdana" w:cs="Arial"/>
          <w:bCs/>
          <w:sz w:val="20"/>
          <w:szCs w:val="20"/>
          <w:lang w:val="es-ES" w:eastAsia="es-ES"/>
        </w:rPr>
      </w:pPr>
      <w:r w:rsidRPr="003248CC">
        <w:rPr>
          <w:rFonts w:ascii="Verdana" w:eastAsia="Times New Roman" w:hAnsi="Verdana" w:cs="Arial"/>
          <w:bCs/>
          <w:sz w:val="20"/>
          <w:szCs w:val="20"/>
          <w:lang w:val="es-ES" w:eastAsia="es-ES"/>
        </w:rPr>
        <w:t xml:space="preserve"> “entre mandante y terceros no surjan vínculos jurídicos y carezcan, por ende, de legitimación para emprender acciones judiciales entre sí. No obstante, esto no quiere decir que el sustituido se mantenga totalmente al margen de la situación y que los resultados del negocio no lo alcancen: (…) aunque obra frente a terceros en nombre propio, sigue haciéndolo por cuenta ajena, la del mandante, y a riesgo de éste, cual lo define el </w:t>
      </w:r>
      <w:r w:rsidRPr="003248CC">
        <w:rPr>
          <w:rFonts w:ascii="Verdana" w:eastAsia="Times New Roman" w:hAnsi="Verdana" w:cs="Arial"/>
          <w:bCs/>
          <w:sz w:val="20"/>
          <w:szCs w:val="20"/>
          <w:lang w:val="es-ES" w:eastAsia="es-ES"/>
        </w:rPr>
        <w:lastRenderedPageBreak/>
        <w:t>reseñado artículo 1262 del Código de Comercio, de modo que sobre su patrimonio habrán de recaer, en últimas, los resultados del acto”</w:t>
      </w:r>
      <w:r w:rsidRPr="003248CC">
        <w:rPr>
          <w:rFonts w:ascii="Verdana" w:eastAsia="Times New Roman" w:hAnsi="Verdana" w:cs="Arial"/>
          <w:bCs/>
          <w:sz w:val="20"/>
          <w:szCs w:val="20"/>
          <w:vertAlign w:val="superscript"/>
          <w:lang w:val="es-ES" w:eastAsia="es-ES"/>
        </w:rPr>
        <w:footnoteReference w:id="10"/>
      </w:r>
      <w:r w:rsidRPr="003248CC">
        <w:rPr>
          <w:rFonts w:ascii="Verdana" w:eastAsia="Times New Roman" w:hAnsi="Verdana" w:cs="Arial"/>
          <w:bCs/>
          <w:sz w:val="20"/>
          <w:szCs w:val="20"/>
          <w:lang w:val="es-ES" w:eastAsia="es-ES"/>
        </w:rPr>
        <w:t xml:space="preserve">. </w:t>
      </w:r>
    </w:p>
    <w:p w14:paraId="7B9D4ACC" w14:textId="77777777" w:rsidR="00714031" w:rsidRPr="003248CC" w:rsidRDefault="00714031" w:rsidP="00714031">
      <w:pPr>
        <w:spacing w:after="0" w:line="240" w:lineRule="auto"/>
        <w:ind w:left="709" w:right="709"/>
        <w:jc w:val="both"/>
        <w:rPr>
          <w:rFonts w:ascii="Verdana" w:eastAsia="Times New Roman" w:hAnsi="Verdana" w:cs="Arial"/>
          <w:bCs/>
          <w:sz w:val="20"/>
          <w:szCs w:val="20"/>
          <w:lang w:val="es-ES" w:eastAsia="es-ES"/>
        </w:rPr>
      </w:pPr>
    </w:p>
    <w:p w14:paraId="5C4B6A32" w14:textId="77777777" w:rsidR="00714031" w:rsidRPr="00756C2A" w:rsidRDefault="00714031" w:rsidP="00714031">
      <w:pPr>
        <w:spacing w:after="120" w:line="276" w:lineRule="auto"/>
        <w:ind w:firstLine="709"/>
        <w:jc w:val="both"/>
        <w:rPr>
          <w:rFonts w:ascii="Verdana" w:eastAsia="Calibri" w:hAnsi="Verdana" w:cs="Arial"/>
        </w:rPr>
      </w:pPr>
      <w:r>
        <w:rPr>
          <w:rFonts w:ascii="Verdana" w:eastAsia="Calibri" w:hAnsi="Verdana" w:cs="Arial"/>
        </w:rPr>
        <w:t xml:space="preserve">Según lo expuesto, la administración delegada puede ser pactada como parte de un mandato con o sin representación en el marco de un contrato interadministrativo. Esta forma de administración delegada asociada al mandato será distinta de aquella que se pacta como para la administración o pago, como los casos señalados que no implican un contrato de mandato. </w:t>
      </w:r>
    </w:p>
    <w:p w14:paraId="5435E431" w14:textId="77777777" w:rsidR="00714031" w:rsidRPr="003248CC" w:rsidRDefault="00714031" w:rsidP="00714031">
      <w:pPr>
        <w:spacing w:after="0" w:line="276" w:lineRule="auto"/>
        <w:ind w:firstLine="709"/>
        <w:jc w:val="both"/>
        <w:rPr>
          <w:rFonts w:ascii="Verdana" w:eastAsia="Times New Roman" w:hAnsi="Verdana" w:cs="Arial"/>
          <w:lang w:val="es-ES" w:eastAsia="es-CO"/>
        </w:rPr>
      </w:pPr>
      <w:r w:rsidRPr="003248CC">
        <w:rPr>
          <w:rFonts w:ascii="Verdana" w:eastAsia="Times New Roman" w:hAnsi="Verdana" w:cs="Arial"/>
          <w:lang w:val="es-ES" w:eastAsia="es-CO"/>
        </w:rPr>
        <w:t xml:space="preserve">Recientemente, el Consejo de Estado en sentencia del 20 de junio de 2023, reiterando lo expuesto por esta </w:t>
      </w:r>
      <w:r>
        <w:rPr>
          <w:rFonts w:ascii="Verdana" w:eastAsia="Times New Roman" w:hAnsi="Verdana" w:cs="Arial"/>
          <w:lang w:val="es-ES" w:eastAsia="es-CO"/>
        </w:rPr>
        <w:t>C</w:t>
      </w:r>
      <w:r w:rsidRPr="003248CC">
        <w:rPr>
          <w:rFonts w:ascii="Verdana" w:eastAsia="Times New Roman" w:hAnsi="Verdana" w:cs="Arial"/>
          <w:lang w:val="es-ES" w:eastAsia="es-CO"/>
        </w:rPr>
        <w:t xml:space="preserve">orporación frente a la esencia del mandato en la administración delegada, señaló lo siguiente: </w:t>
      </w:r>
    </w:p>
    <w:p w14:paraId="32801873" w14:textId="77777777" w:rsidR="00714031" w:rsidRPr="003248CC" w:rsidRDefault="00714031" w:rsidP="00714031">
      <w:pPr>
        <w:spacing w:after="0" w:line="276" w:lineRule="auto"/>
        <w:ind w:firstLine="709"/>
        <w:jc w:val="both"/>
        <w:rPr>
          <w:rFonts w:ascii="Verdana" w:eastAsia="Times New Roman" w:hAnsi="Verdana" w:cs="Arial"/>
          <w:lang w:val="es-ES" w:eastAsia="es-CO"/>
        </w:rPr>
      </w:pPr>
    </w:p>
    <w:p w14:paraId="7736B5C9" w14:textId="77777777" w:rsidR="00714031" w:rsidRDefault="00714031" w:rsidP="00714031">
      <w:pPr>
        <w:spacing w:after="0" w:line="240" w:lineRule="auto"/>
        <w:ind w:left="709" w:right="709"/>
        <w:jc w:val="both"/>
        <w:rPr>
          <w:rFonts w:ascii="Verdana" w:eastAsia="Times New Roman" w:hAnsi="Verdana" w:cs="Arial"/>
          <w:bCs/>
          <w:sz w:val="20"/>
          <w:szCs w:val="20"/>
          <w:lang w:val="es-ES" w:eastAsia="es-ES"/>
        </w:rPr>
      </w:pPr>
      <w:r w:rsidRPr="003248CC">
        <w:rPr>
          <w:rFonts w:ascii="Verdana" w:eastAsia="Times New Roman" w:hAnsi="Verdana" w:cs="Arial"/>
          <w:lang w:val="es-ES" w:eastAsia="es-CO"/>
        </w:rPr>
        <w:t>“</w:t>
      </w:r>
      <w:r w:rsidRPr="003248CC">
        <w:rPr>
          <w:rFonts w:ascii="Verdana" w:eastAsia="Times New Roman" w:hAnsi="Verdana" w:cs="Arial"/>
          <w:bCs/>
          <w:sz w:val="20"/>
          <w:szCs w:val="20"/>
          <w:lang w:val="es-ES" w:eastAsia="es-ES"/>
        </w:rPr>
        <w:t xml:space="preserve">En el contrato de obra por administración delegada, el administrador delegado, se encarga, por cuenta y riesgo del contratante, de la ejecución del objeto convenido, figura que por ende entraña la relación contractual propia del mandato, pues en los términos del artículo 2142 del Código Civil, el contratante “confía la gestión de uno más negocios a otra por cuenta y riesgo de la primera”, y con ocasión de la ejecución del encargo, el mandatario, a su vez y como regla general, contrata en nombre del mandante; no obstante, la regla general antes indicada tiene su excepción, pues tal como es dispuesto por el artículo 2177 </w:t>
      </w:r>
      <w:proofErr w:type="spellStart"/>
      <w:r w:rsidRPr="003248CC">
        <w:rPr>
          <w:rFonts w:ascii="Verdana" w:eastAsia="Times New Roman" w:hAnsi="Verdana" w:cs="Arial"/>
          <w:bCs/>
          <w:sz w:val="20"/>
          <w:szCs w:val="20"/>
          <w:lang w:val="es-ES" w:eastAsia="es-ES"/>
        </w:rPr>
        <w:t>ejusdem</w:t>
      </w:r>
      <w:proofErr w:type="spellEnd"/>
      <w:r w:rsidRPr="003248CC">
        <w:rPr>
          <w:rFonts w:ascii="Verdana" w:eastAsia="Times New Roman" w:hAnsi="Verdana" w:cs="Arial"/>
          <w:bCs/>
          <w:sz w:val="20"/>
          <w:szCs w:val="20"/>
          <w:lang w:val="es-ES" w:eastAsia="es-ES"/>
        </w:rPr>
        <w:t>, el mandatario “puede, en el ejercicio de su cargo, contratar a su propio nombre o al del mandante” y “si contrata a su propio nombre no obliga respecto de terceros al mandante</w:t>
      </w:r>
      <w:r w:rsidRPr="003248CC">
        <w:rPr>
          <w:rFonts w:ascii="Verdana" w:eastAsia="Times New Roman" w:hAnsi="Verdana" w:cs="Arial"/>
          <w:bCs/>
          <w:sz w:val="20"/>
          <w:szCs w:val="20"/>
          <w:vertAlign w:val="superscript"/>
          <w:lang w:val="es-ES" w:eastAsia="es-ES"/>
        </w:rPr>
        <w:footnoteReference w:id="11"/>
      </w:r>
      <w:r w:rsidRPr="003248CC">
        <w:rPr>
          <w:rFonts w:ascii="Verdana" w:eastAsia="Times New Roman" w:hAnsi="Verdana" w:cs="Arial"/>
          <w:bCs/>
          <w:sz w:val="20"/>
          <w:szCs w:val="20"/>
          <w:lang w:val="es-ES" w:eastAsia="es-ES"/>
        </w:rPr>
        <w:t>”</w:t>
      </w:r>
      <w:r>
        <w:rPr>
          <w:rFonts w:ascii="Verdana" w:eastAsia="Times New Roman" w:hAnsi="Verdana" w:cs="Arial"/>
          <w:bCs/>
          <w:sz w:val="20"/>
          <w:szCs w:val="20"/>
          <w:lang w:val="es-ES" w:eastAsia="es-ES"/>
        </w:rPr>
        <w:t>.</w:t>
      </w:r>
    </w:p>
    <w:p w14:paraId="08E8E133" w14:textId="77777777" w:rsidR="00714031" w:rsidRPr="00003029" w:rsidRDefault="00714031" w:rsidP="00714031">
      <w:pPr>
        <w:spacing w:after="0" w:line="276" w:lineRule="auto"/>
        <w:ind w:left="709" w:right="618"/>
        <w:jc w:val="both"/>
        <w:rPr>
          <w:rFonts w:ascii="Verdana" w:eastAsia="Times New Roman" w:hAnsi="Verdana" w:cs="Arial"/>
          <w:bCs/>
          <w:lang w:val="es-ES" w:eastAsia="es-ES"/>
        </w:rPr>
      </w:pPr>
    </w:p>
    <w:p w14:paraId="69141AB2" w14:textId="77777777" w:rsidR="00714031" w:rsidRDefault="00714031" w:rsidP="00714031">
      <w:pPr>
        <w:spacing w:after="120" w:line="276" w:lineRule="auto"/>
        <w:ind w:firstLine="708"/>
        <w:jc w:val="both"/>
        <w:rPr>
          <w:rFonts w:ascii="Verdana" w:eastAsia="Calibri" w:hAnsi="Verdana" w:cs="Arial"/>
        </w:rPr>
      </w:pPr>
      <w:r>
        <w:rPr>
          <w:rFonts w:ascii="Verdana" w:eastAsia="Calibri" w:hAnsi="Verdana" w:cs="Arial"/>
        </w:rPr>
        <w:t xml:space="preserve">Lo anterior evidencia que la ejecución de la administración delegada asociada a un mandato implica que la entidad ejecutora realice todas las actividades necesarias para la ejecución del objeto convenido, por cuenta y riesgo del mandante. Se sigue entonces que la administración delegada puede requerir que el contratista adelante procesos de selección para subcontratar de actividades que sean necesarias para el cumplimiento del objeto del contrato. </w:t>
      </w:r>
      <w:r>
        <w:rPr>
          <w:rFonts w:ascii="Verdana" w:hAnsi="Verdana" w:cs="Arial"/>
          <w:bCs/>
        </w:rPr>
        <w:t xml:space="preserve">En estos casos, la ejecución de actividades de subcontratación en cumplimiento del mandato </w:t>
      </w:r>
      <w:r>
        <w:rPr>
          <w:rFonts w:ascii="Verdana" w:eastAsia="Calibri" w:hAnsi="Verdana" w:cs="Arial"/>
        </w:rPr>
        <w:t>no implica una delegación de funciones en cabeza del mandante.</w:t>
      </w:r>
    </w:p>
    <w:p w14:paraId="43510F35" w14:textId="77777777" w:rsidR="00714031" w:rsidRPr="00842D4D" w:rsidRDefault="00714031" w:rsidP="00714031">
      <w:pPr>
        <w:spacing w:after="120" w:line="276" w:lineRule="auto"/>
        <w:ind w:firstLine="708"/>
        <w:jc w:val="both"/>
        <w:rPr>
          <w:rFonts w:ascii="Verdana" w:eastAsia="Calibri" w:hAnsi="Verdana" w:cs="Arial"/>
        </w:rPr>
      </w:pPr>
      <w:r>
        <w:rPr>
          <w:rFonts w:ascii="Verdana" w:eastAsia="Times New Roman" w:hAnsi="Verdana" w:cs="Arial"/>
          <w:lang w:val="es-ES" w:eastAsia="es-CO"/>
        </w:rPr>
        <w:t xml:space="preserve">En este sentido, el Consejo de Estado ha indicado </w:t>
      </w:r>
      <w:r w:rsidRPr="003248CC">
        <w:rPr>
          <w:rFonts w:ascii="Verdana" w:eastAsia="Times New Roman" w:hAnsi="Verdana" w:cs="Arial"/>
          <w:lang w:val="es-ES" w:eastAsia="es-CO"/>
        </w:rPr>
        <w:t>sobre la subcontratación en el marco de la administración delegada que “</w:t>
      </w:r>
      <w:r w:rsidRPr="003248CC">
        <w:rPr>
          <w:rFonts w:ascii="Verdana" w:eastAsia="Times New Roman" w:hAnsi="Verdana" w:cs="Arial"/>
          <w:lang w:eastAsia="es-CO"/>
        </w:rPr>
        <w:t xml:space="preserve">aunque el administrador delegado tiene como obligación esencial tomar bajo su responsabilidad la </w:t>
      </w:r>
      <w:r w:rsidRPr="003248CC">
        <w:rPr>
          <w:rFonts w:ascii="Verdana" w:eastAsia="Times New Roman" w:hAnsi="Verdana" w:cs="Arial"/>
          <w:lang w:eastAsia="es-CO"/>
        </w:rPr>
        <w:lastRenderedPageBreak/>
        <w:t xml:space="preserve">dirección técnica de la obra, la cual es de propiedad de la entidad estatal, en el evento de que el administrador delegado celebre subcontratos para efectos de la ejecución del objeto convenido, él será el único responsable de </w:t>
      </w:r>
      <w:proofErr w:type="gramStart"/>
      <w:r w:rsidRPr="003248CC">
        <w:rPr>
          <w:rFonts w:ascii="Verdana" w:eastAsia="Times New Roman" w:hAnsi="Verdana" w:cs="Arial"/>
          <w:lang w:eastAsia="es-CO"/>
        </w:rPr>
        <w:t>los mismos</w:t>
      </w:r>
      <w:proofErr w:type="gramEnd"/>
      <w:r w:rsidRPr="003248CC">
        <w:rPr>
          <w:rFonts w:ascii="Verdana" w:eastAsia="Times New Roman" w:hAnsi="Verdana" w:cs="Arial"/>
          <w:lang w:eastAsia="es-CO"/>
        </w:rPr>
        <w:t>”</w:t>
      </w:r>
      <w:r w:rsidRPr="003248CC">
        <w:rPr>
          <w:rFonts w:ascii="Verdana" w:eastAsia="Times New Roman" w:hAnsi="Verdana" w:cs="Arial"/>
          <w:vertAlign w:val="superscript"/>
          <w:lang w:eastAsia="es-CO"/>
        </w:rPr>
        <w:footnoteReference w:id="12"/>
      </w:r>
      <w:r w:rsidRPr="003248CC">
        <w:rPr>
          <w:rFonts w:ascii="Verdana" w:eastAsia="Times New Roman" w:hAnsi="Verdana" w:cs="Arial"/>
          <w:lang w:eastAsia="es-CO"/>
        </w:rPr>
        <w:t>.</w:t>
      </w:r>
      <w:r w:rsidRPr="003248CC">
        <w:rPr>
          <w:rFonts w:ascii="Verdana" w:hAnsi="Verdana" w:cs="Arial"/>
          <w:lang w:val="es-ES"/>
        </w:rPr>
        <w:t xml:space="preserve"> En este sentido, </w:t>
      </w:r>
      <w:r w:rsidRPr="003248CC">
        <w:rPr>
          <w:rFonts w:ascii="Verdana" w:hAnsi="Verdana" w:cs="Arial"/>
          <w:bCs/>
        </w:rPr>
        <w:t>si bien la administración delegada implica la realización o ejecución de</w:t>
      </w:r>
      <w:r>
        <w:rPr>
          <w:rFonts w:ascii="Verdana" w:hAnsi="Verdana" w:cs="Arial"/>
          <w:bCs/>
        </w:rPr>
        <w:t>l objeto convenido</w:t>
      </w:r>
      <w:r w:rsidRPr="003248CC">
        <w:rPr>
          <w:rFonts w:ascii="Verdana" w:hAnsi="Verdana" w:cs="Arial"/>
          <w:bCs/>
        </w:rPr>
        <w:t xml:space="preserve">, junto con la administración de los </w:t>
      </w:r>
      <w:r>
        <w:rPr>
          <w:rFonts w:ascii="Verdana" w:hAnsi="Verdana" w:cs="Arial"/>
          <w:bCs/>
        </w:rPr>
        <w:t>recursos</w:t>
      </w:r>
      <w:r w:rsidRPr="003248CC">
        <w:rPr>
          <w:rFonts w:ascii="Verdana" w:hAnsi="Verdana" w:cs="Arial"/>
          <w:bCs/>
        </w:rPr>
        <w:t xml:space="preserve">, en caso de que se celebren subcontratos no se genera una relación jurídica entre la entidad contratante y los terceros. </w:t>
      </w:r>
      <w:r>
        <w:rPr>
          <w:rFonts w:ascii="Verdana" w:hAnsi="Verdana" w:cs="Arial"/>
          <w:bCs/>
        </w:rPr>
        <w:t xml:space="preserve"> </w:t>
      </w:r>
    </w:p>
    <w:p w14:paraId="17C1375A" w14:textId="77777777" w:rsidR="00714031" w:rsidRPr="003248CC" w:rsidRDefault="00714031" w:rsidP="00714031">
      <w:pPr>
        <w:spacing w:after="120" w:line="276" w:lineRule="auto"/>
        <w:ind w:firstLine="709"/>
        <w:jc w:val="both"/>
        <w:rPr>
          <w:rFonts w:ascii="Verdana" w:hAnsi="Verdana" w:cs="Arial"/>
          <w:bCs/>
          <w:lang w:val="es-ES_tradnl"/>
        </w:rPr>
      </w:pPr>
      <w:r w:rsidRPr="003248CC">
        <w:rPr>
          <w:rFonts w:ascii="Verdana" w:hAnsi="Verdana" w:cs="Arial"/>
          <w:bCs/>
        </w:rPr>
        <w:t xml:space="preserve">Así pues, teniendo en cuenta que </w:t>
      </w:r>
      <w:r w:rsidRPr="003248CC">
        <w:rPr>
          <w:rFonts w:ascii="Verdana" w:hAnsi="Verdana" w:cs="Arial"/>
          <w:bCs/>
          <w:lang w:val="es-ES_tradnl"/>
        </w:rPr>
        <w:t xml:space="preserve">el artículo 40 de la Ley 80 de 1993 dispuso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 las entidades estatales podrán celebrar la administración delegada como forma de mandato, </w:t>
      </w:r>
      <w:r w:rsidRPr="003248CC">
        <w:rPr>
          <w:rFonts w:ascii="Verdana" w:eastAsia="Century Gothic" w:hAnsi="Verdana" w:cs="Century Gothic"/>
          <w:color w:val="000000" w:themeColor="text1"/>
        </w:rPr>
        <w:t xml:space="preserve">por el cual la entidad estatal contratante –mandante– encomienda a la entidad estatal contratista –mandataria– la administración de un proyecto. </w:t>
      </w:r>
    </w:p>
    <w:p w14:paraId="6A753C07" w14:textId="77777777" w:rsidR="00714031" w:rsidRPr="003248CC" w:rsidRDefault="00714031" w:rsidP="00714031">
      <w:pPr>
        <w:widowControl w:val="0"/>
        <w:autoSpaceDE w:val="0"/>
        <w:autoSpaceDN w:val="0"/>
        <w:spacing w:after="120" w:line="276" w:lineRule="auto"/>
        <w:ind w:firstLine="709"/>
        <w:jc w:val="both"/>
        <w:rPr>
          <w:rFonts w:ascii="Verdana" w:eastAsia="Arial" w:hAnsi="Verdana" w:cs="Arial"/>
          <w:lang w:val="es-ES"/>
        </w:rPr>
      </w:pPr>
      <w:r w:rsidRPr="003248CC">
        <w:rPr>
          <w:rFonts w:ascii="Verdana" w:eastAsia="Arial" w:hAnsi="Verdana" w:cs="Arial"/>
          <w:lang w:val="es-ES"/>
        </w:rPr>
        <w:t xml:space="preserve">Por otro lado, según se indicó, la administración delegada puede concebirse como una forma de pago de contratos como el de obra pública o el de interventoría. En efecto, dentro de la forma de pactar la metodología de ejecución y el precio de los contratos estatales de obra pública, las partes pueden emplear distintos sistemas, como, por ejemplo, i) el “precio global” –en el que se paga “a mano alzada” el objeto del contrato–; </w:t>
      </w:r>
      <w:proofErr w:type="spellStart"/>
      <w:r w:rsidRPr="003248CC">
        <w:rPr>
          <w:rFonts w:ascii="Verdana" w:eastAsia="Arial" w:hAnsi="Verdana" w:cs="Arial"/>
          <w:lang w:val="es-ES"/>
        </w:rPr>
        <w:t>ii</w:t>
      </w:r>
      <w:proofErr w:type="spellEnd"/>
      <w:r w:rsidRPr="003248CC">
        <w:rPr>
          <w:rFonts w:ascii="Verdana" w:eastAsia="Arial" w:hAnsi="Verdana" w:cs="Arial"/>
          <w:lang w:val="es-ES"/>
        </w:rPr>
        <w:t xml:space="preserve">) los “precios unitarios” –en los cuales se suelen detallar los costos directos, diferenciándolos de los costos indirectos de administración (A), imprevistos (I) y utilidades (U)–, o </w:t>
      </w:r>
      <w:proofErr w:type="spellStart"/>
      <w:r w:rsidRPr="003248CC">
        <w:rPr>
          <w:rFonts w:ascii="Verdana" w:eastAsia="Arial" w:hAnsi="Verdana" w:cs="Arial"/>
          <w:lang w:val="es-ES"/>
        </w:rPr>
        <w:t>iii</w:t>
      </w:r>
      <w:proofErr w:type="spellEnd"/>
      <w:r w:rsidRPr="003248CC">
        <w:rPr>
          <w:rFonts w:ascii="Verdana" w:eastAsia="Arial" w:hAnsi="Verdana" w:cs="Arial"/>
          <w:lang w:val="es-ES"/>
        </w:rPr>
        <w:t xml:space="preserve">) la “administración delegada”, que consiste en la modalidad en virtud de la cual el contratista recibe unos recursos destinados a cubrir los costos de un determinado proyecto –siendo lo más común que se aplique en la ejecución de obras públicas– (recursos de inversión o entregados en administración), por cuya labor obtendrá, a título de pago, unos honorarios por la administración. Sobre este aspecto, la doctrina ha señalado lo siguiente: </w:t>
      </w:r>
      <w:r w:rsidRPr="003248CC">
        <w:rPr>
          <w:rFonts w:ascii="Verdana" w:hAnsi="Verdana" w:cs="Arial"/>
          <w:lang w:val="es-ES"/>
        </w:rPr>
        <w:t xml:space="preserve"> </w:t>
      </w:r>
    </w:p>
    <w:p w14:paraId="2E8CCB8F" w14:textId="77777777" w:rsidR="00714031" w:rsidRPr="003248CC" w:rsidRDefault="00714031" w:rsidP="00714031">
      <w:pPr>
        <w:snapToGrid w:val="0"/>
        <w:spacing w:after="0" w:line="240" w:lineRule="auto"/>
        <w:ind w:firstLine="709"/>
        <w:jc w:val="both"/>
        <w:rPr>
          <w:rFonts w:ascii="Verdana" w:hAnsi="Verdana" w:cs="Arial"/>
          <w:sz w:val="16"/>
          <w:szCs w:val="16"/>
          <w:lang w:val="es-ES"/>
        </w:rPr>
      </w:pPr>
    </w:p>
    <w:p w14:paraId="6A69FFD1" w14:textId="77777777" w:rsidR="00714031" w:rsidRPr="003248CC" w:rsidRDefault="00714031" w:rsidP="00714031">
      <w:pPr>
        <w:snapToGrid w:val="0"/>
        <w:spacing w:after="120" w:line="240" w:lineRule="auto"/>
        <w:ind w:left="709" w:right="618"/>
        <w:jc w:val="both"/>
        <w:rPr>
          <w:rFonts w:ascii="Verdana" w:hAnsi="Verdana" w:cs="Arial"/>
          <w:sz w:val="20"/>
          <w:szCs w:val="20"/>
          <w:lang w:val="es-ES"/>
        </w:rPr>
      </w:pPr>
      <w:r w:rsidRPr="003248CC">
        <w:rPr>
          <w:rFonts w:ascii="Verdana" w:hAnsi="Verdana" w:cs="Arial"/>
          <w:sz w:val="20"/>
          <w:szCs w:val="20"/>
          <w:lang w:val="es-ES"/>
        </w:rPr>
        <w:t xml:space="preserve">“La administración delegada es una modalidad de pago poco usada en la actualidad, pero, al fin y al cabo, empleada ocasionalmente. En ella el contratista se compromete a ejecutar un trabajo, pero con los recursos </w:t>
      </w:r>
      <w:r w:rsidRPr="003248CC">
        <w:rPr>
          <w:rFonts w:ascii="Verdana" w:hAnsi="Verdana" w:cs="Arial"/>
          <w:sz w:val="20"/>
          <w:szCs w:val="20"/>
          <w:lang w:val="es-ES"/>
        </w:rPr>
        <w:lastRenderedPageBreak/>
        <w:t>económicos, materiales y/o la maquinaria del Estado. Desde este punto de vista se diferencia sustancialmente del precio global y del unitario, donde lo normal es que el contratista pone estos recursos para ejecutar el trabajo.</w:t>
      </w:r>
    </w:p>
    <w:p w14:paraId="7F87F114" w14:textId="77777777" w:rsidR="00714031" w:rsidRPr="003248CC" w:rsidRDefault="00714031" w:rsidP="00714031">
      <w:pPr>
        <w:snapToGrid w:val="0"/>
        <w:spacing w:after="120" w:line="240" w:lineRule="auto"/>
        <w:ind w:left="709" w:right="618"/>
        <w:jc w:val="both"/>
        <w:rPr>
          <w:rFonts w:ascii="Verdana" w:hAnsi="Verdana" w:cs="Arial"/>
          <w:sz w:val="20"/>
          <w:szCs w:val="20"/>
          <w:lang w:val="es-ES"/>
        </w:rPr>
      </w:pPr>
      <w:r w:rsidRPr="003248CC">
        <w:rPr>
          <w:rFonts w:ascii="Verdana" w:hAnsi="Verdana" w:cs="Arial"/>
          <w:sz w:val="20"/>
          <w:szCs w:val="20"/>
          <w:lang w:val="es-ES"/>
        </w:rPr>
        <w:t>[…]</w:t>
      </w:r>
    </w:p>
    <w:p w14:paraId="1D388BA5" w14:textId="77777777" w:rsidR="00714031" w:rsidRPr="003248CC" w:rsidRDefault="00714031" w:rsidP="00714031">
      <w:pPr>
        <w:widowControl w:val="0"/>
        <w:autoSpaceDE w:val="0"/>
        <w:autoSpaceDN w:val="0"/>
        <w:spacing w:after="120" w:line="240" w:lineRule="auto"/>
        <w:ind w:left="709" w:right="618"/>
        <w:jc w:val="both"/>
        <w:rPr>
          <w:rFonts w:ascii="Verdana" w:hAnsi="Verdana" w:cs="Arial"/>
          <w:sz w:val="20"/>
          <w:szCs w:val="20"/>
          <w:lang w:val="es-ES"/>
        </w:rPr>
      </w:pPr>
      <w:r w:rsidRPr="003248CC">
        <w:rPr>
          <w:rFonts w:ascii="Verdana" w:hAnsi="Verdana" w:cs="Arial"/>
          <w:sz w:val="20"/>
          <w:szCs w:val="20"/>
          <w:lang w:val="es-ES"/>
        </w:rPr>
        <w:t xml:space="preserve">Los aspectos claves de este negocio, en función del precio, tienen que ver con el hecho de que la entidad estatal asume la obligación de poner el dinero para que el contratista compre los materiales, pague el arriendo de la maquinaria, del personal de trabajo, y demás elementos necesarios para la construcción; y el contratista se compromete a construir con estos recursos puestos a su disposición; no se le paga un precio unitario o global, sino una </w:t>
      </w:r>
      <w:r w:rsidRPr="003248CC">
        <w:rPr>
          <w:rFonts w:ascii="Verdana" w:hAnsi="Verdana" w:cs="Arial"/>
          <w:i/>
          <w:iCs/>
          <w:sz w:val="20"/>
          <w:szCs w:val="20"/>
          <w:lang w:val="es-ES"/>
        </w:rPr>
        <w:t>administración</w:t>
      </w:r>
      <w:r w:rsidRPr="003248CC">
        <w:rPr>
          <w:rFonts w:ascii="Verdana" w:hAnsi="Verdana" w:cs="Arial"/>
          <w:sz w:val="20"/>
          <w:szCs w:val="20"/>
          <w:lang w:val="es-ES"/>
        </w:rPr>
        <w:t>, por el hecho de poner su conocimiento y esfuerzo al servicio de la construcción de una obra, la cual ejecuta con los recursos del Estado</w:t>
      </w:r>
      <w:r w:rsidRPr="003248CC">
        <w:rPr>
          <w:rFonts w:ascii="Verdana" w:hAnsi="Verdana" w:cs="Arial"/>
          <w:sz w:val="20"/>
          <w:szCs w:val="20"/>
          <w:vertAlign w:val="superscript"/>
          <w:lang w:val="es-ES"/>
        </w:rPr>
        <w:footnoteReference w:id="13"/>
      </w:r>
      <w:r w:rsidRPr="003248CC">
        <w:rPr>
          <w:rFonts w:ascii="Verdana" w:hAnsi="Verdana" w:cs="Arial"/>
          <w:sz w:val="20"/>
          <w:szCs w:val="20"/>
          <w:lang w:val="es-ES"/>
        </w:rPr>
        <w:t>”</w:t>
      </w:r>
    </w:p>
    <w:p w14:paraId="1D520AB1" w14:textId="77777777" w:rsidR="00714031" w:rsidRPr="003248CC" w:rsidRDefault="00714031" w:rsidP="00714031">
      <w:pPr>
        <w:widowControl w:val="0"/>
        <w:autoSpaceDE w:val="0"/>
        <w:autoSpaceDN w:val="0"/>
        <w:spacing w:after="0" w:line="240" w:lineRule="auto"/>
        <w:ind w:left="709" w:right="618"/>
        <w:jc w:val="both"/>
        <w:rPr>
          <w:rFonts w:ascii="Verdana" w:eastAsia="Arial" w:hAnsi="Verdana" w:cs="Arial"/>
          <w:sz w:val="20"/>
          <w:szCs w:val="20"/>
          <w:lang w:val="es-ES"/>
        </w:rPr>
      </w:pPr>
    </w:p>
    <w:p w14:paraId="6F70E24B" w14:textId="77777777" w:rsidR="00714031" w:rsidRPr="003248CC" w:rsidRDefault="00714031" w:rsidP="00714031">
      <w:pPr>
        <w:widowControl w:val="0"/>
        <w:autoSpaceDE w:val="0"/>
        <w:autoSpaceDN w:val="0"/>
        <w:spacing w:after="120" w:line="276" w:lineRule="auto"/>
        <w:ind w:firstLine="709"/>
        <w:jc w:val="both"/>
        <w:rPr>
          <w:rFonts w:ascii="Verdana" w:eastAsia="Arial" w:hAnsi="Verdana" w:cs="Arial"/>
          <w:lang w:val="es-ES"/>
        </w:rPr>
      </w:pPr>
      <w:r w:rsidRPr="003248CC">
        <w:rPr>
          <w:rFonts w:ascii="Verdana" w:eastAsia="Arial" w:hAnsi="Verdana" w:cs="Arial"/>
          <w:lang w:val="es-ES"/>
        </w:rPr>
        <w:t xml:space="preserve">De igual forma, se ha señalado que “en la administración delegada el contratista se compromete a construir una obra y la entidad estatal asume los valores de los subcontratos que debe celebrar el contratista para cumplir con el objeto, con un valor adicional que corresponde a los honorarios de administración (costos de personal, oficinas, vehículos, </w:t>
      </w:r>
      <w:proofErr w:type="spellStart"/>
      <w:r w:rsidRPr="003248CC">
        <w:rPr>
          <w:rFonts w:ascii="Verdana" w:eastAsia="Arial" w:hAnsi="Verdana" w:cs="Arial"/>
          <w:lang w:val="es-ES"/>
        </w:rPr>
        <w:t>etc</w:t>
      </w:r>
      <w:proofErr w:type="spellEnd"/>
      <w:r w:rsidRPr="003248CC">
        <w:rPr>
          <w:rFonts w:ascii="Verdana" w:eastAsia="Arial" w:hAnsi="Verdana" w:cs="Arial"/>
          <w:lang w:val="es-ES"/>
        </w:rPr>
        <w:t xml:space="preserve">) y la utilidad”. De esta forma, se refiere a este sistema de pago como el de costes y costas: “Coste” comprende todos los gastos de construcción (materiales, mano de obra, </w:t>
      </w:r>
      <w:proofErr w:type="spellStart"/>
      <w:r w:rsidRPr="003248CC">
        <w:rPr>
          <w:rFonts w:ascii="Verdana" w:eastAsia="Arial" w:hAnsi="Verdana" w:cs="Arial"/>
          <w:lang w:val="es-ES"/>
        </w:rPr>
        <w:t>ect</w:t>
      </w:r>
      <w:proofErr w:type="spellEnd"/>
      <w:r w:rsidRPr="003248CC">
        <w:rPr>
          <w:rFonts w:ascii="Verdana" w:eastAsia="Arial" w:hAnsi="Verdana" w:cs="Arial"/>
          <w:lang w:val="es-ES"/>
        </w:rPr>
        <w:t>); “costas” comprende la utilidad del cocontratante. La suma de estos rubros traduce el precio de la obra”</w:t>
      </w:r>
      <w:r w:rsidRPr="003248CC">
        <w:rPr>
          <w:rFonts w:ascii="Verdana" w:eastAsia="Arial" w:hAnsi="Verdana" w:cs="Arial"/>
          <w:vertAlign w:val="superscript"/>
          <w:lang w:val="es-ES"/>
        </w:rPr>
        <w:footnoteReference w:id="14"/>
      </w:r>
      <w:r w:rsidRPr="003248CC">
        <w:rPr>
          <w:rFonts w:ascii="Verdana" w:eastAsia="Arial" w:hAnsi="Verdana" w:cs="Arial"/>
          <w:lang w:val="es-ES"/>
        </w:rPr>
        <w:t>.</w:t>
      </w:r>
    </w:p>
    <w:p w14:paraId="58A647B6" w14:textId="77777777" w:rsidR="00714031" w:rsidRPr="003E54E8" w:rsidRDefault="00714031" w:rsidP="00714031">
      <w:pPr>
        <w:spacing w:before="120" w:after="120" w:line="276" w:lineRule="auto"/>
        <w:ind w:firstLine="709"/>
        <w:jc w:val="both"/>
        <w:rPr>
          <w:rFonts w:ascii="Verdana" w:hAnsi="Verdana" w:cs="Arial"/>
          <w:bCs/>
        </w:rPr>
      </w:pPr>
      <w:r>
        <w:rPr>
          <w:rFonts w:ascii="Verdana" w:hAnsi="Verdana" w:cs="Arial"/>
          <w:bCs/>
        </w:rPr>
        <w:t>Conforme lo expuesto, es jurídicamente viable que las entidades celebren contratos interadministrativos en los cuales pacten la administración delegada de un proyecto como forma de pago o que se encuentre asociada a un mandato en los términos de la normativa civil y comercial</w:t>
      </w:r>
      <w:r>
        <w:rPr>
          <w:rFonts w:ascii="Verdana" w:eastAsia="Calibri" w:hAnsi="Verdana" w:cs="Arial"/>
        </w:rPr>
        <w:t>. Lo anterior implica que, en virtud de la autonomía de la voluntad, y del objeto específico del contrato, sea necesario que el contratista desarrolle acciones como la selección y contratación de personal, o la subcontratación de algunas actividades. Sin embargo, la ejecución de estos actos debe tener como finalidad dar cumplimiento a las obligaciones pactadas y lograr el objeto convenido.</w:t>
      </w:r>
    </w:p>
    <w:p w14:paraId="7E1A03AE" w14:textId="77777777" w:rsidR="00714031" w:rsidRDefault="00714031" w:rsidP="00714031">
      <w:pPr>
        <w:spacing w:before="120" w:after="120" w:line="276" w:lineRule="auto"/>
        <w:ind w:firstLine="709"/>
        <w:jc w:val="both"/>
        <w:rPr>
          <w:rFonts w:ascii="Verdana" w:eastAsia="Calibri" w:hAnsi="Verdana" w:cs="Arial"/>
        </w:rPr>
      </w:pPr>
      <w:r>
        <w:rPr>
          <w:rFonts w:ascii="Verdana" w:eastAsia="Calibri" w:hAnsi="Verdana" w:cs="Arial"/>
        </w:rPr>
        <w:t xml:space="preserve">Adicionalmente, en estos negocios jurídicos el contratista recibe unos recursos en administración que deben estar destinados a cubrir los costos del </w:t>
      </w:r>
      <w:r>
        <w:rPr>
          <w:rFonts w:ascii="Verdana" w:eastAsia="Calibri" w:hAnsi="Verdana" w:cs="Arial"/>
        </w:rPr>
        <w:lastRenderedPageBreak/>
        <w:t>proyecto y, además, tendrá derecho a recibir una remuneración o pago de honorarios por dicha gestión. Sobre lo primero, es importante resaltar que los fondos que la entidad entregue al contratista son para el cumplimiento de sus funciones y obligaciones, y el administrador delegado deberá manejarlos bajo su propia responsabilidad. En esta labor, deberá rendir cuentas a la entidad y a los entes de control pues se trata de recursos públicos destinados a cumplir con un fin de esta naturaleza. En este sentido, el contratista debe cumplir obligaciones claras frente a la gestión y ejecución de los recursos que le han sido trasladados en administración.</w:t>
      </w:r>
    </w:p>
    <w:p w14:paraId="470C2000" w14:textId="77777777" w:rsidR="00714031" w:rsidRPr="005A41C1" w:rsidRDefault="00714031" w:rsidP="00714031">
      <w:pPr>
        <w:widowControl w:val="0"/>
        <w:autoSpaceDE w:val="0"/>
        <w:autoSpaceDN w:val="0"/>
        <w:spacing w:after="120" w:line="276" w:lineRule="auto"/>
        <w:ind w:firstLine="709"/>
        <w:jc w:val="both"/>
        <w:rPr>
          <w:rFonts w:ascii="Verdana" w:eastAsia="Arial" w:hAnsi="Verdana" w:cs="Arial"/>
          <w:lang w:val="es-ES"/>
        </w:rPr>
      </w:pPr>
      <w:r w:rsidRPr="003248CC">
        <w:rPr>
          <w:rFonts w:ascii="Verdana" w:eastAsia="Arial" w:hAnsi="Verdana" w:cs="Arial"/>
          <w:lang w:val="es-ES"/>
        </w:rPr>
        <w:t>En todo caso, para la celebración de los contratos interadministrativos es indispensable que la entidad ejecutora cuente con un objeto que, de acuerdo con la ley o el reglamento, sea idóneo para la ejecución de la actividad contratada, y que la administración delegada este definida o concertada en la ejecución de un objeto contractual específico</w:t>
      </w:r>
      <w:r>
        <w:rPr>
          <w:rFonts w:ascii="Verdana" w:eastAsia="Arial" w:hAnsi="Verdana" w:cs="Arial"/>
          <w:lang w:val="es-ES"/>
        </w:rPr>
        <w:t xml:space="preserve">. </w:t>
      </w:r>
    </w:p>
    <w:p w14:paraId="37346828" w14:textId="77777777" w:rsidR="00714031" w:rsidRDefault="00714031" w:rsidP="00714031">
      <w:pPr>
        <w:spacing w:before="120" w:after="120" w:line="276" w:lineRule="auto"/>
        <w:ind w:firstLine="709"/>
        <w:jc w:val="both"/>
        <w:rPr>
          <w:rFonts w:ascii="Verdana" w:eastAsia="Verdana" w:hAnsi="Verdana" w:cs="Verdana"/>
        </w:rPr>
      </w:pPr>
      <w:r w:rsidRPr="00596A79">
        <w:rPr>
          <w:rFonts w:ascii="Verdana" w:eastAsia="Times New Roman" w:hAnsi="Verdana" w:cs="Arial"/>
          <w:color w:val="000000"/>
          <w:szCs w:val="24"/>
          <w:lang w:val="es-ES_tradnl" w:eastAsia="es-ES_tradnl"/>
        </w:rPr>
        <w:t>Finalmente debe advertirse que el análisis requerido para resolver problemas específicos en torno a</w:t>
      </w:r>
      <w:r>
        <w:rPr>
          <w:rFonts w:ascii="Verdana" w:eastAsia="Times New Roman" w:hAnsi="Verdana" w:cs="Arial"/>
          <w:color w:val="000000"/>
          <w:szCs w:val="24"/>
          <w:lang w:val="es-ES_tradnl" w:eastAsia="es-ES_tradnl"/>
        </w:rPr>
        <w:t>l problema jurídico planteado</w:t>
      </w:r>
      <w:r w:rsidRPr="00596A79">
        <w:rPr>
          <w:rFonts w:ascii="Verdana" w:eastAsia="Times New Roman" w:hAnsi="Verdana" w:cs="Arial"/>
          <w:color w:val="000000"/>
          <w:szCs w:val="24"/>
          <w:lang w:val="es-ES_tradnl" w:eastAsia="es-ES_tradnl"/>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708C9D4C" w14:textId="77777777" w:rsidR="00714031" w:rsidRPr="00941CF3" w:rsidRDefault="00714031" w:rsidP="00714031">
      <w:pPr>
        <w:spacing w:before="120" w:after="120" w:line="276" w:lineRule="auto"/>
        <w:ind w:firstLine="709"/>
        <w:jc w:val="both"/>
        <w:rPr>
          <w:rFonts w:ascii="Verdana" w:eastAsia="Verdana" w:hAnsi="Verdana" w:cs="Verdana"/>
        </w:rPr>
      </w:pPr>
      <w:r w:rsidRPr="00596A79">
        <w:rPr>
          <w:rFonts w:ascii="Verdana" w:eastAsia="Times New Roman" w:hAnsi="Verdana" w:cs="Arial"/>
          <w:color w:val="000000"/>
          <w:szCs w:val="24"/>
          <w:lang w:val="es-ES_tradnl" w:eastAsia="es-ES_tradn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5D7B537C" w14:textId="77777777" w:rsidR="00714031" w:rsidRPr="002069C6" w:rsidRDefault="00714031" w:rsidP="00714031">
      <w:pPr>
        <w:spacing w:after="0" w:line="276" w:lineRule="auto"/>
        <w:jc w:val="both"/>
        <w:rPr>
          <w:rFonts w:ascii="Verdana" w:eastAsia="Calibri" w:hAnsi="Verdana" w:cs="Arial"/>
          <w:color w:val="000000" w:themeColor="text1"/>
          <w:lang w:val="es-ES"/>
        </w:rPr>
      </w:pPr>
    </w:p>
    <w:p w14:paraId="5F3EA505" w14:textId="77777777" w:rsidR="00714031" w:rsidRPr="002069C6" w:rsidRDefault="00714031" w:rsidP="0071403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Referencias normativas, jurisprudenciales y otras fuentes:</w:t>
      </w:r>
    </w:p>
    <w:p w14:paraId="014D9D04" w14:textId="77777777" w:rsidR="00714031" w:rsidRPr="002069C6" w:rsidRDefault="00714031" w:rsidP="00714031">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14031" w:rsidRPr="002069C6" w14:paraId="55B3D911" w14:textId="77777777" w:rsidTr="00831131">
        <w:trPr>
          <w:trHeight w:val="870"/>
        </w:trPr>
        <w:tc>
          <w:tcPr>
            <w:tcW w:w="8647" w:type="dxa"/>
          </w:tcPr>
          <w:p w14:paraId="198D6105" w14:textId="77777777" w:rsidR="00714031" w:rsidRPr="003248CC" w:rsidRDefault="00714031" w:rsidP="00831131">
            <w:pPr>
              <w:widowControl w:val="0"/>
              <w:numPr>
                <w:ilvl w:val="0"/>
                <w:numId w:val="17"/>
              </w:numPr>
              <w:autoSpaceDE w:val="0"/>
              <w:autoSpaceDN w:val="0"/>
              <w:spacing w:after="120" w:line="276" w:lineRule="auto"/>
              <w:ind w:left="318" w:hanging="284"/>
              <w:contextualSpacing/>
              <w:jc w:val="both"/>
              <w:rPr>
                <w:rFonts w:ascii="Verdana" w:eastAsia="Calibri" w:hAnsi="Verdana" w:cs="Arial"/>
                <w:lang w:val="es-ES"/>
              </w:rPr>
            </w:pPr>
            <w:r w:rsidRPr="003248CC">
              <w:rPr>
                <w:rFonts w:ascii="Verdana" w:eastAsia="Calibri" w:hAnsi="Verdana" w:cs="Arial"/>
                <w:lang w:val="es-ES"/>
              </w:rPr>
              <w:lastRenderedPageBreak/>
              <w:t xml:space="preserve">Ley 80 de 1993. Artículos </w:t>
            </w:r>
            <w:r w:rsidRPr="003248CC">
              <w:rPr>
                <w:rFonts w:ascii="Verdana" w:eastAsia="Arial" w:hAnsi="Verdana" w:cs="Arial"/>
                <w:lang w:val="es-ES"/>
              </w:rPr>
              <w:t>13, 32 y 40</w:t>
            </w:r>
          </w:p>
          <w:p w14:paraId="5FCFC9FE" w14:textId="77777777" w:rsidR="00714031" w:rsidRPr="003248CC" w:rsidRDefault="00714031" w:rsidP="00831131">
            <w:pPr>
              <w:widowControl w:val="0"/>
              <w:numPr>
                <w:ilvl w:val="0"/>
                <w:numId w:val="17"/>
              </w:numPr>
              <w:autoSpaceDE w:val="0"/>
              <w:autoSpaceDN w:val="0"/>
              <w:spacing w:after="120" w:line="276" w:lineRule="auto"/>
              <w:ind w:left="318" w:hanging="284"/>
              <w:contextualSpacing/>
              <w:jc w:val="both"/>
              <w:rPr>
                <w:rFonts w:ascii="Verdana" w:eastAsia="Calibri" w:hAnsi="Verdana" w:cs="Arial"/>
                <w:lang w:val="es-ES"/>
              </w:rPr>
            </w:pPr>
            <w:r w:rsidRPr="003248CC">
              <w:rPr>
                <w:rFonts w:ascii="Verdana" w:hAnsi="Verdana" w:cs="Arial"/>
                <w:color w:val="000000" w:themeColor="text1"/>
              </w:rPr>
              <w:t>Consejo de Estado. Sección Tercera. Sentencia del 06 de junio de 2007. Radicación No. 25000-23-26-000-1996-02482-01(17.253). Consejera Ponente: Ruth Stella Correa Palacio.</w:t>
            </w:r>
          </w:p>
          <w:p w14:paraId="4184FE10" w14:textId="77777777" w:rsidR="00714031" w:rsidRPr="003248CC" w:rsidRDefault="00714031" w:rsidP="00831131">
            <w:pPr>
              <w:widowControl w:val="0"/>
              <w:numPr>
                <w:ilvl w:val="0"/>
                <w:numId w:val="17"/>
              </w:numPr>
              <w:autoSpaceDE w:val="0"/>
              <w:autoSpaceDN w:val="0"/>
              <w:spacing w:after="120" w:line="276" w:lineRule="auto"/>
              <w:ind w:left="318" w:hanging="284"/>
              <w:contextualSpacing/>
              <w:jc w:val="both"/>
              <w:rPr>
                <w:rFonts w:ascii="Verdana" w:eastAsia="Calibri" w:hAnsi="Verdana" w:cs="Arial"/>
                <w:lang w:val="es-ES"/>
              </w:rPr>
            </w:pPr>
            <w:r w:rsidRPr="003248CC">
              <w:rPr>
                <w:rFonts w:ascii="Verdana" w:hAnsi="Verdana" w:cs="Arial"/>
              </w:rPr>
              <w:t xml:space="preserve">Consejo de Estado, Sección Cuarta, de fecha 16 de septiembre de 2010. Consejera Ponente: CP. Carmen Teresa Ortiz </w:t>
            </w:r>
            <w:proofErr w:type="spellStart"/>
            <w:r w:rsidRPr="003248CC">
              <w:rPr>
                <w:rFonts w:ascii="Verdana" w:hAnsi="Verdana" w:cs="Arial"/>
              </w:rPr>
              <w:t>Exp</w:t>
            </w:r>
            <w:proofErr w:type="spellEnd"/>
            <w:r w:rsidRPr="003248CC">
              <w:rPr>
                <w:rFonts w:ascii="Verdana" w:hAnsi="Verdana" w:cs="Arial"/>
              </w:rPr>
              <w:t>. 16605.</w:t>
            </w:r>
          </w:p>
          <w:p w14:paraId="26137372" w14:textId="77777777" w:rsidR="00714031" w:rsidRPr="003248CC" w:rsidRDefault="00714031" w:rsidP="00831131">
            <w:pPr>
              <w:widowControl w:val="0"/>
              <w:numPr>
                <w:ilvl w:val="0"/>
                <w:numId w:val="17"/>
              </w:numPr>
              <w:autoSpaceDE w:val="0"/>
              <w:autoSpaceDN w:val="0"/>
              <w:spacing w:after="120" w:line="276" w:lineRule="auto"/>
              <w:ind w:left="318" w:hanging="284"/>
              <w:contextualSpacing/>
              <w:jc w:val="both"/>
              <w:rPr>
                <w:rFonts w:ascii="Verdana" w:eastAsia="Calibri" w:hAnsi="Verdana" w:cs="Arial"/>
                <w:lang w:val="es-ES"/>
              </w:rPr>
            </w:pPr>
            <w:r w:rsidRPr="003248CC">
              <w:rPr>
                <w:rFonts w:ascii="Verdana" w:hAnsi="Verdana" w:cs="Arial"/>
                <w:color w:val="000000" w:themeColor="text1"/>
              </w:rPr>
              <w:t xml:space="preserve">Consejo de Estado, Sala de Consulta y Servicio Civil, Concepto de 7 febrero de 1997, Rad. 934, C. P. Javier Henao </w:t>
            </w:r>
            <w:proofErr w:type="spellStart"/>
            <w:r w:rsidRPr="003248CC">
              <w:rPr>
                <w:rFonts w:ascii="Verdana" w:hAnsi="Verdana" w:cs="Arial"/>
                <w:color w:val="000000" w:themeColor="text1"/>
              </w:rPr>
              <w:t>Hidrón</w:t>
            </w:r>
            <w:proofErr w:type="spellEnd"/>
            <w:r w:rsidRPr="003248CC">
              <w:rPr>
                <w:rFonts w:ascii="Verdana" w:hAnsi="Verdana" w:cs="Arial"/>
                <w:color w:val="000000" w:themeColor="text1"/>
              </w:rPr>
              <w:t>.</w:t>
            </w:r>
            <w:r w:rsidRPr="003248CC">
              <w:rPr>
                <w:rFonts w:ascii="Verdana" w:hAnsi="Verdana" w:cs="Arial"/>
              </w:rPr>
              <w:t xml:space="preserve"> </w:t>
            </w:r>
          </w:p>
          <w:p w14:paraId="5340A8C4" w14:textId="77777777" w:rsidR="00714031" w:rsidRPr="003248CC" w:rsidRDefault="00714031" w:rsidP="00831131">
            <w:pPr>
              <w:widowControl w:val="0"/>
              <w:numPr>
                <w:ilvl w:val="0"/>
                <w:numId w:val="17"/>
              </w:numPr>
              <w:autoSpaceDE w:val="0"/>
              <w:autoSpaceDN w:val="0"/>
              <w:spacing w:after="120" w:line="276" w:lineRule="auto"/>
              <w:ind w:left="318" w:hanging="284"/>
              <w:contextualSpacing/>
              <w:jc w:val="both"/>
              <w:rPr>
                <w:rFonts w:ascii="Verdana" w:eastAsia="Calibri" w:hAnsi="Verdana" w:cs="Arial"/>
                <w:lang w:val="es-ES"/>
              </w:rPr>
            </w:pPr>
            <w:r w:rsidRPr="003248CC">
              <w:rPr>
                <w:rFonts w:ascii="Verdana" w:hAnsi="Verdana" w:cs="Arial"/>
              </w:rPr>
              <w:t>Consejo de Estado, Sala de Consulta y Servicio Civil en concepto 2298 del 8 de marzo de 2017. Consejero Ponente: Edgar González López.</w:t>
            </w:r>
          </w:p>
          <w:p w14:paraId="72974490" w14:textId="77777777" w:rsidR="00714031" w:rsidRPr="003248CC" w:rsidRDefault="00714031" w:rsidP="00831131">
            <w:pPr>
              <w:widowControl w:val="0"/>
              <w:numPr>
                <w:ilvl w:val="0"/>
                <w:numId w:val="17"/>
              </w:numPr>
              <w:autoSpaceDE w:val="0"/>
              <w:autoSpaceDN w:val="0"/>
              <w:spacing w:after="120" w:line="276" w:lineRule="auto"/>
              <w:ind w:left="318" w:hanging="284"/>
              <w:contextualSpacing/>
              <w:jc w:val="both"/>
              <w:rPr>
                <w:rFonts w:ascii="Verdana" w:eastAsia="Calibri" w:hAnsi="Verdana" w:cs="Arial"/>
                <w:lang w:val="es-ES"/>
              </w:rPr>
            </w:pPr>
            <w:r w:rsidRPr="003248CC">
              <w:rPr>
                <w:rFonts w:ascii="Verdana" w:hAnsi="Verdana" w:cs="Arial"/>
              </w:rPr>
              <w:t xml:space="preserve">Consejo de Estado, Sala de lo Contencioso Administrativo, Sección Tercera, Subsección A, en sentencia del 20 de noviembre de 2020. Consejero Ponente: José Roberto Sáchica Méndez. </w:t>
            </w:r>
            <w:proofErr w:type="spellStart"/>
            <w:r w:rsidRPr="003248CC">
              <w:rPr>
                <w:rFonts w:ascii="Verdana" w:hAnsi="Verdana" w:cs="Arial"/>
              </w:rPr>
              <w:t>Exp</w:t>
            </w:r>
            <w:proofErr w:type="spellEnd"/>
            <w:r w:rsidRPr="003248CC">
              <w:rPr>
                <w:rFonts w:ascii="Verdana" w:hAnsi="Verdana" w:cs="Arial"/>
              </w:rPr>
              <w:t>. 47201.</w:t>
            </w:r>
          </w:p>
          <w:p w14:paraId="302E2E97" w14:textId="77777777" w:rsidR="00714031" w:rsidRPr="003248CC" w:rsidRDefault="00714031" w:rsidP="00831131">
            <w:pPr>
              <w:widowControl w:val="0"/>
              <w:numPr>
                <w:ilvl w:val="0"/>
                <w:numId w:val="17"/>
              </w:numPr>
              <w:autoSpaceDE w:val="0"/>
              <w:autoSpaceDN w:val="0"/>
              <w:spacing w:after="120" w:line="276" w:lineRule="auto"/>
              <w:ind w:left="318" w:hanging="284"/>
              <w:contextualSpacing/>
              <w:jc w:val="both"/>
              <w:rPr>
                <w:rFonts w:ascii="Verdana" w:eastAsia="Calibri" w:hAnsi="Verdana" w:cs="Arial"/>
                <w:lang w:val="es-ES"/>
              </w:rPr>
            </w:pPr>
            <w:r w:rsidRPr="003248CC">
              <w:rPr>
                <w:rFonts w:ascii="Verdana" w:hAnsi="Verdana" w:cs="Arial"/>
              </w:rPr>
              <w:t xml:space="preserve">Consejo de Estado, Sección Tercera, Subsección A. Sentencia del 1 de octubre de 2018. </w:t>
            </w:r>
            <w:proofErr w:type="spellStart"/>
            <w:r w:rsidRPr="003248CC">
              <w:rPr>
                <w:rFonts w:ascii="Verdana" w:hAnsi="Verdana" w:cs="Arial"/>
              </w:rPr>
              <w:t>Exp</w:t>
            </w:r>
            <w:proofErr w:type="spellEnd"/>
            <w:r w:rsidRPr="003248CC">
              <w:rPr>
                <w:rFonts w:ascii="Verdana" w:hAnsi="Verdana" w:cs="Arial"/>
              </w:rPr>
              <w:t xml:space="preserve">. 57.897. C.P Marta Nubia Velásquez Rico. </w:t>
            </w:r>
          </w:p>
          <w:p w14:paraId="76BE2E72" w14:textId="77777777" w:rsidR="00714031" w:rsidRPr="003248CC" w:rsidRDefault="00714031" w:rsidP="00831131">
            <w:pPr>
              <w:widowControl w:val="0"/>
              <w:numPr>
                <w:ilvl w:val="0"/>
                <w:numId w:val="17"/>
              </w:numPr>
              <w:autoSpaceDE w:val="0"/>
              <w:autoSpaceDN w:val="0"/>
              <w:spacing w:after="120" w:line="276" w:lineRule="auto"/>
              <w:ind w:left="318" w:hanging="284"/>
              <w:contextualSpacing/>
              <w:jc w:val="both"/>
              <w:rPr>
                <w:rFonts w:ascii="Verdana" w:eastAsia="Calibri" w:hAnsi="Verdana" w:cs="Arial"/>
                <w:lang w:val="es-ES"/>
              </w:rPr>
            </w:pPr>
            <w:r w:rsidRPr="003248CC">
              <w:rPr>
                <w:rFonts w:ascii="Verdana" w:hAnsi="Verdana" w:cs="Arial"/>
              </w:rPr>
              <w:t xml:space="preserve">Corte Suprema de Justicia, Sala de Casación Civil. Sentencia del 17 de abril de 2007. Magistrado Ponente. Pedo Octavio Munar Cadena.  </w:t>
            </w:r>
            <w:proofErr w:type="spellStart"/>
            <w:r w:rsidRPr="003248CC">
              <w:rPr>
                <w:rFonts w:ascii="Verdana" w:hAnsi="Verdana" w:cs="Arial"/>
              </w:rPr>
              <w:t>Exp</w:t>
            </w:r>
            <w:proofErr w:type="spellEnd"/>
            <w:r w:rsidRPr="003248CC">
              <w:rPr>
                <w:rFonts w:ascii="Verdana" w:hAnsi="Verdana" w:cs="Arial"/>
              </w:rPr>
              <w:t xml:space="preserve">. 00645. </w:t>
            </w:r>
          </w:p>
          <w:p w14:paraId="7908B236" w14:textId="77777777" w:rsidR="00714031" w:rsidRDefault="00714031" w:rsidP="00831131">
            <w:pPr>
              <w:widowControl w:val="0"/>
              <w:numPr>
                <w:ilvl w:val="0"/>
                <w:numId w:val="17"/>
              </w:numPr>
              <w:autoSpaceDE w:val="0"/>
              <w:autoSpaceDN w:val="0"/>
              <w:spacing w:after="120" w:line="276" w:lineRule="auto"/>
              <w:ind w:left="318" w:hanging="284"/>
              <w:contextualSpacing/>
              <w:jc w:val="both"/>
              <w:rPr>
                <w:rFonts w:ascii="Verdana" w:eastAsia="Calibri" w:hAnsi="Verdana" w:cs="Arial"/>
                <w:lang w:val="es-ES"/>
              </w:rPr>
            </w:pPr>
            <w:r w:rsidRPr="003248CC">
              <w:rPr>
                <w:rFonts w:ascii="Verdana" w:hAnsi="Verdana" w:cs="Arial"/>
                <w:lang w:val="es-ES"/>
              </w:rPr>
              <w:t xml:space="preserve">Consejo de Estado, Sala de Lo Contencioso Administrativo, Sección Cuarta, en sentencia del 15 de octubre de 2021. Consejera Ponente: Myriam Stella Gutiérrez Argüello. </w:t>
            </w:r>
            <w:proofErr w:type="spellStart"/>
            <w:r w:rsidRPr="003248CC">
              <w:rPr>
                <w:rFonts w:ascii="Verdana" w:hAnsi="Verdana" w:cs="Arial"/>
                <w:lang w:val="es-ES"/>
              </w:rPr>
              <w:t>Exp</w:t>
            </w:r>
            <w:proofErr w:type="spellEnd"/>
            <w:r w:rsidRPr="003248CC">
              <w:rPr>
                <w:rFonts w:ascii="Verdana" w:hAnsi="Verdana" w:cs="Arial"/>
                <w:lang w:val="es-ES"/>
              </w:rPr>
              <w:t>. 24376.</w:t>
            </w:r>
          </w:p>
          <w:p w14:paraId="5DA9C9E9" w14:textId="77777777" w:rsidR="00714031" w:rsidRPr="00A34EBF" w:rsidRDefault="00714031" w:rsidP="00831131">
            <w:pPr>
              <w:widowControl w:val="0"/>
              <w:numPr>
                <w:ilvl w:val="0"/>
                <w:numId w:val="17"/>
              </w:numPr>
              <w:autoSpaceDE w:val="0"/>
              <w:autoSpaceDN w:val="0"/>
              <w:spacing w:after="120" w:line="276" w:lineRule="auto"/>
              <w:ind w:left="318" w:hanging="284"/>
              <w:contextualSpacing/>
              <w:jc w:val="both"/>
              <w:rPr>
                <w:rFonts w:ascii="Verdana" w:eastAsia="Calibri" w:hAnsi="Verdana" w:cs="Arial"/>
                <w:lang w:val="es-ES"/>
              </w:rPr>
            </w:pPr>
            <w:r w:rsidRPr="00A34EBF">
              <w:rPr>
                <w:rFonts w:ascii="Verdana" w:hAnsi="Verdana" w:cs="Arial"/>
                <w:lang w:val="es-ES"/>
              </w:rPr>
              <w:t xml:space="preserve">Consejo de Estado, Sala de lo Contencioso Administrativo, Sección Tercera, en sentencia del 20 de junio de 2023. Consejero Ponente: José Roberto Sáchica Méndez. </w:t>
            </w:r>
            <w:proofErr w:type="spellStart"/>
            <w:r w:rsidRPr="00A34EBF">
              <w:rPr>
                <w:rFonts w:ascii="Verdana" w:hAnsi="Verdana" w:cs="Arial"/>
                <w:lang w:val="es-ES"/>
              </w:rPr>
              <w:t>Exp</w:t>
            </w:r>
            <w:proofErr w:type="spellEnd"/>
            <w:r w:rsidRPr="00A34EBF">
              <w:rPr>
                <w:rFonts w:ascii="Verdana" w:hAnsi="Verdana" w:cs="Arial"/>
                <w:lang w:val="es-ES"/>
              </w:rPr>
              <w:t>. 61.174</w:t>
            </w:r>
          </w:p>
        </w:tc>
      </w:tr>
    </w:tbl>
    <w:p w14:paraId="6F9B50D1" w14:textId="77777777" w:rsidR="00714031" w:rsidRPr="002069C6" w:rsidRDefault="00714031" w:rsidP="00714031">
      <w:pPr>
        <w:widowControl w:val="0"/>
        <w:autoSpaceDE w:val="0"/>
        <w:autoSpaceDN w:val="0"/>
        <w:spacing w:after="0" w:line="276" w:lineRule="auto"/>
        <w:jc w:val="both"/>
        <w:rPr>
          <w:rFonts w:ascii="Verdana" w:hAnsi="Verdana" w:cs="Arial"/>
          <w:color w:val="000000" w:themeColor="text1"/>
          <w:lang w:val="es-ES"/>
        </w:rPr>
      </w:pPr>
    </w:p>
    <w:p w14:paraId="3478547E" w14:textId="77777777" w:rsidR="00714031" w:rsidRPr="002069C6" w:rsidRDefault="00714031" w:rsidP="0071403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Doctrina de la Agencia Nacional de Contratación Pública:</w:t>
      </w:r>
    </w:p>
    <w:p w14:paraId="074E3547" w14:textId="77777777" w:rsidR="00714031" w:rsidRDefault="00714031" w:rsidP="00714031">
      <w:pPr>
        <w:widowControl w:val="0"/>
        <w:autoSpaceDE w:val="0"/>
        <w:autoSpaceDN w:val="0"/>
        <w:spacing w:after="0" w:line="276" w:lineRule="auto"/>
        <w:jc w:val="both"/>
        <w:rPr>
          <w:rFonts w:ascii="Verdana" w:hAnsi="Verdana" w:cs="Arial"/>
          <w:color w:val="000000" w:themeColor="text1"/>
          <w:lang w:val="es-ES"/>
        </w:rPr>
      </w:pPr>
    </w:p>
    <w:p w14:paraId="5E5E8D8D" w14:textId="77777777" w:rsidR="00714031" w:rsidRDefault="00714031" w:rsidP="00714031">
      <w:pPr>
        <w:widowControl w:val="0"/>
        <w:autoSpaceDE w:val="0"/>
        <w:autoSpaceDN w:val="0"/>
        <w:spacing w:after="0" w:line="276" w:lineRule="auto"/>
        <w:jc w:val="both"/>
        <w:rPr>
          <w:rFonts w:ascii="Verdana" w:hAnsi="Verdana" w:cs="Arial"/>
          <w:color w:val="000000" w:themeColor="text1"/>
          <w:lang w:val="es-ES"/>
        </w:rPr>
      </w:pPr>
      <w:r w:rsidRPr="002932BF">
        <w:rPr>
          <w:rFonts w:ascii="Verdana" w:hAnsi="Verdana" w:cs="Arial"/>
          <w:color w:val="000000" w:themeColor="text1"/>
          <w:lang w:val="es-ES"/>
        </w:rPr>
        <w:t>Sobre contratos cuyo objeto se contempla la administración delegada de recursos esta entidad se ha pronunciado en los conceptos C-593 de del 9 de octubre de 2020, C-691 del 27 de noviembre de 2020, C-173 del 23 de abril de 2021, C-021 de 24 de febrero de 2023, C-160 de 2023, C-911 del 31 de diciembre de 2024</w:t>
      </w:r>
      <w:r>
        <w:rPr>
          <w:rFonts w:ascii="Verdana" w:hAnsi="Verdana" w:cs="Arial"/>
          <w:color w:val="000000" w:themeColor="text1"/>
          <w:lang w:val="es-ES"/>
        </w:rPr>
        <w:t xml:space="preserve">, </w:t>
      </w:r>
      <w:r w:rsidRPr="002932BF">
        <w:rPr>
          <w:rFonts w:ascii="Verdana" w:hAnsi="Verdana" w:cs="Arial"/>
          <w:color w:val="000000" w:themeColor="text1"/>
          <w:lang w:val="es-ES"/>
        </w:rPr>
        <w:t>C-134 del 24 de febrero de 2025</w:t>
      </w:r>
      <w:r>
        <w:rPr>
          <w:rFonts w:ascii="Verdana" w:hAnsi="Verdana" w:cs="Arial"/>
          <w:color w:val="000000" w:themeColor="text1"/>
          <w:lang w:val="es-ES"/>
        </w:rPr>
        <w:t>, C-228 del 27 de marzo de 2025, C-1152 del 23 de septiembre de 2025 y C-1446 del 13 de noviembre de 2025</w:t>
      </w:r>
      <w:r w:rsidRPr="002932BF">
        <w:rPr>
          <w:rFonts w:ascii="Verdana" w:hAnsi="Verdana" w:cs="Arial"/>
          <w:color w:val="000000" w:themeColor="text1"/>
          <w:lang w:val="es-ES"/>
        </w:rPr>
        <w:t xml:space="preserve">. Estos y otros conceptos se encuentran disponibles para consulta en el Sistema de relatoría de la Agencia, al cual se puede acceder a través del siguiente enlace: </w:t>
      </w:r>
      <w:hyperlink r:id="rId13" w:history="1">
        <w:r w:rsidRPr="00AE6022">
          <w:rPr>
            <w:rStyle w:val="Hipervnculo"/>
            <w:rFonts w:ascii="Verdana" w:hAnsi="Verdana" w:cs="Arial"/>
            <w:lang w:val="es-ES"/>
          </w:rPr>
          <w:t>https://relatoria.colombiacompra.gov.co/busqueda/conceptos</w:t>
        </w:r>
      </w:hyperlink>
      <w:r>
        <w:rPr>
          <w:rFonts w:ascii="Verdana" w:hAnsi="Verdana" w:cs="Arial"/>
          <w:color w:val="000000" w:themeColor="text1"/>
          <w:lang w:val="es-ES"/>
        </w:rPr>
        <w:t xml:space="preserve"> </w:t>
      </w:r>
      <w:r w:rsidRPr="002932BF">
        <w:rPr>
          <w:rFonts w:ascii="Verdana" w:hAnsi="Verdana" w:cs="Arial"/>
          <w:color w:val="000000" w:themeColor="text1"/>
          <w:lang w:val="es-ES"/>
        </w:rPr>
        <w:t xml:space="preserve">   </w:t>
      </w:r>
    </w:p>
    <w:p w14:paraId="6C69533B" w14:textId="77777777" w:rsidR="00714031" w:rsidRDefault="00714031" w:rsidP="00714031">
      <w:pPr>
        <w:widowControl w:val="0"/>
        <w:autoSpaceDE w:val="0"/>
        <w:autoSpaceDN w:val="0"/>
        <w:spacing w:after="0" w:line="276" w:lineRule="auto"/>
        <w:jc w:val="both"/>
        <w:rPr>
          <w:rFonts w:ascii="Verdana" w:hAnsi="Verdana" w:cs="Arial"/>
          <w:color w:val="000000" w:themeColor="text1"/>
          <w:lang w:val="es-ES"/>
        </w:rPr>
      </w:pPr>
    </w:p>
    <w:p w14:paraId="1FAAE5B0" w14:textId="77777777" w:rsidR="00714031" w:rsidRPr="00143822" w:rsidRDefault="00714031" w:rsidP="00714031">
      <w:pPr>
        <w:shd w:val="clear" w:color="auto" w:fill="FFFFFF"/>
        <w:spacing w:after="0" w:line="276" w:lineRule="auto"/>
        <w:jc w:val="both"/>
        <w:rPr>
          <w:rFonts w:ascii="Verdana" w:hAnsi="Verdana"/>
          <w:color w:val="467886"/>
          <w:u w:val="single"/>
        </w:rPr>
      </w:pPr>
      <w:r w:rsidRPr="00143822">
        <w:rPr>
          <w:rFonts w:ascii="Verdana" w:hAnsi="Verdana"/>
          <w:color w:val="000000"/>
        </w:rPr>
        <w:lastRenderedPageBreak/>
        <w:t>Te informamos que ya se encuentra disponible la </w:t>
      </w:r>
      <w:r w:rsidRPr="00143822">
        <w:rPr>
          <w:rFonts w:ascii="Verdana" w:hAnsi="Verdana"/>
          <w:b/>
          <w:bCs/>
          <w:color w:val="000000"/>
        </w:rPr>
        <w:t>Guía de lineamientos de transparencia y selección objetiva para el departamento de La Guajira – Objetivo sexto constitucional de la Sentencia T-302 del 2017. </w:t>
      </w:r>
      <w:r w:rsidRPr="00143822">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43822">
        <w:rPr>
          <w:rFonts w:ascii="Verdana" w:hAnsi="Verdana"/>
          <w:color w:val="000000"/>
        </w:rPr>
        <w:t>Wayúu</w:t>
      </w:r>
      <w:proofErr w:type="spellEnd"/>
      <w:r w:rsidRPr="00143822">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143822">
          <w:rPr>
            <w:rFonts w:ascii="Verdana" w:hAnsi="Verdana"/>
            <w:color w:val="0000FF"/>
            <w:u w:val="single"/>
          </w:rPr>
          <w:t>Guía de lineamientos de transparencia y selección objetiva para el departamento de La Guajira – Objetivo sexto constitucional de la Sentencia T-302 del 2017</w:t>
        </w:r>
      </w:hyperlink>
      <w:r w:rsidRPr="00143822">
        <w:rPr>
          <w:rFonts w:ascii="Verdana" w:hAnsi="Verdana"/>
          <w:color w:val="000000"/>
          <w:u w:val="single"/>
        </w:rPr>
        <w:t>.</w:t>
      </w:r>
    </w:p>
    <w:p w14:paraId="7A3A5019" w14:textId="77777777" w:rsidR="00714031" w:rsidRPr="00143822" w:rsidRDefault="00714031" w:rsidP="00714031">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143822">
        <w:rPr>
          <w:rFonts w:ascii="Verdana" w:hAnsi="Verdana" w:cs="Arial"/>
          <w:color w:val="000000" w:themeColor="text1"/>
          <w:shd w:val="clear" w:color="auto" w:fill="FFFFFF"/>
          <w:lang w:val="es-ES_tradnl"/>
        </w:rPr>
        <w:t xml:space="preserve"> </w:t>
      </w:r>
    </w:p>
    <w:p w14:paraId="2A1FD402" w14:textId="77777777" w:rsidR="00714031" w:rsidRPr="00143822" w:rsidRDefault="00714031" w:rsidP="00714031">
      <w:pPr>
        <w:spacing w:after="0"/>
        <w:jc w:val="both"/>
        <w:rPr>
          <w:rFonts w:ascii="Verdana" w:hAnsi="Verdana"/>
        </w:rPr>
      </w:pPr>
      <w:r w:rsidRPr="00143822">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2150D32" w14:textId="77777777" w:rsidR="00714031" w:rsidRPr="00143822" w:rsidRDefault="00714031" w:rsidP="00714031">
      <w:pPr>
        <w:spacing w:after="0"/>
        <w:jc w:val="both"/>
        <w:rPr>
          <w:rFonts w:ascii="Verdana" w:hAnsi="Verdana"/>
        </w:rPr>
      </w:pPr>
    </w:p>
    <w:p w14:paraId="1CA8010C" w14:textId="77777777" w:rsidR="00714031" w:rsidRPr="00143822" w:rsidRDefault="00714031" w:rsidP="00714031">
      <w:pPr>
        <w:numPr>
          <w:ilvl w:val="0"/>
          <w:numId w:val="15"/>
        </w:numPr>
        <w:spacing w:after="0" w:line="240" w:lineRule="auto"/>
        <w:contextualSpacing/>
        <w:jc w:val="both"/>
        <w:rPr>
          <w:rFonts w:ascii="Verdana" w:eastAsia="Verdana" w:hAnsi="Verdana" w:cs="Verdana"/>
          <w:color w:val="4472C4" w:themeColor="accent1"/>
          <w:u w:val="single"/>
          <w:lang w:val="es-MX"/>
        </w:rPr>
      </w:pPr>
      <w:r w:rsidRPr="00143822">
        <w:rPr>
          <w:rFonts w:ascii="Verdana" w:eastAsia="Verdana" w:hAnsi="Verdana" w:cs="Verdana"/>
          <w:lang w:val="es-MX"/>
        </w:rPr>
        <w:t xml:space="preserve">Línea nacional gratuita o servicio a la ciudadanía (Mesa de servicio): </w:t>
      </w:r>
      <w:r w:rsidRPr="00143822">
        <w:rPr>
          <w:rFonts w:ascii="Verdana" w:hAnsi="Verdana"/>
          <w:color w:val="0000FF"/>
          <w:u w:val="single"/>
          <w:lang w:val="es-ES"/>
        </w:rPr>
        <w:t>01800 0520808</w:t>
      </w:r>
    </w:p>
    <w:p w14:paraId="743CE094" w14:textId="77777777" w:rsidR="00714031" w:rsidRPr="00143822" w:rsidRDefault="00714031" w:rsidP="00714031">
      <w:pPr>
        <w:numPr>
          <w:ilvl w:val="0"/>
          <w:numId w:val="15"/>
        </w:numPr>
        <w:spacing w:after="0" w:line="256" w:lineRule="auto"/>
        <w:contextualSpacing/>
        <w:rPr>
          <w:rFonts w:ascii="Verdana" w:eastAsia="Verdana" w:hAnsi="Verdana" w:cs="Verdana"/>
          <w:color w:val="4472C4" w:themeColor="accent1"/>
          <w:u w:val="single"/>
          <w:lang w:val="es-MX"/>
        </w:rPr>
      </w:pPr>
      <w:r w:rsidRPr="00143822">
        <w:rPr>
          <w:rFonts w:ascii="Verdana" w:eastAsia="Verdana" w:hAnsi="Verdana" w:cs="Verdana"/>
          <w:lang w:val="es-MX"/>
        </w:rPr>
        <w:t>Línea en Bogotá (Mesa de servicio</w:t>
      </w:r>
      <w:proofErr w:type="gramStart"/>
      <w:r w:rsidRPr="00143822">
        <w:rPr>
          <w:rFonts w:ascii="Verdana" w:eastAsia="Verdana" w:hAnsi="Verdana" w:cs="Verdana"/>
          <w:lang w:val="es-MX"/>
        </w:rPr>
        <w:t>):</w:t>
      </w:r>
      <w:r w:rsidRPr="00143822">
        <w:rPr>
          <w:rFonts w:ascii="Verdana" w:hAnsi="Verdana"/>
          <w:color w:val="0000FF"/>
          <w:u w:val="single"/>
          <w:lang w:val="es-ES"/>
        </w:rPr>
        <w:t>+</w:t>
      </w:r>
      <w:proofErr w:type="gramEnd"/>
      <w:r w:rsidRPr="00143822">
        <w:rPr>
          <w:rFonts w:ascii="Verdana" w:hAnsi="Verdana"/>
          <w:color w:val="0000FF"/>
          <w:u w:val="single"/>
          <w:lang w:val="es-ES"/>
        </w:rPr>
        <w:t>57 601 7456788</w:t>
      </w:r>
    </w:p>
    <w:p w14:paraId="5E8088F2" w14:textId="77777777" w:rsidR="00714031" w:rsidRPr="00143822" w:rsidRDefault="00714031" w:rsidP="00714031">
      <w:pPr>
        <w:numPr>
          <w:ilvl w:val="0"/>
          <w:numId w:val="15"/>
        </w:numPr>
        <w:spacing w:after="0" w:line="256" w:lineRule="auto"/>
        <w:contextualSpacing/>
        <w:rPr>
          <w:rFonts w:ascii="Verdana" w:eastAsia="Verdana" w:hAnsi="Verdana" w:cs="Verdana"/>
          <w:color w:val="0000FF"/>
          <w:u w:val="single"/>
          <w:lang w:val="es-MX"/>
        </w:rPr>
      </w:pPr>
      <w:r w:rsidRPr="00143822">
        <w:rPr>
          <w:rFonts w:ascii="Verdana" w:eastAsia="Verdana" w:hAnsi="Verdana" w:cs="Verdana"/>
          <w:lang w:val="es-MX"/>
        </w:rPr>
        <w:t xml:space="preserve">Correo de radicación de correspondencia: </w:t>
      </w:r>
      <w:hyperlink r:id="rId15" w:history="1">
        <w:r w:rsidRPr="00143822">
          <w:rPr>
            <w:rFonts w:ascii="Verdana" w:eastAsia="Verdana" w:hAnsi="Verdana" w:cs="Verdana"/>
            <w:color w:val="0000FF"/>
            <w:u w:val="single"/>
            <w:lang w:val="es-MX"/>
          </w:rPr>
          <w:t>ventanilladeradicacion@colombiacompra.gov.co</w:t>
        </w:r>
      </w:hyperlink>
    </w:p>
    <w:p w14:paraId="04129D6F" w14:textId="77777777" w:rsidR="00714031" w:rsidRPr="00143822" w:rsidRDefault="00714031" w:rsidP="00714031">
      <w:pPr>
        <w:numPr>
          <w:ilvl w:val="0"/>
          <w:numId w:val="15"/>
        </w:numPr>
        <w:spacing w:after="0" w:line="256" w:lineRule="auto"/>
        <w:contextualSpacing/>
        <w:rPr>
          <w:rFonts w:ascii="Verdana" w:eastAsia="Verdana" w:hAnsi="Verdana" w:cs="Verdana"/>
          <w:color w:val="0000FF"/>
          <w:u w:val="single"/>
          <w:lang w:val="es-MX"/>
        </w:rPr>
      </w:pPr>
      <w:r w:rsidRPr="00143822">
        <w:rPr>
          <w:rFonts w:ascii="Verdana" w:eastAsia="Verdana" w:hAnsi="Verdana" w:cs="Verdana"/>
          <w:lang w:val="es-ES"/>
        </w:rPr>
        <w:t xml:space="preserve">Formulario web para PQRSD: </w:t>
      </w:r>
      <w:hyperlink r:id="rId16" w:history="1">
        <w:r w:rsidRPr="00143822">
          <w:rPr>
            <w:rFonts w:ascii="Verdana" w:eastAsia="Verdana" w:hAnsi="Verdana" w:cs="Verdana"/>
            <w:color w:val="0000FF"/>
            <w:u w:val="single"/>
            <w:lang w:val="es-MX"/>
          </w:rPr>
          <w:t>https://www.colombiacompra.gov.co/pqrsd/informacion-importante-antes-de-formular-una-pqrsd</w:t>
        </w:r>
      </w:hyperlink>
    </w:p>
    <w:p w14:paraId="592E65EB" w14:textId="77777777" w:rsidR="00714031" w:rsidRPr="00143822" w:rsidRDefault="00714031" w:rsidP="00714031">
      <w:pPr>
        <w:spacing w:after="0" w:line="240" w:lineRule="auto"/>
        <w:ind w:left="720"/>
        <w:jc w:val="both"/>
        <w:rPr>
          <w:rFonts w:ascii="Verdana" w:hAnsi="Verdana"/>
        </w:rPr>
      </w:pPr>
    </w:p>
    <w:p w14:paraId="6408C3DB" w14:textId="77777777" w:rsidR="00714031" w:rsidRPr="00143822" w:rsidRDefault="00714031" w:rsidP="00714031">
      <w:pPr>
        <w:spacing w:after="0" w:line="240" w:lineRule="auto"/>
        <w:rPr>
          <w:rFonts w:ascii="Verdana" w:hAnsi="Verdana"/>
        </w:rPr>
      </w:pPr>
      <w:r w:rsidRPr="00143822">
        <w:rPr>
          <w:rFonts w:ascii="Verdana" w:hAnsi="Verdana"/>
        </w:rPr>
        <w:t xml:space="preserve">Evalúa el servicio que ofrece la Agencia por el canal de atención de PQRSD en el siguiente </w:t>
      </w:r>
      <w:proofErr w:type="gramStart"/>
      <w:r w:rsidRPr="00143822">
        <w:rPr>
          <w:rFonts w:ascii="Verdana" w:hAnsi="Verdana"/>
        </w:rPr>
        <w:t>enlace :</w:t>
      </w:r>
      <w:proofErr w:type="gramEnd"/>
      <w:hyperlink r:id="rId17" w:tgtFrame="_blank" w:tooltip="https://forms.office.com/r/pphywvs2sz" w:history="1">
        <w:r w:rsidRPr="00143822">
          <w:rPr>
            <w:rFonts w:ascii="Verdana" w:hAnsi="Verdana"/>
            <w:color w:val="0000FF"/>
            <w:u w:val="single"/>
          </w:rPr>
          <w:t>https://forms.office.com/r/pPHyWVs2SZ</w:t>
        </w:r>
      </w:hyperlink>
      <w:r w:rsidRPr="00143822">
        <w:rPr>
          <w:rFonts w:ascii="Verdana" w:hAnsi="Verdana"/>
        </w:rPr>
        <w:t xml:space="preserve"> .¡Ayúdanos a mejorar porque el compromiso es de todos!</w:t>
      </w:r>
    </w:p>
    <w:p w14:paraId="3F4EA072" w14:textId="77777777" w:rsidR="00714031" w:rsidRPr="00143822" w:rsidRDefault="00714031" w:rsidP="00714031">
      <w:pPr>
        <w:spacing w:after="0" w:line="240" w:lineRule="auto"/>
        <w:rPr>
          <w:rFonts w:ascii="Verdana" w:hAnsi="Verdana"/>
        </w:rPr>
      </w:pPr>
    </w:p>
    <w:p w14:paraId="466E00DE" w14:textId="77777777" w:rsidR="00714031" w:rsidRPr="00143822" w:rsidRDefault="00714031" w:rsidP="00714031">
      <w:pPr>
        <w:spacing w:after="0" w:line="240" w:lineRule="auto"/>
        <w:jc w:val="both"/>
        <w:rPr>
          <w:rFonts w:ascii="Verdana" w:hAnsi="Verdana"/>
        </w:rPr>
      </w:pPr>
      <w:r w:rsidRPr="00143822">
        <w:rPr>
          <w:rFonts w:ascii="Verdana" w:hAnsi="Verdana"/>
        </w:rPr>
        <w:t xml:space="preserve">Por último, lo invitamos a seguirnos en las redes sociales en las cuales se difunde información institucional: </w:t>
      </w:r>
    </w:p>
    <w:p w14:paraId="05241B1F" w14:textId="77777777" w:rsidR="00714031" w:rsidRPr="00143822" w:rsidRDefault="00714031" w:rsidP="00714031">
      <w:pPr>
        <w:spacing w:after="0" w:line="240" w:lineRule="auto"/>
        <w:jc w:val="both"/>
        <w:rPr>
          <w:rFonts w:ascii="Verdana" w:hAnsi="Verdana"/>
        </w:rPr>
      </w:pPr>
    </w:p>
    <w:p w14:paraId="553118E7" w14:textId="77777777" w:rsidR="00714031" w:rsidRPr="00143822" w:rsidRDefault="00714031" w:rsidP="00714031">
      <w:pPr>
        <w:spacing w:after="0" w:line="240" w:lineRule="auto"/>
        <w:jc w:val="both"/>
        <w:rPr>
          <w:rFonts w:ascii="Verdana" w:hAnsi="Verdana"/>
        </w:rPr>
      </w:pPr>
      <w:r w:rsidRPr="00143822">
        <w:rPr>
          <w:rFonts w:ascii="Verdana" w:hAnsi="Verdana"/>
        </w:rPr>
        <w:t xml:space="preserve">Twitter: </w:t>
      </w:r>
      <w:r w:rsidRPr="00143822">
        <w:rPr>
          <w:rFonts w:ascii="Verdana" w:hAnsi="Verdana"/>
          <w:color w:val="0000FF"/>
          <w:u w:val="single"/>
        </w:rPr>
        <w:t>@colombiacompra</w:t>
      </w:r>
      <w:r w:rsidRPr="00143822">
        <w:rPr>
          <w:rFonts w:ascii="Verdana" w:hAnsi="Verdana"/>
        </w:rPr>
        <w:t xml:space="preserve"> </w:t>
      </w:r>
    </w:p>
    <w:p w14:paraId="579528F0" w14:textId="77777777" w:rsidR="00714031" w:rsidRPr="00143822" w:rsidRDefault="00714031" w:rsidP="00714031">
      <w:pPr>
        <w:spacing w:after="0" w:line="240" w:lineRule="auto"/>
        <w:jc w:val="both"/>
        <w:rPr>
          <w:rFonts w:ascii="Verdana" w:hAnsi="Verdana"/>
        </w:rPr>
      </w:pPr>
      <w:r w:rsidRPr="00143822">
        <w:rPr>
          <w:rFonts w:ascii="Verdana" w:hAnsi="Verdana"/>
        </w:rPr>
        <w:t xml:space="preserve">Facebook: </w:t>
      </w:r>
      <w:proofErr w:type="spellStart"/>
      <w:r w:rsidRPr="00143822">
        <w:rPr>
          <w:rFonts w:ascii="Verdana" w:hAnsi="Verdana"/>
          <w:color w:val="0000FF"/>
          <w:u w:val="single"/>
        </w:rPr>
        <w:t>ColombiaCompraEficiente</w:t>
      </w:r>
      <w:proofErr w:type="spellEnd"/>
    </w:p>
    <w:p w14:paraId="105062EC" w14:textId="77777777" w:rsidR="00714031" w:rsidRPr="00143822" w:rsidRDefault="00714031" w:rsidP="00714031">
      <w:pPr>
        <w:spacing w:after="0" w:line="240" w:lineRule="auto"/>
        <w:jc w:val="both"/>
        <w:rPr>
          <w:rFonts w:ascii="Verdana" w:hAnsi="Verdana"/>
        </w:rPr>
      </w:pPr>
      <w:r w:rsidRPr="00143822">
        <w:rPr>
          <w:rFonts w:ascii="Verdana" w:hAnsi="Verdana"/>
        </w:rPr>
        <w:t xml:space="preserve">LinkedIn: </w:t>
      </w:r>
      <w:r w:rsidRPr="00143822">
        <w:rPr>
          <w:rFonts w:ascii="Verdana" w:hAnsi="Verdana"/>
          <w:color w:val="0000FF"/>
          <w:u w:val="single"/>
        </w:rPr>
        <w:t>Agencia Nacional de Contratación Pública - Colombia Compra Eficiente</w:t>
      </w:r>
      <w:r w:rsidRPr="00143822">
        <w:rPr>
          <w:rFonts w:ascii="Verdana" w:hAnsi="Verdana"/>
        </w:rPr>
        <w:t xml:space="preserve"> Instagram: </w:t>
      </w:r>
      <w:r w:rsidRPr="00143822">
        <w:rPr>
          <w:rFonts w:ascii="Verdana" w:hAnsi="Verdana"/>
          <w:color w:val="0000FF"/>
          <w:u w:val="single"/>
        </w:rPr>
        <w:t>@colombiacompraeficiente_cce</w:t>
      </w:r>
    </w:p>
    <w:p w14:paraId="76EFA224" w14:textId="77777777" w:rsidR="00714031" w:rsidRPr="00143822" w:rsidRDefault="00714031" w:rsidP="00714031">
      <w:pPr>
        <w:widowControl w:val="0"/>
        <w:autoSpaceDE w:val="0"/>
        <w:autoSpaceDN w:val="0"/>
        <w:spacing w:after="120" w:line="276" w:lineRule="auto"/>
        <w:jc w:val="both"/>
        <w:rPr>
          <w:rFonts w:ascii="Verdana" w:hAnsi="Verdana" w:cs="Arial"/>
          <w:color w:val="FF0000"/>
          <w:shd w:val="clear" w:color="auto" w:fill="FFFFFF"/>
          <w:lang w:val="es-ES_tradnl"/>
        </w:rPr>
      </w:pPr>
      <w:r w:rsidRPr="00143822">
        <w:rPr>
          <w:rFonts w:ascii="Verdana" w:hAnsi="Verdana" w:cs="Arial"/>
          <w:color w:val="FF0000"/>
          <w:shd w:val="clear" w:color="auto" w:fill="FFFFFF"/>
          <w:lang w:val="es-ES_tradnl"/>
        </w:rPr>
        <w:t xml:space="preserve">        </w:t>
      </w:r>
    </w:p>
    <w:p w14:paraId="622C37F0" w14:textId="77777777" w:rsidR="00714031" w:rsidRPr="00143822" w:rsidRDefault="00714031" w:rsidP="00714031">
      <w:pPr>
        <w:widowControl w:val="0"/>
        <w:autoSpaceDE w:val="0"/>
        <w:autoSpaceDN w:val="0"/>
        <w:spacing w:after="0" w:line="276" w:lineRule="auto"/>
        <w:jc w:val="both"/>
        <w:rPr>
          <w:rFonts w:ascii="Verdana" w:hAnsi="Verdana" w:cs="Arial"/>
          <w:lang w:val="es-ES_tradnl"/>
        </w:rPr>
      </w:pPr>
      <w:r w:rsidRPr="00143822">
        <w:rPr>
          <w:rFonts w:ascii="Verdana" w:hAnsi="Verdana" w:cs="Arial"/>
        </w:rPr>
        <w:lastRenderedPageBreak/>
        <w:t xml:space="preserve">Este concepto tiene el alcance previsto en el artículo 28 del Código de Procedimiento Administrativo y de lo Contencioso Administrativo </w:t>
      </w:r>
      <w:r w:rsidRPr="00143822">
        <w:rPr>
          <w:rFonts w:ascii="Verdana" w:hAnsi="Verdana" w:cs="Arial"/>
          <w:lang w:val="es-ES_tradnl"/>
        </w:rPr>
        <w:t>y las expresiones aquí utilizadas con mayúscula inicial deben ser entendidas con el significado que les otorga el artículo 2.2.1.1.1.3.1. del Decreto 1082 de 2015.</w:t>
      </w:r>
    </w:p>
    <w:p w14:paraId="556ACB93" w14:textId="77777777" w:rsidR="00714031" w:rsidRPr="00143822" w:rsidRDefault="00714031" w:rsidP="00714031">
      <w:pPr>
        <w:widowControl w:val="0"/>
        <w:autoSpaceDE w:val="0"/>
        <w:autoSpaceDN w:val="0"/>
        <w:spacing w:after="0" w:line="276" w:lineRule="auto"/>
        <w:jc w:val="both"/>
        <w:rPr>
          <w:rFonts w:ascii="Verdana" w:hAnsi="Verdana" w:cs="Arial"/>
          <w:lang w:val="es-ES_tradnl"/>
        </w:rPr>
      </w:pPr>
    </w:p>
    <w:p w14:paraId="7D10BAFD" w14:textId="77777777" w:rsidR="00714031" w:rsidRPr="00143822" w:rsidRDefault="00714031" w:rsidP="00714031">
      <w:pPr>
        <w:widowControl w:val="0"/>
        <w:autoSpaceDE w:val="0"/>
        <w:autoSpaceDN w:val="0"/>
        <w:spacing w:after="0" w:line="276" w:lineRule="auto"/>
        <w:jc w:val="both"/>
        <w:rPr>
          <w:rFonts w:ascii="Verdana" w:hAnsi="Verdana" w:cs="Arial"/>
          <w:lang w:val="es-ES_tradnl"/>
        </w:rPr>
      </w:pPr>
      <w:r w:rsidRPr="00143822">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05E26E08" w14:textId="77777777" w:rsidR="00714031" w:rsidRPr="00143822" w:rsidRDefault="00714031" w:rsidP="00714031">
      <w:pPr>
        <w:widowControl w:val="0"/>
        <w:autoSpaceDE w:val="0"/>
        <w:autoSpaceDN w:val="0"/>
        <w:spacing w:after="0" w:line="276" w:lineRule="auto"/>
        <w:jc w:val="both"/>
        <w:rPr>
          <w:rFonts w:ascii="Verdana" w:hAnsi="Verdana" w:cs="Arial"/>
          <w:lang w:val="es-ES_tradnl"/>
        </w:rPr>
      </w:pPr>
    </w:p>
    <w:p w14:paraId="5AA3CE98" w14:textId="77777777" w:rsidR="00714031" w:rsidRPr="00143822" w:rsidRDefault="00714031" w:rsidP="00714031">
      <w:pPr>
        <w:spacing w:after="0" w:line="240" w:lineRule="auto"/>
        <w:rPr>
          <w:rFonts w:ascii="Verdana" w:hAnsi="Verdana" w:cs="Arial"/>
          <w:lang w:val="es-ES_tradnl" w:eastAsia="es-CO"/>
        </w:rPr>
      </w:pPr>
      <w:r w:rsidRPr="00143822">
        <w:rPr>
          <w:rFonts w:ascii="Verdana" w:eastAsia="Times New Roman" w:hAnsi="Verdana" w:cs="Arial"/>
          <w:lang w:val="es-ES" w:eastAsia="es-CO"/>
        </w:rPr>
        <w:t>Atentamente,</w:t>
      </w:r>
      <w:r w:rsidRPr="00143822">
        <w:rPr>
          <w:rFonts w:ascii="Verdana" w:hAnsi="Verdana" w:cs="Arial"/>
          <w:lang w:val="es-ES" w:eastAsia="es-CO"/>
        </w:rPr>
        <w:t xml:space="preserve"> </w:t>
      </w:r>
    </w:p>
    <w:p w14:paraId="59398511" w14:textId="434C4F1C" w:rsidR="00714031" w:rsidRPr="00143822" w:rsidRDefault="00FD009D" w:rsidP="00714031">
      <w:pPr>
        <w:spacing w:line="276" w:lineRule="auto"/>
        <w:jc w:val="center"/>
        <w:rPr>
          <w:rFonts w:ascii="Verdana" w:eastAsia="Calibri" w:hAnsi="Verdana" w:cs="Arial"/>
          <w:color w:val="000000"/>
          <w:lang w:val="es-ES_tradnl" w:eastAsia="es-CO"/>
        </w:rPr>
      </w:pPr>
      <w:r>
        <w:rPr>
          <w:noProof/>
        </w:rPr>
        <w:drawing>
          <wp:inline distT="0" distB="0" distL="0" distR="0" wp14:anchorId="6183C5C1" wp14:editId="17465C20">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714031" w:rsidRPr="00143822" w14:paraId="4002DD05" w14:textId="77777777" w:rsidTr="00831131">
        <w:trPr>
          <w:trHeight w:val="315"/>
        </w:trPr>
        <w:tc>
          <w:tcPr>
            <w:tcW w:w="893" w:type="dxa"/>
            <w:vAlign w:val="center"/>
            <w:hideMark/>
          </w:tcPr>
          <w:p w14:paraId="0EB2D3F1" w14:textId="77777777" w:rsidR="00714031" w:rsidRPr="00143822" w:rsidRDefault="00714031" w:rsidP="00831131">
            <w:pPr>
              <w:spacing w:after="255" w:line="254" w:lineRule="auto"/>
              <w:contextualSpacing/>
              <w:rPr>
                <w:rFonts w:ascii="Verdana" w:eastAsia="Calibri" w:hAnsi="Verdana"/>
                <w:sz w:val="16"/>
                <w:szCs w:val="16"/>
                <w:lang w:eastAsia="es-ES"/>
              </w:rPr>
            </w:pPr>
            <w:r w:rsidRPr="00143822">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D797434" w14:textId="77777777" w:rsidR="00714031" w:rsidRPr="00143822" w:rsidRDefault="00714031" w:rsidP="00831131">
            <w:pPr>
              <w:spacing w:after="255" w:line="254" w:lineRule="auto"/>
              <w:contextualSpacing/>
              <w:rPr>
                <w:rFonts w:ascii="Verdana" w:eastAsia="Calibri" w:hAnsi="Verdana" w:cs="Times New Roman"/>
                <w:sz w:val="16"/>
                <w:szCs w:val="16"/>
              </w:rPr>
            </w:pPr>
            <w:r w:rsidRPr="00143822">
              <w:rPr>
                <w:rFonts w:ascii="Verdana" w:eastAsia="Calibri" w:hAnsi="Verdana" w:cs="Times New Roman"/>
                <w:sz w:val="16"/>
                <w:szCs w:val="16"/>
              </w:rPr>
              <w:t>Tatiana Baquero Iguarán</w:t>
            </w:r>
          </w:p>
          <w:p w14:paraId="376BDCD0" w14:textId="77777777" w:rsidR="00714031" w:rsidRPr="00143822" w:rsidRDefault="00714031" w:rsidP="00831131">
            <w:pPr>
              <w:spacing w:after="255" w:line="254" w:lineRule="auto"/>
              <w:contextualSpacing/>
              <w:rPr>
                <w:rFonts w:ascii="Verdana" w:hAnsi="Verdana"/>
                <w:sz w:val="16"/>
                <w:szCs w:val="16"/>
              </w:rPr>
            </w:pPr>
            <w:r w:rsidRPr="00143822">
              <w:rPr>
                <w:rFonts w:ascii="Verdana" w:eastAsia="Calibri" w:hAnsi="Verdana" w:cs="Times New Roman"/>
                <w:sz w:val="16"/>
                <w:szCs w:val="16"/>
              </w:rPr>
              <w:t>Contratista de la Subdirección de Gestión Contractual</w:t>
            </w:r>
          </w:p>
        </w:tc>
      </w:tr>
      <w:tr w:rsidR="00714031" w:rsidRPr="00143822" w14:paraId="0F57006D" w14:textId="77777777" w:rsidTr="00831131">
        <w:trPr>
          <w:trHeight w:val="330"/>
        </w:trPr>
        <w:tc>
          <w:tcPr>
            <w:tcW w:w="893" w:type="dxa"/>
            <w:vAlign w:val="center"/>
            <w:hideMark/>
          </w:tcPr>
          <w:p w14:paraId="48E5F144" w14:textId="77777777" w:rsidR="00714031" w:rsidRPr="00143822" w:rsidRDefault="00714031" w:rsidP="00831131">
            <w:pPr>
              <w:spacing w:after="255" w:line="254" w:lineRule="auto"/>
              <w:contextualSpacing/>
              <w:rPr>
                <w:rFonts w:ascii="Verdana" w:eastAsia="Calibri" w:hAnsi="Verdana"/>
                <w:sz w:val="16"/>
                <w:szCs w:val="16"/>
                <w:lang w:eastAsia="es-ES"/>
              </w:rPr>
            </w:pPr>
            <w:r w:rsidRPr="00143822">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8659F7C" w14:textId="77777777" w:rsidR="00714031" w:rsidRPr="00143822" w:rsidRDefault="00714031" w:rsidP="00831131">
            <w:pPr>
              <w:spacing w:before="100" w:beforeAutospacing="1" w:after="100" w:afterAutospacing="1" w:line="254" w:lineRule="auto"/>
              <w:contextualSpacing/>
              <w:textAlignment w:val="baseline"/>
              <w:rPr>
                <w:rFonts w:ascii="Verdana" w:eastAsia="Times New Roman" w:hAnsi="Verdana"/>
                <w:sz w:val="16"/>
                <w:szCs w:val="16"/>
                <w:lang w:eastAsia="es-ES_tradnl"/>
              </w:rPr>
            </w:pPr>
            <w:r w:rsidRPr="00143822">
              <w:rPr>
                <w:rFonts w:ascii="Verdana" w:eastAsia="Times New Roman" w:hAnsi="Verdana"/>
                <w:sz w:val="16"/>
                <w:szCs w:val="16"/>
                <w:lang w:eastAsia="es-ES_tradnl"/>
              </w:rPr>
              <w:t>Alejandro Sarmiento Cantillo</w:t>
            </w:r>
          </w:p>
          <w:p w14:paraId="2DA43376" w14:textId="77777777" w:rsidR="00714031" w:rsidRPr="00143822" w:rsidRDefault="00714031" w:rsidP="00831131">
            <w:pPr>
              <w:spacing w:after="255" w:line="254" w:lineRule="auto"/>
              <w:contextualSpacing/>
              <w:textAlignment w:val="baseline"/>
              <w:rPr>
                <w:rFonts w:ascii="Verdana" w:eastAsia="Times New Roman" w:hAnsi="Verdana" w:cs="Segoe UI"/>
                <w:sz w:val="16"/>
                <w:szCs w:val="16"/>
                <w:lang w:eastAsia="es-ES_tradnl"/>
              </w:rPr>
            </w:pPr>
            <w:r w:rsidRPr="00143822">
              <w:rPr>
                <w:rFonts w:ascii="Verdana" w:eastAsia="Times New Roman" w:hAnsi="Verdana"/>
                <w:sz w:val="16"/>
                <w:szCs w:val="16"/>
                <w:lang w:eastAsia="es-ES_tradnl"/>
              </w:rPr>
              <w:t>Gestor T1 ‒ 15 de la Subdirección de Gestión Contractual </w:t>
            </w:r>
          </w:p>
        </w:tc>
      </w:tr>
      <w:tr w:rsidR="00714031" w:rsidRPr="00143822" w14:paraId="2EAE5532" w14:textId="77777777" w:rsidTr="00831131">
        <w:trPr>
          <w:trHeight w:val="300"/>
        </w:trPr>
        <w:tc>
          <w:tcPr>
            <w:tcW w:w="893" w:type="dxa"/>
            <w:vAlign w:val="center"/>
            <w:hideMark/>
          </w:tcPr>
          <w:p w14:paraId="17B7FED0" w14:textId="77777777" w:rsidR="00714031" w:rsidRPr="00143822" w:rsidRDefault="00714031" w:rsidP="00831131">
            <w:pPr>
              <w:spacing w:after="255" w:line="254" w:lineRule="auto"/>
              <w:contextualSpacing/>
              <w:rPr>
                <w:rFonts w:ascii="Verdana" w:eastAsia="Calibri" w:hAnsi="Verdana"/>
                <w:sz w:val="16"/>
                <w:szCs w:val="16"/>
                <w:lang w:eastAsia="es-ES"/>
              </w:rPr>
            </w:pPr>
            <w:r w:rsidRPr="00143822">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8B7214C" w14:textId="77777777" w:rsidR="00714031" w:rsidRPr="00143822" w:rsidRDefault="00714031" w:rsidP="00831131">
            <w:pPr>
              <w:spacing w:after="255" w:line="254" w:lineRule="auto"/>
              <w:contextualSpacing/>
              <w:rPr>
                <w:rFonts w:ascii="Verdana" w:eastAsia="Calibri" w:hAnsi="Verdana"/>
                <w:sz w:val="16"/>
                <w:szCs w:val="16"/>
                <w:lang w:val="pt-BR" w:eastAsia="es-ES"/>
              </w:rPr>
            </w:pPr>
            <w:r w:rsidRPr="00143822">
              <w:rPr>
                <w:rFonts w:ascii="Verdana" w:eastAsia="Calibri" w:hAnsi="Verdana"/>
                <w:sz w:val="16"/>
                <w:szCs w:val="16"/>
                <w:lang w:val="pt-BR" w:eastAsia="es-ES"/>
              </w:rPr>
              <w:t xml:space="preserve">Carolina Quintero </w:t>
            </w:r>
            <w:proofErr w:type="spellStart"/>
            <w:r w:rsidRPr="00143822">
              <w:rPr>
                <w:rFonts w:ascii="Verdana" w:eastAsia="Calibri" w:hAnsi="Verdana"/>
                <w:sz w:val="16"/>
                <w:szCs w:val="16"/>
                <w:lang w:val="pt-BR" w:eastAsia="es-ES"/>
              </w:rPr>
              <w:t>Gacharná</w:t>
            </w:r>
            <w:proofErr w:type="spellEnd"/>
          </w:p>
          <w:p w14:paraId="748508C5" w14:textId="77777777" w:rsidR="00714031" w:rsidRPr="00143822" w:rsidRDefault="00714031" w:rsidP="00831131">
            <w:pPr>
              <w:spacing w:after="255" w:line="254" w:lineRule="auto"/>
              <w:contextualSpacing/>
              <w:rPr>
                <w:rFonts w:ascii="Verdana" w:eastAsia="Calibri" w:hAnsi="Verdana"/>
                <w:sz w:val="16"/>
                <w:szCs w:val="16"/>
                <w:lang w:val="pt-BR" w:eastAsia="es-ES"/>
              </w:rPr>
            </w:pPr>
            <w:r w:rsidRPr="00143822">
              <w:rPr>
                <w:rFonts w:ascii="Verdana" w:eastAsia="Calibri" w:hAnsi="Verdana"/>
                <w:sz w:val="16"/>
                <w:szCs w:val="16"/>
                <w:lang w:eastAsia="es-ES"/>
              </w:rPr>
              <w:t>Subdirectora</w:t>
            </w:r>
            <w:r w:rsidRPr="00143822">
              <w:rPr>
                <w:rFonts w:ascii="Verdana" w:eastAsia="Calibri" w:hAnsi="Verdana"/>
                <w:sz w:val="16"/>
                <w:szCs w:val="16"/>
                <w:lang w:val="pt-BR" w:eastAsia="es-ES"/>
              </w:rPr>
              <w:t xml:space="preserve"> de Gestión Contratual ANCP – CCE</w:t>
            </w:r>
          </w:p>
        </w:tc>
      </w:tr>
    </w:tbl>
    <w:p w14:paraId="71071ABB" w14:textId="77777777" w:rsidR="00714031" w:rsidRPr="00143822" w:rsidRDefault="00714031" w:rsidP="00714031">
      <w:pPr>
        <w:spacing w:after="0" w:line="240" w:lineRule="auto"/>
        <w:rPr>
          <w:rFonts w:ascii="Verdana" w:eastAsia="Times New Roman" w:hAnsi="Verdana" w:cs="Arial"/>
          <w:sz w:val="24"/>
          <w:szCs w:val="24"/>
          <w:lang w:eastAsia="es-ES"/>
        </w:rPr>
      </w:pPr>
    </w:p>
    <w:p w14:paraId="38996149" w14:textId="77777777" w:rsidR="00714031" w:rsidRPr="00143822" w:rsidRDefault="00714031" w:rsidP="00714031"/>
    <w:p w14:paraId="6F35EFFA" w14:textId="77777777" w:rsidR="00714031" w:rsidRPr="00143822" w:rsidRDefault="00714031" w:rsidP="00714031">
      <w:pPr>
        <w:spacing w:after="0" w:line="240" w:lineRule="auto"/>
        <w:rPr>
          <w:rFonts w:ascii="Verdana" w:eastAsia="Calibri" w:hAnsi="Verdana" w:cs="Arial"/>
          <w:b/>
          <w:bCs/>
          <w:lang w:val="es-ES" w:eastAsia="es-ES"/>
        </w:rPr>
      </w:pPr>
    </w:p>
    <w:p w14:paraId="03444E73" w14:textId="77777777" w:rsidR="00714031" w:rsidRPr="00143822" w:rsidRDefault="00714031" w:rsidP="00714031"/>
    <w:p w14:paraId="6E82325E" w14:textId="77777777" w:rsidR="00714031" w:rsidRPr="002069C6" w:rsidRDefault="00714031" w:rsidP="00714031">
      <w:pPr>
        <w:widowControl w:val="0"/>
        <w:autoSpaceDE w:val="0"/>
        <w:autoSpaceDN w:val="0"/>
        <w:spacing w:after="0" w:line="276" w:lineRule="auto"/>
        <w:jc w:val="both"/>
        <w:rPr>
          <w:rFonts w:ascii="Verdana" w:hAnsi="Verdana" w:cs="Arial"/>
          <w:color w:val="000000" w:themeColor="text1"/>
          <w:lang w:val="es-ES"/>
        </w:rPr>
      </w:pPr>
    </w:p>
    <w:p w14:paraId="13D340E1" w14:textId="77777777" w:rsidR="00714031" w:rsidRPr="007633EF" w:rsidRDefault="00714031" w:rsidP="00714031"/>
    <w:bookmarkEnd w:id="0"/>
    <w:p w14:paraId="350E7ABA" w14:textId="77777777" w:rsidR="00EE318A" w:rsidRDefault="00EE318A" w:rsidP="007579FD">
      <w:pPr>
        <w:spacing w:after="0" w:line="240" w:lineRule="auto"/>
        <w:rPr>
          <w:rFonts w:ascii="Verdana" w:eastAsia="Geomanist Light" w:hAnsi="Verdana" w:cs="Arial"/>
          <w:color w:val="000000" w:themeColor="text1"/>
        </w:rPr>
      </w:pPr>
    </w:p>
    <w:sectPr w:rsidR="00EE318A"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B451AC" w14:textId="77777777" w:rsidR="00BD0F0A" w:rsidRDefault="00BD0F0A" w:rsidP="004A1847">
      <w:pPr>
        <w:spacing w:after="0" w:line="240" w:lineRule="auto"/>
      </w:pPr>
      <w:r>
        <w:separator/>
      </w:r>
    </w:p>
  </w:endnote>
  <w:endnote w:type="continuationSeparator" w:id="0">
    <w:p w14:paraId="24AF35E9" w14:textId="77777777" w:rsidR="00BD0F0A" w:rsidRDefault="00BD0F0A" w:rsidP="004A1847">
      <w:pPr>
        <w:spacing w:after="0" w:line="240" w:lineRule="auto"/>
      </w:pPr>
      <w:r>
        <w:continuationSeparator/>
      </w:r>
    </w:p>
  </w:endnote>
  <w:endnote w:type="continuationNotice" w:id="1">
    <w:p w14:paraId="44B93DED" w14:textId="77777777" w:rsidR="00BD0F0A" w:rsidRDefault="00BD0F0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F3EDF" w14:textId="77777777" w:rsidR="00BD0F0A" w:rsidRDefault="00BD0F0A" w:rsidP="004A1847">
      <w:pPr>
        <w:spacing w:after="0" w:line="240" w:lineRule="auto"/>
      </w:pPr>
      <w:r>
        <w:separator/>
      </w:r>
    </w:p>
  </w:footnote>
  <w:footnote w:type="continuationSeparator" w:id="0">
    <w:p w14:paraId="2823D249" w14:textId="77777777" w:rsidR="00BD0F0A" w:rsidRDefault="00BD0F0A" w:rsidP="004A1847">
      <w:pPr>
        <w:spacing w:after="0" w:line="240" w:lineRule="auto"/>
      </w:pPr>
      <w:r>
        <w:continuationSeparator/>
      </w:r>
    </w:p>
  </w:footnote>
  <w:footnote w:type="continuationNotice" w:id="1">
    <w:p w14:paraId="1ABA6F14" w14:textId="77777777" w:rsidR="00BD0F0A" w:rsidRDefault="00BD0F0A">
      <w:pPr>
        <w:spacing w:after="0" w:line="240" w:lineRule="auto"/>
      </w:pPr>
    </w:p>
  </w:footnote>
  <w:footnote w:id="2">
    <w:p w14:paraId="498F651A" w14:textId="77777777" w:rsidR="00714031" w:rsidRPr="002309C7" w:rsidRDefault="00714031" w:rsidP="00714031">
      <w:pPr>
        <w:pStyle w:val="Textonotapie"/>
        <w:snapToGrid w:val="0"/>
        <w:ind w:firstLine="709"/>
        <w:jc w:val="both"/>
        <w:rPr>
          <w:rFonts w:ascii="Verdana" w:eastAsia="Calibri" w:hAnsi="Verdana" w:cs="Arial"/>
          <w:color w:val="000000" w:themeColor="text1"/>
          <w:sz w:val="14"/>
          <w:szCs w:val="14"/>
        </w:rPr>
      </w:pPr>
      <w:r w:rsidRPr="00FB41F6">
        <w:rPr>
          <w:rStyle w:val="Refdenotaalpie"/>
          <w:rFonts w:ascii="Verdana" w:hAnsi="Verdana" w:cs="Arial"/>
          <w:sz w:val="14"/>
          <w:szCs w:val="14"/>
        </w:rPr>
        <w:footnoteRef/>
      </w:r>
      <w:r w:rsidRPr="00FB41F6">
        <w:rPr>
          <w:rFonts w:ascii="Verdana" w:hAnsi="Verdana" w:cs="Arial"/>
          <w:sz w:val="14"/>
          <w:szCs w:val="14"/>
        </w:rPr>
        <w:t xml:space="preserve"> </w:t>
      </w:r>
      <w:r w:rsidRPr="00FB41F6">
        <w:rPr>
          <w:rFonts w:ascii="Verdana" w:hAnsi="Verdana" w:cs="Arial"/>
          <w:color w:val="000000" w:themeColor="text1"/>
          <w:sz w:val="14"/>
          <w:szCs w:val="14"/>
        </w:rPr>
        <w:t>Consejo de Estado. Sala de lo Contencioso Administrativo. Sección Tercera. Sentencia del 06 de junio de 2007. Radicación No. 25000-23-26-000-1996-02482-01(17.253). C.P: Ruth Stella Correa Palacio.</w:t>
      </w:r>
    </w:p>
  </w:footnote>
  <w:footnote w:id="3">
    <w:p w14:paraId="1D267036" w14:textId="77777777" w:rsidR="00714031" w:rsidRPr="00FB41F6" w:rsidRDefault="00714031" w:rsidP="00714031">
      <w:pPr>
        <w:pStyle w:val="Textonotapie"/>
        <w:ind w:firstLine="709"/>
        <w:rPr>
          <w:rFonts w:ascii="Verdana" w:hAnsi="Verdana"/>
          <w:sz w:val="14"/>
          <w:szCs w:val="14"/>
        </w:rPr>
      </w:pPr>
      <w:r w:rsidRPr="00FB41F6">
        <w:rPr>
          <w:rStyle w:val="Refdenotaalpie"/>
          <w:rFonts w:ascii="Verdana" w:hAnsi="Verdana"/>
          <w:sz w:val="14"/>
          <w:szCs w:val="14"/>
        </w:rPr>
        <w:footnoteRef/>
      </w:r>
      <w:r w:rsidRPr="00FB41F6">
        <w:rPr>
          <w:rFonts w:ascii="Verdana" w:hAnsi="Verdana"/>
          <w:sz w:val="14"/>
          <w:szCs w:val="14"/>
        </w:rPr>
        <w:t xml:space="preserve"> Consejo de Estado. Sala de lo Contencioso Administrativo. Sección Tercera. Subsección A. sentencia del 12 de agosto de 2019. Radicado: 25000-23-26-000-2002-01599-01(38603) C.P: María Adriana Marín. </w:t>
      </w:r>
    </w:p>
  </w:footnote>
  <w:footnote w:id="4">
    <w:p w14:paraId="66AB9252" w14:textId="77777777" w:rsidR="00714031" w:rsidRPr="00FB41F6" w:rsidRDefault="00714031" w:rsidP="00714031">
      <w:pPr>
        <w:pStyle w:val="Textonotapie"/>
        <w:ind w:firstLine="709"/>
        <w:jc w:val="both"/>
        <w:rPr>
          <w:rFonts w:ascii="Verdana" w:hAnsi="Verdana"/>
          <w:sz w:val="14"/>
          <w:szCs w:val="14"/>
          <w:lang w:val="es-CO"/>
        </w:rPr>
      </w:pPr>
      <w:r w:rsidRPr="00FB41F6">
        <w:rPr>
          <w:rStyle w:val="Refdenotaalpie"/>
          <w:rFonts w:ascii="Verdana" w:hAnsi="Verdana"/>
          <w:sz w:val="14"/>
          <w:szCs w:val="14"/>
        </w:rPr>
        <w:footnoteRef/>
      </w:r>
      <w:r w:rsidRPr="00FB41F6">
        <w:rPr>
          <w:rFonts w:ascii="Verdana" w:hAnsi="Verdana"/>
          <w:sz w:val="14"/>
          <w:szCs w:val="14"/>
        </w:rPr>
        <w:t xml:space="preserve"> </w:t>
      </w:r>
      <w:r w:rsidRPr="008D5945">
        <w:rPr>
          <w:rFonts w:ascii="Verdana" w:hAnsi="Verdana"/>
          <w:sz w:val="14"/>
          <w:szCs w:val="14"/>
          <w:lang w:val="es-CO"/>
        </w:rPr>
        <w:t>RICO PUERTA, Luís Alfonso. Teoría General y Práctica de la Contratación Estatal, Décima edición, pág. 240 y 241.</w:t>
      </w:r>
    </w:p>
  </w:footnote>
  <w:footnote w:id="5">
    <w:p w14:paraId="5F19314C" w14:textId="77777777" w:rsidR="00714031" w:rsidRPr="002309C7" w:rsidRDefault="00714031" w:rsidP="00714031">
      <w:pPr>
        <w:pStyle w:val="Textonotapie"/>
        <w:ind w:firstLine="709"/>
        <w:jc w:val="both"/>
        <w:rPr>
          <w:rFonts w:ascii="Verdana" w:hAnsi="Verdana" w:cs="Arial"/>
          <w:sz w:val="14"/>
          <w:szCs w:val="14"/>
        </w:rPr>
      </w:pPr>
      <w:r w:rsidRPr="00DE2ABE">
        <w:rPr>
          <w:rStyle w:val="Refdenotaalpie"/>
          <w:rFonts w:ascii="Verdana" w:hAnsi="Verdana"/>
          <w:sz w:val="14"/>
          <w:szCs w:val="14"/>
        </w:rPr>
        <w:footnoteRef/>
      </w:r>
      <w:r w:rsidRPr="00DE2ABE">
        <w:rPr>
          <w:rFonts w:ascii="Verdana" w:hAnsi="Verdana"/>
          <w:sz w:val="14"/>
          <w:szCs w:val="14"/>
        </w:rPr>
        <w:t xml:space="preserve"> </w:t>
      </w:r>
      <w:r w:rsidRPr="00DE2ABE">
        <w:rPr>
          <w:rFonts w:ascii="Verdana" w:hAnsi="Verdana" w:cs="Arial"/>
          <w:sz w:val="14"/>
          <w:szCs w:val="14"/>
        </w:rPr>
        <w:t>Consejo de Estado</w:t>
      </w:r>
      <w:r>
        <w:rPr>
          <w:rFonts w:ascii="Verdana" w:hAnsi="Verdana" w:cs="Arial"/>
          <w:sz w:val="14"/>
          <w:szCs w:val="14"/>
        </w:rPr>
        <w:t>. Sala de lo Contencioso Administrativo. S</w:t>
      </w:r>
      <w:r w:rsidRPr="00DE2ABE">
        <w:rPr>
          <w:rFonts w:ascii="Verdana" w:hAnsi="Verdana" w:cs="Arial"/>
          <w:sz w:val="14"/>
          <w:szCs w:val="14"/>
        </w:rPr>
        <w:t>ección Cuarta</w:t>
      </w:r>
      <w:r>
        <w:rPr>
          <w:rFonts w:ascii="Verdana" w:hAnsi="Verdana" w:cs="Arial"/>
          <w:sz w:val="14"/>
          <w:szCs w:val="14"/>
        </w:rPr>
        <w:t xml:space="preserve">. Sentencia del </w:t>
      </w:r>
      <w:r w:rsidRPr="00DE2ABE">
        <w:rPr>
          <w:rFonts w:ascii="Verdana" w:hAnsi="Verdana" w:cs="Arial"/>
          <w:sz w:val="14"/>
          <w:szCs w:val="14"/>
        </w:rPr>
        <w:t xml:space="preserve">16 de septiembre de 2010. </w:t>
      </w:r>
      <w:r>
        <w:rPr>
          <w:rFonts w:ascii="Verdana" w:hAnsi="Verdana" w:cs="Arial"/>
          <w:sz w:val="14"/>
          <w:szCs w:val="14"/>
        </w:rPr>
        <w:t xml:space="preserve">Radicado: </w:t>
      </w:r>
      <w:r w:rsidRPr="00DE2ABE">
        <w:rPr>
          <w:rFonts w:ascii="Verdana" w:hAnsi="Verdana" w:cs="Arial"/>
          <w:sz w:val="14"/>
          <w:szCs w:val="14"/>
          <w:lang w:val="es-CO"/>
        </w:rPr>
        <w:t>130011-23-31-000-1999-90004-01</w:t>
      </w:r>
      <w:r>
        <w:rPr>
          <w:rFonts w:ascii="Verdana" w:hAnsi="Verdana" w:cs="Arial"/>
          <w:sz w:val="14"/>
          <w:szCs w:val="14"/>
          <w:lang w:val="es-CO"/>
        </w:rPr>
        <w:t xml:space="preserve"> (16605) </w:t>
      </w:r>
      <w:r w:rsidRPr="00DE2ABE">
        <w:rPr>
          <w:rFonts w:ascii="Verdana" w:hAnsi="Verdana" w:cs="Arial"/>
          <w:sz w:val="14"/>
          <w:szCs w:val="14"/>
        </w:rPr>
        <w:t>C</w:t>
      </w:r>
      <w:r>
        <w:rPr>
          <w:rFonts w:ascii="Verdana" w:hAnsi="Verdana" w:cs="Arial"/>
          <w:sz w:val="14"/>
          <w:szCs w:val="14"/>
        </w:rPr>
        <w:t>.</w:t>
      </w:r>
      <w:r w:rsidRPr="00DE2ABE">
        <w:rPr>
          <w:rFonts w:ascii="Verdana" w:hAnsi="Verdana" w:cs="Arial"/>
          <w:sz w:val="14"/>
          <w:szCs w:val="14"/>
        </w:rPr>
        <w:t>P</w:t>
      </w:r>
      <w:r>
        <w:rPr>
          <w:rFonts w:ascii="Verdana" w:hAnsi="Verdana" w:cs="Arial"/>
          <w:sz w:val="14"/>
          <w:szCs w:val="14"/>
        </w:rPr>
        <w:t>:</w:t>
      </w:r>
      <w:r w:rsidRPr="00DE2ABE">
        <w:rPr>
          <w:rFonts w:ascii="Verdana" w:hAnsi="Verdana" w:cs="Arial"/>
          <w:sz w:val="14"/>
          <w:szCs w:val="14"/>
        </w:rPr>
        <w:t xml:space="preserve"> Carmen Teresa Ortiz.</w:t>
      </w:r>
    </w:p>
  </w:footnote>
  <w:footnote w:id="6">
    <w:p w14:paraId="648524D2" w14:textId="77777777" w:rsidR="00714031" w:rsidRPr="00DE2ABE" w:rsidRDefault="00714031" w:rsidP="00714031">
      <w:pPr>
        <w:pStyle w:val="Textonotapie"/>
        <w:snapToGrid w:val="0"/>
        <w:ind w:firstLine="709"/>
        <w:jc w:val="both"/>
        <w:rPr>
          <w:rFonts w:ascii="Verdana" w:hAnsi="Verdana" w:cs="Arial"/>
          <w:sz w:val="14"/>
          <w:szCs w:val="14"/>
        </w:rPr>
      </w:pPr>
      <w:r w:rsidRPr="00DE2ABE">
        <w:rPr>
          <w:rStyle w:val="Refdenotaalpie"/>
          <w:rFonts w:ascii="Verdana" w:hAnsi="Verdana" w:cs="Arial"/>
          <w:sz w:val="14"/>
          <w:szCs w:val="14"/>
        </w:rPr>
        <w:footnoteRef/>
      </w:r>
      <w:r w:rsidRPr="00DE2ABE">
        <w:rPr>
          <w:rFonts w:ascii="Verdana" w:hAnsi="Verdana" w:cs="Arial"/>
          <w:sz w:val="14"/>
          <w:szCs w:val="14"/>
        </w:rPr>
        <w:t xml:space="preserve"> </w:t>
      </w:r>
      <w:r w:rsidRPr="00DE2ABE">
        <w:rPr>
          <w:rFonts w:ascii="Verdana" w:hAnsi="Verdana" w:cs="Arial"/>
          <w:color w:val="000000" w:themeColor="text1"/>
          <w:sz w:val="14"/>
          <w:szCs w:val="14"/>
        </w:rPr>
        <w:t>Consejo de Estado</w:t>
      </w:r>
      <w:r>
        <w:rPr>
          <w:rFonts w:ascii="Verdana" w:hAnsi="Verdana" w:cs="Arial"/>
          <w:color w:val="000000" w:themeColor="text1"/>
          <w:sz w:val="14"/>
          <w:szCs w:val="14"/>
        </w:rPr>
        <w:t>.</w:t>
      </w:r>
      <w:r w:rsidRPr="00DE2ABE">
        <w:rPr>
          <w:rFonts w:ascii="Verdana" w:hAnsi="Verdana" w:cs="Arial"/>
          <w:color w:val="000000" w:themeColor="text1"/>
          <w:sz w:val="14"/>
          <w:szCs w:val="14"/>
        </w:rPr>
        <w:t xml:space="preserve"> Sala de Consulta y Servicio Civil</w:t>
      </w:r>
      <w:r>
        <w:rPr>
          <w:rFonts w:ascii="Verdana" w:hAnsi="Verdana" w:cs="Arial"/>
          <w:color w:val="000000" w:themeColor="text1"/>
          <w:sz w:val="14"/>
          <w:szCs w:val="14"/>
        </w:rPr>
        <w:t>.</w:t>
      </w:r>
      <w:r w:rsidRPr="00DE2ABE">
        <w:rPr>
          <w:rFonts w:ascii="Verdana" w:hAnsi="Verdana" w:cs="Arial"/>
          <w:color w:val="000000" w:themeColor="text1"/>
          <w:sz w:val="14"/>
          <w:szCs w:val="14"/>
        </w:rPr>
        <w:t xml:space="preserve"> Concepto de 7 febrero de 1997, Rad. 934, C. P. Javier Henao </w:t>
      </w:r>
      <w:r w:rsidRPr="00DE2ABE">
        <w:rPr>
          <w:rFonts w:ascii="Verdana" w:hAnsi="Verdana" w:cs="Arial"/>
          <w:color w:val="000000" w:themeColor="text1"/>
          <w:sz w:val="14"/>
          <w:szCs w:val="14"/>
        </w:rPr>
        <w:t>Hidrón.</w:t>
      </w:r>
      <w:r w:rsidRPr="00DE2ABE">
        <w:rPr>
          <w:rFonts w:ascii="Verdana" w:hAnsi="Verdana" w:cs="Arial"/>
          <w:sz w:val="14"/>
          <w:szCs w:val="14"/>
        </w:rPr>
        <w:t xml:space="preserve"> </w:t>
      </w:r>
    </w:p>
    <w:p w14:paraId="62E281ED" w14:textId="77777777" w:rsidR="00714031" w:rsidRPr="00DE2ABE" w:rsidRDefault="00714031" w:rsidP="00714031">
      <w:pPr>
        <w:pStyle w:val="Textonotapie"/>
        <w:snapToGrid w:val="0"/>
        <w:ind w:firstLine="709"/>
        <w:jc w:val="both"/>
        <w:rPr>
          <w:rFonts w:ascii="Verdana" w:hAnsi="Verdana" w:cs="Arial"/>
          <w:sz w:val="14"/>
          <w:szCs w:val="14"/>
          <w:lang w:val="es-CO"/>
        </w:rPr>
      </w:pPr>
      <w:r w:rsidRPr="00DE2ABE">
        <w:rPr>
          <w:rFonts w:ascii="Verdana" w:hAnsi="Verdana" w:cs="Arial"/>
          <w:sz w:val="14"/>
          <w:szCs w:val="14"/>
        </w:rPr>
        <w:t xml:space="preserve"> </w:t>
      </w:r>
    </w:p>
  </w:footnote>
  <w:footnote w:id="7">
    <w:p w14:paraId="269F41AF" w14:textId="77777777" w:rsidR="00714031" w:rsidRPr="00DE2ABE" w:rsidRDefault="00714031" w:rsidP="00714031">
      <w:pPr>
        <w:pStyle w:val="Textonotapie"/>
        <w:ind w:firstLine="709"/>
        <w:jc w:val="both"/>
        <w:rPr>
          <w:rFonts w:ascii="Verdana" w:hAnsi="Verdana" w:cs="Arial"/>
          <w:sz w:val="14"/>
          <w:szCs w:val="14"/>
        </w:rPr>
      </w:pPr>
      <w:r w:rsidRPr="00DE2ABE">
        <w:rPr>
          <w:rStyle w:val="Refdenotaalpie"/>
          <w:rFonts w:ascii="Verdana" w:hAnsi="Verdana" w:cs="Arial"/>
          <w:sz w:val="14"/>
          <w:szCs w:val="14"/>
        </w:rPr>
        <w:footnoteRef/>
      </w:r>
      <w:r w:rsidRPr="00DE2ABE">
        <w:rPr>
          <w:rFonts w:ascii="Verdana" w:hAnsi="Verdana" w:cs="Arial"/>
          <w:sz w:val="14"/>
          <w:szCs w:val="14"/>
        </w:rPr>
        <w:t xml:space="preserve"> Consejo de Estado</w:t>
      </w:r>
      <w:r>
        <w:rPr>
          <w:rFonts w:ascii="Verdana" w:hAnsi="Verdana" w:cs="Arial"/>
          <w:sz w:val="14"/>
          <w:szCs w:val="14"/>
        </w:rPr>
        <w:t>.</w:t>
      </w:r>
      <w:r w:rsidRPr="00DE2ABE">
        <w:rPr>
          <w:rFonts w:ascii="Verdana" w:hAnsi="Verdana" w:cs="Arial"/>
          <w:sz w:val="14"/>
          <w:szCs w:val="14"/>
        </w:rPr>
        <w:t xml:space="preserve"> Sala de Consulta y Servicio Civil</w:t>
      </w:r>
      <w:r>
        <w:rPr>
          <w:rFonts w:ascii="Verdana" w:hAnsi="Verdana" w:cs="Arial"/>
          <w:sz w:val="14"/>
          <w:szCs w:val="14"/>
        </w:rPr>
        <w:t>. C</w:t>
      </w:r>
      <w:r w:rsidRPr="00DE2ABE">
        <w:rPr>
          <w:rFonts w:ascii="Verdana" w:hAnsi="Verdana" w:cs="Arial"/>
          <w:sz w:val="14"/>
          <w:szCs w:val="14"/>
        </w:rPr>
        <w:t>oncepto 2298 del 8 de marzo de 2017. C</w:t>
      </w:r>
      <w:r>
        <w:rPr>
          <w:rFonts w:ascii="Verdana" w:hAnsi="Verdana" w:cs="Arial"/>
          <w:sz w:val="14"/>
          <w:szCs w:val="14"/>
        </w:rPr>
        <w:t>.P:</w:t>
      </w:r>
      <w:r w:rsidRPr="00DE2ABE">
        <w:rPr>
          <w:rFonts w:ascii="Verdana" w:hAnsi="Verdana" w:cs="Arial"/>
          <w:sz w:val="14"/>
          <w:szCs w:val="14"/>
        </w:rPr>
        <w:t xml:space="preserve"> Edgar González López.</w:t>
      </w:r>
    </w:p>
  </w:footnote>
  <w:footnote w:id="8">
    <w:p w14:paraId="46A78F38" w14:textId="77777777" w:rsidR="00714031" w:rsidRPr="00DE2ABE" w:rsidRDefault="00714031" w:rsidP="00714031">
      <w:pPr>
        <w:pStyle w:val="Textonotapie"/>
        <w:ind w:firstLine="708"/>
        <w:jc w:val="both"/>
        <w:rPr>
          <w:rFonts w:ascii="Verdana" w:hAnsi="Verdana" w:cs="Arial"/>
          <w:sz w:val="14"/>
          <w:szCs w:val="14"/>
        </w:rPr>
      </w:pPr>
      <w:r w:rsidRPr="00DE2ABE">
        <w:rPr>
          <w:rStyle w:val="Refdenotaalpie"/>
          <w:rFonts w:ascii="Verdana" w:hAnsi="Verdana" w:cs="Arial"/>
          <w:sz w:val="14"/>
          <w:szCs w:val="14"/>
        </w:rPr>
        <w:footnoteRef/>
      </w:r>
      <w:r w:rsidRPr="00DE2ABE">
        <w:rPr>
          <w:rFonts w:ascii="Verdana" w:hAnsi="Verdana" w:cs="Arial"/>
          <w:sz w:val="14"/>
          <w:szCs w:val="14"/>
        </w:rPr>
        <w:t xml:space="preserve"> Consejo de Estado, Sala de lo Contencioso Administrativo, Sección Tercera</w:t>
      </w:r>
      <w:r>
        <w:rPr>
          <w:rFonts w:ascii="Verdana" w:hAnsi="Verdana" w:cs="Arial"/>
          <w:sz w:val="14"/>
          <w:szCs w:val="14"/>
        </w:rPr>
        <w:t>.</w:t>
      </w:r>
      <w:r w:rsidRPr="00DE2ABE">
        <w:rPr>
          <w:rFonts w:ascii="Verdana" w:hAnsi="Verdana" w:cs="Arial"/>
          <w:sz w:val="14"/>
          <w:szCs w:val="14"/>
        </w:rPr>
        <w:t xml:space="preserve"> Subsección A</w:t>
      </w:r>
      <w:r>
        <w:rPr>
          <w:rFonts w:ascii="Verdana" w:hAnsi="Verdana" w:cs="Arial"/>
          <w:sz w:val="14"/>
          <w:szCs w:val="14"/>
        </w:rPr>
        <w:t>.</w:t>
      </w:r>
      <w:r w:rsidRPr="00DE2ABE">
        <w:rPr>
          <w:rFonts w:ascii="Verdana" w:hAnsi="Verdana" w:cs="Arial"/>
          <w:sz w:val="14"/>
          <w:szCs w:val="14"/>
        </w:rPr>
        <w:t xml:space="preserve"> </w:t>
      </w:r>
      <w:r>
        <w:rPr>
          <w:rFonts w:ascii="Verdana" w:hAnsi="Verdana" w:cs="Arial"/>
          <w:sz w:val="14"/>
          <w:szCs w:val="14"/>
        </w:rPr>
        <w:t>S</w:t>
      </w:r>
      <w:r w:rsidRPr="00DE2ABE">
        <w:rPr>
          <w:rFonts w:ascii="Verdana" w:hAnsi="Verdana" w:cs="Arial"/>
          <w:sz w:val="14"/>
          <w:szCs w:val="14"/>
        </w:rPr>
        <w:t xml:space="preserve">entencia del 20 de noviembre de 2020. </w:t>
      </w:r>
      <w:r>
        <w:rPr>
          <w:rFonts w:ascii="Verdana" w:hAnsi="Verdana" w:cs="Arial"/>
          <w:sz w:val="14"/>
          <w:szCs w:val="14"/>
        </w:rPr>
        <w:t xml:space="preserve">Radicado: </w:t>
      </w:r>
      <w:r w:rsidRPr="00DE2ABE">
        <w:rPr>
          <w:rFonts w:ascii="Verdana" w:hAnsi="Verdana" w:cs="Arial"/>
          <w:sz w:val="14"/>
          <w:szCs w:val="14"/>
        </w:rPr>
        <w:t>05001-23-31-000-2002-02323-01 (47201)</w:t>
      </w:r>
      <w:r>
        <w:rPr>
          <w:rFonts w:ascii="Verdana" w:hAnsi="Verdana" w:cs="Arial"/>
          <w:sz w:val="14"/>
          <w:szCs w:val="14"/>
        </w:rPr>
        <w:t xml:space="preserve">. </w:t>
      </w:r>
      <w:r w:rsidRPr="00DE2ABE">
        <w:rPr>
          <w:rFonts w:ascii="Verdana" w:hAnsi="Verdana" w:cs="Arial"/>
          <w:sz w:val="14"/>
          <w:szCs w:val="14"/>
        </w:rPr>
        <w:t>C</w:t>
      </w:r>
      <w:r>
        <w:rPr>
          <w:rFonts w:ascii="Verdana" w:hAnsi="Verdana" w:cs="Arial"/>
          <w:sz w:val="14"/>
          <w:szCs w:val="14"/>
        </w:rPr>
        <w:t>.P</w:t>
      </w:r>
      <w:r w:rsidRPr="00DE2ABE">
        <w:rPr>
          <w:rFonts w:ascii="Verdana" w:hAnsi="Verdana" w:cs="Arial"/>
          <w:sz w:val="14"/>
          <w:szCs w:val="14"/>
        </w:rPr>
        <w:t>: José Roberto Sáchica Méndez.</w:t>
      </w:r>
    </w:p>
    <w:p w14:paraId="252E3D79" w14:textId="77777777" w:rsidR="00714031" w:rsidRPr="00DE2ABE" w:rsidRDefault="00714031" w:rsidP="00714031">
      <w:pPr>
        <w:pStyle w:val="Textonotapie"/>
        <w:ind w:firstLine="708"/>
        <w:jc w:val="both"/>
        <w:rPr>
          <w:rFonts w:ascii="Verdana" w:hAnsi="Verdana" w:cs="Arial"/>
          <w:sz w:val="14"/>
          <w:szCs w:val="14"/>
        </w:rPr>
      </w:pPr>
    </w:p>
  </w:footnote>
  <w:footnote w:id="9">
    <w:p w14:paraId="79F91489" w14:textId="77777777" w:rsidR="00714031" w:rsidRDefault="00714031" w:rsidP="00714031">
      <w:pPr>
        <w:spacing w:after="0" w:line="240" w:lineRule="auto"/>
        <w:ind w:firstLine="708"/>
        <w:jc w:val="both"/>
        <w:rPr>
          <w:rFonts w:ascii="Verdana" w:hAnsi="Verdana" w:cs="Arial"/>
          <w:sz w:val="14"/>
          <w:szCs w:val="14"/>
        </w:rPr>
      </w:pPr>
      <w:r w:rsidRPr="00DE2ABE">
        <w:rPr>
          <w:rStyle w:val="Refdenotaalpie"/>
          <w:rFonts w:ascii="Verdana" w:hAnsi="Verdana" w:cs="Arial"/>
          <w:sz w:val="14"/>
          <w:szCs w:val="14"/>
        </w:rPr>
        <w:footnoteRef/>
      </w:r>
      <w:r w:rsidRPr="00DE2ABE">
        <w:rPr>
          <w:rFonts w:ascii="Verdana" w:hAnsi="Verdana" w:cs="Arial"/>
          <w:sz w:val="14"/>
          <w:szCs w:val="14"/>
        </w:rPr>
        <w:t xml:space="preserve"> En este sentido, la jurisprudencia de la Subsección ha destacado que “</w:t>
      </w:r>
      <w:r w:rsidRPr="00DE2ABE">
        <w:rPr>
          <w:rFonts w:ascii="Verdana" w:hAnsi="Verdana" w:cs="Arial"/>
          <w:i/>
          <w:iCs/>
          <w:sz w:val="14"/>
          <w:szCs w:val="14"/>
        </w:rPr>
        <w:t xml:space="preserve">[d]os de los elementos descriptores que tanto la legislación civil como la mercantil comparten en torno al mandato aluden a i) que la gestión confiada se hace por cuenta y riesgo del mandante y </w:t>
      </w:r>
      <w:r w:rsidRPr="00DE2ABE">
        <w:rPr>
          <w:rFonts w:ascii="Verdana" w:hAnsi="Verdana" w:cs="Arial"/>
          <w:i/>
          <w:iCs/>
          <w:sz w:val="14"/>
          <w:szCs w:val="14"/>
        </w:rPr>
        <w:t>ii) los actos ejercidos por el mandatario no obligan al mandante si han excedido los límites del encargo</w:t>
      </w:r>
      <w:r w:rsidRPr="00DE2ABE">
        <w:rPr>
          <w:rFonts w:ascii="Verdana" w:hAnsi="Verdana" w:cs="Arial"/>
          <w:sz w:val="14"/>
          <w:szCs w:val="14"/>
        </w:rPr>
        <w:t>”. Consejo de Estado</w:t>
      </w:r>
      <w:r>
        <w:rPr>
          <w:rFonts w:ascii="Verdana" w:hAnsi="Verdana" w:cs="Arial"/>
          <w:sz w:val="14"/>
          <w:szCs w:val="14"/>
        </w:rPr>
        <w:t xml:space="preserve">. Sala de lo Contencioso Administrativo. </w:t>
      </w:r>
      <w:r w:rsidRPr="00DE2ABE">
        <w:rPr>
          <w:rFonts w:ascii="Verdana" w:hAnsi="Verdana" w:cs="Arial"/>
          <w:sz w:val="14"/>
          <w:szCs w:val="14"/>
        </w:rPr>
        <w:t>Sección Tercera</w:t>
      </w:r>
      <w:r>
        <w:rPr>
          <w:rFonts w:ascii="Verdana" w:hAnsi="Verdana" w:cs="Arial"/>
          <w:sz w:val="14"/>
          <w:szCs w:val="14"/>
        </w:rPr>
        <w:t>.</w:t>
      </w:r>
      <w:r w:rsidRPr="00DE2ABE">
        <w:rPr>
          <w:rFonts w:ascii="Verdana" w:hAnsi="Verdana" w:cs="Arial"/>
          <w:sz w:val="14"/>
          <w:szCs w:val="14"/>
        </w:rPr>
        <w:t xml:space="preserve"> Subsección A. Sentencia del 1 de octubre de 2018. </w:t>
      </w:r>
      <w:r>
        <w:rPr>
          <w:rFonts w:ascii="Verdana" w:hAnsi="Verdana" w:cs="Arial"/>
          <w:sz w:val="14"/>
          <w:szCs w:val="14"/>
        </w:rPr>
        <w:t xml:space="preserve">Radicado: </w:t>
      </w:r>
      <w:r w:rsidRPr="00DE2ABE">
        <w:rPr>
          <w:rFonts w:ascii="Verdana" w:hAnsi="Verdana" w:cs="Arial"/>
          <w:sz w:val="14"/>
          <w:szCs w:val="14"/>
        </w:rPr>
        <w:t xml:space="preserve">13001-23-31-000-2012-00022-01 </w:t>
      </w:r>
      <w:r>
        <w:rPr>
          <w:rFonts w:ascii="Verdana" w:hAnsi="Verdana" w:cs="Arial"/>
          <w:sz w:val="14"/>
          <w:szCs w:val="14"/>
        </w:rPr>
        <w:t>(5</w:t>
      </w:r>
      <w:r w:rsidRPr="00DE2ABE">
        <w:rPr>
          <w:rFonts w:ascii="Verdana" w:hAnsi="Verdana" w:cs="Arial"/>
          <w:sz w:val="14"/>
          <w:szCs w:val="14"/>
        </w:rPr>
        <w:t>7897</w:t>
      </w:r>
      <w:r>
        <w:rPr>
          <w:rFonts w:ascii="Verdana" w:hAnsi="Verdana" w:cs="Arial"/>
          <w:sz w:val="14"/>
          <w:szCs w:val="14"/>
        </w:rPr>
        <w:t>)</w:t>
      </w:r>
      <w:r w:rsidRPr="00DE2ABE">
        <w:rPr>
          <w:rFonts w:ascii="Verdana" w:hAnsi="Verdana" w:cs="Arial"/>
          <w:sz w:val="14"/>
          <w:szCs w:val="14"/>
        </w:rPr>
        <w:t>. C.P</w:t>
      </w:r>
      <w:r>
        <w:rPr>
          <w:rFonts w:ascii="Verdana" w:hAnsi="Verdana" w:cs="Arial"/>
          <w:sz w:val="14"/>
          <w:szCs w:val="14"/>
        </w:rPr>
        <w:t>:</w:t>
      </w:r>
      <w:r w:rsidRPr="00DE2ABE">
        <w:rPr>
          <w:rFonts w:ascii="Verdana" w:hAnsi="Verdana" w:cs="Arial"/>
          <w:sz w:val="14"/>
          <w:szCs w:val="14"/>
        </w:rPr>
        <w:t xml:space="preserve"> Marta Nubia Velásquez Rico. </w:t>
      </w:r>
    </w:p>
    <w:p w14:paraId="6395B3D8" w14:textId="77777777" w:rsidR="00714031" w:rsidRPr="00DE2ABE" w:rsidRDefault="00714031" w:rsidP="00714031">
      <w:pPr>
        <w:spacing w:after="0" w:line="240" w:lineRule="auto"/>
        <w:ind w:firstLine="708"/>
        <w:jc w:val="both"/>
        <w:rPr>
          <w:rFonts w:ascii="Verdana" w:hAnsi="Verdana" w:cs="Arial"/>
          <w:sz w:val="14"/>
          <w:szCs w:val="14"/>
        </w:rPr>
      </w:pPr>
    </w:p>
  </w:footnote>
  <w:footnote w:id="10">
    <w:p w14:paraId="01214ADA" w14:textId="77777777" w:rsidR="00714031" w:rsidRPr="00DE2ABE" w:rsidRDefault="00714031" w:rsidP="00714031">
      <w:pPr>
        <w:pStyle w:val="Textonotapie"/>
        <w:ind w:firstLine="708"/>
        <w:jc w:val="both"/>
        <w:rPr>
          <w:rFonts w:ascii="Verdana" w:hAnsi="Verdana" w:cs="Arial"/>
          <w:sz w:val="14"/>
          <w:szCs w:val="14"/>
        </w:rPr>
      </w:pPr>
      <w:r w:rsidRPr="00DE2ABE">
        <w:rPr>
          <w:rStyle w:val="Refdenotaalpie"/>
          <w:rFonts w:ascii="Verdana" w:hAnsi="Verdana" w:cs="Arial"/>
          <w:sz w:val="14"/>
          <w:szCs w:val="14"/>
        </w:rPr>
        <w:footnoteRef/>
      </w:r>
      <w:r w:rsidRPr="00DE2ABE">
        <w:rPr>
          <w:rFonts w:ascii="Verdana" w:hAnsi="Verdana" w:cs="Arial"/>
          <w:sz w:val="14"/>
          <w:szCs w:val="14"/>
        </w:rPr>
        <w:t xml:space="preserve"> Corte Suprema de Justicia, Sala de Casación Civil. Sentencia del 17 de abril de 2007. M</w:t>
      </w:r>
      <w:r>
        <w:rPr>
          <w:rFonts w:ascii="Verdana" w:hAnsi="Verdana" w:cs="Arial"/>
          <w:sz w:val="14"/>
          <w:szCs w:val="14"/>
        </w:rPr>
        <w:t>.P:</w:t>
      </w:r>
      <w:r w:rsidRPr="00DE2ABE">
        <w:rPr>
          <w:rFonts w:ascii="Verdana" w:hAnsi="Verdana" w:cs="Arial"/>
          <w:sz w:val="14"/>
          <w:szCs w:val="14"/>
        </w:rPr>
        <w:t xml:space="preserve"> Ped</w:t>
      </w:r>
      <w:r>
        <w:rPr>
          <w:rFonts w:ascii="Verdana" w:hAnsi="Verdana" w:cs="Arial"/>
          <w:sz w:val="14"/>
          <w:szCs w:val="14"/>
        </w:rPr>
        <w:t>r</w:t>
      </w:r>
      <w:r w:rsidRPr="00DE2ABE">
        <w:rPr>
          <w:rFonts w:ascii="Verdana" w:hAnsi="Verdana" w:cs="Arial"/>
          <w:sz w:val="14"/>
          <w:szCs w:val="14"/>
        </w:rPr>
        <w:t>o Octavio Munar Cadena.</w:t>
      </w:r>
      <w:r>
        <w:rPr>
          <w:rFonts w:ascii="Verdana" w:hAnsi="Verdana" w:cs="Arial"/>
          <w:sz w:val="14"/>
          <w:szCs w:val="14"/>
        </w:rPr>
        <w:t xml:space="preserve"> </w:t>
      </w:r>
      <w:r w:rsidRPr="00DE2ABE">
        <w:rPr>
          <w:rFonts w:ascii="Verdana" w:hAnsi="Verdana" w:cs="Arial"/>
          <w:sz w:val="14"/>
          <w:szCs w:val="14"/>
        </w:rPr>
        <w:t xml:space="preserve">Exp. 00645. </w:t>
      </w:r>
    </w:p>
  </w:footnote>
  <w:footnote w:id="11">
    <w:p w14:paraId="75413774" w14:textId="77777777" w:rsidR="00714031" w:rsidRPr="003E54E8" w:rsidRDefault="00714031" w:rsidP="00714031">
      <w:pPr>
        <w:pStyle w:val="Textonotapie"/>
        <w:ind w:firstLine="709"/>
        <w:jc w:val="both"/>
        <w:rPr>
          <w:rFonts w:ascii="Verdana" w:hAnsi="Verdana" w:cs="Arial"/>
          <w:sz w:val="14"/>
          <w:szCs w:val="14"/>
          <w:lang w:val="es-ES"/>
        </w:rPr>
      </w:pPr>
      <w:r w:rsidRPr="000B25DA">
        <w:rPr>
          <w:rStyle w:val="Refdenotaalpie"/>
          <w:rFonts w:ascii="Verdana" w:hAnsi="Verdana"/>
          <w:sz w:val="14"/>
          <w:szCs w:val="14"/>
        </w:rPr>
        <w:footnoteRef/>
      </w:r>
      <w:r w:rsidRPr="000B25DA">
        <w:rPr>
          <w:rFonts w:ascii="Verdana" w:hAnsi="Verdana"/>
          <w:sz w:val="14"/>
          <w:szCs w:val="14"/>
        </w:rPr>
        <w:t xml:space="preserve"> </w:t>
      </w:r>
      <w:r w:rsidRPr="000B25DA">
        <w:rPr>
          <w:rFonts w:ascii="Verdana" w:hAnsi="Verdana" w:cs="Arial"/>
          <w:sz w:val="14"/>
          <w:szCs w:val="14"/>
          <w:lang w:val="es-ES"/>
        </w:rPr>
        <w:t xml:space="preserve">Consejo de Estado. Sala de lo Contencioso Administrativo. Sección Tercera. Sentencia del 20 de junio de 2023. Radicado: </w:t>
      </w:r>
      <w:r w:rsidRPr="000B25DA">
        <w:rPr>
          <w:rFonts w:ascii="Verdana" w:hAnsi="Verdana" w:cs="Arial"/>
          <w:sz w:val="14"/>
          <w:szCs w:val="14"/>
          <w:lang w:val="es-CO"/>
        </w:rPr>
        <w:t>68001-23-31-000-2008-00361-01 (61174)</w:t>
      </w:r>
      <w:r w:rsidRPr="000B25DA">
        <w:rPr>
          <w:rFonts w:ascii="Verdana" w:hAnsi="Verdana" w:cs="Arial"/>
          <w:sz w:val="14"/>
          <w:szCs w:val="14"/>
          <w:lang w:val="es-ES"/>
        </w:rPr>
        <w:t xml:space="preserve"> C.P: José Roberto Sáchica Méndez.</w:t>
      </w:r>
    </w:p>
  </w:footnote>
  <w:footnote w:id="12">
    <w:p w14:paraId="61F94810" w14:textId="77777777" w:rsidR="00714031" w:rsidRPr="000B25DA" w:rsidRDefault="00714031" w:rsidP="00714031">
      <w:pPr>
        <w:pStyle w:val="Textonotapie"/>
        <w:ind w:firstLine="709"/>
        <w:jc w:val="both"/>
        <w:rPr>
          <w:rFonts w:ascii="Verdana" w:hAnsi="Verdana"/>
          <w:sz w:val="14"/>
          <w:szCs w:val="14"/>
        </w:rPr>
      </w:pPr>
      <w:r w:rsidRPr="000B25DA">
        <w:rPr>
          <w:rStyle w:val="Refdenotaalpie"/>
          <w:rFonts w:ascii="Verdana" w:hAnsi="Verdana"/>
          <w:sz w:val="14"/>
          <w:szCs w:val="14"/>
        </w:rPr>
        <w:footnoteRef/>
      </w:r>
      <w:r w:rsidRPr="000B25DA">
        <w:rPr>
          <w:rFonts w:ascii="Verdana" w:hAnsi="Verdana"/>
          <w:sz w:val="14"/>
          <w:szCs w:val="14"/>
        </w:rPr>
        <w:t xml:space="preserve"> Ibidem.</w:t>
      </w:r>
    </w:p>
    <w:p w14:paraId="334E7AFC" w14:textId="77777777" w:rsidR="00714031" w:rsidRPr="000B25DA" w:rsidRDefault="00714031" w:rsidP="00714031">
      <w:pPr>
        <w:pStyle w:val="Textonotapie"/>
        <w:ind w:firstLine="709"/>
        <w:jc w:val="both"/>
        <w:rPr>
          <w:rFonts w:ascii="Verdana" w:hAnsi="Verdana"/>
          <w:sz w:val="14"/>
          <w:szCs w:val="14"/>
        </w:rPr>
      </w:pPr>
    </w:p>
  </w:footnote>
  <w:footnote w:id="13">
    <w:p w14:paraId="64D0E1F9" w14:textId="77777777" w:rsidR="00714031" w:rsidRDefault="00714031" w:rsidP="00714031">
      <w:pPr>
        <w:pStyle w:val="Textonotapie"/>
        <w:ind w:firstLine="709"/>
        <w:jc w:val="both"/>
        <w:rPr>
          <w:rFonts w:ascii="Verdana" w:hAnsi="Verdana" w:cs="Arial"/>
          <w:sz w:val="16"/>
          <w:szCs w:val="16"/>
          <w:lang w:val="es-ES"/>
        </w:rPr>
      </w:pPr>
      <w:r w:rsidRPr="00CC5CDC">
        <w:rPr>
          <w:rStyle w:val="Refdenotaalpie"/>
          <w:rFonts w:ascii="Verdana" w:hAnsi="Verdana"/>
          <w:sz w:val="16"/>
          <w:szCs w:val="16"/>
        </w:rPr>
        <w:footnoteRef/>
      </w:r>
      <w:r w:rsidRPr="00CC5CDC">
        <w:rPr>
          <w:rFonts w:ascii="Verdana" w:hAnsi="Verdana"/>
          <w:sz w:val="16"/>
          <w:szCs w:val="16"/>
        </w:rPr>
        <w:t xml:space="preserve"> </w:t>
      </w:r>
      <w:r w:rsidRPr="00CC5CDC">
        <w:rPr>
          <w:rFonts w:ascii="Verdana" w:hAnsi="Verdana" w:cs="Arial"/>
          <w:sz w:val="16"/>
          <w:szCs w:val="16"/>
          <w:lang w:val="es-ES"/>
        </w:rPr>
        <w:t xml:space="preserve">MARÍN CORTÉS, Fabián. </w:t>
      </w:r>
      <w:r w:rsidRPr="00CC5CDC">
        <w:rPr>
          <w:rFonts w:ascii="Verdana" w:hAnsi="Verdana" w:cs="Arial"/>
          <w:i/>
          <w:iCs/>
          <w:sz w:val="16"/>
          <w:szCs w:val="16"/>
          <w:lang w:val="es-ES"/>
        </w:rPr>
        <w:t>El precio</w:t>
      </w:r>
      <w:r w:rsidRPr="00CC5CDC">
        <w:rPr>
          <w:rFonts w:ascii="Verdana" w:hAnsi="Verdana" w:cs="Arial"/>
          <w:sz w:val="16"/>
          <w:szCs w:val="16"/>
          <w:lang w:val="es-ES"/>
        </w:rPr>
        <w:t>. Medellín: Librería Jurídica Sánchez, Centro de Estudios de Derecho Administrativo –CEDA–, 2012, pp. 149-150.</w:t>
      </w:r>
    </w:p>
    <w:p w14:paraId="3C79F1C9" w14:textId="77777777" w:rsidR="00714031" w:rsidRPr="00CC5CDC" w:rsidRDefault="00714031" w:rsidP="00714031">
      <w:pPr>
        <w:pStyle w:val="Textonotapie"/>
        <w:ind w:firstLine="709"/>
        <w:jc w:val="both"/>
        <w:rPr>
          <w:rFonts w:ascii="Verdana" w:hAnsi="Verdana"/>
          <w:sz w:val="16"/>
          <w:szCs w:val="16"/>
          <w:lang w:val="es-CO"/>
        </w:rPr>
      </w:pPr>
    </w:p>
  </w:footnote>
  <w:footnote w:id="14">
    <w:p w14:paraId="2D3D8E2D" w14:textId="77777777" w:rsidR="00714031" w:rsidRPr="00CC5CDC" w:rsidRDefault="00714031" w:rsidP="00714031">
      <w:pPr>
        <w:pStyle w:val="Textonotapie"/>
        <w:ind w:firstLine="709"/>
        <w:jc w:val="both"/>
        <w:rPr>
          <w:rFonts w:ascii="Verdana" w:hAnsi="Verdana"/>
          <w:sz w:val="16"/>
          <w:szCs w:val="16"/>
          <w:lang w:val="es-CO"/>
        </w:rPr>
      </w:pPr>
      <w:r w:rsidRPr="00CC5CDC">
        <w:rPr>
          <w:rStyle w:val="Refdenotaalpie"/>
          <w:rFonts w:ascii="Verdana" w:hAnsi="Verdana"/>
          <w:sz w:val="16"/>
          <w:szCs w:val="16"/>
        </w:rPr>
        <w:footnoteRef/>
      </w:r>
      <w:r w:rsidRPr="00CC5CDC">
        <w:rPr>
          <w:rFonts w:ascii="Verdana" w:hAnsi="Verdana"/>
          <w:sz w:val="16"/>
          <w:szCs w:val="16"/>
        </w:rPr>
        <w:t xml:space="preserve"> </w:t>
      </w:r>
      <w:r w:rsidRPr="00CC5CDC">
        <w:rPr>
          <w:rFonts w:ascii="Verdana" w:eastAsia="Calibri" w:hAnsi="Verdana" w:cs="Arial"/>
          <w:sz w:val="16"/>
          <w:szCs w:val="16"/>
          <w:lang w:val="es-ES_tradnl" w:eastAsia="es-ES_tradnl"/>
        </w:rPr>
        <w:t>PINO RICCI, Jorge. El régimen jurídico de los contratos estatales. Universidad Externado de Colombia. Bogotá, 2005. pp. 423.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5pt;height:10.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A36B19"/>
    <w:multiLevelType w:val="hybridMultilevel"/>
    <w:tmpl w:val="953A4E2C"/>
    <w:lvl w:ilvl="0" w:tplc="04090017">
      <w:start w:val="1"/>
      <w:numFmt w:val="lowerLetter"/>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769791B"/>
    <w:multiLevelType w:val="hybridMultilevel"/>
    <w:tmpl w:val="765C45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22711EB"/>
    <w:multiLevelType w:val="hybridMultilevel"/>
    <w:tmpl w:val="0FB63FEC"/>
    <w:lvl w:ilvl="0" w:tplc="EF92621A">
      <w:start w:val="1"/>
      <w:numFmt w:val="upperRoman"/>
      <w:lvlText w:val="(%1)"/>
      <w:lvlJc w:val="left"/>
      <w:pPr>
        <w:ind w:left="1440" w:hanging="108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916AB3"/>
    <w:multiLevelType w:val="hybridMultilevel"/>
    <w:tmpl w:val="D61EC1E6"/>
    <w:lvl w:ilvl="0" w:tplc="73DEAA1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5FD0535"/>
    <w:multiLevelType w:val="hybridMultilevel"/>
    <w:tmpl w:val="AA8C7004"/>
    <w:lvl w:ilvl="0" w:tplc="F970E3B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986512"/>
    <w:multiLevelType w:val="multilevel"/>
    <w:tmpl w:val="3F867A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BD2597E"/>
    <w:multiLevelType w:val="multilevel"/>
    <w:tmpl w:val="1354FC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3557C12"/>
    <w:multiLevelType w:val="multilevel"/>
    <w:tmpl w:val="34089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8AC6557"/>
    <w:multiLevelType w:val="multilevel"/>
    <w:tmpl w:val="12FA6E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4F437656"/>
    <w:multiLevelType w:val="hybridMultilevel"/>
    <w:tmpl w:val="799AA770"/>
    <w:lvl w:ilvl="0" w:tplc="DDCEDA26">
      <w:start w:val="1"/>
      <w:numFmt w:val="decimal"/>
      <w:lvlText w:val="%1)"/>
      <w:lvlJc w:val="left"/>
      <w:pPr>
        <w:ind w:left="1069" w:hanging="360"/>
      </w:pPr>
      <w:rPr>
        <w:rFonts w:eastAsiaTheme="minorHAnsi"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1" w15:restartNumberingAfterBreak="0">
    <w:nsid w:val="51F739E4"/>
    <w:multiLevelType w:val="multilevel"/>
    <w:tmpl w:val="418635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E650EA1"/>
    <w:multiLevelType w:val="hybridMultilevel"/>
    <w:tmpl w:val="4F221DA8"/>
    <w:lvl w:ilvl="0" w:tplc="6EF2AD8C">
      <w:start w:val="1"/>
      <w:numFmt w:val="low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32355DD"/>
    <w:multiLevelType w:val="hybridMultilevel"/>
    <w:tmpl w:val="C128A5AA"/>
    <w:lvl w:ilvl="0" w:tplc="2C74E67C">
      <w:start w:val="1"/>
      <w:numFmt w:val="lowerRoman"/>
      <w:lvlText w:val="(%1)"/>
      <w:lvlJc w:val="left"/>
      <w:pPr>
        <w:ind w:left="1505" w:hanging="108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29" w15:restartNumberingAfterBreak="0">
    <w:nsid w:val="73F66875"/>
    <w:multiLevelType w:val="hybridMultilevel"/>
    <w:tmpl w:val="DF62737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AB07FD"/>
    <w:multiLevelType w:val="hybridMultilevel"/>
    <w:tmpl w:val="2CAE5CB6"/>
    <w:lvl w:ilvl="0" w:tplc="62A0FACC">
      <w:start w:val="1"/>
      <w:numFmt w:val="low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BCD33FF"/>
    <w:multiLevelType w:val="hybridMultilevel"/>
    <w:tmpl w:val="A3187F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214196903">
    <w:abstractNumId w:val="15"/>
  </w:num>
  <w:num w:numId="2" w16cid:durableId="1469589687">
    <w:abstractNumId w:val="3"/>
  </w:num>
  <w:num w:numId="3" w16cid:durableId="1889419001">
    <w:abstractNumId w:val="12"/>
  </w:num>
  <w:num w:numId="4" w16cid:durableId="36549575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75220021">
    <w:abstractNumId w:val="3"/>
  </w:num>
  <w:num w:numId="6" w16cid:durableId="2079549622">
    <w:abstractNumId w:val="26"/>
  </w:num>
  <w:num w:numId="7" w16cid:durableId="927007421">
    <w:abstractNumId w:val="13"/>
  </w:num>
  <w:num w:numId="8" w16cid:durableId="342250603">
    <w:abstractNumId w:val="25"/>
  </w:num>
  <w:num w:numId="9" w16cid:durableId="789665097">
    <w:abstractNumId w:val="16"/>
  </w:num>
  <w:num w:numId="10" w16cid:durableId="1185947133">
    <w:abstractNumId w:val="24"/>
  </w:num>
  <w:num w:numId="11" w16cid:durableId="702560460">
    <w:abstractNumId w:val="17"/>
  </w:num>
  <w:num w:numId="12" w16cid:durableId="257714077">
    <w:abstractNumId w:val="1"/>
  </w:num>
  <w:num w:numId="13" w16cid:durableId="1572888162">
    <w:abstractNumId w:val="8"/>
  </w:num>
  <w:num w:numId="14" w16cid:durableId="470371248">
    <w:abstractNumId w:val="27"/>
  </w:num>
  <w:num w:numId="15" w16cid:durableId="469790483">
    <w:abstractNumId w:val="23"/>
  </w:num>
  <w:num w:numId="16" w16cid:durableId="544372904">
    <w:abstractNumId w:val="0"/>
  </w:num>
  <w:num w:numId="17" w16cid:durableId="1629124878">
    <w:abstractNumId w:val="19"/>
  </w:num>
  <w:num w:numId="18" w16cid:durableId="1979872709">
    <w:abstractNumId w:val="2"/>
  </w:num>
  <w:num w:numId="19" w16cid:durableId="528252160">
    <w:abstractNumId w:val="10"/>
  </w:num>
  <w:num w:numId="20" w16cid:durableId="2087604561">
    <w:abstractNumId w:val="22"/>
  </w:num>
  <w:num w:numId="21" w16cid:durableId="44499433">
    <w:abstractNumId w:val="6"/>
  </w:num>
  <w:num w:numId="22" w16cid:durableId="845633445">
    <w:abstractNumId w:val="14"/>
  </w:num>
  <w:num w:numId="23" w16cid:durableId="2083408133">
    <w:abstractNumId w:val="11"/>
  </w:num>
  <w:num w:numId="24" w16cid:durableId="1518615619">
    <w:abstractNumId w:val="28"/>
  </w:num>
  <w:num w:numId="25" w16cid:durableId="344984707">
    <w:abstractNumId w:val="30"/>
  </w:num>
  <w:num w:numId="26" w16cid:durableId="1708991338">
    <w:abstractNumId w:val="5"/>
  </w:num>
  <w:num w:numId="27" w16cid:durableId="1387601369">
    <w:abstractNumId w:val="7"/>
  </w:num>
  <w:num w:numId="28" w16cid:durableId="1470587118">
    <w:abstractNumId w:val="4"/>
  </w:num>
  <w:num w:numId="29" w16cid:durableId="681932548">
    <w:abstractNumId w:val="20"/>
  </w:num>
  <w:num w:numId="30" w16cid:durableId="1120221255">
    <w:abstractNumId w:val="31"/>
  </w:num>
  <w:num w:numId="31" w16cid:durableId="1735465263">
    <w:abstractNumId w:val="21"/>
    <w:lvlOverride w:ilvl="0">
      <w:startOverride w:val="1"/>
    </w:lvlOverride>
  </w:num>
  <w:num w:numId="32" w16cid:durableId="865674022">
    <w:abstractNumId w:val="21"/>
    <w:lvlOverride w:ilvl="0">
      <w:startOverride w:val="2"/>
    </w:lvlOverride>
  </w:num>
  <w:num w:numId="33" w16cid:durableId="18706767">
    <w:abstractNumId w:val="21"/>
    <w:lvlOverride w:ilvl="0">
      <w:startOverride w:val="3"/>
    </w:lvlOverride>
  </w:num>
  <w:num w:numId="34" w16cid:durableId="1147287776">
    <w:abstractNumId w:val="21"/>
    <w:lvlOverride w:ilvl="0">
      <w:startOverride w:val="4"/>
    </w:lvlOverride>
  </w:num>
  <w:num w:numId="35" w16cid:durableId="359405021">
    <w:abstractNumId w:val="29"/>
  </w:num>
  <w:num w:numId="36" w16cid:durableId="1357733607">
    <w:abstractNumId w:val="9"/>
  </w:num>
  <w:num w:numId="37" w16cid:durableId="95702713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85F"/>
    <w:rsid w:val="00016F78"/>
    <w:rsid w:val="00041020"/>
    <w:rsid w:val="00046945"/>
    <w:rsid w:val="00054D7A"/>
    <w:rsid w:val="00061B2A"/>
    <w:rsid w:val="00070E2C"/>
    <w:rsid w:val="00082362"/>
    <w:rsid w:val="000A54C4"/>
    <w:rsid w:val="000A683E"/>
    <w:rsid w:val="000B19B9"/>
    <w:rsid w:val="000B79D1"/>
    <w:rsid w:val="000C150B"/>
    <w:rsid w:val="000D0334"/>
    <w:rsid w:val="000F6486"/>
    <w:rsid w:val="0010577E"/>
    <w:rsid w:val="001139F6"/>
    <w:rsid w:val="00125105"/>
    <w:rsid w:val="00127233"/>
    <w:rsid w:val="0013624A"/>
    <w:rsid w:val="001769C9"/>
    <w:rsid w:val="00190572"/>
    <w:rsid w:val="001923BC"/>
    <w:rsid w:val="00193F11"/>
    <w:rsid w:val="001E4177"/>
    <w:rsid w:val="001F7DC6"/>
    <w:rsid w:val="00200E9E"/>
    <w:rsid w:val="0020418D"/>
    <w:rsid w:val="00204C47"/>
    <w:rsid w:val="00207491"/>
    <w:rsid w:val="00217554"/>
    <w:rsid w:val="00217DAF"/>
    <w:rsid w:val="002309C7"/>
    <w:rsid w:val="002421BB"/>
    <w:rsid w:val="00255C86"/>
    <w:rsid w:val="0025796E"/>
    <w:rsid w:val="002707A2"/>
    <w:rsid w:val="00274B73"/>
    <w:rsid w:val="00276F01"/>
    <w:rsid w:val="002932BF"/>
    <w:rsid w:val="002951A0"/>
    <w:rsid w:val="002962BC"/>
    <w:rsid w:val="002A093D"/>
    <w:rsid w:val="002A0DD0"/>
    <w:rsid w:val="002A49AC"/>
    <w:rsid w:val="002A64FD"/>
    <w:rsid w:val="002B7AE7"/>
    <w:rsid w:val="002C7A84"/>
    <w:rsid w:val="002D3785"/>
    <w:rsid w:val="002E4FD9"/>
    <w:rsid w:val="002F5AA8"/>
    <w:rsid w:val="00322A85"/>
    <w:rsid w:val="00324168"/>
    <w:rsid w:val="00334333"/>
    <w:rsid w:val="003448F4"/>
    <w:rsid w:val="00374F5E"/>
    <w:rsid w:val="00377E3E"/>
    <w:rsid w:val="00380196"/>
    <w:rsid w:val="00386DF3"/>
    <w:rsid w:val="00391DD8"/>
    <w:rsid w:val="003A4F1C"/>
    <w:rsid w:val="003A779E"/>
    <w:rsid w:val="003B0845"/>
    <w:rsid w:val="003C206F"/>
    <w:rsid w:val="003C21D8"/>
    <w:rsid w:val="003D0F4D"/>
    <w:rsid w:val="003D2076"/>
    <w:rsid w:val="003D5B0D"/>
    <w:rsid w:val="003E0499"/>
    <w:rsid w:val="003E2491"/>
    <w:rsid w:val="003E54E8"/>
    <w:rsid w:val="003F3941"/>
    <w:rsid w:val="00406575"/>
    <w:rsid w:val="00413409"/>
    <w:rsid w:val="00414C74"/>
    <w:rsid w:val="0042722E"/>
    <w:rsid w:val="0044528D"/>
    <w:rsid w:val="00495A4F"/>
    <w:rsid w:val="004A1847"/>
    <w:rsid w:val="004A305D"/>
    <w:rsid w:val="004B32A7"/>
    <w:rsid w:val="004C6897"/>
    <w:rsid w:val="004F0343"/>
    <w:rsid w:val="004F21C4"/>
    <w:rsid w:val="004F685F"/>
    <w:rsid w:val="00533E01"/>
    <w:rsid w:val="005566E8"/>
    <w:rsid w:val="0057249E"/>
    <w:rsid w:val="00574867"/>
    <w:rsid w:val="00585660"/>
    <w:rsid w:val="00591460"/>
    <w:rsid w:val="005A39C9"/>
    <w:rsid w:val="005A41C1"/>
    <w:rsid w:val="005B1F55"/>
    <w:rsid w:val="005B226E"/>
    <w:rsid w:val="005B7A1F"/>
    <w:rsid w:val="005C1E40"/>
    <w:rsid w:val="005C3777"/>
    <w:rsid w:val="005C5CDC"/>
    <w:rsid w:val="005D476C"/>
    <w:rsid w:val="005F618B"/>
    <w:rsid w:val="005F6DE3"/>
    <w:rsid w:val="005F765B"/>
    <w:rsid w:val="00605C39"/>
    <w:rsid w:val="006219F8"/>
    <w:rsid w:val="006302F7"/>
    <w:rsid w:val="00632ADF"/>
    <w:rsid w:val="006370B9"/>
    <w:rsid w:val="00657592"/>
    <w:rsid w:val="00665D70"/>
    <w:rsid w:val="006739B5"/>
    <w:rsid w:val="006900D9"/>
    <w:rsid w:val="006A760C"/>
    <w:rsid w:val="006C148C"/>
    <w:rsid w:val="006C3F2E"/>
    <w:rsid w:val="006D052B"/>
    <w:rsid w:val="006D3F68"/>
    <w:rsid w:val="006D4938"/>
    <w:rsid w:val="00706C16"/>
    <w:rsid w:val="00710691"/>
    <w:rsid w:val="00714031"/>
    <w:rsid w:val="00723DBA"/>
    <w:rsid w:val="00724F97"/>
    <w:rsid w:val="00756841"/>
    <w:rsid w:val="007573AA"/>
    <w:rsid w:val="007579FD"/>
    <w:rsid w:val="007649AB"/>
    <w:rsid w:val="00771D0C"/>
    <w:rsid w:val="00776F36"/>
    <w:rsid w:val="007833AC"/>
    <w:rsid w:val="007A110B"/>
    <w:rsid w:val="007B268C"/>
    <w:rsid w:val="007B7171"/>
    <w:rsid w:val="007C0C0F"/>
    <w:rsid w:val="007C3DC2"/>
    <w:rsid w:val="007D20A2"/>
    <w:rsid w:val="007E5497"/>
    <w:rsid w:val="00806F5F"/>
    <w:rsid w:val="00811957"/>
    <w:rsid w:val="008166E7"/>
    <w:rsid w:val="00820278"/>
    <w:rsid w:val="0083290E"/>
    <w:rsid w:val="00842272"/>
    <w:rsid w:val="00842619"/>
    <w:rsid w:val="00842D4D"/>
    <w:rsid w:val="00843C50"/>
    <w:rsid w:val="00867F95"/>
    <w:rsid w:val="008843B6"/>
    <w:rsid w:val="00891928"/>
    <w:rsid w:val="00897A3A"/>
    <w:rsid w:val="008A446D"/>
    <w:rsid w:val="008B1DCF"/>
    <w:rsid w:val="008D180B"/>
    <w:rsid w:val="008D6CC0"/>
    <w:rsid w:val="008E34A0"/>
    <w:rsid w:val="008F0EA7"/>
    <w:rsid w:val="009106C2"/>
    <w:rsid w:val="00917798"/>
    <w:rsid w:val="00923EEF"/>
    <w:rsid w:val="009419F9"/>
    <w:rsid w:val="0094402F"/>
    <w:rsid w:val="00945E23"/>
    <w:rsid w:val="0095685E"/>
    <w:rsid w:val="00961B09"/>
    <w:rsid w:val="00965334"/>
    <w:rsid w:val="0097093E"/>
    <w:rsid w:val="009A0DFA"/>
    <w:rsid w:val="009A67FD"/>
    <w:rsid w:val="009B25A8"/>
    <w:rsid w:val="009B2D26"/>
    <w:rsid w:val="009C71FA"/>
    <w:rsid w:val="009C72E7"/>
    <w:rsid w:val="009D3058"/>
    <w:rsid w:val="009E315D"/>
    <w:rsid w:val="009F3A13"/>
    <w:rsid w:val="00A054AA"/>
    <w:rsid w:val="00A122D3"/>
    <w:rsid w:val="00A17F13"/>
    <w:rsid w:val="00A20739"/>
    <w:rsid w:val="00A27BBB"/>
    <w:rsid w:val="00A33C78"/>
    <w:rsid w:val="00A34EBF"/>
    <w:rsid w:val="00A4126F"/>
    <w:rsid w:val="00A4665D"/>
    <w:rsid w:val="00A563D0"/>
    <w:rsid w:val="00A621A5"/>
    <w:rsid w:val="00A87A02"/>
    <w:rsid w:val="00AA4470"/>
    <w:rsid w:val="00AA769E"/>
    <w:rsid w:val="00AB0ADB"/>
    <w:rsid w:val="00AC7727"/>
    <w:rsid w:val="00B00C0E"/>
    <w:rsid w:val="00B01B1A"/>
    <w:rsid w:val="00B05670"/>
    <w:rsid w:val="00B35913"/>
    <w:rsid w:val="00B44A47"/>
    <w:rsid w:val="00B547D9"/>
    <w:rsid w:val="00B72CD3"/>
    <w:rsid w:val="00B72FFF"/>
    <w:rsid w:val="00B830B6"/>
    <w:rsid w:val="00B93E1D"/>
    <w:rsid w:val="00B96FE0"/>
    <w:rsid w:val="00BB25A1"/>
    <w:rsid w:val="00BC3D36"/>
    <w:rsid w:val="00BD0F0A"/>
    <w:rsid w:val="00BD2A27"/>
    <w:rsid w:val="00BD4E8F"/>
    <w:rsid w:val="00BD7F72"/>
    <w:rsid w:val="00BE005A"/>
    <w:rsid w:val="00BE6AD2"/>
    <w:rsid w:val="00C04054"/>
    <w:rsid w:val="00C04FB3"/>
    <w:rsid w:val="00C23156"/>
    <w:rsid w:val="00C330EB"/>
    <w:rsid w:val="00C4472E"/>
    <w:rsid w:val="00C754BE"/>
    <w:rsid w:val="00C75622"/>
    <w:rsid w:val="00C76B1C"/>
    <w:rsid w:val="00C80A57"/>
    <w:rsid w:val="00C8471A"/>
    <w:rsid w:val="00C90DA8"/>
    <w:rsid w:val="00CB6357"/>
    <w:rsid w:val="00CC1B26"/>
    <w:rsid w:val="00CC65EC"/>
    <w:rsid w:val="00CE4728"/>
    <w:rsid w:val="00D05F8C"/>
    <w:rsid w:val="00D235DB"/>
    <w:rsid w:val="00D23A95"/>
    <w:rsid w:val="00D23BA8"/>
    <w:rsid w:val="00D30B2E"/>
    <w:rsid w:val="00D423A2"/>
    <w:rsid w:val="00D520D8"/>
    <w:rsid w:val="00D52C1B"/>
    <w:rsid w:val="00D55406"/>
    <w:rsid w:val="00D55EF3"/>
    <w:rsid w:val="00D63AC2"/>
    <w:rsid w:val="00D70F92"/>
    <w:rsid w:val="00D7383B"/>
    <w:rsid w:val="00D81F6E"/>
    <w:rsid w:val="00D8749B"/>
    <w:rsid w:val="00D94CE2"/>
    <w:rsid w:val="00DA231B"/>
    <w:rsid w:val="00DB79C1"/>
    <w:rsid w:val="00DC39FC"/>
    <w:rsid w:val="00DD5B32"/>
    <w:rsid w:val="00DD67F9"/>
    <w:rsid w:val="00DE5DDB"/>
    <w:rsid w:val="00DF33F9"/>
    <w:rsid w:val="00DF5254"/>
    <w:rsid w:val="00E074D8"/>
    <w:rsid w:val="00E16408"/>
    <w:rsid w:val="00E20894"/>
    <w:rsid w:val="00E245AB"/>
    <w:rsid w:val="00E25B7C"/>
    <w:rsid w:val="00E2764C"/>
    <w:rsid w:val="00E27F2E"/>
    <w:rsid w:val="00E50AFE"/>
    <w:rsid w:val="00E52515"/>
    <w:rsid w:val="00E7060C"/>
    <w:rsid w:val="00E73BAE"/>
    <w:rsid w:val="00E7586E"/>
    <w:rsid w:val="00E75C92"/>
    <w:rsid w:val="00E771DC"/>
    <w:rsid w:val="00E8772A"/>
    <w:rsid w:val="00E9074F"/>
    <w:rsid w:val="00E90F6B"/>
    <w:rsid w:val="00E92C27"/>
    <w:rsid w:val="00EA0E3D"/>
    <w:rsid w:val="00EB3315"/>
    <w:rsid w:val="00EB7F25"/>
    <w:rsid w:val="00EC38A7"/>
    <w:rsid w:val="00EE1AA8"/>
    <w:rsid w:val="00EE318A"/>
    <w:rsid w:val="00EE5729"/>
    <w:rsid w:val="00EE7F25"/>
    <w:rsid w:val="00EF3B23"/>
    <w:rsid w:val="00F23574"/>
    <w:rsid w:val="00F31EDC"/>
    <w:rsid w:val="00F33EBC"/>
    <w:rsid w:val="00F462B3"/>
    <w:rsid w:val="00F5664F"/>
    <w:rsid w:val="00F666C4"/>
    <w:rsid w:val="00F70686"/>
    <w:rsid w:val="00F76AFC"/>
    <w:rsid w:val="00F87C77"/>
    <w:rsid w:val="00FA47C0"/>
    <w:rsid w:val="00FA7030"/>
    <w:rsid w:val="00FB5DD1"/>
    <w:rsid w:val="00FB75C2"/>
    <w:rsid w:val="00FC2B5D"/>
    <w:rsid w:val="00FD009D"/>
    <w:rsid w:val="00FF1449"/>
    <w:rsid w:val="00FF3CA8"/>
    <w:rsid w:val="5FE1C157"/>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3445EFF-F4A9-4815-BE7C-416B0DE25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link w:val="Ttulo1Car"/>
    <w:uiPriority w:val="9"/>
    <w:qFormat/>
    <w:rsid w:val="00391DD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391DD8"/>
    <w:rPr>
      <w:rFonts w:ascii="Times New Roman" w:eastAsia="Times New Roman" w:hAnsi="Times New Roman" w:cs="Times New Roman"/>
      <w:b/>
      <w:bCs/>
      <w:kern w:val="36"/>
      <w:sz w:val="48"/>
      <w:szCs w:val="48"/>
      <w:lang w:eastAsia="es-CO"/>
    </w:rPr>
  </w:style>
  <w:style w:type="paragraph" w:customStyle="1" w:styleId="Appelnotedebasde">
    <w:name w:val="Appel note de bas de..."/>
    <w:basedOn w:val="Normal"/>
    <w:link w:val="Refdenotaalpie"/>
    <w:uiPriority w:val="99"/>
    <w:rsid w:val="00391DD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391DD8"/>
    <w:rPr>
      <w:rFonts w:ascii="Geomanist Light" w:hAnsi="Geomanist Light"/>
      <w:lang w:val="es-ES"/>
    </w:rPr>
  </w:style>
  <w:style w:type="paragraph" w:styleId="Textoindependiente">
    <w:name w:val="Body Text"/>
    <w:basedOn w:val="Normal"/>
    <w:link w:val="TextoindependienteCar"/>
    <w:uiPriority w:val="99"/>
    <w:unhideWhenUsed/>
    <w:rsid w:val="00391DD8"/>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391DD8"/>
    <w:rPr>
      <w:rFonts w:ascii="Times New Roman" w:eastAsia="Times New Roman" w:hAnsi="Times New Roman" w:cs="Times New Roman"/>
      <w:sz w:val="24"/>
      <w:szCs w:val="24"/>
      <w:lang w:eastAsia="es-CO"/>
    </w:rPr>
  </w:style>
  <w:style w:type="paragraph" w:styleId="Sinespaciado">
    <w:name w:val="No Spacing"/>
    <w:uiPriority w:val="1"/>
    <w:qFormat/>
    <w:rsid w:val="00391DD8"/>
    <w:pPr>
      <w:spacing w:after="0" w:line="240" w:lineRule="auto"/>
    </w:pPr>
  </w:style>
  <w:style w:type="character" w:styleId="Textoennegrita">
    <w:name w:val="Strong"/>
    <w:basedOn w:val="Fuentedeprrafopredeter"/>
    <w:uiPriority w:val="22"/>
    <w:qFormat/>
    <w:rsid w:val="00391DD8"/>
    <w:rPr>
      <w:b/>
      <w:bCs/>
    </w:rPr>
  </w:style>
  <w:style w:type="table" w:customStyle="1" w:styleId="Tablaconcuadrcula11">
    <w:name w:val="Tabla con cuadrícula11"/>
    <w:basedOn w:val="Tablanormal"/>
    <w:next w:val="Tablaconcuadrcula"/>
    <w:uiPriority w:val="39"/>
    <w:qFormat/>
    <w:rsid w:val="002932BF"/>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1052276">
      <w:bodyDiv w:val="1"/>
      <w:marLeft w:val="0"/>
      <w:marRight w:val="0"/>
      <w:marTop w:val="0"/>
      <w:marBottom w:val="0"/>
      <w:divBdr>
        <w:top w:val="none" w:sz="0" w:space="0" w:color="auto"/>
        <w:left w:val="none" w:sz="0" w:space="0" w:color="auto"/>
        <w:bottom w:val="none" w:sz="0" w:space="0" w:color="auto"/>
        <w:right w:val="none" w:sz="0" w:space="0" w:color="auto"/>
      </w:divBdr>
      <w:divsChild>
        <w:div w:id="1495075142">
          <w:marLeft w:val="0"/>
          <w:marRight w:val="0"/>
          <w:marTop w:val="0"/>
          <w:marBottom w:val="0"/>
          <w:divBdr>
            <w:top w:val="none" w:sz="0" w:space="0" w:color="auto"/>
            <w:left w:val="none" w:sz="0" w:space="0" w:color="auto"/>
            <w:bottom w:val="none" w:sz="0" w:space="0" w:color="auto"/>
            <w:right w:val="none" w:sz="0" w:space="0" w:color="auto"/>
          </w:divBdr>
          <w:divsChild>
            <w:div w:id="1713724992">
              <w:marLeft w:val="0"/>
              <w:marRight w:val="0"/>
              <w:marTop w:val="0"/>
              <w:marBottom w:val="0"/>
              <w:divBdr>
                <w:top w:val="none" w:sz="0" w:space="0" w:color="auto"/>
                <w:left w:val="none" w:sz="0" w:space="0" w:color="auto"/>
                <w:bottom w:val="none" w:sz="0" w:space="0" w:color="auto"/>
                <w:right w:val="none" w:sz="0" w:space="0" w:color="auto"/>
              </w:divBdr>
              <w:divsChild>
                <w:div w:id="159805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35836913">
      <w:bodyDiv w:val="1"/>
      <w:marLeft w:val="0"/>
      <w:marRight w:val="0"/>
      <w:marTop w:val="0"/>
      <w:marBottom w:val="0"/>
      <w:divBdr>
        <w:top w:val="none" w:sz="0" w:space="0" w:color="auto"/>
        <w:left w:val="none" w:sz="0" w:space="0" w:color="auto"/>
        <w:bottom w:val="none" w:sz="0" w:space="0" w:color="auto"/>
        <w:right w:val="none" w:sz="0" w:space="0" w:color="auto"/>
      </w:divBdr>
      <w:divsChild>
        <w:div w:id="210963672">
          <w:marLeft w:val="0"/>
          <w:marRight w:val="0"/>
          <w:marTop w:val="0"/>
          <w:marBottom w:val="0"/>
          <w:divBdr>
            <w:top w:val="none" w:sz="0" w:space="0" w:color="auto"/>
            <w:left w:val="none" w:sz="0" w:space="0" w:color="auto"/>
            <w:bottom w:val="none" w:sz="0" w:space="0" w:color="auto"/>
            <w:right w:val="none" w:sz="0" w:space="0" w:color="auto"/>
          </w:divBdr>
          <w:divsChild>
            <w:div w:id="284771483">
              <w:marLeft w:val="0"/>
              <w:marRight w:val="0"/>
              <w:marTop w:val="0"/>
              <w:marBottom w:val="0"/>
              <w:divBdr>
                <w:top w:val="none" w:sz="0" w:space="0" w:color="auto"/>
                <w:left w:val="none" w:sz="0" w:space="0" w:color="auto"/>
                <w:bottom w:val="none" w:sz="0" w:space="0" w:color="auto"/>
                <w:right w:val="none" w:sz="0" w:space="0" w:color="auto"/>
              </w:divBdr>
              <w:divsChild>
                <w:div w:id="132329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lilimaria.tangarife@gmail.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F0B7467-DBB6-9041-9CFA-E00174678CFB}">
  <ds:schemaRefs>
    <ds:schemaRef ds:uri="http://schemas.openxmlformats.org/officeDocument/2006/bibliography"/>
  </ds:schemaRefs>
</ds:datastoreItem>
</file>

<file path=customXml/itemProps2.xml><?xml version="1.0" encoding="utf-8"?>
<ds:datastoreItem xmlns:ds="http://schemas.openxmlformats.org/officeDocument/2006/customXml" ds:itemID="{36578A2D-9973-4258-9493-C62B8DE6BC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15</Pages>
  <Words>5197</Words>
  <Characters>27914</Characters>
  <Application>Microsoft Office Word</Application>
  <DocSecurity>0</DocSecurity>
  <Lines>569</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2023-01-10T22:18:00Z</cp:lastPrinted>
  <dcterms:created xsi:type="dcterms:W3CDTF">2025-12-23T03:12:00Z</dcterms:created>
  <dcterms:modified xsi:type="dcterms:W3CDTF">2025-12-23T14:12:00Z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